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r>
        <w:rPr/>
        <w:pict>
          <v:group style="position:absolute;margin-left:32.400002pt;margin-top:54.599979pt;width:540.6pt;height:161.3pt;mso-position-horizontal-relative:page;mso-position-vertical-relative:page;z-index:-252645376" coordorigin="648,1092" coordsize="10812,3226">
            <v:line style="position:absolute" from="1248,1099" to="10804,1099" stroked="true" strokeweight=".72pt" strokecolor="#000000">
              <v:stroke dashstyle="solid"/>
            </v:line>
            <v:shape style="position:absolute;left:648;top:1099;width:10812;height:3219" type="#_x0000_t75" stroked="false">
              <v:imagedata r:id="rId6" o:title=""/>
            </v:shape>
            <w10:wrap type="none"/>
          </v:group>
        </w:pict>
      </w: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2"/>
        <w:ind w:left="0" w:firstLine="0"/>
        <w:rPr>
          <w:rFonts w:ascii="Times New Roman"/>
        </w:rPr>
      </w:pPr>
    </w:p>
    <w:p>
      <w:pPr>
        <w:pStyle w:val="Heading2"/>
        <w:tabs>
          <w:tab w:pos="3439" w:val="left" w:leader="none"/>
        </w:tabs>
        <w:spacing w:before="55"/>
        <w:jc w:val="center"/>
        <w:rPr>
          <w:rFonts w:ascii="黑体" w:eastAsia="黑体" w:hint="eastAsia"/>
        </w:rPr>
      </w:pPr>
      <w:r>
        <w:rPr>
          <w:rFonts w:ascii="黑体" w:eastAsia="黑体" w:hint="eastAsia"/>
        </w:rPr>
        <w:t>2019</w:t>
      </w:r>
      <w:r>
        <w:rPr>
          <w:rFonts w:ascii="黑体" w:eastAsia="黑体" w:hint="eastAsia"/>
          <w:spacing w:val="-82"/>
        </w:rPr>
        <w:t> </w:t>
      </w:r>
      <w:r>
        <w:rPr>
          <w:rFonts w:ascii="黑体" w:eastAsia="黑体" w:hint="eastAsia"/>
        </w:rPr>
        <w:t>年第</w:t>
      </w:r>
      <w:r>
        <w:rPr>
          <w:rFonts w:ascii="黑体" w:eastAsia="黑体" w:hint="eastAsia"/>
          <w:spacing w:val="-80"/>
        </w:rPr>
        <w:t> </w:t>
      </w:r>
      <w:r>
        <w:rPr>
          <w:rFonts w:ascii="黑体" w:eastAsia="黑体" w:hint="eastAsia"/>
        </w:rPr>
        <w:t>16</w:t>
      </w:r>
      <w:r>
        <w:rPr>
          <w:rFonts w:ascii="黑体" w:eastAsia="黑体" w:hint="eastAsia"/>
          <w:spacing w:val="-83"/>
        </w:rPr>
        <w:t> </w:t>
      </w:r>
      <w:r>
        <w:rPr>
          <w:rFonts w:ascii="黑体" w:eastAsia="黑体" w:hint="eastAsia"/>
        </w:rPr>
        <w:t>期</w:t>
        <w:tab/>
        <w:t>总第</w:t>
      </w:r>
      <w:r>
        <w:rPr>
          <w:rFonts w:ascii="黑体" w:eastAsia="黑体" w:hint="eastAsia"/>
          <w:spacing w:val="-80"/>
        </w:rPr>
        <w:t> </w:t>
      </w:r>
      <w:r>
        <w:rPr>
          <w:rFonts w:ascii="黑体" w:eastAsia="黑体" w:hint="eastAsia"/>
        </w:rPr>
        <w:t>214</w:t>
      </w:r>
      <w:r>
        <w:rPr>
          <w:rFonts w:ascii="黑体" w:eastAsia="黑体" w:hint="eastAsia"/>
          <w:spacing w:val="-81"/>
        </w:rPr>
        <w:t> </w:t>
      </w:r>
      <w:r>
        <w:rPr>
          <w:rFonts w:ascii="黑体" w:eastAsia="黑体" w:hint="eastAsia"/>
        </w:rPr>
        <w:t>期</w:t>
      </w:r>
    </w:p>
    <w:p>
      <w:pPr>
        <w:tabs>
          <w:tab w:pos="7030" w:val="left" w:leader="none"/>
        </w:tabs>
        <w:spacing w:before="137" w:after="51"/>
        <w:ind w:left="0" w:right="91" w:firstLine="0"/>
        <w:jc w:val="center"/>
        <w:rPr>
          <w:rFonts w:ascii="Microsoft JhengHei" w:eastAsia="Microsoft JhengHei" w:hint="eastAsia"/>
          <w:b/>
          <w:sz w:val="28"/>
        </w:rPr>
      </w:pPr>
      <w:r>
        <w:rPr>
          <w:rFonts w:ascii="Microsoft JhengHei" w:eastAsia="Microsoft JhengHei" w:hint="eastAsia"/>
          <w:b/>
          <w:sz w:val="28"/>
        </w:rPr>
        <w:t>中国药学会科技开发中心 </w:t>
      </w:r>
      <w:r>
        <w:rPr>
          <w:rFonts w:ascii="Microsoft JhengHei" w:eastAsia="Microsoft JhengHei" w:hint="eastAsia"/>
          <w:b/>
          <w:spacing w:val="7"/>
          <w:sz w:val="28"/>
        </w:rPr>
        <w:t> </w:t>
      </w:r>
      <w:r>
        <w:rPr>
          <w:rFonts w:ascii="Microsoft JhengHei" w:eastAsia="Microsoft JhengHei" w:hint="eastAsia"/>
          <w:b/>
          <w:sz w:val="28"/>
        </w:rPr>
        <w:t>组织联络部</w:t>
        <w:tab/>
        <w:t>2019</w:t>
      </w:r>
      <w:r>
        <w:rPr>
          <w:rFonts w:ascii="Microsoft JhengHei" w:eastAsia="Microsoft JhengHei" w:hint="eastAsia"/>
          <w:b/>
          <w:spacing w:val="-24"/>
          <w:sz w:val="28"/>
        </w:rPr>
        <w:t> </w:t>
      </w:r>
      <w:r>
        <w:rPr>
          <w:rFonts w:ascii="Microsoft JhengHei" w:eastAsia="Microsoft JhengHei" w:hint="eastAsia"/>
          <w:b/>
          <w:sz w:val="28"/>
        </w:rPr>
        <w:t>年</w:t>
      </w:r>
      <w:r>
        <w:rPr>
          <w:rFonts w:ascii="Microsoft JhengHei" w:eastAsia="Microsoft JhengHei" w:hint="eastAsia"/>
          <w:b/>
          <w:spacing w:val="-24"/>
          <w:sz w:val="28"/>
        </w:rPr>
        <w:t> </w:t>
      </w:r>
      <w:r>
        <w:rPr>
          <w:rFonts w:ascii="Microsoft JhengHei" w:eastAsia="Microsoft JhengHei" w:hint="eastAsia"/>
          <w:b/>
          <w:sz w:val="28"/>
        </w:rPr>
        <w:t>11</w:t>
      </w:r>
      <w:r>
        <w:rPr>
          <w:rFonts w:ascii="Microsoft JhengHei" w:eastAsia="Microsoft JhengHei" w:hint="eastAsia"/>
          <w:b/>
          <w:spacing w:val="-27"/>
          <w:sz w:val="28"/>
        </w:rPr>
        <w:t> </w:t>
      </w:r>
      <w:r>
        <w:rPr>
          <w:rFonts w:ascii="Microsoft JhengHei" w:eastAsia="Microsoft JhengHei" w:hint="eastAsia"/>
          <w:b/>
          <w:sz w:val="28"/>
        </w:rPr>
        <w:t>月</w:t>
      </w:r>
      <w:r>
        <w:rPr>
          <w:rFonts w:ascii="Microsoft JhengHei" w:eastAsia="Microsoft JhengHei" w:hint="eastAsia"/>
          <w:b/>
          <w:spacing w:val="-24"/>
          <w:sz w:val="28"/>
        </w:rPr>
        <w:t> </w:t>
      </w:r>
      <w:r>
        <w:rPr>
          <w:rFonts w:ascii="Microsoft JhengHei" w:eastAsia="Microsoft JhengHei" w:hint="eastAsia"/>
          <w:b/>
          <w:sz w:val="28"/>
        </w:rPr>
        <w:t>14</w:t>
      </w:r>
      <w:r>
        <w:rPr>
          <w:rFonts w:ascii="Microsoft JhengHei" w:eastAsia="Microsoft JhengHei" w:hint="eastAsia"/>
          <w:b/>
          <w:spacing w:val="-26"/>
          <w:sz w:val="28"/>
        </w:rPr>
        <w:t> </w:t>
      </w:r>
      <w:r>
        <w:rPr>
          <w:rFonts w:ascii="Microsoft JhengHei" w:eastAsia="Microsoft JhengHei" w:hint="eastAsia"/>
          <w:b/>
          <w:sz w:val="28"/>
        </w:rPr>
        <w:t>日</w:t>
      </w:r>
    </w:p>
    <w:p>
      <w:pPr>
        <w:pStyle w:val="BodyText"/>
        <w:spacing w:line="46" w:lineRule="exact"/>
        <w:ind w:left="-63" w:right="-15" w:firstLine="0"/>
        <w:rPr>
          <w:rFonts w:ascii="Microsoft JhengHei"/>
          <w:sz w:val="4"/>
        </w:rPr>
      </w:pPr>
      <w:r>
        <w:rPr>
          <w:rFonts w:ascii="Microsoft JhengHei"/>
          <w:position w:val="0"/>
          <w:sz w:val="4"/>
        </w:rPr>
        <w:pict>
          <v:group style="width:491.25pt;height:2.25pt;mso-position-horizontal-relative:char;mso-position-vertical-relative:line" coordorigin="0,0" coordsize="9825,45">
            <v:line style="position:absolute" from="0,23" to="9825,23" stroked="true" strokeweight="2.25pt" strokecolor="#ff0000">
              <v:stroke dashstyle="solid"/>
            </v:line>
          </v:group>
        </w:pict>
      </w:r>
      <w:r>
        <w:rPr>
          <w:rFonts w:ascii="Microsoft JhengHei"/>
          <w:position w:val="0"/>
          <w:sz w:val="4"/>
        </w:rPr>
      </w:r>
    </w:p>
    <w:p>
      <w:pPr>
        <w:spacing w:line="244" w:lineRule="auto" w:before="113"/>
        <w:ind w:left="4006" w:right="4099" w:firstLine="328"/>
        <w:jc w:val="left"/>
        <w:rPr>
          <w:rFonts w:ascii="隶书" w:eastAsia="隶书" w:hint="eastAsia"/>
          <w:sz w:val="44"/>
        </w:rPr>
      </w:pPr>
      <w:r>
        <w:rPr>
          <w:rFonts w:ascii="隶书" w:eastAsia="隶书" w:hint="eastAsia"/>
          <w:color w:val="1A5220"/>
          <w:sz w:val="44"/>
        </w:rPr>
        <w:t>目 次政策导览</w:t>
      </w:r>
    </w:p>
    <w:p>
      <w:pPr>
        <w:pStyle w:val="Heading3"/>
        <w:tabs>
          <w:tab w:pos="8953" w:val="left" w:leader="dot"/>
        </w:tabs>
        <w:spacing w:line="439" w:lineRule="exact"/>
        <w:ind w:left="0" w:right="93"/>
        <w:jc w:val="center"/>
        <w:rPr>
          <w:b w:val="0"/>
        </w:rPr>
      </w:pPr>
      <w:r>
        <w:rPr>
          <w:rFonts w:ascii="Microsoft JhengHei" w:eastAsia="Microsoft JhengHei" w:hint="eastAsia"/>
        </w:rPr>
        <w:t>【政府要闻】</w:t>
        <w:tab/>
      </w:r>
      <w:r>
        <w:rPr>
          <w:b w:val="0"/>
        </w:rPr>
        <w:t>1</w:t>
      </w:r>
    </w:p>
    <w:p>
      <w:pPr>
        <w:pStyle w:val="BodyText"/>
        <w:tabs>
          <w:tab w:pos="9301" w:val="left" w:leader="dot"/>
        </w:tabs>
        <w:spacing w:before="96"/>
        <w:ind w:left="348" w:firstLine="0"/>
      </w:pPr>
      <w:r>
        <w:rPr/>
        <w:t>中共中央国务院印发促进中医药传承创新发展的意见</w:t>
        <w:tab/>
        <w:t>1</w:t>
      </w:r>
    </w:p>
    <w:p>
      <w:pPr>
        <w:pStyle w:val="BodyText"/>
        <w:tabs>
          <w:tab w:pos="9301" w:val="left" w:leader="dot"/>
        </w:tabs>
        <w:spacing w:before="154"/>
        <w:ind w:left="348" w:firstLine="0"/>
      </w:pPr>
      <w:r>
        <w:rPr/>
        <w:t>区域医疗中心建设试点方案公布</w:t>
        <w:tab/>
        <w:t>1</w:t>
      </w:r>
    </w:p>
    <w:p>
      <w:pPr>
        <w:pStyle w:val="Heading3"/>
        <w:tabs>
          <w:tab w:pos="8953" w:val="left" w:leader="dot"/>
        </w:tabs>
        <w:spacing w:before="74"/>
        <w:ind w:left="0" w:right="93"/>
        <w:jc w:val="center"/>
        <w:rPr>
          <w:b w:val="0"/>
        </w:rPr>
      </w:pPr>
      <w:r>
        <w:rPr>
          <w:rFonts w:ascii="Microsoft JhengHei" w:eastAsia="Microsoft JhengHei" w:hint="eastAsia"/>
        </w:rPr>
        <w:t>【医保动态】</w:t>
        <w:tab/>
      </w:r>
      <w:r>
        <w:rPr>
          <w:b w:val="0"/>
        </w:rPr>
        <w:t>2</w:t>
      </w:r>
    </w:p>
    <w:p>
      <w:pPr>
        <w:pStyle w:val="BodyText"/>
        <w:tabs>
          <w:tab w:pos="9301" w:val="left" w:leader="dot"/>
        </w:tabs>
        <w:spacing w:before="96"/>
        <w:ind w:left="348" w:firstLine="0"/>
      </w:pPr>
      <w:r>
        <w:rPr/>
        <w:t>医保谈判最新进展！多个品种成功闯关！药价降多少？谁出局？</w:t>
        <w:tab/>
        <w:t>2</w:t>
      </w:r>
    </w:p>
    <w:p>
      <w:pPr>
        <w:pStyle w:val="Heading3"/>
        <w:tabs>
          <w:tab w:pos="8953" w:val="left" w:leader="dot"/>
        </w:tabs>
        <w:spacing w:before="75"/>
        <w:ind w:left="0" w:right="93"/>
        <w:jc w:val="center"/>
        <w:rPr>
          <w:b w:val="0"/>
        </w:rPr>
      </w:pPr>
      <w:r>
        <w:rPr>
          <w:rFonts w:ascii="Microsoft JhengHei" w:eastAsia="Microsoft JhengHei" w:hint="eastAsia"/>
        </w:rPr>
        <w:t>【药监动态】</w:t>
        <w:tab/>
      </w:r>
      <w:r>
        <w:rPr>
          <w:b w:val="0"/>
        </w:rPr>
        <w:t>4</w:t>
      </w:r>
    </w:p>
    <w:p>
      <w:pPr>
        <w:pStyle w:val="BodyText"/>
        <w:tabs>
          <w:tab w:pos="9301" w:val="left" w:leader="dot"/>
        </w:tabs>
        <w:spacing w:before="98"/>
        <w:ind w:left="348" w:firstLine="0"/>
      </w:pPr>
      <w:r>
        <w:rPr/>
        <w:t>活血止痛胶囊等口服制剂说明书修订</w:t>
        <w:tab/>
        <w:t>4</w:t>
      </w:r>
    </w:p>
    <w:p>
      <w:pPr>
        <w:pStyle w:val="Heading3"/>
        <w:tabs>
          <w:tab w:pos="8953" w:val="left" w:leader="dot"/>
        </w:tabs>
        <w:spacing w:before="72"/>
        <w:ind w:left="0" w:right="93"/>
        <w:jc w:val="center"/>
        <w:rPr>
          <w:b w:val="0"/>
        </w:rPr>
      </w:pPr>
      <w:r>
        <w:rPr>
          <w:rFonts w:ascii="Microsoft JhengHei" w:eastAsia="Microsoft JhengHei" w:hint="eastAsia"/>
        </w:rPr>
        <w:t>【医改新政】</w:t>
        <w:tab/>
      </w:r>
      <w:r>
        <w:rPr>
          <w:b w:val="0"/>
        </w:rPr>
        <w:t>4</w:t>
      </w:r>
    </w:p>
    <w:p>
      <w:pPr>
        <w:pStyle w:val="BodyText"/>
        <w:tabs>
          <w:tab w:pos="9301" w:val="left" w:leader="dot"/>
        </w:tabs>
        <w:spacing w:before="99"/>
        <w:ind w:left="348" w:firstLine="0"/>
      </w:pPr>
      <w:r>
        <w:rPr/>
        <w:t>北京将建示范性研究型病房</w:t>
        <w:tab/>
        <w:t>4</w:t>
      </w:r>
    </w:p>
    <w:p>
      <w:pPr>
        <w:spacing w:before="78"/>
        <w:ind w:left="1" w:right="93" w:firstLine="0"/>
        <w:jc w:val="center"/>
        <w:rPr>
          <w:rFonts w:ascii="隶书" w:eastAsia="隶书" w:hint="eastAsia"/>
          <w:sz w:val="44"/>
        </w:rPr>
      </w:pPr>
      <w:r>
        <w:rPr>
          <w:rFonts w:ascii="隶书" w:eastAsia="隶书" w:hint="eastAsia"/>
          <w:color w:val="1A5220"/>
          <w:sz w:val="44"/>
        </w:rPr>
        <w:t>行业资讯</w:t>
      </w:r>
    </w:p>
    <w:p>
      <w:pPr>
        <w:pStyle w:val="Heading3"/>
        <w:tabs>
          <w:tab w:pos="8953" w:val="left" w:leader="dot"/>
        </w:tabs>
        <w:spacing w:before="9"/>
        <w:ind w:left="0" w:right="93"/>
        <w:jc w:val="center"/>
        <w:rPr>
          <w:b w:val="0"/>
        </w:rPr>
      </w:pPr>
      <w:r>
        <w:rPr>
          <w:rFonts w:ascii="Microsoft JhengHei" w:eastAsia="Microsoft JhengHei" w:hint="eastAsia"/>
        </w:rPr>
        <w:t>【热点聚焦】</w:t>
        <w:tab/>
      </w:r>
      <w:r>
        <w:rPr>
          <w:b w:val="0"/>
        </w:rPr>
        <w:t>5</w:t>
      </w:r>
    </w:p>
    <w:p>
      <w:pPr>
        <w:pStyle w:val="BodyText"/>
        <w:tabs>
          <w:tab w:pos="9301" w:val="left" w:leader="dot"/>
        </w:tabs>
        <w:spacing w:before="96"/>
        <w:ind w:left="348" w:firstLine="0"/>
      </w:pPr>
      <w:r>
        <w:rPr/>
        <w:t>花更少的钱</w:t>
      </w:r>
      <w:r>
        <w:rPr>
          <w:spacing w:val="-1"/>
        </w:rPr>
        <w:t> </w:t>
      </w:r>
      <w:r>
        <w:rPr/>
        <w:t>用更好的药</w:t>
        <w:tab/>
        <w:t>5</w:t>
      </w:r>
    </w:p>
    <w:p>
      <w:pPr>
        <w:pStyle w:val="BodyText"/>
        <w:tabs>
          <w:tab w:pos="9301" w:val="left" w:leader="dot"/>
        </w:tabs>
        <w:spacing w:before="153"/>
        <w:ind w:left="348" w:firstLine="0"/>
      </w:pPr>
      <w:r>
        <w:rPr/>
        <w:t>美国</w:t>
      </w:r>
      <w:r>
        <w:rPr>
          <w:spacing w:val="-61"/>
        </w:rPr>
        <w:t> </w:t>
      </w:r>
      <w:r>
        <w:rPr/>
        <w:t>FDA</w:t>
      </w:r>
      <w:r>
        <w:rPr>
          <w:spacing w:val="-60"/>
        </w:rPr>
        <w:t> </w:t>
      </w:r>
      <w:r>
        <w:rPr/>
        <w:t>启动技术现代化行动计划</w:t>
        <w:tab/>
        <w:t>6</w:t>
      </w:r>
    </w:p>
    <w:p>
      <w:pPr>
        <w:pStyle w:val="Heading3"/>
        <w:tabs>
          <w:tab w:pos="8953" w:val="left" w:leader="dot"/>
        </w:tabs>
        <w:spacing w:before="74"/>
        <w:ind w:left="0" w:right="93"/>
        <w:jc w:val="center"/>
        <w:rPr>
          <w:b w:val="0"/>
        </w:rPr>
      </w:pPr>
      <w:r>
        <w:rPr>
          <w:rFonts w:ascii="Microsoft JhengHei" w:eastAsia="Microsoft JhengHei" w:hint="eastAsia"/>
        </w:rPr>
        <w:t>【医院管理】</w:t>
        <w:tab/>
      </w:r>
      <w:r>
        <w:rPr>
          <w:b w:val="0"/>
        </w:rPr>
        <w:t>7</w:t>
      </w:r>
    </w:p>
    <w:p>
      <w:pPr>
        <w:pStyle w:val="BodyText"/>
        <w:tabs>
          <w:tab w:pos="9301" w:val="left" w:leader="dot"/>
        </w:tabs>
        <w:spacing w:before="96"/>
        <w:ind w:left="348" w:firstLine="0"/>
      </w:pPr>
      <w:r>
        <w:rPr/>
        <w:t>三维考核</w:t>
      </w:r>
      <w:r>
        <w:rPr>
          <w:spacing w:val="-1"/>
        </w:rPr>
        <w:t> </w:t>
      </w:r>
      <w:r>
        <w:rPr/>
        <w:t>拆解学科发展秘方</w:t>
        <w:tab/>
        <w:t>7</w:t>
      </w:r>
    </w:p>
    <w:p>
      <w:pPr>
        <w:spacing w:before="79"/>
        <w:ind w:left="1" w:right="93" w:firstLine="0"/>
        <w:jc w:val="center"/>
        <w:rPr>
          <w:rFonts w:ascii="隶书" w:eastAsia="隶书" w:hint="eastAsia"/>
          <w:sz w:val="44"/>
        </w:rPr>
      </w:pPr>
      <w:r>
        <w:rPr>
          <w:rFonts w:ascii="隶书" w:eastAsia="隶书" w:hint="eastAsia"/>
          <w:color w:val="1A5220"/>
          <w:sz w:val="44"/>
        </w:rPr>
        <w:t>医药前沿</w:t>
      </w:r>
    </w:p>
    <w:p>
      <w:pPr>
        <w:pStyle w:val="Heading3"/>
        <w:tabs>
          <w:tab w:pos="8953" w:val="left" w:leader="dot"/>
        </w:tabs>
        <w:spacing w:before="8"/>
        <w:ind w:left="0" w:right="93"/>
        <w:jc w:val="center"/>
        <w:rPr>
          <w:b w:val="0"/>
        </w:rPr>
      </w:pPr>
      <w:r>
        <w:rPr>
          <w:rFonts w:ascii="Microsoft JhengHei" w:eastAsia="Microsoft JhengHei" w:hint="eastAsia"/>
        </w:rPr>
        <w:t>【新药看台】</w:t>
        <w:tab/>
      </w:r>
      <w:r>
        <w:rPr>
          <w:b w:val="0"/>
        </w:rPr>
        <w:t>9</w:t>
      </w:r>
    </w:p>
    <w:p>
      <w:pPr>
        <w:pStyle w:val="BodyText"/>
        <w:tabs>
          <w:tab w:pos="9301" w:val="left" w:leader="dot"/>
        </w:tabs>
        <w:spacing w:before="99"/>
        <w:ind w:left="348" w:firstLine="0"/>
      </w:pPr>
      <w:r>
        <w:rPr/>
        <w:t>首个国产抗阿尔茨海默病创新药获有条件批准上市</w:t>
        <w:tab/>
        <w:t>9</w:t>
      </w:r>
    </w:p>
    <w:p>
      <w:pPr>
        <w:pStyle w:val="BodyText"/>
        <w:tabs>
          <w:tab w:pos="9301" w:val="left" w:leader="dot"/>
        </w:tabs>
        <w:spacing w:before="151"/>
        <w:ind w:left="348" w:firstLine="0"/>
      </w:pPr>
      <w:r>
        <w:rPr/>
        <w:t>首个国产阿达木单抗注射液获批上市</w:t>
        <w:tab/>
        <w:t>9</w:t>
      </w:r>
    </w:p>
    <w:p>
      <w:pPr>
        <w:spacing w:after="0"/>
        <w:sectPr>
          <w:footerReference w:type="default" r:id="rId5"/>
          <w:type w:val="continuous"/>
          <w:pgSz w:w="11910" w:h="16850"/>
          <w:pgMar w:footer="825" w:top="1100" w:bottom="1020" w:left="1140" w:right="900"/>
          <w:pgNumType w:start="1"/>
        </w:sectPr>
      </w:pPr>
    </w:p>
    <w:sdt>
      <w:sdtPr>
        <w:docPartObj>
          <w:docPartGallery w:val="Table of Contents"/>
          <w:docPartUnique/>
        </w:docPartObj>
      </w:sdtPr>
      <w:sdtEndPr/>
      <w:sdtContent>
        <w:p>
          <w:pPr>
            <w:pStyle w:val="TOC2"/>
            <w:tabs>
              <w:tab w:pos="9421" w:val="right" w:leader="dot"/>
            </w:tabs>
            <w:spacing w:before="298"/>
          </w:pPr>
          <w:hyperlink w:history="true" w:anchor="_TOC_250026">
            <w:r>
              <w:rPr/>
              <w:t>达雷妥尤单抗注射液在中国上市</w:t>
              <w:tab/>
              <w:t>10</w:t>
            </w:r>
          </w:hyperlink>
        </w:p>
        <w:p>
          <w:pPr>
            <w:pStyle w:val="TOC3"/>
            <w:tabs>
              <w:tab w:pos="9421" w:val="right" w:leader="dot"/>
            </w:tabs>
            <w:spacing w:before="71"/>
            <w:rPr>
              <w:rFonts w:ascii="宋体" w:eastAsia="宋体" w:hint="eastAsia"/>
              <w:b w:val="0"/>
              <w:i w:val="0"/>
              <w:sz w:val="24"/>
            </w:rPr>
          </w:pPr>
          <w:hyperlink w:history="true" w:anchor="_TOC_250025">
            <w:r>
              <w:rPr>
                <w:i w:val="0"/>
                <w:sz w:val="24"/>
              </w:rPr>
              <w:t>【深度分析】</w:t>
              <w:tab/>
            </w:r>
            <w:r>
              <w:rPr>
                <w:rFonts w:ascii="宋体" w:eastAsia="宋体" w:hint="eastAsia"/>
                <w:b w:val="0"/>
                <w:i w:val="0"/>
                <w:sz w:val="24"/>
              </w:rPr>
              <w:t>11</w:t>
            </w:r>
          </w:hyperlink>
        </w:p>
        <w:p>
          <w:pPr>
            <w:pStyle w:val="TOC2"/>
            <w:tabs>
              <w:tab w:pos="9421" w:val="right" w:leader="dot"/>
            </w:tabs>
          </w:pPr>
          <w:hyperlink w:history="true" w:anchor="_TOC_250024">
            <w:r>
              <w:rPr/>
              <w:t>新《药品管理法》设定的若干禁令</w:t>
              <w:tab/>
              <w:t>11</w:t>
            </w:r>
          </w:hyperlink>
        </w:p>
        <w:p>
          <w:pPr>
            <w:pStyle w:val="TOC3"/>
            <w:tabs>
              <w:tab w:pos="9421" w:val="right" w:leader="dot"/>
            </w:tabs>
            <w:rPr>
              <w:rFonts w:ascii="宋体" w:eastAsia="宋体" w:hint="eastAsia"/>
              <w:b w:val="0"/>
              <w:i w:val="0"/>
              <w:sz w:val="24"/>
            </w:rPr>
          </w:pPr>
          <w:hyperlink w:history="true" w:anchor="_TOC_250023">
            <w:r>
              <w:rPr>
                <w:i w:val="0"/>
                <w:sz w:val="24"/>
              </w:rPr>
              <w:t>【精准医疗】</w:t>
              <w:tab/>
            </w:r>
            <w:r>
              <w:rPr>
                <w:rFonts w:ascii="宋体" w:eastAsia="宋体" w:hint="eastAsia"/>
                <w:b w:val="0"/>
                <w:i w:val="0"/>
                <w:sz w:val="24"/>
              </w:rPr>
              <w:t>15</w:t>
            </w:r>
          </w:hyperlink>
        </w:p>
        <w:p>
          <w:pPr>
            <w:pStyle w:val="TOC2"/>
            <w:tabs>
              <w:tab w:pos="9421" w:val="right" w:leader="dot"/>
            </w:tabs>
            <w:spacing w:before="96"/>
          </w:pPr>
          <w:hyperlink w:history="true" w:anchor="_TOC_250022">
            <w:r>
              <w:rPr/>
              <w:t>悲喜交加的胃癌精准治疗</w:t>
              <w:tab/>
              <w:t>15</w:t>
            </w:r>
          </w:hyperlink>
        </w:p>
        <w:p>
          <w:pPr>
            <w:pStyle w:val="TOC1"/>
            <w:spacing w:before="79"/>
          </w:pPr>
          <w:hyperlink w:history="true" w:anchor="_TOC_250021">
            <w:r>
              <w:rPr>
                <w:color w:val="1A5220"/>
              </w:rPr>
              <w:t>合理用药</w:t>
            </w:r>
          </w:hyperlink>
        </w:p>
        <w:p>
          <w:pPr>
            <w:pStyle w:val="TOC3"/>
            <w:tabs>
              <w:tab w:pos="9421" w:val="right" w:leader="dot"/>
            </w:tabs>
            <w:spacing w:before="8"/>
            <w:rPr>
              <w:rFonts w:ascii="宋体" w:eastAsia="宋体" w:hint="eastAsia"/>
              <w:b w:val="0"/>
              <w:i w:val="0"/>
              <w:sz w:val="24"/>
            </w:rPr>
          </w:pPr>
          <w:hyperlink w:history="true" w:anchor="_TOC_250020">
            <w:r>
              <w:rPr>
                <w:i w:val="0"/>
                <w:sz w:val="24"/>
              </w:rPr>
              <w:t>【临床药师】</w:t>
              <w:tab/>
            </w:r>
            <w:r>
              <w:rPr>
                <w:rFonts w:ascii="宋体" w:eastAsia="宋体" w:hint="eastAsia"/>
                <w:b w:val="0"/>
                <w:i w:val="0"/>
                <w:sz w:val="24"/>
              </w:rPr>
              <w:t>17</w:t>
            </w:r>
          </w:hyperlink>
        </w:p>
        <w:p>
          <w:pPr>
            <w:pStyle w:val="TOC2"/>
            <w:tabs>
              <w:tab w:pos="9421" w:val="right" w:leader="dot"/>
            </w:tabs>
          </w:pPr>
          <w:hyperlink w:history="true" w:anchor="_TOC_250019">
            <w:r>
              <w:rPr/>
              <w:t>药物性肝损伤诊疗中应注意啥</w:t>
              <w:tab/>
              <w:t>17</w:t>
            </w:r>
          </w:hyperlink>
        </w:p>
        <w:p>
          <w:pPr>
            <w:pStyle w:val="TOC2"/>
            <w:tabs>
              <w:tab w:pos="9421" w:val="right" w:leader="dot"/>
            </w:tabs>
            <w:spacing w:before="151"/>
          </w:pPr>
          <w:hyperlink w:history="true" w:anchor="_TOC_250018">
            <w:r>
              <w:rPr/>
              <w:t>贝利尤单抗在</w:t>
            </w:r>
            <w:r>
              <w:rPr>
                <w:spacing w:val="-61"/>
              </w:rPr>
              <w:t> </w:t>
            </w:r>
            <w:r>
              <w:rPr/>
              <w:t>SLE</w:t>
            </w:r>
            <w:r>
              <w:rPr>
                <w:spacing w:val="-60"/>
              </w:rPr>
              <w:t> </w:t>
            </w:r>
            <w:r>
              <w:rPr/>
              <w:t>高发人群亚组分析中的疗效获证实</w:t>
              <w:tab/>
              <w:t>18</w:t>
            </w:r>
          </w:hyperlink>
        </w:p>
        <w:p>
          <w:pPr>
            <w:pStyle w:val="TOC2"/>
            <w:tabs>
              <w:tab w:pos="9421" w:val="right" w:leader="dot"/>
            </w:tabs>
            <w:spacing w:before="153"/>
          </w:pPr>
          <w:hyperlink w:history="true" w:anchor="_TOC_250017">
            <w:r>
              <w:rPr/>
              <w:t>改良高剂量二联方案高效且更安全、更经济</w:t>
              <w:tab/>
              <w:t>19</w:t>
            </w:r>
          </w:hyperlink>
        </w:p>
        <w:p>
          <w:pPr>
            <w:pStyle w:val="TOC2"/>
            <w:tabs>
              <w:tab w:pos="9421" w:val="right" w:leader="dot"/>
            </w:tabs>
            <w:spacing w:before="154"/>
          </w:pPr>
          <w:hyperlink w:history="true" w:anchor="_TOC_250016">
            <w:r>
              <w:rPr/>
              <w:t>科研思路从临床实践中来</w:t>
              <w:tab/>
              <w:t>23</w:t>
            </w:r>
          </w:hyperlink>
        </w:p>
        <w:p>
          <w:pPr>
            <w:pStyle w:val="TOC3"/>
            <w:tabs>
              <w:tab w:pos="9421" w:val="right" w:leader="dot"/>
            </w:tabs>
            <w:spacing w:before="71"/>
            <w:rPr>
              <w:rFonts w:ascii="宋体" w:eastAsia="宋体" w:hint="eastAsia"/>
              <w:b w:val="0"/>
              <w:i w:val="0"/>
              <w:sz w:val="24"/>
            </w:rPr>
          </w:pPr>
          <w:hyperlink w:history="true" w:anchor="_TOC_250015">
            <w:r>
              <w:rPr>
                <w:i w:val="0"/>
                <w:sz w:val="24"/>
              </w:rPr>
              <w:t>【医生谈药】</w:t>
              <w:tab/>
            </w:r>
            <w:r>
              <w:rPr>
                <w:rFonts w:ascii="宋体" w:eastAsia="宋体" w:hint="eastAsia"/>
                <w:b w:val="0"/>
                <w:i w:val="0"/>
                <w:sz w:val="24"/>
              </w:rPr>
              <w:t>25</w:t>
            </w:r>
          </w:hyperlink>
        </w:p>
        <w:p>
          <w:pPr>
            <w:pStyle w:val="TOC2"/>
            <w:tabs>
              <w:tab w:pos="9421" w:val="right" w:leader="dot"/>
            </w:tabs>
          </w:pPr>
          <w:hyperlink w:history="true" w:anchor="_TOC_250014">
            <w:r>
              <w:rPr/>
              <w:t>用阿司匹林做一级预防 还值得研究吗</w:t>
              <w:tab/>
              <w:t>25</w:t>
            </w:r>
          </w:hyperlink>
        </w:p>
        <w:p>
          <w:pPr>
            <w:pStyle w:val="TOC3"/>
            <w:tabs>
              <w:tab w:pos="9421" w:val="right" w:leader="dot"/>
            </w:tabs>
            <w:rPr>
              <w:rFonts w:ascii="宋体" w:eastAsia="宋体" w:hint="eastAsia"/>
              <w:b w:val="0"/>
              <w:i w:val="0"/>
              <w:sz w:val="24"/>
            </w:rPr>
          </w:pPr>
          <w:hyperlink w:history="true" w:anchor="_TOC_250013">
            <w:r>
              <w:rPr>
                <w:i w:val="0"/>
                <w:sz w:val="24"/>
              </w:rPr>
              <w:t>【中医中药】</w:t>
              <w:tab/>
            </w:r>
            <w:r>
              <w:rPr>
                <w:rFonts w:ascii="宋体" w:eastAsia="宋体" w:hint="eastAsia"/>
                <w:b w:val="0"/>
                <w:i w:val="0"/>
                <w:sz w:val="24"/>
              </w:rPr>
              <w:t>26</w:t>
            </w:r>
          </w:hyperlink>
        </w:p>
        <w:p>
          <w:pPr>
            <w:pStyle w:val="TOC2"/>
            <w:tabs>
              <w:tab w:pos="9421" w:val="right" w:leader="dot"/>
            </w:tabs>
            <w:spacing w:before="97"/>
          </w:pPr>
          <w:hyperlink w:history="true" w:anchor="_TOC_250012">
            <w:r>
              <w:rPr/>
              <w:t>中医药临床研究有了规范</w:t>
              <w:tab/>
              <w:t>26</w:t>
            </w:r>
          </w:hyperlink>
        </w:p>
        <w:p>
          <w:pPr>
            <w:pStyle w:val="TOC3"/>
            <w:tabs>
              <w:tab w:pos="9421" w:val="right" w:leader="dot"/>
            </w:tabs>
            <w:rPr>
              <w:rFonts w:ascii="宋体" w:eastAsia="宋体" w:hint="eastAsia"/>
              <w:b w:val="0"/>
              <w:i w:val="0"/>
              <w:sz w:val="24"/>
            </w:rPr>
          </w:pPr>
          <w:hyperlink w:history="true" w:anchor="_TOC_250011">
            <w:r>
              <w:rPr>
                <w:i w:val="0"/>
                <w:sz w:val="24"/>
              </w:rPr>
              <w:t>【科普知识】</w:t>
              <w:tab/>
            </w:r>
            <w:r>
              <w:rPr>
                <w:rFonts w:ascii="宋体" w:eastAsia="宋体" w:hint="eastAsia"/>
                <w:b w:val="0"/>
                <w:i w:val="0"/>
                <w:sz w:val="24"/>
              </w:rPr>
              <w:t>26</w:t>
            </w:r>
          </w:hyperlink>
        </w:p>
        <w:p>
          <w:pPr>
            <w:pStyle w:val="TOC2"/>
            <w:tabs>
              <w:tab w:pos="9421" w:val="right" w:leader="dot"/>
            </w:tabs>
            <w:spacing w:before="98"/>
          </w:pPr>
          <w:hyperlink w:history="true" w:anchor="_TOC_250010">
            <w:r>
              <w:rPr/>
              <w:t>心血管系统常见疾病——血脂异常</w:t>
              <w:tab/>
              <w:t>26</w:t>
            </w:r>
          </w:hyperlink>
        </w:p>
        <w:p>
          <w:pPr>
            <w:pStyle w:val="TOC2"/>
            <w:tabs>
              <w:tab w:pos="9421" w:val="right" w:leader="dot"/>
            </w:tabs>
            <w:spacing w:before="151"/>
          </w:pPr>
          <w:hyperlink w:history="true" w:anchor="_TOC_250009">
            <w:r>
              <w:rPr/>
              <w:t>肺炎球菌“趁凉到货”，预防接种疫苗，真的越贵越好吗？</w:t>
              <w:tab/>
              <w:t>28</w:t>
            </w:r>
          </w:hyperlink>
        </w:p>
        <w:p>
          <w:pPr>
            <w:pStyle w:val="TOC1"/>
            <w:spacing w:before="78"/>
          </w:pPr>
          <w:hyperlink w:history="true" w:anchor="_TOC_250008">
            <w:r>
              <w:rPr>
                <w:color w:val="1A5220"/>
              </w:rPr>
              <w:t>交流园地</w:t>
            </w:r>
          </w:hyperlink>
        </w:p>
        <w:p>
          <w:pPr>
            <w:pStyle w:val="TOC3"/>
            <w:tabs>
              <w:tab w:pos="9421" w:val="right" w:leader="dot"/>
            </w:tabs>
            <w:spacing w:before="9"/>
            <w:rPr>
              <w:rFonts w:ascii="宋体" w:eastAsia="宋体" w:hint="eastAsia"/>
              <w:b w:val="0"/>
              <w:i w:val="0"/>
              <w:sz w:val="24"/>
            </w:rPr>
          </w:pPr>
          <w:hyperlink w:history="true" w:anchor="_TOC_250007">
            <w:r>
              <w:rPr>
                <w:i w:val="0"/>
                <w:sz w:val="24"/>
              </w:rPr>
              <w:t>【药师风采】</w:t>
              <w:tab/>
            </w:r>
            <w:r>
              <w:rPr>
                <w:rFonts w:ascii="宋体" w:eastAsia="宋体" w:hint="eastAsia"/>
                <w:b w:val="0"/>
                <w:i w:val="0"/>
                <w:sz w:val="24"/>
              </w:rPr>
              <w:t>30</w:t>
            </w:r>
          </w:hyperlink>
        </w:p>
        <w:p>
          <w:pPr>
            <w:pStyle w:val="TOC2"/>
            <w:tabs>
              <w:tab w:pos="9421" w:val="right" w:leader="dot"/>
            </w:tabs>
          </w:pPr>
          <w:hyperlink w:history="true" w:anchor="_TOC_250006">
            <w:r>
              <w:rPr/>
              <w:t>首都医科大学附属北京朝阳医院—刘丽宏</w:t>
              <w:tab/>
              <w:t>30</w:t>
            </w:r>
          </w:hyperlink>
        </w:p>
        <w:p>
          <w:pPr>
            <w:pStyle w:val="TOC2"/>
            <w:tabs>
              <w:tab w:pos="9421" w:val="right" w:leader="dot"/>
            </w:tabs>
            <w:spacing w:before="151"/>
          </w:pPr>
          <w:hyperlink w:history="true" w:anchor="_TOC_250005">
            <w:r>
              <w:rPr/>
              <w:t>首都医科大学宣武医院—齐晓涟</w:t>
              <w:tab/>
              <w:t>31</w:t>
            </w:r>
          </w:hyperlink>
        </w:p>
        <w:p>
          <w:pPr>
            <w:pStyle w:val="TOC2"/>
            <w:tabs>
              <w:tab w:pos="9421" w:val="right" w:leader="dot"/>
            </w:tabs>
            <w:spacing w:before="153"/>
          </w:pPr>
          <w:hyperlink w:history="true" w:anchor="_TOC_250004">
            <w:r>
              <w:rPr/>
              <w:t>中国医学科学院北京协和医院——杜小莉</w:t>
              <w:tab/>
              <w:t>31</w:t>
            </w:r>
          </w:hyperlink>
        </w:p>
        <w:p>
          <w:pPr>
            <w:pStyle w:val="TOC2"/>
            <w:tabs>
              <w:tab w:pos="9421" w:val="right" w:leader="dot"/>
            </w:tabs>
            <w:spacing w:before="154"/>
          </w:pPr>
          <w:hyperlink w:history="true" w:anchor="_TOC_250003">
            <w:r>
              <w:rPr/>
              <w:t>首都医科大学附属北京中医医院——吴剑坤</w:t>
              <w:tab/>
              <w:t>32</w:t>
            </w:r>
          </w:hyperlink>
        </w:p>
        <w:p>
          <w:pPr>
            <w:pStyle w:val="TOC1"/>
          </w:pPr>
          <w:hyperlink w:history="true" w:anchor="_TOC_250002">
            <w:r>
              <w:rPr>
                <w:color w:val="1A5220"/>
              </w:rPr>
              <w:t>学会动态</w:t>
            </w:r>
          </w:hyperlink>
        </w:p>
        <w:p>
          <w:pPr>
            <w:pStyle w:val="TOC3"/>
            <w:tabs>
              <w:tab w:pos="9421" w:val="right" w:leader="dot"/>
            </w:tabs>
            <w:spacing w:before="8"/>
            <w:rPr>
              <w:rFonts w:ascii="宋体" w:eastAsia="宋体" w:hint="eastAsia"/>
              <w:b w:val="0"/>
              <w:i w:val="0"/>
              <w:sz w:val="24"/>
            </w:rPr>
          </w:pPr>
          <w:r>
            <w:rPr>
              <w:i w:val="0"/>
              <w:sz w:val="24"/>
            </w:rPr>
            <w:t>【学会之窗】</w:t>
            <w:tab/>
          </w:r>
          <w:r>
            <w:rPr>
              <w:rFonts w:ascii="宋体" w:eastAsia="宋体" w:hint="eastAsia"/>
              <w:b w:val="0"/>
              <w:i w:val="0"/>
              <w:sz w:val="24"/>
            </w:rPr>
            <w:t>33</w:t>
          </w:r>
        </w:p>
        <w:p>
          <w:pPr>
            <w:pStyle w:val="TOC2"/>
            <w:tabs>
              <w:tab w:pos="9421" w:val="right" w:leader="dot"/>
            </w:tabs>
            <w:spacing w:before="100"/>
          </w:pPr>
          <w:hyperlink w:history="true" w:anchor="_TOC_250001">
            <w:r>
              <w:rPr/>
              <w:t>第十九届中国药师周在重庆隆重召开</w:t>
              <w:tab/>
              <w:t>33</w:t>
            </w:r>
          </w:hyperlink>
        </w:p>
        <w:p>
          <w:pPr>
            <w:pStyle w:val="TOC2"/>
            <w:tabs>
              <w:tab w:pos="9421" w:val="right" w:leader="dot"/>
            </w:tabs>
            <w:spacing w:before="153"/>
          </w:pPr>
          <w:hyperlink w:history="true" w:anchor="_TOC_250000">
            <w:r>
              <w:rPr/>
              <w:t>《2019</w:t>
            </w:r>
            <w:r>
              <w:rPr>
                <w:spacing w:val="-61"/>
              </w:rPr>
              <w:t> </w:t>
            </w:r>
            <w:r>
              <w:rPr/>
              <w:t>年中国药学会医院用药监测报告》发布</w:t>
              <w:tab/>
              <w:t>36</w:t>
            </w:r>
          </w:hyperlink>
        </w:p>
      </w:sdtContent>
    </w:sdt>
    <w:p>
      <w:pPr>
        <w:spacing w:after="0"/>
        <w:sectPr>
          <w:headerReference w:type="default" r:id="rId7"/>
          <w:footerReference w:type="default" r:id="rId8"/>
          <w:pgSz w:w="11910" w:h="16850"/>
          <w:pgMar w:header="906" w:footer="825" w:top="1100" w:bottom="1020" w:left="1140" w:right="900"/>
          <w:pgNumType w:start="2"/>
        </w:sectPr>
      </w:pPr>
    </w:p>
    <w:p>
      <w:pPr>
        <w:pStyle w:val="Heading2"/>
        <w:spacing w:before="993"/>
        <w:ind w:left="137"/>
      </w:pPr>
      <w:r>
        <w:rPr/>
        <w:t>【政府要闻】</w:t>
      </w:r>
    </w:p>
    <w:p>
      <w:pPr>
        <w:spacing w:before="122"/>
        <w:ind w:left="137" w:right="0" w:firstLine="0"/>
        <w:jc w:val="left"/>
        <w:rPr>
          <w:rFonts w:ascii="华文宋体" w:eastAsia="华文宋体" w:hint="eastAsia"/>
          <w:b/>
          <w:sz w:val="44"/>
        </w:rPr>
      </w:pPr>
      <w:r>
        <w:rPr/>
        <w:br w:type="column"/>
      </w:r>
      <w:r>
        <w:rPr>
          <w:rFonts w:ascii="Times New Roman" w:eastAsia="Times New Roman"/>
          <w:b/>
          <w:color w:val="008000"/>
          <w:spacing w:val="-110"/>
          <w:w w:val="99"/>
          <w:sz w:val="44"/>
          <w:u w:val="thick" w:color="008000"/>
        </w:rPr>
        <w:t> </w:t>
      </w:r>
      <w:r>
        <w:rPr>
          <w:rFonts w:ascii="华文宋体" w:eastAsia="华文宋体" w:hint="eastAsia"/>
          <w:b/>
          <w:color w:val="008000"/>
          <w:sz w:val="44"/>
          <w:u w:val="thick" w:color="008000"/>
        </w:rPr>
        <w:t>政策导览</w:t>
      </w:r>
    </w:p>
    <w:p>
      <w:pPr>
        <w:spacing w:after="0"/>
        <w:jc w:val="left"/>
        <w:rPr>
          <w:rFonts w:ascii="华文宋体" w:eastAsia="华文宋体" w:hint="eastAsia"/>
          <w:sz w:val="44"/>
        </w:rPr>
        <w:sectPr>
          <w:headerReference w:type="default" r:id="rId9"/>
          <w:footerReference w:type="default" r:id="rId10"/>
          <w:pgSz w:w="11910" w:h="16850"/>
          <w:pgMar w:header="906" w:footer="607" w:top="1100" w:bottom="800" w:left="1140" w:right="900"/>
          <w:pgNumType w:start="1"/>
          <w:cols w:num="2" w:equalWidth="0">
            <w:col w:w="2107" w:space="1760"/>
            <w:col w:w="6003"/>
          </w:cols>
        </w:sectPr>
      </w:pPr>
    </w:p>
    <w:p>
      <w:pPr>
        <w:pStyle w:val="BodyText"/>
        <w:spacing w:before="14"/>
        <w:ind w:left="0" w:firstLine="0"/>
        <w:rPr>
          <w:rFonts w:ascii="华文宋体"/>
          <w:b/>
          <w:sz w:val="17"/>
        </w:rPr>
      </w:pPr>
    </w:p>
    <w:p>
      <w:pPr>
        <w:spacing w:before="0"/>
        <w:ind w:left="140" w:right="238" w:firstLine="0"/>
        <w:jc w:val="center"/>
        <w:rPr>
          <w:b/>
          <w:sz w:val="32"/>
        </w:rPr>
      </w:pPr>
      <w:r>
        <w:rPr>
          <w:b/>
          <w:sz w:val="32"/>
        </w:rPr>
        <w:t>中共中央国务院印发促进中医药传承创新发展的意见</w:t>
      </w:r>
    </w:p>
    <w:p>
      <w:pPr>
        <w:spacing w:before="79"/>
        <w:ind w:left="2" w:right="91" w:firstLine="0"/>
        <w:jc w:val="center"/>
        <w:rPr>
          <w:sz w:val="21"/>
        </w:rPr>
      </w:pPr>
      <w:r>
        <w:rPr>
          <w:sz w:val="21"/>
        </w:rPr>
        <w:t>探索建立中药材、中药饮片、中成药生产流通使用全过程追溯体系</w:t>
      </w:r>
    </w:p>
    <w:p>
      <w:pPr>
        <w:pStyle w:val="Heading3"/>
        <w:spacing w:before="179"/>
        <w:ind w:left="137" w:right="228"/>
        <w:jc w:val="right"/>
        <w:rPr>
          <w:rFonts w:ascii="楷体" w:eastAsia="楷体" w:hint="eastAsia"/>
        </w:rPr>
      </w:pPr>
      <w:r>
        <w:rPr>
          <w:rFonts w:ascii="楷体" w:eastAsia="楷体" w:hint="eastAsia"/>
          <w:color w:val="FF0000"/>
          <w:w w:val="95"/>
        </w:rPr>
        <w:t>（来源：中国医药报）</w:t>
      </w:r>
    </w:p>
    <w:p>
      <w:pPr>
        <w:pStyle w:val="BodyText"/>
        <w:spacing w:line="297" w:lineRule="auto" w:before="96"/>
        <w:ind w:right="107"/>
      </w:pPr>
      <w:r>
        <w:rPr>
          <w:spacing w:val="-8"/>
        </w:rPr>
        <w:t>近日，中共中央、国务院印发《关于促进中医药传承创新发展的意见》</w:t>
      </w:r>
      <w:r>
        <w:rPr/>
        <w:t>（</w:t>
      </w:r>
      <w:r>
        <w:rPr>
          <w:spacing w:val="-4"/>
        </w:rPr>
        <w:t>以下简称《意</w:t>
      </w:r>
      <w:r>
        <w:rPr>
          <w:spacing w:val="-20"/>
        </w:rPr>
        <w:t>见》</w:t>
      </w:r>
      <w:r>
        <w:rPr>
          <w:spacing w:val="-36"/>
        </w:rPr>
        <w:t>）</w:t>
      </w:r>
      <w:r>
        <w:rPr>
          <w:spacing w:val="-15"/>
        </w:rPr>
        <w:t>。《意见》从健全中医药服务体系、发挥中医药在维护和促进人民健康中的独特作用、</w:t>
      </w:r>
      <w:r>
        <w:rPr>
          <w:spacing w:val="-5"/>
        </w:rPr>
        <w:t>大力推动中药质量提升和产业高质量发展、加强中医药人才队伍建设、促进中医药传承与开</w:t>
      </w:r>
      <w:r>
        <w:rPr>
          <w:spacing w:val="-8"/>
        </w:rPr>
        <w:t>放创新发展、改革完善中医药管理体制机制六方面提出 </w:t>
      </w:r>
      <w:r>
        <w:rPr/>
        <w:t>20</w:t>
      </w:r>
      <w:r>
        <w:rPr>
          <w:spacing w:val="-12"/>
        </w:rPr>
        <w:t> 条意见。</w:t>
      </w:r>
    </w:p>
    <w:p>
      <w:pPr>
        <w:pStyle w:val="BodyText"/>
        <w:spacing w:line="297" w:lineRule="auto"/>
        <w:ind w:right="227"/>
        <w:jc w:val="both"/>
      </w:pPr>
      <w:r>
        <w:rPr>
          <w:spacing w:val="-6"/>
        </w:rPr>
        <w:t>在大力推动中药质量提升和产业高质量发展方面，《意见》指出，要加强中药材质量控</w:t>
      </w:r>
      <w:r>
        <w:rPr>
          <w:spacing w:val="-10"/>
        </w:rPr>
        <w:t>制，修订中药材生产质量管理规范；探索制定实施中药材生产质量管理规范的激励政策；健</w:t>
      </w:r>
      <w:r>
        <w:rPr>
          <w:spacing w:val="-6"/>
        </w:rPr>
        <w:t>全中药材第三方质量检测体系等。要促进中药饮片和中成药质量提升，加快修订《中华人民共和国药典》中药标准</w:t>
      </w:r>
      <w:r>
        <w:rPr/>
        <w:t>（一部</w:t>
      </w:r>
      <w:r>
        <w:rPr>
          <w:spacing w:val="-22"/>
        </w:rPr>
        <w:t>）；</w:t>
      </w:r>
      <w:r>
        <w:rPr>
          <w:spacing w:val="-2"/>
        </w:rPr>
        <w:t>健全中药饮片标准体系；探索建立以临床价值为导向的评估路径，加大中成药上市后评价工作力度。</w:t>
      </w:r>
    </w:p>
    <w:p>
      <w:pPr>
        <w:pStyle w:val="BodyText"/>
        <w:spacing w:line="297" w:lineRule="auto"/>
        <w:ind w:right="110"/>
      </w:pPr>
      <w:r>
        <w:rPr>
          <w:spacing w:val="-17"/>
        </w:rPr>
        <w:t>同时，要改革完善中药注册管理，及时完善中药注册分类，制定中药审评审批管理规定， </w:t>
      </w:r>
      <w:r>
        <w:rPr>
          <w:spacing w:val="-5"/>
        </w:rPr>
        <w:t>实施基于临床价值的优先审评审批制度；优化和规范医疗机构中药制剂备案管理。对加强中</w:t>
      </w:r>
      <w:r>
        <w:rPr>
          <w:spacing w:val="-18"/>
        </w:rPr>
        <w:t>药质量安全监管，《意见》明确，要落实中药生产企业主体责任，建立多部门协同监管机制， </w:t>
      </w:r>
      <w:r>
        <w:rPr>
          <w:spacing w:val="-9"/>
        </w:rPr>
        <w:t>探索建立中药材、中药饮片、中成药生产流通使用全过程追溯体系；加强中药注射剂不良反</w:t>
      </w:r>
    </w:p>
    <w:p>
      <w:pPr>
        <w:spacing w:line="413" w:lineRule="exact" w:before="0"/>
        <w:ind w:left="137" w:right="0" w:firstLine="0"/>
        <w:jc w:val="left"/>
        <w:rPr>
          <w:rFonts w:ascii="Meiryo" w:eastAsia="Meiryo" w:hint="eastAsia"/>
          <w:b/>
          <w:sz w:val="24"/>
        </w:rPr>
      </w:pPr>
      <w:r>
        <w:rPr>
          <w:sz w:val="24"/>
        </w:rPr>
        <w:t>应监测。</w:t>
      </w:r>
      <w:r>
        <w:rPr>
          <w:rFonts w:ascii="Meiryo" w:eastAsia="Meiryo" w:hint="eastAsia"/>
          <w:b/>
          <w:color w:val="0033CC"/>
          <w:sz w:val="24"/>
        </w:rPr>
        <w:t>[返回目次]</w:t>
      </w:r>
    </w:p>
    <w:p>
      <w:pPr>
        <w:pStyle w:val="BodyText"/>
        <w:spacing w:before="12"/>
        <w:ind w:left="0" w:firstLine="0"/>
        <w:rPr>
          <w:rFonts w:ascii="Meiryo"/>
          <w:b/>
          <w:sz w:val="6"/>
        </w:rPr>
      </w:pPr>
    </w:p>
    <w:p>
      <w:pPr>
        <w:pStyle w:val="Heading2"/>
        <w:spacing w:before="55"/>
        <w:ind w:right="237"/>
        <w:jc w:val="center"/>
      </w:pPr>
      <w:r>
        <w:rPr/>
        <w:t>区域医疗中心建设试点方案公布</w:t>
      </w:r>
    </w:p>
    <w:p>
      <w:pPr>
        <w:spacing w:before="79"/>
        <w:ind w:left="140" w:right="234" w:firstLine="0"/>
        <w:jc w:val="center"/>
        <w:rPr>
          <w:sz w:val="21"/>
        </w:rPr>
      </w:pPr>
      <w:r>
        <w:rPr>
          <w:sz w:val="21"/>
        </w:rPr>
        <w:t>确定 30 家试点输出医院,在 8 省区重点建设 6 个专科</w:t>
      </w:r>
    </w:p>
    <w:p>
      <w:pPr>
        <w:pStyle w:val="Heading3"/>
        <w:spacing w:before="177"/>
        <w:ind w:left="137" w:right="228"/>
        <w:jc w:val="right"/>
        <w:rPr>
          <w:rFonts w:ascii="楷体" w:eastAsia="楷体" w:hint="eastAsia"/>
        </w:rPr>
      </w:pPr>
      <w:r>
        <w:rPr>
          <w:rFonts w:ascii="楷体" w:eastAsia="楷体" w:hint="eastAsia"/>
          <w:color w:val="FF0000"/>
          <w:w w:val="95"/>
        </w:rPr>
        <w:t>（来源：健康报）</w:t>
      </w:r>
    </w:p>
    <w:p>
      <w:pPr>
        <w:pStyle w:val="BodyText"/>
        <w:spacing w:line="295" w:lineRule="auto" w:before="98"/>
        <w:ind w:right="227"/>
        <w:jc w:val="both"/>
      </w:pPr>
      <w:r>
        <w:rPr>
          <w:spacing w:val="-11"/>
        </w:rPr>
        <w:t>近日，国家发展改革委、国家卫生健康委、国家中医药管理局、国务院医改领导小组秘</w:t>
      </w:r>
      <w:r>
        <w:rPr>
          <w:spacing w:val="-9"/>
        </w:rPr>
        <w:t>书处联合发布《区域医疗中心建设试点工作方案》指出，在京、沪等医疗资源富集地区遴选</w:t>
      </w:r>
      <w:r>
        <w:rPr>
          <w:spacing w:val="-8"/>
        </w:rPr>
        <w:t>若干优质医疗机构，通过建设分中心、分支机构，促进医师多点执业等多种方式，在患者流</w:t>
      </w:r>
      <w:r>
        <w:rPr>
          <w:spacing w:val="-11"/>
        </w:rPr>
        <w:t>出多、医疗资源相对薄弱地区建设区域医疗中心。建设过程中，将优先整合现有资源，定向</w:t>
      </w:r>
      <w:r>
        <w:rPr>
          <w:spacing w:val="-7"/>
        </w:rPr>
        <w:t>放大国家顶级优质医疗资源。避免盲目无序扩张，努力做到“三不”，即医院不出资、政府</w:t>
      </w:r>
      <w:r>
        <w:rPr>
          <w:spacing w:val="-2"/>
        </w:rPr>
        <w:t>不新增债务风险、病人不增加负担。试点期间，每个试点省区重点推动建设不超过 </w:t>
      </w:r>
      <w:r>
        <w:rPr/>
        <w:t>3</w:t>
      </w:r>
      <w:r>
        <w:rPr>
          <w:spacing w:val="-20"/>
        </w:rPr>
        <w:t> 家。</w:t>
      </w:r>
    </w:p>
    <w:p>
      <w:pPr>
        <w:pStyle w:val="BodyText"/>
        <w:spacing w:line="295" w:lineRule="auto" w:before="10"/>
        <w:ind w:right="227"/>
        <w:jc w:val="both"/>
      </w:pPr>
      <w:r>
        <w:rPr>
          <w:spacing w:val="-12"/>
        </w:rPr>
        <w:t>《方案》提出，按照“按重点病种选医院、按需求选地区，院地合作、省部共建”的工</w:t>
      </w:r>
      <w:r>
        <w:rPr>
          <w:spacing w:val="-10"/>
        </w:rPr>
        <w:t>作思路，先行开展试点建设。重点建设肿瘤科、神经科、心血管科、儿科、呼吸科和创伤科</w:t>
      </w:r>
      <w:r>
        <w:rPr/>
        <w:t>6</w:t>
      </w:r>
      <w:r>
        <w:rPr>
          <w:spacing w:val="-10"/>
        </w:rPr>
        <w:t> 个专科，选择在河北、山西、辽宁、安徽、福建、河南、云南、新疆 </w:t>
      </w:r>
      <w:r>
        <w:rPr/>
        <w:t>8</w:t>
      </w:r>
      <w:r>
        <w:rPr>
          <w:spacing w:val="-9"/>
        </w:rPr>
        <w:t> 个省区开展试点建</w:t>
      </w:r>
    </w:p>
    <w:p>
      <w:pPr>
        <w:pStyle w:val="BodyText"/>
        <w:spacing w:before="6"/>
        <w:ind w:firstLine="0"/>
        <w:jc w:val="both"/>
      </w:pPr>
      <w:r>
        <w:rPr>
          <w:spacing w:val="-7"/>
        </w:rPr>
        <w:t>设。同时，确定了 </w:t>
      </w:r>
      <w:r>
        <w:rPr/>
        <w:t>30</w:t>
      </w:r>
      <w:r>
        <w:rPr>
          <w:spacing w:val="-8"/>
        </w:rPr>
        <w:t> 家试点输出医院，主要从京沪两地选取，少量从武汉、长沙、广州、</w:t>
      </w:r>
    </w:p>
    <w:p>
      <w:pPr>
        <w:pStyle w:val="BodyText"/>
        <w:spacing w:line="295" w:lineRule="auto" w:before="72"/>
        <w:ind w:right="110" w:firstLine="0"/>
        <w:jc w:val="both"/>
      </w:pPr>
      <w:r>
        <w:rPr>
          <w:spacing w:val="-24"/>
        </w:rPr>
        <w:t>成都、西安 </w:t>
      </w:r>
      <w:r>
        <w:rPr/>
        <w:t>5</w:t>
      </w:r>
      <w:r>
        <w:rPr>
          <w:spacing w:val="-15"/>
        </w:rPr>
        <w:t> 个优质医疗资源集中的地方选取，并积极储备社会办机构作为后续试点。其中， </w:t>
      </w:r>
      <w:r>
        <w:rPr>
          <w:spacing w:val="-5"/>
        </w:rPr>
        <w:t>输出医院承担运营和管理的主体责任，试点地区省级政府对建设负总责，中央有关部门负责</w:t>
      </w:r>
    </w:p>
    <w:p>
      <w:pPr>
        <w:spacing w:after="0" w:line="295" w:lineRule="auto"/>
        <w:jc w:val="both"/>
        <w:sectPr>
          <w:type w:val="continuous"/>
          <w:pgSz w:w="11910" w:h="16850"/>
          <w:pgMar w:top="1100" w:bottom="1020" w:left="1140" w:right="900"/>
        </w:sectPr>
      </w:pPr>
    </w:p>
    <w:p>
      <w:pPr>
        <w:pStyle w:val="BodyText"/>
        <w:spacing w:line="297" w:lineRule="auto" w:before="65"/>
        <w:ind w:right="227" w:firstLine="0"/>
        <w:jc w:val="both"/>
      </w:pPr>
      <w:r>
        <w:rPr>
          <w:spacing w:val="-6"/>
        </w:rPr>
        <w:t>将相关项目建设纳入中央预算内投资重点支持范围。《方案》明确了两种建设模式：一种是</w:t>
      </w:r>
      <w:r>
        <w:rPr>
          <w:spacing w:val="-7"/>
        </w:rPr>
        <w:t>以政府投入为主的公立医院模式，即输出医院和试点地区政府合作举办独立医疗机构，承担</w:t>
      </w:r>
      <w:r>
        <w:rPr>
          <w:spacing w:val="-9"/>
        </w:rPr>
        <w:t>区域医疗中心职责。建设资金以地方筹集为主，中央预算内投资视情况安排。据悉，第一批</w:t>
      </w:r>
      <w:r>
        <w:rPr/>
        <w:t>试点全部采取此种模式。另一种是以购买服务为主的社会办医模式。</w:t>
      </w:r>
    </w:p>
    <w:p>
      <w:pPr>
        <w:pStyle w:val="BodyText"/>
        <w:spacing w:line="297" w:lineRule="auto"/>
        <w:ind w:right="107"/>
      </w:pPr>
      <w:r>
        <w:rPr>
          <w:spacing w:val="-6"/>
        </w:rPr>
        <w:t>在建立健全现代医院管理制度上，区域医疗中心被寄予厚望。《方案》指出，允许探索</w:t>
      </w:r>
      <w:r>
        <w:rPr>
          <w:spacing w:val="-11"/>
        </w:rPr>
        <w:t>符合自身运行模式的管理措施和分配政策，将高级职称评审权下放到区域医疗中心。支持自</w:t>
      </w:r>
      <w:r>
        <w:rPr>
          <w:spacing w:val="-18"/>
        </w:rPr>
        <w:t>主招聘、赋予分配自主权，并研究探索将住院医师规范化培训合格证视同于硕士专业学位证， </w:t>
      </w:r>
      <w:r>
        <w:rPr>
          <w:spacing w:val="-10"/>
        </w:rPr>
        <w:t>在入职、晋升、岗位聘用、工资待遇等方面同等对待。《方案》强调，实行党委领导下的院</w:t>
      </w:r>
      <w:r>
        <w:rPr>
          <w:spacing w:val="-13"/>
        </w:rPr>
        <w:t>长负责制，理顺输出医院及办医主体、试点地区、社会力量等各方面间的关系。全面落实政</w:t>
      </w:r>
      <w:r>
        <w:rPr>
          <w:spacing w:val="-14"/>
        </w:rPr>
        <w:t>府投入政策，建立参加事业单位养老保险改革缴费的经费保障机制，合理制定和动态调整医疗服务价格，并实行适应区域医疗中心发展规律的医保政策。</w:t>
      </w:r>
    </w:p>
    <w:p>
      <w:pPr>
        <w:pStyle w:val="BodyText"/>
        <w:spacing w:line="297" w:lineRule="auto"/>
        <w:ind w:right="127"/>
      </w:pPr>
      <w:r>
        <w:rPr>
          <w:spacing w:val="-1"/>
        </w:rPr>
        <w:t>在鼓励创新药物和技术使用上，《方案》开了不少“口子”，比如鼓励开展创新药品、</w:t>
      </w:r>
      <w:r>
        <w:rPr>
          <w:spacing w:val="-7"/>
        </w:rPr>
        <w:t>医疗器械临床试验，对区域内确需使用的、国内尚未注册的少量临床急需药品，国家药品监</w:t>
      </w:r>
      <w:r>
        <w:rPr>
          <w:spacing w:val="-13"/>
        </w:rPr>
        <w:t>督管理部门加快审批等。科技创新和成果转化取得的收益主要用于人员奖励，计入当年本单</w:t>
      </w:r>
      <w:r>
        <w:rPr>
          <w:spacing w:val="-14"/>
        </w:rPr>
        <w:t>位薪酬总量，但不受总量限制，不纳入总量基数。鼓励依托“双一流”建设高校，规划布局</w:t>
      </w:r>
      <w:r>
        <w:rPr>
          <w:spacing w:val="-17"/>
        </w:rPr>
        <w:t>一定数量的医学院校和科研机构，鼓励社会力量通过承办公立医院非医疗业务等途径参与建</w:t>
      </w:r>
      <w:r>
        <w:rPr>
          <w:spacing w:val="-12"/>
        </w:rPr>
        <w:t>设。《方案》特别指出，加大对输出医院的支持力度，如适当增加相关输出医院的京、沪落户指标等。</w:t>
      </w:r>
    </w:p>
    <w:p>
      <w:pPr>
        <w:pStyle w:val="BodyText"/>
        <w:spacing w:line="297" w:lineRule="auto"/>
        <w:ind w:right="107"/>
      </w:pPr>
      <w:r>
        <w:rPr>
          <w:spacing w:val="-12"/>
        </w:rPr>
        <w:t>《方案》明确，通过 </w:t>
      </w:r>
      <w:r>
        <w:rPr/>
        <w:t>3</w:t>
      </w:r>
      <w:r>
        <w:rPr>
          <w:spacing w:val="-30"/>
        </w:rPr>
        <w:t> 年</w:t>
      </w:r>
      <w:r>
        <w:rPr/>
        <w:t>～5</w:t>
      </w:r>
      <w:r>
        <w:rPr>
          <w:spacing w:val="-9"/>
        </w:rPr>
        <w:t> 年努力，在优质医疗资源短缺地区建成一批高水平的临床</w:t>
      </w:r>
      <w:r>
        <w:rPr>
          <w:spacing w:val="-17"/>
        </w:rPr>
        <w:t>诊疗中心、高层次的人才培养基地和高水准的科研创新与转化平台，培育一批品牌优势明显、</w:t>
      </w:r>
      <w:r>
        <w:rPr/>
        <w:t>跨区域提供高水平服务的医疗集团，打造一批以高水平医院为依托的“互联网+医疗健康” 协作平台，形成一批以区域医疗中心为核心的专科联盟，相关地区重点病种治疗水平与京、</w:t>
      </w:r>
      <w:r>
        <w:rPr>
          <w:spacing w:val="-16"/>
        </w:rPr>
        <w:t>沪等地差距大幅缩小，跨省、跨区域就医大幅减少，推动分级诊疗制度建设取得突破性进展。</w:t>
      </w:r>
    </w:p>
    <w:p>
      <w:pPr>
        <w:pStyle w:val="Heading3"/>
        <w:spacing w:line="411" w:lineRule="exact"/>
        <w:ind w:left="137"/>
        <w:rPr>
          <w:rFonts w:ascii="Meiryo" w:eastAsia="Meiryo" w:hint="eastAsia"/>
        </w:rPr>
      </w:pPr>
      <w:r>
        <w:rPr>
          <w:rFonts w:ascii="Meiryo" w:eastAsia="Meiryo" w:hint="eastAsia"/>
          <w:color w:val="0033CC"/>
        </w:rPr>
        <w:t>[返回目次]</w:t>
      </w:r>
    </w:p>
    <w:p>
      <w:pPr>
        <w:spacing w:before="44"/>
        <w:ind w:left="137" w:right="0" w:firstLine="0"/>
        <w:jc w:val="left"/>
        <w:rPr>
          <w:b/>
          <w:sz w:val="32"/>
        </w:rPr>
      </w:pPr>
      <w:r>
        <w:rPr>
          <w:b/>
          <w:sz w:val="32"/>
        </w:rPr>
        <w:t>【医保动态】</w:t>
      </w:r>
    </w:p>
    <w:p>
      <w:pPr>
        <w:pStyle w:val="BodyText"/>
        <w:spacing w:before="12"/>
        <w:ind w:left="0" w:firstLine="0"/>
        <w:rPr>
          <w:b/>
          <w:sz w:val="22"/>
        </w:rPr>
      </w:pPr>
    </w:p>
    <w:p>
      <w:pPr>
        <w:spacing w:before="0"/>
        <w:ind w:left="386" w:right="0" w:firstLine="0"/>
        <w:jc w:val="left"/>
        <w:rPr>
          <w:b/>
          <w:sz w:val="32"/>
        </w:rPr>
      </w:pPr>
      <w:r>
        <w:rPr>
          <w:b/>
          <w:sz w:val="32"/>
        </w:rPr>
        <w:t>医保谈判最新进展！多个品种成功闯关！药价降多少？谁出局？</w:t>
      </w:r>
    </w:p>
    <w:p>
      <w:pPr>
        <w:spacing w:before="146"/>
        <w:ind w:left="137" w:right="228" w:firstLine="0"/>
        <w:jc w:val="right"/>
        <w:rPr>
          <w:rFonts w:ascii="楷体" w:eastAsia="楷体" w:hint="eastAsia"/>
          <w:b/>
          <w:sz w:val="24"/>
        </w:rPr>
      </w:pPr>
      <w:r>
        <w:rPr>
          <w:rFonts w:ascii="楷体" w:eastAsia="楷体" w:hint="eastAsia"/>
          <w:b/>
          <w:color w:val="FF0000"/>
          <w:w w:val="95"/>
          <w:sz w:val="24"/>
        </w:rPr>
        <w:t>（来源：医药经济报）</w:t>
      </w:r>
    </w:p>
    <w:p>
      <w:pPr>
        <w:pStyle w:val="BodyText"/>
        <w:spacing w:line="297" w:lineRule="auto" w:before="95"/>
        <w:ind w:right="110"/>
      </w:pPr>
      <w:r>
        <w:rPr/>
        <w:t>11</w:t>
      </w:r>
      <w:r>
        <w:rPr>
          <w:spacing w:val="-41"/>
        </w:rPr>
        <w:t> 月 </w:t>
      </w:r>
      <w:r>
        <w:rPr/>
        <w:t>12</w:t>
      </w:r>
      <w:r>
        <w:rPr>
          <w:spacing w:val="-16"/>
        </w:rPr>
        <w:t> 日，新一轮医保药品准入谈判进入第二天。根据业内消息，截至目前，修美乐、</w:t>
      </w:r>
      <w:r>
        <w:rPr>
          <w:spacing w:val="-10"/>
        </w:rPr>
        <w:t>德拉马尼、注射用黄芪多糖、注射用复方甘草酸苷等品种已被传出谈判成功，而此前已被纳</w:t>
      </w:r>
      <w:r>
        <w:rPr>
          <w:spacing w:val="-14"/>
        </w:rPr>
        <w:t>入医保谈判的品种也陆续有消息显示成功续约。由于此次参与谈判的品种非常多，国家医保局对谈判成功率不做要求，也就意味着一些品种可能无法谈判成功。</w:t>
      </w:r>
    </w:p>
    <w:p>
      <w:pPr>
        <w:pStyle w:val="Heading3"/>
        <w:spacing w:line="304" w:lineRule="exact"/>
      </w:pPr>
      <w:r>
        <w:rPr/>
        <w:t>70 个 VS 150 个？</w:t>
      </w:r>
    </w:p>
    <w:p>
      <w:pPr>
        <w:pStyle w:val="BodyText"/>
        <w:spacing w:before="72"/>
        <w:ind w:left="617" w:firstLine="0"/>
      </w:pPr>
      <w:r>
        <w:rPr>
          <w:spacing w:val="-14"/>
        </w:rPr>
        <w:t>对于参与此轮医保谈判的品种数量，此前业内消息显示，近两年内共计 </w:t>
      </w:r>
      <w:r>
        <w:rPr/>
        <w:t>128</w:t>
      </w:r>
      <w:r>
        <w:rPr>
          <w:spacing w:val="-9"/>
        </w:rPr>
        <w:t> 个新药上市，</w:t>
      </w:r>
    </w:p>
    <w:p>
      <w:pPr>
        <w:pStyle w:val="BodyText"/>
        <w:spacing w:before="72"/>
        <w:ind w:firstLine="0"/>
      </w:pPr>
      <w:r>
        <w:rPr>
          <w:spacing w:val="-20"/>
        </w:rPr>
        <w:t>其中 </w:t>
      </w:r>
      <w:r>
        <w:rPr/>
        <w:t>10</w:t>
      </w:r>
      <w:r>
        <w:rPr>
          <w:spacing w:val="-8"/>
        </w:rPr>
        <w:t> 个已于去年专项抗癌药谈判准入，</w:t>
      </w:r>
      <w:r>
        <w:rPr>
          <w:spacing w:val="-7"/>
        </w:rPr>
        <w:t>18</w:t>
      </w:r>
      <w:r>
        <w:rPr>
          <w:spacing w:val="-20"/>
        </w:rPr>
        <w:t> 个新增入 </w:t>
      </w:r>
      <w:r>
        <w:rPr/>
        <w:t>8</w:t>
      </w:r>
      <w:r>
        <w:rPr>
          <w:spacing w:val="-9"/>
        </w:rPr>
        <w:t> 月发布的新医保药品常规目录，剩</w:t>
      </w:r>
    </w:p>
    <w:p>
      <w:pPr>
        <w:pStyle w:val="BodyText"/>
        <w:spacing w:line="295" w:lineRule="auto" w:before="74"/>
        <w:ind w:right="226" w:firstLine="0"/>
      </w:pPr>
      <w:r>
        <w:rPr>
          <w:spacing w:val="-30"/>
        </w:rPr>
        <w:t>余 </w:t>
      </w:r>
      <w:r>
        <w:rPr/>
        <w:t>100</w:t>
      </w:r>
      <w:r>
        <w:rPr>
          <w:spacing w:val="-12"/>
        </w:rPr>
        <w:t> 个品种中，30</w:t>
      </w:r>
      <w:r>
        <w:rPr>
          <w:spacing w:val="-13"/>
        </w:rPr>
        <w:t> 个品种因供应、尚未准备在中国上市等问题排除在外，最终 </w:t>
      </w:r>
      <w:r>
        <w:rPr/>
        <w:t>70</w:t>
      </w:r>
      <w:r>
        <w:rPr>
          <w:spacing w:val="-4"/>
        </w:rPr>
        <w:t> 个品种</w:t>
      </w:r>
      <w:r>
        <w:rPr/>
        <w:t>进入此轮准入谈判。</w:t>
      </w:r>
    </w:p>
    <w:p>
      <w:pPr>
        <w:spacing w:after="0" w:line="295" w:lineRule="auto"/>
        <w:sectPr>
          <w:pgSz w:w="11910" w:h="16850"/>
          <w:pgMar w:header="906" w:footer="607" w:top="1100" w:bottom="800" w:left="1140" w:right="900"/>
        </w:sectPr>
      </w:pPr>
    </w:p>
    <w:p>
      <w:pPr>
        <w:pStyle w:val="BodyText"/>
        <w:spacing w:before="65"/>
        <w:ind w:left="617" w:firstLine="0"/>
      </w:pPr>
      <w:r>
        <w:rPr/>
        <w:t>而据八点健闻最新报道，此次谈判共涉及 150 个品种。国家医保局曾表示，谈判目录初</w:t>
      </w:r>
    </w:p>
    <w:p>
      <w:pPr>
        <w:pStyle w:val="BodyText"/>
        <w:spacing w:before="72"/>
        <w:ind w:firstLine="0"/>
      </w:pPr>
      <w:r>
        <w:rPr>
          <w:spacing w:val="-13"/>
        </w:rPr>
        <w:t>步确定了 </w:t>
      </w:r>
      <w:r>
        <w:rPr/>
        <w:t>128</w:t>
      </w:r>
      <w:r>
        <w:rPr>
          <w:spacing w:val="-17"/>
        </w:rPr>
        <w:t> 个药品纳入拟谈判范围，其中共有 </w:t>
      </w:r>
      <w:r>
        <w:rPr/>
        <w:t>9</w:t>
      </w:r>
      <w:r>
        <w:rPr>
          <w:spacing w:val="-18"/>
        </w:rPr>
        <w:t> 个品种退出了此次谈判，剩下 </w:t>
      </w:r>
      <w:r>
        <w:rPr/>
        <w:t>119</w:t>
      </w:r>
      <w:r>
        <w:rPr>
          <w:spacing w:val="-12"/>
        </w:rPr>
        <w:t> 个品种。</w:t>
      </w:r>
    </w:p>
    <w:p>
      <w:pPr>
        <w:pStyle w:val="BodyText"/>
        <w:spacing w:before="71"/>
        <w:ind w:firstLine="0"/>
      </w:pPr>
      <w:r>
        <w:rPr>
          <w:spacing w:val="-16"/>
        </w:rPr>
        <w:t>另还有 </w:t>
      </w:r>
      <w:r>
        <w:rPr/>
        <w:t>2017</w:t>
      </w:r>
      <w:r>
        <w:rPr>
          <w:spacing w:val="-12"/>
        </w:rPr>
        <w:t> 年人社部组织谈判成功的品种，一共谈判成功 </w:t>
      </w:r>
      <w:r>
        <w:rPr/>
        <w:t>36</w:t>
      </w:r>
      <w:r>
        <w:rPr>
          <w:spacing w:val="-15"/>
        </w:rPr>
        <w:t> 个品种，</w:t>
      </w:r>
      <w:r>
        <w:rPr>
          <w:spacing w:val="-11"/>
        </w:rPr>
        <w:t>5</w:t>
      </w:r>
      <w:r>
        <w:rPr>
          <w:spacing w:val="-8"/>
        </w:rPr>
        <w:t> 个品种退出此次谈</w:t>
      </w:r>
    </w:p>
    <w:p>
      <w:pPr>
        <w:pStyle w:val="BodyText"/>
        <w:spacing w:before="74"/>
        <w:ind w:firstLine="0"/>
      </w:pPr>
      <w:r>
        <w:rPr/>
        <w:t>判，剩余 31 个品种参与谈判。</w:t>
      </w:r>
    </w:p>
    <w:p>
      <w:pPr>
        <w:pStyle w:val="BodyText"/>
        <w:spacing w:line="297" w:lineRule="auto" w:before="72"/>
        <w:ind w:right="108"/>
      </w:pPr>
      <w:r>
        <w:rPr>
          <w:spacing w:val="-15"/>
        </w:rPr>
        <w:t>再来看具体准入谈判规则，主要是分为竞标性谈判与比价谈判两种。竞标性谈判方式是： </w:t>
      </w:r>
      <w:r>
        <w:rPr>
          <w:spacing w:val="-17"/>
        </w:rPr>
        <w:t>不定最低价，企业各自报价，最低价品种入选。比价谈判方式是：国家医保局先确定最低价， </w:t>
      </w:r>
      <w:r>
        <w:rPr>
          <w:spacing w:val="-7"/>
        </w:rPr>
        <w:t>企业分别进行两次报价，两次报价均超过最低价的 </w:t>
      </w:r>
      <w:r>
        <w:rPr/>
        <w:t>15%</w:t>
      </w:r>
      <w:r>
        <w:rPr>
          <w:spacing w:val="-8"/>
        </w:rPr>
        <w:t>就会出局。据了解，</w:t>
      </w:r>
      <w:r>
        <w:rPr>
          <w:spacing w:val="-17"/>
        </w:rPr>
        <w:t>4</w:t>
      </w:r>
      <w:r>
        <w:rPr>
          <w:spacing w:val="-40"/>
        </w:rPr>
        <w:t> 款 </w:t>
      </w:r>
      <w:r>
        <w:rPr/>
        <w:t>PD-1</w:t>
      </w:r>
      <w:r>
        <w:rPr>
          <w:spacing w:val="-15"/>
        </w:rPr>
        <w:t> 主要会按照不同适应证被纳入不同分组进行比价谈判。</w:t>
      </w:r>
    </w:p>
    <w:p>
      <w:pPr>
        <w:pStyle w:val="Heading3"/>
        <w:spacing w:line="302" w:lineRule="exact"/>
        <w:ind w:left="857"/>
      </w:pPr>
      <w:r>
        <w:rPr/>
        <w:t>降价幅度不一</w:t>
      </w:r>
    </w:p>
    <w:p>
      <w:pPr>
        <w:pStyle w:val="BodyText"/>
        <w:spacing w:line="297" w:lineRule="auto" w:before="75"/>
        <w:ind w:right="227"/>
        <w:jc w:val="both"/>
      </w:pPr>
      <w:r>
        <w:rPr>
          <w:spacing w:val="-11"/>
        </w:rPr>
        <w:t>截至目前，官方还未发布谈判成功品种名单和降幅，但是一些品种已被传出成功进入医</w:t>
      </w:r>
      <w:r>
        <w:rPr>
          <w:spacing w:val="-10"/>
        </w:rPr>
        <w:t>保并披露了降价幅度。根据八点健闻报道：大冢制药用于治疗肺结核的新药德拉马尼片降价</w:t>
      </w:r>
      <w:r>
        <w:rPr>
          <w:spacing w:val="-16"/>
        </w:rPr>
        <w:t>幅度为 </w:t>
      </w:r>
      <w:r>
        <w:rPr/>
        <w:t>40%</w:t>
      </w:r>
      <w:r>
        <w:rPr>
          <w:spacing w:val="-7"/>
        </w:rPr>
        <w:t>左右；赛诺制药用于治疗肿瘤患者化疗造成的白细胞减少、生活质量降低和免疫</w:t>
      </w:r>
      <w:r>
        <w:rPr>
          <w:spacing w:val="-3"/>
        </w:rPr>
        <w:t>力降低的中药二类新药产品注射用黄芪多糖降价幅度为 </w:t>
      </w:r>
      <w:r>
        <w:rPr/>
        <w:t>28%左右。</w:t>
      </w:r>
    </w:p>
    <w:p>
      <w:pPr>
        <w:pStyle w:val="BodyText"/>
        <w:spacing w:line="297" w:lineRule="auto"/>
        <w:ind w:right="245"/>
        <w:jc w:val="both"/>
      </w:pPr>
      <w:r>
        <w:rPr>
          <w:spacing w:val="-3"/>
        </w:rPr>
        <w:t>另有消息显示：三生的艾塞那肽微球价格降 </w:t>
      </w:r>
      <w:r>
        <w:rPr/>
        <w:t>5%；</w:t>
      </w:r>
      <w:r>
        <w:rPr>
          <w:spacing w:val="-5"/>
        </w:rPr>
        <w:t>亿帆医药的复方黄黛片降价 </w:t>
      </w:r>
      <w:r>
        <w:rPr/>
        <w:t>5%</w:t>
      </w:r>
      <w:r>
        <w:rPr>
          <w:spacing w:val="-6"/>
        </w:rPr>
        <w:t>左右； </w:t>
      </w:r>
      <w:r>
        <w:rPr>
          <w:spacing w:val="-9"/>
        </w:rPr>
        <w:t>利拉鲁肽降价 </w:t>
      </w:r>
      <w:r>
        <w:rPr/>
        <w:t>10%；</w:t>
      </w:r>
      <w:r>
        <w:rPr>
          <w:spacing w:val="-6"/>
        </w:rPr>
        <w:t>西藏药业的新活素降价 </w:t>
      </w:r>
      <w:r>
        <w:rPr/>
        <w:t>5%</w:t>
      </w:r>
      <w:r>
        <w:rPr>
          <w:spacing w:val="-6"/>
        </w:rPr>
        <w:t>左右。这些品种大多是 </w:t>
      </w:r>
      <w:r>
        <w:rPr/>
        <w:t>2017</w:t>
      </w:r>
      <w:r>
        <w:rPr>
          <w:spacing w:val="-10"/>
        </w:rPr>
        <w:t> 年人社部谈判成</w:t>
      </w:r>
      <w:r>
        <w:rPr>
          <w:spacing w:val="-3"/>
        </w:rPr>
        <w:t>功的品种，整体来看，续约品种价格降幅大概 </w:t>
      </w:r>
      <w:r>
        <w:rPr/>
        <w:t>5%～10%左右。</w:t>
      </w:r>
    </w:p>
    <w:p>
      <w:pPr>
        <w:pStyle w:val="BodyText"/>
        <w:spacing w:line="297" w:lineRule="auto"/>
        <w:ind w:right="227"/>
        <w:jc w:val="both"/>
      </w:pPr>
      <w:r>
        <w:rPr>
          <w:spacing w:val="-10"/>
        </w:rPr>
        <w:t>此外，还有一些被传谈判成功的品种降价幅度不详，例如，艾伯维用于治疗类风湿性关节炎的修美乐、杰华生物用于治疗慢性乙肝用药的乐复能、四环药业的乙肝用药注射用复方</w:t>
      </w:r>
      <w:r>
        <w:rPr/>
        <w:t>甘草酸苷等。</w:t>
      </w:r>
    </w:p>
    <w:p>
      <w:pPr>
        <w:pStyle w:val="BodyText"/>
        <w:spacing w:line="297" w:lineRule="auto"/>
        <w:ind w:right="110"/>
      </w:pPr>
      <w:r>
        <w:rPr>
          <w:spacing w:val="-10"/>
        </w:rPr>
        <w:t>对于有全球“药王”之称的修美乐能够顺利进入医保，业内并未感到意外。因为在参与</w:t>
      </w:r>
      <w:r>
        <w:rPr>
          <w:spacing w:val="-21"/>
        </w:rPr>
        <w:t>此轮医保谈判之前，艾伯维就已主动在全国范围内大幅降价，修美乐由每支 </w:t>
      </w:r>
      <w:r>
        <w:rPr/>
        <w:t>7600</w:t>
      </w:r>
      <w:r>
        <w:rPr>
          <w:spacing w:val="-31"/>
        </w:rPr>
        <w:t> 元降至 </w:t>
      </w:r>
      <w:r>
        <w:rPr/>
        <w:t>3160 </w:t>
      </w:r>
      <w:r>
        <w:rPr>
          <w:spacing w:val="-12"/>
        </w:rPr>
        <w:t>元，降幅接近六成。在业界看来，修美乐主动降价一方面是为了进入医保铺路，另一方面国</w:t>
      </w:r>
      <w:r>
        <w:rPr>
          <w:spacing w:val="-17"/>
        </w:rPr>
        <w:t>产生物类似药的竞争也越来越激烈。目前国内企业百奥泰的阿达木单抗生物类似药已正式获</w:t>
      </w:r>
      <w:r>
        <w:rPr>
          <w:spacing w:val="-18"/>
        </w:rPr>
        <w:t>批上市，海正药业、信达生物、复宏汉霖等多家企业的生物类似药也有望近一两年获批上市。</w:t>
      </w:r>
      <w:r>
        <w:rPr>
          <w:spacing w:val="-10"/>
        </w:rPr>
        <w:t>不过，修美乐的市场优势也在不断扩大。就在不久前，修美乐在中国的第四个适应症——治疗多关节型幼年特发性关节炎（pJIA）获得了批准。</w:t>
      </w:r>
    </w:p>
    <w:p>
      <w:pPr>
        <w:pStyle w:val="BodyText"/>
        <w:spacing w:line="297" w:lineRule="auto"/>
        <w:ind w:right="107"/>
      </w:pPr>
      <w:r>
        <w:rPr/>
        <w:t>值得关注的是，除了被传谈判成功的品种，预计谈判的品种还包括：4</w:t>
      </w:r>
      <w:r>
        <w:rPr>
          <w:spacing w:val="-40"/>
        </w:rPr>
        <w:t> 款 </w:t>
      </w:r>
      <w:r>
        <w:rPr/>
        <w:t>PD-1</w:t>
      </w:r>
      <w:r>
        <w:rPr>
          <w:spacing w:val="-15"/>
        </w:rPr>
        <w:t> 产品、</w:t>
      </w:r>
      <w:r>
        <w:rPr>
          <w:spacing w:val="-19"/>
        </w:rPr>
        <w:t>丙肝新药索磷布韦韦帕他韦复方、呋喹替尼、阿来替尼、仑伐替尼、依库珠单抗、帕妥珠单</w:t>
      </w:r>
      <w:r>
        <w:rPr>
          <w:spacing w:val="-16"/>
        </w:rPr>
        <w:t>抗等。兴业证券分析指出，预计部分 </w:t>
      </w:r>
      <w:r>
        <w:rPr/>
        <w:t>2018</w:t>
      </w:r>
      <w:r>
        <w:rPr>
          <w:spacing w:val="-9"/>
        </w:rPr>
        <w:t> 年底之前获批上市的国产创新药品种如吡咯替尼、</w:t>
      </w:r>
      <w:r>
        <w:rPr/>
        <w:t>19K、艾普拉唑针剂有望通过谈判的方式纳入医保。</w:t>
      </w:r>
    </w:p>
    <w:p>
      <w:pPr>
        <w:pStyle w:val="BodyText"/>
        <w:spacing w:line="295" w:lineRule="auto"/>
        <w:ind w:right="232"/>
      </w:pPr>
      <w:r>
        <w:rPr>
          <w:spacing w:val="-10"/>
        </w:rPr>
        <w:t>在业界看来，谈判药品数量明显激增，将会涉及更多厂家和治疗领域。有观点认为，由</w:t>
      </w:r>
      <w:r>
        <w:rPr/>
        <w:t>于本次谈判药品数量太多，可能会有一部分药品谈判失败。</w:t>
      </w:r>
    </w:p>
    <w:p>
      <w:pPr>
        <w:pStyle w:val="BodyText"/>
        <w:spacing w:line="297" w:lineRule="auto"/>
        <w:ind w:right="227"/>
        <w:jc w:val="both"/>
      </w:pPr>
      <w:r>
        <w:rPr/>
        <w:t>国家医保局相关负责人也坦言，考虑到医保基金常规的增长，以及“4+7”招采，支付</w:t>
      </w:r>
      <w:r>
        <w:rPr>
          <w:spacing w:val="-6"/>
        </w:rPr>
        <w:t>方式改革和本次目录调整调出品种等改革，腾挪出的基金空间，在确保基金安全的情况下会</w:t>
      </w:r>
      <w:r>
        <w:rPr>
          <w:spacing w:val="-7"/>
        </w:rPr>
        <w:t>拿出一定数量的基金用于谈判药品，力争尽量多的品种能够谈判成功。但是由于本次谈判的</w:t>
      </w:r>
      <w:r>
        <w:rPr/>
        <w:t>品种比较多，对基金的影响很大，对本次谈判的成功率将不做要求。</w:t>
      </w:r>
    </w:p>
    <w:p>
      <w:pPr>
        <w:pStyle w:val="BodyText"/>
        <w:spacing w:line="295" w:lineRule="auto"/>
        <w:ind w:right="108"/>
        <w:jc w:val="both"/>
      </w:pPr>
      <w:r>
        <w:rPr/>
        <w:t>既然有成功有失败，对于参与谈判的企业来说，压力将会非常大。也有业内分析认为， </w:t>
      </w:r>
      <w:r>
        <w:rPr>
          <w:spacing w:val="-6"/>
        </w:rPr>
        <w:t>预计药品价格降幅或将比以往更大。参考</w:t>
      </w:r>
      <w:r>
        <w:rPr/>
        <w:t>2016</w:t>
      </w:r>
      <w:r>
        <w:rPr>
          <w:spacing w:val="-23"/>
        </w:rPr>
        <w:t> 年</w:t>
      </w:r>
      <w:r>
        <w:rPr/>
        <w:t>5</w:t>
      </w:r>
      <w:r>
        <w:rPr>
          <w:spacing w:val="-9"/>
        </w:rPr>
        <w:t> 月原卫计委</w:t>
      </w:r>
      <w:r>
        <w:rPr/>
        <w:t>3</w:t>
      </w:r>
      <w:r>
        <w:rPr>
          <w:spacing w:val="-7"/>
        </w:rPr>
        <w:t> 个药品谈判平均降价</w:t>
      </w:r>
      <w:r>
        <w:rPr/>
        <w:t>58.6%</w:t>
      </w:r>
      <w:r>
        <w:rPr>
          <w:spacing w:val="-15"/>
        </w:rPr>
        <w:t>、</w:t>
      </w:r>
    </w:p>
    <w:p>
      <w:pPr>
        <w:spacing w:after="0" w:line="295" w:lineRule="auto"/>
        <w:jc w:val="both"/>
        <w:sectPr>
          <w:pgSz w:w="11910" w:h="16850"/>
          <w:pgMar w:header="906" w:footer="607" w:top="1100" w:bottom="800" w:left="1140" w:right="900"/>
        </w:sectPr>
      </w:pPr>
    </w:p>
    <w:p>
      <w:pPr>
        <w:pStyle w:val="BodyText"/>
        <w:spacing w:line="259" w:lineRule="auto" w:before="65"/>
        <w:ind w:right="228" w:firstLine="0"/>
        <w:rPr>
          <w:rFonts w:ascii="Meiryo" w:eastAsia="Meiryo" w:hint="eastAsia"/>
          <w:b/>
        </w:rPr>
      </w:pPr>
      <w:r>
        <w:rPr/>
        <w:t>2017</w:t>
      </w:r>
      <w:r>
        <w:rPr>
          <w:spacing w:val="-41"/>
        </w:rPr>
        <w:t> 年 </w:t>
      </w:r>
      <w:r>
        <w:rPr/>
        <w:t>7</w:t>
      </w:r>
      <w:r>
        <w:rPr>
          <w:spacing w:val="-20"/>
        </w:rPr>
        <w:t> 月人社部 </w:t>
      </w:r>
      <w:r>
        <w:rPr/>
        <w:t>36</w:t>
      </w:r>
      <w:r>
        <w:rPr>
          <w:spacing w:val="-13"/>
        </w:rPr>
        <w:t> 个谈判药品的平均降幅 </w:t>
      </w:r>
      <w:r>
        <w:rPr/>
        <w:t>44%</w:t>
      </w:r>
      <w:r>
        <w:rPr>
          <w:spacing w:val="-42"/>
        </w:rPr>
        <w:t>，以及 </w:t>
      </w:r>
      <w:r>
        <w:rPr/>
        <w:t>2018</w:t>
      </w:r>
      <w:r>
        <w:rPr>
          <w:spacing w:val="-40"/>
        </w:rPr>
        <w:t> 年 </w:t>
      </w:r>
      <w:r>
        <w:rPr/>
        <w:t>10</w:t>
      </w:r>
      <w:r>
        <w:rPr>
          <w:spacing w:val="-20"/>
        </w:rPr>
        <w:t> 月医保局 </w:t>
      </w:r>
      <w:r>
        <w:rPr/>
        <w:t>17</w:t>
      </w:r>
      <w:r>
        <w:rPr>
          <w:spacing w:val="-13"/>
        </w:rPr>
        <w:t> 个谈判药品平均降幅 </w:t>
      </w:r>
      <w:r>
        <w:rPr/>
        <w:t>56.7%</w:t>
      </w:r>
      <w:r>
        <w:rPr>
          <w:spacing w:val="-5"/>
        </w:rPr>
        <w:t>。此轮降价幅度或许也会超过 </w:t>
      </w:r>
      <w:r>
        <w:rPr/>
        <w:t>50%。</w:t>
      </w:r>
      <w:r>
        <w:rPr>
          <w:rFonts w:ascii="Meiryo" w:eastAsia="Meiryo" w:hint="eastAsia"/>
          <w:b/>
          <w:color w:val="0033CC"/>
        </w:rPr>
        <w:t>[返回目次]</w:t>
      </w:r>
    </w:p>
    <w:p>
      <w:pPr>
        <w:pStyle w:val="Heading2"/>
        <w:spacing w:before="28"/>
        <w:ind w:left="137"/>
      </w:pPr>
      <w:r>
        <w:rPr/>
        <w:t>【药监动态】</w:t>
      </w:r>
    </w:p>
    <w:p>
      <w:pPr>
        <w:pStyle w:val="BodyText"/>
        <w:spacing w:before="11"/>
        <w:ind w:left="0" w:firstLine="0"/>
        <w:rPr>
          <w:b/>
          <w:sz w:val="22"/>
        </w:rPr>
      </w:pPr>
    </w:p>
    <w:p>
      <w:pPr>
        <w:spacing w:before="0"/>
        <w:ind w:left="140" w:right="240" w:firstLine="0"/>
        <w:jc w:val="center"/>
        <w:rPr>
          <w:b/>
          <w:sz w:val="32"/>
        </w:rPr>
      </w:pPr>
      <w:r>
        <w:rPr>
          <w:b/>
          <w:sz w:val="32"/>
        </w:rPr>
        <w:t>活血止痛胶囊等口服制剂说明书修订</w:t>
      </w:r>
    </w:p>
    <w:p>
      <w:pPr>
        <w:spacing w:before="82"/>
        <w:ind w:left="2" w:right="91" w:firstLine="0"/>
        <w:jc w:val="center"/>
        <w:rPr>
          <w:b/>
          <w:sz w:val="21"/>
        </w:rPr>
      </w:pPr>
      <w:r>
        <w:rPr>
          <w:b/>
          <w:color w:val="666666"/>
          <w:sz w:val="21"/>
        </w:rPr>
        <w:t>涉及江苏万高药业、同仁堂制药厂等 14 家企业</w:t>
      </w:r>
    </w:p>
    <w:p>
      <w:pPr>
        <w:pStyle w:val="BodyText"/>
        <w:spacing w:before="7"/>
        <w:ind w:left="0" w:firstLine="0"/>
        <w:rPr>
          <w:b/>
          <w:sz w:val="8"/>
        </w:rPr>
      </w:pPr>
    </w:p>
    <w:p>
      <w:pPr>
        <w:pStyle w:val="Heading3"/>
        <w:spacing w:before="67"/>
        <w:ind w:left="137" w:right="228"/>
        <w:jc w:val="right"/>
        <w:rPr>
          <w:rFonts w:ascii="楷体" w:eastAsia="楷体" w:hint="eastAsia"/>
        </w:rPr>
      </w:pPr>
      <w:r>
        <w:rPr>
          <w:rFonts w:ascii="楷体" w:eastAsia="楷体" w:hint="eastAsia"/>
          <w:color w:val="FF0000"/>
          <w:w w:val="95"/>
        </w:rPr>
        <w:t>（来源：中国医药报）</w:t>
      </w:r>
    </w:p>
    <w:p>
      <w:pPr>
        <w:pStyle w:val="BodyText"/>
        <w:spacing w:line="297" w:lineRule="auto" w:before="95"/>
        <w:ind w:right="105"/>
      </w:pPr>
      <w:r>
        <w:rPr/>
        <w:t>11</w:t>
      </w:r>
      <w:r>
        <w:rPr>
          <w:spacing w:val="-41"/>
        </w:rPr>
        <w:t> 月 </w:t>
      </w:r>
      <w:r>
        <w:rPr/>
        <w:t>8</w:t>
      </w:r>
      <w:r>
        <w:rPr>
          <w:spacing w:val="-10"/>
        </w:rPr>
        <w:t> 日，国家药品监督管理局发布公告，对活血止痛胶囊等口服制剂</w:t>
      </w:r>
      <w:r>
        <w:rPr/>
        <w:t>（</w:t>
      </w:r>
      <w:r>
        <w:rPr>
          <w:spacing w:val="-5"/>
        </w:rPr>
        <w:t>片剂、散剂、</w:t>
      </w:r>
      <w:r>
        <w:rPr>
          <w:spacing w:val="-2"/>
        </w:rPr>
        <w:t>软胶囊剂、胶囊剂</w:t>
      </w:r>
      <w:r>
        <w:rPr>
          <w:spacing w:val="-10"/>
        </w:rPr>
        <w:t>）药品说明书【警示语】【不良反应】【禁忌】和【注意事项】四项进行修订。</w:t>
      </w:r>
    </w:p>
    <w:p>
      <w:pPr>
        <w:pStyle w:val="BodyText"/>
        <w:spacing w:line="297" w:lineRule="auto"/>
        <w:ind w:right="107"/>
      </w:pPr>
      <w:r>
        <w:rPr>
          <w:spacing w:val="-15"/>
        </w:rPr>
        <w:t>公告要求，活血止痛胶囊等口服制剂非处方药说明书【不良反应】项应增加恶心、呕吐、</w:t>
      </w:r>
      <w:r>
        <w:rPr>
          <w:spacing w:val="-9"/>
        </w:rPr>
        <w:t>嗳气、呃逆等上市后不良反应监测数据显示的药品可见不良反应。【禁忌】项应增加：肝肾功能异常者禁用；6</w:t>
      </w:r>
      <w:r>
        <w:rPr>
          <w:spacing w:val="-8"/>
        </w:rPr>
        <w:t> 岁以下儿童禁用等。【注意事项】项应增加儿童、经期及哺乳期妇女、</w:t>
      </w:r>
      <w:r>
        <w:rPr>
          <w:spacing w:val="-12"/>
        </w:rPr>
        <w:t>年老体弱者应在医师指导下服用等 </w:t>
      </w:r>
      <w:r>
        <w:rPr/>
        <w:t>7</w:t>
      </w:r>
      <w:r>
        <w:rPr>
          <w:spacing w:val="-12"/>
        </w:rPr>
        <w:t> 项内容。</w:t>
      </w:r>
    </w:p>
    <w:p>
      <w:pPr>
        <w:pStyle w:val="BodyText"/>
        <w:spacing w:line="297" w:lineRule="auto"/>
        <w:ind w:right="106"/>
        <w:jc w:val="both"/>
      </w:pPr>
      <w:r>
        <w:rPr>
          <w:spacing w:val="-6"/>
        </w:rPr>
        <w:t>活血止痛胶囊等口服制剂处方药说明书修订要求，【警示语】项应增加“请仔细阅读说</w:t>
      </w:r>
      <w:r>
        <w:rPr>
          <w:spacing w:val="-12"/>
        </w:rPr>
        <w:t>明书并在医师指导下使用”。【不良反应】项应增加涉及消化系统、皮肤、神经系统及其他</w:t>
      </w:r>
      <w:r>
        <w:rPr>
          <w:spacing w:val="-16"/>
        </w:rPr>
        <w:t>的上市后不良反应监测数据显示的药品可见不良反应。【禁忌】项应增加“对本品及所含成</w:t>
      </w:r>
      <w:r>
        <w:rPr>
          <w:spacing w:val="-22"/>
        </w:rPr>
        <w:t>份过敏者禁用”。【注意事项】项应增加肝肾功能异常者慎用、过敏体质者慎用等 </w:t>
      </w:r>
      <w:r>
        <w:rPr/>
        <w:t>8</w:t>
      </w:r>
      <w:r>
        <w:rPr>
          <w:spacing w:val="-15"/>
        </w:rPr>
        <w:t> 项内容。</w:t>
      </w:r>
    </w:p>
    <w:p>
      <w:pPr>
        <w:pStyle w:val="BodyText"/>
        <w:spacing w:line="302" w:lineRule="exact"/>
        <w:ind w:left="617" w:firstLine="0"/>
        <w:jc w:val="both"/>
      </w:pPr>
      <w:r>
        <w:rPr>
          <w:spacing w:val="-11"/>
        </w:rPr>
        <w:t>记者查阅国家药监局网站发现，目前国内有 </w:t>
      </w:r>
      <w:r>
        <w:rPr/>
        <w:t>14</w:t>
      </w:r>
      <w:r>
        <w:rPr>
          <w:spacing w:val="-15"/>
        </w:rPr>
        <w:t> 家企业生产活血止痛胶囊等口服制剂</w:t>
      </w:r>
      <w:r>
        <w:rPr/>
        <w:t>（片</w:t>
      </w:r>
    </w:p>
    <w:p>
      <w:pPr>
        <w:pStyle w:val="BodyText"/>
        <w:spacing w:line="278" w:lineRule="auto" w:before="65"/>
        <w:ind w:right="227" w:firstLine="0"/>
        <w:jc w:val="both"/>
        <w:rPr>
          <w:rFonts w:ascii="Meiryo" w:eastAsia="Meiryo" w:hint="eastAsia"/>
          <w:b/>
        </w:rPr>
      </w:pPr>
      <w:r>
        <w:rPr/>
        <w:t>剂、散剂、软胶囊剂、胶囊剂），</w:t>
      </w:r>
      <w:r>
        <w:rPr>
          <w:spacing w:val="-30"/>
        </w:rPr>
        <w:t>共 </w:t>
      </w:r>
      <w:r>
        <w:rPr/>
        <w:t>17</w:t>
      </w:r>
      <w:r>
        <w:rPr>
          <w:spacing w:val="-8"/>
        </w:rPr>
        <w:t> 个批准文号，涉及江苏万高药业股份有限公司、北</w:t>
      </w:r>
      <w:r>
        <w:rPr>
          <w:spacing w:val="-14"/>
        </w:rPr>
        <w:t>京同仁堂股份有限公司同仁堂制药厂、湖北惠海希康制药有限公司、江西百神昌诺药业有限</w:t>
      </w:r>
      <w:r>
        <w:rPr/>
        <w:t>公司等企业。</w:t>
      </w:r>
      <w:r>
        <w:rPr>
          <w:rFonts w:ascii="Meiryo" w:eastAsia="Meiryo" w:hint="eastAsia"/>
          <w:b/>
          <w:color w:val="0033CC"/>
        </w:rPr>
        <w:t>[返回目次]</w:t>
      </w:r>
    </w:p>
    <w:p>
      <w:pPr>
        <w:pStyle w:val="Heading2"/>
        <w:spacing w:line="401" w:lineRule="exact"/>
        <w:ind w:left="137"/>
      </w:pPr>
      <w:r>
        <w:rPr/>
        <w:t>【医改新政】</w:t>
      </w:r>
    </w:p>
    <w:p>
      <w:pPr>
        <w:pStyle w:val="BodyText"/>
        <w:spacing w:before="9"/>
        <w:ind w:left="0" w:firstLine="0"/>
        <w:rPr>
          <w:b/>
          <w:sz w:val="18"/>
        </w:rPr>
      </w:pPr>
    </w:p>
    <w:p>
      <w:pPr>
        <w:spacing w:before="54"/>
        <w:ind w:left="140" w:right="236" w:firstLine="0"/>
        <w:jc w:val="center"/>
        <w:rPr>
          <w:b/>
          <w:sz w:val="32"/>
        </w:rPr>
      </w:pPr>
      <w:r>
        <w:rPr>
          <w:b/>
          <w:sz w:val="32"/>
        </w:rPr>
        <w:t>北京将建示范性研究型病房</w:t>
      </w:r>
    </w:p>
    <w:p>
      <w:pPr>
        <w:spacing w:before="82"/>
        <w:ind w:left="3" w:right="91" w:firstLine="0"/>
        <w:jc w:val="center"/>
        <w:rPr>
          <w:sz w:val="21"/>
        </w:rPr>
      </w:pPr>
      <w:r>
        <w:rPr>
          <w:sz w:val="21"/>
        </w:rPr>
        <w:t>打造技术、药品、器械创新的策源地和试验田</w:t>
      </w:r>
    </w:p>
    <w:p>
      <w:pPr>
        <w:pStyle w:val="Heading3"/>
        <w:spacing w:before="176"/>
        <w:ind w:left="137" w:right="228"/>
        <w:jc w:val="right"/>
        <w:rPr>
          <w:rFonts w:ascii="楷体" w:eastAsia="楷体" w:hint="eastAsia"/>
        </w:rPr>
      </w:pPr>
      <w:r>
        <w:rPr>
          <w:rFonts w:ascii="楷体" w:eastAsia="楷体" w:hint="eastAsia"/>
          <w:color w:val="FF0000"/>
          <w:w w:val="95"/>
        </w:rPr>
        <w:t>（来源：健康报）</w:t>
      </w:r>
    </w:p>
    <w:p>
      <w:pPr>
        <w:pStyle w:val="ListParagraph"/>
        <w:numPr>
          <w:ilvl w:val="0"/>
          <w:numId w:val="1"/>
        </w:numPr>
        <w:tabs>
          <w:tab w:pos="918" w:val="left" w:leader="none"/>
        </w:tabs>
        <w:spacing w:line="297" w:lineRule="auto" w:before="96" w:after="0"/>
        <w:ind w:left="137" w:right="109" w:firstLine="480"/>
        <w:jc w:val="left"/>
        <w:rPr>
          <w:sz w:val="24"/>
        </w:rPr>
      </w:pPr>
      <w:r>
        <w:rPr>
          <w:spacing w:val="-30"/>
          <w:sz w:val="24"/>
        </w:rPr>
        <w:t>月 </w:t>
      </w:r>
      <w:r>
        <w:rPr>
          <w:sz w:val="24"/>
        </w:rPr>
        <w:t>28</w:t>
      </w:r>
      <w:r>
        <w:rPr>
          <w:spacing w:val="-10"/>
          <w:sz w:val="24"/>
        </w:rPr>
        <w:t> 日，北京市卫生健康委、北京市科学技术委员会、北京市人社局、北京市药品</w:t>
      </w:r>
      <w:r>
        <w:rPr>
          <w:spacing w:val="-13"/>
          <w:sz w:val="24"/>
        </w:rPr>
        <w:t>监督管理局、北京市中医管理局、中关村科技园区管理委员会联合印发了《北京市关于加强</w:t>
      </w:r>
      <w:r>
        <w:rPr>
          <w:spacing w:val="-18"/>
          <w:sz w:val="24"/>
        </w:rPr>
        <w:t>研究型病房建设的意见》。《意见》明确，北京市计划用 </w:t>
      </w:r>
      <w:r>
        <w:rPr>
          <w:sz w:val="24"/>
        </w:rPr>
        <w:t>3</w:t>
      </w:r>
      <w:r>
        <w:rPr>
          <w:spacing w:val="-9"/>
          <w:sz w:val="24"/>
        </w:rPr>
        <w:t> 年左右时间，在具有药物和医疗器械临床试验资格的医院择优实施研究型病房建设项目。2019</w:t>
      </w:r>
      <w:r>
        <w:rPr>
          <w:spacing w:val="-8"/>
          <w:sz w:val="24"/>
        </w:rPr>
        <w:t> 年，启动研究型病房规范化</w:t>
      </w:r>
      <w:r>
        <w:rPr>
          <w:spacing w:val="-21"/>
          <w:sz w:val="24"/>
        </w:rPr>
        <w:t>建设，试点建设 </w:t>
      </w:r>
      <w:r>
        <w:rPr>
          <w:sz w:val="24"/>
        </w:rPr>
        <w:t>5</w:t>
      </w:r>
      <w:r>
        <w:rPr>
          <w:spacing w:val="-17"/>
          <w:sz w:val="24"/>
        </w:rPr>
        <w:t> 个左右示范性研究型病房；到 </w:t>
      </w:r>
      <w:r>
        <w:rPr>
          <w:sz w:val="24"/>
        </w:rPr>
        <w:t>2020</w:t>
      </w:r>
      <w:r>
        <w:rPr>
          <w:spacing w:val="-34"/>
          <w:sz w:val="24"/>
        </w:rPr>
        <w:t> 年，新建 </w:t>
      </w:r>
      <w:r>
        <w:rPr>
          <w:sz w:val="24"/>
        </w:rPr>
        <w:t>20</w:t>
      </w:r>
      <w:r>
        <w:rPr>
          <w:spacing w:val="-9"/>
          <w:sz w:val="24"/>
        </w:rPr>
        <w:t> 个左右示范性研究型病房；</w:t>
      </w:r>
    </w:p>
    <w:p>
      <w:pPr>
        <w:pStyle w:val="BodyText"/>
        <w:spacing w:line="302" w:lineRule="exact"/>
        <w:ind w:firstLine="0"/>
      </w:pPr>
      <w:r>
        <w:rPr/>
        <w:t>到 2022 年，建成若干研究型病房。</w:t>
      </w:r>
    </w:p>
    <w:p>
      <w:pPr>
        <w:pStyle w:val="BodyText"/>
        <w:spacing w:line="297" w:lineRule="auto" w:before="72"/>
        <w:ind w:right="127"/>
      </w:pPr>
      <w:r>
        <w:rPr>
          <w:spacing w:val="-3"/>
        </w:rPr>
        <w:t>《意见》指出，每家医院研究型病房的病床一般不少于 </w:t>
      </w:r>
      <w:r>
        <w:rPr/>
        <w:t>30</w:t>
      </w:r>
      <w:r>
        <w:rPr>
          <w:spacing w:val="-8"/>
        </w:rPr>
        <w:t> 张，不对研究型病房进行平</w:t>
      </w:r>
      <w:r>
        <w:rPr>
          <w:spacing w:val="-9"/>
        </w:rPr>
        <w:t>均住院日、床位周转次数等医疗方面的绩效考核，使其成为医务人员开展新技术、新方法、</w:t>
      </w:r>
      <w:r>
        <w:rPr/>
        <w:t>新药品和新器械创新研究的策源地和试验田。</w:t>
      </w:r>
    </w:p>
    <w:p>
      <w:pPr>
        <w:spacing w:after="0" w:line="297" w:lineRule="auto"/>
        <w:sectPr>
          <w:pgSz w:w="11910" w:h="16850"/>
          <w:pgMar w:header="906" w:footer="607" w:top="1100" w:bottom="800" w:left="1140" w:right="900"/>
        </w:sectPr>
      </w:pPr>
    </w:p>
    <w:p>
      <w:pPr>
        <w:pStyle w:val="BodyText"/>
        <w:spacing w:line="297" w:lineRule="auto" w:before="65"/>
        <w:ind w:right="110"/>
      </w:pPr>
      <w:r>
        <w:rPr>
          <w:spacing w:val="-17"/>
        </w:rPr>
        <w:t>《意见》提出，支持研究型病房与国内外一流研究机构和医药健康企业联合成立多中心、</w:t>
      </w:r>
      <w:r>
        <w:rPr>
          <w:spacing w:val="-5"/>
        </w:rPr>
        <w:t>多学科顶尖人才组成的高水平临床研究创新团队，实行临床研究项目负责人制度和定期脱产</w:t>
      </w:r>
      <w:r>
        <w:rPr>
          <w:spacing w:val="-12"/>
        </w:rPr>
        <w:t>科研制度，将药物和医疗器械临床试验和科技成果转化作为临床科研型医务人员职称评定的重要依据，加大临床研究相关的医师、护师、药师等专兼职人才培养和引进力度。</w:t>
      </w:r>
    </w:p>
    <w:p>
      <w:pPr>
        <w:pStyle w:val="BodyText"/>
        <w:spacing w:line="297" w:lineRule="auto"/>
        <w:ind w:right="110"/>
      </w:pPr>
      <w:r>
        <w:rPr>
          <w:spacing w:val="-10"/>
        </w:rPr>
        <w:t>《意见》明确，北京市还将建立全市统一的临床研究管理和服务平台，建立临床研究质</w:t>
      </w:r>
      <w:r>
        <w:rPr>
          <w:spacing w:val="-13"/>
        </w:rPr>
        <w:t>量促进中心，加快推进医院间和区域内的伦理审查结果互认，推动商业保险公司设立临床研</w:t>
      </w:r>
      <w:r>
        <w:rPr>
          <w:spacing w:val="-19"/>
        </w:rPr>
        <w:t>究责任险，促进临床研究平稳健康发展。通过多渠道资助，支持研究型病房与高水平的高校、</w:t>
      </w:r>
      <w:r>
        <w:rPr>
          <w:spacing w:val="-9"/>
        </w:rPr>
        <w:t>科研机构等，在药品和医疗器械的研发、生命科学前沿技术的转化研究、生物医学新技术的</w:t>
      </w:r>
      <w:r>
        <w:rPr>
          <w:spacing w:val="-14"/>
        </w:rPr>
        <w:t>应用研究等方面开展联合攻关。北京市级财政将对纳入建设规划的示范性研究型病房，给予</w:t>
      </w:r>
    </w:p>
    <w:p>
      <w:pPr>
        <w:pStyle w:val="BodyText"/>
        <w:spacing w:line="407" w:lineRule="exact"/>
        <w:ind w:firstLine="0"/>
        <w:rPr>
          <w:rFonts w:ascii="Meiryo" w:eastAsia="Meiryo" w:hint="eastAsia"/>
          <w:b/>
        </w:rPr>
      </w:pPr>
      <w:r>
        <w:rPr/>
        <w:t>一次性建设经费补贴和基于考核结果的奖励经费保障。</w:t>
      </w:r>
      <w:r>
        <w:rPr>
          <w:rFonts w:ascii="Meiryo" w:eastAsia="Meiryo" w:hint="eastAsia"/>
          <w:b/>
          <w:color w:val="0033CC"/>
        </w:rPr>
        <w:t>[返回目次]</w:t>
      </w:r>
    </w:p>
    <w:p>
      <w:pPr>
        <w:pStyle w:val="Heading1"/>
        <w:spacing w:line="714" w:lineRule="exact"/>
        <w:ind w:left="0" w:right="93"/>
        <w:jc w:val="center"/>
        <w:rPr>
          <w:u w:val="none"/>
        </w:rPr>
      </w:pPr>
      <w:r>
        <w:rPr>
          <w:rFonts w:ascii="Times New Roman" w:eastAsia="Times New Roman"/>
          <w:color w:val="008000"/>
          <w:spacing w:val="-110"/>
          <w:w w:val="99"/>
          <w:u w:val="thick" w:color="008000"/>
        </w:rPr>
        <w:t> </w:t>
      </w:r>
      <w:r>
        <w:rPr>
          <w:color w:val="008000"/>
          <w:u w:val="thick" w:color="008000"/>
        </w:rPr>
        <w:t>行业资讯</w:t>
      </w:r>
    </w:p>
    <w:p>
      <w:pPr>
        <w:pStyle w:val="Heading2"/>
        <w:spacing w:before="136"/>
        <w:ind w:left="137"/>
      </w:pPr>
      <w:r>
        <w:rPr/>
        <w:t>【热点聚焦】</w:t>
      </w:r>
    </w:p>
    <w:p>
      <w:pPr>
        <w:pStyle w:val="BodyText"/>
        <w:spacing w:before="8"/>
        <w:ind w:left="0" w:firstLine="0"/>
        <w:rPr>
          <w:b/>
          <w:sz w:val="18"/>
        </w:rPr>
      </w:pPr>
    </w:p>
    <w:p>
      <w:pPr>
        <w:spacing w:before="55"/>
        <w:ind w:left="140" w:right="237" w:firstLine="0"/>
        <w:jc w:val="center"/>
        <w:rPr>
          <w:b/>
          <w:sz w:val="32"/>
        </w:rPr>
      </w:pPr>
      <w:r>
        <w:rPr>
          <w:b/>
          <w:spacing w:val="-1"/>
          <w:sz w:val="32"/>
        </w:rPr>
        <w:t>花更少的钱 用更好的药</w:t>
      </w:r>
    </w:p>
    <w:p>
      <w:pPr>
        <w:spacing w:before="79"/>
        <w:ind w:left="2" w:right="91" w:firstLine="0"/>
        <w:jc w:val="center"/>
        <w:rPr>
          <w:b/>
          <w:sz w:val="21"/>
        </w:rPr>
      </w:pPr>
      <w:r>
        <w:rPr>
          <w:b/>
          <w:color w:val="666666"/>
          <w:spacing w:val="-2"/>
          <w:sz w:val="21"/>
        </w:rPr>
        <w:t>一致性评价铺就中国仿制药提质之路</w:t>
      </w:r>
    </w:p>
    <w:p>
      <w:pPr>
        <w:pStyle w:val="Heading3"/>
        <w:spacing w:before="176"/>
        <w:ind w:left="137" w:right="228"/>
        <w:jc w:val="right"/>
        <w:rPr>
          <w:rFonts w:ascii="楷体" w:eastAsia="楷体" w:hint="eastAsia"/>
        </w:rPr>
      </w:pPr>
      <w:r>
        <w:rPr>
          <w:rFonts w:ascii="楷体" w:eastAsia="楷体" w:hint="eastAsia"/>
          <w:color w:val="FF0000"/>
          <w:w w:val="95"/>
        </w:rPr>
        <w:t>（来源：中国医药报）</w:t>
      </w:r>
    </w:p>
    <w:p>
      <w:pPr>
        <w:pStyle w:val="BodyText"/>
        <w:spacing w:before="99"/>
        <w:ind w:left="617" w:firstLine="0"/>
      </w:pPr>
      <w:r>
        <w:rPr>
          <w:spacing w:val="-31"/>
        </w:rPr>
        <w:t>自 </w:t>
      </w:r>
      <w:r>
        <w:rPr/>
        <w:t>2015</w:t>
      </w:r>
      <w:r>
        <w:rPr>
          <w:spacing w:val="-14"/>
        </w:rPr>
        <w:t> 年药品审评审批制度改革启动以来，我国仿制药坚定不移地走上质量提升之路。</w:t>
      </w:r>
    </w:p>
    <w:p>
      <w:pPr>
        <w:pStyle w:val="BodyText"/>
        <w:spacing w:before="71"/>
        <w:ind w:firstLine="0"/>
      </w:pPr>
      <w:r>
        <w:rPr/>
        <w:t>截至今年 9 月 30 日，国家药品监督管理局药品审评中心（以下简称药审中心）共受理 278</w:t>
      </w:r>
    </w:p>
    <w:p>
      <w:pPr>
        <w:pStyle w:val="BodyText"/>
        <w:spacing w:line="297" w:lineRule="auto" w:before="72"/>
        <w:ind w:right="110" w:firstLine="0"/>
      </w:pPr>
      <w:r>
        <w:rPr>
          <w:spacing w:val="-6"/>
        </w:rPr>
        <w:t>个品种的口服固体制剂仿制药质量和疗效一致性评价申请，其中 </w:t>
      </w:r>
      <w:r>
        <w:rPr/>
        <w:t>110</w:t>
      </w:r>
      <w:r>
        <w:rPr>
          <w:spacing w:val="-8"/>
        </w:rPr>
        <w:t> 个品种已通过仿制药一</w:t>
      </w:r>
      <w:r>
        <w:rPr>
          <w:spacing w:val="-17"/>
        </w:rPr>
        <w:t>致性评价。在各方力量推动下，更多高质量仿制药实现对原研药的替代，在临床上发挥作用， </w:t>
      </w:r>
      <w:r>
        <w:rPr/>
        <w:t>让患者受益。</w:t>
      </w:r>
    </w:p>
    <w:p>
      <w:pPr>
        <w:pStyle w:val="Heading3"/>
        <w:spacing w:line="304" w:lineRule="exact"/>
      </w:pPr>
      <w:r>
        <w:rPr/>
        <w:t>顶层设计 建立体系</w:t>
      </w:r>
    </w:p>
    <w:p>
      <w:pPr>
        <w:pStyle w:val="BodyText"/>
        <w:spacing w:line="297" w:lineRule="auto" w:before="74"/>
        <w:ind w:right="107"/>
      </w:pPr>
      <w:r>
        <w:rPr>
          <w:spacing w:val="-9"/>
        </w:rPr>
        <w:t>长期以来，仿制药是我国药品市场的主体，但由于历史原因，部分仿制药质量和疗效与</w:t>
      </w:r>
      <w:r>
        <w:rPr>
          <w:spacing w:val="-17"/>
        </w:rPr>
        <w:t>原研药存在差距。</w:t>
      </w:r>
      <w:r>
        <w:rPr/>
        <w:t>2015</w:t>
      </w:r>
      <w:r>
        <w:rPr>
          <w:spacing w:val="-40"/>
        </w:rPr>
        <w:t> 年 </w:t>
      </w:r>
      <w:r>
        <w:rPr/>
        <w:t>8</w:t>
      </w:r>
      <w:r>
        <w:rPr>
          <w:spacing w:val="-18"/>
        </w:rPr>
        <w:t> 月，国务院印发《关于改革药品医疗器械审评审批制度的意见》， </w:t>
      </w:r>
      <w:r>
        <w:rPr>
          <w:spacing w:val="-5"/>
        </w:rPr>
        <w:t>将“提高仿制药质量”作为药审改革的五大目标之一，对已上市的仿制药，按照与原研药品质量和疗效一致的要求，分期分批开展评价。</w:t>
      </w:r>
    </w:p>
    <w:p>
      <w:pPr>
        <w:pStyle w:val="BodyText"/>
        <w:spacing w:line="297" w:lineRule="auto"/>
        <w:ind w:right="226"/>
        <w:jc w:val="both"/>
      </w:pPr>
      <w:r>
        <w:rPr>
          <w:spacing w:val="-9"/>
        </w:rPr>
        <w:t>药审改革启动后，国家制定了一系列政策，鼓励企业积极开展仿制药一致性评价，并设</w:t>
      </w:r>
      <w:r>
        <w:rPr>
          <w:spacing w:val="-11"/>
        </w:rPr>
        <w:t>立了由药品审评、检验检测、审核查验、监测评价等部门组成的仿制药质量和疗效一致性评</w:t>
      </w:r>
      <w:r>
        <w:rPr/>
        <w:t>价办公室（以下简称一致性评价办公室）。</w:t>
      </w:r>
    </w:p>
    <w:p>
      <w:pPr>
        <w:pStyle w:val="BodyText"/>
        <w:spacing w:line="295" w:lineRule="auto"/>
        <w:ind w:right="306"/>
        <w:jc w:val="both"/>
      </w:pPr>
      <w:r>
        <w:rPr/>
        <w:t>2016</w:t>
      </w:r>
      <w:r>
        <w:rPr>
          <w:spacing w:val="-41"/>
        </w:rPr>
        <w:t> 年 </w:t>
      </w:r>
      <w:r>
        <w:rPr/>
        <w:t>3</w:t>
      </w:r>
      <w:r>
        <w:rPr>
          <w:spacing w:val="-9"/>
        </w:rPr>
        <w:t> 月，国办发布《关于开展仿制药质量和疗效一致性评价的意见》，这是指导</w:t>
      </w:r>
      <w:r>
        <w:rPr/>
        <w:t>我国药品生产企业开展仿制药一致性评价的纲领性文件。2017</w:t>
      </w:r>
      <w:r>
        <w:rPr>
          <w:spacing w:val="-40"/>
        </w:rPr>
        <w:t> 年 </w:t>
      </w:r>
      <w:r>
        <w:rPr/>
        <w:t>8</w:t>
      </w:r>
      <w:r>
        <w:rPr>
          <w:spacing w:val="-9"/>
        </w:rPr>
        <w:t> 月，国家药监部门发布</w:t>
      </w:r>
    </w:p>
    <w:p>
      <w:pPr>
        <w:pStyle w:val="BodyText"/>
        <w:spacing w:line="295" w:lineRule="auto"/>
        <w:ind w:right="230" w:firstLine="0"/>
      </w:pPr>
      <w:r>
        <w:rPr>
          <w:spacing w:val="-5"/>
        </w:rPr>
        <w:t>《关于仿制药质量和疗效一致性评价工作有关事项的公告》，规定了仿制药一致性评价受理</w:t>
      </w:r>
      <w:r>
        <w:rPr/>
        <w:t>审批、检查检验的基本流程。</w:t>
      </w:r>
    </w:p>
    <w:p>
      <w:pPr>
        <w:pStyle w:val="BodyText"/>
        <w:spacing w:line="297" w:lineRule="auto"/>
        <w:ind w:right="226"/>
        <w:jc w:val="both"/>
      </w:pPr>
      <w:r>
        <w:rPr>
          <w:spacing w:val="-10"/>
        </w:rPr>
        <w:t>据了解，仿制药一致性评价共涉及 </w:t>
      </w:r>
      <w:r>
        <w:rPr/>
        <w:t>4300</w:t>
      </w:r>
      <w:r>
        <w:rPr>
          <w:spacing w:val="-16"/>
        </w:rPr>
        <w:t> 余个品种、</w:t>
      </w:r>
      <w:r>
        <w:rPr/>
        <w:t>10.5</w:t>
      </w:r>
      <w:r>
        <w:rPr>
          <w:spacing w:val="-12"/>
        </w:rPr>
        <w:t> 万个批准文号、</w:t>
      </w:r>
      <w:r>
        <w:rPr/>
        <w:t>3500</w:t>
      </w:r>
      <w:r>
        <w:rPr>
          <w:spacing w:val="-16"/>
        </w:rPr>
        <w:t> 余家药品</w:t>
      </w:r>
      <w:r>
        <w:rPr>
          <w:spacing w:val="-3"/>
        </w:rPr>
        <w:t>生产企业。</w:t>
      </w:r>
      <w:r>
        <w:rPr/>
        <w:t>2018</w:t>
      </w:r>
      <w:r>
        <w:rPr>
          <w:spacing w:val="-40"/>
        </w:rPr>
        <w:t> 年 </w:t>
      </w:r>
      <w:r>
        <w:rPr/>
        <w:t>11</w:t>
      </w:r>
      <w:r>
        <w:rPr>
          <w:spacing w:val="-40"/>
        </w:rPr>
        <w:t> 月 </w:t>
      </w:r>
      <w:r>
        <w:rPr/>
        <w:t>1</w:t>
      </w:r>
      <w:r>
        <w:rPr>
          <w:spacing w:val="-11"/>
        </w:rPr>
        <w:t> 日，《国家基本药物目录</w:t>
      </w:r>
      <w:r>
        <w:rPr/>
        <w:t>（2018</w:t>
      </w:r>
      <w:r>
        <w:rPr>
          <w:spacing w:val="-20"/>
        </w:rPr>
        <w:t> 年版</w:t>
      </w:r>
      <w:r>
        <w:rPr>
          <w:spacing w:val="-15"/>
        </w:rPr>
        <w:t>）</w:t>
      </w:r>
      <w:r>
        <w:rPr>
          <w:spacing w:val="-7"/>
        </w:rPr>
        <w:t>》施行，建立动态调整机</w:t>
      </w:r>
      <w:r>
        <w:rPr>
          <w:spacing w:val="-11"/>
        </w:rPr>
        <w:t>制，通过仿制药一致性评价的品种优先纳入目录，未通过仿制药一致性评价的品种将逐步调</w:t>
      </w:r>
      <w:r>
        <w:rPr/>
        <w:t>出目录。</w:t>
      </w:r>
    </w:p>
    <w:p>
      <w:pPr>
        <w:spacing w:after="0" w:line="297" w:lineRule="auto"/>
        <w:jc w:val="both"/>
        <w:sectPr>
          <w:pgSz w:w="11910" w:h="16850"/>
          <w:pgMar w:header="906" w:footer="607" w:top="1100" w:bottom="800" w:left="1140" w:right="900"/>
        </w:sectPr>
      </w:pPr>
    </w:p>
    <w:p>
      <w:pPr>
        <w:pStyle w:val="Heading3"/>
        <w:spacing w:before="65"/>
      </w:pPr>
      <w:r>
        <w:rPr/>
        <w:t>设立标杆 提升质量</w:t>
      </w:r>
    </w:p>
    <w:p>
      <w:pPr>
        <w:pStyle w:val="BodyText"/>
        <w:spacing w:line="295" w:lineRule="auto" w:before="72"/>
        <w:ind w:right="227"/>
      </w:pPr>
      <w:r>
        <w:rPr>
          <w:spacing w:val="-7"/>
        </w:rPr>
        <w:t>仿制药一致性评价工作启动后，国家药监部门不断完善一致性评价工作细则，制定了一</w:t>
      </w:r>
      <w:r>
        <w:rPr/>
        <w:t>系列扶持政策，鼓励更多企业开展仿制药一致性评价。</w:t>
      </w:r>
    </w:p>
    <w:p>
      <w:pPr>
        <w:pStyle w:val="BodyText"/>
        <w:spacing w:before="4"/>
        <w:ind w:left="617" w:firstLine="0"/>
      </w:pPr>
      <w:r>
        <w:rPr/>
        <w:t>2017</w:t>
      </w:r>
      <w:r>
        <w:rPr>
          <w:spacing w:val="-41"/>
        </w:rPr>
        <w:t> 年 </w:t>
      </w:r>
      <w:r>
        <w:rPr/>
        <w:t>12</w:t>
      </w:r>
      <w:r>
        <w:rPr>
          <w:spacing w:val="-14"/>
        </w:rPr>
        <w:t> 月，一致性评价办公室对 </w:t>
      </w:r>
      <w:r>
        <w:rPr/>
        <w:t>289</w:t>
      </w:r>
      <w:r>
        <w:rPr>
          <w:spacing w:val="-9"/>
        </w:rPr>
        <w:t> 基药目录中品种的参比制剂进行梳理，形成了</w:t>
      </w:r>
    </w:p>
    <w:p>
      <w:pPr>
        <w:pStyle w:val="BodyText"/>
        <w:spacing w:line="297" w:lineRule="auto" w:before="72"/>
        <w:ind w:right="110" w:firstLine="0"/>
      </w:pPr>
      <w:r>
        <w:rPr/>
        <w:t>《289</w:t>
      </w:r>
      <w:r>
        <w:rPr>
          <w:spacing w:val="-17"/>
        </w:rPr>
        <w:t> 目录品种参比制剂基本情况表》并实时更新，供企业进行仿制药一致性评价研究参考。</w:t>
      </w:r>
      <w:r>
        <w:rPr/>
        <w:t>2018</w:t>
      </w:r>
      <w:r>
        <w:rPr>
          <w:spacing w:val="-41"/>
        </w:rPr>
        <w:t> 年 </w:t>
      </w:r>
      <w:r>
        <w:rPr/>
        <w:t>1</w:t>
      </w:r>
      <w:r>
        <w:rPr>
          <w:spacing w:val="-8"/>
        </w:rPr>
        <w:t> 月，国家药监部门制定发布《中国上市药品目录集》，收录了我国批准上市的创</w:t>
      </w:r>
      <w:r>
        <w:rPr>
          <w:spacing w:val="-17"/>
        </w:rPr>
        <w:t>新药、改良型新药、按照化学药品新注册分类申报的仿制药以及通过一致性评价药品的信息， </w:t>
      </w:r>
      <w:r>
        <w:rPr>
          <w:spacing w:val="-8"/>
        </w:rPr>
        <w:t>指定仿制药参比制剂，树立了仿制药研发标杆。今年 </w:t>
      </w:r>
      <w:r>
        <w:rPr/>
        <w:t>3</w:t>
      </w:r>
      <w:r>
        <w:rPr>
          <w:spacing w:val="-12"/>
        </w:rPr>
        <w:t> 月，国家药监局发布公告，确定化学</w:t>
      </w:r>
    </w:p>
    <w:p>
      <w:pPr>
        <w:pStyle w:val="BodyText"/>
        <w:spacing w:line="302" w:lineRule="exact"/>
        <w:ind w:firstLine="0"/>
      </w:pPr>
      <w:r>
        <w:rPr>
          <w:spacing w:val="-9"/>
        </w:rPr>
        <w:t>仿制药参比制剂遴选与确定程序，截至 </w:t>
      </w:r>
      <w:r>
        <w:rPr/>
        <w:t>9</w:t>
      </w:r>
      <w:r>
        <w:rPr>
          <w:spacing w:val="-22"/>
        </w:rPr>
        <w:t> 月底，已正式发布 </w:t>
      </w:r>
      <w:r>
        <w:rPr/>
        <w:t>22</w:t>
      </w:r>
      <w:r>
        <w:rPr>
          <w:spacing w:val="-23"/>
        </w:rPr>
        <w:t> 批参比制剂，共 </w:t>
      </w:r>
      <w:r>
        <w:rPr/>
        <w:t>1899</w:t>
      </w:r>
      <w:r>
        <w:rPr>
          <w:spacing w:val="-12"/>
        </w:rPr>
        <w:t> 个品规；</w:t>
      </w:r>
    </w:p>
    <w:p>
      <w:pPr>
        <w:pStyle w:val="BodyText"/>
        <w:spacing w:before="74"/>
        <w:ind w:firstLine="0"/>
      </w:pPr>
      <w:r>
        <w:rPr/>
        <w:t>其中包括 141 个注射剂品种，共计 402 个品规。</w:t>
      </w:r>
    </w:p>
    <w:p>
      <w:pPr>
        <w:pStyle w:val="BodyText"/>
        <w:spacing w:line="297" w:lineRule="auto" w:before="72"/>
        <w:ind w:right="227"/>
        <w:jc w:val="both"/>
      </w:pPr>
      <w:r>
        <w:rPr>
          <w:spacing w:val="-6"/>
        </w:rPr>
        <w:t>“仿制药一致性评价是需要企业投入资金、技术和时间进行质量攻关、工艺改进和技术</w:t>
      </w:r>
      <w:r>
        <w:rPr>
          <w:spacing w:val="-10"/>
        </w:rPr>
        <w:t>提升的科学研究。”江苏先声药业集团党委书记兼研究院副院长王峰表示，仿制药一致性评</w:t>
      </w:r>
      <w:r>
        <w:rPr>
          <w:spacing w:val="-2"/>
        </w:rPr>
        <w:t>价工作的推进，驱动企业在研发体系质量上与原研药对标，且必须与 </w:t>
      </w:r>
      <w:r>
        <w:rPr/>
        <w:t>I CH</w:t>
      </w:r>
      <w:r>
        <w:rPr>
          <w:spacing w:val="-8"/>
        </w:rPr>
        <w:t> 标准接轨。仿制药一致性评价工作提高了药品质量和药品研发体系整体水平。</w:t>
      </w:r>
    </w:p>
    <w:p>
      <w:pPr>
        <w:pStyle w:val="Heading3"/>
        <w:spacing w:line="301" w:lineRule="exact"/>
        <w:jc w:val="both"/>
      </w:pPr>
      <w:r>
        <w:rPr/>
        <w:t>降低药价 重塑市场</w:t>
      </w:r>
    </w:p>
    <w:p>
      <w:pPr>
        <w:pStyle w:val="BodyText"/>
        <w:spacing w:line="297" w:lineRule="auto" w:before="74"/>
        <w:ind w:right="125"/>
        <w:jc w:val="both"/>
      </w:pPr>
      <w:r>
        <w:rPr>
          <w:spacing w:val="-5"/>
        </w:rPr>
        <w:t>企业开展仿制药一致性评价的资金和技术成本并不低。复星医药相关人士介绍说，企业</w:t>
      </w:r>
      <w:r>
        <w:rPr>
          <w:spacing w:val="-11"/>
        </w:rPr>
        <w:t>开展仿制药一致性评价，平均每个品种投入 </w:t>
      </w:r>
      <w:r>
        <w:rPr/>
        <w:t>750</w:t>
      </w:r>
      <w:r>
        <w:rPr>
          <w:spacing w:val="-12"/>
        </w:rPr>
        <w:t> 万元左右。王峰表示，短期来看，企业开展</w:t>
      </w:r>
      <w:r>
        <w:rPr>
          <w:spacing w:val="-16"/>
        </w:rPr>
        <w:t>仿制药一致性评价后的经济获益不明显，但从长远来看，这是一件多方共赢的好事：对患者</w:t>
      </w:r>
      <w:r>
        <w:rPr>
          <w:spacing w:val="-12"/>
        </w:rPr>
        <w:t>来说，可降低药价，提高药品质量，保障药品供应；对企业来说，产品通过仿制药一致性评</w:t>
      </w:r>
      <w:r>
        <w:rPr>
          <w:spacing w:val="-13"/>
        </w:rPr>
        <w:t>价，有利于企业在竞争激烈的仿制药市场上获得更好效益，也有利于企业品牌价值的提升。</w:t>
      </w:r>
    </w:p>
    <w:p>
      <w:pPr>
        <w:pStyle w:val="BodyText"/>
        <w:spacing w:line="297" w:lineRule="auto"/>
        <w:ind w:right="230"/>
        <w:jc w:val="both"/>
      </w:pPr>
      <w:r>
        <w:rPr>
          <w:spacing w:val="-6"/>
        </w:rPr>
        <w:t>在不久前举办的第四届中国药品监管科学大会上，国家药监局南方医药经济研究所所长</w:t>
      </w:r>
      <w:r>
        <w:rPr/>
        <w:t>林建宁直言，我国药品招标采购的模式正在发生变化，“4+7”带量采购将从“扩面”走向“扩品种”，未通过仿制药一致性评价品种将失去市场机会。</w:t>
      </w:r>
    </w:p>
    <w:p>
      <w:pPr>
        <w:pStyle w:val="BodyText"/>
        <w:spacing w:line="297" w:lineRule="auto"/>
        <w:ind w:right="228"/>
        <w:jc w:val="both"/>
      </w:pPr>
      <w:r>
        <w:rPr>
          <w:spacing w:val="-7"/>
        </w:rPr>
        <w:t>仿制药一致性评价的临床意义也已显现。以慢性髓性白血病治疗一线用药甲磺酸伊马替</w:t>
      </w:r>
      <w:r>
        <w:rPr/>
        <w:t>尼（格列卫）为例：2001</w:t>
      </w:r>
      <w:r>
        <w:rPr>
          <w:spacing w:val="-12"/>
        </w:rPr>
        <w:t> 年格列卫进入中国时，定价为 </w:t>
      </w:r>
      <w:r>
        <w:rPr/>
        <w:t>23500/盒，一名患者一年的药物费</w:t>
      </w:r>
      <w:r>
        <w:rPr>
          <w:spacing w:val="-16"/>
        </w:rPr>
        <w:t>用超过 </w:t>
      </w:r>
      <w:r>
        <w:rPr/>
        <w:t>28</w:t>
      </w:r>
      <w:r>
        <w:rPr>
          <w:spacing w:val="-17"/>
        </w:rPr>
        <w:t> 万元；</w:t>
      </w:r>
      <w:r>
        <w:rPr>
          <w:spacing w:val="-5"/>
        </w:rPr>
        <w:t>2018</w:t>
      </w:r>
      <w:r>
        <w:rPr>
          <w:spacing w:val="-14"/>
        </w:rPr>
        <w:t> 年，经医保谈判后，每盒价格降至 </w:t>
      </w:r>
      <w:r>
        <w:rPr/>
        <w:t>1</w:t>
      </w:r>
      <w:r>
        <w:rPr>
          <w:spacing w:val="-11"/>
        </w:rPr>
        <w:t> 万元出头；</w:t>
      </w:r>
      <w:r>
        <w:rPr>
          <w:spacing w:val="-5"/>
        </w:rPr>
        <w:t>2018</w:t>
      </w:r>
      <w:r>
        <w:rPr>
          <w:spacing w:val="-40"/>
        </w:rPr>
        <w:t> 年 </w:t>
      </w:r>
      <w:r>
        <w:rPr/>
        <w:t>7</w:t>
      </w:r>
      <w:r>
        <w:rPr>
          <w:spacing w:val="-16"/>
        </w:rPr>
        <w:t> 月，江苏豪</w:t>
      </w:r>
      <w:r>
        <w:rPr>
          <w:spacing w:val="-3"/>
        </w:rPr>
        <w:t>森药业生产的仿制药甲磺酸伊马替尼</w:t>
      </w:r>
      <w:r>
        <w:rPr/>
        <w:t>（昕维</w:t>
      </w:r>
      <w:r>
        <w:rPr>
          <w:spacing w:val="-36"/>
        </w:rPr>
        <w:t>）</w:t>
      </w:r>
      <w:r>
        <w:rPr>
          <w:spacing w:val="-6"/>
        </w:rPr>
        <w:t>通过仿制药一致性评价，可进行原研替代——</w:t>
      </w:r>
    </w:p>
    <w:p>
      <w:pPr>
        <w:pStyle w:val="BodyText"/>
        <w:spacing w:line="194" w:lineRule="auto"/>
        <w:ind w:right="226" w:firstLine="0"/>
        <w:jc w:val="both"/>
        <w:rPr>
          <w:rFonts w:ascii="Meiryo" w:eastAsia="Meiryo" w:hint="eastAsia"/>
          <w:b/>
        </w:rPr>
      </w:pPr>
      <w:r>
        <w:rPr>
          <w:spacing w:val="-3"/>
        </w:rPr>
        <w:t>而昕维每盒价格不及进入医保目录后的格列卫价格的 </w:t>
      </w:r>
      <w:r>
        <w:rPr>
          <w:spacing w:val="-21"/>
        </w:rPr>
        <w:t>1/9</w:t>
      </w:r>
      <w:r>
        <w:rPr>
          <w:spacing w:val="-11"/>
        </w:rPr>
        <w:t>，切实降低了患者的药费负担。</w:t>
      </w:r>
      <w:r>
        <w:rPr>
          <w:rFonts w:ascii="Meiryo" w:eastAsia="Meiryo" w:hint="eastAsia"/>
          <w:b/>
          <w:color w:val="0033CC"/>
          <w:spacing w:val="-8"/>
        </w:rPr>
        <w:t>[返</w:t>
      </w:r>
      <w:r>
        <w:rPr>
          <w:rFonts w:ascii="Meiryo" w:eastAsia="Meiryo" w:hint="eastAsia"/>
          <w:b/>
          <w:color w:val="0033CC"/>
        </w:rPr>
        <w:t>回目次]</w:t>
      </w:r>
    </w:p>
    <w:p>
      <w:pPr>
        <w:pStyle w:val="BodyText"/>
        <w:spacing w:before="8"/>
        <w:ind w:left="0" w:firstLine="0"/>
        <w:rPr>
          <w:rFonts w:ascii="Meiryo"/>
          <w:b/>
          <w:sz w:val="11"/>
        </w:rPr>
      </w:pPr>
    </w:p>
    <w:p>
      <w:pPr>
        <w:pStyle w:val="Heading2"/>
        <w:ind w:right="236"/>
        <w:jc w:val="center"/>
      </w:pPr>
      <w:r>
        <w:rPr/>
        <w:t>美国 FDA 启动技术现代化行动计划</w:t>
      </w:r>
    </w:p>
    <w:p>
      <w:pPr>
        <w:pStyle w:val="Heading3"/>
        <w:spacing w:before="148"/>
        <w:ind w:left="137" w:right="228"/>
        <w:jc w:val="right"/>
        <w:rPr>
          <w:rFonts w:ascii="楷体" w:eastAsia="楷体" w:hint="eastAsia"/>
        </w:rPr>
      </w:pPr>
      <w:r>
        <w:rPr>
          <w:rFonts w:ascii="楷体" w:eastAsia="楷体" w:hint="eastAsia"/>
          <w:color w:val="FF0000"/>
          <w:w w:val="95"/>
        </w:rPr>
        <w:t>（来源：中国医药报）</w:t>
      </w:r>
    </w:p>
    <w:p>
      <w:pPr>
        <w:pStyle w:val="BodyText"/>
        <w:spacing w:line="297" w:lineRule="auto" w:before="96"/>
        <w:ind w:right="69"/>
      </w:pPr>
      <w:r>
        <w:rPr>
          <w:spacing w:val="-4"/>
        </w:rPr>
        <w:t>为促进科学技术与生物医学进展向新疗法新医药产品转化，美国食品药品管理局</w:t>
      </w:r>
      <w:r>
        <w:rPr/>
        <w:t>（以下</w:t>
      </w:r>
      <w:r>
        <w:rPr>
          <w:spacing w:val="-20"/>
        </w:rPr>
        <w:t>简称 </w:t>
      </w:r>
      <w:r>
        <w:rPr/>
        <w:t>FDA）近期发布了技术现代化行动计划（Technol ogy Modernization Act ion Pl </w:t>
      </w:r>
      <w:r>
        <w:rPr>
          <w:spacing w:val="-4"/>
        </w:rPr>
        <w:t>an， </w:t>
      </w:r>
      <w:r>
        <w:rPr/>
        <w:t>TMAP）。</w:t>
      </w:r>
    </w:p>
    <w:p>
      <w:pPr>
        <w:pStyle w:val="BodyText"/>
        <w:spacing w:line="297" w:lineRule="auto"/>
        <w:ind w:right="107"/>
      </w:pPr>
      <w:r>
        <w:rPr/>
        <w:t>TMAP</w:t>
      </w:r>
      <w:r>
        <w:rPr>
          <w:spacing w:val="-11"/>
        </w:rPr>
        <w:t> 主要内容包括三方面：一是开展 </w:t>
      </w:r>
      <w:r>
        <w:rPr/>
        <w:t>FDA</w:t>
      </w:r>
      <w:r>
        <w:rPr>
          <w:spacing w:val="-11"/>
        </w:rPr>
        <w:t> 技术基础设施的现代化建设；二是增强 </w:t>
      </w:r>
      <w:r>
        <w:rPr/>
        <w:t>FDA </w:t>
      </w:r>
      <w:r>
        <w:rPr>
          <w:spacing w:val="-16"/>
        </w:rPr>
        <w:t>开发新技术产品的能力，从而加大对监管业务的支持力度；三是加强与利益相关方沟通合作， </w:t>
      </w:r>
      <w:r>
        <w:rPr/>
        <w:t>推动跨系统的互操作技术进步，为消费者和患者提供更大价值。</w:t>
      </w:r>
    </w:p>
    <w:p>
      <w:pPr>
        <w:spacing w:after="0" w:line="297" w:lineRule="auto"/>
        <w:sectPr>
          <w:pgSz w:w="11910" w:h="16850"/>
          <w:pgMar w:header="906" w:footer="607" w:top="1100" w:bottom="800" w:left="1140" w:right="900"/>
        </w:sectPr>
      </w:pPr>
    </w:p>
    <w:p>
      <w:pPr>
        <w:pStyle w:val="Heading3"/>
        <w:spacing w:before="65"/>
        <w:jc w:val="both"/>
      </w:pPr>
      <w:r>
        <w:rPr/>
        <w:t>构建基础：FDA 技术基础设施的现代化建设</w:t>
      </w:r>
    </w:p>
    <w:p>
      <w:pPr>
        <w:pStyle w:val="BodyText"/>
        <w:spacing w:line="295" w:lineRule="auto" w:before="72"/>
        <w:ind w:right="246"/>
        <w:jc w:val="both"/>
      </w:pPr>
      <w:r>
        <w:rPr>
          <w:spacing w:val="-21"/>
        </w:rPr>
        <w:t>这是 </w:t>
      </w:r>
      <w:r>
        <w:rPr/>
        <w:t>TMAP</w:t>
      </w:r>
      <w:r>
        <w:rPr>
          <w:spacing w:val="-12"/>
        </w:rPr>
        <w:t> 的首要目标，主要包括：确保 </w:t>
      </w:r>
      <w:r>
        <w:rPr/>
        <w:t>FDA</w:t>
      </w:r>
      <w:r>
        <w:rPr>
          <w:spacing w:val="-9"/>
        </w:rPr>
        <w:t> 拥有健全的基础设施，制定并实施云导向</w:t>
      </w:r>
      <w:r>
        <w:rPr/>
        <w:t>计划，制定并使用明晰高效的外部数据接口，以及加强网络安全。</w:t>
      </w:r>
    </w:p>
    <w:p>
      <w:pPr>
        <w:pStyle w:val="BodyText"/>
        <w:spacing w:line="295" w:lineRule="auto" w:before="4"/>
        <w:ind w:right="207"/>
        <w:jc w:val="both"/>
      </w:pPr>
      <w:r>
        <w:rPr/>
        <w:t>FDA</w:t>
      </w:r>
      <w:r>
        <w:rPr>
          <w:spacing w:val="-13"/>
        </w:rPr>
        <w:t> 希望通过制定并实施 </w:t>
      </w:r>
      <w:r>
        <w:rPr>
          <w:spacing w:val="-11"/>
        </w:rPr>
        <w:t>TMAP</w:t>
      </w:r>
      <w:r>
        <w:rPr>
          <w:spacing w:val="-6"/>
        </w:rPr>
        <w:t>，使其技术基础设施既包括计算机、存储和网络等传统的</w:t>
      </w:r>
      <w:r>
        <w:rPr>
          <w:spacing w:val="-20"/>
        </w:rPr>
        <w:t>信息技术，又涵盖新的现代化信息技术战略，如基础设施即服务</w:t>
      </w:r>
      <w:r>
        <w:rPr/>
        <w:t>（IaaS</w:t>
      </w:r>
      <w:r>
        <w:rPr>
          <w:spacing w:val="-101"/>
        </w:rPr>
        <w:t>）</w:t>
      </w:r>
      <w:r>
        <w:rPr>
          <w:spacing w:val="-35"/>
        </w:rPr>
        <w:t>、软件即服务</w:t>
      </w:r>
      <w:r>
        <w:rPr/>
        <w:t>（SaaS</w:t>
      </w:r>
      <w:r>
        <w:rPr>
          <w:spacing w:val="-99"/>
        </w:rPr>
        <w:t>）</w:t>
      </w:r>
      <w:r>
        <w:rPr>
          <w:spacing w:val="-113"/>
        </w:rPr>
        <w:t>、</w:t>
      </w:r>
      <w:r>
        <w:rPr>
          <w:spacing w:val="-4"/>
        </w:rPr>
        <w:t>平台即服务</w:t>
      </w:r>
      <w:r>
        <w:rPr>
          <w:spacing w:val="-3"/>
        </w:rPr>
        <w:t>（PaaS）</w:t>
      </w:r>
      <w:r>
        <w:rPr>
          <w:spacing w:val="-8"/>
        </w:rPr>
        <w:t>和数据湖、数据仓库，以及敏捷软件开发等。同时，技术基础设施还应</w:t>
      </w:r>
      <w:r>
        <w:rPr>
          <w:spacing w:val="-14"/>
        </w:rPr>
        <w:t>具备可扩展性和灵活性。通过这些现代化建设，为持续改进监管相关工作提供支持，例如接</w:t>
      </w:r>
      <w:r>
        <w:rPr>
          <w:spacing w:val="-10"/>
        </w:rPr>
        <w:t>收、生成、保护和管理数据，引进人工智能</w:t>
      </w:r>
      <w:r>
        <w:rPr/>
        <w:t>（如机器学习等</w:t>
      </w:r>
      <w:r>
        <w:rPr>
          <w:spacing w:val="-17"/>
        </w:rPr>
        <w:t>）</w:t>
      </w:r>
      <w:r>
        <w:rPr>
          <w:spacing w:val="-2"/>
        </w:rPr>
        <w:t>先进算法开展数据分析，促进数据用于监管决策。</w:t>
      </w:r>
    </w:p>
    <w:p>
      <w:pPr>
        <w:pStyle w:val="Heading3"/>
        <w:spacing w:before="11"/>
      </w:pPr>
      <w:r>
        <w:rPr/>
        <w:t>突出创新：以“典型应用”为导向，开发满足监管需求的技术产品</w:t>
      </w:r>
    </w:p>
    <w:p>
      <w:pPr>
        <w:pStyle w:val="BodyText"/>
        <w:spacing w:line="297" w:lineRule="auto" w:before="72"/>
        <w:ind w:right="227"/>
        <w:jc w:val="both"/>
      </w:pPr>
      <w:r>
        <w:rPr/>
        <w:t>FDA</w:t>
      </w:r>
      <w:r>
        <w:rPr>
          <w:spacing w:val="-41"/>
        </w:rPr>
        <w:t> 在 </w:t>
      </w:r>
      <w:r>
        <w:rPr/>
        <w:t>TMAP</w:t>
      </w:r>
      <w:r>
        <w:rPr>
          <w:spacing w:val="-8"/>
        </w:rPr>
        <w:t> 中强调了一种新的技术产品开发理念：关注关键业务和数据需求，重视易于向多种监管业务扩展的产品开发，减少重复建设；快速开发最小可行产品（MVP）用于测试，节约资源；采用“</w:t>
      </w:r>
      <w:r>
        <w:rPr/>
        <w:t>devops”</w:t>
      </w:r>
      <w:r>
        <w:rPr>
          <w:spacing w:val="-8"/>
        </w:rPr>
        <w:t>理念，使开发和运营有序衔接；采用敏捷开发模式，快速试</w:t>
      </w:r>
      <w:r>
        <w:rPr>
          <w:spacing w:val="-12"/>
        </w:rPr>
        <w:t>错、迭代、更新，提高开发效率；采取迭代增进产品与监管的匹配度；强调合作；提升用户</w:t>
      </w:r>
      <w:r>
        <w:rPr/>
        <w:t>体验、满意度和使用度；注重中短期目标的实现。</w:t>
      </w:r>
    </w:p>
    <w:p>
      <w:pPr>
        <w:pStyle w:val="BodyText"/>
        <w:spacing w:line="297" w:lineRule="auto"/>
        <w:ind w:right="107"/>
      </w:pPr>
      <w:r>
        <w:rPr/>
        <w:t>TMAP</w:t>
      </w:r>
      <w:r>
        <w:rPr>
          <w:spacing w:val="-13"/>
        </w:rPr>
        <w:t> 示范创新方面的具体行动包括：一是构建产品开发能力。</w:t>
      </w:r>
      <w:r>
        <w:rPr/>
        <w:t>FDA</w:t>
      </w:r>
      <w:r>
        <w:rPr>
          <w:spacing w:val="-8"/>
        </w:rPr>
        <w:t> 计划在全局范围内开</w:t>
      </w:r>
      <w:r>
        <w:rPr>
          <w:spacing w:val="-11"/>
        </w:rPr>
        <w:t>发一个用于协同设计、研发、测试和部署新信息技术的统一平台。</w:t>
      </w:r>
      <w:r>
        <w:rPr/>
        <w:t>FDA</w:t>
      </w:r>
      <w:r>
        <w:rPr>
          <w:spacing w:val="-8"/>
        </w:rPr>
        <w:t> 的开发团队会在敏捷</w:t>
      </w:r>
      <w:r>
        <w:rPr>
          <w:spacing w:val="-12"/>
        </w:rPr>
        <w:t>开发、产品管理、用户体验设计和工程方面整合一流的解决方案和组织能力，以用户体验为</w:t>
      </w:r>
      <w:r>
        <w:rPr>
          <w:spacing w:val="-9"/>
        </w:rPr>
        <w:t>核心，集成技术和业务、统一数据和流程并扩展分析能力。二是开发典型应用。</w:t>
      </w:r>
      <w:r>
        <w:rPr/>
        <w:t>FDA</w:t>
      </w:r>
      <w:r>
        <w:rPr>
          <w:spacing w:val="-16"/>
        </w:rPr>
        <w:t> 计划从</w:t>
      </w:r>
      <w:r>
        <w:rPr>
          <w:spacing w:val="-18"/>
        </w:rPr>
        <w:t>开发小型试点典型应用开始，逐步完善产品开发能力积累相关经验，并将成功的原型和试点</w:t>
      </w:r>
      <w:r>
        <w:rPr>
          <w:spacing w:val="-15"/>
        </w:rPr>
        <w:t>扩大使用。典型应用的开发应满足 </w:t>
      </w:r>
      <w:r>
        <w:rPr/>
        <w:t>FDA</w:t>
      </w:r>
      <w:r>
        <w:rPr>
          <w:spacing w:val="-12"/>
        </w:rPr>
        <w:t> 实际需求，解决监管任务中的重要问题</w:t>
      </w:r>
      <w:r>
        <w:rPr/>
        <w:t>（如医药产品</w:t>
      </w:r>
      <w:r>
        <w:rPr>
          <w:spacing w:val="-6"/>
        </w:rPr>
        <w:t>批准、与其他政府机构的合作等</w:t>
      </w:r>
      <w:r>
        <w:rPr>
          <w:spacing w:val="-34"/>
        </w:rPr>
        <w:t>），</w:t>
      </w:r>
      <w:r>
        <w:rPr>
          <w:spacing w:val="-30"/>
        </w:rPr>
        <w:t>由 </w:t>
      </w:r>
      <w:r>
        <w:rPr/>
        <w:t>FDA</w:t>
      </w:r>
      <w:r>
        <w:rPr>
          <w:spacing w:val="-9"/>
        </w:rPr>
        <w:t> 审查人员及技术专家共同参与确定监管需求和开</w:t>
      </w:r>
      <w:r>
        <w:rPr>
          <w:spacing w:val="-19"/>
        </w:rPr>
        <w:t>发目标，项目团队将快速开发、测试原型，随着经验的积累，成功的典型应用将被扩大使用。</w:t>
      </w:r>
      <w:r>
        <w:rPr/>
        <w:t>这种方法将加快学习速度，降低部署新技术的风险。</w:t>
      </w:r>
    </w:p>
    <w:p>
      <w:pPr>
        <w:pStyle w:val="Heading3"/>
        <w:spacing w:line="296" w:lineRule="exact"/>
      </w:pPr>
      <w:r>
        <w:rPr/>
        <w:t>加强合作：通过多种方式尤其是借助新技术手段，与各个利益相关方达成合作</w:t>
      </w:r>
    </w:p>
    <w:p>
      <w:pPr>
        <w:pStyle w:val="BodyText"/>
        <w:spacing w:line="297" w:lineRule="auto" w:before="66"/>
        <w:ind w:right="226"/>
        <w:jc w:val="both"/>
      </w:pPr>
      <w:r>
        <w:rPr/>
        <w:t>TMAP</w:t>
      </w:r>
      <w:r>
        <w:rPr>
          <w:spacing w:val="-13"/>
        </w:rPr>
        <w:t> 在加强合作方面也有具体行动。一是直接与公众利益相关方进行交流。</w:t>
      </w:r>
      <w:r>
        <w:rPr/>
        <w:t>FDA</w:t>
      </w:r>
      <w:r>
        <w:rPr>
          <w:spacing w:val="-19"/>
        </w:rPr>
        <w:t> 将通过</w:t>
      </w:r>
      <w:r>
        <w:rPr>
          <w:spacing w:val="-3"/>
        </w:rPr>
        <w:t>公开会议或者研讨会收集患者、学术界和工业界等利益相关方对 </w:t>
      </w:r>
      <w:r>
        <w:rPr/>
        <w:t>TMAP</w:t>
      </w:r>
      <w:r>
        <w:rPr>
          <w:spacing w:val="-8"/>
        </w:rPr>
        <w:t> 的实施建议，以及对FDA</w:t>
      </w:r>
      <w:r>
        <w:rPr>
          <w:spacing w:val="-12"/>
        </w:rPr>
        <w:t> 的数据需求计划。二是制定方案，促进数据或科技创新者参与医药产品开发，同时更清</w:t>
      </w:r>
    </w:p>
    <w:p>
      <w:pPr>
        <w:pStyle w:val="BodyText"/>
        <w:spacing w:line="259" w:lineRule="auto"/>
        <w:ind w:right="227" w:firstLine="0"/>
        <w:rPr>
          <w:rFonts w:ascii="Meiryo" w:eastAsia="Meiryo" w:hint="eastAsia"/>
          <w:b/>
        </w:rPr>
      </w:pPr>
      <w:r>
        <w:rPr>
          <w:spacing w:val="-6"/>
        </w:rPr>
        <w:t>楚地了解数据或科技创新领域对监管领域的期待。三是与政府部门合作，探索如何通过各部</w:t>
      </w:r>
      <w:r>
        <w:rPr/>
        <w:t>门的共同努力提高各部门之间及与外部利益相关方交流的效率。</w:t>
      </w:r>
      <w:r>
        <w:rPr>
          <w:rFonts w:ascii="Meiryo" w:eastAsia="Meiryo" w:hint="eastAsia"/>
          <w:b/>
          <w:color w:val="0033CC"/>
        </w:rPr>
        <w:t>[返回目次]</w:t>
      </w:r>
    </w:p>
    <w:p>
      <w:pPr>
        <w:pStyle w:val="Heading2"/>
        <w:spacing w:before="27"/>
        <w:ind w:left="137"/>
      </w:pPr>
      <w:r>
        <w:rPr/>
        <w:t>【医院管理】</w:t>
      </w:r>
    </w:p>
    <w:p>
      <w:pPr>
        <w:pStyle w:val="BodyText"/>
        <w:spacing w:before="8"/>
        <w:ind w:left="0" w:firstLine="0"/>
        <w:rPr>
          <w:b/>
          <w:sz w:val="18"/>
        </w:rPr>
      </w:pPr>
    </w:p>
    <w:p>
      <w:pPr>
        <w:spacing w:after="0"/>
        <w:rPr>
          <w:sz w:val="18"/>
        </w:rPr>
        <w:sectPr>
          <w:pgSz w:w="11910" w:h="16850"/>
          <w:pgMar w:header="906" w:footer="607" w:top="1100" w:bottom="800" w:left="1140" w:right="900"/>
        </w:sectPr>
      </w:pPr>
    </w:p>
    <w:p>
      <w:pPr>
        <w:spacing w:before="55"/>
        <w:ind w:left="2878" w:right="0" w:firstLine="0"/>
        <w:jc w:val="left"/>
        <w:rPr>
          <w:b/>
          <w:sz w:val="32"/>
        </w:rPr>
      </w:pPr>
      <w:r>
        <w:rPr>
          <w:b/>
          <w:spacing w:val="-3"/>
          <w:sz w:val="32"/>
        </w:rPr>
        <w:t>三维考核 拆解学科发展秘方</w:t>
      </w:r>
    </w:p>
    <w:p>
      <w:pPr>
        <w:pStyle w:val="BodyText"/>
        <w:ind w:left="0" w:firstLine="0"/>
        <w:rPr>
          <w:b/>
        </w:rPr>
      </w:pPr>
      <w:r>
        <w:rPr/>
        <w:br w:type="column"/>
      </w:r>
      <w:r>
        <w:rPr>
          <w:b/>
        </w:rPr>
      </w:r>
    </w:p>
    <w:p>
      <w:pPr>
        <w:pStyle w:val="BodyText"/>
        <w:spacing w:before="8"/>
        <w:ind w:left="0" w:firstLine="0"/>
        <w:rPr>
          <w:b/>
          <w:sz w:val="23"/>
        </w:rPr>
      </w:pPr>
    </w:p>
    <w:p>
      <w:pPr>
        <w:pStyle w:val="Heading3"/>
        <w:ind w:left="774"/>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140" w:right="900"/>
          <w:cols w:num="2" w:equalWidth="0">
            <w:col w:w="6893" w:space="40"/>
            <w:col w:w="2937"/>
          </w:cols>
        </w:sectPr>
      </w:pPr>
    </w:p>
    <w:p>
      <w:pPr>
        <w:pStyle w:val="BodyText"/>
        <w:spacing w:line="297" w:lineRule="auto" w:before="96"/>
        <w:ind w:right="227"/>
        <w:jc w:val="both"/>
      </w:pPr>
      <w:r>
        <w:rPr>
          <w:spacing w:val="-9"/>
        </w:rPr>
        <w:t>学科强则医院强。在医院考核评价体系中，评价指标的标准、内容、比重是否具有科学</w:t>
      </w:r>
      <w:r>
        <w:rPr>
          <w:spacing w:val="-11"/>
        </w:rPr>
        <w:t>性、引导性、可操作性，直接关系到最终的考评效果。绩效考核既是“常谈老调”，在新时</w:t>
      </w:r>
      <w:r>
        <w:rPr>
          <w:spacing w:val="-10"/>
        </w:rPr>
        <w:t>代、新形势下又是医院管理的“热门话题”。近几年来，我们结合医院实际，把医院绩效考</w:t>
      </w:r>
    </w:p>
    <w:p>
      <w:pPr>
        <w:spacing w:after="0" w:line="297" w:lineRule="auto"/>
        <w:jc w:val="both"/>
        <w:sectPr>
          <w:type w:val="continuous"/>
          <w:pgSz w:w="11910" w:h="16850"/>
          <w:pgMar w:top="1100" w:bottom="1020" w:left="1140" w:right="900"/>
        </w:sectPr>
      </w:pPr>
    </w:p>
    <w:p>
      <w:pPr>
        <w:pStyle w:val="BodyText"/>
        <w:spacing w:line="295" w:lineRule="auto" w:before="65"/>
        <w:ind w:right="245" w:firstLine="0"/>
      </w:pPr>
      <w:r>
        <w:rPr/>
        <w:t>核重点放在学科建设，遵循以点带面、循序渐进的原则，探索构建学科建设“424”三维评价体系。</w:t>
      </w:r>
    </w:p>
    <w:p>
      <w:pPr>
        <w:pStyle w:val="BodyText"/>
        <w:spacing w:line="297" w:lineRule="auto" w:before="2"/>
        <w:ind w:right="230"/>
        <w:jc w:val="both"/>
      </w:pPr>
      <w:r>
        <w:rPr>
          <w:spacing w:val="-5"/>
        </w:rPr>
        <w:t>《国务院办公厅关于加强三级公立医院绩效考核工作的意见》里的四大指标分别为医疗</w:t>
      </w:r>
      <w:r>
        <w:rPr>
          <w:spacing w:val="-12"/>
        </w:rPr>
        <w:t>质量、运营效率、持续发展和满意度评价。我院的三个维度与之对照，一脉相承，分别为医</w:t>
      </w:r>
      <w:r>
        <w:rPr/>
        <w:t>疗质量指标、人力资源指标和科教创新指标，“424”</w:t>
      </w:r>
      <w:r>
        <w:rPr>
          <w:spacing w:val="-8"/>
        </w:rPr>
        <w:t>指其权重分别为 </w:t>
      </w:r>
      <w:r>
        <w:rPr/>
        <w:t>40%、20%</w:t>
      </w:r>
      <w:r>
        <w:rPr>
          <w:spacing w:val="-30"/>
        </w:rPr>
        <w:t>和 </w:t>
      </w:r>
      <w:r>
        <w:rPr/>
        <w:t>40%。</w:t>
      </w:r>
    </w:p>
    <w:p>
      <w:pPr>
        <w:pStyle w:val="Heading3"/>
        <w:spacing w:line="304" w:lineRule="exact"/>
      </w:pPr>
      <w:r>
        <w:rPr/>
        <w:t>维度一：医疗质量指标与运营效率</w:t>
      </w:r>
    </w:p>
    <w:p>
      <w:pPr>
        <w:pStyle w:val="BodyText"/>
        <w:spacing w:line="297" w:lineRule="auto" w:before="74"/>
        <w:ind w:right="112"/>
      </w:pPr>
      <w:r>
        <w:rPr>
          <w:spacing w:val="-3"/>
        </w:rPr>
        <w:t>学科建设的医疗质量指标将每个学科的工作量</w:t>
      </w:r>
      <w:r>
        <w:rPr/>
        <w:t>（</w:t>
      </w:r>
      <w:r>
        <w:rPr>
          <w:spacing w:val="-12"/>
        </w:rPr>
        <w:t>门诊量、住院量、诊疗量、手术量等</w:t>
      </w:r>
      <w:r>
        <w:rPr>
          <w:spacing w:val="-46"/>
        </w:rPr>
        <w:t>）</w:t>
      </w:r>
      <w:r>
        <w:rPr>
          <w:spacing w:val="-15"/>
        </w:rPr>
        <w:t>、</w:t>
      </w:r>
      <w:r>
        <w:rPr/>
        <w:t>工作质量（平均住院日、CD</w:t>
      </w:r>
      <w:r>
        <w:rPr>
          <w:spacing w:val="-12"/>
        </w:rPr>
        <w:t> 型病历等</w:t>
      </w:r>
      <w:r>
        <w:rPr/>
        <w:t>）、医疗行政业务管理（核心制度、感染控制查房） </w:t>
      </w:r>
      <w:r>
        <w:rPr>
          <w:spacing w:val="-5"/>
        </w:rPr>
        <w:t>和新技术项目开展作为主要的评价面，对于相对较难评价的工作质量部分，细化到参加技能</w:t>
      </w:r>
      <w:r>
        <w:rPr>
          <w:spacing w:val="-11"/>
        </w:rPr>
        <w:t>竞赛、外埠患者收治、接收进修实习人员等方面。全面考核学科的运营、基础医疗质量、医疗服务水平和病人投诉及满意度等情况。</w:t>
      </w:r>
    </w:p>
    <w:p>
      <w:pPr>
        <w:pStyle w:val="BodyText"/>
        <w:spacing w:line="297" w:lineRule="auto"/>
        <w:ind w:right="227"/>
        <w:jc w:val="both"/>
      </w:pPr>
      <w:r>
        <w:rPr>
          <w:spacing w:val="-10"/>
        </w:rPr>
        <w:t>医院出台《关于建立分级排查机制强化医疗质量与行风管理的规定》《关于不合理使用</w:t>
      </w:r>
      <w:r>
        <w:rPr>
          <w:spacing w:val="-8"/>
        </w:rPr>
        <w:t>抗菌药物的处理规定》《加强辅助药物临床应用管理规定》等文件，规范医疗行为，控制不合理用药和不合理收费。</w:t>
      </w:r>
    </w:p>
    <w:p>
      <w:pPr>
        <w:pStyle w:val="Heading3"/>
        <w:spacing w:line="304" w:lineRule="exact"/>
      </w:pPr>
      <w:r>
        <w:rPr/>
        <w:t>维度二：人力资源指标与持续发展</w:t>
      </w:r>
    </w:p>
    <w:p>
      <w:pPr>
        <w:pStyle w:val="BodyText"/>
        <w:spacing w:line="295" w:lineRule="auto" w:before="67"/>
        <w:ind w:right="232"/>
      </w:pPr>
      <w:r>
        <w:rPr/>
        <w:t>人力资源指标分为人才培养与团队建设两个评价面。人才培养从科技荣誉的取得和国</w:t>
      </w:r>
      <w:r>
        <w:rPr>
          <w:spacing w:val="-11"/>
        </w:rPr>
        <w:t>内、省内学术任职等情况进行评分；团队建设从学科内医疗、教学和科研秘书的数量，参加</w:t>
      </w:r>
      <w:r>
        <w:rPr/>
        <w:t>医院走向国际英语竞赛成绩，国外学习及学成回院的效果等情况进行评分。</w:t>
      </w:r>
    </w:p>
    <w:p>
      <w:pPr>
        <w:pStyle w:val="BodyText"/>
        <w:spacing w:line="295" w:lineRule="auto" w:before="5"/>
        <w:ind w:right="227"/>
        <w:jc w:val="both"/>
      </w:pPr>
      <w:r>
        <w:rPr>
          <w:spacing w:val="-6"/>
        </w:rPr>
        <w:t>我院在评价考核实践与探索的过程中发现，医院要面向未来，可持续发展比单纯的工作</w:t>
      </w:r>
      <w:r>
        <w:rPr>
          <w:spacing w:val="-9"/>
        </w:rPr>
        <w:t>数量指标更为重要。因此，人力资源指标维度的评价重点考核青年骨干人才的培养、科内人</w:t>
      </w:r>
      <w:r>
        <w:rPr/>
        <w:t>才梯队的建设等情况。</w:t>
      </w:r>
    </w:p>
    <w:p>
      <w:pPr>
        <w:pStyle w:val="Heading3"/>
        <w:spacing w:before="6"/>
      </w:pPr>
      <w:r>
        <w:rPr/>
        <w:t>维度三：科教创新指标与核心竞争力</w:t>
      </w:r>
    </w:p>
    <w:p>
      <w:pPr>
        <w:pStyle w:val="BodyText"/>
        <w:spacing w:line="297" w:lineRule="auto" w:before="71"/>
        <w:ind w:right="110"/>
      </w:pPr>
      <w:r>
        <w:rPr>
          <w:spacing w:val="-6"/>
        </w:rPr>
        <w:t>科教创新指标分为科研课题项目、论文、科技奖励、医学教育四个评价面。科研课题项</w:t>
      </w:r>
      <w:r>
        <w:rPr>
          <w:spacing w:val="-11"/>
        </w:rPr>
        <w:t>目从国家和省厅级层面进行评分。论文分为 </w:t>
      </w:r>
      <w:r>
        <w:rPr/>
        <w:t>SCI</w:t>
      </w:r>
      <w:r>
        <w:rPr>
          <w:spacing w:val="-12"/>
        </w:rPr>
        <w:t> 收录期刊发表论文、中华级论文、核心期刊</w:t>
      </w:r>
      <w:r>
        <w:rPr>
          <w:spacing w:val="-16"/>
        </w:rPr>
        <w:t>论文、统计源期刊论文、医院投稿指南一般期刊论文四个层面进行评分。科技奖励从省部级、</w:t>
      </w:r>
      <w:r>
        <w:rPr>
          <w:spacing w:val="-6"/>
        </w:rPr>
        <w:t>地厅级和院级三个层面进行评分，著作和专利等情况也有相应的评分。医学教育从理论教学课时数、参加教学相关竞赛情况、硕士博士生带教以及继续教育情况进行评分。</w:t>
      </w:r>
    </w:p>
    <w:p>
      <w:pPr>
        <w:pStyle w:val="BodyText"/>
        <w:spacing w:line="295" w:lineRule="auto"/>
        <w:ind w:right="230"/>
      </w:pPr>
      <w:r>
        <w:rPr>
          <w:spacing w:val="-6"/>
        </w:rPr>
        <w:t>这个维度指标改变了过去单纯临床医院的思维，实现了向临床研究型医院和教学医院的</w:t>
      </w:r>
      <w:r>
        <w:rPr/>
        <w:t>转型，全面推动医院创造力与核心竞争力的发展。</w:t>
      </w:r>
    </w:p>
    <w:p>
      <w:pPr>
        <w:pStyle w:val="BodyText"/>
        <w:spacing w:line="297" w:lineRule="auto"/>
        <w:ind w:right="127"/>
      </w:pPr>
      <w:r>
        <w:rPr>
          <w:spacing w:val="-7"/>
        </w:rPr>
        <w:t>公立医院绩效考核评价，涉及医院管理运行和业务发展的方方面面。作为大型公立综合</w:t>
      </w:r>
      <w:r>
        <w:rPr>
          <w:spacing w:val="-8"/>
        </w:rPr>
        <w:t>医院，绩效管理是一项非常复杂庞大的工程。我们将三维评价作为医院精细化管理的抓手， </w:t>
      </w:r>
      <w:r>
        <w:rPr>
          <w:spacing w:val="-9"/>
        </w:rPr>
        <w:t>以简应繁，设定目标和计划，强化制度和岗位职责，加强培训和督查，从众多的学科建设发展指标中筛选提炼，基于本院实际，把握重点，制订量化、简单、可及的评价体系。</w:t>
      </w:r>
    </w:p>
    <w:p>
      <w:pPr>
        <w:pStyle w:val="BodyText"/>
        <w:spacing w:line="297" w:lineRule="auto"/>
        <w:ind w:right="108"/>
      </w:pPr>
      <w:r>
        <w:rPr>
          <w:spacing w:val="-8"/>
        </w:rPr>
        <w:t>经过近几年的探索实践，医院多项新技术形成品牌；</w:t>
      </w:r>
      <w:r>
        <w:rPr>
          <w:spacing w:val="-15"/>
        </w:rPr>
        <w:t>2018</w:t>
      </w:r>
      <w:r>
        <w:rPr>
          <w:spacing w:val="-33"/>
        </w:rPr>
        <w:t> 年，医院 </w:t>
      </w:r>
      <w:r>
        <w:rPr/>
        <w:t>CD</w:t>
      </w:r>
      <w:r>
        <w:rPr>
          <w:spacing w:val="-20"/>
        </w:rPr>
        <w:t> 型病历达 </w:t>
      </w:r>
      <w:r>
        <w:rPr>
          <w:spacing w:val="-3"/>
        </w:rPr>
        <w:t>84.85%， </w:t>
      </w:r>
      <w:r>
        <w:rPr>
          <w:spacing w:val="-7"/>
        </w:rPr>
        <w:t>急诊抢救成功率为 </w:t>
      </w:r>
      <w:r>
        <w:rPr/>
        <w:t>98.8%；</w:t>
      </w:r>
      <w:r>
        <w:rPr>
          <w:spacing w:val="-8"/>
        </w:rPr>
        <w:t>科研项目每年以 </w:t>
      </w:r>
      <w:r>
        <w:rPr/>
        <w:t>20%的速度增长，在国内外各类杂志发表学术论</w:t>
      </w:r>
      <w:r>
        <w:rPr>
          <w:spacing w:val="-11"/>
        </w:rPr>
        <w:t>文量每年以 </w:t>
      </w:r>
      <w:r>
        <w:rPr/>
        <w:t>30%的速度增长；创办的《实用休克杂志（中英文）》填补国内空白。“424” 三维评价在不断调整优化之下，发挥了积极作用，推动医院各学科高质量发展。</w:t>
      </w:r>
    </w:p>
    <w:p>
      <w:pPr>
        <w:spacing w:line="413" w:lineRule="exact" w:before="0"/>
        <w:ind w:left="617" w:right="0" w:firstLine="0"/>
        <w:jc w:val="left"/>
        <w:rPr>
          <w:rFonts w:ascii="Meiryo" w:eastAsia="Meiryo" w:hint="eastAsia"/>
          <w:b/>
          <w:sz w:val="24"/>
        </w:rPr>
      </w:pPr>
      <w:r>
        <w:rPr>
          <w:sz w:val="24"/>
        </w:rPr>
        <w:t>作者：湖南省人民医院院长 李小松</w:t>
      </w:r>
      <w:r>
        <w:rPr>
          <w:rFonts w:ascii="Meiryo" w:eastAsia="Meiryo" w:hint="eastAsia"/>
          <w:b/>
          <w:color w:val="0033CC"/>
          <w:sz w:val="24"/>
        </w:rPr>
        <w:t>[返回目次]</w:t>
      </w:r>
    </w:p>
    <w:p>
      <w:pPr>
        <w:spacing w:after="0" w:line="413" w:lineRule="exact"/>
        <w:jc w:val="left"/>
        <w:rPr>
          <w:rFonts w:ascii="Meiryo" w:eastAsia="Meiryo" w:hint="eastAsia"/>
          <w:sz w:val="24"/>
        </w:rPr>
        <w:sectPr>
          <w:pgSz w:w="11910" w:h="16850"/>
          <w:pgMar w:header="906" w:footer="607" w:top="1100" w:bottom="800" w:left="1140" w:right="900"/>
        </w:sectPr>
      </w:pPr>
    </w:p>
    <w:p>
      <w:pPr>
        <w:pStyle w:val="BodyText"/>
        <w:spacing w:before="6"/>
        <w:ind w:left="0" w:firstLine="0"/>
        <w:rPr>
          <w:rFonts w:ascii="Meiryo"/>
          <w:b/>
          <w:sz w:val="45"/>
        </w:rPr>
      </w:pPr>
    </w:p>
    <w:p>
      <w:pPr>
        <w:pStyle w:val="Heading2"/>
        <w:ind w:left="137"/>
      </w:pPr>
      <w:r>
        <w:rPr/>
        <w:pict>
          <v:line style="position:absolute;mso-position-horizontal-relative:page;mso-position-vertical-relative:paragraph;z-index:-252644352" from="62.400002pt,-34.059982pt" to="540.220002pt,-34.059982pt" stroked="true" strokeweight=".72pt" strokecolor="#000000">
            <v:stroke dashstyle="solid"/>
            <w10:wrap type="none"/>
          </v:line>
        </w:pict>
      </w:r>
      <w:r>
        <w:rPr/>
        <w:t>【新药看台】</w:t>
      </w:r>
    </w:p>
    <w:p>
      <w:pPr>
        <w:spacing w:before="15"/>
        <w:ind w:left="137" w:right="0" w:firstLine="0"/>
        <w:jc w:val="left"/>
        <w:rPr>
          <w:rFonts w:ascii="华文宋体" w:eastAsia="华文宋体" w:hint="eastAsia"/>
          <w:b/>
          <w:sz w:val="44"/>
        </w:rPr>
      </w:pPr>
      <w:r>
        <w:rPr/>
        <w:br w:type="column"/>
      </w:r>
      <w:r>
        <w:rPr>
          <w:rFonts w:ascii="Times New Roman" w:eastAsia="Times New Roman"/>
          <w:b/>
          <w:color w:val="008000"/>
          <w:spacing w:val="-110"/>
          <w:w w:val="99"/>
          <w:sz w:val="44"/>
          <w:u w:val="thick" w:color="008000"/>
        </w:rPr>
        <w:t> </w:t>
      </w:r>
      <w:r>
        <w:rPr>
          <w:rFonts w:ascii="华文宋体" w:eastAsia="华文宋体" w:hint="eastAsia"/>
          <w:b/>
          <w:color w:val="008000"/>
          <w:sz w:val="44"/>
          <w:u w:val="thick" w:color="008000"/>
        </w:rPr>
        <w:t>医药前沿</w:t>
      </w:r>
    </w:p>
    <w:p>
      <w:pPr>
        <w:spacing w:after="0"/>
        <w:jc w:val="left"/>
        <w:rPr>
          <w:rFonts w:ascii="华文宋体" w:eastAsia="华文宋体" w:hint="eastAsia"/>
          <w:sz w:val="44"/>
        </w:rPr>
        <w:sectPr>
          <w:headerReference w:type="default" r:id="rId11"/>
          <w:footerReference w:type="default" r:id="rId12"/>
          <w:pgSz w:w="11910" w:h="16850"/>
          <w:pgMar w:header="0" w:footer="607" w:top="900" w:bottom="800" w:left="1140" w:right="900"/>
          <w:pgNumType w:start="9"/>
          <w:cols w:num="2" w:equalWidth="0">
            <w:col w:w="2107" w:space="2280"/>
            <w:col w:w="5483"/>
          </w:cols>
        </w:sectPr>
      </w:pPr>
    </w:p>
    <w:p>
      <w:pPr>
        <w:pStyle w:val="BodyText"/>
        <w:spacing w:before="9"/>
        <w:ind w:left="0" w:firstLine="0"/>
        <w:rPr>
          <w:rFonts w:ascii="华文宋体"/>
          <w:b/>
          <w:sz w:val="14"/>
        </w:rPr>
      </w:pPr>
    </w:p>
    <w:p>
      <w:pPr>
        <w:spacing w:before="55"/>
        <w:ind w:left="140" w:right="238" w:firstLine="0"/>
        <w:jc w:val="center"/>
        <w:rPr>
          <w:b/>
          <w:sz w:val="32"/>
        </w:rPr>
      </w:pPr>
      <w:r>
        <w:rPr>
          <w:b/>
          <w:sz w:val="32"/>
        </w:rPr>
        <w:t>首个国产抗阿尔茨海默病创新药获有条件批准上市</w:t>
      </w:r>
    </w:p>
    <w:p>
      <w:pPr>
        <w:pStyle w:val="Heading3"/>
        <w:spacing w:before="145"/>
        <w:ind w:left="7225"/>
        <w:rPr>
          <w:rFonts w:ascii="楷体" w:eastAsia="楷体" w:hint="eastAsia"/>
        </w:rPr>
      </w:pPr>
      <w:r>
        <w:rPr>
          <w:rFonts w:ascii="楷体" w:eastAsia="楷体" w:hint="eastAsia"/>
          <w:color w:val="FF0000"/>
        </w:rPr>
        <w:t>（来源：中国医药报）</w:t>
      </w:r>
    </w:p>
    <w:p>
      <w:pPr>
        <w:pStyle w:val="ListParagraph"/>
        <w:numPr>
          <w:ilvl w:val="0"/>
          <w:numId w:val="1"/>
        </w:numPr>
        <w:tabs>
          <w:tab w:pos="918" w:val="left" w:leader="none"/>
        </w:tabs>
        <w:spacing w:line="297" w:lineRule="auto" w:before="96" w:after="0"/>
        <w:ind w:left="137" w:right="226" w:firstLine="480"/>
        <w:jc w:val="left"/>
        <w:rPr>
          <w:sz w:val="24"/>
        </w:rPr>
      </w:pPr>
      <w:r>
        <w:rPr>
          <w:spacing w:val="-30"/>
          <w:sz w:val="24"/>
        </w:rPr>
        <w:t>月 </w:t>
      </w:r>
      <w:r>
        <w:rPr>
          <w:sz w:val="24"/>
        </w:rPr>
        <w:t>2</w:t>
      </w:r>
      <w:r>
        <w:rPr>
          <w:spacing w:val="-8"/>
          <w:sz w:val="24"/>
        </w:rPr>
        <w:t> 日，记者从国家药品监督管理局获悉，首个国产抗阿尔茨海默病创新药甘露特</w:t>
      </w:r>
      <w:r>
        <w:rPr>
          <w:spacing w:val="-11"/>
          <w:sz w:val="24"/>
        </w:rPr>
        <w:t>钠胶囊</w:t>
      </w:r>
      <w:r>
        <w:rPr>
          <w:sz w:val="24"/>
        </w:rPr>
        <w:t>（</w:t>
      </w:r>
      <w:r>
        <w:rPr>
          <w:spacing w:val="-7"/>
          <w:sz w:val="24"/>
        </w:rPr>
        <w:t>有效成分：甘露寡糖二酸；商品名：九期一</w:t>
      </w:r>
      <w:r>
        <w:rPr>
          <w:spacing w:val="-17"/>
          <w:sz w:val="24"/>
        </w:rPr>
        <w:t>）</w:t>
      </w:r>
      <w:r>
        <w:rPr>
          <w:spacing w:val="-3"/>
          <w:sz w:val="24"/>
        </w:rPr>
        <w:t>获有条件批准上市，用于治疗轻度至</w:t>
      </w:r>
      <w:r>
        <w:rPr>
          <w:spacing w:val="-10"/>
          <w:sz w:val="24"/>
        </w:rPr>
        <w:t>中度阿尔茨海默病，改善患者认知功能。该药是以海洋褐藻提取物为原料制备获得的低分子酸性寡糖化合物，是我国拥有自主知识产权的创新药，获得国家“重大新药创制”科技重大</w:t>
      </w:r>
      <w:r>
        <w:rPr>
          <w:sz w:val="24"/>
        </w:rPr>
        <w:t>专项支持。</w:t>
      </w:r>
    </w:p>
    <w:p>
      <w:pPr>
        <w:pStyle w:val="BodyText"/>
        <w:spacing w:line="297" w:lineRule="auto"/>
        <w:ind w:right="127"/>
      </w:pPr>
      <w:r>
        <w:rPr/>
        <w:t>目前，阿尔茨海默病治疗药物有乙酰胆碱酯酶抑制剂（</w:t>
      </w:r>
      <w:r>
        <w:rPr>
          <w:spacing w:val="-2"/>
        </w:rPr>
        <w:t>他克林、利斯的明、加兰他敏、</w:t>
      </w:r>
      <w:r>
        <w:rPr/>
        <w:t>石杉碱甲和多奈哌齐），</w:t>
      </w:r>
      <w:r>
        <w:rPr>
          <w:spacing w:val="-20"/>
        </w:rPr>
        <w:t>以及 </w:t>
      </w:r>
      <w:r>
        <w:rPr/>
        <w:t>NMDA</w:t>
      </w:r>
      <w:r>
        <w:rPr>
          <w:spacing w:val="-10"/>
        </w:rPr>
        <w:t> 受体拮抗剂</w:t>
      </w:r>
      <w:r>
        <w:rPr/>
        <w:t>（美金刚）。近年来，该领域一直未有新药</w:t>
      </w:r>
      <w:r>
        <w:rPr>
          <w:spacing w:val="-10"/>
        </w:rPr>
        <w:t>获批上市。国际制药巨头纷纷参与该领域的药物研发工作，然而数个新药陆续宣布在Ⅲ期临床研究阶段遭遇失败。</w:t>
      </w:r>
    </w:p>
    <w:p>
      <w:pPr>
        <w:pStyle w:val="BodyText"/>
        <w:spacing w:line="297" w:lineRule="auto"/>
        <w:ind w:right="127"/>
      </w:pPr>
      <w:r>
        <w:rPr>
          <w:spacing w:val="-1"/>
        </w:rPr>
        <w:t>甘露特钠胶囊由中国科学院上海药物研究所、中国海洋大学和上海绿谷制药联合开发。</w:t>
      </w:r>
      <w:r>
        <w:rPr>
          <w:spacing w:val="-5"/>
        </w:rPr>
        <w:t>该药的临床Ⅲ期试验由上海市精神卫生中心肖世富、北京协和医院张振馨，以及甘露寡糖二</w:t>
      </w:r>
      <w:r>
        <w:rPr>
          <w:spacing w:val="-7"/>
        </w:rPr>
        <w:t>酸主要发明人、中国科学院上海药物研究所的耿美玉领衔，由中国 </w:t>
      </w:r>
      <w:r>
        <w:rPr/>
        <w:t>34</w:t>
      </w:r>
      <w:r>
        <w:rPr>
          <w:spacing w:val="-8"/>
        </w:rPr>
        <w:t> 个临床试验机构的研</w:t>
      </w:r>
      <w:r>
        <w:rPr>
          <w:spacing w:val="-14"/>
        </w:rPr>
        <w:t>究人员共同参与。临床Ⅲ期试验结果显示，甘露寡糖二酸在认知功能改善的主要疗效指标上达到预期，且安全性好，耐受性强。甘露特钠胶囊的上市将为阿尔茨海默病患者提供新的用药选择。</w:t>
      </w:r>
    </w:p>
    <w:p>
      <w:pPr>
        <w:pStyle w:val="BodyText"/>
        <w:spacing w:line="261" w:lineRule="auto"/>
        <w:ind w:right="367"/>
        <w:rPr>
          <w:rFonts w:ascii="Meiryo" w:eastAsia="Meiryo" w:hint="eastAsia"/>
          <w:b/>
        </w:rPr>
      </w:pPr>
      <w:r>
        <w:rPr/>
        <w:t>国家药监局要求申请人在该药品上市后继续进行药理机制方面的研究和长期安全性有效性研究，完善寡糖的分析方法，按时提交有关试验数据。</w:t>
      </w:r>
      <w:r>
        <w:rPr>
          <w:rFonts w:ascii="Meiryo" w:eastAsia="Meiryo" w:hint="eastAsia"/>
          <w:b/>
          <w:color w:val="0033CC"/>
        </w:rPr>
        <w:t>[返回目次]</w:t>
      </w:r>
    </w:p>
    <w:p>
      <w:pPr>
        <w:pStyle w:val="Heading2"/>
        <w:spacing w:before="131"/>
        <w:ind w:right="237"/>
        <w:jc w:val="center"/>
      </w:pPr>
      <w:r>
        <w:rPr/>
        <w:t>首个国产阿达木单抗注射液获批上市</w:t>
      </w:r>
    </w:p>
    <w:p>
      <w:pPr>
        <w:pStyle w:val="Heading3"/>
        <w:spacing w:before="146"/>
        <w:ind w:left="7225"/>
        <w:rPr>
          <w:rFonts w:ascii="楷体" w:eastAsia="楷体" w:hint="eastAsia"/>
        </w:rPr>
      </w:pPr>
      <w:r>
        <w:rPr>
          <w:rFonts w:ascii="楷体" w:eastAsia="楷体" w:hint="eastAsia"/>
          <w:color w:val="FF0000"/>
        </w:rPr>
        <w:t>（来源：中国医药报）</w:t>
      </w:r>
    </w:p>
    <w:p>
      <w:pPr>
        <w:pStyle w:val="BodyText"/>
        <w:spacing w:line="297" w:lineRule="auto" w:before="98"/>
        <w:ind w:right="110"/>
        <w:jc w:val="both"/>
      </w:pPr>
      <w:r>
        <w:rPr>
          <w:spacing w:val="-11"/>
        </w:rPr>
        <w:t>近日，国家药品监督管理局批准了百奥泰生物制药股份有限公司研制的阿达木单抗注射</w:t>
      </w:r>
      <w:r>
        <w:rPr>
          <w:spacing w:val="-27"/>
        </w:rPr>
        <w:t>液</w:t>
      </w:r>
      <w:r>
        <w:rPr/>
        <w:t>（格乐立</w:t>
      </w:r>
      <w:r>
        <w:rPr>
          <w:spacing w:val="-27"/>
        </w:rPr>
        <w:t>）</w:t>
      </w:r>
      <w:r>
        <w:rPr>
          <w:spacing w:val="-5"/>
        </w:rPr>
        <w:t>的上市注册申请。该产品是国内获批的首个阿达木单抗生物类似药，主要用于</w:t>
      </w:r>
      <w:r>
        <w:rPr>
          <w:spacing w:val="-11"/>
        </w:rPr>
        <w:t>类风湿关节炎、强直性脊柱炎和银屑病等自身免疫性疾病的治疗。这也是国内获批的第二个</w:t>
      </w:r>
      <w:r>
        <w:rPr>
          <w:spacing w:val="-18"/>
        </w:rPr>
        <w:t>生物类似药。业内人士指出，这一药审改革的硕果，将大大提高阿达木单抗注射液的可及性。</w:t>
      </w:r>
    </w:p>
    <w:p>
      <w:pPr>
        <w:pStyle w:val="BodyText"/>
        <w:spacing w:line="297" w:lineRule="auto"/>
        <w:ind w:right="107"/>
      </w:pPr>
      <w:r>
        <w:rPr>
          <w:spacing w:val="-11"/>
        </w:rPr>
        <w:t>资料显示，目前我国的类风湿关节炎、强直性脊柱炎及银屑病等自身免疫性疾病患者已</w:t>
      </w:r>
      <w:r>
        <w:rPr>
          <w:spacing w:val="-28"/>
        </w:rPr>
        <w:t>超过 </w:t>
      </w:r>
      <w:r>
        <w:rPr/>
        <w:t>1500</w:t>
      </w:r>
      <w:r>
        <w:rPr>
          <w:spacing w:val="-8"/>
        </w:rPr>
        <w:t> 万。传统药物起效慢，疗效有限，不良反应多，患者无法坚持长期治疗；而疗效</w:t>
      </w:r>
      <w:r>
        <w:rPr>
          <w:spacing w:val="-16"/>
        </w:rPr>
        <w:t>较好的进口生物药价格昂贵，很多患者难以负担。以原研阿达木单抗注射液</w:t>
      </w:r>
      <w:r>
        <w:rPr/>
        <w:t>（修美乐</w:t>
      </w:r>
      <w:r>
        <w:rPr>
          <w:spacing w:val="-56"/>
        </w:rPr>
        <w:t>）</w:t>
      </w:r>
      <w:r>
        <w:rPr>
          <w:spacing w:val="-5"/>
        </w:rPr>
        <w:t>为例， </w:t>
      </w:r>
      <w:r>
        <w:rPr>
          <w:spacing w:val="-7"/>
        </w:rPr>
        <w:t>多年来其价格保持在 </w:t>
      </w:r>
      <w:r>
        <w:rPr/>
        <w:t>7600</w:t>
      </w:r>
      <w:r>
        <w:rPr>
          <w:spacing w:val="-30"/>
        </w:rPr>
        <w:t> 元</w:t>
      </w:r>
      <w:r>
        <w:rPr/>
        <w:t>/</w:t>
      </w:r>
      <w:r>
        <w:rPr>
          <w:spacing w:val="-12"/>
        </w:rPr>
        <w:t>支，患者一年的治疗费用约 </w:t>
      </w:r>
      <w:r>
        <w:rPr/>
        <w:t>20</w:t>
      </w:r>
      <w:r>
        <w:rPr>
          <w:spacing w:val="-29"/>
        </w:rPr>
        <w:t> 万元。</w:t>
      </w:r>
      <w:r>
        <w:rPr/>
        <w:t>2019</w:t>
      </w:r>
      <w:r>
        <w:rPr>
          <w:spacing w:val="-14"/>
        </w:rPr>
        <w:t> 年，修美乐在北京、</w:t>
      </w:r>
    </w:p>
    <w:p>
      <w:pPr>
        <w:pStyle w:val="BodyText"/>
        <w:spacing w:line="302" w:lineRule="exact"/>
        <w:ind w:firstLine="0"/>
      </w:pPr>
      <w:r>
        <w:rPr/>
        <w:t>陕西、云南等地主动降价，但仍需 3160 元/支。</w:t>
      </w:r>
    </w:p>
    <w:p>
      <w:pPr>
        <w:pStyle w:val="BodyText"/>
        <w:spacing w:line="295" w:lineRule="auto" w:before="68"/>
        <w:ind w:right="229"/>
      </w:pPr>
      <w:r>
        <w:rPr>
          <w:spacing w:val="-8"/>
        </w:rPr>
        <w:t>百奥泰创始人及 </w:t>
      </w:r>
      <w:r>
        <w:rPr/>
        <w:t>CEO</w:t>
      </w:r>
      <w:r>
        <w:rPr>
          <w:spacing w:val="-15"/>
        </w:rPr>
        <w:t> 李胜峰表示，格乐立的上市填补了国内阿达木单抗生物类似药的空</w:t>
      </w:r>
      <w:r>
        <w:rPr>
          <w:spacing w:val="-5"/>
        </w:rPr>
        <w:t>白，其市场价格或将不高于 </w:t>
      </w:r>
      <w:r>
        <w:rPr/>
        <w:t>2000</w:t>
      </w:r>
      <w:r>
        <w:rPr>
          <w:spacing w:val="-30"/>
        </w:rPr>
        <w:t> 元</w:t>
      </w:r>
      <w:r>
        <w:rPr/>
        <w:t>/支，将大大减轻患者的经济负担。</w:t>
      </w:r>
    </w:p>
    <w:p>
      <w:pPr>
        <w:spacing w:after="0" w:line="295" w:lineRule="auto"/>
        <w:sectPr>
          <w:type w:val="continuous"/>
          <w:pgSz w:w="11910" w:h="16850"/>
          <w:pgMar w:top="1100" w:bottom="1020" w:left="1140" w:right="900"/>
        </w:sectPr>
      </w:pPr>
    </w:p>
    <w:p>
      <w:pPr>
        <w:pStyle w:val="BodyText"/>
        <w:spacing w:line="295" w:lineRule="auto" w:before="65"/>
        <w:ind w:right="230"/>
      </w:pPr>
      <w:r>
        <w:rPr>
          <w:spacing w:val="-5"/>
        </w:rPr>
        <w:t>“国产阿达木单抗注射液的上市将为中国风湿病患者带来福音，为患者提供一种价廉物</w:t>
      </w:r>
      <w:r>
        <w:rPr/>
        <w:t>美的生物类似药。”北京协和医院风湿免疫科主任曾小峰说。</w:t>
      </w:r>
    </w:p>
    <w:p>
      <w:pPr>
        <w:pStyle w:val="BodyText"/>
        <w:spacing w:line="297" w:lineRule="auto" w:before="2"/>
        <w:ind w:right="227"/>
      </w:pPr>
      <w:r>
        <w:rPr>
          <w:spacing w:val="-5"/>
        </w:rPr>
        <w:t>“格乐立获批上市得益于国家药监部门给予的指导和帮助。”李胜峰表示，优先审评审</w:t>
      </w:r>
      <w:r>
        <w:rPr/>
        <w:t>批程序等大大缩短了产品上市时间，助推其尽早满足风湿病等患者的用药需求。</w:t>
      </w:r>
    </w:p>
    <w:p>
      <w:pPr>
        <w:pStyle w:val="BodyText"/>
        <w:spacing w:line="297" w:lineRule="auto"/>
        <w:ind w:right="228"/>
        <w:jc w:val="both"/>
      </w:pPr>
      <w:r>
        <w:rPr>
          <w:spacing w:val="-7"/>
        </w:rPr>
        <w:t>国家药监局相关人士表示，为更好满足临床需求，国家药监局按照《关于深化审评审批</w:t>
      </w:r>
      <w:r>
        <w:rPr>
          <w:spacing w:val="-6"/>
        </w:rPr>
        <w:t>制度改革鼓励药品医疗器械创新的意见》提出的“支持生物类似药、具有临床价值的药械组</w:t>
      </w:r>
      <w:r>
        <w:rPr>
          <w:spacing w:val="-9"/>
        </w:rPr>
        <w:t>合产品的仿制”要求，将格乐立纳入优先审评审批程序，与技术审评同步启动生产现场检查</w:t>
      </w:r>
      <w:r>
        <w:rPr/>
        <w:t>和检验工作，加快了该产品上市。</w:t>
      </w:r>
    </w:p>
    <w:p>
      <w:pPr>
        <w:pStyle w:val="BodyText"/>
        <w:spacing w:line="278" w:lineRule="auto"/>
        <w:ind w:right="126"/>
        <w:rPr>
          <w:rFonts w:ascii="Meiryo" w:eastAsia="Meiryo" w:hint="eastAsia"/>
          <w:b/>
        </w:rPr>
      </w:pPr>
      <w:r>
        <w:rPr>
          <w:spacing w:val="-11"/>
        </w:rPr>
        <w:t>业内人士认为，国产第二个生物类似药格乐立的获批上市将极大刺激国内生物类似药研</w:t>
      </w:r>
      <w:r>
        <w:rPr>
          <w:spacing w:val="-12"/>
        </w:rPr>
        <w:t>发。有数据显示，目前我国已成为生物类似药在研数量最多的国家，未来在生物制药领域， </w:t>
      </w:r>
      <w:r>
        <w:rPr/>
        <w:t>以外企为主的竞争格局将逐渐被打破，生物类似药将惠及我国更多患者。</w:t>
      </w:r>
      <w:r>
        <w:rPr>
          <w:rFonts w:ascii="Meiryo" w:eastAsia="Meiryo" w:hint="eastAsia"/>
          <w:b/>
          <w:color w:val="0033CC"/>
        </w:rPr>
        <w:t>[返回目次]</w:t>
      </w:r>
    </w:p>
    <w:p>
      <w:pPr>
        <w:pStyle w:val="Heading2"/>
        <w:spacing w:before="111"/>
        <w:ind w:right="237"/>
        <w:jc w:val="center"/>
      </w:pPr>
      <w:bookmarkStart w:name="_TOC_250026" w:id="1"/>
      <w:bookmarkEnd w:id="1"/>
      <w:r>
        <w:rPr/>
        <w:t>达雷妥尤单抗注射液在中国上市</w:t>
      </w:r>
    </w:p>
    <w:p>
      <w:pPr>
        <w:spacing w:before="82"/>
        <w:ind w:left="2" w:right="91" w:firstLine="0"/>
        <w:jc w:val="center"/>
        <w:rPr>
          <w:b/>
          <w:sz w:val="21"/>
        </w:rPr>
      </w:pPr>
      <w:r>
        <w:rPr>
          <w:b/>
          <w:color w:val="666666"/>
          <w:sz w:val="21"/>
        </w:rPr>
        <w:t>多发性骨髓瘤患者获靶向治疗新药</w:t>
      </w:r>
    </w:p>
    <w:p>
      <w:pPr>
        <w:pStyle w:val="Heading3"/>
        <w:spacing w:before="176"/>
        <w:ind w:left="137" w:right="228"/>
        <w:jc w:val="right"/>
        <w:rPr>
          <w:rFonts w:ascii="楷体" w:eastAsia="楷体" w:hint="eastAsia"/>
        </w:rPr>
      </w:pPr>
      <w:r>
        <w:rPr>
          <w:rFonts w:ascii="楷体" w:eastAsia="楷体" w:hint="eastAsia"/>
          <w:color w:val="FF0000"/>
          <w:w w:val="95"/>
        </w:rPr>
        <w:t>（来源：中国医药报）</w:t>
      </w:r>
    </w:p>
    <w:p>
      <w:pPr>
        <w:pStyle w:val="ListParagraph"/>
        <w:numPr>
          <w:ilvl w:val="0"/>
          <w:numId w:val="2"/>
        </w:numPr>
        <w:tabs>
          <w:tab w:pos="891" w:val="left" w:leader="none"/>
        </w:tabs>
        <w:spacing w:line="297" w:lineRule="auto" w:before="96" w:after="0"/>
        <w:ind w:left="137" w:right="228" w:firstLine="480"/>
        <w:jc w:val="both"/>
        <w:rPr>
          <w:sz w:val="24"/>
        </w:rPr>
      </w:pPr>
      <w:r>
        <w:rPr>
          <w:spacing w:val="33"/>
          <w:sz w:val="24"/>
        </w:rPr>
        <w:t>月</w:t>
      </w:r>
      <w:r>
        <w:rPr>
          <w:sz w:val="24"/>
        </w:rPr>
        <w:t>15</w:t>
      </w:r>
      <w:r>
        <w:rPr>
          <w:spacing w:val="-18"/>
          <w:sz w:val="24"/>
        </w:rPr>
        <w:t> 日，强生公司在华制药子公司西安杨森制药有限公司召开发布会，宣布旗下</w:t>
      </w:r>
      <w:r>
        <w:rPr>
          <w:spacing w:val="-4"/>
          <w:sz w:val="24"/>
        </w:rPr>
        <w:t>CD38 </w:t>
      </w:r>
      <w:r>
        <w:rPr>
          <w:sz w:val="24"/>
        </w:rPr>
        <w:t>单克隆抗体靶向药物“兆珂”（达雷妥尤单抗注射液）在我国上市，该药物用于治疗复发/ </w:t>
      </w:r>
      <w:r>
        <w:rPr>
          <w:spacing w:val="-4"/>
          <w:sz w:val="24"/>
        </w:rPr>
        <w:t>难治性多发性骨髓瘤成年患者，于今年 </w:t>
      </w:r>
      <w:r>
        <w:rPr>
          <w:sz w:val="24"/>
        </w:rPr>
        <w:t>7</w:t>
      </w:r>
      <w:r>
        <w:rPr>
          <w:spacing w:val="-40"/>
          <w:sz w:val="24"/>
        </w:rPr>
        <w:t> 月 </w:t>
      </w:r>
      <w:r>
        <w:rPr>
          <w:sz w:val="24"/>
        </w:rPr>
        <w:t>4</w:t>
      </w:r>
      <w:r>
        <w:rPr>
          <w:spacing w:val="-8"/>
          <w:sz w:val="24"/>
        </w:rPr>
        <w:t> 日获国家药品监督管理局批准上市。</w:t>
      </w:r>
    </w:p>
    <w:p>
      <w:pPr>
        <w:pStyle w:val="Heading3"/>
        <w:spacing w:line="304" w:lineRule="exact"/>
      </w:pPr>
      <w:r>
        <w:rPr/>
        <w:t>正确认识多发性骨髓瘤</w:t>
      </w:r>
    </w:p>
    <w:p>
      <w:pPr>
        <w:pStyle w:val="BodyText"/>
        <w:spacing w:line="295" w:lineRule="auto" w:before="74"/>
        <w:ind w:right="229"/>
        <w:jc w:val="both"/>
      </w:pPr>
      <w:r>
        <w:rPr/>
        <w:t>多发性骨髓瘤（Mul</w:t>
      </w:r>
      <w:r>
        <w:rPr>
          <w:spacing w:val="-18"/>
        </w:rPr>
        <w:t> </w:t>
      </w:r>
      <w:r>
        <w:rPr/>
        <w:t>t</w:t>
      </w:r>
      <w:r>
        <w:rPr>
          <w:spacing w:val="-18"/>
        </w:rPr>
        <w:t> </w:t>
      </w:r>
      <w:r>
        <w:rPr/>
        <w:t>ipl</w:t>
      </w:r>
      <w:r>
        <w:rPr>
          <w:spacing w:val="-17"/>
        </w:rPr>
        <w:t> </w:t>
      </w:r>
      <w:r>
        <w:rPr/>
        <w:t>e</w:t>
      </w:r>
      <w:r>
        <w:rPr>
          <w:spacing w:val="-18"/>
        </w:rPr>
        <w:t> </w:t>
      </w:r>
      <w:r>
        <w:rPr/>
        <w:t>Myel</w:t>
      </w:r>
      <w:r>
        <w:rPr>
          <w:spacing w:val="-17"/>
        </w:rPr>
        <w:t> </w:t>
      </w:r>
      <w:r>
        <w:rPr/>
        <w:t>oma,</w:t>
      </w:r>
      <w:r>
        <w:rPr>
          <w:spacing w:val="-18"/>
        </w:rPr>
        <w:t> </w:t>
      </w:r>
      <w:r>
        <w:rPr/>
        <w:t>MM）</w:t>
      </w:r>
      <w:r>
        <w:rPr>
          <w:spacing w:val="-1"/>
        </w:rPr>
        <w:t>是一种不可治愈的血液系统恶性肿瘤，原</w:t>
      </w:r>
      <w:r>
        <w:rPr/>
        <w:t>发于骨髓，特征为恶性浆细胞异常增生。</w:t>
      </w:r>
    </w:p>
    <w:p>
      <w:pPr>
        <w:pStyle w:val="BodyText"/>
        <w:spacing w:line="297" w:lineRule="auto" w:before="2"/>
        <w:ind w:right="227"/>
        <w:jc w:val="both"/>
      </w:pPr>
      <w:r>
        <w:rPr>
          <w:spacing w:val="-6"/>
        </w:rPr>
        <w:t>“我们人体的血液细胞分为红细胞和白细胞两种。白细胞分为粒细胞、淋巴细胞等。淋</w:t>
      </w:r>
      <w:r>
        <w:rPr>
          <w:spacing w:val="-9"/>
        </w:rPr>
        <w:t>巴细胞又分为 </w:t>
      </w:r>
      <w:r>
        <w:rPr/>
        <w:t>T</w:t>
      </w:r>
      <w:r>
        <w:rPr>
          <w:spacing w:val="-24"/>
        </w:rPr>
        <w:t> 细胞和 </w:t>
      </w:r>
      <w:r>
        <w:rPr/>
        <w:t>B</w:t>
      </w:r>
      <w:r>
        <w:rPr>
          <w:spacing w:val="-14"/>
        </w:rPr>
        <w:t> 细胞等，</w:t>
      </w:r>
      <w:r>
        <w:rPr>
          <w:spacing w:val="-8"/>
        </w:rPr>
        <w:t>B</w:t>
      </w:r>
      <w:r>
        <w:rPr>
          <w:spacing w:val="-11"/>
        </w:rPr>
        <w:t> 细胞继续分化，分化成熟的叫浆细胞，多发性骨髓瘤就</w:t>
      </w:r>
      <w:r>
        <w:rPr>
          <w:spacing w:val="-6"/>
        </w:rPr>
        <w:t>是由于产生免疫球蛋白的浆细胞出了问题所致。”首都医科大学附属北京朝阳医院血液科主</w:t>
      </w:r>
      <w:r>
        <w:rPr/>
        <w:t>任陈文明介绍说。</w:t>
      </w:r>
    </w:p>
    <w:p>
      <w:pPr>
        <w:pStyle w:val="BodyText"/>
        <w:spacing w:line="295" w:lineRule="auto"/>
        <w:ind w:right="126"/>
      </w:pPr>
      <w:r>
        <w:rPr>
          <w:spacing w:val="-7"/>
        </w:rPr>
        <w:t>据陈文明介绍，正常人的浆细胞主要在淋巴结里产生免疫球蛋白，而一旦发生恶变，浆</w:t>
      </w:r>
      <w:r>
        <w:rPr>
          <w:spacing w:val="-8"/>
        </w:rPr>
        <w:t>细胞就从淋巴结进入骨髓并增殖，同时分泌出许多破骨细胞因子，逐步导致骨破坏。所以， </w:t>
      </w:r>
      <w:r>
        <w:rPr/>
        <w:t>多发性骨髓瘤患者的主要临床表现是骨破坏，骨破坏的表现为骨痛。</w:t>
      </w:r>
    </w:p>
    <w:p>
      <w:pPr>
        <w:pStyle w:val="BodyText"/>
        <w:spacing w:line="295" w:lineRule="auto" w:before="2"/>
        <w:ind w:right="367"/>
      </w:pPr>
      <w:r>
        <w:rPr/>
        <w:t>“一旦胸椎、腰椎、骨盆等部位出现疼痛进行性加重，就要注意多发性骨髓瘤的可能性。”他说。</w:t>
      </w:r>
    </w:p>
    <w:p>
      <w:pPr>
        <w:pStyle w:val="BodyText"/>
        <w:spacing w:line="297" w:lineRule="auto" w:before="2"/>
        <w:ind w:right="227"/>
        <w:jc w:val="both"/>
      </w:pPr>
      <w:r>
        <w:rPr>
          <w:spacing w:val="-10"/>
        </w:rPr>
        <w:t>此外，恶性浆细胞的大量增殖会产生大量轻链，在从肾脏排泄过程中会损伤肾脏，使患者出现蛋白尿。因此，当尿液中泡沫增多，蛋白尿一直不消退且找不到原因时，也应警惕是</w:t>
      </w:r>
      <w:r>
        <w:rPr/>
        <w:t>否患有多发性骨髓瘤。正确了解疾病的临床表现有利于患者在疾病早期及时就诊。</w:t>
      </w:r>
    </w:p>
    <w:p>
      <w:pPr>
        <w:pStyle w:val="Heading3"/>
        <w:spacing w:line="304" w:lineRule="exact"/>
      </w:pPr>
      <w:r>
        <w:rPr/>
        <w:t>延长生存期为主要诉求</w:t>
      </w:r>
    </w:p>
    <w:p>
      <w:pPr>
        <w:pStyle w:val="BodyText"/>
        <w:spacing w:line="297" w:lineRule="auto" w:before="74"/>
        <w:ind w:right="227"/>
        <w:jc w:val="both"/>
      </w:pPr>
      <w:r>
        <w:rPr>
          <w:spacing w:val="-6"/>
        </w:rPr>
        <w:t>据北京大学第三医院血液内科主任医师景红梅介绍，目前，临床中不再把多发性骨髓瘤</w:t>
      </w:r>
      <w:r>
        <w:rPr>
          <w:spacing w:val="-8"/>
        </w:rPr>
        <w:t>定义成恶性肿瘤，而认为它是一种慢性病。在治疗过程中，疾病会有一个平台期，患者的症</w:t>
      </w:r>
      <w:r>
        <w:rPr>
          <w:spacing w:val="-14"/>
        </w:rPr>
        <w:t>状通常会在消失一段时间后再度复发。“在我国，多数患者复发的平均中位生存时间为五年</w:t>
      </w:r>
      <w:r>
        <w:rPr/>
        <w:t>左右。”她说。</w:t>
      </w:r>
    </w:p>
    <w:p>
      <w:pPr>
        <w:spacing w:after="0" w:line="297" w:lineRule="auto"/>
        <w:jc w:val="both"/>
        <w:sectPr>
          <w:headerReference w:type="default" r:id="rId13"/>
          <w:footerReference w:type="default" r:id="rId14"/>
          <w:pgSz w:w="11910" w:h="16850"/>
          <w:pgMar w:header="906" w:footer="607" w:top="1100" w:bottom="800" w:left="1140" w:right="900"/>
          <w:pgNumType w:start="10"/>
        </w:sectPr>
      </w:pPr>
    </w:p>
    <w:p>
      <w:pPr>
        <w:pStyle w:val="BodyText"/>
        <w:spacing w:line="295" w:lineRule="auto" w:before="65"/>
        <w:ind w:right="230"/>
        <w:jc w:val="both"/>
      </w:pPr>
      <w:r>
        <w:rPr>
          <w:spacing w:val="-11"/>
        </w:rPr>
        <w:t>由于无法治愈，目前，多发性骨髓瘤的治疗目标为延长患者生存期。现有治疗方案治疗</w:t>
      </w:r>
      <w:r>
        <w:rPr/>
        <w:t>复发/</w:t>
      </w:r>
      <w:r>
        <w:rPr>
          <w:spacing w:val="-3"/>
        </w:rPr>
        <w:t>难治性多发性骨髓瘤的完全缓解率不理想，其中位总生存期仅为 </w:t>
      </w:r>
      <w:r>
        <w:rPr/>
        <w:t>5～9</w:t>
      </w:r>
      <w:r>
        <w:rPr>
          <w:spacing w:val="-15"/>
        </w:rPr>
        <w:t> 个月。</w:t>
      </w:r>
    </w:p>
    <w:p>
      <w:pPr>
        <w:pStyle w:val="BodyText"/>
        <w:spacing w:line="297" w:lineRule="auto" w:before="2"/>
        <w:ind w:right="227"/>
        <w:jc w:val="both"/>
      </w:pPr>
      <w:r>
        <w:rPr>
          <w:spacing w:val="-10"/>
        </w:rPr>
        <w:t>景红梅还表示，多发性骨髓瘤患者的长期生存与能否获得高质量的缓解密切相关。近年</w:t>
      </w:r>
      <w:r>
        <w:rPr>
          <w:spacing w:val="-11"/>
        </w:rPr>
        <w:t>来，患者对于临床试验的态度更加积极，医院对难治、复发的患者，会建议其选择参与临床</w:t>
      </w:r>
      <w:r>
        <w:rPr>
          <w:spacing w:val="-10"/>
        </w:rPr>
        <w:t>试验。“随着治疗手段的发展，许多新的药物和治疗方法出现，治疗多发性骨髓瘤的疗效也</w:t>
      </w:r>
      <w:r>
        <w:rPr/>
        <w:t>得到提高。”</w:t>
      </w:r>
    </w:p>
    <w:p>
      <w:pPr>
        <w:pStyle w:val="Heading3"/>
        <w:spacing w:line="304" w:lineRule="exact"/>
      </w:pPr>
      <w:r>
        <w:rPr/>
        <w:t>靶向治疗新药给患者带来利好</w:t>
      </w:r>
    </w:p>
    <w:p>
      <w:pPr>
        <w:pStyle w:val="BodyText"/>
        <w:spacing w:line="295" w:lineRule="auto" w:before="72"/>
        <w:ind w:right="227"/>
        <w:jc w:val="both"/>
      </w:pPr>
      <w:r>
        <w:rPr>
          <w:spacing w:val="-11"/>
        </w:rPr>
        <w:t>“目前，对多发性骨髓瘤患者的治疗进入了真正的多药联合时代，相关药物有蛋白酶体</w:t>
      </w:r>
      <w:r>
        <w:rPr/>
        <w:t>抑制剂、免疫调节剂，CD38</w:t>
      </w:r>
      <w:r>
        <w:rPr>
          <w:spacing w:val="-8"/>
        </w:rPr>
        <w:t> 单抗等。”陈文明介绍说。</w:t>
      </w:r>
    </w:p>
    <w:p>
      <w:pPr>
        <w:pStyle w:val="BodyText"/>
        <w:spacing w:line="297" w:lineRule="auto" w:before="5"/>
        <w:ind w:right="227"/>
        <w:jc w:val="both"/>
      </w:pPr>
      <w:r>
        <w:rPr>
          <w:spacing w:val="-7"/>
        </w:rPr>
        <w:t>据西安杨森制药相关人士介绍，无论在疾病的哪一阶段，多发性骨髓瘤细胞表面均高表</w:t>
      </w:r>
      <w:r>
        <w:rPr>
          <w:spacing w:val="-31"/>
        </w:rPr>
        <w:t>达 </w:t>
      </w:r>
      <w:r>
        <w:rPr/>
        <w:t>CD38</w:t>
      </w:r>
      <w:r>
        <w:rPr>
          <w:spacing w:val="-8"/>
        </w:rPr>
        <w:t>。达雷妥尤单抗是国内首个获批的靶向作用于 </w:t>
      </w:r>
      <w:r>
        <w:rPr/>
        <w:t>CD38</w:t>
      </w:r>
      <w:r>
        <w:rPr>
          <w:spacing w:val="-11"/>
        </w:rPr>
        <w:t> 的全人源单克隆抗体，其一方面</w:t>
      </w:r>
      <w:r>
        <w:rPr>
          <w:spacing w:val="-13"/>
        </w:rPr>
        <w:t>可直接与 </w:t>
      </w:r>
      <w:r>
        <w:rPr/>
        <w:t>CD38</w:t>
      </w:r>
      <w:r>
        <w:rPr>
          <w:spacing w:val="-8"/>
        </w:rPr>
        <w:t> 结合，通过多重机制诱导骨髓瘤细胞死亡，达到快速缓解；另一方面通过调</w:t>
      </w:r>
      <w:r>
        <w:rPr>
          <w:spacing w:val="-12"/>
        </w:rPr>
        <w:t>节免疫微环境，激活免疫细胞 </w:t>
      </w:r>
      <w:r>
        <w:rPr/>
        <w:t>CD8+</w:t>
      </w:r>
      <w:r>
        <w:rPr>
          <w:spacing w:val="-20"/>
        </w:rPr>
        <w:t>毒性 </w:t>
      </w:r>
      <w:r>
        <w:rPr/>
        <w:t>T</w:t>
      </w:r>
      <w:r>
        <w:rPr>
          <w:spacing w:val="-15"/>
        </w:rPr>
        <w:t> 细胞、</w:t>
      </w:r>
      <w:r>
        <w:rPr/>
        <w:t>CD4+</w:t>
      </w:r>
      <w:r>
        <w:rPr>
          <w:spacing w:val="-20"/>
        </w:rPr>
        <w:t>辅助 </w:t>
      </w:r>
      <w:r>
        <w:rPr/>
        <w:t>T</w:t>
      </w:r>
      <w:r>
        <w:rPr>
          <w:spacing w:val="-8"/>
        </w:rPr>
        <w:t> 细胞，持续促进骨髓瘤细胞死</w:t>
      </w:r>
    </w:p>
    <w:p>
      <w:pPr>
        <w:pStyle w:val="BodyText"/>
        <w:spacing w:line="259" w:lineRule="auto"/>
        <w:ind w:right="224" w:firstLine="0"/>
        <w:jc w:val="both"/>
        <w:rPr>
          <w:rFonts w:ascii="Meiryo" w:eastAsia="Meiryo" w:hint="eastAsia"/>
          <w:b/>
        </w:rPr>
      </w:pPr>
      <w:r>
        <w:rPr>
          <w:spacing w:val="-12"/>
        </w:rPr>
        <w:t>亡。另据两项国际临床研究汇总分析结果显示，既往接受过多线治疗的多发性骨髓瘤患者使</w:t>
      </w:r>
      <w:r>
        <w:rPr>
          <w:spacing w:val="-30"/>
        </w:rPr>
        <w:t>用 </w:t>
      </w:r>
      <w:r>
        <w:rPr/>
        <w:t>16mg/kg</w:t>
      </w:r>
      <w:r>
        <w:rPr>
          <w:spacing w:val="-12"/>
        </w:rPr>
        <w:t> 达雷妥尤单抗单药治疗，中位总生存期延长至 </w:t>
      </w:r>
      <w:r>
        <w:rPr/>
        <w:t>20</w:t>
      </w:r>
      <w:r>
        <w:rPr>
          <w:spacing w:val="-15"/>
        </w:rPr>
        <w:t> 个月，总缓解率为 </w:t>
      </w:r>
      <w:r>
        <w:rPr/>
        <w:t>31%</w:t>
      </w:r>
      <w:r>
        <w:rPr>
          <w:spacing w:val="-15"/>
        </w:rPr>
        <w:t>。</w:t>
      </w:r>
      <w:r>
        <w:rPr>
          <w:rFonts w:ascii="Meiryo" w:eastAsia="Meiryo" w:hint="eastAsia"/>
          <w:b/>
          <w:color w:val="0033CC"/>
          <w:spacing w:val="-4"/>
        </w:rPr>
        <w:t>[返回</w:t>
      </w:r>
    </w:p>
    <w:p>
      <w:pPr>
        <w:pStyle w:val="Heading3"/>
        <w:spacing w:line="345" w:lineRule="exact"/>
        <w:ind w:left="137"/>
        <w:rPr>
          <w:rFonts w:ascii="Meiryo" w:eastAsia="Meiryo" w:hint="eastAsia"/>
        </w:rPr>
      </w:pPr>
      <w:r>
        <w:rPr>
          <w:rFonts w:ascii="Meiryo" w:eastAsia="Meiryo" w:hint="eastAsia"/>
          <w:color w:val="0033CC"/>
        </w:rPr>
        <w:t>目次]</w:t>
      </w:r>
    </w:p>
    <w:p>
      <w:pPr>
        <w:pStyle w:val="Heading2"/>
        <w:spacing w:before="58"/>
        <w:ind w:left="137"/>
      </w:pPr>
      <w:bookmarkStart w:name="_TOC_250025" w:id="2"/>
      <w:bookmarkEnd w:id="2"/>
      <w:r>
        <w:rPr/>
        <w:t>【深度分析】</w:t>
      </w:r>
    </w:p>
    <w:p>
      <w:pPr>
        <w:pStyle w:val="BodyText"/>
        <w:spacing w:before="12"/>
        <w:ind w:left="0" w:firstLine="0"/>
        <w:rPr>
          <w:b/>
          <w:sz w:val="22"/>
        </w:rPr>
      </w:pPr>
    </w:p>
    <w:p>
      <w:pPr>
        <w:pStyle w:val="Heading2"/>
        <w:ind w:right="239"/>
        <w:jc w:val="center"/>
      </w:pPr>
      <w:bookmarkStart w:name="_TOC_250024" w:id="3"/>
      <w:bookmarkEnd w:id="3"/>
      <w:r>
        <w:rPr/>
        <w:t>新《药品管理法》设定的若干禁令</w:t>
      </w:r>
    </w:p>
    <w:p>
      <w:pPr>
        <w:spacing w:before="145"/>
        <w:ind w:left="137" w:right="228" w:firstLine="0"/>
        <w:jc w:val="right"/>
        <w:rPr>
          <w:rFonts w:ascii="楷体" w:eastAsia="楷体" w:hint="eastAsia"/>
          <w:b/>
          <w:sz w:val="24"/>
        </w:rPr>
      </w:pPr>
      <w:r>
        <w:rPr>
          <w:rFonts w:ascii="楷体" w:eastAsia="楷体" w:hint="eastAsia"/>
          <w:b/>
          <w:color w:val="FF0000"/>
          <w:w w:val="95"/>
          <w:sz w:val="24"/>
        </w:rPr>
        <w:t>（来源：中国医药报）</w:t>
      </w:r>
    </w:p>
    <w:p>
      <w:pPr>
        <w:pStyle w:val="BodyText"/>
        <w:spacing w:line="297" w:lineRule="auto" w:before="98"/>
        <w:ind w:right="112"/>
      </w:pPr>
      <w:r>
        <w:rPr/>
        <w:t>法律是行为规范，它必须明确告知其“鼓励什么、允许什么、限制什么、禁止什么”。</w:t>
      </w:r>
      <w:r>
        <w:rPr>
          <w:spacing w:val="-16"/>
        </w:rPr>
        <w:t>新《药品管理法》第三条规定，药品管理应当以人民健康为中心，坚持风险管理、全程管控、</w:t>
      </w:r>
      <w:r>
        <w:rPr/>
        <w:t>社会共治的原则，建立科学、严格的监督管理制度，全面提升药品质量，保障药品的安全、有效、可及。法律必须具有鲜明的价值导向。对于某些危害公众、社会、国家利益的行为， </w:t>
      </w:r>
      <w:r>
        <w:rPr>
          <w:spacing w:val="-2"/>
        </w:rPr>
        <w:t>法律必须明确禁止。新《药品管理法》对药品研制、生产、经营和使用等领域设定了 </w:t>
      </w:r>
      <w:r>
        <w:rPr/>
        <w:t>30</w:t>
      </w:r>
      <w:r>
        <w:rPr>
          <w:spacing w:val="-30"/>
        </w:rPr>
        <w:t> 多条禁令。</w:t>
      </w:r>
    </w:p>
    <w:p>
      <w:pPr>
        <w:pStyle w:val="Heading3"/>
        <w:spacing w:line="300" w:lineRule="exact"/>
      </w:pPr>
      <w:r>
        <w:rPr/>
        <w:t>综合</w:t>
      </w:r>
    </w:p>
    <w:p>
      <w:pPr>
        <w:pStyle w:val="ListParagraph"/>
        <w:numPr>
          <w:ilvl w:val="0"/>
          <w:numId w:val="3"/>
        </w:numPr>
        <w:tabs>
          <w:tab w:pos="859" w:val="left" w:leader="none"/>
        </w:tabs>
        <w:spacing w:line="295" w:lineRule="auto" w:before="72" w:after="0"/>
        <w:ind w:left="137" w:right="245" w:firstLine="480"/>
        <w:jc w:val="left"/>
        <w:rPr>
          <w:sz w:val="24"/>
        </w:rPr>
      </w:pPr>
      <w:r>
        <w:rPr>
          <w:spacing w:val="-3"/>
          <w:sz w:val="24"/>
        </w:rPr>
        <w:t>禁止生产、销售、使用假药、劣药。新《药品管理法》第 </w:t>
      </w:r>
      <w:r>
        <w:rPr>
          <w:sz w:val="24"/>
        </w:rPr>
        <w:t>98</w:t>
      </w:r>
      <w:r>
        <w:rPr>
          <w:spacing w:val="-30"/>
          <w:sz w:val="24"/>
        </w:rPr>
        <w:t> 条第 </w:t>
      </w:r>
      <w:r>
        <w:rPr>
          <w:sz w:val="24"/>
        </w:rPr>
        <w:t>1</w:t>
      </w:r>
      <w:r>
        <w:rPr>
          <w:spacing w:val="-10"/>
          <w:sz w:val="24"/>
        </w:rPr>
        <w:t> 款规定，禁止生</w:t>
      </w:r>
      <w:r>
        <w:rPr>
          <w:sz w:val="24"/>
        </w:rPr>
        <w:t>产（包括配制，下同）、销售、使用假药、劣药。</w:t>
      </w:r>
    </w:p>
    <w:p>
      <w:pPr>
        <w:pStyle w:val="ListParagraph"/>
        <w:numPr>
          <w:ilvl w:val="0"/>
          <w:numId w:val="3"/>
        </w:numPr>
        <w:tabs>
          <w:tab w:pos="859" w:val="left" w:leader="none"/>
        </w:tabs>
        <w:spacing w:line="295" w:lineRule="auto" w:before="4" w:after="0"/>
        <w:ind w:left="137" w:right="111" w:firstLine="480"/>
        <w:jc w:val="left"/>
        <w:rPr>
          <w:sz w:val="24"/>
        </w:rPr>
      </w:pPr>
      <w:r>
        <w:rPr>
          <w:spacing w:val="-17"/>
          <w:sz w:val="24"/>
        </w:rPr>
        <w:t>不得编造、散布虚假药品安全信息。新《药品管理法》第 </w:t>
      </w:r>
      <w:r>
        <w:rPr>
          <w:sz w:val="24"/>
        </w:rPr>
        <w:t>107</w:t>
      </w:r>
      <w:r>
        <w:rPr>
          <w:spacing w:val="-30"/>
          <w:sz w:val="24"/>
        </w:rPr>
        <w:t> 条第 </w:t>
      </w:r>
      <w:r>
        <w:rPr>
          <w:sz w:val="24"/>
        </w:rPr>
        <w:t>2</w:t>
      </w:r>
      <w:r>
        <w:rPr>
          <w:spacing w:val="-34"/>
          <w:sz w:val="24"/>
        </w:rPr>
        <w:t> 款、第 </w:t>
      </w:r>
      <w:r>
        <w:rPr>
          <w:sz w:val="24"/>
        </w:rPr>
        <w:t>3</w:t>
      </w:r>
      <w:r>
        <w:rPr>
          <w:spacing w:val="-15"/>
          <w:sz w:val="24"/>
        </w:rPr>
        <w:t> 款规定， </w:t>
      </w:r>
      <w:r>
        <w:rPr>
          <w:spacing w:val="-8"/>
          <w:sz w:val="24"/>
        </w:rPr>
        <w:t>公布药品安全信息，应当及时、准确、全面，并进行必要的说明，避免误导。任何单位和个人不得编造、散布虚假药品安全信息。</w:t>
      </w:r>
    </w:p>
    <w:p>
      <w:pPr>
        <w:pStyle w:val="ListParagraph"/>
        <w:numPr>
          <w:ilvl w:val="0"/>
          <w:numId w:val="3"/>
        </w:numPr>
        <w:tabs>
          <w:tab w:pos="859" w:val="left" w:leader="none"/>
        </w:tabs>
        <w:spacing w:line="295" w:lineRule="auto" w:before="5" w:after="0"/>
        <w:ind w:left="137" w:right="227" w:firstLine="480"/>
        <w:jc w:val="left"/>
        <w:rPr>
          <w:sz w:val="24"/>
        </w:rPr>
      </w:pPr>
      <w:r>
        <w:rPr>
          <w:spacing w:val="-7"/>
          <w:sz w:val="24"/>
        </w:rPr>
        <w:t>未经授权不得发布法定药品安全信息。新《药品管理法》第 </w:t>
      </w:r>
      <w:r>
        <w:rPr>
          <w:sz w:val="24"/>
        </w:rPr>
        <w:t>107</w:t>
      </w:r>
      <w:r>
        <w:rPr>
          <w:spacing w:val="-30"/>
          <w:sz w:val="24"/>
        </w:rPr>
        <w:t> 条第 </w:t>
      </w:r>
      <w:r>
        <w:rPr>
          <w:sz w:val="24"/>
        </w:rPr>
        <w:t>1</w:t>
      </w:r>
      <w:r>
        <w:rPr>
          <w:spacing w:val="-15"/>
          <w:sz w:val="24"/>
        </w:rPr>
        <w:t> 款规定，国家</w:t>
      </w:r>
      <w:r>
        <w:rPr>
          <w:spacing w:val="-7"/>
          <w:sz w:val="24"/>
        </w:rPr>
        <w:t>实行药品安全信息统一公布制度。国家药品安全总体情况、药品安全风险警示信息、重大药</w:t>
      </w:r>
      <w:r>
        <w:rPr>
          <w:sz w:val="24"/>
        </w:rPr>
        <w:t>品安全事件及其调查处理信息和国务院确定需要统一公布的其他信息由国务院药品监督管</w:t>
      </w:r>
      <w:r>
        <w:rPr>
          <w:spacing w:val="-11"/>
          <w:sz w:val="24"/>
        </w:rPr>
        <w:t>理部门统一公布。药品安全风险警示信息和重大药品安全事件及其调查处理信息的影响限于特定区域的，也可以由有关省、自治区、直辖市人民政府药品监督管理部门公布。未经授权</w:t>
      </w:r>
      <w:r>
        <w:rPr>
          <w:sz w:val="24"/>
        </w:rPr>
        <w:t>不得发布上述信息。</w:t>
      </w:r>
    </w:p>
    <w:p>
      <w:pPr>
        <w:spacing w:after="0" w:line="295" w:lineRule="auto"/>
        <w:jc w:val="left"/>
        <w:rPr>
          <w:sz w:val="24"/>
        </w:rPr>
        <w:sectPr>
          <w:pgSz w:w="11910" w:h="16850"/>
          <w:pgMar w:header="906" w:footer="607" w:top="1100" w:bottom="800" w:left="1140" w:right="900"/>
        </w:sectPr>
      </w:pPr>
    </w:p>
    <w:p>
      <w:pPr>
        <w:pStyle w:val="ListParagraph"/>
        <w:numPr>
          <w:ilvl w:val="0"/>
          <w:numId w:val="3"/>
        </w:numPr>
        <w:tabs>
          <w:tab w:pos="859" w:val="left" w:leader="none"/>
        </w:tabs>
        <w:spacing w:line="295" w:lineRule="auto" w:before="65" w:after="0"/>
        <w:ind w:left="137" w:right="107" w:firstLine="480"/>
        <w:jc w:val="left"/>
        <w:rPr>
          <w:sz w:val="24"/>
        </w:rPr>
      </w:pPr>
      <w:r>
        <w:rPr>
          <w:spacing w:val="-3"/>
          <w:sz w:val="24"/>
        </w:rPr>
        <w:t>不得将药品通用名称作为商标使用。新《药品管理法》第 </w:t>
      </w:r>
      <w:r>
        <w:rPr>
          <w:sz w:val="24"/>
        </w:rPr>
        <w:t>29</w:t>
      </w:r>
      <w:r>
        <w:rPr>
          <w:spacing w:val="-8"/>
          <w:sz w:val="24"/>
        </w:rPr>
        <w:t> 条规定，列入国家药品</w:t>
      </w:r>
      <w:r>
        <w:rPr>
          <w:spacing w:val="-19"/>
          <w:sz w:val="24"/>
        </w:rPr>
        <w:t>标准的药品名称为药品通用名称。已经作为药品通用名称的，该名称不得作为药品商标使用。</w:t>
      </w:r>
    </w:p>
    <w:p>
      <w:pPr>
        <w:pStyle w:val="Heading3"/>
        <w:spacing w:before="2"/>
      </w:pPr>
      <w:r>
        <w:rPr/>
        <w:t>药品生产</w:t>
      </w:r>
    </w:p>
    <w:p>
      <w:pPr>
        <w:pStyle w:val="ListParagraph"/>
        <w:numPr>
          <w:ilvl w:val="0"/>
          <w:numId w:val="3"/>
        </w:numPr>
        <w:tabs>
          <w:tab w:pos="859" w:val="left" w:leader="none"/>
        </w:tabs>
        <w:spacing w:line="295" w:lineRule="auto" w:before="74" w:after="0"/>
        <w:ind w:left="137" w:right="232" w:firstLine="480"/>
        <w:jc w:val="both"/>
        <w:rPr>
          <w:sz w:val="24"/>
        </w:rPr>
      </w:pPr>
      <w:r>
        <w:rPr>
          <w:spacing w:val="-4"/>
          <w:sz w:val="24"/>
        </w:rPr>
        <w:t>不得无证生产药品。新《药品管理法》第 </w:t>
      </w:r>
      <w:r>
        <w:rPr>
          <w:sz w:val="24"/>
        </w:rPr>
        <w:t>41</w:t>
      </w:r>
      <w:r>
        <w:rPr>
          <w:spacing w:val="-30"/>
          <w:sz w:val="24"/>
        </w:rPr>
        <w:t> 条第 </w:t>
      </w:r>
      <w:r>
        <w:rPr>
          <w:sz w:val="24"/>
        </w:rPr>
        <w:t>1</w:t>
      </w:r>
      <w:r>
        <w:rPr>
          <w:spacing w:val="-8"/>
          <w:sz w:val="24"/>
        </w:rPr>
        <w:t> 款规定，从事药品生产活动，应</w:t>
      </w:r>
      <w:r>
        <w:rPr>
          <w:spacing w:val="-14"/>
          <w:sz w:val="24"/>
        </w:rPr>
        <w:t>当经所在地省、自治区、直辖市人民政府药品监督管理部门批准，取得药品生产许可证。无</w:t>
      </w:r>
      <w:r>
        <w:rPr>
          <w:sz w:val="24"/>
        </w:rPr>
        <w:t>药品生产许可证的，不得生产药品。</w:t>
      </w:r>
    </w:p>
    <w:p>
      <w:pPr>
        <w:pStyle w:val="ListParagraph"/>
        <w:numPr>
          <w:ilvl w:val="0"/>
          <w:numId w:val="3"/>
        </w:numPr>
        <w:tabs>
          <w:tab w:pos="978" w:val="left" w:leader="none"/>
        </w:tabs>
        <w:spacing w:line="295" w:lineRule="auto" w:before="5" w:after="0"/>
        <w:ind w:left="137" w:right="107" w:firstLine="480"/>
        <w:jc w:val="both"/>
        <w:rPr>
          <w:sz w:val="24"/>
        </w:rPr>
      </w:pPr>
      <w:r>
        <w:rPr>
          <w:sz w:val="24"/>
        </w:rPr>
        <w:t>禁止未取得药品批准证明文件生产、进口药品；禁止使用不符合要求的原料药、包</w:t>
      </w:r>
      <w:r>
        <w:rPr>
          <w:spacing w:val="-3"/>
          <w:sz w:val="24"/>
        </w:rPr>
        <w:t>装材料和容器生产药品。新《药品管理法》第 </w:t>
      </w:r>
      <w:r>
        <w:rPr>
          <w:sz w:val="24"/>
        </w:rPr>
        <w:t>98</w:t>
      </w:r>
      <w:r>
        <w:rPr>
          <w:spacing w:val="-30"/>
          <w:sz w:val="24"/>
        </w:rPr>
        <w:t> 条第 </w:t>
      </w:r>
      <w:r>
        <w:rPr>
          <w:sz w:val="24"/>
        </w:rPr>
        <w:t>4</w:t>
      </w:r>
      <w:r>
        <w:rPr>
          <w:spacing w:val="-8"/>
          <w:sz w:val="24"/>
        </w:rPr>
        <w:t> 款规定，禁止未取得药品批准证明</w:t>
      </w:r>
      <w:r>
        <w:rPr>
          <w:spacing w:val="-17"/>
          <w:sz w:val="24"/>
        </w:rPr>
        <w:t>文件生产、进口药品；禁止使用未按照规定审评、审批的原料药、包装材料和容器生产药品。</w:t>
      </w:r>
    </w:p>
    <w:p>
      <w:pPr>
        <w:pStyle w:val="ListParagraph"/>
        <w:numPr>
          <w:ilvl w:val="0"/>
          <w:numId w:val="3"/>
        </w:numPr>
        <w:tabs>
          <w:tab w:pos="859" w:val="left" w:leader="none"/>
        </w:tabs>
        <w:spacing w:line="295" w:lineRule="auto" w:before="6" w:after="0"/>
        <w:ind w:left="137" w:right="110" w:firstLine="480"/>
        <w:jc w:val="left"/>
        <w:rPr>
          <w:sz w:val="24"/>
        </w:rPr>
      </w:pPr>
      <w:r>
        <w:rPr>
          <w:spacing w:val="-2"/>
          <w:sz w:val="24"/>
        </w:rPr>
        <w:t>特殊管理的药品除另有规定外，不得委托生产。新《药品管理法》第 </w:t>
      </w:r>
      <w:r>
        <w:rPr>
          <w:sz w:val="24"/>
        </w:rPr>
        <w:t>32</w:t>
      </w:r>
      <w:r>
        <w:rPr>
          <w:spacing w:val="-30"/>
          <w:sz w:val="24"/>
        </w:rPr>
        <w:t> 条第 </w:t>
      </w:r>
      <w:r>
        <w:rPr>
          <w:sz w:val="24"/>
        </w:rPr>
        <w:t>4</w:t>
      </w:r>
      <w:r>
        <w:rPr>
          <w:spacing w:val="-20"/>
          <w:sz w:val="24"/>
        </w:rPr>
        <w:t> 款规</w:t>
      </w:r>
      <w:r>
        <w:rPr>
          <w:spacing w:val="-17"/>
          <w:sz w:val="24"/>
        </w:rPr>
        <w:t>定，血液制品、麻醉药品、精神药品、医疗用毒性药品、药品类易制毒化学品不得委托生产； </w:t>
      </w:r>
      <w:r>
        <w:rPr>
          <w:sz w:val="24"/>
        </w:rPr>
        <w:t>但是，国务院药品监督管理部门另有规定的除外。</w:t>
      </w:r>
    </w:p>
    <w:p>
      <w:pPr>
        <w:pStyle w:val="ListParagraph"/>
        <w:numPr>
          <w:ilvl w:val="0"/>
          <w:numId w:val="3"/>
        </w:numPr>
        <w:tabs>
          <w:tab w:pos="859" w:val="left" w:leader="none"/>
        </w:tabs>
        <w:spacing w:line="295" w:lineRule="auto" w:before="6" w:after="0"/>
        <w:ind w:left="137" w:right="110" w:firstLine="480"/>
        <w:jc w:val="left"/>
        <w:rPr>
          <w:sz w:val="24"/>
        </w:rPr>
      </w:pPr>
      <w:r>
        <w:rPr>
          <w:spacing w:val="-3"/>
          <w:sz w:val="24"/>
        </w:rPr>
        <w:t>不得编造生产、检验记录。新《药品管理法》第 </w:t>
      </w:r>
      <w:r>
        <w:rPr>
          <w:sz w:val="24"/>
        </w:rPr>
        <w:t>44</w:t>
      </w:r>
      <w:r>
        <w:rPr>
          <w:spacing w:val="-30"/>
          <w:sz w:val="24"/>
        </w:rPr>
        <w:t> 条第 </w:t>
      </w:r>
      <w:r>
        <w:rPr>
          <w:sz w:val="24"/>
        </w:rPr>
        <w:t>1</w:t>
      </w:r>
      <w:r>
        <w:rPr>
          <w:spacing w:val="-8"/>
          <w:sz w:val="24"/>
        </w:rPr>
        <w:t> 款规定，药品应当按照国</w:t>
      </w:r>
      <w:r>
        <w:rPr>
          <w:spacing w:val="-16"/>
          <w:sz w:val="24"/>
        </w:rPr>
        <w:t>家药品标准和经药品监督管理部门核准的生产工艺进行生产。生产、检验记录应当完整准确， </w:t>
      </w:r>
      <w:r>
        <w:rPr>
          <w:sz w:val="24"/>
        </w:rPr>
        <w:t>不得编造。</w:t>
      </w:r>
    </w:p>
    <w:p>
      <w:pPr>
        <w:pStyle w:val="ListParagraph"/>
        <w:numPr>
          <w:ilvl w:val="0"/>
          <w:numId w:val="3"/>
        </w:numPr>
        <w:tabs>
          <w:tab w:pos="859" w:val="left" w:leader="none"/>
        </w:tabs>
        <w:spacing w:line="295" w:lineRule="auto" w:before="5" w:after="0"/>
        <w:ind w:left="137" w:right="227" w:firstLine="480"/>
        <w:jc w:val="both"/>
        <w:rPr>
          <w:sz w:val="24"/>
        </w:rPr>
      </w:pPr>
      <w:r>
        <w:rPr>
          <w:spacing w:val="-3"/>
          <w:sz w:val="24"/>
        </w:rPr>
        <w:t>不符合国家药品标准的药品不得放行。新《药品管理法》第 </w:t>
      </w:r>
      <w:r>
        <w:rPr>
          <w:sz w:val="24"/>
        </w:rPr>
        <w:t>33</w:t>
      </w:r>
      <w:r>
        <w:rPr>
          <w:spacing w:val="-8"/>
          <w:sz w:val="24"/>
        </w:rPr>
        <w:t> 条规定，药品上市许</w:t>
      </w:r>
      <w:r>
        <w:rPr>
          <w:spacing w:val="-14"/>
          <w:sz w:val="24"/>
        </w:rPr>
        <w:t>可持有人应当建立药品上市放行规程，对药品生产企业出厂放行的药品进行审核，经质量受</w:t>
      </w:r>
      <w:r>
        <w:rPr>
          <w:sz w:val="24"/>
        </w:rPr>
        <w:t>权人签字后方可放行。不符合国家药品标准的，不得放行。</w:t>
      </w:r>
    </w:p>
    <w:p>
      <w:pPr>
        <w:pStyle w:val="ListParagraph"/>
        <w:numPr>
          <w:ilvl w:val="0"/>
          <w:numId w:val="3"/>
        </w:numPr>
        <w:tabs>
          <w:tab w:pos="979" w:val="left" w:leader="none"/>
        </w:tabs>
        <w:spacing w:line="295" w:lineRule="auto" w:before="6" w:after="0"/>
        <w:ind w:left="137" w:right="228" w:firstLine="480"/>
        <w:jc w:val="both"/>
        <w:rPr>
          <w:sz w:val="24"/>
        </w:rPr>
      </w:pPr>
      <w:r>
        <w:rPr>
          <w:spacing w:val="-7"/>
          <w:sz w:val="24"/>
        </w:rPr>
        <w:t>不符合国家药品标准的药品不得出厂。新《药品管理法》第 </w:t>
      </w:r>
      <w:r>
        <w:rPr>
          <w:sz w:val="24"/>
        </w:rPr>
        <w:t>47</w:t>
      </w:r>
      <w:r>
        <w:rPr>
          <w:spacing w:val="-30"/>
          <w:sz w:val="24"/>
        </w:rPr>
        <w:t> 条第 </w:t>
      </w:r>
      <w:r>
        <w:rPr>
          <w:sz w:val="24"/>
        </w:rPr>
        <w:t>1</w:t>
      </w:r>
      <w:r>
        <w:rPr>
          <w:spacing w:val="-15"/>
          <w:sz w:val="24"/>
        </w:rPr>
        <w:t> 款规定，药品</w:t>
      </w:r>
      <w:r>
        <w:rPr>
          <w:sz w:val="24"/>
        </w:rPr>
        <w:t>生产企业应当对药品进行质量检验。不符合国家药品标准的，不得出厂。</w:t>
      </w:r>
    </w:p>
    <w:p>
      <w:pPr>
        <w:pStyle w:val="ListParagraph"/>
        <w:numPr>
          <w:ilvl w:val="0"/>
          <w:numId w:val="3"/>
        </w:numPr>
        <w:tabs>
          <w:tab w:pos="979" w:val="left" w:leader="none"/>
        </w:tabs>
        <w:spacing w:line="297" w:lineRule="auto" w:before="2" w:after="0"/>
        <w:ind w:left="137" w:right="106" w:firstLine="480"/>
        <w:jc w:val="left"/>
        <w:rPr>
          <w:sz w:val="24"/>
        </w:rPr>
      </w:pPr>
      <w:r>
        <w:rPr>
          <w:sz w:val="24"/>
        </w:rPr>
        <w:t>不符合国家药品标准或者地方炮制规范的中药饮片不得出厂、销售。新《药品管理</w:t>
      </w:r>
      <w:r>
        <w:rPr>
          <w:spacing w:val="-25"/>
          <w:sz w:val="24"/>
        </w:rPr>
        <w:t>法》第 </w:t>
      </w:r>
      <w:r>
        <w:rPr>
          <w:sz w:val="24"/>
        </w:rPr>
        <w:t>44</w:t>
      </w:r>
      <w:r>
        <w:rPr>
          <w:spacing w:val="-30"/>
          <w:sz w:val="24"/>
        </w:rPr>
        <w:t> 条第 </w:t>
      </w:r>
      <w:r>
        <w:rPr>
          <w:sz w:val="24"/>
        </w:rPr>
        <w:t>2</w:t>
      </w:r>
      <w:r>
        <w:rPr>
          <w:spacing w:val="-13"/>
          <w:sz w:val="24"/>
        </w:rPr>
        <w:t> 款规定，中药饮片应当按照国家药品标准炮制；国家药品标准没有规定的， </w:t>
      </w:r>
      <w:r>
        <w:rPr>
          <w:spacing w:val="-15"/>
          <w:sz w:val="24"/>
        </w:rPr>
        <w:t>应当按照省、自治区、直辖市人民政府药品监督管理部门制定的炮制规范炮制。省、自治区、</w:t>
      </w:r>
      <w:r>
        <w:rPr>
          <w:spacing w:val="-3"/>
          <w:sz w:val="24"/>
        </w:rPr>
        <w:t>直辖市人民政府药品监督管理部门制定的炮制规范应当报国务院药品监督管理部门备案。不</w:t>
      </w:r>
      <w:r>
        <w:rPr>
          <w:spacing w:val="-10"/>
          <w:sz w:val="24"/>
        </w:rPr>
        <w:t>符合国家药品标准或者不按照省、自治区、直辖市人民政府药品监督管理部门制定的炮制规范炮制的，不得出厂、销售。</w:t>
      </w:r>
    </w:p>
    <w:p>
      <w:pPr>
        <w:pStyle w:val="ListParagraph"/>
        <w:numPr>
          <w:ilvl w:val="0"/>
          <w:numId w:val="3"/>
        </w:numPr>
        <w:tabs>
          <w:tab w:pos="979" w:val="left" w:leader="none"/>
        </w:tabs>
        <w:spacing w:line="297" w:lineRule="auto" w:before="0" w:after="0"/>
        <w:ind w:left="137" w:right="112" w:firstLine="480"/>
        <w:jc w:val="left"/>
        <w:rPr>
          <w:sz w:val="24"/>
        </w:rPr>
      </w:pPr>
      <w:r>
        <w:rPr>
          <w:spacing w:val="-7"/>
          <w:sz w:val="24"/>
        </w:rPr>
        <w:t>已被注销药品注册证书的药品，不得生产或者进口、销售和使用。新《药品管理法》</w:t>
      </w:r>
      <w:r>
        <w:rPr>
          <w:spacing w:val="-30"/>
          <w:sz w:val="24"/>
        </w:rPr>
        <w:t>第 </w:t>
      </w:r>
      <w:r>
        <w:rPr>
          <w:sz w:val="24"/>
        </w:rPr>
        <w:t>83</w:t>
      </w:r>
      <w:r>
        <w:rPr>
          <w:spacing w:val="-31"/>
          <w:sz w:val="24"/>
        </w:rPr>
        <w:t> 条第 </w:t>
      </w:r>
      <w:r>
        <w:rPr>
          <w:sz w:val="24"/>
        </w:rPr>
        <w:t>1～3</w:t>
      </w:r>
      <w:r>
        <w:rPr>
          <w:spacing w:val="-14"/>
          <w:sz w:val="24"/>
        </w:rPr>
        <w:t> 款规定，药品上市许可持有人应当对已上市药品的安全性、有效性和质量可</w:t>
      </w:r>
      <w:r>
        <w:rPr>
          <w:spacing w:val="-17"/>
          <w:sz w:val="24"/>
        </w:rPr>
        <w:t>控性定期开展上市后评价。必要时，国务院药品监督管理部门可以责令药品上市许可持有人</w:t>
      </w:r>
      <w:r>
        <w:rPr>
          <w:spacing w:val="-20"/>
          <w:sz w:val="24"/>
        </w:rPr>
        <w:t>开展上市后评价或者直接组织开展上市后评价。经评价，对疗效不确切、不良反应大或者因</w:t>
      </w:r>
      <w:r>
        <w:rPr>
          <w:spacing w:val="-19"/>
          <w:sz w:val="24"/>
        </w:rPr>
        <w:t>其他原因危害人体健康的药品，应当注销药品注册证书。已被注销药品注册证书的药品，不得生产或者进口、销售和使用。</w:t>
      </w:r>
    </w:p>
    <w:p>
      <w:pPr>
        <w:pStyle w:val="ListParagraph"/>
        <w:numPr>
          <w:ilvl w:val="0"/>
          <w:numId w:val="3"/>
        </w:numPr>
        <w:tabs>
          <w:tab w:pos="979" w:val="left" w:leader="none"/>
        </w:tabs>
        <w:spacing w:line="297" w:lineRule="auto" w:before="0" w:after="0"/>
        <w:ind w:left="137" w:right="227" w:firstLine="480"/>
        <w:jc w:val="left"/>
        <w:rPr>
          <w:sz w:val="24"/>
        </w:rPr>
      </w:pPr>
      <w:r>
        <w:rPr>
          <w:spacing w:val="-10"/>
          <w:sz w:val="24"/>
        </w:rPr>
        <w:t>未经批准的广告不得发布。新《药品管理法》第 </w:t>
      </w:r>
      <w:r>
        <w:rPr>
          <w:sz w:val="24"/>
        </w:rPr>
        <w:t>89</w:t>
      </w:r>
      <w:r>
        <w:rPr>
          <w:spacing w:val="-11"/>
          <w:sz w:val="24"/>
        </w:rPr>
        <w:t> 条规定，药品广告应当经广告主</w:t>
      </w:r>
      <w:r>
        <w:rPr>
          <w:spacing w:val="-10"/>
          <w:sz w:val="24"/>
        </w:rPr>
        <w:t>所在地省、自治区、直辖市人民政府确定的广告审查机关批准；未经批准的，不得发布。第90</w:t>
      </w:r>
      <w:r>
        <w:rPr>
          <w:spacing w:val="-8"/>
          <w:sz w:val="24"/>
        </w:rPr>
        <w:t> 条规定，药品广告的内容应当真实、合法，以国务院药品监督管理部门核准的药品说明</w:t>
      </w:r>
      <w:r>
        <w:rPr>
          <w:spacing w:val="-12"/>
          <w:sz w:val="24"/>
        </w:rPr>
        <w:t>书为准，不得含有虚假的内容。药品广告不得含有表示功效、安全性的断言或者保证；不得</w:t>
      </w:r>
      <w:r>
        <w:rPr>
          <w:spacing w:val="-15"/>
          <w:sz w:val="24"/>
        </w:rPr>
        <w:t>利用国家机关、科研单位、学术机构、行业协会或者专家、学者、医师、药师、患者等的名</w:t>
      </w:r>
      <w:r>
        <w:rPr>
          <w:sz w:val="24"/>
        </w:rPr>
        <w:t>义或者形象作推荐、证明。非药品广告不得有涉及药品的宣传。</w:t>
      </w:r>
    </w:p>
    <w:p>
      <w:pPr>
        <w:spacing w:after="0" w:line="297" w:lineRule="auto"/>
        <w:jc w:val="left"/>
        <w:rPr>
          <w:sz w:val="24"/>
        </w:rPr>
        <w:sectPr>
          <w:pgSz w:w="11910" w:h="16850"/>
          <w:pgMar w:header="906" w:footer="607" w:top="1100" w:bottom="800" w:left="1140" w:right="900"/>
        </w:sectPr>
      </w:pPr>
    </w:p>
    <w:p>
      <w:pPr>
        <w:pStyle w:val="ListParagraph"/>
        <w:numPr>
          <w:ilvl w:val="0"/>
          <w:numId w:val="3"/>
        </w:numPr>
        <w:tabs>
          <w:tab w:pos="979" w:val="left" w:leader="none"/>
        </w:tabs>
        <w:spacing w:line="297" w:lineRule="auto" w:before="65" w:after="0"/>
        <w:ind w:left="137" w:right="227" w:firstLine="480"/>
        <w:jc w:val="left"/>
        <w:rPr>
          <w:sz w:val="24"/>
        </w:rPr>
      </w:pPr>
      <w:r>
        <w:rPr>
          <w:sz w:val="24"/>
        </w:rPr>
        <w:t>患有传染病或者其他可能污染药品的疾病的工作人员不得从事直接接触药品的工 </w:t>
      </w:r>
      <w:r>
        <w:rPr>
          <w:spacing w:val="-5"/>
          <w:sz w:val="24"/>
        </w:rPr>
        <w:t>作。新《药品管理法》第 </w:t>
      </w:r>
      <w:r>
        <w:rPr>
          <w:sz w:val="24"/>
        </w:rPr>
        <w:t>50</w:t>
      </w:r>
      <w:r>
        <w:rPr>
          <w:spacing w:val="-8"/>
          <w:sz w:val="24"/>
        </w:rPr>
        <w:t> 条规定，药品上市许可持有人、药品生产企业、药品经营企业</w:t>
      </w:r>
      <w:r>
        <w:rPr>
          <w:spacing w:val="-14"/>
          <w:sz w:val="24"/>
        </w:rPr>
        <w:t>和医疗机构中直接接触药品的工作人员，应当每年进行健康检查。患有传染病或者其他可能</w:t>
      </w:r>
      <w:r>
        <w:rPr>
          <w:sz w:val="24"/>
        </w:rPr>
        <w:t>污染药品的疾病的，不得从事直接接触药品的工作。</w:t>
      </w:r>
    </w:p>
    <w:p>
      <w:pPr>
        <w:pStyle w:val="Heading3"/>
        <w:spacing w:line="302" w:lineRule="exact"/>
      </w:pPr>
      <w:r>
        <w:rPr/>
        <w:t>药品经营</w:t>
      </w:r>
    </w:p>
    <w:p>
      <w:pPr>
        <w:pStyle w:val="ListParagraph"/>
        <w:numPr>
          <w:ilvl w:val="0"/>
          <w:numId w:val="3"/>
        </w:numPr>
        <w:tabs>
          <w:tab w:pos="979" w:val="left" w:leader="none"/>
        </w:tabs>
        <w:spacing w:line="297" w:lineRule="auto" w:before="71" w:after="0"/>
        <w:ind w:left="137" w:right="227" w:firstLine="480"/>
        <w:jc w:val="both"/>
        <w:rPr>
          <w:sz w:val="24"/>
        </w:rPr>
      </w:pPr>
      <w:r>
        <w:rPr>
          <w:spacing w:val="-8"/>
          <w:sz w:val="24"/>
        </w:rPr>
        <w:t>无药品经营许可证的不得经营药品。新《药品管理法》第 </w:t>
      </w:r>
      <w:r>
        <w:rPr>
          <w:sz w:val="24"/>
        </w:rPr>
        <w:t>51</w:t>
      </w:r>
      <w:r>
        <w:rPr>
          <w:spacing w:val="-30"/>
          <w:sz w:val="24"/>
        </w:rPr>
        <w:t> 条第 </w:t>
      </w:r>
      <w:r>
        <w:rPr>
          <w:sz w:val="24"/>
        </w:rPr>
        <w:t>1</w:t>
      </w:r>
      <w:r>
        <w:rPr>
          <w:spacing w:val="-13"/>
          <w:sz w:val="24"/>
        </w:rPr>
        <w:t> 款规定，从事药</w:t>
      </w:r>
      <w:r>
        <w:rPr>
          <w:spacing w:val="-11"/>
          <w:sz w:val="24"/>
        </w:rPr>
        <w:t>品批发活动，应当经所在地省、自治区、直辖市人民政府药品监督管理部门批准，取得药品经营许可证。从事药品零售活动，应当经所在地县级以上地方人民政府药品监督管理部门批</w:t>
      </w:r>
      <w:r>
        <w:rPr>
          <w:sz w:val="24"/>
        </w:rPr>
        <w:t>准，取得药品经营许可证。无药品经营许可证的，不得经营药品。</w:t>
      </w:r>
    </w:p>
    <w:p>
      <w:pPr>
        <w:pStyle w:val="ListParagraph"/>
        <w:numPr>
          <w:ilvl w:val="0"/>
          <w:numId w:val="3"/>
        </w:numPr>
        <w:tabs>
          <w:tab w:pos="979" w:val="left" w:leader="none"/>
        </w:tabs>
        <w:spacing w:line="295" w:lineRule="auto" w:before="0" w:after="0"/>
        <w:ind w:left="137" w:right="106" w:firstLine="480"/>
        <w:jc w:val="both"/>
        <w:rPr>
          <w:sz w:val="24"/>
        </w:rPr>
      </w:pPr>
      <w:r>
        <w:rPr>
          <w:spacing w:val="-15"/>
          <w:sz w:val="24"/>
        </w:rPr>
        <w:t>不符合规定要求的药品，经营企业不得购进和销售。新《药品管理法》第 </w:t>
      </w:r>
      <w:r>
        <w:rPr>
          <w:sz w:val="24"/>
        </w:rPr>
        <w:t>56</w:t>
      </w:r>
      <w:r>
        <w:rPr>
          <w:spacing w:val="-15"/>
          <w:sz w:val="24"/>
        </w:rPr>
        <w:t> 条规定， 药品经营企业购进药品，应当建立并执行进货检查验收制度，验明药品合格证明和其他标识； </w:t>
      </w:r>
      <w:r>
        <w:rPr>
          <w:sz w:val="24"/>
        </w:rPr>
        <w:t>不符合规定要求的，不得购进和销售。</w:t>
      </w:r>
    </w:p>
    <w:p>
      <w:pPr>
        <w:pStyle w:val="ListParagraph"/>
        <w:numPr>
          <w:ilvl w:val="0"/>
          <w:numId w:val="3"/>
        </w:numPr>
        <w:tabs>
          <w:tab w:pos="979" w:val="left" w:leader="none"/>
        </w:tabs>
        <w:spacing w:line="295" w:lineRule="auto" w:before="3" w:after="0"/>
        <w:ind w:left="137" w:right="230" w:firstLine="480"/>
        <w:jc w:val="both"/>
        <w:rPr>
          <w:sz w:val="24"/>
        </w:rPr>
      </w:pPr>
      <w:r>
        <w:rPr>
          <w:spacing w:val="-8"/>
          <w:sz w:val="24"/>
        </w:rPr>
        <w:t>特殊管理的药品不得在网上销售。新《药品管理法》第 </w:t>
      </w:r>
      <w:r>
        <w:rPr>
          <w:sz w:val="24"/>
        </w:rPr>
        <w:t>61</w:t>
      </w:r>
      <w:r>
        <w:rPr>
          <w:spacing w:val="-30"/>
          <w:sz w:val="24"/>
        </w:rPr>
        <w:t> 条第 </w:t>
      </w:r>
      <w:r>
        <w:rPr>
          <w:sz w:val="24"/>
        </w:rPr>
        <w:t>2</w:t>
      </w:r>
      <w:r>
        <w:rPr>
          <w:spacing w:val="-15"/>
          <w:sz w:val="24"/>
        </w:rPr>
        <w:t> 款规定，疫苗、血</w:t>
      </w:r>
      <w:r>
        <w:rPr>
          <w:spacing w:val="-12"/>
          <w:sz w:val="24"/>
        </w:rPr>
        <w:t>液制品、麻醉药品、精神药品、医疗用毒性药品、放射性药品、药品类易制毒化学品等国家</w:t>
      </w:r>
      <w:r>
        <w:rPr>
          <w:sz w:val="24"/>
        </w:rPr>
        <w:t>实行特殊管理的药品不得在网络上销售。</w:t>
      </w:r>
    </w:p>
    <w:p>
      <w:pPr>
        <w:pStyle w:val="ListParagraph"/>
        <w:numPr>
          <w:ilvl w:val="0"/>
          <w:numId w:val="3"/>
        </w:numPr>
        <w:tabs>
          <w:tab w:pos="1098" w:val="left" w:leader="none"/>
        </w:tabs>
        <w:spacing w:line="297" w:lineRule="auto" w:before="5" w:after="0"/>
        <w:ind w:left="137" w:right="127" w:firstLine="480"/>
        <w:jc w:val="left"/>
        <w:rPr>
          <w:sz w:val="24"/>
        </w:rPr>
      </w:pPr>
      <w:r>
        <w:rPr>
          <w:spacing w:val="-2"/>
          <w:sz w:val="24"/>
        </w:rPr>
        <w:t>零售企业不得擅自更改或者代用处方所列药品。新《药品管理法》第 </w:t>
      </w:r>
      <w:r>
        <w:rPr>
          <w:sz w:val="24"/>
        </w:rPr>
        <w:t>58</w:t>
      </w:r>
      <w:r>
        <w:rPr>
          <w:spacing w:val="-30"/>
          <w:sz w:val="24"/>
        </w:rPr>
        <w:t> 条第 </w:t>
      </w:r>
      <w:r>
        <w:rPr>
          <w:sz w:val="24"/>
        </w:rPr>
        <w:t>1</w:t>
      </w:r>
      <w:r>
        <w:rPr>
          <w:spacing w:val="-30"/>
          <w:sz w:val="24"/>
        </w:rPr>
        <w:t> 款</w:t>
      </w:r>
      <w:r>
        <w:rPr>
          <w:spacing w:val="-13"/>
          <w:sz w:val="24"/>
        </w:rPr>
        <w:t>规定，药品经营企业零售药品应当准确无误，并正确说明用法、用量和注意事项；调配处方</w:t>
      </w:r>
      <w:r>
        <w:rPr>
          <w:spacing w:val="-14"/>
          <w:sz w:val="24"/>
        </w:rPr>
        <w:t>应当经过核对，对处方所列药品不得擅自更改或者代用。对有配伍禁忌或者超剂量的处方， </w:t>
      </w:r>
      <w:r>
        <w:rPr>
          <w:sz w:val="24"/>
        </w:rPr>
        <w:t>应当拒绝调配；必要时，经处方医师更正或者重新签字，方可调配。</w:t>
      </w:r>
    </w:p>
    <w:p>
      <w:pPr>
        <w:pStyle w:val="ListParagraph"/>
        <w:numPr>
          <w:ilvl w:val="0"/>
          <w:numId w:val="3"/>
        </w:numPr>
        <w:tabs>
          <w:tab w:pos="979" w:val="left" w:leader="none"/>
        </w:tabs>
        <w:spacing w:line="297" w:lineRule="auto" w:before="0" w:after="0"/>
        <w:ind w:left="137" w:right="227" w:firstLine="480"/>
        <w:jc w:val="left"/>
        <w:rPr>
          <w:sz w:val="24"/>
        </w:rPr>
      </w:pPr>
      <w:r>
        <w:rPr>
          <w:spacing w:val="-2"/>
          <w:sz w:val="24"/>
        </w:rPr>
        <w:t>禁止在药品购销中给予、收受回扣或者其他不正当利益。新《药品管理法》第 </w:t>
      </w:r>
      <w:r>
        <w:rPr>
          <w:sz w:val="24"/>
        </w:rPr>
        <w:t>88 </w:t>
      </w:r>
      <w:r>
        <w:rPr>
          <w:spacing w:val="-11"/>
          <w:sz w:val="24"/>
        </w:rPr>
        <w:t>条规定，禁止药品上市许可持有人、药品生产企业、药品经营企业和医疗机构在药品购销中</w:t>
      </w:r>
      <w:r>
        <w:rPr>
          <w:spacing w:val="-9"/>
          <w:sz w:val="24"/>
        </w:rPr>
        <w:t>给予、收受回扣或者其他不正当利益。禁止药品上市许可持有人、药品生产企业、药品经营</w:t>
      </w:r>
      <w:r>
        <w:rPr>
          <w:spacing w:val="-13"/>
          <w:sz w:val="24"/>
        </w:rPr>
        <w:t>企业或者代理人以任何名义给予使用其药品的医疗机构的负责人、药品采购人员、医师、药</w:t>
      </w:r>
      <w:r>
        <w:rPr>
          <w:spacing w:val="-5"/>
          <w:sz w:val="24"/>
        </w:rPr>
        <w:t>师等有关人员财物或者其他不正当利益。禁止医疗机构的负责人、药品采购人员、医师、药</w:t>
      </w:r>
      <w:r>
        <w:rPr>
          <w:spacing w:val="-11"/>
          <w:sz w:val="24"/>
        </w:rPr>
        <w:t>师等有关人员以任何名义收受药品上市许可持有人、药品生产企业、药品经营企业或者代理</w:t>
      </w:r>
      <w:r>
        <w:rPr>
          <w:sz w:val="24"/>
        </w:rPr>
        <w:t>人给予的财物或者其他不正当利益。</w:t>
      </w:r>
    </w:p>
    <w:p>
      <w:pPr>
        <w:pStyle w:val="ListParagraph"/>
        <w:numPr>
          <w:ilvl w:val="0"/>
          <w:numId w:val="3"/>
        </w:numPr>
        <w:tabs>
          <w:tab w:pos="979" w:val="left" w:leader="none"/>
        </w:tabs>
        <w:spacing w:line="297" w:lineRule="auto" w:before="0" w:after="0"/>
        <w:ind w:left="137" w:right="230" w:firstLine="480"/>
        <w:jc w:val="both"/>
        <w:rPr>
          <w:sz w:val="24"/>
        </w:rPr>
      </w:pPr>
      <w:r>
        <w:rPr>
          <w:spacing w:val="-2"/>
          <w:sz w:val="24"/>
        </w:rPr>
        <w:t>不得限制或者排斥非本地区药品进入本地区。新《药品管理法》第 </w:t>
      </w:r>
      <w:r>
        <w:rPr>
          <w:sz w:val="24"/>
        </w:rPr>
        <w:t>110</w:t>
      </w:r>
      <w:r>
        <w:rPr>
          <w:spacing w:val="-10"/>
          <w:sz w:val="24"/>
        </w:rPr>
        <w:t> 条规定，地</w:t>
      </w:r>
      <w:r>
        <w:rPr>
          <w:spacing w:val="-15"/>
          <w:sz w:val="24"/>
        </w:rPr>
        <w:t>方人民政府及其药品监督管理部门不得以要求实施药品检验、审批等手段限制或者排斥非本</w:t>
      </w:r>
      <w:r>
        <w:rPr>
          <w:sz w:val="24"/>
        </w:rPr>
        <w:t>地区药品上市许可持有人、药品生产企业生产的药品进入本地区。</w:t>
      </w:r>
    </w:p>
    <w:p>
      <w:pPr>
        <w:pStyle w:val="Heading3"/>
        <w:spacing w:line="304" w:lineRule="exact"/>
      </w:pPr>
      <w:r>
        <w:rPr/>
        <w:t>药品使用</w:t>
      </w:r>
    </w:p>
    <w:p>
      <w:pPr>
        <w:pStyle w:val="ListParagraph"/>
        <w:numPr>
          <w:ilvl w:val="0"/>
          <w:numId w:val="3"/>
        </w:numPr>
        <w:tabs>
          <w:tab w:pos="1098" w:val="left" w:leader="none"/>
        </w:tabs>
        <w:spacing w:line="297" w:lineRule="auto" w:before="59" w:after="0"/>
        <w:ind w:left="137" w:right="227" w:firstLine="480"/>
        <w:jc w:val="both"/>
        <w:rPr>
          <w:sz w:val="24"/>
        </w:rPr>
      </w:pPr>
      <w:r>
        <w:rPr>
          <w:spacing w:val="-2"/>
          <w:sz w:val="24"/>
        </w:rPr>
        <w:t>医疗机构非药学技术人员不得直接从事药剂技术工作。新《药品管理法》第 </w:t>
      </w:r>
      <w:r>
        <w:rPr>
          <w:sz w:val="24"/>
        </w:rPr>
        <w:t>69</w:t>
      </w:r>
      <w:r>
        <w:rPr>
          <w:spacing w:val="-30"/>
          <w:sz w:val="24"/>
        </w:rPr>
        <w:t> 条</w:t>
      </w:r>
      <w:r>
        <w:rPr>
          <w:spacing w:val="-15"/>
          <w:sz w:val="24"/>
        </w:rPr>
        <w:t>规定，医疗机构应当配备依法经过资格认定的药师或者其他药学技术人员，负责本单位的药</w:t>
      </w:r>
      <w:r>
        <w:rPr>
          <w:spacing w:val="-12"/>
          <w:sz w:val="24"/>
        </w:rPr>
        <w:t>品管理、处方审核和调配、合理用药指导等工作。非药学技术人员不得直接从事药剂技术工</w:t>
      </w:r>
      <w:r>
        <w:rPr>
          <w:sz w:val="24"/>
        </w:rPr>
        <w:t>作。</w:t>
      </w:r>
    </w:p>
    <w:p>
      <w:pPr>
        <w:pStyle w:val="ListParagraph"/>
        <w:numPr>
          <w:ilvl w:val="0"/>
          <w:numId w:val="3"/>
        </w:numPr>
        <w:tabs>
          <w:tab w:pos="979" w:val="left" w:leader="none"/>
        </w:tabs>
        <w:spacing w:line="297" w:lineRule="auto" w:before="0" w:after="0"/>
        <w:ind w:left="137" w:right="106" w:firstLine="480"/>
        <w:jc w:val="left"/>
        <w:rPr>
          <w:sz w:val="24"/>
        </w:rPr>
      </w:pPr>
      <w:r>
        <w:rPr>
          <w:spacing w:val="-15"/>
          <w:sz w:val="24"/>
        </w:rPr>
        <w:t>不符合规定要求的药品，医疗机构不得购进和使用。新《药品管理法》第 </w:t>
      </w:r>
      <w:r>
        <w:rPr>
          <w:sz w:val="24"/>
        </w:rPr>
        <w:t>70</w:t>
      </w:r>
      <w:r>
        <w:rPr>
          <w:spacing w:val="-15"/>
          <w:sz w:val="24"/>
        </w:rPr>
        <w:t> 条规定， </w:t>
      </w:r>
      <w:r>
        <w:rPr>
          <w:spacing w:val="-7"/>
          <w:sz w:val="24"/>
        </w:rPr>
        <w:t>医疗机构购进药品，应当建立并执行进货检查验收制度，验明药品合格证明和其他标识；不符合规定要求的，不得购进和使用。</w:t>
      </w:r>
    </w:p>
    <w:p>
      <w:pPr>
        <w:spacing w:after="0" w:line="297" w:lineRule="auto"/>
        <w:jc w:val="left"/>
        <w:rPr>
          <w:sz w:val="24"/>
        </w:rPr>
        <w:sectPr>
          <w:pgSz w:w="11910" w:h="16850"/>
          <w:pgMar w:header="906" w:footer="607" w:top="1100" w:bottom="800" w:left="1140" w:right="900"/>
        </w:sectPr>
      </w:pPr>
    </w:p>
    <w:p>
      <w:pPr>
        <w:pStyle w:val="ListParagraph"/>
        <w:numPr>
          <w:ilvl w:val="0"/>
          <w:numId w:val="3"/>
        </w:numPr>
        <w:tabs>
          <w:tab w:pos="979" w:val="left" w:leader="none"/>
        </w:tabs>
        <w:spacing w:line="297" w:lineRule="auto" w:before="65" w:after="0"/>
        <w:ind w:left="137" w:right="108" w:firstLine="480"/>
        <w:jc w:val="left"/>
        <w:rPr>
          <w:sz w:val="24"/>
        </w:rPr>
      </w:pPr>
      <w:r>
        <w:rPr>
          <w:spacing w:val="-12"/>
          <w:sz w:val="24"/>
        </w:rPr>
        <w:t>药学技术人员不得擅自更改或者代用处方所列药品。新《药品管理法》第 </w:t>
      </w:r>
      <w:r>
        <w:rPr>
          <w:sz w:val="24"/>
        </w:rPr>
        <w:t>73</w:t>
      </w:r>
      <w:r>
        <w:rPr>
          <w:spacing w:val="-15"/>
          <w:sz w:val="24"/>
        </w:rPr>
        <w:t> 条规定， </w:t>
      </w:r>
      <w:r>
        <w:rPr>
          <w:spacing w:val="-4"/>
          <w:sz w:val="24"/>
        </w:rPr>
        <w:t>依法经过资格认定的药师或者其他药学技术人员调配处方，应当进行核对，对处方所列药品</w:t>
      </w:r>
      <w:r>
        <w:rPr>
          <w:spacing w:val="-10"/>
          <w:sz w:val="24"/>
        </w:rPr>
        <w:t>不得擅自更改或者代用。对有配伍禁忌或者超剂量的处方，应当拒绝调配；必要时，经处方医师更正或者重新签字，方可调配。</w:t>
      </w:r>
    </w:p>
    <w:p>
      <w:pPr>
        <w:pStyle w:val="ListParagraph"/>
        <w:numPr>
          <w:ilvl w:val="0"/>
          <w:numId w:val="3"/>
        </w:numPr>
        <w:tabs>
          <w:tab w:pos="979" w:val="left" w:leader="none"/>
        </w:tabs>
        <w:spacing w:line="297" w:lineRule="auto" w:before="0" w:after="0"/>
        <w:ind w:left="137" w:right="230" w:firstLine="480"/>
        <w:jc w:val="left"/>
        <w:rPr>
          <w:sz w:val="24"/>
        </w:rPr>
      </w:pPr>
      <w:r>
        <w:rPr>
          <w:spacing w:val="-2"/>
          <w:sz w:val="24"/>
        </w:rPr>
        <w:t>无医疗机构制剂许可证的医疗机构不得配制制剂。新《药品管理法》第 </w:t>
      </w:r>
      <w:r>
        <w:rPr>
          <w:sz w:val="24"/>
        </w:rPr>
        <w:t>74</w:t>
      </w:r>
      <w:r>
        <w:rPr>
          <w:spacing w:val="-30"/>
          <w:sz w:val="24"/>
        </w:rPr>
        <w:t> 条第 </w:t>
      </w:r>
      <w:r>
        <w:rPr>
          <w:sz w:val="24"/>
        </w:rPr>
        <w:t>1 </w:t>
      </w:r>
      <w:r>
        <w:rPr>
          <w:spacing w:val="-10"/>
          <w:sz w:val="24"/>
        </w:rPr>
        <w:t>款规定，医疗机构配制制剂，应当经所在地省、自治区、直辖市人民政府药品监督管理部门</w:t>
      </w:r>
      <w:r>
        <w:rPr>
          <w:sz w:val="24"/>
        </w:rPr>
        <w:t>批准，取得医疗机构制剂许可证。无医疗机构制剂许可证的，不得配制制剂。</w:t>
      </w:r>
    </w:p>
    <w:p>
      <w:pPr>
        <w:pStyle w:val="ListParagraph"/>
        <w:numPr>
          <w:ilvl w:val="0"/>
          <w:numId w:val="3"/>
        </w:numPr>
        <w:tabs>
          <w:tab w:pos="979" w:val="left" w:leader="none"/>
        </w:tabs>
        <w:spacing w:line="297" w:lineRule="auto" w:before="0" w:after="0"/>
        <w:ind w:left="137" w:right="110" w:firstLine="480"/>
        <w:jc w:val="left"/>
        <w:rPr>
          <w:sz w:val="24"/>
        </w:rPr>
      </w:pPr>
      <w:r>
        <w:rPr>
          <w:spacing w:val="-7"/>
          <w:sz w:val="24"/>
        </w:rPr>
        <w:t>医疗机构配制的制剂不得在市场上销售。新《药品管理法》第 </w:t>
      </w:r>
      <w:r>
        <w:rPr>
          <w:sz w:val="24"/>
        </w:rPr>
        <w:t>76</w:t>
      </w:r>
      <w:r>
        <w:rPr>
          <w:spacing w:val="-11"/>
          <w:sz w:val="24"/>
        </w:rPr>
        <w:t> 条规定，医疗机构</w:t>
      </w:r>
      <w:r>
        <w:rPr>
          <w:spacing w:val="-17"/>
          <w:sz w:val="24"/>
        </w:rPr>
        <w:t>配制的制剂，应当是本单位临床需要而市场上没有供应的品种，并应当经所在地省、自治区、</w:t>
      </w:r>
      <w:r>
        <w:rPr>
          <w:spacing w:val="-5"/>
          <w:sz w:val="24"/>
        </w:rPr>
        <w:t>直辖市人民政府药品监督管理部门批准；但是，法律对配制中药制剂另有规定的除外。医疗</w:t>
      </w:r>
      <w:r>
        <w:rPr>
          <w:spacing w:val="-10"/>
          <w:sz w:val="24"/>
        </w:rPr>
        <w:t>机构配制的制剂应当按照规定进行质量检验；合格的，凭医师处方在本单位使用。经国务院</w:t>
      </w:r>
      <w:r>
        <w:rPr>
          <w:spacing w:val="-15"/>
          <w:sz w:val="24"/>
        </w:rPr>
        <w:t>药品监督管理部门或者省、自治区、直辖市人民政府药品监督管理部门批准，医疗机构配制的制剂可以在指定的医疗机构之间调剂使用。医疗机构配制的制剂不得在市场上销售。</w:t>
      </w:r>
    </w:p>
    <w:p>
      <w:pPr>
        <w:pStyle w:val="Heading3"/>
        <w:spacing w:line="300" w:lineRule="exact"/>
      </w:pPr>
      <w:r>
        <w:rPr/>
        <w:t>药品进出口</w:t>
      </w:r>
    </w:p>
    <w:p>
      <w:pPr>
        <w:pStyle w:val="ListParagraph"/>
        <w:numPr>
          <w:ilvl w:val="0"/>
          <w:numId w:val="3"/>
        </w:numPr>
        <w:tabs>
          <w:tab w:pos="979" w:val="left" w:leader="none"/>
        </w:tabs>
        <w:spacing w:line="297" w:lineRule="auto" w:before="62" w:after="0"/>
        <w:ind w:left="137" w:right="229" w:firstLine="480"/>
        <w:jc w:val="left"/>
        <w:rPr>
          <w:sz w:val="24"/>
        </w:rPr>
      </w:pPr>
      <w:r>
        <w:rPr>
          <w:spacing w:val="-9"/>
          <w:sz w:val="24"/>
        </w:rPr>
        <w:t>禁止进口危害人体健康的药品。新《药品管理法》第 </w:t>
      </w:r>
      <w:r>
        <w:rPr>
          <w:sz w:val="24"/>
        </w:rPr>
        <w:t>67</w:t>
      </w:r>
      <w:r>
        <w:rPr>
          <w:spacing w:val="-11"/>
          <w:sz w:val="24"/>
        </w:rPr>
        <w:t> 条规定，禁止进口疗效不确</w:t>
      </w:r>
      <w:r>
        <w:rPr>
          <w:sz w:val="24"/>
        </w:rPr>
        <w:t>切、不良反应大或者因其他原因危害人体健康的药品。</w:t>
      </w:r>
    </w:p>
    <w:p>
      <w:pPr>
        <w:pStyle w:val="ListParagraph"/>
        <w:numPr>
          <w:ilvl w:val="0"/>
          <w:numId w:val="3"/>
        </w:numPr>
        <w:tabs>
          <w:tab w:pos="979" w:val="left" w:leader="none"/>
        </w:tabs>
        <w:spacing w:line="295" w:lineRule="auto" w:before="0" w:after="0"/>
        <w:ind w:left="137" w:right="126" w:firstLine="480"/>
        <w:jc w:val="left"/>
        <w:rPr>
          <w:sz w:val="24"/>
        </w:rPr>
      </w:pPr>
      <w:r>
        <w:rPr>
          <w:spacing w:val="-3"/>
          <w:sz w:val="24"/>
        </w:rPr>
        <w:t>限制或者禁止短缺药品出口。新《药品管理法》第 </w:t>
      </w:r>
      <w:r>
        <w:rPr>
          <w:sz w:val="24"/>
        </w:rPr>
        <w:t>97</w:t>
      </w:r>
      <w:r>
        <w:rPr>
          <w:spacing w:val="-30"/>
          <w:sz w:val="24"/>
        </w:rPr>
        <w:t> 条第 </w:t>
      </w:r>
      <w:r>
        <w:rPr>
          <w:sz w:val="24"/>
        </w:rPr>
        <w:t>1</w:t>
      </w:r>
      <w:r>
        <w:rPr>
          <w:spacing w:val="-9"/>
          <w:sz w:val="24"/>
        </w:rPr>
        <w:t> 款规定，对短缺药品， </w:t>
      </w:r>
      <w:r>
        <w:rPr>
          <w:sz w:val="24"/>
        </w:rPr>
        <w:t>国务院可以限制或者禁止出口。</w:t>
      </w:r>
    </w:p>
    <w:p>
      <w:pPr>
        <w:pStyle w:val="ListParagraph"/>
        <w:numPr>
          <w:ilvl w:val="0"/>
          <w:numId w:val="3"/>
        </w:numPr>
        <w:tabs>
          <w:tab w:pos="979" w:val="left" w:leader="none"/>
        </w:tabs>
        <w:spacing w:line="297" w:lineRule="auto" w:before="3" w:after="0"/>
        <w:ind w:left="137" w:right="107" w:firstLine="480"/>
        <w:jc w:val="left"/>
        <w:rPr>
          <w:sz w:val="24"/>
        </w:rPr>
      </w:pPr>
      <w:r>
        <w:rPr>
          <w:spacing w:val="-3"/>
          <w:sz w:val="24"/>
        </w:rPr>
        <w:t>无进口药品通关单的药品，海关不得放行。新《药品管理法》第 </w:t>
      </w:r>
      <w:r>
        <w:rPr>
          <w:sz w:val="24"/>
        </w:rPr>
        <w:t>64</w:t>
      </w:r>
      <w:r>
        <w:rPr>
          <w:spacing w:val="-30"/>
          <w:sz w:val="24"/>
        </w:rPr>
        <w:t> 条第 </w:t>
      </w:r>
      <w:r>
        <w:rPr>
          <w:sz w:val="24"/>
        </w:rPr>
        <w:t>1</w:t>
      </w:r>
      <w:r>
        <w:rPr>
          <w:spacing w:val="-12"/>
          <w:sz w:val="24"/>
        </w:rPr>
        <w:t> 款规定， </w:t>
      </w:r>
      <w:r>
        <w:rPr>
          <w:spacing w:val="-17"/>
          <w:sz w:val="24"/>
        </w:rPr>
        <w:t>药品应当从允许药品进口的口岸进口，并由进口药品的企业向口岸所在地药品监督管理部门备案。海关凭药品监督管理部门出具的进口药品通关单办理通关手续。无进口药品通关单的， </w:t>
      </w:r>
      <w:r>
        <w:rPr>
          <w:sz w:val="24"/>
        </w:rPr>
        <w:t>海关不得放行。</w:t>
      </w:r>
    </w:p>
    <w:p>
      <w:pPr>
        <w:pStyle w:val="ListParagraph"/>
        <w:numPr>
          <w:ilvl w:val="0"/>
          <w:numId w:val="3"/>
        </w:numPr>
        <w:tabs>
          <w:tab w:pos="979" w:val="left" w:leader="none"/>
        </w:tabs>
        <w:spacing w:line="297" w:lineRule="auto" w:before="0" w:after="0"/>
        <w:ind w:left="137" w:right="227" w:firstLine="480"/>
        <w:jc w:val="both"/>
        <w:rPr>
          <w:sz w:val="24"/>
        </w:rPr>
      </w:pPr>
      <w:r>
        <w:rPr>
          <w:sz w:val="24"/>
        </w:rPr>
        <w:t>规定检验而未经检验或者检验不合格的药品不得销售或者进口。新《药品管理法》</w:t>
      </w:r>
      <w:r>
        <w:rPr>
          <w:spacing w:val="-30"/>
          <w:sz w:val="24"/>
        </w:rPr>
        <w:t>第 </w:t>
      </w:r>
      <w:r>
        <w:rPr>
          <w:sz w:val="24"/>
        </w:rPr>
        <w:t>68</w:t>
      </w:r>
      <w:r>
        <w:rPr>
          <w:spacing w:val="-8"/>
          <w:sz w:val="24"/>
        </w:rPr>
        <w:t> 条规定，国务院药品监督管理部门对下列药品在销售前或者进口时，应当指定药品检验机构进行检验；未经检验或者检验不合格的，不得销售或者进口:（一）首次在中国境内</w:t>
      </w:r>
      <w:r>
        <w:rPr>
          <w:spacing w:val="-10"/>
          <w:sz w:val="24"/>
        </w:rPr>
        <w:t>销售的药品；</w:t>
      </w:r>
      <w:r>
        <w:rPr>
          <w:spacing w:val="-17"/>
          <w:sz w:val="24"/>
        </w:rPr>
        <w:t>（</w:t>
      </w:r>
      <w:r>
        <w:rPr>
          <w:sz w:val="24"/>
        </w:rPr>
        <w:t>二</w:t>
      </w:r>
      <w:r>
        <w:rPr>
          <w:spacing w:val="-17"/>
          <w:sz w:val="24"/>
        </w:rPr>
        <w:t>）</w:t>
      </w:r>
      <w:r>
        <w:rPr>
          <w:spacing w:val="-1"/>
          <w:sz w:val="24"/>
        </w:rPr>
        <w:t>国务院药品监督管理部门规定的生物制品；</w:t>
      </w:r>
      <w:r>
        <w:rPr>
          <w:spacing w:val="-17"/>
          <w:sz w:val="24"/>
        </w:rPr>
        <w:t>（</w:t>
      </w:r>
      <w:r>
        <w:rPr>
          <w:sz w:val="24"/>
        </w:rPr>
        <w:t>三</w:t>
      </w:r>
      <w:r>
        <w:rPr>
          <w:spacing w:val="-17"/>
          <w:sz w:val="24"/>
        </w:rPr>
        <w:t>）</w:t>
      </w:r>
      <w:r>
        <w:rPr>
          <w:spacing w:val="-2"/>
          <w:sz w:val="24"/>
        </w:rPr>
        <w:t>国务院规定的其他药</w:t>
      </w:r>
      <w:r>
        <w:rPr>
          <w:sz w:val="24"/>
        </w:rPr>
        <w:t>品。</w:t>
      </w:r>
    </w:p>
    <w:p>
      <w:pPr>
        <w:pStyle w:val="Heading3"/>
        <w:spacing w:line="296" w:lineRule="exact"/>
      </w:pPr>
      <w:r>
        <w:rPr/>
        <w:t>药品监管</w:t>
      </w:r>
    </w:p>
    <w:p>
      <w:pPr>
        <w:pStyle w:val="ListParagraph"/>
        <w:numPr>
          <w:ilvl w:val="0"/>
          <w:numId w:val="3"/>
        </w:numPr>
        <w:tabs>
          <w:tab w:pos="979" w:val="left" w:leader="none"/>
        </w:tabs>
        <w:spacing w:line="297" w:lineRule="auto" w:before="71" w:after="0"/>
        <w:ind w:left="137" w:right="227" w:firstLine="480"/>
        <w:jc w:val="both"/>
        <w:rPr>
          <w:sz w:val="24"/>
        </w:rPr>
      </w:pPr>
      <w:r>
        <w:rPr>
          <w:spacing w:val="-10"/>
          <w:sz w:val="24"/>
        </w:rPr>
        <w:t>不得拒绝监管部门检查。新《药品管理法》第 </w:t>
      </w:r>
      <w:r>
        <w:rPr>
          <w:sz w:val="24"/>
        </w:rPr>
        <w:t>99</w:t>
      </w:r>
      <w:r>
        <w:rPr>
          <w:spacing w:val="-30"/>
          <w:sz w:val="24"/>
        </w:rPr>
        <w:t> 条第 </w:t>
      </w:r>
      <w:r>
        <w:rPr>
          <w:sz w:val="24"/>
        </w:rPr>
        <w:t>1</w:t>
      </w:r>
      <w:r>
        <w:rPr>
          <w:spacing w:val="-11"/>
          <w:sz w:val="24"/>
        </w:rPr>
        <w:t> 款规定，药品监督管理部门</w:t>
      </w:r>
      <w:r>
        <w:rPr>
          <w:spacing w:val="-10"/>
          <w:sz w:val="24"/>
        </w:rPr>
        <w:t>应当依照法律、法规的规定对药品研制、生产、经营和药品使用单位使用药品等活动进行监</w:t>
      </w:r>
      <w:r>
        <w:rPr>
          <w:spacing w:val="-11"/>
          <w:sz w:val="24"/>
        </w:rPr>
        <w:t>督检查，必要时可以对为药品研制、生产、经营、使用提供产品或者服务的单位和个人进行</w:t>
      </w:r>
      <w:r>
        <w:rPr>
          <w:sz w:val="24"/>
        </w:rPr>
        <w:t>延伸检查，有关单位和个人应当予以配合，不得拒绝和隐瞒。</w:t>
      </w:r>
    </w:p>
    <w:p>
      <w:pPr>
        <w:pStyle w:val="ListParagraph"/>
        <w:numPr>
          <w:ilvl w:val="0"/>
          <w:numId w:val="3"/>
        </w:numPr>
        <w:tabs>
          <w:tab w:pos="979" w:val="left" w:leader="none"/>
        </w:tabs>
        <w:spacing w:line="297" w:lineRule="auto" w:before="0" w:after="0"/>
        <w:ind w:left="137" w:right="127" w:firstLine="480"/>
        <w:jc w:val="left"/>
        <w:rPr>
          <w:sz w:val="24"/>
        </w:rPr>
      </w:pPr>
      <w:r>
        <w:rPr>
          <w:spacing w:val="-3"/>
          <w:sz w:val="24"/>
        </w:rPr>
        <w:t>抽查检验不得收取任何费用。新《药品管理法》第 </w:t>
      </w:r>
      <w:r>
        <w:rPr>
          <w:sz w:val="24"/>
        </w:rPr>
        <w:t>100</w:t>
      </w:r>
      <w:r>
        <w:rPr>
          <w:spacing w:val="-30"/>
          <w:sz w:val="24"/>
        </w:rPr>
        <w:t> 条第 </w:t>
      </w:r>
      <w:r>
        <w:rPr>
          <w:sz w:val="24"/>
        </w:rPr>
        <w:t>1</w:t>
      </w:r>
      <w:r>
        <w:rPr>
          <w:spacing w:val="-8"/>
          <w:sz w:val="24"/>
        </w:rPr>
        <w:t> 款规定，药品监督管</w:t>
      </w:r>
      <w:r>
        <w:rPr>
          <w:spacing w:val="-9"/>
          <w:sz w:val="24"/>
        </w:rPr>
        <w:t>理部门根据监督管理的需要，可以对药品质量进行抽查检验。抽查检验应当按照规定抽样， </w:t>
      </w:r>
      <w:r>
        <w:rPr>
          <w:sz w:val="24"/>
        </w:rPr>
        <w:t>并不得收取任何费用；抽样应当购买样品。所需费用按照国务院规定列支。</w:t>
      </w:r>
    </w:p>
    <w:p>
      <w:pPr>
        <w:pStyle w:val="ListParagraph"/>
        <w:numPr>
          <w:ilvl w:val="0"/>
          <w:numId w:val="3"/>
        </w:numPr>
        <w:tabs>
          <w:tab w:pos="1098" w:val="left" w:leader="none"/>
        </w:tabs>
        <w:spacing w:line="297" w:lineRule="auto" w:before="0" w:after="0"/>
        <w:ind w:left="137" w:right="229" w:firstLine="480"/>
        <w:jc w:val="left"/>
        <w:rPr>
          <w:sz w:val="24"/>
        </w:rPr>
      </w:pPr>
      <w:r>
        <w:rPr>
          <w:spacing w:val="-18"/>
          <w:sz w:val="24"/>
        </w:rPr>
        <w:t>监管部门及其人员、药品专业技术机构及其人员不得参与药品生产经营活动。新《药品管理法》第 </w:t>
      </w:r>
      <w:r>
        <w:rPr>
          <w:sz w:val="24"/>
        </w:rPr>
        <w:t>111</w:t>
      </w:r>
      <w:r>
        <w:rPr>
          <w:spacing w:val="-13"/>
          <w:sz w:val="24"/>
        </w:rPr>
        <w:t> 条规定，药品监督管理部门及其设置或者指定的药品专业技术机构不得参</w:t>
      </w:r>
    </w:p>
    <w:p>
      <w:pPr>
        <w:spacing w:after="0" w:line="297" w:lineRule="auto"/>
        <w:jc w:val="left"/>
        <w:rPr>
          <w:sz w:val="24"/>
        </w:rPr>
        <w:sectPr>
          <w:pgSz w:w="11910" w:h="16850"/>
          <w:pgMar w:header="906" w:footer="607" w:top="1100" w:bottom="800" w:left="1140" w:right="900"/>
        </w:sectPr>
      </w:pPr>
    </w:p>
    <w:p>
      <w:pPr>
        <w:pStyle w:val="BodyText"/>
        <w:spacing w:line="295" w:lineRule="auto" w:before="65"/>
        <w:ind w:right="228" w:firstLine="0"/>
      </w:pPr>
      <w:r>
        <w:rPr>
          <w:spacing w:val="-8"/>
        </w:rPr>
        <w:t>与药品生产经营活动，不得以其名义推荐或者监制、监销药品。药品监督管理部门及其设置</w:t>
      </w:r>
      <w:r>
        <w:rPr/>
        <w:t>或者指定的药品专业技术机构的工作人员不得参与药品生产经营活动。</w:t>
      </w:r>
    </w:p>
    <w:p>
      <w:pPr>
        <w:pStyle w:val="Heading3"/>
        <w:spacing w:before="2"/>
      </w:pPr>
      <w:r>
        <w:rPr/>
        <w:t>其他</w:t>
      </w:r>
    </w:p>
    <w:p>
      <w:pPr>
        <w:pStyle w:val="ListParagraph"/>
        <w:numPr>
          <w:ilvl w:val="0"/>
          <w:numId w:val="3"/>
        </w:numPr>
        <w:tabs>
          <w:tab w:pos="979" w:val="left" w:leader="none"/>
        </w:tabs>
        <w:spacing w:line="295" w:lineRule="auto" w:before="74" w:after="0"/>
        <w:ind w:left="137" w:right="246" w:firstLine="480"/>
        <w:jc w:val="left"/>
        <w:rPr>
          <w:sz w:val="24"/>
        </w:rPr>
      </w:pPr>
      <w:r>
        <w:rPr>
          <w:spacing w:val="-3"/>
          <w:sz w:val="24"/>
        </w:rPr>
        <w:t>不得对举报人进行打击报复。新《药品管理法》第 </w:t>
      </w:r>
      <w:r>
        <w:rPr>
          <w:sz w:val="24"/>
        </w:rPr>
        <w:t>106</w:t>
      </w:r>
      <w:r>
        <w:rPr>
          <w:spacing w:val="-30"/>
          <w:sz w:val="24"/>
        </w:rPr>
        <w:t> 条第 </w:t>
      </w:r>
      <w:r>
        <w:rPr>
          <w:sz w:val="24"/>
        </w:rPr>
        <w:t>2</w:t>
      </w:r>
      <w:r>
        <w:rPr>
          <w:spacing w:val="-9"/>
          <w:sz w:val="24"/>
        </w:rPr>
        <w:t> 款规定，举报人举报</w:t>
      </w:r>
      <w:r>
        <w:rPr>
          <w:sz w:val="24"/>
        </w:rPr>
        <w:t>所在单位的，该单位不得以解除、变更劳动合同或者其他方式对举报人进行打击报复。</w:t>
      </w:r>
    </w:p>
    <w:p>
      <w:pPr>
        <w:pStyle w:val="ListParagraph"/>
        <w:numPr>
          <w:ilvl w:val="0"/>
          <w:numId w:val="3"/>
        </w:numPr>
        <w:tabs>
          <w:tab w:pos="979" w:val="left" w:leader="none"/>
        </w:tabs>
        <w:spacing w:line="297" w:lineRule="auto" w:before="2" w:after="0"/>
        <w:ind w:left="137" w:right="227" w:firstLine="480"/>
        <w:jc w:val="left"/>
        <w:rPr>
          <w:sz w:val="24"/>
        </w:rPr>
      </w:pPr>
      <w:r>
        <w:rPr>
          <w:spacing w:val="-10"/>
          <w:sz w:val="24"/>
        </w:rPr>
        <w:t>禁止暴利、价格垄断和价格欺诈等行为。新《药品管理法》第 </w:t>
      </w:r>
      <w:r>
        <w:rPr>
          <w:sz w:val="24"/>
        </w:rPr>
        <w:t>85</w:t>
      </w:r>
      <w:r>
        <w:rPr>
          <w:spacing w:val="-30"/>
          <w:sz w:val="24"/>
        </w:rPr>
        <w:t> 条第 </w:t>
      </w:r>
      <w:r>
        <w:rPr>
          <w:sz w:val="24"/>
        </w:rPr>
        <w:t>2</w:t>
      </w:r>
      <w:r>
        <w:rPr>
          <w:spacing w:val="-15"/>
          <w:sz w:val="24"/>
        </w:rPr>
        <w:t> 款规定，药</w:t>
      </w:r>
      <w:r>
        <w:rPr>
          <w:spacing w:val="-16"/>
          <w:sz w:val="24"/>
        </w:rPr>
        <w:t>品上市许可持有人、药品生产企业、药品经营企业和医疗机构应当遵守国务院药品价格主管</w:t>
      </w:r>
    </w:p>
    <w:p>
      <w:pPr>
        <w:pStyle w:val="BodyText"/>
        <w:spacing w:line="259" w:lineRule="auto"/>
        <w:ind w:right="227" w:firstLine="0"/>
        <w:rPr>
          <w:rFonts w:ascii="Meiryo" w:eastAsia="Meiryo" w:hint="eastAsia"/>
          <w:b/>
        </w:rPr>
      </w:pPr>
      <w:r>
        <w:rPr>
          <w:spacing w:val="-7"/>
        </w:rPr>
        <w:t>部门关于药品价格管理的规定，制定和标明药品零售价格，禁止暴利、价格垄断和价格欺诈</w:t>
      </w:r>
      <w:r>
        <w:rPr/>
        <w:t>等行为。</w:t>
      </w:r>
      <w:r>
        <w:rPr>
          <w:rFonts w:ascii="Meiryo" w:eastAsia="Meiryo" w:hint="eastAsia"/>
          <w:b/>
          <w:color w:val="0033CC"/>
        </w:rPr>
        <w:t>[返回目次]</w:t>
      </w:r>
    </w:p>
    <w:p>
      <w:pPr>
        <w:pStyle w:val="Heading2"/>
        <w:spacing w:before="29"/>
        <w:ind w:left="137"/>
      </w:pPr>
      <w:bookmarkStart w:name="_TOC_250023" w:id="4"/>
      <w:bookmarkEnd w:id="4"/>
      <w:r>
        <w:rPr/>
        <w:t>【精准医疗】</w:t>
      </w:r>
    </w:p>
    <w:p>
      <w:pPr>
        <w:pStyle w:val="BodyText"/>
        <w:spacing w:before="8"/>
        <w:ind w:left="0" w:firstLine="0"/>
        <w:rPr>
          <w:b/>
          <w:sz w:val="18"/>
        </w:rPr>
      </w:pPr>
    </w:p>
    <w:p>
      <w:pPr>
        <w:spacing w:after="0"/>
        <w:rPr>
          <w:sz w:val="18"/>
        </w:rPr>
        <w:sectPr>
          <w:pgSz w:w="11910" w:h="16850"/>
          <w:pgMar w:header="906" w:footer="607" w:top="1100" w:bottom="800" w:left="1140" w:right="900"/>
        </w:sectPr>
      </w:pPr>
    </w:p>
    <w:p>
      <w:pPr>
        <w:pStyle w:val="Heading2"/>
        <w:spacing w:before="55"/>
        <w:ind w:left="3118"/>
      </w:pPr>
      <w:bookmarkStart w:name="_TOC_250022" w:id="5"/>
      <w:bookmarkEnd w:id="5"/>
      <w:r>
        <w:rPr>
          <w:spacing w:val="-2"/>
        </w:rPr>
        <w:t>悲喜交加的胃癌精准治疗</w:t>
      </w:r>
    </w:p>
    <w:p>
      <w:pPr>
        <w:pStyle w:val="BodyText"/>
        <w:ind w:left="0" w:firstLine="0"/>
        <w:rPr>
          <w:b/>
        </w:rPr>
      </w:pPr>
      <w:r>
        <w:rPr/>
        <w:br w:type="column"/>
      </w:r>
      <w:r>
        <w:rPr>
          <w:b/>
        </w:rPr>
      </w:r>
    </w:p>
    <w:p>
      <w:pPr>
        <w:pStyle w:val="BodyText"/>
        <w:spacing w:before="8"/>
        <w:ind w:left="0" w:firstLine="0"/>
        <w:rPr>
          <w:b/>
          <w:sz w:val="23"/>
        </w:rPr>
      </w:pPr>
    </w:p>
    <w:p>
      <w:pPr>
        <w:pStyle w:val="Heading3"/>
        <w:ind w:left="1017"/>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140" w:right="900"/>
          <w:cols w:num="2" w:equalWidth="0">
            <w:col w:w="6650" w:space="40"/>
            <w:col w:w="3180"/>
          </w:cols>
        </w:sectPr>
      </w:pPr>
    </w:p>
    <w:p>
      <w:pPr>
        <w:pStyle w:val="BodyText"/>
        <w:spacing w:line="297" w:lineRule="auto" w:before="96"/>
        <w:ind w:right="125"/>
      </w:pPr>
      <w:r>
        <w:rPr>
          <w:spacing w:val="-6"/>
        </w:rPr>
        <w:t>近日在厦门市召开的第 </w:t>
      </w:r>
      <w:r>
        <w:rPr/>
        <w:t>22</w:t>
      </w:r>
      <w:r>
        <w:rPr>
          <w:spacing w:val="-12"/>
        </w:rPr>
        <w:t> 届全国临床肿瘤学大会暨 </w:t>
      </w:r>
      <w:r>
        <w:rPr/>
        <w:t>2019</w:t>
      </w:r>
      <w:r>
        <w:rPr>
          <w:spacing w:val="-8"/>
        </w:rPr>
        <w:t> 年中国临床肿瘤学会</w:t>
      </w:r>
      <w:r>
        <w:rPr>
          <w:spacing w:val="-3"/>
        </w:rPr>
        <w:t>（CSCO） </w:t>
      </w:r>
      <w:r>
        <w:rPr>
          <w:spacing w:val="-11"/>
        </w:rPr>
        <w:t>学术年会上，北京大学肿瘤医院消化肿瘤内科暨北京市肿瘤防治研究所沈琳教授向与会者详细梳理了当前胃癌精准治疗方向研究的瓶颈与热点。</w:t>
      </w:r>
    </w:p>
    <w:p>
      <w:pPr>
        <w:pStyle w:val="BodyText"/>
        <w:spacing w:line="297" w:lineRule="auto"/>
        <w:ind w:right="229"/>
      </w:pPr>
      <w:r>
        <w:rPr>
          <w:spacing w:val="-9"/>
        </w:rPr>
        <w:t>目前，我国新发的胃癌患者中超过 </w:t>
      </w:r>
      <w:r>
        <w:rPr/>
        <w:t>70%</w:t>
      </w:r>
      <w:r>
        <w:rPr>
          <w:spacing w:val="-3"/>
        </w:rPr>
        <w:t>患者确诊为进展期胃癌或晚期胃癌。胃癌的精准</w:t>
      </w:r>
      <w:r>
        <w:rPr/>
        <w:t>治疗可以说是“悲喜交加、任重道远”。</w:t>
      </w:r>
    </w:p>
    <w:p>
      <w:pPr>
        <w:pStyle w:val="BodyText"/>
        <w:spacing w:line="297" w:lineRule="auto"/>
        <w:ind w:right="227"/>
        <w:jc w:val="both"/>
      </w:pPr>
      <w:r>
        <w:rPr>
          <w:spacing w:val="-12"/>
        </w:rPr>
        <w:t>总体来看，当前胃癌领域的研究重点主要包括：挖掘新型潜在靶点以此开展新靶向药物</w:t>
      </w:r>
      <w:r>
        <w:rPr>
          <w:spacing w:val="-10"/>
        </w:rPr>
        <w:t>的临床研究，探索靶向药物耐药机制并提出耐药后治疗策略，明确免疫治疗获益群体及疗效</w:t>
      </w:r>
      <w:r>
        <w:rPr/>
        <w:t>优化策略，对药物治疗疗效进行精准评价与监测等。</w:t>
      </w:r>
    </w:p>
    <w:p>
      <w:pPr>
        <w:pStyle w:val="Heading3"/>
        <w:spacing w:line="304" w:lineRule="exact"/>
        <w:jc w:val="both"/>
      </w:pPr>
      <w:r>
        <w:rPr/>
        <w:t>靶向研究 败多胜少</w:t>
      </w:r>
    </w:p>
    <w:p>
      <w:pPr>
        <w:pStyle w:val="BodyText"/>
        <w:spacing w:line="297" w:lineRule="auto" w:before="66"/>
        <w:ind w:right="227"/>
      </w:pPr>
      <w:r>
        <w:rPr>
          <w:spacing w:val="-6"/>
        </w:rPr>
        <w:t>靶向药物治疗是肿瘤精准治疗的重要内涵。从目前的临床实践来看，晚期胃癌患者接受</w:t>
      </w:r>
      <w:r>
        <w:rPr>
          <w:spacing w:val="-4"/>
        </w:rPr>
        <w:t>单独化疗的中位生存期难以超过 </w:t>
      </w:r>
      <w:r>
        <w:rPr/>
        <w:t>1</w:t>
      </w:r>
      <w:r>
        <w:rPr>
          <w:spacing w:val="-8"/>
        </w:rPr>
        <w:t> 年，传统化疗药物的应用已进入瓶颈期。</w:t>
      </w:r>
    </w:p>
    <w:p>
      <w:pPr>
        <w:pStyle w:val="BodyText"/>
        <w:spacing w:line="297" w:lineRule="auto"/>
        <w:ind w:right="227"/>
      </w:pPr>
      <w:r>
        <w:rPr>
          <w:spacing w:val="-11"/>
        </w:rPr>
        <w:t>值得期待的是，由于胃癌高度的肿瘤异质性，精确的分子分型将促进潜在治疗靶点的挖</w:t>
      </w:r>
      <w:r>
        <w:rPr/>
        <w:t>掘和验证，在指导患者个体化的精准治疗方面具有巨大潜力。</w:t>
      </w:r>
    </w:p>
    <w:p>
      <w:pPr>
        <w:pStyle w:val="BodyText"/>
        <w:spacing w:line="297" w:lineRule="auto"/>
        <w:ind w:right="226"/>
        <w:jc w:val="both"/>
      </w:pPr>
      <w:r>
        <w:rPr>
          <w:spacing w:val="-13"/>
        </w:rPr>
        <w:t>近几年，在多组学手段的推动下，胃癌实现了肿瘤细胞层面从 </w:t>
      </w:r>
      <w:r>
        <w:rPr/>
        <w:t>DNA</w:t>
      </w:r>
      <w:r>
        <w:rPr>
          <w:spacing w:val="-40"/>
        </w:rPr>
        <w:t> 到 </w:t>
      </w:r>
      <w:r>
        <w:rPr/>
        <w:t>RNA</w:t>
      </w:r>
      <w:r>
        <w:rPr>
          <w:spacing w:val="-11"/>
        </w:rPr>
        <w:t> 到蛋白的分子</w:t>
      </w:r>
      <w:r>
        <w:rPr>
          <w:spacing w:val="-6"/>
        </w:rPr>
        <w:t>分型以及肿瘤微环境层面包括炎性细胞在内的分子分型。与此同时，现有的临床试验研究中</w:t>
      </w:r>
      <w:r>
        <w:rPr>
          <w:spacing w:val="-9"/>
        </w:rPr>
        <w:t>也越来越注重疗效预测、预后等生物标志物，对受益人群进行不断细分以实现精准治疗的目</w:t>
      </w:r>
      <w:r>
        <w:rPr/>
        <w:t>的。</w:t>
      </w:r>
    </w:p>
    <w:p>
      <w:pPr>
        <w:pStyle w:val="BodyText"/>
        <w:spacing w:line="297" w:lineRule="auto"/>
        <w:ind w:right="109"/>
      </w:pPr>
      <w:r>
        <w:rPr>
          <w:spacing w:val="-2"/>
        </w:rPr>
        <w:t>纵观过去十年间的胃癌靶向药物研发历程，往往是失败多，成功少，靶向 </w:t>
      </w:r>
      <w:r>
        <w:rPr/>
        <w:t>HER2</w:t>
      </w:r>
      <w:r>
        <w:rPr>
          <w:spacing w:val="-15"/>
        </w:rPr>
        <w:t> 治疗的</w:t>
      </w:r>
      <w:r>
        <w:rPr>
          <w:spacing w:val="-18"/>
        </w:rPr>
        <w:t>曲妥珠单抗开启了胃癌靶向治疗新时代，可使 </w:t>
      </w:r>
      <w:r>
        <w:rPr/>
        <w:t>HER2</w:t>
      </w:r>
      <w:r>
        <w:rPr>
          <w:spacing w:val="-15"/>
        </w:rPr>
        <w:t> 阳性患者</w:t>
      </w:r>
      <w:r>
        <w:rPr/>
        <w:t>（</w:t>
      </w:r>
      <w:r>
        <w:rPr>
          <w:spacing w:val="-30"/>
        </w:rPr>
        <w:t>约 </w:t>
      </w:r>
      <w:r>
        <w:rPr>
          <w:spacing w:val="-4"/>
        </w:rPr>
        <w:t>15%）</w:t>
      </w:r>
      <w:r>
        <w:rPr>
          <w:spacing w:val="-2"/>
        </w:rPr>
        <w:t>的生存期显著延长。</w:t>
      </w:r>
      <w:r>
        <w:rPr/>
        <w:t>HER2</w:t>
      </w:r>
      <w:r>
        <w:rPr>
          <w:spacing w:val="-12"/>
        </w:rPr>
        <w:t> 至今依然是胃癌领域唯一有明确获益群体的治疗靶点，但即便初始抗 </w:t>
      </w:r>
      <w:r>
        <w:rPr/>
        <w:t>HER2</w:t>
      </w:r>
      <w:r>
        <w:rPr>
          <w:spacing w:val="-10"/>
        </w:rPr>
        <w:t> 治疗有效的</w:t>
      </w:r>
      <w:r>
        <w:rPr>
          <w:spacing w:val="-16"/>
        </w:rPr>
        <w:t>患者，也大多会在 </w:t>
      </w:r>
      <w:r>
        <w:rPr/>
        <w:t>1</w:t>
      </w:r>
      <w:r>
        <w:rPr>
          <w:spacing w:val="-8"/>
        </w:rPr>
        <w:t> 年内发生耐药而阻碍患者持续获益。</w:t>
      </w:r>
    </w:p>
    <w:p>
      <w:pPr>
        <w:pStyle w:val="BodyText"/>
        <w:spacing w:line="297" w:lineRule="auto"/>
        <w:ind w:right="305"/>
      </w:pPr>
      <w:r>
        <w:rPr>
          <w:spacing w:val="-5"/>
        </w:rPr>
        <w:t>此外，抗血管生成治疗、靶向 </w:t>
      </w:r>
      <w:r>
        <w:rPr/>
        <w:t>Claudin18.2</w:t>
      </w:r>
      <w:r>
        <w:rPr>
          <w:spacing w:val="-15"/>
        </w:rPr>
        <w:t> 治疗、</w:t>
      </w:r>
      <w:r>
        <w:rPr/>
        <w:t>PARP</w:t>
      </w:r>
      <w:r>
        <w:rPr>
          <w:spacing w:val="-12"/>
        </w:rPr>
        <w:t> 抑制剂、</w:t>
      </w:r>
      <w:r>
        <w:rPr/>
        <w:t>MET</w:t>
      </w:r>
      <w:r>
        <w:rPr>
          <w:spacing w:val="-12"/>
        </w:rPr>
        <w:t> 抑制剂、</w:t>
      </w:r>
      <w:r>
        <w:rPr/>
        <w:t>FGFR</w:t>
      </w:r>
      <w:r>
        <w:rPr>
          <w:spacing w:val="-38"/>
        </w:rPr>
        <w:t> 抑</w:t>
      </w:r>
      <w:r>
        <w:rPr/>
        <w:t>制剂等在胃癌领域的疗效显示出一定的研究前景。</w:t>
      </w:r>
    </w:p>
    <w:p>
      <w:pPr>
        <w:pStyle w:val="Heading3"/>
        <w:spacing w:line="306" w:lineRule="exact"/>
      </w:pPr>
      <w:r>
        <w:rPr/>
        <w:t>免疫治疗 结论不一</w:t>
      </w:r>
    </w:p>
    <w:p>
      <w:pPr>
        <w:spacing w:after="0" w:line="306" w:lineRule="exact"/>
        <w:sectPr>
          <w:type w:val="continuous"/>
          <w:pgSz w:w="11910" w:h="16850"/>
          <w:pgMar w:top="1100" w:bottom="1020" w:left="1140" w:right="900"/>
        </w:sectPr>
      </w:pPr>
    </w:p>
    <w:p>
      <w:pPr>
        <w:pStyle w:val="BodyText"/>
        <w:spacing w:line="295" w:lineRule="auto" w:before="65"/>
        <w:ind w:right="109"/>
      </w:pPr>
      <w:r>
        <w:rPr/>
        <w:t>最近非常火热的以免疫检查点抑制剂为代表的免疫治疗，在胃癌领域也频频遭遇滑铁 </w:t>
      </w:r>
      <w:r>
        <w:rPr>
          <w:spacing w:val="-23"/>
        </w:rPr>
        <w:t>卢。近年来，以 </w:t>
      </w:r>
      <w:r>
        <w:rPr/>
        <w:t>PD-1/PD-L1</w:t>
      </w:r>
      <w:r>
        <w:rPr>
          <w:spacing w:val="-9"/>
        </w:rPr>
        <w:t> 抑制剂为代表的免疫治疗在众多肿瘤的治疗中取得突破性进展， </w:t>
      </w:r>
      <w:r>
        <w:rPr/>
        <w:t>但免疫检查点抑制剂单药治疗存在有效率偏低的缺点。</w:t>
      </w:r>
    </w:p>
    <w:p>
      <w:pPr>
        <w:pStyle w:val="BodyText"/>
        <w:spacing w:line="295" w:lineRule="auto" w:before="5"/>
        <w:ind w:right="228"/>
      </w:pPr>
      <w:r>
        <w:rPr>
          <w:spacing w:val="-3"/>
        </w:rPr>
        <w:t>目前已开展的多个临床试验探索免疫治疗在胃癌中的作用，有效率大概在 </w:t>
      </w:r>
      <w:r>
        <w:rPr/>
        <w:t>15%</w:t>
      </w:r>
      <w:r>
        <w:rPr>
          <w:spacing w:val="-10"/>
        </w:rPr>
        <w:t>左右。结</w:t>
      </w:r>
      <w:r>
        <w:rPr/>
        <w:t>合多个临床试验的结果，PD-L1</w:t>
      </w:r>
      <w:r>
        <w:rPr>
          <w:spacing w:val="-8"/>
        </w:rPr>
        <w:t> 表达作为胃癌免疫治疗的生物标志物结论不一。</w:t>
      </w:r>
    </w:p>
    <w:p>
      <w:pPr>
        <w:pStyle w:val="BodyText"/>
        <w:spacing w:line="297" w:lineRule="auto" w:before="2"/>
        <w:ind w:right="229"/>
        <w:jc w:val="both"/>
      </w:pPr>
      <w:r>
        <w:rPr>
          <w:spacing w:val="-9"/>
        </w:rPr>
        <w:t>免疫治疗的特点是“异病同治”，一旦治疗有效，患者能够长期获益，但问题在于有效</w:t>
      </w:r>
      <w:r>
        <w:rPr/>
        <w:t>率低。如何寻找可靠生物标志物筛选出获益人群是当前的焦点问题。目前研究显示，PD-L1 </w:t>
      </w:r>
      <w:r>
        <w:rPr>
          <w:spacing w:val="-3"/>
        </w:rPr>
        <w:t>表达水平、</w:t>
      </w:r>
      <w:r>
        <w:rPr/>
        <w:t>MSI</w:t>
      </w:r>
      <w:r>
        <w:rPr>
          <w:spacing w:val="-14"/>
        </w:rPr>
        <w:t> 状态、肿瘤突变负荷及 </w:t>
      </w:r>
      <w:r>
        <w:rPr/>
        <w:t>EBV</w:t>
      </w:r>
      <w:r>
        <w:rPr>
          <w:spacing w:val="-10"/>
        </w:rPr>
        <w:t> 状态可能是胃癌免疫治疗潜在生物标志物，与此</w:t>
      </w:r>
      <w:r>
        <w:rPr/>
        <w:t>同时，新的胃癌免疫治疗生物标志物也在探索中，如胃癌的影像学特征、ctDNA、肠道菌群及肿瘤微环境等。</w:t>
      </w:r>
    </w:p>
    <w:p>
      <w:pPr>
        <w:pStyle w:val="BodyText"/>
        <w:spacing w:line="297" w:lineRule="auto"/>
        <w:ind w:right="229"/>
        <w:jc w:val="both"/>
      </w:pPr>
      <w:r>
        <w:rPr>
          <w:spacing w:val="-12"/>
        </w:rPr>
        <w:t>未来，免疫检查点抑制剂在胃癌中的研究热点及前进的方向首先应是寻找合适的获益群</w:t>
      </w:r>
      <w:r>
        <w:rPr>
          <w:spacing w:val="-11"/>
        </w:rPr>
        <w:t>体，同时，免疫治疗疗效优化尚需探索联合免疫治疗策略，如免疫联合免疫治疗、免疫联合靶向治疗、免疫联合化疗等。此外，需要特别注意治疗过程中存在的假进展、超进展和严重</w:t>
      </w:r>
      <w:r>
        <w:rPr/>
        <w:t>免疫不良反应、免疫微环境的复杂动态变化等问题。</w:t>
      </w:r>
    </w:p>
    <w:p>
      <w:pPr>
        <w:pStyle w:val="Heading3"/>
        <w:spacing w:line="301" w:lineRule="exact"/>
        <w:jc w:val="both"/>
      </w:pPr>
      <w:r>
        <w:rPr/>
        <w:t>评价与监测 不可或缺</w:t>
      </w:r>
    </w:p>
    <w:p>
      <w:pPr>
        <w:pStyle w:val="BodyText"/>
        <w:spacing w:line="295" w:lineRule="auto" w:before="69"/>
        <w:ind w:right="227"/>
        <w:jc w:val="both"/>
      </w:pPr>
      <w:r>
        <w:rPr>
          <w:spacing w:val="-7"/>
        </w:rPr>
        <w:t>精准治疗离不开对疗效的精准评价与监测。当前，胃癌疗效评价方面有多项新技术正在</w:t>
      </w:r>
      <w:r>
        <w:rPr/>
        <w:t>探索发展中，例如新型医学影像学技术、组织/血液水平分子分型组学技术、体外模型指导的疗效评价以及特异免疫治疗精准疗效评价等。</w:t>
      </w:r>
    </w:p>
    <w:p>
      <w:pPr>
        <w:pStyle w:val="BodyText"/>
        <w:spacing w:line="297" w:lineRule="auto" w:before="6"/>
        <w:ind w:right="227"/>
        <w:jc w:val="both"/>
      </w:pPr>
      <w:r>
        <w:rPr>
          <w:spacing w:val="-5"/>
        </w:rPr>
        <w:t>新型医学影像学技术 多能谱 </w:t>
      </w:r>
      <w:r>
        <w:rPr/>
        <w:t>CT</w:t>
      </w:r>
      <w:r>
        <w:rPr>
          <w:spacing w:val="-14"/>
        </w:rPr>
        <w:t> 结合碘浓度摄取可实现定量的疗效评估信息；磁共振扩</w:t>
      </w:r>
      <w:r>
        <w:rPr>
          <w:spacing w:val="-5"/>
        </w:rPr>
        <w:t>散加权成像技术也使精准定量的医学影像学疗效评估成为可能；随着研究的深入及人工智能</w:t>
      </w:r>
      <w:r>
        <w:rPr>
          <w:spacing w:val="-10"/>
        </w:rPr>
        <w:t>医学的发展，影像组学逐渐被应用于临床精准疗效评估中；核医学成像技术则从分子功能成</w:t>
      </w:r>
      <w:r>
        <w:rPr/>
        <w:t>像层面实现对疗效的评价与监测。</w:t>
      </w:r>
    </w:p>
    <w:p>
      <w:pPr>
        <w:pStyle w:val="BodyText"/>
        <w:spacing w:line="297" w:lineRule="auto"/>
        <w:ind w:right="227"/>
        <w:jc w:val="both"/>
      </w:pPr>
      <w:r>
        <w:rPr/>
        <w:t>组织/</w:t>
      </w:r>
      <w:r>
        <w:rPr>
          <w:spacing w:val="-5"/>
        </w:rPr>
        <w:t>血液水平分子分型组学技术 高通量组学的快速发展使液体活检技术成为可能，以</w:t>
      </w:r>
      <w:r>
        <w:rPr/>
        <w:t>CTC</w:t>
      </w:r>
      <w:r>
        <w:rPr>
          <w:spacing w:val="-40"/>
        </w:rPr>
        <w:t> 和 </w:t>
      </w:r>
      <w:r>
        <w:rPr/>
        <w:t>ctDNA</w:t>
      </w:r>
      <w:r>
        <w:rPr>
          <w:spacing w:val="-11"/>
        </w:rPr>
        <w:t> 为代表的液体活检技术以操作简单、无创、实时性等特点成为近几年肿瘤研究的热点，尤其在克服肿瘤组织异质性及实时动态监测等方面具有独特的优势。外泌体逐渐成</w:t>
      </w:r>
      <w:r>
        <w:rPr>
          <w:spacing w:val="-9"/>
        </w:rPr>
        <w:t>为肿瘤研究的新宠，尤其在肿瘤转移等领域，关注较大。我们的研究初步结果表明在胃癌腹</w:t>
      </w:r>
      <w:r>
        <w:rPr/>
        <w:t>膜转移中，外泌体发挥重要作用，针对发挥作用的具体分子尚有待一一探索。</w:t>
      </w:r>
    </w:p>
    <w:p>
      <w:pPr>
        <w:pStyle w:val="BodyText"/>
        <w:spacing w:line="302" w:lineRule="exact"/>
        <w:ind w:left="617" w:firstLine="0"/>
        <w:jc w:val="both"/>
      </w:pPr>
      <w:r>
        <w:rPr/>
        <w:t>目前，针对中国特色的比例很高的进展期胃癌精确分子分型尚缺乏，我们于 2019 年牵</w:t>
      </w:r>
    </w:p>
    <w:p>
      <w:pPr>
        <w:pStyle w:val="BodyText"/>
        <w:spacing w:line="295" w:lineRule="auto" w:before="66"/>
        <w:ind w:right="246" w:firstLine="0"/>
        <w:jc w:val="both"/>
      </w:pPr>
      <w:r>
        <w:rPr>
          <w:spacing w:val="-3"/>
        </w:rPr>
        <w:t>头启动了中国进展期胃癌基因图谱计划，拟纳入 </w:t>
      </w:r>
      <w:r>
        <w:rPr/>
        <w:t>1000</w:t>
      </w:r>
      <w:r>
        <w:rPr>
          <w:spacing w:val="-9"/>
        </w:rPr>
        <w:t> 例患者，期待中国特异的进展期胃癌</w:t>
      </w:r>
      <w:r>
        <w:rPr/>
        <w:t>分子分型结果，并以此制定适合中国人群的高通量测序指南或共识。</w:t>
      </w:r>
    </w:p>
    <w:p>
      <w:pPr>
        <w:pStyle w:val="BodyText"/>
        <w:spacing w:line="297" w:lineRule="auto" w:before="4"/>
        <w:ind w:right="232"/>
        <w:jc w:val="both"/>
      </w:pPr>
      <w:r>
        <w:rPr>
          <w:spacing w:val="-1"/>
        </w:rPr>
        <w:t>体外模型指导评价 用患者肿瘤在体外进行药物敏感性检测的“患者替身”近期热点频</w:t>
      </w:r>
      <w:r>
        <w:rPr>
          <w:spacing w:val="-10"/>
        </w:rPr>
        <w:t>出，如人源化 </w:t>
      </w:r>
      <w:r>
        <w:rPr/>
        <w:t>PDX</w:t>
      </w:r>
      <w:r>
        <w:rPr>
          <w:spacing w:val="-12"/>
        </w:rPr>
        <w:t> 模型、类器官、原代培养 </w:t>
      </w:r>
      <w:r>
        <w:rPr/>
        <w:t>CR</w:t>
      </w:r>
      <w:r>
        <w:rPr>
          <w:spacing w:val="-15"/>
        </w:rPr>
        <w:t> 细胞、</w:t>
      </w:r>
      <w:r>
        <w:rPr/>
        <w:t>mini-PDX</w:t>
      </w:r>
      <w:r>
        <w:rPr>
          <w:spacing w:val="-15"/>
        </w:rPr>
        <w:t> 模型、</w:t>
      </w:r>
      <w:r>
        <w:rPr/>
        <w:t>super-PDX</w:t>
      </w:r>
      <w:r>
        <w:rPr>
          <w:spacing w:val="-12"/>
        </w:rPr>
        <w:t> 模型等， </w:t>
      </w:r>
      <w:r>
        <w:rPr>
          <w:spacing w:val="-15"/>
        </w:rPr>
        <w:t>但不同模型各有利弊，可以根据肿瘤类型、肿瘤组织大小、操作周期、费用等多种因素选择</w:t>
      </w:r>
      <w:r>
        <w:rPr/>
        <w:t>合适的模型。</w:t>
      </w:r>
    </w:p>
    <w:p>
      <w:pPr>
        <w:pStyle w:val="BodyText"/>
        <w:spacing w:line="297" w:lineRule="auto"/>
        <w:ind w:right="107"/>
      </w:pPr>
      <w:r>
        <w:rPr>
          <w:spacing w:val="-11"/>
        </w:rPr>
        <w:t>展望未来，各种新技术正快速发展，人工智能技术联合各种组学手段已在医学中展现美</w:t>
      </w:r>
      <w:r>
        <w:rPr>
          <w:spacing w:val="-12"/>
        </w:rPr>
        <w:t>好的前景，正如同肿瘤治疗需要多学科参与一样，胃癌的精准疗效评价也离不开多手段的完</w:t>
      </w:r>
      <w:r>
        <w:rPr>
          <w:spacing w:val="-18"/>
        </w:rPr>
        <w:t>美配合，多学科交叉也将是重要趋势。胃癌精准治疗研究未来方向将从单靶点发展到多靶点、</w:t>
      </w:r>
      <w:r>
        <w:rPr/>
        <w:t>通路分型等多维时代，不同层面的多组学通路分型都将是未来的研究趋势。</w:t>
      </w:r>
    </w:p>
    <w:p>
      <w:pPr>
        <w:spacing w:after="0" w:line="297" w:lineRule="auto"/>
        <w:sectPr>
          <w:pgSz w:w="11910" w:h="16850"/>
          <w:pgMar w:header="906" w:footer="607" w:top="1100" w:bottom="800" w:left="1140" w:right="900"/>
        </w:sectPr>
      </w:pPr>
    </w:p>
    <w:p>
      <w:pPr>
        <w:pStyle w:val="BodyText"/>
        <w:spacing w:before="18"/>
        <w:ind w:left="617" w:firstLine="0"/>
        <w:rPr>
          <w:rFonts w:ascii="Meiryo" w:eastAsia="Meiryo" w:hint="eastAsia"/>
          <w:b/>
        </w:rPr>
      </w:pPr>
      <w:r>
        <w:rPr/>
        <w:t>作者：北京大学肿瘤医院消化肿瘤内科暨北京市肿瘤防治研究所教授 沈琳 </w:t>
      </w:r>
      <w:r>
        <w:rPr>
          <w:rFonts w:ascii="Meiryo" w:eastAsia="Meiryo" w:hint="eastAsia"/>
          <w:b/>
          <w:color w:val="0033CC"/>
        </w:rPr>
        <w:t>[返回目次]</w:t>
      </w:r>
    </w:p>
    <w:p>
      <w:pPr>
        <w:pStyle w:val="Heading1"/>
        <w:spacing w:before="20"/>
        <w:ind w:left="945"/>
        <w:jc w:val="center"/>
        <w:rPr>
          <w:u w:val="none"/>
        </w:rPr>
      </w:pPr>
      <w:bookmarkStart w:name="_TOC_250021" w:id="6"/>
      <w:r>
        <w:rPr>
          <w:rFonts w:ascii="Times New Roman" w:eastAsia="Times New Roman"/>
          <w:color w:val="008000"/>
          <w:spacing w:val="-110"/>
          <w:w w:val="99"/>
          <w:u w:val="thick" w:color="008000"/>
        </w:rPr>
        <w:t> </w:t>
      </w:r>
      <w:bookmarkEnd w:id="6"/>
      <w:r>
        <w:rPr>
          <w:color w:val="008000"/>
          <w:u w:val="thick" w:color="008000"/>
        </w:rPr>
        <w:t>合理用药</w:t>
      </w:r>
    </w:p>
    <w:p>
      <w:pPr>
        <w:pStyle w:val="Heading2"/>
        <w:spacing w:before="15"/>
        <w:ind w:left="137"/>
      </w:pPr>
      <w:bookmarkStart w:name="_TOC_250020" w:id="7"/>
      <w:bookmarkEnd w:id="7"/>
      <w:r>
        <w:rPr/>
        <w:t>【临床药师】</w:t>
      </w:r>
    </w:p>
    <w:p>
      <w:pPr>
        <w:pStyle w:val="BodyText"/>
        <w:spacing w:before="8"/>
        <w:ind w:left="0" w:firstLine="0"/>
        <w:rPr>
          <w:b/>
          <w:sz w:val="18"/>
        </w:rPr>
      </w:pPr>
    </w:p>
    <w:p>
      <w:pPr>
        <w:spacing w:after="0"/>
        <w:rPr>
          <w:sz w:val="18"/>
        </w:rPr>
        <w:sectPr>
          <w:pgSz w:w="11910" w:h="16850"/>
          <w:pgMar w:header="906" w:footer="607" w:top="1100" w:bottom="800" w:left="1140" w:right="900"/>
        </w:sectPr>
      </w:pPr>
    </w:p>
    <w:p>
      <w:pPr>
        <w:pStyle w:val="Heading2"/>
        <w:spacing w:before="54"/>
        <w:ind w:left="2797"/>
      </w:pPr>
      <w:bookmarkStart w:name="_TOC_250019" w:id="8"/>
      <w:bookmarkEnd w:id="8"/>
      <w:r>
        <w:rPr>
          <w:spacing w:val="-2"/>
        </w:rPr>
        <w:t>药物性肝损伤诊疗中应注意啥</w:t>
      </w:r>
    </w:p>
    <w:p>
      <w:pPr>
        <w:pStyle w:val="BodyText"/>
        <w:ind w:left="0" w:firstLine="0"/>
        <w:rPr>
          <w:b/>
          <w:sz w:val="43"/>
        </w:rPr>
      </w:pPr>
    </w:p>
    <w:p>
      <w:pPr>
        <w:pStyle w:val="Heading3"/>
      </w:pPr>
      <w:r>
        <w:rPr/>
        <w:t>对 DILI 的特异质含义认识不足</w:t>
      </w:r>
    </w:p>
    <w:p>
      <w:pPr>
        <w:pStyle w:val="BodyText"/>
        <w:ind w:left="0" w:firstLine="0"/>
        <w:rPr>
          <w:b/>
        </w:rPr>
      </w:pPr>
      <w:r>
        <w:rPr/>
        <w:br w:type="column"/>
      </w:r>
      <w:r>
        <w:rPr>
          <w:b/>
        </w:rPr>
      </w:r>
    </w:p>
    <w:p>
      <w:pPr>
        <w:pStyle w:val="BodyText"/>
        <w:spacing w:before="10"/>
        <w:ind w:left="0" w:firstLine="0"/>
        <w:rPr>
          <w:b/>
          <w:sz w:val="23"/>
        </w:rPr>
      </w:pPr>
    </w:p>
    <w:p>
      <w:pPr>
        <w:spacing w:before="0"/>
        <w:ind w:left="214" w:right="0" w:firstLine="0"/>
        <w:jc w:val="left"/>
        <w:rPr>
          <w:rFonts w:ascii="楷体" w:eastAsia="楷体" w:hint="eastAsia"/>
          <w:b/>
          <w:sz w:val="24"/>
        </w:rPr>
      </w:pPr>
      <w:r>
        <w:rPr>
          <w:rFonts w:ascii="楷体" w:eastAsia="楷体" w:hint="eastAsia"/>
          <w:b/>
          <w:color w:val="FF0000"/>
          <w:sz w:val="24"/>
        </w:rPr>
        <w:t>（来源：中国医药报）</w:t>
      </w:r>
    </w:p>
    <w:p>
      <w:pPr>
        <w:spacing w:after="0"/>
        <w:jc w:val="left"/>
        <w:rPr>
          <w:rFonts w:ascii="楷体" w:eastAsia="楷体" w:hint="eastAsia"/>
          <w:sz w:val="24"/>
        </w:rPr>
        <w:sectPr>
          <w:type w:val="continuous"/>
          <w:pgSz w:w="11910" w:h="16850"/>
          <w:pgMar w:top="1100" w:bottom="1020" w:left="1140" w:right="900"/>
          <w:cols w:num="2" w:equalWidth="0">
            <w:col w:w="6972" w:space="40"/>
            <w:col w:w="2858"/>
          </w:cols>
        </w:sectPr>
      </w:pPr>
    </w:p>
    <w:p>
      <w:pPr>
        <w:pStyle w:val="BodyText"/>
        <w:spacing w:line="297" w:lineRule="auto" w:before="72"/>
        <w:ind w:right="246"/>
        <w:jc w:val="both"/>
      </w:pPr>
      <w:r>
        <w:rPr/>
        <w:t>药物性肝损伤(DILI)</w:t>
      </w:r>
      <w:r>
        <w:rPr>
          <w:spacing w:val="-4"/>
        </w:rPr>
        <w:t>现已成为急性肝损伤的最常见原因。临床 </w:t>
      </w:r>
      <w:r>
        <w:rPr/>
        <w:t>DILI</w:t>
      </w:r>
      <w:r>
        <w:rPr>
          <w:spacing w:val="-9"/>
        </w:rPr>
        <w:t> 多是在推荐剂量下</w:t>
      </w:r>
      <w:r>
        <w:rPr/>
        <w:t>发生的个体对药物或其代谢产物的特异质反应(IDILI)。IDILI</w:t>
      </w:r>
      <w:r>
        <w:rPr>
          <w:spacing w:val="-8"/>
        </w:rPr>
        <w:t> 发生多具不可预测性，且缺乏简便、客观、特异的诊断指标和特效治疗手段。</w:t>
      </w:r>
    </w:p>
    <w:p>
      <w:pPr>
        <w:pStyle w:val="BodyText"/>
        <w:spacing w:line="297" w:lineRule="auto"/>
        <w:ind w:right="230"/>
        <w:jc w:val="both"/>
      </w:pPr>
      <w:r>
        <w:rPr/>
        <w:t>Hyman Zimmerman</w:t>
      </w:r>
      <w:r>
        <w:rPr>
          <w:spacing w:val="-9"/>
        </w:rPr>
        <w:t> 将特异质定义为宿主相关性，而非药物特性或剂量。特异质可能不常</w:t>
      </w:r>
      <w:r>
        <w:rPr/>
        <w:t>见于大多数人，但并不一定“罕见”。</w:t>
      </w:r>
    </w:p>
    <w:p>
      <w:pPr>
        <w:pStyle w:val="Heading3"/>
        <w:spacing w:line="306" w:lineRule="exact"/>
      </w:pPr>
      <w:r>
        <w:rPr/>
        <w:t>DILI 诊断问题</w:t>
      </w:r>
    </w:p>
    <w:p>
      <w:pPr>
        <w:pStyle w:val="BodyText"/>
        <w:spacing w:line="297" w:lineRule="auto" w:before="68"/>
        <w:ind w:right="246"/>
        <w:jc w:val="both"/>
      </w:pPr>
      <w:r>
        <w:rPr>
          <w:spacing w:val="-5"/>
        </w:rPr>
        <w:t>一是缺乏特异诊断标志。二是 </w:t>
      </w:r>
      <w:r>
        <w:rPr/>
        <w:t>DILI</w:t>
      </w:r>
      <w:r>
        <w:rPr>
          <w:spacing w:val="-9"/>
        </w:rPr>
        <w:t> 的生物标志物应具备以下条件：出现临床表现前能</w:t>
      </w:r>
      <w:r>
        <w:rPr>
          <w:spacing w:val="-8"/>
        </w:rPr>
        <w:t>判断可能出现的 </w:t>
      </w:r>
      <w:r>
        <w:rPr/>
        <w:t>DILI；</w:t>
      </w:r>
      <w:r>
        <w:rPr>
          <w:spacing w:val="-8"/>
        </w:rPr>
        <w:t>提高对已经存在 </w:t>
      </w:r>
      <w:r>
        <w:rPr/>
        <w:t>DILI</w:t>
      </w:r>
      <w:r>
        <w:rPr>
          <w:spacing w:val="-13"/>
        </w:rPr>
        <w:t> 的诊断率；能够区分 </w:t>
      </w:r>
      <w:r>
        <w:rPr/>
        <w:t>DILI</w:t>
      </w:r>
      <w:r>
        <w:rPr>
          <w:spacing w:val="-8"/>
        </w:rPr>
        <w:t> 的轻重程度；能够</w:t>
      </w:r>
      <w:r>
        <w:rPr>
          <w:spacing w:val="-14"/>
        </w:rPr>
        <w:t>区分适应性和进展性 </w:t>
      </w:r>
      <w:r>
        <w:rPr/>
        <w:t>DILI；</w:t>
      </w:r>
      <w:r>
        <w:rPr>
          <w:spacing w:val="-20"/>
        </w:rPr>
        <w:t>能对 </w:t>
      </w:r>
      <w:r>
        <w:rPr/>
        <w:t>DILI</w:t>
      </w:r>
      <w:r>
        <w:rPr>
          <w:spacing w:val="-8"/>
        </w:rPr>
        <w:t> 预后判断提供指导。</w:t>
      </w:r>
    </w:p>
    <w:p>
      <w:pPr>
        <w:pStyle w:val="Heading3"/>
        <w:spacing w:line="304" w:lineRule="exact"/>
      </w:pPr>
      <w:r>
        <w:rPr/>
        <w:t>ALT 和 AST</w:t>
      </w:r>
    </w:p>
    <w:p>
      <w:pPr>
        <w:pStyle w:val="BodyText"/>
        <w:spacing w:line="297" w:lineRule="auto" w:before="75"/>
        <w:ind w:right="230"/>
      </w:pPr>
      <w:r>
        <w:rPr>
          <w:spacing w:val="-5"/>
        </w:rPr>
        <w:t>谷丙转氨酶（ALT）</w:t>
      </w:r>
      <w:r>
        <w:rPr>
          <w:spacing w:val="-4"/>
        </w:rPr>
        <w:t>和谷草转氨酶</w:t>
      </w:r>
      <w:r>
        <w:rPr>
          <w:spacing w:val="-5"/>
        </w:rPr>
        <w:t>（AST）</w:t>
      </w:r>
      <w:r>
        <w:rPr>
          <w:spacing w:val="-3"/>
        </w:rPr>
        <w:t>不是反映肝脏功能的指标，而是肝细胞损害的</w:t>
      </w:r>
      <w:r>
        <w:rPr>
          <w:spacing w:val="-12"/>
        </w:rPr>
        <w:t>敏感指标。低水平 </w:t>
      </w:r>
      <w:r>
        <w:rPr/>
        <w:t>ALT</w:t>
      </w:r>
      <w:r>
        <w:rPr>
          <w:spacing w:val="-40"/>
        </w:rPr>
        <w:t> 和 </w:t>
      </w:r>
      <w:r>
        <w:rPr/>
        <w:t>AST</w:t>
      </w:r>
      <w:r>
        <w:rPr>
          <w:spacing w:val="-13"/>
        </w:rPr>
        <w:t> 主要来自肝脏和肌肉，但在骨骼肌、心脏、肾脏等病变时也升</w:t>
      </w:r>
      <w:r>
        <w:rPr/>
        <w:t>高。2011</w:t>
      </w:r>
      <w:r>
        <w:rPr>
          <w:spacing w:val="-12"/>
        </w:rPr>
        <w:t> 年，国际严重不良反应协会将 </w:t>
      </w:r>
      <w:r>
        <w:rPr/>
        <w:t>DILI</w:t>
      </w:r>
      <w:r>
        <w:rPr>
          <w:spacing w:val="-13"/>
        </w:rPr>
        <w:t> 生化学判断标准调整为 </w:t>
      </w:r>
      <w:r>
        <w:rPr/>
        <w:t>ALT≥5ULN，目的是区分可自行完全恢复的自限性轻度肝损伤和非酒精性脂肪性肝炎(NASH)等其他病理生理因素</w:t>
      </w:r>
      <w:r>
        <w:rPr>
          <w:spacing w:val="-16"/>
        </w:rPr>
        <w:t>引起的 </w:t>
      </w:r>
      <w:r>
        <w:rPr/>
        <w:t>ALT</w:t>
      </w:r>
      <w:r>
        <w:rPr>
          <w:spacing w:val="-10"/>
        </w:rPr>
        <w:t> 轻度升高。</w:t>
      </w:r>
    </w:p>
    <w:p>
      <w:pPr>
        <w:pStyle w:val="Heading3"/>
        <w:spacing w:line="299" w:lineRule="exact"/>
      </w:pPr>
      <w:r>
        <w:rPr/>
        <w:t>重视 HDS DILI 研究</w:t>
      </w:r>
    </w:p>
    <w:p>
      <w:pPr>
        <w:pStyle w:val="BodyText"/>
        <w:spacing w:line="295" w:lineRule="auto" w:before="74"/>
        <w:ind w:right="230"/>
        <w:jc w:val="both"/>
      </w:pPr>
      <w:r>
        <w:rPr/>
        <w:t>草药和膳食补充剂(HDS)是欧美通用的名称，主要包括三类：天然草本或植物类补充剂</w:t>
      </w:r>
      <w:r>
        <w:rPr>
          <w:spacing w:val="-7"/>
        </w:rPr>
        <w:t>及其制剂(我国中草药属此类)；维生素、矿物质、氨基酸和蛋白质等食品补充剂；含有蛋白</w:t>
      </w:r>
      <w:r>
        <w:rPr/>
        <w:t>同化甾类、能增强体能和健美效果的补充剂。</w:t>
      </w:r>
    </w:p>
    <w:p>
      <w:pPr>
        <w:pStyle w:val="BodyText"/>
        <w:spacing w:line="295" w:lineRule="auto" w:before="6"/>
        <w:ind w:right="109"/>
      </w:pPr>
      <w:r>
        <w:rPr>
          <w:spacing w:val="-21"/>
        </w:rPr>
        <w:t>美国 </w:t>
      </w:r>
      <w:r>
        <w:rPr/>
        <w:t>FDA</w:t>
      </w:r>
      <w:r>
        <w:rPr>
          <w:spacing w:val="-18"/>
        </w:rPr>
        <w:t> 虽禁止宣传 </w:t>
      </w:r>
      <w:r>
        <w:rPr/>
        <w:t>HDS</w:t>
      </w:r>
      <w:r>
        <w:rPr>
          <w:spacing w:val="-13"/>
        </w:rPr>
        <w:t> 对具体疾病有疗效，但未禁止其改善精力、有益身心、保健及</w:t>
      </w:r>
      <w:r>
        <w:rPr>
          <w:spacing w:val="-19"/>
        </w:rPr>
        <w:t>控制体重等非特异性功能的声称。实践证明，国内外 </w:t>
      </w:r>
      <w:r>
        <w:rPr/>
        <w:t>HDS</w:t>
      </w:r>
      <w:r>
        <w:rPr>
          <w:spacing w:val="-40"/>
        </w:rPr>
        <w:t> 致 </w:t>
      </w:r>
      <w:r>
        <w:rPr/>
        <w:t>DILI</w:t>
      </w:r>
      <w:r>
        <w:rPr>
          <w:spacing w:val="-9"/>
        </w:rPr>
        <w:t> 发病和致肝衰竭明显上升。因此，应重视 </w:t>
      </w:r>
      <w:r>
        <w:rPr/>
        <w:t>HDS</w:t>
      </w:r>
      <w:r>
        <w:rPr>
          <w:spacing w:val="-8"/>
        </w:rPr>
        <w:t> 引起的肝损伤。</w:t>
      </w:r>
    </w:p>
    <w:p>
      <w:pPr>
        <w:pStyle w:val="Heading3"/>
        <w:spacing w:before="5"/>
      </w:pPr>
      <w:r>
        <w:rPr/>
        <w:t>DILI 治疗问题</w:t>
      </w:r>
    </w:p>
    <w:p>
      <w:pPr>
        <w:pStyle w:val="BodyText"/>
        <w:spacing w:line="295" w:lineRule="auto" w:before="72"/>
        <w:ind w:right="307"/>
        <w:jc w:val="both"/>
      </w:pPr>
      <w:r>
        <w:rPr/>
        <w:t>DILI</w:t>
      </w:r>
      <w:r>
        <w:rPr>
          <w:spacing w:val="-9"/>
        </w:rPr>
        <w:t> 的基本治疗原则包括：及时停用造成肝损伤的药物，尽量避免再次使用可疑或同</w:t>
      </w:r>
      <w:r>
        <w:rPr/>
        <w:t>类药物；权衡停药致原发病进展和继续用药致肝损伤加重的风险等。</w:t>
      </w:r>
    </w:p>
    <w:p>
      <w:pPr>
        <w:pStyle w:val="BodyText"/>
        <w:spacing w:line="297" w:lineRule="auto" w:before="4"/>
        <w:ind w:right="227"/>
        <w:jc w:val="both"/>
      </w:pPr>
      <w:r>
        <w:rPr/>
        <w:t>DILI</w:t>
      </w:r>
      <w:r>
        <w:rPr>
          <w:spacing w:val="-8"/>
        </w:rPr>
        <w:t> 的治疗药物包括：急性重型</w:t>
      </w:r>
      <w:r>
        <w:rPr/>
        <w:t>（3～4</w:t>
      </w:r>
      <w:r>
        <w:rPr>
          <w:spacing w:val="-30"/>
        </w:rPr>
        <w:t> 级</w:t>
      </w:r>
      <w:r>
        <w:rPr/>
        <w:t>）</w:t>
      </w:r>
      <w:r>
        <w:rPr>
          <w:spacing w:val="-10"/>
        </w:rPr>
        <w:t>成人可选用 </w:t>
      </w:r>
      <w:r>
        <w:rPr/>
        <w:t>N-乙酰半胱氨酸(NAC)，视病</w:t>
      </w:r>
      <w:r>
        <w:rPr>
          <w:spacing w:val="-5"/>
        </w:rPr>
        <w:t>情给药。我国有关指南将 </w:t>
      </w:r>
      <w:r>
        <w:rPr/>
        <w:t>GRADE</w:t>
      </w:r>
      <w:r>
        <w:rPr>
          <w:spacing w:val="-20"/>
        </w:rPr>
        <w:t> 系统证据 </w:t>
      </w:r>
      <w:r>
        <w:rPr/>
        <w:t>2B</w:t>
      </w:r>
      <w:r>
        <w:rPr>
          <w:spacing w:val="-8"/>
        </w:rPr>
        <w:t> 以上的双环醇、甘草酸制剂、水飞蓟素、熊去</w:t>
      </w:r>
      <w:r>
        <w:rPr>
          <w:spacing w:val="-14"/>
        </w:rPr>
        <w:t>氧胆酸和腺苷蛋氨酸推荐为不同情况应用，但均缺乏严格的随机对照研究数据支持。重症患</w:t>
      </w:r>
      <w:r>
        <w:rPr/>
        <w:t>者如出现肝性脑病和凝血功能障碍应考虑肝移植。</w:t>
      </w:r>
    </w:p>
    <w:p>
      <w:pPr>
        <w:spacing w:after="0" w:line="297" w:lineRule="auto"/>
        <w:jc w:val="both"/>
        <w:sectPr>
          <w:type w:val="continuous"/>
          <w:pgSz w:w="11910" w:h="16850"/>
          <w:pgMar w:top="1100" w:bottom="1020" w:left="1140" w:right="900"/>
        </w:sectPr>
      </w:pPr>
    </w:p>
    <w:p>
      <w:pPr>
        <w:pStyle w:val="BodyText"/>
        <w:spacing w:line="278" w:lineRule="auto" w:before="65"/>
        <w:ind w:right="230"/>
        <w:jc w:val="both"/>
        <w:rPr>
          <w:rFonts w:ascii="Meiryo" w:eastAsia="Meiryo" w:hint="eastAsia"/>
          <w:b/>
        </w:rPr>
      </w:pPr>
      <w:r>
        <w:rPr>
          <w:spacing w:val="-7"/>
        </w:rPr>
        <w:t>水飞蓟宾磷脂复合物是第四代水飞蓟素制剂，有数据表明其生物利用度较水飞蓟素提高</w:t>
      </w:r>
      <w:r>
        <w:rPr>
          <w:spacing w:val="-30"/>
        </w:rPr>
        <w:t>约 </w:t>
      </w:r>
      <w:r>
        <w:rPr/>
        <w:t>3</w:t>
      </w:r>
      <w:r>
        <w:rPr>
          <w:spacing w:val="-14"/>
        </w:rPr>
        <w:t> 倍，由于增加了磷脂成分，肝脏靶向性更好，可穿过肝细胞膜，从而起到抗炎、抗氧化</w:t>
      </w:r>
      <w:r>
        <w:rPr/>
        <w:t>的作用。</w:t>
      </w:r>
      <w:r>
        <w:rPr>
          <w:rFonts w:ascii="Meiryo" w:eastAsia="Meiryo" w:hint="eastAsia"/>
          <w:b/>
          <w:color w:val="0033CC"/>
        </w:rPr>
        <w:t>[返回目次]</w:t>
      </w:r>
    </w:p>
    <w:p>
      <w:pPr>
        <w:spacing w:line="186" w:lineRule="exact" w:before="0"/>
        <w:ind w:left="0" w:right="91" w:firstLine="0"/>
        <w:jc w:val="center"/>
        <w:rPr>
          <w:b/>
          <w:sz w:val="21"/>
        </w:rPr>
      </w:pPr>
      <w:r>
        <w:rPr>
          <w:b/>
          <w:color w:val="333333"/>
          <w:sz w:val="21"/>
        </w:rPr>
        <w:t>2019 美国风湿病学年会（ACR）现场速递 ——</w:t>
      </w:r>
    </w:p>
    <w:p>
      <w:pPr>
        <w:pStyle w:val="Heading2"/>
        <w:spacing w:before="62"/>
        <w:ind w:right="239"/>
        <w:jc w:val="center"/>
      </w:pPr>
      <w:bookmarkStart w:name="_TOC_250018" w:id="9"/>
      <w:bookmarkEnd w:id="9"/>
      <w:r>
        <w:rPr/>
        <w:t>贝利尤单抗在 SLE 高发人群亚组分析中的疗效获证实</w:t>
      </w:r>
    </w:p>
    <w:p>
      <w:pPr>
        <w:pStyle w:val="Heading3"/>
        <w:spacing w:before="145"/>
        <w:ind w:left="137" w:right="228"/>
        <w:jc w:val="right"/>
        <w:rPr>
          <w:rFonts w:ascii="楷体" w:eastAsia="楷体" w:hint="eastAsia"/>
        </w:rPr>
      </w:pPr>
      <w:r>
        <w:rPr>
          <w:rFonts w:ascii="楷体" w:eastAsia="楷体" w:hint="eastAsia"/>
          <w:color w:val="FF0000"/>
          <w:w w:val="95"/>
        </w:rPr>
        <w:t>（来源：中国医学论坛报）</w:t>
      </w:r>
    </w:p>
    <w:p>
      <w:pPr>
        <w:spacing w:before="99"/>
        <w:ind w:left="619" w:right="0" w:firstLine="0"/>
        <w:jc w:val="left"/>
        <w:rPr>
          <w:b/>
          <w:sz w:val="24"/>
        </w:rPr>
      </w:pPr>
      <w:r>
        <w:rPr>
          <w:b/>
          <w:sz w:val="24"/>
        </w:rPr>
        <w:t>研究背景</w:t>
      </w:r>
    </w:p>
    <w:p>
      <w:pPr>
        <w:pStyle w:val="BodyText"/>
        <w:spacing w:line="295" w:lineRule="auto" w:before="71"/>
        <w:ind w:right="245"/>
        <w:jc w:val="both"/>
      </w:pPr>
      <w:r>
        <w:rPr/>
        <w:t>系统性红斑狼疮（SLE）</w:t>
      </w:r>
      <w:r>
        <w:rPr>
          <w:spacing w:val="-1"/>
        </w:rPr>
        <w:t>是一种慢性自身免疫性疾病，以反复复发、器官累积损伤为特</w:t>
      </w:r>
      <w:r>
        <w:rPr>
          <w:spacing w:val="-16"/>
        </w:rPr>
        <w:t>征。在 </w:t>
      </w:r>
      <w:r>
        <w:rPr/>
        <w:t>SLE</w:t>
      </w:r>
      <w:r>
        <w:rPr>
          <w:spacing w:val="-8"/>
        </w:rPr>
        <w:t> 发病率、患病率、疾病活动性、器官损伤及死亡率方面，黑种人</w:t>
      </w:r>
      <w:r>
        <w:rPr/>
        <w:t>/</w:t>
      </w:r>
      <w:r>
        <w:rPr>
          <w:spacing w:val="-3"/>
        </w:rPr>
        <w:t>非洲裔美国人</w:t>
      </w:r>
    </w:p>
    <w:p>
      <w:pPr>
        <w:pStyle w:val="BodyText"/>
        <w:spacing w:line="297" w:lineRule="auto" w:before="5"/>
        <w:ind w:right="229" w:firstLine="0"/>
        <w:jc w:val="both"/>
      </w:pPr>
      <w:r>
        <w:rPr>
          <w:spacing w:val="-5"/>
        </w:rPr>
        <w:t>（B/AA）</w:t>
      </w:r>
      <w:r>
        <w:rPr>
          <w:spacing w:val="-9"/>
        </w:rPr>
        <w:t>要显著高于白种人，是 </w:t>
      </w:r>
      <w:r>
        <w:rPr/>
        <w:t>SLE</w:t>
      </w:r>
      <w:r>
        <w:rPr>
          <w:spacing w:val="-12"/>
        </w:rPr>
        <w:t> 的高发、高患病人群。在真实世界中收集贝利尤单抗在</w:t>
      </w:r>
      <w:r>
        <w:rPr/>
        <w:t>黑种人/非洲裔美国人（B/AA）SLE</w:t>
      </w:r>
      <w:r>
        <w:rPr>
          <w:spacing w:val="-8"/>
        </w:rPr>
        <w:t> 患者中的有效性数据，对全面、客观反映贝利尤单抗的</w:t>
      </w:r>
      <w:r>
        <w:rPr>
          <w:spacing w:val="-10"/>
        </w:rPr>
        <w:t>疗效有着十分重要的意义。本项研究为一项美国临床实践研究，旨在探讨 </w:t>
      </w:r>
      <w:r>
        <w:rPr/>
        <w:t>B/AA</w:t>
      </w:r>
      <w:r>
        <w:rPr>
          <w:spacing w:val="-30"/>
        </w:rPr>
        <w:t> 人群 </w:t>
      </w:r>
      <w:r>
        <w:rPr/>
        <w:t>SLE</w:t>
      </w:r>
      <w:r>
        <w:rPr>
          <w:spacing w:val="-30"/>
        </w:rPr>
        <w:t> 患者经贝利尤单抗治疗后的临床结局。</w:t>
      </w:r>
    </w:p>
    <w:p>
      <w:pPr>
        <w:pStyle w:val="Heading3"/>
        <w:spacing w:line="302" w:lineRule="exact"/>
      </w:pPr>
      <w:r>
        <w:rPr/>
        <w:t>1.方法</w:t>
      </w:r>
    </w:p>
    <w:p>
      <w:pPr>
        <w:pStyle w:val="BodyText"/>
        <w:spacing w:line="297" w:lineRule="auto" w:before="72"/>
        <w:ind w:right="125"/>
      </w:pPr>
      <w:r>
        <w:rPr>
          <w:spacing w:val="-5"/>
        </w:rPr>
        <w:t>本研究是一项美国真实世界中的观察性队列研究，从美国国家医师数据库中随机招募非</w:t>
      </w:r>
      <w:r>
        <w:rPr>
          <w:spacing w:val="-8"/>
        </w:rPr>
        <w:t>学术型风湿病学专家。本研究收集了随机选择的 </w:t>
      </w:r>
      <w:r>
        <w:rPr/>
        <w:t>SLE</w:t>
      </w:r>
      <w:r>
        <w:rPr>
          <w:spacing w:val="-8"/>
        </w:rPr>
        <w:t> 成年患者的数据，这些患者均接受</w:t>
      </w:r>
      <w:r>
        <w:rPr/>
        <w:t>≥8 次的贝利尤单抗注射作为标准治疗的一部分。在基线（首次贝利尤单抗注射）</w:t>
      </w:r>
      <w:r>
        <w:rPr>
          <w:spacing w:val="-30"/>
        </w:rPr>
        <w:t>前 </w:t>
      </w:r>
      <w:r>
        <w:rPr/>
        <w:t>6</w:t>
      </w:r>
      <w:r>
        <w:rPr>
          <w:spacing w:val="-16"/>
        </w:rPr>
        <w:t> 个月时， </w:t>
      </w:r>
      <w:r>
        <w:rPr>
          <w:spacing w:val="-7"/>
        </w:rPr>
        <w:t>从病历中提取患者人口统计资料、疾病特征、临床结局、医疗资源利用以及口服糖皮质激素</w:t>
      </w:r>
      <w:r>
        <w:rPr>
          <w:spacing w:val="-11"/>
        </w:rPr>
        <w:t>使用情况，然后进行前瞻性评估，每 </w:t>
      </w:r>
      <w:r>
        <w:rPr/>
        <w:t>6</w:t>
      </w:r>
      <w:r>
        <w:rPr>
          <w:spacing w:val="-14"/>
        </w:rPr>
        <w:t> 个月一次，直到第 </w:t>
      </w:r>
      <w:r>
        <w:rPr/>
        <w:t>24</w:t>
      </w:r>
      <w:r>
        <w:rPr>
          <w:spacing w:val="-8"/>
        </w:rPr>
        <w:t> 个月。主要研究终点是相对于</w:t>
      </w:r>
    </w:p>
    <w:p>
      <w:pPr>
        <w:pStyle w:val="BodyText"/>
        <w:spacing w:line="302" w:lineRule="exact"/>
        <w:ind w:firstLine="0"/>
      </w:pPr>
      <w:r>
        <w:rPr>
          <w:spacing w:val="-30"/>
        </w:rPr>
        <w:t>前 </w:t>
      </w:r>
      <w:r>
        <w:rPr/>
        <w:t>6</w:t>
      </w:r>
      <w:r>
        <w:rPr>
          <w:spacing w:val="-16"/>
        </w:rPr>
        <w:t> 个月时医生评估的总体临床反应。研究人员对完成 </w:t>
      </w:r>
      <w:r>
        <w:rPr/>
        <w:t>24</w:t>
      </w:r>
      <w:r>
        <w:rPr>
          <w:spacing w:val="-8"/>
        </w:rPr>
        <w:t> 个月研究的黑种人</w:t>
      </w:r>
      <w:r>
        <w:rPr/>
        <w:t>/非洲裔美国人</w:t>
      </w:r>
    </w:p>
    <w:p>
      <w:pPr>
        <w:pStyle w:val="BodyText"/>
        <w:spacing w:line="297" w:lineRule="auto" w:before="72"/>
        <w:ind w:left="619" w:right="4927" w:hanging="483"/>
        <w:rPr>
          <w:b/>
        </w:rPr>
      </w:pPr>
      <w:r>
        <w:rPr/>
        <w:t>（B/AA）</w:t>
      </w:r>
      <w:r>
        <w:rPr>
          <w:spacing w:val="-21"/>
        </w:rPr>
        <w:t>亚组 </w:t>
      </w:r>
      <w:r>
        <w:rPr/>
        <w:t>SLE</w:t>
      </w:r>
      <w:r>
        <w:rPr>
          <w:spacing w:val="-9"/>
        </w:rPr>
        <w:t> 患者人群进行了事后分析。</w:t>
      </w:r>
      <w:r>
        <w:rPr>
          <w:b/>
        </w:rPr>
        <w:t>2.结果</w:t>
      </w:r>
    </w:p>
    <w:p>
      <w:pPr>
        <w:pStyle w:val="BodyText"/>
        <w:spacing w:line="297" w:lineRule="auto"/>
        <w:ind w:right="106"/>
      </w:pPr>
      <w:r>
        <w:rPr>
          <w:spacing w:val="-9"/>
        </w:rPr>
        <w:t>本研究共纳入 </w:t>
      </w:r>
      <w:r>
        <w:rPr/>
        <w:t>501</w:t>
      </w:r>
      <w:r>
        <w:rPr>
          <w:spacing w:val="-14"/>
        </w:rPr>
        <w:t> 例患者，</w:t>
      </w:r>
      <w:r>
        <w:rPr>
          <w:spacing w:val="-6"/>
        </w:rPr>
        <w:t>123</w:t>
      </w:r>
      <w:r>
        <w:rPr>
          <w:spacing w:val="-39"/>
        </w:rPr>
        <w:t> 例</w:t>
      </w:r>
      <w:r>
        <w:rPr>
          <w:spacing w:val="-4"/>
        </w:rPr>
        <w:t>（24.5%）</w:t>
      </w:r>
      <w:r>
        <w:rPr/>
        <w:t>为黑种人/</w:t>
      </w:r>
      <w:r>
        <w:rPr>
          <w:spacing w:val="-4"/>
        </w:rPr>
        <w:t>非洲裔美国人</w:t>
      </w:r>
      <w:r>
        <w:rPr>
          <w:spacing w:val="-3"/>
        </w:rPr>
        <w:t>（B/AA）SLE</w:t>
      </w:r>
      <w:r>
        <w:rPr>
          <w:spacing w:val="-15"/>
        </w:rPr>
        <w:t> 患者， </w:t>
      </w:r>
      <w:r>
        <w:rPr>
          <w:spacing w:val="-29"/>
        </w:rPr>
        <w:t>其中有 </w:t>
      </w:r>
      <w:r>
        <w:rPr/>
        <w:t>69</w:t>
      </w:r>
      <w:r>
        <w:rPr>
          <w:spacing w:val="-95"/>
        </w:rPr>
        <w:t> 例</w:t>
      </w:r>
      <w:r>
        <w:rPr/>
        <w:t>（56.1%</w:t>
      </w:r>
      <w:r>
        <w:rPr>
          <w:spacing w:val="-120"/>
        </w:rPr>
        <w:t>）</w:t>
      </w:r>
      <w:r>
        <w:rPr/>
        <w:t>B</w:t>
      </w:r>
      <w:r>
        <w:rPr>
          <w:spacing w:val="2"/>
        </w:rPr>
        <w:t>/</w:t>
      </w:r>
      <w:r>
        <w:rPr/>
        <w:t>AA</w:t>
      </w:r>
      <w:r>
        <w:rPr>
          <w:spacing w:val="-14"/>
        </w:rPr>
        <w:t> 患者持续接受贝利尤单抗治疗 </w:t>
      </w:r>
      <w:r>
        <w:rPr/>
        <w:t>24</w:t>
      </w:r>
      <w:r>
        <w:rPr>
          <w:spacing w:val="-39"/>
        </w:rPr>
        <w:t> 个月。基线特征为：女性</w:t>
      </w:r>
      <w:r>
        <w:rPr/>
        <w:t>（88.4%</w:t>
      </w:r>
      <w:r>
        <w:rPr>
          <w:spacing w:val="-120"/>
        </w:rPr>
        <w:t>），</w:t>
      </w:r>
      <w:r>
        <w:rPr>
          <w:spacing w:val="-12"/>
        </w:rPr>
        <w:t>平均年龄 </w:t>
      </w:r>
      <w:r>
        <w:rPr/>
        <w:t>41.6</w:t>
      </w:r>
      <w:r>
        <w:rPr>
          <w:spacing w:val="-69"/>
        </w:rPr>
        <w:t> 岁</w:t>
      </w:r>
      <w:r>
        <w:rPr/>
        <w:t>（</w:t>
      </w:r>
      <w:r>
        <w:rPr>
          <w:spacing w:val="-9"/>
        </w:rPr>
        <w:t>标准差：</w:t>
      </w:r>
      <w:r>
        <w:rPr>
          <w:spacing w:val="-33"/>
        </w:rPr>
        <w:t>12.5）；</w:t>
      </w:r>
      <w:r>
        <w:rPr>
          <w:spacing w:val="-5"/>
        </w:rPr>
        <w:t>首次使用贝利尤单抗时为严重 </w:t>
      </w:r>
      <w:r>
        <w:rPr/>
        <w:t>SLE</w:t>
      </w:r>
      <w:r>
        <w:rPr>
          <w:spacing w:val="-23"/>
        </w:rPr>
        <w:t> 的患者比例</w:t>
      </w:r>
      <w:r>
        <w:rPr>
          <w:spacing w:val="-20"/>
        </w:rPr>
        <w:t>（34.8%）， </w:t>
      </w:r>
      <w:r>
        <w:rPr>
          <w:spacing w:val="-3"/>
        </w:rPr>
        <w:t>以及主要临床诊断结果：狼疮性肾炎（27.5%）</w:t>
      </w:r>
      <w:r>
        <w:rPr>
          <w:spacing w:val="-4"/>
        </w:rPr>
        <w:t>和高血压</w:t>
      </w:r>
      <w:r>
        <w:rPr>
          <w:spacing w:val="-3"/>
        </w:rPr>
        <w:t>（26.1%）</w:t>
      </w:r>
      <w:r>
        <w:rPr>
          <w:spacing w:val="-6"/>
        </w:rPr>
        <w:t>。根据医生的评估，从基</w:t>
      </w:r>
      <w:r>
        <w:rPr>
          <w:spacing w:val="-16"/>
        </w:rPr>
        <w:t>线到第 </w:t>
      </w:r>
      <w:r>
        <w:rPr/>
        <w:t>6</w:t>
      </w:r>
      <w:r>
        <w:rPr>
          <w:spacing w:val="-9"/>
        </w:rPr>
        <w:t> 个月之间</w:t>
      </w:r>
      <w:r>
        <w:rPr/>
        <w:t>，33/69</w:t>
      </w:r>
      <w:r>
        <w:rPr>
          <w:spacing w:val="-22"/>
        </w:rPr>
        <w:t> 例</w:t>
      </w:r>
      <w:r>
        <w:rPr/>
        <w:t>（47.8%）B/AA</w:t>
      </w:r>
      <w:r>
        <w:rPr>
          <w:spacing w:val="-7"/>
        </w:rPr>
        <w:t> 患者的总体临床应答改善</w:t>
      </w:r>
      <w:r>
        <w:rPr/>
        <w:t>≥50%，</w:t>
      </w:r>
      <w:r>
        <w:rPr>
          <w:spacing w:val="-9"/>
        </w:rPr>
        <w:t>且随后每 </w:t>
      </w:r>
      <w:r>
        <w:rPr/>
        <w:t>6 </w:t>
      </w:r>
      <w:r>
        <w:rPr>
          <w:spacing w:val="-1"/>
        </w:rPr>
        <w:t>个月均有进一步改善</w:t>
      </w:r>
      <w:r>
        <w:rPr/>
        <w:t>（</w:t>
      </w:r>
      <w:r>
        <w:rPr>
          <w:spacing w:val="-32"/>
        </w:rPr>
        <w:t>图 </w:t>
      </w:r>
      <w:r>
        <w:rPr>
          <w:spacing w:val="-4"/>
        </w:rPr>
        <w:t>1）</w:t>
      </w:r>
      <w:r>
        <w:rPr>
          <w:spacing w:val="-18"/>
        </w:rPr>
        <w:t>。到第 </w:t>
      </w:r>
      <w:r>
        <w:rPr/>
        <w:t>24</w:t>
      </w:r>
      <w:r>
        <w:rPr>
          <w:spacing w:val="-16"/>
        </w:rPr>
        <w:t> 个月，</w:t>
      </w:r>
      <w:r>
        <w:rPr/>
        <w:t>52/69</w:t>
      </w:r>
      <w:r>
        <w:rPr>
          <w:spacing w:val="-35"/>
        </w:rPr>
        <w:t> 例</w:t>
      </w:r>
      <w:r>
        <w:rPr/>
        <w:t>（75.4%）B/AA</w:t>
      </w:r>
      <w:r>
        <w:rPr>
          <w:spacing w:val="-9"/>
        </w:rPr>
        <w:t> 患者疾病严重程度为轻度（</w:t>
      </w:r>
      <w:r>
        <w:rPr>
          <w:spacing w:val="-26"/>
        </w:rPr>
        <w:t>严重 </w:t>
      </w:r>
      <w:r>
        <w:rPr/>
        <w:t>SLE</w:t>
      </w:r>
      <w:r>
        <w:rPr>
          <w:spacing w:val="-19"/>
        </w:rPr>
        <w:t> 患者</w:t>
      </w:r>
      <w:r>
        <w:rPr/>
        <w:t>：2.9%，</w:t>
      </w:r>
      <w:r>
        <w:rPr>
          <w:spacing w:val="-29"/>
        </w:rPr>
        <w:t>图 </w:t>
      </w:r>
      <w:r>
        <w:rPr/>
        <w:t>2）。69</w:t>
      </w:r>
      <w:r>
        <w:rPr>
          <w:spacing w:val="-9"/>
        </w:rPr>
        <w:t> 例基线为中度</w:t>
      </w:r>
      <w:r>
        <w:rPr/>
        <w:t>/</w:t>
      </w:r>
      <w:r>
        <w:rPr>
          <w:spacing w:val="-15"/>
        </w:rPr>
        <w:t>重度的 </w:t>
      </w:r>
      <w:r>
        <w:rPr/>
        <w:t>B/AA</w:t>
      </w:r>
      <w:r>
        <w:rPr>
          <w:spacing w:val="-17"/>
        </w:rPr>
        <w:t> 患者中，有 </w:t>
      </w:r>
      <w:r>
        <w:rPr/>
        <w:t>36</w:t>
      </w:r>
      <w:r>
        <w:rPr>
          <w:spacing w:val="-15"/>
        </w:rPr>
        <w:t> 例在第</w:t>
      </w:r>
      <w:r>
        <w:rPr/>
        <w:t>6</w:t>
      </w:r>
      <w:r>
        <w:rPr>
          <w:spacing w:val="-36"/>
        </w:rPr>
        <w:t>、</w:t>
      </w:r>
      <w:r>
        <w:rPr/>
        <w:t>12</w:t>
      </w:r>
      <w:r>
        <w:rPr>
          <w:spacing w:val="-37"/>
        </w:rPr>
        <w:t>、</w:t>
      </w:r>
      <w:r>
        <w:rPr/>
        <w:t>18</w:t>
      </w:r>
      <w:r>
        <w:rPr>
          <w:spacing w:val="-36"/>
        </w:rPr>
        <w:t>、</w:t>
      </w:r>
      <w:r>
        <w:rPr/>
        <w:t>24</w:t>
      </w:r>
      <w:r>
        <w:rPr>
          <w:spacing w:val="-10"/>
        </w:rPr>
        <w:t> 个月时疾病严重程度持续为轻度。开始使用贝利尤单抗时，</w:t>
      </w:r>
      <w:r>
        <w:rPr>
          <w:spacing w:val="-6"/>
        </w:rPr>
        <w:t>57/69</w:t>
      </w:r>
      <w:r>
        <w:rPr>
          <w:spacing w:val="-46"/>
        </w:rPr>
        <w:t> 例</w:t>
      </w:r>
      <w:r>
        <w:rPr>
          <w:spacing w:val="-4"/>
        </w:rPr>
        <w:t>（82.6%） </w:t>
      </w:r>
      <w:r>
        <w:rPr/>
        <w:t>B/AA</w:t>
      </w:r>
      <w:r>
        <w:rPr>
          <w:spacing w:val="-8"/>
        </w:rPr>
        <w:t> 患者接受口服糖皮质激素治疗</w:t>
      </w:r>
      <w:r>
        <w:rPr/>
        <w:t>（平均剂量：19.7mg/天，标准差：12.8），</w:t>
      </w:r>
      <w:r>
        <w:rPr>
          <w:spacing w:val="-20"/>
        </w:rPr>
        <w:t>到第 </w:t>
      </w:r>
      <w:r>
        <w:rPr/>
        <w:t>24</w:t>
      </w:r>
      <w:r>
        <w:rPr>
          <w:spacing w:val="-30"/>
        </w:rPr>
        <w:t> 个月，40.4</w:t>
      </w:r>
      <w:r>
        <w:rPr>
          <w:spacing w:val="-32"/>
        </w:rPr>
        <w:t>%的患者已停用口服糖皮质激素，且平均剂量降为 </w:t>
      </w:r>
      <w:r>
        <w:rPr/>
        <w:t>3.2mg/天。</w:t>
      </w:r>
    </w:p>
    <w:p>
      <w:pPr>
        <w:spacing w:after="0" w:line="297" w:lineRule="auto"/>
        <w:sectPr>
          <w:pgSz w:w="11910" w:h="16850"/>
          <w:pgMar w:header="906" w:footer="607" w:top="1100" w:bottom="800" w:left="1140" w:right="900"/>
        </w:sectPr>
      </w:pPr>
    </w:p>
    <w:p>
      <w:pPr>
        <w:pStyle w:val="BodyText"/>
        <w:spacing w:before="10" w:after="1"/>
        <w:ind w:left="0" w:firstLine="0"/>
        <w:rPr>
          <w:sz w:val="7"/>
        </w:rPr>
      </w:pPr>
    </w:p>
    <w:p>
      <w:pPr>
        <w:pStyle w:val="BodyText"/>
        <w:ind w:left="464" w:firstLine="0"/>
        <w:rPr>
          <w:sz w:val="20"/>
        </w:rPr>
      </w:pPr>
      <w:r>
        <w:rPr>
          <w:sz w:val="20"/>
        </w:rPr>
        <w:drawing>
          <wp:inline distT="0" distB="0" distL="0" distR="0">
            <wp:extent cx="4550033" cy="3180969"/>
            <wp:effectExtent l="0" t="0" r="0" b="0"/>
            <wp:docPr id="1" name="image2.jpeg" descr="E:\组织联络部\信息网快讯\2019年快讯\16-1微信图片_20191113161610.jpg"/>
            <wp:cNvGraphicFramePr>
              <a:graphicFrameLocks noChangeAspect="1"/>
            </wp:cNvGraphicFramePr>
            <a:graphic>
              <a:graphicData uri="http://schemas.openxmlformats.org/drawingml/2006/picture">
                <pic:pic>
                  <pic:nvPicPr>
                    <pic:cNvPr id="2" name="image2.jpeg"/>
                    <pic:cNvPicPr/>
                  </pic:nvPicPr>
                  <pic:blipFill>
                    <a:blip r:embed="rId15" cstate="print"/>
                    <a:stretch>
                      <a:fillRect/>
                    </a:stretch>
                  </pic:blipFill>
                  <pic:spPr>
                    <a:xfrm>
                      <a:off x="0" y="0"/>
                      <a:ext cx="4550033" cy="3180969"/>
                    </a:xfrm>
                    <a:prstGeom prst="rect">
                      <a:avLst/>
                    </a:prstGeom>
                  </pic:spPr>
                </pic:pic>
              </a:graphicData>
            </a:graphic>
          </wp:inline>
        </w:drawing>
      </w:r>
      <w:r>
        <w:rPr>
          <w:sz w:val="20"/>
        </w:rPr>
      </w:r>
    </w:p>
    <w:p>
      <w:pPr>
        <w:pStyle w:val="BodyText"/>
        <w:spacing w:before="2"/>
        <w:ind w:left="0" w:firstLine="0"/>
        <w:rPr>
          <w:sz w:val="20"/>
        </w:rPr>
      </w:pPr>
    </w:p>
    <w:p>
      <w:pPr>
        <w:tabs>
          <w:tab w:pos="1082" w:val="left" w:leader="none"/>
        </w:tabs>
        <w:spacing w:before="75"/>
        <w:ind w:left="497" w:right="0" w:firstLine="0"/>
        <w:jc w:val="left"/>
        <w:rPr>
          <w:sz w:val="18"/>
        </w:rPr>
      </w:pPr>
      <w:r>
        <w:rPr>
          <w:sz w:val="18"/>
        </w:rPr>
        <w:t>图</w:t>
      </w:r>
      <w:r>
        <w:rPr>
          <w:spacing w:val="-45"/>
          <w:sz w:val="18"/>
        </w:rPr>
        <w:t> </w:t>
      </w:r>
      <w:r>
        <w:rPr>
          <w:sz w:val="18"/>
        </w:rPr>
        <w:t>1</w:t>
        <w:tab/>
        <w:t>临床应答，根据医师对</w:t>
      </w:r>
      <w:r>
        <w:rPr>
          <w:spacing w:val="-45"/>
          <w:sz w:val="18"/>
        </w:rPr>
        <w:t> </w:t>
      </w:r>
      <w:r>
        <w:rPr>
          <w:sz w:val="18"/>
        </w:rPr>
        <w:t>B/AA</w:t>
      </w:r>
      <w:r>
        <w:rPr>
          <w:spacing w:val="-46"/>
          <w:sz w:val="18"/>
        </w:rPr>
        <w:t> </w:t>
      </w:r>
      <w:r>
        <w:rPr>
          <w:sz w:val="18"/>
        </w:rPr>
        <w:t>患者的</w:t>
      </w:r>
      <w:r>
        <w:rPr>
          <w:spacing w:val="-45"/>
          <w:sz w:val="18"/>
        </w:rPr>
        <w:t> </w:t>
      </w:r>
      <w:r>
        <w:rPr>
          <w:sz w:val="18"/>
        </w:rPr>
        <w:t>SLE</w:t>
      </w:r>
      <w:r>
        <w:rPr>
          <w:spacing w:val="-46"/>
          <w:sz w:val="18"/>
        </w:rPr>
        <w:t> </w:t>
      </w:r>
      <w:r>
        <w:rPr>
          <w:sz w:val="18"/>
        </w:rPr>
        <w:t>临床表现较基线整体变化的评估（n=69）</w:t>
      </w:r>
    </w:p>
    <w:p>
      <w:pPr>
        <w:pStyle w:val="BodyText"/>
        <w:spacing w:before="6"/>
        <w:ind w:left="0" w:firstLine="0"/>
        <w:rPr>
          <w:sz w:val="11"/>
        </w:rPr>
      </w:pPr>
      <w:r>
        <w:rPr/>
        <w:drawing>
          <wp:anchor distT="0" distB="0" distL="0" distR="0" allowOverlap="1" layoutInCell="1" locked="0" behindDoc="0" simplePos="0" relativeHeight="3">
            <wp:simplePos x="0" y="0"/>
            <wp:positionH relativeFrom="page">
              <wp:posOffset>1018539</wp:posOffset>
            </wp:positionH>
            <wp:positionV relativeFrom="paragraph">
              <wp:posOffset>118189</wp:posOffset>
            </wp:positionV>
            <wp:extent cx="4278587" cy="2492120"/>
            <wp:effectExtent l="0" t="0" r="0" b="0"/>
            <wp:wrapTopAndBottom/>
            <wp:docPr id="3" name="image3.jpeg" descr="E:\组织联络部\信息网快讯\2019年快讯\16-2微信图片_20191113161640.jpg"/>
            <wp:cNvGraphicFramePr>
              <a:graphicFrameLocks noChangeAspect="1"/>
            </wp:cNvGraphicFramePr>
            <a:graphic>
              <a:graphicData uri="http://schemas.openxmlformats.org/drawingml/2006/picture">
                <pic:pic>
                  <pic:nvPicPr>
                    <pic:cNvPr id="4" name="image3.jpeg"/>
                    <pic:cNvPicPr/>
                  </pic:nvPicPr>
                  <pic:blipFill>
                    <a:blip r:embed="rId16" cstate="print"/>
                    <a:stretch>
                      <a:fillRect/>
                    </a:stretch>
                  </pic:blipFill>
                  <pic:spPr>
                    <a:xfrm>
                      <a:off x="0" y="0"/>
                      <a:ext cx="4278587" cy="2492120"/>
                    </a:xfrm>
                    <a:prstGeom prst="rect">
                      <a:avLst/>
                    </a:prstGeom>
                  </pic:spPr>
                </pic:pic>
              </a:graphicData>
            </a:graphic>
          </wp:anchor>
        </w:drawing>
      </w:r>
    </w:p>
    <w:p>
      <w:pPr>
        <w:pStyle w:val="BodyText"/>
        <w:spacing w:before="11"/>
        <w:ind w:left="0" w:firstLine="0"/>
        <w:rPr>
          <w:sz w:val="14"/>
        </w:rPr>
      </w:pPr>
    </w:p>
    <w:p>
      <w:pPr>
        <w:tabs>
          <w:tab w:pos="1082" w:val="left" w:leader="none"/>
        </w:tabs>
        <w:spacing w:before="0"/>
        <w:ind w:left="497" w:right="0" w:firstLine="0"/>
        <w:jc w:val="left"/>
        <w:rPr>
          <w:sz w:val="18"/>
        </w:rPr>
      </w:pPr>
      <w:r>
        <w:rPr>
          <w:sz w:val="18"/>
        </w:rPr>
        <w:t>图</w:t>
      </w:r>
      <w:r>
        <w:rPr>
          <w:spacing w:val="-45"/>
          <w:sz w:val="18"/>
        </w:rPr>
        <w:t> </w:t>
      </w:r>
      <w:r>
        <w:rPr>
          <w:sz w:val="18"/>
        </w:rPr>
        <w:t>2</w:t>
        <w:tab/>
        <w:t>疾病严重程度，根据医生对</w:t>
      </w:r>
      <w:r>
        <w:rPr>
          <w:spacing w:val="-45"/>
          <w:sz w:val="18"/>
        </w:rPr>
        <w:t> </w:t>
      </w:r>
      <w:r>
        <w:rPr>
          <w:sz w:val="18"/>
        </w:rPr>
        <w:t>B/AA</w:t>
      </w:r>
      <w:r>
        <w:rPr>
          <w:spacing w:val="-46"/>
          <w:sz w:val="18"/>
        </w:rPr>
        <w:t> </w:t>
      </w:r>
      <w:r>
        <w:rPr>
          <w:sz w:val="18"/>
        </w:rPr>
        <w:t>患者的评估（每个评估时间点</w:t>
      </w:r>
      <w:r>
        <w:rPr>
          <w:spacing w:val="-44"/>
          <w:sz w:val="18"/>
        </w:rPr>
        <w:t> </w:t>
      </w:r>
      <w:r>
        <w:rPr>
          <w:sz w:val="18"/>
        </w:rPr>
        <w:t>n=69）</w:t>
      </w:r>
    </w:p>
    <w:p>
      <w:pPr>
        <w:pStyle w:val="Heading3"/>
        <w:spacing w:before="91"/>
      </w:pPr>
      <w:r>
        <w:rPr/>
        <w:t>3.结论</w:t>
      </w:r>
    </w:p>
    <w:p>
      <w:pPr>
        <w:pStyle w:val="BodyText"/>
        <w:spacing w:line="297" w:lineRule="auto" w:before="72"/>
        <w:ind w:right="227"/>
        <w:jc w:val="both"/>
      </w:pPr>
      <w:r>
        <w:rPr>
          <w:spacing w:val="-16"/>
        </w:rPr>
        <w:t>在美国 </w:t>
      </w:r>
      <w:r>
        <w:rPr/>
        <w:t>OBSErve</w:t>
      </w:r>
      <w:r>
        <w:rPr>
          <w:spacing w:val="-10"/>
        </w:rPr>
        <w:t> 真实世界研究中，基于临床实践中接受贝利尤单抗治疗超过 </w:t>
      </w:r>
      <w:r>
        <w:rPr/>
        <w:t>24</w:t>
      </w:r>
      <w:r>
        <w:rPr>
          <w:spacing w:val="-15"/>
        </w:rPr>
        <w:t> 个月的黑种人/非洲裔美国人（B/AA）亚组人群的结果表明，患者的疾病活动性显著降低，严重程度显著降低，口服糖皮质激素使用显著减少。虽然在样本量、主观评估方面存在一定的局限性，但结果仍能证明贝利尤单抗在 </w:t>
      </w:r>
      <w:r>
        <w:rPr/>
        <w:t>SLE</w:t>
      </w:r>
      <w:r>
        <w:rPr>
          <w:spacing w:val="-14"/>
        </w:rPr>
        <w:t> 高发和高患病人群 </w:t>
      </w:r>
      <w:r>
        <w:rPr/>
        <w:t>B/AA</w:t>
      </w:r>
      <w:r>
        <w:rPr>
          <w:spacing w:val="-14"/>
        </w:rPr>
        <w:t> 患者人群中有超过 </w:t>
      </w:r>
      <w:r>
        <w:rPr/>
        <w:t>24</w:t>
      </w:r>
      <w:r>
        <w:rPr>
          <w:spacing w:val="-19"/>
        </w:rPr>
        <w:t> 个月的</w:t>
      </w:r>
    </w:p>
    <w:p>
      <w:pPr>
        <w:spacing w:line="413" w:lineRule="exact" w:before="0"/>
        <w:ind w:left="137" w:right="0" w:firstLine="0"/>
        <w:jc w:val="left"/>
        <w:rPr>
          <w:rFonts w:ascii="Meiryo" w:eastAsia="Meiryo" w:hint="eastAsia"/>
          <w:b/>
          <w:sz w:val="24"/>
        </w:rPr>
      </w:pPr>
      <w:r>
        <w:rPr>
          <w:sz w:val="24"/>
        </w:rPr>
        <w:t>有效性和持久性。</w:t>
      </w:r>
      <w:r>
        <w:rPr>
          <w:rFonts w:ascii="Meiryo" w:eastAsia="Meiryo" w:hint="eastAsia"/>
          <w:b/>
          <w:color w:val="0033CC"/>
          <w:sz w:val="24"/>
        </w:rPr>
        <w:t>[返回目次]</w:t>
      </w:r>
    </w:p>
    <w:p>
      <w:pPr>
        <w:pStyle w:val="Heading2"/>
        <w:spacing w:before="195"/>
        <w:ind w:right="235"/>
        <w:jc w:val="center"/>
      </w:pPr>
      <w:bookmarkStart w:name="_TOC_250017" w:id="10"/>
      <w:bookmarkEnd w:id="10"/>
      <w:r>
        <w:rPr/>
        <w:t>改良高剂量二联方案高效且更安全、更经济</w:t>
      </w:r>
    </w:p>
    <w:p>
      <w:pPr>
        <w:pStyle w:val="Heading3"/>
        <w:spacing w:before="145"/>
        <w:ind w:left="137" w:right="228"/>
        <w:jc w:val="right"/>
        <w:rPr>
          <w:rFonts w:ascii="楷体" w:eastAsia="楷体" w:hint="eastAsia"/>
        </w:rPr>
      </w:pPr>
      <w:r>
        <w:rPr>
          <w:rFonts w:ascii="楷体" w:eastAsia="楷体" w:hint="eastAsia"/>
          <w:color w:val="FF0000"/>
          <w:w w:val="95"/>
        </w:rPr>
        <w:t>（来源：中国医学论坛报）</w:t>
      </w:r>
    </w:p>
    <w:p>
      <w:pPr>
        <w:pStyle w:val="BodyText"/>
        <w:spacing w:line="297" w:lineRule="auto" w:before="95"/>
        <w:ind w:right="230"/>
        <w:jc w:val="both"/>
      </w:pPr>
      <w:r>
        <w:rPr>
          <w:spacing w:val="-6"/>
        </w:rPr>
        <w:t>幽门螺杆菌</w:t>
      </w:r>
      <w:r>
        <w:rPr>
          <w:spacing w:val="-7"/>
        </w:rPr>
        <w:t>（Hp）</w:t>
      </w:r>
      <w:r>
        <w:rPr>
          <w:spacing w:val="-4"/>
        </w:rPr>
        <w:t>感染是多种胃肠道疾病包括消化性溃疡、慢性活动性胃炎、胃黏膜相</w:t>
      </w:r>
      <w:r>
        <w:rPr>
          <w:spacing w:val="-2"/>
        </w:rPr>
        <w:t>关淋巴组织淋巴瘤及胃腺癌的首要原因。据估计，全世界高达一半人口有 </w:t>
      </w:r>
      <w:r>
        <w:rPr/>
        <w:t>Hp</w:t>
      </w:r>
      <w:r>
        <w:rPr>
          <w:spacing w:val="-9"/>
        </w:rPr>
        <w:t> 感染，其中中</w:t>
      </w:r>
    </w:p>
    <w:p>
      <w:pPr>
        <w:spacing w:after="0" w:line="297" w:lineRule="auto"/>
        <w:jc w:val="both"/>
        <w:sectPr>
          <w:pgSz w:w="11910" w:h="16850"/>
          <w:pgMar w:header="906" w:footer="607" w:top="1100" w:bottom="800" w:left="1140" w:right="900"/>
        </w:sectPr>
      </w:pPr>
    </w:p>
    <w:p>
      <w:pPr>
        <w:pStyle w:val="BodyText"/>
        <w:spacing w:line="295" w:lineRule="auto" w:before="65"/>
        <w:ind w:right="126" w:firstLine="0"/>
        <w:jc w:val="both"/>
      </w:pPr>
      <w:r>
        <w:rPr>
          <w:spacing w:val="-20"/>
        </w:rPr>
        <w:t>国约 </w:t>
      </w:r>
      <w:r>
        <w:rPr/>
        <w:t>7</w:t>
      </w:r>
      <w:r>
        <w:rPr>
          <w:spacing w:val="-20"/>
        </w:rPr>
        <w:t> 亿。</w:t>
      </w:r>
      <w:r>
        <w:rPr/>
        <w:t>Hp</w:t>
      </w:r>
      <w:r>
        <w:rPr>
          <w:spacing w:val="-8"/>
        </w:rPr>
        <w:t> 的一线标准三联治疗药物包括质子泵抑制剂</w:t>
      </w:r>
      <w:r>
        <w:rPr/>
        <w:t>（PPI）、克拉霉素和阿莫西林。然而，Hp</w:t>
      </w:r>
      <w:r>
        <w:rPr>
          <w:spacing w:val="-11"/>
        </w:rPr>
        <w:t> 对抗菌药耐药的不断增加影响了上述方案治疗 </w:t>
      </w:r>
      <w:r>
        <w:rPr/>
        <w:t>Hp</w:t>
      </w:r>
      <w:r>
        <w:rPr>
          <w:spacing w:val="-15"/>
        </w:rPr>
        <w:t> 的疗效</w:t>
      </w:r>
      <w:r>
        <w:rPr/>
        <w:t>，Hp</w:t>
      </w:r>
      <w:r>
        <w:rPr>
          <w:spacing w:val="-9"/>
        </w:rPr>
        <w:t> 根治率已显著下降。</w:t>
      </w:r>
      <w:r>
        <w:rPr>
          <w:spacing w:val="-8"/>
        </w:rPr>
        <w:t>数据显示，全球 </w:t>
      </w:r>
      <w:r>
        <w:rPr/>
        <w:t>Hp</w:t>
      </w:r>
      <w:r>
        <w:rPr>
          <w:spacing w:val="-18"/>
        </w:rPr>
        <w:t> 根治率已从 </w:t>
      </w:r>
      <w:r>
        <w:rPr/>
        <w:t>95%</w:t>
      </w:r>
      <w:r>
        <w:rPr>
          <w:spacing w:val="-20"/>
        </w:rPr>
        <w:t>降至 </w:t>
      </w:r>
      <w:r>
        <w:rPr/>
        <w:t>80%，</w:t>
      </w:r>
      <w:r>
        <w:rPr>
          <w:spacing w:val="-12"/>
        </w:rPr>
        <w:t>而我国从 </w:t>
      </w:r>
      <w:r>
        <w:rPr/>
        <w:t>89%</w:t>
      </w:r>
      <w:r>
        <w:rPr>
          <w:spacing w:val="-20"/>
        </w:rPr>
        <w:t>降至 </w:t>
      </w:r>
      <w:r>
        <w:rPr/>
        <w:t>78%。</w:t>
      </w:r>
    </w:p>
    <w:p>
      <w:pPr>
        <w:pStyle w:val="BodyText"/>
        <w:spacing w:line="295" w:lineRule="auto" w:before="5"/>
        <w:ind w:right="228"/>
        <w:jc w:val="both"/>
      </w:pPr>
      <w:r>
        <w:rPr>
          <w:spacing w:val="-3"/>
        </w:rPr>
        <w:t>因此，最新的共识和指南强烈推荐在克拉霉素耐药率超过 </w:t>
      </w:r>
      <w:r>
        <w:rPr/>
        <w:t>15%</w:t>
      </w:r>
      <w:r>
        <w:rPr>
          <w:spacing w:val="-7"/>
        </w:rPr>
        <w:t>的国家和地区使用 </w:t>
      </w:r>
      <w:r>
        <w:rPr/>
        <w:t>14</w:t>
      </w:r>
      <w:r>
        <w:rPr>
          <w:spacing w:val="-30"/>
        </w:rPr>
        <w:t> 天</w:t>
      </w:r>
      <w:r>
        <w:rPr>
          <w:spacing w:val="-35"/>
        </w:rPr>
        <w:t>的四联方案治疗 </w:t>
      </w:r>
      <w:r>
        <w:rPr/>
        <w:t>Hp</w:t>
      </w:r>
      <w:r>
        <w:rPr>
          <w:spacing w:val="-14"/>
        </w:rPr>
        <w:t> 感染。其中就包括中国，我国克拉霉素的耐药率约达 </w:t>
      </w:r>
      <w:r>
        <w:rPr/>
        <w:t>20%～50%</w:t>
      </w:r>
      <w:r>
        <w:rPr>
          <w:spacing w:val="-4"/>
        </w:rPr>
        <w:t>，甲硝唑</w:t>
      </w:r>
      <w:r>
        <w:rPr>
          <w:spacing w:val="-11"/>
        </w:rPr>
        <w:t>耐药率约达 </w:t>
      </w:r>
      <w:r>
        <w:rPr/>
        <w:t>58%～100%，</w:t>
      </w:r>
      <w:r>
        <w:rPr>
          <w:spacing w:val="-5"/>
        </w:rPr>
        <w:t>左氧氟沙星的耐药率约达 </w:t>
      </w:r>
      <w:r>
        <w:rPr/>
        <w:t>20%～45%</w:t>
      </w:r>
      <w:r>
        <w:rPr>
          <w:spacing w:val="-7"/>
        </w:rPr>
        <w:t>。根据最新的中国 </w:t>
      </w:r>
      <w:r>
        <w:rPr/>
        <w:t>Hp</w:t>
      </w:r>
      <w:r>
        <w:rPr>
          <w:spacing w:val="-12"/>
        </w:rPr>
        <w:t> 感染和控</w:t>
      </w:r>
      <w:r>
        <w:rPr>
          <w:spacing w:val="-29"/>
        </w:rPr>
        <w:t>制第 </w:t>
      </w:r>
      <w:r>
        <w:rPr/>
        <w:t>5</w:t>
      </w:r>
      <w:r>
        <w:rPr>
          <w:spacing w:val="-11"/>
        </w:rPr>
        <w:t> 版共识，含铋剂的四联方案被推荐为 </w:t>
      </w:r>
      <w:r>
        <w:rPr/>
        <w:t>Hp</w:t>
      </w:r>
      <w:r>
        <w:rPr>
          <w:spacing w:val="-8"/>
        </w:rPr>
        <w:t> 感染一线治疗方案。不过，这一方案也有不</w:t>
      </w:r>
      <w:r>
        <w:rPr>
          <w:spacing w:val="-12"/>
        </w:rPr>
        <w:t>足之处，如铋剂的不良反应、依从性不佳、克拉霉素和甲硝唑耐药率高、以及较高的治疗费</w:t>
      </w:r>
      <w:r>
        <w:rPr/>
        <w:t>用。</w:t>
      </w:r>
    </w:p>
    <w:p>
      <w:pPr>
        <w:pStyle w:val="BodyText"/>
        <w:spacing w:line="297" w:lineRule="auto" w:before="11"/>
        <w:ind w:right="228"/>
      </w:pPr>
      <w:r>
        <w:rPr>
          <w:spacing w:val="-1"/>
        </w:rPr>
        <w:t>为了应对上述问题，</w:t>
      </w:r>
      <w:r>
        <w:rPr>
          <w:spacing w:val="-5"/>
        </w:rPr>
        <w:t>PPI-</w:t>
      </w:r>
      <w:r>
        <w:rPr>
          <w:spacing w:val="-2"/>
        </w:rPr>
        <w:t>阿莫西林二联方案再次被提上日程。</w:t>
      </w:r>
      <w:r>
        <w:rPr/>
        <w:t>20</w:t>
      </w:r>
      <w:r>
        <w:rPr>
          <w:spacing w:val="-30"/>
        </w:rPr>
        <w:t> 世纪 </w:t>
      </w:r>
      <w:r>
        <w:rPr/>
        <w:t>80</w:t>
      </w:r>
      <w:r>
        <w:rPr>
          <w:spacing w:val="-11"/>
        </w:rPr>
        <w:t> 年代就进行过</w:t>
      </w:r>
      <w:r>
        <w:rPr>
          <w:spacing w:val="-4"/>
        </w:rPr>
        <w:t>奥美拉唑-阿莫西林双药方案的探索，但 </w:t>
      </w:r>
      <w:r>
        <w:rPr/>
        <w:t>Hp</w:t>
      </w:r>
      <w:r>
        <w:rPr>
          <w:spacing w:val="-18"/>
        </w:rPr>
        <w:t> 根除率仅为 </w:t>
      </w:r>
      <w:r>
        <w:rPr/>
        <w:t>55%～62%。近年，研究者对二联方</w:t>
      </w:r>
      <w:r>
        <w:rPr>
          <w:spacing w:val="-3"/>
        </w:rPr>
        <w:t>案的药物剂量和给药频率进行了改良，获得了较高的 </w:t>
      </w:r>
      <w:r>
        <w:rPr/>
        <w:t>Hp</w:t>
      </w:r>
      <w:r>
        <w:rPr>
          <w:spacing w:val="-8"/>
        </w:rPr>
        <w:t> 根治率。本文分享陆军军医大学大</w:t>
      </w:r>
      <w:r>
        <w:rPr>
          <w:spacing w:val="-10"/>
        </w:rPr>
        <w:t>坪医院兰春慧副教授等发表的有关中国大陆人群双联高剂量根治 </w:t>
      </w:r>
      <w:r>
        <w:rPr/>
        <w:t>Hp</w:t>
      </w:r>
      <w:r>
        <w:rPr>
          <w:spacing w:val="-8"/>
        </w:rPr>
        <w:t> 方案的研究，并讨论这一方案的临床优势。</w:t>
      </w:r>
    </w:p>
    <w:p>
      <w:pPr>
        <w:pStyle w:val="Heading3"/>
        <w:spacing w:line="299" w:lineRule="exact"/>
      </w:pPr>
      <w:r>
        <w:rPr/>
        <w:t>研究设计</w:t>
      </w:r>
    </w:p>
    <w:p>
      <w:pPr>
        <w:pStyle w:val="BodyText"/>
        <w:spacing w:before="75"/>
        <w:ind w:left="617" w:firstLine="0"/>
      </w:pPr>
      <w:r>
        <w:rPr/>
        <w:t>2017</w:t>
      </w:r>
      <w:r>
        <w:rPr>
          <w:spacing w:val="-41"/>
        </w:rPr>
        <w:t> 年 </w:t>
      </w:r>
      <w:r>
        <w:rPr/>
        <w:t>1</w:t>
      </w:r>
      <w:r>
        <w:rPr>
          <w:spacing w:val="-30"/>
        </w:rPr>
        <w:t> 月至 </w:t>
      </w:r>
      <w:r>
        <w:rPr/>
        <w:t>12</w:t>
      </w:r>
      <w:r>
        <w:rPr>
          <w:spacing w:val="-13"/>
        </w:rPr>
        <w:t> 月，兰春慧副教授团队在陆军军医大学大坪医院筛选并纳入了 </w:t>
      </w:r>
      <w:r>
        <w:rPr/>
        <w:t>232</w:t>
      </w:r>
      <w:r>
        <w:rPr>
          <w:spacing w:val="-30"/>
        </w:rPr>
        <w:t> 例</w:t>
      </w:r>
    </w:p>
    <w:p>
      <w:pPr>
        <w:pStyle w:val="BodyText"/>
        <w:spacing w:line="295" w:lineRule="auto" w:before="71"/>
        <w:ind w:right="226" w:firstLine="0"/>
        <w:jc w:val="right"/>
      </w:pPr>
      <w:r>
        <w:rPr/>
        <w:t>18～65</w:t>
      </w:r>
      <w:r>
        <w:rPr>
          <w:spacing w:val="-14"/>
        </w:rPr>
        <w:t> 岁胃镜确诊胃炎且 </w:t>
      </w:r>
      <w:r>
        <w:rPr/>
        <w:t>Hp</w:t>
      </w:r>
      <w:r>
        <w:rPr>
          <w:spacing w:val="-13"/>
        </w:rPr>
        <w:t> 阳性的患者，患者既往未接受过 </w:t>
      </w:r>
      <w:r>
        <w:rPr/>
        <w:t>Hp</w:t>
      </w:r>
      <w:r>
        <w:rPr>
          <w:spacing w:val="-15"/>
        </w:rPr>
        <w:t> 根治治疗。患者以 </w:t>
      </w:r>
      <w:r>
        <w:rPr/>
        <w:t>1∶1</w:t>
      </w:r>
      <w:r>
        <w:rPr>
          <w:spacing w:val="-36"/>
        </w:rPr>
        <w:t> 随</w:t>
      </w:r>
      <w:r>
        <w:rPr>
          <w:spacing w:val="-11"/>
        </w:rPr>
        <w:t>机分配给予 </w:t>
      </w:r>
      <w:r>
        <w:rPr/>
        <w:t>14</w:t>
      </w:r>
      <w:r>
        <w:rPr>
          <w:spacing w:val="-8"/>
        </w:rPr>
        <w:t> 天改良二联方案</w:t>
      </w:r>
      <w:r>
        <w:rPr/>
        <w:t>（</w:t>
      </w:r>
      <w:r>
        <w:rPr>
          <w:spacing w:val="-9"/>
        </w:rPr>
        <w:t>艾司奥美拉唑 </w:t>
      </w:r>
      <w:r>
        <w:rPr/>
        <w:t>20</w:t>
      </w:r>
      <w:r>
        <w:rPr>
          <w:spacing w:val="-27"/>
        </w:rPr>
        <w:t> </w:t>
      </w:r>
      <w:r>
        <w:rPr/>
        <w:t>mg</w:t>
      </w:r>
      <w:r>
        <w:rPr>
          <w:spacing w:val="-26"/>
        </w:rPr>
        <w:t> </w:t>
      </w:r>
      <w:r>
        <w:rPr/>
        <w:t>qid+</w:t>
      </w:r>
      <w:r>
        <w:rPr>
          <w:spacing w:val="-12"/>
        </w:rPr>
        <w:t>阿莫西林 </w:t>
      </w:r>
      <w:r>
        <w:rPr/>
        <w:t>750</w:t>
      </w:r>
      <w:r>
        <w:rPr>
          <w:spacing w:val="-27"/>
        </w:rPr>
        <w:t> </w:t>
      </w:r>
      <w:r>
        <w:rPr/>
        <w:t>mg</w:t>
      </w:r>
      <w:r>
        <w:rPr>
          <w:spacing w:val="-26"/>
        </w:rPr>
        <w:t> </w:t>
      </w:r>
      <w:r>
        <w:rPr/>
        <w:t>qid）</w:t>
      </w:r>
      <w:r>
        <w:rPr>
          <w:spacing w:val="-3"/>
        </w:rPr>
        <w:t>或含铋剂</w:t>
      </w:r>
    </w:p>
    <w:p>
      <w:pPr>
        <w:pStyle w:val="BodyText"/>
        <w:spacing w:line="295" w:lineRule="auto" w:before="5"/>
        <w:ind w:left="617" w:right="226" w:hanging="480"/>
        <w:jc w:val="right"/>
      </w:pPr>
      <w:r>
        <w:rPr/>
        <w:t>四联方案（</w:t>
      </w:r>
      <w:r>
        <w:rPr>
          <w:spacing w:val="-9"/>
        </w:rPr>
        <w:t>艾司奥美拉唑 </w:t>
      </w:r>
      <w:r>
        <w:rPr/>
        <w:t>20 mg+</w:t>
      </w:r>
      <w:r>
        <w:rPr>
          <w:spacing w:val="-10"/>
        </w:rPr>
        <w:t>枸橼酸铋钾 </w:t>
      </w:r>
      <w:r>
        <w:rPr/>
        <w:t>1 g+</w:t>
      </w:r>
      <w:r>
        <w:rPr>
          <w:spacing w:val="-12"/>
        </w:rPr>
        <w:t>阿莫西林 </w:t>
      </w:r>
      <w:r>
        <w:rPr/>
        <w:t>1 g+</w:t>
      </w:r>
      <w:r>
        <w:rPr>
          <w:spacing w:val="-12"/>
        </w:rPr>
        <w:t>克拉霉素 </w:t>
      </w:r>
      <w:r>
        <w:rPr/>
        <w:t>500 mg，bid）。</w:t>
      </w:r>
      <w:r>
        <w:rPr>
          <w:spacing w:val="-31"/>
        </w:rPr>
        <w:t>在 </w:t>
      </w:r>
      <w:r>
        <w:rPr/>
        <w:t>14</w:t>
      </w:r>
      <w:r>
        <w:rPr>
          <w:spacing w:val="-15"/>
        </w:rPr>
        <w:t> 天治疗期间，所有患者被要求记录治疗依从性和不良反应，治疗后 </w:t>
      </w:r>
      <w:r>
        <w:rPr/>
        <w:t>4～6</w:t>
      </w:r>
      <w:r>
        <w:rPr>
          <w:spacing w:val="-15"/>
        </w:rPr>
        <w:t> 周随访确</w:t>
      </w:r>
    </w:p>
    <w:p>
      <w:pPr>
        <w:pStyle w:val="BodyText"/>
        <w:spacing w:line="297" w:lineRule="auto" w:before="2"/>
        <w:ind w:right="229" w:firstLine="0"/>
      </w:pPr>
      <w:r>
        <w:rPr>
          <w:spacing w:val="-30"/>
        </w:rPr>
        <w:t>认 </w:t>
      </w:r>
      <w:r>
        <w:rPr/>
        <w:t>Hp</w:t>
      </w:r>
      <w:r>
        <w:rPr>
          <w:spacing w:val="-14"/>
        </w:rPr>
        <w:t> 根治的疗效。研究的主要终点为 </w:t>
      </w:r>
      <w:r>
        <w:rPr/>
        <w:t>Hp</w:t>
      </w:r>
      <w:r>
        <w:rPr>
          <w:spacing w:val="-13"/>
        </w:rPr>
        <w:t> 根除率，次要终点包括治疗依从性、不良反应、治</w:t>
      </w:r>
      <w:r>
        <w:rPr>
          <w:spacing w:val="-5"/>
        </w:rPr>
        <w:t>疗费用。研究中还进行了 </w:t>
      </w:r>
      <w:r>
        <w:rPr/>
        <w:t>CYP2C19、IL-1B 511</w:t>
      </w:r>
      <w:r>
        <w:rPr>
          <w:spacing w:val="-40"/>
        </w:rPr>
        <w:t> 和 </w:t>
      </w:r>
      <w:r>
        <w:rPr/>
        <w:t>Hp VacA</w:t>
      </w:r>
      <w:r>
        <w:rPr>
          <w:spacing w:val="-8"/>
        </w:rPr>
        <w:t> 基因型和抗生素耐药性测定。</w:t>
      </w:r>
    </w:p>
    <w:p>
      <w:pPr>
        <w:pStyle w:val="Heading3"/>
        <w:spacing w:line="306" w:lineRule="exact"/>
      </w:pPr>
      <w:r>
        <w:rPr/>
        <w:t>主要结果</w:t>
      </w:r>
    </w:p>
    <w:p>
      <w:pPr>
        <w:pStyle w:val="BodyText"/>
        <w:spacing w:line="297" w:lineRule="auto" w:before="72"/>
        <w:ind w:right="227"/>
      </w:pPr>
      <w:r>
        <w:rPr>
          <w:spacing w:val="-11"/>
        </w:rPr>
        <w:t>分析显示，两种治疗方案组患者基线特征大多数无显著差异，仅改良二联治疗组既往饮</w:t>
      </w:r>
      <w:r>
        <w:rPr/>
        <w:t>酒比例显著较高（35.3%</w:t>
      </w:r>
      <w:r>
        <w:rPr>
          <w:spacing w:val="-31"/>
        </w:rPr>
        <w:t>对 </w:t>
      </w:r>
      <w:r>
        <w:rPr/>
        <w:t>22.4%）</w:t>
      </w:r>
      <w:r>
        <w:rPr>
          <w:spacing w:val="-10"/>
        </w:rPr>
        <w:t>。研究者对 </w:t>
      </w:r>
      <w:r>
        <w:rPr/>
        <w:t>Hp</w:t>
      </w:r>
      <w:r>
        <w:rPr>
          <w:spacing w:val="-8"/>
        </w:rPr>
        <w:t> 根除率分别进行了意向治疗</w:t>
      </w:r>
      <w:r>
        <w:rPr/>
        <w:t>（ITT）、基于方案治疗（PP）和改良意向治疗（MITT）分析。</w:t>
      </w:r>
    </w:p>
    <w:p>
      <w:pPr>
        <w:pStyle w:val="BodyText"/>
        <w:spacing w:line="297" w:lineRule="auto"/>
        <w:ind w:right="111"/>
      </w:pPr>
      <w:r>
        <w:rPr/>
        <w:t>ITT</w:t>
      </w:r>
      <w:r>
        <w:rPr>
          <w:spacing w:val="-18"/>
        </w:rPr>
        <w:t> 分析显示，改良二联治疗组和含铋剂四联治疗组的 </w:t>
      </w:r>
      <w:r>
        <w:rPr/>
        <w:t>Hp</w:t>
      </w:r>
      <w:r>
        <w:rPr>
          <w:spacing w:val="-19"/>
        </w:rPr>
        <w:t> 根除率分别为 </w:t>
      </w:r>
      <w:r>
        <w:rPr/>
        <w:t>87.9%</w:t>
      </w:r>
      <w:r>
        <w:rPr>
          <w:spacing w:val="-35"/>
        </w:rPr>
        <w:t>和 </w:t>
      </w:r>
      <w:r>
        <w:rPr>
          <w:spacing w:val="-3"/>
        </w:rPr>
        <w:t>89.7%； </w:t>
      </w:r>
      <w:r>
        <w:rPr/>
        <w:t>PP</w:t>
      </w:r>
      <w:r>
        <w:rPr>
          <w:spacing w:val="-19"/>
        </w:rPr>
        <w:t> 分析显示，两组 </w:t>
      </w:r>
      <w:r>
        <w:rPr/>
        <w:t>Hp</w:t>
      </w:r>
      <w:r>
        <w:rPr>
          <w:spacing w:val="-16"/>
        </w:rPr>
        <w:t> 根除率分别为 </w:t>
      </w:r>
      <w:r>
        <w:rPr/>
        <w:t>91.1%</w:t>
      </w:r>
      <w:r>
        <w:rPr>
          <w:spacing w:val="-30"/>
        </w:rPr>
        <w:t>和 </w:t>
      </w:r>
      <w:r>
        <w:rPr>
          <w:spacing w:val="-4"/>
        </w:rPr>
        <w:t>91.2%；MITT</w:t>
      </w:r>
      <w:r>
        <w:rPr>
          <w:spacing w:val="-19"/>
        </w:rPr>
        <w:t> 分析显示，两组 </w:t>
      </w:r>
      <w:r>
        <w:rPr/>
        <w:t>Hp</w:t>
      </w:r>
      <w:r>
        <w:rPr>
          <w:spacing w:val="-9"/>
        </w:rPr>
        <w:t> 根除率分别为91.1%</w:t>
      </w:r>
      <w:r>
        <w:rPr>
          <w:spacing w:val="-35"/>
        </w:rPr>
        <w:t>和 </w:t>
      </w:r>
      <w:r>
        <w:rPr/>
        <w:t>90.4%。组间均无显著差异。</w:t>
      </w:r>
    </w:p>
    <w:p>
      <w:pPr>
        <w:spacing w:after="0" w:line="297" w:lineRule="auto"/>
        <w:sectPr>
          <w:pgSz w:w="11910" w:h="16850"/>
          <w:pgMar w:header="906" w:footer="607" w:top="1100" w:bottom="800" w:left="1140" w:right="900"/>
        </w:sectPr>
      </w:pPr>
    </w:p>
    <w:p>
      <w:pPr>
        <w:pStyle w:val="BodyText"/>
        <w:ind w:left="100" w:firstLine="0"/>
        <w:rPr>
          <w:sz w:val="20"/>
        </w:rPr>
      </w:pPr>
      <w:r>
        <w:rPr>
          <w:sz w:val="20"/>
        </w:rPr>
        <w:pict>
          <v:group style="width:477.85pt;height:156.9pt;mso-position-horizontal-relative:char;mso-position-vertical-relative:line" coordorigin="0,0" coordsize="9557,3138">
            <v:line style="position:absolute" from="0,48" to="9556,48" stroked="true" strokeweight=".72pt" strokecolor="#000000">
              <v:stroke dashstyle="solid"/>
            </v:line>
            <v:shape style="position:absolute;left:98;top:0;width:9210;height:3138" type="#_x0000_t75" alt="E:\组织联络部\信息网快讯\2019年快讯\16-3微信图片_20191113170836.jpg" stroked="false">
              <v:imagedata r:id="rId19" o:title=""/>
            </v:shape>
          </v:group>
        </w:pict>
      </w:r>
      <w:r>
        <w:rPr>
          <w:sz w:val="20"/>
        </w:rPr>
      </w:r>
    </w:p>
    <w:p>
      <w:pPr>
        <w:pStyle w:val="BodyText"/>
        <w:ind w:left="0" w:firstLine="0"/>
        <w:rPr>
          <w:sz w:val="20"/>
        </w:rPr>
      </w:pPr>
    </w:p>
    <w:p>
      <w:pPr>
        <w:pStyle w:val="BodyText"/>
        <w:spacing w:before="2"/>
        <w:ind w:left="0" w:firstLine="0"/>
        <w:rPr>
          <w:sz w:val="16"/>
        </w:rPr>
      </w:pPr>
    </w:p>
    <w:p>
      <w:pPr>
        <w:spacing w:before="0"/>
        <w:ind w:left="497" w:right="0" w:firstLine="0"/>
        <w:jc w:val="left"/>
        <w:rPr>
          <w:rFonts w:ascii="楷体" w:eastAsia="楷体" w:hint="eastAsia"/>
          <w:sz w:val="18"/>
        </w:rPr>
      </w:pPr>
      <w:r>
        <w:rPr>
          <w:rFonts w:ascii="楷体" w:eastAsia="楷体" w:hint="eastAsia"/>
          <w:sz w:val="18"/>
        </w:rPr>
        <w:t>表 Hp 根治率分析结果</w:t>
      </w:r>
    </w:p>
    <w:p>
      <w:pPr>
        <w:pStyle w:val="BodyText"/>
        <w:spacing w:before="91"/>
        <w:ind w:left="617" w:firstLine="0"/>
      </w:pPr>
      <w:r>
        <w:rPr>
          <w:spacing w:val="-1"/>
        </w:rPr>
        <w:t>基因型多态性分析显示，</w:t>
      </w:r>
      <w:r>
        <w:rPr>
          <w:spacing w:val="-4"/>
        </w:rPr>
        <w:t>CYP2C19（</w:t>
      </w:r>
      <w:r>
        <w:rPr>
          <w:spacing w:val="-7"/>
        </w:rPr>
        <w:t>慢代谢、中间代谢、快代谢、强代谢</w:t>
      </w:r>
      <w:r>
        <w:rPr>
          <w:spacing w:val="-15"/>
        </w:rPr>
        <w:t>）</w:t>
      </w:r>
      <w:r>
        <w:rPr>
          <w:spacing w:val="-14"/>
        </w:rPr>
        <w:t>、</w:t>
      </w:r>
      <w:r>
        <w:rPr/>
        <w:t>IL-1B-511</w:t>
      </w:r>
    </w:p>
    <w:p>
      <w:pPr>
        <w:pStyle w:val="BodyText"/>
        <w:spacing w:line="297" w:lineRule="auto" w:before="72"/>
        <w:ind w:right="209" w:firstLine="0"/>
        <w:jc w:val="both"/>
      </w:pPr>
      <w:r>
        <w:rPr/>
        <w:t>（TT、C/C</w:t>
      </w:r>
      <w:r>
        <w:rPr>
          <w:spacing w:val="-41"/>
        </w:rPr>
        <w:t> 和 </w:t>
      </w:r>
      <w:r>
        <w:rPr/>
        <w:t>C/T）</w:t>
      </w:r>
      <w:r>
        <w:rPr>
          <w:spacing w:val="-30"/>
        </w:rPr>
        <w:t>和 </w:t>
      </w:r>
      <w:r>
        <w:rPr/>
        <w:t>Hp VacA（m1</w:t>
      </w:r>
      <w:r>
        <w:rPr>
          <w:spacing w:val="-30"/>
        </w:rPr>
        <w:t> 链和 </w:t>
      </w:r>
      <w:r>
        <w:rPr/>
        <w:t>m2</w:t>
      </w:r>
      <w:r>
        <w:rPr>
          <w:spacing w:val="-30"/>
        </w:rPr>
        <w:t> 链</w:t>
      </w:r>
      <w:r>
        <w:rPr/>
        <w:t>）</w:t>
      </w:r>
      <w:r>
        <w:rPr>
          <w:spacing w:val="-12"/>
        </w:rPr>
        <w:t>多态性对 </w:t>
      </w:r>
      <w:r>
        <w:rPr/>
        <w:t>Hp</w:t>
      </w:r>
      <w:r>
        <w:rPr>
          <w:spacing w:val="-8"/>
        </w:rPr>
        <w:t> 根除率无显著影响。但同时也</w:t>
      </w:r>
      <w:r>
        <w:rPr>
          <w:spacing w:val="-14"/>
        </w:rPr>
        <w:t>发现，改良二联治疗组的高剂量和服药频率似乎减轻了 </w:t>
      </w:r>
      <w:r>
        <w:rPr/>
        <w:t>CYP2C19</w:t>
      </w:r>
      <w:r>
        <w:rPr>
          <w:spacing w:val="-40"/>
        </w:rPr>
        <w:t> 和 </w:t>
      </w:r>
      <w:r>
        <w:rPr/>
        <w:t>IL-1B-511</w:t>
      </w:r>
      <w:r>
        <w:rPr>
          <w:spacing w:val="-9"/>
        </w:rPr>
        <w:t> 基因型对治疗</w:t>
      </w:r>
      <w:r>
        <w:rPr>
          <w:spacing w:val="-20"/>
        </w:rPr>
        <w:t>转归的影响，该组不同基因型的根除率更为接近，而含铋剂四联方案组则有更大差别</w:t>
      </w:r>
      <w:r>
        <w:rPr/>
        <w:t>（</w:t>
      </w:r>
      <w:r>
        <w:rPr>
          <w:spacing w:val="-30"/>
        </w:rPr>
        <w:t>表 </w:t>
      </w:r>
      <w:r>
        <w:rPr/>
        <w:t>2</w:t>
      </w:r>
      <w:r>
        <w:rPr>
          <w:spacing w:val="-101"/>
        </w:rPr>
        <w:t>）</w:t>
      </w:r>
      <w:r>
        <w:rPr>
          <w:spacing w:val="-117"/>
        </w:rPr>
        <w:t>。</w:t>
      </w:r>
    </w:p>
    <w:p>
      <w:pPr>
        <w:spacing w:before="56"/>
        <w:ind w:left="497" w:right="0" w:firstLine="0"/>
        <w:jc w:val="left"/>
        <w:rPr>
          <w:rFonts w:ascii="楷体" w:eastAsia="楷体" w:hint="eastAsia"/>
          <w:sz w:val="18"/>
        </w:rPr>
      </w:pPr>
      <w:r>
        <w:rPr>
          <w:rFonts w:ascii="楷体" w:eastAsia="楷体" w:hint="eastAsia"/>
          <w:sz w:val="18"/>
        </w:rPr>
        <w:t>表 2 改良二联治疗组减轻了 CYP2C19 和 IL-1B-511 基因型对治疗转归的影响</w:t>
      </w:r>
    </w:p>
    <w:p>
      <w:pPr>
        <w:pStyle w:val="BodyText"/>
        <w:spacing w:before="9"/>
        <w:ind w:left="0" w:firstLine="0"/>
        <w:rPr>
          <w:rFonts w:ascii="楷体"/>
          <w:sz w:val="8"/>
        </w:rPr>
      </w:pPr>
      <w:r>
        <w:rPr/>
        <w:drawing>
          <wp:anchor distT="0" distB="0" distL="0" distR="0" allowOverlap="1" layoutInCell="1" locked="0" behindDoc="0" simplePos="0" relativeHeight="5">
            <wp:simplePos x="0" y="0"/>
            <wp:positionH relativeFrom="page">
              <wp:posOffset>995680</wp:posOffset>
            </wp:positionH>
            <wp:positionV relativeFrom="paragraph">
              <wp:posOffset>95694</wp:posOffset>
            </wp:positionV>
            <wp:extent cx="5814239" cy="3799141"/>
            <wp:effectExtent l="0" t="0" r="0" b="0"/>
            <wp:wrapTopAndBottom/>
            <wp:docPr id="5" name="image5.jpeg" descr="E:\组织联络部\信息网快讯\2019年快讯\16-4微信图片_20191113171013.jpg"/>
            <wp:cNvGraphicFramePr>
              <a:graphicFrameLocks noChangeAspect="1"/>
            </wp:cNvGraphicFramePr>
            <a:graphic>
              <a:graphicData uri="http://schemas.openxmlformats.org/drawingml/2006/picture">
                <pic:pic>
                  <pic:nvPicPr>
                    <pic:cNvPr id="6" name="image5.jpeg"/>
                    <pic:cNvPicPr/>
                  </pic:nvPicPr>
                  <pic:blipFill>
                    <a:blip r:embed="rId20" cstate="print"/>
                    <a:stretch>
                      <a:fillRect/>
                    </a:stretch>
                  </pic:blipFill>
                  <pic:spPr>
                    <a:xfrm>
                      <a:off x="0" y="0"/>
                      <a:ext cx="5814239" cy="3799141"/>
                    </a:xfrm>
                    <a:prstGeom prst="rect">
                      <a:avLst/>
                    </a:prstGeom>
                  </pic:spPr>
                </pic:pic>
              </a:graphicData>
            </a:graphic>
          </wp:anchor>
        </w:drawing>
      </w:r>
    </w:p>
    <w:p>
      <w:pPr>
        <w:pStyle w:val="BodyText"/>
        <w:spacing w:line="297" w:lineRule="auto" w:before="74"/>
        <w:ind w:right="126"/>
      </w:pPr>
      <w:r>
        <w:rPr/>
        <w:t>抗生素耐药性分析显示（</w:t>
      </w:r>
      <w:r>
        <w:rPr>
          <w:spacing w:val="-30"/>
        </w:rPr>
        <w:t>表 </w:t>
      </w:r>
      <w:r>
        <w:rPr/>
        <w:t>3），</w:t>
      </w:r>
      <w:r>
        <w:rPr>
          <w:spacing w:val="-5"/>
        </w:rPr>
        <w:t>研究总体耐药率为：克拉霉素 </w:t>
      </w:r>
      <w:r>
        <w:rPr/>
        <w:t>29.7%</w:t>
      </w:r>
      <w:r>
        <w:rPr>
          <w:spacing w:val="-10"/>
        </w:rPr>
        <w:t>、阿莫西林 </w:t>
      </w:r>
      <w:r>
        <w:rPr/>
        <w:t>0、</w:t>
      </w:r>
      <w:r>
        <w:rPr>
          <w:spacing w:val="-11"/>
        </w:rPr>
        <w:t>左氧氟沙星 </w:t>
      </w:r>
      <w:r>
        <w:rPr/>
        <w:t>39.7%</w:t>
      </w:r>
      <w:r>
        <w:rPr>
          <w:spacing w:val="-10"/>
        </w:rPr>
        <w:t>、呋喃唑酮 </w:t>
      </w:r>
      <w:r>
        <w:rPr/>
        <w:t>0</w:t>
      </w:r>
      <w:r>
        <w:rPr>
          <w:spacing w:val="-12"/>
        </w:rPr>
        <w:t>、四环素 </w:t>
      </w:r>
      <w:r>
        <w:rPr/>
        <w:t>0</w:t>
      </w:r>
      <w:r>
        <w:rPr>
          <w:spacing w:val="-12"/>
        </w:rPr>
        <w:t>、甲硝唑 </w:t>
      </w:r>
      <w:r>
        <w:rPr/>
        <w:t>96.6%</w:t>
      </w:r>
      <w:r>
        <w:rPr>
          <w:spacing w:val="-2"/>
        </w:rPr>
        <w:t>。改良二联治疗组克拉霉素耐药、</w:t>
      </w:r>
      <w:r>
        <w:rPr/>
        <w:t>克拉霉素/</w:t>
      </w:r>
      <w:r>
        <w:rPr>
          <w:spacing w:val="-7"/>
        </w:rPr>
        <w:t>甲硝唑双重耐药、克拉霉素</w:t>
      </w:r>
      <w:r>
        <w:rPr/>
        <w:t>/</w:t>
      </w:r>
      <w:r>
        <w:rPr>
          <w:spacing w:val="-6"/>
        </w:rPr>
        <w:t>左氧氟沙星双重耐药、克拉霉素</w:t>
      </w:r>
      <w:r>
        <w:rPr/>
        <w:t>/甲硝唑/左氧氟沙星</w:t>
      </w:r>
      <w:r>
        <w:rPr>
          <w:spacing w:val="-6"/>
        </w:rPr>
        <w:t>三重耐药率均较含铋剂四联方案显著更高。不过，研究未观察到抗生素耐药率的差异对两组Hp</w:t>
      </w:r>
      <w:r>
        <w:rPr>
          <w:spacing w:val="-8"/>
        </w:rPr>
        <w:t> 根除率产生影响。</w:t>
      </w:r>
    </w:p>
    <w:p>
      <w:pPr>
        <w:spacing w:after="0" w:line="297" w:lineRule="auto"/>
        <w:sectPr>
          <w:headerReference w:type="default" r:id="rId17"/>
          <w:footerReference w:type="default" r:id="rId18"/>
          <w:pgSz w:w="11910" w:h="16850"/>
          <w:pgMar w:header="0" w:footer="607" w:top="1060" w:bottom="800" w:left="1140" w:right="900"/>
          <w:pgNumType w:start="21"/>
        </w:sectPr>
      </w:pPr>
    </w:p>
    <w:p>
      <w:pPr>
        <w:pStyle w:val="BodyText"/>
        <w:spacing w:before="11"/>
        <w:ind w:left="0" w:firstLine="0"/>
        <w:rPr>
          <w:sz w:val="11"/>
        </w:rPr>
      </w:pPr>
    </w:p>
    <w:p>
      <w:pPr>
        <w:pStyle w:val="BodyText"/>
        <w:ind w:left="289" w:firstLine="0"/>
        <w:rPr>
          <w:sz w:val="20"/>
        </w:rPr>
      </w:pPr>
      <w:r>
        <w:rPr>
          <w:sz w:val="20"/>
        </w:rPr>
        <w:drawing>
          <wp:inline distT="0" distB="0" distL="0" distR="0">
            <wp:extent cx="4017047" cy="4076700"/>
            <wp:effectExtent l="0" t="0" r="0" b="0"/>
            <wp:docPr id="7" name="image6.jpeg" descr="E:\组织联络部\信息网快讯\2019年快讯\16-5微信图片_20191113171133.jpg"/>
            <wp:cNvGraphicFramePr>
              <a:graphicFrameLocks noChangeAspect="1"/>
            </wp:cNvGraphicFramePr>
            <a:graphic>
              <a:graphicData uri="http://schemas.openxmlformats.org/drawingml/2006/picture">
                <pic:pic>
                  <pic:nvPicPr>
                    <pic:cNvPr id="8" name="image6.jpeg"/>
                    <pic:cNvPicPr/>
                  </pic:nvPicPr>
                  <pic:blipFill>
                    <a:blip r:embed="rId23" cstate="print"/>
                    <a:stretch>
                      <a:fillRect/>
                    </a:stretch>
                  </pic:blipFill>
                  <pic:spPr>
                    <a:xfrm>
                      <a:off x="0" y="0"/>
                      <a:ext cx="4017047" cy="4076700"/>
                    </a:xfrm>
                    <a:prstGeom prst="rect">
                      <a:avLst/>
                    </a:prstGeom>
                  </pic:spPr>
                </pic:pic>
              </a:graphicData>
            </a:graphic>
          </wp:inline>
        </w:drawing>
      </w:r>
      <w:r>
        <w:rPr>
          <w:sz w:val="20"/>
        </w:rPr>
      </w:r>
    </w:p>
    <w:p>
      <w:pPr>
        <w:pStyle w:val="BodyText"/>
        <w:spacing w:before="11"/>
        <w:ind w:left="0" w:firstLine="0"/>
      </w:pPr>
    </w:p>
    <w:p>
      <w:pPr>
        <w:spacing w:before="75"/>
        <w:ind w:left="497" w:right="0" w:firstLine="0"/>
        <w:jc w:val="left"/>
        <w:rPr>
          <w:rFonts w:ascii="楷体" w:eastAsia="楷体" w:hint="eastAsia"/>
          <w:sz w:val="18"/>
        </w:rPr>
      </w:pPr>
      <w:r>
        <w:rPr>
          <w:rFonts w:ascii="楷体" w:eastAsia="楷体" w:hint="eastAsia"/>
          <w:sz w:val="18"/>
        </w:rPr>
        <w:t>表 3 抗生素耐药率分析</w:t>
      </w:r>
    </w:p>
    <w:p>
      <w:pPr>
        <w:pStyle w:val="BodyText"/>
        <w:spacing w:line="297" w:lineRule="auto" w:before="88"/>
        <w:ind w:right="105"/>
      </w:pPr>
      <w:r>
        <w:rPr>
          <w:spacing w:val="-11"/>
        </w:rPr>
        <w:t>研究中观察到的不良反应主要包括恶心、腹泻、头晕、味觉改变、皮疹、黑舌、黑便等。</w:t>
      </w:r>
      <w:r>
        <w:rPr>
          <w:spacing w:val="-8"/>
        </w:rPr>
        <w:t>不良反应发生时间很短，治疗结束后消失。分析表明，改良二联治疗组的不良反应发生率较</w:t>
      </w:r>
      <w:r>
        <w:rPr>
          <w:spacing w:val="-14"/>
        </w:rPr>
        <w:t>含铋剂四联治疗组显著较低</w:t>
      </w:r>
      <w:r>
        <w:rPr/>
        <w:t>（6.3%</w:t>
      </w:r>
      <w:r>
        <w:rPr>
          <w:spacing w:val="-30"/>
        </w:rPr>
        <w:t>对 </w:t>
      </w:r>
      <w:r>
        <w:rPr>
          <w:spacing w:val="-14"/>
        </w:rPr>
        <w:t>22.8%，P＜0.001）；</w:t>
      </w:r>
      <w:r>
        <w:rPr>
          <w:spacing w:val="-13"/>
        </w:rPr>
        <w:t>特别是，后者的味觉改变为 </w:t>
      </w:r>
      <w:r>
        <w:rPr/>
        <w:t>12.3%， </w:t>
      </w:r>
      <w:r>
        <w:rPr>
          <w:spacing w:val="-7"/>
        </w:rPr>
        <w:t>而改良二联治疗为 </w:t>
      </w:r>
      <w:r>
        <w:rPr/>
        <w:t>0</w:t>
      </w:r>
      <w:r>
        <w:rPr>
          <w:spacing w:val="-10"/>
        </w:rPr>
        <w:t>。含铋剂四联治疗组有 </w:t>
      </w:r>
      <w:r>
        <w:rPr/>
        <w:t>2</w:t>
      </w:r>
      <w:r>
        <w:rPr>
          <w:spacing w:val="-9"/>
        </w:rPr>
        <w:t> 例患者因严重皮疹和味觉改变退出治疗，而改良二联治疗组无人退出研究。</w:t>
      </w:r>
    </w:p>
    <w:p>
      <w:pPr>
        <w:pStyle w:val="BodyText"/>
        <w:spacing w:line="297" w:lineRule="auto"/>
        <w:ind w:right="227"/>
      </w:pPr>
      <w:r>
        <w:rPr>
          <w:spacing w:val="-12"/>
        </w:rPr>
        <w:t>此外，治疗费用分析显示，改良二联治疗组治疗费用为 </w:t>
      </w:r>
      <w:r>
        <w:rPr/>
        <w:t>113.6</w:t>
      </w:r>
      <w:r>
        <w:rPr>
          <w:spacing w:val="-12"/>
        </w:rPr>
        <w:t> 美元，较含铋剂四联治疗</w:t>
      </w:r>
      <w:r>
        <w:rPr/>
        <w:t>组（130.1</w:t>
      </w:r>
      <w:r>
        <w:rPr>
          <w:spacing w:val="-21"/>
        </w:rPr>
        <w:t> 美元</w:t>
      </w:r>
      <w:r>
        <w:rPr/>
        <w:t>）花费更少。</w:t>
      </w:r>
    </w:p>
    <w:p>
      <w:pPr>
        <w:pStyle w:val="Heading3"/>
        <w:spacing w:line="304" w:lineRule="exact"/>
      </w:pPr>
      <w:r>
        <w:rPr/>
        <w:t>研究解析</w:t>
      </w:r>
    </w:p>
    <w:p>
      <w:pPr>
        <w:pStyle w:val="BodyText"/>
        <w:spacing w:line="295" w:lineRule="auto" w:before="69"/>
        <w:ind w:right="230"/>
        <w:jc w:val="both"/>
      </w:pPr>
      <w:r>
        <w:rPr>
          <w:spacing w:val="-8"/>
        </w:rPr>
        <w:t>兰春慧副教授等进行的这项开放标签、随机对照临床试验是在中国大陆患者中进行的第</w:t>
      </w:r>
      <w:r>
        <w:rPr>
          <w:spacing w:val="-13"/>
        </w:rPr>
        <w:t>一项比较 </w:t>
      </w:r>
      <w:r>
        <w:rPr/>
        <w:t>14</w:t>
      </w:r>
      <w:r>
        <w:rPr>
          <w:spacing w:val="-8"/>
        </w:rPr>
        <w:t> 天改良二联治疗与含铋剂四联治疗疗效、不良反应、患者依从性和治疗费用的研究。</w:t>
      </w:r>
    </w:p>
    <w:p>
      <w:pPr>
        <w:pStyle w:val="BodyText"/>
        <w:spacing w:line="295" w:lineRule="auto" w:before="5"/>
        <w:ind w:right="228"/>
        <w:jc w:val="both"/>
      </w:pPr>
      <w:r>
        <w:rPr>
          <w:spacing w:val="-2"/>
        </w:rPr>
        <w:t>该研究的主要发现为：①改良二联治疗与一线含铋剂四联治疗在治疗中国患者 </w:t>
      </w:r>
      <w:r>
        <w:rPr/>
        <w:t>Hp</w:t>
      </w:r>
      <w:r>
        <w:rPr>
          <w:spacing w:val="-20"/>
        </w:rPr>
        <w:t> 感染</w:t>
      </w:r>
      <w:r>
        <w:rPr>
          <w:spacing w:val="-17"/>
        </w:rPr>
        <w:t>方面疗效相当；②两种方案的患者依从性相似；③改良二联治疗的总体不良反应较含铋剂四</w:t>
      </w:r>
      <w:r>
        <w:rPr/>
        <w:t>联方案显著较少；④改良二联治疗的治疗费用较含铋剂四联方案显著较低。</w:t>
      </w:r>
    </w:p>
    <w:p>
      <w:pPr>
        <w:pStyle w:val="BodyText"/>
        <w:spacing w:line="297" w:lineRule="auto" w:before="6"/>
        <w:ind w:right="228"/>
      </w:pPr>
      <w:r>
        <w:rPr>
          <w:spacing w:val="-11"/>
        </w:rPr>
        <w:t>研究中，改良二联治疗的药物剂量和用药频率更高，从而达到了相对于既往二联方案更</w:t>
      </w:r>
      <w:r>
        <w:rPr>
          <w:spacing w:val="-20"/>
        </w:rPr>
        <w:t>高的 </w:t>
      </w:r>
      <w:r>
        <w:rPr/>
        <w:t>Hp</w:t>
      </w:r>
      <w:r>
        <w:rPr>
          <w:spacing w:val="-15"/>
        </w:rPr>
        <w:t> 根除率。其原因在于，目前已明确 </w:t>
      </w:r>
      <w:r>
        <w:rPr/>
        <w:t>Hp</w:t>
      </w:r>
      <w:r>
        <w:rPr>
          <w:spacing w:val="-40"/>
        </w:rPr>
        <w:t> 在 </w:t>
      </w:r>
      <w:r>
        <w:rPr/>
        <w:t>pH＞6</w:t>
      </w:r>
      <w:r>
        <w:rPr>
          <w:spacing w:val="-11"/>
        </w:rPr>
        <w:t> 时进入复制期，此时病原体对阿莫西</w:t>
      </w:r>
      <w:r>
        <w:rPr/>
        <w:t>林敏感性较高，PPI</w:t>
      </w:r>
      <w:r>
        <w:rPr>
          <w:spacing w:val="-11"/>
        </w:rPr>
        <w:t> 对胃酸分泌的充分和持续抑制有助于成功的 </w:t>
      </w:r>
      <w:r>
        <w:rPr/>
        <w:t>Hp</w:t>
      </w:r>
      <w:r>
        <w:rPr>
          <w:spacing w:val="-8"/>
        </w:rPr>
        <w:t> 根除；其次，阿莫西林</w:t>
      </w:r>
      <w:r>
        <w:rPr>
          <w:spacing w:val="-22"/>
        </w:rPr>
        <w:t>是一种 </w:t>
      </w:r>
      <w:r>
        <w:rPr/>
        <w:t>pH</w:t>
      </w:r>
      <w:r>
        <w:rPr>
          <w:spacing w:val="-15"/>
        </w:rPr>
        <w:t> 依赖性抗生素，随 </w:t>
      </w:r>
      <w:r>
        <w:rPr/>
        <w:t>pH</w:t>
      </w:r>
      <w:r>
        <w:rPr>
          <w:spacing w:val="-13"/>
        </w:rPr>
        <w:t> 的升高，阿莫西林更稳定、最低抑菌浓度更低；此外，阿莫</w:t>
      </w:r>
    </w:p>
    <w:p>
      <w:pPr>
        <w:spacing w:after="0" w:line="297" w:lineRule="auto"/>
        <w:sectPr>
          <w:headerReference w:type="default" r:id="rId21"/>
          <w:footerReference w:type="default" r:id="rId22"/>
          <w:pgSz w:w="11910" w:h="16850"/>
          <w:pgMar w:header="906" w:footer="607" w:top="1100" w:bottom="800" w:left="1140" w:right="900"/>
          <w:pgNumType w:start="22"/>
        </w:sectPr>
      </w:pPr>
    </w:p>
    <w:p>
      <w:pPr>
        <w:pStyle w:val="BodyText"/>
        <w:spacing w:line="295" w:lineRule="auto" w:before="65"/>
        <w:ind w:right="230" w:firstLine="0"/>
      </w:pPr>
      <w:r>
        <w:rPr>
          <w:spacing w:val="-7"/>
        </w:rPr>
        <w:t>西林的作用也是时间依赖性的，其快速吸收、快速入血并在相对较短的时间经尿路排泄。因</w:t>
      </w:r>
      <w:r>
        <w:rPr>
          <w:spacing w:val="-4"/>
        </w:rPr>
        <w:t>此，更高的剂量和更高的服药频率改善了 </w:t>
      </w:r>
      <w:r>
        <w:rPr/>
        <w:t>Hp</w:t>
      </w:r>
      <w:r>
        <w:rPr>
          <w:spacing w:val="-12"/>
        </w:rPr>
        <w:t> 根除率。</w:t>
      </w:r>
    </w:p>
    <w:p>
      <w:pPr>
        <w:pStyle w:val="BodyText"/>
        <w:spacing w:line="297" w:lineRule="auto" w:before="2"/>
        <w:ind w:right="228"/>
      </w:pPr>
      <w:r>
        <w:rPr>
          <w:spacing w:val="-11"/>
        </w:rPr>
        <w:t>研究还表明，改良二联治疗减弱了 </w:t>
      </w:r>
      <w:r>
        <w:rPr/>
        <w:t>CYP2C19</w:t>
      </w:r>
      <w:r>
        <w:rPr>
          <w:spacing w:val="-40"/>
        </w:rPr>
        <w:t> 和 </w:t>
      </w:r>
      <w:r>
        <w:rPr/>
        <w:t>IL-1B-511</w:t>
      </w:r>
      <w:r>
        <w:rPr>
          <w:spacing w:val="-13"/>
        </w:rPr>
        <w:t> 基因型对治疗转归的影响。同</w:t>
      </w:r>
      <w:r>
        <w:rPr/>
        <w:t>时，与含铋剂四联方案相比，高剂量二联治疗组的不良反应和治疗费用均较低。</w:t>
      </w:r>
    </w:p>
    <w:p>
      <w:pPr>
        <w:pStyle w:val="BodyText"/>
        <w:spacing w:line="297" w:lineRule="auto"/>
        <w:ind w:right="106"/>
      </w:pPr>
      <w:r>
        <w:rPr>
          <w:spacing w:val="-19"/>
        </w:rPr>
        <w:t>近期，我国台湾研究者 </w:t>
      </w:r>
      <w:r>
        <w:rPr/>
        <w:t>Wei-Chen</w:t>
      </w:r>
      <w:r>
        <w:rPr>
          <w:spacing w:val="-60"/>
        </w:rPr>
        <w:t> </w:t>
      </w:r>
      <w:r>
        <w:rPr/>
        <w:t>Tai</w:t>
      </w:r>
      <w:r>
        <w:rPr>
          <w:spacing w:val="-86"/>
        </w:rPr>
        <w:t> 等</w:t>
      </w:r>
      <w:r>
        <w:rPr/>
        <w:t>（</w:t>
      </w:r>
      <w:r>
        <w:rPr>
          <w:spacing w:val="-9"/>
        </w:rPr>
        <w:t>艾司奥美拉唑 </w:t>
      </w:r>
      <w:r>
        <w:rPr/>
        <w:t>40</w:t>
      </w:r>
      <w:r>
        <w:rPr>
          <w:spacing w:val="-60"/>
        </w:rPr>
        <w:t> </w:t>
      </w:r>
      <w:r>
        <w:rPr/>
        <w:t>mg</w:t>
      </w:r>
      <w:r>
        <w:rPr>
          <w:spacing w:val="-60"/>
        </w:rPr>
        <w:t> </w:t>
      </w:r>
      <w:r>
        <w:rPr/>
        <w:t>tid</w:t>
      </w:r>
      <w:r>
        <w:rPr>
          <w:spacing w:val="-17"/>
        </w:rPr>
        <w:t> +阿莫西林 </w:t>
      </w:r>
      <w:r>
        <w:rPr/>
        <w:t>750</w:t>
      </w:r>
      <w:r>
        <w:rPr>
          <w:spacing w:val="-60"/>
        </w:rPr>
        <w:t> </w:t>
      </w:r>
      <w:r>
        <w:rPr/>
        <w:t>mg</w:t>
      </w:r>
      <w:r>
        <w:rPr>
          <w:spacing w:val="-60"/>
        </w:rPr>
        <w:t> </w:t>
      </w:r>
      <w:r>
        <w:rPr>
          <w:spacing w:val="-4"/>
        </w:rPr>
        <w:t>qid） </w:t>
      </w:r>
      <w:r>
        <w:rPr>
          <w:spacing w:val="-5"/>
        </w:rPr>
        <w:t>也发表了高剂量二联方案治疗 </w:t>
      </w:r>
      <w:r>
        <w:rPr/>
        <w:t>Hp</w:t>
      </w:r>
      <w:r>
        <w:rPr>
          <w:spacing w:val="-13"/>
        </w:rPr>
        <w:t> 感染的研究结果，初治 </w:t>
      </w:r>
      <w:r>
        <w:rPr/>
        <w:t>Hp</w:t>
      </w:r>
      <w:r>
        <w:rPr>
          <w:spacing w:val="-40"/>
        </w:rPr>
        <w:t> 的 </w:t>
      </w:r>
      <w:r>
        <w:rPr/>
        <w:t>ITT</w:t>
      </w:r>
      <w:r>
        <w:rPr>
          <w:spacing w:val="-40"/>
        </w:rPr>
        <w:t> 和 </w:t>
      </w:r>
      <w:r>
        <w:rPr/>
        <w:t>PP</w:t>
      </w:r>
      <w:r>
        <w:rPr>
          <w:spacing w:val="-8"/>
        </w:rPr>
        <w:t> 根除率也分别高达91.7%</w:t>
      </w:r>
      <w:r>
        <w:rPr>
          <w:spacing w:val="-35"/>
        </w:rPr>
        <w:t>和 </w:t>
      </w:r>
      <w:r>
        <w:rPr/>
        <w:t>95.7%。</w:t>
      </w:r>
    </w:p>
    <w:p>
      <w:pPr>
        <w:pStyle w:val="BodyText"/>
        <w:spacing w:line="278" w:lineRule="auto"/>
        <w:ind w:right="227"/>
        <w:jc w:val="both"/>
        <w:rPr>
          <w:rFonts w:ascii="Meiryo" w:eastAsia="Meiryo" w:hint="eastAsia"/>
          <w:b/>
        </w:rPr>
      </w:pPr>
      <w:r>
        <w:rPr>
          <w:spacing w:val="-10"/>
        </w:rPr>
        <w:t>这些研究一致证实，在中国初治患者中，高剂量和高用药频率的改良二联治疗在达到与</w:t>
      </w:r>
      <w:r>
        <w:rPr>
          <w:spacing w:val="-2"/>
        </w:rPr>
        <w:t>一线四联治疗同等疗效的同时，花费更少、不良反应更少，可成为中国 </w:t>
      </w:r>
      <w:r>
        <w:rPr/>
        <w:t>Hp</w:t>
      </w:r>
      <w:r>
        <w:rPr>
          <w:spacing w:val="-8"/>
        </w:rPr>
        <w:t> 感染患者一线治疗的可选方案。</w:t>
      </w:r>
      <w:r>
        <w:rPr>
          <w:rFonts w:ascii="Meiryo" w:eastAsia="Meiryo" w:hint="eastAsia"/>
          <w:b/>
          <w:color w:val="0033CC"/>
          <w:spacing w:val="-8"/>
        </w:rPr>
        <w:t>[返回目次]</w:t>
      </w:r>
    </w:p>
    <w:p>
      <w:pPr>
        <w:spacing w:after="0" w:line="278" w:lineRule="auto"/>
        <w:jc w:val="both"/>
        <w:rPr>
          <w:rFonts w:ascii="Meiryo" w:eastAsia="Meiryo" w:hint="eastAsia"/>
        </w:rPr>
        <w:sectPr>
          <w:pgSz w:w="11910" w:h="16850"/>
          <w:pgMar w:header="906" w:footer="607" w:top="1100" w:bottom="800" w:left="1140" w:right="900"/>
        </w:sectPr>
      </w:pPr>
    </w:p>
    <w:p>
      <w:pPr>
        <w:pStyle w:val="Heading2"/>
        <w:spacing w:before="113"/>
        <w:ind w:left="3118"/>
      </w:pPr>
      <w:bookmarkStart w:name="_TOC_250016" w:id="11"/>
      <w:bookmarkEnd w:id="11"/>
      <w:r>
        <w:rPr>
          <w:spacing w:val="-2"/>
        </w:rPr>
        <w:t>科研思路从临床实践中来</w:t>
      </w:r>
    </w:p>
    <w:p>
      <w:pPr>
        <w:pStyle w:val="BodyText"/>
        <w:ind w:left="0" w:firstLine="0"/>
        <w:rPr>
          <w:b/>
        </w:rPr>
      </w:pPr>
      <w:r>
        <w:rPr/>
        <w:br w:type="column"/>
      </w:r>
      <w:r>
        <w:rPr>
          <w:b/>
        </w:rPr>
      </w:r>
    </w:p>
    <w:p>
      <w:pPr>
        <w:pStyle w:val="BodyText"/>
        <w:spacing w:before="2"/>
        <w:ind w:left="0" w:firstLine="0"/>
        <w:rPr>
          <w:b/>
          <w:sz w:val="28"/>
        </w:rPr>
      </w:pPr>
    </w:p>
    <w:p>
      <w:pPr>
        <w:pStyle w:val="Heading3"/>
        <w:ind w:left="1017"/>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140" w:right="900"/>
          <w:cols w:num="2" w:equalWidth="0">
            <w:col w:w="6650" w:space="40"/>
            <w:col w:w="3180"/>
          </w:cols>
        </w:sectPr>
      </w:pPr>
    </w:p>
    <w:p>
      <w:pPr>
        <w:pStyle w:val="BodyText"/>
        <w:spacing w:line="302" w:lineRule="auto" w:before="101"/>
        <w:ind w:right="230"/>
      </w:pPr>
      <w:r>
        <w:rPr>
          <w:spacing w:val="-7"/>
        </w:rPr>
        <w:t>科研一直是萦绕在多数临床药师心头的“噩梦”，不知道从何做起，也不知道如何找到</w:t>
      </w:r>
      <w:r>
        <w:rPr/>
        <w:t>科研的切入点。临床药师的科研思路来源，无非是来自文献或实践两个方面。</w:t>
      </w:r>
    </w:p>
    <w:p>
      <w:pPr>
        <w:pStyle w:val="BodyText"/>
        <w:spacing w:line="302" w:lineRule="auto"/>
        <w:ind w:right="226"/>
      </w:pPr>
      <w:r>
        <w:rPr>
          <w:spacing w:val="-10"/>
        </w:rPr>
        <w:t>从文献出发，即先阅读大量科研论文，弄清目前的研究现状和要解决的问题，从中发现</w:t>
      </w:r>
      <w:r>
        <w:rPr/>
        <w:t>切入点，细致地拟订方案，论证可行性。比如一些循证医学研究、药物经济学研究等。</w:t>
      </w:r>
    </w:p>
    <w:p>
      <w:pPr>
        <w:pStyle w:val="BodyText"/>
        <w:spacing w:line="302" w:lineRule="auto"/>
        <w:ind w:right="230"/>
        <w:jc w:val="both"/>
      </w:pPr>
      <w:r>
        <w:rPr>
          <w:spacing w:val="-7"/>
        </w:rPr>
        <w:t>实践则是药师科研思路重要的来源。药师在临床、实验工作中遇到问题、产生想法，通</w:t>
      </w:r>
      <w:r>
        <w:rPr>
          <w:spacing w:val="-11"/>
        </w:rPr>
        <w:t>过查阅文献，确定研究思路，从问题出发，不会让以往的研究限制思维，不失为一个很好的</w:t>
      </w:r>
      <w:r>
        <w:rPr/>
        <w:t>方法。</w:t>
      </w:r>
    </w:p>
    <w:p>
      <w:pPr>
        <w:spacing w:line="300" w:lineRule="auto" w:before="0"/>
        <w:ind w:left="619" w:right="847" w:hanging="3"/>
        <w:jc w:val="left"/>
        <w:rPr>
          <w:b/>
          <w:sz w:val="24"/>
        </w:rPr>
      </w:pPr>
      <w:r>
        <w:rPr>
          <w:sz w:val="24"/>
        </w:rPr>
        <w:t>下面，笔者想通过几个实践案例和大家分享如何才能立足临床来获取科研思路。</w:t>
      </w:r>
      <w:r>
        <w:rPr>
          <w:b/>
          <w:sz w:val="24"/>
        </w:rPr>
        <w:t>初尝科研的“甜头”</w:t>
      </w:r>
    </w:p>
    <w:p>
      <w:pPr>
        <w:pStyle w:val="BodyText"/>
        <w:spacing w:line="302" w:lineRule="auto"/>
        <w:ind w:right="227"/>
      </w:pPr>
      <w:r>
        <w:rPr>
          <w:spacing w:val="-9"/>
        </w:rPr>
        <w:t>整形外科、手外科常有进行皮瓣移植的患者发生皮瓣远端坏死。坏死原因是多样的，如</w:t>
      </w:r>
      <w:r>
        <w:rPr/>
        <w:t>缺血再灌注损伤、炎症、细胞凋亡、血管生长因子水平等。</w:t>
      </w:r>
    </w:p>
    <w:p>
      <w:pPr>
        <w:pStyle w:val="BodyText"/>
        <w:spacing w:line="300" w:lineRule="auto"/>
        <w:ind w:right="227"/>
        <w:jc w:val="both"/>
      </w:pPr>
      <w:r>
        <w:rPr>
          <w:spacing w:val="-6"/>
        </w:rPr>
        <w:t>笔者与导师林丁盛博士团队一起进行了这方面的研究，从病理机制入手，筛选对应药理</w:t>
      </w:r>
      <w:r>
        <w:rPr>
          <w:spacing w:val="-10"/>
        </w:rPr>
        <w:t>机制的药物，以提高皮瓣存活率。在这个领域，笔者一共发表了 </w:t>
      </w:r>
      <w:r>
        <w:rPr/>
        <w:t>4</w:t>
      </w:r>
      <w:r>
        <w:rPr>
          <w:spacing w:val="-40"/>
        </w:rPr>
        <w:t> 篇 </w:t>
      </w:r>
      <w:r>
        <w:rPr/>
        <w:t>SCI</w:t>
      </w:r>
      <w:r>
        <w:rPr>
          <w:spacing w:val="-11"/>
        </w:rPr>
        <w:t> 论文，并申报了一</w:t>
      </w:r>
      <w:r>
        <w:rPr>
          <w:spacing w:val="-15"/>
        </w:rPr>
        <w:t>项国家发明专利。因为做科研，在读大学本科的我有幸在导师指导下，走出国门，参加了第十届亚太手外科学年会，并在大会上作发言交流。</w:t>
      </w:r>
    </w:p>
    <w:p>
      <w:pPr>
        <w:pStyle w:val="BodyText"/>
        <w:spacing w:line="302" w:lineRule="auto"/>
        <w:ind w:right="227"/>
        <w:jc w:val="both"/>
      </w:pPr>
      <w:r>
        <w:rPr>
          <w:spacing w:val="-10"/>
        </w:rPr>
        <w:t>毕业后，我进入浙医二院长兴院区药学部工作，做了一名抗感染专业临床药师。有了先</w:t>
      </w:r>
      <w:r>
        <w:rPr>
          <w:spacing w:val="-8"/>
        </w:rPr>
        <w:t>前初尝甜头的科研经历，工作后，我没有停下探索的脚步，在医院我又开始做科研了，这次</w:t>
      </w:r>
      <w:r>
        <w:rPr/>
        <w:t>是更贴近临床的科研。</w:t>
      </w:r>
    </w:p>
    <w:p>
      <w:pPr>
        <w:pStyle w:val="BodyText"/>
        <w:spacing w:line="302" w:lineRule="auto"/>
        <w:ind w:right="110"/>
        <w:jc w:val="both"/>
      </w:pPr>
      <w:r>
        <w:rPr/>
        <w:t>2016</w:t>
      </w:r>
      <w:r>
        <w:rPr>
          <w:spacing w:val="-12"/>
        </w:rPr>
        <w:t> 年底，我们接收了一名肺隐球菌病的患者。这位患者并没有明显的免疫功能低下， </w:t>
      </w:r>
      <w:r>
        <w:rPr/>
        <w:t>那隐球菌又是从何而来的呢？</w:t>
      </w:r>
    </w:p>
    <w:p>
      <w:pPr>
        <w:pStyle w:val="BodyText"/>
        <w:spacing w:line="302" w:lineRule="auto"/>
        <w:ind w:right="127"/>
      </w:pPr>
      <w:r>
        <w:rPr>
          <w:spacing w:val="-9"/>
        </w:rPr>
        <w:t>于是我和感染 </w:t>
      </w:r>
      <w:r>
        <w:rPr/>
        <w:t>MDT</w:t>
      </w:r>
      <w:r>
        <w:rPr>
          <w:spacing w:val="-13"/>
        </w:rPr>
        <w:t> 团队中的临床医生、微生物医生、放射科医生一起到患者家进行“家</w:t>
      </w:r>
      <w:r>
        <w:rPr>
          <w:spacing w:val="-14"/>
        </w:rPr>
        <w:t>访”，经过几天的实地调研，发现患者家附近有人养鸽子，而鸽子正是隐球菌的天然宿主。</w:t>
      </w:r>
      <w:r>
        <w:rPr/>
        <w:t>我们费尽周折取到了鸽子粪便样本，带回实验室进行分离。</w:t>
      </w:r>
    </w:p>
    <w:p>
      <w:pPr>
        <w:pStyle w:val="BodyText"/>
        <w:spacing w:line="302" w:lineRule="auto"/>
        <w:ind w:right="227"/>
      </w:pPr>
      <w:r>
        <w:rPr>
          <w:spacing w:val="-6"/>
        </w:rPr>
        <w:t>一开始选用常规真菌培养基无法筛选出隐球菌。我们通过翻阅文献，试着改良筛选培养</w:t>
      </w:r>
      <w:r>
        <w:rPr>
          <w:spacing w:val="-10"/>
        </w:rPr>
        <w:t>基。经过上百次不断重复实验，终于从样本中分离出了隐球菌。将分离的隐球菌与患者体内</w:t>
      </w:r>
    </w:p>
    <w:p>
      <w:pPr>
        <w:spacing w:after="0" w:line="302" w:lineRule="auto"/>
        <w:sectPr>
          <w:type w:val="continuous"/>
          <w:pgSz w:w="11910" w:h="16850"/>
          <w:pgMar w:top="1100" w:bottom="1020" w:left="1140" w:right="900"/>
        </w:sectPr>
      </w:pPr>
    </w:p>
    <w:p>
      <w:pPr>
        <w:pStyle w:val="BodyText"/>
        <w:spacing w:line="300" w:lineRule="auto" w:before="67"/>
        <w:ind w:right="110" w:firstLine="0"/>
      </w:pPr>
      <w:r>
        <w:rPr>
          <w:spacing w:val="-12"/>
        </w:rPr>
        <w:t>分离的隐球菌进行测序对比，证实了两者的一致性，就这样为患者找到了感染的源头，同时， </w:t>
      </w:r>
      <w:r>
        <w:rPr>
          <w:spacing w:val="-7"/>
        </w:rPr>
        <w:t>也完成了一篇肺隐球菌病的病例报道。既为患者寻得了准确的病因，又为感染 </w:t>
      </w:r>
      <w:r>
        <w:rPr/>
        <w:t>MDT</w:t>
      </w:r>
      <w:r>
        <w:rPr>
          <w:spacing w:val="-12"/>
        </w:rPr>
        <w:t> 团队研究真菌机会性感染奠定了基础。</w:t>
      </w:r>
    </w:p>
    <w:p>
      <w:pPr>
        <w:pStyle w:val="Heading3"/>
        <w:spacing w:before="4"/>
      </w:pPr>
      <w:r>
        <w:rPr/>
        <w:t>从临床出发收获更多</w:t>
      </w:r>
    </w:p>
    <w:p>
      <w:pPr>
        <w:pStyle w:val="BodyText"/>
        <w:spacing w:line="302" w:lineRule="auto" w:before="79"/>
        <w:ind w:right="240"/>
      </w:pPr>
      <w:r>
        <w:rPr/>
        <w:t>因为一直在 EICU（急诊重症监护室）从事临床药学工作，我对重症感染患者一直很关注。</w:t>
      </w:r>
    </w:p>
    <w:p>
      <w:pPr>
        <w:pStyle w:val="BodyText"/>
        <w:spacing w:line="300" w:lineRule="auto"/>
        <w:ind w:right="227"/>
      </w:pPr>
      <w:r>
        <w:rPr>
          <w:spacing w:val="-7"/>
        </w:rPr>
        <w:t>重症感染的患者常伴有低蛋白血症，而治疗重症感染常会用到抗菌药物替加环素。这是</w:t>
      </w:r>
      <w:r>
        <w:rPr>
          <w:spacing w:val="-6"/>
        </w:rPr>
        <w:t>一种蛋白结合率能达到 </w:t>
      </w:r>
      <w:r>
        <w:rPr/>
        <w:t>70%～80%的药物。在感染治疗的过程中，只有游离的抗菌药物才能</w:t>
      </w:r>
      <w:r>
        <w:rPr>
          <w:spacing w:val="-9"/>
        </w:rPr>
        <w:t>发挥抗感染的作用，因此，如何为重症感染伴低蛋白血症患者调整替加环素剂量，成了摆在</w:t>
      </w:r>
      <w:r>
        <w:rPr/>
        <w:t>医生、药师面前的现实问题。</w:t>
      </w:r>
    </w:p>
    <w:p>
      <w:pPr>
        <w:pStyle w:val="BodyText"/>
        <w:spacing w:line="302" w:lineRule="auto" w:before="4"/>
        <w:ind w:right="227"/>
        <w:jc w:val="both"/>
      </w:pPr>
      <w:r>
        <w:rPr>
          <w:spacing w:val="-7"/>
        </w:rPr>
        <w:t>笔者带领研究团队从伦理审批、科研申报、临床试验注册，到临床资料与标本收集，一</w:t>
      </w:r>
      <w:r>
        <w:rPr>
          <w:spacing w:val="-10"/>
        </w:rPr>
        <w:t>步步开展临床研究，目前正在进行数据整理环节，希望后续的研究结果能为临床根据白蛋白</w:t>
      </w:r>
      <w:r>
        <w:rPr/>
        <w:t>水平调整替加环素给药剂量带来便利。</w:t>
      </w:r>
    </w:p>
    <w:p>
      <w:pPr>
        <w:pStyle w:val="BodyText"/>
        <w:spacing w:line="300" w:lineRule="auto"/>
        <w:ind w:right="227"/>
        <w:jc w:val="both"/>
      </w:pPr>
      <w:r>
        <w:rPr>
          <w:spacing w:val="-5"/>
        </w:rPr>
        <w:t>临床药学研究团队由于在抗菌药物的治疗药物监测领域有深入研究，院内越来越多的临</w:t>
      </w:r>
      <w:r>
        <w:rPr>
          <w:spacing w:val="-8"/>
        </w:rPr>
        <w:t>床科室前来寻求临床或是科研合作。比如，肾内科临床医生经常发现使用头孢他啶的血透患</w:t>
      </w:r>
      <w:r>
        <w:rPr>
          <w:spacing w:val="-9"/>
        </w:rPr>
        <w:t>者会发生谵妄，医生来寻求临床药师的帮助，希望能够监测血透患者的头孢他啶浓度，指导</w:t>
      </w:r>
      <w:r>
        <w:rPr/>
        <w:t>给药剂量调整，避免不良反应发生。</w:t>
      </w:r>
    </w:p>
    <w:p>
      <w:pPr>
        <w:pStyle w:val="BodyText"/>
        <w:spacing w:line="300" w:lineRule="auto" w:before="3"/>
        <w:ind w:right="227"/>
        <w:jc w:val="both"/>
      </w:pPr>
      <w:r>
        <w:rPr>
          <w:spacing w:val="-4"/>
        </w:rPr>
        <w:t>于是笔者带领团队设计了血透患者头孢他啶个体化给药的研究方案并申请课题。团队开</w:t>
      </w:r>
      <w:r>
        <w:rPr>
          <w:spacing w:val="-7"/>
        </w:rPr>
        <w:t>发了头孢他啶的血药浓度测定方法，与临床医生一起收集病例，分析其中的危险因素与保护</w:t>
      </w:r>
      <w:r>
        <w:rPr>
          <w:spacing w:val="-10"/>
        </w:rPr>
        <w:t>因素，最后利用血药浓度数据和临床资料，建立群体药动学模型，开发血透患者头孢他啶的</w:t>
      </w:r>
      <w:r>
        <w:rPr/>
        <w:t>血药浓度预测与剂量调整策略。</w:t>
      </w:r>
    </w:p>
    <w:p>
      <w:pPr>
        <w:pStyle w:val="BodyText"/>
        <w:spacing w:line="302" w:lineRule="auto" w:before="6"/>
        <w:ind w:right="227"/>
        <w:jc w:val="both"/>
      </w:pPr>
      <w:r>
        <w:rPr>
          <w:spacing w:val="-5"/>
        </w:rPr>
        <w:t>个体化给药已经成为浙医二院长兴院区临床药学学科的主要研究方向，最近笔者和团队</w:t>
      </w:r>
      <w:r>
        <w:rPr>
          <w:spacing w:val="-9"/>
        </w:rPr>
        <w:t>利用个体化给药的研究基础，救治了一例利用利奈唑胺治疗导管相关性血流感染伴感染性心</w:t>
      </w:r>
      <w:r>
        <w:rPr>
          <w:spacing w:val="-8"/>
        </w:rPr>
        <w:t>内膜炎的复杂感染患者。利奈唑胺的多数既往研究都认为剂量无需个体化，只要按说明书给</w:t>
      </w:r>
      <w:r>
        <w:rPr/>
        <w:t>药即可，但是事实真的如此吗？</w:t>
      </w:r>
    </w:p>
    <w:p>
      <w:pPr>
        <w:pStyle w:val="BodyText"/>
        <w:spacing w:line="300" w:lineRule="auto"/>
        <w:ind w:right="227"/>
        <w:jc w:val="both"/>
      </w:pPr>
      <w:r>
        <w:rPr>
          <w:spacing w:val="-6"/>
        </w:rPr>
        <w:t>团队前期研究了利奈唑胺个体化给药的问题，发现事实并非如此。利奈唑胺需要针对患</w:t>
      </w:r>
      <w:r>
        <w:rPr>
          <w:spacing w:val="-7"/>
        </w:rPr>
        <w:t>者的肌酐清除率以及体重进行调整，尤其是 </w:t>
      </w:r>
      <w:r>
        <w:rPr/>
        <w:t>ICU</w:t>
      </w:r>
      <w:r>
        <w:rPr>
          <w:spacing w:val="-13"/>
        </w:rPr>
        <w:t> 患者，更需要通过治疗药物监测的方法进行</w:t>
      </w:r>
      <w:r>
        <w:rPr/>
        <w:t>剂量调整。</w:t>
      </w:r>
    </w:p>
    <w:p>
      <w:pPr>
        <w:pStyle w:val="BodyText"/>
        <w:spacing w:line="302" w:lineRule="auto"/>
        <w:ind w:right="227"/>
        <w:jc w:val="both"/>
      </w:pPr>
      <w:r>
        <w:rPr>
          <w:spacing w:val="-8"/>
        </w:rPr>
        <w:t>此例重症感染患者，用药期间出现了血红蛋白、血小板下降的不良反应。随后，临床药</w:t>
      </w:r>
      <w:r>
        <w:rPr>
          <w:spacing w:val="-13"/>
        </w:rPr>
        <w:t>学研究团队介入，对该患者进行了利奈唑胺血药浓度监测，不断调整给药方案，终于做到了</w:t>
      </w:r>
      <w:r>
        <w:rPr/>
        <w:t>不良反应与疗效的平衡，最终成功控制了感染。</w:t>
      </w:r>
    </w:p>
    <w:p>
      <w:pPr>
        <w:pStyle w:val="BodyText"/>
        <w:spacing w:line="300" w:lineRule="auto"/>
        <w:ind w:right="227"/>
      </w:pPr>
      <w:r>
        <w:rPr>
          <w:spacing w:val="-6"/>
        </w:rPr>
        <w:t>团队不仅利用治疗药物监测进行指导临床治疗，更从每个临床案例中总结经验，汇总分</w:t>
      </w:r>
      <w:r>
        <w:rPr/>
        <w:t>析数据，开展临床回顾性研究。</w:t>
      </w:r>
    </w:p>
    <w:p>
      <w:pPr>
        <w:pStyle w:val="BodyText"/>
        <w:spacing w:line="302" w:lineRule="auto"/>
        <w:ind w:right="230"/>
      </w:pPr>
      <w:r>
        <w:rPr>
          <w:spacing w:val="-7"/>
        </w:rPr>
        <w:t>临床药师的科研思路应当从临床中来，立足临床，着眼药学。临床药师要从临床实践中</w:t>
      </w:r>
      <w:r>
        <w:rPr/>
        <w:t>成长，利用好治疗药物监测这个工具。服务临床的同时，还要注重科研转化到临床中去。</w:t>
      </w:r>
    </w:p>
    <w:p>
      <w:pPr>
        <w:pStyle w:val="BodyText"/>
        <w:spacing w:line="417" w:lineRule="exact"/>
        <w:ind w:left="617" w:firstLine="0"/>
        <w:rPr>
          <w:rFonts w:ascii="Meiryo" w:eastAsia="Meiryo" w:hint="eastAsia"/>
          <w:b/>
        </w:rPr>
      </w:pPr>
      <w:r>
        <w:rPr/>
        <w:t>作者：浙江大学医学院附属第二医院长兴院区药学部 林彬 </w:t>
      </w:r>
      <w:r>
        <w:rPr>
          <w:rFonts w:ascii="Meiryo" w:eastAsia="Meiryo" w:hint="eastAsia"/>
          <w:b/>
          <w:color w:val="0033CC"/>
        </w:rPr>
        <w:t>[返回目次]</w:t>
      </w:r>
    </w:p>
    <w:p>
      <w:pPr>
        <w:spacing w:after="0" w:line="417" w:lineRule="exact"/>
        <w:rPr>
          <w:rFonts w:ascii="Meiryo" w:eastAsia="Meiryo" w:hint="eastAsia"/>
        </w:rPr>
        <w:sectPr>
          <w:pgSz w:w="11910" w:h="16850"/>
          <w:pgMar w:header="906" w:footer="607" w:top="1100" w:bottom="800" w:left="1140" w:right="900"/>
        </w:sectPr>
      </w:pPr>
    </w:p>
    <w:p>
      <w:pPr>
        <w:pStyle w:val="Heading2"/>
        <w:spacing w:before="16"/>
        <w:ind w:left="137"/>
      </w:pPr>
      <w:bookmarkStart w:name="_TOC_250015" w:id="12"/>
      <w:bookmarkEnd w:id="12"/>
      <w:r>
        <w:rPr/>
        <w:t>【医生谈药】</w:t>
      </w:r>
    </w:p>
    <w:p>
      <w:pPr>
        <w:pStyle w:val="BodyText"/>
        <w:spacing w:before="6"/>
        <w:ind w:left="0" w:firstLine="0"/>
        <w:rPr>
          <w:b/>
          <w:sz w:val="18"/>
        </w:rPr>
      </w:pPr>
    </w:p>
    <w:p>
      <w:pPr>
        <w:spacing w:after="0"/>
        <w:rPr>
          <w:sz w:val="18"/>
        </w:rPr>
        <w:sectPr>
          <w:pgSz w:w="11910" w:h="16850"/>
          <w:pgMar w:header="906" w:footer="607" w:top="1100" w:bottom="800" w:left="1140" w:right="900"/>
        </w:sectPr>
      </w:pPr>
    </w:p>
    <w:p>
      <w:pPr>
        <w:pStyle w:val="Heading2"/>
        <w:spacing w:before="54"/>
        <w:ind w:left="2234"/>
      </w:pPr>
      <w:bookmarkStart w:name="_TOC_250014" w:id="13"/>
      <w:bookmarkEnd w:id="13"/>
      <w:r>
        <w:rPr>
          <w:spacing w:val="-2"/>
        </w:rPr>
        <w:t>用阿司匹林做一级预防 还值得研究吗</w:t>
      </w:r>
    </w:p>
    <w:p>
      <w:pPr>
        <w:pStyle w:val="BodyText"/>
        <w:ind w:left="0" w:firstLine="0"/>
        <w:rPr>
          <w:b/>
        </w:rPr>
      </w:pPr>
      <w:r>
        <w:rPr/>
        <w:br w:type="column"/>
      </w:r>
      <w:r>
        <w:rPr>
          <w:b/>
        </w:rPr>
      </w:r>
    </w:p>
    <w:p>
      <w:pPr>
        <w:pStyle w:val="BodyText"/>
        <w:spacing w:before="7"/>
        <w:ind w:left="0" w:firstLine="0"/>
        <w:rPr>
          <w:b/>
          <w:sz w:val="23"/>
        </w:rPr>
      </w:pPr>
    </w:p>
    <w:p>
      <w:pPr>
        <w:pStyle w:val="Heading3"/>
        <w:ind w:left="133"/>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140" w:right="900"/>
          <w:cols w:num="2" w:equalWidth="0">
            <w:col w:w="7535" w:space="40"/>
            <w:col w:w="2295"/>
          </w:cols>
        </w:sectPr>
      </w:pPr>
    </w:p>
    <w:p>
      <w:pPr>
        <w:pStyle w:val="BodyText"/>
        <w:spacing w:line="297" w:lineRule="auto" w:before="96"/>
        <w:ind w:right="359"/>
      </w:pPr>
      <w:r>
        <w:rPr/>
        <w:t>在近日召开的中国老年心血管病论坛上，北京大学第一医院刘梅林教授介绍了今年 3 月启动的“小剂量阿司匹林防治老年心血管疾病研究 ”（LAPIS 研究）。</w:t>
      </w:r>
    </w:p>
    <w:p>
      <w:pPr>
        <w:pStyle w:val="BodyText"/>
        <w:spacing w:line="295" w:lineRule="auto"/>
        <w:ind w:right="107"/>
      </w:pPr>
      <w:r>
        <w:rPr>
          <w:spacing w:val="-10"/>
        </w:rPr>
        <w:t>近两年，关于阿司匹林的各类疗效和作用消息频出。阿司匹林用于心血管疾病的二级预</w:t>
      </w:r>
      <w:r>
        <w:rPr>
          <w:spacing w:val="-19"/>
        </w:rPr>
        <w:t>防已得到业内共识。那么，阿司匹林能否作为一级预防用药呢？为此我们请刘教授进行介绍。</w:t>
      </w:r>
    </w:p>
    <w:p>
      <w:pPr>
        <w:pStyle w:val="BodyText"/>
        <w:spacing w:line="295" w:lineRule="auto" w:before="3"/>
        <w:ind w:right="230"/>
        <w:jc w:val="both"/>
      </w:pPr>
      <w:r>
        <w:rPr>
          <w:spacing w:val="-9"/>
        </w:rPr>
        <w:t>和普通人群相比，老年心血管疾病有其特殊性，患者往往病情复杂、合并症多、进展迅</w:t>
      </w:r>
      <w:r>
        <w:rPr>
          <w:spacing w:val="-10"/>
        </w:rPr>
        <w:t>速，因此在临床治疗中有很多需要医生格外注意的地方。同时，我们需要用最少的治疗和最</w:t>
      </w:r>
      <w:r>
        <w:rPr/>
        <w:t>少的药物，争取达到最好的治疗效果。</w:t>
      </w:r>
    </w:p>
    <w:p>
      <w:pPr>
        <w:pStyle w:val="BodyText"/>
        <w:spacing w:line="295" w:lineRule="auto" w:before="5"/>
        <w:ind w:right="227"/>
      </w:pPr>
      <w:r>
        <w:rPr>
          <w:spacing w:val="-11"/>
        </w:rPr>
        <w:t>总体而言，老年心血管疾病的临床治疗更为困难，如果能够帮助老年人预防心血管疾病</w:t>
      </w:r>
      <w:r>
        <w:rPr/>
        <w:t>无疑是事半功倍的方法。</w:t>
      </w:r>
    </w:p>
    <w:p>
      <w:pPr>
        <w:pStyle w:val="BodyText"/>
        <w:spacing w:line="297" w:lineRule="auto" w:before="2"/>
        <w:ind w:right="227"/>
        <w:jc w:val="both"/>
      </w:pPr>
      <w:r>
        <w:rPr>
          <w:spacing w:val="-8"/>
        </w:rPr>
        <w:t>心血管疾病多与血栓形成密切相关，有效的抗血小板治疗可明显减少心血管事件并降低</w:t>
      </w:r>
      <w:r>
        <w:rPr>
          <w:spacing w:val="-10"/>
        </w:rPr>
        <w:t>死亡率。多项大规模临床研究证实，阿司匹林能够降低心血管事件、致死性心肌梗死及心血</w:t>
      </w:r>
      <w:r>
        <w:rPr/>
        <w:t>管病的死亡率，是心血管疾病二级预防的基本药物。</w:t>
      </w:r>
    </w:p>
    <w:p>
      <w:pPr>
        <w:pStyle w:val="Heading3"/>
        <w:spacing w:line="304" w:lineRule="exact"/>
      </w:pPr>
      <w:r>
        <w:rPr/>
        <w:t>三大研究质疑一级预防</w:t>
      </w:r>
    </w:p>
    <w:p>
      <w:pPr>
        <w:pStyle w:val="BodyText"/>
        <w:spacing w:line="295" w:lineRule="auto" w:before="75"/>
        <w:ind w:right="110"/>
      </w:pPr>
      <w:r>
        <w:rPr>
          <w:spacing w:val="-4"/>
        </w:rPr>
        <w:t>与用于已有冠心病或其他动脉粥样硬化性疾病的二级预防不同，一级预防是针对尚未诊</w:t>
      </w:r>
      <w:r>
        <w:rPr>
          <w:spacing w:val="-16"/>
        </w:rPr>
        <w:t>断心血管疾病的人群，目的是帮助预防心血管疾病，面对的人群范围更广，更重视绝对获益。</w:t>
      </w:r>
    </w:p>
    <w:p>
      <w:pPr>
        <w:pStyle w:val="BodyText"/>
        <w:spacing w:line="297" w:lineRule="auto" w:before="2"/>
        <w:ind w:right="227"/>
      </w:pPr>
      <w:r>
        <w:rPr>
          <w:spacing w:val="-9"/>
        </w:rPr>
        <w:t>目前，学术界对阿司匹林用于心血管疾病的二级预防已持肯定态度，但是，对阿司匹林</w:t>
      </w:r>
      <w:r>
        <w:rPr/>
        <w:t>能否用于心血管病一级预防争议不断。</w:t>
      </w:r>
    </w:p>
    <w:p>
      <w:pPr>
        <w:pStyle w:val="BodyText"/>
        <w:spacing w:line="297" w:lineRule="auto"/>
        <w:ind w:right="227"/>
        <w:jc w:val="both"/>
      </w:pPr>
      <w:r>
        <w:rPr>
          <w:spacing w:val="-5"/>
        </w:rPr>
        <w:t>其中，最受关注的是去年发布的三项大规模临床研究</w:t>
      </w:r>
      <w:r>
        <w:rPr/>
        <w:t>（ARRIVE</w:t>
      </w:r>
      <w:r>
        <w:rPr>
          <w:spacing w:val="-17"/>
        </w:rPr>
        <w:t>、</w:t>
      </w:r>
      <w:r>
        <w:rPr/>
        <w:t>ASCEND</w:t>
      </w:r>
      <w:r>
        <w:rPr>
          <w:spacing w:val="-17"/>
        </w:rPr>
        <w:t>、</w:t>
      </w:r>
      <w:r>
        <w:rPr>
          <w:spacing w:val="-3"/>
        </w:rPr>
        <w:t>ASPREE）</w:t>
      </w:r>
      <w:r>
        <w:rPr>
          <w:spacing w:val="-17"/>
        </w:rPr>
        <w:t>。研</w:t>
      </w:r>
      <w:r>
        <w:rPr>
          <w:spacing w:val="-13"/>
        </w:rPr>
        <w:t>究显示，对于 </w:t>
      </w:r>
      <w:r>
        <w:rPr/>
        <w:t>70</w:t>
      </w:r>
      <w:r>
        <w:rPr>
          <w:spacing w:val="-13"/>
        </w:rPr>
        <w:t> 岁以上的健康老年人而言，常规服用阿司匹林 </w:t>
      </w:r>
      <w:r>
        <w:rPr/>
        <w:t>100mg/</w:t>
      </w:r>
      <w:r>
        <w:rPr>
          <w:spacing w:val="-2"/>
        </w:rPr>
        <w:t>日用于心血管病的一</w:t>
      </w:r>
      <w:r>
        <w:rPr>
          <w:spacing w:val="-10"/>
        </w:rPr>
        <w:t>级预防有害无益。阿司匹林用于心血管疾病低中危老年人的一级预防，导致出血风险增加等</w:t>
      </w:r>
      <w:r>
        <w:rPr/>
        <w:t>副作用抵消了临床获益。</w:t>
      </w:r>
    </w:p>
    <w:p>
      <w:pPr>
        <w:pStyle w:val="BodyText"/>
        <w:spacing w:line="297" w:lineRule="auto"/>
        <w:ind w:right="246"/>
        <w:jc w:val="both"/>
      </w:pPr>
      <w:r>
        <w:rPr/>
        <w:t>与此同时，阿司匹林所致的消化道损伤(溃疡、出血) 风险伴随年龄和剂量增加而明显增加。</w:t>
      </w:r>
    </w:p>
    <w:p>
      <w:pPr>
        <w:pStyle w:val="BodyText"/>
        <w:spacing w:line="295" w:lineRule="auto"/>
        <w:ind w:right="232"/>
      </w:pPr>
      <w:r>
        <w:rPr>
          <w:spacing w:val="-8"/>
        </w:rPr>
        <w:t>荟萃分析显示，阿司匹林不仅增加消化道的出血风险，还增加脑出血风险。因此，不支</w:t>
      </w:r>
      <w:r>
        <w:rPr/>
        <w:t>持心血管疾病老年人常规使用小剂量阿司匹林进行一级预防。</w:t>
      </w:r>
    </w:p>
    <w:p>
      <w:pPr>
        <w:pStyle w:val="Heading3"/>
      </w:pPr>
      <w:r>
        <w:rPr/>
        <w:t>小剂量使用或有更多获益</w:t>
      </w:r>
    </w:p>
    <w:p>
      <w:pPr>
        <w:pStyle w:val="BodyText"/>
        <w:spacing w:line="295" w:lineRule="auto" w:before="67"/>
        <w:ind w:right="229"/>
      </w:pPr>
      <w:r>
        <w:rPr/>
        <w:t>2019</w:t>
      </w:r>
      <w:r>
        <w:rPr>
          <w:spacing w:val="-17"/>
        </w:rPr>
        <w:t> 年欧美指南推荐心血管病高危、低出血风险的 </w:t>
      </w:r>
      <w:r>
        <w:rPr/>
        <w:t>40</w:t>
      </w:r>
      <w:r>
        <w:rPr>
          <w:spacing w:val="-30"/>
        </w:rPr>
        <w:t> 岁</w:t>
      </w:r>
      <w:r>
        <w:rPr/>
        <w:t>～70</w:t>
      </w:r>
      <w:r>
        <w:rPr>
          <w:spacing w:val="-9"/>
        </w:rPr>
        <w:t> 岁的糖尿病患者可长期服</w:t>
      </w:r>
      <w:r>
        <w:rPr/>
        <w:t>用小剂量阿司匹林，可能降低心血管事件的获益更多。</w:t>
      </w:r>
    </w:p>
    <w:p>
      <w:pPr>
        <w:pStyle w:val="BodyText"/>
        <w:spacing w:before="4"/>
        <w:ind w:left="617" w:firstLine="0"/>
      </w:pPr>
      <w:r>
        <w:rPr/>
        <w:t>那么，小剂量阿司匹林的抗血小板聚集作用如何？是否更适合我国的老年人群？</w:t>
      </w:r>
    </w:p>
    <w:p>
      <w:pPr>
        <w:pStyle w:val="BodyText"/>
        <w:spacing w:line="295" w:lineRule="auto" w:before="72"/>
        <w:ind w:right="246"/>
        <w:jc w:val="both"/>
      </w:pPr>
      <w:r>
        <w:rPr>
          <w:spacing w:val="-8"/>
        </w:rPr>
        <w:t>笔者所在团队在 </w:t>
      </w:r>
      <w:r>
        <w:rPr/>
        <w:t>2018</w:t>
      </w:r>
      <w:r>
        <w:rPr>
          <w:spacing w:val="-9"/>
        </w:rPr>
        <w:t> 年完成了一项探索研究。这是一项开放式、多中心、随机、对照</w:t>
      </w:r>
      <w:r>
        <w:rPr/>
        <w:t>临床研究，旨在评估小剂量阿司匹林对老年人血小板聚集率的影响和短期安全性。</w:t>
      </w:r>
    </w:p>
    <w:p>
      <w:pPr>
        <w:pStyle w:val="BodyText"/>
        <w:spacing w:line="295" w:lineRule="auto" w:before="5"/>
        <w:ind w:right="228"/>
        <w:jc w:val="both"/>
      </w:pPr>
      <w:r>
        <w:rPr>
          <w:spacing w:val="-11"/>
        </w:rPr>
        <w:t>研究共纳入 </w:t>
      </w:r>
      <w:r>
        <w:rPr/>
        <w:t>1194</w:t>
      </w:r>
      <w:r>
        <w:rPr>
          <w:spacing w:val="-8"/>
        </w:rPr>
        <w:t> 名临床需长期服用阿司匹林进行心血管疾病预防的患者</w:t>
      </w:r>
      <w:r>
        <w:rPr/>
        <w:t>（主要为一级预防</w:t>
      </w:r>
      <w:r>
        <w:rPr>
          <w:spacing w:val="-34"/>
        </w:rPr>
        <w:t>），</w:t>
      </w:r>
      <w:r>
        <w:rPr>
          <w:spacing w:val="-6"/>
        </w:rPr>
        <w:t>随机分至阿司匹林肠溶缓释片 </w:t>
      </w:r>
      <w:r>
        <w:rPr/>
        <w:t>50mg/</w:t>
      </w:r>
      <w:r>
        <w:rPr>
          <w:spacing w:val="-11"/>
        </w:rPr>
        <w:t>日、阿司匹林肠溶缓释片 </w:t>
      </w:r>
      <w:r>
        <w:rPr/>
        <w:t>100mg/</w:t>
      </w:r>
      <w:r>
        <w:rPr>
          <w:spacing w:val="-3"/>
        </w:rPr>
        <w:t>日及阿司匹林</w:t>
      </w:r>
      <w:r>
        <w:rPr>
          <w:spacing w:val="-16"/>
        </w:rPr>
        <w:t>肠溶片 </w:t>
      </w:r>
      <w:r>
        <w:rPr/>
        <w:t>100mg/</w:t>
      </w:r>
      <w:r>
        <w:rPr>
          <w:spacing w:val="-10"/>
        </w:rPr>
        <w:t>日组，随访 </w:t>
      </w:r>
      <w:r>
        <w:rPr/>
        <w:t>28</w:t>
      </w:r>
      <w:r>
        <w:rPr>
          <w:spacing w:val="-12"/>
        </w:rPr>
        <w:t> 天。结果显示，阿司匹林 </w:t>
      </w:r>
      <w:r>
        <w:rPr/>
        <w:t>50mg/d</w:t>
      </w:r>
      <w:r>
        <w:rPr>
          <w:spacing w:val="-40"/>
        </w:rPr>
        <w:t> 及 </w:t>
      </w:r>
      <w:r>
        <w:rPr/>
        <w:t>100mg/d</w:t>
      </w:r>
      <w:r>
        <w:rPr>
          <w:spacing w:val="-8"/>
        </w:rPr>
        <w:t> 均可明显抑制血</w:t>
      </w:r>
    </w:p>
    <w:p>
      <w:pPr>
        <w:spacing w:after="0" w:line="295" w:lineRule="auto"/>
        <w:jc w:val="both"/>
        <w:sectPr>
          <w:type w:val="continuous"/>
          <w:pgSz w:w="11910" w:h="16850"/>
          <w:pgMar w:top="1100" w:bottom="1020" w:left="1140" w:right="900"/>
        </w:sectPr>
      </w:pPr>
    </w:p>
    <w:p>
      <w:pPr>
        <w:pStyle w:val="BodyText"/>
        <w:spacing w:line="295" w:lineRule="auto" w:before="65"/>
        <w:ind w:right="232" w:firstLine="0"/>
      </w:pPr>
      <w:r>
        <w:rPr>
          <w:spacing w:val="-10"/>
        </w:rPr>
        <w:t>小板聚集率，短期安全性良好，无明显出血事件发生。但是，因病例数不够多、随访时间不</w:t>
      </w:r>
      <w:r>
        <w:rPr/>
        <w:t>够长，尚不能得出可靠结论。</w:t>
      </w:r>
    </w:p>
    <w:p>
      <w:pPr>
        <w:pStyle w:val="BodyText"/>
        <w:spacing w:line="297" w:lineRule="auto" w:before="2"/>
        <w:ind w:right="230"/>
      </w:pPr>
      <w:r>
        <w:rPr>
          <w:spacing w:val="-5"/>
        </w:rPr>
        <w:t>这项研究让我们相信，更小剂量</w:t>
      </w:r>
      <w:r>
        <w:rPr>
          <w:spacing w:val="-4"/>
        </w:rPr>
        <w:t>（50mg/d）</w:t>
      </w:r>
      <w:r>
        <w:rPr>
          <w:spacing w:val="-3"/>
        </w:rPr>
        <w:t>的阿司匹林在副作用更小的同时，可能对我</w:t>
      </w:r>
      <w:r>
        <w:rPr/>
        <w:t>国老年人具有心血管保护作用。然而，仍需更多的临床研究加以证实。</w:t>
      </w:r>
    </w:p>
    <w:p>
      <w:pPr>
        <w:pStyle w:val="BodyText"/>
        <w:spacing w:line="297" w:lineRule="auto"/>
        <w:ind w:right="126"/>
      </w:pPr>
      <w:r>
        <w:rPr>
          <w:spacing w:val="-21"/>
        </w:rPr>
        <w:t>今年 </w:t>
      </w:r>
      <w:r>
        <w:rPr/>
        <w:t>3</w:t>
      </w:r>
      <w:r>
        <w:rPr>
          <w:spacing w:val="-20"/>
        </w:rPr>
        <w:t> 月启动的 </w:t>
      </w:r>
      <w:r>
        <w:rPr/>
        <w:t>LAPIS</w:t>
      </w:r>
      <w:r>
        <w:rPr>
          <w:spacing w:val="-9"/>
        </w:rPr>
        <w:t> 研究将对阿司匹林单独或联合其他抗栓药服用的个体进行随访， </w:t>
      </w:r>
      <w:r>
        <w:rPr>
          <w:spacing w:val="-1"/>
        </w:rPr>
        <w:t>旨在观察中国老年人使用阿司匹林的最低有效剂量以及联合其他抗栓药时的安全性。同时， </w:t>
      </w:r>
      <w:r>
        <w:rPr/>
        <w:t>笔者建议临床医生在使用抗栓药物前，进行风险评估，可有助于降低用药风险，例如出血/ 血栓风险评估等。</w:t>
      </w:r>
    </w:p>
    <w:p>
      <w:pPr>
        <w:pStyle w:val="BodyText"/>
        <w:spacing w:line="297" w:lineRule="auto"/>
        <w:ind w:right="229"/>
      </w:pPr>
      <w:r>
        <w:rPr/>
        <w:t>老年人是否不需要服用阿司匹林进行心血管病一级预防？若服用阿司匹林用于一级预</w:t>
      </w:r>
      <w:r>
        <w:rPr>
          <w:spacing w:val="-12"/>
        </w:rPr>
        <w:t>防，适应证及合适剂量是多少？中国人长期服用阿司匹林的疗效及安全性如何？这些问题均</w:t>
      </w:r>
      <w:r>
        <w:rPr>
          <w:spacing w:val="-3"/>
        </w:rPr>
        <w:t>需要在真实世界的大规模临床研究中寻找答案。这些也是 </w:t>
      </w:r>
      <w:r>
        <w:rPr/>
        <w:t>LAPIS</w:t>
      </w:r>
      <w:r>
        <w:rPr>
          <w:spacing w:val="-18"/>
        </w:rPr>
        <w:t> 研究在未来 </w:t>
      </w:r>
      <w:r>
        <w:rPr/>
        <w:t>3～5</w:t>
      </w:r>
      <w:r>
        <w:rPr>
          <w:spacing w:val="-12"/>
        </w:rPr>
        <w:t> 年将要探索的问题。</w:t>
      </w:r>
    </w:p>
    <w:p>
      <w:pPr>
        <w:spacing w:line="416" w:lineRule="exact" w:before="0"/>
        <w:ind w:left="617" w:right="0" w:firstLine="0"/>
        <w:jc w:val="left"/>
        <w:rPr>
          <w:rFonts w:ascii="Meiryo" w:eastAsia="Meiryo" w:hint="eastAsia"/>
          <w:b/>
          <w:sz w:val="24"/>
        </w:rPr>
      </w:pPr>
      <w:r>
        <w:rPr>
          <w:sz w:val="24"/>
        </w:rPr>
        <w:t>作者：北京大学第一医院老年内科主任 刘梅林 </w:t>
      </w:r>
      <w:r>
        <w:rPr>
          <w:rFonts w:ascii="Meiryo" w:eastAsia="Meiryo" w:hint="eastAsia"/>
          <w:b/>
          <w:color w:val="0033CC"/>
          <w:sz w:val="24"/>
        </w:rPr>
        <w:t>[返回目次]</w:t>
      </w:r>
    </w:p>
    <w:p>
      <w:pPr>
        <w:pStyle w:val="Heading2"/>
        <w:spacing w:before="59"/>
        <w:ind w:left="137"/>
      </w:pPr>
      <w:bookmarkStart w:name="_TOC_250013" w:id="14"/>
      <w:bookmarkEnd w:id="14"/>
      <w:r>
        <w:rPr/>
        <w:t>【中医中药】</w:t>
      </w:r>
    </w:p>
    <w:p>
      <w:pPr>
        <w:pStyle w:val="BodyText"/>
        <w:spacing w:before="6"/>
        <w:ind w:left="0" w:firstLine="0"/>
        <w:rPr>
          <w:b/>
          <w:sz w:val="18"/>
        </w:rPr>
      </w:pPr>
    </w:p>
    <w:p>
      <w:pPr>
        <w:spacing w:after="0"/>
        <w:rPr>
          <w:sz w:val="18"/>
        </w:rPr>
        <w:sectPr>
          <w:pgSz w:w="11910" w:h="16850"/>
          <w:pgMar w:header="906" w:footer="607" w:top="1100" w:bottom="800" w:left="1140" w:right="900"/>
        </w:sectPr>
      </w:pPr>
    </w:p>
    <w:p>
      <w:pPr>
        <w:pStyle w:val="Heading2"/>
        <w:spacing w:before="54"/>
        <w:ind w:left="3118"/>
      </w:pPr>
      <w:bookmarkStart w:name="_TOC_250012" w:id="15"/>
      <w:bookmarkEnd w:id="15"/>
      <w:r>
        <w:rPr>
          <w:spacing w:val="-2"/>
        </w:rPr>
        <w:t>中医药临床研究有了规范</w:t>
      </w:r>
    </w:p>
    <w:p>
      <w:pPr>
        <w:pStyle w:val="BodyText"/>
        <w:ind w:left="0" w:firstLine="0"/>
        <w:rPr>
          <w:b/>
        </w:rPr>
      </w:pPr>
      <w:r>
        <w:rPr/>
        <w:br w:type="column"/>
      </w:r>
      <w:r>
        <w:rPr>
          <w:b/>
        </w:rPr>
      </w:r>
    </w:p>
    <w:p>
      <w:pPr>
        <w:pStyle w:val="BodyText"/>
        <w:spacing w:before="7"/>
        <w:ind w:left="0" w:firstLine="0"/>
        <w:rPr>
          <w:b/>
          <w:sz w:val="23"/>
        </w:rPr>
      </w:pPr>
    </w:p>
    <w:p>
      <w:pPr>
        <w:pStyle w:val="Heading3"/>
        <w:ind w:left="1017"/>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140" w:right="900"/>
          <w:cols w:num="2" w:equalWidth="0">
            <w:col w:w="6650" w:space="40"/>
            <w:col w:w="3180"/>
          </w:cols>
        </w:sectPr>
      </w:pPr>
    </w:p>
    <w:p>
      <w:pPr>
        <w:pStyle w:val="BodyText"/>
        <w:spacing w:line="295" w:lineRule="auto" w:before="99"/>
        <w:ind w:right="230"/>
        <w:jc w:val="both"/>
      </w:pPr>
      <w:r>
        <w:rPr/>
        <w:t>世界中医药学联合会临床研究数据监查委员会（DMC）第四届学术年会日前在江苏省南</w:t>
      </w:r>
      <w:r>
        <w:rPr>
          <w:spacing w:val="-11"/>
        </w:rPr>
        <w:t>京市召开。会上，中华中医药学会标准办公室发布国内首个《中医药临床研究数据监查技术</w:t>
      </w:r>
      <w:r>
        <w:rPr/>
        <w:t>规范》。</w:t>
      </w:r>
    </w:p>
    <w:p>
      <w:pPr>
        <w:pStyle w:val="BodyText"/>
        <w:spacing w:line="295" w:lineRule="auto" w:before="5"/>
        <w:ind w:right="227"/>
        <w:jc w:val="both"/>
      </w:pPr>
      <w:r>
        <w:rPr>
          <w:spacing w:val="-11"/>
        </w:rPr>
        <w:t>据介绍，该《规范》由中国中医科学院中医临床基础医学研究所提出，东南大学、北京</w:t>
      </w:r>
      <w:r>
        <w:rPr>
          <w:spacing w:val="-10"/>
        </w:rPr>
        <w:t>中医药大学、天津中医药大学等多家单位联合起草，填补了我国中医药临床研究质量控制和</w:t>
      </w:r>
      <w:r>
        <w:rPr/>
        <w:t>质量保证体系的空白。</w:t>
      </w:r>
    </w:p>
    <w:p>
      <w:pPr>
        <w:pStyle w:val="BodyText"/>
        <w:spacing w:line="295" w:lineRule="auto" w:before="5"/>
        <w:ind w:right="127"/>
        <w:jc w:val="both"/>
      </w:pPr>
      <w:r>
        <w:rPr>
          <w:spacing w:val="-6"/>
        </w:rPr>
        <w:t>“中医药临床研究越来越多，但缺乏系统的操作规范，导致研究中呈现较多的偏倚。要</w:t>
      </w:r>
      <w:r>
        <w:rPr>
          <w:spacing w:val="-12"/>
        </w:rPr>
        <w:t>保证数据的准确、完整，提高中医药临床研究的质量和水平，迫切需要建立一整套中医药临</w:t>
      </w:r>
      <w:r>
        <w:rPr>
          <w:spacing w:val="-15"/>
        </w:rPr>
        <w:t>床研究的技术规范。”世界中医药学会联合会临床研究数据监查委员会会长申春悌指出，在</w:t>
      </w:r>
    </w:p>
    <w:p>
      <w:pPr>
        <w:pStyle w:val="BodyText"/>
        <w:spacing w:line="259" w:lineRule="auto" w:before="6"/>
        <w:ind w:right="127" w:firstLine="0"/>
        <w:rPr>
          <w:rFonts w:ascii="Meiryo" w:eastAsia="Meiryo" w:hint="eastAsia"/>
          <w:b/>
        </w:rPr>
      </w:pPr>
      <w:r>
        <w:rPr>
          <w:spacing w:val="-1"/>
        </w:rPr>
        <w:t>中医药临床研究中引入国际通用的全过程、全覆盖、全跟踪的动态临床研究数据监查方法， </w:t>
      </w:r>
      <w:r>
        <w:rPr/>
        <w:t>对于提高中医药临床研究质量，使中医药临床研究质量尽早达到国际水平具有意义。</w:t>
      </w:r>
      <w:r>
        <w:rPr>
          <w:rFonts w:ascii="Meiryo" w:eastAsia="Meiryo" w:hint="eastAsia"/>
          <w:b/>
          <w:color w:val="0033CC"/>
        </w:rPr>
        <w:t>[返回</w:t>
      </w:r>
    </w:p>
    <w:p>
      <w:pPr>
        <w:pStyle w:val="Heading3"/>
        <w:spacing w:line="343" w:lineRule="exact"/>
        <w:ind w:left="137"/>
        <w:rPr>
          <w:rFonts w:ascii="Meiryo" w:eastAsia="Meiryo" w:hint="eastAsia"/>
        </w:rPr>
      </w:pPr>
      <w:r>
        <w:rPr>
          <w:rFonts w:ascii="Meiryo" w:eastAsia="Meiryo" w:hint="eastAsia"/>
          <w:color w:val="0033CC"/>
        </w:rPr>
        <w:t>目次]</w:t>
      </w:r>
    </w:p>
    <w:p>
      <w:pPr>
        <w:pStyle w:val="Heading2"/>
        <w:spacing w:before="53"/>
        <w:ind w:left="137"/>
      </w:pPr>
      <w:bookmarkStart w:name="_TOC_250011" w:id="16"/>
      <w:bookmarkEnd w:id="16"/>
      <w:r>
        <w:rPr/>
        <w:t>【科普知识】</w:t>
      </w:r>
    </w:p>
    <w:p>
      <w:pPr>
        <w:pStyle w:val="Heading2"/>
        <w:spacing w:before="286"/>
        <w:ind w:right="237"/>
        <w:jc w:val="center"/>
      </w:pPr>
      <w:bookmarkStart w:name="_TOC_250010" w:id="17"/>
      <w:bookmarkEnd w:id="17"/>
      <w:r>
        <w:rPr/>
        <w:t>心血管系统常见疾病——血脂异常</w:t>
      </w:r>
    </w:p>
    <w:p>
      <w:pPr>
        <w:spacing w:before="148"/>
        <w:ind w:left="137" w:right="228" w:firstLine="0"/>
        <w:jc w:val="right"/>
        <w:rPr>
          <w:rFonts w:ascii="楷体" w:eastAsia="楷体" w:hint="eastAsia"/>
          <w:b/>
          <w:sz w:val="24"/>
        </w:rPr>
      </w:pPr>
      <w:r>
        <w:rPr>
          <w:rFonts w:ascii="楷体" w:eastAsia="楷体" w:hint="eastAsia"/>
          <w:b/>
          <w:color w:val="FF0000"/>
          <w:w w:val="95"/>
          <w:sz w:val="24"/>
        </w:rPr>
        <w:t>（来源：中国医药报）</w:t>
      </w:r>
    </w:p>
    <w:p>
      <w:pPr>
        <w:pStyle w:val="BodyText"/>
        <w:spacing w:line="297" w:lineRule="auto" w:before="95"/>
        <w:ind w:right="227"/>
        <w:jc w:val="both"/>
      </w:pPr>
      <w:r>
        <w:rPr>
          <w:spacing w:val="-3"/>
        </w:rPr>
        <w:t>血脂异常是指血浆中脂质的异常，通常指血浆中胆固醇和</w:t>
      </w:r>
      <w:r>
        <w:rPr/>
        <w:t>（或</w:t>
      </w:r>
      <w:r>
        <w:rPr>
          <w:spacing w:val="-27"/>
        </w:rPr>
        <w:t>）</w:t>
      </w:r>
      <w:r>
        <w:rPr>
          <w:spacing w:val="-5"/>
        </w:rPr>
        <w:t>甘油三酯升高，也包括</w:t>
      </w:r>
      <w:r>
        <w:rPr>
          <w:spacing w:val="-8"/>
        </w:rPr>
        <w:t>高密度脂蛋白胆固醇降低。由于脂质不溶或微溶于水，在血浆中与蛋白质结合以脂蛋白的形</w:t>
      </w:r>
      <w:r>
        <w:rPr/>
        <w:t>式存在，因此，血脂异常实际上表现为脂蛋白异常血症。</w:t>
      </w:r>
    </w:p>
    <w:p>
      <w:pPr>
        <w:spacing w:after="0" w:line="297" w:lineRule="auto"/>
        <w:jc w:val="both"/>
        <w:sectPr>
          <w:type w:val="continuous"/>
          <w:pgSz w:w="11910" w:h="16850"/>
          <w:pgMar w:top="1100" w:bottom="1020" w:left="1140" w:right="900"/>
        </w:sectPr>
      </w:pPr>
    </w:p>
    <w:p>
      <w:pPr>
        <w:pStyle w:val="BodyText"/>
        <w:spacing w:line="295" w:lineRule="auto" w:before="65"/>
        <w:ind w:right="227"/>
      </w:pPr>
      <w:r>
        <w:rPr>
          <w:spacing w:val="-7"/>
        </w:rPr>
        <w:t>血脂异常可导致动脉粥样硬化，增加心脑血管病的发病率和死亡率。防治血脂异常对提</w:t>
      </w:r>
      <w:r>
        <w:rPr/>
        <w:t>高生活质量、延长寿命具有重要意义。</w:t>
      </w:r>
    </w:p>
    <w:p>
      <w:pPr>
        <w:pStyle w:val="Heading3"/>
        <w:spacing w:before="2"/>
      </w:pPr>
      <w:r>
        <w:rPr/>
        <w:t>血脂检查结果解读</w:t>
      </w:r>
    </w:p>
    <w:p>
      <w:pPr>
        <w:pStyle w:val="BodyText"/>
        <w:spacing w:line="295" w:lineRule="auto" w:before="74"/>
        <w:ind w:right="125"/>
      </w:pPr>
      <w:r>
        <w:rPr/>
        <w:t>临床上检测血脂的项目较多，基本检测项目为血清总胆固醇（TC）、三酰甘油（TG）、高密度脂蛋白胆固醇（HDL-C）和低密度脂蛋白胆固醇（LDL-C）。</w:t>
      </w:r>
    </w:p>
    <w:p>
      <w:pPr>
        <w:pStyle w:val="BodyText"/>
        <w:spacing w:before="2"/>
        <w:ind w:left="617" w:firstLine="0"/>
      </w:pPr>
      <w:r>
        <w:rPr/>
        <w:t>TC 血液中各类脂蛋白所含胆固醇的总和。影响 TC 水平的主要因素如下：</w:t>
      </w:r>
    </w:p>
    <w:p>
      <w:pPr>
        <w:pStyle w:val="BodyText"/>
        <w:spacing w:line="295" w:lineRule="auto" w:before="74"/>
        <w:ind w:right="306"/>
      </w:pPr>
      <w:r>
        <w:rPr>
          <w:spacing w:val="-1"/>
        </w:rPr>
        <w:t>年龄与性别 </w:t>
      </w:r>
      <w:r>
        <w:rPr/>
        <w:t>TC</w:t>
      </w:r>
      <w:r>
        <w:rPr>
          <w:spacing w:val="-12"/>
        </w:rPr>
        <w:t> 水平常随年龄而上升，但到 </w:t>
      </w:r>
      <w:r>
        <w:rPr/>
        <w:t>70</w:t>
      </w:r>
      <w:r>
        <w:rPr>
          <w:spacing w:val="-9"/>
        </w:rPr>
        <w:t> 岁以后不再上升，甚或有所下降。中青</w:t>
      </w:r>
      <w:r>
        <w:rPr>
          <w:spacing w:val="-5"/>
        </w:rPr>
        <w:t>年女性低于男性，女性绝经后 </w:t>
      </w:r>
      <w:r>
        <w:rPr/>
        <w:t>TC</w:t>
      </w:r>
      <w:r>
        <w:rPr>
          <w:spacing w:val="-8"/>
        </w:rPr>
        <w:t> 水平较同年龄男性高。</w:t>
      </w:r>
    </w:p>
    <w:p>
      <w:pPr>
        <w:pStyle w:val="BodyText"/>
        <w:spacing w:before="2"/>
        <w:ind w:left="617" w:firstLine="0"/>
      </w:pPr>
      <w:r>
        <w:rPr/>
        <w:t>饮食习惯 长期摄入高胆固醇、高饱和脂肪酸可造成 TC 升高。</w:t>
      </w:r>
    </w:p>
    <w:p>
      <w:pPr>
        <w:pStyle w:val="BodyText"/>
        <w:spacing w:line="295" w:lineRule="auto" w:before="75"/>
        <w:ind w:left="617" w:right="126" w:firstLine="0"/>
      </w:pPr>
      <w:r>
        <w:rPr>
          <w:spacing w:val="-4"/>
        </w:rPr>
        <w:t>遗传因素 与脂蛋白代谢相关酶或受体基因发生突变，是引起 </w:t>
      </w:r>
      <w:r>
        <w:rPr/>
        <w:t>TC</w:t>
      </w:r>
      <w:r>
        <w:rPr>
          <w:spacing w:val="-9"/>
        </w:rPr>
        <w:t> 显著升高的主要原因。</w:t>
      </w:r>
      <w:r>
        <w:rPr/>
        <w:t>TG</w:t>
      </w:r>
      <w:r>
        <w:rPr>
          <w:spacing w:val="-8"/>
        </w:rPr>
        <w:t> 临床上所测定的 </w:t>
      </w:r>
      <w:r>
        <w:rPr/>
        <w:t>TG</w:t>
      </w:r>
      <w:r>
        <w:rPr>
          <w:spacing w:val="-12"/>
        </w:rPr>
        <w:t> 是血浆中各类脂蛋白所含 </w:t>
      </w:r>
      <w:r>
        <w:rPr/>
        <w:t>TG</w:t>
      </w:r>
      <w:r>
        <w:rPr>
          <w:spacing w:val="-21"/>
        </w:rPr>
        <w:t> 的总和。</w:t>
      </w:r>
      <w:r>
        <w:rPr/>
        <w:t>TG</w:t>
      </w:r>
      <w:r>
        <w:rPr>
          <w:spacing w:val="-8"/>
        </w:rPr>
        <w:t> 水平也受遗传和环境因</w:t>
      </w:r>
    </w:p>
    <w:p>
      <w:pPr>
        <w:pStyle w:val="BodyText"/>
        <w:spacing w:line="297" w:lineRule="auto" w:before="2"/>
        <w:ind w:right="109" w:firstLine="0"/>
      </w:pPr>
      <w:r>
        <w:rPr>
          <w:spacing w:val="-16"/>
        </w:rPr>
        <w:t>素的双重影响。与 </w:t>
      </w:r>
      <w:r>
        <w:rPr/>
        <w:t>TC</w:t>
      </w:r>
      <w:r>
        <w:rPr>
          <w:spacing w:val="-22"/>
        </w:rPr>
        <w:t> 不同，同一个体的 </w:t>
      </w:r>
      <w:r>
        <w:rPr/>
        <w:t>TG</w:t>
      </w:r>
      <w:r>
        <w:rPr>
          <w:spacing w:val="-13"/>
        </w:rPr>
        <w:t> 水平受饮食和不同时间等因素的影响较大，所以， </w:t>
      </w:r>
      <w:r>
        <w:rPr/>
        <w:t>同一个体一日多次测定时，TG</w:t>
      </w:r>
      <w:r>
        <w:rPr>
          <w:spacing w:val="-8"/>
        </w:rPr>
        <w:t> 值可能有较大差异。</w:t>
      </w:r>
    </w:p>
    <w:p>
      <w:pPr>
        <w:pStyle w:val="BodyText"/>
        <w:spacing w:line="297" w:lineRule="auto"/>
        <w:ind w:right="227"/>
        <w:jc w:val="both"/>
      </w:pPr>
      <w:r>
        <w:rPr/>
        <w:t>HDL-C</w:t>
      </w:r>
      <w:r>
        <w:rPr>
          <w:spacing w:val="-1"/>
        </w:rPr>
        <w:t> 基础研究证实</w:t>
      </w:r>
      <w:r>
        <w:rPr/>
        <w:t>，HDL（高密度脂蛋白）能将外周组织，如血管壁内的胆固醇转运</w:t>
      </w:r>
      <w:r>
        <w:rPr>
          <w:spacing w:val="-9"/>
        </w:rPr>
        <w:t>至肝脏进行分解代谢，提示 </w:t>
      </w:r>
      <w:r>
        <w:rPr/>
        <w:t>HDL</w:t>
      </w:r>
      <w:r>
        <w:rPr>
          <w:spacing w:val="-14"/>
        </w:rPr>
        <w:t> 具有抗动脉粥样硬化作用。由于 </w:t>
      </w:r>
      <w:r>
        <w:rPr/>
        <w:t>HDL</w:t>
      </w:r>
      <w:r>
        <w:rPr>
          <w:spacing w:val="-12"/>
        </w:rPr>
        <w:t> 所含成分较多，临床上</w:t>
      </w:r>
      <w:r>
        <w:rPr>
          <w:spacing w:val="-5"/>
        </w:rPr>
        <w:t>目前尚无方法全面地检测 </w:t>
      </w:r>
      <w:r>
        <w:rPr/>
        <w:t>HDL</w:t>
      </w:r>
      <w:r>
        <w:rPr>
          <w:spacing w:val="-14"/>
        </w:rPr>
        <w:t> 的量和功能，故通过检测其所含胆固醇的量，间接了解血浆中</w:t>
      </w:r>
      <w:r>
        <w:rPr/>
        <w:t>HDL</w:t>
      </w:r>
      <w:r>
        <w:rPr>
          <w:spacing w:val="-12"/>
        </w:rPr>
        <w:t> 的多少。</w:t>
      </w:r>
    </w:p>
    <w:p>
      <w:pPr>
        <w:pStyle w:val="BodyText"/>
        <w:spacing w:line="297" w:lineRule="auto"/>
        <w:ind w:right="185"/>
        <w:jc w:val="both"/>
      </w:pPr>
      <w:r>
        <w:rPr/>
        <w:t>LDL-C LDL（低密度脂蛋白）</w:t>
      </w:r>
      <w:r>
        <w:rPr>
          <w:spacing w:val="-4"/>
        </w:rPr>
        <w:t>的代谢相对较简单，且胆固醇占 </w:t>
      </w:r>
      <w:r>
        <w:rPr/>
        <w:t>LDL</w:t>
      </w:r>
      <w:r>
        <w:rPr>
          <w:spacing w:val="-24"/>
        </w:rPr>
        <w:t> 重量的 </w:t>
      </w:r>
      <w:r>
        <w:rPr/>
        <w:t>50%左右，故通常认为，LDL-C</w:t>
      </w:r>
      <w:r>
        <w:rPr>
          <w:spacing w:val="-13"/>
        </w:rPr>
        <w:t> 浓度基本能反映血液 </w:t>
      </w:r>
      <w:r>
        <w:rPr/>
        <w:t>LDL</w:t>
      </w:r>
      <w:r>
        <w:rPr>
          <w:spacing w:val="-15"/>
        </w:rPr>
        <w:t> 总量。</w:t>
      </w:r>
      <w:r>
        <w:rPr/>
        <w:t>LDL-C</w:t>
      </w:r>
      <w:r>
        <w:rPr>
          <w:spacing w:val="-8"/>
        </w:rPr>
        <w:t> 增高是动脉粥样硬化发生、发展的主要脂质危险因素。一般情况下，LDL-C</w:t>
      </w:r>
      <w:r>
        <w:rPr>
          <w:spacing w:val="-40"/>
        </w:rPr>
        <w:t> 与 </w:t>
      </w:r>
      <w:r>
        <w:rPr/>
        <w:t>TC</w:t>
      </w:r>
      <w:r>
        <w:rPr>
          <w:spacing w:val="-18"/>
        </w:rPr>
        <w:t> 相平行。但 </w:t>
      </w:r>
      <w:r>
        <w:rPr/>
        <w:t>TC</w:t>
      </w:r>
      <w:r>
        <w:rPr>
          <w:spacing w:val="-20"/>
        </w:rPr>
        <w:t> 水平也受 </w:t>
      </w:r>
      <w:r>
        <w:rPr/>
        <w:t>HDL-C</w:t>
      </w:r>
      <w:r>
        <w:rPr>
          <w:spacing w:val="-11"/>
        </w:rPr>
        <w:t> 水平的影响， </w:t>
      </w:r>
      <w:r>
        <w:rPr>
          <w:spacing w:val="-13"/>
        </w:rPr>
        <w:t>最好采用 </w:t>
      </w:r>
      <w:r>
        <w:rPr/>
        <w:t>LDL-C</w:t>
      </w:r>
      <w:r>
        <w:rPr>
          <w:spacing w:val="-30"/>
        </w:rPr>
        <w:t> 取代 </w:t>
      </w:r>
      <w:r>
        <w:rPr/>
        <w:t>TC</w:t>
      </w:r>
      <w:r>
        <w:rPr>
          <w:spacing w:val="-8"/>
        </w:rPr>
        <w:t> 作为对冠心病及其他动脉粥样硬化性疾病的危险性评估。上述影响TC</w:t>
      </w:r>
      <w:r>
        <w:rPr>
          <w:spacing w:val="-12"/>
        </w:rPr>
        <w:t> 水平的因素均可同样影响 </w:t>
      </w:r>
      <w:r>
        <w:rPr/>
        <w:t>LDL-C</w:t>
      </w:r>
      <w:r>
        <w:rPr>
          <w:spacing w:val="-15"/>
        </w:rPr>
        <w:t> 水平。</w:t>
      </w:r>
    </w:p>
    <w:p>
      <w:pPr>
        <w:pStyle w:val="Heading3"/>
        <w:spacing w:line="302" w:lineRule="exact"/>
      </w:pPr>
      <w:r>
        <w:rPr/>
        <w:t>血脂异常处理原则</w:t>
      </w:r>
    </w:p>
    <w:p>
      <w:pPr>
        <w:pStyle w:val="BodyText"/>
        <w:spacing w:line="297" w:lineRule="auto" w:before="64"/>
        <w:ind w:right="227"/>
      </w:pPr>
      <w:r>
        <w:rPr>
          <w:spacing w:val="-3"/>
        </w:rPr>
        <w:t>纠正血脂异常的目的在于降低缺血性心脑血管疾病</w:t>
      </w:r>
      <w:r>
        <w:rPr/>
        <w:t>（冠心病和缺血性脑卒中</w:t>
      </w:r>
      <w:r>
        <w:rPr>
          <w:spacing w:val="-51"/>
        </w:rPr>
        <w:t>）</w:t>
      </w:r>
      <w:r>
        <w:rPr>
          <w:spacing w:val="-4"/>
        </w:rPr>
        <w:t>的患病率</w:t>
      </w:r>
      <w:r>
        <w:rPr/>
        <w:t>和死亡率。TC、LDL-C</w:t>
      </w:r>
      <w:r>
        <w:rPr>
          <w:spacing w:val="-41"/>
        </w:rPr>
        <w:t> 和 </w:t>
      </w:r>
      <w:r>
        <w:rPr/>
        <w:t>TG</w:t>
      </w:r>
      <w:r>
        <w:rPr>
          <w:spacing w:val="-12"/>
        </w:rPr>
        <w:t> 增高是冠心病的危险因素，其中以 </w:t>
      </w:r>
      <w:r>
        <w:rPr/>
        <w:t>LDL-C</w:t>
      </w:r>
      <w:r>
        <w:rPr>
          <w:spacing w:val="-16"/>
        </w:rPr>
        <w:t> 最为重要，而 </w:t>
      </w:r>
      <w:r>
        <w:rPr/>
        <w:t>HDL-C 则被认为是冠心病的保护因素。</w:t>
      </w:r>
    </w:p>
    <w:p>
      <w:pPr>
        <w:pStyle w:val="BodyText"/>
        <w:spacing w:line="297" w:lineRule="auto"/>
        <w:ind w:right="227"/>
        <w:jc w:val="both"/>
      </w:pPr>
      <w:r>
        <w:rPr/>
        <w:t>继发性血脂异常应以治疗原发病为主 如糖尿病、甲状腺功能减退症，经控制后，血脂</w:t>
      </w:r>
      <w:r>
        <w:rPr>
          <w:spacing w:val="-10"/>
        </w:rPr>
        <w:t>有可能恢复正常。但是原发性和继发性血脂异常可能同时存在，如原发病经过治疗正常一段</w:t>
      </w:r>
      <w:r>
        <w:rPr/>
        <w:t>时期后，血脂异常仍然存在，考虑同时有原发性血脂异常，需给予相应治疗。</w:t>
      </w:r>
    </w:p>
    <w:p>
      <w:pPr>
        <w:pStyle w:val="BodyText"/>
        <w:spacing w:line="304" w:lineRule="exact"/>
        <w:ind w:left="617" w:firstLine="0"/>
        <w:jc w:val="both"/>
      </w:pPr>
      <w:r>
        <w:rPr/>
        <w:t>综合治疗 健康生活方式是首要且基本的治疗措施，药物治疗需严格掌握指征。</w:t>
      </w:r>
    </w:p>
    <w:p>
      <w:pPr>
        <w:pStyle w:val="BodyText"/>
        <w:spacing w:line="297" w:lineRule="auto" w:before="71"/>
        <w:ind w:right="127"/>
      </w:pPr>
      <w:r>
        <w:rPr>
          <w:spacing w:val="-1"/>
        </w:rPr>
        <w:t>防治目标水平 一是根据是否有冠心病或冠心病等危症，以及有无心血管危险因素，结</w:t>
      </w:r>
      <w:r>
        <w:rPr>
          <w:spacing w:val="-2"/>
        </w:rPr>
        <w:t>合血脂水平以综合评估心血管病的发病危险，将人群进行血脂异常危险分层。危险性越高， </w:t>
      </w:r>
      <w:r>
        <w:rPr/>
        <w:t>调脂治疗应越积极。其他危险因素包括：年龄（男≥45</w:t>
      </w:r>
      <w:r>
        <w:rPr>
          <w:spacing w:val="-15"/>
        </w:rPr>
        <w:t> 岁，女</w:t>
      </w:r>
      <w:r>
        <w:rPr/>
        <w:t>≥55</w:t>
      </w:r>
      <w:r>
        <w:rPr>
          <w:spacing w:val="-14"/>
        </w:rPr>
        <w:t> 岁)、吸烟、低 </w:t>
      </w:r>
      <w:r>
        <w:rPr/>
        <w:t>HDL-C、</w:t>
      </w:r>
      <w:r>
        <w:rPr>
          <w:spacing w:val="-2"/>
        </w:rPr>
        <w:t>肥胖和有早发缺血性心血管病家族史。冠心病等危症是指非冠心病者 </w:t>
      </w:r>
      <w:r>
        <w:rPr/>
        <w:t>10</w:t>
      </w:r>
      <w:r>
        <w:rPr>
          <w:spacing w:val="-8"/>
        </w:rPr>
        <w:t> 年内发生主要冠状</w:t>
      </w:r>
      <w:r>
        <w:rPr>
          <w:spacing w:val="-14"/>
        </w:rPr>
        <w:t>动脉事件的危险与已患冠心病者同等，包括有临床表现的冠状动脉以外动脉的动脉粥样硬化</w:t>
      </w:r>
    </w:p>
    <w:p>
      <w:pPr>
        <w:pStyle w:val="BodyText"/>
        <w:spacing w:line="297" w:lineRule="auto"/>
        <w:ind w:right="226" w:firstLine="0"/>
        <w:jc w:val="both"/>
      </w:pPr>
      <w:r>
        <w:rPr/>
        <w:t>（</w:t>
      </w:r>
      <w:r>
        <w:rPr>
          <w:spacing w:val="-5"/>
        </w:rPr>
        <w:t>如缺血性脑卒中、周围动脉疾病、腹主动脉瘤和颈动脉狭窄等</w:t>
      </w:r>
      <w:r>
        <w:rPr>
          <w:spacing w:val="-22"/>
        </w:rPr>
        <w:t>）</w:t>
      </w:r>
      <w:r>
        <w:rPr>
          <w:spacing w:val="-7"/>
        </w:rPr>
        <w:t>、糖尿病。二是根据血脂</w:t>
      </w:r>
      <w:r>
        <w:rPr>
          <w:spacing w:val="-10"/>
        </w:rPr>
        <w:t>异常的危险等级指导临床治疗措施以及决定 </w:t>
      </w:r>
      <w:r>
        <w:rPr/>
        <w:t>TC</w:t>
      </w:r>
      <w:r>
        <w:rPr>
          <w:spacing w:val="-40"/>
        </w:rPr>
        <w:t> 和 </w:t>
      </w:r>
      <w:r>
        <w:rPr/>
        <w:t>LDL-C</w:t>
      </w:r>
      <w:r>
        <w:rPr>
          <w:spacing w:val="-19"/>
        </w:rPr>
        <w:t> 的目标水平。此外，血清 </w:t>
      </w:r>
      <w:r>
        <w:rPr/>
        <w:t>TG</w:t>
      </w:r>
      <w:r>
        <w:rPr>
          <w:spacing w:val="-19"/>
        </w:rPr>
        <w:t> 的理想</w:t>
      </w:r>
      <w:r>
        <w:rPr/>
        <w:t>水平是&lt;1.70mmol/L，HDL-C</w:t>
      </w:r>
      <w:r>
        <w:rPr>
          <w:spacing w:val="-10"/>
        </w:rPr>
        <w:t> 的理想水平为</w:t>
      </w:r>
      <w:r>
        <w:rPr/>
        <w:t>≥1.04mmol/L。</w:t>
      </w:r>
    </w:p>
    <w:p>
      <w:pPr>
        <w:spacing w:after="0" w:line="297" w:lineRule="auto"/>
        <w:jc w:val="both"/>
        <w:sectPr>
          <w:pgSz w:w="11910" w:h="16850"/>
          <w:pgMar w:header="906" w:footer="607" w:top="1100" w:bottom="800" w:left="1140" w:right="900"/>
        </w:sectPr>
      </w:pPr>
    </w:p>
    <w:p>
      <w:pPr>
        <w:pStyle w:val="Heading3"/>
        <w:spacing w:before="65"/>
      </w:pPr>
      <w:r>
        <w:rPr/>
        <w:t>用药注意事项与患者教育</w:t>
      </w:r>
    </w:p>
    <w:p>
      <w:pPr>
        <w:pStyle w:val="BodyText"/>
        <w:spacing w:line="295" w:lineRule="auto" w:before="72"/>
        <w:ind w:right="229"/>
      </w:pPr>
      <w:r>
        <w:rPr>
          <w:spacing w:val="-12"/>
        </w:rPr>
        <w:t>患有血脂异常、动脉硬化或糖尿病等心脑血管疾病的高危患者需要在医生的指导下长期</w:t>
      </w:r>
      <w:r>
        <w:rPr/>
        <w:t>甚至终生接受调脂治疗。不同个体对同一药物的疗效和不良反应差异很大。</w:t>
      </w:r>
    </w:p>
    <w:p>
      <w:pPr>
        <w:pStyle w:val="BodyText"/>
        <w:spacing w:line="295" w:lineRule="auto" w:before="4"/>
        <w:ind w:right="367"/>
      </w:pPr>
      <w:r>
        <w:rPr>
          <w:spacing w:val="-1"/>
        </w:rPr>
        <w:t>他汀类药物多数需要晚间或睡前服用，阿托伐他汀与瑞舒伐他汀可于每天固定时间服</w:t>
      </w:r>
      <w:r>
        <w:rPr/>
        <w:t>用。</w:t>
      </w:r>
    </w:p>
    <w:p>
      <w:pPr>
        <w:pStyle w:val="BodyText"/>
        <w:spacing w:line="297" w:lineRule="auto" w:before="2"/>
        <w:ind w:right="227"/>
      </w:pPr>
      <w:r>
        <w:rPr>
          <w:spacing w:val="-6"/>
        </w:rPr>
        <w:t>患者服药期间如出现不明原因的肌痛或压痛，尤其是伴有全身不适或发热时，应立即就</w:t>
      </w:r>
      <w:r>
        <w:rPr/>
        <w:t>诊。</w:t>
      </w:r>
    </w:p>
    <w:p>
      <w:pPr>
        <w:pStyle w:val="BodyText"/>
        <w:spacing w:line="297" w:lineRule="auto"/>
        <w:ind w:right="107"/>
      </w:pPr>
      <w:r>
        <w:rPr>
          <w:spacing w:val="-8"/>
        </w:rPr>
        <w:t>药物治疗过程中，应监测血脂水平和不良反应，定期检查肌酶、肝功能、肾功能和血常</w:t>
      </w:r>
      <w:r>
        <w:rPr>
          <w:spacing w:val="-16"/>
        </w:rPr>
        <w:t>规等。由于老年人罹患心血管病的绝对危险度高于一般成年人，其调脂治疗的收益可能较好。</w:t>
      </w:r>
      <w:r>
        <w:rPr>
          <w:spacing w:val="-5"/>
        </w:rPr>
        <w:t>共病的老年患者常需服用多种药物治疗，加之老化带来的肝、肾功能减退，易于发生药物相</w:t>
      </w:r>
      <w:r>
        <w:rPr>
          <w:spacing w:val="-17"/>
        </w:rPr>
        <w:t>互作用和不良反应。因此，调脂药物剂量的选择需要个体化，起始剂量不宜大，应在监测肝、</w:t>
      </w:r>
      <w:r>
        <w:rPr>
          <w:spacing w:val="-13"/>
        </w:rPr>
        <w:t>肾功能和 </w:t>
      </w:r>
      <w:r>
        <w:rPr/>
        <w:t>CK（肌酸激酶）的条件下合理调整药物用量。在出现肌无力、肌痛等症状时需与</w:t>
      </w:r>
      <w:r>
        <w:rPr>
          <w:spacing w:val="-3"/>
        </w:rPr>
        <w:t>老年性骨、关节和肌肉疾病鉴别，及时复查血清 </w:t>
      </w:r>
      <w:r>
        <w:rPr/>
        <w:t>CK</w:t>
      </w:r>
      <w:r>
        <w:rPr>
          <w:spacing w:val="-15"/>
        </w:rPr>
        <w:t> 水平。</w:t>
      </w:r>
    </w:p>
    <w:p>
      <w:pPr>
        <w:pStyle w:val="BodyText"/>
        <w:spacing w:line="297" w:lineRule="auto"/>
        <w:ind w:right="127"/>
        <w:jc w:val="both"/>
      </w:pPr>
      <w:r>
        <w:rPr/>
        <w:t>医学营养治疗是治疗血脂异常的基础，需长期坚持。营养治疗应根据血脂异常的程度、分型以及性别、年龄和劳动强度等安排食谱。饮食中减少饱和脂肪酸摄入（&lt;总热量的 7%） 和胆固醇摄入（&lt;200mg/d），补充可溶性膳食纤维（10g/d～25g/d）。</w:t>
      </w:r>
    </w:p>
    <w:p>
      <w:pPr>
        <w:pStyle w:val="BodyText"/>
        <w:spacing w:line="416" w:lineRule="exact"/>
        <w:ind w:left="617" w:firstLine="0"/>
        <w:rPr>
          <w:rFonts w:ascii="Meiryo" w:eastAsia="Meiryo" w:hint="eastAsia"/>
          <w:b/>
        </w:rPr>
      </w:pPr>
      <w:r>
        <w:rPr/>
        <w:t>增加有规律的体力活动，控制体重；戒烟、限盐、限制饮酒，禁饮烈性酒。</w:t>
      </w:r>
      <w:r>
        <w:rPr>
          <w:rFonts w:ascii="Meiryo" w:eastAsia="Meiryo" w:hint="eastAsia"/>
          <w:b/>
          <w:color w:val="0033CC"/>
        </w:rPr>
        <w:t>[返回目次]</w:t>
      </w:r>
    </w:p>
    <w:p>
      <w:pPr>
        <w:pStyle w:val="Heading2"/>
        <w:spacing w:before="183"/>
        <w:ind w:left="790"/>
      </w:pPr>
      <w:bookmarkStart w:name="_TOC_250009" w:id="18"/>
      <w:bookmarkEnd w:id="18"/>
      <w:r>
        <w:rPr>
          <w:spacing w:val="-11"/>
          <w:w w:val="99"/>
        </w:rPr>
        <w:t>肺炎球菌“趁凉到货”，预防接种疫苗，真的越贵越好吗？</w:t>
      </w:r>
    </w:p>
    <w:p>
      <w:pPr>
        <w:pStyle w:val="Heading3"/>
        <w:spacing w:before="148"/>
        <w:ind w:left="6260"/>
        <w:rPr>
          <w:rFonts w:ascii="楷体" w:eastAsia="楷体" w:hint="eastAsia"/>
        </w:rPr>
      </w:pPr>
      <w:r>
        <w:rPr>
          <w:rFonts w:ascii="楷体" w:eastAsia="楷体" w:hint="eastAsia"/>
          <w:color w:val="FF0000"/>
        </w:rPr>
        <w:t>（来源：药葫芦娃微信公众号）</w:t>
      </w:r>
    </w:p>
    <w:p>
      <w:pPr>
        <w:pStyle w:val="BodyText"/>
        <w:spacing w:line="295" w:lineRule="auto" w:before="95"/>
        <w:ind w:left="617" w:right="1566" w:firstLine="0"/>
      </w:pPr>
      <w:r>
        <w:rPr/>
        <w:t>随着冷空气的陆续“到货”，宝妈宝爸们一年中最操劳的时间终于来临。每年 11 月至次年的 4 月，是上呼吸道疾病的高发时节。</w:t>
      </w:r>
    </w:p>
    <w:p>
      <w:pPr>
        <w:pStyle w:val="BodyText"/>
        <w:spacing w:line="295" w:lineRule="auto" w:before="5"/>
        <w:ind w:right="110"/>
      </w:pPr>
      <w:r>
        <w:rPr>
          <w:spacing w:val="-13"/>
        </w:rPr>
        <w:t>药娃在这里提醒各位宝妈宝爸们，发现宝宝有咳嗽、发热等症状，家长们一定不要警惕， </w:t>
      </w:r>
      <w:r>
        <w:rPr/>
        <w:t>小心一不留神，疾病就会发展成肺炎！</w:t>
      </w:r>
    </w:p>
    <w:p>
      <w:pPr>
        <w:pStyle w:val="BodyText"/>
        <w:spacing w:line="297" w:lineRule="auto" w:before="2"/>
        <w:ind w:right="245"/>
      </w:pPr>
      <w:r>
        <w:rPr/>
        <w:t>世界卫生组织资料显示，2016</w:t>
      </w:r>
      <w:r>
        <w:rPr>
          <w:spacing w:val="-18"/>
        </w:rPr>
        <w:t> 年肺炎造成 </w:t>
      </w:r>
      <w:r>
        <w:rPr/>
        <w:t>92</w:t>
      </w:r>
      <w:r>
        <w:rPr>
          <w:spacing w:val="-40"/>
        </w:rPr>
        <w:t> 万 </w:t>
      </w:r>
      <w:r>
        <w:rPr/>
        <w:t>5</w:t>
      </w:r>
      <w:r>
        <w:rPr>
          <w:spacing w:val="-13"/>
        </w:rPr>
        <w:t> 岁以下儿童死亡，其中 </w:t>
      </w:r>
      <w:r>
        <w:rPr/>
        <w:t>98%</w:t>
      </w:r>
      <w:r>
        <w:rPr>
          <w:spacing w:val="-4"/>
        </w:rPr>
        <w:t>来自发展</w:t>
      </w:r>
      <w:r>
        <w:rPr>
          <w:spacing w:val="-5"/>
        </w:rPr>
        <w:t>中国家。肺炎也是当前我国 </w:t>
      </w:r>
      <w:r>
        <w:rPr/>
        <w:t>5</w:t>
      </w:r>
      <w:r>
        <w:rPr>
          <w:spacing w:val="-8"/>
        </w:rPr>
        <w:t> 岁以下儿童死亡的主要原因之一。</w:t>
      </w:r>
    </w:p>
    <w:p>
      <w:pPr>
        <w:pStyle w:val="BodyText"/>
        <w:spacing w:line="295" w:lineRule="auto"/>
        <w:ind w:right="227"/>
      </w:pPr>
      <w:r>
        <w:rPr>
          <w:spacing w:val="-6"/>
        </w:rPr>
        <w:t>在导致儿童肺炎的众多病因中，有一个病因不得不提，那就是——肺炎链球菌</w:t>
      </w:r>
      <w:r>
        <w:rPr/>
        <w:t>（</w:t>
      </w:r>
      <w:r>
        <w:rPr>
          <w:spacing w:val="-6"/>
        </w:rPr>
        <w:t>又称肺</w:t>
      </w:r>
      <w:r>
        <w:rPr/>
        <w:t>炎球菌），它是造成儿童群体重症肺炎的主要病原体。</w:t>
      </w:r>
    </w:p>
    <w:p>
      <w:pPr>
        <w:pStyle w:val="BodyText"/>
        <w:spacing w:line="295" w:lineRule="auto" w:before="3"/>
        <w:ind w:right="227"/>
        <w:jc w:val="both"/>
      </w:pPr>
      <w:r>
        <w:rPr>
          <w:spacing w:val="-3"/>
        </w:rPr>
        <w:t>肺炎球菌主要通过飞沫传播，儿童是其主要携带和传播人群。</w:t>
      </w:r>
      <w:r>
        <w:rPr/>
        <w:t>1</w:t>
      </w:r>
      <w:r>
        <w:rPr>
          <w:spacing w:val="-9"/>
        </w:rPr>
        <w:t> 岁以内的婴幼儿由于自</w:t>
      </w:r>
      <w:r>
        <w:rPr>
          <w:spacing w:val="-7"/>
        </w:rPr>
        <w:t>身免疫系统发育尚不完善，对细菌和病毒的抵抗力很弱，很有可能发生肺炎球菌感染，引发</w:t>
      </w:r>
      <w:r>
        <w:rPr/>
        <w:t>肺炎、中耳炎、支气管炎、脑膜炎等一系列严重疾病。</w:t>
      </w:r>
    </w:p>
    <w:p>
      <w:pPr>
        <w:pStyle w:val="BodyText"/>
        <w:spacing w:line="295" w:lineRule="auto" w:before="5"/>
        <w:ind w:right="230"/>
      </w:pPr>
      <w:r>
        <w:rPr>
          <w:spacing w:val="-9"/>
        </w:rPr>
        <w:t>更可怕的是，虽然抗生素能够治疗肺炎球菌感染，但是近些年，由于抗生素的滥用，导</w:t>
      </w:r>
      <w:r>
        <w:rPr/>
        <w:t>致肺炎链球菌的耐药性问题日益严重，使得临床治疗难度大大增加。</w:t>
      </w:r>
    </w:p>
    <w:p>
      <w:pPr>
        <w:pStyle w:val="BodyText"/>
        <w:spacing w:line="297" w:lineRule="auto" w:before="2"/>
        <w:ind w:right="228"/>
      </w:pPr>
      <w:r>
        <w:rPr>
          <w:spacing w:val="-7"/>
        </w:rPr>
        <w:t>疫苗是对抗肺炎球菌性疾病的上策，但目前很多家长这方面的知识掌握还不够，孩子错</w:t>
      </w:r>
      <w:r>
        <w:rPr/>
        <w:t>失疫苗最佳接种时间。</w:t>
      </w:r>
    </w:p>
    <w:p>
      <w:pPr>
        <w:pStyle w:val="ListParagraph"/>
        <w:numPr>
          <w:ilvl w:val="0"/>
          <w:numId w:val="2"/>
        </w:numPr>
        <w:tabs>
          <w:tab w:pos="918" w:val="left" w:leader="none"/>
        </w:tabs>
        <w:spacing w:line="295" w:lineRule="auto" w:before="0" w:after="0"/>
        <w:ind w:left="137" w:right="230" w:firstLine="480"/>
        <w:jc w:val="left"/>
        <w:rPr>
          <w:sz w:val="24"/>
        </w:rPr>
      </w:pPr>
      <w:r>
        <w:rPr>
          <w:spacing w:val="-30"/>
          <w:sz w:val="24"/>
        </w:rPr>
        <w:t>月 </w:t>
      </w:r>
      <w:r>
        <w:rPr>
          <w:sz w:val="24"/>
        </w:rPr>
        <w:t>12</w:t>
      </w:r>
      <w:r>
        <w:rPr>
          <w:spacing w:val="-11"/>
          <w:sz w:val="24"/>
        </w:rPr>
        <w:t> 日是世界肺炎日，药娃就来给各位宝妈宝爸们科普一下怎么带宝宝接种肺炎球</w:t>
      </w:r>
      <w:r>
        <w:rPr>
          <w:sz w:val="24"/>
        </w:rPr>
        <w:t>菌疫苗。</w:t>
      </w:r>
    </w:p>
    <w:p>
      <w:pPr>
        <w:pStyle w:val="Heading3"/>
        <w:spacing w:before="3"/>
      </w:pPr>
      <w:r>
        <w:rPr/>
        <w:t>所有的疫苗都适合宝宝接种吗？</w:t>
      </w:r>
    </w:p>
    <w:p>
      <w:pPr>
        <w:spacing w:after="0"/>
        <w:sectPr>
          <w:pgSz w:w="11910" w:h="16850"/>
          <w:pgMar w:header="906" w:footer="607" w:top="1100" w:bottom="800" w:left="1140" w:right="900"/>
        </w:sectPr>
      </w:pPr>
    </w:p>
    <w:p>
      <w:pPr>
        <w:pStyle w:val="BodyText"/>
        <w:spacing w:line="295" w:lineRule="auto" w:before="65"/>
        <w:ind w:right="245"/>
      </w:pPr>
      <w:r>
        <w:rPr/>
        <w:t>目前普遍应用的预防肺炎链球菌疾病的疫苗主要有两类：肺炎球菌多糖疫苗（PPV）和肺炎球菌多糖结合疫苗（PCV）。</w:t>
      </w:r>
    </w:p>
    <w:p>
      <w:pPr>
        <w:pStyle w:val="BodyText"/>
        <w:spacing w:line="297" w:lineRule="auto" w:before="2"/>
        <w:ind w:right="125"/>
      </w:pPr>
      <w:r>
        <w:rPr>
          <w:spacing w:val="-6"/>
        </w:rPr>
        <w:t>在我国批准上市的仅有 </w:t>
      </w:r>
      <w:r>
        <w:rPr/>
        <w:t>PPV23（</w:t>
      </w:r>
      <w:r>
        <w:rPr>
          <w:spacing w:val="-20"/>
        </w:rPr>
        <w:t>包含 </w:t>
      </w:r>
      <w:r>
        <w:rPr/>
        <w:t>1、2、3、4、5、6B、7F、8、9N、9V、10A、11A</w:t>
      </w:r>
      <w:r>
        <w:rPr>
          <w:spacing w:val="-16"/>
        </w:rPr>
        <w:t>、</w:t>
      </w:r>
      <w:r>
        <w:rPr/>
        <w:t>12F、14、15B、17F、18C、19A、19F、20、22F、23F</w:t>
      </w:r>
      <w:r>
        <w:rPr>
          <w:spacing w:val="-41"/>
        </w:rPr>
        <w:t> 和 </w:t>
      </w:r>
      <w:r>
        <w:rPr/>
        <w:t>33F</w:t>
      </w:r>
      <w:r>
        <w:rPr>
          <w:spacing w:val="-40"/>
        </w:rPr>
        <w:t> 型 </w:t>
      </w:r>
      <w:r>
        <w:rPr/>
        <w:t>23</w:t>
      </w:r>
      <w:r>
        <w:rPr>
          <w:spacing w:val="-12"/>
        </w:rPr>
        <w:t> 种血清型</w:t>
      </w:r>
      <w:r>
        <w:rPr/>
        <w:t>）</w:t>
      </w:r>
      <w:r>
        <w:rPr>
          <w:spacing w:val="-30"/>
        </w:rPr>
        <w:t>和 </w:t>
      </w:r>
      <w:r>
        <w:rPr/>
        <w:t>PCV13（包</w:t>
      </w:r>
      <w:r>
        <w:rPr>
          <w:spacing w:val="-31"/>
        </w:rPr>
        <w:t>含 </w:t>
      </w:r>
      <w:r>
        <w:rPr/>
        <w:t>1、3、4、5、6A、6B、7F、9V、14、18C、19A、19F</w:t>
      </w:r>
      <w:r>
        <w:rPr>
          <w:spacing w:val="-40"/>
        </w:rPr>
        <w:t> 和 </w:t>
      </w:r>
      <w:r>
        <w:rPr/>
        <w:t>23F</w:t>
      </w:r>
      <w:r>
        <w:rPr>
          <w:spacing w:val="-40"/>
        </w:rPr>
        <w:t> 型 </w:t>
      </w:r>
      <w:r>
        <w:rPr/>
        <w:t>13</w:t>
      </w:r>
      <w:r>
        <w:rPr>
          <w:spacing w:val="-9"/>
        </w:rPr>
        <w:t> 个常见血清型</w:t>
      </w:r>
      <w:r>
        <w:rPr/>
        <w:t>）两种， 这两种疫苗所包含的血清型覆盖了各个国家地区大多数致病的血清型。</w:t>
      </w:r>
    </w:p>
    <w:p>
      <w:pPr>
        <w:pStyle w:val="BodyText"/>
        <w:spacing w:line="304" w:lineRule="exact"/>
        <w:ind w:left="617" w:firstLine="0"/>
      </w:pPr>
      <w:r>
        <w:rPr/>
        <w:t>PPV23 覆盖的血清型有 23 种，PCV13 覆盖的血清型有 13 种。</w:t>
      </w:r>
    </w:p>
    <w:p>
      <w:pPr>
        <w:pStyle w:val="BodyText"/>
        <w:spacing w:line="295" w:lineRule="auto" w:before="72"/>
        <w:ind w:right="228"/>
      </w:pPr>
      <w:r>
        <w:rPr>
          <w:spacing w:val="-5"/>
        </w:rPr>
        <w:t>但家长们可千万不要以为 </w:t>
      </w:r>
      <w:r>
        <w:rPr/>
        <w:t>PPV23</w:t>
      </w:r>
      <w:r>
        <w:rPr>
          <w:spacing w:val="-13"/>
        </w:rPr>
        <w:t> 覆盖的范围广，就想当然地选择 </w:t>
      </w:r>
      <w:r>
        <w:rPr>
          <w:spacing w:val="-4"/>
        </w:rPr>
        <w:t>PPV23，其实它也有先</w:t>
      </w:r>
      <w:r>
        <w:rPr/>
        <w:t>天性弱点：在学龄前儿童中的免疫保护作用差。</w:t>
      </w:r>
    </w:p>
    <w:p>
      <w:pPr>
        <w:pStyle w:val="BodyText"/>
        <w:spacing w:line="295" w:lineRule="auto" w:before="5"/>
        <w:ind w:right="126"/>
      </w:pPr>
      <w:r>
        <w:rPr/>
        <w:t>PPV23</w:t>
      </w:r>
      <w:r>
        <w:rPr>
          <w:spacing w:val="-8"/>
        </w:rPr>
        <w:t> 为非Ｔ细胞依赖性抗原</w:t>
      </w:r>
      <w:r>
        <w:rPr/>
        <w:t>，2</w:t>
      </w:r>
      <w:r>
        <w:rPr>
          <w:spacing w:val="-11"/>
        </w:rPr>
        <w:t> 岁以下婴幼儿因为免疫功能发育尚不完善，对 </w:t>
      </w:r>
      <w:r>
        <w:rPr/>
        <w:t>T</w:t>
      </w:r>
      <w:r>
        <w:rPr>
          <w:spacing w:val="-20"/>
        </w:rPr>
        <w:t> 细胞</w:t>
      </w:r>
      <w:r>
        <w:rPr>
          <w:spacing w:val="-23"/>
        </w:rPr>
        <w:t>非依赖性抗原的反应很差，所以接种 </w:t>
      </w:r>
      <w:r>
        <w:rPr/>
        <w:t>PPV23</w:t>
      </w:r>
      <w:r>
        <w:rPr>
          <w:spacing w:val="-40"/>
        </w:rPr>
        <w:t> 对 </w:t>
      </w:r>
      <w:r>
        <w:rPr/>
        <w:t>2</w:t>
      </w:r>
      <w:r>
        <w:rPr>
          <w:spacing w:val="-9"/>
        </w:rPr>
        <w:t> 岁以内的儿童很难产生足够且持久的抗体。</w:t>
      </w:r>
    </w:p>
    <w:p>
      <w:pPr>
        <w:pStyle w:val="BodyText"/>
        <w:spacing w:line="297" w:lineRule="auto" w:before="1"/>
        <w:ind w:right="229"/>
      </w:pPr>
      <w:r>
        <w:rPr>
          <w:spacing w:val="-21"/>
        </w:rPr>
        <w:t>接种 </w:t>
      </w:r>
      <w:r>
        <w:rPr/>
        <w:t>PPV23</w:t>
      </w:r>
      <w:r>
        <w:rPr>
          <w:spacing w:val="-16"/>
        </w:rPr>
        <w:t> 不能诱导婴幼儿产生保护性免疫应答，不能用于 </w:t>
      </w:r>
      <w:r>
        <w:rPr/>
        <w:t>2</w:t>
      </w:r>
      <w:r>
        <w:rPr>
          <w:spacing w:val="-9"/>
        </w:rPr>
        <w:t> 岁以下儿童的预防肺炎链</w:t>
      </w:r>
      <w:r>
        <w:rPr/>
        <w:t>球菌感染。</w:t>
      </w:r>
    </w:p>
    <w:p>
      <w:pPr>
        <w:pStyle w:val="BodyText"/>
        <w:spacing w:line="295" w:lineRule="auto"/>
        <w:ind w:right="306"/>
      </w:pPr>
      <w:r>
        <w:rPr>
          <w:spacing w:val="-21"/>
        </w:rPr>
        <w:t>再说 </w:t>
      </w:r>
      <w:r>
        <w:rPr/>
        <w:t>PCV13，</w:t>
      </w:r>
      <w:r>
        <w:rPr>
          <w:spacing w:val="-5"/>
        </w:rPr>
        <w:t>虽然它所覆盖的血清型范围较 </w:t>
      </w:r>
      <w:r>
        <w:rPr/>
        <w:t>PPV23</w:t>
      </w:r>
      <w:r>
        <w:rPr>
          <w:spacing w:val="-30"/>
        </w:rPr>
        <w:t> 少了 </w:t>
      </w:r>
      <w:r>
        <w:rPr/>
        <w:t>10</w:t>
      </w:r>
      <w:r>
        <w:rPr>
          <w:spacing w:val="-9"/>
        </w:rPr>
        <w:t> 个，但接种时，家长们会发</w:t>
      </w:r>
      <w:r>
        <w:rPr>
          <w:spacing w:val="-11"/>
        </w:rPr>
        <w:t>现价格却较 </w:t>
      </w:r>
      <w:r>
        <w:rPr/>
        <w:t>PPV23</w:t>
      </w:r>
      <w:r>
        <w:rPr>
          <w:spacing w:val="-8"/>
        </w:rPr>
        <w:t> 翻了好几倍，这是为什么呢？</w:t>
      </w:r>
    </w:p>
    <w:p>
      <w:pPr>
        <w:pStyle w:val="BodyText"/>
        <w:spacing w:line="295" w:lineRule="auto" w:before="3"/>
        <w:ind w:right="229"/>
        <w:jc w:val="both"/>
      </w:pPr>
      <w:r>
        <w:rPr>
          <w:spacing w:val="-7"/>
        </w:rPr>
        <w:t>重点就在“结合”这 </w:t>
      </w:r>
      <w:r>
        <w:rPr/>
        <w:t>2</w:t>
      </w:r>
      <w:r>
        <w:rPr>
          <w:spacing w:val="-21"/>
        </w:rPr>
        <w:t> 字上。</w:t>
      </w:r>
      <w:r>
        <w:rPr/>
        <w:t>PCV13</w:t>
      </w:r>
      <w:r>
        <w:rPr>
          <w:spacing w:val="-10"/>
        </w:rPr>
        <w:t> 是多糖结合疫苗，它采用化学方法将每种血清型的</w:t>
      </w:r>
      <w:r>
        <w:rPr>
          <w:spacing w:val="-3"/>
        </w:rPr>
        <w:t>多糖抗原共价结合在蛋白载体上，因为它的存在，</w:t>
      </w:r>
      <w:r>
        <w:rPr>
          <w:spacing w:val="-11"/>
        </w:rPr>
        <w:t>2</w:t>
      </w:r>
      <w:r>
        <w:rPr>
          <w:spacing w:val="-9"/>
        </w:rPr>
        <w:t> 岁以下宝宝便可以产生有效且持久的抗</w:t>
      </w:r>
      <w:r>
        <w:rPr/>
        <w:t>体。</w:t>
      </w:r>
    </w:p>
    <w:p>
      <w:pPr>
        <w:pStyle w:val="BodyText"/>
        <w:spacing w:line="295" w:lineRule="auto" w:before="6"/>
        <w:ind w:right="226"/>
        <w:jc w:val="both"/>
      </w:pPr>
      <w:r>
        <w:rPr>
          <w:spacing w:val="-21"/>
        </w:rPr>
        <w:t>接种 </w:t>
      </w:r>
      <w:r>
        <w:rPr/>
        <w:t>PCV13</w:t>
      </w:r>
      <w:r>
        <w:rPr>
          <w:spacing w:val="-21"/>
        </w:rPr>
        <w:t> 推荐</w:t>
      </w:r>
      <w:r>
        <w:rPr/>
        <w:t>“3+1”</w:t>
      </w:r>
      <w:r>
        <w:rPr>
          <w:spacing w:val="-7"/>
        </w:rPr>
        <w:t>免疫接种程序，即宝宝在 </w:t>
      </w:r>
      <w:r>
        <w:rPr/>
        <w:t>2</w:t>
      </w:r>
      <w:r>
        <w:rPr>
          <w:spacing w:val="-10"/>
        </w:rPr>
        <w:t>、</w:t>
      </w:r>
      <w:r>
        <w:rPr/>
        <w:t>4</w:t>
      </w:r>
      <w:r>
        <w:rPr>
          <w:spacing w:val="-10"/>
        </w:rPr>
        <w:t>、</w:t>
      </w:r>
      <w:r>
        <w:rPr/>
        <w:t>6</w:t>
      </w:r>
      <w:r>
        <w:rPr>
          <w:spacing w:val="-9"/>
        </w:rPr>
        <w:t> 月龄各接种一剂，</w:t>
      </w:r>
      <w:r>
        <w:rPr/>
        <w:t>12～15</w:t>
      </w:r>
      <w:r>
        <w:rPr>
          <w:spacing w:val="-38"/>
        </w:rPr>
        <w:t> 月</w:t>
      </w:r>
      <w:r>
        <w:rPr/>
        <w:t>龄期间再接种一剂，具体情况家长们可咨询当地防疫中心。</w:t>
      </w:r>
    </w:p>
    <w:p>
      <w:pPr>
        <w:pStyle w:val="Heading3"/>
        <w:spacing w:before="2"/>
        <w:jc w:val="both"/>
      </w:pPr>
      <w:r>
        <w:rPr/>
        <w:t>接种 PCV13 后还有必要接种 PPV23 吗？</w:t>
      </w:r>
    </w:p>
    <w:p>
      <w:pPr>
        <w:pStyle w:val="BodyText"/>
        <w:spacing w:line="295" w:lineRule="auto" w:before="74"/>
        <w:ind w:right="228"/>
        <w:jc w:val="both"/>
      </w:pPr>
      <w:r>
        <w:rPr>
          <w:spacing w:val="-6"/>
        </w:rPr>
        <w:t>肺炎链球菌目前共发现 </w:t>
      </w:r>
      <w:r>
        <w:rPr/>
        <w:t>90</w:t>
      </w:r>
      <w:r>
        <w:rPr>
          <w:spacing w:val="-16"/>
        </w:rPr>
        <w:t> 多种血清型，其中，约 </w:t>
      </w:r>
      <w:r>
        <w:rPr/>
        <w:t>80%</w:t>
      </w:r>
      <w:r>
        <w:rPr>
          <w:spacing w:val="-5"/>
        </w:rPr>
        <w:t>的肺炎链球菌相关疾病是由 </w:t>
      </w:r>
      <w:r>
        <w:rPr/>
        <w:t>13</w:t>
      </w:r>
      <w:r>
        <w:rPr>
          <w:spacing w:val="-38"/>
        </w:rPr>
        <w:t> 种</w:t>
      </w:r>
      <w:r>
        <w:rPr>
          <w:spacing w:val="-7"/>
        </w:rPr>
        <w:t>血清型引起的，接种 </w:t>
      </w:r>
      <w:r>
        <w:rPr/>
        <w:t>PCV13，</w:t>
      </w:r>
      <w:r>
        <w:rPr>
          <w:spacing w:val="-10"/>
        </w:rPr>
        <w:t>可以抵御这 </w:t>
      </w:r>
      <w:r>
        <w:rPr/>
        <w:t>13</w:t>
      </w:r>
      <w:r>
        <w:rPr>
          <w:spacing w:val="-8"/>
        </w:rPr>
        <w:t> 种血清型肺炎链球菌引起的疾病。</w:t>
      </w:r>
    </w:p>
    <w:p>
      <w:pPr>
        <w:pStyle w:val="BodyText"/>
        <w:spacing w:line="297" w:lineRule="auto" w:before="2"/>
        <w:ind w:right="305"/>
        <w:jc w:val="both"/>
      </w:pPr>
      <w:r>
        <w:rPr/>
        <w:t>而对于其他原因导致的肺炎、以及疫苗未覆盖的肺炎链球菌血清型，13</w:t>
      </w:r>
      <w:r>
        <w:rPr>
          <w:spacing w:val="-11"/>
        </w:rPr>
        <w:t> 价肺炎疫苗没</w:t>
      </w:r>
      <w:r>
        <w:rPr/>
        <w:t>有预防作用。</w:t>
      </w:r>
    </w:p>
    <w:p>
      <w:pPr>
        <w:pStyle w:val="BodyText"/>
        <w:spacing w:line="306" w:lineRule="exact"/>
        <w:ind w:left="617" w:firstLine="0"/>
        <w:jc w:val="both"/>
      </w:pPr>
      <w:r>
        <w:rPr/>
        <w:t>那么，婴幼儿接种 PCV13 后还有必要接种 PPV23 吗？</w:t>
      </w:r>
    </w:p>
    <w:p>
      <w:pPr>
        <w:pStyle w:val="BodyText"/>
        <w:spacing w:line="297" w:lineRule="auto" w:before="71"/>
        <w:ind w:right="108"/>
      </w:pPr>
      <w:r>
        <w:rPr/>
        <w:t>PPV23</w:t>
      </w:r>
      <w:r>
        <w:rPr>
          <w:spacing w:val="-31"/>
        </w:rPr>
        <w:t> 是在 </w:t>
      </w:r>
      <w:r>
        <w:rPr/>
        <w:t>PCV13</w:t>
      </w:r>
      <w:r>
        <w:rPr>
          <w:spacing w:val="-15"/>
        </w:rPr>
        <w:t> 的基础上，对另外 </w:t>
      </w:r>
      <w:r>
        <w:rPr/>
        <w:t>10</w:t>
      </w:r>
      <w:r>
        <w:rPr>
          <w:spacing w:val="-11"/>
        </w:rPr>
        <w:t> 种血清型给予保护，但这种保护作用十分有限， </w:t>
      </w:r>
      <w:r>
        <w:rPr>
          <w:spacing w:val="-7"/>
        </w:rPr>
        <w:t>一是因为多糖疫苗效果不佳，另外，多出来的 </w:t>
      </w:r>
      <w:r>
        <w:rPr/>
        <w:t>10</w:t>
      </w:r>
      <w:r>
        <w:rPr>
          <w:spacing w:val="-12"/>
        </w:rPr>
        <w:t> 个致病血清型致病率只占病例的 </w:t>
      </w:r>
      <w:r>
        <w:rPr/>
        <w:t>10%</w:t>
      </w:r>
      <w:r>
        <w:rPr>
          <w:spacing w:val="-5"/>
        </w:rPr>
        <w:t>左右， </w:t>
      </w:r>
      <w:r>
        <w:rPr>
          <w:spacing w:val="-11"/>
        </w:rPr>
        <w:t>所以，对于 </w:t>
      </w:r>
      <w:r>
        <w:rPr/>
        <w:t>15</w:t>
      </w:r>
      <w:r>
        <w:rPr>
          <w:spacing w:val="-16"/>
        </w:rPr>
        <w:t> 月龄前接种完 </w:t>
      </w:r>
      <w:r>
        <w:rPr/>
        <w:t>PCV13，</w:t>
      </w:r>
      <w:r>
        <w:rPr>
          <w:spacing w:val="-30"/>
        </w:rPr>
        <w:t>或 </w:t>
      </w:r>
      <w:r>
        <w:rPr/>
        <w:t>2</w:t>
      </w:r>
      <w:r>
        <w:rPr>
          <w:spacing w:val="-18"/>
        </w:rPr>
        <w:t> 岁前接种完 </w:t>
      </w:r>
      <w:r>
        <w:rPr/>
        <w:t>PCV13</w:t>
      </w:r>
      <w:r>
        <w:rPr>
          <w:spacing w:val="-8"/>
        </w:rPr>
        <w:t> 的婴幼儿，一般是无须再次接</w:t>
      </w:r>
      <w:r>
        <w:rPr>
          <w:spacing w:val="-34"/>
        </w:rPr>
        <w:t>种 </w:t>
      </w:r>
      <w:r>
        <w:rPr/>
        <w:t>PPV23</w:t>
      </w:r>
      <w:r>
        <w:rPr>
          <w:spacing w:val="-21"/>
        </w:rPr>
        <w:t> 的。</w:t>
      </w:r>
    </w:p>
    <w:p>
      <w:pPr>
        <w:pStyle w:val="BodyText"/>
        <w:spacing w:line="295" w:lineRule="auto"/>
        <w:ind w:right="226"/>
      </w:pPr>
      <w:r>
        <w:rPr>
          <w:spacing w:val="-13"/>
        </w:rPr>
        <w:t>对于错过 </w:t>
      </w:r>
      <w:r>
        <w:rPr/>
        <w:t>PCV13</w:t>
      </w:r>
      <w:r>
        <w:rPr>
          <w:spacing w:val="-16"/>
        </w:rPr>
        <w:t> 接种时间的宝宝，家长们也不用太担心，可以等宝宝 </w:t>
      </w:r>
      <w:r>
        <w:rPr/>
        <w:t>2</w:t>
      </w:r>
      <w:r>
        <w:rPr>
          <w:spacing w:val="-10"/>
        </w:rPr>
        <w:t> 周岁后可选择接</w:t>
      </w:r>
      <w:r>
        <w:rPr>
          <w:spacing w:val="-30"/>
        </w:rPr>
        <w:t>种 </w:t>
      </w:r>
      <w:r>
        <w:rPr/>
        <w:t>23</w:t>
      </w:r>
      <w:r>
        <w:rPr>
          <w:spacing w:val="-9"/>
        </w:rPr>
        <w:t> 价肺炎疫苗。</w:t>
      </w:r>
    </w:p>
    <w:p>
      <w:pPr>
        <w:pStyle w:val="Heading3"/>
      </w:pPr>
      <w:r>
        <w:rPr/>
        <w:t>接种疫苗出现不良反应怎么办？</w:t>
      </w:r>
    </w:p>
    <w:p>
      <w:pPr>
        <w:pStyle w:val="BodyText"/>
        <w:spacing w:line="295" w:lineRule="auto" w:before="73"/>
        <w:ind w:right="226"/>
        <w:jc w:val="both"/>
      </w:pPr>
      <w:r>
        <w:rPr/>
        <w:t>PCV13</w:t>
      </w:r>
      <w:r>
        <w:rPr>
          <w:spacing w:val="-41"/>
        </w:rPr>
        <w:t> 和 </w:t>
      </w:r>
      <w:r>
        <w:rPr/>
        <w:t>PPV23</w:t>
      </w:r>
      <w:r>
        <w:rPr>
          <w:spacing w:val="-11"/>
        </w:rPr>
        <w:t> 的单独接种、与其他疫苗同时接种及复种的安全性良好，常见反应为接</w:t>
      </w:r>
      <w:r>
        <w:rPr>
          <w:spacing w:val="-5"/>
        </w:rPr>
        <w:t>种部位疼痛、接种部位红肿等，全身反应为轻度发热、乏力</w:t>
      </w:r>
      <w:r>
        <w:rPr/>
        <w:t>/</w:t>
      </w:r>
      <w:r>
        <w:rPr>
          <w:spacing w:val="-6"/>
        </w:rPr>
        <w:t>嗜睡、烦躁、恶心</w:t>
      </w:r>
      <w:r>
        <w:rPr/>
        <w:t>/</w:t>
      </w:r>
      <w:r>
        <w:rPr>
          <w:spacing w:val="-7"/>
        </w:rPr>
        <w:t>呕吐、过敏</w:t>
      </w:r>
      <w:r>
        <w:rPr/>
        <w:t>反应，症状轻微且具有自限性，过一段时间就会自动消失，大可不用过于惊慌。</w:t>
      </w:r>
    </w:p>
    <w:p>
      <w:pPr>
        <w:pStyle w:val="BodyText"/>
        <w:spacing w:before="6"/>
        <w:ind w:left="617" w:firstLine="0"/>
        <w:jc w:val="both"/>
      </w:pPr>
      <w:r>
        <w:rPr/>
        <w:t>但如果症状持续加重且超过 1 周，建议家长们带孩子及时就医处理。</w:t>
      </w:r>
    </w:p>
    <w:p>
      <w:pPr>
        <w:pStyle w:val="BodyText"/>
        <w:spacing w:before="71"/>
        <w:ind w:left="617" w:firstLine="0"/>
        <w:jc w:val="both"/>
      </w:pPr>
      <w:r>
        <w:rPr/>
        <w:t>那么 PCV13 和 PPV23 与他疫苗同时接种会不会增加不良反应的发生概率呢？</w:t>
      </w:r>
    </w:p>
    <w:p>
      <w:pPr>
        <w:spacing w:after="0"/>
        <w:jc w:val="both"/>
        <w:sectPr>
          <w:pgSz w:w="11910" w:h="16850"/>
          <w:pgMar w:header="906" w:footer="607" w:top="1100" w:bottom="800" w:left="1140" w:right="900"/>
        </w:sectPr>
      </w:pPr>
    </w:p>
    <w:p>
      <w:pPr>
        <w:pStyle w:val="BodyText"/>
        <w:spacing w:line="295" w:lineRule="auto" w:before="65"/>
        <w:ind w:right="228"/>
      </w:pPr>
      <w:r>
        <w:rPr>
          <w:spacing w:val="-17"/>
        </w:rPr>
        <w:t>首先，对于 </w:t>
      </w:r>
      <w:r>
        <w:rPr/>
        <w:t>PCV13</w:t>
      </w:r>
      <w:r>
        <w:rPr>
          <w:spacing w:val="-15"/>
        </w:rPr>
        <w:t> 疫苗，因为国内尚未进行 </w:t>
      </w:r>
      <w:r>
        <w:rPr/>
        <w:t>PCV13</w:t>
      </w:r>
      <w:r>
        <w:rPr>
          <w:spacing w:val="-11"/>
        </w:rPr>
        <w:t> 与其他疫苗同时接种的临床试验，所</w:t>
      </w:r>
      <w:r>
        <w:rPr/>
        <w:t>以暂不推荐与其他儿童计划免疫疫苗或常规儿童用疫苗同时接种。</w:t>
      </w:r>
    </w:p>
    <w:p>
      <w:pPr>
        <w:pStyle w:val="BodyText"/>
        <w:spacing w:line="297" w:lineRule="auto" w:before="2"/>
        <w:ind w:right="231"/>
      </w:pPr>
      <w:r>
        <w:rPr>
          <w:spacing w:val="-6"/>
        </w:rPr>
        <w:t>但根据《世界卫生组织关于肺炎球菌疫苗的立场文件</w:t>
      </w:r>
      <w:r>
        <w:rPr/>
        <w:t>（2012</w:t>
      </w:r>
      <w:r>
        <w:rPr>
          <w:spacing w:val="-29"/>
        </w:rPr>
        <w:t> 年</w:t>
      </w:r>
      <w:r>
        <w:rPr>
          <w:spacing w:val="-22"/>
        </w:rPr>
        <w:t>）</w:t>
      </w:r>
      <w:r>
        <w:rPr>
          <w:spacing w:val="-6"/>
        </w:rPr>
        <w:t>》的表述，</w:t>
      </w:r>
      <w:r>
        <w:rPr>
          <w:spacing w:val="-4"/>
        </w:rPr>
        <w:t>PCV13</w:t>
      </w:r>
      <w:r>
        <w:rPr>
          <w:spacing w:val="-25"/>
        </w:rPr>
        <w:t> 是可</w:t>
      </w:r>
      <w:r>
        <w:rPr/>
        <w:t>以与其他疫苗同时接种的，也能和其他疫苗以任意间隔接种。</w:t>
      </w:r>
    </w:p>
    <w:p>
      <w:pPr>
        <w:pStyle w:val="BodyText"/>
        <w:spacing w:line="259" w:lineRule="auto"/>
        <w:ind w:right="185"/>
        <w:rPr>
          <w:rFonts w:ascii="Meiryo" w:eastAsia="Meiryo" w:hint="eastAsia"/>
          <w:b/>
        </w:rPr>
      </w:pPr>
      <w:r>
        <w:rPr>
          <w:spacing w:val="-21"/>
        </w:rPr>
        <w:t>对于 </w:t>
      </w:r>
      <w:r>
        <w:rPr/>
        <w:t>PPV23，根据世界卫生组织（WHO）关于《23</w:t>
      </w:r>
      <w:r>
        <w:rPr>
          <w:spacing w:val="-8"/>
        </w:rPr>
        <w:t> 价肺炎球菌多糖疫苗 </w:t>
      </w:r>
      <w:r>
        <w:rPr/>
        <w:t>WHO</w:t>
      </w:r>
      <w:r>
        <w:rPr>
          <w:spacing w:val="-13"/>
        </w:rPr>
        <w:t> 立场文件》</w:t>
      </w:r>
      <w:r>
        <w:rPr>
          <w:spacing w:val="-9"/>
        </w:rPr>
        <w:t>的表述，同时接种并不会增加不良事件的发生概率，所以家长们不需过于担心。</w:t>
      </w:r>
      <w:r>
        <w:rPr>
          <w:rFonts w:ascii="Meiryo" w:eastAsia="Meiryo" w:hint="eastAsia"/>
          <w:b/>
          <w:color w:val="0033CC"/>
        </w:rPr>
        <w:t>[返回目次]</w:t>
      </w:r>
    </w:p>
    <w:p>
      <w:pPr>
        <w:pStyle w:val="Heading1"/>
        <w:spacing w:line="565" w:lineRule="exact"/>
        <w:ind w:left="945"/>
        <w:jc w:val="center"/>
        <w:rPr>
          <w:u w:val="none"/>
        </w:rPr>
      </w:pPr>
      <w:bookmarkStart w:name="_TOC_250008" w:id="19"/>
      <w:r>
        <w:rPr>
          <w:rFonts w:ascii="Times New Roman" w:eastAsia="Times New Roman"/>
          <w:color w:val="008000"/>
          <w:spacing w:val="-110"/>
          <w:w w:val="99"/>
          <w:u w:val="thick" w:color="008000"/>
        </w:rPr>
        <w:t> </w:t>
      </w:r>
      <w:bookmarkEnd w:id="19"/>
      <w:r>
        <w:rPr>
          <w:color w:val="008000"/>
          <w:u w:val="thick" w:color="008000"/>
        </w:rPr>
        <w:t>交流园地</w:t>
      </w:r>
    </w:p>
    <w:p>
      <w:pPr>
        <w:pStyle w:val="BodyText"/>
        <w:spacing w:before="7"/>
        <w:ind w:left="0" w:firstLine="0"/>
        <w:rPr>
          <w:rFonts w:ascii="华文宋体"/>
          <w:b/>
          <w:sz w:val="6"/>
        </w:rPr>
      </w:pPr>
    </w:p>
    <w:p>
      <w:pPr>
        <w:pStyle w:val="Heading2"/>
        <w:spacing w:before="54"/>
        <w:ind w:left="137"/>
      </w:pPr>
      <w:bookmarkStart w:name="_TOC_250007" w:id="20"/>
      <w:bookmarkEnd w:id="20"/>
      <w:r>
        <w:rPr/>
        <w:t>【药师风采】</w:t>
      </w:r>
    </w:p>
    <w:p>
      <w:pPr>
        <w:pStyle w:val="BodyText"/>
        <w:spacing w:before="7"/>
        <w:ind w:left="0" w:firstLine="0"/>
        <w:rPr>
          <w:b/>
          <w:sz w:val="22"/>
        </w:rPr>
      </w:pPr>
    </w:p>
    <w:p>
      <w:pPr>
        <w:pStyle w:val="Heading2"/>
        <w:ind w:left="2" w:right="91"/>
        <w:jc w:val="center"/>
      </w:pPr>
      <w:bookmarkStart w:name="_TOC_250006" w:id="21"/>
      <w:bookmarkEnd w:id="21"/>
      <w:r>
        <w:rPr/>
        <w:t>首都医科大学附属北京朝阳医院—刘丽宏</w:t>
      </w:r>
    </w:p>
    <w:p>
      <w:pPr>
        <w:pStyle w:val="Heading3"/>
        <w:spacing w:before="220"/>
        <w:ind w:left="140" w:right="236"/>
        <w:jc w:val="center"/>
        <w:rPr>
          <w:rFonts w:ascii="楷体" w:eastAsia="楷体" w:hint="eastAsia"/>
        </w:rPr>
      </w:pPr>
      <w:r>
        <w:rPr>
          <w:rFonts w:ascii="楷体" w:eastAsia="楷体" w:hint="eastAsia"/>
        </w:rPr>
        <w:t>励志寄语：责任充满药学道路，情怀照亮无悔人生。不忘初心，砥砺前行。</w:t>
      </w:r>
    </w:p>
    <w:p>
      <w:pPr>
        <w:pStyle w:val="BodyText"/>
        <w:spacing w:before="6"/>
        <w:ind w:left="0" w:firstLine="0"/>
        <w:rPr>
          <w:rFonts w:ascii="楷体"/>
          <w:b/>
          <w:sz w:val="19"/>
        </w:rPr>
      </w:pPr>
    </w:p>
    <w:p>
      <w:pPr>
        <w:pStyle w:val="BodyText"/>
        <w:spacing w:line="312" w:lineRule="auto"/>
        <w:ind w:right="127"/>
      </w:pPr>
      <w:r>
        <w:rPr>
          <w:spacing w:val="-1"/>
        </w:rPr>
        <w:t>刘丽宏，现任首都医科大学附属北京朝阳医院总药师、药事部主任，主任药师、教授。</w:t>
      </w:r>
      <w:r>
        <w:rPr>
          <w:spacing w:val="-7"/>
        </w:rPr>
        <w:t>从事医院药学工作 </w:t>
      </w:r>
      <w:r>
        <w:rPr/>
        <w:t>28</w:t>
      </w:r>
      <w:r>
        <w:rPr>
          <w:spacing w:val="-8"/>
        </w:rPr>
        <w:t> 年。致力于医院药学发展，在临床药学、应用型医院药学研究、药事管理等方面均有突出业绩和卓越表现。</w:t>
      </w:r>
    </w:p>
    <w:p>
      <w:pPr>
        <w:pStyle w:val="BodyText"/>
        <w:spacing w:line="312" w:lineRule="auto" w:before="1"/>
        <w:ind w:right="227"/>
        <w:jc w:val="both"/>
      </w:pPr>
      <w:r>
        <w:rPr>
          <w:spacing w:val="-8"/>
        </w:rPr>
        <w:t>首次创新建立总药师制度，先后被北京市医院管理局、北京市政府、国务院纳入深化医</w:t>
      </w:r>
      <w:r>
        <w:rPr>
          <w:spacing w:val="-10"/>
        </w:rPr>
        <w:t>改整体工作，成为新一轮医改中的重大制度创新；首推大型三甲医院门诊处方前置审核，推</w:t>
      </w:r>
      <w:r>
        <w:rPr>
          <w:spacing w:val="-7"/>
        </w:rPr>
        <w:t>动国家卫健委相关政策落地生效；建立药师分级制度、改革药师薪酬制度、建立临床用药绩</w:t>
      </w:r>
      <w:r>
        <w:rPr>
          <w:spacing w:val="-10"/>
        </w:rPr>
        <w:t>效考核制度，推动医院药学部门职能转型，为医改的深化推进做出了贡献，受到中共中央政</w:t>
      </w:r>
      <w:r>
        <w:rPr/>
        <w:t>治局委员、国务院副总理、国务院医改领导小组组长刘延东的高度肯定。</w:t>
      </w:r>
    </w:p>
    <w:p>
      <w:pPr>
        <w:pStyle w:val="BodyText"/>
        <w:spacing w:line="312" w:lineRule="auto"/>
        <w:ind w:right="227"/>
      </w:pPr>
      <w:r>
        <w:rPr/>
        <w:t>首次提出并实践了中国肾移植患者基于药物基因组学的免疫抑制剂他克莫司起始剂量</w:t>
      </w:r>
      <w:r>
        <w:rPr>
          <w:spacing w:val="-3"/>
        </w:rPr>
        <w:t>的确定，研制出首个通过国家药监局批准的他克莫司 </w:t>
      </w:r>
      <w:r>
        <w:rPr/>
        <w:t>LC-MS/MS</w:t>
      </w:r>
      <w:r>
        <w:rPr>
          <w:spacing w:val="-8"/>
        </w:rPr>
        <w:t> 法检测试剂盒；在国内设立</w:t>
      </w:r>
      <w:r>
        <w:rPr>
          <w:spacing w:val="-14"/>
        </w:rPr>
        <w:t>首家精准用药门诊，指导患者精确调整药物剂量；开展全国多中心科研项目，探索以基因检</w:t>
      </w:r>
      <w:r>
        <w:rPr>
          <w:spacing w:val="-7"/>
        </w:rPr>
        <w:t>测为基础的慢病人群的用药新模式，实现精益化慢病管理。率先建立药物治疗临床路径制定</w:t>
      </w:r>
      <w:r>
        <w:rPr>
          <w:spacing w:val="-12"/>
        </w:rPr>
        <w:t>规范，纳入北京市医管局重点工作，带动北京市医院药物治疗的同质化和药学学科发展的临床化。与美国、英国、日本等国建立多渠道、多层次的合作与交流，联合培养博士生、临床</w:t>
      </w:r>
      <w:r>
        <w:rPr>
          <w:spacing w:val="-7"/>
        </w:rPr>
        <w:t>药师，已培养博士后 </w:t>
      </w:r>
      <w:r>
        <w:rPr/>
        <w:t>3</w:t>
      </w:r>
      <w:r>
        <w:rPr>
          <w:spacing w:val="-18"/>
        </w:rPr>
        <w:t> 人，博士生 </w:t>
      </w:r>
      <w:r>
        <w:rPr/>
        <w:t>2</w:t>
      </w:r>
      <w:r>
        <w:rPr>
          <w:spacing w:val="-18"/>
        </w:rPr>
        <w:t> 人，硕士生 </w:t>
      </w:r>
      <w:r>
        <w:rPr/>
        <w:t>28</w:t>
      </w:r>
      <w:r>
        <w:rPr>
          <w:spacing w:val="-20"/>
        </w:rPr>
        <w:t> 人。</w:t>
      </w:r>
    </w:p>
    <w:p>
      <w:pPr>
        <w:pStyle w:val="BodyText"/>
        <w:spacing w:before="4"/>
        <w:ind w:left="617" w:firstLine="0"/>
      </w:pPr>
      <w:r>
        <w:rPr>
          <w:spacing w:val="-6"/>
        </w:rPr>
        <w:t>带领团队承担“十二五”国家重大新药创制 </w:t>
      </w:r>
      <w:r>
        <w:rPr/>
        <w:t>1</w:t>
      </w:r>
      <w:r>
        <w:rPr>
          <w:spacing w:val="-15"/>
        </w:rPr>
        <w:t> 项、“十三五”子课题 </w:t>
      </w:r>
      <w:r>
        <w:rPr/>
        <w:t>2</w:t>
      </w:r>
      <w:r>
        <w:rPr>
          <w:spacing w:val="-23"/>
        </w:rPr>
        <w:t> 项、</w:t>
      </w:r>
      <w:r>
        <w:rPr/>
        <w:t>863</w:t>
      </w:r>
      <w:r>
        <w:rPr>
          <w:spacing w:val="-15"/>
        </w:rPr>
        <w:t> 计划子</w:t>
      </w:r>
    </w:p>
    <w:p>
      <w:pPr>
        <w:pStyle w:val="BodyText"/>
        <w:spacing w:line="312" w:lineRule="auto" w:before="93"/>
        <w:ind w:right="305" w:firstLine="0"/>
      </w:pPr>
      <w:r>
        <w:rPr>
          <w:spacing w:val="-20"/>
        </w:rPr>
        <w:t>课题 </w:t>
      </w:r>
      <w:r>
        <w:rPr/>
        <w:t>1</w:t>
      </w:r>
      <w:r>
        <w:rPr>
          <w:spacing w:val="-13"/>
        </w:rPr>
        <w:t> 项、国家自然科学基金 </w:t>
      </w:r>
      <w:r>
        <w:rPr/>
        <w:t>15</w:t>
      </w:r>
      <w:r>
        <w:rPr>
          <w:spacing w:val="-12"/>
        </w:rPr>
        <w:t> 项、北京市自然科学基金项 </w:t>
      </w:r>
      <w:r>
        <w:rPr/>
        <w:t>9</w:t>
      </w:r>
      <w:r>
        <w:rPr>
          <w:spacing w:val="-12"/>
        </w:rPr>
        <w:t> 项；获授权国家发明专利 </w:t>
      </w:r>
      <w:r>
        <w:rPr>
          <w:spacing w:val="-16"/>
        </w:rPr>
        <w:t>6 项；近 </w:t>
      </w:r>
      <w:r>
        <w:rPr/>
        <w:t>5</w:t>
      </w:r>
      <w:r>
        <w:rPr>
          <w:spacing w:val="-24"/>
        </w:rPr>
        <w:t> 年发表 </w:t>
      </w:r>
      <w:r>
        <w:rPr/>
        <w:t>SCI</w:t>
      </w:r>
      <w:r>
        <w:rPr>
          <w:spacing w:val="-30"/>
        </w:rPr>
        <w:t> 论文 </w:t>
      </w:r>
      <w:r>
        <w:rPr/>
        <w:t>45</w:t>
      </w:r>
      <w:r>
        <w:rPr>
          <w:spacing w:val="-16"/>
        </w:rPr>
        <w:t> 篇，影响因子 </w:t>
      </w:r>
      <w:r>
        <w:rPr/>
        <w:t>106。</w:t>
      </w:r>
    </w:p>
    <w:p>
      <w:pPr>
        <w:pStyle w:val="BodyText"/>
        <w:spacing w:line="312" w:lineRule="auto"/>
        <w:ind w:right="227"/>
        <w:jc w:val="right"/>
      </w:pPr>
      <w:r>
        <w:rPr>
          <w:spacing w:val="-7"/>
        </w:rPr>
        <w:t>先后荣获全国最美女医师、全国三八红旗手、全国十大和谐贡献女性、北京市三八红旗</w:t>
      </w:r>
      <w:r>
        <w:rPr>
          <w:spacing w:val="-3"/>
        </w:rPr>
        <w:t>奖章、首都优秀医务工作者等多项荣誉；带领团队荣获 </w:t>
      </w:r>
      <w:r>
        <w:rPr/>
        <w:t>2016</w:t>
      </w:r>
      <w:r>
        <w:rPr>
          <w:spacing w:val="-8"/>
        </w:rPr>
        <w:t> 年度全国巾帼文明岗等荣誉。</w:t>
      </w:r>
      <w:r>
        <w:rPr>
          <w:spacing w:val="-13"/>
        </w:rPr>
        <w:t>兼任中国药学会药学服务专业委员会主任委员，中华医学会临床药学专委会常委，中国</w:t>
      </w:r>
    </w:p>
    <w:p>
      <w:pPr>
        <w:pStyle w:val="BodyText"/>
        <w:spacing w:line="312" w:lineRule="auto" w:before="1"/>
        <w:ind w:right="227" w:firstLine="0"/>
        <w:jc w:val="right"/>
      </w:pPr>
      <w:r>
        <w:rPr>
          <w:spacing w:val="-1"/>
        </w:rPr>
        <w:t>女医师协会药学专业委员会主任委员，</w:t>
      </w:r>
      <w:r>
        <w:rPr>
          <w:spacing w:val="-4"/>
        </w:rPr>
        <w:t>BMJ</w:t>
      </w:r>
      <w:r>
        <w:rPr>
          <w:spacing w:val="-11"/>
        </w:rPr>
        <w:t> 国际咨询专委会委员，北京药学会常务理事、应</w:t>
      </w:r>
      <w:r>
        <w:rPr>
          <w:spacing w:val="-7"/>
        </w:rPr>
        <w:t>用与转化药学委员会主任委员，世界中医药学会联合会副会长，中国康复技术转化及发展促</w:t>
      </w:r>
    </w:p>
    <w:p>
      <w:pPr>
        <w:spacing w:after="0" w:line="312" w:lineRule="auto"/>
        <w:jc w:val="right"/>
        <w:sectPr>
          <w:pgSz w:w="11910" w:h="16850"/>
          <w:pgMar w:header="906" w:footer="607" w:top="1100" w:bottom="800" w:left="1140" w:right="900"/>
        </w:sectPr>
      </w:pPr>
    </w:p>
    <w:p>
      <w:pPr>
        <w:pStyle w:val="BodyText"/>
        <w:spacing w:line="276" w:lineRule="auto" w:before="79"/>
        <w:ind w:firstLine="0"/>
        <w:rPr>
          <w:rFonts w:ascii="Meiryo" w:eastAsia="Meiryo" w:hint="eastAsia"/>
          <w:b/>
        </w:rPr>
      </w:pPr>
      <w:r>
        <w:rPr/>
        <w:t>进会慢病人群精准用药研究及应用项目组长等</w:t>
      </w:r>
      <w:r>
        <w:rPr>
          <w:spacing w:val="-25"/>
        </w:rPr>
        <w:t>；《中国临床药理学杂志》副主编、《</w:t>
      </w:r>
      <w:r>
        <w:rPr/>
        <w:t>European Journal of Hospital Pharmacy》《中国医院用药评价与分析》等杂志编委。</w:t>
      </w:r>
      <w:r>
        <w:rPr>
          <w:rFonts w:ascii="Meiryo" w:eastAsia="Meiryo" w:hint="eastAsia"/>
          <w:b/>
          <w:color w:val="0033CC"/>
        </w:rPr>
        <w:t>[返回目次]</w:t>
      </w:r>
    </w:p>
    <w:p>
      <w:pPr>
        <w:pStyle w:val="Heading2"/>
        <w:spacing w:before="128"/>
        <w:ind w:left="1" w:right="93"/>
        <w:jc w:val="center"/>
      </w:pPr>
      <w:bookmarkStart w:name="_TOC_250005" w:id="22"/>
      <w:bookmarkEnd w:id="22"/>
      <w:r>
        <w:rPr/>
        <w:t>首都医科大学宣武医院—齐晓涟</w:t>
      </w:r>
    </w:p>
    <w:p>
      <w:pPr>
        <w:pStyle w:val="Heading3"/>
        <w:spacing w:before="205"/>
        <w:ind w:left="140" w:right="235"/>
        <w:jc w:val="center"/>
        <w:rPr>
          <w:rFonts w:ascii="楷体" w:eastAsia="楷体" w:hint="eastAsia"/>
        </w:rPr>
      </w:pPr>
      <w:r>
        <w:rPr>
          <w:rFonts w:ascii="楷体" w:eastAsia="楷体" w:hint="eastAsia"/>
        </w:rPr>
        <w:t>励志寄语：感恩患者，感恩医护药团队，用心做好临床药师。</w:t>
      </w:r>
    </w:p>
    <w:p>
      <w:pPr>
        <w:pStyle w:val="BodyText"/>
        <w:spacing w:line="312" w:lineRule="auto" w:before="89"/>
        <w:ind w:right="245"/>
      </w:pPr>
      <w:r>
        <w:rPr>
          <w:spacing w:val="-10"/>
        </w:rPr>
        <w:t>齐晓涟 ，现任首都医科大学宣武医院药学部主任药师，副教授。从事医院药学工作 </w:t>
      </w:r>
      <w:r>
        <w:rPr>
          <w:spacing w:val="-8"/>
        </w:rPr>
        <w:t>34 </w:t>
      </w:r>
      <w:r>
        <w:rPr/>
        <w:t>年。作为神经科临床药师，始终工作在临床一线，收获患者的好评。</w:t>
      </w:r>
    </w:p>
    <w:p>
      <w:pPr>
        <w:pStyle w:val="BodyText"/>
        <w:spacing w:line="307" w:lineRule="exact"/>
        <w:ind w:left="617" w:firstLine="0"/>
      </w:pPr>
      <w:r>
        <w:rPr/>
        <w:t>每周坚持临床实践 4.5 天，积极参加癫痫药学门诊工作，完成临床会诊 2000 余例，完</w:t>
      </w:r>
    </w:p>
    <w:p>
      <w:pPr>
        <w:pStyle w:val="BodyText"/>
        <w:spacing w:line="312" w:lineRule="auto" w:before="94"/>
        <w:ind w:right="127" w:firstLine="0"/>
      </w:pPr>
      <w:r>
        <w:rPr>
          <w:spacing w:val="-3"/>
        </w:rPr>
        <w:t>成患者教育千余人，为临床提出合理用药建议 </w:t>
      </w:r>
      <w:r>
        <w:rPr/>
        <w:t>5000</w:t>
      </w:r>
      <w:r>
        <w:rPr>
          <w:spacing w:val="-8"/>
        </w:rPr>
        <w:t> 余条。参与危重病人用药方案设计，完</w:t>
      </w:r>
      <w:r>
        <w:rPr>
          <w:spacing w:val="-9"/>
        </w:rPr>
        <w:t>成重大抢救百余人，得到医生和护士的认可，成为医院神经内科医疗团队不可缺少的一员。</w:t>
      </w:r>
      <w:r>
        <w:rPr>
          <w:spacing w:val="-8"/>
        </w:rPr>
        <w:t>为临床提供重大咨询近千次，为临床医生和护士进行合理用药培训数百次。连续 </w:t>
      </w:r>
      <w:r>
        <w:rPr/>
        <w:t>3</w:t>
      </w:r>
      <w:r>
        <w:rPr>
          <w:spacing w:val="-12"/>
        </w:rPr>
        <w:t> 年协助神经内科完成各项合理用药指标控制，并达标。</w:t>
      </w:r>
    </w:p>
    <w:p>
      <w:pPr>
        <w:pStyle w:val="BodyText"/>
        <w:spacing w:line="312" w:lineRule="auto"/>
        <w:ind w:right="229"/>
        <w:jc w:val="both"/>
      </w:pPr>
      <w:r>
        <w:rPr>
          <w:spacing w:val="-2"/>
        </w:rPr>
        <w:t>作为我国首个神经内科临床药师培训基地的带教临床药师，为国家培养 </w:t>
      </w:r>
      <w:r>
        <w:rPr/>
        <w:t>55</w:t>
      </w:r>
      <w:r>
        <w:rPr>
          <w:spacing w:val="-10"/>
        </w:rPr>
        <w:t> 名神经科临</w:t>
      </w:r>
      <w:r>
        <w:rPr>
          <w:spacing w:val="-17"/>
        </w:rPr>
        <w:t>床药师，其中有 </w:t>
      </w:r>
      <w:r>
        <w:rPr/>
        <w:t>5</w:t>
      </w:r>
      <w:r>
        <w:rPr>
          <w:spacing w:val="-8"/>
        </w:rPr>
        <w:t> 名学生走上药学部领导岗位</w:t>
      </w:r>
      <w:r>
        <w:rPr/>
        <w:t>，24</w:t>
      </w:r>
      <w:r>
        <w:rPr>
          <w:spacing w:val="-8"/>
        </w:rPr>
        <w:t> 名学生成为临床药师培训基地的带教药</w:t>
      </w:r>
      <w:r>
        <w:rPr>
          <w:spacing w:val="-19"/>
        </w:rPr>
        <w:t>师。连续 </w:t>
      </w:r>
      <w:r>
        <w:rPr/>
        <w:t>13</w:t>
      </w:r>
      <w:r>
        <w:rPr>
          <w:spacing w:val="-8"/>
        </w:rPr>
        <w:t> 年完成国家级医学继续教育项目《神经科临床药师培训班》的组织培训工作。</w:t>
      </w:r>
      <w:r>
        <w:rPr>
          <w:spacing w:val="-15"/>
        </w:rPr>
        <w:t>完成国家继续教育项目授课数十次，完成北京大学药学院和首都医科大学药学院药物治疗学</w:t>
      </w:r>
      <w:r>
        <w:rPr/>
        <w:t>授课百余学时。参与首医大《药物治疗学》等教材的编写。</w:t>
      </w:r>
    </w:p>
    <w:p>
      <w:pPr>
        <w:pStyle w:val="BodyText"/>
        <w:spacing w:line="312" w:lineRule="auto" w:before="2"/>
        <w:ind w:right="230"/>
        <w:jc w:val="both"/>
      </w:pPr>
      <w:r>
        <w:rPr>
          <w:spacing w:val="-5"/>
        </w:rPr>
        <w:t>先后发表国内统计源期刊论文 </w:t>
      </w:r>
      <w:r>
        <w:rPr/>
        <w:t>130</w:t>
      </w:r>
      <w:r>
        <w:rPr>
          <w:spacing w:val="-14"/>
        </w:rPr>
        <w:t> 余篇。主编专著 </w:t>
      </w:r>
      <w:r>
        <w:rPr/>
        <w:t>6</w:t>
      </w:r>
      <w:r>
        <w:rPr>
          <w:spacing w:val="-14"/>
        </w:rPr>
        <w:t> 部并出版，参编 </w:t>
      </w:r>
      <w:r>
        <w:rPr/>
        <w:t>15</w:t>
      </w:r>
      <w:r>
        <w:rPr>
          <w:spacing w:val="-9"/>
        </w:rPr>
        <w:t> 部。获得中国</w:t>
      </w:r>
      <w:r>
        <w:rPr>
          <w:spacing w:val="-15"/>
        </w:rPr>
        <w:t>药学会学术年会优秀论文一、二、三等奖，中国医促会颁发的华夏医学科技奖三等奖、北京</w:t>
      </w:r>
      <w:r>
        <w:rPr/>
        <w:t>市科学技术奖三等奖。</w:t>
      </w:r>
    </w:p>
    <w:p>
      <w:pPr>
        <w:pStyle w:val="BodyText"/>
        <w:spacing w:line="312" w:lineRule="auto" w:before="1"/>
        <w:ind w:right="232"/>
      </w:pPr>
      <w:r>
        <w:rPr>
          <w:spacing w:val="-6"/>
        </w:rPr>
        <w:t>曾获原卫生部临床药师培训优秀教师称号、北京药学会首届“临床药师之星”称号，原</w:t>
      </w:r>
      <w:r>
        <w:rPr/>
        <w:t>卫计委“临床药师带教之星”称号，中国医院协会“丁香人才杯”药学实践专注极致奖。</w:t>
      </w:r>
    </w:p>
    <w:p>
      <w:pPr>
        <w:pStyle w:val="BodyText"/>
        <w:spacing w:line="276" w:lineRule="auto"/>
        <w:ind w:right="230"/>
        <w:rPr>
          <w:rFonts w:ascii="Meiryo" w:eastAsia="Meiryo" w:hint="eastAsia"/>
          <w:b/>
        </w:rPr>
      </w:pPr>
      <w:r>
        <w:rPr>
          <w:spacing w:val="-5"/>
        </w:rPr>
        <w:t>兼任中国药理学会药源性疾病专业委员会神经病学分委会副主任委员，北京抗癫痫协会</w:t>
      </w:r>
      <w:r>
        <w:rPr/>
        <w:t>理事，北京医学会临床药学分会委员。</w:t>
      </w:r>
      <w:r>
        <w:rPr>
          <w:rFonts w:ascii="Meiryo" w:eastAsia="Meiryo" w:hint="eastAsia"/>
          <w:b/>
          <w:color w:val="0033CC"/>
        </w:rPr>
        <w:t>[返回目次]</w:t>
      </w:r>
    </w:p>
    <w:p>
      <w:pPr>
        <w:pStyle w:val="Heading2"/>
        <w:spacing w:before="128"/>
        <w:ind w:left="2" w:right="91"/>
        <w:jc w:val="center"/>
      </w:pPr>
      <w:bookmarkStart w:name="_TOC_250004" w:id="23"/>
      <w:bookmarkEnd w:id="23"/>
      <w:r>
        <w:rPr/>
        <w:t>中国医学科学院北京协和医院——杜小莉</w:t>
      </w:r>
    </w:p>
    <w:p>
      <w:pPr>
        <w:pStyle w:val="Heading3"/>
        <w:spacing w:before="66"/>
        <w:ind w:left="140" w:right="235"/>
        <w:jc w:val="center"/>
        <w:rPr>
          <w:rFonts w:ascii="楷体" w:eastAsia="楷体" w:hint="eastAsia"/>
        </w:rPr>
      </w:pPr>
      <w:r>
        <w:rPr>
          <w:rFonts w:ascii="楷体" w:eastAsia="楷体" w:hint="eastAsia"/>
        </w:rPr>
        <w:t>励志寄语：不忘初心，不负韶华。</w:t>
      </w:r>
    </w:p>
    <w:p>
      <w:pPr>
        <w:pStyle w:val="BodyText"/>
        <w:spacing w:line="312" w:lineRule="auto" w:before="91"/>
        <w:ind w:right="226"/>
      </w:pPr>
      <w:r>
        <w:rPr>
          <w:spacing w:val="-8"/>
        </w:rPr>
        <w:t>杜小莉 ，现任中国医学科学院北京协和医院药剂科副主任，主任药师。从事医院药学</w:t>
      </w:r>
      <w:r>
        <w:rPr>
          <w:spacing w:val="-26"/>
        </w:rPr>
        <w:t>工作 </w:t>
      </w:r>
      <w:r>
        <w:rPr/>
        <w:t>19</w:t>
      </w:r>
      <w:r>
        <w:rPr>
          <w:spacing w:val="-30"/>
        </w:rPr>
        <w:t> 年。</w:t>
      </w:r>
      <w:r>
        <w:rPr/>
        <w:t>2016</w:t>
      </w:r>
      <w:r>
        <w:rPr>
          <w:spacing w:val="-40"/>
        </w:rPr>
        <w:t> 年 </w:t>
      </w:r>
      <w:r>
        <w:rPr/>
        <w:t>7</w:t>
      </w:r>
      <w:r>
        <w:rPr>
          <w:spacing w:val="-30"/>
        </w:rPr>
        <w:t> 月</w:t>
      </w:r>
      <w:r>
        <w:rPr/>
        <w:t>～2017</w:t>
      </w:r>
      <w:r>
        <w:rPr>
          <w:spacing w:val="-40"/>
        </w:rPr>
        <w:t> 年 </w:t>
      </w:r>
      <w:r>
        <w:rPr/>
        <w:t>8</w:t>
      </w:r>
      <w:r>
        <w:rPr>
          <w:spacing w:val="-13"/>
        </w:rPr>
        <w:t> 月参加中组部医疗人才“组团式”援藏工作，担任西藏</w:t>
      </w:r>
      <w:r>
        <w:rPr>
          <w:spacing w:val="-7"/>
        </w:rPr>
        <w:t>自治区人民医院药学部主任。承担北京市住院药师规范化培训教学任务，任北京协和医院住院药师规范化培训基地指导老师及阶段考核专家。获得北京协和医院“优秀教师”称号，北</w:t>
      </w:r>
      <w:r>
        <w:rPr/>
        <w:t>京协和医院“援藏特殊贡献奖”和“优秀员工”称号以及北京市科协感谢奖状。</w:t>
      </w:r>
    </w:p>
    <w:p>
      <w:pPr>
        <w:pStyle w:val="BodyText"/>
        <w:spacing w:line="312" w:lineRule="auto" w:before="3"/>
        <w:ind w:right="226"/>
        <w:jc w:val="both"/>
      </w:pPr>
      <w:r>
        <w:rPr>
          <w:spacing w:val="-7"/>
        </w:rPr>
        <w:t>具备扎实的基础理论及专业知识，有较强的科研工作能力及严谨的科研作风。迄今共参</w:t>
      </w:r>
      <w:r>
        <w:rPr>
          <w:spacing w:val="-31"/>
        </w:rPr>
        <w:t>与 </w:t>
      </w:r>
      <w:r>
        <w:rPr/>
        <w:t>30</w:t>
      </w:r>
      <w:r>
        <w:rPr>
          <w:spacing w:val="-11"/>
        </w:rPr>
        <w:t> 余项科研课题，曾获北京协和医院青年科研基金 </w:t>
      </w:r>
      <w:r>
        <w:rPr/>
        <w:t>2</w:t>
      </w:r>
      <w:r>
        <w:rPr>
          <w:spacing w:val="-8"/>
        </w:rPr>
        <w:t> 项、北京药学会临床药学研究项目2</w:t>
      </w:r>
      <w:r>
        <w:rPr>
          <w:spacing w:val="-12"/>
        </w:rPr>
        <w:t> 项，参与科技部“十一五” “十二五” “十三五”国家重大传染病防治项目、首发基金</w:t>
      </w:r>
      <w:r>
        <w:rPr>
          <w:spacing w:val="-4"/>
        </w:rPr>
        <w:t>项目、北京市药品监督管理局专项课题</w:t>
      </w:r>
      <w:r>
        <w:rPr/>
        <w:t>（医院制剂的质量标准研究</w:t>
      </w:r>
      <w:r>
        <w:rPr>
          <w:spacing w:val="-10"/>
        </w:rPr>
        <w:t>）</w:t>
      </w:r>
      <w:r>
        <w:rPr>
          <w:spacing w:val="-9"/>
        </w:rPr>
        <w:t>、国家科技支撑计划 </w:t>
      </w:r>
      <w:r>
        <w:rPr>
          <w:spacing w:val="-15"/>
        </w:rPr>
        <w:t>2 </w:t>
      </w:r>
      <w:r>
        <w:rPr>
          <w:spacing w:val="-4"/>
        </w:rPr>
        <w:t>项。此外，还开展大量抗菌药物 </w:t>
      </w:r>
      <w:r>
        <w:rPr/>
        <w:t>PK/PD</w:t>
      </w:r>
      <w:r>
        <w:rPr>
          <w:spacing w:val="-15"/>
        </w:rPr>
        <w:t> 研究、</w:t>
      </w:r>
      <w:r>
        <w:rPr/>
        <w:t>HPLC</w:t>
      </w:r>
      <w:r>
        <w:rPr>
          <w:spacing w:val="-8"/>
        </w:rPr>
        <w:t> 方法建立、医院内药物利用研究等。</w:t>
      </w:r>
      <w:r>
        <w:rPr/>
        <w:t>2</w:t>
      </w:r>
    </w:p>
    <w:p>
      <w:pPr>
        <w:spacing w:after="0" w:line="312" w:lineRule="auto"/>
        <w:jc w:val="both"/>
        <w:sectPr>
          <w:pgSz w:w="11910" w:h="16850"/>
          <w:pgMar w:header="906" w:footer="607" w:top="1100" w:bottom="800" w:left="1140" w:right="900"/>
        </w:sectPr>
      </w:pPr>
    </w:p>
    <w:p>
      <w:pPr>
        <w:pStyle w:val="BodyText"/>
        <w:spacing w:line="312" w:lineRule="auto" w:before="79"/>
        <w:ind w:right="228" w:firstLine="0"/>
        <w:jc w:val="both"/>
      </w:pPr>
      <w:r>
        <w:rPr>
          <w:spacing w:val="-1"/>
        </w:rPr>
        <w:t>篇论文获中国药学会学术年会优秀论文二等奖，</w:t>
      </w:r>
      <w:r>
        <w:rPr>
          <w:spacing w:val="-8"/>
        </w:rPr>
        <w:t>1</w:t>
      </w:r>
      <w:r>
        <w:rPr>
          <w:spacing w:val="-11"/>
        </w:rPr>
        <w:t> 篇论文获北京药学会“扬子江杯”优秀论</w:t>
      </w:r>
      <w:r>
        <w:rPr/>
        <w:t>文二等奖，1</w:t>
      </w:r>
      <w:r>
        <w:rPr>
          <w:spacing w:val="-10"/>
        </w:rPr>
        <w:t> 篇论文获北京协和医院青年医师科研成果三等奖。已发表论文 </w:t>
      </w:r>
      <w:r>
        <w:rPr/>
        <w:t>80</w:t>
      </w:r>
      <w:r>
        <w:rPr>
          <w:spacing w:val="-10"/>
        </w:rPr>
        <w:t> 余篇，参与20</w:t>
      </w:r>
      <w:r>
        <w:rPr>
          <w:spacing w:val="-8"/>
        </w:rPr>
        <w:t> 余本专著及教材编译工作。</w:t>
      </w:r>
    </w:p>
    <w:p>
      <w:pPr>
        <w:pStyle w:val="BodyText"/>
        <w:spacing w:line="312" w:lineRule="auto" w:before="1"/>
        <w:ind w:right="106"/>
        <w:jc w:val="both"/>
      </w:pPr>
      <w:r>
        <w:rPr>
          <w:spacing w:val="-4"/>
        </w:rPr>
        <w:t>兼任海峡两岸医药卫生交流协会医院药学专业委员会委员，中国老年保健医学研究会缓</w:t>
      </w:r>
      <w:r>
        <w:rPr>
          <w:spacing w:val="-11"/>
        </w:rPr>
        <w:t>和医疗分会委员，北京药学会医院药学专业委员会委员及学科秘书，原卫生部药学专业技术</w:t>
      </w:r>
      <w:r>
        <w:rPr>
          <w:spacing w:val="-15"/>
        </w:rPr>
        <w:t>资格考试专家委员会秘书，国家执业药师资格考试委员会命审题专家，蔚蓝丝带关爱癌痛患</w:t>
      </w:r>
      <w:r>
        <w:rPr>
          <w:spacing w:val="-17"/>
        </w:rPr>
        <w:t>者协作组药学专家组委员，《中国新药杂志》编委，《临床药物治疗杂志》编委，《中国医</w:t>
      </w:r>
      <w:r>
        <w:rPr>
          <w:spacing w:val="-20"/>
        </w:rPr>
        <w:t>院药学杂志》通讯编委，并承担《中国药学杂志》《中国新药杂志》及《临床药物治疗杂志》</w:t>
      </w:r>
    </w:p>
    <w:p>
      <w:pPr>
        <w:spacing w:line="420" w:lineRule="exact" w:before="0"/>
        <w:ind w:left="137" w:right="0" w:firstLine="0"/>
        <w:jc w:val="left"/>
        <w:rPr>
          <w:rFonts w:ascii="Meiryo" w:eastAsia="Meiryo" w:hint="eastAsia"/>
          <w:b/>
          <w:sz w:val="24"/>
        </w:rPr>
      </w:pPr>
      <w:r>
        <w:rPr>
          <w:sz w:val="24"/>
        </w:rPr>
        <w:t>的英文摘要审校工作。</w:t>
      </w:r>
      <w:r>
        <w:rPr>
          <w:rFonts w:ascii="Meiryo" w:eastAsia="Meiryo" w:hint="eastAsia"/>
          <w:b/>
          <w:color w:val="0033CC"/>
          <w:sz w:val="24"/>
        </w:rPr>
        <w:t>[返回目次]</w:t>
      </w:r>
    </w:p>
    <w:p>
      <w:pPr>
        <w:pStyle w:val="Heading2"/>
        <w:spacing w:before="200"/>
        <w:ind w:left="2" w:right="91"/>
        <w:jc w:val="center"/>
      </w:pPr>
      <w:bookmarkStart w:name="_TOC_250003" w:id="24"/>
      <w:bookmarkEnd w:id="24"/>
      <w:r>
        <w:rPr/>
        <w:t>首都医科大学附属北京中医医院——吴剑坤</w:t>
      </w:r>
    </w:p>
    <w:p>
      <w:pPr>
        <w:pStyle w:val="Heading3"/>
        <w:spacing w:before="63"/>
        <w:ind w:left="140" w:right="239"/>
        <w:jc w:val="center"/>
        <w:rPr>
          <w:rFonts w:ascii="楷体" w:hAnsi="楷体" w:eastAsia="楷体" w:hint="eastAsia"/>
        </w:rPr>
      </w:pPr>
      <w:r>
        <w:rPr>
          <w:rFonts w:ascii="楷体" w:hAnsi="楷体" w:eastAsia="楷体" w:hint="eastAsia"/>
        </w:rPr>
        <w:t>励志寄语：“不忘初心，牢记使命”，在药学创新服务的道路上，始终坚守为百姓服务。</w:t>
      </w:r>
    </w:p>
    <w:p>
      <w:pPr>
        <w:pStyle w:val="BodyText"/>
        <w:spacing w:line="312" w:lineRule="auto" w:before="93"/>
        <w:ind w:right="246"/>
        <w:jc w:val="both"/>
      </w:pPr>
      <w:r>
        <w:rPr>
          <w:spacing w:val="-8"/>
        </w:rPr>
        <w:t>吴剑坤 ，现任首都医科大学附属北京中医医院药学部主任，主任药师。师承国医大师金世元教授学习传统中药，师从全国老中医药专家程海英教授学习传统中医理论及针灸技</w:t>
      </w:r>
      <w:r>
        <w:rPr>
          <w:spacing w:val="-13"/>
        </w:rPr>
        <w:t>法。从事医院药学工作 </w:t>
      </w:r>
      <w:r>
        <w:rPr/>
        <w:t>30</w:t>
      </w:r>
      <w:r>
        <w:rPr>
          <w:spacing w:val="-9"/>
        </w:rPr>
        <w:t> 年。全国中药特色技术传承人才，北京市第二批中药骨干人才培</w:t>
      </w:r>
      <w:r>
        <w:rPr/>
        <w:t>养项目指导老师。</w:t>
      </w:r>
    </w:p>
    <w:p>
      <w:pPr>
        <w:pStyle w:val="BodyText"/>
        <w:spacing w:line="312" w:lineRule="auto"/>
        <w:ind w:right="226"/>
        <w:jc w:val="both"/>
      </w:pPr>
      <w:r>
        <w:rPr>
          <w:spacing w:val="-7"/>
        </w:rPr>
        <w:t>在医药卫生体制改革的新形势下，进行了大量的药学服务模式探索与创新。主持国家中</w:t>
      </w:r>
      <w:r>
        <w:rPr>
          <w:spacing w:val="-5"/>
        </w:rPr>
        <w:t>医药管理局中医药标准化项目 </w:t>
      </w:r>
      <w:r>
        <w:rPr/>
        <w:t>1</w:t>
      </w:r>
      <w:r>
        <w:rPr>
          <w:spacing w:val="-15"/>
        </w:rPr>
        <w:t> 项，北京市中医药管理局中医药改革专项 </w:t>
      </w:r>
      <w:r>
        <w:rPr/>
        <w:t>1</w:t>
      </w:r>
      <w:r>
        <w:rPr>
          <w:spacing w:val="-18"/>
        </w:rPr>
        <w:t> 项，北京市医管</w:t>
      </w:r>
    </w:p>
    <w:p>
      <w:pPr>
        <w:pStyle w:val="BodyText"/>
        <w:spacing w:before="2"/>
        <w:ind w:firstLine="0"/>
        <w:jc w:val="both"/>
      </w:pPr>
      <w:r>
        <w:rPr>
          <w:spacing w:val="-5"/>
        </w:rPr>
        <w:t>局创新便民惠民服务项目 </w:t>
      </w:r>
      <w:r>
        <w:rPr/>
        <w:t>3</w:t>
      </w:r>
      <w:r>
        <w:rPr>
          <w:spacing w:val="-15"/>
        </w:rPr>
        <w:t> 项；参与国家中医药管理局委托办事经费项目 </w:t>
      </w:r>
      <w:r>
        <w:rPr/>
        <w:t>3</w:t>
      </w:r>
      <w:r>
        <w:rPr>
          <w:spacing w:val="-16"/>
        </w:rPr>
        <w:t> 项，北京市中医</w:t>
      </w:r>
    </w:p>
    <w:p>
      <w:pPr>
        <w:pStyle w:val="BodyText"/>
        <w:spacing w:before="91"/>
        <w:ind w:firstLine="0"/>
        <w:jc w:val="both"/>
      </w:pPr>
      <w:r>
        <w:rPr>
          <w:spacing w:val="-7"/>
        </w:rPr>
        <w:t>药科技发展资金项目 </w:t>
      </w:r>
      <w:r>
        <w:rPr/>
        <w:t>2</w:t>
      </w:r>
      <w:r>
        <w:rPr>
          <w:spacing w:val="-14"/>
        </w:rPr>
        <w:t> 项；组织起草并于 </w:t>
      </w:r>
      <w:r>
        <w:rPr/>
        <w:t>2018</w:t>
      </w:r>
      <w:r>
        <w:rPr>
          <w:spacing w:val="-8"/>
        </w:rPr>
        <w:t> 年发表行业团体标准《中医治未病服务规范</w:t>
      </w:r>
    </w:p>
    <w:p>
      <w:pPr>
        <w:pStyle w:val="BodyText"/>
        <w:spacing w:line="312" w:lineRule="auto" w:before="94"/>
        <w:ind w:right="228" w:firstLine="0"/>
      </w:pPr>
      <w:r>
        <w:rPr>
          <w:spacing w:val="-9"/>
        </w:rPr>
        <w:t>——中医健康体检服务规范》，获实用新型专利 </w:t>
      </w:r>
      <w:r>
        <w:rPr/>
        <w:t>1</w:t>
      </w:r>
      <w:r>
        <w:rPr>
          <w:spacing w:val="-27"/>
        </w:rPr>
        <w:t> 项。连续 </w:t>
      </w:r>
      <w:r>
        <w:rPr/>
        <w:t>3</w:t>
      </w:r>
      <w:r>
        <w:rPr>
          <w:spacing w:val="-9"/>
        </w:rPr>
        <w:t> 年获批北京市属医院创新性便</w:t>
      </w:r>
      <w:r>
        <w:rPr>
          <w:spacing w:val="-6"/>
        </w:rPr>
        <w:t>民惠民服务项目，申报 </w:t>
      </w:r>
      <w:r>
        <w:rPr/>
        <w:t>3</w:t>
      </w:r>
      <w:r>
        <w:rPr>
          <w:spacing w:val="-8"/>
        </w:rPr>
        <w:t> 个院内制剂获批东城区非物质文化遗产。</w:t>
      </w:r>
      <w:r>
        <w:rPr/>
        <w:t>2017</w:t>
      </w:r>
      <w:r>
        <w:rPr>
          <w:spacing w:val="-8"/>
        </w:rPr>
        <w:t> 年组织研发中药饮</w:t>
      </w:r>
      <w:r>
        <w:rPr>
          <w:spacing w:val="-15"/>
        </w:rPr>
        <w:t>片处方药嘱服务系统，使该院成为全国首家应用药嘱服务系统为患者出具纸质汤剂说明书的</w:t>
      </w:r>
      <w:r>
        <w:rPr>
          <w:spacing w:val="-11"/>
        </w:rPr>
        <w:t>医院。负责 </w:t>
      </w:r>
      <w:r>
        <w:rPr/>
        <w:t>2</w:t>
      </w:r>
      <w:r>
        <w:rPr>
          <w:spacing w:val="-8"/>
        </w:rPr>
        <w:t> 个院级中药传承工作室。</w:t>
      </w:r>
    </w:p>
    <w:p>
      <w:pPr>
        <w:pStyle w:val="BodyText"/>
        <w:spacing w:line="312" w:lineRule="auto" w:before="2"/>
        <w:ind w:right="227"/>
        <w:jc w:val="both"/>
      </w:pPr>
      <w:r>
        <w:rPr>
          <w:spacing w:val="-7"/>
        </w:rPr>
        <w:t>荣获北京市药品不良反应监测工作先进个人、北京市东城区药品不良反应监测工作先进</w:t>
      </w:r>
      <w:r>
        <w:rPr>
          <w:spacing w:val="-10"/>
        </w:rPr>
        <w:t>个人、北京市东城区食品医药行业协会先进个人；带领团队多次在北京市医院管理局、中国</w:t>
      </w:r>
      <w:r>
        <w:rPr>
          <w:spacing w:val="-11"/>
        </w:rPr>
        <w:t>中药协会、北京药学会组织的各种专业比赛中获奖；带领科室被评为首都医科大学附属北京</w:t>
      </w:r>
      <w:r>
        <w:rPr/>
        <w:t>中医医院先进集体、住院规范化培训先进科室等。</w:t>
      </w:r>
    </w:p>
    <w:p>
      <w:pPr>
        <w:pStyle w:val="BodyText"/>
        <w:spacing w:line="307" w:lineRule="exact"/>
        <w:ind w:left="617" w:firstLine="0"/>
        <w:jc w:val="both"/>
      </w:pPr>
      <w:r>
        <w:rPr/>
        <w:t>发表论文 30 余篇，参编主编教材、科普论著以及院内药品手册多部。</w:t>
      </w:r>
    </w:p>
    <w:p>
      <w:pPr>
        <w:pStyle w:val="BodyText"/>
        <w:spacing w:line="312" w:lineRule="auto" w:before="93"/>
        <w:ind w:right="227"/>
        <w:jc w:val="both"/>
      </w:pPr>
      <w:r>
        <w:rPr>
          <w:spacing w:val="-6"/>
        </w:rPr>
        <w:t>兼任中国中医药信息研究会中医临床药学分会常务理事，中医药信息研究会中药调配与</w:t>
      </w:r>
      <w:r>
        <w:rPr>
          <w:spacing w:val="-9"/>
        </w:rPr>
        <w:t>监测分会副秘书长，中华中医药学会亚健康分会委员会委员，世界中联临床用药安全研究专</w:t>
      </w:r>
      <w:r>
        <w:rPr>
          <w:spacing w:val="-10"/>
        </w:rPr>
        <w:t>业委员会理事，北京中医药学会药事管理专业委员会副主任委员、中药资源与鉴定专业委员</w:t>
      </w:r>
      <w:r>
        <w:rPr>
          <w:spacing w:val="-9"/>
        </w:rPr>
        <w:t>会副主任委员、炮制专业委员会副主任委员、中成药专业委员会常务委员、中药人才培养工</w:t>
      </w:r>
      <w:r>
        <w:rPr/>
        <w:t>作委员会常务委员、养生康复专业委员会副秘书长等。</w:t>
      </w:r>
    </w:p>
    <w:p>
      <w:pPr>
        <w:pStyle w:val="Heading3"/>
        <w:spacing w:line="420" w:lineRule="exact"/>
        <w:ind w:left="617"/>
        <w:jc w:val="both"/>
        <w:rPr>
          <w:rFonts w:ascii="Meiryo" w:eastAsia="Meiryo" w:hint="eastAsia"/>
        </w:rPr>
      </w:pPr>
      <w:r>
        <w:rPr>
          <w:rFonts w:ascii="华文楷体" w:eastAsia="华文楷体" w:hint="eastAsia"/>
          <w:color w:val="006FC0"/>
        </w:rPr>
        <w:t>以上药师荣获 2019 年中国药学会优秀药师</w:t>
      </w:r>
      <w:r>
        <w:rPr>
          <w:rFonts w:ascii="Meiryo" w:eastAsia="Meiryo" w:hint="eastAsia"/>
          <w:color w:val="0033CC"/>
        </w:rPr>
        <w:t>[返回目次]</w:t>
      </w:r>
    </w:p>
    <w:p>
      <w:pPr>
        <w:spacing w:after="0" w:line="420" w:lineRule="exact"/>
        <w:jc w:val="both"/>
        <w:rPr>
          <w:rFonts w:ascii="Meiryo" w:eastAsia="Meiryo" w:hint="eastAsia"/>
        </w:rPr>
        <w:sectPr>
          <w:pgSz w:w="11910" w:h="16850"/>
          <w:pgMar w:header="906" w:footer="607" w:top="1100" w:bottom="800" w:left="1140" w:right="900"/>
        </w:sectPr>
      </w:pPr>
    </w:p>
    <w:p>
      <w:pPr>
        <w:pStyle w:val="BodyText"/>
        <w:spacing w:before="3"/>
        <w:ind w:left="0" w:firstLine="0"/>
        <w:rPr>
          <w:rFonts w:ascii="Meiryo"/>
          <w:b/>
          <w:sz w:val="39"/>
        </w:rPr>
      </w:pPr>
    </w:p>
    <w:p>
      <w:pPr>
        <w:spacing w:before="0"/>
        <w:ind w:left="137" w:right="0" w:firstLine="0"/>
        <w:jc w:val="left"/>
        <w:rPr>
          <w:b/>
          <w:sz w:val="32"/>
        </w:rPr>
      </w:pPr>
      <w:r>
        <w:rPr/>
        <w:pict>
          <v:line style="position:absolute;mso-position-horizontal-relative:page;mso-position-vertical-relative:paragraph;z-index:-252639232" from="62.400002pt,-31.05998pt" to="540.220002pt,-31.05998pt" stroked="true" strokeweight=".72pt" strokecolor="#000000">
            <v:stroke dashstyle="solid"/>
            <w10:wrap type="none"/>
          </v:line>
        </w:pict>
      </w:r>
      <w:r>
        <w:rPr>
          <w:b/>
          <w:sz w:val="32"/>
        </w:rPr>
        <w:t>【学会之窗】</w:t>
      </w:r>
    </w:p>
    <w:p>
      <w:pPr>
        <w:pStyle w:val="Heading1"/>
        <w:spacing w:before="20"/>
        <w:rPr>
          <w:u w:val="none"/>
        </w:rPr>
      </w:pPr>
      <w:bookmarkStart w:name="_TOC_250002" w:id="25"/>
      <w:r>
        <w:rPr>
          <w:b w:val="0"/>
          <w:u w:val="none"/>
        </w:rPr>
        <w:br w:type="column"/>
      </w:r>
      <w:r>
        <w:rPr>
          <w:rFonts w:ascii="Times New Roman" w:eastAsia="Times New Roman"/>
          <w:color w:val="008000"/>
          <w:spacing w:val="-110"/>
          <w:w w:val="99"/>
          <w:u w:val="thick" w:color="008000"/>
        </w:rPr>
        <w:t> </w:t>
      </w:r>
      <w:bookmarkEnd w:id="25"/>
      <w:r>
        <w:rPr>
          <w:color w:val="008000"/>
          <w:u w:val="thick" w:color="008000"/>
        </w:rPr>
        <w:t>学会动态</w:t>
      </w:r>
    </w:p>
    <w:p>
      <w:pPr>
        <w:spacing w:after="0"/>
        <w:sectPr>
          <w:headerReference w:type="default" r:id="rId24"/>
          <w:footerReference w:type="default" r:id="rId25"/>
          <w:pgSz w:w="11910" w:h="16850"/>
          <w:pgMar w:header="0" w:footer="607" w:top="960" w:bottom="800" w:left="1140" w:right="900"/>
          <w:pgNumType w:start="33"/>
          <w:cols w:num="2" w:equalWidth="0">
            <w:col w:w="2105" w:space="2283"/>
            <w:col w:w="5482"/>
          </w:cols>
        </w:sectPr>
      </w:pPr>
    </w:p>
    <w:p>
      <w:pPr>
        <w:pStyle w:val="BodyText"/>
        <w:spacing w:before="4"/>
        <w:ind w:left="0" w:firstLine="0"/>
        <w:rPr>
          <w:rFonts w:ascii="华文宋体"/>
          <w:b/>
          <w:sz w:val="14"/>
        </w:rPr>
      </w:pPr>
    </w:p>
    <w:p>
      <w:pPr>
        <w:pStyle w:val="Heading2"/>
        <w:spacing w:before="55"/>
        <w:ind w:right="240"/>
        <w:jc w:val="center"/>
      </w:pPr>
      <w:bookmarkStart w:name="_TOC_250001" w:id="26"/>
      <w:bookmarkEnd w:id="26"/>
      <w:r>
        <w:rPr/>
        <w:t>第十九届中国药师周在重庆隆重召开</w:t>
      </w:r>
    </w:p>
    <w:p>
      <w:pPr>
        <w:spacing w:before="145"/>
        <w:ind w:left="137" w:right="228" w:firstLine="0"/>
        <w:jc w:val="right"/>
        <w:rPr>
          <w:rFonts w:ascii="楷体" w:eastAsia="楷体" w:hint="eastAsia"/>
          <w:b/>
          <w:sz w:val="24"/>
        </w:rPr>
      </w:pPr>
      <w:r>
        <w:rPr>
          <w:rFonts w:ascii="楷体" w:eastAsia="楷体" w:hint="eastAsia"/>
          <w:b/>
          <w:color w:val="FF0000"/>
          <w:w w:val="95"/>
          <w:sz w:val="24"/>
        </w:rPr>
        <w:t>（来源：中国药学会网站）</w:t>
      </w:r>
    </w:p>
    <w:p>
      <w:pPr>
        <w:pStyle w:val="BodyText"/>
        <w:spacing w:line="312" w:lineRule="auto" w:before="112"/>
        <w:ind w:right="227"/>
        <w:jc w:val="both"/>
      </w:pPr>
      <w:r>
        <w:rPr/>
        <w:drawing>
          <wp:anchor distT="0" distB="0" distL="0" distR="0" allowOverlap="1" layoutInCell="1" locked="0" behindDoc="0" simplePos="0" relativeHeight="6">
            <wp:simplePos x="0" y="0"/>
            <wp:positionH relativeFrom="page">
              <wp:posOffset>1259205</wp:posOffset>
            </wp:positionH>
            <wp:positionV relativeFrom="paragraph">
              <wp:posOffset>1381760</wp:posOffset>
            </wp:positionV>
            <wp:extent cx="4396854" cy="2935033"/>
            <wp:effectExtent l="0" t="0" r="0" b="0"/>
            <wp:wrapTopAndBottom/>
            <wp:docPr id="9" name="image7.jpeg" descr="5-650.jpg"/>
            <wp:cNvGraphicFramePr>
              <a:graphicFrameLocks noChangeAspect="1"/>
            </wp:cNvGraphicFramePr>
            <a:graphic>
              <a:graphicData uri="http://schemas.openxmlformats.org/drawingml/2006/picture">
                <pic:pic>
                  <pic:nvPicPr>
                    <pic:cNvPr id="10" name="image7.jpeg"/>
                    <pic:cNvPicPr/>
                  </pic:nvPicPr>
                  <pic:blipFill>
                    <a:blip r:embed="rId26" cstate="print"/>
                    <a:stretch>
                      <a:fillRect/>
                    </a:stretch>
                  </pic:blipFill>
                  <pic:spPr>
                    <a:xfrm>
                      <a:off x="0" y="0"/>
                      <a:ext cx="4396854" cy="2935033"/>
                    </a:xfrm>
                    <a:prstGeom prst="rect">
                      <a:avLst/>
                    </a:prstGeom>
                  </pic:spPr>
                </pic:pic>
              </a:graphicData>
            </a:graphic>
          </wp:anchor>
        </w:drawing>
      </w:r>
      <w:r>
        <w:rPr/>
        <w:t>11</w:t>
      </w:r>
      <w:r>
        <w:rPr>
          <w:spacing w:val="-41"/>
        </w:rPr>
        <w:t> 月 </w:t>
      </w:r>
      <w:r>
        <w:rPr/>
        <w:t>2</w:t>
      </w:r>
      <w:r>
        <w:rPr>
          <w:spacing w:val="-12"/>
        </w:rPr>
        <w:t> 日，第十九届中国药师周在重庆市隆重开幕。大会以“凝聚药师智慧 助力健康</w:t>
      </w:r>
      <w:r>
        <w:rPr>
          <w:spacing w:val="-11"/>
        </w:rPr>
        <w:t>中国”为主题，深入学习贯彻习近平新时代中国特色社会主义思想和党的十九大精神，聚焦新中国成立 </w:t>
      </w:r>
      <w:r>
        <w:rPr/>
        <w:t>70</w:t>
      </w:r>
      <w:r>
        <w:rPr>
          <w:spacing w:val="-8"/>
        </w:rPr>
        <w:t> 年来我国医药卫生事业取得的重大成就，围绕实施“健康中国”战略，就我</w:t>
      </w:r>
      <w:r>
        <w:rPr>
          <w:spacing w:val="-15"/>
        </w:rPr>
        <w:t>国医药创新战略和发展规划、新时代药学服务发展模式、科技创新和科学传播融合等重大问</w:t>
      </w:r>
      <w:r>
        <w:rPr/>
        <w:t>题进行深入交流和研讨。</w:t>
      </w:r>
    </w:p>
    <w:p>
      <w:pPr>
        <w:spacing w:before="164"/>
        <w:ind w:left="1" w:right="93" w:firstLine="0"/>
        <w:jc w:val="center"/>
        <w:rPr>
          <w:rFonts w:ascii="楷体" w:eastAsia="楷体" w:hint="eastAsia"/>
          <w:sz w:val="18"/>
        </w:rPr>
      </w:pPr>
      <w:r>
        <w:rPr>
          <w:rFonts w:ascii="楷体" w:eastAsia="楷体" w:hint="eastAsia"/>
          <w:sz w:val="18"/>
        </w:rPr>
        <w:t>开幕式现场</w:t>
      </w:r>
    </w:p>
    <w:p>
      <w:pPr>
        <w:pStyle w:val="BodyText"/>
        <w:spacing w:before="3"/>
        <w:ind w:left="0" w:firstLine="0"/>
        <w:rPr>
          <w:rFonts w:ascii="楷体"/>
          <w:sz w:val="26"/>
        </w:rPr>
      </w:pPr>
    </w:p>
    <w:p>
      <w:pPr>
        <w:pStyle w:val="BodyText"/>
        <w:spacing w:line="343" w:lineRule="auto"/>
        <w:ind w:right="127"/>
      </w:pPr>
      <w:r>
        <w:rPr/>
        <w:t>中国药学会理事长、全国政协教科卫体委员会副主任孙咸泽在开幕式致辞中指出，70 </w:t>
      </w:r>
      <w:r>
        <w:rPr>
          <w:spacing w:val="-9"/>
        </w:rPr>
        <w:t>年来，在中国共产党的坚强领导下，我国医药健康事业发生了翻天覆地的变化，人民健康水</w:t>
      </w:r>
      <w:r>
        <w:rPr>
          <w:spacing w:val="-13"/>
        </w:rPr>
        <w:t>平持续改善，医药产业快速发展，药物研发明显提速，医药政策不断优化。当前，“健康中</w:t>
      </w:r>
      <w:r>
        <w:rPr>
          <w:spacing w:val="-11"/>
        </w:rPr>
        <w:t>国”战略正在加快推进，医药健康相关的系列法律、文件和政策陆续出台，为我国医药健康</w:t>
      </w:r>
      <w:r>
        <w:rPr>
          <w:spacing w:val="-12"/>
        </w:rPr>
        <w:t>事业高质量发展提供了重要机遇。但我们也清醒地认识到，随着我国社会主要矛盾的转化， </w:t>
      </w:r>
      <w:r>
        <w:rPr/>
        <w:t>人民群众对高质量医药服务的需求日益增长，对提高健康素养的渴望日趋迫切。</w:t>
      </w:r>
    </w:p>
    <w:p>
      <w:pPr>
        <w:spacing w:after="0" w:line="343" w:lineRule="auto"/>
        <w:sectPr>
          <w:type w:val="continuous"/>
          <w:pgSz w:w="11910" w:h="16850"/>
          <w:pgMar w:top="1100" w:bottom="1020" w:left="1140" w:right="900"/>
        </w:sectPr>
      </w:pPr>
    </w:p>
    <w:p>
      <w:pPr>
        <w:pStyle w:val="BodyText"/>
        <w:ind w:left="100" w:firstLine="0"/>
        <w:rPr>
          <w:sz w:val="20"/>
        </w:rPr>
      </w:pPr>
      <w:r>
        <w:rPr>
          <w:sz w:val="20"/>
        </w:rPr>
        <w:pict>
          <v:group style="width:477.85pt;height:236.9pt;mso-position-horizontal-relative:char;mso-position-vertical-relative:line" coordorigin="0,0" coordsize="9557,4738">
            <v:line style="position:absolute" from="0,7" to="9556,7" stroked="true" strokeweight=".72pt" strokecolor="#000000">
              <v:stroke dashstyle="solid"/>
            </v:line>
            <v:shape style="position:absolute;left:1151;top:77;width:6981;height:4661" type="#_x0000_t75" alt="1-650.jpg" stroked="false">
              <v:imagedata r:id="rId29" o:title=""/>
            </v:shape>
          </v:group>
        </w:pict>
      </w:r>
      <w:r>
        <w:rPr>
          <w:sz w:val="20"/>
        </w:rPr>
      </w:r>
    </w:p>
    <w:p>
      <w:pPr>
        <w:pStyle w:val="BodyText"/>
        <w:spacing w:before="1"/>
        <w:ind w:left="0" w:firstLine="0"/>
        <w:rPr>
          <w:sz w:val="10"/>
        </w:rPr>
      </w:pPr>
    </w:p>
    <w:p>
      <w:pPr>
        <w:spacing w:before="75"/>
        <w:ind w:left="140" w:right="235" w:firstLine="0"/>
        <w:jc w:val="center"/>
        <w:rPr>
          <w:rFonts w:ascii="楷体" w:eastAsia="楷体" w:hint="eastAsia"/>
          <w:sz w:val="18"/>
        </w:rPr>
      </w:pPr>
      <w:r>
        <w:rPr>
          <w:rFonts w:ascii="楷体" w:eastAsia="楷体" w:hint="eastAsia"/>
          <w:sz w:val="18"/>
        </w:rPr>
        <w:t>中国药学会理事长、全国政协教科卫体委员会副主任孙咸泽致辞</w:t>
      </w:r>
    </w:p>
    <w:p>
      <w:pPr>
        <w:pStyle w:val="BodyText"/>
        <w:spacing w:before="6"/>
        <w:ind w:left="0" w:firstLine="0"/>
        <w:rPr>
          <w:rFonts w:ascii="楷体"/>
          <w:sz w:val="22"/>
        </w:rPr>
      </w:pPr>
    </w:p>
    <w:p>
      <w:pPr>
        <w:pStyle w:val="BodyText"/>
        <w:spacing w:line="297" w:lineRule="auto"/>
        <w:ind w:right="127"/>
      </w:pPr>
      <w:r>
        <w:rPr/>
        <w:drawing>
          <wp:anchor distT="0" distB="0" distL="0" distR="0" allowOverlap="1" layoutInCell="1" locked="0" behindDoc="0" simplePos="0" relativeHeight="9">
            <wp:simplePos x="0" y="0"/>
            <wp:positionH relativeFrom="page">
              <wp:posOffset>1600200</wp:posOffset>
            </wp:positionH>
            <wp:positionV relativeFrom="paragraph">
              <wp:posOffset>2464307</wp:posOffset>
            </wp:positionV>
            <wp:extent cx="4524763" cy="3010757"/>
            <wp:effectExtent l="0" t="0" r="0" b="0"/>
            <wp:wrapTopAndBottom/>
            <wp:docPr id="11" name="image9.jpeg" descr="ba3cff763f59e67f76a3cf616d318be.jpg"/>
            <wp:cNvGraphicFramePr>
              <a:graphicFrameLocks noChangeAspect="1"/>
            </wp:cNvGraphicFramePr>
            <a:graphic>
              <a:graphicData uri="http://schemas.openxmlformats.org/drawingml/2006/picture">
                <pic:pic>
                  <pic:nvPicPr>
                    <pic:cNvPr id="12" name="image9.jpeg"/>
                    <pic:cNvPicPr/>
                  </pic:nvPicPr>
                  <pic:blipFill>
                    <a:blip r:embed="rId30" cstate="print"/>
                    <a:stretch>
                      <a:fillRect/>
                    </a:stretch>
                  </pic:blipFill>
                  <pic:spPr>
                    <a:xfrm>
                      <a:off x="0" y="0"/>
                      <a:ext cx="4524763" cy="3010757"/>
                    </a:xfrm>
                    <a:prstGeom prst="rect">
                      <a:avLst/>
                    </a:prstGeom>
                  </pic:spPr>
                </pic:pic>
              </a:graphicData>
            </a:graphic>
          </wp:anchor>
        </w:drawing>
      </w:r>
      <w:r>
        <w:rPr>
          <w:spacing w:val="-12"/>
        </w:rPr>
        <w:t>孙咸泽对广大药师以及全国医药经济信息网工作提出五点希望：一是提高站位，立足“健康中国”战略，进一步转变药学服务模式，提升药学服务能力，满足人民群众日益增长的医</w:t>
      </w:r>
      <w:r>
        <w:rPr>
          <w:spacing w:val="-14"/>
        </w:rPr>
        <w:t>疗卫生健康需求。二是发挥“外脑”优势，提高辅助政府决策咨询能力和第三方评价评估能</w:t>
      </w:r>
      <w:r>
        <w:rPr>
          <w:spacing w:val="-11"/>
        </w:rPr>
        <w:t>力，将全国医药经济信息网打造成我国医药行业中最有影响力的高水平智库。三是积极开展</w:t>
      </w:r>
      <w:r>
        <w:rPr>
          <w:spacing w:val="-14"/>
        </w:rPr>
        <w:t>药学科普工作，提升公众健康素养，更有效地服务“健康中国”。四是信息网要以医药产业的需求为导向，建立标准化工作流程，深入挖掘医药数据价值，持续升级和完善信息平台系</w:t>
      </w:r>
      <w:r>
        <w:rPr>
          <w:spacing w:val="-11"/>
        </w:rPr>
        <w:t>统，合力构建医药信息“大系统、大平台、大数据”，更好地服务于国家和行业。五是进一</w:t>
      </w:r>
      <w:r>
        <w:rPr>
          <w:spacing w:val="-12"/>
        </w:rPr>
        <w:t>步拓展国际化视野，积极与发达国家开展对话与合作，扩大国际影响力，提升国际话语权， </w:t>
      </w:r>
      <w:r>
        <w:rPr>
          <w:spacing w:val="-8"/>
        </w:rPr>
        <w:t>共同应对全球面临的健康挑战，切实把服务人类健康的梦想融入中华民族伟大复兴的中国梦之中。</w:t>
      </w:r>
    </w:p>
    <w:p>
      <w:pPr>
        <w:spacing w:before="148"/>
        <w:ind w:left="263" w:right="0" w:firstLine="0"/>
        <w:jc w:val="center"/>
        <w:rPr>
          <w:rFonts w:ascii="楷体" w:eastAsia="楷体" w:hint="eastAsia"/>
          <w:sz w:val="18"/>
        </w:rPr>
      </w:pPr>
      <w:r>
        <w:rPr>
          <w:rFonts w:ascii="楷体" w:eastAsia="楷体" w:hint="eastAsia"/>
          <w:sz w:val="18"/>
        </w:rPr>
        <w:t>中国药学会副理事长、中国工程院院士丁健作报告</w:t>
      </w:r>
    </w:p>
    <w:p>
      <w:pPr>
        <w:spacing w:after="0"/>
        <w:jc w:val="center"/>
        <w:rPr>
          <w:rFonts w:ascii="楷体" w:eastAsia="楷体" w:hint="eastAsia"/>
          <w:sz w:val="18"/>
        </w:rPr>
        <w:sectPr>
          <w:headerReference w:type="default" r:id="rId27"/>
          <w:footerReference w:type="default" r:id="rId28"/>
          <w:pgSz w:w="11910" w:h="16850"/>
          <w:pgMar w:header="0" w:footer="607" w:top="1100" w:bottom="800" w:left="1140" w:right="900"/>
          <w:pgNumType w:start="34"/>
        </w:sectPr>
      </w:pPr>
    </w:p>
    <w:p>
      <w:pPr>
        <w:pStyle w:val="BodyText"/>
        <w:ind w:left="100" w:firstLine="0"/>
        <w:rPr>
          <w:rFonts w:ascii="楷体"/>
          <w:sz w:val="20"/>
        </w:rPr>
      </w:pPr>
      <w:r>
        <w:rPr>
          <w:rFonts w:ascii="楷体"/>
          <w:sz w:val="20"/>
        </w:rPr>
        <w:pict>
          <v:group style="width:477.85pt;height:243.65pt;mso-position-horizontal-relative:char;mso-position-vertical-relative:line" coordorigin="0,0" coordsize="9557,4873">
            <v:line style="position:absolute" from="0,7" to="9556,7" stroked="true" strokeweight=".72pt" strokecolor="#000000">
              <v:stroke dashstyle="solid"/>
            </v:line>
            <v:shape style="position:absolute;left:1033;top:18;width:7279;height:4855" type="#_x0000_t75" alt="2-650.jpg" stroked="false">
              <v:imagedata r:id="rId33" o:title=""/>
            </v:shape>
          </v:group>
        </w:pict>
      </w:r>
      <w:r>
        <w:rPr>
          <w:rFonts w:ascii="楷体"/>
          <w:sz w:val="20"/>
        </w:rPr>
      </w:r>
    </w:p>
    <w:p>
      <w:pPr>
        <w:spacing w:before="69"/>
        <w:ind w:left="0" w:right="93" w:firstLine="0"/>
        <w:jc w:val="center"/>
        <w:rPr>
          <w:rFonts w:ascii="楷体" w:eastAsia="楷体" w:hint="eastAsia"/>
          <w:sz w:val="18"/>
        </w:rPr>
      </w:pPr>
      <w:r>
        <w:rPr>
          <w:rFonts w:ascii="楷体" w:eastAsia="楷体" w:hint="eastAsia"/>
          <w:sz w:val="18"/>
        </w:rPr>
        <w:t>中国药学会副理事长、中国工程院院士李松主持大会报告</w:t>
      </w:r>
    </w:p>
    <w:p>
      <w:pPr>
        <w:pStyle w:val="BodyText"/>
        <w:spacing w:before="1"/>
        <w:ind w:left="0" w:firstLine="0"/>
        <w:rPr>
          <w:rFonts w:ascii="楷体"/>
          <w:sz w:val="18"/>
        </w:rPr>
      </w:pPr>
      <w:r>
        <w:rPr/>
        <w:drawing>
          <wp:anchor distT="0" distB="0" distL="0" distR="0" allowOverlap="1" layoutInCell="1" locked="0" behindDoc="0" simplePos="0" relativeHeight="11">
            <wp:simplePos x="0" y="0"/>
            <wp:positionH relativeFrom="page">
              <wp:posOffset>1518285</wp:posOffset>
            </wp:positionH>
            <wp:positionV relativeFrom="paragraph">
              <wp:posOffset>172069</wp:posOffset>
            </wp:positionV>
            <wp:extent cx="4647388" cy="3100387"/>
            <wp:effectExtent l="0" t="0" r="0" b="0"/>
            <wp:wrapTopAndBottom/>
            <wp:docPr id="13" name="image11.jpeg" descr="3-650.jpg"/>
            <wp:cNvGraphicFramePr>
              <a:graphicFrameLocks noChangeAspect="1"/>
            </wp:cNvGraphicFramePr>
            <a:graphic>
              <a:graphicData uri="http://schemas.openxmlformats.org/drawingml/2006/picture">
                <pic:pic>
                  <pic:nvPicPr>
                    <pic:cNvPr id="14" name="image11.jpeg"/>
                    <pic:cNvPicPr/>
                  </pic:nvPicPr>
                  <pic:blipFill>
                    <a:blip r:embed="rId34" cstate="print"/>
                    <a:stretch>
                      <a:fillRect/>
                    </a:stretch>
                  </pic:blipFill>
                  <pic:spPr>
                    <a:xfrm>
                      <a:off x="0" y="0"/>
                      <a:ext cx="4647388" cy="3100387"/>
                    </a:xfrm>
                    <a:prstGeom prst="rect">
                      <a:avLst/>
                    </a:prstGeom>
                  </pic:spPr>
                </pic:pic>
              </a:graphicData>
            </a:graphic>
          </wp:anchor>
        </w:drawing>
      </w:r>
    </w:p>
    <w:p>
      <w:pPr>
        <w:spacing w:before="0"/>
        <w:ind w:left="0" w:right="93" w:firstLine="0"/>
        <w:jc w:val="center"/>
        <w:rPr>
          <w:rFonts w:ascii="楷体" w:eastAsia="楷体" w:hint="eastAsia"/>
          <w:sz w:val="18"/>
        </w:rPr>
      </w:pPr>
      <w:r>
        <w:rPr>
          <w:rFonts w:ascii="楷体" w:eastAsia="楷体" w:hint="eastAsia"/>
          <w:sz w:val="18"/>
        </w:rPr>
        <w:t>中国药学会副理事长兼秘书长丁丽霞主持开幕式</w:t>
      </w:r>
    </w:p>
    <w:p>
      <w:pPr>
        <w:pStyle w:val="BodyText"/>
        <w:spacing w:before="7"/>
        <w:ind w:left="0" w:firstLine="0"/>
        <w:rPr>
          <w:rFonts w:ascii="楷体"/>
          <w:sz w:val="23"/>
        </w:rPr>
      </w:pPr>
    </w:p>
    <w:p>
      <w:pPr>
        <w:pStyle w:val="BodyText"/>
        <w:spacing w:line="312" w:lineRule="auto"/>
        <w:ind w:right="227"/>
        <w:jc w:val="both"/>
      </w:pPr>
      <w:r>
        <w:rPr>
          <w:spacing w:val="-2"/>
        </w:rPr>
        <w:t>中国药学会科技开发中心主任周颖玉作中国药学会全国医药经济信息网 </w:t>
      </w:r>
      <w:r>
        <w:rPr/>
        <w:t>2019</w:t>
      </w:r>
      <w:r>
        <w:rPr>
          <w:spacing w:val="-12"/>
        </w:rPr>
        <w:t> 年工作报</w:t>
      </w:r>
      <w:r>
        <w:rPr>
          <w:spacing w:val="-11"/>
        </w:rPr>
        <w:t>告。一年来，在中国药学会的领导下，全国医药经济信息网不忘初心，牢记使命，致力于服务“健康中国”战略，服务医药创新驱动发展，服务医药产业供给侧结构性改革，服务医院</w:t>
      </w:r>
      <w:r>
        <w:rPr>
          <w:spacing w:val="-14"/>
        </w:rPr>
        <w:t>药学学科发展，服务全民医药科学素养提升，坚持“服务于国家及行业”的办网宗旨，以医药信息为基础，以信息技术为支撑，以智库建设和药学科普为两翼，突出技术引领，智库和</w:t>
      </w:r>
      <w:r>
        <w:rPr>
          <w:spacing w:val="-16"/>
        </w:rPr>
        <w:t>科普同步发展，以严谨的态度、科学的方法、准确的数据、深入的分析、全面的研判，打造</w:t>
      </w:r>
      <w:r>
        <w:rPr>
          <w:spacing w:val="-7"/>
        </w:rPr>
        <w:t>和拓展具有行业特色的中国医药经济信息“第一网”，取得了显著成绩。信息网基础建设不</w:t>
      </w:r>
      <w:r>
        <w:rPr>
          <w:spacing w:val="-9"/>
        </w:rPr>
        <w:t>断加强，研究能力日益提升，药学科普更上新台阶。信息网将结合自身实际和特色，加强信</w:t>
      </w:r>
    </w:p>
    <w:p>
      <w:pPr>
        <w:spacing w:after="0" w:line="312" w:lineRule="auto"/>
        <w:jc w:val="both"/>
        <w:sectPr>
          <w:headerReference w:type="default" r:id="rId31"/>
          <w:footerReference w:type="default" r:id="rId32"/>
          <w:pgSz w:w="11910" w:h="16850"/>
          <w:pgMar w:header="0" w:footer="607" w:top="1100" w:bottom="800" w:left="1140" w:right="900"/>
          <w:pgNumType w:start="35"/>
        </w:sectPr>
      </w:pPr>
    </w:p>
    <w:p>
      <w:pPr>
        <w:pStyle w:val="BodyText"/>
        <w:spacing w:line="312" w:lineRule="auto" w:before="79"/>
        <w:ind w:right="232" w:firstLine="0"/>
      </w:pPr>
      <w:r>
        <w:rPr>
          <w:spacing w:val="-10"/>
        </w:rPr>
        <w:t>息平台建设，充分挖掘和发挥信息利用能力，提升医药政策、药学科普、信息技术等方面的</w:t>
      </w:r>
      <w:r>
        <w:rPr/>
        <w:t>研究服务水平，努力建设成为新时代中国医药科技和信息智库。</w:t>
      </w:r>
    </w:p>
    <w:p>
      <w:pPr>
        <w:pStyle w:val="BodyText"/>
        <w:spacing w:line="312" w:lineRule="auto"/>
        <w:ind w:right="227"/>
        <w:jc w:val="both"/>
      </w:pPr>
      <w:r>
        <w:rPr/>
        <w:t>大会发布了备受业界关注的《2019</w:t>
      </w:r>
      <w:r>
        <w:rPr>
          <w:spacing w:val="-8"/>
        </w:rPr>
        <w:t> 年中国药学会医院用药监测报告》。该报告基于全</w:t>
      </w:r>
      <w:r>
        <w:rPr>
          <w:spacing w:val="-14"/>
        </w:rPr>
        <w:t>国医药经济信息网网员医院报送的药品使用数据，运用统计学方法进行深度挖掘与科学分析</w:t>
      </w:r>
      <w:r>
        <w:rPr>
          <w:spacing w:val="-10"/>
        </w:rPr>
        <w:t>形成，分析了年度医院药品使用及近 </w:t>
      </w:r>
      <w:r>
        <w:rPr/>
        <w:t>5</w:t>
      </w:r>
      <w:r>
        <w:rPr>
          <w:spacing w:val="-13"/>
        </w:rPr>
        <w:t> 年趋势变化情况，可为相关政府部门政策制定、各级</w:t>
      </w:r>
      <w:r>
        <w:rPr/>
        <w:t>医疗机构药品使用管理及医药行业发展趋势研判提供科学数据支撑。</w:t>
      </w:r>
    </w:p>
    <w:p>
      <w:pPr>
        <w:pStyle w:val="BodyText"/>
        <w:spacing w:line="312" w:lineRule="auto" w:before="2"/>
        <w:ind w:right="226"/>
        <w:jc w:val="both"/>
      </w:pPr>
      <w:r>
        <w:rPr>
          <w:spacing w:val="-12"/>
        </w:rPr>
        <w:t>大会期间，还召开了中国药学会 </w:t>
      </w:r>
      <w:r>
        <w:rPr/>
        <w:t>24</w:t>
      </w:r>
      <w:r>
        <w:rPr>
          <w:spacing w:val="-15"/>
        </w:rPr>
        <w:t> 届理事会第四次会议，表彰了 </w:t>
      </w:r>
      <w:r>
        <w:rPr/>
        <w:t>2019</w:t>
      </w:r>
      <w:r>
        <w:rPr>
          <w:spacing w:val="-10"/>
        </w:rPr>
        <w:t> 年度中国药学会</w:t>
      </w:r>
      <w:r>
        <w:rPr>
          <w:spacing w:val="-11"/>
        </w:rPr>
        <w:t>优秀药师，中国药学会全国医药经济信息网信息管理优秀单位和个人、信息工作先进单位和</w:t>
      </w:r>
      <w:r>
        <w:rPr>
          <w:spacing w:val="-9"/>
        </w:rPr>
        <w:t>个人、科技传播优秀单位，“药娃杯”药学科普作品征集活动优秀个人</w:t>
      </w:r>
      <w:r>
        <w:rPr/>
        <w:t>（药学科普之星</w:t>
      </w:r>
      <w:r>
        <w:rPr>
          <w:spacing w:val="-17"/>
        </w:rPr>
        <w:t>）</w:t>
      </w:r>
      <w:r>
        <w:rPr>
          <w:spacing w:val="-16"/>
        </w:rPr>
        <w:t>和</w:t>
      </w:r>
      <w:r>
        <w:rPr/>
        <w:t>优秀组织等。</w:t>
      </w:r>
    </w:p>
    <w:p>
      <w:pPr>
        <w:pStyle w:val="BodyText"/>
        <w:spacing w:line="312" w:lineRule="auto"/>
        <w:ind w:right="227"/>
        <w:jc w:val="both"/>
      </w:pPr>
      <w:r>
        <w:rPr>
          <w:spacing w:val="-7"/>
        </w:rPr>
        <w:t>大会举办了医药政策论坛、第二届医药信息和利用研讨会、药物治疗前沿创新论坛、科</w:t>
      </w:r>
      <w:r>
        <w:rPr>
          <w:spacing w:val="-3"/>
        </w:rPr>
        <w:t>学传播论坛、药学服务经典案例分享论坛、药学服务 </w:t>
      </w:r>
      <w:r>
        <w:rPr/>
        <w:t>V</w:t>
      </w:r>
      <w:r>
        <w:rPr>
          <w:spacing w:val="-24"/>
        </w:rPr>
        <w:t> 课堂等 </w:t>
      </w:r>
      <w:r>
        <w:rPr/>
        <w:t>6</w:t>
      </w:r>
      <w:r>
        <w:rPr>
          <w:spacing w:val="-10"/>
        </w:rPr>
        <w:t> 个分论坛。</w:t>
      </w:r>
    </w:p>
    <w:p>
      <w:pPr>
        <w:pStyle w:val="BodyText"/>
        <w:spacing w:line="312" w:lineRule="auto" w:before="2"/>
        <w:ind w:right="227"/>
        <w:jc w:val="both"/>
      </w:pPr>
      <w:r>
        <w:rPr>
          <w:spacing w:val="-9"/>
        </w:rPr>
        <w:t>大会还开展了“安全用药 健康中国”系列科普活动：“科海扬帆 梦想启航”中国药学</w:t>
      </w:r>
      <w:r>
        <w:rPr>
          <w:spacing w:val="-14"/>
        </w:rPr>
        <w:t>会科普公益活动走进重庆医科大学，吸引了大批大学生成为药学科普志愿者。“礼赞共和国</w:t>
      </w:r>
      <w:r>
        <w:rPr/>
        <w:t>奋进新时代——药师您好”安全用药科普活动，展示了新时代药师专业风采。</w:t>
      </w:r>
    </w:p>
    <w:p>
      <w:pPr>
        <w:pStyle w:val="BodyText"/>
        <w:spacing w:line="312" w:lineRule="auto" w:before="1"/>
        <w:ind w:right="127"/>
      </w:pPr>
      <w:r>
        <w:rPr>
          <w:spacing w:val="-1"/>
        </w:rPr>
        <w:t>大会号召广大会员和药学工作者更加紧密地团结在以习近平同志为核心的党中央周围， </w:t>
      </w:r>
      <w:r>
        <w:rPr>
          <w:spacing w:val="-10"/>
        </w:rPr>
        <w:t>增强“四个意识”，坚定“四个自信”，做到“两个维护”，坚持全面深化改革，创新药学</w:t>
      </w:r>
      <w:r>
        <w:rPr>
          <w:spacing w:val="-11"/>
        </w:rPr>
        <w:t>服务，满足公众用药需求，为实施“健康中国”战略、决胜全面建成小康社会、实现中华民族伟大复兴的中国梦作出新贡献！</w:t>
      </w:r>
    </w:p>
    <w:p>
      <w:pPr>
        <w:pStyle w:val="BodyText"/>
        <w:spacing w:line="312" w:lineRule="auto"/>
        <w:ind w:right="107"/>
      </w:pPr>
      <w:r>
        <w:rPr/>
        <w:t>大会由中国药学会主办，重庆医科大学、重庆药学会、中国药学会科技开发中心承办， </w:t>
      </w:r>
      <w:r>
        <w:rPr>
          <w:spacing w:val="-5"/>
        </w:rPr>
        <w:t>重庆市药品监督管理局和重庆市科学技术协会支持。开幕式由中国药学会副理事长兼秘书长</w:t>
      </w:r>
      <w:r>
        <w:rPr>
          <w:spacing w:val="-18"/>
        </w:rPr>
        <w:t>丁丽霞主持。工业信息化部、国家卫生健康委、国家药监局等国家部委有关领导、两院院士、</w:t>
      </w:r>
      <w:r>
        <w:rPr>
          <w:spacing w:val="-5"/>
        </w:rPr>
        <w:t>中国药学会领导、中国药学会 </w:t>
      </w:r>
      <w:r>
        <w:rPr/>
        <w:t>24</w:t>
      </w:r>
      <w:r>
        <w:rPr>
          <w:spacing w:val="-8"/>
        </w:rPr>
        <w:t> 届理事会理事以及医疗机构、高等院校、科研院所、医药</w:t>
      </w:r>
    </w:p>
    <w:p>
      <w:pPr>
        <w:pStyle w:val="BodyText"/>
        <w:spacing w:line="421" w:lineRule="exact"/>
        <w:ind w:firstLine="0"/>
        <w:rPr>
          <w:rFonts w:ascii="Meiryo" w:eastAsia="Meiryo" w:hint="eastAsia"/>
          <w:b/>
        </w:rPr>
      </w:pPr>
      <w:r>
        <w:rPr/>
        <w:t>企业代表、新闻媒体记者等近 3000 人参加了本届大会。</w:t>
      </w:r>
      <w:r>
        <w:rPr>
          <w:rFonts w:ascii="Meiryo" w:eastAsia="Meiryo" w:hint="eastAsia"/>
          <w:b/>
          <w:color w:val="0033CC"/>
        </w:rPr>
        <w:t>[返回目次]</w:t>
      </w:r>
    </w:p>
    <w:p>
      <w:pPr>
        <w:pStyle w:val="Heading2"/>
        <w:spacing w:before="199"/>
        <w:ind w:right="237"/>
        <w:jc w:val="center"/>
      </w:pPr>
      <w:bookmarkStart w:name="_TOC_250000" w:id="27"/>
      <w:bookmarkEnd w:id="27"/>
      <w:r>
        <w:rPr/>
        <w:t>《2019 年中国药学会医院用药监测报告》发布</w:t>
      </w:r>
    </w:p>
    <w:p>
      <w:pPr>
        <w:pStyle w:val="Heading3"/>
        <w:spacing w:before="145"/>
        <w:ind w:left="137" w:right="228"/>
        <w:jc w:val="right"/>
        <w:rPr>
          <w:rFonts w:ascii="楷体" w:eastAsia="楷体" w:hint="eastAsia"/>
        </w:rPr>
      </w:pPr>
      <w:r>
        <w:rPr>
          <w:rFonts w:ascii="楷体" w:eastAsia="楷体" w:hint="eastAsia"/>
          <w:color w:val="FF0000"/>
          <w:w w:val="95"/>
        </w:rPr>
        <w:t>（来源：中国药学会网站）</w:t>
      </w:r>
    </w:p>
    <w:p>
      <w:pPr>
        <w:pStyle w:val="BodyText"/>
        <w:spacing w:before="110"/>
        <w:ind w:left="617" w:firstLine="0"/>
      </w:pPr>
      <w:r>
        <w:rPr/>
        <w:t>11</w:t>
      </w:r>
      <w:r>
        <w:rPr>
          <w:spacing w:val="-41"/>
        </w:rPr>
        <w:t> 月 </w:t>
      </w:r>
      <w:r>
        <w:rPr/>
        <w:t>2</w:t>
      </w:r>
      <w:r>
        <w:rPr>
          <w:spacing w:val="-8"/>
        </w:rPr>
        <w:t> 日，在重庆召开的第十九届中国药师周上，中国药学会发布了《</w:t>
      </w:r>
      <w:r>
        <w:rPr/>
        <w:t>2019</w:t>
      </w:r>
      <w:r>
        <w:rPr>
          <w:spacing w:val="-12"/>
        </w:rPr>
        <w:t> 年中国药</w:t>
      </w:r>
    </w:p>
    <w:p>
      <w:pPr>
        <w:pStyle w:val="BodyText"/>
        <w:spacing w:line="312" w:lineRule="auto" w:before="94"/>
        <w:ind w:right="107" w:firstLine="0"/>
      </w:pPr>
      <w:r>
        <w:rPr>
          <w:spacing w:val="-1"/>
        </w:rPr>
        <w:t>学会医院用药监测报告》</w:t>
      </w:r>
      <w:r>
        <w:rPr/>
        <w:t>（</w:t>
      </w:r>
      <w:r>
        <w:rPr>
          <w:spacing w:val="-3"/>
        </w:rPr>
        <w:t>以下简称《报告》</w:t>
      </w:r>
      <w:r>
        <w:rPr>
          <w:spacing w:val="-5"/>
        </w:rPr>
        <w:t>）</w:t>
      </w:r>
      <w:r>
        <w:rPr>
          <w:spacing w:val="-7"/>
        </w:rPr>
        <w:t>。《报告》分析了年度医院药品使用及近 </w:t>
      </w:r>
      <w:r>
        <w:rPr/>
        <w:t>5 年趋势变化情况，并且对国家药品保障相关政策实施效果进行了科学评估。研究结果显示， </w:t>
      </w:r>
      <w:r>
        <w:rPr>
          <w:spacing w:val="-12"/>
        </w:rPr>
        <w:t>随着国家相关医药政策的深入落实，临床用药在剂型层面日趋合理，基本药物保障水平提升， </w:t>
      </w:r>
      <w:r>
        <w:rPr/>
        <w:t>“4+7”带量采购实施效果显著，医保谈判受益人群扩大。</w:t>
      </w:r>
    </w:p>
    <w:p>
      <w:pPr>
        <w:pStyle w:val="BodyText"/>
        <w:spacing w:line="312" w:lineRule="auto" w:before="2"/>
        <w:ind w:right="230"/>
        <w:jc w:val="both"/>
      </w:pPr>
      <w:r>
        <w:rPr>
          <w:spacing w:val="-5"/>
        </w:rPr>
        <w:t>中国药学会全国医药经济信息网长期致力于医药政策的科学研究，是我国医药领域的重</w:t>
      </w:r>
      <w:r>
        <w:rPr>
          <w:spacing w:val="-11"/>
        </w:rPr>
        <w:t>要智库。近年来，《中国药学会医院用药监测报告》已经成为备受业界关注的权威用药研究</w:t>
      </w:r>
      <w:r>
        <w:rPr>
          <w:spacing w:val="-12"/>
        </w:rPr>
        <w:t>报告。《报告》基于中国药学会全国医药经济信息网样本医院报送的药品使用数据，运用统</w:t>
      </w:r>
    </w:p>
    <w:p>
      <w:pPr>
        <w:spacing w:after="0" w:line="312" w:lineRule="auto"/>
        <w:jc w:val="both"/>
        <w:sectPr>
          <w:headerReference w:type="default" r:id="rId35"/>
          <w:footerReference w:type="default" r:id="rId36"/>
          <w:pgSz w:w="11910" w:h="16850"/>
          <w:pgMar w:header="906" w:footer="607" w:top="1100" w:bottom="800" w:left="1140" w:right="900"/>
          <w:pgNumType w:start="36"/>
        </w:sectPr>
      </w:pPr>
    </w:p>
    <w:p>
      <w:pPr>
        <w:pStyle w:val="BodyText"/>
        <w:spacing w:line="312" w:lineRule="auto" w:before="79"/>
        <w:ind w:right="227" w:firstLine="0"/>
      </w:pPr>
      <w:r>
        <w:rPr>
          <w:spacing w:val="-6"/>
        </w:rPr>
        <w:t>计学方法进行深度挖掘与科学分析形成，为相关政府部门政策制定、各级医疗机构药品使用</w:t>
      </w:r>
      <w:r>
        <w:rPr/>
        <w:t>管理及医药行业发展趋势研判提供科学数据支撑。</w:t>
      </w:r>
    </w:p>
    <w:p>
      <w:pPr>
        <w:pStyle w:val="BodyText"/>
        <w:spacing w:line="312" w:lineRule="auto"/>
        <w:ind w:right="224"/>
        <w:jc w:val="both"/>
      </w:pPr>
      <w:r>
        <w:rPr>
          <w:spacing w:val="-4"/>
        </w:rPr>
        <w:t>全国医药经济信息网网员医院来自全国 </w:t>
      </w:r>
      <w:r>
        <w:rPr/>
        <w:t>31</w:t>
      </w:r>
      <w:r>
        <w:rPr>
          <w:spacing w:val="-20"/>
        </w:rPr>
        <w:t> 个省</w:t>
      </w:r>
      <w:r>
        <w:rPr/>
        <w:t>（市、自治区），</w:t>
      </w:r>
      <w:r>
        <w:rPr>
          <w:spacing w:val="-20"/>
        </w:rPr>
        <w:t>覆盖 </w:t>
      </w:r>
      <w:r>
        <w:rPr/>
        <w:t>270</w:t>
      </w:r>
      <w:r>
        <w:rPr>
          <w:spacing w:val="-10"/>
        </w:rPr>
        <w:t> 余个地级市</w:t>
      </w:r>
      <w:r>
        <w:rPr>
          <w:spacing w:val="-28"/>
        </w:rPr>
        <w:t>或县级市，</w:t>
      </w:r>
      <w:r>
        <w:rPr/>
        <w:t>2019</w:t>
      </w:r>
      <w:r>
        <w:rPr>
          <w:spacing w:val="-16"/>
        </w:rPr>
        <w:t> 年入网医院近 </w:t>
      </w:r>
      <w:r>
        <w:rPr/>
        <w:t>1500</w:t>
      </w:r>
      <w:r>
        <w:rPr>
          <w:spacing w:val="-18"/>
        </w:rPr>
        <w:t> 家，样本医院级别以二、三级医院为主</w:t>
      </w:r>
      <w:r>
        <w:rPr>
          <w:spacing w:val="-51"/>
        </w:rPr>
        <w:t>。《报告》以 </w:t>
      </w:r>
      <w:r>
        <w:rPr>
          <w:spacing w:val="-3"/>
        </w:rPr>
        <w:t>201</w:t>
      </w:r>
      <w:r>
        <w:rPr>
          <w:spacing w:val="-6"/>
        </w:rPr>
        <w:t>4</w:t>
      </w:r>
      <w:r>
        <w:rPr>
          <w:spacing w:val="-3"/>
        </w:rPr>
        <w:t>～</w:t>
      </w:r>
      <w:r>
        <w:rPr/>
        <w:t> 2019</w:t>
      </w:r>
      <w:r>
        <w:rPr>
          <w:spacing w:val="-11"/>
        </w:rPr>
        <w:t> 年上半年连续样本作为研究对象，共纳入 </w:t>
      </w:r>
      <w:r>
        <w:rPr/>
        <w:t>926</w:t>
      </w:r>
      <w:r>
        <w:rPr>
          <w:spacing w:val="-8"/>
        </w:rPr>
        <w:t> 家连续样本医院。</w:t>
      </w:r>
    </w:p>
    <w:p>
      <w:pPr>
        <w:pStyle w:val="Heading3"/>
        <w:spacing w:before="1"/>
      </w:pPr>
      <w:r>
        <w:rPr/>
        <w:t>医院用药结构总体稳定</w:t>
      </w:r>
    </w:p>
    <w:p>
      <w:pPr>
        <w:pStyle w:val="BodyText"/>
        <w:spacing w:line="312" w:lineRule="auto" w:before="93"/>
        <w:ind w:right="226"/>
      </w:pPr>
      <w:r>
        <w:rPr>
          <w:spacing w:val="-9"/>
        </w:rPr>
        <w:t>报告指出，近 </w:t>
      </w:r>
      <w:r>
        <w:rPr/>
        <w:t>5</w:t>
      </w:r>
      <w:r>
        <w:rPr>
          <w:spacing w:val="-8"/>
        </w:rPr>
        <w:t> 年各级医院的药品使用品种数略有下降。</w:t>
      </w:r>
      <w:r>
        <w:rPr/>
        <w:t>2019</w:t>
      </w:r>
      <w:r>
        <w:rPr>
          <w:spacing w:val="-8"/>
        </w:rPr>
        <w:t> 年上半年样本医院通用</w:t>
      </w:r>
      <w:r>
        <w:rPr>
          <w:spacing w:val="-14"/>
        </w:rPr>
        <w:t>名层面品种总数为 </w:t>
      </w:r>
      <w:r>
        <w:rPr/>
        <w:t>2145</w:t>
      </w:r>
      <w:r>
        <w:rPr>
          <w:spacing w:val="-14"/>
        </w:rPr>
        <w:t> 种。从医院级别来看，三级医院使用全药总品种数为 </w:t>
      </w:r>
      <w:r>
        <w:rPr/>
        <w:t>2122</w:t>
      </w:r>
      <w:r>
        <w:rPr>
          <w:spacing w:val="-23"/>
        </w:rPr>
        <w:t> 种，二级</w:t>
      </w:r>
    </w:p>
    <w:p>
      <w:pPr>
        <w:pStyle w:val="BodyText"/>
        <w:spacing w:line="307" w:lineRule="exact"/>
        <w:ind w:firstLine="0"/>
      </w:pPr>
      <w:r>
        <w:rPr/>
        <w:t>及以下医院使用全药总品种数为 1888 种。</w:t>
      </w:r>
    </w:p>
    <w:p>
      <w:pPr>
        <w:pStyle w:val="BodyText"/>
        <w:spacing w:line="312" w:lineRule="auto" w:before="94"/>
        <w:ind w:right="226"/>
        <w:jc w:val="both"/>
      </w:pPr>
      <w:r>
        <w:rPr>
          <w:spacing w:val="-31"/>
        </w:rPr>
        <w:t>从 </w:t>
      </w:r>
      <w:r>
        <w:rPr/>
        <w:t>ATC</w:t>
      </w:r>
      <w:r>
        <w:rPr>
          <w:spacing w:val="-16"/>
        </w:rPr>
        <w:t> 大类来看，品种数量结构相对稳定。全药使用品种总数前 </w:t>
      </w:r>
      <w:r>
        <w:rPr/>
        <w:t>3</w:t>
      </w:r>
      <w:r>
        <w:rPr>
          <w:spacing w:val="-30"/>
        </w:rPr>
        <w:t> 位的 </w:t>
      </w:r>
      <w:r>
        <w:rPr/>
        <w:t>ATC</w:t>
      </w:r>
      <w:r>
        <w:rPr>
          <w:spacing w:val="-13"/>
        </w:rPr>
        <w:t> 大类为消化</w:t>
      </w:r>
      <w:r>
        <w:rPr>
          <w:spacing w:val="-12"/>
        </w:rPr>
        <w:t>系统及代谢药、神经系统药和全身用抗感染药；品种总数前 </w:t>
      </w:r>
      <w:r>
        <w:rPr/>
        <w:t>4</w:t>
      </w:r>
      <w:r>
        <w:rPr>
          <w:spacing w:val="-9"/>
        </w:rPr>
        <w:t> 位的大类占总品种数的比例接</w:t>
      </w:r>
      <w:r>
        <w:rPr>
          <w:spacing w:val="-30"/>
        </w:rPr>
        <w:t>近 </w:t>
      </w:r>
      <w:r>
        <w:rPr/>
        <w:t>50%。</w:t>
      </w:r>
    </w:p>
    <w:p>
      <w:pPr>
        <w:pStyle w:val="BodyText"/>
        <w:spacing w:line="312" w:lineRule="auto" w:before="1"/>
        <w:ind w:right="228"/>
        <w:jc w:val="both"/>
      </w:pPr>
      <w:r>
        <w:rPr>
          <w:spacing w:val="-11"/>
        </w:rPr>
        <w:t>对全药不同 </w:t>
      </w:r>
      <w:r>
        <w:rPr/>
        <w:t>ATC</w:t>
      </w:r>
      <w:r>
        <w:rPr>
          <w:spacing w:val="-9"/>
        </w:rPr>
        <w:t> 分类品种的使用金额及频度占比情况进行分析发现，</w:t>
      </w:r>
      <w:r>
        <w:rPr>
          <w:spacing w:val="-21"/>
        </w:rPr>
        <w:t>5</w:t>
      </w:r>
      <w:r>
        <w:rPr>
          <w:spacing w:val="-20"/>
        </w:rPr>
        <w:t> 年内不同 </w:t>
      </w:r>
      <w:r>
        <w:rPr/>
        <w:t>ATC</w:t>
      </w:r>
      <w:r>
        <w:rPr>
          <w:spacing w:val="-38"/>
        </w:rPr>
        <w:t> 分</w:t>
      </w:r>
      <w:r>
        <w:rPr>
          <w:spacing w:val="-4"/>
        </w:rPr>
        <w:t>类品种的使用金额变化幅度均低于 </w:t>
      </w:r>
      <w:r>
        <w:rPr/>
        <w:t>2.5%，</w:t>
      </w:r>
      <w:r>
        <w:rPr>
          <w:spacing w:val="-5"/>
        </w:rPr>
        <w:t>使用频度变化幅度均低于 </w:t>
      </w:r>
      <w:r>
        <w:rPr/>
        <w:t>1%。</w:t>
      </w:r>
    </w:p>
    <w:p>
      <w:pPr>
        <w:pStyle w:val="BodyText"/>
        <w:spacing w:line="312" w:lineRule="auto"/>
        <w:ind w:right="230"/>
      </w:pPr>
      <w:r>
        <w:rPr>
          <w:spacing w:val="-10"/>
        </w:rPr>
        <w:t>总的来看，医院不同类别药品的品种数、金额、用量占比增速趋缓，反映了医院用药结</w:t>
      </w:r>
      <w:r>
        <w:rPr/>
        <w:t>构处于总体稳定状态。</w:t>
      </w:r>
    </w:p>
    <w:p>
      <w:pPr>
        <w:pStyle w:val="Heading3"/>
      </w:pPr>
      <w:r>
        <w:rPr/>
        <w:t>基本药物保障水平提升</w:t>
      </w:r>
    </w:p>
    <w:p>
      <w:pPr>
        <w:pStyle w:val="BodyText"/>
        <w:spacing w:line="312" w:lineRule="auto" w:before="93"/>
        <w:ind w:right="224"/>
        <w:jc w:val="both"/>
      </w:pPr>
      <w:r>
        <w:rPr>
          <w:spacing w:val="-7"/>
        </w:rPr>
        <w:t>《报告》显示，</w:t>
      </w:r>
      <w:r>
        <w:rPr>
          <w:spacing w:val="-4"/>
        </w:rPr>
        <w:t>2014～2018</w:t>
      </w:r>
      <w:r>
        <w:rPr>
          <w:spacing w:val="-13"/>
        </w:rPr>
        <w:t> 年，基本药物使用金额及频度占比略有下降。</w:t>
      </w:r>
      <w:r>
        <w:rPr/>
        <w:t>2018</w:t>
      </w:r>
      <w:r>
        <w:rPr>
          <w:spacing w:val="-30"/>
        </w:rPr>
        <w:t> 年，《国</w:t>
      </w:r>
      <w:r>
        <w:rPr/>
        <w:t>家基本药物目录》调整后，各级医院基本药物使用金额、频度占比均有所上升。</w:t>
      </w:r>
    </w:p>
    <w:p>
      <w:pPr>
        <w:pStyle w:val="BodyText"/>
        <w:spacing w:line="312" w:lineRule="auto"/>
        <w:ind w:right="226"/>
        <w:jc w:val="both"/>
      </w:pPr>
      <w:r>
        <w:rPr>
          <w:spacing w:val="-12"/>
        </w:rPr>
        <w:t>《报告》以 </w:t>
      </w:r>
      <w:r>
        <w:rPr/>
        <w:t>2019</w:t>
      </w:r>
      <w:r>
        <w:rPr>
          <w:spacing w:val="-8"/>
        </w:rPr>
        <w:t> 年上半年数据为基础，对《国家基本药物目录</w:t>
      </w:r>
      <w:r>
        <w:rPr/>
        <w:t>（2012</w:t>
      </w:r>
      <w:r>
        <w:rPr>
          <w:spacing w:val="-20"/>
        </w:rPr>
        <w:t> 年版</w:t>
      </w:r>
      <w:r>
        <w:rPr>
          <w:spacing w:val="-8"/>
        </w:rPr>
        <w:t>）</w:t>
      </w:r>
      <w:r>
        <w:rPr>
          <w:spacing w:val="-5"/>
        </w:rPr>
        <w:t>》与《国家基本药物目录（2018</w:t>
      </w:r>
      <w:r>
        <w:rPr>
          <w:spacing w:val="-21"/>
        </w:rPr>
        <w:t> 年版</w:t>
      </w:r>
      <w:r>
        <w:rPr/>
        <w:t>）</w:t>
      </w:r>
      <w:r>
        <w:rPr>
          <w:spacing w:val="-3"/>
        </w:rPr>
        <w:t>》进行对比分析后发现，基本药物使用品规数由 </w:t>
      </w:r>
      <w:r>
        <w:rPr/>
        <w:t>783</w:t>
      </w:r>
      <w:r>
        <w:rPr>
          <w:spacing w:val="-15"/>
        </w:rPr>
        <w:t> 个增长</w:t>
      </w:r>
      <w:r>
        <w:rPr>
          <w:spacing w:val="-38"/>
        </w:rPr>
        <w:t>至 </w:t>
      </w:r>
      <w:r>
        <w:rPr/>
        <w:t>1052</w:t>
      </w:r>
      <w:r>
        <w:rPr>
          <w:spacing w:val="-15"/>
        </w:rPr>
        <w:t> 个，金额占比由 </w:t>
      </w:r>
      <w:r>
        <w:rPr/>
        <w:t>12.1%</w:t>
      </w:r>
      <w:r>
        <w:rPr>
          <w:spacing w:val="-15"/>
        </w:rPr>
        <w:t>增长至 </w:t>
      </w:r>
      <w:r>
        <w:rPr/>
        <w:t>27.2%，</w:t>
      </w:r>
      <w:r>
        <w:rPr>
          <w:spacing w:val="-8"/>
        </w:rPr>
        <w:t>使用频度占比由 </w:t>
      </w:r>
      <w:r>
        <w:rPr/>
        <w:t>31.3%</w:t>
      </w:r>
      <w:r>
        <w:rPr>
          <w:spacing w:val="-15"/>
        </w:rPr>
        <w:t>增长至 </w:t>
      </w:r>
      <w:r>
        <w:rPr/>
        <w:t>47.1%，日均费</w:t>
      </w:r>
      <w:r>
        <w:rPr>
          <w:spacing w:val="-20"/>
        </w:rPr>
        <w:t>用由 </w:t>
      </w:r>
      <w:r>
        <w:rPr/>
        <w:t>5</w:t>
      </w:r>
      <w:r>
        <w:rPr>
          <w:spacing w:val="-21"/>
        </w:rPr>
        <w:t> 元增长至 </w:t>
      </w:r>
      <w:r>
        <w:rPr/>
        <w:t>7.5</w:t>
      </w:r>
      <w:r>
        <w:rPr>
          <w:spacing w:val="-14"/>
        </w:rPr>
        <w:t> 元。基本药物整体药品品规数增幅 </w:t>
      </w:r>
      <w:r>
        <w:rPr>
          <w:spacing w:val="-6"/>
        </w:rPr>
        <w:t>34.4%</w:t>
      </w:r>
      <w:r>
        <w:rPr>
          <w:spacing w:val="-10"/>
        </w:rPr>
        <w:t>，整体金额增幅 </w:t>
      </w:r>
      <w:r>
        <w:rPr>
          <w:spacing w:val="-5"/>
        </w:rPr>
        <w:t>124.7%</w:t>
      </w:r>
      <w:r>
        <w:rPr>
          <w:spacing w:val="-7"/>
        </w:rPr>
        <w:t>，整体</w:t>
      </w:r>
      <w:r>
        <w:rPr>
          <w:spacing w:val="-9"/>
        </w:rPr>
        <w:t>使用频度增幅 </w:t>
      </w:r>
      <w:r>
        <w:rPr/>
        <w:t>50.8%。这表明基本药物保障水平大幅提升。</w:t>
      </w:r>
    </w:p>
    <w:p>
      <w:pPr>
        <w:pStyle w:val="Heading3"/>
        <w:spacing w:before="3"/>
      </w:pPr>
      <w:r>
        <w:rPr/>
        <w:t>抗肿瘤和免疫调节剂金额占比猛增</w:t>
      </w:r>
    </w:p>
    <w:p>
      <w:pPr>
        <w:pStyle w:val="BodyText"/>
        <w:spacing w:line="312" w:lineRule="auto" w:before="91"/>
        <w:ind w:right="306"/>
      </w:pPr>
      <w:r>
        <w:rPr/>
        <w:t>《报告》显示，2018</w:t>
      </w:r>
      <w:r>
        <w:rPr>
          <w:spacing w:val="-9"/>
        </w:rPr>
        <w:t> 年基本药物增补调整的品种中，抗肿瘤和免疫调节剂占使用金额</w:t>
      </w:r>
      <w:r>
        <w:rPr>
          <w:spacing w:val="-16"/>
        </w:rPr>
        <w:t>增幅的 </w:t>
      </w:r>
      <w:r>
        <w:rPr/>
        <w:t>27.0%。</w:t>
      </w:r>
    </w:p>
    <w:p>
      <w:pPr>
        <w:pStyle w:val="BodyText"/>
        <w:spacing w:line="312" w:lineRule="auto" w:before="2"/>
        <w:ind w:right="108"/>
      </w:pPr>
      <w:r>
        <w:rPr>
          <w:spacing w:val="-15"/>
        </w:rPr>
        <w:t>《报告》显示，近年来，品种数增幅最高的为抗肿瘤和免疫调节剂，其 </w:t>
      </w:r>
      <w:r>
        <w:rPr/>
        <w:t>5</w:t>
      </w:r>
      <w:r>
        <w:rPr>
          <w:spacing w:val="-20"/>
        </w:rPr>
        <w:t> 年增幅达 </w:t>
      </w:r>
      <w:r>
        <w:rPr/>
        <w:t>10%</w:t>
      </w:r>
      <w:r>
        <w:rPr>
          <w:spacing w:val="-15"/>
        </w:rPr>
        <w:t>。</w:t>
      </w:r>
      <w:r>
        <w:rPr/>
        <w:t>2018</w:t>
      </w:r>
      <w:r>
        <w:rPr>
          <w:spacing w:val="-20"/>
        </w:rPr>
        <w:t> 年，抗肿瘤和免疫调节剂的使用金额占比首次超过全身用抗感染药物。这个比例在 </w:t>
      </w:r>
      <w:r>
        <w:rPr/>
        <w:t>2019 </w:t>
      </w:r>
      <w:r>
        <w:rPr>
          <w:spacing w:val="-6"/>
        </w:rPr>
        <w:t>年上半年持续上升，达 </w:t>
      </w:r>
      <w:r>
        <w:rPr/>
        <w:t>18%，</w:t>
      </w:r>
      <w:r>
        <w:rPr>
          <w:spacing w:val="-30"/>
        </w:rPr>
        <w:t>是 </w:t>
      </w:r>
      <w:r>
        <w:rPr/>
        <w:t>5</w:t>
      </w:r>
      <w:r>
        <w:rPr>
          <w:spacing w:val="-8"/>
        </w:rPr>
        <w:t> 年来金额占比增幅最大类别。</w:t>
      </w:r>
    </w:p>
    <w:p>
      <w:pPr>
        <w:pStyle w:val="BodyText"/>
        <w:spacing w:line="312" w:lineRule="auto" w:before="1"/>
        <w:ind w:right="229"/>
        <w:jc w:val="both"/>
      </w:pPr>
      <w:r>
        <w:rPr/>
        <w:t>对比《国家基本药物目录（2012</w:t>
      </w:r>
      <w:r>
        <w:rPr>
          <w:spacing w:val="-20"/>
        </w:rPr>
        <w:t> 年版</w:t>
      </w:r>
      <w:r>
        <w:rPr/>
        <w:t>）》与《国家基本药物目录（2018</w:t>
      </w:r>
      <w:r>
        <w:rPr>
          <w:spacing w:val="-20"/>
        </w:rPr>
        <w:t> 年版</w:t>
      </w:r>
      <w:r>
        <w:rPr/>
        <w:t>）》可以</w:t>
      </w:r>
      <w:r>
        <w:rPr>
          <w:spacing w:val="-8"/>
        </w:rPr>
        <w:t>发现，抗肿瘤和免疫调节剂品规增幅达 </w:t>
      </w:r>
      <w:r>
        <w:rPr/>
        <w:t>81.4%</w:t>
      </w:r>
      <w:r>
        <w:rPr>
          <w:spacing w:val="-7"/>
        </w:rPr>
        <w:t>。因此，抗肿瘤和免疫调节剂相关人群是基本</w:t>
      </w:r>
      <w:r>
        <w:rPr/>
        <w:t>药物相关政策调整的最大受益者。</w:t>
      </w:r>
    </w:p>
    <w:p>
      <w:pPr>
        <w:pStyle w:val="Heading3"/>
        <w:spacing w:before="1"/>
      </w:pPr>
      <w:r>
        <w:rPr/>
        <w:t>医院用药剂型日趋合理</w:t>
      </w:r>
    </w:p>
    <w:p>
      <w:pPr>
        <w:spacing w:after="0"/>
        <w:sectPr>
          <w:pgSz w:w="11910" w:h="16850"/>
          <w:pgMar w:header="906" w:footer="607" w:top="1100" w:bottom="800" w:left="1140" w:right="900"/>
        </w:sectPr>
      </w:pPr>
    </w:p>
    <w:p>
      <w:pPr>
        <w:pStyle w:val="BodyText"/>
        <w:spacing w:line="312" w:lineRule="auto" w:before="79"/>
        <w:ind w:right="228"/>
        <w:jc w:val="both"/>
      </w:pPr>
      <w:r>
        <w:rPr>
          <w:spacing w:val="-11"/>
        </w:rPr>
        <w:t>《报告》显示，近年来医院用药结构在剂型层面趋于合理。研究对全药不同剂型使用金</w:t>
      </w:r>
      <w:r>
        <w:rPr>
          <w:spacing w:val="-10"/>
        </w:rPr>
        <w:t>额、频度占比情况进行分析发现，使用金额占比最高为注射剂型，使用频度占比最高为口服</w:t>
      </w:r>
      <w:r>
        <w:rPr/>
        <w:t>剂型，近年来口服剂型金额、频度占比略有上升，注射剂略有下降。</w:t>
      </w:r>
    </w:p>
    <w:p>
      <w:pPr>
        <w:pStyle w:val="Heading3"/>
        <w:spacing w:before="1"/>
      </w:pPr>
      <w:r>
        <w:rPr/>
        <w:t>医保谈判受益人群扩大</w:t>
      </w:r>
    </w:p>
    <w:p>
      <w:pPr>
        <w:pStyle w:val="BodyText"/>
        <w:spacing w:before="91"/>
        <w:ind w:left="617" w:firstLine="0"/>
      </w:pPr>
      <w:r>
        <w:rPr/>
        <w:t>《报告》还围绕两轮国家医保谈判品种进行了深度专题数据分析与研究。</w:t>
      </w:r>
    </w:p>
    <w:p>
      <w:pPr>
        <w:pStyle w:val="BodyText"/>
        <w:spacing w:line="312" w:lineRule="auto" w:before="93"/>
        <w:ind w:right="227"/>
        <w:jc w:val="both"/>
      </w:pPr>
      <w:r>
        <w:rPr>
          <w:spacing w:val="-11"/>
        </w:rPr>
        <w:t>结果指出，国家医保两轮谈判品种价格均在全国范围内较短时间落实到位，大部分品种</w:t>
      </w:r>
      <w:r>
        <w:rPr>
          <w:spacing w:val="-1"/>
        </w:rPr>
        <w:t>扩大了受益人群且实现了量价互换，</w:t>
      </w:r>
      <w:r>
        <w:rPr>
          <w:spacing w:val="-6"/>
        </w:rPr>
        <w:t>75%</w:t>
      </w:r>
      <w:r>
        <w:rPr>
          <w:spacing w:val="-5"/>
        </w:rPr>
        <w:t>的品种使用频度增幅超过 </w:t>
      </w:r>
      <w:r>
        <w:rPr/>
        <w:t>100%</w:t>
      </w:r>
      <w:r>
        <w:rPr>
          <w:spacing w:val="-6"/>
        </w:rPr>
        <w:t>。不过也有个别品种</w:t>
      </w:r>
      <w:r>
        <w:rPr>
          <w:spacing w:val="-10"/>
        </w:rPr>
        <w:t>表现未达预期，比如参一胶囊等品种未实现谈判初衷，索拉非尼等品种放量后使用频度增速</w:t>
      </w:r>
      <w:r>
        <w:rPr/>
        <w:t>回落。</w:t>
      </w:r>
    </w:p>
    <w:p>
      <w:pPr>
        <w:pStyle w:val="Heading3"/>
        <w:spacing w:before="3"/>
        <w:ind w:left="742"/>
      </w:pPr>
      <w:r>
        <w:rPr/>
        <w:t>“4+7”带量采购实施效果显著</w:t>
      </w:r>
    </w:p>
    <w:p>
      <w:pPr>
        <w:pStyle w:val="BodyText"/>
        <w:spacing w:line="312" w:lineRule="auto" w:before="91"/>
        <w:ind w:right="104"/>
      </w:pPr>
      <w:r>
        <w:rPr>
          <w:spacing w:val="-14"/>
        </w:rPr>
        <w:t>《报告》对“</w:t>
      </w:r>
      <w:r>
        <w:rPr>
          <w:spacing w:val="-8"/>
        </w:rPr>
        <w:t>4+7</w:t>
      </w:r>
      <w:r>
        <w:rPr>
          <w:spacing w:val="-9"/>
        </w:rPr>
        <w:t>”带量采购品种使用情况也进行了数据分析。结果发现，在国家“</w:t>
      </w:r>
      <w:r>
        <w:rPr>
          <w:spacing w:val="-4"/>
        </w:rPr>
        <w:t>4+7” </w:t>
      </w:r>
      <w:r>
        <w:rPr>
          <w:spacing w:val="-3"/>
        </w:rPr>
        <w:t>带量采购政策落实方面，多数品种实施效果显著，厄贝沙坦等 </w:t>
      </w:r>
      <w:r>
        <w:rPr/>
        <w:t>15</w:t>
      </w:r>
      <w:r>
        <w:rPr>
          <w:spacing w:val="-8"/>
        </w:rPr>
        <w:t> 个品种的中选企业在试点</w:t>
      </w:r>
      <w:r>
        <w:rPr>
          <w:spacing w:val="-15"/>
        </w:rPr>
        <w:t>城市用量占比达 </w:t>
      </w:r>
      <w:r>
        <w:rPr/>
        <w:t>70%以上。</w:t>
      </w:r>
    </w:p>
    <w:p>
      <w:pPr>
        <w:pStyle w:val="BodyText"/>
        <w:ind w:left="617" w:firstLine="0"/>
      </w:pPr>
      <w:r>
        <w:rPr/>
        <w:t>有关原研药和仿制药数据变化也值得关注。阿托伐他汀等 22 个已通过仿制药质量一致</w:t>
      </w:r>
    </w:p>
    <w:p>
      <w:pPr>
        <w:pStyle w:val="BodyText"/>
        <w:spacing w:line="312" w:lineRule="auto" w:before="94"/>
        <w:ind w:right="229" w:firstLine="0"/>
      </w:pPr>
      <w:r>
        <w:rPr>
          <w:spacing w:val="-4"/>
        </w:rPr>
        <w:t>性评价的国产品种使用频度占比高于 </w:t>
      </w:r>
      <w:r>
        <w:rPr/>
        <w:t>2018</w:t>
      </w:r>
      <w:r>
        <w:rPr>
          <w:spacing w:val="-22"/>
        </w:rPr>
        <w:t> 年同期，氨氯地平等 </w:t>
      </w:r>
      <w:r>
        <w:rPr/>
        <w:t>12</w:t>
      </w:r>
      <w:r>
        <w:rPr>
          <w:spacing w:val="-9"/>
        </w:rPr>
        <w:t> 个品种的原研产品市场受</w:t>
      </w:r>
      <w:r>
        <w:rPr>
          <w:spacing w:val="-4"/>
        </w:rPr>
        <w:t>到不同程度的挤占，使用频度下降幅度在 </w:t>
      </w:r>
      <w:r>
        <w:rPr/>
        <w:t>5.49%～28.44%。</w:t>
      </w:r>
    </w:p>
    <w:p>
      <w:pPr>
        <w:pStyle w:val="BodyText"/>
        <w:spacing w:line="276" w:lineRule="auto"/>
        <w:ind w:right="228"/>
        <w:rPr>
          <w:rFonts w:ascii="Meiryo" w:eastAsia="Meiryo" w:hint="eastAsia"/>
          <w:b/>
        </w:rPr>
      </w:pPr>
      <w:r>
        <w:rPr>
          <w:spacing w:val="-11"/>
        </w:rPr>
        <w:t>关注更多专题报告与深度分析，请登陆中国药学会网站 </w:t>
      </w:r>
      <w:hyperlink r:id="rId37">
        <w:r>
          <w:rPr/>
          <w:t>http://www.cpa.org.cn</w:t>
        </w:r>
        <w:r>
          <w:rPr>
            <w:spacing w:val="-60"/>
          </w:rPr>
          <w:t> </w:t>
        </w:r>
      </w:hyperlink>
      <w:r>
        <w:rPr>
          <w:spacing w:val="-5"/>
        </w:rPr>
        <w:t>和中国药学会科技开发中心网站 </w:t>
      </w:r>
      <w:hyperlink r:id="rId38">
        <w:r>
          <w:rPr/>
          <w:t>http://www.cmei.org.cn</w:t>
        </w:r>
      </w:hyperlink>
      <w:r>
        <w:rPr/>
        <w:t>。</w:t>
      </w:r>
      <w:r>
        <w:rPr>
          <w:rFonts w:ascii="Meiryo" w:eastAsia="Meiryo" w:hint="eastAsia"/>
          <w:b/>
          <w:color w:val="0033CC"/>
        </w:rPr>
        <w:t>[返回目次]</w:t>
      </w:r>
    </w:p>
    <w:sectPr>
      <w:pgSz w:w="11910" w:h="16850"/>
      <w:pgMar w:header="906" w:footer="607" w:top="1100" w:bottom="800" w:left="11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 w:name="黑体">
    <w:altName w:val="黑体"/>
    <w:charset w:val="86"/>
    <w:family w:val="modern"/>
    <w:pitch w:val="fixed"/>
  </w:font>
  <w:font w:name="Calibri">
    <w:altName w:val="Calibri"/>
    <w:charset w:val="0"/>
    <w:family w:val="swiss"/>
    <w:pitch w:val="variable"/>
  </w:font>
  <w:font w:name="楷体">
    <w:altName w:val="楷体"/>
    <w:charset w:val="86"/>
    <w:family w:val="modern"/>
    <w:pitch w:val="fixed"/>
  </w:font>
  <w:font w:name="华文宋体">
    <w:altName w:val="华文宋体"/>
    <w:charset w:val="86"/>
    <w:family w:val="auto"/>
    <w:pitch w:val="variable"/>
  </w:font>
  <w:font w:name="隶书">
    <w:altName w:val="隶书"/>
    <w:charset w:val="86"/>
    <w:family w:val="modern"/>
    <w:pitch w:val="fixed"/>
  </w:font>
  <w:font w:name="Meiryo">
    <w:altName w:val="Meiryo"/>
    <w:charset w:val="0"/>
    <w:family w:val="swiss"/>
    <w:pitch w:val="variable"/>
  </w:font>
  <w:font w:name="华文楷体">
    <w:altName w:val="华文楷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95.970001pt;margin-top:789.769958pt;width:10.6pt;height:11pt;mso-position-horizontal-relative:page;mso-position-vertical-relative:page;z-index:-252646400"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60.863998pt;margin-top:800.690002pt;width:15.15pt;height:11pt;mso-position-horizontal-relative:page;mso-position-vertical-relative:page;z-index:-252633088"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35</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60.863998pt;margin-top:800.690002pt;width:15.15pt;height:11pt;mso-position-horizontal-relative:page;mso-position-vertical-relative:page;z-index:-252631040"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36</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95.970001pt;margin-top:789.769958pt;width:10.6pt;height:11pt;mso-position-horizontal-relative:page;mso-position-vertical-relative:page;z-index:-252644352"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60.863998pt;margin-top:800.690002pt;width:10.6pt;height:11pt;mso-position-horizontal-relative:page;mso-position-vertical-relative:page;z-index:-252642304"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60.863998pt;margin-top:800.690002pt;width:10.6pt;height:11pt;mso-position-horizontal-relative:page;mso-position-vertical-relative:page;z-index:-252641280"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9</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60.863998pt;margin-top:800.690002pt;width:15.15pt;height:11pt;mso-position-horizontal-relative:page;mso-position-vertical-relative:page;z-index:-252639232"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10</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60.863998pt;margin-top:800.690002pt;width:15.15pt;height:11pt;mso-position-horizontal-relative:page;mso-position-vertical-relative:page;z-index:-252638208"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21</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60.863998pt;margin-top:800.690002pt;width:15.15pt;height:11pt;mso-position-horizontal-relative:page;mso-position-vertical-relative:page;z-index:-252636160"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22</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60.863998pt;margin-top:800.690002pt;width:15.15pt;height:11pt;mso-position-horizontal-relative:page;mso-position-vertical-relative:page;z-index:-252635136"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33</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60.863998pt;margin-top:800.690002pt;width:15.15pt;height:11pt;mso-position-horizontal-relative:page;mso-position-vertical-relative:page;z-index:-252634112"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34</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252645376" from="62.400002pt,54.959976pt" to="540.220002pt,54.959976pt" stroked="true" strokeweight=".72pt" strokecolor="#000000">
          <v:stroke dashstyle="solid"/>
          <w10:wrap type="none"/>
        </v:lin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252632064" from="62.400002pt,54.959976pt" to="540.220002pt,54.959976pt" stroked="true" strokeweight=".72pt" strokecolor="#000000">
          <v:stroke dashstyle="solid"/>
          <w10:wrap type="non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252643328" from="62.400002pt,54.959976pt" to="540.220002pt,54.959976pt" stroked="true" strokeweight=".72pt" strokecolor="#000000">
          <v:stroke dashstyle="solid"/>
          <w10:wrap type="non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252640256" from="62.400002pt,54.959976pt" to="540.220002pt,54.959976pt" stroked="true" strokeweight=".72pt" strokecolor="#000000">
          <v:stroke dashstyle="solid"/>
          <w10:wrap type="none"/>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252637184" from="62.400002pt,54.959976pt" to="540.220002pt,54.959976pt" stroked="true" strokeweight=".72pt" strokecolor="#000000">
          <v:stroke dashstyle="solid"/>
          <w10:wrap type="none"/>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37" w:hanging="24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112" w:hanging="241"/>
      </w:pPr>
      <w:rPr>
        <w:rFonts w:hint="default"/>
        <w:lang w:val="zh-cn" w:eastAsia="zh-cn" w:bidi="zh-cn"/>
      </w:rPr>
    </w:lvl>
    <w:lvl w:ilvl="2">
      <w:start w:val="0"/>
      <w:numFmt w:val="bullet"/>
      <w:lvlText w:val="•"/>
      <w:lvlJc w:val="left"/>
      <w:pPr>
        <w:ind w:left="2085" w:hanging="241"/>
      </w:pPr>
      <w:rPr>
        <w:rFonts w:hint="default"/>
        <w:lang w:val="zh-cn" w:eastAsia="zh-cn" w:bidi="zh-cn"/>
      </w:rPr>
    </w:lvl>
    <w:lvl w:ilvl="3">
      <w:start w:val="0"/>
      <w:numFmt w:val="bullet"/>
      <w:lvlText w:val="•"/>
      <w:lvlJc w:val="left"/>
      <w:pPr>
        <w:ind w:left="3057" w:hanging="241"/>
      </w:pPr>
      <w:rPr>
        <w:rFonts w:hint="default"/>
        <w:lang w:val="zh-cn" w:eastAsia="zh-cn" w:bidi="zh-cn"/>
      </w:rPr>
    </w:lvl>
    <w:lvl w:ilvl="4">
      <w:start w:val="0"/>
      <w:numFmt w:val="bullet"/>
      <w:lvlText w:val="•"/>
      <w:lvlJc w:val="left"/>
      <w:pPr>
        <w:ind w:left="4030" w:hanging="241"/>
      </w:pPr>
      <w:rPr>
        <w:rFonts w:hint="default"/>
        <w:lang w:val="zh-cn" w:eastAsia="zh-cn" w:bidi="zh-cn"/>
      </w:rPr>
    </w:lvl>
    <w:lvl w:ilvl="5">
      <w:start w:val="0"/>
      <w:numFmt w:val="bullet"/>
      <w:lvlText w:val="•"/>
      <w:lvlJc w:val="left"/>
      <w:pPr>
        <w:ind w:left="5003" w:hanging="241"/>
      </w:pPr>
      <w:rPr>
        <w:rFonts w:hint="default"/>
        <w:lang w:val="zh-cn" w:eastAsia="zh-cn" w:bidi="zh-cn"/>
      </w:rPr>
    </w:lvl>
    <w:lvl w:ilvl="6">
      <w:start w:val="0"/>
      <w:numFmt w:val="bullet"/>
      <w:lvlText w:val="•"/>
      <w:lvlJc w:val="left"/>
      <w:pPr>
        <w:ind w:left="5975" w:hanging="241"/>
      </w:pPr>
      <w:rPr>
        <w:rFonts w:hint="default"/>
        <w:lang w:val="zh-cn" w:eastAsia="zh-cn" w:bidi="zh-cn"/>
      </w:rPr>
    </w:lvl>
    <w:lvl w:ilvl="7">
      <w:start w:val="0"/>
      <w:numFmt w:val="bullet"/>
      <w:lvlText w:val="•"/>
      <w:lvlJc w:val="left"/>
      <w:pPr>
        <w:ind w:left="6948" w:hanging="241"/>
      </w:pPr>
      <w:rPr>
        <w:rFonts w:hint="default"/>
        <w:lang w:val="zh-cn" w:eastAsia="zh-cn" w:bidi="zh-cn"/>
      </w:rPr>
    </w:lvl>
    <w:lvl w:ilvl="8">
      <w:start w:val="0"/>
      <w:numFmt w:val="bullet"/>
      <w:lvlText w:val="•"/>
      <w:lvlJc w:val="left"/>
      <w:pPr>
        <w:ind w:left="7921" w:hanging="241"/>
      </w:pPr>
      <w:rPr>
        <w:rFonts w:hint="default"/>
        <w:lang w:val="zh-cn" w:eastAsia="zh-cn" w:bidi="zh-cn"/>
      </w:rPr>
    </w:lvl>
  </w:abstractNum>
  <w:abstractNum w:abstractNumId="1">
    <w:multiLevelType w:val="hybridMultilevel"/>
    <w:lvl w:ilvl="0">
      <w:start w:val="10"/>
      <w:numFmt w:val="decimal"/>
      <w:lvlText w:val="%1"/>
      <w:lvlJc w:val="left"/>
      <w:pPr>
        <w:ind w:left="137" w:hanging="274"/>
        <w:jc w:val="left"/>
      </w:pPr>
      <w:rPr>
        <w:rFonts w:hint="default" w:ascii="宋体" w:hAnsi="宋体" w:eastAsia="宋体" w:cs="宋体"/>
        <w:w w:val="100"/>
        <w:sz w:val="24"/>
        <w:szCs w:val="24"/>
        <w:lang w:val="zh-cn" w:eastAsia="zh-cn" w:bidi="zh-cn"/>
      </w:rPr>
    </w:lvl>
    <w:lvl w:ilvl="1">
      <w:start w:val="0"/>
      <w:numFmt w:val="bullet"/>
      <w:lvlText w:val="•"/>
      <w:lvlJc w:val="left"/>
      <w:pPr>
        <w:ind w:left="1112" w:hanging="274"/>
      </w:pPr>
      <w:rPr>
        <w:rFonts w:hint="default"/>
        <w:lang w:val="zh-cn" w:eastAsia="zh-cn" w:bidi="zh-cn"/>
      </w:rPr>
    </w:lvl>
    <w:lvl w:ilvl="2">
      <w:start w:val="0"/>
      <w:numFmt w:val="bullet"/>
      <w:lvlText w:val="•"/>
      <w:lvlJc w:val="left"/>
      <w:pPr>
        <w:ind w:left="2085" w:hanging="274"/>
      </w:pPr>
      <w:rPr>
        <w:rFonts w:hint="default"/>
        <w:lang w:val="zh-cn" w:eastAsia="zh-cn" w:bidi="zh-cn"/>
      </w:rPr>
    </w:lvl>
    <w:lvl w:ilvl="3">
      <w:start w:val="0"/>
      <w:numFmt w:val="bullet"/>
      <w:lvlText w:val="•"/>
      <w:lvlJc w:val="left"/>
      <w:pPr>
        <w:ind w:left="3057" w:hanging="274"/>
      </w:pPr>
      <w:rPr>
        <w:rFonts w:hint="default"/>
        <w:lang w:val="zh-cn" w:eastAsia="zh-cn" w:bidi="zh-cn"/>
      </w:rPr>
    </w:lvl>
    <w:lvl w:ilvl="4">
      <w:start w:val="0"/>
      <w:numFmt w:val="bullet"/>
      <w:lvlText w:val="•"/>
      <w:lvlJc w:val="left"/>
      <w:pPr>
        <w:ind w:left="4030" w:hanging="274"/>
      </w:pPr>
      <w:rPr>
        <w:rFonts w:hint="default"/>
        <w:lang w:val="zh-cn" w:eastAsia="zh-cn" w:bidi="zh-cn"/>
      </w:rPr>
    </w:lvl>
    <w:lvl w:ilvl="5">
      <w:start w:val="0"/>
      <w:numFmt w:val="bullet"/>
      <w:lvlText w:val="•"/>
      <w:lvlJc w:val="left"/>
      <w:pPr>
        <w:ind w:left="5003" w:hanging="274"/>
      </w:pPr>
      <w:rPr>
        <w:rFonts w:hint="default"/>
        <w:lang w:val="zh-cn" w:eastAsia="zh-cn" w:bidi="zh-cn"/>
      </w:rPr>
    </w:lvl>
    <w:lvl w:ilvl="6">
      <w:start w:val="0"/>
      <w:numFmt w:val="bullet"/>
      <w:lvlText w:val="•"/>
      <w:lvlJc w:val="left"/>
      <w:pPr>
        <w:ind w:left="5975" w:hanging="274"/>
      </w:pPr>
      <w:rPr>
        <w:rFonts w:hint="default"/>
        <w:lang w:val="zh-cn" w:eastAsia="zh-cn" w:bidi="zh-cn"/>
      </w:rPr>
    </w:lvl>
    <w:lvl w:ilvl="7">
      <w:start w:val="0"/>
      <w:numFmt w:val="bullet"/>
      <w:lvlText w:val="•"/>
      <w:lvlJc w:val="left"/>
      <w:pPr>
        <w:ind w:left="6948" w:hanging="274"/>
      </w:pPr>
      <w:rPr>
        <w:rFonts w:hint="default"/>
        <w:lang w:val="zh-cn" w:eastAsia="zh-cn" w:bidi="zh-cn"/>
      </w:rPr>
    </w:lvl>
    <w:lvl w:ilvl="8">
      <w:start w:val="0"/>
      <w:numFmt w:val="bullet"/>
      <w:lvlText w:val="•"/>
      <w:lvlJc w:val="left"/>
      <w:pPr>
        <w:ind w:left="7921" w:hanging="274"/>
      </w:pPr>
      <w:rPr>
        <w:rFonts w:hint="default"/>
        <w:lang w:val="zh-cn" w:eastAsia="zh-cn" w:bidi="zh-cn"/>
      </w:rPr>
    </w:lvl>
  </w:abstractNum>
  <w:abstractNum w:abstractNumId="0">
    <w:multiLevelType w:val="hybridMultilevel"/>
    <w:lvl w:ilvl="0">
      <w:start w:val="10"/>
      <w:numFmt w:val="decimal"/>
      <w:lvlText w:val="%1"/>
      <w:lvlJc w:val="left"/>
      <w:pPr>
        <w:ind w:left="137" w:hanging="300"/>
        <w:jc w:val="left"/>
      </w:pPr>
      <w:rPr>
        <w:rFonts w:hint="default" w:ascii="宋体" w:hAnsi="宋体" w:eastAsia="宋体" w:cs="宋体"/>
        <w:w w:val="100"/>
        <w:sz w:val="24"/>
        <w:szCs w:val="24"/>
        <w:lang w:val="zh-cn" w:eastAsia="zh-cn" w:bidi="zh-cn"/>
      </w:rPr>
    </w:lvl>
    <w:lvl w:ilvl="1">
      <w:start w:val="0"/>
      <w:numFmt w:val="bullet"/>
      <w:lvlText w:val="•"/>
      <w:lvlJc w:val="left"/>
      <w:pPr>
        <w:ind w:left="1112" w:hanging="300"/>
      </w:pPr>
      <w:rPr>
        <w:rFonts w:hint="default"/>
        <w:lang w:val="zh-cn" w:eastAsia="zh-cn" w:bidi="zh-cn"/>
      </w:rPr>
    </w:lvl>
    <w:lvl w:ilvl="2">
      <w:start w:val="0"/>
      <w:numFmt w:val="bullet"/>
      <w:lvlText w:val="•"/>
      <w:lvlJc w:val="left"/>
      <w:pPr>
        <w:ind w:left="2085" w:hanging="300"/>
      </w:pPr>
      <w:rPr>
        <w:rFonts w:hint="default"/>
        <w:lang w:val="zh-cn" w:eastAsia="zh-cn" w:bidi="zh-cn"/>
      </w:rPr>
    </w:lvl>
    <w:lvl w:ilvl="3">
      <w:start w:val="0"/>
      <w:numFmt w:val="bullet"/>
      <w:lvlText w:val="•"/>
      <w:lvlJc w:val="left"/>
      <w:pPr>
        <w:ind w:left="3057" w:hanging="300"/>
      </w:pPr>
      <w:rPr>
        <w:rFonts w:hint="default"/>
        <w:lang w:val="zh-cn" w:eastAsia="zh-cn" w:bidi="zh-cn"/>
      </w:rPr>
    </w:lvl>
    <w:lvl w:ilvl="4">
      <w:start w:val="0"/>
      <w:numFmt w:val="bullet"/>
      <w:lvlText w:val="•"/>
      <w:lvlJc w:val="left"/>
      <w:pPr>
        <w:ind w:left="4030" w:hanging="300"/>
      </w:pPr>
      <w:rPr>
        <w:rFonts w:hint="default"/>
        <w:lang w:val="zh-cn" w:eastAsia="zh-cn" w:bidi="zh-cn"/>
      </w:rPr>
    </w:lvl>
    <w:lvl w:ilvl="5">
      <w:start w:val="0"/>
      <w:numFmt w:val="bullet"/>
      <w:lvlText w:val="•"/>
      <w:lvlJc w:val="left"/>
      <w:pPr>
        <w:ind w:left="5003" w:hanging="300"/>
      </w:pPr>
      <w:rPr>
        <w:rFonts w:hint="default"/>
        <w:lang w:val="zh-cn" w:eastAsia="zh-cn" w:bidi="zh-cn"/>
      </w:rPr>
    </w:lvl>
    <w:lvl w:ilvl="6">
      <w:start w:val="0"/>
      <w:numFmt w:val="bullet"/>
      <w:lvlText w:val="•"/>
      <w:lvlJc w:val="left"/>
      <w:pPr>
        <w:ind w:left="5975" w:hanging="300"/>
      </w:pPr>
      <w:rPr>
        <w:rFonts w:hint="default"/>
        <w:lang w:val="zh-cn" w:eastAsia="zh-cn" w:bidi="zh-cn"/>
      </w:rPr>
    </w:lvl>
    <w:lvl w:ilvl="7">
      <w:start w:val="0"/>
      <w:numFmt w:val="bullet"/>
      <w:lvlText w:val="•"/>
      <w:lvlJc w:val="left"/>
      <w:pPr>
        <w:ind w:left="6948" w:hanging="300"/>
      </w:pPr>
      <w:rPr>
        <w:rFonts w:hint="default"/>
        <w:lang w:val="zh-cn" w:eastAsia="zh-cn" w:bidi="zh-cn"/>
      </w:rPr>
    </w:lvl>
    <w:lvl w:ilvl="8">
      <w:start w:val="0"/>
      <w:numFmt w:val="bullet"/>
      <w:lvlText w:val="•"/>
      <w:lvlJc w:val="left"/>
      <w:pPr>
        <w:ind w:left="7921" w:hanging="300"/>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75"/>
      <w:ind w:left="1" w:right="93"/>
      <w:jc w:val="center"/>
    </w:pPr>
    <w:rPr>
      <w:rFonts w:ascii="隶书" w:hAnsi="隶书" w:eastAsia="隶书" w:cs="隶书"/>
      <w:sz w:val="44"/>
      <w:szCs w:val="44"/>
      <w:lang w:val="zh-cn" w:eastAsia="zh-cn" w:bidi="zh-cn"/>
    </w:rPr>
  </w:style>
  <w:style w:styleId="TOC2" w:type="paragraph">
    <w:name w:val="TOC 2"/>
    <w:basedOn w:val="Normal"/>
    <w:uiPriority w:val="1"/>
    <w:qFormat/>
    <w:pPr>
      <w:spacing w:before="99"/>
      <w:ind w:left="348"/>
    </w:pPr>
    <w:rPr>
      <w:rFonts w:ascii="宋体" w:hAnsi="宋体" w:eastAsia="宋体" w:cs="宋体"/>
      <w:sz w:val="24"/>
      <w:szCs w:val="24"/>
      <w:lang w:val="zh-cn" w:eastAsia="zh-cn" w:bidi="zh-cn"/>
    </w:rPr>
  </w:style>
  <w:style w:styleId="TOC3" w:type="paragraph">
    <w:name w:val="TOC 3"/>
    <w:basedOn w:val="Normal"/>
    <w:uiPriority w:val="1"/>
    <w:qFormat/>
    <w:pPr>
      <w:spacing w:before="74"/>
      <w:ind w:left="348"/>
    </w:pPr>
    <w:rPr>
      <w:rFonts w:ascii="Microsoft JhengHei" w:hAnsi="Microsoft JhengHei" w:eastAsia="Microsoft JhengHei" w:cs="Microsoft JhengHei"/>
      <w:b/>
      <w:bCs/>
      <w:i/>
      <w:lang w:val="zh-cn" w:eastAsia="zh-cn" w:bidi="zh-cn"/>
    </w:rPr>
  </w:style>
  <w:style w:styleId="BodyText" w:type="paragraph">
    <w:name w:val="Body Text"/>
    <w:basedOn w:val="Normal"/>
    <w:uiPriority w:val="1"/>
    <w:qFormat/>
    <w:pPr>
      <w:ind w:left="137" w:firstLine="480"/>
    </w:pPr>
    <w:rPr>
      <w:rFonts w:ascii="宋体" w:hAnsi="宋体" w:eastAsia="宋体" w:cs="宋体"/>
      <w:sz w:val="24"/>
      <w:szCs w:val="24"/>
      <w:lang w:val="zh-cn" w:eastAsia="zh-cn" w:bidi="zh-cn"/>
    </w:rPr>
  </w:style>
  <w:style w:styleId="Heading1" w:type="paragraph">
    <w:name w:val="Heading 1"/>
    <w:basedOn w:val="Normal"/>
    <w:uiPriority w:val="1"/>
    <w:qFormat/>
    <w:pPr>
      <w:ind w:left="137"/>
      <w:outlineLvl w:val="1"/>
    </w:pPr>
    <w:rPr>
      <w:rFonts w:ascii="华文宋体" w:hAnsi="华文宋体" w:eastAsia="华文宋体" w:cs="华文宋体"/>
      <w:b/>
      <w:bCs/>
      <w:sz w:val="44"/>
      <w:szCs w:val="44"/>
      <w:u w:val="single" w:color="000000"/>
      <w:lang w:val="zh-cn" w:eastAsia="zh-cn" w:bidi="zh-cn"/>
    </w:rPr>
  </w:style>
  <w:style w:styleId="Heading2" w:type="paragraph">
    <w:name w:val="Heading 2"/>
    <w:basedOn w:val="Normal"/>
    <w:uiPriority w:val="1"/>
    <w:qFormat/>
    <w:pPr>
      <w:ind w:left="140"/>
      <w:outlineLvl w:val="2"/>
    </w:pPr>
    <w:rPr>
      <w:rFonts w:ascii="宋体" w:hAnsi="宋体" w:eastAsia="宋体" w:cs="宋体"/>
      <w:b/>
      <w:bCs/>
      <w:sz w:val="32"/>
      <w:szCs w:val="32"/>
      <w:lang w:val="zh-cn" w:eastAsia="zh-cn" w:bidi="zh-cn"/>
    </w:rPr>
  </w:style>
  <w:style w:styleId="Heading3" w:type="paragraph">
    <w:name w:val="Heading 3"/>
    <w:basedOn w:val="Normal"/>
    <w:uiPriority w:val="1"/>
    <w:qFormat/>
    <w:pPr>
      <w:ind w:left="619"/>
      <w:outlineLvl w:val="3"/>
    </w:pPr>
    <w:rPr>
      <w:rFonts w:ascii="宋体" w:hAnsi="宋体" w:eastAsia="宋体" w:cs="宋体"/>
      <w:b/>
      <w:bCs/>
      <w:sz w:val="24"/>
      <w:szCs w:val="24"/>
      <w:lang w:val="zh-cn" w:eastAsia="zh-cn" w:bidi="zh-cn"/>
    </w:rPr>
  </w:style>
  <w:style w:styleId="ListParagraph" w:type="paragraph">
    <w:name w:val="List Paragraph"/>
    <w:basedOn w:val="Normal"/>
    <w:uiPriority w:val="1"/>
    <w:qFormat/>
    <w:pPr>
      <w:ind w:left="137" w:right="227" w:firstLine="480"/>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header" Target="header3.xml"/><Relationship Id="rId12" Type="http://schemas.openxmlformats.org/officeDocument/2006/relationships/footer" Target="footer4.xml"/><Relationship Id="rId13" Type="http://schemas.openxmlformats.org/officeDocument/2006/relationships/header" Target="header4.xml"/><Relationship Id="rId14" Type="http://schemas.openxmlformats.org/officeDocument/2006/relationships/footer" Target="footer5.xml"/><Relationship Id="rId15" Type="http://schemas.openxmlformats.org/officeDocument/2006/relationships/image" Target="media/image2.jpeg"/><Relationship Id="rId16" Type="http://schemas.openxmlformats.org/officeDocument/2006/relationships/image" Target="media/image3.jpeg"/><Relationship Id="rId17" Type="http://schemas.openxmlformats.org/officeDocument/2006/relationships/header" Target="header5.xml"/><Relationship Id="rId18" Type="http://schemas.openxmlformats.org/officeDocument/2006/relationships/footer" Target="footer6.xml"/><Relationship Id="rId19" Type="http://schemas.openxmlformats.org/officeDocument/2006/relationships/image" Target="media/image4.jpeg"/><Relationship Id="rId20" Type="http://schemas.openxmlformats.org/officeDocument/2006/relationships/image" Target="media/image5.jpeg"/><Relationship Id="rId21" Type="http://schemas.openxmlformats.org/officeDocument/2006/relationships/header" Target="header6.xml"/><Relationship Id="rId22" Type="http://schemas.openxmlformats.org/officeDocument/2006/relationships/footer" Target="footer7.xml"/><Relationship Id="rId23" Type="http://schemas.openxmlformats.org/officeDocument/2006/relationships/image" Target="media/image6.jpeg"/><Relationship Id="rId24" Type="http://schemas.openxmlformats.org/officeDocument/2006/relationships/header" Target="header7.xml"/><Relationship Id="rId25" Type="http://schemas.openxmlformats.org/officeDocument/2006/relationships/footer" Target="footer8.xml"/><Relationship Id="rId26" Type="http://schemas.openxmlformats.org/officeDocument/2006/relationships/image" Target="media/image7.jpeg"/><Relationship Id="rId27" Type="http://schemas.openxmlformats.org/officeDocument/2006/relationships/header" Target="header8.xml"/><Relationship Id="rId28" Type="http://schemas.openxmlformats.org/officeDocument/2006/relationships/footer" Target="footer9.xml"/><Relationship Id="rId29" Type="http://schemas.openxmlformats.org/officeDocument/2006/relationships/image" Target="media/image8.jpeg"/><Relationship Id="rId30" Type="http://schemas.openxmlformats.org/officeDocument/2006/relationships/image" Target="media/image9.jpeg"/><Relationship Id="rId31" Type="http://schemas.openxmlformats.org/officeDocument/2006/relationships/header" Target="header9.xml"/><Relationship Id="rId32" Type="http://schemas.openxmlformats.org/officeDocument/2006/relationships/footer" Target="footer10.xml"/><Relationship Id="rId33" Type="http://schemas.openxmlformats.org/officeDocument/2006/relationships/image" Target="media/image10.jpeg"/><Relationship Id="rId34" Type="http://schemas.openxmlformats.org/officeDocument/2006/relationships/image" Target="media/image11.jpeg"/><Relationship Id="rId35" Type="http://schemas.openxmlformats.org/officeDocument/2006/relationships/header" Target="header10.xml"/><Relationship Id="rId36" Type="http://schemas.openxmlformats.org/officeDocument/2006/relationships/footer" Target="footer11.xml"/><Relationship Id="rId37" Type="http://schemas.openxmlformats.org/officeDocument/2006/relationships/hyperlink" Target="http://www.cpa.org.cn/" TargetMode="External"/><Relationship Id="rId38" Type="http://schemas.openxmlformats.org/officeDocument/2006/relationships/hyperlink" Target="http://www.cmei.org.cn/" TargetMode="External"/><Relationship Id="rId3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itle>中国药学会全国医药经济信息网</dc:title>
  <dcterms:created xsi:type="dcterms:W3CDTF">2019-11-18T02:44:48Z</dcterms:created>
  <dcterms:modified xsi:type="dcterms:W3CDTF">2019-11-18T02:44:48Z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Microsoft® Office Word 2007</vt:lpwstr>
  </property>
  <property fmtid="{D5CDD505-2E9C-101B-9397-08002B2CF9AE}" pid="4" name="LastSaved">
    <vt:filetime>2019-11-18T00:00:00Z</vt:filetime>
  </property>
</Properties>
</file>