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rPr>
      </w:pPr>
    </w:p>
    <w:p>
      <w:pPr>
        <w:pStyle w:val="Heading2"/>
        <w:tabs>
          <w:tab w:pos="3539" w:val="left" w:leader="none"/>
        </w:tabs>
        <w:spacing w:before="55"/>
        <w:ind w:left="240"/>
        <w:jc w:val="center"/>
        <w:rPr>
          <w:rFonts w:ascii="黑体" w:eastAsia="黑体" w:hint="eastAsia"/>
        </w:rPr>
      </w:pPr>
      <w:r>
        <w:rPr/>
        <w:pict>
          <v:group style="position:absolute;margin-left:32.400002pt;margin-top:-163.820007pt;width:540.6pt;height:161.3pt;mso-position-horizontal-relative:page;mso-position-vertical-relative:paragraph;z-index:251660288" coordorigin="648,-3276" coordsize="10812,3226">
            <v:line style="position:absolute" from="1248,-3269" to="10804,-3269" stroked="true" strokeweight=".72pt" strokecolor="#000000">
              <v:stroke dashstyle="solid"/>
            </v:line>
            <v:shape style="position:absolute;left:648;top:-3270;width:10812;height:3219" type="#_x0000_t75" stroked="false">
              <v:imagedata r:id="rId6" o:title=""/>
            </v:shape>
            <w10:wrap type="none"/>
          </v:group>
        </w:pict>
      </w: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15</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213</w:t>
      </w:r>
      <w:r>
        <w:rPr>
          <w:rFonts w:ascii="黑体" w:eastAsia="黑体" w:hint="eastAsia"/>
          <w:spacing w:val="-81"/>
        </w:rPr>
        <w:t> </w:t>
      </w:r>
      <w:r>
        <w:rPr>
          <w:rFonts w:ascii="黑体" w:eastAsia="黑体" w:hint="eastAsia"/>
        </w:rPr>
        <w:t>期</w:t>
      </w:r>
    </w:p>
    <w:p>
      <w:pPr>
        <w:pStyle w:val="Heading6"/>
        <w:tabs>
          <w:tab w:pos="7769" w:val="left" w:leader="none"/>
        </w:tabs>
        <w:spacing w:before="137"/>
        <w:ind w:left="738"/>
      </w:pPr>
      <w:r>
        <w:rPr/>
        <w:pict>
          <v:shape style="position:absolute;margin-left:55pt;margin-top:36.251087pt;width:491.25pt;height:.1pt;mso-position-horizontal-relative:page;mso-position-vertical-relative:paragraph;z-index:-251658240;mso-wrap-distance-left:0;mso-wrap-distance-right:0" coordorigin="1100,725" coordsize="9825,0" path="m1100,725l10925,725e" filled="false" stroked="true" strokeweight="2.25pt" strokecolor="#ff0000">
            <v:path arrowok="t"/>
            <v:stroke dashstyle="solid"/>
            <w10:wrap type="topAndBottom"/>
          </v:shape>
        </w:pict>
      </w:r>
      <w:r>
        <w:rPr/>
        <w:t>中国药学会科技开发中心 </w:t>
      </w:r>
      <w:r>
        <w:rPr>
          <w:spacing w:val="7"/>
        </w:rPr>
        <w:t> </w:t>
      </w:r>
      <w:r>
        <w:rPr/>
        <w:t>组织联络部</w:t>
        <w:tab/>
        <w:t>2019</w:t>
      </w:r>
      <w:r>
        <w:rPr>
          <w:spacing w:val="-10"/>
        </w:rPr>
        <w:t> </w:t>
      </w:r>
      <w:r>
        <w:rPr/>
        <w:t>年</w:t>
      </w:r>
      <w:r>
        <w:rPr>
          <w:spacing w:val="-10"/>
        </w:rPr>
        <w:t> </w:t>
      </w:r>
      <w:r>
        <w:rPr/>
        <w:t>9</w:t>
      </w:r>
      <w:r>
        <w:rPr>
          <w:spacing w:val="-13"/>
        </w:rPr>
        <w:t> </w:t>
      </w:r>
      <w:r>
        <w:rPr/>
        <w:t>月</w:t>
      </w:r>
      <w:r>
        <w:rPr>
          <w:spacing w:val="-10"/>
        </w:rPr>
        <w:t> </w:t>
      </w:r>
      <w:r>
        <w:rPr/>
        <w:t>28</w:t>
      </w:r>
      <w:r>
        <w:rPr>
          <w:spacing w:val="-13"/>
        </w:rPr>
        <w:t> </w:t>
      </w:r>
      <w:r>
        <w:rPr/>
        <w:t>日</w:t>
      </w:r>
    </w:p>
    <w:p>
      <w:pPr>
        <w:pStyle w:val="BodyText"/>
        <w:spacing w:before="10"/>
        <w:ind w:left="0"/>
        <w:rPr>
          <w:rFonts w:ascii="Microsoft JhengHei"/>
          <w:b/>
          <w:sz w:val="19"/>
        </w:rPr>
      </w:pPr>
    </w:p>
    <w:p>
      <w:pPr>
        <w:spacing w:before="0"/>
        <w:ind w:left="2" w:right="0" w:firstLine="0"/>
        <w:jc w:val="center"/>
        <w:rPr>
          <w:rFonts w:ascii="楷体" w:eastAsia="楷体" w:hint="eastAsia"/>
          <w:b/>
          <w:sz w:val="52"/>
        </w:rPr>
      </w:pPr>
      <w:r>
        <w:rPr>
          <w:rFonts w:ascii="楷体" w:eastAsia="楷体" w:hint="eastAsia"/>
          <w:b/>
          <w:color w:val="FF0000"/>
          <w:sz w:val="52"/>
        </w:rPr>
        <w:t>祝 伟大祖国繁荣昌盛</w:t>
      </w:r>
    </w:p>
    <w:p>
      <w:pPr>
        <w:spacing w:before="66"/>
        <w:ind w:left="5" w:right="0" w:firstLine="0"/>
        <w:jc w:val="center"/>
        <w:rPr>
          <w:rFonts w:ascii="楷体" w:eastAsia="楷体" w:hint="eastAsia"/>
          <w:b/>
          <w:sz w:val="52"/>
        </w:rPr>
      </w:pPr>
      <w:r>
        <w:rPr>
          <w:rFonts w:ascii="楷体" w:eastAsia="楷体" w:hint="eastAsia"/>
          <w:b/>
          <w:color w:val="FF0000"/>
          <w:sz w:val="52"/>
        </w:rPr>
        <w:t>祝 全国药师们国庆快乐 阖家团圆</w:t>
      </w:r>
    </w:p>
    <w:p>
      <w:pPr>
        <w:pStyle w:val="BodyText"/>
        <w:ind w:left="0"/>
        <w:rPr>
          <w:rFonts w:ascii="楷体"/>
          <w:b/>
          <w:sz w:val="29"/>
        </w:rPr>
      </w:pPr>
      <w:r>
        <w:rPr/>
        <w:drawing>
          <wp:anchor distT="0" distB="0" distL="0" distR="0" allowOverlap="1" layoutInCell="1" locked="0" behindDoc="0" simplePos="0" relativeHeight="1">
            <wp:simplePos x="0" y="0"/>
            <wp:positionH relativeFrom="page">
              <wp:posOffset>529590</wp:posOffset>
            </wp:positionH>
            <wp:positionV relativeFrom="paragraph">
              <wp:posOffset>261058</wp:posOffset>
            </wp:positionV>
            <wp:extent cx="6467241" cy="2503836"/>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7" cstate="print"/>
                    <a:stretch>
                      <a:fillRect/>
                    </a:stretch>
                  </pic:blipFill>
                  <pic:spPr>
                    <a:xfrm>
                      <a:off x="0" y="0"/>
                      <a:ext cx="6467241" cy="2503836"/>
                    </a:xfrm>
                    <a:prstGeom prst="rect">
                      <a:avLst/>
                    </a:prstGeom>
                  </pic:spPr>
                </pic:pic>
              </a:graphicData>
            </a:graphic>
          </wp:anchor>
        </w:drawing>
      </w:r>
    </w:p>
    <w:p>
      <w:pPr>
        <w:spacing w:line="189" w:lineRule="auto" w:before="236"/>
        <w:ind w:left="4466" w:right="4459" w:firstLine="328"/>
        <w:jc w:val="left"/>
        <w:rPr>
          <w:rFonts w:ascii="隶书" w:eastAsia="隶书" w:hint="eastAsia"/>
          <w:sz w:val="44"/>
        </w:rPr>
      </w:pPr>
      <w:r>
        <w:rPr>
          <w:rFonts w:ascii="隶书" w:eastAsia="隶书" w:hint="eastAsia"/>
          <w:color w:val="1A5220"/>
          <w:sz w:val="44"/>
        </w:rPr>
        <w:t>目 次政策导览</w:t>
      </w:r>
    </w:p>
    <w:p>
      <w:pPr>
        <w:pStyle w:val="Heading7"/>
        <w:tabs>
          <w:tab w:pos="9881" w:val="right" w:leader="dot"/>
        </w:tabs>
        <w:spacing w:before="4"/>
        <w:ind w:left="808"/>
        <w:rPr>
          <w:rFonts w:ascii="宋体" w:eastAsia="宋体" w:hint="eastAsia"/>
          <w:b w:val="0"/>
        </w:rPr>
      </w:pPr>
      <w:r>
        <w:rPr>
          <w:rFonts w:ascii="Microsoft JhengHei" w:eastAsia="Microsoft JhengHei" w:hint="eastAsia"/>
        </w:rPr>
        <w:t>【政府要闻】</w:t>
        <w:tab/>
      </w:r>
      <w:r>
        <w:rPr>
          <w:rFonts w:ascii="宋体" w:eastAsia="宋体" w:hint="eastAsia"/>
          <w:b w:val="0"/>
        </w:rPr>
        <w:t>1</w:t>
      </w:r>
    </w:p>
    <w:p>
      <w:pPr>
        <w:pStyle w:val="BodyText"/>
        <w:tabs>
          <w:tab w:pos="9881" w:val="right" w:leader="dot"/>
        </w:tabs>
        <w:spacing w:before="58"/>
        <w:ind w:left="808"/>
      </w:pPr>
      <w:r>
        <w:rPr/>
        <w:t>“4+7”试点药品扩围采购全部成功</w:t>
        <w:tab/>
        <w:t>1</w:t>
      </w:r>
    </w:p>
    <w:p>
      <w:pPr>
        <w:pStyle w:val="BodyText"/>
        <w:tabs>
          <w:tab w:pos="9881" w:val="right" w:leader="dot"/>
        </w:tabs>
        <w:spacing w:before="112"/>
        <w:ind w:left="808"/>
      </w:pPr>
      <w:r>
        <w:rPr/>
        <w:t>我国明确患者安全三项重点</w:t>
        <w:tab/>
        <w:t>1</w:t>
      </w:r>
    </w:p>
    <w:p>
      <w:pPr>
        <w:pStyle w:val="BodyText"/>
        <w:tabs>
          <w:tab w:pos="9881" w:val="right" w:leader="dot"/>
        </w:tabs>
        <w:spacing w:before="113"/>
        <w:ind w:left="808"/>
      </w:pPr>
      <w:r>
        <w:rPr/>
        <w:t>卫健委主任：一定不要再出现“中标死”</w:t>
        <w:tab/>
        <w:t>2</w:t>
      </w:r>
    </w:p>
    <w:p>
      <w:pPr>
        <w:pStyle w:val="Heading7"/>
        <w:tabs>
          <w:tab w:pos="9881" w:val="right" w:leader="dot"/>
        </w:tabs>
        <w:spacing w:before="33"/>
        <w:ind w:left="808"/>
        <w:rPr>
          <w:rFonts w:ascii="宋体" w:eastAsia="宋体" w:hint="eastAsia"/>
          <w:b w:val="0"/>
        </w:rPr>
      </w:pPr>
      <w:r>
        <w:rPr>
          <w:rFonts w:ascii="Microsoft JhengHei" w:eastAsia="Microsoft JhengHei" w:hint="eastAsia"/>
        </w:rPr>
        <w:t>【医保动态】</w:t>
        <w:tab/>
      </w:r>
      <w:r>
        <w:rPr>
          <w:rFonts w:ascii="宋体" w:eastAsia="宋体" w:hint="eastAsia"/>
          <w:b w:val="0"/>
        </w:rPr>
        <w:t>3</w:t>
      </w:r>
    </w:p>
    <w:p>
      <w:pPr>
        <w:pStyle w:val="BodyText"/>
        <w:tabs>
          <w:tab w:pos="9881" w:val="right" w:leader="dot"/>
        </w:tabs>
        <w:spacing w:before="58"/>
        <w:ind w:left="808"/>
      </w:pPr>
      <w:r>
        <w:rPr/>
        <w:t>国家医保局：2019</w:t>
      </w:r>
      <w:r>
        <w:rPr>
          <w:spacing w:val="-61"/>
        </w:rPr>
        <w:t> </w:t>
      </w:r>
      <w:r>
        <w:rPr/>
        <w:t>年上半年</w:t>
      </w:r>
      <w:r>
        <w:rPr>
          <w:spacing w:val="-60"/>
        </w:rPr>
        <w:t> </w:t>
      </w:r>
      <w:r>
        <w:rPr/>
        <w:t>17</w:t>
      </w:r>
      <w:r>
        <w:rPr>
          <w:spacing w:val="-60"/>
        </w:rPr>
        <w:t> </w:t>
      </w:r>
      <w:r>
        <w:rPr/>
        <w:t>种抗癌药累计报销金额逾</w:t>
      </w:r>
      <w:r>
        <w:rPr>
          <w:spacing w:val="-60"/>
        </w:rPr>
        <w:t> </w:t>
      </w:r>
      <w:r>
        <w:rPr/>
        <w:t>19</w:t>
      </w:r>
      <w:r>
        <w:rPr>
          <w:spacing w:val="-60"/>
        </w:rPr>
        <w:t> </w:t>
      </w:r>
      <w:r>
        <w:rPr/>
        <w:t>亿元</w:t>
        <w:tab/>
        <w:t>3</w:t>
      </w:r>
    </w:p>
    <w:p>
      <w:pPr>
        <w:spacing w:after="0"/>
        <w:sectPr>
          <w:footerReference w:type="default" r:id="rId5"/>
          <w:type w:val="continuous"/>
          <w:pgSz w:w="11910" w:h="16850"/>
          <w:pgMar w:footer="825" w:top="1100" w:bottom="1020" w:left="680" w:right="540"/>
          <w:pgNumType w:start="1"/>
        </w:sectPr>
      </w:pPr>
    </w:p>
    <w:sdt>
      <w:sdtPr>
        <w:docPartObj>
          <w:docPartGallery w:val="Table of Contents"/>
          <w:docPartUnique/>
        </w:docPartObj>
      </w:sdtPr>
      <w:sdtEndPr/>
      <w:sdtContent>
        <w:p>
          <w:pPr>
            <w:pStyle w:val="TOC2"/>
            <w:tabs>
              <w:tab w:pos="9881" w:val="right" w:leader="dot"/>
            </w:tabs>
            <w:spacing w:before="187"/>
            <w:rPr>
              <w:rFonts w:ascii="宋体" w:eastAsia="宋体" w:hint="eastAsia"/>
              <w:b w:val="0"/>
            </w:rPr>
          </w:pPr>
          <w:hyperlink w:history="true" w:anchor="_TOC_250031">
            <w:r>
              <w:rPr/>
              <w:t>【药监动态】</w:t>
              <w:tab/>
            </w:r>
            <w:r>
              <w:rPr>
                <w:rFonts w:ascii="宋体" w:eastAsia="宋体" w:hint="eastAsia"/>
                <w:b w:val="0"/>
              </w:rPr>
              <w:t>4</w:t>
            </w:r>
          </w:hyperlink>
        </w:p>
        <w:p>
          <w:pPr>
            <w:pStyle w:val="TOC3"/>
            <w:tabs>
              <w:tab w:pos="9881" w:val="right" w:leader="dot"/>
            </w:tabs>
          </w:pPr>
          <w:hyperlink w:history="true" w:anchor="_TOC_250030">
            <w:r>
              <w:rPr/>
              <w:t>国家药监局关于</w:t>
            </w:r>
            <w:r>
              <w:rPr>
                <w:spacing w:val="-61"/>
              </w:rPr>
              <w:t> </w:t>
            </w:r>
            <w:r>
              <w:rPr/>
              <w:t>7</w:t>
            </w:r>
            <w:r>
              <w:rPr>
                <w:spacing w:val="-60"/>
              </w:rPr>
              <w:t> </w:t>
            </w:r>
            <w:r>
              <w:rPr/>
              <w:t>批次药品不符合规定的通告</w:t>
              <w:tab/>
              <w:t>4</w:t>
            </w:r>
          </w:hyperlink>
        </w:p>
        <w:p>
          <w:pPr>
            <w:pStyle w:val="TOC2"/>
            <w:tabs>
              <w:tab w:pos="9881" w:val="right" w:leader="dot"/>
            </w:tabs>
            <w:spacing w:before="33"/>
            <w:rPr>
              <w:rFonts w:ascii="宋体" w:eastAsia="宋体" w:hint="eastAsia"/>
              <w:b w:val="0"/>
            </w:rPr>
          </w:pPr>
          <w:hyperlink w:history="true" w:anchor="_TOC_250029">
            <w:r>
              <w:rPr/>
              <w:t>【医改新政】</w:t>
              <w:tab/>
            </w:r>
            <w:r>
              <w:rPr>
                <w:rFonts w:ascii="宋体" w:eastAsia="宋体" w:hint="eastAsia"/>
                <w:b w:val="0"/>
              </w:rPr>
              <w:t>5</w:t>
            </w:r>
          </w:hyperlink>
        </w:p>
        <w:p>
          <w:pPr>
            <w:pStyle w:val="TOC3"/>
            <w:tabs>
              <w:tab w:pos="9881" w:val="right" w:leader="dot"/>
            </w:tabs>
          </w:pPr>
          <w:hyperlink w:history="true" w:anchor="_TOC_250028">
            <w:r>
              <w:rPr/>
              <w:t>北京三级公立医院绩效考核“扩容”</w:t>
              <w:tab/>
              <w:t>5</w:t>
            </w:r>
          </w:hyperlink>
        </w:p>
        <w:p>
          <w:pPr>
            <w:pStyle w:val="TOC3"/>
            <w:tabs>
              <w:tab w:pos="9881" w:val="right" w:leader="dot"/>
            </w:tabs>
            <w:spacing w:before="113"/>
          </w:pPr>
          <w:hyperlink w:history="true" w:anchor="_TOC_250027">
            <w:r>
              <w:rPr/>
              <w:t>北京将试运行“智慧健康处方”</w:t>
              <w:tab/>
              <w:t>6</w:t>
            </w:r>
          </w:hyperlink>
        </w:p>
        <w:p>
          <w:pPr>
            <w:pStyle w:val="TOC3"/>
            <w:tabs>
              <w:tab w:pos="9881" w:val="right" w:leader="dot"/>
            </w:tabs>
            <w:spacing w:line="264" w:lineRule="exact" w:before="112"/>
          </w:pPr>
          <w:hyperlink w:history="true" w:anchor="_TOC_250026">
            <w:r>
              <w:rPr/>
              <w:t>药师开诊</w:t>
            </w:r>
            <w:r>
              <w:rPr>
                <w:spacing w:val="-1"/>
              </w:rPr>
              <w:t> </w:t>
            </w:r>
            <w:r>
              <w:rPr/>
              <w:t>供给侧改革迈新步</w:t>
              <w:tab/>
              <w:t>6</w:t>
            </w:r>
          </w:hyperlink>
        </w:p>
        <w:p>
          <w:pPr>
            <w:pStyle w:val="TOC1"/>
          </w:pPr>
          <w:hyperlink w:history="true" w:anchor="_TOC_250025">
            <w:r>
              <w:rPr>
                <w:color w:val="1A5220"/>
              </w:rPr>
              <w:t>行业资讯</w:t>
            </w:r>
          </w:hyperlink>
        </w:p>
        <w:p>
          <w:pPr>
            <w:pStyle w:val="TOC2"/>
            <w:tabs>
              <w:tab w:pos="9881" w:val="right" w:leader="dot"/>
            </w:tabs>
            <w:spacing w:line="430" w:lineRule="exact"/>
            <w:rPr>
              <w:rFonts w:ascii="宋体" w:eastAsia="宋体" w:hint="eastAsia"/>
              <w:b w:val="0"/>
            </w:rPr>
          </w:pPr>
          <w:hyperlink w:history="true" w:anchor="_TOC_250024">
            <w:r>
              <w:rPr/>
              <w:t>【热点聚焦】</w:t>
              <w:tab/>
            </w:r>
            <w:r>
              <w:rPr>
                <w:rFonts w:ascii="宋体" w:eastAsia="宋体" w:hint="eastAsia"/>
                <w:b w:val="0"/>
              </w:rPr>
              <w:t>8</w:t>
            </w:r>
          </w:hyperlink>
        </w:p>
        <w:p>
          <w:pPr>
            <w:pStyle w:val="TOC3"/>
            <w:tabs>
              <w:tab w:pos="9881" w:val="right" w:leader="dot"/>
            </w:tabs>
            <w:spacing w:before="59"/>
          </w:pPr>
          <w:hyperlink w:history="true" w:anchor="_TOC_250023">
            <w:r>
              <w:rPr/>
              <w:t>关于尽快设立药事服务费政策的提案的答复</w:t>
              <w:tab/>
              <w:t>8</w:t>
            </w:r>
          </w:hyperlink>
        </w:p>
        <w:p>
          <w:pPr>
            <w:pStyle w:val="TOC3"/>
            <w:tabs>
              <w:tab w:pos="9881" w:val="right" w:leader="dot"/>
            </w:tabs>
            <w:spacing w:before="112"/>
          </w:pPr>
          <w:hyperlink w:history="true" w:anchor="_TOC_250022">
            <w:r>
              <w:rPr/>
              <w:t>医保费用监控</w:t>
            </w:r>
            <w:r>
              <w:rPr>
                <w:spacing w:val="-1"/>
              </w:rPr>
              <w:t> </w:t>
            </w:r>
            <w:r>
              <w:rPr/>
              <w:t>效用可以更大</w:t>
              <w:tab/>
              <w:t>9</w:t>
            </w:r>
          </w:hyperlink>
        </w:p>
        <w:p>
          <w:pPr>
            <w:pStyle w:val="TOC3"/>
            <w:tabs>
              <w:tab w:pos="9881" w:val="right" w:leader="dot"/>
            </w:tabs>
            <w:spacing w:line="264" w:lineRule="exact" w:before="113"/>
          </w:pPr>
          <w:hyperlink w:history="true" w:anchor="_TOC_250021">
            <w:r>
              <w:rPr/>
              <w:t>国家药品集采扩围，未来该怎样发展？</w:t>
              <w:tab/>
              <w:t>11</w:t>
            </w:r>
          </w:hyperlink>
        </w:p>
        <w:p>
          <w:pPr>
            <w:pStyle w:val="TOC1"/>
          </w:pPr>
          <w:hyperlink w:history="true" w:anchor="_TOC_250020">
            <w:r>
              <w:rPr>
                <w:color w:val="1A5220"/>
              </w:rPr>
              <w:t>医药前沿</w:t>
            </w:r>
          </w:hyperlink>
        </w:p>
        <w:p>
          <w:pPr>
            <w:pStyle w:val="TOC4"/>
            <w:tabs>
              <w:tab w:pos="9881" w:val="right" w:leader="dot"/>
            </w:tabs>
            <w:rPr>
              <w:rFonts w:ascii="宋体" w:eastAsia="宋体" w:hint="eastAsia"/>
              <w:b w:val="0"/>
              <w:i w:val="0"/>
              <w:sz w:val="24"/>
            </w:rPr>
          </w:pPr>
          <w:hyperlink w:history="true" w:anchor="_TOC_250019">
            <w:r>
              <w:rPr>
                <w:i w:val="0"/>
                <w:sz w:val="24"/>
              </w:rPr>
              <w:t>【研究进展】</w:t>
              <w:tab/>
            </w:r>
            <w:r>
              <w:rPr>
                <w:rFonts w:ascii="宋体" w:eastAsia="宋体" w:hint="eastAsia"/>
                <w:b w:val="0"/>
                <w:i w:val="0"/>
                <w:sz w:val="24"/>
              </w:rPr>
              <w:t>12</w:t>
            </w:r>
          </w:hyperlink>
        </w:p>
        <w:p>
          <w:pPr>
            <w:pStyle w:val="TOC3"/>
            <w:tabs>
              <w:tab w:pos="9881" w:val="right" w:leader="dot"/>
            </w:tabs>
          </w:pPr>
          <w:hyperlink w:history="true" w:anchor="_TOC_250018">
            <w:r>
              <w:rPr/>
              <w:t>阿尔茨海默病发病机制有新发现</w:t>
              <w:tab/>
              <w:t>12</w:t>
            </w:r>
          </w:hyperlink>
        </w:p>
        <w:p>
          <w:pPr>
            <w:pStyle w:val="TOC3"/>
            <w:tabs>
              <w:tab w:pos="9881" w:val="right" w:leader="dot"/>
            </w:tabs>
            <w:spacing w:line="264" w:lineRule="exact" w:before="112"/>
          </w:pPr>
          <w:hyperlink w:history="true" w:anchor="_TOC_250017">
            <w:r>
              <w:rPr/>
              <w:t>两种蛋白对</w:t>
            </w:r>
            <w:r>
              <w:rPr>
                <w:spacing w:val="-61"/>
              </w:rPr>
              <w:t> </w:t>
            </w:r>
            <w:r>
              <w:rPr/>
              <w:t>HIV-1</w:t>
            </w:r>
            <w:r>
              <w:rPr>
                <w:spacing w:val="-60"/>
              </w:rPr>
              <w:t> </w:t>
            </w:r>
            <w:r>
              <w:rPr/>
              <w:t>感染有重要作用</w:t>
              <w:tab/>
              <w:t>13</w:t>
            </w:r>
          </w:hyperlink>
        </w:p>
        <w:p>
          <w:pPr>
            <w:pStyle w:val="TOC1"/>
          </w:pPr>
          <w:hyperlink w:history="true" w:anchor="_TOC_250016">
            <w:r>
              <w:rPr>
                <w:color w:val="1A5220"/>
              </w:rPr>
              <w:t>合理用药</w:t>
            </w:r>
          </w:hyperlink>
        </w:p>
        <w:p>
          <w:pPr>
            <w:pStyle w:val="TOC4"/>
            <w:tabs>
              <w:tab w:pos="9881" w:val="right" w:leader="dot"/>
            </w:tabs>
            <w:rPr>
              <w:rFonts w:ascii="宋体" w:eastAsia="宋体" w:hint="eastAsia"/>
              <w:b w:val="0"/>
              <w:i w:val="0"/>
              <w:sz w:val="24"/>
            </w:rPr>
          </w:pPr>
          <w:r>
            <w:rPr>
              <w:i w:val="0"/>
              <w:sz w:val="24"/>
            </w:rPr>
            <w:t>【临床药师】</w:t>
            <w:tab/>
          </w:r>
          <w:r>
            <w:rPr>
              <w:rFonts w:ascii="宋体" w:eastAsia="宋体" w:hint="eastAsia"/>
              <w:b w:val="0"/>
              <w:i w:val="0"/>
              <w:sz w:val="24"/>
            </w:rPr>
            <w:t>14</w:t>
          </w:r>
        </w:p>
        <w:p>
          <w:pPr>
            <w:pStyle w:val="TOC3"/>
            <w:tabs>
              <w:tab w:pos="9881" w:val="right" w:leader="dot"/>
            </w:tabs>
          </w:pPr>
          <w:hyperlink w:history="true" w:anchor="_TOC_250015">
            <w:r>
              <w:rPr/>
              <w:t>药师科研灵感从临床中来</w:t>
              <w:tab/>
              <w:t>14</w:t>
            </w:r>
          </w:hyperlink>
        </w:p>
        <w:p>
          <w:pPr>
            <w:pStyle w:val="TOC3"/>
            <w:tabs>
              <w:tab w:pos="9881" w:val="right" w:leader="dot"/>
            </w:tabs>
            <w:spacing w:before="113"/>
          </w:pPr>
          <w:hyperlink w:history="true" w:anchor="_TOC_250014">
            <w:r>
              <w:rPr/>
              <w:t>临床医生别忽视患者遗留痛</w:t>
              <w:tab/>
              <w:t>15</w:t>
            </w:r>
          </w:hyperlink>
        </w:p>
        <w:p>
          <w:pPr>
            <w:pStyle w:val="TOC3"/>
            <w:tabs>
              <w:tab w:pos="9881" w:val="right" w:leader="dot"/>
            </w:tabs>
            <w:spacing w:before="112"/>
          </w:pPr>
          <w:hyperlink w:history="true" w:anchor="_TOC_250013">
            <w:r>
              <w:rPr/>
              <w:t>过敏性鼻炎治疗药物的区别与联合用药</w:t>
              <w:tab/>
              <w:t>16</w:t>
            </w:r>
          </w:hyperlink>
        </w:p>
        <w:p>
          <w:pPr>
            <w:pStyle w:val="TOC4"/>
            <w:tabs>
              <w:tab w:pos="9881" w:val="right" w:leader="dot"/>
            </w:tabs>
            <w:spacing w:line="240" w:lineRule="auto" w:before="33"/>
            <w:rPr>
              <w:rFonts w:ascii="宋体" w:eastAsia="宋体" w:hint="eastAsia"/>
              <w:b w:val="0"/>
              <w:i w:val="0"/>
              <w:sz w:val="24"/>
            </w:rPr>
          </w:pPr>
          <w:hyperlink w:history="true" w:anchor="_TOC_250012">
            <w:r>
              <w:rPr>
                <w:i w:val="0"/>
                <w:sz w:val="24"/>
              </w:rPr>
              <w:t>【中医中药】</w:t>
              <w:tab/>
            </w:r>
            <w:r>
              <w:rPr>
                <w:rFonts w:ascii="宋体" w:eastAsia="宋体" w:hint="eastAsia"/>
                <w:b w:val="0"/>
                <w:i w:val="0"/>
                <w:sz w:val="24"/>
              </w:rPr>
              <w:t>18</w:t>
            </w:r>
          </w:hyperlink>
        </w:p>
        <w:p>
          <w:pPr>
            <w:pStyle w:val="TOC3"/>
            <w:tabs>
              <w:tab w:pos="9881" w:val="right" w:leader="dot"/>
            </w:tabs>
          </w:pPr>
          <w:hyperlink w:history="true" w:anchor="_TOC_250011">
            <w:r>
              <w:rPr/>
              <w:t>医院中药炮制</w:t>
            </w:r>
            <w:r>
              <w:rPr>
                <w:spacing w:val="-1"/>
              </w:rPr>
              <w:t> </w:t>
            </w:r>
            <w:r>
              <w:rPr/>
              <w:t>该重视起来了</w:t>
              <w:tab/>
              <w:t>18</w:t>
            </w:r>
          </w:hyperlink>
        </w:p>
        <w:p>
          <w:pPr>
            <w:pStyle w:val="TOC4"/>
            <w:tabs>
              <w:tab w:pos="9881" w:val="right" w:leader="dot"/>
            </w:tabs>
            <w:spacing w:line="240" w:lineRule="auto" w:before="34"/>
            <w:rPr>
              <w:rFonts w:ascii="宋体" w:eastAsia="宋体" w:hint="eastAsia"/>
              <w:b w:val="0"/>
              <w:i w:val="0"/>
              <w:sz w:val="24"/>
            </w:rPr>
          </w:pPr>
          <w:hyperlink w:history="true" w:anchor="_TOC_250010">
            <w:r>
              <w:rPr>
                <w:i w:val="0"/>
                <w:sz w:val="24"/>
              </w:rPr>
              <w:t>【科普知识】</w:t>
              <w:tab/>
            </w:r>
            <w:r>
              <w:rPr>
                <w:rFonts w:ascii="宋体" w:eastAsia="宋体" w:hint="eastAsia"/>
                <w:b w:val="0"/>
                <w:i w:val="0"/>
                <w:sz w:val="24"/>
              </w:rPr>
              <w:t>19</w:t>
            </w:r>
          </w:hyperlink>
        </w:p>
        <w:p>
          <w:pPr>
            <w:pStyle w:val="TOC3"/>
            <w:tabs>
              <w:tab w:pos="9881" w:val="right" w:leader="dot"/>
            </w:tabs>
            <w:spacing w:line="264" w:lineRule="exact"/>
          </w:pPr>
          <w:hyperlink w:history="true" w:anchor="_TOC_250009">
            <w:r>
              <w:rPr/>
              <w:t>世界药师日</w:t>
            </w:r>
            <w:r>
              <w:rPr>
                <w:spacing w:val="-1"/>
              </w:rPr>
              <w:t> </w:t>
            </w:r>
            <w:r>
              <w:rPr/>
              <w:t>| 药师提醒您：感冒服药有风险，选药需谨慎！</w:t>
              <w:tab/>
              <w:t>19</w:t>
            </w:r>
          </w:hyperlink>
        </w:p>
        <w:p>
          <w:pPr>
            <w:pStyle w:val="TOC1"/>
          </w:pPr>
          <w:hyperlink w:history="true" w:anchor="_TOC_250008">
            <w:r>
              <w:rPr>
                <w:color w:val="1A5220"/>
              </w:rPr>
              <w:t>交流园地</w:t>
            </w:r>
          </w:hyperlink>
        </w:p>
        <w:p>
          <w:pPr>
            <w:pStyle w:val="TOC4"/>
            <w:tabs>
              <w:tab w:pos="9881" w:val="right" w:leader="dot"/>
            </w:tabs>
            <w:rPr>
              <w:rFonts w:ascii="宋体" w:eastAsia="宋体" w:hint="eastAsia"/>
              <w:b w:val="0"/>
              <w:i w:val="0"/>
              <w:sz w:val="24"/>
            </w:rPr>
          </w:pPr>
          <w:hyperlink w:history="true" w:anchor="_TOC_250007">
            <w:r>
              <w:rPr>
                <w:i w:val="0"/>
                <w:sz w:val="24"/>
              </w:rPr>
              <w:t>【药师风采】</w:t>
              <w:tab/>
            </w:r>
            <w:r>
              <w:rPr>
                <w:rFonts w:ascii="宋体" w:eastAsia="宋体" w:hint="eastAsia"/>
                <w:b w:val="0"/>
                <w:i w:val="0"/>
                <w:sz w:val="24"/>
              </w:rPr>
              <w:t>21</w:t>
            </w:r>
          </w:hyperlink>
        </w:p>
        <w:p>
          <w:pPr>
            <w:pStyle w:val="TOC3"/>
            <w:tabs>
              <w:tab w:pos="9881" w:val="right" w:leader="dot"/>
            </w:tabs>
          </w:pPr>
          <w:hyperlink w:history="true" w:anchor="_TOC_250006">
            <w:r>
              <w:rPr/>
              <w:t>青岛市第八人民医院——姜山</w:t>
              <w:tab/>
              <w:t>21</w:t>
            </w:r>
          </w:hyperlink>
        </w:p>
        <w:p>
          <w:pPr>
            <w:pStyle w:val="TOC3"/>
            <w:tabs>
              <w:tab w:pos="9881" w:val="right" w:leader="dot"/>
            </w:tabs>
            <w:spacing w:before="112"/>
          </w:pPr>
          <w:hyperlink w:history="true" w:anchor="_TOC_250005">
            <w:r>
              <w:rPr/>
              <w:t>深圳市罗湖区人民医院——曹伟灵</w:t>
              <w:tab/>
              <w:t>21</w:t>
            </w:r>
          </w:hyperlink>
        </w:p>
        <w:p>
          <w:pPr>
            <w:pStyle w:val="TOC3"/>
            <w:tabs>
              <w:tab w:pos="9881" w:val="right" w:leader="dot"/>
            </w:tabs>
            <w:spacing w:before="113"/>
          </w:pPr>
          <w:hyperlink w:history="true" w:anchor="_TOC_250004">
            <w:r>
              <w:rPr/>
              <w:t>新疆生产建设兵团医院——刘晓霞</w:t>
              <w:tab/>
              <w:t>22</w:t>
            </w:r>
          </w:hyperlink>
        </w:p>
        <w:p>
          <w:pPr>
            <w:pStyle w:val="TOC3"/>
            <w:tabs>
              <w:tab w:pos="9881" w:val="right" w:leader="dot"/>
            </w:tabs>
            <w:spacing w:line="264" w:lineRule="exact" w:before="112"/>
          </w:pPr>
          <w:hyperlink w:history="true" w:anchor="_TOC_250003">
            <w:r>
              <w:rPr/>
              <w:t>爱尔眼科医院——唐细兰</w:t>
              <w:tab/>
              <w:t>23</w:t>
            </w:r>
          </w:hyperlink>
        </w:p>
        <w:p>
          <w:pPr>
            <w:pStyle w:val="TOC1"/>
            <w:spacing w:line="520" w:lineRule="exact"/>
          </w:pPr>
          <w:hyperlink w:history="true" w:anchor="_TOC_250002">
            <w:r>
              <w:rPr>
                <w:color w:val="1A5220"/>
              </w:rPr>
              <w:t>学会动态</w:t>
            </w:r>
          </w:hyperlink>
        </w:p>
        <w:p>
          <w:pPr>
            <w:pStyle w:val="TOC3"/>
            <w:tabs>
              <w:tab w:pos="9881" w:val="right" w:leader="dot"/>
            </w:tabs>
            <w:spacing w:before="57"/>
          </w:pPr>
          <w:hyperlink w:history="true" w:anchor="_TOC_250001">
            <w:r>
              <w:rPr/>
              <w:t>【重要通知】</w:t>
              <w:tab/>
              <w:t>23</w:t>
            </w:r>
          </w:hyperlink>
        </w:p>
        <w:p>
          <w:pPr>
            <w:pStyle w:val="TOC3"/>
            <w:tabs>
              <w:tab w:pos="9881" w:val="right" w:leader="dot"/>
            </w:tabs>
            <w:spacing w:before="112"/>
          </w:pPr>
          <w:hyperlink w:history="true" w:anchor="_TOC_250000">
            <w:r>
              <w:rPr/>
              <w:t>关于召开</w:t>
            </w:r>
            <w:r>
              <w:rPr>
                <w:spacing w:val="-61"/>
              </w:rPr>
              <w:t> </w:t>
            </w:r>
            <w:r>
              <w:rPr/>
              <w:t>2019</w:t>
            </w:r>
            <w:r>
              <w:rPr>
                <w:spacing w:val="-60"/>
              </w:rPr>
              <w:t> </w:t>
            </w:r>
            <w:r>
              <w:rPr/>
              <w:t>年中国药学会全国医药经济信息网工作会议的通知（第二轮）</w:t>
              <w:tab/>
              <w:t>23</w:t>
            </w:r>
          </w:hyperlink>
        </w:p>
      </w:sdtContent>
    </w:sdt>
    <w:p>
      <w:pPr>
        <w:spacing w:after="0"/>
        <w:sectPr>
          <w:headerReference w:type="default" r:id="rId8"/>
          <w:footerReference w:type="default" r:id="rId9"/>
          <w:pgSz w:w="11910" w:h="16850"/>
          <w:pgMar w:header="906" w:footer="825" w:top="1100" w:bottom="1020" w:left="680" w:right="540"/>
          <w:pgNumType w:start="2"/>
        </w:sectPr>
      </w:pPr>
    </w:p>
    <w:p>
      <w:pPr>
        <w:pStyle w:val="Heading2"/>
        <w:spacing w:before="993"/>
      </w:pPr>
      <w:r>
        <w:rPr/>
        <w:t>【政府要闻】</w:t>
      </w:r>
    </w:p>
    <w:p>
      <w:pPr>
        <w:spacing w:before="122"/>
        <w:ind w:left="59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10"/>
          <w:footerReference w:type="default" r:id="rId11"/>
          <w:pgSz w:w="11910" w:h="16850"/>
          <w:pgMar w:header="906" w:footer="607" w:top="1100" w:bottom="800" w:left="680" w:right="540"/>
          <w:pgNumType w:start="1"/>
          <w:cols w:num="2" w:equalWidth="0">
            <w:col w:w="2567" w:space="1300"/>
            <w:col w:w="6823"/>
          </w:cols>
        </w:sectPr>
      </w:pPr>
    </w:p>
    <w:p>
      <w:pPr>
        <w:spacing w:before="293"/>
        <w:ind w:left="2853" w:right="0" w:firstLine="0"/>
        <w:jc w:val="left"/>
        <w:rPr>
          <w:b/>
          <w:sz w:val="32"/>
        </w:rPr>
      </w:pPr>
      <w:r>
        <w:rPr>
          <w:b/>
          <w:sz w:val="32"/>
        </w:rPr>
        <w:t>“4+7</w:t>
      </w:r>
      <w:r>
        <w:rPr>
          <w:b/>
          <w:spacing w:val="-2"/>
          <w:sz w:val="32"/>
        </w:rPr>
        <w:t>”试点药品扩围采购全部成功</w:t>
      </w:r>
    </w:p>
    <w:p>
      <w:pPr>
        <w:pStyle w:val="BodyText"/>
        <w:spacing w:before="49"/>
        <w:ind w:left="3905"/>
      </w:pPr>
      <w:r>
        <w:rPr/>
        <w:t>群众用药费用负担将大幅度降低</w:t>
      </w:r>
    </w:p>
    <w:p>
      <w:pPr>
        <w:pStyle w:val="BodyText"/>
        <w:ind w:left="0"/>
      </w:pPr>
      <w:r>
        <w:rPr/>
        <w:br w:type="column"/>
      </w:r>
      <w:r>
        <w:rPr/>
      </w:r>
    </w:p>
    <w:p>
      <w:pPr>
        <w:pStyle w:val="BodyText"/>
        <w:ind w:left="0"/>
      </w:pPr>
    </w:p>
    <w:p>
      <w:pPr>
        <w:pStyle w:val="BodyText"/>
        <w:ind w:left="0"/>
      </w:pPr>
    </w:p>
    <w:p>
      <w:pPr>
        <w:pStyle w:val="BodyText"/>
        <w:ind w:left="0"/>
      </w:pPr>
    </w:p>
    <w:p>
      <w:pPr>
        <w:pStyle w:val="Heading7"/>
        <w:ind w:left="293"/>
      </w:pPr>
      <w:r>
        <w:rPr>
          <w:color w:val="FF0000"/>
        </w:rPr>
        <w:t>（来源：健康报）</w:t>
      </w:r>
    </w:p>
    <w:p>
      <w:pPr>
        <w:spacing w:after="0"/>
        <w:sectPr>
          <w:type w:val="continuous"/>
          <w:pgSz w:w="11910" w:h="16850"/>
          <w:pgMar w:top="1100" w:bottom="1020" w:left="680" w:right="540"/>
          <w:cols w:num="2" w:equalWidth="0">
            <w:col w:w="7834" w:space="40"/>
            <w:col w:w="2816"/>
          </w:cols>
        </w:sectPr>
      </w:pPr>
    </w:p>
    <w:p>
      <w:pPr>
        <w:pStyle w:val="BodyText"/>
        <w:spacing w:line="297" w:lineRule="auto" w:before="96"/>
        <w:ind w:right="471" w:firstLine="480"/>
      </w:pPr>
      <w:r>
        <w:rPr>
          <w:spacing w:val="-8"/>
        </w:rPr>
        <w:t>按照党中央、国务院决策部署，为扩大国家组织药品集中采购和使用试点</w:t>
      </w:r>
      <w:r>
        <w:rPr/>
        <w:t>（</w:t>
      </w:r>
      <w:r>
        <w:rPr>
          <w:spacing w:val="-11"/>
        </w:rPr>
        <w:t>下称“</w:t>
      </w:r>
      <w:r>
        <w:rPr>
          <w:spacing w:val="-3"/>
        </w:rPr>
        <w:t>4+7” </w:t>
      </w:r>
      <w:r>
        <w:rPr/>
        <w:t>试点</w:t>
      </w:r>
      <w:r>
        <w:rPr>
          <w:spacing w:val="-10"/>
        </w:rPr>
        <w:t>）</w:t>
      </w:r>
      <w:r>
        <w:rPr>
          <w:spacing w:val="-1"/>
        </w:rPr>
        <w:t>改革效应，</w:t>
      </w:r>
      <w:r>
        <w:rPr>
          <w:spacing w:val="-5"/>
        </w:rPr>
        <w:t>9</w:t>
      </w:r>
      <w:r>
        <w:rPr>
          <w:spacing w:val="-42"/>
        </w:rPr>
        <w:t> 月 </w:t>
      </w:r>
      <w:r>
        <w:rPr/>
        <w:t>24</w:t>
      </w:r>
      <w:r>
        <w:rPr>
          <w:spacing w:val="-13"/>
        </w:rPr>
        <w:t> 日，在国家医保局等部门指导下，参与扩围的 </w:t>
      </w:r>
      <w:r>
        <w:rPr/>
        <w:t>26</w:t>
      </w:r>
      <w:r>
        <w:rPr>
          <w:spacing w:val="-8"/>
        </w:rPr>
        <w:t> 个省份在上海开展联合招采，产生了拟中选结果。</w:t>
      </w:r>
      <w:r>
        <w:rPr/>
        <w:t>25</w:t>
      </w:r>
      <w:r>
        <w:rPr>
          <w:spacing w:val="-37"/>
        </w:rPr>
        <w:t> 个</w:t>
      </w:r>
      <w:r>
        <w:rPr/>
        <w:t>“4+7</w:t>
      </w:r>
      <w:r>
        <w:rPr>
          <w:spacing w:val="-1"/>
        </w:rPr>
        <w:t>”试点药品扩围采购全部成功，价格都降低到不高于“4+7”试点中选价格的水平，群众用药费用负担将大幅度降低。拟中选结果公示一周后正式发布。</w:t>
      </w:r>
    </w:p>
    <w:p>
      <w:pPr>
        <w:pStyle w:val="BodyText"/>
        <w:spacing w:line="297" w:lineRule="auto"/>
        <w:ind w:right="467" w:firstLine="480"/>
      </w:pPr>
      <w:r>
        <w:rPr>
          <w:spacing w:val="-21"/>
        </w:rPr>
        <w:t>今年 </w:t>
      </w:r>
      <w:r>
        <w:rPr/>
        <w:t>9</w:t>
      </w:r>
      <w:r>
        <w:rPr>
          <w:spacing w:val="-40"/>
        </w:rPr>
        <w:t> 月 </w:t>
      </w:r>
      <w:r>
        <w:rPr/>
        <w:t>1</w:t>
      </w:r>
      <w:r>
        <w:rPr>
          <w:spacing w:val="-14"/>
        </w:rPr>
        <w:t> 日，上海市医药集中招标采购事务管理所及其阳光采购平台挂出《联盟地区药品集中采购文件》。该文件提出，在国家组织药品集中采购和使用试点城市（以下简称4+7</w:t>
      </w:r>
      <w:r>
        <w:rPr>
          <w:spacing w:val="-20"/>
        </w:rPr>
        <w:t> 城市</w:t>
      </w:r>
      <w:r>
        <w:rPr>
          <w:spacing w:val="-15"/>
        </w:rPr>
        <w:t>）</w:t>
      </w:r>
      <w:r>
        <w:rPr>
          <w:spacing w:val="-2"/>
        </w:rPr>
        <w:t>及已跟进落实省份执行集中采购结果的基础上，国家组织相关地区形成联盟，依</w:t>
      </w:r>
      <w:r>
        <w:rPr>
          <w:spacing w:val="-8"/>
        </w:rPr>
        <w:t>法合规开展跨区域联盟药品集中带量采购。联盟地区包括山西、内蒙古、辽宁、吉林、黑龙</w:t>
      </w:r>
      <w:r>
        <w:rPr>
          <w:spacing w:val="-17"/>
        </w:rPr>
        <w:t>江、江苏、浙江、安徽、江西、山东、河南、湖北、湖南、广东、广西、海南、四川、贵州、</w:t>
      </w:r>
      <w:r>
        <w:rPr>
          <w:spacing w:val="-10"/>
        </w:rPr>
        <w:t>云南、西藏、陕西、甘肃、青海、宁夏、新疆</w:t>
      </w:r>
      <w:r>
        <w:rPr/>
        <w:t>（含新疆生产建设兵团</w:t>
      </w:r>
      <w:r>
        <w:rPr>
          <w:spacing w:val="-12"/>
        </w:rPr>
        <w:t>），联盟地区 </w:t>
      </w:r>
      <w:r>
        <w:rPr/>
        <w:t>4+7</w:t>
      </w:r>
      <w:r>
        <w:rPr>
          <w:spacing w:val="-20"/>
        </w:rPr>
        <w:t> 城市除外。</w:t>
      </w:r>
    </w:p>
    <w:p>
      <w:pPr>
        <w:pStyle w:val="BodyText"/>
        <w:spacing w:line="297" w:lineRule="auto"/>
        <w:ind w:right="546" w:firstLine="480"/>
        <w:jc w:val="both"/>
      </w:pPr>
      <w:r>
        <w:rPr>
          <w:spacing w:val="-6"/>
        </w:rPr>
        <w:t>本次联盟采购共涉及 </w:t>
      </w:r>
      <w:r>
        <w:rPr/>
        <w:t>77</w:t>
      </w:r>
      <w:r>
        <w:rPr>
          <w:spacing w:val="-12"/>
        </w:rPr>
        <w:t> 家企业。产生拟中选企业 </w:t>
      </w:r>
      <w:r>
        <w:rPr/>
        <w:t>45</w:t>
      </w:r>
      <w:r>
        <w:rPr>
          <w:spacing w:val="-14"/>
        </w:rPr>
        <w:t> 家，拟中选产品 </w:t>
      </w:r>
      <w:r>
        <w:rPr/>
        <w:t>60</w:t>
      </w:r>
      <w:r>
        <w:rPr>
          <w:spacing w:val="-9"/>
        </w:rPr>
        <w:t> 个。与联盟地</w:t>
      </w:r>
      <w:r>
        <w:rPr>
          <w:spacing w:val="-35"/>
        </w:rPr>
        <w:t>区 </w:t>
      </w:r>
      <w:r>
        <w:rPr/>
        <w:t>2018</w:t>
      </w:r>
      <w:r>
        <w:rPr>
          <w:spacing w:val="-11"/>
        </w:rPr>
        <w:t> 年最低采购价相比，拟中选价平均降幅为 </w:t>
      </w:r>
      <w:r>
        <w:rPr/>
        <w:t>59%；与“4+7”</w:t>
      </w:r>
      <w:r>
        <w:rPr>
          <w:spacing w:val="-2"/>
        </w:rPr>
        <w:t>试点中选价格水平相比， </w:t>
      </w:r>
      <w:r>
        <w:rPr>
          <w:spacing w:val="-11"/>
        </w:rPr>
        <w:t>平均降幅为 </w:t>
      </w:r>
      <w:r>
        <w:rPr/>
        <w:t>25%。</w:t>
      </w:r>
    </w:p>
    <w:p>
      <w:pPr>
        <w:pStyle w:val="BodyText"/>
        <w:spacing w:line="297" w:lineRule="auto"/>
        <w:ind w:right="487" w:firstLine="480"/>
      </w:pPr>
      <w:r>
        <w:rPr/>
        <w:t>国家医保局相关部门负责人表示，“4+7”</w:t>
      </w:r>
      <w:r>
        <w:rPr>
          <w:spacing w:val="-10"/>
        </w:rPr>
        <w:t>试点自今年 </w:t>
      </w:r>
      <w:r>
        <w:rPr/>
        <w:t>4</w:t>
      </w:r>
      <w:r>
        <w:rPr>
          <w:spacing w:val="-40"/>
        </w:rPr>
        <w:t> 月 </w:t>
      </w:r>
      <w:r>
        <w:rPr/>
        <w:t>1</w:t>
      </w:r>
      <w:r>
        <w:rPr>
          <w:spacing w:val="-8"/>
        </w:rPr>
        <w:t> 日全面落地以来，总体进</w:t>
      </w:r>
      <w:r>
        <w:rPr>
          <w:spacing w:val="-12"/>
        </w:rPr>
        <w:t>展顺利，群众受益效果显著。试点扩围坚持“国家组织、联盟采购、平台操作”的总体思路</w:t>
      </w:r>
      <w:r>
        <w:rPr>
          <w:spacing w:val="-13"/>
        </w:rPr>
        <w:t>和工作机制；坚持带量采购、招采合一、确保使用；坚持高质量标准，将通过质量一致性评</w:t>
      </w:r>
      <w:r>
        <w:rPr>
          <w:spacing w:val="-14"/>
        </w:rPr>
        <w:t>价作为仿制药入围的条件。同时，完善中选规则，增加中选企业数量，引导企业有序竞争， </w:t>
      </w:r>
      <w:r>
        <w:rPr>
          <w:spacing w:val="-7"/>
        </w:rPr>
        <w:t>确保试点长期稳定实施。下一步，各地将重点抓好中选结果的落地实施，确保年底前患者享</w:t>
      </w:r>
    </w:p>
    <w:p>
      <w:pPr>
        <w:spacing w:line="357" w:lineRule="exact" w:before="0"/>
        <w:ind w:left="597" w:right="0" w:firstLine="0"/>
        <w:jc w:val="left"/>
        <w:rPr>
          <w:rFonts w:ascii="Microsoft JhengHei" w:eastAsia="Microsoft JhengHei" w:hint="eastAsia"/>
          <w:b/>
          <w:sz w:val="24"/>
        </w:rPr>
      </w:pPr>
      <w:r>
        <w:rPr>
          <w:w w:val="105"/>
          <w:sz w:val="24"/>
        </w:rPr>
        <w:t>受到质优价廉的中选品种。</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BodyText"/>
        <w:spacing w:before="10"/>
        <w:ind w:left="0"/>
        <w:rPr>
          <w:rFonts w:ascii="Microsoft JhengHei"/>
          <w:b/>
          <w:sz w:val="9"/>
        </w:rPr>
      </w:pPr>
    </w:p>
    <w:p>
      <w:pPr>
        <w:spacing w:after="0"/>
        <w:rPr>
          <w:rFonts w:ascii="Microsoft JhengHei"/>
          <w:sz w:val="9"/>
        </w:rPr>
        <w:sectPr>
          <w:type w:val="continuous"/>
          <w:pgSz w:w="11910" w:h="16850"/>
          <w:pgMar w:top="1100" w:bottom="1020" w:left="680" w:right="540"/>
        </w:sectPr>
      </w:pPr>
    </w:p>
    <w:p>
      <w:pPr>
        <w:pStyle w:val="Heading2"/>
        <w:spacing w:before="55"/>
        <w:ind w:left="3417"/>
      </w:pPr>
      <w:r>
        <w:rPr>
          <w:spacing w:val="-2"/>
        </w:rPr>
        <w:t>我国明确患者安全三项重点</w:t>
      </w:r>
    </w:p>
    <w:p>
      <w:pPr>
        <w:pStyle w:val="BodyText"/>
        <w:ind w:left="0"/>
        <w:rPr>
          <w:b/>
        </w:rPr>
      </w:pPr>
      <w:r>
        <w:rPr/>
        <w:br w:type="column"/>
      </w:r>
      <w:r>
        <w:rPr>
          <w:b/>
        </w:rPr>
      </w:r>
    </w:p>
    <w:p>
      <w:pPr>
        <w:pStyle w:val="BodyText"/>
        <w:spacing w:before="8"/>
        <w:ind w:left="0"/>
        <w:rPr>
          <w:b/>
          <w:sz w:val="23"/>
        </w:rPr>
      </w:pPr>
    </w:p>
    <w:p>
      <w:pPr>
        <w:pStyle w:val="Heading7"/>
        <w:ind w:left="857"/>
      </w:pPr>
      <w:r>
        <w:rPr>
          <w:color w:val="FF0000"/>
        </w:rPr>
        <w:t>（来源：健康报）</w:t>
      </w:r>
    </w:p>
    <w:p>
      <w:pPr>
        <w:spacing w:after="0"/>
        <w:sectPr>
          <w:type w:val="continuous"/>
          <w:pgSz w:w="11910" w:h="16850"/>
          <w:pgMar w:top="1100" w:bottom="1020" w:left="680" w:right="540"/>
          <w:cols w:num="2" w:equalWidth="0">
            <w:col w:w="7271" w:space="40"/>
            <w:col w:w="3379"/>
          </w:cols>
        </w:sectPr>
      </w:pPr>
    </w:p>
    <w:p>
      <w:pPr>
        <w:pStyle w:val="BodyText"/>
        <w:spacing w:line="297" w:lineRule="auto" w:before="98"/>
        <w:ind w:right="487" w:firstLine="480"/>
      </w:pPr>
      <w:r>
        <w:rPr/>
        <w:t>9</w:t>
      </w:r>
      <w:r>
        <w:rPr>
          <w:spacing w:val="-41"/>
        </w:rPr>
        <w:t> 月 </w:t>
      </w:r>
      <w:r>
        <w:rPr/>
        <w:t>16</w:t>
      </w:r>
      <w:r>
        <w:rPr>
          <w:spacing w:val="-8"/>
        </w:rPr>
        <w:t> 日，国家卫生健康委在中日友好医院召开例行新闻发布会，介绍患者安全相关</w:t>
      </w:r>
      <w:r>
        <w:rPr>
          <w:spacing w:val="-10"/>
        </w:rPr>
        <w:t>情况。国家卫生健康委医政医管局副局长周长强在会上表示，今年，我国将患者安全日的活</w:t>
      </w:r>
      <w:r>
        <w:rPr>
          <w:spacing w:val="-11"/>
        </w:rPr>
        <w:t>动口号确定为“人人参与患者安全”，旨在动员医院各个岗位的工作人员、患者及其家属、</w:t>
      </w:r>
      <w:r>
        <w:rPr>
          <w:spacing w:val="-7"/>
        </w:rPr>
        <w:t>社会各界共同关注患者安全、人人参与患者安全，由点到面、形成合力，共同编织一个紧密的安全网。</w:t>
      </w:r>
    </w:p>
    <w:p>
      <w:pPr>
        <w:spacing w:after="0" w:line="297" w:lineRule="auto"/>
        <w:sectPr>
          <w:type w:val="continuous"/>
          <w:pgSz w:w="11910" w:h="16850"/>
          <w:pgMar w:top="1100" w:bottom="1020" w:left="680" w:right="540"/>
        </w:sectPr>
      </w:pPr>
    </w:p>
    <w:p>
      <w:pPr>
        <w:pStyle w:val="BodyText"/>
        <w:spacing w:line="297" w:lineRule="auto" w:before="65"/>
        <w:ind w:right="465" w:firstLine="480"/>
      </w:pPr>
      <w:r>
        <w:rPr>
          <w:spacing w:val="-10"/>
        </w:rPr>
        <w:t>周长强表示，在政府主导、行业推动，特别是医务人员的努力下，我国医疗质量和安全</w:t>
      </w:r>
      <w:r>
        <w:rPr>
          <w:spacing w:val="-14"/>
        </w:rPr>
        <w:t>水平显著提升。住院患者死亡率、压疮发生率、输血反应率等患者安全类指标持续改善。下</w:t>
      </w:r>
      <w:r>
        <w:rPr>
          <w:spacing w:val="-13"/>
        </w:rPr>
        <w:t>一步，将重点推动以下 </w:t>
      </w:r>
      <w:r>
        <w:rPr/>
        <w:t>3</w:t>
      </w:r>
      <w:r>
        <w:rPr>
          <w:spacing w:val="-13"/>
        </w:rPr>
        <w:t> 方面的工作：一是构建“政府主导、各方参与”的患者安全工作格</w:t>
      </w:r>
      <w:r>
        <w:rPr>
          <w:spacing w:val="-16"/>
        </w:rPr>
        <w:t>局。二是提升患者安全管理水平。坚持以患者为中心，以“预防为主、系统优化、全员参与、</w:t>
      </w:r>
      <w:r>
        <w:rPr>
          <w:spacing w:val="-11"/>
        </w:rPr>
        <w:t>持续改进”为原则，进一步建立完善患者安全管理和技术支持体系，将患者安全管理融入医</w:t>
      </w:r>
      <w:r>
        <w:rPr>
          <w:spacing w:val="-14"/>
        </w:rPr>
        <w:t>院管理各个环节，实现医疗机构患者安全管理系统化、科学化、规范化、精细化。三是营造</w:t>
      </w:r>
      <w:r>
        <w:rPr>
          <w:spacing w:val="-16"/>
        </w:rPr>
        <w:t>积极的患者安全文化。鼓励医疗机构营造主动参与、自觉落实、积极报告、从错误中学习的非惩罚性患者安全文化，加强医患合作。</w:t>
      </w:r>
    </w:p>
    <w:p>
      <w:pPr>
        <w:pStyle w:val="BodyText"/>
        <w:spacing w:line="297" w:lineRule="auto"/>
        <w:ind w:right="472" w:firstLine="480"/>
      </w:pPr>
      <w:r>
        <w:rPr>
          <w:spacing w:val="-8"/>
        </w:rPr>
        <w:t>中国医院协会副会长方来英介绍，从 </w:t>
      </w:r>
      <w:r>
        <w:rPr/>
        <w:t>2006</w:t>
      </w:r>
      <w:r>
        <w:rPr>
          <w:spacing w:val="-15"/>
        </w:rPr>
        <w:t> 年起，中国医院协会按照国际惯例每 </w:t>
      </w:r>
      <w:r>
        <w:rPr/>
        <w:t>2</w:t>
      </w:r>
      <w:r>
        <w:rPr>
          <w:spacing w:val="-30"/>
        </w:rPr>
        <w:t> 年</w:t>
      </w:r>
      <w:r>
        <w:rPr/>
        <w:t>～3 </w:t>
      </w:r>
      <w:r>
        <w:rPr>
          <w:spacing w:val="-9"/>
        </w:rPr>
        <w:t>年定期发布一版《患者安全目标》，未来将编写出版《患者安全目标实践指南》。新版《患</w:t>
      </w:r>
      <w:r>
        <w:rPr>
          <w:spacing w:val="-16"/>
        </w:rPr>
        <w:t>者安全目标》已于今年 </w:t>
      </w:r>
      <w:r>
        <w:rPr/>
        <w:t>5</w:t>
      </w:r>
      <w:r>
        <w:rPr>
          <w:spacing w:val="-17"/>
        </w:rPr>
        <w:t> 月底发布，新增了“电子病历系统安全管理”“围手术期安全管理” </w:t>
      </w:r>
      <w:r>
        <w:rPr/>
        <w:t>“管路（导管和通路）安全”“医学装备安全与信息系统安全管理”等内容。</w:t>
      </w:r>
    </w:p>
    <w:p>
      <w:pPr>
        <w:pStyle w:val="BodyText"/>
        <w:spacing w:line="295" w:lineRule="auto"/>
        <w:ind w:right="487" w:firstLine="480"/>
      </w:pPr>
      <w:r>
        <w:rPr>
          <w:spacing w:val="-15"/>
        </w:rPr>
        <w:t>据悉，今年 </w:t>
      </w:r>
      <w:r>
        <w:rPr/>
        <w:t>5</w:t>
      </w:r>
      <w:r>
        <w:rPr>
          <w:spacing w:val="-12"/>
        </w:rPr>
        <w:t> 月在瑞士日内瓦举行的第 </w:t>
      </w:r>
      <w:r>
        <w:rPr/>
        <w:t>72</w:t>
      </w:r>
      <w:r>
        <w:rPr>
          <w:spacing w:val="-13"/>
        </w:rPr>
        <w:t> 届世界卫生大会通过决议，将每年的 </w:t>
      </w:r>
      <w:r>
        <w:rPr/>
        <w:t>9</w:t>
      </w:r>
      <w:r>
        <w:rPr>
          <w:spacing w:val="-40"/>
        </w:rPr>
        <w:t> 月 </w:t>
      </w:r>
      <w:r>
        <w:rPr/>
        <w:t>17 </w:t>
      </w:r>
      <w:r>
        <w:rPr>
          <w:spacing w:val="-1"/>
        </w:rPr>
        <w:t>日设立为世界患者安全日，以传播患者安全理念，推动全球协同合作，共同增进患者安全。</w:t>
      </w:r>
      <w:r>
        <w:rPr/>
        <w:t>2018</w:t>
      </w:r>
      <w:r>
        <w:rPr>
          <w:spacing w:val="-8"/>
        </w:rPr>
        <w:t> 年，国家卫生健康委印发了《关于进一步加强患者安全管理工作的通知》的文件，就</w:t>
      </w:r>
    </w:p>
    <w:p>
      <w:pPr>
        <w:pStyle w:val="BodyText"/>
        <w:spacing w:line="367" w:lineRule="exact"/>
        <w:rPr>
          <w:rFonts w:ascii="Microsoft JhengHei" w:eastAsia="Microsoft JhengHei" w:hint="eastAsia"/>
          <w:b/>
        </w:rPr>
      </w:pPr>
      <w:r>
        <w:rPr/>
        <w:t>患者安全工作做出部署，明确了主要任务和工作举措。</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BodyText"/>
        <w:spacing w:before="14"/>
        <w:ind w:left="0"/>
        <w:rPr>
          <w:rFonts w:ascii="Microsoft JhengHei"/>
          <w:b/>
          <w:sz w:val="12"/>
        </w:rPr>
      </w:pPr>
    </w:p>
    <w:p>
      <w:pPr>
        <w:pStyle w:val="Heading2"/>
        <w:ind w:left="5"/>
        <w:jc w:val="center"/>
      </w:pPr>
      <w:r>
        <w:rPr/>
        <w:t>卫健委主任：一定不要再出现“中标死”</w:t>
      </w:r>
    </w:p>
    <w:p>
      <w:pPr>
        <w:pStyle w:val="Heading7"/>
        <w:spacing w:before="145"/>
        <w:ind w:left="0" w:right="588"/>
        <w:jc w:val="right"/>
      </w:pPr>
      <w:r>
        <w:rPr>
          <w:color w:val="FF0000"/>
          <w:w w:val="95"/>
        </w:rPr>
        <w:t>（来源：医药经济报）</w:t>
      </w:r>
    </w:p>
    <w:p>
      <w:pPr>
        <w:pStyle w:val="BodyText"/>
        <w:spacing w:line="297" w:lineRule="auto" w:before="98"/>
        <w:ind w:right="589" w:firstLine="480"/>
        <w:jc w:val="both"/>
      </w:pPr>
      <w:r>
        <w:rPr/>
        <w:t>9</w:t>
      </w:r>
      <w:r>
        <w:rPr>
          <w:spacing w:val="-41"/>
        </w:rPr>
        <w:t> 月 </w:t>
      </w:r>
      <w:r>
        <w:rPr/>
        <w:t>26</w:t>
      </w:r>
      <w:r>
        <w:rPr>
          <w:spacing w:val="-15"/>
        </w:rPr>
        <w:t> 日，庆祝中华人民共和国成立 </w:t>
      </w:r>
      <w:r>
        <w:rPr/>
        <w:t>70</w:t>
      </w:r>
      <w:r>
        <w:rPr>
          <w:spacing w:val="-9"/>
        </w:rPr>
        <w:t> 周年活动新闻中心在梅地亚中心二层新闻发布</w:t>
      </w:r>
      <w:r>
        <w:rPr>
          <w:spacing w:val="-17"/>
        </w:rPr>
        <w:t>厅举办第二场新闻发布会。国家卫生健康委员会主任马晓伟在回答记者“下一步如何解决‘看</w:t>
      </w:r>
      <w:r>
        <w:rPr/>
        <w:t>病贵’”的提问时表示，“4+7”集中招标、带量采购降低了交易成本，是其中一大措施， </w:t>
      </w:r>
      <w:r>
        <w:rPr>
          <w:spacing w:val="-13"/>
        </w:rPr>
        <w:t>且要使各级各类公立医院积极使用中标药品，组织好药品的生产和配送，一定不要再出现“中</w:t>
      </w:r>
      <w:r>
        <w:rPr/>
        <w:t>标死”这种情况。</w:t>
      </w:r>
    </w:p>
    <w:p>
      <w:pPr>
        <w:pStyle w:val="BodyText"/>
        <w:spacing w:line="297" w:lineRule="auto"/>
        <w:ind w:left="1197" w:right="607" w:hanging="120"/>
      </w:pPr>
      <w:r>
        <w:rPr/>
        <w:t>扩围市场规模吸引力巨大                                                    </w:t>
      </w:r>
      <w:r>
        <w:rPr>
          <w:spacing w:val="-1"/>
        </w:rPr>
        <w:t>“现在从药品配送和使用的情况看，进展很好，老百姓能够享受到药品降价所取得的</w:t>
      </w:r>
    </w:p>
    <w:p>
      <w:pPr>
        <w:pStyle w:val="BodyText"/>
        <w:spacing w:line="306" w:lineRule="exact"/>
      </w:pPr>
      <w:r>
        <w:rPr/>
        <w:t>红利。”马晓伟如是指出。</w:t>
      </w:r>
    </w:p>
    <w:p>
      <w:pPr>
        <w:pStyle w:val="BodyText"/>
        <w:spacing w:line="297" w:lineRule="auto" w:before="64"/>
        <w:ind w:right="587" w:firstLine="480"/>
      </w:pPr>
      <w:r>
        <w:rPr>
          <w:spacing w:val="-9"/>
        </w:rPr>
        <w:t>此论调与前一日发布的《关于国家组织药品集中采购试点扩大区域范围答记者问》中披</w:t>
      </w:r>
      <w:r>
        <w:rPr>
          <w:spacing w:val="-7"/>
        </w:rPr>
        <w:t>露的信息一致。截至 </w:t>
      </w:r>
      <w:r>
        <w:rPr/>
        <w:t>8</w:t>
      </w:r>
      <w:r>
        <w:rPr>
          <w:spacing w:val="-20"/>
        </w:rPr>
        <w:t> 月底</w:t>
      </w:r>
      <w:r>
        <w:rPr/>
        <w:t>，25</w:t>
      </w:r>
      <w:r>
        <w:rPr>
          <w:spacing w:val="-10"/>
        </w:rPr>
        <w:t> 个中选药品</w:t>
      </w:r>
      <w:r>
        <w:rPr/>
        <w:t>“4+7”</w:t>
      </w:r>
      <w:r>
        <w:rPr>
          <w:spacing w:val="-10"/>
        </w:rPr>
        <w:t>城市采购量 </w:t>
      </w:r>
      <w:r>
        <w:rPr/>
        <w:t>17</w:t>
      </w:r>
      <w:r>
        <w:rPr>
          <w:spacing w:val="-8"/>
        </w:rPr>
        <w:t> 亿片，执行约定采购总</w:t>
      </w:r>
      <w:r>
        <w:rPr>
          <w:spacing w:val="-10"/>
        </w:rPr>
        <w:t>量进度好于预期。中选药品采购量占同通用名药品采购量的 </w:t>
      </w:r>
      <w:r>
        <w:rPr/>
        <w:t>78%。</w:t>
      </w:r>
    </w:p>
    <w:p>
      <w:pPr>
        <w:pStyle w:val="BodyText"/>
        <w:spacing w:line="297" w:lineRule="auto"/>
        <w:ind w:right="587" w:firstLine="480"/>
      </w:pPr>
      <w:r>
        <w:rPr>
          <w:spacing w:val="-6"/>
        </w:rPr>
        <w:t>第三方机构开展的试点中期评估结果则显示，患者药品费用负担减轻，尤其是慢性病和</w:t>
      </w:r>
      <w:r>
        <w:rPr>
          <w:spacing w:val="-5"/>
        </w:rPr>
        <w:t>重病患者获得感强烈，超过 </w:t>
      </w:r>
      <w:r>
        <w:rPr/>
        <w:t>9</w:t>
      </w:r>
      <w:r>
        <w:rPr>
          <w:spacing w:val="-8"/>
        </w:rPr>
        <w:t> 成的患者赞成试点政策；企业交易成本明显降低，</w:t>
      </w:r>
      <w:r>
        <w:rPr/>
        <w:t>25</w:t>
      </w:r>
      <w:r>
        <w:rPr>
          <w:spacing w:val="-15"/>
        </w:rPr>
        <w:t> 个中选</w:t>
      </w:r>
      <w:r>
        <w:rPr>
          <w:spacing w:val="-27"/>
        </w:rPr>
        <w:t>品种的 </w:t>
      </w:r>
      <w:r>
        <w:rPr/>
        <w:t>30</w:t>
      </w:r>
      <w:r>
        <w:rPr>
          <w:spacing w:val="-16"/>
        </w:rPr>
        <w:t> 天回款率达到 </w:t>
      </w:r>
      <w:r>
        <w:rPr/>
        <w:t>97%。</w:t>
      </w:r>
    </w:p>
    <w:p>
      <w:pPr>
        <w:pStyle w:val="BodyText"/>
        <w:spacing w:line="297" w:lineRule="auto"/>
        <w:ind w:right="587" w:firstLine="480"/>
        <w:jc w:val="both"/>
      </w:pPr>
      <w:r>
        <w:rPr/>
        <w:t>在“4+7”试点办负责人看来，试点扩围坚持量价挂钩、保证使用、及时回款，将在全</w:t>
      </w:r>
      <w:r>
        <w:rPr>
          <w:spacing w:val="-7"/>
        </w:rPr>
        <w:t>国范围内推动改进药品购销模式，减少企业公关、销售及压款等交易成本，引导医生和患者</w:t>
      </w:r>
      <w:r>
        <w:rPr/>
        <w:t>理性用药，净化医药流通环境，改善医药行业生态。</w:t>
      </w:r>
    </w:p>
    <w:p>
      <w:pPr>
        <w:spacing w:after="0" w:line="297" w:lineRule="auto"/>
        <w:jc w:val="both"/>
        <w:sectPr>
          <w:pgSz w:w="11910" w:h="16850"/>
          <w:pgMar w:header="906" w:footer="607" w:top="1100" w:bottom="800" w:left="680" w:right="540"/>
        </w:sectPr>
      </w:pPr>
    </w:p>
    <w:p>
      <w:pPr>
        <w:pStyle w:val="BodyText"/>
        <w:spacing w:line="295" w:lineRule="auto" w:before="65"/>
        <w:ind w:right="606" w:firstLine="480"/>
        <w:jc w:val="both"/>
      </w:pPr>
      <w:r>
        <w:rPr>
          <w:spacing w:val="-3"/>
        </w:rPr>
        <w:t>至于医药圈内，对试点扩围探讨不断的同时，也看到此次 </w:t>
      </w:r>
      <w:r>
        <w:rPr/>
        <w:t>77</w:t>
      </w:r>
      <w:r>
        <w:rPr>
          <w:spacing w:val="-9"/>
        </w:rPr>
        <w:t> 家符合条件的企业参与申</w:t>
      </w:r>
      <w:r>
        <w:rPr/>
        <w:t>报，45</w:t>
      </w:r>
      <w:r>
        <w:rPr>
          <w:spacing w:val="-8"/>
        </w:rPr>
        <w:t> 家企业获得拟中选资格</w:t>
      </w:r>
      <w:r>
        <w:rPr/>
        <w:t>，25</w:t>
      </w:r>
      <w:r>
        <w:rPr>
          <w:spacing w:val="-9"/>
        </w:rPr>
        <w:t> 个试点通用名药品全部有企业中选。参与竞标企业的积</w:t>
      </w:r>
      <w:r>
        <w:rPr/>
        <w:t>极性不言而喻。</w:t>
      </w:r>
    </w:p>
    <w:p>
      <w:pPr>
        <w:pStyle w:val="BodyText"/>
        <w:spacing w:line="297" w:lineRule="auto" w:before="5"/>
        <w:ind w:right="587" w:firstLine="480"/>
        <w:jc w:val="both"/>
      </w:pPr>
      <w:r>
        <w:rPr>
          <w:spacing w:val="-7"/>
        </w:rPr>
        <w:t>热门品种的多家拼杀，在分析人士看来不足为奇。用一位此次在试点扩围中“斩获”不</w:t>
      </w:r>
      <w:r>
        <w:rPr>
          <w:spacing w:val="-15"/>
        </w:rPr>
        <w:t>少的企业高管的话说，火药味再浓，企业决定做出之时一定也是有了依据自身情况能应对的</w:t>
      </w:r>
      <w:r>
        <w:rPr>
          <w:spacing w:val="-13"/>
        </w:rPr>
        <w:t>方法。以 </w:t>
      </w:r>
      <w:r>
        <w:rPr/>
        <w:t>10mg</w:t>
      </w:r>
      <w:r>
        <w:rPr>
          <w:spacing w:val="-8"/>
        </w:rPr>
        <w:t> 的阿托伐他汀钙片为例，拟中标的三家齐鲁制药、兴安药业、乐普医疗的单</w:t>
      </w:r>
      <w:r>
        <w:rPr>
          <w:spacing w:val="-16"/>
        </w:rPr>
        <w:t>片价格分别为 </w:t>
      </w:r>
      <w:r>
        <w:rPr/>
        <w:t>0.12</w:t>
      </w:r>
      <w:r>
        <w:rPr>
          <w:spacing w:val="-20"/>
        </w:rPr>
        <w:t> 元、</w:t>
      </w:r>
      <w:r>
        <w:rPr/>
        <w:t>0.13</w:t>
      </w:r>
      <w:r>
        <w:rPr>
          <w:spacing w:val="-30"/>
        </w:rPr>
        <w:t> 元和 </w:t>
      </w:r>
      <w:r>
        <w:rPr/>
        <w:t>0.32</w:t>
      </w:r>
      <w:r>
        <w:rPr>
          <w:spacing w:val="-12"/>
        </w:rPr>
        <w:t> 元，对比</w:t>
      </w:r>
      <w:r>
        <w:rPr/>
        <w:t>“4+7”</w:t>
      </w:r>
      <w:r>
        <w:rPr>
          <w:spacing w:val="-12"/>
        </w:rPr>
        <w:t>降幅到达 </w:t>
      </w:r>
      <w:r>
        <w:rPr/>
        <w:t>78%、77%</w:t>
      </w:r>
      <w:r>
        <w:rPr>
          <w:spacing w:val="-30"/>
        </w:rPr>
        <w:t>和 </w:t>
      </w:r>
      <w:r>
        <w:rPr/>
        <w:t>43%。</w:t>
      </w:r>
    </w:p>
    <w:p>
      <w:pPr>
        <w:pStyle w:val="BodyText"/>
        <w:spacing w:line="302" w:lineRule="exact"/>
        <w:ind w:left="1077"/>
        <w:jc w:val="both"/>
      </w:pPr>
      <w:r>
        <w:rPr/>
        <w:t>毋庸置疑，与“4+7”的 8700 多万片采购量相比，扩围首年约定采购量计算基数增至</w:t>
      </w:r>
    </w:p>
    <w:p>
      <w:pPr>
        <w:pStyle w:val="BodyText"/>
        <w:spacing w:line="297" w:lineRule="auto" w:before="72"/>
        <w:ind w:right="588"/>
        <w:jc w:val="both"/>
      </w:pPr>
      <w:r>
        <w:rPr/>
        <w:t>6.2</w:t>
      </w:r>
      <w:r>
        <w:rPr>
          <w:spacing w:val="-10"/>
        </w:rPr>
        <w:t> 倍应该是主要原因了。并且在次年约定采购量按该采购品种</w:t>
      </w:r>
      <w:r>
        <w:rPr/>
        <w:t>（指定规格</w:t>
      </w:r>
      <w:r>
        <w:rPr>
          <w:spacing w:val="-15"/>
        </w:rPr>
        <w:t>）</w:t>
      </w:r>
      <w:r>
        <w:rPr>
          <w:spacing w:val="-3"/>
        </w:rPr>
        <w:t>首年实际采购</w:t>
      </w:r>
      <w:r>
        <w:rPr>
          <w:spacing w:val="-6"/>
        </w:rPr>
        <w:t>量一定比例确定：实际中选企业为 </w:t>
      </w:r>
      <w:r>
        <w:rPr/>
        <w:t>3</w:t>
      </w:r>
      <w:r>
        <w:rPr>
          <w:spacing w:val="-12"/>
        </w:rPr>
        <w:t> 家的，约定采购量为首年实际采购量的 </w:t>
      </w:r>
      <w:r>
        <w:rPr/>
        <w:t>70%</w:t>
      </w:r>
      <w:r>
        <w:rPr>
          <w:spacing w:val="-7"/>
        </w:rPr>
        <w:t>。次年约定</w:t>
      </w:r>
      <w:r>
        <w:rPr/>
        <w:t>采购量原则上不少于该中选品种首年约定采购量。</w:t>
      </w:r>
    </w:p>
    <w:p>
      <w:pPr>
        <w:pStyle w:val="BodyText"/>
        <w:spacing w:line="304" w:lineRule="exact"/>
        <w:ind w:left="1077"/>
      </w:pPr>
      <w:r>
        <w:rPr/>
        <w:t>杜绝“中标死”</w:t>
      </w:r>
    </w:p>
    <w:p>
      <w:pPr>
        <w:pStyle w:val="BodyText"/>
        <w:spacing w:before="74"/>
        <w:ind w:left="1077"/>
      </w:pPr>
      <w:r>
        <w:rPr/>
        <w:t>其实，单单从降价幅度看，似乎挺有低价药“中标死”的即视感。</w:t>
      </w:r>
    </w:p>
    <w:p>
      <w:pPr>
        <w:pStyle w:val="BodyText"/>
        <w:spacing w:line="295" w:lineRule="auto" w:before="72"/>
        <w:ind w:left="1197" w:right="607" w:hanging="120"/>
      </w:pPr>
      <w:r>
        <w:rPr/>
        <w:t>不过，从目前医保部门及卫生部门的表态看，已出台相应规则加以防范。          </w:t>
      </w:r>
      <w:r>
        <w:rPr>
          <w:spacing w:val="-1"/>
        </w:rPr>
        <w:t>“中标死”原因之一，企业不按合同供货或不及时足量供货。针对此次试点扩大到全</w:t>
      </w:r>
    </w:p>
    <w:p>
      <w:pPr>
        <w:pStyle w:val="BodyText"/>
        <w:spacing w:line="297" w:lineRule="auto" w:before="4"/>
        <w:ind w:right="588"/>
        <w:jc w:val="both"/>
      </w:pPr>
      <w:r>
        <w:rPr/>
        <w:t>国范围，从“4+7”的独家中标改为允许每个品种多家中标，以扩大药品供应来源。甚至对</w:t>
      </w:r>
      <w:r>
        <w:rPr>
          <w:spacing w:val="-8"/>
        </w:rPr>
        <w:t>于中选企业不足 </w:t>
      </w:r>
      <w:r>
        <w:rPr/>
        <w:t>3</w:t>
      </w:r>
      <w:r>
        <w:rPr>
          <w:spacing w:val="-14"/>
        </w:rPr>
        <w:t> 家的品种，适当降低约定采购量比例的做法，试点办的解释也是为了减少</w:t>
      </w:r>
      <w:r>
        <w:rPr>
          <w:spacing w:val="-10"/>
        </w:rPr>
        <w:t>供应风险、垄断风险。试点办负责人还强调，会要求生产企业按照采购协议足量供货，建立</w:t>
      </w:r>
      <w:r>
        <w:rPr>
          <w:spacing w:val="-9"/>
        </w:rPr>
        <w:t>企业应急储备、库存和产能报告制度，落实生产企业自主选定配送企业，通过协议规范配送</w:t>
      </w:r>
      <w:r>
        <w:rPr/>
        <w:t>行为，确保供应稳定。</w:t>
      </w:r>
    </w:p>
    <w:p>
      <w:pPr>
        <w:pStyle w:val="BodyText"/>
        <w:spacing w:line="297" w:lineRule="auto"/>
        <w:ind w:right="587" w:firstLine="480"/>
        <w:jc w:val="both"/>
      </w:pPr>
      <w:r>
        <w:rPr>
          <w:spacing w:val="-11"/>
        </w:rPr>
        <w:t>而对于另一个“中标死”的原因——医生处方意愿，则是由医保部门和卫生部门联手出击。医保方面，将药品使用情况纳入医保协议管理，明确违约责任及处理方式，同时加强对</w:t>
      </w:r>
      <w:r>
        <w:rPr>
          <w:spacing w:val="-7"/>
        </w:rPr>
        <w:t>中选药品和未中选药品采购使用的监测监控，并将中选药品使用情况纳入医保考核评价指标</w:t>
      </w:r>
      <w:r>
        <w:rPr>
          <w:spacing w:val="-11"/>
        </w:rPr>
        <w:t>体系。对因规范使用中选品种而减少医保基金支出的医院，当年度医保总额预算额度不做调</w:t>
      </w:r>
      <w:r>
        <w:rPr>
          <w:spacing w:val="-10"/>
        </w:rPr>
        <w:t>减，医疗服务收支形成结余的按“两个允许”的要求，统筹用于人员薪酬支出，调动医务人</w:t>
      </w:r>
      <w:r>
        <w:rPr>
          <w:spacing w:val="-14"/>
        </w:rPr>
        <w:t>员积极性。卫生部门方面，则是畅通中选药品优先采购和合理使用的政策通道，确保医疗机</w:t>
      </w:r>
      <w:r>
        <w:rPr>
          <w:spacing w:val="-10"/>
        </w:rPr>
        <w:t>构不以费用控制、医疗机构用药品种规格数量限制、药事委员会审定等为由影响中选药品供</w:t>
      </w:r>
      <w:r>
        <w:rPr>
          <w:spacing w:val="-11"/>
        </w:rPr>
        <w:t>应和使用。同时优先使用中选药品纳入公立医疗机构绩效考核体系，建立医疗机构和医务人</w:t>
      </w:r>
      <w:r>
        <w:rPr/>
        <w:t>员的激励约束机制。</w:t>
      </w:r>
    </w:p>
    <w:p>
      <w:pPr>
        <w:pStyle w:val="BodyText"/>
        <w:spacing w:line="237" w:lineRule="auto"/>
        <w:ind w:right="587" w:firstLine="480"/>
        <w:rPr>
          <w:rFonts w:ascii="Microsoft JhengHei" w:eastAsia="Microsoft JhengHei" w:hint="eastAsia"/>
          <w:b/>
        </w:rPr>
      </w:pPr>
      <w:r>
        <w:rPr>
          <w:spacing w:val="-8"/>
        </w:rPr>
        <w:t>正如行业人士所言，在医院信息化愈发完善的现在，药品使用的监测监控已是常态，尤</w:t>
      </w:r>
      <w:r>
        <w:rPr/>
        <w:t>其是医保卫生部门介入后，中标药品处方难度将大减。</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Heading2"/>
        <w:spacing w:before="106"/>
      </w:pPr>
      <w:r>
        <w:rPr/>
        <w:t>【医保动态】</w:t>
      </w:r>
    </w:p>
    <w:p>
      <w:pPr>
        <w:pStyle w:val="BodyText"/>
        <w:spacing w:before="11"/>
        <w:ind w:left="0"/>
        <w:rPr>
          <w:b/>
          <w:sz w:val="22"/>
        </w:rPr>
      </w:pPr>
    </w:p>
    <w:p>
      <w:pPr>
        <w:spacing w:before="0"/>
        <w:ind w:left="803" w:right="0" w:firstLine="0"/>
        <w:jc w:val="left"/>
        <w:rPr>
          <w:b/>
          <w:sz w:val="32"/>
        </w:rPr>
      </w:pPr>
      <w:r>
        <w:rPr>
          <w:b/>
          <w:sz w:val="32"/>
        </w:rPr>
        <w:t>国家医保局：2019 年上半年 17 种抗癌药累计报销金额逾 19 亿元</w:t>
      </w:r>
    </w:p>
    <w:p>
      <w:pPr>
        <w:pStyle w:val="Heading7"/>
        <w:spacing w:before="145"/>
        <w:ind w:left="0" w:right="588"/>
        <w:jc w:val="right"/>
      </w:pPr>
      <w:r>
        <w:rPr>
          <w:color w:val="FF0000"/>
          <w:w w:val="95"/>
        </w:rPr>
        <w:t>（来源：中国新闻网）</w:t>
      </w:r>
    </w:p>
    <w:p>
      <w:pPr>
        <w:pStyle w:val="BodyText"/>
        <w:spacing w:before="99"/>
        <w:ind w:left="1077"/>
      </w:pPr>
      <w:r>
        <w:rPr>
          <w:spacing w:val="-6"/>
        </w:rPr>
        <w:t>中国国家医疗保障局 </w:t>
      </w:r>
      <w:r>
        <w:rPr/>
        <w:t>25</w:t>
      </w:r>
      <w:r>
        <w:rPr>
          <w:spacing w:val="-10"/>
        </w:rPr>
        <w:t> 日发布消息称，</w:t>
      </w:r>
      <w:r>
        <w:rPr>
          <w:spacing w:val="-11"/>
        </w:rPr>
        <w:t>2019</w:t>
      </w:r>
      <w:r>
        <w:rPr>
          <w:spacing w:val="-40"/>
        </w:rPr>
        <w:t> 年 </w:t>
      </w:r>
      <w:r>
        <w:rPr/>
        <w:t>1</w:t>
      </w:r>
      <w:r>
        <w:rPr>
          <w:spacing w:val="-40"/>
        </w:rPr>
        <w:t> 至 </w:t>
      </w:r>
      <w:r>
        <w:rPr/>
        <w:t>6</w:t>
      </w:r>
      <w:r>
        <w:rPr>
          <w:spacing w:val="-26"/>
        </w:rPr>
        <w:t> 月，</w:t>
      </w:r>
      <w:r>
        <w:rPr>
          <w:spacing w:val="-17"/>
        </w:rPr>
        <w:t>17</w:t>
      </w:r>
      <w:r>
        <w:rPr>
          <w:spacing w:val="-8"/>
        </w:rPr>
        <w:t> 种国家医保谈判抗癌药累</w:t>
      </w:r>
    </w:p>
    <w:p>
      <w:pPr>
        <w:pStyle w:val="BodyText"/>
        <w:spacing w:line="295" w:lineRule="auto" w:before="71"/>
        <w:ind w:right="587"/>
        <w:jc w:val="both"/>
      </w:pPr>
      <w:r>
        <w:rPr>
          <w:spacing w:val="-16"/>
        </w:rPr>
        <w:t>计报销 </w:t>
      </w:r>
      <w:r>
        <w:rPr/>
        <w:t>31.82</w:t>
      </w:r>
      <w:r>
        <w:rPr>
          <w:spacing w:val="-20"/>
        </w:rPr>
        <w:t> 万人次，报销金额 </w:t>
      </w:r>
      <w:r>
        <w:rPr/>
        <w:t>19.63</w:t>
      </w:r>
      <w:r>
        <w:rPr>
          <w:spacing w:val="-12"/>
        </w:rPr>
        <w:t> 亿元人民币。国家医保局将继续推进国家医保谈判抗</w:t>
      </w:r>
      <w:r>
        <w:rPr/>
        <w:t>癌药在医疗机构的配备使用工作，维护癌症患者权益。</w:t>
      </w:r>
    </w:p>
    <w:p>
      <w:pPr>
        <w:spacing w:after="0" w:line="295" w:lineRule="auto"/>
        <w:jc w:val="both"/>
        <w:sectPr>
          <w:pgSz w:w="11910" w:h="16850"/>
          <w:pgMar w:header="906" w:footer="607" w:top="1100" w:bottom="800" w:left="680" w:right="540"/>
        </w:sectPr>
      </w:pPr>
    </w:p>
    <w:p>
      <w:pPr>
        <w:pStyle w:val="BodyText"/>
        <w:spacing w:before="65"/>
        <w:ind w:left="1077"/>
      </w:pPr>
      <w:r>
        <w:rPr/>
        <w:t>2018 年 10 月，国家医保局印发通知，将 17 种谈判抗癌药品纳入《国家基本医疗保险、</w:t>
      </w:r>
    </w:p>
    <w:p>
      <w:pPr>
        <w:pStyle w:val="BodyText"/>
        <w:spacing w:line="297" w:lineRule="auto" w:before="72"/>
        <w:ind w:right="467"/>
      </w:pPr>
      <w:r>
        <w:rPr>
          <w:spacing w:val="-3"/>
        </w:rPr>
        <w:t>工伤保险和生育保险药品目录》乙类范围。</w:t>
      </w:r>
      <w:r>
        <w:rPr/>
        <w:t>17</w:t>
      </w:r>
      <w:r>
        <w:rPr>
          <w:spacing w:val="-17"/>
        </w:rPr>
        <w:t> 种药品中，包括 </w:t>
      </w:r>
      <w:r>
        <w:rPr/>
        <w:t>12</w:t>
      </w:r>
      <w:r>
        <w:rPr>
          <w:spacing w:val="-14"/>
        </w:rPr>
        <w:t> 个实体肿瘤药和 </w:t>
      </w:r>
      <w:r>
        <w:rPr/>
        <w:t>5</w:t>
      </w:r>
      <w:r>
        <w:rPr>
          <w:spacing w:val="-15"/>
        </w:rPr>
        <w:t> 个血液</w:t>
      </w:r>
      <w:r>
        <w:rPr>
          <w:spacing w:val="-18"/>
        </w:rPr>
        <w:t>肿瘤药，均为临床必需、疗效确切、参保人员需求迫切的肿瘤治疗药品。与平均零售价相比， </w:t>
      </w:r>
      <w:r>
        <w:rPr>
          <w:spacing w:val="-4"/>
        </w:rPr>
        <w:t>谈判药品的支付标准平均降幅达 </w:t>
      </w:r>
      <w:r>
        <w:rPr/>
        <w:t>56.7%。</w:t>
      </w:r>
    </w:p>
    <w:p>
      <w:pPr>
        <w:pStyle w:val="BodyText"/>
        <w:spacing w:line="297" w:lineRule="auto"/>
        <w:ind w:right="587" w:firstLine="480"/>
        <w:jc w:val="both"/>
      </w:pPr>
      <w:r>
        <w:rPr>
          <w:spacing w:val="-11"/>
        </w:rPr>
        <w:t>国家医保局方面强调，各地卫生健康部门要进一步健全完善肿瘤诊疗规范和抗肿瘤药物</w:t>
      </w:r>
      <w:r>
        <w:rPr>
          <w:spacing w:val="-8"/>
        </w:rPr>
        <w:t>临床应用指南，指导医疗机构按照肿瘤诊疗规范和能力配备必须药品、优化用药结构。医院</w:t>
      </w:r>
      <w:r>
        <w:rPr>
          <w:spacing w:val="-10"/>
        </w:rPr>
        <w:t>不得以费用总控、医保费用总控、“药占比”等为由影响谈判药品的供应保障与合理用药需</w:t>
      </w:r>
      <w:r>
        <w:rPr/>
        <w:t>求。</w:t>
      </w:r>
    </w:p>
    <w:p>
      <w:pPr>
        <w:pStyle w:val="BodyText"/>
        <w:spacing w:line="297" w:lineRule="auto"/>
        <w:ind w:right="587" w:firstLine="480"/>
        <w:jc w:val="both"/>
      </w:pPr>
      <w:r>
        <w:rPr>
          <w:spacing w:val="-10"/>
        </w:rPr>
        <w:t>据介绍，国家医保局近期已启动新一轮医保目录调整工作，目录调整将以“补齐短板保</w:t>
      </w:r>
      <w:r>
        <w:rPr>
          <w:spacing w:val="-12"/>
        </w:rPr>
        <w:t>障”为原则，优先考虑国家基本药物、癌症及罕见病等重大疾病治疗用药、慢性病用药等类</w:t>
      </w:r>
      <w:r>
        <w:rPr/>
        <w:t>别。</w:t>
      </w:r>
    </w:p>
    <w:p>
      <w:pPr>
        <w:pStyle w:val="BodyText"/>
        <w:spacing w:line="297" w:lineRule="auto"/>
        <w:ind w:right="586" w:firstLine="480"/>
      </w:pPr>
      <w:r>
        <w:rPr>
          <w:spacing w:val="-8"/>
        </w:rPr>
        <w:t>国家医保局方面表示，将建立医保目录动态调整机制，努力实现药品结构更加优化，管</w:t>
      </w:r>
      <w:r>
        <w:rPr>
          <w:spacing w:val="-11"/>
        </w:rPr>
        <w:t>理更加规范，医保资金使用效益更高的目标，从而进一步提升包括抗癌药在内的药品保障水</w:t>
      </w:r>
    </w:p>
    <w:p>
      <w:pPr>
        <w:pStyle w:val="BodyText"/>
        <w:spacing w:line="235" w:lineRule="auto"/>
        <w:ind w:right="587"/>
        <w:rPr>
          <w:rFonts w:ascii="Microsoft JhengHei" w:eastAsia="Microsoft JhengHei" w:hint="eastAsia"/>
          <w:b/>
        </w:rPr>
      </w:pPr>
      <w:r>
        <w:rPr>
          <w:spacing w:val="-11"/>
        </w:rPr>
        <w:t>平。同时将继续推进国家医保谈判抗癌药在医疗机构的配备使用工作，进一步规范医疗机构</w:t>
      </w:r>
      <w:r>
        <w:rPr/>
        <w:t>遴选、采购和使用抗癌药物的行为，维护癌症患者权益。</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Heading2"/>
        <w:spacing w:before="116"/>
      </w:pPr>
      <w:bookmarkStart w:name="_TOC_250031" w:id="1"/>
      <w:bookmarkEnd w:id="1"/>
      <w:r>
        <w:rPr/>
        <w:t>【药监动态】</w:t>
      </w:r>
    </w:p>
    <w:p>
      <w:pPr>
        <w:pStyle w:val="BodyText"/>
        <w:spacing w:before="12"/>
        <w:ind w:left="0"/>
        <w:rPr>
          <w:b/>
          <w:sz w:val="22"/>
        </w:rPr>
      </w:pPr>
    </w:p>
    <w:p>
      <w:pPr>
        <w:pStyle w:val="Heading2"/>
        <w:ind w:left="1"/>
        <w:jc w:val="center"/>
      </w:pPr>
      <w:bookmarkStart w:name="_TOC_250030" w:id="2"/>
      <w:bookmarkEnd w:id="2"/>
      <w:r>
        <w:rPr/>
        <w:t>国家药监局关于 7 批次药品不符合规定的通告</w:t>
      </w:r>
    </w:p>
    <w:p>
      <w:pPr>
        <w:pStyle w:val="Heading7"/>
        <w:spacing w:before="145"/>
        <w:ind w:left="0" w:right="588"/>
        <w:jc w:val="right"/>
      </w:pPr>
      <w:r>
        <w:rPr>
          <w:color w:val="FF0000"/>
          <w:w w:val="95"/>
        </w:rPr>
        <w:t>（来源：中国医药报）</w:t>
      </w:r>
    </w:p>
    <w:p>
      <w:pPr>
        <w:pStyle w:val="BodyText"/>
        <w:spacing w:before="96"/>
        <w:ind w:left="1077"/>
      </w:pPr>
      <w:r>
        <w:rPr>
          <w:spacing w:val="-6"/>
        </w:rPr>
        <w:t>经北京市药品检验所等 </w:t>
      </w:r>
      <w:r>
        <w:rPr/>
        <w:t>3</w:t>
      </w:r>
      <w:r>
        <w:rPr>
          <w:spacing w:val="-14"/>
        </w:rPr>
        <w:t> 家药品检验机构检验，标示为哈尔滨天木药业股份有限公司等</w:t>
      </w:r>
    </w:p>
    <w:p>
      <w:pPr>
        <w:pStyle w:val="BodyText"/>
        <w:spacing w:before="74"/>
      </w:pPr>
      <w:r>
        <w:rPr/>
        <w:t>4 家企业生产的 7 批次药品不符合规定。现将相关情况通告如下：</w:t>
      </w:r>
    </w:p>
    <w:p>
      <w:pPr>
        <w:pStyle w:val="BodyText"/>
        <w:spacing w:line="295" w:lineRule="auto" w:before="72"/>
        <w:ind w:right="586" w:firstLine="480"/>
      </w:pPr>
      <w:r>
        <w:rPr>
          <w:spacing w:val="-14"/>
        </w:rPr>
        <w:t>一、经北京市药品检验所检验，标示为哈尔滨天木药业股份有限公司生产的 </w:t>
      </w:r>
      <w:r>
        <w:rPr/>
        <w:t>1</w:t>
      </w:r>
      <w:r>
        <w:rPr>
          <w:spacing w:val="-16"/>
        </w:rPr>
        <w:t> 批次葡萄</w:t>
      </w:r>
      <w:r>
        <w:rPr/>
        <w:t>糖酸钙口服溶液不符合规定，不符合规定项目为装量。</w:t>
      </w:r>
    </w:p>
    <w:p>
      <w:pPr>
        <w:pStyle w:val="BodyText"/>
        <w:spacing w:line="295" w:lineRule="auto" w:before="4"/>
        <w:ind w:right="590" w:firstLine="480"/>
      </w:pPr>
      <w:r>
        <w:rPr>
          <w:spacing w:val="-8"/>
        </w:rPr>
        <w:t>经南京市食品药品监督检验院检验，标示为华中药业股份有限公司和郑州卓峰制药有限</w:t>
      </w:r>
      <w:r>
        <w:rPr>
          <w:spacing w:val="-11"/>
        </w:rPr>
        <w:t>公司生产的 </w:t>
      </w:r>
      <w:r>
        <w:rPr/>
        <w:t>2</w:t>
      </w:r>
      <w:r>
        <w:rPr>
          <w:spacing w:val="-8"/>
        </w:rPr>
        <w:t> 批次地塞米松磷酸钠注射液不符合规定，不符合规定项目为可见异物。</w:t>
      </w:r>
    </w:p>
    <w:p>
      <w:pPr>
        <w:pStyle w:val="BodyText"/>
        <w:spacing w:line="297" w:lineRule="auto" w:before="3"/>
        <w:ind w:right="588" w:firstLine="480"/>
      </w:pPr>
      <w:r>
        <w:rPr>
          <w:spacing w:val="-10"/>
        </w:rPr>
        <w:t>经上海市食品药品检验所检验，标示为洛阳天生药业有限责任公司生产的 </w:t>
      </w:r>
      <w:r>
        <w:rPr/>
        <w:t>4</w:t>
      </w:r>
      <w:r>
        <w:rPr>
          <w:spacing w:val="-13"/>
        </w:rPr>
        <w:t> 批次腰痛片</w:t>
      </w:r>
      <w:r>
        <w:rPr/>
        <w:t>检出松香酸（详见附件）。</w:t>
      </w:r>
    </w:p>
    <w:p>
      <w:pPr>
        <w:pStyle w:val="BodyText"/>
        <w:spacing w:line="295" w:lineRule="auto"/>
        <w:ind w:right="587" w:firstLine="480"/>
      </w:pPr>
      <w:r>
        <w:rPr>
          <w:spacing w:val="-13"/>
        </w:rPr>
        <w:t>二、对上述不符合规定药品，药品监督管理部门已要求相关企业和单位采取暂停销售使</w:t>
      </w:r>
      <w:r>
        <w:rPr/>
        <w:t>用、召回等风险控制措施，对不符合规定原因开展调查并切实进行整改。</w:t>
      </w:r>
    </w:p>
    <w:p>
      <w:pPr>
        <w:pStyle w:val="BodyText"/>
        <w:spacing w:line="295" w:lineRule="auto" w:before="2"/>
        <w:ind w:right="587" w:firstLine="480"/>
        <w:jc w:val="both"/>
      </w:pPr>
      <w:r>
        <w:rPr>
          <w:spacing w:val="-11"/>
        </w:rPr>
        <w:t>三、国家药品监督管理局要求相关省级药品监督管理部门依据《中华人民共和国药品管理法》组织对上述企业和单位生产销售假劣药品的违法行为立案调查。自收到检验报告书之</w:t>
      </w:r>
      <w:r>
        <w:rPr>
          <w:spacing w:val="-20"/>
        </w:rPr>
        <w:t>日起 </w:t>
      </w:r>
      <w:r>
        <w:rPr/>
        <w:t>3</w:t>
      </w:r>
      <w:r>
        <w:rPr>
          <w:spacing w:val="-8"/>
        </w:rPr>
        <w:t> 个月内，完成对相关企业或单位的调查处理并公开结果。</w:t>
      </w:r>
    </w:p>
    <w:p>
      <w:pPr>
        <w:pStyle w:val="BodyText"/>
        <w:spacing w:before="6"/>
        <w:ind w:left="1077"/>
      </w:pPr>
      <w:r>
        <w:rPr/>
        <w:t>特此通告。</w:t>
      </w:r>
    </w:p>
    <w:p>
      <w:pPr>
        <w:pStyle w:val="BodyText"/>
        <w:spacing w:before="72"/>
        <w:ind w:left="7318"/>
      </w:pPr>
      <w:r>
        <w:rPr/>
        <w:t>国家药监局</w:t>
      </w:r>
    </w:p>
    <w:p>
      <w:pPr>
        <w:pStyle w:val="BodyText"/>
        <w:spacing w:before="71"/>
        <w:ind w:left="7078"/>
      </w:pPr>
      <w:r>
        <w:rPr/>
        <w:t>2019 年 9 月 23 日</w:t>
      </w:r>
    </w:p>
    <w:p>
      <w:pPr>
        <w:pStyle w:val="BodyText"/>
        <w:spacing w:before="74"/>
        <w:ind w:left="1077"/>
      </w:pPr>
      <w:r>
        <w:rPr/>
        <w:t>附件 1：7 批次不符合规定药品名单</w:t>
      </w:r>
    </w:p>
    <w:p>
      <w:pPr>
        <w:spacing w:after="0"/>
        <w:sectPr>
          <w:pgSz w:w="11910" w:h="16850"/>
          <w:pgMar w:header="906" w:footer="607" w:top="1100" w:bottom="800" w:left="680" w:right="540"/>
        </w:sectPr>
      </w:pPr>
    </w:p>
    <w:p>
      <w:pPr>
        <w:pStyle w:val="BodyText"/>
        <w:ind w:left="560"/>
        <w:rPr>
          <w:sz w:val="20"/>
        </w:rPr>
      </w:pPr>
      <w:r>
        <w:rPr>
          <w:sz w:val="20"/>
        </w:rPr>
        <w:pict>
          <v:group style="width:477.85pt;height:218.9pt;mso-position-horizontal-relative:char;mso-position-vertical-relative:line" coordorigin="0,0" coordsize="9557,4378">
            <v:line style="position:absolute" from="0,7" to="9556,7" stroked="true" strokeweight=".72pt" strokecolor="#000000">
              <v:stroke dashstyle="solid"/>
            </v:line>
            <v:shape style="position:absolute;left:336;top:19;width:8693;height:4359" type="#_x0000_t75" stroked="false">
              <v:imagedata r:id="rId14" o:title=""/>
            </v:shape>
          </v:group>
        </w:pict>
      </w:r>
      <w:r>
        <w:rPr>
          <w:sz w:val="20"/>
        </w:rPr>
      </w:r>
    </w:p>
    <w:p>
      <w:pPr>
        <w:pStyle w:val="BodyText"/>
        <w:spacing w:before="3"/>
        <w:ind w:left="0"/>
        <w:rPr>
          <w:sz w:val="27"/>
        </w:rPr>
      </w:pPr>
    </w:p>
    <w:p>
      <w:pPr>
        <w:pStyle w:val="BodyText"/>
        <w:spacing w:before="66"/>
        <w:ind w:left="1077"/>
      </w:pPr>
      <w:r>
        <w:rPr/>
        <w:t>附件 2：不符合规定项目的小知识</w:t>
      </w:r>
    </w:p>
    <w:p>
      <w:pPr>
        <w:pStyle w:val="BodyText"/>
        <w:spacing w:line="295" w:lineRule="auto" w:before="72"/>
        <w:ind w:right="592" w:firstLine="480"/>
      </w:pPr>
      <w:r>
        <w:rPr>
          <w:spacing w:val="-10"/>
        </w:rPr>
        <w:t>一、装量系反映药品重量或容量的指标，适用于固体、半固体、液体制剂，规定应按最</w:t>
      </w:r>
      <w:r>
        <w:rPr/>
        <w:t>低装量检查法进行检查，不符合规定会导致临床给药剂量不足。</w:t>
      </w:r>
    </w:p>
    <w:p>
      <w:pPr>
        <w:pStyle w:val="BodyText"/>
        <w:spacing w:line="295" w:lineRule="auto" w:before="4"/>
        <w:ind w:right="587" w:firstLine="480"/>
      </w:pPr>
      <w:r>
        <w:rPr>
          <w:spacing w:val="-11"/>
        </w:rPr>
        <w:t>二、可见异物系指存在于注射剂、眼用液体制剂中，在规定的目视条件下能够观察到的</w:t>
      </w:r>
      <w:r>
        <w:rPr>
          <w:spacing w:val="-4"/>
        </w:rPr>
        <w:t>不溶性物质，其粒径或长度通常大于 </w:t>
      </w:r>
      <w:r>
        <w:rPr/>
        <w:t>50</w:t>
      </w:r>
      <w:r>
        <w:rPr>
          <w:spacing w:val="-15"/>
        </w:rPr>
        <w:t> 微米。</w:t>
      </w:r>
    </w:p>
    <w:p>
      <w:pPr>
        <w:pStyle w:val="BodyText"/>
        <w:spacing w:line="237" w:lineRule="auto" w:before="5"/>
        <w:ind w:right="589" w:firstLine="480"/>
        <w:rPr>
          <w:rFonts w:ascii="Microsoft JhengHei" w:eastAsia="Microsoft JhengHei" w:hint="eastAsia"/>
          <w:b/>
        </w:rPr>
      </w:pPr>
      <w:r>
        <w:rPr>
          <w:spacing w:val="-11"/>
        </w:rPr>
        <w:t>三、松香酸为松香的成分，近年发现个别中药材及饮片有用松香掺伪的现象，中成药制</w:t>
      </w:r>
      <w:r>
        <w:rPr/>
        <w:t>剂检出该成分，提示生产用原料药材及饮片有用松香掺伪的可能。</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Heading2"/>
        <w:spacing w:before="122"/>
      </w:pPr>
      <w:bookmarkStart w:name="_TOC_250029" w:id="3"/>
      <w:bookmarkEnd w:id="3"/>
      <w:r>
        <w:rPr/>
        <w:t>【医改新政】</w:t>
      </w:r>
    </w:p>
    <w:p>
      <w:pPr>
        <w:pStyle w:val="BodyText"/>
        <w:spacing w:before="11"/>
        <w:ind w:left="0"/>
        <w:rPr>
          <w:b/>
          <w:sz w:val="22"/>
        </w:rPr>
      </w:pPr>
    </w:p>
    <w:p>
      <w:pPr>
        <w:pStyle w:val="Heading2"/>
        <w:ind w:left="0"/>
        <w:jc w:val="center"/>
      </w:pPr>
      <w:bookmarkStart w:name="_TOC_250028" w:id="4"/>
      <w:bookmarkEnd w:id="4"/>
      <w:r>
        <w:rPr/>
        <w:t>北京三级公立医院绩效考核“扩容”</w:t>
      </w:r>
    </w:p>
    <w:p>
      <w:pPr>
        <w:pStyle w:val="BodyText"/>
        <w:spacing w:before="50"/>
        <w:ind w:left="2"/>
        <w:jc w:val="center"/>
      </w:pPr>
      <w:r>
        <w:rPr/>
        <w:t>新增 5 项指标，力推“互联网＋考核”，结果与书记院长任命挂钩</w:t>
      </w:r>
    </w:p>
    <w:p>
      <w:pPr>
        <w:pStyle w:val="Heading7"/>
        <w:spacing w:before="170"/>
        <w:ind w:left="0" w:right="590"/>
        <w:jc w:val="right"/>
      </w:pPr>
      <w:r>
        <w:rPr>
          <w:color w:val="FF0000"/>
          <w:w w:val="95"/>
        </w:rPr>
        <w:t>（来源：健康报）</w:t>
      </w:r>
    </w:p>
    <w:p>
      <w:pPr>
        <w:pStyle w:val="BodyText"/>
        <w:spacing w:line="297" w:lineRule="auto" w:before="96"/>
        <w:ind w:right="588" w:firstLine="480"/>
        <w:jc w:val="both"/>
      </w:pPr>
      <w:r>
        <w:rPr>
          <w:spacing w:val="-11"/>
        </w:rPr>
        <w:t>近日，北京市卫生健康委、发改委、教委、财政局、人力社保局、中医局、医保局共同</w:t>
      </w:r>
      <w:r>
        <w:rPr>
          <w:spacing w:val="-19"/>
        </w:rPr>
        <w:t>制订发布《北京市三级公立医院绩效考核工作实施方案》。在对标国家指标的基础上，该《方</w:t>
      </w:r>
      <w:r>
        <w:rPr>
          <w:spacing w:val="-17"/>
        </w:rPr>
        <w:t>案》新增 </w:t>
      </w:r>
      <w:r>
        <w:rPr/>
        <w:t>5</w:t>
      </w:r>
      <w:r>
        <w:rPr>
          <w:spacing w:val="-14"/>
        </w:rPr>
        <w:t> 项指标，统一绩效考核体系，力推“互联网＋考核”方式，绩效考核结果与医院</w:t>
      </w:r>
      <w:r>
        <w:rPr/>
        <w:t>书记、院长任命相挂钩。</w:t>
      </w:r>
    </w:p>
    <w:p>
      <w:pPr>
        <w:pStyle w:val="BodyText"/>
        <w:spacing w:line="297" w:lineRule="auto"/>
        <w:ind w:right="468" w:firstLine="480"/>
      </w:pPr>
      <w:r>
        <w:rPr>
          <w:spacing w:val="-11"/>
        </w:rPr>
        <w:t>《方案》指出，北京市将建立考核指标体系，三级公立医院绩效考核指标体系由医疗质</w:t>
      </w:r>
      <w:r>
        <w:rPr>
          <w:spacing w:val="-14"/>
        </w:rPr>
        <w:t>量、运行效率、持续发展与创新、满意度评价 </w:t>
      </w:r>
      <w:r>
        <w:rPr/>
        <w:t>4</w:t>
      </w:r>
      <w:r>
        <w:rPr>
          <w:spacing w:val="-20"/>
        </w:rPr>
        <w:t> 个维度的 </w:t>
      </w:r>
      <w:r>
        <w:rPr/>
        <w:t>60</w:t>
      </w:r>
      <w:r>
        <w:rPr>
          <w:spacing w:val="-8"/>
        </w:rPr>
        <w:t> 项指标构成。其中，国家卫生</w:t>
      </w:r>
      <w:r>
        <w:rPr>
          <w:spacing w:val="-17"/>
        </w:rPr>
        <w:t>健康委规定 </w:t>
      </w:r>
      <w:r>
        <w:rPr/>
        <w:t>55</w:t>
      </w:r>
      <w:r>
        <w:rPr>
          <w:spacing w:val="-10"/>
        </w:rPr>
        <w:t> 项指标，北京市根据本地实际情况新增病例组合指数、</w:t>
      </w:r>
      <w:r>
        <w:rPr/>
        <w:t>30</w:t>
      </w:r>
      <w:r>
        <w:rPr>
          <w:spacing w:val="-9"/>
        </w:rPr>
        <w:t> 天再入院率、每百</w:t>
      </w:r>
      <w:r>
        <w:rPr>
          <w:spacing w:val="-18"/>
        </w:rPr>
        <w:t>名出院患者用血量、平均住院天数、传染病报告及时完整率 </w:t>
      </w:r>
      <w:r>
        <w:rPr/>
        <w:t>5</w:t>
      </w:r>
      <w:r>
        <w:rPr>
          <w:spacing w:val="-23"/>
        </w:rPr>
        <w:t> 项指标。新增的 </w:t>
      </w:r>
      <w:r>
        <w:rPr/>
        <w:t>5</w:t>
      </w:r>
      <w:r>
        <w:rPr>
          <w:spacing w:val="-11"/>
        </w:rPr>
        <w:t> 项考核指标， </w:t>
      </w:r>
      <w:r>
        <w:rPr/>
        <w:t>填补了资源效率、公共卫生等领域的考核空白。</w:t>
      </w:r>
    </w:p>
    <w:p>
      <w:pPr>
        <w:pStyle w:val="BodyText"/>
        <w:spacing w:line="297" w:lineRule="auto"/>
        <w:ind w:right="590" w:firstLine="480"/>
        <w:jc w:val="both"/>
      </w:pPr>
      <w:r>
        <w:rPr>
          <w:spacing w:val="-12"/>
        </w:rPr>
        <w:t>《方案》明确，北京市将建立考核信息系统，由北京市卫生健康委牵头建立适用于北京</w:t>
      </w:r>
      <w:r>
        <w:rPr/>
        <w:t>市西医医院、中医医院的绩效考核信息系统，利用“互联网+考核”的方式采集客观考核数</w:t>
      </w:r>
      <w:r>
        <w:rPr>
          <w:spacing w:val="-12"/>
        </w:rPr>
        <w:t>据。统一使用规范编码和术语集。同时，推进以电子病历为核心的医院信息化建设，指导三</w:t>
      </w:r>
    </w:p>
    <w:p>
      <w:pPr>
        <w:spacing w:after="0" w:line="297" w:lineRule="auto"/>
        <w:jc w:val="both"/>
        <w:sectPr>
          <w:headerReference w:type="default" r:id="rId12"/>
          <w:footerReference w:type="default" r:id="rId13"/>
          <w:pgSz w:w="11910" w:h="16850"/>
          <w:pgMar w:header="0" w:footer="607" w:top="1100" w:bottom="800" w:left="680" w:right="540"/>
          <w:pgNumType w:start="5"/>
        </w:sectPr>
      </w:pPr>
    </w:p>
    <w:p>
      <w:pPr>
        <w:pStyle w:val="BodyText"/>
        <w:spacing w:line="295" w:lineRule="auto" w:before="65"/>
        <w:ind w:right="487"/>
      </w:pPr>
      <w:r>
        <w:rPr/>
        <w:t>级公立医院加强以电子病历为核心的医院信息化建设，加强临床数据标准化、规范化管理， 确保考核数据客观真实。</w:t>
      </w:r>
    </w:p>
    <w:p>
      <w:pPr>
        <w:pStyle w:val="BodyText"/>
        <w:spacing w:line="297" w:lineRule="auto" w:before="2"/>
        <w:ind w:right="587" w:firstLine="480"/>
        <w:jc w:val="both"/>
      </w:pPr>
      <w:r>
        <w:rPr>
          <w:spacing w:val="-12"/>
        </w:rPr>
        <w:t>《方案》强调，各地、各有关部门要强化绩效考核结果应用。组织部门要将绩效考核结</w:t>
      </w:r>
      <w:r>
        <w:rPr>
          <w:spacing w:val="-6"/>
        </w:rPr>
        <w:t>果作为选拔任用公立医院党组织书记、院长和领导班子成员的重要参考；卫生健康部门要将</w:t>
      </w:r>
      <w:r>
        <w:rPr>
          <w:spacing w:val="-7"/>
        </w:rPr>
        <w:t>考核结果与医院评审评价、医学中心和区域医疗中心建设、临床重点专科建设、评优评先等</w:t>
      </w:r>
      <w:r>
        <w:rPr>
          <w:spacing w:val="-9"/>
        </w:rPr>
        <w:t>工作紧密结合；发展改革部门将考核结果与重大项目立项、医疗资源规划等挂钩；教育部门</w:t>
      </w:r>
      <w:r>
        <w:rPr>
          <w:spacing w:val="-6"/>
        </w:rPr>
        <w:t>要制定引导公立医院发展的支持政策；财政部门将考核结果与财政补助政策挂钩；医保部门</w:t>
      </w:r>
    </w:p>
    <w:p>
      <w:pPr>
        <w:pStyle w:val="BodyText"/>
        <w:spacing w:line="235" w:lineRule="auto"/>
        <w:ind w:right="590"/>
        <w:rPr>
          <w:rFonts w:ascii="Microsoft JhengHei" w:eastAsia="Microsoft JhengHei" w:hint="eastAsia"/>
          <w:b/>
        </w:rPr>
      </w:pPr>
      <w:r>
        <w:rPr>
          <w:spacing w:val="-8"/>
        </w:rPr>
        <w:t>根据考核结果及时调整医保政策；人力社保、财政部门将考核结果作为三级公立医院薪酬水</w:t>
      </w:r>
      <w:r>
        <w:rPr/>
        <w:t>平的重要参考。</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BodyText"/>
        <w:spacing w:before="15"/>
        <w:ind w:left="0"/>
        <w:rPr>
          <w:rFonts w:ascii="Microsoft JhengHei"/>
          <w:b/>
          <w:sz w:val="10"/>
        </w:rPr>
      </w:pPr>
    </w:p>
    <w:p>
      <w:pPr>
        <w:spacing w:after="0"/>
        <w:rPr>
          <w:rFonts w:ascii="Microsoft JhengHei"/>
          <w:sz w:val="10"/>
        </w:rPr>
        <w:sectPr>
          <w:headerReference w:type="default" r:id="rId15"/>
          <w:footerReference w:type="default" r:id="rId16"/>
          <w:pgSz w:w="11910" w:h="16850"/>
          <w:pgMar w:header="906" w:footer="607" w:top="1100" w:bottom="800" w:left="680" w:right="540"/>
          <w:pgNumType w:start="6"/>
        </w:sectPr>
      </w:pPr>
    </w:p>
    <w:p>
      <w:pPr>
        <w:pStyle w:val="Heading2"/>
        <w:spacing w:before="55"/>
        <w:ind w:left="3095"/>
      </w:pPr>
      <w:bookmarkStart w:name="_TOC_250027" w:id="5"/>
      <w:bookmarkEnd w:id="5"/>
      <w:r>
        <w:rPr/>
        <w:t>北京将试运行“智慧健康处方”</w:t>
      </w:r>
    </w:p>
    <w:p>
      <w:pPr>
        <w:pStyle w:val="BodyText"/>
        <w:ind w:left="0"/>
        <w:rPr>
          <w:b/>
        </w:rPr>
      </w:pPr>
      <w:r>
        <w:rPr/>
        <w:br w:type="column"/>
      </w:r>
      <w:r>
        <w:rPr>
          <w:b/>
        </w:rPr>
      </w:r>
    </w:p>
    <w:p>
      <w:pPr>
        <w:pStyle w:val="BodyText"/>
        <w:spacing w:before="8"/>
        <w:ind w:left="0"/>
        <w:rPr>
          <w:b/>
          <w:sz w:val="23"/>
        </w:rPr>
      </w:pPr>
    </w:p>
    <w:p>
      <w:pPr>
        <w:pStyle w:val="Heading7"/>
        <w:ind w:left="533"/>
      </w:pPr>
      <w:r>
        <w:rPr>
          <w:color w:val="FF0000"/>
        </w:rPr>
        <w:t>（来源：健康报）</w:t>
      </w:r>
    </w:p>
    <w:p>
      <w:pPr>
        <w:spacing w:after="0"/>
        <w:sectPr>
          <w:type w:val="continuous"/>
          <w:pgSz w:w="11910" w:h="16850"/>
          <w:pgMar w:top="1100" w:bottom="1020" w:left="680" w:right="540"/>
          <w:cols w:num="2" w:equalWidth="0">
            <w:col w:w="7595" w:space="40"/>
            <w:col w:w="3055"/>
          </w:cols>
        </w:sectPr>
      </w:pPr>
    </w:p>
    <w:p>
      <w:pPr>
        <w:pStyle w:val="BodyText"/>
        <w:spacing w:line="297" w:lineRule="auto" w:before="96"/>
        <w:ind w:right="469" w:firstLine="540"/>
      </w:pPr>
      <w:r>
        <w:rPr/>
        <w:t>9</w:t>
      </w:r>
      <w:r>
        <w:rPr>
          <w:spacing w:val="-41"/>
        </w:rPr>
        <w:t> 月 </w:t>
      </w:r>
      <w:r>
        <w:rPr/>
        <w:t>25</w:t>
      </w:r>
      <w:r>
        <w:rPr>
          <w:spacing w:val="-8"/>
        </w:rPr>
        <w:t> 日，北京市“智慧健康处方”试运行启动会举行，该项目将在北京市东城区试</w:t>
      </w:r>
      <w:r>
        <w:rPr>
          <w:spacing w:val="-11"/>
        </w:rPr>
        <w:t>运行。“智慧健康处方”项目由北京市卫生健康委、中医管理局和医疗保障局指导，北京社</w:t>
      </w:r>
      <w:r>
        <w:rPr>
          <w:spacing w:val="-20"/>
        </w:rPr>
        <w:t>区健康促进会牵头研发。其以社区常见病、慢性病的三级预防和重点人群健康管理为切入点， </w:t>
      </w:r>
      <w:r>
        <w:rPr>
          <w:spacing w:val="-8"/>
        </w:rPr>
        <w:t>将药物使用指导处方、营养膳食处方等 </w:t>
      </w:r>
      <w:r>
        <w:rPr/>
        <w:t>8</w:t>
      </w:r>
      <w:r>
        <w:rPr>
          <w:spacing w:val="-13"/>
        </w:rPr>
        <w:t> 个方面内容融为一体，为居民提供个性化、智能化的综合健康指导服务。</w:t>
      </w:r>
    </w:p>
    <w:p>
      <w:pPr>
        <w:pStyle w:val="BodyText"/>
        <w:spacing w:line="302" w:lineRule="exact"/>
        <w:ind w:left="1077"/>
      </w:pPr>
      <w:r>
        <w:rPr/>
        <w:t>“智慧健康处方”覆盖糖尿病、高血压、骨关节病等 100 种社区常见病、慢性病，匹配</w:t>
      </w:r>
    </w:p>
    <w:p>
      <w:pPr>
        <w:pStyle w:val="BodyText"/>
        <w:spacing w:line="297" w:lineRule="auto" w:before="71"/>
        <w:ind w:right="587"/>
      </w:pPr>
      <w:r>
        <w:rPr>
          <w:spacing w:val="-11"/>
        </w:rPr>
        <w:t>上千种相关影响因素。目前，已完成 </w:t>
      </w:r>
      <w:r>
        <w:rPr/>
        <w:t>100</w:t>
      </w:r>
      <w:r>
        <w:rPr>
          <w:spacing w:val="-11"/>
        </w:rPr>
        <w:t> 个病种健康处方的研制及信息技术转化，基本可用</w:t>
      </w:r>
      <w:r>
        <w:rPr>
          <w:spacing w:val="-9"/>
        </w:rPr>
        <w:t>于北京市社区 </w:t>
      </w:r>
      <w:r>
        <w:rPr/>
        <w:t>70%以上人群的健康管理。</w:t>
      </w:r>
    </w:p>
    <w:p>
      <w:pPr>
        <w:pStyle w:val="BodyText"/>
        <w:spacing w:line="297" w:lineRule="auto"/>
        <w:ind w:right="586" w:firstLine="480"/>
        <w:jc w:val="both"/>
      </w:pPr>
      <w:r>
        <w:rPr>
          <w:spacing w:val="-7"/>
        </w:rPr>
        <w:t>北京社区健康促进会会长吴永浩介绍，“智慧健康处方”分为医生端和患者端。社区医生能够用医生端对接现有诊疗平台，为居民提供个性化、智能化的综合健康指导服务；根据</w:t>
      </w:r>
      <w:r>
        <w:rPr/>
        <w:t>“智慧健康处方”健康风险因素“四级预警”，对居民进行健康动态监测管理。</w:t>
      </w:r>
    </w:p>
    <w:p>
      <w:pPr>
        <w:pStyle w:val="BodyText"/>
        <w:spacing w:line="300" w:lineRule="exact"/>
        <w:ind w:left="0" w:right="589"/>
        <w:jc w:val="right"/>
      </w:pPr>
      <w:r>
        <w:rPr>
          <w:spacing w:val="-17"/>
        </w:rPr>
        <w:t>据了解，在 </w:t>
      </w:r>
      <w:r>
        <w:rPr/>
        <w:t>3</w:t>
      </w:r>
      <w:r>
        <w:rPr>
          <w:spacing w:val="-17"/>
        </w:rPr>
        <w:t> 年内，该项目计划分 </w:t>
      </w:r>
      <w:r>
        <w:rPr/>
        <w:t>3</w:t>
      </w:r>
      <w:r>
        <w:rPr>
          <w:spacing w:val="-18"/>
        </w:rPr>
        <w:t> 个阶段完成 </w:t>
      </w:r>
      <w:r>
        <w:rPr/>
        <w:t>200</w:t>
      </w:r>
      <w:r>
        <w:rPr>
          <w:spacing w:val="-10"/>
        </w:rPr>
        <w:t> 个社区慢性病、常见病种的健康处</w:t>
      </w:r>
    </w:p>
    <w:p>
      <w:pPr>
        <w:pStyle w:val="BodyText"/>
        <w:spacing w:line="438" w:lineRule="exact"/>
        <w:ind w:left="0" w:right="600"/>
        <w:jc w:val="right"/>
        <w:rPr>
          <w:rFonts w:ascii="Microsoft JhengHei" w:eastAsia="Microsoft JhengHei" w:hint="eastAsia"/>
          <w:b/>
        </w:rPr>
      </w:pPr>
      <w:r>
        <w:rPr>
          <w:spacing w:val="-3"/>
        </w:rPr>
        <w:t>方研制和信息技术转化工作，预计 </w:t>
      </w:r>
      <w:r>
        <w:rPr/>
        <w:t>2020</w:t>
      </w:r>
      <w:r>
        <w:rPr>
          <w:spacing w:val="-6"/>
        </w:rPr>
        <w:t> 年应用于北京所有社区卫生服务机构。</w:t>
      </w:r>
      <w:r>
        <w:rPr>
          <w:rFonts w:ascii="Microsoft JhengHei" w:eastAsia="Microsoft JhengHei" w:hint="eastAsia"/>
          <w:b/>
          <w:color w:val="0033CC"/>
          <w:w w:val="115"/>
        </w:rPr>
        <w:t>[</w:t>
      </w:r>
      <w:r>
        <w:rPr>
          <w:rFonts w:ascii="Microsoft JhengHei" w:eastAsia="Microsoft JhengHei" w:hint="eastAsia"/>
          <w:b/>
          <w:color w:val="0033CC"/>
        </w:rPr>
        <w:t>返回目次</w:t>
      </w:r>
      <w:r>
        <w:rPr>
          <w:rFonts w:ascii="Microsoft JhengHei" w:eastAsia="Microsoft JhengHei" w:hint="eastAsia"/>
          <w:b/>
          <w:color w:val="0033CC"/>
          <w:w w:val="115"/>
        </w:rPr>
        <w:t>]</w:t>
      </w:r>
    </w:p>
    <w:p>
      <w:pPr>
        <w:pStyle w:val="BodyText"/>
        <w:spacing w:before="12"/>
        <w:ind w:left="0"/>
        <w:rPr>
          <w:rFonts w:ascii="Microsoft JhengHei"/>
          <w:b/>
          <w:sz w:val="10"/>
        </w:rPr>
      </w:pPr>
    </w:p>
    <w:p>
      <w:pPr>
        <w:spacing w:after="0"/>
        <w:rPr>
          <w:rFonts w:ascii="Microsoft JhengHei"/>
          <w:sz w:val="10"/>
        </w:rPr>
        <w:sectPr>
          <w:type w:val="continuous"/>
          <w:pgSz w:w="11910" w:h="16850"/>
          <w:pgMar w:top="1100" w:bottom="1020" w:left="680" w:right="540"/>
        </w:sectPr>
      </w:pPr>
    </w:p>
    <w:p>
      <w:pPr>
        <w:pStyle w:val="Heading2"/>
        <w:spacing w:before="55"/>
        <w:ind w:left="3338"/>
      </w:pPr>
      <w:bookmarkStart w:name="_TOC_250026" w:id="6"/>
      <w:bookmarkEnd w:id="6"/>
      <w:r>
        <w:rPr>
          <w:spacing w:val="-3"/>
        </w:rPr>
        <w:t>药师开诊 供给侧改革迈新步</w:t>
      </w:r>
    </w:p>
    <w:p>
      <w:pPr>
        <w:pStyle w:val="BodyText"/>
        <w:ind w:left="0"/>
        <w:rPr>
          <w:b/>
        </w:rPr>
      </w:pPr>
      <w:r>
        <w:rPr/>
        <w:br w:type="column"/>
      </w:r>
      <w:r>
        <w:rPr>
          <w:b/>
        </w:rPr>
      </w:r>
    </w:p>
    <w:p>
      <w:pPr>
        <w:pStyle w:val="BodyText"/>
        <w:spacing w:before="7"/>
        <w:ind w:left="0"/>
        <w:rPr>
          <w:b/>
          <w:sz w:val="23"/>
        </w:rPr>
      </w:pPr>
    </w:p>
    <w:p>
      <w:pPr>
        <w:pStyle w:val="Heading7"/>
        <w:spacing w:before="1"/>
        <w:ind w:left="774"/>
      </w:pPr>
      <w:r>
        <w:rPr>
          <w:color w:val="FF0000"/>
        </w:rPr>
        <w:t>（来源：健康报）</w:t>
      </w:r>
    </w:p>
    <w:p>
      <w:pPr>
        <w:spacing w:after="0"/>
        <w:sectPr>
          <w:type w:val="continuous"/>
          <w:pgSz w:w="11910" w:h="16850"/>
          <w:pgMar w:top="1100" w:bottom="1020" w:left="680" w:right="540"/>
          <w:cols w:num="2" w:equalWidth="0">
            <w:col w:w="7353" w:space="40"/>
            <w:col w:w="3297"/>
          </w:cols>
        </w:sectPr>
      </w:pPr>
    </w:p>
    <w:p>
      <w:pPr>
        <w:pStyle w:val="BodyText"/>
        <w:spacing w:line="297" w:lineRule="auto" w:before="95"/>
        <w:ind w:right="486" w:firstLine="480"/>
      </w:pPr>
      <w:r>
        <w:rPr>
          <w:spacing w:val="-6"/>
        </w:rPr>
        <w:t>北京市药事服务改革近期做出大动作：自 </w:t>
      </w:r>
      <w:r>
        <w:rPr/>
        <w:t>2019</w:t>
      </w:r>
      <w:r>
        <w:rPr>
          <w:spacing w:val="-40"/>
        </w:rPr>
        <w:t> 年 </w:t>
      </w:r>
      <w:r>
        <w:rPr/>
        <w:t>8</w:t>
      </w:r>
      <w:r>
        <w:rPr>
          <w:spacing w:val="-26"/>
        </w:rPr>
        <w:t> 月起，北京 </w:t>
      </w:r>
      <w:r>
        <w:rPr/>
        <w:t>22</w:t>
      </w:r>
      <w:r>
        <w:rPr>
          <w:spacing w:val="-8"/>
        </w:rPr>
        <w:t> 家市属医院全面开设</w:t>
      </w:r>
      <w:r>
        <w:rPr>
          <w:spacing w:val="-12"/>
        </w:rPr>
        <w:t>药学门诊，打开了专门对患者进行用药指导的门诊服务通道。患者可以通过京医通预约挂号</w:t>
      </w:r>
      <w:r>
        <w:rPr>
          <w:spacing w:val="-18"/>
        </w:rPr>
        <w:t>平台、各医院挂号 </w:t>
      </w:r>
      <w:r>
        <w:rPr/>
        <w:t>App</w:t>
      </w:r>
      <w:r>
        <w:rPr>
          <w:spacing w:val="-9"/>
        </w:rPr>
        <w:t> 或医院现场自助机等途径预约或者挂号，获取药学门诊服务。目前， </w:t>
      </w:r>
      <w:r>
        <w:rPr>
          <w:spacing w:val="-8"/>
        </w:rPr>
        <w:t>共开设药学门诊 </w:t>
      </w:r>
      <w:r>
        <w:rPr/>
        <w:t>68</w:t>
      </w:r>
      <w:r>
        <w:rPr>
          <w:spacing w:val="-16"/>
        </w:rPr>
        <w:t> 个，共涉及近 </w:t>
      </w:r>
      <w:r>
        <w:rPr/>
        <w:t>30</w:t>
      </w:r>
      <w:r>
        <w:rPr>
          <w:spacing w:val="-12"/>
        </w:rPr>
        <w:t> 个专业。开诊以来，已为 </w:t>
      </w:r>
      <w:r>
        <w:rPr/>
        <w:t>30</w:t>
      </w:r>
      <w:r>
        <w:rPr>
          <w:spacing w:val="-8"/>
        </w:rPr>
        <w:t> 万人次的患者提供了专业药物治疗管理服务。</w:t>
      </w:r>
    </w:p>
    <w:p>
      <w:pPr>
        <w:pStyle w:val="Heading7"/>
        <w:spacing w:line="302" w:lineRule="exact"/>
        <w:jc w:val="both"/>
        <w:rPr>
          <w:rFonts w:ascii="宋体" w:eastAsia="宋体" w:hint="eastAsia"/>
        </w:rPr>
      </w:pPr>
      <w:r>
        <w:rPr>
          <w:rFonts w:ascii="宋体" w:eastAsia="宋体" w:hint="eastAsia"/>
        </w:rPr>
        <w:t>药学门诊 看与不看不一样</w:t>
      </w:r>
    </w:p>
    <w:p>
      <w:pPr>
        <w:pStyle w:val="BodyText"/>
        <w:spacing w:line="297" w:lineRule="auto" w:before="72"/>
        <w:ind w:right="587" w:firstLine="480"/>
        <w:jc w:val="both"/>
      </w:pPr>
      <w:r>
        <w:rPr>
          <w:spacing w:val="-9"/>
        </w:rPr>
        <w:t>“进了医院门，挂了 </w:t>
      </w:r>
      <w:r>
        <w:rPr/>
        <w:t>N</w:t>
      </w:r>
      <w:r>
        <w:rPr>
          <w:spacing w:val="-14"/>
        </w:rPr>
        <w:t> 科号；到了各诊室，各开各的药；出了医院门，怀揣药一抱；服</w:t>
      </w:r>
      <w:r>
        <w:rPr>
          <w:spacing w:val="-9"/>
        </w:rPr>
        <w:t>了许多药，哪个有疗效？打开家抽屉，许多过期药！”社会上流传的这个顺口溜，反映出患</w:t>
      </w:r>
      <w:r>
        <w:rPr>
          <w:spacing w:val="-12"/>
        </w:rPr>
        <w:t>者看病、开药过程的困惑和存在的隐患。从专业上讲，医生的研究领域相对来说更加侧重于</w:t>
      </w:r>
      <w:r>
        <w:rPr>
          <w:spacing w:val="-7"/>
        </w:rPr>
        <w:t>疾病发生发展的过程和原理，而对药品的认识和研究则远不如专业药师那样全面和深入。患</w:t>
      </w:r>
    </w:p>
    <w:p>
      <w:pPr>
        <w:spacing w:after="0" w:line="297" w:lineRule="auto"/>
        <w:jc w:val="both"/>
        <w:sectPr>
          <w:type w:val="continuous"/>
          <w:pgSz w:w="11910" w:h="16850"/>
          <w:pgMar w:top="1100" w:bottom="1020" w:left="680" w:right="540"/>
        </w:sectPr>
      </w:pPr>
    </w:p>
    <w:p>
      <w:pPr>
        <w:pStyle w:val="BodyText"/>
        <w:spacing w:line="295" w:lineRule="auto" w:before="65"/>
        <w:ind w:right="590"/>
      </w:pPr>
      <w:r>
        <w:rPr>
          <w:spacing w:val="-11"/>
        </w:rPr>
        <w:t>者吃药，若有了好转，是药物发挥了作用还是疾病自愈？若没有好转，是药不对症还是用量</w:t>
      </w:r>
      <w:r>
        <w:rPr/>
        <w:t>不足？这些问题，恐怕只有专业药师才能给出最权威的回答。</w:t>
      </w:r>
    </w:p>
    <w:p>
      <w:pPr>
        <w:pStyle w:val="BodyText"/>
        <w:spacing w:line="297" w:lineRule="auto" w:before="2"/>
        <w:ind w:right="587" w:firstLine="480"/>
        <w:jc w:val="both"/>
      </w:pPr>
      <w:r>
        <w:rPr>
          <w:spacing w:val="-9"/>
        </w:rPr>
        <w:t>医学中有一种被称为“处方瀑布”的现象，就是一种药物造成的不良反应被当成新的症</w:t>
      </w:r>
      <w:r>
        <w:rPr>
          <w:spacing w:val="-12"/>
        </w:rPr>
        <w:t>状，再用另一种药去“治疗”，结果出现了新的不良反应„„最终处方越来越多、患者状况 </w:t>
      </w:r>
      <w:r>
        <w:rPr>
          <w:spacing w:val="-8"/>
        </w:rPr>
        <w:t>却越来越糟糕。这就是药物治疗管理缺失时出现的一种极端情况。显然，如果有专业药师从</w:t>
      </w:r>
      <w:r>
        <w:rPr>
          <w:spacing w:val="-7"/>
        </w:rPr>
        <w:t>全局角度给予患者专业的用药指导，就完全可以避免这种情况的发生。正如北京市医管中心</w:t>
      </w:r>
      <w:r>
        <w:rPr/>
        <w:t>党委书记、主任潘苏彦所说：开设药学门诊的目的，就是为复杂用药患者解难题。</w:t>
      </w:r>
    </w:p>
    <w:p>
      <w:pPr>
        <w:pStyle w:val="BodyText"/>
        <w:spacing w:line="297" w:lineRule="auto"/>
        <w:ind w:right="587" w:firstLine="480"/>
        <w:jc w:val="both"/>
      </w:pPr>
      <w:r>
        <w:rPr>
          <w:spacing w:val="-10"/>
        </w:rPr>
        <w:t>那么，在医师门诊之外开设药学门诊，会不会给患者增加额外负担？实际恰恰相反。过</w:t>
      </w:r>
      <w:r>
        <w:rPr>
          <w:spacing w:val="-6"/>
        </w:rPr>
        <w:t>度用药和无效用药等不合理用药现象，是造成患者看病贵的重要原因之一。通过专业的药学</w:t>
      </w:r>
      <w:r>
        <w:rPr>
          <w:spacing w:val="-9"/>
        </w:rPr>
        <w:t>服务，患者用药更加精准，有效避免了医疗资源被无谓的浪费，给患者省钱，还可节省大量</w:t>
      </w:r>
      <w:r>
        <w:rPr>
          <w:spacing w:val="-13"/>
        </w:rPr>
        <w:t>医保资金。北京市医管中心的监测数据支持这一结论：相关监测显示，患者在药学门诊就诊</w:t>
      </w:r>
      <w:r>
        <w:rPr>
          <w:spacing w:val="-6"/>
        </w:rPr>
        <w:t>前后，例均减少用药品 </w:t>
      </w:r>
      <w:r>
        <w:rPr/>
        <w:t>0.5</w:t>
      </w:r>
      <w:r>
        <w:rPr>
          <w:spacing w:val="-12"/>
        </w:rPr>
        <w:t> 种，精简药物最多者由原来的 </w:t>
      </w:r>
      <w:r>
        <w:rPr/>
        <w:t>23</w:t>
      </w:r>
      <w:r>
        <w:rPr>
          <w:spacing w:val="-16"/>
        </w:rPr>
        <w:t> 种药物降低到 </w:t>
      </w:r>
      <w:r>
        <w:rPr/>
        <w:t>6</w:t>
      </w:r>
      <w:r>
        <w:rPr>
          <w:spacing w:val="-9"/>
        </w:rPr>
        <w:t> 种；患者半年</w:t>
      </w:r>
    </w:p>
    <w:p>
      <w:pPr>
        <w:spacing w:line="295" w:lineRule="auto" w:before="0"/>
        <w:ind w:left="1079" w:right="7436" w:hanging="483"/>
        <w:jc w:val="both"/>
        <w:rPr>
          <w:b/>
          <w:sz w:val="24"/>
        </w:rPr>
      </w:pPr>
      <w:r>
        <w:rPr>
          <w:spacing w:val="-9"/>
          <w:sz w:val="24"/>
        </w:rPr>
        <w:t>人均花费降低 </w:t>
      </w:r>
      <w:r>
        <w:rPr>
          <w:sz w:val="24"/>
        </w:rPr>
        <w:t>178.9</w:t>
      </w:r>
      <w:r>
        <w:rPr>
          <w:spacing w:val="-20"/>
          <w:sz w:val="24"/>
        </w:rPr>
        <w:t> 元。</w:t>
      </w:r>
      <w:r>
        <w:rPr>
          <w:b/>
          <w:spacing w:val="-20"/>
          <w:sz w:val="24"/>
        </w:rPr>
        <w:t>药师生产力怎么解放</w:t>
      </w:r>
    </w:p>
    <w:p>
      <w:pPr>
        <w:pStyle w:val="BodyText"/>
        <w:spacing w:line="297" w:lineRule="auto"/>
        <w:ind w:right="588" w:firstLine="480"/>
      </w:pPr>
      <w:r>
        <w:rPr>
          <w:spacing w:val="-10"/>
        </w:rPr>
        <w:t>“专业用药找药师！”北京在提出这一就医新理念的同时，也开辟了一条与医师门诊并</w:t>
      </w:r>
      <w:r>
        <w:rPr/>
        <w:t>行的服务通道。这无疑是对医疗服务供给侧格局的重大调整。</w:t>
      </w:r>
    </w:p>
    <w:p>
      <w:pPr>
        <w:pStyle w:val="BodyText"/>
        <w:spacing w:line="297" w:lineRule="auto"/>
        <w:ind w:right="587" w:firstLine="480"/>
        <w:jc w:val="both"/>
      </w:pPr>
      <w:r>
        <w:rPr>
          <w:spacing w:val="-11"/>
        </w:rPr>
        <w:t>首先，医学服务更精准了。开设药学门诊是对患者需求进行了更加精细的分解，从而实现更精准的服务。医生和药师毕竟术业有专攻，药学门诊把相当一部分存在用药困惑的患者</w:t>
      </w:r>
      <w:r>
        <w:rPr>
          <w:spacing w:val="-10"/>
        </w:rPr>
        <w:t>分流出来，由专业药师提供服务，同时也让医生把更多时间用于首诊和复查的患者。分工更</w:t>
      </w:r>
      <w:r>
        <w:rPr/>
        <w:t>明细，显然能提升医师、药师和医疗机构整体的服务效率。</w:t>
      </w:r>
    </w:p>
    <w:p>
      <w:pPr>
        <w:pStyle w:val="BodyText"/>
        <w:spacing w:line="297" w:lineRule="auto"/>
        <w:ind w:right="587" w:firstLine="480"/>
        <w:jc w:val="both"/>
      </w:pPr>
      <w:r>
        <w:rPr>
          <w:spacing w:val="-6"/>
        </w:rPr>
        <w:t>正如北京市医院管理中心相关负责人所介绍那样，患者遇到用药问题，返回诊室询问医</w:t>
      </w:r>
      <w:r>
        <w:rPr>
          <w:spacing w:val="-12"/>
        </w:rPr>
        <w:t>生不太现实。今后，患者如遇到用法用量这类简单的用药问题，可以在市属医院用药咨询中</w:t>
      </w:r>
      <w:r>
        <w:rPr>
          <w:spacing w:val="-9"/>
        </w:rPr>
        <w:t>心免费咨询；遇到多疾病合并用药、高风险药物、出现药物不良反应等复杂情况，则可以在药学门诊寻求帮助。</w:t>
      </w:r>
    </w:p>
    <w:p>
      <w:pPr>
        <w:pStyle w:val="BodyText"/>
        <w:spacing w:line="297" w:lineRule="auto"/>
        <w:ind w:right="469" w:firstLine="480"/>
      </w:pPr>
      <w:r>
        <w:rPr>
          <w:spacing w:val="-10"/>
        </w:rPr>
        <w:t>其次，药师生产力得到释放。当前，我国药师人才缺口巨大，而与之相对应的却是，大</w:t>
      </w:r>
      <w:r>
        <w:rPr>
          <w:spacing w:val="-14"/>
        </w:rPr>
        <w:t>量医院药师的工作仍然停留在药房发药这个层面上。这是对药师人力资源的极大浪费，与临</w:t>
      </w:r>
      <w:r>
        <w:rPr>
          <w:spacing w:val="-17"/>
        </w:rPr>
        <w:t>床对药师的现实需求严重背离。开设药学门诊后，药师与医师一样，利用自己专业知识向患</w:t>
      </w:r>
      <w:r>
        <w:rPr>
          <w:spacing w:val="-15"/>
        </w:rPr>
        <w:t>者提供服务。专业服务的平台，药师可以人尽其才，在患者需求得到满足的同时，也激励了</w:t>
      </w:r>
      <w:r>
        <w:rPr>
          <w:spacing w:val="-13"/>
        </w:rPr>
        <w:t>药师队伍。北京安贞医院药剂科主任林阳对此很有感触，她说：药学门诊开展以来，在服务</w:t>
      </w:r>
      <w:r>
        <w:rPr>
          <w:spacing w:val="-18"/>
        </w:rPr>
        <w:t>患者的同时，医院药师也在转型升级的道路上更进一步，专业能力和沟通能力都得到了提升， </w:t>
      </w:r>
      <w:r>
        <w:rPr/>
        <w:t>逐渐体现出了自身价值。</w:t>
      </w:r>
    </w:p>
    <w:p>
      <w:pPr>
        <w:pStyle w:val="Heading7"/>
        <w:spacing w:line="298" w:lineRule="exact"/>
        <w:rPr>
          <w:rFonts w:ascii="宋体" w:eastAsia="宋体" w:hint="eastAsia"/>
        </w:rPr>
      </w:pPr>
      <w:r>
        <w:rPr>
          <w:rFonts w:ascii="宋体" w:eastAsia="宋体" w:hint="eastAsia"/>
          <w:w w:val="95"/>
        </w:rPr>
        <w:t>需要大环境更多支持</w:t>
      </w:r>
    </w:p>
    <w:p>
      <w:pPr>
        <w:pStyle w:val="BodyText"/>
        <w:spacing w:line="297" w:lineRule="auto" w:before="52"/>
        <w:ind w:right="592" w:firstLine="480"/>
        <w:jc w:val="both"/>
      </w:pPr>
      <w:r>
        <w:rPr>
          <w:spacing w:val="-21"/>
        </w:rPr>
        <w:t>早在 </w:t>
      </w:r>
      <w:r>
        <w:rPr/>
        <w:t>2007</w:t>
      </w:r>
      <w:r>
        <w:rPr>
          <w:spacing w:val="-8"/>
        </w:rPr>
        <w:t> 年，原卫生部出台《处方管理办法》中就已明确，药师负责处方审核以及安全用药指导等工作；2018 年印发的《医疗机构处方审核规范》，更是直接明确了药师作为</w:t>
      </w:r>
      <w:r>
        <w:rPr>
          <w:spacing w:val="-15"/>
        </w:rPr>
        <w:t>处方审核第一责任人的地位。但长期以来，药师在医院里的“存在感”很低，主要在药房负</w:t>
      </w:r>
      <w:r>
        <w:rPr/>
        <w:t>责药品管理和发放相关的工作，与其专业特点极不匹配。</w:t>
      </w:r>
    </w:p>
    <w:p>
      <w:pPr>
        <w:pStyle w:val="BodyText"/>
        <w:spacing w:line="295" w:lineRule="auto"/>
        <w:ind w:right="587" w:firstLine="480"/>
      </w:pPr>
      <w:r>
        <w:rPr>
          <w:spacing w:val="-6"/>
        </w:rPr>
        <w:t>真正推动药师角色转变和药事服务转型的，正是医改的逐步深入。随着公立医院全面取</w:t>
      </w:r>
      <w:r>
        <w:rPr>
          <w:spacing w:val="-10"/>
        </w:rPr>
        <w:t>消药品加成，药房一夜之间从利润中心转为成本中心，医院药事部门被推到了变革的十字路</w:t>
      </w:r>
    </w:p>
    <w:p>
      <w:pPr>
        <w:spacing w:after="0" w:line="295" w:lineRule="auto"/>
        <w:sectPr>
          <w:pgSz w:w="11910" w:h="16850"/>
          <w:pgMar w:header="906" w:footer="607" w:top="1100" w:bottom="800" w:left="680" w:right="540"/>
        </w:sectPr>
      </w:pPr>
    </w:p>
    <w:p>
      <w:pPr>
        <w:pStyle w:val="BodyText"/>
        <w:spacing w:line="297" w:lineRule="auto" w:before="65"/>
        <w:ind w:right="587"/>
        <w:jc w:val="both"/>
      </w:pPr>
      <w:r>
        <w:rPr>
          <w:spacing w:val="-9"/>
        </w:rPr>
        <w:t>口。国家卫生健康委卫生发展研究中心药物政策研究室主任傅鸿鹏指出：药房改革应当、也</w:t>
      </w:r>
      <w:r>
        <w:rPr>
          <w:spacing w:val="-6"/>
        </w:rPr>
        <w:t>可以把药师从繁重的调剂任务中解放出来，重点发挥其专业能力。南京中医药大学教授田侃</w:t>
      </w:r>
      <w:r>
        <w:rPr>
          <w:spacing w:val="-8"/>
        </w:rPr>
        <w:t>的表述则更为明确：我国医院药学服务的发展方向，就是走向临床、直接参与临床治疗和决</w:t>
      </w:r>
      <w:r>
        <w:rPr/>
        <w:t>策。</w:t>
      </w:r>
    </w:p>
    <w:p>
      <w:pPr>
        <w:pStyle w:val="BodyText"/>
        <w:spacing w:line="297" w:lineRule="auto"/>
        <w:ind w:right="587" w:firstLine="480"/>
      </w:pPr>
      <w:r>
        <w:rPr/>
        <w:t>在这一方向上，北京的改革步子扎实而笃定。2012</w:t>
      </w:r>
      <w:r>
        <w:rPr>
          <w:spacing w:val="-8"/>
        </w:rPr>
        <w:t> 年，北京朝阳医院就在全国率先聘任了总药师，负责医院药事管理工作，促进药事管理垂直化、专业化。2016</w:t>
      </w:r>
      <w:r>
        <w:rPr>
          <w:spacing w:val="-9"/>
        </w:rPr>
        <w:t> 年，原北京市</w:t>
      </w:r>
      <w:r>
        <w:rPr>
          <w:spacing w:val="-15"/>
        </w:rPr>
        <w:t>医院管理局成立了总药师委员会，旨在打造市医管局药事管理智囊团，为药事管理提供决策</w:t>
      </w:r>
      <w:r>
        <w:rPr/>
        <w:t>支持。2017</w:t>
      </w:r>
      <w:r>
        <w:rPr>
          <w:spacing w:val="-41"/>
        </w:rPr>
        <w:t> 年 </w:t>
      </w:r>
      <w:r>
        <w:rPr/>
        <w:t>4</w:t>
      </w:r>
      <w:r>
        <w:rPr>
          <w:spacing w:val="-8"/>
        </w:rPr>
        <w:t> 月，北京拉开医药分开综合改革大幕。作为改革亮点的医事服务费，时任</w:t>
      </w:r>
      <w:r>
        <w:rPr>
          <w:spacing w:val="-14"/>
        </w:rPr>
        <w:t>北京市卫生计生委副主任的钟东波就曾表示：其内涵包含了药师服务的费用。这可看作是为</w:t>
      </w:r>
      <w:r>
        <w:rPr/>
        <w:t>今天开设药学门诊埋下的伏笔。</w:t>
      </w:r>
    </w:p>
    <w:p>
      <w:pPr>
        <w:pStyle w:val="BodyText"/>
        <w:spacing w:line="297" w:lineRule="auto"/>
        <w:ind w:right="470" w:firstLine="480"/>
      </w:pPr>
      <w:r>
        <w:rPr>
          <w:spacing w:val="-6"/>
        </w:rPr>
        <w:t>循着这一脉络我们不难发现，北京市属医院设置药学门诊，是把药事服务推向临床的最</w:t>
      </w:r>
      <w:r>
        <w:rPr>
          <w:spacing w:val="-18"/>
        </w:rPr>
        <w:t>新步骤，也是最为大胆、最为关键的一步。药学门诊的顺利推行还要闯过患者就医习惯转变、</w:t>
      </w:r>
      <w:r>
        <w:rPr>
          <w:spacing w:val="-7"/>
        </w:rPr>
        <w:t>药师能力提升、医院内部分配和外部补偿机制的建立等诸多“难关”待闯。我们期待这项改</w:t>
      </w:r>
    </w:p>
    <w:p>
      <w:pPr>
        <w:pStyle w:val="BodyText"/>
        <w:spacing w:line="358" w:lineRule="exact"/>
        <w:rPr>
          <w:rFonts w:ascii="Microsoft JhengHei" w:eastAsia="Microsoft JhengHei" w:hint="eastAsia"/>
          <w:b/>
        </w:rPr>
      </w:pPr>
      <w:r>
        <w:rPr/>
        <w:t>革能为全国公立医院药学服务转型发展趟出一条路子。</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Heading1"/>
        <w:spacing w:before="29"/>
        <w:ind w:left="4"/>
        <w:rPr>
          <w:u w:val="none"/>
        </w:rPr>
      </w:pPr>
      <w:bookmarkStart w:name="_TOC_250025" w:id="7"/>
      <w:r>
        <w:rPr>
          <w:rFonts w:ascii="Times New Roman" w:eastAsia="Times New Roman"/>
          <w:color w:val="008000"/>
          <w:spacing w:val="-110"/>
          <w:w w:val="99"/>
          <w:u w:val="thick" w:color="008000"/>
        </w:rPr>
        <w:t> </w:t>
      </w:r>
      <w:bookmarkEnd w:id="7"/>
      <w:r>
        <w:rPr>
          <w:color w:val="008000"/>
          <w:u w:val="thick" w:color="008000"/>
        </w:rPr>
        <w:t>行业资讯</w:t>
      </w:r>
    </w:p>
    <w:p>
      <w:pPr>
        <w:pStyle w:val="Heading2"/>
        <w:spacing w:before="143"/>
      </w:pPr>
      <w:bookmarkStart w:name="_TOC_250024" w:id="8"/>
      <w:bookmarkEnd w:id="8"/>
      <w:r>
        <w:rPr/>
        <w:t>【热点聚焦】</w:t>
      </w:r>
    </w:p>
    <w:p>
      <w:pPr>
        <w:pStyle w:val="BodyText"/>
        <w:spacing w:before="11"/>
        <w:ind w:left="0"/>
        <w:rPr>
          <w:b/>
          <w:sz w:val="22"/>
        </w:rPr>
      </w:pPr>
    </w:p>
    <w:p>
      <w:pPr>
        <w:pStyle w:val="Heading2"/>
        <w:spacing w:before="1"/>
        <w:ind w:left="2"/>
        <w:jc w:val="center"/>
      </w:pPr>
      <w:bookmarkStart w:name="_TOC_250023" w:id="9"/>
      <w:bookmarkEnd w:id="9"/>
      <w:r>
        <w:rPr/>
        <w:t>关于尽快设立药事服务费政策的提案的答复</w:t>
      </w:r>
    </w:p>
    <w:p>
      <w:pPr>
        <w:pStyle w:val="Heading7"/>
        <w:spacing w:before="145"/>
        <w:ind w:left="0" w:right="588"/>
        <w:jc w:val="right"/>
      </w:pPr>
      <w:r>
        <w:rPr>
          <w:color w:val="FF0000"/>
          <w:w w:val="95"/>
        </w:rPr>
        <w:t>（来源：临床药师网）</w:t>
      </w:r>
    </w:p>
    <w:p>
      <w:pPr>
        <w:pStyle w:val="BodyText"/>
        <w:spacing w:before="64"/>
        <w:ind w:left="487"/>
        <w:jc w:val="center"/>
        <w:rPr>
          <w:rFonts w:ascii="微软雅黑" w:eastAsia="微软雅黑" w:hint="eastAsia"/>
        </w:rPr>
      </w:pPr>
      <w:r>
        <w:rPr>
          <w:rFonts w:ascii="微软雅黑" w:eastAsia="微软雅黑" w:hint="eastAsia"/>
        </w:rPr>
        <w:t>国家医疗保障局关于政协十三届全国委员会第二次会议</w:t>
      </w:r>
    </w:p>
    <w:p>
      <w:pPr>
        <w:spacing w:before="121"/>
        <w:ind w:left="477" w:right="0" w:firstLine="0"/>
        <w:jc w:val="center"/>
        <w:rPr>
          <w:rFonts w:ascii="仿宋" w:eastAsia="仿宋" w:hint="eastAsia"/>
          <w:b/>
          <w:sz w:val="15"/>
        </w:rPr>
      </w:pPr>
      <w:r>
        <w:rPr>
          <w:rFonts w:ascii="仿宋" w:eastAsia="仿宋" w:hint="eastAsia"/>
          <w:b/>
          <w:sz w:val="15"/>
        </w:rPr>
        <w:t>第 3511 号（医疗体育类 391 号）提案答复的函</w:t>
      </w:r>
    </w:p>
    <w:p>
      <w:pPr>
        <w:pStyle w:val="BodyText"/>
        <w:spacing w:before="11"/>
        <w:ind w:left="0"/>
        <w:rPr>
          <w:rFonts w:ascii="仿宋"/>
          <w:b/>
          <w:sz w:val="15"/>
        </w:rPr>
      </w:pPr>
    </w:p>
    <w:p>
      <w:pPr>
        <w:spacing w:before="0"/>
        <w:ind w:left="476" w:right="0" w:firstLine="0"/>
        <w:jc w:val="center"/>
        <w:rPr>
          <w:rFonts w:ascii="仿宋" w:eastAsia="仿宋" w:hint="eastAsia"/>
          <w:b/>
          <w:sz w:val="15"/>
        </w:rPr>
      </w:pPr>
      <w:r>
        <w:rPr>
          <w:rFonts w:ascii="仿宋" w:eastAsia="仿宋" w:hint="eastAsia"/>
          <w:b/>
          <w:sz w:val="15"/>
        </w:rPr>
        <w:t>医保函〔2019〕123 号</w:t>
      </w:r>
    </w:p>
    <w:p>
      <w:pPr>
        <w:pStyle w:val="BodyText"/>
        <w:spacing w:before="9"/>
        <w:ind w:left="0"/>
        <w:rPr>
          <w:rFonts w:ascii="仿宋"/>
          <w:b/>
          <w:sz w:val="17"/>
        </w:rPr>
      </w:pPr>
    </w:p>
    <w:p>
      <w:pPr>
        <w:pStyle w:val="BodyText"/>
        <w:ind w:left="1077"/>
      </w:pPr>
      <w:r>
        <w:rPr/>
        <w:t>吴智深等 2 位委员：</w:t>
      </w:r>
    </w:p>
    <w:p>
      <w:pPr>
        <w:spacing w:line="295" w:lineRule="auto" w:before="72"/>
        <w:ind w:left="1079" w:right="2407" w:hanging="3"/>
        <w:jc w:val="left"/>
        <w:rPr>
          <w:b/>
          <w:sz w:val="24"/>
        </w:rPr>
      </w:pPr>
      <w:r>
        <w:rPr>
          <w:sz w:val="24"/>
        </w:rPr>
        <w:t>你们提出的关于尽快设立药事服务费政策的提案收悉，现答复如下： </w:t>
      </w:r>
      <w:r>
        <w:rPr>
          <w:b/>
          <w:sz w:val="24"/>
        </w:rPr>
        <w:t>一、关于明确药事服务费定义和内涵并尽快落实收费</w:t>
      </w:r>
    </w:p>
    <w:p>
      <w:pPr>
        <w:pStyle w:val="BodyText"/>
        <w:spacing w:line="297" w:lineRule="auto" w:before="5"/>
        <w:ind w:right="588" w:firstLine="480"/>
      </w:pPr>
      <w:r>
        <w:rPr/>
        <w:t>科学的药事服务对促进合理用药、服务大众健康和提高医疗资源使用效率具有重要作</w:t>
      </w:r>
      <w:r>
        <w:rPr>
          <w:spacing w:val="-10"/>
        </w:rPr>
        <w:t>用，也是体现药师专业技术价值、稳定药师队伍的重要途径。虽然药事服务长期以来在法律</w:t>
      </w:r>
      <w:r>
        <w:rPr>
          <w:spacing w:val="-7"/>
        </w:rPr>
        <w:t>层面缺乏清晰统一的界定，各地实践也存在极大差异，但从鼓励和支持药学发展出发，国家</w:t>
      </w:r>
      <w:r>
        <w:rPr/>
        <w:t>一贯鼓励并指导各地结合实际，通过适当方式体现公立医疗机构药事服务价值。</w:t>
      </w:r>
    </w:p>
    <w:p>
      <w:pPr>
        <w:pStyle w:val="BodyText"/>
        <w:spacing w:line="297" w:lineRule="auto"/>
        <w:ind w:right="487" w:firstLine="480"/>
      </w:pPr>
      <w:r>
        <w:rPr/>
        <w:t>中共中央、国务院印发《关于深化医药卫生体制改革的意见》（中发〔2009〕6</w:t>
      </w:r>
      <w:r>
        <w:rPr>
          <w:spacing w:val="-30"/>
        </w:rPr>
        <w:t> 号</w:t>
      </w:r>
      <w:r>
        <w:rPr/>
        <w:t>）， </w:t>
      </w:r>
      <w:r>
        <w:rPr>
          <w:spacing w:val="-11"/>
        </w:rPr>
        <w:t>提出“通过实行药品购销差别加价、设立药事服务费等多种方式逐步改革或取消药品加成政</w:t>
      </w:r>
      <w:r>
        <w:rPr>
          <w:spacing w:val="-12"/>
        </w:rPr>
        <w:t>策”，政策设计的初衷是为了改变公立医院销售药品的加成方式。过去公立医院销售药品， </w:t>
      </w:r>
      <w:r>
        <w:rPr>
          <w:spacing w:val="-7"/>
        </w:rPr>
        <w:t>可以药品价格为基础、按比例获得加成收入，存在多用药、用贵药的问题。当时提出药事服</w:t>
      </w:r>
      <w:r>
        <w:rPr>
          <w:spacing w:val="-11"/>
        </w:rPr>
        <w:t>务费的实质是，将药品加成方式调整为以服务次数为基础、按固定金额加成，减少经济因素对用药行为的诱导，为破除“以药补医”机制创造条件。</w:t>
      </w:r>
    </w:p>
    <w:p>
      <w:pPr>
        <w:spacing w:after="0" w:line="297" w:lineRule="auto"/>
        <w:sectPr>
          <w:pgSz w:w="11910" w:h="16850"/>
          <w:pgMar w:header="906" w:footer="607" w:top="1100" w:bottom="800" w:left="680" w:right="540"/>
        </w:sectPr>
      </w:pPr>
    </w:p>
    <w:p>
      <w:pPr>
        <w:pStyle w:val="BodyText"/>
        <w:spacing w:line="297" w:lineRule="auto" w:before="65"/>
        <w:ind w:right="587" w:firstLine="480"/>
      </w:pPr>
      <w:r>
        <w:rPr>
          <w:spacing w:val="-8"/>
        </w:rPr>
        <w:t>随着各地探索实践和医改的不断深入，推进公立医院补偿机制改革的政策安排也在逐步</w:t>
      </w:r>
      <w:r>
        <w:rPr/>
        <w:t>调整完善。2015</w:t>
      </w:r>
      <w:r>
        <w:rPr>
          <w:spacing w:val="-8"/>
        </w:rPr>
        <w:t> 年，国务院办公厅印发《关于城市公立医院综合改革试点的指导意见》， </w:t>
      </w:r>
      <w:r>
        <w:rPr>
          <w:spacing w:val="-14"/>
        </w:rPr>
        <w:t>提出城市公立医院综合改革的基本路径是“建立公立医院科学补偿机制，以破除以药补医机</w:t>
      </w:r>
      <w:r>
        <w:rPr>
          <w:spacing w:val="-8"/>
        </w:rPr>
        <w:t>制为关键环节，通过降低药品耗材费用、取消药品加成、深化医保支付方式改革、规范药品</w:t>
      </w:r>
      <w:r>
        <w:rPr>
          <w:spacing w:val="-14"/>
        </w:rPr>
        <w:t>使用和医疗行为等措施，留出空间，同步理顺公立医院医疗服务价格”。按照党中央、国务</w:t>
      </w:r>
      <w:r>
        <w:rPr/>
        <w:t>院决策部署，2017</w:t>
      </w:r>
      <w:r>
        <w:rPr>
          <w:spacing w:val="-41"/>
        </w:rPr>
        <w:t> 年 </w:t>
      </w:r>
      <w:r>
        <w:rPr/>
        <w:t>9</w:t>
      </w:r>
      <w:r>
        <w:rPr>
          <w:spacing w:val="-8"/>
        </w:rPr>
        <w:t> 月各地已全部取消公立医院药品加成，减少的合理收入已通过调整</w:t>
      </w:r>
      <w:r>
        <w:rPr>
          <w:spacing w:val="-13"/>
        </w:rPr>
        <w:t>医疗服务价格、增加财政投入等方式进行补偿。药事服务收入随着取消加成同步平移，分摊</w:t>
      </w:r>
      <w:r>
        <w:rPr>
          <w:spacing w:val="-8"/>
        </w:rPr>
        <w:t>计入到医疗服务价格中，主要内化为医疗机构内部收入分配问题，对于药事服务项目中针对</w:t>
      </w:r>
      <w:r>
        <w:rPr/>
        <w:t>特定患者的直接服务，从各地实践来看有些已单独设立了收费项目。</w:t>
      </w:r>
    </w:p>
    <w:p>
      <w:pPr>
        <w:pStyle w:val="BodyText"/>
        <w:spacing w:line="297" w:lineRule="auto"/>
        <w:ind w:right="587" w:firstLine="480"/>
        <w:jc w:val="both"/>
      </w:pPr>
      <w:r>
        <w:rPr>
          <w:spacing w:val="-6"/>
        </w:rPr>
        <w:t>对于现阶段药事服务作为独立项目向患者收费的问题，确实存在一些制约。一是药学服务目前尚没有形成支撑收费的服务体系。无论是法律法规、行业标准，还是实际操作层面都尚未形成规范明晰的服务体系和考核标准，有的服务被信息系统、电子平台所替代，前期调研过程中我们也随机访问了一些患者，均表示除药品发放、处方校对、简单指导等所谓服务</w:t>
      </w:r>
      <w:r>
        <w:rPr>
          <w:spacing w:val="-10"/>
        </w:rPr>
        <w:t>外，感受不到药事服务的具体价值，明确表示不接受此项收费。二是没有承受药事服务费的空间。医疗服务价格改革是总量控制下的结构调整，既要考虑医院发展可持续，也要考虑医保可负担，群众可承受。而药事服务费是一种按人头收费，被动消费，量大面广，对全社会医药费用总支出及医保总支出的影响较大。</w:t>
      </w:r>
    </w:p>
    <w:p>
      <w:pPr>
        <w:pStyle w:val="BodyText"/>
        <w:spacing w:line="297" w:lineRule="auto"/>
        <w:ind w:right="487" w:firstLine="480"/>
      </w:pPr>
      <w:r>
        <w:rPr/>
        <w:t>你们提出的对药学专业技术成本给予合理补偿的建议，对我们开展相关工作很有启发。我们将开展相关服务项目收费政策专题研究，探索适宜的收付费方式，激励药学人员在促进合理用药、减少资源浪费等方面发挥积极作用。</w:t>
      </w:r>
    </w:p>
    <w:p>
      <w:pPr>
        <w:pStyle w:val="Heading7"/>
        <w:spacing w:line="304" w:lineRule="exact"/>
        <w:rPr>
          <w:rFonts w:ascii="宋体" w:eastAsia="宋体" w:hint="eastAsia"/>
        </w:rPr>
      </w:pPr>
      <w:r>
        <w:rPr>
          <w:rFonts w:ascii="宋体" w:eastAsia="宋体" w:hint="eastAsia"/>
        </w:rPr>
        <w:t>二、关于规范药学服务标准</w:t>
      </w:r>
    </w:p>
    <w:p>
      <w:pPr>
        <w:pStyle w:val="BodyText"/>
        <w:spacing w:line="297" w:lineRule="auto" w:before="51"/>
        <w:ind w:right="588" w:firstLine="480"/>
        <w:jc w:val="both"/>
      </w:pPr>
      <w:r>
        <w:rPr/>
        <w:t>2018</w:t>
      </w:r>
      <w:r>
        <w:rPr>
          <w:spacing w:val="-14"/>
        </w:rPr>
        <w:t> 年国家卫生健康委联合国家中医药管理局、中央军委后勤保障部 </w:t>
      </w:r>
      <w:r>
        <w:rPr/>
        <w:t>3</w:t>
      </w:r>
      <w:r>
        <w:rPr>
          <w:spacing w:val="-21"/>
        </w:rPr>
        <w:t> 部门印发了《医</w:t>
      </w:r>
      <w:r>
        <w:rPr>
          <w:spacing w:val="-9"/>
        </w:rPr>
        <w:t>疗机构处方审核规范》，对药师审核处方进行了明确规定；另外，国家卫生健康委联合国家</w:t>
      </w:r>
      <w:r>
        <w:rPr>
          <w:spacing w:val="-8"/>
        </w:rPr>
        <w:t>中医药管理局印发了《关于加快药学服务高质量发展的意见》，对完善药学服务模式、提供</w:t>
      </w:r>
      <w:r>
        <w:rPr/>
        <w:t>专科化的临床药学服务提出了工作要求。</w:t>
      </w:r>
    </w:p>
    <w:p>
      <w:pPr>
        <w:pStyle w:val="BodyText"/>
        <w:spacing w:line="297" w:lineRule="auto"/>
        <w:ind w:right="469" w:firstLine="480"/>
      </w:pPr>
      <w:r>
        <w:rPr>
          <w:spacing w:val="-6"/>
        </w:rPr>
        <w:t>你们提出的尽快出台规范的药学服务标准，明确医疗机构药师所应提供的基本药学服务</w:t>
      </w:r>
      <w:r>
        <w:rPr>
          <w:spacing w:val="-17"/>
        </w:rPr>
        <w:t>的内容，我们十分赞同。下一步，国家有关部门将继续推进药学服务的标准化和规范化建设， </w:t>
      </w:r>
      <w:r>
        <w:rPr>
          <w:spacing w:val="-4"/>
        </w:rPr>
        <w:t>探索开展药学服务行业标准和国家标准的制订，促进人民群众获得标准化、规范化、路径化的药学服务。</w:t>
      </w:r>
    </w:p>
    <w:p>
      <w:pPr>
        <w:pStyle w:val="BodyText"/>
        <w:spacing w:line="356" w:lineRule="exact"/>
        <w:ind w:left="1077"/>
        <w:rPr>
          <w:rFonts w:ascii="Microsoft JhengHei" w:eastAsia="Microsoft JhengHei" w:hint="eastAsia"/>
          <w:b/>
        </w:rPr>
      </w:pPr>
      <w:r>
        <w:rPr/>
        <w:t>感谢你们对医疗保障工作的关注和支持，希望你们一如既往支持我们的工作。</w:t>
      </w:r>
      <w:r>
        <w:rPr>
          <w:rFonts w:ascii="Microsoft JhengHei" w:eastAsia="Microsoft JhengHei" w:hint="eastAsia"/>
          <w:b/>
          <w:color w:val="0033CC"/>
          <w:w w:val="120"/>
        </w:rPr>
        <w:t>[</w:t>
      </w:r>
      <w:r>
        <w:rPr>
          <w:rFonts w:ascii="Microsoft JhengHei" w:eastAsia="Microsoft JhengHei" w:hint="eastAsia"/>
          <w:b/>
          <w:color w:val="0033CC"/>
        </w:rPr>
        <w:t>返回目</w:t>
      </w:r>
    </w:p>
    <w:p>
      <w:pPr>
        <w:pStyle w:val="Heading7"/>
        <w:spacing w:line="377" w:lineRule="exact"/>
        <w:ind w:left="597"/>
        <w:rPr>
          <w:rFonts w:ascii="Microsoft JhengHei" w:eastAsia="Microsoft JhengHei" w:hint="eastAsia"/>
        </w:rPr>
      </w:pPr>
      <w:r>
        <w:rPr>
          <w:rFonts w:ascii="Microsoft JhengHei" w:eastAsia="Microsoft JhengHei" w:hint="eastAsia"/>
          <w:color w:val="0033CC"/>
          <w:w w:val="120"/>
        </w:rPr>
        <w:t>次]</w:t>
      </w:r>
    </w:p>
    <w:p>
      <w:pPr>
        <w:pStyle w:val="BodyText"/>
        <w:spacing w:before="10"/>
        <w:ind w:left="0"/>
        <w:rPr>
          <w:rFonts w:ascii="Microsoft JhengHei"/>
          <w:b/>
          <w:sz w:val="10"/>
        </w:rPr>
      </w:pPr>
    </w:p>
    <w:p>
      <w:pPr>
        <w:spacing w:after="0"/>
        <w:rPr>
          <w:rFonts w:ascii="Microsoft JhengHei"/>
          <w:sz w:val="10"/>
        </w:rPr>
        <w:sectPr>
          <w:pgSz w:w="11910" w:h="16850"/>
          <w:pgMar w:header="906" w:footer="607" w:top="1100" w:bottom="800" w:left="680" w:right="540"/>
        </w:sectPr>
      </w:pPr>
    </w:p>
    <w:p>
      <w:pPr>
        <w:pStyle w:val="Heading2"/>
        <w:spacing w:before="55"/>
        <w:ind w:left="3338"/>
      </w:pPr>
      <w:bookmarkStart w:name="_TOC_250022" w:id="10"/>
      <w:bookmarkEnd w:id="10"/>
      <w:r>
        <w:rPr>
          <w:spacing w:val="-3"/>
        </w:rPr>
        <w:t>医保费用监控 效用可以更大</w:t>
      </w:r>
    </w:p>
    <w:p>
      <w:pPr>
        <w:pStyle w:val="BodyText"/>
        <w:ind w:left="0"/>
        <w:rPr>
          <w:b/>
        </w:rPr>
      </w:pPr>
      <w:r>
        <w:rPr/>
        <w:br w:type="column"/>
      </w:r>
      <w:r>
        <w:rPr>
          <w:b/>
        </w:rPr>
      </w:r>
    </w:p>
    <w:p>
      <w:pPr>
        <w:pStyle w:val="BodyText"/>
        <w:spacing w:before="8"/>
        <w:ind w:left="0"/>
        <w:rPr>
          <w:b/>
          <w:sz w:val="23"/>
        </w:rPr>
      </w:pPr>
    </w:p>
    <w:p>
      <w:pPr>
        <w:spacing w:before="0"/>
        <w:ind w:left="774"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680" w:right="540"/>
          <w:cols w:num="2" w:equalWidth="0">
            <w:col w:w="7354" w:space="40"/>
            <w:col w:w="3296"/>
          </w:cols>
        </w:sectPr>
      </w:pPr>
    </w:p>
    <w:p>
      <w:pPr>
        <w:pStyle w:val="BodyText"/>
        <w:spacing w:line="297" w:lineRule="auto" w:before="98"/>
        <w:ind w:right="588" w:firstLine="480"/>
        <w:jc w:val="both"/>
      </w:pPr>
      <w:r>
        <w:rPr>
          <w:spacing w:val="-7"/>
        </w:rPr>
        <w:t>医疗费用是医疗行为的价值体现。通过简洁直观的费用监控来监管个体化、多样化的医疗行为是医院医保管理的通常做法，也是医院精细化管理的必备工具。医保费用监控的目标</w:t>
      </w:r>
      <w:r>
        <w:rPr>
          <w:spacing w:val="-11"/>
        </w:rPr>
        <w:t>有三个：一是评估医院可获得医保资金的构成和院内配置；二是对运行病例的实时监管和干</w:t>
      </w:r>
      <w:r>
        <w:rPr/>
        <w:t>预；三是以患者为中心的全流程服务监管。</w:t>
      </w:r>
    </w:p>
    <w:p>
      <w:pPr>
        <w:spacing w:after="0" w:line="297" w:lineRule="auto"/>
        <w:jc w:val="both"/>
        <w:sectPr>
          <w:type w:val="continuous"/>
          <w:pgSz w:w="11910" w:h="16850"/>
          <w:pgMar w:top="1100" w:bottom="1020" w:left="680" w:right="540"/>
        </w:sectPr>
      </w:pPr>
    </w:p>
    <w:p>
      <w:pPr>
        <w:pStyle w:val="Heading7"/>
        <w:spacing w:before="65"/>
        <w:rPr>
          <w:rFonts w:ascii="宋体" w:eastAsia="宋体" w:hint="eastAsia"/>
        </w:rPr>
      </w:pPr>
      <w:r>
        <w:rPr>
          <w:rFonts w:ascii="宋体" w:eastAsia="宋体" w:hint="eastAsia"/>
        </w:rPr>
        <w:t>医保基金如同其他医疗资源一样，应定期进行配置效率评估</w:t>
      </w:r>
    </w:p>
    <w:p>
      <w:pPr>
        <w:pStyle w:val="BodyText"/>
        <w:spacing w:line="297" w:lineRule="auto" w:before="72"/>
        <w:ind w:right="590" w:firstLine="480"/>
        <w:jc w:val="both"/>
      </w:pPr>
      <w:r>
        <w:rPr>
          <w:spacing w:val="-4"/>
        </w:rPr>
        <w:t>医保费用监控系统至少应该能够清晰地展示出年度以及历史的医保资金分布</w:t>
      </w:r>
      <w:r>
        <w:rPr/>
        <w:t>（</w:t>
      </w:r>
      <w:r>
        <w:rPr>
          <w:spacing w:val="-5"/>
        </w:rPr>
        <w:t>住院和门</w:t>
      </w:r>
      <w:r>
        <w:rPr/>
        <w:t>急诊</w:t>
      </w:r>
      <w:r>
        <w:rPr>
          <w:spacing w:val="-12"/>
        </w:rPr>
        <w:t>）</w:t>
      </w:r>
      <w:r>
        <w:rPr>
          <w:spacing w:val="-5"/>
        </w:rPr>
        <w:t>、项目分类</w:t>
      </w:r>
      <w:r>
        <w:rPr/>
        <w:t>（</w:t>
      </w:r>
      <w:r>
        <w:rPr>
          <w:spacing w:val="-3"/>
        </w:rPr>
        <w:t>药品、耗材等</w:t>
      </w:r>
      <w:r>
        <w:rPr>
          <w:spacing w:val="-12"/>
        </w:rPr>
        <w:t>）</w:t>
      </w:r>
      <w:r>
        <w:rPr>
          <w:spacing w:val="-8"/>
        </w:rPr>
        <w:t>、科室</w:t>
      </w:r>
      <w:r>
        <w:rPr/>
        <w:t>（或学科</w:t>
      </w:r>
      <w:r>
        <w:rPr>
          <w:spacing w:val="-12"/>
        </w:rPr>
        <w:t>）</w:t>
      </w:r>
      <w:r>
        <w:rPr>
          <w:spacing w:val="-3"/>
        </w:rPr>
        <w:t>配置等基础数据，这是医保每年申报</w:t>
      </w:r>
      <w:r>
        <w:rPr/>
        <w:t>总额预付基金的依据，也是年度财务运营分析、科室绩效分配以及重大经营决策的根据。</w:t>
      </w:r>
    </w:p>
    <w:p>
      <w:pPr>
        <w:pStyle w:val="BodyText"/>
        <w:spacing w:line="297" w:lineRule="auto"/>
        <w:ind w:right="466" w:firstLine="480"/>
      </w:pPr>
      <w:r>
        <w:rPr/>
        <w:t>一般而言，如果费用构成中门诊费用占比或者药品耗材占比较高，以及“可支配收入” </w:t>
      </w:r>
      <w:r>
        <w:rPr>
          <w:spacing w:val="-12"/>
        </w:rPr>
        <w:t>较低等状况都是值得警惕而需要认真分析的。此外，这些基础数据还可能会带来意外的收获。</w:t>
      </w:r>
      <w:r>
        <w:rPr>
          <w:spacing w:val="-10"/>
        </w:rPr>
        <w:t>譬如，某些资源消耗较多的科室往往运营效率并不高，而一些重点发展学科消耗的医保基金反而并不多。这些都是非常基本的数据展示，但对管理决策来说非常重要。</w:t>
      </w:r>
    </w:p>
    <w:p>
      <w:pPr>
        <w:pStyle w:val="BodyText"/>
        <w:spacing w:line="302" w:lineRule="exact"/>
        <w:ind w:left="1077"/>
      </w:pPr>
      <w:r>
        <w:rPr/>
        <w:t>对于运行病例的监管和干预是当前医保管理的热点，因为事前干预总比事后惩处更有意</w:t>
      </w:r>
    </w:p>
    <w:p>
      <w:pPr>
        <w:pStyle w:val="BodyText"/>
        <w:spacing w:before="70"/>
      </w:pPr>
      <w:r>
        <w:rPr/>
        <w:t>义</w:t>
      </w:r>
    </w:p>
    <w:p>
      <w:pPr>
        <w:pStyle w:val="Heading7"/>
        <w:spacing w:before="72"/>
        <w:rPr>
          <w:rFonts w:ascii="宋体" w:eastAsia="宋体" w:hint="eastAsia"/>
        </w:rPr>
      </w:pPr>
      <w:r>
        <w:rPr>
          <w:rFonts w:ascii="宋体" w:eastAsia="宋体" w:hint="eastAsia"/>
        </w:rPr>
        <w:t>具体做法主要是在医院 HIS 系统内预设各项指标，嵌入警示或拦截功能等。</w:t>
      </w:r>
    </w:p>
    <w:p>
      <w:pPr>
        <w:pStyle w:val="BodyText"/>
        <w:spacing w:before="72"/>
        <w:ind w:left="1077"/>
      </w:pPr>
      <w:r>
        <w:rPr/>
        <w:t>第一，利用信息化手段将医保相关政策有机地嵌入系统，减少临床医生使用时的政策选</w:t>
      </w:r>
    </w:p>
    <w:p>
      <w:pPr>
        <w:pStyle w:val="BodyText"/>
        <w:spacing w:before="74"/>
      </w:pPr>
      <w:r>
        <w:rPr/>
        <w:t>择和判断性差错。</w:t>
      </w:r>
    </w:p>
    <w:p>
      <w:pPr>
        <w:pStyle w:val="BodyText"/>
        <w:spacing w:line="295" w:lineRule="auto" w:before="72"/>
        <w:ind w:right="587" w:firstLine="480"/>
      </w:pPr>
      <w:r>
        <w:rPr>
          <w:spacing w:val="-10"/>
        </w:rPr>
        <w:t>第二，根据科别预设超额费用、超常住院天数等指标来警示临床医生，提示管理部门提</w:t>
      </w:r>
      <w:r>
        <w:rPr/>
        <w:t>前关注，早期干预。</w:t>
      </w:r>
    </w:p>
    <w:p>
      <w:pPr>
        <w:pStyle w:val="BodyText"/>
        <w:spacing w:line="295" w:lineRule="auto" w:before="4"/>
        <w:ind w:right="587" w:firstLine="480"/>
        <w:jc w:val="both"/>
      </w:pPr>
      <w:r>
        <w:rPr>
          <w:spacing w:val="-12"/>
        </w:rPr>
        <w:t>第三，对于贵重药品、高值耗材以及某些容易造成医保拒付或需要重点监控的项目进行</w:t>
      </w:r>
      <w:r>
        <w:rPr>
          <w:spacing w:val="-11"/>
        </w:rPr>
        <w:t>警示、监控功能。当然，对于某些被界定为“骗保”的患者进行重点关注，这样的做法还有</w:t>
      </w:r>
      <w:r>
        <w:rPr/>
        <w:t>待法律及人文方面的进一步探讨。</w:t>
      </w:r>
    </w:p>
    <w:p>
      <w:pPr>
        <w:pStyle w:val="BodyText"/>
        <w:spacing w:line="295" w:lineRule="auto" w:before="6"/>
        <w:ind w:right="587" w:firstLine="480"/>
      </w:pPr>
      <w:r>
        <w:rPr>
          <w:spacing w:val="-10"/>
        </w:rPr>
        <w:t>第四，其他诸如医保适应证选择、重复用药以及开药量限制等基本的警示、拦截功能设</w:t>
      </w:r>
      <w:r>
        <w:rPr/>
        <w:t>置，有助于减少医生的医疗差错。</w:t>
      </w:r>
    </w:p>
    <w:p>
      <w:pPr>
        <w:pStyle w:val="BodyText"/>
        <w:spacing w:line="297" w:lineRule="auto" w:before="2"/>
        <w:ind w:right="587" w:firstLine="480"/>
        <w:jc w:val="both"/>
      </w:pPr>
      <w:r>
        <w:rPr>
          <w:spacing w:val="-10"/>
        </w:rPr>
        <w:t>最后，医保运行病例管理最需要注意的是，尊重临床医生的专业性及个体化治疗，减少</w:t>
      </w:r>
      <w:r>
        <w:rPr>
          <w:spacing w:val="-12"/>
        </w:rPr>
        <w:t>主观的“一刀切”式的行政干预；与临床医生充分进行沟通协商，在达成共识的基础上再进</w:t>
      </w:r>
      <w:r>
        <w:rPr/>
        <w:t>行指标设置并及时进行动态调整。</w:t>
      </w:r>
    </w:p>
    <w:p>
      <w:pPr>
        <w:spacing w:line="297" w:lineRule="auto" w:before="0"/>
        <w:ind w:left="1077" w:right="587" w:firstLine="2"/>
        <w:jc w:val="left"/>
        <w:rPr>
          <w:sz w:val="24"/>
        </w:rPr>
      </w:pPr>
      <w:r>
        <w:rPr>
          <w:b/>
          <w:sz w:val="24"/>
        </w:rPr>
        <w:t>医保流程服务监管需要医院医保管理部门的专业服务，整合优化工作仍有较大空间 </w:t>
      </w:r>
      <w:r>
        <w:rPr>
          <w:spacing w:val="-6"/>
          <w:sz w:val="24"/>
        </w:rPr>
        <w:t>医保流程服务的监管不同于传统的医政管理，体现在费用报销的准确性、及时性和便捷</w:t>
      </w:r>
    </w:p>
    <w:p>
      <w:pPr>
        <w:pStyle w:val="BodyText"/>
        <w:spacing w:line="297" w:lineRule="auto"/>
        <w:ind w:right="487"/>
      </w:pPr>
      <w:r>
        <w:rPr>
          <w:spacing w:val="-10"/>
        </w:rPr>
        <w:t>性，涉及就诊前定点医院选择、身份核实，就诊过程中目录外项目使用的知情同意、医保目</w:t>
      </w:r>
      <w:r>
        <w:rPr>
          <w:spacing w:val="-15"/>
        </w:rPr>
        <w:t>录内外费用划分及按比例结算、费用报销清单的咨询解答、异地及商业保险报销凭证的开具</w:t>
      </w:r>
      <w:r>
        <w:rPr>
          <w:spacing w:val="-18"/>
        </w:rPr>
        <w:t>以及费用审核等诸多繁琐环节。属地化管理造成的报销政策差异，医保结算复杂的自付比例计算规则，各项上游政策调整引发的末端费用变化，都需要医疗机构医保团队的专业服务。</w:t>
      </w:r>
      <w:r>
        <w:rPr>
          <w:spacing w:val="-4"/>
        </w:rPr>
        <w:t>任何一个环节的疏漏都会给患者或医疗机构造成不便甚至费用损失。对于当下依旧“人满为</w:t>
      </w:r>
      <w:r>
        <w:rPr>
          <w:spacing w:val="-12"/>
        </w:rPr>
        <w:t>患”的公立医疗机构来说，如何真正以患者为中心整合优化院内服务流程还有很大的提升空间。</w:t>
      </w:r>
    </w:p>
    <w:p>
      <w:pPr>
        <w:pStyle w:val="BodyText"/>
        <w:spacing w:line="297" w:lineRule="auto"/>
        <w:ind w:right="470" w:firstLine="480"/>
      </w:pPr>
      <w:r>
        <w:rPr>
          <w:spacing w:val="-5"/>
        </w:rPr>
        <w:t>医保费用监控平台实际操作中还应注意的一些细节：住院费用的统计最好以主诊组为基</w:t>
      </w:r>
      <w:r>
        <w:rPr>
          <w:spacing w:val="-11"/>
        </w:rPr>
        <w:t>本单元，而门诊费用统计一定要细化到单个医务人员；医保数据不同于医政数据的最大特点</w:t>
      </w:r>
      <w:r>
        <w:rPr>
          <w:spacing w:val="-16"/>
        </w:rPr>
        <w:t>是存在患者个人负担和基金支付，数据统计及分析时要特别关注待遇类别、统计口径以及支</w:t>
      </w:r>
      <w:r>
        <w:rPr>
          <w:spacing w:val="-15"/>
        </w:rPr>
        <w:t>付类型</w:t>
      </w:r>
      <w:r>
        <w:rPr/>
        <w:t>（</w:t>
      </w:r>
      <w:r>
        <w:rPr>
          <w:spacing w:val="-3"/>
        </w:rPr>
        <w:t>单病种、</w:t>
      </w:r>
      <w:r>
        <w:rPr/>
        <w:t>DRG</w:t>
      </w:r>
      <w:r>
        <w:rPr>
          <w:spacing w:val="-8"/>
        </w:rPr>
        <w:t> 还是按人头定额支付等</w:t>
      </w:r>
      <w:r>
        <w:rPr>
          <w:spacing w:val="-10"/>
        </w:rPr>
        <w:t>）；</w:t>
      </w:r>
      <w:r>
        <w:rPr>
          <w:spacing w:val="-3"/>
        </w:rPr>
        <w:t>医保、医政和医药数据等应该整合在同一</w:t>
      </w:r>
      <w:r>
        <w:rPr>
          <w:spacing w:val="-17"/>
        </w:rPr>
        <w:t>平台之上。从广义范围讲，医保管理已涵盖了所有的住院病人，建立整合的统一的监管平台， </w:t>
      </w:r>
      <w:r>
        <w:rPr/>
        <w:t>不但可以避免“数出多门”，互相“打架”现象，也很容易形成合力，提高协作效率。</w:t>
      </w:r>
    </w:p>
    <w:p>
      <w:pPr>
        <w:spacing w:after="0" w:line="297" w:lineRule="auto"/>
        <w:sectPr>
          <w:pgSz w:w="11910" w:h="16850"/>
          <w:pgMar w:header="906" w:footer="607" w:top="1100" w:bottom="800" w:left="680" w:right="540"/>
        </w:sectPr>
      </w:pPr>
    </w:p>
    <w:p>
      <w:pPr>
        <w:spacing w:line="427" w:lineRule="exact" w:before="0"/>
        <w:ind w:left="1077" w:right="0" w:firstLine="0"/>
        <w:jc w:val="both"/>
        <w:rPr>
          <w:rFonts w:ascii="Microsoft JhengHei" w:eastAsia="Microsoft JhengHei" w:hint="eastAsia"/>
          <w:b/>
          <w:sz w:val="24"/>
        </w:rPr>
      </w:pPr>
      <w:r>
        <w:rPr>
          <w:w w:val="105"/>
          <w:sz w:val="24"/>
        </w:rPr>
        <w:t>作者：首都医科大学宣武医院医保办主任 焦卫平</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BodyText"/>
        <w:spacing w:before="10"/>
        <w:ind w:left="0"/>
        <w:rPr>
          <w:rFonts w:ascii="Microsoft JhengHei"/>
          <w:b/>
          <w:sz w:val="13"/>
        </w:rPr>
      </w:pPr>
    </w:p>
    <w:p>
      <w:pPr>
        <w:pStyle w:val="Heading2"/>
        <w:ind w:left="0"/>
        <w:jc w:val="center"/>
      </w:pPr>
      <w:bookmarkStart w:name="_TOC_250021" w:id="11"/>
      <w:bookmarkEnd w:id="11"/>
      <w:r>
        <w:rPr/>
        <w:t>国家药品集采扩围，未来该怎样发展？</w:t>
      </w:r>
    </w:p>
    <w:p>
      <w:pPr>
        <w:pStyle w:val="Heading7"/>
        <w:spacing w:before="145"/>
        <w:ind w:left="6240"/>
      </w:pPr>
      <w:r>
        <w:rPr>
          <w:color w:val="FF0000"/>
        </w:rPr>
        <w:t>（来源：中国医疗保险微信公众号）</w:t>
      </w:r>
    </w:p>
    <w:p>
      <w:pPr>
        <w:pStyle w:val="BodyText"/>
        <w:spacing w:line="295" w:lineRule="auto" w:before="98"/>
        <w:ind w:right="590" w:firstLine="480"/>
        <w:jc w:val="both"/>
      </w:pPr>
      <w:r>
        <w:rPr/>
        <w:t>4+7</w:t>
      </w:r>
      <w:r>
        <w:rPr>
          <w:spacing w:val="-12"/>
        </w:rPr>
        <w:t> 国家药品集采扩围开标，昨天已经公布了结果，其一举一动牵动着医保部门、医药</w:t>
      </w:r>
      <w:r>
        <w:rPr/>
        <w:t>产业、舆论媒体与社会民众的视线。</w:t>
      </w:r>
    </w:p>
    <w:p>
      <w:pPr>
        <w:pStyle w:val="BodyText"/>
        <w:spacing w:before="2"/>
        <w:ind w:left="1077"/>
        <w:jc w:val="both"/>
      </w:pPr>
      <w:r>
        <w:rPr/>
        <w:t>去年 12 月初，药品集团采购试点城市联合采购办公室根据“国家组织、联盟采购、品</w:t>
      </w:r>
    </w:p>
    <w:p>
      <w:pPr>
        <w:pStyle w:val="BodyText"/>
        <w:spacing w:line="297" w:lineRule="auto" w:before="74"/>
        <w:ind w:right="587"/>
        <w:jc w:val="both"/>
      </w:pPr>
      <w:r>
        <w:rPr>
          <w:spacing w:val="-2"/>
        </w:rPr>
        <w:t>台操作”的指导方针小试牛刀，对通过仿制药质量与疗效一致性评价的 </w:t>
      </w:r>
      <w:r>
        <w:rPr/>
        <w:t>25</w:t>
      </w:r>
      <w:r>
        <w:rPr>
          <w:spacing w:val="-8"/>
        </w:rPr>
        <w:t> 个药品开展联合</w:t>
      </w:r>
      <w:r>
        <w:rPr>
          <w:spacing w:val="-12"/>
        </w:rPr>
        <w:t>带量采购，取得丰硕成绩。不仅相关药品价格大幅下降，更为破除药品价格虚高、倒逼医药产业转型迈出实质性一步。伴随“4+7”试点成果与配套政策落地，国家药品集采试点成效</w:t>
      </w:r>
      <w:r>
        <w:rPr>
          <w:spacing w:val="-15"/>
        </w:rPr>
        <w:t>开始惠及民生。试点地区群众相关医药费用负担得到切实降低，医保基金使用效率明显得到</w:t>
      </w:r>
      <w:r>
        <w:rPr>
          <w:spacing w:val="-8"/>
        </w:rPr>
        <w:t>提升。多家学术机构联合开展对医务人员的意见调查，结果亦显示，超过 </w:t>
      </w:r>
      <w:r>
        <w:rPr/>
        <w:t>50%</w:t>
      </w:r>
      <w:r>
        <w:rPr>
          <w:spacing w:val="-3"/>
        </w:rPr>
        <w:t>的临床医生理</w:t>
      </w:r>
      <w:r>
        <w:rPr/>
        <w:t>解并支持此次仿制药带量采购与使用替代政策。</w:t>
      </w:r>
    </w:p>
    <w:p>
      <w:pPr>
        <w:pStyle w:val="BodyText"/>
        <w:spacing w:line="297" w:lineRule="auto"/>
        <w:ind w:right="469" w:firstLine="480"/>
      </w:pPr>
      <w:r>
        <w:rPr>
          <w:spacing w:val="-7"/>
        </w:rPr>
        <w:t>从对中选产品采购和使用进度上看，所有试点城市的绝大多数品种在较短时间内完成了</w:t>
      </w:r>
      <w:r>
        <w:rPr>
          <w:spacing w:val="-16"/>
        </w:rPr>
        <w:t>全年使用计划，体现出该政策普遍得到医疗机构的支持；从社会反响上看，不论是舆论媒体、</w:t>
      </w:r>
      <w:r>
        <w:rPr>
          <w:spacing w:val="-15"/>
        </w:rPr>
        <w:t>医务人员或是社会民众，对国家药品集采试点的成效高度肯定并寄予了更多期盼。政策设计、</w:t>
      </w:r>
      <w:r>
        <w:rPr/>
        <w:t>制定与实施部门的信心受到极大鼓舞，“4+7”国家集采试点的扩面与扩围如箭在弦上，时与势都有这样的要求。</w:t>
      </w:r>
    </w:p>
    <w:p>
      <w:pPr>
        <w:pStyle w:val="BodyText"/>
        <w:spacing w:line="297" w:lineRule="auto"/>
        <w:ind w:right="467" w:firstLine="480"/>
      </w:pPr>
      <w:r>
        <w:rPr>
          <w:spacing w:val="-6"/>
        </w:rPr>
        <w:t>作为药品供应保障政策研究者与观察者，笔者在这半年多时间里调研了参加国家集采试</w:t>
      </w:r>
      <w:r>
        <w:rPr>
          <w:spacing w:val="-17"/>
        </w:rPr>
        <w:t>点的全部 </w:t>
      </w:r>
      <w:r>
        <w:rPr/>
        <w:t>11</w:t>
      </w:r>
      <w:r>
        <w:rPr>
          <w:spacing w:val="-11"/>
        </w:rPr>
        <w:t> 个城市，期望能从政策评估框架的角度来获取到更客观的信息。</w:t>
      </w:r>
      <w:r>
        <w:rPr/>
        <w:t>11</w:t>
      </w:r>
      <w:r>
        <w:rPr>
          <w:spacing w:val="-10"/>
        </w:rPr>
        <w:t> 个城市均坚</w:t>
      </w:r>
      <w:r>
        <w:rPr>
          <w:spacing w:val="-11"/>
        </w:rPr>
        <w:t>决、细致执行国家医保局和联采办的各项要求，让过评仿制药带量采购试点的政策综合效力</w:t>
      </w:r>
      <w:r>
        <w:rPr>
          <w:spacing w:val="-14"/>
        </w:rPr>
        <w:t>最大限度得以体现。这是成绩的一面，也是令人欣喜的一面。但同时，我们更应关注各试点城市中选药品快速放量背后的实际效应与真实原因。对这些实际效果和真实原因的探寻分 </w:t>
      </w:r>
      <w:r>
        <w:rPr>
          <w:spacing w:val="-17"/>
        </w:rPr>
        <w:t>析，有助于客观评价本次带量采购试点政策，在对前期政策客观评价的基础上对其进行完善， </w:t>
      </w:r>
      <w:r>
        <w:rPr>
          <w:spacing w:val="-4"/>
        </w:rPr>
        <w:t>为未来更大规模或把更多药品及器械耗材品种纳入带量采购体系、在更大区域甚至全国范围推广集中带量采购政策奠定坚实的决策与实施基础。</w:t>
      </w:r>
    </w:p>
    <w:p>
      <w:pPr>
        <w:pStyle w:val="BodyText"/>
        <w:spacing w:line="297" w:lineRule="auto"/>
        <w:ind w:right="467" w:firstLine="480"/>
      </w:pPr>
      <w:r>
        <w:rPr>
          <w:spacing w:val="-5"/>
        </w:rPr>
        <w:t>之所以需要对药品进行集中带量采购，是期望通过聚集医疗机构用药订单，合并供应结</w:t>
      </w:r>
      <w:r>
        <w:rPr>
          <w:spacing w:val="-16"/>
        </w:rPr>
        <w:t>构，利用市场机制来实现招采合一、以量换价、量价挂钩，确保医疗机构能够获得质量优异、</w:t>
      </w:r>
      <w:r>
        <w:rPr>
          <w:spacing w:val="-15"/>
        </w:rPr>
        <w:t>价钱合理、供应及时、服务优良的药品与药学服务，实现对医疗机构用药的供应保障。过去， </w:t>
      </w:r>
      <w:r>
        <w:rPr>
          <w:spacing w:val="-6"/>
        </w:rPr>
        <w:t>中国的仿制药质量参差不齐，缺乏科学的评价机制与明确的评价结果，医院内的用药在某种</w:t>
      </w:r>
      <w:r>
        <w:rPr>
          <w:spacing w:val="-11"/>
        </w:rPr>
        <w:t>程度上异化为行为扭曲的市场竞争。药品监管部门近年来推行供给侧治理革新，仿制药质量</w:t>
      </w:r>
      <w:r>
        <w:rPr>
          <w:spacing w:val="-17"/>
        </w:rPr>
        <w:t>与疗效一致性评价工作取得阶段性进展。这个阶段性进展为药品集中带量采购提供了技术条件和监管支撑，也正是此次“4+7”国家药品集采试点得以推行的技术基础。</w:t>
      </w:r>
    </w:p>
    <w:p>
      <w:pPr>
        <w:pStyle w:val="BodyText"/>
        <w:spacing w:line="297" w:lineRule="auto"/>
        <w:ind w:right="470" w:firstLine="480"/>
      </w:pPr>
      <w:r>
        <w:rPr>
          <w:spacing w:val="-6"/>
        </w:rPr>
        <w:t>通过国家药品集采大幅挤出药价里的水分，破除医院内“带金销售”对不合理用药的驱</w:t>
      </w:r>
      <w:r>
        <w:rPr>
          <w:spacing w:val="-16"/>
        </w:rPr>
        <w:t>动因素，让医疗行为和药品治疗回归正常医学决策，这是政策的初心。国家集采结果落地后， </w:t>
      </w:r>
      <w:r>
        <w:rPr>
          <w:spacing w:val="-6"/>
        </w:rPr>
        <w:t>各试点地区中选药品出现使用放量，政策最期望看到的结果是，因为大幅降低了过去相对昂</w:t>
      </w:r>
      <w:r>
        <w:rPr>
          <w:spacing w:val="-11"/>
        </w:rPr>
        <w:t>贵的药品价格，使得过去因为价格、费用因素而抑制的就医用药需求得以释放，让更多的患</w:t>
      </w:r>
    </w:p>
    <w:p>
      <w:pPr>
        <w:spacing w:after="0" w:line="297" w:lineRule="auto"/>
        <w:sectPr>
          <w:pgSz w:w="11910" w:h="16850"/>
          <w:pgMar w:header="906" w:footer="607" w:top="1100" w:bottom="800" w:left="680" w:right="540"/>
        </w:sectPr>
      </w:pPr>
    </w:p>
    <w:p>
      <w:pPr>
        <w:pStyle w:val="BodyText"/>
        <w:spacing w:line="295" w:lineRule="auto" w:before="65"/>
        <w:ind w:right="587"/>
      </w:pPr>
      <w:r>
        <w:rPr>
          <w:spacing w:val="-8"/>
        </w:rPr>
        <w:t>者得到有效治疗，让全民医保制度性的社会公共福利得以惠及民生，真正解决老百姓“看病</w:t>
      </w:r>
      <w:r>
        <w:rPr/>
        <w:t>贵”的费用负担问题。</w:t>
      </w:r>
    </w:p>
    <w:p>
      <w:pPr>
        <w:pStyle w:val="BodyText"/>
        <w:spacing w:line="297" w:lineRule="auto" w:before="2"/>
        <w:ind w:right="467" w:firstLine="480"/>
      </w:pPr>
      <w:r>
        <w:rPr/>
        <w:t>但我们也看到，“4+7”联合集采机制下药品价格大幅降低后，出现试点地区和非试点</w:t>
      </w:r>
      <w:r>
        <w:rPr>
          <w:spacing w:val="-7"/>
        </w:rPr>
        <w:t>地区巨大的价格差异，出现试点地区“虹吸”非试点地区患者的现象，大量异地患者到试点</w:t>
      </w:r>
      <w:r>
        <w:rPr>
          <w:spacing w:val="-12"/>
        </w:rPr>
        <w:t>地区就医买药，带来试点地区对中选药品的巨大需求。试点地区医院也出现药贩子虚假就医</w:t>
      </w:r>
      <w:r>
        <w:rPr>
          <w:spacing w:val="-16"/>
        </w:rPr>
        <w:t>购药进行跨区域异地倒卖的现象，进而甚至有专业化的商业企业进行大规模异地“串货”式</w:t>
      </w:r>
      <w:r>
        <w:rPr>
          <w:spacing w:val="-17"/>
        </w:rPr>
        <w:t>倒卖现象也时有发生。同时，政策制定者更担心试点地区出现由于医院急于完成约定采购数</w:t>
      </w:r>
      <w:r>
        <w:rPr>
          <w:spacing w:val="-21"/>
        </w:rPr>
        <w:t>量而出现政策因素导致不合理用药现象的发生。而在非试点地区，由于当今社会信息传递日</w:t>
      </w:r>
      <w:r>
        <w:rPr>
          <w:spacing w:val="-13"/>
        </w:rPr>
        <w:t>益迅速、实时化，获知中选药品与在用药品存在巨大价差的群众会迅速向当地政府、医保卫</w:t>
      </w:r>
      <w:r>
        <w:rPr>
          <w:spacing w:val="-21"/>
        </w:rPr>
        <w:t>生部门提出使用中选药品、或大幅降低在用药品价格的诉求。对这种大规模的诉求引导得当、</w:t>
      </w:r>
      <w:r>
        <w:rPr>
          <w:spacing w:val="-11"/>
        </w:rPr>
        <w:t>应对得体，当地医院药品供应保障工作可以通过市场化条件下的价格传导机制迅速实现非试</w:t>
      </w:r>
      <w:r>
        <w:rPr>
          <w:spacing w:val="-15"/>
        </w:rPr>
        <w:t>点地区药品价格真实回归。但如果对群众诉求应对失当，则有可能酝酿成群众对当地现行药品采购政策和效果的巨大质疑，进而引发群体事件和社会不稳定因素发生。</w:t>
      </w:r>
    </w:p>
    <w:p>
      <w:pPr>
        <w:pStyle w:val="BodyText"/>
        <w:spacing w:line="297" w:lineRule="auto"/>
        <w:ind w:right="587" w:firstLine="480"/>
      </w:pPr>
      <w:r>
        <w:rPr>
          <w:spacing w:val="-12"/>
        </w:rPr>
        <w:t>因此，国家药品集采固然有乘胜追击、利用仿制药质量与疗效一致性评价阶段性的新进</w:t>
      </w:r>
      <w:r>
        <w:rPr>
          <w:spacing w:val="-8"/>
        </w:rPr>
        <w:t>展进一步扩大采购品种的想法，但在品种扩容之前，更急迫的应该是解决对首次国家集采试</w:t>
      </w:r>
      <w:r>
        <w:rPr/>
        <w:t>点政策的评价问题，去发现国家集采中选药品快速放量的真实原因并去除掉不合理放量因</w:t>
      </w:r>
      <w:r>
        <w:rPr>
          <w:spacing w:val="-11"/>
        </w:rPr>
        <w:t>素，优先解决集采试点地区域和非试点地区巨大价差所引发的民众待遇均等化问题，让这项</w:t>
      </w:r>
      <w:r>
        <w:rPr>
          <w:spacing w:val="-6"/>
        </w:rPr>
        <w:t>利国利民的政策尽可能最大限度惠及全国民生，在全国范围最大限度节省医保基金药品费用</w:t>
      </w:r>
      <w:r>
        <w:rPr/>
        <w:t>支出并提高基金使用效率。</w:t>
      </w:r>
    </w:p>
    <w:p>
      <w:pPr>
        <w:pStyle w:val="BodyText"/>
        <w:spacing w:line="297" w:lineRule="auto"/>
        <w:ind w:right="487" w:firstLine="480"/>
        <w:jc w:val="both"/>
      </w:pPr>
      <w:r>
        <w:rPr>
          <w:spacing w:val="-3"/>
        </w:rPr>
        <w:t>至于国家药品集采品种扩容的问题，笔者认为，通过此次 </w:t>
      </w:r>
      <w:r>
        <w:rPr/>
        <w:t>10</w:t>
      </w:r>
      <w:r>
        <w:rPr>
          <w:spacing w:val="-8"/>
        </w:rPr>
        <w:t> 月国家药品集采扩围，完</w:t>
      </w:r>
      <w:r>
        <w:rPr>
          <w:spacing w:val="-13"/>
        </w:rPr>
        <w:t>成第一轮试点政策的评估与优化，在此基础上，基于仿制药质量疗效一致性评价的实时最新</w:t>
      </w:r>
      <w:r>
        <w:rPr>
          <w:spacing w:val="-11"/>
        </w:rPr>
        <w:t>进展，公平公正地将所有满足带量采购要求的过评品种全部纳入下一轮国家药品集采，一步</w:t>
      </w:r>
      <w:r>
        <w:rPr>
          <w:spacing w:val="-16"/>
        </w:rPr>
        <w:t>到位将集采成果推行至全国，则不仅能够做到基于市场机制给予所有供应企业公平的竞争环</w:t>
      </w:r>
      <w:r>
        <w:rPr>
          <w:spacing w:val="-11"/>
        </w:rPr>
        <w:t>境，也能够降低社会总交易成本，避免试点过程中出现的“先行地区虹吸放量、非试点地区</w:t>
      </w:r>
      <w:r>
        <w:rPr>
          <w:spacing w:val="-12"/>
        </w:rPr>
        <w:t>跟进”所出现的诸如医保待遇差异、异地就医结算、市场结构失衡等诸多管理与伦理问题。</w:t>
      </w:r>
    </w:p>
    <w:p>
      <w:pPr>
        <w:pStyle w:val="BodyText"/>
        <w:spacing w:line="297" w:lineRule="exact"/>
        <w:ind w:left="1077"/>
      </w:pPr>
      <w:r>
        <w:rPr/>
        <w:t>以上是笔者对于国家药品集采扩围的政策考量与未来着眼所作的思考。</w:t>
      </w:r>
    </w:p>
    <w:p>
      <w:pPr>
        <w:pStyle w:val="BodyText"/>
        <w:tabs>
          <w:tab w:pos="2637" w:val="left" w:leader="none"/>
        </w:tabs>
        <w:spacing w:line="438" w:lineRule="exact"/>
        <w:ind w:left="1077"/>
        <w:rPr>
          <w:rFonts w:ascii="Microsoft JhengHei" w:eastAsia="Microsoft JhengHei" w:hint="eastAsia"/>
          <w:b/>
        </w:rPr>
      </w:pPr>
      <w:r>
        <w:rPr/>
        <w:t>作者：陈昊</w:t>
        <w:tab/>
        <w:t>华中科技大学同济医学院药品政策与管理研究中心</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Heading1"/>
        <w:spacing w:before="25"/>
        <w:rPr>
          <w:u w:val="none"/>
        </w:rPr>
      </w:pPr>
      <w:bookmarkStart w:name="_TOC_250020" w:id="12"/>
      <w:r>
        <w:rPr>
          <w:rFonts w:ascii="Times New Roman" w:eastAsia="Times New Roman"/>
          <w:color w:val="008000"/>
          <w:spacing w:val="-110"/>
          <w:w w:val="99"/>
          <w:u w:val="thick" w:color="008000"/>
        </w:rPr>
        <w:t> </w:t>
      </w:r>
      <w:bookmarkEnd w:id="12"/>
      <w:r>
        <w:rPr>
          <w:color w:val="008000"/>
          <w:u w:val="thick" w:color="008000"/>
        </w:rPr>
        <w:t>医药前沿</w:t>
      </w:r>
    </w:p>
    <w:p>
      <w:pPr>
        <w:pStyle w:val="Heading2"/>
        <w:spacing w:before="140"/>
      </w:pPr>
      <w:bookmarkStart w:name="_TOC_250019" w:id="13"/>
      <w:bookmarkEnd w:id="13"/>
      <w:r>
        <w:rPr/>
        <w:t>【研究进展】</w:t>
      </w:r>
    </w:p>
    <w:p>
      <w:pPr>
        <w:pStyle w:val="BodyText"/>
        <w:spacing w:before="8"/>
        <w:ind w:left="0"/>
        <w:rPr>
          <w:b/>
          <w:sz w:val="18"/>
        </w:rPr>
      </w:pPr>
    </w:p>
    <w:p>
      <w:pPr>
        <w:pStyle w:val="Heading2"/>
        <w:spacing w:before="54"/>
        <w:ind w:left="0"/>
        <w:jc w:val="center"/>
      </w:pPr>
      <w:bookmarkStart w:name="_TOC_250018" w:id="14"/>
      <w:bookmarkEnd w:id="14"/>
      <w:r>
        <w:rPr/>
        <w:t>阿尔茨海默病发病机制有新发现</w:t>
      </w:r>
    </w:p>
    <w:p>
      <w:pPr>
        <w:pStyle w:val="BodyText"/>
        <w:spacing w:before="52"/>
        <w:ind w:left="3845"/>
      </w:pPr>
      <w:r>
        <w:rPr/>
        <w:t>有望为 AD 治疗带来“中国方案”</w:t>
      </w:r>
    </w:p>
    <w:p>
      <w:pPr>
        <w:pStyle w:val="Heading7"/>
        <w:spacing w:before="168"/>
        <w:ind w:left="0" w:right="590"/>
        <w:jc w:val="right"/>
      </w:pPr>
      <w:r>
        <w:rPr>
          <w:color w:val="FF0000"/>
          <w:w w:val="95"/>
        </w:rPr>
        <w:t>（来源：健康报）</w:t>
      </w:r>
    </w:p>
    <w:p>
      <w:pPr>
        <w:pStyle w:val="BodyText"/>
        <w:spacing w:line="312" w:lineRule="auto" w:before="110"/>
        <w:ind w:right="587" w:firstLine="480"/>
        <w:jc w:val="both"/>
      </w:pPr>
      <w:r>
        <w:rPr/>
        <w:t>中国科学院上海药物研究所耿美玉课题组与上海绿谷制药研究院联合科研团队新近共同揭示了阿尔茨海默病（AD）全新的发病机制：AD</w:t>
      </w:r>
      <w:r>
        <w:rPr>
          <w:spacing w:val="-8"/>
        </w:rPr>
        <w:t> 不仅是由大脑蛋白折叠错误介导的神经</w:t>
      </w:r>
      <w:r>
        <w:rPr>
          <w:spacing w:val="-14"/>
        </w:rPr>
        <w:t>退行性疾病，还是大脑局部炎症反应异常，且伴随肠道菌群失衡介导的外周免疫细胞脑部浸</w:t>
      </w:r>
    </w:p>
    <w:p>
      <w:pPr>
        <w:spacing w:after="0" w:line="312" w:lineRule="auto"/>
        <w:jc w:val="both"/>
        <w:sectPr>
          <w:pgSz w:w="11910" w:h="16850"/>
          <w:pgMar w:header="906" w:footer="607" w:top="1100" w:bottom="800" w:left="680" w:right="540"/>
        </w:sectPr>
      </w:pPr>
    </w:p>
    <w:p>
      <w:pPr>
        <w:pStyle w:val="BodyText"/>
        <w:spacing w:line="312" w:lineRule="auto" w:before="79"/>
        <w:ind w:right="485"/>
      </w:pPr>
      <w:r>
        <w:rPr/>
        <w:t>润、全身免疫紊乱的复杂疾病。科研人员从天然海洋植物中提取的甘露寡糖二酸</w:t>
      </w:r>
      <w:r>
        <w:rPr>
          <w:spacing w:val="-3"/>
        </w:rPr>
        <w:t>（GV-971） </w:t>
      </w:r>
      <w:r>
        <w:rPr>
          <w:spacing w:val="-7"/>
        </w:rPr>
        <w:t>能通过调节肠道菌群，降低肠道菌群某些代谢产物的产生，降低外周与中枢炎症，从而改善</w:t>
      </w:r>
      <w:r>
        <w:rPr>
          <w:spacing w:val="-12"/>
        </w:rPr>
        <w:t>认知功能障碍，发挥治疗 </w:t>
      </w:r>
      <w:r>
        <w:rPr/>
        <w:t>AD</w:t>
      </w:r>
      <w:r>
        <w:rPr>
          <w:spacing w:val="-8"/>
        </w:rPr>
        <w:t> 的作用。相关论文近日在线发表于生命科学领域著名学术刊物</w:t>
      </w:r>
    </w:p>
    <w:p>
      <w:pPr>
        <w:pStyle w:val="BodyText"/>
        <w:spacing w:before="1"/>
      </w:pPr>
      <w:r>
        <w:rPr/>
        <w:t>《细胞研究》杂志上。</w:t>
      </w:r>
    </w:p>
    <w:p>
      <w:pPr>
        <w:pStyle w:val="BodyText"/>
        <w:spacing w:line="312" w:lineRule="auto" w:before="91"/>
        <w:ind w:right="466" w:firstLine="480"/>
      </w:pPr>
      <w:r>
        <w:rPr>
          <w:spacing w:val="-4"/>
        </w:rPr>
        <w:t>为验证小鼠模型上的研究结果是否在临床样本上具有可重现性，耿美玉带领的科研人员</w:t>
      </w:r>
      <w:r>
        <w:rPr>
          <w:spacing w:val="-10"/>
        </w:rPr>
        <w:t>比较了轻度认知障碍 </w:t>
      </w:r>
      <w:r>
        <w:rPr/>
        <w:t>AD</w:t>
      </w:r>
      <w:r>
        <w:rPr>
          <w:spacing w:val="-10"/>
        </w:rPr>
        <w:t> 患者和对应年龄段的健康人血液中苯丙氨酸、异亮氨酸和 </w:t>
      </w:r>
      <w:r>
        <w:rPr/>
        <w:t>Th1</w:t>
      </w:r>
      <w:r>
        <w:rPr>
          <w:spacing w:val="-20"/>
        </w:rPr>
        <w:t> 免疫</w:t>
      </w:r>
      <w:r>
        <w:rPr>
          <w:spacing w:val="-21"/>
        </w:rPr>
        <w:t>细胞等含量的差别，结果发现轻度认知障碍 </w:t>
      </w:r>
      <w:r>
        <w:rPr/>
        <w:t>AD</w:t>
      </w:r>
      <w:r>
        <w:rPr>
          <w:spacing w:val="-16"/>
        </w:rPr>
        <w:t> 患者神经母细胞瘤的遗传易感因素</w:t>
      </w:r>
      <w:r>
        <w:rPr/>
        <w:t>（Phe/Ile） </w:t>
      </w:r>
      <w:r>
        <w:rPr>
          <w:spacing w:val="-16"/>
        </w:rPr>
        <w:t>水平和 </w:t>
      </w:r>
      <w:r>
        <w:rPr/>
        <w:t>T</w:t>
      </w:r>
      <w:r>
        <w:rPr>
          <w:spacing w:val="-8"/>
        </w:rPr>
        <w:t> 细胞含量比例较健康人均明显升高，提示该研究具有潜在的临床转化价值。</w:t>
      </w:r>
    </w:p>
    <w:p>
      <w:pPr>
        <w:pStyle w:val="BodyText"/>
        <w:spacing w:line="312" w:lineRule="auto" w:before="2"/>
        <w:ind w:right="486" w:firstLine="480"/>
        <w:jc w:val="both"/>
      </w:pPr>
      <w:r>
        <w:rPr>
          <w:spacing w:val="-2"/>
        </w:rPr>
        <w:t>阿尔茨海默病又称老年痴呆，目前世界上没有一种药物能够减缓或停止 </w:t>
      </w:r>
      <w:r>
        <w:rPr/>
        <w:t>AD</w:t>
      </w:r>
      <w:r>
        <w:rPr>
          <w:spacing w:val="-10"/>
        </w:rPr>
        <w:t> 导致的神经元损伤。</w:t>
      </w:r>
      <w:r>
        <w:rPr/>
        <w:t>GV-971</w:t>
      </w:r>
      <w:r>
        <w:rPr>
          <w:spacing w:val="-12"/>
        </w:rPr>
        <w:t> 作为我国原创、国际首个寡糖类抗 </w:t>
      </w:r>
      <w:r>
        <w:rPr/>
        <w:t>AD</w:t>
      </w:r>
      <w:r>
        <w:rPr>
          <w:spacing w:val="-9"/>
        </w:rPr>
        <w:t> 药物，已完成临床研究，目前正在进</w:t>
      </w:r>
      <w:r>
        <w:rPr>
          <w:spacing w:val="-12"/>
        </w:rPr>
        <w:t>行新药审批。若该药物获批上市，将填补 </w:t>
      </w:r>
      <w:r>
        <w:rPr/>
        <w:t>AD</w:t>
      </w:r>
      <w:r>
        <w:rPr>
          <w:spacing w:val="-14"/>
        </w:rPr>
        <w:t> 治疗领域全世界 </w:t>
      </w:r>
      <w:r>
        <w:rPr/>
        <w:t>17</w:t>
      </w:r>
      <w:r>
        <w:rPr>
          <w:spacing w:val="-9"/>
        </w:rPr>
        <w:t> 年来没有新药上市的空白。</w:t>
      </w:r>
    </w:p>
    <w:p>
      <w:pPr>
        <w:pStyle w:val="BodyText"/>
        <w:spacing w:line="312" w:lineRule="auto" w:before="1"/>
        <w:ind w:right="605" w:firstLine="480"/>
        <w:jc w:val="both"/>
      </w:pPr>
      <w:r>
        <w:rPr>
          <w:spacing w:val="-8"/>
        </w:rPr>
        <w:t>美国神经学协会主席、华盛顿大学医学院霍普神经系统疾病中心科学主任戴维德</w:t>
      </w:r>
      <w:r>
        <w:rPr>
          <w:spacing w:val="-50"/>
        </w:rPr>
        <w:t>·M·</w:t>
      </w:r>
      <w:r>
        <w:rPr>
          <w:spacing w:val="-75"/>
        </w:rPr>
        <w:t>霍</w:t>
      </w:r>
      <w:r>
        <w:rPr/>
        <w:t>尔茨曼教授在同期《细胞研究》杂志上发表评述认为，GV-971</w:t>
      </w:r>
      <w:r>
        <w:rPr>
          <w:spacing w:val="-12"/>
        </w:rPr>
        <w:t> 作用机制的阐述，“为抗 </w:t>
      </w:r>
      <w:r>
        <w:rPr>
          <w:spacing w:val="-8"/>
        </w:rPr>
        <w:t>AD </w:t>
      </w:r>
      <w:r>
        <w:rPr/>
        <w:t>复杂疾病的药物研发提供了全新干预方法”。</w:t>
      </w:r>
    </w:p>
    <w:p>
      <w:pPr>
        <w:pStyle w:val="BodyText"/>
        <w:spacing w:line="363" w:lineRule="exact"/>
        <w:ind w:left="1077"/>
        <w:jc w:val="both"/>
        <w:rPr>
          <w:rFonts w:ascii="Microsoft JhengHei" w:hAnsi="Microsoft JhengHei" w:eastAsia="Microsoft JhengHei" w:hint="eastAsia"/>
          <w:b/>
        </w:rPr>
      </w:pPr>
      <w:r>
        <w:rPr/>
        <w:t>我国专家认为，耿美玉团队的研究有望为 AD 治疗带来“中国方案”。</w:t>
      </w:r>
      <w:r>
        <w:rPr>
          <w:rFonts w:ascii="Microsoft JhengHei" w:hAnsi="Microsoft JhengHei" w:eastAsia="Microsoft JhengHei" w:hint="eastAsia"/>
          <w:b/>
          <w:color w:val="0033CC"/>
          <w:w w:val="120"/>
        </w:rPr>
        <w:t>[</w:t>
      </w:r>
      <w:r>
        <w:rPr>
          <w:rFonts w:ascii="Microsoft JhengHei" w:hAnsi="Microsoft JhengHei" w:eastAsia="Microsoft JhengHei" w:hint="eastAsia"/>
          <w:b/>
          <w:color w:val="0033CC"/>
        </w:rPr>
        <w:t>返回目次</w:t>
      </w:r>
      <w:r>
        <w:rPr>
          <w:rFonts w:ascii="Microsoft JhengHei" w:hAnsi="Microsoft JhengHei" w:eastAsia="Microsoft JhengHei" w:hint="eastAsia"/>
          <w:b/>
          <w:color w:val="0033CC"/>
          <w:w w:val="120"/>
        </w:rPr>
        <w:t>]</w:t>
      </w:r>
    </w:p>
    <w:p>
      <w:pPr>
        <w:pStyle w:val="BodyText"/>
        <w:ind w:left="0"/>
        <w:rPr>
          <w:rFonts w:ascii="Microsoft JhengHei"/>
          <w:b/>
          <w:sz w:val="11"/>
        </w:rPr>
      </w:pPr>
    </w:p>
    <w:p>
      <w:pPr>
        <w:spacing w:after="0"/>
        <w:rPr>
          <w:rFonts w:ascii="Microsoft JhengHei"/>
          <w:sz w:val="11"/>
        </w:rPr>
        <w:sectPr>
          <w:pgSz w:w="11910" w:h="16850"/>
          <w:pgMar w:header="906" w:footer="607" w:top="1100" w:bottom="800" w:left="680" w:right="540"/>
        </w:sectPr>
      </w:pPr>
    </w:p>
    <w:p>
      <w:pPr>
        <w:pStyle w:val="Heading2"/>
        <w:spacing w:before="54"/>
        <w:ind w:left="2932"/>
      </w:pPr>
      <w:bookmarkStart w:name="_TOC_250017" w:id="15"/>
      <w:r>
        <w:rPr>
          <w:spacing w:val="-15"/>
        </w:rPr>
        <w:t>两种蛋白对 </w:t>
      </w:r>
      <w:r>
        <w:rPr/>
        <w:t>HIV-1</w:t>
      </w:r>
      <w:bookmarkEnd w:id="15"/>
      <w:r>
        <w:rPr>
          <w:spacing w:val="-14"/>
        </w:rPr>
        <w:t> 感染有重要作用</w:t>
      </w:r>
    </w:p>
    <w:p>
      <w:pPr>
        <w:pStyle w:val="BodyText"/>
        <w:ind w:left="0"/>
        <w:rPr>
          <w:b/>
        </w:rPr>
      </w:pPr>
      <w:r>
        <w:rPr/>
        <w:br w:type="column"/>
      </w:r>
      <w:r>
        <w:rPr>
          <w:b/>
        </w:rPr>
      </w:r>
    </w:p>
    <w:p>
      <w:pPr>
        <w:pStyle w:val="BodyText"/>
        <w:spacing w:before="7"/>
        <w:ind w:left="0"/>
        <w:rPr>
          <w:b/>
          <w:sz w:val="23"/>
        </w:rPr>
      </w:pPr>
    </w:p>
    <w:p>
      <w:pPr>
        <w:pStyle w:val="Heading7"/>
        <w:spacing w:before="1"/>
        <w:ind w:left="374"/>
      </w:pPr>
      <w:r>
        <w:rPr>
          <w:color w:val="FF0000"/>
        </w:rPr>
        <w:t>（来源：健康报）</w:t>
      </w:r>
    </w:p>
    <w:p>
      <w:pPr>
        <w:spacing w:after="0"/>
        <w:sectPr>
          <w:type w:val="continuous"/>
          <w:pgSz w:w="11910" w:h="16850"/>
          <w:pgMar w:top="1100" w:bottom="1020" w:left="680" w:right="540"/>
          <w:cols w:num="2" w:equalWidth="0">
            <w:col w:w="7754" w:space="40"/>
            <w:col w:w="2896"/>
          </w:cols>
        </w:sectPr>
      </w:pPr>
    </w:p>
    <w:p>
      <w:pPr>
        <w:pStyle w:val="BodyText"/>
        <w:spacing w:line="312" w:lineRule="auto" w:before="110"/>
        <w:ind w:right="586" w:firstLine="480"/>
      </w:pPr>
      <w:r>
        <w:rPr/>
        <w:t>哈尔滨兽医研究所兽医生物技术国家重点实验室王晓钧团队在宿主蛋白与病毒互作方</w:t>
      </w:r>
      <w:r>
        <w:rPr>
          <w:spacing w:val="-6"/>
        </w:rPr>
        <w:t>面取得新进展，首次证实两种人源蛋白</w:t>
      </w:r>
      <w:r>
        <w:rPr/>
        <w:t>（ANP32A</w:t>
      </w:r>
      <w:r>
        <w:rPr>
          <w:spacing w:val="-26"/>
        </w:rPr>
        <w:t>、</w:t>
      </w:r>
      <w:r>
        <w:rPr>
          <w:spacing w:val="-4"/>
        </w:rPr>
        <w:t>ANP32B）</w:t>
      </w:r>
      <w:r>
        <w:rPr>
          <w:spacing w:val="-15"/>
        </w:rPr>
        <w:t>在辅助 </w:t>
      </w:r>
      <w:r>
        <w:rPr/>
        <w:t>HIV-1</w:t>
      </w:r>
      <w:r>
        <w:rPr>
          <w:spacing w:val="-9"/>
        </w:rPr>
        <w:t> 病毒复制过程中扮</w:t>
      </w:r>
      <w:r>
        <w:rPr>
          <w:spacing w:val="-10"/>
        </w:rPr>
        <w:t>演重要角色，并明确其通过影响未完全剪切 </w:t>
      </w:r>
      <w:r>
        <w:rPr/>
        <w:t>RNA</w:t>
      </w:r>
      <w:r>
        <w:rPr>
          <w:spacing w:val="-12"/>
        </w:rPr>
        <w:t> 的核输出过程帮助病毒复制。相关论文日前</w:t>
      </w:r>
      <w:r>
        <w:rPr/>
        <w:t>发表在《生物化学杂志》上。</w:t>
      </w:r>
    </w:p>
    <w:p>
      <w:pPr>
        <w:pStyle w:val="BodyText"/>
        <w:spacing w:line="312" w:lineRule="auto" w:before="1"/>
        <w:ind w:right="588" w:firstLine="480"/>
        <w:jc w:val="both"/>
      </w:pPr>
      <w:r>
        <w:rPr/>
        <w:t>人类免疫缺陷病毒（HIV）是人获得性免疫缺陷综合征即艾滋病的病原，HIV</w:t>
      </w:r>
      <w:r>
        <w:rPr>
          <w:spacing w:val="-12"/>
        </w:rPr>
        <w:t> 感染人类</w:t>
      </w:r>
      <w:r>
        <w:rPr>
          <w:spacing w:val="-10"/>
        </w:rPr>
        <w:t>免疫细胞，渐进性地破坏免疫系统，最终引发艾滋病。</w:t>
      </w:r>
      <w:r>
        <w:rPr/>
        <w:t>ANP32A</w:t>
      </w:r>
      <w:r>
        <w:rPr>
          <w:spacing w:val="-40"/>
        </w:rPr>
        <w:t> 与 </w:t>
      </w:r>
      <w:r>
        <w:rPr/>
        <w:t>ANP32B</w:t>
      </w:r>
      <w:r>
        <w:rPr>
          <w:spacing w:val="-24"/>
        </w:rPr>
        <w:t> 同属于 </w:t>
      </w:r>
      <w:r>
        <w:rPr/>
        <w:t>ANP32</w:t>
      </w:r>
      <w:r>
        <w:rPr>
          <w:spacing w:val="-25"/>
        </w:rPr>
        <w:t> 蛋白</w:t>
      </w:r>
      <w:r>
        <w:rPr/>
        <w:t>家族成员，为近年新发现的与流感病毒复制相关的宿主蛋白。</w:t>
      </w:r>
    </w:p>
    <w:p>
      <w:pPr>
        <w:pStyle w:val="BodyText"/>
        <w:spacing w:line="312" w:lineRule="auto" w:before="2"/>
        <w:ind w:right="469" w:firstLine="480"/>
      </w:pPr>
      <w:r>
        <w:rPr>
          <w:spacing w:val="-8"/>
        </w:rPr>
        <w:t>王晓钧及团队成员在进一步的研究中发现，上述两种蛋白对 </w:t>
      </w:r>
      <w:r>
        <w:rPr/>
        <w:t>HIV-1</w:t>
      </w:r>
      <w:r>
        <w:rPr>
          <w:spacing w:val="-8"/>
        </w:rPr>
        <w:t> 的感染也具有重要作</w:t>
      </w:r>
      <w:r>
        <w:rPr>
          <w:spacing w:val="-22"/>
        </w:rPr>
        <w:t>用。当 </w:t>
      </w:r>
      <w:r>
        <w:rPr/>
        <w:t>ANP32A/B</w:t>
      </w:r>
      <w:r>
        <w:rPr>
          <w:spacing w:val="-13"/>
        </w:rPr>
        <w:t> 蛋白单独缺失时，对 </w:t>
      </w:r>
      <w:r>
        <w:rPr/>
        <w:t>HIV-1</w:t>
      </w:r>
      <w:r>
        <w:rPr>
          <w:spacing w:val="-20"/>
        </w:rPr>
        <w:t> 结构蛋白 </w:t>
      </w:r>
      <w:r>
        <w:rPr/>
        <w:t>gag</w:t>
      </w:r>
      <w:r>
        <w:rPr>
          <w:spacing w:val="-8"/>
        </w:rPr>
        <w:t> 的表达和病毒出毒量没有明显的</w:t>
      </w:r>
      <w:r>
        <w:rPr>
          <w:spacing w:val="-12"/>
        </w:rPr>
        <w:t>影响；而在两种蛋白同时缺失时，会明显抑制 </w:t>
      </w:r>
      <w:r>
        <w:rPr/>
        <w:t>HIV-1</w:t>
      </w:r>
      <w:r>
        <w:rPr>
          <w:spacing w:val="-20"/>
        </w:rPr>
        <w:t> 结构蛋白 </w:t>
      </w:r>
      <w:r>
        <w:rPr/>
        <w:t>gag</w:t>
      </w:r>
      <w:r>
        <w:rPr>
          <w:spacing w:val="-11"/>
        </w:rPr>
        <w:t> 的表达。研究还表明，以</w:t>
      </w:r>
      <w:r>
        <w:rPr>
          <w:spacing w:val="-19"/>
        </w:rPr>
        <w:t>上两种蛋白对 </w:t>
      </w:r>
      <w:r>
        <w:rPr/>
        <w:t>HIV</w:t>
      </w:r>
      <w:r>
        <w:rPr>
          <w:spacing w:val="-18"/>
        </w:rPr>
        <w:t> 未完全剪切 </w:t>
      </w:r>
      <w:r>
        <w:rPr/>
        <w:t>gag</w:t>
      </w:r>
      <w:r>
        <w:rPr>
          <w:spacing w:val="-60"/>
        </w:rPr>
        <w:t> </w:t>
      </w:r>
      <w:r>
        <w:rPr/>
        <w:t>mRNA</w:t>
      </w:r>
      <w:r>
        <w:rPr>
          <w:spacing w:val="-16"/>
        </w:rPr>
        <w:t> 的核输出过程有重要作用，但对完全剪切的病毒 </w:t>
      </w:r>
      <w:r>
        <w:rPr/>
        <w:t>RNA </w:t>
      </w:r>
      <w:r>
        <w:rPr>
          <w:spacing w:val="-9"/>
        </w:rPr>
        <w:t>转运过程没有明显干扰。本项实验首次证明以上两种蛋白与 </w:t>
      </w:r>
      <w:r>
        <w:rPr/>
        <w:t>Rev</w:t>
      </w:r>
      <w:r>
        <w:rPr>
          <w:spacing w:val="-18"/>
        </w:rPr>
        <w:t> 蛋白在细胞核中的“互动”。</w:t>
      </w:r>
      <w:r>
        <w:rPr>
          <w:spacing w:val="-3"/>
        </w:rPr>
        <w:t>多种蛋白发生联动的结果，共同促进了病毒未完全剪切 </w:t>
      </w:r>
      <w:r>
        <w:rPr/>
        <w:t>RNA</w:t>
      </w:r>
      <w:r>
        <w:rPr>
          <w:spacing w:val="-8"/>
        </w:rPr>
        <w:t> 的核输出过程。</w:t>
      </w:r>
    </w:p>
    <w:p>
      <w:pPr>
        <w:pStyle w:val="BodyText"/>
        <w:spacing w:before="1"/>
        <w:ind w:left="1077"/>
      </w:pPr>
      <w:r>
        <w:rPr/>
        <w:t>专家评价指出，该研究首次揭示了两种蛋白在 HIV-1 复制过程中的“轨迹”，阐述了</w:t>
      </w:r>
    </w:p>
    <w:p>
      <w:pPr>
        <w:pStyle w:val="BodyText"/>
        <w:spacing w:line="249" w:lineRule="auto" w:before="94"/>
        <w:ind w:right="589"/>
        <w:rPr>
          <w:rFonts w:ascii="Microsoft JhengHei" w:eastAsia="Microsoft JhengHei" w:hint="eastAsia"/>
          <w:b/>
        </w:rPr>
      </w:pPr>
      <w:r>
        <w:rPr/>
        <w:t>ANP32</w:t>
      </w:r>
      <w:r>
        <w:rPr>
          <w:spacing w:val="-14"/>
        </w:rPr>
        <w:t> 家族蛋白在支持 </w:t>
      </w:r>
      <w:r>
        <w:rPr/>
        <w:t>HIV-1</w:t>
      </w:r>
      <w:r>
        <w:rPr>
          <w:spacing w:val="-11"/>
        </w:rPr>
        <w:t> 复制过程中与支持流感病毒复制不同的作用机制，对今后临床</w:t>
      </w:r>
      <w:r>
        <w:rPr/>
        <w:t>研制新型抗流感药物提供了新思路。</w:t>
      </w:r>
      <w:r>
        <w:rPr>
          <w:rFonts w:ascii="Microsoft JhengHei" w:eastAsia="Microsoft JhengHei" w:hint="eastAsia"/>
          <w:b/>
          <w:color w:val="0033CC"/>
          <w:w w:val="115"/>
        </w:rPr>
        <w:t>[</w:t>
      </w:r>
      <w:r>
        <w:rPr>
          <w:rFonts w:ascii="Microsoft JhengHei" w:eastAsia="Microsoft JhengHei" w:hint="eastAsia"/>
          <w:b/>
          <w:color w:val="0033CC"/>
        </w:rPr>
        <w:t>返回目次</w:t>
      </w:r>
      <w:r>
        <w:rPr>
          <w:rFonts w:ascii="Microsoft JhengHei" w:eastAsia="Microsoft JhengHei" w:hint="eastAsia"/>
          <w:b/>
          <w:color w:val="0033CC"/>
          <w:w w:val="115"/>
        </w:rPr>
        <w:t>]</w:t>
      </w:r>
    </w:p>
    <w:p>
      <w:pPr>
        <w:spacing w:after="0" w:line="249" w:lineRule="auto"/>
        <w:rPr>
          <w:rFonts w:ascii="Microsoft JhengHei" w:eastAsia="Microsoft JhengHei" w:hint="eastAsia"/>
        </w:rPr>
        <w:sectPr>
          <w:type w:val="continuous"/>
          <w:pgSz w:w="11910" w:h="16850"/>
          <w:pgMar w:top="1100" w:bottom="1020" w:left="680" w:right="540"/>
        </w:sectPr>
      </w:pPr>
    </w:p>
    <w:p>
      <w:pPr>
        <w:pStyle w:val="BodyText"/>
        <w:ind w:left="0"/>
        <w:rPr>
          <w:rFonts w:ascii="Microsoft JhengHei"/>
          <w:b/>
          <w:sz w:val="41"/>
        </w:rPr>
      </w:pPr>
    </w:p>
    <w:p>
      <w:pPr>
        <w:pStyle w:val="Heading2"/>
        <w:spacing w:before="1"/>
      </w:pPr>
      <w:r>
        <w:rPr/>
        <w:pict>
          <v:line style="position:absolute;mso-position-horizontal-relative:page;mso-position-vertical-relative:paragraph;z-index:-253069312" from="62.400002pt,-27.769991pt" to="540.220002pt,-27.769991pt" stroked="true" strokeweight=".72pt" strokecolor="#000000">
            <v:stroke dashstyle="solid"/>
            <w10:wrap type="none"/>
          </v:line>
        </w:pict>
      </w:r>
      <w:r>
        <w:rPr/>
        <w:t>【临床药师】</w:t>
      </w:r>
    </w:p>
    <w:p>
      <w:pPr>
        <w:pStyle w:val="Heading1"/>
        <w:spacing w:before="17"/>
        <w:ind w:left="597"/>
        <w:jc w:val="left"/>
        <w:rPr>
          <w:u w:val="none"/>
        </w:rPr>
      </w:pPr>
      <w:bookmarkStart w:name="_TOC_250016" w:id="16"/>
      <w:r>
        <w:rPr>
          <w:b w:val="0"/>
          <w:u w:val="none"/>
        </w:rPr>
        <w:br w:type="column"/>
      </w:r>
      <w:r>
        <w:rPr>
          <w:rFonts w:ascii="Times New Roman" w:eastAsia="Times New Roman"/>
          <w:color w:val="008000"/>
          <w:spacing w:val="-110"/>
          <w:w w:val="99"/>
          <w:u w:val="thick" w:color="008000"/>
        </w:rPr>
        <w:t> </w:t>
      </w:r>
      <w:bookmarkEnd w:id="16"/>
      <w:r>
        <w:rPr>
          <w:color w:val="008000"/>
          <w:u w:val="thick" w:color="008000"/>
        </w:rPr>
        <w:t>合理用药</w:t>
      </w:r>
    </w:p>
    <w:p>
      <w:pPr>
        <w:spacing w:after="0"/>
        <w:jc w:val="left"/>
        <w:sectPr>
          <w:headerReference w:type="default" r:id="rId17"/>
          <w:footerReference w:type="default" r:id="rId18"/>
          <w:pgSz w:w="11910" w:h="16850"/>
          <w:pgMar w:header="0" w:footer="607" w:top="900" w:bottom="800" w:left="680" w:right="540"/>
          <w:pgNumType w:start="14"/>
          <w:cols w:num="2" w:equalWidth="0">
            <w:col w:w="2567" w:space="1820"/>
            <w:col w:w="6303"/>
          </w:cols>
        </w:sectPr>
      </w:pPr>
    </w:p>
    <w:p>
      <w:pPr>
        <w:pStyle w:val="BodyText"/>
        <w:spacing w:before="9"/>
        <w:ind w:left="0"/>
        <w:rPr>
          <w:rFonts w:ascii="华文宋体"/>
          <w:b/>
          <w:sz w:val="14"/>
        </w:rPr>
      </w:pPr>
    </w:p>
    <w:p>
      <w:pPr>
        <w:spacing w:after="0"/>
        <w:rPr>
          <w:rFonts w:ascii="华文宋体"/>
          <w:sz w:val="14"/>
        </w:rPr>
        <w:sectPr>
          <w:type w:val="continuous"/>
          <w:pgSz w:w="11910" w:h="16850"/>
          <w:pgMar w:top="1100" w:bottom="1020" w:left="680" w:right="540"/>
        </w:sectPr>
      </w:pPr>
    </w:p>
    <w:p>
      <w:pPr>
        <w:pStyle w:val="Heading2"/>
        <w:spacing w:before="54"/>
        <w:ind w:left="3578"/>
      </w:pPr>
      <w:bookmarkStart w:name="_TOC_250015" w:id="17"/>
      <w:bookmarkEnd w:id="17"/>
      <w:r>
        <w:rPr>
          <w:spacing w:val="-2"/>
        </w:rPr>
        <w:t>药师科研灵感从临床中来</w:t>
      </w:r>
    </w:p>
    <w:p>
      <w:pPr>
        <w:pStyle w:val="BodyText"/>
        <w:ind w:left="0"/>
        <w:rPr>
          <w:b/>
        </w:rPr>
      </w:pPr>
      <w:r>
        <w:rPr/>
        <w:br w:type="column"/>
      </w:r>
      <w:r>
        <w:rPr>
          <w:b/>
        </w:rPr>
      </w:r>
    </w:p>
    <w:p>
      <w:pPr>
        <w:pStyle w:val="BodyText"/>
        <w:spacing w:before="7"/>
        <w:ind w:left="0"/>
        <w:rPr>
          <w:b/>
          <w:sz w:val="23"/>
        </w:rPr>
      </w:pPr>
    </w:p>
    <w:p>
      <w:pPr>
        <w:pStyle w:val="Heading7"/>
        <w:ind w:left="1017"/>
      </w:pPr>
      <w:r>
        <w:rPr>
          <w:color w:val="FF0000"/>
        </w:rPr>
        <w:t>（来源：健康报）</w:t>
      </w:r>
    </w:p>
    <w:p>
      <w:pPr>
        <w:spacing w:after="0"/>
        <w:sectPr>
          <w:type w:val="continuous"/>
          <w:pgSz w:w="11910" w:h="16850"/>
          <w:pgMar w:top="1100" w:bottom="1020" w:left="680" w:right="540"/>
          <w:cols w:num="2" w:equalWidth="0">
            <w:col w:w="7110" w:space="40"/>
            <w:col w:w="3540"/>
          </w:cols>
        </w:sectPr>
      </w:pPr>
    </w:p>
    <w:p>
      <w:pPr>
        <w:pStyle w:val="BodyText"/>
        <w:spacing w:line="295" w:lineRule="auto" w:before="98"/>
        <w:ind w:right="587" w:firstLine="480"/>
        <w:jc w:val="both"/>
      </w:pPr>
      <w:r>
        <w:rPr>
          <w:spacing w:val="-10"/>
        </w:rPr>
        <w:t>爱因斯坦曾说：“提出一个问题往往比解决一个问题更重要。”因为解决一个问题也许</w:t>
      </w:r>
      <w:r>
        <w:rPr>
          <w:spacing w:val="-7"/>
        </w:rPr>
        <w:t>仅仅是数学上或实验上的技能而已。而提出新的科学问题、新的可能性，从新的角度去看旧</w:t>
      </w:r>
      <w:r>
        <w:rPr/>
        <w:t>的问题，却需要有创造性的想象力，往往也标志着科学的真正进步。</w:t>
      </w:r>
    </w:p>
    <w:p>
      <w:pPr>
        <w:pStyle w:val="BodyText"/>
        <w:spacing w:line="295" w:lineRule="auto" w:before="6"/>
        <w:ind w:right="727" w:firstLine="480"/>
      </w:pPr>
      <w:r>
        <w:rPr/>
        <w:t>临床药师只有扎根临床才能有丰富的灵感来源，选择感兴趣的领域并对其进行全面认识，跟踪最新的研究进展，才能发现好的科学问题。</w:t>
      </w:r>
    </w:p>
    <w:p>
      <w:pPr>
        <w:pStyle w:val="Heading7"/>
        <w:spacing w:before="2"/>
        <w:rPr>
          <w:rFonts w:ascii="宋体" w:eastAsia="宋体" w:hint="eastAsia"/>
        </w:rPr>
      </w:pPr>
      <w:r>
        <w:rPr>
          <w:rFonts w:ascii="宋体" w:eastAsia="宋体" w:hint="eastAsia"/>
        </w:rPr>
        <w:t>需求驱动，服务临床</w:t>
      </w:r>
    </w:p>
    <w:p>
      <w:pPr>
        <w:pStyle w:val="BodyText"/>
        <w:spacing w:line="295" w:lineRule="auto" w:before="74"/>
        <w:ind w:right="587" w:firstLine="480"/>
      </w:pPr>
      <w:r>
        <w:rPr>
          <w:spacing w:val="-10"/>
        </w:rPr>
        <w:t>当患者有需求，但从现有文献无法获得可靠证据时，临床药师有责任为临床用药当好参</w:t>
      </w:r>
      <w:r>
        <w:rPr/>
        <w:t>谋。</w:t>
      </w:r>
    </w:p>
    <w:p>
      <w:pPr>
        <w:pStyle w:val="BodyText"/>
        <w:spacing w:line="297" w:lineRule="auto" w:before="2"/>
        <w:ind w:right="587" w:firstLine="480"/>
      </w:pPr>
      <w:r>
        <w:rPr>
          <w:spacing w:val="-11"/>
        </w:rPr>
        <w:t>例如，对于非瓣膜性房颤并伴有肾功能不全的患者来说，如何权衡新型口服抗凝药的抗</w:t>
      </w:r>
      <w:r>
        <w:rPr/>
        <w:t>凝疗效和出血风险？不同品种以及剂量的口服抗凝药预防卒中的有效性以及安全性是否存在差异？</w:t>
      </w:r>
    </w:p>
    <w:p>
      <w:pPr>
        <w:pStyle w:val="BodyText"/>
        <w:spacing w:line="297" w:lineRule="auto"/>
        <w:ind w:right="590" w:firstLine="480"/>
      </w:pPr>
      <w:r>
        <w:rPr>
          <w:spacing w:val="-10"/>
        </w:rPr>
        <w:t>我们首先进行了文献检索，发现目前并没有直接比较不同新型口服抗凝药以及剂量有效</w:t>
      </w:r>
      <w:r>
        <w:rPr/>
        <w:t>性和安全性的随机对照试验（RCT），</w:t>
      </w:r>
      <w:r>
        <w:rPr>
          <w:spacing w:val="-10"/>
        </w:rPr>
        <w:t>自然也没有 </w:t>
      </w:r>
      <w:r>
        <w:rPr/>
        <w:t>Meta</w:t>
      </w:r>
      <w:r>
        <w:rPr>
          <w:spacing w:val="-8"/>
        </w:rPr>
        <w:t> 分析可以提供答案。</w:t>
      </w:r>
    </w:p>
    <w:p>
      <w:pPr>
        <w:pStyle w:val="BodyText"/>
        <w:spacing w:line="297" w:lineRule="auto"/>
        <w:ind w:right="588" w:firstLine="480"/>
        <w:jc w:val="both"/>
      </w:pPr>
      <w:r>
        <w:rPr>
          <w:spacing w:val="-3"/>
        </w:rPr>
        <w:t>为了解决这个问题，我们进行了荟萃分析。基于传统 </w:t>
      </w:r>
      <w:r>
        <w:rPr/>
        <w:t>Meta</w:t>
      </w:r>
      <w:r>
        <w:rPr>
          <w:spacing w:val="-8"/>
        </w:rPr>
        <w:t> 分析的局限性，我们选择了</w:t>
      </w:r>
      <w:r>
        <w:rPr>
          <w:spacing w:val="-26"/>
        </w:rPr>
        <w:t>网状 </w:t>
      </w:r>
      <w:r>
        <w:rPr/>
        <w:t>Meta</w:t>
      </w:r>
      <w:r>
        <w:rPr>
          <w:spacing w:val="-8"/>
        </w:rPr>
        <w:t> 分析，间接比较不同品种和剂量的口服抗凝药对房颤患者卒中预防的有效性和安</w:t>
      </w:r>
      <w:r>
        <w:rPr>
          <w:spacing w:val="-10"/>
        </w:rPr>
        <w:t>全性。通过文献检索和筛选，纳入了 </w:t>
      </w:r>
      <w:r>
        <w:rPr/>
        <w:t>5</w:t>
      </w:r>
      <w:r>
        <w:rPr>
          <w:spacing w:val="-24"/>
        </w:rPr>
        <w:t> 个大型 </w:t>
      </w:r>
      <w:r>
        <w:rPr/>
        <w:t>RCT</w:t>
      </w:r>
      <w:r>
        <w:rPr>
          <w:spacing w:val="-6"/>
        </w:rPr>
        <w:t>。同时，考虑不同的新型口服抗凝药均不</w:t>
      </w:r>
      <w:r>
        <w:rPr/>
        <w:t>同程度经肾脏清除，根据不同的肾功能进行分层。</w:t>
      </w:r>
    </w:p>
    <w:p>
      <w:pPr>
        <w:pStyle w:val="BodyText"/>
        <w:spacing w:line="297" w:lineRule="auto"/>
        <w:ind w:right="588" w:firstLine="480"/>
        <w:jc w:val="both"/>
      </w:pPr>
      <w:r>
        <w:rPr>
          <w:spacing w:val="-8"/>
        </w:rPr>
        <w:t>结果显示，对于 </w:t>
      </w:r>
      <w:r>
        <w:rPr>
          <w:spacing w:val="-5"/>
        </w:rPr>
        <w:t>CrCl（</w:t>
      </w:r>
      <w:r>
        <w:rPr/>
        <w:t>肌酐清除率</w:t>
      </w:r>
      <w:r>
        <w:rPr>
          <w:spacing w:val="-22"/>
        </w:rPr>
        <w:t>）</w:t>
      </w:r>
      <w:r>
        <w:rPr>
          <w:spacing w:val="-20"/>
        </w:rPr>
        <w:t>大于 </w:t>
      </w:r>
      <w:r>
        <w:rPr/>
        <w:t>80ml/min</w:t>
      </w:r>
      <w:r>
        <w:rPr>
          <w:spacing w:val="-9"/>
        </w:rPr>
        <w:t> 的患者，达比加群有效性更佳，依</w:t>
      </w:r>
      <w:r>
        <w:rPr>
          <w:spacing w:val="10"/>
        </w:rPr>
        <w:t>度沙班</w:t>
      </w:r>
      <w:r>
        <w:rPr/>
        <w:t>30mg</w:t>
      </w:r>
      <w:r>
        <w:rPr>
          <w:spacing w:val="-16"/>
        </w:rPr>
        <w:t> 安全性更佳</w:t>
      </w:r>
      <w:r>
        <w:rPr/>
        <w:t>；CrCl</w:t>
      </w:r>
      <w:r>
        <w:rPr>
          <w:spacing w:val="-28"/>
        </w:rPr>
        <w:t> 在</w:t>
      </w:r>
      <w:r>
        <w:rPr/>
        <w:t>50~80</w:t>
      </w:r>
      <w:r>
        <w:rPr>
          <w:spacing w:val="-9"/>
        </w:rPr>
        <w:t> 的患者，依度沙班</w:t>
      </w:r>
      <w:r>
        <w:rPr/>
        <w:t>60mg</w:t>
      </w:r>
      <w:r>
        <w:rPr>
          <w:spacing w:val="-8"/>
        </w:rPr>
        <w:t> 有效性更佳，依度沙班</w:t>
      </w:r>
      <w:r>
        <w:rPr>
          <w:spacing w:val="-4"/>
        </w:rPr>
        <w:t>30mg </w:t>
      </w:r>
      <w:r>
        <w:rPr/>
        <w:t>安全性更佳；CrCl</w:t>
      </w:r>
      <w:r>
        <w:rPr>
          <w:spacing w:val="-31"/>
        </w:rPr>
        <w:t> 小于 </w:t>
      </w:r>
      <w:r>
        <w:rPr/>
        <w:t>50</w:t>
      </w:r>
      <w:r>
        <w:rPr>
          <w:spacing w:val="-14"/>
        </w:rPr>
        <w:t> 的患者，达比加群 </w:t>
      </w:r>
      <w:r>
        <w:rPr/>
        <w:t>150mg</w:t>
      </w:r>
      <w:r>
        <w:rPr>
          <w:spacing w:val="-13"/>
        </w:rPr>
        <w:t> 有效性更佳，依度沙班 </w:t>
      </w:r>
      <w:r>
        <w:rPr/>
        <w:t>15mg</w:t>
      </w:r>
      <w:r>
        <w:rPr>
          <w:spacing w:val="-12"/>
        </w:rPr>
        <w:t> 安全性更佳。相关论文发表在《生理学前沿》杂志。</w:t>
      </w:r>
    </w:p>
    <w:p>
      <w:pPr>
        <w:pStyle w:val="Heading7"/>
        <w:spacing w:line="304" w:lineRule="exact"/>
        <w:rPr>
          <w:rFonts w:ascii="宋体" w:eastAsia="宋体" w:hint="eastAsia"/>
        </w:rPr>
      </w:pPr>
      <w:r>
        <w:rPr>
          <w:rFonts w:ascii="宋体" w:eastAsia="宋体" w:hint="eastAsia"/>
        </w:rPr>
        <w:t>大处着智，小处着心</w:t>
      </w:r>
    </w:p>
    <w:p>
      <w:pPr>
        <w:pStyle w:val="BodyText"/>
        <w:spacing w:line="297" w:lineRule="auto" w:before="61"/>
        <w:ind w:right="487" w:firstLine="480"/>
      </w:pPr>
      <w:r>
        <w:rPr>
          <w:spacing w:val="-9"/>
        </w:rPr>
        <w:t>当你每天经过 </w:t>
      </w:r>
      <w:r>
        <w:rPr/>
        <w:t>CT</w:t>
      </w:r>
      <w:r>
        <w:rPr>
          <w:spacing w:val="-8"/>
        </w:rPr>
        <w:t> 室门口，会看到有些患者在做检查前需要喝水，进一步了解，这是为</w:t>
      </w:r>
      <w:r>
        <w:rPr>
          <w:spacing w:val="-14"/>
        </w:rPr>
        <w:t>了缓解造影剂致肾损害所采取的一项措施。人人都要采取这样的处理措施吗？有没有风险差</w:t>
      </w:r>
      <w:r>
        <w:rPr>
          <w:spacing w:val="-15"/>
        </w:rPr>
        <w:t>异？我们发现，造影剂作为介入放射学操作中最常使用的药物之一，其诱发的急性肾损伤， </w:t>
      </w:r>
      <w:r>
        <w:rPr/>
        <w:t>即造影剂肾病（CI-AKI）是最常见的不良反应。</w:t>
      </w:r>
    </w:p>
    <w:p>
      <w:pPr>
        <w:pStyle w:val="BodyText"/>
        <w:spacing w:line="297" w:lineRule="auto"/>
        <w:ind w:right="584" w:firstLine="480"/>
      </w:pPr>
      <w:r>
        <w:rPr/>
        <w:t>CI-AKI</w:t>
      </w:r>
      <w:r>
        <w:rPr>
          <w:spacing w:val="-10"/>
        </w:rPr>
        <w:t> 是除缺血性和药物性损伤外，医院获得性急性肾损伤</w:t>
      </w:r>
      <w:r>
        <w:rPr/>
        <w:t>（AKI）</w:t>
      </w:r>
      <w:r>
        <w:rPr>
          <w:spacing w:val="-4"/>
        </w:rPr>
        <w:t>的第三大病因，占</w:t>
      </w:r>
      <w:r>
        <w:rPr>
          <w:spacing w:val="-20"/>
        </w:rPr>
        <w:t>比达 </w:t>
      </w:r>
      <w:r>
        <w:rPr/>
        <w:t>12</w:t>
      </w:r>
      <w:r>
        <w:rPr>
          <w:spacing w:val="-4"/>
        </w:rPr>
        <w:t>%。其导致持续性肾损伤的发生率为 </w:t>
      </w:r>
      <w:r>
        <w:rPr/>
        <w:t>18.6％，进而导致慢性肾脏病（CKD）的发生率</w:t>
      </w:r>
      <w:r>
        <w:rPr>
          <w:spacing w:val="-9"/>
        </w:rPr>
        <w:t>和总死亡率为 </w:t>
      </w:r>
      <w:r>
        <w:rPr/>
        <w:t>7%~31%，</w:t>
      </w:r>
      <w:r>
        <w:rPr>
          <w:spacing w:val="-4"/>
        </w:rPr>
        <w:t>平均住院时间和社会经济负担增加 </w:t>
      </w:r>
      <w:r>
        <w:rPr/>
        <w:t>5~10</w:t>
      </w:r>
      <w:r>
        <w:rPr>
          <w:spacing w:val="-24"/>
        </w:rPr>
        <w:t> 倍。而 </w:t>
      </w:r>
      <w:r>
        <w:rPr/>
        <w:t>CI-AKI</w:t>
      </w:r>
      <w:r>
        <w:rPr>
          <w:spacing w:val="-10"/>
        </w:rPr>
        <w:t> 目前没有确</w:t>
      </w:r>
      <w:r>
        <w:rPr>
          <w:spacing w:val="-12"/>
        </w:rPr>
        <w:t>切有效的治疗方案。因此，提前发现高风险人群，并采取充分的预防措施，对减少 </w:t>
      </w:r>
      <w:r>
        <w:rPr/>
        <w:t>CI-AKI 的发病率至关重要。</w:t>
      </w:r>
    </w:p>
    <w:p>
      <w:pPr>
        <w:spacing w:after="0" w:line="297" w:lineRule="auto"/>
        <w:sectPr>
          <w:type w:val="continuous"/>
          <w:pgSz w:w="11910" w:h="16850"/>
          <w:pgMar w:top="1100" w:bottom="1020" w:left="680" w:right="540"/>
        </w:sectPr>
      </w:pPr>
    </w:p>
    <w:p>
      <w:pPr>
        <w:pStyle w:val="BodyText"/>
        <w:spacing w:line="295" w:lineRule="auto" w:before="65"/>
        <w:ind w:right="469" w:firstLine="480"/>
        <w:jc w:val="both"/>
      </w:pPr>
      <w:r>
        <w:rPr/>
        <w:t>Mehran</w:t>
      </w:r>
      <w:r>
        <w:rPr>
          <w:spacing w:val="-13"/>
        </w:rPr>
        <w:t> 评分是临床最常用的 </w:t>
      </w:r>
      <w:r>
        <w:rPr/>
        <w:t>CI-AKI</w:t>
      </w:r>
      <w:r>
        <w:rPr>
          <w:spacing w:val="-18"/>
        </w:rPr>
        <w:t> 风险评估模型，在 </w:t>
      </w:r>
      <w:r>
        <w:rPr/>
        <w:t>2004</w:t>
      </w:r>
      <w:r>
        <w:rPr>
          <w:spacing w:val="-9"/>
        </w:rPr>
        <w:t> 年基于美国人群队列开发。</w:t>
      </w:r>
      <w:r>
        <w:rPr/>
        <w:t>但是我们通过回顾性研究发现，Mehran</w:t>
      </w:r>
      <w:r>
        <w:rPr>
          <w:spacing w:val="-13"/>
        </w:rPr>
        <w:t> 评分并不能准确地预测 </w:t>
      </w:r>
      <w:r>
        <w:rPr/>
        <w:t>CI-AKI</w:t>
      </w:r>
      <w:r>
        <w:rPr>
          <w:spacing w:val="-8"/>
        </w:rPr>
        <w:t> 的发生风险。因此， </w:t>
      </w:r>
      <w:r>
        <w:rPr>
          <w:spacing w:val="-11"/>
        </w:rPr>
        <w:t>非常有必要开发适用于中国人群的高性能 </w:t>
      </w:r>
      <w:r>
        <w:rPr/>
        <w:t>CI-AKI</w:t>
      </w:r>
      <w:r>
        <w:rPr>
          <w:spacing w:val="-8"/>
        </w:rPr>
        <w:t> 风险预测模型。</w:t>
      </w:r>
    </w:p>
    <w:p>
      <w:pPr>
        <w:pStyle w:val="BodyText"/>
        <w:spacing w:line="297" w:lineRule="auto" w:before="5"/>
        <w:ind w:right="545" w:firstLine="480"/>
        <w:jc w:val="both"/>
      </w:pPr>
      <w:r>
        <w:rPr>
          <w:spacing w:val="-6"/>
        </w:rPr>
        <w:t>基于使用造影剂患者的诊疗数据，通过随机森林的数据分析方法，我们发现了中国人群CI-AKI</w:t>
      </w:r>
      <w:r>
        <w:rPr>
          <w:spacing w:val="-41"/>
        </w:rPr>
        <w:t> 的 </w:t>
      </w:r>
      <w:r>
        <w:rPr/>
        <w:t>13</w:t>
      </w:r>
      <w:r>
        <w:rPr>
          <w:spacing w:val="-11"/>
        </w:rPr>
        <w:t> 个危险因素，并建立了首个可以应用于增强 </w:t>
      </w:r>
      <w:r>
        <w:rPr/>
        <w:t>CT</w:t>
      </w:r>
      <w:r>
        <w:rPr>
          <w:spacing w:val="-24"/>
        </w:rPr>
        <w:t> 患者的 </w:t>
      </w:r>
      <w:r>
        <w:rPr/>
        <w:t>CI-AKI</w:t>
      </w:r>
      <w:r>
        <w:rPr>
          <w:spacing w:val="-10"/>
        </w:rPr>
        <w:t> 风险预测模型。</w:t>
      </w:r>
      <w:r>
        <w:rPr>
          <w:spacing w:val="-13"/>
        </w:rPr>
        <w:t>结果已在 </w:t>
      </w:r>
      <w:r>
        <w:rPr/>
        <w:t>2017</w:t>
      </w:r>
      <w:r>
        <w:rPr>
          <w:spacing w:val="-8"/>
        </w:rPr>
        <w:t> 年发表于《美国心脏协会杂志》。目前，基于该模型，创新性地建立了造影剂肾病风险预测平台，为降低患者使用造影剂的肾损伤风险提供了有力保障。</w:t>
      </w:r>
    </w:p>
    <w:p>
      <w:pPr>
        <w:pStyle w:val="Heading7"/>
        <w:spacing w:line="302" w:lineRule="exact"/>
        <w:rPr>
          <w:rFonts w:ascii="宋体" w:eastAsia="宋体" w:hint="eastAsia"/>
        </w:rPr>
      </w:pPr>
      <w:r>
        <w:rPr>
          <w:rFonts w:ascii="宋体" w:eastAsia="宋体" w:hint="eastAsia"/>
        </w:rPr>
        <w:t>精准用药，当仁不让</w:t>
      </w:r>
    </w:p>
    <w:p>
      <w:pPr>
        <w:pStyle w:val="BodyText"/>
        <w:spacing w:line="297" w:lineRule="auto" w:before="72"/>
        <w:ind w:right="590" w:firstLine="480"/>
      </w:pPr>
      <w:r>
        <w:rPr/>
        <w:t>当肾移植的患者服用基础免疫抑制剂他克莫司时，如何避免频繁采血测血药浓度的烦</w:t>
      </w:r>
      <w:r>
        <w:rPr>
          <w:spacing w:val="-5"/>
        </w:rPr>
        <w:t>恼？当患者的切实需求无法从药品说明书或已发表的文献找到相关依据时，就要是由临床药</w:t>
      </w:r>
      <w:r>
        <w:rPr/>
        <w:t>师利用所学专业知识来解决这一精准、科学用药的问题。</w:t>
      </w:r>
    </w:p>
    <w:p>
      <w:pPr>
        <w:pStyle w:val="BodyText"/>
        <w:spacing w:line="297" w:lineRule="auto"/>
        <w:ind w:right="487" w:firstLine="480"/>
      </w:pPr>
      <w:r>
        <w:rPr>
          <w:spacing w:val="-5"/>
        </w:rPr>
        <w:t>他克莫司是肾移植患者使用的主要抗排斥反应药。这种药物治疗剂量范围窄，经人体吸</w:t>
      </w:r>
      <w:r>
        <w:rPr>
          <w:spacing w:val="-9"/>
        </w:rPr>
        <w:t>收进入血液循环后，当在体内浓度低于 </w:t>
      </w:r>
      <w:r>
        <w:rPr/>
        <w:t>5ng/ml</w:t>
      </w:r>
      <w:r>
        <w:rPr>
          <w:spacing w:val="-12"/>
        </w:rPr>
        <w:t> 时，可产生排斥反应；高于 </w:t>
      </w:r>
      <w:r>
        <w:rPr/>
        <w:t>20ng/ml</w:t>
      </w:r>
      <w:r>
        <w:rPr>
          <w:spacing w:val="-15"/>
        </w:rPr>
        <w:t> 时，又</w:t>
      </w:r>
      <w:r>
        <w:rPr>
          <w:spacing w:val="-16"/>
        </w:rPr>
        <w:t>会导致毒副作用，均可致移植后的肾脏丧失功能。该药物在人体内还存在较大的个体差异， </w:t>
      </w:r>
      <w:r>
        <w:rPr>
          <w:spacing w:val="-7"/>
        </w:rPr>
        <w:t>所需服用剂量差异达 </w:t>
      </w:r>
      <w:r>
        <w:rPr/>
        <w:t>10~15</w:t>
      </w:r>
      <w:r>
        <w:rPr>
          <w:spacing w:val="-13"/>
        </w:rPr>
        <w:t> 倍，甚至更多，疗效和不良反应差别也很大。因而，精准用药对提高移植肾的长期存活率具有重要作用。</w:t>
      </w:r>
    </w:p>
    <w:p>
      <w:pPr>
        <w:pStyle w:val="BodyText"/>
        <w:spacing w:line="297" w:lineRule="auto"/>
        <w:ind w:right="587" w:firstLine="480"/>
        <w:jc w:val="both"/>
      </w:pPr>
      <w:r>
        <w:rPr>
          <w:spacing w:val="-10"/>
        </w:rPr>
        <w:t>根据这一需求，纳入以他克莫司作为基础免疫抑制剂的肾移植患者为研究对象，整理患者的临床诊疗资料，采用定量药理学的方法，建立他克莫司在肾移植患者中的群体药动学模型。相关研究论文发表在《遗传药理学和药物基因组学》期刊上。同时，我们将这一模型开</w:t>
      </w:r>
      <w:r>
        <w:rPr>
          <w:spacing w:val="-15"/>
        </w:rPr>
        <w:t>发成方便医师和药师使用的他克莫司个体化给药平台，在全国推广使用，可为患者制定个体</w:t>
      </w:r>
      <w:r>
        <w:rPr>
          <w:spacing w:val="-9"/>
        </w:rPr>
        <w:t>化给药方案，避免了反复调整用药剂量和反复抽血测浓度等烦琐工作，还节约了费用，对提</w:t>
      </w:r>
      <w:r>
        <w:rPr/>
        <w:t>高移植肾患者的长期存活率具有重要意义。</w:t>
      </w:r>
    </w:p>
    <w:p>
      <w:pPr>
        <w:spacing w:line="355" w:lineRule="exact" w:before="0"/>
        <w:ind w:left="1077" w:right="0" w:firstLine="0"/>
        <w:jc w:val="both"/>
        <w:rPr>
          <w:rFonts w:ascii="Microsoft JhengHei" w:eastAsia="Microsoft JhengHei" w:hint="eastAsia"/>
          <w:b/>
          <w:sz w:val="24"/>
        </w:rPr>
      </w:pPr>
      <w:r>
        <w:rPr>
          <w:w w:val="105"/>
          <w:sz w:val="24"/>
        </w:rPr>
        <w:t>作者：中南大学湘雅三医院药学部 左笑丛 </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BodyText"/>
        <w:spacing w:before="2"/>
        <w:ind w:left="0"/>
        <w:rPr>
          <w:rFonts w:ascii="Microsoft JhengHei"/>
          <w:b/>
          <w:sz w:val="10"/>
        </w:rPr>
      </w:pPr>
    </w:p>
    <w:p>
      <w:pPr>
        <w:spacing w:after="0"/>
        <w:rPr>
          <w:rFonts w:ascii="Microsoft JhengHei"/>
          <w:sz w:val="10"/>
        </w:rPr>
        <w:sectPr>
          <w:headerReference w:type="default" r:id="rId19"/>
          <w:footerReference w:type="default" r:id="rId20"/>
          <w:pgSz w:w="11910" w:h="16850"/>
          <w:pgMar w:header="906" w:footer="607" w:top="1100" w:bottom="800" w:left="680" w:right="540"/>
          <w:pgNumType w:start="15"/>
        </w:sectPr>
      </w:pPr>
    </w:p>
    <w:p>
      <w:pPr>
        <w:pStyle w:val="Heading2"/>
        <w:spacing w:before="54"/>
        <w:ind w:left="3417"/>
      </w:pPr>
      <w:bookmarkStart w:name="_TOC_250014" w:id="18"/>
      <w:bookmarkEnd w:id="18"/>
      <w:r>
        <w:rPr>
          <w:spacing w:val="-2"/>
        </w:rPr>
        <w:t>临床医生别忽视患者遗留痛</w:t>
      </w:r>
    </w:p>
    <w:p>
      <w:pPr>
        <w:pStyle w:val="BodyText"/>
        <w:ind w:left="0"/>
        <w:rPr>
          <w:b/>
        </w:rPr>
      </w:pPr>
      <w:r>
        <w:rPr/>
        <w:br w:type="column"/>
      </w:r>
      <w:r>
        <w:rPr>
          <w:b/>
        </w:rPr>
      </w:r>
    </w:p>
    <w:p>
      <w:pPr>
        <w:pStyle w:val="BodyText"/>
        <w:spacing w:before="10"/>
        <w:ind w:left="0"/>
        <w:rPr>
          <w:b/>
          <w:sz w:val="23"/>
        </w:rPr>
      </w:pPr>
    </w:p>
    <w:p>
      <w:pPr>
        <w:pStyle w:val="Heading7"/>
        <w:ind w:left="857"/>
      </w:pPr>
      <w:r>
        <w:rPr>
          <w:color w:val="FF0000"/>
        </w:rPr>
        <w:t>（来源：健康报）</w:t>
      </w:r>
    </w:p>
    <w:p>
      <w:pPr>
        <w:spacing w:after="0"/>
        <w:sectPr>
          <w:type w:val="continuous"/>
          <w:pgSz w:w="11910" w:h="16850"/>
          <w:pgMar w:top="1100" w:bottom="1020" w:left="680" w:right="540"/>
          <w:cols w:num="2" w:equalWidth="0">
            <w:col w:w="7271" w:space="40"/>
            <w:col w:w="3379"/>
          </w:cols>
        </w:sectPr>
      </w:pPr>
    </w:p>
    <w:p>
      <w:pPr>
        <w:pStyle w:val="BodyText"/>
        <w:spacing w:line="297" w:lineRule="auto" w:before="96"/>
        <w:ind w:right="605" w:firstLine="480"/>
        <w:jc w:val="both"/>
      </w:pPr>
      <w:r>
        <w:rPr>
          <w:spacing w:val="-1"/>
        </w:rPr>
        <w:t>俗话说“好了伤疤忘了痛”,但事实并非如此。许多患者在外伤愈合或术后伤疤长好后</w:t>
      </w:r>
      <w:r>
        <w:rPr>
          <w:spacing w:val="-5"/>
        </w:rPr>
        <w:t>仍会遗留下疼痛,有时可持续 </w:t>
      </w:r>
      <w:r>
        <w:rPr/>
        <w:t>1～3</w:t>
      </w:r>
      <w:r>
        <w:rPr>
          <w:spacing w:val="-9"/>
        </w:rPr>
        <w:t> 个月。尤其是在天气变化时对疼痛更为敏感,这到底是什</w:t>
      </w:r>
      <w:r>
        <w:rPr/>
        <w:t>么原因？又该如何预防和处理?</w:t>
      </w:r>
    </w:p>
    <w:p>
      <w:pPr>
        <w:pStyle w:val="Heading7"/>
        <w:spacing w:line="304" w:lineRule="exact"/>
        <w:rPr>
          <w:rFonts w:ascii="宋体" w:eastAsia="宋体" w:hint="eastAsia"/>
        </w:rPr>
      </w:pPr>
      <w:r>
        <w:rPr>
          <w:rFonts w:ascii="宋体" w:eastAsia="宋体" w:hint="eastAsia"/>
        </w:rPr>
        <w:t>伤后遗留痛应引起重视</w:t>
      </w:r>
    </w:p>
    <w:p>
      <w:pPr>
        <w:pStyle w:val="BodyText"/>
        <w:spacing w:before="72"/>
        <w:ind w:left="1077"/>
      </w:pPr>
      <w:r>
        <w:rPr/>
        <w:t>一般而言，在外伤或手术之后,组织受损的细胞会产生花生四烯酸,这种物质在环氧合酶</w:t>
      </w:r>
    </w:p>
    <w:p>
      <w:pPr>
        <w:pStyle w:val="BodyText"/>
        <w:spacing w:line="297" w:lineRule="auto" w:before="74"/>
        <w:ind w:right="472"/>
      </w:pPr>
      <w:r>
        <w:rPr/>
        <w:t>-1</w:t>
      </w:r>
      <w:r>
        <w:rPr>
          <w:spacing w:val="-11"/>
        </w:rPr>
        <w:t> 和环氧合酶</w:t>
      </w:r>
      <w:r>
        <w:rPr/>
        <w:t>-2(COX-1,COX-2)</w:t>
      </w:r>
      <w:r>
        <w:rPr>
          <w:spacing w:val="-5"/>
        </w:rPr>
        <w:t>的作用下会生成前列腺素 </w:t>
      </w:r>
      <w:r>
        <w:rPr/>
        <w:t>E(PGE)</w:t>
      </w:r>
      <w:r>
        <w:rPr>
          <w:spacing w:val="-44"/>
        </w:rPr>
        <w:t>。</w:t>
      </w:r>
      <w:r>
        <w:rPr/>
        <w:t>PGE</w:t>
      </w:r>
      <w:r>
        <w:rPr>
          <w:spacing w:val="-8"/>
        </w:rPr>
        <w:t> 是炎症反应和疼痛的刺激物,也是伤疤好后由急性疼痛转化为慢性疼痛的根源。因此，临床医生不能只顾创伤愈合情况而忽视对疼痛的处理。PGE 使神经元细胞活性增加,痛阈降低从而使疼痛的敏感性增</w:t>
      </w:r>
      <w:r>
        <w:rPr>
          <w:spacing w:val="-11"/>
        </w:rPr>
        <w:t>加；</w:t>
      </w:r>
      <w:r>
        <w:rPr>
          <w:spacing w:val="-14"/>
        </w:rPr>
        <w:t>PGE 还能使外周和中枢神经出现痛觉异常和过敏，使伤害性疼痛转化为慢性疼痛。因此， </w:t>
      </w:r>
      <w:r>
        <w:rPr>
          <w:spacing w:val="-3"/>
        </w:rPr>
        <w:t>为了切断此病理过程，防止痛觉过敏，临床上可应用 </w:t>
      </w:r>
      <w:r>
        <w:rPr/>
        <w:t>COX</w:t>
      </w:r>
      <w:r>
        <w:rPr>
          <w:spacing w:val="-16"/>
        </w:rPr>
        <w:t> 抑制剂以减少 </w:t>
      </w:r>
      <w:r>
        <w:rPr/>
        <w:t>PGE</w:t>
      </w:r>
      <w:r>
        <w:rPr>
          <w:spacing w:val="-12"/>
        </w:rPr>
        <w:t> 的生成。</w:t>
      </w:r>
    </w:p>
    <w:p>
      <w:pPr>
        <w:pStyle w:val="Heading7"/>
        <w:spacing w:line="300" w:lineRule="exact"/>
        <w:rPr>
          <w:rFonts w:ascii="宋体" w:eastAsia="宋体" w:hint="eastAsia"/>
        </w:rPr>
      </w:pPr>
      <w:r>
        <w:rPr>
          <w:rFonts w:ascii="宋体" w:eastAsia="宋体" w:hint="eastAsia"/>
        </w:rPr>
        <w:t>部分遗留痛须做神经阻滞</w:t>
      </w:r>
    </w:p>
    <w:p>
      <w:pPr>
        <w:spacing w:after="0" w:line="300" w:lineRule="exact"/>
        <w:rPr>
          <w:rFonts w:ascii="宋体" w:eastAsia="宋体" w:hint="eastAsia"/>
        </w:rPr>
        <w:sectPr>
          <w:type w:val="continuous"/>
          <w:pgSz w:w="11910" w:h="16850"/>
          <w:pgMar w:top="1100" w:bottom="1020" w:left="680" w:right="540"/>
        </w:sectPr>
      </w:pPr>
    </w:p>
    <w:p>
      <w:pPr>
        <w:pStyle w:val="BodyText"/>
        <w:spacing w:line="295" w:lineRule="auto" w:before="65"/>
        <w:ind w:right="607" w:firstLine="480"/>
        <w:jc w:val="both"/>
      </w:pPr>
      <w:r>
        <w:rPr/>
        <w:t>除大手术外,带状疱疹也是“伤疤好了忘不了痛”的典型代表。带状疱疹皮疹愈合后留下的神经痛（PHN）会持续 1 个月以上，发病率高达 50%。</w:t>
      </w:r>
    </w:p>
    <w:p>
      <w:pPr>
        <w:pStyle w:val="BodyText"/>
        <w:spacing w:line="297" w:lineRule="auto" w:before="2"/>
        <w:ind w:right="587" w:firstLine="480"/>
        <w:jc w:val="both"/>
      </w:pPr>
      <w:r>
        <w:rPr/>
        <w:t>PHN</w:t>
      </w:r>
      <w:r>
        <w:rPr>
          <w:spacing w:val="-11"/>
        </w:rPr>
        <w:t> 发生的原因是伤后非神经细胞和血管受到明显破坏，皮下组织遗留广泛粘连、挛缩和疤痕，局部血流减少，乏氧代谢增加和末梢神经受损，进而使神经元发生癫痫样自发性放</w:t>
      </w:r>
      <w:r>
        <w:rPr/>
        <w:t>电和中枢敏化。PHN</w:t>
      </w:r>
      <w:r>
        <w:rPr>
          <w:spacing w:val="-8"/>
        </w:rPr>
        <w:t> 除痛觉过敏外，常伴有焦虑、抑郁等心理情绪改变。</w:t>
      </w:r>
      <w:r>
        <w:rPr/>
        <w:t>PHN</w:t>
      </w:r>
      <w:r>
        <w:rPr>
          <w:spacing w:val="-9"/>
        </w:rPr>
        <w:t> 不仅是主观感</w:t>
      </w:r>
      <w:r>
        <w:rPr>
          <w:spacing w:val="-12"/>
        </w:rPr>
        <w:t>觉，而且存在“实际或潜在的损伤”，因此仅靠 </w:t>
      </w:r>
      <w:r>
        <w:rPr/>
        <w:t>COX</w:t>
      </w:r>
      <w:r>
        <w:rPr>
          <w:spacing w:val="-18"/>
        </w:rPr>
        <w:t> 抑制剂阻断 </w:t>
      </w:r>
      <w:r>
        <w:rPr/>
        <w:t>PGE</w:t>
      </w:r>
      <w:r>
        <w:rPr>
          <w:spacing w:val="-8"/>
        </w:rPr>
        <w:t> 的产生已远远不够。</w:t>
      </w:r>
    </w:p>
    <w:p>
      <w:pPr>
        <w:pStyle w:val="BodyText"/>
        <w:spacing w:line="295" w:lineRule="auto"/>
        <w:ind w:right="587" w:firstLine="480"/>
        <w:jc w:val="both"/>
      </w:pPr>
      <w:r>
        <w:rPr>
          <w:spacing w:val="-21"/>
        </w:rPr>
        <w:t>治疗 </w:t>
      </w:r>
      <w:r>
        <w:rPr/>
        <w:t>PHN</w:t>
      </w:r>
      <w:r>
        <w:rPr>
          <w:spacing w:val="-14"/>
        </w:rPr>
        <w:t> 主要依靠神经阻滞，从源头上阻断伤害性刺激向中枢传导。如是颈部带状疱疹</w:t>
      </w:r>
      <w:r>
        <w:rPr>
          <w:spacing w:val="-8"/>
        </w:rPr>
        <w:t>需加用星状神经节阻滞，胸部带状疱疹需应用硬膜外脊神经阻滞或肋间神经阻滞，腹部带状</w:t>
      </w:r>
      <w:r>
        <w:rPr/>
        <w:t>疱疹需用腹横肌平面阻滞。</w:t>
      </w:r>
    </w:p>
    <w:p>
      <w:pPr>
        <w:pStyle w:val="Heading7"/>
        <w:spacing w:before="2"/>
        <w:rPr>
          <w:rFonts w:ascii="宋体" w:eastAsia="宋体" w:hint="eastAsia"/>
        </w:rPr>
      </w:pPr>
      <w:r>
        <w:rPr>
          <w:rFonts w:ascii="宋体" w:eastAsia="宋体" w:hint="eastAsia"/>
          <w:w w:val="95"/>
        </w:rPr>
        <w:t>综合防治遗留痛有诀窍</w:t>
      </w:r>
    </w:p>
    <w:p>
      <w:pPr>
        <w:pStyle w:val="BodyText"/>
        <w:spacing w:line="297" w:lineRule="auto" w:before="72"/>
        <w:ind w:right="485" w:firstLine="480"/>
      </w:pPr>
      <w:r>
        <w:rPr>
          <w:spacing w:val="-5"/>
        </w:rPr>
        <w:t>对于已经基本医治好原发病的患者而言，遗留疼痛会产生不良感受，降低生活质量，应</w:t>
      </w:r>
      <w:r>
        <w:rPr>
          <w:spacing w:val="-7"/>
        </w:rPr>
        <w:t>给予及时有效的治疗，以防止一些遗留的急性疼痛转化为慢性痛，可从 </w:t>
      </w:r>
      <w:r>
        <w:rPr/>
        <w:t>5</w:t>
      </w:r>
      <w:r>
        <w:rPr>
          <w:spacing w:val="-9"/>
        </w:rPr>
        <w:t> 个方面进行操作。</w:t>
      </w:r>
      <w:r>
        <w:rPr/>
        <w:t>1.</w:t>
      </w:r>
      <w:r>
        <w:rPr>
          <w:spacing w:val="-18"/>
        </w:rPr>
        <w:t>积极开展预防性镇痛，未痛先防，如术前先给予 </w:t>
      </w:r>
      <w:r>
        <w:rPr/>
        <w:t>COX-2</w:t>
      </w:r>
      <w:r>
        <w:rPr>
          <w:spacing w:val="-18"/>
        </w:rPr>
        <w:t> 抑制剂，或术中给予非选择性 </w:t>
      </w:r>
      <w:r>
        <w:rPr/>
        <w:t>COX-2 </w:t>
      </w:r>
      <w:r>
        <w:rPr>
          <w:spacing w:val="-9"/>
        </w:rPr>
        <w:t>抑制剂，都可以减少创伤引发的 </w:t>
      </w:r>
      <w:r>
        <w:rPr/>
        <w:t>PGE</w:t>
      </w:r>
      <w:r>
        <w:rPr>
          <w:spacing w:val="-12"/>
        </w:rPr>
        <w:t> 生成，为术后镇痛打基础。</w:t>
      </w:r>
      <w:r>
        <w:rPr/>
        <w:t>2.</w:t>
      </w:r>
      <w:r>
        <w:rPr>
          <w:spacing w:val="-4"/>
        </w:rPr>
        <w:t>通过超声定位，打准各种</w:t>
      </w:r>
      <w:r>
        <w:rPr>
          <w:spacing w:val="-10"/>
        </w:rPr>
        <w:t>神经阻滞，从源头上阻断伤害性刺激的向心传导，使感觉神经系统休养生息，减少术后阿片类药用量，预防外周和中枢的痛觉过敏。</w:t>
      </w:r>
      <w:r>
        <w:rPr/>
        <w:t>3.</w:t>
      </w:r>
      <w:r>
        <w:rPr>
          <w:spacing w:val="-6"/>
        </w:rPr>
        <w:t>开展微创手术，减少组织损伤和范围。术后创口</w:t>
      </w:r>
      <w:r>
        <w:rPr>
          <w:spacing w:val="-8"/>
        </w:rPr>
        <w:t>的缝合要分层对准，减少疤痕的形成，切忌不分层粗糙的缝合。目前疼痛门诊患者有 </w:t>
      </w:r>
      <w:r>
        <w:rPr/>
        <w:t>3%～ 4%</w:t>
      </w:r>
      <w:r>
        <w:rPr>
          <w:spacing w:val="-3"/>
        </w:rPr>
        <w:t>是术后疤痕疼痛。</w:t>
      </w:r>
      <w:r>
        <w:rPr/>
        <w:t>4.</w:t>
      </w:r>
      <w:r>
        <w:rPr>
          <w:spacing w:val="-30"/>
        </w:rPr>
        <w:t>用 </w:t>
      </w:r>
      <w:r>
        <w:rPr/>
        <w:t>COX</w:t>
      </w:r>
      <w:r>
        <w:rPr>
          <w:spacing w:val="-9"/>
        </w:rPr>
        <w:t> 抑制剂氟比洛芬酯与阿片类药合用，用</w:t>
      </w:r>
      <w:r>
        <w:rPr>
          <w:rFonts w:ascii="Arial" w:hAnsi="Arial" w:eastAsia="Arial"/>
        </w:rPr>
        <w:t>α</w:t>
      </w:r>
      <w:r>
        <w:rPr>
          <w:rFonts w:ascii="Arial" w:hAnsi="Arial" w:eastAsia="Arial"/>
          <w:spacing w:val="33"/>
        </w:rPr>
        <w:t> </w:t>
      </w:r>
      <w:r>
        <w:rPr/>
        <w:t>2</w:t>
      </w:r>
      <w:r>
        <w:rPr>
          <w:spacing w:val="-8"/>
        </w:rPr>
        <w:t> 受体激动剂右美托咪定与阿片类药合用，均可加强镇痛效果，减少阿片类药用量，降低外周和中枢敏化。5. 配合按摩、听音乐、冷敷等方法，加强心理治疗和情感支持，以充实医护人文关怀。</w:t>
      </w:r>
    </w:p>
    <w:p>
      <w:pPr>
        <w:spacing w:line="349" w:lineRule="exact" w:before="0"/>
        <w:ind w:left="1077" w:right="0" w:firstLine="0"/>
        <w:jc w:val="left"/>
        <w:rPr>
          <w:rFonts w:ascii="Microsoft JhengHei" w:eastAsia="Microsoft JhengHei" w:hint="eastAsia"/>
          <w:b/>
          <w:sz w:val="24"/>
        </w:rPr>
      </w:pPr>
      <w:r>
        <w:rPr>
          <w:w w:val="105"/>
          <w:sz w:val="24"/>
        </w:rPr>
        <w:t>北京中医药大学东方医院麻醉科教授 邓硕曾 </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BodyText"/>
        <w:spacing w:before="12"/>
        <w:ind w:left="0"/>
        <w:rPr>
          <w:rFonts w:ascii="Microsoft JhengHei"/>
          <w:b/>
          <w:sz w:val="13"/>
        </w:rPr>
      </w:pPr>
    </w:p>
    <w:p>
      <w:pPr>
        <w:pStyle w:val="Heading2"/>
        <w:ind w:left="0"/>
        <w:jc w:val="center"/>
      </w:pPr>
      <w:bookmarkStart w:name="_TOC_250013" w:id="19"/>
      <w:bookmarkEnd w:id="19"/>
      <w:r>
        <w:rPr/>
        <w:t>过敏性鼻炎治疗药物的区别与联合用药</w:t>
      </w:r>
    </w:p>
    <w:p>
      <w:pPr>
        <w:pStyle w:val="Heading7"/>
        <w:spacing w:before="146"/>
        <w:ind w:left="0" w:right="588"/>
        <w:jc w:val="right"/>
      </w:pPr>
      <w:r>
        <w:rPr>
          <w:color w:val="FF0000"/>
          <w:w w:val="95"/>
        </w:rPr>
        <w:t>（来源：临床药师网）</w:t>
      </w:r>
    </w:p>
    <w:p>
      <w:pPr>
        <w:pStyle w:val="BodyText"/>
        <w:spacing w:line="297" w:lineRule="auto" w:before="95"/>
        <w:ind w:right="485" w:firstLine="480"/>
      </w:pPr>
      <w:r>
        <w:rPr>
          <w:spacing w:val="-5"/>
        </w:rPr>
        <w:t>鼻炎根据是否为变应原特异性 </w:t>
      </w:r>
      <w:r>
        <w:rPr/>
        <w:t>IgE</w:t>
      </w:r>
      <w:r>
        <w:rPr>
          <w:spacing w:val="-14"/>
        </w:rPr>
        <w:t> 介导，可分为变应性鼻炎和非变应性鼻炎。过敏性鼻</w:t>
      </w:r>
      <w:r>
        <w:rPr>
          <w:spacing w:val="-27"/>
        </w:rPr>
        <w:t>炎</w:t>
      </w:r>
      <w:r>
        <w:rPr>
          <w:spacing w:val="-7"/>
        </w:rPr>
        <w:t>（AR）</w:t>
      </w:r>
      <w:r>
        <w:rPr>
          <w:spacing w:val="-31"/>
        </w:rPr>
        <w:t>属 </w:t>
      </w:r>
      <w:r>
        <w:rPr/>
        <w:t>I</w:t>
      </w:r>
      <w:r>
        <w:rPr>
          <w:spacing w:val="-13"/>
        </w:rPr>
        <w:t> 型变态反应，是机体暴露于变应原后主要由 </w:t>
      </w:r>
      <w:r>
        <w:rPr/>
        <w:t>IgE</w:t>
      </w:r>
      <w:r>
        <w:rPr>
          <w:spacing w:val="-10"/>
        </w:rPr>
        <w:t> 介导的鼻黏膜慢性炎症。临床</w:t>
      </w:r>
      <w:r>
        <w:rPr>
          <w:spacing w:val="-11"/>
        </w:rPr>
        <w:t>症状为连续打喷嚏、鼻痒、鼻塞、水样涕，部分伴有眼痒、溢泪、眼红、结膜充血、眼肿、</w:t>
      </w:r>
      <w:r>
        <w:rPr/>
        <w:t>鼻黏膜水肿、频繁清咽、鼻涕倒流、慢性咳嗽、夜间打鼾等。</w:t>
      </w:r>
    </w:p>
    <w:p>
      <w:pPr>
        <w:pStyle w:val="Heading7"/>
        <w:spacing w:line="305" w:lineRule="exact"/>
        <w:rPr>
          <w:rFonts w:ascii="宋体" w:eastAsia="宋体" w:hint="eastAsia"/>
        </w:rPr>
      </w:pPr>
      <w:r>
        <w:rPr>
          <w:rFonts w:ascii="宋体" w:eastAsia="宋体" w:hint="eastAsia"/>
        </w:rPr>
        <w:t>过敏性鼻炎治疗药物的区别</w:t>
      </w:r>
    </w:p>
    <w:p>
      <w:pPr>
        <w:pStyle w:val="BodyText"/>
        <w:spacing w:line="295" w:lineRule="auto" w:before="72"/>
        <w:ind w:right="470" w:firstLine="480"/>
      </w:pPr>
      <w:r>
        <w:rPr>
          <w:spacing w:val="-13"/>
        </w:rPr>
        <w:t>过敏性鼻炎治疗药物有抗组胺药、糖皮质激素、白三烯受体拮抗剂、肥大细胞膜稳定剂、</w:t>
      </w:r>
      <w:r>
        <w:rPr/>
        <w:t>抗胆碱药、鼻减充血剂、鼻腔冲洗剂等。</w:t>
      </w:r>
    </w:p>
    <w:p>
      <w:pPr>
        <w:pStyle w:val="Heading7"/>
        <w:spacing w:before="4"/>
        <w:rPr>
          <w:rFonts w:ascii="宋体" w:eastAsia="宋体" w:hint="eastAsia"/>
        </w:rPr>
      </w:pPr>
      <w:r>
        <w:rPr>
          <w:rFonts w:ascii="宋体" w:eastAsia="宋体" w:hint="eastAsia"/>
        </w:rPr>
        <w:t>过敏性鼻炎的联合用药</w:t>
      </w:r>
    </w:p>
    <w:p>
      <w:pPr>
        <w:pStyle w:val="BodyText"/>
        <w:spacing w:before="72"/>
        <w:ind w:left="1077"/>
      </w:pPr>
      <w:r>
        <w:rPr/>
        <w:t>⑴口服抗组胺药+鼻用糖皮质激素</w:t>
      </w:r>
    </w:p>
    <w:p>
      <w:pPr>
        <w:pStyle w:val="BodyText"/>
        <w:spacing w:before="72"/>
        <w:ind w:left="1077"/>
      </w:pPr>
      <w:r>
        <w:rPr/>
        <w:t>口服抗组胺药联用鼻用糖皮质激素可用于中度、重度 AR 者，效果较好。</w:t>
      </w:r>
    </w:p>
    <w:p>
      <w:pPr>
        <w:pStyle w:val="BodyText"/>
        <w:spacing w:before="74"/>
        <w:ind w:left="1077"/>
      </w:pPr>
      <w:r>
        <w:rPr/>
        <w:t>⑵口服抗组胺药+口服糖皮质激素</w:t>
      </w:r>
    </w:p>
    <w:p>
      <w:pPr>
        <w:pStyle w:val="BodyText"/>
        <w:spacing w:line="297" w:lineRule="auto" w:before="72"/>
        <w:ind w:right="605" w:firstLine="480"/>
        <w:jc w:val="both"/>
      </w:pPr>
      <w:r>
        <w:rPr>
          <w:spacing w:val="-6"/>
        </w:rPr>
        <w:t>口服抗组胺药可缓解 </w:t>
      </w:r>
      <w:r>
        <w:rPr/>
        <w:t>AR</w:t>
      </w:r>
      <w:r>
        <w:rPr>
          <w:spacing w:val="-9"/>
        </w:rPr>
        <w:t> 者的鼻部症状如鼻痒、喷嚏和流涕及眼部症状，但改善鼻塞的</w:t>
      </w:r>
      <w:r>
        <w:rPr>
          <w:spacing w:val="-4"/>
        </w:rPr>
        <w:t>效果有限。口服糖皮质激素可改善 </w:t>
      </w:r>
      <w:r>
        <w:rPr/>
        <w:t>AR</w:t>
      </w:r>
      <w:r>
        <w:rPr>
          <w:spacing w:val="-9"/>
        </w:rPr>
        <w:t> 者的鼻部、眼部及下呼吸道症状。鼻塞症状严重、下</w:t>
      </w:r>
      <w:r>
        <w:rPr>
          <w:spacing w:val="-6"/>
        </w:rPr>
        <w:t>鼻甲显著肿胀或肥大的 </w:t>
      </w:r>
      <w:r>
        <w:rPr/>
        <w:t>AR</w:t>
      </w:r>
      <w:r>
        <w:rPr>
          <w:spacing w:val="-8"/>
        </w:rPr>
        <w:t> 者，两者短期联用可有效改善临床症状。</w:t>
      </w:r>
    </w:p>
    <w:p>
      <w:pPr>
        <w:spacing w:after="0" w:line="297" w:lineRule="auto"/>
        <w:jc w:val="both"/>
        <w:sectPr>
          <w:pgSz w:w="11910" w:h="16850"/>
          <w:pgMar w:header="906" w:footer="607" w:top="1100" w:bottom="800" w:left="680" w:right="540"/>
        </w:sectPr>
      </w:pPr>
    </w:p>
    <w:p>
      <w:pPr>
        <w:pStyle w:val="BodyText"/>
        <w:spacing w:line="295" w:lineRule="auto" w:before="65"/>
        <w:ind w:left="7267" w:right="656" w:firstLine="480"/>
      </w:pPr>
      <w:r>
        <w:rPr/>
        <w:drawing>
          <wp:anchor distT="0" distB="0" distL="0" distR="0" allowOverlap="1" layoutInCell="1" locked="0" behindDoc="0" simplePos="0" relativeHeight="251663360">
            <wp:simplePos x="0" y="0"/>
            <wp:positionH relativeFrom="page">
              <wp:posOffset>635000</wp:posOffset>
            </wp:positionH>
            <wp:positionV relativeFrom="page">
              <wp:posOffset>792479</wp:posOffset>
            </wp:positionV>
            <wp:extent cx="4296410" cy="9214485"/>
            <wp:effectExtent l="0" t="0" r="0" b="0"/>
            <wp:wrapNone/>
            <wp:docPr id="3" name="image4.jpeg"/>
            <wp:cNvGraphicFramePr>
              <a:graphicFrameLocks noChangeAspect="1"/>
            </wp:cNvGraphicFramePr>
            <a:graphic>
              <a:graphicData uri="http://schemas.openxmlformats.org/drawingml/2006/picture">
                <pic:pic>
                  <pic:nvPicPr>
                    <pic:cNvPr id="4" name="image4.jpeg"/>
                    <pic:cNvPicPr/>
                  </pic:nvPicPr>
                  <pic:blipFill>
                    <a:blip r:embed="rId21" cstate="print"/>
                    <a:stretch>
                      <a:fillRect/>
                    </a:stretch>
                  </pic:blipFill>
                  <pic:spPr>
                    <a:xfrm>
                      <a:off x="0" y="0"/>
                      <a:ext cx="4296410" cy="9214485"/>
                    </a:xfrm>
                    <a:prstGeom prst="rect">
                      <a:avLst/>
                    </a:prstGeom>
                  </pic:spPr>
                </pic:pic>
              </a:graphicData>
            </a:graphic>
          </wp:anchor>
        </w:drawing>
      </w:r>
      <w:r>
        <w:rPr/>
        <w:t>⑶口服抗组胺药+白三烯受体拮抗剂</w:t>
      </w:r>
    </w:p>
    <w:p>
      <w:pPr>
        <w:pStyle w:val="BodyText"/>
        <w:spacing w:line="297" w:lineRule="auto" w:before="2"/>
        <w:ind w:left="7267" w:right="468" w:firstLine="480"/>
      </w:pPr>
      <w:r>
        <w:rPr/>
        <w:t>白三烯受体拮抗剂可 </w:t>
      </w:r>
      <w:r>
        <w:rPr>
          <w:spacing w:val="8"/>
        </w:rPr>
        <w:t>明显改善</w:t>
      </w:r>
      <w:r>
        <w:rPr/>
        <w:t>AR</w:t>
      </w:r>
      <w:r>
        <w:rPr>
          <w:spacing w:val="-15"/>
        </w:rPr>
        <w:t> 者的鼻部症状、</w:t>
      </w:r>
      <w:r>
        <w:rPr>
          <w:spacing w:val="-7"/>
        </w:rPr>
        <w:t>眼部症状等，与口服抗组胺</w:t>
      </w:r>
      <w:r>
        <w:rPr>
          <w:spacing w:val="-18"/>
        </w:rPr>
        <w:t>药联用对 </w:t>
      </w:r>
      <w:r>
        <w:rPr/>
        <w:t>AR</w:t>
      </w:r>
      <w:r>
        <w:rPr>
          <w:spacing w:val="-9"/>
        </w:rPr>
        <w:t> 者的日间和夜</w:t>
      </w:r>
      <w:r>
        <w:rPr>
          <w:spacing w:val="-15"/>
        </w:rPr>
        <w:t>间症状</w:t>
      </w:r>
      <w:r>
        <w:rPr/>
        <w:t>（</w:t>
      </w:r>
      <w:r>
        <w:rPr>
          <w:spacing w:val="-5"/>
        </w:rPr>
        <w:t>包括鼻塞、睡眠障碍</w:t>
      </w:r>
      <w:r>
        <w:rPr>
          <w:spacing w:val="-27"/>
        </w:rPr>
        <w:t>）</w:t>
      </w:r>
      <w:r>
        <w:rPr>
          <w:spacing w:val="-4"/>
        </w:rPr>
        <w:t>的改善作用更显著。激素治疗不敏感且单用口服 抗组胺药症状控制不佳的 AR</w:t>
      </w:r>
      <w:r>
        <w:rPr>
          <w:spacing w:val="-8"/>
        </w:rPr>
        <w:t> 者，可两者联用。</w:t>
      </w:r>
    </w:p>
    <w:p>
      <w:pPr>
        <w:pStyle w:val="BodyText"/>
        <w:spacing w:line="297" w:lineRule="auto"/>
        <w:ind w:left="7267" w:right="656" w:firstLine="480"/>
      </w:pPr>
      <w:r>
        <w:rPr/>
        <w:t>⑷口服抗组胺药+鼻减充血剂</w:t>
      </w:r>
    </w:p>
    <w:p>
      <w:pPr>
        <w:pStyle w:val="BodyText"/>
        <w:spacing w:line="297" w:lineRule="auto"/>
        <w:ind w:left="7267" w:right="588" w:firstLine="480"/>
      </w:pPr>
      <w:r>
        <w:rPr/>
        <w:t>口服抗组胺药可显著</w:t>
      </w:r>
      <w:r>
        <w:rPr>
          <w:spacing w:val="-20"/>
        </w:rPr>
        <w:t>改善 </w:t>
      </w:r>
      <w:r>
        <w:rPr/>
        <w:t>AR</w:t>
      </w:r>
      <w:r>
        <w:rPr>
          <w:spacing w:val="-8"/>
        </w:rPr>
        <w:t> 者的鼻痒、喷嚏、</w:t>
      </w:r>
      <w:r>
        <w:rPr>
          <w:spacing w:val="-11"/>
        </w:rPr>
        <w:t>流涕等症状，而对鼻塞症状</w:t>
      </w:r>
      <w:r>
        <w:rPr>
          <w:spacing w:val="-8"/>
        </w:rPr>
        <w:t>的改善作用欠佳。鼻减充血</w:t>
      </w:r>
      <w:r>
        <w:rPr>
          <w:spacing w:val="-16"/>
        </w:rPr>
        <w:t>剂可快速缓解鼻塞，但对 </w:t>
      </w:r>
      <w:r>
        <w:rPr>
          <w:spacing w:val="-8"/>
        </w:rPr>
        <w:t>AR </w:t>
      </w:r>
      <w:r>
        <w:rPr/>
        <w:t>者的其他症状无明显改善</w:t>
      </w:r>
      <w:r>
        <w:rPr>
          <w:spacing w:val="-6"/>
        </w:rPr>
        <w:t>作用。两者联用可缓解 </w:t>
      </w:r>
      <w:r>
        <w:rPr/>
        <w:t>AR </w:t>
      </w:r>
      <w:r>
        <w:rPr>
          <w:spacing w:val="-8"/>
        </w:rPr>
        <w:t>者的鼻部症状，特别是改善</w:t>
      </w:r>
      <w:r>
        <w:rPr/>
        <w:t>鼻塞的效果。</w:t>
      </w:r>
    </w:p>
    <w:p>
      <w:pPr>
        <w:pStyle w:val="BodyText"/>
        <w:spacing w:line="295" w:lineRule="auto"/>
        <w:ind w:left="7267" w:right="656" w:firstLine="480"/>
      </w:pPr>
      <w:r>
        <w:rPr/>
        <w:t>⑸鼻用抗组胺药+鼻用糖皮质激素</w:t>
      </w:r>
    </w:p>
    <w:p>
      <w:pPr>
        <w:pStyle w:val="BodyText"/>
        <w:spacing w:line="297" w:lineRule="auto"/>
        <w:ind w:left="7267" w:right="656" w:firstLine="480"/>
      </w:pPr>
      <w:r>
        <w:rPr/>
        <w:t>鼻用抗组胺药和鼻用</w:t>
      </w:r>
      <w:r>
        <w:rPr>
          <w:spacing w:val="-2"/>
        </w:rPr>
        <w:t>糖皮质激素联用适于中-重</w:t>
      </w:r>
      <w:r>
        <w:rPr>
          <w:spacing w:val="-30"/>
        </w:rPr>
        <w:t>度 </w:t>
      </w:r>
      <w:r>
        <w:rPr/>
        <w:t>AR</w:t>
      </w:r>
      <w:r>
        <w:rPr>
          <w:spacing w:val="-9"/>
        </w:rPr>
        <w:t> 者，可明显改其鼻部</w:t>
      </w:r>
      <w:r>
        <w:rPr/>
        <w:t>症状等。</w:t>
      </w:r>
    </w:p>
    <w:p>
      <w:pPr>
        <w:pStyle w:val="BodyText"/>
        <w:spacing w:line="295" w:lineRule="auto"/>
        <w:ind w:left="7267" w:right="656" w:firstLine="480"/>
      </w:pPr>
      <w:r>
        <w:rPr/>
        <w:t>⑹鼻用糖皮质激素+白三烯受体拮抗剂</w:t>
      </w:r>
    </w:p>
    <w:p>
      <w:pPr>
        <w:pStyle w:val="BodyText"/>
        <w:spacing w:line="297" w:lineRule="auto"/>
        <w:ind w:left="7267" w:right="589" w:firstLine="480"/>
      </w:pPr>
      <w:r>
        <w:rPr/>
        <w:t>白三烯受体拮抗剂通过拮抗白三烯受体而发挥</w:t>
      </w:r>
      <w:r>
        <w:rPr>
          <w:spacing w:val="-9"/>
        </w:rPr>
        <w:t>临床效应，尤适于合并哮喘</w:t>
      </w:r>
      <w:r>
        <w:rPr>
          <w:spacing w:val="-30"/>
        </w:rPr>
        <w:t>的 </w:t>
      </w:r>
      <w:r>
        <w:rPr/>
        <w:t>AR</w:t>
      </w:r>
      <w:r>
        <w:rPr>
          <w:spacing w:val="-8"/>
        </w:rPr>
        <w:t> 者；糖皮质激素不能完全有效地控制白三烯的合成及后续的炎症反应过</w:t>
      </w:r>
      <w:r>
        <w:rPr>
          <w:spacing w:val="-9"/>
        </w:rPr>
        <w:t>程。两者联用适于对鼻用糖</w:t>
      </w:r>
      <w:r>
        <w:rPr/>
        <w:t>皮质激素治疗后鼻部症状</w:t>
      </w:r>
    </w:p>
    <w:p>
      <w:pPr>
        <w:spacing w:after="0" w:line="297" w:lineRule="auto"/>
        <w:sectPr>
          <w:pgSz w:w="11910" w:h="16850"/>
          <w:pgMar w:header="906" w:footer="607" w:top="1100" w:bottom="800" w:left="680" w:right="540"/>
        </w:sectPr>
      </w:pPr>
    </w:p>
    <w:p>
      <w:pPr>
        <w:pStyle w:val="BodyText"/>
        <w:spacing w:before="65"/>
      </w:pPr>
      <w:r>
        <w:rPr/>
        <w:t>（主要是鼻塞）未得到良好控制的中-重度 AR 者。</w:t>
      </w:r>
    </w:p>
    <w:p>
      <w:pPr>
        <w:pStyle w:val="BodyText"/>
        <w:spacing w:before="72"/>
        <w:ind w:left="1077"/>
      </w:pPr>
      <w:r>
        <w:rPr/>
        <w:t>⑺鼻用糖皮质激素+鼻减充血剂</w:t>
      </w:r>
    </w:p>
    <w:p>
      <w:pPr>
        <w:pStyle w:val="BodyText"/>
        <w:spacing w:line="237" w:lineRule="auto" w:before="74"/>
        <w:ind w:right="605" w:firstLine="480"/>
        <w:rPr>
          <w:rFonts w:ascii="Microsoft JhengHei" w:hAnsi="Microsoft JhengHei" w:eastAsia="Microsoft JhengHei" w:hint="eastAsia"/>
          <w:b/>
        </w:rPr>
      </w:pPr>
      <w:r>
        <w:rPr>
          <w:spacing w:val="-3"/>
        </w:rPr>
        <w:t>鼻减充血剂能快速缓解鼻塞症状，鼻用糖皮质激素治疗 </w:t>
      </w:r>
      <w:r>
        <w:rPr/>
        <w:t>AR</w:t>
      </w:r>
      <w:r>
        <w:rPr>
          <w:spacing w:val="-12"/>
        </w:rPr>
        <w:t> 者时短期</w:t>
      </w:r>
      <w:r>
        <w:rPr/>
        <w:t>（≤3d）</w:t>
      </w:r>
      <w:r>
        <w:rPr>
          <w:spacing w:val="-4"/>
        </w:rPr>
        <w:t>加用鼻减</w:t>
      </w:r>
      <w:r>
        <w:rPr/>
        <w:t>充血剂，可明显改善鼻部症状。</w:t>
      </w:r>
      <w:r>
        <w:rPr>
          <w:rFonts w:ascii="Microsoft JhengHei" w:hAnsi="Microsoft JhengHei" w:eastAsia="Microsoft JhengHei" w:hint="eastAsia"/>
          <w:b/>
          <w:color w:val="0033CC"/>
          <w:w w:val="115"/>
        </w:rPr>
        <w:t>[</w:t>
      </w:r>
      <w:r>
        <w:rPr>
          <w:rFonts w:ascii="Microsoft JhengHei" w:hAnsi="Microsoft JhengHei" w:eastAsia="Microsoft JhengHei" w:hint="eastAsia"/>
          <w:b/>
          <w:color w:val="0033CC"/>
        </w:rPr>
        <w:t>返回目次</w:t>
      </w:r>
      <w:r>
        <w:rPr>
          <w:rFonts w:ascii="Microsoft JhengHei" w:hAnsi="Microsoft JhengHei" w:eastAsia="Microsoft JhengHei" w:hint="eastAsia"/>
          <w:b/>
          <w:color w:val="0033CC"/>
          <w:w w:val="115"/>
        </w:rPr>
        <w:t>]</w:t>
      </w:r>
    </w:p>
    <w:p>
      <w:pPr>
        <w:pStyle w:val="Heading2"/>
        <w:spacing w:before="124"/>
      </w:pPr>
      <w:bookmarkStart w:name="_TOC_250012" w:id="20"/>
      <w:bookmarkEnd w:id="20"/>
      <w:r>
        <w:rPr/>
        <w:t>【中医中药】</w:t>
      </w:r>
    </w:p>
    <w:p>
      <w:pPr>
        <w:pStyle w:val="BodyText"/>
        <w:spacing w:before="6"/>
        <w:ind w:left="0"/>
        <w:rPr>
          <w:b/>
          <w:sz w:val="18"/>
        </w:rPr>
      </w:pPr>
    </w:p>
    <w:p>
      <w:pPr>
        <w:spacing w:after="0"/>
        <w:rPr>
          <w:sz w:val="18"/>
        </w:rPr>
        <w:sectPr>
          <w:pgSz w:w="11910" w:h="16850"/>
          <w:pgMar w:header="906" w:footer="607" w:top="1100" w:bottom="800" w:left="680" w:right="540"/>
        </w:sectPr>
      </w:pPr>
    </w:p>
    <w:p>
      <w:pPr>
        <w:pStyle w:val="Heading2"/>
        <w:spacing w:before="54"/>
        <w:ind w:left="3338"/>
      </w:pPr>
      <w:bookmarkStart w:name="_TOC_250011" w:id="21"/>
      <w:bookmarkEnd w:id="21"/>
      <w:r>
        <w:rPr>
          <w:spacing w:val="-3"/>
        </w:rPr>
        <w:t>医院中药炮制 该重视起来了</w:t>
      </w:r>
    </w:p>
    <w:p>
      <w:pPr>
        <w:pStyle w:val="BodyText"/>
        <w:ind w:left="0"/>
        <w:rPr>
          <w:b/>
        </w:rPr>
      </w:pPr>
      <w:r>
        <w:rPr/>
        <w:br w:type="column"/>
      </w:r>
      <w:r>
        <w:rPr>
          <w:b/>
        </w:rPr>
      </w:r>
    </w:p>
    <w:p>
      <w:pPr>
        <w:pStyle w:val="BodyText"/>
        <w:spacing w:before="7"/>
        <w:ind w:left="0"/>
        <w:rPr>
          <w:b/>
          <w:sz w:val="23"/>
        </w:rPr>
      </w:pPr>
    </w:p>
    <w:p>
      <w:pPr>
        <w:pStyle w:val="Heading7"/>
        <w:ind w:left="774"/>
      </w:pPr>
      <w:r>
        <w:rPr>
          <w:color w:val="FF0000"/>
        </w:rPr>
        <w:t>（来源：健康报）</w:t>
      </w:r>
    </w:p>
    <w:p>
      <w:pPr>
        <w:spacing w:after="0"/>
        <w:sectPr>
          <w:type w:val="continuous"/>
          <w:pgSz w:w="11910" w:h="16850"/>
          <w:pgMar w:top="1100" w:bottom="1020" w:left="680" w:right="540"/>
          <w:cols w:num="2" w:equalWidth="0">
            <w:col w:w="7354" w:space="40"/>
            <w:col w:w="3296"/>
          </w:cols>
        </w:sectPr>
      </w:pPr>
    </w:p>
    <w:p>
      <w:pPr>
        <w:pStyle w:val="BodyText"/>
        <w:spacing w:line="295" w:lineRule="auto" w:before="99"/>
        <w:ind w:right="590" w:firstLine="480"/>
        <w:jc w:val="both"/>
      </w:pPr>
      <w:r>
        <w:rPr>
          <w:spacing w:val="-9"/>
        </w:rPr>
        <w:t>提起中药炮制，很多人不禁想起这样一番景象：老药工汗流浃背，手拿铁铲翻炒药材的</w:t>
      </w:r>
      <w:r>
        <w:rPr>
          <w:spacing w:val="-10"/>
        </w:rPr>
        <w:t>景象。中药来源于自然界的植物、动物和矿物，但一般不用生药，必须经过加工炮制成中药</w:t>
      </w:r>
      <w:r>
        <w:rPr/>
        <w:t>饮片后才能入药，这是中医临床用药的一个特点，也是中医药的一大特色。</w:t>
      </w:r>
    </w:p>
    <w:p>
      <w:pPr>
        <w:pStyle w:val="BodyText"/>
        <w:spacing w:line="297" w:lineRule="auto" w:before="5"/>
        <w:ind w:right="467" w:firstLine="480"/>
      </w:pPr>
      <w:r>
        <w:rPr>
          <w:spacing w:val="-5"/>
        </w:rPr>
        <w:t>中药炮制是根据中医药理论，依照辨证施治用药的需要和药物自身性质，以及调剂、制</w:t>
      </w:r>
      <w:r>
        <w:rPr>
          <w:spacing w:val="-10"/>
        </w:rPr>
        <w:t>剂和临床应用的不同需要，所采取的一项独特的传统制剂技术。药物经炮制后，不仅可以增</w:t>
      </w:r>
      <w:r>
        <w:rPr>
          <w:spacing w:val="-18"/>
        </w:rPr>
        <w:t>效减毒，使药用部位更加纯净，临床调剂使用的时候剂量更加准确，而且能方便存储。如今， </w:t>
      </w:r>
      <w:r>
        <w:rPr>
          <w:spacing w:val="-12"/>
        </w:rPr>
        <w:t>我国从事中药炮制工作的老药工，尤其是在医院懂炮制、会炮制、在炮制的药师越来越罕见。</w:t>
      </w:r>
    </w:p>
    <w:p>
      <w:pPr>
        <w:pStyle w:val="Heading7"/>
        <w:spacing w:line="302" w:lineRule="exact"/>
        <w:rPr>
          <w:rFonts w:ascii="宋体" w:eastAsia="宋体" w:hint="eastAsia"/>
        </w:rPr>
      </w:pPr>
      <w:r>
        <w:rPr>
          <w:rFonts w:ascii="宋体" w:eastAsia="宋体" w:hint="eastAsia"/>
        </w:rPr>
        <w:t>医院中药炮制工作弱化</w:t>
      </w:r>
    </w:p>
    <w:p>
      <w:pPr>
        <w:pStyle w:val="BodyText"/>
        <w:spacing w:line="297" w:lineRule="auto" w:before="72"/>
        <w:ind w:right="467" w:firstLine="480"/>
      </w:pPr>
      <w:r>
        <w:rPr>
          <w:spacing w:val="-10"/>
        </w:rPr>
        <w:t>目前，中药炮制存在“后继乏人，后继乏术”的严重问题，其原因有多方面：一是中药</w:t>
      </w:r>
      <w:r>
        <w:rPr>
          <w:spacing w:val="-14"/>
        </w:rPr>
        <w:t>炮制从建国初期的“前店后厂、师徒传承”模式转变至高等院校中的“理论与实践教学”模式。二者各有利弊，前者培养出的人才动手能力强，但知识面较窄，知其然而不知所以然； 后者知识面广而扎实，但愿意从事实践操作的人不多</w:t>
      </w:r>
      <w:r>
        <w:rPr/>
        <w:t>（无理论与实践相结合的基础</w:t>
      </w:r>
      <w:r>
        <w:rPr>
          <w:spacing w:val="-27"/>
        </w:rPr>
        <w:t>）</w:t>
      </w:r>
      <w:r>
        <w:rPr>
          <w:spacing w:val="-10"/>
        </w:rPr>
        <w:t>。二是</w:t>
      </w:r>
      <w:r>
        <w:rPr>
          <w:spacing w:val="-11"/>
        </w:rPr>
        <w:t>体制原因。中华人民共和国成立前及成立初期的近十年属于商品经济，竞争性大，故老店独</w:t>
      </w:r>
      <w:r>
        <w:rPr>
          <w:spacing w:val="-14"/>
        </w:rPr>
        <w:t>具特色；在中华人民共和国成立后的 </w:t>
      </w:r>
      <w:r>
        <w:rPr/>
        <w:t>40</w:t>
      </w:r>
      <w:r>
        <w:rPr>
          <w:spacing w:val="-8"/>
        </w:rPr>
        <w:t> 年左右，掣肘于计划经济的制约，中药炮制发展也</w:t>
      </w:r>
      <w:r>
        <w:rPr>
          <w:spacing w:val="-18"/>
        </w:rPr>
        <w:t>受到了一定的影响；改革开放以来，由于从计划经济向市场经济的过渡过程中一些新的要求， </w:t>
      </w:r>
      <w:r>
        <w:rPr>
          <w:spacing w:val="-7"/>
        </w:rPr>
        <w:t>制约了中药炮制的发展。三是炮制工作脏、乱、差，待遇低等，从事炮制生产的多为文化水平较低的“操作工”，从事炮制研究的人才越来越少。</w:t>
      </w:r>
    </w:p>
    <w:p>
      <w:pPr>
        <w:pStyle w:val="BodyText"/>
        <w:spacing w:line="297" w:lineRule="auto"/>
        <w:ind w:right="487" w:firstLine="480"/>
      </w:pPr>
      <w:r>
        <w:rPr>
          <w:spacing w:val="-1"/>
        </w:rPr>
        <w:t>众所周知，古代中医治病“医药不分家”，中医不仅坐堂问诊开方，中药炮制、调剂、</w:t>
      </w:r>
      <w:r>
        <w:rPr>
          <w:spacing w:val="-6"/>
        </w:rPr>
        <w:t>配制膏丹丸散也是样样精通。近代许多名医也是先从小药工做起，逐步熟悉中药，最后成为</w:t>
      </w:r>
      <w:r>
        <w:rPr>
          <w:spacing w:val="-12"/>
        </w:rPr>
        <w:t>一代名医。但随着中药现代化的发展，学科分化越来越细，现在中药师不懂医理，中医师不知各炮制品差异的现象屡见不鲜。</w:t>
      </w:r>
    </w:p>
    <w:p>
      <w:pPr>
        <w:pStyle w:val="BodyText"/>
        <w:spacing w:line="297" w:lineRule="auto"/>
        <w:ind w:right="487" w:firstLine="480"/>
      </w:pPr>
      <w:r>
        <w:rPr>
          <w:spacing w:val="-10"/>
        </w:rPr>
        <w:t>目前，从国家政策层面看，存在重科研、重基础研究，轻临床的问题。医院中药师着眼</w:t>
      </w:r>
      <w:r>
        <w:rPr>
          <w:spacing w:val="-11"/>
        </w:rPr>
        <w:t>于炮制机理等基础研究，而临床研究很少，基础研究成果对临床用药的直接指导作用不强。</w:t>
      </w:r>
      <w:r>
        <w:rPr>
          <w:spacing w:val="-6"/>
        </w:rPr>
        <w:t>医院中药炮制工作逐渐被弱化，设置临方炮制室、开展临方炮制的中医院越来越少，许多特殊而又可产生特效的传统炮制技术逐渐被遗忘。</w:t>
      </w:r>
    </w:p>
    <w:p>
      <w:pPr>
        <w:pStyle w:val="Heading7"/>
        <w:spacing w:line="302" w:lineRule="exact"/>
        <w:rPr>
          <w:rFonts w:ascii="宋体" w:eastAsia="宋体" w:hint="eastAsia"/>
        </w:rPr>
      </w:pPr>
      <w:r>
        <w:rPr>
          <w:rFonts w:ascii="宋体" w:eastAsia="宋体" w:hint="eastAsia"/>
        </w:rPr>
        <w:t>炮制品应用有四大问题</w:t>
      </w:r>
    </w:p>
    <w:p>
      <w:pPr>
        <w:pStyle w:val="BodyText"/>
        <w:spacing w:line="297" w:lineRule="auto" w:before="57"/>
        <w:ind w:right="599" w:firstLine="480"/>
      </w:pPr>
      <w:r>
        <w:rPr/>
        <w:t>医疗机构是中药饮片的主要阵地，约 70％以上的中药饮片在医疗机构内使用。目前， 中药炮制品在临床应用中存在的一些问题令人担忧。</w:t>
      </w:r>
    </w:p>
    <w:p>
      <w:pPr>
        <w:pStyle w:val="BodyText"/>
        <w:spacing w:line="295" w:lineRule="auto"/>
        <w:ind w:right="606" w:firstLine="480"/>
      </w:pPr>
      <w:r>
        <w:rPr>
          <w:spacing w:val="-1"/>
        </w:rPr>
        <w:t>中药饮片炮制规格不丰富 市售中药饮片必须符合中国药典或地方炮制规范，而二者收</w:t>
      </w:r>
      <w:r>
        <w:rPr>
          <w:spacing w:val="-4"/>
        </w:rPr>
        <w:t>录的炮制规格有限，大部分品种只有 </w:t>
      </w:r>
      <w:r>
        <w:rPr/>
        <w:t>2</w:t>
      </w:r>
      <w:r>
        <w:rPr>
          <w:spacing w:val="-30"/>
        </w:rPr>
        <w:t> 个</w:t>
      </w:r>
      <w:r>
        <w:rPr/>
        <w:t>~3</w:t>
      </w:r>
      <w:r>
        <w:rPr>
          <w:spacing w:val="-8"/>
        </w:rPr>
        <w:t> 个炮制规格，许多疗效确切的炮制品因为没有</w:t>
      </w:r>
    </w:p>
    <w:p>
      <w:pPr>
        <w:spacing w:after="0" w:line="295" w:lineRule="auto"/>
        <w:sectPr>
          <w:type w:val="continuous"/>
          <w:pgSz w:w="11910" w:h="16850"/>
          <w:pgMar w:top="1100" w:bottom="1020" w:left="680" w:right="540"/>
        </w:sectPr>
      </w:pPr>
    </w:p>
    <w:p>
      <w:pPr>
        <w:pStyle w:val="BodyText"/>
        <w:spacing w:line="295" w:lineRule="auto" w:before="65"/>
        <w:ind w:right="467"/>
      </w:pPr>
      <w:r>
        <w:rPr>
          <w:spacing w:val="-14"/>
        </w:rPr>
        <w:t>标准而无法应用于临床。此外，一些不常用的炮制品由于价格低廉、用量少、炮制工艺复杂， </w:t>
      </w:r>
      <w:r>
        <w:rPr/>
        <w:t>生产企业因无利可图而不生产，想用也买不到。</w:t>
      </w:r>
    </w:p>
    <w:p>
      <w:pPr>
        <w:pStyle w:val="BodyText"/>
        <w:spacing w:line="297" w:lineRule="auto" w:before="2"/>
        <w:ind w:right="590" w:firstLine="480"/>
        <w:jc w:val="both"/>
      </w:pPr>
      <w:r>
        <w:rPr/>
        <w:t>中药饮片炮制质量参差不齐 第一，炮制火候不到位。比如“生升熟降”莱菔子，若炮</w:t>
      </w:r>
      <w:r>
        <w:rPr>
          <w:spacing w:val="-11"/>
        </w:rPr>
        <w:t>制不到位，虽然符合标准，但功效可能相反。第二，炮制工艺不严谨。比如炙甘草的炮制方</w:t>
      </w:r>
      <w:r>
        <w:rPr>
          <w:spacing w:val="-9"/>
        </w:rPr>
        <w:t>法应该是炼蜜加开水稀释、拌匀、闷润，让蜜水浸入甘草内部，通过加热发生系列反应后而</w:t>
      </w:r>
      <w:r>
        <w:rPr>
          <w:spacing w:val="-11"/>
        </w:rPr>
        <w:t>制成。部分企业为省时省力，去掉稀释、闷润环节，炙甘草蜜全挂在表面，起不到增强缓急</w:t>
      </w:r>
      <w:r>
        <w:rPr/>
        <w:t>止痛的功效。</w:t>
      </w:r>
    </w:p>
    <w:p>
      <w:pPr>
        <w:pStyle w:val="BodyText"/>
        <w:spacing w:line="297" w:lineRule="auto"/>
        <w:ind w:right="464" w:firstLine="480"/>
      </w:pPr>
      <w:r>
        <w:rPr/>
        <w:t>临床医师选择中药炮制品不够严谨 第一，部分医生对同一种药的不同炮制品作用了解</w:t>
      </w:r>
      <w:r>
        <w:rPr>
          <w:spacing w:val="-9"/>
        </w:rPr>
        <w:t>不深，导致随意选择炮制品。如生白术主要偏于燥湿利水，麸炒白术偏于健脾益气。燥湿利</w:t>
      </w:r>
      <w:r>
        <w:rPr>
          <w:spacing w:val="-14"/>
        </w:rPr>
        <w:t>水的药物容易伤阴、伤胃，所以，现在临床绝大部分用麸炒白术，生白术用得很少。风湿科</w:t>
      </w:r>
      <w:r>
        <w:rPr>
          <w:spacing w:val="-15"/>
        </w:rPr>
        <w:t>的患者湿证偏多，用生白术更对证，而许多医生不了解炮制品间的细微差别，想当然地去用</w:t>
      </w:r>
      <w:r>
        <w:rPr>
          <w:spacing w:val="-16"/>
        </w:rPr>
        <w:t>药，有的甚至方中全用麸炒白术，不利于燥湿。第二，经典方剂未得到很好传承。《伤寒论》</w:t>
      </w:r>
      <w:r>
        <w:rPr/>
        <w:t>中方剂大部分用的是炙甘草，临床上却大部分选用生甘草。</w:t>
      </w:r>
    </w:p>
    <w:p>
      <w:pPr>
        <w:pStyle w:val="BodyText"/>
        <w:spacing w:line="297" w:lineRule="auto"/>
        <w:ind w:right="592" w:firstLine="480"/>
        <w:jc w:val="both"/>
      </w:pPr>
      <w:r>
        <w:rPr/>
        <w:t>临床缺乏对不同炮制品功效的比较总结 医疗模式由最初的前店后厂、医生亲自制药， </w:t>
      </w:r>
      <w:r>
        <w:rPr>
          <w:spacing w:val="-9"/>
        </w:rPr>
        <w:t>转变为现在医生开方、药师配药，影响了用药作用信息的反馈、比较、总结。许多患者服药</w:t>
      </w:r>
      <w:r>
        <w:rPr>
          <w:spacing w:val="-10"/>
        </w:rPr>
        <w:t>后效果不好，很少有反馈信息。即使有信息反馈，医生也很少从炮制品选择上找原因，大部</w:t>
      </w:r>
      <w:r>
        <w:rPr/>
        <w:t>分认为是诊断不准确、方剂选择不合理等。</w:t>
      </w:r>
    </w:p>
    <w:p>
      <w:pPr>
        <w:pStyle w:val="Heading7"/>
        <w:spacing w:line="302" w:lineRule="exact"/>
        <w:rPr>
          <w:rFonts w:ascii="宋体" w:eastAsia="宋体" w:hint="eastAsia"/>
        </w:rPr>
      </w:pPr>
      <w:r>
        <w:rPr>
          <w:rFonts w:ascii="宋体" w:eastAsia="宋体" w:hint="eastAsia"/>
        </w:rPr>
        <w:t>临床药师要担负起重任</w:t>
      </w:r>
    </w:p>
    <w:p>
      <w:pPr>
        <w:pStyle w:val="BodyText"/>
        <w:spacing w:line="295" w:lineRule="auto" w:before="61"/>
        <w:ind w:right="587" w:firstLine="480"/>
      </w:pPr>
      <w:r>
        <w:rPr>
          <w:spacing w:val="-10"/>
        </w:rPr>
        <w:t>笔者认为，改善中药炮制现状，临床药师要充分利用医疗机构平台，立足临床研究中药</w:t>
      </w:r>
      <w:r>
        <w:rPr/>
        <w:t>炮制，以服务临床为导向，这样中药炮制内容才会得到极大丰富，取得较快的发展。</w:t>
      </w:r>
    </w:p>
    <w:p>
      <w:pPr>
        <w:pStyle w:val="BodyText"/>
        <w:spacing w:line="297" w:lineRule="auto" w:before="2"/>
        <w:ind w:right="587" w:firstLine="480"/>
        <w:jc w:val="both"/>
      </w:pPr>
      <w:r>
        <w:rPr/>
        <w:t>深挖经典，进行传承创新 第一，深挖经典，综合考虑古人先贤所处社会历史条件，研</w:t>
      </w:r>
      <w:r>
        <w:rPr>
          <w:spacing w:val="-6"/>
        </w:rPr>
        <w:t>究其使用的炮制品类和方法，了解经方用药的真正意义。第二，传承寻根、创新有源。传承</w:t>
      </w:r>
      <w:r>
        <w:rPr>
          <w:spacing w:val="-12"/>
        </w:rPr>
        <w:t>是根本，在传承基础上进行创新，否则就会偏离方向，成为无源之水、无本之木。第三，利</w:t>
      </w:r>
      <w:r>
        <w:rPr>
          <w:spacing w:val="-7"/>
        </w:rPr>
        <w:t>用现有条件尝试复原经典工艺。例如何首乌“九蒸九晒”，古法炮制的何首乌已经应用上千</w:t>
      </w:r>
      <w:r>
        <w:rPr/>
        <w:t>年，而今因肝毒性被热议，是炮制不到位，还是其他原因，值得我们深入研究。</w:t>
      </w:r>
    </w:p>
    <w:p>
      <w:pPr>
        <w:pStyle w:val="BodyText"/>
        <w:spacing w:line="297" w:lineRule="auto"/>
        <w:ind w:right="487" w:firstLine="480"/>
        <w:jc w:val="both"/>
      </w:pPr>
      <w:r>
        <w:rPr>
          <w:spacing w:val="-1"/>
        </w:rPr>
        <w:t>发挥临床药师作用 若要让不同炮制品在临床得到应用，首先应该让临床医生明白我们</w:t>
      </w:r>
      <w:r>
        <w:rPr>
          <w:spacing w:val="-8"/>
        </w:rPr>
        <w:t>能够提供哪些炮制品，不同炮制品之间的功效有何区别。这些可以通过讲座、培训给他们讲</w:t>
      </w:r>
      <w:r>
        <w:rPr>
          <w:spacing w:val="-12"/>
        </w:rPr>
        <w:t>明白、说清楚。此外，医院还可指派专职临床中药师负责处方点评、临床用药指导工作，及</w:t>
      </w:r>
      <w:r>
        <w:rPr>
          <w:spacing w:val="-13"/>
        </w:rPr>
        <w:t>时收集临床用药信息，并将信息反馈给临方炮制室，作为指导中药炮制工作的第一手资料。</w:t>
      </w:r>
    </w:p>
    <w:p>
      <w:pPr>
        <w:spacing w:line="356" w:lineRule="exact" w:before="0"/>
        <w:ind w:left="1077" w:right="0" w:firstLine="0"/>
        <w:jc w:val="both"/>
        <w:rPr>
          <w:rFonts w:ascii="Microsoft JhengHei" w:eastAsia="Microsoft JhengHei" w:hint="eastAsia"/>
          <w:b/>
          <w:sz w:val="24"/>
        </w:rPr>
      </w:pPr>
      <w:r>
        <w:rPr>
          <w:w w:val="105"/>
          <w:sz w:val="24"/>
        </w:rPr>
        <w:t>作者: 山东省中医院药学部主任 马传江 </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Heading2"/>
        <w:spacing w:before="105"/>
      </w:pPr>
      <w:bookmarkStart w:name="_TOC_250010" w:id="22"/>
      <w:bookmarkEnd w:id="22"/>
      <w:r>
        <w:rPr/>
        <w:t>【科普知识】</w:t>
      </w:r>
    </w:p>
    <w:p>
      <w:pPr>
        <w:pStyle w:val="Heading2"/>
        <w:spacing w:before="286"/>
        <w:ind w:left="1089"/>
        <w:jc w:val="both"/>
      </w:pPr>
      <w:bookmarkStart w:name="_TOC_250009" w:id="23"/>
      <w:bookmarkEnd w:id="23"/>
      <w:r>
        <w:rPr/>
        <w:t>世界药师日 | 药师提醒您：感冒服药有风险，选药需谨慎！</w:t>
      </w:r>
    </w:p>
    <w:p>
      <w:pPr>
        <w:pStyle w:val="Heading7"/>
        <w:spacing w:before="148"/>
        <w:ind w:left="6720"/>
      </w:pPr>
      <w:r>
        <w:rPr>
          <w:color w:val="FF0000"/>
        </w:rPr>
        <w:t>（来源：药葫芦娃微信公众号）</w:t>
      </w:r>
    </w:p>
    <w:p>
      <w:pPr>
        <w:tabs>
          <w:tab w:pos="1926" w:val="left" w:leader="none"/>
        </w:tabs>
        <w:spacing w:before="95"/>
        <w:ind w:left="1079" w:right="0" w:firstLine="0"/>
        <w:jc w:val="left"/>
        <w:rPr>
          <w:b/>
          <w:sz w:val="24"/>
        </w:rPr>
      </w:pPr>
      <w:r>
        <w:rPr>
          <w:b/>
          <w:sz w:val="24"/>
        </w:rPr>
        <w:t>9.25</w:t>
        <w:tab/>
        <w:t>世界药师日</w:t>
      </w:r>
    </w:p>
    <w:p>
      <w:pPr>
        <w:pStyle w:val="BodyText"/>
        <w:spacing w:before="72"/>
        <w:ind w:left="1077"/>
      </w:pPr>
      <w:r>
        <w:rPr/>
        <w:t>今年世界药师日的主题是：为所有人提供安全有效的药品！</w:t>
      </w:r>
    </w:p>
    <w:p>
      <w:pPr>
        <w:pStyle w:val="BodyText"/>
        <w:spacing w:before="74"/>
        <w:ind w:left="1077"/>
      </w:pPr>
      <w:r>
        <w:rPr/>
        <w:t>世界卫生组织调查显示，在全球死亡病例中，有 1/3 是由于用药不当导致的。</w:t>
      </w:r>
    </w:p>
    <w:p>
      <w:pPr>
        <w:spacing w:after="0"/>
        <w:sectPr>
          <w:pgSz w:w="11910" w:h="16850"/>
          <w:pgMar w:header="906" w:footer="607" w:top="1100" w:bottom="800" w:left="680" w:right="540"/>
        </w:sectPr>
      </w:pPr>
    </w:p>
    <w:p>
      <w:pPr>
        <w:pStyle w:val="BodyText"/>
        <w:spacing w:line="295" w:lineRule="auto" w:before="65"/>
        <w:ind w:right="587" w:firstLine="480"/>
      </w:pPr>
      <w:r>
        <w:rPr>
          <w:spacing w:val="-7"/>
        </w:rPr>
        <w:t>近年来我国药品质量迅速提升，但是对用药安全问题的关注远远不够，许多人用药时经</w:t>
      </w:r>
      <w:r>
        <w:rPr/>
        <w:t>常会绕过药师，仅凭借自己的经验用药。</w:t>
      </w:r>
    </w:p>
    <w:p>
      <w:pPr>
        <w:pStyle w:val="BodyText"/>
        <w:spacing w:line="297" w:lineRule="auto" w:before="2"/>
        <w:ind w:right="590" w:firstLine="480"/>
      </w:pPr>
      <w:r>
        <w:rPr>
          <w:spacing w:val="-8"/>
        </w:rPr>
        <w:t>以我们常见的感冒药为例，很多人认为，对付小小感冒，自己随便吃几种药就行，不需</w:t>
      </w:r>
      <w:r>
        <w:rPr/>
        <w:t>要专业咨询，殊不知有人却因此丢了性命</w:t>
      </w:r>
      <w:r>
        <w:rPr>
          <w:w w:val="180"/>
        </w:rPr>
        <w:t>„„</w:t>
      </w:r>
    </w:p>
    <w:p>
      <w:pPr>
        <w:pStyle w:val="BodyText"/>
        <w:spacing w:line="295" w:lineRule="auto"/>
        <w:ind w:right="606" w:firstLine="480"/>
      </w:pPr>
      <w:r>
        <w:rPr>
          <w:spacing w:val="-4"/>
        </w:rPr>
        <w:t>据《杭州日报》近日报道，广东江门的一 </w:t>
      </w:r>
      <w:r>
        <w:rPr/>
        <w:t>18</w:t>
      </w:r>
      <w:r>
        <w:rPr>
          <w:spacing w:val="-9"/>
        </w:rPr>
        <w:t> 岁女孩同吃两种感冒药后死亡，女孩服用</w:t>
      </w:r>
      <w:r>
        <w:rPr/>
        <w:t>的是罗红霉素缓释胶囊与复方甲氧那明胶囊，致死原因是两者混在一起导致的茶碱中毒。</w:t>
      </w:r>
    </w:p>
    <w:p>
      <w:pPr>
        <w:pStyle w:val="BodyText"/>
        <w:spacing w:before="2"/>
        <w:ind w:left="1077"/>
      </w:pPr>
      <w:r>
        <w:rPr/>
        <w:t>这到底是怎么一回事？</w:t>
      </w:r>
    </w:p>
    <w:p>
      <w:pPr>
        <w:pStyle w:val="Heading7"/>
        <w:spacing w:before="72"/>
        <w:rPr>
          <w:rFonts w:ascii="宋体" w:eastAsia="宋体" w:hint="eastAsia"/>
        </w:rPr>
      </w:pPr>
      <w:r>
        <w:rPr>
          <w:rFonts w:ascii="宋体" w:eastAsia="宋体" w:hint="eastAsia"/>
        </w:rPr>
        <w:t>混服感冒药有风险，1+1 疗效并非大于 2！</w:t>
      </w:r>
    </w:p>
    <w:p>
      <w:pPr>
        <w:pStyle w:val="BodyText"/>
        <w:spacing w:line="297" w:lineRule="auto" w:before="72"/>
        <w:ind w:right="589" w:firstLine="480"/>
      </w:pPr>
      <w:r>
        <w:rPr>
          <w:spacing w:val="-6"/>
        </w:rPr>
        <w:t>新闻报道中提到的复方甲氧那明胶囊含有氨茶碱。氨茶碱这个成分比较特别，它的治疗</w:t>
      </w:r>
      <w:r>
        <w:rPr/>
        <w:t>剂量和中毒剂量是非常近的，患者用药的个体差异也比较大。</w:t>
      </w:r>
    </w:p>
    <w:p>
      <w:pPr>
        <w:pStyle w:val="BodyText"/>
        <w:spacing w:line="297" w:lineRule="auto"/>
        <w:ind w:right="588" w:firstLine="480"/>
        <w:jc w:val="both"/>
      </w:pPr>
      <w:r>
        <w:rPr>
          <w:spacing w:val="-7"/>
        </w:rPr>
        <w:t>由于罗红霉素可延长氨茶碱的消除半衰期，因此当复方甲氧那明胶囊与罗红霉素缓释胶</w:t>
      </w:r>
      <w:r>
        <w:rPr>
          <w:spacing w:val="-4"/>
        </w:rPr>
        <w:t>囊混用时，可使氨茶碱在血中浓度升高 </w:t>
      </w:r>
      <w:r>
        <w:rPr/>
        <w:t>3 ~10</w:t>
      </w:r>
      <w:r>
        <w:rPr>
          <w:spacing w:val="-12"/>
        </w:rPr>
        <w:t> 倍，血中茶碱的清除率下降 </w:t>
      </w:r>
      <w:r>
        <w:rPr/>
        <w:t>25%，</w:t>
      </w:r>
      <w:r>
        <w:rPr>
          <w:spacing w:val="-4"/>
        </w:rPr>
        <w:t>这样就增加</w:t>
      </w:r>
      <w:r>
        <w:rPr/>
        <w:t>了茶碱的毒性。</w:t>
      </w:r>
    </w:p>
    <w:p>
      <w:pPr>
        <w:pStyle w:val="BodyText"/>
        <w:spacing w:line="295" w:lineRule="auto"/>
        <w:ind w:right="587" w:firstLine="480"/>
      </w:pPr>
      <w:r>
        <w:rPr>
          <w:spacing w:val="-7"/>
        </w:rPr>
        <w:t>由于患者用药的个体差异大，对氨茶碱敏感的人群确有可能出现氨茶碱中毒的症状，如</w:t>
      </w:r>
      <w:r>
        <w:rPr/>
        <w:t>心跳加快。最严重时，也可导致患者死亡。</w:t>
      </w:r>
    </w:p>
    <w:p>
      <w:pPr>
        <w:pStyle w:val="BodyText"/>
        <w:spacing w:line="295" w:lineRule="auto"/>
        <w:ind w:right="588" w:firstLine="480"/>
      </w:pPr>
      <w:r>
        <w:rPr>
          <w:spacing w:val="-8"/>
        </w:rPr>
        <w:t>如果说这则新闻属于偶发事件的话，那么下面这种感冒药混用变“毒药”的情况便十分</w:t>
      </w:r>
      <w:r>
        <w:rPr/>
        <w:t>常见了：</w:t>
      </w:r>
    </w:p>
    <w:p>
      <w:pPr>
        <w:pStyle w:val="BodyText"/>
        <w:spacing w:line="297" w:lineRule="auto" w:before="1"/>
        <w:ind w:right="470" w:firstLine="480"/>
      </w:pPr>
      <w:r>
        <w:rPr>
          <w:spacing w:val="-21"/>
        </w:rPr>
        <w:t>南京 </w:t>
      </w:r>
      <w:r>
        <w:rPr/>
        <w:t>27</w:t>
      </w:r>
      <w:r>
        <w:rPr>
          <w:spacing w:val="-10"/>
        </w:rPr>
        <w:t> 岁的研究生小张，因为吃多了感冒药，导致肝肾衰竭，从入院到去世仅 </w:t>
      </w:r>
      <w:r>
        <w:rPr/>
        <w:t>7</w:t>
      </w:r>
      <w:r>
        <w:rPr>
          <w:spacing w:val="-20"/>
        </w:rPr>
        <w:t> 天。他由于退烧心急，各种感冒药混在一起乱吃，而且因为自己的体重超标，服用了双倍的药量。</w:t>
      </w:r>
    </w:p>
    <w:p>
      <w:pPr>
        <w:pStyle w:val="BodyText"/>
        <w:spacing w:line="297" w:lineRule="auto"/>
        <w:ind w:right="587" w:firstLine="480"/>
        <w:jc w:val="both"/>
      </w:pPr>
      <w:r>
        <w:rPr>
          <w:spacing w:val="-6"/>
        </w:rPr>
        <w:t>因为大部分感冒药都含有解热镇痛药对乙酰氨基酚，它在经过肝脏时，会产生一种能伤</w:t>
      </w:r>
      <w:r>
        <w:rPr/>
        <w:t>害肝脏的化学物质——N－</w:t>
      </w:r>
      <w:r>
        <w:rPr>
          <w:spacing w:val="-4"/>
        </w:rPr>
        <w:t>乙酰对位苯醌亚胺（NAPQI）</w:t>
      </w:r>
      <w:r>
        <w:rPr>
          <w:spacing w:val="-9"/>
        </w:rPr>
        <w:t>。一般来说，按照说明书的正常用法</w:t>
      </w:r>
      <w:r>
        <w:rPr/>
        <w:t>用量服药，这种化学物质会很快会被代谢掉。</w:t>
      </w:r>
    </w:p>
    <w:p>
      <w:pPr>
        <w:pStyle w:val="BodyText"/>
        <w:spacing w:line="295" w:lineRule="auto"/>
        <w:ind w:right="589" w:firstLine="480"/>
        <w:jc w:val="both"/>
      </w:pPr>
      <w:r>
        <w:rPr>
          <w:spacing w:val="-7"/>
        </w:rPr>
        <w:t>但如果混着吃感冒药，就会间接增加 </w:t>
      </w:r>
      <w:r>
        <w:rPr/>
        <w:t>N－</w:t>
      </w:r>
      <w:r>
        <w:rPr>
          <w:spacing w:val="-3"/>
        </w:rPr>
        <w:t>乙酰对位苯醌亚胺的服用量，当其服用量远远</w:t>
      </w:r>
      <w:r>
        <w:rPr/>
        <w:t>超过身体负荷时，自然就会伤害肝脏了。</w:t>
      </w:r>
    </w:p>
    <w:p>
      <w:pPr>
        <w:pStyle w:val="BodyText"/>
        <w:spacing w:line="295" w:lineRule="auto"/>
        <w:ind w:right="588" w:firstLine="480"/>
        <w:jc w:val="both"/>
      </w:pPr>
      <w:r>
        <w:rPr>
          <w:spacing w:val="-3"/>
        </w:rPr>
        <w:t>目前，国内外指南均建议每天服用对乙酰氨基酚的量不要超过 </w:t>
      </w:r>
      <w:r>
        <w:rPr/>
        <w:t>2000mg。看看表格中我</w:t>
      </w:r>
      <w:r>
        <w:rPr>
          <w:spacing w:val="-5"/>
        </w:rPr>
        <w:t>们常用感冒药中的对乙酰氨基酚含量，随便 </w:t>
      </w:r>
      <w:r>
        <w:rPr/>
        <w:t>2</w:t>
      </w:r>
      <w:r>
        <w:rPr>
          <w:spacing w:val="-30"/>
        </w:rPr>
        <w:t> 种或 </w:t>
      </w:r>
      <w:r>
        <w:rPr/>
        <w:t>3</w:t>
      </w:r>
      <w:r>
        <w:rPr>
          <w:spacing w:val="-12"/>
        </w:rPr>
        <w:t> 种混合的量基本都会超过 </w:t>
      </w:r>
      <w:r>
        <w:rPr>
          <w:spacing w:val="-4"/>
        </w:rPr>
        <w:t>500mg</w:t>
      </w:r>
      <w:r>
        <w:rPr>
          <w:spacing w:val="-7"/>
        </w:rPr>
        <w:t>，如果</w:t>
      </w:r>
      <w:r>
        <w:rPr/>
        <w:t>一天吃好几次或吃好几片，再加上患者肝功能本来就不好，非常容易引起肝中毒。</w:t>
      </w:r>
    </w:p>
    <w:p>
      <w:pPr>
        <w:spacing w:line="295" w:lineRule="auto" w:before="5"/>
        <w:ind w:left="1079" w:right="6247" w:hanging="3"/>
        <w:jc w:val="left"/>
        <w:rPr>
          <w:b/>
          <w:sz w:val="24"/>
        </w:rPr>
      </w:pPr>
      <w:r>
        <w:rPr>
          <w:sz w:val="24"/>
        </w:rPr>
        <w:t>所以，千万不要混着吃感冒药！ </w:t>
      </w:r>
      <w:r>
        <w:rPr>
          <w:b/>
          <w:sz w:val="24"/>
        </w:rPr>
        <w:t>感冒药，这么选才对！</w:t>
      </w:r>
    </w:p>
    <w:p>
      <w:pPr>
        <w:pStyle w:val="BodyText"/>
        <w:spacing w:before="2"/>
        <w:ind w:left="1077"/>
      </w:pPr>
      <w:r>
        <w:rPr/>
        <w:t>为了保证用药安全，正确地选择和使用感冒药也非常重要。感冒的症状主要是 4 类，而</w:t>
      </w:r>
    </w:p>
    <w:p>
      <w:pPr>
        <w:pStyle w:val="BodyText"/>
        <w:spacing w:line="295" w:lineRule="auto" w:before="74"/>
        <w:ind w:left="1079" w:right="2406" w:hanging="483"/>
        <w:rPr>
          <w:b/>
        </w:rPr>
      </w:pPr>
      <w:r>
        <w:rPr>
          <w:spacing w:val="-5"/>
        </w:rPr>
        <w:t>西药感冒药的主要成分也是 </w:t>
      </w:r>
      <w:r>
        <w:rPr/>
        <w:t>4</w:t>
      </w:r>
      <w:r>
        <w:rPr>
          <w:spacing w:val="-9"/>
        </w:rPr>
        <w:t> 类，可以“有的放矢”地缓解相应的症状。</w:t>
      </w:r>
      <w:r>
        <w:rPr>
          <w:b/>
        </w:rPr>
        <w:t>解热镇痛类感冒药</w:t>
      </w:r>
    </w:p>
    <w:p>
      <w:pPr>
        <w:pStyle w:val="BodyText"/>
        <w:spacing w:line="297" w:lineRule="auto" w:before="2"/>
        <w:ind w:right="487" w:firstLine="480"/>
      </w:pPr>
      <w:r>
        <w:rPr>
          <w:spacing w:val="-1"/>
        </w:rPr>
        <w:t>感冒时，有些人只表现出单纯发热或伴有头痛、肌肉酸痛，这时应选择对乙酰氨基酚、</w:t>
      </w:r>
      <w:r>
        <w:rPr/>
        <w:t>布洛芬等解热镇痛药。</w:t>
      </w:r>
    </w:p>
    <w:p>
      <w:pPr>
        <w:pStyle w:val="Heading7"/>
        <w:spacing w:line="306" w:lineRule="exact"/>
        <w:rPr>
          <w:rFonts w:ascii="宋体" w:eastAsia="宋体" w:hint="eastAsia"/>
        </w:rPr>
      </w:pPr>
      <w:r>
        <w:rPr>
          <w:rFonts w:ascii="宋体" w:eastAsia="宋体" w:hint="eastAsia"/>
        </w:rPr>
        <w:t>缓解鼻腔黏膜充血或过敏的感冒药</w:t>
      </w:r>
    </w:p>
    <w:p>
      <w:pPr>
        <w:pStyle w:val="BodyText"/>
        <w:spacing w:line="297" w:lineRule="auto" w:before="72"/>
        <w:ind w:right="587" w:firstLine="480"/>
        <w:jc w:val="both"/>
      </w:pPr>
      <w:r>
        <w:rPr>
          <w:spacing w:val="-9"/>
        </w:rPr>
        <w:t>感冒时出现的鼻塞、打喷嚏、流鼻涕等症状是由鼻腔黏膜充血或过敏引起的，此时最好</w:t>
      </w:r>
      <w:r>
        <w:rPr>
          <w:spacing w:val="-7"/>
        </w:rPr>
        <w:t>选含有伪麻黄碱或氯苯那敏的药物，如复方盐酸伪麻黄碱胶囊，能减轻鼻窦、鼻腔黏膜血管</w:t>
      </w:r>
      <w:r>
        <w:rPr/>
        <w:t>充血，解除鼻塞、打喷嚏症状。</w:t>
      </w:r>
    </w:p>
    <w:p>
      <w:pPr>
        <w:spacing w:after="0" w:line="297" w:lineRule="auto"/>
        <w:jc w:val="both"/>
        <w:sectPr>
          <w:pgSz w:w="11910" w:h="16850"/>
          <w:pgMar w:header="906" w:footer="607" w:top="1100" w:bottom="800" w:left="680" w:right="540"/>
        </w:sectPr>
      </w:pPr>
    </w:p>
    <w:p>
      <w:pPr>
        <w:pStyle w:val="Heading7"/>
        <w:spacing w:before="65"/>
        <w:ind w:left="1077"/>
        <w:rPr>
          <w:rFonts w:ascii="宋体" w:eastAsia="宋体" w:hint="eastAsia"/>
        </w:rPr>
      </w:pPr>
      <w:r>
        <w:rPr>
          <w:rFonts w:ascii="宋体" w:eastAsia="宋体" w:hint="eastAsia"/>
        </w:rPr>
        <w:t>镇咳药</w:t>
      </w:r>
    </w:p>
    <w:p>
      <w:pPr>
        <w:pStyle w:val="BodyText"/>
        <w:spacing w:line="295" w:lineRule="auto" w:before="72"/>
        <w:ind w:right="588" w:firstLine="480"/>
      </w:pPr>
      <w:r>
        <w:rPr>
          <w:spacing w:val="-8"/>
        </w:rPr>
        <w:t>上呼吸道感染常会出现咽痒、咳嗽，可选择美敏伪麻溶液。另外，氢溴酸右美沙芬是感</w:t>
      </w:r>
      <w:r>
        <w:rPr/>
        <w:t>冒药里最常用的镇咳药。</w:t>
      </w:r>
    </w:p>
    <w:p>
      <w:pPr>
        <w:pStyle w:val="Heading7"/>
        <w:spacing w:before="4"/>
        <w:ind w:left="1077"/>
        <w:rPr>
          <w:rFonts w:ascii="宋体" w:eastAsia="宋体" w:hint="eastAsia"/>
        </w:rPr>
      </w:pPr>
      <w:r>
        <w:rPr>
          <w:rFonts w:ascii="宋体" w:eastAsia="宋体" w:hint="eastAsia"/>
        </w:rPr>
        <w:t>多种症状用药</w:t>
      </w:r>
    </w:p>
    <w:p>
      <w:pPr>
        <w:pStyle w:val="BodyText"/>
        <w:spacing w:before="72"/>
        <w:ind w:left="1077"/>
      </w:pPr>
      <w:r>
        <w:rPr/>
        <w:t>如果感冒时出现多种症状，可以选“酚麻美敏”“氨麻苯美”等。</w:t>
      </w:r>
    </w:p>
    <w:p>
      <w:pPr>
        <w:pStyle w:val="BodyText"/>
        <w:spacing w:line="297" w:lineRule="auto" w:before="71"/>
        <w:ind w:right="588" w:firstLine="480"/>
      </w:pPr>
      <w:r>
        <w:rPr>
          <w:spacing w:val="-12"/>
        </w:rPr>
        <w:t>但要注意，驾车、开船或飞机、操作精密仪器或从事高空作业时，切不可服用含“敏” </w:t>
      </w:r>
      <w:r>
        <w:rPr/>
        <w:t>或“苯”的感冒药，以免发生意外，可选择“氨酚伪麻美芬片”。</w:t>
      </w:r>
    </w:p>
    <w:p>
      <w:pPr>
        <w:pStyle w:val="Heading7"/>
        <w:spacing w:line="306" w:lineRule="exact"/>
        <w:ind w:left="1077"/>
        <w:rPr>
          <w:rFonts w:ascii="宋体" w:eastAsia="宋体" w:hint="eastAsia"/>
        </w:rPr>
      </w:pPr>
      <w:r>
        <w:rPr>
          <w:rFonts w:ascii="宋体" w:eastAsia="宋体" w:hint="eastAsia"/>
        </w:rPr>
        <w:t>药娃温馨提示：</w:t>
      </w:r>
    </w:p>
    <w:p>
      <w:pPr>
        <w:pStyle w:val="BodyText"/>
        <w:spacing w:line="297" w:lineRule="auto" w:before="72"/>
        <w:ind w:right="587" w:firstLine="480"/>
      </w:pPr>
      <w:r>
        <w:rPr>
          <w:spacing w:val="-10"/>
        </w:rPr>
        <w:t>用药过程中，除了药物与药物之间会相互影响，药物与食物之间也会相互影响。在吃感</w:t>
      </w:r>
      <w:r>
        <w:rPr/>
        <w:t>冒药时，切忌使用咖啡、牛奶、茶水、葡萄柚汁等饮品送服，以免干扰药物效果。</w:t>
      </w:r>
    </w:p>
    <w:p>
      <w:pPr>
        <w:spacing w:line="361" w:lineRule="exact" w:before="0"/>
        <w:ind w:left="1077" w:right="0" w:firstLine="0"/>
        <w:jc w:val="left"/>
        <w:rPr>
          <w:rFonts w:ascii="Microsoft JhengHei" w:eastAsia="Microsoft JhengHei" w:hint="eastAsia"/>
          <w:b/>
          <w:sz w:val="24"/>
        </w:rPr>
      </w:pPr>
      <w:r>
        <w:rPr>
          <w:w w:val="105"/>
          <w:sz w:val="24"/>
        </w:rPr>
        <w:t>本文由西安交通大学第一附属医院李蓉供稿。</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Heading1"/>
        <w:spacing w:before="172"/>
        <w:rPr>
          <w:u w:val="none"/>
        </w:rPr>
      </w:pPr>
      <w:bookmarkStart w:name="_TOC_250008" w:id="24"/>
      <w:r>
        <w:rPr>
          <w:rFonts w:ascii="Times New Roman" w:eastAsia="Times New Roman"/>
          <w:color w:val="008000"/>
          <w:spacing w:val="-110"/>
          <w:w w:val="99"/>
          <w:u w:val="thick" w:color="008000"/>
        </w:rPr>
        <w:t> </w:t>
      </w:r>
      <w:bookmarkEnd w:id="24"/>
      <w:r>
        <w:rPr>
          <w:color w:val="008000"/>
          <w:u w:val="thick" w:color="008000"/>
        </w:rPr>
        <w:t>交流园地</w:t>
      </w:r>
    </w:p>
    <w:p>
      <w:pPr>
        <w:pStyle w:val="BodyText"/>
        <w:spacing w:before="14"/>
        <w:ind w:left="0"/>
        <w:rPr>
          <w:rFonts w:ascii="华文宋体"/>
          <w:b/>
          <w:sz w:val="7"/>
        </w:rPr>
      </w:pPr>
    </w:p>
    <w:p>
      <w:pPr>
        <w:pStyle w:val="Heading2"/>
        <w:spacing w:before="55"/>
      </w:pPr>
      <w:bookmarkStart w:name="_TOC_250007" w:id="25"/>
      <w:bookmarkEnd w:id="25"/>
      <w:r>
        <w:rPr/>
        <w:t>【药师风采】</w:t>
      </w:r>
    </w:p>
    <w:p>
      <w:pPr>
        <w:pStyle w:val="BodyText"/>
        <w:spacing w:before="1"/>
        <w:ind w:left="0"/>
        <w:rPr>
          <w:b/>
          <w:sz w:val="18"/>
        </w:rPr>
      </w:pPr>
    </w:p>
    <w:p>
      <w:pPr>
        <w:pStyle w:val="Heading2"/>
        <w:spacing w:before="54"/>
        <w:ind w:left="6"/>
        <w:jc w:val="center"/>
      </w:pPr>
      <w:bookmarkStart w:name="_TOC_250006" w:id="26"/>
      <w:bookmarkEnd w:id="26"/>
      <w:r>
        <w:rPr/>
        <w:t>青岛市第八人民医院——姜山</w:t>
      </w:r>
    </w:p>
    <w:p>
      <w:pPr>
        <w:pStyle w:val="Heading7"/>
        <w:spacing w:before="223"/>
        <w:ind w:left="0"/>
        <w:jc w:val="center"/>
      </w:pPr>
      <w:r>
        <w:rPr/>
        <w:t>励志寄语：致力用药安全，守护生命绿洲，忠守药安全、药有效、药经济之责。</w:t>
      </w:r>
    </w:p>
    <w:p>
      <w:pPr>
        <w:pStyle w:val="BodyText"/>
        <w:spacing w:line="280" w:lineRule="auto" w:before="59"/>
        <w:ind w:right="587" w:firstLine="480"/>
        <w:jc w:val="both"/>
      </w:pPr>
      <w:r>
        <w:rPr>
          <w:spacing w:val="-10"/>
        </w:rPr>
        <w:t>姜山，现任青岛市第八人民医院药学部主任，副主任药师，硕士生导师，从事药学工作</w:t>
      </w:r>
      <w:r>
        <w:rPr/>
        <w:t>22</w:t>
      </w:r>
      <w:r>
        <w:rPr>
          <w:spacing w:val="-8"/>
        </w:rPr>
        <w:t> 年。先后从事过医院制剂的研制、生产、检验，药品调剂、临床药学等工作，在抗菌药</w:t>
      </w:r>
      <w:r>
        <w:rPr>
          <w:spacing w:val="-11"/>
        </w:rPr>
        <w:t>物、糖皮质激素类药物、慢病用药的使用、管理和患者用药指导上有丰富的经验。在药学部</w:t>
      </w:r>
      <w:r>
        <w:rPr>
          <w:spacing w:val="-8"/>
        </w:rPr>
        <w:t>全体同仁的共同努力下，建立了较为系统的药事管理体系、临床药学体系，完善各项药事管</w:t>
      </w:r>
      <w:r>
        <w:rPr>
          <w:spacing w:val="-10"/>
        </w:rPr>
        <w:t>理制度，积极引进和培养优秀人才，探索药师服务新模式，与老年医学科合作开设老年医学</w:t>
      </w:r>
      <w:r>
        <w:rPr/>
        <w:t>整合门诊，为慢病患者用药提供咨询、指导和整合药物治疗。</w:t>
      </w:r>
    </w:p>
    <w:p>
      <w:pPr>
        <w:pStyle w:val="BodyText"/>
        <w:spacing w:line="280" w:lineRule="auto" w:before="2"/>
        <w:ind w:right="589" w:firstLine="480"/>
        <w:jc w:val="both"/>
      </w:pPr>
      <w:r>
        <w:rPr>
          <w:spacing w:val="-6"/>
        </w:rPr>
        <w:t>多年来带领药师团队进社区进行合理用药宣讲、用药咨询、用药指导、用药整合，获得</w:t>
      </w:r>
      <w:r>
        <w:rPr>
          <w:spacing w:val="-8"/>
        </w:rPr>
        <w:t>社区居民的好评，提升了药师的服务能力和水平；“药师服务进社区、合理用药保安全”志</w:t>
      </w:r>
      <w:r>
        <w:rPr>
          <w:spacing w:val="-6"/>
        </w:rPr>
        <w:t>愿服务项目获青岛市卫生计生系统志愿服务项目二等奖，探索药师团队参与家庭医生签约活</w:t>
      </w:r>
      <w:r>
        <w:rPr/>
        <w:t>动，由药师对患者进行用药指导。</w:t>
      </w:r>
    </w:p>
    <w:p>
      <w:pPr>
        <w:pStyle w:val="BodyText"/>
        <w:spacing w:before="1"/>
        <w:ind w:left="1077"/>
        <w:jc w:val="both"/>
      </w:pPr>
      <w:r>
        <w:rPr>
          <w:spacing w:val="-5"/>
        </w:rPr>
        <w:t>在省级以上学术期刊发表论文 </w:t>
      </w:r>
      <w:r>
        <w:rPr/>
        <w:t>10</w:t>
      </w:r>
      <w:r>
        <w:rPr>
          <w:spacing w:val="-35"/>
        </w:rPr>
        <w:t> 余篇，其中 </w:t>
      </w:r>
      <w:r>
        <w:rPr/>
        <w:t>SCI</w:t>
      </w:r>
      <w:r>
        <w:rPr>
          <w:spacing w:val="-30"/>
        </w:rPr>
        <w:t> 收录 </w:t>
      </w:r>
      <w:r>
        <w:rPr/>
        <w:t>1</w:t>
      </w:r>
      <w:r>
        <w:rPr>
          <w:spacing w:val="-22"/>
        </w:rPr>
        <w:t> 篇。参与编写专业书籍 </w:t>
      </w:r>
      <w:r>
        <w:rPr/>
        <w:t>10</w:t>
      </w:r>
      <w:r>
        <w:rPr>
          <w:spacing w:val="-15"/>
        </w:rPr>
        <w:t> 余部。</w:t>
      </w:r>
    </w:p>
    <w:p>
      <w:pPr>
        <w:pStyle w:val="BodyText"/>
        <w:spacing w:before="53"/>
        <w:jc w:val="both"/>
      </w:pPr>
      <w:r>
        <w:rPr/>
        <w:t>先后主持局级课题 1 项，中国药学会课题 1 项，参与市级课题 2 项，局级课题 2 项，获市级</w:t>
      </w:r>
    </w:p>
    <w:p>
      <w:pPr>
        <w:pStyle w:val="BodyText"/>
        <w:spacing w:before="52"/>
        <w:jc w:val="both"/>
      </w:pPr>
      <w:r>
        <w:rPr/>
        <w:t>科技进步三等奖 1 项。</w:t>
      </w:r>
    </w:p>
    <w:p>
      <w:pPr>
        <w:pStyle w:val="BodyText"/>
        <w:spacing w:line="280" w:lineRule="auto" w:before="53"/>
        <w:ind w:right="587" w:firstLine="480"/>
        <w:jc w:val="both"/>
      </w:pPr>
      <w:r>
        <w:rPr>
          <w:spacing w:val="-6"/>
        </w:rPr>
        <w:t>兼任山东省药学会安全用药研究与评价专业委员会委员，山东省医学会临床药事分会委</w:t>
      </w:r>
      <w:r>
        <w:rPr>
          <w:spacing w:val="-12"/>
        </w:rPr>
        <w:t>员、山东省医师协会临床药学专业委员会委员，青岛市药学会抗生素应用专业委员会主任委</w:t>
      </w:r>
      <w:r>
        <w:rPr>
          <w:spacing w:val="-11"/>
        </w:rPr>
        <w:t>员，青岛市医学会临床药学专科分会副主任委员，青岛市抗菌药物临床应用监测质控中心副</w:t>
      </w:r>
    </w:p>
    <w:p>
      <w:pPr>
        <w:pStyle w:val="BodyText"/>
        <w:spacing w:line="363" w:lineRule="exact"/>
        <w:ind w:left="6"/>
        <w:jc w:val="center"/>
        <w:rPr>
          <w:rFonts w:ascii="Microsoft JhengHei" w:eastAsia="Microsoft JhengHei" w:hint="eastAsia"/>
          <w:b/>
        </w:rPr>
      </w:pPr>
      <w:r>
        <w:rPr>
          <w:spacing w:val="-9"/>
        </w:rPr>
        <w:t>主任，青岛市临床药学质控中心副主任，区临床药学、抗菌药物质控中心主任。</w:t>
      </w:r>
      <w:r>
        <w:rPr>
          <w:rFonts w:ascii="Microsoft JhengHei" w:eastAsia="Microsoft JhengHei" w:hint="eastAsia"/>
          <w:b/>
          <w:color w:val="0033CC"/>
          <w:w w:val="120"/>
        </w:rPr>
        <w:t>[</w:t>
      </w:r>
      <w:r>
        <w:rPr>
          <w:rFonts w:ascii="Microsoft JhengHei" w:eastAsia="Microsoft JhengHei" w:hint="eastAsia"/>
          <w:b/>
          <w:color w:val="0033CC"/>
        </w:rPr>
        <w:t>返回目次</w:t>
      </w:r>
      <w:r>
        <w:rPr>
          <w:rFonts w:ascii="Microsoft JhengHei" w:eastAsia="Microsoft JhengHei" w:hint="eastAsia"/>
          <w:b/>
          <w:color w:val="0033CC"/>
          <w:w w:val="120"/>
        </w:rPr>
        <w:t>]</w:t>
      </w:r>
    </w:p>
    <w:p>
      <w:pPr>
        <w:pStyle w:val="BodyText"/>
        <w:spacing w:before="7"/>
        <w:ind w:left="0"/>
        <w:rPr>
          <w:rFonts w:ascii="Microsoft JhengHei"/>
          <w:b/>
          <w:sz w:val="13"/>
        </w:rPr>
      </w:pPr>
    </w:p>
    <w:p>
      <w:pPr>
        <w:pStyle w:val="Heading2"/>
        <w:ind w:left="0"/>
        <w:jc w:val="center"/>
      </w:pPr>
      <w:bookmarkStart w:name="_TOC_250005" w:id="27"/>
      <w:bookmarkEnd w:id="27"/>
      <w:r>
        <w:rPr/>
        <w:t>深圳市罗湖区人民医院——曹伟灵</w:t>
      </w:r>
    </w:p>
    <w:p>
      <w:pPr>
        <w:pStyle w:val="Heading7"/>
        <w:spacing w:line="242" w:lineRule="auto" w:before="143"/>
        <w:ind w:left="645" w:right="642"/>
        <w:jc w:val="center"/>
      </w:pPr>
      <w:r>
        <w:rPr/>
        <w:t>励志寄语：千世名方，药师传承，不断创新，与时俱进，致力为患者提供优质药学服务！ 健康人生路，药师来守护！</w:t>
      </w:r>
    </w:p>
    <w:p>
      <w:pPr>
        <w:spacing w:after="0" w:line="242" w:lineRule="auto"/>
        <w:jc w:val="center"/>
        <w:sectPr>
          <w:pgSz w:w="11910" w:h="16850"/>
          <w:pgMar w:header="906" w:footer="607" w:top="1100" w:bottom="800" w:left="680" w:right="540"/>
        </w:sectPr>
      </w:pPr>
    </w:p>
    <w:p>
      <w:pPr>
        <w:pStyle w:val="BodyText"/>
        <w:spacing w:line="280" w:lineRule="auto" w:before="48"/>
        <w:ind w:right="588" w:firstLine="480"/>
        <w:jc w:val="both"/>
      </w:pPr>
      <w:r>
        <w:rPr>
          <w:spacing w:val="-9"/>
        </w:rPr>
        <w:t>曹伟灵，现任深圳市罗湖区人民医院药学部主任，主任药师，深圳罗湖集团总药师，从</w:t>
      </w:r>
      <w:r>
        <w:rPr>
          <w:spacing w:val="-11"/>
        </w:rPr>
        <w:t>事药学工作 </w:t>
      </w:r>
      <w:r>
        <w:rPr/>
        <w:t>25</w:t>
      </w:r>
      <w:r>
        <w:rPr>
          <w:spacing w:val="-8"/>
        </w:rPr>
        <w:t> 年。作为主管医院集团药事管理的总药师，在集团内部合理用药与用药安全</w:t>
      </w:r>
      <w:r>
        <w:rPr>
          <w:spacing w:val="-12"/>
        </w:rPr>
        <w:t>管理、药学服务标准化建设、药师人才培养、药学学科发展等方面发挥引领作用，促进集团</w:t>
      </w:r>
      <w:r>
        <w:rPr/>
        <w:t>药事工作整体化、规范化发展。</w:t>
      </w:r>
    </w:p>
    <w:p>
      <w:pPr>
        <w:pStyle w:val="BodyText"/>
        <w:spacing w:line="280" w:lineRule="auto" w:before="1"/>
        <w:ind w:right="468" w:firstLine="480"/>
      </w:pPr>
      <w:r>
        <w:rPr>
          <w:spacing w:val="-7"/>
        </w:rPr>
        <w:t>建立医联体内药学信息化平台，加载 </w:t>
      </w:r>
      <w:r>
        <w:rPr/>
        <w:t>3</w:t>
      </w:r>
      <w:r>
        <w:rPr>
          <w:spacing w:val="-12"/>
        </w:rPr>
        <w:t> 个服务系统，包括供应链管理系统、药事管理系</w:t>
      </w:r>
      <w:r>
        <w:rPr>
          <w:spacing w:val="-19"/>
        </w:rPr>
        <w:t>统及药学服务系统；社区服务中心实行智慧药房，将药师从机械发药中解放出来，提高效率， </w:t>
      </w:r>
      <w:r>
        <w:rPr>
          <w:spacing w:val="-7"/>
        </w:rPr>
        <w:t>减少差错；网络药师，通过移动审方 </w:t>
      </w:r>
      <w:r>
        <w:rPr>
          <w:spacing w:val="-3"/>
        </w:rPr>
        <w:t>APP</w:t>
      </w:r>
      <w:r>
        <w:rPr>
          <w:spacing w:val="-4"/>
        </w:rPr>
        <w:t>，线上事前审核，保证患者用药安全；社区临床药师参与家庭医生团队，建立药师门诊，为居民提供全方位用药指导，提升药学服务质量。</w:t>
      </w:r>
    </w:p>
    <w:p>
      <w:pPr>
        <w:pStyle w:val="BodyText"/>
        <w:spacing w:line="280" w:lineRule="auto" w:before="1"/>
        <w:ind w:right="469" w:firstLine="480"/>
      </w:pPr>
      <w:r>
        <w:rPr>
          <w:spacing w:val="-5"/>
        </w:rPr>
        <w:t>建立了以临床药学为主导的专业的药学队伍，规范药事管理制度及流程，加强合理用药</w:t>
      </w:r>
      <w:r>
        <w:rPr>
          <w:spacing w:val="-17"/>
        </w:rPr>
        <w:t>管理，以自主研发的临床药师移动查房系统为支点，实现了临床药师日常药学监护的电子化， </w:t>
      </w:r>
      <w:r>
        <w:rPr>
          <w:spacing w:val="-6"/>
        </w:rPr>
        <w:t>不仅可以提高工作质量和效率，有效缓解目前国内临床药师人力不足、药学监护覆盖面过小</w:t>
      </w:r>
      <w:r>
        <w:rPr>
          <w:spacing w:val="-11"/>
        </w:rPr>
        <w:t>等困难，开启临床药师规范化药学监护的新阶段。积极主导基层药师培训，对基层药师进行规范化培训，建立社区药师岗位培训质量控制体系。使社区药学服务得到提升。</w:t>
      </w:r>
    </w:p>
    <w:p>
      <w:pPr>
        <w:pStyle w:val="BodyText"/>
        <w:spacing w:before="2"/>
        <w:ind w:left="0" w:right="605"/>
        <w:jc w:val="right"/>
      </w:pPr>
      <w:r>
        <w:rPr/>
        <w:t>2018</w:t>
      </w:r>
      <w:r>
        <w:rPr>
          <w:spacing w:val="-8"/>
        </w:rPr>
        <w:t> 年作为团队学科带头人，获得深圳市“三名工程</w:t>
      </w:r>
      <w:r>
        <w:rPr/>
        <w:t>”1500</w:t>
      </w:r>
      <w:r>
        <w:rPr>
          <w:spacing w:val="-8"/>
        </w:rPr>
        <w:t> 万元项目；主持《社区卫</w:t>
      </w:r>
    </w:p>
    <w:p>
      <w:pPr>
        <w:pStyle w:val="BodyText"/>
        <w:spacing w:before="52"/>
        <w:ind w:left="0" w:right="606"/>
        <w:jc w:val="right"/>
      </w:pPr>
      <w:r>
        <w:rPr>
          <w:spacing w:val="-3"/>
        </w:rPr>
        <w:t>生服务中心实施慢性病长处方的效果评估》获得 </w:t>
      </w:r>
      <w:r>
        <w:rPr/>
        <w:t>2018</w:t>
      </w:r>
      <w:r>
        <w:rPr>
          <w:spacing w:val="-8"/>
        </w:rPr>
        <w:t> 年度深圳市卫生计生系统科研项目立</w:t>
      </w:r>
    </w:p>
    <w:p>
      <w:pPr>
        <w:pStyle w:val="BodyText"/>
        <w:spacing w:line="280" w:lineRule="auto" w:before="53"/>
        <w:ind w:right="605"/>
        <w:jc w:val="both"/>
      </w:pPr>
      <w:r>
        <w:rPr>
          <w:spacing w:val="-5"/>
        </w:rPr>
        <w:t>项。主持市、区科研项目共 </w:t>
      </w:r>
      <w:r>
        <w:rPr/>
        <w:t>4</w:t>
      </w:r>
      <w:r>
        <w:rPr>
          <w:spacing w:val="-12"/>
        </w:rPr>
        <w:t> 项，主要参与省、市、区科研项目 </w:t>
      </w:r>
      <w:r>
        <w:rPr/>
        <w:t>5</w:t>
      </w:r>
      <w:r>
        <w:rPr>
          <w:spacing w:val="-14"/>
        </w:rPr>
        <w:t> 项。发表科研论文 </w:t>
      </w:r>
      <w:r>
        <w:rPr/>
        <w:t>10</w:t>
      </w:r>
      <w:r>
        <w:rPr>
          <w:spacing w:val="-38"/>
        </w:rPr>
        <w:t> 余</w:t>
      </w:r>
      <w:r>
        <w:rPr/>
        <w:t>篇。</w:t>
      </w:r>
    </w:p>
    <w:p>
      <w:pPr>
        <w:pStyle w:val="BodyText"/>
        <w:spacing w:line="280" w:lineRule="auto"/>
        <w:ind w:right="588" w:firstLine="480"/>
        <w:jc w:val="both"/>
      </w:pPr>
      <w:r>
        <w:rPr>
          <w:spacing w:val="-5"/>
        </w:rPr>
        <w:t>获得第三届药学服务创新大赛十佳药学服务创新项目季军，荣获深圳市药学会“杰出药</w:t>
      </w:r>
      <w:r>
        <w:rPr>
          <w:spacing w:val="-1"/>
        </w:rPr>
        <w:t>师称号，多次被评为罗湖医院集团 “优秀中层干部”、“优秀共产党员”、“优秀授课教师”，2017</w:t>
      </w:r>
      <w:r>
        <w:rPr>
          <w:spacing w:val="-8"/>
        </w:rPr>
        <w:t> 年被药品合作联盟评为“老年合理用药大学项目优秀志愿者”。</w:t>
      </w:r>
    </w:p>
    <w:p>
      <w:pPr>
        <w:pStyle w:val="BodyText"/>
        <w:spacing w:line="280" w:lineRule="auto" w:before="1"/>
        <w:ind w:right="586" w:firstLine="480"/>
        <w:jc w:val="both"/>
      </w:pPr>
      <w:r>
        <w:rPr>
          <w:spacing w:val="-6"/>
        </w:rPr>
        <w:t>兼任广东省药学会药事管理专业委员会常务委员、药学科普专家委员会常务委员，广东省卫生经济学会基本药物专业委员会常务委员、药学管理专业委员会常务委员，深圳市药学</w:t>
      </w:r>
      <w:r>
        <w:rPr>
          <w:spacing w:val="-9"/>
        </w:rPr>
        <w:t>会常务理事、副秘书长、基本药物专业委员会主任委员、临床药学专业委员会、药学信息专</w:t>
      </w:r>
    </w:p>
    <w:p>
      <w:pPr>
        <w:spacing w:line="363" w:lineRule="exact" w:before="0"/>
        <w:ind w:left="597" w:right="0" w:firstLine="0"/>
        <w:jc w:val="left"/>
        <w:rPr>
          <w:rFonts w:ascii="Microsoft JhengHei" w:eastAsia="Microsoft JhengHei" w:hint="eastAsia"/>
          <w:b/>
          <w:sz w:val="24"/>
        </w:rPr>
      </w:pPr>
      <w:r>
        <w:rPr>
          <w:w w:val="105"/>
          <w:sz w:val="24"/>
        </w:rPr>
        <w:t>业委员会副主任委员。</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BodyText"/>
        <w:spacing w:before="8"/>
        <w:ind w:left="0"/>
        <w:rPr>
          <w:rFonts w:ascii="Microsoft JhengHei"/>
          <w:b/>
          <w:sz w:val="13"/>
        </w:rPr>
      </w:pPr>
    </w:p>
    <w:p>
      <w:pPr>
        <w:pStyle w:val="Heading2"/>
        <w:ind w:left="0"/>
        <w:jc w:val="center"/>
      </w:pPr>
      <w:bookmarkStart w:name="_TOC_250004" w:id="28"/>
      <w:bookmarkEnd w:id="28"/>
      <w:r>
        <w:rPr/>
        <w:t>新疆生产建设兵团医院——刘晓霞</w:t>
      </w:r>
    </w:p>
    <w:p>
      <w:pPr>
        <w:pStyle w:val="Heading7"/>
        <w:spacing w:before="140"/>
        <w:ind w:left="3"/>
        <w:jc w:val="center"/>
      </w:pPr>
      <w:r>
        <w:rPr/>
        <w:t>励志寄语：在平凡中积累，在积累中迸发！不断提升专业技能，保障患者生命安全！</w:t>
      </w:r>
    </w:p>
    <w:p>
      <w:pPr>
        <w:pStyle w:val="BodyText"/>
        <w:spacing w:line="280" w:lineRule="auto" w:before="53"/>
        <w:ind w:right="467" w:firstLine="480"/>
      </w:pPr>
      <w:r>
        <w:rPr>
          <w:spacing w:val="-11"/>
        </w:rPr>
        <w:t>刘晓霞，现任新疆生产建设兵团医院药学部副主任，副主任药师，从事药学工作 </w:t>
      </w:r>
      <w:r>
        <w:rPr/>
        <w:t>20</w:t>
      </w:r>
      <w:r>
        <w:rPr>
          <w:spacing w:val="-25"/>
        </w:rPr>
        <w:t> 年。</w:t>
      </w:r>
      <w:r>
        <w:rPr>
          <w:spacing w:val="-9"/>
        </w:rPr>
        <w:t>曾在制剂室、药检室、门诊药房、质控室工作。始终坚持工作质量第一，服务质量第一。严</w:t>
      </w:r>
      <w:r>
        <w:rPr>
          <w:spacing w:val="-17"/>
        </w:rPr>
        <w:t>格按照《药品管理法》的规定，加强对药品质量控制环节，严格按照药品储存条件管理药品。</w:t>
      </w:r>
      <w:r>
        <w:rPr>
          <w:spacing w:val="-10"/>
        </w:rPr>
        <w:t>做好毒、麻、精等特殊药品的管理，确保临床用药安全、有效。完善、落实单位药品管理制度，将药品质量管理趋于制度化、规范化、常态化，避免违规操作和差错事故的发生。</w:t>
      </w:r>
    </w:p>
    <w:p>
      <w:pPr>
        <w:pStyle w:val="BodyText"/>
        <w:spacing w:before="1"/>
        <w:ind w:left="1077"/>
      </w:pPr>
      <w:r>
        <w:rPr/>
        <w:t>带领门诊药房整个团队，克服有资质药师少的困难，全心全意为患者服务。在 2011 年、</w:t>
      </w:r>
    </w:p>
    <w:p>
      <w:pPr>
        <w:pStyle w:val="BodyText"/>
        <w:spacing w:line="280" w:lineRule="auto" w:before="53"/>
        <w:ind w:right="587"/>
        <w:jc w:val="both"/>
      </w:pPr>
      <w:r>
        <w:rPr/>
        <w:t>2012</w:t>
      </w:r>
      <w:r>
        <w:rPr>
          <w:spacing w:val="-8"/>
        </w:rPr>
        <w:t> 年连续两年被兵团医院评为三好一满意“优质服务窗口”的称号。</w:t>
      </w:r>
      <w:r>
        <w:rPr/>
        <w:t>2012</w:t>
      </w:r>
      <w:r>
        <w:rPr>
          <w:spacing w:val="-9"/>
        </w:rPr>
        <w:t> 年兵团医院药</w:t>
      </w:r>
      <w:r>
        <w:rPr>
          <w:spacing w:val="-14"/>
        </w:rPr>
        <w:t>学部引进新疆首台全自动发药设备，不断优化自动发药机的储位，合理安排服务窗口，充分</w:t>
      </w:r>
      <w:r>
        <w:rPr/>
        <w:t>发挥自动发药机的工作效率，减少药品差错，缩短患者取药时间，获得患者的一致好评。</w:t>
      </w:r>
    </w:p>
    <w:p>
      <w:pPr>
        <w:pStyle w:val="BodyText"/>
        <w:spacing w:line="280" w:lineRule="auto" w:before="1"/>
        <w:ind w:right="587" w:firstLine="480"/>
        <w:jc w:val="both"/>
      </w:pPr>
      <w:r>
        <w:rPr/>
        <w:t>2007</w:t>
      </w:r>
      <w:r>
        <w:rPr>
          <w:spacing w:val="-8"/>
        </w:rPr>
        <w:t> 年承担开展处方点评的工作以来，克服点评工作量大、沟通难、干预效果差等困</w:t>
      </w:r>
      <w:r>
        <w:rPr>
          <w:spacing w:val="-12"/>
        </w:rPr>
        <w:t>难，处方合理率逐年提高；同时承担门、急诊抗菌药物分析评价及卫生部质控指标分析、上</w:t>
      </w:r>
      <w:r>
        <w:rPr>
          <w:spacing w:val="-10"/>
        </w:rPr>
        <w:t>报工作。在担任药学部药品质量控制负责人期间，协助科室主任管理各项质控工作，完善药</w:t>
      </w:r>
    </w:p>
    <w:p>
      <w:pPr>
        <w:spacing w:after="0" w:line="280" w:lineRule="auto"/>
        <w:jc w:val="both"/>
        <w:sectPr>
          <w:pgSz w:w="11910" w:h="16850"/>
          <w:pgMar w:header="906" w:footer="607" w:top="1100" w:bottom="800" w:left="680" w:right="540"/>
        </w:sectPr>
      </w:pPr>
    </w:p>
    <w:p>
      <w:pPr>
        <w:pStyle w:val="BodyText"/>
        <w:spacing w:line="280" w:lineRule="auto" w:before="48"/>
        <w:ind w:right="593"/>
      </w:pPr>
      <w:r>
        <w:rPr>
          <w:spacing w:val="-10"/>
        </w:rPr>
        <w:t>学部工作制度、岗位职责、整改措施、人员培训等内容，对各岗位进行考核、日常协调与检</w:t>
      </w:r>
      <w:r>
        <w:rPr/>
        <w:t>查，督促临床科室规范、合理、安全使用药品。</w:t>
      </w:r>
    </w:p>
    <w:p>
      <w:pPr>
        <w:pStyle w:val="BodyText"/>
        <w:spacing w:before="1"/>
        <w:ind w:left="1077"/>
      </w:pPr>
      <w:r>
        <w:rPr/>
        <w:t>合理规划安排科室人才梯队建设，每年安排药师外出进修，现有临床药师 12 人，师资</w:t>
      </w:r>
    </w:p>
    <w:p>
      <w:pPr>
        <w:pStyle w:val="ListParagraph"/>
        <w:numPr>
          <w:ilvl w:val="0"/>
          <w:numId w:val="1"/>
        </w:numPr>
        <w:tabs>
          <w:tab w:pos="778" w:val="left" w:leader="none"/>
        </w:tabs>
        <w:spacing w:line="280" w:lineRule="auto" w:before="52" w:after="0"/>
        <w:ind w:left="597" w:right="469" w:firstLine="0"/>
        <w:jc w:val="left"/>
        <w:rPr>
          <w:sz w:val="24"/>
        </w:rPr>
      </w:pPr>
      <w:r>
        <w:rPr>
          <w:spacing w:val="-13"/>
          <w:sz w:val="24"/>
        </w:rPr>
        <w:t>人。协助兵团药事管理质控中心举办了 </w:t>
      </w:r>
      <w:r>
        <w:rPr>
          <w:sz w:val="24"/>
        </w:rPr>
        <w:t>5</w:t>
      </w:r>
      <w:r>
        <w:rPr>
          <w:spacing w:val="-14"/>
          <w:sz w:val="24"/>
        </w:rPr>
        <w:t> 年省级培训班，承担兵团安全用药宣传月的策划、</w:t>
      </w:r>
      <w:r>
        <w:rPr>
          <w:sz w:val="24"/>
        </w:rPr>
        <w:t>实施等活动，多次到基层医院对医务人员进行培训、授课，受到培训单位及患者的好评。</w:t>
      </w:r>
    </w:p>
    <w:p>
      <w:pPr>
        <w:pStyle w:val="BodyText"/>
        <w:spacing w:before="1"/>
        <w:ind w:left="1077"/>
      </w:pPr>
      <w:r>
        <w:rPr>
          <w:spacing w:val="-4"/>
        </w:rPr>
        <w:t>参与新疆生产建设兵团工业科技计划项目 </w:t>
      </w:r>
      <w:r>
        <w:rPr/>
        <w:t>2</w:t>
      </w:r>
      <w:r>
        <w:rPr>
          <w:spacing w:val="-18"/>
        </w:rPr>
        <w:t> 项，发表学术论文 </w:t>
      </w:r>
      <w:r>
        <w:rPr/>
        <w:t>5</w:t>
      </w:r>
      <w:r>
        <w:rPr>
          <w:spacing w:val="-27"/>
        </w:rPr>
        <w:t> 篇，省级 </w:t>
      </w:r>
      <w:r>
        <w:rPr/>
        <w:t>3</w:t>
      </w:r>
      <w:r>
        <w:rPr>
          <w:spacing w:val="-17"/>
        </w:rPr>
        <w:t> 篇，国家级</w:t>
      </w:r>
    </w:p>
    <w:p>
      <w:pPr>
        <w:pStyle w:val="BodyText"/>
        <w:spacing w:before="52"/>
      </w:pPr>
      <w:r>
        <w:rPr/>
        <w:t>核心期刊 2 篇。</w:t>
      </w:r>
    </w:p>
    <w:p>
      <w:pPr>
        <w:pStyle w:val="BodyText"/>
        <w:spacing w:line="280" w:lineRule="auto" w:before="53"/>
        <w:ind w:right="600" w:firstLine="480"/>
      </w:pPr>
      <w:r>
        <w:rPr>
          <w:spacing w:val="-8"/>
        </w:rPr>
        <w:t>两次被评选为医院先进个人、优秀党员，荣获医院“三八红旗手”、“优秀通讯员”的</w:t>
      </w:r>
      <w:r>
        <w:rPr/>
        <w:t>称号。</w:t>
      </w:r>
    </w:p>
    <w:p>
      <w:pPr>
        <w:spacing w:line="363" w:lineRule="exact" w:before="0"/>
        <w:ind w:left="1077" w:right="0" w:firstLine="0"/>
        <w:jc w:val="left"/>
        <w:rPr>
          <w:rFonts w:ascii="Microsoft JhengHei" w:eastAsia="Microsoft JhengHei" w:hint="eastAsia"/>
          <w:b/>
          <w:sz w:val="24"/>
        </w:rPr>
      </w:pPr>
      <w:r>
        <w:rPr>
          <w:w w:val="105"/>
          <w:sz w:val="24"/>
        </w:rPr>
        <w:t>兼任新疆医学会临床药学专业委员会委员。</w:t>
      </w:r>
      <w:r>
        <w:rPr>
          <w:rFonts w:ascii="Microsoft JhengHei" w:eastAsia="Microsoft JhengHei" w:hint="eastAsia"/>
          <w:b/>
          <w:color w:val="0033CC"/>
          <w:w w:val="120"/>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20"/>
          <w:sz w:val="24"/>
        </w:rPr>
        <w:t>]</w:t>
      </w:r>
    </w:p>
    <w:p>
      <w:pPr>
        <w:pStyle w:val="Heading2"/>
        <w:spacing w:before="91"/>
        <w:ind w:left="6"/>
        <w:jc w:val="center"/>
      </w:pPr>
      <w:bookmarkStart w:name="_TOC_250003" w:id="29"/>
      <w:bookmarkEnd w:id="29"/>
      <w:r>
        <w:rPr/>
        <w:t>爱尔眼科医院——唐细兰</w:t>
      </w:r>
    </w:p>
    <w:p>
      <w:pPr>
        <w:pStyle w:val="Heading7"/>
        <w:spacing w:before="140"/>
        <w:ind w:left="2"/>
        <w:jc w:val="center"/>
      </w:pPr>
      <w:r>
        <w:rPr/>
        <w:t>励志寄语：干一行爱一行, 勤奋努力；懂得感恩, 乐于助人；选择比努力更重要！</w:t>
      </w:r>
    </w:p>
    <w:p>
      <w:pPr>
        <w:pStyle w:val="BodyText"/>
        <w:spacing w:line="280" w:lineRule="auto" w:before="53"/>
        <w:ind w:right="667" w:firstLine="480"/>
        <w:jc w:val="both"/>
      </w:pPr>
      <w:r>
        <w:rPr/>
        <w:t>唐细兰，现任爱尔眼科医院集团药学部主任，集团总药师，主任药师，从事药学工作38</w:t>
      </w:r>
      <w:r>
        <w:rPr>
          <w:spacing w:val="-9"/>
        </w:rPr>
        <w:t> 年。对眼科药物合理使用、眼用新制剂的研发、药事管理及药物临床试验方面积累了较</w:t>
      </w:r>
      <w:r>
        <w:rPr/>
        <w:t>丰富的工作经验。</w:t>
      </w:r>
    </w:p>
    <w:p>
      <w:pPr>
        <w:pStyle w:val="BodyText"/>
        <w:spacing w:line="280" w:lineRule="auto"/>
        <w:ind w:right="586" w:firstLine="480"/>
      </w:pPr>
      <w:r>
        <w:rPr/>
        <w:t>积极投身眼科药学工作，大力支持中国药学会学科建设，2011</w:t>
      </w:r>
      <w:r>
        <w:rPr>
          <w:spacing w:val="-40"/>
        </w:rPr>
        <w:t> 年 </w:t>
      </w:r>
      <w:r>
        <w:rPr/>
        <w:t>6</w:t>
      </w:r>
      <w:r>
        <w:rPr>
          <w:spacing w:val="-8"/>
        </w:rPr>
        <w:t> 年开始负责中国药</w:t>
      </w:r>
      <w:r>
        <w:rPr>
          <w:spacing w:val="-11"/>
        </w:rPr>
        <w:t>学会医院药学专业委员眼科药学学组的筹备工作，在医院药学专业委员的大力支持下，</w:t>
      </w:r>
      <w:r>
        <w:rPr>
          <w:spacing w:val="-14"/>
        </w:rPr>
        <w:t>2013 </w:t>
      </w:r>
      <w:r>
        <w:rPr>
          <w:spacing w:val="-30"/>
        </w:rPr>
        <w:t>年 </w:t>
      </w:r>
      <w:r>
        <w:rPr/>
        <w:t>9</w:t>
      </w:r>
      <w:r>
        <w:rPr>
          <w:spacing w:val="-13"/>
        </w:rPr>
        <w:t> 月眼科药学学组正式成立，并担任首届眼科药学学组组长。认真组织学组工作，积极举</w:t>
      </w:r>
    </w:p>
    <w:p>
      <w:pPr>
        <w:pStyle w:val="BodyText"/>
        <w:spacing w:line="280" w:lineRule="auto" w:before="1"/>
        <w:ind w:right="487"/>
      </w:pPr>
      <w:r>
        <w:rPr>
          <w:spacing w:val="-8"/>
        </w:rPr>
        <w:t>办学术会议。在 </w:t>
      </w:r>
      <w:r>
        <w:rPr/>
        <w:t>2016</w:t>
      </w:r>
      <w:r>
        <w:rPr>
          <w:spacing w:val="-40"/>
        </w:rPr>
        <w:t> 年 </w:t>
      </w:r>
      <w:r>
        <w:rPr/>
        <w:t>9</w:t>
      </w:r>
      <w:r>
        <w:rPr>
          <w:spacing w:val="-8"/>
        </w:rPr>
        <w:t> 月学组换届中，连任第二届中国药学会医院药学专业委员会眼科药学学组组长。通过眼科药学学组平台，21 家委员单位之间相互交流，并将眼科临床用药</w:t>
      </w:r>
      <w:r>
        <w:rPr>
          <w:spacing w:val="-9"/>
        </w:rPr>
        <w:t>指南和眼科药事管理制度进行分享，组织学组委员主编出版了《眼科常用治疗药物手册》， </w:t>
      </w:r>
      <w:r>
        <w:rPr>
          <w:spacing w:val="-8"/>
        </w:rPr>
        <w:t>目前学组正在编写《眼科用药 </w:t>
      </w:r>
      <w:r>
        <w:rPr/>
        <w:t>300</w:t>
      </w:r>
      <w:r>
        <w:rPr>
          <w:spacing w:val="-13"/>
        </w:rPr>
        <w:t> 问》等眼科用药科普书籍，发挥专业优势，提高公众安全合理用药。</w:t>
      </w:r>
    </w:p>
    <w:p>
      <w:pPr>
        <w:pStyle w:val="BodyText"/>
        <w:spacing w:line="280" w:lineRule="auto" w:before="2"/>
        <w:ind w:right="586" w:firstLine="480"/>
      </w:pPr>
      <w:r>
        <w:rPr>
          <w:spacing w:val="-7"/>
        </w:rPr>
        <w:t>重视对眼科临床药师的培养，尤其是基层眼科医院的药师培养和指导，近年来多次在全</w:t>
      </w:r>
      <w:r>
        <w:rPr/>
        <w:t>国眼科学术会议上作眼科药学专题报告，受到了眼科医生和药师的好评。</w:t>
      </w:r>
    </w:p>
    <w:p>
      <w:pPr>
        <w:pStyle w:val="BodyText"/>
        <w:ind w:left="1077"/>
      </w:pPr>
      <w:r>
        <w:rPr/>
        <w:t>2011 年至 2017 年作为项目负责人成功举办国家级继续医学教育项目和中国药学会继教</w:t>
      </w:r>
    </w:p>
    <w:p>
      <w:pPr>
        <w:pStyle w:val="BodyText"/>
        <w:spacing w:line="280" w:lineRule="auto" w:before="53"/>
        <w:ind w:right="590"/>
      </w:pPr>
      <w:r>
        <w:rPr>
          <w:spacing w:val="-12"/>
        </w:rPr>
        <w:t>项目《全国眼科药学学术会议》共 </w:t>
      </w:r>
      <w:r>
        <w:rPr/>
        <w:t>6</w:t>
      </w:r>
      <w:r>
        <w:rPr>
          <w:spacing w:val="-12"/>
        </w:rPr>
        <w:t> 期，并担任大会主席，为全国眼科药物合理使用发挥积</w:t>
      </w:r>
      <w:r>
        <w:rPr/>
        <w:t>极作用。</w:t>
      </w:r>
    </w:p>
    <w:p>
      <w:pPr>
        <w:pStyle w:val="BodyText"/>
        <w:spacing w:before="1"/>
        <w:ind w:left="1077"/>
      </w:pPr>
      <w:r>
        <w:rPr/>
        <w:t>发表学术论文 100 余篇，主编药学专著 6 部，参与完成广东省中医药局等省级科研课题</w:t>
      </w:r>
    </w:p>
    <w:p>
      <w:pPr>
        <w:pStyle w:val="ListParagraph"/>
        <w:numPr>
          <w:ilvl w:val="0"/>
          <w:numId w:val="1"/>
        </w:numPr>
        <w:tabs>
          <w:tab w:pos="778" w:val="left" w:leader="none"/>
        </w:tabs>
        <w:spacing w:line="240" w:lineRule="auto" w:before="52" w:after="0"/>
        <w:ind w:left="777" w:right="0" w:hanging="181"/>
        <w:jc w:val="left"/>
        <w:rPr>
          <w:sz w:val="24"/>
        </w:rPr>
      </w:pPr>
      <w:r>
        <w:rPr>
          <w:sz w:val="24"/>
        </w:rPr>
        <w:t>项。</w:t>
      </w:r>
    </w:p>
    <w:p>
      <w:pPr>
        <w:pStyle w:val="BodyText"/>
        <w:spacing w:before="53"/>
        <w:ind w:left="1077"/>
      </w:pPr>
      <w:r>
        <w:rPr/>
        <w:t>2017 年荣获爱尔眼科医院集团感动人物奖。</w:t>
      </w:r>
    </w:p>
    <w:p>
      <w:pPr>
        <w:spacing w:line="360" w:lineRule="exact" w:before="4"/>
        <w:ind w:left="597" w:right="587" w:firstLine="480"/>
        <w:jc w:val="both"/>
        <w:rPr>
          <w:rFonts w:ascii="Microsoft JhengHei" w:eastAsia="Microsoft JhengHei" w:hint="eastAsia"/>
          <w:b/>
          <w:sz w:val="24"/>
        </w:rPr>
      </w:pPr>
      <w:r>
        <w:rPr>
          <w:spacing w:val="-6"/>
          <w:sz w:val="24"/>
        </w:rPr>
        <w:t>兼任中国药学会医院药学专业委员会委员、眼科药学学组组长，广东省和广州市医疗事</w:t>
      </w:r>
      <w:r>
        <w:rPr>
          <w:spacing w:val="-7"/>
          <w:sz w:val="24"/>
        </w:rPr>
        <w:t>故鉴定委员会药学专家，爱尔眼科医院集团学术委员会委员，《中药材》、《今日药学》等</w:t>
      </w:r>
      <w:r>
        <w:rPr>
          <w:sz w:val="24"/>
        </w:rPr>
        <w:t>杂志编委。</w:t>
      </w:r>
      <w:r>
        <w:rPr>
          <w:rFonts w:ascii="华文楷体" w:eastAsia="华文楷体" w:hint="eastAsia"/>
          <w:b/>
          <w:color w:val="006FC0"/>
          <w:sz w:val="24"/>
        </w:rPr>
        <w:t>以上药师荣获 2018 年中国药学会优秀药师</w:t>
      </w:r>
      <w:r>
        <w:rPr>
          <w:rFonts w:ascii="Microsoft JhengHei" w:eastAsia="Microsoft JhengHei" w:hint="eastAsia"/>
          <w:b/>
          <w:color w:val="0033CC"/>
          <w:w w:val="115"/>
          <w:sz w:val="24"/>
        </w:rPr>
        <w:t>[</w:t>
      </w:r>
      <w:r>
        <w:rPr>
          <w:rFonts w:ascii="Microsoft JhengHei" w:eastAsia="Microsoft JhengHei" w:hint="eastAsia"/>
          <w:b/>
          <w:color w:val="0033CC"/>
          <w:sz w:val="24"/>
        </w:rPr>
        <w:t>返回目次</w:t>
      </w:r>
      <w:r>
        <w:rPr>
          <w:rFonts w:ascii="Microsoft JhengHei" w:eastAsia="Microsoft JhengHei" w:hint="eastAsia"/>
          <w:b/>
          <w:color w:val="0033CC"/>
          <w:w w:val="115"/>
          <w:sz w:val="24"/>
        </w:rPr>
        <w:t>]</w:t>
      </w:r>
    </w:p>
    <w:p>
      <w:pPr>
        <w:pStyle w:val="Heading1"/>
        <w:spacing w:line="690" w:lineRule="exact"/>
        <w:rPr>
          <w:u w:val="none"/>
        </w:rPr>
      </w:pPr>
      <w:bookmarkStart w:name="_TOC_250002" w:id="30"/>
      <w:r>
        <w:rPr>
          <w:rFonts w:ascii="Times New Roman" w:eastAsia="Times New Roman"/>
          <w:color w:val="008000"/>
          <w:spacing w:val="-110"/>
          <w:w w:val="99"/>
          <w:u w:val="thick" w:color="008000"/>
        </w:rPr>
        <w:t> </w:t>
      </w:r>
      <w:bookmarkEnd w:id="30"/>
      <w:r>
        <w:rPr>
          <w:color w:val="008000"/>
          <w:u w:val="thick" w:color="008000"/>
        </w:rPr>
        <w:t>学会动态</w:t>
      </w:r>
    </w:p>
    <w:p>
      <w:pPr>
        <w:pStyle w:val="BodyText"/>
        <w:spacing w:before="5"/>
        <w:ind w:left="0"/>
        <w:rPr>
          <w:rFonts w:ascii="华文宋体"/>
          <w:b/>
          <w:sz w:val="9"/>
        </w:rPr>
      </w:pPr>
    </w:p>
    <w:p>
      <w:pPr>
        <w:pStyle w:val="Heading2"/>
        <w:spacing w:before="55"/>
      </w:pPr>
      <w:bookmarkStart w:name="_TOC_250001" w:id="31"/>
      <w:bookmarkEnd w:id="31"/>
      <w:r>
        <w:rPr/>
        <w:t>【重要通知】</w:t>
      </w:r>
    </w:p>
    <w:p>
      <w:pPr>
        <w:pStyle w:val="BodyText"/>
        <w:ind w:left="0"/>
        <w:rPr>
          <w:b/>
          <w:sz w:val="30"/>
        </w:rPr>
      </w:pPr>
    </w:p>
    <w:p>
      <w:pPr>
        <w:pStyle w:val="Heading7"/>
        <w:ind w:left="2"/>
        <w:jc w:val="center"/>
        <w:rPr>
          <w:rFonts w:ascii="宋体" w:eastAsia="宋体" w:hint="eastAsia"/>
        </w:rPr>
      </w:pPr>
      <w:bookmarkStart w:name="_TOC_250000" w:id="32"/>
      <w:bookmarkEnd w:id="32"/>
      <w:r>
        <w:rPr>
          <w:rFonts w:ascii="宋体" w:eastAsia="宋体" w:hint="eastAsia"/>
        </w:rPr>
        <w:t>关于召开 2019 年中国药学会全国医药经济信息网工作会议的通知（第二轮）</w:t>
      </w:r>
    </w:p>
    <w:p>
      <w:pPr>
        <w:spacing w:after="0"/>
        <w:jc w:val="center"/>
        <w:rPr>
          <w:rFonts w:ascii="宋体" w:eastAsia="宋体" w:hint="eastAsia"/>
        </w:rPr>
        <w:sectPr>
          <w:pgSz w:w="11910" w:h="16850"/>
          <w:pgMar w:header="906" w:footer="607" w:top="1100" w:bottom="800" w:left="680" w:right="54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5"/>
        <w:ind w:left="0"/>
        <w:rPr>
          <w:b/>
          <w:sz w:val="17"/>
        </w:rPr>
      </w:pPr>
    </w:p>
    <w:p>
      <w:pPr>
        <w:spacing w:before="6"/>
        <w:ind w:left="1337" w:right="0" w:firstLine="0"/>
        <w:jc w:val="left"/>
        <w:rPr>
          <w:sz w:val="68"/>
        </w:rPr>
      </w:pPr>
      <w:r>
        <w:rPr>
          <w:color w:val="E80708"/>
          <w:sz w:val="68"/>
        </w:rPr>
        <w:t>中国药学会科技开发中心</w:t>
      </w:r>
    </w:p>
    <w:p>
      <w:pPr>
        <w:pStyle w:val="BodyText"/>
        <w:spacing w:before="10"/>
        <w:ind w:left="0"/>
        <w:rPr>
          <w:sz w:val="91"/>
        </w:rPr>
      </w:pPr>
    </w:p>
    <w:p>
      <w:pPr>
        <w:tabs>
          <w:tab w:pos="1426" w:val="left" w:leader="none"/>
        </w:tabs>
        <w:spacing w:before="0"/>
        <w:ind w:left="0" w:right="140" w:firstLine="0"/>
        <w:jc w:val="center"/>
        <w:rPr>
          <w:sz w:val="31"/>
        </w:rPr>
      </w:pPr>
      <w:r>
        <w:rPr>
          <w:color w:val="080808"/>
          <w:sz w:val="32"/>
        </w:rPr>
        <w:t>匡药会科</w:t>
        <w:tab/>
      </w:r>
      <w:r>
        <w:rPr>
          <w:rFonts w:ascii="Times New Roman" w:eastAsia="Times New Roman"/>
          <w:color w:val="080808"/>
          <w:sz w:val="31"/>
        </w:rPr>
        <w:t>( 2019]  41</w:t>
      </w:r>
      <w:r>
        <w:rPr>
          <w:rFonts w:ascii="Times New Roman" w:eastAsia="Times New Roman"/>
          <w:color w:val="080808"/>
          <w:spacing w:val="21"/>
          <w:sz w:val="31"/>
        </w:rPr>
        <w:t> </w:t>
      </w:r>
      <w:r>
        <w:rPr>
          <w:color w:val="080808"/>
          <w:sz w:val="31"/>
        </w:rPr>
        <w:t>号</w:t>
      </w:r>
    </w:p>
    <w:p>
      <w:pPr>
        <w:pStyle w:val="BodyText"/>
        <w:spacing w:line="38" w:lineRule="exact"/>
        <w:ind w:left="398"/>
        <w:rPr>
          <w:sz w:val="3"/>
        </w:rPr>
      </w:pPr>
      <w:r>
        <w:rPr>
          <w:position w:val="0"/>
          <w:sz w:val="3"/>
        </w:rPr>
        <w:pict>
          <v:group style="width:484.7pt;height:1.85pt;mso-position-horizontal-relative:char;mso-position-vertical-relative:line" coordorigin="0,0" coordsize="9694,37">
            <v:line style="position:absolute" from="0,18" to="9694,18" stroked="true" strokeweight="1.802992pt" strokecolor="#000000">
              <v:stroke dashstyle="solid"/>
            </v:line>
          </v:group>
        </w:pict>
      </w:r>
      <w:r>
        <w:rPr>
          <w:position w:val="0"/>
          <w:sz w:val="3"/>
        </w:rPr>
      </w:r>
    </w:p>
    <w:p>
      <w:pPr>
        <w:pStyle w:val="BodyText"/>
        <w:ind w:left="0"/>
        <w:rPr>
          <w:sz w:val="34"/>
        </w:rPr>
      </w:pPr>
    </w:p>
    <w:p>
      <w:pPr>
        <w:pStyle w:val="BodyText"/>
        <w:spacing w:before="4"/>
        <w:ind w:left="0"/>
        <w:rPr>
          <w:sz w:val="37"/>
        </w:rPr>
      </w:pPr>
    </w:p>
    <w:p>
      <w:pPr>
        <w:spacing w:line="307" w:lineRule="auto" w:before="0"/>
        <w:ind w:left="1187" w:right="1237" w:firstLine="0"/>
        <w:jc w:val="center"/>
        <w:rPr>
          <w:sz w:val="43"/>
        </w:rPr>
      </w:pPr>
      <w:r>
        <w:rPr>
          <w:color w:val="080808"/>
          <w:spacing w:val="-2"/>
          <w:w w:val="105"/>
          <w:sz w:val="43"/>
        </w:rPr>
        <w:t>关千召开</w:t>
      </w:r>
      <w:r>
        <w:rPr>
          <w:rFonts w:ascii="Times New Roman" w:eastAsia="Times New Roman"/>
          <w:color w:val="080808"/>
          <w:w w:val="105"/>
          <w:sz w:val="43"/>
        </w:rPr>
        <w:t>2019 </w:t>
      </w:r>
      <w:r>
        <w:rPr>
          <w:color w:val="080808"/>
          <w:spacing w:val="-20"/>
          <w:w w:val="105"/>
          <w:sz w:val="43"/>
        </w:rPr>
        <w:t>年中国药学会全国朕药经济</w:t>
      </w:r>
      <w:r>
        <w:rPr>
          <w:color w:val="080808"/>
          <w:w w:val="105"/>
          <w:sz w:val="43"/>
        </w:rPr>
        <w:t>信息网工作会议的通知（第二轮）</w:t>
      </w:r>
    </w:p>
    <w:p>
      <w:pPr>
        <w:pStyle w:val="BodyText"/>
        <w:spacing w:before="12"/>
        <w:ind w:left="0"/>
        <w:rPr>
          <w:sz w:val="45"/>
        </w:rPr>
      </w:pPr>
    </w:p>
    <w:p>
      <w:pPr>
        <w:spacing w:before="0"/>
        <w:ind w:left="732" w:right="0" w:firstLine="0"/>
        <w:jc w:val="left"/>
        <w:rPr>
          <w:sz w:val="32"/>
        </w:rPr>
      </w:pPr>
      <w:r>
        <w:rPr>
          <w:color w:val="080808"/>
          <w:sz w:val="32"/>
        </w:rPr>
        <w:t>各有关单位：</w:t>
      </w:r>
    </w:p>
    <w:p>
      <w:pPr>
        <w:tabs>
          <w:tab w:pos="5893" w:val="left" w:leader="none"/>
          <w:tab w:pos="6164" w:val="left" w:leader="none"/>
        </w:tabs>
        <w:spacing w:line="352" w:lineRule="auto" w:before="189"/>
        <w:ind w:left="729" w:right="817" w:firstLine="654"/>
        <w:jc w:val="left"/>
        <w:rPr>
          <w:sz w:val="32"/>
        </w:rPr>
      </w:pPr>
      <w:r>
        <w:rPr>
          <w:color w:val="080808"/>
          <w:sz w:val="32"/>
        </w:rPr>
        <w:t>由中国药学会主办的第十九届中国</w:t>
      </w:r>
      <w:r>
        <w:rPr>
          <w:color w:val="080808"/>
          <w:spacing w:val="-89"/>
          <w:sz w:val="32"/>
        </w:rPr>
        <w:t> </w:t>
      </w:r>
      <w:r>
        <w:rPr>
          <w:color w:val="080808"/>
          <w:sz w:val="32"/>
        </w:rPr>
        <w:t>药师周</w:t>
      </w:r>
      <w:r>
        <w:rPr>
          <w:color w:val="080808"/>
          <w:spacing w:val="-98"/>
          <w:sz w:val="32"/>
        </w:rPr>
        <w:t> </w:t>
      </w:r>
      <w:r>
        <w:rPr>
          <w:color w:val="080808"/>
          <w:sz w:val="32"/>
        </w:rPr>
        <w:t>，</w:t>
      </w:r>
      <w:r>
        <w:rPr>
          <w:color w:val="080808"/>
          <w:spacing w:val="-88"/>
          <w:sz w:val="32"/>
        </w:rPr>
        <w:t> </w:t>
      </w:r>
      <w:r>
        <w:rPr>
          <w:color w:val="080808"/>
          <w:sz w:val="32"/>
        </w:rPr>
        <w:t>定于</w:t>
      </w:r>
      <w:r>
        <w:rPr>
          <w:color w:val="080808"/>
          <w:spacing w:val="-73"/>
          <w:sz w:val="32"/>
        </w:rPr>
        <w:t> </w:t>
      </w:r>
      <w:r>
        <w:rPr>
          <w:rFonts w:ascii="Times New Roman" w:hAnsi="Times New Roman" w:eastAsia="Times New Roman"/>
          <w:color w:val="080808"/>
          <w:sz w:val="31"/>
        </w:rPr>
        <w:t>2019</w:t>
      </w:r>
      <w:r>
        <w:rPr>
          <w:rFonts w:ascii="Times New Roman" w:hAnsi="Times New Roman" w:eastAsia="Times New Roman"/>
          <w:color w:val="080808"/>
          <w:spacing w:val="11"/>
          <w:sz w:val="31"/>
        </w:rPr>
        <w:t> </w:t>
      </w:r>
      <w:r>
        <w:rPr>
          <w:color w:val="080808"/>
          <w:sz w:val="32"/>
        </w:rPr>
        <w:t>年</w:t>
      </w:r>
      <w:r>
        <w:rPr>
          <w:color w:val="080808"/>
          <w:spacing w:val="-62"/>
          <w:sz w:val="32"/>
        </w:rPr>
        <w:t> </w:t>
      </w:r>
      <w:r>
        <w:rPr>
          <w:rFonts w:ascii="Times New Roman" w:hAnsi="Times New Roman" w:eastAsia="Times New Roman"/>
          <w:color w:val="080808"/>
          <w:sz w:val="31"/>
        </w:rPr>
        <w:t>10 </w:t>
      </w:r>
      <w:r>
        <w:rPr>
          <w:color w:val="080808"/>
          <w:w w:val="95"/>
          <w:sz w:val="32"/>
        </w:rPr>
        <w:t>月</w:t>
      </w:r>
      <w:r>
        <w:rPr>
          <w:color w:val="080808"/>
          <w:spacing w:val="-98"/>
          <w:w w:val="95"/>
          <w:sz w:val="32"/>
        </w:rPr>
        <w:t> </w:t>
      </w:r>
      <w:r>
        <w:rPr>
          <w:rFonts w:ascii="Times New Roman" w:hAnsi="Times New Roman" w:eastAsia="Times New Roman"/>
          <w:color w:val="080808"/>
          <w:w w:val="95"/>
          <w:sz w:val="31"/>
        </w:rPr>
        <w:t>31</w:t>
      </w:r>
      <w:r>
        <w:rPr>
          <w:rFonts w:ascii="Times New Roman" w:hAnsi="Times New Roman" w:eastAsia="Times New Roman"/>
          <w:color w:val="080808"/>
          <w:spacing w:val="1"/>
          <w:w w:val="95"/>
          <w:sz w:val="31"/>
        </w:rPr>
        <w:t> </w:t>
      </w:r>
      <w:r>
        <w:rPr>
          <w:color w:val="080808"/>
          <w:w w:val="95"/>
          <w:sz w:val="32"/>
        </w:rPr>
        <w:t>日至</w:t>
      </w:r>
      <w:r>
        <w:rPr>
          <w:color w:val="080808"/>
          <w:spacing w:val="-56"/>
          <w:w w:val="95"/>
          <w:sz w:val="32"/>
        </w:rPr>
        <w:t> </w:t>
      </w:r>
      <w:r>
        <w:rPr>
          <w:rFonts w:ascii="Times New Roman" w:hAnsi="Times New Roman" w:eastAsia="Times New Roman"/>
          <w:color w:val="080808"/>
          <w:w w:val="95"/>
          <w:sz w:val="31"/>
        </w:rPr>
        <w:t>11</w:t>
      </w:r>
      <w:r>
        <w:rPr>
          <w:rFonts w:ascii="Times New Roman" w:hAnsi="Times New Roman" w:eastAsia="Times New Roman"/>
          <w:color w:val="080808"/>
          <w:spacing w:val="1"/>
          <w:w w:val="95"/>
          <w:sz w:val="31"/>
        </w:rPr>
        <w:t> </w:t>
      </w:r>
      <w:r>
        <w:rPr>
          <w:color w:val="080808"/>
          <w:w w:val="95"/>
          <w:sz w:val="32"/>
        </w:rPr>
        <w:t>月</w:t>
      </w:r>
      <w:r>
        <w:rPr>
          <w:color w:val="080808"/>
          <w:spacing w:val="-101"/>
          <w:w w:val="95"/>
          <w:sz w:val="32"/>
        </w:rPr>
        <w:t> </w:t>
      </w:r>
      <w:r>
        <w:rPr>
          <w:rFonts w:ascii="Times New Roman" w:hAnsi="Times New Roman" w:eastAsia="Times New Roman"/>
          <w:color w:val="080808"/>
          <w:w w:val="95"/>
          <w:sz w:val="31"/>
        </w:rPr>
        <w:t>3</w:t>
      </w:r>
      <w:r>
        <w:rPr>
          <w:rFonts w:ascii="Times New Roman" w:hAnsi="Times New Roman" w:eastAsia="Times New Roman"/>
          <w:color w:val="080808"/>
          <w:spacing w:val="-12"/>
          <w:w w:val="95"/>
          <w:sz w:val="31"/>
        </w:rPr>
        <w:t> </w:t>
      </w:r>
      <w:r>
        <w:rPr>
          <w:color w:val="080808"/>
          <w:w w:val="95"/>
          <w:sz w:val="32"/>
        </w:rPr>
        <w:t>日在重庆市举办。届</w:t>
        <w:tab/>
        <w:tab/>
      </w:r>
      <w:r>
        <w:rPr>
          <w:color w:val="080808"/>
          <w:sz w:val="32"/>
        </w:rPr>
        <w:t>时，</w:t>
      </w:r>
      <w:r>
        <w:rPr>
          <w:color w:val="080808"/>
          <w:spacing w:val="-121"/>
          <w:sz w:val="32"/>
        </w:rPr>
        <w:t> </w:t>
      </w:r>
      <w:r>
        <w:rPr>
          <w:color w:val="080808"/>
          <w:sz w:val="32"/>
        </w:rPr>
        <w:t>同期</w:t>
      </w:r>
      <w:r>
        <w:rPr>
          <w:color w:val="080808"/>
          <w:spacing w:val="70"/>
          <w:sz w:val="32"/>
        </w:rPr>
        <w:t>召</w:t>
      </w:r>
      <w:r>
        <w:rPr>
          <w:color w:val="080808"/>
          <w:sz w:val="32"/>
        </w:rPr>
        <w:t>开</w:t>
      </w:r>
      <w:r>
        <w:rPr>
          <w:color w:val="080808"/>
          <w:spacing w:val="-117"/>
          <w:sz w:val="32"/>
        </w:rPr>
        <w:t> </w:t>
      </w:r>
      <w:r>
        <w:rPr>
          <w:rFonts w:ascii="Times New Roman" w:hAnsi="Times New Roman" w:eastAsia="Times New Roman"/>
          <w:color w:val="080808"/>
          <w:sz w:val="31"/>
        </w:rPr>
        <w:t>2019</w:t>
      </w:r>
      <w:r>
        <w:rPr>
          <w:rFonts w:ascii="Times New Roman" w:hAnsi="Times New Roman" w:eastAsia="Times New Roman"/>
          <w:color w:val="080808"/>
          <w:spacing w:val="-61"/>
          <w:sz w:val="31"/>
        </w:rPr>
        <w:t> </w:t>
      </w:r>
      <w:r>
        <w:rPr>
          <w:color w:val="080808"/>
          <w:sz w:val="32"/>
        </w:rPr>
        <w:t>年中国</w:t>
      </w:r>
      <w:r>
        <w:rPr>
          <w:color w:val="080808"/>
          <w:w w:val="90"/>
          <w:sz w:val="32"/>
        </w:rPr>
        <w:t>药学会</w:t>
      </w:r>
      <w:r>
        <w:rPr>
          <w:color w:val="080808"/>
          <w:spacing w:val="-67"/>
          <w:w w:val="90"/>
          <w:sz w:val="32"/>
        </w:rPr>
        <w:t> </w:t>
      </w:r>
      <w:r>
        <w:rPr>
          <w:color w:val="080808"/>
          <w:w w:val="90"/>
          <w:sz w:val="32"/>
        </w:rPr>
        <w:t>全</w:t>
      </w:r>
      <w:r>
        <w:rPr>
          <w:color w:val="080808"/>
          <w:spacing w:val="22"/>
          <w:w w:val="90"/>
          <w:sz w:val="32"/>
        </w:rPr>
        <w:t>国</w:t>
      </w:r>
      <w:r>
        <w:rPr>
          <w:color w:val="080808"/>
          <w:w w:val="90"/>
          <w:sz w:val="32"/>
        </w:rPr>
        <w:t>医药经济信息网工作会议</w:t>
        <w:tab/>
      </w:r>
      <w:r>
        <w:rPr>
          <w:color w:val="242424"/>
          <w:spacing w:val="6"/>
          <w:sz w:val="32"/>
        </w:rPr>
        <w:t>。</w:t>
      </w:r>
      <w:r>
        <w:rPr>
          <w:color w:val="080808"/>
          <w:sz w:val="32"/>
        </w:rPr>
        <w:t>本次会议将</w:t>
      </w:r>
      <w:r>
        <w:rPr>
          <w:color w:val="080808"/>
          <w:spacing w:val="16"/>
          <w:sz w:val="32"/>
        </w:rPr>
        <w:t>以</w:t>
      </w:r>
      <w:r>
        <w:rPr>
          <w:color w:val="080808"/>
          <w:sz w:val="32"/>
        </w:rPr>
        <w:t>习近平新时</w:t>
      </w:r>
      <w:r>
        <w:rPr>
          <w:color w:val="080808"/>
          <w:w w:val="95"/>
          <w:sz w:val="32"/>
        </w:rPr>
        <w:t>代中国特色社会主义思想为指导，以“健康中匡行动”为目标，聚 焦我国医药卫生事业发展的重大方针政策、科技创新、医疗服务、 </w:t>
      </w:r>
      <w:r>
        <w:rPr>
          <w:color w:val="080808"/>
          <w:sz w:val="32"/>
        </w:rPr>
        <w:t>科学传播等热点要点，就我国医药领域的创新战略和发展规划、新形势下的药学服务发展模式、健康中国和科普中国建设、科技创新和科学传播融合等重大问题进行深入交流和研讨。为保障会议及各项活动顺利进行，现将有关事宜通知如下：</w:t>
      </w:r>
    </w:p>
    <w:p>
      <w:pPr>
        <w:spacing w:line="387" w:lineRule="exact" w:before="0"/>
        <w:ind w:left="1374" w:right="0" w:firstLine="0"/>
        <w:jc w:val="left"/>
        <w:rPr>
          <w:sz w:val="32"/>
        </w:rPr>
      </w:pPr>
      <w:r>
        <w:rPr>
          <w:color w:val="080808"/>
          <w:sz w:val="32"/>
        </w:rPr>
        <w:t>一、大会主题</w:t>
      </w:r>
    </w:p>
    <w:p>
      <w:pPr>
        <w:spacing w:before="196"/>
        <w:ind w:left="1387" w:right="0" w:firstLine="0"/>
        <w:jc w:val="left"/>
        <w:rPr>
          <w:sz w:val="32"/>
        </w:rPr>
      </w:pPr>
      <w:r>
        <w:rPr>
          <w:color w:val="080808"/>
          <w:sz w:val="32"/>
        </w:rPr>
        <w:t>凝聚药师智慧助力健康中国</w:t>
      </w:r>
    </w:p>
    <w:p>
      <w:pPr>
        <w:spacing w:after="0"/>
        <w:jc w:val="left"/>
        <w:rPr>
          <w:sz w:val="32"/>
        </w:rPr>
        <w:sectPr>
          <w:headerReference w:type="default" r:id="rId22"/>
          <w:footerReference w:type="default" r:id="rId23"/>
          <w:pgSz w:w="11910" w:h="16850"/>
          <w:pgMar w:header="0" w:footer="749" w:top="1600" w:bottom="940" w:left="680" w:right="540"/>
        </w:sectPr>
      </w:pPr>
    </w:p>
    <w:p>
      <w:pPr>
        <w:pStyle w:val="Heading5"/>
        <w:spacing w:before="36"/>
        <w:ind w:left="1375"/>
        <w:rPr>
          <w:rFonts w:ascii="宋体" w:eastAsia="宋体" w:hint="eastAsia"/>
        </w:rPr>
      </w:pPr>
      <w:r>
        <w:rPr>
          <w:rFonts w:ascii="宋体" w:eastAsia="宋体" w:hint="eastAsia"/>
          <w:color w:val="0A0A0A"/>
          <w:w w:val="105"/>
        </w:rPr>
        <w:t>二、活动内容</w:t>
      </w:r>
    </w:p>
    <w:p>
      <w:pPr>
        <w:spacing w:before="215"/>
        <w:ind w:left="1363" w:right="0" w:firstLine="0"/>
        <w:jc w:val="left"/>
        <w:rPr>
          <w:sz w:val="30"/>
        </w:rPr>
      </w:pPr>
      <w:r>
        <w:rPr>
          <w:smallCaps/>
          <w:color w:val="0A0A0A"/>
          <w:w w:val="101"/>
          <w:sz w:val="30"/>
        </w:rPr>
        <w:t>（</w:t>
      </w:r>
      <w:r>
        <w:rPr>
          <w:smallCaps w:val="0"/>
          <w:color w:val="0A0A0A"/>
          <w:spacing w:val="-111"/>
          <w:sz w:val="30"/>
        </w:rPr>
        <w:t> </w:t>
      </w:r>
      <w:r>
        <w:rPr>
          <w:smallCaps w:val="0"/>
          <w:color w:val="0A0A0A"/>
          <w:spacing w:val="54"/>
          <w:w w:val="101"/>
          <w:sz w:val="30"/>
        </w:rPr>
        <w:t>一</w:t>
      </w:r>
      <w:r>
        <w:rPr>
          <w:smallCaps w:val="0"/>
          <w:color w:val="0A0A0A"/>
          <w:w w:val="103"/>
          <w:sz w:val="30"/>
        </w:rPr>
        <w:t>）大</w:t>
      </w:r>
      <w:r>
        <w:rPr>
          <w:smallCaps w:val="0"/>
          <w:color w:val="0A0A0A"/>
          <w:spacing w:val="1"/>
          <w:w w:val="103"/>
          <w:sz w:val="30"/>
        </w:rPr>
        <w:t>会</w:t>
      </w:r>
      <w:r>
        <w:rPr>
          <w:smallCaps w:val="0"/>
          <w:color w:val="0A0A0A"/>
          <w:w w:val="100"/>
          <w:sz w:val="30"/>
        </w:rPr>
        <w:t>开</w:t>
      </w:r>
      <w:r>
        <w:rPr>
          <w:smallCaps w:val="0"/>
          <w:color w:val="0A0A0A"/>
          <w:spacing w:val="36"/>
          <w:w w:val="100"/>
          <w:sz w:val="30"/>
        </w:rPr>
        <w:t>幕</w:t>
      </w:r>
      <w:r>
        <w:rPr>
          <w:smallCaps w:val="0"/>
          <w:color w:val="0A0A0A"/>
          <w:w w:val="102"/>
          <w:sz w:val="30"/>
        </w:rPr>
        <w:t>式及主题报告</w:t>
      </w:r>
      <w:r>
        <w:rPr>
          <w:smallCaps w:val="0"/>
          <w:color w:val="0A0A0A"/>
          <w:spacing w:val="71"/>
          <w:sz w:val="30"/>
        </w:rPr>
        <w:t> </w:t>
      </w:r>
      <w:r>
        <w:rPr>
          <w:rFonts w:ascii="Times New Roman" w:eastAsia="Times New Roman"/>
          <w:smallCaps w:val="0"/>
          <w:color w:val="0A0A0A"/>
          <w:w w:val="105"/>
          <w:sz w:val="30"/>
        </w:rPr>
        <w:t>(</w:t>
      </w:r>
      <w:r>
        <w:rPr>
          <w:rFonts w:ascii="Times New Roman" w:eastAsia="Times New Roman"/>
          <w:smallCaps w:val="0"/>
          <w:color w:val="0A0A0A"/>
          <w:spacing w:val="-1"/>
          <w:sz w:val="30"/>
        </w:rPr>
        <w:t> </w:t>
      </w:r>
      <w:r>
        <w:rPr>
          <w:rFonts w:ascii="Times New Roman" w:eastAsia="Times New Roman"/>
          <w:smallCaps w:val="0"/>
          <w:color w:val="0A0A0A"/>
          <w:w w:val="105"/>
          <w:sz w:val="30"/>
        </w:rPr>
        <w:t>11</w:t>
      </w:r>
      <w:r>
        <w:rPr>
          <w:rFonts w:ascii="Times New Roman" w:eastAsia="Times New Roman"/>
          <w:smallCaps w:val="0"/>
          <w:color w:val="0A0A0A"/>
          <w:spacing w:val="22"/>
          <w:sz w:val="30"/>
        </w:rPr>
        <w:t> </w:t>
      </w:r>
      <w:r>
        <w:rPr>
          <w:smallCaps w:val="0"/>
          <w:color w:val="0A0A0A"/>
          <w:w w:val="90"/>
          <w:sz w:val="30"/>
        </w:rPr>
        <w:t>月</w:t>
      </w:r>
      <w:r>
        <w:rPr>
          <w:smallCaps w:val="0"/>
          <w:color w:val="0A0A0A"/>
          <w:spacing w:val="-33"/>
          <w:sz w:val="30"/>
        </w:rPr>
        <w:t> </w:t>
      </w:r>
      <w:r>
        <w:rPr>
          <w:rFonts w:ascii="Times New Roman" w:eastAsia="Times New Roman"/>
          <w:smallCaps w:val="0"/>
          <w:color w:val="0A0A0A"/>
          <w:w w:val="90"/>
          <w:sz w:val="30"/>
        </w:rPr>
        <w:t>2</w:t>
      </w:r>
      <w:r>
        <w:rPr>
          <w:rFonts w:ascii="Times New Roman" w:eastAsia="Times New Roman"/>
          <w:smallCaps w:val="0"/>
          <w:color w:val="0A0A0A"/>
          <w:sz w:val="30"/>
        </w:rPr>
        <w:t> </w:t>
      </w:r>
      <w:r>
        <w:rPr>
          <w:rFonts w:ascii="Times New Roman" w:eastAsia="Times New Roman"/>
          <w:smallCaps w:val="0"/>
          <w:color w:val="0A0A0A"/>
          <w:spacing w:val="-33"/>
          <w:sz w:val="30"/>
        </w:rPr>
        <w:t> </w:t>
      </w:r>
      <w:r>
        <w:rPr>
          <w:smallCaps w:val="0"/>
          <w:color w:val="0A0A0A"/>
          <w:spacing w:val="34"/>
          <w:w w:val="89"/>
          <w:sz w:val="30"/>
        </w:rPr>
        <w:t>日</w:t>
      </w:r>
      <w:r>
        <w:rPr>
          <w:smallCaps w:val="0"/>
          <w:color w:val="0A0A0A"/>
          <w:spacing w:val="4"/>
          <w:w w:val="106"/>
          <w:sz w:val="30"/>
        </w:rPr>
        <w:t>上</w:t>
      </w:r>
      <w:r>
        <w:rPr>
          <w:smallCaps w:val="0"/>
          <w:color w:val="0A0A0A"/>
          <w:spacing w:val="39"/>
          <w:w w:val="108"/>
          <w:sz w:val="30"/>
        </w:rPr>
        <w:t>午</w:t>
      </w:r>
      <w:r>
        <w:rPr>
          <w:smallCaps w:val="0"/>
          <w:color w:val="0A0A0A"/>
          <w:w w:val="103"/>
          <w:sz w:val="30"/>
        </w:rPr>
        <w:t>）</w:t>
      </w:r>
    </w:p>
    <w:p>
      <w:pPr>
        <w:tabs>
          <w:tab w:pos="1775" w:val="left" w:leader="none"/>
        </w:tabs>
        <w:spacing w:before="201"/>
        <w:ind w:left="1410" w:right="0" w:firstLine="0"/>
        <w:jc w:val="left"/>
        <w:rPr>
          <w:sz w:val="32"/>
        </w:rPr>
      </w:pPr>
      <w:r>
        <w:rPr>
          <w:rFonts w:ascii="Times New Roman" w:eastAsia="Times New Roman"/>
          <w:color w:val="0A0A0A"/>
          <w:sz w:val="31"/>
        </w:rPr>
        <w:t>l</w:t>
        <w:tab/>
      </w:r>
      <w:r>
        <w:rPr>
          <w:color w:val="0A0A0A"/>
          <w:sz w:val="32"/>
        </w:rPr>
        <w:t>领导讲话</w:t>
      </w:r>
    </w:p>
    <w:p>
      <w:pPr>
        <w:pStyle w:val="ListParagraph"/>
        <w:numPr>
          <w:ilvl w:val="1"/>
          <w:numId w:val="1"/>
        </w:numPr>
        <w:tabs>
          <w:tab w:pos="1775" w:val="left" w:leader="none"/>
          <w:tab w:pos="1777" w:val="left" w:leader="none"/>
          <w:tab w:pos="4748" w:val="left" w:leader="none"/>
        </w:tabs>
        <w:spacing w:line="240" w:lineRule="auto" w:before="189" w:after="0"/>
        <w:ind w:left="1776" w:right="0" w:hanging="402"/>
        <w:jc w:val="left"/>
        <w:rPr>
          <w:sz w:val="32"/>
        </w:rPr>
      </w:pPr>
      <w:r>
        <w:rPr>
          <w:color w:val="0A0A0A"/>
          <w:w w:val="90"/>
          <w:sz w:val="32"/>
        </w:rPr>
        <w:t>全</w:t>
      </w:r>
      <w:r>
        <w:rPr>
          <w:color w:val="0A0A0A"/>
          <w:spacing w:val="22"/>
          <w:w w:val="90"/>
          <w:sz w:val="32"/>
        </w:rPr>
        <w:t>国</w:t>
      </w:r>
      <w:r>
        <w:rPr>
          <w:color w:val="0A0A0A"/>
          <w:w w:val="90"/>
          <w:sz w:val="32"/>
        </w:rPr>
        <w:t>医药经济信息网</w:t>
        <w:tab/>
      </w:r>
      <w:r>
        <w:rPr>
          <w:rFonts w:ascii="Times New Roman" w:eastAsia="Times New Roman"/>
          <w:color w:val="0A0A0A"/>
          <w:spacing w:val="7"/>
          <w:sz w:val="30"/>
        </w:rPr>
        <w:t>2019</w:t>
      </w:r>
      <w:r>
        <w:rPr>
          <w:rFonts w:ascii="Times New Roman" w:eastAsia="Times New Roman"/>
          <w:color w:val="0A0A0A"/>
          <w:spacing w:val="-14"/>
          <w:sz w:val="30"/>
        </w:rPr>
        <w:t> </w:t>
      </w:r>
      <w:r>
        <w:rPr>
          <w:color w:val="0A0A0A"/>
          <w:sz w:val="32"/>
        </w:rPr>
        <w:t>年度工作总结</w:t>
      </w:r>
      <w:r>
        <w:rPr>
          <w:color w:val="0A0A0A"/>
          <w:spacing w:val="-61"/>
          <w:sz w:val="32"/>
        </w:rPr>
        <w:t> </w:t>
      </w:r>
      <w:r>
        <w:rPr>
          <w:color w:val="0A0A0A"/>
          <w:sz w:val="32"/>
        </w:rPr>
        <w:t>汇报</w:t>
      </w:r>
    </w:p>
    <w:p>
      <w:pPr>
        <w:pStyle w:val="Heading3"/>
        <w:numPr>
          <w:ilvl w:val="1"/>
          <w:numId w:val="1"/>
        </w:numPr>
        <w:tabs>
          <w:tab w:pos="1770" w:val="left" w:leader="none"/>
          <w:tab w:pos="1772" w:val="left" w:leader="none"/>
        </w:tabs>
        <w:spacing w:line="240" w:lineRule="auto" w:before="188" w:after="0"/>
        <w:ind w:left="1771" w:right="0" w:hanging="401"/>
        <w:jc w:val="left"/>
      </w:pPr>
      <w:r>
        <w:rPr>
          <w:color w:val="0A0A0A"/>
          <w:spacing w:val="6"/>
        </w:rPr>
        <w:t>发布《中国药学会 </w:t>
      </w:r>
      <w:r>
        <w:rPr>
          <w:rFonts w:ascii="Times New Roman" w:eastAsia="Times New Roman"/>
          <w:color w:val="0A0A0A"/>
          <w:sz w:val="30"/>
        </w:rPr>
        <w:t>2019</w:t>
      </w:r>
      <w:r>
        <w:rPr>
          <w:rFonts w:ascii="Times New Roman" w:eastAsia="Times New Roman"/>
          <w:color w:val="0A0A0A"/>
          <w:spacing w:val="52"/>
          <w:sz w:val="30"/>
        </w:rPr>
        <w:t> </w:t>
      </w:r>
      <w:r>
        <w:rPr>
          <w:color w:val="0A0A0A"/>
          <w:spacing w:val="3"/>
        </w:rPr>
        <w:t>年全国药品使用情况研究报告》</w:t>
      </w:r>
    </w:p>
    <w:p>
      <w:pPr>
        <w:pStyle w:val="ListParagraph"/>
        <w:numPr>
          <w:ilvl w:val="1"/>
          <w:numId w:val="1"/>
        </w:numPr>
        <w:tabs>
          <w:tab w:pos="1777" w:val="left" w:leader="none"/>
          <w:tab w:pos="1778" w:val="left" w:leader="none"/>
        </w:tabs>
        <w:spacing w:line="240" w:lineRule="auto" w:before="196" w:after="0"/>
        <w:ind w:left="1777" w:right="0" w:hanging="398"/>
        <w:jc w:val="left"/>
        <w:rPr>
          <w:sz w:val="32"/>
        </w:rPr>
      </w:pPr>
      <w:r>
        <w:rPr>
          <w:color w:val="0A0A0A"/>
          <w:sz w:val="32"/>
        </w:rPr>
        <w:t>表彰及颁奖</w:t>
      </w:r>
    </w:p>
    <w:p>
      <w:pPr>
        <w:spacing w:before="196"/>
        <w:ind w:left="1380" w:right="0" w:firstLine="0"/>
        <w:jc w:val="left"/>
        <w:rPr>
          <w:sz w:val="32"/>
        </w:rPr>
      </w:pPr>
      <w:r>
        <w:rPr>
          <w:color w:val="0A0A0A"/>
          <w:sz w:val="32"/>
        </w:rPr>
        <w:t>表彰 </w:t>
      </w:r>
      <w:r>
        <w:rPr>
          <w:rFonts w:ascii="Times New Roman" w:eastAsia="Times New Roman"/>
          <w:color w:val="0A0A0A"/>
          <w:sz w:val="30"/>
        </w:rPr>
        <w:t>2019 </w:t>
      </w:r>
      <w:r>
        <w:rPr>
          <w:color w:val="0A0A0A"/>
          <w:sz w:val="32"/>
        </w:rPr>
        <w:t>年中国药学会优秀药师</w:t>
      </w:r>
    </w:p>
    <w:p>
      <w:pPr>
        <w:pStyle w:val="Heading3"/>
        <w:spacing w:before="181"/>
        <w:ind w:left="1386"/>
      </w:pPr>
      <w:r>
        <w:rPr>
          <w:color w:val="0A0A0A"/>
        </w:rPr>
        <w:t>颁发全国医药经济信息网信息管理优秀单位等奖项</w:t>
      </w:r>
    </w:p>
    <w:p>
      <w:pPr>
        <w:pStyle w:val="ListParagraph"/>
        <w:numPr>
          <w:ilvl w:val="1"/>
          <w:numId w:val="1"/>
        </w:numPr>
        <w:tabs>
          <w:tab w:pos="1787" w:val="left" w:leader="none"/>
          <w:tab w:pos="1788" w:val="left" w:leader="none"/>
        </w:tabs>
        <w:spacing w:line="240" w:lineRule="auto" w:before="189" w:after="0"/>
        <w:ind w:left="1788" w:right="0" w:hanging="410"/>
        <w:jc w:val="left"/>
        <w:rPr>
          <w:sz w:val="32"/>
        </w:rPr>
      </w:pPr>
      <w:r>
        <w:rPr>
          <w:color w:val="0A0A0A"/>
          <w:spacing w:val="19"/>
          <w:sz w:val="32"/>
        </w:rPr>
        <w:t>主题报告</w:t>
      </w:r>
      <w:r>
        <w:rPr>
          <w:color w:val="0A0A0A"/>
          <w:spacing w:val="25"/>
          <w:w w:val="75"/>
          <w:sz w:val="32"/>
        </w:rPr>
        <w:t>： </w:t>
      </w:r>
      <w:r>
        <w:rPr>
          <w:color w:val="0A0A0A"/>
          <w:spacing w:val="5"/>
          <w:sz w:val="32"/>
        </w:rPr>
        <w:t>相关部委领导及专家</w:t>
      </w:r>
    </w:p>
    <w:p>
      <w:pPr>
        <w:pStyle w:val="Heading5"/>
        <w:spacing w:before="208"/>
        <w:ind w:left="1504"/>
        <w:rPr>
          <w:rFonts w:ascii="宋体" w:eastAsia="宋体" w:hint="eastAsia"/>
        </w:rPr>
      </w:pPr>
      <w:r>
        <w:rPr>
          <w:rFonts w:ascii="宋体" w:eastAsia="宋体" w:hint="eastAsia"/>
          <w:color w:val="0A0A0A"/>
        </w:rPr>
        <w:t>（二）分论坛</w:t>
      </w:r>
    </w:p>
    <w:p>
      <w:pPr>
        <w:tabs>
          <w:tab w:pos="1790" w:val="left" w:leader="none"/>
          <w:tab w:pos="6582" w:val="left" w:leader="none"/>
        </w:tabs>
        <w:spacing w:before="202"/>
        <w:ind w:left="1383" w:right="0" w:firstLine="0"/>
        <w:jc w:val="left"/>
        <w:rPr>
          <w:sz w:val="32"/>
        </w:rPr>
      </w:pPr>
      <w:r>
        <w:rPr>
          <w:rFonts w:ascii="Times New Roman" w:hAnsi="Times New Roman" w:eastAsia="Times New Roman"/>
          <w:color w:val="0A0A0A"/>
          <w:sz w:val="32"/>
        </w:rPr>
        <w:t>1</w:t>
        <w:tab/>
      </w:r>
      <w:r>
        <w:rPr>
          <w:color w:val="0A0A0A"/>
          <w:w w:val="90"/>
          <w:sz w:val="32"/>
        </w:rPr>
        <w:t>第二</w:t>
      </w:r>
      <w:r>
        <w:rPr>
          <w:color w:val="0A0A0A"/>
          <w:spacing w:val="69"/>
          <w:w w:val="90"/>
          <w:sz w:val="32"/>
        </w:rPr>
        <w:t>届</w:t>
      </w:r>
      <w:r>
        <w:rPr>
          <w:color w:val="0A0A0A"/>
          <w:w w:val="90"/>
          <w:sz w:val="32"/>
        </w:rPr>
        <w:t>医药信息和利用研讨会</w:t>
        <w:tab/>
      </w:r>
      <w:r>
        <w:rPr>
          <w:color w:val="0A0A0A"/>
          <w:spacing w:val="38"/>
          <w:sz w:val="32"/>
        </w:rPr>
        <w:t>智</w:t>
      </w:r>
      <w:r>
        <w:rPr>
          <w:color w:val="0A0A0A"/>
          <w:spacing w:val="-67"/>
          <w:sz w:val="32"/>
        </w:rPr>
        <w:t>慧</w:t>
      </w:r>
      <w:r>
        <w:rPr>
          <w:color w:val="0A0A0A"/>
          <w:w w:val="90"/>
          <w:sz w:val="32"/>
        </w:rPr>
        <w:t>·</w:t>
      </w:r>
      <w:r>
        <w:rPr>
          <w:color w:val="0A0A0A"/>
          <w:spacing w:val="-119"/>
          <w:w w:val="90"/>
          <w:sz w:val="32"/>
        </w:rPr>
        <w:t> </w:t>
      </w:r>
      <w:r>
        <w:rPr>
          <w:color w:val="0A0A0A"/>
          <w:sz w:val="32"/>
        </w:rPr>
        <w:t>变革创</w:t>
      </w:r>
      <w:r>
        <w:rPr>
          <w:color w:val="0A0A0A"/>
          <w:spacing w:val="2"/>
          <w:sz w:val="32"/>
        </w:rPr>
        <w:t> </w:t>
      </w:r>
      <w:r>
        <w:rPr>
          <w:color w:val="0A0A0A"/>
          <w:sz w:val="32"/>
        </w:rPr>
        <w:t>新</w:t>
      </w:r>
      <w:r>
        <w:rPr>
          <w:color w:val="0A0A0A"/>
          <w:spacing w:val="-41"/>
          <w:sz w:val="32"/>
        </w:rPr>
        <w:t> </w:t>
      </w:r>
      <w:r>
        <w:rPr>
          <w:rFonts w:ascii="Times New Roman" w:hAnsi="Times New Roman" w:eastAsia="Times New Roman"/>
          <w:color w:val="0A0A0A"/>
          <w:sz w:val="30"/>
        </w:rPr>
        <w:t>(</w:t>
      </w:r>
      <w:r>
        <w:rPr>
          <w:rFonts w:ascii="Times New Roman" w:hAnsi="Times New Roman" w:eastAsia="Times New Roman"/>
          <w:color w:val="0A0A0A"/>
          <w:spacing w:val="-14"/>
          <w:sz w:val="30"/>
        </w:rPr>
        <w:t> </w:t>
      </w:r>
      <w:r>
        <w:rPr>
          <w:rFonts w:ascii="Times New Roman" w:hAnsi="Times New Roman" w:eastAsia="Times New Roman"/>
          <w:color w:val="0A0A0A"/>
          <w:sz w:val="30"/>
        </w:rPr>
        <w:t>11</w:t>
      </w:r>
      <w:r>
        <w:rPr>
          <w:rFonts w:ascii="Times New Roman" w:hAnsi="Times New Roman" w:eastAsia="Times New Roman"/>
          <w:color w:val="0A0A0A"/>
          <w:spacing w:val="45"/>
          <w:sz w:val="30"/>
        </w:rPr>
        <w:t> </w:t>
      </w:r>
      <w:r>
        <w:rPr>
          <w:color w:val="0A0A0A"/>
          <w:sz w:val="32"/>
        </w:rPr>
        <w:t>月</w:t>
      </w:r>
    </w:p>
    <w:p>
      <w:pPr>
        <w:spacing w:before="196"/>
        <w:ind w:left="735" w:right="0" w:firstLine="0"/>
        <w:jc w:val="left"/>
        <w:rPr>
          <w:sz w:val="32"/>
        </w:rPr>
      </w:pPr>
      <w:r>
        <w:rPr>
          <w:rFonts w:ascii="Times New Roman" w:eastAsia="Times New Roman"/>
          <w:color w:val="0A0A0A"/>
          <w:sz w:val="31"/>
        </w:rPr>
        <w:t>2 </w:t>
      </w:r>
      <w:r>
        <w:rPr>
          <w:color w:val="0A0A0A"/>
          <w:sz w:val="32"/>
        </w:rPr>
        <w:t>日下午 ）</w:t>
      </w:r>
    </w:p>
    <w:p>
      <w:pPr>
        <w:pStyle w:val="Heading3"/>
        <w:spacing w:line="350" w:lineRule="auto" w:before="196"/>
        <w:ind w:left="732" w:right="795" w:firstLine="656"/>
        <w:jc w:val="both"/>
      </w:pPr>
      <w:r>
        <w:rPr>
          <w:color w:val="0A0A0A"/>
        </w:rPr>
        <w:t>大数据发展日新月异，深刻影响医药行业变革。权威解读当</w:t>
      </w:r>
      <w:r>
        <w:rPr>
          <w:color w:val="0A0A0A"/>
          <w:w w:val="95"/>
        </w:rPr>
        <w:t>前药物政策、产业发展趋势、药品监管新法等。聚焦＇＇智慧医院” </w:t>
      </w:r>
      <w:r>
        <w:rPr>
          <w:color w:val="0A0A0A"/>
          <w:spacing w:val="14"/>
          <w:w w:val="95"/>
        </w:rPr>
        <w:t>建设以及</w:t>
      </w:r>
      <w:r>
        <w:rPr>
          <w:rFonts w:ascii="Times New Roman" w:hAnsi="Times New Roman" w:eastAsia="Times New Roman"/>
          <w:color w:val="0A0A0A"/>
          <w:spacing w:val="6"/>
          <w:w w:val="95"/>
          <w:sz w:val="31"/>
        </w:rPr>
        <w:t>5G</w:t>
      </w:r>
      <w:r>
        <w:rPr>
          <w:color w:val="0A0A0A"/>
          <w:w w:val="95"/>
        </w:rPr>
        <w:t>、仿真等科技在医药领域的应用与发展 ， 从全国视角</w:t>
      </w:r>
      <w:r>
        <w:rPr>
          <w:color w:val="0A0A0A"/>
          <w:spacing w:val="1"/>
        </w:rPr>
        <w:t>深度解读《</w:t>
      </w:r>
      <w:r>
        <w:rPr>
          <w:rFonts w:ascii="Times New Roman" w:hAnsi="Times New Roman" w:eastAsia="Times New Roman"/>
          <w:color w:val="0A0A0A"/>
          <w:sz w:val="30"/>
        </w:rPr>
        <w:t>2019 </w:t>
      </w:r>
      <w:r>
        <w:rPr>
          <w:color w:val="0A0A0A"/>
          <w:spacing w:val="4"/>
        </w:rPr>
        <w:t>年全国药品使用情况研究报告</w:t>
      </w:r>
      <w:r>
        <w:rPr>
          <w:color w:val="0A0A0A"/>
          <w:spacing w:val="-45"/>
        </w:rPr>
        <w:t>》， 分享不同疾病领域用药的最新数据。</w:t>
      </w:r>
    </w:p>
    <w:p>
      <w:pPr>
        <w:spacing w:line="355" w:lineRule="auto" w:before="7"/>
        <w:ind w:left="1377" w:right="816" w:hanging="2"/>
        <w:jc w:val="both"/>
        <w:rPr>
          <w:sz w:val="32"/>
        </w:rPr>
      </w:pPr>
      <w:r>
        <w:rPr>
          <w:rFonts w:ascii="Arial" w:eastAsia="Arial"/>
          <w:color w:val="0A0A0A"/>
          <w:sz w:val="28"/>
        </w:rPr>
        <w:t>2</w:t>
      </w:r>
      <w:r>
        <w:rPr>
          <w:rFonts w:ascii="Arial" w:eastAsia="Arial"/>
          <w:color w:val="0A0A0A"/>
          <w:spacing w:val="23"/>
          <w:sz w:val="28"/>
        </w:rPr>
        <w:t>. </w:t>
      </w:r>
      <w:r>
        <w:rPr>
          <w:color w:val="0A0A0A"/>
          <w:spacing w:val="-11"/>
          <w:sz w:val="32"/>
        </w:rPr>
        <w:t>药物治疗前沿创新论坛 前沿融 合 突破</w:t>
      </w:r>
      <w:r>
        <w:rPr>
          <w:rFonts w:ascii="Times New Roman" w:eastAsia="Times New Roman"/>
          <w:color w:val="0A0A0A"/>
          <w:spacing w:val="-20"/>
          <w:sz w:val="30"/>
        </w:rPr>
        <w:t>( </w:t>
      </w:r>
      <w:r>
        <w:rPr>
          <w:rFonts w:ascii="Times New Roman" w:eastAsia="Times New Roman"/>
          <w:color w:val="0A0A0A"/>
          <w:sz w:val="30"/>
        </w:rPr>
        <w:t>11</w:t>
      </w:r>
      <w:r>
        <w:rPr>
          <w:rFonts w:ascii="Times New Roman" w:eastAsia="Times New Roman"/>
          <w:color w:val="0A0A0A"/>
          <w:spacing w:val="-26"/>
          <w:sz w:val="30"/>
        </w:rPr>
        <w:t> </w:t>
      </w:r>
      <w:r>
        <w:rPr>
          <w:color w:val="0A0A0A"/>
          <w:spacing w:val="-58"/>
          <w:sz w:val="32"/>
        </w:rPr>
        <w:t>月 </w:t>
      </w:r>
      <w:r>
        <w:rPr>
          <w:rFonts w:ascii="Arial" w:eastAsia="Arial"/>
          <w:color w:val="0A0A0A"/>
          <w:sz w:val="28"/>
        </w:rPr>
        <w:t>2</w:t>
      </w:r>
      <w:r>
        <w:rPr>
          <w:rFonts w:ascii="Arial" w:eastAsia="Arial"/>
          <w:color w:val="0A0A0A"/>
          <w:spacing w:val="-23"/>
          <w:sz w:val="28"/>
        </w:rPr>
        <w:t> </w:t>
      </w:r>
      <w:r>
        <w:rPr>
          <w:color w:val="0A0A0A"/>
          <w:sz w:val="32"/>
        </w:rPr>
        <w:t>日下午</w:t>
      </w:r>
      <w:r>
        <w:rPr>
          <w:color w:val="0A0A0A"/>
          <w:spacing w:val="-11"/>
          <w:sz w:val="32"/>
        </w:rPr>
        <w:t>） </w:t>
      </w:r>
      <w:r>
        <w:rPr>
          <w:color w:val="0A0A0A"/>
          <w:sz w:val="32"/>
        </w:rPr>
        <w:t>本论坛的关键词是前沿与创新，特点是交叉与融合。细胞免</w:t>
      </w:r>
    </w:p>
    <w:p>
      <w:pPr>
        <w:spacing w:line="352" w:lineRule="auto" w:before="0"/>
        <w:ind w:left="726" w:right="800" w:firstLine="22"/>
        <w:jc w:val="both"/>
        <w:rPr>
          <w:sz w:val="32"/>
        </w:rPr>
      </w:pPr>
      <w:r>
        <w:rPr>
          <w:color w:val="0A0A0A"/>
          <w:spacing w:val="-14"/>
          <w:w w:val="95"/>
          <w:sz w:val="32"/>
        </w:rPr>
        <w:t>疫治疗、基因编辑、</w:t>
      </w:r>
      <w:r>
        <w:rPr>
          <w:rFonts w:ascii="Times New Roman" w:eastAsia="Times New Roman"/>
          <w:color w:val="0A0A0A"/>
          <w:w w:val="95"/>
          <w:sz w:val="30"/>
        </w:rPr>
        <w:t>3D</w:t>
      </w:r>
      <w:r>
        <w:rPr>
          <w:rFonts w:ascii="Times New Roman" w:eastAsia="Times New Roman"/>
          <w:color w:val="0A0A0A"/>
          <w:spacing w:val="35"/>
          <w:w w:val="95"/>
          <w:sz w:val="30"/>
        </w:rPr>
        <w:t> </w:t>
      </w:r>
      <w:r>
        <w:rPr>
          <w:color w:val="0A0A0A"/>
          <w:spacing w:val="1"/>
          <w:w w:val="95"/>
          <w:sz w:val="32"/>
        </w:rPr>
        <w:t>打印等一系列新技术已逐步进入临床应用 ， </w:t>
      </w:r>
      <w:r>
        <w:rPr>
          <w:color w:val="0A0A0A"/>
          <w:sz w:val="32"/>
        </w:rPr>
        <w:t>这些新方法、新技术给传统的药物治疗带来了新挑战。论坛将邀请国外知名专家分享医院药学领域最新进展，国内知名专家就我国自主创新药物研发上市过程作专题报告，并对年度全球获批新</w:t>
      </w:r>
    </w:p>
    <w:p>
      <w:pPr>
        <w:pStyle w:val="BodyText"/>
        <w:ind w:left="0"/>
        <w:rPr>
          <w:sz w:val="34"/>
        </w:rPr>
      </w:pPr>
    </w:p>
    <w:p>
      <w:pPr>
        <w:spacing w:before="1"/>
        <w:ind w:left="713" w:right="0" w:firstLine="0"/>
        <w:jc w:val="both"/>
        <w:rPr>
          <w:sz w:val="24"/>
        </w:rPr>
      </w:pPr>
      <w:r>
        <w:rPr>
          <w:color w:val="0A0A0A"/>
          <w:w w:val="110"/>
          <w:sz w:val="24"/>
        </w:rPr>
        <w:t>—</w:t>
      </w:r>
      <w:r>
        <w:rPr>
          <w:rFonts w:ascii="Arial" w:hAnsi="Arial"/>
          <w:color w:val="0A0A0A"/>
          <w:w w:val="110"/>
          <w:sz w:val="18"/>
        </w:rPr>
        <w:t>2 </w:t>
      </w:r>
      <w:r>
        <w:rPr>
          <w:color w:val="0A0A0A"/>
          <w:w w:val="110"/>
          <w:sz w:val="24"/>
        </w:rPr>
        <w:t>—</w:t>
      </w:r>
    </w:p>
    <w:p>
      <w:pPr>
        <w:spacing w:after="0"/>
        <w:jc w:val="both"/>
        <w:rPr>
          <w:sz w:val="24"/>
        </w:rPr>
        <w:sectPr>
          <w:headerReference w:type="default" r:id="rId24"/>
          <w:footerReference w:type="default" r:id="rId25"/>
          <w:pgSz w:w="11910" w:h="16850"/>
          <w:pgMar w:header="0" w:footer="0" w:top="1560" w:bottom="280" w:left="680" w:right="540"/>
        </w:sectPr>
      </w:pPr>
    </w:p>
    <w:p>
      <w:pPr>
        <w:pStyle w:val="Heading3"/>
        <w:spacing w:line="350" w:lineRule="auto" w:before="44"/>
        <w:ind w:left="749" w:right="850" w:firstLine="11"/>
      </w:pPr>
      <w:r>
        <w:rPr>
          <w:color w:val="0A0A0A"/>
        </w:rPr>
        <w:t>药进行专家点评，帮助与会者把握和应对新理论、新技术、新方法、新观念在临床治疗中带来的机遇和挑战。</w:t>
      </w:r>
    </w:p>
    <w:p>
      <w:pPr>
        <w:pStyle w:val="ListParagraph"/>
        <w:numPr>
          <w:ilvl w:val="0"/>
          <w:numId w:val="2"/>
        </w:numPr>
        <w:tabs>
          <w:tab w:pos="1775" w:val="left" w:leader="none"/>
          <w:tab w:pos="1777" w:val="left" w:leader="none"/>
          <w:tab w:pos="4338" w:val="left" w:leader="none"/>
        </w:tabs>
        <w:spacing w:line="403" w:lineRule="exact" w:before="0" w:after="0"/>
        <w:ind w:left="1776" w:right="0" w:hanging="405"/>
        <w:jc w:val="left"/>
        <w:rPr>
          <w:rFonts w:ascii="Arial" w:hAnsi="Arial" w:eastAsia="Arial"/>
          <w:color w:val="0A0A0A"/>
          <w:sz w:val="29"/>
        </w:rPr>
      </w:pPr>
      <w:r>
        <w:rPr>
          <w:color w:val="0A0A0A"/>
          <w:sz w:val="32"/>
        </w:rPr>
        <w:t>科学传播论坛</w:t>
        <w:tab/>
        <w:t>健</w:t>
      </w:r>
      <w:r>
        <w:rPr>
          <w:color w:val="0A0A0A"/>
          <w:spacing w:val="14"/>
          <w:sz w:val="32"/>
        </w:rPr>
        <w:t>康</w:t>
      </w:r>
      <w:r>
        <w:rPr>
          <w:color w:val="0A0A0A"/>
          <w:sz w:val="32"/>
        </w:rPr>
        <w:t>中</w:t>
      </w:r>
      <w:r>
        <w:rPr>
          <w:color w:val="0A0A0A"/>
          <w:spacing w:val="54"/>
          <w:sz w:val="32"/>
        </w:rPr>
        <w:t>国</w:t>
      </w:r>
      <w:r>
        <w:rPr>
          <w:color w:val="0A0A0A"/>
          <w:spacing w:val="-14"/>
          <w:w w:val="85"/>
          <w:sz w:val="32"/>
        </w:rPr>
        <w:t>，“</w:t>
      </w:r>
      <w:r>
        <w:rPr>
          <w:color w:val="0A0A0A"/>
          <w:sz w:val="32"/>
        </w:rPr>
        <w:t>药</w:t>
      </w:r>
      <w:r>
        <w:rPr>
          <w:color w:val="0A0A0A"/>
          <w:spacing w:val="-10"/>
          <w:w w:val="85"/>
          <w:sz w:val="32"/>
        </w:rPr>
        <w:t>”</w:t>
      </w:r>
      <w:r>
        <w:rPr>
          <w:color w:val="0A0A0A"/>
          <w:sz w:val="32"/>
        </w:rPr>
        <w:t>在</w:t>
      </w:r>
      <w:r>
        <w:rPr>
          <w:color w:val="0A0A0A"/>
          <w:spacing w:val="39"/>
          <w:sz w:val="32"/>
        </w:rPr>
        <w:t>行</w:t>
      </w:r>
      <w:r>
        <w:rPr>
          <w:color w:val="0A0A0A"/>
          <w:sz w:val="32"/>
        </w:rPr>
        <w:t>动</w:t>
      </w:r>
      <w:r>
        <w:rPr>
          <w:color w:val="0A0A0A"/>
          <w:spacing w:val="-122"/>
          <w:sz w:val="32"/>
        </w:rPr>
        <w:t> </w:t>
      </w:r>
      <w:r>
        <w:rPr>
          <w:rFonts w:ascii="Arial" w:hAnsi="Arial" w:eastAsia="Arial"/>
          <w:color w:val="0A0A0A"/>
          <w:sz w:val="29"/>
        </w:rPr>
        <w:t>(</w:t>
      </w:r>
      <w:r>
        <w:rPr>
          <w:rFonts w:ascii="Arial" w:hAnsi="Arial" w:eastAsia="Arial"/>
          <w:color w:val="0A0A0A"/>
          <w:spacing w:val="-24"/>
          <w:sz w:val="29"/>
        </w:rPr>
        <w:t> </w:t>
      </w:r>
      <w:r>
        <w:rPr>
          <w:rFonts w:ascii="Arial" w:hAnsi="Arial" w:eastAsia="Arial"/>
          <w:color w:val="0A0A0A"/>
          <w:sz w:val="29"/>
        </w:rPr>
        <w:t>11</w:t>
      </w:r>
      <w:r>
        <w:rPr>
          <w:rFonts w:ascii="Arial" w:hAnsi="Arial" w:eastAsia="Arial"/>
          <w:color w:val="0A0A0A"/>
          <w:spacing w:val="-9"/>
          <w:sz w:val="29"/>
        </w:rPr>
        <w:t> </w:t>
      </w:r>
      <w:r>
        <w:rPr>
          <w:color w:val="0A0A0A"/>
          <w:sz w:val="31"/>
        </w:rPr>
        <w:t>月</w:t>
      </w:r>
      <w:r>
        <w:rPr>
          <w:color w:val="0A0A0A"/>
          <w:spacing w:val="-102"/>
          <w:sz w:val="31"/>
        </w:rPr>
        <w:t> </w:t>
      </w:r>
      <w:r>
        <w:rPr>
          <w:rFonts w:ascii="Arial" w:hAnsi="Arial" w:eastAsia="Arial"/>
          <w:color w:val="0A0A0A"/>
          <w:sz w:val="29"/>
        </w:rPr>
        <w:t>2</w:t>
      </w:r>
      <w:r>
        <w:rPr>
          <w:rFonts w:ascii="Arial" w:hAnsi="Arial" w:eastAsia="Arial"/>
          <w:color w:val="0A0A0A"/>
          <w:spacing w:val="-35"/>
          <w:sz w:val="29"/>
        </w:rPr>
        <w:t> </w:t>
      </w:r>
      <w:r>
        <w:rPr>
          <w:color w:val="0A0A0A"/>
          <w:sz w:val="31"/>
        </w:rPr>
        <w:t>日下</w:t>
      </w:r>
      <w:r>
        <w:rPr>
          <w:color w:val="0A0A0A"/>
          <w:spacing w:val="-94"/>
          <w:sz w:val="31"/>
        </w:rPr>
        <w:t> </w:t>
      </w:r>
      <w:r>
        <w:rPr>
          <w:color w:val="0A0A0A"/>
          <w:spacing w:val="49"/>
          <w:sz w:val="31"/>
        </w:rPr>
        <w:t>午</w:t>
      </w:r>
      <w:r>
        <w:rPr>
          <w:color w:val="0A0A0A"/>
          <w:sz w:val="31"/>
        </w:rPr>
        <w:t>）</w:t>
      </w:r>
    </w:p>
    <w:p>
      <w:pPr>
        <w:pStyle w:val="Heading3"/>
        <w:spacing w:line="352" w:lineRule="auto" w:before="195"/>
        <w:ind w:left="731" w:right="835" w:firstLine="644"/>
      </w:pPr>
      <w:r>
        <w:rPr>
          <w:color w:val="0A0A0A"/>
        </w:rPr>
        <w:t>论坛聚焦健康领域，秉承天行健的君子情怀，由言引思，继</w:t>
      </w:r>
      <w:r>
        <w:rPr>
          <w:color w:val="0A0A0A"/>
          <w:spacing w:val="-1"/>
          <w:w w:val="95"/>
        </w:rPr>
        <w:t>发于行。汇聚医学、药学、传播学等领域的专家学者、有识青年， </w:t>
      </w:r>
      <w:r>
        <w:rPr>
          <w:color w:val="0A0A0A"/>
        </w:rPr>
        <w:t>共同打造跨界交流、学术探讨的平台。倡导跨界、多元、碰撞、共识，交流分享科学精神与药学知识的传播方法、科普经验，进行年度科学传播相关课题的总结与新课题的发布，公布年度药学科普之星。</w:t>
      </w:r>
    </w:p>
    <w:p>
      <w:pPr>
        <w:pStyle w:val="ListParagraph"/>
        <w:numPr>
          <w:ilvl w:val="0"/>
          <w:numId w:val="2"/>
        </w:numPr>
        <w:tabs>
          <w:tab w:pos="1801" w:val="left" w:leader="none"/>
          <w:tab w:pos="1802" w:val="left" w:leader="none"/>
          <w:tab w:pos="6312" w:val="left" w:leader="none"/>
          <w:tab w:pos="9335" w:val="left" w:leader="none"/>
        </w:tabs>
        <w:spacing w:line="400" w:lineRule="exact" w:before="0" w:after="0"/>
        <w:ind w:left="1801" w:right="0" w:hanging="422"/>
        <w:jc w:val="left"/>
        <w:rPr>
          <w:rFonts w:ascii="Arial" w:eastAsia="Arial"/>
          <w:color w:val="0A0A0A"/>
          <w:sz w:val="30"/>
        </w:rPr>
      </w:pPr>
      <w:r>
        <w:rPr>
          <w:color w:val="0A0A0A"/>
          <w:w w:val="90"/>
          <w:sz w:val="32"/>
        </w:rPr>
        <w:t>药学服务经典案例分享论坛</w:t>
        <w:tab/>
      </w:r>
      <w:r>
        <w:rPr>
          <w:color w:val="0A0A0A"/>
          <w:w w:val="95"/>
          <w:sz w:val="32"/>
        </w:rPr>
        <w:t>药学精英</w:t>
      </w:r>
      <w:r>
        <w:rPr>
          <w:color w:val="0A0A0A"/>
          <w:spacing w:val="-87"/>
          <w:w w:val="95"/>
          <w:sz w:val="32"/>
        </w:rPr>
        <w:t> </w:t>
      </w:r>
      <w:r>
        <w:rPr>
          <w:color w:val="0A0A0A"/>
          <w:w w:val="95"/>
          <w:sz w:val="32"/>
        </w:rPr>
        <w:t>，</w:t>
      </w:r>
      <w:r>
        <w:rPr>
          <w:color w:val="0A0A0A"/>
          <w:spacing w:val="-92"/>
          <w:w w:val="95"/>
          <w:sz w:val="32"/>
        </w:rPr>
        <w:t> </w:t>
      </w:r>
      <w:r>
        <w:rPr>
          <w:color w:val="0A0A0A"/>
          <w:w w:val="95"/>
          <w:sz w:val="32"/>
        </w:rPr>
        <w:t>山城论剑</w:t>
        <w:tab/>
      </w:r>
      <w:r>
        <w:rPr>
          <w:rFonts w:ascii="Arial" w:eastAsia="Arial"/>
          <w:color w:val="0A0A0A"/>
          <w:w w:val="95"/>
          <w:sz w:val="29"/>
        </w:rPr>
        <w:t>(</w:t>
      </w:r>
      <w:r>
        <w:rPr>
          <w:rFonts w:ascii="Arial" w:eastAsia="Arial"/>
          <w:color w:val="0A0A0A"/>
          <w:spacing w:val="14"/>
          <w:w w:val="95"/>
          <w:sz w:val="29"/>
        </w:rPr>
        <w:t> </w:t>
      </w:r>
      <w:r>
        <w:rPr>
          <w:rFonts w:ascii="Arial" w:eastAsia="Arial"/>
          <w:color w:val="0A0A0A"/>
          <w:w w:val="95"/>
          <w:sz w:val="29"/>
        </w:rPr>
        <w:t>11</w:t>
      </w:r>
    </w:p>
    <w:p>
      <w:pPr>
        <w:spacing w:before="199"/>
        <w:ind w:left="744" w:right="0" w:firstLine="0"/>
        <w:jc w:val="left"/>
        <w:rPr>
          <w:sz w:val="31"/>
        </w:rPr>
      </w:pPr>
      <w:r>
        <w:rPr>
          <w:color w:val="0A0A0A"/>
          <w:sz w:val="31"/>
        </w:rPr>
        <w:t>月 </w:t>
      </w:r>
      <w:r>
        <w:rPr>
          <w:rFonts w:ascii="Arial" w:eastAsia="Arial"/>
          <w:color w:val="0A0A0A"/>
          <w:sz w:val="28"/>
        </w:rPr>
        <w:t>3 </w:t>
      </w:r>
      <w:r>
        <w:rPr>
          <w:color w:val="0A0A0A"/>
          <w:sz w:val="31"/>
        </w:rPr>
        <w:t>日上午）</w:t>
      </w:r>
    </w:p>
    <w:p>
      <w:pPr>
        <w:pStyle w:val="Heading3"/>
        <w:spacing w:line="350" w:lineRule="auto" w:before="206"/>
        <w:ind w:left="729" w:right="857" w:firstLine="653"/>
        <w:jc w:val="both"/>
      </w:pPr>
      <w:r>
        <w:rPr>
          <w:color w:val="0A0A0A"/>
        </w:rPr>
        <w:t>为促进药学服务学科的建设和发展，中国药学会科技开发中</w:t>
      </w:r>
      <w:r>
        <w:rPr>
          <w:color w:val="0A0A0A"/>
          <w:spacing w:val="-5"/>
          <w:w w:val="95"/>
        </w:rPr>
        <w:t>心和中国 药学会药学 服务专业委员会自 </w:t>
      </w:r>
      <w:r>
        <w:rPr>
          <w:rFonts w:ascii="Times New Roman" w:eastAsia="Times New Roman"/>
          <w:color w:val="0A0A0A"/>
          <w:w w:val="95"/>
          <w:sz w:val="30"/>
        </w:rPr>
        <w:t>2019 </w:t>
      </w:r>
      <w:r>
        <w:rPr>
          <w:color w:val="0A0A0A"/>
          <w:spacing w:val="-6"/>
          <w:w w:val="95"/>
        </w:rPr>
        <w:t>年初在全国征 集药学</w:t>
      </w:r>
      <w:r>
        <w:rPr>
          <w:color w:val="0A0A0A"/>
          <w:spacing w:val="-6"/>
        </w:rPr>
        <w:t>服务经典案例，各地药师团队踊跃参加、精彩纷呈。本论坛将公</w:t>
      </w:r>
      <w:r>
        <w:rPr>
          <w:color w:val="0A0A0A"/>
          <w:spacing w:val="-11"/>
        </w:rPr>
        <w:t>布全国征集的优秀案例并进行表彰， 同时邀请其中 </w:t>
      </w:r>
      <w:r>
        <w:rPr>
          <w:rFonts w:ascii="Times New Roman" w:eastAsia="Times New Roman"/>
          <w:color w:val="0A0A0A"/>
          <w:sz w:val="31"/>
        </w:rPr>
        <w:t>8 </w:t>
      </w:r>
      <w:r>
        <w:rPr>
          <w:color w:val="0A0A0A"/>
        </w:rPr>
        <w:t>个经典的优秀案例作现场分享。他山之石、可以攻玉，相信药学精英们的智慧和经验一定会帮助与会者开拓思路、增强信心，为患者带来更高水准的药学服务。</w:t>
      </w:r>
    </w:p>
    <w:p>
      <w:pPr>
        <w:tabs>
          <w:tab w:pos="1801" w:val="left" w:leader="none"/>
          <w:tab w:pos="4634" w:val="left" w:leader="none"/>
        </w:tabs>
        <w:spacing w:before="7"/>
        <w:ind w:left="1377" w:right="0" w:firstLine="0"/>
        <w:jc w:val="left"/>
        <w:rPr>
          <w:sz w:val="31"/>
        </w:rPr>
      </w:pPr>
      <w:r>
        <w:rPr>
          <w:rFonts w:ascii="Times New Roman" w:hAnsi="Times New Roman" w:eastAsia="Times New Roman"/>
          <w:color w:val="0A0A0A"/>
          <w:sz w:val="30"/>
        </w:rPr>
        <w:t>5.</w:t>
        <w:tab/>
      </w:r>
      <w:r>
        <w:rPr>
          <w:color w:val="0A0A0A"/>
          <w:sz w:val="32"/>
        </w:rPr>
        <w:t>药学服务</w:t>
      </w:r>
      <w:r>
        <w:rPr>
          <w:color w:val="0A0A0A"/>
          <w:spacing w:val="-51"/>
          <w:sz w:val="32"/>
        </w:rPr>
        <w:t> </w:t>
      </w:r>
      <w:r>
        <w:rPr>
          <w:rFonts w:ascii="Times New Roman" w:hAnsi="Times New Roman" w:eastAsia="Times New Roman"/>
          <w:color w:val="0A0A0A"/>
          <w:sz w:val="30"/>
        </w:rPr>
        <w:t>V</w:t>
      </w:r>
      <w:r>
        <w:rPr>
          <w:rFonts w:ascii="Times New Roman" w:hAnsi="Times New Roman" w:eastAsia="Times New Roman"/>
          <w:color w:val="0A0A0A"/>
          <w:spacing w:val="-18"/>
          <w:sz w:val="30"/>
        </w:rPr>
        <w:t> </w:t>
      </w:r>
      <w:r>
        <w:rPr>
          <w:color w:val="0A0A0A"/>
          <w:sz w:val="32"/>
        </w:rPr>
        <w:t>课堂</w:t>
        <w:tab/>
        <w:t>健康中</w:t>
      </w:r>
      <w:r>
        <w:rPr>
          <w:color w:val="0A0A0A"/>
          <w:spacing w:val="-52"/>
          <w:sz w:val="32"/>
        </w:rPr>
        <w:t>国</w:t>
      </w:r>
      <w:r>
        <w:rPr>
          <w:color w:val="0A0A0A"/>
          <w:spacing w:val="-43"/>
          <w:w w:val="95"/>
          <w:sz w:val="32"/>
        </w:rPr>
        <w:t>，”</w:t>
      </w:r>
      <w:r>
        <w:rPr>
          <w:color w:val="0A0A0A"/>
          <w:sz w:val="32"/>
        </w:rPr>
        <w:t>药“你知</w:t>
      </w:r>
      <w:r>
        <w:rPr>
          <w:color w:val="0A0A0A"/>
          <w:spacing w:val="-49"/>
          <w:sz w:val="32"/>
        </w:rPr>
        <w:t>道</w:t>
      </w:r>
      <w:r>
        <w:rPr>
          <w:rFonts w:ascii="Arial" w:hAnsi="Arial" w:eastAsia="Arial"/>
          <w:color w:val="0A0A0A"/>
          <w:sz w:val="29"/>
        </w:rPr>
        <w:t>(</w:t>
      </w:r>
      <w:r>
        <w:rPr>
          <w:rFonts w:ascii="Arial" w:hAnsi="Arial" w:eastAsia="Arial"/>
          <w:color w:val="0A0A0A"/>
          <w:spacing w:val="-38"/>
          <w:sz w:val="29"/>
        </w:rPr>
        <w:t> </w:t>
      </w:r>
      <w:r>
        <w:rPr>
          <w:rFonts w:ascii="Arial" w:hAnsi="Arial" w:eastAsia="Arial"/>
          <w:color w:val="0A0A0A"/>
          <w:sz w:val="29"/>
        </w:rPr>
        <w:t>11</w:t>
      </w:r>
      <w:r>
        <w:rPr>
          <w:rFonts w:ascii="Arial" w:hAnsi="Arial" w:eastAsia="Arial"/>
          <w:color w:val="0A0A0A"/>
          <w:spacing w:val="-42"/>
          <w:sz w:val="29"/>
        </w:rPr>
        <w:t> </w:t>
      </w:r>
      <w:r>
        <w:rPr>
          <w:color w:val="0A0A0A"/>
          <w:sz w:val="31"/>
        </w:rPr>
        <w:t>月</w:t>
      </w:r>
      <w:r>
        <w:rPr>
          <w:color w:val="0A0A0A"/>
          <w:spacing w:val="-115"/>
          <w:sz w:val="31"/>
        </w:rPr>
        <w:t> </w:t>
      </w:r>
      <w:r>
        <w:rPr>
          <w:rFonts w:ascii="Times New Roman" w:hAnsi="Times New Roman" w:eastAsia="Times New Roman"/>
          <w:color w:val="0A0A0A"/>
          <w:sz w:val="30"/>
        </w:rPr>
        <w:t>3</w:t>
      </w:r>
      <w:r>
        <w:rPr>
          <w:rFonts w:ascii="Times New Roman" w:hAnsi="Times New Roman" w:eastAsia="Times New Roman"/>
          <w:color w:val="0A0A0A"/>
          <w:spacing w:val="-15"/>
          <w:sz w:val="30"/>
        </w:rPr>
        <w:t> </w:t>
      </w:r>
      <w:r>
        <w:rPr>
          <w:color w:val="0A0A0A"/>
          <w:sz w:val="31"/>
        </w:rPr>
        <w:t>日上午</w:t>
      </w:r>
      <w:r>
        <w:rPr>
          <w:color w:val="0A0A0A"/>
          <w:spacing w:val="-80"/>
          <w:sz w:val="31"/>
        </w:rPr>
        <w:t> </w:t>
      </w:r>
      <w:r>
        <w:rPr>
          <w:color w:val="0A0A0A"/>
          <w:sz w:val="31"/>
        </w:rPr>
        <w:t>）</w:t>
      </w:r>
    </w:p>
    <w:p>
      <w:pPr>
        <w:pStyle w:val="Heading3"/>
        <w:spacing w:line="352" w:lineRule="auto" w:before="189"/>
        <w:ind w:left="735" w:right="854" w:firstLine="668"/>
      </w:pPr>
      <w:r>
        <w:rPr>
          <w:color w:val="0A0A0A"/>
        </w:rPr>
        <w:t>药学服务最广阔的天地在基层、在面向公众的药学服务中。本论坛以互联网为载体，利用网络传播的特点和优势，邀请知名医学专冢、药学专家、国家级媒体共同和基层医生、药店店员面对面，就中药合理使用、感冒用药、儿科用药、老年人用药以及</w:t>
      </w:r>
    </w:p>
    <w:p>
      <w:pPr>
        <w:pStyle w:val="BodyText"/>
        <w:spacing w:before="4"/>
        <w:ind w:left="0"/>
        <w:rPr>
          <w:sz w:val="35"/>
        </w:rPr>
      </w:pPr>
    </w:p>
    <w:p>
      <w:pPr>
        <w:spacing w:before="0"/>
        <w:ind w:left="0" w:right="818" w:firstLine="0"/>
        <w:jc w:val="right"/>
        <w:rPr>
          <w:sz w:val="24"/>
        </w:rPr>
      </w:pPr>
      <w:r>
        <w:rPr>
          <w:color w:val="0A0A0A"/>
          <w:w w:val="105"/>
          <w:sz w:val="24"/>
        </w:rPr>
        <w:t>—</w:t>
      </w:r>
      <w:r>
        <w:rPr>
          <w:color w:val="0A0A0A"/>
          <w:spacing w:val="-102"/>
          <w:w w:val="105"/>
          <w:sz w:val="24"/>
        </w:rPr>
        <w:t> </w:t>
      </w:r>
      <w:r>
        <w:rPr>
          <w:rFonts w:ascii="Arial" w:hAnsi="Arial"/>
          <w:color w:val="0A0A0A"/>
          <w:w w:val="105"/>
          <w:sz w:val="18"/>
        </w:rPr>
        <w:t>3 </w:t>
      </w:r>
      <w:r>
        <w:rPr>
          <w:color w:val="0A0A0A"/>
          <w:w w:val="105"/>
          <w:sz w:val="24"/>
        </w:rPr>
        <w:t>—</w:t>
      </w:r>
    </w:p>
    <w:p>
      <w:pPr>
        <w:spacing w:after="0"/>
        <w:jc w:val="right"/>
        <w:rPr>
          <w:sz w:val="24"/>
        </w:rPr>
        <w:sectPr>
          <w:headerReference w:type="default" r:id="rId26"/>
          <w:footerReference w:type="default" r:id="rId27"/>
          <w:pgSz w:w="11910" w:h="16850"/>
          <w:pgMar w:header="0" w:footer="0" w:top="1540" w:bottom="280" w:left="680" w:right="540"/>
        </w:sectPr>
      </w:pPr>
    </w:p>
    <w:p>
      <w:pPr>
        <w:pStyle w:val="Heading3"/>
        <w:spacing w:before="44"/>
        <w:ind w:left="736"/>
      </w:pPr>
      <w:r>
        <w:rPr>
          <w:color w:val="080808"/>
        </w:rPr>
        <w:t>糖尿病用药等内容生动开讲、远程互动、现场答疑。</w:t>
      </w:r>
    </w:p>
    <w:p>
      <w:pPr>
        <w:spacing w:before="181"/>
        <w:ind w:left="1502" w:right="0" w:firstLine="0"/>
        <w:jc w:val="left"/>
        <w:rPr>
          <w:sz w:val="32"/>
        </w:rPr>
      </w:pPr>
      <w:r>
        <w:rPr>
          <w:color w:val="080808"/>
          <w:sz w:val="32"/>
        </w:rPr>
        <w:t>（三）科普系列活动</w:t>
      </w:r>
    </w:p>
    <w:p>
      <w:pPr>
        <w:tabs>
          <w:tab w:pos="1783" w:val="left" w:leader="none"/>
          <w:tab w:pos="2807" w:val="left" w:leader="none"/>
          <w:tab w:pos="3439" w:val="left" w:leader="none"/>
          <w:tab w:pos="7201" w:val="left" w:leader="none"/>
          <w:tab w:pos="9178" w:val="left" w:leader="none"/>
        </w:tabs>
        <w:spacing w:line="350" w:lineRule="auto" w:before="196"/>
        <w:ind w:left="749" w:right="851" w:firstLine="651"/>
        <w:jc w:val="left"/>
        <w:rPr>
          <w:sz w:val="32"/>
        </w:rPr>
      </w:pPr>
      <w:r>
        <w:rPr>
          <w:rFonts w:ascii="Arial" w:hAnsi="Arial" w:eastAsia="Arial"/>
          <w:color w:val="080808"/>
          <w:sz w:val="30"/>
        </w:rPr>
        <w:t>l</w:t>
        <w:tab/>
        <w:t>“</w:t>
      </w:r>
      <w:r>
        <w:rPr>
          <w:rFonts w:ascii="Arial" w:hAnsi="Arial" w:eastAsia="Arial"/>
          <w:color w:val="080808"/>
          <w:spacing w:val="-41"/>
          <w:sz w:val="30"/>
        </w:rPr>
        <w:t> </w:t>
      </w:r>
      <w:r>
        <w:rPr>
          <w:color w:val="080808"/>
          <w:spacing w:val="33"/>
          <w:sz w:val="32"/>
        </w:rPr>
        <w:t>科</w:t>
      </w:r>
      <w:r>
        <w:rPr>
          <w:color w:val="080808"/>
          <w:sz w:val="32"/>
        </w:rPr>
        <w:t>海扬帆</w:t>
        <w:tab/>
      </w:r>
      <w:r>
        <w:rPr>
          <w:color w:val="080808"/>
          <w:w w:val="90"/>
          <w:sz w:val="32"/>
        </w:rPr>
        <w:t>梦想启</w:t>
      </w:r>
      <w:r>
        <w:rPr>
          <w:color w:val="080808"/>
          <w:spacing w:val="15"/>
          <w:w w:val="90"/>
          <w:sz w:val="32"/>
        </w:rPr>
        <w:t>航</w:t>
      </w:r>
      <w:r>
        <w:rPr>
          <w:color w:val="080808"/>
          <w:spacing w:val="9"/>
          <w:w w:val="85"/>
          <w:sz w:val="32"/>
        </w:rPr>
        <w:t>”</w:t>
      </w:r>
      <w:r>
        <w:rPr>
          <w:color w:val="080808"/>
          <w:w w:val="90"/>
          <w:sz w:val="32"/>
        </w:rPr>
        <w:t>中国</w:t>
      </w:r>
      <w:r>
        <w:rPr>
          <w:color w:val="080808"/>
          <w:spacing w:val="-57"/>
          <w:w w:val="90"/>
          <w:sz w:val="32"/>
        </w:rPr>
        <w:t> </w:t>
      </w:r>
      <w:r>
        <w:rPr>
          <w:color w:val="080808"/>
          <w:w w:val="90"/>
          <w:sz w:val="32"/>
        </w:rPr>
        <w:t>药学会科普</w:t>
        <w:tab/>
      </w:r>
      <w:r>
        <w:rPr>
          <w:color w:val="080808"/>
          <w:spacing w:val="13"/>
          <w:sz w:val="32"/>
        </w:rPr>
        <w:t>公</w:t>
      </w:r>
      <w:r>
        <w:rPr>
          <w:color w:val="080808"/>
          <w:sz w:val="32"/>
        </w:rPr>
        <w:t>益活动</w:t>
        <w:tab/>
        <w:t>走</w:t>
      </w:r>
      <w:r>
        <w:rPr>
          <w:color w:val="080808"/>
          <w:spacing w:val="-18"/>
          <w:sz w:val="32"/>
        </w:rPr>
        <w:t>进</w:t>
      </w:r>
      <w:r>
        <w:rPr>
          <w:color w:val="080808"/>
          <w:w w:val="95"/>
          <w:sz w:val="32"/>
        </w:rPr>
        <w:t>重庆医科大学</w:t>
        <w:tab/>
      </w:r>
      <w:r>
        <w:rPr>
          <w:rFonts w:ascii="Times New Roman" w:hAnsi="Times New Roman" w:eastAsia="Times New Roman"/>
          <w:color w:val="080808"/>
          <w:sz w:val="31"/>
        </w:rPr>
        <w:t>(</w:t>
      </w:r>
      <w:r>
        <w:rPr>
          <w:rFonts w:ascii="Times New Roman" w:hAnsi="Times New Roman" w:eastAsia="Times New Roman"/>
          <w:color w:val="080808"/>
          <w:spacing w:val="-7"/>
          <w:sz w:val="31"/>
        </w:rPr>
        <w:t> </w:t>
      </w:r>
      <w:r>
        <w:rPr>
          <w:rFonts w:ascii="Times New Roman" w:hAnsi="Times New Roman" w:eastAsia="Times New Roman"/>
          <w:color w:val="080808"/>
          <w:sz w:val="31"/>
        </w:rPr>
        <w:t>10</w:t>
      </w:r>
      <w:r>
        <w:rPr>
          <w:rFonts w:ascii="Times New Roman" w:hAnsi="Times New Roman" w:eastAsia="Times New Roman"/>
          <w:color w:val="080808"/>
          <w:spacing w:val="12"/>
          <w:sz w:val="31"/>
        </w:rPr>
        <w:t> </w:t>
      </w:r>
      <w:r>
        <w:rPr>
          <w:color w:val="080808"/>
          <w:sz w:val="32"/>
        </w:rPr>
        <w:t>月</w:t>
      </w:r>
      <w:r>
        <w:rPr>
          <w:color w:val="080808"/>
          <w:spacing w:val="-72"/>
          <w:sz w:val="32"/>
        </w:rPr>
        <w:t> </w:t>
      </w:r>
      <w:r>
        <w:rPr>
          <w:rFonts w:ascii="Times New Roman" w:hAnsi="Times New Roman" w:eastAsia="Times New Roman"/>
          <w:color w:val="080808"/>
          <w:sz w:val="31"/>
        </w:rPr>
        <w:t>31</w:t>
      </w:r>
      <w:r>
        <w:rPr>
          <w:rFonts w:ascii="Times New Roman" w:hAnsi="Times New Roman" w:eastAsia="Times New Roman"/>
          <w:color w:val="080808"/>
          <w:spacing w:val="37"/>
          <w:sz w:val="31"/>
        </w:rPr>
        <w:t> </w:t>
      </w:r>
      <w:r>
        <w:rPr>
          <w:color w:val="080808"/>
          <w:sz w:val="32"/>
        </w:rPr>
        <w:t>日晚上</w:t>
      </w:r>
      <w:r>
        <w:rPr>
          <w:color w:val="080808"/>
          <w:spacing w:val="3"/>
          <w:sz w:val="32"/>
        </w:rPr>
        <w:t> </w:t>
      </w:r>
      <w:r>
        <w:rPr>
          <w:color w:val="080808"/>
          <w:sz w:val="32"/>
        </w:rPr>
        <w:t>）。</w:t>
      </w:r>
    </w:p>
    <w:p>
      <w:pPr>
        <w:pStyle w:val="Heading3"/>
        <w:numPr>
          <w:ilvl w:val="0"/>
          <w:numId w:val="3"/>
        </w:numPr>
        <w:tabs>
          <w:tab w:pos="1779" w:val="left" w:leader="none"/>
          <w:tab w:pos="5939" w:val="left" w:leader="none"/>
        </w:tabs>
        <w:spacing w:line="240" w:lineRule="auto" w:before="7" w:after="0"/>
        <w:ind w:left="1778" w:right="0" w:hanging="402"/>
        <w:jc w:val="left"/>
      </w:pPr>
      <w:r>
        <w:rPr>
          <w:rFonts w:ascii="Times New Roman" w:hAnsi="Times New Roman" w:eastAsia="Times New Roman"/>
          <w:color w:val="080808"/>
          <w:spacing w:val="7"/>
          <w:sz w:val="31"/>
        </w:rPr>
        <w:t>“</w:t>
      </w:r>
      <w:r>
        <w:rPr>
          <w:color w:val="080808"/>
        </w:rPr>
        <w:t>礼赞共和国</w:t>
      </w:r>
      <w:r>
        <w:rPr>
          <w:color w:val="080808"/>
          <w:spacing w:val="21"/>
        </w:rPr>
        <w:t> </w:t>
      </w:r>
      <w:r>
        <w:rPr>
          <w:color w:val="080808"/>
        </w:rPr>
        <w:t>奋进新时代</w:t>
        <w:tab/>
        <w:t>中</w:t>
      </w:r>
      <w:r>
        <w:rPr>
          <w:color w:val="080808"/>
          <w:spacing w:val="57"/>
        </w:rPr>
        <w:t>国</w:t>
      </w:r>
      <w:r>
        <w:rPr>
          <w:color w:val="080808"/>
        </w:rPr>
        <w:t>药学</w:t>
      </w:r>
      <w:r>
        <w:rPr>
          <w:color w:val="080808"/>
          <w:spacing w:val="-32"/>
        </w:rPr>
        <w:t> </w:t>
      </w:r>
      <w:r>
        <w:rPr>
          <w:rFonts w:ascii="Times New Roman" w:hAnsi="Times New Roman" w:eastAsia="Times New Roman"/>
          <w:color w:val="080808"/>
          <w:sz w:val="31"/>
        </w:rPr>
        <w:t>70</w:t>
      </w:r>
      <w:r>
        <w:rPr>
          <w:rFonts w:ascii="Times New Roman" w:hAnsi="Times New Roman" w:eastAsia="Times New Roman"/>
          <w:color w:val="080808"/>
          <w:spacing w:val="32"/>
          <w:sz w:val="31"/>
        </w:rPr>
        <w:t> </w:t>
      </w:r>
      <w:r>
        <w:rPr>
          <w:color w:val="080808"/>
        </w:rPr>
        <w:t>年发</w:t>
      </w:r>
      <w:r>
        <w:rPr>
          <w:color w:val="080808"/>
          <w:spacing w:val="12"/>
        </w:rPr>
        <w:t>展</w:t>
      </w:r>
      <w:r>
        <w:rPr>
          <w:color w:val="080808"/>
          <w:spacing w:val="-13"/>
          <w:w w:val="90"/>
        </w:rPr>
        <w:t>”</w:t>
      </w:r>
      <w:r>
        <w:rPr>
          <w:color w:val="080808"/>
        </w:rPr>
        <w:t>图片展</w:t>
      </w:r>
    </w:p>
    <w:p>
      <w:pPr>
        <w:spacing w:before="181"/>
        <w:ind w:left="880" w:right="0" w:firstLine="0"/>
        <w:jc w:val="left"/>
        <w:rPr>
          <w:sz w:val="32"/>
        </w:rPr>
      </w:pPr>
      <w:r>
        <w:rPr>
          <w:rFonts w:ascii="Times New Roman" w:eastAsia="Times New Roman"/>
          <w:color w:val="080808"/>
          <w:sz w:val="31"/>
        </w:rPr>
        <w:t>( 11 </w:t>
      </w:r>
      <w:r>
        <w:rPr>
          <w:color w:val="080808"/>
          <w:sz w:val="32"/>
        </w:rPr>
        <w:t>月 </w:t>
      </w:r>
      <w:r>
        <w:rPr>
          <w:rFonts w:ascii="Times New Roman" w:eastAsia="Times New Roman"/>
          <w:color w:val="080808"/>
          <w:sz w:val="31"/>
        </w:rPr>
        <w:t>2 </w:t>
      </w:r>
      <w:r>
        <w:rPr>
          <w:color w:val="080808"/>
          <w:sz w:val="32"/>
        </w:rPr>
        <w:t>日上午开 幕式）。</w:t>
      </w:r>
    </w:p>
    <w:p>
      <w:pPr>
        <w:pStyle w:val="Heading3"/>
        <w:numPr>
          <w:ilvl w:val="0"/>
          <w:numId w:val="3"/>
        </w:numPr>
        <w:tabs>
          <w:tab w:pos="1699" w:val="left" w:leader="none"/>
          <w:tab w:pos="2046" w:val="left" w:leader="none"/>
          <w:tab w:pos="5368" w:val="left" w:leader="none"/>
          <w:tab w:pos="8877" w:val="left" w:leader="none"/>
        </w:tabs>
        <w:spacing w:line="345" w:lineRule="auto" w:before="203" w:after="0"/>
        <w:ind w:left="750" w:right="844" w:firstLine="621"/>
        <w:jc w:val="left"/>
      </w:pPr>
      <w:r>
        <w:rPr>
          <w:rFonts w:ascii="Times New Roman" w:hAnsi="Times New Roman" w:eastAsia="Times New Roman"/>
          <w:color w:val="080808"/>
          <w:spacing w:val="10"/>
          <w:w w:val="95"/>
          <w:sz w:val="31"/>
        </w:rPr>
        <w:t>“</w:t>
      </w:r>
      <w:r>
        <w:rPr>
          <w:color w:val="080808"/>
          <w:w w:val="95"/>
        </w:rPr>
        <w:t>安全用药</w:t>
      </w:r>
      <w:r>
        <w:rPr>
          <w:color w:val="080808"/>
          <w:spacing w:val="-93"/>
          <w:w w:val="95"/>
        </w:rPr>
        <w:t> </w:t>
      </w:r>
      <w:r>
        <w:rPr>
          <w:color w:val="080808"/>
          <w:w w:val="95"/>
        </w:rPr>
        <w:t>健康中</w:t>
      </w:r>
      <w:r>
        <w:rPr>
          <w:color w:val="080808"/>
          <w:spacing w:val="-29"/>
          <w:w w:val="95"/>
        </w:rPr>
        <w:t>国</w:t>
      </w:r>
      <w:r>
        <w:rPr>
          <w:color w:val="080808"/>
          <w:spacing w:val="4"/>
          <w:w w:val="85"/>
        </w:rPr>
        <w:t>”</w:t>
      </w:r>
      <w:r>
        <w:rPr>
          <w:color w:val="080808"/>
          <w:w w:val="95"/>
        </w:rPr>
        <w:t>系列科普活动之“礼赞共和国</w:t>
        <w:tab/>
      </w:r>
      <w:r>
        <w:rPr>
          <w:color w:val="080808"/>
        </w:rPr>
        <w:t>奋进</w:t>
      </w:r>
      <w:r>
        <w:rPr>
          <w:color w:val="080808"/>
          <w:spacing w:val="-18"/>
        </w:rPr>
        <w:t>新</w:t>
      </w:r>
      <w:r>
        <w:rPr>
          <w:color w:val="080808"/>
        </w:rPr>
        <w:t>时代</w:t>
        <w:tab/>
      </w:r>
      <w:r>
        <w:rPr>
          <w:color w:val="080808"/>
          <w:w w:val="85"/>
        </w:rPr>
        <w:t>药师您好“科普文艺作品</w:t>
        <w:tab/>
      </w:r>
      <w:r>
        <w:rPr>
          <w:color w:val="080808"/>
        </w:rPr>
        <w:t>展演</w:t>
      </w:r>
      <w:r>
        <w:rPr>
          <w:color w:val="080808"/>
          <w:spacing w:val="-40"/>
        </w:rPr>
        <w:t> </w:t>
      </w:r>
      <w:r>
        <w:rPr>
          <w:rFonts w:ascii="Times New Roman" w:hAnsi="Times New Roman" w:eastAsia="Times New Roman"/>
          <w:color w:val="080808"/>
          <w:sz w:val="31"/>
        </w:rPr>
        <w:t>(</w:t>
      </w:r>
      <w:r>
        <w:rPr>
          <w:rFonts w:ascii="Times New Roman" w:hAnsi="Times New Roman" w:eastAsia="Times New Roman"/>
          <w:color w:val="080808"/>
          <w:spacing w:val="-9"/>
          <w:sz w:val="31"/>
        </w:rPr>
        <w:t> </w:t>
      </w:r>
      <w:r>
        <w:rPr>
          <w:rFonts w:ascii="Times New Roman" w:hAnsi="Times New Roman" w:eastAsia="Times New Roman"/>
          <w:color w:val="080808"/>
          <w:sz w:val="31"/>
        </w:rPr>
        <w:t>11</w:t>
      </w:r>
      <w:r>
        <w:rPr>
          <w:rFonts w:ascii="Times New Roman" w:hAnsi="Times New Roman" w:eastAsia="Times New Roman"/>
          <w:color w:val="080808"/>
          <w:spacing w:val="9"/>
          <w:sz w:val="31"/>
        </w:rPr>
        <w:t> </w:t>
      </w:r>
      <w:r>
        <w:rPr>
          <w:color w:val="080808"/>
        </w:rPr>
        <w:t>月</w:t>
      </w:r>
      <w:r>
        <w:rPr>
          <w:color w:val="080808"/>
          <w:spacing w:val="-60"/>
        </w:rPr>
        <w:t> </w:t>
      </w:r>
      <w:r>
        <w:rPr>
          <w:rFonts w:ascii="Times New Roman" w:hAnsi="Times New Roman" w:eastAsia="Times New Roman"/>
          <w:color w:val="080808"/>
          <w:sz w:val="31"/>
        </w:rPr>
        <w:t>2</w:t>
      </w:r>
      <w:r>
        <w:rPr>
          <w:rFonts w:ascii="Times New Roman" w:hAnsi="Times New Roman" w:eastAsia="Times New Roman"/>
          <w:color w:val="080808"/>
          <w:spacing w:val="-9"/>
          <w:sz w:val="31"/>
        </w:rPr>
        <w:t> </w:t>
      </w:r>
      <w:r>
        <w:rPr>
          <w:color w:val="080808"/>
        </w:rPr>
        <w:t>日晚上</w:t>
      </w:r>
      <w:r>
        <w:rPr>
          <w:color w:val="080808"/>
          <w:spacing w:val="-10"/>
        </w:rPr>
        <w:t> </w:t>
      </w:r>
      <w:r>
        <w:rPr>
          <w:color w:val="080808"/>
        </w:rPr>
        <w:t>）。</w:t>
      </w:r>
    </w:p>
    <w:p>
      <w:pPr>
        <w:spacing w:line="355" w:lineRule="auto" w:before="10"/>
        <w:ind w:left="1386" w:right="2759" w:firstLine="3"/>
        <w:jc w:val="left"/>
        <w:rPr>
          <w:sz w:val="32"/>
        </w:rPr>
      </w:pPr>
      <w:r>
        <w:rPr>
          <w:color w:val="080808"/>
          <w:w w:val="95"/>
          <w:sz w:val="32"/>
        </w:rPr>
        <w:t>大会日程安排详情，见报到时发放的大会指南。</w:t>
      </w:r>
      <w:r>
        <w:rPr>
          <w:color w:val="080808"/>
          <w:sz w:val="32"/>
        </w:rPr>
        <w:t>三、授予学分</w:t>
      </w:r>
    </w:p>
    <w:p>
      <w:pPr>
        <w:tabs>
          <w:tab w:pos="6939" w:val="left" w:leader="none"/>
        </w:tabs>
        <w:spacing w:line="350" w:lineRule="auto" w:before="0"/>
        <w:ind w:left="1363" w:right="1595" w:firstLine="9"/>
        <w:jc w:val="left"/>
        <w:rPr>
          <w:sz w:val="32"/>
        </w:rPr>
      </w:pPr>
      <w:r>
        <w:rPr>
          <w:color w:val="080808"/>
          <w:w w:val="95"/>
          <w:sz w:val="32"/>
        </w:rPr>
        <w:t>授予参会代表中国药学会继续药学教育</w:t>
        <w:tab/>
      </w:r>
      <w:r>
        <w:rPr>
          <w:rFonts w:ascii="Times New Roman" w:eastAsia="Times New Roman"/>
          <w:color w:val="080808"/>
          <w:sz w:val="33"/>
        </w:rPr>
        <w:t>l</w:t>
      </w:r>
      <w:r>
        <w:rPr>
          <w:rFonts w:ascii="Times New Roman" w:eastAsia="Times New Roman"/>
          <w:color w:val="080808"/>
          <w:spacing w:val="34"/>
          <w:sz w:val="33"/>
        </w:rPr>
        <w:t> </w:t>
      </w:r>
      <w:r>
        <w:rPr>
          <w:color w:val="080808"/>
          <w:sz w:val="32"/>
        </w:rPr>
        <w:t>类学分</w:t>
      </w:r>
      <w:r>
        <w:rPr>
          <w:color w:val="080808"/>
          <w:spacing w:val="-30"/>
          <w:sz w:val="32"/>
        </w:rPr>
        <w:t> </w:t>
      </w:r>
      <w:r>
        <w:rPr>
          <w:rFonts w:ascii="Times New Roman" w:eastAsia="Times New Roman"/>
          <w:color w:val="080808"/>
          <w:sz w:val="29"/>
        </w:rPr>
        <w:t>4</w:t>
      </w:r>
      <w:r>
        <w:rPr>
          <w:rFonts w:ascii="Times New Roman" w:eastAsia="Times New Roman"/>
          <w:color w:val="080808"/>
          <w:spacing w:val="-2"/>
          <w:sz w:val="29"/>
        </w:rPr>
        <w:t> </w:t>
      </w:r>
      <w:r>
        <w:rPr>
          <w:color w:val="080808"/>
          <w:sz w:val="32"/>
        </w:rPr>
        <w:t>分</w:t>
      </w:r>
      <w:r>
        <w:rPr>
          <w:color w:val="080808"/>
          <w:spacing w:val="-18"/>
          <w:sz w:val="32"/>
        </w:rPr>
        <w:t>。</w:t>
      </w:r>
      <w:r>
        <w:rPr>
          <w:color w:val="080808"/>
          <w:sz w:val="32"/>
        </w:rPr>
        <w:t>四、报到时间、地点</w:t>
      </w:r>
    </w:p>
    <w:p>
      <w:pPr>
        <w:spacing w:before="5"/>
        <w:ind w:left="1502" w:right="0" w:firstLine="0"/>
        <w:jc w:val="left"/>
        <w:rPr>
          <w:sz w:val="32"/>
        </w:rPr>
      </w:pPr>
      <w:r>
        <w:rPr>
          <w:color w:val="080808"/>
          <w:sz w:val="32"/>
        </w:rPr>
        <w:t>（一）报到时间</w:t>
      </w:r>
    </w:p>
    <w:p>
      <w:pPr>
        <w:spacing w:before="181"/>
        <w:ind w:left="1384" w:right="0" w:firstLine="0"/>
        <w:jc w:val="left"/>
        <w:rPr>
          <w:sz w:val="32"/>
        </w:rPr>
      </w:pPr>
      <w:r>
        <w:rPr>
          <w:rFonts w:ascii="Times New Roman" w:eastAsia="Times New Roman"/>
          <w:color w:val="080808"/>
          <w:sz w:val="31"/>
        </w:rPr>
        <w:t>11 </w:t>
      </w:r>
      <w:r>
        <w:rPr>
          <w:color w:val="080808"/>
          <w:spacing w:val="-38"/>
          <w:sz w:val="32"/>
        </w:rPr>
        <w:t>月 </w:t>
      </w:r>
      <w:r>
        <w:rPr>
          <w:rFonts w:ascii="Times New Roman" w:eastAsia="Times New Roman"/>
          <w:color w:val="080808"/>
          <w:sz w:val="31"/>
        </w:rPr>
        <w:t>1 </w:t>
      </w:r>
      <w:r>
        <w:rPr>
          <w:color w:val="080808"/>
          <w:sz w:val="32"/>
        </w:rPr>
        <w:t>日全天报到。</w:t>
      </w:r>
    </w:p>
    <w:p>
      <w:pPr>
        <w:pStyle w:val="Heading3"/>
        <w:spacing w:before="182"/>
      </w:pPr>
      <w:r>
        <w:rPr>
          <w:color w:val="080808"/>
        </w:rPr>
        <w:t>（二）报到地点</w:t>
      </w:r>
    </w:p>
    <w:p>
      <w:pPr>
        <w:spacing w:line="348" w:lineRule="auto" w:before="203"/>
        <w:ind w:left="737" w:right="955" w:firstLine="649"/>
        <w:jc w:val="left"/>
        <w:rPr>
          <w:sz w:val="32"/>
        </w:rPr>
      </w:pPr>
      <w:r>
        <w:rPr>
          <w:color w:val="080808"/>
          <w:sz w:val="32"/>
        </w:rPr>
        <w:t>会议地点：重庆悦来温德姆酒店（</w:t>
      </w:r>
      <w:r>
        <w:rPr>
          <w:color w:val="080808"/>
          <w:spacing w:val="-2"/>
          <w:sz w:val="32"/>
        </w:rPr>
        <w:t>重庆市渝北区悦来滨江大</w:t>
      </w:r>
      <w:r>
        <w:rPr>
          <w:color w:val="080808"/>
          <w:spacing w:val="-61"/>
          <w:sz w:val="33"/>
        </w:rPr>
        <w:t>道 </w:t>
      </w:r>
      <w:r>
        <w:rPr>
          <w:rFonts w:ascii="Times New Roman" w:eastAsia="Times New Roman"/>
          <w:color w:val="080808"/>
          <w:sz w:val="31"/>
        </w:rPr>
        <w:t>88 </w:t>
      </w:r>
      <w:r>
        <w:rPr>
          <w:color w:val="080808"/>
          <w:spacing w:val="-61"/>
          <w:sz w:val="32"/>
        </w:rPr>
        <w:t>号 </w:t>
      </w:r>
      <w:r>
        <w:rPr>
          <w:color w:val="080808"/>
          <w:sz w:val="32"/>
        </w:rPr>
        <w:t>）</w:t>
      </w:r>
      <w:r>
        <w:rPr>
          <w:color w:val="080808"/>
          <w:spacing w:val="-1"/>
          <w:sz w:val="32"/>
        </w:rPr>
        <w:t>。因参会人数较</w:t>
      </w:r>
      <w:r>
        <w:rPr>
          <w:color w:val="080808"/>
          <w:spacing w:val="-16"/>
          <w:sz w:val="32"/>
        </w:rPr>
        <w:t>，多大会组委会将安排多家酒店报到住宿，参会代表的报到酒店详见三轮通知。</w:t>
      </w:r>
    </w:p>
    <w:p>
      <w:pPr>
        <w:spacing w:before="1"/>
        <w:ind w:left="1381" w:right="0" w:firstLine="0"/>
        <w:jc w:val="left"/>
        <w:rPr>
          <w:sz w:val="32"/>
        </w:rPr>
      </w:pPr>
      <w:r>
        <w:rPr>
          <w:color w:val="080808"/>
          <w:sz w:val="32"/>
        </w:rPr>
        <w:t>五、会议收费</w:t>
      </w:r>
    </w:p>
    <w:p>
      <w:pPr>
        <w:spacing w:before="188" w:after="19"/>
        <w:ind w:left="1502" w:right="0" w:firstLine="0"/>
        <w:jc w:val="left"/>
        <w:rPr>
          <w:sz w:val="32"/>
        </w:rPr>
      </w:pPr>
      <w:r>
        <w:rPr>
          <w:color w:val="080808"/>
          <w:sz w:val="32"/>
        </w:rPr>
        <w:t>（一）参会注册费标准</w:t>
      </w:r>
    </w:p>
    <w:tbl>
      <w:tblPr>
        <w:tblW w:w="0" w:type="auto"/>
        <w:jc w:val="left"/>
        <w:tblInd w:w="7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51"/>
        <w:gridCol w:w="2736"/>
        <w:gridCol w:w="4093"/>
      </w:tblGrid>
      <w:tr>
        <w:trPr>
          <w:trHeight w:val="604" w:hRule="atLeast"/>
        </w:trPr>
        <w:tc>
          <w:tcPr>
            <w:tcW w:w="2151" w:type="dxa"/>
          </w:tcPr>
          <w:p>
            <w:pPr>
              <w:pStyle w:val="TableParagraph"/>
              <w:spacing w:before="105"/>
              <w:ind w:left="80" w:right="70"/>
              <w:jc w:val="center"/>
              <w:rPr>
                <w:sz w:val="32"/>
              </w:rPr>
            </w:pPr>
            <w:r>
              <w:rPr>
                <w:color w:val="080808"/>
                <w:sz w:val="32"/>
              </w:rPr>
              <w:t>注册类别</w:t>
            </w:r>
          </w:p>
        </w:tc>
        <w:tc>
          <w:tcPr>
            <w:tcW w:w="2736" w:type="dxa"/>
          </w:tcPr>
          <w:p>
            <w:pPr>
              <w:pStyle w:val="TableParagraph"/>
              <w:spacing w:before="105"/>
              <w:ind w:left="136"/>
              <w:rPr>
                <w:sz w:val="32"/>
              </w:rPr>
            </w:pPr>
            <w:r>
              <w:rPr>
                <w:rFonts w:ascii="Times New Roman" w:eastAsia="Times New Roman"/>
                <w:color w:val="080808"/>
                <w:sz w:val="31"/>
              </w:rPr>
              <w:t>10 </w:t>
            </w:r>
            <w:r>
              <w:rPr>
                <w:color w:val="080808"/>
                <w:spacing w:val="-51"/>
                <w:sz w:val="32"/>
              </w:rPr>
              <w:t>月 </w:t>
            </w:r>
            <w:r>
              <w:rPr>
                <w:rFonts w:ascii="Times New Roman" w:eastAsia="Times New Roman"/>
                <w:color w:val="080808"/>
                <w:sz w:val="31"/>
              </w:rPr>
              <w:t>2</w:t>
            </w:r>
            <w:r>
              <w:rPr>
                <w:rFonts w:ascii="Times New Roman" w:eastAsia="Times New Roman"/>
                <w:color w:val="080808"/>
                <w:spacing w:val="-59"/>
                <w:sz w:val="31"/>
              </w:rPr>
              <w:t> </w:t>
            </w:r>
            <w:r>
              <w:rPr>
                <w:rFonts w:ascii="Times New Roman" w:eastAsia="Times New Roman"/>
                <w:color w:val="080808"/>
                <w:sz w:val="31"/>
              </w:rPr>
              <w:t>0 </w:t>
            </w:r>
            <w:r>
              <w:rPr>
                <w:color w:val="080808"/>
                <w:spacing w:val="-18"/>
                <w:sz w:val="32"/>
              </w:rPr>
              <w:t>日前 汇款</w:t>
            </w:r>
          </w:p>
        </w:tc>
        <w:tc>
          <w:tcPr>
            <w:tcW w:w="4093" w:type="dxa"/>
          </w:tcPr>
          <w:p>
            <w:pPr>
              <w:pStyle w:val="TableParagraph"/>
              <w:spacing w:before="105"/>
              <w:ind w:left="242" w:right="203"/>
              <w:jc w:val="center"/>
              <w:rPr>
                <w:sz w:val="32"/>
              </w:rPr>
            </w:pPr>
            <w:r>
              <w:rPr>
                <w:color w:val="080808"/>
                <w:sz w:val="32"/>
              </w:rPr>
              <w:t>备注</w:t>
            </w:r>
          </w:p>
        </w:tc>
      </w:tr>
      <w:tr>
        <w:trPr>
          <w:trHeight w:val="626" w:hRule="atLeast"/>
        </w:trPr>
        <w:tc>
          <w:tcPr>
            <w:tcW w:w="2151" w:type="dxa"/>
          </w:tcPr>
          <w:p>
            <w:pPr>
              <w:pStyle w:val="TableParagraph"/>
              <w:spacing w:before="126"/>
              <w:ind w:left="91" w:right="70"/>
              <w:jc w:val="center"/>
              <w:rPr>
                <w:sz w:val="32"/>
              </w:rPr>
            </w:pPr>
            <w:r>
              <w:rPr>
                <w:color w:val="080808"/>
                <w:sz w:val="32"/>
              </w:rPr>
              <w:t>网员单位代表</w:t>
            </w:r>
          </w:p>
        </w:tc>
        <w:tc>
          <w:tcPr>
            <w:tcW w:w="2736" w:type="dxa"/>
          </w:tcPr>
          <w:p>
            <w:pPr>
              <w:pStyle w:val="TableParagraph"/>
              <w:spacing w:before="119"/>
              <w:ind w:left="738"/>
              <w:rPr>
                <w:sz w:val="32"/>
              </w:rPr>
            </w:pPr>
            <w:r>
              <w:rPr>
                <w:rFonts w:ascii="Times New Roman" w:eastAsia="Times New Roman"/>
                <w:color w:val="080808"/>
                <w:sz w:val="31"/>
              </w:rPr>
              <w:t>800 </w:t>
            </w:r>
            <w:r>
              <w:rPr>
                <w:color w:val="080808"/>
                <w:sz w:val="32"/>
              </w:rPr>
              <w:t>元／人</w:t>
            </w:r>
          </w:p>
        </w:tc>
        <w:tc>
          <w:tcPr>
            <w:tcW w:w="4093" w:type="dxa"/>
          </w:tcPr>
          <w:p>
            <w:pPr>
              <w:pStyle w:val="TableParagraph"/>
              <w:spacing w:before="126"/>
              <w:ind w:left="242" w:right="260"/>
              <w:jc w:val="center"/>
              <w:rPr>
                <w:sz w:val="32"/>
              </w:rPr>
            </w:pPr>
            <w:r>
              <w:rPr>
                <w:color w:val="080808"/>
                <w:sz w:val="32"/>
              </w:rPr>
              <w:t>发票与所在网员医院一致</w:t>
            </w:r>
          </w:p>
        </w:tc>
      </w:tr>
      <w:tr>
        <w:trPr>
          <w:trHeight w:val="604" w:hRule="atLeast"/>
        </w:trPr>
        <w:tc>
          <w:tcPr>
            <w:tcW w:w="2151" w:type="dxa"/>
          </w:tcPr>
          <w:p>
            <w:pPr>
              <w:pStyle w:val="TableParagraph"/>
              <w:spacing w:before="112"/>
              <w:ind w:left="91" w:right="48"/>
              <w:jc w:val="center"/>
              <w:rPr>
                <w:sz w:val="32"/>
              </w:rPr>
            </w:pPr>
            <w:r>
              <w:rPr>
                <w:color w:val="161616"/>
                <w:sz w:val="32"/>
              </w:rPr>
              <w:t>参会代表</w:t>
            </w:r>
          </w:p>
        </w:tc>
        <w:tc>
          <w:tcPr>
            <w:tcW w:w="2736" w:type="dxa"/>
          </w:tcPr>
          <w:p>
            <w:pPr>
              <w:pStyle w:val="TableParagraph"/>
              <w:spacing w:before="105"/>
              <w:ind w:left="649"/>
              <w:rPr>
                <w:sz w:val="32"/>
              </w:rPr>
            </w:pPr>
            <w:r>
              <w:rPr>
                <w:rFonts w:ascii="Times New Roman" w:eastAsia="Times New Roman"/>
                <w:color w:val="080808"/>
                <w:sz w:val="31"/>
              </w:rPr>
              <w:t>1500 </w:t>
            </w:r>
            <w:r>
              <w:rPr>
                <w:color w:val="080808"/>
                <w:sz w:val="32"/>
              </w:rPr>
              <w:t>元／人</w:t>
            </w:r>
          </w:p>
        </w:tc>
        <w:tc>
          <w:tcPr>
            <w:tcW w:w="4093" w:type="dxa"/>
          </w:tcPr>
          <w:p>
            <w:pPr>
              <w:pStyle w:val="TableParagraph"/>
              <w:spacing w:before="105"/>
              <w:ind w:left="242" w:right="239"/>
              <w:jc w:val="center"/>
              <w:rPr>
                <w:sz w:val="32"/>
              </w:rPr>
            </w:pPr>
            <w:r>
              <w:rPr>
                <w:color w:val="080808"/>
                <w:sz w:val="32"/>
              </w:rPr>
              <w:t>发票为非网员医院</w:t>
            </w:r>
          </w:p>
        </w:tc>
      </w:tr>
    </w:tbl>
    <w:p>
      <w:pPr>
        <w:pStyle w:val="BodyText"/>
        <w:spacing w:before="7"/>
        <w:ind w:left="0"/>
        <w:rPr>
          <w:sz w:val="37"/>
        </w:rPr>
      </w:pPr>
    </w:p>
    <w:p>
      <w:pPr>
        <w:spacing w:before="0"/>
        <w:ind w:left="713" w:right="0" w:firstLine="0"/>
        <w:jc w:val="left"/>
        <w:rPr>
          <w:sz w:val="24"/>
        </w:rPr>
      </w:pPr>
      <w:r>
        <w:rPr>
          <w:color w:val="080808"/>
          <w:w w:val="110"/>
          <w:sz w:val="24"/>
        </w:rPr>
        <w:t>—</w:t>
      </w:r>
      <w:r>
        <w:rPr>
          <w:rFonts w:ascii="Times New Roman" w:hAnsi="Times New Roman"/>
          <w:color w:val="080808"/>
          <w:w w:val="110"/>
          <w:sz w:val="20"/>
        </w:rPr>
        <w:t>4</w:t>
      </w:r>
      <w:r>
        <w:rPr>
          <w:color w:val="080808"/>
          <w:w w:val="110"/>
          <w:sz w:val="24"/>
        </w:rPr>
        <w:t>—</w:t>
      </w:r>
    </w:p>
    <w:p>
      <w:pPr>
        <w:spacing w:after="0"/>
        <w:jc w:val="left"/>
        <w:rPr>
          <w:sz w:val="24"/>
        </w:rPr>
        <w:sectPr>
          <w:headerReference w:type="default" r:id="rId28"/>
          <w:footerReference w:type="default" r:id="rId29"/>
          <w:pgSz w:w="11910" w:h="16850"/>
          <w:pgMar w:header="0" w:footer="0" w:top="1540" w:bottom="280" w:left="680" w:right="540"/>
        </w:sectPr>
      </w:pPr>
    </w:p>
    <w:p>
      <w:pPr>
        <w:pStyle w:val="Heading4"/>
        <w:spacing w:before="52"/>
        <w:rPr>
          <w:rFonts w:ascii="Times New Roman" w:eastAsia="Times New Roman"/>
        </w:rPr>
      </w:pPr>
      <w:r>
        <w:rPr>
          <w:color w:val="0A0A0A"/>
        </w:rPr>
        <w:t>会议注册费包含会议资料。会前报名的截止日期为 </w:t>
      </w:r>
      <w:r>
        <w:rPr>
          <w:rFonts w:ascii="Times New Roman" w:eastAsia="Times New Roman"/>
          <w:color w:val="0A0A0A"/>
        </w:rPr>
        <w:t>2019 </w:t>
      </w:r>
      <w:r>
        <w:rPr>
          <w:color w:val="0A0A0A"/>
        </w:rPr>
        <w:t>年 </w:t>
      </w:r>
      <w:r>
        <w:rPr>
          <w:rFonts w:ascii="Times New Roman" w:eastAsia="Times New Roman"/>
          <w:color w:val="0A0A0A"/>
        </w:rPr>
        <w:t>10</w:t>
      </w:r>
    </w:p>
    <w:p>
      <w:pPr>
        <w:tabs>
          <w:tab w:pos="4270" w:val="left" w:leader="none"/>
          <w:tab w:pos="4751" w:val="left" w:leader="none"/>
        </w:tabs>
        <w:spacing w:line="343" w:lineRule="auto" w:before="177"/>
        <w:ind w:left="753" w:right="1108" w:hanging="11"/>
        <w:jc w:val="left"/>
        <w:rPr>
          <w:sz w:val="31"/>
        </w:rPr>
      </w:pPr>
      <w:r>
        <w:rPr>
          <w:color w:val="0A0A0A"/>
          <w:sz w:val="32"/>
        </w:rPr>
        <w:t>月</w:t>
      </w:r>
      <w:r>
        <w:rPr>
          <w:color w:val="0A0A0A"/>
          <w:spacing w:val="-105"/>
          <w:sz w:val="32"/>
        </w:rPr>
        <w:t> </w:t>
      </w:r>
      <w:r>
        <w:rPr>
          <w:rFonts w:ascii="Times New Roman" w:eastAsia="Times New Roman"/>
          <w:color w:val="0A0A0A"/>
          <w:sz w:val="31"/>
        </w:rPr>
        <w:t>20</w:t>
      </w:r>
      <w:r>
        <w:rPr>
          <w:rFonts w:ascii="Times New Roman" w:eastAsia="Times New Roman"/>
          <w:color w:val="0A0A0A"/>
          <w:spacing w:val="-34"/>
          <w:sz w:val="31"/>
        </w:rPr>
        <w:t> </w:t>
      </w:r>
      <w:r>
        <w:rPr>
          <w:color w:val="0A0A0A"/>
          <w:spacing w:val="49"/>
          <w:sz w:val="31"/>
        </w:rPr>
        <w:t>日</w:t>
      </w:r>
      <w:r>
        <w:rPr>
          <w:color w:val="0A0A0A"/>
          <w:w w:val="75"/>
          <w:sz w:val="31"/>
        </w:rPr>
        <w:t>，</w:t>
      </w:r>
      <w:r>
        <w:rPr>
          <w:color w:val="0A0A0A"/>
          <w:spacing w:val="-58"/>
          <w:w w:val="75"/>
          <w:sz w:val="31"/>
        </w:rPr>
        <w:t> </w:t>
      </w:r>
      <w:r>
        <w:rPr>
          <w:color w:val="0A0A0A"/>
          <w:sz w:val="31"/>
        </w:rPr>
        <w:t>享受优惠注册价格</w:t>
        <w:tab/>
      </w:r>
      <w:r>
        <w:rPr>
          <w:color w:val="0A0A0A"/>
          <w:w w:val="75"/>
          <w:sz w:val="31"/>
        </w:rPr>
        <w:t>；</w:t>
      </w:r>
      <w:r>
        <w:rPr>
          <w:color w:val="0A0A0A"/>
          <w:spacing w:val="-36"/>
          <w:w w:val="75"/>
          <w:sz w:val="31"/>
        </w:rPr>
        <w:t> </w:t>
      </w:r>
      <w:r>
        <w:rPr>
          <w:rFonts w:ascii="Times New Roman" w:eastAsia="Times New Roman"/>
          <w:color w:val="0A0A0A"/>
          <w:w w:val="75"/>
          <w:sz w:val="31"/>
        </w:rPr>
        <w:t>1</w:t>
      </w:r>
      <w:r>
        <w:rPr>
          <w:rFonts w:ascii="Times New Roman" w:eastAsia="Times New Roman"/>
          <w:color w:val="0A0A0A"/>
          <w:spacing w:val="-18"/>
          <w:w w:val="75"/>
          <w:sz w:val="31"/>
        </w:rPr>
        <w:t> </w:t>
      </w:r>
      <w:r>
        <w:rPr>
          <w:rFonts w:ascii="Times New Roman" w:eastAsia="Times New Roman"/>
          <w:color w:val="0A0A0A"/>
          <w:sz w:val="31"/>
        </w:rPr>
        <w:t>0</w:t>
      </w:r>
      <w:r>
        <w:rPr>
          <w:rFonts w:ascii="Times New Roman" w:eastAsia="Times New Roman"/>
          <w:color w:val="0A0A0A"/>
          <w:spacing w:val="-44"/>
          <w:sz w:val="31"/>
        </w:rPr>
        <w:t> </w:t>
      </w:r>
      <w:r>
        <w:rPr>
          <w:color w:val="0A0A0A"/>
          <w:sz w:val="32"/>
        </w:rPr>
        <w:t>月</w:t>
      </w:r>
      <w:r>
        <w:rPr>
          <w:color w:val="0A0A0A"/>
          <w:spacing w:val="-114"/>
          <w:sz w:val="32"/>
        </w:rPr>
        <w:t> </w:t>
      </w:r>
      <w:r>
        <w:rPr>
          <w:rFonts w:ascii="Times New Roman" w:eastAsia="Times New Roman"/>
          <w:color w:val="0A0A0A"/>
          <w:sz w:val="31"/>
        </w:rPr>
        <w:t>21</w:t>
      </w:r>
      <w:r>
        <w:rPr>
          <w:rFonts w:ascii="Times New Roman" w:eastAsia="Times New Roman"/>
          <w:color w:val="0A0A0A"/>
          <w:spacing w:val="-45"/>
          <w:sz w:val="31"/>
        </w:rPr>
        <w:t> </w:t>
      </w:r>
      <w:r>
        <w:rPr>
          <w:color w:val="0A0A0A"/>
          <w:sz w:val="31"/>
        </w:rPr>
        <w:t>日后仍</w:t>
      </w:r>
      <w:r>
        <w:rPr>
          <w:color w:val="0A0A0A"/>
          <w:spacing w:val="-93"/>
          <w:sz w:val="31"/>
        </w:rPr>
        <w:t> </w:t>
      </w:r>
      <w:r>
        <w:rPr>
          <w:color w:val="0A0A0A"/>
          <w:sz w:val="31"/>
        </w:rPr>
        <w:t>可通过微信或邮</w:t>
      </w:r>
      <w:r>
        <w:rPr>
          <w:color w:val="0A0A0A"/>
          <w:spacing w:val="-16"/>
          <w:sz w:val="31"/>
        </w:rPr>
        <w:t>件</w:t>
      </w:r>
      <w:r>
        <w:rPr>
          <w:color w:val="0A0A0A"/>
          <w:w w:val="95"/>
          <w:sz w:val="31"/>
        </w:rPr>
        <w:t>报</w:t>
      </w:r>
      <w:r>
        <w:rPr>
          <w:color w:val="0A0A0A"/>
          <w:spacing w:val="32"/>
          <w:w w:val="95"/>
          <w:sz w:val="31"/>
        </w:rPr>
        <w:t>名</w:t>
      </w:r>
      <w:r>
        <w:rPr>
          <w:color w:val="0A0A0A"/>
          <w:w w:val="75"/>
          <w:sz w:val="31"/>
        </w:rPr>
        <w:t>，</w:t>
      </w:r>
      <w:r>
        <w:rPr>
          <w:color w:val="0A0A0A"/>
          <w:spacing w:val="-45"/>
          <w:w w:val="75"/>
          <w:sz w:val="31"/>
        </w:rPr>
        <w:t> </w:t>
      </w:r>
      <w:r>
        <w:rPr>
          <w:color w:val="0A0A0A"/>
          <w:spacing w:val="47"/>
          <w:w w:val="95"/>
          <w:sz w:val="31"/>
        </w:rPr>
        <w:t>也</w:t>
      </w:r>
      <w:r>
        <w:rPr>
          <w:color w:val="0A0A0A"/>
          <w:w w:val="95"/>
          <w:sz w:val="31"/>
        </w:rPr>
        <w:t>可选择现场报名</w:t>
        <w:tab/>
      </w:r>
      <w:r>
        <w:rPr>
          <w:color w:val="0A0A0A"/>
          <w:w w:val="75"/>
          <w:sz w:val="31"/>
        </w:rPr>
        <w:t>，</w:t>
      </w:r>
      <w:r>
        <w:rPr>
          <w:color w:val="0A0A0A"/>
          <w:spacing w:val="-28"/>
          <w:w w:val="75"/>
          <w:sz w:val="31"/>
        </w:rPr>
        <w:t> </w:t>
      </w:r>
      <w:r>
        <w:rPr>
          <w:color w:val="0A0A0A"/>
          <w:spacing w:val="26"/>
          <w:sz w:val="31"/>
        </w:rPr>
        <w:t>按</w:t>
      </w:r>
      <w:r>
        <w:rPr>
          <w:color w:val="0A0A0A"/>
          <w:sz w:val="31"/>
        </w:rPr>
        <w:t>照</w:t>
      </w:r>
      <w:r>
        <w:rPr>
          <w:color w:val="0A0A0A"/>
          <w:spacing w:val="-62"/>
          <w:sz w:val="31"/>
        </w:rPr>
        <w:t> </w:t>
      </w:r>
      <w:r>
        <w:rPr>
          <w:rFonts w:ascii="Times New Roman" w:eastAsia="Times New Roman"/>
          <w:color w:val="0A0A0A"/>
          <w:sz w:val="31"/>
        </w:rPr>
        <w:t>17</w:t>
      </w:r>
      <w:r>
        <w:rPr>
          <w:rFonts w:ascii="Times New Roman" w:eastAsia="Times New Roman"/>
          <w:color w:val="0A0A0A"/>
          <w:spacing w:val="-34"/>
          <w:sz w:val="31"/>
        </w:rPr>
        <w:t> </w:t>
      </w:r>
      <w:r>
        <w:rPr>
          <w:rFonts w:ascii="Times New Roman" w:eastAsia="Times New Roman"/>
          <w:color w:val="0A0A0A"/>
          <w:sz w:val="31"/>
        </w:rPr>
        <w:t>00</w:t>
      </w:r>
      <w:r>
        <w:rPr>
          <w:rFonts w:ascii="Times New Roman" w:eastAsia="Times New Roman"/>
          <w:color w:val="0A0A0A"/>
          <w:spacing w:val="-13"/>
          <w:sz w:val="31"/>
        </w:rPr>
        <w:t> </w:t>
      </w:r>
      <w:r>
        <w:rPr>
          <w:color w:val="0A0A0A"/>
          <w:sz w:val="31"/>
        </w:rPr>
        <w:t>元／人注</w:t>
      </w:r>
      <w:r>
        <w:rPr>
          <w:color w:val="0A0A0A"/>
          <w:spacing w:val="-184"/>
          <w:sz w:val="31"/>
        </w:rPr>
        <w:t>册</w:t>
      </w:r>
      <w:r>
        <w:rPr>
          <w:color w:val="0A0A0A"/>
          <w:w w:val="75"/>
          <w:sz w:val="31"/>
        </w:rPr>
        <w:t>，</w:t>
      </w:r>
      <w:r>
        <w:rPr>
          <w:color w:val="0A0A0A"/>
          <w:spacing w:val="-42"/>
          <w:w w:val="75"/>
          <w:sz w:val="31"/>
        </w:rPr>
        <w:t> </w:t>
      </w:r>
      <w:r>
        <w:rPr>
          <w:color w:val="0A0A0A"/>
          <w:sz w:val="31"/>
        </w:rPr>
        <w:t>住宿自理</w:t>
      </w:r>
      <w:r>
        <w:rPr>
          <w:color w:val="0A0A0A"/>
          <w:spacing w:val="-79"/>
          <w:sz w:val="31"/>
        </w:rPr>
        <w:t> </w:t>
      </w:r>
      <w:r>
        <w:rPr>
          <w:color w:val="0A0A0A"/>
          <w:sz w:val="31"/>
        </w:rPr>
        <w:t>。</w:t>
      </w:r>
    </w:p>
    <w:p>
      <w:pPr>
        <w:spacing w:before="40"/>
        <w:ind w:left="1506" w:right="0" w:firstLine="0"/>
        <w:jc w:val="left"/>
        <w:rPr>
          <w:sz w:val="28"/>
        </w:rPr>
      </w:pPr>
      <w:r>
        <w:rPr>
          <w:color w:val="0A0A0A"/>
          <w:w w:val="105"/>
          <w:sz w:val="28"/>
        </w:rPr>
        <w:t>（二）缴纳方式</w:t>
      </w:r>
    </w:p>
    <w:p>
      <w:pPr>
        <w:pStyle w:val="ListParagraph"/>
        <w:numPr>
          <w:ilvl w:val="0"/>
          <w:numId w:val="4"/>
        </w:numPr>
        <w:tabs>
          <w:tab w:pos="1776" w:val="left" w:leader="none"/>
          <w:tab w:pos="1777" w:val="left" w:leader="none"/>
        </w:tabs>
        <w:spacing w:line="240" w:lineRule="auto" w:before="188" w:after="0"/>
        <w:ind w:left="1776" w:right="0" w:hanging="394"/>
        <w:jc w:val="left"/>
        <w:rPr>
          <w:rFonts w:ascii="Times New Roman" w:eastAsia="Times New Roman"/>
          <w:color w:val="0A0A0A"/>
          <w:sz w:val="32"/>
        </w:rPr>
      </w:pPr>
      <w:r>
        <w:rPr>
          <w:color w:val="0A0A0A"/>
          <w:sz w:val="31"/>
        </w:rPr>
        <w:t>电汇方式：</w:t>
      </w:r>
    </w:p>
    <w:p>
      <w:pPr>
        <w:spacing w:before="194"/>
        <w:ind w:left="1397" w:right="0" w:firstLine="0"/>
        <w:jc w:val="left"/>
        <w:rPr>
          <w:sz w:val="31"/>
        </w:rPr>
      </w:pPr>
      <w:r>
        <w:rPr>
          <w:color w:val="0A0A0A"/>
          <w:w w:val="105"/>
          <w:sz w:val="31"/>
        </w:rPr>
        <w:t>收款单位：中国药学会科技开发中心</w:t>
      </w:r>
    </w:p>
    <w:p>
      <w:pPr>
        <w:tabs>
          <w:tab w:pos="2353" w:val="left" w:leader="none"/>
        </w:tabs>
        <w:spacing w:line="348" w:lineRule="auto" w:before="180"/>
        <w:ind w:left="1374" w:right="3201" w:firstLine="10"/>
        <w:jc w:val="left"/>
        <w:rPr>
          <w:rFonts w:ascii="Times New Roman" w:eastAsia="Times New Roman"/>
          <w:sz w:val="31"/>
        </w:rPr>
      </w:pPr>
      <w:r>
        <w:rPr>
          <w:color w:val="0A0A0A"/>
          <w:sz w:val="31"/>
        </w:rPr>
        <w:t>开户行：中国银行北京国际贸易中心支</w:t>
      </w:r>
      <w:r>
        <w:rPr>
          <w:color w:val="0A0A0A"/>
          <w:spacing w:val="-17"/>
          <w:sz w:val="31"/>
        </w:rPr>
        <w:t>行  </w:t>
      </w:r>
      <w:r>
        <w:rPr>
          <w:color w:val="0A0A0A"/>
          <w:sz w:val="31"/>
        </w:rPr>
        <w:t>帐</w:t>
        <w:tab/>
      </w:r>
      <w:r>
        <w:rPr>
          <w:color w:val="0A0A0A"/>
          <w:spacing w:val="20"/>
          <w:sz w:val="31"/>
        </w:rPr>
        <w:t>号 </w:t>
      </w:r>
      <w:r>
        <w:rPr>
          <w:color w:val="0A0A0A"/>
          <w:w w:val="80"/>
          <w:sz w:val="31"/>
        </w:rPr>
        <w:t>： </w:t>
      </w:r>
      <w:r>
        <w:rPr>
          <w:rFonts w:ascii="Times New Roman" w:eastAsia="Times New Roman"/>
          <w:color w:val="0A0A0A"/>
          <w:w w:val="80"/>
          <w:sz w:val="31"/>
        </w:rPr>
        <w:t>31</w:t>
      </w:r>
      <w:r>
        <w:rPr>
          <w:rFonts w:ascii="Times New Roman" w:eastAsia="Times New Roman"/>
          <w:color w:val="0A0A0A"/>
          <w:spacing w:val="2"/>
          <w:w w:val="80"/>
          <w:sz w:val="31"/>
        </w:rPr>
        <w:t> </w:t>
      </w:r>
      <w:r>
        <w:rPr>
          <w:rFonts w:ascii="Times New Roman" w:eastAsia="Times New Roman"/>
          <w:color w:val="0A0A0A"/>
          <w:sz w:val="31"/>
        </w:rPr>
        <w:t>8156013207</w:t>
      </w:r>
    </w:p>
    <w:p>
      <w:pPr>
        <w:spacing w:before="16"/>
        <w:ind w:left="1408" w:right="0" w:firstLine="0"/>
        <w:jc w:val="left"/>
        <w:rPr>
          <w:sz w:val="31"/>
        </w:rPr>
      </w:pPr>
      <w:r>
        <w:rPr>
          <w:color w:val="0A0A0A"/>
          <w:sz w:val="31"/>
        </w:rPr>
        <w:t>汇款单转账附言中请注明“信息网＋参会人姓名“。</w:t>
      </w:r>
    </w:p>
    <w:p>
      <w:pPr>
        <w:pStyle w:val="ListParagraph"/>
        <w:numPr>
          <w:ilvl w:val="0"/>
          <w:numId w:val="4"/>
        </w:numPr>
        <w:tabs>
          <w:tab w:pos="1793" w:val="left" w:leader="none"/>
          <w:tab w:pos="1794" w:val="left" w:leader="none"/>
        </w:tabs>
        <w:spacing w:line="240" w:lineRule="auto" w:before="180" w:after="0"/>
        <w:ind w:left="1793" w:right="0" w:hanging="419"/>
        <w:jc w:val="left"/>
        <w:rPr>
          <w:rFonts w:ascii="Arial" w:eastAsia="Arial"/>
          <w:color w:val="0A0A0A"/>
          <w:sz w:val="30"/>
        </w:rPr>
      </w:pPr>
      <w:r>
        <w:rPr>
          <w:color w:val="0A0A0A"/>
          <w:spacing w:val="9"/>
          <w:sz w:val="31"/>
        </w:rPr>
        <w:t>报到现场缴费</w:t>
      </w:r>
      <w:r>
        <w:rPr>
          <w:color w:val="0A0A0A"/>
          <w:w w:val="75"/>
          <w:sz w:val="31"/>
        </w:rPr>
        <w:t>：</w:t>
      </w:r>
    </w:p>
    <w:p>
      <w:pPr>
        <w:spacing w:before="180"/>
        <w:ind w:left="1387" w:right="0" w:firstLine="0"/>
        <w:jc w:val="left"/>
        <w:rPr>
          <w:sz w:val="31"/>
        </w:rPr>
      </w:pPr>
      <w:r>
        <w:rPr>
          <w:color w:val="0A0A0A"/>
          <w:sz w:val="31"/>
        </w:rPr>
        <w:t>刷卡、支付宝、微信、银联闪付或现金缴纳。</w:t>
      </w:r>
    </w:p>
    <w:p>
      <w:pPr>
        <w:spacing w:before="180"/>
        <w:ind w:left="1503" w:right="0" w:firstLine="0"/>
        <w:jc w:val="left"/>
        <w:rPr>
          <w:sz w:val="31"/>
        </w:rPr>
      </w:pPr>
      <w:r>
        <w:rPr>
          <w:color w:val="0A0A0A"/>
          <w:sz w:val="31"/>
        </w:rPr>
        <w:t>（三）发票</w:t>
      </w:r>
    </w:p>
    <w:p>
      <w:pPr>
        <w:spacing w:line="343" w:lineRule="auto" w:before="194"/>
        <w:ind w:left="731" w:right="869" w:firstLine="679"/>
        <w:jc w:val="both"/>
        <w:rPr>
          <w:sz w:val="31"/>
        </w:rPr>
      </w:pPr>
      <w:r>
        <w:rPr>
          <w:rFonts w:ascii="Times New Roman" w:eastAsia="Times New Roman"/>
          <w:color w:val="0A0A0A"/>
          <w:sz w:val="31"/>
        </w:rPr>
        <w:t>l</w:t>
      </w:r>
      <w:r>
        <w:rPr>
          <w:rFonts w:ascii="Times New Roman" w:eastAsia="Times New Roman"/>
          <w:color w:val="0A0A0A"/>
          <w:spacing w:val="2"/>
          <w:sz w:val="31"/>
        </w:rPr>
        <w:t>    </w:t>
      </w:r>
      <w:r>
        <w:rPr>
          <w:color w:val="0A0A0A"/>
          <w:sz w:val="31"/>
        </w:rPr>
        <w:t>汇款后请将汇款凭证（照片、截图等）及汇款回执表（</w:t>
      </w:r>
      <w:r>
        <w:rPr>
          <w:color w:val="0A0A0A"/>
          <w:spacing w:val="-17"/>
          <w:sz w:val="31"/>
        </w:rPr>
        <w:t>附</w:t>
      </w:r>
      <w:r>
        <w:rPr>
          <w:color w:val="0A0A0A"/>
          <w:spacing w:val="-40"/>
          <w:sz w:val="31"/>
        </w:rPr>
        <w:t>件 </w:t>
      </w:r>
      <w:r>
        <w:rPr>
          <w:rFonts w:ascii="Arial" w:eastAsia="Arial"/>
          <w:color w:val="0A0A0A"/>
          <w:sz w:val="27"/>
        </w:rPr>
        <w:t>3</w:t>
      </w:r>
      <w:r>
        <w:rPr>
          <w:rFonts w:ascii="Arial" w:eastAsia="Arial"/>
          <w:color w:val="0A0A0A"/>
          <w:spacing w:val="-1"/>
          <w:sz w:val="27"/>
        </w:rPr>
        <w:t> ) </w:t>
      </w:r>
      <w:r>
        <w:rPr>
          <w:color w:val="0A0A0A"/>
          <w:spacing w:val="15"/>
          <w:sz w:val="31"/>
        </w:rPr>
        <w:t>发送至会务组邮箱 </w:t>
      </w:r>
      <w:hyperlink r:id="rId32">
        <w:r>
          <w:rPr>
            <w:rFonts w:ascii="Times New Roman" w:eastAsia="Times New Roman"/>
            <w:color w:val="0A0A0A"/>
            <w:sz w:val="30"/>
          </w:rPr>
          <w:t>xinxiwang@cmei.org.</w:t>
        </w:r>
      </w:hyperlink>
      <w:r>
        <w:rPr>
          <w:rFonts w:ascii="Times New Roman" w:eastAsia="Times New Roman"/>
          <w:color w:val="0A0A0A"/>
          <w:sz w:val="30"/>
        </w:rPr>
        <w:t> en</w:t>
      </w:r>
      <w:r>
        <w:rPr>
          <w:color w:val="0A0A0A"/>
          <w:sz w:val="31"/>
        </w:rPr>
        <w:t>。</w:t>
      </w:r>
    </w:p>
    <w:p>
      <w:pPr>
        <w:pStyle w:val="Heading4"/>
        <w:numPr>
          <w:ilvl w:val="0"/>
          <w:numId w:val="5"/>
        </w:numPr>
        <w:tabs>
          <w:tab w:pos="1813" w:val="left" w:leader="none"/>
        </w:tabs>
        <w:spacing w:line="352" w:lineRule="auto" w:before="18" w:after="0"/>
        <w:ind w:left="738" w:right="819" w:firstLine="638"/>
        <w:jc w:val="both"/>
        <w:rPr>
          <w:rFonts w:ascii="Arial" w:eastAsia="Arial"/>
          <w:color w:val="0A0A0A"/>
          <w:sz w:val="28"/>
        </w:rPr>
      </w:pPr>
      <w:r>
        <w:rPr>
          <w:color w:val="0A0A0A"/>
          <w:spacing w:val="-2"/>
        </w:rPr>
        <w:t>汇款人和参会人员姓名不 一致</w:t>
      </w:r>
      <w:r>
        <w:rPr>
          <w:color w:val="0A0A0A"/>
          <w:spacing w:val="-43"/>
          <w:w w:val="95"/>
        </w:rPr>
        <w:t>， </w:t>
      </w:r>
      <w:r>
        <w:rPr>
          <w:color w:val="0A0A0A"/>
          <w:spacing w:val="-7"/>
        </w:rPr>
        <w:t>或一个单位 给多名参会代</w:t>
      </w:r>
      <w:r>
        <w:rPr>
          <w:color w:val="0A0A0A"/>
        </w:rPr>
        <w:t>表汇款的情况，请务必发邮件详细告知汇款人姓名、参会人姓名、工作单位、联系方式、开具发票的详细信息、发票张数及每张发 票的具体金额、接收发票人员姓名及详细邮寄地址。</w:t>
      </w:r>
    </w:p>
    <w:p>
      <w:pPr>
        <w:pStyle w:val="ListParagraph"/>
        <w:numPr>
          <w:ilvl w:val="0"/>
          <w:numId w:val="5"/>
        </w:numPr>
        <w:tabs>
          <w:tab w:pos="1789" w:val="left" w:leader="none"/>
        </w:tabs>
        <w:spacing w:line="348" w:lineRule="auto" w:before="0" w:after="0"/>
        <w:ind w:left="732" w:right="878" w:firstLine="640"/>
        <w:jc w:val="both"/>
        <w:rPr>
          <w:rFonts w:ascii="Times New Roman" w:eastAsia="Times New Roman"/>
          <w:color w:val="0A0A0A"/>
          <w:sz w:val="30"/>
        </w:rPr>
      </w:pPr>
      <w:r>
        <w:rPr>
          <w:color w:val="0A0A0A"/>
          <w:spacing w:val="-13"/>
          <w:sz w:val="31"/>
        </w:rPr>
        <w:t>现场缴纳注册费的代表只 能收到 </w:t>
      </w:r>
      <w:r>
        <w:rPr>
          <w:rFonts w:ascii="Times New Roman" w:eastAsia="Times New Roman"/>
          <w:color w:val="0A0A0A"/>
          <w:sz w:val="30"/>
        </w:rPr>
        <w:t>POS </w:t>
      </w:r>
      <w:r>
        <w:rPr>
          <w:color w:val="0A0A0A"/>
          <w:spacing w:val="-9"/>
          <w:sz w:val="31"/>
        </w:rPr>
        <w:t>机小票或现金 收据， </w:t>
      </w:r>
      <w:r>
        <w:rPr>
          <w:color w:val="0A0A0A"/>
          <w:sz w:val="31"/>
        </w:rPr>
        <w:t>发票需要会后开具并邮寄。</w:t>
      </w:r>
    </w:p>
    <w:p>
      <w:pPr>
        <w:pStyle w:val="ListParagraph"/>
        <w:numPr>
          <w:ilvl w:val="0"/>
          <w:numId w:val="5"/>
        </w:numPr>
        <w:tabs>
          <w:tab w:pos="1813" w:val="left" w:leader="none"/>
          <w:tab w:pos="6956" w:val="left" w:leader="none"/>
        </w:tabs>
        <w:spacing w:line="350" w:lineRule="auto" w:before="3" w:after="0"/>
        <w:ind w:left="735" w:right="880" w:firstLine="644"/>
        <w:jc w:val="left"/>
        <w:rPr>
          <w:rFonts w:ascii="Arial" w:eastAsia="Arial"/>
          <w:color w:val="0A0A0A"/>
          <w:sz w:val="30"/>
        </w:rPr>
      </w:pPr>
      <w:r>
        <w:rPr>
          <w:color w:val="0A0A0A"/>
          <w:w w:val="95"/>
          <w:sz w:val="31"/>
        </w:rPr>
        <w:t>汇款</w:t>
      </w:r>
      <w:r>
        <w:rPr>
          <w:color w:val="0A0A0A"/>
          <w:spacing w:val="64"/>
          <w:w w:val="95"/>
          <w:sz w:val="31"/>
        </w:rPr>
        <w:t>后</w:t>
      </w:r>
      <w:r>
        <w:rPr>
          <w:color w:val="0A0A0A"/>
          <w:w w:val="95"/>
          <w:sz w:val="31"/>
        </w:rPr>
        <w:t>因为</w:t>
      </w:r>
      <w:r>
        <w:rPr>
          <w:color w:val="0A0A0A"/>
          <w:spacing w:val="74"/>
          <w:w w:val="95"/>
          <w:sz w:val="31"/>
        </w:rPr>
        <w:t>特</w:t>
      </w:r>
      <w:r>
        <w:rPr>
          <w:color w:val="0A0A0A"/>
          <w:w w:val="95"/>
          <w:sz w:val="31"/>
        </w:rPr>
        <w:t>殊</w:t>
      </w:r>
      <w:r>
        <w:rPr>
          <w:color w:val="0A0A0A"/>
          <w:spacing w:val="24"/>
          <w:w w:val="95"/>
          <w:sz w:val="31"/>
        </w:rPr>
        <w:t>原</w:t>
      </w:r>
      <w:r>
        <w:rPr>
          <w:color w:val="0A0A0A"/>
          <w:w w:val="95"/>
          <w:sz w:val="31"/>
        </w:rPr>
        <w:t>因</w:t>
      </w:r>
      <w:r>
        <w:rPr>
          <w:color w:val="0A0A0A"/>
          <w:spacing w:val="50"/>
          <w:w w:val="95"/>
          <w:sz w:val="31"/>
        </w:rPr>
        <w:t>未</w:t>
      </w:r>
      <w:r>
        <w:rPr>
          <w:color w:val="0A0A0A"/>
          <w:w w:val="95"/>
          <w:sz w:val="31"/>
        </w:rPr>
        <w:t>能参会的代表</w:t>
        <w:tab/>
        <w:t>可以通过给会务组发</w:t>
      </w:r>
      <w:r>
        <w:rPr>
          <w:color w:val="0A0A0A"/>
          <w:sz w:val="31"/>
        </w:rPr>
        <w:t>送电子邮件方式申请全额退还注册费，退费工作需要会后统一汇 总办理，通过银行转账方式退回。为便于准确退款，请在提交退 款申</w:t>
      </w:r>
      <w:r>
        <w:rPr>
          <w:color w:val="0A0A0A"/>
          <w:spacing w:val="31"/>
          <w:sz w:val="31"/>
        </w:rPr>
        <w:t>请</w:t>
      </w:r>
      <w:r>
        <w:rPr>
          <w:color w:val="0A0A0A"/>
          <w:sz w:val="31"/>
        </w:rPr>
        <w:t>时将</w:t>
      </w:r>
      <w:r>
        <w:rPr>
          <w:color w:val="0A0A0A"/>
          <w:spacing w:val="60"/>
          <w:sz w:val="31"/>
        </w:rPr>
        <w:t>原</w:t>
      </w:r>
      <w:r>
        <w:rPr>
          <w:color w:val="0A0A0A"/>
          <w:sz w:val="31"/>
        </w:rPr>
        <w:t>汇款人员（</w:t>
      </w:r>
      <w:r>
        <w:rPr>
          <w:color w:val="0A0A0A"/>
          <w:spacing w:val="-114"/>
          <w:sz w:val="31"/>
        </w:rPr>
        <w:t> </w:t>
      </w:r>
      <w:r>
        <w:rPr>
          <w:color w:val="0A0A0A"/>
          <w:spacing w:val="28"/>
          <w:sz w:val="31"/>
        </w:rPr>
        <w:t>或</w:t>
      </w:r>
      <w:r>
        <w:rPr>
          <w:color w:val="0A0A0A"/>
          <w:sz w:val="31"/>
        </w:rPr>
        <w:t>单</w:t>
      </w:r>
      <w:r>
        <w:rPr>
          <w:color w:val="0A0A0A"/>
          <w:spacing w:val="50"/>
          <w:sz w:val="31"/>
        </w:rPr>
        <w:t>位</w:t>
      </w:r>
      <w:r>
        <w:rPr>
          <w:color w:val="0A0A0A"/>
          <w:sz w:val="31"/>
        </w:rPr>
        <w:t>）及</w:t>
      </w:r>
      <w:r>
        <w:rPr>
          <w:color w:val="0A0A0A"/>
          <w:spacing w:val="7"/>
          <w:sz w:val="31"/>
        </w:rPr>
        <w:t>账</w:t>
      </w:r>
      <w:r>
        <w:rPr>
          <w:color w:val="0A0A0A"/>
          <w:sz w:val="31"/>
        </w:rPr>
        <w:t>号</w:t>
      </w:r>
      <w:r>
        <w:rPr>
          <w:color w:val="0A0A0A"/>
          <w:spacing w:val="72"/>
          <w:sz w:val="31"/>
        </w:rPr>
        <w:t>信</w:t>
      </w:r>
      <w:r>
        <w:rPr>
          <w:color w:val="0A0A0A"/>
          <w:sz w:val="31"/>
        </w:rPr>
        <w:t>息在邮件中写清楚</w:t>
      </w:r>
      <w:r>
        <w:rPr>
          <w:color w:val="0A0A0A"/>
          <w:spacing w:val="-94"/>
          <w:sz w:val="31"/>
        </w:rPr>
        <w:t> </w:t>
      </w:r>
      <w:r>
        <w:rPr>
          <w:color w:val="2D2D2D"/>
          <w:sz w:val="31"/>
        </w:rPr>
        <w:t>。</w:t>
      </w:r>
    </w:p>
    <w:p>
      <w:pPr>
        <w:pStyle w:val="BodyText"/>
        <w:spacing w:before="1"/>
        <w:ind w:left="0"/>
        <w:rPr>
          <w:sz w:val="27"/>
        </w:rPr>
      </w:pPr>
    </w:p>
    <w:p>
      <w:pPr>
        <w:spacing w:before="0"/>
        <w:ind w:left="0" w:right="818" w:firstLine="0"/>
        <w:jc w:val="right"/>
        <w:rPr>
          <w:sz w:val="24"/>
        </w:rPr>
      </w:pPr>
      <w:r>
        <w:rPr>
          <w:color w:val="0A0A0A"/>
          <w:w w:val="105"/>
          <w:sz w:val="24"/>
        </w:rPr>
        <w:t>—</w:t>
      </w:r>
      <w:r>
        <w:rPr>
          <w:rFonts w:ascii="Times New Roman" w:hAnsi="Times New Roman"/>
          <w:color w:val="0A0A0A"/>
          <w:w w:val="105"/>
          <w:sz w:val="19"/>
        </w:rPr>
        <w:t>5 </w:t>
      </w:r>
      <w:r>
        <w:rPr>
          <w:color w:val="0A0A0A"/>
          <w:w w:val="105"/>
          <w:sz w:val="24"/>
        </w:rPr>
        <w:t>—</w:t>
      </w:r>
    </w:p>
    <w:p>
      <w:pPr>
        <w:spacing w:after="0"/>
        <w:jc w:val="right"/>
        <w:rPr>
          <w:sz w:val="24"/>
        </w:rPr>
        <w:sectPr>
          <w:headerReference w:type="default" r:id="rId30"/>
          <w:footerReference w:type="default" r:id="rId31"/>
          <w:pgSz w:w="11910" w:h="16850"/>
          <w:pgMar w:header="0" w:footer="0" w:top="1520" w:bottom="280" w:left="680" w:right="540"/>
        </w:sectPr>
      </w:pPr>
    </w:p>
    <w:p>
      <w:pPr>
        <w:pStyle w:val="Heading3"/>
        <w:spacing w:before="28"/>
      </w:pPr>
      <w:r>
        <w:rPr>
          <w:color w:val="0A0A0A"/>
        </w:rPr>
        <w:t>（四）食宿及交通</w:t>
      </w:r>
    </w:p>
    <w:p>
      <w:pPr>
        <w:pStyle w:val="ListParagraph"/>
        <w:numPr>
          <w:ilvl w:val="0"/>
          <w:numId w:val="6"/>
        </w:numPr>
        <w:tabs>
          <w:tab w:pos="1785" w:val="left" w:leader="none"/>
        </w:tabs>
        <w:spacing w:line="240" w:lineRule="auto" w:before="181" w:after="0"/>
        <w:ind w:left="1784" w:right="0" w:hanging="401"/>
        <w:jc w:val="left"/>
        <w:rPr>
          <w:rFonts w:ascii="Times New Roman" w:eastAsia="Times New Roman"/>
          <w:color w:val="0A0A0A"/>
          <w:sz w:val="31"/>
        </w:rPr>
      </w:pPr>
      <w:r>
        <w:rPr>
          <w:color w:val="0A0A0A"/>
          <w:spacing w:val="-14"/>
          <w:sz w:val="32"/>
        </w:rPr>
        <w:t>会议提供 </w:t>
      </w:r>
      <w:r>
        <w:rPr>
          <w:rFonts w:ascii="Times New Roman" w:eastAsia="Times New Roman"/>
          <w:color w:val="0A0A0A"/>
          <w:sz w:val="31"/>
        </w:rPr>
        <w:t>11</w:t>
      </w:r>
      <w:r>
        <w:rPr>
          <w:rFonts w:ascii="Times New Roman" w:eastAsia="Times New Roman"/>
          <w:color w:val="0A0A0A"/>
          <w:spacing w:val="2"/>
          <w:sz w:val="31"/>
        </w:rPr>
        <w:t> </w:t>
      </w:r>
      <w:r>
        <w:rPr>
          <w:color w:val="0A0A0A"/>
          <w:spacing w:val="-40"/>
          <w:sz w:val="32"/>
        </w:rPr>
        <w:t>月 </w:t>
      </w:r>
      <w:r>
        <w:rPr>
          <w:rFonts w:ascii="Times New Roman" w:eastAsia="Times New Roman"/>
          <w:color w:val="0A0A0A"/>
          <w:sz w:val="31"/>
        </w:rPr>
        <w:t>2</w:t>
      </w:r>
      <w:r>
        <w:rPr>
          <w:rFonts w:ascii="Times New Roman" w:eastAsia="Times New Roman"/>
          <w:color w:val="0A0A0A"/>
          <w:spacing w:val="-7"/>
          <w:sz w:val="31"/>
        </w:rPr>
        <w:t> </w:t>
      </w:r>
      <w:r>
        <w:rPr>
          <w:color w:val="0A0A0A"/>
          <w:spacing w:val="-29"/>
          <w:sz w:val="32"/>
        </w:rPr>
        <w:t>日午 餐、晚 餐及 </w:t>
      </w:r>
      <w:r>
        <w:rPr>
          <w:rFonts w:ascii="Times New Roman" w:eastAsia="Times New Roman"/>
          <w:color w:val="0A0A0A"/>
          <w:sz w:val="31"/>
        </w:rPr>
        <w:t>11</w:t>
      </w:r>
      <w:r>
        <w:rPr>
          <w:rFonts w:ascii="Times New Roman" w:eastAsia="Times New Roman"/>
          <w:color w:val="0A0A0A"/>
          <w:spacing w:val="-4"/>
          <w:sz w:val="31"/>
        </w:rPr>
        <w:t> </w:t>
      </w:r>
      <w:r>
        <w:rPr>
          <w:color w:val="0A0A0A"/>
          <w:spacing w:val="-42"/>
          <w:sz w:val="32"/>
        </w:rPr>
        <w:t>月 </w:t>
      </w:r>
      <w:r>
        <w:rPr>
          <w:rFonts w:ascii="Times New Roman" w:eastAsia="Times New Roman"/>
          <w:color w:val="0A0A0A"/>
          <w:sz w:val="31"/>
        </w:rPr>
        <w:t>3</w:t>
      </w:r>
      <w:r>
        <w:rPr>
          <w:rFonts w:ascii="Times New Roman" w:eastAsia="Times New Roman"/>
          <w:color w:val="0A0A0A"/>
          <w:spacing w:val="23"/>
          <w:sz w:val="31"/>
        </w:rPr>
        <w:t> </w:t>
      </w:r>
      <w:r>
        <w:rPr>
          <w:color w:val="0A0A0A"/>
          <w:spacing w:val="-21"/>
          <w:sz w:val="32"/>
        </w:rPr>
        <w:t>日午 餐。</w:t>
      </w:r>
    </w:p>
    <w:p>
      <w:pPr>
        <w:pStyle w:val="Heading3"/>
        <w:numPr>
          <w:ilvl w:val="0"/>
          <w:numId w:val="6"/>
        </w:numPr>
        <w:tabs>
          <w:tab w:pos="1791" w:val="left" w:leader="none"/>
          <w:tab w:pos="5644" w:val="left" w:leader="none"/>
        </w:tabs>
        <w:spacing w:line="340" w:lineRule="auto" w:before="174" w:after="0"/>
        <w:ind w:left="739" w:right="1025" w:firstLine="636"/>
        <w:jc w:val="left"/>
        <w:rPr>
          <w:rFonts w:ascii="Arial" w:eastAsia="Arial"/>
          <w:color w:val="0A0A0A"/>
          <w:sz w:val="29"/>
        </w:rPr>
      </w:pPr>
      <w:r>
        <w:rPr>
          <w:color w:val="0A0A0A"/>
          <w:w w:val="90"/>
        </w:rPr>
        <w:t>全</w:t>
      </w:r>
      <w:r>
        <w:rPr>
          <w:color w:val="0A0A0A"/>
          <w:spacing w:val="8"/>
          <w:w w:val="90"/>
        </w:rPr>
        <w:t>国</w:t>
      </w:r>
      <w:r>
        <w:rPr>
          <w:color w:val="0A0A0A"/>
          <w:w w:val="90"/>
        </w:rPr>
        <w:t>医药经济信息网网员单</w:t>
        <w:tab/>
        <w:t>位代表，</w:t>
      </w:r>
      <w:r>
        <w:rPr>
          <w:color w:val="0A0A0A"/>
          <w:spacing w:val="43"/>
          <w:w w:val="90"/>
        </w:rPr>
        <w:t> </w:t>
      </w:r>
      <w:r>
        <w:rPr>
          <w:color w:val="0A0A0A"/>
          <w:w w:val="90"/>
        </w:rPr>
        <w:t>发票与所</w:t>
      </w:r>
      <w:r>
        <w:rPr>
          <w:color w:val="0A0A0A"/>
          <w:spacing w:val="63"/>
          <w:w w:val="90"/>
        </w:rPr>
        <w:t>在</w:t>
      </w:r>
      <w:r>
        <w:rPr>
          <w:color w:val="0A0A0A"/>
          <w:w w:val="90"/>
        </w:rPr>
        <w:t>医院一</w:t>
      </w:r>
      <w:r>
        <w:rPr>
          <w:color w:val="0A0A0A"/>
          <w:spacing w:val="-15"/>
          <w:w w:val="90"/>
        </w:rPr>
        <w:t>致</w:t>
      </w:r>
      <w:r>
        <w:rPr>
          <w:color w:val="0A0A0A"/>
        </w:rPr>
        <w:t>的免食宿费，交通费自理。</w:t>
      </w:r>
    </w:p>
    <w:p>
      <w:pPr>
        <w:pStyle w:val="ListParagraph"/>
        <w:numPr>
          <w:ilvl w:val="0"/>
          <w:numId w:val="4"/>
        </w:numPr>
        <w:tabs>
          <w:tab w:pos="1799" w:val="left" w:leader="none"/>
          <w:tab w:pos="1800" w:val="left" w:leader="none"/>
          <w:tab w:pos="5962" w:val="left" w:leader="none"/>
        </w:tabs>
        <w:spacing w:line="340" w:lineRule="auto" w:before="0" w:after="0"/>
        <w:ind w:left="748" w:right="841" w:firstLine="623"/>
        <w:jc w:val="left"/>
        <w:rPr>
          <w:rFonts w:ascii="Arial" w:eastAsia="Arial"/>
          <w:color w:val="0A0A0A"/>
          <w:sz w:val="30"/>
        </w:rPr>
      </w:pPr>
      <w:r>
        <w:rPr>
          <w:color w:val="0A0A0A"/>
          <w:w w:val="90"/>
          <w:sz w:val="32"/>
        </w:rPr>
        <w:t>非全国</w:t>
      </w:r>
      <w:r>
        <w:rPr>
          <w:color w:val="0A0A0A"/>
          <w:spacing w:val="-85"/>
          <w:w w:val="90"/>
          <w:sz w:val="32"/>
        </w:rPr>
        <w:t> </w:t>
      </w:r>
      <w:r>
        <w:rPr>
          <w:color w:val="0A0A0A"/>
          <w:w w:val="90"/>
          <w:sz w:val="32"/>
        </w:rPr>
        <w:t>医药经济信息网网员单</w:t>
        <w:tab/>
      </w:r>
      <w:r>
        <w:rPr>
          <w:color w:val="0A0A0A"/>
          <w:sz w:val="32"/>
        </w:rPr>
        <w:t>位</w:t>
      </w:r>
      <w:r>
        <w:rPr>
          <w:color w:val="0A0A0A"/>
          <w:spacing w:val="4"/>
          <w:sz w:val="32"/>
        </w:rPr>
        <w:t>的</w:t>
      </w:r>
      <w:r>
        <w:rPr>
          <w:color w:val="0A0A0A"/>
          <w:w w:val="95"/>
          <w:sz w:val="32"/>
        </w:rPr>
        <w:t>，</w:t>
      </w:r>
      <w:r>
        <w:rPr>
          <w:color w:val="0A0A0A"/>
          <w:spacing w:val="-108"/>
          <w:w w:val="95"/>
          <w:sz w:val="32"/>
        </w:rPr>
        <w:t> </w:t>
      </w:r>
      <w:r>
        <w:rPr>
          <w:color w:val="0A0A0A"/>
          <w:sz w:val="32"/>
        </w:rPr>
        <w:t>按参会代表注</w:t>
      </w:r>
      <w:r>
        <w:rPr>
          <w:color w:val="0A0A0A"/>
          <w:spacing w:val="-11"/>
          <w:sz w:val="32"/>
        </w:rPr>
        <w:t>册</w:t>
      </w:r>
      <w:r>
        <w:rPr>
          <w:color w:val="0A0A0A"/>
          <w:w w:val="95"/>
          <w:sz w:val="32"/>
        </w:rPr>
        <w:t>，</w:t>
      </w:r>
      <w:r>
        <w:rPr>
          <w:color w:val="0A0A0A"/>
          <w:spacing w:val="-104"/>
          <w:w w:val="95"/>
          <w:sz w:val="32"/>
        </w:rPr>
        <w:t> </w:t>
      </w:r>
      <w:r>
        <w:rPr>
          <w:color w:val="0A0A0A"/>
          <w:spacing w:val="-15"/>
          <w:sz w:val="32"/>
        </w:rPr>
        <w:t>住</w:t>
      </w:r>
      <w:r>
        <w:rPr>
          <w:color w:val="0A0A0A"/>
          <w:sz w:val="32"/>
        </w:rPr>
        <w:t>宿及交通费自理。</w:t>
      </w:r>
    </w:p>
    <w:p>
      <w:pPr>
        <w:pStyle w:val="ListParagraph"/>
        <w:numPr>
          <w:ilvl w:val="0"/>
          <w:numId w:val="4"/>
        </w:numPr>
        <w:tabs>
          <w:tab w:pos="1779" w:val="left" w:leader="none"/>
          <w:tab w:pos="1780" w:val="left" w:leader="none"/>
        </w:tabs>
        <w:spacing w:line="240" w:lineRule="auto" w:before="1" w:after="0"/>
        <w:ind w:left="1779" w:right="0" w:hanging="400"/>
        <w:jc w:val="left"/>
        <w:rPr>
          <w:rFonts w:ascii="Arial" w:eastAsia="Arial"/>
          <w:color w:val="0A0A0A"/>
          <w:sz w:val="30"/>
        </w:rPr>
      </w:pPr>
      <w:r>
        <w:rPr>
          <w:color w:val="0A0A0A"/>
          <w:sz w:val="32"/>
        </w:rPr>
        <w:t>各分网负贵人</w:t>
      </w:r>
      <w:r>
        <w:rPr>
          <w:color w:val="0A0A0A"/>
          <w:spacing w:val="-59"/>
          <w:sz w:val="32"/>
        </w:rPr>
        <w:t>（</w:t>
      </w:r>
      <w:r>
        <w:rPr>
          <w:color w:val="0A0A0A"/>
          <w:spacing w:val="-44"/>
          <w:sz w:val="32"/>
        </w:rPr>
        <w:t>限 </w:t>
      </w:r>
      <w:r>
        <w:rPr>
          <w:rFonts w:ascii="Arial" w:eastAsia="Arial"/>
          <w:color w:val="0A0A0A"/>
          <w:sz w:val="30"/>
        </w:rPr>
        <w:t>1</w:t>
      </w:r>
      <w:r>
        <w:rPr>
          <w:rFonts w:ascii="Arial" w:eastAsia="Arial"/>
          <w:color w:val="0A0A0A"/>
          <w:spacing w:val="-30"/>
          <w:sz w:val="30"/>
        </w:rPr>
        <w:t> </w:t>
      </w:r>
      <w:r>
        <w:rPr>
          <w:color w:val="0A0A0A"/>
          <w:spacing w:val="75"/>
          <w:sz w:val="32"/>
        </w:rPr>
        <w:t>名</w:t>
      </w:r>
      <w:r>
        <w:rPr>
          <w:color w:val="0A0A0A"/>
          <w:sz w:val="32"/>
        </w:rPr>
        <w:t>）</w:t>
      </w:r>
      <w:r>
        <w:rPr>
          <w:color w:val="0A0A0A"/>
          <w:spacing w:val="5"/>
          <w:sz w:val="32"/>
        </w:rPr>
        <w:t>免注册费及食宿费</w:t>
      </w:r>
      <w:r>
        <w:rPr>
          <w:color w:val="0A0A0A"/>
          <w:spacing w:val="-27"/>
          <w:w w:val="95"/>
          <w:sz w:val="32"/>
        </w:rPr>
        <w:t>， </w:t>
      </w:r>
      <w:r>
        <w:rPr>
          <w:color w:val="0A0A0A"/>
          <w:sz w:val="32"/>
        </w:rPr>
        <w:t>交通自理。</w:t>
      </w:r>
    </w:p>
    <w:p>
      <w:pPr>
        <w:pStyle w:val="ListParagraph"/>
        <w:numPr>
          <w:ilvl w:val="0"/>
          <w:numId w:val="4"/>
        </w:numPr>
        <w:tabs>
          <w:tab w:pos="1785" w:val="left" w:leader="none"/>
          <w:tab w:pos="1786" w:val="left" w:leader="none"/>
          <w:tab w:pos="8439" w:val="left" w:leader="none"/>
        </w:tabs>
        <w:spacing w:line="345" w:lineRule="auto" w:before="160" w:after="0"/>
        <w:ind w:left="751" w:right="855" w:firstLine="625"/>
        <w:jc w:val="left"/>
        <w:rPr>
          <w:rFonts w:ascii="Times New Roman" w:eastAsia="Times New Roman"/>
          <w:color w:val="0A0A0A"/>
          <w:sz w:val="31"/>
        </w:rPr>
      </w:pPr>
      <w:r>
        <w:rPr>
          <w:color w:val="0A0A0A"/>
          <w:w w:val="90"/>
          <w:sz w:val="32"/>
        </w:rPr>
        <w:t>获得</w:t>
      </w:r>
      <w:r>
        <w:rPr>
          <w:color w:val="0A0A0A"/>
          <w:spacing w:val="-75"/>
          <w:w w:val="90"/>
          <w:sz w:val="32"/>
        </w:rPr>
        <w:t> </w:t>
      </w:r>
      <w:r>
        <w:rPr>
          <w:rFonts w:ascii="Times New Roman" w:eastAsia="Times New Roman"/>
          <w:color w:val="0A0A0A"/>
          <w:w w:val="90"/>
          <w:sz w:val="31"/>
        </w:rPr>
        <w:t>2019</w:t>
      </w:r>
      <w:r>
        <w:rPr>
          <w:rFonts w:ascii="Times New Roman" w:eastAsia="Times New Roman"/>
          <w:color w:val="0A0A0A"/>
          <w:spacing w:val="52"/>
          <w:w w:val="90"/>
          <w:sz w:val="31"/>
        </w:rPr>
        <w:t> </w:t>
      </w:r>
      <w:r>
        <w:rPr>
          <w:color w:val="0A0A0A"/>
          <w:w w:val="90"/>
          <w:sz w:val="32"/>
        </w:rPr>
        <w:t>年中</w:t>
      </w:r>
      <w:r>
        <w:rPr>
          <w:color w:val="0A0A0A"/>
          <w:spacing w:val="55"/>
          <w:w w:val="90"/>
          <w:sz w:val="32"/>
        </w:rPr>
        <w:t>国</w:t>
      </w:r>
      <w:r>
        <w:rPr>
          <w:color w:val="0A0A0A"/>
          <w:w w:val="90"/>
          <w:sz w:val="32"/>
        </w:rPr>
        <w:t>药学会优秀药师的代表注册费</w:t>
        <w:tab/>
      </w:r>
      <w:r>
        <w:rPr>
          <w:rFonts w:ascii="Times New Roman" w:eastAsia="Times New Roman"/>
          <w:color w:val="0A0A0A"/>
          <w:w w:val="95"/>
          <w:sz w:val="31"/>
        </w:rPr>
        <w:t>800</w:t>
      </w:r>
      <w:r>
        <w:rPr>
          <w:rFonts w:ascii="Times New Roman" w:eastAsia="Times New Roman"/>
          <w:color w:val="0A0A0A"/>
          <w:spacing w:val="-26"/>
          <w:w w:val="95"/>
          <w:sz w:val="31"/>
        </w:rPr>
        <w:t> </w:t>
      </w:r>
      <w:r>
        <w:rPr>
          <w:color w:val="0A0A0A"/>
          <w:spacing w:val="11"/>
          <w:w w:val="95"/>
          <w:sz w:val="32"/>
        </w:rPr>
        <w:t>元</w:t>
      </w:r>
      <w:r>
        <w:rPr>
          <w:color w:val="0A0A0A"/>
          <w:spacing w:val="-17"/>
          <w:w w:val="95"/>
          <w:sz w:val="32"/>
        </w:rPr>
        <w:t>，</w:t>
      </w:r>
      <w:r>
        <w:rPr>
          <w:color w:val="0A0A0A"/>
          <w:spacing w:val="-16"/>
          <w:w w:val="95"/>
          <w:sz w:val="32"/>
        </w:rPr>
        <w:t>免</w:t>
      </w:r>
      <w:r>
        <w:rPr>
          <w:color w:val="0A0A0A"/>
          <w:sz w:val="32"/>
        </w:rPr>
        <w:t>食宿费，交通自理。</w:t>
      </w:r>
    </w:p>
    <w:p>
      <w:pPr>
        <w:pStyle w:val="Heading3"/>
        <w:numPr>
          <w:ilvl w:val="0"/>
          <w:numId w:val="7"/>
        </w:numPr>
        <w:tabs>
          <w:tab w:pos="1788" w:val="left" w:leader="none"/>
        </w:tabs>
        <w:spacing w:line="338" w:lineRule="auto" w:before="0" w:after="0"/>
        <w:ind w:left="735" w:right="869" w:firstLine="642"/>
        <w:jc w:val="left"/>
      </w:pPr>
      <w:r>
        <w:rPr>
          <w:color w:val="0A0A0A"/>
          <w:spacing w:val="-20"/>
        </w:rPr>
        <w:t>参加 </w:t>
      </w:r>
      <w:r>
        <w:rPr>
          <w:rFonts w:ascii="Times New Roman" w:eastAsia="Times New Roman"/>
          <w:color w:val="0A0A0A"/>
          <w:sz w:val="31"/>
        </w:rPr>
        <w:t>2019</w:t>
      </w:r>
      <w:r>
        <w:rPr>
          <w:rFonts w:ascii="Times New Roman" w:eastAsia="Times New Roman"/>
          <w:color w:val="0A0A0A"/>
          <w:spacing w:val="9"/>
          <w:sz w:val="31"/>
        </w:rPr>
        <w:t> </w:t>
      </w:r>
      <w:r>
        <w:rPr>
          <w:color w:val="0A0A0A"/>
        </w:rPr>
        <w:t>年度各省药学服务经典案例征集的全部代表与导师，按全国医药经济信息冈网员单位代表的标准注册（以各地方药学会所属分网提供名单为准）。</w:t>
      </w:r>
    </w:p>
    <w:p>
      <w:pPr>
        <w:pStyle w:val="ListParagraph"/>
        <w:numPr>
          <w:ilvl w:val="0"/>
          <w:numId w:val="7"/>
        </w:numPr>
        <w:tabs>
          <w:tab w:pos="1786" w:val="left" w:leader="none"/>
        </w:tabs>
        <w:spacing w:line="340" w:lineRule="auto" w:before="0" w:after="0"/>
        <w:ind w:left="729" w:right="852" w:firstLine="650"/>
        <w:jc w:val="both"/>
        <w:rPr>
          <w:sz w:val="32"/>
        </w:rPr>
      </w:pPr>
      <w:r>
        <w:rPr>
          <w:color w:val="0A0A0A"/>
          <w:spacing w:val="-44"/>
          <w:sz w:val="32"/>
        </w:rPr>
        <w:t>获得 </w:t>
      </w:r>
      <w:r>
        <w:rPr>
          <w:rFonts w:ascii="Times New Roman" w:eastAsia="Times New Roman"/>
          <w:color w:val="0A0A0A"/>
          <w:sz w:val="31"/>
        </w:rPr>
        <w:t>2019</w:t>
      </w:r>
      <w:r>
        <w:rPr>
          <w:rFonts w:ascii="Times New Roman" w:eastAsia="Times New Roman"/>
          <w:color w:val="0A0A0A"/>
          <w:spacing w:val="-24"/>
          <w:sz w:val="31"/>
        </w:rPr>
        <w:t> </w:t>
      </w:r>
      <w:r>
        <w:rPr>
          <w:color w:val="0A0A0A"/>
          <w:spacing w:val="-12"/>
          <w:sz w:val="32"/>
        </w:rPr>
        <w:t>年度各省推荐的 </w:t>
      </w:r>
      <w:r>
        <w:rPr>
          <w:rFonts w:ascii="Times New Roman" w:eastAsia="Times New Roman"/>
          <w:color w:val="0A0A0A"/>
          <w:sz w:val="31"/>
        </w:rPr>
        <w:t>3</w:t>
      </w:r>
      <w:r>
        <w:rPr>
          <w:rFonts w:ascii="Times New Roman" w:eastAsia="Times New Roman"/>
          <w:color w:val="0A0A0A"/>
          <w:spacing w:val="-37"/>
          <w:sz w:val="31"/>
        </w:rPr>
        <w:t> </w:t>
      </w:r>
      <w:r>
        <w:rPr>
          <w:color w:val="0A0A0A"/>
          <w:spacing w:val="2"/>
          <w:sz w:val="32"/>
        </w:rPr>
        <w:t>个经典案例的代表与导师，将</w:t>
      </w:r>
      <w:r>
        <w:rPr>
          <w:color w:val="0A0A0A"/>
          <w:sz w:val="32"/>
        </w:rPr>
        <w:t>获得大会特别邀请，免注册费，交通及食宿由会务组承担（以各地方药学会所属分网提供名单为准）。</w:t>
      </w:r>
    </w:p>
    <w:p>
      <w:pPr>
        <w:pStyle w:val="ListParagraph"/>
        <w:numPr>
          <w:ilvl w:val="0"/>
          <w:numId w:val="7"/>
        </w:numPr>
        <w:tabs>
          <w:tab w:pos="1732" w:val="left" w:leader="none"/>
        </w:tabs>
        <w:spacing w:line="340" w:lineRule="auto" w:before="0" w:after="0"/>
        <w:ind w:left="744" w:right="819" w:firstLine="635"/>
        <w:jc w:val="left"/>
        <w:rPr>
          <w:sz w:val="32"/>
        </w:rPr>
      </w:pPr>
      <w:r>
        <w:rPr>
          <w:rFonts w:ascii="Times New Roman" w:hAnsi="Times New Roman" w:eastAsia="Times New Roman"/>
          <w:color w:val="0A0A0A"/>
          <w:sz w:val="31"/>
        </w:rPr>
        <w:t>2019</w:t>
      </w:r>
      <w:r>
        <w:rPr>
          <w:rFonts w:ascii="Times New Roman" w:hAnsi="Times New Roman" w:eastAsia="Times New Roman"/>
          <w:color w:val="0A0A0A"/>
          <w:spacing w:val="-59"/>
          <w:sz w:val="31"/>
        </w:rPr>
        <w:t> </w:t>
      </w:r>
      <w:r>
        <w:rPr>
          <w:color w:val="0A0A0A"/>
          <w:sz w:val="32"/>
        </w:rPr>
        <w:t>年度药学科普作品征集活动获奖代表、科技传播创新</w:t>
      </w:r>
      <w:r>
        <w:rPr>
          <w:color w:val="0A0A0A"/>
          <w:spacing w:val="-1"/>
          <w:w w:val="95"/>
          <w:sz w:val="32"/>
        </w:rPr>
        <w:t>工程优秀课题代表、科普进校因活动学生代表、“药师您好“科普 </w:t>
      </w:r>
      <w:r>
        <w:rPr>
          <w:color w:val="0A0A0A"/>
          <w:w w:val="95"/>
          <w:sz w:val="32"/>
        </w:rPr>
        <w:t>文艺作品展演活动代表等，作为科普特邀代表免注册费及食宿费， </w:t>
      </w:r>
      <w:r>
        <w:rPr>
          <w:color w:val="0A0A0A"/>
          <w:sz w:val="32"/>
        </w:rPr>
        <w:t>交通自理。</w:t>
      </w:r>
    </w:p>
    <w:p>
      <w:pPr>
        <w:pStyle w:val="Heading5"/>
        <w:rPr>
          <w:rFonts w:ascii="宋体" w:eastAsia="宋体" w:hint="eastAsia"/>
        </w:rPr>
      </w:pPr>
      <w:r>
        <w:rPr>
          <w:rFonts w:ascii="宋体" w:eastAsia="宋体" w:hint="eastAsia"/>
          <w:color w:val="0A0A0A"/>
          <w:w w:val="105"/>
        </w:rPr>
        <w:t>六、报名方式</w:t>
      </w:r>
    </w:p>
    <w:p>
      <w:pPr>
        <w:spacing w:before="203"/>
        <w:ind w:left="1505" w:right="0" w:firstLine="0"/>
        <w:jc w:val="left"/>
        <w:rPr>
          <w:sz w:val="29"/>
        </w:rPr>
      </w:pPr>
      <w:r>
        <w:rPr>
          <w:color w:val="0A0A0A"/>
          <w:sz w:val="29"/>
        </w:rPr>
        <w:t>（一）微信报名</w:t>
      </w:r>
    </w:p>
    <w:p>
      <w:pPr>
        <w:spacing w:line="352" w:lineRule="auto" w:before="204"/>
        <w:ind w:left="734" w:right="830" w:firstLine="659"/>
        <w:jc w:val="both"/>
        <w:rPr>
          <w:sz w:val="32"/>
        </w:rPr>
      </w:pPr>
      <w:r>
        <w:rPr>
          <w:color w:val="0A0A0A"/>
          <w:sz w:val="32"/>
        </w:rPr>
        <w:t>手机报名，微信扫描二维码，进入会议系统登录页面。未注</w:t>
      </w:r>
      <w:r>
        <w:rPr>
          <w:color w:val="0A0A0A"/>
          <w:spacing w:val="-1"/>
          <w:w w:val="95"/>
          <w:sz w:val="32"/>
        </w:rPr>
        <w:t>册代表在登录页面下方选择“点击马上注册＂，注册会议系统账号 </w:t>
      </w:r>
      <w:r>
        <w:rPr>
          <w:color w:val="0A0A0A"/>
          <w:sz w:val="32"/>
        </w:rPr>
        <w:t>后，登录系统进行报名并缴费；巳注册代表填写登录信息后，在</w:t>
      </w:r>
    </w:p>
    <w:p>
      <w:pPr>
        <w:spacing w:before="269"/>
        <w:ind w:left="713" w:right="0" w:firstLine="0"/>
        <w:jc w:val="left"/>
        <w:rPr>
          <w:sz w:val="24"/>
        </w:rPr>
      </w:pPr>
      <w:r>
        <w:rPr>
          <w:color w:val="0A0A0A"/>
          <w:w w:val="110"/>
          <w:sz w:val="24"/>
        </w:rPr>
        <w:t>—</w:t>
      </w:r>
      <w:r>
        <w:rPr>
          <w:rFonts w:ascii="Arial" w:hAnsi="Arial"/>
          <w:color w:val="0A0A0A"/>
          <w:w w:val="110"/>
          <w:sz w:val="18"/>
        </w:rPr>
        <w:t>6 </w:t>
      </w:r>
      <w:r>
        <w:rPr>
          <w:color w:val="0A0A0A"/>
          <w:w w:val="110"/>
          <w:sz w:val="24"/>
        </w:rPr>
        <w:t>—</w:t>
      </w:r>
    </w:p>
    <w:p>
      <w:pPr>
        <w:spacing w:after="0"/>
        <w:jc w:val="left"/>
        <w:rPr>
          <w:sz w:val="24"/>
        </w:rPr>
        <w:sectPr>
          <w:headerReference w:type="default" r:id="rId33"/>
          <w:footerReference w:type="default" r:id="rId34"/>
          <w:pgSz w:w="11910" w:h="16850"/>
          <w:pgMar w:header="0" w:footer="0" w:top="1520" w:bottom="280" w:left="680" w:right="540"/>
        </w:sectPr>
      </w:pPr>
    </w:p>
    <w:p>
      <w:pPr>
        <w:spacing w:before="45"/>
        <w:ind w:left="0" w:right="900" w:firstLine="0"/>
        <w:jc w:val="right"/>
        <w:rPr>
          <w:sz w:val="31"/>
        </w:rPr>
      </w:pPr>
      <w:r>
        <w:rPr>
          <w:color w:val="070707"/>
          <w:w w:val="95"/>
          <w:sz w:val="31"/>
        </w:rPr>
        <w:t>首页点击 </w:t>
      </w:r>
      <w:r>
        <w:rPr>
          <w:rFonts w:ascii="Times New Roman" w:hAnsi="Times New Roman" w:eastAsia="Times New Roman"/>
          <w:color w:val="070707"/>
          <w:w w:val="95"/>
          <w:sz w:val="30"/>
        </w:rPr>
        <w:t>“2019 </w:t>
      </w:r>
      <w:r>
        <w:rPr>
          <w:color w:val="070707"/>
          <w:w w:val="95"/>
          <w:sz w:val="31"/>
        </w:rPr>
        <w:t>年全国医药经济信 息网工作会议“图片进行 报名。</w:t>
      </w:r>
    </w:p>
    <w:p>
      <w:pPr>
        <w:pStyle w:val="BodyText"/>
        <w:spacing w:before="6"/>
        <w:ind w:left="0"/>
        <w:rPr>
          <w:sz w:val="22"/>
        </w:rPr>
      </w:pPr>
      <w:r>
        <w:rPr/>
        <w:drawing>
          <wp:anchor distT="0" distB="0" distL="0" distR="0" allowOverlap="1" layoutInCell="1" locked="0" behindDoc="0" simplePos="0" relativeHeight="7">
            <wp:simplePos x="0" y="0"/>
            <wp:positionH relativeFrom="page">
              <wp:posOffset>2897941</wp:posOffset>
            </wp:positionH>
            <wp:positionV relativeFrom="paragraph">
              <wp:posOffset>207622</wp:posOffset>
            </wp:positionV>
            <wp:extent cx="1439405" cy="1432559"/>
            <wp:effectExtent l="0" t="0" r="0" b="0"/>
            <wp:wrapTopAndBottom/>
            <wp:docPr id="5" name="image5.jpeg"/>
            <wp:cNvGraphicFramePr>
              <a:graphicFrameLocks noChangeAspect="1"/>
            </wp:cNvGraphicFramePr>
            <a:graphic>
              <a:graphicData uri="http://schemas.openxmlformats.org/drawingml/2006/picture">
                <pic:pic>
                  <pic:nvPicPr>
                    <pic:cNvPr id="6" name="image5.jpeg"/>
                    <pic:cNvPicPr/>
                  </pic:nvPicPr>
                  <pic:blipFill>
                    <a:blip r:embed="rId37" cstate="print"/>
                    <a:stretch>
                      <a:fillRect/>
                    </a:stretch>
                  </pic:blipFill>
                  <pic:spPr>
                    <a:xfrm>
                      <a:off x="0" y="0"/>
                      <a:ext cx="1439405" cy="1432559"/>
                    </a:xfrm>
                    <a:prstGeom prst="rect">
                      <a:avLst/>
                    </a:prstGeom>
                  </pic:spPr>
                </pic:pic>
              </a:graphicData>
            </a:graphic>
          </wp:anchor>
        </w:drawing>
      </w:r>
    </w:p>
    <w:p>
      <w:pPr>
        <w:pStyle w:val="BodyText"/>
        <w:spacing w:before="4"/>
        <w:ind w:left="0"/>
        <w:rPr>
          <w:sz w:val="33"/>
        </w:rPr>
      </w:pPr>
    </w:p>
    <w:p>
      <w:pPr>
        <w:spacing w:before="0"/>
        <w:ind w:left="1513" w:right="0" w:firstLine="0"/>
        <w:jc w:val="left"/>
        <w:rPr>
          <w:sz w:val="29"/>
        </w:rPr>
      </w:pPr>
      <w:r>
        <w:rPr>
          <w:color w:val="070707"/>
          <w:sz w:val="29"/>
        </w:rPr>
        <w:t>（二）网站报名</w:t>
      </w:r>
    </w:p>
    <w:p>
      <w:pPr>
        <w:spacing w:line="374" w:lineRule="auto" w:before="244"/>
        <w:ind w:left="732" w:right="845" w:firstLine="648"/>
        <w:jc w:val="both"/>
        <w:rPr>
          <w:sz w:val="31"/>
        </w:rPr>
      </w:pPr>
      <w:r>
        <w:rPr>
          <w:color w:val="070707"/>
          <w:sz w:val="31"/>
        </w:rPr>
        <w:t>登录会议报名网址 </w:t>
      </w:r>
      <w:hyperlink r:id="rId38">
        <w:r>
          <w:rPr>
            <w:rFonts w:ascii="Times New Roman" w:hAnsi="Times New Roman" w:eastAsia="Times New Roman"/>
            <w:color w:val="070707"/>
            <w:sz w:val="30"/>
          </w:rPr>
          <w:t>http://hy.cmei.org.cn</w:t>
        </w:r>
      </w:hyperlink>
      <w:r>
        <w:rPr>
          <w:rFonts w:ascii="Times New Roman" w:hAnsi="Times New Roman" w:eastAsia="Times New Roman"/>
          <w:color w:val="070707"/>
          <w:sz w:val="30"/>
        </w:rPr>
        <w:t> , </w:t>
      </w:r>
      <w:r>
        <w:rPr>
          <w:color w:val="070707"/>
          <w:sz w:val="31"/>
        </w:rPr>
        <w:t>在首页点击 </w:t>
      </w:r>
      <w:r>
        <w:rPr>
          <w:rFonts w:ascii="Times New Roman" w:hAnsi="Times New Roman" w:eastAsia="Times New Roman"/>
          <w:color w:val="070707"/>
          <w:sz w:val="30"/>
        </w:rPr>
        <w:t>“2019  </w:t>
      </w:r>
      <w:r>
        <w:rPr>
          <w:color w:val="070707"/>
          <w:sz w:val="31"/>
        </w:rPr>
        <w:t>年全国医药经济信息网工作会议”图片进行报名。未注册代表选择首</w:t>
      </w:r>
      <w:r>
        <w:rPr>
          <w:color w:val="070707"/>
          <w:w w:val="95"/>
          <w:sz w:val="31"/>
        </w:rPr>
        <w:t>页右上角“登录／注册“，注册系统账号后，登录系统进行报名。</w:t>
      </w:r>
    </w:p>
    <w:p>
      <w:pPr>
        <w:spacing w:before="28"/>
        <w:ind w:left="1513" w:right="0" w:firstLine="0"/>
        <w:jc w:val="left"/>
        <w:rPr>
          <w:sz w:val="29"/>
        </w:rPr>
      </w:pPr>
      <w:r>
        <w:rPr>
          <w:color w:val="070707"/>
          <w:sz w:val="29"/>
        </w:rPr>
        <w:t>（三）注意事项</w:t>
      </w:r>
    </w:p>
    <w:p>
      <w:pPr>
        <w:pStyle w:val="ListParagraph"/>
        <w:numPr>
          <w:ilvl w:val="0"/>
          <w:numId w:val="8"/>
        </w:numPr>
        <w:tabs>
          <w:tab w:pos="1789" w:val="left" w:leader="none"/>
          <w:tab w:pos="5989" w:val="left" w:leader="none"/>
        </w:tabs>
        <w:spacing w:line="372" w:lineRule="auto" w:before="234" w:after="0"/>
        <w:ind w:left="758" w:right="861" w:firstLine="628"/>
        <w:jc w:val="left"/>
        <w:rPr>
          <w:rFonts w:ascii="Times New Roman" w:eastAsia="Times New Roman"/>
          <w:color w:val="070707"/>
          <w:sz w:val="28"/>
        </w:rPr>
      </w:pPr>
      <w:r>
        <w:rPr>
          <w:color w:val="070707"/>
          <w:w w:val="95"/>
          <w:sz w:val="31"/>
        </w:rPr>
        <w:t>线上报名</w:t>
      </w:r>
      <w:r>
        <w:rPr>
          <w:color w:val="070707"/>
          <w:spacing w:val="-56"/>
          <w:w w:val="95"/>
          <w:sz w:val="31"/>
        </w:rPr>
        <w:t> </w:t>
      </w:r>
      <w:r>
        <w:rPr>
          <w:color w:val="070707"/>
          <w:w w:val="95"/>
          <w:sz w:val="31"/>
        </w:rPr>
        <w:t>系统巳开通线上缴费</w:t>
        <w:tab/>
      </w:r>
      <w:r>
        <w:rPr>
          <w:color w:val="070707"/>
          <w:sz w:val="31"/>
        </w:rPr>
        <w:t>通</w:t>
      </w:r>
      <w:r>
        <w:rPr>
          <w:color w:val="070707"/>
          <w:spacing w:val="23"/>
          <w:sz w:val="31"/>
        </w:rPr>
        <w:t>道</w:t>
      </w:r>
      <w:r>
        <w:rPr>
          <w:color w:val="070707"/>
          <w:w w:val="95"/>
          <w:sz w:val="31"/>
        </w:rPr>
        <w:t>，</w:t>
      </w:r>
      <w:r>
        <w:rPr>
          <w:color w:val="070707"/>
          <w:spacing w:val="-104"/>
          <w:w w:val="95"/>
          <w:sz w:val="31"/>
        </w:rPr>
        <w:t> </w:t>
      </w:r>
      <w:r>
        <w:rPr>
          <w:color w:val="070707"/>
          <w:sz w:val="31"/>
        </w:rPr>
        <w:t>代</w:t>
      </w:r>
      <w:r>
        <w:rPr>
          <w:color w:val="070707"/>
          <w:spacing w:val="41"/>
          <w:sz w:val="31"/>
        </w:rPr>
        <w:t>表</w:t>
      </w:r>
      <w:r>
        <w:rPr>
          <w:color w:val="070707"/>
          <w:sz w:val="31"/>
        </w:rPr>
        <w:t>通过微信或</w:t>
      </w:r>
      <w:r>
        <w:rPr>
          <w:color w:val="070707"/>
          <w:spacing w:val="-121"/>
          <w:sz w:val="31"/>
        </w:rPr>
        <w:t> </w:t>
      </w:r>
      <w:r>
        <w:rPr>
          <w:color w:val="070707"/>
          <w:sz w:val="31"/>
        </w:rPr>
        <w:t>支</w:t>
      </w:r>
      <w:r>
        <w:rPr>
          <w:color w:val="070707"/>
          <w:spacing w:val="-16"/>
          <w:sz w:val="31"/>
        </w:rPr>
        <w:t>付</w:t>
      </w:r>
      <w:r>
        <w:rPr>
          <w:color w:val="070707"/>
          <w:sz w:val="31"/>
        </w:rPr>
        <w:t>宝方式在线支付后，完成报名。</w:t>
      </w:r>
    </w:p>
    <w:p>
      <w:pPr>
        <w:pStyle w:val="ListParagraph"/>
        <w:numPr>
          <w:ilvl w:val="0"/>
          <w:numId w:val="8"/>
        </w:numPr>
        <w:tabs>
          <w:tab w:pos="1784" w:val="left" w:leader="none"/>
        </w:tabs>
        <w:spacing w:line="372" w:lineRule="auto" w:before="20" w:after="0"/>
        <w:ind w:left="737" w:right="853" w:firstLine="644"/>
        <w:jc w:val="left"/>
        <w:rPr>
          <w:rFonts w:ascii="Arial" w:eastAsia="Arial"/>
          <w:color w:val="070707"/>
          <w:sz w:val="28"/>
        </w:rPr>
      </w:pPr>
      <w:r>
        <w:rPr>
          <w:color w:val="070707"/>
          <w:spacing w:val="-14"/>
          <w:sz w:val="31"/>
        </w:rPr>
        <w:t>在会议网站报名 或手机端 巳报名的代 表不需再提交本通知</w:t>
      </w:r>
      <w:r>
        <w:rPr>
          <w:color w:val="070707"/>
          <w:sz w:val="31"/>
        </w:rPr>
        <w:t>附件中的报名表。</w:t>
      </w:r>
    </w:p>
    <w:p>
      <w:pPr>
        <w:pStyle w:val="ListParagraph"/>
        <w:numPr>
          <w:ilvl w:val="0"/>
          <w:numId w:val="8"/>
        </w:numPr>
        <w:tabs>
          <w:tab w:pos="1788" w:val="left" w:leader="none"/>
          <w:tab w:pos="2704" w:val="left" w:leader="none"/>
        </w:tabs>
        <w:spacing w:line="376" w:lineRule="auto" w:before="0" w:after="0"/>
        <w:ind w:left="731" w:right="795" w:firstLine="646"/>
        <w:jc w:val="left"/>
        <w:rPr>
          <w:rFonts w:ascii="Arial" w:eastAsia="Arial"/>
          <w:color w:val="070707"/>
          <w:sz w:val="28"/>
        </w:rPr>
      </w:pPr>
      <w:r>
        <w:rPr>
          <w:color w:val="070707"/>
          <w:sz w:val="31"/>
        </w:rPr>
        <w:t>如在</w:t>
      </w:r>
      <w:r>
        <w:rPr>
          <w:color w:val="070707"/>
          <w:spacing w:val="47"/>
          <w:sz w:val="31"/>
        </w:rPr>
        <w:t>线</w:t>
      </w:r>
      <w:r>
        <w:rPr>
          <w:color w:val="070707"/>
          <w:sz w:val="31"/>
        </w:rPr>
        <w:t>报名确有困难的代表</w:t>
      </w:r>
      <w:r>
        <w:rPr>
          <w:color w:val="070707"/>
          <w:spacing w:val="-85"/>
          <w:sz w:val="31"/>
        </w:rPr>
        <w:t> </w:t>
      </w:r>
      <w:r>
        <w:rPr>
          <w:color w:val="070707"/>
          <w:sz w:val="31"/>
        </w:rPr>
        <w:t>，</w:t>
      </w:r>
      <w:r>
        <w:rPr>
          <w:color w:val="070707"/>
          <w:spacing w:val="-96"/>
          <w:sz w:val="31"/>
        </w:rPr>
        <w:t> </w:t>
      </w:r>
      <w:r>
        <w:rPr>
          <w:color w:val="070707"/>
          <w:sz w:val="31"/>
        </w:rPr>
        <w:t>可线下</w:t>
      </w:r>
      <w:r>
        <w:rPr>
          <w:color w:val="070707"/>
          <w:spacing w:val="-99"/>
          <w:sz w:val="31"/>
        </w:rPr>
        <w:t> </w:t>
      </w:r>
      <w:r>
        <w:rPr>
          <w:color w:val="070707"/>
          <w:sz w:val="31"/>
        </w:rPr>
        <w:t>汇款</w:t>
      </w:r>
      <w:r>
        <w:rPr>
          <w:color w:val="070707"/>
          <w:spacing w:val="41"/>
          <w:sz w:val="31"/>
        </w:rPr>
        <w:t>并</w:t>
      </w:r>
      <w:r>
        <w:rPr>
          <w:color w:val="070707"/>
          <w:sz w:val="31"/>
        </w:rPr>
        <w:t>将</w:t>
      </w:r>
      <w:r>
        <w:rPr>
          <w:color w:val="070707"/>
          <w:spacing w:val="-25"/>
          <w:sz w:val="31"/>
        </w:rPr>
        <w:t>《</w:t>
      </w:r>
      <w:r>
        <w:rPr>
          <w:rFonts w:ascii="Times New Roman" w:eastAsia="Times New Roman"/>
          <w:color w:val="070707"/>
          <w:sz w:val="30"/>
        </w:rPr>
        <w:t>2019</w:t>
      </w:r>
      <w:r>
        <w:rPr>
          <w:rFonts w:ascii="Times New Roman" w:eastAsia="Times New Roman"/>
          <w:color w:val="070707"/>
          <w:spacing w:val="3"/>
          <w:sz w:val="30"/>
        </w:rPr>
        <w:t> </w:t>
      </w:r>
      <w:r>
        <w:rPr>
          <w:color w:val="070707"/>
          <w:sz w:val="31"/>
        </w:rPr>
        <w:t>年全</w:t>
      </w:r>
      <w:r>
        <w:rPr>
          <w:color w:val="070707"/>
          <w:spacing w:val="29"/>
          <w:w w:val="95"/>
          <w:sz w:val="31"/>
        </w:rPr>
        <w:t>国</w:t>
      </w:r>
      <w:r>
        <w:rPr>
          <w:color w:val="070707"/>
          <w:w w:val="95"/>
          <w:sz w:val="31"/>
        </w:rPr>
        <w:t>医药经济信</w:t>
        <w:tab/>
      </w:r>
      <w:r>
        <w:rPr>
          <w:color w:val="070707"/>
          <w:sz w:val="31"/>
        </w:rPr>
        <w:t>息网工作会议</w:t>
      </w:r>
      <w:r>
        <w:rPr>
          <w:color w:val="070707"/>
          <w:spacing w:val="-13"/>
          <w:sz w:val="31"/>
        </w:rPr>
        <w:t> </w:t>
      </w:r>
      <w:r>
        <w:rPr>
          <w:color w:val="070707"/>
          <w:sz w:val="31"/>
        </w:rPr>
        <w:t>报名表》</w:t>
      </w:r>
      <w:r>
        <w:rPr>
          <w:color w:val="070707"/>
          <w:spacing w:val="-140"/>
          <w:sz w:val="31"/>
        </w:rPr>
        <w:t>（</w:t>
      </w:r>
      <w:r>
        <w:rPr>
          <w:color w:val="070707"/>
          <w:sz w:val="31"/>
        </w:rPr>
        <w:t>附件</w:t>
      </w:r>
      <w:r>
        <w:rPr>
          <w:color w:val="070707"/>
          <w:spacing w:val="44"/>
          <w:sz w:val="31"/>
        </w:rPr>
        <w:t> </w:t>
      </w:r>
      <w:r>
        <w:rPr>
          <w:rFonts w:ascii="Times New Roman" w:eastAsia="Times New Roman"/>
          <w:color w:val="070707"/>
          <w:sz w:val="28"/>
        </w:rPr>
        <w:t>l</w:t>
      </w:r>
      <w:r>
        <w:rPr>
          <w:rFonts w:ascii="Times New Roman" w:eastAsia="Times New Roman"/>
          <w:color w:val="070707"/>
          <w:spacing w:val="67"/>
          <w:sz w:val="28"/>
        </w:rPr>
        <w:t> </w:t>
      </w:r>
      <w:r>
        <w:rPr>
          <w:rFonts w:ascii="Times New Roman" w:eastAsia="Times New Roman"/>
          <w:color w:val="070707"/>
          <w:sz w:val="28"/>
        </w:rPr>
        <w:t>)</w:t>
      </w:r>
      <w:r>
        <w:rPr>
          <w:rFonts w:ascii="Times New Roman" w:eastAsia="Times New Roman"/>
          <w:color w:val="070707"/>
          <w:spacing w:val="4"/>
          <w:sz w:val="28"/>
        </w:rPr>
        <w:t> </w:t>
      </w:r>
      <w:r>
        <w:rPr>
          <w:color w:val="070707"/>
          <w:sz w:val="31"/>
        </w:rPr>
        <w:t>及</w:t>
      </w:r>
      <w:r>
        <w:rPr>
          <w:color w:val="070707"/>
          <w:spacing w:val="17"/>
          <w:sz w:val="31"/>
        </w:rPr>
        <w:t>《</w:t>
      </w:r>
      <w:r>
        <w:rPr>
          <w:color w:val="070707"/>
          <w:sz w:val="31"/>
        </w:rPr>
        <w:t>汇款回执表</w:t>
      </w:r>
      <w:r>
        <w:rPr>
          <w:color w:val="070707"/>
          <w:spacing w:val="-14"/>
          <w:sz w:val="31"/>
        </w:rPr>
        <w:t>》</w:t>
      </w:r>
    </w:p>
    <w:p>
      <w:pPr>
        <w:spacing w:line="391" w:lineRule="exact" w:before="0"/>
        <w:ind w:left="720" w:right="0" w:firstLine="0"/>
        <w:jc w:val="left"/>
        <w:rPr>
          <w:sz w:val="31"/>
        </w:rPr>
      </w:pPr>
      <w:r>
        <w:rPr>
          <w:color w:val="070707"/>
          <w:sz w:val="31"/>
        </w:rPr>
        <w:t>（</w:t>
      </w:r>
      <w:r>
        <w:rPr>
          <w:color w:val="070707"/>
          <w:spacing w:val="-54"/>
          <w:sz w:val="31"/>
        </w:rPr>
        <w:t> 附件 </w:t>
      </w:r>
      <w:r>
        <w:rPr>
          <w:rFonts w:ascii="Times New Roman" w:eastAsia="Times New Roman"/>
          <w:color w:val="070707"/>
          <w:sz w:val="30"/>
        </w:rPr>
        <w:t>3</w:t>
      </w:r>
      <w:r>
        <w:rPr>
          <w:rFonts w:ascii="Times New Roman" w:eastAsia="Times New Roman"/>
          <w:color w:val="070707"/>
          <w:spacing w:val="3"/>
          <w:sz w:val="30"/>
        </w:rPr>
        <w:t> ) </w:t>
      </w:r>
      <w:r>
        <w:rPr>
          <w:color w:val="070707"/>
          <w:spacing w:val="25"/>
          <w:sz w:val="31"/>
        </w:rPr>
        <w:t>一并发送至</w:t>
      </w:r>
      <w:r>
        <w:rPr>
          <w:rFonts w:ascii="Times New Roman" w:eastAsia="Times New Roman"/>
          <w:color w:val="070707"/>
          <w:sz w:val="30"/>
        </w:rPr>
        <w:t>xinxiwang@ cmei.org.cn </w:t>
      </w:r>
      <w:r>
        <w:rPr>
          <w:color w:val="070707"/>
          <w:sz w:val="31"/>
        </w:rPr>
        <w:t>。</w:t>
      </w:r>
    </w:p>
    <w:p>
      <w:pPr>
        <w:pStyle w:val="ListParagraph"/>
        <w:numPr>
          <w:ilvl w:val="0"/>
          <w:numId w:val="8"/>
        </w:numPr>
        <w:tabs>
          <w:tab w:pos="1731" w:val="left" w:leader="none"/>
        </w:tabs>
        <w:spacing w:line="374" w:lineRule="auto" w:before="238" w:after="0"/>
        <w:ind w:left="727" w:right="949" w:firstLine="658"/>
        <w:jc w:val="both"/>
        <w:rPr>
          <w:rFonts w:ascii="Arial" w:eastAsia="Arial"/>
          <w:color w:val="070707"/>
          <w:sz w:val="28"/>
        </w:rPr>
      </w:pPr>
      <w:r>
        <w:rPr>
          <w:rFonts w:ascii="Times New Roman" w:eastAsia="Times New Roman"/>
          <w:color w:val="070707"/>
          <w:sz w:val="30"/>
        </w:rPr>
        <w:t>20</w:t>
      </w:r>
      <w:r>
        <w:rPr>
          <w:rFonts w:ascii="Times New Roman" w:eastAsia="Times New Roman"/>
          <w:color w:val="070707"/>
          <w:spacing w:val="-19"/>
          <w:sz w:val="30"/>
        </w:rPr>
        <w:t> </w:t>
      </w:r>
      <w:r>
        <w:rPr>
          <w:color w:val="070707"/>
          <w:spacing w:val="-8"/>
          <w:sz w:val="31"/>
        </w:rPr>
        <w:t>人以上网员单位组团参会， 请务必提前与会务组联系 ， </w:t>
      </w:r>
      <w:r>
        <w:rPr>
          <w:color w:val="070707"/>
          <w:spacing w:val="6"/>
          <w:sz w:val="31"/>
        </w:rPr>
        <w:t>将《</w:t>
      </w:r>
      <w:r>
        <w:rPr>
          <w:rFonts w:ascii="Times New Roman" w:eastAsia="Times New Roman"/>
          <w:color w:val="070707"/>
          <w:sz w:val="30"/>
        </w:rPr>
        <w:t>2019</w:t>
      </w:r>
      <w:r>
        <w:rPr>
          <w:rFonts w:ascii="Times New Roman" w:eastAsia="Times New Roman"/>
          <w:color w:val="070707"/>
          <w:spacing w:val="17"/>
          <w:sz w:val="30"/>
        </w:rPr>
        <w:t> </w:t>
      </w:r>
      <w:r>
        <w:rPr>
          <w:color w:val="070707"/>
          <w:spacing w:val="-3"/>
          <w:sz w:val="31"/>
        </w:rPr>
        <w:t>年全国医药经济信 息网工作会议团队 报名表》</w:t>
      </w:r>
      <w:r>
        <w:rPr>
          <w:color w:val="070707"/>
          <w:sz w:val="31"/>
        </w:rPr>
        <w:t>（</w:t>
      </w:r>
      <w:r>
        <w:rPr>
          <w:color w:val="070707"/>
          <w:spacing w:val="-59"/>
          <w:sz w:val="31"/>
        </w:rPr>
        <w:t>附件</w:t>
      </w:r>
      <w:r>
        <w:rPr>
          <w:rFonts w:ascii="Times New Roman" w:eastAsia="Times New Roman"/>
          <w:color w:val="070707"/>
          <w:sz w:val="30"/>
        </w:rPr>
        <w:t>2</w:t>
      </w:r>
      <w:r>
        <w:rPr>
          <w:rFonts w:ascii="Times New Roman" w:eastAsia="Times New Roman"/>
          <w:color w:val="070707"/>
          <w:spacing w:val="-7"/>
          <w:sz w:val="30"/>
        </w:rPr>
        <w:t> ) </w:t>
      </w:r>
      <w:r>
        <w:rPr>
          <w:color w:val="070707"/>
          <w:spacing w:val="30"/>
          <w:sz w:val="31"/>
        </w:rPr>
        <w:t>发送至 </w:t>
      </w:r>
      <w:r>
        <w:rPr>
          <w:rFonts w:ascii="Times New Roman" w:eastAsia="Times New Roman"/>
          <w:color w:val="070707"/>
          <w:sz w:val="30"/>
        </w:rPr>
        <w:t>xinxiw</w:t>
      </w:r>
      <w:r>
        <w:rPr>
          <w:rFonts w:ascii="Times New Roman" w:eastAsia="Times New Roman"/>
          <w:color w:val="070707"/>
          <w:spacing w:val="13"/>
          <w:sz w:val="30"/>
        </w:rPr>
        <w:t> </w:t>
      </w:r>
      <w:hyperlink r:id="rId39">
        <w:r>
          <w:rPr>
            <w:rFonts w:ascii="Times New Roman" w:eastAsia="Times New Roman"/>
            <w:color w:val="070707"/>
            <w:spacing w:val="-4"/>
            <w:sz w:val="30"/>
          </w:rPr>
          <w:t>ang@cmei.org.cn</w:t>
        </w:r>
      </w:hyperlink>
      <w:r>
        <w:rPr>
          <w:color w:val="070707"/>
          <w:spacing w:val="-13"/>
          <w:sz w:val="31"/>
        </w:rPr>
        <w:t>。其他组团代表请联系企 业报名联系人。</w:t>
      </w:r>
    </w:p>
    <w:p>
      <w:pPr>
        <w:pStyle w:val="BodyText"/>
        <w:ind w:left="0"/>
        <w:rPr>
          <w:sz w:val="30"/>
        </w:rPr>
      </w:pPr>
    </w:p>
    <w:p>
      <w:pPr>
        <w:pStyle w:val="BodyText"/>
        <w:spacing w:before="10"/>
        <w:ind w:left="0"/>
        <w:rPr>
          <w:sz w:val="31"/>
        </w:rPr>
      </w:pPr>
    </w:p>
    <w:p>
      <w:pPr>
        <w:spacing w:before="0"/>
        <w:ind w:left="0" w:right="955" w:firstLine="0"/>
        <w:jc w:val="right"/>
        <w:rPr>
          <w:sz w:val="14"/>
        </w:rPr>
      </w:pPr>
      <w:r>
        <w:rPr>
          <w:color w:val="757575"/>
          <w:w w:val="80"/>
          <w:sz w:val="35"/>
        </w:rPr>
        <w:t>—</w:t>
      </w:r>
      <w:r>
        <w:rPr>
          <w:rFonts w:ascii="Arial" w:hAnsi="Arial" w:eastAsia="Arial"/>
          <w:color w:val="070707"/>
          <w:w w:val="80"/>
          <w:sz w:val="18"/>
        </w:rPr>
        <w:t>7 </w:t>
      </w:r>
      <w:r>
        <w:rPr>
          <w:color w:val="757575"/>
          <w:w w:val="80"/>
          <w:sz w:val="14"/>
        </w:rPr>
        <w:t>一</w:t>
      </w:r>
    </w:p>
    <w:p>
      <w:pPr>
        <w:spacing w:after="0"/>
        <w:jc w:val="right"/>
        <w:rPr>
          <w:sz w:val="14"/>
        </w:rPr>
        <w:sectPr>
          <w:headerReference w:type="default" r:id="rId35"/>
          <w:footerReference w:type="default" r:id="rId36"/>
          <w:pgSz w:w="11910" w:h="16850"/>
          <w:pgMar w:header="0" w:footer="0" w:top="1540" w:bottom="280" w:left="680" w:right="540"/>
        </w:sectPr>
      </w:pPr>
    </w:p>
    <w:p>
      <w:pPr>
        <w:spacing w:before="45"/>
        <w:ind w:left="1379" w:right="0" w:firstLine="0"/>
        <w:jc w:val="left"/>
        <w:rPr>
          <w:sz w:val="29"/>
        </w:rPr>
      </w:pPr>
      <w:r>
        <w:rPr>
          <w:color w:val="050505"/>
          <w:w w:val="110"/>
          <w:sz w:val="29"/>
        </w:rPr>
        <w:t>七、联系方式</w:t>
      </w:r>
    </w:p>
    <w:p>
      <w:pPr>
        <w:tabs>
          <w:tab w:pos="2030" w:val="left" w:leader="none"/>
        </w:tabs>
        <w:spacing w:before="176"/>
        <w:ind w:left="1386" w:right="0" w:firstLine="0"/>
        <w:jc w:val="left"/>
        <w:rPr>
          <w:sz w:val="31"/>
        </w:rPr>
      </w:pPr>
      <w:r>
        <w:rPr>
          <w:color w:val="050505"/>
          <w:sz w:val="33"/>
        </w:rPr>
        <w:t>地</w:t>
        <w:tab/>
      </w:r>
      <w:r>
        <w:rPr>
          <w:color w:val="050505"/>
          <w:spacing w:val="-13"/>
          <w:sz w:val="32"/>
        </w:rPr>
        <w:t>址</w:t>
      </w:r>
      <w:r>
        <w:rPr>
          <w:color w:val="050505"/>
          <w:w w:val="90"/>
          <w:sz w:val="32"/>
        </w:rPr>
        <w:t>：</w:t>
      </w:r>
      <w:r>
        <w:rPr>
          <w:color w:val="050505"/>
          <w:spacing w:val="-49"/>
          <w:w w:val="90"/>
          <w:sz w:val="32"/>
        </w:rPr>
        <w:t> </w:t>
      </w:r>
      <w:r>
        <w:rPr>
          <w:color w:val="050505"/>
          <w:sz w:val="32"/>
        </w:rPr>
        <w:t>北京市朝阳区南郎家因</w:t>
      </w:r>
      <w:r>
        <w:rPr>
          <w:color w:val="050505"/>
          <w:spacing w:val="-60"/>
          <w:sz w:val="32"/>
        </w:rPr>
        <w:t> </w:t>
      </w:r>
      <w:r>
        <w:rPr>
          <w:rFonts w:ascii="Times New Roman" w:eastAsia="Times New Roman"/>
          <w:color w:val="050505"/>
          <w:sz w:val="30"/>
        </w:rPr>
        <w:t>18</w:t>
      </w:r>
      <w:r>
        <w:rPr>
          <w:rFonts w:ascii="Times New Roman" w:eastAsia="Times New Roman"/>
          <w:color w:val="050505"/>
          <w:spacing w:val="24"/>
          <w:sz w:val="30"/>
        </w:rPr>
        <w:t> </w:t>
      </w:r>
      <w:r>
        <w:rPr>
          <w:color w:val="050505"/>
          <w:sz w:val="31"/>
        </w:rPr>
        <w:t>号</w:t>
      </w:r>
      <w:r>
        <w:rPr>
          <w:color w:val="050505"/>
          <w:spacing w:val="44"/>
          <w:sz w:val="31"/>
        </w:rPr>
        <w:t>楼</w:t>
      </w:r>
      <w:r>
        <w:rPr>
          <w:color w:val="050505"/>
          <w:sz w:val="31"/>
        </w:rPr>
        <w:t>恋日</w:t>
      </w:r>
      <w:r>
        <w:rPr>
          <w:color w:val="050505"/>
          <w:spacing w:val="69"/>
          <w:sz w:val="31"/>
        </w:rPr>
        <w:t>国</w:t>
      </w:r>
      <w:r>
        <w:rPr>
          <w:color w:val="050505"/>
          <w:sz w:val="31"/>
        </w:rPr>
        <w:t>际大厦</w:t>
      </w:r>
      <w:r>
        <w:rPr>
          <w:color w:val="050505"/>
          <w:spacing w:val="-63"/>
          <w:sz w:val="31"/>
        </w:rPr>
        <w:t> </w:t>
      </w:r>
      <w:r>
        <w:rPr>
          <w:rFonts w:ascii="Times New Roman" w:eastAsia="Times New Roman"/>
          <w:color w:val="050505"/>
          <w:sz w:val="30"/>
        </w:rPr>
        <w:t>403 </w:t>
      </w:r>
      <w:r>
        <w:rPr>
          <w:color w:val="050505"/>
          <w:sz w:val="31"/>
        </w:rPr>
        <w:t>室</w:t>
      </w:r>
    </w:p>
    <w:p>
      <w:pPr>
        <w:tabs>
          <w:tab w:pos="2019" w:val="left" w:leader="none"/>
        </w:tabs>
        <w:spacing w:before="183"/>
        <w:ind w:left="1371" w:right="0" w:firstLine="0"/>
        <w:jc w:val="left"/>
        <w:rPr>
          <w:rFonts w:ascii="Times New Roman" w:eastAsia="Times New Roman"/>
          <w:sz w:val="30"/>
        </w:rPr>
      </w:pPr>
      <w:r>
        <w:rPr>
          <w:color w:val="050505"/>
          <w:w w:val="85"/>
          <w:sz w:val="33"/>
        </w:rPr>
        <w:t>邮</w:t>
        <w:tab/>
      </w:r>
      <w:r>
        <w:rPr>
          <w:color w:val="050505"/>
          <w:spacing w:val="-12"/>
          <w:w w:val="85"/>
          <w:sz w:val="33"/>
        </w:rPr>
        <w:t>编</w:t>
      </w:r>
      <w:r>
        <w:rPr>
          <w:color w:val="050505"/>
          <w:w w:val="80"/>
          <w:sz w:val="33"/>
        </w:rPr>
        <w:t>：</w:t>
      </w:r>
      <w:r>
        <w:rPr>
          <w:color w:val="050505"/>
          <w:spacing w:val="24"/>
          <w:w w:val="80"/>
          <w:sz w:val="33"/>
        </w:rPr>
        <w:t> </w:t>
      </w:r>
      <w:r>
        <w:rPr>
          <w:rFonts w:ascii="Times New Roman" w:eastAsia="Times New Roman"/>
          <w:color w:val="050505"/>
          <w:w w:val="80"/>
          <w:sz w:val="30"/>
        </w:rPr>
        <w:t>100022</w:t>
      </w:r>
    </w:p>
    <w:p>
      <w:pPr>
        <w:spacing w:before="224"/>
        <w:ind w:left="1384" w:right="0" w:firstLine="0"/>
        <w:jc w:val="left"/>
        <w:rPr>
          <w:rFonts w:ascii="Times New Roman"/>
          <w:sz w:val="30"/>
        </w:rPr>
      </w:pPr>
      <w:r>
        <w:rPr>
          <w:rFonts w:ascii="Times New Roman"/>
          <w:color w:val="050505"/>
          <w:w w:val="105"/>
          <w:sz w:val="30"/>
        </w:rPr>
        <w:t>E-mail: </w:t>
      </w:r>
      <w:hyperlink r:id="rId42">
        <w:r>
          <w:rPr>
            <w:rFonts w:ascii="Times New Roman"/>
            <w:color w:val="050505"/>
            <w:w w:val="105"/>
            <w:sz w:val="30"/>
          </w:rPr>
          <w:t>xinxiwang@cmei.org.cn</w:t>
        </w:r>
      </w:hyperlink>
    </w:p>
    <w:p>
      <w:pPr>
        <w:spacing w:before="241"/>
        <w:ind w:left="1377" w:right="0" w:firstLine="0"/>
        <w:jc w:val="left"/>
        <w:rPr>
          <w:sz w:val="31"/>
        </w:rPr>
      </w:pPr>
      <w:r>
        <w:rPr>
          <w:color w:val="050505"/>
          <w:sz w:val="31"/>
        </w:rPr>
        <w:t>信息网报名联系人：</w:t>
      </w:r>
    </w:p>
    <w:p>
      <w:pPr>
        <w:tabs>
          <w:tab w:pos="2659" w:val="left" w:leader="none"/>
          <w:tab w:pos="4859" w:val="left" w:leader="none"/>
        </w:tabs>
        <w:spacing w:before="199"/>
        <w:ind w:left="1382" w:right="0" w:firstLine="0"/>
        <w:jc w:val="left"/>
        <w:rPr>
          <w:rFonts w:ascii="Times New Roman" w:eastAsia="Times New Roman"/>
          <w:sz w:val="30"/>
        </w:rPr>
      </w:pPr>
      <w:r>
        <w:rPr>
          <w:color w:val="050505"/>
          <w:w w:val="105"/>
          <w:sz w:val="32"/>
        </w:rPr>
        <w:t>冯莹颖</w:t>
        <w:tab/>
      </w:r>
      <w:r>
        <w:rPr>
          <w:rFonts w:ascii="Times New Roman" w:eastAsia="Times New Roman"/>
          <w:color w:val="050505"/>
          <w:w w:val="105"/>
          <w:sz w:val="30"/>
        </w:rPr>
        <w:t>010-65662756</w:t>
        <w:tab/>
        <w:t>15001176871</w:t>
      </w:r>
    </w:p>
    <w:p>
      <w:pPr>
        <w:tabs>
          <w:tab w:pos="2015" w:val="left" w:leader="none"/>
          <w:tab w:pos="2659" w:val="left" w:leader="none"/>
          <w:tab w:pos="4859" w:val="left" w:leader="none"/>
        </w:tabs>
        <w:spacing w:before="207"/>
        <w:ind w:left="1376" w:right="0" w:firstLine="0"/>
        <w:jc w:val="left"/>
        <w:rPr>
          <w:rFonts w:ascii="Times New Roman" w:eastAsia="Times New Roman"/>
          <w:sz w:val="30"/>
        </w:rPr>
      </w:pPr>
      <w:r>
        <w:rPr>
          <w:color w:val="050505"/>
          <w:spacing w:val="-34"/>
          <w:w w:val="95"/>
          <w:sz w:val="28"/>
        </w:rPr>
        <w:t>文</w:t>
      </w:r>
      <w:r>
        <w:rPr>
          <w:rFonts w:ascii="Arial" w:eastAsia="Arial"/>
          <w:color w:val="050505"/>
          <w:w w:val="95"/>
          <w:sz w:val="26"/>
        </w:rPr>
        <w:t>U</w:t>
        <w:tab/>
      </w:r>
      <w:r>
        <w:rPr>
          <w:color w:val="050505"/>
          <w:w w:val="75"/>
          <w:sz w:val="29"/>
        </w:rPr>
        <w:t>女亭</w:t>
        <w:tab/>
      </w:r>
      <w:r>
        <w:rPr>
          <w:rFonts w:ascii="Times New Roman" w:eastAsia="Times New Roman"/>
          <w:color w:val="050505"/>
          <w:sz w:val="30"/>
        </w:rPr>
        <w:t>010-65662756</w:t>
        <w:tab/>
        <w:t>13810903006</w:t>
      </w:r>
    </w:p>
    <w:p>
      <w:pPr>
        <w:spacing w:before="224"/>
        <w:ind w:left="1382" w:right="0" w:firstLine="0"/>
        <w:jc w:val="left"/>
        <w:rPr>
          <w:sz w:val="31"/>
        </w:rPr>
      </w:pPr>
      <w:r>
        <w:rPr>
          <w:color w:val="050505"/>
          <w:sz w:val="31"/>
        </w:rPr>
        <w:t>企业报名联系人：</w:t>
      </w:r>
    </w:p>
    <w:p>
      <w:pPr>
        <w:tabs>
          <w:tab w:pos="2664" w:val="left" w:leader="none"/>
        </w:tabs>
        <w:spacing w:before="190"/>
        <w:ind w:left="1395" w:right="0" w:firstLine="0"/>
        <w:jc w:val="left"/>
        <w:rPr>
          <w:rFonts w:ascii="Times New Roman" w:eastAsia="Times New Roman"/>
          <w:sz w:val="30"/>
        </w:rPr>
      </w:pPr>
      <w:r>
        <w:rPr>
          <w:color w:val="050505"/>
          <w:sz w:val="31"/>
        </w:rPr>
        <w:t>宋彦平</w:t>
        <w:tab/>
      </w:r>
      <w:r>
        <w:rPr>
          <w:rFonts w:ascii="Times New Roman" w:eastAsia="Times New Roman"/>
          <w:color w:val="050505"/>
          <w:sz w:val="30"/>
        </w:rPr>
        <w:t>18811288383</w:t>
      </w:r>
    </w:p>
    <w:p>
      <w:pPr>
        <w:tabs>
          <w:tab w:pos="2664" w:val="left" w:leader="none"/>
        </w:tabs>
        <w:spacing w:before="189"/>
        <w:ind w:left="1377" w:right="0" w:firstLine="0"/>
        <w:jc w:val="left"/>
        <w:rPr>
          <w:rFonts w:ascii="Times New Roman" w:eastAsia="Times New Roman"/>
          <w:sz w:val="30"/>
        </w:rPr>
      </w:pPr>
      <w:r>
        <w:rPr>
          <w:color w:val="050505"/>
          <w:w w:val="105"/>
          <w:sz w:val="33"/>
        </w:rPr>
        <w:t>徐荚峰</w:t>
        <w:tab/>
      </w:r>
      <w:r>
        <w:rPr>
          <w:rFonts w:ascii="Times New Roman" w:eastAsia="Times New Roman"/>
          <w:color w:val="050505"/>
          <w:w w:val="105"/>
          <w:sz w:val="30"/>
        </w:rPr>
        <w:t>13601308723</w:t>
      </w:r>
    </w:p>
    <w:p>
      <w:pPr>
        <w:pStyle w:val="Heading4"/>
        <w:spacing w:before="203"/>
        <w:ind w:left="1386"/>
      </w:pPr>
      <w:r>
        <w:rPr>
          <w:color w:val="050505"/>
        </w:rPr>
        <w:t>财务联系人：</w:t>
      </w:r>
    </w:p>
    <w:p>
      <w:pPr>
        <w:pStyle w:val="Heading5"/>
        <w:tabs>
          <w:tab w:pos="2037" w:val="left" w:leader="none"/>
          <w:tab w:pos="2659" w:val="left" w:leader="none"/>
        </w:tabs>
        <w:spacing w:before="189"/>
        <w:ind w:left="1391"/>
      </w:pPr>
      <w:r>
        <w:rPr>
          <w:rFonts w:ascii="宋体" w:eastAsia="宋体" w:hint="eastAsia"/>
          <w:color w:val="050505"/>
          <w:w w:val="95"/>
          <w:sz w:val="33"/>
        </w:rPr>
        <w:t>吏</w:t>
        <w:tab/>
        <w:t>南</w:t>
        <w:tab/>
      </w:r>
      <w:r>
        <w:rPr>
          <w:color w:val="050505"/>
          <w:w w:val="95"/>
        </w:rPr>
        <w:t>010-65669565-8075</w:t>
      </w:r>
    </w:p>
    <w:p>
      <w:pPr>
        <w:pStyle w:val="BodyText"/>
        <w:ind w:left="0"/>
        <w:rPr>
          <w:rFonts w:ascii="Times New Roman"/>
          <w:sz w:val="34"/>
        </w:rPr>
      </w:pPr>
    </w:p>
    <w:p>
      <w:pPr>
        <w:pStyle w:val="BodyText"/>
        <w:spacing w:before="9"/>
        <w:ind w:left="0"/>
        <w:rPr>
          <w:rFonts w:ascii="Times New Roman"/>
          <w:sz w:val="34"/>
        </w:rPr>
      </w:pPr>
    </w:p>
    <w:p>
      <w:pPr>
        <w:tabs>
          <w:tab w:pos="3388" w:val="left" w:leader="none"/>
        </w:tabs>
        <w:spacing w:before="0"/>
        <w:ind w:left="1382" w:right="0" w:firstLine="0"/>
        <w:jc w:val="left"/>
        <w:rPr>
          <w:sz w:val="31"/>
        </w:rPr>
      </w:pPr>
      <w:r>
        <w:rPr>
          <w:color w:val="050505"/>
          <w:sz w:val="31"/>
        </w:rPr>
        <w:t>附</w:t>
      </w:r>
      <w:r>
        <w:rPr>
          <w:color w:val="050505"/>
          <w:spacing w:val="-32"/>
          <w:sz w:val="31"/>
        </w:rPr>
        <w:t>件</w:t>
      </w:r>
      <w:r>
        <w:rPr>
          <w:color w:val="050505"/>
          <w:w w:val="85"/>
          <w:sz w:val="31"/>
        </w:rPr>
        <w:t>：</w:t>
      </w:r>
      <w:r>
        <w:rPr>
          <w:color w:val="050505"/>
          <w:spacing w:val="-47"/>
          <w:w w:val="85"/>
          <w:sz w:val="31"/>
        </w:rPr>
        <w:t> </w:t>
      </w:r>
      <w:r>
        <w:rPr>
          <w:rFonts w:ascii="Arial" w:eastAsia="Arial"/>
          <w:color w:val="050505"/>
          <w:w w:val="85"/>
          <w:sz w:val="26"/>
        </w:rPr>
        <w:t>1.</w:t>
      </w:r>
      <w:r>
        <w:rPr>
          <w:rFonts w:ascii="Arial" w:eastAsia="Arial"/>
          <w:color w:val="050505"/>
          <w:spacing w:val="31"/>
          <w:w w:val="85"/>
          <w:sz w:val="26"/>
        </w:rPr>
        <w:t> </w:t>
      </w:r>
      <w:r>
        <w:rPr>
          <w:rFonts w:ascii="Times New Roman" w:eastAsia="Times New Roman"/>
          <w:color w:val="050505"/>
          <w:w w:val="85"/>
          <w:sz w:val="30"/>
        </w:rPr>
        <w:t>2019</w:t>
        <w:tab/>
      </w:r>
      <w:r>
        <w:rPr>
          <w:color w:val="050505"/>
          <w:sz w:val="31"/>
        </w:rPr>
        <w:t>年全</w:t>
      </w:r>
      <w:r>
        <w:rPr>
          <w:color w:val="050505"/>
          <w:spacing w:val="45"/>
          <w:sz w:val="31"/>
        </w:rPr>
        <w:t>国</w:t>
      </w:r>
      <w:r>
        <w:rPr>
          <w:color w:val="050505"/>
          <w:sz w:val="31"/>
        </w:rPr>
        <w:t>医药经济信</w:t>
      </w:r>
      <w:r>
        <w:rPr>
          <w:color w:val="050505"/>
          <w:spacing w:val="34"/>
          <w:sz w:val="31"/>
        </w:rPr>
        <w:t> </w:t>
      </w:r>
      <w:r>
        <w:rPr>
          <w:color w:val="050505"/>
          <w:sz w:val="31"/>
        </w:rPr>
        <w:t>息网工作会议个人</w:t>
      </w:r>
      <w:r>
        <w:rPr>
          <w:color w:val="050505"/>
          <w:spacing w:val="-15"/>
          <w:sz w:val="31"/>
        </w:rPr>
        <w:t> </w:t>
      </w:r>
      <w:r>
        <w:rPr>
          <w:color w:val="050505"/>
          <w:sz w:val="31"/>
        </w:rPr>
        <w:t>报名表</w:t>
      </w:r>
    </w:p>
    <w:p>
      <w:pPr>
        <w:pStyle w:val="Heading4"/>
        <w:numPr>
          <w:ilvl w:val="1"/>
          <w:numId w:val="8"/>
        </w:numPr>
        <w:tabs>
          <w:tab w:pos="2694" w:val="left" w:leader="none"/>
        </w:tabs>
        <w:spacing w:line="240" w:lineRule="auto" w:before="199" w:after="0"/>
        <w:ind w:left="2693" w:right="0" w:hanging="319"/>
        <w:jc w:val="left"/>
        <w:rPr>
          <w:rFonts w:ascii="Times New Roman" w:eastAsia="Times New Roman"/>
          <w:color w:val="050505"/>
          <w:sz w:val="30"/>
        </w:rPr>
      </w:pPr>
      <w:r>
        <w:rPr>
          <w:rFonts w:ascii="Times New Roman" w:eastAsia="Times New Roman"/>
          <w:color w:val="050505"/>
          <w:sz w:val="30"/>
        </w:rPr>
        <w:t>2019</w:t>
      </w:r>
      <w:r>
        <w:rPr>
          <w:rFonts w:ascii="Times New Roman" w:eastAsia="Times New Roman"/>
          <w:color w:val="050505"/>
          <w:spacing w:val="1"/>
          <w:sz w:val="30"/>
        </w:rPr>
        <w:t> </w:t>
      </w:r>
      <w:r>
        <w:rPr>
          <w:color w:val="050505"/>
          <w:spacing w:val="-1"/>
        </w:rPr>
        <w:t>年全国医药经济信 息网工作会议团队 报名表</w:t>
      </w:r>
    </w:p>
    <w:p>
      <w:pPr>
        <w:pStyle w:val="ListParagraph"/>
        <w:numPr>
          <w:ilvl w:val="1"/>
          <w:numId w:val="8"/>
        </w:numPr>
        <w:tabs>
          <w:tab w:pos="2717" w:val="left" w:leader="none"/>
        </w:tabs>
        <w:spacing w:line="240" w:lineRule="auto" w:before="229" w:after="0"/>
        <w:ind w:left="2716" w:right="0" w:hanging="347"/>
        <w:jc w:val="left"/>
        <w:rPr>
          <w:rFonts w:ascii="Arial" w:eastAsia="Arial"/>
          <w:color w:val="050505"/>
          <w:sz w:val="27"/>
        </w:rPr>
      </w:pPr>
      <w:r>
        <w:rPr/>
        <w:drawing>
          <wp:anchor distT="0" distB="0" distL="0" distR="0" allowOverlap="1" layoutInCell="1" locked="0" behindDoc="1" simplePos="0" relativeHeight="250251264">
            <wp:simplePos x="0" y="0"/>
            <wp:positionH relativeFrom="page">
              <wp:posOffset>4218522</wp:posOffset>
            </wp:positionH>
            <wp:positionV relativeFrom="paragraph">
              <wp:posOffset>934516</wp:posOffset>
            </wp:positionV>
            <wp:extent cx="1528450" cy="757716"/>
            <wp:effectExtent l="0" t="0" r="0" b="0"/>
            <wp:wrapNone/>
            <wp:docPr id="7" name="image6.jpeg"/>
            <wp:cNvGraphicFramePr>
              <a:graphicFrameLocks noChangeAspect="1"/>
            </wp:cNvGraphicFramePr>
            <a:graphic>
              <a:graphicData uri="http://schemas.openxmlformats.org/drawingml/2006/picture">
                <pic:pic>
                  <pic:nvPicPr>
                    <pic:cNvPr id="8" name="image6.jpeg"/>
                    <pic:cNvPicPr/>
                  </pic:nvPicPr>
                  <pic:blipFill>
                    <a:blip r:embed="rId43" cstate="print"/>
                    <a:stretch>
                      <a:fillRect/>
                    </a:stretch>
                  </pic:blipFill>
                  <pic:spPr>
                    <a:xfrm>
                      <a:off x="0" y="0"/>
                      <a:ext cx="1528450" cy="757716"/>
                    </a:xfrm>
                    <a:prstGeom prst="rect">
                      <a:avLst/>
                    </a:prstGeom>
                  </pic:spPr>
                </pic:pic>
              </a:graphicData>
            </a:graphic>
          </wp:anchor>
        </w:drawing>
      </w:r>
      <w:r>
        <w:rPr>
          <w:color w:val="050505"/>
          <w:spacing w:val="8"/>
          <w:w w:val="105"/>
          <w:sz w:val="29"/>
        </w:rPr>
        <w:t>汇款回执表</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1"/>
        <w:ind w:left="0"/>
        <w:rPr>
          <w:sz w:val="34"/>
        </w:rPr>
      </w:pPr>
    </w:p>
    <w:p>
      <w:pPr>
        <w:tabs>
          <w:tab w:pos="6793" w:val="left" w:leader="none"/>
          <w:tab w:pos="8389" w:val="left" w:leader="none"/>
        </w:tabs>
        <w:spacing w:before="0"/>
        <w:ind w:left="5508" w:right="0" w:firstLine="0"/>
        <w:jc w:val="left"/>
        <w:rPr>
          <w:sz w:val="36"/>
        </w:rPr>
      </w:pPr>
      <w:r>
        <w:rPr/>
        <w:drawing>
          <wp:anchor distT="0" distB="0" distL="0" distR="0" allowOverlap="1" layoutInCell="1" locked="0" behindDoc="1" simplePos="0" relativeHeight="250252288">
            <wp:simplePos x="0" y="0"/>
            <wp:positionH relativeFrom="page">
              <wp:posOffset>4163498</wp:posOffset>
            </wp:positionH>
            <wp:positionV relativeFrom="paragraph">
              <wp:posOffset>253042</wp:posOffset>
            </wp:positionV>
            <wp:extent cx="1559018" cy="568287"/>
            <wp:effectExtent l="0" t="0" r="0" b="0"/>
            <wp:wrapNone/>
            <wp:docPr id="9" name="image7.jpeg"/>
            <wp:cNvGraphicFramePr>
              <a:graphicFrameLocks noChangeAspect="1"/>
            </wp:cNvGraphicFramePr>
            <a:graphic>
              <a:graphicData uri="http://schemas.openxmlformats.org/drawingml/2006/picture">
                <pic:pic>
                  <pic:nvPicPr>
                    <pic:cNvPr id="10" name="image7.jpeg"/>
                    <pic:cNvPicPr/>
                  </pic:nvPicPr>
                  <pic:blipFill>
                    <a:blip r:embed="rId44" cstate="print"/>
                    <a:stretch>
                      <a:fillRect/>
                    </a:stretch>
                  </pic:blipFill>
                  <pic:spPr>
                    <a:xfrm>
                      <a:off x="0" y="0"/>
                      <a:ext cx="1559018" cy="568287"/>
                    </a:xfrm>
                    <a:prstGeom prst="rect">
                      <a:avLst/>
                    </a:prstGeom>
                  </pic:spPr>
                </pic:pic>
              </a:graphicData>
            </a:graphic>
          </wp:anchor>
        </w:drawing>
      </w:r>
      <w:r>
        <w:rPr>
          <w:color w:val="622423"/>
          <w:sz w:val="36"/>
        </w:rPr>
        <w:t>叫</w:t>
      </w:r>
      <w:r>
        <w:rPr>
          <w:color w:val="622423"/>
          <w:spacing w:val="59"/>
          <w:sz w:val="36"/>
        </w:rPr>
        <w:t> </w:t>
      </w:r>
      <w:r>
        <w:rPr>
          <w:color w:val="622423"/>
          <w:sz w:val="36"/>
        </w:rPr>
        <w:t>令</w:t>
        <w:tab/>
      </w:r>
      <w:r>
        <w:rPr>
          <w:color w:val="9A2826"/>
          <w:sz w:val="36"/>
        </w:rPr>
        <w:t>穴</w:t>
      </w:r>
      <w:r>
        <w:rPr>
          <w:color w:val="9A2826"/>
          <w:spacing w:val="35"/>
          <w:sz w:val="36"/>
        </w:rPr>
        <w:t> </w:t>
      </w:r>
      <w:r>
        <w:rPr>
          <w:color w:val="050505"/>
          <w:spacing w:val="6"/>
          <w:sz w:val="36"/>
        </w:rPr>
        <w:t>技</w:t>
      </w:r>
      <w:r>
        <w:rPr>
          <w:color w:val="622423"/>
          <w:sz w:val="36"/>
        </w:rPr>
        <w:t>走</w:t>
        <w:tab/>
      </w:r>
      <w:r>
        <w:rPr>
          <w:color w:val="050505"/>
          <w:sz w:val="36"/>
        </w:rPr>
        <w:t>中心</w:t>
      </w:r>
    </w:p>
    <w:p>
      <w:pPr>
        <w:spacing w:after="0"/>
        <w:jc w:val="left"/>
        <w:rPr>
          <w:sz w:val="36"/>
        </w:rPr>
        <w:sectPr>
          <w:headerReference w:type="default" r:id="rId40"/>
          <w:footerReference w:type="default" r:id="rId41"/>
          <w:pgSz w:w="11910" w:h="16850"/>
          <w:pgMar w:header="0" w:footer="814" w:top="1560" w:bottom="1000" w:left="680" w:right="540"/>
        </w:sectPr>
      </w:pPr>
    </w:p>
    <w:p>
      <w:pPr>
        <w:pStyle w:val="BodyText"/>
        <w:spacing w:before="7"/>
        <w:ind w:left="0"/>
        <w:rPr>
          <w:sz w:val="9"/>
        </w:rPr>
      </w:pPr>
    </w:p>
    <w:p>
      <w:pPr>
        <w:spacing w:before="50"/>
        <w:ind w:left="1518" w:right="0" w:firstLine="0"/>
        <w:jc w:val="left"/>
        <w:rPr>
          <w:sz w:val="36"/>
        </w:rPr>
      </w:pPr>
      <w:r>
        <w:rPr>
          <w:sz w:val="36"/>
        </w:rPr>
        <w:t>2019 年全国医药经济信息网工作会议个人报名表</w:t>
      </w:r>
    </w:p>
    <w:p>
      <w:pPr>
        <w:pStyle w:val="BodyText"/>
        <w:spacing w:before="6"/>
        <w:ind w:left="0"/>
        <w:rPr>
          <w:sz w:val="12"/>
        </w:rPr>
      </w:pPr>
    </w:p>
    <w:tbl>
      <w:tblPr>
        <w:tblW w:w="0" w:type="auto"/>
        <w:jc w:val="left"/>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2974"/>
        <w:gridCol w:w="1524"/>
        <w:gridCol w:w="2935"/>
      </w:tblGrid>
      <w:tr>
        <w:trPr>
          <w:trHeight w:val="491" w:hRule="atLeast"/>
        </w:trPr>
        <w:tc>
          <w:tcPr>
            <w:tcW w:w="1394" w:type="dxa"/>
          </w:tcPr>
          <w:p>
            <w:pPr>
              <w:pStyle w:val="TableParagraph"/>
              <w:spacing w:before="65"/>
              <w:ind w:left="105"/>
              <w:rPr>
                <w:sz w:val="28"/>
              </w:rPr>
            </w:pPr>
            <w:r>
              <w:rPr>
                <w:sz w:val="28"/>
              </w:rPr>
              <w:t>姓 名</w:t>
            </w:r>
          </w:p>
        </w:tc>
        <w:tc>
          <w:tcPr>
            <w:tcW w:w="2974" w:type="dxa"/>
          </w:tcPr>
          <w:p>
            <w:pPr>
              <w:pStyle w:val="TableParagraph"/>
              <w:rPr>
                <w:rFonts w:ascii="Times New Roman"/>
                <w:sz w:val="30"/>
              </w:rPr>
            </w:pPr>
          </w:p>
        </w:tc>
        <w:tc>
          <w:tcPr>
            <w:tcW w:w="1524" w:type="dxa"/>
          </w:tcPr>
          <w:p>
            <w:pPr>
              <w:pStyle w:val="TableParagraph"/>
              <w:spacing w:before="65"/>
              <w:ind w:left="137" w:right="173"/>
              <w:jc w:val="center"/>
              <w:rPr>
                <w:sz w:val="28"/>
              </w:rPr>
            </w:pPr>
            <w:r>
              <w:rPr>
                <w:sz w:val="28"/>
              </w:rPr>
              <w:t>职 务</w:t>
            </w:r>
          </w:p>
        </w:tc>
        <w:tc>
          <w:tcPr>
            <w:tcW w:w="2935" w:type="dxa"/>
          </w:tcPr>
          <w:p>
            <w:pPr>
              <w:pStyle w:val="TableParagraph"/>
              <w:rPr>
                <w:rFonts w:ascii="Times New Roman"/>
                <w:sz w:val="30"/>
              </w:rPr>
            </w:pPr>
          </w:p>
        </w:tc>
      </w:tr>
      <w:tr>
        <w:trPr>
          <w:trHeight w:val="568" w:hRule="atLeast"/>
        </w:trPr>
        <w:tc>
          <w:tcPr>
            <w:tcW w:w="1394" w:type="dxa"/>
          </w:tcPr>
          <w:p>
            <w:pPr>
              <w:pStyle w:val="TableParagraph"/>
              <w:spacing w:before="104"/>
              <w:ind w:left="105"/>
              <w:rPr>
                <w:sz w:val="28"/>
              </w:rPr>
            </w:pPr>
            <w:r>
              <w:rPr>
                <w:sz w:val="28"/>
              </w:rPr>
              <w:t>身份证号</w:t>
            </w:r>
          </w:p>
        </w:tc>
        <w:tc>
          <w:tcPr>
            <w:tcW w:w="2974" w:type="dxa"/>
          </w:tcPr>
          <w:p>
            <w:pPr>
              <w:pStyle w:val="TableParagraph"/>
              <w:rPr>
                <w:rFonts w:ascii="Times New Roman"/>
                <w:sz w:val="30"/>
              </w:rPr>
            </w:pPr>
          </w:p>
        </w:tc>
        <w:tc>
          <w:tcPr>
            <w:tcW w:w="1524" w:type="dxa"/>
          </w:tcPr>
          <w:p>
            <w:pPr>
              <w:pStyle w:val="TableParagraph"/>
              <w:spacing w:before="104"/>
              <w:ind w:left="181" w:right="172"/>
              <w:jc w:val="center"/>
              <w:rPr>
                <w:sz w:val="28"/>
              </w:rPr>
            </w:pPr>
            <w:r>
              <w:rPr>
                <w:sz w:val="28"/>
              </w:rPr>
              <w:t>民 族</w:t>
            </w:r>
          </w:p>
        </w:tc>
        <w:tc>
          <w:tcPr>
            <w:tcW w:w="2935" w:type="dxa"/>
          </w:tcPr>
          <w:p>
            <w:pPr>
              <w:pStyle w:val="TableParagraph"/>
              <w:rPr>
                <w:rFonts w:ascii="Times New Roman"/>
                <w:sz w:val="30"/>
              </w:rPr>
            </w:pPr>
          </w:p>
        </w:tc>
      </w:tr>
      <w:tr>
        <w:trPr>
          <w:trHeight w:val="546" w:hRule="atLeast"/>
        </w:trPr>
        <w:tc>
          <w:tcPr>
            <w:tcW w:w="1394" w:type="dxa"/>
          </w:tcPr>
          <w:p>
            <w:pPr>
              <w:pStyle w:val="TableParagraph"/>
              <w:spacing w:before="94"/>
              <w:ind w:left="134"/>
              <w:rPr>
                <w:sz w:val="28"/>
              </w:rPr>
            </w:pPr>
            <w:r>
              <w:rPr>
                <w:sz w:val="28"/>
              </w:rPr>
              <w:t>单位名称</w:t>
            </w:r>
          </w:p>
        </w:tc>
        <w:tc>
          <w:tcPr>
            <w:tcW w:w="7433" w:type="dxa"/>
            <w:gridSpan w:val="3"/>
          </w:tcPr>
          <w:p>
            <w:pPr>
              <w:pStyle w:val="TableParagraph"/>
              <w:rPr>
                <w:rFonts w:ascii="Times New Roman"/>
                <w:sz w:val="30"/>
              </w:rPr>
            </w:pPr>
          </w:p>
        </w:tc>
      </w:tr>
      <w:tr>
        <w:trPr>
          <w:trHeight w:val="558" w:hRule="atLeast"/>
        </w:trPr>
        <w:tc>
          <w:tcPr>
            <w:tcW w:w="1394" w:type="dxa"/>
          </w:tcPr>
          <w:p>
            <w:pPr>
              <w:pStyle w:val="TableParagraph"/>
              <w:spacing w:before="99"/>
              <w:ind w:left="134"/>
              <w:rPr>
                <w:sz w:val="28"/>
              </w:rPr>
            </w:pPr>
            <w:r>
              <w:rPr>
                <w:sz w:val="28"/>
              </w:rPr>
              <w:t>详细地址</w:t>
            </w:r>
          </w:p>
        </w:tc>
        <w:tc>
          <w:tcPr>
            <w:tcW w:w="7433" w:type="dxa"/>
            <w:gridSpan w:val="3"/>
          </w:tcPr>
          <w:p>
            <w:pPr>
              <w:pStyle w:val="TableParagraph"/>
              <w:rPr>
                <w:rFonts w:ascii="Times New Roman"/>
                <w:sz w:val="30"/>
              </w:rPr>
            </w:pPr>
          </w:p>
        </w:tc>
      </w:tr>
      <w:tr>
        <w:trPr>
          <w:trHeight w:val="564" w:hRule="atLeast"/>
        </w:trPr>
        <w:tc>
          <w:tcPr>
            <w:tcW w:w="1394" w:type="dxa"/>
          </w:tcPr>
          <w:p>
            <w:pPr>
              <w:pStyle w:val="TableParagraph"/>
              <w:spacing w:before="102"/>
              <w:ind w:left="134"/>
              <w:rPr>
                <w:sz w:val="28"/>
              </w:rPr>
            </w:pPr>
            <w:r>
              <w:rPr>
                <w:sz w:val="28"/>
              </w:rPr>
              <w:t>办公电话</w:t>
            </w:r>
          </w:p>
        </w:tc>
        <w:tc>
          <w:tcPr>
            <w:tcW w:w="2974" w:type="dxa"/>
          </w:tcPr>
          <w:p>
            <w:pPr>
              <w:pStyle w:val="TableParagraph"/>
              <w:rPr>
                <w:rFonts w:ascii="Times New Roman"/>
                <w:sz w:val="30"/>
              </w:rPr>
            </w:pPr>
          </w:p>
        </w:tc>
        <w:tc>
          <w:tcPr>
            <w:tcW w:w="1524" w:type="dxa"/>
          </w:tcPr>
          <w:p>
            <w:pPr>
              <w:pStyle w:val="TableParagraph"/>
              <w:spacing w:before="102"/>
              <w:ind w:left="181" w:right="173"/>
              <w:jc w:val="center"/>
              <w:rPr>
                <w:sz w:val="28"/>
              </w:rPr>
            </w:pPr>
            <w:r>
              <w:rPr>
                <w:sz w:val="28"/>
              </w:rPr>
              <w:t>移动电话</w:t>
            </w:r>
          </w:p>
        </w:tc>
        <w:tc>
          <w:tcPr>
            <w:tcW w:w="2935" w:type="dxa"/>
          </w:tcPr>
          <w:p>
            <w:pPr>
              <w:pStyle w:val="TableParagraph"/>
              <w:rPr>
                <w:rFonts w:ascii="Times New Roman"/>
                <w:sz w:val="30"/>
              </w:rPr>
            </w:pPr>
          </w:p>
        </w:tc>
      </w:tr>
      <w:tr>
        <w:trPr>
          <w:trHeight w:val="544" w:hRule="atLeast"/>
        </w:trPr>
        <w:tc>
          <w:tcPr>
            <w:tcW w:w="1394" w:type="dxa"/>
          </w:tcPr>
          <w:p>
            <w:pPr>
              <w:pStyle w:val="TableParagraph"/>
              <w:spacing w:before="92"/>
              <w:ind w:left="273"/>
              <w:rPr>
                <w:sz w:val="28"/>
              </w:rPr>
            </w:pPr>
            <w:r>
              <w:rPr>
                <w:sz w:val="28"/>
              </w:rPr>
              <w:t>E-mail</w:t>
            </w:r>
          </w:p>
        </w:tc>
        <w:tc>
          <w:tcPr>
            <w:tcW w:w="7433" w:type="dxa"/>
            <w:gridSpan w:val="3"/>
          </w:tcPr>
          <w:p>
            <w:pPr>
              <w:pStyle w:val="TableParagraph"/>
              <w:rPr>
                <w:rFonts w:ascii="Times New Roman"/>
                <w:sz w:val="30"/>
              </w:rPr>
            </w:pPr>
          </w:p>
        </w:tc>
      </w:tr>
    </w:tbl>
    <w:p>
      <w:pPr>
        <w:pStyle w:val="BodyText"/>
        <w:spacing w:before="6"/>
        <w:ind w:left="0"/>
        <w:rPr>
          <w:sz w:val="45"/>
        </w:rPr>
      </w:pPr>
    </w:p>
    <w:p>
      <w:pPr>
        <w:pStyle w:val="Heading6"/>
        <w:ind w:left="597"/>
      </w:pPr>
      <w:r>
        <w:rPr/>
        <w:t>附件 2：</w:t>
      </w:r>
    </w:p>
    <w:p>
      <w:pPr>
        <w:spacing w:before="97"/>
        <w:ind w:left="1518" w:right="0" w:firstLine="0"/>
        <w:jc w:val="left"/>
        <w:rPr>
          <w:sz w:val="36"/>
        </w:rPr>
      </w:pPr>
      <w:r>
        <w:rPr>
          <w:sz w:val="36"/>
        </w:rPr>
        <w:t>2019 年全国医药经济信息网工作会议团队报名表</w:t>
      </w:r>
    </w:p>
    <w:p>
      <w:pPr>
        <w:pStyle w:val="BodyText"/>
        <w:spacing w:before="7"/>
        <w:ind w:left="0"/>
        <w:rPr>
          <w:sz w:val="1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2127"/>
        <w:gridCol w:w="3569"/>
        <w:gridCol w:w="1841"/>
        <w:gridCol w:w="1677"/>
      </w:tblGrid>
      <w:tr>
        <w:trPr>
          <w:trHeight w:val="623" w:hRule="atLeast"/>
        </w:trPr>
        <w:tc>
          <w:tcPr>
            <w:tcW w:w="1232" w:type="dxa"/>
          </w:tcPr>
          <w:p>
            <w:pPr>
              <w:pStyle w:val="TableParagraph"/>
              <w:tabs>
                <w:tab w:pos="753" w:val="left" w:leader="none"/>
              </w:tabs>
              <w:spacing w:before="133"/>
              <w:ind w:left="194"/>
              <w:rPr>
                <w:sz w:val="28"/>
              </w:rPr>
            </w:pPr>
            <w:r>
              <w:rPr>
                <w:sz w:val="28"/>
              </w:rPr>
              <w:t>姓</w:t>
              <w:tab/>
              <w:t>名</w:t>
            </w:r>
          </w:p>
        </w:tc>
        <w:tc>
          <w:tcPr>
            <w:tcW w:w="2127" w:type="dxa"/>
          </w:tcPr>
          <w:p>
            <w:pPr>
              <w:pStyle w:val="TableParagraph"/>
              <w:spacing w:before="133"/>
              <w:ind w:left="500"/>
              <w:rPr>
                <w:sz w:val="28"/>
              </w:rPr>
            </w:pPr>
            <w:r>
              <w:rPr>
                <w:sz w:val="28"/>
              </w:rPr>
              <w:t>身份证号</w:t>
            </w:r>
          </w:p>
        </w:tc>
        <w:tc>
          <w:tcPr>
            <w:tcW w:w="3569" w:type="dxa"/>
          </w:tcPr>
          <w:p>
            <w:pPr>
              <w:pStyle w:val="TableParagraph"/>
              <w:spacing w:before="133"/>
              <w:ind w:left="1205" w:right="1194"/>
              <w:jc w:val="center"/>
              <w:rPr>
                <w:sz w:val="28"/>
              </w:rPr>
            </w:pPr>
            <w:r>
              <w:rPr>
                <w:sz w:val="28"/>
              </w:rPr>
              <w:t>工作单位</w:t>
            </w:r>
          </w:p>
        </w:tc>
        <w:tc>
          <w:tcPr>
            <w:tcW w:w="1841" w:type="dxa"/>
          </w:tcPr>
          <w:p>
            <w:pPr>
              <w:pStyle w:val="TableParagraph"/>
              <w:spacing w:before="133"/>
              <w:ind w:left="287"/>
              <w:rPr>
                <w:sz w:val="28"/>
              </w:rPr>
            </w:pPr>
            <w:r>
              <w:rPr>
                <w:sz w:val="28"/>
              </w:rPr>
              <w:t>职务/职称</w:t>
            </w:r>
          </w:p>
        </w:tc>
        <w:tc>
          <w:tcPr>
            <w:tcW w:w="1677" w:type="dxa"/>
          </w:tcPr>
          <w:p>
            <w:pPr>
              <w:pStyle w:val="TableParagraph"/>
              <w:spacing w:before="133"/>
              <w:ind w:left="388"/>
              <w:rPr>
                <w:sz w:val="28"/>
              </w:rPr>
            </w:pPr>
            <w:r>
              <w:rPr>
                <w:sz w:val="28"/>
              </w:rPr>
              <w:t>手机</w:t>
            </w:r>
          </w:p>
        </w:tc>
      </w:tr>
      <w:tr>
        <w:trPr>
          <w:trHeight w:val="467"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70"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67"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67"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67"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68"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67"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70"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r>
        <w:trPr>
          <w:trHeight w:val="467" w:hRule="atLeast"/>
        </w:trPr>
        <w:tc>
          <w:tcPr>
            <w:tcW w:w="1232" w:type="dxa"/>
          </w:tcPr>
          <w:p>
            <w:pPr>
              <w:pStyle w:val="TableParagraph"/>
              <w:rPr>
                <w:rFonts w:ascii="Times New Roman"/>
                <w:sz w:val="30"/>
              </w:rPr>
            </w:pPr>
          </w:p>
        </w:tc>
        <w:tc>
          <w:tcPr>
            <w:tcW w:w="2127" w:type="dxa"/>
          </w:tcPr>
          <w:p>
            <w:pPr>
              <w:pStyle w:val="TableParagraph"/>
              <w:rPr>
                <w:rFonts w:ascii="Times New Roman"/>
                <w:sz w:val="30"/>
              </w:rPr>
            </w:pPr>
          </w:p>
        </w:tc>
        <w:tc>
          <w:tcPr>
            <w:tcW w:w="3569" w:type="dxa"/>
          </w:tcPr>
          <w:p>
            <w:pPr>
              <w:pStyle w:val="TableParagraph"/>
              <w:rPr>
                <w:rFonts w:ascii="Times New Roman"/>
                <w:sz w:val="30"/>
              </w:rPr>
            </w:pPr>
          </w:p>
        </w:tc>
        <w:tc>
          <w:tcPr>
            <w:tcW w:w="1841" w:type="dxa"/>
          </w:tcPr>
          <w:p>
            <w:pPr>
              <w:pStyle w:val="TableParagraph"/>
              <w:rPr>
                <w:rFonts w:ascii="Times New Roman"/>
                <w:sz w:val="30"/>
              </w:rPr>
            </w:pPr>
          </w:p>
        </w:tc>
        <w:tc>
          <w:tcPr>
            <w:tcW w:w="1677" w:type="dxa"/>
          </w:tcPr>
          <w:p>
            <w:pPr>
              <w:pStyle w:val="TableParagraph"/>
              <w:rPr>
                <w:rFonts w:ascii="Times New Roman"/>
                <w:sz w:val="30"/>
              </w:rPr>
            </w:pPr>
          </w:p>
        </w:tc>
      </w:tr>
    </w:tbl>
    <w:p>
      <w:pPr>
        <w:spacing w:before="118"/>
        <w:ind w:left="597" w:right="0" w:firstLine="0"/>
        <w:jc w:val="left"/>
        <w:rPr>
          <w:sz w:val="28"/>
        </w:rPr>
      </w:pPr>
      <w:r>
        <w:rPr>
          <w:sz w:val="28"/>
        </w:rPr>
        <w:t>备注：1.报名截止日期：2019 年 10 月 20 日；</w:t>
      </w:r>
    </w:p>
    <w:p>
      <w:pPr>
        <w:spacing w:before="186"/>
        <w:ind w:left="1516" w:right="0" w:firstLine="0"/>
        <w:jc w:val="left"/>
        <w:rPr>
          <w:sz w:val="28"/>
        </w:rPr>
      </w:pPr>
      <w:r>
        <w:rPr>
          <w:sz w:val="28"/>
        </w:rPr>
        <w:t>2.报名表请发送至 </w:t>
      </w:r>
      <w:hyperlink r:id="rId42">
        <w:r>
          <w:rPr>
            <w:sz w:val="28"/>
          </w:rPr>
          <w:t>xinxiwang@cmei.org.cn</w:t>
        </w:r>
      </w:hyperlink>
    </w:p>
    <w:p>
      <w:pPr>
        <w:spacing w:after="0"/>
        <w:jc w:val="left"/>
        <w:rPr>
          <w:sz w:val="28"/>
        </w:rPr>
        <w:sectPr>
          <w:headerReference w:type="default" r:id="rId45"/>
          <w:footerReference w:type="default" r:id="rId46"/>
          <w:pgSz w:w="11910" w:h="16850"/>
          <w:pgMar w:header="1092" w:footer="607" w:top="1540" w:bottom="800" w:left="680" w:right="540"/>
          <w:pgNumType w:start="32"/>
        </w:sectPr>
      </w:pPr>
    </w:p>
    <w:p>
      <w:pPr>
        <w:pStyle w:val="BodyText"/>
        <w:spacing w:before="7"/>
        <w:ind w:left="0"/>
        <w:rPr>
          <w:sz w:val="18"/>
        </w:rPr>
      </w:pPr>
    </w:p>
    <w:p>
      <w:pPr>
        <w:spacing w:before="49"/>
        <w:ind w:left="3" w:right="0" w:firstLine="0"/>
        <w:jc w:val="center"/>
        <w:rPr>
          <w:sz w:val="36"/>
        </w:rPr>
      </w:pPr>
      <w:r>
        <w:rPr>
          <w:sz w:val="36"/>
        </w:rPr>
        <w:t>汇款回执表</w:t>
      </w:r>
    </w:p>
    <w:p>
      <w:pPr>
        <w:pStyle w:val="BodyText"/>
        <w:spacing w:before="10"/>
        <w:ind w:left="0"/>
        <w:rPr>
          <w:sz w:val="17"/>
        </w:rPr>
      </w:pPr>
    </w:p>
    <w:tbl>
      <w:tblPr>
        <w:tblW w:w="0" w:type="auto"/>
        <w:jc w:val="left"/>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547"/>
        <w:gridCol w:w="1551"/>
        <w:gridCol w:w="3097"/>
      </w:tblGrid>
      <w:tr>
        <w:trPr>
          <w:trHeight w:val="467" w:hRule="atLeast"/>
        </w:trPr>
        <w:tc>
          <w:tcPr>
            <w:tcW w:w="9288" w:type="dxa"/>
            <w:gridSpan w:val="4"/>
          </w:tcPr>
          <w:p>
            <w:pPr>
              <w:pStyle w:val="TableParagraph"/>
              <w:spacing w:before="79"/>
              <w:ind w:left="105"/>
              <w:rPr>
                <w:sz w:val="24"/>
              </w:rPr>
            </w:pPr>
            <w:r>
              <w:rPr>
                <w:sz w:val="24"/>
              </w:rPr>
              <w:t>订单编号：（报名订单生成后的编号）</w:t>
            </w:r>
          </w:p>
        </w:tc>
      </w:tr>
      <w:tr>
        <w:trPr>
          <w:trHeight w:val="937" w:hRule="atLeast"/>
        </w:trPr>
        <w:tc>
          <w:tcPr>
            <w:tcW w:w="9288" w:type="dxa"/>
            <w:gridSpan w:val="4"/>
          </w:tcPr>
          <w:p>
            <w:pPr>
              <w:pStyle w:val="TableParagraph"/>
              <w:spacing w:before="81"/>
              <w:ind w:left="1439" w:right="1438"/>
              <w:jc w:val="center"/>
              <w:rPr>
                <w:sz w:val="24"/>
              </w:rPr>
            </w:pPr>
            <w:r>
              <w:rPr>
                <w:sz w:val="24"/>
              </w:rPr>
              <w:t>报名人信息</w:t>
            </w:r>
          </w:p>
          <w:p>
            <w:pPr>
              <w:pStyle w:val="TableParagraph"/>
              <w:spacing w:before="161"/>
              <w:ind w:left="1439" w:right="1439"/>
              <w:jc w:val="center"/>
              <w:rPr>
                <w:sz w:val="24"/>
              </w:rPr>
            </w:pPr>
            <w:r>
              <w:rPr>
                <w:rFonts w:ascii="Calibri" w:eastAsia="Calibri"/>
                <w:sz w:val="24"/>
              </w:rPr>
              <w:t>*</w:t>
            </w:r>
            <w:r>
              <w:rPr>
                <w:sz w:val="24"/>
              </w:rPr>
              <w:t>（如报名人与参会代表为同一人，只填写参会代表信息栏）</w:t>
            </w:r>
          </w:p>
        </w:tc>
      </w:tr>
      <w:tr>
        <w:trPr>
          <w:trHeight w:val="537" w:hRule="atLeast"/>
        </w:trPr>
        <w:tc>
          <w:tcPr>
            <w:tcW w:w="2093" w:type="dxa"/>
          </w:tcPr>
          <w:p>
            <w:pPr>
              <w:pStyle w:val="TableParagraph"/>
              <w:spacing w:before="112"/>
              <w:ind w:left="303" w:right="299"/>
              <w:jc w:val="center"/>
              <w:rPr>
                <w:sz w:val="24"/>
              </w:rPr>
            </w:pPr>
            <w:r>
              <w:rPr>
                <w:sz w:val="24"/>
              </w:rPr>
              <w:t>汇款人名称</w:t>
            </w:r>
          </w:p>
        </w:tc>
        <w:tc>
          <w:tcPr>
            <w:tcW w:w="2547" w:type="dxa"/>
          </w:tcPr>
          <w:p>
            <w:pPr>
              <w:pStyle w:val="TableParagraph"/>
              <w:rPr>
                <w:rFonts w:ascii="Times New Roman"/>
                <w:sz w:val="24"/>
              </w:rPr>
            </w:pPr>
          </w:p>
        </w:tc>
        <w:tc>
          <w:tcPr>
            <w:tcW w:w="1551" w:type="dxa"/>
          </w:tcPr>
          <w:p>
            <w:pPr>
              <w:pStyle w:val="TableParagraph"/>
              <w:spacing w:before="112"/>
              <w:ind w:left="274" w:right="266"/>
              <w:jc w:val="center"/>
              <w:rPr>
                <w:sz w:val="24"/>
              </w:rPr>
            </w:pPr>
            <w:r>
              <w:rPr>
                <w:sz w:val="24"/>
              </w:rPr>
              <w:t>联系电话</w:t>
            </w:r>
          </w:p>
        </w:tc>
        <w:tc>
          <w:tcPr>
            <w:tcW w:w="3097" w:type="dxa"/>
          </w:tcPr>
          <w:p>
            <w:pPr>
              <w:pStyle w:val="TableParagraph"/>
              <w:rPr>
                <w:rFonts w:ascii="Times New Roman"/>
                <w:sz w:val="24"/>
              </w:rPr>
            </w:pPr>
          </w:p>
        </w:tc>
      </w:tr>
      <w:tr>
        <w:trPr>
          <w:trHeight w:val="547" w:hRule="atLeast"/>
        </w:trPr>
        <w:tc>
          <w:tcPr>
            <w:tcW w:w="9288" w:type="dxa"/>
            <w:gridSpan w:val="4"/>
          </w:tcPr>
          <w:p>
            <w:pPr>
              <w:pStyle w:val="TableParagraph"/>
              <w:spacing w:before="120"/>
              <w:ind w:left="1439" w:right="1438"/>
              <w:jc w:val="center"/>
              <w:rPr>
                <w:sz w:val="24"/>
              </w:rPr>
            </w:pPr>
            <w:r>
              <w:rPr>
                <w:sz w:val="24"/>
              </w:rPr>
              <w:t>参会代表信息</w:t>
            </w:r>
          </w:p>
        </w:tc>
      </w:tr>
      <w:tr>
        <w:trPr>
          <w:trHeight w:val="556" w:hRule="atLeast"/>
        </w:trPr>
        <w:tc>
          <w:tcPr>
            <w:tcW w:w="2093" w:type="dxa"/>
          </w:tcPr>
          <w:p>
            <w:pPr>
              <w:pStyle w:val="TableParagraph"/>
              <w:spacing w:before="124"/>
              <w:ind w:left="303" w:right="299"/>
              <w:jc w:val="center"/>
              <w:rPr>
                <w:sz w:val="24"/>
              </w:rPr>
            </w:pPr>
            <w:r>
              <w:rPr>
                <w:sz w:val="24"/>
              </w:rPr>
              <w:t>参会代表姓名</w:t>
            </w:r>
          </w:p>
        </w:tc>
        <w:tc>
          <w:tcPr>
            <w:tcW w:w="2547" w:type="dxa"/>
          </w:tcPr>
          <w:p>
            <w:pPr>
              <w:pStyle w:val="TableParagraph"/>
              <w:rPr>
                <w:rFonts w:ascii="Times New Roman"/>
                <w:sz w:val="24"/>
              </w:rPr>
            </w:pPr>
          </w:p>
        </w:tc>
        <w:tc>
          <w:tcPr>
            <w:tcW w:w="1551" w:type="dxa"/>
          </w:tcPr>
          <w:p>
            <w:pPr>
              <w:pStyle w:val="TableParagraph"/>
              <w:spacing w:before="124"/>
              <w:ind w:left="274" w:right="266"/>
              <w:jc w:val="center"/>
              <w:rPr>
                <w:sz w:val="24"/>
              </w:rPr>
            </w:pPr>
            <w:r>
              <w:rPr>
                <w:sz w:val="24"/>
              </w:rPr>
              <w:t>医院名称</w:t>
            </w:r>
          </w:p>
        </w:tc>
        <w:tc>
          <w:tcPr>
            <w:tcW w:w="3097" w:type="dxa"/>
          </w:tcPr>
          <w:p>
            <w:pPr>
              <w:pStyle w:val="TableParagraph"/>
              <w:rPr>
                <w:rFonts w:ascii="Times New Roman"/>
                <w:sz w:val="24"/>
              </w:rPr>
            </w:pPr>
          </w:p>
        </w:tc>
      </w:tr>
      <w:tr>
        <w:trPr>
          <w:trHeight w:val="640" w:hRule="atLeast"/>
        </w:trPr>
        <w:tc>
          <w:tcPr>
            <w:tcW w:w="2093" w:type="dxa"/>
          </w:tcPr>
          <w:p>
            <w:pPr>
              <w:pStyle w:val="TableParagraph"/>
              <w:spacing w:line="310" w:lineRule="atLeast" w:before="4"/>
              <w:ind w:left="563" w:right="557"/>
              <w:rPr>
                <w:sz w:val="24"/>
              </w:rPr>
            </w:pPr>
            <w:r>
              <w:rPr>
                <w:sz w:val="24"/>
              </w:rPr>
              <w:t>参会代表联系电话</w:t>
            </w:r>
          </w:p>
        </w:tc>
        <w:tc>
          <w:tcPr>
            <w:tcW w:w="2547" w:type="dxa"/>
          </w:tcPr>
          <w:p>
            <w:pPr>
              <w:pStyle w:val="TableParagraph"/>
              <w:rPr>
                <w:rFonts w:ascii="Times New Roman"/>
                <w:sz w:val="24"/>
              </w:rPr>
            </w:pPr>
          </w:p>
        </w:tc>
        <w:tc>
          <w:tcPr>
            <w:tcW w:w="1551" w:type="dxa"/>
          </w:tcPr>
          <w:p>
            <w:pPr>
              <w:pStyle w:val="TableParagraph"/>
              <w:rPr>
                <w:rFonts w:ascii="Times New Roman"/>
                <w:sz w:val="24"/>
              </w:rPr>
            </w:pPr>
          </w:p>
        </w:tc>
        <w:tc>
          <w:tcPr>
            <w:tcW w:w="3097" w:type="dxa"/>
          </w:tcPr>
          <w:p>
            <w:pPr>
              <w:pStyle w:val="TableParagraph"/>
              <w:rPr>
                <w:rFonts w:ascii="Times New Roman"/>
                <w:sz w:val="24"/>
              </w:rPr>
            </w:pPr>
          </w:p>
        </w:tc>
      </w:tr>
      <w:tr>
        <w:trPr>
          <w:trHeight w:val="614" w:hRule="atLeast"/>
        </w:trPr>
        <w:tc>
          <w:tcPr>
            <w:tcW w:w="9288" w:type="dxa"/>
            <w:gridSpan w:val="4"/>
          </w:tcPr>
          <w:p>
            <w:pPr>
              <w:pStyle w:val="TableParagraph"/>
              <w:spacing w:before="151"/>
              <w:ind w:left="1439" w:right="1438"/>
              <w:jc w:val="center"/>
              <w:rPr>
                <w:sz w:val="24"/>
              </w:rPr>
            </w:pPr>
            <w:r>
              <w:rPr>
                <w:sz w:val="24"/>
              </w:rPr>
              <w:t>汇款信息</w:t>
            </w:r>
          </w:p>
        </w:tc>
      </w:tr>
      <w:tr>
        <w:trPr>
          <w:trHeight w:val="551" w:hRule="atLeast"/>
        </w:trPr>
        <w:tc>
          <w:tcPr>
            <w:tcW w:w="2093" w:type="dxa"/>
          </w:tcPr>
          <w:p>
            <w:pPr>
              <w:pStyle w:val="TableParagraph"/>
              <w:spacing w:before="120"/>
              <w:ind w:left="303" w:right="299"/>
              <w:jc w:val="center"/>
              <w:rPr>
                <w:sz w:val="24"/>
              </w:rPr>
            </w:pPr>
            <w:r>
              <w:rPr>
                <w:sz w:val="24"/>
              </w:rPr>
              <w:t>汇款方式</w:t>
            </w:r>
          </w:p>
        </w:tc>
        <w:tc>
          <w:tcPr>
            <w:tcW w:w="2547" w:type="dxa"/>
          </w:tcPr>
          <w:p>
            <w:pPr>
              <w:pStyle w:val="TableParagraph"/>
              <w:rPr>
                <w:rFonts w:ascii="Times New Roman"/>
                <w:sz w:val="24"/>
              </w:rPr>
            </w:pPr>
          </w:p>
        </w:tc>
        <w:tc>
          <w:tcPr>
            <w:tcW w:w="1551" w:type="dxa"/>
          </w:tcPr>
          <w:p>
            <w:pPr>
              <w:pStyle w:val="TableParagraph"/>
              <w:spacing w:before="122"/>
              <w:ind w:left="274" w:right="266"/>
              <w:jc w:val="center"/>
              <w:rPr>
                <w:sz w:val="24"/>
              </w:rPr>
            </w:pPr>
            <w:r>
              <w:rPr>
                <w:sz w:val="24"/>
              </w:rPr>
              <w:t>汇款日期</w:t>
            </w:r>
          </w:p>
        </w:tc>
        <w:tc>
          <w:tcPr>
            <w:tcW w:w="3097" w:type="dxa"/>
          </w:tcPr>
          <w:p>
            <w:pPr>
              <w:pStyle w:val="TableParagraph"/>
              <w:rPr>
                <w:rFonts w:ascii="Times New Roman"/>
                <w:sz w:val="24"/>
              </w:rPr>
            </w:pPr>
          </w:p>
        </w:tc>
      </w:tr>
      <w:tr>
        <w:trPr>
          <w:trHeight w:val="468" w:hRule="atLeast"/>
        </w:trPr>
        <w:tc>
          <w:tcPr>
            <w:tcW w:w="9288" w:type="dxa"/>
            <w:gridSpan w:val="4"/>
          </w:tcPr>
          <w:p>
            <w:pPr>
              <w:pStyle w:val="TableParagraph"/>
              <w:spacing w:before="79"/>
              <w:ind w:left="1439" w:right="1438"/>
              <w:jc w:val="center"/>
              <w:rPr>
                <w:sz w:val="24"/>
              </w:rPr>
            </w:pPr>
            <w:r>
              <w:rPr>
                <w:sz w:val="24"/>
              </w:rPr>
              <w:t>发票信息</w:t>
            </w:r>
          </w:p>
        </w:tc>
      </w:tr>
      <w:tr>
        <w:trPr>
          <w:trHeight w:val="470" w:hRule="atLeast"/>
        </w:trPr>
        <w:tc>
          <w:tcPr>
            <w:tcW w:w="2093" w:type="dxa"/>
          </w:tcPr>
          <w:p>
            <w:pPr>
              <w:pStyle w:val="TableParagraph"/>
              <w:spacing w:before="81"/>
              <w:ind w:left="303" w:right="299"/>
              <w:jc w:val="center"/>
              <w:rPr>
                <w:sz w:val="24"/>
              </w:rPr>
            </w:pPr>
            <w:r>
              <w:rPr>
                <w:sz w:val="24"/>
              </w:rPr>
              <w:t>发票单位名称</w:t>
            </w:r>
          </w:p>
        </w:tc>
        <w:tc>
          <w:tcPr>
            <w:tcW w:w="7195" w:type="dxa"/>
            <w:gridSpan w:val="3"/>
          </w:tcPr>
          <w:p>
            <w:pPr>
              <w:pStyle w:val="TableParagraph"/>
              <w:rPr>
                <w:rFonts w:ascii="Times New Roman"/>
                <w:sz w:val="24"/>
              </w:rPr>
            </w:pPr>
          </w:p>
        </w:tc>
      </w:tr>
      <w:tr>
        <w:trPr>
          <w:trHeight w:val="467" w:hRule="atLeast"/>
        </w:trPr>
        <w:tc>
          <w:tcPr>
            <w:tcW w:w="2093" w:type="dxa"/>
          </w:tcPr>
          <w:p>
            <w:pPr>
              <w:pStyle w:val="TableParagraph"/>
              <w:spacing w:before="79"/>
              <w:ind w:left="303" w:right="299"/>
              <w:jc w:val="center"/>
              <w:rPr>
                <w:sz w:val="24"/>
              </w:rPr>
            </w:pPr>
            <w:r>
              <w:rPr>
                <w:sz w:val="24"/>
              </w:rPr>
              <w:t>纳税人识别号</w:t>
            </w:r>
          </w:p>
        </w:tc>
        <w:tc>
          <w:tcPr>
            <w:tcW w:w="7195" w:type="dxa"/>
            <w:gridSpan w:val="3"/>
          </w:tcPr>
          <w:p>
            <w:pPr>
              <w:pStyle w:val="TableParagraph"/>
              <w:rPr>
                <w:rFonts w:ascii="Times New Roman"/>
                <w:sz w:val="24"/>
              </w:rPr>
            </w:pPr>
          </w:p>
        </w:tc>
      </w:tr>
      <w:tr>
        <w:trPr>
          <w:trHeight w:val="467" w:hRule="atLeast"/>
        </w:trPr>
        <w:tc>
          <w:tcPr>
            <w:tcW w:w="2093" w:type="dxa"/>
          </w:tcPr>
          <w:p>
            <w:pPr>
              <w:pStyle w:val="TableParagraph"/>
              <w:spacing w:before="79"/>
              <w:ind w:left="303" w:right="299"/>
              <w:jc w:val="center"/>
              <w:rPr>
                <w:sz w:val="24"/>
              </w:rPr>
            </w:pPr>
            <w:r>
              <w:rPr>
                <w:sz w:val="24"/>
              </w:rPr>
              <w:t>地址、电话</w:t>
            </w:r>
          </w:p>
        </w:tc>
        <w:tc>
          <w:tcPr>
            <w:tcW w:w="7195" w:type="dxa"/>
            <w:gridSpan w:val="3"/>
          </w:tcPr>
          <w:p>
            <w:pPr>
              <w:pStyle w:val="TableParagraph"/>
              <w:rPr>
                <w:rFonts w:ascii="Times New Roman"/>
                <w:sz w:val="24"/>
              </w:rPr>
            </w:pPr>
          </w:p>
        </w:tc>
      </w:tr>
      <w:tr>
        <w:trPr>
          <w:trHeight w:val="467" w:hRule="atLeast"/>
        </w:trPr>
        <w:tc>
          <w:tcPr>
            <w:tcW w:w="2093" w:type="dxa"/>
          </w:tcPr>
          <w:p>
            <w:pPr>
              <w:pStyle w:val="TableParagraph"/>
              <w:spacing w:before="79"/>
              <w:ind w:left="303" w:right="299"/>
              <w:jc w:val="center"/>
              <w:rPr>
                <w:sz w:val="24"/>
              </w:rPr>
            </w:pPr>
            <w:r>
              <w:rPr>
                <w:sz w:val="24"/>
              </w:rPr>
              <w:t>开户行及账号</w:t>
            </w:r>
          </w:p>
        </w:tc>
        <w:tc>
          <w:tcPr>
            <w:tcW w:w="7195" w:type="dxa"/>
            <w:gridSpan w:val="3"/>
          </w:tcPr>
          <w:p>
            <w:pPr>
              <w:pStyle w:val="TableParagraph"/>
              <w:rPr>
                <w:rFonts w:ascii="Times New Roman"/>
                <w:sz w:val="24"/>
              </w:rPr>
            </w:pPr>
          </w:p>
        </w:tc>
      </w:tr>
      <w:tr>
        <w:trPr>
          <w:trHeight w:val="467" w:hRule="atLeast"/>
        </w:trPr>
        <w:tc>
          <w:tcPr>
            <w:tcW w:w="2093" w:type="dxa"/>
          </w:tcPr>
          <w:p>
            <w:pPr>
              <w:pStyle w:val="TableParagraph"/>
              <w:spacing w:before="79"/>
              <w:ind w:left="303" w:right="299"/>
              <w:jc w:val="center"/>
              <w:rPr>
                <w:sz w:val="24"/>
              </w:rPr>
            </w:pPr>
            <w:r>
              <w:rPr>
                <w:sz w:val="24"/>
              </w:rPr>
              <w:t>发票金额</w:t>
            </w:r>
          </w:p>
        </w:tc>
        <w:tc>
          <w:tcPr>
            <w:tcW w:w="7195" w:type="dxa"/>
            <w:gridSpan w:val="3"/>
          </w:tcPr>
          <w:p>
            <w:pPr>
              <w:pStyle w:val="TableParagraph"/>
              <w:rPr>
                <w:rFonts w:ascii="Times New Roman"/>
                <w:sz w:val="24"/>
              </w:rPr>
            </w:pPr>
          </w:p>
        </w:tc>
      </w:tr>
      <w:tr>
        <w:trPr>
          <w:trHeight w:val="467" w:hRule="atLeast"/>
        </w:trPr>
        <w:tc>
          <w:tcPr>
            <w:tcW w:w="2093" w:type="dxa"/>
          </w:tcPr>
          <w:p>
            <w:pPr>
              <w:pStyle w:val="TableParagraph"/>
              <w:spacing w:before="79"/>
              <w:ind w:left="303" w:right="299"/>
              <w:jc w:val="center"/>
              <w:rPr>
                <w:sz w:val="24"/>
              </w:rPr>
            </w:pPr>
            <w:r>
              <w:rPr>
                <w:sz w:val="24"/>
              </w:rPr>
              <w:t>备注</w:t>
            </w:r>
          </w:p>
        </w:tc>
        <w:tc>
          <w:tcPr>
            <w:tcW w:w="7195" w:type="dxa"/>
            <w:gridSpan w:val="3"/>
          </w:tcPr>
          <w:p>
            <w:pPr>
              <w:pStyle w:val="TableParagraph"/>
              <w:rPr>
                <w:rFonts w:ascii="Times New Roman"/>
                <w:sz w:val="24"/>
              </w:rPr>
            </w:pPr>
          </w:p>
        </w:tc>
      </w:tr>
    </w:tbl>
    <w:p>
      <w:pPr>
        <w:spacing w:before="82"/>
        <w:ind w:left="1077" w:right="0" w:firstLine="0"/>
        <w:jc w:val="left"/>
        <w:rPr>
          <w:rFonts w:ascii="Microsoft JhengHei" w:eastAsia="Microsoft JhengHei" w:hint="eastAsia"/>
          <w:b/>
          <w:sz w:val="24"/>
        </w:rPr>
      </w:pPr>
      <w:r>
        <w:rPr>
          <w:spacing w:val="-3"/>
          <w:w w:val="105"/>
          <w:sz w:val="28"/>
        </w:rPr>
        <w:t>请务必在缴费后填报此表，</w:t>
      </w:r>
      <w:hyperlink r:id="rId49">
        <w:r>
          <w:rPr>
            <w:spacing w:val="17"/>
            <w:w w:val="105"/>
            <w:sz w:val="28"/>
            <w:u w:val="single"/>
          </w:rPr>
          <w:t>并发送至</w:t>
        </w:r>
        <w:r>
          <w:rPr>
            <w:w w:val="105"/>
            <w:sz w:val="28"/>
          </w:rPr>
          <w:t>xinxiwang@cmei.org.cn</w:t>
        </w:r>
        <w:r>
          <w:rPr>
            <w:spacing w:val="-62"/>
            <w:w w:val="105"/>
            <w:sz w:val="28"/>
          </w:rPr>
          <w:t> </w:t>
        </w:r>
      </w:hyperlink>
      <w:r>
        <w:rPr>
          <w:rFonts w:ascii="Microsoft JhengHei" w:eastAsia="Microsoft JhengHei" w:hint="eastAsia"/>
          <w:b/>
          <w:color w:val="0033CC"/>
          <w:w w:val="115"/>
          <w:sz w:val="24"/>
        </w:rPr>
        <w:t>[</w:t>
      </w:r>
      <w:r>
        <w:rPr>
          <w:rFonts w:ascii="Microsoft JhengHei" w:eastAsia="Microsoft JhengHei" w:hint="eastAsia"/>
          <w:b/>
          <w:color w:val="0033CC"/>
          <w:w w:val="105"/>
          <w:sz w:val="24"/>
        </w:rPr>
        <w:t>返回目次</w:t>
      </w:r>
      <w:r>
        <w:rPr>
          <w:rFonts w:ascii="Microsoft JhengHei" w:eastAsia="Microsoft JhengHei" w:hint="eastAsia"/>
          <w:b/>
          <w:color w:val="0033CC"/>
          <w:w w:val="115"/>
          <w:sz w:val="24"/>
        </w:rPr>
        <w:t>]</w:t>
      </w:r>
    </w:p>
    <w:sectPr>
      <w:headerReference w:type="default" r:id="rId47"/>
      <w:footerReference w:type="default" r:id="rId48"/>
      <w:pgSz w:w="11910" w:h="16850"/>
      <w:pgMar w:header="1092" w:footer="607" w:top="1420" w:bottom="800" w:left="680" w:right="540"/>
      <w:pgNumType w:start="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 w:name="隶书">
    <w:altName w:val="隶书"/>
    <w:charset w:val="86"/>
    <w:family w:val="modern"/>
    <w:pitch w:val="fixed"/>
  </w:font>
  <w:font w:name="华文宋体">
    <w:altName w:val="华文宋体"/>
    <w:charset w:val="86"/>
    <w:family w:val="auto"/>
    <w:pitch w:val="variable"/>
  </w:font>
  <w:font w:name="微软雅黑">
    <w:altName w:val="微软雅黑"/>
    <w:charset w:val="86"/>
    <w:family w:val="swiss"/>
    <w:pitch w:val="variable"/>
  </w:font>
  <w:font w:name="仿宋">
    <w:altName w:val="仿宋"/>
    <w:charset w:val="86"/>
    <w:family w:val="modern"/>
    <w:pitch w:val="fixed"/>
  </w:font>
  <w:font w:name="Arial">
    <w:altName w:val="Arial"/>
    <w:charset w:val="0"/>
    <w:family w:val="swiss"/>
    <w:pitch w:val="variable"/>
  </w:font>
  <w:font w:name="华文楷体">
    <w:altName w:val="华文楷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307340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8.189194pt;margin-top:790.355408pt;width:34.950pt;height:19.55pt;mso-position-horizontal-relative:page;mso-position-vertical-relative:page;z-index:-253061120" type="#_x0000_t202" filled="false" stroked="false">
          <v:textbox inset="0,0,0,0">
            <w:txbxContent>
              <w:p>
                <w:pPr>
                  <w:spacing w:line="391" w:lineRule="exact" w:before="0"/>
                  <w:ind w:left="20" w:right="0" w:firstLine="0"/>
                  <w:jc w:val="left"/>
                  <w:rPr>
                    <w:sz w:val="35"/>
                  </w:rPr>
                </w:pPr>
                <w:r>
                  <w:rPr>
                    <w:color w:val="727272"/>
                    <w:spacing w:val="-21"/>
                    <w:w w:val="75"/>
                    <w:sz w:val="35"/>
                  </w:rPr>
                  <w:t>—</w:t>
                </w:r>
                <w:r>
                  <w:rPr>
                    <w:rFonts w:ascii="Arial" w:hAnsi="Arial"/>
                    <w:color w:val="050505"/>
                    <w:w w:val="83"/>
                    <w:sz w:val="17"/>
                  </w:rPr>
                  <w:t>8</w:t>
                </w:r>
                <w:r>
                  <w:rPr>
                    <w:rFonts w:ascii="Arial" w:hAnsi="Arial"/>
                    <w:color w:val="050505"/>
                    <w:sz w:val="17"/>
                  </w:rPr>
                  <w:t> </w:t>
                </w:r>
                <w:r>
                  <w:rPr>
                    <w:rFonts w:ascii="Arial" w:hAnsi="Arial"/>
                    <w:color w:val="050505"/>
                    <w:spacing w:val="-21"/>
                    <w:sz w:val="17"/>
                  </w:rPr>
                  <w:t> </w:t>
                </w:r>
                <w:r>
                  <w:rPr>
                    <w:color w:val="727272"/>
                    <w:w w:val="75"/>
                    <w:sz w:val="35"/>
                  </w:rPr>
                  <w:t>—</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05804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05497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33</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970001pt;margin-top:789.769958pt;width:10.6pt;height:11pt;mso-position-horizontal-relative:page;mso-position-vertical-relative:page;z-index:-25307136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0.6pt;height:11pt;mso-position-horizontal-relative:page;mso-position-vertical-relative:page;z-index:-25306931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0.6pt;height:11pt;mso-position-horizontal-relative:page;mso-position-vertical-relative:page;z-index:-25306828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06624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06521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14</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06316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15</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93.444397pt;margin-top:793.566467pt;width:34.85pt;height:14.3pt;mso-position-horizontal-relative:page;mso-position-vertical-relative:page;z-index:-253062144" type="#_x0000_t202" filled="false" stroked="false">
          <v:textbox inset="0,0,0,0">
            <w:txbxContent>
              <w:p>
                <w:pPr>
                  <w:spacing w:line="286" w:lineRule="exact" w:before="0"/>
                  <w:ind w:left="20" w:right="0" w:firstLine="0"/>
                  <w:jc w:val="left"/>
                  <w:rPr>
                    <w:sz w:val="24"/>
                  </w:rPr>
                </w:pPr>
                <w:r>
                  <w:rPr>
                    <w:color w:val="080808"/>
                    <w:w w:val="105"/>
                    <w:sz w:val="24"/>
                  </w:rPr>
                  <w:t>—</w:t>
                </w:r>
                <w:r>
                  <w:rPr>
                    <w:color w:val="080808"/>
                    <w:spacing w:val="-75"/>
                    <w:w w:val="105"/>
                    <w:sz w:val="24"/>
                  </w:rPr>
                  <w:t> </w:t>
                </w:r>
                <w:r>
                  <w:rPr>
                    <w:rFonts w:ascii="Times New Roman" w:hAnsi="Times New Roman"/>
                    <w:color w:val="080808"/>
                    <w:w w:val="105"/>
                    <w:sz w:val="18"/>
                  </w:rPr>
                  <w:t>l </w:t>
                </w:r>
                <w:r>
                  <w:rPr>
                    <w:color w:val="080808"/>
                    <w:w w:val="105"/>
                    <w:sz w:val="24"/>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072384" from="62.400002pt,54.959976pt" to="540.220002pt,54.959976pt" stroked="true" strokeweight=".72pt" strokecolor="#000000">
          <v:stroke dashstyle="solid"/>
          <w10:wrap type="non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060096" from="62.400002pt,54.959976pt" to="540.220002pt,54.959976pt" stroked="true" strokeweight=".72pt" strokecolor="#000000">
          <v:stroke dashstyle="solid"/>
          <w10:wrap type="none"/>
        </v:line>
      </w:pict>
    </w:r>
    <w:r>
      <w:rPr/>
      <w:pict>
        <v:shape style="position:absolute;margin-left:62.863998pt;margin-top:62.894352pt;width:54.7pt;height:16.05pt;mso-position-horizontal-relative:page;mso-position-vertical-relative:page;z-index:-253059072" type="#_x0000_t202" filled="false" stroked="false">
          <v:textbox inset="0,0,0,0">
            <w:txbxContent>
              <w:p>
                <w:pPr>
                  <w:spacing w:line="321" w:lineRule="exact" w:before="0"/>
                  <w:ind w:left="20" w:right="0" w:firstLine="0"/>
                  <w:jc w:val="left"/>
                  <w:rPr>
                    <w:rFonts w:ascii="Microsoft JhengHei" w:eastAsia="Microsoft JhengHei" w:hint="eastAsia"/>
                    <w:b/>
                    <w:sz w:val="28"/>
                  </w:rPr>
                </w:pPr>
                <w:r>
                  <w:rPr>
                    <w:rFonts w:ascii="Microsoft JhengHei" w:eastAsia="Microsoft JhengHei" w:hint="eastAsia"/>
                    <w:b/>
                    <w:spacing w:val="-7"/>
                    <w:sz w:val="28"/>
                  </w:rPr>
                  <w:t>附件 </w:t>
                </w:r>
                <w:r>
                  <w:rPr>
                    <w:rFonts w:ascii="Microsoft JhengHei" w:eastAsia="Microsoft JhengHei" w:hint="eastAsia"/>
                    <w:b/>
                    <w:sz w:val="28"/>
                  </w:rPr>
                  <w:t>1：</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057024" from="62.400002pt,54.959976pt" to="540.220002pt,54.959976pt" stroked="true" strokeweight=".72pt" strokecolor="#000000">
          <v:stroke dashstyle="solid"/>
          <w10:wrap type="none"/>
        </v:line>
      </w:pict>
    </w:r>
    <w:r>
      <w:rPr/>
      <w:pict>
        <v:shape style="position:absolute;margin-left:62.863998pt;margin-top:56.294353pt;width:54.7pt;height:16.05pt;mso-position-horizontal-relative:page;mso-position-vertical-relative:page;z-index:-253056000" type="#_x0000_t202" filled="false" stroked="false">
          <v:textbox inset="0,0,0,0">
            <w:txbxContent>
              <w:p>
                <w:pPr>
                  <w:spacing w:line="321" w:lineRule="exact" w:before="0"/>
                  <w:ind w:left="20" w:right="0" w:firstLine="0"/>
                  <w:jc w:val="left"/>
                  <w:rPr>
                    <w:rFonts w:ascii="Microsoft JhengHei" w:eastAsia="Microsoft JhengHei" w:hint="eastAsia"/>
                    <w:b/>
                    <w:sz w:val="28"/>
                  </w:rPr>
                </w:pPr>
                <w:r>
                  <w:rPr>
                    <w:rFonts w:ascii="Microsoft JhengHei" w:eastAsia="Microsoft JhengHei" w:hint="eastAsia"/>
                    <w:b/>
                    <w:spacing w:val="-7"/>
                    <w:sz w:val="28"/>
                  </w:rPr>
                  <w:t>附件 </w:t>
                </w:r>
                <w:r>
                  <w:rPr>
                    <w:rFonts w:ascii="Microsoft JhengHei" w:eastAsia="Microsoft JhengHei" w:hint="eastAsia"/>
                    <w:b/>
                    <w:sz w:val="28"/>
                  </w:rPr>
                  <w:t>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070336" from="62.400002pt,54.959976pt" to="540.220002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067264" from="62.400002pt,54.959976pt" to="540.220002pt,54.959976pt" stroked="true" strokeweight=".72pt" strokecolor="#000000">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064192" from="62.400002pt,54.959976pt" to="540.220002pt,54.959976pt" stroked="true" strokeweight=".72pt" strokecolor="#000000">
          <v:stroke dashstyle="solid"/>
          <w10:wrap type="none"/>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decimal"/>
      <w:lvlText w:val="%1"/>
      <w:lvlJc w:val="left"/>
      <w:pPr>
        <w:ind w:left="1776" w:hanging="404"/>
        <w:jc w:val="left"/>
      </w:pPr>
      <w:rPr>
        <w:rFonts w:hint="default"/>
        <w:w w:val="97"/>
        <w:lang w:val="zh-cn" w:eastAsia="zh-cn" w:bidi="zh-cn"/>
      </w:rPr>
    </w:lvl>
    <w:lvl w:ilvl="1">
      <w:start w:val="0"/>
      <w:numFmt w:val="bullet"/>
      <w:lvlText w:val="•"/>
      <w:lvlJc w:val="left"/>
      <w:pPr>
        <w:ind w:left="2670" w:hanging="404"/>
      </w:pPr>
      <w:rPr>
        <w:rFonts w:hint="default"/>
        <w:lang w:val="zh-cn" w:eastAsia="zh-cn" w:bidi="zh-cn"/>
      </w:rPr>
    </w:lvl>
    <w:lvl w:ilvl="2">
      <w:start w:val="0"/>
      <w:numFmt w:val="bullet"/>
      <w:lvlText w:val="•"/>
      <w:lvlJc w:val="left"/>
      <w:pPr>
        <w:ind w:left="3561" w:hanging="404"/>
      </w:pPr>
      <w:rPr>
        <w:rFonts w:hint="default"/>
        <w:lang w:val="zh-cn" w:eastAsia="zh-cn" w:bidi="zh-cn"/>
      </w:rPr>
    </w:lvl>
    <w:lvl w:ilvl="3">
      <w:start w:val="0"/>
      <w:numFmt w:val="bullet"/>
      <w:lvlText w:val="•"/>
      <w:lvlJc w:val="left"/>
      <w:pPr>
        <w:ind w:left="4451" w:hanging="404"/>
      </w:pPr>
      <w:rPr>
        <w:rFonts w:hint="default"/>
        <w:lang w:val="zh-cn" w:eastAsia="zh-cn" w:bidi="zh-cn"/>
      </w:rPr>
    </w:lvl>
    <w:lvl w:ilvl="4">
      <w:start w:val="0"/>
      <w:numFmt w:val="bullet"/>
      <w:lvlText w:val="•"/>
      <w:lvlJc w:val="left"/>
      <w:pPr>
        <w:ind w:left="5342" w:hanging="404"/>
      </w:pPr>
      <w:rPr>
        <w:rFonts w:hint="default"/>
        <w:lang w:val="zh-cn" w:eastAsia="zh-cn" w:bidi="zh-cn"/>
      </w:rPr>
    </w:lvl>
    <w:lvl w:ilvl="5">
      <w:start w:val="0"/>
      <w:numFmt w:val="bullet"/>
      <w:lvlText w:val="•"/>
      <w:lvlJc w:val="left"/>
      <w:pPr>
        <w:ind w:left="6233" w:hanging="404"/>
      </w:pPr>
      <w:rPr>
        <w:rFonts w:hint="default"/>
        <w:lang w:val="zh-cn" w:eastAsia="zh-cn" w:bidi="zh-cn"/>
      </w:rPr>
    </w:lvl>
    <w:lvl w:ilvl="6">
      <w:start w:val="0"/>
      <w:numFmt w:val="bullet"/>
      <w:lvlText w:val="•"/>
      <w:lvlJc w:val="left"/>
      <w:pPr>
        <w:ind w:left="7123" w:hanging="404"/>
      </w:pPr>
      <w:rPr>
        <w:rFonts w:hint="default"/>
        <w:lang w:val="zh-cn" w:eastAsia="zh-cn" w:bidi="zh-cn"/>
      </w:rPr>
    </w:lvl>
    <w:lvl w:ilvl="7">
      <w:start w:val="0"/>
      <w:numFmt w:val="bullet"/>
      <w:lvlText w:val="•"/>
      <w:lvlJc w:val="left"/>
      <w:pPr>
        <w:ind w:left="8014" w:hanging="404"/>
      </w:pPr>
      <w:rPr>
        <w:rFonts w:hint="default"/>
        <w:lang w:val="zh-cn" w:eastAsia="zh-cn" w:bidi="zh-cn"/>
      </w:rPr>
    </w:lvl>
    <w:lvl w:ilvl="8">
      <w:start w:val="0"/>
      <w:numFmt w:val="bullet"/>
      <w:lvlText w:val="•"/>
      <w:lvlJc w:val="left"/>
      <w:pPr>
        <w:ind w:left="8905" w:hanging="404"/>
      </w:pPr>
      <w:rPr>
        <w:rFonts w:hint="default"/>
        <w:lang w:val="zh-cn" w:eastAsia="zh-cn" w:bidi="zh-cn"/>
      </w:rPr>
    </w:lvl>
  </w:abstractNum>
  <w:abstractNum w:abstractNumId="7">
    <w:multiLevelType w:val="hybridMultilevel"/>
    <w:lvl w:ilvl="0">
      <w:start w:val="1"/>
      <w:numFmt w:val="decimal"/>
      <w:lvlText w:val="%1."/>
      <w:lvlJc w:val="left"/>
      <w:pPr>
        <w:ind w:left="758" w:hanging="402"/>
        <w:jc w:val="left"/>
      </w:pPr>
      <w:rPr>
        <w:rFonts w:hint="default"/>
        <w:w w:val="102"/>
        <w:lang w:val="zh-cn" w:eastAsia="zh-cn" w:bidi="zh-cn"/>
      </w:rPr>
    </w:lvl>
    <w:lvl w:ilvl="1">
      <w:start w:val="2"/>
      <w:numFmt w:val="decimal"/>
      <w:lvlText w:val="%2."/>
      <w:lvlJc w:val="left"/>
      <w:pPr>
        <w:ind w:left="2693" w:hanging="318"/>
        <w:jc w:val="left"/>
      </w:pPr>
      <w:rPr>
        <w:rFonts w:hint="default"/>
        <w:w w:val="106"/>
        <w:lang w:val="zh-cn" w:eastAsia="zh-cn" w:bidi="zh-cn"/>
      </w:rPr>
    </w:lvl>
    <w:lvl w:ilvl="2">
      <w:start w:val="0"/>
      <w:numFmt w:val="bullet"/>
      <w:lvlText w:val="•"/>
      <w:lvlJc w:val="left"/>
      <w:pPr>
        <w:ind w:left="3587" w:hanging="318"/>
      </w:pPr>
      <w:rPr>
        <w:rFonts w:hint="default"/>
        <w:lang w:val="zh-cn" w:eastAsia="zh-cn" w:bidi="zh-cn"/>
      </w:rPr>
    </w:lvl>
    <w:lvl w:ilvl="3">
      <w:start w:val="0"/>
      <w:numFmt w:val="bullet"/>
      <w:lvlText w:val="•"/>
      <w:lvlJc w:val="left"/>
      <w:pPr>
        <w:ind w:left="4474" w:hanging="318"/>
      </w:pPr>
      <w:rPr>
        <w:rFonts w:hint="default"/>
        <w:lang w:val="zh-cn" w:eastAsia="zh-cn" w:bidi="zh-cn"/>
      </w:rPr>
    </w:lvl>
    <w:lvl w:ilvl="4">
      <w:start w:val="0"/>
      <w:numFmt w:val="bullet"/>
      <w:lvlText w:val="•"/>
      <w:lvlJc w:val="left"/>
      <w:pPr>
        <w:ind w:left="5362" w:hanging="318"/>
      </w:pPr>
      <w:rPr>
        <w:rFonts w:hint="default"/>
        <w:lang w:val="zh-cn" w:eastAsia="zh-cn" w:bidi="zh-cn"/>
      </w:rPr>
    </w:lvl>
    <w:lvl w:ilvl="5">
      <w:start w:val="0"/>
      <w:numFmt w:val="bullet"/>
      <w:lvlText w:val="•"/>
      <w:lvlJc w:val="left"/>
      <w:pPr>
        <w:ind w:left="6249" w:hanging="318"/>
      </w:pPr>
      <w:rPr>
        <w:rFonts w:hint="default"/>
        <w:lang w:val="zh-cn" w:eastAsia="zh-cn" w:bidi="zh-cn"/>
      </w:rPr>
    </w:lvl>
    <w:lvl w:ilvl="6">
      <w:start w:val="0"/>
      <w:numFmt w:val="bullet"/>
      <w:lvlText w:val="•"/>
      <w:lvlJc w:val="left"/>
      <w:pPr>
        <w:ind w:left="7136" w:hanging="318"/>
      </w:pPr>
      <w:rPr>
        <w:rFonts w:hint="default"/>
        <w:lang w:val="zh-cn" w:eastAsia="zh-cn" w:bidi="zh-cn"/>
      </w:rPr>
    </w:lvl>
    <w:lvl w:ilvl="7">
      <w:start w:val="0"/>
      <w:numFmt w:val="bullet"/>
      <w:lvlText w:val="•"/>
      <w:lvlJc w:val="left"/>
      <w:pPr>
        <w:ind w:left="8024" w:hanging="318"/>
      </w:pPr>
      <w:rPr>
        <w:rFonts w:hint="default"/>
        <w:lang w:val="zh-cn" w:eastAsia="zh-cn" w:bidi="zh-cn"/>
      </w:rPr>
    </w:lvl>
    <w:lvl w:ilvl="8">
      <w:start w:val="0"/>
      <w:numFmt w:val="bullet"/>
      <w:lvlText w:val="•"/>
      <w:lvlJc w:val="left"/>
      <w:pPr>
        <w:ind w:left="8911" w:hanging="318"/>
      </w:pPr>
      <w:rPr>
        <w:rFonts w:hint="default"/>
        <w:lang w:val="zh-cn" w:eastAsia="zh-cn" w:bidi="zh-cn"/>
      </w:rPr>
    </w:lvl>
  </w:abstractNum>
  <w:abstractNum w:abstractNumId="6">
    <w:multiLevelType w:val="hybridMultilevel"/>
    <w:lvl w:ilvl="0">
      <w:start w:val="6"/>
      <w:numFmt w:val="decimal"/>
      <w:lvlText w:val="%1."/>
      <w:lvlJc w:val="left"/>
      <w:pPr>
        <w:ind w:left="735" w:hanging="410"/>
        <w:jc w:val="left"/>
      </w:pPr>
      <w:rPr>
        <w:rFonts w:hint="default" w:ascii="Times New Roman" w:hAnsi="Times New Roman" w:eastAsia="Times New Roman" w:cs="Times New Roman"/>
        <w:color w:val="0A0A0A"/>
        <w:w w:val="109"/>
        <w:sz w:val="31"/>
        <w:szCs w:val="31"/>
        <w:lang w:val="zh-cn" w:eastAsia="zh-cn" w:bidi="zh-cn"/>
      </w:rPr>
    </w:lvl>
    <w:lvl w:ilvl="1">
      <w:start w:val="0"/>
      <w:numFmt w:val="bullet"/>
      <w:lvlText w:val="•"/>
      <w:lvlJc w:val="left"/>
      <w:pPr>
        <w:ind w:left="1734" w:hanging="410"/>
      </w:pPr>
      <w:rPr>
        <w:rFonts w:hint="default"/>
        <w:lang w:val="zh-cn" w:eastAsia="zh-cn" w:bidi="zh-cn"/>
      </w:rPr>
    </w:lvl>
    <w:lvl w:ilvl="2">
      <w:start w:val="0"/>
      <w:numFmt w:val="bullet"/>
      <w:lvlText w:val="•"/>
      <w:lvlJc w:val="left"/>
      <w:pPr>
        <w:ind w:left="2729" w:hanging="410"/>
      </w:pPr>
      <w:rPr>
        <w:rFonts w:hint="default"/>
        <w:lang w:val="zh-cn" w:eastAsia="zh-cn" w:bidi="zh-cn"/>
      </w:rPr>
    </w:lvl>
    <w:lvl w:ilvl="3">
      <w:start w:val="0"/>
      <w:numFmt w:val="bullet"/>
      <w:lvlText w:val="•"/>
      <w:lvlJc w:val="left"/>
      <w:pPr>
        <w:ind w:left="3723" w:hanging="410"/>
      </w:pPr>
      <w:rPr>
        <w:rFonts w:hint="default"/>
        <w:lang w:val="zh-cn" w:eastAsia="zh-cn" w:bidi="zh-cn"/>
      </w:rPr>
    </w:lvl>
    <w:lvl w:ilvl="4">
      <w:start w:val="0"/>
      <w:numFmt w:val="bullet"/>
      <w:lvlText w:val="•"/>
      <w:lvlJc w:val="left"/>
      <w:pPr>
        <w:ind w:left="4718" w:hanging="410"/>
      </w:pPr>
      <w:rPr>
        <w:rFonts w:hint="default"/>
        <w:lang w:val="zh-cn" w:eastAsia="zh-cn" w:bidi="zh-cn"/>
      </w:rPr>
    </w:lvl>
    <w:lvl w:ilvl="5">
      <w:start w:val="0"/>
      <w:numFmt w:val="bullet"/>
      <w:lvlText w:val="•"/>
      <w:lvlJc w:val="left"/>
      <w:pPr>
        <w:ind w:left="5713" w:hanging="410"/>
      </w:pPr>
      <w:rPr>
        <w:rFonts w:hint="default"/>
        <w:lang w:val="zh-cn" w:eastAsia="zh-cn" w:bidi="zh-cn"/>
      </w:rPr>
    </w:lvl>
    <w:lvl w:ilvl="6">
      <w:start w:val="0"/>
      <w:numFmt w:val="bullet"/>
      <w:lvlText w:val="•"/>
      <w:lvlJc w:val="left"/>
      <w:pPr>
        <w:ind w:left="6707" w:hanging="410"/>
      </w:pPr>
      <w:rPr>
        <w:rFonts w:hint="default"/>
        <w:lang w:val="zh-cn" w:eastAsia="zh-cn" w:bidi="zh-cn"/>
      </w:rPr>
    </w:lvl>
    <w:lvl w:ilvl="7">
      <w:start w:val="0"/>
      <w:numFmt w:val="bullet"/>
      <w:lvlText w:val="•"/>
      <w:lvlJc w:val="left"/>
      <w:pPr>
        <w:ind w:left="7702" w:hanging="410"/>
      </w:pPr>
      <w:rPr>
        <w:rFonts w:hint="default"/>
        <w:lang w:val="zh-cn" w:eastAsia="zh-cn" w:bidi="zh-cn"/>
      </w:rPr>
    </w:lvl>
    <w:lvl w:ilvl="8">
      <w:start w:val="0"/>
      <w:numFmt w:val="bullet"/>
      <w:lvlText w:val="•"/>
      <w:lvlJc w:val="left"/>
      <w:pPr>
        <w:ind w:left="8697" w:hanging="410"/>
      </w:pPr>
      <w:rPr>
        <w:rFonts w:hint="default"/>
        <w:lang w:val="zh-cn" w:eastAsia="zh-cn" w:bidi="zh-cn"/>
      </w:rPr>
    </w:lvl>
  </w:abstractNum>
  <w:abstractNum w:abstractNumId="5">
    <w:multiLevelType w:val="hybridMultilevel"/>
    <w:lvl w:ilvl="0">
      <w:start w:val="1"/>
      <w:numFmt w:val="decimal"/>
      <w:lvlText w:val="%1."/>
      <w:lvlJc w:val="left"/>
      <w:pPr>
        <w:ind w:left="1784" w:hanging="401"/>
        <w:jc w:val="left"/>
      </w:pPr>
      <w:rPr>
        <w:rFonts w:hint="default"/>
        <w:w w:val="101"/>
        <w:lang w:val="zh-cn" w:eastAsia="zh-cn" w:bidi="zh-cn"/>
      </w:rPr>
    </w:lvl>
    <w:lvl w:ilvl="1">
      <w:start w:val="0"/>
      <w:numFmt w:val="bullet"/>
      <w:lvlText w:val="•"/>
      <w:lvlJc w:val="left"/>
      <w:pPr>
        <w:ind w:left="2670" w:hanging="401"/>
      </w:pPr>
      <w:rPr>
        <w:rFonts w:hint="default"/>
        <w:lang w:val="zh-cn" w:eastAsia="zh-cn" w:bidi="zh-cn"/>
      </w:rPr>
    </w:lvl>
    <w:lvl w:ilvl="2">
      <w:start w:val="0"/>
      <w:numFmt w:val="bullet"/>
      <w:lvlText w:val="•"/>
      <w:lvlJc w:val="left"/>
      <w:pPr>
        <w:ind w:left="3561" w:hanging="401"/>
      </w:pPr>
      <w:rPr>
        <w:rFonts w:hint="default"/>
        <w:lang w:val="zh-cn" w:eastAsia="zh-cn" w:bidi="zh-cn"/>
      </w:rPr>
    </w:lvl>
    <w:lvl w:ilvl="3">
      <w:start w:val="0"/>
      <w:numFmt w:val="bullet"/>
      <w:lvlText w:val="•"/>
      <w:lvlJc w:val="left"/>
      <w:pPr>
        <w:ind w:left="4451" w:hanging="401"/>
      </w:pPr>
      <w:rPr>
        <w:rFonts w:hint="default"/>
        <w:lang w:val="zh-cn" w:eastAsia="zh-cn" w:bidi="zh-cn"/>
      </w:rPr>
    </w:lvl>
    <w:lvl w:ilvl="4">
      <w:start w:val="0"/>
      <w:numFmt w:val="bullet"/>
      <w:lvlText w:val="•"/>
      <w:lvlJc w:val="left"/>
      <w:pPr>
        <w:ind w:left="5342" w:hanging="401"/>
      </w:pPr>
      <w:rPr>
        <w:rFonts w:hint="default"/>
        <w:lang w:val="zh-cn" w:eastAsia="zh-cn" w:bidi="zh-cn"/>
      </w:rPr>
    </w:lvl>
    <w:lvl w:ilvl="5">
      <w:start w:val="0"/>
      <w:numFmt w:val="bullet"/>
      <w:lvlText w:val="•"/>
      <w:lvlJc w:val="left"/>
      <w:pPr>
        <w:ind w:left="6233" w:hanging="401"/>
      </w:pPr>
      <w:rPr>
        <w:rFonts w:hint="default"/>
        <w:lang w:val="zh-cn" w:eastAsia="zh-cn" w:bidi="zh-cn"/>
      </w:rPr>
    </w:lvl>
    <w:lvl w:ilvl="6">
      <w:start w:val="0"/>
      <w:numFmt w:val="bullet"/>
      <w:lvlText w:val="•"/>
      <w:lvlJc w:val="left"/>
      <w:pPr>
        <w:ind w:left="7123" w:hanging="401"/>
      </w:pPr>
      <w:rPr>
        <w:rFonts w:hint="default"/>
        <w:lang w:val="zh-cn" w:eastAsia="zh-cn" w:bidi="zh-cn"/>
      </w:rPr>
    </w:lvl>
    <w:lvl w:ilvl="7">
      <w:start w:val="0"/>
      <w:numFmt w:val="bullet"/>
      <w:lvlText w:val="•"/>
      <w:lvlJc w:val="left"/>
      <w:pPr>
        <w:ind w:left="8014" w:hanging="401"/>
      </w:pPr>
      <w:rPr>
        <w:rFonts w:hint="default"/>
        <w:lang w:val="zh-cn" w:eastAsia="zh-cn" w:bidi="zh-cn"/>
      </w:rPr>
    </w:lvl>
    <w:lvl w:ilvl="8">
      <w:start w:val="0"/>
      <w:numFmt w:val="bullet"/>
      <w:lvlText w:val="•"/>
      <w:lvlJc w:val="left"/>
      <w:pPr>
        <w:ind w:left="8905" w:hanging="401"/>
      </w:pPr>
      <w:rPr>
        <w:rFonts w:hint="default"/>
        <w:lang w:val="zh-cn" w:eastAsia="zh-cn" w:bidi="zh-cn"/>
      </w:rPr>
    </w:lvl>
  </w:abstractNum>
  <w:abstractNum w:abstractNumId="4">
    <w:multiLevelType w:val="hybridMultilevel"/>
    <w:lvl w:ilvl="0">
      <w:start w:val="2"/>
      <w:numFmt w:val="decimal"/>
      <w:lvlText w:val="%1."/>
      <w:lvlJc w:val="left"/>
      <w:pPr>
        <w:ind w:left="738" w:hanging="437"/>
        <w:jc w:val="left"/>
      </w:pPr>
      <w:rPr>
        <w:rFonts w:hint="default"/>
        <w:spacing w:val="-1"/>
        <w:w w:val="104"/>
        <w:lang w:val="zh-cn" w:eastAsia="zh-cn" w:bidi="zh-cn"/>
      </w:rPr>
    </w:lvl>
    <w:lvl w:ilvl="1">
      <w:start w:val="0"/>
      <w:numFmt w:val="bullet"/>
      <w:lvlText w:val="•"/>
      <w:lvlJc w:val="left"/>
      <w:pPr>
        <w:ind w:left="1734" w:hanging="437"/>
      </w:pPr>
      <w:rPr>
        <w:rFonts w:hint="default"/>
        <w:lang w:val="zh-cn" w:eastAsia="zh-cn" w:bidi="zh-cn"/>
      </w:rPr>
    </w:lvl>
    <w:lvl w:ilvl="2">
      <w:start w:val="0"/>
      <w:numFmt w:val="bullet"/>
      <w:lvlText w:val="•"/>
      <w:lvlJc w:val="left"/>
      <w:pPr>
        <w:ind w:left="2729" w:hanging="437"/>
      </w:pPr>
      <w:rPr>
        <w:rFonts w:hint="default"/>
        <w:lang w:val="zh-cn" w:eastAsia="zh-cn" w:bidi="zh-cn"/>
      </w:rPr>
    </w:lvl>
    <w:lvl w:ilvl="3">
      <w:start w:val="0"/>
      <w:numFmt w:val="bullet"/>
      <w:lvlText w:val="•"/>
      <w:lvlJc w:val="left"/>
      <w:pPr>
        <w:ind w:left="3723" w:hanging="437"/>
      </w:pPr>
      <w:rPr>
        <w:rFonts w:hint="default"/>
        <w:lang w:val="zh-cn" w:eastAsia="zh-cn" w:bidi="zh-cn"/>
      </w:rPr>
    </w:lvl>
    <w:lvl w:ilvl="4">
      <w:start w:val="0"/>
      <w:numFmt w:val="bullet"/>
      <w:lvlText w:val="•"/>
      <w:lvlJc w:val="left"/>
      <w:pPr>
        <w:ind w:left="4718" w:hanging="437"/>
      </w:pPr>
      <w:rPr>
        <w:rFonts w:hint="default"/>
        <w:lang w:val="zh-cn" w:eastAsia="zh-cn" w:bidi="zh-cn"/>
      </w:rPr>
    </w:lvl>
    <w:lvl w:ilvl="5">
      <w:start w:val="0"/>
      <w:numFmt w:val="bullet"/>
      <w:lvlText w:val="•"/>
      <w:lvlJc w:val="left"/>
      <w:pPr>
        <w:ind w:left="5713" w:hanging="437"/>
      </w:pPr>
      <w:rPr>
        <w:rFonts w:hint="default"/>
        <w:lang w:val="zh-cn" w:eastAsia="zh-cn" w:bidi="zh-cn"/>
      </w:rPr>
    </w:lvl>
    <w:lvl w:ilvl="6">
      <w:start w:val="0"/>
      <w:numFmt w:val="bullet"/>
      <w:lvlText w:val="•"/>
      <w:lvlJc w:val="left"/>
      <w:pPr>
        <w:ind w:left="6707" w:hanging="437"/>
      </w:pPr>
      <w:rPr>
        <w:rFonts w:hint="default"/>
        <w:lang w:val="zh-cn" w:eastAsia="zh-cn" w:bidi="zh-cn"/>
      </w:rPr>
    </w:lvl>
    <w:lvl w:ilvl="7">
      <w:start w:val="0"/>
      <w:numFmt w:val="bullet"/>
      <w:lvlText w:val="•"/>
      <w:lvlJc w:val="left"/>
      <w:pPr>
        <w:ind w:left="7702" w:hanging="437"/>
      </w:pPr>
      <w:rPr>
        <w:rFonts w:hint="default"/>
        <w:lang w:val="zh-cn" w:eastAsia="zh-cn" w:bidi="zh-cn"/>
      </w:rPr>
    </w:lvl>
    <w:lvl w:ilvl="8">
      <w:start w:val="0"/>
      <w:numFmt w:val="bullet"/>
      <w:lvlText w:val="•"/>
      <w:lvlJc w:val="left"/>
      <w:pPr>
        <w:ind w:left="8697" w:hanging="437"/>
      </w:pPr>
      <w:rPr>
        <w:rFonts w:hint="default"/>
        <w:lang w:val="zh-cn" w:eastAsia="zh-cn" w:bidi="zh-cn"/>
      </w:rPr>
    </w:lvl>
  </w:abstractNum>
  <w:abstractNum w:abstractNumId="3">
    <w:multiLevelType w:val="hybridMultilevel"/>
    <w:lvl w:ilvl="0">
      <w:start w:val="1"/>
      <w:numFmt w:val="decimal"/>
      <w:lvlText w:val="%1"/>
      <w:lvlJc w:val="left"/>
      <w:pPr>
        <w:ind w:left="1776" w:hanging="393"/>
        <w:jc w:val="left"/>
      </w:pPr>
      <w:rPr>
        <w:rFonts w:hint="default"/>
        <w:w w:val="106"/>
        <w:lang w:val="zh-cn" w:eastAsia="zh-cn" w:bidi="zh-cn"/>
      </w:rPr>
    </w:lvl>
    <w:lvl w:ilvl="1">
      <w:start w:val="0"/>
      <w:numFmt w:val="bullet"/>
      <w:lvlText w:val="•"/>
      <w:lvlJc w:val="left"/>
      <w:pPr>
        <w:ind w:left="2670" w:hanging="393"/>
      </w:pPr>
      <w:rPr>
        <w:rFonts w:hint="default"/>
        <w:lang w:val="zh-cn" w:eastAsia="zh-cn" w:bidi="zh-cn"/>
      </w:rPr>
    </w:lvl>
    <w:lvl w:ilvl="2">
      <w:start w:val="0"/>
      <w:numFmt w:val="bullet"/>
      <w:lvlText w:val="•"/>
      <w:lvlJc w:val="left"/>
      <w:pPr>
        <w:ind w:left="3561" w:hanging="393"/>
      </w:pPr>
      <w:rPr>
        <w:rFonts w:hint="default"/>
        <w:lang w:val="zh-cn" w:eastAsia="zh-cn" w:bidi="zh-cn"/>
      </w:rPr>
    </w:lvl>
    <w:lvl w:ilvl="3">
      <w:start w:val="0"/>
      <w:numFmt w:val="bullet"/>
      <w:lvlText w:val="•"/>
      <w:lvlJc w:val="left"/>
      <w:pPr>
        <w:ind w:left="4451" w:hanging="393"/>
      </w:pPr>
      <w:rPr>
        <w:rFonts w:hint="default"/>
        <w:lang w:val="zh-cn" w:eastAsia="zh-cn" w:bidi="zh-cn"/>
      </w:rPr>
    </w:lvl>
    <w:lvl w:ilvl="4">
      <w:start w:val="0"/>
      <w:numFmt w:val="bullet"/>
      <w:lvlText w:val="•"/>
      <w:lvlJc w:val="left"/>
      <w:pPr>
        <w:ind w:left="5342" w:hanging="393"/>
      </w:pPr>
      <w:rPr>
        <w:rFonts w:hint="default"/>
        <w:lang w:val="zh-cn" w:eastAsia="zh-cn" w:bidi="zh-cn"/>
      </w:rPr>
    </w:lvl>
    <w:lvl w:ilvl="5">
      <w:start w:val="0"/>
      <w:numFmt w:val="bullet"/>
      <w:lvlText w:val="•"/>
      <w:lvlJc w:val="left"/>
      <w:pPr>
        <w:ind w:left="6233" w:hanging="393"/>
      </w:pPr>
      <w:rPr>
        <w:rFonts w:hint="default"/>
        <w:lang w:val="zh-cn" w:eastAsia="zh-cn" w:bidi="zh-cn"/>
      </w:rPr>
    </w:lvl>
    <w:lvl w:ilvl="6">
      <w:start w:val="0"/>
      <w:numFmt w:val="bullet"/>
      <w:lvlText w:val="•"/>
      <w:lvlJc w:val="left"/>
      <w:pPr>
        <w:ind w:left="7123" w:hanging="393"/>
      </w:pPr>
      <w:rPr>
        <w:rFonts w:hint="default"/>
        <w:lang w:val="zh-cn" w:eastAsia="zh-cn" w:bidi="zh-cn"/>
      </w:rPr>
    </w:lvl>
    <w:lvl w:ilvl="7">
      <w:start w:val="0"/>
      <w:numFmt w:val="bullet"/>
      <w:lvlText w:val="•"/>
      <w:lvlJc w:val="left"/>
      <w:pPr>
        <w:ind w:left="8014" w:hanging="393"/>
      </w:pPr>
      <w:rPr>
        <w:rFonts w:hint="default"/>
        <w:lang w:val="zh-cn" w:eastAsia="zh-cn" w:bidi="zh-cn"/>
      </w:rPr>
    </w:lvl>
    <w:lvl w:ilvl="8">
      <w:start w:val="0"/>
      <w:numFmt w:val="bullet"/>
      <w:lvlText w:val="•"/>
      <w:lvlJc w:val="left"/>
      <w:pPr>
        <w:ind w:left="8905" w:hanging="393"/>
      </w:pPr>
      <w:rPr>
        <w:rFonts w:hint="default"/>
        <w:lang w:val="zh-cn" w:eastAsia="zh-cn" w:bidi="zh-cn"/>
      </w:rPr>
    </w:lvl>
  </w:abstractNum>
  <w:abstractNum w:abstractNumId="2">
    <w:multiLevelType w:val="hybridMultilevel"/>
    <w:lvl w:ilvl="0">
      <w:start w:val="2"/>
      <w:numFmt w:val="decimal"/>
      <w:lvlText w:val="%1."/>
      <w:lvlJc w:val="left"/>
      <w:pPr>
        <w:ind w:left="1778" w:hanging="401"/>
        <w:jc w:val="left"/>
      </w:pPr>
      <w:rPr>
        <w:rFonts w:hint="default" w:ascii="Times New Roman" w:hAnsi="Times New Roman" w:eastAsia="Times New Roman" w:cs="Times New Roman"/>
        <w:color w:val="080808"/>
        <w:w w:val="110"/>
        <w:sz w:val="31"/>
        <w:szCs w:val="31"/>
        <w:lang w:val="zh-cn" w:eastAsia="zh-cn" w:bidi="zh-cn"/>
      </w:rPr>
    </w:lvl>
    <w:lvl w:ilvl="1">
      <w:start w:val="0"/>
      <w:numFmt w:val="bullet"/>
      <w:lvlText w:val="•"/>
      <w:lvlJc w:val="left"/>
      <w:pPr>
        <w:ind w:left="2670" w:hanging="401"/>
      </w:pPr>
      <w:rPr>
        <w:rFonts w:hint="default"/>
        <w:lang w:val="zh-cn" w:eastAsia="zh-cn" w:bidi="zh-cn"/>
      </w:rPr>
    </w:lvl>
    <w:lvl w:ilvl="2">
      <w:start w:val="0"/>
      <w:numFmt w:val="bullet"/>
      <w:lvlText w:val="•"/>
      <w:lvlJc w:val="left"/>
      <w:pPr>
        <w:ind w:left="3561" w:hanging="401"/>
      </w:pPr>
      <w:rPr>
        <w:rFonts w:hint="default"/>
        <w:lang w:val="zh-cn" w:eastAsia="zh-cn" w:bidi="zh-cn"/>
      </w:rPr>
    </w:lvl>
    <w:lvl w:ilvl="3">
      <w:start w:val="0"/>
      <w:numFmt w:val="bullet"/>
      <w:lvlText w:val="•"/>
      <w:lvlJc w:val="left"/>
      <w:pPr>
        <w:ind w:left="4451" w:hanging="401"/>
      </w:pPr>
      <w:rPr>
        <w:rFonts w:hint="default"/>
        <w:lang w:val="zh-cn" w:eastAsia="zh-cn" w:bidi="zh-cn"/>
      </w:rPr>
    </w:lvl>
    <w:lvl w:ilvl="4">
      <w:start w:val="0"/>
      <w:numFmt w:val="bullet"/>
      <w:lvlText w:val="•"/>
      <w:lvlJc w:val="left"/>
      <w:pPr>
        <w:ind w:left="5342" w:hanging="401"/>
      </w:pPr>
      <w:rPr>
        <w:rFonts w:hint="default"/>
        <w:lang w:val="zh-cn" w:eastAsia="zh-cn" w:bidi="zh-cn"/>
      </w:rPr>
    </w:lvl>
    <w:lvl w:ilvl="5">
      <w:start w:val="0"/>
      <w:numFmt w:val="bullet"/>
      <w:lvlText w:val="•"/>
      <w:lvlJc w:val="left"/>
      <w:pPr>
        <w:ind w:left="6233" w:hanging="401"/>
      </w:pPr>
      <w:rPr>
        <w:rFonts w:hint="default"/>
        <w:lang w:val="zh-cn" w:eastAsia="zh-cn" w:bidi="zh-cn"/>
      </w:rPr>
    </w:lvl>
    <w:lvl w:ilvl="6">
      <w:start w:val="0"/>
      <w:numFmt w:val="bullet"/>
      <w:lvlText w:val="•"/>
      <w:lvlJc w:val="left"/>
      <w:pPr>
        <w:ind w:left="7123" w:hanging="401"/>
      </w:pPr>
      <w:rPr>
        <w:rFonts w:hint="default"/>
        <w:lang w:val="zh-cn" w:eastAsia="zh-cn" w:bidi="zh-cn"/>
      </w:rPr>
    </w:lvl>
    <w:lvl w:ilvl="7">
      <w:start w:val="0"/>
      <w:numFmt w:val="bullet"/>
      <w:lvlText w:val="•"/>
      <w:lvlJc w:val="left"/>
      <w:pPr>
        <w:ind w:left="8014" w:hanging="401"/>
      </w:pPr>
      <w:rPr>
        <w:rFonts w:hint="default"/>
        <w:lang w:val="zh-cn" w:eastAsia="zh-cn" w:bidi="zh-cn"/>
      </w:rPr>
    </w:lvl>
    <w:lvl w:ilvl="8">
      <w:start w:val="0"/>
      <w:numFmt w:val="bullet"/>
      <w:lvlText w:val="•"/>
      <w:lvlJc w:val="left"/>
      <w:pPr>
        <w:ind w:left="8905" w:hanging="401"/>
      </w:pPr>
      <w:rPr>
        <w:rFonts w:hint="default"/>
        <w:lang w:val="zh-cn" w:eastAsia="zh-cn" w:bidi="zh-cn"/>
      </w:rPr>
    </w:lvl>
  </w:abstractNum>
  <w:abstractNum w:abstractNumId="0">
    <w:multiLevelType w:val="hybridMultilevel"/>
    <w:lvl w:ilvl="0">
      <w:start w:val="3"/>
      <w:numFmt w:val="decimal"/>
      <w:lvlText w:val="%1"/>
      <w:lvlJc w:val="left"/>
      <w:pPr>
        <w:ind w:left="597" w:hanging="180"/>
        <w:jc w:val="left"/>
      </w:pPr>
      <w:rPr>
        <w:rFonts w:hint="default" w:ascii="宋体" w:hAnsi="宋体" w:eastAsia="宋体" w:cs="宋体"/>
        <w:w w:val="100"/>
        <w:sz w:val="24"/>
        <w:szCs w:val="24"/>
        <w:lang w:val="zh-cn" w:eastAsia="zh-cn" w:bidi="zh-cn"/>
      </w:rPr>
    </w:lvl>
    <w:lvl w:ilvl="1">
      <w:start w:val="2"/>
      <w:numFmt w:val="decimal"/>
      <w:lvlText w:val="%2"/>
      <w:lvlJc w:val="left"/>
      <w:pPr>
        <w:ind w:left="1776" w:hanging="401"/>
        <w:jc w:val="left"/>
      </w:pPr>
      <w:rPr>
        <w:rFonts w:hint="default" w:ascii="Arial" w:hAnsi="Arial" w:eastAsia="Arial" w:cs="Arial"/>
        <w:color w:val="0A0A0A"/>
        <w:w w:val="91"/>
        <w:sz w:val="30"/>
        <w:szCs w:val="30"/>
        <w:lang w:val="zh-cn" w:eastAsia="zh-cn" w:bidi="zh-cn"/>
      </w:rPr>
    </w:lvl>
    <w:lvl w:ilvl="2">
      <w:start w:val="0"/>
      <w:numFmt w:val="bullet"/>
      <w:lvlText w:val="•"/>
      <w:lvlJc w:val="left"/>
      <w:pPr>
        <w:ind w:left="2769" w:hanging="401"/>
      </w:pPr>
      <w:rPr>
        <w:rFonts w:hint="default"/>
        <w:lang w:val="zh-cn" w:eastAsia="zh-cn" w:bidi="zh-cn"/>
      </w:rPr>
    </w:lvl>
    <w:lvl w:ilvl="3">
      <w:start w:val="0"/>
      <w:numFmt w:val="bullet"/>
      <w:lvlText w:val="•"/>
      <w:lvlJc w:val="left"/>
      <w:pPr>
        <w:ind w:left="3759" w:hanging="401"/>
      </w:pPr>
      <w:rPr>
        <w:rFonts w:hint="default"/>
        <w:lang w:val="zh-cn" w:eastAsia="zh-cn" w:bidi="zh-cn"/>
      </w:rPr>
    </w:lvl>
    <w:lvl w:ilvl="4">
      <w:start w:val="0"/>
      <w:numFmt w:val="bullet"/>
      <w:lvlText w:val="•"/>
      <w:lvlJc w:val="left"/>
      <w:pPr>
        <w:ind w:left="4748" w:hanging="401"/>
      </w:pPr>
      <w:rPr>
        <w:rFonts w:hint="default"/>
        <w:lang w:val="zh-cn" w:eastAsia="zh-cn" w:bidi="zh-cn"/>
      </w:rPr>
    </w:lvl>
    <w:lvl w:ilvl="5">
      <w:start w:val="0"/>
      <w:numFmt w:val="bullet"/>
      <w:lvlText w:val="•"/>
      <w:lvlJc w:val="left"/>
      <w:pPr>
        <w:ind w:left="5738" w:hanging="401"/>
      </w:pPr>
      <w:rPr>
        <w:rFonts w:hint="default"/>
        <w:lang w:val="zh-cn" w:eastAsia="zh-cn" w:bidi="zh-cn"/>
      </w:rPr>
    </w:lvl>
    <w:lvl w:ilvl="6">
      <w:start w:val="0"/>
      <w:numFmt w:val="bullet"/>
      <w:lvlText w:val="•"/>
      <w:lvlJc w:val="left"/>
      <w:pPr>
        <w:ind w:left="6728" w:hanging="401"/>
      </w:pPr>
      <w:rPr>
        <w:rFonts w:hint="default"/>
        <w:lang w:val="zh-cn" w:eastAsia="zh-cn" w:bidi="zh-cn"/>
      </w:rPr>
    </w:lvl>
    <w:lvl w:ilvl="7">
      <w:start w:val="0"/>
      <w:numFmt w:val="bullet"/>
      <w:lvlText w:val="•"/>
      <w:lvlJc w:val="left"/>
      <w:pPr>
        <w:ind w:left="7717" w:hanging="401"/>
      </w:pPr>
      <w:rPr>
        <w:rFonts w:hint="default"/>
        <w:lang w:val="zh-cn" w:eastAsia="zh-cn" w:bidi="zh-cn"/>
      </w:rPr>
    </w:lvl>
    <w:lvl w:ilvl="8">
      <w:start w:val="0"/>
      <w:numFmt w:val="bullet"/>
      <w:lvlText w:val="•"/>
      <w:lvlJc w:val="left"/>
      <w:pPr>
        <w:ind w:left="8707" w:hanging="401"/>
      </w:pPr>
      <w:rPr>
        <w:rFonts w:hint="default"/>
        <w:lang w:val="zh-cn" w:eastAsia="zh-cn" w:bidi="zh-cn"/>
      </w:rPr>
    </w:lvl>
  </w:abstractNum>
  <w:num w:numId="2">
    <w:abstractNumId w:val="1"/>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09" w:lineRule="exact"/>
      <w:ind w:left="5"/>
      <w:jc w:val="center"/>
    </w:pPr>
    <w:rPr>
      <w:rFonts w:ascii="隶书" w:hAnsi="隶书" w:eastAsia="隶书" w:cs="隶书"/>
      <w:sz w:val="44"/>
      <w:szCs w:val="44"/>
      <w:lang w:val="zh-cn" w:eastAsia="zh-cn" w:bidi="zh-cn"/>
    </w:rPr>
  </w:style>
  <w:style w:styleId="TOC2" w:type="paragraph">
    <w:name w:val="TOC 2"/>
    <w:basedOn w:val="Normal"/>
    <w:uiPriority w:val="1"/>
    <w:qFormat/>
    <w:pPr>
      <w:ind w:left="808"/>
    </w:pPr>
    <w:rPr>
      <w:rFonts w:ascii="Microsoft JhengHei" w:hAnsi="Microsoft JhengHei" w:eastAsia="Microsoft JhengHei" w:cs="Microsoft JhengHei"/>
      <w:b/>
      <w:bCs/>
      <w:sz w:val="24"/>
      <w:szCs w:val="24"/>
      <w:lang w:val="zh-cn" w:eastAsia="zh-cn" w:bidi="zh-cn"/>
    </w:rPr>
  </w:style>
  <w:style w:styleId="TOC3" w:type="paragraph">
    <w:name w:val="TOC 3"/>
    <w:basedOn w:val="Normal"/>
    <w:uiPriority w:val="1"/>
    <w:qFormat/>
    <w:pPr>
      <w:spacing w:before="58"/>
      <w:ind w:left="808"/>
    </w:pPr>
    <w:rPr>
      <w:rFonts w:ascii="宋体" w:hAnsi="宋体" w:eastAsia="宋体" w:cs="宋体"/>
      <w:sz w:val="24"/>
      <w:szCs w:val="24"/>
      <w:lang w:val="zh-cn" w:eastAsia="zh-cn" w:bidi="zh-cn"/>
    </w:rPr>
  </w:style>
  <w:style w:styleId="TOC4" w:type="paragraph">
    <w:name w:val="TOC 4"/>
    <w:basedOn w:val="Normal"/>
    <w:uiPriority w:val="1"/>
    <w:qFormat/>
    <w:pPr>
      <w:spacing w:line="430" w:lineRule="exact"/>
      <w:ind w:left="808"/>
    </w:pPr>
    <w:rPr>
      <w:rFonts w:ascii="Microsoft JhengHei" w:hAnsi="Microsoft JhengHei" w:eastAsia="Microsoft JhengHei" w:cs="Microsoft JhengHei"/>
      <w:b/>
      <w:bCs/>
      <w:i/>
      <w:lang w:val="zh-cn" w:eastAsia="zh-cn" w:bidi="zh-cn"/>
    </w:rPr>
  </w:style>
  <w:style w:styleId="BodyText" w:type="paragraph">
    <w:name w:val="Body Text"/>
    <w:basedOn w:val="Normal"/>
    <w:uiPriority w:val="1"/>
    <w:qFormat/>
    <w:pPr>
      <w:ind w:left="597"/>
    </w:pPr>
    <w:rPr>
      <w:rFonts w:ascii="宋体" w:hAnsi="宋体" w:eastAsia="宋体" w:cs="宋体"/>
      <w:sz w:val="24"/>
      <w:szCs w:val="24"/>
      <w:lang w:val="zh-cn" w:eastAsia="zh-cn" w:bidi="zh-cn"/>
    </w:rPr>
  </w:style>
  <w:style w:styleId="Heading1" w:type="paragraph">
    <w:name w:val="Heading 1"/>
    <w:basedOn w:val="Normal"/>
    <w:uiPriority w:val="1"/>
    <w:qFormat/>
    <w:pPr>
      <w:ind w:left="1045"/>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59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1502"/>
      <w:outlineLvl w:val="3"/>
    </w:pPr>
    <w:rPr>
      <w:rFonts w:ascii="宋体" w:hAnsi="宋体" w:eastAsia="宋体" w:cs="宋体"/>
      <w:sz w:val="32"/>
      <w:szCs w:val="32"/>
      <w:lang w:val="zh-cn" w:eastAsia="zh-cn" w:bidi="zh-cn"/>
    </w:rPr>
  </w:style>
  <w:style w:styleId="Heading4" w:type="paragraph">
    <w:name w:val="Heading 4"/>
    <w:basedOn w:val="Normal"/>
    <w:uiPriority w:val="1"/>
    <w:qFormat/>
    <w:pPr>
      <w:spacing w:before="180"/>
      <w:ind w:left="1387"/>
      <w:outlineLvl w:val="4"/>
    </w:pPr>
    <w:rPr>
      <w:rFonts w:ascii="宋体" w:hAnsi="宋体" w:eastAsia="宋体" w:cs="宋体"/>
      <w:sz w:val="31"/>
      <w:szCs w:val="31"/>
      <w:lang w:val="zh-cn" w:eastAsia="zh-cn" w:bidi="zh-cn"/>
    </w:rPr>
  </w:style>
  <w:style w:styleId="Heading5" w:type="paragraph">
    <w:name w:val="Heading 5"/>
    <w:basedOn w:val="Normal"/>
    <w:uiPriority w:val="1"/>
    <w:qFormat/>
    <w:pPr>
      <w:spacing w:before="3"/>
      <w:ind w:left="1384"/>
      <w:outlineLvl w:val="5"/>
    </w:pPr>
    <w:rPr>
      <w:rFonts w:ascii="Times New Roman" w:hAnsi="Times New Roman" w:eastAsia="Times New Roman" w:cs="Times New Roman"/>
      <w:sz w:val="30"/>
      <w:szCs w:val="30"/>
      <w:lang w:val="zh-cn" w:eastAsia="zh-cn" w:bidi="zh-cn"/>
    </w:rPr>
  </w:style>
  <w:style w:styleId="Heading6" w:type="paragraph">
    <w:name w:val="Heading 6"/>
    <w:basedOn w:val="Normal"/>
    <w:uiPriority w:val="1"/>
    <w:qFormat/>
    <w:pPr>
      <w:ind w:left="20"/>
      <w:outlineLvl w:val="6"/>
    </w:pPr>
    <w:rPr>
      <w:rFonts w:ascii="Microsoft JhengHei" w:hAnsi="Microsoft JhengHei" w:eastAsia="Microsoft JhengHei" w:cs="Microsoft JhengHei"/>
      <w:b/>
      <w:bCs/>
      <w:sz w:val="28"/>
      <w:szCs w:val="28"/>
      <w:lang w:val="zh-cn" w:eastAsia="zh-cn" w:bidi="zh-cn"/>
    </w:rPr>
  </w:style>
  <w:style w:styleId="Heading7" w:type="paragraph">
    <w:name w:val="Heading 7"/>
    <w:basedOn w:val="Normal"/>
    <w:uiPriority w:val="1"/>
    <w:qFormat/>
    <w:pPr>
      <w:ind w:left="1079"/>
      <w:outlineLvl w:val="7"/>
    </w:pPr>
    <w:rPr>
      <w:rFonts w:ascii="楷体" w:hAnsi="楷体" w:eastAsia="楷体" w:cs="楷体"/>
      <w:b/>
      <w:bCs/>
      <w:sz w:val="24"/>
      <w:szCs w:val="24"/>
      <w:lang w:val="zh-cn" w:eastAsia="zh-cn" w:bidi="zh-cn"/>
    </w:rPr>
  </w:style>
  <w:style w:styleId="ListParagraph" w:type="paragraph">
    <w:name w:val="List Paragraph"/>
    <w:basedOn w:val="Normal"/>
    <w:uiPriority w:val="1"/>
    <w:qFormat/>
    <w:pPr>
      <w:ind w:left="1776" w:hanging="402"/>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image" Target="media/image3.jpeg"/><Relationship Id="rId15" Type="http://schemas.openxmlformats.org/officeDocument/2006/relationships/header" Target="header4.xml"/><Relationship Id="rId16" Type="http://schemas.openxmlformats.org/officeDocument/2006/relationships/footer" Target="footer5.xml"/><Relationship Id="rId17" Type="http://schemas.openxmlformats.org/officeDocument/2006/relationships/header" Target="header5.xml"/><Relationship Id="rId18" Type="http://schemas.openxmlformats.org/officeDocument/2006/relationships/footer" Target="footer6.xml"/><Relationship Id="rId19" Type="http://schemas.openxmlformats.org/officeDocument/2006/relationships/header" Target="header6.xml"/><Relationship Id="rId20" Type="http://schemas.openxmlformats.org/officeDocument/2006/relationships/footer" Target="footer7.xml"/><Relationship Id="rId21" Type="http://schemas.openxmlformats.org/officeDocument/2006/relationships/image" Target="media/image4.jpeg"/><Relationship Id="rId22" Type="http://schemas.openxmlformats.org/officeDocument/2006/relationships/header" Target="header7.xml"/><Relationship Id="rId23" Type="http://schemas.openxmlformats.org/officeDocument/2006/relationships/footer" Target="footer8.xml"/><Relationship Id="rId24" Type="http://schemas.openxmlformats.org/officeDocument/2006/relationships/header" Target="header8.xml"/><Relationship Id="rId25" Type="http://schemas.openxmlformats.org/officeDocument/2006/relationships/footer" Target="footer9.xml"/><Relationship Id="rId26" Type="http://schemas.openxmlformats.org/officeDocument/2006/relationships/header" Target="header9.xml"/><Relationship Id="rId27" Type="http://schemas.openxmlformats.org/officeDocument/2006/relationships/footer" Target="footer10.xml"/><Relationship Id="rId28" Type="http://schemas.openxmlformats.org/officeDocument/2006/relationships/header" Target="header10.xml"/><Relationship Id="rId29" Type="http://schemas.openxmlformats.org/officeDocument/2006/relationships/footer" Target="footer11.xml"/><Relationship Id="rId30" Type="http://schemas.openxmlformats.org/officeDocument/2006/relationships/header" Target="header11.xml"/><Relationship Id="rId31" Type="http://schemas.openxmlformats.org/officeDocument/2006/relationships/footer" Target="footer12.xml"/><Relationship Id="rId32" Type="http://schemas.openxmlformats.org/officeDocument/2006/relationships/hyperlink" Target="mailto:xinxiwang@cmei.org" TargetMode="External"/><Relationship Id="rId33" Type="http://schemas.openxmlformats.org/officeDocument/2006/relationships/header" Target="header12.xml"/><Relationship Id="rId34" Type="http://schemas.openxmlformats.org/officeDocument/2006/relationships/footer" Target="footer13.xml"/><Relationship Id="rId35" Type="http://schemas.openxmlformats.org/officeDocument/2006/relationships/header" Target="header13.xml"/><Relationship Id="rId36" Type="http://schemas.openxmlformats.org/officeDocument/2006/relationships/footer" Target="footer14.xml"/><Relationship Id="rId37" Type="http://schemas.openxmlformats.org/officeDocument/2006/relationships/image" Target="media/image5.jpeg"/><Relationship Id="rId38" Type="http://schemas.openxmlformats.org/officeDocument/2006/relationships/hyperlink" Target="http://hy.cmei.org.cn/" TargetMode="External"/><Relationship Id="rId39" Type="http://schemas.openxmlformats.org/officeDocument/2006/relationships/hyperlink" Target="mailto:ang@cmei.org.cn" TargetMode="External"/><Relationship Id="rId40" Type="http://schemas.openxmlformats.org/officeDocument/2006/relationships/header" Target="header14.xml"/><Relationship Id="rId41" Type="http://schemas.openxmlformats.org/officeDocument/2006/relationships/footer" Target="footer15.xml"/><Relationship Id="rId42" Type="http://schemas.openxmlformats.org/officeDocument/2006/relationships/hyperlink" Target="mailto:xinxiwang@cmei.org.cn" TargetMode="External"/><Relationship Id="rId43" Type="http://schemas.openxmlformats.org/officeDocument/2006/relationships/image" Target="media/image6.jpeg"/><Relationship Id="rId44" Type="http://schemas.openxmlformats.org/officeDocument/2006/relationships/image" Target="media/image7.jpeg"/><Relationship Id="rId45" Type="http://schemas.openxmlformats.org/officeDocument/2006/relationships/header" Target="header15.xml"/><Relationship Id="rId46" Type="http://schemas.openxmlformats.org/officeDocument/2006/relationships/footer" Target="footer16.xml"/><Relationship Id="rId47" Type="http://schemas.openxmlformats.org/officeDocument/2006/relationships/header" Target="header16.xml"/><Relationship Id="rId48" Type="http://schemas.openxmlformats.org/officeDocument/2006/relationships/footer" Target="footer17.xml"/><Relationship Id="rId49" Type="http://schemas.openxmlformats.org/officeDocument/2006/relationships/hyperlink" Target="mailto:&#24182;&#21457;&#36865;&#33267;shinan@cmei.or" TargetMode="Externa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2019-11-18T09:47:41Z</dcterms:created>
  <dcterms:modified xsi:type="dcterms:W3CDTF">2019-11-18T09:47:41Z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Office Word 2007</vt:lpwstr>
  </property>
  <property fmtid="{D5CDD505-2E9C-101B-9397-08002B2CF9AE}" pid="4" name="LastSaved">
    <vt:filetime>2019-11-18T00:00:00Z</vt:filetime>
  </property>
</Properties>
</file>