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r>
        <w:rPr/>
        <w:pict>
          <v:group style="position:absolute;margin-left:32.400002pt;margin-top:54.599979pt;width:540.6pt;height:161.3pt;mso-position-horizontal-relative:page;mso-position-vertical-relative:page;z-index:-254384128" coordorigin="648,1092" coordsize="10812,3226">
            <v:line style="position:absolute" from="1248,1099" to="10804,1099" stroked="true" strokeweight=".72pt" strokecolor="#000000">
              <v:stroke dashstyle="solid"/>
            </v:line>
            <v:shape style="position:absolute;left:648;top:1099;width:10812;height:3219" type="#_x0000_t75" stroked="false">
              <v:imagedata r:id="rId6" o:title=""/>
            </v:shape>
            <w10:wrap type="none"/>
          </v:group>
        </w:pic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rPr>
      </w:pPr>
    </w:p>
    <w:p>
      <w:pPr>
        <w:pStyle w:val="Heading2"/>
        <w:tabs>
          <w:tab w:pos="3381" w:val="left" w:leader="none"/>
        </w:tabs>
        <w:spacing w:before="55"/>
        <w:ind w:left="243"/>
        <w:jc w:val="center"/>
        <w:rPr>
          <w:rFonts w:ascii="黑体" w:eastAsia="黑体" w:hint="eastAsia"/>
        </w:rPr>
      </w:pPr>
      <w:r>
        <w:rPr>
          <w:rFonts w:ascii="黑体" w:eastAsia="黑体" w:hint="eastAsia"/>
        </w:rPr>
        <w:t>2019</w:t>
      </w:r>
      <w:r>
        <w:rPr>
          <w:rFonts w:ascii="黑体" w:eastAsia="黑体" w:hint="eastAsia"/>
          <w:spacing w:val="-82"/>
        </w:rPr>
        <w:t> </w:t>
      </w:r>
      <w:r>
        <w:rPr>
          <w:rFonts w:ascii="黑体" w:eastAsia="黑体" w:hint="eastAsia"/>
        </w:rPr>
        <w:t>年第</w:t>
      </w:r>
      <w:r>
        <w:rPr>
          <w:rFonts w:ascii="黑体" w:eastAsia="黑体" w:hint="eastAsia"/>
          <w:spacing w:val="-80"/>
        </w:rPr>
        <w:t> </w:t>
      </w:r>
      <w:r>
        <w:rPr>
          <w:rFonts w:ascii="黑体" w:eastAsia="黑体" w:hint="eastAsia"/>
        </w:rPr>
        <w:t>8</w:t>
      </w:r>
      <w:r>
        <w:rPr>
          <w:rFonts w:ascii="黑体" w:eastAsia="黑体" w:hint="eastAsia"/>
          <w:spacing w:val="-83"/>
        </w:rPr>
        <w:t> </w:t>
      </w:r>
      <w:r>
        <w:rPr>
          <w:rFonts w:ascii="黑体" w:eastAsia="黑体" w:hint="eastAsia"/>
        </w:rPr>
        <w:t>期</w:t>
        <w:tab/>
        <w:t>总第</w:t>
      </w:r>
      <w:r>
        <w:rPr>
          <w:rFonts w:ascii="黑体" w:eastAsia="黑体" w:hint="eastAsia"/>
          <w:spacing w:val="-80"/>
        </w:rPr>
        <w:t> </w:t>
      </w:r>
      <w:r>
        <w:rPr>
          <w:rFonts w:ascii="黑体" w:eastAsia="黑体" w:hint="eastAsia"/>
        </w:rPr>
        <w:t>206</w:t>
      </w:r>
      <w:r>
        <w:rPr>
          <w:rFonts w:ascii="黑体" w:eastAsia="黑体" w:hint="eastAsia"/>
          <w:spacing w:val="-81"/>
        </w:rPr>
        <w:t> </w:t>
      </w:r>
      <w:r>
        <w:rPr>
          <w:rFonts w:ascii="黑体" w:eastAsia="黑体" w:hint="eastAsia"/>
        </w:rPr>
        <w:t>期</w:t>
      </w:r>
    </w:p>
    <w:p>
      <w:pPr>
        <w:tabs>
          <w:tab w:pos="7409" w:val="left" w:leader="none"/>
        </w:tabs>
        <w:spacing w:before="230"/>
        <w:ind w:left="378" w:right="0" w:firstLine="0"/>
        <w:jc w:val="left"/>
        <w:rPr>
          <w:rFonts w:ascii="楷体" w:eastAsia="楷体" w:hint="eastAsia"/>
          <w:b/>
          <w:sz w:val="28"/>
        </w:rPr>
      </w:pPr>
      <w:r>
        <w:rPr/>
        <w:pict>
          <v:shape style="position:absolute;margin-left:55pt;margin-top:36.279995pt;width:491.25pt;height:.1pt;mso-position-horizontal-relative:page;mso-position-vertical-relative:paragraph;z-index:-251658240;mso-wrap-distance-left:0;mso-wrap-distance-right:0" coordorigin="1100,726" coordsize="9825,0" path="m1100,726l10925,726e" filled="false" stroked="true" strokeweight="2.25pt" strokecolor="#ff0000">
            <v:path arrowok="t"/>
            <v:stroke dashstyle="solid"/>
            <w10:wrap type="topAndBottom"/>
          </v:shape>
        </w:pict>
      </w:r>
      <w:r>
        <w:rPr>
          <w:rFonts w:ascii="楷体" w:eastAsia="楷体" w:hint="eastAsia"/>
          <w:b/>
          <w:sz w:val="28"/>
        </w:rPr>
        <w:t>中国药学会科技开发中心 组织联络部</w:t>
        <w:tab/>
        <w:t>2019</w:t>
      </w:r>
      <w:r>
        <w:rPr>
          <w:rFonts w:ascii="楷体" w:eastAsia="楷体" w:hint="eastAsia"/>
          <w:b/>
          <w:spacing w:val="-70"/>
          <w:sz w:val="28"/>
        </w:rPr>
        <w:t> </w:t>
      </w:r>
      <w:r>
        <w:rPr>
          <w:rFonts w:ascii="楷体" w:eastAsia="楷体" w:hint="eastAsia"/>
          <w:b/>
          <w:sz w:val="28"/>
        </w:rPr>
        <w:t>年</w:t>
      </w:r>
      <w:r>
        <w:rPr>
          <w:rFonts w:ascii="楷体" w:eastAsia="楷体" w:hint="eastAsia"/>
          <w:b/>
          <w:spacing w:val="-70"/>
          <w:sz w:val="28"/>
        </w:rPr>
        <w:t> </w:t>
      </w:r>
      <w:r>
        <w:rPr>
          <w:rFonts w:ascii="楷体" w:eastAsia="楷体" w:hint="eastAsia"/>
          <w:b/>
          <w:sz w:val="28"/>
        </w:rPr>
        <w:t>5</w:t>
      </w:r>
      <w:r>
        <w:rPr>
          <w:rFonts w:ascii="楷体" w:eastAsia="楷体" w:hint="eastAsia"/>
          <w:b/>
          <w:spacing w:val="-73"/>
          <w:sz w:val="28"/>
        </w:rPr>
        <w:t> </w:t>
      </w:r>
      <w:r>
        <w:rPr>
          <w:rFonts w:ascii="楷体" w:eastAsia="楷体" w:hint="eastAsia"/>
          <w:b/>
          <w:sz w:val="28"/>
        </w:rPr>
        <w:t>月</w:t>
      </w:r>
      <w:r>
        <w:rPr>
          <w:rFonts w:ascii="楷体" w:eastAsia="楷体" w:hint="eastAsia"/>
          <w:b/>
          <w:spacing w:val="-70"/>
          <w:sz w:val="28"/>
        </w:rPr>
        <w:t> </w:t>
      </w:r>
      <w:r>
        <w:rPr>
          <w:rFonts w:ascii="楷体" w:eastAsia="楷体" w:hint="eastAsia"/>
          <w:b/>
          <w:sz w:val="28"/>
        </w:rPr>
        <w:t>15</w:t>
      </w:r>
      <w:r>
        <w:rPr>
          <w:rFonts w:ascii="楷体" w:eastAsia="楷体" w:hint="eastAsia"/>
          <w:b/>
          <w:spacing w:val="-74"/>
          <w:sz w:val="28"/>
        </w:rPr>
        <w:t> </w:t>
      </w:r>
      <w:r>
        <w:rPr>
          <w:rFonts w:ascii="楷体" w:eastAsia="楷体" w:hint="eastAsia"/>
          <w:b/>
          <w:sz w:val="28"/>
        </w:rPr>
        <w:t>日</w:t>
      </w:r>
    </w:p>
    <w:p>
      <w:pPr>
        <w:pStyle w:val="BodyText"/>
        <w:spacing w:before="8"/>
        <w:ind w:left="0"/>
        <w:rPr>
          <w:rFonts w:ascii="楷体"/>
          <w:b/>
          <w:sz w:val="29"/>
        </w:rPr>
      </w:pPr>
    </w:p>
    <w:p>
      <w:pPr>
        <w:pStyle w:val="Heading1"/>
        <w:spacing w:line="560" w:lineRule="exact"/>
        <w:ind w:left="1"/>
        <w:jc w:val="center"/>
        <w:rPr>
          <w:rFonts w:ascii="黑体" w:eastAsia="黑体" w:hint="eastAsia"/>
          <w:u w:val="none"/>
        </w:rPr>
      </w:pPr>
      <w:r>
        <w:rPr>
          <w:rFonts w:ascii="黑体" w:eastAsia="黑体" w:hint="eastAsia"/>
          <w:color w:val="008000"/>
          <w:u w:val="none"/>
        </w:rPr>
        <w:t>目 次</w:t>
      </w:r>
    </w:p>
    <w:p>
      <w:pPr>
        <w:spacing w:line="560" w:lineRule="exact" w:before="0"/>
        <w:ind w:left="5" w:right="0" w:firstLine="0"/>
        <w:jc w:val="center"/>
        <w:rPr>
          <w:rFonts w:ascii="隶书" w:eastAsia="隶书" w:hint="eastAsia"/>
          <w:sz w:val="44"/>
        </w:rPr>
      </w:pPr>
      <w:r>
        <w:rPr>
          <w:rFonts w:ascii="隶书" w:eastAsia="隶书" w:hint="eastAsia"/>
          <w:color w:val="1A5220"/>
          <w:sz w:val="44"/>
        </w:rPr>
        <w:t>政策导览</w:t>
      </w:r>
    </w:p>
    <w:p>
      <w:pPr>
        <w:tabs>
          <w:tab w:pos="9523" w:val="right" w:leader="dot"/>
        </w:tabs>
        <w:spacing w:before="107"/>
        <w:ind w:left="448" w:right="0" w:firstLine="0"/>
        <w:jc w:val="left"/>
        <w:rPr>
          <w:rFonts w:ascii="楷体" w:eastAsia="楷体" w:hint="eastAsia"/>
          <w:sz w:val="28"/>
        </w:rPr>
      </w:pPr>
      <w:r>
        <w:rPr>
          <w:rFonts w:ascii="楷体" w:eastAsia="楷体" w:hint="eastAsia"/>
          <w:b/>
          <w:sz w:val="28"/>
        </w:rPr>
        <w:t>【政府要闻】</w:t>
        <w:tab/>
      </w:r>
      <w:r>
        <w:rPr>
          <w:rFonts w:ascii="楷体" w:eastAsia="楷体" w:hint="eastAsia"/>
          <w:sz w:val="28"/>
        </w:rPr>
        <w:t>1</w:t>
      </w:r>
    </w:p>
    <w:p>
      <w:pPr>
        <w:tabs>
          <w:tab w:pos="9523" w:val="right" w:leader="dot"/>
        </w:tabs>
        <w:spacing w:before="143"/>
        <w:ind w:left="448" w:right="0" w:firstLine="0"/>
        <w:jc w:val="left"/>
        <w:rPr>
          <w:rFonts w:ascii="楷体" w:eastAsia="楷体" w:hint="eastAsia"/>
          <w:sz w:val="28"/>
        </w:rPr>
      </w:pPr>
      <w:r>
        <w:rPr>
          <w:rFonts w:ascii="楷体" w:eastAsia="楷体" w:hint="eastAsia"/>
          <w:sz w:val="28"/>
        </w:rPr>
        <w:t>国务院</w:t>
      </w:r>
      <w:r>
        <w:rPr>
          <w:rFonts w:ascii="楷体" w:eastAsia="楷体" w:hint="eastAsia"/>
          <w:spacing w:val="-3"/>
          <w:sz w:val="28"/>
        </w:rPr>
        <w:t>公</w:t>
      </w:r>
      <w:r>
        <w:rPr>
          <w:rFonts w:ascii="楷体" w:eastAsia="楷体" w:hint="eastAsia"/>
          <w:sz w:val="28"/>
        </w:rPr>
        <w:t>布今</w:t>
      </w:r>
      <w:r>
        <w:rPr>
          <w:rFonts w:ascii="楷体" w:eastAsia="楷体" w:hint="eastAsia"/>
          <w:spacing w:val="-3"/>
          <w:sz w:val="28"/>
        </w:rPr>
        <w:t>年立</w:t>
      </w:r>
      <w:r>
        <w:rPr>
          <w:rFonts w:ascii="楷体" w:eastAsia="楷体" w:hint="eastAsia"/>
          <w:sz w:val="28"/>
        </w:rPr>
        <w:t>法工作</w:t>
      </w:r>
      <w:r>
        <w:rPr>
          <w:rFonts w:ascii="楷体" w:eastAsia="楷体" w:hint="eastAsia"/>
          <w:spacing w:val="-3"/>
          <w:sz w:val="28"/>
        </w:rPr>
        <w:t>计</w:t>
      </w:r>
      <w:r>
        <w:rPr>
          <w:rFonts w:ascii="楷体" w:eastAsia="楷体" w:hint="eastAsia"/>
          <w:sz w:val="28"/>
        </w:rPr>
        <w:t>划</w:t>
        <w:tab/>
        <w:t>1</w:t>
      </w:r>
    </w:p>
    <w:p>
      <w:pPr>
        <w:tabs>
          <w:tab w:pos="9523" w:val="right" w:leader="dot"/>
        </w:tabs>
        <w:spacing w:before="141"/>
        <w:ind w:left="448" w:right="0" w:firstLine="0"/>
        <w:jc w:val="left"/>
        <w:rPr>
          <w:rFonts w:ascii="楷体" w:eastAsia="楷体" w:hint="eastAsia"/>
          <w:sz w:val="28"/>
        </w:rPr>
      </w:pPr>
      <w:r>
        <w:rPr>
          <w:rFonts w:ascii="楷体" w:eastAsia="楷体" w:hint="eastAsia"/>
          <w:b/>
          <w:sz w:val="28"/>
        </w:rPr>
        <w:t>【医保动态】</w:t>
        <w:tab/>
      </w:r>
      <w:r>
        <w:rPr>
          <w:rFonts w:ascii="楷体" w:eastAsia="楷体" w:hint="eastAsia"/>
          <w:sz w:val="28"/>
        </w:rPr>
        <w:t>1</w:t>
      </w:r>
    </w:p>
    <w:p>
      <w:pPr>
        <w:tabs>
          <w:tab w:pos="9523" w:val="right" w:leader="dot"/>
        </w:tabs>
        <w:spacing w:before="140"/>
        <w:ind w:left="448" w:right="0" w:firstLine="0"/>
        <w:jc w:val="left"/>
        <w:rPr>
          <w:rFonts w:ascii="楷体" w:eastAsia="楷体" w:hint="eastAsia"/>
          <w:sz w:val="28"/>
        </w:rPr>
      </w:pPr>
      <w:r>
        <w:rPr>
          <w:rFonts w:ascii="楷体" w:eastAsia="楷体" w:hint="eastAsia"/>
          <w:sz w:val="28"/>
        </w:rPr>
        <w:t>国家医</w:t>
      </w:r>
      <w:r>
        <w:rPr>
          <w:rFonts w:ascii="楷体" w:eastAsia="楷体" w:hint="eastAsia"/>
          <w:spacing w:val="-3"/>
          <w:sz w:val="28"/>
        </w:rPr>
        <w:t>疗</w:t>
      </w:r>
      <w:r>
        <w:rPr>
          <w:rFonts w:ascii="楷体" w:eastAsia="楷体" w:hint="eastAsia"/>
          <w:sz w:val="28"/>
        </w:rPr>
        <w:t>保障局</w:t>
      </w:r>
      <w:r>
        <w:rPr>
          <w:rFonts w:ascii="楷体" w:eastAsia="楷体" w:hint="eastAsia"/>
          <w:spacing w:val="1"/>
          <w:sz w:val="28"/>
        </w:rPr>
        <w:t> </w:t>
      </w:r>
      <w:r>
        <w:rPr>
          <w:rFonts w:ascii="楷体" w:eastAsia="楷体" w:hint="eastAsia"/>
          <w:spacing w:val="-3"/>
          <w:sz w:val="28"/>
        </w:rPr>
        <w:t>财</w:t>
      </w:r>
      <w:r>
        <w:rPr>
          <w:rFonts w:ascii="楷体" w:eastAsia="楷体" w:hint="eastAsia"/>
          <w:sz w:val="28"/>
        </w:rPr>
        <w:t>政部对</w:t>
      </w:r>
      <w:r>
        <w:rPr>
          <w:rFonts w:ascii="楷体" w:eastAsia="楷体" w:hint="eastAsia"/>
          <w:spacing w:val="-69"/>
          <w:sz w:val="28"/>
        </w:rPr>
        <w:t> </w:t>
      </w:r>
      <w:r>
        <w:rPr>
          <w:rFonts w:ascii="楷体" w:eastAsia="楷体" w:hint="eastAsia"/>
          <w:sz w:val="28"/>
        </w:rPr>
        <w:t>2019</w:t>
      </w:r>
      <w:r>
        <w:rPr>
          <w:rFonts w:ascii="楷体" w:eastAsia="楷体" w:hint="eastAsia"/>
          <w:spacing w:val="-71"/>
          <w:sz w:val="28"/>
        </w:rPr>
        <w:t> </w:t>
      </w:r>
      <w:r>
        <w:rPr>
          <w:rFonts w:ascii="楷体" w:eastAsia="楷体" w:hint="eastAsia"/>
          <w:sz w:val="28"/>
        </w:rPr>
        <w:t>年城</w:t>
      </w:r>
      <w:r>
        <w:rPr>
          <w:rFonts w:ascii="楷体" w:eastAsia="楷体" w:hint="eastAsia"/>
          <w:spacing w:val="-3"/>
          <w:sz w:val="28"/>
        </w:rPr>
        <w:t>乡</w:t>
      </w:r>
      <w:r>
        <w:rPr>
          <w:rFonts w:ascii="楷体" w:eastAsia="楷体" w:hint="eastAsia"/>
          <w:sz w:val="28"/>
        </w:rPr>
        <w:t>居民医</w:t>
      </w:r>
      <w:r>
        <w:rPr>
          <w:rFonts w:ascii="楷体" w:eastAsia="楷体" w:hint="eastAsia"/>
          <w:spacing w:val="-3"/>
          <w:sz w:val="28"/>
        </w:rPr>
        <w:t>疗</w:t>
      </w:r>
      <w:r>
        <w:rPr>
          <w:rFonts w:ascii="楷体" w:eastAsia="楷体" w:hint="eastAsia"/>
          <w:sz w:val="28"/>
        </w:rPr>
        <w:t>保障</w:t>
      </w:r>
      <w:r>
        <w:rPr>
          <w:rFonts w:ascii="楷体" w:eastAsia="楷体" w:hint="eastAsia"/>
          <w:spacing w:val="-3"/>
          <w:sz w:val="28"/>
        </w:rPr>
        <w:t>工作</w:t>
      </w:r>
      <w:r>
        <w:rPr>
          <w:rFonts w:ascii="楷体" w:eastAsia="楷体" w:hint="eastAsia"/>
          <w:sz w:val="28"/>
        </w:rPr>
        <w:t>作出部署</w:t>
        <w:tab/>
        <w:t>1</w:t>
      </w:r>
    </w:p>
    <w:p>
      <w:pPr>
        <w:tabs>
          <w:tab w:pos="9523" w:val="right" w:leader="dot"/>
        </w:tabs>
        <w:spacing w:before="143"/>
        <w:ind w:left="448" w:right="0" w:firstLine="0"/>
        <w:jc w:val="left"/>
        <w:rPr>
          <w:rFonts w:ascii="楷体" w:eastAsia="楷体" w:hint="eastAsia"/>
          <w:sz w:val="28"/>
        </w:rPr>
      </w:pPr>
      <w:r>
        <w:rPr>
          <w:rFonts w:ascii="楷体" w:eastAsia="楷体" w:hint="eastAsia"/>
          <w:b/>
          <w:sz w:val="28"/>
        </w:rPr>
        <w:t>【药监动态】</w:t>
        <w:tab/>
      </w:r>
      <w:r>
        <w:rPr>
          <w:rFonts w:ascii="楷体" w:eastAsia="楷体" w:hint="eastAsia"/>
          <w:sz w:val="28"/>
        </w:rPr>
        <w:t>2</w:t>
      </w:r>
    </w:p>
    <w:p>
      <w:pPr>
        <w:tabs>
          <w:tab w:pos="9523" w:val="right" w:leader="dot"/>
        </w:tabs>
        <w:spacing w:before="141"/>
        <w:ind w:left="448" w:right="0" w:firstLine="0"/>
        <w:jc w:val="left"/>
        <w:rPr>
          <w:rFonts w:ascii="楷体" w:eastAsia="楷体" w:hint="eastAsia"/>
          <w:sz w:val="28"/>
        </w:rPr>
      </w:pPr>
      <w:r>
        <w:rPr>
          <w:rFonts w:ascii="楷体" w:eastAsia="楷体" w:hint="eastAsia"/>
          <w:sz w:val="28"/>
        </w:rPr>
        <w:t>多个药</w:t>
      </w:r>
      <w:r>
        <w:rPr>
          <w:rFonts w:ascii="楷体" w:eastAsia="楷体" w:hint="eastAsia"/>
          <w:spacing w:val="-3"/>
          <w:sz w:val="28"/>
        </w:rPr>
        <w:t>用</w:t>
      </w:r>
      <w:r>
        <w:rPr>
          <w:rFonts w:ascii="楷体" w:eastAsia="楷体" w:hint="eastAsia"/>
          <w:sz w:val="28"/>
        </w:rPr>
        <w:t>辅料</w:t>
      </w:r>
      <w:r>
        <w:rPr>
          <w:rFonts w:ascii="楷体" w:eastAsia="楷体" w:hint="eastAsia"/>
          <w:spacing w:val="-3"/>
          <w:sz w:val="28"/>
        </w:rPr>
        <w:t>标准</w:t>
      </w:r>
      <w:r>
        <w:rPr>
          <w:rFonts w:ascii="楷体" w:eastAsia="楷体" w:hint="eastAsia"/>
          <w:sz w:val="28"/>
        </w:rPr>
        <w:t>修订草</w:t>
      </w:r>
      <w:r>
        <w:rPr>
          <w:rFonts w:ascii="楷体" w:eastAsia="楷体" w:hint="eastAsia"/>
          <w:spacing w:val="-3"/>
          <w:sz w:val="28"/>
        </w:rPr>
        <w:t>案</w:t>
      </w:r>
      <w:r>
        <w:rPr>
          <w:rFonts w:ascii="楷体" w:eastAsia="楷体" w:hint="eastAsia"/>
          <w:sz w:val="28"/>
        </w:rPr>
        <w:t>征求</w:t>
      </w:r>
      <w:r>
        <w:rPr>
          <w:rFonts w:ascii="楷体" w:eastAsia="楷体" w:hint="eastAsia"/>
          <w:spacing w:val="-3"/>
          <w:sz w:val="28"/>
        </w:rPr>
        <w:t>意</w:t>
      </w:r>
      <w:r>
        <w:rPr>
          <w:rFonts w:ascii="楷体" w:eastAsia="楷体" w:hint="eastAsia"/>
          <w:sz w:val="28"/>
        </w:rPr>
        <w:t>见</w:t>
        <w:tab/>
        <w:t>2</w:t>
      </w:r>
    </w:p>
    <w:p>
      <w:pPr>
        <w:spacing w:before="28"/>
        <w:ind w:left="5" w:right="0" w:firstLine="0"/>
        <w:jc w:val="center"/>
        <w:rPr>
          <w:rFonts w:ascii="隶书" w:eastAsia="隶书" w:hint="eastAsia"/>
          <w:sz w:val="44"/>
        </w:rPr>
      </w:pPr>
      <w:r>
        <w:rPr>
          <w:rFonts w:ascii="隶书" w:eastAsia="隶书" w:hint="eastAsia"/>
          <w:color w:val="1A5220"/>
          <w:sz w:val="44"/>
        </w:rPr>
        <w:t>行业资讯</w:t>
      </w:r>
    </w:p>
    <w:p>
      <w:pPr>
        <w:tabs>
          <w:tab w:pos="9523" w:val="right" w:leader="dot"/>
        </w:tabs>
        <w:spacing w:before="111"/>
        <w:ind w:left="448" w:right="0" w:firstLine="0"/>
        <w:jc w:val="left"/>
        <w:rPr>
          <w:rFonts w:ascii="楷体" w:eastAsia="楷体" w:hint="eastAsia"/>
          <w:sz w:val="28"/>
        </w:rPr>
      </w:pPr>
      <w:r>
        <w:rPr>
          <w:rFonts w:ascii="楷体" w:eastAsia="楷体" w:hint="eastAsia"/>
          <w:b/>
          <w:sz w:val="28"/>
        </w:rPr>
        <w:t>【热点聚焦】</w:t>
        <w:tab/>
      </w:r>
      <w:r>
        <w:rPr>
          <w:rFonts w:ascii="楷体" w:eastAsia="楷体" w:hint="eastAsia"/>
          <w:sz w:val="28"/>
        </w:rPr>
        <w:t>2</w:t>
      </w:r>
    </w:p>
    <w:p>
      <w:pPr>
        <w:tabs>
          <w:tab w:pos="9523" w:val="right" w:leader="dot"/>
        </w:tabs>
        <w:spacing w:before="140"/>
        <w:ind w:left="448" w:right="0" w:firstLine="0"/>
        <w:jc w:val="left"/>
        <w:rPr>
          <w:rFonts w:ascii="楷体" w:eastAsia="楷体" w:hint="eastAsia"/>
          <w:sz w:val="28"/>
        </w:rPr>
      </w:pPr>
      <w:r>
        <w:rPr>
          <w:rFonts w:ascii="楷体" w:eastAsia="楷体" w:hint="eastAsia"/>
          <w:sz w:val="28"/>
        </w:rPr>
        <w:t>多种因</w:t>
      </w:r>
      <w:r>
        <w:rPr>
          <w:rFonts w:ascii="楷体" w:eastAsia="楷体" w:hint="eastAsia"/>
          <w:spacing w:val="-3"/>
          <w:sz w:val="28"/>
        </w:rPr>
        <w:t>素</w:t>
      </w:r>
      <w:r>
        <w:rPr>
          <w:rFonts w:ascii="楷体" w:eastAsia="楷体" w:hint="eastAsia"/>
          <w:sz w:val="28"/>
        </w:rPr>
        <w:t>导致</w:t>
      </w:r>
      <w:r>
        <w:rPr>
          <w:rFonts w:ascii="楷体" w:eastAsia="楷体" w:hint="eastAsia"/>
          <w:spacing w:val="-3"/>
          <w:sz w:val="28"/>
        </w:rPr>
        <w:t>急抢</w:t>
      </w:r>
      <w:r>
        <w:rPr>
          <w:rFonts w:ascii="楷体" w:eastAsia="楷体" w:hint="eastAsia"/>
          <w:sz w:val="28"/>
        </w:rPr>
        <w:t>救药时</w:t>
      </w:r>
      <w:r>
        <w:rPr>
          <w:rFonts w:ascii="楷体" w:eastAsia="楷体" w:hint="eastAsia"/>
          <w:spacing w:val="-3"/>
          <w:sz w:val="28"/>
        </w:rPr>
        <w:t>有</w:t>
      </w:r>
      <w:r>
        <w:rPr>
          <w:rFonts w:ascii="楷体" w:eastAsia="楷体" w:hint="eastAsia"/>
          <w:sz w:val="28"/>
        </w:rPr>
        <w:t>短缺</w:t>
        <w:tab/>
        <w:t>2</w:t>
      </w:r>
    </w:p>
    <w:p>
      <w:pPr>
        <w:tabs>
          <w:tab w:pos="9523" w:val="right" w:leader="dot"/>
        </w:tabs>
        <w:spacing w:before="140"/>
        <w:ind w:left="448" w:right="0" w:firstLine="0"/>
        <w:jc w:val="left"/>
        <w:rPr>
          <w:rFonts w:ascii="楷体" w:hAnsi="楷体" w:eastAsia="楷体" w:hint="eastAsia"/>
          <w:sz w:val="28"/>
        </w:rPr>
      </w:pPr>
      <w:r>
        <w:rPr>
          <w:rFonts w:ascii="楷体" w:hAnsi="楷体" w:eastAsia="楷体" w:hint="eastAsia"/>
          <w:w w:val="100"/>
          <w:sz w:val="28"/>
        </w:rPr>
        <w:t>带量采</w:t>
      </w:r>
      <w:r>
        <w:rPr>
          <w:rFonts w:ascii="楷体" w:hAnsi="楷体" w:eastAsia="楷体" w:hint="eastAsia"/>
          <w:spacing w:val="-3"/>
          <w:w w:val="100"/>
          <w:sz w:val="28"/>
        </w:rPr>
        <w:t>购</w:t>
      </w:r>
      <w:r>
        <w:rPr>
          <w:rFonts w:ascii="楷体" w:hAnsi="楷体" w:eastAsia="楷体" w:hint="eastAsia"/>
          <w:w w:val="100"/>
          <w:sz w:val="28"/>
        </w:rPr>
        <w:t>“</w:t>
      </w:r>
      <w:r>
        <w:rPr>
          <w:rFonts w:ascii="楷体" w:hAnsi="楷体" w:eastAsia="楷体" w:hint="eastAsia"/>
          <w:spacing w:val="-2"/>
          <w:w w:val="100"/>
          <w:sz w:val="28"/>
        </w:rPr>
        <w:t>4+7</w:t>
      </w:r>
      <w:r>
        <w:rPr>
          <w:rFonts w:ascii="楷体" w:hAnsi="楷体" w:eastAsia="楷体" w:hint="eastAsia"/>
          <w:w w:val="100"/>
          <w:sz w:val="28"/>
        </w:rPr>
        <w:t>”到“</w:t>
      </w:r>
      <w:r>
        <w:rPr>
          <w:rFonts w:ascii="楷体" w:hAnsi="楷体" w:eastAsia="楷体" w:hint="eastAsia"/>
          <w:spacing w:val="-2"/>
          <w:w w:val="100"/>
          <w:sz w:val="28"/>
        </w:rPr>
        <w:t>4</w:t>
      </w:r>
      <w:r>
        <w:rPr>
          <w:rFonts w:ascii="楷体" w:hAnsi="楷体" w:eastAsia="楷体" w:hint="eastAsia"/>
          <w:w w:val="100"/>
          <w:sz w:val="28"/>
        </w:rPr>
        <w:t>+</w:t>
      </w:r>
      <w:r>
        <w:rPr>
          <w:rFonts w:ascii="楷体" w:hAnsi="楷体" w:eastAsia="楷体" w:hint="eastAsia"/>
          <w:spacing w:val="-1"/>
          <w:w w:val="100"/>
          <w:sz w:val="28"/>
        </w:rPr>
        <w:t>N</w:t>
      </w:r>
      <w:r>
        <w:rPr>
          <w:rFonts w:ascii="楷体" w:hAnsi="楷体" w:eastAsia="楷体" w:hint="eastAsia"/>
          <w:spacing w:val="-140"/>
          <w:w w:val="100"/>
          <w:sz w:val="28"/>
        </w:rPr>
        <w:t>”</w:t>
      </w:r>
      <w:r>
        <w:rPr>
          <w:rFonts w:ascii="楷体" w:hAnsi="楷体" w:eastAsia="楷体" w:hint="eastAsia"/>
          <w:spacing w:val="-3"/>
          <w:w w:val="100"/>
          <w:sz w:val="28"/>
        </w:rPr>
        <w:t>，</w:t>
      </w:r>
      <w:r>
        <w:rPr>
          <w:rFonts w:ascii="楷体" w:hAnsi="楷体" w:eastAsia="楷体" w:hint="eastAsia"/>
          <w:w w:val="100"/>
          <w:sz w:val="28"/>
        </w:rPr>
        <w:t>还需</w:t>
      </w:r>
      <w:r>
        <w:rPr>
          <w:rFonts w:ascii="楷体" w:hAnsi="楷体" w:eastAsia="楷体" w:hint="eastAsia"/>
          <w:spacing w:val="-3"/>
          <w:w w:val="100"/>
          <w:sz w:val="28"/>
        </w:rPr>
        <w:t>厘清</w:t>
      </w:r>
      <w:r>
        <w:rPr>
          <w:rFonts w:ascii="楷体" w:hAnsi="楷体" w:eastAsia="楷体" w:hint="eastAsia"/>
          <w:w w:val="100"/>
          <w:sz w:val="28"/>
        </w:rPr>
        <w:t>六大问</w:t>
      </w:r>
      <w:r>
        <w:rPr>
          <w:rFonts w:ascii="楷体" w:hAnsi="楷体" w:eastAsia="楷体" w:hint="eastAsia"/>
          <w:spacing w:val="-3"/>
          <w:w w:val="100"/>
          <w:sz w:val="28"/>
        </w:rPr>
        <w:t>题</w:t>
      </w:r>
      <w:r>
        <w:rPr>
          <w:rFonts w:ascii="楷体" w:hAnsi="楷体" w:eastAsia="楷体" w:hint="eastAsia"/>
          <w:w w:val="100"/>
          <w:sz w:val="28"/>
        </w:rPr>
        <w:t>！</w:t>
      </w:r>
      <w:r>
        <w:rPr>
          <w:rFonts w:ascii="Times New Roman" w:hAnsi="Times New Roman" w:eastAsia="Times New Roman"/>
          <w:b/>
          <w:w w:val="100"/>
          <w:sz w:val="28"/>
        </w:rPr>
        <w:t> </w:t>
      </w:r>
      <w:r>
        <w:rPr>
          <w:rFonts w:ascii="Times New Roman" w:hAnsi="Times New Roman" w:eastAsia="Times New Roman"/>
          <w:b/>
          <w:sz w:val="28"/>
        </w:rPr>
        <w:tab/>
      </w:r>
      <w:r>
        <w:rPr>
          <w:rFonts w:ascii="楷体" w:hAnsi="楷体" w:eastAsia="楷体" w:hint="eastAsia"/>
          <w:w w:val="100"/>
          <w:sz w:val="28"/>
        </w:rPr>
        <w:t>4</w:t>
      </w:r>
    </w:p>
    <w:p>
      <w:pPr>
        <w:tabs>
          <w:tab w:pos="9523" w:val="right" w:leader="dot"/>
        </w:tabs>
        <w:spacing w:before="143"/>
        <w:ind w:left="448" w:right="0" w:firstLine="0"/>
        <w:jc w:val="left"/>
        <w:rPr>
          <w:rFonts w:ascii="楷体" w:eastAsia="楷体" w:hint="eastAsia"/>
          <w:sz w:val="28"/>
        </w:rPr>
      </w:pPr>
      <w:r>
        <w:rPr>
          <w:rFonts w:ascii="楷体" w:eastAsia="楷体" w:hint="eastAsia"/>
          <w:b/>
          <w:sz w:val="28"/>
        </w:rPr>
        <w:t>【数据公报】</w:t>
        <w:tab/>
      </w:r>
      <w:r>
        <w:rPr>
          <w:rFonts w:ascii="楷体" w:eastAsia="楷体" w:hint="eastAsia"/>
          <w:sz w:val="28"/>
        </w:rPr>
        <w:t>7</w:t>
      </w:r>
    </w:p>
    <w:p>
      <w:pPr>
        <w:tabs>
          <w:tab w:pos="9523" w:val="right" w:leader="dot"/>
        </w:tabs>
        <w:spacing w:before="141"/>
        <w:ind w:left="448" w:right="0" w:firstLine="0"/>
        <w:jc w:val="left"/>
        <w:rPr>
          <w:rFonts w:ascii="楷体" w:eastAsia="楷体" w:hint="eastAsia"/>
          <w:sz w:val="28"/>
        </w:rPr>
      </w:pPr>
      <w:r>
        <w:rPr>
          <w:rFonts w:ascii="楷体" w:eastAsia="楷体" w:hint="eastAsia"/>
          <w:sz w:val="28"/>
        </w:rPr>
        <w:t>《2018</w:t>
      </w:r>
      <w:r>
        <w:rPr>
          <w:rFonts w:ascii="楷体" w:eastAsia="楷体" w:hint="eastAsia"/>
          <w:spacing w:val="-72"/>
          <w:sz w:val="28"/>
        </w:rPr>
        <w:t> </w:t>
      </w:r>
      <w:r>
        <w:rPr>
          <w:rFonts w:ascii="楷体" w:eastAsia="楷体" w:hint="eastAsia"/>
          <w:sz w:val="28"/>
        </w:rPr>
        <w:t>年度药品</w:t>
      </w:r>
      <w:r>
        <w:rPr>
          <w:rFonts w:ascii="楷体" w:eastAsia="楷体" w:hint="eastAsia"/>
          <w:spacing w:val="-3"/>
          <w:sz w:val="28"/>
        </w:rPr>
        <w:t>监</w:t>
      </w:r>
      <w:r>
        <w:rPr>
          <w:rFonts w:ascii="楷体" w:eastAsia="楷体" w:hint="eastAsia"/>
          <w:sz w:val="28"/>
        </w:rPr>
        <w:t>管统计</w:t>
      </w:r>
      <w:r>
        <w:rPr>
          <w:rFonts w:ascii="楷体" w:eastAsia="楷体" w:hint="eastAsia"/>
          <w:spacing w:val="-3"/>
          <w:sz w:val="28"/>
        </w:rPr>
        <w:t>年</w:t>
      </w:r>
      <w:r>
        <w:rPr>
          <w:rFonts w:ascii="楷体" w:eastAsia="楷体" w:hint="eastAsia"/>
          <w:sz w:val="28"/>
        </w:rPr>
        <w:t>报》</w:t>
      </w:r>
      <w:r>
        <w:rPr>
          <w:rFonts w:ascii="楷体" w:eastAsia="楷体" w:hint="eastAsia"/>
          <w:spacing w:val="-3"/>
          <w:sz w:val="28"/>
        </w:rPr>
        <w:t>发</w:t>
      </w:r>
      <w:r>
        <w:rPr>
          <w:rFonts w:ascii="楷体" w:eastAsia="楷体" w:hint="eastAsia"/>
          <w:sz w:val="28"/>
        </w:rPr>
        <w:t>布</w:t>
        <w:tab/>
        <w:t>7</w:t>
      </w:r>
    </w:p>
    <w:p>
      <w:pPr>
        <w:tabs>
          <w:tab w:pos="9523" w:val="right" w:leader="dot"/>
        </w:tabs>
        <w:spacing w:before="140"/>
        <w:ind w:left="448" w:right="0" w:firstLine="0"/>
        <w:jc w:val="left"/>
        <w:rPr>
          <w:rFonts w:ascii="楷体" w:eastAsia="楷体" w:hint="eastAsia"/>
          <w:sz w:val="28"/>
        </w:rPr>
      </w:pPr>
      <w:r>
        <w:rPr>
          <w:rFonts w:ascii="楷体" w:eastAsia="楷体" w:hint="eastAsia"/>
          <w:b/>
          <w:sz w:val="28"/>
        </w:rPr>
        <w:t>【医院管理】</w:t>
        <w:tab/>
      </w:r>
      <w:r>
        <w:rPr>
          <w:rFonts w:ascii="楷体" w:eastAsia="楷体" w:hint="eastAsia"/>
          <w:sz w:val="28"/>
        </w:rPr>
        <w:t>8</w:t>
      </w:r>
    </w:p>
    <w:p>
      <w:pPr>
        <w:tabs>
          <w:tab w:pos="9523" w:val="right" w:leader="dot"/>
        </w:tabs>
        <w:spacing w:before="143"/>
        <w:ind w:left="448" w:right="0" w:firstLine="0"/>
        <w:jc w:val="left"/>
        <w:rPr>
          <w:rFonts w:ascii="楷体" w:eastAsia="楷体" w:hint="eastAsia"/>
          <w:sz w:val="28"/>
        </w:rPr>
      </w:pPr>
      <w:r>
        <w:rPr>
          <w:rFonts w:ascii="楷体" w:eastAsia="楷体" w:hint="eastAsia"/>
          <w:sz w:val="28"/>
        </w:rPr>
        <w:t>构建我</w:t>
      </w:r>
      <w:r>
        <w:rPr>
          <w:rFonts w:ascii="楷体" w:eastAsia="楷体" w:hint="eastAsia"/>
          <w:spacing w:val="-3"/>
          <w:sz w:val="28"/>
        </w:rPr>
        <w:t>国</w:t>
      </w:r>
      <w:r>
        <w:rPr>
          <w:rFonts w:ascii="楷体" w:eastAsia="楷体" w:hint="eastAsia"/>
          <w:sz w:val="28"/>
        </w:rPr>
        <w:t>医院</w:t>
      </w:r>
      <w:r>
        <w:rPr>
          <w:rFonts w:ascii="楷体" w:eastAsia="楷体" w:hint="eastAsia"/>
          <w:spacing w:val="-3"/>
          <w:sz w:val="28"/>
        </w:rPr>
        <w:t>药学</w:t>
      </w:r>
      <w:r>
        <w:rPr>
          <w:rFonts w:ascii="楷体" w:eastAsia="楷体" w:hint="eastAsia"/>
          <w:sz w:val="28"/>
        </w:rPr>
        <w:t>服务体</w:t>
      </w:r>
      <w:r>
        <w:rPr>
          <w:rFonts w:ascii="楷体" w:eastAsia="楷体" w:hint="eastAsia"/>
          <w:spacing w:val="-3"/>
          <w:sz w:val="28"/>
        </w:rPr>
        <w:t>系</w:t>
      </w:r>
      <w:r>
        <w:rPr>
          <w:rFonts w:ascii="楷体" w:eastAsia="楷体" w:hint="eastAsia"/>
          <w:sz w:val="28"/>
        </w:rPr>
        <w:t>的评</w:t>
      </w:r>
      <w:r>
        <w:rPr>
          <w:rFonts w:ascii="楷体" w:eastAsia="楷体" w:hint="eastAsia"/>
          <w:spacing w:val="-3"/>
          <w:sz w:val="28"/>
        </w:rPr>
        <w:t>价指</w:t>
      </w:r>
      <w:r>
        <w:rPr>
          <w:rFonts w:ascii="楷体" w:eastAsia="楷体" w:hint="eastAsia"/>
          <w:sz w:val="28"/>
        </w:rPr>
        <w:t>标体系</w:t>
        <w:tab/>
        <w:t>8</w:t>
      </w:r>
    </w:p>
    <w:p>
      <w:pPr>
        <w:spacing w:before="29"/>
        <w:ind w:left="5" w:right="0" w:firstLine="0"/>
        <w:jc w:val="center"/>
        <w:rPr>
          <w:rFonts w:ascii="隶书" w:eastAsia="隶书" w:hint="eastAsia"/>
          <w:sz w:val="44"/>
        </w:rPr>
      </w:pPr>
      <w:r>
        <w:rPr>
          <w:rFonts w:ascii="隶书" w:eastAsia="隶书" w:hint="eastAsia"/>
          <w:color w:val="1A5220"/>
          <w:sz w:val="44"/>
        </w:rPr>
        <w:t>医药前沿</w:t>
      </w:r>
    </w:p>
    <w:p>
      <w:pPr>
        <w:tabs>
          <w:tab w:pos="9524" w:val="right" w:leader="dot"/>
        </w:tabs>
        <w:spacing w:before="107"/>
        <w:ind w:left="448" w:right="0" w:firstLine="0"/>
        <w:jc w:val="left"/>
        <w:rPr>
          <w:rFonts w:ascii="楷体" w:eastAsia="楷体" w:hint="eastAsia"/>
          <w:sz w:val="28"/>
        </w:rPr>
      </w:pPr>
      <w:r>
        <w:rPr>
          <w:rFonts w:ascii="楷体" w:eastAsia="楷体" w:hint="eastAsia"/>
          <w:b/>
          <w:sz w:val="28"/>
        </w:rPr>
        <w:t>【研究进展】</w:t>
        <w:tab/>
      </w:r>
      <w:r>
        <w:rPr>
          <w:rFonts w:ascii="楷体" w:eastAsia="楷体" w:hint="eastAsia"/>
          <w:sz w:val="28"/>
        </w:rPr>
        <w:t>14</w:t>
      </w:r>
    </w:p>
    <w:p>
      <w:pPr>
        <w:tabs>
          <w:tab w:pos="9524" w:val="right" w:leader="dot"/>
        </w:tabs>
        <w:spacing w:before="143"/>
        <w:ind w:left="448" w:right="0" w:firstLine="0"/>
        <w:jc w:val="left"/>
        <w:rPr>
          <w:rFonts w:ascii="楷体" w:eastAsia="楷体" w:hint="eastAsia"/>
          <w:sz w:val="28"/>
        </w:rPr>
      </w:pPr>
      <w:r>
        <w:rPr>
          <w:rFonts w:ascii="楷体" w:eastAsia="楷体" w:hint="eastAsia"/>
          <w:sz w:val="28"/>
        </w:rPr>
        <w:t>青蒿素</w:t>
      </w:r>
      <w:r>
        <w:rPr>
          <w:rFonts w:ascii="楷体" w:eastAsia="楷体" w:hint="eastAsia"/>
          <w:spacing w:val="-3"/>
          <w:sz w:val="28"/>
        </w:rPr>
        <w:t>抗</w:t>
      </w:r>
      <w:r>
        <w:rPr>
          <w:rFonts w:ascii="楷体" w:eastAsia="楷体" w:hint="eastAsia"/>
          <w:sz w:val="28"/>
        </w:rPr>
        <w:t>药性</w:t>
      </w:r>
      <w:r>
        <w:rPr>
          <w:rFonts w:ascii="楷体" w:eastAsia="楷体" w:hint="eastAsia"/>
          <w:spacing w:val="-3"/>
          <w:sz w:val="28"/>
        </w:rPr>
        <w:t>有了</w:t>
      </w:r>
      <w:r>
        <w:rPr>
          <w:rFonts w:ascii="楷体" w:eastAsia="楷体" w:hint="eastAsia"/>
          <w:sz w:val="28"/>
        </w:rPr>
        <w:t>应对方案</w:t>
        <w:tab/>
        <w:t>14</w:t>
      </w:r>
    </w:p>
    <w:p>
      <w:pPr>
        <w:spacing w:after="0"/>
        <w:jc w:val="left"/>
        <w:rPr>
          <w:rFonts w:ascii="楷体" w:eastAsia="楷体" w:hint="eastAsia"/>
          <w:sz w:val="28"/>
        </w:rPr>
        <w:sectPr>
          <w:footerReference w:type="default" r:id="rId5"/>
          <w:type w:val="continuous"/>
          <w:pgSz w:w="11910" w:h="16850"/>
          <w:pgMar w:footer="825" w:top="1100" w:bottom="1020" w:left="1040" w:right="900"/>
          <w:pgNumType w:start="1"/>
        </w:sectPr>
      </w:pPr>
    </w:p>
    <w:sdt>
      <w:sdtPr>
        <w:docPartObj>
          <w:docPartGallery w:val="Table of Contents"/>
          <w:docPartUnique/>
        </w:docPartObj>
      </w:sdtPr>
      <w:sdtEndPr/>
      <w:sdtContent>
        <w:p>
          <w:pPr>
            <w:pStyle w:val="TOC2"/>
            <w:tabs>
              <w:tab w:pos="9524" w:val="right" w:leader="dot"/>
            </w:tabs>
            <w:spacing w:before="291"/>
          </w:pPr>
          <w:hyperlink w:history="true" w:anchor="_TOC_250023">
            <w:r>
              <w:rPr/>
              <w:t>中国抗</w:t>
            </w:r>
            <w:r>
              <w:rPr>
                <w:spacing w:val="-3"/>
              </w:rPr>
              <w:t>癌</w:t>
            </w:r>
            <w:r>
              <w:rPr/>
              <w:t>新药</w:t>
            </w:r>
            <w:r>
              <w:rPr>
                <w:spacing w:val="-3"/>
              </w:rPr>
              <w:t>获国</w:t>
            </w:r>
            <w:r>
              <w:rPr/>
              <w:t>际关注</w:t>
              <w:tab/>
              <w:t>15</w:t>
            </w:r>
          </w:hyperlink>
        </w:p>
        <w:p>
          <w:pPr>
            <w:pStyle w:val="TOC2"/>
            <w:tabs>
              <w:tab w:pos="9524" w:val="right" w:leader="dot"/>
            </w:tabs>
            <w:spacing w:before="141"/>
          </w:pPr>
          <w:hyperlink w:history="true" w:anchor="_TOC_250022">
            <w:r>
              <w:rPr/>
              <w:t>解决脑</w:t>
            </w:r>
            <w:r>
              <w:rPr>
                <w:spacing w:val="-3"/>
              </w:rPr>
              <w:t>胶</w:t>
            </w:r>
            <w:r>
              <w:rPr/>
              <w:t>质瘤</w:t>
            </w:r>
            <w:r>
              <w:rPr>
                <w:spacing w:val="-3"/>
              </w:rPr>
              <w:t>耐药</w:t>
            </w:r>
            <w:r>
              <w:rPr/>
              <w:t>有新方向</w:t>
              <w:tab/>
              <w:t>16</w:t>
            </w:r>
          </w:hyperlink>
        </w:p>
        <w:p>
          <w:pPr>
            <w:pStyle w:val="TOC2"/>
            <w:tabs>
              <w:tab w:pos="9524" w:val="right" w:leader="dot"/>
            </w:tabs>
          </w:pPr>
          <w:hyperlink w:history="true" w:anchor="_TOC_250021">
            <w:r>
              <w:rPr/>
              <w:t>卵巢癌</w:t>
            </w:r>
            <w:r>
              <w:rPr>
                <w:spacing w:val="-3"/>
              </w:rPr>
              <w:t>抑</w:t>
            </w:r>
            <w:r>
              <w:rPr/>
              <w:t>癌基</w:t>
            </w:r>
            <w:r>
              <w:rPr>
                <w:spacing w:val="-3"/>
              </w:rPr>
              <w:t>因突</w:t>
            </w:r>
            <w:r>
              <w:rPr/>
              <w:t>变概率</w:t>
            </w:r>
            <w:r>
              <w:rPr>
                <w:spacing w:val="-3"/>
              </w:rPr>
              <w:t>明</w:t>
            </w:r>
            <w:r>
              <w:rPr/>
              <w:t>确</w:t>
              <w:tab/>
              <w:t>16</w:t>
            </w:r>
          </w:hyperlink>
        </w:p>
        <w:p>
          <w:pPr>
            <w:pStyle w:val="TOC2"/>
            <w:tabs>
              <w:tab w:pos="9524" w:val="right" w:leader="dot"/>
            </w:tabs>
            <w:spacing w:before="143"/>
          </w:pPr>
          <w:hyperlink w:history="true" w:anchor="_TOC_250020">
            <w:r>
              <w:rPr/>
              <w:t>消炎“</w:t>
            </w:r>
            <w:r>
              <w:rPr>
                <w:spacing w:val="-3"/>
              </w:rPr>
              <w:t>老</w:t>
            </w:r>
            <w:r>
              <w:rPr/>
              <w:t>药”</w:t>
            </w:r>
            <w:r>
              <w:rPr>
                <w:spacing w:val="-3"/>
              </w:rPr>
              <w:t>可抗</w:t>
            </w:r>
            <w:r>
              <w:rPr/>
              <w:t>击流感</w:t>
            </w:r>
            <w:r>
              <w:rPr>
                <w:spacing w:val="-3"/>
              </w:rPr>
              <w:t>病</w:t>
            </w:r>
            <w:r>
              <w:rPr/>
              <w:t>毒</w:t>
              <w:tab/>
              <w:t>17</w:t>
            </w:r>
          </w:hyperlink>
        </w:p>
        <w:p>
          <w:pPr>
            <w:pStyle w:val="TOC3"/>
            <w:tabs>
              <w:tab w:pos="9524" w:val="right" w:leader="dot"/>
            </w:tabs>
            <w:spacing w:before="141"/>
            <w:rPr>
              <w:b w:val="0"/>
              <w:i w:val="0"/>
              <w:sz w:val="28"/>
            </w:rPr>
          </w:pPr>
          <w:hyperlink w:history="true" w:anchor="_TOC_250019">
            <w:r>
              <w:rPr>
                <w:i w:val="0"/>
                <w:sz w:val="28"/>
              </w:rPr>
              <w:t>【新药看台】</w:t>
              <w:tab/>
            </w:r>
            <w:r>
              <w:rPr>
                <w:b w:val="0"/>
                <w:i w:val="0"/>
                <w:sz w:val="28"/>
              </w:rPr>
              <w:t>17</w:t>
            </w:r>
          </w:hyperlink>
        </w:p>
        <w:p>
          <w:pPr>
            <w:pStyle w:val="TOC2"/>
            <w:tabs>
              <w:tab w:pos="9524" w:val="right" w:leader="dot"/>
            </w:tabs>
          </w:pPr>
          <w:hyperlink w:history="true" w:anchor="_TOC_250018">
            <w:r>
              <w:rPr/>
              <w:t>糖尿病</w:t>
            </w:r>
            <w:r>
              <w:rPr>
                <w:spacing w:val="-3"/>
              </w:rPr>
              <w:t>治</w:t>
            </w:r>
            <w:r>
              <w:rPr/>
              <w:t>疗药</w:t>
            </w:r>
            <w:r>
              <w:rPr>
                <w:spacing w:val="-3"/>
              </w:rPr>
              <w:t>物聚</w:t>
            </w:r>
            <w:r>
              <w:rPr/>
              <w:t>乙二醇</w:t>
            </w:r>
            <w:r>
              <w:rPr>
                <w:spacing w:val="-3"/>
              </w:rPr>
              <w:t>洛</w:t>
            </w:r>
            <w:r>
              <w:rPr/>
              <w:t>塞那</w:t>
            </w:r>
            <w:r>
              <w:rPr>
                <w:spacing w:val="-3"/>
              </w:rPr>
              <w:t>肽注</w:t>
            </w:r>
            <w:r>
              <w:rPr/>
              <w:t>射液获</w:t>
            </w:r>
            <w:r>
              <w:rPr>
                <w:spacing w:val="-3"/>
              </w:rPr>
              <w:t>批</w:t>
            </w:r>
            <w:r>
              <w:rPr/>
              <w:t>上市</w:t>
              <w:tab/>
              <w:t>17</w:t>
            </w:r>
          </w:hyperlink>
        </w:p>
        <w:p>
          <w:pPr>
            <w:pStyle w:val="TOC1"/>
          </w:pPr>
          <w:hyperlink w:history="true" w:anchor="_TOC_250017">
            <w:r>
              <w:rPr>
                <w:color w:val="1A5220"/>
              </w:rPr>
              <w:t>合理用药</w:t>
            </w:r>
          </w:hyperlink>
        </w:p>
        <w:p>
          <w:pPr>
            <w:pStyle w:val="TOC3"/>
            <w:tabs>
              <w:tab w:pos="9524" w:val="right" w:leader="dot"/>
            </w:tabs>
            <w:spacing w:before="108"/>
            <w:rPr>
              <w:b w:val="0"/>
              <w:i w:val="0"/>
              <w:sz w:val="28"/>
            </w:rPr>
          </w:pPr>
          <w:r>
            <w:rPr>
              <w:i w:val="0"/>
              <w:sz w:val="28"/>
            </w:rPr>
            <w:t>【临床药师】</w:t>
            <w:tab/>
          </w:r>
          <w:r>
            <w:rPr>
              <w:b w:val="0"/>
              <w:i w:val="0"/>
              <w:sz w:val="28"/>
            </w:rPr>
            <w:t>18</w:t>
          </w:r>
        </w:p>
        <w:p>
          <w:pPr>
            <w:pStyle w:val="TOC2"/>
            <w:tabs>
              <w:tab w:pos="9524" w:val="right" w:leader="dot"/>
            </w:tabs>
          </w:pPr>
          <w:hyperlink w:history="true" w:anchor="_TOC_250016">
            <w:r>
              <w:rPr/>
              <w:t>基于临</w:t>
            </w:r>
            <w:r>
              <w:rPr>
                <w:spacing w:val="-3"/>
              </w:rPr>
              <w:t>床</w:t>
            </w:r>
            <w:r>
              <w:rPr/>
              <w:t>药师</w:t>
            </w:r>
            <w:r>
              <w:rPr>
                <w:spacing w:val="-3"/>
              </w:rPr>
              <w:t>工作</w:t>
            </w:r>
            <w:r>
              <w:rPr/>
              <w:t>实践构</w:t>
            </w:r>
            <w:r>
              <w:rPr>
                <w:spacing w:val="-3"/>
              </w:rPr>
              <w:t>建</w:t>
            </w:r>
            <w:r>
              <w:rPr/>
              <w:t>电子</w:t>
            </w:r>
            <w:r>
              <w:rPr>
                <w:spacing w:val="-3"/>
              </w:rPr>
              <w:t>药历</w:t>
            </w:r>
            <w:r>
              <w:rPr/>
              <w:t>管理平台</w:t>
              <w:tab/>
              <w:t>18</w:t>
            </w:r>
          </w:hyperlink>
        </w:p>
        <w:p>
          <w:pPr>
            <w:pStyle w:val="TOC2"/>
            <w:spacing w:before="143"/>
          </w:pPr>
          <w:r>
            <w:rPr>
              <w:spacing w:val="-6"/>
              <w:w w:val="90"/>
            </w:rPr>
            <w:t>临床药师开展用药教育对脑卒中患者二级预防及依从性的作用的随机对照研究.  </w:t>
          </w:r>
          <w:r>
            <w:rPr>
              <w:w w:val="90"/>
            </w:rPr>
            <w:t>23</w:t>
          </w:r>
        </w:p>
        <w:p>
          <w:pPr>
            <w:pStyle w:val="TOC3"/>
            <w:tabs>
              <w:tab w:pos="9524" w:val="right" w:leader="dot"/>
            </w:tabs>
            <w:spacing w:before="141"/>
            <w:rPr>
              <w:b w:val="0"/>
              <w:i w:val="0"/>
              <w:sz w:val="28"/>
            </w:rPr>
          </w:pPr>
          <w:hyperlink w:history="true" w:anchor="_TOC_250015">
            <w:r>
              <w:rPr>
                <w:i w:val="0"/>
                <w:sz w:val="28"/>
              </w:rPr>
              <w:t>【医生谈药】</w:t>
              <w:tab/>
            </w:r>
            <w:r>
              <w:rPr>
                <w:b w:val="0"/>
                <w:i w:val="0"/>
                <w:sz w:val="28"/>
              </w:rPr>
              <w:t>27</w:t>
            </w:r>
          </w:hyperlink>
        </w:p>
        <w:p>
          <w:pPr>
            <w:pStyle w:val="TOC2"/>
            <w:tabs>
              <w:tab w:pos="9524" w:val="right" w:leader="dot"/>
            </w:tabs>
          </w:pPr>
          <w:hyperlink w:history="true" w:anchor="_TOC_250014">
            <w:r>
              <w:rPr/>
              <w:t>汇总分</w:t>
            </w:r>
            <w:r>
              <w:rPr>
                <w:spacing w:val="-3"/>
              </w:rPr>
              <w:t>析</w:t>
            </w:r>
            <w:r>
              <w:rPr/>
              <w:t>证实</w:t>
            </w:r>
            <w:r>
              <w:rPr>
                <w:spacing w:val="-3"/>
              </w:rPr>
              <w:t>依洛</w:t>
            </w:r>
            <w:r>
              <w:rPr/>
              <w:t>尤单抗</w:t>
            </w:r>
            <w:r>
              <w:rPr>
                <w:spacing w:val="-3"/>
              </w:rPr>
              <w:t>的</w:t>
            </w:r>
            <w:r>
              <w:rPr/>
              <w:t>安全</w:t>
            </w:r>
            <w:r>
              <w:rPr>
                <w:spacing w:val="-3"/>
              </w:rPr>
              <w:t>性与</w:t>
            </w:r>
            <w:r>
              <w:rPr/>
              <w:t>耐受性</w:t>
              <w:tab/>
              <w:t>27</w:t>
            </w:r>
          </w:hyperlink>
        </w:p>
        <w:p>
          <w:pPr>
            <w:pStyle w:val="TOC3"/>
            <w:tabs>
              <w:tab w:pos="9524" w:val="right" w:leader="dot"/>
            </w:tabs>
            <w:spacing w:before="143"/>
            <w:rPr>
              <w:b w:val="0"/>
              <w:i w:val="0"/>
              <w:sz w:val="28"/>
            </w:rPr>
          </w:pPr>
          <w:hyperlink w:history="true" w:anchor="_TOC_250013">
            <w:r>
              <w:rPr>
                <w:i w:val="0"/>
                <w:sz w:val="28"/>
              </w:rPr>
              <w:t>【指南解读】</w:t>
              <w:tab/>
            </w:r>
            <w:r>
              <w:rPr>
                <w:b w:val="0"/>
                <w:i w:val="0"/>
                <w:sz w:val="28"/>
              </w:rPr>
              <w:t>29</w:t>
            </w:r>
          </w:hyperlink>
        </w:p>
        <w:p>
          <w:pPr>
            <w:pStyle w:val="TOC2"/>
            <w:tabs>
              <w:tab w:pos="9524" w:val="right" w:leader="dot"/>
            </w:tabs>
            <w:spacing w:before="141"/>
          </w:pPr>
          <w:hyperlink w:history="true" w:anchor="_TOC_250012">
            <w:r>
              <w:rPr/>
              <w:t>从</w:t>
            </w:r>
            <w:r>
              <w:rPr>
                <w:spacing w:val="-71"/>
              </w:rPr>
              <w:t> </w:t>
            </w:r>
            <w:r>
              <w:rPr/>
              <w:t>2019</w:t>
            </w:r>
            <w:r>
              <w:rPr>
                <w:spacing w:val="-71"/>
              </w:rPr>
              <w:t> </w:t>
            </w:r>
            <w:r>
              <w:rPr/>
              <w:t>年</w:t>
            </w:r>
            <w:r>
              <w:rPr>
                <w:spacing w:val="-67"/>
              </w:rPr>
              <w:t> </w:t>
            </w:r>
            <w:r>
              <w:rPr/>
              <w:t>CSCO</w:t>
            </w:r>
            <w:r>
              <w:rPr>
                <w:spacing w:val="-72"/>
              </w:rPr>
              <w:t> </w:t>
            </w:r>
            <w:r>
              <w:rPr>
                <w:spacing w:val="-3"/>
              </w:rPr>
              <w:t>指</w:t>
            </w:r>
            <w:r>
              <w:rPr/>
              <w:t>南更新看</w:t>
            </w:r>
            <w:r>
              <w:rPr>
                <w:spacing w:val="-69"/>
              </w:rPr>
              <w:t> </w:t>
            </w:r>
            <w:r>
              <w:rPr/>
              <w:t>NSCLC</w:t>
            </w:r>
            <w:r>
              <w:rPr>
                <w:spacing w:val="-71"/>
              </w:rPr>
              <w:t> </w:t>
            </w:r>
            <w:r>
              <w:rPr>
                <w:spacing w:val="-3"/>
              </w:rPr>
              <w:t>抗</w:t>
            </w:r>
            <w:r>
              <w:rPr/>
              <w:t>血管生</w:t>
            </w:r>
            <w:r>
              <w:rPr>
                <w:spacing w:val="-3"/>
              </w:rPr>
              <w:t>成</w:t>
            </w:r>
            <w:r>
              <w:rPr/>
              <w:t>治疗</w:t>
            </w:r>
            <w:r>
              <w:rPr>
                <w:spacing w:val="-3"/>
              </w:rPr>
              <w:t>领域</w:t>
            </w:r>
            <w:r>
              <w:rPr/>
              <w:t>的累累</w:t>
            </w:r>
            <w:r>
              <w:rPr>
                <w:spacing w:val="-3"/>
              </w:rPr>
              <w:t>硕</w:t>
            </w:r>
            <w:r>
              <w:rPr/>
              <w:t>果</w:t>
              <w:tab/>
              <w:t>29</w:t>
            </w:r>
          </w:hyperlink>
        </w:p>
        <w:p>
          <w:pPr>
            <w:pStyle w:val="TOC3"/>
            <w:tabs>
              <w:tab w:pos="9524" w:val="right" w:leader="dot"/>
            </w:tabs>
            <w:rPr>
              <w:b w:val="0"/>
              <w:i w:val="0"/>
              <w:sz w:val="28"/>
            </w:rPr>
          </w:pPr>
          <w:hyperlink w:history="true" w:anchor="_TOC_250011">
            <w:r>
              <w:rPr>
                <w:i w:val="0"/>
                <w:sz w:val="28"/>
              </w:rPr>
              <w:t>【处方分析】</w:t>
              <w:tab/>
            </w:r>
            <w:r>
              <w:rPr>
                <w:b w:val="0"/>
                <w:i w:val="0"/>
                <w:sz w:val="28"/>
              </w:rPr>
              <w:t>32</w:t>
            </w:r>
          </w:hyperlink>
        </w:p>
        <w:p>
          <w:pPr>
            <w:pStyle w:val="TOC2"/>
            <w:tabs>
              <w:tab w:pos="9524" w:val="right" w:leader="dot"/>
            </w:tabs>
            <w:spacing w:before="143"/>
          </w:pPr>
          <w:hyperlink w:history="true" w:anchor="_TOC_250010">
            <w:r>
              <w:rPr/>
              <w:t>药师审</w:t>
            </w:r>
            <w:r>
              <w:rPr>
                <w:spacing w:val="-3"/>
              </w:rPr>
              <w:t>方</w:t>
            </w:r>
            <w:r>
              <w:rPr/>
              <w:t>：对</w:t>
            </w:r>
            <w:r>
              <w:rPr>
                <w:spacing w:val="-3"/>
              </w:rPr>
              <w:t>含西</w:t>
            </w:r>
            <w:r>
              <w:rPr/>
              <w:t>药成分</w:t>
            </w:r>
            <w:r>
              <w:rPr>
                <w:spacing w:val="-3"/>
              </w:rPr>
              <w:t>的</w:t>
            </w:r>
            <w:r>
              <w:rPr/>
              <w:t>中成</w:t>
            </w:r>
            <w:r>
              <w:rPr>
                <w:spacing w:val="-3"/>
              </w:rPr>
              <w:t>药不</w:t>
            </w:r>
            <w:r>
              <w:rPr/>
              <w:t>能大意</w:t>
              <w:tab/>
              <w:t>32</w:t>
            </w:r>
          </w:hyperlink>
        </w:p>
        <w:p>
          <w:pPr>
            <w:pStyle w:val="TOC3"/>
            <w:tabs>
              <w:tab w:pos="9524" w:val="right" w:leader="dot"/>
            </w:tabs>
            <w:rPr>
              <w:b w:val="0"/>
              <w:i w:val="0"/>
              <w:sz w:val="28"/>
            </w:rPr>
          </w:pPr>
          <w:hyperlink w:history="true" w:anchor="_TOC_250009">
            <w:r>
              <w:rPr>
                <w:i w:val="0"/>
                <w:sz w:val="28"/>
              </w:rPr>
              <w:t>【药物警戒】</w:t>
              <w:tab/>
            </w:r>
            <w:r>
              <w:rPr>
                <w:b w:val="0"/>
                <w:i w:val="0"/>
                <w:sz w:val="28"/>
              </w:rPr>
              <w:t>33</w:t>
            </w:r>
          </w:hyperlink>
        </w:p>
        <w:p>
          <w:pPr>
            <w:pStyle w:val="TOC2"/>
            <w:tabs>
              <w:tab w:pos="9524" w:val="right" w:leader="dot"/>
            </w:tabs>
            <w:spacing w:before="141"/>
          </w:pPr>
          <w:hyperlink w:history="true" w:anchor="_TOC_250008">
            <w:r>
              <w:rPr/>
              <w:t>甲磺酸</w:t>
            </w:r>
            <w:r>
              <w:rPr>
                <w:spacing w:val="-3"/>
              </w:rPr>
              <w:t>溴</w:t>
            </w:r>
            <w:r>
              <w:rPr/>
              <w:t>隐亭</w:t>
            </w:r>
            <w:r>
              <w:rPr>
                <w:spacing w:val="-3"/>
              </w:rPr>
              <w:t>片说</w:t>
            </w:r>
            <w:r>
              <w:rPr/>
              <w:t>明书修订:</w:t>
            </w:r>
            <w:r>
              <w:rPr>
                <w:spacing w:val="-1"/>
              </w:rPr>
              <w:t> </w:t>
            </w:r>
            <w:r>
              <w:rPr/>
              <w:t>适</w:t>
            </w:r>
            <w:r>
              <w:rPr>
                <w:spacing w:val="-3"/>
              </w:rPr>
              <w:t>应症</w:t>
            </w:r>
            <w:r>
              <w:rPr/>
              <w:t>删除“</w:t>
            </w:r>
            <w:r>
              <w:rPr>
                <w:spacing w:val="-3"/>
              </w:rPr>
              <w:t>产</w:t>
            </w:r>
            <w:r>
              <w:rPr/>
              <w:t>后乳</w:t>
            </w:r>
            <w:r>
              <w:rPr>
                <w:spacing w:val="-3"/>
              </w:rPr>
              <w:t>腺炎</w:t>
            </w:r>
            <w:r>
              <w:rPr/>
              <w:t>”</w:t>
              <w:tab/>
              <w:t>33</w:t>
            </w:r>
          </w:hyperlink>
        </w:p>
        <w:p>
          <w:pPr>
            <w:pStyle w:val="TOC3"/>
            <w:tabs>
              <w:tab w:pos="9524" w:val="right" w:leader="dot"/>
            </w:tabs>
            <w:spacing w:before="143"/>
            <w:rPr>
              <w:b w:val="0"/>
              <w:i w:val="0"/>
              <w:sz w:val="28"/>
            </w:rPr>
          </w:pPr>
          <w:hyperlink w:history="true" w:anchor="_TOC_250007">
            <w:r>
              <w:rPr>
                <w:i w:val="0"/>
                <w:sz w:val="28"/>
              </w:rPr>
              <w:t>【科普知识】</w:t>
              <w:tab/>
            </w:r>
            <w:r>
              <w:rPr>
                <w:b w:val="0"/>
                <w:i w:val="0"/>
                <w:sz w:val="28"/>
              </w:rPr>
              <w:t>34</w:t>
            </w:r>
          </w:hyperlink>
        </w:p>
        <w:p>
          <w:pPr>
            <w:pStyle w:val="TOC2"/>
            <w:tabs>
              <w:tab w:pos="9524" w:val="right" w:leader="dot"/>
            </w:tabs>
            <w:spacing w:before="141"/>
          </w:pPr>
          <w:hyperlink w:history="true" w:anchor="_TOC_250006">
            <w:r>
              <w:rPr/>
              <w:t>哮喘患</w:t>
            </w:r>
            <w:r>
              <w:rPr>
                <w:spacing w:val="-3"/>
              </w:rPr>
              <w:t>者</w:t>
            </w:r>
            <w:r>
              <w:rPr/>
              <w:t>严禁</w:t>
            </w:r>
            <w:r>
              <w:rPr>
                <w:spacing w:val="-3"/>
              </w:rPr>
              <w:t>滥用</w:t>
            </w:r>
            <w:r>
              <w:rPr/>
              <w:t>的药物</w:t>
            </w:r>
            <w:r>
              <w:rPr>
                <w:spacing w:val="-3"/>
              </w:rPr>
              <w:t>有</w:t>
            </w:r>
            <w:r>
              <w:rPr/>
              <w:t>哪些？</w:t>
              <w:tab/>
              <w:t>34</w:t>
            </w:r>
          </w:hyperlink>
        </w:p>
        <w:p>
          <w:pPr>
            <w:pStyle w:val="TOC2"/>
          </w:pPr>
          <w:r>
            <w:rPr>
              <w:spacing w:val="-8"/>
            </w:rPr>
            <w:t>全国儿童青少年总体近视率 </w:t>
          </w:r>
          <w:r>
            <w:rPr/>
            <w:t>53.6%……“三减三加”的预防近视攻略！ 35</w:t>
          </w:r>
        </w:p>
        <w:p>
          <w:pPr>
            <w:pStyle w:val="TOC1"/>
          </w:pPr>
          <w:hyperlink w:history="true" w:anchor="_TOC_250005">
            <w:r>
              <w:rPr>
                <w:color w:val="1A5220"/>
              </w:rPr>
              <w:t>交流园地</w:t>
            </w:r>
          </w:hyperlink>
        </w:p>
        <w:p>
          <w:pPr>
            <w:pStyle w:val="TOC3"/>
            <w:tabs>
              <w:tab w:pos="9524" w:val="right" w:leader="dot"/>
            </w:tabs>
            <w:spacing w:before="108"/>
            <w:rPr>
              <w:b w:val="0"/>
              <w:i w:val="0"/>
              <w:sz w:val="28"/>
            </w:rPr>
          </w:pPr>
          <w:hyperlink w:history="true" w:anchor="_TOC_250004">
            <w:r>
              <w:rPr>
                <w:i w:val="0"/>
                <w:sz w:val="28"/>
              </w:rPr>
              <w:t>【药师风采】</w:t>
              <w:tab/>
            </w:r>
            <w:r>
              <w:rPr>
                <w:b w:val="0"/>
                <w:i w:val="0"/>
                <w:sz w:val="28"/>
              </w:rPr>
              <w:t>36</w:t>
            </w:r>
          </w:hyperlink>
        </w:p>
        <w:p>
          <w:pPr>
            <w:pStyle w:val="TOC2"/>
            <w:tabs>
              <w:tab w:pos="9524" w:val="right" w:leader="dot"/>
            </w:tabs>
          </w:pPr>
          <w:hyperlink w:history="true" w:anchor="_TOC_250003">
            <w:r>
              <w:rPr/>
              <w:t>海南省</w:t>
            </w:r>
            <w:r>
              <w:rPr>
                <w:spacing w:val="-3"/>
              </w:rPr>
              <w:t>中</w:t>
            </w:r>
            <w:r>
              <w:rPr/>
              <w:t>医院</w:t>
            </w:r>
            <w:r>
              <w:rPr>
                <w:spacing w:val="-3"/>
              </w:rPr>
              <w:t>——</w:t>
            </w:r>
            <w:r>
              <w:rPr/>
              <w:t>张丽</w:t>
              <w:tab/>
              <w:t>36</w:t>
            </w:r>
          </w:hyperlink>
        </w:p>
        <w:p>
          <w:pPr>
            <w:pStyle w:val="TOC2"/>
            <w:tabs>
              <w:tab w:pos="9524" w:val="right" w:leader="dot"/>
            </w:tabs>
            <w:spacing w:before="143"/>
          </w:pPr>
          <w:hyperlink w:history="true" w:anchor="_TOC_250002">
            <w:r>
              <w:rPr/>
              <w:t>儋州市</w:t>
            </w:r>
            <w:r>
              <w:rPr>
                <w:spacing w:val="-3"/>
              </w:rPr>
              <w:t>人</w:t>
            </w:r>
            <w:r>
              <w:rPr/>
              <w:t>民医</w:t>
            </w:r>
            <w:r>
              <w:rPr>
                <w:spacing w:val="-3"/>
              </w:rPr>
              <w:t>院</w:t>
            </w:r>
            <w:r>
              <w:rPr/>
              <w:t>——陈珊珊</w:t>
              <w:tab/>
              <w:t>37</w:t>
            </w:r>
          </w:hyperlink>
        </w:p>
        <w:p>
          <w:pPr>
            <w:pStyle w:val="TOC2"/>
            <w:tabs>
              <w:tab w:pos="9524" w:val="right" w:leader="dot"/>
            </w:tabs>
            <w:spacing w:before="141"/>
          </w:pPr>
          <w:hyperlink w:history="true" w:anchor="_TOC_250001">
            <w:r>
              <w:rPr/>
              <w:t>重庆医</w:t>
            </w:r>
            <w:r>
              <w:rPr>
                <w:spacing w:val="-3"/>
              </w:rPr>
              <w:t>科</w:t>
            </w:r>
            <w:r>
              <w:rPr/>
              <w:t>大学</w:t>
            </w:r>
            <w:r>
              <w:rPr>
                <w:spacing w:val="-3"/>
              </w:rPr>
              <w:t>附属</w:t>
            </w:r>
            <w:r>
              <w:rPr/>
              <w:t>大学城</w:t>
            </w:r>
            <w:r>
              <w:rPr>
                <w:spacing w:val="-3"/>
              </w:rPr>
              <w:t>医</w:t>
            </w:r>
            <w:r>
              <w:rPr/>
              <w:t>院——</w:t>
            </w:r>
            <w:r>
              <w:rPr>
                <w:spacing w:val="-3"/>
              </w:rPr>
              <w:t>赵语</w:t>
              <w:tab/>
            </w:r>
            <w:r>
              <w:rPr/>
              <w:t>37</w:t>
            </w:r>
          </w:hyperlink>
        </w:p>
        <w:p>
          <w:pPr>
            <w:pStyle w:val="TOC2"/>
            <w:tabs>
              <w:tab w:pos="9524" w:val="right" w:leader="dot"/>
            </w:tabs>
          </w:pPr>
          <w:hyperlink w:history="true" w:anchor="_TOC_250000">
            <w:r>
              <w:rPr/>
              <w:t>重庆三</w:t>
            </w:r>
            <w:r>
              <w:rPr>
                <w:spacing w:val="-3"/>
              </w:rPr>
              <w:t>峡</w:t>
            </w:r>
            <w:r>
              <w:rPr/>
              <w:t>中心</w:t>
            </w:r>
            <w:r>
              <w:rPr>
                <w:spacing w:val="-3"/>
              </w:rPr>
              <w:t>医院</w:t>
            </w:r>
            <w:r>
              <w:rPr/>
              <w:t>——黄</w:t>
            </w:r>
            <w:r>
              <w:rPr>
                <w:spacing w:val="-3"/>
              </w:rPr>
              <w:t>道</w:t>
            </w:r>
            <w:r>
              <w:rPr/>
              <w:t>秋</w:t>
              <w:tab/>
              <w:t>38</w:t>
            </w:r>
          </w:hyperlink>
        </w:p>
      </w:sdtContent>
    </w:sdt>
    <w:p>
      <w:pPr>
        <w:spacing w:after="0"/>
        <w:sectPr>
          <w:headerReference w:type="default" r:id="rId7"/>
          <w:footerReference w:type="default" r:id="rId8"/>
          <w:pgSz w:w="11910" w:h="16850"/>
          <w:pgMar w:header="906" w:footer="825" w:top="1100" w:bottom="1020" w:left="1040" w:right="900"/>
          <w:pgNumType w:start="2"/>
        </w:sectPr>
      </w:pPr>
    </w:p>
    <w:p>
      <w:pPr>
        <w:pStyle w:val="Heading2"/>
        <w:spacing w:before="993"/>
      </w:pPr>
      <w:r>
        <w:rPr/>
        <w:t>【政府要闻】</w:t>
      </w:r>
    </w:p>
    <w:p>
      <w:pPr>
        <w:spacing w:before="122"/>
        <w:ind w:left="237" w:right="0" w:firstLine="0"/>
        <w:jc w:val="left"/>
        <w:rPr>
          <w:rFonts w:ascii="华文宋体" w:eastAsia="华文宋体" w:hint="eastAsia"/>
          <w:b/>
          <w:sz w:val="44"/>
        </w:rPr>
      </w:pPr>
      <w:r>
        <w:rPr/>
        <w:br w:type="column"/>
      </w:r>
      <w:r>
        <w:rPr>
          <w:rFonts w:ascii="Times New Roman" w:eastAsia="Times New Roman"/>
          <w:b/>
          <w:color w:val="008000"/>
          <w:spacing w:val="-110"/>
          <w:w w:val="99"/>
          <w:sz w:val="44"/>
          <w:u w:val="thick" w:color="008000"/>
        </w:rPr>
        <w:t> </w:t>
      </w:r>
      <w:r>
        <w:rPr>
          <w:rFonts w:ascii="华文宋体" w:eastAsia="华文宋体" w:hint="eastAsia"/>
          <w:b/>
          <w:color w:val="008000"/>
          <w:sz w:val="44"/>
          <w:u w:val="thick" w:color="008000"/>
        </w:rPr>
        <w:t>政策导览</w:t>
      </w:r>
    </w:p>
    <w:p>
      <w:pPr>
        <w:spacing w:after="0"/>
        <w:jc w:val="left"/>
        <w:rPr>
          <w:rFonts w:ascii="华文宋体" w:eastAsia="华文宋体" w:hint="eastAsia"/>
          <w:sz w:val="44"/>
        </w:rPr>
        <w:sectPr>
          <w:headerReference w:type="default" r:id="rId9"/>
          <w:footerReference w:type="default" r:id="rId10"/>
          <w:pgSz w:w="11910" w:h="16850"/>
          <w:pgMar w:header="906" w:footer="607" w:top="1100" w:bottom="800" w:left="1040" w:right="900"/>
          <w:pgNumType w:start="1"/>
          <w:cols w:num="2" w:equalWidth="0">
            <w:col w:w="2207" w:space="1660"/>
            <w:col w:w="6103"/>
          </w:cols>
        </w:sectPr>
      </w:pPr>
    </w:p>
    <w:p>
      <w:pPr>
        <w:spacing w:before="293"/>
        <w:ind w:left="2897" w:right="0" w:firstLine="0"/>
        <w:jc w:val="left"/>
        <w:rPr>
          <w:b/>
          <w:sz w:val="32"/>
        </w:rPr>
      </w:pPr>
      <w:r>
        <w:rPr>
          <w:b/>
          <w:sz w:val="32"/>
        </w:rPr>
        <w:t>国务院公布今年立法工作计划</w:t>
      </w:r>
    </w:p>
    <w:p>
      <w:pPr>
        <w:pStyle w:val="BodyText"/>
        <w:spacing w:before="551"/>
        <w:ind w:left="717"/>
      </w:pPr>
      <w:r>
        <w:rPr/>
        <w:t>5</w:t>
      </w:r>
      <w:r>
        <w:rPr>
          <w:spacing w:val="-41"/>
        </w:rPr>
        <w:t> 月 </w:t>
      </w:r>
      <w:r>
        <w:rPr/>
        <w:t>11</w:t>
      </w:r>
      <w:r>
        <w:rPr>
          <w:spacing w:val="-12"/>
        </w:rPr>
        <w:t> 日，国务院办公厅公布《国务院 </w:t>
      </w:r>
      <w:r>
        <w:rPr/>
        <w:t>2019</w:t>
      </w:r>
      <w:r>
        <w:rPr>
          <w:spacing w:val="-9"/>
        </w:rPr>
        <w:t> 年立法工作计划》。</w:t>
      </w:r>
    </w:p>
    <w:p>
      <w:pPr>
        <w:pStyle w:val="Heading3"/>
        <w:spacing w:before="848"/>
        <w:ind w:left="149"/>
        <w:rPr>
          <w:rFonts w:ascii="楷体" w:eastAsia="楷体" w:hint="eastAsia"/>
        </w:rPr>
      </w:pPr>
      <w:r>
        <w:rPr>
          <w:b w:val="0"/>
        </w:rPr>
        <w:br w:type="column"/>
      </w: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900"/>
          <w:cols w:num="2" w:equalWidth="0">
            <w:col w:w="7619" w:space="40"/>
            <w:col w:w="2311"/>
          </w:cols>
        </w:sectPr>
      </w:pPr>
    </w:p>
    <w:p>
      <w:pPr>
        <w:pStyle w:val="BodyText"/>
        <w:spacing w:line="297" w:lineRule="auto" w:before="72"/>
        <w:ind w:right="227" w:firstLine="480"/>
        <w:jc w:val="both"/>
      </w:pPr>
      <w:r>
        <w:rPr>
          <w:spacing w:val="-12"/>
        </w:rPr>
        <w:t>《计划》明确，围绕打好三大攻坚战，提请全国人大常委会审议固体废物污染环境防治</w:t>
      </w:r>
      <w:r>
        <w:rPr>
          <w:spacing w:val="-11"/>
        </w:rPr>
        <w:t>法修订草案等；围绕提高保障和改善民生水平，提请全国人大常委会审议生物技术研究开发</w:t>
      </w:r>
      <w:r>
        <w:rPr>
          <w:spacing w:val="-9"/>
        </w:rPr>
        <w:t>安全管理条例、生物医学新技术临床应用管理条例等，修订食品安全法实施条例、医疗器械</w:t>
      </w:r>
    </w:p>
    <w:p>
      <w:pPr>
        <w:pStyle w:val="BodyText"/>
        <w:spacing w:line="259" w:lineRule="auto"/>
        <w:ind w:right="227"/>
        <w:rPr>
          <w:rFonts w:ascii="Meiryo" w:eastAsia="Meiryo" w:hint="eastAsia"/>
          <w:b/>
        </w:rPr>
      </w:pPr>
      <w:r>
        <w:rPr>
          <w:spacing w:val="-9"/>
        </w:rPr>
        <w:t>监督管理条例、化妆品卫生监督条例等；围绕有效维护国家安全，制定人类遗传资源管理条</w:t>
      </w:r>
      <w:r>
        <w:rPr/>
        <w:t>例等。</w:t>
      </w:r>
      <w:r>
        <w:rPr>
          <w:rFonts w:ascii="Meiryo" w:eastAsia="Meiryo" w:hint="eastAsia"/>
          <w:b/>
          <w:color w:val="0033CC"/>
        </w:rPr>
        <w:t>[返回目次]</w:t>
      </w:r>
    </w:p>
    <w:p>
      <w:pPr>
        <w:pStyle w:val="Heading2"/>
        <w:spacing w:before="27"/>
      </w:pPr>
      <w:r>
        <w:rPr>
          <w:w w:val="95"/>
        </w:rPr>
        <w:t>【医保动态】</w:t>
      </w:r>
    </w:p>
    <w:p>
      <w:pPr>
        <w:pStyle w:val="BodyText"/>
        <w:spacing w:before="11"/>
        <w:ind w:left="0"/>
        <w:rPr>
          <w:b/>
          <w:sz w:val="22"/>
        </w:rPr>
      </w:pPr>
    </w:p>
    <w:p>
      <w:pPr>
        <w:spacing w:before="0"/>
        <w:ind w:left="326" w:right="0" w:firstLine="0"/>
        <w:jc w:val="left"/>
        <w:rPr>
          <w:b/>
          <w:sz w:val="32"/>
        </w:rPr>
      </w:pPr>
      <w:r>
        <w:rPr>
          <w:b/>
          <w:sz w:val="32"/>
        </w:rPr>
        <w:t>国家医疗保障局 财政部对 2019 年城乡居民医疗保障工作作出部署</w:t>
      </w:r>
    </w:p>
    <w:p>
      <w:pPr>
        <w:pStyle w:val="Heading3"/>
        <w:spacing w:before="145"/>
        <w:ind w:left="6360"/>
        <w:rPr>
          <w:rFonts w:ascii="楷体" w:eastAsia="楷体" w:hint="eastAsia"/>
        </w:rPr>
      </w:pPr>
      <w:r>
        <w:rPr>
          <w:rFonts w:ascii="楷体" w:eastAsia="楷体" w:hint="eastAsia"/>
          <w:color w:val="FF0000"/>
          <w:w w:val="95"/>
        </w:rPr>
        <w:t>（来源：国家医疗保障局网站）</w:t>
      </w:r>
    </w:p>
    <w:p>
      <w:pPr>
        <w:pStyle w:val="BodyText"/>
        <w:spacing w:before="97"/>
        <w:ind w:left="0" w:right="246"/>
        <w:jc w:val="right"/>
      </w:pPr>
      <w:r>
        <w:rPr>
          <w:spacing w:val="-3"/>
        </w:rPr>
        <w:t>近日，国家医疗保障局会同财政部制定印发了《关于做好 </w:t>
      </w:r>
      <w:r>
        <w:rPr/>
        <w:t>2019</w:t>
      </w:r>
      <w:r>
        <w:rPr>
          <w:spacing w:val="-8"/>
        </w:rPr>
        <w:t> 年城乡居民基本医疗保</w:t>
      </w:r>
    </w:p>
    <w:p>
      <w:pPr>
        <w:pStyle w:val="BodyText"/>
        <w:spacing w:before="74"/>
        <w:ind w:left="0" w:right="245"/>
        <w:jc w:val="right"/>
      </w:pPr>
      <w:r>
        <w:rPr/>
        <w:t>障工作的通知》(医保发﹝2019﹞30</w:t>
      </w:r>
      <w:r>
        <w:rPr>
          <w:spacing w:val="-10"/>
        </w:rPr>
        <w:t> 号，以下简称《通知》)，根据党的十九大精神和 </w:t>
      </w:r>
      <w:r>
        <w:rPr/>
        <w:t>2019</w:t>
      </w:r>
    </w:p>
    <w:p>
      <w:pPr>
        <w:pStyle w:val="BodyText"/>
        <w:spacing w:before="71"/>
      </w:pPr>
      <w:r>
        <w:rPr/>
        <w:t>年《政府工作报告》要求，对进一步做好 2019 年城乡居民医疗保障工作作出部署。</w:t>
      </w:r>
    </w:p>
    <w:p>
      <w:pPr>
        <w:pStyle w:val="BodyText"/>
        <w:spacing w:before="72"/>
        <w:ind w:left="0" w:right="243"/>
        <w:jc w:val="right"/>
      </w:pPr>
      <w:r>
        <w:rPr>
          <w:b/>
        </w:rPr>
        <w:t>一是</w:t>
      </w:r>
      <w:r>
        <w:rPr>
          <w:spacing w:val="-4"/>
        </w:rPr>
        <w:t>继续提高城乡居民医保和大病保险筹资标准。《通知》明确 </w:t>
      </w:r>
      <w:r>
        <w:rPr/>
        <w:t>2019</w:t>
      </w:r>
      <w:r>
        <w:rPr>
          <w:spacing w:val="-8"/>
        </w:rPr>
        <w:t> 年居民医保人均</w:t>
      </w:r>
    </w:p>
    <w:p>
      <w:pPr>
        <w:pStyle w:val="BodyText"/>
        <w:spacing w:before="74"/>
        <w:ind w:left="0" w:right="246"/>
        <w:jc w:val="right"/>
      </w:pPr>
      <w:r>
        <w:rPr>
          <w:spacing w:val="-7"/>
        </w:rPr>
        <w:t>财政补助标准新增 </w:t>
      </w:r>
      <w:r>
        <w:rPr/>
        <w:t>30</w:t>
      </w:r>
      <w:r>
        <w:rPr>
          <w:spacing w:val="-12"/>
        </w:rPr>
        <w:t> 元，达到每人每年不低于 </w:t>
      </w:r>
      <w:r>
        <w:rPr/>
        <w:t>520</w:t>
      </w:r>
      <w:r>
        <w:rPr>
          <w:spacing w:val="-8"/>
        </w:rPr>
        <w:t> 元，新增财政补助一半用于提高大病保</w:t>
      </w:r>
    </w:p>
    <w:p>
      <w:pPr>
        <w:pStyle w:val="BodyText"/>
        <w:spacing w:line="295" w:lineRule="auto" w:before="72"/>
        <w:ind w:right="228"/>
      </w:pPr>
      <w:r>
        <w:rPr>
          <w:spacing w:val="-11"/>
        </w:rPr>
        <w:t>险保障能力，即大病保险在 </w:t>
      </w:r>
      <w:r>
        <w:rPr/>
        <w:t>2018</w:t>
      </w:r>
      <w:r>
        <w:rPr>
          <w:spacing w:val="-13"/>
        </w:rPr>
        <w:t> 年人均筹资标准上增加 </w:t>
      </w:r>
      <w:r>
        <w:rPr/>
        <w:t>15</w:t>
      </w:r>
      <w:r>
        <w:rPr>
          <w:spacing w:val="-13"/>
        </w:rPr>
        <w:t> 元。同时，要求个人缴费同步相</w:t>
      </w:r>
      <w:r>
        <w:rPr/>
        <w:t>应提高。</w:t>
      </w:r>
    </w:p>
    <w:p>
      <w:pPr>
        <w:pStyle w:val="BodyText"/>
        <w:spacing w:line="297" w:lineRule="auto" w:before="4"/>
        <w:ind w:right="227" w:firstLine="480"/>
      </w:pPr>
      <w:r>
        <w:rPr>
          <w:b/>
        </w:rPr>
        <w:t>二是</w:t>
      </w:r>
      <w:r>
        <w:rPr>
          <w:spacing w:val="-10"/>
        </w:rPr>
        <w:t>稳步提升待遇保障水平。《通知》要求新增筹资主要用于两方面：一方面，要确保</w:t>
      </w:r>
      <w:r>
        <w:rPr>
          <w:spacing w:val="-8"/>
        </w:rPr>
        <w:t>基本医保待遇保障到位。巩固提高政策范围内住院费用报销比例，建立健全居民医保门诊费用统筹及支付机制，把高血压、糖尿病等门诊用药纳入医保报销。另一方面，要提高大病保</w:t>
      </w:r>
      <w:r>
        <w:rPr>
          <w:spacing w:val="-10"/>
        </w:rPr>
        <w:t>险保障功能。降低并统一起付线，原则上按上一年度居民人均可支配收入的 </w:t>
      </w:r>
      <w:r>
        <w:rPr/>
        <w:t>50%确定;政策</w:t>
      </w:r>
      <w:r>
        <w:rPr>
          <w:spacing w:val="-7"/>
        </w:rPr>
        <w:t>范围内报销比例由 </w:t>
      </w:r>
      <w:r>
        <w:rPr/>
        <w:t>50%</w:t>
      </w:r>
      <w:r>
        <w:rPr>
          <w:spacing w:val="-15"/>
        </w:rPr>
        <w:t>提高至 </w:t>
      </w:r>
      <w:r>
        <w:rPr/>
        <w:t>60%;</w:t>
      </w:r>
      <w:r>
        <w:rPr>
          <w:spacing w:val="-5"/>
        </w:rPr>
        <w:t>对贫困人口加大支付倾斜力度，在起付线降低 </w:t>
      </w:r>
      <w:r>
        <w:rPr/>
        <w:t>50%</w:t>
      </w:r>
      <w:r>
        <w:rPr>
          <w:spacing w:val="-12"/>
        </w:rPr>
        <w:t>、支付</w:t>
      </w:r>
      <w:r>
        <w:rPr>
          <w:spacing w:val="-13"/>
        </w:rPr>
        <w:t>比例提高 </w:t>
      </w:r>
      <w:r>
        <w:rPr/>
        <w:t>5</w:t>
      </w:r>
      <w:r>
        <w:rPr>
          <w:spacing w:val="-8"/>
        </w:rPr>
        <w:t> 个百分点的基础上全面取消封顶线。</w:t>
      </w:r>
    </w:p>
    <w:p>
      <w:pPr>
        <w:pStyle w:val="BodyText"/>
        <w:spacing w:line="297" w:lineRule="auto"/>
        <w:ind w:right="228" w:firstLine="480"/>
        <w:jc w:val="both"/>
      </w:pPr>
      <w:r>
        <w:rPr>
          <w:b/>
        </w:rPr>
        <w:t>三是</w:t>
      </w:r>
      <w:r>
        <w:rPr>
          <w:spacing w:val="-9"/>
        </w:rPr>
        <w:t>全面建立统一的城乡居民医保制度。《通知》主要是针对城镇居民医保和新农合尚</w:t>
      </w:r>
      <w:r>
        <w:rPr>
          <w:spacing w:val="-3"/>
        </w:rPr>
        <w:t>未整合统一的地区，要求加快两项制度整合，于 </w:t>
      </w:r>
      <w:r>
        <w:rPr/>
        <w:t>2019</w:t>
      </w:r>
      <w:r>
        <w:rPr>
          <w:spacing w:val="-8"/>
        </w:rPr>
        <w:t> 年底前实现两项制度并轨运行向统一</w:t>
      </w:r>
      <w:r>
        <w:rPr>
          <w:spacing w:val="-14"/>
        </w:rPr>
        <w:t>的居民医保制度过渡，在制度政策“六统一”基础上，进一步统一经办服务和信息系统，提</w:t>
      </w:r>
      <w:r>
        <w:rPr/>
        <w:t>高运行质量和效率。</w:t>
      </w:r>
    </w:p>
    <w:p>
      <w:pPr>
        <w:pStyle w:val="BodyText"/>
        <w:spacing w:line="297" w:lineRule="auto"/>
        <w:ind w:right="230" w:firstLine="480"/>
        <w:jc w:val="both"/>
      </w:pPr>
      <w:r>
        <w:rPr>
          <w:b/>
        </w:rPr>
        <w:t>四是</w:t>
      </w:r>
      <w:r>
        <w:rPr>
          <w:spacing w:val="-9"/>
        </w:rPr>
        <w:t>完善规范大病保险政策和管理。《通知》重点要求：各地同步建立统一的城乡居民</w:t>
      </w:r>
      <w:r>
        <w:rPr/>
        <w:t>大病保险制度，统一规范大病保险筹资及待遇保障政策;并按照《政府工作报告》要求，落</w:t>
      </w:r>
      <w:r>
        <w:rPr>
          <w:spacing w:val="-5"/>
        </w:rPr>
        <w:t>实筹资待遇调整政策，于 </w:t>
      </w:r>
      <w:r>
        <w:rPr/>
        <w:t>2019</w:t>
      </w:r>
      <w:r>
        <w:rPr>
          <w:spacing w:val="-8"/>
        </w:rPr>
        <w:t> 年底前按最新筹资标准完成拨付，确保政策、资金、服务落实到位;优化大病保险经办管理服务。</w:t>
      </w:r>
    </w:p>
    <w:p>
      <w:pPr>
        <w:spacing w:after="0" w:line="297" w:lineRule="auto"/>
        <w:jc w:val="both"/>
        <w:sectPr>
          <w:type w:val="continuous"/>
          <w:pgSz w:w="11910" w:h="16850"/>
          <w:pgMar w:top="1100" w:bottom="1020" w:left="1040" w:right="900"/>
        </w:sectPr>
      </w:pPr>
    </w:p>
    <w:p>
      <w:pPr>
        <w:pStyle w:val="BodyText"/>
        <w:spacing w:line="295" w:lineRule="auto" w:before="65"/>
        <w:ind w:right="227" w:firstLine="480"/>
        <w:jc w:val="both"/>
      </w:pPr>
      <w:r>
        <w:rPr>
          <w:b/>
        </w:rPr>
        <w:t>五是</w:t>
      </w:r>
      <w:r>
        <w:rPr>
          <w:spacing w:val="-1"/>
        </w:rPr>
        <w:t>切实落实医疗保障精准扶贫硬任务。</w:t>
      </w:r>
      <w:r>
        <w:rPr/>
        <w:t>2019</w:t>
      </w:r>
      <w:r>
        <w:rPr>
          <w:spacing w:val="-8"/>
        </w:rPr>
        <w:t> 年是打赢脱贫攻坚战的关键之年。《通</w:t>
      </w:r>
      <w:r>
        <w:rPr>
          <w:spacing w:val="-11"/>
        </w:rPr>
        <w:t>知》要求各地切实负起政治担当，聚焦深度贫困地区因病致贫返贫特殊贫困群众，全面落实</w:t>
      </w:r>
    </w:p>
    <w:p>
      <w:pPr>
        <w:pStyle w:val="BodyText"/>
        <w:spacing w:line="297" w:lineRule="auto" w:before="2"/>
        <w:ind w:right="226"/>
        <w:jc w:val="both"/>
      </w:pPr>
      <w:r>
        <w:rPr/>
        <w:t>《医疗保障扶贫三年行动实施方案(2018-2020</w:t>
      </w:r>
      <w:r>
        <w:rPr>
          <w:spacing w:val="-10"/>
        </w:rPr>
        <w:t> 年)》，着力解决“两不愁、三保障”中医疗</w:t>
      </w:r>
      <w:r>
        <w:rPr>
          <w:spacing w:val="-14"/>
        </w:rPr>
        <w:t>保障薄弱环节，确保贫困群众应保尽保，加强三重制度综合保障，按照现有支付范围和既定</w:t>
      </w:r>
      <w:r>
        <w:rPr/>
        <w:t>标准保障到位，建立防范和化解因病致贫、因病返贫的长效机制。</w:t>
      </w:r>
    </w:p>
    <w:p>
      <w:pPr>
        <w:pStyle w:val="BodyText"/>
        <w:spacing w:line="297" w:lineRule="auto"/>
        <w:ind w:right="230" w:firstLine="480"/>
        <w:jc w:val="both"/>
      </w:pPr>
      <w:r>
        <w:rPr>
          <w:b/>
        </w:rPr>
        <w:t>六是</w:t>
      </w:r>
      <w:r>
        <w:rPr>
          <w:spacing w:val="-11"/>
        </w:rPr>
        <w:t>全面做实地市级统筹。《通知》以实现基金统收统支为重点，提出做实城乡居民医</w:t>
      </w:r>
      <w:r>
        <w:rPr>
          <w:spacing w:val="-9"/>
        </w:rPr>
        <w:t>保地市级统筹标准，即基金统收统支、政策制度统一、医疗服务协议管理统一、经办服务统</w:t>
      </w:r>
      <w:r>
        <w:rPr/>
        <w:t>一、信息系统统一，并鼓励有条件地区探索省级统筹。</w:t>
      </w:r>
    </w:p>
    <w:p>
      <w:pPr>
        <w:pStyle w:val="BodyText"/>
        <w:spacing w:line="261" w:lineRule="auto"/>
        <w:ind w:right="230" w:firstLine="480"/>
        <w:rPr>
          <w:rFonts w:ascii="Meiryo" w:eastAsia="Meiryo" w:hint="eastAsia"/>
          <w:b/>
        </w:rPr>
      </w:pPr>
      <w:r>
        <w:rPr>
          <w:spacing w:val="-12"/>
        </w:rPr>
        <w:t>此外，《通知》对加强和改进医保管理服务、保障各项任务内容落地见效提出了明确要</w:t>
      </w:r>
      <w:r>
        <w:rPr/>
        <w:t>求。</w:t>
      </w:r>
      <w:r>
        <w:rPr>
          <w:rFonts w:ascii="Meiryo" w:eastAsia="Meiryo" w:hint="eastAsia"/>
          <w:b/>
          <w:color w:val="0033CC"/>
        </w:rPr>
        <w:t>[返回目次]</w:t>
      </w:r>
    </w:p>
    <w:p>
      <w:pPr>
        <w:pStyle w:val="Heading2"/>
        <w:spacing w:before="16"/>
      </w:pPr>
      <w:r>
        <w:rPr/>
        <w:t>【药监动态】</w:t>
      </w:r>
    </w:p>
    <w:p>
      <w:pPr>
        <w:pStyle w:val="BodyText"/>
        <w:spacing w:before="11"/>
        <w:ind w:left="0"/>
        <w:rPr>
          <w:b/>
          <w:sz w:val="22"/>
        </w:rPr>
      </w:pPr>
    </w:p>
    <w:p>
      <w:pPr>
        <w:spacing w:before="0"/>
        <w:ind w:left="0" w:right="0" w:firstLine="0"/>
        <w:jc w:val="center"/>
        <w:rPr>
          <w:b/>
          <w:sz w:val="32"/>
        </w:rPr>
      </w:pPr>
      <w:r>
        <w:rPr>
          <w:b/>
          <w:sz w:val="32"/>
        </w:rPr>
        <w:t>多个药用辅料标准修订草案征求意见</w:t>
      </w:r>
    </w:p>
    <w:p>
      <w:pPr>
        <w:pStyle w:val="Heading3"/>
        <w:spacing w:before="145"/>
        <w:ind w:left="0" w:right="228"/>
        <w:jc w:val="right"/>
        <w:rPr>
          <w:rFonts w:ascii="楷体" w:eastAsia="楷体" w:hint="eastAsia"/>
        </w:rPr>
      </w:pPr>
      <w:r>
        <w:rPr>
          <w:rFonts w:ascii="楷体" w:eastAsia="楷体" w:hint="eastAsia"/>
          <w:color w:val="FF0000"/>
          <w:w w:val="95"/>
        </w:rPr>
        <w:t>（来源：中国医药报）</w:t>
      </w:r>
    </w:p>
    <w:p>
      <w:pPr>
        <w:pStyle w:val="BodyText"/>
        <w:spacing w:before="98"/>
        <w:ind w:left="717"/>
      </w:pPr>
      <w:r>
        <w:rPr>
          <w:spacing w:val="-12"/>
        </w:rPr>
        <w:t>近日，国家药典委员会公示磷酸二氢钾、磷酸氢二钾、磷酸氢二钾三水合物 </w:t>
      </w:r>
      <w:r>
        <w:rPr/>
        <w:t>3</w:t>
      </w:r>
      <w:r>
        <w:rPr>
          <w:spacing w:val="-12"/>
        </w:rPr>
        <w:t> 个国家药</w:t>
      </w:r>
    </w:p>
    <w:p>
      <w:pPr>
        <w:pStyle w:val="BodyText"/>
        <w:spacing w:before="72"/>
      </w:pPr>
      <w:r>
        <w:rPr/>
        <w:t>用辅料标准修订草案，向社会公开征求意见，公示期 3 个月。</w:t>
      </w:r>
    </w:p>
    <w:p>
      <w:pPr>
        <w:pStyle w:val="BodyText"/>
        <w:spacing w:before="72"/>
        <w:ind w:left="717"/>
      </w:pPr>
      <w:r>
        <w:rPr/>
        <w:t>自 4 月 24 日起，国家药典委高频率进行国家药用辅料标准修订草案公示，涉及无水乳</w:t>
      </w:r>
    </w:p>
    <w:p>
      <w:pPr>
        <w:pStyle w:val="BodyText"/>
        <w:spacing w:line="295" w:lineRule="auto" w:before="74"/>
        <w:ind w:right="245"/>
      </w:pPr>
      <w:r>
        <w:rPr>
          <w:spacing w:val="-5"/>
        </w:rPr>
        <w:t>糖、聚葡萄糖、倍他环糊精等 </w:t>
      </w:r>
      <w:r>
        <w:rPr/>
        <w:t>11</w:t>
      </w:r>
      <w:r>
        <w:rPr>
          <w:spacing w:val="-11"/>
        </w:rPr>
        <w:t> 种药用辅料。其中，十二烷基硫酸钠曾在今年 </w:t>
      </w:r>
      <w:r>
        <w:rPr/>
        <w:t>1</w:t>
      </w:r>
      <w:r>
        <w:rPr>
          <w:spacing w:val="-40"/>
        </w:rPr>
        <w:t> 月 </w:t>
      </w:r>
      <w:r>
        <w:rPr/>
        <w:t>8</w:t>
      </w:r>
      <w:r>
        <w:rPr>
          <w:spacing w:val="-26"/>
        </w:rPr>
        <w:t> 日进</w:t>
      </w:r>
      <w:r>
        <w:rPr/>
        <w:t>行了第一次公示，４月为第二次公示。</w:t>
      </w:r>
    </w:p>
    <w:p>
      <w:pPr>
        <w:pStyle w:val="BodyText"/>
        <w:spacing w:line="297" w:lineRule="auto" w:before="2"/>
        <w:ind w:right="126" w:firstLine="480"/>
      </w:pPr>
      <w:r>
        <w:rPr/>
        <w:t>国家药典委在《〈中国药典〉2020</w:t>
      </w:r>
      <w:r>
        <w:rPr>
          <w:spacing w:val="-8"/>
        </w:rPr>
        <w:t> 年版编制大纲》中提出，要完善药用辅料和药包材</w:t>
      </w:r>
      <w:r>
        <w:rPr>
          <w:spacing w:val="-13"/>
        </w:rPr>
        <w:t>标准体系，加强药用辅料、药包材通用性要求和指导原则的制定，增加常用药用辅料和关键</w:t>
      </w:r>
    </w:p>
    <w:p>
      <w:pPr>
        <w:pStyle w:val="BodyText"/>
        <w:spacing w:line="259" w:lineRule="auto"/>
        <w:ind w:right="126"/>
        <w:rPr>
          <w:rFonts w:ascii="Meiryo" w:eastAsia="Meiryo" w:hint="eastAsia"/>
          <w:b/>
        </w:rPr>
      </w:pPr>
      <w:r>
        <w:rPr>
          <w:spacing w:val="-1"/>
        </w:rPr>
        <w:t>药包材标准的收载，加强对药用辅料和药包材安全性的控制，并与国际相关要求保持一致。</w:t>
      </w:r>
      <w:r>
        <w:rPr/>
        <w:t>近期，国家药典委高频率公示标准草案，是加强药用辅料标准体系化建设的举措。</w:t>
      </w:r>
      <w:r>
        <w:rPr>
          <w:rFonts w:ascii="Meiryo" w:eastAsia="Meiryo" w:hint="eastAsia"/>
          <w:b/>
          <w:color w:val="0033CC"/>
        </w:rPr>
        <w:t>[返回目</w:t>
      </w:r>
    </w:p>
    <w:p>
      <w:pPr>
        <w:pStyle w:val="Heading3"/>
        <w:spacing w:line="345" w:lineRule="exact"/>
        <w:ind w:left="237"/>
        <w:rPr>
          <w:rFonts w:ascii="Meiryo" w:eastAsia="Meiryo" w:hint="eastAsia"/>
        </w:rPr>
      </w:pPr>
      <w:r>
        <w:rPr>
          <w:rFonts w:ascii="Meiryo" w:eastAsia="Meiryo" w:hint="eastAsia"/>
          <w:color w:val="0033CC"/>
        </w:rPr>
        <w:t>次]</w:t>
      </w:r>
    </w:p>
    <w:p>
      <w:pPr>
        <w:spacing w:after="0" w:line="345" w:lineRule="exact"/>
        <w:rPr>
          <w:rFonts w:ascii="Meiryo" w:eastAsia="Meiryo" w:hint="eastAsia"/>
        </w:rPr>
        <w:sectPr>
          <w:pgSz w:w="11910" w:h="16850"/>
          <w:pgMar w:header="906" w:footer="607" w:top="1100" w:bottom="800" w:left="1040" w:right="900"/>
        </w:sectPr>
      </w:pPr>
    </w:p>
    <w:p>
      <w:pPr>
        <w:pStyle w:val="BodyText"/>
        <w:spacing w:before="14"/>
        <w:ind w:left="0"/>
        <w:rPr>
          <w:rFonts w:ascii="Meiryo"/>
          <w:b/>
          <w:sz w:val="43"/>
        </w:rPr>
      </w:pPr>
    </w:p>
    <w:p>
      <w:pPr>
        <w:spacing w:before="0"/>
        <w:ind w:left="237" w:right="0" w:firstLine="0"/>
        <w:jc w:val="left"/>
        <w:rPr>
          <w:b/>
          <w:sz w:val="32"/>
        </w:rPr>
      </w:pPr>
      <w:r>
        <w:rPr>
          <w:b/>
          <w:sz w:val="32"/>
        </w:rPr>
        <w:t>【热点聚焦】</w:t>
      </w:r>
    </w:p>
    <w:p>
      <w:pPr>
        <w:spacing w:line="706" w:lineRule="exact" w:before="0"/>
        <w:ind w:left="237" w:right="0" w:firstLine="0"/>
        <w:jc w:val="left"/>
        <w:rPr>
          <w:rFonts w:ascii="华文宋体" w:eastAsia="华文宋体" w:hint="eastAsia"/>
          <w:b/>
          <w:sz w:val="44"/>
        </w:rPr>
      </w:pPr>
      <w:r>
        <w:rPr/>
        <w:br w:type="column"/>
      </w:r>
      <w:r>
        <w:rPr>
          <w:rFonts w:ascii="Times New Roman" w:eastAsia="Times New Roman"/>
          <w:b/>
          <w:color w:val="008000"/>
          <w:spacing w:val="-110"/>
          <w:w w:val="99"/>
          <w:sz w:val="44"/>
          <w:u w:val="thick" w:color="008000"/>
        </w:rPr>
        <w:t> </w:t>
      </w:r>
      <w:r>
        <w:rPr>
          <w:rFonts w:ascii="华文宋体" w:eastAsia="华文宋体" w:hint="eastAsia"/>
          <w:b/>
          <w:color w:val="008000"/>
          <w:sz w:val="44"/>
          <w:u w:val="thick" w:color="008000"/>
        </w:rPr>
        <w:t>行业资讯</w:t>
      </w:r>
    </w:p>
    <w:p>
      <w:pPr>
        <w:spacing w:after="0" w:line="706" w:lineRule="exact"/>
        <w:jc w:val="left"/>
        <w:rPr>
          <w:rFonts w:ascii="华文宋体" w:eastAsia="华文宋体" w:hint="eastAsia"/>
          <w:sz w:val="44"/>
        </w:rPr>
        <w:sectPr>
          <w:type w:val="continuous"/>
          <w:pgSz w:w="11910" w:h="16850"/>
          <w:pgMar w:top="1100" w:bottom="1020" w:left="1040" w:right="900"/>
          <w:cols w:num="2" w:equalWidth="0">
            <w:col w:w="2207" w:space="1660"/>
            <w:col w:w="6103"/>
          </w:cols>
        </w:sectPr>
      </w:pPr>
    </w:p>
    <w:p>
      <w:pPr>
        <w:pStyle w:val="BodyText"/>
        <w:spacing w:before="9"/>
        <w:ind w:left="0"/>
        <w:rPr>
          <w:rFonts w:ascii="华文宋体"/>
          <w:b/>
          <w:sz w:val="14"/>
        </w:rPr>
      </w:pPr>
    </w:p>
    <w:p>
      <w:pPr>
        <w:spacing w:after="0"/>
        <w:rPr>
          <w:rFonts w:ascii="华文宋体"/>
          <w:sz w:val="14"/>
        </w:rPr>
        <w:sectPr>
          <w:type w:val="continuous"/>
          <w:pgSz w:w="11910" w:h="16850"/>
          <w:pgMar w:top="1100" w:bottom="1020" w:left="1040" w:right="900"/>
        </w:sectPr>
      </w:pPr>
    </w:p>
    <w:p>
      <w:pPr>
        <w:spacing w:before="55"/>
        <w:ind w:left="2735" w:right="0" w:firstLine="0"/>
        <w:jc w:val="left"/>
        <w:rPr>
          <w:b/>
          <w:sz w:val="32"/>
        </w:rPr>
      </w:pPr>
      <w:r>
        <w:rPr>
          <w:b/>
          <w:spacing w:val="-2"/>
          <w:sz w:val="32"/>
        </w:rPr>
        <w:t>多种因素导致急抢救药时有短缺</w:t>
      </w:r>
    </w:p>
    <w:p>
      <w:pPr>
        <w:spacing w:before="79"/>
        <w:ind w:left="3545" w:right="0" w:firstLine="0"/>
        <w:jc w:val="left"/>
        <w:rPr>
          <w:sz w:val="21"/>
        </w:rPr>
      </w:pPr>
      <w:r>
        <w:rPr>
          <w:sz w:val="21"/>
        </w:rPr>
        <w:t>专家建言多方发力缓解“断档”困局</w:t>
      </w:r>
    </w:p>
    <w:p>
      <w:pPr>
        <w:pStyle w:val="BodyText"/>
        <w:ind w:left="0"/>
      </w:pPr>
      <w:r>
        <w:rPr/>
        <w:br w:type="column"/>
      </w:r>
      <w:r>
        <w:rPr/>
      </w:r>
    </w:p>
    <w:p>
      <w:pPr>
        <w:pStyle w:val="BodyText"/>
        <w:ind w:left="0"/>
      </w:pPr>
    </w:p>
    <w:p>
      <w:pPr>
        <w:pStyle w:val="BodyText"/>
        <w:spacing w:before="2"/>
        <w:ind w:left="0"/>
        <w:rPr>
          <w:sz w:val="29"/>
        </w:rPr>
      </w:pPr>
    </w:p>
    <w:p>
      <w:pPr>
        <w:pStyle w:val="Heading3"/>
        <w:ind w:left="54"/>
        <w:rPr>
          <w:rFonts w:ascii="楷体" w:eastAsia="楷体" w:hint="eastAsia"/>
        </w:rPr>
      </w:pPr>
      <w:r>
        <w:rPr>
          <w:rFonts w:ascii="楷体" w:eastAsia="楷体" w:hint="eastAsia"/>
          <w:color w:val="FF0000"/>
        </w:rPr>
        <w:t>（来源：中国医药报）</w:t>
      </w:r>
    </w:p>
    <w:p>
      <w:pPr>
        <w:spacing w:after="0"/>
        <w:rPr>
          <w:rFonts w:ascii="楷体" w:eastAsia="楷体" w:hint="eastAsia"/>
        </w:rPr>
        <w:sectPr>
          <w:type w:val="continuous"/>
          <w:pgSz w:w="11910" w:h="16850"/>
          <w:pgMar w:top="1100" w:bottom="1020" w:left="1040" w:right="900"/>
          <w:cols w:num="2" w:equalWidth="0">
            <w:col w:w="7232" w:space="40"/>
            <w:col w:w="2698"/>
          </w:cols>
        </w:sectPr>
      </w:pPr>
    </w:p>
    <w:p>
      <w:pPr>
        <w:pStyle w:val="BodyText"/>
        <w:spacing w:line="295" w:lineRule="auto" w:before="99"/>
        <w:ind w:right="227" w:firstLine="480"/>
        <w:jc w:val="both"/>
      </w:pPr>
      <w:r>
        <w:rPr>
          <w:spacing w:val="-11"/>
        </w:rPr>
        <w:t>今年以来，急抢救药品的供应紧张和涨价问题受到媒体广泛关注，新华社发表评论文章</w:t>
      </w:r>
      <w:r>
        <w:rPr>
          <w:spacing w:val="-10"/>
        </w:rPr>
        <w:t>指出，保障“救命药”供应，政府、市场均不能缺位。近一段时间以来，部分地区开始制定跨区域联合集中采购，纷纷将急救抢救药物作为首批保障类药品。</w:t>
      </w:r>
    </w:p>
    <w:p>
      <w:pPr>
        <w:pStyle w:val="BodyText"/>
        <w:spacing w:line="295" w:lineRule="auto" w:before="5"/>
        <w:ind w:right="366" w:firstLine="480"/>
      </w:pPr>
      <w:r>
        <w:rPr/>
        <w:t>急抢救药品市场的供应现状究竟怎样？是什么造成了药价飞涨？如何破解药品供求难题？针对这一系列问题，近日记者采访了多位业内专家。</w:t>
      </w:r>
    </w:p>
    <w:p>
      <w:pPr>
        <w:pStyle w:val="Heading3"/>
        <w:spacing w:before="2"/>
      </w:pPr>
      <w:r>
        <w:rPr/>
        <w:t>临床出现急抢救药品“断档”情况</w:t>
      </w:r>
    </w:p>
    <w:p>
      <w:pPr>
        <w:spacing w:after="0"/>
        <w:sectPr>
          <w:type w:val="continuous"/>
          <w:pgSz w:w="11910" w:h="16850"/>
          <w:pgMar w:top="1100" w:bottom="1020" w:left="1040" w:right="900"/>
        </w:sectPr>
      </w:pPr>
    </w:p>
    <w:p>
      <w:pPr>
        <w:pStyle w:val="BodyText"/>
        <w:spacing w:line="297" w:lineRule="auto" w:before="65"/>
        <w:ind w:right="127" w:firstLine="600"/>
      </w:pPr>
      <w:r>
        <w:rPr/>
        <w:t>“我认为急抢救药品价格大幅上涨，部分药品在临床上供不应求这种现象是存在的， </w:t>
      </w:r>
      <w:r>
        <w:rPr>
          <w:spacing w:val="-7"/>
        </w:rPr>
        <w:t>尤其是在三甲医院的 </w:t>
      </w:r>
      <w:r>
        <w:rPr/>
        <w:t>ICU</w:t>
      </w:r>
      <w:r>
        <w:rPr>
          <w:spacing w:val="-12"/>
        </w:rPr>
        <w:t> 病房。”天津大学药物科学与技术学院吴晶教授向记者表示，</w:t>
      </w:r>
      <w:r>
        <w:rPr>
          <w:spacing w:val="-10"/>
        </w:rPr>
        <w:t>2016 </w:t>
      </w:r>
      <w:r>
        <w:rPr>
          <w:spacing w:val="-1"/>
        </w:rPr>
        <w:t>年以来，部分急抢救药品的涨价幅度越来越大，愈发影响临床使用。如在一些医疗机构中， </w:t>
      </w:r>
      <w:r>
        <w:rPr>
          <w:spacing w:val="-3"/>
        </w:rPr>
        <w:t>急抢救药品去甲肾上腺素注射液的价格已经从过去的几角钱 </w:t>
      </w:r>
      <w:r>
        <w:rPr/>
        <w:t>1</w:t>
      </w:r>
      <w:r>
        <w:rPr>
          <w:spacing w:val="-13"/>
        </w:rPr>
        <w:t> 支涨到现在的几十元 </w:t>
      </w:r>
      <w:r>
        <w:rPr/>
        <w:t>1</w:t>
      </w:r>
      <w:r>
        <w:rPr>
          <w:spacing w:val="-42"/>
        </w:rPr>
        <w:t> 支，预计该药品的价格每隔两三个月还会继续上涨。</w:t>
      </w:r>
    </w:p>
    <w:p>
      <w:pPr>
        <w:pStyle w:val="BodyText"/>
        <w:tabs>
          <w:tab w:pos="8777" w:val="left" w:leader="none"/>
        </w:tabs>
        <w:spacing w:line="297" w:lineRule="auto"/>
        <w:ind w:right="226" w:firstLine="480"/>
      </w:pPr>
      <w:r>
        <w:rPr/>
        <w:t>去甲肾上腺素注射液的涨价并非个例</w:t>
      </w:r>
      <w:r>
        <w:rPr>
          <w:spacing w:val="-53"/>
        </w:rPr>
        <w:t>。</w:t>
      </w:r>
      <w:r>
        <w:rPr/>
        <w:t>《新快报</w:t>
      </w:r>
      <w:r>
        <w:rPr>
          <w:spacing w:val="-27"/>
        </w:rPr>
        <w:t>》</w:t>
      </w:r>
      <w:r>
        <w:rPr/>
        <w:t>刊发</w:t>
      </w:r>
      <w:r>
        <w:rPr>
          <w:spacing w:val="-27"/>
        </w:rPr>
        <w:t>的</w:t>
      </w:r>
      <w:r>
        <w:rPr/>
        <w:t>《廉价救心药缺货</w:t>
        <w:tab/>
        <w:t>价格涨</w:t>
      </w:r>
      <w:r>
        <w:rPr>
          <w:spacing w:val="-17"/>
        </w:rPr>
        <w:t>了</w:t>
      </w:r>
      <w:r>
        <w:rPr/>
        <w:t>十倍》一文提到，硝酸甘油片每瓶价格已经从最便宜时的三四元钱涨到了</w:t>
      </w:r>
      <w:r>
        <w:rPr>
          <w:spacing w:val="-59"/>
        </w:rPr>
        <w:t> </w:t>
      </w:r>
      <w:r>
        <w:rPr/>
        <w:t>39.8</w:t>
      </w:r>
      <w:r>
        <w:rPr>
          <w:spacing w:val="-60"/>
        </w:rPr>
        <w:t> </w:t>
      </w:r>
      <w:r>
        <w:rPr/>
        <w:t>元，最贵时</w:t>
      </w:r>
    </w:p>
    <w:p>
      <w:pPr>
        <w:pStyle w:val="BodyText"/>
        <w:spacing w:line="306" w:lineRule="exact"/>
      </w:pPr>
      <w:r>
        <w:rPr>
          <w:spacing w:val="-13"/>
        </w:rPr>
        <w:t>一度达到 </w:t>
      </w:r>
      <w:r>
        <w:rPr/>
        <w:t>50</w:t>
      </w:r>
      <w:r>
        <w:rPr>
          <w:spacing w:val="-8"/>
        </w:rPr>
        <w:t> 多元。记者通过查询中国健康传媒集团食品药品舆情监测系统发现，包括硫代</w:t>
      </w:r>
    </w:p>
    <w:p>
      <w:pPr>
        <w:pStyle w:val="BodyText"/>
        <w:spacing w:line="297" w:lineRule="auto" w:before="64"/>
        <w:ind w:right="246"/>
      </w:pPr>
      <w:r>
        <w:rPr>
          <w:spacing w:val="-4"/>
        </w:rPr>
        <w:t>硫酸钠、破伤风抗毒素、右旋糖酐 </w:t>
      </w:r>
      <w:r>
        <w:rPr/>
        <w:t>40</w:t>
      </w:r>
      <w:r>
        <w:rPr>
          <w:spacing w:val="-9"/>
        </w:rPr>
        <w:t> 葡萄糖注射液等在内的多种急抢救药物都被媒体报道</w:t>
      </w:r>
      <w:r>
        <w:rPr/>
        <w:t>存在着不同程度的短缺或涨价现象。</w:t>
      </w:r>
    </w:p>
    <w:p>
      <w:pPr>
        <w:pStyle w:val="BodyText"/>
        <w:spacing w:line="295" w:lineRule="auto"/>
        <w:ind w:right="109" w:firstLine="480"/>
      </w:pPr>
      <w:r>
        <w:rPr>
          <w:spacing w:val="-4"/>
        </w:rPr>
        <w:t>国家有关部门也高度重视急抢救药品的供应保障问题。</w:t>
      </w:r>
      <w:r>
        <w:rPr/>
        <w:t>4</w:t>
      </w:r>
      <w:r>
        <w:rPr>
          <w:spacing w:val="-40"/>
        </w:rPr>
        <w:t> 月 </w:t>
      </w:r>
      <w:r>
        <w:rPr/>
        <w:t>3</w:t>
      </w:r>
      <w:r>
        <w:rPr>
          <w:spacing w:val="-16"/>
        </w:rPr>
        <w:t> 日，国务院常务会议提出， </w:t>
      </w:r>
      <w:r>
        <w:rPr/>
        <w:t>要保障基本药物、急（抢）救等药品供应；完善监测预</w:t>
      </w:r>
    </w:p>
    <w:p>
      <w:pPr>
        <w:pStyle w:val="BodyText"/>
        <w:spacing w:line="295" w:lineRule="auto" w:before="3"/>
        <w:ind w:right="229" w:firstLine="480"/>
      </w:pPr>
      <w:r>
        <w:rPr>
          <w:spacing w:val="-12"/>
        </w:rPr>
        <w:t>警机制，对临床必需、易短缺、替代性差等药品，采取强化储备、统一采购或定点生产</w:t>
      </w:r>
      <w:r>
        <w:rPr/>
        <w:t>等方式保供，防止急需、常用药品不合理涨价。</w:t>
      </w:r>
    </w:p>
    <w:p>
      <w:pPr>
        <w:pStyle w:val="BodyText"/>
        <w:spacing w:line="297" w:lineRule="auto" w:before="2"/>
        <w:ind w:right="107" w:firstLine="600"/>
      </w:pPr>
      <w:r>
        <w:rPr>
          <w:spacing w:val="-12"/>
        </w:rPr>
        <w:t>“急抢救药品如果短缺，则很有可能会延误患者治疗，必须保障急抢救药品的供应。” </w:t>
      </w:r>
      <w:r>
        <w:rPr>
          <w:spacing w:val="-16"/>
        </w:rPr>
        <w:t>中日友好医院急诊科主任张国强表示，急抢救药品不同于其他药品，是大家认可的、在患者</w:t>
      </w:r>
      <w:r>
        <w:rPr>
          <w:spacing w:val="-23"/>
        </w:rPr>
        <w:t>急抢救过程中必须要用到的一类药物，而且在通常情况下，急抢救药品很难被其他药品替代。</w:t>
      </w:r>
      <w:r>
        <w:rPr>
          <w:spacing w:val="-8"/>
        </w:rPr>
        <w:t>在供不应求的情况下，如果该急抢救药品无法被替代，医院只能通过行政主管部门在一定的</w:t>
      </w:r>
      <w:r>
        <w:rPr>
          <w:spacing w:val="-13"/>
        </w:rPr>
        <w:t>区域内寻找药品，或者医生本人运用自己的力量在同行间找药来解决问题。而这样做的时间成本对于正等待急抢救的患者来说无疑是巨大的，患者很有可能会因此错过最佳治疗时机。</w:t>
      </w:r>
    </w:p>
    <w:p>
      <w:pPr>
        <w:pStyle w:val="Heading3"/>
        <w:spacing w:line="300" w:lineRule="exact"/>
      </w:pPr>
      <w:r>
        <w:rPr/>
        <w:t>药品市场并非完全竞争型市场</w:t>
      </w:r>
    </w:p>
    <w:p>
      <w:pPr>
        <w:pStyle w:val="BodyText"/>
        <w:spacing w:line="295" w:lineRule="auto" w:before="74"/>
        <w:ind w:right="107" w:firstLine="480"/>
      </w:pPr>
      <w:r>
        <w:rPr>
          <w:spacing w:val="-16"/>
        </w:rPr>
        <w:t>作为患者的救命药，急抢救药品为何会出现供不应求、价格飞涨的现状？业内专家认为， </w:t>
      </w:r>
      <w:r>
        <w:rPr/>
        <w:t>这是由多方因素共同导致的。</w:t>
      </w:r>
    </w:p>
    <w:p>
      <w:pPr>
        <w:pStyle w:val="BodyText"/>
        <w:spacing w:line="297" w:lineRule="auto" w:before="2"/>
        <w:ind w:right="227" w:firstLine="480"/>
        <w:jc w:val="both"/>
      </w:pPr>
      <w:r>
        <w:rPr>
          <w:spacing w:val="-9"/>
        </w:rPr>
        <w:t>张国强分析认为，相对于其它药品来说，急抢救药品用量较小，并且在很长一段时间内</w:t>
      </w:r>
      <w:r>
        <w:rPr>
          <w:spacing w:val="-10"/>
        </w:rPr>
        <w:t>价格偏低，因此在市场竞争的影响下，很多药企生产意愿偏低，为了生存不得不放弃一部分利润空间小、生产数量少的急抢救药品，这导致了部分急抢救药品的供应逐渐减少，出现供</w:t>
      </w:r>
      <w:r>
        <w:rPr/>
        <w:t>不应求、无药可用的现象。</w:t>
      </w:r>
    </w:p>
    <w:p>
      <w:pPr>
        <w:pStyle w:val="BodyText"/>
        <w:spacing w:line="295" w:lineRule="auto"/>
        <w:ind w:right="227" w:firstLine="600"/>
        <w:jc w:val="both"/>
      </w:pPr>
      <w:r>
        <w:rPr>
          <w:spacing w:val="-6"/>
        </w:rPr>
        <w:t>“药品涨价现象的发生与 </w:t>
      </w:r>
      <w:r>
        <w:rPr/>
        <w:t>2015</w:t>
      </w:r>
      <w:r>
        <w:rPr>
          <w:spacing w:val="-40"/>
        </w:rPr>
        <w:t> 年 </w:t>
      </w:r>
      <w:r>
        <w:rPr/>
        <w:t>6</w:t>
      </w:r>
      <w:r>
        <w:rPr>
          <w:spacing w:val="-40"/>
        </w:rPr>
        <w:t> 月 </w:t>
      </w:r>
      <w:r>
        <w:rPr/>
        <w:t>1</w:t>
      </w:r>
      <w:r>
        <w:rPr>
          <w:spacing w:val="-14"/>
        </w:rPr>
        <w:t> 日取消医保目录内药品的最高零售限价，相关</w:t>
      </w:r>
      <w:r>
        <w:rPr>
          <w:spacing w:val="-7"/>
        </w:rPr>
        <w:t>医保支付标准尚未出台有很大关系。”吴晶表示，在这种情况下，市场经济规律会进一步发</w:t>
      </w:r>
      <w:r>
        <w:rPr>
          <w:spacing w:val="-9"/>
        </w:rPr>
        <w:t>挥作用，急抢救药品价格会在没有最高零售限价的情况下上涨。与此同时，部分急抢救药品的原料药生产企业较少，形成垄断并操控价格。原料药价格偏高也提升了急抢救药品生产厂</w:t>
      </w:r>
      <w:r>
        <w:rPr>
          <w:spacing w:val="-10"/>
        </w:rPr>
        <w:t>家的生产成本。政策衔接出现空档、市场竞争日益激烈、原料药价格垄断等多重因素的相互</w:t>
      </w:r>
      <w:r>
        <w:rPr/>
        <w:t>叠加，加剧了急抢救药品的涨价程度。</w:t>
      </w:r>
    </w:p>
    <w:p>
      <w:pPr>
        <w:pStyle w:val="BodyText"/>
        <w:spacing w:line="297" w:lineRule="auto" w:before="8"/>
        <w:ind w:right="227" w:firstLine="480"/>
        <w:jc w:val="both"/>
      </w:pPr>
      <w:r>
        <w:rPr>
          <w:spacing w:val="-10"/>
        </w:rPr>
        <w:t>吴晶进一步说明，虽然急抢救药品的涨价与市场经济规律密切相关，但想要凭借市场本</w:t>
      </w:r>
      <w:r>
        <w:rPr>
          <w:spacing w:val="-6"/>
        </w:rPr>
        <w:t>身发挥作用使药价慢慢降低并不可取，因为药品市场并非是一个理想的完全竞争型市场。一</w:t>
      </w:r>
      <w:r>
        <w:rPr>
          <w:spacing w:val="-11"/>
        </w:rPr>
        <w:t>般情况下，完全竞争型市场具备四个条件——市场上有足够多的生产者和消费者、市场上的</w:t>
      </w:r>
      <w:r>
        <w:rPr>
          <w:spacing w:val="-8"/>
        </w:rPr>
        <w:t>产品是同质的、资源完全自由流动、市场信息是完全畅通的。但药品市场进入壁垒很高，需</w:t>
      </w:r>
      <w:r>
        <w:rPr>
          <w:spacing w:val="-10"/>
        </w:rPr>
        <w:t>要企业具备生产批号、生产车间、</w:t>
      </w:r>
      <w:r>
        <w:rPr/>
        <w:t>GMP</w:t>
      </w:r>
      <w:r>
        <w:rPr>
          <w:spacing w:val="-11"/>
        </w:rPr>
        <w:t> 认证等一系列条件，没有多年的准备难以进入。并且</w:t>
      </w:r>
    </w:p>
    <w:p>
      <w:pPr>
        <w:spacing w:after="0" w:line="297" w:lineRule="auto"/>
        <w:jc w:val="both"/>
        <w:sectPr>
          <w:pgSz w:w="11910" w:h="16850"/>
          <w:pgMar w:header="906" w:footer="607" w:top="1100" w:bottom="800" w:left="1040" w:right="900"/>
        </w:sectPr>
      </w:pPr>
    </w:p>
    <w:p>
      <w:pPr>
        <w:pStyle w:val="BodyText"/>
        <w:spacing w:line="297" w:lineRule="auto" w:before="65"/>
        <w:ind w:right="227"/>
        <w:jc w:val="both"/>
      </w:pPr>
      <w:r>
        <w:rPr>
          <w:spacing w:val="-6"/>
        </w:rPr>
        <w:t>在急抢救药品市场中还存在原料药垄断的现象，导致了市场应答缓慢。单凭市场本身来使药</w:t>
      </w:r>
      <w:r>
        <w:rPr>
          <w:spacing w:val="-9"/>
        </w:rPr>
        <w:t>价降低需要较长一段时间。“因此，急抢救药品市场是政府‘这只看得见的手’最应该发挥</w:t>
      </w:r>
      <w:r>
        <w:rPr>
          <w:spacing w:val="-11"/>
        </w:rPr>
        <w:t>作用的地方。”吴晶强调，但这只手不一定是直接管制价格或委托生产，而是营造更接近于</w:t>
      </w:r>
      <w:r>
        <w:rPr/>
        <w:t>完全竞争的市场环境。</w:t>
      </w:r>
    </w:p>
    <w:p>
      <w:pPr>
        <w:pStyle w:val="Heading3"/>
        <w:spacing w:line="302" w:lineRule="exact"/>
      </w:pPr>
      <w:r>
        <w:rPr/>
        <w:t>多管齐下破解急救药短缺难题</w:t>
      </w:r>
    </w:p>
    <w:p>
      <w:pPr>
        <w:pStyle w:val="BodyText"/>
        <w:spacing w:line="297" w:lineRule="auto" w:before="71"/>
        <w:ind w:right="107" w:firstLine="480"/>
      </w:pPr>
      <w:r>
        <w:rPr>
          <w:spacing w:val="-5"/>
        </w:rPr>
        <w:t>针对现在急抢救药品面临的供不应求、价格上涨等难题，张国强认为，在将价格的最终</w:t>
      </w:r>
      <w:r>
        <w:rPr>
          <w:spacing w:val="-17"/>
        </w:rPr>
        <w:t>决定权交给市场的同时，行政主管部门应综合衡量药品的生产成本、运输成本和技术成本等， </w:t>
      </w:r>
      <w:r>
        <w:rPr>
          <w:spacing w:val="-7"/>
        </w:rPr>
        <w:t>组织专家进行科学论证，为药品划定出一个价格范围，在不影响患者使用的情况下，保证药品有足够的利润空间，充分调动急抢救药品生产企业的积极性。他结合临床经验分析认为， </w:t>
      </w:r>
      <w:r>
        <w:rPr>
          <w:spacing w:val="-13"/>
        </w:rPr>
        <w:t>应该以患者的需求为导向，根据不同地区的具体情况来分配急抢救药品。比如在一些毒蛇较多的地区，可以多储备一些解毒药品，而在情况相反的地区则可以适当减少，使得急抢救药品资源得以优化分配。</w:t>
      </w:r>
    </w:p>
    <w:p>
      <w:pPr>
        <w:pStyle w:val="BodyText"/>
        <w:spacing w:line="297" w:lineRule="auto"/>
        <w:ind w:right="226" w:firstLine="600"/>
        <w:jc w:val="both"/>
      </w:pPr>
      <w:r>
        <w:rPr/>
        <w:t>“医保目录也应不断完善，将急抢救药品都纳入医保目录，让更多合适的急抢救药品</w:t>
      </w:r>
      <w:r>
        <w:rPr>
          <w:spacing w:val="-8"/>
        </w:rPr>
        <w:t>在急救中发挥作用。医保报销需要及时衔接，否则可能会给患者带来一系列负担。”吴晶补</w:t>
      </w:r>
      <w:r>
        <w:rPr>
          <w:spacing w:val="-10"/>
        </w:rPr>
        <w:t>充道，同时也应建立多部门联合执法机制，打破目前的原料药垄断局面，维持药品市场公平</w:t>
      </w:r>
      <w:r>
        <w:rPr/>
        <w:t>有序的竞争秩序。</w:t>
      </w:r>
    </w:p>
    <w:p>
      <w:pPr>
        <w:pStyle w:val="BodyText"/>
        <w:spacing w:line="301" w:lineRule="exact"/>
        <w:ind w:left="717"/>
      </w:pPr>
      <w:r>
        <w:rPr>
          <w:spacing w:val="-11"/>
        </w:rPr>
        <w:t>目前，不少地方正在探索保障相关药品供应之策。如 </w:t>
      </w:r>
      <w:r>
        <w:rPr/>
        <w:t>5</w:t>
      </w:r>
      <w:r>
        <w:rPr>
          <w:spacing w:val="-40"/>
        </w:rPr>
        <w:t> 月 </w:t>
      </w:r>
      <w:r>
        <w:rPr/>
        <w:t>6</w:t>
      </w:r>
      <w:r>
        <w:rPr>
          <w:spacing w:val="-11"/>
        </w:rPr>
        <w:t> 日，广东省卫健委网站公布</w:t>
      </w:r>
    </w:p>
    <w:p>
      <w:pPr>
        <w:pStyle w:val="BodyText"/>
        <w:spacing w:line="297" w:lineRule="auto" w:before="65"/>
        <w:ind w:right="127"/>
      </w:pPr>
      <w:r>
        <w:rPr>
          <w:spacing w:val="-3"/>
        </w:rPr>
        <w:t>《广东省加强药品供应保障制度建设行动方案》</w:t>
      </w:r>
      <w:r>
        <w:rPr/>
        <w:t>（征求意见稿</w:t>
      </w:r>
      <w:r>
        <w:rPr>
          <w:spacing w:val="-21"/>
        </w:rPr>
        <w:t>）</w:t>
      </w:r>
      <w:r>
        <w:rPr>
          <w:spacing w:val="-7"/>
        </w:rPr>
        <w:t>，向社会征求意见。该征求</w:t>
      </w:r>
      <w:r>
        <w:rPr>
          <w:spacing w:val="-11"/>
        </w:rPr>
        <w:t>意见稿对备受关注的短缺药品问题进行了详细明确：加强短缺药品预警应对。实行短缺药品</w:t>
      </w:r>
      <w:r>
        <w:rPr>
          <w:spacing w:val="-13"/>
        </w:rPr>
        <w:t>监测预警、审核处置、清单管理制度，定期发布短缺药品清单并实行动态调整。对于临床必</w:t>
      </w:r>
      <w:r>
        <w:rPr>
          <w:spacing w:val="-14"/>
        </w:rPr>
        <w:t>需、用量小或交易价格偏低、企业生产动力不足等造成供应短缺的药品，可通过市场撮合、</w:t>
      </w:r>
      <w:r>
        <w:rPr/>
        <w:t>定点生产、统一配送、纳入储备等措施保证生产供应。</w:t>
      </w:r>
    </w:p>
    <w:p>
      <w:pPr>
        <w:pStyle w:val="BodyText"/>
        <w:spacing w:line="297" w:lineRule="auto"/>
        <w:ind w:right="227" w:firstLine="480"/>
        <w:jc w:val="both"/>
      </w:pPr>
      <w:r>
        <w:rPr>
          <w:spacing w:val="-6"/>
        </w:rPr>
        <w:t>除了政府出台一系列举措保障急抢救药品的供应，北京天坛医院药学部主任赵志刚还认</w:t>
      </w:r>
      <w:r>
        <w:rPr>
          <w:spacing w:val="-12"/>
        </w:rPr>
        <w:t>为，通过安全、合理地用药，可以在促进患者身体健康的同时，减少不必要的急抢救药品消</w:t>
      </w:r>
      <w:r>
        <w:rPr>
          <w:spacing w:val="-14"/>
        </w:rPr>
        <w:t>耗。据他介绍，乙酰半胱氨酸注射液</w:t>
      </w:r>
      <w:r>
        <w:rPr>
          <w:spacing w:val="-10"/>
        </w:rPr>
        <w:t>（NAC）</w:t>
      </w:r>
      <w:r>
        <w:rPr>
          <w:spacing w:val="-3"/>
        </w:rPr>
        <w:t>可用于治疗各种原因导致的肝损伤和肝衰竭</w:t>
      </w:r>
      <w:r>
        <w:rPr/>
        <w:t>（</w:t>
      </w:r>
      <w:r>
        <w:rPr>
          <w:spacing w:val="-12"/>
        </w:rPr>
        <w:t>包</w:t>
      </w:r>
      <w:r>
        <w:rPr>
          <w:spacing w:val="-5"/>
        </w:rPr>
        <w:t>括药源性、酒精性</w:t>
      </w:r>
      <w:r>
        <w:rPr>
          <w:spacing w:val="-21"/>
        </w:rPr>
        <w:t>）</w:t>
      </w:r>
      <w:r>
        <w:rPr>
          <w:spacing w:val="-8"/>
        </w:rPr>
        <w:t>，在美国多用于治疗由对乙酰氨基酚引起的肝中毒。很多感冒药、止疼</w:t>
      </w:r>
      <w:r>
        <w:rPr>
          <w:spacing w:val="-7"/>
        </w:rPr>
        <w:t>药都含有对乙酰氨基酚成分，不少人在吃药的时候并没有安全用药的意识，未仔细阅读药物</w:t>
      </w:r>
      <w:r>
        <w:rPr>
          <w:spacing w:val="-2"/>
        </w:rPr>
        <w:t>成分和注意事项，导致在无意识下过量服用了对乙酰氨基酚，需要 </w:t>
      </w:r>
      <w:r>
        <w:rPr/>
        <w:t>NAC</w:t>
      </w:r>
      <w:r>
        <w:rPr>
          <w:spacing w:val="-9"/>
        </w:rPr>
        <w:t> 来进行急救。</w:t>
      </w:r>
    </w:p>
    <w:p>
      <w:pPr>
        <w:pStyle w:val="BodyText"/>
        <w:spacing w:line="297" w:lineRule="auto"/>
        <w:ind w:right="125" w:firstLine="600"/>
      </w:pPr>
      <w:r>
        <w:rPr/>
        <w:t>“防病比治病更重要，人们需要提高对自身健康的关注度，增强安全用药意识，了解相关药品的注意事项和禁忌，建立起包括用药史、既往病史、药品不良反应史的‘药历’。医生也应该主动提供安全用药相关服务，尽量减少因用药不慎引起的急抢救情况发生。”赵</w:t>
      </w:r>
    </w:p>
    <w:p>
      <w:pPr>
        <w:spacing w:line="416" w:lineRule="exact" w:before="0"/>
        <w:ind w:left="237" w:right="0" w:firstLine="0"/>
        <w:jc w:val="left"/>
        <w:rPr>
          <w:rFonts w:ascii="Meiryo" w:eastAsia="Meiryo" w:hint="eastAsia"/>
          <w:b/>
          <w:sz w:val="24"/>
        </w:rPr>
      </w:pPr>
      <w:r>
        <w:rPr>
          <w:sz w:val="24"/>
        </w:rPr>
        <w:t>志刚说。</w:t>
      </w:r>
      <w:r>
        <w:rPr>
          <w:rFonts w:ascii="Meiryo" w:eastAsia="Meiryo" w:hint="eastAsia"/>
          <w:b/>
          <w:color w:val="0033CC"/>
          <w:sz w:val="24"/>
        </w:rPr>
        <w:t>[返回目次]</w:t>
      </w:r>
    </w:p>
    <w:p>
      <w:pPr>
        <w:pStyle w:val="Heading2"/>
        <w:spacing w:before="179"/>
        <w:ind w:left="3"/>
        <w:jc w:val="center"/>
      </w:pPr>
      <w:r>
        <w:rPr/>
        <w:t>带量采购“4+7”到“4+N”，还需厘清六大问题！</w:t>
      </w:r>
    </w:p>
    <w:p>
      <w:pPr>
        <w:pStyle w:val="Heading3"/>
        <w:spacing w:before="148"/>
        <w:ind w:left="0" w:right="228"/>
        <w:jc w:val="right"/>
        <w:rPr>
          <w:rFonts w:ascii="楷体" w:eastAsia="楷体" w:hint="eastAsia"/>
        </w:rPr>
      </w:pPr>
      <w:r>
        <w:rPr>
          <w:rFonts w:ascii="楷体" w:eastAsia="楷体" w:hint="eastAsia"/>
          <w:color w:val="FF0000"/>
          <w:w w:val="95"/>
        </w:rPr>
        <w:t>（来源：医药经济报）</w:t>
      </w:r>
    </w:p>
    <w:p>
      <w:pPr>
        <w:pStyle w:val="BodyText"/>
        <w:spacing w:line="295" w:lineRule="auto" w:before="96"/>
        <w:ind w:right="246" w:firstLine="480"/>
        <w:jc w:val="both"/>
      </w:pPr>
      <w:r>
        <w:rPr>
          <w:spacing w:val="-6"/>
        </w:rPr>
        <w:t>国家医保局首批试点的 </w:t>
      </w:r>
      <w:r>
        <w:rPr/>
        <w:t>4+7</w:t>
      </w:r>
      <w:r>
        <w:rPr>
          <w:spacing w:val="-12"/>
        </w:rPr>
        <w:t> 药品集中带量采购已经在 </w:t>
      </w:r>
      <w:r>
        <w:rPr/>
        <w:t>11</w:t>
      </w:r>
      <w:r>
        <w:rPr>
          <w:spacing w:val="-9"/>
        </w:rPr>
        <w:t> 个城市全面进入实施阶段。舆</w:t>
      </w:r>
      <w:r>
        <w:rPr/>
        <w:t>论上，这一让全行业陷入焦虑的政策持续发酵，“4+7”</w:t>
      </w:r>
      <w:r>
        <w:rPr>
          <w:spacing w:val="-2"/>
        </w:rPr>
        <w:t>走向何方、第二轮采购何时进行、</w:t>
      </w:r>
    </w:p>
    <w:p>
      <w:pPr>
        <w:spacing w:after="0" w:line="295" w:lineRule="auto"/>
        <w:jc w:val="both"/>
        <w:sectPr>
          <w:pgSz w:w="11910" w:h="16850"/>
          <w:pgMar w:header="906" w:footer="607" w:top="1100" w:bottom="800" w:left="1040" w:right="900"/>
        </w:sectPr>
      </w:pPr>
    </w:p>
    <w:p>
      <w:pPr>
        <w:pStyle w:val="BodyText"/>
        <w:spacing w:line="295" w:lineRule="auto" w:before="65"/>
        <w:ind w:right="245"/>
      </w:pPr>
      <w:r>
        <w:rPr/>
        <w:t>会否降价更为猛烈等林林总总的观点见诸网上。笔者以为，这个阶段对“4+7”的理智性、逻辑性思考和判断还太少，多是“听风就是雨”的主观臆测。</w:t>
      </w:r>
    </w:p>
    <w:p>
      <w:pPr>
        <w:pStyle w:val="Heading3"/>
        <w:spacing w:before="2"/>
      </w:pPr>
      <w:r>
        <w:rPr/>
        <w:t>摸政策脉络，探未来航向</w:t>
      </w:r>
    </w:p>
    <w:p>
      <w:pPr>
        <w:pStyle w:val="BodyText"/>
        <w:spacing w:line="297" w:lineRule="auto" w:before="74"/>
        <w:ind w:left="7078" w:right="125" w:firstLine="480"/>
      </w:pPr>
      <w:r>
        <w:rPr/>
        <w:drawing>
          <wp:anchor distT="0" distB="0" distL="0" distR="0" allowOverlap="1" layoutInCell="1" locked="0" behindDoc="0" simplePos="0" relativeHeight="251660288">
            <wp:simplePos x="0" y="0"/>
            <wp:positionH relativeFrom="page">
              <wp:posOffset>866121</wp:posOffset>
            </wp:positionH>
            <wp:positionV relativeFrom="paragraph">
              <wp:posOffset>99314</wp:posOffset>
            </wp:positionV>
            <wp:extent cx="4174508" cy="2463800"/>
            <wp:effectExtent l="0" t="0" r="0" b="0"/>
            <wp:wrapNone/>
            <wp:docPr id="1" name="image2.jpeg"/>
            <wp:cNvGraphicFramePr>
              <a:graphicFrameLocks noChangeAspect="1"/>
            </wp:cNvGraphicFramePr>
            <a:graphic>
              <a:graphicData uri="http://schemas.openxmlformats.org/drawingml/2006/picture">
                <pic:pic>
                  <pic:nvPicPr>
                    <pic:cNvPr id="2" name="image2.jpeg"/>
                    <pic:cNvPicPr/>
                  </pic:nvPicPr>
                  <pic:blipFill>
                    <a:blip r:embed="rId11" cstate="print"/>
                    <a:stretch>
                      <a:fillRect/>
                    </a:stretch>
                  </pic:blipFill>
                  <pic:spPr>
                    <a:xfrm>
                      <a:off x="0" y="0"/>
                      <a:ext cx="4174508" cy="2463800"/>
                    </a:xfrm>
                    <a:prstGeom prst="rect">
                      <a:avLst/>
                    </a:prstGeom>
                  </pic:spPr>
                </pic:pic>
              </a:graphicData>
            </a:graphic>
          </wp:anchor>
        </w:drawing>
      </w:r>
      <w:r>
        <w:rPr/>
        <w:t>业界清晰地看到，自去年机构改革以来，新成立的医保、卫健、药监等部门展现出崭新的工作风貌，政策出台更加务实、有效、可操作。如</w:t>
      </w:r>
      <w:r>
        <w:rPr>
          <w:spacing w:val="-4"/>
        </w:rPr>
        <w:t>“4+7” </w:t>
      </w:r>
      <w:r>
        <w:rPr>
          <w:spacing w:val="-6"/>
        </w:rPr>
        <w:t>带量采购试点实现了 </w:t>
      </w:r>
      <w:r>
        <w:rPr/>
        <w:t>88% </w:t>
      </w:r>
      <w:r>
        <w:rPr>
          <w:spacing w:val="-18"/>
        </w:rPr>
        <w:t>的进口替代、</w:t>
      </w:r>
      <w:r>
        <w:rPr/>
        <w:t>96%的最高价格降幅，低于同类产品国</w:t>
      </w:r>
      <w:r>
        <w:rPr>
          <w:spacing w:val="-9"/>
        </w:rPr>
        <w:t>际供货价格的 </w:t>
      </w:r>
      <w:r>
        <w:rPr/>
        <w:t>25%，效果</w:t>
      </w:r>
      <w:r>
        <w:rPr>
          <w:spacing w:val="-20"/>
        </w:rPr>
        <w:t>明显。过去 </w:t>
      </w:r>
      <w:r>
        <w:rPr/>
        <w:t>20</w:t>
      </w:r>
      <w:r>
        <w:rPr>
          <w:spacing w:val="-20"/>
        </w:rPr>
        <w:t> 年来，药品</w:t>
      </w:r>
    </w:p>
    <w:p>
      <w:pPr>
        <w:pStyle w:val="BodyText"/>
        <w:spacing w:line="292" w:lineRule="exact"/>
      </w:pPr>
      <w:r>
        <w:rPr/>
        <w:t>集中采购探索中没有解决的“专利悬崖”问题，此次终于利剑出鞘，不能不说是“4+7”的</w:t>
      </w:r>
    </w:p>
    <w:p>
      <w:pPr>
        <w:pStyle w:val="BodyText"/>
        <w:spacing w:line="295" w:lineRule="auto" w:before="74"/>
        <w:ind w:right="230"/>
        <w:jc w:val="both"/>
      </w:pPr>
      <w:r>
        <w:rPr>
          <w:spacing w:val="-10"/>
        </w:rPr>
        <w:t>巨大成绩，应受到有识之士的点赞。今年 </w:t>
      </w:r>
      <w:r>
        <w:rPr/>
        <w:t>1</w:t>
      </w:r>
      <w:r>
        <w:rPr>
          <w:spacing w:val="-12"/>
        </w:rPr>
        <w:t> 月，国务院办公厅印发《国家组织药品集中采购</w:t>
      </w:r>
      <w:r>
        <w:rPr>
          <w:spacing w:val="-6"/>
        </w:rPr>
        <w:t>和使用试点方案》(下称 </w:t>
      </w:r>
      <w:r>
        <w:rPr/>
        <w:t>2</w:t>
      </w:r>
      <w:r>
        <w:rPr>
          <w:spacing w:val="-8"/>
        </w:rPr>
        <w:t> 号文) ，更是引领我国药品集中采购进入一个新的发展阶段</w:t>
      </w:r>
      <w:r>
        <w:rPr/>
        <w:t>（如图所示）。</w:t>
      </w:r>
    </w:p>
    <w:p>
      <w:pPr>
        <w:pStyle w:val="Heading3"/>
        <w:spacing w:before="6"/>
      </w:pPr>
      <w:r>
        <w:rPr/>
        <w:t>我国药品集中采购规制的五个阶段</w:t>
      </w:r>
    </w:p>
    <w:p>
      <w:pPr>
        <w:pStyle w:val="BodyText"/>
        <w:spacing w:line="297" w:lineRule="auto" w:before="71"/>
        <w:ind w:right="107" w:firstLine="480"/>
      </w:pPr>
      <w:r>
        <w:rPr/>
        <w:t>2</w:t>
      </w:r>
      <w:r>
        <w:rPr>
          <w:spacing w:val="-10"/>
        </w:rPr>
        <w:t> 号文指出，“按照国家组织、联盟采购、平台操作的总体思路，在总结评估试点工作</w:t>
      </w:r>
      <w:r>
        <w:rPr>
          <w:spacing w:val="-12"/>
        </w:rPr>
        <w:t>的基础上，逐步扩大集中采购的覆盖范围，引导社会形成长期稳定预期”。可见，此次政策</w:t>
      </w:r>
      <w:r>
        <w:rPr>
          <w:spacing w:val="-20"/>
        </w:rPr>
        <w:t>规制与之前集中采购制度的最大不同在于国家组织，意味着新一轮药品集中采购“管理升级、</w:t>
      </w:r>
      <w:r>
        <w:rPr>
          <w:spacing w:val="-10"/>
        </w:rPr>
        <w:t>要求更高、规模更大、标准更统一、约束性更强”。从近期各地试点落地的执行情况看，基</w:t>
      </w:r>
      <w:r>
        <w:rPr>
          <w:spacing w:val="-13"/>
        </w:rPr>
        <w:t>本运行平稳，社会反响较好，虽然</w:t>
      </w:r>
      <w:r>
        <w:rPr/>
        <w:t>“27.31%</w:t>
      </w:r>
      <w:r>
        <w:rPr>
          <w:spacing w:val="-4"/>
        </w:rPr>
        <w:t>的采购完成率”不能完全反映出临床中选产品的</w:t>
      </w:r>
      <w:r>
        <w:rPr>
          <w:spacing w:val="-10"/>
        </w:rPr>
        <w:t>替代效果，但中选产品低价格的引导作用已充分显现。近期媒体报道的“试点地区医疗机构与零售药店存在巨大价格差异，患者蜂拥到医院买药”的现象正说明了这一效果。</w:t>
      </w:r>
    </w:p>
    <w:p>
      <w:pPr>
        <w:pStyle w:val="BodyText"/>
        <w:spacing w:line="297" w:lineRule="auto"/>
        <w:ind w:right="107" w:firstLine="480"/>
      </w:pPr>
      <w:r>
        <w:rPr>
          <w:spacing w:val="-2"/>
        </w:rPr>
        <w:t>此外，</w:t>
      </w:r>
      <w:r>
        <w:rPr>
          <w:spacing w:val="-5"/>
        </w:rPr>
        <w:t>2019</w:t>
      </w:r>
      <w:r>
        <w:rPr>
          <w:spacing w:val="-40"/>
        </w:rPr>
        <w:t> 年 </w:t>
      </w:r>
      <w:r>
        <w:rPr/>
        <w:t>4</w:t>
      </w:r>
      <w:r>
        <w:rPr>
          <w:spacing w:val="-10"/>
        </w:rPr>
        <w:t> 月召开的国务院常务会议强调，要进一步推进国家药品集中采购试点、</w:t>
      </w:r>
      <w:r>
        <w:rPr>
          <w:spacing w:val="-8"/>
        </w:rPr>
        <w:t>完善集中采购制度，认真总结试点经验，及时全面推开；随后几天，在国务院政策例行吹风</w:t>
      </w:r>
      <w:r>
        <w:rPr>
          <w:spacing w:val="-16"/>
        </w:rPr>
        <w:t>会上，医疗保障局副局长陈金甫表示将继续抓好试点工作的组织实施，及时启动试点的评估、</w:t>
      </w:r>
      <w:r>
        <w:rPr>
          <w:spacing w:val="-9"/>
        </w:rPr>
        <w:t>总结，指导完善试点政策；根据试点评估结果，完善集中招标采购的政策和制度，研究部署</w:t>
      </w:r>
      <w:r>
        <w:rPr>
          <w:spacing w:val="-14"/>
        </w:rPr>
        <w:t>扩大试点工作。可见，“完善政策、扩大试点、全面推开”成为现阶段国家带量采购的主要目标。</w:t>
      </w:r>
    </w:p>
    <w:p>
      <w:pPr>
        <w:pStyle w:val="BodyText"/>
        <w:spacing w:line="297" w:lineRule="auto"/>
        <w:ind w:right="227" w:firstLine="480"/>
        <w:jc w:val="both"/>
      </w:pPr>
      <w:r>
        <w:rPr>
          <w:spacing w:val="-11"/>
        </w:rPr>
        <w:t>预判未来，将延续“国家拟定基本政策、范围和要求，组织试点地区形成联盟，以联盟</w:t>
      </w:r>
      <w:r>
        <w:rPr>
          <w:spacing w:val="-16"/>
        </w:rPr>
        <w:t>地区公立医疗机构为集中采购主体，跨区域联盟集中带量采购”的思路，操作细节上有可能</w:t>
      </w:r>
      <w:r>
        <w:rPr/>
        <w:t>进行部分调整；第二、三批带量采购的进行不是悬念，只是早晚的事，“4+7”也极有可能进化为“4+N”的方式，范围进一步扩大。</w:t>
      </w:r>
    </w:p>
    <w:p>
      <w:pPr>
        <w:pStyle w:val="Heading3"/>
        <w:spacing w:line="304" w:lineRule="exact"/>
      </w:pPr>
      <w:r>
        <w:rPr/>
        <w:t>扫存在问题，理六大关系</w:t>
      </w:r>
    </w:p>
    <w:p>
      <w:pPr>
        <w:spacing w:after="0" w:line="304" w:lineRule="exact"/>
        <w:sectPr>
          <w:pgSz w:w="11910" w:h="16850"/>
          <w:pgMar w:header="906" w:footer="607" w:top="1100" w:bottom="800" w:left="1040" w:right="900"/>
        </w:sectPr>
      </w:pPr>
    </w:p>
    <w:p>
      <w:pPr>
        <w:pStyle w:val="BodyText"/>
        <w:spacing w:line="295" w:lineRule="auto" w:before="65"/>
        <w:ind w:right="226" w:firstLine="480"/>
        <w:jc w:val="both"/>
      </w:pPr>
      <w:r>
        <w:rPr>
          <w:spacing w:val="-5"/>
        </w:rPr>
        <w:t>从政策观察的角度看，近 </w:t>
      </w:r>
      <w:r>
        <w:rPr/>
        <w:t>20</w:t>
      </w:r>
      <w:r>
        <w:rPr>
          <w:spacing w:val="-8"/>
        </w:rPr>
        <w:t> 年来药品集中采购突出存在一些“怪现象”，比如标的总</w:t>
      </w:r>
      <w:r>
        <w:rPr>
          <w:spacing w:val="-13"/>
        </w:rPr>
        <w:t>是摸不清、评标过程难透明、中标产品不使用、招标成为降价格、医疗费用持续升、药品限价少依据、专家评议偏主观、医院二次砍价格、国企外企两重天等，这些问题是否可以有效</w:t>
      </w:r>
      <w:r>
        <w:rPr/>
        <w:t>克服，是未来“4+7”最重要的关注点。从此次试点效果看，上述问题得到了很大改善（如</w:t>
      </w:r>
      <w:r>
        <w:rPr>
          <w:spacing w:val="-10"/>
        </w:rPr>
        <w:t>公开采购数量、量价挂钩、企业自主报价、保证用量、明确履约合同、提前支付货款、不允</w:t>
      </w:r>
      <w:r>
        <w:rPr/>
        <w:t>许二次议价、国产替代明显等），当然，还有一些问题待进一步研究。</w:t>
      </w:r>
    </w:p>
    <w:p>
      <w:pPr>
        <w:pStyle w:val="ListParagraph"/>
        <w:numPr>
          <w:ilvl w:val="0"/>
          <w:numId w:val="1"/>
        </w:numPr>
        <w:tabs>
          <w:tab w:pos="959" w:val="left" w:leader="none"/>
        </w:tabs>
        <w:spacing w:line="297" w:lineRule="auto" w:before="11" w:after="0"/>
        <w:ind w:left="237" w:right="227" w:firstLine="480"/>
        <w:jc w:val="both"/>
        <w:rPr>
          <w:sz w:val="24"/>
        </w:rPr>
      </w:pPr>
      <w:r>
        <w:rPr>
          <w:spacing w:val="-8"/>
          <w:sz w:val="24"/>
        </w:rPr>
        <w:t>集中采购与医保支付的关系。实践证明，医保支付价格才是药品市场和临床使用的真</w:t>
      </w:r>
      <w:r>
        <w:rPr>
          <w:spacing w:val="-10"/>
          <w:sz w:val="24"/>
        </w:rPr>
        <w:t>引导。随着医保改革的进一步推进，未来医保支付价格的影响将更大。集中采购会逐渐转化</w:t>
      </w:r>
      <w:r>
        <w:rPr>
          <w:spacing w:val="-8"/>
          <w:sz w:val="24"/>
        </w:rPr>
        <w:t>为价格的发现机制，功能的转化带来形式的变化，医保和集中采购如何定位，二者之间如何</w:t>
      </w:r>
      <w:r>
        <w:rPr>
          <w:sz w:val="24"/>
        </w:rPr>
        <w:t>科学衔接和相互促进，将考验政策制定者的智慧。</w:t>
      </w:r>
    </w:p>
    <w:p>
      <w:pPr>
        <w:pStyle w:val="ListParagraph"/>
        <w:numPr>
          <w:ilvl w:val="0"/>
          <w:numId w:val="1"/>
        </w:numPr>
        <w:tabs>
          <w:tab w:pos="959" w:val="left" w:leader="none"/>
        </w:tabs>
        <w:spacing w:line="297" w:lineRule="auto" w:before="0" w:after="0"/>
        <w:ind w:left="237" w:right="227" w:firstLine="480"/>
        <w:jc w:val="left"/>
        <w:rPr>
          <w:sz w:val="24"/>
        </w:rPr>
      </w:pPr>
      <w:r>
        <w:rPr>
          <w:sz w:val="24"/>
        </w:rPr>
        <w:t>单一货源中选与独家配送的问题。“4+7”</w:t>
      </w:r>
      <w:r>
        <w:rPr>
          <w:spacing w:val="-4"/>
          <w:sz w:val="24"/>
        </w:rPr>
        <w:t>试点中，以量换价，独家中选，享受 </w:t>
      </w:r>
      <w:r>
        <w:rPr>
          <w:sz w:val="24"/>
        </w:rPr>
        <w:t>11 </w:t>
      </w:r>
      <w:r>
        <w:rPr>
          <w:spacing w:val="-20"/>
          <w:sz w:val="24"/>
        </w:rPr>
        <w:t>城市 </w:t>
      </w:r>
      <w:r>
        <w:rPr>
          <w:sz w:val="24"/>
        </w:rPr>
        <w:t>60%～70%的市场，对降低价格起到了巨大指引，收效明显。同时也暴露出一些问题， 主要体现在一家产品可否真正满足更大范围的药品供应，而不是厂家承诺的理论上可以满</w:t>
      </w:r>
      <w:r>
        <w:rPr>
          <w:spacing w:val="-10"/>
          <w:sz w:val="24"/>
        </w:rPr>
        <w:t>足？是否有断供风险，一旦中选产品断供，后补厂家能否有能力及时自觉地补位？长期独家</w:t>
      </w:r>
      <w:r>
        <w:rPr>
          <w:spacing w:val="-9"/>
          <w:sz w:val="24"/>
        </w:rPr>
        <w:t>享受产品和配送市场，缺少竞争，会否形成新的垄断，日后价格不降反升„„这些问题都需 </w:t>
      </w:r>
      <w:r>
        <w:rPr>
          <w:sz w:val="24"/>
        </w:rPr>
        <w:t>思索。</w:t>
      </w:r>
    </w:p>
    <w:p>
      <w:pPr>
        <w:pStyle w:val="BodyText"/>
        <w:spacing w:line="295" w:lineRule="auto"/>
        <w:ind w:right="230" w:firstLine="480"/>
      </w:pPr>
      <w:r>
        <w:rPr>
          <w:spacing w:val="-8"/>
        </w:rPr>
        <w:t>过去的实践常常让业界感受到“灰犀牛”的真实存在，一些担忧已被屡次证明一定会出</w:t>
      </w:r>
      <w:r>
        <w:rPr/>
        <w:t>现。未来的政策发展中，一定会审慎应对这些问题。</w:t>
      </w:r>
    </w:p>
    <w:p>
      <w:pPr>
        <w:pStyle w:val="ListParagraph"/>
        <w:numPr>
          <w:ilvl w:val="0"/>
          <w:numId w:val="1"/>
        </w:numPr>
        <w:tabs>
          <w:tab w:pos="959" w:val="left" w:leader="none"/>
        </w:tabs>
        <w:spacing w:line="297" w:lineRule="auto" w:before="0" w:after="0"/>
        <w:ind w:left="237" w:right="110" w:firstLine="480"/>
        <w:jc w:val="left"/>
        <w:rPr>
          <w:sz w:val="24"/>
        </w:rPr>
      </w:pPr>
      <w:r>
        <w:rPr>
          <w:spacing w:val="-7"/>
          <w:sz w:val="24"/>
        </w:rPr>
        <w:t>一次性和长效机制的问题。审视发达国家和地区的药品采购机制，多为市场机制形成</w:t>
      </w:r>
      <w:r>
        <w:rPr>
          <w:spacing w:val="-12"/>
          <w:sz w:val="24"/>
        </w:rPr>
        <w:t>交易价格、价格动态调整，医保支付机制作为引导、采购主体有充分的降价动力和意愿、强</w:t>
      </w:r>
      <w:r>
        <w:rPr>
          <w:spacing w:val="-20"/>
          <w:sz w:val="24"/>
        </w:rPr>
        <w:t>大的信息管理系统支撑等，这种机制是长效的，既可保障医保基金安全，也能满足临床所需。</w:t>
      </w:r>
      <w:r>
        <w:rPr>
          <w:sz w:val="24"/>
        </w:rPr>
        <w:t>如果以此对标研究，我们会发现“4+7”带量采购在目标、方法、手段、时效等方面还略显粗糙，应从系统性、科学性、稳定性、长期性等方面着手改善。</w:t>
      </w:r>
    </w:p>
    <w:p>
      <w:pPr>
        <w:pStyle w:val="ListParagraph"/>
        <w:numPr>
          <w:ilvl w:val="0"/>
          <w:numId w:val="1"/>
        </w:numPr>
        <w:tabs>
          <w:tab w:pos="959" w:val="left" w:leader="none"/>
        </w:tabs>
        <w:spacing w:line="297" w:lineRule="auto" w:before="0" w:after="0"/>
        <w:ind w:left="237" w:right="230" w:firstLine="480"/>
        <w:jc w:val="both"/>
        <w:rPr>
          <w:sz w:val="24"/>
        </w:rPr>
      </w:pPr>
      <w:r>
        <w:rPr>
          <w:sz w:val="24"/>
        </w:rPr>
        <w:t>中选产品价格如何做到区域平衡。“4+7”进入实施阶段后，暴露的最大问题是区域</w:t>
      </w:r>
      <w:r>
        <w:rPr>
          <w:spacing w:val="-5"/>
          <w:sz w:val="24"/>
        </w:rPr>
        <w:t>价格不平衡，甚至出现相差 </w:t>
      </w:r>
      <w:r>
        <w:rPr>
          <w:sz w:val="24"/>
        </w:rPr>
        <w:t>20</w:t>
      </w:r>
      <w:r>
        <w:rPr>
          <w:spacing w:val="-8"/>
          <w:sz w:val="24"/>
        </w:rPr>
        <w:t> 余倍的现象发生。集中采购政策本来就是兼顾百姓利益而制</w:t>
      </w:r>
      <w:r>
        <w:rPr>
          <w:spacing w:val="-12"/>
          <w:sz w:val="24"/>
        </w:rPr>
        <w:t>定的，针对此，部分地方采用价格联动的方法，不过是扬汤沸止。只有从机制上改变，才是</w:t>
      </w:r>
      <w:r>
        <w:rPr>
          <w:sz w:val="24"/>
        </w:rPr>
        <w:t>加速“4+N”的最大驱动力。</w:t>
      </w:r>
    </w:p>
    <w:p>
      <w:pPr>
        <w:pStyle w:val="ListParagraph"/>
        <w:numPr>
          <w:ilvl w:val="0"/>
          <w:numId w:val="1"/>
        </w:numPr>
        <w:tabs>
          <w:tab w:pos="959" w:val="left" w:leader="none"/>
        </w:tabs>
        <w:spacing w:line="297" w:lineRule="auto" w:before="0" w:after="0"/>
        <w:ind w:left="237" w:right="106" w:firstLine="480"/>
        <w:jc w:val="left"/>
        <w:rPr>
          <w:sz w:val="24"/>
        </w:rPr>
      </w:pPr>
      <w:r>
        <w:rPr>
          <w:spacing w:val="-7"/>
          <w:sz w:val="24"/>
        </w:rPr>
        <w:t>持续重视短缺药品。市场本质上都是趋利的，不能一提到趋利就认为不对，而政策的</w:t>
      </w:r>
      <w:r>
        <w:rPr>
          <w:spacing w:val="-12"/>
          <w:sz w:val="24"/>
        </w:rPr>
        <w:t>作用就是做好引导，好的政策可以激发行业活力，向着健康方向发展。笔者留意到，近期部</w:t>
      </w:r>
      <w:r>
        <w:rPr>
          <w:spacing w:val="-21"/>
          <w:sz w:val="24"/>
        </w:rPr>
        <w:t>分地区又出现了药品短缺现象，并且各省都采取了不同的措施和方法，分析药品短缺的原因， </w:t>
      </w:r>
      <w:r>
        <w:rPr>
          <w:spacing w:val="-6"/>
          <w:sz w:val="24"/>
        </w:rPr>
        <w:t>可谓多种多样，但有一条最为关键，如果生产的药品无利可图，必然短缺。“</w:t>
      </w:r>
      <w:r>
        <w:rPr>
          <w:spacing w:val="-4"/>
          <w:sz w:val="24"/>
        </w:rPr>
        <w:t>4+7</w:t>
      </w:r>
      <w:r>
        <w:rPr>
          <w:spacing w:val="-5"/>
          <w:sz w:val="24"/>
        </w:rPr>
        <w:t>”实施中， </w:t>
      </w:r>
      <w:r>
        <w:rPr>
          <w:sz w:val="24"/>
        </w:rPr>
        <w:t>政策制定层面对此需要有更多考量。</w:t>
      </w:r>
    </w:p>
    <w:p>
      <w:pPr>
        <w:pStyle w:val="ListParagraph"/>
        <w:numPr>
          <w:ilvl w:val="0"/>
          <w:numId w:val="1"/>
        </w:numPr>
        <w:tabs>
          <w:tab w:pos="959" w:val="left" w:leader="none"/>
        </w:tabs>
        <w:spacing w:line="297" w:lineRule="auto" w:before="0" w:after="0"/>
        <w:ind w:left="237" w:right="227" w:firstLine="480"/>
        <w:jc w:val="both"/>
        <w:rPr>
          <w:sz w:val="24"/>
        </w:rPr>
      </w:pPr>
      <w:r>
        <w:rPr>
          <w:spacing w:val="-6"/>
          <w:sz w:val="24"/>
        </w:rPr>
        <w:t>如何保持企业参与一致性评价的积极性。国务院办公厅印发《关于开展仿制药质量和</w:t>
      </w:r>
      <w:r>
        <w:rPr>
          <w:spacing w:val="-2"/>
          <w:sz w:val="24"/>
        </w:rPr>
        <w:t>疗效一致性评价的意见》</w:t>
      </w:r>
      <w:r>
        <w:rPr>
          <w:sz w:val="24"/>
        </w:rPr>
        <w:t>（</w:t>
      </w:r>
      <w:r>
        <w:rPr>
          <w:spacing w:val="-3"/>
          <w:sz w:val="24"/>
        </w:rPr>
        <w:t>国办发〔</w:t>
      </w:r>
      <w:r>
        <w:rPr>
          <w:sz w:val="24"/>
        </w:rPr>
        <w:t>2016</w:t>
      </w:r>
      <w:r>
        <w:rPr>
          <w:spacing w:val="-8"/>
          <w:sz w:val="24"/>
        </w:rPr>
        <w:t>〕</w:t>
      </w:r>
      <w:r>
        <w:rPr>
          <w:sz w:val="24"/>
        </w:rPr>
        <w:t>8</w:t>
      </w:r>
      <w:r>
        <w:rPr>
          <w:spacing w:val="-30"/>
          <w:sz w:val="24"/>
        </w:rPr>
        <w:t> 号</w:t>
      </w:r>
      <w:r>
        <w:rPr>
          <w:spacing w:val="-8"/>
          <w:sz w:val="24"/>
        </w:rPr>
        <w:t>）</w:t>
      </w:r>
      <w:r>
        <w:rPr>
          <w:spacing w:val="-3"/>
          <w:sz w:val="24"/>
        </w:rPr>
        <w:t>时已明确，鼓励优秀企业率先完成一致性</w:t>
      </w:r>
      <w:r>
        <w:rPr>
          <w:spacing w:val="-9"/>
          <w:sz w:val="24"/>
        </w:rPr>
        <w:t>评价，获取市场先机和政策红利，实现进口替代。生产企业受到巨大鼓舞，各级政府为支持</w:t>
      </w:r>
      <w:r>
        <w:rPr>
          <w:spacing w:val="-14"/>
          <w:sz w:val="24"/>
        </w:rPr>
        <w:t>当地医药产业发展，也出台了通过一致性评价产品给予政府资金和政策支持的系列措施，不</w:t>
      </w:r>
      <w:r>
        <w:rPr>
          <w:sz w:val="24"/>
        </w:rPr>
        <w:t>少企业期望通过一致性评价后，实现产品和原研一样的价格，获取更多利润。“4+7”后， </w:t>
      </w:r>
      <w:r>
        <w:rPr>
          <w:spacing w:val="-7"/>
          <w:sz w:val="24"/>
        </w:rPr>
        <w:t>一些企业的过评积极性受到影响。笔者以为，认识问题的角度决定了企业人的心态，企业发</w:t>
      </w:r>
    </w:p>
    <w:p>
      <w:pPr>
        <w:spacing w:after="0" w:line="297" w:lineRule="auto"/>
        <w:jc w:val="both"/>
        <w:rPr>
          <w:sz w:val="24"/>
        </w:rPr>
        <w:sectPr>
          <w:pgSz w:w="11910" w:h="16850"/>
          <w:pgMar w:header="906" w:footer="607" w:top="1100" w:bottom="800" w:left="1040" w:right="900"/>
        </w:sectPr>
      </w:pPr>
    </w:p>
    <w:p>
      <w:pPr>
        <w:pStyle w:val="BodyText"/>
        <w:spacing w:line="380" w:lineRule="exact" w:before="1"/>
        <w:ind w:right="227"/>
        <w:jc w:val="both"/>
        <w:rPr>
          <w:rFonts w:ascii="Meiryo" w:hAnsi="Meiryo" w:eastAsia="Meiryo" w:hint="eastAsia"/>
          <w:b/>
        </w:rPr>
      </w:pPr>
      <w:r>
        <w:rPr>
          <w:spacing w:val="-6"/>
        </w:rPr>
        <w:t>展的积极性需要政策引导，政府也一定会给优秀的企业提供更多的舞台和空间，但是，企业自我的内在驱动力才是积极性的基础。正如谷歌高层所言：“如果有一艘飞船，不要问座位</w:t>
      </w:r>
      <w:r>
        <w:rPr>
          <w:spacing w:val="-16"/>
        </w:rPr>
        <w:t>号是什么，先上去再说。”一致性评价这个阶段之于医药企业而言，就是这样一艘飞船。</w:t>
      </w:r>
      <w:r>
        <w:rPr>
          <w:rFonts w:ascii="Meiryo" w:hAnsi="Meiryo" w:eastAsia="Meiryo" w:hint="eastAsia"/>
          <w:b/>
          <w:color w:val="0033CC"/>
          <w:spacing w:val="-7"/>
        </w:rPr>
        <w:t>[返</w:t>
      </w:r>
    </w:p>
    <w:p>
      <w:pPr>
        <w:pStyle w:val="Heading3"/>
        <w:spacing w:before="18"/>
        <w:ind w:left="237"/>
        <w:rPr>
          <w:rFonts w:ascii="Meiryo" w:eastAsia="Meiryo" w:hint="eastAsia"/>
        </w:rPr>
      </w:pPr>
      <w:r>
        <w:rPr>
          <w:rFonts w:ascii="Meiryo" w:eastAsia="Meiryo" w:hint="eastAsia"/>
          <w:color w:val="0033CC"/>
        </w:rPr>
        <w:t>回目次]</w:t>
      </w:r>
    </w:p>
    <w:p>
      <w:pPr>
        <w:spacing w:before="64"/>
        <w:ind w:left="237" w:right="0" w:firstLine="0"/>
        <w:jc w:val="left"/>
        <w:rPr>
          <w:b/>
          <w:sz w:val="32"/>
        </w:rPr>
      </w:pPr>
      <w:r>
        <w:rPr>
          <w:b/>
          <w:sz w:val="32"/>
        </w:rPr>
        <w:t>【数据公报】</w:t>
      </w:r>
    </w:p>
    <w:p>
      <w:pPr>
        <w:pStyle w:val="BodyText"/>
        <w:spacing w:before="11"/>
        <w:ind w:left="0"/>
        <w:rPr>
          <w:b/>
          <w:sz w:val="22"/>
        </w:rPr>
      </w:pPr>
    </w:p>
    <w:p>
      <w:pPr>
        <w:spacing w:before="1"/>
        <w:ind w:left="1" w:right="0" w:firstLine="0"/>
        <w:jc w:val="center"/>
        <w:rPr>
          <w:b/>
          <w:sz w:val="32"/>
        </w:rPr>
      </w:pPr>
      <w:r>
        <w:rPr>
          <w:b/>
          <w:sz w:val="32"/>
        </w:rPr>
        <w:t>《2018 年度药品监管统计年报》发布</w:t>
      </w:r>
    </w:p>
    <w:p>
      <w:pPr>
        <w:pStyle w:val="BodyText"/>
        <w:spacing w:before="49"/>
        <w:ind w:left="3665"/>
      </w:pPr>
      <w:r>
        <w:rPr/>
        <w:t>全年共查处药品案件 9.8 万件</w:t>
      </w:r>
    </w:p>
    <w:p>
      <w:pPr>
        <w:pStyle w:val="BodyText"/>
        <w:spacing w:before="2"/>
        <w:ind w:left="0"/>
        <w:rPr>
          <w:sz w:val="8"/>
        </w:rPr>
      </w:pPr>
    </w:p>
    <w:p>
      <w:pPr>
        <w:pStyle w:val="Heading3"/>
        <w:spacing w:before="66"/>
        <w:ind w:left="0" w:right="228"/>
        <w:jc w:val="right"/>
        <w:rPr>
          <w:rFonts w:ascii="楷体" w:eastAsia="楷体" w:hint="eastAsia"/>
        </w:rPr>
      </w:pPr>
      <w:r>
        <w:rPr>
          <w:rFonts w:ascii="楷体" w:eastAsia="楷体" w:hint="eastAsia"/>
          <w:color w:val="FF0000"/>
          <w:w w:val="95"/>
        </w:rPr>
        <w:t>（来源：中国医药报）</w:t>
      </w:r>
    </w:p>
    <w:p>
      <w:pPr>
        <w:pStyle w:val="BodyText"/>
        <w:spacing w:before="110"/>
        <w:ind w:left="719"/>
      </w:pPr>
      <w:r>
        <w:rPr/>
        <w:t>5</w:t>
      </w:r>
      <w:r>
        <w:rPr>
          <w:spacing w:val="-41"/>
        </w:rPr>
        <w:t> 月 </w:t>
      </w:r>
      <w:r>
        <w:rPr/>
        <w:t>9</w:t>
      </w:r>
      <w:r>
        <w:rPr>
          <w:spacing w:val="-12"/>
        </w:rPr>
        <w:t> 日，国家药品监管局发布《</w:t>
      </w:r>
      <w:r>
        <w:rPr/>
        <w:t>2018</w:t>
      </w:r>
      <w:r>
        <w:rPr>
          <w:spacing w:val="-13"/>
        </w:rPr>
        <w:t> 年度药品监管统计年报》</w:t>
      </w:r>
      <w:r>
        <w:rPr/>
        <w:t>（</w:t>
      </w:r>
      <w:r>
        <w:rPr>
          <w:spacing w:val="-10"/>
        </w:rPr>
        <w:t>以下简称《年报》</w:t>
      </w:r>
      <w:r>
        <w:rPr>
          <w:spacing w:val="-32"/>
        </w:rPr>
        <w:t>）</w:t>
      </w:r>
      <w:r>
        <w:rPr/>
        <w:t>。</w:t>
      </w:r>
    </w:p>
    <w:p>
      <w:pPr>
        <w:pStyle w:val="BodyText"/>
        <w:spacing w:line="312" w:lineRule="auto" w:before="93"/>
        <w:ind w:right="108"/>
      </w:pPr>
      <w:r>
        <w:rPr>
          <w:spacing w:val="-16"/>
        </w:rPr>
        <w:t>《年报》汇集了 </w:t>
      </w:r>
      <w:r>
        <w:rPr/>
        <w:t>2017</w:t>
      </w:r>
      <w:r>
        <w:rPr>
          <w:spacing w:val="-40"/>
        </w:rPr>
        <w:t> 年 </w:t>
      </w:r>
      <w:r>
        <w:rPr/>
        <w:t>12</w:t>
      </w:r>
      <w:r>
        <w:rPr>
          <w:spacing w:val="-40"/>
        </w:rPr>
        <w:t> 月 </w:t>
      </w:r>
      <w:r>
        <w:rPr/>
        <w:t>1</w:t>
      </w:r>
      <w:r>
        <w:rPr>
          <w:spacing w:val="-30"/>
        </w:rPr>
        <w:t> 日至 </w:t>
      </w:r>
      <w:r>
        <w:rPr/>
        <w:t>2018</w:t>
      </w:r>
      <w:r>
        <w:rPr>
          <w:spacing w:val="-40"/>
        </w:rPr>
        <w:t> 年 </w:t>
      </w:r>
      <w:r>
        <w:rPr/>
        <w:t>11</w:t>
      </w:r>
      <w:r>
        <w:rPr>
          <w:spacing w:val="-40"/>
        </w:rPr>
        <w:t> 月 </w:t>
      </w:r>
      <w:r>
        <w:rPr/>
        <w:t>30</w:t>
      </w:r>
      <w:r>
        <w:rPr>
          <w:spacing w:val="-12"/>
        </w:rPr>
        <w:t> 日药品监管情况，从生产和经营许可、</w:t>
      </w:r>
      <w:r>
        <w:rPr>
          <w:spacing w:val="-8"/>
        </w:rPr>
        <w:t>注册审批、中药品种保护、投诉举报、案件查处等五方面进行了统计。《年报》显示，较之2017 年，药品、医疗器械、化妆品企业数量均有不同程度的增长，其中零售药店门店数量</w:t>
      </w:r>
    </w:p>
    <w:p>
      <w:pPr>
        <w:pStyle w:val="BodyText"/>
        <w:spacing w:before="1"/>
      </w:pPr>
      <w:r>
        <w:rPr>
          <w:spacing w:val="-30"/>
        </w:rPr>
        <w:t>从 </w:t>
      </w:r>
      <w:r>
        <w:rPr/>
        <w:t>2017</w:t>
      </w:r>
      <w:r>
        <w:rPr>
          <w:spacing w:val="-31"/>
        </w:rPr>
        <w:t> 年的 </w:t>
      </w:r>
      <w:r>
        <w:rPr/>
        <w:t>45.4</w:t>
      </w:r>
      <w:r>
        <w:rPr>
          <w:spacing w:val="-18"/>
        </w:rPr>
        <w:t> 万家上升至 </w:t>
      </w:r>
      <w:r>
        <w:rPr/>
        <w:t>48.9</w:t>
      </w:r>
      <w:r>
        <w:rPr>
          <w:spacing w:val="-14"/>
        </w:rPr>
        <w:t> 万家，同比增长 </w:t>
      </w:r>
      <w:r>
        <w:rPr/>
        <w:t>7.7%</w:t>
      </w:r>
      <w:r>
        <w:rPr>
          <w:spacing w:val="-7"/>
        </w:rPr>
        <w:t>。药品案件数量从 </w:t>
      </w:r>
      <w:r>
        <w:rPr/>
        <w:t>2017</w:t>
      </w:r>
      <w:r>
        <w:rPr>
          <w:spacing w:val="-30"/>
        </w:rPr>
        <w:t> 年的 </w:t>
      </w:r>
      <w:r>
        <w:rPr/>
        <w:t>11.2</w:t>
      </w:r>
    </w:p>
    <w:p>
      <w:pPr>
        <w:pStyle w:val="BodyText"/>
        <w:spacing w:before="91"/>
      </w:pPr>
      <w:r>
        <w:rPr/>
        <w:t>万件下降到 9.8 万件。</w:t>
      </w:r>
    </w:p>
    <w:p>
      <w:pPr>
        <w:pStyle w:val="BodyText"/>
        <w:spacing w:before="93"/>
        <w:ind w:left="0" w:right="229"/>
        <w:jc w:val="right"/>
      </w:pPr>
      <w:r>
        <w:rPr>
          <w:spacing w:val="-13"/>
        </w:rPr>
        <w:t>《年报》显示，生产和经营许可方面，截至 </w:t>
      </w:r>
      <w:r>
        <w:rPr/>
        <w:t>2018</w:t>
      </w:r>
      <w:r>
        <w:rPr>
          <w:spacing w:val="-40"/>
        </w:rPr>
        <w:t> 年 </w:t>
      </w:r>
      <w:r>
        <w:rPr/>
        <w:t>11</w:t>
      </w:r>
      <w:r>
        <w:rPr>
          <w:spacing w:val="-10"/>
        </w:rPr>
        <w:t> 月底，全国共有原料药和制剂生</w:t>
      </w:r>
    </w:p>
    <w:p>
      <w:pPr>
        <w:pStyle w:val="BodyText"/>
        <w:spacing w:before="94"/>
        <w:ind w:left="0" w:right="231"/>
        <w:jc w:val="right"/>
      </w:pPr>
      <w:r>
        <w:rPr>
          <w:spacing w:val="-16"/>
        </w:rPr>
        <w:t>产企业 </w:t>
      </w:r>
      <w:r>
        <w:rPr/>
        <w:t>4441</w:t>
      </w:r>
      <w:r>
        <w:rPr>
          <w:spacing w:val="-15"/>
        </w:rPr>
        <w:t> 家。《药品经营许可证》持证企业 </w:t>
      </w:r>
      <w:r>
        <w:rPr/>
        <w:t>50.8</w:t>
      </w:r>
      <w:r>
        <w:rPr>
          <w:spacing w:val="-15"/>
        </w:rPr>
        <w:t> 万家，其中批发企业 </w:t>
      </w:r>
      <w:r>
        <w:rPr/>
        <w:t>1.4</w:t>
      </w:r>
      <w:r>
        <w:rPr>
          <w:spacing w:val="-13"/>
        </w:rPr>
        <w:t> 万家；零售连</w:t>
      </w:r>
    </w:p>
    <w:p>
      <w:pPr>
        <w:pStyle w:val="BodyText"/>
        <w:spacing w:before="91"/>
        <w:ind w:left="0" w:right="246"/>
        <w:jc w:val="right"/>
      </w:pPr>
      <w:r>
        <w:rPr>
          <w:spacing w:val="-16"/>
        </w:rPr>
        <w:t>锁企业 </w:t>
      </w:r>
      <w:r>
        <w:rPr/>
        <w:t>5671</w:t>
      </w:r>
      <w:r>
        <w:rPr>
          <w:spacing w:val="-13"/>
        </w:rPr>
        <w:t> 家，零售连锁企业门店 </w:t>
      </w:r>
      <w:r>
        <w:rPr/>
        <w:t>25.5</w:t>
      </w:r>
      <w:r>
        <w:rPr>
          <w:spacing w:val="-14"/>
        </w:rPr>
        <w:t> 万家；零售药店 </w:t>
      </w:r>
      <w:r>
        <w:rPr/>
        <w:t>23.4</w:t>
      </w:r>
      <w:r>
        <w:rPr>
          <w:spacing w:val="-8"/>
        </w:rPr>
        <w:t> 万家。共有医疗器械生产企</w:t>
      </w:r>
    </w:p>
    <w:p>
      <w:pPr>
        <w:pStyle w:val="BodyText"/>
        <w:spacing w:before="93"/>
      </w:pPr>
      <w:r>
        <w:rPr/>
        <w:t>业 1.7 万家。二、三类医疗器械经营企业 51.1 万家。共有化妆品生产企业 4664 家。</w:t>
      </w:r>
    </w:p>
    <w:p>
      <w:pPr>
        <w:pStyle w:val="BodyText"/>
        <w:spacing w:line="312" w:lineRule="auto" w:before="94"/>
        <w:ind w:right="228" w:firstLine="482"/>
      </w:pPr>
      <w:r>
        <w:rPr/>
        <w:t>注册审批方面，2018</w:t>
      </w:r>
      <w:r>
        <w:rPr>
          <w:spacing w:val="-11"/>
        </w:rPr>
        <w:t> 年在新药审批工作中，国家药监局共批准新药临床 </w:t>
      </w:r>
      <w:r>
        <w:rPr/>
        <w:t>312</w:t>
      </w:r>
      <w:r>
        <w:rPr>
          <w:spacing w:val="-12"/>
        </w:rPr>
        <w:t> 件，批准</w:t>
      </w:r>
      <w:r>
        <w:rPr>
          <w:spacing w:val="-16"/>
        </w:rPr>
        <w:t>新药生产的新药证书及批准文号 </w:t>
      </w:r>
      <w:r>
        <w:rPr/>
        <w:t>25</w:t>
      </w:r>
      <w:r>
        <w:rPr>
          <w:spacing w:val="-24"/>
        </w:rPr>
        <w:t> 件，批准文号 </w:t>
      </w:r>
      <w:r>
        <w:rPr/>
        <w:t>10</w:t>
      </w:r>
      <w:r>
        <w:rPr>
          <w:spacing w:val="-13"/>
        </w:rPr>
        <w:t> 件，批准按新药申请程序申报临床申请</w:t>
      </w:r>
    </w:p>
    <w:p>
      <w:pPr>
        <w:pStyle w:val="BodyText"/>
        <w:spacing w:line="307" w:lineRule="exact"/>
      </w:pPr>
      <w:r>
        <w:rPr/>
        <w:t>8</w:t>
      </w:r>
      <w:r>
        <w:rPr>
          <w:spacing w:val="-12"/>
        </w:rPr>
        <w:t> 件；批准仿制药临床申请 </w:t>
      </w:r>
      <w:r>
        <w:rPr/>
        <w:t>58</w:t>
      </w:r>
      <w:r>
        <w:rPr>
          <w:spacing w:val="-16"/>
        </w:rPr>
        <w:t> 件，生产申请 </w:t>
      </w:r>
      <w:r>
        <w:rPr/>
        <w:t>464</w:t>
      </w:r>
      <w:r>
        <w:rPr>
          <w:spacing w:val="-12"/>
        </w:rPr>
        <w:t> 件；批准进口药品临床申请 </w:t>
      </w:r>
      <w:r>
        <w:rPr/>
        <w:t>154</w:t>
      </w:r>
      <w:r>
        <w:rPr>
          <w:spacing w:val="-12"/>
        </w:rPr>
        <w:t> 件，上市</w:t>
      </w:r>
    </w:p>
    <w:p>
      <w:pPr>
        <w:pStyle w:val="BodyText"/>
        <w:spacing w:before="93"/>
      </w:pPr>
      <w:r>
        <w:rPr/>
        <w:t>90</w:t>
      </w:r>
      <w:r>
        <w:rPr>
          <w:spacing w:val="-14"/>
        </w:rPr>
        <w:t> 件；批准药品补充申请 </w:t>
      </w:r>
      <w:r>
        <w:rPr/>
        <w:t>1862</w:t>
      </w:r>
      <w:r>
        <w:rPr>
          <w:spacing w:val="-12"/>
        </w:rPr>
        <w:t> 件。全国共完成境内第一类医疗器械备案 </w:t>
      </w:r>
      <w:r>
        <w:rPr/>
        <w:t>22167</w:t>
      </w:r>
      <w:r>
        <w:rPr>
          <w:spacing w:val="-14"/>
        </w:rPr>
        <w:t> 件，进口第</w:t>
      </w:r>
    </w:p>
    <w:p>
      <w:pPr>
        <w:pStyle w:val="BodyText"/>
        <w:spacing w:before="91"/>
      </w:pPr>
      <w:r>
        <w:rPr/>
        <w:t>一类医疗器械（含港澳台）</w:t>
      </w:r>
      <w:r>
        <w:rPr>
          <w:spacing w:val="-20"/>
        </w:rPr>
        <w:t>备案 </w:t>
      </w:r>
      <w:r>
        <w:rPr/>
        <w:t>1885</w:t>
      </w:r>
      <w:r>
        <w:rPr>
          <w:spacing w:val="-8"/>
        </w:rPr>
        <w:t> 件；批准境内第二类、第三类医疗器械首次注册分别</w:t>
      </w:r>
    </w:p>
    <w:p>
      <w:pPr>
        <w:pStyle w:val="BodyText"/>
        <w:spacing w:before="94"/>
      </w:pPr>
      <w:r>
        <w:rPr/>
        <w:t>为 4402 件和 668 件，批准进口（含港澳台）第二类、第三类医疗器械首次注册分别为 358</w:t>
      </w:r>
    </w:p>
    <w:p>
      <w:pPr>
        <w:pStyle w:val="BodyText"/>
        <w:spacing w:before="93"/>
      </w:pPr>
      <w:r>
        <w:rPr>
          <w:spacing w:val="-20"/>
        </w:rPr>
        <w:t>件和 </w:t>
      </w:r>
      <w:r>
        <w:rPr/>
        <w:t>235</w:t>
      </w:r>
      <w:r>
        <w:rPr>
          <w:spacing w:val="-28"/>
        </w:rPr>
        <w:t> 件。</w:t>
      </w:r>
      <w:r>
        <w:rPr/>
        <w:t>2018</w:t>
      </w:r>
      <w:r>
        <w:rPr>
          <w:spacing w:val="-11"/>
        </w:rPr>
        <w:t> 年批准国产特殊用途化妆品首次申报 </w:t>
      </w:r>
      <w:r>
        <w:rPr/>
        <w:t>1458</w:t>
      </w:r>
      <w:r>
        <w:rPr>
          <w:spacing w:val="-10"/>
        </w:rPr>
        <w:t> 件，批准进口非特殊用途化妆</w:t>
      </w:r>
    </w:p>
    <w:p>
      <w:pPr>
        <w:pStyle w:val="BodyText"/>
        <w:spacing w:before="91"/>
      </w:pPr>
      <w:r>
        <w:rPr/>
        <w:t>品首次备案 16624 件。</w:t>
      </w:r>
    </w:p>
    <w:p>
      <w:pPr>
        <w:pStyle w:val="BodyText"/>
        <w:spacing w:before="93"/>
        <w:ind w:left="719"/>
      </w:pPr>
      <w:r>
        <w:rPr>
          <w:spacing w:val="-9"/>
        </w:rPr>
        <w:t>中药品种保护方面，截至 </w:t>
      </w:r>
      <w:r>
        <w:rPr/>
        <w:t>2018</w:t>
      </w:r>
      <w:r>
        <w:rPr>
          <w:spacing w:val="-40"/>
        </w:rPr>
        <w:t> 年 </w:t>
      </w:r>
      <w:r>
        <w:rPr/>
        <w:t>11</w:t>
      </w:r>
      <w:r>
        <w:rPr>
          <w:spacing w:val="-15"/>
        </w:rPr>
        <w:t> 月底，共有中药保护品种证书 </w:t>
      </w:r>
      <w:r>
        <w:rPr/>
        <w:t>192</w:t>
      </w:r>
      <w:r>
        <w:rPr>
          <w:spacing w:val="-14"/>
        </w:rPr>
        <w:t> 个，其中初次品</w:t>
      </w:r>
    </w:p>
    <w:p>
      <w:pPr>
        <w:pStyle w:val="BodyText"/>
        <w:spacing w:before="93"/>
      </w:pPr>
      <w:r>
        <w:rPr/>
        <w:t>种 99 个，同品种 4 个，延长保护期 89 个。</w:t>
      </w:r>
    </w:p>
    <w:p>
      <w:pPr>
        <w:pStyle w:val="BodyText"/>
        <w:spacing w:before="91"/>
        <w:ind w:left="0" w:right="226"/>
        <w:jc w:val="right"/>
      </w:pPr>
      <w:r>
        <w:rPr>
          <w:spacing w:val="-1"/>
        </w:rPr>
        <w:t>投诉举报情况，</w:t>
      </w:r>
      <w:r>
        <w:rPr>
          <w:spacing w:val="-3"/>
        </w:rPr>
        <w:t>2018</w:t>
      </w:r>
      <w:r>
        <w:rPr>
          <w:spacing w:val="-11"/>
        </w:rPr>
        <w:t> 年各级监管机构共受理药品投诉举报 </w:t>
      </w:r>
      <w:r>
        <w:rPr/>
        <w:t>6.4</w:t>
      </w:r>
      <w:r>
        <w:rPr>
          <w:spacing w:val="-21"/>
        </w:rPr>
        <w:t> 万件，立案 </w:t>
      </w:r>
      <w:r>
        <w:rPr/>
        <w:t>3556</w:t>
      </w:r>
      <w:r>
        <w:rPr>
          <w:spacing w:val="-19"/>
        </w:rPr>
        <w:t> 件，结</w:t>
      </w:r>
    </w:p>
    <w:p>
      <w:pPr>
        <w:pStyle w:val="BodyText"/>
        <w:spacing w:before="94"/>
        <w:ind w:left="0" w:right="246"/>
        <w:jc w:val="right"/>
      </w:pPr>
      <w:r>
        <w:rPr>
          <w:spacing w:val="-30"/>
        </w:rPr>
        <w:t>案 </w:t>
      </w:r>
      <w:r>
        <w:rPr/>
        <w:t>4036</w:t>
      </w:r>
      <w:r>
        <w:rPr>
          <w:spacing w:val="-12"/>
        </w:rPr>
        <w:t> 件；受理医疗器械投诉举报 </w:t>
      </w:r>
      <w:r>
        <w:rPr/>
        <w:t>1.8</w:t>
      </w:r>
      <w:r>
        <w:rPr>
          <w:spacing w:val="-18"/>
        </w:rPr>
        <w:t> 万件，立案 </w:t>
      </w:r>
      <w:r>
        <w:rPr/>
        <w:t>1026</w:t>
      </w:r>
      <w:r>
        <w:rPr>
          <w:spacing w:val="-20"/>
        </w:rPr>
        <w:t> 件，结案 </w:t>
      </w:r>
      <w:r>
        <w:rPr/>
        <w:t>1087</w:t>
      </w:r>
      <w:r>
        <w:rPr>
          <w:spacing w:val="-8"/>
        </w:rPr>
        <w:t> 件；受理化妆品投</w:t>
      </w:r>
    </w:p>
    <w:p>
      <w:pPr>
        <w:pStyle w:val="BodyText"/>
        <w:spacing w:before="93"/>
      </w:pPr>
      <w:r>
        <w:rPr/>
        <w:t>诉举报 3.9 万件，立案 1263 件，结案 1391 件。</w:t>
      </w:r>
    </w:p>
    <w:p>
      <w:pPr>
        <w:pStyle w:val="BodyText"/>
        <w:spacing w:before="91"/>
        <w:ind w:left="719"/>
      </w:pPr>
      <w:r>
        <w:rPr>
          <w:spacing w:val="-3"/>
        </w:rPr>
        <w:t>案件查处方面，</w:t>
      </w:r>
      <w:r>
        <w:rPr>
          <w:spacing w:val="-17"/>
        </w:rPr>
        <w:t>2018</w:t>
      </w:r>
      <w:r>
        <w:rPr>
          <w:spacing w:val="-12"/>
        </w:rPr>
        <w:t> 年各级监管机构共查处药品案件 </w:t>
      </w:r>
      <w:r>
        <w:rPr/>
        <w:t>9.8</w:t>
      </w:r>
      <w:r>
        <w:rPr>
          <w:spacing w:val="-21"/>
        </w:rPr>
        <w:t> 万件，取缔无证经营 </w:t>
      </w:r>
      <w:r>
        <w:rPr/>
        <w:t>1037</w:t>
      </w:r>
      <w:r>
        <w:rPr>
          <w:spacing w:val="-20"/>
        </w:rPr>
        <w:t> 户，</w:t>
      </w:r>
    </w:p>
    <w:p>
      <w:pPr>
        <w:pStyle w:val="BodyText"/>
        <w:spacing w:before="94"/>
      </w:pPr>
      <w:r>
        <w:rPr>
          <w:spacing w:val="-7"/>
        </w:rPr>
        <w:t>捣毁制假售假窝点 </w:t>
      </w:r>
      <w:r>
        <w:rPr/>
        <w:t>148</w:t>
      </w:r>
      <w:r>
        <w:rPr>
          <w:spacing w:val="-15"/>
        </w:rPr>
        <w:t> 个，责令停产停业 </w:t>
      </w:r>
      <w:r>
        <w:rPr/>
        <w:t>1093</w:t>
      </w:r>
      <w:r>
        <w:rPr>
          <w:spacing w:val="-17"/>
        </w:rPr>
        <w:t> 户，吊销许可证 </w:t>
      </w:r>
      <w:r>
        <w:rPr/>
        <w:t>197</w:t>
      </w:r>
      <w:r>
        <w:rPr>
          <w:spacing w:val="-15"/>
        </w:rPr>
        <w:t> 件，移送司法机关 </w:t>
      </w:r>
      <w:r>
        <w:rPr/>
        <w:t>2000</w:t>
      </w:r>
    </w:p>
    <w:p>
      <w:pPr>
        <w:pStyle w:val="BodyText"/>
        <w:spacing w:before="93"/>
      </w:pPr>
      <w:r>
        <w:rPr>
          <w:spacing w:val="-5"/>
        </w:rPr>
        <w:t>件；共查处药品包装材料案件 </w:t>
      </w:r>
      <w:r>
        <w:rPr/>
        <w:t>249</w:t>
      </w:r>
      <w:r>
        <w:rPr>
          <w:spacing w:val="-13"/>
        </w:rPr>
        <w:t> 件；查处医疗器械案件 </w:t>
      </w:r>
      <w:r>
        <w:rPr/>
        <w:t>1.8</w:t>
      </w:r>
      <w:r>
        <w:rPr>
          <w:spacing w:val="-13"/>
        </w:rPr>
        <w:t> 万件，取缔无证经营 </w:t>
      </w:r>
      <w:r>
        <w:rPr/>
        <w:t>188</w:t>
      </w:r>
      <w:r>
        <w:rPr>
          <w:spacing w:val="-20"/>
        </w:rPr>
        <w:t> 户，</w:t>
      </w:r>
    </w:p>
    <w:p>
      <w:pPr>
        <w:spacing w:after="0"/>
        <w:sectPr>
          <w:pgSz w:w="11910" w:h="16850"/>
          <w:pgMar w:header="906" w:footer="607" w:top="1100" w:bottom="800" w:left="1040" w:right="900"/>
        </w:sectPr>
      </w:pPr>
    </w:p>
    <w:p>
      <w:pPr>
        <w:pStyle w:val="BodyText"/>
        <w:spacing w:before="79"/>
      </w:pPr>
      <w:r>
        <w:rPr>
          <w:spacing w:val="-7"/>
        </w:rPr>
        <w:t>捣毁制假售假窝点 </w:t>
      </w:r>
      <w:r>
        <w:rPr/>
        <w:t>6</w:t>
      </w:r>
      <w:r>
        <w:rPr>
          <w:spacing w:val="-16"/>
        </w:rPr>
        <w:t> 个，责令停产停业 </w:t>
      </w:r>
      <w:r>
        <w:rPr/>
        <w:t>89</w:t>
      </w:r>
      <w:r>
        <w:rPr>
          <w:spacing w:val="-18"/>
        </w:rPr>
        <w:t> 户，吊销许可证 </w:t>
      </w:r>
      <w:r>
        <w:rPr/>
        <w:t>7</w:t>
      </w:r>
      <w:r>
        <w:rPr>
          <w:spacing w:val="-16"/>
        </w:rPr>
        <w:t> 件，移送司法机关 </w:t>
      </w:r>
      <w:r>
        <w:rPr/>
        <w:t>41</w:t>
      </w:r>
      <w:r>
        <w:rPr>
          <w:spacing w:val="-18"/>
        </w:rPr>
        <w:t> 件；查处</w:t>
      </w:r>
    </w:p>
    <w:p>
      <w:pPr>
        <w:pStyle w:val="BodyText"/>
        <w:spacing w:before="45"/>
        <w:rPr>
          <w:rFonts w:ascii="Meiryo" w:eastAsia="Meiryo" w:hint="eastAsia"/>
          <w:b/>
        </w:rPr>
      </w:pPr>
      <w:r>
        <w:rPr/>
        <w:t>化妆品案件 1.1 万件，责令停产停业 509 户，移送司法机关 44 件。</w:t>
      </w:r>
      <w:r>
        <w:rPr>
          <w:rFonts w:ascii="Meiryo" w:eastAsia="Meiryo" w:hint="eastAsia"/>
          <w:b/>
          <w:color w:val="0033CC"/>
        </w:rPr>
        <w:t>[返回目次]</w:t>
      </w:r>
    </w:p>
    <w:p>
      <w:pPr>
        <w:pStyle w:val="Heading2"/>
        <w:spacing w:before="72"/>
      </w:pPr>
      <w:r>
        <w:rPr/>
        <w:t>【医院管理】</w:t>
      </w:r>
    </w:p>
    <w:p>
      <w:pPr>
        <w:pStyle w:val="BodyText"/>
        <w:spacing w:before="11"/>
        <w:ind w:left="0"/>
        <w:rPr>
          <w:b/>
          <w:sz w:val="22"/>
        </w:rPr>
      </w:pPr>
    </w:p>
    <w:p>
      <w:pPr>
        <w:spacing w:before="0"/>
        <w:ind w:left="2" w:right="0" w:firstLine="0"/>
        <w:jc w:val="center"/>
        <w:rPr>
          <w:b/>
          <w:sz w:val="32"/>
        </w:rPr>
      </w:pPr>
      <w:r>
        <w:rPr>
          <w:b/>
          <w:sz w:val="32"/>
        </w:rPr>
        <w:t>构建我国医院药学服务体系的评价指标体系</w:t>
      </w:r>
    </w:p>
    <w:p>
      <w:pPr>
        <w:spacing w:line="316" w:lineRule="auto" w:before="145"/>
        <w:ind w:left="237" w:right="228" w:firstLine="4373"/>
        <w:jc w:val="left"/>
        <w:rPr>
          <w:sz w:val="18"/>
        </w:rPr>
      </w:pPr>
      <w:r>
        <w:rPr>
          <w:rFonts w:ascii="楷体" w:eastAsia="楷体" w:hint="eastAsia"/>
          <w:b/>
          <w:color w:val="FF0000"/>
          <w:sz w:val="24"/>
        </w:rPr>
        <w:t>（来源：《中国医院药学杂志》2019</w:t>
      </w:r>
      <w:r>
        <w:rPr>
          <w:rFonts w:ascii="楷体" w:eastAsia="楷体" w:hint="eastAsia"/>
          <w:b/>
          <w:color w:val="FF0000"/>
          <w:spacing w:val="-30"/>
          <w:sz w:val="24"/>
        </w:rPr>
        <w:t> 年第 </w:t>
      </w:r>
      <w:r>
        <w:rPr>
          <w:rFonts w:ascii="楷体" w:eastAsia="楷体" w:hint="eastAsia"/>
          <w:b/>
          <w:color w:val="FF0000"/>
          <w:sz w:val="24"/>
        </w:rPr>
        <w:t>4</w:t>
      </w:r>
      <w:r>
        <w:rPr>
          <w:rFonts w:ascii="楷体" w:eastAsia="楷体" w:hint="eastAsia"/>
          <w:b/>
          <w:color w:val="FF0000"/>
          <w:spacing w:val="-31"/>
          <w:sz w:val="24"/>
        </w:rPr>
        <w:t> 期</w:t>
      </w:r>
      <w:r>
        <w:rPr>
          <w:rFonts w:ascii="楷体" w:eastAsia="楷体" w:hint="eastAsia"/>
          <w:b/>
          <w:color w:val="FF0000"/>
          <w:spacing w:val="-14"/>
          <w:sz w:val="24"/>
        </w:rPr>
        <w:t>） </w:t>
      </w:r>
      <w:r>
        <w:rPr>
          <w:rFonts w:ascii="楷体" w:eastAsia="楷体" w:hint="eastAsia"/>
          <w:sz w:val="24"/>
        </w:rPr>
        <w:t>席晓宇，黄元楷，李文君，裴佩，陈磊</w:t>
      </w:r>
      <w:r>
        <w:rPr>
          <w:sz w:val="18"/>
        </w:rPr>
        <w:t>（中国药科大学国家药物政策与医药产业经济研究中心，</w:t>
      </w:r>
    </w:p>
    <w:p>
      <w:pPr>
        <w:pStyle w:val="BodyText"/>
        <w:spacing w:line="281" w:lineRule="exact"/>
        <w:rPr>
          <w:rFonts w:ascii="楷体" w:eastAsia="楷体" w:hint="eastAsia"/>
        </w:rPr>
      </w:pPr>
      <w:r>
        <w:rPr>
          <w:rFonts w:ascii="黑体" w:eastAsia="黑体" w:hint="eastAsia"/>
        </w:rPr>
        <w:t>［摘要］目的：</w:t>
      </w:r>
      <w:r>
        <w:rPr>
          <w:rFonts w:ascii="楷体" w:eastAsia="楷体" w:hint="eastAsia"/>
        </w:rPr>
        <w:t>构建一套用于评价我国医院药学服务体系建设水平的指标体系。</w:t>
      </w:r>
      <w:r>
        <w:rPr>
          <w:rFonts w:ascii="黑体" w:eastAsia="黑体" w:hint="eastAsia"/>
        </w:rPr>
        <w:t>方法：</w:t>
      </w:r>
      <w:r>
        <w:rPr>
          <w:rFonts w:ascii="楷体" w:eastAsia="楷体" w:hint="eastAsia"/>
        </w:rPr>
        <w:t>在</w:t>
      </w:r>
    </w:p>
    <w:p>
      <w:pPr>
        <w:pStyle w:val="BodyText"/>
        <w:spacing w:line="297" w:lineRule="auto" w:before="73"/>
        <w:ind w:right="227"/>
        <w:jc w:val="both"/>
        <w:rPr>
          <w:rFonts w:ascii="楷体" w:eastAsia="楷体" w:hint="eastAsia"/>
        </w:rPr>
      </w:pPr>
      <w:r>
        <w:rPr>
          <w:rFonts w:ascii="楷体" w:eastAsia="楷体" w:hint="eastAsia"/>
        </w:rPr>
        <w:t>SPO</w:t>
      </w:r>
      <w:r>
        <w:rPr>
          <w:rFonts w:ascii="楷体" w:eastAsia="楷体" w:hint="eastAsia"/>
          <w:spacing w:val="-8"/>
        </w:rPr>
        <w:t> 医疗服务质量评价理论模型的基础上根据国内外药学服务评价理论和方法构建第一级</w:t>
      </w:r>
      <w:r>
        <w:rPr>
          <w:rFonts w:ascii="楷体" w:eastAsia="楷体" w:hint="eastAsia"/>
          <w:spacing w:val="-14"/>
        </w:rPr>
        <w:t>和第二级指标，随后采用借鉴德尔菲法原理的专家调研构建第三级指标，并运用层次分析法</w:t>
      </w:r>
    </w:p>
    <w:p>
      <w:pPr>
        <w:pStyle w:val="BodyText"/>
        <w:spacing w:line="297" w:lineRule="auto"/>
        <w:ind w:right="229"/>
        <w:jc w:val="both"/>
        <w:rPr>
          <w:rFonts w:ascii="楷体" w:eastAsia="楷体" w:hint="eastAsia"/>
        </w:rPr>
      </w:pPr>
      <w:r>
        <w:rPr>
          <w:rFonts w:ascii="楷体" w:eastAsia="楷体" w:hint="eastAsia"/>
        </w:rPr>
        <w:t>（AHP）确定各级指标下各项目权重，完成指标体系构建</w:t>
      </w:r>
      <w:r>
        <w:rPr>
          <w:rFonts w:ascii="黑体" w:eastAsia="黑体" w:hint="eastAsia"/>
        </w:rPr>
        <w:t>。结果：</w:t>
      </w:r>
      <w:r>
        <w:rPr>
          <w:rFonts w:ascii="楷体" w:eastAsia="楷体" w:hint="eastAsia"/>
          <w:spacing w:val="-6"/>
        </w:rPr>
        <w:t>研究构建出了一套包含 </w:t>
      </w:r>
      <w:r>
        <w:rPr>
          <w:rFonts w:ascii="楷体" w:eastAsia="楷体" w:hint="eastAsia"/>
        </w:rPr>
        <w:t>3 个一级指标、9</w:t>
      </w:r>
      <w:r>
        <w:rPr>
          <w:rFonts w:ascii="楷体" w:eastAsia="楷体" w:hint="eastAsia"/>
          <w:spacing w:val="-16"/>
        </w:rPr>
        <w:t> 个二级指标和 </w:t>
      </w:r>
      <w:r>
        <w:rPr>
          <w:rFonts w:ascii="楷体" w:eastAsia="楷体" w:hint="eastAsia"/>
        </w:rPr>
        <w:t>34</w:t>
      </w:r>
      <w:r>
        <w:rPr>
          <w:rFonts w:ascii="楷体" w:eastAsia="楷体" w:hint="eastAsia"/>
          <w:spacing w:val="-8"/>
        </w:rPr>
        <w:t> 个三级指标的我国医院药学服务评价指标体系。</w:t>
      </w:r>
      <w:r>
        <w:rPr>
          <w:rFonts w:ascii="黑体" w:eastAsia="黑体" w:hint="eastAsia"/>
        </w:rPr>
        <w:t>结论：</w:t>
      </w:r>
      <w:r>
        <w:rPr>
          <w:rFonts w:ascii="楷体" w:eastAsia="楷体" w:hint="eastAsia"/>
        </w:rPr>
        <w:t>我</w:t>
      </w:r>
      <w:r>
        <w:rPr>
          <w:rFonts w:ascii="楷体" w:eastAsia="楷体" w:hint="eastAsia"/>
          <w:spacing w:val="-6"/>
        </w:rPr>
        <w:t>国医院药学服务体系的发展应将药学服务团队建设、服务规章制度设计和最终临床产出的提</w:t>
      </w:r>
      <w:r>
        <w:rPr>
          <w:rFonts w:ascii="楷体" w:eastAsia="楷体" w:hint="eastAsia"/>
        </w:rPr>
        <w:t>升作为首要任务。</w:t>
      </w:r>
    </w:p>
    <w:p>
      <w:pPr>
        <w:pStyle w:val="BodyText"/>
        <w:spacing w:line="302" w:lineRule="exact"/>
        <w:rPr>
          <w:rFonts w:ascii="楷体" w:eastAsia="楷体" w:hint="eastAsia"/>
        </w:rPr>
      </w:pPr>
      <w:r>
        <w:rPr>
          <w:rFonts w:ascii="黑体" w:eastAsia="黑体" w:hint="eastAsia"/>
        </w:rPr>
        <w:t>［关键词］</w:t>
      </w:r>
      <w:r>
        <w:rPr>
          <w:rFonts w:ascii="楷体" w:eastAsia="楷体" w:hint="eastAsia"/>
        </w:rPr>
        <w:t>医院；药学服务；评价指标体系；专家调研；结构-过程-结果模型</w:t>
      </w:r>
    </w:p>
    <w:p>
      <w:pPr>
        <w:pStyle w:val="Heading3"/>
        <w:numPr>
          <w:ilvl w:val="0"/>
          <w:numId w:val="2"/>
        </w:numPr>
        <w:tabs>
          <w:tab w:pos="1079" w:val="left" w:leader="none"/>
          <w:tab w:pos="1080" w:val="left" w:leader="none"/>
        </w:tabs>
        <w:spacing w:line="240" w:lineRule="auto" w:before="72" w:after="0"/>
        <w:ind w:left="1079" w:right="0" w:hanging="363"/>
        <w:jc w:val="left"/>
      </w:pPr>
      <w:r>
        <w:rPr/>
        <w:t>研究概述</w:t>
      </w:r>
    </w:p>
    <w:p>
      <w:pPr>
        <w:pStyle w:val="ListParagraph"/>
        <w:numPr>
          <w:ilvl w:val="1"/>
          <w:numId w:val="2"/>
        </w:numPr>
        <w:tabs>
          <w:tab w:pos="1198" w:val="left" w:leader="none"/>
          <w:tab w:pos="4077" w:val="left" w:leader="none"/>
        </w:tabs>
        <w:spacing w:line="297" w:lineRule="auto" w:before="72" w:after="0"/>
        <w:ind w:left="237" w:right="228" w:firstLine="480"/>
        <w:jc w:val="left"/>
        <w:rPr>
          <w:sz w:val="24"/>
        </w:rPr>
      </w:pPr>
      <w:r>
        <w:rPr>
          <w:sz w:val="24"/>
        </w:rPr>
        <w:t>药学服务的定义和重要性</w:t>
        <w:tab/>
        <w:t>随着经济飞速增长</w:t>
      </w:r>
      <w:r>
        <w:rPr>
          <w:spacing w:val="-104"/>
          <w:sz w:val="24"/>
        </w:rPr>
        <w:t>，</w:t>
      </w:r>
      <w:r>
        <w:rPr>
          <w:sz w:val="24"/>
        </w:rPr>
        <w:t>我国人民对自身健康的关注程度</w:t>
      </w:r>
      <w:r>
        <w:rPr>
          <w:spacing w:val="-15"/>
          <w:sz w:val="24"/>
        </w:rPr>
        <w:t>越</w:t>
      </w:r>
      <w:r>
        <w:rPr>
          <w:sz w:val="24"/>
        </w:rPr>
        <w:t>来越高</w:t>
      </w:r>
      <w:r>
        <w:rPr>
          <w:spacing w:val="-51"/>
          <w:sz w:val="24"/>
        </w:rPr>
        <w:t>，</w:t>
      </w:r>
      <w:r>
        <w:rPr>
          <w:sz w:val="24"/>
        </w:rPr>
        <w:t>同时也对医疗机构提供的药学服务提出了更高的要求</w:t>
      </w:r>
      <w:r>
        <w:rPr>
          <w:spacing w:val="-51"/>
          <w:sz w:val="24"/>
        </w:rPr>
        <w:t>。</w:t>
      </w:r>
      <w:r>
        <w:rPr>
          <w:sz w:val="24"/>
        </w:rPr>
        <w:t>药学服务概念起源于上世</w:t>
      </w:r>
      <w:r>
        <w:rPr>
          <w:spacing w:val="-18"/>
          <w:sz w:val="24"/>
        </w:rPr>
        <w:t>纪</w:t>
      </w:r>
      <w:r>
        <w:rPr>
          <w:sz w:val="24"/>
        </w:rPr>
        <w:t>70</w:t>
      </w:r>
      <w:r>
        <w:rPr>
          <w:spacing w:val="-60"/>
          <w:sz w:val="24"/>
        </w:rPr>
        <w:t> </w:t>
      </w:r>
      <w:r>
        <w:rPr>
          <w:sz w:val="24"/>
        </w:rPr>
        <w:t>年代的美国，其理念源自“为药物使用负责”的思想，为实现自我价值，发挥医院药学工作的潜能</w:t>
      </w:r>
      <w:r>
        <w:rPr>
          <w:spacing w:val="-51"/>
          <w:sz w:val="24"/>
        </w:rPr>
        <w:t>，</w:t>
      </w:r>
      <w:r>
        <w:rPr>
          <w:sz w:val="24"/>
        </w:rPr>
        <w:t>医院药师依托临床药学学科的建立与发展</w:t>
      </w:r>
      <w:r>
        <w:rPr>
          <w:spacing w:val="-51"/>
          <w:sz w:val="24"/>
        </w:rPr>
        <w:t>，</w:t>
      </w:r>
      <w:r>
        <w:rPr>
          <w:sz w:val="24"/>
        </w:rPr>
        <w:t>逐渐形成了以患者为核心的药学</w:t>
      </w:r>
      <w:r>
        <w:rPr>
          <w:spacing w:val="-17"/>
          <w:sz w:val="24"/>
        </w:rPr>
        <w:t>服</w:t>
      </w:r>
      <w:r>
        <w:rPr>
          <w:sz w:val="24"/>
        </w:rPr>
        <w:t>务模式。1990</w:t>
      </w:r>
      <w:r>
        <w:rPr>
          <w:spacing w:val="-61"/>
          <w:sz w:val="24"/>
        </w:rPr>
        <w:t> </w:t>
      </w:r>
      <w:r>
        <w:rPr>
          <w:sz w:val="24"/>
        </w:rPr>
        <w:t>年，美国学者</w:t>
      </w:r>
      <w:r>
        <w:rPr>
          <w:spacing w:val="-60"/>
          <w:sz w:val="24"/>
        </w:rPr>
        <w:t> </w:t>
      </w:r>
      <w:r>
        <w:rPr>
          <w:sz w:val="24"/>
        </w:rPr>
        <w:t>Hepler</w:t>
      </w:r>
      <w:r>
        <w:rPr>
          <w:spacing w:val="-60"/>
          <w:sz w:val="24"/>
        </w:rPr>
        <w:t> </w:t>
      </w:r>
      <w:r>
        <w:rPr>
          <w:sz w:val="24"/>
        </w:rPr>
        <w:t>和</w:t>
      </w:r>
      <w:r>
        <w:rPr>
          <w:spacing w:val="-60"/>
          <w:sz w:val="24"/>
        </w:rPr>
        <w:t> </w:t>
      </w:r>
      <w:r>
        <w:rPr>
          <w:sz w:val="24"/>
        </w:rPr>
        <w:t>Strand</w:t>
      </w:r>
      <w:r>
        <w:rPr>
          <w:spacing w:val="-60"/>
          <w:sz w:val="24"/>
        </w:rPr>
        <w:t> </w:t>
      </w:r>
      <w:r>
        <w:rPr>
          <w:sz w:val="24"/>
        </w:rPr>
        <w:t>首次明确、系统地提出了药学服务的概念， 指出药学服务是为患者提供直接的与药物治疗有关的服务</w:t>
      </w:r>
      <w:r>
        <w:rPr>
          <w:spacing w:val="-104"/>
          <w:sz w:val="24"/>
        </w:rPr>
        <w:t>。</w:t>
      </w:r>
      <w:r>
        <w:rPr>
          <w:sz w:val="24"/>
        </w:rPr>
        <w:t>而我国的药学服务体系起步相</w:t>
      </w:r>
      <w:r>
        <w:rPr>
          <w:spacing w:val="-15"/>
          <w:sz w:val="24"/>
        </w:rPr>
        <w:t>对</w:t>
      </w:r>
      <w:r>
        <w:rPr>
          <w:sz w:val="24"/>
        </w:rPr>
        <w:t>较晚</w:t>
      </w:r>
      <w:r>
        <w:rPr>
          <w:spacing w:val="-27"/>
          <w:sz w:val="24"/>
        </w:rPr>
        <w:t>，</w:t>
      </w:r>
      <w:r>
        <w:rPr>
          <w:sz w:val="24"/>
        </w:rPr>
        <w:t>在改革开放后</w:t>
      </w:r>
      <w:r>
        <w:rPr>
          <w:spacing w:val="-24"/>
          <w:sz w:val="24"/>
        </w:rPr>
        <w:t>，</w:t>
      </w:r>
      <w:r>
        <w:rPr>
          <w:sz w:val="24"/>
        </w:rPr>
        <w:t>我国医院药师才逐渐从药品调剂</w:t>
      </w:r>
      <w:r>
        <w:rPr>
          <w:spacing w:val="-27"/>
          <w:sz w:val="24"/>
        </w:rPr>
        <w:t>、</w:t>
      </w:r>
      <w:r>
        <w:rPr>
          <w:sz w:val="24"/>
        </w:rPr>
        <w:t>采购和管理工作中解放出来</w:t>
      </w:r>
      <w:r>
        <w:rPr>
          <w:spacing w:val="-27"/>
          <w:sz w:val="24"/>
        </w:rPr>
        <w:t>，</w:t>
      </w:r>
      <w:r>
        <w:rPr>
          <w:sz w:val="24"/>
        </w:rPr>
        <w:t>开</w:t>
      </w:r>
      <w:r>
        <w:rPr>
          <w:spacing w:val="-14"/>
          <w:sz w:val="24"/>
        </w:rPr>
        <w:t>始</w:t>
      </w:r>
      <w:r>
        <w:rPr>
          <w:sz w:val="24"/>
        </w:rPr>
        <w:t>为患者提供以促进合理用药为目的的医院药学服务。</w:t>
      </w:r>
    </w:p>
    <w:p>
      <w:pPr>
        <w:pStyle w:val="BodyText"/>
        <w:spacing w:line="297" w:lineRule="auto"/>
        <w:ind w:right="110" w:firstLine="480"/>
      </w:pPr>
      <w:r>
        <w:rPr>
          <w:spacing w:val="-5"/>
        </w:rPr>
        <w:t>医院药学服务体系的构建和发展对我国人民大众、医疗机构乃至于整个医疗卫生体系都</w:t>
      </w:r>
      <w:r>
        <w:rPr>
          <w:spacing w:val="-12"/>
        </w:rPr>
        <w:t>有着重要意义。对患者而言，药学服务能为其提供更为安全、有效、经济、合法的药物治疗</w:t>
      </w:r>
      <w:r>
        <w:rPr>
          <w:spacing w:val="-18"/>
        </w:rPr>
        <w:t>方案，同时有效避免不合理医疗成本的产生；对医院来说，仅凭医师完成与用药有关的决策， </w:t>
      </w:r>
      <w:r>
        <w:rPr/>
        <w:t>很可能产生不合理用药现象，影响诊疗效率，甚至产生医患纠纷，而提供药学服务过程中， </w:t>
      </w:r>
      <w:r>
        <w:rPr>
          <w:spacing w:val="-6"/>
        </w:rPr>
        <w:t>药师与医师共同承担用药方案，在分担医师工作压力的同时优化药物治疗方案，提高医院整</w:t>
      </w:r>
      <w:r>
        <w:rPr>
          <w:spacing w:val="-13"/>
        </w:rPr>
        <w:t>体诊疗质量与效率；对于政府和社会而言，全程化药学服务体系能够从总体上提升人民健康</w:t>
      </w:r>
      <w:r>
        <w:rPr>
          <w:spacing w:val="-11"/>
        </w:rPr>
        <w:t>水平，并在一定程度上控制过快增长的医疗总费用，对我国人民群众身体健康和医疗卫生事业发展有着重要助益。</w:t>
      </w:r>
    </w:p>
    <w:p>
      <w:pPr>
        <w:pStyle w:val="ListParagraph"/>
        <w:numPr>
          <w:ilvl w:val="1"/>
          <w:numId w:val="2"/>
        </w:numPr>
        <w:tabs>
          <w:tab w:pos="1198" w:val="left" w:leader="none"/>
          <w:tab w:pos="4797" w:val="left" w:leader="none"/>
        </w:tabs>
        <w:spacing w:line="297" w:lineRule="auto" w:before="0" w:after="0"/>
        <w:ind w:left="237" w:right="126" w:firstLine="480"/>
        <w:jc w:val="left"/>
        <w:rPr>
          <w:sz w:val="24"/>
        </w:rPr>
      </w:pPr>
      <w:r>
        <w:rPr>
          <w:sz w:val="24"/>
        </w:rPr>
        <w:t>我国医院药学服务体系建设现状</w:t>
        <w:tab/>
        <w:t>医院药学服务体系是我国药学服务体系的重心</w:t>
      </w:r>
      <w:r>
        <w:rPr>
          <w:spacing w:val="-17"/>
          <w:sz w:val="24"/>
        </w:rPr>
        <w:t>。</w:t>
      </w:r>
      <w:r>
        <w:rPr>
          <w:sz w:val="24"/>
        </w:rPr>
        <w:t>虽然医院药学服务体系建设对我国医疗卫生体系发展有着重要意义</w:t>
      </w:r>
      <w:r>
        <w:rPr>
          <w:spacing w:val="-104"/>
          <w:sz w:val="24"/>
        </w:rPr>
        <w:t>，</w:t>
      </w:r>
      <w:r>
        <w:rPr>
          <w:sz w:val="24"/>
        </w:rPr>
        <w:t>但由于我国药学服务体系建设起步晚</w:t>
      </w:r>
      <w:r>
        <w:rPr>
          <w:spacing w:val="-34"/>
          <w:sz w:val="24"/>
        </w:rPr>
        <w:t>，</w:t>
      </w:r>
      <w:r>
        <w:rPr>
          <w:sz w:val="24"/>
        </w:rPr>
        <w:t>政策制度保障尚不完善</w:t>
      </w:r>
      <w:r>
        <w:rPr>
          <w:spacing w:val="-34"/>
          <w:sz w:val="24"/>
        </w:rPr>
        <w:t>，</w:t>
      </w:r>
      <w:r>
        <w:rPr>
          <w:sz w:val="24"/>
        </w:rPr>
        <w:t>专业人才相对匮乏</w:t>
      </w:r>
      <w:r>
        <w:rPr>
          <w:spacing w:val="-34"/>
          <w:sz w:val="24"/>
        </w:rPr>
        <w:t>，</w:t>
      </w:r>
      <w:r>
        <w:rPr>
          <w:sz w:val="24"/>
        </w:rPr>
        <w:t>加之部分医疗机构和有关部门对其缺乏重视</w:t>
      </w:r>
      <w:r>
        <w:rPr>
          <w:spacing w:val="-27"/>
          <w:sz w:val="24"/>
        </w:rPr>
        <w:t>，</w:t>
      </w:r>
      <w:r>
        <w:rPr>
          <w:sz w:val="24"/>
        </w:rPr>
        <w:t>我国药学服务体系建设总体水平仍有待提高</w:t>
      </w:r>
      <w:r>
        <w:rPr>
          <w:spacing w:val="-27"/>
          <w:sz w:val="24"/>
        </w:rPr>
        <w:t>。</w:t>
      </w:r>
      <w:r>
        <w:rPr>
          <w:sz w:val="24"/>
        </w:rPr>
        <w:t>同时</w:t>
      </w:r>
      <w:r>
        <w:rPr>
          <w:spacing w:val="-24"/>
          <w:sz w:val="24"/>
        </w:rPr>
        <w:t>，</w:t>
      </w:r>
      <w:r>
        <w:rPr>
          <w:sz w:val="24"/>
        </w:rPr>
        <w:t>国内不同区域</w:t>
      </w:r>
      <w:r>
        <w:rPr>
          <w:spacing w:val="-27"/>
          <w:sz w:val="24"/>
        </w:rPr>
        <w:t>、</w:t>
      </w:r>
      <w:r>
        <w:rPr>
          <w:sz w:val="24"/>
        </w:rPr>
        <w:t>不同等级医院的药学服务体系建设不平衡</w:t>
      </w:r>
      <w:r>
        <w:rPr>
          <w:spacing w:val="-51"/>
          <w:sz w:val="24"/>
        </w:rPr>
        <w:t>，</w:t>
      </w:r>
      <w:r>
        <w:rPr>
          <w:sz w:val="24"/>
        </w:rPr>
        <w:t>经济发达地区医院药学服务体系建设水平较高</w:t>
      </w:r>
      <w:r>
        <w:rPr>
          <w:spacing w:val="-51"/>
          <w:sz w:val="24"/>
        </w:rPr>
        <w:t>，</w:t>
      </w:r>
      <w:r>
        <w:rPr>
          <w:sz w:val="24"/>
        </w:rPr>
        <w:t>而欠发</w:t>
      </w:r>
    </w:p>
    <w:p>
      <w:pPr>
        <w:spacing w:after="0" w:line="297" w:lineRule="auto"/>
        <w:jc w:val="left"/>
        <w:rPr>
          <w:sz w:val="24"/>
        </w:rPr>
        <w:sectPr>
          <w:pgSz w:w="11910" w:h="16850"/>
          <w:pgMar w:header="906" w:footer="607" w:top="1100" w:bottom="800" w:left="1040" w:right="900"/>
        </w:sectPr>
      </w:pPr>
    </w:p>
    <w:p>
      <w:pPr>
        <w:pStyle w:val="BodyText"/>
        <w:spacing w:line="295" w:lineRule="auto" w:before="65"/>
        <w:ind w:right="227"/>
      </w:pPr>
      <w:r>
        <w:rPr>
          <w:spacing w:val="-6"/>
        </w:rPr>
        <w:t>达地区的药学服务体系建设进程缓慢，同时药学服务资源主要集中于三级医院，二级医院药</w:t>
      </w:r>
      <w:r>
        <w:rPr/>
        <w:t>学服务体系建设水平不高，而基层医疗机构药学服务体系建设则仍处于起步阶段。</w:t>
      </w:r>
    </w:p>
    <w:p>
      <w:pPr>
        <w:pStyle w:val="BodyText"/>
        <w:spacing w:line="297" w:lineRule="auto" w:before="2"/>
        <w:ind w:right="107" w:firstLine="480"/>
      </w:pPr>
      <w:r>
        <w:rPr>
          <w:spacing w:val="-15"/>
        </w:rPr>
        <w:t>另外，医院药学服务的实施涉及政策法规、管理制度、人员配备、设备设施等诸多因素， </w:t>
      </w:r>
      <w:r>
        <w:rPr>
          <w:spacing w:val="-7"/>
        </w:rPr>
        <w:t>而其开展过程也涉及药师、医师、护理人员、患者等多个主体的配合。我国各公立、民营医</w:t>
      </w:r>
      <w:r>
        <w:rPr>
          <w:spacing w:val="-11"/>
        </w:rPr>
        <w:t>院，综合、专科医院由于其自身内外部条件和服务模式的不同，药学服务各构成要素的实际</w:t>
      </w:r>
      <w:r>
        <w:rPr>
          <w:spacing w:val="-14"/>
        </w:rPr>
        <w:t>情况也错综复杂。因此，不同等级、公立或民营、综合或专科医院之间药学服务体系建设水平存在较大差异。</w:t>
      </w:r>
    </w:p>
    <w:p>
      <w:pPr>
        <w:pStyle w:val="ListParagraph"/>
        <w:numPr>
          <w:ilvl w:val="1"/>
          <w:numId w:val="2"/>
        </w:numPr>
        <w:tabs>
          <w:tab w:pos="1198" w:val="left" w:leader="none"/>
        </w:tabs>
        <w:spacing w:line="297" w:lineRule="auto" w:before="0" w:after="0"/>
        <w:ind w:left="237" w:right="246" w:firstLine="480"/>
        <w:jc w:val="both"/>
        <w:rPr>
          <w:sz w:val="24"/>
        </w:rPr>
      </w:pPr>
      <w:r>
        <w:rPr>
          <w:spacing w:val="-1"/>
          <w:sz w:val="24"/>
        </w:rPr>
        <w:t>药学服务体系建设水平评价的重要性  近几年以来，我国有关部门已经出台多项</w:t>
      </w:r>
      <w:r>
        <w:rPr>
          <w:sz w:val="24"/>
        </w:rPr>
        <w:t>政策，倡导和支持我国医院药学服务体系建设。2007</w:t>
      </w:r>
      <w:r>
        <w:rPr>
          <w:spacing w:val="-8"/>
          <w:sz w:val="24"/>
        </w:rPr>
        <w:t> 年国家卫生部发布的《卫生部临床药师制试点工作方案》正式启动了我国药学服务体系的全面建设；2011 年出台的新版《医疗机构药事管理规定》中对医疗机构药师提出了提供各项药学服务的明确要求；2017</w:t>
      </w:r>
      <w:r>
        <w:rPr>
          <w:spacing w:val="-40"/>
          <w:sz w:val="24"/>
        </w:rPr>
        <w:t> 年 </w:t>
      </w:r>
      <w:r>
        <w:rPr>
          <w:sz w:val="24"/>
        </w:rPr>
        <w:t>1</w:t>
      </w:r>
      <w:r>
        <w:rPr>
          <w:spacing w:val="-30"/>
          <w:sz w:val="24"/>
        </w:rPr>
        <w:t> 月出台的《国务院办公厅关于进一步改革完善药品生产流通使用政策的若干意见（国办发</w:t>
      </w:r>
    </w:p>
    <w:p>
      <w:pPr>
        <w:pStyle w:val="BodyText"/>
        <w:spacing w:line="297" w:lineRule="auto"/>
        <w:ind w:right="110"/>
      </w:pPr>
      <w:r>
        <w:rPr/>
        <w:t>〔2017〕13</w:t>
      </w:r>
      <w:r>
        <w:rPr>
          <w:spacing w:val="-31"/>
        </w:rPr>
        <w:t> 号</w:t>
      </w:r>
      <w:r>
        <w:rPr/>
        <w:t>）》文件中也明确要求“落实药师权利和责任，充分发挥药师在合理用药方面的作用”，2017</w:t>
      </w:r>
      <w:r>
        <w:rPr>
          <w:spacing w:val="-41"/>
        </w:rPr>
        <w:t> 年 </w:t>
      </w:r>
      <w:r>
        <w:rPr/>
        <w:t>5</w:t>
      </w:r>
      <w:r>
        <w:rPr>
          <w:spacing w:val="-8"/>
        </w:rPr>
        <w:t> 月发布的《中华人民共和国药师法》征求意见稿更是对我国药学服</w:t>
      </w:r>
      <w:r>
        <w:rPr>
          <w:spacing w:val="-14"/>
        </w:rPr>
        <w:t>务体系建设提出了新要求。但是正如上文所述，我国各地区各级医院药学服务体系发展水平</w:t>
      </w:r>
      <w:r>
        <w:rPr>
          <w:spacing w:val="-19"/>
        </w:rPr>
        <w:t>层次不齐，且药学服务体系建设内容复杂，影响因素众多，地域差异和医疗机构间差异较大， </w:t>
      </w:r>
      <w:r>
        <w:rPr>
          <w:spacing w:val="-5"/>
        </w:rPr>
        <w:t>这些都给我国的药学服务体系的发展带来了难题。综合上述原因，想要建设更加完善的药学</w:t>
      </w:r>
      <w:r>
        <w:rPr>
          <w:spacing w:val="-11"/>
        </w:rPr>
        <w:t>服务体系，首先需要对我国各医院药学服务体系建设的复杂现状有详细的了解，根据评价结</w:t>
      </w:r>
      <w:r>
        <w:rPr>
          <w:spacing w:val="-15"/>
        </w:rPr>
        <w:t>果展开药学服务体系的目标化调整，因此构建一套全面、系统的，符合我国实际情况的药学服务评价工具是至关重要的。</w:t>
      </w:r>
    </w:p>
    <w:p>
      <w:pPr>
        <w:pStyle w:val="ListParagraph"/>
        <w:numPr>
          <w:ilvl w:val="1"/>
          <w:numId w:val="2"/>
        </w:numPr>
        <w:tabs>
          <w:tab w:pos="1198" w:val="left" w:leader="none"/>
        </w:tabs>
        <w:spacing w:line="297" w:lineRule="auto" w:before="0" w:after="0"/>
        <w:ind w:left="237" w:right="229" w:firstLine="480"/>
        <w:jc w:val="left"/>
        <w:rPr>
          <w:sz w:val="24"/>
        </w:rPr>
      </w:pPr>
      <w:r>
        <w:rPr>
          <w:spacing w:val="-6"/>
          <w:sz w:val="24"/>
        </w:rPr>
        <w:t>构建医院药学服务评价指标体系的必要性和理论基础，目前我国尚未有针对一家医</w:t>
      </w:r>
      <w:r>
        <w:rPr>
          <w:sz w:val="24"/>
        </w:rPr>
        <w:t>院的药学服务体系建设水平的评价方法。国内外现有评价方法均仅侧重于服务人员专业水</w:t>
      </w:r>
      <w:r>
        <w:rPr>
          <w:spacing w:val="-12"/>
          <w:sz w:val="24"/>
        </w:rPr>
        <w:t>平、服务质量、服务产出等单项内容，缺乏对完整的服务体系建设和开展模式的评价，局限</w:t>
      </w:r>
      <w:r>
        <w:rPr>
          <w:spacing w:val="-11"/>
          <w:sz w:val="24"/>
        </w:rPr>
        <w:t>性较大，因此，本文将首先在这些研究的基础上构建一套较为完善的指标体系，为我国医院</w:t>
      </w:r>
      <w:r>
        <w:rPr>
          <w:sz w:val="24"/>
        </w:rPr>
        <w:t>药学服务评价提供实施框架，同时为今后各项细化指标的构建提供理论基础。</w:t>
      </w:r>
    </w:p>
    <w:p>
      <w:pPr>
        <w:pStyle w:val="BodyText"/>
        <w:spacing w:line="297" w:lineRule="auto"/>
        <w:ind w:right="227" w:firstLine="480"/>
        <w:jc w:val="both"/>
      </w:pPr>
      <w:r>
        <w:rPr/>
        <w:t>1966</w:t>
      </w:r>
      <w:r>
        <w:rPr>
          <w:spacing w:val="-31"/>
        </w:rPr>
        <w:t> 年</w:t>
      </w:r>
      <w:r>
        <w:rPr/>
        <w:t>，Donabedian</w:t>
      </w:r>
      <w:r>
        <w:rPr>
          <w:spacing w:val="-8"/>
        </w:rPr>
        <w:t> 提出了以“结构”、“过程”和“结果”为主要评价维度构建医</w:t>
      </w:r>
      <w:r>
        <w:rPr>
          <w:spacing w:val="-13"/>
        </w:rPr>
        <w:t>疗服务质量评价模型，即 </w:t>
      </w:r>
      <w:r>
        <w:rPr/>
        <w:t>SPO（structure-process-outcome）医疗服务质量评价模型，随后，该理论模型被广泛用于医疗服务的质量评价。1993</w:t>
      </w:r>
      <w:r>
        <w:rPr>
          <w:spacing w:val="-55"/>
        </w:rPr>
        <w:t> 年，</w:t>
      </w:r>
      <w:r>
        <w:rPr/>
        <w:t>Karen</w:t>
      </w:r>
      <w:r>
        <w:rPr>
          <w:spacing w:val="-40"/>
        </w:rPr>
        <w:t> 和 </w:t>
      </w:r>
      <w:r>
        <w:rPr/>
        <w:t>Duane</w:t>
      </w:r>
      <w:r>
        <w:rPr>
          <w:spacing w:val="-10"/>
        </w:rPr>
        <w:t> 在该理论的基础</w:t>
      </w:r>
      <w:r>
        <w:rPr>
          <w:spacing w:val="-7"/>
        </w:rPr>
        <w:t>上提出可从药学服务的结构、过程和结果 </w:t>
      </w:r>
      <w:r>
        <w:rPr/>
        <w:t>3</w:t>
      </w:r>
      <w:r>
        <w:rPr>
          <w:spacing w:val="-12"/>
        </w:rPr>
        <w:t> 个方面评估药学服务的整体质量，并建立了相应</w:t>
      </w:r>
      <w:r>
        <w:rPr>
          <w:spacing w:val="-9"/>
        </w:rPr>
        <w:t>的评价指导意见。本研究在国外药学服务评价实践的基础上，将结合我国实情，建立一套符</w:t>
      </w:r>
      <w:r>
        <w:rPr>
          <w:spacing w:val="-5"/>
        </w:rPr>
        <w:t>合我国药学服务体系实际现状的评价指标体系，评价对象包括不同等级、公立或民营、综合</w:t>
      </w:r>
      <w:r>
        <w:rPr/>
        <w:t>或专科医院的药学服务体系的建设水平。</w:t>
      </w:r>
    </w:p>
    <w:p>
      <w:pPr>
        <w:pStyle w:val="Heading3"/>
        <w:numPr>
          <w:ilvl w:val="0"/>
          <w:numId w:val="2"/>
        </w:numPr>
        <w:tabs>
          <w:tab w:pos="900" w:val="left" w:leader="none"/>
        </w:tabs>
        <w:spacing w:line="298" w:lineRule="exact" w:before="0" w:after="0"/>
        <w:ind w:left="899" w:right="0" w:hanging="183"/>
        <w:jc w:val="both"/>
      </w:pPr>
      <w:r>
        <w:rPr/>
        <w:t>研究思路</w:t>
      </w:r>
    </w:p>
    <w:p>
      <w:pPr>
        <w:pStyle w:val="ListParagraph"/>
        <w:numPr>
          <w:ilvl w:val="1"/>
          <w:numId w:val="2"/>
        </w:numPr>
        <w:tabs>
          <w:tab w:pos="1138" w:val="left" w:leader="none"/>
          <w:tab w:pos="3777" w:val="left" w:leader="none"/>
        </w:tabs>
        <w:spacing w:line="297" w:lineRule="auto" w:before="47" w:after="0"/>
        <w:ind w:left="237" w:right="227" w:firstLine="480"/>
        <w:jc w:val="left"/>
        <w:rPr>
          <w:sz w:val="24"/>
        </w:rPr>
      </w:pPr>
      <w:r>
        <w:rPr>
          <w:sz w:val="24"/>
        </w:rPr>
        <w:t>指标体系设计总体思路</w:t>
        <w:tab/>
        <w:t>本文将设计一套用于评价我国医院药学服务体系建设情况的评价指标体系</w:t>
      </w:r>
      <w:r>
        <w:rPr>
          <w:spacing w:val="-51"/>
          <w:sz w:val="24"/>
        </w:rPr>
        <w:t>。</w:t>
      </w:r>
      <w:r>
        <w:rPr>
          <w:sz w:val="24"/>
        </w:rPr>
        <w:t>在</w:t>
      </w:r>
      <w:r>
        <w:rPr>
          <w:spacing w:val="-61"/>
          <w:sz w:val="24"/>
        </w:rPr>
        <w:t> </w:t>
      </w:r>
      <w:r>
        <w:rPr>
          <w:sz w:val="24"/>
        </w:rPr>
        <w:t>SPO</w:t>
      </w:r>
      <w:r>
        <w:rPr>
          <w:spacing w:val="-60"/>
          <w:sz w:val="24"/>
        </w:rPr>
        <w:t> </w:t>
      </w:r>
      <w:r>
        <w:rPr>
          <w:sz w:val="24"/>
        </w:rPr>
        <w:t>医疗服务质量评价模型的基础上</w:t>
      </w:r>
      <w:r>
        <w:rPr>
          <w:spacing w:val="-51"/>
          <w:sz w:val="24"/>
        </w:rPr>
        <w:t>，</w:t>
      </w:r>
      <w:r>
        <w:rPr>
          <w:sz w:val="24"/>
        </w:rPr>
        <w:t>本研究参考国外药学服务体</w:t>
      </w:r>
      <w:r>
        <w:rPr>
          <w:spacing w:val="-15"/>
          <w:sz w:val="24"/>
        </w:rPr>
        <w:t>系</w:t>
      </w:r>
      <w:r>
        <w:rPr>
          <w:sz w:val="24"/>
        </w:rPr>
        <w:t>评价指标</w:t>
      </w:r>
      <w:r>
        <w:rPr>
          <w:spacing w:val="-34"/>
          <w:sz w:val="24"/>
        </w:rPr>
        <w:t>，</w:t>
      </w:r>
      <w:r>
        <w:rPr>
          <w:sz w:val="24"/>
        </w:rPr>
        <w:t>结合我国相关政策法规和实际国情</w:t>
      </w:r>
      <w:r>
        <w:rPr>
          <w:spacing w:val="-34"/>
          <w:sz w:val="24"/>
        </w:rPr>
        <w:t>，</w:t>
      </w:r>
      <w:r>
        <w:rPr>
          <w:sz w:val="24"/>
        </w:rPr>
        <w:t>设计出第一级和第二级指标框架</w:t>
      </w:r>
      <w:r>
        <w:rPr>
          <w:spacing w:val="-34"/>
          <w:sz w:val="24"/>
        </w:rPr>
        <w:t>。</w:t>
      </w:r>
      <w:r>
        <w:rPr>
          <w:sz w:val="24"/>
        </w:rPr>
        <w:t>再借鉴</w:t>
      </w:r>
      <w:r>
        <w:rPr>
          <w:spacing w:val="-16"/>
          <w:sz w:val="24"/>
        </w:rPr>
        <w:t>德</w:t>
      </w:r>
      <w:r>
        <w:rPr>
          <w:sz w:val="24"/>
        </w:rPr>
        <w:t>尔菲法思路展开专家调研</w:t>
      </w:r>
      <w:r>
        <w:rPr>
          <w:spacing w:val="-51"/>
          <w:sz w:val="24"/>
        </w:rPr>
        <w:t>，</w:t>
      </w:r>
      <w:r>
        <w:rPr>
          <w:sz w:val="24"/>
        </w:rPr>
        <w:t>确定具体的第三级指标项目及各级指标中各项指标所占权重</w:t>
      </w:r>
      <w:r>
        <w:rPr>
          <w:spacing w:val="-51"/>
          <w:sz w:val="24"/>
        </w:rPr>
        <w:t>。</w:t>
      </w:r>
      <w:r>
        <w:rPr>
          <w:spacing w:val="-16"/>
          <w:sz w:val="24"/>
        </w:rPr>
        <w:t>最</w:t>
      </w:r>
      <w:r>
        <w:rPr>
          <w:sz w:val="24"/>
        </w:rPr>
        <w:t>后进行指标体系优化及检验，完成三级指标体系的构建。</w:t>
      </w:r>
    </w:p>
    <w:p>
      <w:pPr>
        <w:spacing w:after="0" w:line="297" w:lineRule="auto"/>
        <w:jc w:val="left"/>
        <w:rPr>
          <w:sz w:val="24"/>
        </w:rPr>
        <w:sectPr>
          <w:pgSz w:w="11910" w:h="16850"/>
          <w:pgMar w:header="906" w:footer="607" w:top="1100" w:bottom="800" w:left="1040" w:right="900"/>
        </w:sectPr>
      </w:pPr>
    </w:p>
    <w:p>
      <w:pPr>
        <w:pStyle w:val="ListParagraph"/>
        <w:numPr>
          <w:ilvl w:val="2"/>
          <w:numId w:val="2"/>
        </w:numPr>
        <w:tabs>
          <w:tab w:pos="1378" w:val="left" w:leader="none"/>
        </w:tabs>
        <w:spacing w:line="295" w:lineRule="auto" w:before="65" w:after="0"/>
        <w:ind w:left="237" w:right="227" w:firstLine="480"/>
        <w:jc w:val="both"/>
        <w:rPr>
          <w:sz w:val="24"/>
        </w:rPr>
      </w:pPr>
      <w:r>
        <w:rPr>
          <w:spacing w:val="-4"/>
          <w:sz w:val="24"/>
        </w:rPr>
        <w:t>确定指标框架 本研究首先按照 </w:t>
      </w:r>
      <w:r>
        <w:rPr>
          <w:sz w:val="24"/>
        </w:rPr>
        <w:t>SPO</w:t>
      </w:r>
      <w:r>
        <w:rPr>
          <w:spacing w:val="-12"/>
          <w:sz w:val="24"/>
        </w:rPr>
        <w:t> 理论模型确定了指标体系基本框架，即第一级指标。在第一级指标的基础上，本研究参考国内外药学服务体系建设标准和规章制度构建</w:t>
      </w:r>
      <w:r>
        <w:rPr>
          <w:spacing w:val="-10"/>
          <w:sz w:val="24"/>
        </w:rPr>
        <w:t>第二级指标，与一级指标共同构成指标体系的基本框架。在第二级指标构建过程中，本研究</w:t>
      </w:r>
      <w:r>
        <w:rPr>
          <w:spacing w:val="-6"/>
          <w:sz w:val="24"/>
        </w:rPr>
        <w:t>搜集了大量有关药学服务评价指标的文献资料，包括美国临床药学会发布的临床药师工作指</w:t>
      </w:r>
      <w:r>
        <w:rPr>
          <w:spacing w:val="-9"/>
          <w:sz w:val="24"/>
        </w:rPr>
        <w:t>导原则和评价模板、美国卫生系统药剂师协会发布的药学服务实施标准和药学工作标准、我</w:t>
      </w:r>
      <w:r>
        <w:rPr>
          <w:sz w:val="24"/>
        </w:rPr>
        <w:t>国相关政策法规等，并从中选取有效信息，整理分析。</w:t>
      </w:r>
    </w:p>
    <w:p>
      <w:pPr>
        <w:pStyle w:val="ListParagraph"/>
        <w:numPr>
          <w:ilvl w:val="2"/>
          <w:numId w:val="2"/>
        </w:numPr>
        <w:tabs>
          <w:tab w:pos="1378" w:val="left" w:leader="none"/>
          <w:tab w:pos="5458" w:val="left" w:leader="none"/>
        </w:tabs>
        <w:spacing w:line="297" w:lineRule="auto" w:before="11" w:after="0"/>
        <w:ind w:left="237" w:right="109" w:firstLine="480"/>
        <w:jc w:val="left"/>
        <w:rPr>
          <w:sz w:val="24"/>
        </w:rPr>
      </w:pPr>
      <w:r>
        <w:rPr>
          <w:sz w:val="24"/>
        </w:rPr>
        <w:t>通过专家调研法设计指标项目及权重</w:t>
        <w:tab/>
        <w:t>在确定指标体系基本框</w:t>
      </w:r>
      <w:r>
        <w:rPr>
          <w:spacing w:val="-82"/>
          <w:sz w:val="24"/>
        </w:rPr>
        <w:t>架</w:t>
      </w:r>
      <w:r>
        <w:rPr>
          <w:sz w:val="24"/>
        </w:rPr>
        <w:t>（一</w:t>
      </w:r>
      <w:r>
        <w:rPr>
          <w:spacing w:val="-82"/>
          <w:sz w:val="24"/>
        </w:rPr>
        <w:t>、</w:t>
      </w:r>
      <w:r>
        <w:rPr>
          <w:sz w:val="24"/>
        </w:rPr>
        <w:t>二级指标</w:t>
      </w:r>
      <w:r>
        <w:rPr>
          <w:spacing w:val="-17"/>
          <w:sz w:val="24"/>
        </w:rPr>
        <w:t>） </w:t>
      </w:r>
      <w:r>
        <w:rPr>
          <w:sz w:val="24"/>
        </w:rPr>
        <w:t>后</w:t>
      </w:r>
      <w:r>
        <w:rPr>
          <w:spacing w:val="-51"/>
          <w:sz w:val="24"/>
        </w:rPr>
        <w:t>，</w:t>
      </w:r>
      <w:r>
        <w:rPr>
          <w:sz w:val="24"/>
        </w:rPr>
        <w:t>本研究将采用借鉴德尔菲法思路设计专家调研</w:t>
      </w:r>
      <w:r>
        <w:rPr>
          <w:spacing w:val="-51"/>
          <w:sz w:val="24"/>
        </w:rPr>
        <w:t>，</w:t>
      </w:r>
      <w:r>
        <w:rPr>
          <w:sz w:val="24"/>
        </w:rPr>
        <w:t>确定具体的第三级指标项目及各级指标中各项指标所占权</w:t>
      </w:r>
      <w:r>
        <w:rPr>
          <w:spacing w:val="-34"/>
          <w:sz w:val="24"/>
        </w:rPr>
        <w:t>重</w:t>
      </w:r>
      <w:r>
        <w:rPr>
          <w:sz w:val="24"/>
        </w:rPr>
        <w:t>（因为指标框架已经制定</w:t>
      </w:r>
      <w:r>
        <w:rPr>
          <w:spacing w:val="-34"/>
          <w:sz w:val="24"/>
        </w:rPr>
        <w:t>，</w:t>
      </w:r>
      <w:r>
        <w:rPr>
          <w:sz w:val="24"/>
        </w:rPr>
        <w:t>因此调研的基础并不是完全开放性问题</w:t>
      </w:r>
      <w:r>
        <w:rPr>
          <w:spacing w:val="-34"/>
          <w:sz w:val="24"/>
        </w:rPr>
        <w:t>，所</w:t>
      </w:r>
      <w:r>
        <w:rPr>
          <w:sz w:val="24"/>
        </w:rPr>
        <w:t>以并非标准的德尔菲法，仅是借鉴德尔菲法思路的专家调研法）。专家调研分为三个阶段。第一阶段根据已经形成的一级和二级指标框架设计开放性问题</w:t>
      </w:r>
      <w:r>
        <w:rPr>
          <w:spacing w:val="-51"/>
          <w:sz w:val="24"/>
        </w:rPr>
        <w:t>，</w:t>
      </w:r>
      <w:r>
        <w:rPr>
          <w:sz w:val="24"/>
        </w:rPr>
        <w:t>获得三级评价指标</w:t>
      </w:r>
      <w:r>
        <w:rPr>
          <w:spacing w:val="-51"/>
          <w:sz w:val="24"/>
        </w:rPr>
        <w:t>；</w:t>
      </w:r>
      <w:r>
        <w:rPr>
          <w:sz w:val="24"/>
        </w:rPr>
        <w:t>第二阶段将对第一阶段所得指标项目进行筛选</w:t>
      </w:r>
      <w:r>
        <w:rPr>
          <w:spacing w:val="-51"/>
          <w:sz w:val="24"/>
        </w:rPr>
        <w:t>，</w:t>
      </w:r>
      <w:r>
        <w:rPr>
          <w:sz w:val="24"/>
        </w:rPr>
        <w:t>以确定最终的指标项目</w:t>
      </w:r>
      <w:r>
        <w:rPr>
          <w:spacing w:val="-51"/>
          <w:sz w:val="24"/>
        </w:rPr>
        <w:t>；</w:t>
      </w:r>
      <w:r>
        <w:rPr>
          <w:sz w:val="24"/>
        </w:rPr>
        <w:t>第三阶段将进行指标权重设计，完成评价指标体系的最终构建。</w:t>
      </w:r>
    </w:p>
    <w:p>
      <w:pPr>
        <w:pStyle w:val="ListParagraph"/>
        <w:numPr>
          <w:ilvl w:val="1"/>
          <w:numId w:val="2"/>
        </w:numPr>
        <w:tabs>
          <w:tab w:pos="1138" w:val="left" w:leader="none"/>
        </w:tabs>
        <w:spacing w:line="297" w:lineRule="auto" w:before="0" w:after="0"/>
        <w:ind w:left="237" w:right="109" w:firstLine="480"/>
        <w:jc w:val="both"/>
        <w:rPr>
          <w:sz w:val="24"/>
        </w:rPr>
      </w:pPr>
      <w:r>
        <w:rPr>
          <w:spacing w:val="-2"/>
          <w:sz w:val="24"/>
        </w:rPr>
        <w:t>指标体系设计总体方法  本研究根据我国三级医院药学服务体系评价的需要，以医</w:t>
      </w:r>
      <w:r>
        <w:rPr>
          <w:spacing w:val="-9"/>
          <w:sz w:val="24"/>
        </w:rPr>
        <w:t>院药学服务为切入点，通过查阅大量文献，并结合医院药学服务内容及内涵要求，运用德尔菲（Delphi）</w:t>
      </w:r>
      <w:r>
        <w:rPr>
          <w:spacing w:val="-27"/>
          <w:sz w:val="24"/>
        </w:rPr>
        <w:t>法对 </w:t>
      </w:r>
      <w:r>
        <w:rPr>
          <w:sz w:val="24"/>
        </w:rPr>
        <w:t>50</w:t>
      </w:r>
      <w:r>
        <w:rPr>
          <w:spacing w:val="-8"/>
          <w:sz w:val="24"/>
        </w:rPr>
        <w:t> 位从事医院管理、人事管理、药事管理、科研管理等方面的专家进行</w:t>
      </w:r>
      <w:r>
        <w:rPr>
          <w:spacing w:val="-12"/>
          <w:sz w:val="24"/>
        </w:rPr>
        <w:t>了三轮咨询问卷，对专家提出的意见及结果进行整理、分析，并对咨询专家的组成结构、专</w:t>
      </w:r>
      <w:r>
        <w:rPr>
          <w:spacing w:val="-17"/>
          <w:sz w:val="24"/>
        </w:rPr>
        <w:t>家意见积极系数和权威程度进行分析。综合专家意见后，对医院药学服务体系评价指标进一步筛选和整理。然后，利用层次分析法（analytic</w:t>
      </w:r>
      <w:r>
        <w:rPr>
          <w:spacing w:val="-52"/>
          <w:sz w:val="24"/>
        </w:rPr>
        <w:t> </w:t>
      </w:r>
      <w:r>
        <w:rPr>
          <w:sz w:val="24"/>
        </w:rPr>
        <w:t>hierarchy</w:t>
      </w:r>
      <w:r>
        <w:rPr>
          <w:spacing w:val="-52"/>
          <w:sz w:val="24"/>
        </w:rPr>
        <w:t> </w:t>
      </w:r>
      <w:r>
        <w:rPr>
          <w:sz w:val="24"/>
        </w:rPr>
        <w:t>process,AHP）确定各级指标</w:t>
      </w:r>
      <w:r>
        <w:rPr>
          <w:spacing w:val="-11"/>
          <w:sz w:val="24"/>
        </w:rPr>
        <w:t>的权重，初步建立评价指标体系。采用 </w:t>
      </w:r>
      <w:r>
        <w:rPr>
          <w:sz w:val="24"/>
        </w:rPr>
        <w:t>excel2016</w:t>
      </w:r>
      <w:r>
        <w:rPr>
          <w:spacing w:val="-11"/>
          <w:sz w:val="24"/>
        </w:rPr>
        <w:t> 软件对专家基本情况、专家协调程度等进</w:t>
      </w:r>
      <w:r>
        <w:rPr>
          <w:spacing w:val="-19"/>
          <w:sz w:val="24"/>
        </w:rPr>
        <w:t>行数据收集与描述分析，采用 </w:t>
      </w:r>
      <w:r>
        <w:rPr>
          <w:sz w:val="24"/>
        </w:rPr>
        <w:t>yaahp</w:t>
      </w:r>
      <w:r>
        <w:rPr>
          <w:spacing w:val="-16"/>
          <w:sz w:val="24"/>
        </w:rPr>
        <w:t> 进行层次分析，计算各个指标权重，并进行一致性检验。</w:t>
      </w:r>
    </w:p>
    <w:p>
      <w:pPr>
        <w:pStyle w:val="ListParagraph"/>
        <w:numPr>
          <w:ilvl w:val="2"/>
          <w:numId w:val="2"/>
        </w:numPr>
        <w:tabs>
          <w:tab w:pos="1378" w:val="left" w:leader="none"/>
          <w:tab w:pos="3297" w:val="left" w:leader="none"/>
        </w:tabs>
        <w:spacing w:line="297" w:lineRule="auto" w:before="0" w:after="0"/>
        <w:ind w:left="237" w:right="228" w:firstLine="480"/>
        <w:jc w:val="left"/>
        <w:rPr>
          <w:sz w:val="24"/>
        </w:rPr>
      </w:pPr>
      <w:r>
        <w:rPr>
          <w:sz w:val="24"/>
        </w:rPr>
        <w:t>专家调研法概述</w:t>
        <w:tab/>
        <w:t>专家筛选标准：（1）来自三甲医院的具有临床药学服务经验的管理</w:t>
      </w:r>
      <w:r>
        <w:rPr>
          <w:spacing w:val="-22"/>
          <w:sz w:val="24"/>
        </w:rPr>
        <w:t>者</w:t>
      </w:r>
      <w:r>
        <w:rPr>
          <w:sz w:val="24"/>
        </w:rPr>
        <w:t>（包括临床药师</w:t>
      </w:r>
      <w:r>
        <w:rPr>
          <w:spacing w:val="-22"/>
          <w:sz w:val="24"/>
        </w:rPr>
        <w:t>、</w:t>
      </w:r>
      <w:r>
        <w:rPr>
          <w:sz w:val="24"/>
        </w:rPr>
        <w:t>药剂师</w:t>
      </w:r>
      <w:r>
        <w:rPr>
          <w:spacing w:val="-22"/>
          <w:sz w:val="24"/>
        </w:rPr>
        <w:t>、</w:t>
      </w:r>
      <w:r>
        <w:rPr>
          <w:sz w:val="24"/>
        </w:rPr>
        <w:t>医师等</w:t>
      </w:r>
      <w:r>
        <w:rPr>
          <w:spacing w:val="-20"/>
          <w:sz w:val="24"/>
        </w:rPr>
        <w:t>）</w:t>
      </w:r>
      <w:r>
        <w:rPr>
          <w:spacing w:val="-22"/>
          <w:sz w:val="24"/>
        </w:rPr>
        <w:t>、</w:t>
      </w:r>
      <w:r>
        <w:rPr>
          <w:sz w:val="24"/>
        </w:rPr>
        <w:t>来自高等院校的药学服务领域专家学者或</w:t>
      </w:r>
      <w:r>
        <w:rPr>
          <w:spacing w:val="-11"/>
          <w:sz w:val="24"/>
        </w:rPr>
        <w:t>来</w:t>
      </w:r>
      <w:r>
        <w:rPr>
          <w:sz w:val="24"/>
        </w:rPr>
        <w:t>自与药学服务相关政府部门的政策制度制定者；（2）在药学服务相关工作领域里工作</w:t>
      </w:r>
      <w:r>
        <w:rPr>
          <w:spacing w:val="-60"/>
          <w:sz w:val="24"/>
        </w:rPr>
        <w:t> </w:t>
      </w:r>
      <w:r>
        <w:rPr>
          <w:sz w:val="24"/>
        </w:rPr>
        <w:t>10 年及以上，具有丰富的工作经验或专业知识；（3）具有认真、完整地完成本调研的主观意愿。研究团队最终遴选出</w:t>
      </w:r>
      <w:r>
        <w:rPr>
          <w:spacing w:val="-60"/>
          <w:sz w:val="24"/>
        </w:rPr>
        <w:t> </w:t>
      </w:r>
      <w:r>
        <w:rPr>
          <w:sz w:val="24"/>
        </w:rPr>
        <w:t>25</w:t>
      </w:r>
      <w:r>
        <w:rPr>
          <w:spacing w:val="-60"/>
          <w:sz w:val="24"/>
        </w:rPr>
        <w:t> </w:t>
      </w:r>
      <w:r>
        <w:rPr>
          <w:sz w:val="24"/>
        </w:rPr>
        <w:t>名符合要求的受访专家，包括医院药学部负责人</w:t>
      </w:r>
      <w:r>
        <w:rPr>
          <w:spacing w:val="-59"/>
          <w:sz w:val="24"/>
        </w:rPr>
        <w:t> </w:t>
      </w:r>
      <w:r>
        <w:rPr>
          <w:sz w:val="24"/>
        </w:rPr>
        <w:t>8</w:t>
      </w:r>
      <w:r>
        <w:rPr>
          <w:spacing w:val="-60"/>
          <w:sz w:val="24"/>
        </w:rPr>
        <w:t> </w:t>
      </w:r>
      <w:r>
        <w:rPr>
          <w:sz w:val="24"/>
        </w:rPr>
        <w:t>名，医院临床科室主任</w:t>
      </w:r>
      <w:r>
        <w:rPr>
          <w:spacing w:val="-61"/>
          <w:sz w:val="24"/>
        </w:rPr>
        <w:t> </w:t>
      </w:r>
      <w:r>
        <w:rPr>
          <w:sz w:val="24"/>
        </w:rPr>
        <w:t>5</w:t>
      </w:r>
      <w:r>
        <w:rPr>
          <w:spacing w:val="-60"/>
          <w:sz w:val="24"/>
        </w:rPr>
        <w:t> </w:t>
      </w:r>
      <w:r>
        <w:rPr>
          <w:sz w:val="24"/>
        </w:rPr>
        <w:t>名</w:t>
      </w:r>
      <w:r>
        <w:rPr>
          <w:spacing w:val="-27"/>
          <w:sz w:val="24"/>
        </w:rPr>
        <w:t>，</w:t>
      </w:r>
      <w:r>
        <w:rPr>
          <w:sz w:val="24"/>
        </w:rPr>
        <w:t>高校教授</w:t>
      </w:r>
      <w:r>
        <w:rPr>
          <w:spacing w:val="-27"/>
          <w:sz w:val="24"/>
        </w:rPr>
        <w:t>、</w:t>
      </w:r>
      <w:r>
        <w:rPr>
          <w:sz w:val="24"/>
        </w:rPr>
        <w:t>副教授</w:t>
      </w:r>
      <w:r>
        <w:rPr>
          <w:spacing w:val="-59"/>
          <w:sz w:val="24"/>
        </w:rPr>
        <w:t> </w:t>
      </w:r>
      <w:r>
        <w:rPr>
          <w:sz w:val="24"/>
        </w:rPr>
        <w:t>7</w:t>
      </w:r>
      <w:r>
        <w:rPr>
          <w:spacing w:val="-60"/>
          <w:sz w:val="24"/>
        </w:rPr>
        <w:t> </w:t>
      </w:r>
      <w:r>
        <w:rPr>
          <w:sz w:val="24"/>
        </w:rPr>
        <w:t>名</w:t>
      </w:r>
      <w:r>
        <w:rPr>
          <w:spacing w:val="-27"/>
          <w:sz w:val="24"/>
        </w:rPr>
        <w:t>，</w:t>
      </w:r>
      <w:r>
        <w:rPr>
          <w:sz w:val="24"/>
        </w:rPr>
        <w:t>政府药学服务相关工作负责人</w:t>
      </w:r>
      <w:r>
        <w:rPr>
          <w:spacing w:val="-59"/>
          <w:sz w:val="24"/>
        </w:rPr>
        <w:t> </w:t>
      </w:r>
      <w:r>
        <w:rPr>
          <w:sz w:val="24"/>
        </w:rPr>
        <w:t>5</w:t>
      </w:r>
      <w:r>
        <w:rPr>
          <w:spacing w:val="-59"/>
          <w:sz w:val="24"/>
        </w:rPr>
        <w:t> </w:t>
      </w:r>
      <w:r>
        <w:rPr>
          <w:sz w:val="24"/>
        </w:rPr>
        <w:t>名</w:t>
      </w:r>
      <w:r>
        <w:rPr>
          <w:spacing w:val="-27"/>
          <w:sz w:val="24"/>
        </w:rPr>
        <w:t>。</w:t>
      </w:r>
      <w:r>
        <w:rPr>
          <w:sz w:val="24"/>
        </w:rPr>
        <w:t>受访专家</w:t>
      </w:r>
      <w:r>
        <w:rPr>
          <w:spacing w:val="-13"/>
          <w:sz w:val="24"/>
        </w:rPr>
        <w:t>覆</w:t>
      </w:r>
      <w:r>
        <w:rPr>
          <w:sz w:val="24"/>
        </w:rPr>
        <w:t>盖区域广泛，分布于北京、上海、广东、山西、河南、云南、陕西、四川等</w:t>
      </w:r>
      <w:r>
        <w:rPr>
          <w:spacing w:val="-59"/>
          <w:sz w:val="24"/>
        </w:rPr>
        <w:t> </w:t>
      </w:r>
      <w:r>
        <w:rPr>
          <w:sz w:val="24"/>
        </w:rPr>
        <w:t>13</w:t>
      </w:r>
      <w:r>
        <w:rPr>
          <w:spacing w:val="-60"/>
          <w:sz w:val="24"/>
        </w:rPr>
        <w:t> </w:t>
      </w:r>
      <w:r>
        <w:rPr>
          <w:sz w:val="24"/>
        </w:rPr>
        <w:t>个省市，覆盖地区包含东、中、西部不同经济发展和医疗服务水平的省市，具有地域代表性。</w:t>
      </w:r>
    </w:p>
    <w:p>
      <w:pPr>
        <w:pStyle w:val="ListParagraph"/>
        <w:numPr>
          <w:ilvl w:val="2"/>
          <w:numId w:val="2"/>
        </w:numPr>
        <w:tabs>
          <w:tab w:pos="1378" w:val="left" w:leader="none"/>
        </w:tabs>
        <w:spacing w:line="296" w:lineRule="exact" w:before="0" w:after="0"/>
        <w:ind w:left="1377" w:right="0" w:hanging="661"/>
        <w:jc w:val="left"/>
        <w:rPr>
          <w:sz w:val="24"/>
        </w:rPr>
      </w:pPr>
      <w:r>
        <w:rPr>
          <w:sz w:val="24"/>
        </w:rPr>
        <w:t>专家调研法的具体过程</w:t>
      </w:r>
    </w:p>
    <w:p>
      <w:pPr>
        <w:pStyle w:val="BodyText"/>
        <w:spacing w:line="295" w:lineRule="auto" w:before="55"/>
        <w:ind w:right="227" w:firstLine="480"/>
      </w:pPr>
      <w:r>
        <w:rPr>
          <w:spacing w:val="-7"/>
        </w:rPr>
        <w:t>在上述研究所得的指标体系一级、二级基本框架的基础上，本研究将采用借鉴德尔菲法</w:t>
      </w:r>
      <w:r>
        <w:rPr/>
        <w:t>思路的专家调研法，以设计第三级具体指标项目以及各级指标中各个项目的权重。</w:t>
      </w:r>
    </w:p>
    <w:p>
      <w:pPr>
        <w:pStyle w:val="BodyText"/>
        <w:spacing w:line="297" w:lineRule="auto" w:before="2"/>
        <w:ind w:right="109" w:firstLine="480"/>
      </w:pPr>
      <w:r>
        <w:rPr>
          <w:spacing w:val="-5"/>
        </w:rPr>
        <w:t>德尔菲法是一种在管理学领域广泛应用的专家调研方法。该方法依据系统的程序，采用</w:t>
      </w:r>
      <w:r>
        <w:rPr>
          <w:spacing w:val="-10"/>
        </w:rPr>
        <w:t>匿名发表意见的方式由专家反复的填写问卷，以集结问卷填写人的共识及搜集各方意见。德</w:t>
      </w:r>
      <w:r>
        <w:rPr>
          <w:spacing w:val="-11"/>
        </w:rPr>
        <w:t>尔菲法的原则包括：</w:t>
      </w:r>
      <w:r>
        <w:rPr>
          <w:spacing w:val="-12"/>
        </w:rPr>
        <w:t>（1）</w:t>
      </w:r>
      <w:r>
        <w:rPr>
          <w:spacing w:val="-5"/>
        </w:rPr>
        <w:t>匿名性，即采向所有专家组成员隐瞒其他成员的信息；</w:t>
      </w:r>
      <w:r>
        <w:rPr>
          <w:spacing w:val="-11"/>
        </w:rPr>
        <w:t>（2）</w:t>
      </w:r>
      <w:r>
        <w:rPr/>
        <w:t>反馈</w:t>
      </w:r>
      <w:r>
        <w:rPr>
          <w:spacing w:val="-17"/>
        </w:rPr>
        <w:t>性，经过多 </w:t>
      </w:r>
      <w:r>
        <w:rPr/>
        <w:t>4</w:t>
      </w:r>
      <w:r>
        <w:rPr>
          <w:spacing w:val="-11"/>
        </w:rPr>
        <w:t> 轮调研的信息反馈，在每次反馈中使调查组和专家组都可以进行深入研究，最</w:t>
      </w:r>
      <w:r>
        <w:rPr>
          <w:spacing w:val="-12"/>
        </w:rPr>
        <w:t>终反映专家的基本想法和对信息的认识；</w:t>
      </w:r>
      <w:r>
        <w:rPr>
          <w:spacing w:val="-20"/>
        </w:rPr>
        <w:t>（3）</w:t>
      </w:r>
      <w:r>
        <w:rPr>
          <w:spacing w:val="-6"/>
        </w:rPr>
        <w:t>统计性，即将每种观点都纳入调研结果统计， </w:t>
      </w:r>
      <w:r>
        <w:rPr/>
        <w:t>以避免调研结果只反映多数人观点的问题。</w:t>
      </w:r>
    </w:p>
    <w:p>
      <w:pPr>
        <w:spacing w:after="0" w:line="297" w:lineRule="auto"/>
        <w:sectPr>
          <w:pgSz w:w="11910" w:h="16850"/>
          <w:pgMar w:header="906" w:footer="607" w:top="1100" w:bottom="800" w:left="1040" w:right="900"/>
        </w:sectPr>
      </w:pPr>
    </w:p>
    <w:p>
      <w:pPr>
        <w:pStyle w:val="BodyText"/>
        <w:spacing w:line="297" w:lineRule="auto" w:before="65"/>
        <w:ind w:right="126" w:firstLine="480"/>
      </w:pPr>
      <w:r>
        <w:rPr>
          <w:spacing w:val="-4"/>
        </w:rPr>
        <w:t>本研究根据德尔菲法的基本原则设计并实施了三轮专家调研。在取得专家参与本调研的</w:t>
      </w:r>
      <w:r>
        <w:rPr>
          <w:spacing w:val="-9"/>
        </w:rPr>
        <w:t>口头同意后，调研员将为专家提供详细的研究资料和调研计划，并予以详尽解释；在三轮调</w:t>
      </w:r>
      <w:r>
        <w:rPr>
          <w:spacing w:val="-10"/>
        </w:rPr>
        <w:t>研过程中调研员仅会对调研问卷的收发以及调研方案相关问题的解释与受访专家进行沟通， </w:t>
      </w:r>
      <w:r>
        <w:rPr>
          <w:spacing w:val="-7"/>
        </w:rPr>
        <w:t>不得提供任何其他受访专家个人信息、其他受访专家所提供的调研答案以及与调研问题相关的任何形式的资料或观点；调研要求专家尽可能脱离，具体方案如下：</w:t>
      </w:r>
    </w:p>
    <w:p>
      <w:pPr>
        <w:pStyle w:val="ListParagraph"/>
        <w:numPr>
          <w:ilvl w:val="0"/>
          <w:numId w:val="3"/>
        </w:numPr>
        <w:tabs>
          <w:tab w:pos="1319" w:val="left" w:leader="none"/>
        </w:tabs>
        <w:spacing w:line="300" w:lineRule="exact" w:before="0" w:after="0"/>
        <w:ind w:left="1318" w:right="0" w:hanging="602"/>
        <w:jc w:val="left"/>
        <w:rPr>
          <w:sz w:val="24"/>
        </w:rPr>
      </w:pPr>
      <w:r>
        <w:rPr>
          <w:sz w:val="24"/>
        </w:rPr>
        <w:t>第一轮调研：收集所有专家的观点</w:t>
      </w:r>
    </w:p>
    <w:p>
      <w:pPr>
        <w:pStyle w:val="BodyText"/>
        <w:spacing w:line="295" w:lineRule="auto" w:before="74"/>
        <w:ind w:right="227" w:firstLine="480"/>
      </w:pPr>
      <w:r>
        <w:rPr>
          <w:spacing w:val="-8"/>
        </w:rPr>
        <w:t>向各位专家介绍调研背景，并根据指标体系结构设置开放问题，在每一项二级项目下让</w:t>
      </w:r>
      <w:r>
        <w:rPr/>
        <w:t>专家列出其认为该二级指标下应该包含的具体指标项目。</w:t>
      </w:r>
    </w:p>
    <w:p>
      <w:pPr>
        <w:pStyle w:val="ListParagraph"/>
        <w:numPr>
          <w:ilvl w:val="0"/>
          <w:numId w:val="3"/>
        </w:numPr>
        <w:tabs>
          <w:tab w:pos="1319" w:val="left" w:leader="none"/>
        </w:tabs>
        <w:spacing w:line="240" w:lineRule="auto" w:before="2" w:after="0"/>
        <w:ind w:left="1318" w:right="0" w:hanging="602"/>
        <w:jc w:val="left"/>
        <w:rPr>
          <w:sz w:val="24"/>
        </w:rPr>
      </w:pPr>
      <w:r>
        <w:rPr>
          <w:sz w:val="24"/>
        </w:rPr>
        <w:t>第二轮调研：确定最终指标项目</w:t>
      </w:r>
    </w:p>
    <w:p>
      <w:pPr>
        <w:pStyle w:val="BodyText"/>
        <w:spacing w:before="74"/>
        <w:ind w:left="717"/>
      </w:pPr>
      <w:r>
        <w:rPr/>
        <w:t>为汇总各专家的意见，形成统一观点。本轮调研将重复实施多次。</w:t>
      </w:r>
    </w:p>
    <w:p>
      <w:pPr>
        <w:pStyle w:val="BodyText"/>
        <w:spacing w:line="295" w:lineRule="auto" w:before="72"/>
        <w:ind w:right="228" w:firstLine="480"/>
      </w:pPr>
      <w:r>
        <w:rPr>
          <w:spacing w:val="-6"/>
        </w:rPr>
        <w:t>①汇总第一轮调研中每一项二级指标下的全部专家意见，再次发放问卷，要求专家对每</w:t>
      </w:r>
      <w:r>
        <w:rPr/>
        <w:t>一条在第一轮被提出的指标评判其合理性，并给出理由。</w:t>
      </w:r>
    </w:p>
    <w:p>
      <w:pPr>
        <w:pStyle w:val="BodyText"/>
        <w:spacing w:line="295" w:lineRule="auto" w:before="4"/>
        <w:ind w:right="230" w:firstLine="480"/>
        <w:jc w:val="both"/>
      </w:pPr>
      <w:r>
        <w:rPr>
          <w:spacing w:val="-7"/>
        </w:rPr>
        <w:t>②再次收集上一轮调研中存在争议的指标，附加全部争议观点并再次发放问卷要求专家</w:t>
      </w:r>
      <w:r>
        <w:rPr>
          <w:spacing w:val="-11"/>
        </w:rPr>
        <w:t>对其进行再评价。本轮调研将持续循环直至关于每项第一轮调研所收集的三级指标是否纳入</w:t>
      </w:r>
      <w:r>
        <w:rPr>
          <w:spacing w:val="-6"/>
        </w:rPr>
        <w:t>最终的指标体系，都有 </w:t>
      </w:r>
      <w:r>
        <w:rPr/>
        <w:t>15</w:t>
      </w:r>
      <w:r>
        <w:rPr>
          <w:spacing w:val="-8"/>
        </w:rPr>
        <w:t> 位以上专家的观点达成一致，最终形成统一的三级指标。</w:t>
      </w:r>
    </w:p>
    <w:p>
      <w:pPr>
        <w:pStyle w:val="ListParagraph"/>
        <w:numPr>
          <w:ilvl w:val="0"/>
          <w:numId w:val="3"/>
        </w:numPr>
        <w:tabs>
          <w:tab w:pos="1319" w:val="left" w:leader="none"/>
        </w:tabs>
        <w:spacing w:line="240" w:lineRule="auto" w:before="6" w:after="0"/>
        <w:ind w:left="1318" w:right="0" w:hanging="602"/>
        <w:jc w:val="left"/>
        <w:rPr>
          <w:sz w:val="24"/>
        </w:rPr>
      </w:pPr>
      <w:r>
        <w:rPr>
          <w:sz w:val="24"/>
        </w:rPr>
        <w:t>第三轮调研：确定各级指标体系内的权重分布</w:t>
      </w:r>
    </w:p>
    <w:p>
      <w:pPr>
        <w:pStyle w:val="BodyText"/>
        <w:spacing w:before="71"/>
        <w:ind w:left="717"/>
      </w:pPr>
      <w:r>
        <w:rPr/>
        <w:t>①要求专家为全部三级指标、二级指标和一级指标评分（5 分制）。</w:t>
      </w:r>
    </w:p>
    <w:p>
      <w:pPr>
        <w:pStyle w:val="BodyText"/>
        <w:spacing w:line="297" w:lineRule="auto" w:before="72"/>
        <w:ind w:right="227" w:firstLine="480"/>
        <w:jc w:val="both"/>
      </w:pPr>
      <w:r>
        <w:rPr>
          <w:spacing w:val="-6"/>
        </w:rPr>
        <w:t>②将各项目均分收集后重新发放问卷，要求各专家再次评分。本轮调研将持续循环至所</w:t>
      </w:r>
      <w:r>
        <w:rPr>
          <w:spacing w:val="-4"/>
        </w:rPr>
        <w:t>有专家观点趋于统一</w:t>
      </w:r>
      <w:r>
        <w:rPr/>
        <w:t>（</w:t>
      </w:r>
      <w:r>
        <w:rPr>
          <w:spacing w:val="-13"/>
        </w:rPr>
        <w:t>极差小于 </w:t>
      </w:r>
      <w:r>
        <w:rPr/>
        <w:t>2</w:t>
      </w:r>
      <w:r>
        <w:rPr>
          <w:spacing w:val="-30"/>
        </w:rPr>
        <w:t> 分</w:t>
      </w:r>
      <w:r>
        <w:rPr>
          <w:spacing w:val="-34"/>
        </w:rPr>
        <w:t>），</w:t>
      </w:r>
      <w:r>
        <w:rPr>
          <w:spacing w:val="-3"/>
        </w:rPr>
        <w:t>以各专家所评最终分数的均分作为各级各项指标权</w:t>
      </w:r>
      <w:r>
        <w:rPr/>
        <w:t>重。</w:t>
      </w:r>
    </w:p>
    <w:p>
      <w:pPr>
        <w:pStyle w:val="BodyText"/>
        <w:spacing w:line="297" w:lineRule="auto"/>
        <w:ind w:right="230" w:firstLine="480"/>
      </w:pPr>
      <w:r>
        <w:rPr>
          <w:spacing w:val="-10"/>
        </w:rPr>
        <w:t>③权重优化：在调研结果的基础上使用层次分析法、熵权法、标准离差法等方法尝试对</w:t>
      </w:r>
      <w:r>
        <w:rPr/>
        <w:t>权重体系进行优化，使其从数理角度更为合理。</w:t>
      </w:r>
    </w:p>
    <w:p>
      <w:pPr>
        <w:pStyle w:val="ListParagraph"/>
        <w:numPr>
          <w:ilvl w:val="0"/>
          <w:numId w:val="3"/>
        </w:numPr>
        <w:tabs>
          <w:tab w:pos="1319" w:val="left" w:leader="none"/>
        </w:tabs>
        <w:spacing w:line="306" w:lineRule="exact" w:before="0" w:after="0"/>
        <w:ind w:left="1318" w:right="0" w:hanging="602"/>
        <w:jc w:val="left"/>
        <w:rPr>
          <w:sz w:val="24"/>
        </w:rPr>
      </w:pPr>
      <w:r>
        <w:rPr>
          <w:sz w:val="24"/>
        </w:rPr>
        <w:t>咨询专家意见的一致性系数</w:t>
      </w:r>
    </w:p>
    <w:p>
      <w:pPr>
        <w:pStyle w:val="BodyText"/>
        <w:spacing w:line="297" w:lineRule="auto" w:before="68"/>
        <w:ind w:right="106" w:firstLine="480"/>
      </w:pPr>
      <w:r>
        <w:rPr>
          <w:spacing w:val="-7"/>
        </w:rPr>
        <w:t>专家意见的一致性系数，也称为协调系数，用 </w:t>
      </w:r>
      <w:r>
        <w:rPr/>
        <w:t>W</w:t>
      </w:r>
      <w:r>
        <w:rPr>
          <w:spacing w:val="-18"/>
        </w:rPr>
        <w:t> 表示，</w:t>
      </w:r>
      <w:r>
        <w:rPr>
          <w:spacing w:val="-11"/>
        </w:rPr>
        <w:t>W</w:t>
      </w:r>
      <w:r>
        <w:rPr>
          <w:spacing w:val="-40"/>
        </w:rPr>
        <w:t> 在 </w:t>
      </w:r>
      <w:r>
        <w:rPr/>
        <w:t>0～1</w:t>
      </w:r>
      <w:r>
        <w:rPr>
          <w:spacing w:val="-18"/>
        </w:rPr>
        <w:t> 之间，</w:t>
      </w:r>
      <w:r>
        <w:rPr>
          <w:spacing w:val="-11"/>
        </w:rPr>
        <w:t>W</w:t>
      </w:r>
      <w:r>
        <w:rPr>
          <w:spacing w:val="-13"/>
        </w:rPr>
        <w:t> 越大，表示专</w:t>
      </w:r>
      <w:r>
        <w:rPr>
          <w:spacing w:val="-25"/>
        </w:rPr>
        <w:t>家意见越好。经 </w:t>
      </w:r>
      <w:r>
        <w:rPr/>
        <w:t>3</w:t>
      </w:r>
      <w:r>
        <w:rPr>
          <w:spacing w:val="-16"/>
        </w:rPr>
        <w:t> 轮咨询后，</w:t>
      </w:r>
      <w:r>
        <w:rPr>
          <w:spacing w:val="-35"/>
        </w:rPr>
        <w:t>W</w:t>
      </w:r>
      <w:r>
        <w:rPr>
          <w:spacing w:val="-24"/>
        </w:rPr>
        <w:t> 一般在 </w:t>
      </w:r>
      <w:r>
        <w:rPr/>
        <w:t>0.4～0.5</w:t>
      </w:r>
      <w:r>
        <w:rPr>
          <w:spacing w:val="-17"/>
        </w:rPr>
        <w:t> 范围波动。以肯德尔协调系数</w:t>
      </w:r>
      <w:r>
        <w:rPr>
          <w:spacing w:val="-3"/>
        </w:rPr>
        <w:t>（Kendall’W） </w:t>
      </w:r>
      <w:r>
        <w:rPr>
          <w:spacing w:val="-13"/>
        </w:rPr>
        <w:t>计，通过 </w:t>
      </w:r>
      <w:r>
        <w:rPr/>
        <w:t>SPSS 24</w:t>
      </w:r>
      <w:r>
        <w:rPr>
          <w:spacing w:val="-11"/>
        </w:rPr>
        <w:t> 软件实现。本研究中第一轮专家咨询 </w:t>
      </w:r>
      <w:r>
        <w:rPr/>
        <w:t>W</w:t>
      </w:r>
      <w:r>
        <w:rPr>
          <w:spacing w:val="-40"/>
        </w:rPr>
        <w:t> 为 </w:t>
      </w:r>
      <w:r>
        <w:rPr/>
        <w:t>0.293，在第一轮调查后即进行</w:t>
      </w:r>
      <w:r>
        <w:rPr>
          <w:spacing w:val="-3"/>
        </w:rPr>
        <w:t>专题小组讨论并形成下一轮的专家咨询。第二轮调查结束后各位专家的观点较为一致，</w:t>
      </w:r>
      <w:r>
        <w:rPr>
          <w:spacing w:val="-10"/>
        </w:rPr>
        <w:t>W</w:t>
      </w:r>
      <w:r>
        <w:rPr>
          <w:spacing w:val="-31"/>
        </w:rPr>
        <w:t> 达</w:t>
      </w:r>
      <w:r>
        <w:rPr>
          <w:spacing w:val="-46"/>
        </w:rPr>
        <w:t>到 </w:t>
      </w:r>
      <w:r>
        <w:rPr/>
        <w:t>0.562，经检验差异具有统计学意义（P&lt;0.05）,满足课题的要求。</w:t>
      </w:r>
    </w:p>
    <w:p>
      <w:pPr>
        <w:pStyle w:val="BodyText"/>
        <w:spacing w:line="295" w:lineRule="auto"/>
        <w:ind w:right="227" w:firstLine="480"/>
      </w:pPr>
      <w:r>
        <w:rPr>
          <w:spacing w:val="-8"/>
        </w:rPr>
        <w:t>在完成上述研究内容后，本研究将形成一套可以从服务体系基础建设、实施过程和最终</w:t>
      </w:r>
      <w:r>
        <w:rPr/>
        <w:t>产出三个角度指导评价我国医院药学服务体系建设水平的系统综合评价指标体系。</w:t>
      </w:r>
    </w:p>
    <w:p>
      <w:pPr>
        <w:pStyle w:val="ListParagraph"/>
        <w:numPr>
          <w:ilvl w:val="2"/>
          <w:numId w:val="2"/>
        </w:numPr>
        <w:tabs>
          <w:tab w:pos="1378" w:val="left" w:leader="none"/>
          <w:tab w:pos="4977" w:val="left" w:leader="none"/>
        </w:tabs>
        <w:spacing w:line="297" w:lineRule="auto" w:before="0" w:after="0"/>
        <w:ind w:left="237" w:right="109" w:firstLine="480"/>
        <w:jc w:val="left"/>
        <w:rPr>
          <w:sz w:val="24"/>
        </w:rPr>
      </w:pPr>
      <w:r>
        <w:rPr>
          <w:sz w:val="24"/>
        </w:rPr>
        <w:t>基于</w:t>
      </w:r>
      <w:r>
        <w:rPr>
          <w:spacing w:val="-60"/>
          <w:sz w:val="24"/>
        </w:rPr>
        <w:t> </w:t>
      </w:r>
      <w:r>
        <w:rPr>
          <w:sz w:val="24"/>
        </w:rPr>
        <w:t>AHP</w:t>
      </w:r>
      <w:r>
        <w:rPr>
          <w:spacing w:val="-60"/>
          <w:sz w:val="24"/>
        </w:rPr>
        <w:t> </w:t>
      </w:r>
      <w:r>
        <w:rPr>
          <w:sz w:val="24"/>
        </w:rPr>
        <w:t>的指标体系权重的确定</w:t>
        <w:tab/>
        <w:t>层次分析</w:t>
      </w:r>
      <w:r>
        <w:rPr>
          <w:spacing w:val="-22"/>
          <w:sz w:val="24"/>
        </w:rPr>
        <w:t>法</w:t>
      </w:r>
      <w:r>
        <w:rPr>
          <w:spacing w:val="-5"/>
          <w:sz w:val="24"/>
        </w:rPr>
        <w:t>（AHP）</w:t>
      </w:r>
      <w:r>
        <w:rPr>
          <w:sz w:val="24"/>
        </w:rPr>
        <w:t>是一种定量和定性相结合</w:t>
      </w:r>
      <w:r>
        <w:rPr>
          <w:spacing w:val="-16"/>
          <w:sz w:val="24"/>
        </w:rPr>
        <w:t>， </w:t>
      </w:r>
      <w:r>
        <w:rPr>
          <w:sz w:val="24"/>
        </w:rPr>
        <w:t>将人的主观判断用数量形式表达和处理的方法</w:t>
      </w:r>
      <w:r>
        <w:rPr>
          <w:spacing w:val="-104"/>
          <w:sz w:val="24"/>
        </w:rPr>
        <w:t>。</w:t>
      </w:r>
      <w:r>
        <w:rPr>
          <w:sz w:val="24"/>
        </w:rPr>
        <w:t>本研究设计的层次结构反映的是医院药学服务体系中结构因素-过程因素-结果因素之间的关系</w:t>
      </w:r>
      <w:r>
        <w:rPr>
          <w:spacing w:val="-104"/>
          <w:sz w:val="24"/>
        </w:rPr>
        <w:t>，</w:t>
      </w:r>
      <w:r>
        <w:rPr>
          <w:sz w:val="24"/>
        </w:rPr>
        <w:t>但不同专家对不同的指标重要性有不同定量值</w:t>
      </w:r>
      <w:r>
        <w:rPr>
          <w:spacing w:val="-22"/>
          <w:sz w:val="24"/>
        </w:rPr>
        <w:t>。</w:t>
      </w:r>
      <w:r>
        <w:rPr>
          <w:sz w:val="24"/>
        </w:rPr>
        <w:t>因此</w:t>
      </w:r>
      <w:r>
        <w:rPr>
          <w:spacing w:val="-22"/>
          <w:sz w:val="24"/>
        </w:rPr>
        <w:t>，</w:t>
      </w:r>
      <w:r>
        <w:rPr>
          <w:sz w:val="24"/>
        </w:rPr>
        <w:t>利用</w:t>
      </w:r>
      <w:r>
        <w:rPr>
          <w:spacing w:val="-61"/>
          <w:sz w:val="24"/>
        </w:rPr>
        <w:t> </w:t>
      </w:r>
      <w:r>
        <w:rPr>
          <w:sz w:val="24"/>
        </w:rPr>
        <w:t>yaahp</w:t>
      </w:r>
      <w:r>
        <w:rPr>
          <w:spacing w:val="-60"/>
          <w:sz w:val="24"/>
        </w:rPr>
        <w:t> </w:t>
      </w:r>
      <w:r>
        <w:rPr>
          <w:sz w:val="24"/>
        </w:rPr>
        <w:t>10.5</w:t>
      </w:r>
      <w:r>
        <w:rPr>
          <w:spacing w:val="-60"/>
          <w:sz w:val="24"/>
        </w:rPr>
        <w:t> </w:t>
      </w:r>
      <w:r>
        <w:rPr>
          <w:sz w:val="24"/>
        </w:rPr>
        <w:t>软件生成医院药学服务评价指标体系层次分析调查问卷表</w:t>
      </w:r>
      <w:r>
        <w:rPr>
          <w:spacing w:val="-15"/>
          <w:sz w:val="24"/>
        </w:rPr>
        <w:t>， </w:t>
      </w:r>
      <w:r>
        <w:rPr>
          <w:sz w:val="24"/>
        </w:rPr>
        <w:t>25</w:t>
      </w:r>
      <w:r>
        <w:rPr>
          <w:spacing w:val="-60"/>
          <w:sz w:val="24"/>
        </w:rPr>
        <w:t> </w:t>
      </w:r>
      <w:r>
        <w:rPr>
          <w:sz w:val="24"/>
        </w:rPr>
        <w:t>位专家采用</w:t>
      </w:r>
      <w:r>
        <w:rPr>
          <w:spacing w:val="-61"/>
          <w:sz w:val="24"/>
        </w:rPr>
        <w:t> </w:t>
      </w:r>
      <w:r>
        <w:rPr>
          <w:sz w:val="24"/>
        </w:rPr>
        <w:t>Saaty1～9</w:t>
      </w:r>
      <w:r>
        <w:rPr>
          <w:spacing w:val="-60"/>
          <w:sz w:val="24"/>
        </w:rPr>
        <w:t> </w:t>
      </w:r>
      <w:r>
        <w:rPr>
          <w:sz w:val="24"/>
        </w:rPr>
        <w:t>标度评分对两两指标的相对重要性进行评分，然后收集专家调查问卷表</w:t>
      </w:r>
      <w:r>
        <w:rPr>
          <w:spacing w:val="-27"/>
          <w:sz w:val="24"/>
        </w:rPr>
        <w:t>，</w:t>
      </w:r>
      <w:r>
        <w:rPr>
          <w:sz w:val="24"/>
        </w:rPr>
        <w:t>通过群决策功能</w:t>
      </w:r>
      <w:r>
        <w:rPr>
          <w:spacing w:val="-27"/>
          <w:sz w:val="24"/>
        </w:rPr>
        <w:t>，</w:t>
      </w:r>
      <w:r>
        <w:rPr>
          <w:sz w:val="24"/>
        </w:rPr>
        <w:t>将专家的调查问卷表导入软件中</w:t>
      </w:r>
      <w:r>
        <w:rPr>
          <w:spacing w:val="-27"/>
          <w:sz w:val="24"/>
        </w:rPr>
        <w:t>，</w:t>
      </w:r>
      <w:r>
        <w:rPr>
          <w:sz w:val="24"/>
        </w:rPr>
        <w:t>构造出判断矩阵</w:t>
      </w:r>
      <w:r>
        <w:rPr>
          <w:spacing w:val="-27"/>
          <w:sz w:val="24"/>
        </w:rPr>
        <w:t>，</w:t>
      </w:r>
      <w:r>
        <w:rPr>
          <w:sz w:val="24"/>
        </w:rPr>
        <w:t>同时进行一致性检验</w:t>
      </w:r>
      <w:r>
        <w:rPr>
          <w:spacing w:val="-27"/>
          <w:sz w:val="24"/>
        </w:rPr>
        <w:t>。</w:t>
      </w:r>
      <w:r>
        <w:rPr>
          <w:sz w:val="24"/>
        </w:rPr>
        <w:t>对于一致性不符合要求的判断矩阵</w:t>
      </w:r>
      <w:r>
        <w:rPr>
          <w:spacing w:val="-27"/>
          <w:sz w:val="24"/>
        </w:rPr>
        <w:t>，</w:t>
      </w:r>
      <w:r>
        <w:rPr>
          <w:sz w:val="24"/>
        </w:rPr>
        <w:t>软件将自动进行一致性调整</w:t>
      </w:r>
      <w:r>
        <w:rPr>
          <w:spacing w:val="-27"/>
          <w:sz w:val="24"/>
        </w:rPr>
        <w:t>、</w:t>
      </w:r>
      <w:r>
        <w:rPr>
          <w:sz w:val="24"/>
        </w:rPr>
        <w:t>残缺补全</w:t>
      </w:r>
      <w:r>
        <w:rPr>
          <w:spacing w:val="-27"/>
          <w:sz w:val="24"/>
        </w:rPr>
        <w:t>，</w:t>
      </w:r>
      <w:r>
        <w:rPr>
          <w:sz w:val="24"/>
        </w:rPr>
        <w:t>各</w:t>
      </w:r>
    </w:p>
    <w:p>
      <w:pPr>
        <w:spacing w:after="0" w:line="297" w:lineRule="auto"/>
        <w:jc w:val="left"/>
        <w:rPr>
          <w:sz w:val="24"/>
        </w:rPr>
        <w:sectPr>
          <w:pgSz w:w="11910" w:h="16850"/>
          <w:pgMar w:header="906" w:footer="607" w:top="1100" w:bottom="800" w:left="1040" w:right="900"/>
        </w:sectPr>
      </w:pPr>
    </w:p>
    <w:p>
      <w:pPr>
        <w:pStyle w:val="BodyText"/>
        <w:spacing w:line="295" w:lineRule="auto" w:before="65"/>
        <w:ind w:right="246"/>
      </w:pPr>
      <w:r>
        <w:rPr/>
        <w:t>判断矩阵一致性系数（CR）值 均&lt;0.1，并得到各项指标权重的算术平均数，最终将各级指标的权重系数连乘即得到三级指标的组合权重。</w:t>
      </w:r>
    </w:p>
    <w:p>
      <w:pPr>
        <w:pStyle w:val="ListParagraph"/>
        <w:numPr>
          <w:ilvl w:val="1"/>
          <w:numId w:val="2"/>
        </w:numPr>
        <w:tabs>
          <w:tab w:pos="1198" w:val="left" w:leader="none"/>
          <w:tab w:pos="3837" w:val="left" w:leader="none"/>
        </w:tabs>
        <w:spacing w:line="297" w:lineRule="auto" w:before="2" w:after="0"/>
        <w:ind w:left="237" w:right="229" w:firstLine="480"/>
        <w:jc w:val="left"/>
        <w:rPr>
          <w:sz w:val="24"/>
        </w:rPr>
      </w:pPr>
      <w:r>
        <w:rPr>
          <w:sz w:val="24"/>
        </w:rPr>
        <w:t>指标体系设计总体框架</w:t>
        <w:tab/>
        <w:t>在</w:t>
      </w:r>
      <w:r>
        <w:rPr>
          <w:spacing w:val="-60"/>
          <w:sz w:val="24"/>
        </w:rPr>
        <w:t> </w:t>
      </w:r>
      <w:r>
        <w:rPr>
          <w:sz w:val="24"/>
        </w:rPr>
        <w:t>SPO</w:t>
      </w:r>
      <w:r>
        <w:rPr>
          <w:spacing w:val="-60"/>
          <w:sz w:val="24"/>
        </w:rPr>
        <w:t> </w:t>
      </w:r>
      <w:r>
        <w:rPr>
          <w:sz w:val="24"/>
        </w:rPr>
        <w:t>医疗服务质量评价模型的基础上</w:t>
      </w:r>
      <w:r>
        <w:rPr>
          <w:spacing w:val="-104"/>
          <w:sz w:val="24"/>
        </w:rPr>
        <w:t>，</w:t>
      </w:r>
      <w:r>
        <w:rPr>
          <w:sz w:val="24"/>
        </w:rPr>
        <w:t>本研究构建的</w:t>
      </w:r>
      <w:r>
        <w:rPr>
          <w:spacing w:val="-16"/>
          <w:sz w:val="24"/>
        </w:rPr>
        <w:t>药</w:t>
      </w:r>
      <w:r>
        <w:rPr>
          <w:sz w:val="24"/>
        </w:rPr>
        <w:t>学服务评价指标体系二级框架内容和相应定义如下：</w:t>
      </w:r>
    </w:p>
    <w:p>
      <w:pPr>
        <w:pStyle w:val="ListParagraph"/>
        <w:numPr>
          <w:ilvl w:val="2"/>
          <w:numId w:val="2"/>
        </w:numPr>
        <w:tabs>
          <w:tab w:pos="1378" w:val="left" w:leader="none"/>
          <w:tab w:pos="3057" w:val="left" w:leader="none"/>
        </w:tabs>
        <w:spacing w:line="297" w:lineRule="auto" w:before="0" w:after="0"/>
        <w:ind w:left="237" w:right="113" w:firstLine="480"/>
        <w:jc w:val="left"/>
        <w:rPr>
          <w:sz w:val="24"/>
        </w:rPr>
      </w:pPr>
      <w:r>
        <w:rPr>
          <w:sz w:val="24"/>
        </w:rPr>
        <w:t>结构指标内容</w:t>
        <w:tab/>
        <w:t>本部分指标将通过各项软硬件和人员配备情况来评定药学服务 基础建设是否达标</w:t>
      </w:r>
      <w:r>
        <w:rPr>
          <w:spacing w:val="-34"/>
          <w:sz w:val="24"/>
        </w:rPr>
        <w:t>、</w:t>
      </w:r>
      <w:r>
        <w:rPr>
          <w:sz w:val="24"/>
        </w:rPr>
        <w:t>制度结构是否完善</w:t>
      </w:r>
      <w:r>
        <w:rPr>
          <w:spacing w:val="-34"/>
          <w:sz w:val="24"/>
        </w:rPr>
        <w:t>、</w:t>
      </w:r>
      <w:r>
        <w:rPr>
          <w:sz w:val="24"/>
        </w:rPr>
        <w:t>制度规定是否合理</w:t>
      </w:r>
      <w:r>
        <w:rPr>
          <w:spacing w:val="-34"/>
          <w:sz w:val="24"/>
        </w:rPr>
        <w:t>，</w:t>
      </w:r>
      <w:r>
        <w:rPr>
          <w:sz w:val="24"/>
        </w:rPr>
        <w:t>从而评定医疗机构是否具备开展药学服务的客观条件</w:t>
      </w:r>
      <w:r>
        <w:rPr>
          <w:spacing w:val="-51"/>
          <w:sz w:val="24"/>
        </w:rPr>
        <w:t>，</w:t>
      </w:r>
      <w:r>
        <w:rPr>
          <w:sz w:val="24"/>
        </w:rPr>
        <w:t>以及其药学服务基础建设的水平</w:t>
      </w:r>
      <w:r>
        <w:rPr>
          <w:spacing w:val="-51"/>
          <w:sz w:val="24"/>
        </w:rPr>
        <w:t>。</w:t>
      </w:r>
      <w:r>
        <w:rPr>
          <w:sz w:val="24"/>
        </w:rPr>
        <w:t>结构指标下主要包括如下五大类指标</w:t>
      </w:r>
      <w:r>
        <w:rPr>
          <w:spacing w:val="-17"/>
          <w:sz w:val="24"/>
        </w:rPr>
        <w:t>：（1）</w:t>
      </w:r>
      <w:r>
        <w:rPr>
          <w:sz w:val="24"/>
        </w:rPr>
        <w:t>团队建设指标</w:t>
      </w:r>
      <w:r>
        <w:rPr>
          <w:spacing w:val="-22"/>
          <w:sz w:val="24"/>
        </w:rPr>
        <w:t>：</w:t>
      </w:r>
      <w:r>
        <w:rPr>
          <w:sz w:val="24"/>
        </w:rPr>
        <w:t>即药学服务团队的人员配备情况</w:t>
      </w:r>
      <w:r>
        <w:rPr>
          <w:spacing w:val="-22"/>
          <w:sz w:val="24"/>
        </w:rPr>
        <w:t>，</w:t>
      </w:r>
      <w:r>
        <w:rPr>
          <w:sz w:val="24"/>
        </w:rPr>
        <w:t>例如医院临床药师配备数量</w:t>
      </w:r>
      <w:r>
        <w:rPr>
          <w:spacing w:val="-15"/>
          <w:sz w:val="24"/>
        </w:rPr>
        <w:t>。</w:t>
      </w:r>
    </w:p>
    <w:p>
      <w:pPr>
        <w:pStyle w:val="BodyText"/>
        <w:spacing w:line="297" w:lineRule="auto"/>
        <w:ind w:right="127"/>
        <w:jc w:val="both"/>
      </w:pPr>
      <w:r>
        <w:rPr/>
        <w:t>（2）硬件支持指标：即药学服务设施、设备、资料、文件的购置配备情况，例如药物治疗</w:t>
      </w:r>
      <w:r>
        <w:rPr>
          <w:spacing w:val="-7"/>
        </w:rPr>
        <w:t>指南的购置情况。</w:t>
      </w:r>
      <w:r>
        <w:rPr>
          <w:spacing w:val="-9"/>
        </w:rPr>
        <w:t>（3）</w:t>
      </w:r>
      <w:r>
        <w:rPr/>
        <w:t>项目\</w:t>
      </w:r>
      <w:r>
        <w:rPr>
          <w:spacing w:val="-5"/>
        </w:rPr>
        <w:t>规程指标：即各个药学服务项目是否开展以及是否有相应制度</w:t>
      </w:r>
      <w:r>
        <w:rPr>
          <w:spacing w:val="-9"/>
        </w:rPr>
        <w:t>或规程，例如医院是否实施处方审核以及是否有处方审核规章制度。（4）</w:t>
      </w:r>
      <w:r>
        <w:rPr/>
        <w:t>人员评价\绩效体</w:t>
      </w:r>
      <w:r>
        <w:rPr>
          <w:spacing w:val="-1"/>
        </w:rPr>
        <w:t>系指标：即是否有合理有效的药学服务人员评价工具和制度，例如医院是否专业能力考核。</w:t>
      </w:r>
    </w:p>
    <w:p>
      <w:pPr>
        <w:pStyle w:val="ListParagraph"/>
        <w:numPr>
          <w:ilvl w:val="2"/>
          <w:numId w:val="2"/>
        </w:numPr>
        <w:tabs>
          <w:tab w:pos="1378" w:val="left" w:leader="none"/>
          <w:tab w:pos="3057" w:val="left" w:leader="none"/>
        </w:tabs>
        <w:spacing w:line="295" w:lineRule="auto" w:before="0" w:after="0"/>
        <w:ind w:left="237" w:right="227" w:firstLine="480"/>
        <w:jc w:val="left"/>
        <w:rPr>
          <w:sz w:val="24"/>
        </w:rPr>
      </w:pPr>
      <w:r>
        <w:rPr>
          <w:sz w:val="24"/>
        </w:rPr>
        <w:t>过程指标内容</w:t>
        <w:tab/>
        <w:t>本部分指标将通过评价药学服务开展过程的效率来评定药学服务的实施过程是否合理</w:t>
      </w:r>
      <w:r>
        <w:rPr>
          <w:spacing w:val="-51"/>
          <w:sz w:val="24"/>
        </w:rPr>
        <w:t>，</w:t>
      </w:r>
      <w:r>
        <w:rPr>
          <w:sz w:val="24"/>
        </w:rPr>
        <w:t>从而评价医疗机构开展药学服务的过程是否顺畅</w:t>
      </w:r>
      <w:r>
        <w:rPr>
          <w:spacing w:val="-51"/>
          <w:sz w:val="24"/>
        </w:rPr>
        <w:t>，</w:t>
      </w:r>
      <w:r>
        <w:rPr>
          <w:sz w:val="24"/>
        </w:rPr>
        <w:t>各主体之间的</w:t>
      </w:r>
      <w:r>
        <w:rPr>
          <w:spacing w:val="-16"/>
          <w:sz w:val="24"/>
        </w:rPr>
        <w:t>配</w:t>
      </w:r>
      <w:r>
        <w:rPr>
          <w:sz w:val="24"/>
        </w:rPr>
        <w:t>合是否顺利，服务过程中各项因素是否稳定。过程指标主要包括以下三类：</w:t>
      </w:r>
    </w:p>
    <w:p>
      <w:pPr>
        <w:pStyle w:val="ListParagraph"/>
        <w:numPr>
          <w:ilvl w:val="0"/>
          <w:numId w:val="4"/>
        </w:numPr>
        <w:tabs>
          <w:tab w:pos="1319" w:val="left" w:leader="none"/>
        </w:tabs>
        <w:spacing w:line="295" w:lineRule="auto" w:before="0" w:after="0"/>
        <w:ind w:left="237" w:right="246" w:firstLine="480"/>
        <w:jc w:val="left"/>
        <w:rPr>
          <w:sz w:val="24"/>
        </w:rPr>
      </w:pPr>
      <w:r>
        <w:rPr>
          <w:spacing w:val="-1"/>
          <w:sz w:val="24"/>
        </w:rPr>
        <w:t>操作指导性指标：各项服务的操作过程是否明确、具体，是否能够处理任何常规</w:t>
      </w:r>
      <w:r>
        <w:rPr>
          <w:sz w:val="24"/>
        </w:rPr>
        <w:t>的医疗情形。</w:t>
      </w:r>
    </w:p>
    <w:p>
      <w:pPr>
        <w:pStyle w:val="ListParagraph"/>
        <w:numPr>
          <w:ilvl w:val="0"/>
          <w:numId w:val="4"/>
        </w:numPr>
        <w:tabs>
          <w:tab w:pos="1319" w:val="left" w:leader="none"/>
        </w:tabs>
        <w:spacing w:line="240" w:lineRule="auto" w:before="0" w:after="0"/>
        <w:ind w:left="1318" w:right="0" w:hanging="602"/>
        <w:jc w:val="left"/>
        <w:rPr>
          <w:sz w:val="24"/>
        </w:rPr>
      </w:pPr>
      <w:r>
        <w:rPr>
          <w:sz w:val="24"/>
        </w:rPr>
        <w:t>药学服务数量指标：药学服务的开展是否达到一定的规模。</w:t>
      </w:r>
    </w:p>
    <w:p>
      <w:pPr>
        <w:pStyle w:val="ListParagraph"/>
        <w:numPr>
          <w:ilvl w:val="0"/>
          <w:numId w:val="4"/>
        </w:numPr>
        <w:tabs>
          <w:tab w:pos="1319" w:val="left" w:leader="none"/>
        </w:tabs>
        <w:spacing w:line="295" w:lineRule="auto" w:before="71" w:after="0"/>
        <w:ind w:left="237" w:right="247" w:firstLine="480"/>
        <w:jc w:val="left"/>
        <w:rPr>
          <w:sz w:val="24"/>
        </w:rPr>
      </w:pPr>
      <w:r>
        <w:rPr>
          <w:spacing w:val="-1"/>
          <w:sz w:val="24"/>
        </w:rPr>
        <w:t>主观态度指标：各主体是否能够对药学服务形成正确的认知，是否认可和接受药</w:t>
      </w:r>
      <w:r>
        <w:rPr>
          <w:sz w:val="24"/>
        </w:rPr>
        <w:t>学服务人员的专业意见。</w:t>
      </w:r>
    </w:p>
    <w:p>
      <w:pPr>
        <w:pStyle w:val="ListParagraph"/>
        <w:numPr>
          <w:ilvl w:val="2"/>
          <w:numId w:val="2"/>
        </w:numPr>
        <w:tabs>
          <w:tab w:pos="1378" w:val="left" w:leader="none"/>
        </w:tabs>
        <w:spacing w:line="297" w:lineRule="auto" w:before="2" w:after="0"/>
        <w:ind w:left="237" w:right="227" w:firstLine="480"/>
        <w:jc w:val="both"/>
        <w:rPr>
          <w:sz w:val="24"/>
        </w:rPr>
      </w:pPr>
      <w:r>
        <w:rPr>
          <w:spacing w:val="-3"/>
          <w:sz w:val="24"/>
        </w:rPr>
        <w:t>结果指标内容 本部分指标考察制度产出的成本效果量，即医疗质量和药品费用</w:t>
      </w:r>
      <w:r>
        <w:rPr>
          <w:spacing w:val="-10"/>
          <w:sz w:val="24"/>
        </w:rPr>
        <w:t>的相对变化情况，从临床医疗结果的角度判断药学服务的开展是否达到预期效果。本部分指</w:t>
      </w:r>
      <w:r>
        <w:rPr>
          <w:sz w:val="24"/>
        </w:rPr>
        <w:t>标将通过与国家相关政策制度要求的对照得出数据结果，本部分指标主要包括：</w:t>
      </w:r>
    </w:p>
    <w:p>
      <w:pPr>
        <w:pStyle w:val="ListParagraph"/>
        <w:numPr>
          <w:ilvl w:val="0"/>
          <w:numId w:val="5"/>
        </w:numPr>
        <w:tabs>
          <w:tab w:pos="1319" w:val="left" w:leader="none"/>
        </w:tabs>
        <w:spacing w:line="297" w:lineRule="auto" w:before="0" w:after="0"/>
        <w:ind w:left="237" w:right="245" w:firstLine="480"/>
        <w:jc w:val="left"/>
        <w:rPr>
          <w:sz w:val="24"/>
        </w:rPr>
      </w:pPr>
      <w:r>
        <w:rPr>
          <w:spacing w:val="-1"/>
          <w:sz w:val="24"/>
        </w:rPr>
        <w:t>药品费用指标：即药品的总成本和成本结构是否达到相关规定要求，例如平均处</w:t>
      </w:r>
      <w:r>
        <w:rPr>
          <w:sz w:val="24"/>
        </w:rPr>
        <w:t>方金额。</w:t>
      </w:r>
    </w:p>
    <w:p>
      <w:pPr>
        <w:pStyle w:val="ListParagraph"/>
        <w:numPr>
          <w:ilvl w:val="0"/>
          <w:numId w:val="5"/>
        </w:numPr>
        <w:tabs>
          <w:tab w:pos="1319" w:val="left" w:leader="none"/>
        </w:tabs>
        <w:spacing w:line="295" w:lineRule="auto" w:before="0" w:after="0"/>
        <w:ind w:left="237" w:right="247" w:firstLine="480"/>
        <w:jc w:val="left"/>
        <w:rPr>
          <w:sz w:val="24"/>
        </w:rPr>
      </w:pPr>
      <w:r>
        <w:rPr>
          <w:spacing w:val="-1"/>
          <w:sz w:val="24"/>
        </w:rPr>
        <w:t>医疗服务质量指标：即临床治疗产出指标是否达到治疗要求，例如抗菌药物使用</w:t>
      </w:r>
      <w:r>
        <w:rPr>
          <w:sz w:val="24"/>
        </w:rPr>
        <w:t>率。</w:t>
      </w:r>
    </w:p>
    <w:p>
      <w:pPr>
        <w:pStyle w:val="Heading3"/>
        <w:numPr>
          <w:ilvl w:val="0"/>
          <w:numId w:val="2"/>
        </w:numPr>
        <w:tabs>
          <w:tab w:pos="960" w:val="left" w:leader="none"/>
        </w:tabs>
        <w:spacing w:line="240" w:lineRule="auto" w:before="0" w:after="0"/>
        <w:ind w:left="959" w:right="0" w:hanging="243"/>
        <w:jc w:val="left"/>
      </w:pPr>
      <w:r>
        <w:rPr/>
        <w:t>研究结果</w:t>
      </w:r>
    </w:p>
    <w:p>
      <w:pPr>
        <w:pStyle w:val="BodyText"/>
        <w:spacing w:line="295" w:lineRule="auto" w:before="71"/>
        <w:ind w:right="306" w:firstLine="480"/>
      </w:pPr>
      <w:r>
        <w:rPr>
          <w:spacing w:val="-8"/>
        </w:rPr>
        <w:t>评价指标体系由 </w:t>
      </w:r>
      <w:r>
        <w:rPr/>
        <w:t>3</w:t>
      </w:r>
      <w:r>
        <w:rPr>
          <w:spacing w:val="-10"/>
        </w:rPr>
        <w:t> 个一级指标</w:t>
      </w:r>
      <w:r>
        <w:rPr/>
        <w:t>，9</w:t>
      </w:r>
      <w:r>
        <w:rPr>
          <w:spacing w:val="-16"/>
        </w:rPr>
        <w:t> 个二级指标和 </w:t>
      </w:r>
      <w:r>
        <w:rPr/>
        <w:t>35</w:t>
      </w:r>
      <w:r>
        <w:rPr>
          <w:spacing w:val="-9"/>
        </w:rPr>
        <w:t> 个三级指标组成，各指标具体名称</w:t>
      </w:r>
      <w:r>
        <w:rPr>
          <w:spacing w:val="-8"/>
        </w:rPr>
        <w:t>及指标权重见表 </w:t>
      </w:r>
      <w:r>
        <w:rPr/>
        <w:t>1。</w:t>
      </w:r>
    </w:p>
    <w:p>
      <w:pPr>
        <w:pStyle w:val="BodyText"/>
        <w:spacing w:line="247" w:lineRule="exact" w:after="5"/>
        <w:jc w:val="both"/>
        <w:rPr>
          <w:rFonts w:ascii="楷体" w:eastAsia="楷体" w:hint="eastAsia"/>
        </w:rPr>
      </w:pPr>
      <w:r>
        <w:rPr>
          <w:rFonts w:ascii="楷体" w:eastAsia="楷体" w:hint="eastAsia"/>
        </w:rPr>
        <w:t>表 1 指标体系及权重</w:t>
      </w: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
        <w:gridCol w:w="965"/>
        <w:gridCol w:w="591"/>
        <w:gridCol w:w="368"/>
        <w:gridCol w:w="966"/>
        <w:gridCol w:w="593"/>
        <w:gridCol w:w="3181"/>
        <w:gridCol w:w="1578"/>
        <w:gridCol w:w="555"/>
        <w:gridCol w:w="555"/>
      </w:tblGrid>
      <w:tr>
        <w:trPr>
          <w:trHeight w:val="1247" w:hRule="atLeast"/>
        </w:trPr>
        <w:tc>
          <w:tcPr>
            <w:tcW w:w="368" w:type="dxa"/>
          </w:tcPr>
          <w:p>
            <w:pPr>
              <w:pStyle w:val="TableParagraph"/>
              <w:spacing w:line="388" w:lineRule="auto" w:before="58"/>
              <w:ind w:left="108" w:right="96"/>
              <w:jc w:val="both"/>
              <w:rPr>
                <w:sz w:val="15"/>
              </w:rPr>
            </w:pPr>
            <w:r>
              <w:rPr>
                <w:sz w:val="15"/>
              </w:rPr>
              <w:t>一级指</w:t>
            </w:r>
          </w:p>
          <w:p>
            <w:pPr>
              <w:pStyle w:val="TableParagraph"/>
              <w:spacing w:before="3"/>
              <w:ind w:left="108"/>
              <w:rPr>
                <w:sz w:val="15"/>
              </w:rPr>
            </w:pPr>
            <w:r>
              <w:rPr>
                <w:w w:val="100"/>
                <w:sz w:val="15"/>
              </w:rPr>
              <w:t>标</w:t>
            </w:r>
          </w:p>
        </w:tc>
        <w:tc>
          <w:tcPr>
            <w:tcW w:w="965" w:type="dxa"/>
          </w:tcPr>
          <w:p>
            <w:pPr>
              <w:pStyle w:val="TableParagraph"/>
              <w:rPr>
                <w:rFonts w:ascii="楷体"/>
                <w:sz w:val="18"/>
              </w:rPr>
            </w:pPr>
          </w:p>
          <w:p>
            <w:pPr>
              <w:pStyle w:val="TableParagraph"/>
              <w:spacing w:before="6"/>
              <w:rPr>
                <w:rFonts w:ascii="楷体"/>
                <w:sz w:val="22"/>
              </w:rPr>
            </w:pPr>
          </w:p>
          <w:p>
            <w:pPr>
              <w:pStyle w:val="TableParagraph"/>
              <w:ind w:left="105"/>
              <w:rPr>
                <w:sz w:val="15"/>
              </w:rPr>
            </w:pPr>
            <w:r>
              <w:rPr>
                <w:rFonts w:ascii="Symbol" w:hAnsi="Symbol"/>
                <w:sz w:val="15"/>
              </w:rPr>
              <w:t></w:t>
            </w:r>
            <w:r>
              <w:rPr>
                <w:i/>
                <w:sz w:val="16"/>
              </w:rPr>
              <w:t>x</w:t>
            </w:r>
            <w:r>
              <w:rPr>
                <w:sz w:val="15"/>
              </w:rPr>
              <w:t>/CV</w:t>
            </w:r>
          </w:p>
        </w:tc>
        <w:tc>
          <w:tcPr>
            <w:tcW w:w="591" w:type="dxa"/>
          </w:tcPr>
          <w:p>
            <w:pPr>
              <w:pStyle w:val="TableParagraph"/>
              <w:rPr>
                <w:rFonts w:ascii="楷体"/>
                <w:sz w:val="14"/>
              </w:rPr>
            </w:pPr>
          </w:p>
          <w:p>
            <w:pPr>
              <w:pStyle w:val="TableParagraph"/>
              <w:rPr>
                <w:rFonts w:ascii="楷体"/>
                <w:sz w:val="14"/>
              </w:rPr>
            </w:pPr>
          </w:p>
          <w:p>
            <w:pPr>
              <w:pStyle w:val="TableParagraph"/>
              <w:spacing w:before="1"/>
              <w:rPr>
                <w:rFonts w:ascii="楷体"/>
                <w:sz w:val="13"/>
              </w:rPr>
            </w:pPr>
          </w:p>
          <w:p>
            <w:pPr>
              <w:pStyle w:val="TableParagraph"/>
              <w:ind w:left="107"/>
              <w:rPr>
                <w:sz w:val="15"/>
              </w:rPr>
            </w:pPr>
            <w:r>
              <w:rPr>
                <w:sz w:val="15"/>
              </w:rPr>
              <w:t>权重</w:t>
            </w:r>
          </w:p>
        </w:tc>
        <w:tc>
          <w:tcPr>
            <w:tcW w:w="368" w:type="dxa"/>
          </w:tcPr>
          <w:p>
            <w:pPr>
              <w:pStyle w:val="TableParagraph"/>
              <w:spacing w:line="388" w:lineRule="auto" w:before="58"/>
              <w:ind w:left="106" w:right="98"/>
              <w:jc w:val="both"/>
              <w:rPr>
                <w:sz w:val="15"/>
              </w:rPr>
            </w:pPr>
            <w:r>
              <w:rPr>
                <w:sz w:val="15"/>
              </w:rPr>
              <w:t>二级指</w:t>
            </w:r>
          </w:p>
          <w:p>
            <w:pPr>
              <w:pStyle w:val="TableParagraph"/>
              <w:spacing w:before="3"/>
              <w:ind w:left="106"/>
              <w:rPr>
                <w:sz w:val="15"/>
              </w:rPr>
            </w:pPr>
            <w:r>
              <w:rPr>
                <w:w w:val="100"/>
                <w:sz w:val="15"/>
              </w:rPr>
              <w:t>标</w:t>
            </w:r>
          </w:p>
        </w:tc>
        <w:tc>
          <w:tcPr>
            <w:tcW w:w="966" w:type="dxa"/>
          </w:tcPr>
          <w:p>
            <w:pPr>
              <w:pStyle w:val="TableParagraph"/>
              <w:rPr>
                <w:rFonts w:ascii="楷体"/>
                <w:sz w:val="18"/>
              </w:rPr>
            </w:pPr>
          </w:p>
          <w:p>
            <w:pPr>
              <w:pStyle w:val="TableParagraph"/>
              <w:spacing w:before="6"/>
              <w:rPr>
                <w:rFonts w:ascii="楷体"/>
                <w:sz w:val="22"/>
              </w:rPr>
            </w:pPr>
          </w:p>
          <w:p>
            <w:pPr>
              <w:pStyle w:val="TableParagraph"/>
              <w:ind w:left="103"/>
              <w:rPr>
                <w:sz w:val="15"/>
              </w:rPr>
            </w:pPr>
            <w:r>
              <w:rPr>
                <w:rFonts w:ascii="Symbol" w:hAnsi="Symbol"/>
                <w:sz w:val="15"/>
              </w:rPr>
              <w:t></w:t>
            </w:r>
            <w:r>
              <w:rPr>
                <w:i/>
                <w:sz w:val="16"/>
              </w:rPr>
              <w:t>x</w:t>
            </w:r>
            <w:r>
              <w:rPr>
                <w:sz w:val="15"/>
              </w:rPr>
              <w:t>/CV</w:t>
            </w:r>
          </w:p>
        </w:tc>
        <w:tc>
          <w:tcPr>
            <w:tcW w:w="593" w:type="dxa"/>
          </w:tcPr>
          <w:p>
            <w:pPr>
              <w:pStyle w:val="TableParagraph"/>
              <w:rPr>
                <w:rFonts w:ascii="楷体"/>
                <w:sz w:val="14"/>
              </w:rPr>
            </w:pPr>
          </w:p>
          <w:p>
            <w:pPr>
              <w:pStyle w:val="TableParagraph"/>
              <w:rPr>
                <w:rFonts w:ascii="楷体"/>
                <w:sz w:val="14"/>
              </w:rPr>
            </w:pPr>
          </w:p>
          <w:p>
            <w:pPr>
              <w:pStyle w:val="TableParagraph"/>
              <w:spacing w:before="1"/>
              <w:rPr>
                <w:rFonts w:ascii="楷体"/>
                <w:sz w:val="13"/>
              </w:rPr>
            </w:pPr>
          </w:p>
          <w:p>
            <w:pPr>
              <w:pStyle w:val="TableParagraph"/>
              <w:ind w:left="105"/>
              <w:rPr>
                <w:sz w:val="15"/>
              </w:rPr>
            </w:pPr>
            <w:r>
              <w:rPr>
                <w:sz w:val="15"/>
              </w:rPr>
              <w:t>权重</w:t>
            </w:r>
          </w:p>
        </w:tc>
        <w:tc>
          <w:tcPr>
            <w:tcW w:w="3181" w:type="dxa"/>
          </w:tcPr>
          <w:p>
            <w:pPr>
              <w:pStyle w:val="TableParagraph"/>
              <w:rPr>
                <w:rFonts w:ascii="楷体"/>
                <w:sz w:val="14"/>
              </w:rPr>
            </w:pPr>
          </w:p>
          <w:p>
            <w:pPr>
              <w:pStyle w:val="TableParagraph"/>
              <w:rPr>
                <w:rFonts w:ascii="楷体"/>
                <w:sz w:val="14"/>
              </w:rPr>
            </w:pPr>
          </w:p>
          <w:p>
            <w:pPr>
              <w:pStyle w:val="TableParagraph"/>
              <w:spacing w:before="1"/>
              <w:rPr>
                <w:rFonts w:ascii="楷体"/>
                <w:sz w:val="13"/>
              </w:rPr>
            </w:pPr>
          </w:p>
          <w:p>
            <w:pPr>
              <w:pStyle w:val="TableParagraph"/>
              <w:ind w:left="102"/>
              <w:rPr>
                <w:sz w:val="15"/>
              </w:rPr>
            </w:pPr>
            <w:r>
              <w:rPr>
                <w:sz w:val="15"/>
              </w:rPr>
              <w:t>三级指标</w:t>
            </w:r>
          </w:p>
        </w:tc>
        <w:tc>
          <w:tcPr>
            <w:tcW w:w="1578" w:type="dxa"/>
          </w:tcPr>
          <w:p>
            <w:pPr>
              <w:pStyle w:val="TableParagraph"/>
              <w:rPr>
                <w:rFonts w:ascii="楷体"/>
                <w:sz w:val="18"/>
              </w:rPr>
            </w:pPr>
          </w:p>
          <w:p>
            <w:pPr>
              <w:pStyle w:val="TableParagraph"/>
              <w:spacing w:before="2"/>
              <w:rPr>
                <w:rFonts w:ascii="楷体"/>
                <w:sz w:val="23"/>
              </w:rPr>
            </w:pPr>
          </w:p>
          <w:p>
            <w:pPr>
              <w:pStyle w:val="TableParagraph"/>
              <w:spacing w:before="1"/>
              <w:ind w:left="104"/>
              <w:rPr>
                <w:sz w:val="15"/>
              </w:rPr>
            </w:pPr>
            <w:r>
              <w:rPr>
                <w:rFonts w:ascii="Symbol" w:hAnsi="Symbol"/>
                <w:sz w:val="15"/>
              </w:rPr>
              <w:t></w:t>
            </w:r>
            <w:r>
              <w:rPr>
                <w:sz w:val="15"/>
              </w:rPr>
              <w:t>x/cv</w:t>
            </w:r>
          </w:p>
        </w:tc>
        <w:tc>
          <w:tcPr>
            <w:tcW w:w="555" w:type="dxa"/>
          </w:tcPr>
          <w:p>
            <w:pPr>
              <w:pStyle w:val="TableParagraph"/>
              <w:rPr>
                <w:rFonts w:ascii="楷体"/>
                <w:sz w:val="14"/>
              </w:rPr>
            </w:pPr>
          </w:p>
          <w:p>
            <w:pPr>
              <w:pStyle w:val="TableParagraph"/>
              <w:rPr>
                <w:rFonts w:ascii="楷体"/>
                <w:sz w:val="14"/>
              </w:rPr>
            </w:pPr>
          </w:p>
          <w:p>
            <w:pPr>
              <w:pStyle w:val="TableParagraph"/>
              <w:spacing w:before="1"/>
              <w:rPr>
                <w:rFonts w:ascii="楷体"/>
                <w:sz w:val="13"/>
              </w:rPr>
            </w:pPr>
          </w:p>
          <w:p>
            <w:pPr>
              <w:pStyle w:val="TableParagraph"/>
              <w:ind w:left="49" w:right="83"/>
              <w:jc w:val="center"/>
              <w:rPr>
                <w:sz w:val="15"/>
              </w:rPr>
            </w:pPr>
            <w:r>
              <w:rPr>
                <w:sz w:val="15"/>
              </w:rPr>
              <w:t>权重</w:t>
            </w:r>
          </w:p>
        </w:tc>
        <w:tc>
          <w:tcPr>
            <w:tcW w:w="555" w:type="dxa"/>
          </w:tcPr>
          <w:p>
            <w:pPr>
              <w:pStyle w:val="TableParagraph"/>
              <w:rPr>
                <w:rFonts w:ascii="楷体"/>
                <w:sz w:val="14"/>
              </w:rPr>
            </w:pPr>
          </w:p>
          <w:p>
            <w:pPr>
              <w:pStyle w:val="TableParagraph"/>
              <w:spacing w:before="11"/>
              <w:rPr>
                <w:rFonts w:ascii="楷体"/>
                <w:sz w:val="14"/>
              </w:rPr>
            </w:pPr>
          </w:p>
          <w:p>
            <w:pPr>
              <w:pStyle w:val="TableParagraph"/>
              <w:spacing w:line="388" w:lineRule="auto" w:before="1"/>
              <w:ind w:left="103" w:right="137"/>
              <w:rPr>
                <w:sz w:val="15"/>
              </w:rPr>
            </w:pPr>
            <w:r>
              <w:rPr>
                <w:sz w:val="15"/>
              </w:rPr>
              <w:t>组合权重</w:t>
            </w:r>
          </w:p>
        </w:tc>
      </w:tr>
      <w:tr>
        <w:trPr>
          <w:trHeight w:val="311" w:hRule="atLeast"/>
        </w:trPr>
        <w:tc>
          <w:tcPr>
            <w:tcW w:w="368" w:type="dxa"/>
            <w:vMerge w:val="restart"/>
          </w:tcPr>
          <w:p>
            <w:pPr>
              <w:pStyle w:val="TableParagraph"/>
              <w:spacing w:before="9"/>
              <w:rPr>
                <w:rFonts w:ascii="楷体"/>
                <w:sz w:val="16"/>
              </w:rPr>
            </w:pPr>
          </w:p>
          <w:p>
            <w:pPr>
              <w:pStyle w:val="TableParagraph"/>
              <w:spacing w:line="388" w:lineRule="auto"/>
              <w:ind w:left="108" w:right="96"/>
              <w:jc w:val="both"/>
              <w:rPr>
                <w:sz w:val="15"/>
              </w:rPr>
            </w:pPr>
            <w:r>
              <w:rPr>
                <w:sz w:val="15"/>
              </w:rPr>
              <w:t>结构指标</w:t>
            </w:r>
          </w:p>
        </w:tc>
        <w:tc>
          <w:tcPr>
            <w:tcW w:w="965" w:type="dxa"/>
            <w:vMerge w:val="restart"/>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3"/>
              <w:rPr>
                <w:rFonts w:ascii="楷体"/>
                <w:sz w:val="11"/>
              </w:rPr>
            </w:pPr>
          </w:p>
          <w:p>
            <w:pPr>
              <w:pStyle w:val="TableParagraph"/>
              <w:ind w:left="105"/>
              <w:rPr>
                <w:sz w:val="15"/>
              </w:rPr>
            </w:pPr>
            <w:r>
              <w:rPr>
                <w:sz w:val="15"/>
              </w:rPr>
              <w:t>4.76/0.073</w:t>
            </w:r>
          </w:p>
        </w:tc>
        <w:tc>
          <w:tcPr>
            <w:tcW w:w="591" w:type="dxa"/>
            <w:vMerge w:val="restart"/>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3"/>
              <w:rPr>
                <w:rFonts w:ascii="楷体"/>
                <w:sz w:val="11"/>
              </w:rPr>
            </w:pPr>
          </w:p>
          <w:p>
            <w:pPr>
              <w:pStyle w:val="TableParagraph"/>
              <w:ind w:left="107"/>
              <w:rPr>
                <w:sz w:val="15"/>
              </w:rPr>
            </w:pPr>
            <w:r>
              <w:rPr>
                <w:sz w:val="15"/>
              </w:rPr>
              <w:t>0.431</w:t>
            </w:r>
          </w:p>
        </w:tc>
        <w:tc>
          <w:tcPr>
            <w:tcW w:w="368" w:type="dxa"/>
            <w:vMerge w:val="restart"/>
          </w:tcPr>
          <w:p>
            <w:pPr>
              <w:pStyle w:val="TableParagraph"/>
              <w:spacing w:line="388" w:lineRule="auto" w:before="58"/>
              <w:ind w:left="106" w:right="98"/>
              <w:jc w:val="both"/>
              <w:rPr>
                <w:sz w:val="15"/>
              </w:rPr>
            </w:pPr>
            <w:r>
              <w:rPr>
                <w:sz w:val="15"/>
              </w:rPr>
              <w:t>团队建设</w:t>
            </w:r>
          </w:p>
          <w:p>
            <w:pPr>
              <w:pStyle w:val="TableParagraph"/>
              <w:spacing w:before="3"/>
              <w:ind w:left="106"/>
              <w:rPr>
                <w:sz w:val="15"/>
              </w:rPr>
            </w:pPr>
            <w:r>
              <w:rPr>
                <w:w w:val="100"/>
                <w:sz w:val="15"/>
              </w:rPr>
              <w:t>指</w:t>
            </w:r>
          </w:p>
        </w:tc>
        <w:tc>
          <w:tcPr>
            <w:tcW w:w="966" w:type="dxa"/>
            <w:vMerge w:val="restart"/>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3"/>
              <w:rPr>
                <w:rFonts w:ascii="楷体"/>
                <w:sz w:val="11"/>
              </w:rPr>
            </w:pPr>
          </w:p>
          <w:p>
            <w:pPr>
              <w:pStyle w:val="TableParagraph"/>
              <w:ind w:left="103"/>
              <w:rPr>
                <w:sz w:val="15"/>
              </w:rPr>
            </w:pPr>
            <w:r>
              <w:rPr>
                <w:sz w:val="15"/>
              </w:rPr>
              <w:t>4.74/0.076</w:t>
            </w:r>
          </w:p>
        </w:tc>
        <w:tc>
          <w:tcPr>
            <w:tcW w:w="593" w:type="dxa"/>
            <w:vMerge w:val="restart"/>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3"/>
              <w:rPr>
                <w:rFonts w:ascii="楷体"/>
                <w:sz w:val="11"/>
              </w:rPr>
            </w:pPr>
          </w:p>
          <w:p>
            <w:pPr>
              <w:pStyle w:val="TableParagraph"/>
              <w:ind w:left="105"/>
              <w:rPr>
                <w:sz w:val="15"/>
              </w:rPr>
            </w:pPr>
            <w:r>
              <w:rPr>
                <w:sz w:val="15"/>
              </w:rPr>
              <w:t>0.520</w:t>
            </w:r>
          </w:p>
        </w:tc>
        <w:tc>
          <w:tcPr>
            <w:tcW w:w="3181" w:type="dxa"/>
          </w:tcPr>
          <w:p>
            <w:pPr>
              <w:pStyle w:val="TableParagraph"/>
              <w:spacing w:before="58"/>
              <w:ind w:left="102"/>
              <w:rPr>
                <w:sz w:val="15"/>
              </w:rPr>
            </w:pPr>
            <w:r>
              <w:rPr>
                <w:sz w:val="15"/>
              </w:rPr>
              <w:t>临床药师配备人数</w:t>
            </w:r>
          </w:p>
        </w:tc>
        <w:tc>
          <w:tcPr>
            <w:tcW w:w="1578" w:type="dxa"/>
          </w:tcPr>
          <w:p>
            <w:pPr>
              <w:pStyle w:val="TableParagraph"/>
              <w:spacing w:before="68"/>
              <w:ind w:left="104"/>
              <w:rPr>
                <w:rFonts w:ascii="Times New Roman"/>
                <w:sz w:val="15"/>
              </w:rPr>
            </w:pPr>
            <w:r>
              <w:rPr>
                <w:rFonts w:ascii="Times New Roman"/>
                <w:sz w:val="15"/>
              </w:rPr>
              <w:t>4.59/0.069</w:t>
            </w:r>
          </w:p>
        </w:tc>
        <w:tc>
          <w:tcPr>
            <w:tcW w:w="555" w:type="dxa"/>
          </w:tcPr>
          <w:p>
            <w:pPr>
              <w:pStyle w:val="TableParagraph"/>
              <w:spacing w:before="68"/>
              <w:ind w:left="83" w:right="82"/>
              <w:jc w:val="center"/>
              <w:rPr>
                <w:rFonts w:ascii="Times New Roman"/>
                <w:sz w:val="15"/>
              </w:rPr>
            </w:pPr>
            <w:r>
              <w:rPr>
                <w:rFonts w:ascii="Times New Roman"/>
                <w:sz w:val="15"/>
              </w:rPr>
              <w:t>0.354</w:t>
            </w:r>
          </w:p>
        </w:tc>
        <w:tc>
          <w:tcPr>
            <w:tcW w:w="555" w:type="dxa"/>
          </w:tcPr>
          <w:p>
            <w:pPr>
              <w:pStyle w:val="TableParagraph"/>
              <w:spacing w:before="68"/>
              <w:ind w:left="83" w:right="83"/>
              <w:jc w:val="center"/>
              <w:rPr>
                <w:rFonts w:ascii="Times New Roman"/>
                <w:sz w:val="15"/>
              </w:rPr>
            </w:pPr>
            <w:r>
              <w:rPr>
                <w:rFonts w:ascii="Times New Roman"/>
                <w:sz w:val="15"/>
              </w:rPr>
              <w:t>0.079</w:t>
            </w:r>
          </w:p>
        </w:tc>
      </w:tr>
      <w:tr>
        <w:trPr>
          <w:trHeight w:val="311" w:hRule="atLeast"/>
        </w:trPr>
        <w:tc>
          <w:tcPr>
            <w:tcW w:w="368" w:type="dxa"/>
            <w:vMerge/>
            <w:tcBorders>
              <w:top w:val="nil"/>
            </w:tcBorders>
          </w:tcPr>
          <w:p>
            <w:pPr>
              <w:rPr>
                <w:sz w:val="2"/>
                <w:szCs w:val="2"/>
              </w:rPr>
            </w:pPr>
          </w:p>
        </w:tc>
        <w:tc>
          <w:tcPr>
            <w:tcW w:w="965" w:type="dxa"/>
            <w:vMerge/>
            <w:tcBorders>
              <w:top w:val="nil"/>
            </w:tcBorders>
          </w:tcPr>
          <w:p>
            <w:pPr>
              <w:rPr>
                <w:sz w:val="2"/>
                <w:szCs w:val="2"/>
              </w:rPr>
            </w:pPr>
          </w:p>
        </w:tc>
        <w:tc>
          <w:tcPr>
            <w:tcW w:w="591" w:type="dxa"/>
            <w:vMerge/>
            <w:tcBorders>
              <w:top w:val="nil"/>
            </w:tcBorders>
          </w:tcPr>
          <w:p>
            <w:pPr>
              <w:rPr>
                <w:sz w:val="2"/>
                <w:szCs w:val="2"/>
              </w:rPr>
            </w:pPr>
          </w:p>
        </w:tc>
        <w:tc>
          <w:tcPr>
            <w:tcW w:w="368" w:type="dxa"/>
            <w:vMerge/>
            <w:tcBorders>
              <w:top w:val="nil"/>
            </w:tcBorders>
          </w:tcPr>
          <w:p>
            <w:pPr>
              <w:rPr>
                <w:sz w:val="2"/>
                <w:szCs w:val="2"/>
              </w:rPr>
            </w:pPr>
          </w:p>
        </w:tc>
        <w:tc>
          <w:tcPr>
            <w:tcW w:w="966" w:type="dxa"/>
            <w:vMerge/>
            <w:tcBorders>
              <w:top w:val="nil"/>
            </w:tcBorders>
          </w:tcPr>
          <w:p>
            <w:pPr>
              <w:rPr>
                <w:sz w:val="2"/>
                <w:szCs w:val="2"/>
              </w:rPr>
            </w:pPr>
          </w:p>
        </w:tc>
        <w:tc>
          <w:tcPr>
            <w:tcW w:w="593" w:type="dxa"/>
            <w:vMerge/>
            <w:tcBorders>
              <w:top w:val="nil"/>
            </w:tcBorders>
          </w:tcPr>
          <w:p>
            <w:pPr>
              <w:rPr>
                <w:sz w:val="2"/>
                <w:szCs w:val="2"/>
              </w:rPr>
            </w:pPr>
          </w:p>
        </w:tc>
        <w:tc>
          <w:tcPr>
            <w:tcW w:w="3181" w:type="dxa"/>
          </w:tcPr>
          <w:p>
            <w:pPr>
              <w:pStyle w:val="TableParagraph"/>
              <w:spacing w:before="58"/>
              <w:ind w:left="102"/>
              <w:rPr>
                <w:sz w:val="15"/>
              </w:rPr>
            </w:pPr>
            <w:r>
              <w:rPr>
                <w:sz w:val="15"/>
              </w:rPr>
              <w:t>药学服务人员高等教育背景</w:t>
            </w:r>
          </w:p>
        </w:tc>
        <w:tc>
          <w:tcPr>
            <w:tcW w:w="1578" w:type="dxa"/>
          </w:tcPr>
          <w:p>
            <w:pPr>
              <w:pStyle w:val="TableParagraph"/>
              <w:spacing w:before="68"/>
              <w:ind w:left="104"/>
              <w:rPr>
                <w:rFonts w:ascii="Times New Roman"/>
                <w:sz w:val="15"/>
              </w:rPr>
            </w:pPr>
            <w:r>
              <w:rPr>
                <w:rFonts w:ascii="Times New Roman"/>
                <w:sz w:val="15"/>
              </w:rPr>
              <w:t>4.71/0.077</w:t>
            </w:r>
          </w:p>
        </w:tc>
        <w:tc>
          <w:tcPr>
            <w:tcW w:w="555" w:type="dxa"/>
          </w:tcPr>
          <w:p>
            <w:pPr>
              <w:pStyle w:val="TableParagraph"/>
              <w:spacing w:before="68"/>
              <w:ind w:left="83" w:right="82"/>
              <w:jc w:val="center"/>
              <w:rPr>
                <w:rFonts w:ascii="Times New Roman"/>
                <w:sz w:val="15"/>
              </w:rPr>
            </w:pPr>
            <w:r>
              <w:rPr>
                <w:rFonts w:ascii="Times New Roman"/>
                <w:sz w:val="15"/>
              </w:rPr>
              <w:t>0.289</w:t>
            </w:r>
          </w:p>
        </w:tc>
        <w:tc>
          <w:tcPr>
            <w:tcW w:w="555" w:type="dxa"/>
          </w:tcPr>
          <w:p>
            <w:pPr>
              <w:pStyle w:val="TableParagraph"/>
              <w:spacing w:before="68"/>
              <w:ind w:left="83" w:right="83"/>
              <w:jc w:val="center"/>
              <w:rPr>
                <w:rFonts w:ascii="Times New Roman"/>
                <w:sz w:val="15"/>
              </w:rPr>
            </w:pPr>
            <w:r>
              <w:rPr>
                <w:rFonts w:ascii="Times New Roman"/>
                <w:sz w:val="15"/>
              </w:rPr>
              <w:t>0.065</w:t>
            </w:r>
          </w:p>
        </w:tc>
      </w:tr>
      <w:tr>
        <w:trPr>
          <w:trHeight w:val="311" w:hRule="atLeast"/>
        </w:trPr>
        <w:tc>
          <w:tcPr>
            <w:tcW w:w="368" w:type="dxa"/>
            <w:vMerge/>
            <w:tcBorders>
              <w:top w:val="nil"/>
            </w:tcBorders>
          </w:tcPr>
          <w:p>
            <w:pPr>
              <w:rPr>
                <w:sz w:val="2"/>
                <w:szCs w:val="2"/>
              </w:rPr>
            </w:pPr>
          </w:p>
        </w:tc>
        <w:tc>
          <w:tcPr>
            <w:tcW w:w="965" w:type="dxa"/>
            <w:vMerge/>
            <w:tcBorders>
              <w:top w:val="nil"/>
            </w:tcBorders>
          </w:tcPr>
          <w:p>
            <w:pPr>
              <w:rPr>
                <w:sz w:val="2"/>
                <w:szCs w:val="2"/>
              </w:rPr>
            </w:pPr>
          </w:p>
        </w:tc>
        <w:tc>
          <w:tcPr>
            <w:tcW w:w="591" w:type="dxa"/>
            <w:vMerge/>
            <w:tcBorders>
              <w:top w:val="nil"/>
            </w:tcBorders>
          </w:tcPr>
          <w:p>
            <w:pPr>
              <w:rPr>
                <w:sz w:val="2"/>
                <w:szCs w:val="2"/>
              </w:rPr>
            </w:pPr>
          </w:p>
        </w:tc>
        <w:tc>
          <w:tcPr>
            <w:tcW w:w="368" w:type="dxa"/>
            <w:vMerge/>
            <w:tcBorders>
              <w:top w:val="nil"/>
            </w:tcBorders>
          </w:tcPr>
          <w:p>
            <w:pPr>
              <w:rPr>
                <w:sz w:val="2"/>
                <w:szCs w:val="2"/>
              </w:rPr>
            </w:pPr>
          </w:p>
        </w:tc>
        <w:tc>
          <w:tcPr>
            <w:tcW w:w="966" w:type="dxa"/>
            <w:vMerge/>
            <w:tcBorders>
              <w:top w:val="nil"/>
            </w:tcBorders>
          </w:tcPr>
          <w:p>
            <w:pPr>
              <w:rPr>
                <w:sz w:val="2"/>
                <w:szCs w:val="2"/>
              </w:rPr>
            </w:pPr>
          </w:p>
        </w:tc>
        <w:tc>
          <w:tcPr>
            <w:tcW w:w="593" w:type="dxa"/>
            <w:vMerge/>
            <w:tcBorders>
              <w:top w:val="nil"/>
            </w:tcBorders>
          </w:tcPr>
          <w:p>
            <w:pPr>
              <w:rPr>
                <w:sz w:val="2"/>
                <w:szCs w:val="2"/>
              </w:rPr>
            </w:pPr>
          </w:p>
        </w:tc>
        <w:tc>
          <w:tcPr>
            <w:tcW w:w="3181" w:type="dxa"/>
          </w:tcPr>
          <w:p>
            <w:pPr>
              <w:pStyle w:val="TableParagraph"/>
              <w:spacing w:before="58"/>
              <w:ind w:left="102"/>
              <w:rPr>
                <w:sz w:val="15"/>
              </w:rPr>
            </w:pPr>
            <w:r>
              <w:rPr>
                <w:sz w:val="15"/>
              </w:rPr>
              <w:t>药学服务人员职业培训和认证</w:t>
            </w:r>
          </w:p>
        </w:tc>
        <w:tc>
          <w:tcPr>
            <w:tcW w:w="1578" w:type="dxa"/>
          </w:tcPr>
          <w:p>
            <w:pPr>
              <w:pStyle w:val="TableParagraph"/>
              <w:spacing w:before="68"/>
              <w:ind w:left="104"/>
              <w:rPr>
                <w:rFonts w:ascii="Times New Roman"/>
                <w:sz w:val="15"/>
              </w:rPr>
            </w:pPr>
            <w:r>
              <w:rPr>
                <w:rFonts w:ascii="Times New Roman"/>
                <w:sz w:val="15"/>
              </w:rPr>
              <w:t>4.57/0.073</w:t>
            </w:r>
          </w:p>
        </w:tc>
        <w:tc>
          <w:tcPr>
            <w:tcW w:w="555" w:type="dxa"/>
          </w:tcPr>
          <w:p>
            <w:pPr>
              <w:pStyle w:val="TableParagraph"/>
              <w:spacing w:before="68"/>
              <w:ind w:left="83" w:right="82"/>
              <w:jc w:val="center"/>
              <w:rPr>
                <w:rFonts w:ascii="Times New Roman"/>
                <w:sz w:val="15"/>
              </w:rPr>
            </w:pPr>
            <w:r>
              <w:rPr>
                <w:rFonts w:ascii="Times New Roman"/>
                <w:sz w:val="15"/>
              </w:rPr>
              <w:t>0.211</w:t>
            </w:r>
          </w:p>
        </w:tc>
        <w:tc>
          <w:tcPr>
            <w:tcW w:w="555" w:type="dxa"/>
          </w:tcPr>
          <w:p>
            <w:pPr>
              <w:pStyle w:val="TableParagraph"/>
              <w:spacing w:before="68"/>
              <w:ind w:left="83" w:right="83"/>
              <w:jc w:val="center"/>
              <w:rPr>
                <w:rFonts w:ascii="Times New Roman"/>
                <w:sz w:val="15"/>
              </w:rPr>
            </w:pPr>
            <w:r>
              <w:rPr>
                <w:rFonts w:ascii="Times New Roman"/>
                <w:sz w:val="15"/>
              </w:rPr>
              <w:t>0.047</w:t>
            </w:r>
          </w:p>
        </w:tc>
      </w:tr>
      <w:tr>
        <w:trPr>
          <w:trHeight w:val="594" w:hRule="atLeast"/>
        </w:trPr>
        <w:tc>
          <w:tcPr>
            <w:tcW w:w="368" w:type="dxa"/>
            <w:vMerge/>
            <w:tcBorders>
              <w:top w:val="nil"/>
            </w:tcBorders>
          </w:tcPr>
          <w:p>
            <w:pPr>
              <w:rPr>
                <w:sz w:val="2"/>
                <w:szCs w:val="2"/>
              </w:rPr>
            </w:pPr>
          </w:p>
        </w:tc>
        <w:tc>
          <w:tcPr>
            <w:tcW w:w="965" w:type="dxa"/>
            <w:vMerge/>
            <w:tcBorders>
              <w:top w:val="nil"/>
            </w:tcBorders>
          </w:tcPr>
          <w:p>
            <w:pPr>
              <w:rPr>
                <w:sz w:val="2"/>
                <w:szCs w:val="2"/>
              </w:rPr>
            </w:pPr>
          </w:p>
        </w:tc>
        <w:tc>
          <w:tcPr>
            <w:tcW w:w="591" w:type="dxa"/>
            <w:vMerge/>
            <w:tcBorders>
              <w:top w:val="nil"/>
            </w:tcBorders>
          </w:tcPr>
          <w:p>
            <w:pPr>
              <w:rPr>
                <w:sz w:val="2"/>
                <w:szCs w:val="2"/>
              </w:rPr>
            </w:pPr>
          </w:p>
        </w:tc>
        <w:tc>
          <w:tcPr>
            <w:tcW w:w="368" w:type="dxa"/>
            <w:vMerge/>
            <w:tcBorders>
              <w:top w:val="nil"/>
            </w:tcBorders>
          </w:tcPr>
          <w:p>
            <w:pPr>
              <w:rPr>
                <w:sz w:val="2"/>
                <w:szCs w:val="2"/>
              </w:rPr>
            </w:pPr>
          </w:p>
        </w:tc>
        <w:tc>
          <w:tcPr>
            <w:tcW w:w="966" w:type="dxa"/>
            <w:vMerge/>
            <w:tcBorders>
              <w:top w:val="nil"/>
            </w:tcBorders>
          </w:tcPr>
          <w:p>
            <w:pPr>
              <w:rPr>
                <w:sz w:val="2"/>
                <w:szCs w:val="2"/>
              </w:rPr>
            </w:pPr>
          </w:p>
        </w:tc>
        <w:tc>
          <w:tcPr>
            <w:tcW w:w="593" w:type="dxa"/>
            <w:vMerge/>
            <w:tcBorders>
              <w:top w:val="nil"/>
            </w:tcBorders>
          </w:tcPr>
          <w:p>
            <w:pPr>
              <w:rPr>
                <w:sz w:val="2"/>
                <w:szCs w:val="2"/>
              </w:rPr>
            </w:pPr>
          </w:p>
        </w:tc>
        <w:tc>
          <w:tcPr>
            <w:tcW w:w="3181" w:type="dxa"/>
          </w:tcPr>
          <w:p>
            <w:pPr>
              <w:pStyle w:val="TableParagraph"/>
              <w:spacing w:before="8"/>
              <w:rPr>
                <w:rFonts w:ascii="楷体"/>
                <w:sz w:val="15"/>
              </w:rPr>
            </w:pPr>
          </w:p>
          <w:p>
            <w:pPr>
              <w:pStyle w:val="TableParagraph"/>
              <w:ind w:left="102"/>
              <w:rPr>
                <w:sz w:val="15"/>
              </w:rPr>
            </w:pPr>
            <w:r>
              <w:rPr>
                <w:sz w:val="15"/>
              </w:rPr>
              <w:t>组织架构</w:t>
            </w:r>
          </w:p>
        </w:tc>
        <w:tc>
          <w:tcPr>
            <w:tcW w:w="1578" w:type="dxa"/>
          </w:tcPr>
          <w:p>
            <w:pPr>
              <w:pStyle w:val="TableParagraph"/>
              <w:spacing w:before="5"/>
              <w:rPr>
                <w:rFonts w:ascii="楷体"/>
                <w:sz w:val="16"/>
              </w:rPr>
            </w:pPr>
          </w:p>
          <w:p>
            <w:pPr>
              <w:pStyle w:val="TableParagraph"/>
              <w:ind w:left="104"/>
              <w:rPr>
                <w:rFonts w:ascii="Times New Roman"/>
                <w:sz w:val="15"/>
              </w:rPr>
            </w:pPr>
            <w:r>
              <w:rPr>
                <w:rFonts w:ascii="Times New Roman"/>
                <w:sz w:val="15"/>
              </w:rPr>
              <w:t>4.85/0.092</w:t>
            </w:r>
          </w:p>
        </w:tc>
        <w:tc>
          <w:tcPr>
            <w:tcW w:w="555" w:type="dxa"/>
          </w:tcPr>
          <w:p>
            <w:pPr>
              <w:pStyle w:val="TableParagraph"/>
              <w:spacing w:before="5"/>
              <w:rPr>
                <w:rFonts w:ascii="楷体"/>
                <w:sz w:val="16"/>
              </w:rPr>
            </w:pPr>
          </w:p>
          <w:p>
            <w:pPr>
              <w:pStyle w:val="TableParagraph"/>
              <w:ind w:left="83" w:right="82"/>
              <w:jc w:val="center"/>
              <w:rPr>
                <w:rFonts w:ascii="Times New Roman"/>
                <w:sz w:val="15"/>
              </w:rPr>
            </w:pPr>
            <w:r>
              <w:rPr>
                <w:rFonts w:ascii="Times New Roman"/>
                <w:sz w:val="15"/>
              </w:rPr>
              <w:t>0.146</w:t>
            </w:r>
          </w:p>
        </w:tc>
        <w:tc>
          <w:tcPr>
            <w:tcW w:w="555" w:type="dxa"/>
          </w:tcPr>
          <w:p>
            <w:pPr>
              <w:pStyle w:val="TableParagraph"/>
              <w:spacing w:before="5"/>
              <w:rPr>
                <w:rFonts w:ascii="楷体"/>
                <w:sz w:val="16"/>
              </w:rPr>
            </w:pPr>
          </w:p>
          <w:p>
            <w:pPr>
              <w:pStyle w:val="TableParagraph"/>
              <w:ind w:left="83" w:right="83"/>
              <w:jc w:val="center"/>
              <w:rPr>
                <w:rFonts w:ascii="Times New Roman"/>
                <w:sz w:val="15"/>
              </w:rPr>
            </w:pPr>
            <w:r>
              <w:rPr>
                <w:rFonts w:ascii="Times New Roman"/>
                <w:sz w:val="15"/>
              </w:rPr>
              <w:t>0.033</w:t>
            </w:r>
          </w:p>
        </w:tc>
      </w:tr>
    </w:tbl>
    <w:p>
      <w:pPr>
        <w:spacing w:after="0"/>
        <w:jc w:val="center"/>
        <w:rPr>
          <w:rFonts w:ascii="Times New Roman"/>
          <w:sz w:val="15"/>
        </w:rPr>
        <w:sectPr>
          <w:pgSz w:w="11910" w:h="16850"/>
          <w:pgMar w:header="906" w:footer="607" w:top="1100" w:bottom="800" w:left="1040" w:right="900"/>
        </w:sectPr>
      </w:pPr>
    </w:p>
    <w:tbl>
      <w:tblPr>
        <w:tblW w:w="0" w:type="auto"/>
        <w:jc w:val="left"/>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68"/>
        <w:gridCol w:w="965"/>
        <w:gridCol w:w="591"/>
        <w:gridCol w:w="368"/>
        <w:gridCol w:w="966"/>
        <w:gridCol w:w="593"/>
        <w:gridCol w:w="3181"/>
        <w:gridCol w:w="1578"/>
        <w:gridCol w:w="555"/>
        <w:gridCol w:w="555"/>
      </w:tblGrid>
      <w:tr>
        <w:trPr>
          <w:trHeight w:val="308" w:hRule="atLeast"/>
        </w:trPr>
        <w:tc>
          <w:tcPr>
            <w:tcW w:w="368" w:type="dxa"/>
            <w:vMerge w:val="restart"/>
            <w:tcBorders>
              <w:left w:val="single" w:sz="4" w:space="0" w:color="000000"/>
              <w:bottom w:val="single" w:sz="4" w:space="0" w:color="000000"/>
              <w:right w:val="single" w:sz="4" w:space="0" w:color="000000"/>
            </w:tcBorders>
          </w:tcPr>
          <w:p>
            <w:pPr>
              <w:pStyle w:val="TableParagraph"/>
              <w:rPr>
                <w:rFonts w:ascii="Times New Roman"/>
                <w:sz w:val="14"/>
              </w:rPr>
            </w:pPr>
          </w:p>
        </w:tc>
        <w:tc>
          <w:tcPr>
            <w:tcW w:w="965" w:type="dxa"/>
            <w:vMerge w:val="restart"/>
            <w:tcBorders>
              <w:left w:val="single" w:sz="4" w:space="0" w:color="000000"/>
              <w:bottom w:val="single" w:sz="4" w:space="0" w:color="000000"/>
              <w:right w:val="single" w:sz="4" w:space="0" w:color="000000"/>
            </w:tcBorders>
          </w:tcPr>
          <w:p>
            <w:pPr>
              <w:pStyle w:val="TableParagraph"/>
              <w:rPr>
                <w:rFonts w:ascii="Times New Roman"/>
                <w:sz w:val="14"/>
              </w:rPr>
            </w:pPr>
          </w:p>
        </w:tc>
        <w:tc>
          <w:tcPr>
            <w:tcW w:w="591" w:type="dxa"/>
            <w:vMerge w:val="restart"/>
            <w:tcBorders>
              <w:left w:val="single" w:sz="4" w:space="0" w:color="000000"/>
              <w:bottom w:val="single" w:sz="4" w:space="0" w:color="000000"/>
              <w:right w:val="single" w:sz="4" w:space="0" w:color="000000"/>
            </w:tcBorders>
          </w:tcPr>
          <w:p>
            <w:pPr>
              <w:pStyle w:val="TableParagraph"/>
              <w:rPr>
                <w:rFonts w:ascii="Times New Roman"/>
                <w:sz w:val="14"/>
              </w:rPr>
            </w:pPr>
          </w:p>
        </w:tc>
        <w:tc>
          <w:tcPr>
            <w:tcW w:w="368" w:type="dxa"/>
            <w:tcBorders>
              <w:left w:val="single" w:sz="4" w:space="0" w:color="000000"/>
              <w:bottom w:val="single" w:sz="4" w:space="0" w:color="000000"/>
              <w:right w:val="single" w:sz="4" w:space="0" w:color="000000"/>
            </w:tcBorders>
          </w:tcPr>
          <w:p>
            <w:pPr>
              <w:pStyle w:val="TableParagraph"/>
              <w:spacing w:before="47"/>
              <w:ind w:left="106"/>
              <w:rPr>
                <w:sz w:val="15"/>
              </w:rPr>
            </w:pPr>
            <w:r>
              <w:rPr>
                <w:w w:val="100"/>
                <w:sz w:val="15"/>
              </w:rPr>
              <w:t>标</w:t>
            </w:r>
          </w:p>
        </w:tc>
        <w:tc>
          <w:tcPr>
            <w:tcW w:w="966" w:type="dxa"/>
            <w:tcBorders>
              <w:left w:val="single" w:sz="4" w:space="0" w:color="000000"/>
              <w:bottom w:val="single" w:sz="4" w:space="0" w:color="000000"/>
              <w:right w:val="single" w:sz="4" w:space="0" w:color="000000"/>
            </w:tcBorders>
          </w:tcPr>
          <w:p>
            <w:pPr>
              <w:pStyle w:val="TableParagraph"/>
              <w:rPr>
                <w:rFonts w:ascii="Times New Roman"/>
                <w:sz w:val="14"/>
              </w:rPr>
            </w:pPr>
          </w:p>
        </w:tc>
        <w:tc>
          <w:tcPr>
            <w:tcW w:w="593" w:type="dxa"/>
            <w:tcBorders>
              <w:left w:val="single" w:sz="4" w:space="0" w:color="000000"/>
              <w:bottom w:val="single" w:sz="4" w:space="0" w:color="000000"/>
              <w:right w:val="single" w:sz="4" w:space="0" w:color="000000"/>
            </w:tcBorders>
          </w:tcPr>
          <w:p>
            <w:pPr>
              <w:pStyle w:val="TableParagraph"/>
              <w:rPr>
                <w:rFonts w:ascii="Times New Roman"/>
                <w:sz w:val="14"/>
              </w:rPr>
            </w:pPr>
          </w:p>
        </w:tc>
        <w:tc>
          <w:tcPr>
            <w:tcW w:w="3181" w:type="dxa"/>
            <w:tcBorders>
              <w:left w:val="single" w:sz="4" w:space="0" w:color="000000"/>
              <w:bottom w:val="single" w:sz="4" w:space="0" w:color="000000"/>
              <w:right w:val="single" w:sz="4" w:space="0" w:color="000000"/>
            </w:tcBorders>
          </w:tcPr>
          <w:p>
            <w:pPr>
              <w:pStyle w:val="TableParagraph"/>
              <w:rPr>
                <w:rFonts w:ascii="Times New Roman"/>
                <w:sz w:val="14"/>
              </w:rPr>
            </w:pPr>
          </w:p>
        </w:tc>
        <w:tc>
          <w:tcPr>
            <w:tcW w:w="1578" w:type="dxa"/>
            <w:tcBorders>
              <w:left w:val="single" w:sz="4" w:space="0" w:color="000000"/>
              <w:bottom w:val="single" w:sz="4" w:space="0" w:color="000000"/>
              <w:right w:val="single" w:sz="4" w:space="0" w:color="000000"/>
            </w:tcBorders>
          </w:tcPr>
          <w:p>
            <w:pPr>
              <w:pStyle w:val="TableParagraph"/>
              <w:rPr>
                <w:rFonts w:ascii="Times New Roman"/>
                <w:sz w:val="14"/>
              </w:rPr>
            </w:pPr>
          </w:p>
        </w:tc>
        <w:tc>
          <w:tcPr>
            <w:tcW w:w="555" w:type="dxa"/>
            <w:tcBorders>
              <w:left w:val="single" w:sz="4" w:space="0" w:color="000000"/>
              <w:bottom w:val="single" w:sz="4" w:space="0" w:color="000000"/>
              <w:right w:val="single" w:sz="4" w:space="0" w:color="000000"/>
            </w:tcBorders>
          </w:tcPr>
          <w:p>
            <w:pPr>
              <w:pStyle w:val="TableParagraph"/>
              <w:rPr>
                <w:rFonts w:ascii="Times New Roman"/>
                <w:sz w:val="14"/>
              </w:rPr>
            </w:pPr>
          </w:p>
        </w:tc>
        <w:tc>
          <w:tcPr>
            <w:tcW w:w="555" w:type="dxa"/>
            <w:tcBorders>
              <w:left w:val="single" w:sz="4" w:space="0" w:color="000000"/>
              <w:bottom w:val="single" w:sz="4" w:space="0" w:color="000000"/>
              <w:right w:val="single" w:sz="4" w:space="0" w:color="000000"/>
            </w:tcBorders>
          </w:tcPr>
          <w:p>
            <w:pPr>
              <w:pStyle w:val="TableParagraph"/>
              <w:rPr>
                <w:rFonts w:ascii="Times New Roman"/>
                <w:sz w:val="14"/>
              </w:rPr>
            </w:pPr>
          </w:p>
        </w:tc>
      </w:tr>
      <w:tr>
        <w:trPr>
          <w:trHeight w:val="312"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388" w:lineRule="auto" w:before="50"/>
              <w:ind w:left="106" w:right="98"/>
              <w:jc w:val="both"/>
              <w:rPr>
                <w:sz w:val="15"/>
              </w:rPr>
            </w:pPr>
            <w:r>
              <w:rPr>
                <w:sz w:val="15"/>
              </w:rPr>
              <w:t>硬件支持指</w:t>
            </w:r>
          </w:p>
          <w:p>
            <w:pPr>
              <w:pStyle w:val="TableParagraph"/>
              <w:spacing w:before="3"/>
              <w:ind w:left="106"/>
              <w:rPr>
                <w:sz w:val="15"/>
              </w:rPr>
            </w:pPr>
            <w:r>
              <w:rPr>
                <w:w w:val="100"/>
                <w:sz w:val="15"/>
              </w:rPr>
              <w:t>标</w:t>
            </w:r>
          </w:p>
        </w:tc>
        <w:tc>
          <w:tcPr>
            <w:tcW w:w="96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112"/>
              <w:ind w:left="103"/>
              <w:rPr>
                <w:sz w:val="15"/>
              </w:rPr>
            </w:pPr>
            <w:r>
              <w:rPr>
                <w:sz w:val="15"/>
              </w:rPr>
              <w:t>4.85/0.088</w:t>
            </w:r>
          </w:p>
        </w:tc>
        <w:tc>
          <w:tcPr>
            <w:tcW w:w="593"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112"/>
              <w:ind w:left="105"/>
              <w:rPr>
                <w:sz w:val="15"/>
              </w:rPr>
            </w:pPr>
            <w:r>
              <w:rPr>
                <w:sz w:val="15"/>
              </w:rPr>
              <w:t>0.177</w:t>
            </w: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50"/>
              <w:ind w:left="102"/>
              <w:rPr>
                <w:sz w:val="15"/>
              </w:rPr>
            </w:pPr>
            <w:r>
              <w:rPr>
                <w:sz w:val="15"/>
              </w:rPr>
              <w:t>器械、电子系统和软件配备情况</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60"/>
              <w:ind w:left="104"/>
              <w:rPr>
                <w:rFonts w:ascii="Times New Roman"/>
                <w:sz w:val="15"/>
              </w:rPr>
            </w:pPr>
            <w:r>
              <w:rPr>
                <w:rFonts w:ascii="Times New Roman"/>
                <w:sz w:val="15"/>
              </w:rPr>
              <w:t>4.87/0.078</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right="99"/>
              <w:jc w:val="right"/>
              <w:rPr>
                <w:rFonts w:ascii="Times New Roman"/>
                <w:sz w:val="15"/>
              </w:rPr>
            </w:pPr>
            <w:r>
              <w:rPr>
                <w:rFonts w:ascii="Times New Roman"/>
                <w:sz w:val="15"/>
              </w:rPr>
              <w:t>0.107</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83" w:right="83"/>
              <w:jc w:val="center"/>
              <w:rPr>
                <w:rFonts w:ascii="Times New Roman"/>
                <w:sz w:val="15"/>
              </w:rPr>
            </w:pPr>
            <w:r>
              <w:rPr>
                <w:rFonts w:ascii="Times New Roman"/>
                <w:sz w:val="15"/>
              </w:rPr>
              <w:t>0.008</w:t>
            </w:r>
          </w:p>
        </w:tc>
      </w:tr>
      <w:tr>
        <w:trPr>
          <w:trHeight w:val="1549"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2"/>
              <w:rPr>
                <w:rFonts w:ascii="楷体"/>
                <w:sz w:val="10"/>
              </w:rPr>
            </w:pPr>
          </w:p>
          <w:p>
            <w:pPr>
              <w:pStyle w:val="TableParagraph"/>
              <w:ind w:left="102"/>
              <w:rPr>
                <w:sz w:val="15"/>
              </w:rPr>
            </w:pPr>
            <w:r>
              <w:rPr>
                <w:sz w:val="15"/>
              </w:rPr>
              <w:t>纸质或电子药学服务相关资料库完整性</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6"/>
              </w:rPr>
            </w:pPr>
          </w:p>
          <w:p>
            <w:pPr>
              <w:pStyle w:val="TableParagraph"/>
              <w:rPr>
                <w:rFonts w:ascii="楷体"/>
                <w:sz w:val="16"/>
              </w:rPr>
            </w:pPr>
          </w:p>
          <w:p>
            <w:pPr>
              <w:pStyle w:val="TableParagraph"/>
              <w:spacing w:before="12"/>
              <w:rPr>
                <w:rFonts w:ascii="楷体"/>
                <w:sz w:val="20"/>
              </w:rPr>
            </w:pPr>
          </w:p>
          <w:p>
            <w:pPr>
              <w:pStyle w:val="TableParagraph"/>
              <w:ind w:left="104"/>
              <w:rPr>
                <w:rFonts w:ascii="Times New Roman"/>
                <w:sz w:val="15"/>
              </w:rPr>
            </w:pPr>
            <w:r>
              <w:rPr>
                <w:rFonts w:ascii="Times New Roman"/>
                <w:sz w:val="15"/>
              </w:rPr>
              <w:t>4.83/0.084</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6"/>
              </w:rPr>
            </w:pPr>
          </w:p>
          <w:p>
            <w:pPr>
              <w:pStyle w:val="TableParagraph"/>
              <w:rPr>
                <w:rFonts w:ascii="楷体"/>
                <w:sz w:val="16"/>
              </w:rPr>
            </w:pPr>
          </w:p>
          <w:p>
            <w:pPr>
              <w:pStyle w:val="TableParagraph"/>
              <w:spacing w:before="12"/>
              <w:rPr>
                <w:rFonts w:ascii="楷体"/>
                <w:sz w:val="20"/>
              </w:rPr>
            </w:pPr>
          </w:p>
          <w:p>
            <w:pPr>
              <w:pStyle w:val="TableParagraph"/>
              <w:ind w:right="99"/>
              <w:jc w:val="right"/>
              <w:rPr>
                <w:rFonts w:ascii="Times New Roman"/>
                <w:sz w:val="15"/>
              </w:rPr>
            </w:pPr>
            <w:r>
              <w:rPr>
                <w:rFonts w:ascii="Times New Roman"/>
                <w:sz w:val="15"/>
              </w:rPr>
              <w:t>0.893</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6"/>
              </w:rPr>
            </w:pPr>
          </w:p>
          <w:p>
            <w:pPr>
              <w:pStyle w:val="TableParagraph"/>
              <w:rPr>
                <w:rFonts w:ascii="楷体"/>
                <w:sz w:val="16"/>
              </w:rPr>
            </w:pPr>
          </w:p>
          <w:p>
            <w:pPr>
              <w:pStyle w:val="TableParagraph"/>
              <w:spacing w:before="12"/>
              <w:rPr>
                <w:rFonts w:ascii="楷体"/>
                <w:sz w:val="20"/>
              </w:rPr>
            </w:pPr>
          </w:p>
          <w:p>
            <w:pPr>
              <w:pStyle w:val="TableParagraph"/>
              <w:ind w:left="83" w:right="83"/>
              <w:jc w:val="center"/>
              <w:rPr>
                <w:rFonts w:ascii="Times New Roman"/>
                <w:sz w:val="15"/>
              </w:rPr>
            </w:pPr>
            <w:r>
              <w:rPr>
                <w:rFonts w:ascii="Times New Roman"/>
                <w:sz w:val="15"/>
              </w:rPr>
              <w:t>0.068</w:t>
            </w:r>
          </w:p>
        </w:tc>
      </w:tr>
      <w:tr>
        <w:trPr>
          <w:trHeight w:val="311"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388" w:lineRule="auto" w:before="50"/>
              <w:ind w:left="106" w:right="98"/>
              <w:jc w:val="both"/>
              <w:rPr>
                <w:sz w:val="15"/>
              </w:rPr>
            </w:pPr>
            <w:r>
              <w:rPr>
                <w:sz w:val="15"/>
              </w:rPr>
              <w:t>服务项目开展和指导规程设置指</w:t>
            </w:r>
          </w:p>
          <w:p>
            <w:pPr>
              <w:pStyle w:val="TableParagraph"/>
              <w:spacing w:before="10"/>
              <w:ind w:left="106"/>
              <w:rPr>
                <w:sz w:val="15"/>
              </w:rPr>
            </w:pPr>
            <w:r>
              <w:rPr>
                <w:w w:val="100"/>
                <w:sz w:val="15"/>
              </w:rPr>
              <w:t>标</w:t>
            </w:r>
          </w:p>
        </w:tc>
        <w:tc>
          <w:tcPr>
            <w:tcW w:w="96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5"/>
              <w:rPr>
                <w:rFonts w:ascii="楷体"/>
                <w:sz w:val="20"/>
              </w:rPr>
            </w:pPr>
          </w:p>
          <w:p>
            <w:pPr>
              <w:pStyle w:val="TableParagraph"/>
              <w:ind w:left="103"/>
              <w:rPr>
                <w:sz w:val="15"/>
              </w:rPr>
            </w:pPr>
            <w:r>
              <w:rPr>
                <w:sz w:val="15"/>
              </w:rPr>
              <w:t>4.69/0.079</w:t>
            </w:r>
          </w:p>
        </w:tc>
        <w:tc>
          <w:tcPr>
            <w:tcW w:w="593"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5"/>
              <w:rPr>
                <w:rFonts w:ascii="楷体"/>
                <w:sz w:val="20"/>
              </w:rPr>
            </w:pPr>
          </w:p>
          <w:p>
            <w:pPr>
              <w:pStyle w:val="TableParagraph"/>
              <w:ind w:left="105"/>
              <w:rPr>
                <w:sz w:val="15"/>
              </w:rPr>
            </w:pPr>
            <w:r>
              <w:rPr>
                <w:sz w:val="15"/>
              </w:rPr>
              <w:t>0.106</w:t>
            </w: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50"/>
              <w:ind w:left="102"/>
              <w:rPr>
                <w:sz w:val="15"/>
              </w:rPr>
            </w:pPr>
            <w:r>
              <w:rPr>
                <w:sz w:val="15"/>
              </w:rPr>
              <w:t>处方或者用药医嘱审核结果</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59"/>
              <w:ind w:left="104"/>
              <w:rPr>
                <w:rFonts w:ascii="Times New Roman"/>
                <w:sz w:val="15"/>
              </w:rPr>
            </w:pPr>
            <w:r>
              <w:rPr>
                <w:rFonts w:ascii="Times New Roman"/>
                <w:sz w:val="15"/>
              </w:rPr>
              <w:t>4.68/0.074</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right="99"/>
              <w:jc w:val="right"/>
              <w:rPr>
                <w:rFonts w:ascii="Times New Roman"/>
                <w:sz w:val="15"/>
              </w:rPr>
            </w:pPr>
            <w:r>
              <w:rPr>
                <w:rFonts w:ascii="Times New Roman"/>
                <w:sz w:val="15"/>
              </w:rPr>
              <w:t>0.407</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left="83" w:right="83"/>
              <w:jc w:val="center"/>
              <w:rPr>
                <w:rFonts w:ascii="Times New Roman"/>
                <w:sz w:val="15"/>
              </w:rPr>
            </w:pPr>
            <w:r>
              <w:rPr>
                <w:rFonts w:ascii="Times New Roman"/>
                <w:sz w:val="15"/>
              </w:rPr>
              <w:t>0.019</w:t>
            </w:r>
          </w:p>
        </w:tc>
      </w:tr>
      <w:tr>
        <w:trPr>
          <w:trHeight w:val="623"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50"/>
              <w:ind w:left="102"/>
              <w:rPr>
                <w:sz w:val="15"/>
              </w:rPr>
            </w:pPr>
            <w:r>
              <w:rPr>
                <w:sz w:val="15"/>
              </w:rPr>
              <w:t>参与临床药物治疗，进行个体化药物治疗方案</w:t>
            </w:r>
          </w:p>
          <w:p>
            <w:pPr>
              <w:pStyle w:val="TableParagraph"/>
              <w:spacing w:before="119"/>
              <w:ind w:left="102"/>
              <w:rPr>
                <w:sz w:val="15"/>
              </w:rPr>
            </w:pPr>
            <w:r>
              <w:rPr>
                <w:sz w:val="15"/>
              </w:rPr>
              <w:t>的设计与实施</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楷体"/>
                <w:sz w:val="16"/>
              </w:rPr>
            </w:pPr>
          </w:p>
          <w:p>
            <w:pPr>
              <w:pStyle w:val="TableParagraph"/>
              <w:ind w:left="104"/>
              <w:rPr>
                <w:rFonts w:ascii="Times New Roman"/>
                <w:sz w:val="15"/>
              </w:rPr>
            </w:pPr>
            <w:r>
              <w:rPr>
                <w:rFonts w:ascii="Times New Roman"/>
                <w:sz w:val="15"/>
              </w:rPr>
              <w:t>4.51/0.095</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楷体"/>
                <w:sz w:val="16"/>
              </w:rPr>
            </w:pPr>
          </w:p>
          <w:p>
            <w:pPr>
              <w:pStyle w:val="TableParagraph"/>
              <w:ind w:right="99"/>
              <w:jc w:val="right"/>
              <w:rPr>
                <w:rFonts w:ascii="Times New Roman"/>
                <w:sz w:val="15"/>
              </w:rPr>
            </w:pPr>
            <w:r>
              <w:rPr>
                <w:rFonts w:ascii="Times New Roman"/>
                <w:sz w:val="15"/>
              </w:rPr>
              <w:t>0.195</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楷体"/>
                <w:sz w:val="16"/>
              </w:rPr>
            </w:pPr>
          </w:p>
          <w:p>
            <w:pPr>
              <w:pStyle w:val="TableParagraph"/>
              <w:ind w:left="83" w:right="83"/>
              <w:jc w:val="center"/>
              <w:rPr>
                <w:rFonts w:ascii="Times New Roman"/>
                <w:sz w:val="15"/>
              </w:rPr>
            </w:pPr>
            <w:r>
              <w:rPr>
                <w:rFonts w:ascii="Times New Roman"/>
                <w:sz w:val="15"/>
              </w:rPr>
              <w:t>0.009</w:t>
            </w:r>
          </w:p>
        </w:tc>
      </w:tr>
      <w:tr>
        <w:trPr>
          <w:trHeight w:val="313"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52"/>
              <w:ind w:left="102"/>
              <w:rPr>
                <w:sz w:val="15"/>
              </w:rPr>
            </w:pPr>
            <w:r>
              <w:rPr>
                <w:sz w:val="15"/>
              </w:rPr>
              <w:t>开展药学查房</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62"/>
              <w:ind w:left="104"/>
              <w:rPr>
                <w:rFonts w:ascii="Times New Roman"/>
                <w:sz w:val="15"/>
              </w:rPr>
            </w:pPr>
            <w:r>
              <w:rPr>
                <w:rFonts w:ascii="Times New Roman"/>
                <w:sz w:val="15"/>
              </w:rPr>
              <w:t>4.23/0.112</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right="99"/>
              <w:jc w:val="right"/>
              <w:rPr>
                <w:rFonts w:ascii="Times New Roman"/>
                <w:sz w:val="15"/>
              </w:rPr>
            </w:pPr>
            <w:r>
              <w:rPr>
                <w:rFonts w:ascii="Times New Roman"/>
                <w:sz w:val="15"/>
              </w:rPr>
              <w:t>0.092</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83" w:right="83"/>
              <w:jc w:val="center"/>
              <w:rPr>
                <w:rFonts w:ascii="Times New Roman"/>
                <w:sz w:val="15"/>
              </w:rPr>
            </w:pPr>
            <w:r>
              <w:rPr>
                <w:rFonts w:ascii="Times New Roman"/>
                <w:sz w:val="15"/>
              </w:rPr>
              <w:t>0.004</w:t>
            </w:r>
          </w:p>
        </w:tc>
      </w:tr>
      <w:tr>
        <w:trPr>
          <w:trHeight w:val="624"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50"/>
              <w:ind w:left="102"/>
              <w:rPr>
                <w:sz w:val="15"/>
              </w:rPr>
            </w:pPr>
            <w:r>
              <w:rPr>
                <w:sz w:val="15"/>
              </w:rPr>
              <w:t>开展药品质量监测，药品严重不良反应和药品</w:t>
            </w:r>
          </w:p>
          <w:p>
            <w:pPr>
              <w:pStyle w:val="TableParagraph"/>
              <w:spacing w:before="120"/>
              <w:ind w:left="102"/>
              <w:rPr>
                <w:sz w:val="15"/>
              </w:rPr>
            </w:pPr>
            <w:r>
              <w:rPr>
                <w:sz w:val="15"/>
              </w:rPr>
              <w:t>损害的收集、整理、报告等工作</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楷体"/>
                <w:sz w:val="16"/>
              </w:rPr>
            </w:pPr>
          </w:p>
          <w:p>
            <w:pPr>
              <w:pStyle w:val="TableParagraph"/>
              <w:ind w:left="104"/>
              <w:rPr>
                <w:rFonts w:ascii="Times New Roman"/>
                <w:sz w:val="15"/>
              </w:rPr>
            </w:pPr>
            <w:r>
              <w:rPr>
                <w:rFonts w:ascii="Times New Roman"/>
                <w:sz w:val="15"/>
              </w:rPr>
              <w:t>4.96/0.057</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楷体"/>
                <w:sz w:val="16"/>
              </w:rPr>
            </w:pPr>
          </w:p>
          <w:p>
            <w:pPr>
              <w:pStyle w:val="TableParagraph"/>
              <w:ind w:right="99"/>
              <w:jc w:val="right"/>
              <w:rPr>
                <w:rFonts w:ascii="Times New Roman"/>
                <w:sz w:val="15"/>
              </w:rPr>
            </w:pPr>
            <w:r>
              <w:rPr>
                <w:rFonts w:ascii="Times New Roman"/>
                <w:sz w:val="15"/>
              </w:rPr>
              <w:t>0.128</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楷体"/>
                <w:sz w:val="16"/>
              </w:rPr>
            </w:pPr>
          </w:p>
          <w:p>
            <w:pPr>
              <w:pStyle w:val="TableParagraph"/>
              <w:ind w:left="83" w:right="83"/>
              <w:jc w:val="center"/>
              <w:rPr>
                <w:rFonts w:ascii="Times New Roman"/>
                <w:sz w:val="15"/>
              </w:rPr>
            </w:pPr>
            <w:r>
              <w:rPr>
                <w:rFonts w:ascii="Times New Roman"/>
                <w:sz w:val="15"/>
              </w:rPr>
              <w:t>0.006</w:t>
            </w:r>
          </w:p>
        </w:tc>
      </w:tr>
      <w:tr>
        <w:trPr>
          <w:trHeight w:val="2767"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10"/>
              <w:rPr>
                <w:rFonts w:ascii="楷体"/>
                <w:sz w:val="15"/>
              </w:rPr>
            </w:pPr>
          </w:p>
          <w:p>
            <w:pPr>
              <w:pStyle w:val="TableParagraph"/>
              <w:ind w:left="102"/>
              <w:rPr>
                <w:sz w:val="15"/>
              </w:rPr>
            </w:pPr>
            <w:r>
              <w:rPr>
                <w:sz w:val="15"/>
              </w:rPr>
              <w:t>结合临床治疗实践，进行药学临床应用研究</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6"/>
              </w:rPr>
            </w:pPr>
          </w:p>
          <w:p>
            <w:pPr>
              <w:pStyle w:val="TableParagraph"/>
              <w:rPr>
                <w:rFonts w:ascii="楷体"/>
                <w:sz w:val="16"/>
              </w:rPr>
            </w:pPr>
          </w:p>
          <w:p>
            <w:pPr>
              <w:pStyle w:val="TableParagraph"/>
              <w:rPr>
                <w:rFonts w:ascii="楷体"/>
                <w:sz w:val="16"/>
              </w:rPr>
            </w:pPr>
          </w:p>
          <w:p>
            <w:pPr>
              <w:pStyle w:val="TableParagraph"/>
              <w:rPr>
                <w:rFonts w:ascii="楷体"/>
                <w:sz w:val="16"/>
              </w:rPr>
            </w:pPr>
          </w:p>
          <w:p>
            <w:pPr>
              <w:pStyle w:val="TableParagraph"/>
              <w:rPr>
                <w:rFonts w:ascii="楷体"/>
                <w:sz w:val="16"/>
              </w:rPr>
            </w:pPr>
          </w:p>
          <w:p>
            <w:pPr>
              <w:pStyle w:val="TableParagraph"/>
              <w:spacing w:before="7"/>
              <w:rPr>
                <w:rFonts w:ascii="楷体"/>
                <w:sz w:val="20"/>
              </w:rPr>
            </w:pPr>
          </w:p>
          <w:p>
            <w:pPr>
              <w:pStyle w:val="TableParagraph"/>
              <w:ind w:left="104"/>
              <w:rPr>
                <w:rFonts w:ascii="Times New Roman"/>
                <w:sz w:val="15"/>
              </w:rPr>
            </w:pPr>
            <w:r>
              <w:rPr>
                <w:rFonts w:ascii="Times New Roman"/>
                <w:sz w:val="15"/>
              </w:rPr>
              <w:t>4.87/0.062</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6"/>
              </w:rPr>
            </w:pPr>
          </w:p>
          <w:p>
            <w:pPr>
              <w:pStyle w:val="TableParagraph"/>
              <w:rPr>
                <w:rFonts w:ascii="楷体"/>
                <w:sz w:val="16"/>
              </w:rPr>
            </w:pPr>
          </w:p>
          <w:p>
            <w:pPr>
              <w:pStyle w:val="TableParagraph"/>
              <w:rPr>
                <w:rFonts w:ascii="楷体"/>
                <w:sz w:val="16"/>
              </w:rPr>
            </w:pPr>
          </w:p>
          <w:p>
            <w:pPr>
              <w:pStyle w:val="TableParagraph"/>
              <w:rPr>
                <w:rFonts w:ascii="楷体"/>
                <w:sz w:val="16"/>
              </w:rPr>
            </w:pPr>
          </w:p>
          <w:p>
            <w:pPr>
              <w:pStyle w:val="TableParagraph"/>
              <w:rPr>
                <w:rFonts w:ascii="楷体"/>
                <w:sz w:val="16"/>
              </w:rPr>
            </w:pPr>
          </w:p>
          <w:p>
            <w:pPr>
              <w:pStyle w:val="TableParagraph"/>
              <w:spacing w:before="7"/>
              <w:rPr>
                <w:rFonts w:ascii="楷体"/>
                <w:sz w:val="20"/>
              </w:rPr>
            </w:pPr>
          </w:p>
          <w:p>
            <w:pPr>
              <w:pStyle w:val="TableParagraph"/>
              <w:ind w:right="99"/>
              <w:jc w:val="right"/>
              <w:rPr>
                <w:rFonts w:ascii="Times New Roman"/>
                <w:sz w:val="15"/>
              </w:rPr>
            </w:pPr>
            <w:r>
              <w:rPr>
                <w:rFonts w:ascii="Times New Roman"/>
                <w:sz w:val="15"/>
              </w:rPr>
              <w:t>0.178</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6"/>
              </w:rPr>
            </w:pPr>
          </w:p>
          <w:p>
            <w:pPr>
              <w:pStyle w:val="TableParagraph"/>
              <w:rPr>
                <w:rFonts w:ascii="楷体"/>
                <w:sz w:val="16"/>
              </w:rPr>
            </w:pPr>
          </w:p>
          <w:p>
            <w:pPr>
              <w:pStyle w:val="TableParagraph"/>
              <w:rPr>
                <w:rFonts w:ascii="楷体"/>
                <w:sz w:val="16"/>
              </w:rPr>
            </w:pPr>
          </w:p>
          <w:p>
            <w:pPr>
              <w:pStyle w:val="TableParagraph"/>
              <w:rPr>
                <w:rFonts w:ascii="楷体"/>
                <w:sz w:val="16"/>
              </w:rPr>
            </w:pPr>
          </w:p>
          <w:p>
            <w:pPr>
              <w:pStyle w:val="TableParagraph"/>
              <w:rPr>
                <w:rFonts w:ascii="楷体"/>
                <w:sz w:val="16"/>
              </w:rPr>
            </w:pPr>
          </w:p>
          <w:p>
            <w:pPr>
              <w:pStyle w:val="TableParagraph"/>
              <w:spacing w:before="7"/>
              <w:rPr>
                <w:rFonts w:ascii="楷体"/>
                <w:sz w:val="20"/>
              </w:rPr>
            </w:pPr>
          </w:p>
          <w:p>
            <w:pPr>
              <w:pStyle w:val="TableParagraph"/>
              <w:ind w:left="83" w:right="83"/>
              <w:jc w:val="center"/>
              <w:rPr>
                <w:rFonts w:ascii="Times New Roman"/>
                <w:sz w:val="15"/>
              </w:rPr>
            </w:pPr>
            <w:r>
              <w:rPr>
                <w:rFonts w:ascii="Times New Roman"/>
                <w:sz w:val="15"/>
              </w:rPr>
              <w:t>0.008</w:t>
            </w:r>
          </w:p>
        </w:tc>
      </w:tr>
      <w:tr>
        <w:trPr>
          <w:trHeight w:val="311"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388" w:lineRule="auto" w:before="49"/>
              <w:ind w:left="106" w:right="98"/>
              <w:jc w:val="both"/>
              <w:rPr>
                <w:sz w:val="15"/>
              </w:rPr>
            </w:pPr>
            <w:r>
              <w:rPr>
                <w:sz w:val="15"/>
              </w:rPr>
              <w:t>人员评价</w:t>
            </w:r>
          </w:p>
          <w:p>
            <w:pPr>
              <w:pStyle w:val="TableParagraph"/>
              <w:spacing w:line="388" w:lineRule="auto" w:before="3"/>
              <w:ind w:left="106" w:right="98"/>
              <w:rPr>
                <w:sz w:val="15"/>
              </w:rPr>
            </w:pPr>
            <w:r>
              <w:rPr>
                <w:sz w:val="15"/>
              </w:rPr>
              <w:t>/ 绩效体系指</w:t>
            </w:r>
          </w:p>
          <w:p>
            <w:pPr>
              <w:pStyle w:val="TableParagraph"/>
              <w:spacing w:before="5"/>
              <w:ind w:left="106"/>
              <w:rPr>
                <w:sz w:val="15"/>
              </w:rPr>
            </w:pPr>
            <w:r>
              <w:rPr>
                <w:w w:val="100"/>
                <w:sz w:val="15"/>
              </w:rPr>
              <w:t>标</w:t>
            </w:r>
          </w:p>
        </w:tc>
        <w:tc>
          <w:tcPr>
            <w:tcW w:w="96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8"/>
              <w:rPr>
                <w:rFonts w:ascii="楷体"/>
                <w:sz w:val="13"/>
              </w:rPr>
            </w:pPr>
          </w:p>
          <w:p>
            <w:pPr>
              <w:pStyle w:val="TableParagraph"/>
              <w:ind w:left="103"/>
              <w:rPr>
                <w:sz w:val="15"/>
              </w:rPr>
            </w:pPr>
            <w:r>
              <w:rPr>
                <w:sz w:val="15"/>
              </w:rPr>
              <w:t>4.77/0.081</w:t>
            </w:r>
          </w:p>
        </w:tc>
        <w:tc>
          <w:tcPr>
            <w:tcW w:w="593"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8"/>
              <w:rPr>
                <w:rFonts w:ascii="楷体"/>
                <w:sz w:val="13"/>
              </w:rPr>
            </w:pPr>
          </w:p>
          <w:p>
            <w:pPr>
              <w:pStyle w:val="TableParagraph"/>
              <w:ind w:left="105"/>
              <w:rPr>
                <w:sz w:val="15"/>
              </w:rPr>
            </w:pPr>
            <w:r>
              <w:rPr>
                <w:sz w:val="15"/>
              </w:rPr>
              <w:t>0.197</w:t>
            </w: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49"/>
              <w:ind w:left="102"/>
              <w:rPr>
                <w:sz w:val="15"/>
              </w:rPr>
            </w:pPr>
            <w:r>
              <w:rPr>
                <w:sz w:val="15"/>
              </w:rPr>
              <w:t>服务产出指标考核</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59"/>
              <w:ind w:left="104"/>
              <w:rPr>
                <w:rFonts w:ascii="Times New Roman"/>
                <w:sz w:val="15"/>
              </w:rPr>
            </w:pPr>
            <w:r>
              <w:rPr>
                <w:rFonts w:ascii="Times New Roman"/>
                <w:sz w:val="15"/>
              </w:rPr>
              <w:t>4.89/0.082</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right="99"/>
              <w:jc w:val="right"/>
              <w:rPr>
                <w:rFonts w:ascii="Times New Roman"/>
                <w:sz w:val="15"/>
              </w:rPr>
            </w:pPr>
            <w:r>
              <w:rPr>
                <w:rFonts w:ascii="Times New Roman"/>
                <w:sz w:val="15"/>
              </w:rPr>
              <w:t>0.214</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left="83" w:right="83"/>
              <w:jc w:val="center"/>
              <w:rPr>
                <w:rFonts w:ascii="Times New Roman"/>
                <w:sz w:val="15"/>
              </w:rPr>
            </w:pPr>
            <w:r>
              <w:rPr>
                <w:rFonts w:ascii="Times New Roman"/>
                <w:sz w:val="15"/>
              </w:rPr>
              <w:t>0.018</w:t>
            </w:r>
          </w:p>
        </w:tc>
      </w:tr>
      <w:tr>
        <w:trPr>
          <w:trHeight w:val="314"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52"/>
              <w:ind w:left="102"/>
              <w:rPr>
                <w:sz w:val="15"/>
              </w:rPr>
            </w:pPr>
            <w:r>
              <w:rPr>
                <w:sz w:val="15"/>
              </w:rPr>
              <w:t>药学服务人员专业学术能力考核</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62"/>
              <w:ind w:left="104"/>
              <w:rPr>
                <w:rFonts w:ascii="Times New Roman"/>
                <w:sz w:val="15"/>
              </w:rPr>
            </w:pPr>
            <w:r>
              <w:rPr>
                <w:rFonts w:ascii="Times New Roman"/>
                <w:sz w:val="15"/>
              </w:rPr>
              <w:t>4.97/0.068</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right="99"/>
              <w:jc w:val="right"/>
              <w:rPr>
                <w:rFonts w:ascii="Times New Roman"/>
                <w:sz w:val="15"/>
              </w:rPr>
            </w:pPr>
            <w:r>
              <w:rPr>
                <w:rFonts w:ascii="Times New Roman"/>
                <w:sz w:val="15"/>
              </w:rPr>
              <w:t>0.482</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83" w:right="83"/>
              <w:jc w:val="center"/>
              <w:rPr>
                <w:rFonts w:ascii="Times New Roman"/>
                <w:sz w:val="15"/>
              </w:rPr>
            </w:pPr>
            <w:r>
              <w:rPr>
                <w:rFonts w:ascii="Times New Roman"/>
                <w:sz w:val="15"/>
              </w:rPr>
              <w:t>0.041</w:t>
            </w:r>
          </w:p>
        </w:tc>
      </w:tr>
      <w:tr>
        <w:trPr>
          <w:trHeight w:val="311"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49"/>
              <w:ind w:left="102"/>
              <w:rPr>
                <w:sz w:val="15"/>
              </w:rPr>
            </w:pPr>
            <w:r>
              <w:rPr>
                <w:sz w:val="15"/>
              </w:rPr>
              <w:t>服务收费制度</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59"/>
              <w:ind w:left="104"/>
              <w:rPr>
                <w:rFonts w:ascii="Times New Roman"/>
                <w:sz w:val="15"/>
              </w:rPr>
            </w:pPr>
            <w:r>
              <w:rPr>
                <w:rFonts w:ascii="Times New Roman"/>
                <w:sz w:val="15"/>
              </w:rPr>
              <w:t>4.37/0.107</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right="99"/>
              <w:jc w:val="right"/>
              <w:rPr>
                <w:rFonts w:ascii="Times New Roman"/>
                <w:sz w:val="15"/>
              </w:rPr>
            </w:pPr>
            <w:r>
              <w:rPr>
                <w:rFonts w:ascii="Times New Roman"/>
                <w:sz w:val="15"/>
              </w:rPr>
              <w:t>0.150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left="83" w:right="83"/>
              <w:jc w:val="center"/>
              <w:rPr>
                <w:rFonts w:ascii="Times New Roman"/>
                <w:sz w:val="15"/>
              </w:rPr>
            </w:pPr>
            <w:r>
              <w:rPr>
                <w:rFonts w:ascii="Times New Roman"/>
                <w:sz w:val="15"/>
              </w:rPr>
              <w:t>0.013</w:t>
            </w:r>
          </w:p>
        </w:tc>
      </w:tr>
      <w:tr>
        <w:trPr>
          <w:trHeight w:val="2464"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12"/>
              <w:rPr>
                <w:rFonts w:ascii="楷体"/>
                <w:sz w:val="17"/>
              </w:rPr>
            </w:pPr>
          </w:p>
          <w:p>
            <w:pPr>
              <w:pStyle w:val="TableParagraph"/>
              <w:ind w:left="102"/>
              <w:rPr>
                <w:sz w:val="15"/>
              </w:rPr>
            </w:pPr>
            <w:r>
              <w:rPr>
                <w:sz w:val="15"/>
              </w:rPr>
              <w:t>人员绩效与激励效果</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6"/>
              </w:rPr>
            </w:pPr>
          </w:p>
          <w:p>
            <w:pPr>
              <w:pStyle w:val="TableParagraph"/>
              <w:rPr>
                <w:rFonts w:ascii="楷体"/>
                <w:sz w:val="16"/>
              </w:rPr>
            </w:pPr>
          </w:p>
          <w:p>
            <w:pPr>
              <w:pStyle w:val="TableParagraph"/>
              <w:rPr>
                <w:rFonts w:ascii="楷体"/>
                <w:sz w:val="16"/>
              </w:rPr>
            </w:pPr>
          </w:p>
          <w:p>
            <w:pPr>
              <w:pStyle w:val="TableParagraph"/>
              <w:rPr>
                <w:rFonts w:ascii="楷体"/>
                <w:sz w:val="16"/>
              </w:rPr>
            </w:pPr>
          </w:p>
          <w:p>
            <w:pPr>
              <w:pStyle w:val="TableParagraph"/>
              <w:rPr>
                <w:rFonts w:ascii="楷体"/>
                <w:sz w:val="16"/>
              </w:rPr>
            </w:pPr>
          </w:p>
          <w:p>
            <w:pPr>
              <w:pStyle w:val="TableParagraph"/>
              <w:spacing w:before="112"/>
              <w:ind w:left="104"/>
              <w:rPr>
                <w:rFonts w:ascii="Times New Roman"/>
                <w:sz w:val="15"/>
              </w:rPr>
            </w:pPr>
            <w:r>
              <w:rPr>
                <w:rFonts w:ascii="Times New Roman"/>
                <w:sz w:val="15"/>
              </w:rPr>
              <w:t>4.92/0.059</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6"/>
              </w:rPr>
            </w:pPr>
          </w:p>
          <w:p>
            <w:pPr>
              <w:pStyle w:val="TableParagraph"/>
              <w:rPr>
                <w:rFonts w:ascii="楷体"/>
                <w:sz w:val="16"/>
              </w:rPr>
            </w:pPr>
          </w:p>
          <w:p>
            <w:pPr>
              <w:pStyle w:val="TableParagraph"/>
              <w:rPr>
                <w:rFonts w:ascii="楷体"/>
                <w:sz w:val="16"/>
              </w:rPr>
            </w:pPr>
          </w:p>
          <w:p>
            <w:pPr>
              <w:pStyle w:val="TableParagraph"/>
              <w:rPr>
                <w:rFonts w:ascii="楷体"/>
                <w:sz w:val="16"/>
              </w:rPr>
            </w:pPr>
          </w:p>
          <w:p>
            <w:pPr>
              <w:pStyle w:val="TableParagraph"/>
              <w:rPr>
                <w:rFonts w:ascii="楷体"/>
                <w:sz w:val="16"/>
              </w:rPr>
            </w:pPr>
          </w:p>
          <w:p>
            <w:pPr>
              <w:pStyle w:val="TableParagraph"/>
              <w:spacing w:before="112"/>
              <w:ind w:right="99"/>
              <w:jc w:val="right"/>
              <w:rPr>
                <w:rFonts w:ascii="Times New Roman"/>
                <w:sz w:val="15"/>
              </w:rPr>
            </w:pPr>
            <w:r>
              <w:rPr>
                <w:rFonts w:ascii="Times New Roman"/>
                <w:sz w:val="15"/>
              </w:rPr>
              <w:t>0.154</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6"/>
              </w:rPr>
            </w:pPr>
          </w:p>
          <w:p>
            <w:pPr>
              <w:pStyle w:val="TableParagraph"/>
              <w:rPr>
                <w:rFonts w:ascii="楷体"/>
                <w:sz w:val="16"/>
              </w:rPr>
            </w:pPr>
          </w:p>
          <w:p>
            <w:pPr>
              <w:pStyle w:val="TableParagraph"/>
              <w:rPr>
                <w:rFonts w:ascii="楷体"/>
                <w:sz w:val="16"/>
              </w:rPr>
            </w:pPr>
          </w:p>
          <w:p>
            <w:pPr>
              <w:pStyle w:val="TableParagraph"/>
              <w:rPr>
                <w:rFonts w:ascii="楷体"/>
                <w:sz w:val="16"/>
              </w:rPr>
            </w:pPr>
          </w:p>
          <w:p>
            <w:pPr>
              <w:pStyle w:val="TableParagraph"/>
              <w:rPr>
                <w:rFonts w:ascii="楷体"/>
                <w:sz w:val="16"/>
              </w:rPr>
            </w:pPr>
          </w:p>
          <w:p>
            <w:pPr>
              <w:pStyle w:val="TableParagraph"/>
              <w:spacing w:before="112"/>
              <w:ind w:left="83" w:right="83"/>
              <w:jc w:val="center"/>
              <w:rPr>
                <w:rFonts w:ascii="Times New Roman"/>
                <w:sz w:val="15"/>
              </w:rPr>
            </w:pPr>
            <w:r>
              <w:rPr>
                <w:rFonts w:ascii="Times New Roman"/>
                <w:sz w:val="15"/>
              </w:rPr>
              <w:t>0.013</w:t>
            </w:r>
          </w:p>
        </w:tc>
      </w:tr>
      <w:tr>
        <w:trPr>
          <w:trHeight w:val="314" w:hRule="atLeast"/>
        </w:trPr>
        <w:tc>
          <w:tcPr>
            <w:tcW w:w="368"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2"/>
              <w:rPr>
                <w:rFonts w:ascii="楷体"/>
                <w:sz w:val="14"/>
              </w:rPr>
            </w:pPr>
          </w:p>
          <w:p>
            <w:pPr>
              <w:pStyle w:val="TableParagraph"/>
              <w:spacing w:line="388" w:lineRule="auto"/>
              <w:ind w:left="108" w:right="96"/>
              <w:jc w:val="both"/>
              <w:rPr>
                <w:sz w:val="15"/>
              </w:rPr>
            </w:pPr>
            <w:r>
              <w:rPr>
                <w:sz w:val="15"/>
              </w:rPr>
              <w:t>过程指标</w:t>
            </w:r>
          </w:p>
        </w:tc>
        <w:tc>
          <w:tcPr>
            <w:tcW w:w="965"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112"/>
              <w:ind w:left="105"/>
              <w:rPr>
                <w:sz w:val="15"/>
              </w:rPr>
            </w:pPr>
            <w:r>
              <w:rPr>
                <w:sz w:val="15"/>
              </w:rPr>
              <w:t>4.92/0.065</w:t>
            </w:r>
          </w:p>
        </w:tc>
        <w:tc>
          <w:tcPr>
            <w:tcW w:w="59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112"/>
              <w:ind w:left="107"/>
              <w:rPr>
                <w:sz w:val="15"/>
              </w:rPr>
            </w:pPr>
            <w:r>
              <w:rPr>
                <w:sz w:val="15"/>
              </w:rPr>
              <w:t>0.224</w:t>
            </w:r>
          </w:p>
        </w:tc>
        <w:tc>
          <w:tcPr>
            <w:tcW w:w="36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388" w:lineRule="auto" w:before="52"/>
              <w:ind w:left="106" w:right="98"/>
              <w:jc w:val="both"/>
              <w:rPr>
                <w:sz w:val="15"/>
              </w:rPr>
            </w:pPr>
            <w:r>
              <w:rPr>
                <w:sz w:val="15"/>
              </w:rPr>
              <w:t>操作指导性指</w:t>
            </w:r>
          </w:p>
          <w:p>
            <w:pPr>
              <w:pStyle w:val="TableParagraph"/>
              <w:spacing w:before="4"/>
              <w:ind w:left="106"/>
              <w:rPr>
                <w:sz w:val="15"/>
              </w:rPr>
            </w:pPr>
            <w:r>
              <w:rPr>
                <w:w w:val="100"/>
                <w:sz w:val="15"/>
              </w:rPr>
              <w:t>标</w:t>
            </w:r>
          </w:p>
        </w:tc>
        <w:tc>
          <w:tcPr>
            <w:tcW w:w="96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91"/>
              <w:ind w:left="103"/>
              <w:rPr>
                <w:sz w:val="15"/>
              </w:rPr>
            </w:pPr>
            <w:r>
              <w:rPr>
                <w:sz w:val="15"/>
              </w:rPr>
              <w:t>4.95/0.104</w:t>
            </w:r>
          </w:p>
        </w:tc>
        <w:tc>
          <w:tcPr>
            <w:tcW w:w="593"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91"/>
              <w:ind w:left="105"/>
              <w:rPr>
                <w:sz w:val="15"/>
              </w:rPr>
            </w:pPr>
            <w:r>
              <w:rPr>
                <w:sz w:val="15"/>
              </w:rPr>
              <w:t>0.451</w:t>
            </w: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52"/>
              <w:ind w:left="102"/>
              <w:rPr>
                <w:sz w:val="15"/>
              </w:rPr>
            </w:pPr>
            <w:r>
              <w:rPr>
                <w:sz w:val="15"/>
              </w:rPr>
              <w:t>操作规程是否具体、明确，能够发挥指导作用</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62"/>
              <w:ind w:left="104"/>
              <w:rPr>
                <w:rFonts w:ascii="Times New Roman"/>
                <w:sz w:val="15"/>
              </w:rPr>
            </w:pPr>
            <w:r>
              <w:rPr>
                <w:rFonts w:ascii="Times New Roman"/>
                <w:sz w:val="15"/>
              </w:rPr>
              <w:t>4.97/0.032</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right="99"/>
              <w:jc w:val="right"/>
              <w:rPr>
                <w:rFonts w:ascii="Times New Roman"/>
                <w:sz w:val="15"/>
              </w:rPr>
            </w:pPr>
            <w:r>
              <w:rPr>
                <w:rFonts w:ascii="Times New Roman"/>
                <w:sz w:val="15"/>
              </w:rPr>
              <w:t>0.787</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83" w:right="83"/>
              <w:jc w:val="center"/>
              <w:rPr>
                <w:rFonts w:ascii="Times New Roman"/>
                <w:sz w:val="15"/>
              </w:rPr>
            </w:pPr>
            <w:r>
              <w:rPr>
                <w:rFonts w:ascii="Times New Roman"/>
                <w:sz w:val="15"/>
              </w:rPr>
              <w:t>0.079</w:t>
            </w:r>
          </w:p>
        </w:tc>
      </w:tr>
      <w:tr>
        <w:trPr>
          <w:trHeight w:val="1862"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2"/>
              <w:rPr>
                <w:rFonts w:ascii="楷体"/>
                <w:sz w:val="10"/>
              </w:rPr>
            </w:pPr>
          </w:p>
          <w:p>
            <w:pPr>
              <w:pStyle w:val="TableParagraph"/>
              <w:spacing w:line="388" w:lineRule="auto"/>
              <w:ind w:left="102" w:right="65"/>
              <w:rPr>
                <w:sz w:val="15"/>
              </w:rPr>
            </w:pPr>
            <w:r>
              <w:rPr>
                <w:sz w:val="15"/>
              </w:rPr>
              <w:t>操作规程逻辑是否形成闭环，可以指导该服务项目内全部常情形</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6"/>
              </w:rPr>
            </w:pPr>
          </w:p>
          <w:p>
            <w:pPr>
              <w:pStyle w:val="TableParagraph"/>
              <w:rPr>
                <w:rFonts w:ascii="楷体"/>
                <w:sz w:val="16"/>
              </w:rPr>
            </w:pPr>
          </w:p>
          <w:p>
            <w:pPr>
              <w:pStyle w:val="TableParagraph"/>
              <w:rPr>
                <w:rFonts w:ascii="楷体"/>
                <w:sz w:val="16"/>
              </w:rPr>
            </w:pPr>
          </w:p>
          <w:p>
            <w:pPr>
              <w:pStyle w:val="TableParagraph"/>
              <w:spacing w:before="2"/>
              <w:rPr>
                <w:rFonts w:ascii="楷体"/>
                <w:sz w:val="17"/>
              </w:rPr>
            </w:pPr>
          </w:p>
          <w:p>
            <w:pPr>
              <w:pStyle w:val="TableParagraph"/>
              <w:ind w:left="104"/>
              <w:rPr>
                <w:rFonts w:ascii="Times New Roman"/>
                <w:sz w:val="15"/>
              </w:rPr>
            </w:pPr>
            <w:r>
              <w:rPr>
                <w:rFonts w:ascii="Times New Roman"/>
                <w:sz w:val="15"/>
              </w:rPr>
              <w:t>4.75/0.062</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6"/>
              </w:rPr>
            </w:pPr>
          </w:p>
          <w:p>
            <w:pPr>
              <w:pStyle w:val="TableParagraph"/>
              <w:rPr>
                <w:rFonts w:ascii="楷体"/>
                <w:sz w:val="16"/>
              </w:rPr>
            </w:pPr>
          </w:p>
          <w:p>
            <w:pPr>
              <w:pStyle w:val="TableParagraph"/>
              <w:rPr>
                <w:rFonts w:ascii="楷体"/>
                <w:sz w:val="16"/>
              </w:rPr>
            </w:pPr>
          </w:p>
          <w:p>
            <w:pPr>
              <w:pStyle w:val="TableParagraph"/>
              <w:spacing w:before="2"/>
              <w:rPr>
                <w:rFonts w:ascii="楷体"/>
                <w:sz w:val="17"/>
              </w:rPr>
            </w:pPr>
          </w:p>
          <w:p>
            <w:pPr>
              <w:pStyle w:val="TableParagraph"/>
              <w:ind w:right="99"/>
              <w:jc w:val="right"/>
              <w:rPr>
                <w:rFonts w:ascii="Times New Roman"/>
                <w:sz w:val="15"/>
              </w:rPr>
            </w:pPr>
            <w:r>
              <w:rPr>
                <w:rFonts w:ascii="Times New Roman"/>
                <w:sz w:val="15"/>
              </w:rPr>
              <w:t>0.213</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6"/>
              </w:rPr>
            </w:pPr>
          </w:p>
          <w:p>
            <w:pPr>
              <w:pStyle w:val="TableParagraph"/>
              <w:rPr>
                <w:rFonts w:ascii="楷体"/>
                <w:sz w:val="16"/>
              </w:rPr>
            </w:pPr>
          </w:p>
          <w:p>
            <w:pPr>
              <w:pStyle w:val="TableParagraph"/>
              <w:rPr>
                <w:rFonts w:ascii="楷体"/>
                <w:sz w:val="16"/>
              </w:rPr>
            </w:pPr>
          </w:p>
          <w:p>
            <w:pPr>
              <w:pStyle w:val="TableParagraph"/>
              <w:spacing w:before="2"/>
              <w:rPr>
                <w:rFonts w:ascii="楷体"/>
                <w:sz w:val="17"/>
              </w:rPr>
            </w:pPr>
          </w:p>
          <w:p>
            <w:pPr>
              <w:pStyle w:val="TableParagraph"/>
              <w:ind w:left="83" w:right="83"/>
              <w:jc w:val="center"/>
              <w:rPr>
                <w:rFonts w:ascii="Times New Roman"/>
                <w:sz w:val="15"/>
              </w:rPr>
            </w:pPr>
            <w:r>
              <w:rPr>
                <w:rFonts w:ascii="Times New Roman"/>
                <w:sz w:val="15"/>
              </w:rPr>
              <w:t>0.022</w:t>
            </w:r>
          </w:p>
        </w:tc>
      </w:tr>
      <w:tr>
        <w:trPr>
          <w:trHeight w:val="311"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388" w:lineRule="auto" w:before="49"/>
              <w:ind w:left="106" w:right="98"/>
              <w:jc w:val="both"/>
              <w:rPr>
                <w:sz w:val="15"/>
              </w:rPr>
            </w:pPr>
            <w:r>
              <w:rPr>
                <w:sz w:val="15"/>
              </w:rPr>
              <w:t>药学服务数量</w:t>
            </w:r>
          </w:p>
          <w:p>
            <w:pPr>
              <w:pStyle w:val="TableParagraph"/>
              <w:spacing w:before="5"/>
              <w:ind w:left="106"/>
              <w:rPr>
                <w:sz w:val="15"/>
              </w:rPr>
            </w:pPr>
            <w:r>
              <w:rPr>
                <w:w w:val="100"/>
                <w:sz w:val="15"/>
              </w:rPr>
              <w:t>指</w:t>
            </w:r>
          </w:p>
        </w:tc>
        <w:tc>
          <w:tcPr>
            <w:tcW w:w="96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12"/>
              <w:rPr>
                <w:rFonts w:ascii="楷体"/>
                <w:sz w:val="20"/>
              </w:rPr>
            </w:pPr>
          </w:p>
          <w:p>
            <w:pPr>
              <w:pStyle w:val="TableParagraph"/>
              <w:ind w:left="103"/>
              <w:rPr>
                <w:sz w:val="15"/>
              </w:rPr>
            </w:pPr>
            <w:r>
              <w:rPr>
                <w:sz w:val="15"/>
              </w:rPr>
              <w:t>4.91/0.097</w:t>
            </w:r>
          </w:p>
        </w:tc>
        <w:tc>
          <w:tcPr>
            <w:tcW w:w="593"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12"/>
              <w:rPr>
                <w:rFonts w:ascii="楷体"/>
                <w:sz w:val="20"/>
              </w:rPr>
            </w:pPr>
          </w:p>
          <w:p>
            <w:pPr>
              <w:pStyle w:val="TableParagraph"/>
              <w:ind w:left="105"/>
              <w:rPr>
                <w:sz w:val="15"/>
              </w:rPr>
            </w:pPr>
            <w:r>
              <w:rPr>
                <w:sz w:val="15"/>
              </w:rPr>
              <w:t>0.233</w:t>
            </w: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49"/>
              <w:ind w:left="102"/>
              <w:rPr>
                <w:sz w:val="15"/>
              </w:rPr>
            </w:pPr>
            <w:r>
              <w:rPr>
                <w:sz w:val="15"/>
              </w:rPr>
              <w:t>医嘱审核次数</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59"/>
              <w:ind w:left="104"/>
              <w:rPr>
                <w:rFonts w:ascii="Times New Roman"/>
                <w:sz w:val="15"/>
              </w:rPr>
            </w:pPr>
            <w:r>
              <w:rPr>
                <w:rFonts w:ascii="Times New Roman"/>
                <w:sz w:val="15"/>
              </w:rPr>
              <w:t>4.95/0.047</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right="99"/>
              <w:jc w:val="right"/>
              <w:rPr>
                <w:rFonts w:ascii="Times New Roman"/>
                <w:sz w:val="15"/>
              </w:rPr>
            </w:pPr>
            <w:r>
              <w:rPr>
                <w:rFonts w:ascii="Times New Roman"/>
                <w:sz w:val="15"/>
              </w:rPr>
              <w:t>0.436</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left="83" w:right="83"/>
              <w:jc w:val="center"/>
              <w:rPr>
                <w:rFonts w:ascii="Times New Roman"/>
                <w:sz w:val="15"/>
              </w:rPr>
            </w:pPr>
            <w:r>
              <w:rPr>
                <w:rFonts w:ascii="Times New Roman"/>
                <w:sz w:val="15"/>
              </w:rPr>
              <w:t>0.023</w:t>
            </w:r>
          </w:p>
        </w:tc>
      </w:tr>
      <w:tr>
        <w:trPr>
          <w:trHeight w:val="311"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50"/>
              <w:ind w:left="102"/>
              <w:rPr>
                <w:sz w:val="15"/>
              </w:rPr>
            </w:pPr>
            <w:r>
              <w:rPr>
                <w:sz w:val="15"/>
              </w:rPr>
              <w:t>病例讨论次数</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59"/>
              <w:ind w:left="104"/>
              <w:rPr>
                <w:rFonts w:ascii="Times New Roman"/>
                <w:sz w:val="15"/>
              </w:rPr>
            </w:pPr>
            <w:r>
              <w:rPr>
                <w:rFonts w:ascii="Times New Roman"/>
                <w:sz w:val="15"/>
              </w:rPr>
              <w:t>4.93/0.046</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right="99"/>
              <w:jc w:val="right"/>
              <w:rPr>
                <w:rFonts w:ascii="Times New Roman"/>
                <w:sz w:val="15"/>
              </w:rPr>
            </w:pPr>
            <w:r>
              <w:rPr>
                <w:rFonts w:ascii="Times New Roman"/>
                <w:sz w:val="15"/>
              </w:rPr>
              <w:t>0.103</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left="83" w:right="83"/>
              <w:jc w:val="center"/>
              <w:rPr>
                <w:rFonts w:ascii="Times New Roman"/>
                <w:sz w:val="15"/>
              </w:rPr>
            </w:pPr>
            <w:r>
              <w:rPr>
                <w:rFonts w:ascii="Times New Roman"/>
                <w:sz w:val="15"/>
              </w:rPr>
              <w:t>0.005</w:t>
            </w:r>
          </w:p>
        </w:tc>
      </w:tr>
      <w:tr>
        <w:trPr>
          <w:trHeight w:val="311"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50"/>
              <w:ind w:left="102"/>
              <w:rPr>
                <w:sz w:val="15"/>
              </w:rPr>
            </w:pPr>
            <w:r>
              <w:rPr>
                <w:sz w:val="15"/>
              </w:rPr>
              <w:t>不良反应上报次数</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59"/>
              <w:ind w:left="104"/>
              <w:rPr>
                <w:rFonts w:ascii="Times New Roman"/>
                <w:sz w:val="15"/>
              </w:rPr>
            </w:pPr>
            <w:r>
              <w:rPr>
                <w:rFonts w:ascii="Times New Roman"/>
                <w:sz w:val="15"/>
              </w:rPr>
              <w:t>4.96/0.071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right="99"/>
              <w:jc w:val="right"/>
              <w:rPr>
                <w:rFonts w:ascii="Times New Roman"/>
                <w:sz w:val="15"/>
              </w:rPr>
            </w:pPr>
            <w:r>
              <w:rPr>
                <w:rFonts w:ascii="Times New Roman"/>
                <w:sz w:val="15"/>
              </w:rPr>
              <w:t>0.141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left="83" w:right="83"/>
              <w:jc w:val="center"/>
              <w:rPr>
                <w:rFonts w:ascii="Times New Roman"/>
                <w:sz w:val="15"/>
              </w:rPr>
            </w:pPr>
            <w:r>
              <w:rPr>
                <w:rFonts w:ascii="Times New Roman"/>
                <w:sz w:val="15"/>
              </w:rPr>
              <w:t>0.007</w:t>
            </w:r>
          </w:p>
        </w:tc>
      </w:tr>
      <w:tr>
        <w:trPr>
          <w:trHeight w:val="1218"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spacing w:before="3"/>
              <w:rPr>
                <w:rFonts w:ascii="楷体"/>
                <w:sz w:val="11"/>
              </w:rPr>
            </w:pPr>
          </w:p>
          <w:p>
            <w:pPr>
              <w:pStyle w:val="TableParagraph"/>
              <w:ind w:left="102"/>
              <w:rPr>
                <w:sz w:val="15"/>
              </w:rPr>
            </w:pPr>
            <w:r>
              <w:rPr>
                <w:sz w:val="15"/>
              </w:rPr>
              <w:t>发现不合理用药问题次数</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6"/>
              </w:rPr>
            </w:pPr>
          </w:p>
          <w:p>
            <w:pPr>
              <w:pStyle w:val="TableParagraph"/>
              <w:rPr>
                <w:rFonts w:ascii="楷体"/>
                <w:sz w:val="16"/>
              </w:rPr>
            </w:pPr>
          </w:p>
          <w:p>
            <w:pPr>
              <w:pStyle w:val="TableParagraph"/>
              <w:spacing w:before="103"/>
              <w:ind w:left="104"/>
              <w:rPr>
                <w:rFonts w:ascii="Times New Roman"/>
                <w:sz w:val="15"/>
              </w:rPr>
            </w:pPr>
            <w:r>
              <w:rPr>
                <w:rFonts w:ascii="Times New Roman"/>
                <w:sz w:val="15"/>
              </w:rPr>
              <w:t>4.88/0.082</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6"/>
              </w:rPr>
            </w:pPr>
          </w:p>
          <w:p>
            <w:pPr>
              <w:pStyle w:val="TableParagraph"/>
              <w:rPr>
                <w:rFonts w:ascii="楷体"/>
                <w:sz w:val="16"/>
              </w:rPr>
            </w:pPr>
          </w:p>
          <w:p>
            <w:pPr>
              <w:pStyle w:val="TableParagraph"/>
              <w:spacing w:before="103"/>
              <w:ind w:right="99"/>
              <w:jc w:val="right"/>
              <w:rPr>
                <w:rFonts w:ascii="Times New Roman"/>
                <w:sz w:val="15"/>
              </w:rPr>
            </w:pPr>
            <w:r>
              <w:rPr>
                <w:rFonts w:ascii="Times New Roman"/>
                <w:sz w:val="15"/>
              </w:rPr>
              <w:t>0.320</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6"/>
              </w:rPr>
            </w:pPr>
          </w:p>
          <w:p>
            <w:pPr>
              <w:pStyle w:val="TableParagraph"/>
              <w:rPr>
                <w:rFonts w:ascii="楷体"/>
                <w:sz w:val="16"/>
              </w:rPr>
            </w:pPr>
          </w:p>
          <w:p>
            <w:pPr>
              <w:pStyle w:val="TableParagraph"/>
              <w:spacing w:before="103"/>
              <w:ind w:left="83" w:right="83"/>
              <w:jc w:val="center"/>
              <w:rPr>
                <w:rFonts w:ascii="Times New Roman"/>
                <w:sz w:val="15"/>
              </w:rPr>
            </w:pPr>
            <w:r>
              <w:rPr>
                <w:rFonts w:ascii="Times New Roman"/>
                <w:sz w:val="15"/>
              </w:rPr>
              <w:t>0.017</w:t>
            </w:r>
          </w:p>
        </w:tc>
      </w:tr>
    </w:tbl>
    <w:p>
      <w:pPr>
        <w:spacing w:after="0"/>
        <w:jc w:val="center"/>
        <w:rPr>
          <w:rFonts w:ascii="Times New Roman"/>
          <w:sz w:val="15"/>
        </w:rPr>
        <w:sectPr>
          <w:headerReference w:type="default" r:id="rId12"/>
          <w:footerReference w:type="default" r:id="rId13"/>
          <w:pgSz w:w="11910" w:h="16850"/>
          <w:pgMar w:header="0" w:footer="527" w:top="1100" w:bottom="720" w:left="1040" w:right="900"/>
          <w:pgNumType w:start="13"/>
        </w:sectPr>
      </w:pPr>
    </w:p>
    <w:tbl>
      <w:tblPr>
        <w:tblW w:w="0" w:type="auto"/>
        <w:jc w:val="left"/>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68"/>
        <w:gridCol w:w="965"/>
        <w:gridCol w:w="591"/>
        <w:gridCol w:w="368"/>
        <w:gridCol w:w="966"/>
        <w:gridCol w:w="593"/>
        <w:gridCol w:w="3181"/>
        <w:gridCol w:w="1578"/>
        <w:gridCol w:w="555"/>
        <w:gridCol w:w="555"/>
      </w:tblGrid>
      <w:tr>
        <w:trPr>
          <w:trHeight w:val="308" w:hRule="atLeast"/>
        </w:trPr>
        <w:tc>
          <w:tcPr>
            <w:tcW w:w="368" w:type="dxa"/>
            <w:vMerge w:val="restart"/>
            <w:tcBorders>
              <w:left w:val="single" w:sz="4" w:space="0" w:color="000000"/>
              <w:bottom w:val="single" w:sz="4" w:space="0" w:color="000000"/>
              <w:right w:val="single" w:sz="4" w:space="0" w:color="000000"/>
            </w:tcBorders>
          </w:tcPr>
          <w:p>
            <w:pPr>
              <w:pStyle w:val="TableParagraph"/>
              <w:rPr>
                <w:rFonts w:ascii="Times New Roman"/>
                <w:sz w:val="20"/>
              </w:rPr>
            </w:pPr>
          </w:p>
        </w:tc>
        <w:tc>
          <w:tcPr>
            <w:tcW w:w="965" w:type="dxa"/>
            <w:vMerge w:val="restart"/>
            <w:tcBorders>
              <w:left w:val="single" w:sz="4" w:space="0" w:color="000000"/>
              <w:bottom w:val="single" w:sz="4" w:space="0" w:color="000000"/>
              <w:right w:val="single" w:sz="4" w:space="0" w:color="000000"/>
            </w:tcBorders>
          </w:tcPr>
          <w:p>
            <w:pPr>
              <w:pStyle w:val="TableParagraph"/>
              <w:rPr>
                <w:rFonts w:ascii="Times New Roman"/>
                <w:sz w:val="20"/>
              </w:rPr>
            </w:pPr>
          </w:p>
        </w:tc>
        <w:tc>
          <w:tcPr>
            <w:tcW w:w="591" w:type="dxa"/>
            <w:vMerge w:val="restart"/>
            <w:tcBorders>
              <w:left w:val="single" w:sz="4" w:space="0" w:color="000000"/>
              <w:bottom w:val="single" w:sz="4" w:space="0" w:color="000000"/>
              <w:right w:val="single" w:sz="4" w:space="0" w:color="000000"/>
            </w:tcBorders>
          </w:tcPr>
          <w:p>
            <w:pPr>
              <w:pStyle w:val="TableParagraph"/>
              <w:rPr>
                <w:rFonts w:ascii="Times New Roman"/>
                <w:sz w:val="20"/>
              </w:rPr>
            </w:pPr>
          </w:p>
        </w:tc>
        <w:tc>
          <w:tcPr>
            <w:tcW w:w="368" w:type="dxa"/>
            <w:tcBorders>
              <w:left w:val="single" w:sz="4" w:space="0" w:color="000000"/>
              <w:bottom w:val="single" w:sz="4" w:space="0" w:color="000000"/>
              <w:right w:val="single" w:sz="4" w:space="0" w:color="000000"/>
            </w:tcBorders>
          </w:tcPr>
          <w:p>
            <w:pPr>
              <w:pStyle w:val="TableParagraph"/>
              <w:spacing w:before="47"/>
              <w:ind w:left="106"/>
              <w:rPr>
                <w:sz w:val="15"/>
              </w:rPr>
            </w:pPr>
            <w:r>
              <w:rPr>
                <w:w w:val="100"/>
                <w:sz w:val="15"/>
              </w:rPr>
              <w:t>标</w:t>
            </w:r>
          </w:p>
        </w:tc>
        <w:tc>
          <w:tcPr>
            <w:tcW w:w="966"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593"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3181"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1578"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555" w:type="dxa"/>
            <w:tcBorders>
              <w:left w:val="single" w:sz="4" w:space="0" w:color="000000"/>
              <w:bottom w:val="single" w:sz="4" w:space="0" w:color="000000"/>
              <w:right w:val="single" w:sz="4" w:space="0" w:color="000000"/>
            </w:tcBorders>
          </w:tcPr>
          <w:p>
            <w:pPr>
              <w:pStyle w:val="TableParagraph"/>
              <w:rPr>
                <w:rFonts w:ascii="Times New Roman"/>
                <w:sz w:val="20"/>
              </w:rPr>
            </w:pPr>
          </w:p>
        </w:tc>
        <w:tc>
          <w:tcPr>
            <w:tcW w:w="555" w:type="dxa"/>
            <w:tcBorders>
              <w:left w:val="single" w:sz="4" w:space="0" w:color="000000"/>
              <w:bottom w:val="single" w:sz="4" w:space="0" w:color="000000"/>
              <w:right w:val="single" w:sz="4" w:space="0" w:color="000000"/>
            </w:tcBorders>
          </w:tcPr>
          <w:p>
            <w:pPr>
              <w:pStyle w:val="TableParagraph"/>
              <w:rPr>
                <w:rFonts w:ascii="Times New Roman"/>
                <w:sz w:val="20"/>
              </w:rPr>
            </w:pPr>
          </w:p>
        </w:tc>
      </w:tr>
      <w:tr>
        <w:trPr>
          <w:trHeight w:val="312"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388" w:lineRule="auto" w:before="50"/>
              <w:ind w:left="106" w:right="98"/>
              <w:jc w:val="both"/>
              <w:rPr>
                <w:sz w:val="15"/>
              </w:rPr>
            </w:pPr>
            <w:r>
              <w:rPr>
                <w:sz w:val="15"/>
              </w:rPr>
              <w:t>主观态度指</w:t>
            </w:r>
          </w:p>
          <w:p>
            <w:pPr>
              <w:pStyle w:val="TableParagraph"/>
              <w:spacing w:before="3"/>
              <w:ind w:left="106"/>
              <w:rPr>
                <w:sz w:val="15"/>
              </w:rPr>
            </w:pPr>
            <w:r>
              <w:rPr>
                <w:w w:val="100"/>
                <w:sz w:val="15"/>
              </w:rPr>
              <w:t>标</w:t>
            </w:r>
          </w:p>
        </w:tc>
        <w:tc>
          <w:tcPr>
            <w:tcW w:w="96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112"/>
              <w:ind w:left="103"/>
              <w:rPr>
                <w:sz w:val="15"/>
              </w:rPr>
            </w:pPr>
            <w:r>
              <w:rPr>
                <w:sz w:val="15"/>
              </w:rPr>
              <w:t>4.88/0.091</w:t>
            </w:r>
          </w:p>
        </w:tc>
        <w:tc>
          <w:tcPr>
            <w:tcW w:w="593"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112"/>
              <w:ind w:left="105"/>
              <w:rPr>
                <w:sz w:val="15"/>
              </w:rPr>
            </w:pPr>
            <w:r>
              <w:rPr>
                <w:sz w:val="15"/>
              </w:rPr>
              <w:t>0.316</w:t>
            </w: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50"/>
              <w:ind w:left="102"/>
              <w:rPr>
                <w:sz w:val="15"/>
              </w:rPr>
            </w:pPr>
            <w:r>
              <w:rPr>
                <w:sz w:val="15"/>
              </w:rPr>
              <w:t>医师是否明确了解药学服务的性质和内容</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60"/>
              <w:ind w:left="104"/>
              <w:rPr>
                <w:rFonts w:ascii="Times New Roman"/>
                <w:sz w:val="15"/>
              </w:rPr>
            </w:pPr>
            <w:r>
              <w:rPr>
                <w:rFonts w:ascii="Times New Roman"/>
                <w:sz w:val="15"/>
              </w:rPr>
              <w:t>4.97/0.041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right="99"/>
              <w:jc w:val="right"/>
              <w:rPr>
                <w:rFonts w:ascii="Times New Roman"/>
                <w:sz w:val="15"/>
              </w:rPr>
            </w:pPr>
            <w:r>
              <w:rPr>
                <w:rFonts w:ascii="Times New Roman"/>
                <w:sz w:val="15"/>
              </w:rPr>
              <w:t>0.231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0"/>
              <w:ind w:left="83" w:right="83"/>
              <w:jc w:val="center"/>
              <w:rPr>
                <w:rFonts w:ascii="Times New Roman"/>
                <w:sz w:val="15"/>
              </w:rPr>
            </w:pPr>
            <w:r>
              <w:rPr>
                <w:rFonts w:ascii="Times New Roman"/>
                <w:sz w:val="15"/>
              </w:rPr>
              <w:t>0.016</w:t>
            </w:r>
          </w:p>
        </w:tc>
      </w:tr>
      <w:tr>
        <w:trPr>
          <w:trHeight w:val="311"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50"/>
              <w:ind w:left="102"/>
              <w:rPr>
                <w:sz w:val="15"/>
              </w:rPr>
            </w:pPr>
            <w:r>
              <w:rPr>
                <w:sz w:val="15"/>
              </w:rPr>
              <w:t>医师是否认可药学服务人员的工作价值</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59"/>
              <w:ind w:left="104"/>
              <w:rPr>
                <w:rFonts w:ascii="Times New Roman"/>
                <w:sz w:val="15"/>
              </w:rPr>
            </w:pPr>
            <w:r>
              <w:rPr>
                <w:rFonts w:ascii="Times New Roman"/>
                <w:sz w:val="15"/>
              </w:rPr>
              <w:t>4.95/0.037</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right="99"/>
              <w:jc w:val="right"/>
              <w:rPr>
                <w:rFonts w:ascii="Times New Roman"/>
                <w:sz w:val="15"/>
              </w:rPr>
            </w:pPr>
            <w:r>
              <w:rPr>
                <w:rFonts w:ascii="Times New Roman"/>
                <w:sz w:val="15"/>
              </w:rPr>
              <w:t>0.462</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left="83" w:right="83"/>
              <w:jc w:val="center"/>
              <w:rPr>
                <w:rFonts w:ascii="Times New Roman"/>
                <w:sz w:val="15"/>
              </w:rPr>
            </w:pPr>
            <w:r>
              <w:rPr>
                <w:rFonts w:ascii="Times New Roman"/>
                <w:sz w:val="15"/>
              </w:rPr>
              <w:t>0.033</w:t>
            </w:r>
          </w:p>
        </w:tc>
      </w:tr>
      <w:tr>
        <w:trPr>
          <w:trHeight w:val="311"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50"/>
              <w:ind w:left="102"/>
              <w:rPr>
                <w:sz w:val="15"/>
              </w:rPr>
            </w:pPr>
            <w:r>
              <w:rPr>
                <w:sz w:val="15"/>
              </w:rPr>
              <w:t>医师接受药学服务人员用药建议的比例</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59"/>
              <w:ind w:left="104"/>
              <w:rPr>
                <w:rFonts w:ascii="Times New Roman"/>
                <w:sz w:val="15"/>
              </w:rPr>
            </w:pPr>
            <w:r>
              <w:rPr>
                <w:rFonts w:ascii="Times New Roman"/>
                <w:sz w:val="15"/>
              </w:rPr>
              <w:t>4.91/0.086</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right="99"/>
              <w:jc w:val="right"/>
              <w:rPr>
                <w:rFonts w:ascii="Times New Roman"/>
                <w:sz w:val="15"/>
              </w:rPr>
            </w:pPr>
            <w:r>
              <w:rPr>
                <w:rFonts w:ascii="Times New Roman"/>
                <w:sz w:val="15"/>
              </w:rPr>
              <w:t>0.103</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left="83" w:right="83"/>
              <w:jc w:val="center"/>
              <w:rPr>
                <w:rFonts w:ascii="Times New Roman"/>
                <w:sz w:val="15"/>
              </w:rPr>
            </w:pPr>
            <w:r>
              <w:rPr>
                <w:rFonts w:ascii="Times New Roman"/>
                <w:sz w:val="15"/>
              </w:rPr>
              <w:t>0.007</w:t>
            </w:r>
          </w:p>
        </w:tc>
      </w:tr>
      <w:tr>
        <w:trPr>
          <w:trHeight w:val="313"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52"/>
              <w:ind w:left="102"/>
              <w:rPr>
                <w:sz w:val="15"/>
              </w:rPr>
            </w:pPr>
            <w:r>
              <w:rPr>
                <w:sz w:val="15"/>
              </w:rPr>
              <w:t>患者是否明确了解药学服务的性质和内容</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62"/>
              <w:ind w:left="104"/>
              <w:rPr>
                <w:rFonts w:ascii="Times New Roman"/>
                <w:sz w:val="15"/>
              </w:rPr>
            </w:pPr>
            <w:r>
              <w:rPr>
                <w:rFonts w:ascii="Times New Roman"/>
                <w:sz w:val="15"/>
              </w:rPr>
              <w:t>4.90/0.077</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right="99"/>
              <w:jc w:val="right"/>
              <w:rPr>
                <w:rFonts w:ascii="Times New Roman"/>
                <w:sz w:val="15"/>
              </w:rPr>
            </w:pPr>
            <w:r>
              <w:rPr>
                <w:rFonts w:ascii="Times New Roman"/>
                <w:sz w:val="15"/>
              </w:rPr>
              <w:t>0.075</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83" w:right="83"/>
              <w:jc w:val="center"/>
              <w:rPr>
                <w:rFonts w:ascii="Times New Roman"/>
                <w:sz w:val="15"/>
              </w:rPr>
            </w:pPr>
            <w:r>
              <w:rPr>
                <w:rFonts w:ascii="Times New Roman"/>
                <w:sz w:val="15"/>
              </w:rPr>
              <w:t>0.005</w:t>
            </w:r>
          </w:p>
        </w:tc>
      </w:tr>
      <w:tr>
        <w:trPr>
          <w:trHeight w:val="582"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楷体"/>
                <w:sz w:val="14"/>
              </w:rPr>
            </w:pPr>
          </w:p>
          <w:p>
            <w:pPr>
              <w:pStyle w:val="TableParagraph"/>
              <w:spacing w:before="1"/>
              <w:ind w:left="102"/>
              <w:rPr>
                <w:sz w:val="15"/>
              </w:rPr>
            </w:pPr>
            <w:r>
              <w:rPr>
                <w:sz w:val="15"/>
              </w:rPr>
              <w:t>患者接受药学服务人员提供用药建议的比例</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楷体"/>
                <w:sz w:val="15"/>
              </w:rPr>
            </w:pPr>
          </w:p>
          <w:p>
            <w:pPr>
              <w:pStyle w:val="TableParagraph"/>
              <w:spacing w:before="1"/>
              <w:ind w:left="104"/>
              <w:rPr>
                <w:rFonts w:ascii="Times New Roman"/>
                <w:sz w:val="15"/>
              </w:rPr>
            </w:pPr>
            <w:r>
              <w:rPr>
                <w:rFonts w:ascii="Times New Roman"/>
                <w:sz w:val="15"/>
              </w:rPr>
              <w:t>4.36/0.052</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楷体"/>
                <w:sz w:val="15"/>
              </w:rPr>
            </w:pPr>
          </w:p>
          <w:p>
            <w:pPr>
              <w:pStyle w:val="TableParagraph"/>
              <w:spacing w:before="1"/>
              <w:ind w:right="99"/>
              <w:jc w:val="right"/>
              <w:rPr>
                <w:rFonts w:ascii="Times New Roman"/>
                <w:sz w:val="15"/>
              </w:rPr>
            </w:pPr>
            <w:r>
              <w:rPr>
                <w:rFonts w:ascii="Times New Roman"/>
                <w:sz w:val="15"/>
              </w:rPr>
              <w:t>0.129</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楷体"/>
                <w:sz w:val="15"/>
              </w:rPr>
            </w:pPr>
          </w:p>
          <w:p>
            <w:pPr>
              <w:pStyle w:val="TableParagraph"/>
              <w:spacing w:before="1"/>
              <w:ind w:left="83" w:right="83"/>
              <w:jc w:val="center"/>
              <w:rPr>
                <w:rFonts w:ascii="Times New Roman"/>
                <w:sz w:val="15"/>
              </w:rPr>
            </w:pPr>
            <w:r>
              <w:rPr>
                <w:rFonts w:ascii="Times New Roman"/>
                <w:sz w:val="15"/>
              </w:rPr>
              <w:t>0.009</w:t>
            </w:r>
          </w:p>
        </w:tc>
      </w:tr>
      <w:tr>
        <w:trPr>
          <w:trHeight w:val="311" w:hRule="atLeast"/>
        </w:trPr>
        <w:tc>
          <w:tcPr>
            <w:tcW w:w="368"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line="388" w:lineRule="auto" w:before="1"/>
              <w:ind w:left="108" w:right="96"/>
              <w:jc w:val="both"/>
              <w:rPr>
                <w:sz w:val="15"/>
              </w:rPr>
            </w:pPr>
            <w:r>
              <w:rPr>
                <w:sz w:val="15"/>
              </w:rPr>
              <w:t>结果指标</w:t>
            </w:r>
          </w:p>
        </w:tc>
        <w:tc>
          <w:tcPr>
            <w:tcW w:w="965"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110"/>
              <w:ind w:left="105"/>
              <w:rPr>
                <w:sz w:val="15"/>
              </w:rPr>
            </w:pPr>
            <w:r>
              <w:rPr>
                <w:sz w:val="15"/>
              </w:rPr>
              <w:t>4.37/0.118</w:t>
            </w:r>
          </w:p>
        </w:tc>
        <w:tc>
          <w:tcPr>
            <w:tcW w:w="59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110"/>
              <w:ind w:left="107"/>
              <w:rPr>
                <w:sz w:val="15"/>
              </w:rPr>
            </w:pPr>
            <w:r>
              <w:rPr>
                <w:sz w:val="15"/>
              </w:rPr>
              <w:t>0.345</w:t>
            </w:r>
          </w:p>
        </w:tc>
        <w:tc>
          <w:tcPr>
            <w:tcW w:w="36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388" w:lineRule="auto" w:before="50"/>
              <w:ind w:left="106" w:right="98"/>
              <w:jc w:val="both"/>
              <w:rPr>
                <w:sz w:val="15"/>
              </w:rPr>
            </w:pPr>
            <w:r>
              <w:rPr>
                <w:sz w:val="15"/>
              </w:rPr>
              <w:t>药品费用指</w:t>
            </w:r>
          </w:p>
          <w:p>
            <w:pPr>
              <w:pStyle w:val="TableParagraph"/>
              <w:spacing w:before="3"/>
              <w:ind w:left="106"/>
              <w:rPr>
                <w:sz w:val="15"/>
              </w:rPr>
            </w:pPr>
            <w:r>
              <w:rPr>
                <w:w w:val="100"/>
                <w:sz w:val="15"/>
              </w:rPr>
              <w:t>标</w:t>
            </w:r>
          </w:p>
        </w:tc>
        <w:tc>
          <w:tcPr>
            <w:tcW w:w="96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112"/>
              <w:ind w:left="103"/>
              <w:rPr>
                <w:sz w:val="15"/>
              </w:rPr>
            </w:pPr>
            <w:r>
              <w:rPr>
                <w:sz w:val="15"/>
              </w:rPr>
              <w:t>4.52/0.064</w:t>
            </w:r>
          </w:p>
        </w:tc>
        <w:tc>
          <w:tcPr>
            <w:tcW w:w="593"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112"/>
              <w:ind w:left="105"/>
              <w:rPr>
                <w:sz w:val="15"/>
              </w:rPr>
            </w:pPr>
            <w:r>
              <w:rPr>
                <w:sz w:val="15"/>
              </w:rPr>
              <w:t>0.394</w:t>
            </w: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50"/>
              <w:ind w:left="102"/>
              <w:rPr>
                <w:sz w:val="15"/>
              </w:rPr>
            </w:pPr>
            <w:r>
              <w:rPr>
                <w:sz w:val="15"/>
              </w:rPr>
              <w:t>次均诊疗治疗费</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59"/>
              <w:ind w:left="104"/>
              <w:rPr>
                <w:rFonts w:ascii="Times New Roman"/>
                <w:sz w:val="15"/>
              </w:rPr>
            </w:pPr>
            <w:r>
              <w:rPr>
                <w:rFonts w:ascii="Times New Roman"/>
                <w:sz w:val="15"/>
              </w:rPr>
              <w:t>4.64/0.082</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right="99"/>
              <w:jc w:val="right"/>
              <w:rPr>
                <w:rFonts w:ascii="Times New Roman"/>
                <w:sz w:val="15"/>
              </w:rPr>
            </w:pPr>
            <w:r>
              <w:rPr>
                <w:rFonts w:ascii="Times New Roman"/>
                <w:sz w:val="15"/>
              </w:rPr>
              <w:t>0.168</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left="83" w:right="83"/>
              <w:jc w:val="center"/>
              <w:rPr>
                <w:rFonts w:ascii="Times New Roman"/>
                <w:sz w:val="15"/>
              </w:rPr>
            </w:pPr>
            <w:r>
              <w:rPr>
                <w:rFonts w:ascii="Times New Roman"/>
                <w:sz w:val="15"/>
              </w:rPr>
              <w:t>0.023</w:t>
            </w:r>
          </w:p>
        </w:tc>
      </w:tr>
      <w:tr>
        <w:trPr>
          <w:trHeight w:val="311"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50"/>
              <w:ind w:left="102"/>
              <w:rPr>
                <w:sz w:val="15"/>
              </w:rPr>
            </w:pPr>
            <w:r>
              <w:rPr>
                <w:sz w:val="15"/>
              </w:rPr>
              <w:t>平均处方金额</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59"/>
              <w:ind w:left="104"/>
              <w:rPr>
                <w:rFonts w:ascii="Times New Roman"/>
                <w:sz w:val="15"/>
              </w:rPr>
            </w:pPr>
            <w:r>
              <w:rPr>
                <w:rFonts w:ascii="Times New Roman"/>
                <w:sz w:val="15"/>
              </w:rPr>
              <w:t>4.39/0.094</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right="99"/>
              <w:jc w:val="right"/>
              <w:rPr>
                <w:rFonts w:ascii="Times New Roman"/>
                <w:sz w:val="15"/>
              </w:rPr>
            </w:pPr>
            <w:r>
              <w:rPr>
                <w:rFonts w:ascii="Times New Roman"/>
                <w:sz w:val="15"/>
              </w:rPr>
              <w:t>0.351</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left="83" w:right="83"/>
              <w:jc w:val="center"/>
              <w:rPr>
                <w:rFonts w:ascii="Times New Roman"/>
                <w:sz w:val="15"/>
              </w:rPr>
            </w:pPr>
            <w:r>
              <w:rPr>
                <w:rFonts w:ascii="Times New Roman"/>
                <w:sz w:val="15"/>
              </w:rPr>
              <w:t>0.048</w:t>
            </w:r>
          </w:p>
        </w:tc>
      </w:tr>
      <w:tr>
        <w:trPr>
          <w:trHeight w:val="313"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52"/>
              <w:ind w:left="102"/>
              <w:rPr>
                <w:sz w:val="15"/>
              </w:rPr>
            </w:pPr>
            <w:r>
              <w:rPr>
                <w:sz w:val="15"/>
              </w:rPr>
              <w:t>各病种例均总费用</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62"/>
              <w:ind w:left="104"/>
              <w:rPr>
                <w:rFonts w:ascii="Times New Roman"/>
                <w:sz w:val="15"/>
              </w:rPr>
            </w:pPr>
            <w:r>
              <w:rPr>
                <w:rFonts w:ascii="Times New Roman"/>
                <w:sz w:val="15"/>
              </w:rPr>
              <w:t>4.59/0.105</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right="99"/>
              <w:jc w:val="right"/>
              <w:rPr>
                <w:rFonts w:ascii="Times New Roman"/>
                <w:sz w:val="15"/>
              </w:rPr>
            </w:pPr>
            <w:r>
              <w:rPr>
                <w:rFonts w:ascii="Times New Roman"/>
                <w:sz w:val="15"/>
              </w:rPr>
              <w:t>0.142</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83" w:right="83"/>
              <w:jc w:val="center"/>
              <w:rPr>
                <w:rFonts w:ascii="Times New Roman"/>
                <w:sz w:val="15"/>
              </w:rPr>
            </w:pPr>
            <w:r>
              <w:rPr>
                <w:rFonts w:ascii="Times New Roman"/>
                <w:sz w:val="15"/>
              </w:rPr>
              <w:t>0.019</w:t>
            </w:r>
          </w:p>
        </w:tc>
      </w:tr>
      <w:tr>
        <w:trPr>
          <w:trHeight w:val="905"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spacing w:before="12"/>
              <w:rPr>
                <w:rFonts w:ascii="楷体"/>
                <w:sz w:val="12"/>
              </w:rPr>
            </w:pPr>
          </w:p>
          <w:p>
            <w:pPr>
              <w:pStyle w:val="TableParagraph"/>
              <w:ind w:left="102"/>
              <w:rPr>
                <w:sz w:val="15"/>
              </w:rPr>
            </w:pPr>
            <w:r>
              <w:rPr>
                <w:sz w:val="15"/>
              </w:rPr>
              <w:t>单病种例均药费占比</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6"/>
              </w:rPr>
            </w:pPr>
          </w:p>
          <w:p>
            <w:pPr>
              <w:pStyle w:val="TableParagraph"/>
              <w:spacing w:before="9"/>
              <w:rPr>
                <w:rFonts w:ascii="楷体"/>
                <w:sz w:val="11"/>
              </w:rPr>
            </w:pPr>
          </w:p>
          <w:p>
            <w:pPr>
              <w:pStyle w:val="TableParagraph"/>
              <w:ind w:left="104"/>
              <w:rPr>
                <w:rFonts w:ascii="Times New Roman"/>
                <w:sz w:val="15"/>
              </w:rPr>
            </w:pPr>
            <w:r>
              <w:rPr>
                <w:rFonts w:ascii="Times New Roman"/>
                <w:sz w:val="15"/>
              </w:rPr>
              <w:t>4.58/0.074</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6"/>
              </w:rPr>
            </w:pPr>
          </w:p>
          <w:p>
            <w:pPr>
              <w:pStyle w:val="TableParagraph"/>
              <w:spacing w:before="9"/>
              <w:rPr>
                <w:rFonts w:ascii="楷体"/>
                <w:sz w:val="11"/>
              </w:rPr>
            </w:pPr>
          </w:p>
          <w:p>
            <w:pPr>
              <w:pStyle w:val="TableParagraph"/>
              <w:ind w:right="99"/>
              <w:jc w:val="right"/>
              <w:rPr>
                <w:rFonts w:ascii="Times New Roman"/>
                <w:sz w:val="15"/>
              </w:rPr>
            </w:pPr>
            <w:r>
              <w:rPr>
                <w:rFonts w:ascii="Times New Roman"/>
                <w:sz w:val="15"/>
              </w:rPr>
              <w:t>0.339</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6"/>
              </w:rPr>
            </w:pPr>
          </w:p>
          <w:p>
            <w:pPr>
              <w:pStyle w:val="TableParagraph"/>
              <w:spacing w:before="9"/>
              <w:rPr>
                <w:rFonts w:ascii="楷体"/>
                <w:sz w:val="11"/>
              </w:rPr>
            </w:pPr>
          </w:p>
          <w:p>
            <w:pPr>
              <w:pStyle w:val="TableParagraph"/>
              <w:ind w:left="83" w:right="83"/>
              <w:jc w:val="center"/>
              <w:rPr>
                <w:rFonts w:ascii="Times New Roman"/>
                <w:sz w:val="15"/>
              </w:rPr>
            </w:pPr>
            <w:r>
              <w:rPr>
                <w:rFonts w:ascii="Times New Roman"/>
                <w:sz w:val="15"/>
              </w:rPr>
              <w:t>0.046</w:t>
            </w:r>
          </w:p>
        </w:tc>
      </w:tr>
      <w:tr>
        <w:trPr>
          <w:trHeight w:val="311"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388" w:lineRule="auto" w:before="49"/>
              <w:ind w:left="106" w:right="98"/>
              <w:jc w:val="both"/>
              <w:rPr>
                <w:sz w:val="15"/>
              </w:rPr>
            </w:pPr>
            <w:r>
              <w:rPr>
                <w:sz w:val="15"/>
              </w:rPr>
              <w:t>医疗服务质量指</w:t>
            </w:r>
          </w:p>
          <w:p>
            <w:pPr>
              <w:pStyle w:val="TableParagraph"/>
              <w:spacing w:before="5"/>
              <w:ind w:left="106"/>
              <w:rPr>
                <w:sz w:val="15"/>
              </w:rPr>
            </w:pPr>
            <w:r>
              <w:rPr>
                <w:w w:val="100"/>
                <w:sz w:val="15"/>
              </w:rPr>
              <w:t>标</w:t>
            </w:r>
          </w:p>
        </w:tc>
        <w:tc>
          <w:tcPr>
            <w:tcW w:w="966"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1"/>
              <w:rPr>
                <w:rFonts w:ascii="楷体"/>
                <w:sz w:val="19"/>
              </w:rPr>
            </w:pPr>
          </w:p>
          <w:p>
            <w:pPr>
              <w:pStyle w:val="TableParagraph"/>
              <w:ind w:left="103"/>
              <w:rPr>
                <w:sz w:val="15"/>
              </w:rPr>
            </w:pPr>
            <w:r>
              <w:rPr>
                <w:sz w:val="15"/>
              </w:rPr>
              <w:t>4.13/0.127</w:t>
            </w:r>
          </w:p>
        </w:tc>
        <w:tc>
          <w:tcPr>
            <w:tcW w:w="593"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rPr>
                <w:rFonts w:ascii="楷体"/>
                <w:sz w:val="14"/>
              </w:rPr>
            </w:pPr>
          </w:p>
          <w:p>
            <w:pPr>
              <w:pStyle w:val="TableParagraph"/>
              <w:spacing w:before="1"/>
              <w:rPr>
                <w:rFonts w:ascii="楷体"/>
                <w:sz w:val="19"/>
              </w:rPr>
            </w:pPr>
          </w:p>
          <w:p>
            <w:pPr>
              <w:pStyle w:val="TableParagraph"/>
              <w:ind w:left="105"/>
              <w:rPr>
                <w:sz w:val="15"/>
              </w:rPr>
            </w:pPr>
            <w:r>
              <w:rPr>
                <w:sz w:val="15"/>
              </w:rPr>
              <w:t>0.606</w:t>
            </w: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49"/>
              <w:ind w:left="102"/>
              <w:rPr>
                <w:sz w:val="15"/>
              </w:rPr>
            </w:pPr>
            <w:r>
              <w:rPr>
                <w:sz w:val="15"/>
              </w:rPr>
              <w:t>抗菌药物使用率</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59"/>
              <w:ind w:left="104"/>
              <w:rPr>
                <w:rFonts w:ascii="Times New Roman"/>
                <w:sz w:val="15"/>
              </w:rPr>
            </w:pPr>
            <w:r>
              <w:rPr>
                <w:rFonts w:ascii="Times New Roman"/>
                <w:sz w:val="15"/>
              </w:rPr>
              <w:t>4.82/0.079</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right="99"/>
              <w:jc w:val="right"/>
              <w:rPr>
                <w:rFonts w:ascii="Times New Roman"/>
                <w:sz w:val="15"/>
              </w:rPr>
            </w:pPr>
            <w:r>
              <w:rPr>
                <w:rFonts w:ascii="Times New Roman"/>
                <w:sz w:val="15"/>
              </w:rPr>
              <w:t>0.309</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left="83" w:right="83"/>
              <w:jc w:val="center"/>
              <w:rPr>
                <w:rFonts w:ascii="Times New Roman"/>
                <w:sz w:val="15"/>
              </w:rPr>
            </w:pPr>
            <w:r>
              <w:rPr>
                <w:rFonts w:ascii="Times New Roman"/>
                <w:sz w:val="15"/>
              </w:rPr>
              <w:t>0.065</w:t>
            </w:r>
          </w:p>
        </w:tc>
      </w:tr>
      <w:tr>
        <w:trPr>
          <w:trHeight w:val="314"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52"/>
              <w:ind w:left="102"/>
              <w:rPr>
                <w:sz w:val="15"/>
              </w:rPr>
            </w:pPr>
            <w:r>
              <w:rPr>
                <w:sz w:val="15"/>
              </w:rPr>
              <w:t>感染发生率</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62"/>
              <w:ind w:left="104"/>
              <w:rPr>
                <w:rFonts w:ascii="Times New Roman"/>
                <w:sz w:val="15"/>
              </w:rPr>
            </w:pPr>
            <w:r>
              <w:rPr>
                <w:rFonts w:ascii="Times New Roman"/>
                <w:sz w:val="15"/>
              </w:rPr>
              <w:t>4.18/0.215</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right="99"/>
              <w:jc w:val="right"/>
              <w:rPr>
                <w:rFonts w:ascii="Times New Roman"/>
                <w:sz w:val="15"/>
              </w:rPr>
            </w:pPr>
            <w:r>
              <w:rPr>
                <w:rFonts w:ascii="Times New Roman"/>
                <w:sz w:val="15"/>
              </w:rPr>
              <w:t>0.214</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62"/>
              <w:ind w:left="83" w:right="83"/>
              <w:jc w:val="center"/>
              <w:rPr>
                <w:rFonts w:ascii="Times New Roman"/>
                <w:sz w:val="15"/>
              </w:rPr>
            </w:pPr>
            <w:r>
              <w:rPr>
                <w:rFonts w:ascii="Times New Roman"/>
                <w:sz w:val="15"/>
              </w:rPr>
              <w:t>0.045</w:t>
            </w:r>
          </w:p>
        </w:tc>
      </w:tr>
      <w:tr>
        <w:trPr>
          <w:trHeight w:val="311"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50"/>
              <w:ind w:left="102"/>
              <w:rPr>
                <w:sz w:val="15"/>
              </w:rPr>
            </w:pPr>
            <w:r>
              <w:rPr>
                <w:sz w:val="15"/>
              </w:rPr>
              <w:t>治愈率</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59"/>
              <w:ind w:left="104"/>
              <w:rPr>
                <w:rFonts w:ascii="Times New Roman"/>
                <w:sz w:val="15"/>
              </w:rPr>
            </w:pPr>
            <w:r>
              <w:rPr>
                <w:rFonts w:ascii="Times New Roman"/>
                <w:sz w:val="15"/>
              </w:rPr>
              <w:t>4.67/0.135</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right="99"/>
              <w:jc w:val="right"/>
              <w:rPr>
                <w:rFonts w:ascii="Times New Roman"/>
                <w:sz w:val="15"/>
              </w:rPr>
            </w:pPr>
            <w:r>
              <w:rPr>
                <w:rFonts w:ascii="Times New Roman"/>
                <w:sz w:val="15"/>
              </w:rPr>
              <w:t>0.105</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left="83" w:right="83"/>
              <w:jc w:val="center"/>
              <w:rPr>
                <w:rFonts w:ascii="Times New Roman"/>
                <w:sz w:val="15"/>
              </w:rPr>
            </w:pPr>
            <w:r>
              <w:rPr>
                <w:rFonts w:ascii="Times New Roman"/>
                <w:sz w:val="15"/>
              </w:rPr>
              <w:t>0.022</w:t>
            </w:r>
          </w:p>
        </w:tc>
      </w:tr>
      <w:tr>
        <w:trPr>
          <w:trHeight w:val="311"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spacing w:before="49"/>
              <w:ind w:left="102"/>
              <w:rPr>
                <w:sz w:val="15"/>
              </w:rPr>
            </w:pPr>
            <w:r>
              <w:rPr>
                <w:sz w:val="15"/>
              </w:rPr>
              <w:t>药物不良反应发生率</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before="59"/>
              <w:ind w:left="104"/>
              <w:rPr>
                <w:rFonts w:ascii="Times New Roman"/>
                <w:sz w:val="15"/>
              </w:rPr>
            </w:pPr>
            <w:r>
              <w:rPr>
                <w:rFonts w:ascii="Times New Roman"/>
                <w:sz w:val="15"/>
              </w:rPr>
              <w:t>4.06/0.237</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right="99"/>
              <w:jc w:val="right"/>
              <w:rPr>
                <w:rFonts w:ascii="Times New Roman"/>
                <w:sz w:val="15"/>
              </w:rPr>
            </w:pPr>
            <w:r>
              <w:rPr>
                <w:rFonts w:ascii="Times New Roman"/>
                <w:sz w:val="15"/>
              </w:rPr>
              <w:t>0.245</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spacing w:before="59"/>
              <w:ind w:left="83" w:right="83"/>
              <w:jc w:val="center"/>
              <w:rPr>
                <w:rFonts w:ascii="Times New Roman"/>
                <w:sz w:val="15"/>
              </w:rPr>
            </w:pPr>
            <w:r>
              <w:rPr>
                <w:rFonts w:ascii="Times New Roman"/>
                <w:sz w:val="15"/>
              </w:rPr>
              <w:t>0.051</w:t>
            </w:r>
          </w:p>
        </w:tc>
      </w:tr>
      <w:tr>
        <w:trPr>
          <w:trHeight w:val="1209" w:hRule="atLeast"/>
        </w:trPr>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5" w:type="dxa"/>
            <w:vMerge/>
            <w:tcBorders>
              <w:top w:val="nil"/>
              <w:left w:val="single" w:sz="4" w:space="0" w:color="000000"/>
              <w:bottom w:val="single" w:sz="4" w:space="0" w:color="000000"/>
              <w:right w:val="single" w:sz="4" w:space="0" w:color="000000"/>
            </w:tcBorders>
          </w:tcPr>
          <w:p>
            <w:pPr>
              <w:rPr>
                <w:sz w:val="2"/>
                <w:szCs w:val="2"/>
              </w:rPr>
            </w:pPr>
          </w:p>
        </w:tc>
        <w:tc>
          <w:tcPr>
            <w:tcW w:w="591" w:type="dxa"/>
            <w:vMerge/>
            <w:tcBorders>
              <w:top w:val="nil"/>
              <w:left w:val="single" w:sz="4" w:space="0" w:color="000000"/>
              <w:bottom w:val="single" w:sz="4" w:space="0" w:color="000000"/>
              <w:right w:val="single" w:sz="4" w:space="0" w:color="000000"/>
            </w:tcBorders>
          </w:tcPr>
          <w:p>
            <w:pPr>
              <w:rPr>
                <w:sz w:val="2"/>
                <w:szCs w:val="2"/>
              </w:rPr>
            </w:pPr>
          </w:p>
        </w:tc>
        <w:tc>
          <w:tcPr>
            <w:tcW w:w="368" w:type="dxa"/>
            <w:vMerge/>
            <w:tcBorders>
              <w:top w:val="nil"/>
              <w:left w:val="single" w:sz="4" w:space="0" w:color="000000"/>
              <w:bottom w:val="single" w:sz="4" w:space="0" w:color="000000"/>
              <w:right w:val="single" w:sz="4" w:space="0" w:color="000000"/>
            </w:tcBorders>
          </w:tcPr>
          <w:p>
            <w:pPr>
              <w:rPr>
                <w:sz w:val="2"/>
                <w:szCs w:val="2"/>
              </w:rPr>
            </w:pPr>
          </w:p>
        </w:tc>
        <w:tc>
          <w:tcPr>
            <w:tcW w:w="966" w:type="dxa"/>
            <w:vMerge/>
            <w:tcBorders>
              <w:top w:val="nil"/>
              <w:left w:val="single" w:sz="4" w:space="0" w:color="000000"/>
              <w:bottom w:val="single" w:sz="4" w:space="0" w:color="000000"/>
              <w:right w:val="single" w:sz="4" w:space="0" w:color="000000"/>
            </w:tcBorders>
          </w:tcPr>
          <w:p>
            <w:pPr>
              <w:rPr>
                <w:sz w:val="2"/>
                <w:szCs w:val="2"/>
              </w:rPr>
            </w:pPr>
          </w:p>
        </w:tc>
        <w:tc>
          <w:tcPr>
            <w:tcW w:w="593" w:type="dxa"/>
            <w:vMerge/>
            <w:tcBorders>
              <w:top w:val="nil"/>
              <w:left w:val="single" w:sz="4" w:space="0" w:color="000000"/>
              <w:bottom w:val="single" w:sz="4" w:space="0" w:color="000000"/>
              <w:right w:val="single" w:sz="4" w:space="0" w:color="000000"/>
            </w:tcBorders>
          </w:tcPr>
          <w:p>
            <w:pPr>
              <w:rPr>
                <w:sz w:val="2"/>
                <w:szCs w:val="2"/>
              </w:rPr>
            </w:pPr>
          </w:p>
        </w:tc>
        <w:tc>
          <w:tcPr>
            <w:tcW w:w="3181"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4"/>
              </w:rPr>
            </w:pPr>
          </w:p>
          <w:p>
            <w:pPr>
              <w:pStyle w:val="TableParagraph"/>
              <w:rPr>
                <w:rFonts w:ascii="楷体"/>
                <w:sz w:val="14"/>
              </w:rPr>
            </w:pPr>
          </w:p>
          <w:p>
            <w:pPr>
              <w:pStyle w:val="TableParagraph"/>
              <w:spacing w:before="11"/>
              <w:rPr>
                <w:rFonts w:ascii="楷体"/>
                <w:sz w:val="10"/>
              </w:rPr>
            </w:pPr>
          </w:p>
          <w:p>
            <w:pPr>
              <w:pStyle w:val="TableParagraph"/>
              <w:ind w:left="102"/>
              <w:rPr>
                <w:sz w:val="15"/>
              </w:rPr>
            </w:pPr>
            <w:r>
              <w:rPr>
                <w:sz w:val="15"/>
              </w:rPr>
              <w:t>患者满意度</w:t>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6"/>
              </w:rPr>
            </w:pPr>
          </w:p>
          <w:p>
            <w:pPr>
              <w:pStyle w:val="TableParagraph"/>
              <w:spacing w:before="8"/>
              <w:rPr>
                <w:rFonts w:ascii="楷体"/>
                <w:sz w:val="23"/>
              </w:rPr>
            </w:pPr>
          </w:p>
          <w:p>
            <w:pPr>
              <w:pStyle w:val="TableParagraph"/>
              <w:spacing w:before="1"/>
              <w:ind w:left="824"/>
              <w:rPr>
                <w:rFonts w:ascii="Times New Roman"/>
                <w:sz w:val="15"/>
              </w:rPr>
            </w:pPr>
            <w:r>
              <w:rPr>
                <w:rFonts w:ascii="Times New Roman"/>
                <w:sz w:val="15"/>
              </w:rPr>
              <w:t>4.02/0.148</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6"/>
              </w:rPr>
            </w:pPr>
          </w:p>
          <w:p>
            <w:pPr>
              <w:pStyle w:val="TableParagraph"/>
              <w:spacing w:before="8"/>
              <w:rPr>
                <w:rFonts w:ascii="楷体"/>
                <w:sz w:val="23"/>
              </w:rPr>
            </w:pPr>
          </w:p>
          <w:p>
            <w:pPr>
              <w:pStyle w:val="TableParagraph"/>
              <w:spacing w:before="1"/>
              <w:ind w:right="99"/>
              <w:jc w:val="right"/>
              <w:rPr>
                <w:rFonts w:ascii="Times New Roman"/>
                <w:sz w:val="15"/>
              </w:rPr>
            </w:pPr>
            <w:r>
              <w:rPr>
                <w:rFonts w:ascii="Times New Roman"/>
                <w:sz w:val="15"/>
              </w:rPr>
              <w:t>0.127</w:t>
            </w:r>
          </w:p>
        </w:tc>
        <w:tc>
          <w:tcPr>
            <w:tcW w:w="555" w:type="dxa"/>
            <w:tcBorders>
              <w:top w:val="single" w:sz="4" w:space="0" w:color="000000"/>
              <w:left w:val="single" w:sz="4" w:space="0" w:color="000000"/>
              <w:bottom w:val="single" w:sz="4" w:space="0" w:color="000000"/>
              <w:right w:val="single" w:sz="4" w:space="0" w:color="000000"/>
            </w:tcBorders>
          </w:tcPr>
          <w:p>
            <w:pPr>
              <w:pStyle w:val="TableParagraph"/>
              <w:rPr>
                <w:rFonts w:ascii="楷体"/>
                <w:sz w:val="16"/>
              </w:rPr>
            </w:pPr>
          </w:p>
          <w:p>
            <w:pPr>
              <w:pStyle w:val="TableParagraph"/>
              <w:spacing w:before="8"/>
              <w:rPr>
                <w:rFonts w:ascii="楷体"/>
                <w:sz w:val="23"/>
              </w:rPr>
            </w:pPr>
          </w:p>
          <w:p>
            <w:pPr>
              <w:pStyle w:val="TableParagraph"/>
              <w:spacing w:before="1"/>
              <w:ind w:left="83" w:right="83"/>
              <w:jc w:val="center"/>
              <w:rPr>
                <w:rFonts w:ascii="Times New Roman"/>
                <w:sz w:val="15"/>
              </w:rPr>
            </w:pPr>
            <w:r>
              <w:rPr>
                <w:rFonts w:ascii="Times New Roman"/>
                <w:sz w:val="15"/>
              </w:rPr>
              <w:t>0.027</w:t>
            </w:r>
          </w:p>
        </w:tc>
      </w:tr>
    </w:tbl>
    <w:p>
      <w:pPr>
        <w:spacing w:after="0"/>
        <w:jc w:val="center"/>
        <w:rPr>
          <w:rFonts w:ascii="Times New Roman"/>
          <w:sz w:val="15"/>
        </w:rPr>
        <w:sectPr>
          <w:headerReference w:type="default" r:id="rId14"/>
          <w:footerReference w:type="default" r:id="rId15"/>
          <w:pgSz w:w="11910" w:h="16850"/>
          <w:pgMar w:header="0" w:footer="527" w:top="1100" w:bottom="720" w:left="1040" w:right="900"/>
          <w:pgNumType w:start="14"/>
        </w:sectPr>
      </w:pPr>
    </w:p>
    <w:p>
      <w:pPr>
        <w:pStyle w:val="Heading3"/>
        <w:spacing w:before="10"/>
        <w:rPr>
          <w:rFonts w:ascii="Meiryo" w:eastAsia="Meiryo" w:hint="eastAsia"/>
        </w:rPr>
      </w:pPr>
      <w:r>
        <w:rPr>
          <w:rFonts w:ascii="Meiryo" w:eastAsia="Meiryo" w:hint="eastAsia"/>
          <w:color w:val="0033CC"/>
        </w:rPr>
        <w:t>[返回目次]</w:t>
      </w:r>
    </w:p>
    <w:p>
      <w:pPr>
        <w:pStyle w:val="BodyText"/>
        <w:ind w:left="0"/>
        <w:rPr>
          <w:rFonts w:ascii="Meiryo"/>
          <w:b/>
        </w:rPr>
      </w:pPr>
    </w:p>
    <w:p>
      <w:pPr>
        <w:pStyle w:val="BodyText"/>
        <w:spacing w:before="15"/>
        <w:ind w:left="0"/>
        <w:rPr>
          <w:rFonts w:ascii="Meiryo"/>
          <w:b/>
          <w:sz w:val="19"/>
        </w:rPr>
      </w:pPr>
    </w:p>
    <w:p>
      <w:pPr>
        <w:spacing w:before="0"/>
        <w:ind w:left="237" w:right="0" w:firstLine="0"/>
        <w:jc w:val="left"/>
        <w:rPr>
          <w:b/>
          <w:sz w:val="32"/>
        </w:rPr>
      </w:pPr>
      <w:r>
        <w:rPr>
          <w:b/>
          <w:sz w:val="32"/>
        </w:rPr>
        <w:t>【研究进展】</w:t>
      </w:r>
    </w:p>
    <w:p>
      <w:pPr>
        <w:spacing w:before="461"/>
        <w:ind w:left="1059" w:right="0" w:firstLine="0"/>
        <w:jc w:val="center"/>
        <w:rPr>
          <w:rFonts w:ascii="华文宋体" w:eastAsia="华文宋体" w:hint="eastAsia"/>
          <w:b/>
          <w:sz w:val="44"/>
        </w:rPr>
      </w:pPr>
      <w:r>
        <w:rPr/>
        <w:br w:type="column"/>
      </w:r>
      <w:r>
        <w:rPr>
          <w:rFonts w:ascii="Times New Roman" w:eastAsia="Times New Roman"/>
          <w:b/>
          <w:color w:val="008000"/>
          <w:spacing w:val="-110"/>
          <w:w w:val="99"/>
          <w:sz w:val="44"/>
          <w:u w:val="thick" w:color="008000"/>
        </w:rPr>
        <w:t> </w:t>
      </w:r>
      <w:r>
        <w:rPr>
          <w:rFonts w:ascii="华文宋体" w:eastAsia="华文宋体" w:hint="eastAsia"/>
          <w:b/>
          <w:color w:val="008000"/>
          <w:sz w:val="44"/>
          <w:u w:val="thick" w:color="008000"/>
        </w:rPr>
        <w:t>医药前沿</w:t>
      </w:r>
    </w:p>
    <w:p>
      <w:pPr>
        <w:pStyle w:val="BodyText"/>
        <w:spacing w:before="16"/>
        <w:ind w:left="0"/>
        <w:rPr>
          <w:rFonts w:ascii="华文宋体"/>
          <w:b/>
          <w:sz w:val="42"/>
        </w:rPr>
      </w:pPr>
    </w:p>
    <w:p>
      <w:pPr>
        <w:pStyle w:val="BodyText"/>
        <w:ind w:left="17"/>
        <w:jc w:val="center"/>
      </w:pPr>
      <w:r>
        <w:rPr/>
        <w:t>《新英格兰医学杂志》刊登屠呦呦团队研究成果——</w:t>
      </w:r>
    </w:p>
    <w:p>
      <w:pPr>
        <w:pStyle w:val="Heading2"/>
        <w:spacing w:before="150"/>
        <w:ind w:left="20"/>
        <w:jc w:val="center"/>
      </w:pPr>
      <w:r>
        <w:rPr/>
        <w:t>青蒿素抗药性有了应对方案</w:t>
      </w:r>
    </w:p>
    <w:p>
      <w:pPr>
        <w:pStyle w:val="BodyText"/>
        <w:ind w:left="0"/>
        <w:rPr>
          <w:b/>
        </w:rPr>
      </w:pPr>
      <w:r>
        <w:rPr/>
        <w:br w:type="column"/>
      </w:r>
      <w:r>
        <w:rPr>
          <w:b/>
        </w:rPr>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5"/>
        <w:ind w:left="0"/>
        <w:rPr>
          <w:b/>
          <w:sz w:val="34"/>
        </w:rPr>
      </w:pPr>
    </w:p>
    <w:p>
      <w:pPr>
        <w:pStyle w:val="Heading3"/>
        <w:ind w:left="22"/>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900"/>
          <w:cols w:num="3" w:equalWidth="0">
            <w:col w:w="2167" w:space="40"/>
            <w:col w:w="5539" w:space="39"/>
            <w:col w:w="2185"/>
          </w:cols>
        </w:sectPr>
      </w:pPr>
    </w:p>
    <w:p>
      <w:pPr>
        <w:pStyle w:val="BodyText"/>
        <w:spacing w:line="297" w:lineRule="auto" w:before="96"/>
        <w:ind w:right="227" w:firstLine="480"/>
      </w:pPr>
      <w:r>
        <w:rPr>
          <w:spacing w:val="-11"/>
        </w:rPr>
        <w:t>日前，中国中医科学院终身研究员屠呦呦团队的研究成果刊登于国际权威期刊《新英格</w:t>
      </w:r>
      <w:r>
        <w:rPr/>
        <w:t>兰医学杂志》，提出了切实可行的“青蒿素抗药性”的合理应对方案。</w:t>
      </w:r>
    </w:p>
    <w:p>
      <w:pPr>
        <w:pStyle w:val="BodyText"/>
        <w:spacing w:line="297" w:lineRule="auto"/>
        <w:ind w:right="227" w:firstLine="480"/>
        <w:jc w:val="both"/>
      </w:pPr>
      <w:r>
        <w:rPr>
          <w:spacing w:val="-9"/>
        </w:rPr>
        <w:t>青蒿最早记载于《神农本草经》，在《肘后备急方》中明确了对疟疾的治疗作用，自古</w:t>
      </w:r>
      <w:r>
        <w:rPr>
          <w:spacing w:val="-1"/>
        </w:rPr>
        <w:t>以来便被我国先民应用于疟疾治疗。</w:t>
      </w:r>
      <w:r>
        <w:rPr/>
        <w:t>20</w:t>
      </w:r>
      <w:r>
        <w:rPr>
          <w:spacing w:val="-30"/>
        </w:rPr>
        <w:t> 世纪 </w:t>
      </w:r>
      <w:r>
        <w:rPr/>
        <w:t>70</w:t>
      </w:r>
      <w:r>
        <w:rPr>
          <w:spacing w:val="-11"/>
        </w:rPr>
        <w:t> 年代，屠呦呦研究员及其研究团队从《肘后</w:t>
      </w:r>
      <w:r>
        <w:rPr>
          <w:spacing w:val="-10"/>
        </w:rPr>
        <w:t>备急方》所记载的“青蒿一握，以水二升渍，绞取汁，尽服之”中得到启发，成功发现青蒿素。自此青蒿素作为一线的抗疟药物，成功治愈了无数的疟疾患者。但令人担忧的是，目前</w:t>
      </w:r>
      <w:r>
        <w:rPr>
          <w:spacing w:val="-16"/>
        </w:rPr>
        <w:t>疟疾疫区已经出现了青蒿素耐药迹象。青蒿素抗药性的问题是大湄公河次区域及非洲部分地</w:t>
      </w:r>
      <w:r>
        <w:rPr>
          <w:spacing w:val="-9"/>
        </w:rPr>
        <w:t>区所面临的公共卫生难题，屠呦呦对此特别关心，曾在诺贝尔奖获奖演讲中强调相关研究的</w:t>
      </w:r>
      <w:r>
        <w:rPr/>
        <w:t>重要性和急迫性。</w:t>
      </w:r>
    </w:p>
    <w:p>
      <w:pPr>
        <w:pStyle w:val="BodyText"/>
        <w:spacing w:line="297" w:lineRule="auto"/>
        <w:ind w:right="127" w:firstLine="480"/>
        <w:jc w:val="both"/>
      </w:pPr>
      <w:r>
        <w:rPr>
          <w:spacing w:val="-6"/>
        </w:rPr>
        <w:t>该研究成果由屠呦呦研究员指导团队完成，第一作者是中国中医科学院青蒿素研究中心</w:t>
      </w:r>
      <w:r>
        <w:rPr>
          <w:spacing w:val="-11"/>
        </w:rPr>
        <w:t>和中药研究所特聘专家王继刚研究员。他们认为，要正确认识“青蒿素抗药性”现象，必须</w:t>
      </w:r>
      <w:r>
        <w:rPr>
          <w:spacing w:val="-12"/>
        </w:rPr>
        <w:t>先了解青蒿素的作用机理。与一般药物不同，青蒿素需要被激活才能发挥作用。研究表明，</w:t>
      </w:r>
    </w:p>
    <w:p>
      <w:pPr>
        <w:spacing w:after="0" w:line="297" w:lineRule="auto"/>
        <w:jc w:val="both"/>
        <w:sectPr>
          <w:type w:val="continuous"/>
          <w:pgSz w:w="11910" w:h="16850"/>
          <w:pgMar w:top="1100" w:bottom="1020" w:left="1040" w:right="900"/>
        </w:sectPr>
      </w:pPr>
    </w:p>
    <w:p>
      <w:pPr>
        <w:pStyle w:val="BodyText"/>
        <w:spacing w:line="295" w:lineRule="auto" w:before="65"/>
        <w:ind w:right="227"/>
        <w:jc w:val="both"/>
      </w:pPr>
      <w:r>
        <w:rPr>
          <w:spacing w:val="-6"/>
        </w:rPr>
        <w:t>红细胞中的血红素是青蒿素高效且特异的激活剂。当疟原虫在人体内大量破坏红细胞时，会</w:t>
      </w:r>
      <w:r>
        <w:rPr>
          <w:spacing w:val="-10"/>
        </w:rPr>
        <w:t>释放出极高浓度的血红素，这样青蒿素就会在疟原虫代谢旺盛的生命周期被激活并与疟原虫</w:t>
      </w:r>
      <w:r>
        <w:rPr/>
        <w:t>体内的蛋白结合，致使其失去活性，进而杀死疟原虫。</w:t>
      </w:r>
    </w:p>
    <w:p>
      <w:pPr>
        <w:pStyle w:val="BodyText"/>
        <w:spacing w:line="297" w:lineRule="auto" w:before="5"/>
        <w:ind w:right="228" w:firstLine="480"/>
        <w:jc w:val="both"/>
      </w:pPr>
      <w:r>
        <w:rPr>
          <w:spacing w:val="-11"/>
        </w:rPr>
        <w:t>与此相对应的是，正常红细胞中的血红素由于被牢牢地结合在血红蛋白中而无法激活青蒿素。因此，青蒿素对于正常细胞的毒副作用非常小。也就是说，疟原虫噬血的本性使其不</w:t>
      </w:r>
      <w:r>
        <w:rPr>
          <w:spacing w:val="-8"/>
        </w:rPr>
        <w:t>可避免地成为青蒿素攻击的目标。这样的作用模式使疟原虫通过突变个别靶蛋白产生抗药性</w:t>
      </w:r>
      <w:r>
        <w:rPr/>
        <w:t>变得非常困难。这也是青蒿素在广泛使用多年后并未出现完全抗药性的原因。</w:t>
      </w:r>
    </w:p>
    <w:p>
      <w:pPr>
        <w:pStyle w:val="BodyText"/>
        <w:spacing w:line="297" w:lineRule="auto"/>
        <w:ind w:right="227" w:firstLine="480"/>
        <w:jc w:val="both"/>
      </w:pPr>
      <w:r>
        <w:rPr>
          <w:spacing w:val="-3"/>
        </w:rPr>
        <w:t>研究指出，青蒿素在人体内半衰期短，仅有 </w:t>
      </w:r>
      <w:r>
        <w:rPr/>
        <w:t>1～2</w:t>
      </w:r>
      <w:r>
        <w:rPr>
          <w:spacing w:val="-8"/>
        </w:rPr>
        <w:t> 小时，临床上推荐采用的青蒿素联用</w:t>
      </w:r>
      <w:r>
        <w:rPr>
          <w:spacing w:val="-16"/>
        </w:rPr>
        <w:t>疗法疗程只有 </w:t>
      </w:r>
      <w:r>
        <w:rPr/>
        <w:t>3</w:t>
      </w:r>
      <w:r>
        <w:rPr>
          <w:spacing w:val="-11"/>
        </w:rPr>
        <w:t> 天，因此青蒿素真正高效的杀虫窗口只有有限的 </w:t>
      </w:r>
      <w:r>
        <w:rPr/>
        <w:t>4～8</w:t>
      </w:r>
      <w:r>
        <w:rPr>
          <w:spacing w:val="-8"/>
        </w:rPr>
        <w:t> 小时。而现有的耐药</w:t>
      </w:r>
      <w:r>
        <w:rPr>
          <w:spacing w:val="-14"/>
        </w:rPr>
        <w:t>虫株则利用青蒿素半衰期短的特性，降低青蒿素激活程度来减轻药物压力。一旦耐药虫株进</w:t>
      </w:r>
      <w:r>
        <w:rPr>
          <w:spacing w:val="-5"/>
        </w:rPr>
        <w:t>入滋养体时期，就能够被青蒿素快速高效的杀灭。</w:t>
      </w:r>
      <w:r>
        <w:rPr/>
        <w:t>3</w:t>
      </w:r>
      <w:r>
        <w:rPr>
          <w:spacing w:val="-9"/>
        </w:rPr>
        <w:t> 天的青蒿素联用疗法对耐药虫株疗效不</w:t>
      </w:r>
      <w:r>
        <w:rPr/>
        <w:t>佳，但是延长用药时间，疟疾还是能够被治愈。</w:t>
      </w:r>
    </w:p>
    <w:p>
      <w:pPr>
        <w:pStyle w:val="BodyText"/>
        <w:spacing w:line="295" w:lineRule="auto"/>
        <w:ind w:right="227" w:firstLine="480"/>
        <w:jc w:val="both"/>
      </w:pPr>
      <w:r>
        <w:rPr>
          <w:spacing w:val="-8"/>
        </w:rPr>
        <w:t>现有的“青蒿素抗药性”现象，可能不在青蒿上，而是青蒿素联用疗法中的辅助药物发</w:t>
      </w:r>
      <w:r>
        <w:rPr>
          <w:spacing w:val="-11"/>
        </w:rPr>
        <w:t>生了抗药性。针对这种情况，王继刚和屠呦呦研究员通过调整现有的治疗方案，适当延长用</w:t>
      </w:r>
      <w:r>
        <w:rPr/>
        <w:t>药时间，有效解决了现有的青蒿素抗药性问题。</w:t>
      </w:r>
    </w:p>
    <w:p>
      <w:pPr>
        <w:pStyle w:val="BodyText"/>
        <w:spacing w:line="297" w:lineRule="auto"/>
        <w:ind w:right="125" w:firstLine="480"/>
      </w:pPr>
      <w:r>
        <w:rPr>
          <w:spacing w:val="-1"/>
        </w:rPr>
        <w:t>“任何好的药物如果不能被所需要的人服用，就失去了药物本身的价值。”屠呦呦说， </w:t>
      </w:r>
      <w:r>
        <w:rPr>
          <w:spacing w:val="-8"/>
        </w:rPr>
        <w:t>青蒿素成本低廉，一个疗程仅需几美元。而疟疾疫区主要集中在发展中国家及非洲地区，开发高效低廉的药物是有效遏制疟疾扩散和根除疟疾的关键。纵观现有的全新抗疟药物的研 </w:t>
      </w:r>
      <w:r>
        <w:rPr>
          <w:spacing w:val="-10"/>
        </w:rPr>
        <w:t>发，还未有任何潜在的药物能够像青蒿素那样高效和安全。即使有新药开发成功，药物开发的成本不可避免地会反映在药价上。</w:t>
      </w:r>
    </w:p>
    <w:p>
      <w:pPr>
        <w:pStyle w:val="BodyText"/>
        <w:spacing w:line="297" w:lineRule="auto"/>
        <w:ind w:right="228" w:firstLine="480"/>
      </w:pPr>
      <w:r>
        <w:rPr>
          <w:spacing w:val="-10"/>
        </w:rPr>
        <w:t>“目前，青蒿素仍然是人类治愈疟疾的唯一选择。”王继刚和屠呦呦研究员认为，在临</w:t>
      </w:r>
      <w:r>
        <w:rPr/>
        <w:t>床中优化用药方案并用好青蒿素，完全有希望控制好现有的青蒿素抗药性现象。</w:t>
      </w:r>
    </w:p>
    <w:p>
      <w:pPr>
        <w:pStyle w:val="BodyText"/>
        <w:spacing w:line="278" w:lineRule="auto"/>
        <w:ind w:right="226" w:firstLine="480"/>
        <w:jc w:val="both"/>
        <w:rPr>
          <w:rFonts w:ascii="Meiryo" w:hAnsi="Meiryo" w:eastAsia="Meiryo" w:hint="eastAsia"/>
          <w:b/>
        </w:rPr>
      </w:pPr>
      <w:r>
        <w:rPr>
          <w:spacing w:val="-5"/>
        </w:rPr>
        <w:t>“这是迄今为止中医药学科领域成果发表在杂志上影响因子最高的文章。中医药一系列</w:t>
      </w:r>
      <w:r>
        <w:rPr>
          <w:spacing w:val="-7"/>
        </w:rPr>
        <w:t>成果在权威医学杂志上刊登，代表国际医疗界对我国中医药研究成果的关注和认可。”中国</w:t>
      </w:r>
      <w:r>
        <w:rPr/>
        <w:t>中医科学院中药研究所所长陈士林说。</w:t>
      </w:r>
      <w:r>
        <w:rPr>
          <w:rFonts w:ascii="Meiryo" w:hAnsi="Meiryo" w:eastAsia="Meiryo" w:hint="eastAsia"/>
          <w:b/>
          <w:color w:val="0033CC"/>
        </w:rPr>
        <w:t>[返回目次]</w:t>
      </w:r>
    </w:p>
    <w:p>
      <w:pPr>
        <w:spacing w:after="0" w:line="278" w:lineRule="auto"/>
        <w:jc w:val="both"/>
        <w:rPr>
          <w:rFonts w:ascii="Meiryo" w:hAnsi="Meiryo" w:eastAsia="Meiryo" w:hint="eastAsia"/>
        </w:rPr>
        <w:sectPr>
          <w:headerReference w:type="default" r:id="rId16"/>
          <w:footerReference w:type="default" r:id="rId17"/>
          <w:pgSz w:w="11910" w:h="16850"/>
          <w:pgMar w:header="906" w:footer="607" w:top="1100" w:bottom="800" w:left="1040" w:right="900"/>
          <w:pgNumType w:start="15"/>
        </w:sectPr>
      </w:pPr>
    </w:p>
    <w:p>
      <w:pPr>
        <w:pStyle w:val="Heading2"/>
        <w:spacing w:before="104"/>
        <w:ind w:left="3218"/>
      </w:pPr>
      <w:bookmarkStart w:name="_TOC_250023" w:id="1"/>
      <w:bookmarkEnd w:id="1"/>
      <w:r>
        <w:rPr>
          <w:spacing w:val="-2"/>
        </w:rPr>
        <w:t>中国抗癌新药获国际关注</w:t>
      </w:r>
    </w:p>
    <w:p>
      <w:pPr>
        <w:pStyle w:val="BodyText"/>
        <w:ind w:left="0"/>
        <w:rPr>
          <w:b/>
        </w:rPr>
      </w:pPr>
      <w:r>
        <w:rPr/>
        <w:br w:type="column"/>
      </w:r>
      <w:r>
        <w:rPr>
          <w:b/>
        </w:rPr>
      </w:r>
    </w:p>
    <w:p>
      <w:pPr>
        <w:pStyle w:val="BodyText"/>
        <w:spacing w:before="6"/>
        <w:ind w:left="0"/>
        <w:rPr>
          <w:b/>
          <w:sz w:val="27"/>
        </w:rPr>
      </w:pPr>
    </w:p>
    <w:p>
      <w:pPr>
        <w:pStyle w:val="Heading3"/>
        <w:ind w:left="101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900"/>
          <w:cols w:num="2" w:equalWidth="0">
            <w:col w:w="6750" w:space="40"/>
            <w:col w:w="3180"/>
          </w:cols>
        </w:sectPr>
      </w:pPr>
    </w:p>
    <w:p>
      <w:pPr>
        <w:pStyle w:val="BodyText"/>
        <w:spacing w:line="297" w:lineRule="auto" w:before="98"/>
        <w:ind w:right="227" w:firstLine="480"/>
        <w:jc w:val="both"/>
      </w:pPr>
      <w:r>
        <w:rPr/>
        <w:t>近日，2019</w:t>
      </w:r>
      <w:r>
        <w:rPr>
          <w:spacing w:val="-8"/>
        </w:rPr>
        <w:t> 年美国癌症研究协会</w:t>
      </w:r>
      <w:r>
        <w:rPr/>
        <w:t>（AACR）年会在美国亚特兰大召开，上海交通大学附</w:t>
      </w:r>
      <w:r>
        <w:rPr>
          <w:spacing w:val="-3"/>
        </w:rPr>
        <w:t>属胸科医院肿瘤科主任陆舜教授口头报告了《沃利替尼治疗 </w:t>
      </w:r>
      <w:r>
        <w:rPr/>
        <w:t>MET</w:t>
      </w:r>
      <w:r>
        <w:rPr>
          <w:spacing w:val="-24"/>
        </w:rPr>
        <w:t> 外显子 </w:t>
      </w:r>
      <w:r>
        <w:rPr/>
        <w:t>14</w:t>
      </w:r>
      <w:r>
        <w:rPr>
          <w:spacing w:val="-8"/>
        </w:rPr>
        <w:t> 跳变的肺肉瘤样</w:t>
      </w:r>
      <w:r>
        <w:rPr>
          <w:spacing w:val="-17"/>
        </w:rPr>
        <w:t>癌</w:t>
      </w:r>
      <w:r>
        <w:rPr>
          <w:spacing w:val="-4"/>
        </w:rPr>
        <w:t>（PSC）</w:t>
      </w:r>
      <w:r>
        <w:rPr>
          <w:spacing w:val="-2"/>
        </w:rPr>
        <w:t>及其他类型非小细胞肺癌</w:t>
      </w:r>
      <w:r>
        <w:rPr>
          <w:spacing w:val="-3"/>
        </w:rPr>
        <w:t>（NSCLC）</w:t>
      </w:r>
      <w:r>
        <w:rPr>
          <w:spacing w:val="-6"/>
        </w:rPr>
        <w:t>的研究结果》。该研究中首批患者缓解率高达</w:t>
      </w:r>
      <w:r>
        <w:rPr/>
        <w:t>55%</w:t>
      </w:r>
      <w:r>
        <w:rPr>
          <w:spacing w:val="-3"/>
        </w:rPr>
        <w:t>。据悉，这是中国创新药物临床研究首次登上 </w:t>
      </w:r>
      <w:r>
        <w:rPr/>
        <w:t>AACR</w:t>
      </w:r>
      <w:r>
        <w:rPr>
          <w:spacing w:val="-15"/>
        </w:rPr>
        <w:t> 讲台。</w:t>
      </w:r>
    </w:p>
    <w:p>
      <w:pPr>
        <w:pStyle w:val="BodyText"/>
        <w:spacing w:line="295" w:lineRule="auto"/>
        <w:ind w:right="306" w:firstLine="480"/>
        <w:jc w:val="both"/>
      </w:pPr>
      <w:r>
        <w:rPr/>
        <w:t>据了解，MET</w:t>
      </w:r>
      <w:r>
        <w:rPr>
          <w:spacing w:val="-25"/>
        </w:rPr>
        <w:t> 外显子 </w:t>
      </w:r>
      <w:r>
        <w:rPr/>
        <w:t>14</w:t>
      </w:r>
      <w:r>
        <w:rPr>
          <w:spacing w:val="-9"/>
        </w:rPr>
        <w:t> 跳变是个预后不好的靶点，以前没有靶向治疗药物，化疗效果</w:t>
      </w:r>
      <w:r>
        <w:rPr>
          <w:spacing w:val="-3"/>
        </w:rPr>
        <w:t>极差。以往这类患者如果使用传统化疗，无进展生存期大概只有 </w:t>
      </w:r>
      <w:r>
        <w:rPr/>
        <w:t>1.9</w:t>
      </w:r>
      <w:r>
        <w:rPr>
          <w:spacing w:val="-8"/>
        </w:rPr>
        <w:t> 个月，总生存期只有</w:t>
      </w:r>
    </w:p>
    <w:p>
      <w:pPr>
        <w:pStyle w:val="BodyText"/>
        <w:jc w:val="both"/>
      </w:pPr>
      <w:r>
        <w:rPr/>
        <w:t>8.1 个月；而如果使用 MET 抑制剂，总生存期能够达到两年多。</w:t>
      </w:r>
    </w:p>
    <w:p>
      <w:pPr>
        <w:pStyle w:val="BodyText"/>
        <w:spacing w:line="297" w:lineRule="auto" w:before="70"/>
        <w:ind w:right="229" w:firstLine="482"/>
        <w:jc w:val="both"/>
      </w:pPr>
      <w:r>
        <w:rPr>
          <w:spacing w:val="-7"/>
        </w:rPr>
        <w:t>沃利替尼是由和记黄埔医药自主研发的高选择性、强效、口服的 </w:t>
      </w:r>
      <w:r>
        <w:rPr/>
        <w:t>MET</w:t>
      </w:r>
      <w:r>
        <w:rPr>
          <w:spacing w:val="-9"/>
        </w:rPr>
        <w:t> 受体酪氨酸激酶抑</w:t>
      </w:r>
      <w:r>
        <w:rPr>
          <w:spacing w:val="-10"/>
        </w:rPr>
        <w:t>制剂。该研究是在中国开展的开放标签、单臂、多中心Ⅱ期临床试验，旨在评估沃利替尼治</w:t>
      </w:r>
      <w:r>
        <w:rPr>
          <w:spacing w:val="-16"/>
        </w:rPr>
        <w:t>疗具有 </w:t>
      </w:r>
      <w:r>
        <w:rPr/>
        <w:t>MET</w:t>
      </w:r>
      <w:r>
        <w:rPr>
          <w:spacing w:val="-24"/>
        </w:rPr>
        <w:t> 外显子 </w:t>
      </w:r>
      <w:r>
        <w:rPr/>
        <w:t>14</w:t>
      </w:r>
      <w:r>
        <w:rPr>
          <w:spacing w:val="-8"/>
        </w:rPr>
        <w:t> 跳变的肺肉瘤样癌或者其他类型非小细胞肺癌的疗效和安全性。截至</w:t>
      </w:r>
    </w:p>
    <w:p>
      <w:pPr>
        <w:spacing w:after="0" w:line="297" w:lineRule="auto"/>
        <w:jc w:val="both"/>
        <w:sectPr>
          <w:type w:val="continuous"/>
          <w:pgSz w:w="11910" w:h="16850"/>
          <w:pgMar w:top="1100" w:bottom="1020" w:left="1040" w:right="900"/>
        </w:sectPr>
      </w:pPr>
    </w:p>
    <w:p>
      <w:pPr>
        <w:pStyle w:val="BodyText"/>
        <w:spacing w:line="259" w:lineRule="auto" w:before="65"/>
        <w:ind w:right="245"/>
        <w:rPr>
          <w:rFonts w:ascii="Meiryo" w:eastAsia="Meiryo" w:hint="eastAsia"/>
          <w:b/>
        </w:rPr>
      </w:pPr>
      <w:r>
        <w:rPr/>
        <w:t>2019</w:t>
      </w:r>
      <w:r>
        <w:rPr>
          <w:spacing w:val="-41"/>
        </w:rPr>
        <w:t> 年 </w:t>
      </w:r>
      <w:r>
        <w:rPr/>
        <w:t>2</w:t>
      </w:r>
      <w:r>
        <w:rPr>
          <w:spacing w:val="-40"/>
        </w:rPr>
        <w:t> 月 </w:t>
      </w:r>
      <w:r>
        <w:rPr/>
        <w:t>26</w:t>
      </w:r>
      <w:r>
        <w:rPr>
          <w:spacing w:val="-11"/>
        </w:rPr>
        <w:t> 日，该研究首批接受沃利替尼治疗的 </w:t>
      </w:r>
      <w:r>
        <w:rPr/>
        <w:t>41</w:t>
      </w:r>
      <w:r>
        <w:rPr>
          <w:spacing w:val="-12"/>
        </w:rPr>
        <w:t> 名患者中</w:t>
      </w:r>
      <w:r>
        <w:rPr/>
        <w:t>，MET</w:t>
      </w:r>
      <w:r>
        <w:rPr>
          <w:spacing w:val="-24"/>
        </w:rPr>
        <w:t> 外显子 </w:t>
      </w:r>
      <w:r>
        <w:rPr/>
        <w:t>14</w:t>
      </w:r>
      <w:r>
        <w:rPr>
          <w:spacing w:val="-16"/>
        </w:rPr>
        <w:t> 跳变肺癌</w:t>
      </w:r>
      <w:r>
        <w:rPr>
          <w:spacing w:val="-7"/>
        </w:rPr>
        <w:t>患者的缓解率接近 </w:t>
      </w:r>
      <w:r>
        <w:rPr/>
        <w:t>55%，第一名入组患者已存活两年多。</w:t>
      </w:r>
      <w:r>
        <w:rPr>
          <w:rFonts w:ascii="Meiryo" w:eastAsia="Meiryo" w:hint="eastAsia"/>
          <w:b/>
          <w:color w:val="0033CC"/>
        </w:rPr>
        <w:t>[返回目次]</w:t>
      </w:r>
    </w:p>
    <w:p>
      <w:pPr>
        <w:pStyle w:val="BodyText"/>
        <w:spacing w:before="4"/>
        <w:ind w:left="0"/>
        <w:rPr>
          <w:rFonts w:ascii="Meiryo"/>
          <w:b/>
          <w:sz w:val="5"/>
        </w:rPr>
      </w:pPr>
    </w:p>
    <w:p>
      <w:pPr>
        <w:spacing w:after="0"/>
        <w:rPr>
          <w:rFonts w:ascii="Meiryo"/>
          <w:sz w:val="5"/>
        </w:rPr>
        <w:sectPr>
          <w:pgSz w:w="11910" w:h="16850"/>
          <w:pgMar w:header="906" w:footer="607" w:top="1100" w:bottom="800" w:left="1040" w:right="900"/>
        </w:sectPr>
      </w:pPr>
    </w:p>
    <w:p>
      <w:pPr>
        <w:pStyle w:val="Heading2"/>
        <w:spacing w:before="54"/>
        <w:ind w:left="3057"/>
      </w:pPr>
      <w:bookmarkStart w:name="_TOC_250022" w:id="2"/>
      <w:bookmarkEnd w:id="2"/>
      <w:r>
        <w:rPr>
          <w:spacing w:val="-2"/>
        </w:rPr>
        <w:t>解决脑胶质瘤耐药有新方向</w:t>
      </w:r>
    </w:p>
    <w:p>
      <w:pPr>
        <w:pStyle w:val="BodyText"/>
        <w:ind w:left="0"/>
        <w:rPr>
          <w:b/>
        </w:rPr>
      </w:pPr>
      <w:r>
        <w:rPr/>
        <w:br w:type="column"/>
      </w:r>
      <w:r>
        <w:rPr>
          <w:b/>
        </w:rPr>
      </w:r>
    </w:p>
    <w:p>
      <w:pPr>
        <w:pStyle w:val="BodyText"/>
        <w:spacing w:before="10"/>
        <w:ind w:left="0"/>
        <w:rPr>
          <w:b/>
          <w:sz w:val="23"/>
        </w:rPr>
      </w:pPr>
    </w:p>
    <w:p>
      <w:pPr>
        <w:pStyle w:val="Heading3"/>
        <w:ind w:left="85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900"/>
          <w:cols w:num="2" w:equalWidth="0">
            <w:col w:w="6911" w:space="40"/>
            <w:col w:w="3019"/>
          </w:cols>
        </w:sectPr>
      </w:pPr>
    </w:p>
    <w:p>
      <w:pPr>
        <w:pStyle w:val="BodyText"/>
        <w:spacing w:line="297" w:lineRule="auto" w:before="95"/>
        <w:ind w:right="227" w:firstLine="480"/>
      </w:pPr>
      <w:r>
        <w:rPr>
          <w:spacing w:val="-11"/>
        </w:rPr>
        <w:t>近日，黑龙江省医学科学院神经外科研究所副所长、哈尔滨医科大学第二医院神经外科</w:t>
      </w:r>
      <w:r>
        <w:rPr/>
        <w:t>主任蒋传路教授团队发现胶质母细胞瘤患者对化疗药物替莫唑胺（TMZ）耐药的机制，相关论文发表在《自然·通讯》上。该研究提示，Lnc-TALC</w:t>
      </w:r>
      <w:r>
        <w:rPr>
          <w:spacing w:val="-8"/>
        </w:rPr>
        <w:t> 或可成为判断胶质母细胞瘤患者对替莫唑胺是否耐药的标记分子，为耐药的胶质母细胞瘤患者提供一个潜在治疗靶点。</w:t>
      </w:r>
    </w:p>
    <w:p>
      <w:pPr>
        <w:pStyle w:val="BodyText"/>
        <w:spacing w:line="297" w:lineRule="auto"/>
        <w:ind w:right="226" w:firstLine="480"/>
        <w:jc w:val="both"/>
      </w:pPr>
      <w:r>
        <w:rPr>
          <w:spacing w:val="-6"/>
        </w:rPr>
        <w:t>胶质母细胞瘤是脑胶质瘤家族中恶性最强的一个类型。目前对于胶质母细胞瘤治疗最好的方式为在一定安全范围内尽可能多地切除肿瘤，并放疗同步化疗。然而，遗憾的是，胶质</w:t>
      </w:r>
      <w:r>
        <w:rPr>
          <w:spacing w:val="-3"/>
        </w:rPr>
        <w:t>母细胞瘤被发现并积极治疗后中位生存期只有 </w:t>
      </w:r>
      <w:r>
        <w:rPr/>
        <w:t>14.6</w:t>
      </w:r>
      <w:r>
        <w:rPr>
          <w:spacing w:val="-22"/>
        </w:rPr>
        <w:t> 个月，</w:t>
      </w:r>
      <w:r>
        <w:rPr>
          <w:spacing w:val="-26"/>
        </w:rPr>
        <w:t>5</w:t>
      </w:r>
      <w:r>
        <w:rPr>
          <w:spacing w:val="-16"/>
        </w:rPr>
        <w:t> 年生存期不足 </w:t>
      </w:r>
      <w:r>
        <w:rPr>
          <w:spacing w:val="-13"/>
        </w:rPr>
        <w:t>10%</w:t>
      </w:r>
      <w:r>
        <w:rPr>
          <w:spacing w:val="-6"/>
        </w:rPr>
        <w:t>，患者预后差</w:t>
      </w:r>
      <w:r>
        <w:rPr/>
        <w:t>主要原因之一，就是对化疗药物替莫唑胺产生耐药。</w:t>
      </w:r>
    </w:p>
    <w:p>
      <w:pPr>
        <w:pStyle w:val="BodyText"/>
        <w:spacing w:line="297" w:lineRule="auto"/>
        <w:ind w:right="226" w:firstLine="480"/>
        <w:jc w:val="both"/>
      </w:pPr>
      <w:r>
        <w:rPr>
          <w:spacing w:val="-6"/>
        </w:rPr>
        <w:t>替莫唑胺是治疗胶质母细胞瘤的标准化疗药物，它对一部分胶质母细胞瘤患者有效，对</w:t>
      </w:r>
      <w:r>
        <w:rPr>
          <w:spacing w:val="-11"/>
        </w:rPr>
        <w:t>一部分患者无效，原因是耐药。此前的临床研究发现，从细菌到哺乳动物体内都存在独特的</w:t>
      </w:r>
      <w:r>
        <w:rPr/>
        <w:t>DNA</w:t>
      </w:r>
      <w:r>
        <w:rPr>
          <w:spacing w:val="-13"/>
        </w:rPr>
        <w:t> 修复蛋白</w:t>
      </w:r>
      <w:r>
        <w:rPr/>
        <w:t>——O～6-甲基鸟嘌呤-DNA</w:t>
      </w:r>
      <w:r>
        <w:rPr>
          <w:spacing w:val="-10"/>
        </w:rPr>
        <w:t> 甲基转移酶</w:t>
      </w:r>
      <w:r>
        <w:rPr/>
        <w:t>（MGMT），</w:t>
      </w:r>
      <w:r>
        <w:rPr>
          <w:spacing w:val="-15"/>
        </w:rPr>
        <w:t>在修复 </w:t>
      </w:r>
      <w:r>
        <w:rPr/>
        <w:t>DNA</w:t>
      </w:r>
      <w:r>
        <w:rPr>
          <w:spacing w:val="-8"/>
        </w:rPr>
        <w:t> 损伤时同时发挥</w:t>
      </w:r>
      <w:r>
        <w:rPr>
          <w:spacing w:val="-14"/>
        </w:rPr>
        <w:t>着转移酶和甲基接受体的作用，能够修复替莫唑胺化疗时肿瘤细胞的 </w:t>
      </w:r>
      <w:r>
        <w:rPr/>
        <w:t>DNA</w:t>
      </w:r>
      <w:r>
        <w:rPr>
          <w:spacing w:val="-16"/>
        </w:rPr>
        <w:t> 损伤，导致替莫唑</w:t>
      </w:r>
      <w:r>
        <w:rPr/>
        <w:t>胺无法杀死肿瘤细胞。</w:t>
      </w:r>
    </w:p>
    <w:p>
      <w:pPr>
        <w:pStyle w:val="BodyText"/>
        <w:spacing w:line="297" w:lineRule="auto"/>
        <w:ind w:right="112" w:firstLine="480"/>
        <w:jc w:val="both"/>
      </w:pPr>
      <w:r>
        <w:rPr>
          <w:spacing w:val="-9"/>
        </w:rPr>
        <w:t>蒋传路团队用 </w:t>
      </w:r>
      <w:r>
        <w:rPr/>
        <w:t>5</w:t>
      </w:r>
      <w:r>
        <w:rPr>
          <w:spacing w:val="-17"/>
        </w:rPr>
        <w:t> 个月时间，成功将胶质母细胞瘤细胞 </w:t>
      </w:r>
      <w:r>
        <w:rPr/>
        <w:t>LN229</w:t>
      </w:r>
      <w:r>
        <w:rPr>
          <w:spacing w:val="-8"/>
        </w:rPr>
        <w:t> 诱导为耐药的胶质母细胞瘤</w:t>
      </w:r>
      <w:r>
        <w:rPr>
          <w:spacing w:val="-26"/>
        </w:rPr>
        <w:t>细胞 </w:t>
      </w:r>
      <w:r>
        <w:rPr/>
        <w:t>229R</w:t>
      </w:r>
      <w:r>
        <w:rPr>
          <w:spacing w:val="-14"/>
        </w:rPr>
        <w:t> 后，利用芯片筛选 </w:t>
      </w:r>
      <w:r>
        <w:rPr/>
        <w:t>229R</w:t>
      </w:r>
      <w:r>
        <w:rPr>
          <w:spacing w:val="-40"/>
        </w:rPr>
        <w:t> 和 </w:t>
      </w:r>
      <w:r>
        <w:rPr/>
        <w:t>LN229</w:t>
      </w:r>
      <w:r>
        <w:rPr>
          <w:spacing w:val="-12"/>
        </w:rPr>
        <w:t> 中的差异表达长链非编码 </w:t>
      </w:r>
      <w:r>
        <w:rPr/>
        <w:t>RNA，</w:t>
      </w:r>
      <w:r>
        <w:rPr>
          <w:spacing w:val="-15"/>
        </w:rPr>
        <w:t>发现有 </w:t>
      </w:r>
      <w:r>
        <w:rPr/>
        <w:t>9000</w:t>
      </w:r>
      <w:r>
        <w:rPr>
          <w:spacing w:val="-30"/>
        </w:rPr>
        <w:t> 多</w:t>
      </w:r>
      <w:r>
        <w:rPr>
          <w:spacing w:val="-33"/>
        </w:rPr>
        <w:t>个差异表达的长链非编码 </w:t>
      </w:r>
      <w:r>
        <w:rPr/>
        <w:t>RNA</w:t>
      </w:r>
      <w:r>
        <w:rPr>
          <w:spacing w:val="-9"/>
        </w:rPr>
        <w:t>。研究人员发现，耐药胶质母细胞瘤细胞中，</w:t>
      </w:r>
      <w:r>
        <w:rPr>
          <w:spacing w:val="-4"/>
        </w:rPr>
        <w:t>Lnc-TALC</w:t>
      </w:r>
      <w:r>
        <w:rPr>
          <w:spacing w:val="-15"/>
        </w:rPr>
        <w:t> 表达非</w:t>
      </w:r>
      <w:r>
        <w:rPr>
          <w:spacing w:val="-13"/>
        </w:rPr>
        <w:t>常多，它能竞争性地和非编码的单链小 </w:t>
      </w:r>
      <w:r>
        <w:rPr/>
        <w:t>RNAmiR-20b-3p</w:t>
      </w:r>
      <w:r>
        <w:rPr>
          <w:spacing w:val="-12"/>
        </w:rPr>
        <w:t> 结合，使其无法抑制酪氨酸受体激酶c-Met</w:t>
      </w:r>
      <w:r>
        <w:rPr>
          <w:spacing w:val="-18"/>
        </w:rPr>
        <w:t> 的表达，导致替莫唑胺耐药。而 </w:t>
      </w:r>
      <w:r>
        <w:rPr/>
        <w:t>c-Met</w:t>
      </w:r>
      <w:r>
        <w:rPr>
          <w:spacing w:val="-12"/>
        </w:rPr>
        <w:t> 是重要的原癌基因，与多种肿瘤发生发展相关。</w:t>
      </w:r>
    </w:p>
    <w:p>
      <w:pPr>
        <w:pStyle w:val="BodyText"/>
        <w:spacing w:line="259" w:lineRule="auto"/>
        <w:ind w:right="366" w:firstLine="480"/>
        <w:jc w:val="both"/>
        <w:rPr>
          <w:rFonts w:ascii="Meiryo" w:eastAsia="Meiryo" w:hint="eastAsia"/>
          <w:b/>
        </w:rPr>
      </w:pPr>
      <w:r>
        <w:rPr>
          <w:spacing w:val="-3"/>
        </w:rPr>
        <w:t>此外，研究人员还从癌症基因组图谱数据库中调查了 </w:t>
      </w:r>
      <w:r>
        <w:rPr/>
        <w:t>502</w:t>
      </w:r>
      <w:r>
        <w:rPr>
          <w:spacing w:val="-9"/>
        </w:rPr>
        <w:t> 个胶质母细胞瘤样本，发现</w:t>
      </w:r>
      <w:r>
        <w:rPr/>
        <w:t>c-Met</w:t>
      </w:r>
      <w:r>
        <w:rPr>
          <w:spacing w:val="-8"/>
        </w:rPr>
        <w:t> 基因对复发胶质母细胞瘤具有重要意义。</w:t>
      </w:r>
      <w:r>
        <w:rPr>
          <w:rFonts w:ascii="Meiryo" w:eastAsia="Meiryo" w:hint="eastAsia"/>
          <w:b/>
          <w:color w:val="0033CC"/>
        </w:rPr>
        <w:t>[返回目次]</w:t>
      </w:r>
    </w:p>
    <w:p>
      <w:pPr>
        <w:pStyle w:val="Heading2"/>
        <w:spacing w:before="137"/>
        <w:ind w:left="1"/>
        <w:jc w:val="center"/>
      </w:pPr>
      <w:bookmarkStart w:name="_TOC_250021" w:id="3"/>
      <w:bookmarkEnd w:id="3"/>
      <w:r>
        <w:rPr/>
        <w:t>卵巢癌抑癌基因突变概率明确</w:t>
      </w:r>
    </w:p>
    <w:p>
      <w:pPr>
        <w:pStyle w:val="BodyText"/>
        <w:spacing w:before="49"/>
        <w:ind w:left="3665"/>
      </w:pPr>
      <w:r>
        <w:rPr/>
        <w:t>相关基因检测将有助早期预防</w:t>
      </w:r>
    </w:p>
    <w:p>
      <w:pPr>
        <w:pStyle w:val="Heading3"/>
        <w:spacing w:before="167"/>
        <w:ind w:left="0" w:right="228"/>
        <w:jc w:val="right"/>
        <w:rPr>
          <w:rFonts w:ascii="楷体" w:eastAsia="楷体" w:hint="eastAsia"/>
        </w:rPr>
      </w:pPr>
      <w:r>
        <w:rPr>
          <w:rFonts w:ascii="楷体" w:eastAsia="楷体" w:hint="eastAsia"/>
          <w:color w:val="FF0000"/>
          <w:w w:val="95"/>
        </w:rPr>
        <w:t>（来源：健康报）</w:t>
      </w:r>
    </w:p>
    <w:p>
      <w:pPr>
        <w:pStyle w:val="BodyText"/>
        <w:spacing w:line="297" w:lineRule="auto" w:before="99"/>
        <w:ind w:right="107" w:firstLine="480"/>
      </w:pPr>
      <w:r>
        <w:rPr/>
        <w:t>5</w:t>
      </w:r>
      <w:r>
        <w:rPr>
          <w:spacing w:val="-41"/>
        </w:rPr>
        <w:t> 月 </w:t>
      </w:r>
      <w:r>
        <w:rPr/>
        <w:t>6</w:t>
      </w:r>
      <w:r>
        <w:rPr>
          <w:spacing w:val="-11"/>
        </w:rPr>
        <w:t> 日，复旦大学附属肿瘤医院举行卵巢癌研究成果发布会介绍，该院吴小华教授领</w:t>
      </w:r>
      <w:r>
        <w:rPr>
          <w:spacing w:val="-16"/>
        </w:rPr>
        <w:t>衔的卵巢癌研究团队一项历时多年、国内首个多中心卵巢癌胚系临床研究发现，在我国卵巢</w:t>
      </w:r>
      <w:r>
        <w:rPr>
          <w:spacing w:val="-21"/>
        </w:rPr>
        <w:t>癌患者中，体内 </w:t>
      </w:r>
      <w:r>
        <w:rPr/>
        <w:t>BRCA1</w:t>
      </w:r>
      <w:r>
        <w:rPr>
          <w:spacing w:val="-40"/>
        </w:rPr>
        <w:t> 和 </w:t>
      </w:r>
      <w:r>
        <w:rPr/>
        <w:t>BRCA2</w:t>
      </w:r>
      <w:r>
        <w:rPr>
          <w:spacing w:val="-14"/>
        </w:rPr>
        <w:t> 基因突变概率高达 </w:t>
      </w:r>
      <w:r>
        <w:rPr/>
        <w:t>28.5%</w:t>
      </w:r>
      <w:r>
        <w:rPr>
          <w:spacing w:val="-7"/>
        </w:rPr>
        <w:t>。该研究表明，BRCA</w:t>
      </w:r>
      <w:r>
        <w:rPr>
          <w:spacing w:val="-9"/>
        </w:rPr>
        <w:t> 基因检测不仅</w:t>
      </w:r>
      <w:r>
        <w:rPr>
          <w:spacing w:val="-19"/>
        </w:rPr>
        <w:t>能成为卵巢癌早期筛查的重要参考数据，对卵巢癌预防、患者后期用药也极具临床指导意义。</w:t>
      </w:r>
      <w:r>
        <w:rPr/>
        <w:t>该成果已发表在国际妇科肿瘤学会（IGCS）的官方杂志《国际妇科肿瘤》上。</w:t>
      </w:r>
    </w:p>
    <w:p>
      <w:pPr>
        <w:pStyle w:val="BodyText"/>
        <w:spacing w:line="297" w:lineRule="auto"/>
        <w:ind w:right="227" w:firstLine="480"/>
      </w:pPr>
      <w:r>
        <w:rPr>
          <w:spacing w:val="-15"/>
        </w:rPr>
        <w:t>吴小华说，人体细胞内的 </w:t>
      </w:r>
      <w:r>
        <w:rPr/>
        <w:t>BRCA</w:t>
      </w:r>
      <w:r>
        <w:rPr>
          <w:spacing w:val="-16"/>
        </w:rPr>
        <w:t> 基因突变与卵巢癌的发生关系密切，其中 </w:t>
      </w:r>
      <w:r>
        <w:rPr/>
        <w:t>BRCA1</w:t>
      </w:r>
      <w:r>
        <w:rPr>
          <w:spacing w:val="-40"/>
        </w:rPr>
        <w:t> 和 </w:t>
      </w:r>
      <w:r>
        <w:rPr>
          <w:spacing w:val="-3"/>
        </w:rPr>
        <w:t>BRCA2 </w:t>
      </w:r>
      <w:r>
        <w:rPr>
          <w:spacing w:val="-11"/>
        </w:rPr>
        <w:t>均为抑癌基因，如果 </w:t>
      </w:r>
      <w:r>
        <w:rPr/>
        <w:t>BRCA</w:t>
      </w:r>
      <w:r>
        <w:rPr>
          <w:spacing w:val="-13"/>
        </w:rPr>
        <w:t> 发生突变， 就会丧失抑制肿瘤发生的功能，并导致癌细胞大量繁</w:t>
      </w:r>
      <w:r>
        <w:rPr>
          <w:spacing w:val="-4"/>
        </w:rPr>
        <w:t>殖。一般人群的卵巢癌终身发病风险约为 </w:t>
      </w:r>
      <w:r>
        <w:rPr/>
        <w:t>1%，</w:t>
      </w:r>
      <w:r>
        <w:rPr>
          <w:spacing w:val="-30"/>
        </w:rPr>
        <w:t>但 </w:t>
      </w:r>
      <w:r>
        <w:rPr/>
        <w:t>BRCA1</w:t>
      </w:r>
      <w:r>
        <w:rPr>
          <w:spacing w:val="-8"/>
        </w:rPr>
        <w:t> 基因突变携带者的卵巢癌发病风险</w:t>
      </w:r>
      <w:r>
        <w:rPr>
          <w:spacing w:val="-21"/>
        </w:rPr>
        <w:t>可高达 </w:t>
      </w:r>
      <w:r>
        <w:rPr>
          <w:spacing w:val="-3"/>
        </w:rPr>
        <w:t>40%，BRCA2</w:t>
      </w:r>
      <w:r>
        <w:rPr>
          <w:spacing w:val="-11"/>
        </w:rPr>
        <w:t> 基因突变携带者的卵巢癌发病风险可升高至 </w:t>
      </w:r>
      <w:r>
        <w:rPr/>
        <w:t>11%～18%</w:t>
      </w:r>
      <w:r>
        <w:rPr>
          <w:spacing w:val="-6"/>
        </w:rPr>
        <w:t>。该研究为进一步</w:t>
      </w:r>
    </w:p>
    <w:p>
      <w:pPr>
        <w:spacing w:after="0" w:line="297" w:lineRule="auto"/>
        <w:sectPr>
          <w:type w:val="continuous"/>
          <w:pgSz w:w="11910" w:h="16850"/>
          <w:pgMar w:top="1100" w:bottom="1020" w:left="1040" w:right="900"/>
        </w:sectPr>
      </w:pPr>
    </w:p>
    <w:p>
      <w:pPr>
        <w:pStyle w:val="BodyText"/>
        <w:spacing w:line="297" w:lineRule="auto" w:before="65"/>
        <w:ind w:right="127"/>
      </w:pPr>
      <w:r>
        <w:rPr>
          <w:spacing w:val="-3"/>
        </w:rPr>
        <w:t>在中国卵巢癌患者中制定精准治疗方案、确立 </w:t>
      </w:r>
      <w:r>
        <w:rPr/>
        <w:t>BRCA</w:t>
      </w:r>
      <w:r>
        <w:rPr>
          <w:spacing w:val="-8"/>
        </w:rPr>
        <w:t> 基因检测共识提供了理论基础和依据。</w:t>
      </w:r>
      <w:r>
        <w:rPr>
          <w:spacing w:val="-11"/>
        </w:rPr>
        <w:t>复旦大学附属肿瘤医院卵巢癌研究团队在前期 </w:t>
      </w:r>
      <w:r>
        <w:rPr/>
        <w:t>BRCA1</w:t>
      </w:r>
      <w:r>
        <w:rPr>
          <w:spacing w:val="-40"/>
        </w:rPr>
        <w:t> 和 </w:t>
      </w:r>
      <w:r>
        <w:rPr/>
        <w:t>BRCA2</w:t>
      </w:r>
      <w:r>
        <w:rPr>
          <w:spacing w:val="-14"/>
        </w:rPr>
        <w:t> 基因突变研究的基础上，对多</w:t>
      </w:r>
      <w:r>
        <w:rPr>
          <w:spacing w:val="-30"/>
        </w:rPr>
        <w:t>中心 </w:t>
      </w:r>
      <w:r>
        <w:rPr/>
        <w:t>826</w:t>
      </w:r>
      <w:r>
        <w:rPr>
          <w:spacing w:val="-9"/>
        </w:rPr>
        <w:t> 名卵巢癌患者采用多基因检测手段对卵巢癌患者外周血及肿瘤组织同时进行检测， </w:t>
      </w:r>
      <w:r>
        <w:rPr>
          <w:spacing w:val="-13"/>
        </w:rPr>
        <w:t>结果显示，除 </w:t>
      </w:r>
      <w:r>
        <w:rPr/>
        <w:t>BRCA1</w:t>
      </w:r>
      <w:r>
        <w:rPr>
          <w:spacing w:val="-40"/>
        </w:rPr>
        <w:t> 和 </w:t>
      </w:r>
      <w:r>
        <w:rPr/>
        <w:t>BRCA2</w:t>
      </w:r>
      <w:r>
        <w:rPr>
          <w:spacing w:val="-12"/>
        </w:rPr>
        <w:t> 胚系、体系突变外，他们的研究还发现，与卵巢癌发病相关的BRIP1</w:t>
      </w:r>
      <w:r>
        <w:rPr>
          <w:spacing w:val="-56"/>
        </w:rPr>
        <w:t>、</w:t>
      </w:r>
      <w:r>
        <w:rPr/>
        <w:t>RAD50</w:t>
      </w:r>
      <w:r>
        <w:rPr>
          <w:spacing w:val="-56"/>
        </w:rPr>
        <w:t>、</w:t>
      </w:r>
      <w:r>
        <w:rPr/>
        <w:t>RAD51</w:t>
      </w:r>
      <w:r>
        <w:rPr>
          <w:spacing w:val="-16"/>
        </w:rPr>
        <w:t> 等基因胚系、体系突变亦占有相当比例，其检测阳性率从以前的 </w:t>
      </w:r>
      <w:r>
        <w:rPr/>
        <w:t>28.5%</w:t>
      </w:r>
    </w:p>
    <w:p>
      <w:pPr>
        <w:pStyle w:val="BodyText"/>
        <w:spacing w:line="300" w:lineRule="exact"/>
      </w:pPr>
      <w:r>
        <w:rPr/>
        <w:t>（胚系），约提高了 10 个百分点（胚系+体系）。</w:t>
      </w:r>
    </w:p>
    <w:p>
      <w:pPr>
        <w:pStyle w:val="BodyText"/>
        <w:spacing w:line="295" w:lineRule="auto" w:before="74"/>
        <w:ind w:right="227" w:firstLine="480"/>
        <w:jc w:val="both"/>
      </w:pPr>
      <w:r>
        <w:rPr>
          <w:spacing w:val="-10"/>
        </w:rPr>
        <w:t>该研究认为，多基因检测可对卵巢癌患者遗传发病风险进行更全面的评估，检出更多的</w:t>
      </w:r>
      <w:r>
        <w:rPr>
          <w:spacing w:val="-7"/>
        </w:rPr>
        <w:t>遗传性卵巢癌患者，利于更有效地开展后续的遗传咨询及家系预防工作。此外，体系检测能</w:t>
      </w:r>
      <w:r>
        <w:rPr/>
        <w:t>够提供更多的药物靶点信息，助力精准治疗。</w:t>
      </w:r>
    </w:p>
    <w:p>
      <w:pPr>
        <w:pStyle w:val="BodyText"/>
        <w:spacing w:line="285" w:lineRule="auto" w:before="6"/>
        <w:ind w:right="110" w:firstLine="480"/>
        <w:rPr>
          <w:rFonts w:ascii="Meiryo" w:hAnsi="Meiryo" w:eastAsia="Meiryo" w:hint="eastAsia"/>
          <w:b/>
        </w:rPr>
      </w:pPr>
      <w:r>
        <w:rPr>
          <w:spacing w:val="-9"/>
        </w:rPr>
        <w:t>吴小华建议，卵巢癌患者均应做 </w:t>
      </w:r>
      <w:r>
        <w:rPr/>
        <w:t>BRCA</w:t>
      </w:r>
      <w:r>
        <w:rPr>
          <w:spacing w:val="-13"/>
        </w:rPr>
        <w:t> 基因检测，如已发生突变，其一级亲属</w:t>
      </w:r>
      <w:r>
        <w:rPr/>
        <w:t>（</w:t>
      </w:r>
      <w:r>
        <w:rPr>
          <w:spacing w:val="-4"/>
        </w:rPr>
        <w:t>如母女、</w:t>
      </w:r>
      <w:r>
        <w:rPr/>
        <w:t>姐妹等</w:t>
      </w:r>
      <w:r>
        <w:rPr>
          <w:spacing w:val="-34"/>
        </w:rPr>
        <w:t>）</w:t>
      </w:r>
      <w:r>
        <w:rPr>
          <w:spacing w:val="-8"/>
        </w:rPr>
        <w:t>也应做检测，以利于早期筛查出潜在患者和采取预防措施；高危人群做“多基因检</w:t>
      </w:r>
      <w:r>
        <w:rPr>
          <w:spacing w:val="-29"/>
        </w:rPr>
        <w:t>测”，如发现 </w:t>
      </w:r>
      <w:r>
        <w:rPr/>
        <w:t>BRCA1</w:t>
      </w:r>
      <w:r>
        <w:rPr>
          <w:spacing w:val="-20"/>
        </w:rPr>
        <w:t> 或 </w:t>
      </w:r>
      <w:r>
        <w:rPr/>
        <w:t>BRCA2</w:t>
      </w:r>
      <w:r>
        <w:rPr>
          <w:spacing w:val="-23"/>
        </w:rPr>
        <w:t> 基因突变，可分别在 </w:t>
      </w:r>
      <w:r>
        <w:rPr/>
        <w:t>40</w:t>
      </w:r>
      <w:r>
        <w:rPr>
          <w:spacing w:val="-30"/>
        </w:rPr>
        <w:t> 岁或 </w:t>
      </w:r>
      <w:r>
        <w:rPr/>
        <w:t>45</w:t>
      </w:r>
      <w:r>
        <w:rPr>
          <w:spacing w:val="-21"/>
        </w:rPr>
        <w:t> 岁左右采取预防措施，如 </w:t>
      </w:r>
      <w:r>
        <w:rPr/>
        <w:t>RAD51</w:t>
      </w:r>
      <w:r>
        <w:rPr>
          <w:spacing w:val="-4"/>
        </w:rPr>
        <w:t>基因突变，因风险有所降低，则可在 </w:t>
      </w:r>
      <w:r>
        <w:rPr/>
        <w:t>50</w:t>
      </w:r>
      <w:r>
        <w:rPr>
          <w:spacing w:val="-8"/>
        </w:rPr>
        <w:t> 岁左右采取预防措施。</w:t>
      </w:r>
      <w:r>
        <w:rPr>
          <w:rFonts w:ascii="Meiryo" w:hAnsi="Meiryo" w:eastAsia="Meiryo" w:hint="eastAsia"/>
          <w:b/>
          <w:color w:val="0033CC"/>
        </w:rPr>
        <w:t>[返回目次]</w:t>
      </w:r>
    </w:p>
    <w:p>
      <w:pPr>
        <w:spacing w:after="0" w:line="285" w:lineRule="auto"/>
        <w:rPr>
          <w:rFonts w:ascii="Meiryo" w:hAnsi="Meiryo" w:eastAsia="Meiryo" w:hint="eastAsia"/>
        </w:rPr>
        <w:sectPr>
          <w:pgSz w:w="11910" w:h="16850"/>
          <w:pgMar w:header="906" w:footer="607" w:top="1100" w:bottom="800" w:left="1040" w:right="900"/>
        </w:sectPr>
      </w:pPr>
    </w:p>
    <w:p>
      <w:pPr>
        <w:pStyle w:val="Heading2"/>
        <w:spacing w:before="99"/>
        <w:ind w:left="2897"/>
      </w:pPr>
      <w:bookmarkStart w:name="_TOC_250020" w:id="4"/>
      <w:bookmarkEnd w:id="4"/>
      <w:r>
        <w:rPr>
          <w:spacing w:val="-2"/>
        </w:rPr>
        <w:t>消炎“老药”可抗击流感病毒</w:t>
      </w:r>
    </w:p>
    <w:p>
      <w:pPr>
        <w:pStyle w:val="BodyText"/>
        <w:ind w:left="0"/>
        <w:rPr>
          <w:b/>
        </w:rPr>
      </w:pPr>
      <w:r>
        <w:rPr/>
        <w:br w:type="column"/>
      </w:r>
      <w:r>
        <w:rPr>
          <w:b/>
        </w:rPr>
      </w:r>
    </w:p>
    <w:p>
      <w:pPr>
        <w:pStyle w:val="BodyText"/>
        <w:ind w:left="0"/>
        <w:rPr>
          <w:b/>
          <w:sz w:val="27"/>
        </w:rPr>
      </w:pPr>
    </w:p>
    <w:p>
      <w:pPr>
        <w:pStyle w:val="Heading3"/>
        <w:spacing w:before="1"/>
        <w:ind w:left="69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40" w:right="900"/>
          <w:cols w:num="2" w:equalWidth="0">
            <w:col w:w="7072" w:space="40"/>
            <w:col w:w="2858"/>
          </w:cols>
        </w:sectPr>
      </w:pPr>
    </w:p>
    <w:p>
      <w:pPr>
        <w:pStyle w:val="BodyText"/>
        <w:spacing w:line="295" w:lineRule="auto" w:before="98"/>
        <w:ind w:right="228" w:firstLine="480"/>
        <w:jc w:val="both"/>
      </w:pPr>
      <w:r>
        <w:rPr/>
        <w:t>5</w:t>
      </w:r>
      <w:r>
        <w:rPr>
          <w:spacing w:val="-41"/>
        </w:rPr>
        <w:t> 月 </w:t>
      </w:r>
      <w:r>
        <w:rPr/>
        <w:t>7</w:t>
      </w:r>
      <w:r>
        <w:rPr>
          <w:spacing w:val="-11"/>
        </w:rPr>
        <w:t> 日，中国科学院微生物研究所刘文军课题组在《细胞通讯》上发表研究论文。研究发现，非甾类抗炎症药物萘普生具有抑制 </w:t>
      </w:r>
      <w:r>
        <w:rPr/>
        <w:t>A</w:t>
      </w:r>
      <w:r>
        <w:rPr>
          <w:spacing w:val="-30"/>
        </w:rPr>
        <w:t> 型和 </w:t>
      </w:r>
      <w:r>
        <w:rPr/>
        <w:t>B</w:t>
      </w:r>
      <w:r>
        <w:rPr>
          <w:spacing w:val="-13"/>
        </w:rPr>
        <w:t> 型流感病毒复制的特性，并阐明其通过</w:t>
      </w:r>
      <w:r>
        <w:rPr/>
        <w:t>抑制流感病毒核蛋白（NP）出核从而发挥抗流感病毒活性的新机制。</w:t>
      </w:r>
    </w:p>
    <w:p>
      <w:pPr>
        <w:pStyle w:val="BodyText"/>
        <w:spacing w:line="297" w:lineRule="auto" w:before="5"/>
        <w:ind w:right="229" w:firstLine="480"/>
        <w:jc w:val="both"/>
      </w:pPr>
      <w:r>
        <w:rPr>
          <w:spacing w:val="-3"/>
        </w:rPr>
        <w:t>萘普生是一种非甾类抗炎症药物，已在临床使用 </w:t>
      </w:r>
      <w:r>
        <w:rPr/>
        <w:t>40</w:t>
      </w:r>
      <w:r>
        <w:rPr>
          <w:spacing w:val="-8"/>
        </w:rPr>
        <w:t> 多年。目前获批上市的抗流感病毒</w:t>
      </w:r>
      <w:r>
        <w:rPr>
          <w:spacing w:val="-14"/>
        </w:rPr>
        <w:t>药物有两类，一类是 </w:t>
      </w:r>
      <w:r>
        <w:rPr/>
        <w:t>M2</w:t>
      </w:r>
      <w:r>
        <w:rPr>
          <w:spacing w:val="-21"/>
        </w:rPr>
        <w:t> 抑制剂</w:t>
      </w:r>
      <w:r>
        <w:rPr/>
        <w:t>（金刚烷胺和金刚乙胺</w:t>
      </w:r>
      <w:r>
        <w:rPr>
          <w:spacing w:val="-22"/>
        </w:rPr>
        <w:t>），</w:t>
      </w:r>
      <w:r>
        <w:rPr>
          <w:spacing w:val="-9"/>
        </w:rPr>
        <w:t>已不推荐使用；另一类是 </w:t>
      </w:r>
      <w:r>
        <w:rPr/>
        <w:t>NA</w:t>
      </w:r>
      <w:r>
        <w:rPr>
          <w:spacing w:val="-24"/>
        </w:rPr>
        <w:t> 抑制</w:t>
      </w:r>
      <w:r>
        <w:rPr>
          <w:spacing w:val="-22"/>
        </w:rPr>
        <w:t>剂</w:t>
      </w:r>
      <w:r>
        <w:rPr/>
        <w:t>（</w:t>
      </w:r>
      <w:r>
        <w:rPr>
          <w:spacing w:val="-5"/>
        </w:rPr>
        <w:t>奥司他韦、扎那米韦和帕拉米韦</w:t>
      </w:r>
      <w:r>
        <w:rPr>
          <w:spacing w:val="-22"/>
        </w:rPr>
        <w:t>），</w:t>
      </w:r>
      <w:r>
        <w:rPr>
          <w:spacing w:val="-30"/>
        </w:rPr>
        <w:t>对 </w:t>
      </w:r>
      <w:r>
        <w:rPr/>
        <w:t>A</w:t>
      </w:r>
      <w:r>
        <w:rPr>
          <w:spacing w:val="-30"/>
        </w:rPr>
        <w:t> 型和 </w:t>
      </w:r>
      <w:r>
        <w:rPr/>
        <w:t>B</w:t>
      </w:r>
      <w:r>
        <w:rPr>
          <w:spacing w:val="-10"/>
        </w:rPr>
        <w:t> 型流感病毒都有抗病毒效果，但近年来</w:t>
      </w:r>
      <w:r>
        <w:rPr/>
        <w:t>也出现不少耐药病例报告。</w:t>
      </w:r>
    </w:p>
    <w:p>
      <w:pPr>
        <w:pStyle w:val="BodyText"/>
        <w:spacing w:line="297" w:lineRule="auto"/>
        <w:ind w:right="126" w:firstLine="480"/>
      </w:pPr>
      <w:r>
        <w:rPr>
          <w:spacing w:val="-12"/>
        </w:rPr>
        <w:t>此次研究发现，萘普生能够阻断宿主的出核相关蛋白 </w:t>
      </w:r>
      <w:r>
        <w:rPr/>
        <w:t>CRM1</w:t>
      </w:r>
      <w:r>
        <w:rPr>
          <w:spacing w:val="-24"/>
        </w:rPr>
        <w:t> 与病毒 </w:t>
      </w:r>
      <w:r>
        <w:rPr/>
        <w:t>NP</w:t>
      </w:r>
      <w:r>
        <w:rPr>
          <w:spacing w:val="-27"/>
        </w:rPr>
        <w:t> 的结合，抑制 </w:t>
      </w:r>
      <w:r>
        <w:rPr/>
        <w:t>CRM1 </w:t>
      </w:r>
      <w:r>
        <w:rPr>
          <w:spacing w:val="-16"/>
        </w:rPr>
        <w:t>介导的 </w:t>
      </w:r>
      <w:r>
        <w:rPr/>
        <w:t>NP</w:t>
      </w:r>
      <w:r>
        <w:rPr>
          <w:spacing w:val="-10"/>
        </w:rPr>
        <w:t> 出核，从而发挥抗流感病毒的活性。同时，萘普生不仅能抑制 </w:t>
      </w:r>
      <w:r>
        <w:rPr/>
        <w:t>A</w:t>
      </w:r>
      <w:r>
        <w:rPr>
          <w:spacing w:val="-8"/>
        </w:rPr>
        <w:t> 型流感病毒的复</w:t>
      </w:r>
      <w:r>
        <w:rPr>
          <w:spacing w:val="-10"/>
        </w:rPr>
        <w:t>制，而且表现出比临床上常用的抗流感药物奥司他韦更强的抗 </w:t>
      </w:r>
      <w:r>
        <w:rPr/>
        <w:t>B</w:t>
      </w:r>
      <w:r>
        <w:rPr>
          <w:spacing w:val="-9"/>
        </w:rPr>
        <w:t> 型流感病毒的活性。此外， </w:t>
      </w:r>
      <w:r>
        <w:rPr/>
        <w:t>该研究发现，A</w:t>
      </w:r>
      <w:r>
        <w:rPr>
          <w:spacing w:val="-18"/>
        </w:rPr>
        <w:t> 型流感病毒 </w:t>
      </w:r>
      <w:r>
        <w:rPr/>
        <w:t>NP</w:t>
      </w:r>
      <w:r>
        <w:rPr>
          <w:spacing w:val="-40"/>
        </w:rPr>
        <w:t> 的 </w:t>
      </w:r>
      <w:r>
        <w:rPr/>
        <w:t>Y148</w:t>
      </w:r>
      <w:r>
        <w:rPr>
          <w:spacing w:val="-40"/>
        </w:rPr>
        <w:t> 及 </w:t>
      </w:r>
      <w:r>
        <w:rPr/>
        <w:t>B</w:t>
      </w:r>
      <w:r>
        <w:rPr>
          <w:spacing w:val="-18"/>
        </w:rPr>
        <w:t> 型流感病毒 </w:t>
      </w:r>
      <w:r>
        <w:rPr/>
        <w:t>NP</w:t>
      </w:r>
      <w:r>
        <w:rPr>
          <w:spacing w:val="-40"/>
        </w:rPr>
        <w:t> 的 </w:t>
      </w:r>
      <w:r>
        <w:rPr/>
        <w:t>F209</w:t>
      </w:r>
      <w:r>
        <w:rPr>
          <w:spacing w:val="-8"/>
        </w:rPr>
        <w:t> 位点是萘普生结合位点， 序列分析显示这两个结合位点高度保守，暗示病毒对萘普生不易产生耐药性。</w:t>
      </w:r>
    </w:p>
    <w:p>
      <w:pPr>
        <w:pStyle w:val="BodyText"/>
        <w:spacing w:line="278" w:lineRule="auto"/>
        <w:ind w:right="228" w:firstLine="480"/>
        <w:jc w:val="both"/>
        <w:rPr>
          <w:rFonts w:ascii="Meiryo" w:hAnsi="Meiryo" w:eastAsia="Meiryo" w:hint="eastAsia"/>
          <w:b/>
        </w:rPr>
      </w:pPr>
      <w:r>
        <w:rPr>
          <w:spacing w:val="-5"/>
        </w:rPr>
        <w:t>研究人员认为，抑制流感病毒 </w:t>
      </w:r>
      <w:r>
        <w:rPr/>
        <w:t>NP</w:t>
      </w:r>
      <w:r>
        <w:rPr>
          <w:spacing w:val="-8"/>
        </w:rPr>
        <w:t> 的核质穿梭是抗流感药物设计的一种有效手段，核质</w:t>
      </w:r>
      <w:r>
        <w:rPr>
          <w:spacing w:val="-14"/>
        </w:rPr>
        <w:t>穿梭关键靶点的筛选及相应药物的研发具有重要意义。而萘普生这种“老药”具备良好的安</w:t>
      </w:r>
      <w:r>
        <w:rPr/>
        <w:t>全性与可控性，这将极大地缩短其作为抗流感候选药物进入临床应用的时间。</w:t>
      </w:r>
      <w:r>
        <w:rPr>
          <w:rFonts w:ascii="Meiryo" w:hAnsi="Meiryo" w:eastAsia="Meiryo" w:hint="eastAsia"/>
          <w:b/>
          <w:color w:val="0033CC"/>
        </w:rPr>
        <w:t>[返回目次]</w:t>
      </w:r>
    </w:p>
    <w:p>
      <w:pPr>
        <w:pStyle w:val="Heading2"/>
        <w:spacing w:line="401" w:lineRule="exact"/>
      </w:pPr>
      <w:bookmarkStart w:name="_TOC_250019" w:id="5"/>
      <w:bookmarkEnd w:id="5"/>
      <w:r>
        <w:rPr/>
        <w:t>【新药看台】</w:t>
      </w:r>
    </w:p>
    <w:p>
      <w:pPr>
        <w:pStyle w:val="Heading2"/>
        <w:spacing w:before="283"/>
        <w:ind w:left="0"/>
        <w:jc w:val="center"/>
      </w:pPr>
      <w:bookmarkStart w:name="_TOC_250018" w:id="6"/>
      <w:bookmarkEnd w:id="6"/>
      <w:r>
        <w:rPr/>
        <w:t>糖尿病治疗药物聚乙二醇洛塞那肽注射液获批上市</w:t>
      </w:r>
    </w:p>
    <w:p>
      <w:pPr>
        <w:pStyle w:val="Heading3"/>
        <w:spacing w:before="145"/>
        <w:ind w:left="0" w:right="228"/>
        <w:jc w:val="right"/>
        <w:rPr>
          <w:rFonts w:ascii="楷体" w:eastAsia="楷体" w:hint="eastAsia"/>
        </w:rPr>
      </w:pPr>
      <w:r>
        <w:rPr>
          <w:rFonts w:ascii="楷体" w:eastAsia="楷体" w:hint="eastAsia"/>
          <w:color w:val="FF0000"/>
          <w:w w:val="95"/>
        </w:rPr>
        <w:t>（来源：中国医药报）</w:t>
      </w:r>
    </w:p>
    <w:p>
      <w:pPr>
        <w:pStyle w:val="BodyText"/>
        <w:spacing w:before="96"/>
        <w:ind w:left="717"/>
      </w:pPr>
      <w:r>
        <w:rPr>
          <w:spacing w:val="-14"/>
        </w:rPr>
        <w:t>近日，国家药品监管局通过优先审评审批程序批准 </w:t>
      </w:r>
      <w:r>
        <w:rPr/>
        <w:t>1</w:t>
      </w:r>
      <w:r>
        <w:rPr>
          <w:spacing w:val="-8"/>
        </w:rPr>
        <w:t> 类创新药聚乙二醇洛塞那肽注射液</w:t>
      </w:r>
    </w:p>
    <w:p>
      <w:pPr>
        <w:pStyle w:val="BodyText"/>
        <w:spacing w:before="74"/>
      </w:pPr>
      <w:r>
        <w:rPr/>
        <w:t>（商品名：孚来美）上市，用于成人改善 2 型糖尿病患者的血糖控制。</w:t>
      </w:r>
    </w:p>
    <w:p>
      <w:pPr>
        <w:spacing w:after="0"/>
        <w:sectPr>
          <w:type w:val="continuous"/>
          <w:pgSz w:w="11910" w:h="16850"/>
          <w:pgMar w:top="1100" w:bottom="1020" w:left="1040" w:right="900"/>
        </w:sectPr>
      </w:pPr>
    </w:p>
    <w:p>
      <w:pPr>
        <w:pStyle w:val="BodyText"/>
        <w:spacing w:line="295" w:lineRule="auto" w:before="65"/>
        <w:ind w:right="228" w:firstLine="480"/>
      </w:pPr>
      <w:r>
        <w:rPr>
          <w:spacing w:val="-5"/>
        </w:rPr>
        <w:t>聚乙二醇洛塞那肽是长效 </w:t>
      </w:r>
      <w:r>
        <w:rPr/>
        <w:t>GLP-1</w:t>
      </w:r>
      <w:r>
        <w:rPr>
          <w:spacing w:val="-14"/>
        </w:rPr>
        <w:t> 受体激动剂，可促进葡萄糖依赖的胰岛素分泌，配合饮</w:t>
      </w:r>
      <w:r>
        <w:rPr>
          <w:spacing w:val="-10"/>
        </w:rPr>
        <w:t>食控制和运动，单药或与二甲双胍联合，用于改善成人 </w:t>
      </w:r>
      <w:r>
        <w:rPr/>
        <w:t>2</w:t>
      </w:r>
      <w:r>
        <w:rPr>
          <w:spacing w:val="-11"/>
        </w:rPr>
        <w:t> 型糖尿病患者的血糖控制。聚乙二</w:t>
      </w:r>
    </w:p>
    <w:p>
      <w:pPr>
        <w:pStyle w:val="BodyText"/>
        <w:spacing w:before="2"/>
      </w:pPr>
      <w:r>
        <w:rPr/>
        <w:t>醇洛塞那肽注射液的上市将为 2 型糖尿病患者提供新的治疗手段。</w:t>
      </w:r>
    </w:p>
    <w:p>
      <w:pPr>
        <w:pStyle w:val="Heading3"/>
        <w:spacing w:line="388" w:lineRule="exact" w:before="28"/>
        <w:rPr>
          <w:rFonts w:ascii="Meiryo" w:eastAsia="Meiryo" w:hint="eastAsia"/>
        </w:rPr>
      </w:pPr>
      <w:r>
        <w:rPr>
          <w:rFonts w:ascii="Meiryo" w:eastAsia="Meiryo" w:hint="eastAsia"/>
          <w:color w:val="0033CC"/>
        </w:rPr>
        <w:t>[返回目次]</w:t>
      </w:r>
    </w:p>
    <w:p>
      <w:pPr>
        <w:spacing w:after="0" w:line="388" w:lineRule="exact"/>
        <w:rPr>
          <w:rFonts w:ascii="Meiryo" w:eastAsia="Meiryo" w:hint="eastAsia"/>
        </w:rPr>
        <w:sectPr>
          <w:pgSz w:w="11910" w:h="16850"/>
          <w:pgMar w:header="906" w:footer="607" w:top="1100" w:bottom="800" w:left="1040" w:right="900"/>
        </w:sectPr>
      </w:pPr>
    </w:p>
    <w:p>
      <w:pPr>
        <w:pStyle w:val="BodyText"/>
        <w:spacing w:before="17"/>
        <w:ind w:left="0"/>
        <w:rPr>
          <w:rFonts w:ascii="Meiryo"/>
          <w:b/>
          <w:sz w:val="34"/>
        </w:rPr>
      </w:pPr>
    </w:p>
    <w:p>
      <w:pPr>
        <w:spacing w:before="0"/>
        <w:ind w:left="237" w:right="0" w:firstLine="0"/>
        <w:jc w:val="left"/>
        <w:rPr>
          <w:b/>
          <w:sz w:val="32"/>
        </w:rPr>
      </w:pPr>
      <w:r>
        <w:rPr>
          <w:b/>
          <w:sz w:val="32"/>
        </w:rPr>
        <w:t>【临床药师】</w:t>
      </w:r>
    </w:p>
    <w:p>
      <w:pPr>
        <w:pStyle w:val="Heading1"/>
        <w:spacing w:line="662" w:lineRule="exact"/>
        <w:rPr>
          <w:u w:val="none"/>
        </w:rPr>
      </w:pPr>
      <w:bookmarkStart w:name="_TOC_250017" w:id="7"/>
      <w:r>
        <w:rPr>
          <w:b w:val="0"/>
          <w:u w:val="none"/>
        </w:rPr>
        <w:br w:type="column"/>
      </w:r>
      <w:r>
        <w:rPr>
          <w:rFonts w:ascii="Times New Roman" w:eastAsia="Times New Roman"/>
          <w:color w:val="008000"/>
          <w:spacing w:val="-110"/>
          <w:w w:val="99"/>
          <w:u w:val="thick" w:color="008000"/>
        </w:rPr>
        <w:t> </w:t>
      </w:r>
      <w:bookmarkEnd w:id="7"/>
      <w:r>
        <w:rPr>
          <w:color w:val="008000"/>
          <w:u w:val="thick" w:color="008000"/>
        </w:rPr>
        <w:t>合理用药</w:t>
      </w:r>
    </w:p>
    <w:p>
      <w:pPr>
        <w:spacing w:after="0" w:line="662" w:lineRule="exact"/>
        <w:sectPr>
          <w:type w:val="continuous"/>
          <w:pgSz w:w="11910" w:h="16850"/>
          <w:pgMar w:top="1100" w:bottom="1020" w:left="1040" w:right="900"/>
          <w:cols w:num="2" w:equalWidth="0">
            <w:col w:w="2207" w:space="2180"/>
            <w:col w:w="5583"/>
          </w:cols>
        </w:sectPr>
      </w:pPr>
    </w:p>
    <w:p>
      <w:pPr>
        <w:pStyle w:val="BodyText"/>
        <w:spacing w:before="9"/>
        <w:ind w:left="0"/>
        <w:rPr>
          <w:rFonts w:ascii="华文宋体"/>
          <w:b/>
          <w:sz w:val="14"/>
        </w:rPr>
      </w:pPr>
    </w:p>
    <w:p>
      <w:pPr>
        <w:pStyle w:val="Heading2"/>
        <w:spacing w:before="55"/>
        <w:ind w:left="1"/>
        <w:jc w:val="center"/>
      </w:pPr>
      <w:bookmarkStart w:name="_TOC_250016" w:id="8"/>
      <w:bookmarkEnd w:id="8"/>
      <w:r>
        <w:rPr/>
        <w:t>基于临床药师工作实践构建电子药历管理平台</w:t>
      </w:r>
    </w:p>
    <w:p>
      <w:pPr>
        <w:spacing w:line="328" w:lineRule="auto" w:before="148"/>
        <w:ind w:left="237" w:right="228" w:firstLine="4373"/>
        <w:jc w:val="both"/>
        <w:rPr>
          <w:sz w:val="18"/>
        </w:rPr>
      </w:pPr>
      <w:r>
        <w:rPr>
          <w:rFonts w:ascii="楷体" w:eastAsia="楷体" w:hint="eastAsia"/>
          <w:b/>
          <w:color w:val="FF0000"/>
          <w:sz w:val="24"/>
        </w:rPr>
        <w:t>（来源：《中国医院药学杂志》2019</w:t>
      </w:r>
      <w:r>
        <w:rPr>
          <w:rFonts w:ascii="楷体" w:eastAsia="楷体" w:hint="eastAsia"/>
          <w:b/>
          <w:color w:val="FF0000"/>
          <w:spacing w:val="-30"/>
          <w:sz w:val="24"/>
        </w:rPr>
        <w:t> 年第 </w:t>
      </w:r>
      <w:r>
        <w:rPr>
          <w:rFonts w:ascii="楷体" w:eastAsia="楷体" w:hint="eastAsia"/>
          <w:b/>
          <w:color w:val="FF0000"/>
          <w:sz w:val="24"/>
        </w:rPr>
        <w:t>4</w:t>
      </w:r>
      <w:r>
        <w:rPr>
          <w:rFonts w:ascii="楷体" w:eastAsia="楷体" w:hint="eastAsia"/>
          <w:b/>
          <w:color w:val="FF0000"/>
          <w:spacing w:val="-31"/>
          <w:sz w:val="24"/>
        </w:rPr>
        <w:t> 期</w:t>
      </w:r>
      <w:r>
        <w:rPr>
          <w:rFonts w:ascii="楷体" w:eastAsia="楷体" w:hint="eastAsia"/>
          <w:b/>
          <w:color w:val="FF0000"/>
          <w:spacing w:val="-14"/>
          <w:sz w:val="24"/>
        </w:rPr>
        <w:t>） </w:t>
      </w:r>
      <w:r>
        <w:rPr>
          <w:rFonts w:ascii="楷体" w:eastAsia="楷体" w:hint="eastAsia"/>
          <w:spacing w:val="-15"/>
          <w:sz w:val="24"/>
        </w:rPr>
        <w:t>俞鹏天 </w:t>
      </w:r>
      <w:r>
        <w:rPr>
          <w:rFonts w:ascii="楷体" w:eastAsia="楷体" w:hint="eastAsia"/>
          <w:spacing w:val="-6"/>
          <w:position w:val="12"/>
          <w:sz w:val="12"/>
        </w:rPr>
        <w:t>1</w:t>
      </w:r>
      <w:r>
        <w:rPr>
          <w:rFonts w:ascii="楷体" w:eastAsia="楷体" w:hint="eastAsia"/>
          <w:spacing w:val="-17"/>
          <w:sz w:val="24"/>
        </w:rPr>
        <w:t>，李菌 </w:t>
      </w:r>
      <w:r>
        <w:rPr>
          <w:rFonts w:ascii="楷体" w:eastAsia="楷体" w:hint="eastAsia"/>
          <w:spacing w:val="-6"/>
          <w:position w:val="12"/>
          <w:sz w:val="12"/>
        </w:rPr>
        <w:t>1</w:t>
      </w:r>
      <w:r>
        <w:rPr>
          <w:rFonts w:ascii="楷体" w:eastAsia="楷体" w:hint="eastAsia"/>
          <w:spacing w:val="-14"/>
          <w:sz w:val="24"/>
        </w:rPr>
        <w:t>，姜赛平 </w:t>
      </w:r>
      <w:r>
        <w:rPr>
          <w:rFonts w:ascii="楷体" w:eastAsia="楷体" w:hint="eastAsia"/>
          <w:spacing w:val="-6"/>
          <w:position w:val="12"/>
          <w:sz w:val="12"/>
        </w:rPr>
        <w:t>1</w:t>
      </w:r>
      <w:r>
        <w:rPr>
          <w:rFonts w:ascii="楷体" w:eastAsia="楷体" w:hint="eastAsia"/>
          <w:spacing w:val="-14"/>
          <w:sz w:val="24"/>
        </w:rPr>
        <w:t>，胡云珍 </w:t>
      </w:r>
      <w:r>
        <w:rPr>
          <w:rFonts w:ascii="楷体" w:eastAsia="楷体" w:hint="eastAsia"/>
          <w:spacing w:val="-6"/>
          <w:position w:val="12"/>
          <w:sz w:val="12"/>
        </w:rPr>
        <w:t>1</w:t>
      </w:r>
      <w:r>
        <w:rPr>
          <w:rFonts w:ascii="楷体" w:eastAsia="楷体" w:hint="eastAsia"/>
          <w:spacing w:val="-14"/>
          <w:sz w:val="24"/>
        </w:rPr>
        <w:t>，阮吉州 </w:t>
      </w:r>
      <w:r>
        <w:rPr>
          <w:rFonts w:ascii="楷体" w:eastAsia="楷体" w:hint="eastAsia"/>
          <w:spacing w:val="-6"/>
          <w:position w:val="12"/>
          <w:sz w:val="12"/>
        </w:rPr>
        <w:t>2</w:t>
      </w:r>
      <w:r>
        <w:rPr>
          <w:rFonts w:ascii="楷体" w:eastAsia="楷体" w:hint="eastAsia"/>
          <w:spacing w:val="-17"/>
          <w:sz w:val="24"/>
        </w:rPr>
        <w:t>，周俊 </w:t>
      </w:r>
      <w:r>
        <w:rPr>
          <w:rFonts w:ascii="楷体" w:eastAsia="楷体" w:hint="eastAsia"/>
          <w:spacing w:val="-6"/>
          <w:position w:val="12"/>
          <w:sz w:val="12"/>
        </w:rPr>
        <w:t>1</w:t>
      </w:r>
      <w:r>
        <w:rPr>
          <w:rFonts w:ascii="楷体" w:eastAsia="楷体" w:hint="eastAsia"/>
          <w:spacing w:val="-17"/>
          <w:sz w:val="24"/>
        </w:rPr>
        <w:t>，李茜 </w:t>
      </w:r>
      <w:r>
        <w:rPr>
          <w:rFonts w:ascii="楷体" w:eastAsia="楷体" w:hint="eastAsia"/>
          <w:spacing w:val="-6"/>
          <w:position w:val="12"/>
          <w:sz w:val="12"/>
        </w:rPr>
        <w:t>1</w:t>
      </w:r>
      <w:r>
        <w:rPr>
          <w:rFonts w:ascii="楷体" w:eastAsia="楷体" w:hint="eastAsia"/>
          <w:spacing w:val="-14"/>
          <w:sz w:val="24"/>
        </w:rPr>
        <w:t>，卢晓阳 </w:t>
      </w:r>
      <w:r>
        <w:rPr>
          <w:rFonts w:ascii="楷体" w:eastAsia="楷体" w:hint="eastAsia"/>
          <w:position w:val="12"/>
          <w:sz w:val="12"/>
        </w:rPr>
        <w:t>1 </w:t>
      </w:r>
      <w:r>
        <w:rPr>
          <w:sz w:val="18"/>
        </w:rPr>
        <w:t>（浙江大学医学院附属第一医院，1. 药学部，2</w:t>
      </w:r>
      <w:r>
        <w:rPr>
          <w:spacing w:val="-1"/>
          <w:sz w:val="18"/>
        </w:rPr>
        <w:t>. 信息中心，浙江 杭州 </w:t>
      </w:r>
      <w:r>
        <w:rPr>
          <w:sz w:val="18"/>
        </w:rPr>
        <w:t>310000）</w:t>
      </w:r>
    </w:p>
    <w:p>
      <w:pPr>
        <w:pStyle w:val="BodyText"/>
        <w:spacing w:line="297" w:lineRule="auto" w:before="6"/>
        <w:ind w:right="227" w:firstLine="120"/>
        <w:rPr>
          <w:rFonts w:ascii="楷体" w:eastAsia="楷体" w:hint="eastAsia"/>
        </w:rPr>
      </w:pPr>
      <w:r>
        <w:rPr>
          <w:rFonts w:ascii="黑体" w:eastAsia="黑体" w:hint="eastAsia"/>
          <w:spacing w:val="-5"/>
        </w:rPr>
        <w:t>[摘要] 目的：</w:t>
      </w:r>
      <w:r>
        <w:rPr>
          <w:rFonts w:ascii="楷体" w:eastAsia="楷体" w:hint="eastAsia"/>
          <w:spacing w:val="-6"/>
        </w:rPr>
        <w:t>构建高效实用的电子药历管理平台，协助临床药师开展药学服务，保障医疗</w:t>
      </w:r>
      <w:r>
        <w:rPr>
          <w:rFonts w:ascii="楷体" w:eastAsia="楷体" w:hint="eastAsia"/>
          <w:spacing w:val="-2"/>
        </w:rPr>
        <w:t>质量和医疗安全。</w:t>
      </w:r>
      <w:r>
        <w:rPr>
          <w:rFonts w:ascii="黑体" w:eastAsia="黑体" w:hint="eastAsia"/>
          <w:spacing w:val="-5"/>
        </w:rPr>
        <w:t>方法：</w:t>
      </w:r>
      <w:r>
        <w:rPr>
          <w:rFonts w:ascii="楷体" w:eastAsia="楷体" w:hint="eastAsia"/>
          <w:spacing w:val="-6"/>
        </w:rPr>
        <w:t>电子药历管理平台采用 </w:t>
      </w:r>
      <w:r>
        <w:rPr>
          <w:rFonts w:ascii="楷体" w:eastAsia="楷体" w:hint="eastAsia"/>
        </w:rPr>
        <w:t>C++</w:t>
      </w:r>
      <w:r>
        <w:rPr>
          <w:rFonts w:ascii="楷体" w:eastAsia="楷体" w:hint="eastAsia"/>
          <w:spacing w:val="-4"/>
        </w:rPr>
        <w:t>语言编写，尝试与电子病历系统实现无</w:t>
      </w:r>
      <w:r>
        <w:rPr>
          <w:rFonts w:ascii="楷体" w:eastAsia="楷体" w:hint="eastAsia"/>
          <w:spacing w:val="-10"/>
        </w:rPr>
        <w:t>缝对接；根据患者在院流程设置七大药学服务模块，实现患者的全程化药学管理，并制定了</w:t>
      </w:r>
      <w:r>
        <w:rPr>
          <w:rFonts w:ascii="楷体" w:eastAsia="楷体" w:hint="eastAsia"/>
        </w:rPr>
        <w:t>患者药学监护的分级管理制度</w:t>
      </w:r>
      <w:r>
        <w:rPr>
          <w:rFonts w:ascii="黑体" w:eastAsia="黑体" w:hint="eastAsia"/>
          <w:spacing w:val="-27"/>
        </w:rPr>
        <w:t>。结果：</w:t>
      </w:r>
      <w:r>
        <w:rPr>
          <w:rFonts w:ascii="楷体" w:eastAsia="楷体" w:hint="eastAsia"/>
          <w:spacing w:val="-2"/>
        </w:rPr>
        <w:t>药历和病历系统的融合真正实现了医药护数据的无缝</w:t>
      </w:r>
      <w:r>
        <w:rPr>
          <w:rFonts w:ascii="楷体" w:eastAsia="楷体" w:hint="eastAsia"/>
          <w:spacing w:val="-10"/>
        </w:rPr>
        <w:t>对接和共享，能让医护及时了解相关药学建议，促进合理用药；药学监护的全流程化则确保</w:t>
      </w:r>
      <w:r>
        <w:rPr>
          <w:rFonts w:ascii="楷体" w:eastAsia="楷体" w:hint="eastAsia"/>
        </w:rPr>
        <w:t>了患者药学监护的连续性和完整性；而药学监护分级管理制度则让临床药师的工作有的放</w:t>
      </w:r>
      <w:r>
        <w:rPr>
          <w:rFonts w:ascii="楷体" w:eastAsia="楷体" w:hint="eastAsia"/>
          <w:spacing w:val="-8"/>
        </w:rPr>
        <w:t>矢，在提高效率的同时突出了重点。</w:t>
      </w:r>
      <w:r>
        <w:rPr>
          <w:rFonts w:ascii="黑体" w:eastAsia="黑体" w:hint="eastAsia"/>
          <w:spacing w:val="-12"/>
        </w:rPr>
        <w:t>结论：</w:t>
      </w:r>
      <w:r>
        <w:rPr>
          <w:rFonts w:ascii="楷体" w:eastAsia="楷体" w:hint="eastAsia"/>
          <w:spacing w:val="-3"/>
        </w:rPr>
        <w:t>该电子药历管理平台的构建不仅促进了我院临床</w:t>
      </w:r>
      <w:r>
        <w:rPr>
          <w:rFonts w:ascii="楷体" w:eastAsia="楷体" w:hint="eastAsia"/>
          <w:spacing w:val="-10"/>
        </w:rPr>
        <w:t>药学工作的发展，而且为我国临床药学电子药历的规范化建设和管理提供参考，对医疗质量</w:t>
      </w:r>
      <w:r>
        <w:rPr>
          <w:rFonts w:ascii="楷体" w:eastAsia="楷体" w:hint="eastAsia"/>
        </w:rPr>
        <w:t>和医疗安全的保障起到了积极作用。</w:t>
      </w:r>
    </w:p>
    <w:p>
      <w:pPr>
        <w:pStyle w:val="BodyText"/>
        <w:tabs>
          <w:tab w:pos="1437" w:val="left" w:leader="none"/>
        </w:tabs>
        <w:spacing w:line="296" w:lineRule="exact"/>
        <w:rPr>
          <w:rFonts w:ascii="楷体" w:eastAsia="楷体" w:hint="eastAsia"/>
        </w:rPr>
      </w:pPr>
      <w:r>
        <w:rPr>
          <w:rFonts w:ascii="黑体" w:eastAsia="黑体" w:hint="eastAsia"/>
        </w:rPr>
        <w:t>[关键词]</w:t>
        <w:tab/>
      </w:r>
      <w:r>
        <w:rPr>
          <w:rFonts w:ascii="楷体" w:eastAsia="楷体" w:hint="eastAsia"/>
        </w:rPr>
        <w:t>电子药历；药学监护；临床药学</w:t>
      </w:r>
    </w:p>
    <w:p>
      <w:pPr>
        <w:pStyle w:val="BodyText"/>
        <w:spacing w:line="297" w:lineRule="auto" w:before="71"/>
        <w:ind w:right="226" w:firstLine="480"/>
        <w:jc w:val="both"/>
      </w:pPr>
      <w:r>
        <w:rPr>
          <w:spacing w:val="-5"/>
        </w:rPr>
        <w:t>随着我国医疗改革的不断深入和人们对医疗质量期望的提高，药师深入临床参与疾病诊</w:t>
      </w:r>
      <w:r>
        <w:rPr>
          <w:spacing w:val="-11"/>
        </w:rPr>
        <w:t>断、治疗，提供药学技术服务，提升医疗质量，从而形成医药互补的局面将成为临床药学未来的发展趋势。其中，药历作为临床药师进行药学技术服务必备的资料，其重要性也日益突出。药历是临床药师通过采集临床资料综合分析整理归纳而书写成的完整技术档案资料，是</w:t>
      </w:r>
      <w:r>
        <w:rPr>
          <w:spacing w:val="-7"/>
        </w:rPr>
        <w:t>药师客观记录患者用药历史。它可以及时发现和解决患者在治疗中与药物相关的问题，给予</w:t>
      </w:r>
      <w:r>
        <w:rPr>
          <w:spacing w:val="-9"/>
        </w:rPr>
        <w:t>合理用药建议，并保留完整的记录备考，是患者个体化治疗重要依据之一。而电子药历是利</w:t>
      </w:r>
      <w:r>
        <w:rPr>
          <w:spacing w:val="-7"/>
        </w:rPr>
        <w:t>用信息技术发展而成的新形式，为临床药师搭建一个存储量大，数据处理直观方便，查询及</w:t>
      </w:r>
      <w:r>
        <w:rPr>
          <w:spacing w:val="-10"/>
        </w:rPr>
        <w:t>输出快捷的平台。先前已有大量文献报道了电子药历在临床药师实际工作中的作用，但都仅</w:t>
      </w:r>
      <w:r>
        <w:rPr>
          <w:spacing w:val="-7"/>
        </w:rPr>
        <w:t>仅关注于为临床药师工作本身带来的便捷性。如何能让临床医生护士都方便快捷地了解相关</w:t>
      </w:r>
      <w:r>
        <w:rPr>
          <w:spacing w:val="-11"/>
        </w:rPr>
        <w:t>药学建议，发挥电子药历在医嘱开具、执行中的作用，摆脱电子药历成为“自娱自乐”的信息孤岛，这是亟需解决的问题。同时，我国的电子药历发展层次不一，没有固定统一的发展</w:t>
      </w:r>
      <w:r>
        <w:rPr>
          <w:spacing w:val="-10"/>
        </w:rPr>
        <w:t>模式，各地区发展差距也比较大，各家医院都有自己格式的药历。本研究拟基于我院临床药</w:t>
      </w:r>
      <w:r>
        <w:rPr>
          <w:spacing w:val="-8"/>
        </w:rPr>
        <w:t>师工作实践构建电子药历管理平台，以期为我国临床药学电子药历的规范化建设和管理提供</w:t>
      </w:r>
      <w:r>
        <w:rPr/>
        <w:t>新的视角和参考。</w:t>
      </w:r>
    </w:p>
    <w:p>
      <w:pPr>
        <w:pStyle w:val="Heading3"/>
        <w:numPr>
          <w:ilvl w:val="0"/>
          <w:numId w:val="6"/>
        </w:numPr>
        <w:tabs>
          <w:tab w:pos="960" w:val="left" w:leader="none"/>
        </w:tabs>
        <w:spacing w:line="291" w:lineRule="exact" w:before="0" w:after="0"/>
        <w:ind w:left="959" w:right="0" w:hanging="243"/>
        <w:jc w:val="both"/>
      </w:pPr>
      <w:r>
        <w:rPr/>
        <w:t>资料与方法</w:t>
      </w:r>
    </w:p>
    <w:p>
      <w:pPr>
        <w:spacing w:after="0" w:line="291" w:lineRule="exact"/>
        <w:jc w:val="both"/>
        <w:sectPr>
          <w:type w:val="continuous"/>
          <w:pgSz w:w="11910" w:h="16850"/>
          <w:pgMar w:top="1100" w:bottom="1020" w:left="1040" w:right="900"/>
        </w:sectPr>
      </w:pPr>
    </w:p>
    <w:p>
      <w:pPr>
        <w:pStyle w:val="ListParagraph"/>
        <w:numPr>
          <w:ilvl w:val="1"/>
          <w:numId w:val="6"/>
        </w:numPr>
        <w:tabs>
          <w:tab w:pos="1318" w:val="left" w:leader="none"/>
        </w:tabs>
        <w:spacing w:line="297" w:lineRule="auto" w:before="65" w:after="0"/>
        <w:ind w:left="237" w:right="227" w:firstLine="480"/>
        <w:jc w:val="both"/>
        <w:rPr>
          <w:sz w:val="24"/>
        </w:rPr>
      </w:pPr>
      <w:r>
        <w:rPr>
          <w:sz w:val="24"/>
        </w:rPr>
        <w:t>电子药历管理平台模式 首先，委托我院信息中心开发的电子药历管理平台，是</w:t>
      </w:r>
      <w:r>
        <w:rPr>
          <w:spacing w:val="-20"/>
          <w:sz w:val="24"/>
        </w:rPr>
        <w:t>基于 </w:t>
      </w:r>
      <w:r>
        <w:rPr>
          <w:sz w:val="24"/>
        </w:rPr>
        <w:t>C+</w:t>
      </w:r>
      <w:r>
        <w:rPr>
          <w:spacing w:val="-4"/>
          <w:sz w:val="24"/>
        </w:rPr>
        <w:t>+语言进行编写的在线工作软件，能够帮助临床药师在临床科室开展日常药学服务并</w:t>
      </w:r>
      <w:r>
        <w:rPr>
          <w:spacing w:val="-8"/>
          <w:sz w:val="24"/>
        </w:rPr>
        <w:t>进行相关文书记录，还能与病历系统进行无缝对接。其次，根据患者在院流程，我院电子药</w:t>
      </w:r>
      <w:r>
        <w:rPr>
          <w:spacing w:val="-5"/>
          <w:sz w:val="24"/>
        </w:rPr>
        <w:t>历管理平台主要包含了入院药学协调表、药学初始评估、药学监护日志、药学转科小结、转</w:t>
      </w:r>
      <w:r>
        <w:rPr>
          <w:spacing w:val="-11"/>
          <w:sz w:val="24"/>
        </w:rPr>
        <w:t>科药学协调表、入科药学协调表和出院用药指导七大服务模块和一个药品知识库。最后，为</w:t>
      </w:r>
      <w:r>
        <w:rPr>
          <w:spacing w:val="-6"/>
          <w:sz w:val="24"/>
        </w:rPr>
        <w:t>更高效地为患者提供临床药学监护服务，我们针对不同科室患者不同的疾病特点，分别制定</w:t>
      </w:r>
      <w:r>
        <w:rPr>
          <w:spacing w:val="-7"/>
          <w:sz w:val="24"/>
        </w:rPr>
        <w:t>了专科患者药学三级监护制度，对患者药学监护实现了分级管理，明确规定了不同级别患者</w:t>
      </w:r>
      <w:r>
        <w:rPr>
          <w:sz w:val="24"/>
        </w:rPr>
        <w:t>的监护标准和监护要点。</w:t>
      </w:r>
    </w:p>
    <w:p>
      <w:pPr>
        <w:pStyle w:val="ListParagraph"/>
        <w:numPr>
          <w:ilvl w:val="1"/>
          <w:numId w:val="6"/>
        </w:numPr>
        <w:tabs>
          <w:tab w:pos="1198" w:val="left" w:leader="none"/>
        </w:tabs>
        <w:spacing w:line="296" w:lineRule="exact" w:before="0" w:after="0"/>
        <w:ind w:left="1197" w:right="0" w:hanging="481"/>
        <w:jc w:val="both"/>
        <w:rPr>
          <w:sz w:val="24"/>
        </w:rPr>
      </w:pPr>
      <w:r>
        <w:rPr>
          <w:sz w:val="24"/>
        </w:rPr>
        <w:t>我院电子药历管理平台七大服务模块和一个药品知识库</w:t>
      </w:r>
    </w:p>
    <w:p>
      <w:pPr>
        <w:pStyle w:val="ListParagraph"/>
        <w:numPr>
          <w:ilvl w:val="2"/>
          <w:numId w:val="6"/>
        </w:numPr>
        <w:tabs>
          <w:tab w:pos="1438" w:val="left" w:leader="none"/>
        </w:tabs>
        <w:spacing w:line="295" w:lineRule="auto" w:before="74" w:after="0"/>
        <w:ind w:left="237" w:right="227" w:firstLine="480"/>
        <w:jc w:val="both"/>
        <w:rPr>
          <w:sz w:val="24"/>
        </w:rPr>
      </w:pPr>
      <w:r>
        <w:rPr>
          <w:spacing w:val="-6"/>
          <w:sz w:val="24"/>
        </w:rPr>
        <w:t>入院药学协调表 入院协调表在患者新入院时使用，主要是由药师对患者入院时</w:t>
      </w:r>
      <w:r>
        <w:rPr>
          <w:spacing w:val="-7"/>
          <w:sz w:val="24"/>
        </w:rPr>
        <w:t>候正在使用的药物进行了解和评估，进行医嘱重整，并明确是否需要继续使用，以确保患者</w:t>
      </w:r>
      <w:r>
        <w:rPr>
          <w:sz w:val="24"/>
        </w:rPr>
        <w:t>药物治疗的连续性。</w:t>
      </w:r>
    </w:p>
    <w:p>
      <w:pPr>
        <w:pStyle w:val="ListParagraph"/>
        <w:numPr>
          <w:ilvl w:val="2"/>
          <w:numId w:val="6"/>
        </w:numPr>
        <w:tabs>
          <w:tab w:pos="1438" w:val="left" w:leader="none"/>
        </w:tabs>
        <w:spacing w:line="295" w:lineRule="auto" w:before="6" w:after="0"/>
        <w:ind w:left="237" w:right="126" w:firstLine="480"/>
        <w:jc w:val="both"/>
        <w:rPr>
          <w:sz w:val="24"/>
        </w:rPr>
      </w:pPr>
      <w:r>
        <w:rPr>
          <w:spacing w:val="-1"/>
          <w:sz w:val="24"/>
        </w:rPr>
        <w:t>药学初始评估 药学初始评估主要是临床药师对患者的一些基本信息进行采集， 包括既往药物食物过敏史、患者对药物的了解程度、用药依从性、药物不良反应史等情况。</w:t>
      </w:r>
      <w:r>
        <w:rPr>
          <w:sz w:val="24"/>
        </w:rPr>
        <w:t>为临床药物的选择和用药教育的开展提供相关信息。</w:t>
      </w:r>
    </w:p>
    <w:p>
      <w:pPr>
        <w:pStyle w:val="ListParagraph"/>
        <w:numPr>
          <w:ilvl w:val="2"/>
          <w:numId w:val="6"/>
        </w:numPr>
        <w:tabs>
          <w:tab w:pos="1438" w:val="left" w:leader="none"/>
        </w:tabs>
        <w:spacing w:line="295" w:lineRule="auto" w:before="5" w:after="0"/>
        <w:ind w:left="237" w:right="227" w:firstLine="480"/>
        <w:jc w:val="both"/>
        <w:rPr>
          <w:sz w:val="24"/>
        </w:rPr>
      </w:pPr>
      <w:r>
        <w:rPr>
          <w:spacing w:val="-5"/>
          <w:sz w:val="24"/>
        </w:rPr>
        <w:t>药学监护日志 药学监护日志主要用于记录患者住院期间对药物选择、使用、疗</w:t>
      </w:r>
      <w:r>
        <w:rPr>
          <w:spacing w:val="-10"/>
          <w:sz w:val="24"/>
        </w:rPr>
        <w:t>效、安全性等方面进行的监护。监护要点主要包括了适应症、药物选择、单次剂量、每日给</w:t>
      </w:r>
      <w:r>
        <w:rPr>
          <w:spacing w:val="-13"/>
          <w:sz w:val="24"/>
        </w:rPr>
        <w:t>药次数、更换药品、溶媒选择、用药终止、联合用药、改变给药途径、增加新的药物、更换</w:t>
      </w:r>
      <w:r>
        <w:rPr>
          <w:spacing w:val="-11"/>
          <w:sz w:val="24"/>
        </w:rPr>
        <w:t>剂型、监测化验指标、患者教育、咨询、药物不良反应、基因检测以及其他与药物治疗相关的监护内容。通过药学监护，可以为医护在药物使用的安全性，有效性和合理性等方面提供</w:t>
      </w:r>
      <w:r>
        <w:rPr>
          <w:sz w:val="24"/>
        </w:rPr>
        <w:t>建议和参考。药学监护采用了分级管理制度。</w:t>
      </w:r>
    </w:p>
    <w:p>
      <w:pPr>
        <w:pStyle w:val="ListParagraph"/>
        <w:numPr>
          <w:ilvl w:val="2"/>
          <w:numId w:val="6"/>
        </w:numPr>
        <w:tabs>
          <w:tab w:pos="1438" w:val="left" w:leader="none"/>
          <w:tab w:pos="3117" w:val="left" w:leader="none"/>
        </w:tabs>
        <w:spacing w:line="297" w:lineRule="auto" w:before="11" w:after="0"/>
        <w:ind w:left="237" w:right="126" w:firstLine="480"/>
        <w:jc w:val="left"/>
        <w:rPr>
          <w:sz w:val="24"/>
        </w:rPr>
      </w:pPr>
      <w:r>
        <w:rPr>
          <w:sz w:val="24"/>
        </w:rPr>
        <w:t>药学转科小结</w:t>
        <w:tab/>
        <w:t>药学转科小结主要用于患者住院期间在院内不同科室间转移时</w:t>
      </w:r>
      <w:r>
        <w:rPr>
          <w:spacing w:val="-17"/>
          <w:sz w:val="24"/>
        </w:rPr>
        <w:t>， </w:t>
      </w:r>
      <w:r>
        <w:rPr>
          <w:sz w:val="24"/>
        </w:rPr>
        <w:t>由出科科室的临床药师对患者在本科住院期间药物使用的一些注意事项和特点进行归纳小 结</w:t>
      </w:r>
      <w:r>
        <w:rPr>
          <w:spacing w:val="-51"/>
          <w:sz w:val="24"/>
        </w:rPr>
        <w:t>，</w:t>
      </w:r>
      <w:r>
        <w:rPr>
          <w:sz w:val="24"/>
        </w:rPr>
        <w:t>便于转入科室的医生和临床药师快速了解患者药物使用的特点和注意事项</w:t>
      </w:r>
      <w:r>
        <w:rPr>
          <w:spacing w:val="-51"/>
          <w:sz w:val="24"/>
        </w:rPr>
        <w:t>。</w:t>
      </w:r>
      <w:r>
        <w:rPr>
          <w:sz w:val="24"/>
        </w:rPr>
        <w:t>转科药学监护小结的内容主要包括药物过敏反应情况</w:t>
      </w:r>
      <w:r>
        <w:rPr>
          <w:spacing w:val="-51"/>
          <w:sz w:val="24"/>
        </w:rPr>
        <w:t>、</w:t>
      </w:r>
      <w:r>
        <w:rPr>
          <w:sz w:val="24"/>
        </w:rPr>
        <w:t>药物不良反应情况</w:t>
      </w:r>
      <w:r>
        <w:rPr>
          <w:spacing w:val="-51"/>
          <w:sz w:val="24"/>
        </w:rPr>
        <w:t>、</w:t>
      </w:r>
      <w:r>
        <w:rPr>
          <w:sz w:val="24"/>
        </w:rPr>
        <w:t>肝肾功能不全患者药物剂量调整建议、患者用药依从性等内容。</w:t>
      </w:r>
    </w:p>
    <w:p>
      <w:pPr>
        <w:pStyle w:val="ListParagraph"/>
        <w:numPr>
          <w:ilvl w:val="2"/>
          <w:numId w:val="6"/>
        </w:numPr>
        <w:tabs>
          <w:tab w:pos="1438" w:val="left" w:leader="none"/>
        </w:tabs>
        <w:spacing w:line="297" w:lineRule="auto" w:before="0" w:after="0"/>
        <w:ind w:left="237" w:right="227" w:firstLine="480"/>
        <w:jc w:val="both"/>
        <w:rPr>
          <w:sz w:val="24"/>
        </w:rPr>
      </w:pPr>
      <w:r>
        <w:rPr>
          <w:spacing w:val="-6"/>
          <w:sz w:val="24"/>
        </w:rPr>
        <w:t>转科药学协调表 在患者进行转科时，除了填写上述药学转科小结，帮助转入科</w:t>
      </w:r>
      <w:r>
        <w:rPr>
          <w:spacing w:val="-5"/>
          <w:sz w:val="24"/>
        </w:rPr>
        <w:t>室医生和临床药师快速了解患者药物使用的特点和注意事项以外，转出科室的临床药师还需</w:t>
      </w:r>
      <w:r>
        <w:rPr>
          <w:spacing w:val="-8"/>
          <w:sz w:val="24"/>
        </w:rPr>
        <w:t>要填写转科药学协调表，对患者目前正在使用的药物进行梳理，并给予是否需要停用的建议</w:t>
      </w:r>
      <w:r>
        <w:rPr>
          <w:sz w:val="24"/>
        </w:rPr>
        <w:t>和理由，为转入科室的医生和临床药师提供参考，并确保患者药物治疗的连续性。</w:t>
      </w:r>
    </w:p>
    <w:p>
      <w:pPr>
        <w:pStyle w:val="ListParagraph"/>
        <w:numPr>
          <w:ilvl w:val="2"/>
          <w:numId w:val="6"/>
        </w:numPr>
        <w:tabs>
          <w:tab w:pos="1438" w:val="left" w:leader="none"/>
        </w:tabs>
        <w:spacing w:line="297" w:lineRule="auto" w:before="0" w:after="0"/>
        <w:ind w:left="237" w:right="228" w:firstLine="480"/>
        <w:jc w:val="both"/>
        <w:rPr>
          <w:sz w:val="24"/>
        </w:rPr>
      </w:pPr>
      <w:r>
        <w:rPr>
          <w:spacing w:val="-7"/>
          <w:sz w:val="24"/>
        </w:rPr>
        <w:t>入科药学协调表 与转科药学协调表对应，入科药学协调表主要用于转入科室临</w:t>
      </w:r>
      <w:r>
        <w:rPr>
          <w:spacing w:val="-6"/>
          <w:sz w:val="24"/>
        </w:rPr>
        <w:t>床药师对患者在转出科室的药物使用情况进行评估。除了可参考“转科药物协调表”中的相</w:t>
      </w:r>
      <w:r>
        <w:rPr>
          <w:spacing w:val="-12"/>
          <w:sz w:val="24"/>
        </w:rPr>
        <w:t>关信息以外，转入科室的临床药师还可以根据本科室的用药特点评估是否需要继续使用转出</w:t>
      </w:r>
      <w:r>
        <w:rPr>
          <w:sz w:val="24"/>
        </w:rPr>
        <w:t>科室所使用的药物，并给予理由，供临床医生参考。</w:t>
      </w:r>
    </w:p>
    <w:p>
      <w:pPr>
        <w:pStyle w:val="ListParagraph"/>
        <w:numPr>
          <w:ilvl w:val="2"/>
          <w:numId w:val="6"/>
        </w:numPr>
        <w:tabs>
          <w:tab w:pos="1438" w:val="left" w:leader="none"/>
          <w:tab w:pos="3117" w:val="left" w:leader="none"/>
        </w:tabs>
        <w:spacing w:line="297" w:lineRule="auto" w:before="0" w:after="0"/>
        <w:ind w:left="237" w:right="127" w:firstLine="480"/>
        <w:jc w:val="left"/>
        <w:rPr>
          <w:sz w:val="24"/>
        </w:rPr>
      </w:pPr>
      <w:r>
        <w:rPr>
          <w:sz w:val="24"/>
        </w:rPr>
        <w:t>出院用药指导</w:t>
        <w:tab/>
        <w:t>出院用药指导功能主要用于协助临床药师为出院患者制作个体 化的出院用药指导单</w:t>
      </w:r>
      <w:r>
        <w:rPr>
          <w:spacing w:val="-27"/>
          <w:sz w:val="24"/>
        </w:rPr>
        <w:t>。</w:t>
      </w:r>
      <w:r>
        <w:rPr>
          <w:sz w:val="24"/>
        </w:rPr>
        <w:t>其内容包括出院后所需服用药物的名称</w:t>
      </w:r>
      <w:r>
        <w:rPr>
          <w:spacing w:val="-27"/>
          <w:sz w:val="24"/>
        </w:rPr>
        <w:t>、</w:t>
      </w:r>
      <w:r>
        <w:rPr>
          <w:sz w:val="24"/>
        </w:rPr>
        <w:t>剂量</w:t>
      </w:r>
      <w:r>
        <w:rPr>
          <w:spacing w:val="-27"/>
          <w:sz w:val="24"/>
        </w:rPr>
        <w:t>、</w:t>
      </w:r>
      <w:r>
        <w:rPr>
          <w:sz w:val="24"/>
        </w:rPr>
        <w:t>用法</w:t>
      </w:r>
      <w:r>
        <w:rPr>
          <w:spacing w:val="-27"/>
          <w:sz w:val="24"/>
        </w:rPr>
        <w:t>、</w:t>
      </w:r>
      <w:r>
        <w:rPr>
          <w:sz w:val="24"/>
        </w:rPr>
        <w:t>推荐用药时间以及用药注意事项等内容，帮助患者更好的了解相关药物知识，避免患者漏服、错服药物</w:t>
      </w:r>
      <w:r>
        <w:rPr>
          <w:spacing w:val="-18"/>
          <w:sz w:val="24"/>
        </w:rPr>
        <w:t>。</w:t>
      </w:r>
      <w:r>
        <w:rPr>
          <w:sz w:val="24"/>
        </w:rPr>
        <w:t>在提高患者服药依从性的同时，提高患者药物使用的安全性。</w:t>
      </w:r>
    </w:p>
    <w:p>
      <w:pPr>
        <w:spacing w:after="0" w:line="297" w:lineRule="auto"/>
        <w:jc w:val="left"/>
        <w:rPr>
          <w:sz w:val="24"/>
        </w:rPr>
        <w:sectPr>
          <w:pgSz w:w="11910" w:h="16850"/>
          <w:pgMar w:header="906" w:footer="607" w:top="1100" w:bottom="800" w:left="1040" w:right="900"/>
        </w:sectPr>
      </w:pPr>
    </w:p>
    <w:p>
      <w:pPr>
        <w:pStyle w:val="ListParagraph"/>
        <w:numPr>
          <w:ilvl w:val="2"/>
          <w:numId w:val="6"/>
        </w:numPr>
        <w:tabs>
          <w:tab w:pos="1438" w:val="left" w:leader="none"/>
        </w:tabs>
        <w:spacing w:line="297" w:lineRule="auto" w:before="65" w:after="0"/>
        <w:ind w:left="237" w:right="227" w:firstLine="480"/>
        <w:jc w:val="both"/>
        <w:rPr>
          <w:sz w:val="24"/>
        </w:rPr>
      </w:pPr>
      <w:r>
        <w:rPr>
          <w:spacing w:val="-5"/>
          <w:sz w:val="24"/>
        </w:rPr>
        <w:t>药品知识库 为了更便捷的协助临床药师制作患者出院用药指导单，软件还集成</w:t>
      </w:r>
      <w:r>
        <w:rPr>
          <w:spacing w:val="-9"/>
          <w:sz w:val="24"/>
        </w:rPr>
        <w:t>了一个药品知识库，主要收集了常用药物的使用注意事项等内容。临床药师在制作出院用药</w:t>
      </w:r>
      <w:r>
        <w:rPr>
          <w:spacing w:val="-11"/>
          <w:sz w:val="24"/>
        </w:rPr>
        <w:t>指导单时，可让系统自动的从“药品知识库”中提取相应药物的用药指导内容，方便患者出</w:t>
      </w:r>
      <w:r>
        <w:rPr>
          <w:sz w:val="24"/>
        </w:rPr>
        <w:t>院用药指导单的制作。</w:t>
      </w:r>
    </w:p>
    <w:p>
      <w:pPr>
        <w:pStyle w:val="Heading3"/>
        <w:numPr>
          <w:ilvl w:val="0"/>
          <w:numId w:val="6"/>
        </w:numPr>
        <w:tabs>
          <w:tab w:pos="960" w:val="left" w:leader="none"/>
        </w:tabs>
        <w:spacing w:line="302" w:lineRule="exact" w:before="0" w:after="0"/>
        <w:ind w:left="959" w:right="0" w:hanging="243"/>
        <w:jc w:val="both"/>
      </w:pPr>
      <w:r>
        <w:rPr/>
        <w:t>结果</w:t>
      </w:r>
    </w:p>
    <w:p>
      <w:pPr>
        <w:pStyle w:val="ListParagraph"/>
        <w:numPr>
          <w:ilvl w:val="1"/>
          <w:numId w:val="6"/>
        </w:numPr>
        <w:tabs>
          <w:tab w:pos="1138" w:val="left" w:leader="none"/>
        </w:tabs>
        <w:spacing w:line="297" w:lineRule="auto" w:before="71" w:after="0"/>
        <w:ind w:left="237" w:right="228" w:firstLine="480"/>
        <w:jc w:val="both"/>
        <w:rPr>
          <w:sz w:val="24"/>
        </w:rPr>
      </w:pPr>
      <w:r>
        <w:rPr/>
        <w:drawing>
          <wp:anchor distT="0" distB="0" distL="0" distR="0" allowOverlap="1" layoutInCell="1" locked="0" behindDoc="0" simplePos="0" relativeHeight="3">
            <wp:simplePos x="0" y="0"/>
            <wp:positionH relativeFrom="page">
              <wp:posOffset>811174</wp:posOffset>
            </wp:positionH>
            <wp:positionV relativeFrom="paragraph">
              <wp:posOffset>1096898</wp:posOffset>
            </wp:positionV>
            <wp:extent cx="4697786" cy="2630043"/>
            <wp:effectExtent l="0" t="0" r="0" b="0"/>
            <wp:wrapTopAndBottom/>
            <wp:docPr id="3" name="image3.jpeg" descr="嵌合在电子病历.jpg"/>
            <wp:cNvGraphicFramePr>
              <a:graphicFrameLocks noChangeAspect="1"/>
            </wp:cNvGraphicFramePr>
            <a:graphic>
              <a:graphicData uri="http://schemas.openxmlformats.org/drawingml/2006/picture">
                <pic:pic>
                  <pic:nvPicPr>
                    <pic:cNvPr id="4" name="image3.jpeg"/>
                    <pic:cNvPicPr/>
                  </pic:nvPicPr>
                  <pic:blipFill>
                    <a:blip r:embed="rId18" cstate="print"/>
                    <a:stretch>
                      <a:fillRect/>
                    </a:stretch>
                  </pic:blipFill>
                  <pic:spPr>
                    <a:xfrm>
                      <a:off x="0" y="0"/>
                      <a:ext cx="4697786" cy="2630043"/>
                    </a:xfrm>
                    <a:prstGeom prst="rect">
                      <a:avLst/>
                    </a:prstGeom>
                  </pic:spPr>
                </pic:pic>
              </a:graphicData>
            </a:graphic>
          </wp:anchor>
        </w:drawing>
      </w:r>
      <w:r>
        <w:rPr>
          <w:spacing w:val="-5"/>
          <w:sz w:val="24"/>
        </w:rPr>
        <w:t>完全嵌合在电子病历系统中，实现医药护数据的无缝对接和共享 系统的嵌合和数</w:t>
      </w:r>
      <w:r>
        <w:rPr>
          <w:spacing w:val="-12"/>
          <w:sz w:val="24"/>
        </w:rPr>
        <w:t>据无缝对接，一方面让临床药师可以和临床医生一样方便快捷的查阅患者疾病信息和相关临</w:t>
      </w:r>
      <w:r>
        <w:rPr>
          <w:spacing w:val="-11"/>
          <w:sz w:val="24"/>
        </w:rPr>
        <w:t>床数据；同时，临床医师和护士也可随时调阅临床药师的相关药学建议。真正构建一个由医</w:t>
      </w:r>
      <w:r>
        <w:rPr>
          <w:sz w:val="24"/>
        </w:rPr>
        <w:t>药护人员组成的医疗团队，共同保障医疗质量和医疗安全（</w:t>
      </w:r>
      <w:r>
        <w:rPr>
          <w:spacing w:val="-30"/>
          <w:sz w:val="24"/>
        </w:rPr>
        <w:t>图 </w:t>
      </w:r>
      <w:r>
        <w:rPr>
          <w:sz w:val="24"/>
        </w:rPr>
        <w:t>1</w:t>
      </w:r>
      <w:r>
        <w:rPr>
          <w:spacing w:val="-20"/>
          <w:sz w:val="24"/>
        </w:rPr>
        <w:t>、图 </w:t>
      </w:r>
      <w:r>
        <w:rPr>
          <w:sz w:val="24"/>
        </w:rPr>
        <w:t>2）。</w:t>
      </w:r>
    </w:p>
    <w:p>
      <w:pPr>
        <w:pStyle w:val="BodyText"/>
        <w:spacing w:after="118"/>
        <w:ind w:left="599"/>
        <w:rPr>
          <w:rFonts w:ascii="楷体" w:eastAsia="楷体" w:hint="eastAsia"/>
        </w:rPr>
      </w:pPr>
      <w:r>
        <w:rPr>
          <w:rFonts w:ascii="楷体" w:eastAsia="楷体" w:hint="eastAsia"/>
        </w:rPr>
        <w:t>图 1 嵌合在电子病历系统中的药历管理工作站</w:t>
      </w:r>
    </w:p>
    <w:p>
      <w:pPr>
        <w:pStyle w:val="BodyText"/>
        <w:ind w:left="439"/>
        <w:rPr>
          <w:rFonts w:ascii="楷体"/>
          <w:sz w:val="20"/>
        </w:rPr>
      </w:pPr>
      <w:r>
        <w:rPr>
          <w:rFonts w:ascii="楷体"/>
          <w:sz w:val="20"/>
        </w:rPr>
        <w:drawing>
          <wp:inline distT="0" distB="0" distL="0" distR="0">
            <wp:extent cx="4622526" cy="3268408"/>
            <wp:effectExtent l="0" t="0" r="0" b="0"/>
            <wp:docPr id="5" name="image4.jpeg" descr="图2. 三书合一"/>
            <wp:cNvGraphicFramePr>
              <a:graphicFrameLocks noChangeAspect="1"/>
            </wp:cNvGraphicFramePr>
            <a:graphic>
              <a:graphicData uri="http://schemas.openxmlformats.org/drawingml/2006/picture">
                <pic:pic>
                  <pic:nvPicPr>
                    <pic:cNvPr id="6" name="image4.jpeg"/>
                    <pic:cNvPicPr/>
                  </pic:nvPicPr>
                  <pic:blipFill>
                    <a:blip r:embed="rId19" cstate="print"/>
                    <a:stretch>
                      <a:fillRect/>
                    </a:stretch>
                  </pic:blipFill>
                  <pic:spPr>
                    <a:xfrm>
                      <a:off x="0" y="0"/>
                      <a:ext cx="4622526" cy="3268408"/>
                    </a:xfrm>
                    <a:prstGeom prst="rect">
                      <a:avLst/>
                    </a:prstGeom>
                  </pic:spPr>
                </pic:pic>
              </a:graphicData>
            </a:graphic>
          </wp:inline>
        </w:drawing>
      </w:r>
      <w:r>
        <w:rPr>
          <w:rFonts w:ascii="楷体"/>
          <w:sz w:val="20"/>
        </w:rPr>
      </w:r>
    </w:p>
    <w:p>
      <w:pPr>
        <w:pStyle w:val="BodyText"/>
        <w:tabs>
          <w:tab w:pos="1259" w:val="left" w:leader="none"/>
        </w:tabs>
        <w:spacing w:before="43"/>
        <w:ind w:left="599"/>
        <w:rPr>
          <w:rFonts w:ascii="楷体" w:eastAsia="楷体" w:hint="eastAsia"/>
        </w:rPr>
      </w:pPr>
      <w:r>
        <w:rPr>
          <w:rFonts w:ascii="楷体" w:eastAsia="楷体" w:hint="eastAsia"/>
        </w:rPr>
        <w:t>图</w:t>
      </w:r>
      <w:r>
        <w:rPr>
          <w:rFonts w:ascii="楷体" w:eastAsia="楷体" w:hint="eastAsia"/>
          <w:spacing w:val="-60"/>
        </w:rPr>
        <w:t> </w:t>
      </w:r>
      <w:r>
        <w:rPr>
          <w:rFonts w:ascii="楷体" w:eastAsia="楷体" w:hint="eastAsia"/>
        </w:rPr>
        <w:t>2</w:t>
        <w:tab/>
        <w:t>电子药历</w:t>
      </w:r>
      <w:r>
        <w:rPr>
          <w:rFonts w:ascii="楷体" w:eastAsia="楷体" w:hint="eastAsia"/>
          <w:spacing w:val="-3"/>
        </w:rPr>
        <w:t>实</w:t>
      </w:r>
      <w:r>
        <w:rPr>
          <w:rFonts w:ascii="楷体" w:eastAsia="楷体" w:hint="eastAsia"/>
        </w:rPr>
        <w:t>现与医生文书、护理文书的无缝整合</w:t>
      </w:r>
    </w:p>
    <w:p>
      <w:pPr>
        <w:spacing w:after="0"/>
        <w:rPr>
          <w:rFonts w:ascii="楷体" w:eastAsia="楷体" w:hint="eastAsia"/>
        </w:rPr>
        <w:sectPr>
          <w:pgSz w:w="11910" w:h="16850"/>
          <w:pgMar w:header="906" w:footer="607" w:top="1100" w:bottom="800" w:left="1040" w:right="900"/>
        </w:sectPr>
      </w:pPr>
    </w:p>
    <w:p>
      <w:pPr>
        <w:pStyle w:val="BodyText"/>
        <w:spacing w:before="3"/>
        <w:ind w:left="0"/>
        <w:rPr>
          <w:rFonts w:ascii="楷体"/>
          <w:sz w:val="25"/>
        </w:rPr>
      </w:pPr>
    </w:p>
    <w:p>
      <w:pPr>
        <w:pStyle w:val="BodyText"/>
        <w:ind w:left="521"/>
        <w:rPr>
          <w:rFonts w:ascii="楷体"/>
          <w:sz w:val="20"/>
        </w:rPr>
      </w:pPr>
      <w:r>
        <w:rPr>
          <w:rFonts w:ascii="楷体"/>
          <w:sz w:val="20"/>
        </w:rPr>
        <w:drawing>
          <wp:inline distT="0" distB="0" distL="0" distR="0">
            <wp:extent cx="3689735" cy="2532888"/>
            <wp:effectExtent l="0" t="0" r="0" b="0"/>
            <wp:docPr id="7" name="image5.jpeg" descr="电子药力结构设计.jpg"/>
            <wp:cNvGraphicFramePr>
              <a:graphicFrameLocks noChangeAspect="1"/>
            </wp:cNvGraphicFramePr>
            <a:graphic>
              <a:graphicData uri="http://schemas.openxmlformats.org/drawingml/2006/picture">
                <pic:pic>
                  <pic:nvPicPr>
                    <pic:cNvPr id="8" name="image5.jpeg"/>
                    <pic:cNvPicPr/>
                  </pic:nvPicPr>
                  <pic:blipFill>
                    <a:blip r:embed="rId20" cstate="print"/>
                    <a:stretch>
                      <a:fillRect/>
                    </a:stretch>
                  </pic:blipFill>
                  <pic:spPr>
                    <a:xfrm>
                      <a:off x="0" y="0"/>
                      <a:ext cx="3689735" cy="2532888"/>
                    </a:xfrm>
                    <a:prstGeom prst="rect">
                      <a:avLst/>
                    </a:prstGeom>
                  </pic:spPr>
                </pic:pic>
              </a:graphicData>
            </a:graphic>
          </wp:inline>
        </w:drawing>
      </w:r>
      <w:r>
        <w:rPr>
          <w:rFonts w:ascii="楷体"/>
          <w:sz w:val="20"/>
        </w:rPr>
      </w:r>
    </w:p>
    <w:p>
      <w:pPr>
        <w:pStyle w:val="BodyText"/>
        <w:spacing w:before="4"/>
        <w:ind w:left="0"/>
        <w:rPr>
          <w:rFonts w:ascii="楷体"/>
          <w:sz w:val="19"/>
        </w:rPr>
      </w:pPr>
    </w:p>
    <w:p>
      <w:pPr>
        <w:pStyle w:val="BodyText"/>
        <w:spacing w:before="1"/>
        <w:ind w:left="599"/>
        <w:rPr>
          <w:rFonts w:ascii="楷体" w:eastAsia="楷体" w:hint="eastAsia"/>
        </w:rPr>
      </w:pPr>
      <w:r>
        <w:rPr>
          <w:rFonts w:ascii="楷体" w:eastAsia="楷体" w:hint="eastAsia"/>
        </w:rPr>
        <w:t>图 3 我院电子药历管理系统的结构</w:t>
      </w:r>
    </w:p>
    <w:p>
      <w:pPr>
        <w:pStyle w:val="BodyText"/>
        <w:spacing w:before="12"/>
        <w:ind w:left="0"/>
        <w:rPr>
          <w:rFonts w:ascii="楷体"/>
          <w:sz w:val="23"/>
        </w:rPr>
      </w:pPr>
      <w:r>
        <w:rPr/>
        <w:drawing>
          <wp:anchor distT="0" distB="0" distL="0" distR="0" allowOverlap="1" layoutInCell="1" locked="0" behindDoc="0" simplePos="0" relativeHeight="4">
            <wp:simplePos x="0" y="0"/>
            <wp:positionH relativeFrom="page">
              <wp:posOffset>1112775</wp:posOffset>
            </wp:positionH>
            <wp:positionV relativeFrom="paragraph">
              <wp:posOffset>219749</wp:posOffset>
            </wp:positionV>
            <wp:extent cx="3569118" cy="4814315"/>
            <wp:effectExtent l="0" t="0" r="0" b="0"/>
            <wp:wrapTopAndBottom/>
            <wp:docPr id="9" name="image6.jpeg" descr="图4. 分级管理2"/>
            <wp:cNvGraphicFramePr>
              <a:graphicFrameLocks noChangeAspect="1"/>
            </wp:cNvGraphicFramePr>
            <a:graphic>
              <a:graphicData uri="http://schemas.openxmlformats.org/drawingml/2006/picture">
                <pic:pic>
                  <pic:nvPicPr>
                    <pic:cNvPr id="10" name="image6.jpeg"/>
                    <pic:cNvPicPr/>
                  </pic:nvPicPr>
                  <pic:blipFill>
                    <a:blip r:embed="rId21" cstate="print"/>
                    <a:stretch>
                      <a:fillRect/>
                    </a:stretch>
                  </pic:blipFill>
                  <pic:spPr>
                    <a:xfrm>
                      <a:off x="0" y="0"/>
                      <a:ext cx="3569118" cy="4814315"/>
                    </a:xfrm>
                    <a:prstGeom prst="rect">
                      <a:avLst/>
                    </a:prstGeom>
                  </pic:spPr>
                </pic:pic>
              </a:graphicData>
            </a:graphic>
          </wp:anchor>
        </w:drawing>
      </w:r>
    </w:p>
    <w:p>
      <w:pPr>
        <w:pStyle w:val="BodyText"/>
        <w:ind w:left="0"/>
        <w:rPr>
          <w:rFonts w:ascii="楷体"/>
        </w:rPr>
      </w:pPr>
    </w:p>
    <w:p>
      <w:pPr>
        <w:pStyle w:val="BodyText"/>
        <w:spacing w:before="12"/>
        <w:ind w:left="0"/>
        <w:rPr>
          <w:rFonts w:ascii="楷体"/>
          <w:sz w:val="29"/>
        </w:rPr>
      </w:pPr>
    </w:p>
    <w:p>
      <w:pPr>
        <w:pStyle w:val="BodyText"/>
        <w:ind w:left="630"/>
        <w:rPr>
          <w:rFonts w:ascii="楷体" w:eastAsia="楷体" w:hint="eastAsia"/>
        </w:rPr>
      </w:pPr>
      <w:r>
        <w:rPr>
          <w:rFonts w:ascii="楷体" w:eastAsia="楷体" w:hint="eastAsia"/>
        </w:rPr>
        <w:t>图 4 专科患者药学监护分级管理制度</w:t>
      </w:r>
    </w:p>
    <w:p>
      <w:pPr>
        <w:pStyle w:val="ListParagraph"/>
        <w:numPr>
          <w:ilvl w:val="1"/>
          <w:numId w:val="6"/>
        </w:numPr>
        <w:tabs>
          <w:tab w:pos="1157" w:val="left" w:leader="none"/>
        </w:tabs>
        <w:spacing w:line="297" w:lineRule="auto" w:before="65" w:after="0"/>
        <w:ind w:left="256" w:right="168" w:firstLine="480"/>
        <w:jc w:val="left"/>
        <w:rPr>
          <w:sz w:val="24"/>
        </w:rPr>
      </w:pPr>
      <w:r>
        <w:rPr>
          <w:sz w:val="24"/>
        </w:rPr>
        <w:br w:type="column"/>
        <w:t>药学监护的全流程化为了确保患者药学监护的连 </w:t>
      </w:r>
      <w:r>
        <w:rPr>
          <w:spacing w:val="-8"/>
          <w:sz w:val="24"/>
        </w:rPr>
        <w:t>续性和完整性，我们根据患者</w:t>
      </w:r>
      <w:r>
        <w:rPr>
          <w:spacing w:val="-10"/>
          <w:sz w:val="24"/>
        </w:rPr>
        <w:t>从入院、住院、转科和出院的</w:t>
      </w:r>
      <w:r>
        <w:rPr>
          <w:spacing w:val="-11"/>
          <w:sz w:val="24"/>
        </w:rPr>
        <w:t>整个流程，分别制定了相应的</w:t>
      </w:r>
      <w:r>
        <w:rPr>
          <w:spacing w:val="-18"/>
          <w:sz w:val="24"/>
        </w:rPr>
        <w:t>临床药学服务内容</w:t>
      </w:r>
      <w:r>
        <w:rPr>
          <w:sz w:val="24"/>
        </w:rPr>
        <w:t>（</w:t>
      </w:r>
      <w:r>
        <w:rPr>
          <w:spacing w:val="-20"/>
          <w:sz w:val="24"/>
        </w:rPr>
        <w:t>见图 </w:t>
      </w:r>
      <w:r>
        <w:rPr>
          <w:spacing w:val="-46"/>
          <w:sz w:val="24"/>
        </w:rPr>
        <w:t>3）， </w:t>
      </w:r>
      <w:r>
        <w:rPr>
          <w:spacing w:val="-2"/>
          <w:sz w:val="24"/>
        </w:rPr>
        <w:t>做到药学服务的全程化管理。</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2"/>
        <w:ind w:left="0"/>
        <w:rPr>
          <w:sz w:val="27"/>
        </w:rPr>
      </w:pPr>
    </w:p>
    <w:p>
      <w:pPr>
        <w:pStyle w:val="ListParagraph"/>
        <w:numPr>
          <w:ilvl w:val="1"/>
          <w:numId w:val="6"/>
        </w:numPr>
        <w:tabs>
          <w:tab w:pos="1082" w:val="left" w:leader="none"/>
          <w:tab w:pos="1323" w:val="left" w:leader="none"/>
        </w:tabs>
        <w:spacing w:line="297" w:lineRule="auto" w:before="0" w:after="0"/>
        <w:ind w:left="362" w:right="231" w:firstLine="480"/>
        <w:jc w:val="left"/>
        <w:rPr>
          <w:sz w:val="24"/>
        </w:rPr>
      </w:pPr>
      <w:r>
        <w:rPr>
          <w:sz w:val="24"/>
        </w:rPr>
        <w:t>药学监护实现分级管理</w:t>
        <w:tab/>
        <w:t>根据不同科室患者不同的疾病特点，由各科临床药师分别制定专科患者药学三级监护制度，对患者药学监护实现了分级管理，明确规定了不同级别患者的监护标准和监护要点。例如在重症监护</w:t>
      </w:r>
      <w:r>
        <w:rPr>
          <w:spacing w:val="-24"/>
          <w:sz w:val="24"/>
        </w:rPr>
        <w:t>室</w:t>
      </w:r>
      <w:r>
        <w:rPr>
          <w:spacing w:val="-5"/>
          <w:sz w:val="24"/>
        </w:rPr>
        <w:t>（ICU）</w:t>
      </w:r>
      <w:r>
        <w:rPr>
          <w:sz w:val="24"/>
        </w:rPr>
        <w:t>中临床药</w:t>
      </w:r>
      <w:r>
        <w:rPr>
          <w:spacing w:val="-17"/>
          <w:sz w:val="24"/>
        </w:rPr>
        <w:t>师</w:t>
      </w:r>
      <w:r>
        <w:rPr>
          <w:sz w:val="24"/>
        </w:rPr>
        <w:t>药学监护的工作规范和不同监护级别下住院患者药学监护日</w:t>
      </w:r>
      <w:r>
        <w:rPr>
          <w:spacing w:val="-12"/>
          <w:sz w:val="24"/>
        </w:rPr>
        <w:t>志</w:t>
      </w:r>
      <w:r>
        <w:rPr>
          <w:sz w:val="24"/>
        </w:rPr>
        <w:t>（图</w:t>
      </w:r>
      <w:r>
        <w:rPr>
          <w:spacing w:val="-60"/>
          <w:sz w:val="24"/>
        </w:rPr>
        <w:t> </w:t>
      </w:r>
      <w:r>
        <w:rPr>
          <w:sz w:val="24"/>
        </w:rPr>
        <w:t>4</w:t>
      </w:r>
      <w:r>
        <w:rPr>
          <w:spacing w:val="-12"/>
          <w:sz w:val="24"/>
        </w:rPr>
        <w:t>、</w:t>
      </w:r>
      <w:r>
        <w:rPr>
          <w:sz w:val="24"/>
        </w:rPr>
        <w:t>图</w:t>
      </w:r>
      <w:r>
        <w:rPr>
          <w:spacing w:val="-60"/>
          <w:sz w:val="24"/>
        </w:rPr>
        <w:t> </w:t>
      </w:r>
      <w:r>
        <w:rPr>
          <w:spacing w:val="-6"/>
          <w:sz w:val="24"/>
        </w:rPr>
        <w:t>5）</w:t>
      </w:r>
      <w:r>
        <w:rPr>
          <w:spacing w:val="-12"/>
          <w:sz w:val="24"/>
        </w:rPr>
        <w:t>。</w:t>
      </w:r>
      <w:r>
        <w:rPr>
          <w:sz w:val="24"/>
        </w:rPr>
        <w:t>另</w:t>
      </w:r>
      <w:r>
        <w:rPr>
          <w:spacing w:val="-17"/>
          <w:sz w:val="24"/>
        </w:rPr>
        <w:t>外</w:t>
      </w:r>
      <w:r>
        <w:rPr>
          <w:sz w:val="24"/>
        </w:rPr>
        <w:t>还明确了对于一级监护患者需要每天进行药学监护，而二级监护患者除非特殊情 况，可每三天监护一次等。</w:t>
      </w:r>
    </w:p>
    <w:p>
      <w:pPr>
        <w:spacing w:after="0" w:line="297" w:lineRule="auto"/>
        <w:jc w:val="left"/>
        <w:rPr>
          <w:sz w:val="24"/>
        </w:rPr>
        <w:sectPr>
          <w:pgSz w:w="11910" w:h="16850"/>
          <w:pgMar w:header="906" w:footer="607" w:top="1100" w:bottom="800" w:left="1040" w:right="900"/>
          <w:cols w:num="2" w:equalWidth="0">
            <w:col w:w="6379" w:space="40"/>
            <w:col w:w="3551"/>
          </w:cols>
        </w:sectPr>
      </w:pPr>
    </w:p>
    <w:p>
      <w:pPr>
        <w:pStyle w:val="BodyText"/>
        <w:spacing w:before="3"/>
        <w:ind w:left="0"/>
        <w:rPr>
          <w:sz w:val="9"/>
        </w:rPr>
      </w:pPr>
    </w:p>
    <w:p>
      <w:pPr>
        <w:pStyle w:val="BodyText"/>
        <w:ind w:left="312"/>
        <w:rPr>
          <w:sz w:val="20"/>
        </w:rPr>
      </w:pPr>
      <w:r>
        <w:rPr>
          <w:sz w:val="20"/>
        </w:rPr>
        <w:drawing>
          <wp:inline distT="0" distB="0" distL="0" distR="0">
            <wp:extent cx="4711798" cy="2773679"/>
            <wp:effectExtent l="0" t="0" r="0" b="0"/>
            <wp:docPr id="11" name="image7.jpeg" descr="图5. 分级管理"/>
            <wp:cNvGraphicFramePr>
              <a:graphicFrameLocks noChangeAspect="1"/>
            </wp:cNvGraphicFramePr>
            <a:graphic>
              <a:graphicData uri="http://schemas.openxmlformats.org/drawingml/2006/picture">
                <pic:pic>
                  <pic:nvPicPr>
                    <pic:cNvPr id="12" name="image7.jpeg"/>
                    <pic:cNvPicPr/>
                  </pic:nvPicPr>
                  <pic:blipFill>
                    <a:blip r:embed="rId22" cstate="print"/>
                    <a:stretch>
                      <a:fillRect/>
                    </a:stretch>
                  </pic:blipFill>
                  <pic:spPr>
                    <a:xfrm>
                      <a:off x="0" y="0"/>
                      <a:ext cx="4711798" cy="2773679"/>
                    </a:xfrm>
                    <a:prstGeom prst="rect">
                      <a:avLst/>
                    </a:prstGeom>
                  </pic:spPr>
                </pic:pic>
              </a:graphicData>
            </a:graphic>
          </wp:inline>
        </w:drawing>
      </w:r>
      <w:r>
        <w:rPr>
          <w:sz w:val="20"/>
        </w:rPr>
      </w:r>
    </w:p>
    <w:p>
      <w:pPr>
        <w:pStyle w:val="BodyText"/>
        <w:ind w:left="0"/>
        <w:rPr>
          <w:sz w:val="10"/>
        </w:rPr>
      </w:pPr>
    </w:p>
    <w:p>
      <w:pPr>
        <w:pStyle w:val="BodyText"/>
        <w:spacing w:before="66"/>
        <w:ind w:left="690"/>
        <w:rPr>
          <w:rFonts w:ascii="楷体" w:eastAsia="楷体" w:hint="eastAsia"/>
        </w:rPr>
      </w:pPr>
      <w:r>
        <w:rPr>
          <w:rFonts w:ascii="楷体" w:eastAsia="楷体" w:hint="eastAsia"/>
        </w:rPr>
        <w:t>图 5 实现药学分级监护管理模式</w:t>
      </w:r>
    </w:p>
    <w:p>
      <w:pPr>
        <w:pStyle w:val="Heading3"/>
        <w:numPr>
          <w:ilvl w:val="0"/>
          <w:numId w:val="6"/>
        </w:numPr>
        <w:tabs>
          <w:tab w:pos="900" w:val="left" w:leader="none"/>
        </w:tabs>
        <w:spacing w:line="240" w:lineRule="auto" w:before="69" w:after="0"/>
        <w:ind w:left="899" w:right="0" w:hanging="183"/>
        <w:jc w:val="left"/>
      </w:pPr>
      <w:r>
        <w:rPr/>
        <w:t>讨论</w:t>
      </w:r>
    </w:p>
    <w:p>
      <w:pPr>
        <w:pStyle w:val="BodyText"/>
        <w:spacing w:line="297" w:lineRule="auto" w:before="72"/>
        <w:ind w:right="110" w:firstLine="480"/>
      </w:pPr>
      <w:r>
        <w:rPr>
          <w:spacing w:val="-4"/>
        </w:rPr>
        <w:t>我院电子药历管理平台实现了与电子病历系统的无缝对接和信息共享，将医药护三方有</w:t>
      </w:r>
      <w:r>
        <w:rPr>
          <w:spacing w:val="-10"/>
        </w:rPr>
        <w:t>机结合，并设计了合理的药学监护分级管理制度以及全流程化的药学监护服务。在确保药历</w:t>
      </w:r>
      <w:r>
        <w:rPr>
          <w:spacing w:val="-15"/>
        </w:rPr>
        <w:t>记录完整性和连续性的基础上，各科室临床医生和护士也能及时获取相关药学建议，不仅提</w:t>
      </w:r>
      <w:r>
        <w:rPr>
          <w:spacing w:val="-17"/>
        </w:rPr>
        <w:t>高了临床药师的工作实效，而且还更好地起到保障医疗质量和医疗安全的作用。随着临床药</w:t>
      </w:r>
      <w:r>
        <w:rPr>
          <w:spacing w:val="-21"/>
        </w:rPr>
        <w:t>学工作开展的不断深入，电子药历管理系统的发展也将朝着专科化、精细化方向发展。当然， </w:t>
      </w:r>
      <w:r>
        <w:rPr>
          <w:spacing w:val="-7"/>
        </w:rPr>
        <w:t>完善和规范化的电子药历管理平台，也能够对我国临床药学服务的发展起着积极推动作用和</w:t>
      </w:r>
      <w:r>
        <w:rPr>
          <w:spacing w:val="-13"/>
        </w:rPr>
        <w:t>极大改善药师与医护人员的交流与沟通。具备药学监护全流程化和分级管理特点的电子药历平台下一步可以实现对特殊患者药物剂量调整监测评估和特定药物的评估管理这两大块功 能。</w:t>
      </w:r>
    </w:p>
    <w:p>
      <w:pPr>
        <w:pStyle w:val="ListParagraph"/>
        <w:numPr>
          <w:ilvl w:val="1"/>
          <w:numId w:val="6"/>
        </w:numPr>
        <w:tabs>
          <w:tab w:pos="1138" w:val="left" w:leader="none"/>
          <w:tab w:pos="6058" w:val="left" w:leader="none"/>
        </w:tabs>
        <w:spacing w:line="297" w:lineRule="auto" w:before="0" w:after="0"/>
        <w:ind w:left="237" w:right="227" w:firstLine="480"/>
        <w:jc w:val="left"/>
        <w:rPr>
          <w:sz w:val="24"/>
        </w:rPr>
      </w:pPr>
      <w:r>
        <w:rPr>
          <w:sz w:val="24"/>
        </w:rPr>
        <w:t>实现对特殊患者药物剂量调整监测评估功能</w:t>
        <w:tab/>
        <w:t>电子药历系统除了可以辅助临床药师开展专科化的临床药学工作以外</w:t>
      </w:r>
      <w:r>
        <w:rPr>
          <w:spacing w:val="-34"/>
          <w:sz w:val="24"/>
        </w:rPr>
        <w:t>，</w:t>
      </w:r>
      <w:r>
        <w:rPr>
          <w:sz w:val="24"/>
        </w:rPr>
        <w:t>利用电子药历系统网络化</w:t>
      </w:r>
      <w:r>
        <w:rPr>
          <w:spacing w:val="-34"/>
          <w:sz w:val="24"/>
        </w:rPr>
        <w:t>、</w:t>
      </w:r>
      <w:r>
        <w:rPr>
          <w:sz w:val="24"/>
        </w:rPr>
        <w:t>信息化的特点</w:t>
      </w:r>
      <w:r>
        <w:rPr>
          <w:spacing w:val="-34"/>
          <w:sz w:val="24"/>
        </w:rPr>
        <w:t>，</w:t>
      </w:r>
      <w:r>
        <w:rPr>
          <w:sz w:val="24"/>
        </w:rPr>
        <w:t>可以尝试</w:t>
      </w:r>
      <w:r>
        <w:rPr>
          <w:spacing w:val="-16"/>
          <w:sz w:val="24"/>
        </w:rPr>
        <w:t>对</w:t>
      </w:r>
      <w:r>
        <w:rPr>
          <w:sz w:val="24"/>
        </w:rPr>
        <w:t>全院特殊生理病理特点的患者进行药学监护和干预</w:t>
      </w:r>
      <w:r>
        <w:rPr>
          <w:spacing w:val="-51"/>
          <w:sz w:val="24"/>
        </w:rPr>
        <w:t>。</w:t>
      </w:r>
      <w:r>
        <w:rPr>
          <w:sz w:val="24"/>
        </w:rPr>
        <w:t>比如对肝肾功能不全患者</w:t>
      </w:r>
      <w:r>
        <w:rPr>
          <w:spacing w:val="-51"/>
          <w:sz w:val="24"/>
        </w:rPr>
        <w:t>、</w:t>
      </w:r>
      <w:r>
        <w:rPr>
          <w:sz w:val="24"/>
        </w:rPr>
        <w:t>血液透析</w:t>
      </w:r>
      <w:r>
        <w:rPr>
          <w:spacing w:val="-16"/>
          <w:sz w:val="24"/>
        </w:rPr>
        <w:t>或</w:t>
      </w:r>
      <w:r>
        <w:rPr>
          <w:sz w:val="24"/>
        </w:rPr>
        <w:t>超滤等替代治疗患者</w:t>
      </w:r>
      <w:r>
        <w:rPr>
          <w:spacing w:val="-51"/>
          <w:sz w:val="24"/>
        </w:rPr>
        <w:t>、</w:t>
      </w:r>
      <w:r>
        <w:rPr>
          <w:sz w:val="24"/>
        </w:rPr>
        <w:t>使用胰岛素的糖尿病患者等</w:t>
      </w:r>
      <w:r>
        <w:rPr>
          <w:spacing w:val="-51"/>
          <w:sz w:val="24"/>
        </w:rPr>
        <w:t>，</w:t>
      </w:r>
      <w:r>
        <w:rPr>
          <w:sz w:val="24"/>
        </w:rPr>
        <w:t>均可通过电子药历系统对其药物使用</w:t>
      </w:r>
      <w:r>
        <w:rPr>
          <w:spacing w:val="-16"/>
          <w:sz w:val="24"/>
        </w:rPr>
        <w:t>的</w:t>
      </w:r>
      <w:r>
        <w:rPr>
          <w:sz w:val="24"/>
        </w:rPr>
        <w:t>剂量调整等药学监护内容给予相应的药学建议。</w:t>
      </w:r>
    </w:p>
    <w:p>
      <w:pPr>
        <w:pStyle w:val="ListParagraph"/>
        <w:numPr>
          <w:ilvl w:val="1"/>
          <w:numId w:val="6"/>
        </w:numPr>
        <w:tabs>
          <w:tab w:pos="1138" w:val="left" w:leader="none"/>
          <w:tab w:pos="5097" w:val="left" w:leader="none"/>
        </w:tabs>
        <w:spacing w:line="295" w:lineRule="auto" w:before="0" w:after="0"/>
        <w:ind w:left="237" w:right="125" w:firstLine="480"/>
        <w:jc w:val="left"/>
        <w:rPr>
          <w:sz w:val="24"/>
        </w:rPr>
      </w:pPr>
      <w:r>
        <w:rPr>
          <w:sz w:val="24"/>
        </w:rPr>
        <w:t>实现对特定药物的评估和管理功能</w:t>
        <w:tab/>
        <w:t>当然，除了以疾病为基础开展特殊患者药学服务以外，也可以从药物本身出发，选取使用特殊药物的患者进行相应的药学监护。比如</w:t>
      </w:r>
      <w:r>
        <w:rPr>
          <w:spacing w:val="-17"/>
          <w:sz w:val="24"/>
        </w:rPr>
        <w:t>：</w:t>
      </w:r>
    </w:p>
    <w:p>
      <w:pPr>
        <w:pStyle w:val="BodyText"/>
        <w:spacing w:line="297" w:lineRule="auto"/>
        <w:ind w:right="245"/>
      </w:pPr>
      <w:r>
        <w:rPr/>
        <w:t>（1）华法林使用患者评估和管理；（2）疼痛患者镇痛药物使用的评估和管理；（3）</w:t>
      </w:r>
      <w:r>
        <w:rPr>
          <w:spacing w:val="-9"/>
        </w:rPr>
        <w:t>肿瘤</w:t>
      </w:r>
      <w:r>
        <w:rPr/>
        <w:t>化疗患者不良反应监测和管理；（4）</w:t>
      </w:r>
      <w:r>
        <w:rPr>
          <w:spacing w:val="-1"/>
        </w:rPr>
        <w:t>对使用治疗窗窄、需要进行血药浓度监测药物的患者</w:t>
      </w:r>
    </w:p>
    <w:p>
      <w:pPr>
        <w:pStyle w:val="BodyText"/>
        <w:spacing w:line="306" w:lineRule="exact"/>
      </w:pPr>
      <w:r>
        <w:rPr/>
        <w:t>（如他克莫司、环孢霉素、万古霉素等）实现评估和管理。</w:t>
      </w:r>
    </w:p>
    <w:p>
      <w:pPr>
        <w:pStyle w:val="BodyText"/>
        <w:spacing w:line="297" w:lineRule="auto" w:before="58"/>
        <w:ind w:right="226" w:firstLine="480"/>
        <w:jc w:val="both"/>
      </w:pPr>
      <w:r>
        <w:rPr>
          <w:spacing w:val="-5"/>
        </w:rPr>
        <w:t>电子药历管理平台的构建对我院临床药学工作的开展起到了重要作用，也实现了医药护</w:t>
      </w:r>
      <w:r>
        <w:rPr>
          <w:spacing w:val="-12"/>
        </w:rPr>
        <w:t>信息实时共享。但本系统的不足之处为临床药师给出的药学建议是否为医护人员所阅读以及</w:t>
      </w:r>
      <w:r>
        <w:rPr>
          <w:spacing w:val="-9"/>
        </w:rPr>
        <w:t>采纳未能得到体现，不便于统计分析医护人员对药学建议的阅读量和采纳率，此项功能尚需</w:t>
      </w:r>
      <w:r>
        <w:rPr>
          <w:spacing w:val="-10"/>
        </w:rPr>
        <w:t>进一步开发完善。从总体来看，作为一种基于临床药师工作实践构建成的电子药历平台，相</w:t>
      </w:r>
    </w:p>
    <w:p>
      <w:pPr>
        <w:spacing w:after="0" w:line="297" w:lineRule="auto"/>
        <w:jc w:val="both"/>
        <w:sectPr>
          <w:pgSz w:w="11910" w:h="16850"/>
          <w:pgMar w:header="906" w:footer="607" w:top="1100" w:bottom="800" w:left="1040" w:right="900"/>
        </w:sectPr>
      </w:pPr>
    </w:p>
    <w:p>
      <w:pPr>
        <w:pStyle w:val="BodyText"/>
        <w:spacing w:line="295" w:lineRule="auto" w:before="65"/>
        <w:ind w:right="229"/>
      </w:pPr>
      <w:r>
        <w:rPr>
          <w:spacing w:val="-6"/>
        </w:rPr>
        <w:t>较于仅关注药师本身工作的系统更具有专业性和应用性，能促进我国电子药历的规范化建设</w:t>
      </w:r>
      <w:r>
        <w:rPr/>
        <w:t>和管理。</w:t>
      </w:r>
    </w:p>
    <w:p>
      <w:pPr>
        <w:pStyle w:val="BodyText"/>
        <w:spacing w:before="3"/>
        <w:ind w:left="0"/>
        <w:rPr>
          <w:sz w:val="18"/>
        </w:rPr>
      </w:pPr>
    </w:p>
    <w:p>
      <w:pPr>
        <w:pStyle w:val="Heading2"/>
        <w:ind w:left="587"/>
      </w:pPr>
      <w:r>
        <w:rPr>
          <w:w w:val="80"/>
        </w:rPr>
        <w:t>临床药师开展用药教育对脑卒中患者二级预防及依从性的作用的随机对照研究</w:t>
      </w:r>
    </w:p>
    <w:p>
      <w:pPr>
        <w:spacing w:line="314" w:lineRule="auto" w:before="148"/>
        <w:ind w:left="237" w:right="228" w:firstLine="4373"/>
        <w:jc w:val="left"/>
        <w:rPr>
          <w:sz w:val="18"/>
        </w:rPr>
      </w:pPr>
      <w:r>
        <w:rPr>
          <w:rFonts w:ascii="楷体" w:eastAsia="楷体" w:hint="eastAsia"/>
          <w:b/>
          <w:color w:val="FF0000"/>
          <w:sz w:val="24"/>
        </w:rPr>
        <w:t>（来源：《中国医院药学杂志》2019</w:t>
      </w:r>
      <w:r>
        <w:rPr>
          <w:rFonts w:ascii="楷体" w:eastAsia="楷体" w:hint="eastAsia"/>
          <w:b/>
          <w:color w:val="FF0000"/>
          <w:spacing w:val="-30"/>
          <w:sz w:val="24"/>
        </w:rPr>
        <w:t> 年第 </w:t>
      </w:r>
      <w:r>
        <w:rPr>
          <w:rFonts w:ascii="楷体" w:eastAsia="楷体" w:hint="eastAsia"/>
          <w:b/>
          <w:color w:val="FF0000"/>
          <w:sz w:val="24"/>
        </w:rPr>
        <w:t>4</w:t>
      </w:r>
      <w:r>
        <w:rPr>
          <w:rFonts w:ascii="楷体" w:eastAsia="楷体" w:hint="eastAsia"/>
          <w:b/>
          <w:color w:val="FF0000"/>
          <w:spacing w:val="-31"/>
          <w:sz w:val="24"/>
        </w:rPr>
        <w:t> 期</w:t>
      </w:r>
      <w:r>
        <w:rPr>
          <w:rFonts w:ascii="楷体" w:eastAsia="楷体" w:hint="eastAsia"/>
          <w:b/>
          <w:color w:val="FF0000"/>
          <w:spacing w:val="-14"/>
          <w:sz w:val="24"/>
        </w:rPr>
        <w:t>） </w:t>
      </w:r>
      <w:r>
        <w:rPr>
          <w:rFonts w:ascii="楷体" w:eastAsia="楷体" w:hint="eastAsia"/>
          <w:sz w:val="24"/>
        </w:rPr>
        <w:t>卫红涛,李拉,程晟,李丹丹,吴汀溪,郭恒,廖音</w:t>
      </w:r>
      <w:r>
        <w:rPr>
          <w:sz w:val="24"/>
        </w:rPr>
        <w:t>（</w:t>
      </w:r>
      <w:r>
        <w:rPr>
          <w:sz w:val="18"/>
        </w:rPr>
        <w:t>首都医科大学附属北京友谊医院药剂科，北京</w:t>
      </w:r>
    </w:p>
    <w:p>
      <w:pPr>
        <w:spacing w:before="37"/>
        <w:ind w:left="237" w:right="0" w:firstLine="0"/>
        <w:jc w:val="left"/>
        <w:rPr>
          <w:sz w:val="18"/>
        </w:rPr>
      </w:pPr>
      <w:r>
        <w:rPr>
          <w:rFonts w:ascii="Times New Roman" w:eastAsia="Times New Roman"/>
          <w:sz w:val="18"/>
        </w:rPr>
        <w:t>100050</w:t>
      </w:r>
      <w:r>
        <w:rPr>
          <w:sz w:val="18"/>
        </w:rPr>
        <w:t>）</w:t>
      </w:r>
    </w:p>
    <w:p>
      <w:pPr>
        <w:pStyle w:val="BodyText"/>
        <w:spacing w:line="297" w:lineRule="auto" w:before="91"/>
        <w:ind w:right="227"/>
        <w:jc w:val="both"/>
        <w:rPr>
          <w:rFonts w:ascii="楷体" w:hAnsi="楷体" w:eastAsia="楷体" w:hint="eastAsia"/>
        </w:rPr>
      </w:pPr>
      <w:r>
        <w:rPr>
          <w:b/>
          <w:spacing w:val="-11"/>
        </w:rPr>
        <w:t>【摘要】目的：</w:t>
      </w:r>
      <w:r>
        <w:rPr>
          <w:rFonts w:ascii="楷体" w:hAnsi="楷体" w:eastAsia="楷体" w:hint="eastAsia"/>
          <w:spacing w:val="-4"/>
        </w:rPr>
        <w:t>探讨神经内科临床药师开展用药教育工作，对脑卒中患者用药二级预防及依从性的作用。</w:t>
      </w:r>
      <w:r>
        <w:rPr>
          <w:b/>
          <w:spacing w:val="-8"/>
        </w:rPr>
        <w:t>方法：</w:t>
      </w:r>
      <w:r>
        <w:rPr>
          <w:rFonts w:ascii="楷体" w:hAnsi="楷体" w:eastAsia="楷体" w:hint="eastAsia"/>
          <w:spacing w:val="-9"/>
        </w:rPr>
        <w:t>对北京某三甲医院 </w:t>
      </w:r>
      <w:r>
        <w:rPr>
          <w:rFonts w:ascii="楷体" w:hAnsi="楷体" w:eastAsia="楷体" w:hint="eastAsia"/>
        </w:rPr>
        <w:t>2017</w:t>
      </w:r>
      <w:r>
        <w:rPr>
          <w:rFonts w:ascii="楷体" w:hAnsi="楷体" w:eastAsia="楷体" w:hint="eastAsia"/>
          <w:spacing w:val="-40"/>
        </w:rPr>
        <w:t> 年 </w:t>
      </w:r>
      <w:r>
        <w:rPr>
          <w:rFonts w:ascii="楷体" w:hAnsi="楷体" w:eastAsia="楷体" w:hint="eastAsia"/>
        </w:rPr>
        <w:t>9</w:t>
      </w:r>
      <w:r>
        <w:rPr>
          <w:rFonts w:ascii="楷体" w:hAnsi="楷体" w:eastAsia="楷体" w:hint="eastAsia"/>
          <w:spacing w:val="-30"/>
        </w:rPr>
        <w:t> 月</w:t>
      </w:r>
      <w:r>
        <w:rPr>
          <w:rFonts w:ascii="楷体" w:hAnsi="楷体" w:eastAsia="楷体" w:hint="eastAsia"/>
        </w:rPr>
        <w:t>–2018</w:t>
      </w:r>
      <w:r>
        <w:rPr>
          <w:rFonts w:ascii="楷体" w:hAnsi="楷体" w:eastAsia="楷体" w:hint="eastAsia"/>
          <w:spacing w:val="-40"/>
        </w:rPr>
        <w:t> 年 </w:t>
      </w:r>
      <w:r>
        <w:rPr>
          <w:rFonts w:ascii="楷体" w:hAnsi="楷体" w:eastAsia="楷体" w:hint="eastAsia"/>
        </w:rPr>
        <w:t>1</w:t>
      </w:r>
      <w:r>
        <w:rPr>
          <w:rFonts w:ascii="楷体" w:hAnsi="楷体" w:eastAsia="楷体" w:hint="eastAsia"/>
          <w:spacing w:val="-9"/>
        </w:rPr>
        <w:t> 月年住院的神经内科脑卒中</w:t>
      </w:r>
      <w:r>
        <w:rPr>
          <w:rFonts w:ascii="楷体" w:hAnsi="楷体" w:eastAsia="楷体" w:hint="eastAsia"/>
          <w:spacing w:val="-8"/>
        </w:rPr>
        <w:t>患者进行随机分组，其中教育组进行系统的用药教育，对照组仅进行药品服用方法说明，于</w:t>
      </w:r>
      <w:r>
        <w:rPr>
          <w:rFonts w:ascii="楷体" w:hAnsi="楷体" w:eastAsia="楷体" w:hint="eastAsia"/>
          <w:spacing w:val="-16"/>
        </w:rPr>
        <w:t>出院后 </w:t>
      </w:r>
      <w:r>
        <w:rPr>
          <w:rFonts w:ascii="楷体" w:hAnsi="楷体" w:eastAsia="楷体" w:hint="eastAsia"/>
        </w:rPr>
        <w:t>3</w:t>
      </w:r>
      <w:r>
        <w:rPr>
          <w:rFonts w:ascii="楷体" w:hAnsi="楷体" w:eastAsia="楷体" w:hint="eastAsia"/>
          <w:spacing w:val="-14"/>
        </w:rPr>
        <w:t> 个月进行回访，详细询问患者的疾病预防情况、用药依从性、不良反应及服药与停</w:t>
      </w:r>
    </w:p>
    <w:p>
      <w:pPr>
        <w:pStyle w:val="BodyText"/>
        <w:spacing w:line="302" w:lineRule="exact"/>
        <w:jc w:val="both"/>
        <w:rPr>
          <w:rFonts w:ascii="楷体" w:eastAsia="楷体" w:hint="eastAsia"/>
        </w:rPr>
      </w:pPr>
      <w:r>
        <w:rPr>
          <w:rFonts w:ascii="楷体" w:eastAsia="楷体" w:hint="eastAsia"/>
          <w:spacing w:val="-8"/>
        </w:rPr>
        <w:t>药情况，并通过 </w:t>
      </w:r>
      <w:r>
        <w:rPr>
          <w:rFonts w:ascii="楷体" w:eastAsia="楷体" w:hint="eastAsia"/>
        </w:rPr>
        <w:t>SPSS</w:t>
      </w:r>
      <w:r>
        <w:rPr>
          <w:rFonts w:ascii="楷体" w:eastAsia="楷体" w:hint="eastAsia"/>
          <w:spacing w:val="-8"/>
        </w:rPr>
        <w:t> 对数据进行统计分析。</w:t>
      </w:r>
      <w:r>
        <w:rPr>
          <w:b/>
          <w:spacing w:val="1"/>
        </w:rPr>
        <w:t>结果：</w:t>
      </w:r>
      <w:r>
        <w:rPr>
          <w:rFonts w:ascii="楷体" w:eastAsia="楷体" w:hint="eastAsia"/>
          <w:spacing w:val="-12"/>
        </w:rPr>
        <w:t>总计纳入 </w:t>
      </w:r>
      <w:r>
        <w:rPr>
          <w:rFonts w:ascii="楷体" w:eastAsia="楷体" w:hint="eastAsia"/>
        </w:rPr>
        <w:t>301</w:t>
      </w:r>
      <w:r>
        <w:rPr>
          <w:rFonts w:ascii="楷体" w:eastAsia="楷体" w:hint="eastAsia"/>
          <w:spacing w:val="-14"/>
        </w:rPr>
        <w:t> 名患者，其中教育组 </w:t>
      </w:r>
      <w:r>
        <w:rPr>
          <w:rFonts w:ascii="楷体" w:eastAsia="楷体" w:hint="eastAsia"/>
        </w:rPr>
        <w:t>156</w:t>
      </w:r>
    </w:p>
    <w:p>
      <w:pPr>
        <w:pStyle w:val="BodyText"/>
        <w:spacing w:before="71"/>
        <w:jc w:val="both"/>
        <w:rPr>
          <w:rFonts w:ascii="楷体" w:eastAsia="楷体" w:hint="eastAsia"/>
        </w:rPr>
      </w:pPr>
      <w:r>
        <w:rPr>
          <w:rFonts w:ascii="楷体" w:eastAsia="楷体" w:hint="eastAsia"/>
          <w:spacing w:val="-11"/>
        </w:rPr>
        <w:t>例,对照组 </w:t>
      </w:r>
      <w:r>
        <w:rPr>
          <w:rFonts w:ascii="楷体" w:eastAsia="楷体" w:hint="eastAsia"/>
        </w:rPr>
        <w:t>145</w:t>
      </w:r>
      <w:r>
        <w:rPr>
          <w:rFonts w:ascii="楷体" w:eastAsia="楷体" w:hint="eastAsia"/>
          <w:spacing w:val="-14"/>
        </w:rPr>
        <w:t> 例。最终完成试验 </w:t>
      </w:r>
      <w:r>
        <w:rPr>
          <w:rFonts w:ascii="楷体" w:eastAsia="楷体" w:hint="eastAsia"/>
        </w:rPr>
        <w:t>272</w:t>
      </w:r>
      <w:r>
        <w:rPr>
          <w:rFonts w:ascii="楷体" w:eastAsia="楷体" w:hint="eastAsia"/>
          <w:spacing w:val="-18"/>
        </w:rPr>
        <w:t> 人，教育组 </w:t>
      </w:r>
      <w:r>
        <w:rPr>
          <w:rFonts w:ascii="楷体" w:eastAsia="楷体" w:hint="eastAsia"/>
        </w:rPr>
        <w:t>139</w:t>
      </w:r>
      <w:r>
        <w:rPr>
          <w:rFonts w:ascii="楷体" w:eastAsia="楷体" w:hint="eastAsia"/>
          <w:spacing w:val="-18"/>
        </w:rPr>
        <w:t> 例，对照组 </w:t>
      </w:r>
      <w:r>
        <w:rPr>
          <w:rFonts w:ascii="楷体" w:eastAsia="楷体" w:hint="eastAsia"/>
        </w:rPr>
        <w:t>133</w:t>
      </w:r>
      <w:r>
        <w:rPr>
          <w:rFonts w:ascii="楷体" w:eastAsia="楷体" w:hint="eastAsia"/>
          <w:spacing w:val="-8"/>
        </w:rPr>
        <w:t> 例。教育组病情好转</w:t>
      </w:r>
    </w:p>
    <w:p>
      <w:pPr>
        <w:pStyle w:val="BodyText"/>
        <w:spacing w:line="295" w:lineRule="auto" w:before="74"/>
        <w:ind w:right="231"/>
        <w:jc w:val="both"/>
        <w:rPr>
          <w:rFonts w:ascii="楷体" w:eastAsia="楷体" w:hint="eastAsia"/>
        </w:rPr>
      </w:pPr>
      <w:r>
        <w:rPr>
          <w:rFonts w:ascii="楷体" w:eastAsia="楷体" w:hint="eastAsia"/>
        </w:rPr>
        <w:t>121</w:t>
      </w:r>
      <w:r>
        <w:rPr>
          <w:rFonts w:ascii="楷体" w:eastAsia="楷体" w:hint="eastAsia"/>
          <w:spacing w:val="-14"/>
        </w:rPr>
        <w:t> 例，恶化及复发 </w:t>
      </w:r>
      <w:r>
        <w:rPr>
          <w:rFonts w:ascii="楷体" w:eastAsia="楷体" w:hint="eastAsia"/>
        </w:rPr>
        <w:t>18</w:t>
      </w:r>
      <w:r>
        <w:rPr>
          <w:rFonts w:ascii="楷体" w:eastAsia="楷体" w:hint="eastAsia"/>
          <w:spacing w:val="-16"/>
        </w:rPr>
        <w:t> 例，其中死亡 </w:t>
      </w:r>
      <w:r>
        <w:rPr>
          <w:rFonts w:ascii="楷体" w:eastAsia="楷体" w:hint="eastAsia"/>
        </w:rPr>
        <w:t>1</w:t>
      </w:r>
      <w:r>
        <w:rPr>
          <w:rFonts w:ascii="楷体" w:eastAsia="楷体" w:hint="eastAsia"/>
          <w:spacing w:val="-13"/>
        </w:rPr>
        <w:t> 例，对照组病情好转 </w:t>
      </w:r>
      <w:r>
        <w:rPr>
          <w:rFonts w:ascii="楷体" w:eastAsia="楷体" w:hint="eastAsia"/>
        </w:rPr>
        <w:t>92</w:t>
      </w:r>
      <w:r>
        <w:rPr>
          <w:rFonts w:ascii="楷体" w:eastAsia="楷体" w:hint="eastAsia"/>
          <w:spacing w:val="-14"/>
        </w:rPr>
        <w:t> 例，恶化及复发 </w:t>
      </w:r>
      <w:r>
        <w:rPr>
          <w:rFonts w:ascii="楷体" w:eastAsia="楷体" w:hint="eastAsia"/>
        </w:rPr>
        <w:t>41</w:t>
      </w:r>
      <w:r>
        <w:rPr>
          <w:rFonts w:ascii="楷体" w:eastAsia="楷体" w:hint="eastAsia"/>
          <w:spacing w:val="-15"/>
        </w:rPr>
        <w:t> 例，其</w:t>
      </w:r>
      <w:r>
        <w:rPr>
          <w:rFonts w:ascii="楷体" w:eastAsia="楷体" w:hint="eastAsia"/>
          <w:spacing w:val="-27"/>
        </w:rPr>
        <w:t>中死亡 </w:t>
      </w:r>
      <w:r>
        <w:rPr>
          <w:rFonts w:ascii="楷体" w:eastAsia="楷体" w:hint="eastAsia"/>
        </w:rPr>
        <w:t>2</w:t>
      </w:r>
      <w:r>
        <w:rPr>
          <w:rFonts w:ascii="楷体" w:eastAsia="楷体" w:hint="eastAsia"/>
          <w:spacing w:val="-30"/>
        </w:rPr>
        <w:t> 例</w:t>
      </w:r>
      <w:r>
        <w:rPr>
          <w:rFonts w:ascii="楷体" w:eastAsia="楷体" w:hint="eastAsia"/>
        </w:rPr>
        <w:t>，2</w:t>
      </w:r>
      <w:r>
        <w:rPr>
          <w:rFonts w:ascii="楷体" w:eastAsia="楷体" w:hint="eastAsia"/>
          <w:spacing w:val="-8"/>
        </w:rPr>
        <w:t> 组比较结果有统计学差异</w:t>
      </w:r>
      <w:r>
        <w:rPr>
          <w:rFonts w:ascii="楷体" w:eastAsia="楷体" w:hint="eastAsia"/>
        </w:rPr>
        <w:t>（P=0.001＜0.05）；用药依从性方面，教育组自</w:t>
      </w:r>
      <w:r>
        <w:rPr>
          <w:rFonts w:ascii="楷体" w:eastAsia="楷体" w:hint="eastAsia"/>
          <w:spacing w:val="-16"/>
        </w:rPr>
        <w:t>行停药 </w:t>
      </w:r>
      <w:r>
        <w:rPr>
          <w:rFonts w:ascii="楷体" w:eastAsia="楷体" w:hint="eastAsia"/>
        </w:rPr>
        <w:t>37</w:t>
      </w:r>
      <w:r>
        <w:rPr>
          <w:rFonts w:ascii="楷体" w:eastAsia="楷体" w:hint="eastAsia"/>
          <w:spacing w:val="-18"/>
        </w:rPr>
        <w:t> 例、按疗程服药 </w:t>
      </w:r>
      <w:r>
        <w:rPr>
          <w:rFonts w:ascii="楷体" w:eastAsia="楷体" w:hint="eastAsia"/>
        </w:rPr>
        <w:t>19</w:t>
      </w:r>
      <w:r>
        <w:rPr>
          <w:rFonts w:ascii="楷体" w:eastAsia="楷体" w:hint="eastAsia"/>
          <w:spacing w:val="-16"/>
        </w:rPr>
        <w:t> 例、进行药物监测 </w:t>
      </w:r>
      <w:r>
        <w:rPr>
          <w:rFonts w:ascii="楷体" w:eastAsia="楷体" w:hint="eastAsia"/>
        </w:rPr>
        <w:t>89</w:t>
      </w:r>
      <w:r>
        <w:rPr>
          <w:rFonts w:ascii="楷体" w:eastAsia="楷体" w:hint="eastAsia"/>
          <w:spacing w:val="-18"/>
        </w:rPr>
        <w:t> 例，不规律用药 </w:t>
      </w:r>
      <w:r>
        <w:rPr>
          <w:rFonts w:ascii="楷体" w:eastAsia="楷体" w:hint="eastAsia"/>
        </w:rPr>
        <w:t>56</w:t>
      </w:r>
      <w:r>
        <w:rPr>
          <w:rFonts w:ascii="楷体" w:eastAsia="楷体" w:hint="eastAsia"/>
          <w:spacing w:val="-12"/>
        </w:rPr>
        <w:t> 例，对照组自行停药</w:t>
      </w:r>
    </w:p>
    <w:p>
      <w:pPr>
        <w:pStyle w:val="BodyText"/>
        <w:spacing w:before="6"/>
        <w:jc w:val="both"/>
        <w:rPr>
          <w:rFonts w:ascii="楷体" w:eastAsia="楷体" w:hint="eastAsia"/>
        </w:rPr>
      </w:pPr>
      <w:r>
        <w:rPr>
          <w:rFonts w:ascii="楷体" w:eastAsia="楷体" w:hint="eastAsia"/>
        </w:rPr>
        <w:t>44</w:t>
      </w:r>
      <w:r>
        <w:rPr>
          <w:rFonts w:ascii="楷体" w:eastAsia="楷体" w:hint="eastAsia"/>
          <w:spacing w:val="-14"/>
        </w:rPr>
        <w:t> 例、按疗程服药 </w:t>
      </w:r>
      <w:r>
        <w:rPr>
          <w:rFonts w:ascii="楷体" w:eastAsia="楷体" w:hint="eastAsia"/>
        </w:rPr>
        <w:t>6</w:t>
      </w:r>
      <w:r>
        <w:rPr>
          <w:rFonts w:ascii="楷体" w:eastAsia="楷体" w:hint="eastAsia"/>
          <w:spacing w:val="-16"/>
        </w:rPr>
        <w:t> 例、药物监测 </w:t>
      </w:r>
      <w:r>
        <w:rPr>
          <w:rFonts w:ascii="楷体" w:eastAsia="楷体" w:hint="eastAsia"/>
        </w:rPr>
        <w:t>61</w:t>
      </w:r>
      <w:r>
        <w:rPr>
          <w:rFonts w:ascii="楷体" w:eastAsia="楷体" w:hint="eastAsia"/>
          <w:spacing w:val="-14"/>
        </w:rPr>
        <w:t> 例，不规律用药 </w:t>
      </w:r>
      <w:r>
        <w:rPr>
          <w:rFonts w:ascii="楷体" w:eastAsia="楷体" w:hint="eastAsia"/>
        </w:rPr>
        <w:t>49</w:t>
      </w:r>
      <w:r>
        <w:rPr>
          <w:rFonts w:ascii="楷体" w:eastAsia="楷体" w:hint="eastAsia"/>
          <w:spacing w:val="-8"/>
        </w:rPr>
        <w:t> 例，教育组用药依从性优于对照</w:t>
      </w:r>
    </w:p>
    <w:p>
      <w:pPr>
        <w:pStyle w:val="BodyText"/>
        <w:spacing w:line="295" w:lineRule="auto" w:before="72"/>
        <w:ind w:right="243"/>
        <w:jc w:val="both"/>
        <w:rPr>
          <w:rFonts w:ascii="楷体" w:eastAsia="楷体" w:hint="eastAsia"/>
        </w:rPr>
      </w:pPr>
      <w:r>
        <w:rPr>
          <w:rFonts w:ascii="楷体" w:eastAsia="楷体" w:hint="eastAsia"/>
          <w:spacing w:val="-6"/>
        </w:rPr>
        <w:t>组；不良反应教育组发生 </w:t>
      </w:r>
      <w:r>
        <w:rPr>
          <w:rFonts w:ascii="楷体" w:eastAsia="楷体" w:hint="eastAsia"/>
        </w:rPr>
        <w:t>10</w:t>
      </w:r>
      <w:r>
        <w:rPr>
          <w:rFonts w:ascii="楷体" w:eastAsia="楷体" w:hint="eastAsia"/>
          <w:spacing w:val="-20"/>
        </w:rPr>
        <w:t> 例对照组 </w:t>
      </w:r>
      <w:r>
        <w:rPr>
          <w:rFonts w:ascii="楷体" w:eastAsia="楷体" w:hint="eastAsia"/>
        </w:rPr>
        <w:t>2</w:t>
      </w:r>
      <w:r>
        <w:rPr>
          <w:rFonts w:ascii="楷体" w:eastAsia="楷体" w:hint="eastAsia"/>
          <w:spacing w:val="-20"/>
        </w:rPr>
        <w:t> 例。</w:t>
      </w:r>
      <w:r>
        <w:rPr>
          <w:b/>
          <w:spacing w:val="1"/>
        </w:rPr>
        <w:t>结论：</w:t>
      </w:r>
      <w:r>
        <w:rPr>
          <w:rFonts w:ascii="楷体" w:eastAsia="楷体" w:hint="eastAsia"/>
          <w:spacing w:val="-2"/>
        </w:rPr>
        <w:t>临床药师通过用药教育能够提高脑卒中</w:t>
      </w:r>
      <w:r>
        <w:rPr>
          <w:rFonts w:ascii="楷体" w:eastAsia="楷体" w:hint="eastAsia"/>
        </w:rPr>
        <w:t>患者用药依从性，对患者控制疾病，减少脑卒中的进展及复发有积极意义。</w:t>
      </w:r>
    </w:p>
    <w:p>
      <w:pPr>
        <w:pStyle w:val="BodyText"/>
        <w:spacing w:line="295" w:lineRule="auto" w:before="4"/>
        <w:ind w:right="228"/>
      </w:pPr>
      <w:r>
        <w:rPr>
          <w:b/>
          <w:spacing w:val="-4"/>
        </w:rPr>
        <w:t>【关键词】</w:t>
      </w:r>
      <w:r>
        <w:rPr>
          <w:spacing w:val="-9"/>
        </w:rPr>
        <w:t>用药教育；依从性；脑卒中；二级预防；随机对照研究</w:t>
      </w:r>
      <w:r>
        <w:rPr>
          <w:spacing w:val="-3"/>
        </w:rPr>
        <w:t>（</w:t>
      </w:r>
      <w:r>
        <w:rPr>
          <w:spacing w:val="-2"/>
        </w:rPr>
        <w:t>首都医科大学附属北京</w:t>
      </w:r>
      <w:r>
        <w:rPr>
          <w:spacing w:val="-1"/>
        </w:rPr>
        <w:t>友谊医院药剂科，北京 </w:t>
      </w:r>
      <w:r>
        <w:rPr>
          <w:rFonts w:ascii="Times New Roman" w:eastAsia="Times New Roman"/>
        </w:rPr>
        <w:t>100050</w:t>
      </w:r>
      <w:r>
        <w:rPr/>
        <w:t>）</w:t>
      </w:r>
    </w:p>
    <w:p>
      <w:pPr>
        <w:pStyle w:val="BodyText"/>
        <w:spacing w:line="297" w:lineRule="auto" w:before="2"/>
        <w:ind w:right="228" w:firstLine="480"/>
      </w:pPr>
      <w:r>
        <w:rPr>
          <w:spacing w:val="-6"/>
        </w:rPr>
        <w:t>脑卒中</w:t>
      </w:r>
      <w:r>
        <w:rPr>
          <w:spacing w:val="-3"/>
        </w:rPr>
        <w:t>（Stroke）</w:t>
      </w:r>
      <w:r>
        <w:rPr>
          <w:spacing w:val="-6"/>
        </w:rPr>
        <w:t>做为神经内科常见病，具有高死亡率，高发病率、高致残率、高复发</w:t>
      </w:r>
      <w:r>
        <w:rPr/>
        <w:t>率的特点，严重影响患者的生存质量，增加家庭及社会的照料负担。2016</w:t>
      </w:r>
      <w:r>
        <w:rPr>
          <w:spacing w:val="-20"/>
        </w:rPr>
        <w:t> 年，全球 </w:t>
      </w:r>
      <w:r>
        <w:rPr/>
        <w:t>1 760 万人死于</w:t>
      </w:r>
      <w:hyperlink r:id="rId23">
        <w:r>
          <w:rPr/>
          <w:t>心脑血管</w:t>
        </w:r>
      </w:hyperlink>
      <w:r>
        <w:rPr>
          <w:spacing w:val="-3"/>
        </w:rPr>
        <w:t>疾病。规律的药物治疗能够降低脑卒中的复发风险 </w:t>
      </w:r>
      <w:r>
        <w:rPr/>
        <w:t>16%～32%，但随着用</w:t>
      </w:r>
      <w:r>
        <w:rPr>
          <w:spacing w:val="-6"/>
        </w:rPr>
        <w:t>药品种的增加患者的依从性呈下降趋势。脑卒中患者往往需要长期服用抗血小板药物，抗凝</w:t>
      </w:r>
      <w:r>
        <w:rPr>
          <w:spacing w:val="-12"/>
        </w:rPr>
        <w:t>药，降脂药物，降压药等多种药物。如何提高患者的用药依从性，对脑卒中二级预防具有重</w:t>
      </w:r>
      <w:r>
        <w:rPr>
          <w:spacing w:val="-11"/>
        </w:rPr>
        <w:t>要意义。本文通过对出院患者不同的程度用药教育进行研究，分析其对脑卒中患者的依从性</w:t>
      </w:r>
      <w:r>
        <w:rPr/>
        <w:t>及脑卒中二级预防情况的作用。</w:t>
      </w:r>
    </w:p>
    <w:p>
      <w:pPr>
        <w:pStyle w:val="Heading3"/>
        <w:numPr>
          <w:ilvl w:val="0"/>
          <w:numId w:val="7"/>
        </w:numPr>
        <w:tabs>
          <w:tab w:pos="961" w:val="left" w:leader="none"/>
        </w:tabs>
        <w:spacing w:line="301" w:lineRule="exact" w:before="0" w:after="0"/>
        <w:ind w:left="960" w:right="0" w:hanging="244"/>
        <w:jc w:val="left"/>
      </w:pPr>
      <w:r>
        <w:rPr>
          <w:w w:val="95"/>
        </w:rPr>
        <w:t>研究对象及方法</w:t>
      </w:r>
    </w:p>
    <w:p>
      <w:pPr>
        <w:pStyle w:val="ListParagraph"/>
        <w:numPr>
          <w:ilvl w:val="1"/>
          <w:numId w:val="7"/>
        </w:numPr>
        <w:tabs>
          <w:tab w:pos="1198" w:val="left" w:leader="none"/>
        </w:tabs>
        <w:spacing w:line="297" w:lineRule="auto" w:before="72" w:after="0"/>
        <w:ind w:left="237" w:right="229" w:firstLine="480"/>
        <w:jc w:val="both"/>
        <w:rPr>
          <w:sz w:val="24"/>
        </w:rPr>
      </w:pPr>
      <w:r>
        <w:rPr>
          <w:spacing w:val="-11"/>
          <w:sz w:val="24"/>
        </w:rPr>
        <w:t>研究对象 入选标准：</w:t>
      </w:r>
      <w:r>
        <w:rPr>
          <w:sz w:val="24"/>
        </w:rPr>
        <w:t>2017</w:t>
      </w:r>
      <w:r>
        <w:rPr>
          <w:spacing w:val="-40"/>
          <w:sz w:val="24"/>
        </w:rPr>
        <w:t> 年 </w:t>
      </w:r>
      <w:r>
        <w:rPr>
          <w:sz w:val="24"/>
        </w:rPr>
        <w:t>9</w:t>
      </w:r>
      <w:r>
        <w:rPr>
          <w:spacing w:val="-30"/>
          <w:sz w:val="24"/>
        </w:rPr>
        <w:t> 月</w:t>
      </w:r>
      <w:r>
        <w:rPr>
          <w:sz w:val="24"/>
        </w:rPr>
        <w:t>–2018</w:t>
      </w:r>
      <w:r>
        <w:rPr>
          <w:spacing w:val="-40"/>
          <w:sz w:val="24"/>
        </w:rPr>
        <w:t> 年 </w:t>
      </w:r>
      <w:r>
        <w:rPr>
          <w:sz w:val="24"/>
        </w:rPr>
        <w:t>1</w:t>
      </w:r>
      <w:r>
        <w:rPr>
          <w:spacing w:val="-9"/>
          <w:sz w:val="24"/>
        </w:rPr>
        <w:t> 月于我院神经内科住院的急性缺血性</w:t>
      </w:r>
      <w:r>
        <w:rPr>
          <w:spacing w:val="-13"/>
          <w:sz w:val="24"/>
        </w:rPr>
        <w:t>脑卒中及 </w:t>
      </w:r>
      <w:r>
        <w:rPr>
          <w:sz w:val="24"/>
        </w:rPr>
        <w:t>TIA</w:t>
      </w:r>
      <w:r>
        <w:rPr>
          <w:spacing w:val="-15"/>
          <w:sz w:val="24"/>
        </w:rPr>
        <w:t> 患者，患者在入院时由住院总医师随机收至不同医疗组，临床药师日常参与其</w:t>
      </w:r>
      <w:r>
        <w:rPr>
          <w:sz w:val="24"/>
        </w:rPr>
        <w:t>中一组的诊疗服务，对该组患者进行用药教育，另一组无临床药师参与日常诊疗服务。</w:t>
      </w:r>
    </w:p>
    <w:p>
      <w:pPr>
        <w:pStyle w:val="BodyText"/>
        <w:spacing w:line="295" w:lineRule="auto"/>
        <w:ind w:right="245" w:firstLine="480"/>
      </w:pPr>
      <w:r>
        <w:rPr/>
        <w:t>排除标准：（1）非急性缺血性脑卒中患者；（2）出院后死亡患者；（3）存在认知功能障碍或无法正常交流的患者。</w:t>
      </w:r>
    </w:p>
    <w:p>
      <w:pPr>
        <w:pStyle w:val="ListParagraph"/>
        <w:numPr>
          <w:ilvl w:val="1"/>
          <w:numId w:val="7"/>
        </w:numPr>
        <w:tabs>
          <w:tab w:pos="1198" w:val="left" w:leader="none"/>
        </w:tabs>
        <w:spacing w:line="295" w:lineRule="auto" w:before="1" w:after="0"/>
        <w:ind w:left="237" w:right="227" w:firstLine="480"/>
        <w:jc w:val="both"/>
        <w:rPr>
          <w:sz w:val="24"/>
        </w:rPr>
      </w:pPr>
      <w:r>
        <w:rPr>
          <w:spacing w:val="-6"/>
          <w:sz w:val="24"/>
        </w:rPr>
        <w:t>研究方法 将患者随机分为教育组和对照组。教育组：出院前由临床药师进行一对</w:t>
      </w:r>
      <w:r>
        <w:rPr>
          <w:spacing w:val="-9"/>
          <w:sz w:val="24"/>
        </w:rPr>
        <w:t>一床旁用药教育，内容包括疾病的诱因及用药目的，药物药理作用及服用时间、服用过程中</w:t>
      </w:r>
      <w:r>
        <w:rPr>
          <w:spacing w:val="-10"/>
          <w:sz w:val="24"/>
        </w:rPr>
        <w:t>的注意事项、监测指标等并解答患者的其他问题；对照组：出院前由住院药师对患者进行用</w:t>
      </w:r>
    </w:p>
    <w:p>
      <w:pPr>
        <w:spacing w:after="0" w:line="295" w:lineRule="auto"/>
        <w:jc w:val="both"/>
        <w:rPr>
          <w:sz w:val="24"/>
        </w:rPr>
        <w:sectPr>
          <w:pgSz w:w="11910" w:h="16850"/>
          <w:pgMar w:header="906" w:footer="607" w:top="1100" w:bottom="800" w:left="1040" w:right="900"/>
        </w:sectPr>
      </w:pPr>
    </w:p>
    <w:p>
      <w:pPr>
        <w:pStyle w:val="BodyText"/>
        <w:spacing w:line="295" w:lineRule="auto" w:before="65"/>
        <w:ind w:right="228"/>
      </w:pPr>
      <w:r>
        <w:rPr>
          <w:spacing w:val="-10"/>
        </w:rPr>
        <w:t>药服用方法说明，并在药盒上标注用法用量。在出院后 </w:t>
      </w:r>
      <w:r>
        <w:rPr/>
        <w:t>3</w:t>
      </w:r>
      <w:r>
        <w:rPr>
          <w:spacing w:val="-11"/>
        </w:rPr>
        <w:t> 个月对患者进行电话回访，对两组</w:t>
      </w:r>
      <w:r>
        <w:rPr/>
        <w:t>之间的患者依从性、脑卒中二级预防情况及药物不良反应情况进行统计分析。</w:t>
      </w:r>
    </w:p>
    <w:p>
      <w:pPr>
        <w:pStyle w:val="ListParagraph"/>
        <w:numPr>
          <w:ilvl w:val="1"/>
          <w:numId w:val="7"/>
        </w:numPr>
        <w:tabs>
          <w:tab w:pos="1198" w:val="left" w:leader="none"/>
        </w:tabs>
        <w:spacing w:line="240" w:lineRule="auto" w:before="2" w:after="0"/>
        <w:ind w:left="1197" w:right="0" w:hanging="481"/>
        <w:jc w:val="left"/>
        <w:rPr>
          <w:sz w:val="24"/>
        </w:rPr>
      </w:pPr>
      <w:r>
        <w:rPr>
          <w:sz w:val="24"/>
        </w:rPr>
        <w:t>评价标准</w:t>
      </w:r>
    </w:p>
    <w:p>
      <w:pPr>
        <w:pStyle w:val="ListParagraph"/>
        <w:numPr>
          <w:ilvl w:val="2"/>
          <w:numId w:val="7"/>
        </w:numPr>
        <w:tabs>
          <w:tab w:pos="1438" w:val="left" w:leader="none"/>
          <w:tab w:pos="3597" w:val="left" w:leader="none"/>
        </w:tabs>
        <w:spacing w:line="295" w:lineRule="auto" w:before="74" w:after="0"/>
        <w:ind w:left="237" w:right="127" w:firstLine="480"/>
        <w:jc w:val="left"/>
        <w:rPr>
          <w:sz w:val="24"/>
        </w:rPr>
      </w:pPr>
      <w:r>
        <w:rPr>
          <w:sz w:val="24"/>
        </w:rPr>
        <w:t>依从性的评价标准</w:t>
        <w:tab/>
        <w:t>从以下几方面对患者的依从性进行评价：（1）是否按疗程服药，主要为服用降同型半胱氨酸药物；（2）是否规律服药：包括每日服药次数，方法是否完全按照药师指导服用，有无漏服情况；（3）是否进行药物监测包括服用他汀类药物， 是否监测低密度脂蛋白胆固醇；服用降糖药，是否自行监测血糖或定期复查糖化血红蛋白</w:t>
      </w:r>
      <w:r>
        <w:rPr>
          <w:spacing w:val="-18"/>
          <w:sz w:val="24"/>
        </w:rPr>
        <w:t>， </w:t>
      </w:r>
      <w:r>
        <w:rPr>
          <w:sz w:val="24"/>
        </w:rPr>
        <w:t>服用降压药，是否定期测量血压等；（4）是否自行停药；（5）出院时服药数量；（6）停药数量。</w:t>
      </w:r>
    </w:p>
    <w:p>
      <w:pPr>
        <w:pStyle w:val="ListParagraph"/>
        <w:numPr>
          <w:ilvl w:val="2"/>
          <w:numId w:val="7"/>
        </w:numPr>
        <w:tabs>
          <w:tab w:pos="1438" w:val="left" w:leader="none"/>
          <w:tab w:pos="5037" w:val="left" w:leader="none"/>
        </w:tabs>
        <w:spacing w:line="297" w:lineRule="auto" w:before="11" w:after="0"/>
        <w:ind w:left="237" w:right="227" w:firstLine="480"/>
        <w:jc w:val="left"/>
        <w:rPr>
          <w:sz w:val="24"/>
        </w:rPr>
      </w:pPr>
      <w:r>
        <w:rPr>
          <w:sz w:val="24"/>
        </w:rPr>
        <w:t>脑卒中二级预防情况的评价标准</w:t>
        <w:tab/>
        <w:t>脑卒中患者在疾病恢复期的治疗为预防再次发作</w:t>
      </w:r>
      <w:r>
        <w:rPr>
          <w:spacing w:val="-51"/>
          <w:sz w:val="24"/>
        </w:rPr>
        <w:t>，</w:t>
      </w:r>
      <w:r>
        <w:rPr>
          <w:sz w:val="24"/>
        </w:rPr>
        <w:t>大多数患者神经功能缺损情况能够有所好转</w:t>
      </w:r>
      <w:r>
        <w:rPr>
          <w:spacing w:val="-51"/>
          <w:sz w:val="24"/>
        </w:rPr>
        <w:t>，</w:t>
      </w:r>
      <w:r>
        <w:rPr>
          <w:sz w:val="24"/>
        </w:rPr>
        <w:t>依照患者情况对脑卒中二级预防情况</w:t>
      </w:r>
      <w:r>
        <w:rPr>
          <w:spacing w:val="-16"/>
          <w:sz w:val="24"/>
        </w:rPr>
        <w:t>进</w:t>
      </w:r>
      <w:r>
        <w:rPr>
          <w:sz w:val="24"/>
        </w:rPr>
        <w:t>行分类</w:t>
      </w:r>
      <w:r>
        <w:rPr>
          <w:spacing w:val="-12"/>
          <w:sz w:val="24"/>
        </w:rPr>
        <w:t>：（1）</w:t>
      </w:r>
      <w:r>
        <w:rPr>
          <w:sz w:val="24"/>
        </w:rPr>
        <w:t>疾病好转或症状减轻</w:t>
      </w:r>
      <w:r>
        <w:rPr>
          <w:spacing w:val="-11"/>
          <w:sz w:val="24"/>
        </w:rPr>
        <w:t>；（2）</w:t>
      </w:r>
      <w:r>
        <w:rPr>
          <w:sz w:val="24"/>
        </w:rPr>
        <w:t>疾病进展或再次复发</w:t>
      </w:r>
      <w:r>
        <w:rPr>
          <w:spacing w:val="-15"/>
          <w:sz w:val="24"/>
        </w:rPr>
        <w:t>，</w:t>
      </w:r>
      <w:r>
        <w:rPr>
          <w:sz w:val="24"/>
        </w:rPr>
        <w:t>其中疾病进展指患者病</w:t>
      </w:r>
      <w:r>
        <w:rPr>
          <w:spacing w:val="-14"/>
          <w:sz w:val="24"/>
        </w:rPr>
        <w:t>情</w:t>
      </w:r>
      <w:r>
        <w:rPr>
          <w:sz w:val="24"/>
        </w:rPr>
        <w:t>未有好转，或持续性恶化。再次复发指患者再次发生脑卒中。</w:t>
      </w:r>
    </w:p>
    <w:p>
      <w:pPr>
        <w:pStyle w:val="ListParagraph"/>
        <w:numPr>
          <w:ilvl w:val="1"/>
          <w:numId w:val="7"/>
        </w:numPr>
        <w:tabs>
          <w:tab w:pos="1198" w:val="left" w:leader="none"/>
          <w:tab w:pos="2877" w:val="left" w:leader="none"/>
        </w:tabs>
        <w:spacing w:line="295" w:lineRule="auto" w:before="0" w:after="0"/>
        <w:ind w:left="237" w:right="366" w:firstLine="480"/>
        <w:jc w:val="left"/>
        <w:rPr>
          <w:sz w:val="24"/>
        </w:rPr>
      </w:pPr>
      <w:r>
        <w:rPr>
          <w:sz w:val="24"/>
        </w:rPr>
        <w:t>药物不良反应</w:t>
        <w:tab/>
        <w:t>随访时询问患者服药过程中是否出现不适，不适的症状及处理</w:t>
      </w:r>
      <w:r>
        <w:rPr>
          <w:spacing w:val="-17"/>
          <w:sz w:val="24"/>
        </w:rPr>
        <w:t>情</w:t>
      </w:r>
      <w:r>
        <w:rPr>
          <w:sz w:val="24"/>
        </w:rPr>
        <w:t>况，由药师判断是否为药物不良反应，对两组患者的药物不良反应进行描述性统计。</w:t>
      </w:r>
    </w:p>
    <w:p>
      <w:pPr>
        <w:pStyle w:val="ListParagraph"/>
        <w:numPr>
          <w:ilvl w:val="1"/>
          <w:numId w:val="7"/>
        </w:numPr>
        <w:tabs>
          <w:tab w:pos="1198" w:val="left" w:leader="none"/>
          <w:tab w:pos="2397" w:val="left" w:leader="none"/>
        </w:tabs>
        <w:spacing w:line="295" w:lineRule="auto" w:before="0" w:after="0"/>
        <w:ind w:left="237" w:right="113" w:firstLine="480"/>
        <w:jc w:val="left"/>
        <w:rPr>
          <w:sz w:val="24"/>
        </w:rPr>
      </w:pPr>
      <w:r>
        <w:rPr>
          <w:sz w:val="24"/>
        </w:rPr>
        <w:t>统计分析</w:t>
        <w:tab/>
        <w:t>研究数据以</w:t>
      </w:r>
      <w:r>
        <w:rPr>
          <w:spacing w:val="-60"/>
          <w:sz w:val="24"/>
        </w:rPr>
        <w:t> </w:t>
      </w:r>
      <w:r>
        <w:rPr>
          <w:sz w:val="24"/>
        </w:rPr>
        <w:t>Excel</w:t>
      </w:r>
      <w:r>
        <w:rPr>
          <w:spacing w:val="-60"/>
          <w:sz w:val="24"/>
        </w:rPr>
        <w:t> </w:t>
      </w:r>
      <w:r>
        <w:rPr>
          <w:sz w:val="24"/>
        </w:rPr>
        <w:t>进行录入</w:t>
      </w:r>
      <w:r>
        <w:rPr>
          <w:spacing w:val="-22"/>
          <w:sz w:val="24"/>
        </w:rPr>
        <w:t>，</w:t>
      </w:r>
      <w:r>
        <w:rPr>
          <w:sz w:val="24"/>
        </w:rPr>
        <w:t>用</w:t>
      </w:r>
      <w:r>
        <w:rPr>
          <w:spacing w:val="-60"/>
          <w:sz w:val="24"/>
        </w:rPr>
        <w:t> </w:t>
      </w:r>
      <w:r>
        <w:rPr>
          <w:sz w:val="24"/>
        </w:rPr>
        <w:t>SPSS</w:t>
      </w:r>
      <w:r>
        <w:rPr>
          <w:spacing w:val="-60"/>
          <w:sz w:val="24"/>
        </w:rPr>
        <w:t> </w:t>
      </w:r>
      <w:r>
        <w:rPr>
          <w:sz w:val="24"/>
        </w:rPr>
        <w:t>20.0</w:t>
      </w:r>
      <w:r>
        <w:rPr>
          <w:spacing w:val="-60"/>
          <w:sz w:val="24"/>
        </w:rPr>
        <w:t> </w:t>
      </w:r>
      <w:r>
        <w:rPr>
          <w:sz w:val="24"/>
        </w:rPr>
        <w:t>进行统计分析</w:t>
      </w:r>
      <w:r>
        <w:rPr>
          <w:spacing w:val="-22"/>
          <w:sz w:val="24"/>
        </w:rPr>
        <w:t>，</w:t>
      </w:r>
      <w:r>
        <w:rPr>
          <w:sz w:val="24"/>
        </w:rPr>
        <w:t>服药与停药数量比较采取</w:t>
      </w:r>
      <w:r>
        <w:rPr>
          <w:spacing w:val="-61"/>
          <w:sz w:val="24"/>
        </w:rPr>
        <w:t> </w:t>
      </w:r>
      <w:r>
        <w:rPr>
          <w:sz w:val="24"/>
        </w:rPr>
        <w:t>t</w:t>
      </w:r>
      <w:r>
        <w:rPr>
          <w:spacing w:val="-59"/>
          <w:sz w:val="24"/>
        </w:rPr>
        <w:t> </w:t>
      </w:r>
      <w:r>
        <w:rPr>
          <w:sz w:val="24"/>
        </w:rPr>
        <w:t>检验，患者依从性、脑卒中二级预防情况及药物不良反应情况以卡方</w:t>
      </w:r>
      <w:r>
        <w:rPr>
          <w:spacing w:val="-4"/>
          <w:sz w:val="24"/>
        </w:rPr>
        <w:t>（</w:t>
      </w:r>
      <w:r>
        <w:rPr>
          <w:rFonts w:ascii="Symbol" w:hAnsi="Symbol" w:eastAsia="Symbol"/>
          <w:spacing w:val="-4"/>
          <w:sz w:val="24"/>
        </w:rPr>
        <w:t></w:t>
      </w:r>
      <w:r>
        <w:rPr>
          <w:spacing w:val="-4"/>
          <w:sz w:val="24"/>
        </w:rPr>
        <w:t>2） </w:t>
      </w:r>
      <w:r>
        <w:rPr>
          <w:sz w:val="24"/>
        </w:rPr>
        <w:t>检验，以</w:t>
      </w:r>
      <w:r>
        <w:rPr>
          <w:spacing w:val="-61"/>
          <w:sz w:val="24"/>
        </w:rPr>
        <w:t> </w:t>
      </w:r>
      <w:r>
        <w:rPr>
          <w:sz w:val="24"/>
        </w:rPr>
        <w:t>P＜0.05</w:t>
      </w:r>
      <w:r>
        <w:rPr>
          <w:spacing w:val="-60"/>
          <w:sz w:val="24"/>
        </w:rPr>
        <w:t> </w:t>
      </w:r>
      <w:r>
        <w:rPr>
          <w:sz w:val="24"/>
        </w:rPr>
        <w:t>作为统计学差异评判指标。</w:t>
      </w:r>
    </w:p>
    <w:p>
      <w:pPr>
        <w:pStyle w:val="Heading3"/>
        <w:numPr>
          <w:ilvl w:val="0"/>
          <w:numId w:val="7"/>
        </w:numPr>
        <w:tabs>
          <w:tab w:pos="961" w:val="left" w:leader="none"/>
        </w:tabs>
        <w:spacing w:line="240" w:lineRule="auto" w:before="3" w:after="0"/>
        <w:ind w:left="960" w:right="0" w:hanging="244"/>
        <w:jc w:val="left"/>
      </w:pPr>
      <w:r>
        <w:rPr/>
        <w:t>结果</w:t>
      </w:r>
    </w:p>
    <w:p>
      <w:pPr>
        <w:pStyle w:val="ListParagraph"/>
        <w:numPr>
          <w:ilvl w:val="1"/>
          <w:numId w:val="7"/>
        </w:numPr>
        <w:tabs>
          <w:tab w:pos="1198" w:val="left" w:leader="none"/>
          <w:tab w:pos="2877" w:val="left" w:leader="none"/>
        </w:tabs>
        <w:spacing w:line="297" w:lineRule="auto" w:before="72" w:after="0"/>
        <w:ind w:left="237" w:right="110" w:firstLine="480"/>
        <w:jc w:val="left"/>
        <w:rPr>
          <w:sz w:val="24"/>
        </w:rPr>
      </w:pPr>
      <w:r>
        <w:rPr>
          <w:sz w:val="24"/>
        </w:rPr>
        <w:t>患者基本情况</w:t>
        <w:tab/>
        <w:t>总计纳入</w:t>
      </w:r>
      <w:r>
        <w:rPr>
          <w:spacing w:val="-60"/>
          <w:sz w:val="24"/>
        </w:rPr>
        <w:t> </w:t>
      </w:r>
      <w:r>
        <w:rPr>
          <w:sz w:val="24"/>
        </w:rPr>
        <w:t>301</w:t>
      </w:r>
      <w:r>
        <w:rPr>
          <w:spacing w:val="-60"/>
          <w:sz w:val="24"/>
        </w:rPr>
        <w:t> </w:t>
      </w:r>
      <w:r>
        <w:rPr>
          <w:sz w:val="24"/>
        </w:rPr>
        <w:t>例患者，其中教育组</w:t>
      </w:r>
      <w:r>
        <w:rPr>
          <w:spacing w:val="-60"/>
          <w:sz w:val="24"/>
        </w:rPr>
        <w:t> </w:t>
      </w:r>
      <w:r>
        <w:rPr>
          <w:sz w:val="24"/>
        </w:rPr>
        <w:t>156</w:t>
      </w:r>
      <w:r>
        <w:rPr>
          <w:spacing w:val="-60"/>
          <w:sz w:val="24"/>
        </w:rPr>
        <w:t> </w:t>
      </w:r>
      <w:r>
        <w:rPr>
          <w:sz w:val="24"/>
        </w:rPr>
        <w:t>例，男性</w:t>
      </w:r>
      <w:r>
        <w:rPr>
          <w:spacing w:val="-60"/>
          <w:sz w:val="24"/>
        </w:rPr>
        <w:t> </w:t>
      </w:r>
      <w:r>
        <w:rPr>
          <w:sz w:val="24"/>
        </w:rPr>
        <w:t>101</w:t>
      </w:r>
      <w:r>
        <w:rPr>
          <w:spacing w:val="-60"/>
          <w:sz w:val="24"/>
        </w:rPr>
        <w:t> </w:t>
      </w:r>
      <w:r>
        <w:rPr>
          <w:sz w:val="24"/>
        </w:rPr>
        <w:t>例，女性</w:t>
      </w:r>
      <w:r>
        <w:rPr>
          <w:spacing w:val="-60"/>
          <w:sz w:val="24"/>
        </w:rPr>
        <w:t> </w:t>
      </w:r>
      <w:r>
        <w:rPr>
          <w:sz w:val="24"/>
        </w:rPr>
        <w:t>55 例，男女比例为</w:t>
      </w:r>
      <w:r>
        <w:rPr>
          <w:spacing w:val="-61"/>
          <w:sz w:val="24"/>
        </w:rPr>
        <w:t> </w:t>
      </w:r>
      <w:r>
        <w:rPr>
          <w:sz w:val="24"/>
        </w:rPr>
        <w:t>1.87:1，平均年龄（63.9±10.8）；对照组</w:t>
      </w:r>
      <w:r>
        <w:rPr>
          <w:spacing w:val="-60"/>
          <w:sz w:val="24"/>
        </w:rPr>
        <w:t> </w:t>
      </w:r>
      <w:r>
        <w:rPr>
          <w:sz w:val="24"/>
        </w:rPr>
        <w:t>149</w:t>
      </w:r>
      <w:r>
        <w:rPr>
          <w:spacing w:val="-60"/>
          <w:sz w:val="24"/>
        </w:rPr>
        <w:t> </w:t>
      </w:r>
      <w:r>
        <w:rPr>
          <w:sz w:val="24"/>
        </w:rPr>
        <w:t>例，男性</w:t>
      </w:r>
      <w:r>
        <w:rPr>
          <w:spacing w:val="-60"/>
          <w:sz w:val="24"/>
        </w:rPr>
        <w:t> </w:t>
      </w:r>
      <w:r>
        <w:rPr>
          <w:sz w:val="24"/>
        </w:rPr>
        <w:t>101</w:t>
      </w:r>
      <w:r>
        <w:rPr>
          <w:spacing w:val="-60"/>
          <w:sz w:val="24"/>
        </w:rPr>
        <w:t> </w:t>
      </w:r>
      <w:r>
        <w:rPr>
          <w:sz w:val="24"/>
        </w:rPr>
        <w:t>例，女性</w:t>
      </w:r>
      <w:r>
        <w:rPr>
          <w:spacing w:val="-60"/>
          <w:sz w:val="24"/>
        </w:rPr>
        <w:t> </w:t>
      </w:r>
      <w:r>
        <w:rPr>
          <w:sz w:val="24"/>
        </w:rPr>
        <w:t>45 例，男女比例为</w:t>
      </w:r>
      <w:r>
        <w:rPr>
          <w:spacing w:val="-61"/>
          <w:sz w:val="24"/>
        </w:rPr>
        <w:t> </w:t>
      </w:r>
      <w:r>
        <w:rPr>
          <w:sz w:val="24"/>
        </w:rPr>
        <w:t>2.24:1，平均年龄（63.7±11.1）。有效回访患者总计的患者</w:t>
      </w:r>
      <w:r>
        <w:rPr>
          <w:spacing w:val="-60"/>
          <w:sz w:val="24"/>
        </w:rPr>
        <w:t> </w:t>
      </w:r>
      <w:r>
        <w:rPr>
          <w:sz w:val="24"/>
        </w:rPr>
        <w:t>272</w:t>
      </w:r>
      <w:r>
        <w:rPr>
          <w:spacing w:val="-60"/>
          <w:sz w:val="24"/>
        </w:rPr>
        <w:t> </w:t>
      </w:r>
      <w:r>
        <w:rPr>
          <w:sz w:val="24"/>
        </w:rPr>
        <w:t>例，教育组</w:t>
      </w:r>
      <w:r>
        <w:rPr>
          <w:spacing w:val="-60"/>
          <w:sz w:val="24"/>
        </w:rPr>
        <w:t> </w:t>
      </w:r>
      <w:r>
        <w:rPr>
          <w:sz w:val="24"/>
        </w:rPr>
        <w:t>139</w:t>
      </w:r>
      <w:r>
        <w:rPr>
          <w:spacing w:val="-61"/>
          <w:sz w:val="24"/>
        </w:rPr>
        <w:t> </w:t>
      </w:r>
      <w:r>
        <w:rPr>
          <w:sz w:val="24"/>
        </w:rPr>
        <w:t>例</w:t>
      </w:r>
      <w:r>
        <w:rPr>
          <w:spacing w:val="-9"/>
          <w:sz w:val="24"/>
        </w:rPr>
        <w:t>，17</w:t>
      </w:r>
      <w:r>
        <w:rPr>
          <w:spacing w:val="-59"/>
          <w:sz w:val="24"/>
        </w:rPr>
        <w:t> </w:t>
      </w:r>
      <w:r>
        <w:rPr>
          <w:sz w:val="24"/>
        </w:rPr>
        <w:t>例失访</w:t>
      </w:r>
      <w:r>
        <w:rPr>
          <w:spacing w:val="-27"/>
          <w:sz w:val="24"/>
        </w:rPr>
        <w:t>；</w:t>
      </w:r>
      <w:r>
        <w:rPr>
          <w:sz w:val="24"/>
        </w:rPr>
        <w:t>对照组</w:t>
      </w:r>
      <w:r>
        <w:rPr>
          <w:spacing w:val="-60"/>
          <w:sz w:val="24"/>
        </w:rPr>
        <w:t> </w:t>
      </w:r>
      <w:r>
        <w:rPr>
          <w:sz w:val="24"/>
        </w:rPr>
        <w:t>133</w:t>
      </w:r>
      <w:r>
        <w:rPr>
          <w:spacing w:val="-60"/>
          <w:sz w:val="24"/>
        </w:rPr>
        <w:t> </w:t>
      </w:r>
      <w:r>
        <w:rPr>
          <w:sz w:val="24"/>
        </w:rPr>
        <w:t>例</w:t>
      </w:r>
      <w:r>
        <w:rPr>
          <w:spacing w:val="-9"/>
          <w:sz w:val="24"/>
        </w:rPr>
        <w:t>，12</w:t>
      </w:r>
      <w:r>
        <w:rPr>
          <w:spacing w:val="-59"/>
          <w:sz w:val="24"/>
        </w:rPr>
        <w:t> </w:t>
      </w:r>
      <w:r>
        <w:rPr>
          <w:sz w:val="24"/>
        </w:rPr>
        <w:t>例失访两组在年龄</w:t>
      </w:r>
      <w:r>
        <w:rPr>
          <w:spacing w:val="-27"/>
          <w:sz w:val="24"/>
        </w:rPr>
        <w:t>、</w:t>
      </w:r>
      <w:r>
        <w:rPr>
          <w:sz w:val="24"/>
        </w:rPr>
        <w:t>性别等方面无统计学差异</w:t>
      </w:r>
      <w:r>
        <w:rPr>
          <w:spacing w:val="-14"/>
          <w:sz w:val="24"/>
        </w:rPr>
        <w:t>。</w:t>
      </w:r>
    </w:p>
    <w:p>
      <w:pPr>
        <w:pStyle w:val="ListParagraph"/>
        <w:numPr>
          <w:ilvl w:val="1"/>
          <w:numId w:val="7"/>
        </w:numPr>
        <w:tabs>
          <w:tab w:pos="1198" w:val="left" w:leader="none"/>
        </w:tabs>
        <w:spacing w:line="302" w:lineRule="exact" w:before="0" w:after="0"/>
        <w:ind w:left="1197" w:right="0" w:hanging="481"/>
        <w:jc w:val="left"/>
        <w:rPr>
          <w:sz w:val="24"/>
        </w:rPr>
      </w:pPr>
      <w:r>
        <w:rPr>
          <w:sz w:val="24"/>
        </w:rPr>
        <w:t>患者用药依从性（死亡患者不计入依从性分析）</w:t>
      </w:r>
    </w:p>
    <w:p>
      <w:pPr>
        <w:pStyle w:val="ListParagraph"/>
        <w:numPr>
          <w:ilvl w:val="2"/>
          <w:numId w:val="7"/>
        </w:numPr>
        <w:tabs>
          <w:tab w:pos="1378" w:val="left" w:leader="none"/>
        </w:tabs>
        <w:spacing w:line="240" w:lineRule="auto" w:before="72" w:after="0"/>
        <w:ind w:left="1377" w:right="0" w:hanging="661"/>
        <w:jc w:val="both"/>
        <w:rPr>
          <w:sz w:val="24"/>
        </w:rPr>
      </w:pPr>
      <w:r>
        <w:rPr>
          <w:spacing w:val="-7"/>
          <w:sz w:val="24"/>
        </w:rPr>
        <w:t>患者依从性比较  按疗程服药情况，</w:t>
      </w:r>
      <w:r>
        <w:rPr>
          <w:sz w:val="24"/>
        </w:rPr>
        <w:t>2</w:t>
      </w:r>
      <w:r>
        <w:rPr>
          <w:spacing w:val="-18"/>
          <w:sz w:val="24"/>
        </w:rPr>
        <w:t> 组差异具有统计学意义</w:t>
      </w:r>
      <w:r>
        <w:rPr>
          <w:sz w:val="24"/>
        </w:rPr>
        <w:t>（</w:t>
      </w:r>
      <w:r>
        <w:rPr>
          <w:rFonts w:ascii="Symbol" w:hAnsi="Symbol"/>
          <w:sz w:val="24"/>
        </w:rPr>
        <w:t></w:t>
      </w:r>
      <w:r>
        <w:rPr>
          <w:sz w:val="24"/>
        </w:rPr>
        <w:t>2=6.730,P=0.011</w:t>
      </w:r>
    </w:p>
    <w:p>
      <w:pPr>
        <w:pStyle w:val="BodyText"/>
        <w:spacing w:line="295" w:lineRule="auto" w:before="73"/>
        <w:ind w:right="227"/>
        <w:jc w:val="both"/>
      </w:pPr>
      <w:r>
        <w:rPr>
          <w:spacing w:val="-3"/>
        </w:rPr>
        <w:t>＜0.05），教育组比对照组患者更能够按疗程服药。按规律服药情况，</w:t>
      </w:r>
      <w:r>
        <w:rPr>
          <w:spacing w:val="-5"/>
        </w:rPr>
        <w:t>2</w:t>
      </w:r>
      <w:r>
        <w:rPr>
          <w:spacing w:val="-9"/>
        </w:rPr>
        <w:t> 组差异不具有统计</w:t>
      </w:r>
      <w:r>
        <w:rPr>
          <w:spacing w:val="-8"/>
        </w:rPr>
        <w:t>学意义</w:t>
      </w:r>
      <w:r>
        <w:rPr>
          <w:spacing w:val="-3"/>
        </w:rPr>
        <w:t>（</w:t>
      </w:r>
      <w:r>
        <w:rPr>
          <w:rFonts w:ascii="Symbol" w:hAnsi="Symbol" w:eastAsia="Symbol"/>
          <w:spacing w:val="-3"/>
        </w:rPr>
        <w:t></w:t>
      </w:r>
      <w:r>
        <w:rPr>
          <w:spacing w:val="-3"/>
        </w:rPr>
        <w:t>2=0.285,P=0.619＞0.05），</w:t>
      </w:r>
      <w:r>
        <w:rPr>
          <w:spacing w:val="-5"/>
        </w:rPr>
        <w:t>用药教育对按规律服药无影响。药物监测情况，两组</w:t>
      </w:r>
      <w:r>
        <w:rPr>
          <w:spacing w:val="-2"/>
        </w:rPr>
        <w:t>差异具有统计学意义</w:t>
      </w:r>
      <w:r>
        <w:rPr/>
        <w:t>（</w:t>
      </w:r>
      <w:r>
        <w:rPr>
          <w:rFonts w:ascii="Symbol" w:hAnsi="Symbol" w:eastAsia="Symbol"/>
        </w:rPr>
        <w:t></w:t>
      </w:r>
      <w:r>
        <w:rPr/>
        <w:t>2=8.756,P=0.003＜0.05），</w:t>
      </w:r>
      <w:r>
        <w:rPr>
          <w:spacing w:val="-6"/>
        </w:rPr>
        <w:t>教育组药物监测情况优于对照组。但 </w:t>
      </w:r>
      <w:r>
        <w:rPr>
          <w:spacing w:val="-12"/>
        </w:rPr>
        <w:t>2 </w:t>
      </w:r>
      <w:r>
        <w:rPr/>
        <w:t>组自行停药情况相似（</w:t>
      </w:r>
      <w:r>
        <w:rPr>
          <w:rFonts w:ascii="Symbol" w:hAnsi="Symbol" w:eastAsia="Symbol"/>
        </w:rPr>
        <w:t></w:t>
      </w:r>
      <w:r>
        <w:rPr/>
        <w:t>2=1.466,P=0.235＞0.05）</w:t>
      </w:r>
      <w:r>
        <w:rPr>
          <w:spacing w:val="-9"/>
        </w:rPr>
        <w:t>具体情况见表 </w:t>
      </w:r>
      <w:r>
        <w:rPr/>
        <w:t>1。</w:t>
      </w:r>
    </w:p>
    <w:p>
      <w:pPr>
        <w:pStyle w:val="BodyText"/>
        <w:spacing w:line="245" w:lineRule="exact"/>
        <w:ind w:left="717"/>
        <w:rPr>
          <w:rFonts w:ascii="楷体" w:eastAsia="楷体" w:hint="eastAsia"/>
        </w:rPr>
      </w:pPr>
      <w:r>
        <w:rPr>
          <w:rFonts w:ascii="楷体" w:eastAsia="楷体" w:hint="eastAsia"/>
        </w:rPr>
        <w:t>表 1 教育组与对照组用药依从性对比统计</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7"/>
        <w:gridCol w:w="79"/>
        <w:gridCol w:w="1142"/>
        <w:gridCol w:w="1187"/>
        <w:gridCol w:w="159"/>
        <w:gridCol w:w="1142"/>
        <w:gridCol w:w="1187"/>
        <w:gridCol w:w="159"/>
        <w:gridCol w:w="1166"/>
        <w:gridCol w:w="1240"/>
      </w:tblGrid>
      <w:tr>
        <w:trPr>
          <w:trHeight w:val="345" w:hRule="atLeast"/>
        </w:trPr>
        <w:tc>
          <w:tcPr>
            <w:tcW w:w="4675" w:type="dxa"/>
            <w:gridSpan w:val="4"/>
            <w:tcBorders>
              <w:top w:val="single" w:sz="4" w:space="0" w:color="000000"/>
            </w:tcBorders>
          </w:tcPr>
          <w:p>
            <w:pPr>
              <w:pStyle w:val="TableParagraph"/>
              <w:spacing w:before="76"/>
              <w:ind w:left="2834"/>
              <w:rPr>
                <w:rFonts w:ascii="宋体" w:eastAsia="宋体" w:hint="eastAsia"/>
                <w:sz w:val="18"/>
              </w:rPr>
            </w:pPr>
            <w:r>
              <w:rPr>
                <w:rFonts w:ascii="宋体" w:eastAsia="宋体" w:hint="eastAsia"/>
                <w:sz w:val="18"/>
              </w:rPr>
              <w:t>教育组（138）例</w:t>
            </w:r>
          </w:p>
        </w:tc>
        <w:tc>
          <w:tcPr>
            <w:tcW w:w="2488" w:type="dxa"/>
            <w:gridSpan w:val="3"/>
            <w:tcBorders>
              <w:top w:val="single" w:sz="4" w:space="0" w:color="000000"/>
              <w:bottom w:val="single" w:sz="4" w:space="0" w:color="000000"/>
            </w:tcBorders>
          </w:tcPr>
          <w:p>
            <w:pPr>
              <w:pStyle w:val="TableParagraph"/>
              <w:spacing w:before="76"/>
              <w:ind w:left="646"/>
              <w:rPr>
                <w:rFonts w:ascii="宋体" w:eastAsia="宋体" w:hint="eastAsia"/>
                <w:sz w:val="18"/>
              </w:rPr>
            </w:pPr>
            <w:r>
              <w:rPr>
                <w:rFonts w:ascii="宋体" w:eastAsia="宋体" w:hint="eastAsia"/>
                <w:sz w:val="18"/>
              </w:rPr>
              <w:t>对照组（131）例</w:t>
            </w:r>
          </w:p>
        </w:tc>
        <w:tc>
          <w:tcPr>
            <w:tcW w:w="2565" w:type="dxa"/>
            <w:gridSpan w:val="3"/>
            <w:tcBorders>
              <w:top w:val="single" w:sz="4" w:space="0" w:color="000000"/>
              <w:bottom w:val="single" w:sz="4" w:space="0" w:color="000000"/>
            </w:tcBorders>
          </w:tcPr>
          <w:p>
            <w:pPr>
              <w:pStyle w:val="TableParagraph"/>
              <w:spacing w:before="76"/>
              <w:ind w:left="939" w:right="866"/>
              <w:jc w:val="center"/>
              <w:rPr>
                <w:rFonts w:ascii="宋体" w:eastAsia="宋体" w:hint="eastAsia"/>
                <w:sz w:val="18"/>
              </w:rPr>
            </w:pPr>
            <w:r>
              <w:rPr>
                <w:rFonts w:ascii="宋体" w:eastAsia="宋体" w:hint="eastAsia"/>
                <w:sz w:val="18"/>
              </w:rPr>
              <w:t>统计结果</w:t>
            </w:r>
          </w:p>
        </w:tc>
      </w:tr>
      <w:tr>
        <w:trPr>
          <w:trHeight w:val="323" w:hRule="atLeast"/>
        </w:trPr>
        <w:tc>
          <w:tcPr>
            <w:tcW w:w="2267" w:type="dxa"/>
          </w:tcPr>
          <w:p>
            <w:pPr>
              <w:pStyle w:val="TableParagraph"/>
              <w:rPr>
                <w:rFonts w:ascii="Times New Roman"/>
                <w:sz w:val="22"/>
              </w:rPr>
            </w:pPr>
          </w:p>
        </w:tc>
        <w:tc>
          <w:tcPr>
            <w:tcW w:w="79" w:type="dxa"/>
            <w:tcBorders>
              <w:bottom w:val="single" w:sz="4" w:space="0" w:color="000000"/>
            </w:tcBorders>
          </w:tcPr>
          <w:p>
            <w:pPr>
              <w:pStyle w:val="TableParagraph"/>
              <w:rPr>
                <w:rFonts w:ascii="Times New Roman"/>
                <w:sz w:val="22"/>
              </w:rPr>
            </w:pPr>
          </w:p>
        </w:tc>
        <w:tc>
          <w:tcPr>
            <w:tcW w:w="1142" w:type="dxa"/>
            <w:tcBorders>
              <w:top w:val="single" w:sz="4" w:space="0" w:color="000000"/>
              <w:bottom w:val="single" w:sz="4" w:space="0" w:color="000000"/>
            </w:tcBorders>
          </w:tcPr>
          <w:p>
            <w:pPr>
              <w:pStyle w:val="TableParagraph"/>
              <w:spacing w:line="227" w:lineRule="exact" w:before="76"/>
              <w:ind w:left="452"/>
              <w:rPr>
                <w:rFonts w:ascii="宋体" w:eastAsia="宋体" w:hint="eastAsia"/>
                <w:sz w:val="18"/>
              </w:rPr>
            </w:pPr>
            <w:r>
              <w:rPr>
                <w:rFonts w:ascii="宋体" w:eastAsia="宋体" w:hint="eastAsia"/>
                <w:sz w:val="18"/>
              </w:rPr>
              <w:t>是</w:t>
            </w:r>
          </w:p>
        </w:tc>
        <w:tc>
          <w:tcPr>
            <w:tcW w:w="1187" w:type="dxa"/>
            <w:tcBorders>
              <w:top w:val="single" w:sz="4" w:space="0" w:color="000000"/>
              <w:bottom w:val="single" w:sz="4" w:space="0" w:color="000000"/>
            </w:tcBorders>
          </w:tcPr>
          <w:p>
            <w:pPr>
              <w:pStyle w:val="TableParagraph"/>
              <w:spacing w:line="227" w:lineRule="exact" w:before="76"/>
              <w:ind w:left="99"/>
              <w:jc w:val="center"/>
              <w:rPr>
                <w:rFonts w:ascii="宋体" w:eastAsia="宋体" w:hint="eastAsia"/>
                <w:sz w:val="18"/>
              </w:rPr>
            </w:pPr>
            <w:r>
              <w:rPr>
                <w:rFonts w:ascii="宋体" w:eastAsia="宋体" w:hint="eastAsia"/>
                <w:sz w:val="18"/>
              </w:rPr>
              <w:t>否</w:t>
            </w:r>
          </w:p>
        </w:tc>
        <w:tc>
          <w:tcPr>
            <w:tcW w:w="159" w:type="dxa"/>
            <w:tcBorders>
              <w:bottom w:val="single" w:sz="4" w:space="0" w:color="000000"/>
            </w:tcBorders>
          </w:tcPr>
          <w:p>
            <w:pPr>
              <w:pStyle w:val="TableParagraph"/>
              <w:rPr>
                <w:rFonts w:ascii="Times New Roman"/>
                <w:sz w:val="22"/>
              </w:rPr>
            </w:pPr>
          </w:p>
        </w:tc>
        <w:tc>
          <w:tcPr>
            <w:tcW w:w="1142" w:type="dxa"/>
            <w:tcBorders>
              <w:top w:val="single" w:sz="4" w:space="0" w:color="000000"/>
              <w:bottom w:val="single" w:sz="4" w:space="0" w:color="000000"/>
            </w:tcBorders>
          </w:tcPr>
          <w:p>
            <w:pPr>
              <w:pStyle w:val="TableParagraph"/>
              <w:spacing w:line="227" w:lineRule="exact" w:before="76"/>
              <w:ind w:left="451"/>
              <w:rPr>
                <w:rFonts w:ascii="宋体" w:eastAsia="宋体" w:hint="eastAsia"/>
                <w:sz w:val="18"/>
              </w:rPr>
            </w:pPr>
            <w:r>
              <w:rPr>
                <w:rFonts w:ascii="宋体" w:eastAsia="宋体" w:hint="eastAsia"/>
                <w:sz w:val="18"/>
              </w:rPr>
              <w:t>是</w:t>
            </w:r>
          </w:p>
        </w:tc>
        <w:tc>
          <w:tcPr>
            <w:tcW w:w="1187" w:type="dxa"/>
            <w:tcBorders>
              <w:top w:val="single" w:sz="4" w:space="0" w:color="000000"/>
              <w:bottom w:val="single" w:sz="4" w:space="0" w:color="000000"/>
            </w:tcBorders>
          </w:tcPr>
          <w:p>
            <w:pPr>
              <w:pStyle w:val="TableParagraph"/>
              <w:spacing w:line="227" w:lineRule="exact" w:before="76"/>
              <w:ind w:right="452"/>
              <w:jc w:val="right"/>
              <w:rPr>
                <w:rFonts w:ascii="宋体" w:eastAsia="宋体" w:hint="eastAsia"/>
                <w:sz w:val="18"/>
              </w:rPr>
            </w:pPr>
            <w:r>
              <w:rPr>
                <w:rFonts w:ascii="宋体" w:eastAsia="宋体" w:hint="eastAsia"/>
                <w:sz w:val="18"/>
              </w:rPr>
              <w:t>否</w:t>
            </w:r>
          </w:p>
        </w:tc>
        <w:tc>
          <w:tcPr>
            <w:tcW w:w="159" w:type="dxa"/>
            <w:tcBorders>
              <w:bottom w:val="single" w:sz="4" w:space="0" w:color="000000"/>
            </w:tcBorders>
          </w:tcPr>
          <w:p>
            <w:pPr>
              <w:pStyle w:val="TableParagraph"/>
              <w:rPr>
                <w:rFonts w:ascii="Times New Roman"/>
                <w:sz w:val="22"/>
              </w:rPr>
            </w:pPr>
          </w:p>
        </w:tc>
        <w:tc>
          <w:tcPr>
            <w:tcW w:w="1166" w:type="dxa"/>
            <w:tcBorders>
              <w:top w:val="single" w:sz="4" w:space="0" w:color="000000"/>
              <w:bottom w:val="single" w:sz="4" w:space="0" w:color="000000"/>
            </w:tcBorders>
          </w:tcPr>
          <w:p>
            <w:pPr>
              <w:pStyle w:val="TableParagraph"/>
              <w:spacing w:before="74"/>
              <w:ind w:left="299" w:right="375"/>
              <w:jc w:val="center"/>
              <w:rPr>
                <w:rFonts w:ascii="宋体" w:hAnsi="宋体"/>
                <w:sz w:val="9"/>
              </w:rPr>
            </w:pPr>
            <w:r>
              <w:rPr>
                <w:rFonts w:ascii="Symbol" w:hAnsi="Symbol"/>
                <w:position w:val="-8"/>
                <w:sz w:val="18"/>
              </w:rPr>
              <w:t></w:t>
            </w:r>
            <w:r>
              <w:rPr>
                <w:rFonts w:ascii="宋体" w:hAnsi="宋体"/>
                <w:sz w:val="9"/>
              </w:rPr>
              <w:t>2</w:t>
            </w:r>
          </w:p>
        </w:tc>
        <w:tc>
          <w:tcPr>
            <w:tcW w:w="1240" w:type="dxa"/>
            <w:tcBorders>
              <w:top w:val="single" w:sz="4" w:space="0" w:color="000000"/>
              <w:bottom w:val="single" w:sz="4" w:space="0" w:color="000000"/>
            </w:tcBorders>
          </w:tcPr>
          <w:p>
            <w:pPr>
              <w:pStyle w:val="TableParagraph"/>
              <w:spacing w:line="227" w:lineRule="exact" w:before="76"/>
              <w:ind w:right="2"/>
              <w:jc w:val="center"/>
              <w:rPr>
                <w:rFonts w:ascii="宋体"/>
                <w:sz w:val="18"/>
              </w:rPr>
            </w:pPr>
            <w:r>
              <w:rPr>
                <w:rFonts w:ascii="宋体"/>
                <w:sz w:val="18"/>
              </w:rPr>
              <w:t>P</w:t>
            </w:r>
          </w:p>
        </w:tc>
      </w:tr>
      <w:tr>
        <w:trPr>
          <w:trHeight w:val="325" w:hRule="atLeast"/>
        </w:trPr>
        <w:tc>
          <w:tcPr>
            <w:tcW w:w="2267" w:type="dxa"/>
          </w:tcPr>
          <w:p>
            <w:pPr>
              <w:pStyle w:val="TableParagraph"/>
              <w:spacing w:before="52"/>
              <w:ind w:left="488" w:right="479"/>
              <w:jc w:val="center"/>
              <w:rPr>
                <w:rFonts w:ascii="宋体" w:eastAsia="宋体" w:hint="eastAsia"/>
                <w:sz w:val="18"/>
              </w:rPr>
            </w:pPr>
            <w:r>
              <w:rPr>
                <w:rFonts w:ascii="宋体" w:eastAsia="宋体" w:hint="eastAsia"/>
                <w:sz w:val="18"/>
              </w:rPr>
              <w:t>按疗程服药情况</w:t>
            </w:r>
          </w:p>
        </w:tc>
        <w:tc>
          <w:tcPr>
            <w:tcW w:w="79" w:type="dxa"/>
            <w:tcBorders>
              <w:top w:val="single" w:sz="4" w:space="0" w:color="000000"/>
            </w:tcBorders>
          </w:tcPr>
          <w:p>
            <w:pPr>
              <w:pStyle w:val="TableParagraph"/>
              <w:rPr>
                <w:rFonts w:ascii="Times New Roman"/>
                <w:sz w:val="22"/>
              </w:rPr>
            </w:pPr>
          </w:p>
        </w:tc>
        <w:tc>
          <w:tcPr>
            <w:tcW w:w="1142" w:type="dxa"/>
            <w:tcBorders>
              <w:top w:val="single" w:sz="4" w:space="0" w:color="000000"/>
            </w:tcBorders>
          </w:tcPr>
          <w:p>
            <w:pPr>
              <w:pStyle w:val="TableParagraph"/>
              <w:spacing w:before="52"/>
              <w:ind w:left="452"/>
              <w:rPr>
                <w:rFonts w:ascii="宋体"/>
                <w:sz w:val="18"/>
              </w:rPr>
            </w:pPr>
            <w:r>
              <w:rPr>
                <w:rFonts w:ascii="宋体"/>
                <w:sz w:val="18"/>
              </w:rPr>
              <w:t>19</w:t>
            </w:r>
          </w:p>
        </w:tc>
        <w:tc>
          <w:tcPr>
            <w:tcW w:w="1187" w:type="dxa"/>
            <w:tcBorders>
              <w:top w:val="single" w:sz="4" w:space="0" w:color="000000"/>
            </w:tcBorders>
          </w:tcPr>
          <w:p>
            <w:pPr>
              <w:pStyle w:val="TableParagraph"/>
              <w:spacing w:before="52"/>
              <w:ind w:left="489" w:right="387"/>
              <w:jc w:val="center"/>
              <w:rPr>
                <w:rFonts w:ascii="宋体"/>
                <w:sz w:val="18"/>
              </w:rPr>
            </w:pPr>
            <w:r>
              <w:rPr>
                <w:rFonts w:ascii="宋体"/>
                <w:sz w:val="18"/>
              </w:rPr>
              <w:t>119</w:t>
            </w:r>
          </w:p>
        </w:tc>
        <w:tc>
          <w:tcPr>
            <w:tcW w:w="159" w:type="dxa"/>
            <w:tcBorders>
              <w:top w:val="single" w:sz="4" w:space="0" w:color="000000"/>
            </w:tcBorders>
          </w:tcPr>
          <w:p>
            <w:pPr>
              <w:pStyle w:val="TableParagraph"/>
              <w:rPr>
                <w:rFonts w:ascii="Times New Roman"/>
                <w:sz w:val="22"/>
              </w:rPr>
            </w:pPr>
          </w:p>
        </w:tc>
        <w:tc>
          <w:tcPr>
            <w:tcW w:w="1142" w:type="dxa"/>
            <w:tcBorders>
              <w:top w:val="single" w:sz="4" w:space="0" w:color="000000"/>
            </w:tcBorders>
          </w:tcPr>
          <w:p>
            <w:pPr>
              <w:pStyle w:val="TableParagraph"/>
              <w:spacing w:before="52"/>
              <w:ind w:left="496"/>
              <w:rPr>
                <w:rFonts w:ascii="宋体"/>
                <w:sz w:val="18"/>
              </w:rPr>
            </w:pPr>
            <w:r>
              <w:rPr>
                <w:rFonts w:ascii="宋体"/>
                <w:sz w:val="18"/>
              </w:rPr>
              <w:t>6</w:t>
            </w:r>
          </w:p>
        </w:tc>
        <w:tc>
          <w:tcPr>
            <w:tcW w:w="1187" w:type="dxa"/>
            <w:tcBorders>
              <w:top w:val="single" w:sz="4" w:space="0" w:color="000000"/>
            </w:tcBorders>
          </w:tcPr>
          <w:p>
            <w:pPr>
              <w:pStyle w:val="TableParagraph"/>
              <w:spacing w:before="52"/>
              <w:ind w:right="404"/>
              <w:jc w:val="right"/>
              <w:rPr>
                <w:rFonts w:ascii="宋体"/>
                <w:sz w:val="18"/>
              </w:rPr>
            </w:pPr>
            <w:r>
              <w:rPr>
                <w:rFonts w:ascii="宋体"/>
                <w:sz w:val="18"/>
              </w:rPr>
              <w:t>125</w:t>
            </w:r>
          </w:p>
        </w:tc>
        <w:tc>
          <w:tcPr>
            <w:tcW w:w="159" w:type="dxa"/>
            <w:tcBorders>
              <w:top w:val="single" w:sz="4" w:space="0" w:color="000000"/>
            </w:tcBorders>
          </w:tcPr>
          <w:p>
            <w:pPr>
              <w:pStyle w:val="TableParagraph"/>
              <w:rPr>
                <w:rFonts w:ascii="Times New Roman"/>
                <w:sz w:val="22"/>
              </w:rPr>
            </w:pPr>
          </w:p>
        </w:tc>
        <w:tc>
          <w:tcPr>
            <w:tcW w:w="1166" w:type="dxa"/>
            <w:tcBorders>
              <w:top w:val="single" w:sz="4" w:space="0" w:color="000000"/>
            </w:tcBorders>
          </w:tcPr>
          <w:p>
            <w:pPr>
              <w:pStyle w:val="TableParagraph"/>
              <w:spacing w:before="52"/>
              <w:ind w:left="299" w:right="376"/>
              <w:jc w:val="center"/>
              <w:rPr>
                <w:rFonts w:ascii="宋体"/>
                <w:sz w:val="18"/>
              </w:rPr>
            </w:pPr>
            <w:r>
              <w:rPr>
                <w:rFonts w:ascii="宋体"/>
                <w:sz w:val="18"/>
              </w:rPr>
              <w:t>6.730</w:t>
            </w:r>
          </w:p>
        </w:tc>
        <w:tc>
          <w:tcPr>
            <w:tcW w:w="1240" w:type="dxa"/>
            <w:tcBorders>
              <w:top w:val="single" w:sz="4" w:space="0" w:color="000000"/>
            </w:tcBorders>
          </w:tcPr>
          <w:p>
            <w:pPr>
              <w:pStyle w:val="TableParagraph"/>
              <w:spacing w:before="52"/>
              <w:ind w:left="375" w:right="375"/>
              <w:jc w:val="center"/>
              <w:rPr>
                <w:rFonts w:ascii="宋体"/>
                <w:sz w:val="18"/>
              </w:rPr>
            </w:pPr>
            <w:r>
              <w:rPr>
                <w:rFonts w:ascii="宋体"/>
                <w:sz w:val="18"/>
              </w:rPr>
              <w:t>0.011</w:t>
            </w:r>
          </w:p>
        </w:tc>
      </w:tr>
      <w:tr>
        <w:trPr>
          <w:trHeight w:val="300" w:hRule="atLeast"/>
        </w:trPr>
        <w:tc>
          <w:tcPr>
            <w:tcW w:w="2267" w:type="dxa"/>
          </w:tcPr>
          <w:p>
            <w:pPr>
              <w:pStyle w:val="TableParagraph"/>
              <w:spacing w:before="27"/>
              <w:ind w:left="488" w:right="477"/>
              <w:jc w:val="center"/>
              <w:rPr>
                <w:rFonts w:ascii="宋体" w:eastAsia="宋体" w:hint="eastAsia"/>
                <w:sz w:val="18"/>
              </w:rPr>
            </w:pPr>
            <w:r>
              <w:rPr>
                <w:rFonts w:ascii="宋体" w:eastAsia="宋体" w:hint="eastAsia"/>
                <w:sz w:val="18"/>
              </w:rPr>
              <w:t>规律服药情况</w:t>
            </w:r>
          </w:p>
        </w:tc>
        <w:tc>
          <w:tcPr>
            <w:tcW w:w="79" w:type="dxa"/>
          </w:tcPr>
          <w:p>
            <w:pPr>
              <w:pStyle w:val="TableParagraph"/>
              <w:rPr>
                <w:rFonts w:ascii="Times New Roman"/>
                <w:sz w:val="22"/>
              </w:rPr>
            </w:pPr>
          </w:p>
        </w:tc>
        <w:tc>
          <w:tcPr>
            <w:tcW w:w="1142" w:type="dxa"/>
          </w:tcPr>
          <w:p>
            <w:pPr>
              <w:pStyle w:val="TableParagraph"/>
              <w:spacing w:before="27"/>
              <w:ind w:left="452"/>
              <w:rPr>
                <w:rFonts w:ascii="宋体"/>
                <w:sz w:val="18"/>
              </w:rPr>
            </w:pPr>
            <w:r>
              <w:rPr>
                <w:rFonts w:ascii="宋体"/>
                <w:sz w:val="18"/>
              </w:rPr>
              <w:t>82</w:t>
            </w:r>
          </w:p>
        </w:tc>
        <w:tc>
          <w:tcPr>
            <w:tcW w:w="1187" w:type="dxa"/>
          </w:tcPr>
          <w:p>
            <w:pPr>
              <w:pStyle w:val="TableParagraph"/>
              <w:spacing w:before="27"/>
              <w:ind w:left="489" w:right="387"/>
              <w:jc w:val="center"/>
              <w:rPr>
                <w:rFonts w:ascii="宋体"/>
                <w:sz w:val="18"/>
              </w:rPr>
            </w:pPr>
            <w:r>
              <w:rPr>
                <w:rFonts w:ascii="宋体"/>
                <w:sz w:val="18"/>
              </w:rPr>
              <w:t>56</w:t>
            </w:r>
          </w:p>
        </w:tc>
        <w:tc>
          <w:tcPr>
            <w:tcW w:w="159" w:type="dxa"/>
          </w:tcPr>
          <w:p>
            <w:pPr>
              <w:pStyle w:val="TableParagraph"/>
              <w:rPr>
                <w:rFonts w:ascii="Times New Roman"/>
                <w:sz w:val="22"/>
              </w:rPr>
            </w:pPr>
          </w:p>
        </w:tc>
        <w:tc>
          <w:tcPr>
            <w:tcW w:w="1142" w:type="dxa"/>
          </w:tcPr>
          <w:p>
            <w:pPr>
              <w:pStyle w:val="TableParagraph"/>
              <w:spacing w:before="27"/>
              <w:ind w:left="451"/>
              <w:rPr>
                <w:rFonts w:ascii="宋体"/>
                <w:sz w:val="18"/>
              </w:rPr>
            </w:pPr>
            <w:r>
              <w:rPr>
                <w:rFonts w:ascii="宋体"/>
                <w:sz w:val="18"/>
              </w:rPr>
              <w:t>82</w:t>
            </w:r>
          </w:p>
        </w:tc>
        <w:tc>
          <w:tcPr>
            <w:tcW w:w="1187" w:type="dxa"/>
          </w:tcPr>
          <w:p>
            <w:pPr>
              <w:pStyle w:val="TableParagraph"/>
              <w:spacing w:before="27"/>
              <w:ind w:right="450"/>
              <w:jc w:val="right"/>
              <w:rPr>
                <w:rFonts w:ascii="宋体"/>
                <w:sz w:val="18"/>
              </w:rPr>
            </w:pPr>
            <w:r>
              <w:rPr>
                <w:rFonts w:ascii="宋体"/>
                <w:sz w:val="18"/>
              </w:rPr>
              <w:t>49</w:t>
            </w:r>
          </w:p>
        </w:tc>
        <w:tc>
          <w:tcPr>
            <w:tcW w:w="159" w:type="dxa"/>
          </w:tcPr>
          <w:p>
            <w:pPr>
              <w:pStyle w:val="TableParagraph"/>
              <w:rPr>
                <w:rFonts w:ascii="Times New Roman"/>
                <w:sz w:val="22"/>
              </w:rPr>
            </w:pPr>
          </w:p>
        </w:tc>
        <w:tc>
          <w:tcPr>
            <w:tcW w:w="1166" w:type="dxa"/>
          </w:tcPr>
          <w:p>
            <w:pPr>
              <w:pStyle w:val="TableParagraph"/>
              <w:spacing w:before="27"/>
              <w:ind w:left="299" w:right="376"/>
              <w:jc w:val="center"/>
              <w:rPr>
                <w:rFonts w:ascii="宋体"/>
                <w:sz w:val="18"/>
              </w:rPr>
            </w:pPr>
            <w:r>
              <w:rPr>
                <w:rFonts w:ascii="宋体"/>
                <w:sz w:val="18"/>
              </w:rPr>
              <w:t>0.285</w:t>
            </w:r>
          </w:p>
        </w:tc>
        <w:tc>
          <w:tcPr>
            <w:tcW w:w="1240" w:type="dxa"/>
          </w:tcPr>
          <w:p>
            <w:pPr>
              <w:pStyle w:val="TableParagraph"/>
              <w:spacing w:before="27"/>
              <w:ind w:left="375" w:right="375"/>
              <w:jc w:val="center"/>
              <w:rPr>
                <w:rFonts w:ascii="宋体"/>
                <w:sz w:val="18"/>
              </w:rPr>
            </w:pPr>
            <w:r>
              <w:rPr>
                <w:rFonts w:ascii="宋体"/>
                <w:sz w:val="18"/>
              </w:rPr>
              <w:t>0.619</w:t>
            </w:r>
          </w:p>
        </w:tc>
      </w:tr>
      <w:tr>
        <w:trPr>
          <w:trHeight w:val="300" w:hRule="atLeast"/>
        </w:trPr>
        <w:tc>
          <w:tcPr>
            <w:tcW w:w="2267" w:type="dxa"/>
          </w:tcPr>
          <w:p>
            <w:pPr>
              <w:pStyle w:val="TableParagraph"/>
              <w:spacing w:before="27"/>
              <w:ind w:left="488" w:right="477"/>
              <w:jc w:val="center"/>
              <w:rPr>
                <w:rFonts w:ascii="宋体" w:eastAsia="宋体" w:hint="eastAsia"/>
                <w:sz w:val="18"/>
              </w:rPr>
            </w:pPr>
            <w:r>
              <w:rPr>
                <w:rFonts w:ascii="宋体" w:eastAsia="宋体" w:hint="eastAsia"/>
                <w:sz w:val="18"/>
              </w:rPr>
              <w:t>药物监测情况</w:t>
            </w:r>
          </w:p>
        </w:tc>
        <w:tc>
          <w:tcPr>
            <w:tcW w:w="79" w:type="dxa"/>
          </w:tcPr>
          <w:p>
            <w:pPr>
              <w:pStyle w:val="TableParagraph"/>
              <w:rPr>
                <w:rFonts w:ascii="Times New Roman"/>
                <w:sz w:val="22"/>
              </w:rPr>
            </w:pPr>
          </w:p>
        </w:tc>
        <w:tc>
          <w:tcPr>
            <w:tcW w:w="1142" w:type="dxa"/>
          </w:tcPr>
          <w:p>
            <w:pPr>
              <w:pStyle w:val="TableParagraph"/>
              <w:spacing w:before="27"/>
              <w:ind w:left="452"/>
              <w:rPr>
                <w:rFonts w:ascii="宋体"/>
                <w:sz w:val="18"/>
              </w:rPr>
            </w:pPr>
            <w:r>
              <w:rPr>
                <w:rFonts w:ascii="宋体"/>
                <w:sz w:val="18"/>
              </w:rPr>
              <w:t>89</w:t>
            </w:r>
          </w:p>
        </w:tc>
        <w:tc>
          <w:tcPr>
            <w:tcW w:w="1187" w:type="dxa"/>
          </w:tcPr>
          <w:p>
            <w:pPr>
              <w:pStyle w:val="TableParagraph"/>
              <w:spacing w:before="27"/>
              <w:ind w:left="489" w:right="387"/>
              <w:jc w:val="center"/>
              <w:rPr>
                <w:rFonts w:ascii="宋体"/>
                <w:sz w:val="18"/>
              </w:rPr>
            </w:pPr>
            <w:r>
              <w:rPr>
                <w:rFonts w:ascii="宋体"/>
                <w:sz w:val="18"/>
              </w:rPr>
              <w:t>49</w:t>
            </w:r>
          </w:p>
        </w:tc>
        <w:tc>
          <w:tcPr>
            <w:tcW w:w="159" w:type="dxa"/>
          </w:tcPr>
          <w:p>
            <w:pPr>
              <w:pStyle w:val="TableParagraph"/>
              <w:rPr>
                <w:rFonts w:ascii="Times New Roman"/>
                <w:sz w:val="22"/>
              </w:rPr>
            </w:pPr>
          </w:p>
        </w:tc>
        <w:tc>
          <w:tcPr>
            <w:tcW w:w="1142" w:type="dxa"/>
          </w:tcPr>
          <w:p>
            <w:pPr>
              <w:pStyle w:val="TableParagraph"/>
              <w:spacing w:before="27"/>
              <w:ind w:left="451"/>
              <w:rPr>
                <w:rFonts w:ascii="宋体"/>
                <w:sz w:val="18"/>
              </w:rPr>
            </w:pPr>
            <w:r>
              <w:rPr>
                <w:rFonts w:ascii="宋体"/>
                <w:sz w:val="18"/>
              </w:rPr>
              <w:t>61</w:t>
            </w:r>
          </w:p>
        </w:tc>
        <w:tc>
          <w:tcPr>
            <w:tcW w:w="1187" w:type="dxa"/>
          </w:tcPr>
          <w:p>
            <w:pPr>
              <w:pStyle w:val="TableParagraph"/>
              <w:spacing w:before="27"/>
              <w:ind w:right="450"/>
              <w:jc w:val="right"/>
              <w:rPr>
                <w:rFonts w:ascii="宋体"/>
                <w:sz w:val="18"/>
              </w:rPr>
            </w:pPr>
            <w:r>
              <w:rPr>
                <w:rFonts w:ascii="宋体"/>
                <w:sz w:val="18"/>
              </w:rPr>
              <w:t>70</w:t>
            </w:r>
          </w:p>
        </w:tc>
        <w:tc>
          <w:tcPr>
            <w:tcW w:w="159" w:type="dxa"/>
          </w:tcPr>
          <w:p>
            <w:pPr>
              <w:pStyle w:val="TableParagraph"/>
              <w:rPr>
                <w:rFonts w:ascii="Times New Roman"/>
                <w:sz w:val="22"/>
              </w:rPr>
            </w:pPr>
          </w:p>
        </w:tc>
        <w:tc>
          <w:tcPr>
            <w:tcW w:w="1166" w:type="dxa"/>
          </w:tcPr>
          <w:p>
            <w:pPr>
              <w:pStyle w:val="TableParagraph"/>
              <w:spacing w:before="27"/>
              <w:ind w:left="299" w:right="376"/>
              <w:jc w:val="center"/>
              <w:rPr>
                <w:rFonts w:ascii="宋体"/>
                <w:sz w:val="18"/>
              </w:rPr>
            </w:pPr>
            <w:r>
              <w:rPr>
                <w:rFonts w:ascii="宋体"/>
                <w:sz w:val="18"/>
              </w:rPr>
              <w:t>8.756</w:t>
            </w:r>
          </w:p>
        </w:tc>
        <w:tc>
          <w:tcPr>
            <w:tcW w:w="1240" w:type="dxa"/>
          </w:tcPr>
          <w:p>
            <w:pPr>
              <w:pStyle w:val="TableParagraph"/>
              <w:spacing w:before="27"/>
              <w:ind w:left="375" w:right="375"/>
              <w:jc w:val="center"/>
              <w:rPr>
                <w:rFonts w:ascii="宋体"/>
                <w:sz w:val="18"/>
              </w:rPr>
            </w:pPr>
            <w:r>
              <w:rPr>
                <w:rFonts w:ascii="宋体"/>
                <w:sz w:val="18"/>
              </w:rPr>
              <w:t>0.003</w:t>
            </w:r>
          </w:p>
        </w:tc>
      </w:tr>
      <w:tr>
        <w:trPr>
          <w:trHeight w:val="274" w:hRule="atLeast"/>
        </w:trPr>
        <w:tc>
          <w:tcPr>
            <w:tcW w:w="2267" w:type="dxa"/>
            <w:tcBorders>
              <w:bottom w:val="single" w:sz="4" w:space="0" w:color="000000"/>
            </w:tcBorders>
          </w:tcPr>
          <w:p>
            <w:pPr>
              <w:pStyle w:val="TableParagraph"/>
              <w:spacing w:line="227" w:lineRule="exact" w:before="27"/>
              <w:ind w:left="488" w:right="477"/>
              <w:jc w:val="center"/>
              <w:rPr>
                <w:rFonts w:ascii="宋体" w:eastAsia="宋体" w:hint="eastAsia"/>
                <w:sz w:val="18"/>
              </w:rPr>
            </w:pPr>
            <w:r>
              <w:rPr>
                <w:rFonts w:ascii="宋体" w:eastAsia="宋体" w:hint="eastAsia"/>
                <w:sz w:val="18"/>
              </w:rPr>
              <w:t>自行停药情况</w:t>
            </w:r>
          </w:p>
        </w:tc>
        <w:tc>
          <w:tcPr>
            <w:tcW w:w="79" w:type="dxa"/>
            <w:tcBorders>
              <w:bottom w:val="single" w:sz="4" w:space="0" w:color="000000"/>
            </w:tcBorders>
          </w:tcPr>
          <w:p>
            <w:pPr>
              <w:pStyle w:val="TableParagraph"/>
              <w:rPr>
                <w:rFonts w:ascii="Times New Roman"/>
                <w:sz w:val="20"/>
              </w:rPr>
            </w:pPr>
          </w:p>
        </w:tc>
        <w:tc>
          <w:tcPr>
            <w:tcW w:w="1142" w:type="dxa"/>
            <w:tcBorders>
              <w:bottom w:val="single" w:sz="4" w:space="0" w:color="000000"/>
            </w:tcBorders>
          </w:tcPr>
          <w:p>
            <w:pPr>
              <w:pStyle w:val="TableParagraph"/>
              <w:spacing w:line="227" w:lineRule="exact" w:before="27"/>
              <w:ind w:left="452"/>
              <w:rPr>
                <w:rFonts w:ascii="宋体"/>
                <w:sz w:val="18"/>
              </w:rPr>
            </w:pPr>
            <w:r>
              <w:rPr>
                <w:rFonts w:ascii="宋体"/>
                <w:sz w:val="18"/>
              </w:rPr>
              <w:t>37</w:t>
            </w:r>
          </w:p>
        </w:tc>
        <w:tc>
          <w:tcPr>
            <w:tcW w:w="1187" w:type="dxa"/>
            <w:tcBorders>
              <w:bottom w:val="single" w:sz="4" w:space="0" w:color="000000"/>
            </w:tcBorders>
          </w:tcPr>
          <w:p>
            <w:pPr>
              <w:pStyle w:val="TableParagraph"/>
              <w:spacing w:line="227" w:lineRule="exact" w:before="27"/>
              <w:ind w:left="489" w:right="387"/>
              <w:jc w:val="center"/>
              <w:rPr>
                <w:rFonts w:ascii="宋体"/>
                <w:sz w:val="18"/>
              </w:rPr>
            </w:pPr>
            <w:r>
              <w:rPr>
                <w:rFonts w:ascii="宋体"/>
                <w:sz w:val="18"/>
              </w:rPr>
              <w:t>101</w:t>
            </w:r>
          </w:p>
        </w:tc>
        <w:tc>
          <w:tcPr>
            <w:tcW w:w="159" w:type="dxa"/>
            <w:tcBorders>
              <w:bottom w:val="single" w:sz="4" w:space="0" w:color="000000"/>
            </w:tcBorders>
          </w:tcPr>
          <w:p>
            <w:pPr>
              <w:pStyle w:val="TableParagraph"/>
              <w:rPr>
                <w:rFonts w:ascii="Times New Roman"/>
                <w:sz w:val="20"/>
              </w:rPr>
            </w:pPr>
          </w:p>
        </w:tc>
        <w:tc>
          <w:tcPr>
            <w:tcW w:w="1142" w:type="dxa"/>
            <w:tcBorders>
              <w:bottom w:val="single" w:sz="4" w:space="0" w:color="000000"/>
            </w:tcBorders>
          </w:tcPr>
          <w:p>
            <w:pPr>
              <w:pStyle w:val="TableParagraph"/>
              <w:spacing w:line="227" w:lineRule="exact" w:before="27"/>
              <w:ind w:left="451"/>
              <w:rPr>
                <w:rFonts w:ascii="宋体"/>
                <w:sz w:val="18"/>
              </w:rPr>
            </w:pPr>
            <w:r>
              <w:rPr>
                <w:rFonts w:ascii="宋体"/>
                <w:sz w:val="18"/>
              </w:rPr>
              <w:t>44</w:t>
            </w:r>
          </w:p>
        </w:tc>
        <w:tc>
          <w:tcPr>
            <w:tcW w:w="1187" w:type="dxa"/>
            <w:tcBorders>
              <w:bottom w:val="single" w:sz="4" w:space="0" w:color="000000"/>
            </w:tcBorders>
          </w:tcPr>
          <w:p>
            <w:pPr>
              <w:pStyle w:val="TableParagraph"/>
              <w:spacing w:line="227" w:lineRule="exact" w:before="27"/>
              <w:ind w:right="450"/>
              <w:jc w:val="right"/>
              <w:rPr>
                <w:rFonts w:ascii="宋体"/>
                <w:sz w:val="18"/>
              </w:rPr>
            </w:pPr>
            <w:r>
              <w:rPr>
                <w:rFonts w:ascii="宋体"/>
                <w:sz w:val="18"/>
              </w:rPr>
              <w:t>87</w:t>
            </w:r>
          </w:p>
        </w:tc>
        <w:tc>
          <w:tcPr>
            <w:tcW w:w="159" w:type="dxa"/>
            <w:tcBorders>
              <w:bottom w:val="single" w:sz="4" w:space="0" w:color="000000"/>
            </w:tcBorders>
          </w:tcPr>
          <w:p>
            <w:pPr>
              <w:pStyle w:val="TableParagraph"/>
              <w:rPr>
                <w:rFonts w:ascii="Times New Roman"/>
                <w:sz w:val="20"/>
              </w:rPr>
            </w:pPr>
          </w:p>
        </w:tc>
        <w:tc>
          <w:tcPr>
            <w:tcW w:w="1166" w:type="dxa"/>
            <w:tcBorders>
              <w:bottom w:val="single" w:sz="4" w:space="0" w:color="000000"/>
            </w:tcBorders>
          </w:tcPr>
          <w:p>
            <w:pPr>
              <w:pStyle w:val="TableParagraph"/>
              <w:spacing w:line="227" w:lineRule="exact" w:before="27"/>
              <w:ind w:left="299" w:right="376"/>
              <w:jc w:val="center"/>
              <w:rPr>
                <w:rFonts w:ascii="宋体"/>
                <w:sz w:val="18"/>
              </w:rPr>
            </w:pPr>
            <w:r>
              <w:rPr>
                <w:rFonts w:ascii="宋体"/>
                <w:sz w:val="18"/>
              </w:rPr>
              <w:t>1.466</w:t>
            </w:r>
          </w:p>
        </w:tc>
        <w:tc>
          <w:tcPr>
            <w:tcW w:w="1240" w:type="dxa"/>
            <w:tcBorders>
              <w:bottom w:val="single" w:sz="4" w:space="0" w:color="000000"/>
            </w:tcBorders>
          </w:tcPr>
          <w:p>
            <w:pPr>
              <w:pStyle w:val="TableParagraph"/>
              <w:spacing w:line="227" w:lineRule="exact" w:before="27"/>
              <w:ind w:left="375" w:right="375"/>
              <w:jc w:val="center"/>
              <w:rPr>
                <w:rFonts w:ascii="宋体"/>
                <w:sz w:val="18"/>
              </w:rPr>
            </w:pPr>
            <w:r>
              <w:rPr>
                <w:rFonts w:ascii="宋体"/>
                <w:sz w:val="18"/>
              </w:rPr>
              <w:t>0.235</w:t>
            </w:r>
          </w:p>
        </w:tc>
      </w:tr>
    </w:tbl>
    <w:p>
      <w:pPr>
        <w:pStyle w:val="ListParagraph"/>
        <w:numPr>
          <w:ilvl w:val="2"/>
          <w:numId w:val="7"/>
        </w:numPr>
        <w:tabs>
          <w:tab w:pos="1438" w:val="left" w:leader="none"/>
          <w:tab w:pos="3837" w:val="left" w:leader="none"/>
        </w:tabs>
        <w:spacing w:line="295" w:lineRule="auto" w:before="57" w:after="0"/>
        <w:ind w:left="237" w:right="246" w:firstLine="480"/>
        <w:jc w:val="left"/>
        <w:rPr>
          <w:sz w:val="24"/>
        </w:rPr>
      </w:pPr>
      <w:r>
        <w:rPr>
          <w:sz w:val="24"/>
        </w:rPr>
        <w:t>服药与停药数量情况</w:t>
        <w:tab/>
        <w:t>2</w:t>
      </w:r>
      <w:r>
        <w:rPr>
          <w:spacing w:val="-60"/>
          <w:sz w:val="24"/>
        </w:rPr>
        <w:t> </w:t>
      </w:r>
      <w:r>
        <w:rPr>
          <w:sz w:val="24"/>
        </w:rPr>
        <w:t>组患者出院时服药数量分别为</w:t>
      </w:r>
      <w:r>
        <w:rPr>
          <w:spacing w:val="-60"/>
          <w:sz w:val="24"/>
        </w:rPr>
        <w:t> </w:t>
      </w:r>
      <w:r>
        <w:rPr>
          <w:sz w:val="24"/>
        </w:rPr>
        <w:t>7.8±3.47</w:t>
      </w:r>
      <w:r>
        <w:rPr>
          <w:spacing w:val="-60"/>
          <w:sz w:val="24"/>
        </w:rPr>
        <w:t> </w:t>
      </w:r>
      <w:r>
        <w:rPr>
          <w:sz w:val="24"/>
        </w:rPr>
        <w:t>与</w:t>
      </w:r>
      <w:r>
        <w:rPr>
          <w:spacing w:val="-60"/>
          <w:sz w:val="24"/>
        </w:rPr>
        <w:t> </w:t>
      </w:r>
      <w:r>
        <w:rPr>
          <w:sz w:val="24"/>
        </w:rPr>
        <w:t>7.02± 3.91，差异不具有统计学意义（P=0.084＞0.05），证明</w:t>
      </w:r>
      <w:r>
        <w:rPr>
          <w:spacing w:val="-60"/>
          <w:sz w:val="24"/>
        </w:rPr>
        <w:t> </w:t>
      </w:r>
      <w:r>
        <w:rPr>
          <w:sz w:val="24"/>
        </w:rPr>
        <w:t>2</w:t>
      </w:r>
      <w:r>
        <w:rPr>
          <w:spacing w:val="-60"/>
          <w:sz w:val="24"/>
        </w:rPr>
        <w:t> </w:t>
      </w:r>
      <w:r>
        <w:rPr>
          <w:sz w:val="24"/>
        </w:rPr>
        <w:t>组在出院带药上可比。回访时</w:t>
      </w:r>
      <w:r>
        <w:rPr>
          <w:spacing w:val="-17"/>
          <w:sz w:val="24"/>
        </w:rPr>
        <w:t>服</w:t>
      </w:r>
    </w:p>
    <w:p>
      <w:pPr>
        <w:spacing w:after="0" w:line="295" w:lineRule="auto"/>
        <w:jc w:val="left"/>
        <w:rPr>
          <w:sz w:val="24"/>
        </w:rPr>
        <w:sectPr>
          <w:pgSz w:w="11910" w:h="16850"/>
          <w:pgMar w:header="906" w:footer="607" w:top="1100" w:bottom="800" w:left="1040" w:right="900"/>
        </w:sectPr>
      </w:pPr>
    </w:p>
    <w:p>
      <w:pPr>
        <w:pStyle w:val="BodyText"/>
        <w:spacing w:line="295" w:lineRule="auto" w:before="65"/>
        <w:ind w:right="305"/>
        <w:jc w:val="both"/>
      </w:pPr>
      <w:r>
        <w:rPr>
          <w:spacing w:val="-9"/>
        </w:rPr>
        <w:t>药数量分别为 </w:t>
      </w:r>
      <w:r>
        <w:rPr/>
        <w:t>5.61±4.51</w:t>
      </w:r>
      <w:r>
        <w:rPr>
          <w:spacing w:val="-40"/>
        </w:rPr>
        <w:t> 与 </w:t>
      </w:r>
      <w:r>
        <w:rPr/>
        <w:t>4.47±4.41</w:t>
      </w:r>
      <w:r>
        <w:rPr>
          <w:spacing w:val="-8"/>
        </w:rPr>
        <w:t> 差异具有统计学意义</w:t>
      </w:r>
      <w:r>
        <w:rPr/>
        <w:t>（P=0.037＜0.05），</w:t>
      </w:r>
      <w:r>
        <w:rPr>
          <w:spacing w:val="-20"/>
        </w:rPr>
        <w:t>证明 </w:t>
      </w:r>
      <w:r>
        <w:rPr>
          <w:spacing w:val="-15"/>
        </w:rPr>
        <w:t>2 </w:t>
      </w:r>
      <w:r>
        <w:rPr/>
        <w:t>组在回访时服药种类均有相同程度的减少。</w:t>
      </w:r>
    </w:p>
    <w:p>
      <w:pPr>
        <w:pStyle w:val="BodyText"/>
        <w:spacing w:before="2"/>
        <w:ind w:left="717"/>
        <w:jc w:val="both"/>
      </w:pPr>
      <w:r>
        <w:rPr/>
        <w:t>两组患者自行停药数量分别为 1.75±3.39 与 2.4±4.14，差异不具有统计学意义</w:t>
      </w:r>
    </w:p>
    <w:p>
      <w:pPr>
        <w:pStyle w:val="BodyText"/>
        <w:spacing w:line="295" w:lineRule="auto" w:before="74"/>
        <w:ind w:right="228"/>
        <w:jc w:val="both"/>
      </w:pPr>
      <w:r>
        <w:rPr>
          <w:spacing w:val="-5"/>
        </w:rPr>
        <w:t>（P=0.163＜0.05），2</w:t>
      </w:r>
      <w:r>
        <w:rPr>
          <w:spacing w:val="-14"/>
        </w:rPr>
        <w:t> 组自行停药类似。按疗程停药数量分别为 </w:t>
      </w:r>
      <w:r>
        <w:rPr/>
        <w:t>0.51±1.55</w:t>
      </w:r>
      <w:r>
        <w:rPr>
          <w:spacing w:val="-41"/>
        </w:rPr>
        <w:t> 与 </w:t>
      </w:r>
      <w:r>
        <w:rPr/>
        <w:t>0.16±1.01 差异具有统计学意义（P=0.027＜0.05），教育组按疗程停药数量多于对照组。2</w:t>
      </w:r>
      <w:r>
        <w:rPr>
          <w:spacing w:val="-12"/>
        </w:rPr>
        <w:t> 组服药与</w:t>
      </w:r>
      <w:r>
        <w:rPr>
          <w:spacing w:val="-19"/>
        </w:rPr>
        <w:t>停药数量见表 </w:t>
      </w:r>
      <w:r>
        <w:rPr/>
        <w:t>2。</w:t>
      </w:r>
    </w:p>
    <w:p>
      <w:pPr>
        <w:pStyle w:val="BodyText"/>
        <w:spacing w:line="248" w:lineRule="exact"/>
        <w:ind w:left="717"/>
        <w:rPr>
          <w:rFonts w:ascii="楷体" w:eastAsia="楷体" w:hint="eastAsia"/>
        </w:rPr>
      </w:pPr>
      <w:r>
        <w:rPr>
          <w:rFonts w:ascii="楷体" w:eastAsia="楷体" w:hint="eastAsia"/>
        </w:rPr>
        <w:t>表 2 服药与停药数量统计</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1"/>
        <w:gridCol w:w="1222"/>
        <w:gridCol w:w="1289"/>
        <w:gridCol w:w="1198"/>
        <w:gridCol w:w="1243"/>
        <w:gridCol w:w="1287"/>
        <w:gridCol w:w="1221"/>
      </w:tblGrid>
      <w:tr>
        <w:trPr>
          <w:trHeight w:val="299" w:hRule="atLeast"/>
        </w:trPr>
        <w:tc>
          <w:tcPr>
            <w:tcW w:w="4782" w:type="dxa"/>
            <w:gridSpan w:val="3"/>
            <w:tcBorders>
              <w:top w:val="single" w:sz="4" w:space="0" w:color="000000"/>
            </w:tcBorders>
          </w:tcPr>
          <w:p>
            <w:pPr>
              <w:pStyle w:val="TableParagraph"/>
              <w:spacing w:line="227" w:lineRule="exact" w:before="52"/>
              <w:ind w:left="2837"/>
              <w:rPr>
                <w:rFonts w:ascii="宋体" w:eastAsia="宋体" w:hint="eastAsia"/>
                <w:sz w:val="18"/>
              </w:rPr>
            </w:pPr>
            <w:r>
              <w:rPr>
                <w:rFonts w:ascii="宋体" w:eastAsia="宋体" w:hint="eastAsia"/>
                <w:sz w:val="18"/>
              </w:rPr>
              <w:t>教育组（138）例</w:t>
            </w:r>
          </w:p>
        </w:tc>
        <w:tc>
          <w:tcPr>
            <w:tcW w:w="2441" w:type="dxa"/>
            <w:gridSpan w:val="2"/>
            <w:tcBorders>
              <w:top w:val="single" w:sz="4" w:space="0" w:color="000000"/>
              <w:bottom w:val="single" w:sz="4" w:space="0" w:color="000000"/>
            </w:tcBorders>
          </w:tcPr>
          <w:p>
            <w:pPr>
              <w:pStyle w:val="TableParagraph"/>
              <w:spacing w:line="227" w:lineRule="exact" w:before="52"/>
              <w:ind w:left="542"/>
              <w:rPr>
                <w:rFonts w:ascii="宋体" w:eastAsia="宋体" w:hint="eastAsia"/>
                <w:sz w:val="18"/>
              </w:rPr>
            </w:pPr>
            <w:r>
              <w:rPr>
                <w:rFonts w:ascii="宋体" w:eastAsia="宋体" w:hint="eastAsia"/>
                <w:sz w:val="18"/>
              </w:rPr>
              <w:t>对照组（131）例</w:t>
            </w:r>
          </w:p>
        </w:tc>
        <w:tc>
          <w:tcPr>
            <w:tcW w:w="2508" w:type="dxa"/>
            <w:gridSpan w:val="2"/>
            <w:tcBorders>
              <w:top w:val="single" w:sz="4" w:space="0" w:color="000000"/>
              <w:bottom w:val="single" w:sz="4" w:space="0" w:color="000000"/>
            </w:tcBorders>
          </w:tcPr>
          <w:p>
            <w:pPr>
              <w:pStyle w:val="TableParagraph"/>
              <w:spacing w:line="227" w:lineRule="exact" w:before="52"/>
              <w:ind w:left="883" w:right="865"/>
              <w:jc w:val="center"/>
              <w:rPr>
                <w:rFonts w:ascii="宋体" w:eastAsia="宋体" w:hint="eastAsia"/>
                <w:sz w:val="18"/>
              </w:rPr>
            </w:pPr>
            <w:r>
              <w:rPr>
                <w:rFonts w:ascii="宋体" w:eastAsia="宋体" w:hint="eastAsia"/>
                <w:sz w:val="18"/>
              </w:rPr>
              <w:t>统计结果</w:t>
            </w:r>
          </w:p>
        </w:tc>
      </w:tr>
      <w:tr>
        <w:trPr>
          <w:trHeight w:val="299" w:hRule="atLeast"/>
        </w:trPr>
        <w:tc>
          <w:tcPr>
            <w:tcW w:w="2271" w:type="dxa"/>
          </w:tcPr>
          <w:p>
            <w:pPr>
              <w:pStyle w:val="TableParagraph"/>
              <w:rPr>
                <w:rFonts w:ascii="Times New Roman"/>
                <w:sz w:val="22"/>
              </w:rPr>
            </w:pPr>
          </w:p>
        </w:tc>
        <w:tc>
          <w:tcPr>
            <w:tcW w:w="1222" w:type="dxa"/>
            <w:tcBorders>
              <w:top w:val="single" w:sz="4" w:space="0" w:color="000000"/>
              <w:bottom w:val="single" w:sz="4" w:space="0" w:color="000000"/>
            </w:tcBorders>
          </w:tcPr>
          <w:p>
            <w:pPr>
              <w:pStyle w:val="TableParagraph"/>
              <w:spacing w:line="227" w:lineRule="exact" w:before="52"/>
              <w:ind w:left="442"/>
              <w:rPr>
                <w:rFonts w:ascii="宋体" w:eastAsia="宋体" w:hint="eastAsia"/>
                <w:sz w:val="18"/>
              </w:rPr>
            </w:pPr>
            <w:r>
              <w:rPr>
                <w:rFonts w:ascii="宋体" w:eastAsia="宋体" w:hint="eastAsia"/>
                <w:sz w:val="18"/>
              </w:rPr>
              <w:t>均值</w:t>
            </w:r>
          </w:p>
        </w:tc>
        <w:tc>
          <w:tcPr>
            <w:tcW w:w="1289" w:type="dxa"/>
            <w:tcBorders>
              <w:top w:val="single" w:sz="4" w:space="0" w:color="000000"/>
              <w:bottom w:val="single" w:sz="4" w:space="0" w:color="000000"/>
            </w:tcBorders>
          </w:tcPr>
          <w:p>
            <w:pPr>
              <w:pStyle w:val="TableParagraph"/>
              <w:spacing w:line="227" w:lineRule="exact" w:before="52"/>
              <w:ind w:left="399" w:right="399"/>
              <w:jc w:val="center"/>
              <w:rPr>
                <w:rFonts w:ascii="宋体"/>
                <w:sz w:val="18"/>
              </w:rPr>
            </w:pPr>
            <w:r>
              <w:rPr>
                <w:rFonts w:ascii="宋体"/>
                <w:sz w:val="18"/>
              </w:rPr>
              <w:t>SD</w:t>
            </w:r>
          </w:p>
        </w:tc>
        <w:tc>
          <w:tcPr>
            <w:tcW w:w="1198" w:type="dxa"/>
            <w:tcBorders>
              <w:top w:val="single" w:sz="4" w:space="0" w:color="000000"/>
              <w:bottom w:val="single" w:sz="4" w:space="0" w:color="000000"/>
            </w:tcBorders>
          </w:tcPr>
          <w:p>
            <w:pPr>
              <w:pStyle w:val="TableParagraph"/>
              <w:spacing w:line="227" w:lineRule="exact" w:before="52"/>
              <w:ind w:left="417"/>
              <w:rPr>
                <w:rFonts w:ascii="宋体" w:eastAsia="宋体" w:hint="eastAsia"/>
                <w:sz w:val="18"/>
              </w:rPr>
            </w:pPr>
            <w:r>
              <w:rPr>
                <w:rFonts w:ascii="宋体" w:eastAsia="宋体" w:hint="eastAsia"/>
                <w:sz w:val="18"/>
              </w:rPr>
              <w:t>均值</w:t>
            </w:r>
          </w:p>
        </w:tc>
        <w:tc>
          <w:tcPr>
            <w:tcW w:w="1243" w:type="dxa"/>
            <w:tcBorders>
              <w:top w:val="single" w:sz="4" w:space="0" w:color="000000"/>
              <w:bottom w:val="single" w:sz="4" w:space="0" w:color="000000"/>
            </w:tcBorders>
          </w:tcPr>
          <w:p>
            <w:pPr>
              <w:pStyle w:val="TableParagraph"/>
              <w:spacing w:line="227" w:lineRule="exact" w:before="52"/>
              <w:ind w:left="398" w:right="355"/>
              <w:jc w:val="center"/>
              <w:rPr>
                <w:rFonts w:ascii="宋体"/>
                <w:sz w:val="18"/>
              </w:rPr>
            </w:pPr>
            <w:r>
              <w:rPr>
                <w:rFonts w:ascii="宋体"/>
                <w:sz w:val="18"/>
              </w:rPr>
              <w:t>SD</w:t>
            </w:r>
          </w:p>
        </w:tc>
        <w:tc>
          <w:tcPr>
            <w:tcW w:w="1287" w:type="dxa"/>
            <w:tcBorders>
              <w:top w:val="single" w:sz="4" w:space="0" w:color="000000"/>
              <w:bottom w:val="single" w:sz="4" w:space="0" w:color="000000"/>
            </w:tcBorders>
          </w:tcPr>
          <w:p>
            <w:pPr>
              <w:pStyle w:val="TableParagraph"/>
              <w:spacing w:before="51"/>
              <w:ind w:right="1"/>
              <w:jc w:val="center"/>
              <w:rPr>
                <w:rFonts w:ascii="Symbol" w:hAnsi="Symbol"/>
                <w:sz w:val="18"/>
              </w:rPr>
            </w:pPr>
            <w:r>
              <w:rPr>
                <w:rFonts w:ascii="Symbol" w:hAnsi="Symbol"/>
                <w:sz w:val="18"/>
              </w:rPr>
              <w:t></w:t>
            </w:r>
          </w:p>
        </w:tc>
        <w:tc>
          <w:tcPr>
            <w:tcW w:w="1221" w:type="dxa"/>
            <w:tcBorders>
              <w:top w:val="single" w:sz="4" w:space="0" w:color="000000"/>
              <w:bottom w:val="single" w:sz="4" w:space="0" w:color="000000"/>
            </w:tcBorders>
          </w:tcPr>
          <w:p>
            <w:pPr>
              <w:pStyle w:val="TableParagraph"/>
              <w:spacing w:line="237" w:lineRule="exact" w:before="42"/>
              <w:ind w:right="26"/>
              <w:jc w:val="center"/>
              <w:rPr>
                <w:rFonts w:ascii="宋体"/>
                <w:i/>
                <w:sz w:val="19"/>
              </w:rPr>
            </w:pPr>
            <w:r>
              <w:rPr>
                <w:rFonts w:ascii="宋体"/>
                <w:i/>
                <w:w w:val="94"/>
                <w:sz w:val="19"/>
              </w:rPr>
              <w:t>P</w:t>
            </w:r>
          </w:p>
        </w:tc>
      </w:tr>
      <w:tr>
        <w:trPr>
          <w:trHeight w:val="325" w:hRule="atLeast"/>
        </w:trPr>
        <w:tc>
          <w:tcPr>
            <w:tcW w:w="2271" w:type="dxa"/>
          </w:tcPr>
          <w:p>
            <w:pPr>
              <w:pStyle w:val="TableParagraph"/>
              <w:spacing w:before="52"/>
              <w:ind w:left="491" w:right="479"/>
              <w:jc w:val="center"/>
              <w:rPr>
                <w:rFonts w:ascii="宋体" w:eastAsia="宋体" w:hint="eastAsia"/>
                <w:sz w:val="18"/>
              </w:rPr>
            </w:pPr>
            <w:r>
              <w:rPr>
                <w:rFonts w:ascii="宋体" w:eastAsia="宋体" w:hint="eastAsia"/>
                <w:sz w:val="18"/>
              </w:rPr>
              <w:t>出院时服药数量</w:t>
            </w:r>
          </w:p>
        </w:tc>
        <w:tc>
          <w:tcPr>
            <w:tcW w:w="1222" w:type="dxa"/>
            <w:tcBorders>
              <w:top w:val="single" w:sz="4" w:space="0" w:color="000000"/>
            </w:tcBorders>
          </w:tcPr>
          <w:p>
            <w:pPr>
              <w:pStyle w:val="TableParagraph"/>
              <w:spacing w:before="52"/>
              <w:ind w:left="485"/>
              <w:rPr>
                <w:rFonts w:ascii="宋体"/>
                <w:sz w:val="18"/>
              </w:rPr>
            </w:pPr>
            <w:r>
              <w:rPr>
                <w:rFonts w:ascii="宋体"/>
                <w:sz w:val="18"/>
              </w:rPr>
              <w:t>7.8</w:t>
            </w:r>
          </w:p>
        </w:tc>
        <w:tc>
          <w:tcPr>
            <w:tcW w:w="1289" w:type="dxa"/>
            <w:tcBorders>
              <w:top w:val="single" w:sz="4" w:space="0" w:color="000000"/>
            </w:tcBorders>
          </w:tcPr>
          <w:p>
            <w:pPr>
              <w:pStyle w:val="TableParagraph"/>
              <w:spacing w:before="52"/>
              <w:ind w:left="399" w:right="400"/>
              <w:jc w:val="center"/>
              <w:rPr>
                <w:rFonts w:ascii="宋体"/>
                <w:sz w:val="18"/>
              </w:rPr>
            </w:pPr>
            <w:r>
              <w:rPr>
                <w:rFonts w:ascii="宋体"/>
                <w:sz w:val="18"/>
              </w:rPr>
              <w:t>3.47</w:t>
            </w:r>
          </w:p>
        </w:tc>
        <w:tc>
          <w:tcPr>
            <w:tcW w:w="1198" w:type="dxa"/>
            <w:tcBorders>
              <w:top w:val="single" w:sz="4" w:space="0" w:color="000000"/>
            </w:tcBorders>
          </w:tcPr>
          <w:p>
            <w:pPr>
              <w:pStyle w:val="TableParagraph"/>
              <w:spacing w:before="52"/>
              <w:ind w:left="417"/>
              <w:rPr>
                <w:rFonts w:ascii="宋体"/>
                <w:sz w:val="18"/>
              </w:rPr>
            </w:pPr>
            <w:r>
              <w:rPr>
                <w:rFonts w:ascii="宋体"/>
                <w:sz w:val="18"/>
              </w:rPr>
              <w:t>7.02</w:t>
            </w:r>
          </w:p>
        </w:tc>
        <w:tc>
          <w:tcPr>
            <w:tcW w:w="1243" w:type="dxa"/>
            <w:tcBorders>
              <w:top w:val="single" w:sz="4" w:space="0" w:color="000000"/>
            </w:tcBorders>
          </w:tcPr>
          <w:p>
            <w:pPr>
              <w:pStyle w:val="TableParagraph"/>
              <w:spacing w:before="52"/>
              <w:ind w:left="398" w:right="355"/>
              <w:jc w:val="center"/>
              <w:rPr>
                <w:rFonts w:ascii="宋体"/>
                <w:sz w:val="18"/>
              </w:rPr>
            </w:pPr>
            <w:r>
              <w:rPr>
                <w:rFonts w:ascii="宋体"/>
                <w:sz w:val="18"/>
              </w:rPr>
              <w:t>3.91</w:t>
            </w:r>
          </w:p>
        </w:tc>
        <w:tc>
          <w:tcPr>
            <w:tcW w:w="1287" w:type="dxa"/>
            <w:tcBorders>
              <w:top w:val="single" w:sz="4" w:space="0" w:color="000000"/>
            </w:tcBorders>
          </w:tcPr>
          <w:p>
            <w:pPr>
              <w:pStyle w:val="TableParagraph"/>
              <w:spacing w:before="52"/>
              <w:ind w:left="353" w:right="353"/>
              <w:jc w:val="center"/>
              <w:rPr>
                <w:rFonts w:ascii="宋体"/>
                <w:sz w:val="18"/>
              </w:rPr>
            </w:pPr>
            <w:r>
              <w:rPr>
                <w:rFonts w:ascii="宋体"/>
                <w:sz w:val="18"/>
              </w:rPr>
              <w:t>1.732</w:t>
            </w:r>
          </w:p>
        </w:tc>
        <w:tc>
          <w:tcPr>
            <w:tcW w:w="1221" w:type="dxa"/>
            <w:tcBorders>
              <w:top w:val="single" w:sz="4" w:space="0" w:color="000000"/>
            </w:tcBorders>
          </w:tcPr>
          <w:p>
            <w:pPr>
              <w:pStyle w:val="TableParagraph"/>
              <w:spacing w:before="52"/>
              <w:ind w:left="354" w:right="377"/>
              <w:jc w:val="center"/>
              <w:rPr>
                <w:rFonts w:ascii="宋体"/>
                <w:sz w:val="18"/>
              </w:rPr>
            </w:pPr>
            <w:r>
              <w:rPr>
                <w:rFonts w:ascii="宋体"/>
                <w:sz w:val="18"/>
              </w:rPr>
              <w:t>0.084</w:t>
            </w:r>
          </w:p>
        </w:tc>
      </w:tr>
      <w:tr>
        <w:trPr>
          <w:trHeight w:val="300" w:hRule="atLeast"/>
        </w:trPr>
        <w:tc>
          <w:tcPr>
            <w:tcW w:w="2271" w:type="dxa"/>
          </w:tcPr>
          <w:p>
            <w:pPr>
              <w:pStyle w:val="TableParagraph"/>
              <w:spacing w:before="27"/>
              <w:ind w:left="491" w:right="479"/>
              <w:jc w:val="center"/>
              <w:rPr>
                <w:rFonts w:ascii="宋体" w:eastAsia="宋体" w:hint="eastAsia"/>
                <w:sz w:val="18"/>
              </w:rPr>
            </w:pPr>
            <w:r>
              <w:rPr>
                <w:rFonts w:ascii="宋体" w:eastAsia="宋体" w:hint="eastAsia"/>
                <w:sz w:val="18"/>
              </w:rPr>
              <w:t>回访时服药数量</w:t>
            </w:r>
          </w:p>
        </w:tc>
        <w:tc>
          <w:tcPr>
            <w:tcW w:w="1222" w:type="dxa"/>
          </w:tcPr>
          <w:p>
            <w:pPr>
              <w:pStyle w:val="TableParagraph"/>
              <w:spacing w:before="27"/>
              <w:ind w:left="442"/>
              <w:rPr>
                <w:rFonts w:ascii="宋体"/>
                <w:sz w:val="18"/>
              </w:rPr>
            </w:pPr>
            <w:r>
              <w:rPr>
                <w:rFonts w:ascii="宋体"/>
                <w:sz w:val="18"/>
              </w:rPr>
              <w:t>5.61</w:t>
            </w:r>
          </w:p>
        </w:tc>
        <w:tc>
          <w:tcPr>
            <w:tcW w:w="1289" w:type="dxa"/>
          </w:tcPr>
          <w:p>
            <w:pPr>
              <w:pStyle w:val="TableParagraph"/>
              <w:spacing w:before="27"/>
              <w:ind w:left="399" w:right="400"/>
              <w:jc w:val="center"/>
              <w:rPr>
                <w:rFonts w:ascii="宋体"/>
                <w:sz w:val="18"/>
              </w:rPr>
            </w:pPr>
            <w:r>
              <w:rPr>
                <w:rFonts w:ascii="宋体"/>
                <w:sz w:val="18"/>
              </w:rPr>
              <w:t>4.51</w:t>
            </w:r>
          </w:p>
        </w:tc>
        <w:tc>
          <w:tcPr>
            <w:tcW w:w="1198" w:type="dxa"/>
          </w:tcPr>
          <w:p>
            <w:pPr>
              <w:pStyle w:val="TableParagraph"/>
              <w:spacing w:before="27"/>
              <w:ind w:left="417"/>
              <w:rPr>
                <w:rFonts w:ascii="宋体"/>
                <w:sz w:val="18"/>
              </w:rPr>
            </w:pPr>
            <w:r>
              <w:rPr>
                <w:rFonts w:ascii="宋体"/>
                <w:sz w:val="18"/>
              </w:rPr>
              <w:t>4.47</w:t>
            </w:r>
          </w:p>
        </w:tc>
        <w:tc>
          <w:tcPr>
            <w:tcW w:w="1243" w:type="dxa"/>
          </w:tcPr>
          <w:p>
            <w:pPr>
              <w:pStyle w:val="TableParagraph"/>
              <w:spacing w:before="27"/>
              <w:ind w:left="398" w:right="355"/>
              <w:jc w:val="center"/>
              <w:rPr>
                <w:rFonts w:ascii="宋体"/>
                <w:sz w:val="18"/>
              </w:rPr>
            </w:pPr>
            <w:r>
              <w:rPr>
                <w:rFonts w:ascii="宋体"/>
                <w:sz w:val="18"/>
              </w:rPr>
              <w:t>4.41</w:t>
            </w:r>
          </w:p>
        </w:tc>
        <w:tc>
          <w:tcPr>
            <w:tcW w:w="1287" w:type="dxa"/>
          </w:tcPr>
          <w:p>
            <w:pPr>
              <w:pStyle w:val="TableParagraph"/>
              <w:spacing w:before="27"/>
              <w:ind w:left="353" w:right="353"/>
              <w:jc w:val="center"/>
              <w:rPr>
                <w:rFonts w:ascii="宋体"/>
                <w:sz w:val="18"/>
              </w:rPr>
            </w:pPr>
            <w:r>
              <w:rPr>
                <w:rFonts w:ascii="宋体"/>
                <w:sz w:val="18"/>
              </w:rPr>
              <w:t>2.098</w:t>
            </w:r>
          </w:p>
        </w:tc>
        <w:tc>
          <w:tcPr>
            <w:tcW w:w="1221" w:type="dxa"/>
          </w:tcPr>
          <w:p>
            <w:pPr>
              <w:pStyle w:val="TableParagraph"/>
              <w:spacing w:before="27"/>
              <w:ind w:left="354" w:right="377"/>
              <w:jc w:val="center"/>
              <w:rPr>
                <w:rFonts w:ascii="宋体"/>
                <w:sz w:val="18"/>
              </w:rPr>
            </w:pPr>
            <w:r>
              <w:rPr>
                <w:rFonts w:ascii="宋体"/>
                <w:sz w:val="18"/>
              </w:rPr>
              <w:t>0.037</w:t>
            </w:r>
          </w:p>
        </w:tc>
      </w:tr>
      <w:tr>
        <w:trPr>
          <w:trHeight w:val="300" w:hRule="atLeast"/>
        </w:trPr>
        <w:tc>
          <w:tcPr>
            <w:tcW w:w="2271" w:type="dxa"/>
          </w:tcPr>
          <w:p>
            <w:pPr>
              <w:pStyle w:val="TableParagraph"/>
              <w:spacing w:before="27"/>
              <w:ind w:left="491" w:right="477"/>
              <w:jc w:val="center"/>
              <w:rPr>
                <w:rFonts w:ascii="宋体" w:eastAsia="宋体" w:hint="eastAsia"/>
                <w:sz w:val="18"/>
              </w:rPr>
            </w:pPr>
            <w:r>
              <w:rPr>
                <w:rFonts w:ascii="宋体" w:eastAsia="宋体" w:hint="eastAsia"/>
                <w:sz w:val="18"/>
              </w:rPr>
              <w:t>自行停药数量</w:t>
            </w:r>
          </w:p>
        </w:tc>
        <w:tc>
          <w:tcPr>
            <w:tcW w:w="1222" w:type="dxa"/>
          </w:tcPr>
          <w:p>
            <w:pPr>
              <w:pStyle w:val="TableParagraph"/>
              <w:spacing w:before="27"/>
              <w:ind w:left="442"/>
              <w:rPr>
                <w:rFonts w:ascii="宋体"/>
                <w:sz w:val="18"/>
              </w:rPr>
            </w:pPr>
            <w:r>
              <w:rPr>
                <w:rFonts w:ascii="宋体"/>
                <w:sz w:val="18"/>
              </w:rPr>
              <w:t>1.75</w:t>
            </w:r>
          </w:p>
        </w:tc>
        <w:tc>
          <w:tcPr>
            <w:tcW w:w="1289" w:type="dxa"/>
          </w:tcPr>
          <w:p>
            <w:pPr>
              <w:pStyle w:val="TableParagraph"/>
              <w:spacing w:before="27"/>
              <w:ind w:left="399" w:right="400"/>
              <w:jc w:val="center"/>
              <w:rPr>
                <w:rFonts w:ascii="宋体"/>
                <w:sz w:val="18"/>
              </w:rPr>
            </w:pPr>
            <w:r>
              <w:rPr>
                <w:rFonts w:ascii="宋体"/>
                <w:sz w:val="18"/>
              </w:rPr>
              <w:t>3.339</w:t>
            </w:r>
          </w:p>
        </w:tc>
        <w:tc>
          <w:tcPr>
            <w:tcW w:w="1198" w:type="dxa"/>
          </w:tcPr>
          <w:p>
            <w:pPr>
              <w:pStyle w:val="TableParagraph"/>
              <w:spacing w:before="27"/>
              <w:ind w:left="461"/>
              <w:rPr>
                <w:rFonts w:ascii="宋体"/>
                <w:sz w:val="18"/>
              </w:rPr>
            </w:pPr>
            <w:r>
              <w:rPr>
                <w:rFonts w:ascii="宋体"/>
                <w:sz w:val="18"/>
              </w:rPr>
              <w:t>2.4</w:t>
            </w:r>
          </w:p>
        </w:tc>
        <w:tc>
          <w:tcPr>
            <w:tcW w:w="1243" w:type="dxa"/>
          </w:tcPr>
          <w:p>
            <w:pPr>
              <w:pStyle w:val="TableParagraph"/>
              <w:spacing w:before="27"/>
              <w:ind w:left="398" w:right="355"/>
              <w:jc w:val="center"/>
              <w:rPr>
                <w:rFonts w:ascii="宋体"/>
                <w:sz w:val="18"/>
              </w:rPr>
            </w:pPr>
            <w:r>
              <w:rPr>
                <w:rFonts w:ascii="宋体"/>
                <w:sz w:val="18"/>
              </w:rPr>
              <w:t>4.14</w:t>
            </w:r>
          </w:p>
        </w:tc>
        <w:tc>
          <w:tcPr>
            <w:tcW w:w="1287" w:type="dxa"/>
          </w:tcPr>
          <w:p>
            <w:pPr>
              <w:pStyle w:val="TableParagraph"/>
              <w:spacing w:before="27"/>
              <w:ind w:left="353" w:right="353"/>
              <w:jc w:val="center"/>
              <w:rPr>
                <w:rFonts w:ascii="宋体"/>
                <w:sz w:val="18"/>
              </w:rPr>
            </w:pPr>
            <w:r>
              <w:rPr>
                <w:rFonts w:ascii="宋体"/>
                <w:sz w:val="18"/>
              </w:rPr>
              <w:t>-1.398</w:t>
            </w:r>
          </w:p>
        </w:tc>
        <w:tc>
          <w:tcPr>
            <w:tcW w:w="1221" w:type="dxa"/>
          </w:tcPr>
          <w:p>
            <w:pPr>
              <w:pStyle w:val="TableParagraph"/>
              <w:spacing w:before="27"/>
              <w:ind w:left="354" w:right="377"/>
              <w:jc w:val="center"/>
              <w:rPr>
                <w:rFonts w:ascii="宋体"/>
                <w:sz w:val="18"/>
              </w:rPr>
            </w:pPr>
            <w:r>
              <w:rPr>
                <w:rFonts w:ascii="宋体"/>
                <w:sz w:val="18"/>
              </w:rPr>
              <w:t>0.163</w:t>
            </w:r>
          </w:p>
        </w:tc>
      </w:tr>
      <w:tr>
        <w:trPr>
          <w:trHeight w:val="274" w:hRule="atLeast"/>
        </w:trPr>
        <w:tc>
          <w:tcPr>
            <w:tcW w:w="2271" w:type="dxa"/>
            <w:tcBorders>
              <w:bottom w:val="single" w:sz="4" w:space="0" w:color="000000"/>
            </w:tcBorders>
          </w:tcPr>
          <w:p>
            <w:pPr>
              <w:pStyle w:val="TableParagraph"/>
              <w:spacing w:line="227" w:lineRule="exact" w:before="27"/>
              <w:ind w:left="491" w:right="479"/>
              <w:jc w:val="center"/>
              <w:rPr>
                <w:rFonts w:ascii="宋体" w:eastAsia="宋体" w:hint="eastAsia"/>
                <w:sz w:val="18"/>
              </w:rPr>
            </w:pPr>
            <w:r>
              <w:rPr>
                <w:rFonts w:ascii="宋体" w:eastAsia="宋体" w:hint="eastAsia"/>
                <w:sz w:val="18"/>
              </w:rPr>
              <w:t>按疗程停药数量</w:t>
            </w:r>
          </w:p>
        </w:tc>
        <w:tc>
          <w:tcPr>
            <w:tcW w:w="1222" w:type="dxa"/>
            <w:tcBorders>
              <w:bottom w:val="single" w:sz="4" w:space="0" w:color="000000"/>
            </w:tcBorders>
          </w:tcPr>
          <w:p>
            <w:pPr>
              <w:pStyle w:val="TableParagraph"/>
              <w:spacing w:line="227" w:lineRule="exact" w:before="27"/>
              <w:ind w:left="442"/>
              <w:rPr>
                <w:rFonts w:ascii="宋体"/>
                <w:sz w:val="18"/>
              </w:rPr>
            </w:pPr>
            <w:r>
              <w:rPr>
                <w:rFonts w:ascii="宋体"/>
                <w:sz w:val="18"/>
              </w:rPr>
              <w:t>0.51</w:t>
            </w:r>
          </w:p>
        </w:tc>
        <w:tc>
          <w:tcPr>
            <w:tcW w:w="1289" w:type="dxa"/>
            <w:tcBorders>
              <w:bottom w:val="single" w:sz="4" w:space="0" w:color="000000"/>
            </w:tcBorders>
          </w:tcPr>
          <w:p>
            <w:pPr>
              <w:pStyle w:val="TableParagraph"/>
              <w:spacing w:line="227" w:lineRule="exact" w:before="27"/>
              <w:ind w:left="399" w:right="400"/>
              <w:jc w:val="center"/>
              <w:rPr>
                <w:rFonts w:ascii="宋体"/>
                <w:sz w:val="18"/>
              </w:rPr>
            </w:pPr>
            <w:r>
              <w:rPr>
                <w:rFonts w:ascii="宋体"/>
                <w:sz w:val="18"/>
              </w:rPr>
              <w:t>1.548</w:t>
            </w:r>
          </w:p>
        </w:tc>
        <w:tc>
          <w:tcPr>
            <w:tcW w:w="1198" w:type="dxa"/>
            <w:tcBorders>
              <w:bottom w:val="single" w:sz="4" w:space="0" w:color="000000"/>
            </w:tcBorders>
          </w:tcPr>
          <w:p>
            <w:pPr>
              <w:pStyle w:val="TableParagraph"/>
              <w:spacing w:line="227" w:lineRule="exact" w:before="27"/>
              <w:ind w:left="417"/>
              <w:rPr>
                <w:rFonts w:ascii="宋体"/>
                <w:sz w:val="18"/>
              </w:rPr>
            </w:pPr>
            <w:r>
              <w:rPr>
                <w:rFonts w:ascii="宋体"/>
                <w:sz w:val="18"/>
              </w:rPr>
              <w:t>0.16</w:t>
            </w:r>
          </w:p>
        </w:tc>
        <w:tc>
          <w:tcPr>
            <w:tcW w:w="1243" w:type="dxa"/>
            <w:tcBorders>
              <w:bottom w:val="single" w:sz="4" w:space="0" w:color="000000"/>
            </w:tcBorders>
          </w:tcPr>
          <w:p>
            <w:pPr>
              <w:pStyle w:val="TableParagraph"/>
              <w:spacing w:line="227" w:lineRule="exact" w:before="27"/>
              <w:ind w:left="398" w:right="355"/>
              <w:jc w:val="center"/>
              <w:rPr>
                <w:rFonts w:ascii="宋体"/>
                <w:sz w:val="18"/>
              </w:rPr>
            </w:pPr>
            <w:r>
              <w:rPr>
                <w:rFonts w:ascii="宋体"/>
                <w:sz w:val="18"/>
              </w:rPr>
              <w:t>1.014</w:t>
            </w:r>
          </w:p>
        </w:tc>
        <w:tc>
          <w:tcPr>
            <w:tcW w:w="1287" w:type="dxa"/>
            <w:tcBorders>
              <w:bottom w:val="single" w:sz="4" w:space="0" w:color="000000"/>
            </w:tcBorders>
          </w:tcPr>
          <w:p>
            <w:pPr>
              <w:pStyle w:val="TableParagraph"/>
              <w:spacing w:line="227" w:lineRule="exact" w:before="27"/>
              <w:ind w:left="353" w:right="353"/>
              <w:jc w:val="center"/>
              <w:rPr>
                <w:rFonts w:ascii="宋体"/>
                <w:sz w:val="18"/>
              </w:rPr>
            </w:pPr>
            <w:r>
              <w:rPr>
                <w:rFonts w:ascii="宋体"/>
                <w:sz w:val="18"/>
              </w:rPr>
              <w:t>2.207</w:t>
            </w:r>
          </w:p>
        </w:tc>
        <w:tc>
          <w:tcPr>
            <w:tcW w:w="1221" w:type="dxa"/>
            <w:tcBorders>
              <w:bottom w:val="single" w:sz="4" w:space="0" w:color="000000"/>
            </w:tcBorders>
          </w:tcPr>
          <w:p>
            <w:pPr>
              <w:pStyle w:val="TableParagraph"/>
              <w:spacing w:line="227" w:lineRule="exact" w:before="27"/>
              <w:ind w:left="354" w:right="377"/>
              <w:jc w:val="center"/>
              <w:rPr>
                <w:rFonts w:ascii="宋体"/>
                <w:sz w:val="18"/>
              </w:rPr>
            </w:pPr>
            <w:r>
              <w:rPr>
                <w:rFonts w:ascii="宋体"/>
                <w:sz w:val="18"/>
              </w:rPr>
              <w:t>0.027</w:t>
            </w:r>
          </w:p>
        </w:tc>
      </w:tr>
    </w:tbl>
    <w:p>
      <w:pPr>
        <w:pStyle w:val="ListParagraph"/>
        <w:numPr>
          <w:ilvl w:val="1"/>
          <w:numId w:val="7"/>
        </w:numPr>
        <w:tabs>
          <w:tab w:pos="1198" w:val="left" w:leader="none"/>
        </w:tabs>
        <w:spacing w:line="297" w:lineRule="auto" w:before="57" w:after="0"/>
        <w:ind w:left="237" w:right="226" w:firstLine="480"/>
        <w:jc w:val="both"/>
        <w:rPr>
          <w:sz w:val="24"/>
        </w:rPr>
      </w:pPr>
      <w:r>
        <w:rPr>
          <w:spacing w:val="-5"/>
          <w:sz w:val="24"/>
        </w:rPr>
        <w:t>患者二级预防情况 脑卒中二级预防情况，教育组好转 </w:t>
      </w:r>
      <w:r>
        <w:rPr>
          <w:sz w:val="24"/>
        </w:rPr>
        <w:t>121</w:t>
      </w:r>
      <w:r>
        <w:rPr>
          <w:spacing w:val="-21"/>
          <w:sz w:val="24"/>
        </w:rPr>
        <w:t> 人，疾病进展 </w:t>
      </w:r>
      <w:r>
        <w:rPr>
          <w:sz w:val="24"/>
        </w:rPr>
        <w:t>6</w:t>
      </w:r>
      <w:r>
        <w:rPr>
          <w:spacing w:val="-27"/>
          <w:sz w:val="24"/>
        </w:rPr>
        <w:t> 人，复</w:t>
      </w:r>
      <w:r>
        <w:rPr>
          <w:spacing w:val="-30"/>
          <w:sz w:val="24"/>
        </w:rPr>
        <w:t>发 </w:t>
      </w:r>
      <w:r>
        <w:rPr>
          <w:sz w:val="24"/>
        </w:rPr>
        <w:t>11</w:t>
      </w:r>
      <w:r>
        <w:rPr>
          <w:spacing w:val="-24"/>
          <w:sz w:val="24"/>
        </w:rPr>
        <w:t> 人，死亡 </w:t>
      </w:r>
      <w:r>
        <w:rPr>
          <w:sz w:val="24"/>
        </w:rPr>
        <w:t>1</w:t>
      </w:r>
      <w:r>
        <w:rPr>
          <w:spacing w:val="-17"/>
          <w:sz w:val="24"/>
        </w:rPr>
        <w:t> 人；对照组好转 </w:t>
      </w:r>
      <w:r>
        <w:rPr>
          <w:sz w:val="24"/>
        </w:rPr>
        <w:t>92</w:t>
      </w:r>
      <w:r>
        <w:rPr>
          <w:spacing w:val="-18"/>
          <w:sz w:val="24"/>
        </w:rPr>
        <w:t> 人，疾病进展 </w:t>
      </w:r>
      <w:r>
        <w:rPr>
          <w:sz w:val="24"/>
        </w:rPr>
        <w:t>17</w:t>
      </w:r>
      <w:r>
        <w:rPr>
          <w:spacing w:val="-24"/>
          <w:sz w:val="24"/>
        </w:rPr>
        <w:t> 人，复发 </w:t>
      </w:r>
      <w:r>
        <w:rPr>
          <w:sz w:val="24"/>
        </w:rPr>
        <w:t>22</w:t>
      </w:r>
      <w:r>
        <w:rPr>
          <w:spacing w:val="-24"/>
          <w:sz w:val="24"/>
        </w:rPr>
        <w:t> 人，死亡 </w:t>
      </w:r>
      <w:r>
        <w:rPr>
          <w:sz w:val="24"/>
        </w:rPr>
        <w:t>2</w:t>
      </w:r>
      <w:r>
        <w:rPr>
          <w:spacing w:val="-14"/>
          <w:sz w:val="24"/>
        </w:rPr>
        <w:t> 人。两组在好</w:t>
      </w:r>
      <w:r>
        <w:rPr>
          <w:sz w:val="24"/>
        </w:rPr>
        <w:t>转人数，疾病进展，复发三方面差异均具有统计学意义（P＜0.05），可见教育组二级预防情况明显优于对照组。</w:t>
      </w:r>
    </w:p>
    <w:p>
      <w:pPr>
        <w:pStyle w:val="BodyText"/>
        <w:spacing w:line="239" w:lineRule="exact" w:after="41"/>
        <w:ind w:left="717"/>
        <w:rPr>
          <w:rFonts w:ascii="楷体" w:eastAsia="楷体" w:hint="eastAsia"/>
        </w:rPr>
      </w:pPr>
      <w:r>
        <w:rPr>
          <w:rFonts w:ascii="楷体" w:eastAsia="楷体" w:hint="eastAsia"/>
        </w:rPr>
        <w:t>表 3 患者脑卒中二级预防情况</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92"/>
        <w:gridCol w:w="2219"/>
        <w:gridCol w:w="2266"/>
        <w:gridCol w:w="2452"/>
      </w:tblGrid>
      <w:tr>
        <w:trPr>
          <w:trHeight w:val="299" w:hRule="atLeast"/>
        </w:trPr>
        <w:tc>
          <w:tcPr>
            <w:tcW w:w="2792" w:type="dxa"/>
            <w:tcBorders>
              <w:top w:val="single" w:sz="4" w:space="0" w:color="000000"/>
            </w:tcBorders>
          </w:tcPr>
          <w:p>
            <w:pPr>
              <w:pStyle w:val="TableParagraph"/>
              <w:rPr>
                <w:rFonts w:ascii="Times New Roman"/>
                <w:sz w:val="22"/>
              </w:rPr>
            </w:pPr>
          </w:p>
        </w:tc>
        <w:tc>
          <w:tcPr>
            <w:tcW w:w="2219" w:type="dxa"/>
            <w:tcBorders>
              <w:top w:val="single" w:sz="4" w:space="0" w:color="000000"/>
              <w:bottom w:val="single" w:sz="4" w:space="0" w:color="000000"/>
            </w:tcBorders>
          </w:tcPr>
          <w:p>
            <w:pPr>
              <w:pStyle w:val="TableParagraph"/>
              <w:spacing w:line="220" w:lineRule="exact" w:before="59"/>
              <w:ind w:left="820" w:right="819"/>
              <w:jc w:val="center"/>
              <w:rPr>
                <w:rFonts w:ascii="宋体" w:eastAsia="宋体" w:hint="eastAsia"/>
                <w:sz w:val="18"/>
              </w:rPr>
            </w:pPr>
            <w:r>
              <w:rPr>
                <w:rFonts w:ascii="宋体" w:eastAsia="宋体" w:hint="eastAsia"/>
                <w:sz w:val="18"/>
              </w:rPr>
              <w:t>教育组</w:t>
            </w:r>
          </w:p>
        </w:tc>
        <w:tc>
          <w:tcPr>
            <w:tcW w:w="2266" w:type="dxa"/>
            <w:tcBorders>
              <w:top w:val="single" w:sz="4" w:space="0" w:color="000000"/>
              <w:bottom w:val="single" w:sz="4" w:space="0" w:color="000000"/>
            </w:tcBorders>
          </w:tcPr>
          <w:p>
            <w:pPr>
              <w:pStyle w:val="TableParagraph"/>
              <w:spacing w:line="220" w:lineRule="exact" w:before="59"/>
              <w:ind w:left="820" w:right="865"/>
              <w:jc w:val="center"/>
              <w:rPr>
                <w:rFonts w:ascii="宋体" w:eastAsia="宋体" w:hint="eastAsia"/>
                <w:sz w:val="18"/>
              </w:rPr>
            </w:pPr>
            <w:r>
              <w:rPr>
                <w:rFonts w:ascii="宋体" w:eastAsia="宋体" w:hint="eastAsia"/>
                <w:sz w:val="18"/>
              </w:rPr>
              <w:t>对照组</w:t>
            </w:r>
          </w:p>
        </w:tc>
        <w:tc>
          <w:tcPr>
            <w:tcW w:w="2452" w:type="dxa"/>
            <w:tcBorders>
              <w:top w:val="single" w:sz="4" w:space="0" w:color="000000"/>
              <w:bottom w:val="single" w:sz="4" w:space="0" w:color="000000"/>
            </w:tcBorders>
          </w:tcPr>
          <w:p>
            <w:pPr>
              <w:pStyle w:val="TableParagraph"/>
              <w:spacing w:line="220" w:lineRule="exact" w:before="59"/>
              <w:ind w:left="866" w:right="912"/>
              <w:jc w:val="center"/>
              <w:rPr>
                <w:rFonts w:ascii="宋体" w:eastAsia="宋体" w:hint="eastAsia"/>
                <w:sz w:val="18"/>
              </w:rPr>
            </w:pPr>
            <w:r>
              <w:rPr>
                <w:rFonts w:ascii="宋体" w:eastAsia="宋体" w:hint="eastAsia"/>
                <w:sz w:val="18"/>
              </w:rPr>
              <w:t>结果</w:t>
            </w:r>
          </w:p>
        </w:tc>
      </w:tr>
      <w:tr>
        <w:trPr>
          <w:trHeight w:val="327" w:hRule="atLeast"/>
        </w:trPr>
        <w:tc>
          <w:tcPr>
            <w:tcW w:w="2792" w:type="dxa"/>
          </w:tcPr>
          <w:p>
            <w:pPr>
              <w:pStyle w:val="TableParagraph"/>
              <w:spacing w:before="62"/>
              <w:ind w:left="122"/>
              <w:rPr>
                <w:rFonts w:ascii="宋体" w:eastAsia="宋体" w:hint="eastAsia"/>
                <w:sz w:val="18"/>
              </w:rPr>
            </w:pPr>
            <w:r>
              <w:rPr>
                <w:rFonts w:ascii="宋体" w:eastAsia="宋体" w:hint="eastAsia"/>
                <w:sz w:val="18"/>
              </w:rPr>
              <w:t>好转</w:t>
            </w:r>
          </w:p>
        </w:tc>
        <w:tc>
          <w:tcPr>
            <w:tcW w:w="2219" w:type="dxa"/>
            <w:tcBorders>
              <w:top w:val="single" w:sz="4" w:space="0" w:color="000000"/>
            </w:tcBorders>
          </w:tcPr>
          <w:p>
            <w:pPr>
              <w:pStyle w:val="TableParagraph"/>
              <w:spacing w:before="62"/>
              <w:ind w:left="820" w:right="817"/>
              <w:jc w:val="center"/>
              <w:rPr>
                <w:rFonts w:ascii="宋体"/>
                <w:sz w:val="18"/>
              </w:rPr>
            </w:pPr>
            <w:r>
              <w:rPr>
                <w:rFonts w:ascii="宋体"/>
                <w:sz w:val="18"/>
              </w:rPr>
              <w:t>121</w:t>
            </w:r>
          </w:p>
        </w:tc>
        <w:tc>
          <w:tcPr>
            <w:tcW w:w="2266" w:type="dxa"/>
            <w:tcBorders>
              <w:top w:val="single" w:sz="4" w:space="0" w:color="000000"/>
            </w:tcBorders>
          </w:tcPr>
          <w:p>
            <w:pPr>
              <w:pStyle w:val="TableParagraph"/>
              <w:spacing w:before="62"/>
              <w:ind w:left="820" w:right="863"/>
              <w:jc w:val="center"/>
              <w:rPr>
                <w:rFonts w:ascii="宋体"/>
                <w:sz w:val="18"/>
              </w:rPr>
            </w:pPr>
            <w:r>
              <w:rPr>
                <w:rFonts w:ascii="宋体"/>
                <w:sz w:val="18"/>
              </w:rPr>
              <w:t>92</w:t>
            </w:r>
          </w:p>
        </w:tc>
        <w:tc>
          <w:tcPr>
            <w:tcW w:w="2452" w:type="dxa"/>
            <w:tcBorders>
              <w:top w:val="single" w:sz="4" w:space="0" w:color="000000"/>
            </w:tcBorders>
          </w:tcPr>
          <w:p>
            <w:pPr>
              <w:pStyle w:val="TableParagraph"/>
              <w:rPr>
                <w:rFonts w:ascii="Times New Roman"/>
                <w:sz w:val="22"/>
              </w:rPr>
            </w:pPr>
          </w:p>
        </w:tc>
      </w:tr>
      <w:tr>
        <w:trPr>
          <w:trHeight w:val="300" w:hRule="atLeast"/>
        </w:trPr>
        <w:tc>
          <w:tcPr>
            <w:tcW w:w="2792" w:type="dxa"/>
          </w:tcPr>
          <w:p>
            <w:pPr>
              <w:pStyle w:val="TableParagraph"/>
              <w:spacing w:before="34"/>
              <w:ind w:left="122"/>
              <w:rPr>
                <w:rFonts w:ascii="宋体" w:eastAsia="宋体" w:hint="eastAsia"/>
                <w:sz w:val="18"/>
              </w:rPr>
            </w:pPr>
            <w:r>
              <w:rPr>
                <w:rFonts w:ascii="宋体" w:eastAsia="宋体" w:hint="eastAsia"/>
                <w:sz w:val="18"/>
              </w:rPr>
              <w:t>进展</w:t>
            </w:r>
          </w:p>
        </w:tc>
        <w:tc>
          <w:tcPr>
            <w:tcW w:w="2219" w:type="dxa"/>
          </w:tcPr>
          <w:p>
            <w:pPr>
              <w:pStyle w:val="TableParagraph"/>
              <w:spacing w:before="34"/>
              <w:jc w:val="center"/>
              <w:rPr>
                <w:rFonts w:ascii="宋体"/>
                <w:sz w:val="18"/>
              </w:rPr>
            </w:pPr>
            <w:r>
              <w:rPr>
                <w:rFonts w:ascii="宋体"/>
                <w:sz w:val="18"/>
              </w:rPr>
              <w:t>6</w:t>
            </w:r>
          </w:p>
        </w:tc>
        <w:tc>
          <w:tcPr>
            <w:tcW w:w="2266" w:type="dxa"/>
          </w:tcPr>
          <w:p>
            <w:pPr>
              <w:pStyle w:val="TableParagraph"/>
              <w:spacing w:before="34"/>
              <w:ind w:left="820" w:right="863"/>
              <w:jc w:val="center"/>
              <w:rPr>
                <w:rFonts w:ascii="宋体"/>
                <w:sz w:val="18"/>
              </w:rPr>
            </w:pPr>
            <w:r>
              <w:rPr>
                <w:rFonts w:ascii="宋体"/>
                <w:sz w:val="18"/>
              </w:rPr>
              <w:t>17</w:t>
            </w:r>
          </w:p>
        </w:tc>
        <w:tc>
          <w:tcPr>
            <w:tcW w:w="2452" w:type="dxa"/>
          </w:tcPr>
          <w:p>
            <w:pPr>
              <w:pStyle w:val="TableParagraph"/>
              <w:spacing w:before="34"/>
              <w:ind w:left="869" w:right="912"/>
              <w:jc w:val="center"/>
              <w:rPr>
                <w:rFonts w:ascii="宋体"/>
                <w:sz w:val="18"/>
              </w:rPr>
            </w:pPr>
            <w:r>
              <w:rPr>
                <w:rFonts w:ascii="宋体"/>
                <w:sz w:val="18"/>
              </w:rPr>
              <w:t>P=0.007</w:t>
            </w:r>
          </w:p>
        </w:tc>
      </w:tr>
      <w:tr>
        <w:trPr>
          <w:trHeight w:val="300" w:hRule="atLeast"/>
        </w:trPr>
        <w:tc>
          <w:tcPr>
            <w:tcW w:w="2792" w:type="dxa"/>
          </w:tcPr>
          <w:p>
            <w:pPr>
              <w:pStyle w:val="TableParagraph"/>
              <w:spacing w:before="34"/>
              <w:ind w:left="122"/>
              <w:rPr>
                <w:rFonts w:ascii="宋体" w:eastAsia="宋体" w:hint="eastAsia"/>
                <w:sz w:val="18"/>
              </w:rPr>
            </w:pPr>
            <w:r>
              <w:rPr>
                <w:rFonts w:ascii="宋体" w:eastAsia="宋体" w:hint="eastAsia"/>
                <w:sz w:val="18"/>
              </w:rPr>
              <w:t>复发</w:t>
            </w:r>
          </w:p>
        </w:tc>
        <w:tc>
          <w:tcPr>
            <w:tcW w:w="2219" w:type="dxa"/>
          </w:tcPr>
          <w:p>
            <w:pPr>
              <w:pStyle w:val="TableParagraph"/>
              <w:spacing w:before="34"/>
              <w:ind w:left="820" w:right="817"/>
              <w:jc w:val="center"/>
              <w:rPr>
                <w:rFonts w:ascii="宋体"/>
                <w:sz w:val="18"/>
              </w:rPr>
            </w:pPr>
            <w:r>
              <w:rPr>
                <w:rFonts w:ascii="宋体"/>
                <w:sz w:val="18"/>
              </w:rPr>
              <w:t>12</w:t>
            </w:r>
          </w:p>
        </w:tc>
        <w:tc>
          <w:tcPr>
            <w:tcW w:w="2266" w:type="dxa"/>
          </w:tcPr>
          <w:p>
            <w:pPr>
              <w:pStyle w:val="TableParagraph"/>
              <w:spacing w:before="34"/>
              <w:ind w:left="820" w:right="863"/>
              <w:jc w:val="center"/>
              <w:rPr>
                <w:rFonts w:ascii="宋体"/>
                <w:sz w:val="18"/>
              </w:rPr>
            </w:pPr>
            <w:r>
              <w:rPr>
                <w:rFonts w:ascii="宋体"/>
                <w:sz w:val="18"/>
              </w:rPr>
              <w:t>22</w:t>
            </w:r>
          </w:p>
        </w:tc>
        <w:tc>
          <w:tcPr>
            <w:tcW w:w="2452" w:type="dxa"/>
          </w:tcPr>
          <w:p>
            <w:pPr>
              <w:pStyle w:val="TableParagraph"/>
              <w:spacing w:before="34"/>
              <w:ind w:left="869" w:right="912"/>
              <w:jc w:val="center"/>
              <w:rPr>
                <w:rFonts w:ascii="宋体"/>
                <w:sz w:val="18"/>
              </w:rPr>
            </w:pPr>
            <w:r>
              <w:rPr>
                <w:rFonts w:ascii="宋体"/>
                <w:sz w:val="18"/>
              </w:rPr>
              <w:t>P=0.026</w:t>
            </w:r>
          </w:p>
        </w:tc>
      </w:tr>
      <w:tr>
        <w:trPr>
          <w:trHeight w:val="300" w:hRule="atLeast"/>
        </w:trPr>
        <w:tc>
          <w:tcPr>
            <w:tcW w:w="2792" w:type="dxa"/>
          </w:tcPr>
          <w:p>
            <w:pPr>
              <w:pStyle w:val="TableParagraph"/>
              <w:spacing w:before="34"/>
              <w:ind w:left="122"/>
              <w:rPr>
                <w:rFonts w:ascii="宋体" w:eastAsia="宋体" w:hint="eastAsia"/>
                <w:sz w:val="18"/>
              </w:rPr>
            </w:pPr>
            <w:r>
              <w:rPr>
                <w:rFonts w:ascii="宋体" w:eastAsia="宋体" w:hint="eastAsia"/>
                <w:sz w:val="18"/>
              </w:rPr>
              <w:t>恶化总计</w:t>
            </w:r>
          </w:p>
        </w:tc>
        <w:tc>
          <w:tcPr>
            <w:tcW w:w="2219" w:type="dxa"/>
          </w:tcPr>
          <w:p>
            <w:pPr>
              <w:pStyle w:val="TableParagraph"/>
              <w:spacing w:before="34"/>
              <w:ind w:left="820" w:right="817"/>
              <w:jc w:val="center"/>
              <w:rPr>
                <w:rFonts w:ascii="宋体"/>
                <w:sz w:val="18"/>
              </w:rPr>
            </w:pPr>
            <w:r>
              <w:rPr>
                <w:rFonts w:ascii="宋体"/>
                <w:sz w:val="18"/>
              </w:rPr>
              <w:t>18</w:t>
            </w:r>
          </w:p>
        </w:tc>
        <w:tc>
          <w:tcPr>
            <w:tcW w:w="2266" w:type="dxa"/>
          </w:tcPr>
          <w:p>
            <w:pPr>
              <w:pStyle w:val="TableParagraph"/>
              <w:spacing w:before="34"/>
              <w:ind w:left="820" w:right="863"/>
              <w:jc w:val="center"/>
              <w:rPr>
                <w:rFonts w:ascii="宋体"/>
                <w:sz w:val="18"/>
              </w:rPr>
            </w:pPr>
            <w:r>
              <w:rPr>
                <w:rFonts w:ascii="宋体"/>
                <w:sz w:val="18"/>
              </w:rPr>
              <w:t>41</w:t>
            </w:r>
          </w:p>
        </w:tc>
        <w:tc>
          <w:tcPr>
            <w:tcW w:w="2452" w:type="dxa"/>
          </w:tcPr>
          <w:p>
            <w:pPr>
              <w:pStyle w:val="TableParagraph"/>
              <w:spacing w:before="34"/>
              <w:ind w:left="869" w:right="912"/>
              <w:jc w:val="center"/>
              <w:rPr>
                <w:rFonts w:ascii="宋体"/>
                <w:sz w:val="18"/>
              </w:rPr>
            </w:pPr>
            <w:r>
              <w:rPr>
                <w:rFonts w:ascii="宋体"/>
                <w:sz w:val="18"/>
              </w:rPr>
              <w:t>P=0.001</w:t>
            </w:r>
          </w:p>
        </w:tc>
      </w:tr>
      <w:tr>
        <w:trPr>
          <w:trHeight w:val="274" w:hRule="atLeast"/>
        </w:trPr>
        <w:tc>
          <w:tcPr>
            <w:tcW w:w="2792" w:type="dxa"/>
            <w:tcBorders>
              <w:bottom w:val="single" w:sz="4" w:space="0" w:color="000000"/>
            </w:tcBorders>
          </w:tcPr>
          <w:p>
            <w:pPr>
              <w:pStyle w:val="TableParagraph"/>
              <w:spacing w:line="220" w:lineRule="exact" w:before="34"/>
              <w:ind w:left="122"/>
              <w:rPr>
                <w:rFonts w:ascii="宋体" w:eastAsia="宋体" w:hint="eastAsia"/>
                <w:sz w:val="18"/>
              </w:rPr>
            </w:pPr>
            <w:r>
              <w:rPr>
                <w:rFonts w:ascii="宋体" w:eastAsia="宋体" w:hint="eastAsia"/>
                <w:sz w:val="18"/>
              </w:rPr>
              <w:t>总计</w:t>
            </w:r>
          </w:p>
        </w:tc>
        <w:tc>
          <w:tcPr>
            <w:tcW w:w="2219" w:type="dxa"/>
            <w:tcBorders>
              <w:bottom w:val="single" w:sz="4" w:space="0" w:color="000000"/>
            </w:tcBorders>
          </w:tcPr>
          <w:p>
            <w:pPr>
              <w:pStyle w:val="TableParagraph"/>
              <w:spacing w:line="220" w:lineRule="exact" w:before="34"/>
              <w:ind w:left="820" w:right="817"/>
              <w:jc w:val="center"/>
              <w:rPr>
                <w:rFonts w:ascii="宋体"/>
                <w:sz w:val="18"/>
              </w:rPr>
            </w:pPr>
            <w:r>
              <w:rPr>
                <w:rFonts w:ascii="宋体"/>
                <w:sz w:val="18"/>
              </w:rPr>
              <w:t>139</w:t>
            </w:r>
          </w:p>
        </w:tc>
        <w:tc>
          <w:tcPr>
            <w:tcW w:w="2266" w:type="dxa"/>
            <w:tcBorders>
              <w:bottom w:val="single" w:sz="4" w:space="0" w:color="000000"/>
            </w:tcBorders>
          </w:tcPr>
          <w:p>
            <w:pPr>
              <w:pStyle w:val="TableParagraph"/>
              <w:spacing w:line="220" w:lineRule="exact" w:before="34"/>
              <w:ind w:left="820" w:right="863"/>
              <w:jc w:val="center"/>
              <w:rPr>
                <w:rFonts w:ascii="宋体"/>
                <w:sz w:val="18"/>
              </w:rPr>
            </w:pPr>
            <w:r>
              <w:rPr>
                <w:rFonts w:ascii="宋体"/>
                <w:sz w:val="18"/>
              </w:rPr>
              <w:t>133</w:t>
            </w:r>
          </w:p>
        </w:tc>
        <w:tc>
          <w:tcPr>
            <w:tcW w:w="2452" w:type="dxa"/>
            <w:tcBorders>
              <w:bottom w:val="single" w:sz="4" w:space="0" w:color="000000"/>
            </w:tcBorders>
          </w:tcPr>
          <w:p>
            <w:pPr>
              <w:pStyle w:val="TableParagraph"/>
              <w:rPr>
                <w:rFonts w:ascii="Times New Roman"/>
                <w:sz w:val="20"/>
              </w:rPr>
            </w:pPr>
          </w:p>
        </w:tc>
      </w:tr>
    </w:tbl>
    <w:p>
      <w:pPr>
        <w:pStyle w:val="ListParagraph"/>
        <w:numPr>
          <w:ilvl w:val="1"/>
          <w:numId w:val="7"/>
        </w:numPr>
        <w:tabs>
          <w:tab w:pos="1198" w:val="left" w:leader="none"/>
        </w:tabs>
        <w:spacing w:line="292" w:lineRule="auto" w:before="64" w:after="0"/>
        <w:ind w:left="237" w:right="230" w:firstLine="480"/>
        <w:jc w:val="both"/>
        <w:rPr>
          <w:sz w:val="24"/>
        </w:rPr>
      </w:pPr>
      <w:r>
        <w:rPr>
          <w:spacing w:val="-4"/>
          <w:sz w:val="24"/>
        </w:rPr>
        <w:t>不良反应统计 教育组不良反应发生 </w:t>
      </w:r>
      <w:r>
        <w:rPr>
          <w:sz w:val="24"/>
        </w:rPr>
        <w:t>10</w:t>
      </w:r>
      <w:r>
        <w:rPr>
          <w:spacing w:val="-16"/>
          <w:sz w:val="24"/>
        </w:rPr>
        <w:t> 例高于对照组 </w:t>
      </w:r>
      <w:r>
        <w:rPr>
          <w:sz w:val="24"/>
        </w:rPr>
        <w:t>2</w:t>
      </w:r>
      <w:r>
        <w:rPr>
          <w:spacing w:val="-8"/>
          <w:sz w:val="24"/>
        </w:rPr>
        <w:t> 例。发生率最高的为肌肉</w:t>
      </w:r>
      <w:r>
        <w:rPr>
          <w:spacing w:val="-12"/>
          <w:sz w:val="24"/>
        </w:rPr>
        <w:t>酸痛，其次为胃肠道不适，其他为头疼、幻觉和认知障碍等。两组患者的不良反应统计见表</w:t>
      </w:r>
      <w:r>
        <w:rPr>
          <w:sz w:val="24"/>
        </w:rPr>
        <w:t>4。两者差异具有统计学意义（</w:t>
      </w:r>
      <w:r>
        <w:rPr>
          <w:rFonts w:ascii="Symbol" w:hAnsi="Symbol" w:eastAsia="Symbol"/>
          <w:sz w:val="24"/>
        </w:rPr>
        <w:t></w:t>
      </w:r>
      <w:r>
        <w:rPr>
          <w:position w:val="12"/>
          <w:sz w:val="12"/>
        </w:rPr>
        <w:t>2</w:t>
      </w:r>
      <w:r>
        <w:rPr>
          <w:sz w:val="24"/>
        </w:rPr>
        <w:t>=5.16,</w:t>
      </w:r>
      <w:r>
        <w:rPr>
          <w:i/>
          <w:w w:val="96"/>
          <w:sz w:val="25"/>
        </w:rPr>
        <w:t>P</w:t>
      </w:r>
      <w:r>
        <w:rPr>
          <w:sz w:val="24"/>
        </w:rPr>
        <w:t>＜0.05）</w:t>
      </w:r>
    </w:p>
    <w:p>
      <w:pPr>
        <w:pStyle w:val="BodyText"/>
        <w:spacing w:line="242" w:lineRule="exact"/>
        <w:ind w:left="717"/>
        <w:rPr>
          <w:rFonts w:ascii="楷体" w:eastAsia="楷体" w:hint="eastAsia"/>
        </w:rPr>
      </w:pPr>
      <w:r>
        <w:rPr>
          <w:rFonts w:ascii="楷体" w:eastAsia="楷体" w:hint="eastAsia"/>
        </w:rPr>
        <w:t>表 4 不良反应统计</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8"/>
        <w:gridCol w:w="1028"/>
        <w:gridCol w:w="1115"/>
        <w:gridCol w:w="1131"/>
        <w:gridCol w:w="1306"/>
        <w:gridCol w:w="718"/>
        <w:gridCol w:w="705"/>
        <w:gridCol w:w="736"/>
        <w:gridCol w:w="1115"/>
        <w:gridCol w:w="927"/>
      </w:tblGrid>
      <w:tr>
        <w:trPr>
          <w:trHeight w:val="357" w:hRule="atLeast"/>
        </w:trPr>
        <w:tc>
          <w:tcPr>
            <w:tcW w:w="948" w:type="dxa"/>
            <w:tcBorders>
              <w:top w:val="single" w:sz="4" w:space="0" w:color="000000"/>
              <w:bottom w:val="single" w:sz="4" w:space="0" w:color="000000"/>
            </w:tcBorders>
          </w:tcPr>
          <w:p>
            <w:pPr>
              <w:pStyle w:val="TableParagraph"/>
              <w:spacing w:before="82"/>
              <w:ind w:left="187" w:right="179"/>
              <w:jc w:val="center"/>
              <w:rPr>
                <w:rFonts w:ascii="宋体" w:eastAsia="宋体" w:hint="eastAsia"/>
                <w:sz w:val="18"/>
              </w:rPr>
            </w:pPr>
            <w:r>
              <w:rPr>
                <w:rFonts w:ascii="宋体" w:eastAsia="宋体" w:hint="eastAsia"/>
                <w:sz w:val="18"/>
              </w:rPr>
              <w:t>组别</w:t>
            </w:r>
          </w:p>
        </w:tc>
        <w:tc>
          <w:tcPr>
            <w:tcW w:w="1028" w:type="dxa"/>
            <w:tcBorders>
              <w:top w:val="single" w:sz="4" w:space="0" w:color="000000"/>
              <w:bottom w:val="single" w:sz="4" w:space="0" w:color="000000"/>
            </w:tcBorders>
          </w:tcPr>
          <w:p>
            <w:pPr>
              <w:pStyle w:val="TableParagraph"/>
              <w:spacing w:before="82"/>
              <w:ind w:left="180" w:right="178"/>
              <w:jc w:val="center"/>
              <w:rPr>
                <w:rFonts w:ascii="宋体" w:eastAsia="宋体" w:hint="eastAsia"/>
                <w:sz w:val="18"/>
              </w:rPr>
            </w:pPr>
            <w:r>
              <w:rPr>
                <w:rFonts w:ascii="宋体" w:eastAsia="宋体" w:hint="eastAsia"/>
                <w:sz w:val="18"/>
              </w:rPr>
              <w:t>总数/例</w:t>
            </w:r>
          </w:p>
        </w:tc>
        <w:tc>
          <w:tcPr>
            <w:tcW w:w="1115" w:type="dxa"/>
            <w:tcBorders>
              <w:top w:val="single" w:sz="4" w:space="0" w:color="000000"/>
              <w:bottom w:val="single" w:sz="4" w:space="0" w:color="000000"/>
            </w:tcBorders>
          </w:tcPr>
          <w:p>
            <w:pPr>
              <w:pStyle w:val="TableParagraph"/>
              <w:spacing w:before="82"/>
              <w:ind w:left="177" w:right="175"/>
              <w:jc w:val="center"/>
              <w:rPr>
                <w:rFonts w:ascii="宋体" w:eastAsia="宋体" w:hint="eastAsia"/>
                <w:sz w:val="18"/>
              </w:rPr>
            </w:pPr>
            <w:r>
              <w:rPr>
                <w:rFonts w:ascii="宋体" w:eastAsia="宋体" w:hint="eastAsia"/>
                <w:sz w:val="18"/>
              </w:rPr>
              <w:t>发生例数</w:t>
            </w:r>
          </w:p>
        </w:tc>
        <w:tc>
          <w:tcPr>
            <w:tcW w:w="1131" w:type="dxa"/>
            <w:tcBorders>
              <w:top w:val="single" w:sz="4" w:space="0" w:color="000000"/>
              <w:bottom w:val="single" w:sz="4" w:space="0" w:color="000000"/>
            </w:tcBorders>
          </w:tcPr>
          <w:p>
            <w:pPr>
              <w:pStyle w:val="TableParagraph"/>
              <w:spacing w:before="82"/>
              <w:ind w:left="178" w:right="192"/>
              <w:jc w:val="center"/>
              <w:rPr>
                <w:rFonts w:ascii="宋体" w:eastAsia="宋体" w:hint="eastAsia"/>
                <w:sz w:val="18"/>
              </w:rPr>
            </w:pPr>
            <w:r>
              <w:rPr>
                <w:rFonts w:ascii="宋体" w:eastAsia="宋体" w:hint="eastAsia"/>
                <w:sz w:val="18"/>
              </w:rPr>
              <w:t>肌肉酸痛</w:t>
            </w:r>
          </w:p>
        </w:tc>
        <w:tc>
          <w:tcPr>
            <w:tcW w:w="1306" w:type="dxa"/>
            <w:tcBorders>
              <w:top w:val="single" w:sz="4" w:space="0" w:color="000000"/>
              <w:bottom w:val="single" w:sz="4" w:space="0" w:color="000000"/>
            </w:tcBorders>
          </w:tcPr>
          <w:p>
            <w:pPr>
              <w:pStyle w:val="TableParagraph"/>
              <w:spacing w:before="82"/>
              <w:ind w:left="194" w:right="172"/>
              <w:jc w:val="center"/>
              <w:rPr>
                <w:rFonts w:ascii="宋体" w:eastAsia="宋体" w:hint="eastAsia"/>
                <w:sz w:val="18"/>
              </w:rPr>
            </w:pPr>
            <w:r>
              <w:rPr>
                <w:rFonts w:ascii="宋体" w:eastAsia="宋体" w:hint="eastAsia"/>
                <w:sz w:val="18"/>
              </w:rPr>
              <w:t>胃肠道不适</w:t>
            </w:r>
          </w:p>
        </w:tc>
        <w:tc>
          <w:tcPr>
            <w:tcW w:w="718" w:type="dxa"/>
            <w:tcBorders>
              <w:top w:val="single" w:sz="4" w:space="0" w:color="000000"/>
              <w:bottom w:val="single" w:sz="4" w:space="0" w:color="000000"/>
            </w:tcBorders>
          </w:tcPr>
          <w:p>
            <w:pPr>
              <w:pStyle w:val="TableParagraph"/>
              <w:spacing w:before="82"/>
              <w:ind w:left="172" w:right="145"/>
              <w:jc w:val="center"/>
              <w:rPr>
                <w:rFonts w:ascii="宋体" w:eastAsia="宋体" w:hint="eastAsia"/>
                <w:sz w:val="18"/>
              </w:rPr>
            </w:pPr>
            <w:r>
              <w:rPr>
                <w:rFonts w:ascii="宋体" w:eastAsia="宋体" w:hint="eastAsia"/>
                <w:sz w:val="18"/>
              </w:rPr>
              <w:t>心慌</w:t>
            </w:r>
          </w:p>
        </w:tc>
        <w:tc>
          <w:tcPr>
            <w:tcW w:w="705" w:type="dxa"/>
            <w:tcBorders>
              <w:top w:val="single" w:sz="4" w:space="0" w:color="000000"/>
              <w:bottom w:val="single" w:sz="4" w:space="0" w:color="000000"/>
            </w:tcBorders>
          </w:tcPr>
          <w:p>
            <w:pPr>
              <w:pStyle w:val="TableParagraph"/>
              <w:spacing w:before="82"/>
              <w:ind w:left="147" w:right="158"/>
              <w:jc w:val="center"/>
              <w:rPr>
                <w:rFonts w:ascii="宋体" w:eastAsia="宋体" w:hint="eastAsia"/>
                <w:sz w:val="18"/>
              </w:rPr>
            </w:pPr>
            <w:r>
              <w:rPr>
                <w:rFonts w:ascii="宋体" w:eastAsia="宋体" w:hint="eastAsia"/>
                <w:sz w:val="18"/>
              </w:rPr>
              <w:t>头疼</w:t>
            </w:r>
          </w:p>
        </w:tc>
        <w:tc>
          <w:tcPr>
            <w:tcW w:w="736" w:type="dxa"/>
            <w:tcBorders>
              <w:top w:val="single" w:sz="4" w:space="0" w:color="000000"/>
              <w:bottom w:val="single" w:sz="4" w:space="0" w:color="000000"/>
            </w:tcBorders>
          </w:tcPr>
          <w:p>
            <w:pPr>
              <w:pStyle w:val="TableParagraph"/>
              <w:spacing w:before="82"/>
              <w:ind w:left="159" w:right="176"/>
              <w:jc w:val="center"/>
              <w:rPr>
                <w:rFonts w:ascii="宋体" w:eastAsia="宋体" w:hint="eastAsia"/>
                <w:sz w:val="18"/>
              </w:rPr>
            </w:pPr>
            <w:r>
              <w:rPr>
                <w:rFonts w:ascii="宋体" w:eastAsia="宋体" w:hint="eastAsia"/>
                <w:sz w:val="18"/>
              </w:rPr>
              <w:t>幻觉</w:t>
            </w:r>
          </w:p>
        </w:tc>
        <w:tc>
          <w:tcPr>
            <w:tcW w:w="1115" w:type="dxa"/>
            <w:tcBorders>
              <w:top w:val="single" w:sz="4" w:space="0" w:color="000000"/>
              <w:bottom w:val="single" w:sz="4" w:space="0" w:color="000000"/>
            </w:tcBorders>
          </w:tcPr>
          <w:p>
            <w:pPr>
              <w:pStyle w:val="TableParagraph"/>
              <w:spacing w:before="82"/>
              <w:ind w:left="175" w:right="176"/>
              <w:jc w:val="center"/>
              <w:rPr>
                <w:rFonts w:ascii="宋体" w:eastAsia="宋体" w:hint="eastAsia"/>
                <w:sz w:val="18"/>
              </w:rPr>
            </w:pPr>
            <w:r>
              <w:rPr>
                <w:rFonts w:ascii="宋体" w:eastAsia="宋体" w:hint="eastAsia"/>
                <w:sz w:val="18"/>
              </w:rPr>
              <w:t>认知障碍</w:t>
            </w:r>
          </w:p>
        </w:tc>
        <w:tc>
          <w:tcPr>
            <w:tcW w:w="927" w:type="dxa"/>
            <w:tcBorders>
              <w:top w:val="single" w:sz="4" w:space="0" w:color="000000"/>
              <w:bottom w:val="single" w:sz="4" w:space="0" w:color="000000"/>
            </w:tcBorders>
          </w:tcPr>
          <w:p>
            <w:pPr>
              <w:pStyle w:val="TableParagraph"/>
              <w:spacing w:before="82"/>
              <w:ind w:left="177" w:right="169"/>
              <w:jc w:val="center"/>
              <w:rPr>
                <w:rFonts w:ascii="宋体" w:eastAsia="宋体" w:hint="eastAsia"/>
                <w:sz w:val="18"/>
              </w:rPr>
            </w:pPr>
            <w:r>
              <w:rPr>
                <w:rFonts w:ascii="宋体" w:eastAsia="宋体" w:hint="eastAsia"/>
                <w:sz w:val="18"/>
              </w:rPr>
              <w:t>发生率</w:t>
            </w:r>
          </w:p>
        </w:tc>
      </w:tr>
      <w:tr>
        <w:trPr>
          <w:trHeight w:val="350" w:hRule="atLeast"/>
        </w:trPr>
        <w:tc>
          <w:tcPr>
            <w:tcW w:w="948" w:type="dxa"/>
            <w:tcBorders>
              <w:top w:val="single" w:sz="4" w:space="0" w:color="000000"/>
            </w:tcBorders>
          </w:tcPr>
          <w:p>
            <w:pPr>
              <w:pStyle w:val="TableParagraph"/>
              <w:spacing w:before="70"/>
              <w:ind w:left="189" w:right="179"/>
              <w:jc w:val="center"/>
              <w:rPr>
                <w:rFonts w:ascii="宋体" w:eastAsia="宋体" w:hint="eastAsia"/>
                <w:sz w:val="18"/>
              </w:rPr>
            </w:pPr>
            <w:r>
              <w:rPr>
                <w:rFonts w:ascii="宋体" w:eastAsia="宋体" w:hint="eastAsia"/>
                <w:sz w:val="18"/>
              </w:rPr>
              <w:t>教育组</w:t>
            </w:r>
          </w:p>
        </w:tc>
        <w:tc>
          <w:tcPr>
            <w:tcW w:w="1028" w:type="dxa"/>
            <w:tcBorders>
              <w:top w:val="single" w:sz="4" w:space="0" w:color="000000"/>
            </w:tcBorders>
          </w:tcPr>
          <w:p>
            <w:pPr>
              <w:pStyle w:val="TableParagraph"/>
              <w:spacing w:before="70"/>
              <w:ind w:left="180" w:right="176"/>
              <w:jc w:val="center"/>
              <w:rPr>
                <w:rFonts w:ascii="宋体"/>
                <w:sz w:val="18"/>
              </w:rPr>
            </w:pPr>
            <w:r>
              <w:rPr>
                <w:rFonts w:ascii="宋体"/>
                <w:sz w:val="18"/>
              </w:rPr>
              <w:t>139</w:t>
            </w:r>
          </w:p>
        </w:tc>
        <w:tc>
          <w:tcPr>
            <w:tcW w:w="1115" w:type="dxa"/>
            <w:tcBorders>
              <w:top w:val="single" w:sz="4" w:space="0" w:color="000000"/>
            </w:tcBorders>
          </w:tcPr>
          <w:p>
            <w:pPr>
              <w:pStyle w:val="TableParagraph"/>
              <w:spacing w:before="70"/>
              <w:ind w:left="177" w:right="175"/>
              <w:jc w:val="center"/>
              <w:rPr>
                <w:rFonts w:ascii="宋体"/>
                <w:sz w:val="18"/>
              </w:rPr>
            </w:pPr>
            <w:r>
              <w:rPr>
                <w:rFonts w:ascii="宋体"/>
                <w:sz w:val="18"/>
              </w:rPr>
              <w:t>10</w:t>
            </w:r>
          </w:p>
        </w:tc>
        <w:tc>
          <w:tcPr>
            <w:tcW w:w="1131" w:type="dxa"/>
            <w:tcBorders>
              <w:top w:val="single" w:sz="4" w:space="0" w:color="000000"/>
            </w:tcBorders>
          </w:tcPr>
          <w:p>
            <w:pPr>
              <w:pStyle w:val="TableParagraph"/>
              <w:spacing w:before="70"/>
              <w:ind w:right="14"/>
              <w:jc w:val="center"/>
              <w:rPr>
                <w:rFonts w:ascii="宋体"/>
                <w:sz w:val="18"/>
              </w:rPr>
            </w:pPr>
            <w:r>
              <w:rPr>
                <w:rFonts w:ascii="宋体"/>
                <w:sz w:val="18"/>
              </w:rPr>
              <w:t>4</w:t>
            </w:r>
          </w:p>
        </w:tc>
        <w:tc>
          <w:tcPr>
            <w:tcW w:w="1306" w:type="dxa"/>
            <w:tcBorders>
              <w:top w:val="single" w:sz="4" w:space="0" w:color="000000"/>
            </w:tcBorders>
          </w:tcPr>
          <w:p>
            <w:pPr>
              <w:pStyle w:val="TableParagraph"/>
              <w:spacing w:before="70"/>
              <w:ind w:left="18"/>
              <w:jc w:val="center"/>
              <w:rPr>
                <w:rFonts w:ascii="宋体"/>
                <w:sz w:val="18"/>
              </w:rPr>
            </w:pPr>
            <w:r>
              <w:rPr>
                <w:rFonts w:ascii="宋体"/>
                <w:sz w:val="18"/>
              </w:rPr>
              <w:t>2</w:t>
            </w:r>
          </w:p>
        </w:tc>
        <w:tc>
          <w:tcPr>
            <w:tcW w:w="718" w:type="dxa"/>
            <w:tcBorders>
              <w:top w:val="single" w:sz="4" w:space="0" w:color="000000"/>
            </w:tcBorders>
          </w:tcPr>
          <w:p>
            <w:pPr>
              <w:pStyle w:val="TableParagraph"/>
              <w:spacing w:before="70"/>
              <w:ind w:left="26"/>
              <w:jc w:val="center"/>
              <w:rPr>
                <w:rFonts w:ascii="宋体"/>
                <w:sz w:val="18"/>
              </w:rPr>
            </w:pPr>
            <w:r>
              <w:rPr>
                <w:rFonts w:ascii="宋体"/>
                <w:sz w:val="18"/>
              </w:rPr>
              <w:t>1</w:t>
            </w:r>
          </w:p>
        </w:tc>
        <w:tc>
          <w:tcPr>
            <w:tcW w:w="705" w:type="dxa"/>
            <w:tcBorders>
              <w:top w:val="single" w:sz="4" w:space="0" w:color="000000"/>
            </w:tcBorders>
          </w:tcPr>
          <w:p>
            <w:pPr>
              <w:pStyle w:val="TableParagraph"/>
              <w:spacing w:before="70"/>
              <w:ind w:right="12"/>
              <w:jc w:val="center"/>
              <w:rPr>
                <w:rFonts w:ascii="宋体"/>
                <w:sz w:val="18"/>
              </w:rPr>
            </w:pPr>
            <w:r>
              <w:rPr>
                <w:rFonts w:ascii="宋体"/>
                <w:sz w:val="18"/>
              </w:rPr>
              <w:t>1</w:t>
            </w:r>
          </w:p>
        </w:tc>
        <w:tc>
          <w:tcPr>
            <w:tcW w:w="736" w:type="dxa"/>
            <w:tcBorders>
              <w:top w:val="single" w:sz="4" w:space="0" w:color="000000"/>
            </w:tcBorders>
          </w:tcPr>
          <w:p>
            <w:pPr>
              <w:pStyle w:val="TableParagraph"/>
              <w:spacing w:before="70"/>
              <w:ind w:right="18"/>
              <w:jc w:val="center"/>
              <w:rPr>
                <w:rFonts w:ascii="宋体"/>
                <w:sz w:val="18"/>
              </w:rPr>
            </w:pPr>
            <w:r>
              <w:rPr>
                <w:rFonts w:ascii="宋体"/>
                <w:sz w:val="18"/>
              </w:rPr>
              <w:t>1</w:t>
            </w:r>
          </w:p>
        </w:tc>
        <w:tc>
          <w:tcPr>
            <w:tcW w:w="1115" w:type="dxa"/>
            <w:tcBorders>
              <w:top w:val="single" w:sz="4" w:space="0" w:color="000000"/>
            </w:tcBorders>
          </w:tcPr>
          <w:p>
            <w:pPr>
              <w:pStyle w:val="TableParagraph"/>
              <w:spacing w:before="70"/>
              <w:ind w:right="2"/>
              <w:jc w:val="center"/>
              <w:rPr>
                <w:rFonts w:ascii="宋体"/>
                <w:sz w:val="18"/>
              </w:rPr>
            </w:pPr>
            <w:r>
              <w:rPr>
                <w:rFonts w:ascii="宋体"/>
                <w:sz w:val="18"/>
              </w:rPr>
              <w:t>1</w:t>
            </w:r>
          </w:p>
        </w:tc>
        <w:tc>
          <w:tcPr>
            <w:tcW w:w="927" w:type="dxa"/>
            <w:tcBorders>
              <w:top w:val="single" w:sz="4" w:space="0" w:color="000000"/>
            </w:tcBorders>
          </w:tcPr>
          <w:p>
            <w:pPr>
              <w:pStyle w:val="TableParagraph"/>
              <w:spacing w:before="70"/>
              <w:ind w:left="177" w:right="166"/>
              <w:jc w:val="center"/>
              <w:rPr>
                <w:rFonts w:ascii="宋体"/>
                <w:sz w:val="18"/>
              </w:rPr>
            </w:pPr>
            <w:r>
              <w:rPr>
                <w:rFonts w:ascii="宋体"/>
                <w:sz w:val="18"/>
              </w:rPr>
              <w:t>7.2%</w:t>
            </w:r>
          </w:p>
        </w:tc>
      </w:tr>
      <w:tr>
        <w:trPr>
          <w:trHeight w:val="282" w:hRule="atLeast"/>
        </w:trPr>
        <w:tc>
          <w:tcPr>
            <w:tcW w:w="948" w:type="dxa"/>
            <w:tcBorders>
              <w:bottom w:val="single" w:sz="4" w:space="0" w:color="000000"/>
            </w:tcBorders>
          </w:tcPr>
          <w:p>
            <w:pPr>
              <w:pStyle w:val="TableParagraph"/>
              <w:spacing w:line="227" w:lineRule="exact" w:before="36"/>
              <w:ind w:left="189" w:right="179"/>
              <w:jc w:val="center"/>
              <w:rPr>
                <w:rFonts w:ascii="宋体" w:eastAsia="宋体" w:hint="eastAsia"/>
                <w:sz w:val="18"/>
              </w:rPr>
            </w:pPr>
            <w:r>
              <w:rPr>
                <w:rFonts w:ascii="宋体" w:eastAsia="宋体" w:hint="eastAsia"/>
                <w:sz w:val="18"/>
              </w:rPr>
              <w:t>对照组</w:t>
            </w:r>
          </w:p>
        </w:tc>
        <w:tc>
          <w:tcPr>
            <w:tcW w:w="1028" w:type="dxa"/>
            <w:tcBorders>
              <w:bottom w:val="single" w:sz="4" w:space="0" w:color="000000"/>
            </w:tcBorders>
          </w:tcPr>
          <w:p>
            <w:pPr>
              <w:pStyle w:val="TableParagraph"/>
              <w:spacing w:line="227" w:lineRule="exact" w:before="36"/>
              <w:ind w:left="180" w:right="176"/>
              <w:jc w:val="center"/>
              <w:rPr>
                <w:rFonts w:ascii="宋体"/>
                <w:sz w:val="18"/>
              </w:rPr>
            </w:pPr>
            <w:r>
              <w:rPr>
                <w:rFonts w:ascii="宋体"/>
                <w:sz w:val="18"/>
              </w:rPr>
              <w:t>133</w:t>
            </w:r>
          </w:p>
        </w:tc>
        <w:tc>
          <w:tcPr>
            <w:tcW w:w="1115" w:type="dxa"/>
            <w:tcBorders>
              <w:bottom w:val="single" w:sz="4" w:space="0" w:color="000000"/>
            </w:tcBorders>
          </w:tcPr>
          <w:p>
            <w:pPr>
              <w:pStyle w:val="TableParagraph"/>
              <w:spacing w:line="227" w:lineRule="exact" w:before="36"/>
              <w:ind w:left="1"/>
              <w:jc w:val="center"/>
              <w:rPr>
                <w:rFonts w:ascii="宋体"/>
                <w:sz w:val="18"/>
              </w:rPr>
            </w:pPr>
            <w:r>
              <w:rPr>
                <w:rFonts w:ascii="宋体"/>
                <w:sz w:val="18"/>
              </w:rPr>
              <w:t>2</w:t>
            </w:r>
          </w:p>
        </w:tc>
        <w:tc>
          <w:tcPr>
            <w:tcW w:w="1131" w:type="dxa"/>
            <w:tcBorders>
              <w:bottom w:val="single" w:sz="4" w:space="0" w:color="000000"/>
            </w:tcBorders>
          </w:tcPr>
          <w:p>
            <w:pPr>
              <w:pStyle w:val="TableParagraph"/>
              <w:spacing w:line="227" w:lineRule="exact" w:before="36"/>
              <w:ind w:right="14"/>
              <w:jc w:val="center"/>
              <w:rPr>
                <w:rFonts w:ascii="宋体"/>
                <w:sz w:val="18"/>
              </w:rPr>
            </w:pPr>
            <w:r>
              <w:rPr>
                <w:rFonts w:ascii="宋体"/>
                <w:sz w:val="18"/>
              </w:rPr>
              <w:t>1</w:t>
            </w:r>
          </w:p>
        </w:tc>
        <w:tc>
          <w:tcPr>
            <w:tcW w:w="1306" w:type="dxa"/>
            <w:tcBorders>
              <w:bottom w:val="single" w:sz="4" w:space="0" w:color="000000"/>
            </w:tcBorders>
          </w:tcPr>
          <w:p>
            <w:pPr>
              <w:pStyle w:val="TableParagraph"/>
              <w:spacing w:line="227" w:lineRule="exact" w:before="36"/>
              <w:ind w:left="18"/>
              <w:jc w:val="center"/>
              <w:rPr>
                <w:rFonts w:ascii="宋体"/>
                <w:sz w:val="18"/>
              </w:rPr>
            </w:pPr>
            <w:r>
              <w:rPr>
                <w:rFonts w:ascii="宋体"/>
                <w:sz w:val="18"/>
              </w:rPr>
              <w:t>1</w:t>
            </w:r>
          </w:p>
        </w:tc>
        <w:tc>
          <w:tcPr>
            <w:tcW w:w="718" w:type="dxa"/>
            <w:tcBorders>
              <w:bottom w:val="single" w:sz="4" w:space="0" w:color="000000"/>
            </w:tcBorders>
          </w:tcPr>
          <w:p>
            <w:pPr>
              <w:pStyle w:val="TableParagraph"/>
              <w:spacing w:line="227" w:lineRule="exact" w:before="36"/>
              <w:ind w:left="26"/>
              <w:jc w:val="center"/>
              <w:rPr>
                <w:rFonts w:ascii="宋体"/>
                <w:sz w:val="18"/>
              </w:rPr>
            </w:pPr>
            <w:r>
              <w:rPr>
                <w:rFonts w:ascii="宋体"/>
                <w:sz w:val="18"/>
              </w:rPr>
              <w:t>0</w:t>
            </w:r>
          </w:p>
        </w:tc>
        <w:tc>
          <w:tcPr>
            <w:tcW w:w="705" w:type="dxa"/>
            <w:tcBorders>
              <w:bottom w:val="single" w:sz="4" w:space="0" w:color="000000"/>
            </w:tcBorders>
          </w:tcPr>
          <w:p>
            <w:pPr>
              <w:pStyle w:val="TableParagraph"/>
              <w:spacing w:line="227" w:lineRule="exact" w:before="36"/>
              <w:ind w:right="12"/>
              <w:jc w:val="center"/>
              <w:rPr>
                <w:rFonts w:ascii="宋体"/>
                <w:sz w:val="18"/>
              </w:rPr>
            </w:pPr>
            <w:r>
              <w:rPr>
                <w:rFonts w:ascii="宋体"/>
                <w:sz w:val="18"/>
              </w:rPr>
              <w:t>0</w:t>
            </w:r>
          </w:p>
        </w:tc>
        <w:tc>
          <w:tcPr>
            <w:tcW w:w="736" w:type="dxa"/>
            <w:tcBorders>
              <w:bottom w:val="single" w:sz="4" w:space="0" w:color="000000"/>
            </w:tcBorders>
          </w:tcPr>
          <w:p>
            <w:pPr>
              <w:pStyle w:val="TableParagraph"/>
              <w:spacing w:line="227" w:lineRule="exact" w:before="36"/>
              <w:ind w:right="18"/>
              <w:jc w:val="center"/>
              <w:rPr>
                <w:rFonts w:ascii="宋体"/>
                <w:sz w:val="18"/>
              </w:rPr>
            </w:pPr>
            <w:r>
              <w:rPr>
                <w:rFonts w:ascii="宋体"/>
                <w:sz w:val="18"/>
              </w:rPr>
              <w:t>0</w:t>
            </w:r>
          </w:p>
        </w:tc>
        <w:tc>
          <w:tcPr>
            <w:tcW w:w="1115" w:type="dxa"/>
            <w:tcBorders>
              <w:bottom w:val="single" w:sz="4" w:space="0" w:color="000000"/>
            </w:tcBorders>
          </w:tcPr>
          <w:p>
            <w:pPr>
              <w:pStyle w:val="TableParagraph"/>
              <w:spacing w:line="227" w:lineRule="exact" w:before="36"/>
              <w:ind w:right="2"/>
              <w:jc w:val="center"/>
              <w:rPr>
                <w:rFonts w:ascii="宋体"/>
                <w:sz w:val="18"/>
              </w:rPr>
            </w:pPr>
            <w:r>
              <w:rPr>
                <w:rFonts w:ascii="宋体"/>
                <w:sz w:val="18"/>
              </w:rPr>
              <w:t>0</w:t>
            </w:r>
          </w:p>
        </w:tc>
        <w:tc>
          <w:tcPr>
            <w:tcW w:w="927" w:type="dxa"/>
            <w:tcBorders>
              <w:bottom w:val="single" w:sz="4" w:space="0" w:color="000000"/>
            </w:tcBorders>
          </w:tcPr>
          <w:p>
            <w:pPr>
              <w:pStyle w:val="TableParagraph"/>
              <w:spacing w:line="227" w:lineRule="exact" w:before="36"/>
              <w:ind w:left="177" w:right="166"/>
              <w:jc w:val="center"/>
              <w:rPr>
                <w:rFonts w:ascii="宋体"/>
                <w:sz w:val="18"/>
              </w:rPr>
            </w:pPr>
            <w:r>
              <w:rPr>
                <w:rFonts w:ascii="宋体"/>
                <w:sz w:val="18"/>
              </w:rPr>
              <w:t>1.5%</w:t>
            </w:r>
          </w:p>
        </w:tc>
      </w:tr>
    </w:tbl>
    <w:p>
      <w:pPr>
        <w:pStyle w:val="Heading3"/>
        <w:numPr>
          <w:ilvl w:val="0"/>
          <w:numId w:val="7"/>
        </w:numPr>
        <w:tabs>
          <w:tab w:pos="961" w:val="left" w:leader="none"/>
        </w:tabs>
        <w:spacing w:line="240" w:lineRule="auto" w:before="58" w:after="0"/>
        <w:ind w:left="960" w:right="0" w:hanging="244"/>
        <w:jc w:val="left"/>
      </w:pPr>
      <w:r>
        <w:rPr/>
        <w:t>分析与讨论</w:t>
      </w:r>
    </w:p>
    <w:p>
      <w:pPr>
        <w:pStyle w:val="ListParagraph"/>
        <w:numPr>
          <w:ilvl w:val="1"/>
          <w:numId w:val="7"/>
        </w:numPr>
        <w:tabs>
          <w:tab w:pos="1198" w:val="left" w:leader="none"/>
          <w:tab w:pos="5037" w:val="left" w:leader="none"/>
        </w:tabs>
        <w:spacing w:line="297" w:lineRule="auto" w:before="71" w:after="0"/>
        <w:ind w:left="237" w:right="227" w:firstLine="480"/>
        <w:jc w:val="left"/>
        <w:rPr>
          <w:sz w:val="24"/>
        </w:rPr>
      </w:pPr>
      <w:r>
        <w:rPr>
          <w:sz w:val="24"/>
        </w:rPr>
        <w:t>用药教育对提高患者依从性的分析</w:t>
        <w:tab/>
        <w:t>我国医院药学正在逐渐向患者为中心的药学服务阶段进行转变</w:t>
      </w:r>
      <w:r>
        <w:rPr>
          <w:spacing w:val="-51"/>
          <w:sz w:val="24"/>
        </w:rPr>
        <w:t>。</w:t>
      </w:r>
      <w:r>
        <w:rPr>
          <w:sz w:val="24"/>
        </w:rPr>
        <w:t>临床药师对脑卒中患者进行健康教育</w:t>
      </w:r>
      <w:r>
        <w:rPr>
          <w:spacing w:val="-51"/>
          <w:sz w:val="24"/>
        </w:rPr>
        <w:t>，</w:t>
      </w:r>
      <w:r>
        <w:rPr>
          <w:sz w:val="24"/>
        </w:rPr>
        <w:t>能够帮助患者理解药物治疗的</w:t>
      </w:r>
      <w:r>
        <w:rPr>
          <w:spacing w:val="-16"/>
          <w:sz w:val="24"/>
        </w:rPr>
        <w:t>目</w:t>
      </w:r>
      <w:r>
        <w:rPr>
          <w:sz w:val="24"/>
        </w:rPr>
        <w:t>的及必要性</w:t>
      </w:r>
      <w:r>
        <w:rPr>
          <w:spacing w:val="-34"/>
          <w:sz w:val="24"/>
        </w:rPr>
        <w:t>，</w:t>
      </w:r>
      <w:r>
        <w:rPr>
          <w:sz w:val="24"/>
        </w:rPr>
        <w:t>掌握药物的服用剂量与方法</w:t>
      </w:r>
      <w:r>
        <w:rPr>
          <w:spacing w:val="-34"/>
          <w:sz w:val="24"/>
        </w:rPr>
        <w:t>，</w:t>
      </w:r>
      <w:r>
        <w:rPr>
          <w:sz w:val="24"/>
        </w:rPr>
        <w:t>正确认识药物的不良反应</w:t>
      </w:r>
      <w:r>
        <w:rPr>
          <w:spacing w:val="-34"/>
          <w:sz w:val="24"/>
        </w:rPr>
        <w:t>，</w:t>
      </w:r>
      <w:r>
        <w:rPr>
          <w:sz w:val="24"/>
        </w:rPr>
        <w:t>及时进行药物相关</w:t>
      </w:r>
      <w:r>
        <w:rPr>
          <w:spacing w:val="-16"/>
          <w:sz w:val="24"/>
        </w:rPr>
        <w:t>治</w:t>
      </w:r>
      <w:r>
        <w:rPr>
          <w:sz w:val="24"/>
        </w:rPr>
        <w:t>疗目标及不良反应的监测。可提高疾病控制的达标率。</w:t>
      </w:r>
    </w:p>
    <w:p>
      <w:pPr>
        <w:pStyle w:val="BodyText"/>
        <w:spacing w:line="297" w:lineRule="auto"/>
        <w:ind w:right="227" w:firstLine="480"/>
        <w:jc w:val="both"/>
      </w:pPr>
      <w:r>
        <w:rPr>
          <w:spacing w:val="-16"/>
        </w:rPr>
        <w:t>调查显示，约有 </w:t>
      </w:r>
      <w:r>
        <w:rPr/>
        <w:t>30%</w:t>
      </w:r>
      <w:r>
        <w:rPr>
          <w:spacing w:val="-8"/>
        </w:rPr>
        <w:t>的药品说明书未注明服药时间，且有 </w:t>
      </w:r>
      <w:r>
        <w:rPr/>
        <w:t>66.80%</w:t>
      </w:r>
      <w:r>
        <w:rPr>
          <w:spacing w:val="-2"/>
        </w:rPr>
        <w:t>的药品说明书未注明药</w:t>
      </w:r>
      <w:r>
        <w:rPr>
          <w:spacing w:val="-9"/>
        </w:rPr>
        <w:t>物是否受进餐影响，患者仅通过阅读药品说明书并不能完全了解用药信息，从而会造成药物</w:t>
      </w:r>
      <w:r>
        <w:rPr>
          <w:spacing w:val="-11"/>
        </w:rPr>
        <w:t>疗效不佳。用药依从性也与服药品种数量、服药次数、用药剂型等有关当患者能够正确的理</w:t>
      </w:r>
      <w:r>
        <w:rPr>
          <w:spacing w:val="-10"/>
        </w:rPr>
        <w:t>解药物作用、用药原因以及如何服药，并且在临床药师为其解答其他潜在服药的顾虑后，患</w:t>
      </w:r>
      <w:r>
        <w:rPr>
          <w:spacing w:val="-5"/>
        </w:rPr>
        <w:t>者的依从性就能有所提高。一般情况下不依从事件可以降至 </w:t>
      </w:r>
      <w:r>
        <w:rPr/>
        <w:t>20%</w:t>
      </w:r>
      <w:r>
        <w:rPr>
          <w:spacing w:val="-6"/>
        </w:rPr>
        <w:t>以下，在某些情况下可以降</w:t>
      </w:r>
    </w:p>
    <w:p>
      <w:pPr>
        <w:spacing w:after="0" w:line="297" w:lineRule="auto"/>
        <w:jc w:val="both"/>
        <w:sectPr>
          <w:pgSz w:w="11910" w:h="16850"/>
          <w:pgMar w:header="906" w:footer="607" w:top="1100" w:bottom="800" w:left="1040" w:right="900"/>
        </w:sectPr>
      </w:pPr>
    </w:p>
    <w:p>
      <w:pPr>
        <w:pStyle w:val="BodyText"/>
        <w:spacing w:line="295" w:lineRule="auto" w:before="65"/>
        <w:ind w:right="227"/>
      </w:pPr>
      <w:r>
        <w:rPr>
          <w:spacing w:val="-30"/>
        </w:rPr>
        <w:t>至 </w:t>
      </w:r>
      <w:r>
        <w:rPr/>
        <w:t>9%，同时也能减少患者漏服药物的情况。通过药物监测，患者能更好的了解药物治疗情</w:t>
      </w:r>
      <w:r>
        <w:rPr>
          <w:spacing w:val="-11"/>
        </w:rPr>
        <w:t>况，便于医师和药师为其调整治疗方案。通过回访可见，详尽的用药教育能够增强患者按照</w:t>
      </w:r>
      <w:r>
        <w:rPr/>
        <w:t>疗程服药及药物监测情况。</w:t>
      </w:r>
    </w:p>
    <w:p>
      <w:pPr>
        <w:pStyle w:val="BodyText"/>
        <w:spacing w:line="297" w:lineRule="auto" w:before="5"/>
        <w:ind w:right="110" w:firstLine="480"/>
      </w:pPr>
      <w:r>
        <w:rPr>
          <w:spacing w:val="-8"/>
        </w:rPr>
        <w:t>在我们的调查中，脑卒中患者出院带药平均在 </w:t>
      </w:r>
      <w:r>
        <w:rPr/>
        <w:t>7</w:t>
      </w:r>
      <w:r>
        <w:rPr>
          <w:spacing w:val="-12"/>
        </w:rPr>
        <w:t> 种以上。同时多种药物联合应用，出现药物不良反应及相互作用的几率明显升高。如何让患者能够理解药物治疗的目的及必要性， </w:t>
      </w:r>
      <w:r>
        <w:rPr>
          <w:spacing w:val="-20"/>
        </w:rPr>
        <w:t>掌握药物的服用剂量与方法，进行药物治疗监测，正确认识药物的不良反应，具有重要意义。</w:t>
      </w:r>
      <w:r>
        <w:rPr>
          <w:spacing w:val="-8"/>
        </w:rPr>
        <w:t>笔者在日常工作中，会着重向患者介绍药物治疗的必要性，通过通俗易懂的语言为患者讲解</w:t>
      </w:r>
      <w:r>
        <w:rPr>
          <w:spacing w:val="-14"/>
        </w:rPr>
        <w:t>疾病的原理与药物治疗的目的，同时会告知患者用药疗程及监测的目标与时间。在不良反应</w:t>
      </w:r>
      <w:r>
        <w:rPr>
          <w:spacing w:val="-10"/>
        </w:rPr>
        <w:t>方面，笔者一般不会告知患者所服药品会有哪些不良反应，而是告知患者，如果出现某些不</w:t>
      </w:r>
      <w:r>
        <w:rPr>
          <w:spacing w:val="-17"/>
        </w:rPr>
        <w:t>适应如何处理。如服用他汀类药物出现肌肉酸痛，应及时到医院就诊。再如服用抗血小板药， </w:t>
      </w:r>
      <w:r>
        <w:rPr>
          <w:spacing w:val="-7"/>
        </w:rPr>
        <w:t>应多观察自己是否有鼻黏膜，口腔黏膜的出血，皮下瘀斑等。这样可以避免因为告知药物不良反应导致患者的焦虑情绪，减少非必须的停药。</w:t>
      </w:r>
    </w:p>
    <w:p>
      <w:pPr>
        <w:pStyle w:val="ListParagraph"/>
        <w:numPr>
          <w:ilvl w:val="1"/>
          <w:numId w:val="7"/>
        </w:numPr>
        <w:tabs>
          <w:tab w:pos="1198" w:val="left" w:leader="none"/>
          <w:tab w:pos="5998" w:val="left" w:leader="none"/>
        </w:tabs>
        <w:spacing w:line="297" w:lineRule="auto" w:before="0" w:after="0"/>
        <w:ind w:left="237" w:right="227" w:firstLine="480"/>
        <w:jc w:val="left"/>
        <w:rPr>
          <w:sz w:val="24"/>
        </w:rPr>
      </w:pPr>
      <w:r>
        <w:rPr>
          <w:sz w:val="24"/>
        </w:rPr>
        <w:t>用药教育对患者脑卒中二级预防情况的分析</w:t>
        <w:tab/>
        <w:t>在我们的调查中</w:t>
      </w:r>
      <w:r>
        <w:rPr>
          <w:spacing w:val="-104"/>
          <w:sz w:val="24"/>
        </w:rPr>
        <w:t>，</w:t>
      </w:r>
      <w:r>
        <w:rPr>
          <w:sz w:val="24"/>
        </w:rPr>
        <w:t>对照组患者脑卒</w:t>
      </w:r>
      <w:r>
        <w:rPr>
          <w:spacing w:val="-15"/>
          <w:sz w:val="24"/>
        </w:rPr>
        <w:t>中</w:t>
      </w:r>
      <w:r>
        <w:rPr>
          <w:sz w:val="24"/>
        </w:rPr>
        <w:t>的复发率为</w:t>
      </w:r>
      <w:r>
        <w:rPr>
          <w:spacing w:val="-61"/>
          <w:sz w:val="24"/>
        </w:rPr>
        <w:t> </w:t>
      </w:r>
      <w:r>
        <w:rPr>
          <w:sz w:val="24"/>
        </w:rPr>
        <w:t>16.79%，与既往报道的脑卒中复发率</w:t>
      </w:r>
      <w:r>
        <w:rPr>
          <w:spacing w:val="-59"/>
          <w:sz w:val="24"/>
        </w:rPr>
        <w:t> </w:t>
      </w:r>
      <w:r>
        <w:rPr>
          <w:sz w:val="24"/>
        </w:rPr>
        <w:t>16.2%相似。而教育组脑卒中复发率为8.63%，两组具有明显差异。脑卒中的主要危险因素是高血压、糖尿病、高脂血症、肥胖、无症状性颈动脉狭窄等</w:t>
      </w:r>
      <w:r>
        <w:rPr>
          <w:spacing w:val="-17"/>
          <w:sz w:val="24"/>
        </w:rPr>
        <w:t>，</w:t>
      </w:r>
      <w:r>
        <w:rPr>
          <w:sz w:val="24"/>
        </w:rPr>
        <w:t>在二级预防中</w:t>
      </w:r>
      <w:r>
        <w:rPr>
          <w:spacing w:val="-17"/>
          <w:sz w:val="24"/>
        </w:rPr>
        <w:t>，</w:t>
      </w:r>
      <w:r>
        <w:rPr>
          <w:sz w:val="24"/>
        </w:rPr>
        <w:t>主要应用抗血小板</w:t>
      </w:r>
      <w:r>
        <w:rPr>
          <w:spacing w:val="-17"/>
          <w:sz w:val="24"/>
        </w:rPr>
        <w:t>、</w:t>
      </w:r>
      <w:r>
        <w:rPr>
          <w:sz w:val="24"/>
        </w:rPr>
        <w:t>抗凝</w:t>
      </w:r>
      <w:r>
        <w:rPr>
          <w:spacing w:val="-17"/>
          <w:sz w:val="24"/>
        </w:rPr>
        <w:t>、</w:t>
      </w:r>
      <w:r>
        <w:rPr>
          <w:sz w:val="24"/>
        </w:rPr>
        <w:t>降脂</w:t>
      </w:r>
      <w:r>
        <w:rPr>
          <w:spacing w:val="-17"/>
          <w:sz w:val="24"/>
        </w:rPr>
        <w:t>、</w:t>
      </w:r>
      <w:r>
        <w:rPr>
          <w:sz w:val="24"/>
        </w:rPr>
        <w:t>降压</w:t>
      </w:r>
      <w:r>
        <w:rPr>
          <w:spacing w:val="-17"/>
          <w:sz w:val="24"/>
        </w:rPr>
        <w:t>、</w:t>
      </w:r>
      <w:r>
        <w:rPr>
          <w:sz w:val="24"/>
        </w:rPr>
        <w:t>降糖等</w:t>
      </w:r>
      <w:r>
        <w:rPr>
          <w:spacing w:val="-16"/>
          <w:sz w:val="24"/>
        </w:rPr>
        <w:t>药</w:t>
      </w:r>
      <w:r>
        <w:rPr>
          <w:sz w:val="24"/>
        </w:rPr>
        <w:t>物治疗</w:t>
      </w:r>
      <w:r>
        <w:rPr>
          <w:spacing w:val="-22"/>
          <w:sz w:val="24"/>
        </w:rPr>
        <w:t>。</w:t>
      </w:r>
      <w:r>
        <w:rPr>
          <w:sz w:val="24"/>
        </w:rPr>
        <w:t>其中抗血小板药能减少卒中及其他主要血管事件的</w:t>
      </w:r>
      <w:r>
        <w:rPr>
          <w:spacing w:val="-60"/>
          <w:sz w:val="24"/>
        </w:rPr>
        <w:t> </w:t>
      </w:r>
      <w:r>
        <w:rPr>
          <w:sz w:val="24"/>
        </w:rPr>
        <w:t>13%以上</w:t>
      </w:r>
      <w:r>
        <w:rPr>
          <w:spacing w:val="-22"/>
          <w:sz w:val="24"/>
        </w:rPr>
        <w:t>，</w:t>
      </w:r>
      <w:r>
        <w:rPr>
          <w:sz w:val="24"/>
        </w:rPr>
        <w:t>他汀类药物的临床</w:t>
      </w:r>
      <w:r>
        <w:rPr>
          <w:spacing w:val="-14"/>
          <w:sz w:val="24"/>
        </w:rPr>
        <w:t>应</w:t>
      </w:r>
      <w:r>
        <w:rPr>
          <w:sz w:val="24"/>
        </w:rPr>
        <w:t>可使脑卒中的相对风险降低</w:t>
      </w:r>
      <w:r>
        <w:rPr>
          <w:spacing w:val="-60"/>
          <w:sz w:val="24"/>
        </w:rPr>
        <w:t> </w:t>
      </w:r>
      <w:r>
        <w:rPr>
          <w:sz w:val="24"/>
        </w:rPr>
        <w:t>16%-35%，降压药可降低复发性卒中事件的</w:t>
      </w:r>
      <w:r>
        <w:rPr>
          <w:spacing w:val="-60"/>
          <w:sz w:val="24"/>
        </w:rPr>
        <w:t> </w:t>
      </w:r>
      <w:r>
        <w:rPr>
          <w:sz w:val="24"/>
        </w:rPr>
        <w:t>34%，降糖药物可减少患者再发脑卒中的相对风险</w:t>
      </w:r>
      <w:r>
        <w:rPr>
          <w:spacing w:val="-60"/>
          <w:sz w:val="24"/>
        </w:rPr>
        <w:t> </w:t>
      </w:r>
      <w:r>
        <w:rPr>
          <w:sz w:val="24"/>
        </w:rPr>
        <w:t>47%</w:t>
      </w:r>
      <w:r>
        <w:rPr>
          <w:spacing w:val="-22"/>
          <w:sz w:val="24"/>
        </w:rPr>
        <w:t>。</w:t>
      </w:r>
      <w:r>
        <w:rPr>
          <w:sz w:val="24"/>
        </w:rPr>
        <w:t>但要想发挥这些药物的治疗效果</w:t>
      </w:r>
      <w:r>
        <w:rPr>
          <w:spacing w:val="-22"/>
          <w:sz w:val="24"/>
        </w:rPr>
        <w:t>，</w:t>
      </w:r>
      <w:r>
        <w:rPr>
          <w:sz w:val="24"/>
        </w:rPr>
        <w:t>则需要患者能够按</w:t>
      </w:r>
      <w:r>
        <w:rPr>
          <w:spacing w:val="-14"/>
          <w:sz w:val="24"/>
        </w:rPr>
        <w:t>照</w:t>
      </w:r>
      <w:r>
        <w:rPr>
          <w:sz w:val="24"/>
        </w:rPr>
        <w:t>规律服药。</w:t>
      </w:r>
    </w:p>
    <w:p>
      <w:pPr>
        <w:pStyle w:val="BodyText"/>
        <w:spacing w:line="297" w:lineRule="auto"/>
        <w:ind w:right="227" w:firstLine="480"/>
        <w:jc w:val="both"/>
      </w:pPr>
      <w:r>
        <w:rPr>
          <w:spacing w:val="-8"/>
        </w:rPr>
        <w:t>从本研究结果可以看出，教育组与对照组在出院时开具药品品种数类似，但两组在回访</w:t>
      </w:r>
      <w:r>
        <w:rPr>
          <w:spacing w:val="-6"/>
        </w:rPr>
        <w:t>时继续服用的数量教育组明显多于对照组，同时教育组按疗程停药更多，则表明教育组患者</w:t>
      </w:r>
      <w:r>
        <w:rPr/>
        <w:t>药物保留更多，这些药物的保留与教育组二级预防情况更佳可能具有一定关系。</w:t>
      </w:r>
    </w:p>
    <w:p>
      <w:pPr>
        <w:pStyle w:val="ListParagraph"/>
        <w:numPr>
          <w:ilvl w:val="1"/>
          <w:numId w:val="7"/>
        </w:numPr>
        <w:tabs>
          <w:tab w:pos="1198" w:val="left" w:leader="none"/>
          <w:tab w:pos="5037" w:val="left" w:leader="none"/>
        </w:tabs>
        <w:spacing w:line="297" w:lineRule="auto" w:before="0" w:after="0"/>
        <w:ind w:left="237" w:right="110" w:firstLine="480"/>
        <w:jc w:val="left"/>
        <w:rPr>
          <w:sz w:val="24"/>
        </w:rPr>
      </w:pPr>
      <w:r>
        <w:rPr>
          <w:sz w:val="24"/>
        </w:rPr>
        <w:t>不良反应与服药和停药数量的分析</w:t>
        <w:tab/>
        <w:t>在回访过程中</w:t>
      </w:r>
      <w:r>
        <w:rPr>
          <w:spacing w:val="-104"/>
          <w:sz w:val="24"/>
        </w:rPr>
        <w:t>，</w:t>
      </w:r>
      <w:r>
        <w:rPr>
          <w:sz w:val="24"/>
        </w:rPr>
        <w:t>出现最多的不良反应为肌肉酸痛</w:t>
      </w:r>
      <w:r>
        <w:rPr>
          <w:spacing w:val="-34"/>
          <w:sz w:val="24"/>
        </w:rPr>
        <w:t>，</w:t>
      </w:r>
      <w:r>
        <w:rPr>
          <w:sz w:val="24"/>
        </w:rPr>
        <w:t>考虑与服用他汀类药物有关</w:t>
      </w:r>
      <w:r>
        <w:rPr>
          <w:spacing w:val="-34"/>
          <w:sz w:val="24"/>
        </w:rPr>
        <w:t>，</w:t>
      </w:r>
      <w:r>
        <w:rPr>
          <w:sz w:val="24"/>
        </w:rPr>
        <w:t>应在用药教育中重点宣教</w:t>
      </w:r>
      <w:r>
        <w:rPr>
          <w:spacing w:val="-34"/>
          <w:sz w:val="24"/>
        </w:rPr>
        <w:t>，</w:t>
      </w:r>
      <w:r>
        <w:rPr>
          <w:sz w:val="24"/>
        </w:rPr>
        <w:t>告知服用他汀类药物应定期监测肝酶、肌酸激酶。个别患者还存在服用阿司匹林后出现肠胃不适，服用</w:t>
      </w:r>
      <w:r>
        <w:rPr>
          <w:spacing w:val="-59"/>
          <w:sz w:val="24"/>
        </w:rPr>
        <w:t> </w:t>
      </w:r>
      <w:r>
        <w:rPr>
          <w:sz w:val="24"/>
        </w:rPr>
        <w:t>B6</w:t>
      </w:r>
      <w:r>
        <w:rPr>
          <w:spacing w:val="-60"/>
          <w:sz w:val="24"/>
        </w:rPr>
        <w:t> </w:t>
      </w:r>
      <w:r>
        <w:rPr>
          <w:sz w:val="24"/>
        </w:rPr>
        <w:t>后出现幻觉等情况</w:t>
      </w:r>
      <w:r>
        <w:rPr>
          <w:spacing w:val="-75"/>
          <w:sz w:val="24"/>
        </w:rPr>
        <w:t>，</w:t>
      </w:r>
      <w:r>
        <w:rPr>
          <w:sz w:val="24"/>
        </w:rPr>
        <w:t>应及时与医师协商</w:t>
      </w:r>
      <w:r>
        <w:rPr>
          <w:spacing w:val="-75"/>
          <w:sz w:val="24"/>
        </w:rPr>
        <w:t>，</w:t>
      </w:r>
      <w:r>
        <w:rPr>
          <w:sz w:val="24"/>
        </w:rPr>
        <w:t>帮助患者调整用药方案</w:t>
      </w:r>
      <w:r>
        <w:rPr>
          <w:spacing w:val="-75"/>
          <w:sz w:val="24"/>
        </w:rPr>
        <w:t>。</w:t>
      </w:r>
      <w:r>
        <w:rPr>
          <w:sz w:val="24"/>
        </w:rPr>
        <w:t>对于不良反应教育组发生率高于对照组</w:t>
      </w:r>
      <w:r>
        <w:rPr>
          <w:spacing w:val="-16"/>
          <w:sz w:val="24"/>
        </w:rPr>
        <w:t>， </w:t>
      </w:r>
      <w:r>
        <w:rPr>
          <w:sz w:val="24"/>
        </w:rPr>
        <w:t>可能与教育组停药数少及对不良反应的识别率高有关</w:t>
      </w:r>
      <w:r>
        <w:rPr>
          <w:spacing w:val="-104"/>
          <w:sz w:val="24"/>
        </w:rPr>
        <w:t>。</w:t>
      </w:r>
      <w:r>
        <w:rPr>
          <w:sz w:val="24"/>
        </w:rPr>
        <w:t>研究显示担心不良反应的发生是患者自行停药的重要原因</w:t>
      </w:r>
      <w:r>
        <w:rPr>
          <w:spacing w:val="-34"/>
          <w:sz w:val="24"/>
        </w:rPr>
        <w:t>，</w:t>
      </w:r>
      <w:r>
        <w:rPr>
          <w:sz w:val="24"/>
        </w:rPr>
        <w:t>对患者进行用药教育</w:t>
      </w:r>
      <w:r>
        <w:rPr>
          <w:spacing w:val="-34"/>
          <w:sz w:val="24"/>
        </w:rPr>
        <w:t>，</w:t>
      </w:r>
      <w:r>
        <w:rPr>
          <w:sz w:val="24"/>
        </w:rPr>
        <w:t>让患者了解不良反应的避免措施</w:t>
      </w:r>
      <w:r>
        <w:rPr>
          <w:spacing w:val="-34"/>
          <w:sz w:val="24"/>
        </w:rPr>
        <w:t>，</w:t>
      </w:r>
      <w:r>
        <w:rPr>
          <w:sz w:val="24"/>
        </w:rPr>
        <w:t>能减少患者对不良反应的担忧。</w:t>
      </w:r>
    </w:p>
    <w:p>
      <w:pPr>
        <w:pStyle w:val="ListParagraph"/>
        <w:numPr>
          <w:ilvl w:val="1"/>
          <w:numId w:val="7"/>
        </w:numPr>
        <w:tabs>
          <w:tab w:pos="1198" w:val="left" w:leader="none"/>
        </w:tabs>
        <w:spacing w:line="297" w:lineRule="auto" w:before="0" w:after="0"/>
        <w:ind w:left="237" w:right="227" w:firstLine="480"/>
        <w:jc w:val="both"/>
        <w:rPr>
          <w:sz w:val="24"/>
        </w:rPr>
      </w:pPr>
      <w:r>
        <w:rPr>
          <w:spacing w:val="-7"/>
          <w:sz w:val="24"/>
        </w:rPr>
        <w:t>不足与缺憾 本研究在纳入患者时，未区分患者是否为新发脑卒中患者，未对患者</w:t>
      </w:r>
      <w:r>
        <w:rPr>
          <w:spacing w:val="-12"/>
          <w:sz w:val="24"/>
        </w:rPr>
        <w:t>学历，工作等影响认知情况方面进行评估，从而减少患者本身对用药认知方面的偏差造成的</w:t>
      </w:r>
      <w:r>
        <w:rPr>
          <w:spacing w:val="-11"/>
          <w:sz w:val="24"/>
        </w:rPr>
        <w:t>影响。在对患者随访过程中，发现患者经常在多家医疗机构就诊，对药师询问的部分监测指</w:t>
      </w:r>
      <w:r>
        <w:rPr>
          <w:sz w:val="24"/>
        </w:rPr>
        <w:t>标不能准确回答，也可能造成一定偏倚。</w:t>
      </w:r>
    </w:p>
    <w:p>
      <w:pPr>
        <w:pStyle w:val="BodyText"/>
        <w:spacing w:line="278" w:lineRule="auto"/>
        <w:ind w:right="230" w:firstLine="480"/>
        <w:jc w:val="both"/>
        <w:rPr>
          <w:rFonts w:ascii="Meiryo" w:eastAsia="Meiryo" w:hint="eastAsia"/>
          <w:b/>
        </w:rPr>
      </w:pPr>
      <w:r>
        <w:rPr>
          <w:spacing w:val="-7"/>
        </w:rPr>
        <w:t>影响脑卒中患者预后的因素是多方面的，临床药师通过用药教育可以帮助脑卒中患者正</w:t>
      </w:r>
      <w:r>
        <w:rPr>
          <w:spacing w:val="-9"/>
        </w:rPr>
        <w:t>确的服用药物，更好的控制血压、血糖和血脂水平，从而降低脑卒中的复发。临床药师对脑</w:t>
      </w:r>
      <w:r>
        <w:rPr/>
        <w:t>卒中患者的用药教育对脑卒中二级预防具有积极意义。</w:t>
      </w:r>
      <w:r>
        <w:rPr>
          <w:rFonts w:ascii="Meiryo" w:eastAsia="Meiryo" w:hint="eastAsia"/>
          <w:b/>
          <w:color w:val="0033CC"/>
        </w:rPr>
        <w:t>[返回目次]</w:t>
      </w:r>
    </w:p>
    <w:p>
      <w:pPr>
        <w:spacing w:after="0" w:line="278" w:lineRule="auto"/>
        <w:jc w:val="both"/>
        <w:rPr>
          <w:rFonts w:ascii="Meiryo" w:eastAsia="Meiryo" w:hint="eastAsia"/>
        </w:rPr>
        <w:sectPr>
          <w:pgSz w:w="11910" w:h="16850"/>
          <w:pgMar w:header="906" w:footer="607" w:top="1100" w:bottom="800" w:left="1040" w:right="900"/>
        </w:sectPr>
      </w:pPr>
    </w:p>
    <w:p>
      <w:pPr>
        <w:pStyle w:val="Heading2"/>
        <w:spacing w:before="13"/>
      </w:pPr>
      <w:bookmarkStart w:name="_TOC_250015" w:id="9"/>
      <w:bookmarkEnd w:id="9"/>
      <w:r>
        <w:rPr/>
        <w:t>【医生谈药】</w:t>
      </w:r>
    </w:p>
    <w:p>
      <w:pPr>
        <w:pStyle w:val="BodyText"/>
        <w:spacing w:before="12"/>
        <w:ind w:left="0"/>
        <w:rPr>
          <w:b/>
          <w:sz w:val="22"/>
        </w:rPr>
      </w:pPr>
    </w:p>
    <w:p>
      <w:pPr>
        <w:pStyle w:val="Heading2"/>
        <w:ind w:left="2"/>
        <w:jc w:val="center"/>
      </w:pPr>
      <w:bookmarkStart w:name="_TOC_250014" w:id="10"/>
      <w:bookmarkEnd w:id="10"/>
      <w:r>
        <w:rPr/>
        <w:t>汇总分析证实依洛尤单抗的安全性与耐受性</w:t>
      </w:r>
    </w:p>
    <w:p>
      <w:pPr>
        <w:pStyle w:val="Heading3"/>
        <w:spacing w:before="145"/>
        <w:ind w:left="0" w:right="228"/>
        <w:jc w:val="right"/>
        <w:rPr>
          <w:rFonts w:ascii="楷体" w:eastAsia="楷体" w:hint="eastAsia"/>
        </w:rPr>
      </w:pPr>
      <w:r>
        <w:rPr>
          <w:rFonts w:ascii="楷体" w:eastAsia="楷体" w:hint="eastAsia"/>
          <w:color w:val="FF0000"/>
          <w:w w:val="95"/>
        </w:rPr>
        <w:t>（来源：中国医学论坛报）</w:t>
      </w:r>
    </w:p>
    <w:p>
      <w:pPr>
        <w:pStyle w:val="BodyText"/>
        <w:spacing w:line="297" w:lineRule="auto" w:before="96"/>
        <w:ind w:right="108" w:firstLine="480"/>
      </w:pPr>
      <w:r>
        <w:rPr/>
        <w:t>血脂管理是动脉粥样硬化性心血管疾病（ASCVD）防治中尤为重要的策略，针对这一领域未满足的临床需求，持续的药物研发创新从未停止。2015</w:t>
      </w:r>
      <w:r>
        <w:rPr>
          <w:spacing w:val="-8"/>
        </w:rPr>
        <w:t> 年，前蛋白转换酶枯草杆菌蛋白酶/kexin9</w:t>
      </w:r>
      <w:r>
        <w:rPr>
          <w:spacing w:val="-31"/>
        </w:rPr>
        <w:t> 型</w:t>
      </w:r>
      <w:r>
        <w:rPr/>
        <w:t>（PCSK9）抑制剂在全球重磅上市，带领着血脂管理进入了一个全新时代。</w:t>
      </w:r>
      <w:r>
        <w:rPr>
          <w:spacing w:val="-4"/>
        </w:rPr>
        <w:t>依洛尤单抗是我国当前唯一获批的 </w:t>
      </w:r>
      <w:r>
        <w:rPr/>
        <w:t>PCSK9</w:t>
      </w:r>
      <w:r>
        <w:rPr>
          <w:spacing w:val="-15"/>
        </w:rPr>
        <w:t> 抑制剂，要更好地用好这一药物，积累更多的疗效</w:t>
      </w:r>
      <w:r>
        <w:rPr>
          <w:spacing w:val="-23"/>
        </w:rPr>
        <w:t>与安全性数据是必需的。</w:t>
      </w:r>
      <w:r>
        <w:rPr/>
        <w:t>2017</w:t>
      </w:r>
      <w:r>
        <w:rPr>
          <w:spacing w:val="-39"/>
        </w:rPr>
        <w:t> 年，发表在《循环》杂志</w:t>
      </w:r>
      <w:r>
        <w:rPr/>
        <w:t>（Circulation.</w:t>
      </w:r>
      <w:r>
        <w:rPr>
          <w:spacing w:val="-64"/>
        </w:rPr>
        <w:t> </w:t>
      </w:r>
      <w:r>
        <w:rPr/>
        <w:t>2017;135:1819–1831） 的一项汇总分析收集了依洛尤单抗与安慰剂或对照药对比的Ⅱ/Ⅲ期临床研究及其开放标签延伸（OLE）</w:t>
      </w:r>
      <w:r>
        <w:rPr>
          <w:spacing w:val="-16"/>
        </w:rPr>
        <w:t>研究第 </w:t>
      </w:r>
      <w:r>
        <w:rPr/>
        <w:t>1</w:t>
      </w:r>
      <w:r>
        <w:rPr>
          <w:spacing w:val="-8"/>
        </w:rPr>
        <w:t> 年中患者不良事件相关的数据，对依洛尤单抗的安全性进行了整体评估，为临床用药带来了有益提示。</w:t>
      </w:r>
    </w:p>
    <w:p>
      <w:pPr>
        <w:pStyle w:val="Heading3"/>
        <w:spacing w:line="299" w:lineRule="exact"/>
      </w:pPr>
      <w:r>
        <w:rPr/>
        <w:t>研究简介:</w:t>
      </w:r>
    </w:p>
    <w:p>
      <w:pPr>
        <w:pStyle w:val="BodyText"/>
        <w:spacing w:before="72"/>
        <w:ind w:left="717"/>
      </w:pPr>
      <w:r>
        <w:rPr/>
        <w:t>该项汇总分析共纳入 12 项Ⅱ/Ⅲ期亲本研究（parent studies）中 6026 例患者（依洛</w:t>
      </w:r>
    </w:p>
    <w:p>
      <w:pPr>
        <w:pStyle w:val="BodyText"/>
        <w:spacing w:line="297" w:lineRule="auto" w:before="74"/>
        <w:ind w:right="227"/>
        <w:jc w:val="both"/>
      </w:pPr>
      <w:r>
        <w:rPr>
          <w:spacing w:val="-7"/>
        </w:rPr>
        <w:t>尤单抗平均暴露时间 </w:t>
      </w:r>
      <w:r>
        <w:rPr/>
        <w:t>2.8</w:t>
      </w:r>
      <w:r>
        <w:rPr>
          <w:spacing w:val="-21"/>
        </w:rPr>
        <w:t> 个月</w:t>
      </w:r>
      <w:r>
        <w:rPr>
          <w:spacing w:val="-10"/>
        </w:rPr>
        <w:t>）、</w:t>
      </w:r>
      <w:r>
        <w:rPr/>
        <w:t>2</w:t>
      </w:r>
      <w:r>
        <w:rPr>
          <w:spacing w:val="-10"/>
        </w:rPr>
        <w:t> 项开放标签延伸</w:t>
      </w:r>
      <w:r>
        <w:rPr/>
        <w:t>（OLE）</w:t>
      </w:r>
      <w:r>
        <w:rPr>
          <w:spacing w:val="-16"/>
        </w:rPr>
        <w:t>研究中 </w:t>
      </w:r>
      <w:r>
        <w:rPr/>
        <w:t>4465</w:t>
      </w:r>
      <w:r>
        <w:rPr>
          <w:spacing w:val="-19"/>
        </w:rPr>
        <w:t> 例患者</w:t>
      </w:r>
      <w:r>
        <w:rPr/>
        <w:t>（</w:t>
      </w:r>
      <w:r>
        <w:rPr>
          <w:spacing w:val="-3"/>
        </w:rPr>
        <w:t>平均持续</w:t>
      </w:r>
      <w:r>
        <w:rPr>
          <w:spacing w:val="-13"/>
        </w:rPr>
        <w:t>随访时间 </w:t>
      </w:r>
      <w:r>
        <w:rPr/>
        <w:t>11.1</w:t>
      </w:r>
      <w:r>
        <w:rPr>
          <w:spacing w:val="-20"/>
        </w:rPr>
        <w:t> 个月</w:t>
      </w:r>
      <w:r>
        <w:rPr/>
        <w:t>）的不良事件（AE）相关数据（</w:t>
      </w:r>
      <w:r>
        <w:rPr>
          <w:spacing w:val="-30"/>
        </w:rPr>
        <w:t>图 </w:t>
      </w:r>
      <w:r>
        <w:rPr/>
        <w:t>1），评估了这些患者应用依洛尤单</w:t>
      </w:r>
      <w:r>
        <w:rPr>
          <w:spacing w:val="-10"/>
        </w:rPr>
        <w:t>抗的总体不良反应、严重不良反应发生率，实验室检查指标及研究特别关注的不良事件发生</w:t>
      </w:r>
      <w:r>
        <w:rPr/>
        <w:t>率。</w:t>
      </w:r>
    </w:p>
    <w:p>
      <w:pPr>
        <w:pStyle w:val="BodyText"/>
        <w:spacing w:line="302" w:lineRule="exact"/>
        <w:ind w:left="717"/>
        <w:rPr>
          <w:rFonts w:ascii="楷体" w:eastAsia="楷体" w:hint="eastAsia"/>
        </w:rPr>
      </w:pPr>
      <w:r>
        <w:rPr/>
        <w:pict>
          <v:group style="position:absolute;margin-left:133.100006pt;margin-top:16.479986pt;width:416.6pt;height:388.05pt;mso-position-horizontal-relative:page;mso-position-vertical-relative:paragraph;z-index:251663360" coordorigin="2662,330" coordsize="8332,7761">
            <v:shape style="position:absolute;left:4345;top:329;width:6649;height:3418" type="#_x0000_t75" stroked="false">
              <v:imagedata r:id="rId24" o:title=""/>
            </v:shape>
            <v:shape style="position:absolute;left:2662;top:3806;width:7950;height:4285" type="#_x0000_t75" stroked="false">
              <v:imagedata r:id="rId25" o:title=""/>
            </v:shape>
            <w10:wrap type="none"/>
          </v:group>
        </w:pict>
      </w:r>
      <w:r>
        <w:rPr>
          <w:rFonts w:ascii="楷体" w:eastAsia="楷体" w:hint="eastAsia"/>
        </w:rPr>
        <w:t>图 1 分析所纳入的临床研究</w:t>
      </w:r>
    </w:p>
    <w:p>
      <w:pPr>
        <w:spacing w:after="0" w:line="302" w:lineRule="exact"/>
        <w:rPr>
          <w:rFonts w:ascii="楷体" w:eastAsia="楷体" w:hint="eastAsia"/>
        </w:rPr>
        <w:sectPr>
          <w:pgSz w:w="11910" w:h="16850"/>
          <w:pgMar w:header="906" w:footer="607" w:top="1100" w:bottom="800" w:left="1040" w:right="900"/>
        </w:sectPr>
      </w:pPr>
    </w:p>
    <w:p>
      <w:pPr>
        <w:pStyle w:val="BodyText"/>
        <w:spacing w:before="6"/>
        <w:ind w:left="0"/>
        <w:rPr>
          <w:rFonts w:ascii="楷体"/>
          <w:sz w:val="29"/>
        </w:rPr>
      </w:pPr>
    </w:p>
    <w:p>
      <w:pPr>
        <w:pStyle w:val="BodyText"/>
        <w:spacing w:line="297" w:lineRule="auto" w:before="67"/>
        <w:ind w:right="226" w:firstLine="480"/>
      </w:pPr>
      <w:r>
        <w:rPr>
          <w:spacing w:val="-7"/>
        </w:rPr>
        <w:t>分析结果显示，在亲本研究中，依洛尤单抗组和对照组</w:t>
      </w:r>
      <w:r>
        <w:rPr/>
        <w:t>（安慰剂或对照药</w:t>
      </w:r>
      <w:r>
        <w:rPr>
          <w:spacing w:val="-27"/>
        </w:rPr>
        <w:t>）</w:t>
      </w:r>
      <w:r>
        <w:rPr/>
        <w:t>的总体不良反应发生率相似（51.1%</w:t>
      </w:r>
      <w:r>
        <w:rPr>
          <w:spacing w:val="-31"/>
        </w:rPr>
        <w:t>对 </w:t>
      </w:r>
      <w:r>
        <w:rPr/>
        <w:t>49.6%）；</w:t>
      </w:r>
      <w:r>
        <w:rPr>
          <w:spacing w:val="-30"/>
        </w:rPr>
        <w:t>在 </w:t>
      </w:r>
      <w:r>
        <w:rPr/>
        <w:t>OLE</w:t>
      </w:r>
      <w:r>
        <w:rPr>
          <w:spacing w:val="-24"/>
        </w:rPr>
        <w:t> 研究中 </w:t>
      </w:r>
      <w:r>
        <w:rPr/>
        <w:t>1</w:t>
      </w:r>
      <w:r>
        <w:rPr>
          <w:spacing w:val="-8"/>
        </w:rPr>
        <w:t> 年时，两组的总体不良反应发生率也相似（70</w:t>
      </w:r>
      <w:r>
        <w:rPr>
          <w:spacing w:val="-26"/>
        </w:rPr>
        <w:t>%对 </w:t>
      </w:r>
      <w:r>
        <w:rPr/>
        <w:t>66%）。大部分的不良反应均为轻中度。在严重不良反应方面，两组的发生率</w:t>
      </w:r>
      <w:r>
        <w:rPr>
          <w:spacing w:val="-14"/>
        </w:rPr>
        <w:t>也相似，亲本研究和 </w:t>
      </w:r>
      <w:r>
        <w:rPr/>
        <w:t>OLE</w:t>
      </w:r>
      <w:r>
        <w:rPr>
          <w:spacing w:val="-12"/>
        </w:rPr>
        <w:t> 研究阶段对应的数据分别为 </w:t>
      </w:r>
      <w:r>
        <w:rPr/>
        <w:t>2.8%</w:t>
      </w:r>
      <w:r>
        <w:rPr>
          <w:spacing w:val="-30"/>
        </w:rPr>
        <w:t>对 </w:t>
      </w:r>
      <w:r>
        <w:rPr/>
        <w:t>2.1%</w:t>
      </w:r>
      <w:r>
        <w:rPr>
          <w:spacing w:val="-30"/>
        </w:rPr>
        <w:t>和 </w:t>
      </w:r>
      <w:r>
        <w:rPr/>
        <w:t>7.8%</w:t>
      </w:r>
      <w:r>
        <w:rPr>
          <w:spacing w:val="-30"/>
        </w:rPr>
        <w:t>对 </w:t>
      </w:r>
      <w:r>
        <w:rPr/>
        <w:t>7.8%</w:t>
      </w:r>
      <w:r>
        <w:rPr>
          <w:spacing w:val="-14"/>
        </w:rPr>
        <w:t>。在亲本研</w:t>
      </w:r>
      <w:r>
        <w:rPr>
          <w:spacing w:val="-2"/>
        </w:rPr>
        <w:t>究中，因不良反应导致试验用药停药的患者比例在依洛尤单抗组为 </w:t>
      </w:r>
      <w:r>
        <w:rPr/>
        <w:t>1.9%，</w:t>
      </w:r>
      <w:r>
        <w:rPr>
          <w:spacing w:val="-12"/>
        </w:rPr>
        <w:t>对照组为 </w:t>
      </w:r>
      <w:r>
        <w:rPr/>
        <w:t>2.3%； </w:t>
      </w:r>
      <w:r>
        <w:rPr>
          <w:spacing w:val="-4"/>
        </w:rPr>
        <w:t>致死性不良反应发生率在两组分别为 </w:t>
      </w:r>
      <w:r>
        <w:rPr/>
        <w:t>0.08%</w:t>
      </w:r>
      <w:r>
        <w:rPr>
          <w:spacing w:val="-30"/>
        </w:rPr>
        <w:t>和 </w:t>
      </w:r>
      <w:r>
        <w:rPr/>
        <w:t>0.05%；OLE</w:t>
      </w:r>
      <w:r>
        <w:rPr>
          <w:spacing w:val="-8"/>
        </w:rPr>
        <w:t> 研究阶段因不良反应停用依洛尤</w:t>
      </w:r>
      <w:r>
        <w:rPr>
          <w:spacing w:val="-16"/>
        </w:rPr>
        <w:t>单抗的患者占 </w:t>
      </w:r>
      <w:r>
        <w:rPr/>
        <w:t>2.5%。</w:t>
      </w:r>
    </w:p>
    <w:p>
      <w:pPr>
        <w:pStyle w:val="BodyText"/>
        <w:spacing w:line="297" w:lineRule="auto"/>
        <w:ind w:right="230" w:firstLine="480"/>
      </w:pPr>
      <w:r>
        <w:rPr>
          <w:spacing w:val="-9"/>
        </w:rPr>
        <w:t>在两组患者中，实验室检查指标如血清转氨酶、胆红素、肌酸肌酶升高并不常见，且发</w:t>
      </w:r>
      <w:r>
        <w:rPr/>
        <w:t>生率相似。同时依洛尤单抗组肌肉相关不良反应发生率与对照组同样无明显差异。</w:t>
      </w:r>
    </w:p>
    <w:p>
      <w:pPr>
        <w:pStyle w:val="BodyText"/>
        <w:spacing w:line="297" w:lineRule="auto"/>
        <w:ind w:right="152" w:firstLine="480"/>
        <w:jc w:val="both"/>
      </w:pPr>
      <w:r>
        <w:rPr>
          <w:spacing w:val="-7"/>
        </w:rPr>
        <w:t>在双盲设计的亲本研究中，两组患者神经认知相关不良反应少见，依洛尤单抗组和对照</w:t>
      </w:r>
      <w:r>
        <w:rPr>
          <w:spacing w:val="-14"/>
        </w:rPr>
        <w:t>组发生率分别为 </w:t>
      </w:r>
      <w:r>
        <w:rPr>
          <w:spacing w:val="-8"/>
        </w:rPr>
        <w:t>0.1%（5</w:t>
      </w:r>
      <w:r>
        <w:rPr>
          <w:spacing w:val="-30"/>
        </w:rPr>
        <w:t> 件</w:t>
      </w:r>
      <w:r>
        <w:rPr>
          <w:spacing w:val="-44"/>
        </w:rPr>
        <w:t>）</w:t>
      </w:r>
      <w:r>
        <w:rPr>
          <w:spacing w:val="-29"/>
        </w:rPr>
        <w:t>和 </w:t>
      </w:r>
      <w:r>
        <w:rPr>
          <w:spacing w:val="-8"/>
        </w:rPr>
        <w:t>0.3%（6</w:t>
      </w:r>
      <w:r>
        <w:rPr>
          <w:spacing w:val="-30"/>
        </w:rPr>
        <w:t> 件</w:t>
      </w:r>
      <w:r>
        <w:rPr>
          <w:spacing w:val="-44"/>
        </w:rPr>
        <w:t>）</w:t>
      </w:r>
      <w:r>
        <w:rPr>
          <w:spacing w:val="-34"/>
        </w:rPr>
        <w:t>。在 </w:t>
      </w:r>
      <w:r>
        <w:rPr/>
        <w:t>OLE</w:t>
      </w:r>
      <w:r>
        <w:rPr>
          <w:spacing w:val="-15"/>
        </w:rPr>
        <w:t> 研究中，依洛尤单抗组 </w:t>
      </w:r>
      <w:r>
        <w:rPr/>
        <w:t>27</w:t>
      </w:r>
      <w:r>
        <w:rPr>
          <w:spacing w:val="-52"/>
        </w:rPr>
        <w:t> 例</w:t>
      </w:r>
      <w:r>
        <w:rPr>
          <w:spacing w:val="-8"/>
        </w:rPr>
        <w:t>（0.9%）</w:t>
      </w:r>
      <w:r>
        <w:rPr>
          <w:spacing w:val="-44"/>
        </w:rPr>
        <w:t>、</w:t>
      </w:r>
      <w:r>
        <w:rPr>
          <w:spacing w:val="-16"/>
        </w:rPr>
        <w:t>对照组 </w:t>
      </w:r>
      <w:r>
        <w:rPr/>
        <w:t>5</w:t>
      </w:r>
      <w:r>
        <w:rPr>
          <w:spacing w:val="-30"/>
        </w:rPr>
        <w:t> 例</w:t>
      </w:r>
      <w:r>
        <w:rPr/>
        <w:t>（0.3%）患者报告了神经认知相关不良事件。</w:t>
      </w:r>
    </w:p>
    <w:p>
      <w:pPr>
        <w:pStyle w:val="BodyText"/>
        <w:spacing w:line="304" w:lineRule="exact"/>
        <w:ind w:left="717"/>
      </w:pPr>
      <w:r>
        <w:rPr/>
        <w:t>此外，研究中未检测到依洛尤单抗的中和性抗体。</w:t>
      </w:r>
    </w:p>
    <w:p>
      <w:pPr>
        <w:pStyle w:val="BodyText"/>
        <w:spacing w:before="60"/>
        <w:ind w:left="717"/>
      </w:pPr>
      <w:r>
        <w:rPr/>
        <w:t>在上述分析结果基础上，研究还进一步基于患者治疗后的所达到的低密度脂蛋白胆固醇</w:t>
      </w:r>
    </w:p>
    <w:p>
      <w:pPr>
        <w:pStyle w:val="BodyText"/>
        <w:spacing w:before="74"/>
      </w:pPr>
      <w:r>
        <w:rPr/>
        <w:t>（LDL-C）最低水平对依洛尤单抗的安全性进行了评估。</w:t>
      </w:r>
    </w:p>
    <w:p>
      <w:pPr>
        <w:pStyle w:val="BodyText"/>
        <w:spacing w:line="297" w:lineRule="auto" w:before="72"/>
        <w:ind w:right="226" w:firstLine="480"/>
        <w:jc w:val="both"/>
      </w:pPr>
      <w:r>
        <w:rPr>
          <w:spacing w:val="-13"/>
        </w:rPr>
        <w:t>分析结果显示，依洛尤单抗单药治疗或与其他背景降脂治疗联合将患者的 </w:t>
      </w:r>
      <w:r>
        <w:rPr/>
        <w:t>LDL-C</w:t>
      </w:r>
      <w:r>
        <w:rPr>
          <w:spacing w:val="-19"/>
        </w:rPr>
        <w:t> 水平降</w:t>
      </w:r>
      <w:r>
        <w:rPr>
          <w:spacing w:val="-5"/>
        </w:rPr>
        <w:t>到极低水平，不会增加患者的不良反应发生风险。在亲本研究中，血脂水平降至</w:t>
      </w:r>
      <w:r>
        <w:rPr/>
        <w:t>＜25</w:t>
      </w:r>
      <w:r>
        <w:rPr>
          <w:spacing w:val="-58"/>
        </w:rPr>
        <w:t> </w:t>
      </w:r>
      <w:r>
        <w:rPr>
          <w:spacing w:val="-3"/>
        </w:rPr>
        <w:t>mg/dl </w:t>
      </w:r>
      <w:r>
        <w:rPr>
          <w:spacing w:val="-39"/>
        </w:rPr>
        <w:t>和 </w:t>
      </w:r>
      <w:r>
        <w:rPr/>
        <w:t>25</w:t>
      </w:r>
      <w:r>
        <w:rPr>
          <w:spacing w:val="-1"/>
        </w:rPr>
        <w:t>～</w:t>
      </w:r>
      <w:r>
        <w:rPr/>
        <w:t>40</w:t>
      </w:r>
      <w:r>
        <w:rPr>
          <w:spacing w:val="-60"/>
        </w:rPr>
        <w:t> </w:t>
      </w:r>
      <w:r>
        <w:rPr/>
        <w:t>mg/dl</w:t>
      </w:r>
      <w:r>
        <w:rPr>
          <w:spacing w:val="-14"/>
        </w:rPr>
        <w:t> 的患者不良反应发生率分别为 </w:t>
      </w:r>
      <w:r>
        <w:rPr/>
        <w:t>51.4%</w:t>
      </w:r>
      <w:r>
        <w:rPr>
          <w:spacing w:val="-39"/>
        </w:rPr>
        <w:t>和 </w:t>
      </w:r>
      <w:r>
        <w:rPr/>
        <w:t>50.4%</w:t>
      </w:r>
      <w:r>
        <w:rPr>
          <w:spacing w:val="-40"/>
        </w:rPr>
        <w:t>，与最低 </w:t>
      </w:r>
      <w:r>
        <w:rPr/>
        <w:t>LDL-C</w:t>
      </w:r>
      <w:r>
        <w:rPr>
          <w:spacing w:val="-26"/>
        </w:rPr>
        <w:t> 水平</w:t>
      </w:r>
      <w:r>
        <w:rPr/>
        <w:t>≥40</w:t>
      </w:r>
      <w:r>
        <w:rPr>
          <w:spacing w:val="-60"/>
        </w:rPr>
        <w:t> </w:t>
      </w:r>
      <w:r>
        <w:rPr>
          <w:spacing w:val="-3"/>
        </w:rPr>
        <w:t>mg/dl</w:t>
      </w:r>
      <w:r>
        <w:rPr/>
        <w:t>的患者（52.1%）</w:t>
      </w:r>
      <w:r>
        <w:rPr>
          <w:spacing w:val="-13"/>
        </w:rPr>
        <w:t>相似，在 </w:t>
      </w:r>
      <w:r>
        <w:rPr/>
        <w:t>OLE</w:t>
      </w:r>
      <w:r>
        <w:rPr>
          <w:spacing w:val="-12"/>
        </w:rPr>
        <w:t> 研究中同样如此，三组患者分别为 </w:t>
      </w:r>
      <w:r>
        <w:rPr/>
        <w:t>70.2%、69.2%</w:t>
      </w:r>
      <w:r>
        <w:rPr>
          <w:spacing w:val="-30"/>
        </w:rPr>
        <w:t>和 </w:t>
      </w:r>
      <w:r>
        <w:rPr/>
        <w:t>71.1%。</w:t>
      </w:r>
      <w:r>
        <w:rPr>
          <w:spacing w:val="-3"/>
        </w:rPr>
        <w:t>在神经认知、肌肉相关不良反应及实验室指标方面，也未发现将 </w:t>
      </w:r>
      <w:r>
        <w:rPr/>
        <w:t>LDL-C</w:t>
      </w:r>
      <w:r>
        <w:rPr>
          <w:spacing w:val="-24"/>
        </w:rPr>
        <w:t> 降至较 </w:t>
      </w:r>
      <w:r>
        <w:rPr/>
        <w:t>40 mg/dl</w:t>
      </w:r>
      <w:r>
        <w:rPr>
          <w:spacing w:val="-30"/>
        </w:rPr>
        <w:t> 更低的水平会增加上述不良反应的发生率。</w:t>
      </w:r>
    </w:p>
    <w:p>
      <w:pPr>
        <w:pStyle w:val="Heading3"/>
        <w:spacing w:line="300" w:lineRule="exact"/>
      </w:pPr>
      <w:r>
        <w:rPr/>
        <w:t>研究解读</w:t>
      </w:r>
    </w:p>
    <w:p>
      <w:pPr>
        <w:spacing w:before="72"/>
        <w:ind w:left="717" w:right="0" w:firstLine="0"/>
        <w:jc w:val="left"/>
        <w:rPr>
          <w:b/>
          <w:sz w:val="24"/>
        </w:rPr>
      </w:pPr>
      <w:r>
        <w:rPr>
          <w:b/>
          <w:sz w:val="24"/>
        </w:rPr>
        <w:t>PROFICIO 项目强力证实依洛尤单抗的降 LDL-C 疗效</w:t>
      </w:r>
    </w:p>
    <w:p>
      <w:pPr>
        <w:pStyle w:val="BodyText"/>
        <w:spacing w:line="297" w:lineRule="auto" w:before="74"/>
        <w:ind w:right="228" w:firstLine="480"/>
      </w:pPr>
      <w:r>
        <w:rPr>
          <w:spacing w:val="-4"/>
        </w:rPr>
        <w:t>依洛尤单抗是目前唯一在我国上市的 </w:t>
      </w:r>
      <w:r>
        <w:rPr/>
        <w:t>PCSK9</w:t>
      </w:r>
      <w:r>
        <w:rPr>
          <w:spacing w:val="-15"/>
        </w:rPr>
        <w:t> 抑制剂，这一创新药物继去年在我国获批用</w:t>
      </w:r>
      <w:r>
        <w:rPr>
          <w:spacing w:val="-12"/>
        </w:rPr>
        <w:t>于成人或 </w:t>
      </w:r>
      <w:r>
        <w:rPr/>
        <w:t>12</w:t>
      </w:r>
      <w:r>
        <w:rPr>
          <w:spacing w:val="-11"/>
        </w:rPr>
        <w:t> 岁以上青少年纯合子家族性高胆固醇血症</w:t>
      </w:r>
      <w:r>
        <w:rPr>
          <w:spacing w:val="-10"/>
        </w:rPr>
        <w:t>（HoFH）</w:t>
      </w:r>
      <w:r>
        <w:rPr>
          <w:spacing w:val="-17"/>
        </w:rPr>
        <w:t>患者后，今年 </w:t>
      </w:r>
      <w:r>
        <w:rPr/>
        <w:t>1</w:t>
      </w:r>
      <w:r>
        <w:rPr>
          <w:spacing w:val="-24"/>
        </w:rPr>
        <w:t> 月份其 </w:t>
      </w:r>
      <w:r>
        <w:rPr>
          <w:spacing w:val="-3"/>
        </w:rPr>
        <w:t>ASCVD </w:t>
      </w:r>
      <w:r>
        <w:rPr/>
        <w:t>二级预防适应证也获得批准。依洛尤单抗在全球其他国家及我国的获批是因其强效的降LDL-C</w:t>
      </w:r>
      <w:r>
        <w:rPr>
          <w:spacing w:val="-8"/>
        </w:rPr>
        <w:t> 作用，这已得到了充足的循证证据支持。</w:t>
      </w:r>
    </w:p>
    <w:p>
      <w:pPr>
        <w:pStyle w:val="BodyText"/>
        <w:spacing w:line="297" w:lineRule="auto"/>
        <w:ind w:right="229" w:firstLine="480"/>
      </w:pPr>
      <w:r>
        <w:rPr/>
        <w:t>截至目前，依洛尤单抗已在全球开展了多项Ⅱ/Ⅲ</w:t>
      </w:r>
      <w:r>
        <w:rPr>
          <w:spacing w:val="-8"/>
        </w:rPr>
        <w:t>临床研究，包括 </w:t>
      </w:r>
      <w:r>
        <w:rPr/>
        <w:t>MENDEL、YUKAWA、LAPLACE-2、GUAUSS</w:t>
      </w:r>
      <w:r>
        <w:rPr>
          <w:spacing w:val="-11"/>
        </w:rPr>
        <w:t> 研究等等，这些研究统称为“在不同患者人群中抑制 </w:t>
      </w:r>
      <w:r>
        <w:rPr/>
        <w:t>PCSK9</w:t>
      </w:r>
      <w:r>
        <w:rPr>
          <w:spacing w:val="-15"/>
        </w:rPr>
        <w:t> 以降低LDL-C</w:t>
      </w:r>
      <w:r>
        <w:rPr>
          <w:spacing w:val="-8"/>
        </w:rPr>
        <w:t> 及改善心血管结局项目</w:t>
      </w:r>
      <w:r>
        <w:rPr/>
        <w:t>（(Program to Reduce LDL-C and Cardiovascular Outcomes Following Inhibition of PCSK9 In Different Populations，PROFICIO</w:t>
      </w:r>
      <w:r>
        <w:rPr>
          <w:spacing w:val="-20"/>
        </w:rPr>
        <w:t> 项目</w:t>
      </w:r>
      <w:r>
        <w:rPr/>
        <w:t>）”，该项目纳入的患者人群广泛，包括家族遗传性高胆固醇血症或其他高危患者，以及他汀不耐受</w:t>
      </w:r>
      <w:r>
        <w:rPr>
          <w:spacing w:val="-8"/>
        </w:rPr>
        <w:t>的患者等。研究表明，在广泛的患者人群中，与安慰剂或依折麦布相比，依洛尤单抗可显著</w:t>
      </w:r>
      <w:r>
        <w:rPr>
          <w:spacing w:val="-21"/>
        </w:rPr>
        <w:t>降低 </w:t>
      </w:r>
      <w:r>
        <w:rPr/>
        <w:t>LDL-C</w:t>
      </w:r>
      <w:r>
        <w:rPr>
          <w:spacing w:val="-8"/>
        </w:rPr>
        <w:t> 水平，为患者带来显著的临床获益。</w:t>
      </w:r>
    </w:p>
    <w:p>
      <w:pPr>
        <w:pStyle w:val="Heading3"/>
        <w:spacing w:line="298" w:lineRule="exact"/>
      </w:pPr>
      <w:r>
        <w:rPr/>
        <w:t>汇总分析表明依洛尤单抗良好的安全性与耐受性</w:t>
      </w:r>
    </w:p>
    <w:p>
      <w:pPr>
        <w:spacing w:after="0" w:line="298" w:lineRule="exact"/>
        <w:sectPr>
          <w:pgSz w:w="11910" w:h="16850"/>
          <w:pgMar w:header="906" w:footer="607" w:top="1100" w:bottom="800" w:left="1040" w:right="900"/>
        </w:sectPr>
      </w:pPr>
    </w:p>
    <w:p>
      <w:pPr>
        <w:pStyle w:val="BodyText"/>
        <w:spacing w:line="295" w:lineRule="auto" w:before="65"/>
        <w:ind w:right="229" w:firstLine="480"/>
        <w:jc w:val="both"/>
      </w:pPr>
      <w:r>
        <w:rPr>
          <w:spacing w:val="-31"/>
        </w:rPr>
        <w:t>在 </w:t>
      </w:r>
      <w:r>
        <w:rPr/>
        <w:t>PROFICIO</w:t>
      </w:r>
      <w:r>
        <w:rPr>
          <w:spacing w:val="-8"/>
        </w:rPr>
        <w:t> 项目的大部分临床研究中，试验方案均为在他汀基础上加用依洛尤单抗， </w:t>
      </w:r>
      <w:r>
        <w:rPr>
          <w:spacing w:val="-14"/>
        </w:rPr>
        <w:t>无论患者是否还使用了其他降脂治疗。由此可见，研究人群均为高危患者，同时合并应用多</w:t>
      </w:r>
      <w:r>
        <w:rPr/>
        <w:t>种药物，那在这样的人群中依洛尤单抗的安全性与耐受性至关重要。</w:t>
      </w:r>
    </w:p>
    <w:p>
      <w:pPr>
        <w:pStyle w:val="BodyText"/>
        <w:spacing w:line="295" w:lineRule="auto" w:before="5"/>
        <w:ind w:right="246" w:firstLine="480"/>
        <w:jc w:val="both"/>
      </w:pPr>
      <w:r>
        <w:rPr>
          <w:spacing w:val="-5"/>
        </w:rPr>
        <w:t>该项汇总分析也同样来自 </w:t>
      </w:r>
      <w:r>
        <w:rPr/>
        <w:t>PROFICIO</w:t>
      </w:r>
      <w:r>
        <w:rPr>
          <w:spacing w:val="-9"/>
        </w:rPr>
        <w:t> 项目，其结果表明依洛尤单抗具有良好的效益风险</w:t>
      </w:r>
      <w:r>
        <w:rPr/>
        <w:t>比，其在安全性方面的表现有以下几个方面值得关注：</w:t>
      </w:r>
    </w:p>
    <w:p>
      <w:pPr>
        <w:pStyle w:val="ListParagraph"/>
        <w:numPr>
          <w:ilvl w:val="0"/>
          <w:numId w:val="8"/>
        </w:numPr>
        <w:tabs>
          <w:tab w:pos="959" w:val="left" w:leader="none"/>
        </w:tabs>
        <w:spacing w:line="297" w:lineRule="auto" w:before="2" w:after="0"/>
        <w:ind w:left="237" w:right="110" w:firstLine="480"/>
        <w:jc w:val="left"/>
        <w:rPr>
          <w:sz w:val="24"/>
        </w:rPr>
      </w:pPr>
      <w:r>
        <w:rPr>
          <w:spacing w:val="-11"/>
          <w:sz w:val="24"/>
        </w:rPr>
        <w:t>不增加肌内相关不良反应发生风险。研究评估了依洛尤单抗对肌炎、肌肉疲劳、肌痛、</w:t>
      </w:r>
      <w:r>
        <w:rPr>
          <w:spacing w:val="-4"/>
          <w:sz w:val="24"/>
        </w:rPr>
        <w:t>血清肌酸激酶水平升高以及其他肌肉相关不良事件风险的影响。结果显示，即便是研究纳入</w:t>
      </w:r>
      <w:r>
        <w:rPr>
          <w:spacing w:val="-9"/>
          <w:sz w:val="24"/>
        </w:rPr>
        <w:t>了因发生肌萎缩而不能耐受他汀治疗的患者，研究也未观察到依洛尤单抗治疗组患者肌肉相关风险的增加。</w:t>
      </w:r>
    </w:p>
    <w:p>
      <w:pPr>
        <w:pStyle w:val="ListParagraph"/>
        <w:numPr>
          <w:ilvl w:val="0"/>
          <w:numId w:val="8"/>
        </w:numPr>
        <w:tabs>
          <w:tab w:pos="959" w:val="left" w:leader="none"/>
        </w:tabs>
        <w:spacing w:line="297" w:lineRule="auto" w:before="0" w:after="0"/>
        <w:ind w:left="237" w:right="226" w:firstLine="480"/>
        <w:jc w:val="left"/>
        <w:rPr>
          <w:sz w:val="24"/>
        </w:rPr>
      </w:pPr>
      <w:r>
        <w:rPr>
          <w:spacing w:val="-2"/>
          <w:sz w:val="24"/>
        </w:rPr>
        <w:t>未观察到神经认知相关不良事件显著增加。对亲本研究中依洛尤单抗治疗 </w:t>
      </w:r>
      <w:r>
        <w:rPr>
          <w:sz w:val="24"/>
        </w:rPr>
        <w:t>12</w:t>
      </w:r>
      <w:r>
        <w:rPr>
          <w:spacing w:val="-15"/>
          <w:sz w:val="24"/>
        </w:rPr>
        <w:t> 周的数</w:t>
      </w:r>
      <w:r>
        <w:rPr>
          <w:spacing w:val="-16"/>
          <w:sz w:val="24"/>
        </w:rPr>
        <w:t>据分析显示，依洛尤单抗组和对照组神经认知相关不良事件发生率相似；但在对 </w:t>
      </w:r>
      <w:r>
        <w:rPr>
          <w:sz w:val="24"/>
        </w:rPr>
        <w:t>OLE</w:t>
      </w:r>
      <w:r>
        <w:rPr>
          <w:spacing w:val="-19"/>
          <w:sz w:val="24"/>
        </w:rPr>
        <w:t> 研究的</w:t>
      </w:r>
      <w:r>
        <w:rPr>
          <w:spacing w:val="-4"/>
          <w:sz w:val="24"/>
        </w:rPr>
        <w:t>分析中，标准治疗+依洛尤单抗治疗 </w:t>
      </w:r>
      <w:r>
        <w:rPr>
          <w:sz w:val="24"/>
        </w:rPr>
        <w:t>1</w:t>
      </w:r>
      <w:r>
        <w:rPr>
          <w:spacing w:val="-8"/>
          <w:sz w:val="24"/>
        </w:rPr>
        <w:t> 年的患者神经认知功能相关不良事件在数量上较单纯标准治疗组多（0.9%</w:t>
      </w:r>
      <w:r>
        <w:rPr>
          <w:spacing w:val="-35"/>
          <w:sz w:val="24"/>
        </w:rPr>
        <w:t>对 </w:t>
      </w:r>
      <w:r>
        <w:rPr>
          <w:sz w:val="24"/>
        </w:rPr>
        <w:t>0.3%）。但考虑到在研究中神经认知功能相关不良事件较少，且多数均由患者报告，开放标签阶段可能会影响患者判断等，对于上述这一结果应谨慎解读。</w:t>
      </w:r>
    </w:p>
    <w:p>
      <w:pPr>
        <w:pStyle w:val="BodyText"/>
        <w:spacing w:line="297" w:lineRule="auto"/>
        <w:ind w:right="127" w:firstLine="480"/>
      </w:pPr>
      <w:r>
        <w:rPr>
          <w:spacing w:val="-1"/>
        </w:rPr>
        <w:t>回顾既往数据，降脂药物如他汀等对患者认知功能的影响一直是临床关注的重要问题， </w:t>
      </w:r>
      <w:r>
        <w:rPr>
          <w:spacing w:val="-11"/>
        </w:rPr>
        <w:t>因此，作为一个新型降脂药物，依洛尤单抗对于患者神经认知功能的影响需要进行更加清晰的评估。2017</w:t>
      </w:r>
      <w:r>
        <w:rPr>
          <w:spacing w:val="-8"/>
        </w:rPr>
        <w:t> 年专门评估依洛尤单抗在高心血管风险人群中对认知健康影响的研究—— EBBINGHAUS 研究发表在《新英格兰医学杂志》，研究采用剑桥神经心理自动化成套测试</w:t>
      </w:r>
    </w:p>
    <w:p>
      <w:pPr>
        <w:pStyle w:val="BodyText"/>
        <w:spacing w:line="295" w:lineRule="auto"/>
        <w:ind w:right="108"/>
      </w:pPr>
      <w:r>
        <w:rPr>
          <w:spacing w:val="-7"/>
        </w:rPr>
        <w:t>（CANTAB）</w:t>
      </w:r>
      <w:r>
        <w:rPr>
          <w:spacing w:val="-9"/>
        </w:rPr>
        <w:t>评估的结果证实，在中高强度他汀治疗基础上加用依洛尤单抗将 </w:t>
      </w:r>
      <w:r>
        <w:rPr/>
        <w:t>LDL-C</w:t>
      </w:r>
      <w:r>
        <w:rPr>
          <w:spacing w:val="-12"/>
        </w:rPr>
        <w:t> 降低至前</w:t>
      </w:r>
      <w:r>
        <w:rPr>
          <w:spacing w:val="-14"/>
        </w:rPr>
        <w:t>所未有的低水平，不会对患者的认知功能造成负面影响，包括 </w:t>
      </w:r>
      <w:r>
        <w:rPr/>
        <w:t>LDL-C</w:t>
      </w:r>
      <w:r>
        <w:rPr>
          <w:spacing w:val="-30"/>
        </w:rPr>
        <w:t> 低于 </w:t>
      </w:r>
      <w:r>
        <w:rPr/>
        <w:t>25</w:t>
      </w:r>
      <w:r>
        <w:rPr>
          <w:spacing w:val="-60"/>
        </w:rPr>
        <w:t> </w:t>
      </w:r>
      <w:r>
        <w:rPr/>
        <w:t>mg/dl</w:t>
      </w:r>
      <w:r>
        <w:rPr>
          <w:spacing w:val="-15"/>
        </w:rPr>
        <w:t> 的患者。</w:t>
      </w:r>
    </w:p>
    <w:p>
      <w:pPr>
        <w:pStyle w:val="ListParagraph"/>
        <w:numPr>
          <w:ilvl w:val="0"/>
          <w:numId w:val="8"/>
        </w:numPr>
        <w:tabs>
          <w:tab w:pos="959" w:val="left" w:leader="none"/>
        </w:tabs>
        <w:spacing w:line="297" w:lineRule="auto" w:before="0" w:after="0"/>
        <w:ind w:left="237" w:right="229" w:firstLine="480"/>
        <w:jc w:val="left"/>
        <w:rPr>
          <w:sz w:val="24"/>
        </w:rPr>
      </w:pPr>
      <w:r>
        <w:rPr>
          <w:spacing w:val="-31"/>
          <w:sz w:val="24"/>
        </w:rPr>
        <w:t>在 </w:t>
      </w:r>
      <w:r>
        <w:rPr>
          <w:sz w:val="24"/>
        </w:rPr>
        <w:t>LDL-C</w:t>
      </w:r>
      <w:r>
        <w:rPr>
          <w:spacing w:val="-11"/>
          <w:sz w:val="24"/>
        </w:rPr>
        <w:t> 水平极低的患者</w:t>
      </w:r>
      <w:r>
        <w:rPr>
          <w:sz w:val="24"/>
        </w:rPr>
        <w:t>（＜25</w:t>
      </w:r>
      <w:r>
        <w:rPr>
          <w:spacing w:val="-59"/>
          <w:sz w:val="24"/>
        </w:rPr>
        <w:t> </w:t>
      </w:r>
      <w:r>
        <w:rPr>
          <w:spacing w:val="-4"/>
          <w:sz w:val="24"/>
        </w:rPr>
        <w:t>mg/dl）</w:t>
      </w:r>
      <w:r>
        <w:rPr>
          <w:spacing w:val="-1"/>
          <w:sz w:val="24"/>
        </w:rPr>
        <w:t>患者中同样也没有观察到不良事件风险的差</w:t>
      </w:r>
      <w:r>
        <w:rPr>
          <w:sz w:val="24"/>
        </w:rPr>
        <w:t>异，体现了依洛尤单抗良好的安全性与耐受性。</w:t>
      </w:r>
    </w:p>
    <w:p>
      <w:pPr>
        <w:pStyle w:val="Heading3"/>
        <w:spacing w:line="306" w:lineRule="exact"/>
      </w:pPr>
      <w:r>
        <w:rPr/>
        <w:t>从作用机制理解依洛尤单抗的安全性特性</w:t>
      </w:r>
    </w:p>
    <w:p>
      <w:pPr>
        <w:pStyle w:val="BodyText"/>
        <w:spacing w:line="297" w:lineRule="auto" w:before="60"/>
        <w:ind w:right="226" w:firstLine="480"/>
        <w:jc w:val="both"/>
      </w:pPr>
      <w:r>
        <w:rPr>
          <w:spacing w:val="-7"/>
        </w:rPr>
        <w:t>从依洛尤单抗在体内的作用过程，可以部分解释其良好的安全性特性。依洛尤单抗是一种全人源的单克隆抗体，在细胞外空间与 </w:t>
      </w:r>
      <w:r>
        <w:rPr/>
        <w:t>PCSK9</w:t>
      </w:r>
      <w:r>
        <w:rPr>
          <w:spacing w:val="-16"/>
        </w:rPr>
        <w:t> 结合，并诱导空间位阻，使 </w:t>
      </w:r>
      <w:r>
        <w:rPr/>
        <w:t>PCSK9</w:t>
      </w:r>
      <w:r>
        <w:rPr>
          <w:spacing w:val="-16"/>
        </w:rPr>
        <w:t> 不再能够</w:t>
      </w:r>
      <w:r>
        <w:rPr>
          <w:spacing w:val="-31"/>
        </w:rPr>
        <w:t>与 </w:t>
      </w:r>
      <w:r>
        <w:rPr/>
        <w:t>LDL</w:t>
      </w:r>
      <w:r>
        <w:rPr>
          <w:spacing w:val="-20"/>
        </w:rPr>
        <w:t> 受体</w:t>
      </w:r>
      <w:r>
        <w:rPr/>
        <w:t>（LDLR）</w:t>
      </w:r>
      <w:r>
        <w:rPr>
          <w:spacing w:val="-9"/>
        </w:rPr>
        <w:t>结合，防止了 </w:t>
      </w:r>
      <w:r>
        <w:rPr/>
        <w:t>LDLR</w:t>
      </w:r>
      <w:r>
        <w:rPr>
          <w:spacing w:val="-8"/>
        </w:rPr>
        <w:t> 在溶酶体中的水解破坏。而正是因为依洛尤单抗是</w:t>
      </w:r>
      <w:r>
        <w:rPr>
          <w:spacing w:val="-13"/>
        </w:rPr>
        <w:t>一种单克隆抗体，分子较大，其经膜转运到肝细胞或其他组织中的可能性较小。因此，鉴于</w:t>
      </w:r>
      <w:r>
        <w:rPr>
          <w:spacing w:val="-17"/>
        </w:rPr>
        <w:t>依洛尤单抗的高特异性靶向作用和细胞外作用机制，使得这一药物导致源于药物相互作用的</w:t>
      </w:r>
      <w:r>
        <w:rPr/>
        <w:t>不良反应更小。在本研究也表明，依洛尤单抗对患者肾功能、肝功能及血压等均无影响。</w:t>
      </w:r>
    </w:p>
    <w:p>
      <w:pPr>
        <w:spacing w:line="412" w:lineRule="exact" w:before="0"/>
        <w:ind w:left="717" w:right="0" w:firstLine="0"/>
        <w:jc w:val="both"/>
        <w:rPr>
          <w:rFonts w:ascii="Meiryo" w:eastAsia="Meiryo" w:hint="eastAsia"/>
          <w:b/>
          <w:sz w:val="24"/>
        </w:rPr>
      </w:pPr>
      <w:r>
        <w:rPr>
          <w:sz w:val="24"/>
        </w:rPr>
        <w:t>作者：湖南省人民医院 郑昭芬 </w:t>
      </w:r>
      <w:r>
        <w:rPr>
          <w:rFonts w:ascii="Meiryo" w:eastAsia="Meiryo" w:hint="eastAsia"/>
          <w:b/>
          <w:color w:val="0033CC"/>
          <w:sz w:val="24"/>
        </w:rPr>
        <w:t>[返回目次]</w:t>
      </w:r>
    </w:p>
    <w:p>
      <w:pPr>
        <w:pStyle w:val="Heading2"/>
        <w:spacing w:before="66"/>
      </w:pPr>
      <w:bookmarkStart w:name="_TOC_250013" w:id="11"/>
      <w:bookmarkEnd w:id="11"/>
      <w:r>
        <w:rPr/>
        <w:t>【指南解读】</w:t>
      </w:r>
    </w:p>
    <w:p>
      <w:pPr>
        <w:pStyle w:val="BodyText"/>
        <w:spacing w:before="12"/>
        <w:ind w:left="0"/>
        <w:rPr>
          <w:b/>
          <w:sz w:val="22"/>
        </w:rPr>
      </w:pPr>
    </w:p>
    <w:p>
      <w:pPr>
        <w:pStyle w:val="Heading2"/>
        <w:ind w:left="321"/>
      </w:pPr>
      <w:bookmarkStart w:name="_TOC_250012" w:id="12"/>
      <w:bookmarkEnd w:id="12"/>
      <w:r>
        <w:rPr/>
        <w:t>从 2019 年CSCO 指南更新看 NSCLC 抗血管生成治疗领域的累累硕果</w:t>
      </w:r>
    </w:p>
    <w:p>
      <w:pPr>
        <w:pStyle w:val="Heading3"/>
        <w:spacing w:before="145"/>
        <w:ind w:left="0" w:right="228"/>
        <w:jc w:val="right"/>
        <w:rPr>
          <w:rFonts w:ascii="楷体" w:eastAsia="楷体" w:hint="eastAsia"/>
        </w:rPr>
      </w:pPr>
      <w:r>
        <w:rPr>
          <w:rFonts w:ascii="楷体" w:eastAsia="楷体" w:hint="eastAsia"/>
          <w:color w:val="FF0000"/>
          <w:w w:val="95"/>
        </w:rPr>
        <w:t>（来源：中国医学论坛报）</w:t>
      </w:r>
    </w:p>
    <w:p>
      <w:pPr>
        <w:pStyle w:val="BodyText"/>
        <w:spacing w:line="297" w:lineRule="auto" w:before="96"/>
        <w:ind w:right="227" w:firstLine="480"/>
        <w:jc w:val="both"/>
      </w:pPr>
      <w:r>
        <w:rPr>
          <w:spacing w:val="-6"/>
        </w:rPr>
        <w:t>血管生成是肺癌发生发展的关键机制之一，贯穿了肿瘤发生与进展的始终。由此研发的</w:t>
      </w:r>
      <w:r>
        <w:rPr>
          <w:spacing w:val="-4"/>
        </w:rPr>
        <w:t>抗肿瘤血管生成药物，能够针对促进血管生成的血管内皮生长因子</w:t>
      </w:r>
      <w:r>
        <w:rPr>
          <w:spacing w:val="-5"/>
        </w:rPr>
        <w:t>（VEGF）等靶点，发挥抗肿瘤生长的作用。</w:t>
      </w:r>
    </w:p>
    <w:p>
      <w:pPr>
        <w:spacing w:after="0" w:line="297" w:lineRule="auto"/>
        <w:jc w:val="both"/>
        <w:sectPr>
          <w:pgSz w:w="11910" w:h="16850"/>
          <w:pgMar w:header="906" w:footer="607" w:top="1100" w:bottom="800" w:left="1040" w:right="900"/>
        </w:sectPr>
      </w:pPr>
    </w:p>
    <w:p>
      <w:pPr>
        <w:pStyle w:val="BodyText"/>
        <w:spacing w:line="295" w:lineRule="auto" w:before="65"/>
        <w:ind w:right="306" w:firstLine="480"/>
        <w:jc w:val="both"/>
      </w:pPr>
      <w:r>
        <w:rPr>
          <w:spacing w:val="-31"/>
        </w:rPr>
        <w:t>在 </w:t>
      </w:r>
      <w:r>
        <w:rPr/>
        <w:t>2019</w:t>
      </w:r>
      <w:r>
        <w:rPr>
          <w:spacing w:val="-20"/>
        </w:rPr>
        <w:t> 年 </w:t>
      </w:r>
      <w:r>
        <w:rPr/>
        <w:t>4</w:t>
      </w:r>
      <w:r>
        <w:rPr>
          <w:spacing w:val="-20"/>
        </w:rPr>
        <w:t> 月 </w:t>
      </w:r>
      <w:r>
        <w:rPr/>
        <w:t>26 日～27 日召开的中国临床肿瘤学会（CSCO）</w:t>
      </w:r>
      <w:r>
        <w:rPr>
          <w:spacing w:val="-2"/>
        </w:rPr>
        <w:t>指南会上，肺癌指南</w:t>
      </w:r>
      <w:r>
        <w:rPr/>
        <w:t>作为其中“元老”，也进行了新版更新与发布。</w:t>
      </w:r>
    </w:p>
    <w:p>
      <w:pPr>
        <w:pStyle w:val="BodyText"/>
        <w:spacing w:line="297" w:lineRule="auto" w:before="2"/>
        <w:ind w:right="228" w:firstLine="480"/>
        <w:jc w:val="both"/>
      </w:pPr>
      <w:r>
        <w:rPr>
          <w:spacing w:val="-12"/>
        </w:rPr>
        <w:t>为此，我们特别邀请同济大学附属上海市肺科医院周彩存教授与中国医学科学院肿瘤医</w:t>
      </w:r>
      <w:r>
        <w:rPr>
          <w:spacing w:val="-13"/>
        </w:rPr>
        <w:t>院王洁教授，作为指南编写主要成员，介绍本次 </w:t>
      </w:r>
      <w:r>
        <w:rPr/>
        <w:t>2019</w:t>
      </w:r>
      <w:r>
        <w:rPr>
          <w:spacing w:val="-40"/>
        </w:rPr>
        <w:t> 版 </w:t>
      </w:r>
      <w:r>
        <w:rPr/>
        <w:t>CSCO</w:t>
      </w:r>
      <w:r>
        <w:rPr>
          <w:spacing w:val="-9"/>
        </w:rPr>
        <w:t> 肺癌诊疗指南的更新要点以及抗血管生成治疗在其中的推荐，并进一步梳理相关循证研究数据以及近年来贝伐珠单抗等抗</w:t>
      </w:r>
      <w:r>
        <w:rPr>
          <w:spacing w:val="-6"/>
        </w:rPr>
        <w:t>血管生成药物在我国临床实践中的应用经验，为广大读者能够更好地理解指南更新要点、更</w:t>
      </w:r>
      <w:r>
        <w:rPr/>
        <w:t>好地在临床实践中运用抗血管生成治疗药物提供帮助。</w:t>
      </w:r>
    </w:p>
    <w:p>
      <w:pPr>
        <w:pStyle w:val="Heading3"/>
        <w:spacing w:line="302" w:lineRule="exact"/>
      </w:pPr>
      <w:r>
        <w:rPr/>
        <w:t>周彩存教授：阐述 EGFR 突变阳性晚期 NSCLC 的推荐要点</w:t>
      </w:r>
    </w:p>
    <w:p>
      <w:pPr>
        <w:pStyle w:val="BodyText"/>
        <w:spacing w:before="72"/>
        <w:ind w:left="717"/>
      </w:pPr>
      <w:r>
        <w:rPr/>
        <w:t>要点更新丨一线治疗增加厄洛替尼联合贝伐珠单抗（Ⅱ级推荐）</w:t>
      </w:r>
    </w:p>
    <w:p>
      <w:pPr>
        <w:pStyle w:val="BodyText"/>
        <w:spacing w:line="297" w:lineRule="auto" w:before="74"/>
        <w:ind w:right="230" w:firstLine="480"/>
        <w:jc w:val="both"/>
      </w:pPr>
      <w:r>
        <w:rPr/>
        <w:t>在Ⅳ期表皮生长因子受体（EGFR）突变阳性的非小细胞肺癌（NSCLC）一线治疗当中， </w:t>
      </w:r>
      <w:r>
        <w:rPr>
          <w:spacing w:val="3"/>
        </w:rPr>
        <w:t>对于抗血管生成治疗除了</w:t>
      </w:r>
      <w:r>
        <w:rPr/>
        <w:t>2018</w:t>
      </w:r>
      <w:r>
        <w:rPr>
          <w:spacing w:val="-19"/>
        </w:rPr>
        <w:t> 年版</w:t>
      </w:r>
      <w:r>
        <w:rPr/>
        <w:t>CSCO</w:t>
      </w:r>
      <w:r>
        <w:rPr>
          <w:spacing w:val="-11"/>
        </w:rPr>
        <w:t> 肺癌诊疗指南中推荐的含铂双药化疗或含铂双药化</w:t>
      </w:r>
      <w:r>
        <w:rPr/>
        <w:t>疗+贝伐珠单抗（非鳞癌）这样的化疗联合抗血管生成治疗策略，今年新增加了厄洛替尼联合贝伐珠单抗（Ⅱ级推荐）</w:t>
      </w:r>
      <w:r>
        <w:rPr>
          <w:spacing w:val="-12"/>
        </w:rPr>
        <w:t>这样使用 </w:t>
      </w:r>
      <w:r>
        <w:rPr/>
        <w:t>EGFR-酪氨酸激酶抑制剂（TKI）联合抗血管生成的治</w:t>
      </w:r>
      <w:r>
        <w:rPr>
          <w:spacing w:val="-8"/>
        </w:rPr>
        <w:t>疗策略。从而为 </w:t>
      </w:r>
      <w:r>
        <w:rPr/>
        <w:t>EGFR</w:t>
      </w:r>
      <w:r>
        <w:rPr>
          <w:spacing w:val="-16"/>
        </w:rPr>
        <w:t> 突变阳性晚期 </w:t>
      </w:r>
      <w:r>
        <w:rPr/>
        <w:t>NSCLC 患者的治疗打开了新的思路。</w:t>
      </w:r>
    </w:p>
    <w:p>
      <w:pPr>
        <w:pStyle w:val="BodyText"/>
        <w:spacing w:line="297" w:lineRule="auto"/>
        <w:ind w:right="227" w:firstLine="480"/>
      </w:pPr>
      <w:r>
        <w:rPr>
          <w:spacing w:val="-11"/>
        </w:rPr>
        <w:t>当然，这样的治疗推荐也是基于多项循证研究结果带来的充分证据，临床实践中对于厄</w:t>
      </w:r>
      <w:r>
        <w:rPr/>
        <w:t>洛替尼与贝伐珠单抗这些药物被长期、熟练地应用而积累下来的实战经验。</w:t>
      </w:r>
    </w:p>
    <w:p>
      <w:pPr>
        <w:pStyle w:val="BodyText"/>
        <w:spacing w:line="295" w:lineRule="auto"/>
        <w:ind w:right="230" w:firstLine="480"/>
      </w:pPr>
      <w:r>
        <w:rPr>
          <w:spacing w:val="-7"/>
        </w:rPr>
        <w:t>希望通过这样的推荐意见，能够为临床医生提供更多的治疗“武器”，也为患者争取更</w:t>
      </w:r>
      <w:r>
        <w:rPr/>
        <w:t>大的临床获益。</w:t>
      </w:r>
    </w:p>
    <w:p>
      <w:pPr>
        <w:pStyle w:val="BodyText"/>
        <w:ind w:left="717"/>
      </w:pPr>
      <w:r>
        <w:rPr/>
        <w:t>循证为王丨聚焦 TKI 与抗血管生成治疗联合方案的探索发展历程</w:t>
      </w:r>
    </w:p>
    <w:p>
      <w:pPr>
        <w:pStyle w:val="BodyText"/>
        <w:spacing w:line="297" w:lineRule="auto" w:before="67"/>
        <w:ind w:right="231" w:firstLine="480"/>
      </w:pPr>
      <w:r>
        <w:rPr/>
        <w:t>通过肿瘤作用机制研究发现，VEGF 通过与其受体相互作用调节血管生成，促进肿瘤的</w:t>
      </w:r>
      <w:r>
        <w:rPr>
          <w:spacing w:val="-4"/>
        </w:rPr>
        <w:t>发生、发展及转移；同时，</w:t>
      </w:r>
      <w:r>
        <w:rPr/>
        <w:t>EGFR</w:t>
      </w:r>
      <w:r>
        <w:rPr>
          <w:spacing w:val="-44"/>
        </w:rPr>
        <w:t> 与 </w:t>
      </w:r>
      <w:r>
        <w:rPr/>
        <w:t>VEGF</w:t>
      </w:r>
      <w:r>
        <w:rPr>
          <w:spacing w:val="-11"/>
        </w:rPr>
        <w:t> 通路的交互作用</w:t>
      </w:r>
      <w:r>
        <w:rPr/>
        <w:t>（cross-talk）</w:t>
      </w:r>
      <w:r>
        <w:rPr>
          <w:spacing w:val="-2"/>
        </w:rPr>
        <w:t>也扮演着重要的作</w:t>
      </w:r>
      <w:r>
        <w:rPr>
          <w:spacing w:val="-16"/>
        </w:rPr>
        <w:t>用。当 </w:t>
      </w:r>
      <w:r>
        <w:rPr/>
        <w:t>EGFR</w:t>
      </w:r>
      <w:r>
        <w:rPr>
          <w:spacing w:val="-10"/>
        </w:rPr>
        <w:t> 突变阳性患者一旦出现耐药细胞时，这些耐药的细胞就会呈现出更高的 </w:t>
      </w:r>
      <w:r>
        <w:rPr/>
        <w:t>VEGF </w:t>
      </w:r>
      <w:r>
        <w:rPr>
          <w:spacing w:val="-4"/>
        </w:rPr>
        <w:t>表达，而贝伐珠单抗刚好能够发挥抑制 </w:t>
      </w:r>
      <w:r>
        <w:rPr/>
        <w:t>VEGF</w:t>
      </w:r>
      <w:r>
        <w:rPr>
          <w:spacing w:val="-8"/>
        </w:rPr>
        <w:t> 表达作用，从而增加抗肿瘤治疗疗效。</w:t>
      </w:r>
    </w:p>
    <w:p>
      <w:pPr>
        <w:pStyle w:val="BodyText"/>
        <w:spacing w:line="297" w:lineRule="auto"/>
        <w:ind w:right="245" w:firstLine="480"/>
      </w:pPr>
      <w:r>
        <w:rPr>
          <w:spacing w:val="-3"/>
        </w:rPr>
        <w:t>基于药物相互作用机制，多项临床研究用于探索第一代或第二代 </w:t>
      </w:r>
      <w:r>
        <w:rPr/>
        <w:t>EGFR-TKI</w:t>
      </w:r>
      <w:r>
        <w:rPr>
          <w:spacing w:val="-13"/>
        </w:rPr>
        <w:t> 联合贝伐珠</w:t>
      </w:r>
      <w:r>
        <w:rPr/>
        <w:t>单抗在晚期肺癌患者治疗中发挥的疗效。</w:t>
      </w:r>
    </w:p>
    <w:p>
      <w:pPr>
        <w:pStyle w:val="BodyText"/>
        <w:spacing w:line="297" w:lineRule="auto"/>
        <w:ind w:right="227" w:firstLine="480"/>
      </w:pPr>
      <w:r>
        <w:rPr>
          <w:spacing w:val="-9"/>
        </w:rPr>
        <w:t>研究者进行了 </w:t>
      </w:r>
      <w:r>
        <w:rPr/>
        <w:t>JO25567</w:t>
      </w:r>
      <w:r>
        <w:rPr>
          <w:spacing w:val="-12"/>
        </w:rPr>
        <w:t> 这项Ⅱ期临床研究，将未经化疗的 </w:t>
      </w:r>
      <w:r>
        <w:rPr/>
        <w:t>EGFR</w:t>
      </w:r>
      <w:r>
        <w:rPr>
          <w:spacing w:val="-14"/>
        </w:rPr>
        <w:t> 突变阳性非鳞状 </w:t>
      </w:r>
      <w:r>
        <w:rPr/>
        <w:t>NSCLC </w:t>
      </w:r>
      <w:r>
        <w:rPr>
          <w:spacing w:val="-5"/>
        </w:rPr>
        <w:t>患者随机分配至接受厄洛替尼联合贝伐珠单抗或厄洛替尼单药治疗。与厄洛替尼组相比，厄</w:t>
      </w:r>
      <w:r>
        <w:rPr/>
        <w:t>洛替尼+贝伐珠单抗组的中位无进展生存（PFS）</w:t>
      </w:r>
      <w:r>
        <w:rPr>
          <w:spacing w:val="-6"/>
        </w:rPr>
        <w:t>得到显著改善，分别为 </w:t>
      </w:r>
      <w:r>
        <w:rPr/>
        <w:t>16.4</w:t>
      </w:r>
      <w:r>
        <w:rPr>
          <w:spacing w:val="-24"/>
        </w:rPr>
        <w:t> 个月和 </w:t>
      </w:r>
      <w:r>
        <w:rPr/>
        <w:t>9.8</w:t>
      </w:r>
      <w:r>
        <w:rPr>
          <w:spacing w:val="-30"/>
        </w:rPr>
        <w:t> 个月。</w:t>
      </w:r>
    </w:p>
    <w:p>
      <w:pPr>
        <w:pStyle w:val="BodyText"/>
        <w:spacing w:line="297" w:lineRule="auto"/>
        <w:ind w:right="359" w:firstLine="480"/>
      </w:pPr>
      <w:r>
        <w:rPr/>
        <w:t>接下来，研究者开展了 NEJ026 研究，以期进一步探索厄洛替尼联合贝伐珠单抗治疗EGFR 突变阳性 NSCLC 患者的疗效与安全性。</w:t>
      </w:r>
    </w:p>
    <w:p>
      <w:pPr>
        <w:pStyle w:val="BodyText"/>
        <w:spacing w:line="297" w:lineRule="auto"/>
        <w:ind w:right="108" w:firstLine="480"/>
      </w:pPr>
      <w:r>
        <w:rPr/>
        <w:t>NEJ026</w:t>
      </w:r>
      <w:r>
        <w:rPr>
          <w:spacing w:val="-12"/>
        </w:rPr>
        <w:t> 这项随机对照Ⅲ期临床研究共纳入 </w:t>
      </w:r>
      <w:r>
        <w:rPr/>
        <w:t>214</w:t>
      </w:r>
      <w:r>
        <w:rPr>
          <w:spacing w:val="-12"/>
        </w:rPr>
        <w:t> 例晚期 </w:t>
      </w:r>
      <w:r>
        <w:rPr/>
        <w:t>NSCLC</w:t>
      </w:r>
      <w:r>
        <w:rPr>
          <w:spacing w:val="-15"/>
        </w:rPr>
        <w:t> 患者</w:t>
      </w:r>
      <w:r>
        <w:rPr/>
        <w:t>（包括具有脑转移的患者</w:t>
      </w:r>
      <w:r>
        <w:rPr>
          <w:spacing w:val="-34"/>
        </w:rPr>
        <w:t>），</w:t>
      </w:r>
      <w:r>
        <w:rPr>
          <w:spacing w:val="-3"/>
        </w:rPr>
        <w:t>随机分配至厄洛替尼与贝伐珠单抗联合治疗组和厄洛替尼单药治疗组，疾病进展后</w:t>
      </w:r>
      <w:r>
        <w:rPr>
          <w:spacing w:val="-6"/>
        </w:rPr>
        <w:t>可以将贝伐珠单抗交叉作为二线治疗。共中位随访 </w:t>
      </w:r>
      <w:r>
        <w:rPr/>
        <w:t>12.4</w:t>
      </w:r>
      <w:r>
        <w:rPr>
          <w:spacing w:val="-8"/>
        </w:rPr>
        <w:t> 个月，中期分析结果显示，联合组</w:t>
      </w:r>
      <w:r>
        <w:rPr>
          <w:spacing w:val="-19"/>
        </w:rPr>
        <w:t>与对照组 </w:t>
      </w:r>
      <w:r>
        <w:rPr/>
        <w:t>PFS</w:t>
      </w:r>
      <w:r>
        <w:rPr>
          <w:spacing w:val="-24"/>
        </w:rPr>
        <w:t> 分别为 </w:t>
      </w:r>
      <w:r>
        <w:rPr/>
        <w:t>16.9</w:t>
      </w:r>
      <w:r>
        <w:rPr>
          <w:spacing w:val="-24"/>
        </w:rPr>
        <w:t> 个月和 </w:t>
      </w:r>
      <w:r>
        <w:rPr/>
        <w:t>13.3</w:t>
      </w:r>
      <w:r>
        <w:rPr>
          <w:spacing w:val="-13"/>
        </w:rPr>
        <w:t> 个月，风险比</w:t>
      </w:r>
      <w:r>
        <w:rPr>
          <w:spacing w:val="-3"/>
        </w:rPr>
        <w:t>（HR）</w:t>
      </w:r>
      <w:r>
        <w:rPr>
          <w:spacing w:val="-30"/>
        </w:rPr>
        <w:t>为 </w:t>
      </w:r>
      <w:r>
        <w:rPr/>
        <w:t>0.605[95%</w:t>
      </w:r>
      <w:r>
        <w:rPr>
          <w:spacing w:val="-3"/>
        </w:rPr>
        <w:t>可信区间（CI）</w:t>
      </w:r>
      <w:r>
        <w:rPr>
          <w:spacing w:val="-10"/>
        </w:rPr>
        <w:t>为</w:t>
      </w:r>
      <w:r>
        <w:rPr/>
        <w:t>0.417</w:t>
      </w:r>
      <w:r>
        <w:rPr>
          <w:spacing w:val="-1"/>
        </w:rPr>
        <w:t>～</w:t>
      </w:r>
      <w:r>
        <w:rPr/>
        <w:t>0.877]</w:t>
      </w:r>
      <w:r>
        <w:rPr>
          <w:spacing w:val="-118"/>
        </w:rPr>
        <w:t>，</w:t>
      </w:r>
      <w:r>
        <w:rPr/>
        <w:t>P=0.016</w:t>
      </w:r>
      <w:r>
        <w:rPr>
          <w:spacing w:val="-24"/>
        </w:rPr>
        <w:t>。同时，联合组与对照组的客观缓解率</w:t>
      </w:r>
      <w:r>
        <w:rPr>
          <w:spacing w:val="1"/>
        </w:rPr>
        <w:t>（</w:t>
      </w:r>
      <w:r>
        <w:rPr/>
        <w:t>ORR</w:t>
      </w:r>
      <w:r>
        <w:rPr>
          <w:spacing w:val="-116"/>
        </w:rPr>
        <w:t>）</w:t>
      </w:r>
      <w:r>
        <w:rPr>
          <w:spacing w:val="-15"/>
        </w:rPr>
        <w:t>分别为 </w:t>
      </w:r>
      <w:r>
        <w:rPr/>
        <w:t>72.3%</w:t>
      </w:r>
      <w:r>
        <w:rPr>
          <w:spacing w:val="-20"/>
        </w:rPr>
        <w:t> 和 </w:t>
      </w:r>
      <w:r>
        <w:rPr>
          <w:spacing w:val="-3"/>
        </w:rPr>
        <w:t>66.1%，</w:t>
      </w:r>
      <w:r>
        <w:rPr>
          <w:spacing w:val="-6"/>
        </w:rPr>
        <w:t>疾病控制率（DCR）</w:t>
      </w:r>
      <w:r>
        <w:rPr>
          <w:spacing w:val="-30"/>
        </w:rPr>
        <w:t>达 </w:t>
      </w:r>
      <w:r>
        <w:rPr/>
        <w:t>95%</w:t>
      </w:r>
      <w:r>
        <w:rPr>
          <w:spacing w:val="-30"/>
        </w:rPr>
        <w:t>和 </w:t>
      </w:r>
      <w:r>
        <w:rPr/>
        <w:t>96%</w:t>
      </w:r>
      <w:r>
        <w:rPr>
          <w:spacing w:val="-8"/>
        </w:rPr>
        <w:t>。通过该项研究，充分证实了贝伐珠单抗与厄洛替尼联合治</w:t>
      </w:r>
    </w:p>
    <w:p>
      <w:pPr>
        <w:spacing w:after="0" w:line="297" w:lineRule="auto"/>
        <w:sectPr>
          <w:pgSz w:w="11910" w:h="16850"/>
          <w:pgMar w:header="906" w:footer="607" w:top="1100" w:bottom="800" w:left="1040" w:right="900"/>
        </w:sectPr>
      </w:pPr>
    </w:p>
    <w:p>
      <w:pPr>
        <w:pStyle w:val="BodyText"/>
        <w:spacing w:before="65"/>
        <w:jc w:val="both"/>
      </w:pPr>
      <w:r>
        <w:rPr/>
        <w:t>疗能够显著改善 EGFR 突变阳性 NSCLC 患者的 PFS，该研究的中期分析结果已于近期发表在</w:t>
      </w:r>
    </w:p>
    <w:p>
      <w:pPr>
        <w:pStyle w:val="BodyText"/>
        <w:spacing w:before="72"/>
        <w:jc w:val="both"/>
      </w:pPr>
      <w:r>
        <w:rPr/>
        <w:t>《柳叶刀·肿瘤学》（Lancet</w:t>
      </w:r>
      <w:r>
        <w:rPr>
          <w:spacing w:val="119"/>
        </w:rPr>
        <w:t> </w:t>
      </w:r>
      <w:r>
        <w:rPr/>
        <w:t>Oncology）杂志。</w:t>
      </w:r>
    </w:p>
    <w:p>
      <w:pPr>
        <w:pStyle w:val="BodyText"/>
        <w:spacing w:line="297" w:lineRule="auto" w:before="71"/>
        <w:ind w:right="229" w:firstLine="480"/>
        <w:jc w:val="both"/>
      </w:pPr>
      <w:r>
        <w:rPr>
          <w:spacing w:val="-13"/>
        </w:rPr>
        <w:t>为此，在本次 </w:t>
      </w:r>
      <w:r>
        <w:rPr/>
        <w:t>2019</w:t>
      </w:r>
      <w:r>
        <w:rPr>
          <w:spacing w:val="-20"/>
        </w:rPr>
        <w:t> 版 </w:t>
      </w:r>
      <w:r>
        <w:rPr/>
        <w:t>CSCO</w:t>
      </w:r>
      <w:r>
        <w:rPr>
          <w:spacing w:val="-7"/>
        </w:rPr>
        <w:t> 肺癌诊疗指南的 </w:t>
      </w:r>
      <w:r>
        <w:rPr/>
        <w:t>NSCLC</w:t>
      </w:r>
      <w:r>
        <w:rPr>
          <w:spacing w:val="-4"/>
        </w:rPr>
        <w:t> 治疗推荐部分中，特别纳入了厄洛替尼联合贝伐珠单抗</w:t>
      </w:r>
      <w:r>
        <w:rPr/>
        <w:t>（Ⅱ级推荐</w:t>
      </w:r>
      <w:r>
        <w:rPr>
          <w:spacing w:val="-34"/>
        </w:rPr>
        <w:t>），</w:t>
      </w:r>
      <w:r>
        <w:rPr>
          <w:spacing w:val="-16"/>
        </w:rPr>
        <w:t>从而为 </w:t>
      </w:r>
      <w:r>
        <w:rPr/>
        <w:t>EGFR</w:t>
      </w:r>
      <w:r>
        <w:rPr>
          <w:spacing w:val="-10"/>
        </w:rPr>
        <w:t> 突变阳性的 </w:t>
      </w:r>
      <w:r>
        <w:rPr/>
        <w:t>NSCLC</w:t>
      </w:r>
      <w:r>
        <w:rPr>
          <w:spacing w:val="-3"/>
        </w:rPr>
        <w:t> 提供更多的治疗方案和</w:t>
      </w:r>
      <w:r>
        <w:rPr/>
        <w:t>思路，为患者争取更大程度的临床获益。</w:t>
      </w:r>
    </w:p>
    <w:p>
      <w:pPr>
        <w:spacing w:line="297" w:lineRule="auto" w:before="0"/>
        <w:ind w:left="717" w:right="2252" w:firstLine="0"/>
        <w:jc w:val="both"/>
        <w:rPr>
          <w:sz w:val="24"/>
        </w:rPr>
      </w:pPr>
      <w:r>
        <w:rPr>
          <w:b/>
          <w:spacing w:val="-4"/>
          <w:sz w:val="24"/>
        </w:rPr>
        <w:t>王洁教授：梳理无驱动基因突变晚期 </w:t>
      </w:r>
      <w:r>
        <w:rPr>
          <w:b/>
          <w:sz w:val="24"/>
        </w:rPr>
        <w:t>NSCLC</w:t>
      </w:r>
      <w:r>
        <w:rPr>
          <w:b/>
          <w:spacing w:val="-10"/>
          <w:sz w:val="24"/>
        </w:rPr>
        <w:t> 的推荐及相关循证研究</w:t>
      </w:r>
      <w:r>
        <w:rPr>
          <w:sz w:val="24"/>
        </w:rPr>
        <w:t>新版指南强化贝伐珠单抗联合含铂双药化疗一线治疗地位</w:t>
      </w:r>
    </w:p>
    <w:p>
      <w:pPr>
        <w:pStyle w:val="BodyText"/>
        <w:tabs>
          <w:tab w:pos="1857" w:val="left" w:leader="none"/>
        </w:tabs>
        <w:spacing w:line="297" w:lineRule="auto"/>
        <w:ind w:right="106" w:firstLine="480"/>
      </w:pPr>
      <w:r>
        <w:rPr/>
        <w:t>在对于无驱动基因突变的非鳞</w:t>
      </w:r>
      <w:r>
        <w:rPr>
          <w:spacing w:val="-60"/>
        </w:rPr>
        <w:t> </w:t>
      </w:r>
      <w:r>
        <w:rPr/>
        <w:t>NSCLC</w:t>
      </w:r>
      <w:r>
        <w:rPr>
          <w:spacing w:val="-60"/>
        </w:rPr>
        <w:t> </w:t>
      </w:r>
      <w:r>
        <w:rPr/>
        <w:t>患者的一线治疗推荐中</w:t>
      </w:r>
      <w:r>
        <w:rPr>
          <w:spacing w:val="-104"/>
        </w:rPr>
        <w:t>，</w:t>
      </w:r>
      <w:r>
        <w:rPr/>
        <w:t>除了常规的化疗方案推荐外</w:t>
      </w:r>
      <w:r>
        <w:rPr>
          <w:spacing w:val="-28"/>
        </w:rPr>
        <w:t>，Ⅰ</w:t>
      </w:r>
      <w:r>
        <w:rPr/>
        <w:t>级推荐中重要的更新要点就是将</w:t>
      </w:r>
      <w:r>
        <w:rPr>
          <w:spacing w:val="-60"/>
        </w:rPr>
        <w:t> </w:t>
      </w:r>
      <w:r>
        <w:rPr/>
        <w:t>2018 年版指南</w:t>
      </w:r>
      <w:r>
        <w:rPr>
          <w:spacing w:val="-56"/>
        </w:rPr>
        <w:t>中</w:t>
      </w:r>
      <w:r>
        <w:rPr/>
        <w:t>“推荐卡铂+紫杉醇+贝达珠单</w:t>
      </w:r>
      <w:r>
        <w:rPr>
          <w:spacing w:val="-56"/>
        </w:rPr>
        <w:t>抗</w:t>
      </w:r>
      <w:r>
        <w:rPr/>
        <w:t>（1 类证据）或其他含铂双药联合贝伐珠单抗（2A</w:t>
      </w:r>
      <w:r>
        <w:rPr>
          <w:spacing w:val="-60"/>
        </w:rPr>
        <w:t> </w:t>
      </w:r>
      <w:r>
        <w:rPr/>
        <w:t>类证据）”直接更新为“贝伐珠单抗联合含铂双药+贝伐珠单抗维持治</w:t>
      </w:r>
      <w:r>
        <w:rPr>
          <w:spacing w:val="-10"/>
        </w:rPr>
        <w:t>疗</w:t>
      </w:r>
      <w:r>
        <w:rPr/>
        <w:t>（1A</w:t>
      </w:r>
      <w:r>
        <w:rPr>
          <w:spacing w:val="-60"/>
        </w:rPr>
        <w:t> </w:t>
      </w:r>
      <w:r>
        <w:rPr/>
        <w:t>类及</w:t>
      </w:r>
      <w:r>
        <w:rPr>
          <w:spacing w:val="-60"/>
        </w:rPr>
        <w:t> </w:t>
      </w:r>
      <w:r>
        <w:rPr/>
        <w:t>2A</w:t>
      </w:r>
      <w:r>
        <w:rPr>
          <w:spacing w:val="-60"/>
        </w:rPr>
        <w:t> </w:t>
      </w:r>
      <w:r>
        <w:rPr/>
        <w:t>类证据</w:t>
      </w:r>
      <w:r>
        <w:rPr>
          <w:spacing w:val="-10"/>
        </w:rPr>
        <w:t>）”</w:t>
      </w:r>
      <w:r>
        <w:rPr/>
        <w:t>推荐</w:t>
      </w:r>
      <w:r>
        <w:rPr>
          <w:spacing w:val="-10"/>
        </w:rPr>
        <w:t>。</w:t>
      </w:r>
      <w:r>
        <w:rPr/>
        <w:t>此外</w:t>
      </w:r>
      <w:r>
        <w:rPr>
          <w:spacing w:val="-8"/>
        </w:rPr>
        <w:t>，</w:t>
      </w:r>
      <w:r>
        <w:rPr/>
        <w:t>由于对免疫治疗的探索， 基于</w:t>
      </w:r>
      <w:r>
        <w:rPr>
          <w:spacing w:val="-60"/>
        </w:rPr>
        <w:t> </w:t>
      </w:r>
      <w:r>
        <w:rPr/>
        <w:t>IMpower</w:t>
        <w:tab/>
        <w:t>150</w:t>
      </w:r>
      <w:r>
        <w:rPr>
          <w:spacing w:val="-60"/>
        </w:rPr>
        <w:t> </w:t>
      </w:r>
      <w:r>
        <w:rPr/>
        <w:t>研究结果</w:t>
      </w:r>
      <w:r>
        <w:rPr>
          <w:spacing w:val="-111"/>
        </w:rPr>
        <w:t>，</w:t>
      </w:r>
      <w:r>
        <w:rPr/>
        <w:t>Ⅲ级推荐中加入</w:t>
      </w:r>
      <w:r>
        <w:rPr>
          <w:spacing w:val="-111"/>
        </w:rPr>
        <w:t>了</w:t>
      </w:r>
      <w:r>
        <w:rPr/>
        <w:t>“紫杉</w:t>
      </w:r>
      <w:r>
        <w:rPr>
          <w:spacing w:val="1"/>
        </w:rPr>
        <w:t>醇</w:t>
      </w:r>
      <w:r>
        <w:rPr/>
        <w:t>+卡铂+贝伐珠单抗</w:t>
      </w:r>
      <w:r>
        <w:rPr>
          <w:spacing w:val="-2"/>
        </w:rPr>
        <w:t>+Atezolizumab”</w:t>
      </w:r>
      <w:r>
        <w:rPr/>
        <w:t>的方案推荐意见（1</w:t>
      </w:r>
      <w:r>
        <w:rPr>
          <w:spacing w:val="-60"/>
        </w:rPr>
        <w:t> </w:t>
      </w:r>
      <w:r>
        <w:rPr/>
        <w:t>类证据）。</w:t>
      </w:r>
    </w:p>
    <w:p>
      <w:pPr>
        <w:pStyle w:val="BodyText"/>
        <w:spacing w:line="295" w:lineRule="auto"/>
        <w:ind w:left="717" w:right="606"/>
      </w:pPr>
      <w:r>
        <w:rPr/>
        <w:t>循证研究+真实世界研究+适应证更新，全方位开启贝伐珠单抗在我国应用的新阶段循证研究为贝伐珠单抗进入中国临床实践开辟道路</w:t>
      </w:r>
    </w:p>
    <w:p>
      <w:pPr>
        <w:pStyle w:val="BodyText"/>
        <w:spacing w:line="297" w:lineRule="auto"/>
        <w:ind w:right="227" w:firstLine="480"/>
        <w:jc w:val="both"/>
      </w:pPr>
      <w:r>
        <w:rPr>
          <w:spacing w:val="-9"/>
        </w:rPr>
        <w:t>贝伐珠单抗在东西方人群中进行多项临床研究，例如 </w:t>
      </w:r>
      <w:r>
        <w:rPr/>
        <w:t>ECOG4599</w:t>
      </w:r>
      <w:r>
        <w:rPr>
          <w:spacing w:val="-49"/>
        </w:rPr>
        <w:t> 研究、</w:t>
      </w:r>
      <w:r>
        <w:rPr/>
        <w:t>AVAiL</w:t>
      </w:r>
      <w:r>
        <w:rPr>
          <w:spacing w:val="-49"/>
        </w:rPr>
        <w:t> 研究、</w:t>
      </w:r>
      <w:r>
        <w:rPr>
          <w:spacing w:val="-3"/>
        </w:rPr>
        <w:t>BEYOND </w:t>
      </w:r>
      <w:r>
        <w:rPr>
          <w:spacing w:val="-8"/>
        </w:rPr>
        <w:t>研究等，均显示联合贝伐珠单抗的中位 </w:t>
      </w:r>
      <w:r>
        <w:rPr/>
        <w:t>PFS</w:t>
      </w:r>
      <w:r>
        <w:rPr>
          <w:spacing w:val="-15"/>
        </w:rPr>
        <w:t> 与总生存期</w:t>
      </w:r>
      <w:r>
        <w:rPr>
          <w:spacing w:val="-7"/>
        </w:rPr>
        <w:t>（OS）</w:t>
      </w:r>
      <w:r>
        <w:rPr>
          <w:spacing w:val="-4"/>
        </w:rPr>
        <w:t>较单纯化疗显著延长，疾病进</w:t>
      </w:r>
      <w:r>
        <w:rPr>
          <w:spacing w:val="-7"/>
        </w:rPr>
        <w:t>展风险下降，且显著改善 </w:t>
      </w:r>
      <w:r>
        <w:rPr/>
        <w:t>ORR</w:t>
      </w:r>
      <w:r>
        <w:rPr>
          <w:spacing w:val="-40"/>
        </w:rPr>
        <w:t> 和 </w:t>
      </w:r>
      <w:r>
        <w:rPr/>
        <w:t>DCR</w:t>
      </w:r>
      <w:r>
        <w:rPr>
          <w:spacing w:val="-6"/>
        </w:rPr>
        <w:t>。在安全性方面，联合贝伐珠单抗较单纯化疗组，其安</w:t>
      </w:r>
      <w:r>
        <w:rPr/>
        <w:t>全性特性与已知的不良事件一致。</w:t>
      </w:r>
    </w:p>
    <w:p>
      <w:pPr>
        <w:pStyle w:val="BodyText"/>
        <w:spacing w:line="297" w:lineRule="auto"/>
        <w:ind w:right="228" w:firstLine="480"/>
        <w:jc w:val="both"/>
      </w:pPr>
      <w:r>
        <w:rPr>
          <w:spacing w:val="-25"/>
        </w:rPr>
        <w:t>其中 </w:t>
      </w:r>
      <w:r>
        <w:rPr/>
        <w:t>BEYOND</w:t>
      </w:r>
      <w:r>
        <w:rPr>
          <w:spacing w:val="-17"/>
        </w:rPr>
        <w:t> 研究是由周彩存教授牵头、多中心开展的首项探索贝伐珠单抗在我国 </w:t>
      </w:r>
      <w:r>
        <w:rPr>
          <w:spacing w:val="-4"/>
        </w:rPr>
        <w:t>NSCLC </w:t>
      </w:r>
      <w:r>
        <w:rPr>
          <w:spacing w:val="-7"/>
        </w:rPr>
        <w:t>患者人群治疗疗效的临床研究，结果显示，相对于单纯接受化疗的患者，贝伐珠单抗联合紫</w:t>
      </w:r>
      <w:r>
        <w:rPr>
          <w:spacing w:val="-6"/>
        </w:rPr>
        <w:t>杉醇和卡铂一线治疗的 </w:t>
      </w:r>
      <w:r>
        <w:rPr/>
        <w:t>PFS</w:t>
      </w:r>
      <w:r>
        <w:rPr>
          <w:spacing w:val="-20"/>
        </w:rPr>
        <w:t> 显著延长 </w:t>
      </w:r>
      <w:r>
        <w:rPr/>
        <w:t>2.7</w:t>
      </w:r>
      <w:r>
        <w:rPr>
          <w:spacing w:val="-20"/>
        </w:rPr>
        <w:t> 个月</w:t>
      </w:r>
      <w:r>
        <w:rPr/>
        <w:t>，HR</w:t>
      </w:r>
      <w:r>
        <w:rPr>
          <w:spacing w:val="-40"/>
        </w:rPr>
        <w:t> 为 </w:t>
      </w:r>
      <w:r>
        <w:rPr/>
        <w:t>0.40，P＜0.001；同时能够显著延长</w:t>
      </w:r>
      <w:r>
        <w:rPr>
          <w:spacing w:val="-20"/>
        </w:rPr>
        <w:t>患者 </w:t>
      </w:r>
      <w:r>
        <w:rPr>
          <w:spacing w:val="-10"/>
        </w:rPr>
        <w:t>OS</w:t>
      </w:r>
      <w:r>
        <w:rPr>
          <w:spacing w:val="-12"/>
        </w:rPr>
        <w:t>，两组分别为 </w:t>
      </w:r>
      <w:r>
        <w:rPr/>
        <w:t>24.3</w:t>
      </w:r>
      <w:r>
        <w:rPr>
          <w:spacing w:val="-24"/>
        </w:rPr>
        <w:t> 个月对 </w:t>
      </w:r>
      <w:r>
        <w:rPr/>
        <w:t>17.7</w:t>
      </w:r>
      <w:r>
        <w:rPr>
          <w:spacing w:val="-18"/>
        </w:rPr>
        <w:t> 个月，</w:t>
      </w:r>
      <w:r>
        <w:rPr>
          <w:spacing w:val="-9"/>
        </w:rPr>
        <w:t>HR</w:t>
      </w:r>
      <w:r>
        <w:rPr>
          <w:spacing w:val="-20"/>
        </w:rPr>
        <w:t> 为 </w:t>
      </w:r>
      <w:r>
        <w:rPr>
          <w:spacing w:val="-4"/>
        </w:rPr>
        <w:t>0.68，P=0.0154</w:t>
      </w:r>
      <w:r>
        <w:rPr>
          <w:spacing w:val="-2"/>
        </w:rPr>
        <w:t>，这样的结果与国际临</w:t>
      </w:r>
      <w:r>
        <w:rPr>
          <w:spacing w:val="-4"/>
        </w:rPr>
        <w:t>床研究基本保持一致。由此，BEYOND</w:t>
      </w:r>
      <w:r>
        <w:rPr>
          <w:spacing w:val="-14"/>
        </w:rPr>
        <w:t> 研究成为第一个 </w:t>
      </w:r>
      <w:r>
        <w:rPr/>
        <w:t>OS</w:t>
      </w:r>
      <w:r>
        <w:rPr>
          <w:spacing w:val="-30"/>
        </w:rPr>
        <w:t> 突破 </w:t>
      </w:r>
      <w:r>
        <w:rPr/>
        <w:t>2</w:t>
      </w:r>
      <w:r>
        <w:rPr>
          <w:spacing w:val="-20"/>
        </w:rPr>
        <w:t> 年的晚期 </w:t>
      </w:r>
      <w:r>
        <w:rPr/>
        <w:t>NSCLC</w:t>
      </w:r>
      <w:r>
        <w:rPr>
          <w:spacing w:val="-13"/>
        </w:rPr>
        <w:t> 患者的Ⅲ期</w:t>
      </w:r>
      <w:r>
        <w:rPr>
          <w:spacing w:val="-6"/>
        </w:rPr>
        <w:t>研究，将我国晚期非鳞 </w:t>
      </w:r>
      <w:r>
        <w:rPr/>
        <w:t>NSCLC</w:t>
      </w:r>
      <w:r>
        <w:rPr>
          <w:spacing w:val="-8"/>
        </w:rPr>
        <w:t> 治疗带入新的发展阶段。</w:t>
      </w:r>
    </w:p>
    <w:p>
      <w:pPr>
        <w:pStyle w:val="BodyText"/>
        <w:spacing w:line="300" w:lineRule="exact"/>
        <w:ind w:left="717"/>
      </w:pPr>
      <w:r>
        <w:rPr/>
        <w:t>新适应证再获批，为贝伐珠单抗使用带来新思路</w:t>
      </w:r>
    </w:p>
    <w:p>
      <w:pPr>
        <w:pStyle w:val="BodyText"/>
        <w:spacing w:line="297" w:lineRule="auto" w:before="58"/>
        <w:ind w:right="109" w:firstLine="480"/>
      </w:pPr>
      <w:r>
        <w:rPr/>
        <w:t>2018</w:t>
      </w:r>
      <w:r>
        <w:rPr>
          <w:spacing w:val="-41"/>
        </w:rPr>
        <w:t> 年 </w:t>
      </w:r>
      <w:r>
        <w:rPr/>
        <w:t>10</w:t>
      </w:r>
      <w:r>
        <w:rPr>
          <w:spacing w:val="-8"/>
        </w:rPr>
        <w:t> 月，贝伐珠单抗被原国家食品药品监督管理总局药品审评中心</w:t>
      </w:r>
      <w:r>
        <w:rPr/>
        <w:t>（CDE）批准</w:t>
      </w:r>
      <w:r>
        <w:rPr>
          <w:spacing w:val="-2"/>
        </w:rPr>
        <w:t>新适应证——贝伐珠单抗联合以铂类为基础的化疗包括</w:t>
      </w:r>
      <w:r>
        <w:rPr/>
        <w:t>（</w:t>
      </w:r>
      <w:r>
        <w:rPr>
          <w:spacing w:val="-11"/>
        </w:rPr>
        <w:t>顺铂、卡铂+培美曲塞、吉西他滨、</w:t>
      </w:r>
      <w:r>
        <w:rPr>
          <w:spacing w:val="-7"/>
        </w:rPr>
        <w:t>白蛋白紫杉醇、紫杉醇、长春瑞滨等常见药物</w:t>
      </w:r>
      <w:r>
        <w:rPr>
          <w:spacing w:val="-27"/>
        </w:rPr>
        <w:t>）</w:t>
      </w:r>
      <w:r>
        <w:rPr>
          <w:spacing w:val="-3"/>
        </w:rPr>
        <w:t>用于不可切除的晚期、转移性或复发性非鳞</w:t>
      </w:r>
      <w:r>
        <w:rPr>
          <w:spacing w:val="-32"/>
        </w:rPr>
        <w:t>状 </w:t>
      </w:r>
      <w:r>
        <w:rPr/>
        <w:t>NSCLC</w:t>
      </w:r>
      <w:r>
        <w:rPr>
          <w:spacing w:val="-14"/>
        </w:rPr>
        <w:t> 患者的一线治疗。这一适应证获批也是贝伐珠单抗率先采用回顾性真实世界研究结</w:t>
      </w:r>
      <w:r>
        <w:rPr>
          <w:spacing w:val="-19"/>
        </w:rPr>
        <w:t>果获批新的联合治疗方案，让贝伐珠单抗能够与更多的化疗方案结合，从而为 </w:t>
      </w:r>
      <w:r>
        <w:rPr/>
        <w:t>NSCLC</w:t>
      </w:r>
      <w:r>
        <w:rPr>
          <w:spacing w:val="-15"/>
        </w:rPr>
        <w:t> 患者诊疗提供更多选择。</w:t>
      </w:r>
    </w:p>
    <w:p>
      <w:pPr>
        <w:pStyle w:val="BodyText"/>
        <w:spacing w:line="300" w:lineRule="exact"/>
        <w:ind w:left="717"/>
      </w:pPr>
      <w:r>
        <w:rPr/>
        <w:t>真实世界研究让抗血管生成药物应用更有“底气”</w:t>
      </w:r>
    </w:p>
    <w:p>
      <w:pPr>
        <w:pStyle w:val="BodyText"/>
        <w:spacing w:line="295" w:lineRule="auto" w:before="74"/>
        <w:ind w:right="127" w:firstLine="480"/>
      </w:pPr>
      <w:r>
        <w:rPr>
          <w:spacing w:val="-5"/>
        </w:rPr>
        <w:t>通过以上在国内外肺癌领域开展的大型Ⅲ期研究，使学术界对于贝伐珠单抗这类抗血管</w:t>
      </w:r>
      <w:r>
        <w:rPr>
          <w:spacing w:val="-6"/>
        </w:rPr>
        <w:t>生成治疗药物有了新的认识，但对药物疗效与安全性的探索也更离不开各类真实世界研究， </w:t>
      </w:r>
      <w:r>
        <w:rPr/>
        <w:t>使得药物使用在实践中更有发言权。</w:t>
      </w:r>
    </w:p>
    <w:p>
      <w:pPr>
        <w:pStyle w:val="BodyText"/>
        <w:spacing w:line="295" w:lineRule="auto" w:before="6"/>
        <w:ind w:right="246" w:firstLine="480"/>
      </w:pPr>
      <w:r>
        <w:rPr>
          <w:spacing w:val="-31"/>
        </w:rPr>
        <w:t>在 </w:t>
      </w:r>
      <w:r>
        <w:rPr/>
        <w:t>2018</w:t>
      </w:r>
      <w:r>
        <w:rPr>
          <w:spacing w:val="-8"/>
        </w:rPr>
        <w:t> 年召开的美国临床肿瘤学会</w:t>
      </w:r>
      <w:r>
        <w:rPr/>
        <w:t>（ASCO）</w:t>
      </w:r>
      <w:r>
        <w:rPr>
          <w:spacing w:val="-1"/>
        </w:rPr>
        <w:t>年会当中，公布了一项我国江苏省肿瘤医</w:t>
      </w:r>
      <w:r>
        <w:rPr/>
        <w:t>院史美琪教授团队开展的比较贝伐珠单抗联合培美曲塞/铂类与单用培美曲塞/铂类双联化</w:t>
      </w:r>
    </w:p>
    <w:p>
      <w:pPr>
        <w:spacing w:after="0" w:line="295" w:lineRule="auto"/>
        <w:sectPr>
          <w:pgSz w:w="11910" w:h="16850"/>
          <w:pgMar w:header="906" w:footer="607" w:top="1100" w:bottom="800" w:left="1040" w:right="900"/>
        </w:sectPr>
      </w:pPr>
    </w:p>
    <w:p>
      <w:pPr>
        <w:pStyle w:val="BodyText"/>
        <w:spacing w:line="295" w:lineRule="auto" w:before="65"/>
        <w:ind w:right="246"/>
        <w:jc w:val="both"/>
      </w:pPr>
      <w:r>
        <w:rPr>
          <w:spacing w:val="-7"/>
        </w:rPr>
        <w:t>疗一线治疗中国晚期 </w:t>
      </w:r>
      <w:r>
        <w:rPr/>
        <w:t>NSCLC</w:t>
      </w:r>
      <w:r>
        <w:rPr>
          <w:spacing w:val="-8"/>
        </w:rPr>
        <w:t> 疗效的研究。结果显示在培美曲塞</w:t>
      </w:r>
      <w:r>
        <w:rPr/>
        <w:t>/</w:t>
      </w:r>
      <w:r>
        <w:rPr>
          <w:spacing w:val="-2"/>
        </w:rPr>
        <w:t>铂类基础上联合贝伐珠单抗</w:t>
      </w:r>
      <w:r>
        <w:rPr>
          <w:spacing w:val="-16"/>
        </w:rPr>
        <w:t>治疗为 </w:t>
      </w:r>
      <w:r>
        <w:rPr/>
        <w:t>NSCLC</w:t>
      </w:r>
      <w:r>
        <w:rPr>
          <w:spacing w:val="-13"/>
        </w:rPr>
        <w:t> 患者带来更长的中位 </w:t>
      </w:r>
      <w:r>
        <w:rPr/>
        <w:t>PFS（11.0</w:t>
      </w:r>
      <w:r>
        <w:rPr>
          <w:spacing w:val="-24"/>
        </w:rPr>
        <w:t> 个月对 </w:t>
      </w:r>
      <w:r>
        <w:rPr/>
        <w:t>6.6</w:t>
      </w:r>
      <w:r>
        <w:rPr>
          <w:spacing w:val="-20"/>
        </w:rPr>
        <w:t> 个月</w:t>
      </w:r>
      <w:r>
        <w:rPr/>
        <w:t>，P＜0.0001）</w:t>
      </w:r>
      <w:r>
        <w:rPr>
          <w:spacing w:val="-12"/>
        </w:rPr>
        <w:t>和更高的 </w:t>
      </w:r>
      <w:r>
        <w:rPr/>
        <w:t>ORR</w:t>
      </w:r>
    </w:p>
    <w:p>
      <w:pPr>
        <w:pStyle w:val="BodyText"/>
        <w:spacing w:line="297" w:lineRule="auto" w:before="2"/>
        <w:ind w:right="231"/>
        <w:jc w:val="both"/>
      </w:pPr>
      <w:r>
        <w:rPr/>
        <w:t>（63.5%</w:t>
      </w:r>
      <w:r>
        <w:rPr>
          <w:spacing w:val="-23"/>
        </w:rPr>
        <w:t> 对 </w:t>
      </w:r>
      <w:r>
        <w:rPr/>
        <w:t>20.8%）</w:t>
      </w:r>
      <w:r>
        <w:rPr>
          <w:spacing w:val="-8"/>
        </w:rPr>
        <w:t>。研究结果已经发表于今年 </w:t>
      </w:r>
      <w:r>
        <w:rPr/>
        <w:t>3</w:t>
      </w:r>
      <w:r>
        <w:rPr>
          <w:spacing w:val="-11"/>
        </w:rPr>
        <w:t> 月的《临床治疗学》杂志，为贝伐珠单抗</w:t>
      </w:r>
      <w:r>
        <w:rPr/>
        <w:t>联合培美曲塞/铂类提供了宝贵的研究数据。</w:t>
      </w:r>
    </w:p>
    <w:p>
      <w:pPr>
        <w:pStyle w:val="BodyText"/>
        <w:spacing w:line="297" w:lineRule="auto"/>
        <w:ind w:right="226" w:firstLine="480"/>
        <w:jc w:val="both"/>
      </w:pPr>
      <w:r>
        <w:rPr>
          <w:spacing w:val="-10"/>
        </w:rPr>
        <w:t>同时近几年，我国学者开展了多项贝伐珠单抗用于晚期 </w:t>
      </w:r>
      <w:r>
        <w:rPr/>
        <w:t>NSCLC</w:t>
      </w:r>
      <w:r>
        <w:rPr>
          <w:spacing w:val="-13"/>
        </w:rPr>
        <w:t> 患者中的临床研究，并在</w:t>
      </w:r>
      <w:r>
        <w:rPr/>
        <w:t>国际权威肿瘤领域大会或期刊杂志予以公布和发表。其中包括比较贝伐珠单抗+化疗与单纯</w:t>
      </w:r>
      <w:r>
        <w:rPr>
          <w:spacing w:val="-12"/>
        </w:rPr>
        <w:t>化疗作为一、二线及维持治疗的研究；比较贝伐珠单抗一线或后线治疗晚期 </w:t>
      </w:r>
      <w:r>
        <w:rPr/>
        <w:t>NSCLC</w:t>
      </w:r>
      <w:r>
        <w:rPr>
          <w:spacing w:val="-16"/>
        </w:rPr>
        <w:t> 患者的临</w:t>
      </w:r>
      <w:r>
        <w:rPr/>
        <w:t>床预后等多方面的临床研究。通过这些真实世界研究，从不同层面证实了贝伐珠单抗+化疗</w:t>
      </w:r>
      <w:r>
        <w:rPr>
          <w:spacing w:val="-8"/>
        </w:rPr>
        <w:t>药物能够为患者带来的治疗疗效；在治疗时机方面也显示出一线治疗较后线治疗获得更好的</w:t>
      </w:r>
      <w:r>
        <w:rPr/>
        <w:t>疗效；同时贝伐珠单抗治疗的安全性可以耐受，未观察到严重的不良反应事件。</w:t>
      </w:r>
    </w:p>
    <w:p>
      <w:pPr>
        <w:pStyle w:val="BodyText"/>
        <w:spacing w:line="297" w:lineRule="auto"/>
        <w:ind w:right="227" w:firstLine="480"/>
        <w:jc w:val="both"/>
      </w:pPr>
      <w:r>
        <w:rPr>
          <w:spacing w:val="-11"/>
        </w:rPr>
        <w:t>由此，根据严谨的循证医学研究与宝贵经验的真实世界研究，从不同角度证实贝伐珠单</w:t>
      </w:r>
      <w:r>
        <w:rPr>
          <w:spacing w:val="-5"/>
        </w:rPr>
        <w:t>抗这类抗血管生成药物在我国 </w:t>
      </w:r>
      <w:r>
        <w:rPr/>
        <w:t>NSCLC</w:t>
      </w:r>
      <w:r>
        <w:rPr>
          <w:spacing w:val="-12"/>
        </w:rPr>
        <w:t> 治疗中带来的实际获益，本次新版 </w:t>
      </w:r>
      <w:r>
        <w:rPr/>
        <w:t>CSCO</w:t>
      </w:r>
      <w:r>
        <w:rPr>
          <w:spacing w:val="-9"/>
        </w:rPr>
        <w:t> 肺癌诊疗指南</w:t>
      </w:r>
      <w:r>
        <w:rPr>
          <w:spacing w:val="-11"/>
        </w:rPr>
        <w:t>也因此进一步肯定了贝伐珠单抗用于无驱动基因突变非鳞 </w:t>
      </w:r>
      <w:r>
        <w:rPr/>
        <w:t>NSCLC</w:t>
      </w:r>
      <w:r>
        <w:rPr>
          <w:spacing w:val="-16"/>
        </w:rPr>
        <w:t> 治疗，期待后续更多临床研</w:t>
      </w:r>
    </w:p>
    <w:p>
      <w:pPr>
        <w:pStyle w:val="BodyText"/>
        <w:spacing w:line="194" w:lineRule="auto"/>
        <w:ind w:right="241"/>
        <w:jc w:val="both"/>
        <w:rPr>
          <w:rFonts w:ascii="Meiryo" w:eastAsia="Meiryo" w:hint="eastAsia"/>
          <w:b/>
        </w:rPr>
      </w:pPr>
      <w:r>
        <w:rPr>
          <w:spacing w:val="-3"/>
        </w:rPr>
        <w:t>究的诞生，不断夯实药物应用的理论基础，为我国晚期 </w:t>
      </w:r>
      <w:r>
        <w:rPr/>
        <w:t>NSCLC</w:t>
      </w:r>
      <w:r>
        <w:rPr>
          <w:spacing w:val="-8"/>
        </w:rPr>
        <w:t> 患者带来实际获益！</w:t>
      </w:r>
      <w:r>
        <w:rPr>
          <w:rFonts w:ascii="Meiryo" w:eastAsia="Meiryo" w:hint="eastAsia"/>
          <w:b/>
          <w:color w:val="0033CC"/>
          <w:spacing w:val="-4"/>
        </w:rPr>
        <w:t>[返回目</w:t>
      </w:r>
      <w:r>
        <w:rPr>
          <w:rFonts w:ascii="Meiryo" w:eastAsia="Meiryo" w:hint="eastAsia"/>
          <w:b/>
          <w:color w:val="0033CC"/>
        </w:rPr>
        <w:t>次]</w:t>
      </w:r>
    </w:p>
    <w:p>
      <w:pPr>
        <w:pStyle w:val="Heading2"/>
        <w:spacing w:before="98"/>
      </w:pPr>
      <w:bookmarkStart w:name="_TOC_250011" w:id="13"/>
      <w:bookmarkEnd w:id="13"/>
      <w:r>
        <w:rPr/>
        <w:t>【处方分析】</w:t>
      </w:r>
    </w:p>
    <w:p>
      <w:pPr>
        <w:pStyle w:val="BodyText"/>
        <w:spacing w:before="9"/>
        <w:ind w:left="0"/>
        <w:rPr>
          <w:b/>
          <w:sz w:val="18"/>
        </w:rPr>
      </w:pPr>
    </w:p>
    <w:p>
      <w:pPr>
        <w:pStyle w:val="Heading2"/>
        <w:spacing w:before="54"/>
        <w:ind w:left="2"/>
        <w:jc w:val="center"/>
      </w:pPr>
      <w:bookmarkStart w:name="_TOC_250010" w:id="14"/>
      <w:bookmarkEnd w:id="14"/>
      <w:r>
        <w:rPr/>
        <w:t>药师审方：对含西药成分的中成药不能大意</w:t>
      </w:r>
    </w:p>
    <w:p>
      <w:pPr>
        <w:pStyle w:val="Heading3"/>
        <w:spacing w:before="145"/>
        <w:ind w:left="0" w:right="228"/>
        <w:jc w:val="right"/>
        <w:rPr>
          <w:rFonts w:ascii="楷体" w:eastAsia="楷体" w:hint="eastAsia"/>
        </w:rPr>
      </w:pPr>
      <w:r>
        <w:rPr>
          <w:rFonts w:ascii="楷体" w:eastAsia="楷体" w:hint="eastAsia"/>
          <w:color w:val="FF0000"/>
          <w:w w:val="95"/>
        </w:rPr>
        <w:t>（来源：临床药师网）</w:t>
      </w:r>
    </w:p>
    <w:p>
      <w:pPr>
        <w:pStyle w:val="BodyText"/>
        <w:spacing w:before="96"/>
        <w:ind w:left="717"/>
      </w:pPr>
      <w:r>
        <w:rPr/>
        <w:t>【处方】</w:t>
      </w:r>
    </w:p>
    <w:p>
      <w:pPr>
        <w:pStyle w:val="BodyText"/>
        <w:spacing w:line="295" w:lineRule="auto" w:before="74"/>
        <w:ind w:left="717" w:right="1566"/>
      </w:pPr>
      <w:r>
        <w:rPr>
          <w:spacing w:val="-5"/>
        </w:rPr>
        <w:t>一般信息：患者，女，年龄 </w:t>
      </w:r>
      <w:r>
        <w:rPr/>
        <w:t>9</w:t>
      </w:r>
      <w:r>
        <w:rPr>
          <w:spacing w:val="-9"/>
        </w:rPr>
        <w:t> 岁，有咳嗽痰白，怕冷，流清鼻涕等症状。</w:t>
      </w:r>
      <w:r>
        <w:rPr/>
        <w:t>诊断：急性上呼吸道感染。</w:t>
      </w:r>
    </w:p>
    <w:p>
      <w:pPr>
        <w:pStyle w:val="BodyText"/>
        <w:spacing w:before="2"/>
        <w:ind w:left="717"/>
      </w:pPr>
      <w:r>
        <w:rPr/>
        <w:t>处方用药</w:t>
      </w:r>
    </w:p>
    <w:p>
      <w:pPr>
        <w:pStyle w:val="BodyText"/>
        <w:tabs>
          <w:tab w:pos="2277" w:val="left" w:leader="none"/>
          <w:tab w:pos="2997" w:val="left" w:leader="none"/>
        </w:tabs>
        <w:spacing w:line="295" w:lineRule="auto" w:before="74"/>
        <w:ind w:left="717" w:right="1986"/>
      </w:pPr>
      <w:r>
        <w:rPr/>
        <w:t>感冒灵颗粒</w:t>
        <w:tab/>
        <w:t>10g*10</w:t>
      </w:r>
      <w:r>
        <w:rPr>
          <w:spacing w:val="-60"/>
        </w:rPr>
        <w:t> </w:t>
      </w:r>
      <w:r>
        <w:rPr/>
        <w:t>袋*1</w:t>
      </w:r>
      <w:r>
        <w:rPr>
          <w:spacing w:val="-60"/>
        </w:rPr>
        <w:t> </w:t>
      </w:r>
      <w:r>
        <w:rPr/>
        <w:t>盒。用法用量：10g，每日</w:t>
      </w:r>
      <w:r>
        <w:rPr>
          <w:spacing w:val="-60"/>
        </w:rPr>
        <w:t> </w:t>
      </w:r>
      <w:r>
        <w:rPr/>
        <w:t>3</w:t>
      </w:r>
      <w:r>
        <w:rPr>
          <w:spacing w:val="-60"/>
        </w:rPr>
        <w:t> </w:t>
      </w:r>
      <w:r>
        <w:rPr/>
        <w:t>次，冲服。马来酸氯苯那敏片</w:t>
        <w:tab/>
        <w:t>4mg *10</w:t>
      </w:r>
      <w:r>
        <w:rPr>
          <w:spacing w:val="-60"/>
        </w:rPr>
        <w:t> </w:t>
      </w:r>
      <w:r>
        <w:rPr/>
        <w:t>片 用法用量：4mg，每日</w:t>
      </w:r>
      <w:r>
        <w:rPr>
          <w:spacing w:val="-60"/>
        </w:rPr>
        <w:t> </w:t>
      </w:r>
      <w:r>
        <w:rPr/>
        <w:t>2</w:t>
      </w:r>
      <w:r>
        <w:rPr>
          <w:spacing w:val="-60"/>
        </w:rPr>
        <w:t> </w:t>
      </w:r>
      <w:r>
        <w:rPr/>
        <w:t>次，口服</w:t>
      </w:r>
      <w:r>
        <w:rPr>
          <w:spacing w:val="-17"/>
        </w:rPr>
        <w:t>。</w:t>
      </w:r>
      <w:r>
        <w:rPr/>
        <w:t>患者询问，服用上述药物的同时，能否服用蛇胆川贝液？</w:t>
      </w:r>
    </w:p>
    <w:p>
      <w:pPr>
        <w:pStyle w:val="BodyText"/>
        <w:spacing w:line="295" w:lineRule="auto" w:before="6"/>
        <w:ind w:left="717" w:right="8047"/>
      </w:pPr>
      <w:r>
        <w:rPr/>
        <w:t>【分析】 </w:t>
      </w:r>
      <w:r>
        <w:rPr>
          <w:spacing w:val="-4"/>
        </w:rPr>
        <w:t>处方不合理</w:t>
      </w:r>
    </w:p>
    <w:p>
      <w:pPr>
        <w:pStyle w:val="BodyText"/>
        <w:spacing w:line="297" w:lineRule="auto" w:before="2"/>
        <w:ind w:right="127" w:firstLine="480"/>
      </w:pPr>
      <w:r>
        <w:rPr/>
        <w:t>感冒灵颗粒，是含西药成分的中成药制剂，主要成分为：三叉苦、金盏银盘、野菊花、岗梅、咖啡因、对乙酰氨基酚、马来酸氯苯那敏、薄荷油。</w:t>
      </w:r>
    </w:p>
    <w:p>
      <w:pPr>
        <w:pStyle w:val="BodyText"/>
        <w:spacing w:line="295" w:lineRule="auto"/>
        <w:ind w:right="107" w:firstLine="480"/>
      </w:pPr>
      <w:r>
        <w:rPr>
          <w:spacing w:val="-6"/>
        </w:rPr>
        <w:t>成分中已经含有马来酸氯苯那敏，再额外添加马来酸氯苯那敏片，无疑是重复用药，人</w:t>
      </w:r>
      <w:r>
        <w:rPr>
          <w:spacing w:val="-16"/>
        </w:rPr>
        <w:t>为地加大了马来酸氯苯那敏这种成分的剂量，增加了患者困倦、嗜睡等不良反应的发生几率。</w:t>
      </w:r>
    </w:p>
    <w:p>
      <w:pPr>
        <w:pStyle w:val="BodyText"/>
        <w:spacing w:line="297" w:lineRule="auto" w:before="3"/>
        <w:ind w:right="227" w:firstLine="480"/>
        <w:jc w:val="both"/>
      </w:pPr>
      <w:r>
        <w:rPr>
          <w:spacing w:val="-6"/>
        </w:rPr>
        <w:t>有些患者或是医务人员经常错误地认为，感冒灵颗粒是纯中药制剂，安全性大，毒副作</w:t>
      </w:r>
      <w:r>
        <w:rPr>
          <w:spacing w:val="-11"/>
        </w:rPr>
        <w:t>用小。临床上有些医师把感冒灵颗粒与对乙酰氨基酚片同时开具给患者，这样的做法也是不</w:t>
      </w:r>
      <w:r>
        <w:rPr>
          <w:spacing w:val="-9"/>
        </w:rPr>
        <w:t>对的，因为感冒灵颗粒，本身就含有对乙酰氨基酚的成分，联合对乙酰氨基酚片使用，会增加肝肾损害。对此，国家药品不良反应中心已经发布了相关不良案例报道。</w:t>
      </w:r>
    </w:p>
    <w:p>
      <w:pPr>
        <w:spacing w:after="0" w:line="297" w:lineRule="auto"/>
        <w:jc w:val="both"/>
        <w:sectPr>
          <w:pgSz w:w="11910" w:h="16850"/>
          <w:pgMar w:header="906" w:footer="607" w:top="1100" w:bottom="800" w:left="1040" w:right="900"/>
        </w:sectPr>
      </w:pPr>
    </w:p>
    <w:p>
      <w:pPr>
        <w:pStyle w:val="BodyText"/>
        <w:spacing w:line="295" w:lineRule="auto" w:before="65"/>
        <w:ind w:right="127" w:firstLine="480"/>
        <w:jc w:val="both"/>
      </w:pPr>
      <w:r>
        <w:rPr>
          <w:spacing w:val="-9"/>
        </w:rPr>
        <w:t>因此，在临床工作中，不论是临床医师还是药师，平时都要多看药品说明书，对于含有</w:t>
      </w:r>
      <w:r>
        <w:rPr>
          <w:spacing w:val="-14"/>
        </w:rPr>
        <w:t>西药成分的中成药制剂更要多留意其适应证、用法用量及其不良反应，询问患者是否对含西</w:t>
      </w:r>
      <w:r>
        <w:rPr>
          <w:spacing w:val="-15"/>
        </w:rPr>
        <w:t>药成分的物质有药物过敏史，并要重点关注含有西药成分的中成药制剂的禁用或忌用人群。</w:t>
      </w:r>
    </w:p>
    <w:p>
      <w:pPr>
        <w:pStyle w:val="BodyText"/>
        <w:spacing w:line="297" w:lineRule="auto" w:before="5"/>
        <w:ind w:right="110" w:firstLine="480"/>
      </w:pPr>
      <w:r>
        <w:rPr>
          <w:spacing w:val="-7"/>
        </w:rPr>
        <w:t>临床常见的一些含西药成分的中成药制剂有：感冒清胶囊</w:t>
      </w:r>
      <w:r>
        <w:rPr/>
        <w:t>（</w:t>
      </w:r>
      <w:r>
        <w:rPr>
          <w:spacing w:val="-10"/>
        </w:rPr>
        <w:t>对乙酰氨基酚、盐酸吗啉呱、</w:t>
      </w:r>
      <w:r>
        <w:rPr/>
        <w:t>马来酸氯苯那敏</w:t>
      </w:r>
      <w:r>
        <w:rPr>
          <w:spacing w:val="-8"/>
        </w:rPr>
        <w:t>）</w:t>
      </w:r>
      <w:r>
        <w:rPr>
          <w:spacing w:val="-22"/>
        </w:rPr>
        <w:t>、维 </w:t>
      </w:r>
      <w:r>
        <w:rPr/>
        <w:t>C</w:t>
      </w:r>
      <w:r>
        <w:rPr>
          <w:spacing w:val="-17"/>
        </w:rPr>
        <w:t> 银翘片</w:t>
      </w:r>
      <w:r>
        <w:rPr/>
        <w:t>（</w:t>
      </w:r>
      <w:r>
        <w:rPr>
          <w:spacing w:val="-15"/>
        </w:rPr>
        <w:t>维生素 </w:t>
      </w:r>
      <w:r>
        <w:rPr/>
        <w:t>C</w:t>
      </w:r>
      <w:r>
        <w:rPr>
          <w:spacing w:val="-3"/>
        </w:rPr>
        <w:t>、马来酸氯苯那敏、对乙酰氨基酚</w:t>
      </w:r>
      <w:r>
        <w:rPr>
          <w:spacing w:val="-8"/>
        </w:rPr>
        <w:t>）</w:t>
      </w:r>
      <w:r>
        <w:rPr>
          <w:spacing w:val="-3"/>
        </w:rPr>
        <w:t>、复方感冒灵颗粒（对乙酰氨基酚、 马来酸氯苯那敏、咖啡因）、鼻炎康片（马来酸氯苯那敏）、消渴丸（格列本脲）。</w:t>
      </w:r>
    </w:p>
    <w:p>
      <w:pPr>
        <w:pStyle w:val="BodyText"/>
        <w:spacing w:line="302" w:lineRule="exact"/>
        <w:ind w:left="717"/>
      </w:pPr>
      <w:r>
        <w:rPr/>
        <w:t>风寒咳嗽不宜用蛇胆川贝液</w:t>
      </w:r>
    </w:p>
    <w:p>
      <w:pPr>
        <w:pStyle w:val="BodyText"/>
        <w:spacing w:line="297" w:lineRule="auto" w:before="72"/>
        <w:ind w:right="110" w:firstLine="480"/>
      </w:pPr>
      <w:r>
        <w:rPr>
          <w:spacing w:val="-12"/>
        </w:rPr>
        <w:t>中成药要在中医的理论指导下用药，本案例中就先要辨明寒热、痰液性质、咽部感觉等， </w:t>
      </w:r>
      <w:r>
        <w:rPr/>
        <w:t>然后才能正确指导患者用药。</w:t>
      </w:r>
    </w:p>
    <w:p>
      <w:pPr>
        <w:pStyle w:val="BodyText"/>
        <w:spacing w:line="297" w:lineRule="auto"/>
        <w:ind w:right="227" w:firstLine="480"/>
        <w:jc w:val="both"/>
      </w:pPr>
      <w:r>
        <w:rPr>
          <w:spacing w:val="-8"/>
        </w:rPr>
        <w:t>风寒咳嗽主要表现为：咳嗽痰白质稀，伴有怕冷，鼻流清涕等症。蛇胆川贝液，主要成</w:t>
      </w:r>
      <w:r>
        <w:rPr>
          <w:spacing w:val="-13"/>
        </w:rPr>
        <w:t>分为：蛇胆汁、平贝母，功效祛风止咳，除痰散结，用于风热咳嗽，痰多，咯痰黄稠，咳痰</w:t>
      </w:r>
      <w:r>
        <w:rPr>
          <w:spacing w:val="-9"/>
        </w:rPr>
        <w:t>不爽或久咳不止。而本案例中儿童是风寒引起的咳嗽，非风热引起的咳嗽，如果使用蛇胆川</w:t>
      </w:r>
      <w:r>
        <w:rPr/>
        <w:t>贝液，治疗效果会恰恰相反。</w:t>
      </w:r>
    </w:p>
    <w:p>
      <w:pPr>
        <w:pStyle w:val="BodyText"/>
        <w:spacing w:line="297" w:lineRule="auto"/>
        <w:ind w:right="227" w:firstLine="480"/>
        <w:jc w:val="both"/>
      </w:pPr>
      <w:r>
        <w:rPr>
          <w:spacing w:val="-9"/>
        </w:rPr>
        <w:t>针对患者的症状，笔者分析认为，可以服用蛇胆陈皮口服液。蛇胆陈皮口服液主要成分</w:t>
      </w:r>
      <w:r>
        <w:rPr>
          <w:spacing w:val="-5"/>
        </w:rPr>
        <w:t>为蛇胆汁、陈皮</w:t>
      </w:r>
      <w:r>
        <w:rPr/>
        <w:t>（蒸</w:t>
      </w:r>
      <w:r>
        <w:rPr>
          <w:spacing w:val="-11"/>
        </w:rPr>
        <w:t>）</w:t>
      </w:r>
      <w:r>
        <w:rPr>
          <w:spacing w:val="-8"/>
        </w:rPr>
        <w:t>，可用于风寒咳嗽，痰多呃逆。药物上同样有“蛇胆口服液”，但蛇</w:t>
      </w:r>
      <w:r>
        <w:rPr/>
        <w:t>胆川贝液与蛇胆陈皮口服液由于所含成分不同，功用也不同，一个是风热、一个是风寒。</w:t>
      </w:r>
    </w:p>
    <w:p>
      <w:pPr>
        <w:pStyle w:val="BodyText"/>
        <w:spacing w:line="297" w:lineRule="auto"/>
        <w:ind w:right="109" w:firstLine="480"/>
      </w:pPr>
      <w:r>
        <w:rPr>
          <w:spacing w:val="-14"/>
        </w:rPr>
        <w:t>在我国批准注册的中成药中，有数百种是中西药复方制剂，即含有化学药成分的中成药。</w:t>
      </w:r>
      <w:r>
        <w:rPr/>
        <w:t>医师、药师及患者都必须清楚，这类制剂不能仅作为一般的中成药使用。</w:t>
      </w:r>
    </w:p>
    <w:p>
      <w:pPr>
        <w:pStyle w:val="BodyText"/>
        <w:spacing w:line="278" w:lineRule="auto"/>
        <w:ind w:right="227" w:firstLine="480"/>
        <w:jc w:val="both"/>
        <w:rPr>
          <w:rFonts w:ascii="Meiryo" w:eastAsia="Meiryo" w:hint="eastAsia"/>
          <w:b/>
        </w:rPr>
      </w:pPr>
      <w:r>
        <w:rPr>
          <w:spacing w:val="-9"/>
        </w:rPr>
        <w:t>因此，基层医师和药师在工作中若不注意其处方成分会导致重复用药，因此，在与其他</w:t>
      </w:r>
      <w:r>
        <w:rPr>
          <w:spacing w:val="-8"/>
        </w:rPr>
        <w:t>化学药联合应用时，一定要先弄清楚药物成分，避免滥用和与化学药累加应用，以防患者出</w:t>
      </w:r>
      <w:r>
        <w:rPr/>
        <w:t>现严重的不良反应及器官损害。</w:t>
      </w:r>
      <w:r>
        <w:rPr>
          <w:rFonts w:ascii="Meiryo" w:eastAsia="Meiryo" w:hint="eastAsia"/>
          <w:b/>
          <w:color w:val="0033CC"/>
        </w:rPr>
        <w:t>[返回目次]</w:t>
      </w:r>
    </w:p>
    <w:p>
      <w:pPr>
        <w:pStyle w:val="Heading2"/>
        <w:spacing w:line="401" w:lineRule="exact"/>
      </w:pPr>
      <w:bookmarkStart w:name="_TOC_250009" w:id="15"/>
      <w:bookmarkEnd w:id="15"/>
      <w:r>
        <w:rPr/>
        <w:t>【药物警戒】</w:t>
      </w:r>
    </w:p>
    <w:p>
      <w:pPr>
        <w:pStyle w:val="Heading2"/>
        <w:spacing w:before="281"/>
        <w:ind w:left="969"/>
      </w:pPr>
      <w:bookmarkStart w:name="_TOC_250008" w:id="16"/>
      <w:bookmarkEnd w:id="16"/>
      <w:r>
        <w:rPr/>
        <w:t>甲磺酸溴隐亭片说明书修订: 适应症删除“产后乳腺炎”</w:t>
      </w:r>
    </w:p>
    <w:p>
      <w:pPr>
        <w:pStyle w:val="Heading3"/>
        <w:spacing w:before="145"/>
        <w:ind w:left="0" w:right="228"/>
        <w:jc w:val="right"/>
        <w:rPr>
          <w:rFonts w:ascii="楷体" w:eastAsia="楷体" w:hint="eastAsia"/>
        </w:rPr>
      </w:pPr>
      <w:r>
        <w:rPr>
          <w:rFonts w:ascii="楷体" w:eastAsia="楷体" w:hint="eastAsia"/>
          <w:color w:val="FF0000"/>
          <w:w w:val="95"/>
        </w:rPr>
        <w:t>（来源：中国医药报）</w:t>
      </w:r>
    </w:p>
    <w:p>
      <w:pPr>
        <w:pStyle w:val="BodyText"/>
        <w:spacing w:line="297" w:lineRule="auto" w:before="99"/>
        <w:ind w:right="224" w:firstLine="480"/>
        <w:jc w:val="both"/>
      </w:pPr>
      <w:r>
        <w:rPr/>
        <w:t>5</w:t>
      </w:r>
      <w:r>
        <w:rPr>
          <w:spacing w:val="-41"/>
        </w:rPr>
        <w:t> 月 </w:t>
      </w:r>
      <w:r>
        <w:rPr/>
        <w:t>8</w:t>
      </w:r>
      <w:r>
        <w:rPr>
          <w:spacing w:val="-11"/>
        </w:rPr>
        <w:t> 日，国家药品监管局发布公告，决定修订甲磺酸溴隐亭片说明书。根据公告，其</w:t>
      </w:r>
      <w:r>
        <w:rPr>
          <w:spacing w:val="-4"/>
        </w:rPr>
        <w:t>适应症由“抑制泌乳”或“抑制生理性泌乳”修改为“抑制生理性泌乳：仅用于医疗原因而不能哺乳的情况，如死产、新生儿死亡、母亲感染人免疫缺陷病毒（HIV）等情况”，并删除“产后乳腺炎”适应症。</w:t>
      </w:r>
    </w:p>
    <w:p>
      <w:pPr>
        <w:pStyle w:val="BodyText"/>
        <w:spacing w:line="297" w:lineRule="auto"/>
        <w:ind w:right="127" w:firstLine="480"/>
      </w:pPr>
      <w:r>
        <w:rPr>
          <w:spacing w:val="-7"/>
        </w:rPr>
        <w:t>禁忌项也从此前的 </w:t>
      </w:r>
      <w:r>
        <w:rPr/>
        <w:t>2</w:t>
      </w:r>
      <w:r>
        <w:rPr>
          <w:spacing w:val="-20"/>
        </w:rPr>
        <w:t> 项修订为 </w:t>
      </w:r>
      <w:r>
        <w:rPr/>
        <w:t>4</w:t>
      </w:r>
      <w:r>
        <w:rPr>
          <w:spacing w:val="-14"/>
        </w:rPr>
        <w:t> 项，分别是：已知对溴麦角环肽及本品任何成份或其他</w:t>
      </w:r>
      <w:r>
        <w:rPr>
          <w:spacing w:val="-13"/>
        </w:rPr>
        <w:t>麦角碱过敏者；控制不佳的高血压，妊娠期高血压相关疾病</w:t>
      </w:r>
      <w:r>
        <w:rPr/>
        <w:t>（</w:t>
      </w:r>
      <w:r>
        <w:rPr>
          <w:spacing w:val="-5"/>
        </w:rPr>
        <w:t>包括子痫、子痫前期或妊娠高血压综合征），</w:t>
      </w:r>
      <w:r>
        <w:rPr>
          <w:spacing w:val="-6"/>
        </w:rPr>
        <w:t>分娩后及产褥期高血压患者及冠状动脉疾病或其他严重的心血管疾病患者； </w:t>
      </w:r>
      <w:r>
        <w:rPr/>
        <w:t>有严重精神疾病的症状和/或病史的患者；已有瓣膜病的患者。</w:t>
      </w:r>
    </w:p>
    <w:p>
      <w:pPr>
        <w:pStyle w:val="BodyText"/>
        <w:spacing w:line="297" w:lineRule="auto"/>
        <w:ind w:right="227" w:firstLine="480"/>
        <w:jc w:val="both"/>
      </w:pPr>
      <w:r>
        <w:rPr>
          <w:spacing w:val="-7"/>
        </w:rPr>
        <w:t>记者查阅国家药监局网站发现，目前共有两家企业持有甲磺酸溴隐亭片批准文号，持有</w:t>
      </w:r>
      <w:r>
        <w:rPr>
          <w:spacing w:val="-8"/>
        </w:rPr>
        <w:t>人分别是瑞士的 </w:t>
      </w:r>
      <w:r>
        <w:rPr/>
        <w:t>Future</w:t>
      </w:r>
      <w:r>
        <w:rPr>
          <w:spacing w:val="-10"/>
        </w:rPr>
        <w:t> </w:t>
      </w:r>
      <w:r>
        <w:rPr/>
        <w:t>Health</w:t>
      </w:r>
      <w:r>
        <w:rPr>
          <w:spacing w:val="-10"/>
        </w:rPr>
        <w:t> </w:t>
      </w:r>
      <w:r>
        <w:rPr/>
        <w:t>Pharma</w:t>
      </w:r>
      <w:r>
        <w:rPr>
          <w:spacing w:val="-10"/>
        </w:rPr>
        <w:t> </w:t>
      </w:r>
      <w:r>
        <w:rPr/>
        <w:t>GmbH</w:t>
      </w:r>
      <w:r>
        <w:rPr>
          <w:spacing w:val="-18"/>
        </w:rPr>
        <w:t> 和匈牙利的 </w:t>
      </w:r>
      <w:r>
        <w:rPr/>
        <w:t>Gedeon</w:t>
      </w:r>
      <w:r>
        <w:rPr>
          <w:spacing w:val="-10"/>
        </w:rPr>
        <w:t> </w:t>
      </w:r>
      <w:r>
        <w:rPr/>
        <w:t>Richter</w:t>
      </w:r>
      <w:r>
        <w:rPr>
          <w:spacing w:val="-10"/>
        </w:rPr>
        <w:t> </w:t>
      </w:r>
      <w:r>
        <w:rPr/>
        <w:t>Plc.，国内企业中仅有深圳翰宇药业股份有限公司正在开展甲磺酸溴隐亭片的糖尿病适应症临床研究。</w:t>
      </w:r>
    </w:p>
    <w:p>
      <w:pPr>
        <w:spacing w:after="0" w:line="297" w:lineRule="auto"/>
        <w:jc w:val="both"/>
        <w:sectPr>
          <w:pgSz w:w="11910" w:h="16850"/>
          <w:pgMar w:header="906" w:footer="607" w:top="1100" w:bottom="800" w:left="1040" w:right="900"/>
        </w:sectPr>
      </w:pPr>
    </w:p>
    <w:p>
      <w:pPr>
        <w:pStyle w:val="BodyText"/>
        <w:spacing w:line="295" w:lineRule="auto" w:before="65"/>
        <w:ind w:right="127" w:firstLine="480"/>
      </w:pPr>
      <w:r>
        <w:rPr>
          <w:spacing w:val="-1"/>
        </w:rPr>
        <w:t>公告要求，所有甲磺酸溴隐亭片生产企业均应依据《药品注册管理办法》等有关规定， </w:t>
      </w:r>
      <w:r>
        <w:rPr>
          <w:spacing w:val="-2"/>
        </w:rPr>
        <w:t>按照甲磺酸溴隐亭片说明书修订要求提出修订说明书的补充申请，于 </w:t>
      </w:r>
      <w:r>
        <w:rPr/>
        <w:t>6</w:t>
      </w:r>
      <w:r>
        <w:rPr>
          <w:spacing w:val="-40"/>
        </w:rPr>
        <w:t> 月 </w:t>
      </w:r>
      <w:r>
        <w:rPr/>
        <w:t>29</w:t>
      </w:r>
      <w:r>
        <w:rPr>
          <w:spacing w:val="-9"/>
        </w:rPr>
        <w:t> 日前报国家药</w:t>
      </w:r>
      <w:r>
        <w:rPr>
          <w:spacing w:val="-13"/>
        </w:rPr>
        <w:t>品监管部门备案。修订内容涉及药品标签的，应当一并进行修订；说明书及标签其他内容应</w:t>
      </w:r>
    </w:p>
    <w:p>
      <w:pPr>
        <w:pStyle w:val="BodyText"/>
        <w:spacing w:line="259" w:lineRule="auto" w:before="5"/>
        <w:ind w:right="229"/>
        <w:rPr>
          <w:rFonts w:ascii="Meiryo" w:eastAsia="Meiryo" w:hint="eastAsia"/>
          <w:b/>
        </w:rPr>
      </w:pPr>
      <w:r>
        <w:rPr>
          <w:spacing w:val="-13"/>
        </w:rPr>
        <w:t>当与原批准内容一致。在补充申请备案后 </w:t>
      </w:r>
      <w:r>
        <w:rPr/>
        <w:t>6</w:t>
      </w:r>
      <w:r>
        <w:rPr>
          <w:spacing w:val="-9"/>
        </w:rPr>
        <w:t> 个月内对所有已出厂的药品说明书及标签予以更</w:t>
      </w:r>
      <w:r>
        <w:rPr/>
        <w:t>换。</w:t>
      </w:r>
      <w:r>
        <w:rPr>
          <w:rFonts w:ascii="Meiryo" w:eastAsia="Meiryo" w:hint="eastAsia"/>
          <w:b/>
          <w:color w:val="0033CC"/>
        </w:rPr>
        <w:t>[返回目次]</w:t>
      </w:r>
    </w:p>
    <w:p>
      <w:pPr>
        <w:pStyle w:val="Heading2"/>
        <w:spacing w:before="170"/>
      </w:pPr>
      <w:bookmarkStart w:name="_TOC_250007" w:id="17"/>
      <w:bookmarkEnd w:id="17"/>
      <w:r>
        <w:rPr/>
        <w:t>【科普知识】</w:t>
      </w:r>
    </w:p>
    <w:p>
      <w:pPr>
        <w:pStyle w:val="BodyText"/>
        <w:spacing w:before="6"/>
        <w:ind w:left="0"/>
        <w:rPr>
          <w:b/>
          <w:sz w:val="22"/>
        </w:rPr>
      </w:pPr>
    </w:p>
    <w:p>
      <w:pPr>
        <w:pStyle w:val="Heading2"/>
        <w:spacing w:before="1"/>
        <w:ind w:left="0"/>
        <w:jc w:val="center"/>
      </w:pPr>
      <w:bookmarkStart w:name="_TOC_250006" w:id="18"/>
      <w:bookmarkEnd w:id="18"/>
      <w:r>
        <w:rPr/>
        <w:t>哮喘患者严禁滥用的药物有哪些？</w:t>
      </w:r>
    </w:p>
    <w:p>
      <w:pPr>
        <w:pStyle w:val="Heading3"/>
        <w:spacing w:before="145"/>
        <w:ind w:left="0" w:right="228"/>
        <w:jc w:val="right"/>
        <w:rPr>
          <w:rFonts w:ascii="楷体" w:eastAsia="楷体" w:hint="eastAsia"/>
        </w:rPr>
      </w:pPr>
      <w:r>
        <w:rPr>
          <w:rFonts w:ascii="楷体" w:eastAsia="楷体" w:hint="eastAsia"/>
          <w:color w:val="FF0000"/>
          <w:w w:val="95"/>
        </w:rPr>
        <w:t>（来源：中国医药报）</w:t>
      </w:r>
    </w:p>
    <w:p>
      <w:pPr>
        <w:pStyle w:val="BodyText"/>
        <w:spacing w:line="295" w:lineRule="auto" w:before="99"/>
        <w:ind w:right="230" w:firstLine="480"/>
      </w:pPr>
      <w:r>
        <w:rPr>
          <w:spacing w:val="-6"/>
        </w:rPr>
        <w:t>若哮喘治疗时用药不当或滥用药物常可导致严重的后果。因此，哮喘患者治疗时一定要</w:t>
      </w:r>
      <w:r>
        <w:rPr/>
        <w:t>到正规医院，不得擅自滥用药物。常见滥用药物的情况主要有如下几方面。</w:t>
      </w:r>
    </w:p>
    <w:p>
      <w:pPr>
        <w:pStyle w:val="BodyText"/>
        <w:tabs>
          <w:tab w:pos="2157" w:val="left" w:leader="none"/>
        </w:tabs>
        <w:spacing w:line="297" w:lineRule="auto" w:before="1"/>
        <w:ind w:right="127" w:firstLine="480"/>
      </w:pPr>
      <w:r>
        <w:rPr/>
        <w:t>滥用平喘药</w:t>
        <w:tab/>
        <w:t>由于平喘药物</w:t>
      </w:r>
      <w:r>
        <w:rPr>
          <w:spacing w:val="-17"/>
        </w:rPr>
        <w:t>，</w:t>
      </w:r>
      <w:r>
        <w:rPr/>
        <w:t>如沙丁胺</w:t>
      </w:r>
      <w:r>
        <w:rPr>
          <w:spacing w:val="-17"/>
        </w:rPr>
        <w:t>醇</w:t>
      </w:r>
      <w:r>
        <w:rPr/>
        <w:t>（舒喘灵</w:t>
      </w:r>
      <w:r>
        <w:rPr>
          <w:spacing w:val="-17"/>
        </w:rPr>
        <w:t>）、</w:t>
      </w:r>
      <w:r>
        <w:rPr/>
        <w:t>特布他</w:t>
      </w:r>
      <w:r>
        <w:rPr>
          <w:spacing w:val="-17"/>
        </w:rPr>
        <w:t>林</w:t>
      </w:r>
      <w:r>
        <w:rPr/>
        <w:t>（博利康尼</w:t>
      </w:r>
      <w:r>
        <w:rPr>
          <w:spacing w:val="-17"/>
        </w:rPr>
        <w:t>）</w:t>
      </w:r>
      <w:r>
        <w:rPr/>
        <w:t>等并不具有抗炎的功能，只能治标，不能治本，所以不宜长期单独使用，通常在抗炎的基础上使用</w:t>
      </w:r>
      <w:r>
        <w:rPr>
          <w:spacing w:val="-18"/>
        </w:rPr>
        <w:t>。</w:t>
      </w:r>
    </w:p>
    <w:p>
      <w:pPr>
        <w:pStyle w:val="BodyText"/>
        <w:tabs>
          <w:tab w:pos="2157" w:val="left" w:leader="none"/>
        </w:tabs>
        <w:spacing w:line="297" w:lineRule="auto"/>
        <w:ind w:right="127" w:firstLine="480"/>
      </w:pPr>
      <w:r>
        <w:rPr/>
        <w:t>滥用抗生素</w:t>
        <w:tab/>
        <w:t>哮喘是一种气道过敏性炎症</w:t>
      </w:r>
      <w:r>
        <w:rPr>
          <w:spacing w:val="-51"/>
        </w:rPr>
        <w:t>，</w:t>
      </w:r>
      <w:r>
        <w:rPr/>
        <w:t>这种炎症与细菌性炎症截然不同</w:t>
      </w:r>
      <w:r>
        <w:rPr>
          <w:spacing w:val="-51"/>
        </w:rPr>
        <w:t>。</w:t>
      </w:r>
      <w:r>
        <w:rPr/>
        <w:t>使用各种抗生素</w:t>
      </w:r>
      <w:r>
        <w:rPr>
          <w:spacing w:val="-27"/>
        </w:rPr>
        <w:t>，</w:t>
      </w:r>
      <w:r>
        <w:rPr/>
        <w:t>如青霉素</w:t>
      </w:r>
      <w:r>
        <w:rPr>
          <w:spacing w:val="-27"/>
        </w:rPr>
        <w:t>、</w:t>
      </w:r>
      <w:r>
        <w:rPr/>
        <w:t>头孢菌素类抗生素</w:t>
      </w:r>
      <w:r>
        <w:rPr>
          <w:spacing w:val="-27"/>
        </w:rPr>
        <w:t>，</w:t>
      </w:r>
      <w:r>
        <w:rPr/>
        <w:t>对哮喘并不能起到治疗作用</w:t>
      </w:r>
      <w:r>
        <w:rPr>
          <w:spacing w:val="-27"/>
        </w:rPr>
        <w:t>。</w:t>
      </w:r>
      <w:r>
        <w:rPr/>
        <w:t>临床上有许多患者反复静脉点滴或长期口服抗生素来治疗哮喘，其实这种做法是错误的，不仅会导致治疗无效</w:t>
      </w:r>
      <w:r>
        <w:rPr>
          <w:spacing w:val="-18"/>
        </w:rPr>
        <w:t>， </w:t>
      </w:r>
      <w:r>
        <w:rPr/>
        <w:t>还会造成肝肾功能损害</w:t>
      </w:r>
      <w:r>
        <w:rPr>
          <w:spacing w:val="-34"/>
        </w:rPr>
        <w:t>、</w:t>
      </w:r>
      <w:r>
        <w:rPr/>
        <w:t>肺部真菌感染等其他问题</w:t>
      </w:r>
      <w:r>
        <w:rPr>
          <w:spacing w:val="-34"/>
        </w:rPr>
        <w:t>，</w:t>
      </w:r>
      <w:r>
        <w:rPr/>
        <w:t>严重的可能造成终身损害</w:t>
      </w:r>
      <w:r>
        <w:rPr>
          <w:spacing w:val="-33"/>
        </w:rPr>
        <w:t>。</w:t>
      </w:r>
      <w:r>
        <w:rPr/>
        <w:t>因此，哮喘患者使用抗生素，千万慎重。</w:t>
      </w:r>
    </w:p>
    <w:p>
      <w:pPr>
        <w:pStyle w:val="BodyText"/>
        <w:tabs>
          <w:tab w:pos="2637" w:val="left" w:leader="none"/>
        </w:tabs>
        <w:spacing w:line="297" w:lineRule="auto"/>
        <w:ind w:right="110" w:firstLine="480"/>
      </w:pPr>
      <w:r>
        <w:rPr/>
        <w:t>滥用糖皮质激素</w:t>
        <w:tab/>
        <w:t>主要是对于糖皮质激素的不合理使用</w:t>
      </w:r>
      <w:r>
        <w:rPr>
          <w:spacing w:val="-51"/>
        </w:rPr>
        <w:t>。</w:t>
      </w:r>
      <w:r>
        <w:rPr/>
        <w:t>临床上常会遇到此类患者</w:t>
      </w:r>
      <w:r>
        <w:rPr>
          <w:spacing w:val="-51"/>
        </w:rPr>
        <w:t>，</w:t>
      </w:r>
      <w:r>
        <w:rPr/>
        <w:t>如长期服用泼尼松或含有泼尼松等激素的所谓祖传秘方，或经常静脉点滴地塞米松或甲泼尼 龙</w:t>
      </w:r>
      <w:r>
        <w:rPr>
          <w:spacing w:val="-22"/>
        </w:rPr>
        <w:t>，</w:t>
      </w:r>
      <w:r>
        <w:rPr/>
        <w:t>或定期注射长效激素等</w:t>
      </w:r>
      <w:r>
        <w:rPr>
          <w:spacing w:val="-22"/>
        </w:rPr>
        <w:t>。</w:t>
      </w:r>
      <w:r>
        <w:rPr/>
        <w:t>这是造成许多患者肥胖</w:t>
      </w:r>
      <w:r>
        <w:rPr>
          <w:spacing w:val="-22"/>
        </w:rPr>
        <w:t>、</w:t>
      </w:r>
      <w:r>
        <w:rPr/>
        <w:t>水肿</w:t>
      </w:r>
      <w:r>
        <w:rPr>
          <w:spacing w:val="-22"/>
        </w:rPr>
        <w:t>、</w:t>
      </w:r>
      <w:r>
        <w:rPr/>
        <w:t>骨质疏松</w:t>
      </w:r>
      <w:r>
        <w:rPr>
          <w:spacing w:val="-22"/>
        </w:rPr>
        <w:t>、</w:t>
      </w:r>
      <w:r>
        <w:rPr/>
        <w:t>形成激素依赖甚至肾上腺功能衰竭的主要原因</w:t>
      </w:r>
      <w:r>
        <w:rPr>
          <w:spacing w:val="-34"/>
        </w:rPr>
        <w:t>，</w:t>
      </w:r>
      <w:r>
        <w:rPr/>
        <w:t>导致病情日益加重</w:t>
      </w:r>
      <w:r>
        <w:rPr>
          <w:spacing w:val="-34"/>
        </w:rPr>
        <w:t>。</w:t>
      </w:r>
      <w:r>
        <w:rPr/>
        <w:t>但是</w:t>
      </w:r>
      <w:r>
        <w:rPr>
          <w:spacing w:val="-34"/>
        </w:rPr>
        <w:t>，</w:t>
      </w:r>
      <w:r>
        <w:rPr/>
        <w:t>患者也不</w:t>
      </w:r>
      <w:r>
        <w:rPr>
          <w:spacing w:val="-3"/>
        </w:rPr>
        <w:t>要</w:t>
      </w:r>
      <w:r>
        <w:rPr/>
        <w:t>对糖皮质激素治疗有过多顾虑</w:t>
      </w:r>
      <w:r>
        <w:rPr>
          <w:spacing w:val="-75"/>
        </w:rPr>
        <w:t>，</w:t>
      </w:r>
      <w:r>
        <w:rPr/>
        <w:t>使用的关键在于科学合理</w:t>
      </w:r>
      <w:r>
        <w:rPr>
          <w:spacing w:val="-75"/>
        </w:rPr>
        <w:t>，</w:t>
      </w:r>
      <w:r>
        <w:rPr/>
        <w:t>计量要以微克为单位</w:t>
      </w:r>
      <w:r>
        <w:rPr>
          <w:spacing w:val="-75"/>
        </w:rPr>
        <w:t>。</w:t>
      </w:r>
      <w:r>
        <w:rPr/>
        <w:t>吸入的激素直接作用于病变部位</w:t>
      </w:r>
      <w:r>
        <w:rPr>
          <w:spacing w:val="-16"/>
        </w:rPr>
        <w:t>， </w:t>
      </w:r>
      <w:r>
        <w:rPr/>
        <w:t>具有效用直接</w:t>
      </w:r>
      <w:r>
        <w:rPr>
          <w:spacing w:val="-34"/>
        </w:rPr>
        <w:t>、</w:t>
      </w:r>
      <w:r>
        <w:rPr/>
        <w:t>局部疗效好</w:t>
      </w:r>
      <w:r>
        <w:rPr>
          <w:spacing w:val="-34"/>
        </w:rPr>
        <w:t>、</w:t>
      </w:r>
      <w:r>
        <w:rPr/>
        <w:t>全身不良反应少的优点</w:t>
      </w:r>
      <w:r>
        <w:rPr>
          <w:spacing w:val="-34"/>
        </w:rPr>
        <w:t>。</w:t>
      </w:r>
      <w:r>
        <w:rPr/>
        <w:t>使用糖皮质激素治疗哮喘的原则一是早期</w:t>
      </w:r>
      <w:r>
        <w:rPr>
          <w:spacing w:val="-22"/>
        </w:rPr>
        <w:t>，</w:t>
      </w:r>
      <w:r>
        <w:rPr/>
        <w:t>二是适量</w:t>
      </w:r>
      <w:r>
        <w:rPr>
          <w:spacing w:val="-22"/>
        </w:rPr>
        <w:t>，</w:t>
      </w:r>
      <w:r>
        <w:rPr/>
        <w:t>应该长期使用</w:t>
      </w:r>
      <w:r>
        <w:rPr>
          <w:spacing w:val="-22"/>
        </w:rPr>
        <w:t>，</w:t>
      </w:r>
      <w:r>
        <w:rPr/>
        <w:t>必要时可联合其他药物</w:t>
      </w:r>
      <w:r>
        <w:rPr>
          <w:spacing w:val="-22"/>
        </w:rPr>
        <w:t>。</w:t>
      </w:r>
      <w:r>
        <w:rPr/>
        <w:t>只有合理使用</w:t>
      </w:r>
      <w:r>
        <w:rPr>
          <w:spacing w:val="-22"/>
        </w:rPr>
        <w:t>，</w:t>
      </w:r>
      <w:r>
        <w:rPr/>
        <w:t>激素才能发挥其疗效，否则会使病情雪上加霜。</w:t>
      </w:r>
    </w:p>
    <w:p>
      <w:pPr>
        <w:pStyle w:val="BodyText"/>
        <w:tabs>
          <w:tab w:pos="2581" w:val="left" w:leader="none"/>
        </w:tabs>
        <w:spacing w:line="297" w:lineRule="auto"/>
        <w:ind w:right="109" w:firstLine="480"/>
      </w:pPr>
      <w:r>
        <w:rPr/>
        <w:t>相信偏方</w:t>
      </w:r>
      <w:r>
        <w:rPr>
          <w:spacing w:val="-56"/>
        </w:rPr>
        <w:t>、</w:t>
      </w:r>
      <w:r>
        <w:rPr/>
        <w:t>奇方</w:t>
        <w:tab/>
        <w:t>有少数哮喘患者由于长期被疾病折磨</w:t>
      </w:r>
      <w:r>
        <w:rPr>
          <w:spacing w:val="-56"/>
        </w:rPr>
        <w:t>，</w:t>
      </w:r>
      <w:r>
        <w:rPr/>
        <w:t>很容易相信偏方</w:t>
      </w:r>
      <w:r>
        <w:rPr>
          <w:spacing w:val="-56"/>
        </w:rPr>
        <w:t>、</w:t>
      </w:r>
      <w:r>
        <w:rPr/>
        <w:t>奇方</w:t>
      </w:r>
      <w:r>
        <w:rPr>
          <w:spacing w:val="-56"/>
        </w:rPr>
        <w:t>。</w:t>
      </w:r>
      <w:r>
        <w:rPr/>
        <w:t>但是</w:t>
      </w:r>
      <w:r>
        <w:rPr>
          <w:spacing w:val="-16"/>
        </w:rPr>
        <w:t>， </w:t>
      </w:r>
      <w:r>
        <w:rPr/>
        <w:t>偏方不能随便使用</w:t>
      </w:r>
      <w:r>
        <w:rPr>
          <w:spacing w:val="-51"/>
        </w:rPr>
        <w:t>，</w:t>
      </w:r>
      <w:r>
        <w:rPr/>
        <w:t>市场上有许多骗子利用患者病急乱投医的心理推销所谓的特效药物</w:t>
      </w:r>
      <w:r>
        <w:rPr>
          <w:spacing w:val="-51"/>
        </w:rPr>
        <w:t>，</w:t>
      </w:r>
      <w:r>
        <w:rPr/>
        <w:t>这些通常被碾成粉末状的药物基本上都含有剂量不可控的糖皮质激素如泼尼松等</w:t>
      </w:r>
      <w:r>
        <w:rPr>
          <w:spacing w:val="-104"/>
        </w:rPr>
        <w:t>，</w:t>
      </w:r>
      <w:r>
        <w:rPr/>
        <w:t>一般会有暂时的效果</w:t>
      </w:r>
      <w:r>
        <w:rPr>
          <w:spacing w:val="-27"/>
        </w:rPr>
        <w:t>，</w:t>
      </w:r>
      <w:r>
        <w:rPr/>
        <w:t>但是不良反应明显</w:t>
      </w:r>
      <w:r>
        <w:rPr>
          <w:spacing w:val="-27"/>
        </w:rPr>
        <w:t>，</w:t>
      </w:r>
      <w:r>
        <w:rPr/>
        <w:t>容易形成依赖</w:t>
      </w:r>
      <w:r>
        <w:rPr>
          <w:spacing w:val="-27"/>
        </w:rPr>
        <w:t>，</w:t>
      </w:r>
      <w:r>
        <w:rPr/>
        <w:t>一旦再次发病往往更加难治</w:t>
      </w:r>
      <w:r>
        <w:rPr>
          <w:spacing w:val="-27"/>
        </w:rPr>
        <w:t>，</w:t>
      </w:r>
      <w:r>
        <w:rPr/>
        <w:t>许多患者的病情因此发展成难治性的哮喘、重症哮喘等。</w:t>
      </w:r>
    </w:p>
    <w:p>
      <w:pPr>
        <w:pStyle w:val="BodyText"/>
        <w:spacing w:line="295" w:lineRule="auto"/>
        <w:ind w:right="127" w:firstLine="480"/>
      </w:pPr>
      <w:r>
        <w:rPr>
          <w:spacing w:val="-7"/>
        </w:rPr>
        <w:t>哮喘患者由于发病年龄、致敏物质以及病情严重程度不同，症状和体征存在着很大的差</w:t>
      </w:r>
      <w:r>
        <w:rPr>
          <w:spacing w:val="-11"/>
        </w:rPr>
        <w:t>异；即使是同一个患者，在不同的时期、不同的季节，其症状和体征也会不同。因此，哮喘</w:t>
      </w:r>
    </w:p>
    <w:p>
      <w:pPr>
        <w:pStyle w:val="BodyText"/>
        <w:spacing w:line="259" w:lineRule="auto"/>
        <w:ind w:right="127"/>
        <w:rPr>
          <w:rFonts w:ascii="Meiryo" w:eastAsia="Meiryo" w:hint="eastAsia"/>
          <w:b/>
        </w:rPr>
      </w:pPr>
      <w:r>
        <w:rPr/>
        <w:t>患者切记不能效仿其他病友用药，也不能在发病的任何阶段都使用同一套固定的治疗方案， 只有在专科医师指导下进行有针对性的治疗，才能有效控制病情。</w:t>
      </w:r>
      <w:r>
        <w:rPr>
          <w:rFonts w:ascii="Meiryo" w:eastAsia="Meiryo" w:hint="eastAsia"/>
          <w:b/>
          <w:color w:val="0033CC"/>
        </w:rPr>
        <w:t>[返回目次]</w:t>
      </w:r>
    </w:p>
    <w:p>
      <w:pPr>
        <w:spacing w:after="0" w:line="259" w:lineRule="auto"/>
        <w:rPr>
          <w:rFonts w:ascii="Meiryo" w:eastAsia="Meiryo" w:hint="eastAsia"/>
        </w:rPr>
        <w:sectPr>
          <w:pgSz w:w="11910" w:h="16850"/>
          <w:pgMar w:header="906" w:footer="607" w:top="1100" w:bottom="800" w:left="1040" w:right="900"/>
        </w:sectPr>
      </w:pPr>
    </w:p>
    <w:p>
      <w:pPr>
        <w:pStyle w:val="Heading2"/>
        <w:spacing w:line="395" w:lineRule="exact"/>
        <w:ind w:left="503"/>
      </w:pPr>
      <w:r>
        <w:rPr>
          <w:w w:val="90"/>
        </w:rPr>
        <w:t>全国儿童青少年总体近视率</w:t>
      </w:r>
      <w:r>
        <w:rPr>
          <w:spacing w:val="-86"/>
        </w:rPr>
        <w:t> </w:t>
      </w:r>
      <w:r>
        <w:rPr>
          <w:spacing w:val="1"/>
          <w:w w:val="90"/>
        </w:rPr>
        <w:t>53.6</w:t>
      </w:r>
      <w:r>
        <w:rPr>
          <w:spacing w:val="-2"/>
          <w:w w:val="90"/>
        </w:rPr>
        <w:t>%</w:t>
      </w:r>
      <w:r>
        <w:rPr>
          <w:w w:val="180"/>
        </w:rPr>
        <w:t>„„</w:t>
      </w:r>
      <w:r>
        <w:rPr>
          <w:w w:val="90"/>
        </w:rPr>
        <w:t>“三减三加”的预防近视攻略！</w:t>
      </w:r>
    </w:p>
    <w:p>
      <w:pPr>
        <w:pStyle w:val="Heading3"/>
        <w:spacing w:before="145"/>
        <w:ind w:left="6360"/>
        <w:rPr>
          <w:rFonts w:ascii="楷体" w:eastAsia="楷体" w:hint="eastAsia"/>
        </w:rPr>
      </w:pPr>
      <w:r>
        <w:rPr>
          <w:rFonts w:ascii="楷体" w:eastAsia="楷体" w:hint="eastAsia"/>
          <w:color w:val="FF0000"/>
        </w:rPr>
        <w:t>（来源：药葫芦娃微信公众号）</w:t>
      </w:r>
    </w:p>
    <w:p>
      <w:pPr>
        <w:pStyle w:val="BodyText"/>
        <w:spacing w:line="297" w:lineRule="auto" w:before="96"/>
        <w:ind w:left="717" w:right="4266"/>
      </w:pPr>
      <w:r>
        <w:rPr>
          <w:spacing w:val="-6"/>
          <w:w w:val="110"/>
        </w:rPr>
        <w:t>宝宝闹个不停„„恰逢 </w:t>
      </w:r>
      <w:r>
        <w:rPr>
          <w:w w:val="110"/>
        </w:rPr>
        <w:t>boss</w:t>
      </w:r>
      <w:r>
        <w:rPr>
          <w:spacing w:val="-20"/>
          <w:w w:val="110"/>
        </w:rPr>
        <w:t> 夺命十八 </w:t>
      </w:r>
      <w:r>
        <w:rPr>
          <w:spacing w:val="-3"/>
          <w:w w:val="110"/>
        </w:rPr>
        <w:t>call„„ </w:t>
      </w:r>
      <w:r>
        <w:rPr>
          <w:w w:val="120"/>
        </w:rPr>
        <w:t>应付不过来？肿么破？</w:t>
      </w:r>
    </w:p>
    <w:p>
      <w:pPr>
        <w:pStyle w:val="BodyText"/>
        <w:spacing w:line="295" w:lineRule="auto"/>
        <w:ind w:left="717" w:right="1446"/>
      </w:pPr>
      <w:r>
        <w:rPr>
          <w:spacing w:val="-4"/>
        </w:rPr>
        <w:t>给熊孩子手里塞个手机或平板，让 </w:t>
      </w:r>
      <w:r>
        <w:rPr/>
        <w:t>ta</w:t>
      </w:r>
      <w:r>
        <w:rPr>
          <w:spacing w:val="-9"/>
        </w:rPr>
        <w:t> 打会儿游戏、刷个抖音，完美解决！ </w:t>
      </w:r>
      <w:r>
        <w:rPr/>
        <w:t>但是，额，重点总在转折后</w:t>
      </w:r>
      <w:r>
        <w:rPr>
          <w:w w:val="180"/>
        </w:rPr>
        <w:t>„„</w:t>
      </w:r>
    </w:p>
    <w:p>
      <w:pPr>
        <w:pStyle w:val="BodyText"/>
        <w:spacing w:line="295" w:lineRule="auto" w:before="3"/>
        <w:ind w:left="717" w:right="5166"/>
      </w:pPr>
      <w:r>
        <w:rPr>
          <w:w w:val="105"/>
        </w:rPr>
        <w:t>娃总是盯着屏幕看，似乎有点不妥„„ </w:t>
      </w:r>
      <w:r>
        <w:rPr>
          <w:w w:val="110"/>
        </w:rPr>
        <w:t>这不，官方发声了</w:t>
      </w:r>
      <w:r>
        <w:rPr>
          <w:w w:val="180"/>
        </w:rPr>
        <w:t>„„</w:t>
      </w:r>
    </w:p>
    <w:p>
      <w:pPr>
        <w:pStyle w:val="BodyText"/>
        <w:spacing w:before="2"/>
        <w:ind w:left="717"/>
      </w:pPr>
      <w:r>
        <w:rPr/>
        <w:t>近日，世界卫生组织发布的《世卫组织关于 5 岁以下儿童的身体活动、久坐行为和睡眠</w:t>
      </w:r>
    </w:p>
    <w:p>
      <w:pPr>
        <w:pStyle w:val="BodyText"/>
        <w:spacing w:line="295" w:lineRule="auto" w:before="74"/>
        <w:ind w:right="227"/>
      </w:pPr>
      <w:r>
        <w:rPr>
          <w:spacing w:val="-12"/>
        </w:rPr>
        <w:t>的新指南》中就对这种“电子看娃”的方式提出了异议，指南建议 </w:t>
      </w:r>
      <w:r>
        <w:rPr/>
        <w:t>2</w:t>
      </w:r>
      <w:r>
        <w:rPr>
          <w:spacing w:val="-9"/>
        </w:rPr>
        <w:t> 岁以下儿童不要接触任</w:t>
      </w:r>
      <w:r>
        <w:rPr/>
        <w:t>何电子屏幕，2～5</w:t>
      </w:r>
      <w:r>
        <w:rPr>
          <w:spacing w:val="-11"/>
        </w:rPr>
        <w:t> 岁儿童每天接触电子屏幕时间不能超过 </w:t>
      </w:r>
      <w:r>
        <w:rPr/>
        <w:t>1</w:t>
      </w:r>
      <w:r>
        <w:rPr>
          <w:spacing w:val="-15"/>
        </w:rPr>
        <w:t> 小时。</w:t>
      </w:r>
    </w:p>
    <w:p>
      <w:pPr>
        <w:pStyle w:val="BodyText"/>
        <w:spacing w:line="297" w:lineRule="auto" w:before="2"/>
        <w:ind w:right="227" w:firstLine="480"/>
      </w:pPr>
      <w:r>
        <w:rPr>
          <w:spacing w:val="-10"/>
        </w:rPr>
        <w:t>近年来，随着电子产品的普及，越来越多的孩子还没开始上学就已经戴上了眼镜，而校</w:t>
      </w:r>
      <w:r>
        <w:rPr/>
        <w:t>园里面，“哈利波特”们已然占据了半壁江山</w:t>
      </w:r>
      <w:r>
        <w:rPr>
          <w:w w:val="180"/>
        </w:rPr>
        <w:t>„„</w:t>
      </w:r>
    </w:p>
    <w:p>
      <w:pPr>
        <w:pStyle w:val="Heading3"/>
        <w:spacing w:line="295" w:lineRule="auto"/>
        <w:ind w:left="237" w:right="327" w:firstLine="480"/>
      </w:pPr>
      <w:r>
        <w:rPr/>
        <w:t>根据国家卫生健康委员会公布的数据，2018</w:t>
      </w:r>
      <w:r>
        <w:rPr>
          <w:spacing w:val="-12"/>
        </w:rPr>
        <w:t> 年全国儿童青少年总体近视率为 </w:t>
      </w:r>
      <w:r>
        <w:rPr>
          <w:spacing w:val="-3"/>
        </w:rPr>
        <w:t>53.6%， </w:t>
      </w:r>
      <w:r>
        <w:rPr>
          <w:spacing w:val="-21"/>
        </w:rPr>
        <w:t>其中 </w:t>
      </w:r>
      <w:r>
        <w:rPr/>
        <w:t>6</w:t>
      </w:r>
      <w:r>
        <w:rPr>
          <w:spacing w:val="-21"/>
        </w:rPr>
        <w:t> 岁儿童为 </w:t>
      </w:r>
      <w:r>
        <w:rPr/>
        <w:t>14.5%</w:t>
      </w:r>
      <w:r>
        <w:rPr>
          <w:spacing w:val="-10"/>
        </w:rPr>
        <w:t>，小学生为 </w:t>
      </w:r>
      <w:r>
        <w:rPr/>
        <w:t>36</w:t>
      </w:r>
      <w:r>
        <w:rPr>
          <w:spacing w:val="-9"/>
        </w:rPr>
        <w:t>%，初中生为 </w:t>
      </w:r>
      <w:r>
        <w:rPr/>
        <w:t>71.6</w:t>
      </w:r>
      <w:r>
        <w:rPr>
          <w:spacing w:val="-9"/>
        </w:rPr>
        <w:t>%，高中生为 </w:t>
      </w:r>
      <w:r>
        <w:rPr/>
        <w:t>81%。</w:t>
      </w:r>
    </w:p>
    <w:p>
      <w:pPr>
        <w:pStyle w:val="BodyText"/>
        <w:spacing w:line="295" w:lineRule="auto" w:before="3"/>
        <w:ind w:left="717" w:right="2046"/>
        <w:jc w:val="both"/>
      </w:pPr>
      <w:r>
        <w:rPr/>
        <w:t>近视已成为影响我国国民尤其是青少年眼健康的重大公共卫生问题。也许有的小伙伴要说了：近视，没啥大不了啊！一副眼镜就解决了！ 近视没你想得那么简单！</w:t>
      </w:r>
    </w:p>
    <w:p>
      <w:pPr>
        <w:pStyle w:val="BodyText"/>
        <w:spacing w:line="295" w:lineRule="auto" w:before="5"/>
        <w:ind w:right="228" w:firstLine="480"/>
      </w:pPr>
      <w:r>
        <w:rPr>
          <w:spacing w:val="-2"/>
        </w:rPr>
        <w:t>近视发生的年龄越小，发展成高度近视</w:t>
      </w:r>
      <w:r>
        <w:rPr/>
        <w:t>（600</w:t>
      </w:r>
      <w:r>
        <w:rPr>
          <w:spacing w:val="-15"/>
        </w:rPr>
        <w:t> 度以上</w:t>
      </w:r>
      <w:r>
        <w:rPr>
          <w:spacing w:val="-10"/>
        </w:rPr>
        <w:t>）</w:t>
      </w:r>
      <w:r>
        <w:rPr>
          <w:spacing w:val="-4"/>
        </w:rPr>
        <w:t>的可能性就越大。而高度近视会</w:t>
      </w:r>
      <w:r>
        <w:rPr/>
        <w:t>大大增加致盲性眼病发生的风险！</w:t>
      </w:r>
    </w:p>
    <w:p>
      <w:pPr>
        <w:pStyle w:val="Heading3"/>
        <w:spacing w:before="2"/>
      </w:pPr>
      <w:r>
        <w:rPr/>
        <w:t>1.白内障</w:t>
      </w:r>
    </w:p>
    <w:p>
      <w:pPr>
        <w:pStyle w:val="BodyText"/>
        <w:spacing w:before="74"/>
        <w:ind w:left="717"/>
      </w:pPr>
      <w:r>
        <w:rPr/>
        <w:t>目前，白内障是全球第一位致盲眼病。</w:t>
      </w:r>
    </w:p>
    <w:p>
      <w:pPr>
        <w:pStyle w:val="BodyText"/>
        <w:spacing w:line="295" w:lineRule="auto" w:before="72"/>
        <w:ind w:right="227" w:firstLine="480"/>
      </w:pPr>
      <w:r>
        <w:rPr>
          <w:spacing w:val="-9"/>
        </w:rPr>
        <w:t>且相较于普通人群，高度近视人群白内障发生年龄更小。这是因为高度近视者眼球结构</w:t>
      </w:r>
      <w:r>
        <w:rPr/>
        <w:t>及营养代谢异常，容易导致晶状体蛋白质变性而发生混浊，发生白内障。</w:t>
      </w:r>
    </w:p>
    <w:p>
      <w:pPr>
        <w:pStyle w:val="BodyText"/>
        <w:spacing w:line="297" w:lineRule="auto" w:before="5"/>
        <w:ind w:left="717" w:right="2527"/>
        <w:rPr>
          <w:b/>
        </w:rPr>
      </w:pPr>
      <w:r>
        <w:rPr/>
        <w:t>同时随着近视度数的增高，眼底病变会愈厉害，手术效果更差。</w:t>
      </w:r>
      <w:r>
        <w:rPr>
          <w:b/>
        </w:rPr>
        <w:t>2</w:t>
      </w:r>
      <w:r>
        <w:rPr/>
        <w:t>.</w:t>
      </w:r>
      <w:r>
        <w:rPr>
          <w:b/>
        </w:rPr>
        <w:t>视网膜脱离</w:t>
      </w:r>
    </w:p>
    <w:p>
      <w:pPr>
        <w:pStyle w:val="BodyText"/>
        <w:spacing w:line="297" w:lineRule="auto"/>
        <w:ind w:right="227" w:firstLine="480"/>
        <w:jc w:val="both"/>
      </w:pPr>
      <w:r>
        <w:rPr>
          <w:spacing w:val="-11"/>
        </w:rPr>
        <w:t>高度近视者，由于其眼球不断变大变长，巩膜不断扩张，而视网膜发育成熟后其面积是</w:t>
      </w:r>
      <w:r>
        <w:rPr>
          <w:spacing w:val="-9"/>
        </w:rPr>
        <w:t>固定的，随着眼球外壁巩膜的扩张，视网膜会被拉得越来越薄，纤薄的视网膜容易撕裂，导致视网膜裂孔，从而产生裂孔性视网膜脱离。</w:t>
      </w:r>
    </w:p>
    <w:p>
      <w:pPr>
        <w:pStyle w:val="BodyText"/>
        <w:spacing w:line="297" w:lineRule="auto"/>
        <w:ind w:right="230" w:firstLine="480"/>
      </w:pPr>
      <w:r>
        <w:rPr>
          <w:spacing w:val="-7"/>
        </w:rPr>
        <w:t>视网膜脱离主要表现为突然视物模糊、变形、有黑影遮挡，严重者可导致失明。视网膜</w:t>
      </w:r>
      <w:r>
        <w:rPr/>
        <w:t>一旦脱离，需立即手术，以免视力进一步下降。</w:t>
      </w:r>
    </w:p>
    <w:p>
      <w:pPr>
        <w:pStyle w:val="Heading3"/>
        <w:numPr>
          <w:ilvl w:val="0"/>
          <w:numId w:val="9"/>
        </w:numPr>
        <w:tabs>
          <w:tab w:pos="961" w:val="left" w:leader="none"/>
        </w:tabs>
        <w:spacing w:line="306" w:lineRule="exact" w:before="0" w:after="0"/>
        <w:ind w:left="960" w:right="0" w:hanging="244"/>
        <w:jc w:val="left"/>
      </w:pPr>
      <w:r>
        <w:rPr/>
        <w:t>青光眼</w:t>
      </w:r>
    </w:p>
    <w:p>
      <w:pPr>
        <w:pStyle w:val="BodyText"/>
        <w:spacing w:before="64"/>
        <w:ind w:left="717"/>
      </w:pPr>
      <w:r>
        <w:rPr/>
        <w:t>青光眼是仅次于白内障的第二大致盲性眼病。</w:t>
      </w:r>
    </w:p>
    <w:p>
      <w:pPr>
        <w:pStyle w:val="BodyText"/>
        <w:spacing w:line="295" w:lineRule="auto" w:before="74"/>
        <w:ind w:right="232" w:firstLine="480"/>
      </w:pPr>
      <w:r>
        <w:rPr>
          <w:spacing w:val="-10"/>
        </w:rPr>
        <w:t>据统计，高度近视者有很多人会发生青光眼，主要表现为眼压高，视力进行性下降，视</w:t>
      </w:r>
      <w:r>
        <w:rPr/>
        <w:t>野缩小。</w:t>
      </w:r>
    </w:p>
    <w:p>
      <w:pPr>
        <w:pStyle w:val="Heading3"/>
        <w:numPr>
          <w:ilvl w:val="0"/>
          <w:numId w:val="9"/>
        </w:numPr>
        <w:tabs>
          <w:tab w:pos="961" w:val="left" w:leader="none"/>
        </w:tabs>
        <w:spacing w:line="240" w:lineRule="auto" w:before="2" w:after="0"/>
        <w:ind w:left="960" w:right="0" w:hanging="244"/>
        <w:jc w:val="left"/>
      </w:pPr>
      <w:r>
        <w:rPr/>
        <w:t>玻璃体病变</w:t>
      </w:r>
    </w:p>
    <w:p>
      <w:pPr>
        <w:pStyle w:val="BodyText"/>
        <w:spacing w:line="295" w:lineRule="auto" w:before="74"/>
        <w:ind w:right="109" w:firstLine="480"/>
      </w:pPr>
      <w:r>
        <w:rPr>
          <w:spacing w:val="-9"/>
        </w:rPr>
        <w:t>玻璃体病变，高度近视的并发症之一，因混浊物漂浮于玻璃体腔内，并随眼球位置而移</w:t>
      </w:r>
      <w:r>
        <w:rPr>
          <w:spacing w:val="-17"/>
        </w:rPr>
        <w:t>动，使人常感觉有飞蚊的幻觉。如果感觉飞行的黑影越来越大，一定要去专业眼科医院检查。</w:t>
      </w:r>
    </w:p>
    <w:p>
      <w:pPr>
        <w:spacing w:after="0" w:line="295" w:lineRule="auto"/>
        <w:sectPr>
          <w:pgSz w:w="11910" w:h="16850"/>
          <w:pgMar w:header="906" w:footer="607" w:top="1100" w:bottom="800" w:left="1040" w:right="900"/>
        </w:sectPr>
      </w:pPr>
    </w:p>
    <w:p>
      <w:pPr>
        <w:pStyle w:val="Heading3"/>
        <w:spacing w:before="65"/>
        <w:rPr>
          <w:b w:val="0"/>
        </w:rPr>
      </w:pPr>
      <w:r>
        <w:rPr/>
        <w:t>药娃温馨提示</w:t>
      </w:r>
      <w:r>
        <w:rPr>
          <w:b w:val="0"/>
        </w:rPr>
        <w:t>：</w:t>
      </w:r>
    </w:p>
    <w:p>
      <w:pPr>
        <w:spacing w:line="295" w:lineRule="auto" w:before="72"/>
        <w:ind w:left="717" w:right="106" w:firstLine="0"/>
        <w:jc w:val="left"/>
        <w:rPr>
          <w:b/>
          <w:sz w:val="24"/>
        </w:rPr>
      </w:pPr>
      <w:r>
        <w:rPr>
          <w:spacing w:val="-17"/>
          <w:sz w:val="24"/>
        </w:rPr>
        <w:t>目前，医学界并没有能够治愈近视的“黑科技”，所以对于近视“防”远比“治”重要。</w:t>
      </w:r>
      <w:r>
        <w:rPr>
          <w:b/>
          <w:sz w:val="24"/>
        </w:rPr>
        <w:t>预防近视，做到三减三加！</w:t>
      </w:r>
    </w:p>
    <w:p>
      <w:pPr>
        <w:pStyle w:val="Heading3"/>
        <w:numPr>
          <w:ilvl w:val="0"/>
          <w:numId w:val="10"/>
        </w:numPr>
        <w:tabs>
          <w:tab w:pos="961" w:val="left" w:leader="none"/>
        </w:tabs>
        <w:spacing w:line="240" w:lineRule="auto" w:before="4" w:after="0"/>
        <w:ind w:left="960" w:right="0" w:hanging="244"/>
        <w:jc w:val="left"/>
      </w:pPr>
      <w:r>
        <w:rPr/>
        <w:t>电子产品减，室外活动加</w:t>
      </w:r>
    </w:p>
    <w:p>
      <w:pPr>
        <w:pStyle w:val="BodyText"/>
        <w:spacing w:line="295" w:lineRule="auto" w:before="72"/>
        <w:ind w:right="127" w:firstLine="480"/>
      </w:pPr>
      <w:r>
        <w:rPr/>
        <w:t>青少年儿童的视觉神经还没有发育完善，长时间注视电子屏幕，导致其用眼强度增大， 眨眼频率降低，很容易造成视力减退。</w:t>
      </w:r>
    </w:p>
    <w:p>
      <w:pPr>
        <w:pStyle w:val="BodyText"/>
        <w:spacing w:line="295" w:lineRule="auto" w:before="4"/>
        <w:ind w:right="227" w:firstLine="480"/>
      </w:pPr>
      <w:r>
        <w:rPr>
          <w:spacing w:val="-12"/>
        </w:rPr>
        <w:t>研究证明，户外活动能有效预防儿童青少年近视。每天户外运动 </w:t>
      </w:r>
      <w:r>
        <w:rPr/>
        <w:t>2</w:t>
      </w:r>
      <w:r>
        <w:rPr>
          <w:spacing w:val="-9"/>
        </w:rPr>
        <w:t> 小时可以不仅可以预</w:t>
      </w:r>
      <w:r>
        <w:rPr/>
        <w:t>防近视的发生，在一定程度上也能延缓近视的进展。</w:t>
      </w:r>
    </w:p>
    <w:p>
      <w:pPr>
        <w:pStyle w:val="Heading3"/>
        <w:numPr>
          <w:ilvl w:val="0"/>
          <w:numId w:val="10"/>
        </w:numPr>
        <w:tabs>
          <w:tab w:pos="961" w:val="left" w:leader="none"/>
        </w:tabs>
        <w:spacing w:line="240" w:lineRule="auto" w:before="2" w:after="0"/>
        <w:ind w:left="960" w:right="0" w:hanging="244"/>
        <w:jc w:val="left"/>
      </w:pPr>
      <w:r>
        <w:rPr/>
        <w:t>精制食品减，蔬菜水果加</w:t>
      </w:r>
    </w:p>
    <w:p>
      <w:pPr>
        <w:pStyle w:val="BodyText"/>
        <w:spacing w:line="295" w:lineRule="auto" w:before="75"/>
        <w:ind w:right="227" w:firstLine="480"/>
      </w:pPr>
      <w:r>
        <w:rPr>
          <w:spacing w:val="-6"/>
        </w:rPr>
        <w:t>精制食品摄入过多会使血糖浓度明显升高，引起房水渗透压降低，渗入晶状体，使其变</w:t>
      </w:r>
      <w:r>
        <w:rPr/>
        <w:t>凸，导致屈光性近视。</w:t>
      </w:r>
    </w:p>
    <w:p>
      <w:pPr>
        <w:spacing w:line="297" w:lineRule="auto" w:before="2"/>
        <w:ind w:left="717" w:right="1807" w:firstLine="0"/>
        <w:jc w:val="left"/>
        <w:rPr>
          <w:b/>
          <w:sz w:val="24"/>
        </w:rPr>
      </w:pPr>
      <w:r>
        <w:rPr>
          <w:sz w:val="24"/>
        </w:rPr>
        <w:t>而新鲜蔬菜水果含有丰富的维生素，适量增加摄入量有助于预防近视。</w:t>
      </w:r>
      <w:r>
        <w:rPr>
          <w:b/>
          <w:sz w:val="24"/>
        </w:rPr>
        <w:t>3.不良习惯减，验光检查加</w:t>
      </w:r>
    </w:p>
    <w:p>
      <w:pPr>
        <w:pStyle w:val="BodyText"/>
        <w:spacing w:line="295" w:lineRule="auto"/>
        <w:ind w:right="227" w:firstLine="480"/>
      </w:pPr>
      <w:r>
        <w:rPr>
          <w:spacing w:val="-8"/>
        </w:rPr>
        <w:t>不端正的读写姿势、过暗或过亮的室内光线、睡眠不足等不良的生活、学习习惯都会加</w:t>
      </w:r>
      <w:r>
        <w:rPr/>
        <w:t>重视疲劳而导致近视的发生。</w:t>
      </w:r>
    </w:p>
    <w:p>
      <w:pPr>
        <w:pStyle w:val="BodyText"/>
        <w:spacing w:before="2"/>
        <w:ind w:left="717"/>
      </w:pPr>
      <w:r>
        <w:rPr/>
        <w:t>家长们在日常生活中对孩子要多加观察，及时纠正，预防近视的发生。</w:t>
      </w:r>
    </w:p>
    <w:p>
      <w:pPr>
        <w:pStyle w:val="BodyText"/>
        <w:spacing w:line="259" w:lineRule="auto" w:before="72"/>
        <w:ind w:right="227" w:firstLine="480"/>
        <w:rPr>
          <w:rFonts w:ascii="Meiryo" w:eastAsia="Meiryo" w:hint="eastAsia"/>
          <w:b/>
        </w:rPr>
      </w:pPr>
      <w:r>
        <w:rPr>
          <w:spacing w:val="-11"/>
        </w:rPr>
        <w:t>此外，有条件的家长可以每半年为孩子安排一次验光检查，让医生对孩子的眼部现状进</w:t>
      </w:r>
      <w:r>
        <w:rPr/>
        <w:t>行科学评估，结合孩子的用眼环境及习惯，及时纠正不良用眼习惯，预防近视的发生。</w:t>
      </w:r>
      <w:r>
        <w:rPr>
          <w:rFonts w:ascii="Meiryo" w:eastAsia="Meiryo" w:hint="eastAsia"/>
          <w:b/>
          <w:color w:val="0033CC"/>
        </w:rPr>
        <w:t>[返</w:t>
      </w:r>
    </w:p>
    <w:p>
      <w:pPr>
        <w:pStyle w:val="Heading3"/>
        <w:spacing w:line="346" w:lineRule="exact"/>
        <w:ind w:left="237"/>
        <w:rPr>
          <w:rFonts w:ascii="Meiryo" w:eastAsia="Meiryo" w:hint="eastAsia"/>
        </w:rPr>
      </w:pPr>
      <w:r>
        <w:rPr>
          <w:rFonts w:ascii="Meiryo" w:eastAsia="Meiryo" w:hint="eastAsia"/>
          <w:color w:val="0033CC"/>
        </w:rPr>
        <w:t>回目次]</w:t>
      </w:r>
    </w:p>
    <w:p>
      <w:pPr>
        <w:pStyle w:val="Heading1"/>
        <w:spacing w:line="707" w:lineRule="exact"/>
        <w:ind w:left="1045"/>
        <w:jc w:val="center"/>
        <w:rPr>
          <w:u w:val="none"/>
        </w:rPr>
      </w:pPr>
      <w:bookmarkStart w:name="_TOC_250005" w:id="19"/>
      <w:r>
        <w:rPr>
          <w:rFonts w:ascii="Times New Roman" w:eastAsia="Times New Roman"/>
          <w:color w:val="008000"/>
          <w:spacing w:val="-110"/>
          <w:w w:val="99"/>
          <w:u w:val="thick" w:color="008000"/>
        </w:rPr>
        <w:t> </w:t>
      </w:r>
      <w:bookmarkEnd w:id="19"/>
      <w:r>
        <w:rPr>
          <w:color w:val="008000"/>
          <w:u w:val="thick" w:color="008000"/>
        </w:rPr>
        <w:t>交流园地</w:t>
      </w:r>
    </w:p>
    <w:p>
      <w:pPr>
        <w:pStyle w:val="BodyText"/>
        <w:spacing w:before="7"/>
        <w:ind w:left="0"/>
        <w:rPr>
          <w:rFonts w:ascii="华文宋体"/>
          <w:b/>
          <w:sz w:val="9"/>
        </w:rPr>
      </w:pPr>
    </w:p>
    <w:p>
      <w:pPr>
        <w:spacing w:after="0"/>
        <w:rPr>
          <w:rFonts w:ascii="华文宋体"/>
          <w:sz w:val="9"/>
        </w:rPr>
        <w:sectPr>
          <w:pgSz w:w="11910" w:h="16850"/>
          <w:pgMar w:header="906" w:footer="607" w:top="1100" w:bottom="800" w:left="1040" w:right="900"/>
        </w:sectPr>
      </w:pPr>
    </w:p>
    <w:p>
      <w:pPr>
        <w:pStyle w:val="Heading2"/>
        <w:spacing w:before="55"/>
      </w:pPr>
      <w:bookmarkStart w:name="_TOC_250004" w:id="20"/>
      <w:bookmarkEnd w:id="20"/>
      <w:r>
        <w:rPr/>
        <w:t>【药师风采】</w:t>
      </w:r>
    </w:p>
    <w:p>
      <w:pPr>
        <w:pStyle w:val="BodyText"/>
        <w:spacing w:before="2"/>
        <w:ind w:left="0"/>
        <w:rPr>
          <w:b/>
          <w:sz w:val="38"/>
        </w:rPr>
      </w:pPr>
      <w:r>
        <w:rPr/>
        <w:br w:type="column"/>
      </w:r>
      <w:r>
        <w:rPr>
          <w:b/>
          <w:sz w:val="38"/>
        </w:rPr>
      </w:r>
    </w:p>
    <w:p>
      <w:pPr>
        <w:pStyle w:val="Heading2"/>
        <w:ind w:left="220" w:right="2912"/>
        <w:jc w:val="center"/>
      </w:pPr>
      <w:bookmarkStart w:name="_TOC_250003" w:id="21"/>
      <w:bookmarkEnd w:id="21"/>
      <w:r>
        <w:rPr/>
        <w:t>海南省中医院——张丽</w:t>
      </w:r>
    </w:p>
    <w:p>
      <w:pPr>
        <w:spacing w:before="222"/>
        <w:ind w:left="220" w:right="2914" w:firstLine="0"/>
        <w:jc w:val="center"/>
        <w:rPr>
          <w:rFonts w:ascii="楷体" w:eastAsia="楷体" w:hint="eastAsia"/>
          <w:b/>
          <w:sz w:val="24"/>
        </w:rPr>
      </w:pPr>
      <w:r>
        <w:rPr>
          <w:rFonts w:ascii="楷体" w:eastAsia="楷体" w:hint="eastAsia"/>
          <w:b/>
          <w:sz w:val="24"/>
        </w:rPr>
        <w:t>励志寄语：药无止境，吾将上下求索。</w:t>
      </w:r>
    </w:p>
    <w:p>
      <w:pPr>
        <w:spacing w:after="0"/>
        <w:jc w:val="center"/>
        <w:rPr>
          <w:rFonts w:ascii="楷体" w:eastAsia="楷体" w:hint="eastAsia"/>
          <w:sz w:val="24"/>
        </w:rPr>
        <w:sectPr>
          <w:type w:val="continuous"/>
          <w:pgSz w:w="11910" w:h="16850"/>
          <w:pgMar w:top="1100" w:bottom="1020" w:left="1040" w:right="900"/>
          <w:cols w:num="2" w:equalWidth="0">
            <w:col w:w="2207" w:space="493"/>
            <w:col w:w="7270"/>
          </w:cols>
        </w:sectPr>
      </w:pPr>
    </w:p>
    <w:p>
      <w:pPr>
        <w:pStyle w:val="BodyText"/>
        <w:spacing w:before="8"/>
        <w:ind w:left="0"/>
        <w:rPr>
          <w:rFonts w:ascii="楷体"/>
          <w:b/>
          <w:sz w:val="10"/>
        </w:rPr>
      </w:pPr>
    </w:p>
    <w:p>
      <w:pPr>
        <w:pStyle w:val="BodyText"/>
        <w:spacing w:line="328" w:lineRule="auto" w:before="66"/>
        <w:ind w:right="126" w:firstLine="480"/>
        <w:jc w:val="both"/>
      </w:pPr>
      <w:r>
        <w:rPr>
          <w:spacing w:val="-2"/>
        </w:rPr>
        <w:t>张丽，现任海南省中医院药学部主任，副主任中药师，副教授，从事药学工作 </w:t>
      </w:r>
      <w:r>
        <w:rPr/>
        <w:t>24</w:t>
      </w:r>
      <w:r>
        <w:rPr>
          <w:spacing w:val="-20"/>
        </w:rPr>
        <w:t> 年。熟悉医院药学管理工作，带领科室保障医院医、教、研用药，提供临床药学服务，开展药学</w:t>
      </w:r>
      <w:r>
        <w:rPr>
          <w:spacing w:val="-14"/>
        </w:rPr>
        <w:t>研究等，促进临床合理用药，积极维护患者的合理用药权益，确保患者的合理安全用药。逐</w:t>
      </w:r>
      <w:r>
        <w:rPr>
          <w:spacing w:val="-2"/>
        </w:rPr>
        <w:t>步把“以药为本”的药学服务模式转变为“以人为本”的服务理念，促进医药的协同发展。</w:t>
      </w:r>
    </w:p>
    <w:p>
      <w:pPr>
        <w:pStyle w:val="BodyText"/>
        <w:spacing w:line="328" w:lineRule="auto"/>
        <w:ind w:right="106" w:firstLine="480"/>
      </w:pPr>
      <w:r>
        <w:rPr>
          <w:spacing w:val="-7"/>
        </w:rPr>
        <w:t>认真执行各项规章制度，做好与临床科室的协调工作，抓好本院药品招标采购管理，把</w:t>
      </w:r>
      <w:r>
        <w:rPr>
          <w:spacing w:val="-18"/>
        </w:rPr>
        <w:t>控药品质量，保障全院药品供应。加强新技术、新设备的引进，推动临床药学的建设和发展， </w:t>
      </w:r>
      <w:r>
        <w:rPr>
          <w:spacing w:val="-6"/>
        </w:rPr>
        <w:t>在从事医院制剂工作期间，熟悉医院制剂的质量保证体系，积极开展新制剂的研制工作，其</w:t>
      </w:r>
      <w:r>
        <w:rPr>
          <w:spacing w:val="-13"/>
        </w:rPr>
        <w:t>中已有 </w:t>
      </w:r>
      <w:r>
        <w:rPr/>
        <w:t>14</w:t>
      </w:r>
      <w:r>
        <w:rPr>
          <w:spacing w:val="-7"/>
        </w:rPr>
        <w:t> 个制剂取得海南省院内制剂文号。积极促进药学智能化、科学化服务，从 </w:t>
      </w:r>
      <w:r>
        <w:rPr/>
        <w:t>2015 </w:t>
      </w:r>
      <w:r>
        <w:rPr>
          <w:spacing w:val="-9"/>
        </w:rPr>
        <w:t>年起，先后着手引进中药配方颗粒自动调配机、药品自动分包机等智能化设备，改善药房落</w:t>
      </w:r>
      <w:r>
        <w:rPr>
          <w:spacing w:val="-12"/>
        </w:rPr>
        <w:t>后的工作模式。进行煎药室智慧药房的建设，为患者提供便捷、信息化的中药煎煮服务。加</w:t>
      </w:r>
    </w:p>
    <w:p>
      <w:pPr>
        <w:spacing w:after="0" w:line="328" w:lineRule="auto"/>
        <w:sectPr>
          <w:type w:val="continuous"/>
          <w:pgSz w:w="11910" w:h="16850"/>
          <w:pgMar w:top="1100" w:bottom="1020" w:left="1040" w:right="900"/>
        </w:sectPr>
      </w:pPr>
    </w:p>
    <w:p>
      <w:pPr>
        <w:pStyle w:val="BodyText"/>
        <w:spacing w:line="328" w:lineRule="auto" w:before="96"/>
        <w:ind w:right="226"/>
      </w:pPr>
      <w:r>
        <w:rPr>
          <w:spacing w:val="-8"/>
        </w:rPr>
        <w:t>强临床药学科室的建设，连续派出 </w:t>
      </w:r>
      <w:r>
        <w:rPr/>
        <w:t>4</w:t>
      </w:r>
      <w:r>
        <w:rPr>
          <w:spacing w:val="-13"/>
        </w:rPr>
        <w:t> 人参加临床药师进修学习，并获得资格证书，改变了医</w:t>
      </w:r>
      <w:r>
        <w:rPr/>
        <w:t>院无正式资质临床药师的局面，引进合理用药系统，加强临床药学信息化建设。</w:t>
      </w:r>
    </w:p>
    <w:p>
      <w:pPr>
        <w:pStyle w:val="BodyText"/>
        <w:spacing w:line="305" w:lineRule="exact"/>
        <w:ind w:left="717"/>
      </w:pPr>
      <w:r>
        <w:rPr/>
        <w:t>完成海南省科技厅中药现代化专项课题 2 项，获得经费 50 万元，研究成果发表在《中</w:t>
      </w:r>
    </w:p>
    <w:p>
      <w:pPr>
        <w:pStyle w:val="BodyText"/>
        <w:spacing w:line="328" w:lineRule="auto" w:before="112"/>
        <w:ind w:right="231"/>
      </w:pPr>
      <w:r>
        <w:rPr>
          <w:spacing w:val="-8"/>
        </w:rPr>
        <w:t>国药房》杂志。以第一作者发表论文 </w:t>
      </w:r>
      <w:r>
        <w:rPr/>
        <w:t>9</w:t>
      </w:r>
      <w:r>
        <w:rPr>
          <w:spacing w:val="-15"/>
        </w:rPr>
        <w:t> 篇，其中核心期刊 </w:t>
      </w:r>
      <w:r>
        <w:rPr/>
        <w:t>3</w:t>
      </w:r>
      <w:r>
        <w:rPr>
          <w:spacing w:val="-17"/>
        </w:rPr>
        <w:t> 篇，统计源期刊 </w:t>
      </w:r>
      <w:r>
        <w:rPr/>
        <w:t>6</w:t>
      </w:r>
      <w:r>
        <w:rPr>
          <w:spacing w:val="-22"/>
        </w:rPr>
        <w:t> 篇，</w:t>
      </w:r>
      <w:r>
        <w:rPr>
          <w:spacing w:val="-5"/>
        </w:rPr>
        <w:t>3</w:t>
      </w:r>
      <w:r>
        <w:rPr>
          <w:spacing w:val="-19"/>
        </w:rPr>
        <w:t> 篇论文</w:t>
      </w:r>
      <w:r>
        <w:rPr/>
        <w:t>在中南地区药学学术会议等会议中获得“优秀论文”奖。</w:t>
      </w:r>
    </w:p>
    <w:p>
      <w:pPr>
        <w:pStyle w:val="BodyText"/>
        <w:spacing w:line="305" w:lineRule="exact"/>
        <w:ind w:left="717"/>
      </w:pPr>
      <w:r>
        <w:rPr/>
        <w:t>2015 年被评为中国药学会全国医药经济信息网“信息工作先进个人”。</w:t>
      </w:r>
    </w:p>
    <w:p>
      <w:pPr>
        <w:pStyle w:val="BodyText"/>
        <w:spacing w:line="328" w:lineRule="auto" w:before="113"/>
        <w:ind w:right="106" w:firstLine="480"/>
        <w:jc w:val="both"/>
      </w:pPr>
      <w:r>
        <w:rPr>
          <w:spacing w:val="-4"/>
        </w:rPr>
        <w:t>兼任中国中药协会中药质量与安全专业委员会副主任委员，海南省药学会理事、医院药</w:t>
      </w:r>
      <w:r>
        <w:rPr>
          <w:spacing w:val="-10"/>
        </w:rPr>
        <w:t>学专业委员会副主任委员，海南省医院协会药事管理专业委员会副主任委员，海南省医学会</w:t>
      </w:r>
      <w:r>
        <w:rPr>
          <w:spacing w:val="-19"/>
        </w:rPr>
        <w:t>临床药学专业委员常务委员，海南省中医药学会理事、中药专业委员会常务委员兼工作秘书，</w:t>
      </w:r>
    </w:p>
    <w:p>
      <w:pPr>
        <w:spacing w:line="416" w:lineRule="exact" w:before="0"/>
        <w:ind w:left="237" w:right="0" w:firstLine="0"/>
        <w:jc w:val="left"/>
        <w:rPr>
          <w:rFonts w:ascii="Meiryo" w:eastAsia="Meiryo" w:hint="eastAsia"/>
          <w:b/>
          <w:sz w:val="24"/>
        </w:rPr>
      </w:pPr>
      <w:r>
        <w:rPr>
          <w:sz w:val="24"/>
        </w:rPr>
        <w:t>海南省中西医结合分会理事会理事。</w:t>
      </w:r>
      <w:r>
        <w:rPr>
          <w:rFonts w:ascii="Meiryo" w:eastAsia="Meiryo" w:hint="eastAsia"/>
          <w:b/>
          <w:color w:val="0033CC"/>
          <w:sz w:val="24"/>
        </w:rPr>
        <w:t>[返回目次]</w:t>
      </w:r>
    </w:p>
    <w:p>
      <w:pPr>
        <w:pStyle w:val="Heading2"/>
        <w:spacing w:before="201"/>
        <w:ind w:left="6"/>
        <w:jc w:val="center"/>
      </w:pPr>
      <w:bookmarkStart w:name="_TOC_250002" w:id="22"/>
      <w:bookmarkEnd w:id="22"/>
      <w:r>
        <w:rPr/>
        <w:t>儋州市人民医院——陈珊珊</w:t>
      </w:r>
    </w:p>
    <w:p>
      <w:pPr>
        <w:pStyle w:val="Heading3"/>
        <w:spacing w:before="220"/>
        <w:ind w:left="0"/>
        <w:jc w:val="center"/>
        <w:rPr>
          <w:rFonts w:ascii="楷体" w:eastAsia="楷体" w:hint="eastAsia"/>
        </w:rPr>
      </w:pPr>
      <w:r>
        <w:rPr>
          <w:rFonts w:ascii="楷体" w:eastAsia="楷体" w:hint="eastAsia"/>
        </w:rPr>
        <w:t>励志寄语：病人至上，真诚关爱，服务患者，用药安全！</w:t>
      </w:r>
    </w:p>
    <w:p>
      <w:pPr>
        <w:pStyle w:val="BodyText"/>
        <w:spacing w:line="312" w:lineRule="auto" w:before="184"/>
        <w:ind w:right="126" w:firstLine="480"/>
      </w:pPr>
      <w:r>
        <w:rPr>
          <w:spacing w:val="-2"/>
        </w:rPr>
        <w:t>陈珊珊，现任儋州市人民医院药剂科副主任，副主任药师，从事药学工作 </w:t>
      </w:r>
      <w:r>
        <w:rPr/>
        <w:t>13</w:t>
      </w:r>
      <w:r>
        <w:rPr>
          <w:spacing w:val="-12"/>
        </w:rPr>
        <w:t> 年。分别</w:t>
      </w:r>
      <w:r>
        <w:rPr>
          <w:spacing w:val="-13"/>
        </w:rPr>
        <w:t>在药品调剂、药品不良反应监测、临床药学等岗位上工作，恪守职业道德，热爱本职工作， </w:t>
      </w:r>
      <w:r>
        <w:rPr/>
        <w:t>始终树立“以病人为中心，合理用药为核心”的思想，为患者提供优质的药学服务。</w:t>
      </w:r>
    </w:p>
    <w:p>
      <w:pPr>
        <w:pStyle w:val="BodyText"/>
        <w:spacing w:line="312" w:lineRule="auto" w:before="1"/>
        <w:ind w:right="227" w:firstLine="480"/>
        <w:jc w:val="both"/>
      </w:pPr>
      <w:r>
        <w:rPr>
          <w:spacing w:val="-13"/>
        </w:rPr>
        <w:t>熟练运用 </w:t>
      </w:r>
      <w:r>
        <w:rPr/>
        <w:t>PDCA</w:t>
      </w:r>
      <w:r>
        <w:rPr>
          <w:spacing w:val="-34"/>
        </w:rPr>
        <w:t>、</w:t>
      </w:r>
      <w:r>
        <w:rPr/>
        <w:t>QCC</w:t>
      </w:r>
      <w:r>
        <w:rPr>
          <w:spacing w:val="-34"/>
        </w:rPr>
        <w:t>、</w:t>
      </w:r>
      <w:r>
        <w:rPr/>
        <w:t>RCA</w:t>
      </w:r>
      <w:r>
        <w:rPr>
          <w:spacing w:val="-13"/>
        </w:rPr>
        <w:t> 等管理工具开展科室质量管理工作，自 </w:t>
      </w:r>
      <w:r>
        <w:rPr/>
        <w:t>2015</w:t>
      </w:r>
      <w:r>
        <w:rPr>
          <w:spacing w:val="-11"/>
        </w:rPr>
        <w:t> 年负责科室全面工作以来，重视药事质量管理，重新制定、修订各项药事管理制度及操作流程；规范医院备</w:t>
      </w:r>
      <w:r>
        <w:rPr>
          <w:spacing w:val="-3"/>
        </w:rPr>
        <w:t>用药品、急救药品管理；加强抗菌药物合理应用管理，其中运用 </w:t>
      </w:r>
      <w:r>
        <w:rPr/>
        <w:t>PDCA</w:t>
      </w:r>
      <w:r>
        <w:rPr>
          <w:spacing w:val="-8"/>
        </w:rPr>
        <w:t> 循环改进围手术期抗</w:t>
      </w:r>
      <w:r>
        <w:rPr>
          <w:spacing w:val="-13"/>
        </w:rPr>
        <w:t>菌药物用药管理项目取得较好成效；加强药品不良反应监测，季度分析总结，加强药品使用</w:t>
      </w:r>
      <w:r>
        <w:rPr>
          <w:spacing w:val="-8"/>
        </w:rPr>
        <w:t>安全监管；运用 </w:t>
      </w:r>
      <w:r>
        <w:rPr/>
        <w:t>5S</w:t>
      </w:r>
      <w:r>
        <w:rPr>
          <w:spacing w:val="-8"/>
        </w:rPr>
        <w:t> 改善药库、药房管理；开展处方点评，对用药合理性、安全性进行评估</w:t>
      </w:r>
      <w:r>
        <w:rPr>
          <w:spacing w:val="-13"/>
        </w:rPr>
        <w:t>和分析，提高合理用药；积极开展临床药学工作，临床药师参与查房、会诊、病例讨论，对</w:t>
      </w:r>
      <w:r>
        <w:rPr>
          <w:spacing w:val="-8"/>
        </w:rPr>
        <w:t>重点患者建立药历、实施药学监护，对病区患者进行用药教育、指导用药安全，并得到临床</w:t>
      </w:r>
      <w:r>
        <w:rPr>
          <w:spacing w:val="-14"/>
        </w:rPr>
        <w:t>科室的认可和好评。在医院创建三甲过程中带领科室全体人员积极投入三甲创建工作，并顺</w:t>
      </w:r>
      <w:r>
        <w:rPr/>
        <w:t>利通过三甲评审。</w:t>
      </w:r>
    </w:p>
    <w:p>
      <w:pPr>
        <w:pStyle w:val="BodyText"/>
        <w:spacing w:line="312" w:lineRule="auto" w:before="3"/>
        <w:ind w:right="107" w:firstLine="480"/>
      </w:pPr>
      <w:r>
        <w:rPr>
          <w:spacing w:val="-16"/>
        </w:rPr>
        <w:t>在专业学习上，踏实进取，关注专业新进展新动向，坚持不断学习，参加各种学术讲座、</w:t>
      </w:r>
      <w:r>
        <w:rPr>
          <w:spacing w:val="-9"/>
        </w:rPr>
        <w:t>培训，不断提升专业水平。在《中国药房》、《实用心脑肺血管病杂志》、《现代消化及介</w:t>
      </w:r>
      <w:r>
        <w:rPr>
          <w:spacing w:val="-13"/>
        </w:rPr>
        <w:t>入诊疗》等杂志发表学术论文 </w:t>
      </w:r>
      <w:r>
        <w:rPr/>
        <w:t>3</w:t>
      </w:r>
      <w:r>
        <w:rPr>
          <w:spacing w:val="-20"/>
        </w:rPr>
        <w:t> 篇。</w:t>
      </w:r>
    </w:p>
    <w:p>
      <w:pPr>
        <w:pStyle w:val="BodyText"/>
        <w:spacing w:line="276" w:lineRule="auto" w:before="1"/>
        <w:ind w:right="230" w:firstLine="480"/>
        <w:rPr>
          <w:rFonts w:ascii="Meiryo" w:eastAsia="Meiryo" w:hint="eastAsia"/>
          <w:b/>
        </w:rPr>
      </w:pPr>
      <w:r>
        <w:rPr>
          <w:spacing w:val="-6"/>
        </w:rPr>
        <w:t>兼任中国药理学会治疗药物监测研究专业委员会委员，海南省医学会临床药学专业委员</w:t>
      </w:r>
      <w:r>
        <w:rPr/>
        <w:t>会委员，海南省医院协会药事管理专业委员会委员。</w:t>
      </w:r>
      <w:r>
        <w:rPr>
          <w:rFonts w:ascii="Meiryo" w:eastAsia="Meiryo" w:hint="eastAsia"/>
          <w:b/>
          <w:color w:val="0033CC"/>
        </w:rPr>
        <w:t>[返回目次]</w:t>
      </w:r>
    </w:p>
    <w:p>
      <w:pPr>
        <w:pStyle w:val="Heading2"/>
        <w:spacing w:before="130"/>
        <w:ind w:left="3"/>
        <w:jc w:val="center"/>
      </w:pPr>
      <w:bookmarkStart w:name="_TOC_250001" w:id="23"/>
      <w:bookmarkEnd w:id="23"/>
      <w:r>
        <w:rPr/>
        <w:t>重庆医科大学附属大学城医院——赵语</w:t>
      </w:r>
    </w:p>
    <w:p>
      <w:pPr>
        <w:pStyle w:val="Heading3"/>
        <w:spacing w:before="220"/>
        <w:ind w:left="2"/>
        <w:jc w:val="center"/>
        <w:rPr>
          <w:rFonts w:ascii="楷体" w:eastAsia="楷体" w:hint="eastAsia"/>
        </w:rPr>
      </w:pPr>
      <w:r>
        <w:rPr>
          <w:rFonts w:ascii="楷体" w:eastAsia="楷体" w:hint="eastAsia"/>
        </w:rPr>
        <w:t>励志寄语：一个被人认可的药师，不能有丝毫懈怠，需要付出百分百的努力！</w:t>
      </w:r>
    </w:p>
    <w:p>
      <w:pPr>
        <w:pStyle w:val="BodyText"/>
        <w:spacing w:line="312" w:lineRule="auto" w:before="187"/>
        <w:ind w:right="246" w:firstLine="480"/>
        <w:jc w:val="both"/>
      </w:pPr>
      <w:r>
        <w:rPr>
          <w:spacing w:val="-9"/>
        </w:rPr>
        <w:t>赵语，现任重庆医科大学附属大学城医院药学部主任，主任药师，硕士研究生导师，从</w:t>
      </w:r>
      <w:r>
        <w:rPr>
          <w:spacing w:val="-11"/>
        </w:rPr>
        <w:t>事药学工作 </w:t>
      </w:r>
      <w:r>
        <w:rPr/>
        <w:t>26</w:t>
      </w:r>
      <w:r>
        <w:rPr>
          <w:spacing w:val="-9"/>
        </w:rPr>
        <w:t> 年。长期从事医院药学管理和临床药学研究工作，主要研究方向：药物新制</w:t>
      </w:r>
    </w:p>
    <w:p>
      <w:pPr>
        <w:spacing w:after="0" w:line="312" w:lineRule="auto"/>
        <w:jc w:val="both"/>
        <w:sectPr>
          <w:pgSz w:w="11910" w:h="16850"/>
          <w:pgMar w:header="906" w:footer="607" w:top="1100" w:bottom="800" w:left="1040" w:right="900"/>
        </w:sectPr>
      </w:pPr>
    </w:p>
    <w:p>
      <w:pPr>
        <w:pStyle w:val="BodyText"/>
        <w:spacing w:line="312" w:lineRule="auto" w:before="79"/>
        <w:ind w:right="232"/>
      </w:pPr>
      <w:r>
        <w:rPr>
          <w:spacing w:val="-9"/>
        </w:rPr>
        <w:t>剂及应用基础研究、临床药学。作为药学部负责人，带领全科同事，加强科室制度建设、完</w:t>
      </w:r>
      <w:r>
        <w:rPr/>
        <w:t>善质控管理体系，强化业务学习和技能培训，为科室稳步发展提供有力保障。</w:t>
      </w:r>
    </w:p>
    <w:p>
      <w:pPr>
        <w:pStyle w:val="BodyText"/>
        <w:spacing w:line="312" w:lineRule="auto"/>
        <w:ind w:right="108" w:firstLine="480"/>
      </w:pPr>
      <w:r>
        <w:rPr>
          <w:spacing w:val="-5"/>
        </w:rPr>
        <w:t>医院对药学部门的工作属性重新进行设置，既作为职能部门又作为专技部门，药事管理</w:t>
      </w:r>
      <w:r>
        <w:rPr>
          <w:spacing w:val="-11"/>
        </w:rPr>
        <w:t>工作得到进一步强化。在日常药品的供应保障、流转监管、监测评价等方面，药师们发挥了</w:t>
      </w:r>
      <w:r>
        <w:rPr>
          <w:spacing w:val="-16"/>
        </w:rPr>
        <w:t>不可替代和举足轻重的作用。在科室实行“临床药师二十四小时值班制度”和“临床药师巡</w:t>
      </w:r>
      <w:r>
        <w:rPr>
          <w:spacing w:val="-13"/>
        </w:rPr>
        <w:t>诊模式”，合理调配药师资源，逐渐形成特色的临床药师工作模式，在实行“临床医疗中心</w:t>
      </w:r>
      <w:r>
        <w:rPr>
          <w:spacing w:val="-15"/>
        </w:rPr>
        <w:t>制”</w:t>
      </w:r>
      <w:r>
        <w:rPr>
          <w:spacing w:val="-17"/>
        </w:rPr>
        <w:t>（</w:t>
      </w:r>
      <w:r>
        <w:rPr/>
        <w:t>整体器官系统诊疗模式</w:t>
      </w:r>
      <w:r>
        <w:rPr>
          <w:spacing w:val="-17"/>
        </w:rPr>
        <w:t>）</w:t>
      </w:r>
      <w:r>
        <w:rPr>
          <w:spacing w:val="-7"/>
        </w:rPr>
        <w:t>过程中，临床药师真正成为了 “临床诊疗团队中的一员”。</w:t>
      </w:r>
      <w:r>
        <w:rPr>
          <w:spacing w:val="-9"/>
        </w:rPr>
        <w:t>作为教学医院，既是重庆医科大学临床药学专业、重庆市医药高等专科学校药学专业学生的</w:t>
      </w:r>
      <w:r>
        <w:rPr>
          <w:spacing w:val="-11"/>
        </w:rPr>
        <w:t>实习基地，又是重庆市卫计委基层药师师资培训的实训基地，在带教中创新性地实行“导师</w:t>
      </w:r>
      <w:r>
        <w:rPr>
          <w:spacing w:val="-13"/>
        </w:rPr>
        <w:t>制”，教学成效显著。每年招收药理学专业、临床药学专业硕士研究生各 </w:t>
      </w:r>
      <w:r>
        <w:rPr/>
        <w:t>1</w:t>
      </w:r>
      <w:r>
        <w:rPr>
          <w:spacing w:val="-12"/>
        </w:rPr>
        <w:t> 名。经过多年的努力，基本建成管理规范、功能设置齐全、人才梯队合理、科教能力较强、人文环境和谐的药学部门，药学部多次获得医院“医疗质量管理奖”。</w:t>
      </w:r>
    </w:p>
    <w:p>
      <w:pPr>
        <w:pStyle w:val="BodyText"/>
        <w:spacing w:line="312" w:lineRule="auto" w:before="4"/>
        <w:ind w:right="305" w:firstLine="480"/>
      </w:pPr>
      <w:r>
        <w:rPr/>
        <w:t>2015</w:t>
      </w:r>
      <w:r>
        <w:rPr>
          <w:spacing w:val="-12"/>
        </w:rPr>
        <w:t> 年以来，主持厅局级课题 </w:t>
      </w:r>
      <w:r>
        <w:rPr/>
        <w:t>1</w:t>
      </w:r>
      <w:r>
        <w:rPr>
          <w:spacing w:val="-13"/>
        </w:rPr>
        <w:t> 项，参与自然科学基金 </w:t>
      </w:r>
      <w:r>
        <w:rPr/>
        <w:t>1</w:t>
      </w:r>
      <w:r>
        <w:rPr>
          <w:spacing w:val="-13"/>
        </w:rPr>
        <w:t> 项，参与省部级课题 </w:t>
      </w:r>
      <w:r>
        <w:rPr/>
        <w:t>1</w:t>
      </w:r>
      <w:r>
        <w:rPr>
          <w:spacing w:val="-25"/>
        </w:rPr>
        <w:t> 项。</w:t>
      </w:r>
      <w:r>
        <w:rPr>
          <w:spacing w:val="-13"/>
        </w:rPr>
        <w:t>发表论文 </w:t>
      </w:r>
      <w:r>
        <w:rPr/>
        <w:t>10</w:t>
      </w:r>
      <w:r>
        <w:rPr>
          <w:spacing w:val="-30"/>
        </w:rPr>
        <w:t> 篇</w:t>
      </w:r>
      <w:r>
        <w:rPr/>
        <w:t>（通讯作者），</w:t>
      </w:r>
      <w:r>
        <w:rPr>
          <w:spacing w:val="-20"/>
        </w:rPr>
        <w:t>其中 </w:t>
      </w:r>
      <w:r>
        <w:rPr/>
        <w:t>CSCD</w:t>
      </w:r>
      <w:r>
        <w:rPr>
          <w:spacing w:val="-10"/>
        </w:rPr>
        <w:t> 核心期刊 </w:t>
      </w:r>
      <w:r>
        <w:rPr/>
        <w:t>7</w:t>
      </w:r>
      <w:r>
        <w:rPr>
          <w:spacing w:val="-30"/>
        </w:rPr>
        <w:t> 篇</w:t>
      </w:r>
      <w:r>
        <w:rPr/>
        <w:t>，SCI</w:t>
      </w:r>
      <w:r>
        <w:rPr>
          <w:spacing w:val="-30"/>
        </w:rPr>
        <w:t> 文章 </w:t>
      </w:r>
      <w:r>
        <w:rPr/>
        <w:t>1</w:t>
      </w:r>
      <w:r>
        <w:rPr>
          <w:spacing w:val="-30"/>
        </w:rPr>
        <w:t> 篇</w:t>
      </w:r>
      <w:r>
        <w:rPr/>
        <w:t>（IF=5.068）。</w:t>
      </w:r>
    </w:p>
    <w:p>
      <w:pPr>
        <w:pStyle w:val="BodyText"/>
        <w:spacing w:line="312" w:lineRule="auto"/>
        <w:ind w:right="125" w:firstLine="480"/>
      </w:pPr>
      <w:r>
        <w:rPr>
          <w:spacing w:val="-5"/>
        </w:rPr>
        <w:t>兼任中国药理学会治疗药物监测研究专业委员会委员，重庆市药学会药事管理专业委员</w:t>
      </w:r>
      <w:r>
        <w:rPr>
          <w:spacing w:val="-11"/>
        </w:rPr>
        <w:t>会委员，重庆市医学会临床药学专业委员会委员，重庆市中西医结合学会药学专业委员会常</w:t>
      </w:r>
      <w:r>
        <w:rPr>
          <w:spacing w:val="-12"/>
        </w:rPr>
        <w:t>务委员，重庆市医师协会人文医学分会专家委员会委员；重庆市“综合评标专家库”专家， </w:t>
      </w:r>
      <w:r>
        <w:rPr>
          <w:spacing w:val="-9"/>
        </w:rPr>
        <w:t>重庆市“医保评标专家库”专家，重庆市“劳动能力鉴定”医疗卫生专家，《中国药房》杂</w:t>
      </w:r>
    </w:p>
    <w:p>
      <w:pPr>
        <w:spacing w:line="422" w:lineRule="exact" w:before="0"/>
        <w:ind w:left="237" w:right="0" w:firstLine="0"/>
        <w:jc w:val="left"/>
        <w:rPr>
          <w:rFonts w:ascii="Meiryo" w:eastAsia="Meiryo" w:hint="eastAsia"/>
          <w:b/>
          <w:sz w:val="24"/>
        </w:rPr>
      </w:pPr>
      <w:r>
        <w:rPr>
          <w:sz w:val="24"/>
        </w:rPr>
        <w:t>志常务编委、《重庆医学》杂志特邀审稿专家。</w:t>
      </w:r>
      <w:r>
        <w:rPr>
          <w:rFonts w:ascii="Meiryo" w:eastAsia="Meiryo" w:hint="eastAsia"/>
          <w:b/>
          <w:color w:val="0033CC"/>
          <w:sz w:val="24"/>
        </w:rPr>
        <w:t>[返回目次]</w:t>
      </w:r>
    </w:p>
    <w:p>
      <w:pPr>
        <w:pStyle w:val="Heading2"/>
        <w:spacing w:before="196"/>
        <w:ind w:left="6"/>
        <w:jc w:val="center"/>
      </w:pPr>
      <w:bookmarkStart w:name="_TOC_250000" w:id="24"/>
      <w:bookmarkEnd w:id="24"/>
      <w:r>
        <w:rPr/>
        <w:t>重庆三峡中心医院——黄道秋</w:t>
      </w:r>
    </w:p>
    <w:p>
      <w:pPr>
        <w:pStyle w:val="Heading3"/>
        <w:spacing w:before="222"/>
        <w:ind w:left="3"/>
        <w:jc w:val="center"/>
        <w:rPr>
          <w:rFonts w:ascii="楷体" w:eastAsia="楷体" w:hint="eastAsia"/>
        </w:rPr>
      </w:pPr>
      <w:r>
        <w:rPr>
          <w:rFonts w:ascii="楷体" w:eastAsia="楷体" w:hint="eastAsia"/>
        </w:rPr>
        <w:t>励志寄语：廉洁自律、尽职尽责、献身药学，开拓创新!</w:t>
      </w:r>
    </w:p>
    <w:p>
      <w:pPr>
        <w:pStyle w:val="BodyText"/>
        <w:spacing w:line="312" w:lineRule="auto" w:before="185"/>
        <w:ind w:right="227" w:firstLine="480"/>
        <w:jc w:val="both"/>
      </w:pPr>
      <w:r>
        <w:rPr>
          <w:spacing w:val="-10"/>
        </w:rPr>
        <w:t>黄道秋，现任重庆三峡中心医院药学部主任，主任药师，川北医学院及三峡医药高等专</w:t>
      </w:r>
      <w:r>
        <w:rPr>
          <w:spacing w:val="-5"/>
        </w:rPr>
        <w:t>科学校兼职教授，从事药学工作 </w:t>
      </w:r>
      <w:r>
        <w:rPr/>
        <w:t>36</w:t>
      </w:r>
      <w:r>
        <w:rPr>
          <w:spacing w:val="-8"/>
        </w:rPr>
        <w:t> 年。先后从事药房调剂、医院制剂质量检验、医院制剂</w:t>
      </w:r>
      <w:r>
        <w:rPr>
          <w:spacing w:val="-12"/>
        </w:rPr>
        <w:t>配制、临床药学、药物临床试验机构资格认证、抗菌药物专项整治等工作，曾担任医务部副</w:t>
      </w:r>
      <w:r>
        <w:rPr/>
        <w:t>主任、药物临床试验机构办公室主任。</w:t>
      </w:r>
    </w:p>
    <w:p>
      <w:pPr>
        <w:pStyle w:val="BodyText"/>
        <w:spacing w:line="312" w:lineRule="auto" w:before="2"/>
        <w:ind w:right="228" w:firstLine="480"/>
        <w:jc w:val="both"/>
      </w:pPr>
      <w:r>
        <w:rPr>
          <w:spacing w:val="-7"/>
        </w:rPr>
        <w:t>在担任药学部主任的 </w:t>
      </w:r>
      <w:r>
        <w:rPr/>
        <w:t>5</w:t>
      </w:r>
      <w:r>
        <w:rPr>
          <w:spacing w:val="-14"/>
        </w:rPr>
        <w:t> 年期间，遵纪守法，廉洁自律，定期对科室人员进行廉政警醒教</w:t>
      </w:r>
      <w:r>
        <w:rPr>
          <w:spacing w:val="-11"/>
        </w:rPr>
        <w:t>育，科室人员无违纪违规现象。进一步完善药事管理相关制度，强化细节管理、强化规范化</w:t>
      </w:r>
      <w:r>
        <w:rPr>
          <w:spacing w:val="-16"/>
        </w:rPr>
        <w:t>管理，在三甲复评中，得到专家好评；加强临床药师的培养，取得临床药师资质人员由 </w:t>
      </w:r>
      <w:r>
        <w:rPr>
          <w:spacing w:val="-4"/>
        </w:rPr>
        <w:t>2013</w:t>
      </w:r>
    </w:p>
    <w:p>
      <w:pPr>
        <w:pStyle w:val="BodyText"/>
        <w:spacing w:before="1"/>
        <w:jc w:val="both"/>
      </w:pPr>
      <w:r>
        <w:rPr>
          <w:spacing w:val="-20"/>
        </w:rPr>
        <w:t>年的 </w:t>
      </w:r>
      <w:r>
        <w:rPr/>
        <w:t>2</w:t>
      </w:r>
      <w:r>
        <w:rPr>
          <w:spacing w:val="-14"/>
        </w:rPr>
        <w:t> 人增加至现在的 </w:t>
      </w:r>
      <w:r>
        <w:rPr/>
        <w:t>10</w:t>
      </w:r>
      <w:r>
        <w:rPr>
          <w:spacing w:val="-8"/>
        </w:rPr>
        <w:t> 人，临床药学工作得到了深入开展。探索药品零利润下药学学科</w:t>
      </w:r>
    </w:p>
    <w:p>
      <w:pPr>
        <w:pStyle w:val="BodyText"/>
        <w:spacing w:line="312" w:lineRule="auto" w:before="91"/>
        <w:ind w:right="227"/>
        <w:jc w:val="both"/>
      </w:pPr>
      <w:r>
        <w:rPr>
          <w:spacing w:val="-4"/>
        </w:rPr>
        <w:t>的发展思路，积极开展新项目。新建约 </w:t>
      </w:r>
      <w:r>
        <w:rPr/>
        <w:t>1200</w:t>
      </w:r>
      <w:r>
        <w:rPr>
          <w:spacing w:val="-8"/>
        </w:rPr>
        <w:t> 平方米的静脉用药配置中心，并已开展工作； </w:t>
      </w:r>
      <w:r>
        <w:rPr>
          <w:spacing w:val="-15"/>
        </w:rPr>
        <w:t>筹建Ⅰ期药物临床试验研究室，并已开始接受生物等效性试验项目；配置门诊自动化发药设</w:t>
      </w:r>
      <w:r>
        <w:rPr/>
        <w:t>备及住院患者单剂量分包机，并已运行。</w:t>
      </w:r>
    </w:p>
    <w:p>
      <w:pPr>
        <w:pStyle w:val="BodyText"/>
        <w:spacing w:line="312" w:lineRule="auto" w:before="1"/>
        <w:ind w:right="229" w:firstLine="480"/>
        <w:jc w:val="both"/>
      </w:pPr>
      <w:r>
        <w:rPr>
          <w:spacing w:val="-9"/>
        </w:rPr>
        <w:t>加大青年药师能力的培养，教学水平明显提高，科室承担了川北医学院循证药学研究生</w:t>
      </w:r>
      <w:r>
        <w:rPr>
          <w:spacing w:val="-8"/>
        </w:rPr>
        <w:t>及临床医学专业本科生的《临床药理学》课程的全程教学工作，选派药师参加本院及重庆片</w:t>
      </w:r>
      <w:r>
        <w:rPr>
          <w:spacing w:val="-9"/>
        </w:rPr>
        <w:t>区的讲课比赛并多次获奖。落实人才梯队建设，鼓励开展科学研究，近 </w:t>
      </w:r>
      <w:r>
        <w:rPr/>
        <w:t>5</w:t>
      </w:r>
      <w:r>
        <w:rPr>
          <w:spacing w:val="-9"/>
        </w:rPr>
        <w:t> 年新进硕士研究生</w:t>
      </w:r>
    </w:p>
    <w:p>
      <w:pPr>
        <w:spacing w:after="0" w:line="312" w:lineRule="auto"/>
        <w:jc w:val="both"/>
        <w:sectPr>
          <w:pgSz w:w="11910" w:h="16850"/>
          <w:pgMar w:header="906" w:footer="607" w:top="1100" w:bottom="800" w:left="1040" w:right="900"/>
        </w:sectPr>
      </w:pPr>
    </w:p>
    <w:p>
      <w:pPr>
        <w:pStyle w:val="BodyText"/>
        <w:spacing w:line="312" w:lineRule="auto" w:before="79"/>
        <w:ind w:right="425"/>
      </w:pPr>
      <w:r>
        <w:rPr>
          <w:spacing w:val="-11"/>
        </w:rPr>
        <w:t>及本科生近 </w:t>
      </w:r>
      <w:r>
        <w:rPr/>
        <w:t>20</w:t>
      </w:r>
      <w:r>
        <w:rPr>
          <w:spacing w:val="-14"/>
        </w:rPr>
        <w:t> 名，科室发表论文 </w:t>
      </w:r>
      <w:r>
        <w:rPr/>
        <w:t>70</w:t>
      </w:r>
      <w:r>
        <w:rPr>
          <w:spacing w:val="-11"/>
        </w:rPr>
        <w:t> 余篇，获得重庆市卫计委及万州区政府科技进步奖 </w:t>
      </w:r>
      <w:r>
        <w:rPr>
          <w:spacing w:val="-16"/>
        </w:rPr>
        <w:t>6 </w:t>
      </w:r>
      <w:r>
        <w:rPr/>
        <w:t>项。</w:t>
      </w:r>
    </w:p>
    <w:p>
      <w:pPr>
        <w:pStyle w:val="BodyText"/>
        <w:spacing w:line="312" w:lineRule="auto"/>
        <w:ind w:right="305" w:firstLine="480"/>
      </w:pPr>
      <w:r>
        <w:rPr>
          <w:spacing w:val="-3"/>
        </w:rPr>
        <w:t>在国内药学专业期刊上以第一作者发表论文 </w:t>
      </w:r>
      <w:r>
        <w:rPr/>
        <w:t>40</w:t>
      </w:r>
      <w:r>
        <w:rPr>
          <w:spacing w:val="-18"/>
        </w:rPr>
        <w:t> 余篇，其中 </w:t>
      </w:r>
      <w:r>
        <w:rPr/>
        <w:t>CSCD</w:t>
      </w:r>
      <w:r>
        <w:rPr>
          <w:spacing w:val="-24"/>
        </w:rPr>
        <w:t> 核心刊 </w:t>
      </w:r>
      <w:r>
        <w:rPr/>
        <w:t>6</w:t>
      </w:r>
      <w:r>
        <w:rPr>
          <w:spacing w:val="-30"/>
        </w:rPr>
        <w:t> 篇</w:t>
      </w:r>
      <w:r>
        <w:rPr/>
        <w:t>，CSCD</w:t>
      </w:r>
      <w:r>
        <w:rPr>
          <w:spacing w:val="-38"/>
        </w:rPr>
        <w:t> 扩</w:t>
      </w:r>
      <w:r>
        <w:rPr>
          <w:spacing w:val="-20"/>
        </w:rPr>
        <w:t>展刊 </w:t>
      </w:r>
      <w:r>
        <w:rPr/>
        <w:t>10</w:t>
      </w:r>
      <w:r>
        <w:rPr>
          <w:spacing w:val="-25"/>
        </w:rPr>
        <w:t> 篇，被 </w:t>
      </w:r>
      <w:r>
        <w:rPr/>
        <w:t>CA</w:t>
      </w:r>
      <w:r>
        <w:rPr>
          <w:spacing w:val="-10"/>
        </w:rPr>
        <w:t> 收录一篇，获万州区卫生系统优秀科技论文一等奖、二等奖、三等奖 </w:t>
      </w:r>
      <w:r>
        <w:rPr>
          <w:spacing w:val="-8"/>
        </w:rPr>
        <w:t>20</w:t>
      </w:r>
    </w:p>
    <w:p>
      <w:pPr>
        <w:pStyle w:val="BodyText"/>
        <w:spacing w:line="307" w:lineRule="exact"/>
      </w:pPr>
      <w:r>
        <w:rPr>
          <w:spacing w:val="-3"/>
        </w:rPr>
        <w:t>余篇，获重庆市卫计委科技成果二、三等奖共 </w:t>
      </w:r>
      <w:r>
        <w:rPr/>
        <w:t>5</w:t>
      </w:r>
      <w:r>
        <w:rPr>
          <w:spacing w:val="-11"/>
        </w:rPr>
        <w:t> 项，获万州区科技进步二、三等奖共 </w:t>
      </w:r>
      <w:r>
        <w:rPr/>
        <w:t>8</w:t>
      </w:r>
      <w:r>
        <w:rPr>
          <w:spacing w:val="-20"/>
        </w:rPr>
        <w:t> 项。</w:t>
      </w:r>
    </w:p>
    <w:p>
      <w:pPr>
        <w:pStyle w:val="BodyText"/>
        <w:spacing w:before="93"/>
        <w:ind w:left="717"/>
      </w:pPr>
      <w:r>
        <w:rPr/>
        <w:t>药学教研室近 3 年连续被医院评为优秀教研室，科室多次被医院评为先进集体，</w:t>
      </w:r>
    </w:p>
    <w:p>
      <w:pPr>
        <w:pStyle w:val="BodyText"/>
        <w:spacing w:before="94"/>
      </w:pPr>
      <w:r>
        <w:rPr/>
        <w:t>2014-2016 连续三年，被医院评为优秀共产党员、优秀管理者。</w:t>
      </w:r>
    </w:p>
    <w:p>
      <w:pPr>
        <w:pStyle w:val="BodyText"/>
        <w:spacing w:line="328" w:lineRule="auto" w:before="107"/>
        <w:ind w:right="226" w:firstLine="480"/>
      </w:pPr>
      <w:r>
        <w:rPr/>
        <w:t>兼任重庆药学会医院药学专业委员会副主任委员、静脉用药调配专业委员会副主任委</w:t>
      </w:r>
      <w:r>
        <w:rPr>
          <w:spacing w:val="-11"/>
        </w:rPr>
        <w:t>员，重庆市医院协会药事管理专业委员会副主任委员，国家卫生计生委脑卒中防治工程专家</w:t>
      </w:r>
    </w:p>
    <w:p>
      <w:pPr>
        <w:pStyle w:val="BodyText"/>
        <w:spacing w:line="304" w:lineRule="auto"/>
        <w:ind w:right="226"/>
        <w:rPr>
          <w:rFonts w:ascii="华文楷体" w:eastAsia="华文楷体" w:hint="eastAsia"/>
          <w:b/>
        </w:rPr>
      </w:pPr>
      <w:r>
        <w:rPr>
          <w:spacing w:val="-7"/>
        </w:rPr>
        <w:t>委员会合理用药专业委员会委员，重庆市药事质控专家，万州区医学会药学专业委员会主任</w:t>
      </w:r>
      <w:r>
        <w:rPr/>
        <w:t>委员，万州区药事质控中心主任，《中国药房》杂志常务编委等。</w:t>
      </w:r>
      <w:r>
        <w:rPr>
          <w:rFonts w:ascii="华文楷体" w:eastAsia="华文楷体" w:hint="eastAsia"/>
          <w:b/>
          <w:color w:val="006FC0"/>
          <w:spacing w:val="-1"/>
        </w:rPr>
        <w:t>以上药师荣获 </w:t>
      </w:r>
      <w:r>
        <w:rPr>
          <w:rFonts w:ascii="华文楷体" w:eastAsia="华文楷体" w:hint="eastAsia"/>
          <w:b/>
          <w:color w:val="006FC0"/>
        </w:rPr>
        <w:t>2018 年中</w:t>
      </w:r>
    </w:p>
    <w:p>
      <w:pPr>
        <w:pStyle w:val="Heading3"/>
        <w:spacing w:line="369" w:lineRule="exact"/>
        <w:ind w:left="237"/>
        <w:rPr>
          <w:rFonts w:ascii="Meiryo" w:eastAsia="Meiryo" w:hint="eastAsia"/>
        </w:rPr>
      </w:pPr>
      <w:r>
        <w:rPr>
          <w:rFonts w:ascii="华文楷体" w:eastAsia="华文楷体" w:hint="eastAsia"/>
          <w:color w:val="006FC0"/>
        </w:rPr>
        <w:t>国药学会优秀药师</w:t>
      </w:r>
      <w:r>
        <w:rPr>
          <w:rFonts w:ascii="Meiryo" w:eastAsia="Meiryo" w:hint="eastAsia"/>
          <w:color w:val="0033CC"/>
        </w:rPr>
        <w:t>[返回目次]</w:t>
      </w:r>
    </w:p>
    <w:sectPr>
      <w:pgSz w:w="11910" w:h="16850"/>
      <w:pgMar w:header="906" w:footer="607" w:top="1100" w:bottom="800" w:left="10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华文宋体">
    <w:altName w:val="华文宋体"/>
    <w:charset w:val="86"/>
    <w:family w:val="auto"/>
    <w:pitch w:val="variable"/>
  </w:font>
  <w:font w:name="隶书">
    <w:altName w:val="隶书"/>
    <w:charset w:val="86"/>
    <w:family w:val="modern"/>
    <w:pitch w:val="fixed"/>
  </w:font>
  <w:font w:name="黑体">
    <w:altName w:val="黑体"/>
    <w:charset w:val="86"/>
    <w:family w:val="modern"/>
    <w:pitch w:val="fixed"/>
  </w:font>
  <w:font w:name="楷体">
    <w:altName w:val="楷体"/>
    <w:charset w:val="86"/>
    <w:family w:val="modern"/>
    <w:pitch w:val="fixed"/>
  </w:font>
  <w:font w:name="宋体">
    <w:altName w:val="宋体"/>
    <w:charset w:val="86"/>
    <w:family w:val="auto"/>
    <w:pitch w:val="variable"/>
  </w:font>
  <w:font w:name="Meiryo">
    <w:altName w:val="Meiryo"/>
    <w:charset w:val="0"/>
    <w:family w:val="swiss"/>
    <w:pitch w:val="variable"/>
  </w:font>
  <w:font w:name="仿宋">
    <w:altName w:val="仿宋"/>
    <w:charset w:val="86"/>
    <w:family w:val="modern"/>
    <w:pitch w:val="fixed"/>
  </w:font>
  <w:font w:name="华文楷体">
    <w:altName w:val="华文楷体"/>
    <w:charset w:val="86"/>
    <w:family w:val="auto"/>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5.970001pt;margin-top:789.769958pt;width:10.6pt;height:11pt;mso-position-horizontal-relative:page;mso-position-vertical-relative:page;z-index:-254385152"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5.970001pt;margin-top:789.769958pt;width:10.6pt;height:11pt;mso-position-horizontal-relative:page;mso-position-vertical-relative:page;z-index:-254383104"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4381056"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4380032"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13</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4379008"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14</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4376960"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4384128" from="62.400002pt,54.959976pt" to="540.220002pt,54.959976pt" stroked="true" strokeweight=".72pt" strokecolor="#000000">
          <v:stroke dashstyle="solid"/>
          <w10:wrap type="non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4382080" from="62.400002pt,54.959976pt" to="540.220002pt,54.959976pt" stroked="true" strokeweight=".72pt" strokecolor="#000000">
          <v:stroke dashstyle="solid"/>
          <w10:wrap type="non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4377984" from="62.400002pt,54.959976pt" to="540.220002pt,54.959976pt" stroked="true" strokeweight=".72pt" strokecolor="#00000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960" w:hanging="244"/>
        <w:jc w:val="left"/>
      </w:pPr>
      <w:rPr>
        <w:rFonts w:hint="default" w:ascii="宋体" w:hAnsi="宋体" w:eastAsia="宋体" w:cs="宋体"/>
        <w:b/>
        <w:bCs/>
        <w:spacing w:val="0"/>
        <w:w w:val="99"/>
        <w:sz w:val="22"/>
        <w:szCs w:val="22"/>
        <w:lang w:val="zh-cn" w:eastAsia="zh-cn" w:bidi="zh-cn"/>
      </w:rPr>
    </w:lvl>
    <w:lvl w:ilvl="1">
      <w:start w:val="1"/>
      <w:numFmt w:val="decimal"/>
      <w:lvlText w:val="%1.%2"/>
      <w:lvlJc w:val="left"/>
      <w:pPr>
        <w:ind w:left="237" w:hanging="480"/>
        <w:jc w:val="left"/>
      </w:pPr>
      <w:rPr>
        <w:rFonts w:hint="default" w:ascii="宋体" w:hAnsi="宋体" w:eastAsia="宋体" w:cs="宋体"/>
        <w:w w:val="100"/>
        <w:sz w:val="24"/>
        <w:szCs w:val="24"/>
        <w:lang w:val="zh-cn" w:eastAsia="zh-cn" w:bidi="zh-cn"/>
      </w:rPr>
    </w:lvl>
    <w:lvl w:ilvl="2">
      <w:start w:val="1"/>
      <w:numFmt w:val="decimal"/>
      <w:lvlText w:val="%1.%2.%3"/>
      <w:lvlJc w:val="left"/>
      <w:pPr>
        <w:ind w:left="237" w:hanging="720"/>
        <w:jc w:val="left"/>
      </w:pPr>
      <w:rPr>
        <w:rFonts w:hint="default" w:ascii="宋体" w:hAnsi="宋体" w:eastAsia="宋体" w:cs="宋体"/>
        <w:w w:val="100"/>
        <w:sz w:val="24"/>
        <w:szCs w:val="24"/>
        <w:lang w:val="zh-cn" w:eastAsia="zh-cn" w:bidi="zh-cn"/>
      </w:rPr>
    </w:lvl>
    <w:lvl w:ilvl="3">
      <w:start w:val="0"/>
      <w:numFmt w:val="bullet"/>
      <w:lvlText w:val="•"/>
      <w:lvlJc w:val="left"/>
      <w:pPr>
        <w:ind w:left="2453" w:hanging="720"/>
      </w:pPr>
      <w:rPr>
        <w:rFonts w:hint="default"/>
        <w:lang w:val="zh-cn" w:eastAsia="zh-cn" w:bidi="zh-cn"/>
      </w:rPr>
    </w:lvl>
    <w:lvl w:ilvl="4">
      <w:start w:val="0"/>
      <w:numFmt w:val="bullet"/>
      <w:lvlText w:val="•"/>
      <w:lvlJc w:val="left"/>
      <w:pPr>
        <w:ind w:left="3526" w:hanging="720"/>
      </w:pPr>
      <w:rPr>
        <w:rFonts w:hint="default"/>
        <w:lang w:val="zh-cn" w:eastAsia="zh-cn" w:bidi="zh-cn"/>
      </w:rPr>
    </w:lvl>
    <w:lvl w:ilvl="5">
      <w:start w:val="0"/>
      <w:numFmt w:val="bullet"/>
      <w:lvlText w:val="•"/>
      <w:lvlJc w:val="left"/>
      <w:pPr>
        <w:ind w:left="4599" w:hanging="720"/>
      </w:pPr>
      <w:rPr>
        <w:rFonts w:hint="default"/>
        <w:lang w:val="zh-cn" w:eastAsia="zh-cn" w:bidi="zh-cn"/>
      </w:rPr>
    </w:lvl>
    <w:lvl w:ilvl="6">
      <w:start w:val="0"/>
      <w:numFmt w:val="bullet"/>
      <w:lvlText w:val="•"/>
      <w:lvlJc w:val="left"/>
      <w:pPr>
        <w:ind w:left="5673" w:hanging="720"/>
      </w:pPr>
      <w:rPr>
        <w:rFonts w:hint="default"/>
        <w:lang w:val="zh-cn" w:eastAsia="zh-cn" w:bidi="zh-cn"/>
      </w:rPr>
    </w:lvl>
    <w:lvl w:ilvl="7">
      <w:start w:val="0"/>
      <w:numFmt w:val="bullet"/>
      <w:lvlText w:val="•"/>
      <w:lvlJc w:val="left"/>
      <w:pPr>
        <w:ind w:left="6746" w:hanging="720"/>
      </w:pPr>
      <w:rPr>
        <w:rFonts w:hint="default"/>
        <w:lang w:val="zh-cn" w:eastAsia="zh-cn" w:bidi="zh-cn"/>
      </w:rPr>
    </w:lvl>
    <w:lvl w:ilvl="8">
      <w:start w:val="0"/>
      <w:numFmt w:val="bullet"/>
      <w:lvlText w:val="•"/>
      <w:lvlJc w:val="left"/>
      <w:pPr>
        <w:ind w:left="7819" w:hanging="720"/>
      </w:pPr>
      <w:rPr>
        <w:rFonts w:hint="default"/>
        <w:lang w:val="zh-cn" w:eastAsia="zh-cn" w:bidi="zh-cn"/>
      </w:rPr>
    </w:lvl>
  </w:abstractNum>
  <w:abstractNum w:abstractNumId="1">
    <w:multiLevelType w:val="hybridMultilevel"/>
    <w:lvl w:ilvl="0">
      <w:start w:val="1"/>
      <w:numFmt w:val="decimal"/>
      <w:lvlText w:val="%1"/>
      <w:lvlJc w:val="left"/>
      <w:pPr>
        <w:ind w:left="1079" w:hanging="363"/>
        <w:jc w:val="left"/>
      </w:pPr>
      <w:rPr>
        <w:rFonts w:hint="default" w:ascii="宋体" w:hAnsi="宋体" w:eastAsia="宋体" w:cs="宋体"/>
        <w:b/>
        <w:bCs/>
        <w:w w:val="99"/>
        <w:sz w:val="24"/>
        <w:szCs w:val="24"/>
        <w:lang w:val="zh-cn" w:eastAsia="zh-cn" w:bidi="zh-cn"/>
      </w:rPr>
    </w:lvl>
    <w:lvl w:ilvl="1">
      <w:start w:val="1"/>
      <w:numFmt w:val="decimal"/>
      <w:lvlText w:val="%1.%2"/>
      <w:lvlJc w:val="left"/>
      <w:pPr>
        <w:ind w:left="237" w:hanging="480"/>
        <w:jc w:val="left"/>
      </w:pPr>
      <w:rPr>
        <w:rFonts w:hint="default" w:ascii="宋体" w:hAnsi="宋体" w:eastAsia="宋体" w:cs="宋体"/>
        <w:w w:val="100"/>
        <w:sz w:val="24"/>
        <w:szCs w:val="24"/>
        <w:lang w:val="zh-cn" w:eastAsia="zh-cn" w:bidi="zh-cn"/>
      </w:rPr>
    </w:lvl>
    <w:lvl w:ilvl="2">
      <w:start w:val="1"/>
      <w:numFmt w:val="decimal"/>
      <w:lvlText w:val="%1.%2.%3"/>
      <w:lvlJc w:val="left"/>
      <w:pPr>
        <w:ind w:left="237" w:hanging="660"/>
        <w:jc w:val="left"/>
      </w:pPr>
      <w:rPr>
        <w:rFonts w:hint="default" w:ascii="宋体" w:hAnsi="宋体" w:eastAsia="宋体" w:cs="宋体"/>
        <w:w w:val="100"/>
        <w:sz w:val="24"/>
        <w:szCs w:val="24"/>
        <w:lang w:val="zh-cn" w:eastAsia="zh-cn" w:bidi="zh-cn"/>
      </w:rPr>
    </w:lvl>
    <w:lvl w:ilvl="3">
      <w:start w:val="0"/>
      <w:numFmt w:val="bullet"/>
      <w:lvlText w:val="•"/>
      <w:lvlJc w:val="left"/>
      <w:pPr>
        <w:ind w:left="3054" w:hanging="660"/>
      </w:pPr>
      <w:rPr>
        <w:rFonts w:hint="default"/>
        <w:lang w:val="zh-cn" w:eastAsia="zh-cn" w:bidi="zh-cn"/>
      </w:rPr>
    </w:lvl>
    <w:lvl w:ilvl="4">
      <w:start w:val="0"/>
      <w:numFmt w:val="bullet"/>
      <w:lvlText w:val="•"/>
      <w:lvlJc w:val="left"/>
      <w:pPr>
        <w:ind w:left="4042" w:hanging="660"/>
      </w:pPr>
      <w:rPr>
        <w:rFonts w:hint="default"/>
        <w:lang w:val="zh-cn" w:eastAsia="zh-cn" w:bidi="zh-cn"/>
      </w:rPr>
    </w:lvl>
    <w:lvl w:ilvl="5">
      <w:start w:val="0"/>
      <w:numFmt w:val="bullet"/>
      <w:lvlText w:val="•"/>
      <w:lvlJc w:val="left"/>
      <w:pPr>
        <w:ind w:left="5029" w:hanging="660"/>
      </w:pPr>
      <w:rPr>
        <w:rFonts w:hint="default"/>
        <w:lang w:val="zh-cn" w:eastAsia="zh-cn" w:bidi="zh-cn"/>
      </w:rPr>
    </w:lvl>
    <w:lvl w:ilvl="6">
      <w:start w:val="0"/>
      <w:numFmt w:val="bullet"/>
      <w:lvlText w:val="•"/>
      <w:lvlJc w:val="left"/>
      <w:pPr>
        <w:ind w:left="6016" w:hanging="660"/>
      </w:pPr>
      <w:rPr>
        <w:rFonts w:hint="default"/>
        <w:lang w:val="zh-cn" w:eastAsia="zh-cn" w:bidi="zh-cn"/>
      </w:rPr>
    </w:lvl>
    <w:lvl w:ilvl="7">
      <w:start w:val="0"/>
      <w:numFmt w:val="bullet"/>
      <w:lvlText w:val="•"/>
      <w:lvlJc w:val="left"/>
      <w:pPr>
        <w:ind w:left="7004" w:hanging="660"/>
      </w:pPr>
      <w:rPr>
        <w:rFonts w:hint="default"/>
        <w:lang w:val="zh-cn" w:eastAsia="zh-cn" w:bidi="zh-cn"/>
      </w:rPr>
    </w:lvl>
    <w:lvl w:ilvl="8">
      <w:start w:val="0"/>
      <w:numFmt w:val="bullet"/>
      <w:lvlText w:val="•"/>
      <w:lvlJc w:val="left"/>
      <w:pPr>
        <w:ind w:left="7991" w:hanging="660"/>
      </w:pPr>
      <w:rPr>
        <w:rFonts w:hint="default"/>
        <w:lang w:val="zh-cn" w:eastAsia="zh-cn" w:bidi="zh-cn"/>
      </w:rPr>
    </w:lvl>
  </w:abstractNum>
  <w:abstractNum w:abstractNumId="9">
    <w:multiLevelType w:val="hybridMultilevel"/>
    <w:lvl w:ilvl="0">
      <w:start w:val="1"/>
      <w:numFmt w:val="decimal"/>
      <w:lvlText w:val="%1."/>
      <w:lvlJc w:val="left"/>
      <w:pPr>
        <w:ind w:left="960" w:hanging="244"/>
        <w:jc w:val="left"/>
      </w:pPr>
      <w:rPr>
        <w:rFonts w:hint="default" w:ascii="宋体" w:hAnsi="宋体" w:eastAsia="宋体" w:cs="宋体"/>
        <w:b/>
        <w:bCs/>
        <w:spacing w:val="0"/>
        <w:w w:val="99"/>
        <w:sz w:val="22"/>
        <w:szCs w:val="22"/>
        <w:lang w:val="zh-cn" w:eastAsia="zh-cn" w:bidi="zh-cn"/>
      </w:rPr>
    </w:lvl>
    <w:lvl w:ilvl="1">
      <w:start w:val="0"/>
      <w:numFmt w:val="bullet"/>
      <w:lvlText w:val="•"/>
      <w:lvlJc w:val="left"/>
      <w:pPr>
        <w:ind w:left="1860" w:hanging="244"/>
      </w:pPr>
      <w:rPr>
        <w:rFonts w:hint="default"/>
        <w:lang w:val="zh-cn" w:eastAsia="zh-cn" w:bidi="zh-cn"/>
      </w:rPr>
    </w:lvl>
    <w:lvl w:ilvl="2">
      <w:start w:val="0"/>
      <w:numFmt w:val="bullet"/>
      <w:lvlText w:val="•"/>
      <w:lvlJc w:val="left"/>
      <w:pPr>
        <w:ind w:left="2761" w:hanging="244"/>
      </w:pPr>
      <w:rPr>
        <w:rFonts w:hint="default"/>
        <w:lang w:val="zh-cn" w:eastAsia="zh-cn" w:bidi="zh-cn"/>
      </w:rPr>
    </w:lvl>
    <w:lvl w:ilvl="3">
      <w:start w:val="0"/>
      <w:numFmt w:val="bullet"/>
      <w:lvlText w:val="•"/>
      <w:lvlJc w:val="left"/>
      <w:pPr>
        <w:ind w:left="3661" w:hanging="244"/>
      </w:pPr>
      <w:rPr>
        <w:rFonts w:hint="default"/>
        <w:lang w:val="zh-cn" w:eastAsia="zh-cn" w:bidi="zh-cn"/>
      </w:rPr>
    </w:lvl>
    <w:lvl w:ilvl="4">
      <w:start w:val="0"/>
      <w:numFmt w:val="bullet"/>
      <w:lvlText w:val="•"/>
      <w:lvlJc w:val="left"/>
      <w:pPr>
        <w:ind w:left="4562" w:hanging="244"/>
      </w:pPr>
      <w:rPr>
        <w:rFonts w:hint="default"/>
        <w:lang w:val="zh-cn" w:eastAsia="zh-cn" w:bidi="zh-cn"/>
      </w:rPr>
    </w:lvl>
    <w:lvl w:ilvl="5">
      <w:start w:val="0"/>
      <w:numFmt w:val="bullet"/>
      <w:lvlText w:val="•"/>
      <w:lvlJc w:val="left"/>
      <w:pPr>
        <w:ind w:left="5463" w:hanging="244"/>
      </w:pPr>
      <w:rPr>
        <w:rFonts w:hint="default"/>
        <w:lang w:val="zh-cn" w:eastAsia="zh-cn" w:bidi="zh-cn"/>
      </w:rPr>
    </w:lvl>
    <w:lvl w:ilvl="6">
      <w:start w:val="0"/>
      <w:numFmt w:val="bullet"/>
      <w:lvlText w:val="•"/>
      <w:lvlJc w:val="left"/>
      <w:pPr>
        <w:ind w:left="6363" w:hanging="244"/>
      </w:pPr>
      <w:rPr>
        <w:rFonts w:hint="default"/>
        <w:lang w:val="zh-cn" w:eastAsia="zh-cn" w:bidi="zh-cn"/>
      </w:rPr>
    </w:lvl>
    <w:lvl w:ilvl="7">
      <w:start w:val="0"/>
      <w:numFmt w:val="bullet"/>
      <w:lvlText w:val="•"/>
      <w:lvlJc w:val="left"/>
      <w:pPr>
        <w:ind w:left="7264" w:hanging="244"/>
      </w:pPr>
      <w:rPr>
        <w:rFonts w:hint="default"/>
        <w:lang w:val="zh-cn" w:eastAsia="zh-cn" w:bidi="zh-cn"/>
      </w:rPr>
    </w:lvl>
    <w:lvl w:ilvl="8">
      <w:start w:val="0"/>
      <w:numFmt w:val="bullet"/>
      <w:lvlText w:val="•"/>
      <w:lvlJc w:val="left"/>
      <w:pPr>
        <w:ind w:left="8165" w:hanging="244"/>
      </w:pPr>
      <w:rPr>
        <w:rFonts w:hint="default"/>
        <w:lang w:val="zh-cn" w:eastAsia="zh-cn" w:bidi="zh-cn"/>
      </w:rPr>
    </w:lvl>
  </w:abstractNum>
  <w:abstractNum w:abstractNumId="8">
    <w:multiLevelType w:val="hybridMultilevel"/>
    <w:lvl w:ilvl="0">
      <w:start w:val="3"/>
      <w:numFmt w:val="decimal"/>
      <w:lvlText w:val="%1."/>
      <w:lvlJc w:val="left"/>
      <w:pPr>
        <w:ind w:left="960" w:hanging="244"/>
        <w:jc w:val="left"/>
      </w:pPr>
      <w:rPr>
        <w:rFonts w:hint="default" w:ascii="宋体" w:hAnsi="宋体" w:eastAsia="宋体" w:cs="宋体"/>
        <w:b/>
        <w:bCs/>
        <w:spacing w:val="0"/>
        <w:w w:val="99"/>
        <w:sz w:val="22"/>
        <w:szCs w:val="22"/>
        <w:lang w:val="zh-cn" w:eastAsia="zh-cn" w:bidi="zh-cn"/>
      </w:rPr>
    </w:lvl>
    <w:lvl w:ilvl="1">
      <w:start w:val="0"/>
      <w:numFmt w:val="bullet"/>
      <w:lvlText w:val="•"/>
      <w:lvlJc w:val="left"/>
      <w:pPr>
        <w:ind w:left="1860" w:hanging="244"/>
      </w:pPr>
      <w:rPr>
        <w:rFonts w:hint="default"/>
        <w:lang w:val="zh-cn" w:eastAsia="zh-cn" w:bidi="zh-cn"/>
      </w:rPr>
    </w:lvl>
    <w:lvl w:ilvl="2">
      <w:start w:val="0"/>
      <w:numFmt w:val="bullet"/>
      <w:lvlText w:val="•"/>
      <w:lvlJc w:val="left"/>
      <w:pPr>
        <w:ind w:left="2761" w:hanging="244"/>
      </w:pPr>
      <w:rPr>
        <w:rFonts w:hint="default"/>
        <w:lang w:val="zh-cn" w:eastAsia="zh-cn" w:bidi="zh-cn"/>
      </w:rPr>
    </w:lvl>
    <w:lvl w:ilvl="3">
      <w:start w:val="0"/>
      <w:numFmt w:val="bullet"/>
      <w:lvlText w:val="•"/>
      <w:lvlJc w:val="left"/>
      <w:pPr>
        <w:ind w:left="3661" w:hanging="244"/>
      </w:pPr>
      <w:rPr>
        <w:rFonts w:hint="default"/>
        <w:lang w:val="zh-cn" w:eastAsia="zh-cn" w:bidi="zh-cn"/>
      </w:rPr>
    </w:lvl>
    <w:lvl w:ilvl="4">
      <w:start w:val="0"/>
      <w:numFmt w:val="bullet"/>
      <w:lvlText w:val="•"/>
      <w:lvlJc w:val="left"/>
      <w:pPr>
        <w:ind w:left="4562" w:hanging="244"/>
      </w:pPr>
      <w:rPr>
        <w:rFonts w:hint="default"/>
        <w:lang w:val="zh-cn" w:eastAsia="zh-cn" w:bidi="zh-cn"/>
      </w:rPr>
    </w:lvl>
    <w:lvl w:ilvl="5">
      <w:start w:val="0"/>
      <w:numFmt w:val="bullet"/>
      <w:lvlText w:val="•"/>
      <w:lvlJc w:val="left"/>
      <w:pPr>
        <w:ind w:left="5463" w:hanging="244"/>
      </w:pPr>
      <w:rPr>
        <w:rFonts w:hint="default"/>
        <w:lang w:val="zh-cn" w:eastAsia="zh-cn" w:bidi="zh-cn"/>
      </w:rPr>
    </w:lvl>
    <w:lvl w:ilvl="6">
      <w:start w:val="0"/>
      <w:numFmt w:val="bullet"/>
      <w:lvlText w:val="•"/>
      <w:lvlJc w:val="left"/>
      <w:pPr>
        <w:ind w:left="6363" w:hanging="244"/>
      </w:pPr>
      <w:rPr>
        <w:rFonts w:hint="default"/>
        <w:lang w:val="zh-cn" w:eastAsia="zh-cn" w:bidi="zh-cn"/>
      </w:rPr>
    </w:lvl>
    <w:lvl w:ilvl="7">
      <w:start w:val="0"/>
      <w:numFmt w:val="bullet"/>
      <w:lvlText w:val="•"/>
      <w:lvlJc w:val="left"/>
      <w:pPr>
        <w:ind w:left="7264" w:hanging="244"/>
      </w:pPr>
      <w:rPr>
        <w:rFonts w:hint="default"/>
        <w:lang w:val="zh-cn" w:eastAsia="zh-cn" w:bidi="zh-cn"/>
      </w:rPr>
    </w:lvl>
    <w:lvl w:ilvl="8">
      <w:start w:val="0"/>
      <w:numFmt w:val="bullet"/>
      <w:lvlText w:val="•"/>
      <w:lvlJc w:val="left"/>
      <w:pPr>
        <w:ind w:left="8165" w:hanging="244"/>
      </w:pPr>
      <w:rPr>
        <w:rFonts w:hint="default"/>
        <w:lang w:val="zh-cn" w:eastAsia="zh-cn" w:bidi="zh-cn"/>
      </w:rPr>
    </w:lvl>
  </w:abstractNum>
  <w:abstractNum w:abstractNumId="7">
    <w:multiLevelType w:val="hybridMultilevel"/>
    <w:lvl w:ilvl="0">
      <w:start w:val="1"/>
      <w:numFmt w:val="decimal"/>
      <w:lvlText w:val="%1."/>
      <w:lvlJc w:val="left"/>
      <w:pPr>
        <w:ind w:left="237" w:hanging="241"/>
        <w:jc w:val="left"/>
      </w:pPr>
      <w:rPr>
        <w:rFonts w:hint="default" w:ascii="宋体" w:hAnsi="宋体" w:eastAsia="宋体" w:cs="宋体"/>
        <w:spacing w:val="-104"/>
        <w:w w:val="100"/>
        <w:sz w:val="22"/>
        <w:szCs w:val="22"/>
        <w:lang w:val="zh-cn" w:eastAsia="zh-cn" w:bidi="zh-cn"/>
      </w:rPr>
    </w:lvl>
    <w:lvl w:ilvl="1">
      <w:start w:val="0"/>
      <w:numFmt w:val="bullet"/>
      <w:lvlText w:val="•"/>
      <w:lvlJc w:val="left"/>
      <w:pPr>
        <w:ind w:left="1212" w:hanging="241"/>
      </w:pPr>
      <w:rPr>
        <w:rFonts w:hint="default"/>
        <w:lang w:val="zh-cn" w:eastAsia="zh-cn" w:bidi="zh-cn"/>
      </w:rPr>
    </w:lvl>
    <w:lvl w:ilvl="2">
      <w:start w:val="0"/>
      <w:numFmt w:val="bullet"/>
      <w:lvlText w:val="•"/>
      <w:lvlJc w:val="left"/>
      <w:pPr>
        <w:ind w:left="2185" w:hanging="241"/>
      </w:pPr>
      <w:rPr>
        <w:rFonts w:hint="default"/>
        <w:lang w:val="zh-cn" w:eastAsia="zh-cn" w:bidi="zh-cn"/>
      </w:rPr>
    </w:lvl>
    <w:lvl w:ilvl="3">
      <w:start w:val="0"/>
      <w:numFmt w:val="bullet"/>
      <w:lvlText w:val="•"/>
      <w:lvlJc w:val="left"/>
      <w:pPr>
        <w:ind w:left="3157" w:hanging="241"/>
      </w:pPr>
      <w:rPr>
        <w:rFonts w:hint="default"/>
        <w:lang w:val="zh-cn" w:eastAsia="zh-cn" w:bidi="zh-cn"/>
      </w:rPr>
    </w:lvl>
    <w:lvl w:ilvl="4">
      <w:start w:val="0"/>
      <w:numFmt w:val="bullet"/>
      <w:lvlText w:val="•"/>
      <w:lvlJc w:val="left"/>
      <w:pPr>
        <w:ind w:left="4130" w:hanging="241"/>
      </w:pPr>
      <w:rPr>
        <w:rFonts w:hint="default"/>
        <w:lang w:val="zh-cn" w:eastAsia="zh-cn" w:bidi="zh-cn"/>
      </w:rPr>
    </w:lvl>
    <w:lvl w:ilvl="5">
      <w:start w:val="0"/>
      <w:numFmt w:val="bullet"/>
      <w:lvlText w:val="•"/>
      <w:lvlJc w:val="left"/>
      <w:pPr>
        <w:ind w:left="5103" w:hanging="241"/>
      </w:pPr>
      <w:rPr>
        <w:rFonts w:hint="default"/>
        <w:lang w:val="zh-cn" w:eastAsia="zh-cn" w:bidi="zh-cn"/>
      </w:rPr>
    </w:lvl>
    <w:lvl w:ilvl="6">
      <w:start w:val="0"/>
      <w:numFmt w:val="bullet"/>
      <w:lvlText w:val="•"/>
      <w:lvlJc w:val="left"/>
      <w:pPr>
        <w:ind w:left="6075" w:hanging="241"/>
      </w:pPr>
      <w:rPr>
        <w:rFonts w:hint="default"/>
        <w:lang w:val="zh-cn" w:eastAsia="zh-cn" w:bidi="zh-cn"/>
      </w:rPr>
    </w:lvl>
    <w:lvl w:ilvl="7">
      <w:start w:val="0"/>
      <w:numFmt w:val="bullet"/>
      <w:lvlText w:val="•"/>
      <w:lvlJc w:val="left"/>
      <w:pPr>
        <w:ind w:left="7048" w:hanging="241"/>
      </w:pPr>
      <w:rPr>
        <w:rFonts w:hint="default"/>
        <w:lang w:val="zh-cn" w:eastAsia="zh-cn" w:bidi="zh-cn"/>
      </w:rPr>
    </w:lvl>
    <w:lvl w:ilvl="8">
      <w:start w:val="0"/>
      <w:numFmt w:val="bullet"/>
      <w:lvlText w:val="•"/>
      <w:lvlJc w:val="left"/>
      <w:pPr>
        <w:ind w:left="8021" w:hanging="241"/>
      </w:pPr>
      <w:rPr>
        <w:rFonts w:hint="default"/>
        <w:lang w:val="zh-cn" w:eastAsia="zh-cn" w:bidi="zh-cn"/>
      </w:rPr>
    </w:lvl>
  </w:abstractNum>
  <w:abstractNum w:abstractNumId="5">
    <w:multiLevelType w:val="hybridMultilevel"/>
    <w:lvl w:ilvl="0">
      <w:start w:val="1"/>
      <w:numFmt w:val="decimal"/>
      <w:lvlText w:val="%1"/>
      <w:lvlJc w:val="left"/>
      <w:pPr>
        <w:ind w:left="959" w:hanging="243"/>
        <w:jc w:val="left"/>
      </w:pPr>
      <w:rPr>
        <w:rFonts w:hint="default" w:ascii="宋体" w:hAnsi="宋体" w:eastAsia="宋体" w:cs="宋体"/>
        <w:b/>
        <w:bCs/>
        <w:w w:val="99"/>
        <w:sz w:val="24"/>
        <w:szCs w:val="24"/>
        <w:lang w:val="zh-cn" w:eastAsia="zh-cn" w:bidi="zh-cn"/>
      </w:rPr>
    </w:lvl>
    <w:lvl w:ilvl="1">
      <w:start w:val="1"/>
      <w:numFmt w:val="decimal"/>
      <w:lvlText w:val="%1.%2"/>
      <w:lvlJc w:val="left"/>
      <w:pPr>
        <w:ind w:left="237" w:hanging="600"/>
        <w:jc w:val="left"/>
      </w:pPr>
      <w:rPr>
        <w:rFonts w:hint="default" w:ascii="宋体" w:hAnsi="宋体" w:eastAsia="宋体" w:cs="宋体"/>
        <w:spacing w:val="-60"/>
        <w:w w:val="100"/>
        <w:sz w:val="24"/>
        <w:szCs w:val="24"/>
        <w:lang w:val="zh-cn" w:eastAsia="zh-cn" w:bidi="zh-cn"/>
      </w:rPr>
    </w:lvl>
    <w:lvl w:ilvl="2">
      <w:start w:val="1"/>
      <w:numFmt w:val="decimal"/>
      <w:lvlText w:val="%1.%2.%3"/>
      <w:lvlJc w:val="left"/>
      <w:pPr>
        <w:ind w:left="237" w:hanging="720"/>
        <w:jc w:val="left"/>
      </w:pPr>
      <w:rPr>
        <w:rFonts w:hint="default" w:ascii="宋体" w:hAnsi="宋体" w:eastAsia="宋体" w:cs="宋体"/>
        <w:w w:val="100"/>
        <w:sz w:val="24"/>
        <w:szCs w:val="24"/>
        <w:lang w:val="zh-cn" w:eastAsia="zh-cn" w:bidi="zh-cn"/>
      </w:rPr>
    </w:lvl>
    <w:lvl w:ilvl="3">
      <w:start w:val="0"/>
      <w:numFmt w:val="bullet"/>
      <w:lvlText w:val="•"/>
      <w:lvlJc w:val="left"/>
      <w:pPr>
        <w:ind w:left="2961" w:hanging="720"/>
      </w:pPr>
      <w:rPr>
        <w:rFonts w:hint="default"/>
        <w:lang w:val="zh-cn" w:eastAsia="zh-cn" w:bidi="zh-cn"/>
      </w:rPr>
    </w:lvl>
    <w:lvl w:ilvl="4">
      <w:start w:val="0"/>
      <w:numFmt w:val="bullet"/>
      <w:lvlText w:val="•"/>
      <w:lvlJc w:val="left"/>
      <w:pPr>
        <w:ind w:left="3962" w:hanging="720"/>
      </w:pPr>
      <w:rPr>
        <w:rFonts w:hint="default"/>
        <w:lang w:val="zh-cn" w:eastAsia="zh-cn" w:bidi="zh-cn"/>
      </w:rPr>
    </w:lvl>
    <w:lvl w:ilvl="5">
      <w:start w:val="0"/>
      <w:numFmt w:val="bullet"/>
      <w:lvlText w:val="•"/>
      <w:lvlJc w:val="left"/>
      <w:pPr>
        <w:ind w:left="4962" w:hanging="720"/>
      </w:pPr>
      <w:rPr>
        <w:rFonts w:hint="default"/>
        <w:lang w:val="zh-cn" w:eastAsia="zh-cn" w:bidi="zh-cn"/>
      </w:rPr>
    </w:lvl>
    <w:lvl w:ilvl="6">
      <w:start w:val="0"/>
      <w:numFmt w:val="bullet"/>
      <w:lvlText w:val="•"/>
      <w:lvlJc w:val="left"/>
      <w:pPr>
        <w:ind w:left="5963" w:hanging="720"/>
      </w:pPr>
      <w:rPr>
        <w:rFonts w:hint="default"/>
        <w:lang w:val="zh-cn" w:eastAsia="zh-cn" w:bidi="zh-cn"/>
      </w:rPr>
    </w:lvl>
    <w:lvl w:ilvl="7">
      <w:start w:val="0"/>
      <w:numFmt w:val="bullet"/>
      <w:lvlText w:val="•"/>
      <w:lvlJc w:val="left"/>
      <w:pPr>
        <w:ind w:left="6964" w:hanging="720"/>
      </w:pPr>
      <w:rPr>
        <w:rFonts w:hint="default"/>
        <w:lang w:val="zh-cn" w:eastAsia="zh-cn" w:bidi="zh-cn"/>
      </w:rPr>
    </w:lvl>
    <w:lvl w:ilvl="8">
      <w:start w:val="0"/>
      <w:numFmt w:val="bullet"/>
      <w:lvlText w:val="•"/>
      <w:lvlJc w:val="left"/>
      <w:pPr>
        <w:ind w:left="7964" w:hanging="720"/>
      </w:pPr>
      <w:rPr>
        <w:rFonts w:hint="default"/>
        <w:lang w:val="zh-cn" w:eastAsia="zh-cn" w:bidi="zh-cn"/>
      </w:rPr>
    </w:lvl>
  </w:abstractNum>
  <w:abstractNum w:abstractNumId="4">
    <w:multiLevelType w:val="hybridMultilevel"/>
    <w:lvl w:ilvl="0">
      <w:start w:val="1"/>
      <w:numFmt w:val="decimal"/>
      <w:lvlText w:val="（%1）"/>
      <w:lvlJc w:val="left"/>
      <w:pPr>
        <w:ind w:left="237" w:hanging="601"/>
        <w:jc w:val="left"/>
      </w:pPr>
      <w:rPr>
        <w:rFonts w:hint="default" w:ascii="宋体" w:hAnsi="宋体" w:eastAsia="宋体" w:cs="宋体"/>
        <w:spacing w:val="-16"/>
        <w:w w:val="100"/>
        <w:sz w:val="22"/>
        <w:szCs w:val="22"/>
        <w:lang w:val="zh-cn" w:eastAsia="zh-cn" w:bidi="zh-cn"/>
      </w:rPr>
    </w:lvl>
    <w:lvl w:ilvl="1">
      <w:start w:val="0"/>
      <w:numFmt w:val="bullet"/>
      <w:lvlText w:val="•"/>
      <w:lvlJc w:val="left"/>
      <w:pPr>
        <w:ind w:left="1212" w:hanging="601"/>
      </w:pPr>
      <w:rPr>
        <w:rFonts w:hint="default"/>
        <w:lang w:val="zh-cn" w:eastAsia="zh-cn" w:bidi="zh-cn"/>
      </w:rPr>
    </w:lvl>
    <w:lvl w:ilvl="2">
      <w:start w:val="0"/>
      <w:numFmt w:val="bullet"/>
      <w:lvlText w:val="•"/>
      <w:lvlJc w:val="left"/>
      <w:pPr>
        <w:ind w:left="2185" w:hanging="601"/>
      </w:pPr>
      <w:rPr>
        <w:rFonts w:hint="default"/>
        <w:lang w:val="zh-cn" w:eastAsia="zh-cn" w:bidi="zh-cn"/>
      </w:rPr>
    </w:lvl>
    <w:lvl w:ilvl="3">
      <w:start w:val="0"/>
      <w:numFmt w:val="bullet"/>
      <w:lvlText w:val="•"/>
      <w:lvlJc w:val="left"/>
      <w:pPr>
        <w:ind w:left="3157" w:hanging="601"/>
      </w:pPr>
      <w:rPr>
        <w:rFonts w:hint="default"/>
        <w:lang w:val="zh-cn" w:eastAsia="zh-cn" w:bidi="zh-cn"/>
      </w:rPr>
    </w:lvl>
    <w:lvl w:ilvl="4">
      <w:start w:val="0"/>
      <w:numFmt w:val="bullet"/>
      <w:lvlText w:val="•"/>
      <w:lvlJc w:val="left"/>
      <w:pPr>
        <w:ind w:left="4130" w:hanging="601"/>
      </w:pPr>
      <w:rPr>
        <w:rFonts w:hint="default"/>
        <w:lang w:val="zh-cn" w:eastAsia="zh-cn" w:bidi="zh-cn"/>
      </w:rPr>
    </w:lvl>
    <w:lvl w:ilvl="5">
      <w:start w:val="0"/>
      <w:numFmt w:val="bullet"/>
      <w:lvlText w:val="•"/>
      <w:lvlJc w:val="left"/>
      <w:pPr>
        <w:ind w:left="5103" w:hanging="601"/>
      </w:pPr>
      <w:rPr>
        <w:rFonts w:hint="default"/>
        <w:lang w:val="zh-cn" w:eastAsia="zh-cn" w:bidi="zh-cn"/>
      </w:rPr>
    </w:lvl>
    <w:lvl w:ilvl="6">
      <w:start w:val="0"/>
      <w:numFmt w:val="bullet"/>
      <w:lvlText w:val="•"/>
      <w:lvlJc w:val="left"/>
      <w:pPr>
        <w:ind w:left="6075" w:hanging="601"/>
      </w:pPr>
      <w:rPr>
        <w:rFonts w:hint="default"/>
        <w:lang w:val="zh-cn" w:eastAsia="zh-cn" w:bidi="zh-cn"/>
      </w:rPr>
    </w:lvl>
    <w:lvl w:ilvl="7">
      <w:start w:val="0"/>
      <w:numFmt w:val="bullet"/>
      <w:lvlText w:val="•"/>
      <w:lvlJc w:val="left"/>
      <w:pPr>
        <w:ind w:left="7048" w:hanging="601"/>
      </w:pPr>
      <w:rPr>
        <w:rFonts w:hint="default"/>
        <w:lang w:val="zh-cn" w:eastAsia="zh-cn" w:bidi="zh-cn"/>
      </w:rPr>
    </w:lvl>
    <w:lvl w:ilvl="8">
      <w:start w:val="0"/>
      <w:numFmt w:val="bullet"/>
      <w:lvlText w:val="•"/>
      <w:lvlJc w:val="left"/>
      <w:pPr>
        <w:ind w:left="8021" w:hanging="601"/>
      </w:pPr>
      <w:rPr>
        <w:rFonts w:hint="default"/>
        <w:lang w:val="zh-cn" w:eastAsia="zh-cn" w:bidi="zh-cn"/>
      </w:rPr>
    </w:lvl>
  </w:abstractNum>
  <w:abstractNum w:abstractNumId="3">
    <w:multiLevelType w:val="hybridMultilevel"/>
    <w:lvl w:ilvl="0">
      <w:start w:val="1"/>
      <w:numFmt w:val="decimal"/>
      <w:lvlText w:val="（%1）"/>
      <w:lvlJc w:val="left"/>
      <w:pPr>
        <w:ind w:left="237" w:hanging="601"/>
        <w:jc w:val="left"/>
      </w:pPr>
      <w:rPr>
        <w:rFonts w:hint="default" w:ascii="宋体" w:hAnsi="宋体" w:eastAsia="宋体" w:cs="宋体"/>
        <w:spacing w:val="-16"/>
        <w:w w:val="100"/>
        <w:sz w:val="22"/>
        <w:szCs w:val="22"/>
        <w:lang w:val="zh-cn" w:eastAsia="zh-cn" w:bidi="zh-cn"/>
      </w:rPr>
    </w:lvl>
    <w:lvl w:ilvl="1">
      <w:start w:val="0"/>
      <w:numFmt w:val="bullet"/>
      <w:lvlText w:val="•"/>
      <w:lvlJc w:val="left"/>
      <w:pPr>
        <w:ind w:left="1212" w:hanging="601"/>
      </w:pPr>
      <w:rPr>
        <w:rFonts w:hint="default"/>
        <w:lang w:val="zh-cn" w:eastAsia="zh-cn" w:bidi="zh-cn"/>
      </w:rPr>
    </w:lvl>
    <w:lvl w:ilvl="2">
      <w:start w:val="0"/>
      <w:numFmt w:val="bullet"/>
      <w:lvlText w:val="•"/>
      <w:lvlJc w:val="left"/>
      <w:pPr>
        <w:ind w:left="2185" w:hanging="601"/>
      </w:pPr>
      <w:rPr>
        <w:rFonts w:hint="default"/>
        <w:lang w:val="zh-cn" w:eastAsia="zh-cn" w:bidi="zh-cn"/>
      </w:rPr>
    </w:lvl>
    <w:lvl w:ilvl="3">
      <w:start w:val="0"/>
      <w:numFmt w:val="bullet"/>
      <w:lvlText w:val="•"/>
      <w:lvlJc w:val="left"/>
      <w:pPr>
        <w:ind w:left="3157" w:hanging="601"/>
      </w:pPr>
      <w:rPr>
        <w:rFonts w:hint="default"/>
        <w:lang w:val="zh-cn" w:eastAsia="zh-cn" w:bidi="zh-cn"/>
      </w:rPr>
    </w:lvl>
    <w:lvl w:ilvl="4">
      <w:start w:val="0"/>
      <w:numFmt w:val="bullet"/>
      <w:lvlText w:val="•"/>
      <w:lvlJc w:val="left"/>
      <w:pPr>
        <w:ind w:left="4130" w:hanging="601"/>
      </w:pPr>
      <w:rPr>
        <w:rFonts w:hint="default"/>
        <w:lang w:val="zh-cn" w:eastAsia="zh-cn" w:bidi="zh-cn"/>
      </w:rPr>
    </w:lvl>
    <w:lvl w:ilvl="5">
      <w:start w:val="0"/>
      <w:numFmt w:val="bullet"/>
      <w:lvlText w:val="•"/>
      <w:lvlJc w:val="left"/>
      <w:pPr>
        <w:ind w:left="5103" w:hanging="601"/>
      </w:pPr>
      <w:rPr>
        <w:rFonts w:hint="default"/>
        <w:lang w:val="zh-cn" w:eastAsia="zh-cn" w:bidi="zh-cn"/>
      </w:rPr>
    </w:lvl>
    <w:lvl w:ilvl="6">
      <w:start w:val="0"/>
      <w:numFmt w:val="bullet"/>
      <w:lvlText w:val="•"/>
      <w:lvlJc w:val="left"/>
      <w:pPr>
        <w:ind w:left="6075" w:hanging="601"/>
      </w:pPr>
      <w:rPr>
        <w:rFonts w:hint="default"/>
        <w:lang w:val="zh-cn" w:eastAsia="zh-cn" w:bidi="zh-cn"/>
      </w:rPr>
    </w:lvl>
    <w:lvl w:ilvl="7">
      <w:start w:val="0"/>
      <w:numFmt w:val="bullet"/>
      <w:lvlText w:val="•"/>
      <w:lvlJc w:val="left"/>
      <w:pPr>
        <w:ind w:left="7048" w:hanging="601"/>
      </w:pPr>
      <w:rPr>
        <w:rFonts w:hint="default"/>
        <w:lang w:val="zh-cn" w:eastAsia="zh-cn" w:bidi="zh-cn"/>
      </w:rPr>
    </w:lvl>
    <w:lvl w:ilvl="8">
      <w:start w:val="0"/>
      <w:numFmt w:val="bullet"/>
      <w:lvlText w:val="•"/>
      <w:lvlJc w:val="left"/>
      <w:pPr>
        <w:ind w:left="8021" w:hanging="601"/>
      </w:pPr>
      <w:rPr>
        <w:rFonts w:hint="default"/>
        <w:lang w:val="zh-cn" w:eastAsia="zh-cn" w:bidi="zh-cn"/>
      </w:rPr>
    </w:lvl>
  </w:abstractNum>
  <w:abstractNum w:abstractNumId="2">
    <w:multiLevelType w:val="hybridMultilevel"/>
    <w:lvl w:ilvl="0">
      <w:start w:val="1"/>
      <w:numFmt w:val="decimal"/>
      <w:lvlText w:val="（%1）"/>
      <w:lvlJc w:val="left"/>
      <w:pPr>
        <w:ind w:left="1318"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184" w:hanging="601"/>
      </w:pPr>
      <w:rPr>
        <w:rFonts w:hint="default"/>
        <w:lang w:val="zh-cn" w:eastAsia="zh-cn" w:bidi="zh-cn"/>
      </w:rPr>
    </w:lvl>
    <w:lvl w:ilvl="2">
      <w:start w:val="0"/>
      <w:numFmt w:val="bullet"/>
      <w:lvlText w:val="•"/>
      <w:lvlJc w:val="left"/>
      <w:pPr>
        <w:ind w:left="3049" w:hanging="601"/>
      </w:pPr>
      <w:rPr>
        <w:rFonts w:hint="default"/>
        <w:lang w:val="zh-cn" w:eastAsia="zh-cn" w:bidi="zh-cn"/>
      </w:rPr>
    </w:lvl>
    <w:lvl w:ilvl="3">
      <w:start w:val="0"/>
      <w:numFmt w:val="bullet"/>
      <w:lvlText w:val="•"/>
      <w:lvlJc w:val="left"/>
      <w:pPr>
        <w:ind w:left="3913" w:hanging="601"/>
      </w:pPr>
      <w:rPr>
        <w:rFonts w:hint="default"/>
        <w:lang w:val="zh-cn" w:eastAsia="zh-cn" w:bidi="zh-cn"/>
      </w:rPr>
    </w:lvl>
    <w:lvl w:ilvl="4">
      <w:start w:val="0"/>
      <w:numFmt w:val="bullet"/>
      <w:lvlText w:val="•"/>
      <w:lvlJc w:val="left"/>
      <w:pPr>
        <w:ind w:left="4778" w:hanging="601"/>
      </w:pPr>
      <w:rPr>
        <w:rFonts w:hint="default"/>
        <w:lang w:val="zh-cn" w:eastAsia="zh-cn" w:bidi="zh-cn"/>
      </w:rPr>
    </w:lvl>
    <w:lvl w:ilvl="5">
      <w:start w:val="0"/>
      <w:numFmt w:val="bullet"/>
      <w:lvlText w:val="•"/>
      <w:lvlJc w:val="left"/>
      <w:pPr>
        <w:ind w:left="5643" w:hanging="601"/>
      </w:pPr>
      <w:rPr>
        <w:rFonts w:hint="default"/>
        <w:lang w:val="zh-cn" w:eastAsia="zh-cn" w:bidi="zh-cn"/>
      </w:rPr>
    </w:lvl>
    <w:lvl w:ilvl="6">
      <w:start w:val="0"/>
      <w:numFmt w:val="bullet"/>
      <w:lvlText w:val="•"/>
      <w:lvlJc w:val="left"/>
      <w:pPr>
        <w:ind w:left="6507" w:hanging="601"/>
      </w:pPr>
      <w:rPr>
        <w:rFonts w:hint="default"/>
        <w:lang w:val="zh-cn" w:eastAsia="zh-cn" w:bidi="zh-cn"/>
      </w:rPr>
    </w:lvl>
    <w:lvl w:ilvl="7">
      <w:start w:val="0"/>
      <w:numFmt w:val="bullet"/>
      <w:lvlText w:val="•"/>
      <w:lvlJc w:val="left"/>
      <w:pPr>
        <w:ind w:left="7372" w:hanging="601"/>
      </w:pPr>
      <w:rPr>
        <w:rFonts w:hint="default"/>
        <w:lang w:val="zh-cn" w:eastAsia="zh-cn" w:bidi="zh-cn"/>
      </w:rPr>
    </w:lvl>
    <w:lvl w:ilvl="8">
      <w:start w:val="0"/>
      <w:numFmt w:val="bullet"/>
      <w:lvlText w:val="•"/>
      <w:lvlJc w:val="left"/>
      <w:pPr>
        <w:ind w:left="8237" w:hanging="601"/>
      </w:pPr>
      <w:rPr>
        <w:rFonts w:hint="default"/>
        <w:lang w:val="zh-cn" w:eastAsia="zh-cn" w:bidi="zh-cn"/>
      </w:rPr>
    </w:lvl>
  </w:abstractNum>
  <w:abstractNum w:abstractNumId="0">
    <w:multiLevelType w:val="hybridMultilevel"/>
    <w:lvl w:ilvl="0">
      <w:start w:val="1"/>
      <w:numFmt w:val="decimal"/>
      <w:lvlText w:val="%1."/>
      <w:lvlJc w:val="left"/>
      <w:pPr>
        <w:ind w:left="237" w:hanging="241"/>
        <w:jc w:val="left"/>
      </w:pPr>
      <w:rPr>
        <w:rFonts w:hint="default" w:ascii="宋体" w:hAnsi="宋体" w:eastAsia="宋体" w:cs="宋体"/>
        <w:spacing w:val="-51"/>
        <w:w w:val="100"/>
        <w:sz w:val="22"/>
        <w:szCs w:val="22"/>
        <w:lang w:val="zh-cn" w:eastAsia="zh-cn" w:bidi="zh-cn"/>
      </w:rPr>
    </w:lvl>
    <w:lvl w:ilvl="1">
      <w:start w:val="0"/>
      <w:numFmt w:val="bullet"/>
      <w:lvlText w:val="•"/>
      <w:lvlJc w:val="left"/>
      <w:pPr>
        <w:ind w:left="1212" w:hanging="241"/>
      </w:pPr>
      <w:rPr>
        <w:rFonts w:hint="default"/>
        <w:lang w:val="zh-cn" w:eastAsia="zh-cn" w:bidi="zh-cn"/>
      </w:rPr>
    </w:lvl>
    <w:lvl w:ilvl="2">
      <w:start w:val="0"/>
      <w:numFmt w:val="bullet"/>
      <w:lvlText w:val="•"/>
      <w:lvlJc w:val="left"/>
      <w:pPr>
        <w:ind w:left="2185" w:hanging="241"/>
      </w:pPr>
      <w:rPr>
        <w:rFonts w:hint="default"/>
        <w:lang w:val="zh-cn" w:eastAsia="zh-cn" w:bidi="zh-cn"/>
      </w:rPr>
    </w:lvl>
    <w:lvl w:ilvl="3">
      <w:start w:val="0"/>
      <w:numFmt w:val="bullet"/>
      <w:lvlText w:val="•"/>
      <w:lvlJc w:val="left"/>
      <w:pPr>
        <w:ind w:left="3157" w:hanging="241"/>
      </w:pPr>
      <w:rPr>
        <w:rFonts w:hint="default"/>
        <w:lang w:val="zh-cn" w:eastAsia="zh-cn" w:bidi="zh-cn"/>
      </w:rPr>
    </w:lvl>
    <w:lvl w:ilvl="4">
      <w:start w:val="0"/>
      <w:numFmt w:val="bullet"/>
      <w:lvlText w:val="•"/>
      <w:lvlJc w:val="left"/>
      <w:pPr>
        <w:ind w:left="4130" w:hanging="241"/>
      </w:pPr>
      <w:rPr>
        <w:rFonts w:hint="default"/>
        <w:lang w:val="zh-cn" w:eastAsia="zh-cn" w:bidi="zh-cn"/>
      </w:rPr>
    </w:lvl>
    <w:lvl w:ilvl="5">
      <w:start w:val="0"/>
      <w:numFmt w:val="bullet"/>
      <w:lvlText w:val="•"/>
      <w:lvlJc w:val="left"/>
      <w:pPr>
        <w:ind w:left="5103" w:hanging="241"/>
      </w:pPr>
      <w:rPr>
        <w:rFonts w:hint="default"/>
        <w:lang w:val="zh-cn" w:eastAsia="zh-cn" w:bidi="zh-cn"/>
      </w:rPr>
    </w:lvl>
    <w:lvl w:ilvl="6">
      <w:start w:val="0"/>
      <w:numFmt w:val="bullet"/>
      <w:lvlText w:val="•"/>
      <w:lvlJc w:val="left"/>
      <w:pPr>
        <w:ind w:left="6075" w:hanging="241"/>
      </w:pPr>
      <w:rPr>
        <w:rFonts w:hint="default"/>
        <w:lang w:val="zh-cn" w:eastAsia="zh-cn" w:bidi="zh-cn"/>
      </w:rPr>
    </w:lvl>
    <w:lvl w:ilvl="7">
      <w:start w:val="0"/>
      <w:numFmt w:val="bullet"/>
      <w:lvlText w:val="•"/>
      <w:lvlJc w:val="left"/>
      <w:pPr>
        <w:ind w:left="7048" w:hanging="241"/>
      </w:pPr>
      <w:rPr>
        <w:rFonts w:hint="default"/>
        <w:lang w:val="zh-cn" w:eastAsia="zh-cn" w:bidi="zh-cn"/>
      </w:rPr>
    </w:lvl>
    <w:lvl w:ilvl="8">
      <w:start w:val="0"/>
      <w:numFmt w:val="bullet"/>
      <w:lvlText w:val="•"/>
      <w:lvlJc w:val="left"/>
      <w:pPr>
        <w:ind w:left="8021" w:hanging="241"/>
      </w:pPr>
      <w:rPr>
        <w:rFonts w:hint="default"/>
        <w:lang w:val="zh-cn" w:eastAsia="zh-cn" w:bidi="zh-cn"/>
      </w:rPr>
    </w:lvl>
  </w:abstractNum>
  <w:num w:numId="7">
    <w:abstractNumId w:val="6"/>
  </w:num>
  <w:num w:numId="2">
    <w:abstractNumId w:val="1"/>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31"/>
      <w:ind w:left="5"/>
      <w:jc w:val="center"/>
    </w:pPr>
    <w:rPr>
      <w:rFonts w:ascii="隶书" w:hAnsi="隶书" w:eastAsia="隶书" w:cs="隶书"/>
      <w:sz w:val="44"/>
      <w:szCs w:val="44"/>
      <w:lang w:val="zh-cn" w:eastAsia="zh-cn" w:bidi="zh-cn"/>
    </w:rPr>
  </w:style>
  <w:style w:styleId="TOC2" w:type="paragraph">
    <w:name w:val="TOC 2"/>
    <w:basedOn w:val="Normal"/>
    <w:uiPriority w:val="1"/>
    <w:qFormat/>
    <w:pPr>
      <w:spacing w:before="140"/>
      <w:ind w:left="448"/>
    </w:pPr>
    <w:rPr>
      <w:rFonts w:ascii="楷体" w:hAnsi="楷体" w:eastAsia="楷体" w:cs="楷体"/>
      <w:sz w:val="28"/>
      <w:szCs w:val="28"/>
      <w:lang w:val="zh-cn" w:eastAsia="zh-cn" w:bidi="zh-cn"/>
    </w:rPr>
  </w:style>
  <w:style w:styleId="TOC3" w:type="paragraph">
    <w:name w:val="TOC 3"/>
    <w:basedOn w:val="Normal"/>
    <w:uiPriority w:val="1"/>
    <w:qFormat/>
    <w:pPr>
      <w:spacing w:before="140"/>
      <w:ind w:left="448"/>
    </w:pPr>
    <w:rPr>
      <w:rFonts w:ascii="楷体" w:hAnsi="楷体" w:eastAsia="楷体" w:cs="楷体"/>
      <w:b/>
      <w:bCs/>
      <w:i/>
      <w:lang w:val="zh-cn" w:eastAsia="zh-cn" w:bidi="zh-cn"/>
    </w:rPr>
  </w:style>
  <w:style w:styleId="BodyText" w:type="paragraph">
    <w:name w:val="Body Text"/>
    <w:basedOn w:val="Normal"/>
    <w:uiPriority w:val="1"/>
    <w:qFormat/>
    <w:pPr>
      <w:ind w:left="237"/>
    </w:pPr>
    <w:rPr>
      <w:rFonts w:ascii="宋体" w:hAnsi="宋体" w:eastAsia="宋体" w:cs="宋体"/>
      <w:sz w:val="24"/>
      <w:szCs w:val="24"/>
      <w:lang w:val="zh-cn" w:eastAsia="zh-cn" w:bidi="zh-cn"/>
    </w:rPr>
  </w:style>
  <w:style w:styleId="Heading1" w:type="paragraph">
    <w:name w:val="Heading 1"/>
    <w:basedOn w:val="Normal"/>
    <w:uiPriority w:val="1"/>
    <w:qFormat/>
    <w:pPr>
      <w:ind w:left="237"/>
      <w:outlineLvl w:val="1"/>
    </w:pPr>
    <w:rPr>
      <w:rFonts w:ascii="华文宋体" w:hAnsi="华文宋体" w:eastAsia="华文宋体" w:cs="华文宋体"/>
      <w:b/>
      <w:bCs/>
      <w:sz w:val="44"/>
      <w:szCs w:val="44"/>
      <w:u w:val="single" w:color="000000"/>
      <w:lang w:val="zh-cn" w:eastAsia="zh-cn" w:bidi="zh-cn"/>
    </w:rPr>
  </w:style>
  <w:style w:styleId="Heading2" w:type="paragraph">
    <w:name w:val="Heading 2"/>
    <w:basedOn w:val="Normal"/>
    <w:uiPriority w:val="1"/>
    <w:qFormat/>
    <w:pPr>
      <w:ind w:left="237"/>
      <w:outlineLvl w:val="2"/>
    </w:pPr>
    <w:rPr>
      <w:rFonts w:ascii="宋体" w:hAnsi="宋体" w:eastAsia="宋体" w:cs="宋体"/>
      <w:b/>
      <w:bCs/>
      <w:sz w:val="32"/>
      <w:szCs w:val="32"/>
      <w:lang w:val="zh-cn" w:eastAsia="zh-cn" w:bidi="zh-cn"/>
    </w:rPr>
  </w:style>
  <w:style w:styleId="Heading3" w:type="paragraph">
    <w:name w:val="Heading 3"/>
    <w:basedOn w:val="Normal"/>
    <w:uiPriority w:val="1"/>
    <w:qFormat/>
    <w:pPr>
      <w:ind w:left="717"/>
      <w:outlineLvl w:val="3"/>
    </w:pPr>
    <w:rPr>
      <w:rFonts w:ascii="宋体" w:hAnsi="宋体" w:eastAsia="宋体" w:cs="宋体"/>
      <w:b/>
      <w:bCs/>
      <w:sz w:val="24"/>
      <w:szCs w:val="24"/>
      <w:lang w:val="zh-cn" w:eastAsia="zh-cn" w:bidi="zh-cn"/>
    </w:rPr>
  </w:style>
  <w:style w:styleId="ListParagraph" w:type="paragraph">
    <w:name w:val="List Paragraph"/>
    <w:basedOn w:val="Normal"/>
    <w:uiPriority w:val="1"/>
    <w:qFormat/>
    <w:pPr>
      <w:ind w:left="237" w:firstLine="480"/>
    </w:pPr>
    <w:rPr>
      <w:rFonts w:ascii="宋体" w:hAnsi="宋体" w:eastAsia="宋体" w:cs="宋体"/>
      <w:lang w:val="zh-cn" w:eastAsia="zh-cn" w:bidi="zh-cn"/>
    </w:rPr>
  </w:style>
  <w:style w:styleId="TableParagraph" w:type="paragraph">
    <w:name w:val="Table Paragraph"/>
    <w:basedOn w:val="Normal"/>
    <w:uiPriority w:val="1"/>
    <w:qFormat/>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image" Target="media/image2.jpeg"/><Relationship Id="rId12" Type="http://schemas.openxmlformats.org/officeDocument/2006/relationships/header" Target="header3.xml"/><Relationship Id="rId13" Type="http://schemas.openxmlformats.org/officeDocument/2006/relationships/footer" Target="footer4.xml"/><Relationship Id="rId14" Type="http://schemas.openxmlformats.org/officeDocument/2006/relationships/header" Target="header4.xml"/><Relationship Id="rId15" Type="http://schemas.openxmlformats.org/officeDocument/2006/relationships/footer" Target="footer5.xml"/><Relationship Id="rId16" Type="http://schemas.openxmlformats.org/officeDocument/2006/relationships/header" Target="header5.xml"/><Relationship Id="rId17" Type="http://schemas.openxmlformats.org/officeDocument/2006/relationships/footer" Target="footer6.xml"/><Relationship Id="rId18" Type="http://schemas.openxmlformats.org/officeDocument/2006/relationships/image" Target="media/image3.jpeg"/><Relationship Id="rId19" Type="http://schemas.openxmlformats.org/officeDocument/2006/relationships/image" Target="media/image4.jpeg"/><Relationship Id="rId20" Type="http://schemas.openxmlformats.org/officeDocument/2006/relationships/image" Target="media/image5.jpeg"/><Relationship Id="rId21" Type="http://schemas.openxmlformats.org/officeDocument/2006/relationships/image" Target="media/image6.jpeg"/><Relationship Id="rId22" Type="http://schemas.openxmlformats.org/officeDocument/2006/relationships/image" Target="media/image7.jpeg"/><Relationship Id="rId23" Type="http://schemas.openxmlformats.org/officeDocument/2006/relationships/hyperlink" Target="https://www.jianke.com/xnxgpd/" TargetMode="External"/><Relationship Id="rId24" Type="http://schemas.openxmlformats.org/officeDocument/2006/relationships/image" Target="media/image8.jpeg"/><Relationship Id="rId25" Type="http://schemas.openxmlformats.org/officeDocument/2006/relationships/image" Target="media/image9.jpeg"/><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itle>中国药学会全国医药经济信息网</dc:title>
  <dcterms:created xsi:type="dcterms:W3CDTF">2019-10-23T03:28:50Z</dcterms:created>
  <dcterms:modified xsi:type="dcterms:W3CDTF">2019-10-23T03:28:50Z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Microsoft® Office Word 2007</vt:lpwstr>
  </property>
  <property fmtid="{D5CDD505-2E9C-101B-9397-08002B2CF9AE}" pid="4" name="LastSaved">
    <vt:filetime>2019-10-23T00:00:00Z</vt:filetime>
  </property>
</Properties>
</file>