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32.400002pt;margin-top:54.599979pt;width:540.6pt;height:161.3pt;mso-position-horizontal-relative:page;mso-position-vertical-relative:page;z-index:-252996608" coordorigin="648,1092" coordsize="10812,3226">
            <v:line style="position:absolute" from="1248,1099" to="10804,1099" stroked="true" strokeweight=".72pt" strokecolor="#000000">
              <v:stroke dashstyle="solid"/>
            </v:line>
            <v:shape style="position:absolute;left:648;top:1099;width:10812;height:3219" type="#_x0000_t75" stroked="false">
              <v:imagedata r:id="rId6" o:titl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rPr>
      </w:pPr>
    </w:p>
    <w:p>
      <w:pPr>
        <w:pStyle w:val="Heading2"/>
        <w:tabs>
          <w:tab w:pos="3137" w:val="left" w:leader="none"/>
        </w:tabs>
        <w:spacing w:before="55"/>
        <w:ind w:right="14"/>
        <w:jc w:val="center"/>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7</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205</w:t>
      </w:r>
      <w:r>
        <w:rPr>
          <w:rFonts w:ascii="黑体" w:eastAsia="黑体" w:hint="eastAsia"/>
          <w:spacing w:val="-81"/>
        </w:rPr>
        <w:t> </w:t>
      </w:r>
      <w:r>
        <w:rPr>
          <w:rFonts w:ascii="黑体" w:eastAsia="黑体" w:hint="eastAsia"/>
        </w:rPr>
        <w:t>期</w:t>
      </w:r>
    </w:p>
    <w:p>
      <w:pPr>
        <w:tabs>
          <w:tab w:pos="7326" w:val="left" w:leader="none"/>
        </w:tabs>
        <w:spacing w:before="137"/>
        <w:ind w:left="322" w:right="0" w:firstLine="0"/>
        <w:jc w:val="left"/>
        <w:rPr>
          <w:rFonts w:ascii="Microsoft JhengHei" w:eastAsia="Microsoft JhengHei" w:hint="eastAsia"/>
          <w:b/>
          <w:sz w:val="28"/>
        </w:rPr>
      </w:pPr>
      <w:r>
        <w:rPr/>
        <w:pict>
          <v:shape style="position:absolute;margin-left:55pt;margin-top:36.251087pt;width:491.25pt;height:.1pt;mso-position-horizontal-relative:page;mso-position-vertical-relative:paragraph;z-index:-251658240;mso-wrap-distance-left:0;mso-wrap-distance-right:0" coordorigin="1100,725" coordsize="9825,0" path="m1100,725l10925,725e" filled="false" stroked="true" strokeweight="2.25pt" strokecolor="#ff0000">
            <v:path arrowok="t"/>
            <v:stroke dashstyle="solid"/>
            <w10:wrap type="topAndBottom"/>
          </v:shape>
        </w:pict>
      </w:r>
      <w:r>
        <w:rPr>
          <w:rFonts w:ascii="Microsoft JhengHei" w:eastAsia="Microsoft JhengHei" w:hint="eastAsia"/>
          <w:b/>
          <w:sz w:val="28"/>
        </w:rPr>
        <w:t>中国药学</w:t>
      </w:r>
      <w:r>
        <w:rPr>
          <w:rFonts w:ascii="Microsoft JhengHei" w:eastAsia="Microsoft JhengHei" w:hint="eastAsia"/>
          <w:b/>
          <w:spacing w:val="-3"/>
          <w:sz w:val="28"/>
        </w:rPr>
        <w:t>会</w:t>
      </w:r>
      <w:r>
        <w:rPr>
          <w:rFonts w:ascii="Microsoft JhengHei" w:eastAsia="Microsoft JhengHei" w:hint="eastAsia"/>
          <w:b/>
          <w:sz w:val="28"/>
        </w:rPr>
        <w:t>科技</w:t>
      </w:r>
      <w:r>
        <w:rPr>
          <w:rFonts w:ascii="Microsoft JhengHei" w:eastAsia="Microsoft JhengHei" w:hint="eastAsia"/>
          <w:b/>
          <w:spacing w:val="-3"/>
          <w:sz w:val="28"/>
        </w:rPr>
        <w:t>开</w:t>
      </w:r>
      <w:r>
        <w:rPr>
          <w:rFonts w:ascii="Microsoft JhengHei" w:eastAsia="Microsoft JhengHei" w:hint="eastAsia"/>
          <w:b/>
          <w:sz w:val="28"/>
        </w:rPr>
        <w:t>发中心 </w:t>
      </w:r>
      <w:r>
        <w:rPr>
          <w:rFonts w:ascii="Microsoft JhengHei" w:eastAsia="Microsoft JhengHei" w:hint="eastAsia"/>
          <w:b/>
          <w:spacing w:val="3"/>
          <w:sz w:val="28"/>
        </w:rPr>
        <w:t> </w:t>
      </w:r>
      <w:r>
        <w:rPr>
          <w:rFonts w:ascii="Microsoft JhengHei" w:eastAsia="Microsoft JhengHei" w:hint="eastAsia"/>
          <w:b/>
          <w:sz w:val="28"/>
        </w:rPr>
        <w:t>组织</w:t>
      </w:r>
      <w:r>
        <w:rPr>
          <w:rFonts w:ascii="Microsoft JhengHei" w:eastAsia="Microsoft JhengHei" w:hint="eastAsia"/>
          <w:b/>
          <w:spacing w:val="-3"/>
          <w:sz w:val="28"/>
        </w:rPr>
        <w:t>联</w:t>
      </w:r>
      <w:r>
        <w:rPr>
          <w:rFonts w:ascii="Microsoft JhengHei" w:eastAsia="Microsoft JhengHei" w:hint="eastAsia"/>
          <w:b/>
          <w:sz w:val="28"/>
        </w:rPr>
        <w:t>络部</w:t>
        <w:tab/>
      </w:r>
      <w:r>
        <w:rPr>
          <w:rFonts w:ascii="等线" w:eastAsia="等线" w:hint="eastAsia"/>
          <w:b/>
          <w:sz w:val="28"/>
        </w:rPr>
        <w:t>2019 </w:t>
      </w:r>
      <w:r>
        <w:rPr>
          <w:rFonts w:ascii="Microsoft JhengHei" w:eastAsia="Microsoft JhengHei" w:hint="eastAsia"/>
          <w:b/>
          <w:sz w:val="28"/>
        </w:rPr>
        <w:t>年 </w:t>
      </w:r>
      <w:r>
        <w:rPr>
          <w:rFonts w:ascii="等线" w:eastAsia="等线" w:hint="eastAsia"/>
          <w:b/>
          <w:sz w:val="28"/>
        </w:rPr>
        <w:t>4 </w:t>
      </w:r>
      <w:r>
        <w:rPr>
          <w:rFonts w:ascii="Microsoft JhengHei" w:eastAsia="Microsoft JhengHei" w:hint="eastAsia"/>
          <w:b/>
          <w:sz w:val="28"/>
        </w:rPr>
        <w:t>月 </w:t>
      </w:r>
      <w:r>
        <w:rPr>
          <w:rFonts w:ascii="等线" w:eastAsia="等线" w:hint="eastAsia"/>
          <w:b/>
          <w:sz w:val="28"/>
        </w:rPr>
        <w:t>30</w:t>
      </w:r>
      <w:r>
        <w:rPr>
          <w:rFonts w:ascii="等线" w:eastAsia="等线" w:hint="eastAsia"/>
          <w:b/>
          <w:spacing w:val="-24"/>
          <w:sz w:val="28"/>
        </w:rPr>
        <w:t> </w:t>
      </w:r>
      <w:r>
        <w:rPr>
          <w:rFonts w:ascii="Microsoft JhengHei" w:eastAsia="Microsoft JhengHei" w:hint="eastAsia"/>
          <w:b/>
          <w:sz w:val="28"/>
        </w:rPr>
        <w:t>日</w:t>
      </w:r>
    </w:p>
    <w:p>
      <w:pPr>
        <w:pStyle w:val="BodyText"/>
        <w:spacing w:before="4"/>
        <w:ind w:left="0"/>
        <w:rPr>
          <w:rFonts w:ascii="Microsoft JhengHei"/>
          <w:b/>
          <w:sz w:val="23"/>
        </w:rPr>
      </w:pPr>
    </w:p>
    <w:p>
      <w:pPr>
        <w:spacing w:line="216" w:lineRule="auto" w:before="0"/>
        <w:ind w:left="217" w:right="108" w:firstLine="67"/>
        <w:jc w:val="left"/>
        <w:rPr>
          <w:rFonts w:ascii="华文行楷" w:hAnsi="华文行楷" w:eastAsia="华文行楷" w:hint="eastAsia"/>
          <w:sz w:val="72"/>
        </w:rPr>
      </w:pPr>
      <w:r>
        <w:rPr>
          <w:rFonts w:ascii="华文行楷" w:hAnsi="华文行楷" w:eastAsia="华文行楷" w:hint="eastAsia"/>
          <w:color w:val="C00000"/>
          <w:sz w:val="72"/>
        </w:rPr>
        <w:t>祝辛勤工作的全国药师朋友们</w:t>
      </w:r>
      <w:r>
        <w:rPr>
          <w:rFonts w:ascii="华文行楷" w:hAnsi="华文行楷" w:eastAsia="华文行楷" w:hint="eastAsia"/>
          <w:color w:val="C00000"/>
          <w:spacing w:val="-20"/>
          <w:sz w:val="72"/>
        </w:rPr>
        <w:t>“五一”国际劳动节节日快乐！</w:t>
      </w:r>
    </w:p>
    <w:p>
      <w:pPr>
        <w:spacing w:line="515" w:lineRule="exact" w:before="0"/>
        <w:ind w:left="0" w:right="256" w:firstLine="0"/>
        <w:jc w:val="center"/>
        <w:rPr>
          <w:rFonts w:ascii="黑体" w:eastAsia="黑体" w:hint="eastAsia"/>
          <w:b/>
          <w:sz w:val="44"/>
        </w:rPr>
      </w:pPr>
      <w:r>
        <w:rPr>
          <w:rFonts w:ascii="黑体" w:eastAsia="黑体" w:hint="eastAsia"/>
          <w:b/>
          <w:color w:val="008000"/>
          <w:sz w:val="44"/>
        </w:rPr>
        <w:t>目 次</w:t>
      </w:r>
    </w:p>
    <w:p>
      <w:pPr>
        <w:spacing w:line="560" w:lineRule="exact" w:before="0"/>
        <w:ind w:left="0" w:right="252" w:firstLine="0"/>
        <w:jc w:val="center"/>
        <w:rPr>
          <w:rFonts w:ascii="隶书" w:eastAsia="隶书" w:hint="eastAsia"/>
          <w:sz w:val="44"/>
        </w:rPr>
      </w:pPr>
      <w:r>
        <w:rPr>
          <w:rFonts w:ascii="隶书" w:eastAsia="隶书" w:hint="eastAsia"/>
          <w:color w:val="1A5220"/>
          <w:sz w:val="44"/>
        </w:rPr>
        <w:t>政策导览</w:t>
      </w:r>
    </w:p>
    <w:p>
      <w:pPr>
        <w:pStyle w:val="Heading4"/>
        <w:tabs>
          <w:tab w:pos="9501" w:val="right" w:leader="dot"/>
        </w:tabs>
        <w:spacing w:before="37"/>
        <w:ind w:left="428"/>
        <w:rPr>
          <w:rFonts w:ascii="华文楷体" w:eastAsia="华文楷体" w:hint="eastAsia"/>
          <w:b w:val="0"/>
        </w:rPr>
      </w:pPr>
      <w:r>
        <w:rPr>
          <w:rFonts w:ascii="华文楷体" w:eastAsia="华文楷体" w:hint="eastAsia"/>
        </w:rPr>
        <w:t>【政府要闻】</w:t>
        <w:tab/>
      </w:r>
      <w:r>
        <w:rPr>
          <w:rFonts w:ascii="华文楷体" w:eastAsia="华文楷体" w:hint="eastAsia"/>
          <w:b w:val="0"/>
        </w:rPr>
        <w:t>1</w:t>
      </w:r>
    </w:p>
    <w:p>
      <w:pPr>
        <w:pStyle w:val="BodyText"/>
        <w:tabs>
          <w:tab w:pos="9501" w:val="right" w:leader="dot"/>
        </w:tabs>
        <w:spacing w:before="7"/>
        <w:ind w:left="428"/>
        <w:rPr>
          <w:rFonts w:ascii="华文楷体" w:eastAsia="华文楷体" w:hint="eastAsia"/>
        </w:rPr>
      </w:pPr>
      <w:r>
        <w:rPr>
          <w:rFonts w:ascii="华文楷体" w:eastAsia="华文楷体" w:hint="eastAsia"/>
        </w:rPr>
        <w:t>十三届全国人大常委会第十次会议在京举行</w:t>
        <w:tab/>
        <w:t>1</w:t>
      </w:r>
    </w:p>
    <w:p>
      <w:pPr>
        <w:pStyle w:val="BodyText"/>
        <w:tabs>
          <w:tab w:pos="9501" w:val="right" w:leader="dot"/>
        </w:tabs>
        <w:spacing w:before="7"/>
        <w:ind w:left="428"/>
        <w:rPr>
          <w:rFonts w:ascii="华文楷体" w:eastAsia="华文楷体" w:hint="eastAsia"/>
        </w:rPr>
      </w:pPr>
      <w:r>
        <w:rPr>
          <w:rFonts w:ascii="华文楷体" w:eastAsia="华文楷体" w:hint="eastAsia"/>
        </w:rPr>
        <w:t>药品成本价格调查将入法</w:t>
        <w:tab/>
        <w:t>1</w:t>
      </w:r>
    </w:p>
    <w:p>
      <w:pPr>
        <w:pStyle w:val="BodyText"/>
        <w:tabs>
          <w:tab w:pos="9501" w:val="right" w:leader="dot"/>
        </w:tabs>
        <w:spacing w:before="5"/>
        <w:ind w:left="428"/>
        <w:rPr>
          <w:rFonts w:ascii="华文楷体" w:eastAsia="华文楷体" w:hint="eastAsia"/>
        </w:rPr>
      </w:pPr>
      <w:r>
        <w:rPr>
          <w:rFonts w:ascii="华文楷体" w:eastAsia="华文楷体" w:hint="eastAsia"/>
        </w:rPr>
        <w:t>全链条发力保百姓用药</w:t>
        <w:tab/>
        <w:t>2</w:t>
      </w:r>
    </w:p>
    <w:p>
      <w:pPr>
        <w:pStyle w:val="BodyText"/>
        <w:tabs>
          <w:tab w:pos="9501" w:val="right" w:leader="dot"/>
        </w:tabs>
        <w:spacing w:before="8"/>
        <w:ind w:left="428"/>
        <w:rPr>
          <w:rFonts w:ascii="华文楷体" w:hAnsi="华文楷体" w:eastAsia="华文楷体" w:hint="eastAsia"/>
        </w:rPr>
      </w:pPr>
      <w:r>
        <w:rPr>
          <w:rFonts w:ascii="华文楷体" w:hAnsi="华文楷体" w:eastAsia="华文楷体" w:hint="eastAsia"/>
        </w:rPr>
        <w:t>“4+7”药品集中采购试点效果超预期</w:t>
        <w:tab/>
        <w:t>3</w:t>
      </w:r>
    </w:p>
    <w:p>
      <w:pPr>
        <w:pStyle w:val="BodyText"/>
        <w:tabs>
          <w:tab w:pos="9501" w:val="right" w:leader="dot"/>
        </w:tabs>
        <w:spacing w:before="7"/>
        <w:ind w:left="428"/>
        <w:rPr>
          <w:rFonts w:ascii="华文楷体" w:eastAsia="华文楷体" w:hint="eastAsia"/>
        </w:rPr>
      </w:pPr>
      <w:r>
        <w:rPr>
          <w:rFonts w:ascii="华文楷体" w:eastAsia="华文楷体" w:hint="eastAsia"/>
        </w:rPr>
        <w:t>新版产业结构调整指导目录征求意见</w:t>
        <w:tab/>
        <w:t>4</w:t>
      </w:r>
    </w:p>
    <w:p>
      <w:pPr>
        <w:pStyle w:val="BodyText"/>
        <w:tabs>
          <w:tab w:pos="9501" w:val="right" w:leader="dot"/>
        </w:tabs>
        <w:spacing w:before="5"/>
        <w:ind w:left="428"/>
        <w:rPr>
          <w:rFonts w:ascii="华文楷体" w:eastAsia="华文楷体" w:hint="eastAsia"/>
        </w:rPr>
      </w:pPr>
      <w:r>
        <w:rPr>
          <w:rFonts w:ascii="华文楷体" w:eastAsia="华文楷体" w:hint="eastAsia"/>
        </w:rPr>
        <w:t>建立四级药品使用监测网络</w:t>
        <w:tab/>
        <w:t>5</w:t>
      </w:r>
    </w:p>
    <w:p>
      <w:pPr>
        <w:pStyle w:val="Heading4"/>
        <w:tabs>
          <w:tab w:pos="9501" w:val="right" w:leader="dot"/>
        </w:tabs>
        <w:spacing w:before="7"/>
        <w:ind w:left="428"/>
        <w:rPr>
          <w:rFonts w:ascii="华文楷体" w:eastAsia="华文楷体" w:hint="eastAsia"/>
          <w:b w:val="0"/>
        </w:rPr>
      </w:pPr>
      <w:r>
        <w:rPr>
          <w:rFonts w:ascii="华文楷体" w:eastAsia="华文楷体" w:hint="eastAsia"/>
        </w:rPr>
        <w:t>【医保动态】</w:t>
        <w:tab/>
      </w:r>
      <w:r>
        <w:rPr>
          <w:rFonts w:ascii="华文楷体" w:eastAsia="华文楷体" w:hint="eastAsia"/>
          <w:b w:val="0"/>
        </w:rPr>
        <w:t>5</w:t>
      </w:r>
    </w:p>
    <w:p>
      <w:pPr>
        <w:pStyle w:val="BodyText"/>
        <w:tabs>
          <w:tab w:pos="9501" w:val="right" w:leader="dot"/>
        </w:tabs>
        <w:spacing w:before="7"/>
        <w:ind w:left="428"/>
        <w:rPr>
          <w:rFonts w:ascii="华文楷体" w:eastAsia="华文楷体" w:hint="eastAsia"/>
        </w:rPr>
      </w:pPr>
      <w:r>
        <w:rPr>
          <w:rFonts w:ascii="华文楷体" w:eastAsia="华文楷体" w:hint="eastAsia"/>
        </w:rPr>
        <w:t>优先考虑癌症及罕见病等用药</w:t>
        <w:tab/>
        <w:t>5</w:t>
      </w:r>
    </w:p>
    <w:p>
      <w:pPr>
        <w:pStyle w:val="BodyText"/>
        <w:tabs>
          <w:tab w:pos="9501" w:val="right" w:leader="dot"/>
        </w:tabs>
        <w:spacing w:before="5"/>
        <w:ind w:left="428"/>
        <w:rPr>
          <w:rFonts w:ascii="华文楷体" w:eastAsia="华文楷体" w:hint="eastAsia"/>
        </w:rPr>
      </w:pPr>
      <w:r>
        <w:rPr>
          <w:rFonts w:ascii="华文楷体" w:eastAsia="华文楷体" w:hint="eastAsia"/>
        </w:rPr>
        <w:t>共建共治医保基金</w:t>
        <w:tab/>
        <w:t>8</w:t>
      </w:r>
    </w:p>
    <w:p>
      <w:pPr>
        <w:pStyle w:val="BodyText"/>
        <w:tabs>
          <w:tab w:pos="9501" w:val="right" w:leader="dot"/>
        </w:tabs>
        <w:spacing w:before="7"/>
        <w:ind w:left="428"/>
        <w:rPr>
          <w:rFonts w:ascii="华文楷体" w:eastAsia="华文楷体" w:hint="eastAsia"/>
        </w:rPr>
      </w:pPr>
      <w:r>
        <w:rPr>
          <w:rFonts w:ascii="华文楷体" w:eastAsia="华文楷体" w:hint="eastAsia"/>
        </w:rPr>
        <w:t>跨省异地结算突破</w:t>
      </w:r>
      <w:r>
        <w:rPr>
          <w:rFonts w:ascii="华文楷体" w:eastAsia="华文楷体" w:hint="eastAsia"/>
          <w:spacing w:val="-1"/>
        </w:rPr>
        <w:t> </w:t>
      </w:r>
      <w:r>
        <w:rPr>
          <w:rFonts w:ascii="华文楷体" w:eastAsia="华文楷体" w:hint="eastAsia"/>
        </w:rPr>
        <w:t>200 万人次</w:t>
        <w:tab/>
        <w:t>8</w:t>
      </w:r>
    </w:p>
    <w:p>
      <w:pPr>
        <w:pStyle w:val="Heading4"/>
        <w:tabs>
          <w:tab w:pos="9501" w:val="right" w:leader="dot"/>
        </w:tabs>
        <w:spacing w:before="8"/>
        <w:ind w:left="428"/>
        <w:rPr>
          <w:rFonts w:ascii="华文楷体" w:eastAsia="华文楷体" w:hint="eastAsia"/>
          <w:b w:val="0"/>
        </w:rPr>
      </w:pPr>
      <w:r>
        <w:rPr>
          <w:rFonts w:ascii="华文楷体" w:eastAsia="华文楷体" w:hint="eastAsia"/>
        </w:rPr>
        <w:t>【药监动态】</w:t>
        <w:tab/>
      </w:r>
      <w:r>
        <w:rPr>
          <w:rFonts w:ascii="华文楷体" w:eastAsia="华文楷体" w:hint="eastAsia"/>
          <w:b w:val="0"/>
        </w:rPr>
        <w:t>9</w:t>
      </w:r>
    </w:p>
    <w:p>
      <w:pPr>
        <w:pStyle w:val="BodyText"/>
        <w:tabs>
          <w:tab w:pos="9501" w:val="right" w:leader="dot"/>
        </w:tabs>
        <w:spacing w:before="5"/>
        <w:ind w:left="428"/>
        <w:rPr>
          <w:rFonts w:ascii="华文楷体" w:eastAsia="华文楷体" w:hint="eastAsia"/>
        </w:rPr>
      </w:pPr>
      <w:r>
        <w:rPr>
          <w:rFonts w:ascii="华文楷体" w:eastAsia="华文楷体" w:hint="eastAsia"/>
        </w:rPr>
        <w:t>重磅：药品追溯码重获部署！提出哪些新要求？</w:t>
        <w:tab/>
        <w:t>9</w:t>
      </w:r>
    </w:p>
    <w:p>
      <w:pPr>
        <w:pStyle w:val="BodyText"/>
        <w:tabs>
          <w:tab w:pos="9501" w:val="right" w:leader="dot"/>
        </w:tabs>
        <w:spacing w:before="7"/>
        <w:ind w:left="428"/>
        <w:rPr>
          <w:rFonts w:ascii="华文楷体" w:eastAsia="华文楷体" w:hint="eastAsia"/>
        </w:rPr>
      </w:pPr>
      <w:r>
        <w:rPr>
          <w:rFonts w:ascii="华文楷体" w:eastAsia="华文楷体" w:hint="eastAsia"/>
        </w:rPr>
        <w:t>国家药监局将开展芬太尼类药品专项检查</w:t>
        <w:tab/>
        <w:t>10</w:t>
      </w:r>
    </w:p>
    <w:p>
      <w:pPr>
        <w:tabs>
          <w:tab w:pos="9501" w:val="right" w:leader="dot"/>
        </w:tabs>
        <w:spacing w:before="7"/>
        <w:ind w:left="428" w:right="0" w:firstLine="0"/>
        <w:jc w:val="left"/>
        <w:rPr>
          <w:rFonts w:ascii="华文楷体" w:eastAsia="华文楷体" w:hint="eastAsia"/>
          <w:sz w:val="24"/>
        </w:rPr>
      </w:pPr>
      <w:r>
        <w:rPr>
          <w:rFonts w:ascii="华文楷体" w:eastAsia="华文楷体" w:hint="eastAsia"/>
          <w:b/>
          <w:sz w:val="24"/>
        </w:rPr>
        <w:t>【医改新政】</w:t>
        <w:tab/>
      </w:r>
      <w:r>
        <w:rPr>
          <w:rFonts w:ascii="华文楷体" w:eastAsia="华文楷体" w:hint="eastAsia"/>
          <w:sz w:val="24"/>
        </w:rPr>
        <w:t>11</w:t>
      </w:r>
    </w:p>
    <w:p>
      <w:pPr>
        <w:pStyle w:val="BodyText"/>
        <w:tabs>
          <w:tab w:pos="9501" w:val="right" w:leader="dot"/>
        </w:tabs>
        <w:spacing w:before="5"/>
        <w:ind w:left="428"/>
        <w:rPr>
          <w:rFonts w:ascii="华文楷体" w:hAnsi="华文楷体" w:eastAsia="华文楷体" w:hint="eastAsia"/>
        </w:rPr>
      </w:pPr>
      <w:r>
        <w:rPr>
          <w:rFonts w:ascii="华文楷体" w:hAnsi="华文楷体" w:eastAsia="华文楷体" w:hint="eastAsia"/>
        </w:rPr>
        <w:t>5 月 1 日起，北京“先来后到”的就医模式将被打破</w:t>
        <w:tab/>
        <w:t>11</w:t>
      </w:r>
    </w:p>
    <w:p>
      <w:pPr>
        <w:spacing w:after="0"/>
        <w:rPr>
          <w:rFonts w:ascii="华文楷体" w:hAnsi="华文楷体" w:eastAsia="华文楷体" w:hint="eastAsia"/>
        </w:rPr>
        <w:sectPr>
          <w:footerReference w:type="default" r:id="rId5"/>
          <w:type w:val="continuous"/>
          <w:pgSz w:w="11910" w:h="16850"/>
          <w:pgMar w:footer="825" w:top="1100" w:bottom="1020" w:left="1060" w:right="660"/>
          <w:pgNumType w:start="1"/>
        </w:sectPr>
      </w:pPr>
    </w:p>
    <w:sdt>
      <w:sdtPr>
        <w:docPartObj>
          <w:docPartGallery w:val="Table of Contents"/>
          <w:docPartUnique/>
        </w:docPartObj>
      </w:sdtPr>
      <w:sdtEndPr/>
      <w:sdtContent>
        <w:p>
          <w:pPr>
            <w:pStyle w:val="TOC1"/>
            <w:spacing w:line="240" w:lineRule="auto" w:before="179"/>
          </w:pPr>
          <w:hyperlink w:history="true" w:anchor="_TOC_250030">
            <w:r>
              <w:rPr>
                <w:color w:val="1A5220"/>
              </w:rPr>
              <w:t>行业资讯</w:t>
            </w:r>
          </w:hyperlink>
        </w:p>
        <w:p>
          <w:pPr>
            <w:pStyle w:val="TOC3"/>
            <w:tabs>
              <w:tab w:pos="9276" w:val="left" w:leader="dot"/>
            </w:tabs>
            <w:spacing w:before="37"/>
            <w:rPr>
              <w:b w:val="0"/>
              <w:i w:val="0"/>
              <w:sz w:val="24"/>
            </w:rPr>
          </w:pPr>
          <w:hyperlink w:history="true" w:anchor="_TOC_250029">
            <w:r>
              <w:rPr>
                <w:i w:val="0"/>
                <w:sz w:val="24"/>
              </w:rPr>
              <w:t>【医院管理】</w:t>
              <w:tab/>
            </w:r>
            <w:r>
              <w:rPr>
                <w:b w:val="0"/>
                <w:i w:val="0"/>
                <w:sz w:val="24"/>
              </w:rPr>
              <w:t>12</w:t>
            </w:r>
          </w:hyperlink>
        </w:p>
        <w:p>
          <w:pPr>
            <w:pStyle w:val="TOC2"/>
            <w:tabs>
              <w:tab w:pos="9276" w:val="left" w:leader="dot"/>
            </w:tabs>
            <w:spacing w:line="375" w:lineRule="exact" w:before="8"/>
          </w:pPr>
          <w:hyperlink w:history="true" w:anchor="_TOC_250028">
            <w:r>
              <w:rPr/>
              <w:t>三级公立医院绩效考核将启动</w:t>
              <w:tab/>
              <w:t>12</w:t>
            </w:r>
          </w:hyperlink>
        </w:p>
        <w:p>
          <w:pPr>
            <w:pStyle w:val="TOC1"/>
            <w:spacing w:line="545" w:lineRule="exact"/>
          </w:pPr>
          <w:hyperlink w:history="true" w:anchor="_TOC_250027">
            <w:r>
              <w:rPr>
                <w:color w:val="1A5220"/>
              </w:rPr>
              <w:t>医药前沿</w:t>
            </w:r>
          </w:hyperlink>
        </w:p>
        <w:p>
          <w:pPr>
            <w:pStyle w:val="TOC3"/>
            <w:tabs>
              <w:tab w:pos="9276" w:val="left" w:leader="dot"/>
            </w:tabs>
            <w:spacing w:before="39"/>
            <w:rPr>
              <w:b w:val="0"/>
              <w:i w:val="0"/>
              <w:sz w:val="24"/>
            </w:rPr>
          </w:pPr>
          <w:hyperlink w:history="true" w:anchor="_TOC_250026">
            <w:r>
              <w:rPr>
                <w:i w:val="0"/>
                <w:sz w:val="24"/>
              </w:rPr>
              <w:t>【前沿速览】</w:t>
              <w:tab/>
            </w:r>
            <w:r>
              <w:rPr>
                <w:b w:val="0"/>
                <w:i w:val="0"/>
                <w:sz w:val="24"/>
              </w:rPr>
              <w:t>13</w:t>
            </w:r>
          </w:hyperlink>
        </w:p>
        <w:p>
          <w:pPr>
            <w:pStyle w:val="TOC2"/>
            <w:tabs>
              <w:tab w:pos="9276" w:val="left" w:leader="dot"/>
            </w:tabs>
            <w:spacing w:before="5"/>
          </w:pPr>
          <w:hyperlink w:history="true" w:anchor="_TOC_250025">
            <w:r>
              <w:rPr/>
              <w:t>提高癌症新药试验效率有新法</w:t>
              <w:tab/>
              <w:t>13</w:t>
            </w:r>
          </w:hyperlink>
        </w:p>
        <w:p>
          <w:pPr>
            <w:pStyle w:val="TOC3"/>
            <w:tabs>
              <w:tab w:pos="9276" w:val="left" w:leader="dot"/>
            </w:tabs>
            <w:spacing w:before="7"/>
            <w:rPr>
              <w:b w:val="0"/>
              <w:i w:val="0"/>
              <w:sz w:val="24"/>
            </w:rPr>
          </w:pPr>
          <w:hyperlink w:history="true" w:anchor="_TOC_250024">
            <w:r>
              <w:rPr>
                <w:i w:val="0"/>
                <w:sz w:val="24"/>
              </w:rPr>
              <w:t>【研究进展】</w:t>
              <w:tab/>
            </w:r>
            <w:r>
              <w:rPr>
                <w:b w:val="0"/>
                <w:i w:val="0"/>
                <w:sz w:val="24"/>
              </w:rPr>
              <w:t>13</w:t>
            </w:r>
          </w:hyperlink>
        </w:p>
        <w:p>
          <w:pPr>
            <w:pStyle w:val="TOC2"/>
            <w:tabs>
              <w:tab w:pos="9276" w:val="left" w:leader="dot"/>
            </w:tabs>
            <w:spacing w:before="8"/>
          </w:pPr>
          <w:hyperlink w:history="true" w:anchor="_TOC_250023">
            <w:r>
              <w:rPr/>
              <w:t>靶向多肽有望用于肿瘤免疫治疗</w:t>
              <w:tab/>
              <w:t>13</w:t>
            </w:r>
          </w:hyperlink>
        </w:p>
        <w:p>
          <w:pPr>
            <w:pStyle w:val="TOC2"/>
            <w:tabs>
              <w:tab w:pos="9276" w:val="left" w:leader="dot"/>
            </w:tabs>
            <w:spacing w:before="5"/>
          </w:pPr>
          <w:hyperlink w:history="true" w:anchor="_TOC_250022">
            <w:r>
              <w:rPr/>
              <w:t>人胚胎干细胞自我更新奥秘被揭示</w:t>
              <w:tab/>
              <w:t>14</w:t>
            </w:r>
          </w:hyperlink>
        </w:p>
        <w:p>
          <w:pPr>
            <w:pStyle w:val="TOC2"/>
            <w:tabs>
              <w:tab w:pos="9276" w:val="left" w:leader="dot"/>
            </w:tabs>
            <w:spacing w:line="376" w:lineRule="exact"/>
          </w:pPr>
          <w:hyperlink w:history="true" w:anchor="_TOC_250021">
            <w:r>
              <w:rPr/>
              <w:t>又一重型痤疮风险基因被发现</w:t>
              <w:tab/>
              <w:t>15</w:t>
            </w:r>
          </w:hyperlink>
        </w:p>
        <w:p>
          <w:pPr>
            <w:pStyle w:val="TOC1"/>
          </w:pPr>
          <w:hyperlink w:history="true" w:anchor="_TOC_250020">
            <w:r>
              <w:rPr>
                <w:color w:val="1A5220"/>
              </w:rPr>
              <w:t>合理用药</w:t>
            </w:r>
          </w:hyperlink>
        </w:p>
        <w:p>
          <w:pPr>
            <w:pStyle w:val="TOC3"/>
            <w:tabs>
              <w:tab w:pos="9276" w:val="left" w:leader="dot"/>
            </w:tabs>
            <w:spacing w:before="37"/>
            <w:rPr>
              <w:b w:val="0"/>
              <w:i w:val="0"/>
              <w:sz w:val="24"/>
            </w:rPr>
          </w:pPr>
          <w:r>
            <w:rPr>
              <w:i w:val="0"/>
              <w:sz w:val="24"/>
            </w:rPr>
            <w:t>【临床药师】</w:t>
            <w:tab/>
          </w:r>
          <w:r>
            <w:rPr>
              <w:b w:val="0"/>
              <w:i w:val="0"/>
              <w:sz w:val="24"/>
            </w:rPr>
            <w:t>15</w:t>
          </w:r>
        </w:p>
        <w:p>
          <w:pPr>
            <w:pStyle w:val="TOC2"/>
            <w:tabs>
              <w:tab w:pos="9276" w:val="left" w:leader="dot"/>
            </w:tabs>
          </w:pPr>
          <w:hyperlink w:history="true" w:anchor="_TOC_250019">
            <w:r>
              <w:rPr/>
              <w:t>尿崩症治疗药与致尿崩症的药物</w:t>
              <w:tab/>
              <w:t>15</w:t>
            </w:r>
          </w:hyperlink>
        </w:p>
        <w:p>
          <w:pPr>
            <w:pStyle w:val="TOC3"/>
            <w:tabs>
              <w:tab w:pos="9276" w:val="left" w:leader="dot"/>
            </w:tabs>
            <w:rPr>
              <w:b w:val="0"/>
              <w:i w:val="0"/>
              <w:sz w:val="24"/>
            </w:rPr>
          </w:pPr>
          <w:hyperlink w:history="true" w:anchor="_TOC_250018">
            <w:r>
              <w:rPr>
                <w:i w:val="0"/>
                <w:sz w:val="24"/>
              </w:rPr>
              <w:t>【医生谈药】</w:t>
              <w:tab/>
            </w:r>
            <w:r>
              <w:rPr>
                <w:b w:val="0"/>
                <w:i w:val="0"/>
                <w:sz w:val="24"/>
              </w:rPr>
              <w:t>17</w:t>
            </w:r>
          </w:hyperlink>
        </w:p>
        <w:p>
          <w:pPr>
            <w:pStyle w:val="TOC2"/>
            <w:tabs>
              <w:tab w:pos="9276" w:val="left" w:leader="dot"/>
            </w:tabs>
          </w:pPr>
          <w:hyperlink w:history="true" w:anchor="_TOC_250017">
            <w:r>
              <w:rPr/>
              <w:t>罗沙司他带来贫血管理崭新变革</w:t>
              <w:tab/>
              <w:t>17</w:t>
            </w:r>
          </w:hyperlink>
        </w:p>
        <w:p>
          <w:pPr>
            <w:pStyle w:val="TOC3"/>
            <w:tabs>
              <w:tab w:pos="9276" w:val="left" w:leader="dot"/>
            </w:tabs>
            <w:spacing w:before="8"/>
            <w:rPr>
              <w:b w:val="0"/>
              <w:i w:val="0"/>
              <w:sz w:val="24"/>
            </w:rPr>
          </w:pPr>
          <w:hyperlink w:history="true" w:anchor="_TOC_250016">
            <w:r>
              <w:rPr>
                <w:i w:val="0"/>
                <w:sz w:val="24"/>
              </w:rPr>
              <w:t>【专家观点】</w:t>
              <w:tab/>
            </w:r>
            <w:r>
              <w:rPr>
                <w:b w:val="0"/>
                <w:i w:val="0"/>
                <w:sz w:val="24"/>
              </w:rPr>
              <w:t>19</w:t>
            </w:r>
          </w:hyperlink>
        </w:p>
        <w:p>
          <w:pPr>
            <w:pStyle w:val="TOC2"/>
            <w:tabs>
              <w:tab w:pos="9276" w:val="left" w:leader="dot"/>
            </w:tabs>
            <w:spacing w:before="4"/>
          </w:pPr>
          <w:hyperlink w:history="true" w:anchor="_TOC_250015">
            <w:r>
              <w:rPr/>
              <w:t>ACTION</w:t>
            </w:r>
            <w:r>
              <w:rPr>
                <w:spacing w:val="-1"/>
              </w:rPr>
              <w:t> </w:t>
            </w:r>
            <w:r>
              <w:rPr/>
              <w:t>研究发布 15</w:t>
            </w:r>
            <w:r>
              <w:rPr>
                <w:spacing w:val="-3"/>
              </w:rPr>
              <w:t> </w:t>
            </w:r>
            <w:r>
              <w:rPr/>
              <w:t>周年系列专家访谈</w:t>
              <w:tab/>
              <w:t>19</w:t>
            </w:r>
          </w:hyperlink>
        </w:p>
        <w:p>
          <w:pPr>
            <w:pStyle w:val="TOC3"/>
            <w:tabs>
              <w:tab w:pos="9276" w:val="left" w:leader="dot"/>
            </w:tabs>
            <w:spacing w:before="8"/>
            <w:rPr>
              <w:b w:val="0"/>
              <w:i w:val="0"/>
              <w:sz w:val="24"/>
            </w:rPr>
          </w:pPr>
          <w:hyperlink w:history="true" w:anchor="_TOC_250014">
            <w:r>
              <w:rPr>
                <w:i w:val="0"/>
                <w:sz w:val="24"/>
              </w:rPr>
              <w:t>【药物警戒】</w:t>
              <w:tab/>
            </w:r>
            <w:r>
              <w:rPr>
                <w:b w:val="0"/>
                <w:i w:val="0"/>
                <w:sz w:val="24"/>
              </w:rPr>
              <w:t>22</w:t>
            </w:r>
          </w:hyperlink>
        </w:p>
        <w:p>
          <w:pPr>
            <w:pStyle w:val="TOC2"/>
            <w:tabs>
              <w:tab w:pos="9276" w:val="left" w:leader="dot"/>
            </w:tabs>
          </w:pPr>
          <w:hyperlink w:history="true" w:anchor="_TOC_250013">
            <w:r>
              <w:rPr>
                <w:w w:val="95"/>
              </w:rPr>
              <w:t>常见药物的不</w:t>
            </w:r>
            <w:r>
              <w:rPr>
                <w:spacing w:val="-3"/>
                <w:w w:val="95"/>
              </w:rPr>
              <w:t>良</w:t>
            </w:r>
            <w:r>
              <w:rPr>
                <w:w w:val="95"/>
              </w:rPr>
              <w:t>反应</w:t>
            </w:r>
            <w:r>
              <w:rPr>
                <w:spacing w:val="51"/>
                <w:w w:val="95"/>
              </w:rPr>
              <w:t> </w:t>
            </w:r>
            <w:r>
              <w:rPr>
                <w:w w:val="95"/>
              </w:rPr>
              <w:t>—泌尿系统、血</w:t>
            </w:r>
            <w:r>
              <w:rPr>
                <w:spacing w:val="-3"/>
                <w:w w:val="95"/>
              </w:rPr>
              <w:t>液</w:t>
            </w:r>
            <w:r>
              <w:rPr>
                <w:w w:val="95"/>
              </w:rPr>
              <w:t>系统、激素及影响内</w:t>
            </w:r>
            <w:r>
              <w:rPr>
                <w:spacing w:val="-3"/>
                <w:w w:val="95"/>
              </w:rPr>
              <w:t>分</w:t>
            </w:r>
            <w:r>
              <w:rPr>
                <w:w w:val="95"/>
              </w:rPr>
              <w:t>泌药物</w:t>
              <w:tab/>
            </w:r>
            <w:r>
              <w:rPr/>
              <w:t>22</w:t>
            </w:r>
          </w:hyperlink>
        </w:p>
        <w:p>
          <w:pPr>
            <w:pStyle w:val="TOC3"/>
            <w:tabs>
              <w:tab w:pos="9276" w:val="left" w:leader="dot"/>
            </w:tabs>
            <w:rPr>
              <w:b w:val="0"/>
              <w:i w:val="0"/>
              <w:sz w:val="24"/>
            </w:rPr>
          </w:pPr>
          <w:hyperlink w:history="true" w:anchor="_TOC_250012">
            <w:r>
              <w:rPr>
                <w:i w:val="0"/>
                <w:sz w:val="24"/>
              </w:rPr>
              <w:t>【科普知识】</w:t>
              <w:tab/>
            </w:r>
            <w:r>
              <w:rPr>
                <w:b w:val="0"/>
                <w:i w:val="0"/>
                <w:sz w:val="24"/>
              </w:rPr>
              <w:t>23</w:t>
            </w:r>
          </w:hyperlink>
        </w:p>
        <w:p>
          <w:pPr>
            <w:pStyle w:val="TOC2"/>
            <w:tabs>
              <w:tab w:pos="9276" w:val="left" w:leader="dot"/>
            </w:tabs>
          </w:pPr>
          <w:hyperlink w:history="true" w:anchor="_TOC_250011">
            <w:r>
              <w:rPr/>
              <w:t>老年人用药常识知多少</w:t>
              <w:tab/>
              <w:t>23</w:t>
            </w:r>
          </w:hyperlink>
        </w:p>
        <w:p>
          <w:pPr>
            <w:pStyle w:val="TOC2"/>
            <w:tabs>
              <w:tab w:pos="9276" w:val="left" w:leader="dot"/>
            </w:tabs>
          </w:pPr>
          <w:hyperlink w:history="true" w:anchor="_TOC_250010">
            <w:r>
              <w:rPr>
                <w:w w:val="90"/>
              </w:rPr>
              <w:t>口干是因为上火？NO！罪魁祸首是</w:t>
            </w:r>
            <w:r>
              <w:rPr>
                <w:spacing w:val="-3"/>
                <w:w w:val="90"/>
              </w:rPr>
              <w:t> </w:t>
            </w:r>
            <w:r>
              <w:rPr>
                <w:w w:val="90"/>
              </w:rPr>
              <w:t>ta！“完败”口干，这些招儿，好使！</w:t>
              <w:tab/>
            </w:r>
            <w:r>
              <w:rPr/>
              <w:t>24</w:t>
            </w:r>
          </w:hyperlink>
        </w:p>
        <w:p>
          <w:pPr>
            <w:pStyle w:val="TOC2"/>
            <w:tabs>
              <w:tab w:pos="9276" w:val="left" w:leader="dot"/>
            </w:tabs>
            <w:spacing w:line="376" w:lineRule="exact" w:before="5"/>
          </w:pPr>
          <w:hyperlink w:history="true" w:anchor="_TOC_250009">
            <w:r>
              <w:rPr/>
              <w:t>肿瘤标志物检测</w:t>
              <w:tab/>
              <w:t>27</w:t>
            </w:r>
          </w:hyperlink>
        </w:p>
        <w:p>
          <w:pPr>
            <w:pStyle w:val="TOC1"/>
          </w:pPr>
          <w:hyperlink w:history="true" w:anchor="_TOC_250008">
            <w:r>
              <w:rPr>
                <w:color w:val="1A5220"/>
              </w:rPr>
              <w:t>交流园地</w:t>
            </w:r>
          </w:hyperlink>
        </w:p>
        <w:p>
          <w:pPr>
            <w:pStyle w:val="TOC3"/>
            <w:tabs>
              <w:tab w:pos="9276" w:val="left" w:leader="dot"/>
            </w:tabs>
            <w:spacing w:before="38"/>
            <w:rPr>
              <w:b w:val="0"/>
              <w:i w:val="0"/>
              <w:sz w:val="24"/>
            </w:rPr>
          </w:pPr>
          <w:hyperlink w:history="true" w:anchor="_TOC_250007">
            <w:r>
              <w:rPr>
                <w:i w:val="0"/>
                <w:sz w:val="24"/>
              </w:rPr>
              <w:t>【药师风采】</w:t>
              <w:tab/>
            </w:r>
            <w:r>
              <w:rPr>
                <w:b w:val="0"/>
                <w:i w:val="0"/>
                <w:sz w:val="24"/>
              </w:rPr>
              <w:t>28</w:t>
            </w:r>
          </w:hyperlink>
        </w:p>
        <w:p>
          <w:pPr>
            <w:pStyle w:val="TOC2"/>
            <w:tabs>
              <w:tab w:pos="9276" w:val="left" w:leader="dot"/>
            </w:tabs>
          </w:pPr>
          <w:hyperlink w:history="true" w:anchor="_TOC_250006">
            <w:r>
              <w:rPr/>
              <w:t>中山大学附属第五医院——田琳</w:t>
              <w:tab/>
              <w:t>29</w:t>
            </w:r>
          </w:hyperlink>
        </w:p>
        <w:p>
          <w:pPr>
            <w:pStyle w:val="TOC2"/>
            <w:tabs>
              <w:tab w:pos="9276" w:val="left" w:leader="dot"/>
            </w:tabs>
          </w:pPr>
          <w:hyperlink w:history="true" w:anchor="_TOC_250005">
            <w:r>
              <w:rPr/>
              <w:t>汕头市中心医院——李庆南</w:t>
              <w:tab/>
              <w:t>29</w:t>
            </w:r>
          </w:hyperlink>
        </w:p>
        <w:p>
          <w:pPr>
            <w:pStyle w:val="TOC2"/>
            <w:tabs>
              <w:tab w:pos="9276" w:val="left" w:leader="dot"/>
            </w:tabs>
            <w:spacing w:before="5"/>
          </w:pPr>
          <w:hyperlink w:history="true" w:anchor="_TOC_250004">
            <w:r>
              <w:rPr/>
              <w:t>广东省药学会——郑志华</w:t>
              <w:tab/>
              <w:t>30</w:t>
            </w:r>
          </w:hyperlink>
        </w:p>
        <w:p>
          <w:pPr>
            <w:pStyle w:val="TOC2"/>
            <w:tabs>
              <w:tab w:pos="9276" w:val="left" w:leader="dot"/>
            </w:tabs>
          </w:pPr>
          <w:hyperlink w:history="true" w:anchor="_TOC_250003">
            <w:r>
              <w:rPr/>
              <w:t>广西中医药大学附属瑞康医院——黄小鸥</w:t>
              <w:tab/>
              <w:t>31</w:t>
            </w:r>
          </w:hyperlink>
        </w:p>
        <w:p>
          <w:pPr>
            <w:pStyle w:val="TOC2"/>
            <w:tabs>
              <w:tab w:pos="9276" w:val="left" w:leader="dot"/>
            </w:tabs>
            <w:spacing w:line="375" w:lineRule="exact"/>
          </w:pPr>
          <w:hyperlink w:history="true" w:anchor="_TOC_250002">
            <w:r>
              <w:rPr/>
              <w:t>贵港市人民医院——曾毅</w:t>
              <w:tab/>
              <w:t>32</w:t>
            </w:r>
          </w:hyperlink>
        </w:p>
        <w:p>
          <w:pPr>
            <w:pStyle w:val="TOC1"/>
            <w:spacing w:line="546" w:lineRule="exact"/>
          </w:pPr>
          <w:hyperlink w:history="true" w:anchor="_TOC_250001">
            <w:r>
              <w:rPr>
                <w:color w:val="1A5220"/>
              </w:rPr>
              <w:t>学会动态</w:t>
            </w:r>
          </w:hyperlink>
        </w:p>
        <w:p>
          <w:pPr>
            <w:pStyle w:val="TOC3"/>
            <w:tabs>
              <w:tab w:pos="9276" w:val="left" w:leader="dot"/>
            </w:tabs>
            <w:spacing w:before="40"/>
            <w:rPr>
              <w:b w:val="0"/>
              <w:i w:val="0"/>
              <w:sz w:val="24"/>
            </w:rPr>
          </w:pPr>
          <w:hyperlink w:history="true" w:anchor="_TOC_250000">
            <w:r>
              <w:rPr>
                <w:i w:val="0"/>
                <w:sz w:val="24"/>
              </w:rPr>
              <w:t>【重要通知】</w:t>
              <w:tab/>
            </w:r>
            <w:r>
              <w:rPr>
                <w:b w:val="0"/>
                <w:i w:val="0"/>
                <w:sz w:val="24"/>
              </w:rPr>
              <w:t>32</w:t>
            </w:r>
          </w:hyperlink>
        </w:p>
      </w:sdtContent>
    </w:sdt>
    <w:p>
      <w:pPr>
        <w:pStyle w:val="BodyText"/>
        <w:spacing w:before="4"/>
        <w:ind w:left="428"/>
        <w:rPr>
          <w:rFonts w:ascii="华文楷体" w:hAnsi="华文楷体" w:eastAsia="华文楷体" w:hint="eastAsia"/>
        </w:rPr>
      </w:pPr>
      <w:r>
        <w:rPr>
          <w:rFonts w:ascii="华文楷体" w:hAnsi="华文楷体" w:eastAsia="华文楷体" w:hint="eastAsia"/>
          <w:w w:val="90"/>
        </w:rPr>
        <w:t>关于开展中国药学会全国医药经济信息网 2019 年“药师您好”科普文艺作品征集活动的通知. 33</w:t>
      </w:r>
    </w:p>
    <w:p>
      <w:pPr>
        <w:spacing w:after="0"/>
        <w:rPr>
          <w:rFonts w:ascii="华文楷体" w:hAnsi="华文楷体" w:eastAsia="华文楷体" w:hint="eastAsia"/>
        </w:rPr>
        <w:sectPr>
          <w:headerReference w:type="default" r:id="rId7"/>
          <w:footerReference w:type="default" r:id="rId8"/>
          <w:pgSz w:w="11910" w:h="16850"/>
          <w:pgMar w:header="906" w:footer="825" w:top="1100" w:bottom="1020" w:left="1060" w:right="660"/>
          <w:pgNumType w:start="2"/>
        </w:sectPr>
      </w:pPr>
    </w:p>
    <w:p>
      <w:pPr>
        <w:pStyle w:val="Heading2"/>
        <w:spacing w:before="993"/>
        <w:ind w:left="217"/>
      </w:pPr>
      <w:r>
        <w:rPr/>
        <w:t>【政府要闻】</w:t>
      </w:r>
    </w:p>
    <w:p>
      <w:pPr>
        <w:spacing w:before="122"/>
        <w:ind w:left="21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1060" w:right="660"/>
          <w:pgNumType w:start="1"/>
          <w:cols w:num="2" w:equalWidth="0">
            <w:col w:w="2187" w:space="1680"/>
            <w:col w:w="6323"/>
          </w:cols>
        </w:sectPr>
      </w:pPr>
    </w:p>
    <w:p>
      <w:pPr>
        <w:pStyle w:val="BodyText"/>
        <w:spacing w:before="14"/>
        <w:ind w:left="0"/>
        <w:rPr>
          <w:rFonts w:ascii="华文宋体"/>
          <w:b/>
          <w:sz w:val="17"/>
        </w:rPr>
      </w:pPr>
    </w:p>
    <w:p>
      <w:pPr>
        <w:spacing w:before="0"/>
        <w:ind w:left="0" w:right="255" w:firstLine="0"/>
        <w:jc w:val="center"/>
        <w:rPr>
          <w:b/>
          <w:sz w:val="32"/>
        </w:rPr>
      </w:pPr>
      <w:r>
        <w:rPr>
          <w:b/>
          <w:sz w:val="32"/>
        </w:rPr>
        <w:t>十三届全国人大常委会第十次会议在京举行</w:t>
      </w:r>
    </w:p>
    <w:p>
      <w:pPr>
        <w:spacing w:before="79"/>
        <w:ind w:left="2422" w:right="0" w:firstLine="0"/>
        <w:jc w:val="left"/>
        <w:rPr>
          <w:sz w:val="21"/>
        </w:rPr>
      </w:pPr>
      <w:r>
        <w:rPr>
          <w:sz w:val="21"/>
        </w:rPr>
        <w:t>继续审议药品管理法修订草案、疫苗管理法草案等</w:t>
      </w:r>
    </w:p>
    <w:p>
      <w:pPr>
        <w:pStyle w:val="Heading4"/>
        <w:spacing w:before="179"/>
        <w:ind w:left="0" w:right="46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486" w:firstLine="480"/>
      </w:pPr>
      <w:r>
        <w:rPr>
          <w:spacing w:val="-4"/>
        </w:rPr>
        <w:t>十三届全国人大常委会第十次会议 </w:t>
      </w:r>
      <w:r>
        <w:rPr/>
        <w:t>4</w:t>
      </w:r>
      <w:r>
        <w:rPr>
          <w:spacing w:val="-40"/>
        </w:rPr>
        <w:t> 月 </w:t>
      </w:r>
      <w:r>
        <w:rPr/>
        <w:t>20</w:t>
      </w:r>
      <w:r>
        <w:rPr>
          <w:spacing w:val="-9"/>
        </w:rPr>
        <w:t> 日上午在北京人民大会堂举行第一次全体会</w:t>
      </w:r>
      <w:r>
        <w:rPr/>
        <w:t>议。栗战书委员长主持会议。</w:t>
      </w:r>
    </w:p>
    <w:p>
      <w:pPr>
        <w:pStyle w:val="BodyText"/>
        <w:spacing w:line="297" w:lineRule="auto"/>
        <w:ind w:right="467" w:firstLine="480"/>
      </w:pPr>
      <w:r>
        <w:rPr/>
        <w:t>会议听取了全国人大宪法和法律委员会副主任委员丛斌作的关于药品管理法修正草案</w:t>
      </w:r>
      <w:r>
        <w:rPr>
          <w:spacing w:val="-10"/>
        </w:rPr>
        <w:t>修改情况的汇报。草案二审稿将药品领域改革成果和行之有效的做法上升为法律，并将修正</w:t>
      </w:r>
      <w:r>
        <w:rPr>
          <w:spacing w:val="-9"/>
        </w:rPr>
        <w:t>草案改为修订草案，增加了药品管理应当以人民健康为中心等基本要求，明确药品上市许可</w:t>
      </w:r>
      <w:r>
        <w:rPr>
          <w:spacing w:val="-8"/>
        </w:rPr>
        <w:t>持有人在各环节的责任，规范网络销售药品行为，加强药品上市后管理，进一步加大对药品</w:t>
      </w:r>
      <w:r>
        <w:rPr/>
        <w:t>违法行为处罚力度等。</w:t>
      </w:r>
    </w:p>
    <w:p>
      <w:pPr>
        <w:pStyle w:val="BodyText"/>
        <w:spacing w:line="299" w:lineRule="exact"/>
        <w:ind w:firstLine="480"/>
      </w:pPr>
      <w:r>
        <w:rPr/>
        <w:t>会议听取了丛斌作的关于疫苗管理法草案修改情况的汇报。草案二审稿增加规定，激励</w:t>
      </w:r>
    </w:p>
    <w:p>
      <w:pPr>
        <w:pStyle w:val="BodyText"/>
        <w:spacing w:line="218" w:lineRule="auto" w:before="94"/>
        <w:ind w:right="466"/>
        <w:jc w:val="both"/>
        <w:rPr>
          <w:rFonts w:ascii="微软雅黑" w:hAnsi="微软雅黑" w:eastAsia="微软雅黑" w:hint="eastAsia"/>
          <w:b/>
        </w:rPr>
      </w:pPr>
      <w:r>
        <w:rPr>
          <w:spacing w:val="-8"/>
        </w:rPr>
        <w:t>和支持疫苗研制和创新，进一步加强预防接种管理、规范预防接种行为，国家实行预防接种</w:t>
      </w:r>
      <w:r>
        <w:rPr>
          <w:spacing w:val="-14"/>
        </w:rPr>
        <w:t>异常反应补偿制度，进一步体现“四个最严”要求，补充完善法律责任，提高违法成本。</w:t>
      </w:r>
      <w:r>
        <w:rPr>
          <w:rFonts w:ascii="微软雅黑" w:hAnsi="微软雅黑" w:eastAsia="微软雅黑" w:hint="eastAsia"/>
          <w:b/>
          <w:color w:val="0033CC"/>
        </w:rPr>
        <w:t>[</w:t>
      </w:r>
      <w:r>
        <w:rPr>
          <w:rFonts w:ascii="Microsoft JhengHei" w:hAnsi="Microsoft JhengHei" w:eastAsia="Microsoft JhengHei" w:hint="eastAsia"/>
          <w:b/>
          <w:color w:val="0033CC"/>
          <w:spacing w:val="-14"/>
        </w:rPr>
        <w:t>返</w:t>
      </w:r>
      <w:r>
        <w:rPr>
          <w:rFonts w:ascii="Microsoft JhengHei" w:hAnsi="Microsoft JhengHei" w:eastAsia="Microsoft JhengHei" w:hint="eastAsia"/>
          <w:b/>
          <w:color w:val="0033CC"/>
          <w:w w:val="110"/>
        </w:rPr>
        <w:t>回目次</w:t>
      </w:r>
      <w:r>
        <w:rPr>
          <w:rFonts w:ascii="微软雅黑" w:hAnsi="微软雅黑" w:eastAsia="微软雅黑" w:hint="eastAsia"/>
          <w:b/>
          <w:color w:val="0033CC"/>
          <w:w w:val="110"/>
        </w:rPr>
        <w:t>]</w:t>
      </w:r>
    </w:p>
    <w:p>
      <w:pPr>
        <w:pStyle w:val="BodyText"/>
        <w:spacing w:before="4"/>
        <w:ind w:left="0"/>
        <w:rPr>
          <w:rFonts w:ascii="微软雅黑"/>
          <w:b/>
          <w:sz w:val="11"/>
        </w:rPr>
      </w:pPr>
    </w:p>
    <w:p>
      <w:pPr>
        <w:spacing w:after="0"/>
        <w:rPr>
          <w:rFonts w:ascii="微软雅黑"/>
          <w:sz w:val="11"/>
        </w:rPr>
        <w:sectPr>
          <w:type w:val="continuous"/>
          <w:pgSz w:w="11910" w:h="16850"/>
          <w:pgMar w:top="1100" w:bottom="1020" w:left="1060" w:right="660"/>
        </w:sectPr>
      </w:pPr>
    </w:p>
    <w:p>
      <w:pPr>
        <w:pStyle w:val="Heading2"/>
        <w:spacing w:before="54"/>
        <w:ind w:left="3198"/>
      </w:pPr>
      <w:r>
        <w:rPr>
          <w:spacing w:val="-2"/>
        </w:rPr>
        <w:t>药品成本价格调查将入法</w:t>
      </w:r>
    </w:p>
    <w:p>
      <w:pPr>
        <w:pStyle w:val="BodyText"/>
        <w:ind w:left="0"/>
        <w:rPr>
          <w:b/>
        </w:rPr>
      </w:pPr>
      <w:r>
        <w:rPr/>
        <w:br w:type="column"/>
      </w:r>
      <w:r>
        <w:rPr>
          <w:b/>
        </w:rPr>
      </w:r>
    </w:p>
    <w:p>
      <w:pPr>
        <w:pStyle w:val="BodyText"/>
        <w:spacing w:before="7"/>
        <w:ind w:left="0"/>
        <w:rPr>
          <w:b/>
          <w:sz w:val="23"/>
        </w:rPr>
      </w:pPr>
    </w:p>
    <w:p>
      <w:pPr>
        <w:pStyle w:val="Heading4"/>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6730" w:space="40"/>
            <w:col w:w="3420"/>
          </w:cols>
        </w:sectPr>
      </w:pPr>
    </w:p>
    <w:p>
      <w:pPr>
        <w:pStyle w:val="BodyText"/>
        <w:spacing w:line="297" w:lineRule="auto" w:before="96"/>
        <w:ind w:right="472" w:firstLine="480"/>
        <w:jc w:val="both"/>
      </w:pPr>
      <w:r>
        <w:rPr/>
        <w:t>4</w:t>
      </w:r>
      <w:r>
        <w:rPr>
          <w:spacing w:val="-41"/>
        </w:rPr>
        <w:t> 月 </w:t>
      </w:r>
      <w:r>
        <w:rPr/>
        <w:t>20</w:t>
      </w:r>
      <w:r>
        <w:rPr>
          <w:spacing w:val="-8"/>
        </w:rPr>
        <w:t> 日，在十三届全国人大常委会第十次会议上，药品管理法</w:t>
      </w:r>
      <w:r>
        <w:rPr/>
        <w:t>（修订草案）提交审</w:t>
      </w:r>
      <w:r>
        <w:rPr>
          <w:spacing w:val="-11"/>
        </w:rPr>
        <w:t>议。修订草案增加规定，国家对药品价格进行监测，必要时开展成本价格调查，加强药品价</w:t>
      </w:r>
      <w:r>
        <w:rPr/>
        <w:t>格监督检查。</w:t>
      </w:r>
    </w:p>
    <w:p>
      <w:pPr>
        <w:pStyle w:val="BodyText"/>
        <w:spacing w:line="297" w:lineRule="auto"/>
        <w:ind w:right="366" w:firstLine="480"/>
      </w:pPr>
      <w:r>
        <w:rPr>
          <w:spacing w:val="-2"/>
        </w:rPr>
        <w:t>十三届全国人大常委会第六次会议初次审议了药品管理法</w:t>
      </w:r>
      <w:r>
        <w:rPr/>
        <w:t>（修正草案</w:t>
      </w:r>
      <w:r>
        <w:rPr>
          <w:spacing w:val="-34"/>
        </w:rPr>
        <w:t>）</w:t>
      </w:r>
      <w:r>
        <w:rPr>
          <w:spacing w:val="-6"/>
        </w:rPr>
        <w:t>。有些全国人大</w:t>
      </w:r>
      <w:r>
        <w:rPr>
          <w:spacing w:val="-7"/>
        </w:rPr>
        <w:t>常委会组成人员、地方和社会公众提出，药品价格虚高和供应短缺是药品领域的突出问题， </w:t>
      </w:r>
      <w:r>
        <w:rPr>
          <w:spacing w:val="-6"/>
        </w:rPr>
        <w:t>建议采取措施加强药价监管，保障药品供应。全国人大宪法和法律委员会经研究，建议增加</w:t>
      </w:r>
      <w:r>
        <w:rPr>
          <w:spacing w:val="-7"/>
        </w:rPr>
        <w:t>规定：一是国家对药品价格进行监测，必要时开展成本价格调查，加强药品价格监督检查， 依法查处药品价格违法行为，维护药品价格秩序；二是国家实行短缺药品预警和清单管理制</w:t>
      </w:r>
      <w:r>
        <w:rPr>
          <w:spacing w:val="-11"/>
        </w:rPr>
        <w:t>度；三是国家鼓励短缺药品的研制和生产，对临床急需的短缺药品及原料药予以优先审评审</w:t>
      </w:r>
      <w:r>
        <w:rPr>
          <w:spacing w:val="-10"/>
        </w:rPr>
        <w:t>批；四是国务院有关部门可以对短缺药品采取适当的生产、价格干预和组织进口等措施，保</w:t>
      </w:r>
      <w:r>
        <w:rPr>
          <w:spacing w:val="-13"/>
        </w:rPr>
        <w:t>障药品供应；五是药品上市许可持有人、药品生产经营企业应当履行社会责任，保障药品的生产和供应。</w:t>
      </w:r>
    </w:p>
    <w:p>
      <w:pPr>
        <w:pStyle w:val="BodyText"/>
        <w:spacing w:line="297" w:lineRule="auto"/>
        <w:ind w:right="367" w:firstLine="480"/>
      </w:pPr>
      <w:r>
        <w:rPr>
          <w:spacing w:val="-1"/>
        </w:rPr>
        <w:t>全国人大宪法和法律委员会经研究，建议作如下修改：一是增加应受处罚的行为种类， </w:t>
      </w:r>
      <w:r>
        <w:rPr>
          <w:spacing w:val="-5"/>
        </w:rPr>
        <w:t>对未按照规定开展药品不良反应监测或者报告，境外企业在中国境内设立的药品上市许可持</w:t>
      </w:r>
      <w:r>
        <w:rPr>
          <w:spacing w:val="-9"/>
        </w:rPr>
        <w:t>有人代表机构或者指定的企业法人未依法履行相关义务，药品网络销售第三方平台未履行资</w:t>
      </w:r>
      <w:r>
        <w:rPr>
          <w:spacing w:val="-12"/>
        </w:rPr>
        <w:t>质审查、报告违法行为、停止提供网络销售平台服务等义务以及编造、散布虚假药品安全信</w:t>
      </w:r>
    </w:p>
    <w:p>
      <w:pPr>
        <w:spacing w:after="0" w:line="297" w:lineRule="auto"/>
        <w:sectPr>
          <w:type w:val="continuous"/>
          <w:pgSz w:w="11910" w:h="16850"/>
          <w:pgMar w:top="1100" w:bottom="1020" w:left="1060" w:right="660"/>
        </w:sectPr>
      </w:pPr>
    </w:p>
    <w:p>
      <w:pPr>
        <w:pStyle w:val="BodyText"/>
        <w:spacing w:line="295" w:lineRule="auto" w:before="65"/>
        <w:ind w:right="467"/>
        <w:jc w:val="both"/>
      </w:pPr>
      <w:r>
        <w:rPr>
          <w:spacing w:val="-8"/>
        </w:rPr>
        <w:t>息四类违法行为，增加规定相应的法律责任。二是加大处罚力度，对无证生产经营药品、生</w:t>
      </w:r>
      <w:r>
        <w:rPr>
          <w:spacing w:val="-14"/>
        </w:rPr>
        <w:t>产销售假药劣药、违反药品生产质量管理规范或者药品经营质量管理规范等违法行为，提高</w:t>
      </w:r>
      <w:r>
        <w:rPr>
          <w:spacing w:val="-9"/>
        </w:rPr>
        <w:t>罚款额度；落实处罚到人，对从事生产销售假药劣药单位的法定代表人、主要负责人、直接</w:t>
      </w:r>
      <w:r>
        <w:rPr>
          <w:spacing w:val="-15"/>
        </w:rPr>
        <w:t>负责的主管人员和其他责任人员，增加依法追究刑事责任的规定；对依法不认为是犯罪或者</w:t>
      </w:r>
      <w:r>
        <w:rPr>
          <w:spacing w:val="-8"/>
        </w:rPr>
        <w:t>不构成犯罪的，增加可以给予行政拘留的规定。三是增加惩罚性赔偿，生产假药、劣药或者</w:t>
      </w:r>
      <w:r>
        <w:rPr>
          <w:spacing w:val="-13"/>
        </w:rPr>
        <w:t>明知是假药、劣药仍然销售，造成死亡或者健康严重损害的，受害者可以主张相应的惩罚性</w:t>
      </w:r>
    </w:p>
    <w:p>
      <w:pPr>
        <w:spacing w:line="377" w:lineRule="exact" w:before="0"/>
        <w:ind w:left="217" w:right="0" w:firstLine="0"/>
        <w:jc w:val="left"/>
        <w:rPr>
          <w:rFonts w:ascii="微软雅黑" w:eastAsia="微软雅黑" w:hint="eastAsia"/>
          <w:b/>
          <w:sz w:val="24"/>
        </w:rPr>
      </w:pPr>
      <w:r>
        <w:rPr>
          <w:w w:val="110"/>
          <w:sz w:val="24"/>
        </w:rPr>
        <w:t>赔偿。</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BodyText"/>
        <w:spacing w:before="6"/>
        <w:ind w:left="0"/>
        <w:rPr>
          <w:rFonts w:ascii="微软雅黑"/>
          <w:b/>
          <w:sz w:val="10"/>
        </w:rPr>
      </w:pPr>
    </w:p>
    <w:p>
      <w:pPr>
        <w:spacing w:after="0"/>
        <w:rPr>
          <w:rFonts w:ascii="微软雅黑"/>
          <w:sz w:val="10"/>
        </w:rPr>
        <w:sectPr>
          <w:pgSz w:w="11910" w:h="16850"/>
          <w:pgMar w:header="906" w:footer="607" w:top="1100" w:bottom="800" w:left="1060" w:right="660"/>
        </w:sectPr>
      </w:pPr>
    </w:p>
    <w:p>
      <w:pPr>
        <w:pStyle w:val="Heading2"/>
        <w:spacing w:before="55"/>
        <w:ind w:left="3359"/>
      </w:pPr>
      <w:r>
        <w:rPr>
          <w:spacing w:val="-2"/>
        </w:rPr>
        <w:t>全链条发力保百姓用药</w:t>
      </w:r>
    </w:p>
    <w:p>
      <w:pPr>
        <w:pStyle w:val="BodyText"/>
        <w:ind w:left="0"/>
        <w:rPr>
          <w:b/>
        </w:rPr>
      </w:pPr>
      <w:r>
        <w:rPr/>
        <w:br w:type="column"/>
      </w:r>
      <w:r>
        <w:rPr>
          <w:b/>
        </w:rPr>
      </w:r>
    </w:p>
    <w:p>
      <w:pPr>
        <w:pStyle w:val="BodyText"/>
        <w:spacing w:before="8"/>
        <w:ind w:left="0"/>
        <w:rPr>
          <w:b/>
          <w:sz w:val="23"/>
        </w:rPr>
      </w:pPr>
    </w:p>
    <w:p>
      <w:pPr>
        <w:pStyle w:val="Heading4"/>
        <w:ind w:left="1178"/>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6570" w:space="40"/>
            <w:col w:w="3580"/>
          </w:cols>
        </w:sectPr>
      </w:pPr>
    </w:p>
    <w:p>
      <w:pPr>
        <w:pStyle w:val="BodyText"/>
        <w:spacing w:line="295" w:lineRule="auto" w:before="98"/>
        <w:ind w:right="467" w:firstLine="480"/>
        <w:jc w:val="both"/>
      </w:pPr>
      <w:r>
        <w:rPr>
          <w:spacing w:val="-12"/>
        </w:rPr>
        <w:t>近日，国务院医改领导小组秘书处、国家卫生健康委就深化药品领域改革典型经验举行</w:t>
      </w:r>
      <w:r>
        <w:rPr>
          <w:spacing w:val="-9"/>
        </w:rPr>
        <w:t>新闻发布会，在确保老百姓用药有保障、药价可接受、使用更安全等方面，全景介绍了相关进展和成果。</w:t>
      </w:r>
    </w:p>
    <w:p>
      <w:pPr>
        <w:pStyle w:val="Heading4"/>
        <w:spacing w:before="6"/>
        <w:ind w:left="697"/>
      </w:pPr>
      <w:r>
        <w:rPr/>
        <w:t>供应保障制度建立健全</w:t>
      </w:r>
    </w:p>
    <w:p>
      <w:pPr>
        <w:pStyle w:val="BodyText"/>
        <w:spacing w:line="297" w:lineRule="auto" w:before="71"/>
        <w:ind w:right="349" w:firstLine="480"/>
        <w:jc w:val="both"/>
      </w:pPr>
      <w:r>
        <w:rPr>
          <w:spacing w:val="-11"/>
        </w:rPr>
        <w:t>国家卫生健康委体制改革司副司长薛海宁介绍，深化医改以来，特别是党的十八大以来， </w:t>
      </w:r>
      <w:r>
        <w:rPr>
          <w:spacing w:val="-16"/>
        </w:rPr>
        <w:t>各地、各相关部门着力推进药品生产、流通、使用全流程改革，建立完善国家基本药物制度， </w:t>
      </w:r>
      <w:r>
        <w:rPr/>
        <w:t>开展了仿制药一致性评价、抗癌药专项谈判、国家组织药品集中采购和使用等一系列工作， 药品供应保障制度进一步建立健全。</w:t>
      </w:r>
    </w:p>
    <w:p>
      <w:pPr>
        <w:pStyle w:val="BodyText"/>
        <w:spacing w:line="297" w:lineRule="auto"/>
        <w:ind w:right="470" w:firstLine="480"/>
        <w:jc w:val="both"/>
      </w:pPr>
      <w:r>
        <w:rPr>
          <w:spacing w:val="-9"/>
        </w:rPr>
        <w:t>发布会信息显示，为进一步完善基本药物制度，国家卫生健康委、国家中医药管理局出</w:t>
      </w:r>
      <w:r>
        <w:rPr/>
        <w:t>台《国家基本药物目录（2018</w:t>
      </w:r>
      <w:r>
        <w:rPr>
          <w:spacing w:val="-20"/>
        </w:rPr>
        <w:t> 年版</w:t>
      </w:r>
      <w:r>
        <w:rPr/>
        <w:t>）</w:t>
      </w:r>
      <w:r>
        <w:rPr>
          <w:spacing w:val="-5"/>
        </w:rPr>
        <w:t>》，基本药物数量由原来的 </w:t>
      </w:r>
      <w:r>
        <w:rPr/>
        <w:t>520</w:t>
      </w:r>
      <w:r>
        <w:rPr>
          <w:spacing w:val="-20"/>
        </w:rPr>
        <w:t> 种增加到 </w:t>
      </w:r>
      <w:r>
        <w:rPr/>
        <w:t>685</w:t>
      </w:r>
      <w:r>
        <w:rPr>
          <w:spacing w:val="-15"/>
        </w:rPr>
        <w:t> 种，并推动医疗卫生机构全面配备、优先使用基本药物，促进上下级医疗机构用药衔接。</w:t>
      </w:r>
    </w:p>
    <w:p>
      <w:pPr>
        <w:pStyle w:val="BodyText"/>
        <w:spacing w:line="297" w:lineRule="auto"/>
        <w:ind w:right="467" w:firstLine="480"/>
        <w:jc w:val="both"/>
      </w:pPr>
      <w:r>
        <w:rPr>
          <w:spacing w:val="-6"/>
        </w:rPr>
        <w:t>基本药物是老百姓可以放心使用的药品，其覆盖面如何，直接关系老百姓的获得感。山东省卫生健康委副主任马立新介绍，山东是人口大省，对基本药物的需求比较大。为此，山</w:t>
      </w:r>
      <w:r>
        <w:rPr>
          <w:spacing w:val="-11"/>
        </w:rPr>
        <w:t>东省合理确定了各级各类医疗机构优先配备使用基本药物的参考指标；在省药采平台明确标</w:t>
      </w:r>
      <w:r>
        <w:rPr>
          <w:spacing w:val="-8"/>
        </w:rPr>
        <w:t>注国家基本药物，提示医疗机构优先采购、优先使用；在强化合理用药的基础上，不断优化基层使用基本药物的优惠政策。</w:t>
      </w:r>
    </w:p>
    <w:p>
      <w:pPr>
        <w:pStyle w:val="BodyText"/>
        <w:spacing w:line="297" w:lineRule="auto"/>
        <w:ind w:right="367" w:firstLine="480"/>
      </w:pPr>
      <w:r>
        <w:rPr>
          <w:spacing w:val="-4"/>
        </w:rPr>
        <w:t>“在不断提升基本药物供应的同时也要确保质量和安全。”马立新表示，山东省通过加</w:t>
      </w:r>
      <w:r>
        <w:rPr>
          <w:spacing w:val="-10"/>
        </w:rPr>
        <w:t>强基本药物不良反应监测、强化药品质量问题安全预警和应急处置，来保障基本药物是“安</w:t>
      </w:r>
      <w:r>
        <w:rPr>
          <w:spacing w:val="-11"/>
        </w:rPr>
        <w:t>全药”“放心药”。同时，针对短缺药品，山东省初步建立了短缺药品信息监测直报系统。</w:t>
      </w:r>
      <w:r>
        <w:rPr>
          <w:spacing w:val="-3"/>
        </w:rPr>
        <w:t>目前，监测哨点范围已覆盖该省各级公立医疗机构、省内 </w:t>
      </w:r>
      <w:r>
        <w:rPr/>
        <w:t>20</w:t>
      </w:r>
      <w:r>
        <w:rPr>
          <w:spacing w:val="-8"/>
        </w:rPr>
        <w:t> 家药品生产企业、</w:t>
      </w:r>
      <w:r>
        <w:rPr/>
        <w:t>5</w:t>
      </w:r>
      <w:r>
        <w:rPr>
          <w:spacing w:val="-12"/>
        </w:rPr>
        <w:t> 家药品流通企业，成功预警和协调应对了阿糖胞苷注射剂、硝酸甘油等药品的短缺问题。</w:t>
      </w:r>
    </w:p>
    <w:p>
      <w:pPr>
        <w:pStyle w:val="BodyText"/>
        <w:spacing w:line="297" w:lineRule="auto"/>
        <w:ind w:right="467" w:firstLine="480"/>
        <w:jc w:val="both"/>
      </w:pPr>
      <w:r>
        <w:rPr>
          <w:spacing w:val="-6"/>
        </w:rPr>
        <w:t>江苏省药品监督管理局局长王越介绍，围绕“保药品安全”中心任务，江苏省加快完善</w:t>
      </w:r>
      <w:r>
        <w:rPr>
          <w:spacing w:val="-19"/>
        </w:rPr>
        <w:t>药品监管体制机制，构建严密高效的监管体系，通过建立基于风险管理的监管制度、构建“发</w:t>
      </w:r>
      <w:r>
        <w:rPr>
          <w:spacing w:val="-11"/>
        </w:rPr>
        <w:t>现问题、跟踪问题、解决问题”的闭环监管模式、完善稽查办案工作机制，切实保障人民群</w:t>
      </w:r>
      <w:r>
        <w:rPr/>
        <w:t>众用药安全。</w:t>
      </w:r>
    </w:p>
    <w:p>
      <w:pPr>
        <w:pStyle w:val="Heading4"/>
        <w:spacing w:line="302" w:lineRule="exact"/>
        <w:ind w:left="697"/>
      </w:pPr>
      <w:r>
        <w:rPr/>
        <w:t>群众用药费用负担减轻</w:t>
      </w:r>
    </w:p>
    <w:p>
      <w:pPr>
        <w:spacing w:after="0" w:line="302" w:lineRule="exact"/>
        <w:sectPr>
          <w:type w:val="continuous"/>
          <w:pgSz w:w="11910" w:h="16850"/>
          <w:pgMar w:top="1100" w:bottom="1020" w:left="1060" w:right="660"/>
        </w:sectPr>
      </w:pPr>
    </w:p>
    <w:p>
      <w:pPr>
        <w:pStyle w:val="BodyText"/>
        <w:spacing w:line="295" w:lineRule="auto" w:before="65"/>
        <w:ind w:right="469" w:firstLine="480"/>
        <w:jc w:val="both"/>
      </w:pPr>
      <w:r>
        <w:rPr>
          <w:spacing w:val="-11"/>
        </w:rPr>
        <w:t>薛海宁介绍，近年来，国务院和相关部门不断加强药品供应保障顶层设计，围绕药品研</w:t>
      </w:r>
      <w:r>
        <w:rPr>
          <w:spacing w:val="-12"/>
        </w:rPr>
        <w:t>发、生产、流通和使用全链条各个环节，推进供给侧结构性改革，大幅提高了我国药品的质</w:t>
      </w:r>
      <w:r>
        <w:rPr/>
        <w:t>量和可及性，进一步降低了虚高药价，减轻了群众用药费用负担。</w:t>
      </w:r>
    </w:p>
    <w:p>
      <w:pPr>
        <w:pStyle w:val="BodyText"/>
        <w:spacing w:before="5"/>
        <w:ind w:left="697"/>
        <w:jc w:val="both"/>
      </w:pPr>
      <w:r>
        <w:rPr/>
        <w:t>2018 年，国务院决定对进口抗癌药实行零关税。开展抗癌药医保准入专项谈判，新增</w:t>
      </w:r>
    </w:p>
    <w:p>
      <w:pPr>
        <w:pStyle w:val="BodyText"/>
        <w:spacing w:line="297" w:lineRule="auto" w:before="72"/>
        <w:ind w:right="469"/>
        <w:jc w:val="both"/>
      </w:pPr>
      <w:r>
        <w:rPr/>
        <w:t>17</w:t>
      </w:r>
      <w:r>
        <w:rPr>
          <w:spacing w:val="-11"/>
        </w:rPr>
        <w:t> 种抗癌药进入医保目录，价格平均降幅为 </w:t>
      </w:r>
      <w:r>
        <w:rPr/>
        <w:t>56.7%</w:t>
      </w:r>
      <w:r>
        <w:rPr>
          <w:spacing w:val="-4"/>
        </w:rPr>
        <w:t>。开展抗癌药省级专项采购，共有 </w:t>
      </w:r>
      <w:r>
        <w:rPr/>
        <w:t>1714 </w:t>
      </w:r>
      <w:r>
        <w:rPr>
          <w:spacing w:val="-5"/>
        </w:rPr>
        <w:t>个药品降价，平均降幅达 </w:t>
      </w:r>
      <w:r>
        <w:rPr/>
        <w:t>10%</w:t>
      </w:r>
      <w:r>
        <w:rPr>
          <w:spacing w:val="-5"/>
        </w:rPr>
        <w:t>。国家组织在北京、上海等 </w:t>
      </w:r>
      <w:r>
        <w:rPr/>
        <w:t>11</w:t>
      </w:r>
      <w:r>
        <w:rPr>
          <w:spacing w:val="-8"/>
        </w:rPr>
        <w:t> 个城市开展国家药品集中采购</w:t>
      </w:r>
      <w:r>
        <w:rPr>
          <w:spacing w:val="-11"/>
        </w:rPr>
        <w:t>和使用试点，试点地区中标药品价格平均降幅达 </w:t>
      </w:r>
      <w:r>
        <w:rPr>
          <w:spacing w:val="-4"/>
        </w:rPr>
        <w:t>52%，一些非试点地区价格联动，部分未中</w:t>
      </w:r>
      <w:r>
        <w:rPr/>
        <w:t>选品种企业主动降价争取试点以外的市场，药价整体呈明显降低趋势。</w:t>
      </w:r>
    </w:p>
    <w:p>
      <w:pPr>
        <w:pStyle w:val="BodyText"/>
        <w:spacing w:line="297" w:lineRule="auto"/>
        <w:ind w:right="467" w:firstLine="480"/>
        <w:jc w:val="both"/>
      </w:pPr>
      <w:r>
        <w:rPr>
          <w:spacing w:val="-6"/>
        </w:rPr>
        <w:t>推进仿制药研发和生产是降低药价的有效手段之一。发布会信息显示，目前，我国通过</w:t>
      </w:r>
      <w:r>
        <w:rPr>
          <w:spacing w:val="-5"/>
        </w:rPr>
        <w:t>一致性评价的药品品种已达 </w:t>
      </w:r>
      <w:r>
        <w:rPr/>
        <w:t>239</w:t>
      </w:r>
      <w:r>
        <w:rPr>
          <w:spacing w:val="-20"/>
        </w:rPr>
        <w:t> 个。“以江苏省为例，已有 </w:t>
      </w:r>
      <w:r>
        <w:rPr/>
        <w:t>131</w:t>
      </w:r>
      <w:r>
        <w:rPr>
          <w:spacing w:val="-9"/>
        </w:rPr>
        <w:t> 个品规完成研究并被正式受</w:t>
      </w:r>
      <w:r>
        <w:rPr>
          <w:spacing w:val="-2"/>
        </w:rPr>
        <w:t>理，</w:t>
      </w:r>
      <w:r>
        <w:rPr>
          <w:spacing w:val="-4"/>
        </w:rPr>
        <w:t>17</w:t>
      </w:r>
      <w:r>
        <w:rPr>
          <w:spacing w:val="-21"/>
        </w:rPr>
        <w:t> 家企业的 </w:t>
      </w:r>
      <w:r>
        <w:rPr/>
        <w:t>40</w:t>
      </w:r>
      <w:r>
        <w:rPr>
          <w:spacing w:val="-10"/>
        </w:rPr>
        <w:t> 个品规通过了评价，数量排名全国第一。”王越介绍，近年来，江苏省</w:t>
      </w:r>
      <w:r>
        <w:rPr>
          <w:spacing w:val="-14"/>
        </w:rPr>
        <w:t>出台多项政策，优化生物技术与医药产业发展布局，鼓励研发创新，推动更多的新药好药上</w:t>
      </w:r>
      <w:r>
        <w:rPr>
          <w:spacing w:val="-8"/>
        </w:rPr>
        <w:t>市，降低患者用药费用负担。“比如，江苏省内生产的某种药品，市场占有率达 </w:t>
      </w:r>
      <w:r>
        <w:rPr>
          <w:spacing w:val="-3"/>
        </w:rPr>
        <w:t>45%</w:t>
      </w:r>
      <w:r>
        <w:rPr>
          <w:spacing w:val="-5"/>
        </w:rPr>
        <w:t>，但价</w:t>
      </w:r>
      <w:r>
        <w:rPr>
          <w:spacing w:val="-9"/>
        </w:rPr>
        <w:t>格是原研药的 </w:t>
      </w:r>
      <w:r>
        <w:rPr/>
        <w:t>1/10。”</w:t>
      </w:r>
    </w:p>
    <w:p>
      <w:pPr>
        <w:pStyle w:val="Heading4"/>
        <w:spacing w:line="300" w:lineRule="exact"/>
        <w:ind w:left="697"/>
      </w:pPr>
      <w:r>
        <w:rPr/>
        <w:t>多措并举促进合理用药</w:t>
      </w:r>
    </w:p>
    <w:p>
      <w:pPr>
        <w:pStyle w:val="BodyText"/>
        <w:spacing w:line="295" w:lineRule="auto" w:before="68"/>
        <w:ind w:right="365" w:firstLine="480"/>
      </w:pPr>
      <w:r>
        <w:rPr/>
        <w:t>发布会信息显示，我国有序加快境外已上市新药在境内上市审批，针对近十年在美国、欧盟或日本上市但未在我国境内上市的，用于治疗罕见病、防治严重危及生命的临床急需药品建立专门的审评审批通道，大幅简化审评审批程序，缩短审批周期。</w:t>
      </w:r>
    </w:p>
    <w:p>
      <w:pPr>
        <w:pStyle w:val="BodyText"/>
        <w:spacing w:line="297" w:lineRule="auto" w:before="6"/>
        <w:ind w:right="349" w:firstLine="480"/>
      </w:pPr>
      <w:r>
        <w:rPr>
          <w:spacing w:val="-7"/>
        </w:rPr>
        <w:t>如何让这些药品用得安全，用得合理？首都医科大学附属北京朝阳医院总药师、药事部</w:t>
      </w:r>
      <w:r>
        <w:rPr>
          <w:spacing w:val="-9"/>
        </w:rPr>
        <w:t>主任刘丽宏介绍，</w:t>
      </w:r>
      <w:r>
        <w:rPr>
          <w:spacing w:val="-17"/>
        </w:rPr>
        <w:t>2012</w:t>
      </w:r>
      <w:r>
        <w:rPr>
          <w:spacing w:val="-40"/>
        </w:rPr>
        <w:t> 年 </w:t>
      </w:r>
      <w:r>
        <w:rPr/>
        <w:t>10</w:t>
      </w:r>
      <w:r>
        <w:rPr>
          <w:spacing w:val="-14"/>
        </w:rPr>
        <w:t> 月，北京朝阳医院在国内医疗机构中首家设立总药师工作岗位， </w:t>
      </w:r>
      <w:r>
        <w:rPr>
          <w:spacing w:val="-6"/>
        </w:rPr>
        <w:t>聘任药事部主任为总药师，参与医院的经营管理与决策；组建药师团队，在门诊为患者提供</w:t>
      </w:r>
      <w:r>
        <w:rPr>
          <w:spacing w:val="-12"/>
        </w:rPr>
        <w:t>个性化精准用药方案，解决患者用药“疑难杂症”，并建立基于中国人慢病用药的药物基因组学数据库，夯实精准用药基础。</w:t>
      </w:r>
    </w:p>
    <w:p>
      <w:pPr>
        <w:pStyle w:val="BodyText"/>
        <w:spacing w:line="299" w:lineRule="exact"/>
        <w:ind w:left="697"/>
      </w:pPr>
      <w:r>
        <w:rPr/>
        <w:t>“2018 年上半年的精准用药门诊抽样数据显示，504 名患者诊后例均减少用药 0.5 种，</w:t>
      </w:r>
    </w:p>
    <w:p>
      <w:pPr>
        <w:pStyle w:val="BodyText"/>
        <w:spacing w:line="295" w:lineRule="auto" w:before="74"/>
        <w:ind w:right="367"/>
      </w:pPr>
      <w:r>
        <w:rPr>
          <w:spacing w:val="-3"/>
        </w:rPr>
        <w:t>门诊精准用药服务平均每月为患者节省药费 </w:t>
      </w:r>
      <w:r>
        <w:rPr/>
        <w:t>367.3</w:t>
      </w:r>
      <w:r>
        <w:rPr>
          <w:spacing w:val="-14"/>
        </w:rPr>
        <w:t> 元。”刘丽宏说，“近年来，北京朝阳医</w:t>
      </w:r>
      <w:r>
        <w:rPr>
          <w:spacing w:val="-15"/>
        </w:rPr>
        <w:t>院以强化合理用药管理为重点，不断健全完善内部管理制度，促进了医院运营效率的提升， </w:t>
      </w:r>
      <w:r>
        <w:rPr>
          <w:spacing w:val="-4"/>
        </w:rPr>
        <w:t>药品费用逐年降低，住院例均药费从 </w:t>
      </w:r>
      <w:r>
        <w:rPr/>
        <w:t>2012</w:t>
      </w:r>
      <w:r>
        <w:rPr>
          <w:spacing w:val="-30"/>
        </w:rPr>
        <w:t> 年的 </w:t>
      </w:r>
      <w:r>
        <w:rPr/>
        <w:t>5666</w:t>
      </w:r>
      <w:r>
        <w:rPr>
          <w:spacing w:val="-24"/>
        </w:rPr>
        <w:t> 元降至 </w:t>
      </w:r>
      <w:r>
        <w:rPr/>
        <w:t>2018</w:t>
      </w:r>
      <w:r>
        <w:rPr>
          <w:spacing w:val="-30"/>
        </w:rPr>
        <w:t> 年的 </w:t>
      </w:r>
      <w:r>
        <w:rPr/>
        <w:t>4041.4</w:t>
      </w:r>
      <w:r>
        <w:rPr>
          <w:spacing w:val="-15"/>
        </w:rPr>
        <w:t> 元。”</w:t>
      </w:r>
    </w:p>
    <w:p>
      <w:pPr>
        <w:pStyle w:val="BodyText"/>
        <w:spacing w:line="295" w:lineRule="auto" w:before="6"/>
        <w:ind w:right="367" w:firstLine="480"/>
      </w:pPr>
      <w:r>
        <w:rPr>
          <w:spacing w:val="-1"/>
        </w:rPr>
        <w:t>据了解，国家卫生健康委、国家中医药管理局已出台加快药学服务高质量发展的意见， </w:t>
      </w:r>
      <w:r>
        <w:rPr>
          <w:spacing w:val="-5"/>
        </w:rPr>
        <w:t>要求加强药学人员配备培养和队伍建设；加强处方审核和处方点评，将点评结果纳入对医疗</w:t>
      </w:r>
      <w:r>
        <w:rPr>
          <w:spacing w:val="-11"/>
        </w:rPr>
        <w:t>机构的绩效考核指标中；重点监控抗生素、辅助性药品、营养性药品的使用，对不合理的处</w:t>
      </w:r>
    </w:p>
    <w:p>
      <w:pPr>
        <w:pStyle w:val="BodyText"/>
        <w:spacing w:line="338" w:lineRule="exact"/>
        <w:rPr>
          <w:rFonts w:ascii="Microsoft JhengHei" w:eastAsia="Microsoft JhengHei" w:hint="eastAsia"/>
          <w:b/>
        </w:rPr>
      </w:pPr>
      <w:r>
        <w:rPr/>
        <w:t>方医生进行公示并建立约谈制度，采取多种措施促进合理用药，降低患者药费负担。</w:t>
      </w:r>
      <w:r>
        <w:rPr>
          <w:rFonts w:ascii="微软雅黑" w:eastAsia="微软雅黑" w:hint="eastAsia"/>
          <w:b/>
          <w:color w:val="0033CC"/>
        </w:rPr>
        <w:t>[</w:t>
      </w:r>
      <w:r>
        <w:rPr>
          <w:rFonts w:ascii="Microsoft JhengHei" w:eastAsia="Microsoft JhengHei" w:hint="eastAsia"/>
          <w:b/>
          <w:color w:val="0033CC"/>
        </w:rPr>
        <w:t>返回</w:t>
      </w:r>
    </w:p>
    <w:p>
      <w:pPr>
        <w:pStyle w:val="Heading4"/>
        <w:spacing w:line="412" w:lineRule="exact"/>
        <w:ind w:left="217"/>
        <w:rPr>
          <w:rFonts w:ascii="微软雅黑" w:eastAsia="微软雅黑" w:hint="eastAsia"/>
        </w:rPr>
      </w:pPr>
      <w:r>
        <w:rPr>
          <w:rFonts w:ascii="Microsoft JhengHei" w:eastAsia="Microsoft JhengHei" w:hint="eastAsia"/>
          <w:color w:val="0033CC"/>
          <w:w w:val="110"/>
        </w:rPr>
        <w:t>目次</w:t>
      </w:r>
      <w:r>
        <w:rPr>
          <w:rFonts w:ascii="微软雅黑" w:eastAsia="微软雅黑" w:hint="eastAsia"/>
          <w:color w:val="0033CC"/>
          <w:w w:val="110"/>
        </w:rPr>
        <w:t>]</w:t>
      </w:r>
    </w:p>
    <w:p>
      <w:pPr>
        <w:pStyle w:val="BodyText"/>
        <w:spacing w:before="6"/>
        <w:ind w:left="0"/>
        <w:rPr>
          <w:rFonts w:ascii="微软雅黑"/>
          <w:b/>
          <w:sz w:val="13"/>
        </w:rPr>
      </w:pPr>
    </w:p>
    <w:p>
      <w:pPr>
        <w:spacing w:before="0"/>
        <w:ind w:left="0" w:right="259" w:firstLine="0"/>
        <w:jc w:val="center"/>
        <w:rPr>
          <w:b/>
          <w:sz w:val="32"/>
        </w:rPr>
      </w:pPr>
      <w:r>
        <w:rPr>
          <w:b/>
          <w:sz w:val="32"/>
        </w:rPr>
        <w:t>“4+7”药品集中采购试点效果超预期</w:t>
      </w:r>
    </w:p>
    <w:p>
      <w:pPr>
        <w:spacing w:before="82"/>
        <w:ind w:left="241" w:right="14" w:firstLine="0"/>
        <w:jc w:val="center"/>
        <w:rPr>
          <w:rFonts w:ascii="Times New Roman" w:eastAsia="Times New Roman"/>
          <w:sz w:val="21"/>
        </w:rPr>
      </w:pPr>
      <w:r>
        <w:rPr>
          <w:sz w:val="21"/>
        </w:rPr>
        <w:t>已完成约定采购总量的 </w:t>
      </w:r>
      <w:r>
        <w:rPr>
          <w:rFonts w:ascii="Times New Roman" w:eastAsia="Times New Roman"/>
          <w:sz w:val="21"/>
        </w:rPr>
        <w:t>27.31%</w:t>
      </w:r>
    </w:p>
    <w:p>
      <w:pPr>
        <w:pStyle w:val="BodyText"/>
        <w:spacing w:before="6"/>
        <w:ind w:left="0"/>
        <w:rPr>
          <w:rFonts w:ascii="Times New Roman"/>
          <w:sz w:val="9"/>
        </w:rPr>
      </w:pPr>
    </w:p>
    <w:p>
      <w:pPr>
        <w:pStyle w:val="Heading4"/>
        <w:spacing w:before="66"/>
        <w:ind w:left="0" w:right="46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547" w:firstLine="480"/>
      </w:pPr>
      <w:r>
        <w:rPr/>
        <w:t>4</w:t>
      </w:r>
      <w:r>
        <w:rPr>
          <w:spacing w:val="-41"/>
        </w:rPr>
        <w:t> 月 </w:t>
      </w:r>
      <w:r>
        <w:rPr/>
        <w:t>16</w:t>
      </w:r>
      <w:r>
        <w:rPr>
          <w:spacing w:val="-9"/>
        </w:rPr>
        <w:t> 日，国务院新闻办举行国务院政策例行吹风会，介绍短缺药品供应保障和药品</w:t>
      </w:r>
      <w:r>
        <w:rPr/>
        <w:t>集中采购试点、医疗救助工作有关情况并答记者问。</w:t>
      </w:r>
    </w:p>
    <w:p>
      <w:pPr>
        <w:spacing w:after="0" w:line="297" w:lineRule="auto"/>
        <w:sectPr>
          <w:pgSz w:w="11910" w:h="16850"/>
          <w:pgMar w:header="906" w:footer="607" w:top="1100" w:bottom="800" w:left="1060" w:right="660"/>
        </w:sectPr>
      </w:pPr>
    </w:p>
    <w:p>
      <w:pPr>
        <w:pStyle w:val="BodyText"/>
        <w:spacing w:before="65"/>
        <w:ind w:left="697"/>
      </w:pPr>
      <w:r>
        <w:rPr/>
        <w:t>国家医疗保障局副局长陈金甫在吹风会上介绍，到 4 月 1 日，11 个试点城市已全面启</w:t>
      </w:r>
    </w:p>
    <w:p>
      <w:pPr>
        <w:pStyle w:val="BodyText"/>
        <w:spacing w:line="297" w:lineRule="auto" w:before="72"/>
        <w:ind w:right="425"/>
      </w:pPr>
      <w:r>
        <w:rPr>
          <w:spacing w:val="-16"/>
        </w:rPr>
        <w:t>动国家药品集中采购。截至 </w:t>
      </w:r>
      <w:r>
        <w:rPr/>
        <w:t>4</w:t>
      </w:r>
      <w:r>
        <w:rPr>
          <w:spacing w:val="-47"/>
        </w:rPr>
        <w:t> 月 </w:t>
      </w:r>
      <w:r>
        <w:rPr/>
        <w:t>14</w:t>
      </w:r>
      <w:r>
        <w:rPr>
          <w:spacing w:val="-47"/>
        </w:rPr>
        <w:t> 日 </w:t>
      </w:r>
      <w:r>
        <w:rPr>
          <w:spacing w:val="-3"/>
        </w:rPr>
        <w:t>2</w:t>
      </w:r>
      <w:r>
        <w:rPr/>
        <w:t>4</w:t>
      </w:r>
      <w:r>
        <w:rPr>
          <w:spacing w:val="-64"/>
        </w:rPr>
        <w:t> 时，</w:t>
      </w:r>
      <w:r>
        <w:rPr>
          <w:spacing w:val="-3"/>
        </w:rPr>
        <w:t>2</w:t>
      </w:r>
      <w:r>
        <w:rPr/>
        <w:t>5</w:t>
      </w:r>
      <w:r>
        <w:rPr>
          <w:spacing w:val="-20"/>
        </w:rPr>
        <w:t> 个中选品种在 </w:t>
      </w:r>
      <w:r>
        <w:rPr/>
        <w:t>11</w:t>
      </w:r>
      <w:r>
        <w:rPr>
          <w:spacing w:val="-14"/>
        </w:rPr>
        <w:t> 个试点城市采购总量达 </w:t>
      </w:r>
      <w:r>
        <w:rPr/>
        <w:t>4.38亿片/</w:t>
      </w:r>
      <w:r>
        <w:rPr>
          <w:spacing w:val="-9"/>
        </w:rPr>
        <w:t>支，总金额达 </w:t>
      </w:r>
      <w:r>
        <w:rPr/>
        <w:t>5.33</w:t>
      </w:r>
      <w:r>
        <w:rPr>
          <w:spacing w:val="-12"/>
        </w:rPr>
        <w:t> 亿元，完成约定采购总量的 </w:t>
      </w:r>
      <w:r>
        <w:rPr/>
        <w:t>27.31%。中标药品质量和供应得到保</w:t>
      </w:r>
      <w:r>
        <w:rPr>
          <w:spacing w:val="-10"/>
        </w:rPr>
        <w:t>障，使用量超出预期。从试点的效果来看，试点地区肿瘤、乙肝、高血压、精神病等重大疾</w:t>
      </w:r>
      <w:r>
        <w:rPr>
          <w:spacing w:val="-12"/>
        </w:rPr>
        <w:t>病患者获得了质优价廉的药品，医疗费用显著下降。试点地区中标药品价格平均降幅 </w:t>
      </w:r>
      <w:r>
        <w:rPr>
          <w:spacing w:val="-5"/>
        </w:rPr>
        <w:t>52%， 单个药品价格有些降幅达到 </w:t>
      </w:r>
      <w:r>
        <w:rPr/>
        <w:t>96%。</w:t>
      </w:r>
    </w:p>
    <w:p>
      <w:pPr>
        <w:pStyle w:val="BodyText"/>
        <w:spacing w:line="297" w:lineRule="auto"/>
        <w:ind w:right="469" w:firstLine="600"/>
      </w:pPr>
      <w:r>
        <w:rPr/>
        <w:t>“4+7</w:t>
      </w:r>
      <w:r>
        <w:rPr>
          <w:spacing w:val="-10"/>
        </w:rPr>
        <w:t>”试点实施后，出现了试点地区和非试点地区同一药品价格差距悬殊的情况。对</w:t>
      </w:r>
      <w:r>
        <w:rPr/>
        <w:t>此，陈金甫认为，这是局部地区试点产生的必然现象，“‘4+7’药品集中采购切中了药价虚高的核心问题、关键问题，11</w:t>
      </w:r>
      <w:r>
        <w:rPr>
          <w:spacing w:val="-8"/>
        </w:rPr>
        <w:t> 个试点地区百姓首先享受到了改革的红利。”他表示</w:t>
      </w:r>
      <w:r>
        <w:rPr/>
        <w:t>，4 </w:t>
      </w:r>
      <w:r>
        <w:rPr>
          <w:spacing w:val="-30"/>
        </w:rPr>
        <w:t>月 </w:t>
      </w:r>
      <w:r>
        <w:rPr/>
        <w:t>3</w:t>
      </w:r>
      <w:r>
        <w:rPr>
          <w:spacing w:val="-8"/>
        </w:rPr>
        <w:t> 日召开的国务院常务会议已经作出部署，要在总结试点经验基础上及时扩大试点。</w:t>
      </w:r>
    </w:p>
    <w:p>
      <w:pPr>
        <w:pStyle w:val="BodyText"/>
        <w:spacing w:line="297" w:lineRule="auto"/>
        <w:ind w:right="467" w:firstLine="480"/>
        <w:jc w:val="both"/>
      </w:pPr>
      <w:r>
        <w:rPr>
          <w:spacing w:val="-9"/>
        </w:rPr>
        <w:t>在短缺药供应方面，国家卫生健康委副主任曾益新介绍，去年我国重点解决了一批临床</w:t>
      </w:r>
      <w:r>
        <w:rPr>
          <w:spacing w:val="-8"/>
        </w:rPr>
        <w:t>急需的短缺药品供应问题，国家药品监管局将临床急需、市场短缺药品的注册申请纳入优先</w:t>
      </w:r>
      <w:r>
        <w:rPr>
          <w:spacing w:val="-11"/>
        </w:rPr>
        <w:t>审评审批范围，推动建立药品停产报告制度。工信部牵头组织认定三个联合体作为小品种药</w:t>
      </w:r>
      <w:r>
        <w:rPr>
          <w:spacing w:val="-5"/>
        </w:rPr>
        <w:t>集中生产基地，可保障大约 </w:t>
      </w:r>
      <w:r>
        <w:rPr/>
        <w:t>60</w:t>
      </w:r>
      <w:r>
        <w:rPr>
          <w:spacing w:val="-8"/>
        </w:rPr>
        <w:t> 种易短缺药品的稳定供应，持续推进中央和地方两级常态短缺药品储备。</w:t>
      </w:r>
    </w:p>
    <w:p>
      <w:pPr>
        <w:pStyle w:val="BodyText"/>
        <w:spacing w:line="295" w:lineRule="auto"/>
        <w:ind w:right="367" w:firstLine="480"/>
      </w:pPr>
      <w:r>
        <w:rPr>
          <w:spacing w:val="-4"/>
        </w:rPr>
        <w:t>国家卫健委曾出台文件明确，要在 </w:t>
      </w:r>
      <w:r>
        <w:rPr/>
        <w:t>2020</w:t>
      </w:r>
      <w:r>
        <w:rPr>
          <w:spacing w:val="-8"/>
        </w:rPr>
        <w:t> 年建成短缺药品供应保障制度。曾益新介绍， </w:t>
      </w:r>
      <w:r>
        <w:rPr>
          <w:spacing w:val="-13"/>
        </w:rPr>
        <w:t>今年内这个系统就能建设得比较完善，能敏锐、及时地发现出现的药品短缺情况，及时监测</w:t>
      </w:r>
      <w:r>
        <w:rPr>
          <w:spacing w:val="-14"/>
        </w:rPr>
        <w:t>医疗机构药品短缺情况。近期还要进一步拓展监测功能，如药厂停产、原料药生产等情况， </w:t>
      </w:r>
      <w:r>
        <w:rPr>
          <w:spacing w:val="-7"/>
        </w:rPr>
        <w:t>以及建立停产报告制度。同时，还要建立用药清单，保障原料药的供应，推进市场撮合和小</w:t>
      </w:r>
      <w:r>
        <w:rPr>
          <w:spacing w:val="-13"/>
        </w:rPr>
        <w:t>品种集中生产基地的建设，加大药品价格监管力度，完善药品采购政策和储备机制，进一步</w:t>
      </w:r>
      <w:r>
        <w:rPr>
          <w:spacing w:val="-17"/>
        </w:rPr>
        <w:t>提高药品的研发能力和仿制生产能力。“通过这些措施，形成短缺药品供应保障体系，从根</w:t>
      </w:r>
    </w:p>
    <w:p>
      <w:pPr>
        <w:spacing w:line="377" w:lineRule="exact" w:before="0"/>
        <w:ind w:left="217" w:right="0" w:firstLine="0"/>
        <w:jc w:val="left"/>
        <w:rPr>
          <w:rFonts w:ascii="微软雅黑" w:hAnsi="微软雅黑" w:eastAsia="微软雅黑" w:hint="eastAsia"/>
          <w:b/>
          <w:sz w:val="24"/>
        </w:rPr>
      </w:pPr>
      <w:r>
        <w:rPr>
          <w:w w:val="110"/>
          <w:sz w:val="24"/>
        </w:rPr>
        <w:t>本上解决药品短缺问题。”曾益新表示。</w:t>
      </w:r>
      <w:r>
        <w:rPr>
          <w:rFonts w:ascii="微软雅黑" w:hAnsi="微软雅黑" w:eastAsia="微软雅黑" w:hint="eastAsia"/>
          <w:b/>
          <w:color w:val="0033CC"/>
          <w:w w:val="110"/>
          <w:sz w:val="24"/>
        </w:rPr>
        <w:t>[</w:t>
      </w:r>
      <w:r>
        <w:rPr>
          <w:rFonts w:ascii="Microsoft JhengHei" w:hAnsi="Microsoft JhengHei" w:eastAsia="Microsoft JhengHei" w:hint="eastAsia"/>
          <w:b/>
          <w:color w:val="0033CC"/>
          <w:w w:val="110"/>
          <w:sz w:val="24"/>
        </w:rPr>
        <w:t>返回目次</w:t>
      </w:r>
      <w:r>
        <w:rPr>
          <w:rFonts w:ascii="微软雅黑" w:hAnsi="微软雅黑" w:eastAsia="微软雅黑" w:hint="eastAsia"/>
          <w:b/>
          <w:color w:val="0033CC"/>
          <w:w w:val="110"/>
          <w:sz w:val="24"/>
        </w:rPr>
        <w:t>]</w:t>
      </w:r>
    </w:p>
    <w:p>
      <w:pPr>
        <w:pStyle w:val="BodyText"/>
        <w:spacing w:before="7"/>
        <w:ind w:left="0"/>
        <w:rPr>
          <w:rFonts w:ascii="微软雅黑"/>
          <w:b/>
          <w:sz w:val="12"/>
        </w:rPr>
      </w:pPr>
    </w:p>
    <w:p>
      <w:pPr>
        <w:pStyle w:val="Heading2"/>
        <w:ind w:right="260"/>
        <w:jc w:val="center"/>
      </w:pPr>
      <w:r>
        <w:rPr/>
        <w:t>新版产业结构调整指导目录征求意见</w:t>
      </w:r>
    </w:p>
    <w:p>
      <w:pPr>
        <w:pStyle w:val="BodyText"/>
        <w:spacing w:before="49"/>
        <w:ind w:left="237" w:right="14"/>
        <w:jc w:val="center"/>
      </w:pPr>
      <w:r>
        <w:rPr/>
        <w:t>儿童药、短缺药等拟纳入鼓励类</w:t>
      </w:r>
    </w:p>
    <w:p>
      <w:pPr>
        <w:pStyle w:val="BodyText"/>
        <w:spacing w:before="2"/>
        <w:ind w:left="0"/>
        <w:rPr>
          <w:sz w:val="8"/>
        </w:rPr>
      </w:pPr>
    </w:p>
    <w:p>
      <w:pPr>
        <w:pStyle w:val="Heading4"/>
        <w:spacing w:before="67"/>
        <w:ind w:left="0" w:right="468"/>
        <w:jc w:val="right"/>
        <w:rPr>
          <w:rFonts w:ascii="楷体" w:eastAsia="楷体" w:hint="eastAsia"/>
        </w:rPr>
      </w:pPr>
      <w:r>
        <w:rPr>
          <w:rFonts w:ascii="楷体" w:eastAsia="楷体" w:hint="eastAsia"/>
          <w:color w:val="FF0000"/>
          <w:w w:val="95"/>
        </w:rPr>
        <w:t>（来源：中国医药报）</w:t>
      </w:r>
    </w:p>
    <w:p>
      <w:pPr>
        <w:pStyle w:val="BodyText"/>
        <w:spacing w:line="297" w:lineRule="auto" w:before="95"/>
        <w:ind w:right="467" w:firstLine="480"/>
      </w:pPr>
      <w:r>
        <w:rPr/>
        <w:t>近日，国家发改委就《产业结构调整指导目录（2019</w:t>
      </w:r>
      <w:r>
        <w:rPr>
          <w:spacing w:val="-8"/>
        </w:rPr>
        <w:t> 年本，征求意见稿</w:t>
      </w:r>
      <w:r>
        <w:rPr/>
        <w:t>）》公开征求</w:t>
      </w:r>
      <w:r>
        <w:rPr>
          <w:spacing w:val="-12"/>
        </w:rPr>
        <w:t>意见。新版《产业结构调整指导目录》由鼓励类、限制类、淘汰类三个类别组成。其中，有</w:t>
      </w:r>
      <w:r>
        <w:rPr>
          <w:spacing w:val="-5"/>
        </w:rPr>
        <w:t>关于医药产业的分别为鼓励类 </w:t>
      </w:r>
      <w:r>
        <w:rPr/>
        <w:t>8</w:t>
      </w:r>
      <w:r>
        <w:rPr>
          <w:spacing w:val="-18"/>
        </w:rPr>
        <w:t> 项、限制类 </w:t>
      </w:r>
      <w:r>
        <w:rPr/>
        <w:t>6</w:t>
      </w:r>
      <w:r>
        <w:rPr>
          <w:spacing w:val="-18"/>
        </w:rPr>
        <w:t> 项、淘汰类 </w:t>
      </w:r>
      <w:r>
        <w:rPr/>
        <w:t>13</w:t>
      </w:r>
      <w:r>
        <w:rPr>
          <w:spacing w:val="-8"/>
        </w:rPr>
        <w:t> 项。在鼓励类别中，新技术、新药以及医疗器械被大量纳入。</w:t>
      </w:r>
    </w:p>
    <w:p>
      <w:pPr>
        <w:pStyle w:val="BodyText"/>
        <w:spacing w:line="302" w:lineRule="exact"/>
        <w:ind w:left="697"/>
      </w:pPr>
      <w:r>
        <w:rPr/>
        <w:t>与 2011 年版和 2016 年版目录相比，新版目录有许多调整。儿童药、短缺药以及基因治</w:t>
      </w:r>
    </w:p>
    <w:p>
      <w:pPr>
        <w:pStyle w:val="BodyText"/>
        <w:spacing w:line="295" w:lineRule="auto" w:before="74"/>
        <w:ind w:right="468"/>
        <w:jc w:val="both"/>
      </w:pPr>
      <w:r>
        <w:rPr>
          <w:spacing w:val="-14"/>
        </w:rPr>
        <w:t>疗药物、细胞治疗药物被增加进鼓励类目录，近 </w:t>
      </w:r>
      <w:r>
        <w:rPr/>
        <w:t>2</w:t>
      </w:r>
      <w:r>
        <w:rPr>
          <w:spacing w:val="-9"/>
        </w:rPr>
        <w:t> 年开始被广泛应用且反应良好的数字化医</w:t>
      </w:r>
      <w:r>
        <w:rPr/>
        <w:t>学影像设备、人工智能辅助医疗设备也被列入鼓励类中。新型计划生育药物(包括第三代孕激素避孕药)的开发和生产则被移出目录。</w:t>
      </w:r>
    </w:p>
    <w:p>
      <w:pPr>
        <w:pStyle w:val="BodyText"/>
        <w:spacing w:line="295" w:lineRule="auto" w:before="6"/>
        <w:ind w:right="467" w:firstLine="480"/>
        <w:jc w:val="both"/>
      </w:pPr>
      <w:r>
        <w:rPr>
          <w:spacing w:val="-10"/>
        </w:rPr>
        <w:t>按照目录介绍，鼓励类主要是对经济社会发展有重要促进作用，有利于满足人民美好生</w:t>
      </w:r>
      <w:r>
        <w:rPr>
          <w:spacing w:val="-8"/>
        </w:rPr>
        <w:t>活需要和推动高质量发展的技术、装备、产品、行业；限制类主要是工艺技术落后，不符合</w:t>
      </w:r>
      <w:r>
        <w:rPr>
          <w:spacing w:val="-6"/>
        </w:rPr>
        <w:t>行业准入条件和有关规定，禁止新建扩建和需要督促改造的生产能力、工艺技术、装备及产</w:t>
      </w:r>
    </w:p>
    <w:p>
      <w:pPr>
        <w:spacing w:after="0" w:line="295" w:lineRule="auto"/>
        <w:jc w:val="both"/>
        <w:sectPr>
          <w:pgSz w:w="11910" w:h="16850"/>
          <w:pgMar w:header="906" w:footer="607" w:top="1100" w:bottom="800" w:left="1060" w:right="660"/>
        </w:sectPr>
      </w:pPr>
    </w:p>
    <w:p>
      <w:pPr>
        <w:pStyle w:val="BodyText"/>
        <w:spacing w:line="295" w:lineRule="auto" w:before="65"/>
        <w:ind w:right="472"/>
      </w:pPr>
      <w:r>
        <w:rPr>
          <w:spacing w:val="-11"/>
        </w:rPr>
        <w:t>品；淘汰类主要是不符合有关法律法规规定，不具备安全生产条件，严重浪费资源、污染环</w:t>
      </w:r>
      <w:r>
        <w:rPr/>
        <w:t>境，需要淘汰的落后工艺、技术、装备及产品。</w:t>
      </w:r>
    </w:p>
    <w:p>
      <w:pPr>
        <w:pStyle w:val="BodyText"/>
        <w:spacing w:line="297" w:lineRule="auto" w:before="2"/>
        <w:ind w:right="467" w:firstLine="480"/>
        <w:jc w:val="both"/>
      </w:pPr>
      <w:r>
        <w:rPr>
          <w:spacing w:val="-6"/>
        </w:rPr>
        <w:t>产业结构调整目录一直被视为行业发展的“风向标”，从中可看出国家目前对产业发展</w:t>
      </w:r>
      <w:r>
        <w:rPr>
          <w:spacing w:val="-10"/>
        </w:rPr>
        <w:t>的支持方向。列入鼓励类的相关产业将迎来新的发展机遇。例如布局创新药、基因及细胞治</w:t>
      </w:r>
      <w:r>
        <w:rPr/>
        <w:t>疗药物、儿童药等的企业。</w:t>
      </w:r>
    </w:p>
    <w:p>
      <w:pPr>
        <w:pStyle w:val="BodyText"/>
        <w:spacing w:line="304" w:lineRule="exact"/>
        <w:ind w:firstLine="480"/>
      </w:pPr>
      <w:r>
        <w:rPr/>
        <w:t>新版目录中，中药依旧被列入鼓励类，包括鼓励中药材的生态种植与生产、中药饮片炮</w:t>
      </w:r>
    </w:p>
    <w:p>
      <w:pPr>
        <w:pStyle w:val="BodyText"/>
        <w:spacing w:line="235" w:lineRule="auto" w:before="79"/>
        <w:ind w:right="467"/>
        <w:rPr>
          <w:rFonts w:ascii="微软雅黑" w:eastAsia="微软雅黑" w:hint="eastAsia"/>
          <w:b/>
        </w:rPr>
      </w:pPr>
      <w:r>
        <w:rPr>
          <w:spacing w:val="-8"/>
        </w:rPr>
        <w:t>制技术传承与创新、中药经典名方的开发与生产、中药创新药物的研发与生产、中成药二次</w:t>
      </w:r>
      <w:r>
        <w:rPr>
          <w:w w:val="110"/>
        </w:rPr>
        <w:t>开发和生产等，限制类和淘汰类目录基本没有变化。</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1"/>
        <w:ind w:left="0"/>
        <w:rPr>
          <w:rFonts w:ascii="微软雅黑"/>
          <w:b/>
          <w:sz w:val="7"/>
        </w:rPr>
      </w:pPr>
    </w:p>
    <w:p>
      <w:pPr>
        <w:spacing w:before="72"/>
        <w:ind w:left="0" w:right="252" w:firstLine="0"/>
        <w:jc w:val="center"/>
        <w:rPr>
          <w:sz w:val="21"/>
        </w:rPr>
      </w:pPr>
      <w:r>
        <w:rPr>
          <w:sz w:val="21"/>
        </w:rPr>
        <w:t>国家卫健委部署药品使用监测和临床综合评价工作</w:t>
      </w:r>
    </w:p>
    <w:p>
      <w:pPr>
        <w:pStyle w:val="Heading2"/>
        <w:spacing w:before="159"/>
        <w:ind w:right="254"/>
        <w:jc w:val="center"/>
      </w:pPr>
      <w:r>
        <w:rPr/>
        <w:t>建立四级药品使用监测网络</w:t>
      </w:r>
    </w:p>
    <w:p>
      <w:pPr>
        <w:pStyle w:val="Heading4"/>
        <w:spacing w:before="145"/>
        <w:ind w:left="0" w:right="46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367" w:firstLine="480"/>
      </w:pPr>
      <w:r>
        <w:rPr>
          <w:spacing w:val="-21"/>
        </w:rPr>
        <w:t>４月 </w:t>
      </w:r>
      <w:r>
        <w:rPr/>
        <w:t>9</w:t>
      </w:r>
      <w:r>
        <w:rPr>
          <w:spacing w:val="-14"/>
        </w:rPr>
        <w:t> 日，国家卫生健康委员会印发《关于开展药品使用监测和临床综合评价工作的通知》（以下简称《通知》），</w:t>
      </w:r>
      <w:r>
        <w:rPr>
          <w:spacing w:val="-15"/>
        </w:rPr>
        <w:t>明确建立国家、省两级药品使用监测平台和国家、省、地市、</w:t>
      </w:r>
      <w:r>
        <w:rPr/>
        <w:t>县四级药品使用监测网络。</w:t>
      </w:r>
    </w:p>
    <w:p>
      <w:pPr>
        <w:pStyle w:val="BodyText"/>
        <w:spacing w:line="297" w:lineRule="auto"/>
        <w:ind w:right="367" w:firstLine="480"/>
      </w:pPr>
      <w:r>
        <w:rPr>
          <w:spacing w:val="-11"/>
        </w:rPr>
        <w:t>《通知》指出，要全面开展药品使用监测，依托全民健康保障信息化工程和区域全民健</w:t>
      </w:r>
      <w:r>
        <w:rPr>
          <w:spacing w:val="-14"/>
        </w:rPr>
        <w:t>康信息平台，建立国家、省两级药品使用监测平台和国家、省、地市、县四级药品使用监测</w:t>
      </w:r>
      <w:r>
        <w:rPr>
          <w:spacing w:val="-15"/>
        </w:rPr>
        <w:t>网络，实现药品使用信息采集、统计分析、信息共享等功能，覆盖各级公立医疗卫生机构。</w:t>
      </w:r>
      <w:r>
        <w:rPr>
          <w:spacing w:val="-4"/>
        </w:rPr>
        <w:t>各级卫生健康行政部门和医疗卫生机构要加强对监测信息的分析利用，在数据分析和深度挖</w:t>
      </w:r>
      <w:r>
        <w:rPr>
          <w:spacing w:val="-11"/>
        </w:rPr>
        <w:t>掘基础上，定期形成监测报告，加强与工业和信息化、医保、药监等部门和药品集中采购机</w:t>
      </w:r>
      <w:r>
        <w:rPr>
          <w:spacing w:val="-24"/>
        </w:rPr>
        <w:t>构的沟通协调，强化数据信息共建、共享、共用，持续有效保障药品供应，更好促进“三医” 联动。</w:t>
      </w:r>
    </w:p>
    <w:p>
      <w:pPr>
        <w:pStyle w:val="BodyText"/>
        <w:spacing w:line="297" w:lineRule="auto"/>
        <w:ind w:right="467" w:firstLine="480"/>
        <w:jc w:val="both"/>
      </w:pPr>
      <w:r>
        <w:rPr>
          <w:spacing w:val="-10"/>
        </w:rPr>
        <w:t>《通知》强调，要加强统筹规划，有效整合资源，充分发挥国家和省级医疗机构、科研</w:t>
      </w:r>
      <w:r>
        <w:rPr>
          <w:spacing w:val="-12"/>
        </w:rPr>
        <w:t>院所、行业学协会等机构的作用，稳妥有序推进药品临床综合评价工作。在实践过程中不断</w:t>
      </w:r>
      <w:r>
        <w:rPr>
          <w:spacing w:val="-10"/>
        </w:rPr>
        <w:t>积累完善基础数据，加强证据质量分级研究，建立健全药品技术评价与药物政策评估指标体</w:t>
      </w:r>
      <w:r>
        <w:rPr>
          <w:spacing w:val="-9"/>
        </w:rPr>
        <w:t>系和多维分析模型，促进评价工作的科学化和规范化。各级卫生健康行政部门要科学运用药</w:t>
      </w:r>
      <w:r>
        <w:rPr>
          <w:spacing w:val="-8"/>
        </w:rPr>
        <w:t>品临床综合评价结果，加强与医保、药监等部门的沟通共享，促进完善药品研发、生产、流</w:t>
      </w:r>
    </w:p>
    <w:p>
      <w:pPr>
        <w:spacing w:line="358" w:lineRule="exact" w:before="0"/>
        <w:ind w:left="217" w:right="0" w:firstLine="0"/>
        <w:jc w:val="left"/>
        <w:rPr>
          <w:rFonts w:ascii="微软雅黑" w:eastAsia="微软雅黑" w:hint="eastAsia"/>
          <w:b/>
          <w:sz w:val="24"/>
        </w:rPr>
      </w:pPr>
      <w:r>
        <w:rPr>
          <w:w w:val="110"/>
          <w:sz w:val="24"/>
        </w:rPr>
        <w:t>通、使用等药物政策，健全药品供应保障制度。</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Heading2"/>
        <w:spacing w:before="110"/>
        <w:ind w:left="217"/>
      </w:pPr>
      <w:r>
        <w:rPr/>
        <w:t>【医保动态】</w:t>
      </w:r>
    </w:p>
    <w:p>
      <w:pPr>
        <w:pStyle w:val="BodyText"/>
        <w:spacing w:before="11"/>
        <w:ind w:left="0"/>
        <w:rPr>
          <w:b/>
          <w:sz w:val="22"/>
        </w:rPr>
      </w:pPr>
    </w:p>
    <w:p>
      <w:pPr>
        <w:spacing w:before="0"/>
        <w:ind w:left="0" w:right="256" w:firstLine="0"/>
        <w:jc w:val="center"/>
        <w:rPr>
          <w:b/>
          <w:sz w:val="32"/>
        </w:rPr>
      </w:pPr>
      <w:r>
        <w:rPr>
          <w:b/>
          <w:sz w:val="32"/>
        </w:rPr>
        <w:t>优先考虑癌症及罕见病等用药</w:t>
      </w:r>
    </w:p>
    <w:p>
      <w:pPr>
        <w:spacing w:before="79"/>
        <w:ind w:left="0" w:right="242" w:firstLine="0"/>
        <w:jc w:val="center"/>
        <w:rPr>
          <w:sz w:val="21"/>
        </w:rPr>
      </w:pPr>
      <w:r>
        <w:rPr>
          <w:rFonts w:ascii="Times New Roman" w:hAnsi="Times New Roman" w:eastAsia="Times New Roman"/>
          <w:sz w:val="21"/>
        </w:rPr>
        <w:t>—</w:t>
      </w:r>
      <w:r>
        <w:rPr>
          <w:sz w:val="21"/>
        </w:rPr>
        <w:t>《</w:t>
      </w:r>
      <w:r>
        <w:rPr>
          <w:rFonts w:ascii="Times New Roman" w:hAnsi="Times New Roman" w:eastAsia="Times New Roman"/>
          <w:sz w:val="21"/>
        </w:rPr>
        <w:t>2019 </w:t>
      </w:r>
      <w:r>
        <w:rPr>
          <w:sz w:val="21"/>
        </w:rPr>
        <w:t>年国家医保药品目录调整工作方案》政策解读</w:t>
      </w:r>
    </w:p>
    <w:p>
      <w:pPr>
        <w:pStyle w:val="Heading4"/>
        <w:spacing w:before="176"/>
        <w:ind w:left="6340"/>
        <w:rPr>
          <w:rFonts w:ascii="楷体" w:eastAsia="楷体" w:hint="eastAsia"/>
        </w:rPr>
      </w:pPr>
      <w:r>
        <w:rPr>
          <w:rFonts w:ascii="楷体" w:eastAsia="楷体" w:hint="eastAsia"/>
          <w:color w:val="FF0000"/>
        </w:rPr>
        <w:t>（来源：国家医疗保障局网站）</w:t>
      </w:r>
    </w:p>
    <w:p>
      <w:pPr>
        <w:pStyle w:val="BodyText"/>
        <w:spacing w:line="288" w:lineRule="auto" w:before="92"/>
        <w:ind w:right="464" w:firstLine="482"/>
        <w:jc w:val="both"/>
      </w:pPr>
      <w:r>
        <w:rPr/>
        <w:t>4</w:t>
      </w:r>
      <w:r>
        <w:rPr>
          <w:spacing w:val="-41"/>
        </w:rPr>
        <w:t> 月 </w:t>
      </w:r>
      <w:r>
        <w:rPr/>
        <w:t>17</w:t>
      </w:r>
      <w:r>
        <w:rPr>
          <w:spacing w:val="-15"/>
        </w:rPr>
        <w:t> 日，国家医疗保障局正式公布了《</w:t>
      </w:r>
      <w:r>
        <w:rPr/>
        <w:t>2019</w:t>
      </w:r>
      <w:r>
        <w:rPr>
          <w:spacing w:val="-15"/>
        </w:rPr>
        <w:t> 年国家医保药品目录调整工作方案》</w:t>
      </w:r>
      <w:r>
        <w:rPr/>
        <w:t>（</w:t>
      </w:r>
      <w:r>
        <w:rPr>
          <w:spacing w:val="-13"/>
        </w:rPr>
        <w:t>以</w:t>
      </w:r>
      <w:r>
        <w:rPr>
          <w:spacing w:val="-5"/>
        </w:rPr>
        <w:t>下简称《方案》</w:t>
      </w:r>
      <w:r>
        <w:rPr>
          <w:spacing w:val="-12"/>
        </w:rPr>
        <w:t>）</w:t>
      </w:r>
      <w:r>
        <w:rPr>
          <w:spacing w:val="-10"/>
        </w:rPr>
        <w:t>。根据《方案》，抗癌药、罕见病用药等将被优先考虑，价格较高或对医</w:t>
      </w:r>
      <w:r>
        <w:rPr/>
        <w:t>保基金影响较大的专利独家药品将通过谈判获得准入。</w:t>
      </w:r>
    </w:p>
    <w:p>
      <w:pPr>
        <w:pStyle w:val="BodyText"/>
        <w:spacing w:line="288" w:lineRule="auto" w:before="2"/>
        <w:ind w:right="470" w:firstLine="482"/>
      </w:pPr>
      <w:r>
        <w:rPr>
          <w:spacing w:val="-5"/>
        </w:rPr>
        <w:t>为让社会各界进一步了解国家医保药品目录调整的程序和规则，强化工作监督，国家医</w:t>
      </w:r>
      <w:r>
        <w:rPr/>
        <w:t>保局对《方案》进行了解读。</w:t>
      </w:r>
    </w:p>
    <w:p>
      <w:pPr>
        <w:spacing w:after="0" w:line="288" w:lineRule="auto"/>
        <w:sectPr>
          <w:pgSz w:w="11910" w:h="16850"/>
          <w:pgMar w:header="906" w:footer="607" w:top="1100" w:bottom="800" w:left="1060" w:right="660"/>
        </w:sectPr>
      </w:pPr>
    </w:p>
    <w:p>
      <w:pPr>
        <w:pStyle w:val="BodyText"/>
        <w:spacing w:before="57"/>
        <w:ind w:left="699"/>
      </w:pPr>
      <w:r>
        <w:rPr/>
        <w:t>一、现行的国家医保药品目录基本情况是怎样的？</w:t>
      </w:r>
    </w:p>
    <w:p>
      <w:pPr>
        <w:pStyle w:val="BodyText"/>
        <w:spacing w:before="63"/>
        <w:ind w:left="699"/>
      </w:pPr>
      <w:r>
        <w:rPr/>
        <w:t>现行的国家医保药品目录是 2017 年版，包括 2017 年、2018 年两次医保准入谈判的药</w:t>
      </w:r>
    </w:p>
    <w:p>
      <w:pPr>
        <w:pStyle w:val="BodyText"/>
        <w:spacing w:line="288" w:lineRule="auto" w:before="62"/>
        <w:ind w:right="467"/>
        <w:jc w:val="both"/>
      </w:pPr>
      <w:r>
        <w:rPr>
          <w:spacing w:val="-5"/>
        </w:rPr>
        <w:t>品在内，西药和中成药共计 </w:t>
      </w:r>
      <w:r>
        <w:rPr/>
        <w:t>2588</w:t>
      </w:r>
      <w:r>
        <w:rPr>
          <w:spacing w:val="-8"/>
        </w:rPr>
        <w:t> 种。医保药品目录分为凡例、西药、中成药、中药饮片四</w:t>
      </w:r>
      <w:r>
        <w:rPr>
          <w:spacing w:val="-11"/>
        </w:rPr>
        <w:t>部分。凡例是对目录编排格式、名称剂型规范、限定支付范围等内容的解释和说明；西药部</w:t>
      </w:r>
      <w:r>
        <w:rPr>
          <w:spacing w:val="-15"/>
        </w:rPr>
        <w:t>分包括化学药和生物制品，主要按 </w:t>
      </w:r>
      <w:r>
        <w:rPr/>
        <w:t>ATC</w:t>
      </w:r>
      <w:r>
        <w:rPr>
          <w:spacing w:val="-13"/>
        </w:rPr>
        <w:t> 分类编排，药品使用通用名，剂型单列；中成药部分</w:t>
      </w:r>
      <w:r>
        <w:rPr>
          <w:spacing w:val="-7"/>
        </w:rPr>
        <w:t>包括中成药和民族药，采用功能主治分类，药品使用通用名；中药饮片部分采用排除法，规</w:t>
      </w:r>
      <w:r>
        <w:rPr>
          <w:spacing w:val="-13"/>
        </w:rPr>
        <w:t>定了基金不予支付费用的饮片范围。西药部分和中成药部分分为甲乙两类，甲类一般是同类</w:t>
      </w:r>
      <w:r>
        <w:rPr>
          <w:spacing w:val="-8"/>
        </w:rPr>
        <w:t>药品中可供临床首选、价格较低的药品，乙类一般是同类药品中可供临床选择、价格相对较高的药品。参保人发生符合规定的甲类药品费用，全额纳入报销范围，按规定比例报销；乙类药品费用先扣除一定的个人自付部分后，再按规定比例报销。</w:t>
      </w:r>
    </w:p>
    <w:p>
      <w:pPr>
        <w:pStyle w:val="BodyText"/>
        <w:spacing w:before="8"/>
        <w:ind w:left="699"/>
      </w:pPr>
      <w:r>
        <w:rPr/>
        <w:t>二、国家医保药品目录内的西药和中成药是如何按通用名进行管理的？</w:t>
      </w:r>
    </w:p>
    <w:p>
      <w:pPr>
        <w:pStyle w:val="BodyText"/>
        <w:spacing w:line="288" w:lineRule="auto" w:before="64"/>
        <w:ind w:right="467" w:firstLine="482"/>
        <w:jc w:val="both"/>
      </w:pPr>
      <w:r>
        <w:rPr>
          <w:spacing w:val="-8"/>
        </w:rPr>
        <w:t>根据我国药品上市情况和管理的需要，医保药品目录西药部分和中成药部分采用药品通</w:t>
      </w:r>
      <w:r>
        <w:rPr>
          <w:spacing w:val="-5"/>
        </w:rPr>
        <w:t>用名进行表述，不涉及具体企业，同一通用名</w:t>
      </w:r>
      <w:r>
        <w:rPr/>
        <w:t>（含剂型</w:t>
      </w:r>
      <w:r>
        <w:rPr>
          <w:spacing w:val="-17"/>
        </w:rPr>
        <w:t>）</w:t>
      </w:r>
      <w:r>
        <w:rPr>
          <w:spacing w:val="-7"/>
        </w:rPr>
        <w:t>下，无论是哪个规格、哪个企业生</w:t>
      </w:r>
      <w:r>
        <w:rPr>
          <w:spacing w:val="-2"/>
        </w:rPr>
        <w:t>产的品种，均纳入报销范围。以目录中的枸橼酸铋钾颗粒剂为例，初步统计，国内有 </w:t>
      </w:r>
      <w:r>
        <w:rPr/>
        <w:t>40</w:t>
      </w:r>
      <w:r>
        <w:rPr>
          <w:spacing w:val="-30"/>
        </w:rPr>
        <w:t> 多家企业生产，无论商品名是什么，都属于医保药品目录范围。</w:t>
      </w:r>
    </w:p>
    <w:p>
      <w:pPr>
        <w:pStyle w:val="BodyText"/>
        <w:spacing w:line="288" w:lineRule="auto" w:before="3"/>
        <w:ind w:left="699" w:right="3004"/>
        <w:jc w:val="both"/>
      </w:pPr>
      <w:r>
        <w:rPr/>
        <w:t>本次目录调整，我们仍坚持按通用名管理，不针对具体企业。三、2019 年国家医保药品目录调整的总体思路是什么？</w:t>
      </w:r>
    </w:p>
    <w:p>
      <w:pPr>
        <w:pStyle w:val="BodyText"/>
        <w:spacing w:line="288" w:lineRule="auto" w:before="3"/>
        <w:ind w:right="466" w:firstLine="482"/>
        <w:jc w:val="both"/>
      </w:pPr>
      <w:r>
        <w:rPr>
          <w:spacing w:val="-5"/>
        </w:rPr>
        <w:t>本次目录调整是国家医保局成立之后对医保药品目录进行的首次全面调整，是落实党中</w:t>
      </w:r>
      <w:r>
        <w:rPr>
          <w:spacing w:val="-11"/>
        </w:rPr>
        <w:t>央、国务院机构改革要求，认真履行国家医保局职责的一项重要举措。本次调整我们将以习</w:t>
      </w:r>
      <w:r>
        <w:rPr>
          <w:spacing w:val="-6"/>
        </w:rPr>
        <w:t>近平新时代中国特色社会主义思想为指导，全面贯彻党的十九大和十九届二中、三中全会以</w:t>
      </w:r>
      <w:r>
        <w:rPr>
          <w:spacing w:val="-7"/>
        </w:rPr>
        <w:t>及中央经济工作会议精神，坚持以人民健康为中心，坚持“千方百计保基本、始终做到可持</w:t>
      </w:r>
      <w:r>
        <w:rPr>
          <w:spacing w:val="-10"/>
        </w:rPr>
        <w:t>续”，坚持尽力而为、量力而行，在确保基金可承受的前提下，适当调整目录范围，努力实</w:t>
      </w:r>
      <w:r>
        <w:rPr>
          <w:spacing w:val="-15"/>
        </w:rPr>
        <w:t>现药品结构更加优化，管理更加规范，进一步提高医保基金使用效益，提升医保药品保障水</w:t>
      </w:r>
      <w:r>
        <w:rPr/>
        <w:t>平的目标，有效缓解参保人员用药难用药贵的问题。</w:t>
      </w:r>
    </w:p>
    <w:p>
      <w:pPr>
        <w:pStyle w:val="BodyText"/>
        <w:spacing w:line="288" w:lineRule="auto" w:before="7"/>
        <w:ind w:right="470" w:firstLine="482"/>
      </w:pPr>
      <w:r>
        <w:rPr>
          <w:spacing w:val="-11"/>
        </w:rPr>
        <w:t>四、此次国家医保药品目录调整的范围和重点有哪些，什么样的药品不在考虑范围？是</w:t>
      </w:r>
      <w:r>
        <w:rPr/>
        <w:t>否需要企业提交药品基础材料？</w:t>
      </w:r>
    </w:p>
    <w:p>
      <w:pPr>
        <w:pStyle w:val="BodyText"/>
        <w:spacing w:line="288" w:lineRule="auto" w:before="2"/>
        <w:ind w:right="348" w:firstLine="482"/>
      </w:pPr>
      <w:r>
        <w:rPr>
          <w:spacing w:val="-12"/>
        </w:rPr>
        <w:t>根据《方案》，此次医保药品目录调入的西药和中成药应当是 </w:t>
      </w:r>
      <w:r>
        <w:rPr/>
        <w:t>2018</w:t>
      </w:r>
      <w:r>
        <w:rPr>
          <w:spacing w:val="-40"/>
        </w:rPr>
        <w:t> 年 </w:t>
      </w:r>
      <w:r>
        <w:rPr/>
        <w:t>12</w:t>
      </w:r>
      <w:r>
        <w:rPr>
          <w:spacing w:val="-40"/>
        </w:rPr>
        <w:t> 月 </w:t>
      </w:r>
      <w:r>
        <w:rPr/>
        <w:t>31</w:t>
      </w:r>
      <w:r>
        <w:rPr>
          <w:spacing w:val="-44"/>
        </w:rPr>
        <w:t> 日</w:t>
      </w:r>
      <w:r>
        <w:rPr/>
        <w:t>（含</w:t>
      </w:r>
      <w:r>
        <w:rPr>
          <w:spacing w:val="-13"/>
        </w:rPr>
        <w:t>） </w:t>
      </w:r>
      <w:r>
        <w:rPr/>
        <w:t>以前经国家药监局注册上市的药品。符合条件的都会被纳入本次目录调整考虑的基础范围。</w:t>
      </w:r>
      <w:r>
        <w:rPr>
          <w:spacing w:val="-5"/>
        </w:rPr>
        <w:t>有关基础数据以国家药监局批准上市的药品信息为基础，针对药品进行评审，不接受企业申</w:t>
      </w:r>
      <w:r>
        <w:rPr>
          <w:spacing w:val="-17"/>
        </w:rPr>
        <w:t>报或推荐，不收取评审费和其他各种费用。对于纳入谈判的品种，需要企业按要求报送材料。</w:t>
      </w:r>
      <w:r>
        <w:rPr/>
        <w:t>本次目录调整将优先考虑国家基本药物中的非医保品种、癌症及罕见病等重大疾病治疗用 药、高血压和糖尿病等慢性病治疗用药、儿童用药以及急抢救用药等。</w:t>
      </w:r>
    </w:p>
    <w:p>
      <w:pPr>
        <w:pStyle w:val="BodyText"/>
        <w:spacing w:line="288" w:lineRule="auto" w:before="6"/>
        <w:ind w:right="466" w:firstLine="482"/>
        <w:jc w:val="both"/>
      </w:pPr>
      <w:r>
        <w:rPr>
          <w:spacing w:val="-6"/>
        </w:rPr>
        <w:t>根据医疗保障制度保障功能定位及医保用药的基本原则，一些药品是不能纳入目录范围</w:t>
      </w:r>
      <w:r>
        <w:rPr>
          <w:spacing w:val="-10"/>
        </w:rPr>
        <w:t>的：比如主要起滋补作用的药品，含国家濒危野生动植物药材的药品，预防性的疫苗和避孕</w:t>
      </w:r>
      <w:r>
        <w:rPr>
          <w:spacing w:val="-8"/>
        </w:rPr>
        <w:t>药品等公共卫生用药，用于减肥、美容、戒烟等的药品。这些有的是改善生活品质的，有的</w:t>
      </w:r>
      <w:r>
        <w:rPr>
          <w:spacing w:val="-14"/>
        </w:rPr>
        <w:t>是起预防作用的，有的属于公共卫生保障范围，均不纳入目录调整的范围内。对于非处方药</w:t>
      </w:r>
      <w:r>
        <w:rPr/>
        <w:t>品（OTC），国际上普遍不予报销，此次调整原则上不再新增。</w:t>
      </w:r>
    </w:p>
    <w:p>
      <w:pPr>
        <w:pStyle w:val="BodyText"/>
        <w:spacing w:before="6"/>
        <w:ind w:left="699"/>
      </w:pPr>
      <w:r>
        <w:rPr/>
        <w:t>五、谈判准入的药品需要满足什么条件？</w:t>
      </w:r>
    </w:p>
    <w:p>
      <w:pPr>
        <w:spacing w:after="0"/>
        <w:sectPr>
          <w:pgSz w:w="11910" w:h="16850"/>
          <w:pgMar w:header="906" w:footer="607" w:top="1100" w:bottom="800" w:left="1060" w:right="660"/>
        </w:sectPr>
      </w:pPr>
    </w:p>
    <w:p>
      <w:pPr>
        <w:pStyle w:val="BodyText"/>
        <w:spacing w:line="288" w:lineRule="auto" w:before="57"/>
        <w:ind w:right="466" w:firstLine="482"/>
        <w:jc w:val="both"/>
      </w:pPr>
      <w:r>
        <w:rPr>
          <w:spacing w:val="-1"/>
        </w:rPr>
        <w:t>谈判准入是近年来医保药品目录准入方式方面的一个重大创新，</w:t>
      </w:r>
      <w:r>
        <w:rPr>
          <w:spacing w:val="-5"/>
        </w:rPr>
        <w:t>2017</w:t>
      </w:r>
      <w:r>
        <w:rPr>
          <w:spacing w:val="-30"/>
        </w:rPr>
        <w:t> 年和 </w:t>
      </w:r>
      <w:r>
        <w:rPr/>
        <w:t>2018</w:t>
      </w:r>
      <w:r>
        <w:rPr>
          <w:spacing w:val="-25"/>
        </w:rPr>
        <w:t> 年，医</w:t>
      </w:r>
      <w:r>
        <w:rPr>
          <w:spacing w:val="-3"/>
        </w:rPr>
        <w:t>保部门通过谈判方式在医保药品目录中分别纳入了 </w:t>
      </w:r>
      <w:r>
        <w:rPr/>
        <w:t>36</w:t>
      </w:r>
      <w:r>
        <w:rPr>
          <w:spacing w:val="-30"/>
        </w:rPr>
        <w:t> 个和 </w:t>
      </w:r>
      <w:r>
        <w:rPr/>
        <w:t>17</w:t>
      </w:r>
      <w:r>
        <w:rPr>
          <w:spacing w:val="-16"/>
        </w:rPr>
        <w:t> 个药品，包括利拉鲁肽、曲妥</w:t>
      </w:r>
      <w:r>
        <w:rPr>
          <w:spacing w:val="-11"/>
        </w:rPr>
        <w:t>珠单抗、来那度胺、奥西替尼等，对于提高参保人员用药保障水平、保证基金平稳运行起到了非常重要的作用。本次目录调整我们在总结前期经验的基础上对谈判准入的方法做了进一步完善。对于那些临床价值高但价格昂贵或对基金影响较大的专利独家药品，应当通过专家评审和投票遴选之后，由谈判专家与企业谈判形成双方认可的全国统一的支付标准后才可以</w:t>
      </w:r>
      <w:r>
        <w:rPr>
          <w:spacing w:val="-10"/>
        </w:rPr>
        <w:t>纳入目录范围，以确保基金安全。另外，考虑到部分专利独家药品的仿制药可能会在目录调</w:t>
      </w:r>
      <w:r>
        <w:rPr/>
        <w:t>整期间上市，在此次调整中规定对独家药品的认定时间以遴选投票日的前一天为准。</w:t>
      </w:r>
    </w:p>
    <w:p>
      <w:pPr>
        <w:pStyle w:val="BodyText"/>
        <w:spacing w:before="8"/>
        <w:ind w:left="699"/>
      </w:pPr>
      <w:r>
        <w:rPr/>
        <w:t>六、医保药品目录调整的具体程序是怎样的？</w:t>
      </w:r>
    </w:p>
    <w:p>
      <w:pPr>
        <w:pStyle w:val="BodyText"/>
        <w:spacing w:line="288" w:lineRule="auto" w:before="63"/>
        <w:ind w:right="367" w:firstLine="482"/>
      </w:pPr>
      <w:r>
        <w:rPr>
          <w:spacing w:val="-10"/>
        </w:rPr>
        <w:t>根据《方案》，目录调整主要有以下程序：一是国家医保局成立工作组，起草工作方案</w:t>
      </w:r>
      <w:r>
        <w:rPr>
          <w:spacing w:val="-11"/>
        </w:rPr>
        <w:t>并征求相关部门、地方医保部门、有关学</w:t>
      </w:r>
      <w:r>
        <w:rPr/>
        <w:t>（协</w:t>
      </w:r>
      <w:r>
        <w:rPr>
          <w:spacing w:val="-15"/>
        </w:rPr>
        <w:t>）</w:t>
      </w:r>
      <w:r>
        <w:rPr>
          <w:spacing w:val="-7"/>
        </w:rPr>
        <w:t>会、医疗机构、医务人员、药品生产流通企</w:t>
      </w:r>
      <w:r>
        <w:rPr>
          <w:spacing w:val="-12"/>
        </w:rPr>
        <w:t>业代表以及社会各界的意见；二是按程序组建专家库、建立评审基础数据库，并制定相关廉</w:t>
      </w:r>
      <w:r>
        <w:rPr>
          <w:spacing w:val="-13"/>
        </w:rPr>
        <w:t>政保密规则等；三是开展医保用药咨询调查，从遴选专家库中，随机抽取一定数量的专家， </w:t>
      </w:r>
      <w:r>
        <w:rPr>
          <w:spacing w:val="-7"/>
        </w:rPr>
        <w:t>对所有药品进行投票，提出意见建议；四是咨询专家确定评审技术要点，根据技术要点分专</w:t>
      </w:r>
      <w:r>
        <w:rPr>
          <w:spacing w:val="-13"/>
        </w:rPr>
        <w:t>业进行评审，确定调入调出的备选药品名单；五是分地区分科室随机抽取遴选专家对备选药品进行投票；六是根据投票结果以及拟纳入的品种数量，确定调入调出药品名单，根据药品</w:t>
      </w:r>
      <w:r>
        <w:rPr>
          <w:spacing w:val="-17"/>
        </w:rPr>
        <w:t>的情况分为常规准入和谈判准入，并对需要加强管理的药品提出相应管理措施；七是公布常</w:t>
      </w:r>
      <w:r>
        <w:rPr>
          <w:spacing w:val="-18"/>
        </w:rPr>
        <w:t>规准入目录和谈判药品名单；八是征求拟谈判药品企业意愿，组织企业按要求提供材料后， </w:t>
      </w:r>
      <w:r>
        <w:rPr>
          <w:spacing w:val="-6"/>
        </w:rPr>
        <w:t>由专家进行药物经济学和基金承受能力评估，根据专家评估意见与企业谈判确定全国统一的</w:t>
      </w:r>
      <w:r>
        <w:rPr>
          <w:spacing w:val="-12"/>
        </w:rPr>
        <w:t>医保支付标准和管理政策；九是国家医保局发文将谈判成功的药品纳入目录，同步规定管理</w:t>
      </w:r>
      <w:r>
        <w:rPr>
          <w:spacing w:val="-16"/>
        </w:rPr>
        <w:t>和落实要求。预计在今年 </w:t>
      </w:r>
      <w:r>
        <w:rPr/>
        <w:t>10</w:t>
      </w:r>
      <w:r>
        <w:rPr>
          <w:spacing w:val="-8"/>
        </w:rPr>
        <w:t> 月前完成全部工作。</w:t>
      </w:r>
    </w:p>
    <w:p>
      <w:pPr>
        <w:pStyle w:val="BodyText"/>
        <w:spacing w:before="12"/>
        <w:ind w:left="699"/>
      </w:pPr>
      <w:r>
        <w:rPr/>
        <w:t>七、与上一轮调整相比，本轮调整评审程序增加了“医保用药咨询调查”环节，有何考</w:t>
      </w:r>
    </w:p>
    <w:p>
      <w:pPr>
        <w:pStyle w:val="BodyText"/>
        <w:spacing w:before="62"/>
      </w:pPr>
      <w:r>
        <w:rPr/>
        <w:t>虑？</w:t>
      </w:r>
    </w:p>
    <w:p>
      <w:pPr>
        <w:pStyle w:val="BodyText"/>
        <w:spacing w:before="65"/>
        <w:ind w:left="699"/>
      </w:pPr>
      <w:r>
        <w:rPr/>
        <w:t>开展医保用药咨询调查，一是为了更好地了解临床用药需求，使医保药品目录更好与患</w:t>
      </w:r>
    </w:p>
    <w:p>
      <w:pPr>
        <w:pStyle w:val="BodyText"/>
        <w:spacing w:line="288" w:lineRule="auto" w:before="62"/>
        <w:ind w:right="470"/>
        <w:jc w:val="both"/>
      </w:pPr>
      <w:r>
        <w:rPr>
          <w:spacing w:val="-11"/>
        </w:rPr>
        <w:t>者临床需求相契合。二是在评审前期更大范围地了解各地专家对医保用药品种方面的意见建议，使此次目录调整的基础更广泛、更科学、更扎实。三是为了提高目录调整的公平性，确</w:t>
      </w:r>
      <w:r>
        <w:rPr/>
        <w:t>保医保目录调整工作公开、公正、透明。</w:t>
      </w:r>
    </w:p>
    <w:p>
      <w:pPr>
        <w:pStyle w:val="BodyText"/>
        <w:spacing w:line="288" w:lineRule="auto" w:before="2"/>
        <w:ind w:right="470" w:firstLine="482"/>
      </w:pPr>
      <w:r>
        <w:rPr>
          <w:spacing w:val="-11"/>
        </w:rPr>
        <w:t>八、媒体此前报道，国家医保局将建立医保药品目录的退出机制，请问今年对药品调出</w:t>
      </w:r>
      <w:r>
        <w:rPr/>
        <w:t>有什么考虑呢？</w:t>
      </w:r>
    </w:p>
    <w:p>
      <w:pPr>
        <w:pStyle w:val="BodyText"/>
        <w:spacing w:line="288" w:lineRule="auto" w:before="4"/>
        <w:ind w:right="347" w:firstLine="482"/>
      </w:pPr>
      <w:r>
        <w:rPr>
          <w:spacing w:val="-9"/>
        </w:rPr>
        <w:t>对于调出的品种范围，我们有所考虑，比如药品监管部门已经撤销通用名下所有批准文</w:t>
      </w:r>
      <w:r>
        <w:rPr>
          <w:spacing w:val="-17"/>
        </w:rPr>
        <w:t>号或吊销《进口药品注册证》的，药品监管部门禁止生产、销售和使用的等将直接调出目录； </w:t>
      </w:r>
      <w:r>
        <w:rPr>
          <w:spacing w:val="-16"/>
        </w:rPr>
        <w:t>其他一些药品的调出，均需要经过严格的专家评审程序，例如专家评审后认为临床价值不高、</w:t>
      </w:r>
      <w:r>
        <w:rPr/>
        <w:t>已经可以被完全替代的品种，可能会被调出目录。</w:t>
      </w:r>
    </w:p>
    <w:p>
      <w:pPr>
        <w:pStyle w:val="BodyText"/>
        <w:spacing w:before="2"/>
        <w:ind w:left="699"/>
      </w:pPr>
      <w:r>
        <w:rPr/>
        <w:t>九、国家医保局采取了哪些措施加强监督，保证医保药品目录调整的公平公正？</w:t>
      </w:r>
    </w:p>
    <w:p>
      <w:pPr>
        <w:pStyle w:val="BodyText"/>
        <w:spacing w:line="288" w:lineRule="auto" w:before="63"/>
        <w:ind w:right="367" w:firstLine="482"/>
        <w:jc w:val="both"/>
      </w:pPr>
      <w:r>
        <w:rPr>
          <w:spacing w:val="-4"/>
        </w:rPr>
        <w:t>国家医保局始终高度重视加强医保药品目录调整中监督机制的建设：一是主动接受各方</w:t>
      </w:r>
      <w:r>
        <w:rPr>
          <w:spacing w:val="-10"/>
        </w:rPr>
        <w:t>监督。国家医保局直属机关纪委专门成立监督组，安排专人全程参与目录调整工作，并接受</w:t>
      </w:r>
      <w:r>
        <w:rPr>
          <w:spacing w:val="-14"/>
        </w:rPr>
        <w:t>社会各界的投诉举报。二是完善内控机制。明确工作岗位和人员责任，完善信息保密、利益</w:t>
      </w:r>
      <w:r>
        <w:rPr>
          <w:spacing w:val="-12"/>
        </w:rPr>
        <w:t>回避、责任追究等制度措施，确保目录调整工作公正、安全、有序。三是强化专家监督。建</w:t>
      </w:r>
      <w:r>
        <w:rPr>
          <w:spacing w:val="-13"/>
        </w:rPr>
        <w:t>立专家负责、利益回避、责任追究等制度，所有评审、遴选工作全程留痕，确保专家独立、</w:t>
      </w:r>
    </w:p>
    <w:p>
      <w:pPr>
        <w:spacing w:after="0" w:line="288" w:lineRule="auto"/>
        <w:jc w:val="both"/>
        <w:sectPr>
          <w:pgSz w:w="11910" w:h="16850"/>
          <w:pgMar w:header="906" w:footer="607" w:top="1100" w:bottom="800" w:left="1060" w:right="660"/>
        </w:sectPr>
      </w:pPr>
    </w:p>
    <w:p>
      <w:pPr>
        <w:pStyle w:val="BodyText"/>
        <w:spacing w:line="288" w:lineRule="auto" w:before="57"/>
        <w:ind w:right="467"/>
      </w:pPr>
      <w:r>
        <w:rPr>
          <w:spacing w:val="-9"/>
        </w:rPr>
        <w:t>公正提出评审意见。四是所有工作人员和专家都签订保密和廉政协议，专家还要签署无利益</w:t>
      </w:r>
      <w:r>
        <w:rPr/>
        <w:t>冲突声明。</w:t>
      </w:r>
    </w:p>
    <w:p>
      <w:pPr>
        <w:pStyle w:val="BodyText"/>
        <w:spacing w:line="288" w:lineRule="auto" w:before="2"/>
        <w:ind w:right="468" w:firstLine="482"/>
      </w:pPr>
      <w:r>
        <w:rPr>
          <w:spacing w:val="-5"/>
        </w:rPr>
        <w:t>对于社会上个别组织或个人自称有“路子”能够让某个药“包进目录”的行为，国家医</w:t>
      </w:r>
      <w:r>
        <w:rPr>
          <w:spacing w:val="-8"/>
        </w:rPr>
        <w:t>保局郑重声明：任何声称能“包进”“帮助进入”的说法和宣传，都是虚假的，请广大公众</w:t>
      </w:r>
    </w:p>
    <w:p>
      <w:pPr>
        <w:pStyle w:val="BodyText"/>
        <w:spacing w:line="367" w:lineRule="exact"/>
        <w:rPr>
          <w:rFonts w:ascii="微软雅黑" w:eastAsia="微软雅黑" w:hint="eastAsia"/>
          <w:b/>
        </w:rPr>
      </w:pPr>
      <w:r>
        <w:rPr>
          <w:w w:val="105"/>
        </w:rPr>
        <w:t>和企业保持警惕。遇有相关情况，请及时向国家医保局或公安机关反映。</w:t>
      </w:r>
      <w:r>
        <w:rPr>
          <w:rFonts w:ascii="微软雅黑" w:eastAsia="微软雅黑" w:hint="eastAsia"/>
          <w:b/>
          <w:color w:val="0033CC"/>
          <w:w w:val="105"/>
        </w:rPr>
        <w:t>[</w:t>
      </w:r>
      <w:r>
        <w:rPr>
          <w:rFonts w:ascii="Microsoft JhengHei" w:eastAsia="Microsoft JhengHei" w:hint="eastAsia"/>
          <w:b/>
          <w:color w:val="0033CC"/>
          <w:w w:val="105"/>
        </w:rPr>
        <w:t>返回目次</w:t>
      </w:r>
      <w:r>
        <w:rPr>
          <w:rFonts w:ascii="微软雅黑" w:eastAsia="微软雅黑" w:hint="eastAsia"/>
          <w:b/>
          <w:color w:val="0033CC"/>
          <w:w w:val="105"/>
        </w:rPr>
        <w:t>]</w:t>
      </w:r>
    </w:p>
    <w:p>
      <w:pPr>
        <w:pStyle w:val="BodyText"/>
        <w:spacing w:before="7"/>
        <w:ind w:left="0"/>
        <w:rPr>
          <w:rFonts w:ascii="微软雅黑"/>
          <w:b/>
          <w:sz w:val="10"/>
        </w:rPr>
      </w:pPr>
    </w:p>
    <w:p>
      <w:pPr>
        <w:spacing w:after="0"/>
        <w:rPr>
          <w:rFonts w:ascii="微软雅黑"/>
          <w:sz w:val="10"/>
        </w:rPr>
        <w:sectPr>
          <w:pgSz w:w="11910" w:h="16850"/>
          <w:pgMar w:header="906" w:footer="607" w:top="1100" w:bottom="800" w:left="1060" w:right="660"/>
        </w:sectPr>
      </w:pPr>
    </w:p>
    <w:p>
      <w:pPr>
        <w:pStyle w:val="Heading2"/>
        <w:spacing w:before="54"/>
        <w:ind w:left="3681"/>
      </w:pPr>
      <w:r>
        <w:rPr>
          <w:spacing w:val="-3"/>
        </w:rPr>
        <w:t>共建共治医保基金</w:t>
      </w:r>
    </w:p>
    <w:p>
      <w:pPr>
        <w:pStyle w:val="BodyText"/>
        <w:ind w:left="0"/>
        <w:rPr>
          <w:b/>
        </w:rPr>
      </w:pPr>
      <w:r>
        <w:rPr/>
        <w:br w:type="column"/>
      </w:r>
      <w:r>
        <w:rPr>
          <w:b/>
        </w:rPr>
      </w:r>
    </w:p>
    <w:p>
      <w:pPr>
        <w:pStyle w:val="BodyText"/>
        <w:spacing w:before="7"/>
        <w:ind w:left="0"/>
        <w:rPr>
          <w:b/>
          <w:sz w:val="23"/>
        </w:rPr>
      </w:pPr>
    </w:p>
    <w:p>
      <w:pPr>
        <w:pStyle w:val="Heading4"/>
        <w:ind w:left="149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6249" w:space="40"/>
            <w:col w:w="3901"/>
          </w:cols>
        </w:sectPr>
      </w:pPr>
    </w:p>
    <w:p>
      <w:pPr>
        <w:pStyle w:val="BodyText"/>
        <w:spacing w:line="297" w:lineRule="auto" w:before="96"/>
        <w:ind w:right="467" w:firstLine="480"/>
        <w:jc w:val="both"/>
      </w:pPr>
      <w:r>
        <w:rPr>
          <w:spacing w:val="-7"/>
        </w:rPr>
        <w:t>近日，国家医保局公布《医疗保障基金使用监管条例</w:t>
      </w:r>
      <w:r>
        <w:rPr/>
        <w:t>（征求意见稿</w:t>
      </w:r>
      <w:r>
        <w:rPr>
          <w:spacing w:val="-17"/>
        </w:rPr>
        <w:t>）</w:t>
      </w:r>
      <w:r>
        <w:rPr>
          <w:spacing w:val="-8"/>
        </w:rPr>
        <w:t>》。随着监管框架</w:t>
      </w:r>
      <w:r>
        <w:rPr>
          <w:spacing w:val="-12"/>
        </w:rPr>
        <w:t>更加完善，医疗机构、参保人员、社会各方在医保基金使用监管方面的重要作用也将被调动</w:t>
      </w:r>
      <w:r>
        <w:rPr/>
        <w:t>起来，从而形成合力，朝着共建共治的目标迈进。</w:t>
      </w:r>
    </w:p>
    <w:p>
      <w:pPr>
        <w:pStyle w:val="BodyText"/>
        <w:spacing w:line="297" w:lineRule="auto"/>
        <w:ind w:right="467" w:firstLine="480"/>
        <w:jc w:val="both"/>
      </w:pPr>
      <w:r>
        <w:rPr>
          <w:spacing w:val="-10"/>
        </w:rPr>
        <w:t>首先，各方对医保基金安全都高度关注。在实现全民医保基本覆盖后，医保基金在保障</w:t>
      </w:r>
      <w:r>
        <w:rPr>
          <w:spacing w:val="-8"/>
        </w:rPr>
        <w:t>参保人员及时就医、缓解家庭经济压力上发挥了重大作用，被称为老百姓的救命钱。救命钱</w:t>
      </w:r>
      <w:r>
        <w:rPr>
          <w:spacing w:val="-7"/>
        </w:rPr>
        <w:t>被欺诈骗取事件屡经媒体曝光，说明有不法机构、不法人员在以他人健康福祉为代价，攫取</w:t>
      </w:r>
      <w:r>
        <w:rPr>
          <w:spacing w:val="-9"/>
        </w:rPr>
        <w:t>不当利益。对这些丑恶的行为，加大打击力度，依法治理并进行惩处，是公众的共同期盼与强烈需求。</w:t>
      </w:r>
    </w:p>
    <w:p>
      <w:pPr>
        <w:pStyle w:val="BodyText"/>
        <w:spacing w:line="297" w:lineRule="auto"/>
        <w:ind w:right="467" w:firstLine="480"/>
        <w:jc w:val="both"/>
      </w:pPr>
      <w:r>
        <w:rPr>
          <w:spacing w:val="-13"/>
        </w:rPr>
        <w:t>其次，作为救死扶伤的主力军，广大医务工作者更是期待医保基金能够得到更为高效的</w:t>
      </w:r>
      <w:r>
        <w:rPr>
          <w:spacing w:val="-9"/>
        </w:rPr>
        <w:t>使用。尽管一些被曝光的骗保案例出现在民营乃至公立医疗机构，但不能将个别机构、个别</w:t>
      </w:r>
      <w:r>
        <w:rPr>
          <w:spacing w:val="-6"/>
        </w:rPr>
        <w:t>人员的行为想当然地归纳为群体特征。医保基金使用监管契合广大医务人员的内在需求，是</w:t>
      </w:r>
      <w:r>
        <w:rPr/>
        <w:t>推进健康中国建设的法治保障。</w:t>
      </w:r>
    </w:p>
    <w:p>
      <w:pPr>
        <w:pStyle w:val="BodyText"/>
        <w:spacing w:line="297" w:lineRule="auto"/>
        <w:ind w:right="467" w:firstLine="480"/>
        <w:jc w:val="both"/>
      </w:pPr>
      <w:r>
        <w:rPr>
          <w:spacing w:val="-11"/>
        </w:rPr>
        <w:t>再次，部分骗保案例表明，一些骗保人员并非明知故犯，而是对医保基金缺乏正确认知</w:t>
      </w:r>
      <w:r>
        <w:rPr>
          <w:spacing w:val="-10"/>
        </w:rPr>
        <w:t>及存在侥幸心理，通过明确的法律规范和社会宣传，将能增强公众合理使用医保基金的内在</w:t>
      </w:r>
      <w:r>
        <w:rPr/>
        <w:t>自觉性。</w:t>
      </w:r>
    </w:p>
    <w:p>
      <w:pPr>
        <w:pStyle w:val="BodyText"/>
        <w:spacing w:line="297" w:lineRule="auto"/>
        <w:ind w:right="367" w:firstLine="480"/>
        <w:jc w:val="both"/>
      </w:pPr>
      <w:r>
        <w:rPr>
          <w:spacing w:val="-9"/>
        </w:rPr>
        <w:t>当前，在报道医保基金使用监管的相关案例时，一些媒体采取了并不恰当的表述，比如</w:t>
      </w:r>
      <w:r>
        <w:rPr>
          <w:spacing w:val="-14"/>
        </w:rPr>
        <w:t>将医保基金形容为唐僧肉，将医保管理方比喻为孙悟空，无形中创造出了妖魔化的氛围，这</w:t>
      </w:r>
      <w:r>
        <w:rPr>
          <w:spacing w:val="-18"/>
        </w:rPr>
        <w:t>并不利于医保基金使用监管长效机制建立，不利于全社会合力维护基金安全，也与出台监管</w:t>
      </w:r>
      <w:r>
        <w:rPr>
          <w:spacing w:val="-15"/>
        </w:rPr>
        <w:t>条例的初衷存在距离。该《征求意见稿》明确，坚持政府主导、社会参与、自我约束、预防</w:t>
      </w:r>
      <w:r>
        <w:rPr>
          <w:spacing w:val="-12"/>
        </w:rPr>
        <w:t>与查处、激励与处罚相结合的基本原则，尽管部分内容还有待进一步充实，但实现社会共建</w:t>
      </w:r>
      <w:r>
        <w:rPr>
          <w:spacing w:val="-13"/>
        </w:rPr>
        <w:t>共治的方向是明确的，因此有关各方更应该抓住意见征集的时机，进一步提出完善的意见。</w:t>
      </w:r>
    </w:p>
    <w:p>
      <w:pPr>
        <w:pStyle w:val="BodyText"/>
        <w:spacing w:line="297" w:lineRule="auto"/>
        <w:ind w:right="467" w:firstLine="480"/>
      </w:pPr>
      <w:r>
        <w:rPr>
          <w:spacing w:val="-7"/>
        </w:rPr>
        <w:t>完善医保基金使用监管的制度设计，基于广大参保人员和医务工作者、医保管理方的共</w:t>
      </w:r>
      <w:r>
        <w:rPr>
          <w:spacing w:val="-9"/>
        </w:rPr>
        <w:t>同价值取向，需要更具合作性的态度、更具建设性的前瞻、更广范围的社会传播、更有温情</w:t>
      </w:r>
    </w:p>
    <w:p>
      <w:pPr>
        <w:pStyle w:val="BodyText"/>
        <w:spacing w:line="235" w:lineRule="auto"/>
        <w:ind w:right="469"/>
        <w:rPr>
          <w:rFonts w:ascii="微软雅黑" w:eastAsia="微软雅黑" w:hint="eastAsia"/>
          <w:b/>
        </w:rPr>
      </w:pPr>
      <w:r>
        <w:rPr>
          <w:spacing w:val="-10"/>
        </w:rPr>
        <w:t>的沟通与协调，需要在合情、合理、合法当中找平衡点，也需要在更宽广的视野中进一步完</w:t>
      </w:r>
      <w:r>
        <w:rPr>
          <w:w w:val="110"/>
        </w:rPr>
        <w:t>善相关设计。</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8"/>
        <w:ind w:left="0"/>
        <w:rPr>
          <w:rFonts w:ascii="微软雅黑"/>
          <w:b/>
          <w:sz w:val="9"/>
        </w:rPr>
      </w:pPr>
    </w:p>
    <w:p>
      <w:pPr>
        <w:spacing w:after="0"/>
        <w:rPr>
          <w:rFonts w:ascii="微软雅黑"/>
          <w:sz w:val="9"/>
        </w:rPr>
        <w:sectPr>
          <w:type w:val="continuous"/>
          <w:pgSz w:w="11910" w:h="16850"/>
          <w:pgMar w:top="1100" w:bottom="1020" w:left="1060" w:right="660"/>
        </w:sectPr>
      </w:pPr>
    </w:p>
    <w:p>
      <w:pPr>
        <w:pStyle w:val="Heading2"/>
        <w:spacing w:before="54"/>
        <w:ind w:left="2877"/>
      </w:pPr>
      <w:r>
        <w:rPr>
          <w:spacing w:val="-10"/>
        </w:rPr>
        <w:t>跨省异地结算突破 </w:t>
      </w:r>
      <w:r>
        <w:rPr/>
        <w:t>200</w:t>
      </w:r>
      <w:r>
        <w:rPr>
          <w:spacing w:val="-25"/>
        </w:rPr>
        <w:t> 万人次</w:t>
      </w:r>
    </w:p>
    <w:p>
      <w:pPr>
        <w:pStyle w:val="BodyText"/>
        <w:ind w:left="0"/>
        <w:rPr>
          <w:b/>
        </w:rPr>
      </w:pPr>
      <w:r>
        <w:rPr/>
        <w:br w:type="column"/>
      </w:r>
      <w:r>
        <w:rPr>
          <w:b/>
        </w:rPr>
      </w:r>
    </w:p>
    <w:p>
      <w:pPr>
        <w:pStyle w:val="BodyText"/>
        <w:spacing w:before="7"/>
        <w:ind w:left="0"/>
        <w:rPr>
          <w:b/>
          <w:sz w:val="23"/>
        </w:rPr>
      </w:pPr>
    </w:p>
    <w:p>
      <w:pPr>
        <w:pStyle w:val="Heading4"/>
        <w:ind w:left="68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7059" w:space="40"/>
            <w:col w:w="3091"/>
          </w:cols>
        </w:sectPr>
      </w:pPr>
    </w:p>
    <w:p>
      <w:pPr>
        <w:pStyle w:val="BodyText"/>
        <w:spacing w:line="297" w:lineRule="auto" w:before="96"/>
        <w:ind w:right="607" w:firstLine="480"/>
      </w:pPr>
      <w:r>
        <w:rPr/>
        <w:t>国家医保局近日发布信息指出，全国跨省异地就医住院医疗费用直接结算工作稳步推进，跨省异地就医定点医疗机构数量和备案人数持续增长。</w:t>
      </w:r>
    </w:p>
    <w:p>
      <w:pPr>
        <w:spacing w:after="0" w:line="297" w:lineRule="auto"/>
        <w:sectPr>
          <w:type w:val="continuous"/>
          <w:pgSz w:w="11910" w:h="16850"/>
          <w:pgMar w:top="1100" w:bottom="1020" w:left="1060" w:right="660"/>
        </w:sectPr>
      </w:pPr>
    </w:p>
    <w:p>
      <w:pPr>
        <w:pStyle w:val="BodyText"/>
        <w:spacing w:before="65"/>
        <w:ind w:left="0" w:right="485"/>
        <w:jc w:val="right"/>
      </w:pPr>
      <w:r>
        <w:rPr>
          <w:spacing w:val="-8"/>
        </w:rPr>
        <w:t>信息显示，截至 </w:t>
      </w:r>
      <w:r>
        <w:rPr/>
        <w:t>2019</w:t>
      </w:r>
      <w:r>
        <w:rPr>
          <w:spacing w:val="-40"/>
        </w:rPr>
        <w:t> 年 </w:t>
      </w:r>
      <w:r>
        <w:rPr/>
        <w:t>3</w:t>
      </w:r>
      <w:r>
        <w:rPr>
          <w:spacing w:val="-11"/>
        </w:rPr>
        <w:t> 月底，跨省异地就医定点医疗机构数量为 </w:t>
      </w:r>
      <w:r>
        <w:rPr/>
        <w:t>16230</w:t>
      </w:r>
      <w:r>
        <w:rPr>
          <w:spacing w:val="-10"/>
        </w:rPr>
        <w:t> 家，其中二</w:t>
      </w:r>
    </w:p>
    <w:p>
      <w:pPr>
        <w:pStyle w:val="BodyText"/>
        <w:spacing w:before="72"/>
        <w:ind w:left="0" w:right="468"/>
        <w:jc w:val="right"/>
      </w:pPr>
      <w:r>
        <w:rPr>
          <w:spacing w:val="-6"/>
        </w:rPr>
        <w:t>级及以下定点医疗机构 </w:t>
      </w:r>
      <w:r>
        <w:rPr/>
        <w:t>13580</w:t>
      </w:r>
      <w:r>
        <w:rPr>
          <w:spacing w:val="-17"/>
        </w:rPr>
        <w:t> 家，国家平台备案人数 </w:t>
      </w:r>
      <w:r>
        <w:rPr/>
        <w:t>385</w:t>
      </w:r>
      <w:r>
        <w:rPr>
          <w:spacing w:val="-12"/>
        </w:rPr>
        <w:t> 万。全国跨省异地就医住院医疗费</w:t>
      </w:r>
    </w:p>
    <w:p>
      <w:pPr>
        <w:pStyle w:val="BodyText"/>
        <w:spacing w:before="71"/>
        <w:ind w:left="0" w:right="485"/>
        <w:jc w:val="right"/>
      </w:pPr>
      <w:r>
        <w:rPr>
          <w:spacing w:val="-7"/>
        </w:rPr>
        <w:t>用直接结算工作自 </w:t>
      </w:r>
      <w:r>
        <w:rPr/>
        <w:t>2017</w:t>
      </w:r>
      <w:r>
        <w:rPr>
          <w:spacing w:val="-40"/>
        </w:rPr>
        <w:t> 年 </w:t>
      </w:r>
      <w:r>
        <w:rPr/>
        <w:t>1</w:t>
      </w:r>
      <w:r>
        <w:rPr>
          <w:spacing w:val="-11"/>
        </w:rPr>
        <w:t> 月启动以来，累计实现跨省异地就医直接结算 </w:t>
      </w:r>
      <w:r>
        <w:rPr/>
        <w:t>203</w:t>
      </w:r>
      <w:r>
        <w:rPr>
          <w:spacing w:val="-10"/>
        </w:rPr>
        <w:t> 万人次，涉</w:t>
      </w:r>
    </w:p>
    <w:p>
      <w:pPr>
        <w:pStyle w:val="BodyText"/>
        <w:spacing w:before="74"/>
        <w:ind w:left="0" w:right="468"/>
        <w:jc w:val="right"/>
      </w:pPr>
      <w:r>
        <w:rPr>
          <w:spacing w:val="-11"/>
        </w:rPr>
        <w:t>及医疗费用 </w:t>
      </w:r>
      <w:r>
        <w:rPr/>
        <w:t>485.4</w:t>
      </w:r>
      <w:r>
        <w:rPr>
          <w:spacing w:val="-17"/>
        </w:rPr>
        <w:t> 亿元，基金支付 </w:t>
      </w:r>
      <w:r>
        <w:rPr/>
        <w:t>285.1</w:t>
      </w:r>
      <w:r>
        <w:rPr>
          <w:spacing w:val="-14"/>
        </w:rPr>
        <w:t> 亿元，基金支付比例达 </w:t>
      </w:r>
      <w:r>
        <w:rPr/>
        <w:t>58.7%</w:t>
      </w:r>
      <w:r>
        <w:rPr>
          <w:spacing w:val="-11"/>
        </w:rPr>
        <w:t>。基金支付超过 </w:t>
      </w:r>
      <w:r>
        <w:rPr/>
        <w:t>1</w:t>
      </w:r>
      <w:r>
        <w:rPr>
          <w:spacing w:val="-30"/>
        </w:rPr>
        <w:t> 万</w:t>
      </w:r>
    </w:p>
    <w:p>
      <w:pPr>
        <w:pStyle w:val="BodyText"/>
        <w:spacing w:before="72"/>
      </w:pPr>
      <w:r>
        <w:rPr>
          <w:spacing w:val="-16"/>
        </w:rPr>
        <w:t>元的达 </w:t>
      </w:r>
      <w:r>
        <w:rPr/>
        <w:t>76.7</w:t>
      </w:r>
      <w:r>
        <w:rPr>
          <w:spacing w:val="-16"/>
        </w:rPr>
        <w:t> 万人次,超过 </w:t>
      </w:r>
      <w:r>
        <w:rPr/>
        <w:t>5</w:t>
      </w:r>
      <w:r>
        <w:rPr>
          <w:spacing w:val="-20"/>
        </w:rPr>
        <w:t> 万元的达 </w:t>
      </w:r>
      <w:r>
        <w:rPr/>
        <w:t>10</w:t>
      </w:r>
      <w:r>
        <w:rPr>
          <w:spacing w:val="-16"/>
        </w:rPr>
        <w:t> 万人次，超过 </w:t>
      </w:r>
      <w:r>
        <w:rPr/>
        <w:t>10</w:t>
      </w:r>
      <w:r>
        <w:rPr>
          <w:spacing w:val="-20"/>
        </w:rPr>
        <w:t> 万元的达 </w:t>
      </w:r>
      <w:r>
        <w:rPr/>
        <w:t>1.7</w:t>
      </w:r>
      <w:r>
        <w:rPr>
          <w:spacing w:val="-12"/>
        </w:rPr>
        <w:t> 万人次。</w:t>
      </w:r>
    </w:p>
    <w:p>
      <w:pPr>
        <w:pStyle w:val="BodyText"/>
        <w:spacing w:line="237" w:lineRule="auto" w:before="74"/>
        <w:ind w:right="467" w:firstLine="480"/>
        <w:rPr>
          <w:rFonts w:ascii="微软雅黑" w:eastAsia="微软雅黑" w:hint="eastAsia"/>
          <w:b/>
        </w:rPr>
      </w:pPr>
      <w:r>
        <w:rPr>
          <w:spacing w:val="-10"/>
        </w:rPr>
        <w:t>国家医保局提示，跨省异地就医直接结算执行就医地基本医疗保险药品目录、诊疗项目</w:t>
      </w:r>
      <w:r>
        <w:rPr>
          <w:w w:val="105"/>
        </w:rPr>
        <w:t>和医疗服务设施标准，手工报销仍执行参保地目录范围及有关规定。</w:t>
      </w:r>
      <w:r>
        <w:rPr>
          <w:rFonts w:ascii="微软雅黑" w:eastAsia="微软雅黑" w:hint="eastAsia"/>
          <w:b/>
          <w:color w:val="0033CC"/>
          <w:w w:val="105"/>
        </w:rPr>
        <w:t>[</w:t>
      </w:r>
      <w:r>
        <w:rPr>
          <w:rFonts w:ascii="Microsoft JhengHei" w:eastAsia="Microsoft JhengHei" w:hint="eastAsia"/>
          <w:b/>
          <w:color w:val="0033CC"/>
          <w:w w:val="105"/>
        </w:rPr>
        <w:t>返回目次</w:t>
      </w:r>
      <w:r>
        <w:rPr>
          <w:rFonts w:ascii="微软雅黑" w:eastAsia="微软雅黑" w:hint="eastAsia"/>
          <w:b/>
          <w:color w:val="0033CC"/>
          <w:w w:val="105"/>
        </w:rPr>
        <w:t>]</w:t>
      </w:r>
    </w:p>
    <w:p>
      <w:pPr>
        <w:pStyle w:val="Heading2"/>
        <w:spacing w:before="119"/>
        <w:ind w:left="217"/>
      </w:pPr>
      <w:r>
        <w:rPr/>
        <w:t>【药监动态】</w:t>
      </w:r>
    </w:p>
    <w:p>
      <w:pPr>
        <w:pStyle w:val="BodyText"/>
        <w:spacing w:before="11"/>
        <w:ind w:left="0"/>
        <w:rPr>
          <w:b/>
          <w:sz w:val="22"/>
        </w:rPr>
      </w:pPr>
    </w:p>
    <w:p>
      <w:pPr>
        <w:spacing w:before="0"/>
        <w:ind w:left="0" w:right="256" w:firstLine="0"/>
        <w:jc w:val="center"/>
        <w:rPr>
          <w:b/>
          <w:sz w:val="32"/>
        </w:rPr>
      </w:pPr>
      <w:r>
        <w:rPr>
          <w:b/>
          <w:sz w:val="32"/>
        </w:rPr>
        <w:t>重磅：药品追溯码重获部署！提出哪些新要求？</w:t>
      </w:r>
    </w:p>
    <w:p>
      <w:pPr>
        <w:pStyle w:val="Heading4"/>
        <w:spacing w:before="146"/>
        <w:ind w:left="0" w:right="468"/>
        <w:jc w:val="right"/>
        <w:rPr>
          <w:rFonts w:ascii="楷体" w:eastAsia="楷体" w:hint="eastAsia"/>
        </w:rPr>
      </w:pPr>
      <w:r>
        <w:rPr>
          <w:rFonts w:ascii="楷体" w:eastAsia="楷体" w:hint="eastAsia"/>
          <w:color w:val="FF0000"/>
          <w:w w:val="95"/>
        </w:rPr>
        <w:t>（来源：医药经济报）</w:t>
      </w:r>
    </w:p>
    <w:p>
      <w:pPr>
        <w:pStyle w:val="BodyText"/>
        <w:spacing w:line="295" w:lineRule="auto" w:before="98"/>
        <w:ind w:right="468" w:firstLine="480"/>
        <w:jc w:val="both"/>
      </w:pPr>
      <w:r>
        <w:rPr/>
        <w:t>4</w:t>
      </w:r>
      <w:r>
        <w:rPr>
          <w:spacing w:val="-40"/>
        </w:rPr>
        <w:t> 月 </w:t>
      </w:r>
      <w:r>
        <w:rPr/>
        <w:t>28</w:t>
      </w:r>
      <w:r>
        <w:rPr>
          <w:spacing w:val="-11"/>
        </w:rPr>
        <w:t> 日，国家药品监督管理局官网发布《关于发布&lt;药品信息化追溯体系建设导则&gt;&lt; </w:t>
      </w:r>
      <w:r>
        <w:rPr>
          <w:spacing w:val="-1"/>
        </w:rPr>
        <w:t>药品追溯码编码要求&gt;两项信息化标准的公告</w:t>
      </w:r>
      <w:r>
        <w:rPr/>
        <w:t>（2019</w:t>
      </w:r>
      <w:r>
        <w:rPr>
          <w:spacing w:val="-31"/>
        </w:rPr>
        <w:t> 年第 </w:t>
      </w:r>
      <w:r>
        <w:rPr/>
        <w:t>32</w:t>
      </w:r>
      <w:r>
        <w:rPr>
          <w:spacing w:val="-30"/>
        </w:rPr>
        <w:t> 号</w:t>
      </w:r>
      <w:r>
        <w:rPr>
          <w:spacing w:val="-15"/>
        </w:rPr>
        <w:t>）</w:t>
      </w:r>
      <w:r>
        <w:rPr>
          <w:spacing w:val="-5"/>
        </w:rPr>
        <w:t>》,正式宣布药品追溯监管</w:t>
      </w:r>
      <w:r>
        <w:rPr/>
        <w:t>码体系将得到全新的部署。</w:t>
      </w:r>
    </w:p>
    <w:p>
      <w:pPr>
        <w:pStyle w:val="Heading4"/>
        <w:spacing w:before="5"/>
        <w:ind w:left="697"/>
      </w:pPr>
      <w:r>
        <w:rPr/>
        <w:drawing>
          <wp:anchor distT="0" distB="0" distL="0" distR="0" allowOverlap="1" layoutInCell="1" locked="0" behindDoc="0" simplePos="0" relativeHeight="2">
            <wp:simplePos x="0" y="0"/>
            <wp:positionH relativeFrom="page">
              <wp:posOffset>862330</wp:posOffset>
            </wp:positionH>
            <wp:positionV relativeFrom="paragraph">
              <wp:posOffset>227837</wp:posOffset>
            </wp:positionV>
            <wp:extent cx="5965184" cy="3891724"/>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11" cstate="print"/>
                    <a:stretch>
                      <a:fillRect/>
                    </a:stretch>
                  </pic:blipFill>
                  <pic:spPr>
                    <a:xfrm>
                      <a:off x="0" y="0"/>
                      <a:ext cx="5965184" cy="3891724"/>
                    </a:xfrm>
                    <a:prstGeom prst="rect">
                      <a:avLst/>
                    </a:prstGeom>
                  </pic:spPr>
                </pic:pic>
              </a:graphicData>
            </a:graphic>
          </wp:anchor>
        </w:drawing>
      </w:r>
      <w:r>
        <w:rPr>
          <w:w w:val="95"/>
        </w:rPr>
        <w:t>“第三方”定义范围广</w:t>
      </w:r>
    </w:p>
    <w:p>
      <w:pPr>
        <w:pStyle w:val="BodyText"/>
        <w:spacing w:line="297" w:lineRule="auto" w:before="8"/>
        <w:ind w:right="470" w:firstLine="480"/>
      </w:pPr>
      <w:r>
        <w:rPr/>
        <w:t>2016</w:t>
      </w:r>
      <w:r>
        <w:rPr>
          <w:spacing w:val="-41"/>
        </w:rPr>
        <w:t> 年 </w:t>
      </w:r>
      <w:r>
        <w:rPr/>
        <w:t>9</w:t>
      </w:r>
      <w:r>
        <w:rPr>
          <w:spacing w:val="-8"/>
        </w:rPr>
        <w:t> 月，原国家食品药品监督管理总局发布《关于推动食品药品生产经营者完善</w:t>
      </w:r>
      <w:r>
        <w:rPr>
          <w:spacing w:val="-15"/>
        </w:rPr>
        <w:t>追溯体系的意见》，内容提出：食品药品生产经营者应当承担起食品药品追溯体系建设的主</w:t>
      </w:r>
      <w:r>
        <w:rPr/>
        <w:t>体责任，实现对其生产经营的产品来源可查、去向可追。</w:t>
      </w:r>
    </w:p>
    <w:p>
      <w:pPr>
        <w:pStyle w:val="BodyText"/>
        <w:spacing w:line="297" w:lineRule="auto"/>
        <w:ind w:right="467" w:firstLine="480"/>
      </w:pPr>
      <w:r>
        <w:rPr>
          <w:spacing w:val="-11"/>
        </w:rPr>
        <w:t>然而，由于此前发布的意见并未明确统一追溯系统标准和实施细则，致使药品追溯体系</w:t>
      </w:r>
      <w:r>
        <w:rPr/>
        <w:t>规范化、标准化建设备受行业关注。</w:t>
      </w:r>
    </w:p>
    <w:p>
      <w:pPr>
        <w:spacing w:after="0" w:line="297" w:lineRule="auto"/>
        <w:sectPr>
          <w:pgSz w:w="11910" w:h="16850"/>
          <w:pgMar w:header="906" w:footer="607" w:top="1100" w:bottom="800" w:left="1060" w:right="660"/>
        </w:sectPr>
      </w:pPr>
    </w:p>
    <w:p>
      <w:pPr>
        <w:pStyle w:val="BodyText"/>
        <w:spacing w:line="297" w:lineRule="auto" w:before="65"/>
        <w:ind w:right="467" w:firstLine="480"/>
        <w:jc w:val="both"/>
      </w:pPr>
      <w:r>
        <w:rPr>
          <w:spacing w:val="-11"/>
        </w:rPr>
        <w:t>本次发布的《药品信息化追溯体系建设导则》明确：药品信息化追溯体系应包含药品追</w:t>
      </w:r>
      <w:r>
        <w:rPr>
          <w:spacing w:val="-10"/>
        </w:rPr>
        <w:t>溯系统、药品追溯协同服务平台和药品追溯监管系统。此外，对于药品追溯系统还应包含药</w:t>
      </w:r>
      <w:r>
        <w:rPr>
          <w:spacing w:val="-9"/>
        </w:rPr>
        <w:t>品在生产、流通及使用等全过程追溯信息，并具有对追溯信息的采集、存储和共享功能，可分为企业自建追溯系统和第三方机构提供的追溯系统两大类。</w:t>
      </w:r>
    </w:p>
    <w:p>
      <w:pPr>
        <w:pStyle w:val="BodyText"/>
        <w:spacing w:line="297" w:lineRule="auto"/>
        <w:ind w:right="467" w:firstLine="480"/>
        <w:jc w:val="both"/>
      </w:pPr>
      <w:r>
        <w:rPr>
          <w:spacing w:val="-9"/>
        </w:rPr>
        <w:t>业内人士认为，从政策可以看出，如果企业自身的追溯体系满足监管政策要求，允许继</w:t>
      </w:r>
      <w:r>
        <w:rPr>
          <w:spacing w:val="-7"/>
        </w:rPr>
        <w:t>续沿用企业自建的追溯体系；如果企业自建的追溯体系无法满足监管政策要求，即可以自身</w:t>
      </w:r>
      <w:r>
        <w:rPr/>
        <w:t>改造升级，也可以寻求第三方平台接入。</w:t>
      </w:r>
    </w:p>
    <w:p>
      <w:pPr>
        <w:pStyle w:val="BodyText"/>
        <w:spacing w:line="297" w:lineRule="auto"/>
        <w:ind w:right="468" w:firstLine="480"/>
        <w:jc w:val="both"/>
      </w:pPr>
      <w:r>
        <w:rPr>
          <w:spacing w:val="-11"/>
        </w:rPr>
        <w:t>按照要求，信息技术企业、行业组织等均可作为第三方，按照有关法规和标准提供药品</w:t>
      </w:r>
      <w:r>
        <w:rPr>
          <w:spacing w:val="-10"/>
        </w:rPr>
        <w:t>追溯专业服务。有关发码机构应有明确的编码规则，并协助药品上市许可持有人和生产企业将其基本信息、编码规则、药品标识码及相关信息向协同平台备案，确保药品追溯码的唯一</w:t>
      </w:r>
      <w:r>
        <w:rPr/>
        <w:t>性。</w:t>
      </w:r>
    </w:p>
    <w:p>
      <w:pPr>
        <w:pStyle w:val="Heading4"/>
        <w:spacing w:line="302" w:lineRule="exact"/>
        <w:ind w:left="697"/>
      </w:pPr>
      <w:r>
        <w:rPr/>
        <w:t>“一物一码”标准化</w:t>
      </w:r>
    </w:p>
    <w:p>
      <w:pPr>
        <w:pStyle w:val="BodyText"/>
        <w:spacing w:line="295" w:lineRule="auto" w:before="64"/>
        <w:ind w:right="472" w:firstLine="480"/>
        <w:jc w:val="both"/>
      </w:pPr>
      <w:r>
        <w:rPr>
          <w:spacing w:val="-12"/>
        </w:rPr>
        <w:t>本次政策明确，“药品追溯码”是用于唯一标识药品各级销售包装单元的代码；“药品</w:t>
      </w:r>
      <w:r>
        <w:rPr>
          <w:spacing w:val="-10"/>
        </w:rPr>
        <w:t>标识码”是用于标识特定于某种与药品上市许可持有人、生产企业、药品通用名、剂型、制</w:t>
      </w:r>
      <w:r>
        <w:rPr/>
        <w:t>剂规格和包装规格对应的药品的唯一性代码。</w:t>
      </w:r>
    </w:p>
    <w:p>
      <w:pPr>
        <w:pStyle w:val="BodyText"/>
        <w:spacing w:line="295" w:lineRule="auto" w:before="5"/>
        <w:ind w:right="468" w:firstLine="480"/>
      </w:pPr>
      <w:r>
        <w:rPr>
          <w:spacing w:val="-12"/>
        </w:rPr>
        <w:t>此外，政策强调，药品追溯系统、协同平台、药品追溯监管系统之间的数据交换应符合</w:t>
      </w:r>
      <w:r>
        <w:rPr/>
        <w:t>国家药品监督管理局制定的数据交换相关技术标准。</w:t>
      </w:r>
    </w:p>
    <w:p>
      <w:pPr>
        <w:pStyle w:val="BodyText"/>
        <w:spacing w:line="297" w:lineRule="auto" w:before="3"/>
        <w:ind w:right="467" w:firstLine="480"/>
        <w:jc w:val="both"/>
      </w:pPr>
      <w:r>
        <w:rPr>
          <w:spacing w:val="-10"/>
        </w:rPr>
        <w:t>不难预计，加快药品信息化追溯体系的建设，将有利于药品追溯信息互通共享，实现药</w:t>
      </w:r>
      <w:r>
        <w:rPr>
          <w:spacing w:val="-9"/>
        </w:rPr>
        <w:t>品来源可查、去向可追，在发生质量安全问题时，确保假药和问题疫苗等可召回、责任可追究。</w:t>
      </w:r>
    </w:p>
    <w:p>
      <w:pPr>
        <w:pStyle w:val="BodyText"/>
        <w:spacing w:line="297" w:lineRule="auto"/>
        <w:ind w:right="467" w:firstLine="480"/>
        <w:jc w:val="both"/>
      </w:pPr>
      <w:r>
        <w:rPr>
          <w:spacing w:val="-21"/>
        </w:rPr>
        <w:t>就在 </w:t>
      </w:r>
      <w:r>
        <w:rPr/>
        <w:t>3</w:t>
      </w:r>
      <w:r>
        <w:rPr>
          <w:spacing w:val="-15"/>
        </w:rPr>
        <w:t> 天前，国务院医改领导小组秘书处、国家卫生健康委就深化药品领域改革典型经</w:t>
      </w:r>
      <w:r>
        <w:rPr>
          <w:spacing w:val="-10"/>
        </w:rPr>
        <w:t>验举行发布会，会议明确将进一步完善推动落实国家基本药物制度，加快药品信息化追溯体</w:t>
      </w:r>
      <w:r>
        <w:rPr>
          <w:spacing w:val="-11"/>
        </w:rPr>
        <w:t>系建设，并明确“疫苗、麻醉药品、精神药品、药品类易制毒化学品、血液制品等重点产品</w:t>
      </w:r>
      <w:r>
        <w:rPr/>
        <w:t>应率先建立药品信息化追溯体系。”</w:t>
      </w:r>
    </w:p>
    <w:p>
      <w:pPr>
        <w:pStyle w:val="BodyText"/>
        <w:spacing w:line="297" w:lineRule="auto"/>
        <w:ind w:right="467" w:firstLine="480"/>
      </w:pPr>
      <w:r>
        <w:rPr>
          <w:spacing w:val="-10"/>
        </w:rPr>
        <w:t>显然，由于药品信息化追溯体系建设主体是企业，企业不仅要支付硬件设施如电脑、扫</w:t>
      </w:r>
      <w:r>
        <w:rPr/>
        <w:t>码设备、加密设备等费用，还需支付软件开发和后期维护以及聘请相关专业人员的费用。</w:t>
      </w:r>
    </w:p>
    <w:p>
      <w:pPr>
        <w:pStyle w:val="BodyText"/>
        <w:spacing w:line="304" w:lineRule="exact"/>
        <w:ind w:firstLine="480"/>
      </w:pPr>
      <w:r>
        <w:rPr>
          <w:spacing w:val="-7"/>
        </w:rPr>
        <w:t>为防止相关数据的滥用，企业作为追溯体系的建设主体，应采用有效的数据安全存储技</w:t>
      </w:r>
    </w:p>
    <w:p>
      <w:pPr>
        <w:pStyle w:val="BodyText"/>
        <w:spacing w:line="235" w:lineRule="auto" w:before="71"/>
        <w:ind w:right="468"/>
        <w:rPr>
          <w:rFonts w:ascii="微软雅黑" w:eastAsia="微软雅黑" w:hint="eastAsia"/>
          <w:b/>
        </w:rPr>
      </w:pPr>
      <w:r>
        <w:rPr>
          <w:spacing w:val="-12"/>
        </w:rPr>
        <w:t>术，防止数据泄露；应能够验证存储数据的完整性和有效性，防止非授权用户非法获取及修</w:t>
      </w:r>
      <w:r>
        <w:rPr>
          <w:spacing w:val="-9"/>
        </w:rPr>
        <w:t>改数据，记录授权用户对数据的修改行为及内容；应具备数据备份与容灾功能。</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spacing w:val="-16"/>
        </w:rPr>
        <w:t>]</w:t>
      </w:r>
    </w:p>
    <w:p>
      <w:pPr>
        <w:pStyle w:val="BodyText"/>
        <w:spacing w:before="9"/>
        <w:ind w:left="0"/>
        <w:rPr>
          <w:rFonts w:ascii="微软雅黑"/>
          <w:b/>
          <w:sz w:val="13"/>
        </w:rPr>
      </w:pPr>
    </w:p>
    <w:p>
      <w:pPr>
        <w:pStyle w:val="Heading2"/>
        <w:ind w:right="255"/>
        <w:jc w:val="center"/>
      </w:pPr>
      <w:r>
        <w:rPr/>
        <w:t>国家药监局将开展芬太尼类药品专项检查</w:t>
      </w:r>
    </w:p>
    <w:p>
      <w:pPr>
        <w:pStyle w:val="Heading4"/>
        <w:spacing w:before="147"/>
        <w:ind w:left="0" w:right="468"/>
        <w:jc w:val="right"/>
        <w:rPr>
          <w:rFonts w:ascii="楷体" w:eastAsia="楷体" w:hint="eastAsia"/>
        </w:rPr>
      </w:pPr>
      <w:r>
        <w:rPr>
          <w:rFonts w:ascii="楷体" w:eastAsia="楷体" w:hint="eastAsia"/>
          <w:color w:val="FF0000"/>
          <w:w w:val="95"/>
        </w:rPr>
        <w:t>（来源：中国医药报）</w:t>
      </w:r>
    </w:p>
    <w:p>
      <w:pPr>
        <w:pStyle w:val="ListParagraph"/>
        <w:numPr>
          <w:ilvl w:val="0"/>
          <w:numId w:val="1"/>
        </w:numPr>
        <w:tabs>
          <w:tab w:pos="878" w:val="left" w:leader="none"/>
        </w:tabs>
        <w:spacing w:line="297" w:lineRule="auto" w:before="96" w:after="0"/>
        <w:ind w:left="217" w:right="348" w:firstLine="480"/>
        <w:jc w:val="left"/>
        <w:rPr>
          <w:sz w:val="24"/>
        </w:rPr>
      </w:pPr>
      <w:r>
        <w:rPr>
          <w:spacing w:val="-31"/>
          <w:sz w:val="24"/>
        </w:rPr>
        <w:t>月 </w:t>
      </w:r>
      <w:r>
        <w:rPr>
          <w:sz w:val="24"/>
        </w:rPr>
        <w:t>17</w:t>
      </w:r>
      <w:r>
        <w:rPr>
          <w:spacing w:val="-12"/>
          <w:sz w:val="24"/>
        </w:rPr>
        <w:t> 日，国家药监局在京召开芬太尼类药品管理座谈会。会议深入贯彻落实党中央、</w:t>
      </w:r>
      <w:r>
        <w:rPr>
          <w:spacing w:val="-5"/>
          <w:sz w:val="24"/>
        </w:rPr>
        <w:t>国务院关于芬太尼类物质实施整类列管的决策部署，要求各级药监部门提高认识，采取有效</w:t>
      </w:r>
      <w:r>
        <w:rPr>
          <w:spacing w:val="-10"/>
          <w:sz w:val="24"/>
        </w:rPr>
        <w:t>措施加强芬太尼类药品日常监管和风险排查，督促企业严格落实法律法规和麻醉药品安全管理制度，堵塞管理漏洞，坚决防止相关药品流失。国家药监局副局长陈时飞出席会议。</w:t>
      </w:r>
    </w:p>
    <w:p>
      <w:pPr>
        <w:pStyle w:val="ListParagraph"/>
        <w:numPr>
          <w:ilvl w:val="0"/>
          <w:numId w:val="1"/>
        </w:numPr>
        <w:tabs>
          <w:tab w:pos="878" w:val="left" w:leader="none"/>
        </w:tabs>
        <w:spacing w:line="297" w:lineRule="auto" w:before="0" w:after="0"/>
        <w:ind w:left="217" w:right="467" w:firstLine="480"/>
        <w:jc w:val="left"/>
        <w:rPr>
          <w:sz w:val="24"/>
        </w:rPr>
      </w:pPr>
      <w:r>
        <w:rPr>
          <w:spacing w:val="-31"/>
          <w:sz w:val="24"/>
        </w:rPr>
        <w:t>月 </w:t>
      </w:r>
      <w:r>
        <w:rPr>
          <w:sz w:val="24"/>
        </w:rPr>
        <w:t>1</w:t>
      </w:r>
      <w:r>
        <w:rPr>
          <w:spacing w:val="-12"/>
          <w:sz w:val="24"/>
        </w:rPr>
        <w:t> 日起，我国将对芬太尼类物质实施整类列管。会议指出，各级药品监管部门和芬</w:t>
      </w:r>
      <w:r>
        <w:rPr>
          <w:spacing w:val="-6"/>
          <w:sz w:val="24"/>
        </w:rPr>
        <w:t>太尼类药品生产经营企业必须切实提高政治站位，坚持国家总体安全观，清醒认识芬太尼类</w:t>
      </w:r>
    </w:p>
    <w:p>
      <w:pPr>
        <w:spacing w:after="0" w:line="297" w:lineRule="auto"/>
        <w:jc w:val="left"/>
        <w:rPr>
          <w:sz w:val="24"/>
        </w:rPr>
        <w:sectPr>
          <w:pgSz w:w="11910" w:h="16850"/>
          <w:pgMar w:header="906" w:footer="607" w:top="1100" w:bottom="800" w:left="1060" w:right="660"/>
        </w:sectPr>
      </w:pPr>
    </w:p>
    <w:p>
      <w:pPr>
        <w:pStyle w:val="BodyText"/>
        <w:spacing w:line="295" w:lineRule="auto" w:before="65"/>
        <w:ind w:right="467"/>
      </w:pPr>
      <w:r>
        <w:rPr>
          <w:spacing w:val="-7"/>
        </w:rPr>
        <w:t>新型毒品的现实危害和潜在风险，深刻认识整类列管的重大意义，认真推进芬太尼类物质整</w:t>
      </w:r>
      <w:r>
        <w:rPr/>
        <w:t>类列管中涉及药品监管的相关工作。</w:t>
      </w:r>
    </w:p>
    <w:p>
      <w:pPr>
        <w:pStyle w:val="BodyText"/>
        <w:spacing w:line="297" w:lineRule="auto" w:before="2"/>
        <w:ind w:right="467" w:firstLine="480"/>
        <w:jc w:val="both"/>
      </w:pPr>
      <w:r>
        <w:rPr>
          <w:spacing w:val="-10"/>
        </w:rPr>
        <w:t>会议强调，企业要切实履行主体责任，及时排查化解风险隐患，确保芬太尼类药品不出</w:t>
      </w:r>
      <w:r>
        <w:rPr>
          <w:spacing w:val="-9"/>
        </w:rPr>
        <w:t>现任何流弊问题。要建立严格的责任落实机制，完善特殊药品全过程安全管理体系；要严格</w:t>
      </w:r>
      <w:r>
        <w:rPr>
          <w:spacing w:val="-10"/>
        </w:rPr>
        <w:t>药品销售管理，保证所销售的每一最小包装芬太尼类药品都在规定渠道内合法流通、流向可控，加快推进特殊药品追溯体系建设。同时提醒企业审慎开展芬太尼类药品出口业务，坚决</w:t>
      </w:r>
      <w:r>
        <w:rPr/>
        <w:t>不从事芬太尼类物质的生产和销售活动。</w:t>
      </w:r>
    </w:p>
    <w:p>
      <w:pPr>
        <w:pStyle w:val="BodyText"/>
        <w:spacing w:line="297" w:lineRule="auto"/>
        <w:ind w:right="466" w:firstLine="480"/>
        <w:jc w:val="both"/>
      </w:pPr>
      <w:r>
        <w:rPr>
          <w:spacing w:val="-12"/>
        </w:rPr>
        <w:t>会议要求，各级药监部门要落实监管责任，继续坚持麻醉药品生产经营企业重点监管和</w:t>
      </w:r>
      <w:r>
        <w:rPr>
          <w:spacing w:val="-10"/>
        </w:rPr>
        <w:t>每月巡查制度，对发现的流失线索和违法违规行为一查到底；要建立健全特殊药品突发事件</w:t>
      </w:r>
      <w:r>
        <w:rPr>
          <w:spacing w:val="-9"/>
        </w:rPr>
        <w:t>应急处理机制，对相关事件快速反应、及时调查、依法处理；要从严开展涉芬太尼类特殊药</w:t>
      </w:r>
      <w:r>
        <w:rPr/>
        <w:t>品审批，源头控制、严格把关。近期，国家药监局将部署开展芬太尼类药品专项检查。</w:t>
      </w:r>
    </w:p>
    <w:p>
      <w:pPr>
        <w:pStyle w:val="BodyText"/>
        <w:spacing w:line="297" w:lineRule="auto"/>
        <w:ind w:right="467" w:firstLine="480"/>
      </w:pPr>
      <w:r>
        <w:rPr>
          <w:spacing w:val="-10"/>
        </w:rPr>
        <w:t>会议指出，芬太尼类物质整类列管工作涉及多个部门，药监部门要和公安部门、卫生健</w:t>
      </w:r>
      <w:r>
        <w:rPr/>
        <w:t>康部门、海关部门加强协作，强化信息共享和行刑衔接，进一步形成监管合力。</w:t>
      </w:r>
    </w:p>
    <w:p>
      <w:pPr>
        <w:pStyle w:val="BodyText"/>
        <w:spacing w:line="297" w:lineRule="auto"/>
        <w:ind w:right="349" w:firstLine="480"/>
        <w:jc w:val="both"/>
      </w:pPr>
      <w:r>
        <w:rPr>
          <w:spacing w:val="-10"/>
        </w:rPr>
        <w:t>会上，国家禁毒委员会办公室参会代表介绍了芬太尼类物质整类列管相关工作进展，公</w:t>
      </w:r>
      <w:r>
        <w:rPr>
          <w:spacing w:val="-14"/>
        </w:rPr>
        <w:t>安部禁毒局参会代表介绍了芬太尼类物质的危害、监测和列管情况。芬太尼类药品生产企业</w:t>
      </w:r>
      <w:r>
        <w:rPr>
          <w:spacing w:val="-20"/>
        </w:rPr>
        <w:t>和麻醉药品全国性批发企业负责人，企业所在地省</w:t>
      </w:r>
      <w:r>
        <w:rPr/>
        <w:t>（市</w:t>
      </w:r>
      <w:r>
        <w:rPr>
          <w:spacing w:val="-75"/>
        </w:rPr>
        <w:t>）</w:t>
      </w:r>
      <w:r>
        <w:rPr>
          <w:spacing w:val="-1"/>
        </w:rPr>
        <w:t>药监局分管领导和相关处室负责人，</w:t>
      </w:r>
    </w:p>
    <w:p>
      <w:pPr>
        <w:pStyle w:val="BodyText"/>
        <w:spacing w:line="362" w:lineRule="exact"/>
        <w:rPr>
          <w:rFonts w:ascii="微软雅黑" w:eastAsia="微软雅黑" w:hint="eastAsia"/>
          <w:b/>
        </w:rPr>
      </w:pPr>
      <w:r>
        <w:rPr>
          <w:spacing w:val="-4"/>
        </w:rPr>
        <w:t>以及国家药监局核查中心和评价中心相关负责人出席会议并提出了意见和建议。</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Heading2"/>
        <w:spacing w:before="106"/>
        <w:ind w:left="217"/>
      </w:pPr>
      <w:r>
        <w:rPr/>
        <w:t>【医改新政】</w:t>
      </w:r>
    </w:p>
    <w:p>
      <w:pPr>
        <w:pStyle w:val="BodyText"/>
        <w:spacing w:before="11"/>
        <w:ind w:left="0"/>
        <w:rPr>
          <w:b/>
          <w:sz w:val="22"/>
        </w:rPr>
      </w:pPr>
    </w:p>
    <w:p>
      <w:pPr>
        <w:spacing w:before="0"/>
        <w:ind w:left="1069" w:right="0" w:firstLine="0"/>
        <w:jc w:val="left"/>
        <w:rPr>
          <w:b/>
          <w:sz w:val="32"/>
        </w:rPr>
      </w:pPr>
      <w:r>
        <w:rPr>
          <w:b/>
          <w:sz w:val="32"/>
        </w:rPr>
        <w:t>5</w:t>
      </w:r>
      <w:r>
        <w:rPr>
          <w:b/>
          <w:spacing w:val="-54"/>
          <w:sz w:val="32"/>
        </w:rPr>
        <w:t> 月 </w:t>
      </w:r>
      <w:r>
        <w:rPr>
          <w:b/>
          <w:sz w:val="32"/>
        </w:rPr>
        <w:t>1</w:t>
      </w:r>
      <w:r>
        <w:rPr>
          <w:b/>
          <w:spacing w:val="-9"/>
          <w:sz w:val="32"/>
        </w:rPr>
        <w:t> 日起，北京“先来后到”的就医模式将被打破...</w:t>
      </w:r>
    </w:p>
    <w:p>
      <w:pPr>
        <w:pStyle w:val="Heading4"/>
        <w:spacing w:before="148"/>
        <w:ind w:left="0" w:right="468"/>
        <w:jc w:val="right"/>
        <w:rPr>
          <w:rFonts w:ascii="楷体" w:eastAsia="楷体" w:hint="eastAsia"/>
        </w:rPr>
      </w:pPr>
      <w:r>
        <w:rPr>
          <w:rFonts w:ascii="楷体" w:eastAsia="楷体" w:hint="eastAsia"/>
          <w:color w:val="FF0000"/>
          <w:w w:val="95"/>
        </w:rPr>
        <w:t>（来源：中国医学论坛报）</w:t>
      </w:r>
    </w:p>
    <w:p>
      <w:pPr>
        <w:pStyle w:val="BodyText"/>
        <w:spacing w:before="95"/>
        <w:ind w:left="699"/>
      </w:pPr>
      <w:r>
        <w:rPr/>
        <w:t>在生命面前打破“先来后到”，让出生命抢救通道。</w:t>
      </w:r>
    </w:p>
    <w:p>
      <w:pPr>
        <w:pStyle w:val="BodyText"/>
        <w:spacing w:line="297" w:lineRule="auto" w:before="72"/>
        <w:ind w:right="469" w:firstLine="482"/>
      </w:pPr>
      <w:r>
        <w:rPr>
          <w:spacing w:val="-31"/>
        </w:rPr>
        <w:t>从 </w:t>
      </w:r>
      <w:r>
        <w:rPr/>
        <w:t>2019</w:t>
      </w:r>
      <w:r>
        <w:rPr>
          <w:spacing w:val="-40"/>
        </w:rPr>
        <w:t> 年 </w:t>
      </w:r>
      <w:r>
        <w:rPr/>
        <w:t>5</w:t>
      </w:r>
      <w:r>
        <w:rPr>
          <w:spacing w:val="-40"/>
        </w:rPr>
        <w:t> 月 </w:t>
      </w:r>
      <w:r>
        <w:rPr/>
        <w:t>1</w:t>
      </w:r>
      <w:r>
        <w:rPr>
          <w:spacing w:val="-24"/>
        </w:rPr>
        <w:t> 日起，北京市 </w:t>
      </w:r>
      <w:r>
        <w:rPr/>
        <w:t>20</w:t>
      </w:r>
      <w:r>
        <w:rPr>
          <w:spacing w:val="-13"/>
        </w:rPr>
        <w:t> 家提供急诊服务的市属医院，统一实施急诊预检分诊</w:t>
      </w:r>
      <w:r>
        <w:rPr/>
        <w:t>分级就诊(“急诊分级”)，在生命面前打破“先来后到”，让出生命抢救通道。</w:t>
      </w:r>
    </w:p>
    <w:p>
      <w:pPr>
        <w:pStyle w:val="Heading4"/>
        <w:spacing w:line="306" w:lineRule="exact"/>
      </w:pPr>
      <w:r>
        <w:rPr>
          <w:w w:val="95"/>
        </w:rPr>
        <w:t>急诊分级，分清轻重缓急</w:t>
      </w:r>
    </w:p>
    <w:p>
      <w:pPr>
        <w:pStyle w:val="BodyText"/>
        <w:spacing w:line="297" w:lineRule="auto" w:before="72"/>
        <w:ind w:right="472" w:firstLine="482"/>
        <w:jc w:val="both"/>
      </w:pPr>
      <w:r>
        <w:rPr>
          <w:spacing w:val="-8"/>
        </w:rPr>
        <w:t>每一个前往急诊的患者，都希望自己第一时间得到救治，也因此导致出现很多“急诊不</w:t>
      </w:r>
      <w:r>
        <w:rPr>
          <w:spacing w:val="-11"/>
        </w:rPr>
        <w:t>急”的状况就像高速路上的应急车道，被抢时间的私家车占用，当真的出现紧急状况时，这</w:t>
      </w:r>
      <w:r>
        <w:rPr/>
        <w:t>条生命之路可能已经被堵死。</w:t>
      </w:r>
    </w:p>
    <w:p>
      <w:pPr>
        <w:pStyle w:val="BodyText"/>
        <w:spacing w:line="297" w:lineRule="auto"/>
        <w:ind w:right="466" w:firstLine="482"/>
        <w:jc w:val="both"/>
      </w:pPr>
      <w:r>
        <w:rPr>
          <w:spacing w:val="-5"/>
        </w:rPr>
        <w:t>为了保证急危重症患者能够得到及时优先救治，从 </w:t>
      </w:r>
      <w:r>
        <w:rPr/>
        <w:t>2019</w:t>
      </w:r>
      <w:r>
        <w:rPr>
          <w:spacing w:val="-40"/>
        </w:rPr>
        <w:t> 年 </w:t>
      </w:r>
      <w:r>
        <w:rPr/>
        <w:t>5</w:t>
      </w:r>
      <w:r>
        <w:rPr>
          <w:spacing w:val="-40"/>
        </w:rPr>
        <w:t> 月 </w:t>
      </w:r>
      <w:r>
        <w:rPr/>
        <w:t>1</w:t>
      </w:r>
      <w:r>
        <w:rPr>
          <w:spacing w:val="-17"/>
        </w:rPr>
        <w:t> 日起，</w:t>
      </w:r>
      <w:r>
        <w:rPr>
          <w:spacing w:val="-7"/>
        </w:rPr>
        <w:t>20</w:t>
      </w:r>
      <w:r>
        <w:rPr>
          <w:spacing w:val="-13"/>
        </w:rPr>
        <w:t> 家提供急诊</w:t>
      </w:r>
      <w:r>
        <w:rPr/>
        <w:t>服务的北京市属医院，统一实施急诊预检分诊分级就诊(“急诊分级”)。</w:t>
      </w:r>
    </w:p>
    <w:p>
      <w:pPr>
        <w:pStyle w:val="BodyText"/>
        <w:spacing w:line="297" w:lineRule="auto"/>
        <w:ind w:right="348" w:firstLine="482"/>
      </w:pPr>
      <w:r>
        <w:rPr/>
        <w:t>根据原国家卫生部《急诊科建设与管理指南(试行)》(卫医政发〔2009〕50</w:t>
      </w:r>
      <w:r>
        <w:rPr>
          <w:spacing w:val="-10"/>
        </w:rPr>
        <w:t> 号)、国家卫生行业标准《医院急诊科规范化流程》(WS/T390—2012)，明确提出“急诊应当制定并严</w:t>
      </w:r>
      <w:r>
        <w:rPr>
          <w:spacing w:val="-16"/>
        </w:rPr>
        <w:t>格执行分诊程序及分诊原则”：将患者分为“濒危、危重、急症和非急症”</w:t>
      </w:r>
      <w:r>
        <w:rPr>
          <w:spacing w:val="-7"/>
        </w:rPr>
        <w:t>1-4</w:t>
      </w:r>
      <w:r>
        <w:rPr>
          <w:spacing w:val="-11"/>
        </w:rPr>
        <w:t> 级分级管理， </w:t>
      </w:r>
      <w:r>
        <w:rPr>
          <w:spacing w:val="-8"/>
        </w:rPr>
        <w:t>遵循从重到轻、从病情迅速变化到相对稳定的原则，合理安排患者就诊顺序，优先处理较重病人。</w:t>
      </w:r>
    </w:p>
    <w:p>
      <w:pPr>
        <w:pStyle w:val="ListParagraph"/>
        <w:numPr>
          <w:ilvl w:val="0"/>
          <w:numId w:val="2"/>
        </w:numPr>
        <w:tabs>
          <w:tab w:pos="880" w:val="left" w:leader="none"/>
        </w:tabs>
        <w:spacing w:line="295" w:lineRule="auto" w:before="0" w:after="0"/>
        <w:ind w:left="217" w:right="466" w:firstLine="482"/>
        <w:jc w:val="both"/>
        <w:rPr>
          <w:sz w:val="24"/>
        </w:rPr>
      </w:pPr>
      <w:r>
        <w:rPr>
          <w:spacing w:val="-7"/>
          <w:sz w:val="24"/>
        </w:rPr>
        <w:t>级：患者病情濒危、随时可能危及生命，即刻进入复苏室或抢救室进行抢救。如心跳</w:t>
      </w:r>
      <w:r>
        <w:rPr>
          <w:spacing w:val="-8"/>
          <w:sz w:val="24"/>
        </w:rPr>
        <w:t>呼吸骤停、休克、明确的心肌梗死、癫痫持续状态、体温</w:t>
      </w:r>
      <w:r>
        <w:rPr>
          <w:sz w:val="24"/>
        </w:rPr>
        <w:t>＞41℃</w:t>
      </w:r>
      <w:r>
        <w:rPr>
          <w:spacing w:val="-5"/>
          <w:sz w:val="24"/>
        </w:rPr>
        <w:t>、收缩压</w:t>
      </w:r>
      <w:r>
        <w:rPr>
          <w:sz w:val="24"/>
        </w:rPr>
        <w:t>＜70mmHg</w:t>
      </w:r>
      <w:r>
        <w:rPr>
          <w:spacing w:val="-9"/>
          <w:sz w:val="24"/>
        </w:rPr>
        <w:t>、血糖＜ </w:t>
      </w:r>
      <w:r>
        <w:rPr>
          <w:sz w:val="24"/>
        </w:rPr>
        <w:t>3.33mmol/L</w:t>
      </w:r>
      <w:r>
        <w:rPr>
          <w:spacing w:val="-21"/>
          <w:sz w:val="24"/>
        </w:rPr>
        <w:t> 等。</w:t>
      </w:r>
    </w:p>
    <w:p>
      <w:pPr>
        <w:spacing w:after="0" w:line="295" w:lineRule="auto"/>
        <w:jc w:val="both"/>
        <w:rPr>
          <w:sz w:val="24"/>
        </w:rPr>
        <w:sectPr>
          <w:pgSz w:w="11910" w:h="16850"/>
          <w:pgMar w:header="906" w:footer="607" w:top="1100" w:bottom="800" w:left="1060" w:right="660"/>
        </w:sectPr>
      </w:pPr>
    </w:p>
    <w:p>
      <w:pPr>
        <w:pStyle w:val="ListParagraph"/>
        <w:numPr>
          <w:ilvl w:val="0"/>
          <w:numId w:val="2"/>
        </w:numPr>
        <w:tabs>
          <w:tab w:pos="880" w:val="left" w:leader="none"/>
        </w:tabs>
        <w:spacing w:line="295" w:lineRule="auto" w:before="65" w:after="0"/>
        <w:ind w:left="217" w:right="469" w:firstLine="482"/>
        <w:jc w:val="left"/>
        <w:rPr>
          <w:sz w:val="24"/>
        </w:rPr>
      </w:pPr>
      <w:r>
        <w:rPr>
          <w:spacing w:val="-9"/>
          <w:sz w:val="24"/>
        </w:rPr>
        <w:t>级：患者病情危重或迅速恶化、存在生命危险，10</w:t>
      </w:r>
      <w:r>
        <w:rPr>
          <w:spacing w:val="-11"/>
          <w:sz w:val="24"/>
        </w:rPr>
        <w:t> 分钟内进入抢救室进行救治。如严</w:t>
      </w:r>
      <w:r>
        <w:rPr>
          <w:sz w:val="24"/>
        </w:rPr>
        <w:t>重呼吸困难、昏睡、急性脑卒中、ECG</w:t>
      </w:r>
      <w:r>
        <w:rPr>
          <w:spacing w:val="-8"/>
          <w:sz w:val="24"/>
        </w:rPr>
        <w:t> 提示急性心肌梗死、活动性或严重失血等。</w:t>
      </w:r>
    </w:p>
    <w:p>
      <w:pPr>
        <w:pStyle w:val="ListParagraph"/>
        <w:numPr>
          <w:ilvl w:val="0"/>
          <w:numId w:val="2"/>
        </w:numPr>
        <w:tabs>
          <w:tab w:pos="880" w:val="left" w:leader="none"/>
        </w:tabs>
        <w:spacing w:line="297" w:lineRule="auto" w:before="2" w:after="0"/>
        <w:ind w:left="217" w:right="348" w:firstLine="482"/>
        <w:jc w:val="left"/>
        <w:rPr>
          <w:sz w:val="24"/>
        </w:rPr>
      </w:pPr>
      <w:r>
        <w:rPr>
          <w:spacing w:val="-15"/>
          <w:sz w:val="24"/>
        </w:rPr>
        <w:t>级：患者病情急、存在潜在的生命威胁，先于 </w:t>
      </w:r>
      <w:r>
        <w:rPr>
          <w:sz w:val="24"/>
        </w:rPr>
        <w:t>4</w:t>
      </w:r>
      <w:r>
        <w:rPr>
          <w:spacing w:val="-12"/>
          <w:sz w:val="24"/>
        </w:rPr>
        <w:t> 级非急症患者优先诊治。如急性哮喘、</w:t>
      </w:r>
      <w:r>
        <w:rPr>
          <w:sz w:val="24"/>
        </w:rPr>
        <w:t>吸入异物、吞咽困难、持续呕吐、胸腹痛、轻中度外伤、轻中度出血等。</w:t>
      </w:r>
    </w:p>
    <w:p>
      <w:pPr>
        <w:pStyle w:val="ListParagraph"/>
        <w:numPr>
          <w:ilvl w:val="0"/>
          <w:numId w:val="2"/>
        </w:numPr>
        <w:tabs>
          <w:tab w:pos="880" w:val="left" w:leader="none"/>
        </w:tabs>
        <w:spacing w:line="295" w:lineRule="auto" w:before="0" w:after="0"/>
        <w:ind w:left="217" w:right="470" w:firstLine="482"/>
        <w:jc w:val="left"/>
        <w:rPr>
          <w:sz w:val="24"/>
        </w:rPr>
      </w:pPr>
      <w:r>
        <w:rPr>
          <w:spacing w:val="-8"/>
          <w:sz w:val="24"/>
        </w:rPr>
        <w:t>级：患者为非急症，病情程度一般，根据指引顺序就诊，等候时间较长。如无危险特</w:t>
      </w:r>
      <w:r>
        <w:rPr>
          <w:sz w:val="24"/>
        </w:rPr>
        <w:t>征的轻微疼痛、不需要缝合的小的擦伤、稳定恢复期患者复诊、仅开具医疗证明等。</w:t>
      </w:r>
    </w:p>
    <w:p>
      <w:pPr>
        <w:pStyle w:val="Heading4"/>
        <w:spacing w:before="2"/>
      </w:pPr>
      <w:r>
        <w:rPr/>
        <w:t>科学分级最大程度 保证每位患者生命安全</w:t>
      </w:r>
    </w:p>
    <w:p>
      <w:pPr>
        <w:pStyle w:val="BodyText"/>
        <w:spacing w:line="297" w:lineRule="auto" w:before="72"/>
        <w:ind w:right="467" w:firstLine="482"/>
        <w:jc w:val="both"/>
      </w:pPr>
      <w:r>
        <w:rPr>
          <w:spacing w:val="-8"/>
        </w:rPr>
        <w:t>如何保证分级的科学、公平和安全？北京市医管局表示，第一重保障，经验丰富的专业</w:t>
      </w:r>
      <w:r>
        <w:rPr>
          <w:spacing w:val="-10"/>
        </w:rPr>
        <w:t>分诊医务人员。各医院急诊科均安排经验丰富的人员从事急诊预检分诊工作，并组织急诊相</w:t>
      </w:r>
      <w:r>
        <w:rPr>
          <w:spacing w:val="-8"/>
        </w:rPr>
        <w:t>关的所有医务人员，进行了全员专项培训。第二重保障，专业仪器采集生命体征。分级最重</w:t>
      </w:r>
      <w:r>
        <w:rPr>
          <w:spacing w:val="-12"/>
        </w:rPr>
        <w:t>要的依据是专业仪器对患者生命体征的采集，包括心率、血压、血氧饱和度等，医务人员再</w:t>
      </w:r>
      <w:r>
        <w:rPr/>
        <w:t>结合患者的病史、症状、体征，做出最终科学的分级及隶属专科。</w:t>
      </w:r>
    </w:p>
    <w:p>
      <w:pPr>
        <w:pStyle w:val="BodyText"/>
        <w:spacing w:line="295" w:lineRule="auto"/>
        <w:ind w:right="349" w:firstLine="482"/>
      </w:pPr>
      <w:r>
        <w:rPr>
          <w:spacing w:val="-6"/>
        </w:rPr>
        <w:t>第三重保障则是专业人员监测候诊区患者病情。对于 </w:t>
      </w:r>
      <w:r>
        <w:rPr/>
        <w:t>3</w:t>
      </w:r>
      <w:r>
        <w:rPr>
          <w:spacing w:val="-39"/>
        </w:rPr>
        <w:t> 级、</w:t>
      </w:r>
      <w:r>
        <w:rPr/>
        <w:t>4</w:t>
      </w:r>
      <w:r>
        <w:rPr>
          <w:spacing w:val="-13"/>
        </w:rPr>
        <w:t> 级患者，在候诊区等候时， </w:t>
      </w:r>
      <w:r>
        <w:rPr>
          <w:spacing w:val="-6"/>
        </w:rPr>
        <w:t>会有专门的医务人员定期进行巡视，对候诊患者的病情及潜在的危险动态评估，可根据最新</w:t>
      </w:r>
      <w:r>
        <w:rPr>
          <w:spacing w:val="-12"/>
        </w:rPr>
        <w:t>的评估情况再次分级，保证患者生命安全。患者如有突发不适，也请及时告知医务人员，以</w:t>
      </w:r>
    </w:p>
    <w:p>
      <w:pPr>
        <w:spacing w:line="371" w:lineRule="exact" w:before="0"/>
        <w:ind w:left="217" w:right="0" w:firstLine="0"/>
        <w:jc w:val="left"/>
        <w:rPr>
          <w:rFonts w:ascii="微软雅黑" w:eastAsia="微软雅黑" w:hint="eastAsia"/>
          <w:b/>
          <w:sz w:val="24"/>
        </w:rPr>
      </w:pPr>
      <w:r>
        <w:rPr>
          <w:w w:val="110"/>
          <w:sz w:val="24"/>
        </w:rPr>
        <w:t>便及时采取相应的医疗护理措施。</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Heading1"/>
        <w:spacing w:before="35"/>
        <w:ind w:left="0" w:right="253"/>
        <w:rPr>
          <w:u w:val="none"/>
        </w:rPr>
      </w:pPr>
      <w:bookmarkStart w:name="_TOC_250030" w:id="1"/>
      <w:r>
        <w:rPr>
          <w:rFonts w:ascii="Times New Roman" w:eastAsia="Times New Roman"/>
          <w:color w:val="008000"/>
          <w:spacing w:val="-110"/>
          <w:w w:val="99"/>
          <w:u w:val="thick" w:color="008000"/>
        </w:rPr>
        <w:t> </w:t>
      </w:r>
      <w:bookmarkEnd w:id="1"/>
      <w:r>
        <w:rPr>
          <w:color w:val="008000"/>
          <w:u w:val="thick" w:color="008000"/>
        </w:rPr>
        <w:t>行业资讯</w:t>
      </w:r>
    </w:p>
    <w:p>
      <w:pPr>
        <w:pStyle w:val="Heading2"/>
        <w:spacing w:before="142"/>
        <w:ind w:left="217"/>
      </w:pPr>
      <w:bookmarkStart w:name="_TOC_250029" w:id="2"/>
      <w:bookmarkEnd w:id="2"/>
      <w:r>
        <w:rPr/>
        <w:t>【医院管理】</w:t>
      </w:r>
    </w:p>
    <w:p>
      <w:pPr>
        <w:pStyle w:val="BodyText"/>
        <w:spacing w:before="8"/>
        <w:ind w:left="0"/>
        <w:rPr>
          <w:b/>
          <w:sz w:val="18"/>
        </w:rPr>
      </w:pPr>
    </w:p>
    <w:p>
      <w:pPr>
        <w:spacing w:after="0"/>
        <w:rPr>
          <w:sz w:val="18"/>
        </w:rPr>
        <w:sectPr>
          <w:pgSz w:w="11910" w:h="16850"/>
          <w:pgMar w:header="906" w:footer="607" w:top="1100" w:bottom="800" w:left="1060" w:right="660"/>
        </w:sectPr>
      </w:pPr>
    </w:p>
    <w:p>
      <w:pPr>
        <w:pStyle w:val="Heading2"/>
        <w:spacing w:before="55"/>
        <w:ind w:left="2877"/>
      </w:pPr>
      <w:bookmarkStart w:name="_TOC_250028" w:id="3"/>
      <w:bookmarkEnd w:id="3"/>
      <w:r>
        <w:rPr>
          <w:spacing w:val="-2"/>
        </w:rPr>
        <w:t>三级公立医院绩效考核将启动</w:t>
      </w:r>
    </w:p>
    <w:p>
      <w:pPr>
        <w:pStyle w:val="BodyText"/>
        <w:ind w:left="0"/>
        <w:rPr>
          <w:b/>
        </w:rPr>
      </w:pPr>
      <w:r>
        <w:rPr/>
        <w:br w:type="column"/>
      </w:r>
      <w:r>
        <w:rPr>
          <w:b/>
        </w:rPr>
      </w:r>
    </w:p>
    <w:p>
      <w:pPr>
        <w:pStyle w:val="BodyText"/>
        <w:spacing w:before="7"/>
        <w:ind w:left="0"/>
        <w:rPr>
          <w:b/>
          <w:sz w:val="23"/>
        </w:rPr>
      </w:pPr>
    </w:p>
    <w:p>
      <w:pPr>
        <w:pStyle w:val="Heading4"/>
        <w:spacing w:before="1"/>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7052" w:space="40"/>
            <w:col w:w="3098"/>
          </w:cols>
        </w:sectPr>
      </w:pPr>
    </w:p>
    <w:p>
      <w:pPr>
        <w:pStyle w:val="BodyText"/>
        <w:spacing w:before="95"/>
        <w:ind w:left="697"/>
      </w:pPr>
      <w:r>
        <w:rPr/>
        <w:t>4 月 22 日，国家卫生健康委、国家中医药管理局联合发布《关于启动 2019 年全国三级</w:t>
      </w:r>
    </w:p>
    <w:p>
      <w:pPr>
        <w:pStyle w:val="BodyText"/>
        <w:spacing w:line="295" w:lineRule="auto" w:before="74"/>
        <w:ind w:right="469"/>
      </w:pPr>
      <w:r>
        <w:rPr>
          <w:spacing w:val="-9"/>
        </w:rPr>
        <w:t>公立医院绩效考核有关工作的通知》。《通知》明确，将于今年 </w:t>
      </w:r>
      <w:r>
        <w:rPr/>
        <w:t>6</w:t>
      </w:r>
      <w:r>
        <w:rPr>
          <w:spacing w:val="-40"/>
        </w:rPr>
        <w:t> 月 </w:t>
      </w:r>
      <w:r>
        <w:rPr/>
        <w:t>1</w:t>
      </w:r>
      <w:r>
        <w:rPr>
          <w:spacing w:val="-9"/>
        </w:rPr>
        <w:t> 日开放全国三级医院</w:t>
      </w:r>
      <w:r>
        <w:rPr/>
        <w:t>绩效考核信息系统，所有三级公立医院可直接上传医院绩效考核数据。</w:t>
      </w:r>
    </w:p>
    <w:p>
      <w:pPr>
        <w:pStyle w:val="BodyText"/>
        <w:spacing w:line="297" w:lineRule="auto" w:before="3"/>
        <w:ind w:right="349" w:firstLine="480"/>
      </w:pPr>
      <w:r>
        <w:rPr>
          <w:spacing w:val="-13"/>
        </w:rPr>
        <w:t>《通知》指出，要规范使用 </w:t>
      </w:r>
      <w:r>
        <w:rPr/>
        <w:t>2011</w:t>
      </w:r>
      <w:r>
        <w:rPr>
          <w:spacing w:val="-12"/>
        </w:rPr>
        <w:t> 年修订版住院病案首页，并使用统一的上传接口标准。</w:t>
      </w:r>
      <w:r>
        <w:rPr>
          <w:spacing w:val="-5"/>
        </w:rPr>
        <w:t>三级公立医院全面启用《疾病分类代码国家临床版 </w:t>
      </w:r>
      <w:r>
        <w:rPr/>
        <w:t>2.0</w:t>
      </w:r>
      <w:r>
        <w:rPr>
          <w:spacing w:val="-6"/>
        </w:rPr>
        <w:t>》和《手术操作分类代码国家临床版2.0》。其中，三级公立中医医院要同时全面启用国家中医药管理局印发的中医病证分类与</w:t>
      </w:r>
      <w:r>
        <w:rPr>
          <w:spacing w:val="-12"/>
        </w:rPr>
        <w:t>代码和中医临床诊疗术语，实现全国范围内的疾病编码统一和手术操作编码统一。所有三级</w:t>
      </w:r>
      <w:r>
        <w:rPr>
          <w:spacing w:val="-19"/>
        </w:rPr>
        <w:t>公立医院要在 </w:t>
      </w:r>
      <w:r>
        <w:rPr/>
        <w:t>2019</w:t>
      </w:r>
      <w:r>
        <w:rPr>
          <w:spacing w:val="-40"/>
        </w:rPr>
        <w:t> 年 </w:t>
      </w:r>
      <w:r>
        <w:rPr/>
        <w:t>4</w:t>
      </w:r>
      <w:r>
        <w:rPr>
          <w:spacing w:val="-16"/>
        </w:rPr>
        <w:t> 月底完成上传 </w:t>
      </w:r>
      <w:r>
        <w:rPr/>
        <w:t>2016</w:t>
      </w:r>
      <w:r>
        <w:rPr>
          <w:spacing w:val="-20"/>
        </w:rPr>
        <w:t> 年、</w:t>
      </w:r>
      <w:r>
        <w:rPr/>
        <w:t>2017</w:t>
      </w:r>
      <w:r>
        <w:rPr>
          <w:spacing w:val="-20"/>
        </w:rPr>
        <w:t> 年、</w:t>
      </w:r>
      <w:r>
        <w:rPr/>
        <w:t>2018</w:t>
      </w:r>
      <w:r>
        <w:rPr>
          <w:spacing w:val="-8"/>
        </w:rPr>
        <w:t> 年病案首页数据</w:t>
      </w:r>
      <w:r>
        <w:rPr/>
        <w:t>，9</w:t>
      </w:r>
      <w:r>
        <w:rPr>
          <w:spacing w:val="-15"/>
        </w:rPr>
        <w:t> 月完成</w:t>
      </w:r>
      <w:r>
        <w:rPr>
          <w:spacing w:val="-34"/>
        </w:rPr>
        <w:t>上传 </w:t>
      </w:r>
      <w:r>
        <w:rPr/>
        <w:t>2019</w:t>
      </w:r>
      <w:r>
        <w:rPr>
          <w:spacing w:val="-49"/>
        </w:rPr>
        <w:t> 年 </w:t>
      </w:r>
      <w:r>
        <w:rPr/>
        <w:t>1</w:t>
      </w:r>
      <w:r>
        <w:rPr>
          <w:spacing w:val="-36"/>
        </w:rPr>
        <w:t> 月</w:t>
      </w:r>
      <w:r>
        <w:rPr>
          <w:spacing w:val="-3"/>
        </w:rPr>
        <w:t>～</w:t>
      </w:r>
      <w:r>
        <w:rPr/>
        <w:t>8</w:t>
      </w:r>
      <w:r>
        <w:rPr>
          <w:spacing w:val="-21"/>
        </w:rPr>
        <w:t> 月的病案首页数据，</w:t>
      </w:r>
      <w:r>
        <w:rPr/>
        <w:t>9</w:t>
      </w:r>
      <w:r>
        <w:rPr>
          <w:spacing w:val="-15"/>
        </w:rPr>
        <w:t> 月后每月完成上传前 </w:t>
      </w:r>
      <w:r>
        <w:rPr/>
        <w:t>1</w:t>
      </w:r>
      <w:r>
        <w:rPr>
          <w:spacing w:val="-20"/>
        </w:rPr>
        <w:t> 个月的病案首页数据，</w:t>
      </w:r>
      <w:r>
        <w:rPr/>
        <w:t>2020</w:t>
      </w:r>
    </w:p>
    <w:p>
      <w:pPr>
        <w:pStyle w:val="BodyText"/>
        <w:spacing w:line="300" w:lineRule="exact"/>
      </w:pPr>
      <w:r>
        <w:rPr/>
        <w:t>年 1 月 15 日前完成上传 2019 年全年病案首页数据。</w:t>
      </w:r>
    </w:p>
    <w:p>
      <w:pPr>
        <w:pStyle w:val="BodyText"/>
        <w:spacing w:before="74"/>
        <w:ind w:left="0" w:right="468"/>
        <w:jc w:val="right"/>
      </w:pPr>
      <w:r>
        <w:rPr/>
        <w:t>《通知》强调，全国没有参加国家室间质量评价的三级公立医院要在今年 7 月底前完成</w:t>
      </w:r>
    </w:p>
    <w:p>
      <w:pPr>
        <w:pStyle w:val="BodyText"/>
        <w:spacing w:before="72"/>
        <w:ind w:left="0" w:right="545"/>
        <w:jc w:val="right"/>
      </w:pPr>
      <w:r>
        <w:rPr>
          <w:spacing w:val="-4"/>
        </w:rPr>
        <w:t>国家室间质量评价工作，评估结果纳入 </w:t>
      </w:r>
      <w:r>
        <w:rPr/>
        <w:t>2019</w:t>
      </w:r>
      <w:r>
        <w:rPr>
          <w:spacing w:val="-11"/>
        </w:rPr>
        <w:t> 年绩效考核。所有三级公立医院在 </w:t>
      </w:r>
      <w:r>
        <w:rPr/>
        <w:t>2019</w:t>
      </w:r>
      <w:r>
        <w:rPr>
          <w:spacing w:val="-40"/>
        </w:rPr>
        <w:t> 年 </w:t>
      </w:r>
      <w:r>
        <w:rPr/>
        <w:t>12</w:t>
      </w:r>
    </w:p>
    <w:p>
      <w:pPr>
        <w:pStyle w:val="BodyText"/>
        <w:spacing w:before="72"/>
        <w:ind w:left="0" w:right="469"/>
        <w:jc w:val="right"/>
      </w:pPr>
      <w:r>
        <w:rPr>
          <w:spacing w:val="-11"/>
        </w:rPr>
        <w:t>月底前完成 </w:t>
      </w:r>
      <w:r>
        <w:rPr/>
        <w:t>2019</w:t>
      </w:r>
      <w:r>
        <w:rPr>
          <w:spacing w:val="-13"/>
        </w:rPr>
        <w:t> 年度的国家室间质量评价工作，评估结果纳入 </w:t>
      </w:r>
      <w:r>
        <w:rPr/>
        <w:t>2020</w:t>
      </w:r>
      <w:r>
        <w:rPr>
          <w:spacing w:val="-14"/>
        </w:rPr>
        <w:t> 年绩效考核。同时，全</w:t>
      </w:r>
    </w:p>
    <w:p>
      <w:pPr>
        <w:pStyle w:val="BodyText"/>
        <w:spacing w:before="74"/>
        <w:ind w:left="0" w:right="485"/>
        <w:jc w:val="right"/>
      </w:pPr>
      <w:r>
        <w:rPr>
          <w:spacing w:val="-2"/>
        </w:rPr>
        <w:t>国没有参加国家卫生健康委电子病历应用功能水平分级标准评估的医院要在 </w:t>
      </w:r>
      <w:r>
        <w:rPr/>
        <w:t>2019</w:t>
      </w:r>
      <w:r>
        <w:rPr>
          <w:spacing w:val="-40"/>
        </w:rPr>
        <w:t> 年 </w:t>
      </w:r>
      <w:r>
        <w:rPr/>
        <w:t>6</w:t>
      </w:r>
      <w:r>
        <w:rPr>
          <w:spacing w:val="-20"/>
        </w:rPr>
        <w:t> 月底</w:t>
      </w:r>
    </w:p>
    <w:p>
      <w:pPr>
        <w:pStyle w:val="BodyText"/>
        <w:spacing w:before="72"/>
        <w:ind w:left="0" w:right="486"/>
        <w:jc w:val="right"/>
      </w:pPr>
      <w:r>
        <w:rPr>
          <w:spacing w:val="-3"/>
        </w:rPr>
        <w:t>前完成电子病历应用功能水平分级标准评估，评估结果将纳入 </w:t>
      </w:r>
      <w:r>
        <w:rPr/>
        <w:t>2019</w:t>
      </w:r>
      <w:r>
        <w:rPr>
          <w:spacing w:val="-8"/>
        </w:rPr>
        <w:t> 年绩效考核。所有三级</w:t>
      </w:r>
    </w:p>
    <w:p>
      <w:pPr>
        <w:spacing w:after="0"/>
        <w:jc w:val="right"/>
        <w:sectPr>
          <w:type w:val="continuous"/>
          <w:pgSz w:w="11910" w:h="16850"/>
          <w:pgMar w:top="1100" w:bottom="1020" w:left="1060" w:right="660"/>
        </w:sectPr>
      </w:pPr>
    </w:p>
    <w:p>
      <w:pPr>
        <w:pStyle w:val="BodyText"/>
        <w:spacing w:before="65"/>
      </w:pPr>
      <w:r>
        <w:rPr/>
        <w:t>公立医院在 2019 年 12 月底前完成 2019 年度的电子病历应用功能水平分级标准评估工作，</w:t>
      </w:r>
    </w:p>
    <w:p>
      <w:pPr>
        <w:pStyle w:val="BodyText"/>
        <w:spacing w:before="72"/>
      </w:pPr>
      <w:r>
        <w:rPr/>
        <w:t>结果纳入 2020 年绩效考核。</w:t>
      </w:r>
    </w:p>
    <w:p>
      <w:pPr>
        <w:pStyle w:val="BodyText"/>
        <w:spacing w:before="71"/>
        <w:ind w:firstLine="480"/>
      </w:pPr>
      <w:r>
        <w:rPr/>
        <w:t>据悉，国家卫生健康委组织编写的《三级公立医院绩效考核操作手册（2019 版）》、</w:t>
      </w:r>
    </w:p>
    <w:p>
      <w:pPr>
        <w:pStyle w:val="BodyText"/>
        <w:spacing w:line="235" w:lineRule="auto" w:before="79"/>
        <w:ind w:right="479"/>
        <w:rPr>
          <w:rFonts w:ascii="微软雅黑" w:eastAsia="微软雅黑" w:hint="eastAsia"/>
          <w:b/>
        </w:rPr>
      </w:pPr>
      <w:r>
        <w:rPr/>
        <w:t>国家中医药管理局组织编写的《三级公立中医医院绩效考核操作手册（2019 版）》将另行印发，两个操作手册明确了绩效考核所涉及指标的具体释义。</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Heading1"/>
        <w:spacing w:before="42"/>
        <w:rPr>
          <w:u w:val="none"/>
        </w:rPr>
      </w:pPr>
      <w:bookmarkStart w:name="_TOC_250027" w:id="4"/>
      <w:r>
        <w:rPr>
          <w:rFonts w:ascii="Times New Roman" w:eastAsia="Times New Roman"/>
          <w:color w:val="008000"/>
          <w:spacing w:val="-110"/>
          <w:w w:val="99"/>
          <w:u w:val="thick" w:color="008000"/>
        </w:rPr>
        <w:t> </w:t>
      </w:r>
      <w:bookmarkEnd w:id="4"/>
      <w:r>
        <w:rPr>
          <w:color w:val="008000"/>
          <w:u w:val="thick" w:color="008000"/>
        </w:rPr>
        <w:t>医药前沿</w:t>
      </w:r>
    </w:p>
    <w:p>
      <w:pPr>
        <w:pStyle w:val="Heading2"/>
        <w:spacing w:before="114"/>
        <w:ind w:left="217"/>
      </w:pPr>
      <w:bookmarkStart w:name="_TOC_250026" w:id="5"/>
      <w:bookmarkEnd w:id="5"/>
      <w:r>
        <w:rPr/>
        <w:t>【前沿速览】</w:t>
      </w:r>
    </w:p>
    <w:p>
      <w:pPr>
        <w:pStyle w:val="BodyText"/>
        <w:spacing w:before="9"/>
        <w:ind w:left="0"/>
        <w:rPr>
          <w:b/>
          <w:sz w:val="17"/>
        </w:rPr>
      </w:pPr>
    </w:p>
    <w:p>
      <w:pPr>
        <w:spacing w:after="0"/>
        <w:rPr>
          <w:sz w:val="17"/>
        </w:rPr>
        <w:sectPr>
          <w:pgSz w:w="11910" w:h="16850"/>
          <w:pgMar w:header="906" w:footer="607" w:top="1100" w:bottom="800" w:left="1060" w:right="660"/>
        </w:sectPr>
      </w:pPr>
    </w:p>
    <w:p>
      <w:pPr>
        <w:pStyle w:val="Heading2"/>
        <w:spacing w:before="55"/>
        <w:ind w:left="2877"/>
      </w:pPr>
      <w:bookmarkStart w:name="_TOC_250025" w:id="6"/>
      <w:bookmarkEnd w:id="6"/>
      <w:r>
        <w:rPr>
          <w:spacing w:val="-2"/>
        </w:rPr>
        <w:t>提高癌症新药试验效率有新法</w:t>
      </w:r>
    </w:p>
    <w:p>
      <w:pPr>
        <w:pStyle w:val="BodyText"/>
        <w:ind w:left="0"/>
        <w:rPr>
          <w:b/>
        </w:rPr>
      </w:pPr>
      <w:r>
        <w:rPr/>
        <w:br w:type="column"/>
      </w:r>
      <w:r>
        <w:rPr>
          <w:b/>
        </w:rPr>
      </w:r>
    </w:p>
    <w:p>
      <w:pPr>
        <w:pStyle w:val="BodyText"/>
        <w:spacing w:before="10"/>
        <w:ind w:left="0"/>
        <w:rPr>
          <w:b/>
          <w:sz w:val="23"/>
        </w:rPr>
      </w:pPr>
    </w:p>
    <w:p>
      <w:pPr>
        <w:pStyle w:val="Heading4"/>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7052" w:space="40"/>
            <w:col w:w="3098"/>
          </w:cols>
        </w:sectPr>
      </w:pPr>
    </w:p>
    <w:p>
      <w:pPr>
        <w:pStyle w:val="BodyText"/>
        <w:spacing w:line="297" w:lineRule="auto" w:before="96"/>
        <w:ind w:right="467" w:firstLine="480"/>
      </w:pPr>
      <w:r>
        <w:rPr/>
        <w:t>英国曼彻斯特大学近日发布一项研究报告说，通过分析癌症病人血液样本中的遗传信</w:t>
      </w:r>
      <w:r>
        <w:rPr>
          <w:spacing w:val="-11"/>
        </w:rPr>
        <w:t>息，可更高效及准确地判断他们是否适合新药的临床试验，从而提高临床试验效率和治疗成</w:t>
      </w:r>
      <w:r>
        <w:rPr/>
        <w:t>功率。</w:t>
      </w:r>
    </w:p>
    <w:p>
      <w:pPr>
        <w:pStyle w:val="BodyText"/>
        <w:spacing w:line="297" w:lineRule="auto"/>
        <w:ind w:right="467" w:firstLine="480"/>
        <w:jc w:val="both"/>
      </w:pPr>
      <w:r>
        <w:rPr>
          <w:spacing w:val="-10"/>
        </w:rPr>
        <w:t>据介绍，当前开展癌症新药临床试验时，判断癌症病人是否适合参与，主要基于他们的</w:t>
      </w:r>
      <w:r>
        <w:rPr>
          <w:spacing w:val="-9"/>
        </w:rPr>
        <w:t>癌症类型或基因数据，这些信息是通过对病人肿瘤进行活体组织检查而获取，但这些信息往</w:t>
      </w:r>
      <w:r>
        <w:rPr/>
        <w:t>往时效性不足，不一定能真实反映肿瘤的最新情况。</w:t>
      </w:r>
    </w:p>
    <w:p>
      <w:pPr>
        <w:pStyle w:val="BodyText"/>
        <w:spacing w:line="297" w:lineRule="auto"/>
        <w:ind w:right="468" w:firstLine="480"/>
        <w:jc w:val="both"/>
      </w:pPr>
      <w:r>
        <w:rPr>
          <w:spacing w:val="-2"/>
        </w:rPr>
        <w:t>曼彻斯特大学学者领衔的团队在新一期英国《自然</w:t>
      </w:r>
      <w:r>
        <w:rPr/>
        <w:t>·</w:t>
      </w:r>
      <w:r>
        <w:rPr>
          <w:spacing w:val="-9"/>
        </w:rPr>
        <w:t>医学》杂志上报告一种新方法，可</w:t>
      </w:r>
      <w:r>
        <w:rPr>
          <w:spacing w:val="-6"/>
        </w:rPr>
        <w:t>利用癌症病人的血液样本分析他们肿瘤的最新基因信息，从而做出更准确的判断。在这项可</w:t>
      </w:r>
      <w:r>
        <w:rPr>
          <w:spacing w:val="-7"/>
        </w:rPr>
        <w:t>行性研究中，首批 </w:t>
      </w:r>
      <w:r>
        <w:rPr/>
        <w:t>100</w:t>
      </w:r>
      <w:r>
        <w:rPr>
          <w:spacing w:val="-12"/>
        </w:rPr>
        <w:t> 名病人参加了血检，成功筛选出 </w:t>
      </w:r>
      <w:r>
        <w:rPr/>
        <w:t>11</w:t>
      </w:r>
      <w:r>
        <w:rPr>
          <w:spacing w:val="-8"/>
        </w:rPr>
        <w:t> 人参加一项药物临床试验。</w:t>
      </w:r>
    </w:p>
    <w:p>
      <w:pPr>
        <w:pStyle w:val="BodyText"/>
        <w:spacing w:line="295" w:lineRule="auto"/>
        <w:ind w:right="467" w:firstLine="480"/>
      </w:pPr>
      <w:r>
        <w:rPr>
          <w:spacing w:val="-7"/>
        </w:rPr>
        <w:t>报告通讯作者、该校的马修</w:t>
      </w:r>
      <w:r>
        <w:rPr/>
        <w:t>·</w:t>
      </w:r>
      <w:r>
        <w:rPr>
          <w:spacing w:val="-8"/>
        </w:rPr>
        <w:t>克雷布斯说，通过血检来了解与病人肿瘤相关的遗传缺陷</w:t>
      </w:r>
      <w:r>
        <w:rPr/>
        <w:t>信息，能够让更多符合条件并有可能获得更好疗效的病人参与特定新药的临床试验。</w:t>
      </w:r>
    </w:p>
    <w:p>
      <w:pPr>
        <w:pStyle w:val="BodyText"/>
        <w:spacing w:line="235" w:lineRule="auto"/>
        <w:ind w:right="470" w:firstLine="480"/>
        <w:rPr>
          <w:rFonts w:ascii="微软雅黑" w:eastAsia="微软雅黑" w:hint="eastAsia"/>
          <w:b/>
        </w:rPr>
      </w:pPr>
      <w:r>
        <w:rPr>
          <w:spacing w:val="-9"/>
        </w:rPr>
        <w:t>研究人员介绍，下一步他们将继续优化血检方法，提升准确度，以更好地了解癌症病人</w:t>
      </w:r>
      <w:r>
        <w:rPr>
          <w:w w:val="110"/>
        </w:rPr>
        <w:t>的最新病情。</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Heading2"/>
        <w:spacing w:before="119"/>
        <w:ind w:left="217"/>
      </w:pPr>
      <w:bookmarkStart w:name="_TOC_250024" w:id="7"/>
      <w:bookmarkEnd w:id="7"/>
      <w:r>
        <w:rPr/>
        <w:t>【研究进展】</w:t>
      </w:r>
    </w:p>
    <w:p>
      <w:pPr>
        <w:pStyle w:val="BodyText"/>
        <w:spacing w:before="8"/>
        <w:ind w:left="0"/>
        <w:rPr>
          <w:b/>
          <w:sz w:val="18"/>
        </w:rPr>
      </w:pPr>
    </w:p>
    <w:p>
      <w:pPr>
        <w:spacing w:after="0"/>
        <w:rPr>
          <w:sz w:val="18"/>
        </w:rPr>
        <w:sectPr>
          <w:type w:val="continuous"/>
          <w:pgSz w:w="11910" w:h="16850"/>
          <w:pgMar w:top="1100" w:bottom="1020" w:left="1060" w:right="660"/>
        </w:sectPr>
      </w:pPr>
    </w:p>
    <w:p>
      <w:pPr>
        <w:pStyle w:val="Heading2"/>
        <w:spacing w:before="55"/>
        <w:ind w:left="2715"/>
      </w:pPr>
      <w:bookmarkStart w:name="_TOC_250023" w:id="8"/>
      <w:bookmarkEnd w:id="8"/>
      <w:r>
        <w:rPr>
          <w:spacing w:val="-2"/>
        </w:rPr>
        <w:t>靶向多肽有望用于肿瘤免疫治疗</w:t>
      </w:r>
    </w:p>
    <w:p>
      <w:pPr>
        <w:pStyle w:val="BodyText"/>
        <w:ind w:left="0"/>
        <w:rPr>
          <w:b/>
        </w:rPr>
      </w:pPr>
      <w:r>
        <w:rPr/>
        <w:br w:type="column"/>
      </w:r>
      <w:r>
        <w:rPr>
          <w:b/>
        </w:rPr>
      </w:r>
    </w:p>
    <w:p>
      <w:pPr>
        <w:pStyle w:val="BodyText"/>
        <w:spacing w:before="10"/>
        <w:ind w:left="0"/>
        <w:rPr>
          <w:b/>
          <w:sz w:val="23"/>
        </w:rPr>
      </w:pPr>
    </w:p>
    <w:p>
      <w:pPr>
        <w:pStyle w:val="Heading4"/>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7212" w:space="40"/>
            <w:col w:w="2938"/>
          </w:cols>
        </w:sectPr>
      </w:pPr>
    </w:p>
    <w:p>
      <w:pPr>
        <w:pStyle w:val="BodyText"/>
        <w:spacing w:line="297" w:lineRule="auto" w:before="96"/>
        <w:ind w:right="349" w:firstLine="480"/>
      </w:pPr>
      <w:r>
        <w:rPr>
          <w:spacing w:val="-8"/>
        </w:rPr>
        <w:t>近日，上海交通大学医学院附属仁济医院消化所许杰课题组在《自然》子刊《自然生物</w:t>
      </w:r>
      <w:r>
        <w:rPr>
          <w:spacing w:val="-23"/>
        </w:rPr>
        <w:t>医学工程》上发表论文，报道了 </w:t>
      </w:r>
      <w:r>
        <w:rPr/>
        <w:t>PD-L1</w:t>
      </w:r>
      <w:r>
        <w:rPr>
          <w:spacing w:val="-17"/>
        </w:rPr>
        <w:t> 棕榈酰化修饰促进其表达的机制，通过设计的 </w:t>
      </w:r>
      <w:r>
        <w:rPr/>
        <w:t>PD-PALM </w:t>
      </w:r>
      <w:r>
        <w:rPr>
          <w:spacing w:val="3"/>
        </w:rPr>
        <w:t>多肽降低了肿瘤细胞</w:t>
      </w:r>
      <w:r>
        <w:rPr/>
        <w:t>PD-L1</w:t>
      </w:r>
      <w:r>
        <w:rPr>
          <w:spacing w:val="-15"/>
        </w:rPr>
        <w:t> 的表达量，并开发了可竞争抑制</w:t>
      </w:r>
      <w:r>
        <w:rPr/>
        <w:t>PD-L1</w:t>
      </w:r>
      <w:r>
        <w:rPr>
          <w:spacing w:val="-11"/>
        </w:rPr>
        <w:t> 棕榈酰化的靶向多肽分子， </w:t>
      </w:r>
      <w:r>
        <w:rPr>
          <w:spacing w:val="-6"/>
        </w:rPr>
        <w:t>为免疫检查点抑制剂开发提供了新思路，该靶向多肽分子经过优化有望成为肿瘤免疫治疗药物。</w:t>
      </w:r>
    </w:p>
    <w:p>
      <w:pPr>
        <w:pStyle w:val="BodyText"/>
        <w:spacing w:line="295" w:lineRule="auto"/>
        <w:ind w:right="367" w:firstLine="480"/>
      </w:pPr>
      <w:r>
        <w:rPr>
          <w:spacing w:val="-5"/>
        </w:rPr>
        <w:t>免疫检查点是分布于体内免疫系统中的抑制性信号通路，能够调控免疫反应的强弱和持</w:t>
      </w:r>
      <w:r>
        <w:rPr>
          <w:spacing w:val="-6"/>
        </w:rPr>
        <w:t>续时间，避免组织损伤并维持机体自身的耐受。肿瘤能够利用免疫检查点通路的抑制作用， </w:t>
      </w:r>
      <w:r>
        <w:rPr>
          <w:spacing w:val="-11"/>
        </w:rPr>
        <w:t>特别是抑制 </w:t>
      </w:r>
      <w:r>
        <w:rPr/>
        <w:t>T</w:t>
      </w:r>
      <w:r>
        <w:rPr>
          <w:spacing w:val="-14"/>
        </w:rPr>
        <w:t> 细胞的免疫应答，实现免疫逃逸。因此，抑制免疫检查点可以激发免疫系统原</w:t>
      </w:r>
    </w:p>
    <w:p>
      <w:pPr>
        <w:spacing w:after="0" w:line="295" w:lineRule="auto"/>
        <w:sectPr>
          <w:type w:val="continuous"/>
          <w:pgSz w:w="11910" w:h="16850"/>
          <w:pgMar w:top="1100" w:bottom="1020" w:left="1060" w:right="660"/>
        </w:sectPr>
      </w:pPr>
    </w:p>
    <w:p>
      <w:pPr>
        <w:pStyle w:val="BodyText"/>
        <w:spacing w:line="295" w:lineRule="auto" w:before="65"/>
        <w:ind w:right="468"/>
      </w:pPr>
      <w:r>
        <w:rPr>
          <w:spacing w:val="-10"/>
        </w:rPr>
        <w:t>有的抗肿瘤能力。靶向免疫检查点蛋白 </w:t>
      </w:r>
      <w:r>
        <w:rPr/>
        <w:t>CTLA-4</w:t>
      </w:r>
      <w:r>
        <w:rPr>
          <w:spacing w:val="-25"/>
        </w:rPr>
        <w:t>、 </w:t>
      </w:r>
      <w:r>
        <w:rPr/>
        <w:t>PD-1/PD-L1</w:t>
      </w:r>
      <w:r>
        <w:rPr>
          <w:spacing w:val="-9"/>
        </w:rPr>
        <w:t> 的单克隆抗体已经被批准用于</w:t>
      </w:r>
      <w:r>
        <w:rPr/>
        <w:t>治疗多种类型的恶性肿瘤。</w:t>
      </w:r>
    </w:p>
    <w:p>
      <w:pPr>
        <w:pStyle w:val="BodyText"/>
        <w:spacing w:line="297" w:lineRule="auto" w:before="2"/>
        <w:ind w:right="467" w:firstLine="480"/>
      </w:pPr>
      <w:r>
        <w:rPr>
          <w:spacing w:val="-11"/>
        </w:rPr>
        <w:t>然而，免疫检查点阻断疗法仍存在总体效率不高、长期使用后产生耐药以及可发生严重</w:t>
      </w:r>
      <w:r>
        <w:rPr/>
        <w:t>副作用等问题。PD-L1</w:t>
      </w:r>
      <w:r>
        <w:rPr>
          <w:spacing w:val="-41"/>
        </w:rPr>
        <w:t> 是 </w:t>
      </w:r>
      <w:r>
        <w:rPr/>
        <w:t>PD-1</w:t>
      </w:r>
      <w:r>
        <w:rPr>
          <w:spacing w:val="-14"/>
        </w:rPr>
        <w:t> 的主要配体，对 </w:t>
      </w:r>
      <w:r>
        <w:rPr/>
        <w:t>PD-L1</w:t>
      </w:r>
      <w:r>
        <w:rPr>
          <w:spacing w:val="-8"/>
        </w:rPr>
        <w:t> 调控机制的深入研究将有助于改善治</w:t>
      </w:r>
      <w:r>
        <w:rPr>
          <w:spacing w:val="-6"/>
        </w:rPr>
        <w:t>疗效果。近年来的研究发现，</w:t>
      </w:r>
      <w:r>
        <w:rPr/>
        <w:t>PD-L1</w:t>
      </w:r>
      <w:r>
        <w:rPr>
          <w:spacing w:val="-12"/>
        </w:rPr>
        <w:t> 不仅表达在细胞表面，还存在于细胞内的高尔基体、循</w:t>
      </w:r>
      <w:r>
        <w:rPr>
          <w:spacing w:val="-7"/>
        </w:rPr>
        <w:t>环内体以及微囊泡上；细胞内的 </w:t>
      </w:r>
      <w:r>
        <w:rPr/>
        <w:t>PD-L1</w:t>
      </w:r>
      <w:r>
        <w:rPr>
          <w:spacing w:val="-12"/>
        </w:rPr>
        <w:t> 有促癌功能，并可重新被转运到细胞表面。因此，旨</w:t>
      </w:r>
      <w:r>
        <w:rPr>
          <w:spacing w:val="-21"/>
        </w:rPr>
        <w:t>在彻底清除 </w:t>
      </w:r>
      <w:r>
        <w:rPr/>
        <w:t>PD-L1</w:t>
      </w:r>
      <w:r>
        <w:rPr>
          <w:spacing w:val="-8"/>
        </w:rPr>
        <w:t> 的靶向蛋白质降解策略受到关注。</w:t>
      </w:r>
    </w:p>
    <w:p>
      <w:pPr>
        <w:pStyle w:val="BodyText"/>
        <w:spacing w:line="297" w:lineRule="auto"/>
        <w:ind w:right="466" w:firstLine="480"/>
        <w:jc w:val="both"/>
      </w:pPr>
      <w:r>
        <w:rPr>
          <w:spacing w:val="-1"/>
        </w:rPr>
        <w:t>许杰课题组研究发现，</w:t>
      </w:r>
      <w:r>
        <w:rPr>
          <w:spacing w:val="-4"/>
        </w:rPr>
        <w:t>PD-L1</w:t>
      </w:r>
      <w:r>
        <w:rPr>
          <w:spacing w:val="-17"/>
        </w:rPr>
        <w:t> 蛋白质可被 </w:t>
      </w:r>
      <w:r>
        <w:rPr/>
        <w:t>DHHC3</w:t>
      </w:r>
      <w:r>
        <w:rPr>
          <w:spacing w:val="-11"/>
        </w:rPr>
        <w:t> 酶进行棕榈酰化修饰，并减少其泛素化</w:t>
      </w:r>
      <w:r>
        <w:rPr>
          <w:spacing w:val="-9"/>
        </w:rPr>
        <w:t>修饰和溶酶体降解。这种机制的阐明为 </w:t>
      </w:r>
      <w:r>
        <w:rPr/>
        <w:t>PD-L1</w:t>
      </w:r>
      <w:r>
        <w:rPr>
          <w:spacing w:val="-13"/>
        </w:rPr>
        <w:t> 的抑制剂研发带来启示。由于目前棕榈酰化的</w:t>
      </w:r>
      <w:r>
        <w:rPr>
          <w:spacing w:val="-7"/>
        </w:rPr>
        <w:t>小分子抑制剂缺少对 </w:t>
      </w:r>
      <w:r>
        <w:rPr/>
        <w:t>DHHC</w:t>
      </w:r>
      <w:r>
        <w:rPr>
          <w:spacing w:val="-8"/>
        </w:rPr>
        <w:t> 酶的选择性，因此许杰课题组进行了棕榈酰化竞争性抑制剂的设</w:t>
      </w:r>
      <w:r>
        <w:rPr>
          <w:spacing w:val="-16"/>
        </w:rPr>
        <w:t>计尝试。因为 </w:t>
      </w:r>
      <w:r>
        <w:rPr/>
        <w:t>DHHC</w:t>
      </w:r>
      <w:r>
        <w:rPr>
          <w:spacing w:val="-11"/>
        </w:rPr>
        <w:t> 酶的特异性由底物序列决定，所以 </w:t>
      </w:r>
      <w:r>
        <w:rPr/>
        <w:t>PD-L1</w:t>
      </w:r>
      <w:r>
        <w:rPr>
          <w:spacing w:val="-8"/>
        </w:rPr>
        <w:t> 的被修饰位点临近序列可能被DHHC3</w:t>
      </w:r>
      <w:r>
        <w:rPr>
          <w:spacing w:val="-14"/>
        </w:rPr>
        <w:t> 修饰，从而减少对内源性的 </w:t>
      </w:r>
      <w:r>
        <w:rPr/>
        <w:t>PD-L1</w:t>
      </w:r>
      <w:r>
        <w:rPr>
          <w:spacing w:val="-11"/>
        </w:rPr>
        <w:t> 修饰。作者通过一系列实验证明上述竞争抑制剂的</w:t>
      </w:r>
      <w:r>
        <w:rPr>
          <w:spacing w:val="-9"/>
        </w:rPr>
        <w:t>设计思路是切实有效的，并通过设计的 </w:t>
      </w:r>
      <w:r>
        <w:rPr/>
        <w:t>PD-PALM</w:t>
      </w:r>
      <w:r>
        <w:rPr>
          <w:spacing w:val="-13"/>
        </w:rPr>
        <w:t> 多肽降低了肿瘤细胞 </w:t>
      </w:r>
      <w:r>
        <w:rPr/>
        <w:t>PD-L1</w:t>
      </w:r>
      <w:r>
        <w:rPr>
          <w:spacing w:val="-17"/>
        </w:rPr>
        <w:t> 的表达量。在此</w:t>
      </w:r>
    </w:p>
    <w:p>
      <w:pPr>
        <w:pStyle w:val="BodyText"/>
        <w:spacing w:line="235" w:lineRule="auto"/>
        <w:ind w:right="467"/>
        <w:jc w:val="both"/>
        <w:rPr>
          <w:rFonts w:ascii="微软雅黑" w:eastAsia="微软雅黑" w:hint="eastAsia"/>
          <w:b/>
        </w:rPr>
      </w:pPr>
      <w:r>
        <w:rPr>
          <w:spacing w:val="-11"/>
        </w:rPr>
        <w:t>基础上，今后还可以对 </w:t>
      </w:r>
      <w:r>
        <w:rPr/>
        <w:t>PD-PALM</w:t>
      </w:r>
      <w:r>
        <w:rPr>
          <w:spacing w:val="-13"/>
        </w:rPr>
        <w:t> 进行衍生改造和修饰，以进一步提高其活性和稳定性，增强</w:t>
      </w:r>
      <w:r>
        <w:rPr/>
        <w:t>其成药潜力。</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BodyText"/>
        <w:spacing w:before="4"/>
        <w:ind w:left="0"/>
        <w:rPr>
          <w:rFonts w:ascii="微软雅黑"/>
          <w:b/>
          <w:sz w:val="10"/>
        </w:rPr>
      </w:pPr>
    </w:p>
    <w:p>
      <w:pPr>
        <w:spacing w:after="0"/>
        <w:rPr>
          <w:rFonts w:ascii="微软雅黑"/>
          <w:sz w:val="10"/>
        </w:rPr>
        <w:sectPr>
          <w:pgSz w:w="11910" w:h="16850"/>
          <w:pgMar w:header="906" w:footer="607" w:top="1100" w:bottom="800" w:left="1060" w:right="660"/>
        </w:sectPr>
      </w:pPr>
    </w:p>
    <w:p>
      <w:pPr>
        <w:pStyle w:val="Heading2"/>
        <w:spacing w:before="54"/>
        <w:ind w:left="2554"/>
      </w:pPr>
      <w:bookmarkStart w:name="_TOC_250022" w:id="9"/>
      <w:bookmarkEnd w:id="9"/>
      <w:r>
        <w:rPr>
          <w:spacing w:val="-2"/>
        </w:rPr>
        <w:t>人胚胎干细胞自我更新奥秘被揭示</w:t>
      </w:r>
    </w:p>
    <w:p>
      <w:pPr>
        <w:pStyle w:val="BodyText"/>
        <w:ind w:left="0"/>
        <w:rPr>
          <w:b/>
        </w:rPr>
      </w:pPr>
      <w:r>
        <w:rPr/>
        <w:br w:type="column"/>
      </w:r>
      <w:r>
        <w:rPr>
          <w:b/>
        </w:rPr>
      </w:r>
    </w:p>
    <w:p>
      <w:pPr>
        <w:pStyle w:val="BodyText"/>
        <w:spacing w:before="7"/>
        <w:ind w:left="0"/>
        <w:rPr>
          <w:b/>
          <w:sz w:val="23"/>
        </w:rPr>
      </w:pPr>
    </w:p>
    <w:p>
      <w:pPr>
        <w:pStyle w:val="Heading4"/>
        <w:ind w:left="378"/>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60" w:right="660"/>
          <w:cols w:num="2" w:equalWidth="0">
            <w:col w:w="7370" w:space="40"/>
            <w:col w:w="2780"/>
          </w:cols>
        </w:sectPr>
      </w:pPr>
    </w:p>
    <w:p>
      <w:pPr>
        <w:pStyle w:val="BodyText"/>
        <w:spacing w:line="297" w:lineRule="auto" w:before="96"/>
        <w:ind w:right="468" w:firstLine="480"/>
        <w:jc w:val="both"/>
      </w:pPr>
      <w:r>
        <w:rPr>
          <w:spacing w:val="-3"/>
        </w:rPr>
        <w:t>人胚胎干细胞中存在一种关键的转录因子 </w:t>
      </w:r>
      <w:r>
        <w:rPr>
          <w:spacing w:val="-8"/>
        </w:rPr>
        <w:t>Bach1</w:t>
      </w:r>
      <w:r>
        <w:rPr>
          <w:spacing w:val="-4"/>
        </w:rPr>
        <w:t>，可促进人成体细胞的重新编程和人表</w:t>
      </w:r>
      <w:r>
        <w:rPr>
          <w:spacing w:val="-8"/>
        </w:rPr>
        <w:t>皮细胞的返老还童，演变成诱导性多能干细胞。我国医学专家的这一研究新成果，或为干细</w:t>
      </w:r>
      <w:r>
        <w:rPr/>
        <w:t>胞治疗提供新思路。近日，相关论文已在线发表在国际学术期刊《科学·进展》上。</w:t>
      </w:r>
    </w:p>
    <w:p>
      <w:pPr>
        <w:pStyle w:val="BodyText"/>
        <w:spacing w:line="297" w:lineRule="auto"/>
        <w:ind w:right="467" w:firstLine="480"/>
        <w:jc w:val="both"/>
      </w:pPr>
      <w:r>
        <w:rPr>
          <w:spacing w:val="-6"/>
        </w:rPr>
        <w:t>在国家自然科学基金重大研究计划项目等基金资助下，复旦大学基础医学院孟丹教授研</w:t>
      </w:r>
      <w:r>
        <w:rPr>
          <w:spacing w:val="-4"/>
        </w:rPr>
        <w:t>究组与复旦大学附属中山医院副主任医师张书宁临床组合作，历经 </w:t>
      </w:r>
      <w:r>
        <w:rPr/>
        <w:t>4</w:t>
      </w:r>
      <w:r>
        <w:rPr>
          <w:spacing w:val="-15"/>
        </w:rPr>
        <w:t> 年研究，首次揭示了转</w:t>
      </w:r>
      <w:r>
        <w:rPr>
          <w:spacing w:val="-16"/>
        </w:rPr>
        <w:t>录因子 </w:t>
      </w:r>
      <w:r>
        <w:rPr/>
        <w:t>Bach1</w:t>
      </w:r>
      <w:r>
        <w:rPr>
          <w:spacing w:val="-8"/>
        </w:rPr>
        <w:t> 在调控人胚胎干细胞自我更新和分化中的重要作用。</w:t>
      </w:r>
    </w:p>
    <w:p>
      <w:pPr>
        <w:pStyle w:val="BodyText"/>
        <w:spacing w:line="297" w:lineRule="auto"/>
        <w:ind w:right="367" w:firstLine="480"/>
      </w:pPr>
      <w:r>
        <w:rPr>
          <w:spacing w:val="-1"/>
        </w:rPr>
        <w:t>干细胞具有自我更新和多能性，在一定条件下可以分化为体内任何种类的细胞。因此， </w:t>
      </w:r>
      <w:r>
        <w:rPr>
          <w:spacing w:val="-4"/>
        </w:rPr>
        <w:t>干细胞在器官再生和细胞替代治疗中具有广阔的应用前景。近年来，科学家在干细胞分化领</w:t>
      </w:r>
      <w:r>
        <w:rPr>
          <w:spacing w:val="-10"/>
        </w:rPr>
        <w:t>域研究取得了一定的成果，但对于转录因子如何调控胚胎早期中胚层和中胚层衍生物</w:t>
      </w:r>
      <w:r>
        <w:rPr/>
        <w:t>（包括心血管系统等）的机制一直没搞清楚，导致干细胞的临床应用受阻。</w:t>
      </w:r>
    </w:p>
    <w:p>
      <w:pPr>
        <w:pStyle w:val="BodyText"/>
        <w:spacing w:line="297" w:lineRule="auto"/>
        <w:ind w:right="425" w:firstLine="480"/>
      </w:pPr>
      <w:r>
        <w:rPr>
          <w:spacing w:val="-2"/>
        </w:rPr>
        <w:t>研究团队在前期研究、筛选中发现了一个新的可调控血管新生的关键转录因子 </w:t>
      </w:r>
      <w:r>
        <w:rPr>
          <w:spacing w:val="-3"/>
        </w:rPr>
        <w:t>Bach1， </w:t>
      </w:r>
      <w:r>
        <w:rPr>
          <w:spacing w:val="-13"/>
        </w:rPr>
        <w:t>并证实了 </w:t>
      </w:r>
      <w:r>
        <w:rPr/>
        <w:t>Bach1</w:t>
      </w:r>
      <w:r>
        <w:rPr>
          <w:spacing w:val="-8"/>
        </w:rPr>
        <w:t> 在抑制缺血性心血管疾病血管新生方面的作用和机制。研究团队开展了Bach1 在干细胞功能和分化中的一系列研究。他们发现</w:t>
      </w:r>
      <w:r>
        <w:rPr/>
        <w:t>，Bach1</w:t>
      </w:r>
      <w:r>
        <w:rPr>
          <w:spacing w:val="-8"/>
        </w:rPr>
        <w:t> 可促进人成体细胞的重新编</w:t>
      </w:r>
      <w:r>
        <w:rPr>
          <w:spacing w:val="-11"/>
        </w:rPr>
        <w:t>程和人表皮细胞的返老还童，演变成诱导性多能干细胞。</w:t>
      </w:r>
      <w:r>
        <w:rPr/>
        <w:t>Bach1</w:t>
      </w:r>
      <w:r>
        <w:rPr>
          <w:spacing w:val="-8"/>
        </w:rPr>
        <w:t> 在维持人胚胎干细胞自我更新中发挥着重要的作用，</w:t>
      </w:r>
      <w:r>
        <w:rPr>
          <w:spacing w:val="-4"/>
        </w:rPr>
        <w:t>Bach1</w:t>
      </w:r>
      <w:r>
        <w:rPr>
          <w:spacing w:val="-9"/>
        </w:rPr>
        <w:t> 蛋白可与多能性因子等相互作用，并通过招募来维持多能性</w:t>
      </w:r>
      <w:r>
        <w:rPr>
          <w:spacing w:val="-15"/>
        </w:rPr>
        <w:t>因子的蛋白质稳定性。在人胚胎干细胞中如敲除 </w:t>
      </w:r>
      <w:r>
        <w:rPr/>
        <w:t>Bach1</w:t>
      </w:r>
      <w:r>
        <w:rPr>
          <w:spacing w:val="-12"/>
        </w:rPr>
        <w:t> 基因，可促进干细胞向中胚层和内胚层分化，以及心血管前体细胞的分化。</w:t>
      </w:r>
    </w:p>
    <w:p>
      <w:pPr>
        <w:pStyle w:val="BodyText"/>
        <w:spacing w:line="295" w:lineRule="auto"/>
        <w:ind w:right="469" w:firstLine="480"/>
      </w:pPr>
      <w:r>
        <w:rPr>
          <w:spacing w:val="-6"/>
        </w:rPr>
        <w:t>研究团队还首次证实了 </w:t>
      </w:r>
      <w:r>
        <w:rPr/>
        <w:t>Bach1</w:t>
      </w:r>
      <w:r>
        <w:rPr>
          <w:spacing w:val="-14"/>
        </w:rPr>
        <w:t> 蛋白在组蛋白甲基化修饰方面发挥着独特的作用。这项研</w:t>
      </w:r>
      <w:r>
        <w:rPr>
          <w:spacing w:val="-1"/>
        </w:rPr>
        <w:t>究表明，</w:t>
      </w:r>
      <w:r>
        <w:rPr>
          <w:spacing w:val="-4"/>
        </w:rPr>
        <w:t>Bach1</w:t>
      </w:r>
      <w:r>
        <w:rPr>
          <w:spacing w:val="-10"/>
        </w:rPr>
        <w:t> 是干细胞维持自我更新和决定谱系分化中的关键调控因子，在中胚层和心血</w:t>
      </w:r>
    </w:p>
    <w:p>
      <w:pPr>
        <w:pStyle w:val="BodyText"/>
        <w:spacing w:line="370" w:lineRule="exact"/>
        <w:rPr>
          <w:rFonts w:ascii="微软雅黑" w:eastAsia="微软雅黑" w:hint="eastAsia"/>
          <w:b/>
        </w:rPr>
      </w:pPr>
      <w:r>
        <w:rPr/>
        <w:t>管早期分化过程中起重要作用，有可能成为干细胞治疗心血管疾病的新靶标。</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spacing w:after="0" w:line="370" w:lineRule="exact"/>
        <w:rPr>
          <w:rFonts w:ascii="微软雅黑" w:eastAsia="微软雅黑" w:hint="eastAsia"/>
        </w:rPr>
        <w:sectPr>
          <w:type w:val="continuous"/>
          <w:pgSz w:w="11910" w:h="16850"/>
          <w:pgMar w:top="1100" w:bottom="1020" w:left="1060" w:right="660"/>
        </w:sectPr>
      </w:pPr>
    </w:p>
    <w:p>
      <w:pPr>
        <w:pStyle w:val="Heading2"/>
        <w:spacing w:line="395" w:lineRule="exact"/>
        <w:ind w:left="2877"/>
      </w:pPr>
      <w:bookmarkStart w:name="_TOC_250021" w:id="10"/>
      <w:bookmarkEnd w:id="10"/>
      <w:r>
        <w:rPr>
          <w:spacing w:val="-2"/>
        </w:rPr>
        <w:t>又一重型痤疮风险基因被发现</w:t>
      </w:r>
    </w:p>
    <w:p>
      <w:pPr>
        <w:pStyle w:val="BodyText"/>
        <w:ind w:left="0"/>
        <w:rPr>
          <w:b/>
        </w:rPr>
      </w:pPr>
      <w:r>
        <w:rPr/>
        <w:br w:type="column"/>
      </w:r>
      <w:r>
        <w:rPr>
          <w:b/>
        </w:rPr>
      </w:r>
    </w:p>
    <w:p>
      <w:pPr>
        <w:pStyle w:val="BodyText"/>
        <w:spacing w:before="2"/>
        <w:ind w:left="0"/>
        <w:rPr>
          <w:b/>
          <w:sz w:val="18"/>
        </w:rPr>
      </w:pPr>
    </w:p>
    <w:p>
      <w:pPr>
        <w:pStyle w:val="Heading4"/>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pgSz w:w="11910" w:h="16850"/>
          <w:pgMar w:header="906" w:footer="607" w:top="1100" w:bottom="800" w:left="1060" w:right="660"/>
          <w:cols w:num="2" w:equalWidth="0">
            <w:col w:w="7052" w:space="40"/>
            <w:col w:w="3098"/>
          </w:cols>
        </w:sectPr>
      </w:pPr>
    </w:p>
    <w:p>
      <w:pPr>
        <w:pStyle w:val="BodyText"/>
        <w:spacing w:line="297" w:lineRule="auto" w:before="96"/>
        <w:ind w:right="367" w:firstLine="480"/>
      </w:pPr>
      <w:r>
        <w:rPr/>
        <w:t>昆明医科大学第一附属医院何黎团队与中国科学院昆明动物研究所张亚平团队合作多 </w:t>
      </w:r>
      <w:r>
        <w:rPr>
          <w:spacing w:val="-1"/>
        </w:rPr>
        <w:t>年，开展重型痤疮相关研究。近日，国际期刊《皮肤病学研究杂志》在线发表其研究成果。</w:t>
      </w:r>
      <w:r>
        <w:rPr/>
        <w:t>他们运用同源一致性(IBD)定位策略从全基因组关联分析数据中发现了一个新的重型痤疮风</w:t>
      </w:r>
      <w:r>
        <w:rPr>
          <w:spacing w:val="-16"/>
        </w:rPr>
        <w:t>险基因 </w:t>
      </w:r>
      <w:r>
        <w:rPr/>
        <w:t>F13A1，</w:t>
      </w:r>
      <w:r>
        <w:rPr>
          <w:spacing w:val="-6"/>
        </w:rPr>
        <w:t>该基因可上调炎症因子 </w:t>
      </w:r>
      <w:r>
        <w:rPr/>
        <w:t>IL-6</w:t>
      </w:r>
      <w:r>
        <w:rPr>
          <w:spacing w:val="-8"/>
        </w:rPr>
        <w:t> 的水平，引起炎症反应。</w:t>
      </w:r>
    </w:p>
    <w:p>
      <w:pPr>
        <w:pStyle w:val="BodyText"/>
        <w:spacing w:line="297" w:lineRule="auto"/>
        <w:ind w:right="347" w:firstLine="480"/>
      </w:pPr>
      <w:r>
        <w:rPr>
          <w:spacing w:val="-17"/>
        </w:rPr>
        <w:t>据了解，痤疮俗称“青春痘”，是一种主要发生于面部毛囊皮脂腺的慢性炎症性皮肤病，</w:t>
      </w:r>
      <w:r>
        <w:rPr>
          <w:spacing w:val="-11"/>
        </w:rPr>
        <w:t>发病率高，在我国青年人群中患病率达 </w:t>
      </w:r>
      <w:r>
        <w:rPr/>
        <w:t>40～60%</w:t>
      </w:r>
      <w:r>
        <w:rPr>
          <w:spacing w:val="-12"/>
        </w:rPr>
        <w:t>。临床上通常将痤疮分为轻中型</w:t>
      </w:r>
      <w:r>
        <w:rPr/>
        <w:t>（Ⅰ～Ⅲ级</w:t>
      </w:r>
      <w:r>
        <w:rPr>
          <w:spacing w:val="-11"/>
        </w:rPr>
        <w:t>） </w:t>
      </w:r>
      <w:r>
        <w:rPr>
          <w:spacing w:val="-5"/>
        </w:rPr>
        <w:t>和重型</w:t>
      </w:r>
      <w:r>
        <w:rPr/>
        <w:t>（Ⅳ级</w:t>
      </w:r>
      <w:r>
        <w:rPr>
          <w:spacing w:val="-15"/>
        </w:rPr>
        <w:t>）</w:t>
      </w:r>
      <w:r>
        <w:rPr>
          <w:spacing w:val="-9"/>
        </w:rPr>
        <w:t>。其中，重型痤疮由于皮损严重、更易复发、治疗不及时易留下瘢痕，往往造成患者永久性损容。</w:t>
      </w:r>
    </w:p>
    <w:p>
      <w:pPr>
        <w:pStyle w:val="BodyText"/>
        <w:spacing w:line="297" w:lineRule="auto"/>
        <w:ind w:right="470" w:firstLine="480"/>
        <w:jc w:val="both"/>
      </w:pPr>
      <w:r>
        <w:rPr>
          <w:spacing w:val="-10"/>
        </w:rPr>
        <w:t>“过去认为，痤疮主要与微生物即痤疮丙酸杆菌有关。事实上，重型痤疮是一种复杂疾</w:t>
      </w:r>
      <w:r>
        <w:rPr>
          <w:spacing w:val="-11"/>
        </w:rPr>
        <w:t>病，受到遗传因素和环境因素多方面的影响，其发生受多基因的共同调控。”何黎介绍，随</w:t>
      </w:r>
      <w:r>
        <w:rPr/>
        <w:t>着全基因组关联分析时代的到来，研究团队对重型痤疮易感基因进行了深度挖掘。</w:t>
      </w:r>
    </w:p>
    <w:p>
      <w:pPr>
        <w:pStyle w:val="BodyText"/>
        <w:spacing w:line="297" w:lineRule="auto"/>
        <w:ind w:right="349" w:firstLine="480"/>
      </w:pPr>
      <w:r>
        <w:rPr>
          <w:spacing w:val="-9"/>
        </w:rPr>
        <w:t>他们几年前关注常见变异，通过全基因组关联分析首次在中国人群中发现了两个重型痤</w:t>
      </w:r>
      <w:r>
        <w:rPr>
          <w:spacing w:val="-17"/>
        </w:rPr>
        <w:t>疮的易感基因 </w:t>
      </w:r>
      <w:r>
        <w:rPr/>
        <w:t>SELL</w:t>
      </w:r>
      <w:r>
        <w:rPr>
          <w:spacing w:val="-40"/>
        </w:rPr>
        <w:t> 和 </w:t>
      </w:r>
      <w:r>
        <w:rPr>
          <w:spacing w:val="-17"/>
        </w:rPr>
        <w:t>DDB2</w:t>
      </w:r>
      <w:r>
        <w:rPr>
          <w:spacing w:val="-10"/>
        </w:rPr>
        <w:t>，这两个基因分别与雄激素代谢通路、炎症过程及疤痕形成有关。</w:t>
      </w:r>
      <w:r>
        <w:rPr/>
        <w:t>近期，研究团队开始探讨低频变异对疾病遗传易感性的贡献，运用新的生物信息分析方法IBD</w:t>
      </w:r>
      <w:r>
        <w:rPr>
          <w:spacing w:val="-10"/>
        </w:rPr>
        <w:t> 定位策略对中国人群重型痤疮全基因组关联分析数据进行了深度挖掘，发现了重型痤疮</w:t>
      </w:r>
      <w:r>
        <w:rPr>
          <w:spacing w:val="-18"/>
        </w:rPr>
        <w:t>新的风险基因 </w:t>
      </w:r>
      <w:r>
        <w:rPr/>
        <w:t>F13A1，</w:t>
      </w:r>
      <w:r>
        <w:rPr>
          <w:spacing w:val="-12"/>
        </w:rPr>
        <w:t>其可上调 </w:t>
      </w:r>
      <w:r>
        <w:rPr/>
        <w:t>IL-6</w:t>
      </w:r>
      <w:r>
        <w:rPr>
          <w:spacing w:val="-8"/>
        </w:rPr>
        <w:t> 的水平，引起炎症反应。结果已在独立样本的基因分</w:t>
      </w:r>
    </w:p>
    <w:p>
      <w:pPr>
        <w:spacing w:line="337" w:lineRule="exact" w:before="0"/>
        <w:ind w:left="217" w:right="0" w:firstLine="0"/>
        <w:jc w:val="left"/>
        <w:rPr>
          <w:rFonts w:ascii="微软雅黑" w:eastAsia="微软雅黑" w:hint="eastAsia"/>
          <w:b/>
          <w:sz w:val="24"/>
        </w:rPr>
      </w:pPr>
      <w:r>
        <w:rPr>
          <w:w w:val="110"/>
          <w:sz w:val="24"/>
        </w:rPr>
        <w:t>型实验中得进行了验证。</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spacing w:after="0" w:line="337" w:lineRule="exact"/>
        <w:jc w:val="left"/>
        <w:rPr>
          <w:rFonts w:ascii="微软雅黑" w:eastAsia="微软雅黑" w:hint="eastAsia"/>
          <w:sz w:val="24"/>
        </w:rPr>
        <w:sectPr>
          <w:type w:val="continuous"/>
          <w:pgSz w:w="11910" w:h="16850"/>
          <w:pgMar w:top="1100" w:bottom="1020" w:left="1060" w:right="660"/>
        </w:sectPr>
      </w:pPr>
    </w:p>
    <w:p>
      <w:pPr>
        <w:pStyle w:val="BodyText"/>
        <w:ind w:left="0"/>
        <w:rPr>
          <w:rFonts w:ascii="微软雅黑"/>
          <w:b/>
          <w:sz w:val="36"/>
        </w:rPr>
      </w:pPr>
    </w:p>
    <w:p>
      <w:pPr>
        <w:pStyle w:val="Heading2"/>
        <w:ind w:left="217"/>
      </w:pPr>
      <w:r>
        <w:rPr/>
        <w:t>【临床药师】</w:t>
      </w:r>
    </w:p>
    <w:p>
      <w:pPr>
        <w:pStyle w:val="Heading1"/>
        <w:spacing w:line="649" w:lineRule="exact"/>
        <w:ind w:left="217"/>
        <w:jc w:val="left"/>
        <w:rPr>
          <w:u w:val="none"/>
        </w:rPr>
      </w:pPr>
      <w:bookmarkStart w:name="_TOC_250020" w:id="11"/>
      <w:r>
        <w:rPr>
          <w:b w:val="0"/>
          <w:u w:val="none"/>
        </w:rPr>
        <w:br w:type="column"/>
      </w:r>
      <w:r>
        <w:rPr>
          <w:rFonts w:ascii="Times New Roman" w:eastAsia="Times New Roman"/>
          <w:color w:val="008000"/>
          <w:spacing w:val="-110"/>
          <w:w w:val="99"/>
          <w:u w:val="thick" w:color="008000"/>
        </w:rPr>
        <w:t> </w:t>
      </w:r>
      <w:bookmarkEnd w:id="11"/>
      <w:r>
        <w:rPr>
          <w:color w:val="008000"/>
          <w:u w:val="thick" w:color="008000"/>
        </w:rPr>
        <w:t>合理用药</w:t>
      </w:r>
    </w:p>
    <w:p>
      <w:pPr>
        <w:spacing w:after="0" w:line="649" w:lineRule="exact"/>
        <w:jc w:val="left"/>
        <w:sectPr>
          <w:type w:val="continuous"/>
          <w:pgSz w:w="11910" w:h="16850"/>
          <w:pgMar w:top="1100" w:bottom="1020" w:left="1060" w:right="660"/>
          <w:cols w:num="2" w:equalWidth="0">
            <w:col w:w="2187" w:space="2200"/>
            <w:col w:w="5803"/>
          </w:cols>
        </w:sectPr>
      </w:pPr>
    </w:p>
    <w:p>
      <w:pPr>
        <w:pStyle w:val="BodyText"/>
        <w:spacing w:before="9"/>
        <w:ind w:left="0"/>
        <w:rPr>
          <w:rFonts w:ascii="华文宋体"/>
          <w:b/>
          <w:sz w:val="14"/>
        </w:rPr>
      </w:pPr>
    </w:p>
    <w:p>
      <w:pPr>
        <w:spacing w:after="0"/>
        <w:rPr>
          <w:rFonts w:ascii="华文宋体"/>
          <w:sz w:val="14"/>
        </w:rPr>
        <w:sectPr>
          <w:type w:val="continuous"/>
          <w:pgSz w:w="11910" w:h="16850"/>
          <w:pgMar w:top="1100" w:bottom="1020" w:left="1060" w:right="660"/>
        </w:sectPr>
      </w:pPr>
    </w:p>
    <w:p>
      <w:pPr>
        <w:pStyle w:val="Heading2"/>
        <w:spacing w:before="55"/>
        <w:ind w:left="2715"/>
      </w:pPr>
      <w:bookmarkStart w:name="_TOC_250019" w:id="12"/>
      <w:bookmarkEnd w:id="12"/>
      <w:r>
        <w:rPr>
          <w:spacing w:val="-2"/>
        </w:rPr>
        <w:t>尿崩症治疗药与致尿崩症的药物</w:t>
      </w:r>
    </w:p>
    <w:p>
      <w:pPr>
        <w:pStyle w:val="BodyText"/>
        <w:ind w:left="0"/>
        <w:rPr>
          <w:b/>
        </w:rPr>
      </w:pPr>
      <w:r>
        <w:rPr/>
        <w:br w:type="column"/>
      </w:r>
      <w:r>
        <w:rPr>
          <w:b/>
        </w:rPr>
      </w:r>
    </w:p>
    <w:p>
      <w:pPr>
        <w:pStyle w:val="BodyText"/>
        <w:spacing w:before="10"/>
        <w:ind w:left="0"/>
        <w:rPr>
          <w:b/>
          <w:sz w:val="23"/>
        </w:rPr>
      </w:pPr>
    </w:p>
    <w:p>
      <w:pPr>
        <w:pStyle w:val="Heading4"/>
        <w:ind w:left="54"/>
        <w:rPr>
          <w:rFonts w:ascii="楷体" w:eastAsia="楷体" w:hint="eastAsia"/>
        </w:rPr>
      </w:pPr>
      <w:r>
        <w:rPr>
          <w:rFonts w:ascii="楷体" w:eastAsia="楷体" w:hint="eastAsia"/>
          <w:color w:val="FF0000"/>
        </w:rPr>
        <w:t>（来源：临床药师网）</w:t>
      </w:r>
    </w:p>
    <w:p>
      <w:pPr>
        <w:spacing w:after="0"/>
        <w:rPr>
          <w:rFonts w:ascii="楷体" w:eastAsia="楷体" w:hint="eastAsia"/>
        </w:rPr>
        <w:sectPr>
          <w:type w:val="continuous"/>
          <w:pgSz w:w="11910" w:h="16850"/>
          <w:pgMar w:top="1100" w:bottom="1020" w:left="1060" w:right="660"/>
          <w:cols w:num="2" w:equalWidth="0">
            <w:col w:w="7212" w:space="40"/>
            <w:col w:w="2938"/>
          </w:cols>
        </w:sectPr>
      </w:pPr>
    </w:p>
    <w:p>
      <w:pPr>
        <w:pStyle w:val="BodyText"/>
        <w:spacing w:line="297" w:lineRule="auto" w:before="97"/>
        <w:ind w:right="543" w:firstLine="482"/>
        <w:jc w:val="both"/>
      </w:pPr>
      <w:r>
        <w:rPr/>
        <w:t>尿崩症（DI）是由精氨酸加压素（AVP）/抗利尿激素（ADH）</w:t>
      </w:r>
      <w:r>
        <w:rPr>
          <w:spacing w:val="-7"/>
        </w:rPr>
        <w:t>产生异常，或肾脏对 </w:t>
      </w:r>
      <w:r>
        <w:rPr>
          <w:spacing w:val="-5"/>
        </w:rPr>
        <w:t>AVP </w:t>
      </w:r>
      <w:r>
        <w:rPr/>
        <w:t>不敏感致肾小管重吸收水的功能障碍而引发，以排出大量稀释性尿为特征的一种临床综合征，临床表现为多尿、多饮、烦渴、低比重尿和低渗透压尿。DI</w:t>
      </w:r>
      <w:r>
        <w:rPr>
          <w:spacing w:val="-9"/>
        </w:rPr>
        <w:t> 根据病因，可分中枢性尿</w:t>
      </w:r>
      <w:r>
        <w:rPr/>
        <w:t>崩症（CDI）、肾性尿崩症（NDI）、妊娠期间暂时性尿崩症、原发性烦渴。DI</w:t>
      </w:r>
      <w:r>
        <w:rPr>
          <w:spacing w:val="-13"/>
        </w:rPr>
        <w:t> 常继发于各</w:t>
      </w:r>
      <w:r>
        <w:rPr/>
        <w:t>种创伤或疾病，或是特发或遗传性的。</w:t>
      </w:r>
    </w:p>
    <w:p>
      <w:pPr>
        <w:pStyle w:val="Heading4"/>
        <w:spacing w:line="302" w:lineRule="exact"/>
      </w:pPr>
      <w:r>
        <w:rPr/>
        <w:t>一．尿崩症治疗药</w:t>
      </w:r>
    </w:p>
    <w:p>
      <w:pPr>
        <w:pStyle w:val="BodyText"/>
        <w:spacing w:line="295" w:lineRule="auto" w:before="71"/>
        <w:ind w:right="364" w:firstLine="482"/>
      </w:pPr>
      <w:r>
        <w:rPr/>
        <w:pict>
          <v:shape style="position:absolute;margin-left:60.119999pt;margin-top:38.350021pt;width:482.65pt;height:96.5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3"/>
                    <w:gridCol w:w="2097"/>
                    <w:gridCol w:w="5628"/>
                  </w:tblGrid>
                  <w:tr>
                    <w:trPr>
                      <w:trHeight w:val="379" w:hRule="atLeast"/>
                    </w:trPr>
                    <w:tc>
                      <w:tcPr>
                        <w:tcW w:w="1913" w:type="dxa"/>
                      </w:tcPr>
                      <w:p>
                        <w:pPr>
                          <w:pStyle w:val="TableParagraph"/>
                          <w:spacing w:line="264" w:lineRule="exact" w:before="95"/>
                          <w:ind w:left="552"/>
                          <w:rPr>
                            <w:sz w:val="21"/>
                          </w:rPr>
                        </w:pPr>
                        <w:r>
                          <w:rPr>
                            <w:sz w:val="21"/>
                          </w:rPr>
                          <w:t>分类</w:t>
                        </w:r>
                      </w:p>
                    </w:tc>
                    <w:tc>
                      <w:tcPr>
                        <w:tcW w:w="2097" w:type="dxa"/>
                      </w:tcPr>
                      <w:p>
                        <w:pPr>
                          <w:pStyle w:val="TableParagraph"/>
                          <w:spacing w:line="264" w:lineRule="exact" w:before="95"/>
                          <w:ind w:left="551"/>
                          <w:rPr>
                            <w:sz w:val="21"/>
                          </w:rPr>
                        </w:pPr>
                        <w:r>
                          <w:rPr>
                            <w:sz w:val="21"/>
                          </w:rPr>
                          <w:t>药物</w:t>
                        </w:r>
                      </w:p>
                    </w:tc>
                    <w:tc>
                      <w:tcPr>
                        <w:tcW w:w="5628" w:type="dxa"/>
                      </w:tcPr>
                      <w:p>
                        <w:pPr>
                          <w:pStyle w:val="TableParagraph"/>
                          <w:spacing w:line="264" w:lineRule="exact" w:before="95"/>
                          <w:ind w:left="519"/>
                          <w:rPr>
                            <w:sz w:val="21"/>
                          </w:rPr>
                        </w:pPr>
                        <w:r>
                          <w:rPr>
                            <w:sz w:val="21"/>
                          </w:rPr>
                          <w:t>注意事项</w:t>
                        </w:r>
                      </w:p>
                    </w:tc>
                  </w:tr>
                  <w:tr>
                    <w:trPr>
                      <w:trHeight w:val="1521" w:hRule="atLeast"/>
                    </w:trPr>
                    <w:tc>
                      <w:tcPr>
                        <w:tcW w:w="1913" w:type="dxa"/>
                      </w:tcPr>
                      <w:p>
                        <w:pPr>
                          <w:pStyle w:val="TableParagraph"/>
                          <w:spacing w:before="94"/>
                          <w:rPr>
                            <w:sz w:val="21"/>
                          </w:rPr>
                        </w:pPr>
                        <w:r>
                          <w:rPr>
                            <w:sz w:val="21"/>
                          </w:rPr>
                          <w:t>加压素</w:t>
                        </w:r>
                      </w:p>
                    </w:tc>
                    <w:tc>
                      <w:tcPr>
                        <w:tcW w:w="2097" w:type="dxa"/>
                        <w:tcBorders>
                          <w:right w:val="single" w:sz="34" w:space="0" w:color="FFFFFF"/>
                        </w:tcBorders>
                      </w:tcPr>
                      <w:p>
                        <w:pPr>
                          <w:pStyle w:val="TableParagraph"/>
                          <w:spacing w:line="338" w:lineRule="auto" w:before="94"/>
                          <w:ind w:right="-58" w:firstLine="482"/>
                          <w:jc w:val="both"/>
                          <w:rPr>
                            <w:sz w:val="21"/>
                          </w:rPr>
                        </w:pPr>
                        <w:r>
                          <w:rPr>
                            <w:spacing w:val="28"/>
                            <w:sz w:val="21"/>
                          </w:rPr>
                          <w:t>醋酸去氨加压</w:t>
                        </w:r>
                        <w:r>
                          <w:rPr>
                            <w:spacing w:val="-24"/>
                            <w:sz w:val="21"/>
                          </w:rPr>
                          <w:t>素</w:t>
                        </w:r>
                        <w:r>
                          <w:rPr>
                            <w:spacing w:val="-5"/>
                            <w:sz w:val="21"/>
                          </w:rPr>
                          <w:t>（DDAVP）</w:t>
                        </w:r>
                        <w:r>
                          <w:rPr>
                            <w:spacing w:val="-8"/>
                            <w:sz w:val="21"/>
                          </w:rPr>
                          <w:t>、精氨酸</w:t>
                        </w:r>
                        <w:r>
                          <w:rPr>
                            <w:spacing w:val="-13"/>
                            <w:sz w:val="21"/>
                          </w:rPr>
                          <w:t>加压素、赖氨加压素、</w:t>
                        </w:r>
                      </w:p>
                      <w:p>
                        <w:pPr>
                          <w:pStyle w:val="TableParagraph"/>
                          <w:spacing w:line="267" w:lineRule="exact" w:before="2"/>
                          <w:rPr>
                            <w:sz w:val="21"/>
                          </w:rPr>
                        </w:pPr>
                        <w:r>
                          <w:rPr>
                            <w:sz w:val="21"/>
                          </w:rPr>
                          <w:t>鞣酸加压素、垂体后</w:t>
                        </w:r>
                      </w:p>
                    </w:tc>
                    <w:tc>
                      <w:tcPr>
                        <w:tcW w:w="5628" w:type="dxa"/>
                        <w:tcBorders>
                          <w:left w:val="single" w:sz="34" w:space="0" w:color="FFFFFF"/>
                        </w:tcBorders>
                      </w:tcPr>
                      <w:p>
                        <w:pPr>
                          <w:pStyle w:val="TableParagraph"/>
                          <w:spacing w:line="340" w:lineRule="auto" w:before="94"/>
                          <w:ind w:left="-1" w:right="55" w:firstLine="482"/>
                          <w:rPr>
                            <w:sz w:val="21"/>
                          </w:rPr>
                        </w:pPr>
                        <w:r>
                          <w:rPr>
                            <w:sz w:val="21"/>
                          </w:rPr>
                          <w:t>①DDAVP</w:t>
                        </w:r>
                        <w:r>
                          <w:rPr>
                            <w:spacing w:val="-18"/>
                            <w:sz w:val="21"/>
                          </w:rPr>
                          <w:t> 最常用，其为 </w:t>
                        </w:r>
                        <w:r>
                          <w:rPr>
                            <w:sz w:val="21"/>
                          </w:rPr>
                          <w:t>AVP</w:t>
                        </w:r>
                        <w:r>
                          <w:rPr>
                            <w:spacing w:val="-19"/>
                            <w:sz w:val="21"/>
                          </w:rPr>
                          <w:t> 的衍生物，是 </w:t>
                        </w:r>
                        <w:r>
                          <w:rPr>
                            <w:sz w:val="21"/>
                          </w:rPr>
                          <w:t>V2</w:t>
                        </w:r>
                        <w:r>
                          <w:rPr>
                            <w:spacing w:val="-13"/>
                            <w:sz w:val="21"/>
                          </w:rPr>
                          <w:t> 受体的特异</w:t>
                        </w:r>
                        <w:r>
                          <w:rPr>
                            <w:spacing w:val="-3"/>
                            <w:sz w:val="21"/>
                          </w:rPr>
                          <w:t>激活剂，可增加水的通透性及尿渗透压，有抗利尿作用。</w:t>
                        </w:r>
                      </w:p>
                      <w:p>
                        <w:pPr>
                          <w:pStyle w:val="TableParagraph"/>
                          <w:spacing w:line="266" w:lineRule="exact" w:before="0"/>
                          <w:ind w:left="482"/>
                          <w:rPr>
                            <w:sz w:val="21"/>
                          </w:rPr>
                        </w:pPr>
                        <w:r>
                          <w:rPr>
                            <w:sz w:val="21"/>
                          </w:rPr>
                          <w:t>②DDAVP</w:t>
                        </w:r>
                        <w:r>
                          <w:rPr>
                            <w:spacing w:val="-2"/>
                            <w:sz w:val="21"/>
                          </w:rPr>
                          <w:t> 临床可用于治疗</w:t>
                        </w:r>
                        <w:r>
                          <w:rPr>
                            <w:sz w:val="21"/>
                          </w:rPr>
                          <w:t>CDI（</w:t>
                        </w:r>
                        <w:r>
                          <w:rPr>
                            <w:spacing w:val="-9"/>
                            <w:sz w:val="21"/>
                          </w:rPr>
                          <w:t>完全性和部分性 </w:t>
                        </w:r>
                        <w:r>
                          <w:rPr>
                            <w:sz w:val="21"/>
                          </w:rPr>
                          <w:t>CDI）、</w:t>
                        </w:r>
                      </w:p>
                      <w:p>
                        <w:pPr>
                          <w:pStyle w:val="TableParagraph"/>
                          <w:spacing w:line="267" w:lineRule="exact" w:before="110"/>
                          <w:ind w:left="-1"/>
                          <w:rPr>
                            <w:sz w:val="21"/>
                          </w:rPr>
                        </w:pPr>
                        <w:r>
                          <w:rPr>
                            <w:sz w:val="21"/>
                          </w:rPr>
                          <w:t>夜尿症，对肾性尿崩症基本无效。</w:t>
                        </w:r>
                      </w:p>
                    </w:tc>
                  </w:tr>
                </w:tbl>
                <w:p>
                  <w:pPr>
                    <w:pStyle w:val="BodyText"/>
                    <w:ind w:left="0"/>
                  </w:pPr>
                </w:p>
              </w:txbxContent>
            </v:textbox>
            <w10:wrap type="none"/>
          </v:shape>
        </w:pict>
      </w:r>
      <w:r>
        <w:rPr/>
        <w:t>治疗尿崩症药物主要是加压素，其他还有氯磺丙脲、氢氯噻嗪、氯贝丁酯、卡马西平、吲哚美辛等。</w:t>
      </w:r>
    </w:p>
    <w:p>
      <w:pPr>
        <w:spacing w:after="0" w:line="295" w:lineRule="auto"/>
        <w:sectPr>
          <w:type w:val="continuous"/>
          <w:pgSz w:w="11910" w:h="16850"/>
          <w:pgMar w:top="1100" w:bottom="1020" w:left="1060" w:right="660"/>
        </w:sectPr>
      </w:pPr>
    </w:p>
    <w:tbl>
      <w:tblPr>
        <w:tblW w:w="0" w:type="auto"/>
        <w:jc w:val="left"/>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13"/>
        <w:gridCol w:w="2064"/>
        <w:gridCol w:w="5660"/>
      </w:tblGrid>
      <w:tr>
        <w:trPr>
          <w:trHeight w:val="1519" w:hRule="atLeast"/>
        </w:trPr>
        <w:tc>
          <w:tcPr>
            <w:tcW w:w="1913" w:type="dxa"/>
            <w:tcBorders>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2064" w:type="dxa"/>
            <w:tcBorders>
              <w:left w:val="single" w:sz="4" w:space="0" w:color="000000"/>
              <w:bottom w:val="single" w:sz="4" w:space="0" w:color="000000"/>
              <w:right w:val="single" w:sz="4" w:space="0" w:color="000000"/>
            </w:tcBorders>
          </w:tcPr>
          <w:p>
            <w:pPr>
              <w:pStyle w:val="TableParagraph"/>
              <w:spacing w:before="85"/>
              <w:rPr>
                <w:sz w:val="21"/>
              </w:rPr>
            </w:pPr>
            <w:r>
              <w:rPr>
                <w:sz w:val="21"/>
              </w:rPr>
              <w:t>叶素等</w:t>
            </w:r>
          </w:p>
        </w:tc>
        <w:tc>
          <w:tcPr>
            <w:tcW w:w="5660" w:type="dxa"/>
            <w:tcBorders>
              <w:left w:val="single" w:sz="4" w:space="0" w:color="000000"/>
              <w:bottom w:val="single" w:sz="4" w:space="0" w:color="000000"/>
              <w:right w:val="single" w:sz="4" w:space="0" w:color="000000"/>
            </w:tcBorders>
          </w:tcPr>
          <w:p>
            <w:pPr>
              <w:pStyle w:val="TableParagraph"/>
              <w:spacing w:line="338" w:lineRule="auto" w:before="85"/>
              <w:ind w:left="70" w:right="54" w:firstLine="482"/>
              <w:jc w:val="both"/>
              <w:rPr>
                <w:sz w:val="21"/>
              </w:rPr>
            </w:pPr>
            <w:r>
              <w:rPr>
                <w:sz w:val="21"/>
              </w:rPr>
              <w:t>③DDAVP</w:t>
            </w:r>
            <w:r>
              <w:rPr>
                <w:spacing w:val="-4"/>
                <w:sz w:val="21"/>
              </w:rPr>
              <w:t> 不良反应较少，但在大量饮水后服用可造成水</w:t>
            </w:r>
            <w:r>
              <w:rPr>
                <w:spacing w:val="-11"/>
                <w:sz w:val="21"/>
              </w:rPr>
              <w:t>中毒</w:t>
            </w:r>
            <w:r>
              <w:rPr>
                <w:sz w:val="21"/>
              </w:rPr>
              <w:t>（</w:t>
            </w:r>
            <w:r>
              <w:rPr>
                <w:spacing w:val="-6"/>
                <w:sz w:val="21"/>
              </w:rPr>
              <w:t>头痛、恶心和呕吐等</w:t>
            </w:r>
            <w:r>
              <w:rPr>
                <w:spacing w:val="-22"/>
                <w:sz w:val="21"/>
              </w:rPr>
              <w:t>）</w:t>
            </w:r>
            <w:r>
              <w:rPr>
                <w:spacing w:val="-8"/>
                <w:sz w:val="21"/>
              </w:rPr>
              <w:t>、低钠血症及惊厥。</w:t>
            </w:r>
            <w:r>
              <w:rPr>
                <w:sz w:val="21"/>
              </w:rPr>
              <w:t>DDAVP</w:t>
            </w:r>
            <w:r>
              <w:rPr>
                <w:spacing w:val="-11"/>
                <w:sz w:val="21"/>
              </w:rPr>
              <w:t> 鼻内给药不良反应为眼部刺激、头疼、眩晕、鼻炎、鼻出血、咳</w:t>
            </w:r>
          </w:p>
          <w:p>
            <w:pPr>
              <w:pStyle w:val="TableParagraph"/>
              <w:spacing w:before="3"/>
              <w:ind w:left="70"/>
              <w:rPr>
                <w:sz w:val="21"/>
              </w:rPr>
            </w:pPr>
            <w:r>
              <w:rPr>
                <w:sz w:val="21"/>
              </w:rPr>
              <w:t>嗽、脸红、恶心、呕吐、腹痛、胸痛和心悸等。</w:t>
            </w:r>
          </w:p>
        </w:tc>
      </w:tr>
      <w:tr>
        <w:trPr>
          <w:trHeight w:val="1900" w:hRule="atLeast"/>
        </w:trPr>
        <w:tc>
          <w:tcPr>
            <w:tcW w:w="1913" w:type="dxa"/>
            <w:tcBorders>
              <w:top w:val="single" w:sz="4" w:space="0" w:color="000000"/>
              <w:left w:val="single" w:sz="4" w:space="0" w:color="000000"/>
              <w:bottom w:val="single" w:sz="4" w:space="0" w:color="000000"/>
              <w:right w:val="single" w:sz="4" w:space="0" w:color="000000"/>
            </w:tcBorders>
          </w:tcPr>
          <w:p>
            <w:pPr>
              <w:pStyle w:val="TableParagraph"/>
              <w:spacing w:before="85"/>
              <w:rPr>
                <w:sz w:val="21"/>
              </w:rPr>
            </w:pPr>
            <w:r>
              <w:rPr>
                <w:sz w:val="21"/>
              </w:rPr>
              <w:t>磺酰脲类降糖药</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85"/>
              <w:rPr>
                <w:sz w:val="21"/>
              </w:rPr>
            </w:pPr>
            <w:r>
              <w:rPr>
                <w:sz w:val="21"/>
              </w:rPr>
              <w:t>氯磺丙脲</w:t>
            </w:r>
          </w:p>
        </w:tc>
        <w:tc>
          <w:tcPr>
            <w:tcW w:w="5660"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5"/>
              <w:ind w:left="70" w:right="54" w:firstLine="482"/>
              <w:jc w:val="both"/>
              <w:rPr>
                <w:sz w:val="21"/>
              </w:rPr>
            </w:pPr>
            <w:r>
              <w:rPr>
                <w:sz w:val="21"/>
              </w:rPr>
              <w:t>①有抗利尿作用，能促进抗利尿激素分泌，增强抗利尿激素的作用，可使尿崩症者尿量明显减少，可用于轻、中度的部分性 CDI。其 1-2d 起效，4d 达最大效果。</w:t>
            </w:r>
          </w:p>
          <w:p>
            <w:pPr>
              <w:pStyle w:val="TableParagraph"/>
              <w:spacing w:before="2"/>
              <w:ind w:left="552"/>
              <w:rPr>
                <w:sz w:val="21"/>
              </w:rPr>
            </w:pPr>
            <w:r>
              <w:rPr>
                <w:sz w:val="21"/>
              </w:rPr>
              <w:t>②不良反应主要为低血糖，可通过减少用药剂量，或加</w:t>
            </w:r>
          </w:p>
          <w:p>
            <w:pPr>
              <w:pStyle w:val="TableParagraph"/>
              <w:spacing w:before="113"/>
              <w:ind w:left="70"/>
              <w:rPr>
                <w:sz w:val="21"/>
              </w:rPr>
            </w:pPr>
            <w:r>
              <w:rPr>
                <w:sz w:val="21"/>
              </w:rPr>
              <w:t>用噻嗪类利尿剂等减少低血糖反应的发生。</w:t>
            </w:r>
          </w:p>
        </w:tc>
      </w:tr>
      <w:tr>
        <w:trPr>
          <w:trHeight w:val="3420" w:hRule="atLeast"/>
        </w:trPr>
        <w:tc>
          <w:tcPr>
            <w:tcW w:w="19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6"/>
              <w:rPr>
                <w:sz w:val="21"/>
              </w:rPr>
            </w:pPr>
            <w:r>
              <w:rPr>
                <w:sz w:val="21"/>
              </w:rPr>
              <w:t>噻嗪类利尿剂</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86"/>
              <w:rPr>
                <w:sz w:val="21"/>
              </w:rPr>
            </w:pPr>
            <w:r>
              <w:rPr>
                <w:sz w:val="21"/>
              </w:rPr>
              <w:t>噻嗪型：氢氯噻嗪</w:t>
            </w:r>
          </w:p>
        </w:tc>
        <w:tc>
          <w:tcPr>
            <w:tcW w:w="5660"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6"/>
              <w:ind w:left="70" w:right="54" w:firstLine="482"/>
              <w:jc w:val="both"/>
              <w:rPr>
                <w:sz w:val="21"/>
              </w:rPr>
            </w:pPr>
            <w:r>
              <w:rPr>
                <w:sz w:val="21"/>
              </w:rPr>
              <w:t>①可使尿中排钠增加，降低 Na+浓度，减轻对渴中枢渗透压感受器的刺激，减少饮水量，尿量减少；是通过抑制磷酸二酯酶，使远曲小管、集合管对水的重吸收增加，减少尿量；降低肾小球滤过率。</w:t>
            </w:r>
          </w:p>
          <w:p>
            <w:pPr>
              <w:pStyle w:val="TableParagraph"/>
              <w:spacing w:line="338" w:lineRule="auto" w:before="2"/>
              <w:ind w:left="70" w:right="54" w:firstLine="482"/>
              <w:jc w:val="both"/>
              <w:rPr>
                <w:sz w:val="21"/>
              </w:rPr>
            </w:pPr>
            <w:r>
              <w:rPr>
                <w:spacing w:val="-2"/>
                <w:sz w:val="21"/>
              </w:rPr>
              <w:t>②其可用于肾性尿崩症，也可用于 </w:t>
            </w:r>
            <w:r>
              <w:rPr>
                <w:sz w:val="21"/>
              </w:rPr>
              <w:t>CDI</w:t>
            </w:r>
            <w:r>
              <w:rPr>
                <w:spacing w:val="-5"/>
                <w:sz w:val="21"/>
              </w:rPr>
              <w:t>，特别是部分性</w:t>
            </w:r>
            <w:r>
              <w:rPr>
                <w:sz w:val="21"/>
              </w:rPr>
              <w:t>CDI</w:t>
            </w:r>
            <w:r>
              <w:rPr>
                <w:spacing w:val="-5"/>
                <w:sz w:val="21"/>
              </w:rPr>
              <w:t>。一般与氯磺丙脲联用于 </w:t>
            </w:r>
            <w:r>
              <w:rPr>
                <w:sz w:val="21"/>
              </w:rPr>
              <w:t>CDI</w:t>
            </w:r>
            <w:r>
              <w:rPr>
                <w:spacing w:val="-3"/>
                <w:sz w:val="21"/>
              </w:rPr>
              <w:t>，能减少后者引起的低血糖风险。</w:t>
            </w:r>
          </w:p>
          <w:p>
            <w:pPr>
              <w:pStyle w:val="TableParagraph"/>
              <w:spacing w:before="2"/>
              <w:ind w:left="552"/>
              <w:rPr>
                <w:sz w:val="21"/>
              </w:rPr>
            </w:pPr>
            <w:r>
              <w:rPr>
                <w:sz w:val="21"/>
              </w:rPr>
              <w:t>③不良反应有黄疸、血小板减少等，长期使用会出现血</w:t>
            </w:r>
          </w:p>
          <w:p>
            <w:pPr>
              <w:pStyle w:val="TableParagraph"/>
              <w:spacing w:before="113"/>
              <w:ind w:left="70"/>
              <w:rPr>
                <w:sz w:val="21"/>
              </w:rPr>
            </w:pPr>
            <w:r>
              <w:rPr>
                <w:sz w:val="21"/>
              </w:rPr>
              <w:t>压降低，水、电解质紊乱。</w:t>
            </w:r>
          </w:p>
        </w:tc>
      </w:tr>
      <w:tr>
        <w:trPr>
          <w:trHeight w:val="1139" w:hRule="atLeast"/>
        </w:trPr>
        <w:tc>
          <w:tcPr>
            <w:tcW w:w="1913" w:type="dxa"/>
            <w:vMerge/>
            <w:tcBorders>
              <w:top w:val="nil"/>
              <w:left w:val="single" w:sz="4" w:space="0" w:color="000000"/>
              <w:bottom w:val="single" w:sz="4" w:space="0" w:color="000000"/>
              <w:right w:val="single" w:sz="4" w:space="0" w:color="000000"/>
            </w:tcBorders>
          </w:tcPr>
          <w:p>
            <w:pPr>
              <w:rPr>
                <w:sz w:val="2"/>
                <w:szCs w:val="2"/>
              </w:rPr>
            </w:pP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86"/>
              <w:rPr>
                <w:sz w:val="21"/>
              </w:rPr>
            </w:pPr>
            <w:r>
              <w:rPr>
                <w:sz w:val="21"/>
              </w:rPr>
              <w:t>噻嗪样：吲达帕胺</w:t>
            </w:r>
          </w:p>
        </w:tc>
        <w:tc>
          <w:tcPr>
            <w:tcW w:w="5660"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6"/>
              <w:ind w:left="70" w:right="54" w:firstLine="482"/>
              <w:rPr>
                <w:sz w:val="21"/>
              </w:rPr>
            </w:pPr>
            <w:r>
              <w:rPr>
                <w:sz w:val="21"/>
              </w:rPr>
              <w:t>①可能通过抑制肾合成前列腺素，增加尿浓缩能力而降低尿量，主要用于轻度 CDI。</w:t>
            </w:r>
          </w:p>
          <w:p>
            <w:pPr>
              <w:pStyle w:val="TableParagraph"/>
              <w:spacing w:line="266" w:lineRule="exact" w:before="0"/>
              <w:ind w:left="552"/>
              <w:rPr>
                <w:sz w:val="21"/>
              </w:rPr>
            </w:pPr>
            <w:r>
              <w:rPr>
                <w:sz w:val="21"/>
              </w:rPr>
              <w:t>②常见不良反应为低血钾、低血压。</w:t>
            </w:r>
          </w:p>
        </w:tc>
      </w:tr>
      <w:tr>
        <w:trPr>
          <w:trHeight w:val="1139" w:hRule="atLeast"/>
        </w:trPr>
        <w:tc>
          <w:tcPr>
            <w:tcW w:w="1913" w:type="dxa"/>
            <w:tcBorders>
              <w:top w:val="single" w:sz="4" w:space="0" w:color="000000"/>
              <w:left w:val="single" w:sz="4" w:space="0" w:color="000000"/>
              <w:bottom w:val="single" w:sz="4" w:space="0" w:color="000000"/>
              <w:right w:val="single" w:sz="4" w:space="0" w:color="000000"/>
            </w:tcBorders>
          </w:tcPr>
          <w:p>
            <w:pPr>
              <w:pStyle w:val="TableParagraph"/>
              <w:spacing w:before="86"/>
              <w:rPr>
                <w:sz w:val="21"/>
              </w:rPr>
            </w:pPr>
            <w:r>
              <w:rPr>
                <w:sz w:val="21"/>
              </w:rPr>
              <w:t>钠离子通道阻断剂</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86"/>
              <w:rPr>
                <w:sz w:val="21"/>
              </w:rPr>
            </w:pPr>
            <w:r>
              <w:rPr>
                <w:sz w:val="21"/>
              </w:rPr>
              <w:t>阿米洛利</w:t>
            </w:r>
          </w:p>
        </w:tc>
        <w:tc>
          <w:tcPr>
            <w:tcW w:w="5660"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6"/>
              <w:ind w:left="70" w:right="54" w:firstLine="482"/>
              <w:rPr>
                <w:sz w:val="21"/>
              </w:rPr>
            </w:pPr>
            <w:r>
              <w:rPr>
                <w:sz w:val="21"/>
              </w:rPr>
              <w:t>①可抑制 Na+的重吸收，减少血容量而控制尿量，对健康个体没有抗利尿作用。</w:t>
            </w:r>
          </w:p>
          <w:p>
            <w:pPr>
              <w:pStyle w:val="TableParagraph"/>
              <w:spacing w:line="266" w:lineRule="exact" w:before="0"/>
              <w:ind w:left="552"/>
              <w:rPr>
                <w:sz w:val="21"/>
              </w:rPr>
            </w:pPr>
            <w:r>
              <w:rPr>
                <w:sz w:val="21"/>
              </w:rPr>
              <w:t>②阿米洛利为保钾型制剂，与噻嗪类利尿剂合用。</w:t>
            </w:r>
          </w:p>
        </w:tc>
      </w:tr>
      <w:tr>
        <w:trPr>
          <w:trHeight w:val="1521" w:hRule="atLeast"/>
        </w:trPr>
        <w:tc>
          <w:tcPr>
            <w:tcW w:w="1913" w:type="dxa"/>
            <w:tcBorders>
              <w:top w:val="single" w:sz="4" w:space="0" w:color="000000"/>
              <w:left w:val="single" w:sz="4" w:space="0" w:color="000000"/>
              <w:bottom w:val="single" w:sz="4" w:space="0" w:color="000000"/>
              <w:right w:val="single" w:sz="4" w:space="0" w:color="000000"/>
            </w:tcBorders>
          </w:tcPr>
          <w:p>
            <w:pPr>
              <w:pStyle w:val="TableParagraph"/>
              <w:spacing w:before="88"/>
              <w:rPr>
                <w:sz w:val="21"/>
              </w:rPr>
            </w:pPr>
            <w:r>
              <w:rPr>
                <w:sz w:val="21"/>
              </w:rPr>
              <w:t>贝特类降脂药</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88"/>
              <w:rPr>
                <w:sz w:val="21"/>
              </w:rPr>
            </w:pPr>
            <w:r>
              <w:rPr>
                <w:sz w:val="21"/>
              </w:rPr>
              <w:t>氯贝丁酯</w:t>
            </w:r>
          </w:p>
        </w:tc>
        <w:tc>
          <w:tcPr>
            <w:tcW w:w="5660"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8"/>
              <w:ind w:left="70" w:right="54" w:firstLine="482"/>
              <w:jc w:val="both"/>
              <w:rPr>
                <w:sz w:val="21"/>
              </w:rPr>
            </w:pPr>
            <w:r>
              <w:rPr>
                <w:spacing w:val="-9"/>
                <w:sz w:val="21"/>
              </w:rPr>
              <w:t>①对较轻的 </w:t>
            </w:r>
            <w:r>
              <w:rPr>
                <w:sz w:val="21"/>
              </w:rPr>
              <w:t>CDI</w:t>
            </w:r>
            <w:r>
              <w:rPr>
                <w:spacing w:val="-10"/>
                <w:sz w:val="21"/>
              </w:rPr>
              <w:t> 者有抗利尿作用，可能与神经垂体释放</w:t>
            </w:r>
            <w:r>
              <w:rPr>
                <w:spacing w:val="-12"/>
                <w:sz w:val="21"/>
              </w:rPr>
              <w:t>加压素增加有关。其抗利尿作用不及氯磺丙脲，对完全性 </w:t>
            </w:r>
            <w:r>
              <w:rPr>
                <w:spacing w:val="-4"/>
                <w:sz w:val="21"/>
              </w:rPr>
              <w:t>CDI </w:t>
            </w:r>
            <w:r>
              <w:rPr>
                <w:spacing w:val="-9"/>
                <w:sz w:val="21"/>
              </w:rPr>
              <w:t>无效，不推荐用于 </w:t>
            </w:r>
            <w:r>
              <w:rPr>
                <w:sz w:val="21"/>
              </w:rPr>
              <w:t>CDI。</w:t>
            </w:r>
          </w:p>
          <w:p>
            <w:pPr>
              <w:pStyle w:val="TableParagraph"/>
              <w:spacing w:before="2"/>
              <w:ind w:left="552"/>
              <w:rPr>
                <w:sz w:val="21"/>
              </w:rPr>
            </w:pPr>
            <w:r>
              <w:rPr>
                <w:sz w:val="21"/>
              </w:rPr>
              <w:t>②不良反应多且严重，特别易诱发胆结石等。</w:t>
            </w:r>
          </w:p>
        </w:tc>
      </w:tr>
      <w:tr>
        <w:trPr>
          <w:trHeight w:val="1518" w:hRule="atLeast"/>
        </w:trPr>
        <w:tc>
          <w:tcPr>
            <w:tcW w:w="1913" w:type="dxa"/>
            <w:tcBorders>
              <w:top w:val="single" w:sz="4" w:space="0" w:color="000000"/>
              <w:left w:val="single" w:sz="4" w:space="0" w:color="000000"/>
              <w:bottom w:val="single" w:sz="4" w:space="0" w:color="000000"/>
              <w:right w:val="single" w:sz="4" w:space="0" w:color="000000"/>
            </w:tcBorders>
          </w:tcPr>
          <w:p>
            <w:pPr>
              <w:pStyle w:val="TableParagraph"/>
              <w:spacing w:before="85"/>
              <w:rPr>
                <w:sz w:val="21"/>
              </w:rPr>
            </w:pPr>
            <w:r>
              <w:rPr>
                <w:sz w:val="21"/>
              </w:rPr>
              <w:t>抗癫痫药</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85"/>
              <w:rPr>
                <w:sz w:val="21"/>
              </w:rPr>
            </w:pPr>
            <w:r>
              <w:rPr>
                <w:sz w:val="21"/>
              </w:rPr>
              <w:t>卡马西平</w:t>
            </w:r>
          </w:p>
        </w:tc>
        <w:tc>
          <w:tcPr>
            <w:tcW w:w="5660"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5"/>
              <w:ind w:left="70" w:right="54" w:firstLine="482"/>
              <w:jc w:val="both"/>
              <w:rPr>
                <w:sz w:val="21"/>
              </w:rPr>
            </w:pPr>
            <w:r>
              <w:rPr>
                <w:spacing w:val="-9"/>
                <w:sz w:val="21"/>
              </w:rPr>
              <w:t>①可能与促进 </w:t>
            </w:r>
            <w:r>
              <w:rPr>
                <w:sz w:val="21"/>
              </w:rPr>
              <w:t>AVP</w:t>
            </w:r>
            <w:r>
              <w:rPr>
                <w:spacing w:val="-12"/>
                <w:sz w:val="21"/>
              </w:rPr>
              <w:t> 分泌或提高效应器对 </w:t>
            </w:r>
            <w:r>
              <w:rPr>
                <w:sz w:val="21"/>
              </w:rPr>
              <w:t>AVP</w:t>
            </w:r>
            <w:r>
              <w:rPr>
                <w:spacing w:val="-10"/>
                <w:sz w:val="21"/>
              </w:rPr>
              <w:t> 的敏感性而</w:t>
            </w:r>
            <w:r>
              <w:rPr>
                <w:spacing w:val="-11"/>
                <w:sz w:val="21"/>
              </w:rPr>
              <w:t>降低尿量，可用于 </w:t>
            </w:r>
            <w:r>
              <w:rPr>
                <w:sz w:val="21"/>
              </w:rPr>
              <w:t>CDI</w:t>
            </w:r>
            <w:r>
              <w:rPr>
                <w:spacing w:val="-10"/>
                <w:sz w:val="21"/>
              </w:rPr>
              <w:t>。可单用或与氯磺丙脲、氯贝丁酯等联用。</w:t>
            </w:r>
          </w:p>
          <w:p>
            <w:pPr>
              <w:pStyle w:val="TableParagraph"/>
              <w:spacing w:before="2"/>
              <w:ind w:left="552"/>
              <w:rPr>
                <w:sz w:val="21"/>
              </w:rPr>
            </w:pPr>
            <w:r>
              <w:rPr>
                <w:sz w:val="21"/>
              </w:rPr>
              <w:t>②不良反应有增加认知功能障碍、精神错乱等。</w:t>
            </w:r>
          </w:p>
        </w:tc>
      </w:tr>
      <w:tr>
        <w:trPr>
          <w:trHeight w:val="1257" w:hRule="atLeast"/>
        </w:trPr>
        <w:tc>
          <w:tcPr>
            <w:tcW w:w="1913"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8"/>
              <w:ind w:right="56"/>
              <w:rPr>
                <w:sz w:val="21"/>
              </w:rPr>
            </w:pPr>
            <w:r>
              <w:rPr>
                <w:sz w:val="21"/>
              </w:rPr>
              <w:t>前列腺素合成酶抑制剂</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88"/>
              <w:rPr>
                <w:sz w:val="21"/>
              </w:rPr>
            </w:pPr>
            <w:r>
              <w:rPr>
                <w:sz w:val="21"/>
              </w:rPr>
              <w:t>吲哚美辛</w:t>
            </w:r>
          </w:p>
        </w:tc>
        <w:tc>
          <w:tcPr>
            <w:tcW w:w="5660"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8"/>
              <w:ind w:left="70" w:right="-58" w:firstLine="482"/>
              <w:jc w:val="both"/>
              <w:rPr>
                <w:sz w:val="21"/>
              </w:rPr>
            </w:pPr>
            <w:r>
              <w:rPr>
                <w:sz w:val="21"/>
              </w:rPr>
              <w:t>可使肾性尿崩症（NDI）者尿量明显减少，尤其在起始使用时效果明显，可用于获得性 NDI 的紧急处理，可能与促进AVP 刺激的cAMP 生成和增加非AVP 依赖的溶质重吸收相关。</w:t>
            </w:r>
          </w:p>
        </w:tc>
      </w:tr>
    </w:tbl>
    <w:p>
      <w:pPr>
        <w:pStyle w:val="Heading4"/>
        <w:spacing w:line="305" w:lineRule="exact" w:before="56"/>
      </w:pPr>
      <w:r>
        <w:rPr/>
        <w:t>二．致尿崩症的药物</w:t>
      </w:r>
    </w:p>
    <w:p>
      <w:pPr>
        <w:spacing w:line="442" w:lineRule="exact" w:before="0"/>
        <w:ind w:left="699" w:right="0" w:firstLine="0"/>
        <w:jc w:val="left"/>
        <w:rPr>
          <w:rFonts w:ascii="微软雅黑" w:eastAsia="微软雅黑" w:hint="eastAsia"/>
          <w:b/>
          <w:sz w:val="24"/>
        </w:rPr>
      </w:pPr>
      <w:r>
        <w:rPr>
          <w:w w:val="110"/>
          <w:sz w:val="24"/>
        </w:rPr>
        <w:t>如锂制剂、两性霉素 B 等。</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spacing w:after="0" w:line="442" w:lineRule="exact"/>
        <w:jc w:val="left"/>
        <w:rPr>
          <w:rFonts w:ascii="微软雅黑" w:eastAsia="微软雅黑" w:hint="eastAsia"/>
          <w:sz w:val="24"/>
        </w:rPr>
        <w:sectPr>
          <w:headerReference w:type="default" r:id="rId12"/>
          <w:footerReference w:type="default" r:id="rId13"/>
          <w:pgSz w:w="11910" w:h="16850"/>
          <w:pgMar w:header="0" w:footer="607" w:top="1100" w:bottom="800" w:left="1060" w:right="660"/>
          <w:pgNumType w:start="16"/>
        </w:sectPr>
      </w:pPr>
    </w:p>
    <w:p>
      <w:pPr>
        <w:pStyle w:val="Heading2"/>
        <w:spacing w:before="13"/>
        <w:ind w:left="217"/>
      </w:pPr>
      <w:bookmarkStart w:name="_TOC_250018" w:id="13"/>
      <w:bookmarkEnd w:id="13"/>
      <w:r>
        <w:rPr/>
        <w:t>【医生谈药】</w:t>
      </w:r>
    </w:p>
    <w:p>
      <w:pPr>
        <w:pStyle w:val="BodyText"/>
        <w:spacing w:before="9"/>
        <w:ind w:left="0"/>
        <w:rPr>
          <w:b/>
          <w:sz w:val="18"/>
        </w:rPr>
      </w:pPr>
    </w:p>
    <w:p>
      <w:pPr>
        <w:pStyle w:val="Heading2"/>
        <w:spacing w:before="54"/>
        <w:ind w:right="257"/>
        <w:jc w:val="center"/>
      </w:pPr>
      <w:bookmarkStart w:name="_TOC_250017" w:id="14"/>
      <w:bookmarkEnd w:id="14"/>
      <w:r>
        <w:rPr/>
        <w:t>罗沙司他带来贫血管理崭新变革</w:t>
      </w:r>
    </w:p>
    <w:p>
      <w:pPr>
        <w:spacing w:before="79"/>
        <w:ind w:left="2422" w:right="0" w:firstLine="0"/>
        <w:jc w:val="left"/>
        <w:rPr>
          <w:sz w:val="21"/>
        </w:rPr>
      </w:pPr>
      <w:r>
        <w:rPr>
          <w:sz w:val="21"/>
        </w:rPr>
        <w:t>——历经 </w:t>
      </w:r>
      <w:r>
        <w:rPr>
          <w:rFonts w:ascii="Times New Roman" w:hAnsi="Times New Roman" w:eastAsia="Times New Roman"/>
          <w:sz w:val="21"/>
        </w:rPr>
        <w:t>30 </w:t>
      </w:r>
      <w:r>
        <w:rPr>
          <w:sz w:val="21"/>
        </w:rPr>
        <w:t>年，看肾性贫血治疗的进展与突破</w:t>
      </w:r>
    </w:p>
    <w:p>
      <w:pPr>
        <w:pStyle w:val="BodyText"/>
        <w:spacing w:before="8"/>
        <w:ind w:left="0"/>
        <w:rPr>
          <w:sz w:val="8"/>
        </w:rPr>
      </w:pPr>
    </w:p>
    <w:p>
      <w:pPr>
        <w:pStyle w:val="Heading4"/>
        <w:spacing w:before="66"/>
        <w:ind w:left="0" w:right="468"/>
        <w:jc w:val="right"/>
        <w:rPr>
          <w:rFonts w:ascii="楷体" w:eastAsia="楷体" w:hint="eastAsia"/>
        </w:rPr>
      </w:pPr>
      <w:r>
        <w:rPr>
          <w:rFonts w:ascii="楷体" w:eastAsia="楷体" w:hint="eastAsia"/>
          <w:color w:val="FF0000"/>
          <w:w w:val="95"/>
        </w:rPr>
        <w:t>（来源：中国医学论坛报）</w:t>
      </w:r>
    </w:p>
    <w:p>
      <w:pPr>
        <w:spacing w:before="98"/>
        <w:ind w:left="699" w:right="0" w:firstLine="0"/>
        <w:jc w:val="left"/>
        <w:rPr>
          <w:b/>
          <w:sz w:val="24"/>
        </w:rPr>
      </w:pPr>
      <w:r>
        <w:rPr>
          <w:b/>
          <w:sz w:val="24"/>
        </w:rPr>
        <w:t>肾性贫血的流行病学现状</w:t>
      </w:r>
    </w:p>
    <w:p>
      <w:pPr>
        <w:pStyle w:val="BodyText"/>
        <w:spacing w:line="297" w:lineRule="auto" w:before="72"/>
        <w:ind w:right="364" w:firstLine="482"/>
      </w:pPr>
      <w:r>
        <w:rPr/>
        <w:t>慢性肾脏病(CKD)</w:t>
      </w:r>
      <w:r>
        <w:rPr>
          <w:spacing w:val="-2"/>
        </w:rPr>
        <w:t> 是全球范围内严重的公共卫生健康问题，发病率呈现逐年增高趋势。</w:t>
      </w:r>
      <w:r>
        <w:rPr>
          <w:spacing w:val="-6"/>
        </w:rPr>
        <w:t>我国流行病学调查资料显示，成年人群 </w:t>
      </w:r>
      <w:r>
        <w:rPr/>
        <w:t>CKD</w:t>
      </w:r>
      <w:r>
        <w:rPr>
          <w:spacing w:val="-18"/>
        </w:rPr>
        <w:t> 患病率高达 </w:t>
      </w:r>
      <w:r>
        <w:rPr/>
        <w:t>10.8%</w:t>
      </w:r>
      <w:r>
        <w:rPr>
          <w:spacing w:val="-12"/>
        </w:rPr>
        <w:t>。而肾性贫血是 </w:t>
      </w:r>
      <w:r>
        <w:rPr/>
        <w:t>CKD</w:t>
      </w:r>
      <w:r>
        <w:rPr>
          <w:spacing w:val="-12"/>
        </w:rPr>
        <w:t> 最常见的</w:t>
      </w:r>
      <w:r>
        <w:rPr>
          <w:spacing w:val="-18"/>
        </w:rPr>
        <w:t>并发症之一，随着 </w:t>
      </w:r>
      <w:r>
        <w:rPr/>
        <w:t>CKD</w:t>
      </w:r>
      <w:r>
        <w:rPr>
          <w:spacing w:val="-9"/>
        </w:rPr>
        <w:t> 的进展，贫血患病率和严重程度逐渐增加。国内一项调研结果显示， </w:t>
      </w:r>
      <w:r>
        <w:rPr/>
        <w:t>CKD 1～5 期患者贫血患病率依次为：22.0%、37.0%、45.4%、85.1%和 98.2%，透析与非透析 CKD</w:t>
      </w:r>
      <w:r>
        <w:rPr>
          <w:spacing w:val="-1"/>
        </w:rPr>
        <w:t> 患者贫血患病率分别为 </w:t>
      </w:r>
      <w:r>
        <w:rPr/>
        <w:t>98.2%和 52.0%</w:t>
      </w:r>
      <w:r>
        <w:rPr>
          <w:spacing w:val="-10"/>
        </w:rPr>
        <w:t>。糖尿病伴 </w:t>
      </w:r>
      <w:r>
        <w:rPr/>
        <w:t>CKD</w:t>
      </w:r>
      <w:r>
        <w:rPr>
          <w:spacing w:val="-8"/>
        </w:rPr>
        <w:t> 患者早期即可发生贫血，且程度更加严重。KEEP</w:t>
      </w:r>
      <w:r>
        <w:rPr>
          <w:spacing w:val="-13"/>
        </w:rPr>
        <w:t> 研究显示</w:t>
      </w:r>
      <w:r>
        <w:rPr/>
        <w:t>，CKD 伴糖尿病贫血的发生率更高，CKD3</w:t>
      </w:r>
      <w:r>
        <w:rPr>
          <w:spacing w:val="-8"/>
        </w:rPr>
        <w:t> 期伴糖尿病患者的贫血患病率是非糖尿病患者的 3 倍。</w:t>
      </w:r>
    </w:p>
    <w:p>
      <w:pPr>
        <w:pStyle w:val="BodyText"/>
        <w:spacing w:line="297" w:lineRule="auto"/>
        <w:ind w:right="348" w:firstLine="482"/>
        <w:jc w:val="both"/>
      </w:pPr>
      <w:r>
        <w:rPr>
          <w:spacing w:val="-5"/>
        </w:rPr>
        <w:t>与高发病率不相匹配的是 </w:t>
      </w:r>
      <w:r>
        <w:rPr/>
        <w:t>CKD</w:t>
      </w:r>
      <w:r>
        <w:rPr>
          <w:spacing w:val="-11"/>
        </w:rPr>
        <w:t> 患者对肾性贫血的知晓率并不理想，仅为 </w:t>
      </w:r>
      <w:r>
        <w:rPr/>
        <w:t>67.5%。其次， CKD</w:t>
      </w:r>
      <w:r>
        <w:rPr>
          <w:spacing w:val="-8"/>
        </w:rPr>
        <w:t> 患者肾性贫血治疗率低，起始治疗晚。</w:t>
      </w:r>
      <w:r>
        <w:rPr/>
        <w:t>CKD</w:t>
      </w:r>
      <w:r>
        <w:rPr>
          <w:spacing w:val="-8"/>
        </w:rPr>
        <w:t> 病情越轻，越容易忽视贫血治疗。美国大样本数据调查显示，CKD</w:t>
      </w:r>
      <w:r>
        <w:rPr>
          <w:spacing w:val="-13"/>
        </w:rPr>
        <w:t> 患者贫血治疗率仅为 </w:t>
      </w:r>
      <w:r>
        <w:rPr/>
        <w:t>22.8%；我国一项多中心、横断面研究显示，非</w:t>
      </w:r>
      <w:r>
        <w:rPr>
          <w:spacing w:val="16"/>
        </w:rPr>
        <w:t>透析</w:t>
      </w:r>
      <w:r>
        <w:rPr/>
        <w:t>CKD</w:t>
      </w:r>
      <w:r>
        <w:rPr>
          <w:spacing w:val="-8"/>
        </w:rPr>
        <w:t> 患者贫血的治疗率为</w:t>
      </w:r>
      <w:r>
        <w:rPr/>
        <w:t>44.9%</w:t>
      </w:r>
      <w:r>
        <w:rPr>
          <w:spacing w:val="-60"/>
        </w:rPr>
        <w:t>。再次，</w:t>
      </w:r>
      <w:r>
        <w:rPr/>
        <w:t>CKD</w:t>
      </w:r>
      <w:r>
        <w:rPr>
          <w:spacing w:val="-23"/>
        </w:rPr>
        <w:t> 贫血治疗的达标率低，我国血液透析</w:t>
      </w:r>
      <w:r>
        <w:rPr>
          <w:spacing w:val="-1"/>
        </w:rPr>
        <w:t>（</w:t>
      </w:r>
      <w:r>
        <w:rPr>
          <w:spacing w:val="-2"/>
        </w:rPr>
        <w:t>CKD-HD）</w:t>
      </w:r>
      <w:r>
        <w:rPr>
          <w:spacing w:val="-5"/>
        </w:rPr>
        <w:t>患者的贫血治疗达标率仅为 </w:t>
      </w:r>
      <w:r>
        <w:rPr/>
        <w:t>21.3%，与欧美国家相比仍处于较低水平。</w:t>
      </w:r>
    </w:p>
    <w:p>
      <w:pPr>
        <w:pStyle w:val="Heading4"/>
        <w:spacing w:line="302" w:lineRule="exact"/>
      </w:pPr>
      <w:r>
        <w:rPr/>
        <w:t>肾性贫血的危害</w:t>
      </w:r>
    </w:p>
    <w:p>
      <w:pPr>
        <w:pStyle w:val="BodyText"/>
        <w:spacing w:line="297" w:lineRule="auto" w:before="62"/>
        <w:ind w:right="467" w:firstLine="482"/>
        <w:jc w:val="both"/>
      </w:pPr>
      <w:r>
        <w:rPr>
          <w:spacing w:val="-7"/>
        </w:rPr>
        <w:t>肾性贫血对机体造成很多影响，患者可有疲劳、呼吸短促、失眠、头痛和精神敏锐度降</w:t>
      </w:r>
      <w:r>
        <w:rPr>
          <w:spacing w:val="-11"/>
        </w:rPr>
        <w:t>低等症状，影响其身心健康与社会回归。此外，肾性贫血还会增加心脑血管事件的发生率与</w:t>
      </w:r>
      <w:r>
        <w:rPr>
          <w:spacing w:val="-3"/>
        </w:rPr>
        <w:t>死亡风险，加速肾脏疾病的进展和增加透析风险。一项针对 </w:t>
      </w:r>
      <w:r>
        <w:rPr/>
        <w:t>CKD-HD</w:t>
      </w:r>
      <w:r>
        <w:rPr>
          <w:spacing w:val="-8"/>
        </w:rPr>
        <w:t> 患者的研究显示，患者</w:t>
      </w:r>
      <w:r>
        <w:rPr>
          <w:spacing w:val="-13"/>
        </w:rPr>
        <w:t>的生理机能、身体疼痛、总体健康、精神健康等指标随着贫血程度的加重而降低，最终导致</w:t>
      </w:r>
      <w:r>
        <w:rPr/>
        <w:t>生存质量和生存率的下降。</w:t>
      </w:r>
    </w:p>
    <w:p>
      <w:pPr>
        <w:pStyle w:val="BodyText"/>
        <w:spacing w:line="297" w:lineRule="auto"/>
        <w:ind w:right="469" w:firstLine="482"/>
        <w:jc w:val="both"/>
      </w:pPr>
      <w:r>
        <w:rPr>
          <w:spacing w:val="-21"/>
        </w:rPr>
        <w:t>对于 </w:t>
      </w:r>
      <w:r>
        <w:rPr/>
        <w:t>CKD</w:t>
      </w:r>
      <w:r>
        <w:rPr>
          <w:spacing w:val="-12"/>
        </w:rPr>
        <w:t> 患者而言，及时纠正血红蛋白</w:t>
      </w:r>
      <w:r>
        <w:rPr>
          <w:spacing w:val="-7"/>
        </w:rPr>
        <w:t>（Hb）</w:t>
      </w:r>
      <w:r>
        <w:rPr>
          <w:spacing w:val="-6"/>
        </w:rPr>
        <w:t>水平，可使患者生存质量和生理功能得到</w:t>
      </w:r>
      <w:r>
        <w:rPr/>
        <w:t>显著改善，缩短住院时间，减少并发症，降低相关医疗费用。因此，纠正 CKD 患者的肾性贫血具有重要的临床意义和社会意义。</w:t>
      </w:r>
    </w:p>
    <w:p>
      <w:pPr>
        <w:pStyle w:val="Heading4"/>
        <w:spacing w:line="304" w:lineRule="exact"/>
      </w:pPr>
      <w:r>
        <w:rPr/>
        <w:t>现有肾性贫血的治疗手段及其局限性</w:t>
      </w:r>
    </w:p>
    <w:p>
      <w:pPr>
        <w:pStyle w:val="BodyText"/>
        <w:spacing w:line="297" w:lineRule="auto" w:before="66"/>
        <w:ind w:right="485" w:firstLine="482"/>
        <w:jc w:val="both"/>
      </w:pPr>
      <w:r>
        <w:rPr>
          <w:spacing w:val="-8"/>
        </w:rPr>
        <w:t>肾性贫血纠正是 </w:t>
      </w:r>
      <w:r>
        <w:rPr/>
        <w:t>CKD</w:t>
      </w:r>
      <w:r>
        <w:rPr>
          <w:spacing w:val="-12"/>
        </w:rPr>
        <w:t> 管理的重要环节，长期以来一直依赖红细胞生成刺激剂</w:t>
      </w:r>
      <w:r>
        <w:rPr>
          <w:spacing w:val="-6"/>
        </w:rPr>
        <w:t>（ESAs）</w:t>
      </w:r>
      <w:r>
        <w:rPr>
          <w:spacing w:val="-36"/>
        </w:rPr>
        <w:t>与</w:t>
      </w:r>
      <w:r>
        <w:rPr>
          <w:spacing w:val="-7"/>
        </w:rPr>
        <w:t>铁剂进行治疗，而 </w:t>
      </w:r>
      <w:r>
        <w:rPr/>
        <w:t>ESAs</w:t>
      </w:r>
      <w:r>
        <w:rPr>
          <w:spacing w:val="-8"/>
        </w:rPr>
        <w:t> 药物包括各种外源性重组人促红细胞生成素</w:t>
      </w:r>
      <w:r>
        <w:rPr/>
        <w:t>（rHuEPO）</w:t>
      </w:r>
      <w:r>
        <w:rPr>
          <w:spacing w:val="-4"/>
        </w:rPr>
        <w:t>是肾性贫血</w:t>
      </w:r>
      <w:r>
        <w:rPr>
          <w:spacing w:val="-5"/>
        </w:rPr>
        <w:t>治疗的基石，根据患者的 </w:t>
      </w:r>
      <w:r>
        <w:rPr/>
        <w:t>Hb</w:t>
      </w:r>
      <w:r>
        <w:rPr>
          <w:spacing w:val="-8"/>
        </w:rPr>
        <w:t> 水平、体重、临床情况、</w:t>
      </w:r>
      <w:r>
        <w:rPr/>
        <w:t>ESAs</w:t>
      </w:r>
      <w:r>
        <w:rPr>
          <w:spacing w:val="-13"/>
        </w:rPr>
        <w:t> 类型及给药途径决定 </w:t>
      </w:r>
      <w:r>
        <w:rPr/>
        <w:t>ESAs</w:t>
      </w:r>
      <w:r>
        <w:rPr>
          <w:spacing w:val="-20"/>
        </w:rPr>
        <w:t> 初始用药剂量。对于透析和非透析患者，rHuEPO</w:t>
      </w:r>
      <w:r>
        <w:rPr>
          <w:spacing w:val="-14"/>
        </w:rPr>
        <w:t> 的初始剂量建议为 </w:t>
      </w:r>
      <w:r>
        <w:rPr/>
        <w:t>50～100 IU/kg，</w:t>
      </w:r>
      <w:r>
        <w:rPr>
          <w:spacing w:val="-20"/>
        </w:rPr>
        <w:t>每周 </w:t>
      </w:r>
      <w:r>
        <w:rPr/>
        <w:t>3 次</w:t>
      </w:r>
      <w:r>
        <w:rPr>
          <w:spacing w:val="-31"/>
        </w:rPr>
        <w:t>或 </w:t>
      </w:r>
      <w:r>
        <w:rPr/>
        <w:t>10000 IU</w:t>
      </w:r>
      <w:r>
        <w:rPr>
          <w:spacing w:val="-15"/>
        </w:rPr>
        <w:t>，每周 </w:t>
      </w:r>
      <w:r>
        <w:rPr/>
        <w:t>1</w:t>
      </w:r>
      <w:r>
        <w:rPr>
          <w:spacing w:val="-8"/>
        </w:rPr>
        <w:t> 次，皮下或静脉给药。</w:t>
      </w:r>
    </w:p>
    <w:p>
      <w:pPr>
        <w:pStyle w:val="BodyText"/>
        <w:spacing w:line="297" w:lineRule="auto"/>
        <w:ind w:right="467" w:firstLine="482"/>
        <w:jc w:val="both"/>
      </w:pPr>
      <w:r>
        <w:rPr>
          <w:spacing w:val="-6"/>
        </w:rPr>
        <w:t>补充铁剂也是肾性贫血治疗的重要手段，绝大多数的肾性贫血患者都需要补铁，通过血清铁蛋白和转铁蛋白饱和度等指标评估患者的缺铁程度，有效的铁剂补充可改善贫血，减少</w:t>
      </w:r>
      <w:r>
        <w:rPr/>
        <w:t>ESAs</w:t>
      </w:r>
      <w:r>
        <w:rPr>
          <w:spacing w:val="-12"/>
        </w:rPr>
        <w:t> 的剂量。</w:t>
      </w:r>
    </w:p>
    <w:p>
      <w:pPr>
        <w:pStyle w:val="BodyText"/>
        <w:spacing w:line="295" w:lineRule="auto"/>
        <w:ind w:right="483" w:firstLine="482"/>
      </w:pPr>
      <w:r>
        <w:rPr>
          <w:spacing w:val="-16"/>
        </w:rPr>
        <w:t>尽管在 </w:t>
      </w:r>
      <w:r>
        <w:rPr/>
        <w:t>ESAs+</w:t>
      </w:r>
      <w:r>
        <w:rPr>
          <w:spacing w:val="-4"/>
        </w:rPr>
        <w:t>铁剂联合治疗的情况下，仍有约 </w:t>
      </w:r>
      <w:r>
        <w:rPr/>
        <w:t>20%</w:t>
      </w:r>
      <w:r>
        <w:rPr>
          <w:spacing w:val="-1"/>
        </w:rPr>
        <w:t>的患者治疗不达标。即使达标，部分</w:t>
      </w:r>
      <w:r>
        <w:rPr>
          <w:spacing w:val="-20"/>
        </w:rPr>
        <w:t>患者 </w:t>
      </w:r>
      <w:r>
        <w:rPr/>
        <w:t>ESAs</w:t>
      </w:r>
      <w:r>
        <w:rPr>
          <w:spacing w:val="-9"/>
        </w:rPr>
        <w:t> 使用剂量过大，导致副反应增加，死亡率升高。由此可见，目前的治疗方案仍存</w:t>
      </w:r>
    </w:p>
    <w:p>
      <w:pPr>
        <w:spacing w:after="0" w:line="295" w:lineRule="auto"/>
        <w:sectPr>
          <w:headerReference w:type="default" r:id="rId14"/>
          <w:footerReference w:type="default" r:id="rId15"/>
          <w:pgSz w:w="11910" w:h="16850"/>
          <w:pgMar w:header="906" w:footer="607" w:top="1100" w:bottom="800" w:left="1060" w:right="660"/>
          <w:pgNumType w:start="17"/>
        </w:sectPr>
      </w:pPr>
    </w:p>
    <w:p>
      <w:pPr>
        <w:pStyle w:val="BodyText"/>
        <w:spacing w:line="297" w:lineRule="auto" w:before="65"/>
        <w:ind w:right="348"/>
      </w:pPr>
      <w:r>
        <w:rPr>
          <w:spacing w:val="-12"/>
        </w:rPr>
        <w:t>在一定局限性。同时，皮下或静脉注射 </w:t>
      </w:r>
      <w:r>
        <w:rPr/>
        <w:t>rHuEPO</w:t>
      </w:r>
      <w:r>
        <w:rPr>
          <w:spacing w:val="-11"/>
        </w:rPr>
        <w:t> 会有疼痛感，给药频繁且需在医院进行治疗， </w:t>
      </w:r>
      <w:r>
        <w:rPr/>
        <w:t>导致患者依从性差，治疗出现不连续。rHuEPO</w:t>
      </w:r>
      <w:r>
        <w:rPr>
          <w:spacing w:val="-8"/>
        </w:rPr>
        <w:t> 还会增加血压升高、心血管疾病和血栓栓塞</w:t>
      </w:r>
      <w:r>
        <w:rPr>
          <w:spacing w:val="-18"/>
        </w:rPr>
        <w:t>的风险。部分 </w:t>
      </w:r>
      <w:r>
        <w:rPr/>
        <w:t>CKD</w:t>
      </w:r>
      <w:r>
        <w:rPr>
          <w:spacing w:val="-14"/>
        </w:rPr>
        <w:t> 患者体内存在抗 </w:t>
      </w:r>
      <w:r>
        <w:rPr/>
        <w:t>EPO</w:t>
      </w:r>
      <w:r>
        <w:rPr>
          <w:spacing w:val="-24"/>
        </w:rPr>
        <w:t> 抗体，导致 </w:t>
      </w:r>
      <w:r>
        <w:rPr/>
        <w:t>rHuEPO</w:t>
      </w:r>
      <w:r>
        <w:rPr>
          <w:spacing w:val="-11"/>
        </w:rPr>
        <w:t> 治疗反应差，无法有效改善贫血。</w:t>
      </w:r>
      <w:r>
        <w:rPr>
          <w:spacing w:val="-9"/>
        </w:rPr>
        <w:t>此外，静脉补铁在也存在诸多的不良反应如急性过敏反应，氧化应激等。在急性感染期间不</w:t>
      </w:r>
      <w:r>
        <w:rPr>
          <w:spacing w:val="-13"/>
        </w:rPr>
        <w:t>推荐使用静脉补铁，使得单用 </w:t>
      </w:r>
      <w:r>
        <w:rPr/>
        <w:t>rHuEPO</w:t>
      </w:r>
      <w:r>
        <w:rPr>
          <w:spacing w:val="-8"/>
        </w:rPr>
        <w:t> 治疗肾性贫血的效果非常有限。</w:t>
      </w:r>
    </w:p>
    <w:p>
      <w:pPr>
        <w:pStyle w:val="BodyText"/>
        <w:spacing w:line="297" w:lineRule="auto"/>
        <w:ind w:right="364" w:firstLine="482"/>
      </w:pPr>
      <w:r>
        <w:rPr/>
        <w:t>综上，传统治疗方案仍存在不足之处，临床亟需创新药物出现，为患者提供更多益处、减少潜在风险。</w:t>
      </w:r>
    </w:p>
    <w:p>
      <w:pPr>
        <w:pStyle w:val="Heading4"/>
        <w:spacing w:line="306" w:lineRule="exact"/>
      </w:pPr>
      <w:r>
        <w:rPr/>
        <w:t>新药罗沙司他在肾性贫血治疗领域的应用展望</w:t>
      </w:r>
    </w:p>
    <w:p>
      <w:pPr>
        <w:pStyle w:val="BodyText"/>
        <w:spacing w:before="64"/>
        <w:ind w:left="699"/>
      </w:pPr>
      <w:r>
        <w:rPr/>
        <w:t>2018 年 12 月 17 日，一种新型的口服低氧诱导因子脯氨酰羟化酶抑制剂罗沙司他</w:t>
      </w:r>
    </w:p>
    <w:p>
      <w:pPr>
        <w:pStyle w:val="BodyText"/>
        <w:spacing w:before="74"/>
      </w:pPr>
      <w:r>
        <w:rPr/>
        <w:t>（roxadustat）获得国家药品监督管理局的上市批准。</w:t>
      </w:r>
    </w:p>
    <w:p>
      <w:pPr>
        <w:pStyle w:val="BodyText"/>
        <w:spacing w:line="297" w:lineRule="auto" w:before="72"/>
        <w:ind w:right="467" w:firstLine="482"/>
        <w:jc w:val="both"/>
      </w:pPr>
      <w:r>
        <w:rPr>
          <w:spacing w:val="-7"/>
        </w:rPr>
        <w:t>作为首个采用低氧诱导因子创新机制、首个中国本土孵化、首个率先在中国获批的全球</w:t>
      </w:r>
      <w:r>
        <w:rPr>
          <w:spacing w:val="-10"/>
        </w:rPr>
        <w:t>首创原研药物，罗沙司他的诞生具有里程碑式意义，它的上市为肾性贫血患者提供了新的治</w:t>
      </w:r>
      <w:r>
        <w:rPr/>
        <w:t>疗手段。</w:t>
      </w:r>
    </w:p>
    <w:p>
      <w:pPr>
        <w:pStyle w:val="Heading4"/>
        <w:numPr>
          <w:ilvl w:val="0"/>
          <w:numId w:val="3"/>
        </w:numPr>
        <w:tabs>
          <w:tab w:pos="941" w:val="left" w:leader="none"/>
        </w:tabs>
        <w:spacing w:line="304" w:lineRule="exact" w:before="0" w:after="0"/>
        <w:ind w:left="940" w:right="0" w:hanging="242"/>
        <w:jc w:val="left"/>
      </w:pPr>
      <w:r>
        <w:rPr/>
        <w:t>罗沙司他治疗肾性贫血的作用机制</w:t>
      </w:r>
    </w:p>
    <w:p>
      <w:pPr>
        <w:pStyle w:val="BodyText"/>
        <w:spacing w:line="297" w:lineRule="auto" w:before="72"/>
        <w:ind w:left="699" w:right="349"/>
      </w:pPr>
      <w:r>
        <w:rPr>
          <w:spacing w:val="-3"/>
        </w:rPr>
        <w:t>传统观念认为，</w:t>
      </w:r>
      <w:r>
        <w:rPr>
          <w:spacing w:val="-21"/>
        </w:rPr>
        <w:t>EPO</w:t>
      </w:r>
      <w:r>
        <w:rPr>
          <w:spacing w:val="-13"/>
        </w:rPr>
        <w:t> 产生不足是导致肾性贫血的最重要原因，然而这一观点正经受挑战。</w:t>
      </w:r>
      <w:r>
        <w:rPr/>
        <w:t>研究显示，肾性贫血是由多种致病因素、机制相互作用的结果，低氧诱导因子</w:t>
      </w:r>
    </w:p>
    <w:p>
      <w:pPr>
        <w:pStyle w:val="BodyText"/>
        <w:spacing w:line="297" w:lineRule="auto"/>
        <w:ind w:right="466"/>
      </w:pPr>
      <w:r>
        <w:rPr/>
        <w:t>（hypoxia inducible factor，HIF）通路的发现为肾性贫血的治疗提供了新的契机。HIF </w:t>
      </w:r>
      <w:r>
        <w:rPr>
          <w:spacing w:val="-9"/>
        </w:rPr>
        <w:t>是低氧条件下 </w:t>
      </w:r>
      <w:r>
        <w:rPr/>
        <w:t>EPO</w:t>
      </w:r>
      <w:r>
        <w:rPr>
          <w:spacing w:val="-8"/>
        </w:rPr>
        <w:t> 基因调控的主要转录因子，正常氧条件下，由于有氧分子的协同，脯氨酰羟化酶（prolyl</w:t>
      </w:r>
      <w:r>
        <w:rPr>
          <w:spacing w:val="-1"/>
        </w:rPr>
        <w:t> </w:t>
      </w:r>
      <w:r>
        <w:rPr/>
        <w:t>hydroxylase domain，PHD）</w:t>
      </w:r>
      <w:r>
        <w:rPr>
          <w:spacing w:val="-15"/>
        </w:rPr>
        <w:t>羟基化 </w:t>
      </w:r>
      <w:r>
        <w:rPr/>
        <w:t>HIF-</w:t>
      </w:r>
      <w:r>
        <w:rPr>
          <w:rFonts w:ascii="Arial" w:hAnsi="Arial" w:eastAsia="Arial"/>
        </w:rPr>
        <w:t>α</w:t>
      </w:r>
      <w:r>
        <w:rPr>
          <w:rFonts w:ascii="Arial" w:hAnsi="Arial" w:eastAsia="Arial"/>
          <w:spacing w:val="34"/>
        </w:rPr>
        <w:t> </w:t>
      </w:r>
      <w:r>
        <w:rPr>
          <w:spacing w:val="-7"/>
        </w:rPr>
        <w:t>亚基，被羟基化的 </w:t>
      </w:r>
      <w:r>
        <w:rPr/>
        <w:t>HIF-</w:t>
      </w:r>
      <w:r>
        <w:rPr>
          <w:rFonts w:ascii="Arial" w:hAnsi="Arial" w:eastAsia="Arial"/>
        </w:rPr>
        <w:t>α</w:t>
      </w:r>
      <w:r>
        <w:rPr>
          <w:rFonts w:ascii="Arial" w:hAnsi="Arial" w:eastAsia="Arial"/>
          <w:spacing w:val="34"/>
        </w:rPr>
        <w:t> </w:t>
      </w:r>
      <w:r>
        <w:rPr/>
        <w:t>亚</w:t>
      </w:r>
      <w:r>
        <w:rPr>
          <w:spacing w:val="-1"/>
        </w:rPr>
        <w:t>基随后被蛋白酶降解。低氧条件下，</w:t>
      </w:r>
      <w:r>
        <w:rPr>
          <w:spacing w:val="-13"/>
        </w:rPr>
        <w:t>PHD</w:t>
      </w:r>
      <w:r>
        <w:rPr>
          <w:spacing w:val="-40"/>
        </w:rPr>
        <w:t> 对 </w:t>
      </w:r>
      <w:r>
        <w:rPr/>
        <w:t>HIF-</w:t>
      </w:r>
      <w:r>
        <w:rPr>
          <w:rFonts w:ascii="Arial" w:hAnsi="Arial" w:eastAsia="Arial"/>
        </w:rPr>
        <w:t>α</w:t>
      </w:r>
      <w:r>
        <w:rPr>
          <w:rFonts w:ascii="Arial" w:hAnsi="Arial" w:eastAsia="Arial"/>
          <w:spacing w:val="37"/>
        </w:rPr>
        <w:t> </w:t>
      </w:r>
      <w:r>
        <w:rPr>
          <w:spacing w:val="-1"/>
        </w:rPr>
        <w:t>亚基的羟基化能力减弱，</w:t>
      </w:r>
      <w:r>
        <w:rPr>
          <w:spacing w:val="-9"/>
        </w:rPr>
        <w:t>HIF-</w:t>
      </w:r>
      <w:r>
        <w:rPr>
          <w:rFonts w:ascii="Arial" w:hAnsi="Arial" w:eastAsia="Arial"/>
          <w:spacing w:val="-9"/>
        </w:rPr>
        <w:t>α</w:t>
      </w:r>
      <w:r>
        <w:rPr>
          <w:rFonts w:ascii="Arial" w:hAnsi="Arial" w:eastAsia="Arial"/>
          <w:spacing w:val="35"/>
        </w:rPr>
        <w:t> </w:t>
      </w:r>
      <w:r>
        <w:rPr>
          <w:spacing w:val="-4"/>
        </w:rPr>
        <w:t>不发生降</w:t>
      </w:r>
      <w:r>
        <w:rPr>
          <w:spacing w:val="-12"/>
        </w:rPr>
        <w:t>解，转位至细胞核，与 </w:t>
      </w:r>
      <w:r>
        <w:rPr/>
        <w:t>HIF-</w:t>
      </w:r>
      <w:r>
        <w:rPr>
          <w:rFonts w:ascii="Arial" w:hAnsi="Arial" w:eastAsia="Arial"/>
        </w:rPr>
        <w:t>β</w:t>
      </w:r>
      <w:r>
        <w:rPr>
          <w:rFonts w:ascii="Arial" w:hAnsi="Arial" w:eastAsia="Arial"/>
          <w:spacing w:val="34"/>
        </w:rPr>
        <w:t> </w:t>
      </w:r>
      <w:r>
        <w:rPr>
          <w:spacing w:val="-11"/>
        </w:rPr>
        <w:t>结合，并激活低氧反应元件，启动 </w:t>
      </w:r>
      <w:r>
        <w:rPr/>
        <w:t>EPO</w:t>
      </w:r>
      <w:r>
        <w:rPr>
          <w:spacing w:val="-15"/>
        </w:rPr>
        <w:t> 的基因转录，导致 </w:t>
      </w:r>
      <w:r>
        <w:rPr/>
        <w:t>EPO 产生增加。</w:t>
      </w:r>
    </w:p>
    <w:p>
      <w:pPr>
        <w:pStyle w:val="BodyText"/>
        <w:spacing w:line="297" w:lineRule="auto"/>
        <w:ind w:right="470" w:firstLine="482"/>
        <w:jc w:val="both"/>
      </w:pPr>
      <w:r>
        <w:rPr>
          <w:spacing w:val="-12"/>
        </w:rPr>
        <w:t>与此同时，与铁代谢、血管生成和线粒体发生有关的编码酶和转运蛋白的基因也受到刺</w:t>
      </w:r>
      <w:r>
        <w:rPr>
          <w:spacing w:val="-3"/>
        </w:rPr>
        <w:t>激。罗沙司他能够在氧分压正常的情况下抑制 </w:t>
      </w:r>
      <w:r>
        <w:rPr/>
        <w:t>HIF-PHD，稳定 HIF-</w:t>
      </w:r>
      <w:r>
        <w:rPr>
          <w:rFonts w:ascii="Arial" w:hAnsi="Arial" w:eastAsia="Arial"/>
        </w:rPr>
        <w:t>α</w:t>
      </w:r>
      <w:r>
        <w:rPr>
          <w:rFonts w:ascii="Arial" w:hAnsi="Arial" w:eastAsia="Arial"/>
          <w:spacing w:val="33"/>
        </w:rPr>
        <w:t> </w:t>
      </w:r>
      <w:r>
        <w:rPr/>
        <w:t>，诱导功能性转录， </w:t>
      </w:r>
      <w:r>
        <w:rPr>
          <w:spacing w:val="-5"/>
        </w:rPr>
        <w:t>如下调铁调素水平、升高 </w:t>
      </w:r>
      <w:r>
        <w:rPr/>
        <w:t>EPO</w:t>
      </w:r>
      <w:r>
        <w:rPr>
          <w:spacing w:val="-3"/>
        </w:rPr>
        <w:t>、增强红细胞受体及转铁蛋白受体活性等，从而综合调控 </w:t>
      </w:r>
      <w:r>
        <w:rPr/>
        <w:t>EPO 与铁代谢，发挥治疗肾性贫血的作用。</w:t>
      </w:r>
    </w:p>
    <w:p>
      <w:pPr>
        <w:pStyle w:val="Heading4"/>
        <w:numPr>
          <w:ilvl w:val="0"/>
          <w:numId w:val="3"/>
        </w:numPr>
        <w:tabs>
          <w:tab w:pos="941" w:val="left" w:leader="none"/>
        </w:tabs>
        <w:spacing w:line="302" w:lineRule="exact" w:before="0" w:after="0"/>
        <w:ind w:left="940" w:right="0" w:hanging="242"/>
        <w:jc w:val="left"/>
      </w:pPr>
      <w:r>
        <w:rPr/>
        <w:t>罗沙司他在肾性贫血治疗中的体会</w:t>
      </w:r>
    </w:p>
    <w:p>
      <w:pPr>
        <w:pStyle w:val="BodyText"/>
        <w:spacing w:line="295" w:lineRule="auto" w:before="64"/>
        <w:ind w:right="470" w:firstLine="482"/>
      </w:pPr>
      <w:r>
        <w:rPr>
          <w:spacing w:val="-7"/>
        </w:rPr>
        <w:t>鉴于罗沙司他在肾性贫血治疗中的潜在优势，研究者逐步开展了多项临床研究对其有效</w:t>
      </w:r>
      <w:r>
        <w:rPr/>
        <w:t>性和安全性进行探索。</w:t>
      </w:r>
    </w:p>
    <w:p>
      <w:pPr>
        <w:pStyle w:val="BodyText"/>
        <w:spacing w:line="297" w:lineRule="auto" w:before="2"/>
        <w:ind w:right="469" w:firstLine="482"/>
        <w:jc w:val="both"/>
      </w:pPr>
      <w:r>
        <w:rPr>
          <w:spacing w:val="-7"/>
        </w:rPr>
        <w:t>有关罗沙司他的最新临床研究频传捷报，在中国进行的Ⅱ期临床试验报道罗沙司他高剂</w:t>
      </w:r>
      <w:r>
        <w:rPr/>
        <w:t>量组（1.50～2.25 mg/kg）</w:t>
      </w:r>
      <w:r>
        <w:rPr>
          <w:spacing w:val="-12"/>
        </w:rPr>
        <w:t>在非透析 </w:t>
      </w:r>
      <w:r>
        <w:rPr/>
        <w:t>CKD</w:t>
      </w:r>
      <w:r>
        <w:rPr>
          <w:spacing w:val="-14"/>
        </w:rPr>
        <w:t> 患者的反应率高达 </w:t>
      </w:r>
      <w:r>
        <w:rPr/>
        <w:t>93.1%，</w:t>
      </w:r>
      <w:r>
        <w:rPr>
          <w:spacing w:val="-2"/>
        </w:rPr>
        <w:t>不同给药剂量和频率均</w:t>
      </w:r>
      <w:r>
        <w:rPr>
          <w:spacing w:val="-7"/>
        </w:rPr>
        <w:t>可提高并维持非透析 </w:t>
      </w:r>
      <w:r>
        <w:rPr/>
        <w:t>CKD</w:t>
      </w:r>
      <w:r>
        <w:rPr>
          <w:spacing w:val="-24"/>
        </w:rPr>
        <w:t> 患者的 </w:t>
      </w:r>
      <w:r>
        <w:rPr/>
        <w:t>Hb</w:t>
      </w:r>
      <w:r>
        <w:rPr>
          <w:spacing w:val="-8"/>
        </w:rPr>
        <w:t> 水平，且耐受性良好。</w:t>
      </w:r>
    </w:p>
    <w:p>
      <w:pPr>
        <w:pStyle w:val="BodyText"/>
        <w:spacing w:line="297" w:lineRule="auto"/>
        <w:ind w:right="483" w:firstLine="482"/>
        <w:jc w:val="both"/>
      </w:pPr>
      <w:r>
        <w:rPr>
          <w:spacing w:val="-2"/>
        </w:rPr>
        <w:t>在针对透析患者的Ⅱ期临床研究中发现，罗沙司他可有效改善透析患者 </w:t>
      </w:r>
      <w:r>
        <w:rPr/>
        <w:t>Hb</w:t>
      </w:r>
      <w:r>
        <w:rPr>
          <w:spacing w:val="-13"/>
        </w:rPr>
        <w:t> 水平，效果</w:t>
      </w:r>
      <w:r>
        <w:rPr>
          <w:spacing w:val="-20"/>
        </w:rPr>
        <w:t>优于 </w:t>
      </w:r>
      <w:r>
        <w:rPr/>
        <w:t>EPO。</w:t>
      </w:r>
    </w:p>
    <w:p>
      <w:pPr>
        <w:pStyle w:val="BodyText"/>
        <w:spacing w:line="297" w:lineRule="auto"/>
        <w:ind w:right="466" w:firstLine="482"/>
      </w:pPr>
      <w:r>
        <w:rPr/>
        <w:t>中国最先完成罗沙司他的Ⅲ期临床试验，研究结果显示，304</w:t>
      </w:r>
      <w:r>
        <w:rPr>
          <w:spacing w:val="-24"/>
        </w:rPr>
        <w:t> 例平均 </w:t>
      </w:r>
      <w:r>
        <w:rPr/>
        <w:t>Hb</w:t>
      </w:r>
      <w:r>
        <w:rPr>
          <w:spacing w:val="-12"/>
        </w:rPr>
        <w:t> 基线为 </w:t>
      </w:r>
      <w:r>
        <w:rPr/>
        <w:t>10.4 g/dl</w:t>
      </w:r>
      <w:r>
        <w:rPr>
          <w:spacing w:val="-41"/>
        </w:rPr>
        <w:t> 的 </w:t>
      </w:r>
      <w:r>
        <w:rPr/>
        <w:t>CKD-HD</w:t>
      </w:r>
      <w:r>
        <w:rPr>
          <w:spacing w:val="-20"/>
        </w:rPr>
        <w:t> 患者，以 </w:t>
      </w:r>
      <w:r>
        <w:rPr/>
        <w:t>2︰1 的比例随机分配至口服罗沙司他或注射阿法依泊汀，罗沙司</w:t>
      </w:r>
      <w:r>
        <w:rPr>
          <w:spacing w:val="-13"/>
        </w:rPr>
        <w:t>他在治疗 </w:t>
      </w:r>
      <w:r>
        <w:rPr/>
        <w:t>2～4</w:t>
      </w:r>
      <w:r>
        <w:rPr>
          <w:spacing w:val="-16"/>
        </w:rPr>
        <w:t> 周快速起效；第 </w:t>
      </w:r>
      <w:r>
        <w:rPr/>
        <w:t>4</w:t>
      </w:r>
      <w:r>
        <w:rPr>
          <w:spacing w:val="-22"/>
        </w:rPr>
        <w:t> 周后，平均 </w:t>
      </w:r>
      <w:r>
        <w:rPr/>
        <w:t>Hb</w:t>
      </w:r>
      <w:r>
        <w:rPr>
          <w:spacing w:val="-13"/>
        </w:rPr>
        <w:t> 水平维持</w:t>
      </w:r>
      <w:r>
        <w:rPr/>
        <w:t>≥11</w:t>
      </w:r>
      <w:r>
        <w:rPr>
          <w:spacing w:val="-61"/>
        </w:rPr>
        <w:t> </w:t>
      </w:r>
      <w:r>
        <w:rPr/>
        <w:t>g/dl</w:t>
      </w:r>
      <w:r>
        <w:rPr>
          <w:spacing w:val="-13"/>
        </w:rPr>
        <w:t>；治疗第 </w:t>
      </w:r>
      <w:r>
        <w:rPr/>
        <w:t>27</w:t>
      </w:r>
      <w:r>
        <w:rPr>
          <w:spacing w:val="-13"/>
        </w:rPr>
        <w:t> 周，罗沙司</w:t>
      </w:r>
      <w:r>
        <w:rPr>
          <w:spacing w:val="-23"/>
        </w:rPr>
        <w:t>他组平均 </w:t>
      </w:r>
      <w:r>
        <w:rPr/>
        <w:t>Hb</w:t>
      </w:r>
      <w:r>
        <w:rPr>
          <w:spacing w:val="-8"/>
        </w:rPr>
        <w:t> 升高水平相比阿法依泊汀组有明显差异</w:t>
      </w:r>
      <w:r>
        <w:rPr/>
        <w:t>（0.8</w:t>
      </w:r>
      <w:r>
        <w:rPr>
          <w:spacing w:val="-51"/>
        </w:rPr>
        <w:t> </w:t>
      </w:r>
      <w:r>
        <w:rPr/>
        <w:t>g/dl</w:t>
      </w:r>
      <w:r>
        <w:rPr>
          <w:spacing w:val="-40"/>
        </w:rPr>
        <w:t> 对 </w:t>
      </w:r>
      <w:r>
        <w:rPr/>
        <w:t>0.5</w:t>
      </w:r>
      <w:r>
        <w:rPr>
          <w:spacing w:val="-51"/>
        </w:rPr>
        <w:t> </w:t>
      </w:r>
      <w:r>
        <w:rPr/>
        <w:t>g/dl）</w:t>
      </w:r>
      <w:r>
        <w:rPr>
          <w:spacing w:val="-3"/>
        </w:rPr>
        <w:t>。Ⅲ期临床试</w:t>
      </w:r>
    </w:p>
    <w:p>
      <w:pPr>
        <w:spacing w:after="0" w:line="297" w:lineRule="auto"/>
        <w:sectPr>
          <w:pgSz w:w="11910" w:h="16850"/>
          <w:pgMar w:header="906" w:footer="607" w:top="1100" w:bottom="800" w:left="1060" w:right="660"/>
        </w:sectPr>
      </w:pPr>
    </w:p>
    <w:p>
      <w:pPr>
        <w:pStyle w:val="BodyText"/>
        <w:spacing w:line="295" w:lineRule="auto" w:before="65"/>
        <w:ind w:right="495"/>
      </w:pPr>
      <w:r>
        <w:rPr>
          <w:spacing w:val="-9"/>
        </w:rPr>
        <w:t>验总结认为，在中国透析与非透析 </w:t>
      </w:r>
      <w:r>
        <w:rPr/>
        <w:t>CKD</w:t>
      </w:r>
      <w:r>
        <w:rPr>
          <w:spacing w:val="-10"/>
        </w:rPr>
        <w:t> 患者中，罗沙司他治疗有效，</w:t>
      </w:r>
      <w:r>
        <w:rPr>
          <w:spacing w:val="-8"/>
        </w:rPr>
        <w:t>Hb</w:t>
      </w:r>
      <w:r>
        <w:rPr>
          <w:spacing w:val="-17"/>
        </w:rPr>
        <w:t> 应答率超过 </w:t>
      </w:r>
      <w:r>
        <w:rPr>
          <w:spacing w:val="-7"/>
        </w:rPr>
        <w:t>80%</w:t>
      </w:r>
      <w:r>
        <w:rPr>
          <w:spacing w:val="-24"/>
        </w:rPr>
        <w:t>；提</w:t>
      </w:r>
      <w:r>
        <w:rPr/>
        <w:t>升 Hb 水平不受炎症状态的影响；治疗期间铁调素水平显著降低且无需进行静脉补铁。</w:t>
      </w:r>
    </w:p>
    <w:p>
      <w:pPr>
        <w:pStyle w:val="BodyText"/>
        <w:spacing w:line="297" w:lineRule="auto" w:before="2"/>
        <w:ind w:right="470" w:firstLine="482"/>
      </w:pPr>
      <w:r>
        <w:rPr>
          <w:spacing w:val="-4"/>
        </w:rPr>
        <w:t>日本进行的一项Ⅲ期临床试验探讨了罗沙司他在腹膜透析患者中的疗效与安全性，结果表明罗沙司他具有良好的耐受性；在 </w:t>
      </w:r>
      <w:r>
        <w:rPr/>
        <w:t>HD</w:t>
      </w:r>
      <w:r>
        <w:rPr>
          <w:spacing w:val="-8"/>
        </w:rPr>
        <w:t> 患者中的研究也得出了类似的结果。</w:t>
      </w:r>
    </w:p>
    <w:p>
      <w:pPr>
        <w:pStyle w:val="BodyText"/>
        <w:spacing w:line="295" w:lineRule="auto"/>
        <w:ind w:right="346" w:firstLine="482"/>
      </w:pPr>
      <w:r>
        <w:rPr>
          <w:spacing w:val="-18"/>
        </w:rPr>
        <w:t>总之，从已报道的Ⅱ期、Ⅲ期临床试验的结果看，不论对于透析还是非透析的 </w:t>
      </w:r>
      <w:r>
        <w:rPr/>
        <w:t>CKD</w:t>
      </w:r>
      <w:r>
        <w:rPr>
          <w:spacing w:val="-19"/>
        </w:rPr>
        <w:t> 患者， </w:t>
      </w:r>
      <w:r>
        <w:rPr>
          <w:spacing w:val="-5"/>
        </w:rPr>
        <w:t>罗沙司他均能够平稳升高 </w:t>
      </w:r>
      <w:r>
        <w:rPr/>
        <w:t>Hb</w:t>
      </w:r>
      <w:r>
        <w:rPr>
          <w:spacing w:val="-8"/>
        </w:rPr>
        <w:t> 水平，有效且安全地纠正肾性贫血。</w:t>
      </w:r>
    </w:p>
    <w:p>
      <w:pPr>
        <w:pStyle w:val="Heading4"/>
        <w:numPr>
          <w:ilvl w:val="0"/>
          <w:numId w:val="3"/>
        </w:numPr>
        <w:tabs>
          <w:tab w:pos="941" w:val="left" w:leader="none"/>
        </w:tabs>
        <w:spacing w:line="240" w:lineRule="auto" w:before="2" w:after="0"/>
        <w:ind w:left="940" w:right="0" w:hanging="242"/>
        <w:jc w:val="left"/>
      </w:pPr>
      <w:r>
        <w:rPr/>
        <w:t>罗沙司他治疗贫血的适用范围</w:t>
      </w:r>
    </w:p>
    <w:p>
      <w:pPr>
        <w:pStyle w:val="BodyText"/>
        <w:spacing w:line="295" w:lineRule="auto" w:before="72"/>
        <w:ind w:right="470" w:firstLine="482"/>
      </w:pPr>
      <w:r>
        <w:rPr>
          <w:spacing w:val="-8"/>
        </w:rPr>
        <w:t>与现有的注射疗法相比，口服罗沙司他为肾性贫血患者提供了一种更便捷、更安全的治</w:t>
      </w:r>
      <w:r>
        <w:rPr/>
        <w:t>疗选择，同时不受炎症状态影响，避免静脉补铁。</w:t>
      </w:r>
    </w:p>
    <w:p>
      <w:pPr>
        <w:pStyle w:val="BodyText"/>
        <w:spacing w:line="295" w:lineRule="auto" w:before="5"/>
        <w:ind w:right="469" w:firstLine="482"/>
      </w:pPr>
      <w:r>
        <w:rPr>
          <w:spacing w:val="-10"/>
        </w:rPr>
        <w:t>同时，罗沙司他的治疗应答率高，适用于 </w:t>
      </w:r>
      <w:r>
        <w:rPr/>
        <w:t>CKD</w:t>
      </w:r>
      <w:r>
        <w:rPr>
          <w:spacing w:val="-13"/>
        </w:rPr>
        <w:t> 肾性贫血的患者，目前，罗沙司他已经获</w:t>
      </w:r>
      <w:r>
        <w:rPr/>
        <w:t>得透析依赖性肾性贫血治疗的适应证。</w:t>
      </w:r>
    </w:p>
    <w:p>
      <w:pPr>
        <w:pStyle w:val="Heading4"/>
        <w:spacing w:before="2"/>
      </w:pPr>
      <w:r>
        <w:rPr/>
        <w:t>小结</w:t>
      </w:r>
    </w:p>
    <w:p>
      <w:pPr>
        <w:pStyle w:val="BodyText"/>
        <w:spacing w:line="297" w:lineRule="auto" w:before="74"/>
        <w:ind w:right="346" w:firstLine="482"/>
      </w:pPr>
      <w:r>
        <w:rPr>
          <w:spacing w:val="-11"/>
        </w:rPr>
        <w:t>肾性贫血是 </w:t>
      </w:r>
      <w:r>
        <w:rPr/>
        <w:t>CKD</w:t>
      </w:r>
      <w:r>
        <w:rPr>
          <w:spacing w:val="-16"/>
        </w:rPr>
        <w:t> 最常见的并发症之一，随着 </w:t>
      </w:r>
      <w:r>
        <w:rPr/>
        <w:t>CKD</w:t>
      </w:r>
      <w:r>
        <w:rPr>
          <w:spacing w:val="-12"/>
        </w:rPr>
        <w:t> 的进展，贫血的患病率和严重程度逐渐</w:t>
      </w:r>
      <w:r>
        <w:rPr>
          <w:spacing w:val="-19"/>
        </w:rPr>
        <w:t>增加。传统的 </w:t>
      </w:r>
      <w:r>
        <w:rPr/>
        <w:t>ESAs +铁剂联合治疗虽然取得了一定的疗效，但仍存在诸多不足之处。创新药物罗沙司他的出现填补了这一空白，在肾性贫血的治疗中具有潜在优势，有望帮助中国CKD</w:t>
      </w:r>
      <w:r>
        <w:rPr>
          <w:spacing w:val="-11"/>
        </w:rPr>
        <w:t> 患者提高治疗的达标率，并显著改善患者的生活质量。为此我们呼吁，尽快推进罗沙司</w:t>
      </w:r>
      <w:r>
        <w:rPr>
          <w:spacing w:val="-17"/>
        </w:rPr>
        <w:t>他纳入国家医保目录的进程，为我国 </w:t>
      </w:r>
      <w:r>
        <w:rPr/>
        <w:t>CKD</w:t>
      </w:r>
      <w:r>
        <w:rPr>
          <w:spacing w:val="-11"/>
        </w:rPr>
        <w:t> 患者带来更多福音。同时也相信通过医保目录对创</w:t>
      </w:r>
      <w:r>
        <w:rPr>
          <w:spacing w:val="-21"/>
        </w:rPr>
        <w:t>新药品的动态调整，能够进一步提升国内医药研发的创新能力，多方面助力“健康中国 </w:t>
      </w:r>
      <w:r>
        <w:rPr>
          <w:spacing w:val="-4"/>
        </w:rPr>
        <w:t>2030” </w:t>
      </w:r>
      <w:r>
        <w:rPr/>
        <w:t>目标的实现！</w:t>
      </w:r>
    </w:p>
    <w:p>
      <w:pPr>
        <w:pStyle w:val="BodyText"/>
        <w:tabs>
          <w:tab w:pos="5260" w:val="left" w:leader="none"/>
        </w:tabs>
        <w:spacing w:line="356" w:lineRule="exact"/>
        <w:ind w:left="699"/>
        <w:rPr>
          <w:rFonts w:ascii="微软雅黑" w:eastAsia="微软雅黑" w:hint="eastAsia"/>
          <w:b/>
        </w:rPr>
      </w:pPr>
      <w:r>
        <w:rPr/>
        <w:t>作者：上海交通大学医学院附属新华医院</w:t>
        <w:tab/>
      </w:r>
      <w:r>
        <w:rPr>
          <w:w w:val="110"/>
        </w:rPr>
        <w:t>蒋更如教授</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Heading2"/>
        <w:spacing w:before="118"/>
        <w:ind w:left="217"/>
      </w:pPr>
      <w:bookmarkStart w:name="_TOC_250016" w:id="15"/>
      <w:bookmarkEnd w:id="15"/>
      <w:r>
        <w:rPr/>
        <w:t>【专家观点】</w:t>
      </w:r>
    </w:p>
    <w:p>
      <w:pPr>
        <w:pStyle w:val="BodyText"/>
        <w:spacing w:before="12"/>
        <w:ind w:left="0"/>
        <w:rPr>
          <w:b/>
          <w:sz w:val="22"/>
        </w:rPr>
      </w:pPr>
    </w:p>
    <w:p>
      <w:pPr>
        <w:pStyle w:val="Heading2"/>
        <w:ind w:right="255"/>
        <w:jc w:val="center"/>
      </w:pPr>
      <w:bookmarkStart w:name="_TOC_250015" w:id="16"/>
      <w:bookmarkEnd w:id="16"/>
      <w:r>
        <w:rPr/>
        <w:t>ACTION 研究发布 15 周年系列专家访谈</w:t>
      </w:r>
    </w:p>
    <w:p>
      <w:pPr>
        <w:spacing w:before="51"/>
        <w:ind w:left="0" w:right="11" w:firstLine="0"/>
        <w:jc w:val="center"/>
        <w:rPr>
          <w:sz w:val="21"/>
        </w:rPr>
      </w:pPr>
      <w:r>
        <w:rPr>
          <w:sz w:val="24"/>
        </w:rPr>
        <w:t>孙宁玲教授：</w:t>
      </w:r>
      <w:r>
        <w:rPr>
          <w:sz w:val="21"/>
        </w:rPr>
        <w:t>用行动来诠释</w:t>
      </w:r>
      <w:r>
        <w:rPr>
          <w:rFonts w:ascii="Times New Roman" w:eastAsia="Times New Roman"/>
          <w:sz w:val="21"/>
        </w:rPr>
        <w:t>CCB </w:t>
      </w:r>
      <w:r>
        <w:rPr>
          <w:sz w:val="21"/>
        </w:rPr>
        <w:t>的临床应用价值</w:t>
      </w:r>
    </w:p>
    <w:p>
      <w:pPr>
        <w:pStyle w:val="Heading4"/>
        <w:spacing w:before="168"/>
        <w:ind w:left="0" w:right="468"/>
        <w:jc w:val="right"/>
        <w:rPr>
          <w:rFonts w:ascii="楷体" w:eastAsia="楷体" w:hint="eastAsia"/>
        </w:rPr>
      </w:pPr>
      <w:r>
        <w:rPr>
          <w:rFonts w:ascii="楷体" w:eastAsia="楷体" w:hint="eastAsia"/>
          <w:color w:val="FF0000"/>
          <w:w w:val="95"/>
        </w:rPr>
        <w:t>（来源：中国医学论坛报）</w:t>
      </w:r>
    </w:p>
    <w:p>
      <w:pPr>
        <w:pStyle w:val="BodyText"/>
        <w:spacing w:line="297" w:lineRule="auto" w:before="96"/>
        <w:ind w:right="389" w:firstLine="480"/>
      </w:pPr>
      <w:r>
        <w:rPr/>
        <w:t>2004</w:t>
      </w:r>
      <w:r>
        <w:rPr>
          <w:spacing w:val="-11"/>
        </w:rPr>
        <w:t> 年，对于钙拮抗剂</w:t>
      </w:r>
      <w:r>
        <w:rPr/>
        <w:t>（CCB）</w:t>
      </w:r>
      <w:r>
        <w:rPr>
          <w:spacing w:val="-3"/>
        </w:rPr>
        <w:t>这一类药来说，应是非常重要的一年。在这一年的欧洲心脏病学会（ESC）</w:t>
      </w:r>
      <w:r>
        <w:rPr>
          <w:spacing w:val="-9"/>
        </w:rPr>
        <w:t>年会上，备受瞩目的 </w:t>
      </w:r>
      <w:r>
        <w:rPr/>
        <w:t>ACTION</w:t>
      </w:r>
      <w:r>
        <w:rPr>
          <w:spacing w:val="-20"/>
        </w:rPr>
        <w:t> 研究</w:t>
      </w:r>
      <w:r>
        <w:rPr/>
        <w:t>（A Coronary disease Trial Investigating Outcome with Nifedipine GITS）</w:t>
      </w:r>
      <w:r>
        <w:rPr>
          <w:spacing w:val="-1"/>
        </w:rPr>
        <w:t>发布，其用高质量的证据有力地证实了长</w:t>
      </w:r>
      <w:r>
        <w:rPr>
          <w:spacing w:val="-30"/>
        </w:rPr>
        <w:t>效 </w:t>
      </w:r>
      <w:r>
        <w:rPr/>
        <w:t>CCB</w:t>
      </w:r>
      <w:r>
        <w:rPr>
          <w:spacing w:val="-8"/>
        </w:rPr>
        <w:t> 硝苯地平控释片长期用于慢性稳定性心绞痛患者的安全性，彻底消除了临床医生因Furberg</w:t>
      </w:r>
      <w:r>
        <w:rPr>
          <w:spacing w:val="-12"/>
        </w:rPr>
        <w:t> 等学者的文章而产生的对 </w:t>
      </w:r>
      <w:r>
        <w:rPr/>
        <w:t>CCB</w:t>
      </w:r>
      <w:r>
        <w:rPr>
          <w:spacing w:val="-12"/>
        </w:rPr>
        <w:t> 安全性的质疑，夯实了这一类药物临床应用的立身之</w:t>
      </w:r>
      <w:r>
        <w:rPr>
          <w:spacing w:val="-10"/>
        </w:rPr>
        <w:t>本，使得其在高血压、冠心病患者的治疗中得到广泛应用。</w:t>
      </w:r>
      <w:r>
        <w:rPr/>
        <w:t>ACTION</w:t>
      </w:r>
      <w:r>
        <w:rPr>
          <w:spacing w:val="-13"/>
        </w:rPr>
        <w:t> 研究也因此被认为是 </w:t>
      </w:r>
      <w:r>
        <w:rPr>
          <w:spacing w:val="-6"/>
        </w:rPr>
        <w:t>CCB </w:t>
      </w:r>
      <w:r>
        <w:rPr/>
        <w:t>临床推广应用过程中一次非常重要的“action（行动）”，是“循证医学一次胜利”。</w:t>
      </w:r>
    </w:p>
    <w:p>
      <w:pPr>
        <w:pStyle w:val="BodyText"/>
        <w:spacing w:line="297" w:lineRule="auto"/>
        <w:ind w:right="467" w:firstLine="480"/>
      </w:pPr>
      <w:r>
        <w:rPr>
          <w:spacing w:val="-11"/>
        </w:rPr>
        <w:t>正所谓温故而知新，在 </w:t>
      </w:r>
      <w:r>
        <w:rPr/>
        <w:t>ACTION</w:t>
      </w:r>
      <w:r>
        <w:rPr>
          <w:spacing w:val="-20"/>
        </w:rPr>
        <w:t> 研究发布 </w:t>
      </w:r>
      <w:r>
        <w:rPr/>
        <w:t>15</w:t>
      </w:r>
      <w:r>
        <w:rPr>
          <w:spacing w:val="-12"/>
        </w:rPr>
        <w:t> 周年之际，本报特邀请我国心血管领域多位</w:t>
      </w:r>
      <w:r>
        <w:rPr>
          <w:spacing w:val="-7"/>
        </w:rPr>
        <w:t>极具话语权的专家对 </w:t>
      </w:r>
      <w:r>
        <w:rPr/>
        <w:t>ACTION</w:t>
      </w:r>
      <w:r>
        <w:rPr>
          <w:spacing w:val="-8"/>
        </w:rPr>
        <w:t> 研究进行回顾，并深入剖析这一研究的临床意义及其对临床实践的影响。本期为该系列专家访谈的第三期，北京大学人民医院孙宁玲教授发表了她对ACTION 研究的看法，现整理如下。</w:t>
      </w:r>
    </w:p>
    <w:p>
      <w:pPr>
        <w:pStyle w:val="Heading4"/>
        <w:spacing w:line="302" w:lineRule="exact"/>
        <w:ind w:left="697"/>
      </w:pPr>
      <w:r>
        <w:rPr/>
        <w:t>孙宁玲教授主要观点：</w:t>
      </w:r>
    </w:p>
    <w:p>
      <w:pPr>
        <w:spacing w:after="0" w:line="302" w:lineRule="exact"/>
        <w:sectPr>
          <w:pgSz w:w="11910" w:h="16850"/>
          <w:pgMar w:header="906" w:footer="607" w:top="1100" w:bottom="800" w:left="1060" w:right="660"/>
        </w:sectPr>
      </w:pPr>
    </w:p>
    <w:p>
      <w:pPr>
        <w:pStyle w:val="ListParagraph"/>
        <w:numPr>
          <w:ilvl w:val="0"/>
          <w:numId w:val="4"/>
        </w:numPr>
        <w:tabs>
          <w:tab w:pos="939" w:val="left" w:leader="none"/>
        </w:tabs>
        <w:spacing w:line="295" w:lineRule="auto" w:before="65" w:after="0"/>
        <w:ind w:left="217" w:right="546" w:firstLine="480"/>
        <w:jc w:val="left"/>
        <w:rPr>
          <w:sz w:val="24"/>
        </w:rPr>
      </w:pPr>
      <w:r>
        <w:rPr>
          <w:sz w:val="24"/>
        </w:rPr>
        <w:t>仅凭一项简单的荟萃分析就否认硝苯地平的长期治疗效果，实际证据是不够的。ACTION</w:t>
      </w:r>
      <w:r>
        <w:rPr>
          <w:spacing w:val="-10"/>
          <w:sz w:val="24"/>
        </w:rPr>
        <w:t> 研究证实，硝苯地平控释片可减少一系列事件发生风险，为 </w:t>
      </w:r>
      <w:r>
        <w:rPr>
          <w:sz w:val="24"/>
        </w:rPr>
        <w:t>CCB</w:t>
      </w:r>
      <w:r>
        <w:rPr>
          <w:spacing w:val="-9"/>
          <w:sz w:val="24"/>
        </w:rPr>
        <w:t> 在冠心病治疗中的</w:t>
      </w:r>
      <w:r>
        <w:rPr>
          <w:sz w:val="24"/>
        </w:rPr>
        <w:t>应用提供了重要基础。</w:t>
      </w:r>
    </w:p>
    <w:p>
      <w:pPr>
        <w:pStyle w:val="ListParagraph"/>
        <w:numPr>
          <w:ilvl w:val="0"/>
          <w:numId w:val="4"/>
        </w:numPr>
        <w:tabs>
          <w:tab w:pos="939" w:val="left" w:leader="none"/>
        </w:tabs>
        <w:spacing w:line="295" w:lineRule="auto" w:before="5" w:after="0"/>
        <w:ind w:left="217" w:right="367" w:firstLine="480"/>
        <w:jc w:val="both"/>
        <w:rPr>
          <w:sz w:val="24"/>
        </w:rPr>
      </w:pPr>
      <w:r>
        <w:rPr>
          <w:spacing w:val="-31"/>
          <w:sz w:val="24"/>
        </w:rPr>
        <w:t>在 </w:t>
      </w:r>
      <w:r>
        <w:rPr>
          <w:sz w:val="24"/>
        </w:rPr>
        <w:t>ACTION</w:t>
      </w:r>
      <w:r>
        <w:rPr>
          <w:spacing w:val="-16"/>
          <w:sz w:val="24"/>
        </w:rPr>
        <w:t> 研究发表后的 </w:t>
      </w:r>
      <w:r>
        <w:rPr>
          <w:sz w:val="24"/>
        </w:rPr>
        <w:t>15</w:t>
      </w:r>
      <w:r>
        <w:rPr>
          <w:spacing w:val="-14"/>
          <w:sz w:val="24"/>
        </w:rPr>
        <w:t> 年中，硝苯地平控释片一直在临床发挥重要作用，其具有</w:t>
      </w:r>
      <w:r>
        <w:rPr>
          <w:spacing w:val="-15"/>
          <w:sz w:val="24"/>
        </w:rPr>
        <w:t>零级药代动力学特征，在产生稳态降压疗效的同时不增加不良反应。此外，其还具有抗动脉</w:t>
      </w:r>
      <w:r>
        <w:rPr>
          <w:spacing w:val="-16"/>
          <w:sz w:val="24"/>
        </w:rPr>
        <w:t>粥样硬化及改善血管内皮功能的作用，可为稳定性冠心病合并高血压的患者带来临床获益。</w:t>
      </w:r>
    </w:p>
    <w:p>
      <w:pPr>
        <w:pStyle w:val="ListParagraph"/>
        <w:numPr>
          <w:ilvl w:val="0"/>
          <w:numId w:val="4"/>
        </w:numPr>
        <w:tabs>
          <w:tab w:pos="939" w:val="left" w:leader="none"/>
        </w:tabs>
        <w:spacing w:line="295" w:lineRule="auto" w:before="6" w:after="0"/>
        <w:ind w:left="217" w:right="468" w:firstLine="480"/>
        <w:jc w:val="left"/>
        <w:rPr>
          <w:sz w:val="24"/>
        </w:rPr>
      </w:pPr>
      <w:r>
        <w:rPr>
          <w:sz w:val="24"/>
        </w:rPr>
        <w:t>在慢性肾脏病（CKD），特别是终末期肾病患者的降压治疗中，CCB</w:t>
      </w:r>
      <w:r>
        <w:rPr>
          <w:spacing w:val="-9"/>
          <w:sz w:val="24"/>
        </w:rPr>
        <w:t> 发挥了非常大的</w:t>
      </w:r>
      <w:r>
        <w:rPr>
          <w:spacing w:val="-7"/>
          <w:sz w:val="24"/>
        </w:rPr>
        <w:t>作用，可为患者带来更大的获益。对糖尿病患者来说，</w:t>
      </w:r>
      <w:r>
        <w:rPr>
          <w:spacing w:val="-3"/>
          <w:sz w:val="24"/>
        </w:rPr>
        <w:t>CCB</w:t>
      </w:r>
      <w:r>
        <w:rPr>
          <w:spacing w:val="-10"/>
          <w:sz w:val="24"/>
        </w:rPr>
        <w:t> 相对安全，其在有效降压又不增</w:t>
      </w:r>
      <w:r>
        <w:rPr>
          <w:sz w:val="24"/>
        </w:rPr>
        <w:t>加不良反应的基础上，对降低事件、改善预后有益。</w:t>
      </w:r>
    </w:p>
    <w:p>
      <w:pPr>
        <w:pStyle w:val="ListParagraph"/>
        <w:numPr>
          <w:ilvl w:val="0"/>
          <w:numId w:val="4"/>
        </w:numPr>
        <w:tabs>
          <w:tab w:pos="939" w:val="left" w:leader="none"/>
        </w:tabs>
        <w:spacing w:line="295" w:lineRule="auto" w:before="5" w:after="0"/>
        <w:ind w:left="217" w:right="545" w:firstLine="480"/>
        <w:jc w:val="left"/>
        <w:rPr>
          <w:sz w:val="24"/>
        </w:rPr>
      </w:pPr>
      <w:r>
        <w:rPr>
          <w:sz w:val="24"/>
        </w:rPr>
        <w:t>ACTION</w:t>
      </w:r>
      <w:r>
        <w:rPr>
          <w:spacing w:val="-11"/>
          <w:sz w:val="24"/>
        </w:rPr>
        <w:t> 研究是一个里程碑式研究，它开拓了 </w:t>
      </w:r>
      <w:r>
        <w:rPr>
          <w:sz w:val="24"/>
        </w:rPr>
        <w:t>CCB</w:t>
      </w:r>
      <w:r>
        <w:rPr>
          <w:spacing w:val="-9"/>
          <w:sz w:val="24"/>
        </w:rPr>
        <w:t> 应用的新时代，回驳了“钙拮抗剂</w:t>
      </w:r>
      <w:r>
        <w:rPr>
          <w:sz w:val="24"/>
        </w:rPr>
        <w:t>风波”，用行动诠释了这一类药物在临床应用的价值。</w:t>
      </w:r>
    </w:p>
    <w:p>
      <w:pPr>
        <w:pStyle w:val="Heading4"/>
        <w:spacing w:line="297" w:lineRule="auto" w:before="2"/>
        <w:ind w:left="217" w:right="349" w:firstLine="482"/>
      </w:pPr>
      <w:r>
        <w:rPr>
          <w:spacing w:val="-7"/>
        </w:rPr>
        <w:t>《医学论坛报》：今年是 </w:t>
      </w:r>
      <w:r>
        <w:rPr/>
        <w:t>ACTION</w:t>
      </w:r>
      <w:r>
        <w:rPr>
          <w:spacing w:val="-33"/>
        </w:rPr>
        <w:t> 研究 </w:t>
      </w:r>
      <w:r>
        <w:rPr/>
        <w:t>15</w:t>
      </w:r>
      <w:r>
        <w:rPr>
          <w:spacing w:val="-10"/>
        </w:rPr>
        <w:t> 周年，您也是这一研究开展及影响的见证者， </w:t>
      </w:r>
      <w:r>
        <w:rPr>
          <w:spacing w:val="-7"/>
        </w:rPr>
        <w:t>请您简要回顾一下 </w:t>
      </w:r>
      <w:r>
        <w:rPr/>
        <w:t>ACTION</w:t>
      </w:r>
      <w:r>
        <w:rPr>
          <w:spacing w:val="-8"/>
        </w:rPr>
        <w:t> 研究及其一系列分析的发表，为什么会受到这么多的关注？</w:t>
      </w:r>
    </w:p>
    <w:p>
      <w:pPr>
        <w:pStyle w:val="BodyText"/>
        <w:spacing w:line="297" w:lineRule="auto"/>
        <w:ind w:right="426" w:firstLine="480"/>
        <w:jc w:val="both"/>
      </w:pPr>
      <w:r>
        <w:rPr>
          <w:b/>
        </w:rPr>
        <w:t>孙宁玲教授</w:t>
      </w:r>
      <w:r>
        <w:rPr>
          <w:spacing w:val="-4"/>
        </w:rPr>
        <w:t>：ACTION</w:t>
      </w:r>
      <w:r>
        <w:rPr>
          <w:spacing w:val="-25"/>
        </w:rPr>
        <w:t> 研究于 </w:t>
      </w:r>
      <w:r>
        <w:rPr/>
        <w:t>2004</w:t>
      </w:r>
      <w:r>
        <w:rPr>
          <w:spacing w:val="-10"/>
        </w:rPr>
        <w:t> 年发表，研究背景是硝苯地平这一类药物是否能用于冠心病治疗？到底会不会增加心血管风险？这主要是因为在此之前，</w:t>
      </w:r>
      <w:r>
        <w:rPr>
          <w:spacing w:val="-6"/>
        </w:rPr>
        <w:t>Furberg</w:t>
      </w:r>
      <w:r>
        <w:rPr>
          <w:spacing w:val="-9"/>
        </w:rPr>
        <w:t> 教授的一项荟萃分析显示，硝苯地平普通片随着剂量的增加（</w:t>
      </w:r>
      <w:r>
        <w:rPr>
          <w:spacing w:val="-22"/>
        </w:rPr>
        <w:t>增加至 </w:t>
      </w:r>
      <w:r>
        <w:rPr/>
        <w:t>60～100 mg）,</w:t>
      </w:r>
      <w:r>
        <w:rPr>
          <w:spacing w:val="-2"/>
        </w:rPr>
        <w:t>会增加心血管事件， </w:t>
      </w:r>
      <w:r>
        <w:rPr>
          <w:spacing w:val="-5"/>
        </w:rPr>
        <w:t>并由此认为硝苯地平这一类 </w:t>
      </w:r>
      <w:r>
        <w:rPr/>
        <w:t>CCB</w:t>
      </w:r>
      <w:r>
        <w:rPr>
          <w:spacing w:val="-11"/>
        </w:rPr>
        <w:t> 不能用于冠心病治疗。但实际上，在上世纪 </w:t>
      </w:r>
      <w:r>
        <w:rPr/>
        <w:t>70</w:t>
      </w:r>
      <w:r>
        <w:rPr>
          <w:spacing w:val="-10"/>
        </w:rPr>
        <w:t> 年代末时， </w:t>
      </w:r>
      <w:r>
        <w:rPr>
          <w:spacing w:val="-13"/>
        </w:rPr>
        <w:t>硝苯地平已经是在我国上市的一种抗心绞痛药和高血压药。那这样一项简单的荟萃分析，能不能否认硝苯地平的长期治疗效果？实际证据是不足的。</w:t>
      </w:r>
    </w:p>
    <w:p>
      <w:pPr>
        <w:pStyle w:val="BodyText"/>
        <w:spacing w:line="300" w:lineRule="exact"/>
        <w:ind w:left="697"/>
        <w:jc w:val="both"/>
      </w:pPr>
      <w:r>
        <w:rPr/>
        <w:t>在这样的背景下，ACTION 研究随即开展。</w:t>
      </w:r>
    </w:p>
    <w:p>
      <w:pPr>
        <w:pStyle w:val="BodyText"/>
        <w:spacing w:line="297" w:lineRule="auto" w:before="70"/>
        <w:ind w:right="486" w:firstLine="480"/>
        <w:jc w:val="both"/>
      </w:pPr>
      <w:r>
        <w:rPr/>
        <w:t>ACTION</w:t>
      </w:r>
      <w:r>
        <w:rPr>
          <w:spacing w:val="-8"/>
        </w:rPr>
        <w:t> 研究入选稳定性冠心病患者</w:t>
      </w:r>
      <w:r>
        <w:rPr/>
        <w:t>（多数有心绞痛发作，冠脉狭窄程度相对较重，且</w:t>
      </w:r>
      <w:r>
        <w:rPr>
          <w:spacing w:val="-30"/>
        </w:rPr>
        <w:t>约 </w:t>
      </w:r>
      <w:r>
        <w:rPr/>
        <w:t>50%同时合并高血压），</w:t>
      </w:r>
      <w:r>
        <w:rPr>
          <w:spacing w:val="-6"/>
        </w:rPr>
        <w:t>一组用硝苯地平控释片 </w:t>
      </w:r>
      <w:r>
        <w:rPr/>
        <w:t>60 mg，</w:t>
      </w:r>
      <w:r>
        <w:rPr>
          <w:spacing w:val="-2"/>
        </w:rPr>
        <w:t>一组用安慰剂进行对照，评估了</w:t>
      </w:r>
      <w:r>
        <w:rPr>
          <w:spacing w:val="-30"/>
        </w:rPr>
        <w:t>以 </w:t>
      </w:r>
      <w:r>
        <w:rPr/>
        <w:t>CCB</w:t>
      </w:r>
      <w:r>
        <w:rPr>
          <w:spacing w:val="-8"/>
        </w:rPr>
        <w:t> 为主体的长期治疗</w:t>
      </w:r>
      <w:r>
        <w:rPr/>
        <w:t>（4～5</w:t>
      </w:r>
      <w:r>
        <w:rPr>
          <w:spacing w:val="-30"/>
        </w:rPr>
        <w:t> 年</w:t>
      </w:r>
      <w:r>
        <w:rPr/>
        <w:t>）是否有效与安全。</w:t>
      </w:r>
    </w:p>
    <w:p>
      <w:pPr>
        <w:pStyle w:val="BodyText"/>
        <w:spacing w:line="297" w:lineRule="auto"/>
        <w:ind w:right="466" w:firstLine="480"/>
        <w:jc w:val="both"/>
      </w:pPr>
      <w:r>
        <w:rPr>
          <w:spacing w:val="-11"/>
        </w:rPr>
        <w:t>结果显示，在研究所纳入的稳定性冠心病患者中，硝苯地平控释片治疗可以减少一系列</w:t>
      </w:r>
      <w:r>
        <w:rPr>
          <w:spacing w:val="-12"/>
        </w:rPr>
        <w:t>事件，包括冠脉事件、心衰、再介入操作等。这一结果为冠心病治疗中 </w:t>
      </w:r>
      <w:r>
        <w:rPr/>
        <w:t>CCB</w:t>
      </w:r>
      <w:r>
        <w:rPr>
          <w:spacing w:val="-10"/>
        </w:rPr>
        <w:t> 的应用提供了重</w:t>
      </w:r>
      <w:r>
        <w:rPr/>
        <w:t>要的基础。</w:t>
      </w:r>
    </w:p>
    <w:p>
      <w:pPr>
        <w:pStyle w:val="BodyText"/>
        <w:spacing w:line="297" w:lineRule="auto"/>
        <w:ind w:right="467" w:firstLine="480"/>
        <w:jc w:val="both"/>
      </w:pPr>
      <w:r>
        <w:rPr/>
        <w:t>CCB</w:t>
      </w:r>
      <w:r>
        <w:rPr>
          <w:spacing w:val="-12"/>
        </w:rPr>
        <w:t> 用为五类降压药之一，最早用于临床的就是硝苯地平，这一药物从普通片、缓释片</w:t>
      </w:r>
      <w:r>
        <w:rPr/>
        <w:t>到控释片，剂型发生了改变，使其从短效制剂变成了长效制剂，可一天一次。可以说，CCB </w:t>
      </w:r>
      <w:r>
        <w:rPr>
          <w:spacing w:val="-7"/>
        </w:rPr>
        <w:t>在我国如此庞大的高血压人群中应用是有其基础的。我国早期即有研究者开展了 </w:t>
      </w:r>
      <w:r>
        <w:rPr/>
        <w:t>CCB</w:t>
      </w:r>
      <w:r>
        <w:rPr>
          <w:spacing w:val="-19"/>
        </w:rPr>
        <w:t> 在我国</w:t>
      </w:r>
      <w:r>
        <w:rPr>
          <w:spacing w:val="-6"/>
        </w:rPr>
        <w:t>高血压人群应用的临床试验，如 </w:t>
      </w:r>
      <w:r>
        <w:rPr/>
        <w:t>STONE</w:t>
      </w:r>
      <w:r>
        <w:rPr>
          <w:spacing w:val="-9"/>
        </w:rPr>
        <w:t> 研究等，其结果提示，</w:t>
      </w:r>
      <w:r>
        <w:rPr>
          <w:spacing w:val="-4"/>
        </w:rPr>
        <w:t>CCB</w:t>
      </w:r>
      <w:r>
        <w:rPr>
          <w:spacing w:val="-9"/>
        </w:rPr>
        <w:t> 可以降低卒中及心血管事</w:t>
      </w:r>
      <w:r>
        <w:rPr>
          <w:spacing w:val="-12"/>
        </w:rPr>
        <w:t>件发生风险。而后续的 </w:t>
      </w:r>
      <w:r>
        <w:rPr/>
        <w:t>INSIGHT</w:t>
      </w:r>
      <w:r>
        <w:rPr>
          <w:spacing w:val="-34"/>
        </w:rPr>
        <w:t>、</w:t>
      </w:r>
      <w:r>
        <w:rPr/>
        <w:t>FEVER</w:t>
      </w:r>
      <w:r>
        <w:rPr>
          <w:spacing w:val="-34"/>
        </w:rPr>
        <w:t>、</w:t>
      </w:r>
      <w:r>
        <w:rPr/>
        <w:t>VALUE</w:t>
      </w:r>
      <w:r>
        <w:rPr>
          <w:spacing w:val="-12"/>
        </w:rPr>
        <w:t> 等研究的开展更是丰富了 </w:t>
      </w:r>
      <w:r>
        <w:rPr/>
        <w:t>CCB</w:t>
      </w:r>
      <w:r>
        <w:rPr>
          <w:spacing w:val="-12"/>
        </w:rPr>
        <w:t> 在高血压人群中应用的证据。以 </w:t>
      </w:r>
      <w:r>
        <w:rPr/>
        <w:t>INSIGHT</w:t>
      </w:r>
      <w:r>
        <w:rPr>
          <w:spacing w:val="-13"/>
        </w:rPr>
        <w:t> 研究为例，其结果显示，硝苯地平在逆转颈动脉内膜厚度和减少</w:t>
      </w:r>
      <w:r>
        <w:rPr>
          <w:spacing w:val="-11"/>
        </w:rPr>
        <w:t>事件的发生方面具有优势。因此，我认为硝苯地平这一类 </w:t>
      </w:r>
      <w:r>
        <w:rPr/>
        <w:t>CCB</w:t>
      </w:r>
      <w:r>
        <w:rPr>
          <w:spacing w:val="-9"/>
        </w:rPr>
        <w:t> 能够在中国广泛应用具有其历</w:t>
      </w:r>
      <w:r>
        <w:rPr>
          <w:spacing w:val="-5"/>
        </w:rPr>
        <w:t>史背景，同时也有中国人群应用的经验。也正是由于这种经验和历史背景，</w:t>
      </w:r>
      <w:r>
        <w:rPr>
          <w:spacing w:val="-4"/>
        </w:rPr>
        <w:t>CCB</w:t>
      </w:r>
      <w:r>
        <w:rPr>
          <w:spacing w:val="-13"/>
        </w:rPr>
        <w:t> 在五类降压</w:t>
      </w:r>
      <w:r>
        <w:rPr/>
        <w:t>药物中排在了首位。</w:t>
      </w:r>
    </w:p>
    <w:p>
      <w:pPr>
        <w:pStyle w:val="BodyText"/>
        <w:spacing w:line="297" w:lineRule="auto"/>
        <w:ind w:right="466" w:firstLine="480"/>
        <w:jc w:val="both"/>
      </w:pPr>
      <w:r>
        <w:rPr>
          <w:spacing w:val="-31"/>
        </w:rPr>
        <w:t>在 </w:t>
      </w:r>
      <w:r>
        <w:rPr/>
        <w:t>CCB</w:t>
      </w:r>
      <w:r>
        <w:rPr>
          <w:spacing w:val="-14"/>
        </w:rPr>
        <w:t> 中，硝苯地平是一种老药，经过剂型改变，成为硝苯地平控释片，其至今也仍然</w:t>
      </w:r>
      <w:r>
        <w:rPr>
          <w:spacing w:val="-18"/>
        </w:rPr>
        <w:t>是高血压领域及冠心病领域的一个重要药物，在 </w:t>
      </w:r>
      <w:r>
        <w:rPr/>
        <w:t>ACTION</w:t>
      </w:r>
      <w:r>
        <w:rPr>
          <w:spacing w:val="-16"/>
        </w:rPr>
        <w:t> 研究发表后的 </w:t>
      </w:r>
      <w:r>
        <w:rPr/>
        <w:t>15</w:t>
      </w:r>
      <w:r>
        <w:rPr>
          <w:spacing w:val="-16"/>
        </w:rPr>
        <w:t> 年中，一直在临床</w:t>
      </w:r>
      <w:r>
        <w:rPr/>
        <w:t>发挥重要作用。</w:t>
      </w:r>
    </w:p>
    <w:p>
      <w:pPr>
        <w:spacing w:after="0" w:line="297" w:lineRule="auto"/>
        <w:jc w:val="both"/>
        <w:sectPr>
          <w:pgSz w:w="11910" w:h="16850"/>
          <w:pgMar w:header="906" w:footer="607" w:top="1100" w:bottom="800" w:left="1060" w:right="660"/>
        </w:sectPr>
      </w:pPr>
    </w:p>
    <w:p>
      <w:pPr>
        <w:pStyle w:val="Heading4"/>
        <w:spacing w:line="295" w:lineRule="auto" w:before="65"/>
        <w:ind w:left="217" w:right="507" w:firstLine="480"/>
        <w:jc w:val="both"/>
      </w:pPr>
      <w:r>
        <w:rPr/>
        <w:t>《医学论坛报》：ACTION</w:t>
      </w:r>
      <w:r>
        <w:rPr>
          <w:spacing w:val="-9"/>
        </w:rPr>
        <w:t> 研究表明，硝苯地平控释片可显著降低稳定性冠心病合并高</w:t>
      </w:r>
      <w:r>
        <w:rPr/>
        <w:t>血压患者的心脑血管事件，包括需要住院的心衰的发生率，请您从机制上分析下如何理解这一结果？</w:t>
      </w:r>
    </w:p>
    <w:p>
      <w:pPr>
        <w:pStyle w:val="BodyText"/>
        <w:spacing w:line="297" w:lineRule="auto" w:before="5"/>
        <w:ind w:right="367" w:firstLine="480"/>
      </w:pPr>
      <w:r>
        <w:rPr>
          <w:b/>
          <w:spacing w:val="-6"/>
        </w:rPr>
        <w:t>孙宁玲教授：</w:t>
      </w:r>
      <w:r>
        <w:rPr>
          <w:spacing w:val="-6"/>
        </w:rPr>
        <w:t>硝苯地平控释片与普通片不同，后者服药后会快速降低血压，也会因快速</w:t>
      </w:r>
      <w:r>
        <w:rPr>
          <w:spacing w:val="-12"/>
        </w:rPr>
        <w:t>的血压下降产生相关不良反应。而硝苯地平控释片具有零级药代动力学特征，进入体内后活</w:t>
      </w:r>
      <w:r>
        <w:rPr>
          <w:spacing w:val="-13"/>
        </w:rPr>
        <w:t>性药物会均匀释放，在产生疗效的同时不增加不良反应。因此，无论是稳定性心绞痛患者， </w:t>
      </w:r>
      <w:r>
        <w:rPr/>
        <w:t>还是心衰患者，都可以通过这种稳态降压得到获益。</w:t>
      </w:r>
    </w:p>
    <w:p>
      <w:pPr>
        <w:pStyle w:val="BodyText"/>
        <w:spacing w:line="297" w:lineRule="auto"/>
        <w:ind w:right="464" w:firstLine="480"/>
        <w:jc w:val="both"/>
      </w:pPr>
      <w:r>
        <w:rPr>
          <w:spacing w:val="-11"/>
        </w:rPr>
        <w:t>从机制上来看，我认为主要有以下几个方面。第一，硝苯地平这一类 </w:t>
      </w:r>
      <w:r>
        <w:rPr/>
        <w:t>CCB</w:t>
      </w:r>
      <w:r>
        <w:rPr>
          <w:spacing w:val="-11"/>
        </w:rPr>
        <w:t> 本身就具有抗</w:t>
      </w:r>
      <w:r>
        <w:rPr>
          <w:spacing w:val="-3"/>
        </w:rPr>
        <w:t>动脉硬化效果，这已得到了多项临床试验证实。</w:t>
      </w:r>
      <w:r>
        <w:rPr/>
        <w:t>INSIGHT</w:t>
      </w:r>
      <w:r>
        <w:rPr>
          <w:spacing w:val="-10"/>
        </w:rPr>
        <w:t> 研究即表明，与利尿剂相比，硝苯</w:t>
      </w:r>
      <w:r>
        <w:rPr>
          <w:spacing w:val="-6"/>
        </w:rPr>
        <w:t>地平控释片可同等程度地降低血压，而且可显著延缓颈动脉中膜厚度进展。这提示，除外降</w:t>
      </w:r>
      <w:r>
        <w:rPr>
          <w:spacing w:val="-9"/>
        </w:rPr>
        <w:t>压的作用，硝苯地平控释片还具有独特的抗动脉粥样硬化作用。第二，这一类药物还可改善</w:t>
      </w:r>
      <w:r>
        <w:rPr/>
        <w:t>内皮功能。基础研究证实硝苯地平对内皮的保护作用是明确的，其可改善氧化应激。</w:t>
      </w:r>
    </w:p>
    <w:p>
      <w:pPr>
        <w:pStyle w:val="Heading4"/>
        <w:spacing w:line="295" w:lineRule="auto"/>
        <w:ind w:left="217" w:right="450" w:firstLine="480"/>
        <w:jc w:val="both"/>
      </w:pPr>
      <w:r>
        <w:rPr>
          <w:spacing w:val="-7"/>
        </w:rPr>
        <w:t>《医学论坛报》：从 </w:t>
      </w:r>
      <w:r>
        <w:rPr/>
        <w:t>ACTION</w:t>
      </w:r>
      <w:r>
        <w:rPr>
          <w:spacing w:val="-10"/>
        </w:rPr>
        <w:t> 研究发表至今，已经有多项亚组分析发表，涉及高血压、</w:t>
      </w:r>
      <w:r>
        <w:rPr/>
        <w:t>心衰、肾病、糖尿病等多种患者，这些研究为临床带来了哪些影响？</w:t>
      </w:r>
    </w:p>
    <w:p>
      <w:pPr>
        <w:pStyle w:val="BodyText"/>
        <w:spacing w:line="297" w:lineRule="auto"/>
        <w:ind w:right="469" w:firstLine="480"/>
        <w:jc w:val="both"/>
      </w:pPr>
      <w:r>
        <w:rPr>
          <w:b/>
          <w:spacing w:val="-1"/>
        </w:rPr>
        <w:t>孙宁玲教授：</w:t>
      </w:r>
      <w:r>
        <w:rPr>
          <w:spacing w:val="-4"/>
        </w:rPr>
        <w:t>ACTION</w:t>
      </w:r>
      <w:r>
        <w:rPr>
          <w:spacing w:val="-17"/>
        </w:rPr>
        <w:t> 研究发表已有 </w:t>
      </w:r>
      <w:r>
        <w:rPr/>
        <w:t>15</w:t>
      </w:r>
      <w:r>
        <w:rPr>
          <w:spacing w:val="-11"/>
        </w:rPr>
        <w:t> 年历程，这期间有很多从不同角度进行的亚组分</w:t>
      </w:r>
      <w:r>
        <w:rPr/>
        <w:t>析发表，包括血压控制的亚组、不同年龄亚组、心衰或心衰前亚组、CKD</w:t>
      </w:r>
      <w:r>
        <w:rPr>
          <w:spacing w:val="-12"/>
        </w:rPr>
        <w:t> 亚组等。</w:t>
      </w:r>
    </w:p>
    <w:p>
      <w:pPr>
        <w:pStyle w:val="BodyText"/>
        <w:spacing w:line="297" w:lineRule="auto"/>
        <w:ind w:right="346" w:firstLine="480"/>
      </w:pPr>
      <w:r>
        <w:rPr>
          <w:spacing w:val="-21"/>
        </w:rPr>
        <w:t>对于 </w:t>
      </w:r>
      <w:r>
        <w:rPr/>
        <w:t>CKD</w:t>
      </w:r>
      <w:r>
        <w:rPr>
          <w:spacing w:val="-24"/>
        </w:rPr>
        <w:t> 患者，既往 </w:t>
      </w:r>
      <w:r>
        <w:rPr/>
        <w:t>CCB</w:t>
      </w:r>
      <w:r>
        <w:rPr>
          <w:spacing w:val="-12"/>
        </w:rPr>
        <w:t> 并不作为主流治疗药物，多是以血管紧张素受体拮抗剂</w:t>
      </w:r>
      <w:r>
        <w:rPr>
          <w:spacing w:val="-3"/>
        </w:rPr>
        <w:t>（ARB） </w:t>
      </w:r>
      <w:r>
        <w:rPr/>
        <w:t>和血管紧张素转换酶抑制剂（ACEI）为主。但明显可以看到，CCB</w:t>
      </w:r>
      <w:r>
        <w:rPr>
          <w:spacing w:val="-13"/>
        </w:rPr>
        <w:t> 的降压疗效明显好于 </w:t>
      </w:r>
      <w:r>
        <w:rPr/>
        <w:t>ARB </w:t>
      </w:r>
      <w:r>
        <w:rPr>
          <w:spacing w:val="-30"/>
        </w:rPr>
        <w:t>和 </w:t>
      </w:r>
      <w:r>
        <w:rPr>
          <w:spacing w:val="-4"/>
        </w:rPr>
        <w:t>ACEI</w:t>
      </w:r>
      <w:r>
        <w:rPr>
          <w:spacing w:val="-6"/>
        </w:rPr>
        <w:t>，特别是在终末期肾病患者。这部分患者使用 </w:t>
      </w:r>
      <w:r>
        <w:rPr/>
        <w:t>ARB</w:t>
      </w:r>
      <w:r>
        <w:rPr>
          <w:spacing w:val="-40"/>
        </w:rPr>
        <w:t> 和 </w:t>
      </w:r>
      <w:r>
        <w:rPr/>
        <w:t>ACEI</w:t>
      </w:r>
      <w:r>
        <w:rPr>
          <w:spacing w:val="-21"/>
        </w:rPr>
        <w:t> 受限，这时 </w:t>
      </w:r>
      <w:r>
        <w:rPr/>
        <w:t>CCB</w:t>
      </w:r>
      <w:r>
        <w:rPr>
          <w:spacing w:val="-12"/>
        </w:rPr>
        <w:t> 发挥了非</w:t>
      </w:r>
      <w:r>
        <w:rPr>
          <w:spacing w:val="-15"/>
        </w:rPr>
        <w:t>常大的作用，且患者可从 </w:t>
      </w:r>
      <w:r>
        <w:rPr/>
        <w:t>CCB</w:t>
      </w:r>
      <w:r>
        <w:rPr>
          <w:spacing w:val="-14"/>
        </w:rPr>
        <w:t> 的降压治疗中获益更大。众所周知，在 </w:t>
      </w:r>
      <w:r>
        <w:rPr/>
        <w:t>CKD</w:t>
      </w:r>
      <w:r>
        <w:rPr>
          <w:spacing w:val="-11"/>
        </w:rPr>
        <w:t> 管理中，最重要的是血压控制。</w:t>
      </w:r>
    </w:p>
    <w:p>
      <w:pPr>
        <w:pStyle w:val="BodyText"/>
        <w:spacing w:line="297" w:lineRule="auto"/>
        <w:ind w:right="366" w:firstLine="480"/>
      </w:pPr>
      <w:r>
        <w:rPr>
          <w:spacing w:val="-11"/>
        </w:rPr>
        <w:t>对于糖尿病患者，无论是荟萃分析还是临床试验，均证实 </w:t>
      </w:r>
      <w:r>
        <w:rPr/>
        <w:t>CCB</w:t>
      </w:r>
      <w:r>
        <w:rPr>
          <w:spacing w:val="-8"/>
        </w:rPr>
        <w:t> 是一类不会增加血糖异常风险的药物，而部分降压药如利尿剂、</w:t>
      </w:r>
      <w:r>
        <w:rPr>
          <w:rFonts w:ascii="Arial" w:hAnsi="Arial" w:eastAsia="Arial"/>
          <w:spacing w:val="-8"/>
        </w:rPr>
        <w:t>β </w:t>
      </w:r>
      <w:r>
        <w:rPr>
          <w:spacing w:val="-1"/>
        </w:rPr>
        <w:t>受体阻滞剂则会增加患者血糖水平和胰岛素抵抗。</w:t>
      </w:r>
      <w:r>
        <w:rPr>
          <w:spacing w:val="-3"/>
        </w:rPr>
        <w:t>因此，对糖尿病患者来说，CCB</w:t>
      </w:r>
      <w:r>
        <w:rPr>
          <w:spacing w:val="-10"/>
        </w:rPr>
        <w:t> 相对安全，其在有效降压又不增加不良反应的基础上，对降低事件、改善预后有益。</w:t>
      </w:r>
    </w:p>
    <w:p>
      <w:pPr>
        <w:pStyle w:val="BodyText"/>
        <w:spacing w:line="295" w:lineRule="auto"/>
        <w:ind w:right="546" w:firstLine="480"/>
      </w:pPr>
      <w:r>
        <w:rPr/>
        <w:t>综上，ACTION</w:t>
      </w:r>
      <w:r>
        <w:rPr>
          <w:spacing w:val="-13"/>
        </w:rPr>
        <w:t> 研究及其亚组分析为 </w:t>
      </w:r>
      <w:r>
        <w:rPr/>
        <w:t>CCB</w:t>
      </w:r>
      <w:r>
        <w:rPr>
          <w:spacing w:val="-9"/>
        </w:rPr>
        <w:t> 的联合治疗、单药增加剂量治疗都带来了可能</w:t>
      </w:r>
      <w:r>
        <w:rPr/>
        <w:t>的先机。</w:t>
      </w:r>
    </w:p>
    <w:p>
      <w:pPr>
        <w:pStyle w:val="BodyText"/>
        <w:spacing w:line="297" w:lineRule="auto"/>
        <w:ind w:right="347" w:firstLine="480"/>
      </w:pPr>
      <w:r>
        <w:rPr>
          <w:spacing w:val="-16"/>
        </w:rPr>
        <w:t>在临床研究开展方面，在高血压领域一些临床试验的开展需要很长时间，投入也非常高， </w:t>
      </w:r>
      <w:r>
        <w:rPr>
          <w:spacing w:val="-8"/>
        </w:rPr>
        <w:t>更多的是一些真实世界研究。那真实世界的数据来源于哪呢？大数据库及基于这些数据库再</w:t>
      </w:r>
      <w:r>
        <w:rPr>
          <w:spacing w:val="-13"/>
        </w:rPr>
        <w:t>进行进一步的分析。这一类型的研究将成为未来临床研究发展的重要方向，当然还包括根据小型临床随机对照研究进行的荟萃分析。</w:t>
      </w:r>
    </w:p>
    <w:p>
      <w:pPr>
        <w:pStyle w:val="BodyText"/>
        <w:spacing w:line="297" w:lineRule="auto"/>
        <w:ind w:right="467" w:firstLine="480"/>
        <w:jc w:val="both"/>
      </w:pPr>
      <w:r>
        <w:rPr>
          <w:spacing w:val="-8"/>
        </w:rPr>
        <w:t>随着信息化时代的到来，人们越来越重视对数据库的挖掘，在临床应用硝苯地平控释片</w:t>
      </w:r>
      <w:r>
        <w:rPr>
          <w:spacing w:val="-16"/>
        </w:rPr>
        <w:t>的这近 </w:t>
      </w:r>
      <w:r>
        <w:rPr/>
        <w:t>15</w:t>
      </w:r>
      <w:r>
        <w:rPr>
          <w:spacing w:val="-8"/>
        </w:rPr>
        <w:t> 年期间留下了庞大的数据，我想在不久之后，这些信息将成为硝苯地平在临床持续发挥重要作用的保障。</w:t>
      </w:r>
    </w:p>
    <w:p>
      <w:pPr>
        <w:pStyle w:val="Heading4"/>
        <w:spacing w:line="304" w:lineRule="exact"/>
        <w:ind w:left="697"/>
        <w:jc w:val="both"/>
      </w:pPr>
      <w:r>
        <w:rPr/>
        <w:t>《医学论坛报》：如果要用一句话来评价 ACTION 研究，您会怎么说？</w:t>
      </w:r>
    </w:p>
    <w:p>
      <w:pPr>
        <w:pStyle w:val="BodyText"/>
        <w:spacing w:line="297" w:lineRule="auto" w:before="49"/>
        <w:ind w:right="471" w:firstLine="480"/>
        <w:jc w:val="both"/>
      </w:pPr>
      <w:r>
        <w:rPr>
          <w:b/>
        </w:rPr>
        <w:t>孙宁玲教授：</w:t>
      </w:r>
      <w:r>
        <w:rPr/>
        <w:t>ACTION</w:t>
      </w:r>
      <w:r>
        <w:rPr>
          <w:spacing w:val="-11"/>
        </w:rPr>
        <w:t> 研究是一个里程碑式的研究，它开拓了 </w:t>
      </w:r>
      <w:r>
        <w:rPr/>
        <w:t>CCB</w:t>
      </w:r>
      <w:r>
        <w:rPr>
          <w:spacing w:val="-8"/>
        </w:rPr>
        <w:t> 是安全、有效的，可</w:t>
      </w:r>
      <w:r>
        <w:rPr>
          <w:spacing w:val="-13"/>
        </w:rPr>
        <w:t>以用于冠心病治疗的时代；它回驳了既往 </w:t>
      </w:r>
      <w:r>
        <w:rPr/>
        <w:t>CCB</w:t>
      </w:r>
      <w:r>
        <w:rPr>
          <w:spacing w:val="-16"/>
        </w:rPr>
        <w:t> 增加心肌梗死风险的“风波”，使得 </w:t>
      </w:r>
      <w:r>
        <w:rPr/>
        <w:t>CCB</w:t>
      </w:r>
      <w:r>
        <w:rPr>
          <w:spacing w:val="-25"/>
        </w:rPr>
        <w:t> 在冠</w:t>
      </w:r>
      <w:r>
        <w:rPr/>
        <w:t>心病领域、心衰领域、高血压领域、糖尿病领域均有更加广泛的应用前景。</w:t>
      </w:r>
    </w:p>
    <w:p>
      <w:pPr>
        <w:spacing w:after="0" w:line="297" w:lineRule="auto"/>
        <w:jc w:val="both"/>
        <w:sectPr>
          <w:pgSz w:w="11910" w:h="16850"/>
          <w:pgMar w:header="906" w:footer="607" w:top="1100" w:bottom="800" w:left="1060" w:right="660"/>
        </w:sectPr>
      </w:pPr>
    </w:p>
    <w:p>
      <w:pPr>
        <w:pStyle w:val="BodyText"/>
        <w:spacing w:line="204" w:lineRule="auto" w:before="33"/>
        <w:ind w:right="466" w:firstLine="600"/>
        <w:rPr>
          <w:rFonts w:ascii="微软雅黑" w:hAnsi="微软雅黑" w:eastAsia="微软雅黑" w:hint="eastAsia"/>
          <w:b/>
        </w:rPr>
      </w:pPr>
      <w:r>
        <w:rPr>
          <w:spacing w:val="-9"/>
        </w:rPr>
        <w:t>“ACTION</w:t>
      </w:r>
      <w:r>
        <w:rPr>
          <w:spacing w:val="-18"/>
        </w:rPr>
        <w:t>”本身就是“行动”，我们希望用行动来诠释这个药物在临床的应用过程。</w:t>
      </w:r>
      <w:r>
        <w:rPr>
          <w:rFonts w:ascii="微软雅黑" w:hAnsi="微软雅黑" w:eastAsia="微软雅黑" w:hint="eastAsia"/>
          <w:b/>
          <w:color w:val="0033CC"/>
        </w:rPr>
        <w:t>[</w:t>
      </w:r>
      <w:r>
        <w:rPr>
          <w:rFonts w:ascii="Microsoft JhengHei" w:hAnsi="Microsoft JhengHei" w:eastAsia="Microsoft JhengHei" w:hint="eastAsia"/>
          <w:b/>
          <w:color w:val="0033CC"/>
          <w:spacing w:val="-14"/>
        </w:rPr>
        <w:t>返</w:t>
      </w:r>
      <w:r>
        <w:rPr>
          <w:rFonts w:ascii="Microsoft JhengHei" w:hAnsi="Microsoft JhengHei" w:eastAsia="Microsoft JhengHei" w:hint="eastAsia"/>
          <w:b/>
          <w:color w:val="0033CC"/>
        </w:rPr>
        <w:t>回目次</w:t>
      </w:r>
      <w:r>
        <w:rPr>
          <w:rFonts w:ascii="微软雅黑" w:hAnsi="微软雅黑" w:eastAsia="微软雅黑" w:hint="eastAsia"/>
          <w:b/>
          <w:color w:val="0033CC"/>
        </w:rPr>
        <w:t>]</w:t>
      </w:r>
    </w:p>
    <w:p>
      <w:pPr>
        <w:pStyle w:val="Heading2"/>
        <w:spacing w:before="138"/>
        <w:ind w:left="217"/>
      </w:pPr>
      <w:bookmarkStart w:name="_TOC_250014" w:id="17"/>
      <w:bookmarkEnd w:id="17"/>
      <w:r>
        <w:rPr/>
        <w:t>【药物警戒】</w:t>
      </w:r>
    </w:p>
    <w:p>
      <w:pPr>
        <w:pStyle w:val="Heading2"/>
        <w:spacing w:before="164"/>
        <w:ind w:left="294"/>
      </w:pPr>
      <w:bookmarkStart w:name="_TOC_250013" w:id="18"/>
      <w:bookmarkEnd w:id="18"/>
      <w:r>
        <w:rPr/>
        <w:t>常见药物的不良反应 —泌尿系统、血液系统、激素及影响内分泌药物</w:t>
      </w:r>
    </w:p>
    <w:p>
      <w:pPr>
        <w:pStyle w:val="BodyText"/>
        <w:spacing w:before="11"/>
        <w:ind w:left="0"/>
        <w:rPr>
          <w:b/>
          <w:sz w:val="15"/>
        </w:rPr>
      </w:pPr>
    </w:p>
    <w:p>
      <w:pPr>
        <w:pStyle w:val="Heading4"/>
        <w:spacing w:before="67"/>
        <w:ind w:left="0" w:right="468"/>
        <w:jc w:val="right"/>
        <w:rPr>
          <w:rFonts w:ascii="楷体" w:eastAsia="楷体" w:hint="eastAsia"/>
        </w:rPr>
      </w:pPr>
      <w:r>
        <w:rPr>
          <w:rFonts w:ascii="楷体" w:eastAsia="楷体" w:hint="eastAsia"/>
          <w:color w:val="FF0000"/>
          <w:w w:val="95"/>
        </w:rPr>
        <w:t>（来源：中国医药报）</w:t>
      </w:r>
    </w:p>
    <w:p>
      <w:pPr>
        <w:spacing w:before="98"/>
        <w:ind w:left="697" w:right="0" w:firstLine="0"/>
        <w:jc w:val="left"/>
        <w:rPr>
          <w:b/>
          <w:sz w:val="24"/>
        </w:rPr>
      </w:pPr>
      <w:r>
        <w:rPr>
          <w:b/>
          <w:sz w:val="24"/>
        </w:rPr>
        <w:t>利尿药的不良反应</w:t>
      </w:r>
    </w:p>
    <w:p>
      <w:pPr>
        <w:pStyle w:val="BodyText"/>
        <w:spacing w:line="297" w:lineRule="auto" w:before="71"/>
        <w:ind w:right="367" w:firstLine="480"/>
      </w:pPr>
      <w:r>
        <w:rPr>
          <w:spacing w:val="-7"/>
        </w:rPr>
        <w:t>呋塞米的不良反应：大剂量或长期应用时易出现体位性低血压、休克、低钾血症、低氯</w:t>
      </w:r>
      <w:r>
        <w:rPr>
          <w:spacing w:val="-12"/>
        </w:rPr>
        <w:t>血症、低氯性碱中毒、低钠血症、低钙血症以及与此有关的口渴、乏力、肌肉酸痛、心律失常等；少见的有过敏反应（包括皮疹、间质性肾炎，甚至心脏骤停）</w:t>
      </w:r>
      <w:r>
        <w:rPr>
          <w:spacing w:val="-13"/>
        </w:rPr>
        <w:t>、视觉模糊、光敏感、</w:t>
      </w:r>
      <w:r>
        <w:rPr>
          <w:spacing w:val="-1"/>
        </w:rPr>
        <w:t>头晕、头痛、恶心、呕吐、腹痛、腹泻、胰腺炎、肌肉强直等，骨髓抑制导致粒细胞减少、</w:t>
      </w:r>
      <w:r>
        <w:rPr/>
        <w:t>血小板减少性紫癜和再生障碍性贫血，肝功能损害，高糖血症等。</w:t>
      </w:r>
    </w:p>
    <w:p>
      <w:pPr>
        <w:pStyle w:val="BodyText"/>
        <w:spacing w:line="297" w:lineRule="auto"/>
        <w:ind w:right="367" w:firstLine="480"/>
      </w:pPr>
      <w:r>
        <w:rPr>
          <w:spacing w:val="-1"/>
        </w:rPr>
        <w:t>氢氯噻嗪的不良反应：水、电解质紊乱所致的副作用较为常见，临床常见反应有口干、</w:t>
      </w:r>
      <w:r>
        <w:rPr>
          <w:spacing w:val="-10"/>
        </w:rPr>
        <w:t>烦渴、肌肉痉挛、恶心、呕吐和极度疲乏无力等；高糖血症，本药可使糖耐量降低，血糖升</w:t>
      </w:r>
      <w:r>
        <w:rPr>
          <w:spacing w:val="-11"/>
        </w:rPr>
        <w:t>高；高尿酸血症，干扰肾小管排泄尿酸，少数可诱发痛风，由于通常并无关节疼痛，故高尿</w:t>
      </w:r>
      <w:r>
        <w:rPr>
          <w:spacing w:val="-15"/>
        </w:rPr>
        <w:t>酸血症易被忽视；过敏反应，如皮疹、荨麻疹等，但较为少见；白细胞减少或缺乏症、血小板减少性紫癜等亦少见。</w:t>
      </w:r>
    </w:p>
    <w:p>
      <w:pPr>
        <w:pStyle w:val="BodyText"/>
        <w:spacing w:line="297" w:lineRule="auto"/>
        <w:ind w:right="350" w:firstLine="480"/>
      </w:pPr>
      <w:r>
        <w:rPr>
          <w:spacing w:val="-8"/>
        </w:rPr>
        <w:t>螺内酯的不良反应：常见的有高钾血症，尤其是单独用药、进食高钾饮食、与钾剂或含</w:t>
      </w:r>
      <w:r>
        <w:rPr>
          <w:spacing w:val="-14"/>
        </w:rPr>
        <w:t>钾药物合用，以及存在肾功能损害、少尿、无尿时；胃肠道反应，如恶心、呕吐、胃痉挛和</w:t>
      </w:r>
      <w:r>
        <w:rPr>
          <w:spacing w:val="-13"/>
        </w:rPr>
        <w:t>腹泻等。少见的有：低钠血症，单独应用时少见，与其他利尿药合用时发生率增高；抗雄激</w:t>
      </w:r>
      <w:r>
        <w:rPr>
          <w:spacing w:val="-21"/>
        </w:rPr>
        <w:t>素样作用或对其他内分泌系统有影响，长期服用本药可致男性乳房发育、阳痿、性功能低下， </w:t>
      </w:r>
      <w:r>
        <w:rPr/>
        <w:t>可致女性乳房胀痛、声音变粗、毛发增多、月经失调、性功能下降；中枢神经系统表现为， </w:t>
      </w:r>
      <w:r>
        <w:rPr>
          <w:spacing w:val="-6"/>
        </w:rPr>
        <w:t>长期或大剂量服用本药可发生行走不协调、头痛等。罕见的有：过敏反应，出现皮疹甚至呼吸困难；暂时性血浆肌酐、尿素氮升高；轻度高氯性酸中毒等。</w:t>
      </w:r>
    </w:p>
    <w:p>
      <w:pPr>
        <w:pStyle w:val="Heading4"/>
        <w:spacing w:line="300" w:lineRule="exact"/>
        <w:ind w:left="697"/>
      </w:pPr>
      <w:r>
        <w:rPr/>
        <w:t>抗贫血药的不良反应</w:t>
      </w:r>
    </w:p>
    <w:p>
      <w:pPr>
        <w:pStyle w:val="BodyText"/>
        <w:spacing w:line="295" w:lineRule="auto" w:before="60"/>
        <w:ind w:left="697" w:right="367"/>
      </w:pPr>
      <w:r>
        <w:rPr/>
        <w:t>硫酸亚铁的不良反应：个别患者有轻度胃肠道反应，如恶心、呕吐、胃痛、腹泻等。 </w:t>
      </w:r>
      <w:r>
        <w:rPr>
          <w:spacing w:val="-1"/>
        </w:rPr>
        <w:t>右旋糖酐铁的不良反应：本品注射后，可产生局部疼痛及色素沉着；还可减少肠蠕动，</w:t>
      </w:r>
    </w:p>
    <w:p>
      <w:pPr>
        <w:pStyle w:val="BodyText"/>
        <w:spacing w:before="4"/>
      </w:pPr>
      <w:r>
        <w:rPr/>
        <w:t>引起便秘，并排黑便；偶见过敏性休克，敏感体质者慎用。</w:t>
      </w:r>
    </w:p>
    <w:p>
      <w:pPr>
        <w:pStyle w:val="BodyText"/>
        <w:spacing w:line="295" w:lineRule="auto" w:before="72"/>
        <w:ind w:right="475" w:firstLine="480"/>
      </w:pPr>
      <w:r>
        <w:rPr>
          <w:spacing w:val="-9"/>
        </w:rPr>
        <w:t>叶酸的不良反应：不良反应较少，罕见过敏反应；长期用药会出现畏食、恶心、腹胀等</w:t>
      </w:r>
      <w:r>
        <w:rPr/>
        <w:t>胃肠道症状；大量服用叶酸时，可使尿呈黄色。</w:t>
      </w:r>
    </w:p>
    <w:p>
      <w:pPr>
        <w:pStyle w:val="Heading4"/>
        <w:spacing w:before="4"/>
        <w:ind w:left="697"/>
      </w:pPr>
      <w:r>
        <w:rPr/>
        <w:t>促凝血药的不良反应</w:t>
      </w:r>
    </w:p>
    <w:p>
      <w:pPr>
        <w:pStyle w:val="BodyText"/>
        <w:spacing w:line="295" w:lineRule="auto" w:before="72"/>
        <w:ind w:right="472" w:firstLine="480"/>
      </w:pPr>
      <w:r>
        <w:rPr>
          <w:spacing w:val="-9"/>
        </w:rPr>
        <w:t>凝血酶的不良反应：偶可致过敏反应，应及时停药；外科止血时应用本品，曾出现过低</w:t>
      </w:r>
      <w:r>
        <w:rPr/>
        <w:t>热反应。</w:t>
      </w:r>
    </w:p>
    <w:p>
      <w:pPr>
        <w:pStyle w:val="BodyText"/>
        <w:spacing w:line="295" w:lineRule="auto" w:before="5"/>
        <w:ind w:right="367" w:firstLine="480"/>
      </w:pPr>
      <w:r>
        <w:rPr>
          <w:spacing w:val="-16"/>
        </w:rPr>
        <w:t>维生素 </w:t>
      </w:r>
      <w:r>
        <w:rPr/>
        <w:t>K</w:t>
      </w:r>
      <w:r>
        <w:rPr>
          <w:spacing w:val="-9"/>
        </w:rPr>
        <w:t> 的不良反应：偶见过敏反应；静注过快可引起面部潮红、出汗、支气管痉挛、</w:t>
      </w:r>
      <w:r>
        <w:rPr>
          <w:spacing w:val="-11"/>
        </w:rPr>
        <w:t>心动过速、低血压等；肌注可引起局部红肿和疼痛；新生儿应用本品后可能出现高胆红素血症、黄疸和溶血性贫血。</w:t>
      </w:r>
    </w:p>
    <w:p>
      <w:pPr>
        <w:pStyle w:val="Heading4"/>
        <w:spacing w:before="5"/>
        <w:ind w:left="697"/>
      </w:pPr>
      <w:r>
        <w:rPr/>
        <w:t>抗凝血药肝素的不良反应</w:t>
      </w:r>
    </w:p>
    <w:p>
      <w:pPr>
        <w:spacing w:after="0"/>
        <w:sectPr>
          <w:pgSz w:w="11910" w:h="16850"/>
          <w:pgMar w:header="906" w:footer="607" w:top="1100" w:bottom="800" w:left="1060" w:right="660"/>
        </w:sectPr>
      </w:pPr>
    </w:p>
    <w:p>
      <w:pPr>
        <w:pStyle w:val="BodyText"/>
        <w:spacing w:line="297" w:lineRule="auto" w:before="65"/>
        <w:ind w:right="467" w:firstLine="480"/>
      </w:pPr>
      <w:r>
        <w:rPr>
          <w:spacing w:val="-6"/>
        </w:rPr>
        <w:t>主要不良反应是用药过多可致自发性出血，故每次注射前应测定凝血时间，如注射后引</w:t>
      </w:r>
      <w:r>
        <w:rPr>
          <w:spacing w:val="-10"/>
        </w:rPr>
        <w:t>起严重出血，可静注硫酸鱼精蛋白进行急救；偶可引起过敏反应及血小板减少，常发生在用</w:t>
      </w:r>
      <w:r>
        <w:rPr>
          <w:spacing w:val="-21"/>
        </w:rPr>
        <w:t>药初 </w:t>
      </w:r>
      <w:r>
        <w:rPr/>
        <w:t>5～9</w:t>
      </w:r>
      <w:r>
        <w:rPr>
          <w:spacing w:val="-14"/>
        </w:rPr>
        <w:t> 天，故开始治疗 </w:t>
      </w:r>
      <w:r>
        <w:rPr/>
        <w:t>1</w:t>
      </w:r>
      <w:r>
        <w:rPr>
          <w:spacing w:val="-8"/>
        </w:rPr>
        <w:t> 个月内应定期监测血小板计数；偶见一次性脱发和腹泻，尚可引起骨质疏松和自发性骨折，肝功能不良者长期使用可引起抗凝血酶Ⅲ耗竭而形成血栓倾向。</w:t>
      </w:r>
    </w:p>
    <w:p>
      <w:pPr>
        <w:pStyle w:val="Heading4"/>
        <w:spacing w:line="300" w:lineRule="exact"/>
        <w:ind w:left="697"/>
      </w:pPr>
      <w:r>
        <w:rPr/>
        <w:t>肾上腺皮质激素类药的不良反应</w:t>
      </w:r>
    </w:p>
    <w:p>
      <w:pPr>
        <w:pStyle w:val="BodyText"/>
        <w:spacing w:line="297" w:lineRule="auto" w:before="74"/>
        <w:ind w:right="347" w:firstLine="480"/>
      </w:pPr>
      <w:r>
        <w:rPr/>
        <w:t>氢化可的松的不良反应：长期使用可引起以下副作用：医源性库欣综合征面容和体态、</w:t>
      </w:r>
      <w:r>
        <w:rPr>
          <w:spacing w:val="-10"/>
        </w:rPr>
        <w:t>体重增加、下肢浮肿、紫纹、易出血倾向、创口愈合不良、痤疮、月经紊乱、肱或股骨头缺</w:t>
      </w:r>
      <w:r>
        <w:rPr>
          <w:spacing w:val="-16"/>
        </w:rPr>
        <w:t>血性坏死、骨质疏松及骨折、肌无力、肌萎缩、低血钾综合征、胃肠道刺激</w:t>
      </w:r>
      <w:r>
        <w:rPr/>
        <w:t>（</w:t>
      </w:r>
      <w:r>
        <w:rPr>
          <w:spacing w:val="-7"/>
        </w:rPr>
        <w:t>恶心、呕吐</w:t>
      </w:r>
      <w:r>
        <w:rPr>
          <w:spacing w:val="-29"/>
        </w:rPr>
        <w:t>）</w:t>
      </w:r>
      <w:r>
        <w:rPr/>
        <w:t>、</w:t>
      </w:r>
      <w:r>
        <w:rPr>
          <w:spacing w:val="-15"/>
        </w:rPr>
        <w:t>胰腺炎、消化性溃疡或穿孔，儿童生长受到抑制、青光眼、白内障、良性颅内压升高综合征、</w:t>
      </w:r>
      <w:r>
        <w:rPr>
          <w:spacing w:val="-17"/>
        </w:rPr>
        <w:t>糖耐量减退和糖尿病加重；患者可出现一定的精神症状，如欣快感、激动、谵妄、不安、定</w:t>
      </w:r>
      <w:r>
        <w:rPr>
          <w:spacing w:val="-14"/>
        </w:rPr>
        <w:t>向力障碍，也可表现为抑制，精神症状尤易发生于患慢性消耗性疾病及以往有过精神不正常者；并发感染为肾上腺皮质激素的主要不良反应，以真菌、结核菌、葡萄球菌、变形杆菌、</w:t>
      </w:r>
      <w:r>
        <w:rPr>
          <w:spacing w:val="-21"/>
        </w:rPr>
        <w:t>绿脓杆菌和各种疱疹病毒为主；糖皮质激素停药综合征表现为：有时患者在停药后出现头晕、</w:t>
      </w:r>
      <w:r>
        <w:rPr>
          <w:spacing w:val="-11"/>
        </w:rPr>
        <w:t>昏厥倾向、腹痛或背痛、低热、食欲减退、恶心、呕吐、肌肉或关节疼痛、头疼、乏力、软弱等。</w:t>
      </w:r>
    </w:p>
    <w:p>
      <w:pPr>
        <w:pStyle w:val="BodyText"/>
        <w:spacing w:line="295" w:lineRule="auto"/>
        <w:ind w:right="467" w:firstLine="480"/>
      </w:pPr>
      <w:r>
        <w:rPr>
          <w:spacing w:val="-9"/>
        </w:rPr>
        <w:t>地塞米松的不良反应：服用该品较大剂量易引起糖尿病、消化道溃疡和类库欣综合征症</w:t>
      </w:r>
      <w:r>
        <w:rPr/>
        <w:t>状，对下丘脑-垂体-肾上腺轴抑制作用较强；并发感染为主要的不良反应。</w:t>
      </w:r>
    </w:p>
    <w:p>
      <w:pPr>
        <w:pStyle w:val="Heading4"/>
        <w:ind w:left="697"/>
      </w:pPr>
      <w:r>
        <w:rPr/>
        <w:t>胰岛素及口服降血糖药的不良反应</w:t>
      </w:r>
    </w:p>
    <w:p>
      <w:pPr>
        <w:pStyle w:val="BodyText"/>
        <w:spacing w:line="297" w:lineRule="auto" w:before="63"/>
        <w:ind w:right="467" w:firstLine="480"/>
        <w:jc w:val="both"/>
      </w:pPr>
      <w:r>
        <w:rPr>
          <w:spacing w:val="-9"/>
        </w:rPr>
        <w:t>胰岛素的不良反应：过敏反应：注射部位红肿、瘙痒、荨麻疹、血管神经性水肿；低血</w:t>
      </w:r>
      <w:r>
        <w:rPr>
          <w:spacing w:val="-12"/>
        </w:rPr>
        <w:t>糖反应：出汗、心悸、乏力，重者出现意识障碍、共济失调、心动过速甚至昏迷；注射部位</w:t>
      </w:r>
      <w:r>
        <w:rPr/>
        <w:t>脂肪萎缩、脂肪增生；眼屈光失调。</w:t>
      </w:r>
    </w:p>
    <w:p>
      <w:pPr>
        <w:pStyle w:val="BodyText"/>
        <w:spacing w:line="297" w:lineRule="auto"/>
        <w:ind w:right="347" w:firstLine="480"/>
      </w:pPr>
      <w:r>
        <w:rPr/>
        <w:t>二甲双胍的不良反应：常见的有恶心、呕吐、腹泻、口中有金属味；有时会出现乏力、</w:t>
      </w:r>
      <w:r>
        <w:rPr>
          <w:spacing w:val="-16"/>
        </w:rPr>
        <w:t>疲倦、头晕、皮疹；乳酸性酸中毒虽然发生率很低，但应予以注意，临床表现为呕吐、腹痛、</w:t>
      </w:r>
      <w:r>
        <w:rPr>
          <w:spacing w:val="-3"/>
        </w:rPr>
        <w:t>过度换气、神志障碍等；可减少肠道吸收维生素 </w:t>
      </w:r>
      <w:r>
        <w:rPr/>
        <w:t>B，使血红蛋白减少，产生巨红细胞贫血， 也可引起吸收不良。</w:t>
      </w:r>
    </w:p>
    <w:p>
      <w:pPr>
        <w:pStyle w:val="BodyText"/>
        <w:spacing w:line="297" w:lineRule="auto"/>
        <w:ind w:right="347" w:firstLine="480"/>
      </w:pPr>
      <w:r>
        <w:rPr>
          <w:spacing w:val="-7"/>
        </w:rPr>
        <w:t>格列吡嗪的不良反应：较常见的为胃肠道症状，如恶心、上腹胀满等，减少剂量即可缓</w:t>
      </w:r>
      <w:r>
        <w:rPr>
          <w:spacing w:val="-18"/>
        </w:rPr>
        <w:t>解；个别患者可出现皮肤过敏；偶见低血糖，尤其是年老体弱者，活动过度者及不规则进食、</w:t>
      </w:r>
      <w:r>
        <w:rPr/>
        <w:t>饮酒或肝功能损害者。</w:t>
      </w:r>
    </w:p>
    <w:p>
      <w:pPr>
        <w:pStyle w:val="BodyText"/>
        <w:tabs>
          <w:tab w:pos="4777" w:val="left" w:leader="none"/>
        </w:tabs>
        <w:spacing w:line="362" w:lineRule="exact"/>
        <w:ind w:left="697"/>
        <w:rPr>
          <w:rFonts w:ascii="微软雅黑" w:eastAsia="微软雅黑" w:hint="eastAsia"/>
          <w:b/>
        </w:rPr>
      </w:pPr>
      <w:r>
        <w:rPr/>
        <w:t>（摘自《药品不良反应监测与监管》</w:t>
        <w:tab/>
      </w:r>
      <w:r>
        <w:rPr>
          <w:w w:val="105"/>
        </w:rPr>
        <w:t>中国医药科技出版社出版）</w:t>
      </w:r>
      <w:r>
        <w:rPr>
          <w:rFonts w:ascii="微软雅黑" w:eastAsia="微软雅黑" w:hint="eastAsia"/>
          <w:b/>
          <w:color w:val="0033CC"/>
          <w:w w:val="105"/>
        </w:rPr>
        <w:t>[</w:t>
      </w:r>
      <w:r>
        <w:rPr>
          <w:rFonts w:ascii="Microsoft JhengHei" w:eastAsia="Microsoft JhengHei" w:hint="eastAsia"/>
          <w:b/>
          <w:color w:val="0033CC"/>
          <w:w w:val="105"/>
        </w:rPr>
        <w:t>返回目次</w:t>
      </w:r>
      <w:r>
        <w:rPr>
          <w:rFonts w:ascii="微软雅黑" w:eastAsia="微软雅黑" w:hint="eastAsia"/>
          <w:b/>
          <w:color w:val="0033CC"/>
          <w:w w:val="105"/>
        </w:rPr>
        <w:t>]</w:t>
      </w:r>
    </w:p>
    <w:p>
      <w:pPr>
        <w:pStyle w:val="BodyText"/>
        <w:spacing w:before="13"/>
        <w:ind w:left="0"/>
        <w:rPr>
          <w:rFonts w:ascii="微软雅黑"/>
          <w:b/>
          <w:sz w:val="13"/>
        </w:rPr>
      </w:pPr>
    </w:p>
    <w:p>
      <w:pPr>
        <w:pStyle w:val="Heading2"/>
        <w:ind w:left="217"/>
      </w:pPr>
      <w:bookmarkStart w:name="_TOC_250012" w:id="19"/>
      <w:bookmarkEnd w:id="19"/>
      <w:r>
        <w:rPr/>
        <w:t>【科普知识】</w:t>
      </w:r>
    </w:p>
    <w:p>
      <w:pPr>
        <w:pStyle w:val="BodyText"/>
        <w:spacing w:before="1"/>
        <w:ind w:left="0"/>
        <w:rPr>
          <w:b/>
          <w:sz w:val="18"/>
        </w:rPr>
      </w:pPr>
    </w:p>
    <w:p>
      <w:pPr>
        <w:spacing w:after="0"/>
        <w:rPr>
          <w:sz w:val="18"/>
        </w:rPr>
        <w:sectPr>
          <w:pgSz w:w="11910" w:h="16850"/>
          <w:pgMar w:header="906" w:footer="607" w:top="1100" w:bottom="800" w:left="1060" w:right="660"/>
        </w:sectPr>
      </w:pPr>
    </w:p>
    <w:p>
      <w:pPr>
        <w:pStyle w:val="BodyText"/>
        <w:ind w:left="0"/>
        <w:rPr>
          <w:b/>
        </w:rPr>
      </w:pPr>
    </w:p>
    <w:p>
      <w:pPr>
        <w:pStyle w:val="BodyText"/>
        <w:ind w:left="0"/>
        <w:rPr>
          <w:b/>
        </w:rPr>
      </w:pPr>
    </w:p>
    <w:p>
      <w:pPr>
        <w:pStyle w:val="BodyText"/>
        <w:spacing w:before="3"/>
        <w:ind w:left="0"/>
        <w:rPr>
          <w:b/>
          <w:sz w:val="31"/>
        </w:rPr>
      </w:pPr>
    </w:p>
    <w:p>
      <w:pPr>
        <w:pStyle w:val="Heading4"/>
        <w:spacing w:before="1"/>
        <w:ind w:left="697"/>
      </w:pPr>
      <w:r>
        <w:rPr>
          <w:spacing w:val="-2"/>
        </w:rPr>
        <w:t>老年人药效学方面的改变</w:t>
      </w:r>
    </w:p>
    <w:p>
      <w:pPr>
        <w:pStyle w:val="Heading2"/>
        <w:spacing w:before="55"/>
        <w:ind w:left="-27"/>
      </w:pPr>
      <w:bookmarkStart w:name="_TOC_250011" w:id="20"/>
      <w:r>
        <w:rPr>
          <w:b w:val="0"/>
        </w:rPr>
        <w:br w:type="column"/>
      </w:r>
      <w:bookmarkEnd w:id="20"/>
      <w:r>
        <w:rPr>
          <w:spacing w:val="-2"/>
        </w:rPr>
        <w:t>老年人用药常识知多少</w:t>
      </w:r>
    </w:p>
    <w:p>
      <w:pPr>
        <w:pStyle w:val="BodyText"/>
        <w:ind w:left="0"/>
        <w:rPr>
          <w:b/>
        </w:rPr>
      </w:pPr>
      <w:r>
        <w:rPr/>
        <w:br w:type="column"/>
      </w:r>
      <w:r>
        <w:rPr>
          <w:b/>
        </w:rPr>
      </w:r>
    </w:p>
    <w:p>
      <w:pPr>
        <w:pStyle w:val="BodyText"/>
        <w:spacing w:before="10"/>
        <w:ind w:left="0"/>
        <w:rPr>
          <w:b/>
          <w:sz w:val="23"/>
        </w:rPr>
      </w:pPr>
    </w:p>
    <w:p>
      <w:pPr>
        <w:spacing w:before="0"/>
        <w:ind w:left="696" w:right="0" w:firstLine="0"/>
        <w:jc w:val="left"/>
        <w:rPr>
          <w:rFonts w:ascii="楷体" w:eastAsia="楷体" w:hint="eastAsia"/>
          <w:b/>
          <w:sz w:val="24"/>
        </w:rPr>
      </w:pPr>
      <w:r>
        <w:rPr>
          <w:rFonts w:ascii="楷体" w:eastAsia="楷体" w:hint="eastAsia"/>
          <w:b/>
          <w:color w:val="FF0000"/>
          <w:sz w:val="24"/>
        </w:rPr>
        <w:t>（来源：中国医药报）</w:t>
      </w:r>
    </w:p>
    <w:p>
      <w:pPr>
        <w:spacing w:after="0"/>
        <w:jc w:val="left"/>
        <w:rPr>
          <w:rFonts w:ascii="楷体" w:eastAsia="楷体" w:hint="eastAsia"/>
          <w:sz w:val="24"/>
        </w:rPr>
        <w:sectPr>
          <w:type w:val="continuous"/>
          <w:pgSz w:w="11910" w:h="16850"/>
          <w:pgMar w:top="1100" w:bottom="1020" w:left="1060" w:right="660"/>
          <w:cols w:num="3" w:equalWidth="0">
            <w:col w:w="3346" w:space="40"/>
            <w:col w:w="3184" w:space="39"/>
            <w:col w:w="3581"/>
          </w:cols>
        </w:sectPr>
      </w:pPr>
    </w:p>
    <w:p>
      <w:pPr>
        <w:pStyle w:val="BodyText"/>
        <w:spacing w:line="297" w:lineRule="auto" w:before="71"/>
        <w:ind w:right="367" w:firstLine="480"/>
      </w:pPr>
      <w:r>
        <w:rPr>
          <w:spacing w:val="-6"/>
        </w:rPr>
        <w:t>一是对大多数药物敏感性增高、药物作用增强。老年人高级神经系统功能减退，脑血流</w:t>
      </w:r>
      <w:r>
        <w:rPr>
          <w:spacing w:val="-7"/>
        </w:rPr>
        <w:t>量、脑细胞数量和脑代谢均降低，因此对中枢神经系统药物敏感性增高，包括镇静催眠药、</w:t>
      </w:r>
    </w:p>
    <w:p>
      <w:pPr>
        <w:spacing w:after="0" w:line="297" w:lineRule="auto"/>
        <w:sectPr>
          <w:type w:val="continuous"/>
          <w:pgSz w:w="11910" w:h="16850"/>
          <w:pgMar w:top="1100" w:bottom="1020" w:left="1060" w:right="660"/>
        </w:sectPr>
      </w:pPr>
    </w:p>
    <w:p>
      <w:pPr>
        <w:pStyle w:val="BodyText"/>
        <w:spacing w:line="297" w:lineRule="auto" w:before="65"/>
        <w:ind w:right="467"/>
        <w:jc w:val="both"/>
      </w:pPr>
      <w:r>
        <w:rPr>
          <w:spacing w:val="-11"/>
        </w:rPr>
        <w:t>镇痛药、抗精神病药、抗抑郁药等，特别是在缺氧或发热时更为明显。一些药物易诱发老年</w:t>
      </w:r>
      <w:r>
        <w:rPr>
          <w:spacing w:val="-6"/>
        </w:rPr>
        <w:t>人产生中枢神经系统不良反应，如碳青霉烯类、喹诺酮类及利尿剂等，使用时应谨慎。老年</w:t>
      </w:r>
      <w:r>
        <w:rPr>
          <w:spacing w:val="-12"/>
        </w:rPr>
        <w:t>人心血管系统与维持水、电解质平衡的内环境稳定功能减弱，易发生体位性低血压；对肝素</w:t>
      </w:r>
      <w:r>
        <w:rPr>
          <w:spacing w:val="-8"/>
        </w:rPr>
        <w:t>及口服抗凝药非常敏感，如阿司匹林、胺碘酮、他汀类药物、抗抑郁药、广谱抗生素、银杏</w:t>
      </w:r>
      <w:r>
        <w:rPr/>
        <w:t>叶提取物等会使老年人对华法林和肝素的作用比年轻人敏感，易发生出血并发症。</w:t>
      </w:r>
    </w:p>
    <w:p>
      <w:pPr>
        <w:pStyle w:val="BodyText"/>
        <w:spacing w:line="297" w:lineRule="auto"/>
        <w:ind w:right="485" w:firstLine="480"/>
        <w:jc w:val="both"/>
      </w:pPr>
      <w:r>
        <w:rPr/>
        <w:t>二是对少数药物敏感性降低、反应减弱。老年人对 </w:t>
      </w:r>
      <w:r>
        <w:rPr>
          <w:rFonts w:ascii="Arial" w:hAnsi="Arial" w:eastAsia="Arial"/>
        </w:rPr>
        <w:t>β </w:t>
      </w:r>
      <w:r>
        <w:rPr/>
        <w:t>受体激动剂及阻滞剂的敏感性均减弱。老年人对同等剂量的异丙肾上腺素加速心率的反应比青年人弱，对 </w:t>
      </w:r>
      <w:r>
        <w:rPr>
          <w:rFonts w:ascii="Arial" w:hAnsi="Arial" w:eastAsia="Arial"/>
        </w:rPr>
        <w:t>β </w:t>
      </w:r>
      <w:r>
        <w:rPr/>
        <w:t>受体阻断剂普萘洛尔等减慢心率的作用亦钝化。</w:t>
      </w:r>
    </w:p>
    <w:p>
      <w:pPr>
        <w:pStyle w:val="Heading4"/>
        <w:spacing w:line="304" w:lineRule="exact"/>
        <w:ind w:left="697"/>
      </w:pPr>
      <w:r>
        <w:rPr/>
        <w:t>老年人药动学方面的改变</w:t>
      </w:r>
    </w:p>
    <w:p>
      <w:pPr>
        <w:pStyle w:val="BodyText"/>
        <w:tabs>
          <w:tab w:pos="2137" w:val="left" w:leader="none"/>
        </w:tabs>
        <w:spacing w:line="297" w:lineRule="auto" w:before="67"/>
        <w:ind w:right="344" w:firstLine="480"/>
      </w:pPr>
      <w:r>
        <w:rPr/>
        <w:t>药物的吸收</w:t>
        <w:tab/>
        <w:t>一方面由于老年人胃肠道活动减缓</w:t>
      </w:r>
      <w:r>
        <w:rPr>
          <w:spacing w:val="-51"/>
        </w:rPr>
        <w:t>，</w:t>
      </w:r>
      <w:r>
        <w:rPr/>
        <w:t>药物在胃肠道停留的时间延长</w:t>
      </w:r>
      <w:r>
        <w:rPr>
          <w:spacing w:val="-51"/>
        </w:rPr>
        <w:t>，</w:t>
      </w:r>
      <w:r>
        <w:rPr/>
        <w:t>有利于药物吸收</w:t>
      </w:r>
      <w:r>
        <w:rPr>
          <w:spacing w:val="-27"/>
        </w:rPr>
        <w:t>；</w:t>
      </w:r>
      <w:r>
        <w:rPr/>
        <w:t>另一方面又因吸收面积减少</w:t>
      </w:r>
      <w:r>
        <w:rPr>
          <w:spacing w:val="-27"/>
        </w:rPr>
        <w:t>、</w:t>
      </w:r>
      <w:r>
        <w:rPr/>
        <w:t>内脏血流量降低</w:t>
      </w:r>
      <w:r>
        <w:rPr>
          <w:spacing w:val="-27"/>
        </w:rPr>
        <w:t>，</w:t>
      </w:r>
      <w:r>
        <w:rPr/>
        <w:t>而不利于药物的吸收</w:t>
      </w:r>
      <w:r>
        <w:rPr>
          <w:spacing w:val="-27"/>
        </w:rPr>
        <w:t>。</w:t>
      </w:r>
      <w:r>
        <w:rPr/>
        <w:t>对于通过主动转运吸收的药</w:t>
      </w:r>
      <w:r>
        <w:rPr>
          <w:spacing w:val="-32"/>
        </w:rPr>
        <w:t>物</w:t>
      </w:r>
      <w:r>
        <w:rPr/>
        <w:t>（如维生素</w:t>
      </w:r>
      <w:r>
        <w:rPr>
          <w:spacing w:val="-60"/>
        </w:rPr>
        <w:t> </w:t>
      </w:r>
      <w:r>
        <w:rPr/>
        <w:t>B</w:t>
      </w:r>
      <w:r>
        <w:rPr>
          <w:spacing w:val="-32"/>
        </w:rPr>
        <w:t>、</w:t>
      </w:r>
      <w:r>
        <w:rPr/>
        <w:t>维生素</w:t>
      </w:r>
      <w:r>
        <w:rPr>
          <w:spacing w:val="-60"/>
        </w:rPr>
        <w:t> </w:t>
      </w:r>
      <w:r>
        <w:rPr/>
        <w:t>B</w:t>
      </w:r>
      <w:r>
        <w:rPr>
          <w:spacing w:val="-32"/>
        </w:rPr>
        <w:t>、</w:t>
      </w:r>
      <w:r>
        <w:rPr/>
        <w:t>维生素</w:t>
      </w:r>
      <w:r>
        <w:rPr>
          <w:spacing w:val="-60"/>
        </w:rPr>
        <w:t> </w:t>
      </w:r>
      <w:r>
        <w:rPr/>
        <w:t>B</w:t>
      </w:r>
      <w:r>
        <w:rPr>
          <w:spacing w:val="-32"/>
        </w:rPr>
        <w:t>、</w:t>
      </w:r>
      <w:r>
        <w:rPr/>
        <w:t>维生素</w:t>
      </w:r>
      <w:r>
        <w:rPr>
          <w:spacing w:val="-60"/>
        </w:rPr>
        <w:t> </w:t>
      </w:r>
      <w:r>
        <w:rPr/>
        <w:t>C</w:t>
      </w:r>
      <w:r>
        <w:rPr>
          <w:spacing w:val="-32"/>
        </w:rPr>
        <w:t>、</w:t>
      </w:r>
      <w:r>
        <w:rPr/>
        <w:t>铁剂</w:t>
      </w:r>
      <w:r>
        <w:rPr>
          <w:spacing w:val="-32"/>
        </w:rPr>
        <w:t>、</w:t>
      </w:r>
      <w:r>
        <w:rPr/>
        <w:t>钙剂等</w:t>
      </w:r>
      <w:r>
        <w:rPr>
          <w:spacing w:val="-32"/>
        </w:rPr>
        <w:t>）</w:t>
      </w:r>
      <w:r>
        <w:rPr/>
        <w:t>来说</w:t>
      </w:r>
      <w:r>
        <w:rPr>
          <w:spacing w:val="-11"/>
        </w:rPr>
        <w:t>， </w:t>
      </w:r>
      <w:r>
        <w:rPr/>
        <w:t>因需要载体参与吸收而导致吸收减少。</w:t>
      </w:r>
    </w:p>
    <w:p>
      <w:pPr>
        <w:pStyle w:val="BodyText"/>
        <w:tabs>
          <w:tab w:pos="2137" w:val="left" w:leader="none"/>
        </w:tabs>
        <w:spacing w:line="297" w:lineRule="auto"/>
        <w:ind w:right="472" w:firstLine="480"/>
      </w:pPr>
      <w:r>
        <w:rPr/>
        <w:t>药物的分布</w:t>
        <w:tab/>
        <w:t>老年人体内脂肪组织随年龄增长而增加，总体液及非脂肪组织则逐渐减少</w:t>
      </w:r>
      <w:r>
        <w:rPr>
          <w:spacing w:val="-27"/>
        </w:rPr>
        <w:t>；</w:t>
      </w:r>
      <w:r>
        <w:rPr/>
        <w:t>老年人血浆白蛋白浓度降低</w:t>
      </w:r>
      <w:r>
        <w:rPr>
          <w:spacing w:val="-27"/>
        </w:rPr>
        <w:t>，</w:t>
      </w:r>
      <w:r>
        <w:rPr/>
        <w:t>会使药物蛋白结合率下降</w:t>
      </w:r>
      <w:r>
        <w:rPr>
          <w:spacing w:val="-27"/>
        </w:rPr>
        <w:t>，</w:t>
      </w:r>
      <w:r>
        <w:rPr/>
        <w:t>导致游离药物浓度增加</w:t>
      </w:r>
      <w:r>
        <w:rPr>
          <w:spacing w:val="-27"/>
        </w:rPr>
        <w:t>，</w:t>
      </w:r>
      <w:r>
        <w:rPr/>
        <w:t>作</w:t>
      </w:r>
      <w:r>
        <w:rPr>
          <w:spacing w:val="-15"/>
        </w:rPr>
        <w:t>用</w:t>
      </w:r>
      <w:r>
        <w:rPr/>
        <w:t>增强。</w:t>
      </w:r>
    </w:p>
    <w:p>
      <w:pPr>
        <w:pStyle w:val="BodyText"/>
        <w:spacing w:line="297" w:lineRule="auto"/>
        <w:ind w:right="469" w:firstLine="480"/>
        <w:jc w:val="both"/>
      </w:pPr>
      <w:r>
        <w:rPr>
          <w:spacing w:val="-4"/>
        </w:rPr>
        <w:t>药物的代谢 肝脏是药物代谢的主要器官，老年人肝血流量减少，功能性肝细胞数量减</w:t>
      </w:r>
      <w:r>
        <w:rPr>
          <w:spacing w:val="-11"/>
        </w:rPr>
        <w:t>少，肝微粒体酶系的活性降低，使老年人肝脏代谢药物能力下降，药物血浆半衰期延长，因</w:t>
      </w:r>
      <w:r>
        <w:rPr/>
        <w:t>此老年人给药剂量更应强调个体化。</w:t>
      </w:r>
    </w:p>
    <w:p>
      <w:pPr>
        <w:pStyle w:val="BodyText"/>
        <w:spacing w:line="295" w:lineRule="auto"/>
        <w:ind w:left="697" w:right="367"/>
        <w:jc w:val="both"/>
        <w:rPr>
          <w:b/>
        </w:rPr>
      </w:pPr>
      <w:r>
        <w:rPr/>
        <w:t>药物的排泄 肾功能随年龄增长而减退，老年人常见的慢性疾病也会对肾脏造成损伤。</w:t>
      </w:r>
      <w:r>
        <w:rPr>
          <w:b/>
        </w:rPr>
        <w:t>老年人患病特点</w:t>
      </w:r>
    </w:p>
    <w:p>
      <w:pPr>
        <w:pStyle w:val="BodyText"/>
        <w:spacing w:line="295" w:lineRule="auto"/>
        <w:ind w:right="467" w:firstLine="480"/>
      </w:pPr>
      <w:r>
        <w:rPr>
          <w:spacing w:val="-12"/>
        </w:rPr>
        <w:t>起病隐匿，老年人体征和症状通常表现不典型，对环境的适应能力及各种致病因素的抵</w:t>
      </w:r>
      <w:r>
        <w:rPr/>
        <w:t>抗力均减弱，故易发病；多种疾病同时存在；病情进展快。</w:t>
      </w:r>
    </w:p>
    <w:p>
      <w:pPr>
        <w:pStyle w:val="Heading4"/>
        <w:spacing w:line="305" w:lineRule="exact"/>
        <w:ind w:left="697"/>
      </w:pPr>
      <w:r>
        <w:rPr/>
        <w:t>老年人用药注意事项</w:t>
      </w:r>
    </w:p>
    <w:p>
      <w:pPr>
        <w:pStyle w:val="BodyText"/>
        <w:spacing w:line="442" w:lineRule="exact"/>
        <w:ind w:left="697"/>
        <w:rPr>
          <w:rFonts w:ascii="微软雅黑" w:eastAsia="微软雅黑" w:hint="eastAsia"/>
          <w:b/>
        </w:rPr>
      </w:pPr>
      <w:r>
        <w:rPr>
          <w:w w:val="105"/>
        </w:rPr>
        <w:t>老年人要合理选择药物、避免多重用药，且应选择适当的剂量及疗程。</w:t>
      </w:r>
      <w:r>
        <w:rPr>
          <w:rFonts w:ascii="微软雅黑" w:eastAsia="微软雅黑" w:hint="eastAsia"/>
          <w:b/>
          <w:color w:val="0033CC"/>
          <w:w w:val="105"/>
        </w:rPr>
        <w:t>[</w:t>
      </w:r>
      <w:r>
        <w:rPr>
          <w:rFonts w:ascii="Microsoft JhengHei" w:eastAsia="Microsoft JhengHei" w:hint="eastAsia"/>
          <w:b/>
          <w:color w:val="0033CC"/>
          <w:w w:val="105"/>
        </w:rPr>
        <w:t>返回目次</w:t>
      </w:r>
      <w:r>
        <w:rPr>
          <w:rFonts w:ascii="微软雅黑" w:eastAsia="微软雅黑" w:hint="eastAsia"/>
          <w:b/>
          <w:color w:val="0033CC"/>
          <w:w w:val="105"/>
        </w:rPr>
        <w:t>]</w:t>
      </w:r>
    </w:p>
    <w:p>
      <w:pPr>
        <w:pStyle w:val="BodyText"/>
        <w:spacing w:before="17"/>
        <w:ind w:left="0"/>
        <w:rPr>
          <w:rFonts w:ascii="微软雅黑"/>
          <w:b/>
          <w:sz w:val="12"/>
        </w:rPr>
      </w:pPr>
    </w:p>
    <w:p>
      <w:pPr>
        <w:pStyle w:val="Heading2"/>
        <w:ind w:left="267"/>
        <w:jc w:val="both"/>
      </w:pPr>
      <w:bookmarkStart w:name="_TOC_250010" w:id="21"/>
      <w:bookmarkEnd w:id="21"/>
      <w:r>
        <w:rPr>
          <w:w w:val="90"/>
        </w:rPr>
        <w:t>口干是因为上火？NO！罪魁祸首是 ta！“完败”口干，这些招儿，好使！</w:t>
      </w:r>
    </w:p>
    <w:p>
      <w:pPr>
        <w:pStyle w:val="BodyText"/>
        <w:spacing w:before="5"/>
        <w:ind w:left="0"/>
        <w:rPr>
          <w:b/>
          <w:sz w:val="18"/>
        </w:rPr>
      </w:pPr>
    </w:p>
    <w:p>
      <w:pPr>
        <w:pStyle w:val="Heading4"/>
        <w:spacing w:before="66"/>
        <w:ind w:left="6340"/>
        <w:rPr>
          <w:rFonts w:ascii="楷体" w:eastAsia="楷体" w:hint="eastAsia"/>
        </w:rPr>
      </w:pPr>
      <w:r>
        <w:rPr>
          <w:rFonts w:ascii="楷体" w:eastAsia="楷体" w:hint="eastAsia"/>
          <w:color w:val="FF0000"/>
        </w:rPr>
        <w:t>（来源：药葫芦娃微信公众号）</w:t>
      </w:r>
    </w:p>
    <w:p>
      <w:pPr>
        <w:pStyle w:val="BodyText"/>
        <w:spacing w:before="91"/>
        <w:ind w:left="699"/>
      </w:pPr>
      <w:r>
        <w:rPr>
          <w:w w:val="120"/>
        </w:rPr>
        <w:t>问：我口干„„</w:t>
      </w:r>
    </w:p>
    <w:p>
      <w:pPr>
        <w:pStyle w:val="BodyText"/>
        <w:spacing w:line="288" w:lineRule="auto" w:before="62"/>
        <w:ind w:left="699" w:right="5884"/>
      </w:pPr>
      <w:r>
        <w:rPr/>
        <w:t>答：上火了吧？是不是喝水少了？ 对不起，你以为的可能是错的！</w:t>
      </w:r>
    </w:p>
    <w:p>
      <w:pPr>
        <w:pStyle w:val="BodyText"/>
        <w:spacing w:before="1"/>
        <w:ind w:left="699"/>
      </w:pPr>
      <w:r>
        <w:rPr/>
        <w:t>66 岁的张大爷，1 个月前被诊断为肺癌晚期。他最近出现口干、饮水量增多（约</w:t>
      </w:r>
    </w:p>
    <w:p>
      <w:pPr>
        <w:pStyle w:val="BodyText"/>
        <w:spacing w:before="62"/>
      </w:pPr>
      <w:r>
        <w:rPr/>
        <w:t>1500~2200ml/天）、尿量增多（约 2200ml/天）、夜尿频繁（6~8 次/晚）的症状。</w:t>
      </w:r>
    </w:p>
    <w:p>
      <w:pPr>
        <w:pStyle w:val="BodyText"/>
        <w:spacing w:line="288" w:lineRule="auto" w:before="65"/>
        <w:ind w:right="470" w:firstLine="482"/>
      </w:pPr>
      <w:r>
        <w:rPr>
          <w:spacing w:val="-11"/>
        </w:rPr>
        <w:t>众所周知，癌症晚期患者在疾病发展和治疗过程中，往往要经历治疗或疾病本身引起的</w:t>
      </w:r>
      <w:r>
        <w:rPr/>
        <w:t>多种伴随症状，而口干是出现频率较高的症状之一。</w:t>
      </w:r>
    </w:p>
    <w:p>
      <w:pPr>
        <w:pStyle w:val="BodyText"/>
        <w:spacing w:line="288" w:lineRule="auto" w:before="1"/>
        <w:ind w:right="468" w:firstLine="482"/>
      </w:pPr>
      <w:r>
        <w:rPr>
          <w:b/>
        </w:rPr>
        <w:t>口干症</w:t>
      </w:r>
      <w:r>
        <w:rPr>
          <w:spacing w:val="-6"/>
        </w:rPr>
        <w:t>是由多种因素引起的常见口腔症状，其发病率约为 </w:t>
      </w:r>
      <w:r>
        <w:rPr>
          <w:spacing w:val="-3"/>
        </w:rPr>
        <w:t>5.5％～46％</w:t>
      </w:r>
      <w:r>
        <w:rPr>
          <w:spacing w:val="-4"/>
        </w:rPr>
        <w:t>，且患病率随年</w:t>
      </w:r>
      <w:r>
        <w:rPr/>
        <w:t>龄增长而增加。</w:t>
      </w:r>
    </w:p>
    <w:p>
      <w:pPr>
        <w:spacing w:after="0" w:line="288" w:lineRule="auto"/>
        <w:sectPr>
          <w:pgSz w:w="11910" w:h="16850"/>
          <w:pgMar w:header="906" w:footer="607" w:top="1100" w:bottom="800" w:left="1060" w:right="660"/>
        </w:sectPr>
      </w:pPr>
    </w:p>
    <w:p>
      <w:pPr>
        <w:pStyle w:val="BodyText"/>
        <w:spacing w:line="288" w:lineRule="auto" w:before="57"/>
        <w:ind w:right="467" w:firstLine="482"/>
      </w:pPr>
      <w:r>
        <w:rPr>
          <w:spacing w:val="-17"/>
        </w:rPr>
        <w:t>在大于 </w:t>
      </w:r>
      <w:r>
        <w:rPr/>
        <w:t>65</w:t>
      </w:r>
      <w:r>
        <w:rPr>
          <w:spacing w:val="-13"/>
        </w:rPr>
        <w:t> 岁的老龄人群中，口干症患者的比例约为 </w:t>
      </w:r>
      <w:r>
        <w:rPr/>
        <w:t>30％～40％</w:t>
      </w:r>
      <w:r>
        <w:rPr>
          <w:spacing w:val="-5"/>
        </w:rPr>
        <w:t>，绝经女性、老年人和</w:t>
      </w:r>
      <w:r>
        <w:rPr/>
        <w:t>癌症晚期患者患病率更高。</w:t>
      </w:r>
    </w:p>
    <w:p>
      <w:pPr>
        <w:pStyle w:val="Heading4"/>
        <w:spacing w:before="2"/>
      </w:pPr>
      <w:r>
        <w:rPr/>
        <w:t>如何判断患者是否患上口干症？</w:t>
      </w:r>
    </w:p>
    <w:p>
      <w:pPr>
        <w:pStyle w:val="BodyText"/>
        <w:spacing w:line="288" w:lineRule="auto" w:before="62"/>
        <w:ind w:right="470" w:firstLine="482"/>
      </w:pPr>
      <w:r>
        <w:rPr>
          <w:spacing w:val="-11"/>
        </w:rPr>
        <w:t>口干症是一种自觉症状，通常当唾液分泌的速率小于唾液蒸发速率和口腔黏膜吸收唾液</w:t>
      </w:r>
      <w:r>
        <w:rPr/>
        <w:t>速率之和时，患者就会感到口干。</w:t>
      </w:r>
    </w:p>
    <w:p>
      <w:pPr>
        <w:pStyle w:val="BodyText"/>
        <w:spacing w:before="4"/>
        <w:ind w:left="699"/>
      </w:pPr>
      <w:r>
        <w:rPr/>
        <w:t>只要患者有口干主诉，就可诊断为口干症。</w:t>
      </w:r>
    </w:p>
    <w:p>
      <w:pPr>
        <w:pStyle w:val="BodyText"/>
        <w:spacing w:before="62"/>
        <w:ind w:left="699"/>
      </w:pPr>
      <w:r>
        <w:rPr/>
        <w:t>有研究者认为，静息状态下唾液流速≤0.1 毫升/分（mL/min），刺激状态下唾液流速</w:t>
      </w:r>
    </w:p>
    <w:p>
      <w:pPr>
        <w:spacing w:line="288" w:lineRule="auto" w:before="62"/>
        <w:ind w:left="699" w:right="6360" w:hanging="483"/>
        <w:jc w:val="left"/>
        <w:rPr>
          <w:b/>
          <w:sz w:val="24"/>
        </w:rPr>
      </w:pPr>
      <w:r>
        <w:rPr>
          <w:sz w:val="24"/>
        </w:rPr>
        <w:t>≤1mL/min 即可被认为是口干症。</w:t>
      </w:r>
      <w:r>
        <w:rPr>
          <w:b/>
          <w:sz w:val="24"/>
        </w:rPr>
        <w:t>口干症的病因有哪些？</w:t>
      </w:r>
    </w:p>
    <w:p>
      <w:pPr>
        <w:pStyle w:val="BodyText"/>
        <w:spacing w:line="288" w:lineRule="auto" w:before="2"/>
        <w:ind w:right="467" w:firstLine="480"/>
      </w:pPr>
      <w:r>
        <w:rPr>
          <w:spacing w:val="-8"/>
        </w:rPr>
        <w:t>口干症的病因复杂多样，最常见的是药物引起的口干，其次是放疗和系统性疾病引起的</w:t>
      </w:r>
      <w:r>
        <w:rPr/>
        <w:t>口干，其他因素还包括焦虑、压力、出汗、腹泻等。</w:t>
      </w:r>
    </w:p>
    <w:p>
      <w:pPr>
        <w:pStyle w:val="Heading4"/>
        <w:numPr>
          <w:ilvl w:val="0"/>
          <w:numId w:val="5"/>
        </w:numPr>
        <w:tabs>
          <w:tab w:pos="1062" w:val="left" w:leader="none"/>
        </w:tabs>
        <w:spacing w:line="240" w:lineRule="auto" w:before="3" w:after="0"/>
        <w:ind w:left="1062" w:right="0" w:hanging="363"/>
        <w:jc w:val="left"/>
      </w:pPr>
      <w:r>
        <w:rPr/>
        <w:t>药物对唾液分泌的影响</w:t>
      </w:r>
    </w:p>
    <w:p>
      <w:pPr>
        <w:pStyle w:val="BodyText"/>
        <w:spacing w:before="62"/>
        <w:ind w:left="699"/>
      </w:pPr>
      <w:r>
        <w:rPr/>
        <w:t>临床上最常见的口干现象是服用各种药物引起的医源性口干。</w:t>
      </w:r>
    </w:p>
    <w:p>
      <w:pPr>
        <w:pStyle w:val="ListParagraph"/>
        <w:numPr>
          <w:ilvl w:val="1"/>
          <w:numId w:val="5"/>
        </w:numPr>
        <w:tabs>
          <w:tab w:pos="1180" w:val="left" w:leader="none"/>
        </w:tabs>
        <w:spacing w:line="240" w:lineRule="auto" w:before="62" w:after="0"/>
        <w:ind w:left="1179" w:right="0" w:hanging="481"/>
        <w:jc w:val="left"/>
        <w:rPr>
          <w:sz w:val="24"/>
        </w:rPr>
      </w:pPr>
      <w:r>
        <w:rPr>
          <w:sz w:val="24"/>
        </w:rPr>
        <w:t>抗胆碱能药物</w:t>
      </w:r>
    </w:p>
    <w:p>
      <w:pPr>
        <w:pStyle w:val="BodyText"/>
        <w:spacing w:line="288" w:lineRule="auto" w:before="62"/>
        <w:ind w:right="472" w:firstLine="482"/>
      </w:pPr>
      <w:r>
        <w:rPr>
          <w:spacing w:val="-7"/>
        </w:rPr>
        <w:t>该类药物与乙酰胆碱竞争受体，能与胆碱受体高度亲和，但其没有内在活性，从而阻碍</w:t>
      </w:r>
      <w:r>
        <w:rPr/>
        <w:t>了受体所在效应细胞的生物学活性。</w:t>
      </w:r>
    </w:p>
    <w:p>
      <w:pPr>
        <w:pStyle w:val="BodyText"/>
        <w:spacing w:line="290" w:lineRule="auto" w:before="2"/>
        <w:ind w:right="469" w:firstLine="482"/>
      </w:pPr>
      <w:r>
        <w:rPr>
          <w:spacing w:val="-12"/>
        </w:rPr>
        <w:t>如阿托品、东莨菪碱、山莨菪碱等 </w:t>
      </w:r>
      <w:r>
        <w:rPr/>
        <w:t>M</w:t>
      </w:r>
      <w:r>
        <w:rPr>
          <w:spacing w:val="-12"/>
        </w:rPr>
        <w:t> 受体阻断剂，会与乙酰胆碱争夺受体，从而抑制涎</w:t>
      </w:r>
      <w:r>
        <w:rPr/>
        <w:t>腺的分泌功能而导致口干。</w:t>
      </w:r>
    </w:p>
    <w:p>
      <w:pPr>
        <w:pStyle w:val="ListParagraph"/>
        <w:numPr>
          <w:ilvl w:val="1"/>
          <w:numId w:val="5"/>
        </w:numPr>
        <w:tabs>
          <w:tab w:pos="1180" w:val="left" w:leader="none"/>
        </w:tabs>
        <w:spacing w:line="305" w:lineRule="exact" w:before="0" w:after="0"/>
        <w:ind w:left="1179" w:right="0" w:hanging="481"/>
        <w:jc w:val="left"/>
        <w:rPr>
          <w:sz w:val="24"/>
        </w:rPr>
      </w:pPr>
      <w:r>
        <w:rPr>
          <w:sz w:val="24"/>
        </w:rPr>
        <w:t>抗焦虑药、抗抑郁药和治疗精神病的药物</w:t>
      </w:r>
    </w:p>
    <w:p>
      <w:pPr>
        <w:pStyle w:val="BodyText"/>
        <w:spacing w:line="288" w:lineRule="auto" w:before="62"/>
        <w:ind w:right="350" w:firstLine="482"/>
      </w:pPr>
      <w:r>
        <w:rPr>
          <w:spacing w:val="-13"/>
        </w:rPr>
        <w:t>此类药物均有口干的副作用，如阿普唑仑、阿米替林、氯氮平，特别是三环类抗抑郁药， </w:t>
      </w:r>
      <w:r>
        <w:rPr/>
        <w:t>由于具有类似阿托品的作用而引起口干。</w:t>
      </w:r>
    </w:p>
    <w:p>
      <w:pPr>
        <w:pStyle w:val="ListParagraph"/>
        <w:numPr>
          <w:ilvl w:val="1"/>
          <w:numId w:val="5"/>
        </w:numPr>
        <w:tabs>
          <w:tab w:pos="1180" w:val="left" w:leader="none"/>
        </w:tabs>
        <w:spacing w:line="240" w:lineRule="auto" w:before="1" w:after="0"/>
        <w:ind w:left="1179" w:right="0" w:hanging="481"/>
        <w:jc w:val="left"/>
        <w:rPr>
          <w:sz w:val="24"/>
        </w:rPr>
      </w:pPr>
      <w:r>
        <w:rPr>
          <w:sz w:val="24"/>
        </w:rPr>
        <w:t>抗高血压药物</w:t>
      </w:r>
    </w:p>
    <w:p>
      <w:pPr>
        <w:pStyle w:val="BodyText"/>
        <w:spacing w:line="290" w:lineRule="auto" w:before="62"/>
        <w:ind w:right="469" w:firstLine="482"/>
      </w:pPr>
      <w:r>
        <w:rPr>
          <w:spacing w:val="-12"/>
        </w:rPr>
        <w:t>如利血平、甲基多巴、可乐定等，由于它们可以通过抑制唾液腺的交感神经传递，干扰</w:t>
      </w:r>
      <w:r>
        <w:rPr/>
        <w:t>唾液腺的分泌，因此也都能造成明显的口干。</w:t>
      </w:r>
    </w:p>
    <w:p>
      <w:pPr>
        <w:pStyle w:val="ListParagraph"/>
        <w:numPr>
          <w:ilvl w:val="1"/>
          <w:numId w:val="5"/>
        </w:numPr>
        <w:tabs>
          <w:tab w:pos="1180" w:val="left" w:leader="none"/>
        </w:tabs>
        <w:spacing w:line="305" w:lineRule="exact" w:before="0" w:after="0"/>
        <w:ind w:left="1179" w:right="0" w:hanging="481"/>
        <w:jc w:val="left"/>
        <w:rPr>
          <w:sz w:val="24"/>
        </w:rPr>
      </w:pPr>
      <w:r>
        <w:rPr>
          <w:rFonts w:ascii="Arial" w:hAnsi="Arial" w:eastAsia="Arial"/>
          <w:sz w:val="24"/>
        </w:rPr>
        <w:t>α</w:t>
      </w:r>
      <w:r>
        <w:rPr>
          <w:rFonts w:ascii="Arial" w:hAnsi="Arial" w:eastAsia="Arial"/>
          <w:spacing w:val="33"/>
          <w:sz w:val="24"/>
        </w:rPr>
        <w:t> </w:t>
      </w:r>
      <w:r>
        <w:rPr>
          <w:sz w:val="24"/>
        </w:rPr>
        <w:t>受体和</w:t>
      </w:r>
      <w:r>
        <w:rPr>
          <w:rFonts w:ascii="Arial" w:hAnsi="Arial" w:eastAsia="Arial"/>
          <w:sz w:val="24"/>
        </w:rPr>
        <w:t>β</w:t>
      </w:r>
      <w:r>
        <w:rPr>
          <w:rFonts w:ascii="Arial" w:hAnsi="Arial" w:eastAsia="Arial"/>
          <w:spacing w:val="35"/>
          <w:sz w:val="24"/>
        </w:rPr>
        <w:t> </w:t>
      </w:r>
      <w:r>
        <w:rPr>
          <w:sz w:val="24"/>
        </w:rPr>
        <w:t>受体阻滞剂</w:t>
      </w:r>
    </w:p>
    <w:p>
      <w:pPr>
        <w:pStyle w:val="BodyText"/>
        <w:spacing w:before="62"/>
        <w:ind w:left="699"/>
      </w:pPr>
      <w:r>
        <w:rPr/>
        <w:t>酚妥拉明和普萘洛尔分别选择性阻断上述两种受体，干扰唾液腺分泌，引起口干。</w:t>
      </w:r>
    </w:p>
    <w:p>
      <w:pPr>
        <w:pStyle w:val="ListParagraph"/>
        <w:numPr>
          <w:ilvl w:val="1"/>
          <w:numId w:val="5"/>
        </w:numPr>
        <w:tabs>
          <w:tab w:pos="1180" w:val="left" w:leader="none"/>
        </w:tabs>
        <w:spacing w:line="240" w:lineRule="auto" w:before="63" w:after="0"/>
        <w:ind w:left="1179" w:right="0" w:hanging="481"/>
        <w:jc w:val="left"/>
        <w:rPr>
          <w:sz w:val="24"/>
        </w:rPr>
      </w:pPr>
      <w:r>
        <w:rPr>
          <w:sz w:val="24"/>
        </w:rPr>
        <w:t>其他药物</w:t>
      </w:r>
    </w:p>
    <w:p>
      <w:pPr>
        <w:pStyle w:val="BodyText"/>
        <w:spacing w:line="288" w:lineRule="auto" w:before="62"/>
        <w:ind w:right="468" w:firstLine="482"/>
      </w:pPr>
      <w:r>
        <w:rPr>
          <w:spacing w:val="-8"/>
        </w:rPr>
        <w:t>如抗副交感神经类药物、抗甲亢药物、镇定剂、利尿剂、降糖药、非甾体类抗炎药物等</w:t>
      </w:r>
      <w:r>
        <w:rPr/>
        <w:t>均可引起口干。</w:t>
      </w:r>
    </w:p>
    <w:p>
      <w:pPr>
        <w:pStyle w:val="BodyText"/>
        <w:spacing w:before="4"/>
        <w:ind w:left="699"/>
      </w:pPr>
      <w:r>
        <w:rPr/>
        <w:t>部分中草药甚至食用性植物如辣椒、大蒜、银杏、大荨麻和蒲公英等也可引起口干。</w:t>
      </w:r>
    </w:p>
    <w:p>
      <w:pPr>
        <w:pStyle w:val="Heading4"/>
        <w:numPr>
          <w:ilvl w:val="0"/>
          <w:numId w:val="5"/>
        </w:numPr>
        <w:tabs>
          <w:tab w:pos="1062" w:val="left" w:leader="none"/>
        </w:tabs>
        <w:spacing w:line="240" w:lineRule="auto" w:before="62" w:after="0"/>
        <w:ind w:left="1062" w:right="0" w:hanging="363"/>
        <w:jc w:val="left"/>
      </w:pPr>
      <w:r>
        <w:rPr/>
        <w:t>放疗</w:t>
      </w:r>
    </w:p>
    <w:p>
      <w:pPr>
        <w:pStyle w:val="BodyText"/>
        <w:spacing w:before="62"/>
        <w:ind w:left="699"/>
      </w:pPr>
      <w:r>
        <w:rPr/>
        <w:t>由头颈部放疗导致的口干症也很常见。</w:t>
      </w:r>
    </w:p>
    <w:p>
      <w:pPr>
        <w:pStyle w:val="BodyText"/>
        <w:spacing w:before="62"/>
        <w:ind w:left="699"/>
      </w:pPr>
      <w:r>
        <w:rPr/>
        <w:t>相关调查发现，放疗患者中有 80％的患者会出现不同程度的口干。</w:t>
      </w:r>
    </w:p>
    <w:p>
      <w:pPr>
        <w:pStyle w:val="Heading4"/>
        <w:numPr>
          <w:ilvl w:val="0"/>
          <w:numId w:val="5"/>
        </w:numPr>
        <w:tabs>
          <w:tab w:pos="1062" w:val="left" w:leader="none"/>
        </w:tabs>
        <w:spacing w:line="240" w:lineRule="auto" w:before="62" w:after="0"/>
        <w:ind w:left="1062" w:right="0" w:hanging="363"/>
        <w:jc w:val="left"/>
      </w:pPr>
      <w:r>
        <w:rPr/>
        <w:t>精神因素</w:t>
      </w:r>
    </w:p>
    <w:p>
      <w:pPr>
        <w:pStyle w:val="BodyText"/>
        <w:spacing w:line="290" w:lineRule="auto" w:before="62"/>
        <w:ind w:right="469" w:firstLine="482"/>
      </w:pPr>
      <w:r>
        <w:rPr>
          <w:spacing w:val="-8"/>
        </w:rPr>
        <w:t>癌症晚期患者常常伴随抑郁、焦虑、恐惧等情绪，这些不良情绪都会引起口干症。有抑</w:t>
      </w:r>
      <w:r>
        <w:rPr/>
        <w:t>郁情绪的患者更容易产生口干。</w:t>
      </w:r>
    </w:p>
    <w:p>
      <w:pPr>
        <w:pStyle w:val="Heading4"/>
        <w:spacing w:line="288" w:lineRule="auto"/>
        <w:ind w:right="7558"/>
      </w:pPr>
      <w:r>
        <w:rPr/>
        <w:t>口干症怎么治疗？ 药物治疗</w:t>
      </w:r>
    </w:p>
    <w:p>
      <w:pPr>
        <w:pStyle w:val="ListParagraph"/>
        <w:numPr>
          <w:ilvl w:val="0"/>
          <w:numId w:val="6"/>
        </w:numPr>
        <w:tabs>
          <w:tab w:pos="941" w:val="left" w:leader="none"/>
        </w:tabs>
        <w:spacing w:line="240" w:lineRule="auto" w:before="0" w:after="0"/>
        <w:ind w:left="940" w:right="0" w:hanging="242"/>
        <w:jc w:val="left"/>
        <w:rPr>
          <w:b/>
          <w:sz w:val="24"/>
        </w:rPr>
      </w:pPr>
      <w:r>
        <w:rPr>
          <w:b/>
          <w:sz w:val="24"/>
        </w:rPr>
        <w:t>毛果芸香碱</w:t>
      </w:r>
    </w:p>
    <w:p>
      <w:pPr>
        <w:spacing w:after="0" w:line="240" w:lineRule="auto"/>
        <w:jc w:val="left"/>
        <w:rPr>
          <w:sz w:val="24"/>
        </w:rPr>
        <w:sectPr>
          <w:pgSz w:w="11910" w:h="16850"/>
          <w:pgMar w:header="906" w:footer="607" w:top="1100" w:bottom="800" w:left="1060" w:right="660"/>
        </w:sectPr>
      </w:pPr>
    </w:p>
    <w:p>
      <w:pPr>
        <w:pStyle w:val="BodyText"/>
        <w:spacing w:line="288" w:lineRule="auto" w:before="57"/>
        <w:ind w:right="467" w:firstLine="482"/>
        <w:jc w:val="both"/>
      </w:pPr>
      <w:r>
        <w:rPr/>
        <w:t>毛果芸香碱是毛果芸香属植物的叶子中提取的生物碱，是美国食品药品管理局（FDA） </w:t>
      </w:r>
      <w:r>
        <w:rPr>
          <w:spacing w:val="-10"/>
        </w:rPr>
        <w:t>认可的两种药物之一，主要作用于 </w:t>
      </w:r>
      <w:r>
        <w:rPr/>
        <w:t>M</w:t>
      </w:r>
      <w:r>
        <w:rPr>
          <w:spacing w:val="-12"/>
        </w:rPr>
        <w:t> 型胆碱受体，对唾液腺和汗腺的分泌具有很强的促进作</w:t>
      </w:r>
      <w:r>
        <w:rPr/>
        <w:t>用，被批准用于干燥综合征和放疗引起的口干症。</w:t>
      </w:r>
    </w:p>
    <w:p>
      <w:pPr>
        <w:pStyle w:val="BodyText"/>
        <w:spacing w:before="2"/>
        <w:ind w:left="699"/>
      </w:pPr>
      <w:r>
        <w:rPr/>
        <w:t>毛果芸香碱既可促进正常人的唾液分泌，也可促进患有唾液腺功能损伤患者的唾液分</w:t>
      </w:r>
    </w:p>
    <w:p>
      <w:pPr>
        <w:pStyle w:val="BodyText"/>
        <w:spacing w:before="63"/>
      </w:pPr>
      <w:r>
        <w:rPr/>
        <w:t>泌。</w:t>
      </w:r>
    </w:p>
    <w:p>
      <w:pPr>
        <w:pStyle w:val="Heading4"/>
        <w:numPr>
          <w:ilvl w:val="0"/>
          <w:numId w:val="6"/>
        </w:numPr>
        <w:tabs>
          <w:tab w:pos="941" w:val="left" w:leader="none"/>
        </w:tabs>
        <w:spacing w:line="240" w:lineRule="auto" w:before="64" w:after="0"/>
        <w:ind w:left="940" w:right="0" w:hanging="242"/>
        <w:jc w:val="left"/>
      </w:pPr>
      <w:r>
        <w:rPr/>
        <w:t>西维美林</w:t>
      </w:r>
    </w:p>
    <w:p>
      <w:pPr>
        <w:pStyle w:val="BodyText"/>
        <w:spacing w:before="62"/>
        <w:ind w:left="699"/>
      </w:pPr>
      <w:r>
        <w:rPr/>
        <w:t>西维美林是 FDA 认可的两种药物之一。其可促进外分泌腺（如唾液腺、汗腺）的分泌，</w:t>
      </w:r>
    </w:p>
    <w:p>
      <w:pPr>
        <w:pStyle w:val="BodyText"/>
        <w:spacing w:before="62"/>
      </w:pPr>
      <w:r>
        <w:rPr/>
        <w:t>药理作用与毛果芸香碱相似。</w:t>
      </w:r>
    </w:p>
    <w:p>
      <w:pPr>
        <w:pStyle w:val="BodyText"/>
        <w:spacing w:before="62"/>
        <w:ind w:left="699"/>
      </w:pPr>
      <w:r>
        <w:rPr/>
        <w:t>它与毒蕈碱受体 M3 亚型具有高度特异性亲和力。</w:t>
      </w:r>
    </w:p>
    <w:p>
      <w:pPr>
        <w:pStyle w:val="BodyText"/>
        <w:spacing w:line="288" w:lineRule="auto" w:before="63"/>
        <w:ind w:right="470" w:firstLine="482"/>
      </w:pPr>
      <w:r>
        <w:rPr>
          <w:spacing w:val="-8"/>
        </w:rPr>
        <w:t>它比毛果芸香碱特异性强，作用时间长，作用强度高，不良反应小，但目前我国还没有</w:t>
      </w:r>
      <w:r>
        <w:rPr/>
        <w:t>批准此药的上市。</w:t>
      </w:r>
    </w:p>
    <w:p>
      <w:pPr>
        <w:pStyle w:val="Heading4"/>
        <w:numPr>
          <w:ilvl w:val="0"/>
          <w:numId w:val="6"/>
        </w:numPr>
        <w:tabs>
          <w:tab w:pos="941" w:val="left" w:leader="none"/>
        </w:tabs>
        <w:spacing w:line="240" w:lineRule="auto" w:before="4" w:after="0"/>
        <w:ind w:left="940" w:right="0" w:hanging="242"/>
        <w:jc w:val="left"/>
      </w:pPr>
      <w:r>
        <w:rPr/>
        <w:t>茴三硫（环戊硫酮）</w:t>
      </w:r>
    </w:p>
    <w:p>
      <w:pPr>
        <w:pStyle w:val="BodyText"/>
        <w:spacing w:before="62"/>
        <w:ind w:left="699"/>
      </w:pPr>
      <w:r>
        <w:rPr/>
        <w:t>茴三硫（环戊硫酮）是一种刺激胆汁分泌的药物，也可刺激唾液分泌。</w:t>
      </w:r>
    </w:p>
    <w:p>
      <w:pPr>
        <w:pStyle w:val="BodyText"/>
        <w:spacing w:line="288" w:lineRule="auto" w:before="62"/>
        <w:ind w:left="699" w:right="1324"/>
        <w:rPr>
          <w:b/>
        </w:rPr>
      </w:pPr>
      <w:r>
        <w:rPr/>
        <w:t>这种药物已用于治疗慢性口干症多年，但其有效性和安全性还需进一步研究。4.</w:t>
      </w:r>
      <w:r>
        <w:rPr>
          <w:b/>
        </w:rPr>
        <w:t>氨磷汀</w:t>
      </w:r>
    </w:p>
    <w:p>
      <w:pPr>
        <w:pStyle w:val="BodyText"/>
        <w:spacing w:line="288" w:lineRule="auto" w:before="1"/>
        <w:ind w:right="470" w:firstLine="482"/>
      </w:pPr>
      <w:r>
        <w:rPr>
          <w:spacing w:val="-9"/>
        </w:rPr>
        <w:t>氨磷汀是一种广谱细胞保护剂，在组织中可被细胞膜结合的碱性磷酸酶水解为自由硫羟</w:t>
      </w:r>
      <w:r>
        <w:rPr/>
        <w:t>基、对称二硫化物、半胱胺等活性代谢产物而发挥细胞保护作用。</w:t>
      </w:r>
    </w:p>
    <w:p>
      <w:pPr>
        <w:pStyle w:val="BodyText"/>
        <w:spacing w:line="288" w:lineRule="auto" w:before="4"/>
        <w:ind w:right="469" w:firstLine="482"/>
      </w:pPr>
      <w:r>
        <w:rPr>
          <w:spacing w:val="-13"/>
        </w:rPr>
        <w:t>氨磷汀是 </w:t>
      </w:r>
      <w:r>
        <w:rPr/>
        <w:t>FDA</w:t>
      </w:r>
      <w:r>
        <w:rPr>
          <w:spacing w:val="-13"/>
        </w:rPr>
        <w:t> 批准的第一个用于减轻癌症患者因放疗引致口干症的治疗药物，但由于其</w:t>
      </w:r>
      <w:r>
        <w:rPr/>
        <w:t>可降低肿瘤细胞对放疗的敏感性，因此对其应用存在争议。</w:t>
      </w:r>
    </w:p>
    <w:p>
      <w:pPr>
        <w:pStyle w:val="Heading4"/>
        <w:numPr>
          <w:ilvl w:val="0"/>
          <w:numId w:val="7"/>
        </w:numPr>
        <w:tabs>
          <w:tab w:pos="941" w:val="left" w:leader="none"/>
        </w:tabs>
        <w:spacing w:line="240" w:lineRule="auto" w:before="1" w:after="0"/>
        <w:ind w:left="940" w:right="0" w:hanging="242"/>
        <w:jc w:val="left"/>
      </w:pPr>
      <w:r>
        <w:rPr>
          <w:rFonts w:ascii="Arial" w:hAnsi="Arial" w:eastAsia="Arial"/>
        </w:rPr>
        <w:t>α</w:t>
      </w:r>
      <w:r>
        <w:rPr>
          <w:rFonts w:ascii="Arial" w:hAnsi="Arial" w:eastAsia="Arial"/>
          <w:spacing w:val="27"/>
        </w:rPr>
        <w:t> </w:t>
      </w:r>
      <w:r>
        <w:rPr/>
        <w:t>-干扰素</w:t>
      </w:r>
    </w:p>
    <w:p>
      <w:pPr>
        <w:pStyle w:val="BodyText"/>
        <w:spacing w:line="288" w:lineRule="auto" w:before="62"/>
        <w:ind w:right="350" w:firstLine="482"/>
      </w:pPr>
      <w:r>
        <w:rPr>
          <w:spacing w:val="-8"/>
        </w:rPr>
        <w:t>研究发现，每日 </w:t>
      </w:r>
      <w:r>
        <w:rPr/>
        <w:t>3</w:t>
      </w:r>
      <w:r>
        <w:rPr>
          <w:spacing w:val="-20"/>
        </w:rPr>
        <w:t> 次，每次 </w:t>
      </w:r>
      <w:r>
        <w:rPr/>
        <w:t>150IU</w:t>
      </w:r>
      <w:r>
        <w:rPr>
          <w:spacing w:val="-40"/>
        </w:rPr>
        <w:t> 的 </w:t>
      </w:r>
      <w:r>
        <w:rPr>
          <w:rFonts w:ascii="Arial" w:hAnsi="Arial" w:eastAsia="Arial"/>
        </w:rPr>
        <w:t>α </w:t>
      </w:r>
      <w:r>
        <w:rPr>
          <w:spacing w:val="-6"/>
        </w:rPr>
        <w:t>-干扰素，持续使用 </w:t>
      </w:r>
      <w:r>
        <w:rPr/>
        <w:t>12</w:t>
      </w:r>
      <w:r>
        <w:rPr>
          <w:spacing w:val="-8"/>
        </w:rPr>
        <w:t> 周，可显著增加唾液分</w:t>
      </w:r>
      <w:r>
        <w:rPr>
          <w:spacing w:val="-17"/>
        </w:rPr>
        <w:t>泌、改善口干症状，但需要进一步试验证实其安全性及有效性，并且此药价格上也较为昂贵， </w:t>
      </w:r>
      <w:r>
        <w:rPr/>
        <w:t>不推荐单独使用。</w:t>
      </w:r>
    </w:p>
    <w:p>
      <w:pPr>
        <w:pStyle w:val="Heading4"/>
        <w:numPr>
          <w:ilvl w:val="0"/>
          <w:numId w:val="7"/>
        </w:numPr>
        <w:tabs>
          <w:tab w:pos="941" w:val="left" w:leader="none"/>
        </w:tabs>
        <w:spacing w:line="240" w:lineRule="auto" w:before="5" w:after="0"/>
        <w:ind w:left="940" w:right="0" w:hanging="242"/>
        <w:jc w:val="left"/>
      </w:pPr>
      <w:r>
        <w:rPr/>
        <w:t>中药制剂</w:t>
      </w:r>
    </w:p>
    <w:p>
      <w:pPr>
        <w:spacing w:line="288" w:lineRule="auto" w:before="62"/>
        <w:ind w:left="699" w:right="2524" w:firstLine="0"/>
        <w:jc w:val="left"/>
        <w:rPr>
          <w:b/>
          <w:sz w:val="24"/>
        </w:rPr>
      </w:pPr>
      <w:r>
        <w:rPr>
          <w:spacing w:val="-1"/>
          <w:sz w:val="24"/>
        </w:rPr>
        <w:t>如六味地黄丸、芦笋胶囊、丹参制剂等，都对口干症有一定疗效。</w:t>
      </w:r>
      <w:r>
        <w:rPr>
          <w:b/>
          <w:sz w:val="24"/>
        </w:rPr>
        <w:t>对症治疗与日常护理</w:t>
      </w:r>
    </w:p>
    <w:p>
      <w:pPr>
        <w:pStyle w:val="Heading4"/>
        <w:numPr>
          <w:ilvl w:val="0"/>
          <w:numId w:val="8"/>
        </w:numPr>
        <w:tabs>
          <w:tab w:pos="941" w:val="left" w:leader="none"/>
        </w:tabs>
        <w:spacing w:line="240" w:lineRule="auto" w:before="2" w:after="0"/>
        <w:ind w:left="940" w:right="0" w:hanging="242"/>
        <w:jc w:val="left"/>
      </w:pPr>
      <w:r>
        <w:rPr/>
        <w:t>适当饮水</w:t>
      </w:r>
    </w:p>
    <w:p>
      <w:pPr>
        <w:pStyle w:val="BodyText"/>
        <w:spacing w:line="288" w:lineRule="auto" w:before="62"/>
        <w:ind w:right="470" w:firstLine="482"/>
      </w:pPr>
      <w:r>
        <w:rPr>
          <w:spacing w:val="-5"/>
        </w:rPr>
        <w:t>癌症晚期患者适当地饮水能够立即补充缺失唾液的部分功能，湿润口腔黏膜。饮水还能</w:t>
      </w:r>
      <w:r>
        <w:rPr/>
        <w:t>补充体液，发挥现存唾液腺的功能。</w:t>
      </w:r>
    </w:p>
    <w:p>
      <w:pPr>
        <w:pStyle w:val="Heading4"/>
        <w:numPr>
          <w:ilvl w:val="0"/>
          <w:numId w:val="8"/>
        </w:numPr>
        <w:tabs>
          <w:tab w:pos="941" w:val="left" w:leader="none"/>
        </w:tabs>
        <w:spacing w:line="240" w:lineRule="auto" w:before="3" w:after="0"/>
        <w:ind w:left="940" w:right="0" w:hanging="242"/>
        <w:jc w:val="left"/>
      </w:pPr>
      <w:r>
        <w:rPr/>
        <w:t>增加环境湿度</w:t>
      </w:r>
    </w:p>
    <w:p>
      <w:pPr>
        <w:pStyle w:val="BodyText"/>
        <w:spacing w:line="288" w:lineRule="auto" w:before="62"/>
        <w:ind w:left="699" w:right="3004"/>
        <w:rPr>
          <w:b/>
        </w:rPr>
      </w:pPr>
      <w:r>
        <w:rPr/>
        <w:t>增加环境的湿度对缓解癌症晚期患者的口干症状是有帮助的。3.</w:t>
      </w:r>
      <w:r>
        <w:rPr>
          <w:b/>
        </w:rPr>
        <w:t>借助外物</w:t>
      </w:r>
    </w:p>
    <w:p>
      <w:pPr>
        <w:pStyle w:val="BodyText"/>
        <w:spacing w:line="288" w:lineRule="auto" w:before="2"/>
        <w:ind w:right="470" w:firstLine="482"/>
      </w:pPr>
      <w:r>
        <w:rPr>
          <w:spacing w:val="-10"/>
        </w:rPr>
        <w:t>使用专用的漱口水、凝胶、喷雾剂、人工唾液等可以减轻不适，并替代一部分唾液的功</w:t>
      </w:r>
      <w:r>
        <w:rPr/>
        <w:t>能；也可使用柠檬酸、无糖口香糖、山梨醇、木糖醇可刺激涎腺分泌，改善口干症状。</w:t>
      </w:r>
    </w:p>
    <w:p>
      <w:pPr>
        <w:pStyle w:val="Heading4"/>
        <w:spacing w:before="1"/>
      </w:pPr>
      <w:r>
        <w:rPr/>
        <w:t>药娃温馨提示：</w:t>
      </w:r>
    </w:p>
    <w:p>
      <w:pPr>
        <w:pStyle w:val="BodyText"/>
        <w:spacing w:line="288" w:lineRule="auto" w:before="65"/>
        <w:ind w:right="470" w:firstLine="482"/>
      </w:pPr>
      <w:r>
        <w:rPr>
          <w:spacing w:val="-6"/>
        </w:rPr>
        <w:t>癌症晚期患者口干症的治疗要求对因及对症相结合，治疗措施要适当便捷。建议以预防</w:t>
      </w:r>
      <w:r>
        <w:rPr/>
        <w:t>为主，基础治疗为先。</w:t>
      </w:r>
    </w:p>
    <w:p>
      <w:pPr>
        <w:spacing w:before="13"/>
        <w:ind w:left="5932" w:right="0" w:firstLine="0"/>
        <w:jc w:val="left"/>
        <w:rPr>
          <w:rFonts w:ascii="华文楷体" w:eastAsia="华文楷体" w:hint="eastAsia"/>
          <w:sz w:val="21"/>
        </w:rPr>
      </w:pPr>
      <w:r>
        <w:rPr>
          <w:rFonts w:ascii="华文楷体" w:eastAsia="华文楷体" w:hint="eastAsia"/>
          <w:sz w:val="21"/>
        </w:rPr>
        <w:t>本文由郑州市第九人民医院徐寅鹏供稿。</w:t>
      </w:r>
    </w:p>
    <w:p>
      <w:pPr>
        <w:spacing w:after="0"/>
        <w:jc w:val="left"/>
        <w:rPr>
          <w:rFonts w:ascii="华文楷体" w:eastAsia="华文楷体" w:hint="eastAsia"/>
          <w:sz w:val="21"/>
        </w:rPr>
        <w:sectPr>
          <w:pgSz w:w="11910" w:h="16850"/>
          <w:pgMar w:header="906" w:footer="607" w:top="1100" w:bottom="800" w:left="1060" w:right="660"/>
        </w:sectPr>
      </w:pPr>
    </w:p>
    <w:p>
      <w:pPr>
        <w:pStyle w:val="Heading2"/>
        <w:spacing w:line="395" w:lineRule="exact"/>
        <w:ind w:right="249"/>
        <w:jc w:val="center"/>
      </w:pPr>
      <w:bookmarkStart w:name="_TOC_250009" w:id="22"/>
      <w:bookmarkEnd w:id="22"/>
      <w:r>
        <w:rPr/>
        <w:t>肿瘤标志物检测</w:t>
      </w:r>
    </w:p>
    <w:p>
      <w:pPr>
        <w:pStyle w:val="Heading4"/>
        <w:spacing w:before="145"/>
        <w:ind w:left="5378"/>
        <w:rPr>
          <w:rFonts w:ascii="楷体" w:eastAsia="楷体" w:hint="eastAsia"/>
        </w:rPr>
      </w:pPr>
      <w:r>
        <w:rPr>
          <w:rFonts w:ascii="楷体" w:eastAsia="楷体" w:hint="eastAsia"/>
          <w:color w:val="FF0000"/>
        </w:rPr>
        <w:t>（来源：《体检报告解读与健康指导》）</w:t>
      </w:r>
    </w:p>
    <w:p>
      <w:pPr>
        <w:pStyle w:val="BodyText"/>
        <w:spacing w:line="280" w:lineRule="auto" w:before="79"/>
        <w:ind w:right="467" w:firstLine="624"/>
        <w:jc w:val="both"/>
      </w:pPr>
      <w:r>
        <w:rPr>
          <w:spacing w:val="-3"/>
        </w:rPr>
        <w:t>肿瘤标志物是指癌细胞分泌或脱落到体液或组织中的物质，或者是患者对自身体内癌</w:t>
      </w:r>
      <w:r>
        <w:rPr>
          <w:spacing w:val="-6"/>
        </w:rPr>
        <w:t>变细胞发生反应并进入到体液或组织中的物质。这些物质有的不存在于正常人体内，只见于</w:t>
      </w:r>
      <w:r>
        <w:rPr>
          <w:spacing w:val="-10"/>
        </w:rPr>
        <w:t>胚胎时期；有的存在于正常人体内，但微量，患癌症时会超过正常值。通过对肿瘤标志物的</w:t>
      </w:r>
      <w:r>
        <w:rPr/>
        <w:t>检测，可以早期警示或辅助诊断、分析病程、指导治疗、监测复发或转移、判断预防等。</w:t>
      </w:r>
    </w:p>
    <w:p>
      <w:pPr>
        <w:pStyle w:val="Heading4"/>
        <w:spacing w:before="1"/>
      </w:pPr>
      <w:r>
        <w:rPr/>
        <w:t>甲胎蛋白（AFP）</w:t>
      </w:r>
    </w:p>
    <w:p>
      <w:pPr>
        <w:pStyle w:val="BodyText"/>
        <w:spacing w:line="280" w:lineRule="auto" w:before="53"/>
        <w:ind w:right="756" w:firstLine="482"/>
      </w:pPr>
      <w:r>
        <w:rPr/>
        <w:t>AFP</w:t>
      </w:r>
      <w:r>
        <w:rPr>
          <w:spacing w:val="-8"/>
        </w:rPr>
        <w:t> 是胚胎期肝脏和卵黄囊合成的一种糖蛋白，在正常成人血循环中含量极微</w:t>
      </w:r>
      <w:r>
        <w:rPr/>
        <w:t>（＜ 20</w:t>
      </w:r>
      <w:r>
        <w:rPr>
          <w:rFonts w:ascii="Arial" w:hAnsi="Arial" w:eastAsia="Arial"/>
        </w:rPr>
        <w:t>μ </w:t>
      </w:r>
      <w:r>
        <w:rPr/>
        <w:t>g/L）。AFP</w:t>
      </w:r>
      <w:r>
        <w:rPr>
          <w:spacing w:val="-11"/>
        </w:rPr>
        <w:t> 是诊断原发性肝癌的最佳标志物，诊断阳性率为 </w:t>
      </w:r>
      <w:r>
        <w:rPr/>
        <w:t>60%～70%</w:t>
      </w:r>
      <w:r>
        <w:rPr>
          <w:spacing w:val="-15"/>
        </w:rPr>
        <w:t>。血清 </w:t>
      </w:r>
      <w:r>
        <w:rPr>
          <w:spacing w:val="-4"/>
        </w:rPr>
        <w:t>AFP＞</w:t>
      </w:r>
    </w:p>
    <w:p>
      <w:pPr>
        <w:pStyle w:val="BodyText"/>
        <w:spacing w:line="280" w:lineRule="auto" w:before="1"/>
        <w:ind w:right="546"/>
      </w:pPr>
      <w:r>
        <w:rPr/>
        <w:t>400</w:t>
      </w:r>
      <w:r>
        <w:rPr>
          <w:rFonts w:ascii="Arial" w:hAnsi="Arial" w:eastAsia="Arial"/>
        </w:rPr>
        <w:t>μ </w:t>
      </w:r>
      <w:r>
        <w:rPr/>
        <w:t>g/L</w:t>
      </w:r>
      <w:r>
        <w:rPr>
          <w:spacing w:val="-31"/>
        </w:rPr>
        <w:t> 持续 </w:t>
      </w:r>
      <w:r>
        <w:rPr/>
        <w:t>4</w:t>
      </w:r>
      <w:r>
        <w:rPr>
          <w:spacing w:val="-30"/>
        </w:rPr>
        <w:t> 周或 </w:t>
      </w:r>
      <w:r>
        <w:rPr/>
        <w:t>200～400</w:t>
      </w:r>
      <w:r>
        <w:rPr>
          <w:rFonts w:ascii="Arial" w:hAnsi="Arial" w:eastAsia="Arial"/>
        </w:rPr>
        <w:t>μ </w:t>
      </w:r>
      <w:r>
        <w:rPr/>
        <w:t>g/L</w:t>
      </w:r>
      <w:r>
        <w:rPr>
          <w:spacing w:val="-30"/>
        </w:rPr>
        <w:t> 持续 </w:t>
      </w:r>
      <w:r>
        <w:rPr/>
        <w:t>8</w:t>
      </w:r>
      <w:r>
        <w:rPr>
          <w:spacing w:val="-9"/>
        </w:rPr>
        <w:t> 周者，结合影像检查，可作出原发性肝癌的诊</w:t>
      </w:r>
      <w:r>
        <w:rPr/>
        <w:t>断。</w:t>
      </w:r>
    </w:p>
    <w:p>
      <w:pPr>
        <w:pStyle w:val="BodyText"/>
        <w:tabs>
          <w:tab w:pos="1899" w:val="left" w:leader="none"/>
        </w:tabs>
        <w:spacing w:line="280" w:lineRule="auto"/>
        <w:ind w:right="468" w:firstLine="482"/>
      </w:pPr>
      <w:r>
        <w:rPr/>
        <w:t>检测意义</w:t>
        <w:tab/>
        <w:t>急慢性肝炎、肝硬化患者血清中</w:t>
      </w:r>
      <w:r>
        <w:rPr>
          <w:spacing w:val="-59"/>
        </w:rPr>
        <w:t> </w:t>
      </w:r>
      <w:r>
        <w:rPr/>
        <w:t>AFP</w:t>
      </w:r>
      <w:r>
        <w:rPr>
          <w:spacing w:val="-60"/>
        </w:rPr>
        <w:t> </w:t>
      </w:r>
      <w:r>
        <w:rPr/>
        <w:t>浓度可有不同程度升高，其水平常＜ 300</w:t>
      </w:r>
      <w:r>
        <w:rPr>
          <w:rFonts w:ascii="Arial" w:hAnsi="Arial" w:eastAsia="Arial"/>
        </w:rPr>
        <w:t>μ</w:t>
      </w:r>
      <w:r>
        <w:rPr>
          <w:rFonts w:ascii="Arial" w:hAnsi="Arial" w:eastAsia="Arial"/>
          <w:spacing w:val="34"/>
        </w:rPr>
        <w:t> </w:t>
      </w:r>
      <w:r>
        <w:rPr/>
        <w:t>g/L</w:t>
      </w:r>
      <w:r>
        <w:rPr>
          <w:spacing w:val="-17"/>
        </w:rPr>
        <w:t>。</w:t>
      </w:r>
      <w:r>
        <w:rPr/>
        <w:t>生殖胚胎性肿</w:t>
      </w:r>
      <w:r>
        <w:rPr>
          <w:spacing w:val="-17"/>
        </w:rPr>
        <w:t>瘤</w:t>
      </w:r>
      <w:r>
        <w:rPr/>
        <w:t>（睾丸癌</w:t>
      </w:r>
      <w:r>
        <w:rPr>
          <w:spacing w:val="-17"/>
        </w:rPr>
        <w:t>、</w:t>
      </w:r>
      <w:r>
        <w:rPr/>
        <w:t>畸胎瘤</w:t>
      </w:r>
      <w:r>
        <w:rPr>
          <w:spacing w:val="-17"/>
        </w:rPr>
        <w:t>）</w:t>
      </w:r>
      <w:r>
        <w:rPr/>
        <w:t>可见</w:t>
      </w:r>
      <w:r>
        <w:rPr>
          <w:spacing w:val="-59"/>
        </w:rPr>
        <w:t> </w:t>
      </w:r>
      <w:r>
        <w:rPr/>
        <w:t>AFP</w:t>
      </w:r>
      <w:r>
        <w:rPr>
          <w:spacing w:val="-60"/>
        </w:rPr>
        <w:t> </w:t>
      </w:r>
      <w:r>
        <w:rPr/>
        <w:t>含量升高</w:t>
      </w:r>
      <w:r>
        <w:rPr>
          <w:spacing w:val="-17"/>
        </w:rPr>
        <w:t>，</w:t>
      </w:r>
      <w:r>
        <w:rPr/>
        <w:t>先天性胆总管闭锁</w:t>
      </w:r>
      <w:r>
        <w:rPr>
          <w:spacing w:val="-17"/>
        </w:rPr>
        <w:t>、骨</w:t>
      </w:r>
      <w:r>
        <w:rPr/>
        <w:t>脊裂、少数卵巢肿瘤患者指标会升高。另外怀孕</w:t>
      </w:r>
      <w:r>
        <w:rPr>
          <w:spacing w:val="-60"/>
        </w:rPr>
        <w:t> </w:t>
      </w:r>
      <w:r>
        <w:rPr/>
        <w:t>3～5</w:t>
      </w:r>
      <w:r>
        <w:rPr>
          <w:spacing w:val="-60"/>
        </w:rPr>
        <w:t> </w:t>
      </w:r>
      <w:r>
        <w:rPr/>
        <w:t>个月时会比平常高。</w:t>
      </w:r>
    </w:p>
    <w:p>
      <w:pPr>
        <w:pStyle w:val="Heading4"/>
        <w:spacing w:before="1"/>
      </w:pPr>
      <w:r>
        <w:rPr/>
        <w:t>癌胚抗原（CEA）</w:t>
      </w:r>
    </w:p>
    <w:p>
      <w:pPr>
        <w:pStyle w:val="BodyText"/>
        <w:spacing w:line="280" w:lineRule="auto" w:before="52"/>
        <w:ind w:right="348" w:firstLine="482"/>
      </w:pPr>
      <w:r>
        <w:rPr>
          <w:spacing w:val="-2"/>
        </w:rPr>
        <w:t>癌胚抗原是从胎儿及结肠癌组织中发现的一种糖蛋白胚胎抗原，在胎儿 </w:t>
      </w:r>
      <w:r>
        <w:rPr/>
        <w:t>3～6</w:t>
      </w:r>
      <w:r>
        <w:rPr>
          <w:spacing w:val="-12"/>
        </w:rPr>
        <w:t> 个月的血</w:t>
      </w:r>
      <w:r>
        <w:rPr>
          <w:spacing w:val="-22"/>
        </w:rPr>
        <w:t>清中可以检测到，所以称作癌胚抗原。属于广谱肿瘤标志物。血清 </w:t>
      </w:r>
      <w:r>
        <w:rPr/>
        <w:t>CEA</w:t>
      </w:r>
      <w:r>
        <w:rPr>
          <w:spacing w:val="-10"/>
        </w:rPr>
        <w:t> 正常参考值</w:t>
      </w:r>
      <w:r>
        <w:rPr/>
        <w:t>＜5</w:t>
      </w:r>
      <w:r>
        <w:rPr>
          <w:rFonts w:ascii="Arial" w:hAnsi="Arial" w:eastAsia="Arial"/>
        </w:rPr>
        <w:t>μ </w:t>
      </w:r>
      <w:r>
        <w:rPr>
          <w:spacing w:val="-4"/>
        </w:rPr>
        <w:t>g/L， </w:t>
      </w:r>
      <w:r>
        <w:rPr>
          <w:spacing w:val="-1"/>
        </w:rPr>
        <w:t>但升高程度和阳性率较低。</w:t>
      </w:r>
      <w:r>
        <w:rPr/>
        <w:t>CEA</w:t>
      </w:r>
      <w:r>
        <w:rPr>
          <w:spacing w:val="-8"/>
        </w:rPr>
        <w:t> 属于黏附分子，对肺癌、原发性结肠癌、胆管癌、胃癌、胰</w:t>
      </w:r>
      <w:r>
        <w:rPr>
          <w:spacing w:val="-13"/>
        </w:rPr>
        <w:t>腺癌、卵巢癌、子宫癌、食道癌、腺癌、肺癌、乳腺癌和泌尿系统的肿瘤会呈阳性反应。部</w:t>
      </w:r>
      <w:r>
        <w:rPr>
          <w:spacing w:val="-15"/>
        </w:rPr>
        <w:t>分良性疾病如直肠息肉、结肠炎、肝硬化、肺部疾病也有不同程度的 </w:t>
      </w:r>
      <w:r>
        <w:rPr/>
        <w:t>CEA</w:t>
      </w:r>
      <w:r>
        <w:rPr>
          <w:spacing w:val="-8"/>
        </w:rPr>
        <w:t> 水平升高，血清CEA</w:t>
      </w:r>
      <w:r>
        <w:rPr>
          <w:spacing w:val="-10"/>
        </w:rPr>
        <w:t> 动态观察有助于疗效观察及复发诊断等，是多种肿瘤转移复发的重要标志。该标志物尤其对肠癌的发现很有意义。</w:t>
      </w:r>
    </w:p>
    <w:p>
      <w:pPr>
        <w:pStyle w:val="Heading4"/>
        <w:spacing w:before="2"/>
      </w:pPr>
      <w:r>
        <w:rPr/>
        <w:t>前列腺特异性抗原（PSA）</w:t>
      </w:r>
    </w:p>
    <w:p>
      <w:pPr>
        <w:pStyle w:val="BodyText"/>
        <w:spacing w:before="53"/>
        <w:ind w:left="699"/>
      </w:pPr>
      <w:r>
        <w:rPr/>
        <w:t>总前列腺特异性抗原（t-PSA）</w:t>
      </w:r>
    </w:p>
    <w:p>
      <w:pPr>
        <w:pStyle w:val="ListParagraph"/>
        <w:numPr>
          <w:ilvl w:val="0"/>
          <w:numId w:val="9"/>
        </w:numPr>
        <w:tabs>
          <w:tab w:pos="941" w:val="left" w:leader="none"/>
        </w:tabs>
        <w:spacing w:line="240" w:lineRule="auto" w:before="52" w:after="0"/>
        <w:ind w:left="940" w:right="0" w:hanging="242"/>
        <w:jc w:val="left"/>
        <w:rPr>
          <w:sz w:val="24"/>
        </w:rPr>
      </w:pPr>
      <w:r>
        <w:rPr>
          <w:sz w:val="24"/>
        </w:rPr>
        <w:t>用于早期诊断前列腺癌。</w:t>
      </w:r>
    </w:p>
    <w:p>
      <w:pPr>
        <w:pStyle w:val="ListParagraph"/>
        <w:numPr>
          <w:ilvl w:val="0"/>
          <w:numId w:val="9"/>
        </w:numPr>
        <w:tabs>
          <w:tab w:pos="941" w:val="left" w:leader="none"/>
        </w:tabs>
        <w:spacing w:line="240" w:lineRule="auto" w:before="53" w:after="0"/>
        <w:ind w:left="940" w:right="0" w:hanging="242"/>
        <w:jc w:val="left"/>
        <w:rPr>
          <w:sz w:val="24"/>
        </w:rPr>
      </w:pPr>
      <w:r>
        <w:rPr>
          <w:spacing w:val="-31"/>
          <w:sz w:val="24"/>
        </w:rPr>
        <w:t>对 </w:t>
      </w:r>
      <w:r>
        <w:rPr>
          <w:sz w:val="24"/>
        </w:rPr>
        <w:t>45</w:t>
      </w:r>
      <w:r>
        <w:rPr>
          <w:spacing w:val="-12"/>
          <w:sz w:val="24"/>
        </w:rPr>
        <w:t> 岁以上男性每年进行一次血清 </w:t>
      </w:r>
      <w:r>
        <w:rPr>
          <w:sz w:val="24"/>
        </w:rPr>
        <w:t>PSA</w:t>
      </w:r>
      <w:r>
        <w:rPr>
          <w:spacing w:val="-8"/>
          <w:sz w:val="24"/>
        </w:rPr>
        <w:t> 测定，来对前列腺癌进行早期筛选诊断。</w:t>
      </w:r>
    </w:p>
    <w:p>
      <w:pPr>
        <w:pStyle w:val="ListParagraph"/>
        <w:numPr>
          <w:ilvl w:val="0"/>
          <w:numId w:val="9"/>
        </w:numPr>
        <w:tabs>
          <w:tab w:pos="941" w:val="left" w:leader="none"/>
        </w:tabs>
        <w:spacing w:line="240" w:lineRule="auto" w:before="53" w:after="0"/>
        <w:ind w:left="940" w:right="0" w:hanging="242"/>
        <w:jc w:val="left"/>
        <w:rPr>
          <w:sz w:val="24"/>
        </w:rPr>
      </w:pPr>
      <w:r>
        <w:rPr>
          <w:sz w:val="24"/>
        </w:rPr>
        <w:t>用于前列腺癌的分期和预后监测。游离前列腺特异性抗原（f-PSA）</w:t>
      </w:r>
    </w:p>
    <w:p>
      <w:pPr>
        <w:pStyle w:val="BodyText"/>
        <w:spacing w:line="280" w:lineRule="auto" w:before="52"/>
        <w:ind w:right="348" w:firstLine="482"/>
      </w:pPr>
      <w:r>
        <w:rPr>
          <w:spacing w:val="-7"/>
        </w:rPr>
        <w:t>临床监测游离 </w:t>
      </w:r>
      <w:r>
        <w:rPr/>
        <w:t>PSA</w:t>
      </w:r>
      <w:r>
        <w:rPr>
          <w:spacing w:val="-9"/>
        </w:rPr>
        <w:t> 主要用于前列腺癌与前列腺增生的鉴别。单独使用 </w:t>
      </w:r>
      <w:r>
        <w:rPr/>
        <w:t>t-PSA</w:t>
      </w:r>
      <w:r>
        <w:rPr>
          <w:spacing w:val="-29"/>
        </w:rPr>
        <w:t> 或 </w:t>
      </w:r>
      <w:r>
        <w:rPr/>
        <w:t>f-PSA </w:t>
      </w:r>
      <w:r>
        <w:rPr>
          <w:spacing w:val="-1"/>
        </w:rPr>
        <w:t>升高来诊断前列腺癌时并不能排除前列腺肥大对前列腺癌诊断的影响，</w:t>
      </w:r>
      <w:r>
        <w:rPr>
          <w:spacing w:val="-4"/>
        </w:rPr>
        <w:t>f-PSA/t-PSA</w:t>
      </w:r>
      <w:r>
        <w:rPr>
          <w:spacing w:val="-15"/>
        </w:rPr>
        <w:t> 比值＜ 10%</w:t>
      </w:r>
      <w:r>
        <w:rPr>
          <w:spacing w:val="-14"/>
        </w:rPr>
        <w:t>提示前列腺癌，</w:t>
      </w:r>
      <w:r>
        <w:rPr>
          <w:spacing w:val="-7"/>
        </w:rPr>
        <w:t>f-PSA/t-PSA</w:t>
      </w:r>
      <w:r>
        <w:rPr>
          <w:spacing w:val="-19"/>
        </w:rPr>
        <w:t> 比值</w:t>
      </w:r>
      <w:r>
        <w:rPr/>
        <w:t>＞25%</w:t>
      </w:r>
      <w:r>
        <w:rPr>
          <w:spacing w:val="-13"/>
        </w:rPr>
        <w:t>提示前列腺增生，其特异度达 </w:t>
      </w:r>
      <w:r>
        <w:rPr>
          <w:spacing w:val="-19"/>
        </w:rPr>
        <w:t>90%</w:t>
      </w:r>
      <w:r>
        <w:rPr>
          <w:spacing w:val="-6"/>
        </w:rPr>
        <w:t>，正确率</w:t>
      </w:r>
      <w:r>
        <w:rPr/>
        <w:t>＞80%</w:t>
      </w:r>
      <w:r>
        <w:rPr>
          <w:spacing w:val="-14"/>
        </w:rPr>
        <w:t>。</w:t>
      </w:r>
    </w:p>
    <w:p>
      <w:pPr>
        <w:pStyle w:val="BodyText"/>
        <w:tabs>
          <w:tab w:pos="1899" w:val="left" w:leader="none"/>
        </w:tabs>
        <w:spacing w:line="280" w:lineRule="auto" w:before="1"/>
        <w:ind w:right="470" w:firstLine="482"/>
      </w:pPr>
      <w:r>
        <w:rPr/>
        <w:t>检测意义</w:t>
        <w:tab/>
        <w:t>在前列腺癌的诊断和监测上有重要意义</w:t>
      </w:r>
      <w:r>
        <w:rPr>
          <w:spacing w:val="-106"/>
        </w:rPr>
        <w:t>，</w:t>
      </w:r>
      <w:r>
        <w:rPr/>
        <w:t>被认为是肿瘤学研究中最有组织</w:t>
      </w:r>
      <w:r>
        <w:rPr>
          <w:spacing w:val="-17"/>
        </w:rPr>
        <w:t>特</w:t>
      </w:r>
      <w:r>
        <w:rPr/>
        <w:t>异性的肿瘤标志物。前列腺炎、前列腺肥大、骑自行车去体检的人，PSA</w:t>
      </w:r>
      <w:r>
        <w:rPr>
          <w:spacing w:val="-60"/>
        </w:rPr>
        <w:t> </w:t>
      </w:r>
      <w:r>
        <w:rPr/>
        <w:t>也会升高。</w:t>
      </w:r>
    </w:p>
    <w:p>
      <w:pPr>
        <w:pStyle w:val="Heading4"/>
      </w:pPr>
      <w:r>
        <w:rPr/>
        <w:t>糖类抗原 CA12-5</w:t>
      </w:r>
    </w:p>
    <w:p>
      <w:pPr>
        <w:pStyle w:val="BodyText"/>
        <w:spacing w:line="280" w:lineRule="auto" w:before="53"/>
        <w:ind w:right="348" w:firstLine="482"/>
      </w:pPr>
      <w:r>
        <w:rPr/>
        <w:t>CA12-5</w:t>
      </w:r>
      <w:r>
        <w:rPr>
          <w:spacing w:val="-8"/>
        </w:rPr>
        <w:t> 存在于上皮卵巢癌组织和患者血清中，是研究最多的卵巢癌标志物，在早期筛</w:t>
      </w:r>
      <w:r>
        <w:rPr>
          <w:spacing w:val="-17"/>
        </w:rPr>
        <w:t>查、诊断、治疗及预后的应用研究均有重要意义。</w:t>
      </w:r>
      <w:r>
        <w:rPr/>
        <w:t>CA12-5</w:t>
      </w:r>
      <w:r>
        <w:rPr>
          <w:spacing w:val="-12"/>
        </w:rPr>
        <w:t> 对卵巢上皮癌的敏感性可达约 </w:t>
      </w:r>
      <w:r>
        <w:rPr/>
        <w:t>70%</w:t>
      </w:r>
      <w:r>
        <w:rPr>
          <w:spacing w:val="-15"/>
        </w:rPr>
        <w:t>。</w:t>
      </w:r>
      <w:r>
        <w:rPr>
          <w:spacing w:val="-2"/>
        </w:rPr>
        <w:t>其他非卵巢恶性肿瘤</w:t>
      </w:r>
      <w:r>
        <w:rPr/>
        <w:t>（</w:t>
      </w:r>
      <w:r>
        <w:rPr>
          <w:spacing w:val="-10"/>
        </w:rPr>
        <w:t>宫颈癌、宫体癌、子宫内膜癌、胰腺癌、肺癌、胃癌、结直肠癌、乳腺癌</w:t>
      </w:r>
      <w:r>
        <w:rPr>
          <w:spacing w:val="-17"/>
        </w:rPr>
        <w:t>）</w:t>
      </w:r>
      <w:r>
        <w:rPr>
          <w:spacing w:val="-6"/>
        </w:rPr>
        <w:t>、恶性肿瘤引起的腹水也有一定的阳性率。良性妇科疾病</w:t>
      </w:r>
      <w:r>
        <w:rPr/>
        <w:t>（</w:t>
      </w:r>
      <w:r>
        <w:rPr>
          <w:spacing w:val="-6"/>
        </w:rPr>
        <w:t>盆腔炎、妇女腺肌病、黄素囊肿、卵巢囊肿等）</w:t>
      </w:r>
      <w:r>
        <w:rPr>
          <w:spacing w:val="-10"/>
        </w:rPr>
        <w:t>和早期妊娠可出现不同程度的血清 </w:t>
      </w:r>
      <w:r>
        <w:rPr/>
        <w:t>CA12-5</w:t>
      </w:r>
      <w:r>
        <w:rPr>
          <w:spacing w:val="-10"/>
        </w:rPr>
        <w:t> 含量升高。</w:t>
      </w:r>
    </w:p>
    <w:p>
      <w:pPr>
        <w:pStyle w:val="Heading4"/>
        <w:spacing w:before="1"/>
      </w:pPr>
      <w:r>
        <w:rPr/>
        <w:t>糖类抗原 CA15-3</w:t>
      </w:r>
    </w:p>
    <w:p>
      <w:pPr>
        <w:spacing w:after="0"/>
        <w:sectPr>
          <w:pgSz w:w="11910" w:h="16850"/>
          <w:pgMar w:header="906" w:footer="607" w:top="1100" w:bottom="800" w:left="1060" w:right="660"/>
        </w:sectPr>
      </w:pPr>
    </w:p>
    <w:p>
      <w:pPr>
        <w:pStyle w:val="BodyText"/>
        <w:spacing w:line="280" w:lineRule="auto" w:before="48"/>
        <w:ind w:right="466" w:firstLine="482"/>
      </w:pPr>
      <w:r>
        <w:rPr/>
        <w:t>CA15-3</w:t>
      </w:r>
      <w:r>
        <w:rPr>
          <w:spacing w:val="-8"/>
        </w:rPr>
        <w:t> 可作为乳腺癌辅助诊断、术后随访和转移复发的指标。对早期乳腺癌的敏感性较低</w:t>
      </w:r>
      <w:r>
        <w:rPr>
          <w:spacing w:val="-3"/>
        </w:rPr>
        <w:t>（60%），</w:t>
      </w:r>
      <w:r>
        <w:rPr>
          <w:spacing w:val="-9"/>
        </w:rPr>
        <w:t>晚期的敏感性为 </w:t>
      </w:r>
      <w:r>
        <w:rPr/>
        <w:t>80%</w:t>
      </w:r>
      <w:r>
        <w:rPr>
          <w:spacing w:val="-1"/>
        </w:rPr>
        <w:t>，转移性乳腺癌的阳性率较高</w:t>
      </w:r>
      <w:r>
        <w:rPr/>
        <w:t>（80%）</w:t>
      </w:r>
      <w:r>
        <w:rPr>
          <w:spacing w:val="-3"/>
        </w:rPr>
        <w:t>。其他恶性肿瘤也</w:t>
      </w:r>
      <w:r>
        <w:rPr>
          <w:spacing w:val="-12"/>
        </w:rPr>
        <w:t>有一定的阳性率，如肺癌、结肠癌、胰腺癌、卵巢癌、子宫颈癌、原发性肝癌等。特别要排</w:t>
      </w:r>
      <w:r>
        <w:rPr/>
        <w:t>除部分妊娠引起的升高。</w:t>
      </w:r>
    </w:p>
    <w:p>
      <w:pPr>
        <w:pStyle w:val="Heading4"/>
        <w:spacing w:before="1"/>
      </w:pPr>
      <w:r>
        <w:rPr/>
        <w:t>糖类抗原 CA19-9</w:t>
      </w:r>
    </w:p>
    <w:p>
      <w:pPr>
        <w:pStyle w:val="BodyText"/>
        <w:spacing w:line="280" w:lineRule="auto" w:before="53"/>
        <w:ind w:right="367" w:firstLine="482"/>
      </w:pPr>
      <w:r>
        <w:rPr/>
        <w:t>CA19-9</w:t>
      </w:r>
      <w:r>
        <w:rPr>
          <w:spacing w:val="-8"/>
        </w:rPr>
        <w:t> 是一种与胃肠道癌相关的糖类抗原，通常分布于正常胎儿胰腺、胆囊、肝、肠</w:t>
      </w:r>
      <w:r>
        <w:rPr>
          <w:spacing w:val="-11"/>
        </w:rPr>
        <w:t>及正常成年人胰腺、胆管上皮等处。检测患者血清 </w:t>
      </w:r>
      <w:r>
        <w:rPr/>
        <w:t>CA19-9</w:t>
      </w:r>
      <w:r>
        <w:rPr>
          <w:spacing w:val="-8"/>
        </w:rPr>
        <w:t> 可作为胰腺癌、胆囊癌等恶性肿</w:t>
      </w:r>
      <w:r>
        <w:rPr>
          <w:spacing w:val="-9"/>
        </w:rPr>
        <w:t>瘤的辅助诊断指标，对监测病情变化和复发有很大意义。胃癌、结直肠癌、肝癌、乳腺癌、</w:t>
      </w:r>
      <w:r>
        <w:rPr>
          <w:spacing w:val="-12"/>
        </w:rPr>
        <w:t>卵巢癌、肺癌等患者的血清 </w:t>
      </w:r>
      <w:r>
        <w:rPr/>
        <w:t>CA19-9</w:t>
      </w:r>
      <w:r>
        <w:rPr>
          <w:spacing w:val="-15"/>
        </w:rPr>
        <w:t> 水平也有不同程度的升高。某些消化道炎症 </w:t>
      </w:r>
      <w:r>
        <w:rPr/>
        <w:t>CA19-9</w:t>
      </w:r>
      <w:r>
        <w:rPr>
          <w:spacing w:val="-20"/>
        </w:rPr>
        <w:t> 也有不同程度的升高，如急性胰腺炎、胆囊炎、胆汁淤积性胆管炎、肝炎、肝硬化等。</w:t>
      </w:r>
    </w:p>
    <w:p>
      <w:pPr>
        <w:pStyle w:val="Heading4"/>
        <w:spacing w:before="1"/>
      </w:pPr>
      <w:r>
        <w:rPr/>
        <w:t>糖类抗原 CA72-4</w:t>
      </w:r>
    </w:p>
    <w:p>
      <w:pPr>
        <w:pStyle w:val="BodyText"/>
        <w:spacing w:line="280" w:lineRule="auto" w:before="53"/>
        <w:ind w:right="471" w:firstLine="482"/>
        <w:jc w:val="both"/>
      </w:pPr>
      <w:r>
        <w:rPr/>
        <w:t>CA72-4</w:t>
      </w:r>
      <w:r>
        <w:rPr>
          <w:spacing w:val="-8"/>
        </w:rPr>
        <w:t> 是目前诊断胃癌的最佳肿瘤标志物之一，对胃癌具有较高的特异性，其敏感性</w:t>
      </w:r>
      <w:r>
        <w:rPr>
          <w:spacing w:val="-26"/>
        </w:rPr>
        <w:t>可达 </w:t>
      </w:r>
      <w:r>
        <w:rPr/>
        <w:t>28%～80%，</w:t>
      </w:r>
      <w:r>
        <w:rPr>
          <w:spacing w:val="-20"/>
        </w:rPr>
        <w:t>若与 </w:t>
      </w:r>
      <w:r>
        <w:rPr/>
        <w:t>CA19-9</w:t>
      </w:r>
      <w:r>
        <w:rPr>
          <w:spacing w:val="-40"/>
        </w:rPr>
        <w:t> 及 </w:t>
      </w:r>
      <w:r>
        <w:rPr/>
        <w:t>CEA</w:t>
      </w:r>
      <w:r>
        <w:rPr>
          <w:spacing w:val="-14"/>
        </w:rPr>
        <w:t> 联合检测可以监测 </w:t>
      </w:r>
      <w:r>
        <w:rPr/>
        <w:t>70％以上的胃癌。CA72-4</w:t>
      </w:r>
      <w:r>
        <w:rPr>
          <w:spacing w:val="-12"/>
        </w:rPr>
        <w:t> 对其他胃</w:t>
      </w:r>
      <w:r>
        <w:rPr>
          <w:spacing w:val="-9"/>
        </w:rPr>
        <w:t>肠道癌、乳腺癌、肺癌、卵巢癌也有不同程度的检出率。</w:t>
      </w:r>
      <w:r>
        <w:rPr/>
        <w:t>CA72-4</w:t>
      </w:r>
      <w:r>
        <w:rPr>
          <w:spacing w:val="-40"/>
        </w:rPr>
        <w:t> 与 </w:t>
      </w:r>
      <w:r>
        <w:rPr/>
        <w:t>CA12-5</w:t>
      </w:r>
      <w:r>
        <w:rPr>
          <w:spacing w:val="-12"/>
        </w:rPr>
        <w:t> 联合检测，作为</w:t>
      </w:r>
      <w:r>
        <w:rPr>
          <w:spacing w:val="-3"/>
        </w:rPr>
        <w:t>诊断原发性及复发性卵巢肿瘤的标志，特异性可达 </w:t>
      </w:r>
      <w:r>
        <w:rPr/>
        <w:t>100%。</w:t>
      </w:r>
    </w:p>
    <w:p>
      <w:pPr>
        <w:pStyle w:val="Heading4"/>
        <w:spacing w:before="1"/>
        <w:jc w:val="both"/>
      </w:pPr>
      <w:r>
        <w:rPr/>
        <w:t>人附睾蛋白 4（HE4）</w:t>
      </w:r>
    </w:p>
    <w:p>
      <w:pPr>
        <w:pStyle w:val="BodyText"/>
        <w:spacing w:line="280" w:lineRule="auto" w:before="52"/>
        <w:ind w:right="469" w:firstLine="482"/>
        <w:jc w:val="both"/>
      </w:pPr>
      <w:r>
        <w:rPr>
          <w:spacing w:val="-2"/>
        </w:rPr>
        <w:t>卵巢癌早期诊断指标。</w:t>
      </w:r>
      <w:r>
        <w:rPr/>
        <w:t>HE4</w:t>
      </w:r>
      <w:r>
        <w:rPr>
          <w:spacing w:val="-12"/>
        </w:rPr>
        <w:t> 水平与年龄有关，年龄越大，它的水平就越高。健康女性的</w:t>
      </w:r>
      <w:r>
        <w:rPr/>
        <w:t>HE4</w:t>
      </w:r>
      <w:r>
        <w:rPr>
          <w:spacing w:val="-40"/>
        </w:rPr>
        <w:t> 在 </w:t>
      </w:r>
      <w:r>
        <w:rPr/>
        <w:t>140</w:t>
      </w:r>
      <w:r>
        <w:rPr>
          <w:spacing w:val="-24"/>
        </w:rPr>
        <w:t> 以下，约 </w:t>
      </w:r>
      <w:r>
        <w:rPr/>
        <w:t>98%</w:t>
      </w:r>
      <w:r>
        <w:rPr>
          <w:spacing w:val="-15"/>
        </w:rPr>
        <w:t>女性的 </w:t>
      </w:r>
      <w:r>
        <w:rPr/>
        <w:t>HE4</w:t>
      </w:r>
      <w:r>
        <w:rPr>
          <w:spacing w:val="-20"/>
        </w:rPr>
        <w:t> 水平</w:t>
      </w:r>
      <w:r>
        <w:rPr/>
        <w:t>＜140</w:t>
      </w:r>
      <w:r>
        <w:rPr>
          <w:spacing w:val="-15"/>
        </w:rPr>
        <w:t>。</w:t>
      </w:r>
      <w:r>
        <w:rPr/>
        <w:t>HE4</w:t>
      </w:r>
      <w:r>
        <w:rPr>
          <w:spacing w:val="-10"/>
        </w:rPr>
        <w:t> 在卵巢癌病例中是高水平表达，显著升</w:t>
      </w:r>
      <w:r>
        <w:rPr>
          <w:spacing w:val="-20"/>
        </w:rPr>
        <w:t>高者 </w:t>
      </w:r>
      <w:r>
        <w:rPr/>
        <w:t>80%以上都是卵巢癌。</w:t>
      </w:r>
    </w:p>
    <w:p>
      <w:pPr>
        <w:pStyle w:val="Heading4"/>
        <w:spacing w:before="1"/>
      </w:pPr>
      <w:r>
        <w:rPr/>
        <w:t>胃泌素蛋白酶原（ProGRP）</w:t>
      </w:r>
    </w:p>
    <w:p>
      <w:pPr>
        <w:pStyle w:val="BodyText"/>
        <w:spacing w:line="280" w:lineRule="auto" w:before="53"/>
        <w:ind w:right="477" w:firstLine="482"/>
      </w:pPr>
      <w:r>
        <w:rPr/>
        <w:t>ProGRP 在小细胞肺癌（SCLC）中表达明显。鉴别小细胞肺癌和非小细胞肺癌的灵敏度为 72.4%，特异性为 95%。</w:t>
      </w:r>
    </w:p>
    <w:p>
      <w:pPr>
        <w:pStyle w:val="Heading4"/>
      </w:pPr>
      <w:r>
        <w:rPr/>
        <w:t>铁蛋白（SF）</w:t>
      </w:r>
    </w:p>
    <w:p>
      <w:pPr>
        <w:pStyle w:val="BodyText"/>
        <w:spacing w:line="280" w:lineRule="auto" w:before="53"/>
        <w:ind w:right="349" w:firstLine="482"/>
      </w:pPr>
      <w:r>
        <w:rPr>
          <w:spacing w:val="-14"/>
        </w:rPr>
        <w:t>铁蛋白升高可见于下列肿瘤：急性白血病、霍奇金病、肺癌、结肠癌、肝癌和前列腺癌。</w:t>
      </w:r>
      <w:r>
        <w:rPr>
          <w:spacing w:val="-1"/>
        </w:rPr>
        <w:t>检测铁蛋白对肝脏转移性肿瘤有诊断价值，</w:t>
      </w:r>
      <w:r>
        <w:rPr>
          <w:spacing w:val="-6"/>
        </w:rPr>
        <w:t>76%</w:t>
      </w:r>
      <w:r>
        <w:rPr>
          <w:spacing w:val="-5"/>
        </w:rPr>
        <w:t>的肝转移患者铁蛋白含量高于 </w:t>
      </w:r>
      <w:r>
        <w:rPr/>
        <w:t>400</w:t>
      </w:r>
      <w:r>
        <w:rPr>
          <w:rFonts w:ascii="Arial" w:hAnsi="Arial" w:eastAsia="Arial"/>
        </w:rPr>
        <w:t>μ </w:t>
      </w:r>
      <w:r>
        <w:rPr/>
        <w:t>g/L</w:t>
      </w:r>
      <w:r>
        <w:rPr>
          <w:spacing w:val="-22"/>
        </w:rPr>
        <w:t>。患</w:t>
      </w:r>
      <w:r>
        <w:rPr>
          <w:spacing w:val="-21"/>
        </w:rPr>
        <w:t>肝癌时，在 </w:t>
      </w:r>
      <w:r>
        <w:rPr/>
        <w:t>AFP</w:t>
      </w:r>
      <w:r>
        <w:rPr>
          <w:spacing w:val="-16"/>
        </w:rPr>
        <w:t> 测定值较低的情况下，可用铁蛋白测定值补充，以提高诊断率。在色素沉着、</w:t>
      </w:r>
      <w:r>
        <w:rPr>
          <w:spacing w:val="-11"/>
        </w:rPr>
        <w:t>炎症、肝炎时，铁蛋白也会升高。升高的原因可能是由于细胞坏死，红细胞生成被阻断或肿瘤组织中合成增多。</w:t>
      </w:r>
    </w:p>
    <w:p>
      <w:pPr>
        <w:pStyle w:val="Heading4"/>
        <w:spacing w:before="1"/>
      </w:pPr>
      <w:r>
        <w:rPr/>
        <w:t>肿瘤标志物检测报告解读</w:t>
      </w:r>
    </w:p>
    <w:p>
      <w:pPr>
        <w:pStyle w:val="ListParagraph"/>
        <w:numPr>
          <w:ilvl w:val="0"/>
          <w:numId w:val="9"/>
        </w:numPr>
        <w:tabs>
          <w:tab w:pos="941" w:val="left" w:leader="none"/>
        </w:tabs>
        <w:spacing w:line="240" w:lineRule="auto" w:before="53" w:after="0"/>
        <w:ind w:left="940" w:right="0" w:hanging="242"/>
        <w:jc w:val="left"/>
        <w:rPr>
          <w:sz w:val="24"/>
        </w:rPr>
      </w:pPr>
      <w:r>
        <w:rPr>
          <w:sz w:val="24"/>
        </w:rPr>
        <w:t>体检中发现某项肿瘤标志物指标升高，并不表示得了癌症。</w:t>
      </w:r>
    </w:p>
    <w:p>
      <w:pPr>
        <w:pStyle w:val="ListParagraph"/>
        <w:numPr>
          <w:ilvl w:val="0"/>
          <w:numId w:val="9"/>
        </w:numPr>
        <w:tabs>
          <w:tab w:pos="941" w:val="left" w:leader="none"/>
        </w:tabs>
        <w:spacing w:line="240" w:lineRule="auto" w:before="52" w:after="0"/>
        <w:ind w:left="940" w:right="0" w:hanging="242"/>
        <w:jc w:val="left"/>
        <w:rPr>
          <w:sz w:val="24"/>
        </w:rPr>
      </w:pPr>
      <w:r>
        <w:rPr>
          <w:sz w:val="24"/>
        </w:rPr>
        <w:t>肿瘤标志物在肿瘤的早期诊断中敏感性、特异性不是很高。</w:t>
      </w:r>
    </w:p>
    <w:p>
      <w:pPr>
        <w:pStyle w:val="ListParagraph"/>
        <w:numPr>
          <w:ilvl w:val="0"/>
          <w:numId w:val="9"/>
        </w:numPr>
        <w:tabs>
          <w:tab w:pos="941" w:val="left" w:leader="none"/>
        </w:tabs>
        <w:spacing w:line="240" w:lineRule="auto" w:before="53" w:after="0"/>
        <w:ind w:left="940" w:right="0" w:hanging="242"/>
        <w:jc w:val="left"/>
        <w:rPr>
          <w:sz w:val="24"/>
        </w:rPr>
      </w:pPr>
      <w:r>
        <w:rPr>
          <w:sz w:val="24"/>
        </w:rPr>
        <w:t>仅靠这些项目筛查肿瘤是远远不够的，还需要结合影像学等其他检查手段综合分析。</w:t>
      </w:r>
    </w:p>
    <w:p>
      <w:pPr>
        <w:pStyle w:val="ListParagraph"/>
        <w:numPr>
          <w:ilvl w:val="0"/>
          <w:numId w:val="9"/>
        </w:numPr>
        <w:tabs>
          <w:tab w:pos="941" w:val="left" w:leader="none"/>
        </w:tabs>
        <w:spacing w:line="280" w:lineRule="auto" w:before="52" w:after="0"/>
        <w:ind w:left="217" w:right="470" w:firstLine="482"/>
        <w:jc w:val="left"/>
        <w:rPr>
          <w:sz w:val="24"/>
        </w:rPr>
      </w:pPr>
      <w:r>
        <w:rPr>
          <w:spacing w:val="-7"/>
          <w:sz w:val="24"/>
        </w:rPr>
        <w:t>发现某项肿瘤指标轻度升高，不必过于紧张，但也不能掉以轻心，应及时找专科医生</w:t>
      </w:r>
      <w:r>
        <w:rPr>
          <w:sz w:val="24"/>
        </w:rPr>
        <w:t>就诊。良性疾病、月经等生理现象以及诊疗手段等因素会影响检测结果。</w:t>
      </w:r>
    </w:p>
    <w:p>
      <w:pPr>
        <w:pStyle w:val="ListParagraph"/>
        <w:numPr>
          <w:ilvl w:val="0"/>
          <w:numId w:val="9"/>
        </w:numPr>
        <w:tabs>
          <w:tab w:pos="941" w:val="left" w:leader="none"/>
        </w:tabs>
        <w:spacing w:line="223" w:lineRule="auto" w:before="18" w:after="0"/>
        <w:ind w:left="217" w:right="471" w:firstLine="482"/>
        <w:jc w:val="left"/>
        <w:rPr>
          <w:rFonts w:ascii="微软雅黑" w:hAnsi="微软雅黑" w:eastAsia="微软雅黑" w:hint="eastAsia"/>
          <w:b/>
          <w:sz w:val="24"/>
        </w:rPr>
      </w:pPr>
      <w:r>
        <w:rPr>
          <w:spacing w:val="-10"/>
          <w:sz w:val="24"/>
        </w:rPr>
        <w:t>定期复查，动态观察其变化趋势，如继续升高应警惕并高度重视可能存在肿瘤，及时</w:t>
      </w:r>
      <w:r>
        <w:rPr>
          <w:w w:val="110"/>
          <w:sz w:val="24"/>
        </w:rPr>
        <w:t>做进一步检查。</w:t>
      </w:r>
      <w:r>
        <w:rPr>
          <w:rFonts w:ascii="微软雅黑" w:hAnsi="微软雅黑" w:eastAsia="微软雅黑" w:hint="eastAsia"/>
          <w:b/>
          <w:color w:val="0033CC"/>
          <w:w w:val="110"/>
          <w:sz w:val="24"/>
        </w:rPr>
        <w:t>[</w:t>
      </w:r>
      <w:r>
        <w:rPr>
          <w:rFonts w:ascii="Microsoft JhengHei" w:hAnsi="Microsoft JhengHei" w:eastAsia="Microsoft JhengHei" w:hint="eastAsia"/>
          <w:b/>
          <w:color w:val="0033CC"/>
          <w:w w:val="110"/>
          <w:sz w:val="24"/>
        </w:rPr>
        <w:t>返回目次</w:t>
      </w:r>
      <w:r>
        <w:rPr>
          <w:rFonts w:ascii="微软雅黑" w:hAnsi="微软雅黑" w:eastAsia="微软雅黑" w:hint="eastAsia"/>
          <w:b/>
          <w:color w:val="0033CC"/>
          <w:w w:val="110"/>
          <w:sz w:val="24"/>
        </w:rPr>
        <w:t>]</w:t>
      </w:r>
    </w:p>
    <w:p>
      <w:pPr>
        <w:pStyle w:val="Heading1"/>
        <w:spacing w:before="46"/>
        <w:rPr>
          <w:u w:val="none"/>
        </w:rPr>
      </w:pPr>
      <w:bookmarkStart w:name="_TOC_250008" w:id="23"/>
      <w:r>
        <w:rPr>
          <w:rFonts w:ascii="Times New Roman" w:eastAsia="Times New Roman"/>
          <w:color w:val="008000"/>
          <w:spacing w:val="-110"/>
          <w:w w:val="99"/>
          <w:u w:val="thick" w:color="008000"/>
        </w:rPr>
        <w:t> </w:t>
      </w:r>
      <w:bookmarkEnd w:id="23"/>
      <w:r>
        <w:rPr>
          <w:color w:val="008000"/>
          <w:u w:val="thick" w:color="008000"/>
        </w:rPr>
        <w:t>交流园地</w:t>
      </w:r>
    </w:p>
    <w:p>
      <w:pPr>
        <w:pStyle w:val="BodyText"/>
        <w:spacing w:before="5"/>
        <w:ind w:left="0"/>
        <w:rPr>
          <w:rFonts w:ascii="华文宋体"/>
          <w:b/>
          <w:sz w:val="9"/>
        </w:rPr>
      </w:pPr>
    </w:p>
    <w:p>
      <w:pPr>
        <w:pStyle w:val="Heading2"/>
        <w:spacing w:before="54"/>
        <w:ind w:left="217"/>
      </w:pPr>
      <w:bookmarkStart w:name="_TOC_250007" w:id="24"/>
      <w:bookmarkEnd w:id="24"/>
      <w:r>
        <w:rPr/>
        <w:t>【药师风采】</w:t>
      </w:r>
    </w:p>
    <w:p>
      <w:pPr>
        <w:spacing w:after="0"/>
        <w:sectPr>
          <w:pgSz w:w="11910" w:h="16850"/>
          <w:pgMar w:header="906" w:footer="607" w:top="1100" w:bottom="800" w:left="1060" w:right="660"/>
        </w:sectPr>
      </w:pPr>
    </w:p>
    <w:p>
      <w:pPr>
        <w:pStyle w:val="Heading2"/>
        <w:spacing w:line="392" w:lineRule="exact"/>
        <w:ind w:right="252"/>
        <w:jc w:val="center"/>
      </w:pPr>
      <w:bookmarkStart w:name="_TOC_250006" w:id="25"/>
      <w:bookmarkEnd w:id="25"/>
      <w:r>
        <w:rPr/>
        <w:t>中山大学附属第五医院——田琳</w:t>
      </w:r>
    </w:p>
    <w:p>
      <w:pPr>
        <w:pStyle w:val="Heading4"/>
        <w:spacing w:before="222"/>
        <w:ind w:left="0" w:right="254"/>
        <w:jc w:val="center"/>
        <w:rPr>
          <w:rFonts w:ascii="楷体" w:eastAsia="楷体" w:hint="eastAsia"/>
        </w:rPr>
      </w:pPr>
      <w:r>
        <w:rPr>
          <w:rFonts w:ascii="楷体" w:eastAsia="楷体" w:hint="eastAsia"/>
        </w:rPr>
        <w:t>励志寄语：一万年太久，只争朝夕!</w:t>
      </w:r>
    </w:p>
    <w:p>
      <w:pPr>
        <w:pStyle w:val="BodyText"/>
        <w:spacing w:line="297" w:lineRule="auto" w:before="170"/>
        <w:ind w:right="466" w:firstLine="420"/>
      </w:pPr>
      <w:r>
        <w:rPr>
          <w:spacing w:val="-11"/>
        </w:rPr>
        <w:t>田琳，现任中山大学附属第五医院副院长，药学部主任，副主任药师，从事药学工作 </w:t>
      </w:r>
      <w:r>
        <w:rPr/>
        <w:t>27 </w:t>
      </w:r>
      <w:r>
        <w:rPr>
          <w:spacing w:val="-11"/>
        </w:rPr>
        <w:t>年。工作廉洁奉公、爱岗敬业、踏实勤奋、开拓创新。在国家医改全面启动，药品加成全面</w:t>
      </w:r>
      <w:r>
        <w:rPr>
          <w:spacing w:val="-8"/>
        </w:rPr>
        <w:t>取消的形势下，带领药学团队转型，通过精细化、科学化的药事管理，使医院的药占比达到24.75%，</w:t>
      </w:r>
      <w:r>
        <w:rPr>
          <w:spacing w:val="-10"/>
        </w:rPr>
        <w:t>抗菌药物各项指标全面达标，药品不良反应报告率提升至 </w:t>
      </w:r>
      <w:hyperlink r:id="rId16">
        <w:r>
          <w:rPr/>
          <w:t>0.5%，实现医院药学</w:t>
        </w:r>
      </w:hyperlink>
      <w:r>
        <w:rPr/>
        <w:t>服</w:t>
      </w:r>
      <w:r>
        <w:rPr>
          <w:spacing w:val="-6"/>
        </w:rPr>
        <w:t>务从以药品为中心到为以患者为中心、从保障药品供应到促进合理用药的转变。通过建立静</w:t>
      </w:r>
      <w:r>
        <w:rPr/>
        <w:t>脉用药配置中心（PIVAS）、门诊静脉配置中心(OVAS)及药房自动化改造，实现了药品智能化、信息化管理。</w:t>
      </w:r>
    </w:p>
    <w:p>
      <w:pPr>
        <w:pStyle w:val="BodyText"/>
        <w:spacing w:line="297" w:lineRule="auto"/>
        <w:ind w:right="466" w:firstLine="420"/>
      </w:pPr>
      <w:r>
        <w:rPr>
          <w:spacing w:val="-3"/>
        </w:rPr>
        <w:t>大力发展临床药学工作，目前院内配有专职临床药师 </w:t>
      </w:r>
      <w:r>
        <w:rPr/>
        <w:t>10</w:t>
      </w:r>
      <w:r>
        <w:rPr>
          <w:spacing w:val="-20"/>
        </w:rPr>
        <w:t> 人，其中 </w:t>
      </w:r>
      <w:r>
        <w:rPr/>
        <w:t>2</w:t>
      </w:r>
      <w:r>
        <w:rPr>
          <w:spacing w:val="-8"/>
        </w:rPr>
        <w:t> 人具有国家级临床药师规范化培训师资资格证，</w:t>
      </w:r>
      <w:r>
        <w:rPr>
          <w:spacing w:val="-5"/>
        </w:rPr>
        <w:t>5</w:t>
      </w:r>
      <w:r>
        <w:rPr>
          <w:spacing w:val="-11"/>
        </w:rPr>
        <w:t> 人具有国家级临床药师资格证，专业包括抗感染、抗凝、肿</w:t>
      </w:r>
      <w:r>
        <w:rPr/>
        <w:t>瘤、ICU、呼吸等。积极推动精准用药和个体化用药指导工作，为区域内首家开展药物基因</w:t>
      </w:r>
      <w:r>
        <w:rPr>
          <w:spacing w:val="-8"/>
        </w:rPr>
        <w:t>检测及药物浓度监测的单位，年服务人次过千人；被授予国家“精准医疗集成应用示范体系</w:t>
      </w:r>
      <w:r>
        <w:rPr/>
        <w:t>建设”示范单位；带领团队开设区域内首家药学门诊，个人获美国药物治疗管理（MTM）培</w:t>
      </w:r>
      <w:r>
        <w:rPr>
          <w:spacing w:val="-12"/>
        </w:rPr>
        <w:t>训证书，为门诊患者安全用药保驾护航。临床药师团队多次在省级药学比赛如中获得优异成</w:t>
      </w:r>
      <w:r>
        <w:rPr/>
        <w:t>绩。</w:t>
      </w:r>
    </w:p>
    <w:p>
      <w:pPr>
        <w:pStyle w:val="BodyText"/>
        <w:spacing w:line="295" w:lineRule="auto"/>
        <w:ind w:right="427" w:firstLine="420"/>
      </w:pPr>
      <w:r>
        <w:rPr/>
        <w:t>积极推动区域药学的发展，以所在单位牵头，成立区域唯一的药学专科联盟，为二级、区级医院提供药学指导和交流平台，为区域培养药学人才，提高药师服务能力。</w:t>
      </w:r>
    </w:p>
    <w:p>
      <w:pPr>
        <w:pStyle w:val="BodyText"/>
        <w:spacing w:line="295" w:lineRule="auto"/>
        <w:ind w:right="487" w:firstLine="420"/>
      </w:pPr>
      <w:r>
        <w:rPr/>
        <w:t>承担国家一类新药艾普拉唑人体内代谢及临床安全性评价研究项目（项目编号： 200912033），参与多项国家级、省部级科研课题。在国内外核心期刊以第一作者及通讯作者发表论文多篇。</w:t>
      </w:r>
    </w:p>
    <w:p>
      <w:pPr>
        <w:pStyle w:val="BodyText"/>
        <w:spacing w:line="295" w:lineRule="auto"/>
        <w:ind w:right="465" w:firstLine="420"/>
        <w:jc w:val="both"/>
      </w:pPr>
      <w:r>
        <w:rPr>
          <w:spacing w:val="-4"/>
        </w:rPr>
        <w:t>近三年来先后获得珠海市药学会“珠海市医药科技创新工作先进个人”、“珠海市医药</w:t>
      </w:r>
      <w:r>
        <w:rPr>
          <w:spacing w:val="-8"/>
        </w:rPr>
        <w:t>行业科技惠民先进工作者”、“珠海医药科技惠民工作先进工作者”称号，获得医院优秀党支部书记表彰。</w:t>
      </w:r>
    </w:p>
    <w:p>
      <w:pPr>
        <w:pStyle w:val="BodyText"/>
        <w:spacing w:line="297" w:lineRule="auto"/>
        <w:ind w:right="367" w:firstLine="420"/>
      </w:pPr>
      <w:r>
        <w:rPr>
          <w:spacing w:val="-2"/>
        </w:rPr>
        <w:t>兼任广东省药学会药房自动化信息化专家委员会副主任委员、老年药学专业委员会副主</w:t>
      </w:r>
      <w:r>
        <w:rPr>
          <w:spacing w:val="-10"/>
        </w:rPr>
        <w:t>任委员，广东省药理学会药物经济学专业委员会常务委员，广东省医院协会医院评审评价咨</w:t>
      </w:r>
      <w:r>
        <w:rPr>
          <w:spacing w:val="-14"/>
        </w:rPr>
        <w:t>询委员会委员，珠海市药学会副会长，原国家卫生计生委远程医疗管理与培训中心远程医疗</w:t>
      </w:r>
      <w:r>
        <w:rPr>
          <w:spacing w:val="-15"/>
        </w:rPr>
        <w:t>专家委员会委员，广东省医院管理评价质控中心等级医院评审员，《中国药房》《中药材》</w:t>
      </w:r>
      <w:r>
        <w:rPr/>
        <w:t>杂志编委。</w:t>
      </w:r>
    </w:p>
    <w:p>
      <w:pPr>
        <w:pStyle w:val="BodyText"/>
        <w:spacing w:before="5"/>
        <w:ind w:left="0"/>
        <w:rPr>
          <w:sz w:val="17"/>
        </w:rPr>
      </w:pPr>
    </w:p>
    <w:p>
      <w:pPr>
        <w:pStyle w:val="Heading2"/>
        <w:ind w:right="251"/>
        <w:jc w:val="center"/>
      </w:pPr>
      <w:bookmarkStart w:name="_TOC_250005" w:id="26"/>
      <w:bookmarkEnd w:id="26"/>
      <w:r>
        <w:rPr/>
        <w:t>汕头市中心医院——李庆南</w:t>
      </w:r>
    </w:p>
    <w:p>
      <w:pPr>
        <w:pStyle w:val="Heading4"/>
        <w:spacing w:before="222"/>
        <w:ind w:left="0" w:right="258"/>
        <w:jc w:val="center"/>
        <w:rPr>
          <w:rFonts w:ascii="楷体" w:eastAsia="楷体" w:hint="eastAsia"/>
        </w:rPr>
      </w:pPr>
      <w:r>
        <w:rPr>
          <w:rFonts w:ascii="楷体" w:eastAsia="楷体" w:hint="eastAsia"/>
        </w:rPr>
        <w:t>励志寄语：梦想不是空想，初心更需恒心。做有梦有心的药学人！</w:t>
      </w:r>
    </w:p>
    <w:p>
      <w:pPr>
        <w:pStyle w:val="BodyText"/>
        <w:spacing w:line="297" w:lineRule="auto" w:before="171"/>
        <w:ind w:right="467" w:firstLine="480"/>
        <w:jc w:val="both"/>
      </w:pPr>
      <w:r>
        <w:rPr>
          <w:spacing w:val="-2"/>
        </w:rPr>
        <w:t>李庆南，现任汕头市中心医院药学部主任，副主任药师，从事药学工作 </w:t>
      </w:r>
      <w:r>
        <w:rPr/>
        <w:t>25</w:t>
      </w:r>
      <w:r>
        <w:rPr>
          <w:spacing w:val="-10"/>
        </w:rPr>
        <w:t> 年。坚持以</w:t>
      </w:r>
      <w:r>
        <w:rPr>
          <w:spacing w:val="-14"/>
        </w:rPr>
        <w:t>患者利益为中心，不断提升药学服务质量和水平，持续改进医疗质量与医疗安全，近年来在</w:t>
      </w:r>
      <w:r>
        <w:rPr>
          <w:spacing w:val="-8"/>
        </w:rPr>
        <w:t>构建药事质量与安全管理体系、培养药学专业人才、推动药学服务加快转型等方面开展了大</w:t>
      </w:r>
      <w:r>
        <w:rPr/>
        <w:t>量工作。</w:t>
      </w:r>
    </w:p>
    <w:p>
      <w:pPr>
        <w:spacing w:after="0" w:line="297" w:lineRule="auto"/>
        <w:jc w:val="both"/>
        <w:sectPr>
          <w:pgSz w:w="11910" w:h="16850"/>
          <w:pgMar w:header="906" w:footer="607" w:top="1100" w:bottom="800" w:left="1060" w:right="660"/>
        </w:sectPr>
      </w:pPr>
    </w:p>
    <w:p>
      <w:pPr>
        <w:pStyle w:val="BodyText"/>
        <w:spacing w:line="297" w:lineRule="auto" w:before="65"/>
        <w:ind w:right="348" w:firstLine="480"/>
      </w:pPr>
      <w:r>
        <w:rPr>
          <w:spacing w:val="-13"/>
        </w:rPr>
        <w:t>组织修订 </w:t>
      </w:r>
      <w:r>
        <w:rPr/>
        <w:t>40</w:t>
      </w:r>
      <w:r>
        <w:rPr>
          <w:spacing w:val="-20"/>
        </w:rPr>
        <w:t> 项院级和 </w:t>
      </w:r>
      <w:r>
        <w:rPr/>
        <w:t>35</w:t>
      </w:r>
      <w:r>
        <w:rPr>
          <w:spacing w:val="-13"/>
        </w:rPr>
        <w:t> 项科级制度以及部分药学部应急预案及工作流程，并进行全院</w:t>
      </w:r>
      <w:r>
        <w:rPr>
          <w:spacing w:val="-12"/>
        </w:rPr>
        <w:t>培训、检查和考核，督促落实。加强质量与安全管理小组日常工作，制定实施方案，落实管</w:t>
      </w:r>
      <w:r>
        <w:rPr>
          <w:spacing w:val="-13"/>
        </w:rPr>
        <w:t>理控制指标，召开药学部质量与安全管理小组会议，分析和讨论各项指标完成情况，推进品</w:t>
      </w:r>
      <w:r>
        <w:rPr>
          <w:spacing w:val="-15"/>
        </w:rPr>
        <w:t>管圈活动开展，保障用药安全。完善科室麻醉药品、备用基数药品、高警示药品管理，在粤</w:t>
      </w:r>
      <w:r>
        <w:rPr>
          <w:spacing w:val="-16"/>
        </w:rPr>
        <w:t>东地区率先开设麻醉药房，由专职药师派驻手术室对所有麻醉用药进行日常管理，杜绝麻醉</w:t>
      </w:r>
      <w:r>
        <w:rPr>
          <w:spacing w:val="-17"/>
        </w:rPr>
        <w:t>药品流失现象的发生。加强抗菌药物临床应用管理和“阳光用药”监测工作，实施重点监控品种目录管理，完成抗菌药物临床应用监测上报，开展超说明书用药管理和处方点评工作， </w:t>
      </w:r>
      <w:r>
        <w:rPr>
          <w:spacing w:val="-21"/>
        </w:rPr>
        <w:t>规范用药行为。抗菌药物管理指标持续好转，Ⅰ类切口手术抗菌药物使用率保持在 </w:t>
      </w:r>
      <w:r>
        <w:rPr/>
        <w:t>30%</w:t>
      </w:r>
      <w:r>
        <w:rPr>
          <w:spacing w:val="-6"/>
        </w:rPr>
        <w:t>以下。</w:t>
      </w:r>
      <w:r>
        <w:rPr/>
        <w:t>不断推进全院药品不良反应/事件的收集、上报、总结、反馈工作，药品不良反应上报例数逐年上升,对全院用药安全性监管起到了良好的作用。</w:t>
      </w:r>
    </w:p>
    <w:p>
      <w:pPr>
        <w:pStyle w:val="BodyText"/>
        <w:spacing w:line="297" w:lineRule="auto"/>
        <w:ind w:right="349" w:firstLine="480"/>
      </w:pPr>
      <w:r>
        <w:rPr>
          <w:spacing w:val="-1"/>
        </w:rPr>
        <w:t>结合医改背景下医院药学队伍的转型局面，</w:t>
      </w:r>
      <w:r>
        <w:rPr>
          <w:spacing w:val="-9"/>
        </w:rPr>
        <w:t>2014 年在粤东地区率先开设用药咨询门诊， </w:t>
      </w:r>
      <w:r>
        <w:rPr>
          <w:spacing w:val="-17"/>
        </w:rPr>
        <w:t>目前已开设肿瘤科、糖尿病、肾内科药学门诊。不断加大临床药师队伍建设和职业技能培训， </w:t>
      </w:r>
      <w:r>
        <w:rPr>
          <w:spacing w:val="-5"/>
        </w:rPr>
        <w:t>发起成立广东省药学会粤东地区医院药学联盟委员会，组队参加中国药师职业技能大赛获广东省第二名，2016</w:t>
      </w:r>
      <w:r>
        <w:rPr>
          <w:spacing w:val="-11"/>
        </w:rPr>
        <w:t> 年参加广东省药学会组织的美国药师协会 </w:t>
      </w:r>
      <w:r>
        <w:rPr/>
        <w:t>MTM</w:t>
      </w:r>
      <w:r>
        <w:rPr>
          <w:spacing w:val="-20"/>
        </w:rPr>
        <w:t> 培训，获 </w:t>
      </w:r>
      <w:r>
        <w:rPr/>
        <w:t>MTM</w:t>
      </w:r>
      <w:r>
        <w:rPr>
          <w:spacing w:val="-10"/>
        </w:rPr>
        <w:t> 证书和师资培训资格。</w:t>
      </w:r>
    </w:p>
    <w:p>
      <w:pPr>
        <w:pStyle w:val="BodyText"/>
        <w:spacing w:line="295" w:lineRule="auto"/>
        <w:ind w:right="467" w:firstLine="480"/>
        <w:jc w:val="both"/>
      </w:pPr>
      <w:r>
        <w:rPr>
          <w:spacing w:val="-8"/>
        </w:rPr>
        <w:t>参与广东省药学会组织的《医疗机构超药品说明书用药管理专家共识》《药师与医师抗</w:t>
      </w:r>
      <w:r>
        <w:rPr>
          <w:spacing w:val="-9"/>
        </w:rPr>
        <w:t>栓治疗协议推荐文本》《肠外营养临床药学共识》和《氟喹诺酮类抗菌药物在儿童应用中的</w:t>
      </w:r>
      <w:r>
        <w:rPr>
          <w:spacing w:val="-4"/>
        </w:rPr>
        <w:t>专家共识》的编写，获得国家发明专利 </w:t>
      </w:r>
      <w:r>
        <w:rPr/>
        <w:t>1</w:t>
      </w:r>
      <w:r>
        <w:rPr>
          <w:spacing w:val="-20"/>
        </w:rPr>
        <w:t> 项。</w:t>
      </w:r>
    </w:p>
    <w:p>
      <w:pPr>
        <w:pStyle w:val="BodyText"/>
        <w:ind w:left="697"/>
      </w:pPr>
      <w:r>
        <w:rPr/>
        <w:t>连续三年医院年度考核均为优秀。</w:t>
      </w:r>
    </w:p>
    <w:p>
      <w:pPr>
        <w:pStyle w:val="BodyText"/>
        <w:spacing w:line="295" w:lineRule="auto" w:before="58"/>
        <w:ind w:right="347" w:firstLine="480"/>
      </w:pPr>
      <w:r>
        <w:rPr>
          <w:spacing w:val="-16"/>
        </w:rPr>
        <w:t>兼任广东省药学会理事、医院药学专业委员会委员，粤东地区医院药学联盟副主任委员， </w:t>
      </w:r>
      <w:r>
        <w:rPr/>
        <w:t>广东省药理学会药物经济学专业委员会副主任委员、药学监护专业委员会副主任委员。</w:t>
      </w:r>
    </w:p>
    <w:p>
      <w:pPr>
        <w:pStyle w:val="BodyText"/>
        <w:spacing w:before="6"/>
        <w:ind w:left="0"/>
        <w:rPr>
          <w:sz w:val="18"/>
        </w:rPr>
      </w:pPr>
    </w:p>
    <w:p>
      <w:pPr>
        <w:pStyle w:val="Heading2"/>
        <w:ind w:right="251"/>
        <w:jc w:val="center"/>
      </w:pPr>
      <w:bookmarkStart w:name="_TOC_250004" w:id="27"/>
      <w:bookmarkEnd w:id="27"/>
      <w:r>
        <w:rPr/>
        <w:t>广东省药学会——郑志华</w:t>
      </w:r>
    </w:p>
    <w:p>
      <w:pPr>
        <w:pStyle w:val="Heading4"/>
        <w:spacing w:before="220"/>
        <w:ind w:left="0" w:right="253"/>
        <w:jc w:val="center"/>
        <w:rPr>
          <w:rFonts w:ascii="楷体" w:eastAsia="楷体" w:hint="eastAsia"/>
        </w:rPr>
      </w:pPr>
      <w:r>
        <w:rPr>
          <w:rFonts w:ascii="楷体" w:eastAsia="楷体" w:hint="eastAsia"/>
        </w:rPr>
        <w:t>励志寄语：心有多大，舞台就有多大！</w:t>
      </w:r>
    </w:p>
    <w:p>
      <w:pPr>
        <w:pStyle w:val="BodyText"/>
        <w:spacing w:line="297" w:lineRule="auto" w:before="170"/>
        <w:ind w:right="467" w:firstLine="480"/>
        <w:jc w:val="both"/>
      </w:pPr>
      <w:r>
        <w:rPr>
          <w:spacing w:val="-2"/>
        </w:rPr>
        <w:t>郑志华，现任广东省药学会秘书长，主任药师，从事药学服务工作 </w:t>
      </w:r>
      <w:r>
        <w:rPr/>
        <w:t>26</w:t>
      </w:r>
      <w:r>
        <w:rPr>
          <w:spacing w:val="-8"/>
        </w:rPr>
        <w:t> 年。负责广东省</w:t>
      </w:r>
      <w:r>
        <w:rPr>
          <w:spacing w:val="-13"/>
        </w:rPr>
        <w:t>药学会秘书处全面工作，在组织制定行业规范，促进行业发展，引进国际先进理念，推动医</w:t>
      </w:r>
      <w:r>
        <w:rPr>
          <w:spacing w:val="-10"/>
        </w:rPr>
        <w:t>院药学服务转型，利用社会资源，创设科研奖励基金，拓宽国外人才培养渠道等方面取得突</w:t>
      </w:r>
      <w:r>
        <w:rPr/>
        <w:t>出成绩。</w:t>
      </w:r>
    </w:p>
    <w:p>
      <w:pPr>
        <w:pStyle w:val="BodyText"/>
        <w:spacing w:line="297" w:lineRule="auto"/>
        <w:ind w:right="467" w:firstLine="480"/>
        <w:jc w:val="both"/>
      </w:pPr>
      <w:r>
        <w:rPr>
          <w:spacing w:val="-6"/>
        </w:rPr>
        <w:t>超药品说明书用药规范管理工作属国内领先，有关工作成果以“改变中国超药品说明书</w:t>
      </w:r>
      <w:r>
        <w:rPr/>
        <w:t>用药的观念”为题在全球四大主导医学期刊之一的《英国医学杂志》（The BMJ）发表，并</w:t>
      </w:r>
      <w:r>
        <w:rPr>
          <w:spacing w:val="-8"/>
        </w:rPr>
        <w:t>入编原国家卫计委规划教材和《执业药师蓝皮书——中国执业药师发展报告</w:t>
      </w:r>
      <w:r>
        <w:rPr>
          <w:spacing w:val="-12"/>
        </w:rPr>
        <w:t>（2015）</w:t>
      </w:r>
      <w:r>
        <w:rPr>
          <w:spacing w:val="-69"/>
        </w:rPr>
        <w:t>》。</w:t>
      </w:r>
      <w:r>
        <w:rPr/>
        <w:t>2017 </w:t>
      </w:r>
      <w:r>
        <w:rPr>
          <w:spacing w:val="-12"/>
        </w:rPr>
        <w:t>年在《欧洲医院药学杂志》撰文，分享中国药师在超说明书用药管理中的作用，并指出药师</w:t>
      </w:r>
      <w:r>
        <w:rPr>
          <w:spacing w:val="-9"/>
        </w:rPr>
        <w:t>参与超说明书用药管理，提高了患者的获益。为帮助广大临床医生和药师规避超说明书用药</w:t>
      </w:r>
      <w:r>
        <w:rPr>
          <w:spacing w:val="-10"/>
        </w:rPr>
        <w:t>的法律风险，参与主编并出版《超药品说明书用药诉讼案例分析》，《超药品说明书用药目</w:t>
      </w:r>
      <w:r>
        <w:rPr>
          <w:spacing w:val="-17"/>
        </w:rPr>
        <w:t>录》已编制 </w:t>
      </w:r>
      <w:r>
        <w:rPr/>
        <w:t>2015-2017</w:t>
      </w:r>
      <w:r>
        <w:rPr>
          <w:spacing w:val="-13"/>
        </w:rPr>
        <w:t> 年共三版，在行业内引起较大反响，被中华医学会等专业网站多次转</w:t>
      </w:r>
      <w:r>
        <w:rPr/>
        <w:t>发。</w:t>
      </w:r>
    </w:p>
    <w:p>
      <w:pPr>
        <w:pStyle w:val="BodyText"/>
        <w:spacing w:line="296" w:lineRule="exact"/>
        <w:ind w:left="697"/>
        <w:jc w:val="both"/>
      </w:pPr>
      <w:r>
        <w:rPr/>
        <w:t>2016 年筹措了 100 多万元的资金，与美国药师协会（APhA）合作开办了药物治疗管理</w:t>
      </w:r>
    </w:p>
    <w:p>
      <w:pPr>
        <w:pStyle w:val="BodyText"/>
        <w:spacing w:before="71"/>
        <w:jc w:val="both"/>
      </w:pPr>
      <w:r>
        <w:rPr>
          <w:spacing w:val="-7"/>
        </w:rPr>
        <w:t>（MTM）</w:t>
      </w:r>
      <w:r>
        <w:rPr>
          <w:spacing w:val="-12"/>
        </w:rPr>
        <w:t>培训班，并翻译出版有关教材，在广东地区培养了 </w:t>
      </w:r>
      <w:r>
        <w:rPr/>
        <w:t>55</w:t>
      </w:r>
      <w:r>
        <w:rPr>
          <w:spacing w:val="-40"/>
        </w:rPr>
        <w:t> 名 </w:t>
      </w:r>
      <w:r>
        <w:rPr/>
        <w:t>MTM</w:t>
      </w:r>
      <w:r>
        <w:rPr>
          <w:spacing w:val="-24"/>
        </w:rPr>
        <w:t> 药师和 </w:t>
      </w:r>
      <w:r>
        <w:rPr/>
        <w:t>13</w:t>
      </w:r>
      <w:r>
        <w:rPr>
          <w:spacing w:val="-9"/>
        </w:rPr>
        <w:t> 名培训讲师。</w:t>
      </w:r>
    </w:p>
    <w:p>
      <w:pPr>
        <w:spacing w:after="0"/>
        <w:jc w:val="both"/>
        <w:sectPr>
          <w:pgSz w:w="11910" w:h="16850"/>
          <w:pgMar w:header="906" w:footer="607" w:top="1100" w:bottom="800" w:left="1060" w:right="660"/>
        </w:sectPr>
      </w:pPr>
    </w:p>
    <w:p>
      <w:pPr>
        <w:pStyle w:val="BodyText"/>
        <w:spacing w:before="65"/>
      </w:pPr>
      <w:r>
        <w:rPr>
          <w:spacing w:val="-9"/>
        </w:rPr>
        <w:t>在此基础上于 </w:t>
      </w:r>
      <w:r>
        <w:rPr/>
        <w:t>2017</w:t>
      </w:r>
      <w:r>
        <w:rPr>
          <w:spacing w:val="-40"/>
        </w:rPr>
        <w:t> 年 </w:t>
      </w:r>
      <w:r>
        <w:rPr/>
        <w:t>2</w:t>
      </w:r>
      <w:r>
        <w:rPr>
          <w:spacing w:val="-30"/>
        </w:rPr>
        <w:t> 月和 </w:t>
      </w:r>
      <w:r>
        <w:rPr/>
        <w:t>4</w:t>
      </w:r>
      <w:r>
        <w:rPr>
          <w:spacing w:val="-14"/>
        </w:rPr>
        <w:t> 月两次发文推动在医院内设立药学门诊。截至 </w:t>
      </w:r>
      <w:r>
        <w:rPr/>
        <w:t>2017</w:t>
      </w:r>
      <w:r>
        <w:rPr>
          <w:spacing w:val="-23"/>
        </w:rPr>
        <w:t> 年底，广</w:t>
      </w:r>
    </w:p>
    <w:p>
      <w:pPr>
        <w:pStyle w:val="BodyText"/>
        <w:spacing w:line="297" w:lineRule="auto" w:before="72"/>
        <w:ind w:right="346"/>
      </w:pPr>
      <w:r>
        <w:rPr>
          <w:spacing w:val="-11"/>
        </w:rPr>
        <w:t>东省内已有 </w:t>
      </w:r>
      <w:r>
        <w:rPr/>
        <w:t>39</w:t>
      </w:r>
      <w:r>
        <w:rPr>
          <w:spacing w:val="-8"/>
        </w:rPr>
        <w:t> 家医院设立了收费的药学门诊，有关工作在《欧洲医院药学杂志》</w:t>
      </w:r>
      <w:r>
        <w:rPr/>
        <w:t>（EJHP） </w:t>
      </w:r>
      <w:r>
        <w:rPr>
          <w:spacing w:val="-10"/>
        </w:rPr>
        <w:t>发表，并在《光明日报》、广州电视台等国内多家媒体报道。在国内引入“</w:t>
      </w:r>
      <w:r>
        <w:rPr/>
        <w:t>Deprescribing” 的概念，引入了“处方级联（Prescribing Cascade）”概念，并在《今日药学》杂志分别</w:t>
      </w:r>
      <w:r>
        <w:rPr>
          <w:spacing w:val="-4"/>
        </w:rPr>
        <w:t>发表了国内首篇专论。“药学</w:t>
      </w:r>
      <w:r>
        <w:rPr/>
        <w:t>（师</w:t>
      </w:r>
      <w:r>
        <w:rPr>
          <w:spacing w:val="-15"/>
        </w:rPr>
        <w:t>）</w:t>
      </w:r>
      <w:r>
        <w:rPr>
          <w:spacing w:val="-6"/>
        </w:rPr>
        <w:t>门诊”已被写入广东省、广州市卫生计生委文件，被列入《广东省高水平医院评价指标》，在国内医院药学具有较大影响。</w:t>
      </w:r>
    </w:p>
    <w:p>
      <w:pPr>
        <w:pStyle w:val="BodyText"/>
        <w:spacing w:line="295" w:lineRule="auto"/>
        <w:ind w:right="470" w:firstLine="480"/>
      </w:pPr>
      <w:r>
        <w:rPr>
          <w:spacing w:val="-5"/>
        </w:rPr>
        <w:t>主持编写我国第一个静脉用药调配中心质量管理规范文件，启动静脉用药调配中心评估</w:t>
      </w:r>
      <w:r>
        <w:rPr/>
        <w:t>工作，2006</w:t>
      </w:r>
      <w:r>
        <w:rPr>
          <w:spacing w:val="-8"/>
        </w:rPr>
        <w:t> 年起，负责建立“广东省医院药学研究基金”、“广东省临床合理用药研究基</w:t>
      </w:r>
      <w:r>
        <w:rPr>
          <w:spacing w:val="-10"/>
        </w:rPr>
        <w:t>金”等多个科研基金及“广东省药学会医院药学科学技术奖”，至 </w:t>
      </w:r>
      <w:r>
        <w:rPr/>
        <w:t>2017</w:t>
      </w:r>
      <w:r>
        <w:rPr>
          <w:spacing w:val="-8"/>
        </w:rPr>
        <w:t> 年底已发放科研基</w:t>
      </w:r>
    </w:p>
    <w:p>
      <w:pPr>
        <w:pStyle w:val="BodyText"/>
      </w:pPr>
      <w:r>
        <w:rPr/>
        <w:t>金 600 余万元。</w:t>
      </w:r>
    </w:p>
    <w:p>
      <w:pPr>
        <w:pStyle w:val="BodyText"/>
        <w:spacing w:before="72"/>
        <w:ind w:left="697"/>
      </w:pPr>
      <w:r>
        <w:rPr/>
        <w:t>在国内外发表论文 30 余篇，其中 SCI 文章 10 篇。</w:t>
      </w:r>
    </w:p>
    <w:p>
      <w:pPr>
        <w:pStyle w:val="BodyText"/>
        <w:spacing w:line="297" w:lineRule="auto" w:before="71"/>
        <w:ind w:right="467" w:firstLine="480"/>
      </w:pPr>
      <w:r>
        <w:rPr/>
        <w:t>2017</w:t>
      </w:r>
      <w:r>
        <w:rPr>
          <w:spacing w:val="-8"/>
        </w:rPr>
        <w:t> 年荣获人力资源社会保障部、中国科协“全国科协系统先进工作者”，获得广东</w:t>
      </w:r>
      <w:r>
        <w:rPr>
          <w:spacing w:val="-13"/>
        </w:rPr>
        <w:t>省科学技术协会省级学会优秀秘书长，广东省全省性社会组织优秀共产党员，全国、广东省</w:t>
      </w:r>
      <w:r>
        <w:rPr/>
        <w:t>无偿献血奉献奖。</w:t>
      </w:r>
    </w:p>
    <w:p>
      <w:pPr>
        <w:pStyle w:val="BodyText"/>
        <w:spacing w:before="10"/>
        <w:ind w:left="0"/>
        <w:rPr>
          <w:sz w:val="17"/>
        </w:rPr>
      </w:pPr>
    </w:p>
    <w:p>
      <w:pPr>
        <w:pStyle w:val="Heading2"/>
        <w:spacing w:before="1"/>
        <w:ind w:right="249"/>
        <w:jc w:val="center"/>
      </w:pPr>
      <w:bookmarkStart w:name="_TOC_250003" w:id="28"/>
      <w:bookmarkEnd w:id="28"/>
      <w:r>
        <w:rPr/>
        <w:t>广西中医药大学附属瑞康医院——黄小鸥</w:t>
      </w:r>
    </w:p>
    <w:p>
      <w:pPr>
        <w:pStyle w:val="Heading4"/>
        <w:spacing w:before="222"/>
        <w:ind w:left="217"/>
        <w:rPr>
          <w:rFonts w:ascii="楷体" w:eastAsia="楷体" w:hint="eastAsia"/>
        </w:rPr>
      </w:pPr>
      <w:r>
        <w:rPr>
          <w:rFonts w:ascii="楷体" w:eastAsia="楷体" w:hint="eastAsia"/>
        </w:rPr>
        <w:t>励志寄语：胜利不是战胜敌人，而是提高自己。我们只要每天进步百分之一，那就是成功。</w:t>
      </w:r>
    </w:p>
    <w:p>
      <w:pPr>
        <w:pStyle w:val="BodyText"/>
        <w:spacing w:line="312" w:lineRule="auto" w:before="184"/>
        <w:ind w:right="470" w:firstLine="480"/>
        <w:jc w:val="both"/>
      </w:pPr>
      <w:r>
        <w:rPr>
          <w:spacing w:val="-9"/>
        </w:rPr>
        <w:t>黄小鸥，广西中医药大学附属瑞康医院药学部主任，副主任中药师，执业中药师，从事</w:t>
      </w:r>
      <w:r>
        <w:rPr>
          <w:spacing w:val="-13"/>
        </w:rPr>
        <w:t>药学工作 </w:t>
      </w:r>
      <w:r>
        <w:rPr/>
        <w:t>38</w:t>
      </w:r>
      <w:r>
        <w:rPr>
          <w:spacing w:val="-8"/>
        </w:rPr>
        <w:t> 年。掌握国内外药学现状及发展趋势，精通中药学学科的基础理论、专业知识及临床药学相关学科理论，深入了解药学有关法律、法规、标准及技术规范。</w:t>
      </w:r>
    </w:p>
    <w:p>
      <w:pPr>
        <w:pStyle w:val="BodyText"/>
        <w:spacing w:line="312" w:lineRule="auto" w:before="1"/>
        <w:ind w:right="346" w:firstLine="480"/>
      </w:pPr>
      <w:r>
        <w:rPr>
          <w:spacing w:val="-6"/>
        </w:rPr>
        <w:t>参与医疗机构制剂室 </w:t>
      </w:r>
      <w:r>
        <w:rPr/>
        <w:t>GMP</w:t>
      </w:r>
      <w:r>
        <w:rPr>
          <w:spacing w:val="-13"/>
        </w:rPr>
        <w:t> 的认证工作，成立质量保证组和质量控制组，严格把控生产各个环节，加强对生产全过程的环境动态监测，使医院制剂室顺利通过 </w:t>
      </w:r>
      <w:r>
        <w:rPr/>
        <w:t>GMP</w:t>
      </w:r>
      <w:r>
        <w:rPr>
          <w:spacing w:val="-13"/>
        </w:rPr>
        <w:t> 验证。完善和加强GCP</w:t>
      </w:r>
      <w:r>
        <w:rPr>
          <w:spacing w:val="-10"/>
        </w:rPr>
        <w:t> 质控建设，启动、在研、完成数个药物临床试验和医疗器械临床试验工作项目。在临床</w:t>
      </w:r>
      <w:r>
        <w:rPr>
          <w:spacing w:val="-19"/>
        </w:rPr>
        <w:t>药学服务方面积极走进临床一线，开展以合理用药为中心的临床药学服务，开展对门诊处方、</w:t>
      </w:r>
      <w:r>
        <w:rPr>
          <w:spacing w:val="-7"/>
        </w:rPr>
        <w:t>住院医嘱进行处方点评，手术及非手术病历医嘱点评，不良反应上报，建立抗菌药物临床使</w:t>
      </w:r>
      <w:r>
        <w:rPr>
          <w:spacing w:val="-12"/>
        </w:rPr>
        <w:t>用预警机制，抗菌药物专项点评，指导临床合理使用抗生素。深入各个科室，指导临床科室更加规范、合理地使用药物，积极参与质控部组织的质控查房、全院大会诊以及行政查房， 充分发挥了药学部的作用。</w:t>
      </w:r>
    </w:p>
    <w:p>
      <w:pPr>
        <w:pStyle w:val="BodyText"/>
        <w:spacing w:line="312" w:lineRule="auto" w:before="2"/>
        <w:ind w:right="367" w:firstLine="480"/>
      </w:pPr>
      <w:r>
        <w:rPr>
          <w:spacing w:val="-6"/>
        </w:rPr>
        <w:t>重视科室学习与人员培训，组织参加国内、区内药学相关学术会议及论坛十余次，从多</w:t>
      </w:r>
      <w:r>
        <w:rPr>
          <w:spacing w:val="-7"/>
        </w:rPr>
        <w:t>个方面提升科室职工的学术水平，承担广西中医药大学临床药学专业本科生的的授课任务， </w:t>
      </w:r>
      <w:r>
        <w:rPr/>
        <w:t>负责《医院药学》、《ADR</w:t>
      </w:r>
      <w:r>
        <w:rPr>
          <w:spacing w:val="-8"/>
        </w:rPr>
        <w:t> 与药物警戒》相关章节的授课工作。</w:t>
      </w:r>
    </w:p>
    <w:p>
      <w:pPr>
        <w:pStyle w:val="BodyText"/>
        <w:spacing w:before="1"/>
        <w:ind w:left="0" w:right="468"/>
        <w:jc w:val="right"/>
      </w:pPr>
      <w:r>
        <w:rPr>
          <w:spacing w:val="-13"/>
        </w:rPr>
        <w:t>主持课题 </w:t>
      </w:r>
      <w:r>
        <w:rPr/>
        <w:t>2</w:t>
      </w:r>
      <w:r>
        <w:rPr>
          <w:spacing w:val="-15"/>
        </w:rPr>
        <w:t> 项，其中广西壮族自治区卫生厅课题 </w:t>
      </w:r>
      <w:r>
        <w:rPr/>
        <w:t>1</w:t>
      </w:r>
      <w:r>
        <w:rPr>
          <w:spacing w:val="-12"/>
        </w:rPr>
        <w:t> 项，广西壮族自治区中医药管理局课</w:t>
      </w:r>
    </w:p>
    <w:p>
      <w:pPr>
        <w:pStyle w:val="BodyText"/>
        <w:spacing w:before="93"/>
        <w:ind w:left="0" w:right="470"/>
        <w:jc w:val="right"/>
      </w:pPr>
      <w:r>
        <w:rPr>
          <w:spacing w:val="-30"/>
        </w:rPr>
        <w:t>题 </w:t>
      </w:r>
      <w:r>
        <w:rPr/>
        <w:t>1</w:t>
      </w:r>
      <w:r>
        <w:rPr>
          <w:spacing w:val="-19"/>
        </w:rPr>
        <w:t> 项，参加课题 </w:t>
      </w:r>
      <w:r>
        <w:rPr/>
        <w:t>4</w:t>
      </w:r>
      <w:r>
        <w:rPr>
          <w:spacing w:val="-13"/>
        </w:rPr>
        <w:t> 项，其中《壮药双三抗感颗粒的药学研究》获广西壮族自治区科学技术</w:t>
      </w:r>
    </w:p>
    <w:p>
      <w:pPr>
        <w:pStyle w:val="BodyText"/>
        <w:spacing w:before="94"/>
      </w:pPr>
      <w:r>
        <w:rPr/>
        <w:t>成果奖。2015 年至今共发表学术论文 5 篇，其中中文核心期刊 1 篇、科技核心 4 篇。</w:t>
      </w:r>
    </w:p>
    <w:p>
      <w:pPr>
        <w:pStyle w:val="BodyText"/>
        <w:spacing w:line="312" w:lineRule="auto" w:before="91"/>
        <w:ind w:right="546" w:firstLine="480"/>
        <w:jc w:val="both"/>
      </w:pPr>
      <w:r>
        <w:rPr>
          <w:spacing w:val="-31"/>
        </w:rPr>
        <w:t>在 </w:t>
      </w:r>
      <w:r>
        <w:rPr/>
        <w:t>2015</w:t>
      </w:r>
      <w:r>
        <w:rPr>
          <w:spacing w:val="-40"/>
        </w:rPr>
        <w:t> 年 </w:t>
      </w:r>
      <w:r>
        <w:rPr/>
        <w:t>10</w:t>
      </w:r>
      <w:r>
        <w:rPr>
          <w:spacing w:val="-30"/>
        </w:rPr>
        <w:t> 月</w:t>
      </w:r>
      <w:r>
        <w:rPr/>
        <w:t>—2016</w:t>
      </w:r>
      <w:r>
        <w:rPr>
          <w:spacing w:val="-40"/>
        </w:rPr>
        <w:t> 年 </w:t>
      </w:r>
      <w:r>
        <w:rPr/>
        <w:t>1</w:t>
      </w:r>
      <w:r>
        <w:rPr>
          <w:spacing w:val="-9"/>
        </w:rPr>
        <w:t> 月驻隆安县精准扶贫工作中成绩突出，获中共广西中医药</w:t>
      </w:r>
      <w:r>
        <w:rPr/>
        <w:t>大学附属瑞康医院委员会奖励。多次被评为广西中医药大学年度优秀党员、党务工作者。</w:t>
      </w:r>
    </w:p>
    <w:p>
      <w:pPr>
        <w:spacing w:after="0" w:line="312" w:lineRule="auto"/>
        <w:jc w:val="both"/>
        <w:sectPr>
          <w:pgSz w:w="11910" w:h="16850"/>
          <w:pgMar w:header="906" w:footer="607" w:top="1100" w:bottom="800" w:left="1060" w:right="660"/>
        </w:sectPr>
      </w:pPr>
    </w:p>
    <w:p>
      <w:pPr>
        <w:pStyle w:val="BodyText"/>
        <w:spacing w:line="312" w:lineRule="auto" w:before="79"/>
        <w:ind w:right="467" w:firstLine="480"/>
        <w:jc w:val="both"/>
      </w:pPr>
      <w:r>
        <w:rPr>
          <w:spacing w:val="-5"/>
        </w:rPr>
        <w:t>兼任世界中医药学会联合会药膳食疗研究专业委员会理事，中华中医药学会中药毒理学</w:t>
      </w:r>
      <w:r>
        <w:rPr>
          <w:spacing w:val="-8"/>
        </w:rPr>
        <w:t>与安全性研究分会委员、医院药学分会常务委员、李时珍研究分会常务委员，中国中药协会药物临床评价研究专业委员会常委，广西中医药学会医院中药管理专业委员会副主任委员兼</w:t>
      </w:r>
      <w:r>
        <w:rPr>
          <w:spacing w:val="-13"/>
        </w:rPr>
        <w:t>秘书，广西药师协会常务理事，广西壮族自治区食品药品监督管理局药物临床试验现场检查</w:t>
      </w:r>
      <w:r>
        <w:rPr/>
        <w:t>员，广西医师协会医学伦理医师分会委员，南宁市药学会常务理事、理事会监事。</w:t>
      </w:r>
    </w:p>
    <w:p>
      <w:pPr>
        <w:pStyle w:val="BodyText"/>
        <w:ind w:left="0"/>
        <w:rPr>
          <w:sz w:val="17"/>
        </w:rPr>
      </w:pPr>
    </w:p>
    <w:p>
      <w:pPr>
        <w:pStyle w:val="Heading2"/>
        <w:spacing w:before="1"/>
        <w:ind w:right="251"/>
        <w:jc w:val="center"/>
      </w:pPr>
      <w:bookmarkStart w:name="_TOC_250002" w:id="29"/>
      <w:bookmarkEnd w:id="29"/>
      <w:r>
        <w:rPr/>
        <w:t>贵港市人民医院——曾毅</w:t>
      </w:r>
    </w:p>
    <w:p>
      <w:pPr>
        <w:pStyle w:val="Heading4"/>
        <w:spacing w:before="219"/>
        <w:ind w:left="0" w:right="251"/>
        <w:jc w:val="center"/>
        <w:rPr>
          <w:rFonts w:ascii="楷体" w:eastAsia="楷体" w:hint="eastAsia"/>
        </w:rPr>
      </w:pPr>
      <w:r>
        <w:rPr>
          <w:rFonts w:ascii="楷体" w:eastAsia="楷体" w:hint="eastAsia"/>
        </w:rPr>
        <w:t>励志寄语：最重要的事不在于我们在何处，而在于我们朝着什么方向走。</w:t>
      </w:r>
    </w:p>
    <w:p>
      <w:pPr>
        <w:pStyle w:val="BodyText"/>
        <w:spacing w:line="328" w:lineRule="auto" w:before="204"/>
        <w:ind w:right="467" w:firstLine="480"/>
        <w:jc w:val="both"/>
      </w:pPr>
      <w:r>
        <w:rPr>
          <w:spacing w:val="-10"/>
        </w:rPr>
        <w:t>曾毅，现任贵港市人民医院医务科副科长，医保办主任，主任药师、副教授，从事药学</w:t>
      </w:r>
      <w:r>
        <w:rPr>
          <w:spacing w:val="-20"/>
        </w:rPr>
        <w:t>工作 </w:t>
      </w:r>
      <w:r>
        <w:rPr/>
        <w:t>20</w:t>
      </w:r>
      <w:r>
        <w:rPr>
          <w:spacing w:val="-8"/>
        </w:rPr>
        <w:t> 年。主要负责医院药事管理，医政医务等工作。严格履行岗位职责，业务出色，科</w:t>
      </w:r>
      <w:r>
        <w:rPr>
          <w:spacing w:val="-14"/>
        </w:rPr>
        <w:t>室管理成绩突出，在医院等级评审工作中，在特殊药品管理、抗菌药物专项整治等工作中均</w:t>
      </w:r>
      <w:r>
        <w:rPr>
          <w:spacing w:val="-8"/>
        </w:rPr>
        <w:t>高质量完成任务；在执行零差率政策后，积极加强药事管理，调整药品管理方案，使医院药</w:t>
      </w:r>
      <w:r>
        <w:rPr>
          <w:spacing w:val="-13"/>
        </w:rPr>
        <w:t>占比短期内稳定控制在 </w:t>
      </w:r>
      <w:r>
        <w:rPr/>
        <w:t>30%以内。</w:t>
      </w:r>
    </w:p>
    <w:p>
      <w:pPr>
        <w:pStyle w:val="BodyText"/>
        <w:spacing w:line="328" w:lineRule="auto"/>
        <w:ind w:right="466" w:firstLine="480"/>
        <w:jc w:val="both"/>
      </w:pPr>
      <w:r>
        <w:rPr>
          <w:spacing w:val="-8"/>
        </w:rPr>
        <w:t>坚持创建药学一流学科，积极拓展药事服务项目，在自治区内率先开发“药品物流智能</w:t>
      </w:r>
      <w:r>
        <w:rPr>
          <w:spacing w:val="-9"/>
        </w:rPr>
        <w:t>一体化管理系统平台”，率先引进全自动摆药机开展单剂量配发工作，建成静脉用药调配中</w:t>
      </w:r>
      <w:r>
        <w:rPr>
          <w:spacing w:val="-11"/>
        </w:rPr>
        <w:t>心，引进门诊自动发药系统，在本地市率先开展血清药物浓度监测工作。学科建设和药学服</w:t>
      </w:r>
      <w:r>
        <w:rPr>
          <w:spacing w:val="-8"/>
        </w:rPr>
        <w:t>务能力达到区内领先水平。带头起草《贵港市人民医院药剂科药师规范化培训细则》，牵头</w:t>
      </w:r>
      <w:r>
        <w:rPr>
          <w:spacing w:val="-12"/>
        </w:rPr>
        <w:t>举办“青年药师成长论坛”、“贵港市临床药师沙龙”和“贵港市人民医院药师职业技能大</w:t>
      </w:r>
      <w:r>
        <w:rPr/>
        <w:t>赛”等系列活动，为药师搭建了交流学习的平台。</w:t>
      </w:r>
    </w:p>
    <w:p>
      <w:pPr>
        <w:pStyle w:val="BodyText"/>
        <w:spacing w:line="328" w:lineRule="auto"/>
        <w:ind w:right="467" w:firstLine="480"/>
        <w:jc w:val="both"/>
      </w:pPr>
      <w:r>
        <w:rPr>
          <w:spacing w:val="-7"/>
        </w:rPr>
        <w:t>获得“广西医药卫生适宜技术推广奖三等奖”</w:t>
      </w:r>
      <w:r>
        <w:rPr>
          <w:spacing w:val="-13"/>
        </w:rPr>
        <w:t>2</w:t>
      </w:r>
      <w:r>
        <w:rPr>
          <w:spacing w:val="-29"/>
        </w:rPr>
        <w:t> 项。</w:t>
      </w:r>
      <w:r>
        <w:rPr/>
        <w:t>2017</w:t>
      </w:r>
      <w:r>
        <w:rPr>
          <w:spacing w:val="-14"/>
        </w:rPr>
        <w:t> 年在研市级课题 </w:t>
      </w:r>
      <w:r>
        <w:rPr/>
        <w:t>2</w:t>
      </w:r>
      <w:r>
        <w:rPr>
          <w:spacing w:val="-17"/>
        </w:rPr>
        <w:t> 项。撰写论</w:t>
      </w:r>
      <w:r>
        <w:rPr>
          <w:spacing w:val="-30"/>
        </w:rPr>
        <w:t>文 </w:t>
      </w:r>
      <w:r>
        <w:rPr/>
        <w:t>20</w:t>
      </w:r>
      <w:r>
        <w:rPr>
          <w:spacing w:val="-18"/>
        </w:rPr>
        <w:t> 多篇，其中 </w:t>
      </w:r>
      <w:r>
        <w:rPr/>
        <w:t>2015</w:t>
      </w:r>
      <w:r>
        <w:rPr>
          <w:spacing w:val="-16"/>
        </w:rPr>
        <w:t> 年来发表论文 </w:t>
      </w:r>
      <w:r>
        <w:rPr/>
        <w:t>3</w:t>
      </w:r>
      <w:r>
        <w:rPr>
          <w:spacing w:val="-14"/>
        </w:rPr>
        <w:t> 篇，其中外文期刊 </w:t>
      </w:r>
      <w:r>
        <w:rPr/>
        <w:t>1</w:t>
      </w:r>
      <w:r>
        <w:rPr>
          <w:spacing w:val="-20"/>
        </w:rPr>
        <w:t> 篇，获得 </w:t>
      </w:r>
      <w:r>
        <w:rPr/>
        <w:t>2016</w:t>
      </w:r>
      <w:r>
        <w:rPr>
          <w:spacing w:val="-8"/>
        </w:rPr>
        <w:t> 年度广西药学会</w:t>
      </w:r>
      <w:r>
        <w:rPr>
          <w:spacing w:val="-14"/>
        </w:rPr>
        <w:t>“国控”医院药学优秀论文奖二等奖；以项目负责人举办自治区级 </w:t>
      </w:r>
      <w:r>
        <w:rPr/>
        <w:t>I</w:t>
      </w:r>
      <w:r>
        <w:rPr>
          <w:spacing w:val="-9"/>
        </w:rPr>
        <w:t> 类学分药学继续教育项</w:t>
      </w:r>
      <w:r>
        <w:rPr>
          <w:spacing w:val="-30"/>
        </w:rPr>
        <w:t>目 </w:t>
      </w:r>
      <w:r>
        <w:rPr/>
        <w:t>8</w:t>
      </w:r>
      <w:r>
        <w:rPr>
          <w:spacing w:val="-20"/>
        </w:rPr>
        <w:t> 项。</w:t>
      </w:r>
    </w:p>
    <w:p>
      <w:pPr>
        <w:pStyle w:val="BodyText"/>
        <w:spacing w:line="328" w:lineRule="auto"/>
        <w:ind w:right="467" w:firstLine="480"/>
      </w:pPr>
      <w:r>
        <w:rPr>
          <w:spacing w:val="-9"/>
        </w:rPr>
        <w:t>所在科室获得医院“先进集体”、“学科建设突出成果集体提名奖”、年度管理创新奖</w:t>
      </w:r>
      <w:r>
        <w:rPr>
          <w:spacing w:val="-7"/>
        </w:rPr>
        <w:t>二等奖，个人荣获 </w:t>
      </w:r>
      <w:r>
        <w:rPr/>
        <w:t>2016</w:t>
      </w:r>
      <w:r>
        <w:rPr>
          <w:spacing w:val="-8"/>
        </w:rPr>
        <w:t> 年度广西药学会“优秀药师”称号， </w:t>
      </w:r>
      <w:r>
        <w:rPr/>
        <w:t>2016</w:t>
      </w:r>
      <w:r>
        <w:rPr>
          <w:spacing w:val="-8"/>
        </w:rPr>
        <w:t> 年“贵港市放射诊疗管理规范化建设工作先进个人”，多次获医院先进工作者表彰。</w:t>
      </w:r>
    </w:p>
    <w:p>
      <w:pPr>
        <w:pStyle w:val="BodyText"/>
        <w:spacing w:line="328" w:lineRule="auto"/>
        <w:ind w:right="470" w:firstLine="480"/>
      </w:pPr>
      <w:r>
        <w:rPr>
          <w:spacing w:val="-6"/>
        </w:rPr>
        <w:t>兼任广西药学会医院药学专业委员会常务委员，广西医院协会医院药事管理专业委员会</w:t>
      </w:r>
      <w:r>
        <w:rPr/>
        <w:t>常务委员，贵港市医学会第三届理事。</w:t>
      </w:r>
    </w:p>
    <w:p>
      <w:pPr>
        <w:pStyle w:val="Heading4"/>
        <w:spacing w:line="363" w:lineRule="exact"/>
        <w:ind w:left="697"/>
        <w:rPr>
          <w:rFonts w:ascii="微软雅黑" w:eastAsia="微软雅黑" w:hint="eastAsia"/>
        </w:rPr>
      </w:pPr>
      <w:r>
        <w:rPr>
          <w:rFonts w:ascii="华文楷体" w:eastAsia="华文楷体" w:hint="eastAsia"/>
          <w:color w:val="006FC0"/>
        </w:rPr>
        <w:t>以上药师荣获 2018 年中国药学会优秀药师</w:t>
      </w:r>
      <w:r>
        <w:rPr>
          <w:rFonts w:ascii="微软雅黑" w:eastAsia="微软雅黑" w:hint="eastAsia"/>
          <w:color w:val="0033CC"/>
        </w:rPr>
        <w:t>[</w:t>
      </w:r>
      <w:r>
        <w:rPr>
          <w:rFonts w:ascii="Microsoft JhengHei" w:eastAsia="Microsoft JhengHei" w:hint="eastAsia"/>
          <w:color w:val="0033CC"/>
        </w:rPr>
        <w:t>返回目次</w:t>
      </w:r>
      <w:r>
        <w:rPr>
          <w:rFonts w:ascii="微软雅黑" w:eastAsia="微软雅黑" w:hint="eastAsia"/>
          <w:color w:val="0033CC"/>
        </w:rPr>
        <w:t>]</w:t>
      </w:r>
    </w:p>
    <w:p>
      <w:pPr>
        <w:pStyle w:val="Heading1"/>
        <w:spacing w:before="27"/>
        <w:rPr>
          <w:u w:val="none"/>
        </w:rPr>
      </w:pPr>
      <w:bookmarkStart w:name="_TOC_250001" w:id="30"/>
      <w:r>
        <w:rPr>
          <w:rFonts w:ascii="Times New Roman" w:eastAsia="Times New Roman"/>
          <w:color w:val="008000"/>
          <w:spacing w:val="-110"/>
          <w:w w:val="99"/>
          <w:u w:val="thick" w:color="008000"/>
        </w:rPr>
        <w:t> </w:t>
      </w:r>
      <w:bookmarkEnd w:id="30"/>
      <w:r>
        <w:rPr>
          <w:color w:val="008000"/>
          <w:u w:val="thick" w:color="008000"/>
        </w:rPr>
        <w:t>学会动态</w:t>
      </w:r>
    </w:p>
    <w:p>
      <w:pPr>
        <w:pStyle w:val="BodyText"/>
        <w:spacing w:before="6"/>
        <w:ind w:left="0"/>
        <w:rPr>
          <w:rFonts w:ascii="华文宋体"/>
          <w:b/>
          <w:sz w:val="9"/>
        </w:rPr>
      </w:pPr>
    </w:p>
    <w:p>
      <w:pPr>
        <w:pStyle w:val="Heading2"/>
        <w:spacing w:before="54"/>
        <w:ind w:left="217"/>
      </w:pPr>
      <w:bookmarkStart w:name="_TOC_250000" w:id="31"/>
      <w:bookmarkEnd w:id="31"/>
      <w:r>
        <w:rPr/>
        <w:t>【重要通知】</w:t>
      </w:r>
    </w:p>
    <w:p>
      <w:pPr>
        <w:spacing w:after="0"/>
        <w:sectPr>
          <w:pgSz w:w="11910" w:h="16850"/>
          <w:pgMar w:header="906" w:footer="607" w:top="1100" w:bottom="800" w:left="1060" w:right="66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6"/>
        </w:rPr>
      </w:pPr>
    </w:p>
    <w:p>
      <w:pPr>
        <w:spacing w:before="7"/>
        <w:ind w:left="778" w:right="0" w:firstLine="0"/>
        <w:jc w:val="left"/>
        <w:rPr>
          <w:sz w:val="67"/>
        </w:rPr>
      </w:pPr>
      <w:r>
        <w:rPr>
          <w:color w:val="DD4654"/>
          <w:w w:val="105"/>
          <w:sz w:val="67"/>
        </w:rPr>
        <w:t>中国药学会科技开发中心</w:t>
      </w:r>
    </w:p>
    <w:p>
      <w:pPr>
        <w:pStyle w:val="BodyText"/>
        <w:spacing w:before="10"/>
        <w:ind w:left="0"/>
        <w:rPr>
          <w:sz w:val="93"/>
        </w:rPr>
      </w:pPr>
    </w:p>
    <w:p>
      <w:pPr>
        <w:spacing w:before="0"/>
        <w:ind w:left="0" w:right="902" w:firstLine="0"/>
        <w:jc w:val="center"/>
        <w:rPr>
          <w:sz w:val="32"/>
        </w:rPr>
      </w:pPr>
      <w:r>
        <w:rPr/>
        <w:pict>
          <v:shape style="position:absolute;margin-left:58.865704pt;margin-top:23.93681pt;width:456.9pt;height:.1pt;mso-position-horizontal-relative:page;mso-position-vertical-relative:paragraph;z-index:-251654144;mso-wrap-distance-left:0;mso-wrap-distance-right:0" coordorigin="1177,479" coordsize="9138,0" path="m1177,479l10315,479e" filled="false" stroked="true" strokeweight="1.44308pt" strokecolor="#000000">
            <v:path arrowok="t"/>
            <v:stroke dashstyle="solid"/>
            <w10:wrap type="topAndBottom"/>
          </v:shape>
        </w:pict>
      </w:r>
      <w:r>
        <w:rPr>
          <w:color w:val="232323"/>
          <w:sz w:val="32"/>
        </w:rPr>
        <w:t>国药会科 </w:t>
      </w:r>
      <w:r>
        <w:rPr>
          <w:rFonts w:ascii="Times New Roman" w:eastAsia="Times New Roman"/>
          <w:color w:val="232323"/>
          <w:sz w:val="31"/>
        </w:rPr>
        <w:t>( 2019 ] 21 </w:t>
      </w:r>
      <w:r>
        <w:rPr>
          <w:color w:val="232323"/>
          <w:sz w:val="32"/>
        </w:rPr>
        <w:t>号</w:t>
      </w:r>
    </w:p>
    <w:p>
      <w:pPr>
        <w:pStyle w:val="BodyText"/>
        <w:spacing w:before="1"/>
        <w:ind w:left="0"/>
        <w:rPr>
          <w:sz w:val="38"/>
        </w:rPr>
      </w:pPr>
    </w:p>
    <w:p>
      <w:pPr>
        <w:spacing w:line="273" w:lineRule="auto" w:before="0"/>
        <w:ind w:left="657" w:right="1493" w:firstLine="0"/>
        <w:jc w:val="center"/>
        <w:rPr>
          <w:sz w:val="42"/>
        </w:rPr>
      </w:pPr>
      <w:r>
        <w:rPr>
          <w:color w:val="232323"/>
          <w:spacing w:val="-1"/>
          <w:w w:val="105"/>
          <w:sz w:val="42"/>
        </w:rPr>
        <w:t>关千开展中国药学会全国医药经济信息网</w:t>
      </w:r>
      <w:r>
        <w:rPr>
          <w:rFonts w:ascii="Times New Roman" w:hAnsi="Times New Roman" w:eastAsia="Times New Roman"/>
          <w:color w:val="232323"/>
          <w:spacing w:val="-6"/>
          <w:w w:val="105"/>
          <w:sz w:val="43"/>
        </w:rPr>
        <w:t>2019</w:t>
      </w:r>
      <w:r>
        <w:rPr>
          <w:rFonts w:ascii="Times New Roman" w:hAnsi="Times New Roman" w:eastAsia="Times New Roman"/>
          <w:color w:val="232323"/>
          <w:spacing w:val="47"/>
          <w:w w:val="105"/>
          <w:sz w:val="43"/>
        </w:rPr>
        <w:t> </w:t>
      </w:r>
      <w:r>
        <w:rPr>
          <w:color w:val="232323"/>
          <w:spacing w:val="-14"/>
          <w:w w:val="105"/>
          <w:sz w:val="42"/>
        </w:rPr>
        <w:t>年“药师您好“科普文艺作品征集 活动的通知</w:t>
      </w:r>
    </w:p>
    <w:p>
      <w:pPr>
        <w:pStyle w:val="BodyText"/>
        <w:spacing w:before="7"/>
        <w:ind w:left="0"/>
        <w:rPr>
          <w:sz w:val="50"/>
        </w:rPr>
      </w:pPr>
    </w:p>
    <w:p>
      <w:pPr>
        <w:spacing w:before="1"/>
        <w:ind w:left="483" w:right="0" w:firstLine="0"/>
        <w:jc w:val="left"/>
        <w:rPr>
          <w:sz w:val="32"/>
        </w:rPr>
      </w:pPr>
      <w:r>
        <w:rPr>
          <w:color w:val="232323"/>
          <w:sz w:val="32"/>
        </w:rPr>
        <w:t>各有关单位：</w:t>
      </w:r>
    </w:p>
    <w:p>
      <w:pPr>
        <w:tabs>
          <w:tab w:pos="4327" w:val="left" w:leader="none"/>
          <w:tab w:pos="4969" w:val="left" w:leader="none"/>
        </w:tabs>
        <w:spacing w:line="372" w:lineRule="auto" w:before="239"/>
        <w:ind w:left="475" w:right="1332" w:firstLine="657"/>
        <w:jc w:val="left"/>
        <w:rPr>
          <w:sz w:val="32"/>
        </w:rPr>
      </w:pPr>
      <w:r>
        <w:rPr>
          <w:color w:val="232323"/>
          <w:sz w:val="32"/>
        </w:rPr>
        <w:t>为进一步强化全国医药经济信息网的药学科技传播能 力，促进药学科普资源的开发、整合与共享，以公众喜闻乐</w:t>
      </w:r>
      <w:r>
        <w:rPr>
          <w:color w:val="232323"/>
          <w:w w:val="95"/>
          <w:sz w:val="32"/>
        </w:rPr>
        <w:t>见的形式普及科学技术知识、倡导科学方法、传播科学思想、</w:t>
      </w:r>
      <w:r>
        <w:rPr>
          <w:color w:val="232323"/>
          <w:sz w:val="32"/>
        </w:rPr>
        <w:t>弘扬科学精神，繁荣科普文艺创作，激励各有关方面科学权威地普及药品知识和常识，全面提高公众药品安全科学素 养，使科学与艺术、科普与文化有效结合起来，中国药学会</w:t>
      </w:r>
      <w:r>
        <w:rPr>
          <w:color w:val="232323"/>
          <w:w w:val="90"/>
          <w:sz w:val="32"/>
        </w:rPr>
        <w:t>全</w:t>
      </w:r>
      <w:r>
        <w:rPr>
          <w:color w:val="232323"/>
          <w:spacing w:val="-4"/>
          <w:w w:val="90"/>
          <w:sz w:val="32"/>
        </w:rPr>
        <w:t>国</w:t>
      </w:r>
      <w:r>
        <w:rPr>
          <w:color w:val="232323"/>
          <w:w w:val="90"/>
          <w:sz w:val="32"/>
        </w:rPr>
        <w:t>医药经济信息网组织开</w:t>
        <w:tab/>
      </w:r>
      <w:r>
        <w:rPr>
          <w:color w:val="232323"/>
          <w:sz w:val="32"/>
        </w:rPr>
        <w:t>展</w:t>
      </w:r>
      <w:r>
        <w:rPr>
          <w:color w:val="232323"/>
          <w:spacing w:val="-3"/>
          <w:sz w:val="32"/>
        </w:rPr>
        <w:t> </w:t>
      </w:r>
      <w:r>
        <w:rPr>
          <w:rFonts w:ascii="Times New Roman" w:hAnsi="Times New Roman" w:eastAsia="Times New Roman"/>
          <w:color w:val="232323"/>
          <w:sz w:val="31"/>
        </w:rPr>
        <w:t>2019</w:t>
      </w:r>
      <w:r>
        <w:rPr>
          <w:rFonts w:ascii="Times New Roman" w:hAnsi="Times New Roman" w:eastAsia="Times New Roman"/>
          <w:color w:val="232323"/>
          <w:spacing w:val="47"/>
          <w:sz w:val="31"/>
        </w:rPr>
        <w:t> </w:t>
      </w:r>
      <w:r>
        <w:rPr>
          <w:color w:val="232323"/>
          <w:sz w:val="32"/>
        </w:rPr>
        <w:t>年“药师您好</w:t>
      </w:r>
      <w:r>
        <w:rPr>
          <w:color w:val="232323"/>
          <w:spacing w:val="-22"/>
          <w:sz w:val="32"/>
        </w:rPr>
        <w:t>“</w:t>
      </w:r>
      <w:r>
        <w:rPr>
          <w:color w:val="232323"/>
          <w:sz w:val="32"/>
        </w:rPr>
        <w:t>科普文</w:t>
      </w:r>
      <w:r>
        <w:rPr>
          <w:color w:val="232323"/>
          <w:w w:val="95"/>
          <w:sz w:val="32"/>
        </w:rPr>
        <w:t>艺作品</w:t>
      </w:r>
      <w:r>
        <w:rPr>
          <w:color w:val="232323"/>
          <w:spacing w:val="3"/>
          <w:w w:val="95"/>
          <w:sz w:val="32"/>
        </w:rPr>
        <w:t> </w:t>
      </w:r>
      <w:r>
        <w:rPr>
          <w:color w:val="232323"/>
          <w:spacing w:val="6"/>
          <w:w w:val="95"/>
          <w:sz w:val="32"/>
        </w:rPr>
        <w:t>征</w:t>
      </w:r>
      <w:r>
        <w:rPr>
          <w:color w:val="232323"/>
          <w:w w:val="95"/>
          <w:sz w:val="32"/>
        </w:rPr>
        <w:t>集活动</w:t>
      </w:r>
      <w:r>
        <w:rPr>
          <w:color w:val="3B3B3B"/>
          <w:w w:val="95"/>
          <w:sz w:val="32"/>
        </w:rPr>
        <w:t>。</w:t>
      </w:r>
      <w:r>
        <w:rPr>
          <w:color w:val="232323"/>
          <w:w w:val="95"/>
          <w:sz w:val="32"/>
        </w:rPr>
        <w:t>通过活动发掘优秀的科普文艺作品和创作</w:t>
      </w:r>
      <w:r>
        <w:rPr>
          <w:color w:val="232323"/>
          <w:sz w:val="32"/>
        </w:rPr>
        <w:t>人才，丰富科普宣传资源，为广大药学科技工作者提供广阔</w:t>
      </w:r>
      <w:r>
        <w:rPr>
          <w:color w:val="232323"/>
          <w:w w:val="95"/>
          <w:sz w:val="32"/>
        </w:rPr>
        <w:t>的</w:t>
      </w:r>
      <w:r>
        <w:rPr>
          <w:color w:val="232323"/>
          <w:spacing w:val="46"/>
          <w:w w:val="95"/>
          <w:sz w:val="32"/>
        </w:rPr>
        <w:t>科</w:t>
      </w:r>
      <w:r>
        <w:rPr>
          <w:color w:val="232323"/>
          <w:w w:val="95"/>
          <w:sz w:val="32"/>
        </w:rPr>
        <w:t>普文艺作品创作与演出平台</w:t>
        <w:tab/>
      </w:r>
      <w:r>
        <w:rPr>
          <w:color w:val="3B3B3B"/>
          <w:sz w:val="32"/>
        </w:rPr>
        <w:t>。</w:t>
      </w:r>
    </w:p>
    <w:p>
      <w:pPr>
        <w:spacing w:after="0" w:line="372" w:lineRule="auto"/>
        <w:jc w:val="left"/>
        <w:rPr>
          <w:sz w:val="32"/>
        </w:rPr>
        <w:sectPr>
          <w:headerReference w:type="default" r:id="rId17"/>
          <w:footerReference w:type="default" r:id="rId18"/>
          <w:pgSz w:w="11910" w:h="16850"/>
          <w:pgMar w:header="0" w:footer="0" w:top="1600" w:bottom="280" w:left="1060" w:right="660"/>
        </w:sectPr>
      </w:pPr>
    </w:p>
    <w:p>
      <w:pPr>
        <w:tabs>
          <w:tab w:pos="4144" w:val="left" w:leader="none"/>
        </w:tabs>
        <w:spacing w:line="364" w:lineRule="auto" w:before="42"/>
        <w:ind w:left="529" w:right="1255" w:firstLine="656"/>
        <w:jc w:val="left"/>
        <w:rPr>
          <w:sz w:val="31"/>
        </w:rPr>
      </w:pPr>
      <w:r>
        <w:rPr>
          <w:color w:val="1A1A1A"/>
          <w:sz w:val="32"/>
        </w:rPr>
        <w:t>科普文艺作品征集活动纳入“中国药学会全国医药经济</w:t>
      </w:r>
      <w:r>
        <w:rPr>
          <w:color w:val="1A1A1A"/>
          <w:spacing w:val="15"/>
          <w:w w:val="95"/>
          <w:sz w:val="32"/>
        </w:rPr>
        <w:t>信</w:t>
      </w:r>
      <w:r>
        <w:rPr>
          <w:color w:val="1A1A1A"/>
          <w:w w:val="95"/>
          <w:sz w:val="32"/>
        </w:rPr>
        <w:t>息网科技传播创新工程</w:t>
        <w:tab/>
      </w:r>
      <w:r>
        <w:rPr>
          <w:rFonts w:ascii="Times New Roman" w:hAnsi="Times New Roman" w:eastAsia="Times New Roman"/>
          <w:color w:val="1A1A1A"/>
          <w:w w:val="90"/>
          <w:sz w:val="31"/>
        </w:rPr>
        <w:t>2019</w:t>
      </w:r>
      <w:r>
        <w:rPr>
          <w:rFonts w:ascii="Times New Roman" w:hAnsi="Times New Roman" w:eastAsia="Times New Roman"/>
          <w:color w:val="1A1A1A"/>
          <w:spacing w:val="63"/>
          <w:w w:val="90"/>
          <w:sz w:val="31"/>
        </w:rPr>
        <w:t> </w:t>
      </w:r>
      <w:r>
        <w:rPr>
          <w:color w:val="1A1A1A"/>
          <w:w w:val="90"/>
          <w:sz w:val="32"/>
        </w:rPr>
        <w:t>年重点项</w:t>
      </w:r>
      <w:r>
        <w:rPr>
          <w:color w:val="1A1A1A"/>
          <w:spacing w:val="31"/>
          <w:w w:val="90"/>
          <w:sz w:val="32"/>
        </w:rPr>
        <w:t>目</w:t>
      </w:r>
      <w:r>
        <w:rPr>
          <w:color w:val="1A1A1A"/>
          <w:w w:val="85"/>
          <w:sz w:val="32"/>
        </w:rPr>
        <w:t>”</w:t>
      </w:r>
      <w:r>
        <w:rPr>
          <w:color w:val="1A1A1A"/>
          <w:spacing w:val="-98"/>
          <w:w w:val="85"/>
          <w:sz w:val="32"/>
        </w:rPr>
        <w:t> </w:t>
      </w:r>
      <w:r>
        <w:rPr>
          <w:color w:val="1A1A1A"/>
          <w:spacing w:val="-54"/>
          <w:w w:val="85"/>
          <w:sz w:val="32"/>
        </w:rPr>
        <w:t>，</w:t>
      </w:r>
      <w:r>
        <w:rPr>
          <w:color w:val="1A1A1A"/>
          <w:w w:val="90"/>
          <w:sz w:val="32"/>
        </w:rPr>
        <w:t>有关情况见《</w:t>
      </w:r>
      <w:r>
        <w:rPr>
          <w:color w:val="1A1A1A"/>
          <w:spacing w:val="-16"/>
          <w:w w:val="90"/>
          <w:sz w:val="32"/>
        </w:rPr>
        <w:t>关</w:t>
      </w:r>
      <w:r>
        <w:rPr>
          <w:color w:val="1A1A1A"/>
          <w:sz w:val="32"/>
        </w:rPr>
        <w:t>于开展中国药学会全国医药经济信息网科技传播创新工程</w:t>
      </w:r>
      <w:r>
        <w:rPr>
          <w:rFonts w:ascii="Times New Roman" w:hAnsi="Times New Roman" w:eastAsia="Times New Roman"/>
          <w:color w:val="1A1A1A"/>
          <w:sz w:val="31"/>
        </w:rPr>
        <w:t>201</w:t>
      </w:r>
      <w:r>
        <w:rPr>
          <w:rFonts w:ascii="Times New Roman" w:hAnsi="Times New Roman" w:eastAsia="Times New Roman"/>
          <w:color w:val="1A1A1A"/>
          <w:spacing w:val="-9"/>
          <w:sz w:val="31"/>
        </w:rPr>
        <w:t> </w:t>
      </w:r>
      <w:r>
        <w:rPr>
          <w:rFonts w:ascii="Times New Roman" w:hAnsi="Times New Roman" w:eastAsia="Times New Roman"/>
          <w:color w:val="1A1A1A"/>
          <w:sz w:val="31"/>
        </w:rPr>
        <w:t>9</w:t>
      </w:r>
      <w:r>
        <w:rPr>
          <w:rFonts w:ascii="Times New Roman" w:hAnsi="Times New Roman" w:eastAsia="Times New Roman"/>
          <w:color w:val="1A1A1A"/>
          <w:spacing w:val="3"/>
          <w:sz w:val="31"/>
        </w:rPr>
        <w:t> </w:t>
      </w:r>
      <w:r>
        <w:rPr>
          <w:color w:val="1A1A1A"/>
          <w:sz w:val="32"/>
        </w:rPr>
        <w:t>年重点项目的通知》（</w:t>
      </w:r>
      <w:r>
        <w:rPr>
          <w:color w:val="1A1A1A"/>
          <w:spacing w:val="-203"/>
          <w:sz w:val="32"/>
        </w:rPr>
        <w:t>国</w:t>
      </w:r>
      <w:r>
        <w:rPr>
          <w:color w:val="1A1A1A"/>
          <w:sz w:val="32"/>
        </w:rPr>
        <w:t>药会科</w:t>
      </w:r>
      <w:r>
        <w:rPr>
          <w:color w:val="1A1A1A"/>
          <w:spacing w:val="44"/>
          <w:sz w:val="32"/>
        </w:rPr>
        <w:t> </w:t>
      </w:r>
      <w:r>
        <w:rPr>
          <w:rFonts w:ascii="Arial" w:hAnsi="Arial" w:eastAsia="Arial"/>
          <w:color w:val="1A1A1A"/>
          <w:w w:val="85"/>
          <w:sz w:val="29"/>
        </w:rPr>
        <w:t>C</w:t>
      </w:r>
      <w:r>
        <w:rPr>
          <w:rFonts w:ascii="Arial" w:hAnsi="Arial" w:eastAsia="Arial"/>
          <w:color w:val="1A1A1A"/>
          <w:spacing w:val="-5"/>
          <w:w w:val="85"/>
          <w:sz w:val="29"/>
        </w:rPr>
        <w:t> </w:t>
      </w:r>
      <w:r>
        <w:rPr>
          <w:rFonts w:ascii="Times New Roman" w:hAnsi="Times New Roman" w:eastAsia="Times New Roman"/>
          <w:color w:val="1A1A1A"/>
          <w:sz w:val="31"/>
        </w:rPr>
        <w:t>2</w:t>
      </w:r>
      <w:r>
        <w:rPr>
          <w:rFonts w:ascii="Times New Roman" w:hAnsi="Times New Roman" w:eastAsia="Times New Roman"/>
          <w:color w:val="1A1A1A"/>
          <w:spacing w:val="-48"/>
          <w:sz w:val="31"/>
        </w:rPr>
        <w:t> </w:t>
      </w:r>
      <w:r>
        <w:rPr>
          <w:rFonts w:ascii="Times New Roman" w:hAnsi="Times New Roman" w:eastAsia="Times New Roman"/>
          <w:color w:val="1A1A1A"/>
          <w:sz w:val="31"/>
        </w:rPr>
        <w:t>018)</w:t>
      </w:r>
      <w:r>
        <w:rPr>
          <w:rFonts w:ascii="Times New Roman" w:hAnsi="Times New Roman" w:eastAsia="Times New Roman"/>
          <w:color w:val="1A1A1A"/>
          <w:spacing w:val="52"/>
          <w:sz w:val="31"/>
        </w:rPr>
        <w:t> </w:t>
      </w:r>
      <w:r>
        <w:rPr>
          <w:rFonts w:ascii="Times New Roman" w:hAnsi="Times New Roman" w:eastAsia="Times New Roman"/>
          <w:color w:val="1A1A1A"/>
          <w:sz w:val="31"/>
        </w:rPr>
        <w:t>68</w:t>
      </w:r>
      <w:r>
        <w:rPr>
          <w:rFonts w:ascii="Times New Roman" w:hAnsi="Times New Roman" w:eastAsia="Times New Roman"/>
          <w:color w:val="1A1A1A"/>
          <w:spacing w:val="-16"/>
          <w:sz w:val="31"/>
        </w:rPr>
        <w:t> </w:t>
      </w:r>
      <w:r>
        <w:rPr>
          <w:color w:val="1A1A1A"/>
          <w:spacing w:val="52"/>
          <w:sz w:val="31"/>
        </w:rPr>
        <w:t>号</w:t>
      </w:r>
      <w:r>
        <w:rPr>
          <w:color w:val="1A1A1A"/>
          <w:sz w:val="31"/>
        </w:rPr>
        <w:t>）</w:t>
      </w:r>
    </w:p>
    <w:p>
      <w:pPr>
        <w:pStyle w:val="Heading3"/>
        <w:tabs>
          <w:tab w:pos="8184" w:val="left" w:leader="none"/>
        </w:tabs>
        <w:spacing w:line="364" w:lineRule="auto" w:before="11"/>
        <w:ind w:left="543" w:right="1413" w:firstLine="655"/>
      </w:pPr>
      <w:r>
        <w:rPr>
          <w:color w:val="1A1A1A"/>
          <w:w w:val="95"/>
        </w:rPr>
        <w:t>主办单位将组织专家对各地推荐的文艺作品进行评审， 评选出优秀科普文艺作</w:t>
      </w:r>
      <w:r>
        <w:rPr>
          <w:color w:val="1A1A1A"/>
          <w:spacing w:val="15"/>
          <w:w w:val="95"/>
        </w:rPr>
        <w:t> </w:t>
      </w:r>
      <w:r>
        <w:rPr>
          <w:color w:val="1A1A1A"/>
          <w:w w:val="95"/>
        </w:rPr>
        <w:t>品予以表彰</w:t>
      </w:r>
      <w:r>
        <w:rPr>
          <w:color w:val="1A1A1A"/>
          <w:spacing w:val="1"/>
          <w:w w:val="95"/>
        </w:rPr>
        <w:t> </w:t>
      </w:r>
      <w:r>
        <w:rPr>
          <w:color w:val="1A1A1A"/>
          <w:w w:val="95"/>
        </w:rPr>
        <w:t>，</w:t>
      </w:r>
      <w:r>
        <w:rPr>
          <w:color w:val="1A1A1A"/>
          <w:spacing w:val="-65"/>
          <w:w w:val="95"/>
        </w:rPr>
        <w:t> </w:t>
      </w:r>
      <w:r>
        <w:rPr>
          <w:color w:val="1A1A1A"/>
          <w:w w:val="95"/>
        </w:rPr>
        <w:t>并有机会推荐到</w:t>
        <w:tab/>
      </w:r>
      <w:r>
        <w:rPr>
          <w:rFonts w:ascii="Times New Roman" w:hAnsi="Times New Roman" w:eastAsia="Times New Roman"/>
          <w:color w:val="1A1A1A"/>
          <w:spacing w:val="-4"/>
          <w:w w:val="95"/>
          <w:sz w:val="31"/>
        </w:rPr>
        <w:t>2019 </w:t>
      </w:r>
      <w:r>
        <w:rPr>
          <w:color w:val="1A1A1A"/>
        </w:rPr>
        <w:t>年中国药师周“药师您好“科普活动进行展演。</w:t>
      </w:r>
    </w:p>
    <w:p>
      <w:pPr>
        <w:spacing w:line="357" w:lineRule="auto" w:before="6"/>
        <w:ind w:left="539" w:right="1369" w:firstLine="644"/>
        <w:jc w:val="both"/>
        <w:rPr>
          <w:sz w:val="32"/>
        </w:rPr>
      </w:pPr>
      <w:r>
        <w:rPr>
          <w:color w:val="1A1A1A"/>
          <w:spacing w:val="-12"/>
          <w:sz w:val="32"/>
        </w:rPr>
        <w:t>现将中国药学会 全国医药经济信息网 </w:t>
      </w:r>
      <w:r>
        <w:rPr>
          <w:rFonts w:ascii="Times New Roman" w:hAnsi="Times New Roman" w:eastAsia="Times New Roman"/>
          <w:color w:val="1A1A1A"/>
          <w:sz w:val="31"/>
        </w:rPr>
        <w:t>201</w:t>
      </w:r>
      <w:r>
        <w:rPr>
          <w:rFonts w:ascii="Times New Roman" w:hAnsi="Times New Roman" w:eastAsia="Times New Roman"/>
          <w:color w:val="1A1A1A"/>
          <w:spacing w:val="-49"/>
          <w:sz w:val="31"/>
        </w:rPr>
        <w:t> </w:t>
      </w:r>
      <w:r>
        <w:rPr>
          <w:rFonts w:ascii="Times New Roman" w:hAnsi="Times New Roman" w:eastAsia="Times New Roman"/>
          <w:color w:val="1A1A1A"/>
          <w:sz w:val="31"/>
        </w:rPr>
        <w:t>9</w:t>
      </w:r>
      <w:r>
        <w:rPr>
          <w:rFonts w:ascii="Times New Roman" w:hAnsi="Times New Roman" w:eastAsia="Times New Roman"/>
          <w:color w:val="1A1A1A"/>
          <w:spacing w:val="-8"/>
          <w:sz w:val="31"/>
        </w:rPr>
        <w:t> </w:t>
      </w:r>
      <w:r>
        <w:rPr>
          <w:color w:val="1A1A1A"/>
          <w:sz w:val="32"/>
        </w:rPr>
        <w:t>年“药师您</w:t>
      </w:r>
      <w:r>
        <w:rPr>
          <w:color w:val="1A1A1A"/>
          <w:w w:val="95"/>
          <w:sz w:val="32"/>
        </w:rPr>
        <w:t>好“科普文艺作品征集方案印发，请各网员医院按照要求做 好作品的提交工作，各地药学会所属分网切实保证推荐作品 </w:t>
      </w:r>
      <w:r>
        <w:rPr>
          <w:color w:val="1A1A1A"/>
          <w:spacing w:val="12"/>
          <w:sz w:val="32"/>
        </w:rPr>
        <w:t>的质量</w:t>
      </w:r>
      <w:r>
        <w:rPr>
          <w:color w:val="1A1A1A"/>
          <w:spacing w:val="-48"/>
          <w:w w:val="95"/>
          <w:sz w:val="32"/>
        </w:rPr>
        <w:t>， </w:t>
      </w:r>
      <w:r>
        <w:rPr>
          <w:color w:val="1A1A1A"/>
          <w:spacing w:val="10"/>
          <w:sz w:val="32"/>
        </w:rPr>
        <w:t>并做好推荐工作</w:t>
      </w:r>
      <w:r>
        <w:rPr>
          <w:color w:val="1A1A1A"/>
          <w:spacing w:val="-53"/>
          <w:w w:val="95"/>
          <w:sz w:val="32"/>
        </w:rPr>
        <w:t>， </w:t>
      </w:r>
      <w:r>
        <w:rPr>
          <w:color w:val="1A1A1A"/>
          <w:spacing w:val="-15"/>
          <w:sz w:val="32"/>
        </w:rPr>
        <w:t>征集截止日期为 </w:t>
      </w:r>
      <w:r>
        <w:rPr>
          <w:rFonts w:ascii="Times New Roman" w:hAnsi="Times New Roman" w:eastAsia="Times New Roman"/>
          <w:color w:val="1A1A1A"/>
          <w:sz w:val="31"/>
        </w:rPr>
        <w:t>201</w:t>
      </w:r>
      <w:r>
        <w:rPr>
          <w:rFonts w:ascii="Times New Roman" w:hAnsi="Times New Roman" w:eastAsia="Times New Roman"/>
          <w:color w:val="1A1A1A"/>
          <w:spacing w:val="-58"/>
          <w:sz w:val="31"/>
        </w:rPr>
        <w:t> </w:t>
      </w:r>
      <w:r>
        <w:rPr>
          <w:rFonts w:ascii="Times New Roman" w:hAnsi="Times New Roman" w:eastAsia="Times New Roman"/>
          <w:color w:val="1A1A1A"/>
          <w:sz w:val="31"/>
        </w:rPr>
        <w:t>9</w:t>
      </w:r>
      <w:r>
        <w:rPr>
          <w:rFonts w:ascii="Times New Roman" w:hAnsi="Times New Roman" w:eastAsia="Times New Roman"/>
          <w:color w:val="1A1A1A"/>
          <w:spacing w:val="-27"/>
          <w:sz w:val="31"/>
        </w:rPr>
        <w:t> </w:t>
      </w:r>
      <w:r>
        <w:rPr>
          <w:color w:val="1A1A1A"/>
          <w:spacing w:val="-56"/>
          <w:sz w:val="32"/>
        </w:rPr>
        <w:t>年 </w:t>
      </w:r>
      <w:r>
        <w:rPr>
          <w:rFonts w:ascii="Times New Roman" w:hAnsi="Times New Roman" w:eastAsia="Times New Roman"/>
          <w:color w:val="1A1A1A"/>
          <w:sz w:val="31"/>
        </w:rPr>
        <w:t>8</w:t>
      </w:r>
      <w:r>
        <w:rPr>
          <w:rFonts w:ascii="Times New Roman" w:hAnsi="Times New Roman" w:eastAsia="Times New Roman"/>
          <w:color w:val="1A1A1A"/>
          <w:spacing w:val="-27"/>
          <w:sz w:val="31"/>
        </w:rPr>
        <w:t> </w:t>
      </w:r>
      <w:r>
        <w:rPr>
          <w:color w:val="1A1A1A"/>
          <w:spacing w:val="-55"/>
          <w:sz w:val="34"/>
        </w:rPr>
        <w:t>月 </w:t>
      </w:r>
      <w:r>
        <w:rPr>
          <w:rFonts w:ascii="Times New Roman" w:hAnsi="Times New Roman" w:eastAsia="Times New Roman"/>
          <w:color w:val="1A1A1A"/>
          <w:spacing w:val="-7"/>
          <w:sz w:val="31"/>
        </w:rPr>
        <w:t>31 </w:t>
      </w:r>
      <w:r>
        <w:rPr>
          <w:color w:val="1A1A1A"/>
          <w:w w:val="95"/>
          <w:sz w:val="32"/>
        </w:rPr>
        <w:t>日。</w:t>
      </w:r>
    </w:p>
    <w:p>
      <w:pPr>
        <w:pStyle w:val="BodyText"/>
        <w:ind w:left="0"/>
        <w:rPr>
          <w:sz w:val="32"/>
        </w:rPr>
      </w:pPr>
    </w:p>
    <w:p>
      <w:pPr>
        <w:spacing w:before="257"/>
        <w:ind w:left="1178" w:right="0" w:firstLine="0"/>
        <w:jc w:val="left"/>
        <w:rPr>
          <w:sz w:val="32"/>
        </w:rPr>
      </w:pPr>
      <w:r>
        <w:rPr>
          <w:color w:val="1A1A1A"/>
          <w:sz w:val="32"/>
        </w:rPr>
        <w:t>联系人及联系方式：</w:t>
      </w:r>
    </w:p>
    <w:p>
      <w:pPr>
        <w:spacing w:before="225"/>
        <w:ind w:left="1171" w:right="0" w:firstLine="0"/>
        <w:jc w:val="left"/>
        <w:rPr>
          <w:sz w:val="32"/>
        </w:rPr>
      </w:pPr>
      <w:r>
        <w:rPr>
          <w:color w:val="1A1A1A"/>
          <w:w w:val="110"/>
          <w:sz w:val="32"/>
        </w:rPr>
        <w:t>联系人：刘玉、徐雁萍</w:t>
      </w:r>
    </w:p>
    <w:p>
      <w:pPr>
        <w:tabs>
          <w:tab w:pos="4780" w:val="left" w:leader="none"/>
        </w:tabs>
        <w:spacing w:before="210"/>
        <w:ind w:left="1178" w:right="0" w:firstLine="0"/>
        <w:jc w:val="left"/>
        <w:rPr>
          <w:rFonts w:ascii="Times New Roman" w:eastAsia="Times New Roman"/>
          <w:sz w:val="31"/>
        </w:rPr>
      </w:pPr>
      <w:r>
        <w:rPr>
          <w:color w:val="1A1A1A"/>
          <w:sz w:val="32"/>
        </w:rPr>
        <w:t>联系电</w:t>
      </w:r>
      <w:r>
        <w:rPr>
          <w:color w:val="1A1A1A"/>
          <w:spacing w:val="-33"/>
          <w:sz w:val="32"/>
        </w:rPr>
        <w:t>话</w:t>
      </w:r>
      <w:r>
        <w:rPr>
          <w:color w:val="1A1A1A"/>
          <w:w w:val="80"/>
          <w:sz w:val="32"/>
        </w:rPr>
        <w:t>：</w:t>
      </w:r>
      <w:r>
        <w:rPr>
          <w:color w:val="1A1A1A"/>
          <w:spacing w:val="-16"/>
          <w:w w:val="80"/>
          <w:sz w:val="32"/>
        </w:rPr>
        <w:t> </w:t>
      </w:r>
      <w:r>
        <w:rPr>
          <w:rFonts w:ascii="Times New Roman" w:eastAsia="Times New Roman"/>
          <w:color w:val="1A1A1A"/>
          <w:sz w:val="31"/>
        </w:rPr>
        <w:t>01</w:t>
      </w:r>
      <w:r>
        <w:rPr>
          <w:rFonts w:ascii="Times New Roman" w:eastAsia="Times New Roman"/>
          <w:color w:val="1A1A1A"/>
          <w:spacing w:val="-55"/>
          <w:sz w:val="31"/>
        </w:rPr>
        <w:t> </w:t>
      </w:r>
      <w:r>
        <w:rPr>
          <w:rFonts w:ascii="Times New Roman" w:eastAsia="Times New Roman"/>
          <w:color w:val="1A1A1A"/>
          <w:sz w:val="31"/>
        </w:rPr>
        <w:t>0-</w:t>
      </w:r>
      <w:r>
        <w:rPr>
          <w:rFonts w:ascii="Times New Roman" w:eastAsia="Times New Roman"/>
          <w:color w:val="1A1A1A"/>
          <w:spacing w:val="-42"/>
          <w:sz w:val="31"/>
        </w:rPr>
        <w:t> </w:t>
      </w:r>
      <w:r>
        <w:rPr>
          <w:rFonts w:ascii="Times New Roman" w:eastAsia="Times New Roman"/>
          <w:color w:val="1A1A1A"/>
          <w:sz w:val="31"/>
        </w:rPr>
        <w:t>65660788</w:t>
        <w:tab/>
      </w:r>
      <w:r>
        <w:rPr>
          <w:color w:val="1A1A1A"/>
          <w:sz w:val="32"/>
        </w:rPr>
        <w:t>转</w:t>
      </w:r>
      <w:r>
        <w:rPr>
          <w:color w:val="1A1A1A"/>
          <w:spacing w:val="-82"/>
          <w:sz w:val="32"/>
        </w:rPr>
        <w:t> </w:t>
      </w:r>
      <w:r>
        <w:rPr>
          <w:rFonts w:ascii="Times New Roman" w:eastAsia="Times New Roman"/>
          <w:color w:val="1A1A1A"/>
          <w:sz w:val="31"/>
        </w:rPr>
        <w:t>181</w:t>
      </w:r>
      <w:r>
        <w:rPr>
          <w:rFonts w:ascii="Times New Roman" w:eastAsia="Times New Roman"/>
          <w:color w:val="1A1A1A"/>
          <w:spacing w:val="-28"/>
          <w:sz w:val="31"/>
        </w:rPr>
        <w:t> </w:t>
      </w:r>
      <w:r>
        <w:rPr>
          <w:color w:val="1A1A1A"/>
          <w:spacing w:val="-7"/>
          <w:sz w:val="32"/>
        </w:rPr>
        <w:t>、</w:t>
      </w:r>
      <w:r>
        <w:rPr>
          <w:rFonts w:ascii="Times New Roman" w:eastAsia="Times New Roman"/>
          <w:color w:val="1A1A1A"/>
          <w:spacing w:val="8"/>
          <w:sz w:val="31"/>
        </w:rPr>
        <w:t>159</w:t>
      </w:r>
    </w:p>
    <w:p>
      <w:pPr>
        <w:tabs>
          <w:tab w:pos="2135" w:val="left" w:leader="none"/>
        </w:tabs>
        <w:spacing w:before="218"/>
        <w:ind w:left="1174" w:right="0" w:firstLine="0"/>
        <w:jc w:val="left"/>
        <w:rPr>
          <w:rFonts w:ascii="Times New Roman" w:eastAsia="Times New Roman"/>
          <w:sz w:val="31"/>
        </w:rPr>
      </w:pPr>
      <w:r>
        <w:rPr>
          <w:color w:val="1A1A1A"/>
          <w:w w:val="95"/>
          <w:sz w:val="32"/>
        </w:rPr>
        <w:t>传</w:t>
        <w:tab/>
      </w:r>
      <w:r>
        <w:rPr>
          <w:color w:val="1A1A1A"/>
          <w:spacing w:val="-5"/>
          <w:w w:val="95"/>
          <w:sz w:val="32"/>
        </w:rPr>
        <w:t>真</w:t>
      </w:r>
      <w:r>
        <w:rPr>
          <w:color w:val="1A1A1A"/>
          <w:w w:val="85"/>
          <w:sz w:val="32"/>
        </w:rPr>
        <w:t>：</w:t>
      </w:r>
      <w:r>
        <w:rPr>
          <w:color w:val="1A1A1A"/>
          <w:spacing w:val="52"/>
          <w:w w:val="85"/>
          <w:sz w:val="32"/>
        </w:rPr>
        <w:t> </w:t>
      </w:r>
      <w:r>
        <w:rPr>
          <w:rFonts w:ascii="Times New Roman" w:eastAsia="Times New Roman"/>
          <w:color w:val="1A1A1A"/>
          <w:w w:val="95"/>
          <w:sz w:val="31"/>
        </w:rPr>
        <w:t>01</w:t>
      </w:r>
      <w:r>
        <w:rPr>
          <w:rFonts w:ascii="Times New Roman" w:eastAsia="Times New Roman"/>
          <w:color w:val="1A1A1A"/>
          <w:spacing w:val="-31"/>
          <w:w w:val="95"/>
          <w:sz w:val="31"/>
        </w:rPr>
        <w:t> </w:t>
      </w:r>
      <w:r>
        <w:rPr>
          <w:rFonts w:ascii="Times New Roman" w:eastAsia="Times New Roman"/>
          <w:color w:val="1A1A1A"/>
          <w:w w:val="95"/>
          <w:sz w:val="31"/>
        </w:rPr>
        <w:t>0-</w:t>
      </w:r>
      <w:r>
        <w:rPr>
          <w:rFonts w:ascii="Times New Roman" w:eastAsia="Times New Roman"/>
          <w:color w:val="1A1A1A"/>
          <w:spacing w:val="-8"/>
          <w:w w:val="95"/>
          <w:sz w:val="31"/>
        </w:rPr>
        <w:t> </w:t>
      </w:r>
      <w:r>
        <w:rPr>
          <w:rFonts w:ascii="Times New Roman" w:eastAsia="Times New Roman"/>
          <w:color w:val="1A1A1A"/>
          <w:w w:val="95"/>
          <w:sz w:val="31"/>
        </w:rPr>
        <w:t>65661656</w:t>
      </w:r>
    </w:p>
    <w:p>
      <w:pPr>
        <w:spacing w:before="225"/>
        <w:ind w:left="1178" w:right="0" w:firstLine="0"/>
        <w:jc w:val="left"/>
        <w:rPr>
          <w:rFonts w:ascii="Times New Roman" w:eastAsia="Times New Roman"/>
          <w:sz w:val="31"/>
        </w:rPr>
      </w:pPr>
      <w:r>
        <w:rPr>
          <w:color w:val="1A1A1A"/>
          <w:spacing w:val="11"/>
          <w:sz w:val="32"/>
        </w:rPr>
        <w:t>电子邮箱</w:t>
      </w:r>
      <w:r>
        <w:rPr>
          <w:color w:val="1A1A1A"/>
          <w:spacing w:val="28"/>
          <w:w w:val="80"/>
          <w:sz w:val="32"/>
        </w:rPr>
        <w:t>： </w:t>
      </w:r>
      <w:r>
        <w:rPr>
          <w:rFonts w:ascii="Times New Roman" w:eastAsia="Times New Roman"/>
          <w:color w:val="1A1A1A"/>
          <w:sz w:val="31"/>
        </w:rPr>
        <w:t>dr ughu l ooall 26.</w:t>
      </w:r>
      <w:r>
        <w:rPr>
          <w:rFonts w:ascii="Times New Roman" w:eastAsia="Times New Roman"/>
          <w:color w:val="1A1A1A"/>
          <w:spacing w:val="60"/>
          <w:sz w:val="31"/>
        </w:rPr>
        <w:t> </w:t>
      </w:r>
      <w:r>
        <w:rPr>
          <w:rFonts w:ascii="Times New Roman" w:eastAsia="Times New Roman"/>
          <w:color w:val="1A1A1A"/>
          <w:spacing w:val="-6"/>
          <w:sz w:val="31"/>
        </w:rPr>
        <w:t>com</w:t>
      </w:r>
    </w:p>
    <w:p>
      <w:pPr>
        <w:spacing w:after="0"/>
        <w:jc w:val="left"/>
        <w:rPr>
          <w:rFonts w:ascii="Times New Roman" w:eastAsia="Times New Roman"/>
          <w:sz w:val="31"/>
        </w:rPr>
        <w:sectPr>
          <w:headerReference w:type="default" r:id="rId19"/>
          <w:footerReference w:type="default" r:id="rId20"/>
          <w:pgSz w:w="11910" w:h="16850"/>
          <w:pgMar w:header="0" w:footer="0" w:top="1160" w:bottom="280" w:left="1060" w:right="660"/>
        </w:sectPr>
      </w:pPr>
    </w:p>
    <w:p>
      <w:pPr>
        <w:spacing w:before="45"/>
        <w:ind w:left="1157" w:right="0" w:firstLine="0"/>
        <w:jc w:val="left"/>
        <w:rPr>
          <w:sz w:val="30"/>
        </w:rPr>
      </w:pPr>
      <w:r>
        <w:rPr>
          <w:color w:val="212121"/>
          <w:w w:val="90"/>
          <w:sz w:val="30"/>
        </w:rPr>
        <w:t>附件：</w:t>
      </w:r>
    </w:p>
    <w:p>
      <w:pPr>
        <w:pStyle w:val="ListParagraph"/>
        <w:numPr>
          <w:ilvl w:val="1"/>
          <w:numId w:val="8"/>
        </w:numPr>
        <w:tabs>
          <w:tab w:pos="1497" w:val="left" w:leader="none"/>
        </w:tabs>
        <w:spacing w:line="240" w:lineRule="auto" w:before="230" w:after="0"/>
        <w:ind w:left="1496" w:right="0" w:hanging="342"/>
        <w:jc w:val="left"/>
        <w:rPr>
          <w:rFonts w:ascii="Arial" w:hAnsi="Arial" w:eastAsia="Arial"/>
          <w:color w:val="212121"/>
          <w:sz w:val="28"/>
        </w:rPr>
      </w:pPr>
      <w:r>
        <w:rPr>
          <w:rFonts w:ascii="Times New Roman" w:hAnsi="Times New Roman" w:eastAsia="Times New Roman"/>
          <w:color w:val="212121"/>
          <w:sz w:val="31"/>
        </w:rPr>
        <w:t>2</w:t>
      </w:r>
      <w:r>
        <w:rPr>
          <w:rFonts w:ascii="Times New Roman" w:hAnsi="Times New Roman" w:eastAsia="Times New Roman"/>
          <w:color w:val="212121"/>
          <w:spacing w:val="-49"/>
          <w:sz w:val="31"/>
        </w:rPr>
        <w:t> </w:t>
      </w:r>
      <w:r>
        <w:rPr>
          <w:rFonts w:ascii="Times New Roman" w:hAnsi="Times New Roman" w:eastAsia="Times New Roman"/>
          <w:color w:val="212121"/>
          <w:sz w:val="31"/>
        </w:rPr>
        <w:t>01</w:t>
      </w:r>
      <w:r>
        <w:rPr>
          <w:rFonts w:ascii="Times New Roman" w:hAnsi="Times New Roman" w:eastAsia="Times New Roman"/>
          <w:color w:val="212121"/>
          <w:spacing w:val="-45"/>
          <w:sz w:val="31"/>
        </w:rPr>
        <w:t> </w:t>
      </w:r>
      <w:r>
        <w:rPr>
          <w:rFonts w:ascii="Times New Roman" w:hAnsi="Times New Roman" w:eastAsia="Times New Roman"/>
          <w:color w:val="212121"/>
          <w:sz w:val="31"/>
        </w:rPr>
        <w:t>9</w:t>
      </w:r>
      <w:r>
        <w:rPr>
          <w:rFonts w:ascii="Times New Roman" w:hAnsi="Times New Roman" w:eastAsia="Times New Roman"/>
          <w:color w:val="212121"/>
          <w:spacing w:val="8"/>
          <w:sz w:val="31"/>
        </w:rPr>
        <w:t> </w:t>
      </w:r>
      <w:r>
        <w:rPr>
          <w:color w:val="212121"/>
          <w:sz w:val="32"/>
        </w:rPr>
        <w:t>年“药师您好“科普文艺作品征集活动方案</w:t>
      </w:r>
    </w:p>
    <w:p>
      <w:pPr>
        <w:pStyle w:val="ListParagraph"/>
        <w:numPr>
          <w:ilvl w:val="1"/>
          <w:numId w:val="8"/>
        </w:numPr>
        <w:tabs>
          <w:tab w:pos="1497" w:val="left" w:leader="none"/>
        </w:tabs>
        <w:spacing w:line="240" w:lineRule="auto" w:before="225" w:after="0"/>
        <w:ind w:left="1496" w:right="0" w:hanging="326"/>
        <w:jc w:val="left"/>
        <w:rPr>
          <w:rFonts w:ascii="Times New Roman" w:hAnsi="Times New Roman" w:eastAsia="Times New Roman"/>
          <w:color w:val="212121"/>
          <w:sz w:val="31"/>
        </w:rPr>
      </w:pPr>
      <w:r>
        <w:rPr>
          <w:rFonts w:ascii="Times New Roman" w:hAnsi="Times New Roman" w:eastAsia="Times New Roman"/>
          <w:color w:val="212121"/>
          <w:sz w:val="31"/>
        </w:rPr>
        <w:t>201</w:t>
      </w:r>
      <w:r>
        <w:rPr>
          <w:rFonts w:ascii="Times New Roman" w:hAnsi="Times New Roman" w:eastAsia="Times New Roman"/>
          <w:color w:val="212121"/>
          <w:spacing w:val="-14"/>
          <w:sz w:val="31"/>
        </w:rPr>
        <w:t> </w:t>
      </w:r>
      <w:r>
        <w:rPr>
          <w:rFonts w:ascii="Times New Roman" w:hAnsi="Times New Roman" w:eastAsia="Times New Roman"/>
          <w:color w:val="212121"/>
          <w:sz w:val="31"/>
        </w:rPr>
        <w:t>9</w:t>
      </w:r>
      <w:r>
        <w:rPr>
          <w:rFonts w:ascii="Times New Roman" w:hAnsi="Times New Roman" w:eastAsia="Times New Roman"/>
          <w:color w:val="212121"/>
          <w:spacing w:val="12"/>
          <w:sz w:val="31"/>
        </w:rPr>
        <w:t> </w:t>
      </w:r>
      <w:r>
        <w:rPr>
          <w:color w:val="212121"/>
          <w:sz w:val="32"/>
        </w:rPr>
        <w:t>年“药师您好“科普文艺作品推荐表</w:t>
      </w:r>
    </w:p>
    <w:p>
      <w:pPr>
        <w:pStyle w:val="BodyText"/>
        <w:ind w:left="0"/>
        <w:rPr>
          <w:sz w:val="20"/>
        </w:rPr>
      </w:pPr>
    </w:p>
    <w:p>
      <w:pPr>
        <w:pStyle w:val="BodyText"/>
        <w:ind w:left="0"/>
        <w:rPr>
          <w:sz w:val="20"/>
        </w:rPr>
      </w:pPr>
    </w:p>
    <w:p>
      <w:pPr>
        <w:pStyle w:val="BodyText"/>
        <w:spacing w:before="7"/>
        <w:ind w:left="0"/>
        <w:rPr>
          <w:sz w:val="13"/>
        </w:rPr>
      </w:pPr>
      <w:r>
        <w:rPr/>
        <w:drawing>
          <wp:anchor distT="0" distB="0" distL="0" distR="0" allowOverlap="1" layoutInCell="1" locked="0" behindDoc="0" simplePos="0" relativeHeight="5">
            <wp:simplePos x="0" y="0"/>
            <wp:positionH relativeFrom="page">
              <wp:posOffset>3837475</wp:posOffset>
            </wp:positionH>
            <wp:positionV relativeFrom="paragraph">
              <wp:posOffset>135457</wp:posOffset>
            </wp:positionV>
            <wp:extent cx="1207802" cy="338327"/>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23" cstate="print"/>
                    <a:stretch>
                      <a:fillRect/>
                    </a:stretch>
                  </pic:blipFill>
                  <pic:spPr>
                    <a:xfrm>
                      <a:off x="0" y="0"/>
                      <a:ext cx="1207802" cy="338327"/>
                    </a:xfrm>
                    <a:prstGeom prst="rect">
                      <a:avLst/>
                    </a:prstGeom>
                  </pic:spPr>
                </pic:pic>
              </a:graphicData>
            </a:graphic>
          </wp:anchor>
        </w:drawing>
      </w:r>
    </w:p>
    <w:p>
      <w:pPr>
        <w:pStyle w:val="Heading3"/>
        <w:spacing w:before="207"/>
        <w:ind w:left="3070"/>
      </w:pPr>
      <w:r>
        <w:rPr>
          <w:color w:val="212121"/>
        </w:rPr>
        <w:t>中国药学会 全国</w:t>
      </w:r>
      <w:r>
        <w:rPr>
          <w:color w:val="423D3D"/>
        </w:rPr>
        <w:t>医药经济信息</w:t>
      </w:r>
      <w:r>
        <w:rPr>
          <w:color w:val="212121"/>
        </w:rPr>
        <w:t>网（ 代章）</w:t>
      </w:r>
    </w:p>
    <w:p>
      <w:pPr>
        <w:spacing w:before="187"/>
        <w:ind w:left="4709" w:right="0" w:firstLine="0"/>
        <w:jc w:val="left"/>
        <w:rPr>
          <w:sz w:val="27"/>
        </w:rPr>
      </w:pPr>
      <w:r>
        <w:rPr/>
        <w:pict>
          <v:group style="position:absolute;margin-left:298.192291pt;margin-top:28.73617pt;width:87.75pt;height:33.6pt;mso-position-horizontal-relative:page;mso-position-vertical-relative:paragraph;z-index:251665408" coordorigin="5964,575" coordsize="1755,672">
            <v:shape style="position:absolute;left:5963;top:574;width:1632;height:672" type="#_x0000_t75" stroked="false">
              <v:imagedata r:id="rId24" o:title=""/>
            </v:shape>
            <v:shape style="position:absolute;left:5963;top:574;width:1755;height:672" type="#_x0000_t202" filled="false" stroked="false">
              <v:textbox inset="0,0,0,0">
                <w:txbxContent>
                  <w:p>
                    <w:pPr>
                      <w:spacing w:before="195"/>
                      <w:ind w:left="0" w:right="0" w:firstLine="0"/>
                      <w:jc w:val="right"/>
                      <w:rPr>
                        <w:rFonts w:ascii="Arial"/>
                        <w:sz w:val="30"/>
                      </w:rPr>
                    </w:pPr>
                    <w:r>
                      <w:rPr>
                        <w:rFonts w:ascii="Arial"/>
                        <w:color w:val="E2BAC6"/>
                        <w:w w:val="95"/>
                        <w:sz w:val="30"/>
                      </w:rPr>
                      <w:t>./</w:t>
                    </w:r>
                  </w:p>
                </w:txbxContent>
              </v:textbox>
              <w10:wrap type="none"/>
            </v:shape>
            <w10:wrap type="none"/>
          </v:group>
        </w:pict>
      </w:r>
      <w:r>
        <w:rPr>
          <w:rFonts w:ascii="Times New Roman" w:eastAsia="Times New Roman"/>
          <w:color w:val="212121"/>
          <w:sz w:val="31"/>
        </w:rPr>
        <w:t>2019 </w:t>
      </w:r>
      <w:r>
        <w:rPr>
          <w:color w:val="423D3D"/>
          <w:spacing w:val="-67"/>
          <w:sz w:val="33"/>
        </w:rPr>
        <w:t>年</w:t>
      </w:r>
      <w:r>
        <w:rPr>
          <w:color w:val="775660"/>
          <w:spacing w:val="34"/>
          <w:sz w:val="33"/>
        </w:rPr>
        <w:t>勹</w:t>
      </w:r>
      <w:r>
        <w:rPr>
          <w:color w:val="E29CAF"/>
          <w:spacing w:val="-248"/>
          <w:sz w:val="33"/>
        </w:rPr>
        <w:t>｀</w:t>
      </w:r>
      <w:r>
        <w:rPr>
          <w:color w:val="5B5254"/>
          <w:spacing w:val="-47"/>
          <w:sz w:val="33"/>
        </w:rPr>
        <w:t>月 </w:t>
      </w:r>
      <w:r>
        <w:rPr>
          <w:rFonts w:ascii="Times New Roman" w:eastAsia="Times New Roman"/>
          <w:color w:val="423D3D"/>
          <w:sz w:val="34"/>
        </w:rPr>
        <w:t>26 </w:t>
      </w:r>
      <w:r>
        <w:rPr>
          <w:color w:val="212121"/>
          <w:sz w:val="27"/>
        </w:rPr>
        <w:t>日</w:t>
      </w:r>
    </w:p>
    <w:p>
      <w:pPr>
        <w:spacing w:after="0"/>
        <w:jc w:val="left"/>
        <w:rPr>
          <w:sz w:val="27"/>
        </w:rPr>
        <w:sectPr>
          <w:headerReference w:type="default" r:id="rId21"/>
          <w:footerReference w:type="default" r:id="rId22"/>
          <w:pgSz w:w="11910" w:h="16850"/>
          <w:pgMar w:header="0" w:footer="0" w:top="1220" w:bottom="280" w:left="1060" w:right="660"/>
        </w:sectPr>
      </w:pPr>
    </w:p>
    <w:p>
      <w:pPr>
        <w:pStyle w:val="Heading3"/>
        <w:spacing w:before="105"/>
        <w:rPr>
          <w:rFonts w:ascii="黑体" w:eastAsia="黑体" w:hint="eastAsia"/>
        </w:rPr>
      </w:pPr>
      <w:r>
        <w:rPr>
          <w:rFonts w:ascii="黑体" w:eastAsia="黑体" w:hint="eastAsia"/>
        </w:rPr>
        <w:t>附件 1</w:t>
      </w:r>
    </w:p>
    <w:p>
      <w:pPr>
        <w:pStyle w:val="BodyText"/>
        <w:spacing w:before="8"/>
        <w:ind w:left="0"/>
        <w:rPr>
          <w:rFonts w:ascii="黑体"/>
          <w:sz w:val="26"/>
        </w:rPr>
      </w:pPr>
      <w:r>
        <w:rPr/>
        <w:pict>
          <v:group style="position:absolute;margin-left:131.300003pt;margin-top:19.030001pt;width:356.05pt;height:19pt;mso-position-horizontal-relative:page;mso-position-vertical-relative:paragraph;z-index:-251650048;mso-wrap-distance-left:0;mso-wrap-distance-right:0" coordorigin="2626,381" coordsize="7121,380">
            <v:shape style="position:absolute;left:2626;top:380;width:903;height:380" type="#_x0000_t75" stroked="false">
              <v:imagedata r:id="rId27" o:title=""/>
            </v:shape>
            <v:shape style="position:absolute;left:3348;top:380;width:5438;height:380" type="#_x0000_t75" stroked="false">
              <v:imagedata r:id="rId28" o:title=""/>
            </v:shape>
            <v:shape style="position:absolute;left:8466;top:380;width:1280;height:380" type="#_x0000_t75" stroked="false">
              <v:imagedata r:id="rId29" o:title=""/>
            </v:shape>
            <w10:wrap type="topAndBottom"/>
          </v:group>
        </w:pict>
      </w:r>
    </w:p>
    <w:p>
      <w:pPr>
        <w:pStyle w:val="BodyText"/>
        <w:ind w:left="0"/>
        <w:rPr>
          <w:rFonts w:ascii="黑体"/>
          <w:sz w:val="20"/>
        </w:rPr>
      </w:pPr>
    </w:p>
    <w:p>
      <w:pPr>
        <w:pStyle w:val="BodyText"/>
        <w:spacing w:before="11"/>
        <w:ind w:left="0"/>
        <w:rPr>
          <w:rFonts w:ascii="黑体"/>
          <w:sz w:val="14"/>
        </w:rPr>
      </w:pPr>
    </w:p>
    <w:p>
      <w:pPr>
        <w:pStyle w:val="Heading4"/>
        <w:spacing w:before="66"/>
      </w:pPr>
      <w:r>
        <w:rPr/>
        <w:t>一、指导思想</w:t>
      </w:r>
    </w:p>
    <w:p>
      <w:pPr>
        <w:pStyle w:val="BodyText"/>
        <w:spacing w:line="343" w:lineRule="auto" w:before="132"/>
        <w:ind w:right="367" w:firstLine="482"/>
      </w:pPr>
      <w:r>
        <w:rPr>
          <w:spacing w:val="-4"/>
        </w:rPr>
        <w:t>为进一步强化中国药学会全国医药经济信息网的药学科技传播能力，丰富药学科普文艺</w:t>
      </w:r>
      <w:r>
        <w:rPr>
          <w:spacing w:val="-11"/>
        </w:rPr>
        <w:t>活动内容和形式，促进科普资源的开发、整合与共享，以公众喜闻乐见的形式普及科学技术</w:t>
      </w:r>
      <w:r>
        <w:rPr>
          <w:spacing w:val="-12"/>
        </w:rPr>
        <w:t>知识、倡导科学方法、传播科学思想、弘扬科学精神，繁荣科普文艺创作，使科学与艺术、</w:t>
      </w:r>
      <w:r>
        <w:rPr>
          <w:spacing w:val="-7"/>
        </w:rPr>
        <w:t>科普与文化有效结合起来，通过活动发掘优秀的科普文艺作品和创作人才，丰富科普宣传资源，为广大药学科技工作者提供广阔的科普文艺作品创作与演出平台。</w:t>
      </w:r>
    </w:p>
    <w:p>
      <w:pPr>
        <w:pStyle w:val="Heading4"/>
        <w:spacing w:before="3"/>
      </w:pPr>
      <w:r>
        <w:rPr>
          <w:w w:val="95"/>
        </w:rPr>
        <w:t>二、参与对象</w:t>
      </w:r>
    </w:p>
    <w:p>
      <w:pPr>
        <w:pStyle w:val="BodyText"/>
        <w:spacing w:line="343" w:lineRule="auto" w:before="132"/>
        <w:ind w:left="699" w:right="2524"/>
        <w:rPr>
          <w:b/>
        </w:rPr>
      </w:pPr>
      <w:r>
        <w:rPr>
          <w:spacing w:val="-1"/>
        </w:rPr>
        <w:t>中国药学会全国医药经济信息网各地药学会所属分网及网员医院。</w:t>
      </w:r>
      <w:r>
        <w:rPr>
          <w:b/>
        </w:rPr>
        <w:t>三、作品要求</w:t>
      </w:r>
    </w:p>
    <w:p>
      <w:pPr>
        <w:pStyle w:val="BodyText"/>
        <w:spacing w:before="1"/>
        <w:ind w:left="699"/>
      </w:pPr>
      <w:r>
        <w:rPr/>
        <w:t>（一）主题</w:t>
      </w:r>
    </w:p>
    <w:p>
      <w:pPr>
        <w:pStyle w:val="BodyText"/>
        <w:spacing w:before="132"/>
        <w:ind w:left="699"/>
      </w:pPr>
      <w:r>
        <w:rPr/>
        <w:t>安全用药 共享健康</w:t>
      </w:r>
    </w:p>
    <w:p>
      <w:pPr>
        <w:pStyle w:val="BodyText"/>
        <w:spacing w:before="132"/>
        <w:ind w:left="699"/>
      </w:pPr>
      <w:r>
        <w:rPr/>
        <w:t>（二）形式</w:t>
      </w:r>
    </w:p>
    <w:p>
      <w:pPr>
        <w:pStyle w:val="BodyText"/>
        <w:spacing w:line="343" w:lineRule="auto" w:before="134"/>
        <w:ind w:right="465" w:firstLine="482"/>
      </w:pPr>
      <w:r>
        <w:rPr>
          <w:spacing w:val="-2"/>
        </w:rPr>
        <w:t>可为语言类</w:t>
      </w:r>
      <w:r>
        <w:rPr/>
        <w:t>（</w:t>
      </w:r>
      <w:r>
        <w:rPr>
          <w:spacing w:val="-3"/>
        </w:rPr>
        <w:t>配乐诗朗诵、相声、小品</w:t>
      </w:r>
      <w:r>
        <w:rPr>
          <w:spacing w:val="-10"/>
        </w:rPr>
        <w:t>）</w:t>
      </w:r>
      <w:r>
        <w:rPr>
          <w:spacing w:val="-7"/>
        </w:rPr>
        <w:t>、歌舞类</w:t>
      </w:r>
      <w:r>
        <w:rPr/>
        <w:t>（</w:t>
      </w:r>
      <w:r>
        <w:rPr>
          <w:spacing w:val="-4"/>
        </w:rPr>
        <w:t>歌曲类、舞蹈类、舞台剧</w:t>
      </w:r>
      <w:r>
        <w:rPr>
          <w:spacing w:val="-10"/>
        </w:rPr>
        <w:t>）</w:t>
      </w:r>
      <w:r>
        <w:rPr>
          <w:spacing w:val="-8"/>
        </w:rPr>
        <w:t>、曲艺</w:t>
      </w:r>
      <w:r>
        <w:rPr>
          <w:spacing w:val="-3"/>
        </w:rPr>
        <w:t>类、魔杂类、乐器演奏等节目形式。作品时长原则上不超过 </w:t>
      </w:r>
      <w:r>
        <w:rPr/>
        <w:t>5</w:t>
      </w:r>
      <w:r>
        <w:rPr>
          <w:spacing w:val="-15"/>
        </w:rPr>
        <w:t> 分钟。</w:t>
      </w:r>
    </w:p>
    <w:p>
      <w:pPr>
        <w:pStyle w:val="BodyText"/>
        <w:spacing w:line="306" w:lineRule="exact"/>
        <w:ind w:left="699"/>
      </w:pPr>
      <w:r>
        <w:rPr/>
        <w:t>（三）内容</w:t>
      </w:r>
    </w:p>
    <w:p>
      <w:pPr>
        <w:pStyle w:val="BodyText"/>
        <w:spacing w:line="343" w:lineRule="auto" w:before="134"/>
        <w:ind w:right="470" w:firstLine="482"/>
      </w:pPr>
      <w:r>
        <w:rPr>
          <w:spacing w:val="-9"/>
        </w:rPr>
        <w:t>重点围绕药品知识、健康辟谣，宣传合理用药，反映药学服务，彰显药学人员风采，体</w:t>
      </w:r>
      <w:r>
        <w:rPr/>
        <w:t>现药学创新精神，歌颂药学工作者等方面，进行科普内容的创作与表演。</w:t>
      </w:r>
    </w:p>
    <w:p>
      <w:pPr>
        <w:pStyle w:val="BodyText"/>
        <w:spacing w:line="306" w:lineRule="exact"/>
        <w:ind w:left="699"/>
      </w:pPr>
      <w:r>
        <w:rPr/>
        <w:t>（四）要求</w:t>
      </w:r>
    </w:p>
    <w:p>
      <w:pPr>
        <w:pStyle w:val="BodyText"/>
        <w:spacing w:before="135"/>
        <w:ind w:left="699"/>
      </w:pPr>
      <w:r>
        <w:rPr/>
        <w:t>作品应具有较高的思想性、科学性、艺术性和通俗性。</w:t>
      </w:r>
    </w:p>
    <w:p>
      <w:pPr>
        <w:pStyle w:val="ListParagraph"/>
        <w:numPr>
          <w:ilvl w:val="0"/>
          <w:numId w:val="10"/>
        </w:numPr>
        <w:tabs>
          <w:tab w:pos="941" w:val="left" w:leader="none"/>
        </w:tabs>
        <w:spacing w:line="343" w:lineRule="auto" w:before="131" w:after="0"/>
        <w:ind w:left="217" w:right="472" w:firstLine="482"/>
        <w:jc w:val="left"/>
        <w:rPr>
          <w:sz w:val="24"/>
        </w:rPr>
      </w:pPr>
      <w:r>
        <w:rPr>
          <w:spacing w:val="-10"/>
          <w:sz w:val="24"/>
        </w:rPr>
        <w:t>思想性：主题思想和内容健康向上，反映当前药学领域主旋律，代表医药事业的发展</w:t>
      </w:r>
      <w:r>
        <w:rPr>
          <w:sz w:val="24"/>
        </w:rPr>
        <w:t>方向。</w:t>
      </w:r>
    </w:p>
    <w:p>
      <w:pPr>
        <w:pStyle w:val="ListParagraph"/>
        <w:numPr>
          <w:ilvl w:val="0"/>
          <w:numId w:val="10"/>
        </w:numPr>
        <w:tabs>
          <w:tab w:pos="941" w:val="left" w:leader="none"/>
        </w:tabs>
        <w:spacing w:line="343" w:lineRule="auto" w:before="2" w:after="0"/>
        <w:ind w:left="217" w:right="469" w:firstLine="482"/>
        <w:jc w:val="left"/>
        <w:rPr>
          <w:sz w:val="24"/>
        </w:rPr>
      </w:pPr>
      <w:r>
        <w:rPr>
          <w:spacing w:val="-10"/>
          <w:sz w:val="24"/>
        </w:rPr>
        <w:t>科学性：符合普及科学技术知识、倡导科学方法、传播科学思想、弘扬科学精神的要</w:t>
      </w:r>
      <w:r>
        <w:rPr>
          <w:sz w:val="24"/>
        </w:rPr>
        <w:t>求，有助于启迪智慧，促进公众安全用药、共享健康。</w:t>
      </w:r>
    </w:p>
    <w:p>
      <w:pPr>
        <w:pStyle w:val="ListParagraph"/>
        <w:numPr>
          <w:ilvl w:val="0"/>
          <w:numId w:val="10"/>
        </w:numPr>
        <w:tabs>
          <w:tab w:pos="941" w:val="left" w:leader="none"/>
        </w:tabs>
        <w:spacing w:line="345" w:lineRule="auto" w:before="0" w:after="0"/>
        <w:ind w:left="217" w:right="364" w:firstLine="482"/>
        <w:jc w:val="left"/>
        <w:rPr>
          <w:sz w:val="24"/>
        </w:rPr>
      </w:pPr>
      <w:r>
        <w:rPr>
          <w:spacing w:val="-1"/>
          <w:sz w:val="24"/>
        </w:rPr>
        <w:t>艺术性：整体构思新颖、创作手法和表现形式有独创性，语言生动流畅、富有特色， </w:t>
      </w:r>
      <w:r>
        <w:rPr>
          <w:sz w:val="24"/>
        </w:rPr>
        <w:t>具有感染力；注重药学科普与人文科学相结合，有较高文化品位。</w:t>
      </w:r>
    </w:p>
    <w:p>
      <w:pPr>
        <w:pStyle w:val="ListParagraph"/>
        <w:numPr>
          <w:ilvl w:val="0"/>
          <w:numId w:val="10"/>
        </w:numPr>
        <w:tabs>
          <w:tab w:pos="941" w:val="left" w:leader="none"/>
        </w:tabs>
        <w:spacing w:line="343" w:lineRule="auto" w:before="0" w:after="0"/>
        <w:ind w:left="217" w:right="470" w:firstLine="482"/>
        <w:jc w:val="left"/>
        <w:rPr>
          <w:sz w:val="24"/>
        </w:rPr>
      </w:pPr>
      <w:r>
        <w:rPr>
          <w:spacing w:val="-12"/>
          <w:sz w:val="24"/>
        </w:rPr>
        <w:t>通俗性：反映的药学科普知识应通俗易懂，密切结合公众生活中遇到的安全用药问题</w:t>
      </w:r>
      <w:r>
        <w:rPr>
          <w:sz w:val="24"/>
        </w:rPr>
        <w:t>及用药误区，贴近实际，雅俗共赏，公众喜闻乐见。</w:t>
      </w:r>
    </w:p>
    <w:p>
      <w:pPr>
        <w:pStyle w:val="BodyText"/>
        <w:ind w:left="699"/>
      </w:pPr>
      <w:r>
        <w:rPr/>
        <w:t>（五）版权</w:t>
      </w:r>
    </w:p>
    <w:p>
      <w:pPr>
        <w:spacing w:after="0"/>
        <w:sectPr>
          <w:headerReference w:type="default" r:id="rId25"/>
          <w:footerReference w:type="default" r:id="rId26"/>
          <w:pgSz w:w="11910" w:h="16850"/>
          <w:pgMar w:header="906" w:footer="607" w:top="1100" w:bottom="800" w:left="1060" w:right="660"/>
          <w:pgNumType w:start="36"/>
        </w:sectPr>
      </w:pPr>
    </w:p>
    <w:p>
      <w:pPr>
        <w:pStyle w:val="BodyText"/>
        <w:spacing w:line="343" w:lineRule="auto" w:before="112"/>
        <w:ind w:right="467" w:firstLine="482"/>
        <w:jc w:val="both"/>
      </w:pPr>
      <w:r>
        <w:rPr>
          <w:spacing w:val="-7"/>
        </w:rPr>
        <w:t>必须是无版权争议的原创作品。若作品或作品中的元素引发版权争议，由该作品的应征</w:t>
      </w:r>
      <w:r>
        <w:rPr>
          <w:spacing w:val="-9"/>
        </w:rPr>
        <w:t>者承担法律责任。应征者一旦提交作品，则被视为征集方享有作品出版权，并可用于无偿公</w:t>
      </w:r>
      <w:r>
        <w:rPr/>
        <w:t>益性科普宣传。</w:t>
      </w:r>
    </w:p>
    <w:p>
      <w:pPr>
        <w:pStyle w:val="Heading4"/>
        <w:spacing w:before="2"/>
      </w:pPr>
      <w:r>
        <w:rPr/>
        <w:t>四、征集评选</w:t>
      </w:r>
    </w:p>
    <w:p>
      <w:pPr>
        <w:pStyle w:val="BodyText"/>
        <w:spacing w:before="131"/>
        <w:ind w:left="699"/>
      </w:pPr>
      <w:r>
        <w:rPr/>
        <w:t>（一）初评与推荐</w:t>
      </w:r>
    </w:p>
    <w:p>
      <w:pPr>
        <w:pStyle w:val="ListParagraph"/>
        <w:numPr>
          <w:ilvl w:val="0"/>
          <w:numId w:val="11"/>
        </w:numPr>
        <w:tabs>
          <w:tab w:pos="941" w:val="left" w:leader="none"/>
        </w:tabs>
        <w:spacing w:line="345" w:lineRule="auto" w:before="132" w:after="0"/>
        <w:ind w:left="217" w:right="350" w:firstLine="482"/>
        <w:jc w:val="left"/>
        <w:rPr>
          <w:sz w:val="24"/>
        </w:rPr>
      </w:pPr>
      <w:r>
        <w:rPr>
          <w:spacing w:val="-17"/>
          <w:sz w:val="24"/>
        </w:rPr>
        <w:t>推荐单位：各地药学会所属分网组织初评推荐工作，征集本地区的药学科普文艺作品， </w:t>
      </w:r>
      <w:r>
        <w:rPr>
          <w:sz w:val="24"/>
        </w:rPr>
        <w:t>按照第三条作品要求进行初评。各地初评作品统一报送至活动管理办公室。</w:t>
      </w:r>
    </w:p>
    <w:p>
      <w:pPr>
        <w:pStyle w:val="ListParagraph"/>
        <w:numPr>
          <w:ilvl w:val="0"/>
          <w:numId w:val="11"/>
        </w:numPr>
        <w:tabs>
          <w:tab w:pos="941" w:val="left" w:leader="none"/>
        </w:tabs>
        <w:spacing w:line="303" w:lineRule="exact" w:before="0" w:after="0"/>
        <w:ind w:left="940" w:right="0" w:hanging="242"/>
        <w:jc w:val="left"/>
        <w:rPr>
          <w:sz w:val="24"/>
        </w:rPr>
      </w:pPr>
      <w:r>
        <w:rPr>
          <w:spacing w:val="-4"/>
          <w:sz w:val="24"/>
        </w:rPr>
        <w:t>推荐数量：各地初评推荐作品总数不超过 </w:t>
      </w:r>
      <w:r>
        <w:rPr>
          <w:sz w:val="24"/>
        </w:rPr>
        <w:t>5</w:t>
      </w:r>
      <w:r>
        <w:rPr>
          <w:spacing w:val="-20"/>
          <w:sz w:val="24"/>
        </w:rPr>
        <w:t> 部。</w:t>
      </w:r>
    </w:p>
    <w:p>
      <w:pPr>
        <w:pStyle w:val="ListParagraph"/>
        <w:numPr>
          <w:ilvl w:val="0"/>
          <w:numId w:val="11"/>
        </w:numPr>
        <w:tabs>
          <w:tab w:pos="941" w:val="left" w:leader="none"/>
        </w:tabs>
        <w:spacing w:line="345" w:lineRule="auto" w:before="132" w:after="0"/>
        <w:ind w:left="217" w:right="423" w:firstLine="482"/>
        <w:jc w:val="left"/>
        <w:rPr>
          <w:sz w:val="24"/>
        </w:rPr>
      </w:pPr>
      <w:r>
        <w:rPr>
          <w:sz w:val="24"/>
        </w:rPr>
        <w:t>推荐时间：2019</w:t>
      </w:r>
      <w:r>
        <w:rPr>
          <w:spacing w:val="-40"/>
          <w:sz w:val="24"/>
        </w:rPr>
        <w:t> 年 </w:t>
      </w:r>
      <w:r>
        <w:rPr>
          <w:sz w:val="24"/>
        </w:rPr>
        <w:t>8</w:t>
      </w:r>
      <w:r>
        <w:rPr>
          <w:spacing w:val="-40"/>
          <w:sz w:val="24"/>
        </w:rPr>
        <w:t> 月 </w:t>
      </w:r>
      <w:r>
        <w:rPr>
          <w:sz w:val="24"/>
        </w:rPr>
        <w:t>31</w:t>
      </w:r>
      <w:r>
        <w:rPr>
          <w:spacing w:val="-8"/>
          <w:sz w:val="24"/>
        </w:rPr>
        <w:t> 日前，由各地药学会所属分网统一填写推荐表(见附件)， </w:t>
      </w:r>
      <w:r>
        <w:rPr>
          <w:sz w:val="24"/>
        </w:rPr>
        <w:t>将初评推荐作品报送活动管理办公室。</w:t>
      </w:r>
    </w:p>
    <w:p>
      <w:pPr>
        <w:pStyle w:val="ListParagraph"/>
        <w:numPr>
          <w:ilvl w:val="0"/>
          <w:numId w:val="11"/>
        </w:numPr>
        <w:tabs>
          <w:tab w:pos="941" w:val="left" w:leader="none"/>
        </w:tabs>
        <w:spacing w:line="303" w:lineRule="exact" w:before="0" w:after="0"/>
        <w:ind w:left="940" w:right="0" w:hanging="242"/>
        <w:jc w:val="left"/>
        <w:rPr>
          <w:sz w:val="24"/>
        </w:rPr>
      </w:pPr>
      <w:r>
        <w:rPr>
          <w:sz w:val="24"/>
        </w:rPr>
        <w:t>本次作品征集活动不收取任何费用，作品一律不退稿。</w:t>
      </w:r>
    </w:p>
    <w:p>
      <w:pPr>
        <w:pStyle w:val="BodyText"/>
        <w:spacing w:before="132"/>
        <w:ind w:left="699"/>
      </w:pPr>
      <w:r>
        <w:rPr/>
        <w:t>（二）评审与表彰</w:t>
      </w:r>
    </w:p>
    <w:p>
      <w:pPr>
        <w:pStyle w:val="BodyText"/>
        <w:spacing w:line="343" w:lineRule="auto" w:before="134"/>
        <w:ind w:right="364" w:firstLine="482"/>
      </w:pPr>
      <w:r>
        <w:rPr>
          <w:spacing w:val="-1"/>
        </w:rPr>
        <w:t>活动管理办公室对各地推荐的作品进行形式审查，组织专家根据作品思想性、科学性、</w:t>
      </w:r>
      <w:r>
        <w:rPr>
          <w:spacing w:val="-13"/>
        </w:rPr>
        <w:t>艺术性、通俗性，对作品进行评审，对优秀作品颁发荣誉证书,并推荐参加 </w:t>
      </w:r>
      <w:r>
        <w:rPr/>
        <w:t>2019</w:t>
      </w:r>
      <w:r>
        <w:rPr>
          <w:spacing w:val="-10"/>
        </w:rPr>
        <w:t> 年中国药师周“药师您好”科普活动展演。</w:t>
      </w:r>
    </w:p>
    <w:p>
      <w:pPr>
        <w:pStyle w:val="Heading4"/>
        <w:spacing w:before="1"/>
      </w:pPr>
      <w:r>
        <w:rPr/>
        <w:t>五、时间安排</w:t>
      </w:r>
    </w:p>
    <w:p>
      <w:pPr>
        <w:pStyle w:val="ListParagraph"/>
        <w:numPr>
          <w:ilvl w:val="0"/>
          <w:numId w:val="12"/>
        </w:numPr>
        <w:tabs>
          <w:tab w:pos="880" w:val="left" w:leader="none"/>
        </w:tabs>
        <w:spacing w:line="240" w:lineRule="auto" w:before="132" w:after="0"/>
        <w:ind w:left="879" w:right="0" w:hanging="181"/>
        <w:jc w:val="left"/>
        <w:rPr>
          <w:sz w:val="24"/>
        </w:rPr>
      </w:pPr>
      <w:r>
        <w:rPr>
          <w:spacing w:val="-31"/>
          <w:sz w:val="24"/>
        </w:rPr>
        <w:t>月 </w:t>
      </w:r>
      <w:r>
        <w:rPr>
          <w:sz w:val="24"/>
        </w:rPr>
        <w:t>31</w:t>
      </w:r>
      <w:r>
        <w:rPr>
          <w:spacing w:val="-8"/>
          <w:sz w:val="24"/>
        </w:rPr>
        <w:t> 日前，各地药学会所属分网报送作品至活动管理办公室。</w:t>
      </w:r>
    </w:p>
    <w:p>
      <w:pPr>
        <w:pStyle w:val="ListParagraph"/>
        <w:numPr>
          <w:ilvl w:val="0"/>
          <w:numId w:val="12"/>
        </w:numPr>
        <w:tabs>
          <w:tab w:pos="880" w:val="left" w:leader="none"/>
        </w:tabs>
        <w:spacing w:line="240" w:lineRule="auto" w:before="132" w:after="0"/>
        <w:ind w:left="879" w:right="0" w:hanging="181"/>
        <w:jc w:val="left"/>
        <w:rPr>
          <w:sz w:val="24"/>
        </w:rPr>
      </w:pPr>
      <w:r>
        <w:rPr>
          <w:sz w:val="24"/>
        </w:rPr>
        <w:t>月上旬开展科普文艺作品评审。</w:t>
      </w:r>
    </w:p>
    <w:p>
      <w:pPr>
        <w:pStyle w:val="ListParagraph"/>
        <w:numPr>
          <w:ilvl w:val="0"/>
          <w:numId w:val="13"/>
        </w:numPr>
        <w:tabs>
          <w:tab w:pos="880" w:val="left" w:leader="none"/>
        </w:tabs>
        <w:spacing w:line="240" w:lineRule="auto" w:before="134" w:after="0"/>
        <w:ind w:left="879" w:right="0" w:hanging="181"/>
        <w:jc w:val="left"/>
        <w:rPr>
          <w:sz w:val="24"/>
        </w:rPr>
      </w:pPr>
      <w:r>
        <w:rPr>
          <w:sz w:val="24"/>
        </w:rPr>
        <w:t>月下旬组织优秀科普文艺作品调演选送。</w:t>
      </w:r>
    </w:p>
    <w:p>
      <w:pPr>
        <w:pStyle w:val="ListParagraph"/>
        <w:numPr>
          <w:ilvl w:val="0"/>
          <w:numId w:val="13"/>
        </w:numPr>
        <w:tabs>
          <w:tab w:pos="1000" w:val="left" w:leader="none"/>
        </w:tabs>
        <w:spacing w:line="240" w:lineRule="auto" w:before="132" w:after="0"/>
        <w:ind w:left="999" w:right="0" w:hanging="301"/>
        <w:jc w:val="left"/>
        <w:rPr>
          <w:sz w:val="24"/>
        </w:rPr>
      </w:pPr>
      <w:r>
        <w:rPr>
          <w:sz w:val="24"/>
        </w:rPr>
        <w:t>月上旬对调演科普文艺作品进行审核筛选。</w:t>
      </w:r>
    </w:p>
    <w:p>
      <w:pPr>
        <w:pStyle w:val="ListParagraph"/>
        <w:numPr>
          <w:ilvl w:val="0"/>
          <w:numId w:val="13"/>
        </w:numPr>
        <w:tabs>
          <w:tab w:pos="1000" w:val="left" w:leader="none"/>
        </w:tabs>
        <w:spacing w:line="345" w:lineRule="auto" w:before="131" w:after="0"/>
        <w:ind w:left="699" w:right="2944" w:firstLine="0"/>
        <w:jc w:val="left"/>
        <w:rPr>
          <w:b/>
          <w:sz w:val="24"/>
        </w:rPr>
      </w:pPr>
      <w:r>
        <w:rPr>
          <w:spacing w:val="-1"/>
          <w:sz w:val="24"/>
        </w:rPr>
        <w:t>月上旬调演科普文艺作品参加“药师您好”科普活动展演。</w:t>
      </w:r>
      <w:r>
        <w:rPr>
          <w:b/>
          <w:sz w:val="24"/>
        </w:rPr>
        <w:t>六、工作要求</w:t>
      </w:r>
    </w:p>
    <w:p>
      <w:pPr>
        <w:pStyle w:val="BodyText"/>
        <w:spacing w:line="343" w:lineRule="auto"/>
        <w:ind w:right="470" w:firstLine="482"/>
      </w:pPr>
      <w:r>
        <w:rPr>
          <w:spacing w:val="-8"/>
        </w:rPr>
        <w:t>各单位对本次活动要高度重视，精心组织。要充分认识开展科普文艺作品征集及优秀作</w:t>
      </w:r>
      <w:r>
        <w:rPr/>
        <w:t>品汇演活动的重要意义，明确专人负责，统筹安排，周密部署，切实抓实抓好。</w:t>
      </w:r>
    </w:p>
    <w:p>
      <w:pPr>
        <w:pStyle w:val="BodyText"/>
        <w:ind w:left="699"/>
      </w:pPr>
      <w:r>
        <w:rPr/>
        <w:t>七、联系方式</w:t>
      </w:r>
    </w:p>
    <w:p>
      <w:pPr>
        <w:pStyle w:val="BodyText"/>
        <w:spacing w:before="129"/>
        <w:ind w:left="699"/>
      </w:pPr>
      <w:r>
        <w:rPr>
          <w:spacing w:val="-1"/>
        </w:rPr>
        <w:t>联 系 人：刘玉、徐雁萍</w:t>
      </w:r>
    </w:p>
    <w:p>
      <w:pPr>
        <w:pStyle w:val="BodyText"/>
        <w:tabs>
          <w:tab w:pos="1419" w:val="left" w:leader="none"/>
        </w:tabs>
        <w:spacing w:line="345" w:lineRule="auto" w:before="132"/>
        <w:ind w:left="699" w:right="5524"/>
      </w:pPr>
      <w:r>
        <w:rPr/>
        <w:t>联系电话：010-65660788</w:t>
      </w:r>
      <w:r>
        <w:rPr>
          <w:spacing w:val="-60"/>
        </w:rPr>
        <w:t> </w:t>
      </w:r>
      <w:r>
        <w:rPr/>
        <w:t>转</w:t>
      </w:r>
      <w:r>
        <w:rPr>
          <w:spacing w:val="-59"/>
        </w:rPr>
        <w:t> </w:t>
      </w:r>
      <w:r>
        <w:rPr/>
        <w:t>181、</w:t>
      </w:r>
      <w:r>
        <w:rPr>
          <w:spacing w:val="-6"/>
        </w:rPr>
        <w:t>159 </w:t>
      </w:r>
      <w:r>
        <w:rPr/>
        <w:t>传</w:t>
        <w:tab/>
        <w:t>真：010-65661656</w:t>
      </w:r>
    </w:p>
    <w:p>
      <w:pPr>
        <w:pStyle w:val="BodyText"/>
        <w:spacing w:line="303" w:lineRule="exact"/>
        <w:ind w:left="699"/>
      </w:pPr>
      <w:r>
        <w:rPr/>
        <w:t>电子邮箱：</w:t>
      </w:r>
      <w:hyperlink r:id="rId30">
        <w:r>
          <w:rPr/>
          <w:t>drughuloo@126.com</w:t>
        </w:r>
      </w:hyperlink>
    </w:p>
    <w:p>
      <w:pPr>
        <w:spacing w:after="0" w:line="303" w:lineRule="exact"/>
        <w:sectPr>
          <w:pgSz w:w="11910" w:h="16850"/>
          <w:pgMar w:header="906" w:footer="607" w:top="1100" w:bottom="800" w:left="1060" w:right="660"/>
        </w:sectPr>
      </w:pPr>
    </w:p>
    <w:p>
      <w:pPr>
        <w:spacing w:before="132"/>
        <w:ind w:left="217" w:right="0" w:firstLine="0"/>
        <w:jc w:val="left"/>
        <w:rPr>
          <w:rFonts w:ascii="黑体" w:eastAsia="黑体" w:hint="eastAsia"/>
          <w:sz w:val="28"/>
        </w:rPr>
      </w:pPr>
      <w:r>
        <w:rPr>
          <w:rFonts w:ascii="黑体" w:eastAsia="黑体" w:hint="eastAsia"/>
          <w:spacing w:val="-24"/>
          <w:sz w:val="28"/>
        </w:rPr>
        <w:t>附件 </w:t>
      </w:r>
      <w:r>
        <w:rPr>
          <w:rFonts w:ascii="黑体" w:eastAsia="黑体" w:hint="eastAsia"/>
          <w:sz w:val="28"/>
        </w:rPr>
        <w:t>2</w:t>
      </w:r>
    </w:p>
    <w:p>
      <w:pPr>
        <w:pStyle w:val="BodyText"/>
        <w:ind w:left="0"/>
        <w:rPr>
          <w:rFonts w:ascii="黑体"/>
          <w:sz w:val="36"/>
        </w:rPr>
      </w:pPr>
      <w:r>
        <w:rPr/>
        <w:br w:type="column"/>
      </w:r>
      <w:r>
        <w:rPr>
          <w:rFonts w:ascii="黑体"/>
          <w:sz w:val="36"/>
        </w:rPr>
      </w:r>
    </w:p>
    <w:p>
      <w:pPr>
        <w:spacing w:before="244"/>
        <w:ind w:left="217" w:right="0" w:firstLine="0"/>
        <w:jc w:val="left"/>
        <w:rPr>
          <w:rFonts w:ascii="仿宋" w:hAnsi="仿宋" w:eastAsia="仿宋" w:hint="eastAsia"/>
          <w:b/>
          <w:sz w:val="36"/>
        </w:rPr>
      </w:pPr>
      <w:r>
        <w:rPr>
          <w:rFonts w:ascii="仿宋" w:hAnsi="仿宋" w:eastAsia="仿宋" w:hint="eastAsia"/>
          <w:b/>
          <w:sz w:val="36"/>
        </w:rPr>
        <w:t>2019 年“药师您好”科普文艺作品征集表</w:t>
      </w:r>
    </w:p>
    <w:p>
      <w:pPr>
        <w:spacing w:after="0"/>
        <w:jc w:val="left"/>
        <w:rPr>
          <w:rFonts w:ascii="仿宋" w:hAnsi="仿宋" w:eastAsia="仿宋" w:hint="eastAsia"/>
          <w:sz w:val="36"/>
        </w:rPr>
        <w:sectPr>
          <w:pgSz w:w="11910" w:h="16850"/>
          <w:pgMar w:header="906" w:footer="607" w:top="1100" w:bottom="800" w:left="1060" w:right="660"/>
          <w:cols w:num="2" w:equalWidth="0">
            <w:col w:w="1029" w:space="418"/>
            <w:col w:w="8743"/>
          </w:cols>
        </w:sectPr>
      </w:pPr>
    </w:p>
    <w:p>
      <w:pPr>
        <w:pStyle w:val="BodyText"/>
        <w:spacing w:before="5"/>
        <w:ind w:left="0"/>
        <w:rPr>
          <w:rFonts w:ascii="仿宋"/>
          <w:b/>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2269"/>
        <w:gridCol w:w="1561"/>
        <w:gridCol w:w="1600"/>
        <w:gridCol w:w="1094"/>
      </w:tblGrid>
      <w:tr>
        <w:trPr>
          <w:trHeight w:val="623" w:hRule="atLeast"/>
        </w:trPr>
        <w:tc>
          <w:tcPr>
            <w:tcW w:w="2235" w:type="dxa"/>
          </w:tcPr>
          <w:p>
            <w:pPr>
              <w:pStyle w:val="TableParagraph"/>
              <w:ind w:left="108"/>
              <w:rPr>
                <w:sz w:val="28"/>
              </w:rPr>
            </w:pPr>
            <w:r>
              <w:rPr>
                <w:sz w:val="28"/>
              </w:rPr>
              <w:t>推荐单位</w:t>
            </w:r>
          </w:p>
        </w:tc>
        <w:tc>
          <w:tcPr>
            <w:tcW w:w="6524" w:type="dxa"/>
            <w:gridSpan w:val="4"/>
          </w:tcPr>
          <w:p>
            <w:pPr>
              <w:pStyle w:val="TableParagraph"/>
              <w:ind w:left="107"/>
              <w:rPr>
                <w:sz w:val="28"/>
              </w:rPr>
            </w:pPr>
            <w:r>
              <w:rPr>
                <w:sz w:val="28"/>
              </w:rPr>
              <w:t>（加盖公章）</w:t>
            </w:r>
          </w:p>
        </w:tc>
      </w:tr>
      <w:tr>
        <w:trPr>
          <w:trHeight w:val="623" w:hRule="atLeast"/>
        </w:trPr>
        <w:tc>
          <w:tcPr>
            <w:tcW w:w="2235" w:type="dxa"/>
          </w:tcPr>
          <w:p>
            <w:pPr>
              <w:pStyle w:val="TableParagraph"/>
              <w:ind w:left="108"/>
              <w:rPr>
                <w:sz w:val="28"/>
              </w:rPr>
            </w:pPr>
            <w:r>
              <w:rPr>
                <w:sz w:val="28"/>
              </w:rPr>
              <w:t>作品名称</w:t>
            </w:r>
          </w:p>
        </w:tc>
        <w:tc>
          <w:tcPr>
            <w:tcW w:w="6524" w:type="dxa"/>
            <w:gridSpan w:val="4"/>
          </w:tcPr>
          <w:p>
            <w:pPr>
              <w:pStyle w:val="TableParagraph"/>
              <w:spacing w:before="0"/>
              <w:ind w:left="0"/>
              <w:rPr>
                <w:rFonts w:ascii="Times New Roman"/>
                <w:sz w:val="26"/>
              </w:rPr>
            </w:pPr>
          </w:p>
        </w:tc>
      </w:tr>
      <w:tr>
        <w:trPr>
          <w:trHeight w:val="1872" w:hRule="atLeast"/>
        </w:trPr>
        <w:tc>
          <w:tcPr>
            <w:tcW w:w="2235" w:type="dxa"/>
          </w:tcPr>
          <w:p>
            <w:pPr>
              <w:pStyle w:val="TableParagraph"/>
              <w:ind w:left="108"/>
              <w:rPr>
                <w:sz w:val="28"/>
              </w:rPr>
            </w:pPr>
            <w:r>
              <w:rPr>
                <w:sz w:val="28"/>
              </w:rPr>
              <w:t>作品形式</w:t>
            </w:r>
          </w:p>
        </w:tc>
        <w:tc>
          <w:tcPr>
            <w:tcW w:w="3830" w:type="dxa"/>
            <w:gridSpan w:val="2"/>
            <w:tcBorders>
              <w:right w:val="nil"/>
            </w:tcBorders>
          </w:tcPr>
          <w:p>
            <w:pPr>
              <w:pStyle w:val="TableParagraph"/>
              <w:tabs>
                <w:tab w:pos="2208" w:val="left" w:leader="none"/>
              </w:tabs>
              <w:spacing w:line="417" w:lineRule="auto"/>
              <w:ind w:left="107" w:right="772"/>
              <w:rPr>
                <w:sz w:val="28"/>
              </w:rPr>
            </w:pPr>
            <w:r>
              <w:rPr>
                <w:sz w:val="28"/>
              </w:rPr>
              <w:t>配乐诗</w:t>
            </w:r>
            <w:r>
              <w:rPr>
                <w:spacing w:val="-3"/>
                <w:sz w:val="28"/>
              </w:rPr>
              <w:t>朗</w:t>
            </w:r>
            <w:r>
              <w:rPr>
                <w:sz w:val="28"/>
              </w:rPr>
              <w:t>诵□</w:t>
              <w:tab/>
              <w:t>相声</w:t>
            </w:r>
            <w:r>
              <w:rPr>
                <w:spacing w:val="-18"/>
                <w:sz w:val="28"/>
              </w:rPr>
              <w:t>□ </w:t>
            </w:r>
            <w:r>
              <w:rPr>
                <w:sz w:val="28"/>
              </w:rPr>
              <w:t>歌曲□</w:t>
              <w:tab/>
              <w:t>舞蹈</w:t>
            </w:r>
            <w:r>
              <w:rPr>
                <w:spacing w:val="-18"/>
                <w:sz w:val="28"/>
              </w:rPr>
              <w:t>□</w:t>
            </w:r>
          </w:p>
          <w:p>
            <w:pPr>
              <w:pStyle w:val="TableParagraph"/>
              <w:tabs>
                <w:tab w:pos="2208" w:val="left" w:leader="none"/>
              </w:tabs>
              <w:spacing w:before="0"/>
              <w:ind w:left="107"/>
              <w:rPr>
                <w:sz w:val="28"/>
              </w:rPr>
            </w:pPr>
            <w:r>
              <w:rPr>
                <w:sz w:val="28"/>
              </w:rPr>
              <w:t>曲艺类□</w:t>
              <w:tab/>
              <w:t>魔杂类□</w:t>
            </w:r>
          </w:p>
        </w:tc>
        <w:tc>
          <w:tcPr>
            <w:tcW w:w="1600" w:type="dxa"/>
            <w:tcBorders>
              <w:left w:val="nil"/>
              <w:right w:val="nil"/>
            </w:tcBorders>
          </w:tcPr>
          <w:p>
            <w:pPr>
              <w:pStyle w:val="TableParagraph"/>
              <w:ind w:left="344"/>
              <w:rPr>
                <w:sz w:val="28"/>
              </w:rPr>
            </w:pPr>
            <w:r>
              <w:rPr>
                <w:spacing w:val="-2"/>
                <w:sz w:val="28"/>
              </w:rPr>
              <w:t>小品□</w:t>
            </w:r>
          </w:p>
          <w:p>
            <w:pPr>
              <w:pStyle w:val="TableParagraph"/>
              <w:spacing w:line="620" w:lineRule="atLeast" w:before="5"/>
              <w:ind w:left="344" w:right="132"/>
              <w:rPr>
                <w:sz w:val="28"/>
              </w:rPr>
            </w:pPr>
            <w:r>
              <w:rPr>
                <w:spacing w:val="-6"/>
                <w:sz w:val="28"/>
              </w:rPr>
              <w:t>舞台剧□ </w:t>
            </w:r>
            <w:r>
              <w:rPr>
                <w:spacing w:val="-2"/>
                <w:sz w:val="28"/>
              </w:rPr>
              <w:t>其他□</w:t>
            </w:r>
          </w:p>
        </w:tc>
        <w:tc>
          <w:tcPr>
            <w:tcW w:w="1094" w:type="dxa"/>
            <w:tcBorders>
              <w:left w:val="nil"/>
            </w:tcBorders>
          </w:tcPr>
          <w:p>
            <w:pPr>
              <w:pStyle w:val="TableParagraph"/>
              <w:spacing w:before="0"/>
              <w:ind w:left="0"/>
              <w:rPr>
                <w:rFonts w:ascii="Times New Roman"/>
                <w:sz w:val="26"/>
              </w:rPr>
            </w:pPr>
          </w:p>
        </w:tc>
      </w:tr>
      <w:tr>
        <w:trPr>
          <w:trHeight w:val="623" w:hRule="atLeast"/>
        </w:trPr>
        <w:tc>
          <w:tcPr>
            <w:tcW w:w="2235" w:type="dxa"/>
          </w:tcPr>
          <w:p>
            <w:pPr>
              <w:pStyle w:val="TableParagraph"/>
              <w:ind w:left="108"/>
              <w:rPr>
                <w:sz w:val="28"/>
              </w:rPr>
            </w:pPr>
            <w:r>
              <w:rPr>
                <w:sz w:val="28"/>
              </w:rPr>
              <w:t>作品时长</w:t>
            </w:r>
          </w:p>
        </w:tc>
        <w:tc>
          <w:tcPr>
            <w:tcW w:w="6524" w:type="dxa"/>
            <w:gridSpan w:val="4"/>
          </w:tcPr>
          <w:p>
            <w:pPr>
              <w:pStyle w:val="TableParagraph"/>
              <w:spacing w:before="0"/>
              <w:ind w:left="0"/>
              <w:rPr>
                <w:rFonts w:ascii="Times New Roman"/>
                <w:sz w:val="26"/>
              </w:rPr>
            </w:pPr>
          </w:p>
        </w:tc>
      </w:tr>
      <w:tr>
        <w:trPr>
          <w:trHeight w:val="635" w:hRule="atLeast"/>
        </w:trPr>
        <w:tc>
          <w:tcPr>
            <w:tcW w:w="2235" w:type="dxa"/>
          </w:tcPr>
          <w:p>
            <w:pPr>
              <w:pStyle w:val="TableParagraph"/>
              <w:spacing w:before="135"/>
              <w:ind w:left="108"/>
              <w:rPr>
                <w:sz w:val="28"/>
              </w:rPr>
            </w:pPr>
            <w:r>
              <w:rPr>
                <w:sz w:val="28"/>
              </w:rPr>
              <w:t>科普主题概述</w:t>
            </w:r>
          </w:p>
        </w:tc>
        <w:tc>
          <w:tcPr>
            <w:tcW w:w="6524" w:type="dxa"/>
            <w:gridSpan w:val="4"/>
          </w:tcPr>
          <w:p>
            <w:pPr>
              <w:pStyle w:val="TableParagraph"/>
              <w:spacing w:before="135"/>
              <w:ind w:left="107"/>
              <w:rPr>
                <w:sz w:val="28"/>
              </w:rPr>
            </w:pPr>
            <w:r>
              <w:rPr>
                <w:sz w:val="28"/>
              </w:rPr>
              <w:t>（一句话即可）</w:t>
            </w:r>
          </w:p>
        </w:tc>
      </w:tr>
      <w:tr>
        <w:trPr>
          <w:trHeight w:val="1504" w:hRule="atLeast"/>
        </w:trPr>
        <w:tc>
          <w:tcPr>
            <w:tcW w:w="2235" w:type="dxa"/>
          </w:tcPr>
          <w:p>
            <w:pPr>
              <w:pStyle w:val="TableParagraph"/>
              <w:ind w:left="108"/>
              <w:rPr>
                <w:sz w:val="28"/>
              </w:rPr>
            </w:pPr>
            <w:r>
              <w:rPr>
                <w:sz w:val="28"/>
              </w:rPr>
              <w:t>详细描述</w:t>
            </w:r>
          </w:p>
        </w:tc>
        <w:tc>
          <w:tcPr>
            <w:tcW w:w="6524" w:type="dxa"/>
            <w:gridSpan w:val="4"/>
          </w:tcPr>
          <w:p>
            <w:pPr>
              <w:pStyle w:val="TableParagraph"/>
              <w:ind w:left="107"/>
              <w:rPr>
                <w:sz w:val="28"/>
              </w:rPr>
            </w:pPr>
            <w:r>
              <w:rPr>
                <w:sz w:val="28"/>
              </w:rPr>
              <w:t>（请详细写明改编的歌词、脚本、剧本等内容）</w:t>
            </w:r>
          </w:p>
        </w:tc>
      </w:tr>
      <w:tr>
        <w:trPr>
          <w:trHeight w:val="625" w:hRule="atLeast"/>
        </w:trPr>
        <w:tc>
          <w:tcPr>
            <w:tcW w:w="2235" w:type="dxa"/>
          </w:tcPr>
          <w:p>
            <w:pPr>
              <w:pStyle w:val="TableParagraph"/>
              <w:spacing w:before="135"/>
              <w:ind w:left="108"/>
              <w:rPr>
                <w:sz w:val="28"/>
              </w:rPr>
            </w:pPr>
            <w:r>
              <w:rPr>
                <w:sz w:val="28"/>
              </w:rPr>
              <w:t>创作单位</w:t>
            </w:r>
          </w:p>
        </w:tc>
        <w:tc>
          <w:tcPr>
            <w:tcW w:w="6524" w:type="dxa"/>
            <w:gridSpan w:val="4"/>
          </w:tcPr>
          <w:p>
            <w:pPr>
              <w:pStyle w:val="TableParagraph"/>
              <w:spacing w:before="135"/>
              <w:ind w:left="107"/>
              <w:rPr>
                <w:sz w:val="28"/>
              </w:rPr>
            </w:pPr>
            <w:r>
              <w:rPr>
                <w:sz w:val="28"/>
              </w:rPr>
              <w:t>（加盖公章）</w:t>
            </w:r>
          </w:p>
        </w:tc>
      </w:tr>
      <w:tr>
        <w:trPr>
          <w:trHeight w:val="623" w:hRule="atLeast"/>
        </w:trPr>
        <w:tc>
          <w:tcPr>
            <w:tcW w:w="2235" w:type="dxa"/>
          </w:tcPr>
          <w:p>
            <w:pPr>
              <w:pStyle w:val="TableParagraph"/>
              <w:ind w:left="108"/>
              <w:rPr>
                <w:sz w:val="28"/>
              </w:rPr>
            </w:pPr>
            <w:r>
              <w:rPr>
                <w:sz w:val="28"/>
              </w:rPr>
              <w:t>主要演员</w:t>
            </w:r>
          </w:p>
        </w:tc>
        <w:tc>
          <w:tcPr>
            <w:tcW w:w="3830" w:type="dxa"/>
            <w:gridSpan w:val="2"/>
            <w:tcBorders>
              <w:right w:val="nil"/>
            </w:tcBorders>
          </w:tcPr>
          <w:p>
            <w:pPr>
              <w:pStyle w:val="TableParagraph"/>
              <w:tabs>
                <w:tab w:pos="1228" w:val="left" w:leader="none"/>
              </w:tabs>
              <w:ind w:left="107"/>
              <w:rPr>
                <w:sz w:val="28"/>
              </w:rPr>
            </w:pPr>
            <w:r>
              <w:rPr>
                <w:sz w:val="28"/>
              </w:rPr>
              <w:t>总（</w:t>
              <w:tab/>
              <w:t>）人</w:t>
            </w:r>
            <w:r>
              <w:rPr>
                <w:spacing w:val="-3"/>
                <w:sz w:val="28"/>
              </w:rPr>
              <w:t>，其</w:t>
            </w:r>
            <w:r>
              <w:rPr>
                <w:sz w:val="28"/>
              </w:rPr>
              <w:t>中：男（</w:t>
            </w:r>
          </w:p>
        </w:tc>
        <w:tc>
          <w:tcPr>
            <w:tcW w:w="1600" w:type="dxa"/>
            <w:tcBorders>
              <w:left w:val="nil"/>
              <w:right w:val="nil"/>
            </w:tcBorders>
          </w:tcPr>
          <w:p>
            <w:pPr>
              <w:pStyle w:val="TableParagraph"/>
              <w:ind w:left="202"/>
              <w:rPr>
                <w:sz w:val="28"/>
              </w:rPr>
            </w:pPr>
            <w:r>
              <w:rPr>
                <w:sz w:val="28"/>
              </w:rPr>
              <w:t>）、女（</w:t>
            </w:r>
          </w:p>
        </w:tc>
        <w:tc>
          <w:tcPr>
            <w:tcW w:w="1094" w:type="dxa"/>
            <w:tcBorders>
              <w:left w:val="nil"/>
            </w:tcBorders>
          </w:tcPr>
          <w:p>
            <w:pPr>
              <w:pStyle w:val="TableParagraph"/>
              <w:ind w:left="141"/>
              <w:rPr>
                <w:sz w:val="28"/>
              </w:rPr>
            </w:pPr>
            <w:r>
              <w:rPr>
                <w:w w:val="100"/>
                <w:sz w:val="28"/>
              </w:rPr>
              <w:t>）</w:t>
            </w:r>
          </w:p>
        </w:tc>
      </w:tr>
      <w:tr>
        <w:trPr>
          <w:trHeight w:val="623" w:hRule="atLeast"/>
        </w:trPr>
        <w:tc>
          <w:tcPr>
            <w:tcW w:w="2235" w:type="dxa"/>
          </w:tcPr>
          <w:p>
            <w:pPr>
              <w:pStyle w:val="TableParagraph"/>
              <w:ind w:left="108"/>
              <w:rPr>
                <w:sz w:val="28"/>
              </w:rPr>
            </w:pPr>
            <w:r>
              <w:rPr>
                <w:sz w:val="28"/>
              </w:rPr>
              <w:t>联系人</w:t>
            </w:r>
          </w:p>
        </w:tc>
        <w:tc>
          <w:tcPr>
            <w:tcW w:w="2269" w:type="dxa"/>
          </w:tcPr>
          <w:p>
            <w:pPr>
              <w:pStyle w:val="TableParagraph"/>
              <w:spacing w:before="0"/>
              <w:ind w:left="0"/>
              <w:rPr>
                <w:rFonts w:ascii="Times New Roman"/>
                <w:sz w:val="26"/>
              </w:rPr>
            </w:pPr>
          </w:p>
        </w:tc>
        <w:tc>
          <w:tcPr>
            <w:tcW w:w="1561" w:type="dxa"/>
          </w:tcPr>
          <w:p>
            <w:pPr>
              <w:pStyle w:val="TableParagraph"/>
              <w:ind w:left="107"/>
              <w:rPr>
                <w:sz w:val="28"/>
              </w:rPr>
            </w:pPr>
            <w:r>
              <w:rPr>
                <w:sz w:val="28"/>
              </w:rPr>
              <w:t>移动电话</w:t>
            </w:r>
          </w:p>
        </w:tc>
        <w:tc>
          <w:tcPr>
            <w:tcW w:w="2694" w:type="dxa"/>
            <w:gridSpan w:val="2"/>
          </w:tcPr>
          <w:p>
            <w:pPr>
              <w:pStyle w:val="TableParagraph"/>
              <w:spacing w:before="0"/>
              <w:ind w:left="0"/>
              <w:rPr>
                <w:rFonts w:ascii="Times New Roman"/>
                <w:sz w:val="26"/>
              </w:rPr>
            </w:pPr>
          </w:p>
        </w:tc>
      </w:tr>
      <w:tr>
        <w:trPr>
          <w:trHeight w:val="621" w:hRule="atLeast"/>
        </w:trPr>
        <w:tc>
          <w:tcPr>
            <w:tcW w:w="2235" w:type="dxa"/>
            <w:tcBorders>
              <w:bottom w:val="single" w:sz="6" w:space="0" w:color="000000"/>
            </w:tcBorders>
          </w:tcPr>
          <w:p>
            <w:pPr>
              <w:pStyle w:val="TableParagraph"/>
              <w:ind w:left="108"/>
              <w:rPr>
                <w:sz w:val="28"/>
              </w:rPr>
            </w:pPr>
            <w:r>
              <w:rPr>
                <w:sz w:val="28"/>
              </w:rPr>
              <w:t>邮箱</w:t>
            </w:r>
          </w:p>
        </w:tc>
        <w:tc>
          <w:tcPr>
            <w:tcW w:w="6524" w:type="dxa"/>
            <w:gridSpan w:val="4"/>
            <w:tcBorders>
              <w:bottom w:val="single" w:sz="6" w:space="0" w:color="000000"/>
            </w:tcBorders>
          </w:tcPr>
          <w:p>
            <w:pPr>
              <w:pStyle w:val="TableParagraph"/>
              <w:spacing w:before="0"/>
              <w:ind w:left="0"/>
              <w:rPr>
                <w:rFonts w:ascii="Times New Roman"/>
                <w:sz w:val="26"/>
              </w:rPr>
            </w:pPr>
          </w:p>
        </w:tc>
      </w:tr>
      <w:tr>
        <w:trPr>
          <w:trHeight w:val="621" w:hRule="atLeast"/>
        </w:trPr>
        <w:tc>
          <w:tcPr>
            <w:tcW w:w="2235" w:type="dxa"/>
            <w:tcBorders>
              <w:top w:val="single" w:sz="6" w:space="0" w:color="000000"/>
            </w:tcBorders>
          </w:tcPr>
          <w:p>
            <w:pPr>
              <w:pStyle w:val="TableParagraph"/>
              <w:spacing w:before="130"/>
              <w:ind w:left="108"/>
              <w:rPr>
                <w:sz w:val="28"/>
              </w:rPr>
            </w:pPr>
            <w:r>
              <w:rPr>
                <w:sz w:val="28"/>
              </w:rPr>
              <w:t>附件</w:t>
            </w:r>
          </w:p>
        </w:tc>
        <w:tc>
          <w:tcPr>
            <w:tcW w:w="6524" w:type="dxa"/>
            <w:gridSpan w:val="4"/>
            <w:tcBorders>
              <w:top w:val="single" w:sz="6" w:space="0" w:color="000000"/>
            </w:tcBorders>
          </w:tcPr>
          <w:p>
            <w:pPr>
              <w:pStyle w:val="TableParagraph"/>
              <w:spacing w:before="130"/>
              <w:ind w:left="107"/>
              <w:rPr>
                <w:sz w:val="28"/>
              </w:rPr>
            </w:pPr>
            <w:r>
              <w:rPr>
                <w:sz w:val="28"/>
              </w:rPr>
              <w:t>作品的视频文件（请一并提交）</w:t>
            </w:r>
          </w:p>
        </w:tc>
      </w:tr>
      <w:tr>
        <w:trPr>
          <w:trHeight w:val="2498" w:hRule="atLeast"/>
        </w:trPr>
        <w:tc>
          <w:tcPr>
            <w:tcW w:w="2235" w:type="dxa"/>
          </w:tcPr>
          <w:p>
            <w:pPr>
              <w:pStyle w:val="TableParagraph"/>
              <w:ind w:left="108"/>
              <w:rPr>
                <w:sz w:val="28"/>
              </w:rPr>
            </w:pPr>
            <w:r>
              <w:rPr>
                <w:sz w:val="28"/>
              </w:rPr>
              <w:t>版权说明</w:t>
            </w:r>
          </w:p>
        </w:tc>
        <w:tc>
          <w:tcPr>
            <w:tcW w:w="6524" w:type="dxa"/>
            <w:gridSpan w:val="4"/>
          </w:tcPr>
          <w:p>
            <w:pPr>
              <w:pStyle w:val="TableParagraph"/>
              <w:spacing w:line="417" w:lineRule="auto"/>
              <w:ind w:left="107" w:right="97"/>
              <w:jc w:val="both"/>
              <w:rPr>
                <w:sz w:val="28"/>
              </w:rPr>
            </w:pPr>
            <w:r>
              <w:rPr>
                <w:spacing w:val="-12"/>
                <w:sz w:val="28"/>
              </w:rPr>
              <w:t>作品必须是无版权争议的原创作品。若作品或作品中</w:t>
            </w:r>
            <w:r>
              <w:rPr>
                <w:spacing w:val="-14"/>
                <w:sz w:val="28"/>
              </w:rPr>
              <w:t>的元素引发版权争议，由该作品的创作单位承担法律</w:t>
            </w:r>
            <w:r>
              <w:rPr>
                <w:spacing w:val="-13"/>
                <w:sz w:val="28"/>
              </w:rPr>
              <w:t>责任。作品一旦提交，则被视为征集方享有作品出版</w:t>
            </w:r>
          </w:p>
          <w:p>
            <w:pPr>
              <w:pStyle w:val="TableParagraph"/>
              <w:spacing w:line="358" w:lineRule="exact" w:before="0"/>
              <w:ind w:left="107"/>
              <w:rPr>
                <w:sz w:val="28"/>
              </w:rPr>
            </w:pPr>
            <w:r>
              <w:rPr>
                <w:sz w:val="28"/>
              </w:rPr>
              <w:t>权，并可用于无偿公益性科普宣传。</w:t>
            </w:r>
          </w:p>
        </w:tc>
      </w:tr>
    </w:tbl>
    <w:p>
      <w:pPr>
        <w:pStyle w:val="BodyText"/>
        <w:spacing w:before="2"/>
        <w:ind w:left="0"/>
        <w:rPr>
          <w:rFonts w:ascii="仿宋"/>
          <w:b/>
          <w:sz w:val="19"/>
        </w:rPr>
      </w:pPr>
    </w:p>
    <w:p>
      <w:pPr>
        <w:pStyle w:val="BodyText"/>
        <w:spacing w:before="66"/>
      </w:pPr>
      <w:r>
        <w:rPr/>
        <w:t>具体方案和征集表可在中国药学会科技开发中心的网站上下载：</w:t>
      </w:r>
    </w:p>
    <w:p>
      <w:pPr>
        <w:pStyle w:val="BodyText"/>
        <w:spacing w:before="14"/>
        <w:rPr>
          <w:rFonts w:ascii="Calibri"/>
        </w:rPr>
      </w:pPr>
      <w:hyperlink r:id="rId31">
        <w:r>
          <w:rPr>
            <w:rFonts w:ascii="Calibri"/>
            <w:color w:val="0000FF"/>
            <w:u w:val="single" w:color="0000FF"/>
          </w:rPr>
          <w:t>http://www.cmei.org.cn/content/?14277.html</w:t>
        </w:r>
      </w:hyperlink>
    </w:p>
    <w:p>
      <w:pPr>
        <w:pStyle w:val="BodyText"/>
        <w:spacing w:before="5"/>
        <w:ind w:left="0"/>
        <w:rPr>
          <w:rFonts w:ascii="Calibri"/>
          <w:sz w:val="27"/>
        </w:rPr>
      </w:pPr>
    </w:p>
    <w:p>
      <w:pPr>
        <w:pStyle w:val="Heading4"/>
        <w:spacing w:line="432" w:lineRule="exact"/>
        <w:ind w:left="697"/>
        <w:rPr>
          <w:rFonts w:ascii="微软雅黑" w:eastAsia="微软雅黑" w:hint="eastAsia"/>
        </w:rPr>
      </w:pPr>
      <w:r>
        <w:rPr>
          <w:rFonts w:ascii="微软雅黑" w:eastAsia="微软雅黑" w:hint="eastAsia"/>
          <w:color w:val="0033CC"/>
          <w:w w:val="110"/>
        </w:rPr>
        <w:t>[</w:t>
      </w:r>
      <w:r>
        <w:rPr>
          <w:rFonts w:ascii="Microsoft JhengHei" w:eastAsia="Microsoft JhengHei" w:hint="eastAsia"/>
          <w:color w:val="0033CC"/>
          <w:w w:val="110"/>
        </w:rPr>
        <w:t>返回目次</w:t>
      </w:r>
      <w:r>
        <w:rPr>
          <w:rFonts w:ascii="微软雅黑" w:eastAsia="微软雅黑" w:hint="eastAsia"/>
          <w:color w:val="0033CC"/>
          <w:w w:val="110"/>
        </w:rPr>
        <w:t>]</w:t>
      </w:r>
    </w:p>
    <w:sectPr>
      <w:type w:val="continuous"/>
      <w:pgSz w:w="11910" w:h="16850"/>
      <w:pgMar w:top="1100" w:bottom="1020" w:left="10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隶书">
    <w:altName w:val="隶书"/>
    <w:charset w:val="86"/>
    <w:family w:val="modern"/>
    <w:pitch w:val="fixed"/>
  </w:font>
  <w:font w:name="华文楷体">
    <w:altName w:val="华文楷体"/>
    <w:charset w:val="86"/>
    <w:family w:val="auto"/>
    <w:pitch w:val="variable"/>
  </w:font>
  <w:font w:name="华文行楷">
    <w:altName w:val="华文行楷"/>
    <w:charset w:val="86"/>
    <w:family w:val="auto"/>
    <w:pitch w:val="variable"/>
  </w:font>
  <w:font w:name="Microsoft JhengHei">
    <w:altName w:val="Microsoft JhengHei"/>
    <w:charset w:val="0"/>
    <w:family w:val="swiss"/>
    <w:pitch w:val="variable"/>
  </w:font>
  <w:font w:name="等线">
    <w:altName w:val="等线"/>
    <w:charset w:val="86"/>
    <w:family w:val="auto"/>
    <w:pitch w:val="variable"/>
  </w:font>
  <w:font w:name="Calibri">
    <w:altName w:val="Calibri"/>
    <w:charset w:val="0"/>
    <w:family w:val="swiss"/>
    <w:pitch w:val="variable"/>
  </w:font>
  <w:font w:name="宋体">
    <w:altName w:val="宋体"/>
    <w:charset w:val="86"/>
    <w:family w:val="auto"/>
    <w:pitch w:val="variable"/>
  </w:font>
  <w:font w:name="微软雅黑">
    <w:altName w:val="微软雅黑"/>
    <w:charset w:val="86"/>
    <w:family w:val="swiss"/>
    <w:pitch w:val="variable"/>
  </w:font>
  <w:font w:name="楷体">
    <w:altName w:val="楷体"/>
    <w:charset w:val="86"/>
    <w:family w:val="modern"/>
    <w:pitch w:val="fixed"/>
  </w:font>
  <w:font w:name="华文宋体">
    <w:altName w:val="华文宋体"/>
    <w:charset w:val="86"/>
    <w:family w:val="auto"/>
    <w:pitch w:val="variable"/>
  </w:font>
  <w:font w:name="Arial">
    <w:altName w:val="Arial"/>
    <w:charset w:val="0"/>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299763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970001pt;margin-top:789.769958pt;width:10.6pt;height:11pt;mso-position-horizontal-relative:page;mso-position-vertical-relative:page;z-index:-25299558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299353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299251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299046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298841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2996608"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2994560" from="62.400002pt,54.959976pt" to="540.220002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2991488" from="62.400002pt,54.959976pt" to="540.220002pt,54.959976pt" stroked="true" strokeweight=".72pt" strokecolor="#000000">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2989440"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17" w:hanging="241"/>
      </w:pPr>
      <w:rPr>
        <w:rFonts w:hint="default" w:ascii="宋体" w:hAnsi="宋体" w:eastAsia="宋体" w:cs="宋体"/>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213" w:hanging="241"/>
      </w:pPr>
      <w:rPr>
        <w:rFonts w:hint="default"/>
        <w:lang w:val="zh-cn" w:eastAsia="zh-cn" w:bidi="zh-cn"/>
      </w:rPr>
    </w:lvl>
    <w:lvl w:ilvl="3">
      <w:start w:val="0"/>
      <w:numFmt w:val="bullet"/>
      <w:lvlText w:val="•"/>
      <w:lvlJc w:val="left"/>
      <w:pPr>
        <w:ind w:left="3209" w:hanging="241"/>
      </w:pPr>
      <w:rPr>
        <w:rFonts w:hint="default"/>
        <w:lang w:val="zh-cn" w:eastAsia="zh-cn" w:bidi="zh-cn"/>
      </w:rPr>
    </w:lvl>
    <w:lvl w:ilvl="4">
      <w:start w:val="0"/>
      <w:numFmt w:val="bullet"/>
      <w:lvlText w:val="•"/>
      <w:lvlJc w:val="left"/>
      <w:pPr>
        <w:ind w:left="4206" w:hanging="241"/>
      </w:pPr>
      <w:rPr>
        <w:rFonts w:hint="default"/>
        <w:lang w:val="zh-cn" w:eastAsia="zh-cn" w:bidi="zh-cn"/>
      </w:rPr>
    </w:lvl>
    <w:lvl w:ilvl="5">
      <w:start w:val="0"/>
      <w:numFmt w:val="bullet"/>
      <w:lvlText w:val="•"/>
      <w:lvlJc w:val="left"/>
      <w:pPr>
        <w:ind w:left="5203" w:hanging="241"/>
      </w:pPr>
      <w:rPr>
        <w:rFonts w:hint="default"/>
        <w:lang w:val="zh-cn" w:eastAsia="zh-cn" w:bidi="zh-cn"/>
      </w:rPr>
    </w:lvl>
    <w:lvl w:ilvl="6">
      <w:start w:val="0"/>
      <w:numFmt w:val="bullet"/>
      <w:lvlText w:val="•"/>
      <w:lvlJc w:val="left"/>
      <w:pPr>
        <w:ind w:left="6199" w:hanging="241"/>
      </w:pPr>
      <w:rPr>
        <w:rFonts w:hint="default"/>
        <w:lang w:val="zh-cn" w:eastAsia="zh-cn" w:bidi="zh-cn"/>
      </w:rPr>
    </w:lvl>
    <w:lvl w:ilvl="7">
      <w:start w:val="0"/>
      <w:numFmt w:val="bullet"/>
      <w:lvlText w:val="•"/>
      <w:lvlJc w:val="left"/>
      <w:pPr>
        <w:ind w:left="7196" w:hanging="241"/>
      </w:pPr>
      <w:rPr>
        <w:rFonts w:hint="default"/>
        <w:lang w:val="zh-cn" w:eastAsia="zh-cn" w:bidi="zh-cn"/>
      </w:rPr>
    </w:lvl>
    <w:lvl w:ilvl="8">
      <w:start w:val="0"/>
      <w:numFmt w:val="bullet"/>
      <w:lvlText w:val="•"/>
      <w:lvlJc w:val="left"/>
      <w:pPr>
        <w:ind w:left="8193" w:hanging="241"/>
      </w:pPr>
      <w:rPr>
        <w:rFonts w:hint="default"/>
        <w:lang w:val="zh-cn" w:eastAsia="zh-cn" w:bidi="zh-cn"/>
      </w:rPr>
    </w:lvl>
  </w:abstractNum>
  <w:abstractNum w:abstractNumId="12">
    <w:multiLevelType w:val="hybridMultilevel"/>
    <w:lvl w:ilvl="0">
      <w:start w:val="9"/>
      <w:numFmt w:val="decimal"/>
      <w:lvlText w:val="%1"/>
      <w:lvlJc w:val="left"/>
      <w:pPr>
        <w:ind w:left="879"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810" w:hanging="180"/>
      </w:pPr>
      <w:rPr>
        <w:rFonts w:hint="default"/>
        <w:lang w:val="zh-cn" w:eastAsia="zh-cn" w:bidi="zh-cn"/>
      </w:rPr>
    </w:lvl>
    <w:lvl w:ilvl="2">
      <w:start w:val="0"/>
      <w:numFmt w:val="bullet"/>
      <w:lvlText w:val="•"/>
      <w:lvlJc w:val="left"/>
      <w:pPr>
        <w:ind w:left="2741" w:hanging="180"/>
      </w:pPr>
      <w:rPr>
        <w:rFonts w:hint="default"/>
        <w:lang w:val="zh-cn" w:eastAsia="zh-cn" w:bidi="zh-cn"/>
      </w:rPr>
    </w:lvl>
    <w:lvl w:ilvl="3">
      <w:start w:val="0"/>
      <w:numFmt w:val="bullet"/>
      <w:lvlText w:val="•"/>
      <w:lvlJc w:val="left"/>
      <w:pPr>
        <w:ind w:left="3671" w:hanging="180"/>
      </w:pPr>
      <w:rPr>
        <w:rFonts w:hint="default"/>
        <w:lang w:val="zh-cn" w:eastAsia="zh-cn" w:bidi="zh-cn"/>
      </w:rPr>
    </w:lvl>
    <w:lvl w:ilvl="4">
      <w:start w:val="0"/>
      <w:numFmt w:val="bullet"/>
      <w:lvlText w:val="•"/>
      <w:lvlJc w:val="left"/>
      <w:pPr>
        <w:ind w:left="4602" w:hanging="180"/>
      </w:pPr>
      <w:rPr>
        <w:rFonts w:hint="default"/>
        <w:lang w:val="zh-cn" w:eastAsia="zh-cn" w:bidi="zh-cn"/>
      </w:rPr>
    </w:lvl>
    <w:lvl w:ilvl="5">
      <w:start w:val="0"/>
      <w:numFmt w:val="bullet"/>
      <w:lvlText w:val="•"/>
      <w:lvlJc w:val="left"/>
      <w:pPr>
        <w:ind w:left="5533" w:hanging="180"/>
      </w:pPr>
      <w:rPr>
        <w:rFonts w:hint="default"/>
        <w:lang w:val="zh-cn" w:eastAsia="zh-cn" w:bidi="zh-cn"/>
      </w:rPr>
    </w:lvl>
    <w:lvl w:ilvl="6">
      <w:start w:val="0"/>
      <w:numFmt w:val="bullet"/>
      <w:lvlText w:val="•"/>
      <w:lvlJc w:val="left"/>
      <w:pPr>
        <w:ind w:left="6463" w:hanging="180"/>
      </w:pPr>
      <w:rPr>
        <w:rFonts w:hint="default"/>
        <w:lang w:val="zh-cn" w:eastAsia="zh-cn" w:bidi="zh-cn"/>
      </w:rPr>
    </w:lvl>
    <w:lvl w:ilvl="7">
      <w:start w:val="0"/>
      <w:numFmt w:val="bullet"/>
      <w:lvlText w:val="•"/>
      <w:lvlJc w:val="left"/>
      <w:pPr>
        <w:ind w:left="7394" w:hanging="180"/>
      </w:pPr>
      <w:rPr>
        <w:rFonts w:hint="default"/>
        <w:lang w:val="zh-cn" w:eastAsia="zh-cn" w:bidi="zh-cn"/>
      </w:rPr>
    </w:lvl>
    <w:lvl w:ilvl="8">
      <w:start w:val="0"/>
      <w:numFmt w:val="bullet"/>
      <w:lvlText w:val="•"/>
      <w:lvlJc w:val="left"/>
      <w:pPr>
        <w:ind w:left="8325" w:hanging="180"/>
      </w:pPr>
      <w:rPr>
        <w:rFonts w:hint="default"/>
        <w:lang w:val="zh-cn" w:eastAsia="zh-cn" w:bidi="zh-cn"/>
      </w:rPr>
    </w:lvl>
  </w:abstractNum>
  <w:abstractNum w:abstractNumId="11">
    <w:multiLevelType w:val="hybridMultilevel"/>
    <w:lvl w:ilvl="0">
      <w:start w:val="8"/>
      <w:numFmt w:val="decimal"/>
      <w:lvlText w:val="%1"/>
      <w:lvlJc w:val="left"/>
      <w:pPr>
        <w:ind w:left="879"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810" w:hanging="180"/>
      </w:pPr>
      <w:rPr>
        <w:rFonts w:hint="default"/>
        <w:lang w:val="zh-cn" w:eastAsia="zh-cn" w:bidi="zh-cn"/>
      </w:rPr>
    </w:lvl>
    <w:lvl w:ilvl="2">
      <w:start w:val="0"/>
      <w:numFmt w:val="bullet"/>
      <w:lvlText w:val="•"/>
      <w:lvlJc w:val="left"/>
      <w:pPr>
        <w:ind w:left="2741" w:hanging="180"/>
      </w:pPr>
      <w:rPr>
        <w:rFonts w:hint="default"/>
        <w:lang w:val="zh-cn" w:eastAsia="zh-cn" w:bidi="zh-cn"/>
      </w:rPr>
    </w:lvl>
    <w:lvl w:ilvl="3">
      <w:start w:val="0"/>
      <w:numFmt w:val="bullet"/>
      <w:lvlText w:val="•"/>
      <w:lvlJc w:val="left"/>
      <w:pPr>
        <w:ind w:left="3671" w:hanging="180"/>
      </w:pPr>
      <w:rPr>
        <w:rFonts w:hint="default"/>
        <w:lang w:val="zh-cn" w:eastAsia="zh-cn" w:bidi="zh-cn"/>
      </w:rPr>
    </w:lvl>
    <w:lvl w:ilvl="4">
      <w:start w:val="0"/>
      <w:numFmt w:val="bullet"/>
      <w:lvlText w:val="•"/>
      <w:lvlJc w:val="left"/>
      <w:pPr>
        <w:ind w:left="4602" w:hanging="180"/>
      </w:pPr>
      <w:rPr>
        <w:rFonts w:hint="default"/>
        <w:lang w:val="zh-cn" w:eastAsia="zh-cn" w:bidi="zh-cn"/>
      </w:rPr>
    </w:lvl>
    <w:lvl w:ilvl="5">
      <w:start w:val="0"/>
      <w:numFmt w:val="bullet"/>
      <w:lvlText w:val="•"/>
      <w:lvlJc w:val="left"/>
      <w:pPr>
        <w:ind w:left="5533" w:hanging="180"/>
      </w:pPr>
      <w:rPr>
        <w:rFonts w:hint="default"/>
        <w:lang w:val="zh-cn" w:eastAsia="zh-cn" w:bidi="zh-cn"/>
      </w:rPr>
    </w:lvl>
    <w:lvl w:ilvl="6">
      <w:start w:val="0"/>
      <w:numFmt w:val="bullet"/>
      <w:lvlText w:val="•"/>
      <w:lvlJc w:val="left"/>
      <w:pPr>
        <w:ind w:left="6463" w:hanging="180"/>
      </w:pPr>
      <w:rPr>
        <w:rFonts w:hint="default"/>
        <w:lang w:val="zh-cn" w:eastAsia="zh-cn" w:bidi="zh-cn"/>
      </w:rPr>
    </w:lvl>
    <w:lvl w:ilvl="7">
      <w:start w:val="0"/>
      <w:numFmt w:val="bullet"/>
      <w:lvlText w:val="•"/>
      <w:lvlJc w:val="left"/>
      <w:pPr>
        <w:ind w:left="7394" w:hanging="180"/>
      </w:pPr>
      <w:rPr>
        <w:rFonts w:hint="default"/>
        <w:lang w:val="zh-cn" w:eastAsia="zh-cn" w:bidi="zh-cn"/>
      </w:rPr>
    </w:lvl>
    <w:lvl w:ilvl="8">
      <w:start w:val="0"/>
      <w:numFmt w:val="bullet"/>
      <w:lvlText w:val="•"/>
      <w:lvlJc w:val="left"/>
      <w:pPr>
        <w:ind w:left="8325" w:hanging="180"/>
      </w:pPr>
      <w:rPr>
        <w:rFonts w:hint="default"/>
        <w:lang w:val="zh-cn" w:eastAsia="zh-cn" w:bidi="zh-cn"/>
      </w:rPr>
    </w:lvl>
  </w:abstractNum>
  <w:abstractNum w:abstractNumId="10">
    <w:multiLevelType w:val="hybridMultilevel"/>
    <w:lvl w:ilvl="0">
      <w:start w:val="1"/>
      <w:numFmt w:val="decimal"/>
      <w:lvlText w:val="%1."/>
      <w:lvlJc w:val="left"/>
      <w:pPr>
        <w:ind w:left="217" w:hanging="241"/>
        <w:jc w:val="left"/>
      </w:pPr>
      <w:rPr>
        <w:rFonts w:hint="default" w:ascii="宋体" w:hAnsi="宋体" w:eastAsia="宋体" w:cs="宋体"/>
        <w:spacing w:val="-113"/>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213" w:hanging="241"/>
      </w:pPr>
      <w:rPr>
        <w:rFonts w:hint="default"/>
        <w:lang w:val="zh-cn" w:eastAsia="zh-cn" w:bidi="zh-cn"/>
      </w:rPr>
    </w:lvl>
    <w:lvl w:ilvl="3">
      <w:start w:val="0"/>
      <w:numFmt w:val="bullet"/>
      <w:lvlText w:val="•"/>
      <w:lvlJc w:val="left"/>
      <w:pPr>
        <w:ind w:left="3209" w:hanging="241"/>
      </w:pPr>
      <w:rPr>
        <w:rFonts w:hint="default"/>
        <w:lang w:val="zh-cn" w:eastAsia="zh-cn" w:bidi="zh-cn"/>
      </w:rPr>
    </w:lvl>
    <w:lvl w:ilvl="4">
      <w:start w:val="0"/>
      <w:numFmt w:val="bullet"/>
      <w:lvlText w:val="•"/>
      <w:lvlJc w:val="left"/>
      <w:pPr>
        <w:ind w:left="4206" w:hanging="241"/>
      </w:pPr>
      <w:rPr>
        <w:rFonts w:hint="default"/>
        <w:lang w:val="zh-cn" w:eastAsia="zh-cn" w:bidi="zh-cn"/>
      </w:rPr>
    </w:lvl>
    <w:lvl w:ilvl="5">
      <w:start w:val="0"/>
      <w:numFmt w:val="bullet"/>
      <w:lvlText w:val="•"/>
      <w:lvlJc w:val="left"/>
      <w:pPr>
        <w:ind w:left="5203" w:hanging="241"/>
      </w:pPr>
      <w:rPr>
        <w:rFonts w:hint="default"/>
        <w:lang w:val="zh-cn" w:eastAsia="zh-cn" w:bidi="zh-cn"/>
      </w:rPr>
    </w:lvl>
    <w:lvl w:ilvl="6">
      <w:start w:val="0"/>
      <w:numFmt w:val="bullet"/>
      <w:lvlText w:val="•"/>
      <w:lvlJc w:val="left"/>
      <w:pPr>
        <w:ind w:left="6199" w:hanging="241"/>
      </w:pPr>
      <w:rPr>
        <w:rFonts w:hint="default"/>
        <w:lang w:val="zh-cn" w:eastAsia="zh-cn" w:bidi="zh-cn"/>
      </w:rPr>
    </w:lvl>
    <w:lvl w:ilvl="7">
      <w:start w:val="0"/>
      <w:numFmt w:val="bullet"/>
      <w:lvlText w:val="•"/>
      <w:lvlJc w:val="left"/>
      <w:pPr>
        <w:ind w:left="7196" w:hanging="241"/>
      </w:pPr>
      <w:rPr>
        <w:rFonts w:hint="default"/>
        <w:lang w:val="zh-cn" w:eastAsia="zh-cn" w:bidi="zh-cn"/>
      </w:rPr>
    </w:lvl>
    <w:lvl w:ilvl="8">
      <w:start w:val="0"/>
      <w:numFmt w:val="bullet"/>
      <w:lvlText w:val="•"/>
      <w:lvlJc w:val="left"/>
      <w:pPr>
        <w:ind w:left="8193" w:hanging="241"/>
      </w:pPr>
      <w:rPr>
        <w:rFonts w:hint="default"/>
        <w:lang w:val="zh-cn" w:eastAsia="zh-cn" w:bidi="zh-cn"/>
      </w:rPr>
    </w:lvl>
  </w:abstractNum>
  <w:abstractNum w:abstractNumId="9">
    <w:multiLevelType w:val="hybridMultilevel"/>
    <w:lvl w:ilvl="0">
      <w:start w:val="1"/>
      <w:numFmt w:val="decimal"/>
      <w:lvlText w:val="%1."/>
      <w:lvlJc w:val="left"/>
      <w:pPr>
        <w:ind w:left="217" w:hanging="241"/>
        <w:jc w:val="left"/>
      </w:pPr>
      <w:rPr>
        <w:rFonts w:hint="default" w:ascii="宋体" w:hAnsi="宋体" w:eastAsia="宋体" w:cs="宋体"/>
        <w:spacing w:val="-36"/>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213" w:hanging="241"/>
      </w:pPr>
      <w:rPr>
        <w:rFonts w:hint="default"/>
        <w:lang w:val="zh-cn" w:eastAsia="zh-cn" w:bidi="zh-cn"/>
      </w:rPr>
    </w:lvl>
    <w:lvl w:ilvl="3">
      <w:start w:val="0"/>
      <w:numFmt w:val="bullet"/>
      <w:lvlText w:val="•"/>
      <w:lvlJc w:val="left"/>
      <w:pPr>
        <w:ind w:left="3209" w:hanging="241"/>
      </w:pPr>
      <w:rPr>
        <w:rFonts w:hint="default"/>
        <w:lang w:val="zh-cn" w:eastAsia="zh-cn" w:bidi="zh-cn"/>
      </w:rPr>
    </w:lvl>
    <w:lvl w:ilvl="4">
      <w:start w:val="0"/>
      <w:numFmt w:val="bullet"/>
      <w:lvlText w:val="•"/>
      <w:lvlJc w:val="left"/>
      <w:pPr>
        <w:ind w:left="4206" w:hanging="241"/>
      </w:pPr>
      <w:rPr>
        <w:rFonts w:hint="default"/>
        <w:lang w:val="zh-cn" w:eastAsia="zh-cn" w:bidi="zh-cn"/>
      </w:rPr>
    </w:lvl>
    <w:lvl w:ilvl="5">
      <w:start w:val="0"/>
      <w:numFmt w:val="bullet"/>
      <w:lvlText w:val="•"/>
      <w:lvlJc w:val="left"/>
      <w:pPr>
        <w:ind w:left="5203" w:hanging="241"/>
      </w:pPr>
      <w:rPr>
        <w:rFonts w:hint="default"/>
        <w:lang w:val="zh-cn" w:eastAsia="zh-cn" w:bidi="zh-cn"/>
      </w:rPr>
    </w:lvl>
    <w:lvl w:ilvl="6">
      <w:start w:val="0"/>
      <w:numFmt w:val="bullet"/>
      <w:lvlText w:val="•"/>
      <w:lvlJc w:val="left"/>
      <w:pPr>
        <w:ind w:left="6199" w:hanging="241"/>
      </w:pPr>
      <w:rPr>
        <w:rFonts w:hint="default"/>
        <w:lang w:val="zh-cn" w:eastAsia="zh-cn" w:bidi="zh-cn"/>
      </w:rPr>
    </w:lvl>
    <w:lvl w:ilvl="7">
      <w:start w:val="0"/>
      <w:numFmt w:val="bullet"/>
      <w:lvlText w:val="•"/>
      <w:lvlJc w:val="left"/>
      <w:pPr>
        <w:ind w:left="7196" w:hanging="241"/>
      </w:pPr>
      <w:rPr>
        <w:rFonts w:hint="default"/>
        <w:lang w:val="zh-cn" w:eastAsia="zh-cn" w:bidi="zh-cn"/>
      </w:rPr>
    </w:lvl>
    <w:lvl w:ilvl="8">
      <w:start w:val="0"/>
      <w:numFmt w:val="bullet"/>
      <w:lvlText w:val="•"/>
      <w:lvlJc w:val="left"/>
      <w:pPr>
        <w:ind w:left="8193" w:hanging="241"/>
      </w:pPr>
      <w:rPr>
        <w:rFonts w:hint="default"/>
        <w:lang w:val="zh-cn" w:eastAsia="zh-cn" w:bidi="zh-cn"/>
      </w:rPr>
    </w:lvl>
  </w:abstractNum>
  <w:abstractNum w:abstractNumId="7">
    <w:multiLevelType w:val="hybridMultilevel"/>
    <w:lvl w:ilvl="0">
      <w:start w:val="1"/>
      <w:numFmt w:val="decimal"/>
      <w:lvlText w:val="%1."/>
      <w:lvlJc w:val="left"/>
      <w:pPr>
        <w:ind w:left="940" w:hanging="241"/>
        <w:jc w:val="left"/>
      </w:pPr>
      <w:rPr>
        <w:rFonts w:hint="default" w:ascii="宋体" w:hAnsi="宋体" w:eastAsia="宋体" w:cs="宋体"/>
        <w:w w:val="100"/>
        <w:sz w:val="22"/>
        <w:szCs w:val="22"/>
        <w:lang w:val="zh-cn" w:eastAsia="zh-cn" w:bidi="zh-cn"/>
      </w:rPr>
    </w:lvl>
    <w:lvl w:ilvl="1">
      <w:start w:val="1"/>
      <w:numFmt w:val="decimal"/>
      <w:lvlText w:val="%2."/>
      <w:lvlJc w:val="left"/>
      <w:pPr>
        <w:ind w:left="1496" w:hanging="342"/>
        <w:jc w:val="left"/>
      </w:pPr>
      <w:rPr>
        <w:rFonts w:hint="default"/>
        <w:spacing w:val="-1"/>
        <w:w w:val="82"/>
        <w:lang w:val="zh-cn" w:eastAsia="zh-cn" w:bidi="zh-cn"/>
      </w:rPr>
    </w:lvl>
    <w:lvl w:ilvl="2">
      <w:start w:val="0"/>
      <w:numFmt w:val="bullet"/>
      <w:lvlText w:val="•"/>
      <w:lvlJc w:val="left"/>
      <w:pPr>
        <w:ind w:left="2465" w:hanging="342"/>
      </w:pPr>
      <w:rPr>
        <w:rFonts w:hint="default"/>
        <w:lang w:val="zh-cn" w:eastAsia="zh-cn" w:bidi="zh-cn"/>
      </w:rPr>
    </w:lvl>
    <w:lvl w:ilvl="3">
      <w:start w:val="0"/>
      <w:numFmt w:val="bullet"/>
      <w:lvlText w:val="•"/>
      <w:lvlJc w:val="left"/>
      <w:pPr>
        <w:ind w:left="3430" w:hanging="342"/>
      </w:pPr>
      <w:rPr>
        <w:rFonts w:hint="default"/>
        <w:lang w:val="zh-cn" w:eastAsia="zh-cn" w:bidi="zh-cn"/>
      </w:rPr>
    </w:lvl>
    <w:lvl w:ilvl="4">
      <w:start w:val="0"/>
      <w:numFmt w:val="bullet"/>
      <w:lvlText w:val="•"/>
      <w:lvlJc w:val="left"/>
      <w:pPr>
        <w:ind w:left="4395" w:hanging="342"/>
      </w:pPr>
      <w:rPr>
        <w:rFonts w:hint="default"/>
        <w:lang w:val="zh-cn" w:eastAsia="zh-cn" w:bidi="zh-cn"/>
      </w:rPr>
    </w:lvl>
    <w:lvl w:ilvl="5">
      <w:start w:val="0"/>
      <w:numFmt w:val="bullet"/>
      <w:lvlText w:val="•"/>
      <w:lvlJc w:val="left"/>
      <w:pPr>
        <w:ind w:left="5360" w:hanging="342"/>
      </w:pPr>
      <w:rPr>
        <w:rFonts w:hint="default"/>
        <w:lang w:val="zh-cn" w:eastAsia="zh-cn" w:bidi="zh-cn"/>
      </w:rPr>
    </w:lvl>
    <w:lvl w:ilvl="6">
      <w:start w:val="0"/>
      <w:numFmt w:val="bullet"/>
      <w:lvlText w:val="•"/>
      <w:lvlJc w:val="left"/>
      <w:pPr>
        <w:ind w:left="6325" w:hanging="342"/>
      </w:pPr>
      <w:rPr>
        <w:rFonts w:hint="default"/>
        <w:lang w:val="zh-cn" w:eastAsia="zh-cn" w:bidi="zh-cn"/>
      </w:rPr>
    </w:lvl>
    <w:lvl w:ilvl="7">
      <w:start w:val="0"/>
      <w:numFmt w:val="bullet"/>
      <w:lvlText w:val="•"/>
      <w:lvlJc w:val="left"/>
      <w:pPr>
        <w:ind w:left="7290" w:hanging="342"/>
      </w:pPr>
      <w:rPr>
        <w:rFonts w:hint="default"/>
        <w:lang w:val="zh-cn" w:eastAsia="zh-cn" w:bidi="zh-cn"/>
      </w:rPr>
    </w:lvl>
    <w:lvl w:ilvl="8">
      <w:start w:val="0"/>
      <w:numFmt w:val="bullet"/>
      <w:lvlText w:val="•"/>
      <w:lvlJc w:val="left"/>
      <w:pPr>
        <w:ind w:left="8256" w:hanging="342"/>
      </w:pPr>
      <w:rPr>
        <w:rFonts w:hint="default"/>
        <w:lang w:val="zh-cn" w:eastAsia="zh-cn" w:bidi="zh-cn"/>
      </w:rPr>
    </w:lvl>
  </w:abstractNum>
  <w:abstractNum w:abstractNumId="6">
    <w:multiLevelType w:val="hybridMultilevel"/>
    <w:lvl w:ilvl="0">
      <w:start w:val="5"/>
      <w:numFmt w:val="decimal"/>
      <w:lvlText w:val="%1."/>
      <w:lvlJc w:val="left"/>
      <w:pPr>
        <w:ind w:left="940"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89" w:hanging="241"/>
      </w:pPr>
      <w:rPr>
        <w:rFonts w:hint="default"/>
        <w:lang w:val="zh-cn" w:eastAsia="zh-cn" w:bidi="zh-cn"/>
      </w:rPr>
    </w:lvl>
    <w:lvl w:ilvl="3">
      <w:start w:val="0"/>
      <w:numFmt w:val="bullet"/>
      <w:lvlText w:val="•"/>
      <w:lvlJc w:val="left"/>
      <w:pPr>
        <w:ind w:left="3713" w:hanging="241"/>
      </w:pPr>
      <w:rPr>
        <w:rFonts w:hint="default"/>
        <w:lang w:val="zh-cn" w:eastAsia="zh-cn" w:bidi="zh-cn"/>
      </w:rPr>
    </w:lvl>
    <w:lvl w:ilvl="4">
      <w:start w:val="0"/>
      <w:numFmt w:val="bullet"/>
      <w:lvlText w:val="•"/>
      <w:lvlJc w:val="left"/>
      <w:pPr>
        <w:ind w:left="4638" w:hanging="241"/>
      </w:pPr>
      <w:rPr>
        <w:rFonts w:hint="default"/>
        <w:lang w:val="zh-cn" w:eastAsia="zh-cn" w:bidi="zh-cn"/>
      </w:rPr>
    </w:lvl>
    <w:lvl w:ilvl="5">
      <w:start w:val="0"/>
      <w:numFmt w:val="bullet"/>
      <w:lvlText w:val="•"/>
      <w:lvlJc w:val="left"/>
      <w:pPr>
        <w:ind w:left="5563" w:hanging="241"/>
      </w:pPr>
      <w:rPr>
        <w:rFonts w:hint="default"/>
        <w:lang w:val="zh-cn" w:eastAsia="zh-cn" w:bidi="zh-cn"/>
      </w:rPr>
    </w:lvl>
    <w:lvl w:ilvl="6">
      <w:start w:val="0"/>
      <w:numFmt w:val="bullet"/>
      <w:lvlText w:val="•"/>
      <w:lvlJc w:val="left"/>
      <w:pPr>
        <w:ind w:left="6487" w:hanging="241"/>
      </w:pPr>
      <w:rPr>
        <w:rFonts w:hint="default"/>
        <w:lang w:val="zh-cn" w:eastAsia="zh-cn" w:bidi="zh-cn"/>
      </w:rPr>
    </w:lvl>
    <w:lvl w:ilvl="7">
      <w:start w:val="0"/>
      <w:numFmt w:val="bullet"/>
      <w:lvlText w:val="•"/>
      <w:lvlJc w:val="left"/>
      <w:pPr>
        <w:ind w:left="7412" w:hanging="241"/>
      </w:pPr>
      <w:rPr>
        <w:rFonts w:hint="default"/>
        <w:lang w:val="zh-cn" w:eastAsia="zh-cn" w:bidi="zh-cn"/>
      </w:rPr>
    </w:lvl>
    <w:lvl w:ilvl="8">
      <w:start w:val="0"/>
      <w:numFmt w:val="bullet"/>
      <w:lvlText w:val="•"/>
      <w:lvlJc w:val="left"/>
      <w:pPr>
        <w:ind w:left="8337" w:hanging="241"/>
      </w:pPr>
      <w:rPr>
        <w:rFonts w:hint="default"/>
        <w:lang w:val="zh-cn" w:eastAsia="zh-cn" w:bidi="zh-cn"/>
      </w:rPr>
    </w:lvl>
  </w:abstractNum>
  <w:abstractNum w:abstractNumId="5">
    <w:multiLevelType w:val="hybridMultilevel"/>
    <w:lvl w:ilvl="0">
      <w:start w:val="1"/>
      <w:numFmt w:val="decimal"/>
      <w:lvlText w:val="%1."/>
      <w:lvlJc w:val="left"/>
      <w:pPr>
        <w:ind w:left="940"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89" w:hanging="241"/>
      </w:pPr>
      <w:rPr>
        <w:rFonts w:hint="default"/>
        <w:lang w:val="zh-cn" w:eastAsia="zh-cn" w:bidi="zh-cn"/>
      </w:rPr>
    </w:lvl>
    <w:lvl w:ilvl="3">
      <w:start w:val="0"/>
      <w:numFmt w:val="bullet"/>
      <w:lvlText w:val="•"/>
      <w:lvlJc w:val="left"/>
      <w:pPr>
        <w:ind w:left="3713" w:hanging="241"/>
      </w:pPr>
      <w:rPr>
        <w:rFonts w:hint="default"/>
        <w:lang w:val="zh-cn" w:eastAsia="zh-cn" w:bidi="zh-cn"/>
      </w:rPr>
    </w:lvl>
    <w:lvl w:ilvl="4">
      <w:start w:val="0"/>
      <w:numFmt w:val="bullet"/>
      <w:lvlText w:val="•"/>
      <w:lvlJc w:val="left"/>
      <w:pPr>
        <w:ind w:left="4638" w:hanging="241"/>
      </w:pPr>
      <w:rPr>
        <w:rFonts w:hint="default"/>
        <w:lang w:val="zh-cn" w:eastAsia="zh-cn" w:bidi="zh-cn"/>
      </w:rPr>
    </w:lvl>
    <w:lvl w:ilvl="5">
      <w:start w:val="0"/>
      <w:numFmt w:val="bullet"/>
      <w:lvlText w:val="•"/>
      <w:lvlJc w:val="left"/>
      <w:pPr>
        <w:ind w:left="5563" w:hanging="241"/>
      </w:pPr>
      <w:rPr>
        <w:rFonts w:hint="default"/>
        <w:lang w:val="zh-cn" w:eastAsia="zh-cn" w:bidi="zh-cn"/>
      </w:rPr>
    </w:lvl>
    <w:lvl w:ilvl="6">
      <w:start w:val="0"/>
      <w:numFmt w:val="bullet"/>
      <w:lvlText w:val="•"/>
      <w:lvlJc w:val="left"/>
      <w:pPr>
        <w:ind w:left="6487" w:hanging="241"/>
      </w:pPr>
      <w:rPr>
        <w:rFonts w:hint="default"/>
        <w:lang w:val="zh-cn" w:eastAsia="zh-cn" w:bidi="zh-cn"/>
      </w:rPr>
    </w:lvl>
    <w:lvl w:ilvl="7">
      <w:start w:val="0"/>
      <w:numFmt w:val="bullet"/>
      <w:lvlText w:val="•"/>
      <w:lvlJc w:val="left"/>
      <w:pPr>
        <w:ind w:left="7412" w:hanging="241"/>
      </w:pPr>
      <w:rPr>
        <w:rFonts w:hint="default"/>
        <w:lang w:val="zh-cn" w:eastAsia="zh-cn" w:bidi="zh-cn"/>
      </w:rPr>
    </w:lvl>
    <w:lvl w:ilvl="8">
      <w:start w:val="0"/>
      <w:numFmt w:val="bullet"/>
      <w:lvlText w:val="•"/>
      <w:lvlJc w:val="left"/>
      <w:pPr>
        <w:ind w:left="8337" w:hanging="241"/>
      </w:pPr>
      <w:rPr>
        <w:rFonts w:hint="default"/>
        <w:lang w:val="zh-cn" w:eastAsia="zh-cn" w:bidi="zh-cn"/>
      </w:rPr>
    </w:lvl>
  </w:abstractNum>
  <w:abstractNum w:abstractNumId="4">
    <w:multiLevelType w:val="hybridMultilevel"/>
    <w:lvl w:ilvl="0">
      <w:start w:val="1"/>
      <w:numFmt w:val="decimal"/>
      <w:lvlText w:val="%1."/>
      <w:lvlJc w:val="left"/>
      <w:pPr>
        <w:ind w:left="1062" w:hanging="363"/>
        <w:jc w:val="left"/>
      </w:pPr>
      <w:rPr>
        <w:rFonts w:hint="default" w:ascii="宋体" w:hAnsi="宋体" w:eastAsia="宋体" w:cs="宋体"/>
        <w:b/>
        <w:bCs/>
        <w:spacing w:val="0"/>
        <w:w w:val="99"/>
        <w:sz w:val="24"/>
        <w:szCs w:val="24"/>
        <w:lang w:val="zh-cn" w:eastAsia="zh-cn" w:bidi="zh-cn"/>
      </w:rPr>
    </w:lvl>
    <w:lvl w:ilvl="1">
      <w:start w:val="1"/>
      <w:numFmt w:val="decimal"/>
      <w:lvlText w:val="%1.%2"/>
      <w:lvlJc w:val="left"/>
      <w:pPr>
        <w:ind w:left="1179"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180" w:hanging="480"/>
      </w:pPr>
      <w:rPr>
        <w:rFonts w:hint="default"/>
        <w:lang w:val="zh-cn" w:eastAsia="zh-cn" w:bidi="zh-cn"/>
      </w:rPr>
    </w:lvl>
    <w:lvl w:ilvl="3">
      <w:start w:val="0"/>
      <w:numFmt w:val="bullet"/>
      <w:lvlText w:val="•"/>
      <w:lvlJc w:val="left"/>
      <w:pPr>
        <w:ind w:left="3181" w:hanging="480"/>
      </w:pPr>
      <w:rPr>
        <w:rFonts w:hint="default"/>
        <w:lang w:val="zh-cn" w:eastAsia="zh-cn" w:bidi="zh-cn"/>
      </w:rPr>
    </w:lvl>
    <w:lvl w:ilvl="4">
      <w:start w:val="0"/>
      <w:numFmt w:val="bullet"/>
      <w:lvlText w:val="•"/>
      <w:lvlJc w:val="left"/>
      <w:pPr>
        <w:ind w:left="4182" w:hanging="480"/>
      </w:pPr>
      <w:rPr>
        <w:rFonts w:hint="default"/>
        <w:lang w:val="zh-cn" w:eastAsia="zh-cn" w:bidi="zh-cn"/>
      </w:rPr>
    </w:lvl>
    <w:lvl w:ilvl="5">
      <w:start w:val="0"/>
      <w:numFmt w:val="bullet"/>
      <w:lvlText w:val="•"/>
      <w:lvlJc w:val="left"/>
      <w:pPr>
        <w:ind w:left="5182" w:hanging="480"/>
      </w:pPr>
      <w:rPr>
        <w:rFonts w:hint="default"/>
        <w:lang w:val="zh-cn" w:eastAsia="zh-cn" w:bidi="zh-cn"/>
      </w:rPr>
    </w:lvl>
    <w:lvl w:ilvl="6">
      <w:start w:val="0"/>
      <w:numFmt w:val="bullet"/>
      <w:lvlText w:val="•"/>
      <w:lvlJc w:val="left"/>
      <w:pPr>
        <w:ind w:left="6183" w:hanging="480"/>
      </w:pPr>
      <w:rPr>
        <w:rFonts w:hint="default"/>
        <w:lang w:val="zh-cn" w:eastAsia="zh-cn" w:bidi="zh-cn"/>
      </w:rPr>
    </w:lvl>
    <w:lvl w:ilvl="7">
      <w:start w:val="0"/>
      <w:numFmt w:val="bullet"/>
      <w:lvlText w:val="•"/>
      <w:lvlJc w:val="left"/>
      <w:pPr>
        <w:ind w:left="7184" w:hanging="480"/>
      </w:pPr>
      <w:rPr>
        <w:rFonts w:hint="default"/>
        <w:lang w:val="zh-cn" w:eastAsia="zh-cn" w:bidi="zh-cn"/>
      </w:rPr>
    </w:lvl>
    <w:lvl w:ilvl="8">
      <w:start w:val="0"/>
      <w:numFmt w:val="bullet"/>
      <w:lvlText w:val="•"/>
      <w:lvlJc w:val="left"/>
      <w:pPr>
        <w:ind w:left="8184" w:hanging="480"/>
      </w:pPr>
      <w:rPr>
        <w:rFonts w:hint="default"/>
        <w:lang w:val="zh-cn" w:eastAsia="zh-cn" w:bidi="zh-cn"/>
      </w:rPr>
    </w:lvl>
  </w:abstractNum>
  <w:abstractNum w:abstractNumId="3">
    <w:multiLevelType w:val="hybridMultilevel"/>
    <w:lvl w:ilvl="0">
      <w:start w:val="1"/>
      <w:numFmt w:val="decimal"/>
      <w:lvlText w:val="%1."/>
      <w:lvlJc w:val="left"/>
      <w:pPr>
        <w:ind w:left="217" w:hanging="241"/>
        <w:jc w:val="left"/>
      </w:pPr>
      <w:rPr>
        <w:rFonts w:hint="default" w:ascii="宋体" w:hAnsi="宋体" w:eastAsia="宋体" w:cs="宋体"/>
        <w:spacing w:val="-61"/>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213" w:hanging="241"/>
      </w:pPr>
      <w:rPr>
        <w:rFonts w:hint="default"/>
        <w:lang w:val="zh-cn" w:eastAsia="zh-cn" w:bidi="zh-cn"/>
      </w:rPr>
    </w:lvl>
    <w:lvl w:ilvl="3">
      <w:start w:val="0"/>
      <w:numFmt w:val="bullet"/>
      <w:lvlText w:val="•"/>
      <w:lvlJc w:val="left"/>
      <w:pPr>
        <w:ind w:left="3209" w:hanging="241"/>
      </w:pPr>
      <w:rPr>
        <w:rFonts w:hint="default"/>
        <w:lang w:val="zh-cn" w:eastAsia="zh-cn" w:bidi="zh-cn"/>
      </w:rPr>
    </w:lvl>
    <w:lvl w:ilvl="4">
      <w:start w:val="0"/>
      <w:numFmt w:val="bullet"/>
      <w:lvlText w:val="•"/>
      <w:lvlJc w:val="left"/>
      <w:pPr>
        <w:ind w:left="4206" w:hanging="241"/>
      </w:pPr>
      <w:rPr>
        <w:rFonts w:hint="default"/>
        <w:lang w:val="zh-cn" w:eastAsia="zh-cn" w:bidi="zh-cn"/>
      </w:rPr>
    </w:lvl>
    <w:lvl w:ilvl="5">
      <w:start w:val="0"/>
      <w:numFmt w:val="bullet"/>
      <w:lvlText w:val="•"/>
      <w:lvlJc w:val="left"/>
      <w:pPr>
        <w:ind w:left="5203" w:hanging="241"/>
      </w:pPr>
      <w:rPr>
        <w:rFonts w:hint="default"/>
        <w:lang w:val="zh-cn" w:eastAsia="zh-cn" w:bidi="zh-cn"/>
      </w:rPr>
    </w:lvl>
    <w:lvl w:ilvl="6">
      <w:start w:val="0"/>
      <w:numFmt w:val="bullet"/>
      <w:lvlText w:val="•"/>
      <w:lvlJc w:val="left"/>
      <w:pPr>
        <w:ind w:left="6199" w:hanging="241"/>
      </w:pPr>
      <w:rPr>
        <w:rFonts w:hint="default"/>
        <w:lang w:val="zh-cn" w:eastAsia="zh-cn" w:bidi="zh-cn"/>
      </w:rPr>
    </w:lvl>
    <w:lvl w:ilvl="7">
      <w:start w:val="0"/>
      <w:numFmt w:val="bullet"/>
      <w:lvlText w:val="•"/>
      <w:lvlJc w:val="left"/>
      <w:pPr>
        <w:ind w:left="7196" w:hanging="241"/>
      </w:pPr>
      <w:rPr>
        <w:rFonts w:hint="default"/>
        <w:lang w:val="zh-cn" w:eastAsia="zh-cn" w:bidi="zh-cn"/>
      </w:rPr>
    </w:lvl>
    <w:lvl w:ilvl="8">
      <w:start w:val="0"/>
      <w:numFmt w:val="bullet"/>
      <w:lvlText w:val="•"/>
      <w:lvlJc w:val="left"/>
      <w:pPr>
        <w:ind w:left="8193" w:hanging="241"/>
      </w:pPr>
      <w:rPr>
        <w:rFonts w:hint="default"/>
        <w:lang w:val="zh-cn" w:eastAsia="zh-cn" w:bidi="zh-cn"/>
      </w:rPr>
    </w:lvl>
  </w:abstractNum>
  <w:abstractNum w:abstractNumId="2">
    <w:multiLevelType w:val="hybridMultilevel"/>
    <w:lvl w:ilvl="0">
      <w:start w:val="1"/>
      <w:numFmt w:val="decimal"/>
      <w:lvlText w:val="%1."/>
      <w:lvlJc w:val="left"/>
      <w:pPr>
        <w:ind w:left="940"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89" w:hanging="241"/>
      </w:pPr>
      <w:rPr>
        <w:rFonts w:hint="default"/>
        <w:lang w:val="zh-cn" w:eastAsia="zh-cn" w:bidi="zh-cn"/>
      </w:rPr>
    </w:lvl>
    <w:lvl w:ilvl="3">
      <w:start w:val="0"/>
      <w:numFmt w:val="bullet"/>
      <w:lvlText w:val="•"/>
      <w:lvlJc w:val="left"/>
      <w:pPr>
        <w:ind w:left="3713" w:hanging="241"/>
      </w:pPr>
      <w:rPr>
        <w:rFonts w:hint="default"/>
        <w:lang w:val="zh-cn" w:eastAsia="zh-cn" w:bidi="zh-cn"/>
      </w:rPr>
    </w:lvl>
    <w:lvl w:ilvl="4">
      <w:start w:val="0"/>
      <w:numFmt w:val="bullet"/>
      <w:lvlText w:val="•"/>
      <w:lvlJc w:val="left"/>
      <w:pPr>
        <w:ind w:left="4638" w:hanging="241"/>
      </w:pPr>
      <w:rPr>
        <w:rFonts w:hint="default"/>
        <w:lang w:val="zh-cn" w:eastAsia="zh-cn" w:bidi="zh-cn"/>
      </w:rPr>
    </w:lvl>
    <w:lvl w:ilvl="5">
      <w:start w:val="0"/>
      <w:numFmt w:val="bullet"/>
      <w:lvlText w:val="•"/>
      <w:lvlJc w:val="left"/>
      <w:pPr>
        <w:ind w:left="5563" w:hanging="241"/>
      </w:pPr>
      <w:rPr>
        <w:rFonts w:hint="default"/>
        <w:lang w:val="zh-cn" w:eastAsia="zh-cn" w:bidi="zh-cn"/>
      </w:rPr>
    </w:lvl>
    <w:lvl w:ilvl="6">
      <w:start w:val="0"/>
      <w:numFmt w:val="bullet"/>
      <w:lvlText w:val="•"/>
      <w:lvlJc w:val="left"/>
      <w:pPr>
        <w:ind w:left="6487" w:hanging="241"/>
      </w:pPr>
      <w:rPr>
        <w:rFonts w:hint="default"/>
        <w:lang w:val="zh-cn" w:eastAsia="zh-cn" w:bidi="zh-cn"/>
      </w:rPr>
    </w:lvl>
    <w:lvl w:ilvl="7">
      <w:start w:val="0"/>
      <w:numFmt w:val="bullet"/>
      <w:lvlText w:val="•"/>
      <w:lvlJc w:val="left"/>
      <w:pPr>
        <w:ind w:left="7412" w:hanging="241"/>
      </w:pPr>
      <w:rPr>
        <w:rFonts w:hint="default"/>
        <w:lang w:val="zh-cn" w:eastAsia="zh-cn" w:bidi="zh-cn"/>
      </w:rPr>
    </w:lvl>
    <w:lvl w:ilvl="8">
      <w:start w:val="0"/>
      <w:numFmt w:val="bullet"/>
      <w:lvlText w:val="•"/>
      <w:lvlJc w:val="left"/>
      <w:pPr>
        <w:ind w:left="8337" w:hanging="241"/>
      </w:pPr>
      <w:rPr>
        <w:rFonts w:hint="default"/>
        <w:lang w:val="zh-cn" w:eastAsia="zh-cn" w:bidi="zh-cn"/>
      </w:rPr>
    </w:lvl>
  </w:abstractNum>
  <w:abstractNum w:abstractNumId="1">
    <w:multiLevelType w:val="hybridMultilevel"/>
    <w:lvl w:ilvl="0">
      <w:start w:val="1"/>
      <w:numFmt w:val="decimal"/>
      <w:lvlText w:val="%1"/>
      <w:lvlJc w:val="left"/>
      <w:pPr>
        <w:ind w:left="217"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216" w:hanging="180"/>
      </w:pPr>
      <w:rPr>
        <w:rFonts w:hint="default"/>
        <w:lang w:val="zh-cn" w:eastAsia="zh-cn" w:bidi="zh-cn"/>
      </w:rPr>
    </w:lvl>
    <w:lvl w:ilvl="2">
      <w:start w:val="0"/>
      <w:numFmt w:val="bullet"/>
      <w:lvlText w:val="•"/>
      <w:lvlJc w:val="left"/>
      <w:pPr>
        <w:ind w:left="2213" w:hanging="180"/>
      </w:pPr>
      <w:rPr>
        <w:rFonts w:hint="default"/>
        <w:lang w:val="zh-cn" w:eastAsia="zh-cn" w:bidi="zh-cn"/>
      </w:rPr>
    </w:lvl>
    <w:lvl w:ilvl="3">
      <w:start w:val="0"/>
      <w:numFmt w:val="bullet"/>
      <w:lvlText w:val="•"/>
      <w:lvlJc w:val="left"/>
      <w:pPr>
        <w:ind w:left="3209" w:hanging="180"/>
      </w:pPr>
      <w:rPr>
        <w:rFonts w:hint="default"/>
        <w:lang w:val="zh-cn" w:eastAsia="zh-cn" w:bidi="zh-cn"/>
      </w:rPr>
    </w:lvl>
    <w:lvl w:ilvl="4">
      <w:start w:val="0"/>
      <w:numFmt w:val="bullet"/>
      <w:lvlText w:val="•"/>
      <w:lvlJc w:val="left"/>
      <w:pPr>
        <w:ind w:left="4206" w:hanging="180"/>
      </w:pPr>
      <w:rPr>
        <w:rFonts w:hint="default"/>
        <w:lang w:val="zh-cn" w:eastAsia="zh-cn" w:bidi="zh-cn"/>
      </w:rPr>
    </w:lvl>
    <w:lvl w:ilvl="5">
      <w:start w:val="0"/>
      <w:numFmt w:val="bullet"/>
      <w:lvlText w:val="•"/>
      <w:lvlJc w:val="left"/>
      <w:pPr>
        <w:ind w:left="5203" w:hanging="180"/>
      </w:pPr>
      <w:rPr>
        <w:rFonts w:hint="default"/>
        <w:lang w:val="zh-cn" w:eastAsia="zh-cn" w:bidi="zh-cn"/>
      </w:rPr>
    </w:lvl>
    <w:lvl w:ilvl="6">
      <w:start w:val="0"/>
      <w:numFmt w:val="bullet"/>
      <w:lvlText w:val="•"/>
      <w:lvlJc w:val="left"/>
      <w:pPr>
        <w:ind w:left="6199" w:hanging="180"/>
      </w:pPr>
      <w:rPr>
        <w:rFonts w:hint="default"/>
        <w:lang w:val="zh-cn" w:eastAsia="zh-cn" w:bidi="zh-cn"/>
      </w:rPr>
    </w:lvl>
    <w:lvl w:ilvl="7">
      <w:start w:val="0"/>
      <w:numFmt w:val="bullet"/>
      <w:lvlText w:val="•"/>
      <w:lvlJc w:val="left"/>
      <w:pPr>
        <w:ind w:left="7196" w:hanging="180"/>
      </w:pPr>
      <w:rPr>
        <w:rFonts w:hint="default"/>
        <w:lang w:val="zh-cn" w:eastAsia="zh-cn" w:bidi="zh-cn"/>
      </w:rPr>
    </w:lvl>
    <w:lvl w:ilvl="8">
      <w:start w:val="0"/>
      <w:numFmt w:val="bullet"/>
      <w:lvlText w:val="•"/>
      <w:lvlJc w:val="left"/>
      <w:pPr>
        <w:ind w:left="8193" w:hanging="180"/>
      </w:pPr>
      <w:rPr>
        <w:rFonts w:hint="default"/>
        <w:lang w:val="zh-cn" w:eastAsia="zh-cn" w:bidi="zh-cn"/>
      </w:rPr>
    </w:lvl>
  </w:abstractNum>
  <w:abstractNum w:abstractNumId="0">
    <w:multiLevelType w:val="hybridMultilevel"/>
    <w:lvl w:ilvl="0">
      <w:start w:val="4"/>
      <w:numFmt w:val="decimal"/>
      <w:lvlText w:val="%1"/>
      <w:lvlJc w:val="left"/>
      <w:pPr>
        <w:ind w:left="217"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320" w:hanging="180"/>
      </w:pPr>
      <w:rPr>
        <w:rFonts w:hint="default"/>
        <w:lang w:val="zh-cn" w:eastAsia="zh-cn" w:bidi="zh-cn"/>
      </w:rPr>
    </w:lvl>
    <w:lvl w:ilvl="2">
      <w:start w:val="0"/>
      <w:numFmt w:val="bullet"/>
      <w:lvlText w:val="•"/>
      <w:lvlJc w:val="left"/>
      <w:pPr>
        <w:ind w:left="2305" w:hanging="180"/>
      </w:pPr>
      <w:rPr>
        <w:rFonts w:hint="default"/>
        <w:lang w:val="zh-cn" w:eastAsia="zh-cn" w:bidi="zh-cn"/>
      </w:rPr>
    </w:lvl>
    <w:lvl w:ilvl="3">
      <w:start w:val="0"/>
      <w:numFmt w:val="bullet"/>
      <w:lvlText w:val="•"/>
      <w:lvlJc w:val="left"/>
      <w:pPr>
        <w:ind w:left="3290" w:hanging="180"/>
      </w:pPr>
      <w:rPr>
        <w:rFonts w:hint="default"/>
        <w:lang w:val="zh-cn" w:eastAsia="zh-cn" w:bidi="zh-cn"/>
      </w:rPr>
    </w:lvl>
    <w:lvl w:ilvl="4">
      <w:start w:val="0"/>
      <w:numFmt w:val="bullet"/>
      <w:lvlText w:val="•"/>
      <w:lvlJc w:val="left"/>
      <w:pPr>
        <w:ind w:left="4275" w:hanging="180"/>
      </w:pPr>
      <w:rPr>
        <w:rFonts w:hint="default"/>
        <w:lang w:val="zh-cn" w:eastAsia="zh-cn" w:bidi="zh-cn"/>
      </w:rPr>
    </w:lvl>
    <w:lvl w:ilvl="5">
      <w:start w:val="0"/>
      <w:numFmt w:val="bullet"/>
      <w:lvlText w:val="•"/>
      <w:lvlJc w:val="left"/>
      <w:pPr>
        <w:ind w:left="5260" w:hanging="180"/>
      </w:pPr>
      <w:rPr>
        <w:rFonts w:hint="default"/>
        <w:lang w:val="zh-cn" w:eastAsia="zh-cn" w:bidi="zh-cn"/>
      </w:rPr>
    </w:lvl>
    <w:lvl w:ilvl="6">
      <w:start w:val="0"/>
      <w:numFmt w:val="bullet"/>
      <w:lvlText w:val="•"/>
      <w:lvlJc w:val="left"/>
      <w:pPr>
        <w:ind w:left="6245" w:hanging="180"/>
      </w:pPr>
      <w:rPr>
        <w:rFonts w:hint="default"/>
        <w:lang w:val="zh-cn" w:eastAsia="zh-cn" w:bidi="zh-cn"/>
      </w:rPr>
    </w:lvl>
    <w:lvl w:ilvl="7">
      <w:start w:val="0"/>
      <w:numFmt w:val="bullet"/>
      <w:lvlText w:val="•"/>
      <w:lvlJc w:val="left"/>
      <w:pPr>
        <w:ind w:left="7230" w:hanging="180"/>
      </w:pPr>
      <w:rPr>
        <w:rFonts w:hint="default"/>
        <w:lang w:val="zh-cn" w:eastAsia="zh-cn" w:bidi="zh-cn"/>
      </w:rPr>
    </w:lvl>
    <w:lvl w:ilvl="8">
      <w:start w:val="0"/>
      <w:numFmt w:val="bullet"/>
      <w:lvlText w:val="•"/>
      <w:lvlJc w:val="left"/>
      <w:pPr>
        <w:ind w:left="8216" w:hanging="180"/>
      </w:pPr>
      <w:rPr>
        <w:rFonts w:hint="default"/>
        <w:lang w:val="zh-cn" w:eastAsia="zh-cn" w:bidi="zh-cn"/>
      </w:rPr>
    </w:lvl>
  </w:abstractNum>
  <w:num w:numId="9">
    <w:abstractNumId w:val="8"/>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47" w:lineRule="exact"/>
      <w:ind w:right="252"/>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7"/>
      <w:ind w:left="428"/>
    </w:pPr>
    <w:rPr>
      <w:rFonts w:ascii="华文楷体" w:hAnsi="华文楷体" w:eastAsia="华文楷体" w:cs="华文楷体"/>
      <w:sz w:val="24"/>
      <w:szCs w:val="24"/>
      <w:lang w:val="zh-cn" w:eastAsia="zh-cn" w:bidi="zh-cn"/>
    </w:rPr>
  </w:style>
  <w:style w:styleId="TOC3" w:type="paragraph">
    <w:name w:val="TOC 3"/>
    <w:basedOn w:val="Normal"/>
    <w:uiPriority w:val="1"/>
    <w:qFormat/>
    <w:pPr>
      <w:spacing w:before="5"/>
      <w:ind w:left="428"/>
    </w:pPr>
    <w:rPr>
      <w:rFonts w:ascii="华文楷体" w:hAnsi="华文楷体" w:eastAsia="华文楷体" w:cs="华文楷体"/>
      <w:b/>
      <w:bCs/>
      <w:i/>
      <w:lang w:val="zh-cn" w:eastAsia="zh-cn" w:bidi="zh-cn"/>
    </w:rPr>
  </w:style>
  <w:style w:styleId="BodyText" w:type="paragraph">
    <w:name w:val="Body Text"/>
    <w:basedOn w:val="Normal"/>
    <w:uiPriority w:val="1"/>
    <w:qFormat/>
    <w:pPr>
      <w:ind w:left="217"/>
    </w:pPr>
    <w:rPr>
      <w:rFonts w:ascii="宋体" w:hAnsi="宋体" w:eastAsia="宋体" w:cs="宋体"/>
      <w:sz w:val="24"/>
      <w:szCs w:val="24"/>
      <w:lang w:val="zh-cn" w:eastAsia="zh-cn" w:bidi="zh-cn"/>
    </w:rPr>
  </w:style>
  <w:style w:styleId="Heading1" w:type="paragraph">
    <w:name w:val="Heading 1"/>
    <w:basedOn w:val="Normal"/>
    <w:uiPriority w:val="1"/>
    <w:qFormat/>
    <w:pPr>
      <w:ind w:left="785"/>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spacing w:before="1"/>
      <w:ind w:left="217"/>
      <w:outlineLvl w:val="3"/>
    </w:pPr>
    <w:rPr>
      <w:rFonts w:ascii="宋体" w:hAnsi="宋体" w:eastAsia="宋体" w:cs="宋体"/>
      <w:sz w:val="32"/>
      <w:szCs w:val="32"/>
      <w:lang w:val="zh-cn" w:eastAsia="zh-cn" w:bidi="zh-cn"/>
    </w:rPr>
  </w:style>
  <w:style w:styleId="Heading4" w:type="paragraph">
    <w:name w:val="Heading 4"/>
    <w:basedOn w:val="Normal"/>
    <w:uiPriority w:val="1"/>
    <w:qFormat/>
    <w:pPr>
      <w:ind w:left="699"/>
      <w:outlineLvl w:val="4"/>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217" w:hanging="242"/>
    </w:pPr>
    <w:rPr>
      <w:rFonts w:ascii="宋体" w:hAnsi="宋体" w:eastAsia="宋体" w:cs="宋体"/>
      <w:lang w:val="zh-cn" w:eastAsia="zh-cn" w:bidi="zh-cn"/>
    </w:rPr>
  </w:style>
  <w:style w:styleId="TableParagraph" w:type="paragraph">
    <w:name w:val="Table Paragraph"/>
    <w:basedOn w:val="Normal"/>
    <w:uiPriority w:val="1"/>
    <w:qFormat/>
    <w:pPr>
      <w:spacing w:before="132"/>
      <w:ind w:left="6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hyperlink" Target="http://www.cn-healthcare.com/api/search/%E8%8D%AF%E5%AD%A6" TargetMode="Externa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header" Target="header6.xml"/><Relationship Id="rId20" Type="http://schemas.openxmlformats.org/officeDocument/2006/relationships/footer" Target="footer7.xml"/><Relationship Id="rId21" Type="http://schemas.openxmlformats.org/officeDocument/2006/relationships/header" Target="header7.xml"/><Relationship Id="rId22" Type="http://schemas.openxmlformats.org/officeDocument/2006/relationships/footer" Target="footer8.xml"/><Relationship Id="rId23" Type="http://schemas.openxmlformats.org/officeDocument/2006/relationships/image" Target="media/image3.jpeg"/><Relationship Id="rId24" Type="http://schemas.openxmlformats.org/officeDocument/2006/relationships/image" Target="media/image4.jpeg"/><Relationship Id="rId25" Type="http://schemas.openxmlformats.org/officeDocument/2006/relationships/header" Target="header8.xml"/><Relationship Id="rId26" Type="http://schemas.openxmlformats.org/officeDocument/2006/relationships/footer" Target="footer9.xml"/><Relationship Id="rId27" Type="http://schemas.openxmlformats.org/officeDocument/2006/relationships/image" Target="media/image5.png"/><Relationship Id="rId28" Type="http://schemas.openxmlformats.org/officeDocument/2006/relationships/image" Target="media/image6.png"/><Relationship Id="rId29" Type="http://schemas.openxmlformats.org/officeDocument/2006/relationships/image" Target="media/image7.png"/><Relationship Id="rId30" Type="http://schemas.openxmlformats.org/officeDocument/2006/relationships/hyperlink" Target="mailto:drughuloo@126.com" TargetMode="External"/><Relationship Id="rId31" Type="http://schemas.openxmlformats.org/officeDocument/2006/relationships/hyperlink" Target="http://www.cmei.org.cn/content/?14277.html"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2019-10-23T03:23:18Z</dcterms:created>
  <dcterms:modified xsi:type="dcterms:W3CDTF">2019-10-23T03:23:18Z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Office Word 2007</vt:lpwstr>
  </property>
  <property fmtid="{D5CDD505-2E9C-101B-9397-08002B2CF9AE}" pid="4" name="LastSaved">
    <vt:filetime>2019-10-23T00:00:00Z</vt:filetime>
  </property>
</Properties>
</file>