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392"/>
        <w:rPr>
          <w:rFonts w:ascii="Times New Roman"/>
          <w:sz w:val="20"/>
        </w:rPr>
      </w:pPr>
      <w:r>
        <w:rPr>
          <w:rFonts w:ascii="Times New Roman"/>
          <w:sz w:val="20"/>
        </w:rPr>
        <w:pict>
          <v:group style="width:540.6pt;height:161.3pt;mso-position-horizontal-relative:char;mso-position-vertical-relative:line" coordorigin="0,0" coordsize="10812,3226">
            <v:line style="position:absolute" from="600,7" to="10156,7" stroked="true" strokeweight=".72pt" strokecolor="#000000">
              <v:stroke dashstyle="solid"/>
            </v:line>
            <v:shape style="position:absolute;left:0;top:7;width:10812;height:3219" type="#_x0000_t75" stroked="false">
              <v:imagedata r:id="rId6" o:title=""/>
            </v:shape>
          </v:group>
        </w:pict>
      </w:r>
      <w:r>
        <w:rPr>
          <w:rFonts w:ascii="Times New Roman"/>
          <w:sz w:val="20"/>
        </w:rPr>
      </w:r>
    </w:p>
    <w:p>
      <w:pPr>
        <w:pStyle w:val="Heading2"/>
        <w:tabs>
          <w:tab w:pos="5870" w:val="left" w:leader="none"/>
        </w:tabs>
        <w:spacing w:before="62"/>
        <w:ind w:left="2733"/>
        <w:rPr>
          <w:rFonts w:ascii="黑体" w:eastAsia="黑体" w:hint="eastAsia"/>
        </w:rPr>
      </w:pPr>
      <w:r>
        <w:rPr>
          <w:rFonts w:ascii="黑体" w:eastAsia="黑体" w:hint="eastAsia"/>
        </w:rPr>
        <w:t>2019</w:t>
      </w:r>
      <w:r>
        <w:rPr>
          <w:rFonts w:ascii="黑体" w:eastAsia="黑体" w:hint="eastAsia"/>
          <w:spacing w:val="-82"/>
        </w:rPr>
        <w:t> </w:t>
      </w:r>
      <w:r>
        <w:rPr>
          <w:rFonts w:ascii="黑体" w:eastAsia="黑体" w:hint="eastAsia"/>
        </w:rPr>
        <w:t>年第</w:t>
      </w:r>
      <w:r>
        <w:rPr>
          <w:rFonts w:ascii="黑体" w:eastAsia="黑体" w:hint="eastAsia"/>
          <w:spacing w:val="-80"/>
        </w:rPr>
        <w:t> </w:t>
      </w:r>
      <w:r>
        <w:rPr>
          <w:rFonts w:ascii="黑体" w:eastAsia="黑体" w:hint="eastAsia"/>
        </w:rPr>
        <w:t>6</w:t>
      </w:r>
      <w:r>
        <w:rPr>
          <w:rFonts w:ascii="黑体" w:eastAsia="黑体" w:hint="eastAsia"/>
          <w:spacing w:val="-83"/>
        </w:rPr>
        <w:t> </w:t>
      </w:r>
      <w:r>
        <w:rPr>
          <w:rFonts w:ascii="黑体" w:eastAsia="黑体" w:hint="eastAsia"/>
        </w:rPr>
        <w:t>期</w:t>
        <w:tab/>
        <w:t>总第</w:t>
      </w:r>
      <w:r>
        <w:rPr>
          <w:rFonts w:ascii="黑体" w:eastAsia="黑体" w:hint="eastAsia"/>
          <w:spacing w:val="-80"/>
        </w:rPr>
        <w:t> </w:t>
      </w:r>
      <w:r>
        <w:rPr>
          <w:rFonts w:ascii="黑体" w:eastAsia="黑体" w:hint="eastAsia"/>
        </w:rPr>
        <w:t>204</w:t>
      </w:r>
      <w:r>
        <w:rPr>
          <w:rFonts w:ascii="黑体" w:eastAsia="黑体" w:hint="eastAsia"/>
          <w:spacing w:val="-81"/>
        </w:rPr>
        <w:t> </w:t>
      </w:r>
      <w:r>
        <w:rPr>
          <w:rFonts w:ascii="黑体" w:eastAsia="黑体" w:hint="eastAsia"/>
        </w:rPr>
        <w:t>期</w:t>
      </w:r>
    </w:p>
    <w:p>
      <w:pPr>
        <w:tabs>
          <w:tab w:pos="7004" w:val="left" w:leader="none"/>
        </w:tabs>
        <w:spacing w:before="137"/>
        <w:ind w:left="0" w:right="891" w:firstLine="0"/>
        <w:jc w:val="center"/>
        <w:rPr>
          <w:rFonts w:ascii="Microsoft JhengHei" w:eastAsia="Microsoft JhengHei" w:hint="eastAsia"/>
          <w:b/>
          <w:sz w:val="28"/>
        </w:rPr>
      </w:pPr>
      <w:r>
        <w:rPr/>
        <w:pict>
          <v:shape style="position:absolute;margin-left:55pt;margin-top:36.251087pt;width:491.25pt;height:.1pt;mso-position-horizontal-relative:page;mso-position-vertical-relative:paragraph;z-index:-251657216;mso-wrap-distance-left:0;mso-wrap-distance-right:0" coordorigin="1100,725" coordsize="9825,0" path="m1100,725l10925,725e" filled="false" stroked="true" strokeweight="2.25pt" strokecolor="#ff0000">
            <v:path arrowok="t"/>
            <v:stroke dashstyle="solid"/>
            <w10:wrap type="topAndBottom"/>
          </v:shape>
        </w:pict>
      </w:r>
      <w:r>
        <w:rPr>
          <w:rFonts w:ascii="Microsoft JhengHei" w:eastAsia="Microsoft JhengHei" w:hint="eastAsia"/>
          <w:b/>
          <w:sz w:val="28"/>
        </w:rPr>
        <w:t>中国药学</w:t>
      </w:r>
      <w:r>
        <w:rPr>
          <w:rFonts w:ascii="Microsoft JhengHei" w:eastAsia="Microsoft JhengHei" w:hint="eastAsia"/>
          <w:b/>
          <w:spacing w:val="-3"/>
          <w:sz w:val="28"/>
        </w:rPr>
        <w:t>会</w:t>
      </w:r>
      <w:r>
        <w:rPr>
          <w:rFonts w:ascii="Microsoft JhengHei" w:eastAsia="Microsoft JhengHei" w:hint="eastAsia"/>
          <w:b/>
          <w:sz w:val="28"/>
        </w:rPr>
        <w:t>科技</w:t>
      </w:r>
      <w:r>
        <w:rPr>
          <w:rFonts w:ascii="Microsoft JhengHei" w:eastAsia="Microsoft JhengHei" w:hint="eastAsia"/>
          <w:b/>
          <w:spacing w:val="-3"/>
          <w:sz w:val="28"/>
        </w:rPr>
        <w:t>开</w:t>
      </w:r>
      <w:r>
        <w:rPr>
          <w:rFonts w:ascii="Microsoft JhengHei" w:eastAsia="Microsoft JhengHei" w:hint="eastAsia"/>
          <w:b/>
          <w:sz w:val="28"/>
        </w:rPr>
        <w:t>发中心 </w:t>
      </w:r>
      <w:r>
        <w:rPr>
          <w:rFonts w:ascii="Microsoft JhengHei" w:eastAsia="Microsoft JhengHei" w:hint="eastAsia"/>
          <w:b/>
          <w:spacing w:val="3"/>
          <w:sz w:val="28"/>
        </w:rPr>
        <w:t> </w:t>
      </w:r>
      <w:r>
        <w:rPr>
          <w:rFonts w:ascii="Microsoft JhengHei" w:eastAsia="Microsoft JhengHei" w:hint="eastAsia"/>
          <w:b/>
          <w:sz w:val="28"/>
        </w:rPr>
        <w:t>组织</w:t>
      </w:r>
      <w:r>
        <w:rPr>
          <w:rFonts w:ascii="Microsoft JhengHei" w:eastAsia="Microsoft JhengHei" w:hint="eastAsia"/>
          <w:b/>
          <w:spacing w:val="-3"/>
          <w:sz w:val="28"/>
        </w:rPr>
        <w:t>联</w:t>
      </w:r>
      <w:r>
        <w:rPr>
          <w:rFonts w:ascii="Microsoft JhengHei" w:eastAsia="Microsoft JhengHei" w:hint="eastAsia"/>
          <w:b/>
          <w:sz w:val="28"/>
        </w:rPr>
        <w:t>络部</w:t>
        <w:tab/>
      </w:r>
      <w:r>
        <w:rPr>
          <w:rFonts w:ascii="等线" w:eastAsia="等线" w:hint="eastAsia"/>
          <w:b/>
          <w:sz w:val="28"/>
        </w:rPr>
        <w:t>2019 </w:t>
      </w:r>
      <w:r>
        <w:rPr>
          <w:rFonts w:ascii="Microsoft JhengHei" w:eastAsia="Microsoft JhengHei" w:hint="eastAsia"/>
          <w:b/>
          <w:sz w:val="28"/>
        </w:rPr>
        <w:t>年 </w:t>
      </w:r>
      <w:r>
        <w:rPr>
          <w:rFonts w:ascii="等线" w:eastAsia="等线" w:hint="eastAsia"/>
          <w:b/>
          <w:sz w:val="28"/>
        </w:rPr>
        <w:t>4 </w:t>
      </w:r>
      <w:r>
        <w:rPr>
          <w:rFonts w:ascii="Microsoft JhengHei" w:eastAsia="Microsoft JhengHei" w:hint="eastAsia"/>
          <w:b/>
          <w:sz w:val="28"/>
        </w:rPr>
        <w:t>月 </w:t>
      </w:r>
      <w:r>
        <w:rPr>
          <w:rFonts w:ascii="等线" w:eastAsia="等线" w:hint="eastAsia"/>
          <w:b/>
          <w:sz w:val="28"/>
        </w:rPr>
        <w:t>16</w:t>
      </w:r>
      <w:r>
        <w:rPr>
          <w:rFonts w:ascii="等线" w:eastAsia="等线" w:hint="eastAsia"/>
          <w:b/>
          <w:spacing w:val="-23"/>
          <w:sz w:val="28"/>
        </w:rPr>
        <w:t> </w:t>
      </w:r>
      <w:r>
        <w:rPr>
          <w:rFonts w:ascii="Microsoft JhengHei" w:eastAsia="Microsoft JhengHei" w:hint="eastAsia"/>
          <w:b/>
          <w:sz w:val="28"/>
        </w:rPr>
        <w:t>日</w:t>
      </w:r>
    </w:p>
    <w:p>
      <w:pPr>
        <w:pStyle w:val="BodyText"/>
        <w:spacing w:before="11"/>
        <w:ind w:left="0"/>
        <w:rPr>
          <w:rFonts w:ascii="Microsoft JhengHei"/>
          <w:b/>
          <w:sz w:val="20"/>
        </w:rPr>
      </w:pPr>
    </w:p>
    <w:p>
      <w:pPr>
        <w:spacing w:before="1"/>
        <w:ind w:left="0" w:right="896" w:firstLine="0"/>
        <w:jc w:val="center"/>
        <w:rPr>
          <w:rFonts w:ascii="黑体" w:eastAsia="黑体" w:hint="eastAsia"/>
          <w:b/>
          <w:sz w:val="44"/>
        </w:rPr>
      </w:pPr>
      <w:r>
        <w:rPr>
          <w:rFonts w:ascii="黑体" w:eastAsia="黑体" w:hint="eastAsia"/>
          <w:b/>
          <w:color w:val="008000"/>
          <w:sz w:val="44"/>
        </w:rPr>
        <w:t>目 次</w:t>
      </w:r>
    </w:p>
    <w:p>
      <w:pPr>
        <w:spacing w:before="7"/>
        <w:ind w:left="0" w:right="892" w:firstLine="0"/>
        <w:jc w:val="center"/>
        <w:rPr>
          <w:rFonts w:ascii="隶书" w:eastAsia="隶书" w:hint="eastAsia"/>
          <w:sz w:val="44"/>
        </w:rPr>
      </w:pPr>
      <w:r>
        <w:rPr>
          <w:rFonts w:ascii="隶书" w:eastAsia="隶书" w:hint="eastAsia"/>
          <w:color w:val="1A5220"/>
          <w:sz w:val="44"/>
        </w:rPr>
        <w:t>政策导览</w:t>
      </w:r>
    </w:p>
    <w:p>
      <w:pPr>
        <w:tabs>
          <w:tab w:pos="9521" w:val="right" w:leader="dot"/>
        </w:tabs>
        <w:spacing w:before="143"/>
        <w:ind w:left="448" w:right="0" w:firstLine="0"/>
        <w:jc w:val="left"/>
        <w:rPr>
          <w:rFonts w:ascii="华文楷体" w:eastAsia="华文楷体" w:hint="eastAsia"/>
          <w:sz w:val="28"/>
        </w:rPr>
      </w:pPr>
      <w:r>
        <w:rPr>
          <w:rFonts w:ascii="华文楷体" w:eastAsia="华文楷体" w:hint="eastAsia"/>
          <w:b/>
          <w:sz w:val="28"/>
        </w:rPr>
        <w:t>【政府要闻】</w:t>
        <w:tab/>
      </w:r>
      <w:r>
        <w:rPr>
          <w:rFonts w:ascii="华文楷体" w:eastAsia="华文楷体" w:hint="eastAsia"/>
          <w:sz w:val="28"/>
        </w:rPr>
        <w:t>1</w:t>
      </w:r>
    </w:p>
    <w:p>
      <w:pPr>
        <w:tabs>
          <w:tab w:pos="9521" w:val="right" w:leader="dot"/>
        </w:tabs>
        <w:spacing w:before="120"/>
        <w:ind w:left="448" w:right="0" w:firstLine="0"/>
        <w:jc w:val="left"/>
        <w:rPr>
          <w:rFonts w:ascii="华文楷体" w:eastAsia="华文楷体" w:hint="eastAsia"/>
          <w:sz w:val="28"/>
        </w:rPr>
      </w:pPr>
      <w:r>
        <w:rPr>
          <w:rFonts w:ascii="华文楷体" w:eastAsia="华文楷体" w:hint="eastAsia"/>
          <w:sz w:val="28"/>
        </w:rPr>
        <w:t>药品集</w:t>
      </w:r>
      <w:r>
        <w:rPr>
          <w:rFonts w:ascii="华文楷体" w:eastAsia="华文楷体" w:hint="eastAsia"/>
          <w:spacing w:val="-3"/>
          <w:sz w:val="28"/>
        </w:rPr>
        <w:t>中</w:t>
      </w:r>
      <w:r>
        <w:rPr>
          <w:rFonts w:ascii="华文楷体" w:eastAsia="华文楷体" w:hint="eastAsia"/>
          <w:sz w:val="28"/>
        </w:rPr>
        <w:t>采购</w:t>
      </w:r>
      <w:r>
        <w:rPr>
          <w:rFonts w:ascii="华文楷体" w:eastAsia="华文楷体" w:hint="eastAsia"/>
          <w:spacing w:val="-3"/>
          <w:sz w:val="28"/>
        </w:rPr>
        <w:t>要实</w:t>
      </w:r>
      <w:r>
        <w:rPr>
          <w:rFonts w:ascii="华文楷体" w:eastAsia="华文楷体" w:hint="eastAsia"/>
          <w:sz w:val="28"/>
        </w:rPr>
        <w:t>现降价</w:t>
      </w:r>
      <w:r>
        <w:rPr>
          <w:rFonts w:ascii="华文楷体" w:eastAsia="华文楷体" w:hint="eastAsia"/>
          <w:spacing w:val="-3"/>
          <w:sz w:val="28"/>
        </w:rPr>
        <w:t>惠</w:t>
      </w:r>
      <w:r>
        <w:rPr>
          <w:rFonts w:ascii="华文楷体" w:eastAsia="华文楷体" w:hint="eastAsia"/>
          <w:sz w:val="28"/>
        </w:rPr>
        <w:t>民</w:t>
        <w:tab/>
        <w:t>1</w:t>
      </w:r>
    </w:p>
    <w:p>
      <w:pPr>
        <w:tabs>
          <w:tab w:pos="9521" w:val="right" w:leader="dot"/>
        </w:tabs>
        <w:spacing w:before="122"/>
        <w:ind w:left="448" w:right="0" w:firstLine="0"/>
        <w:jc w:val="left"/>
        <w:rPr>
          <w:rFonts w:ascii="华文楷体" w:eastAsia="华文楷体" w:hint="eastAsia"/>
          <w:sz w:val="28"/>
        </w:rPr>
      </w:pPr>
      <w:r>
        <w:rPr>
          <w:rFonts w:ascii="华文楷体" w:eastAsia="华文楷体" w:hint="eastAsia"/>
          <w:sz w:val="28"/>
        </w:rPr>
        <w:t>三部门</w:t>
      </w:r>
      <w:r>
        <w:rPr>
          <w:rFonts w:ascii="华文楷体" w:eastAsia="华文楷体" w:hint="eastAsia"/>
          <w:spacing w:val="-3"/>
          <w:sz w:val="28"/>
        </w:rPr>
        <w:t>牵</w:t>
      </w:r>
      <w:r>
        <w:rPr>
          <w:rFonts w:ascii="华文楷体" w:eastAsia="华文楷体" w:hint="eastAsia"/>
          <w:sz w:val="28"/>
        </w:rPr>
        <w:t>头建</w:t>
      </w:r>
      <w:r>
        <w:rPr>
          <w:rFonts w:ascii="华文楷体" w:eastAsia="华文楷体" w:hint="eastAsia"/>
          <w:spacing w:val="-3"/>
          <w:sz w:val="28"/>
        </w:rPr>
        <w:t>立疫</w:t>
      </w:r>
      <w:r>
        <w:rPr>
          <w:rFonts w:ascii="华文楷体" w:eastAsia="华文楷体" w:hint="eastAsia"/>
          <w:sz w:val="28"/>
        </w:rPr>
        <w:t>苗管理</w:t>
      </w:r>
      <w:r>
        <w:rPr>
          <w:rFonts w:ascii="华文楷体" w:eastAsia="华文楷体" w:hint="eastAsia"/>
          <w:spacing w:val="-3"/>
          <w:sz w:val="28"/>
        </w:rPr>
        <w:t>部</w:t>
      </w:r>
      <w:r>
        <w:rPr>
          <w:rFonts w:ascii="华文楷体" w:eastAsia="华文楷体" w:hint="eastAsia"/>
          <w:sz w:val="28"/>
        </w:rPr>
        <w:t>际联</w:t>
      </w:r>
      <w:r>
        <w:rPr>
          <w:rFonts w:ascii="华文楷体" w:eastAsia="华文楷体" w:hint="eastAsia"/>
          <w:spacing w:val="-3"/>
          <w:sz w:val="28"/>
        </w:rPr>
        <w:t>席会</w:t>
      </w:r>
      <w:r>
        <w:rPr>
          <w:rFonts w:ascii="华文楷体" w:eastAsia="华文楷体" w:hint="eastAsia"/>
          <w:sz w:val="28"/>
        </w:rPr>
        <w:t>议制度</w:t>
        <w:tab/>
        <w:t>1</w:t>
      </w:r>
    </w:p>
    <w:p>
      <w:pPr>
        <w:tabs>
          <w:tab w:pos="9521" w:val="right" w:leader="dot"/>
        </w:tabs>
        <w:spacing w:before="121"/>
        <w:ind w:left="448" w:right="0" w:firstLine="0"/>
        <w:jc w:val="left"/>
        <w:rPr>
          <w:rFonts w:ascii="华文楷体" w:eastAsia="华文楷体" w:hint="eastAsia"/>
          <w:sz w:val="28"/>
        </w:rPr>
      </w:pPr>
      <w:r>
        <w:rPr>
          <w:rFonts w:ascii="华文楷体" w:eastAsia="华文楷体" w:hint="eastAsia"/>
          <w:sz w:val="28"/>
        </w:rPr>
        <w:t>三级医</w:t>
      </w:r>
      <w:r>
        <w:rPr>
          <w:rFonts w:ascii="华文楷体" w:eastAsia="华文楷体" w:hint="eastAsia"/>
          <w:spacing w:val="-3"/>
          <w:sz w:val="28"/>
        </w:rPr>
        <w:t>院</w:t>
      </w:r>
      <w:r>
        <w:rPr>
          <w:rFonts w:ascii="华文楷体" w:eastAsia="华文楷体" w:hint="eastAsia"/>
          <w:sz w:val="28"/>
        </w:rPr>
        <w:t>更多</w:t>
      </w:r>
      <w:r>
        <w:rPr>
          <w:rFonts w:ascii="华文楷体" w:eastAsia="华文楷体" w:hint="eastAsia"/>
          <w:spacing w:val="-3"/>
          <w:sz w:val="28"/>
        </w:rPr>
        <w:t>在中</w:t>
      </w:r>
      <w:r>
        <w:rPr>
          <w:rFonts w:ascii="华文楷体" w:eastAsia="华文楷体" w:hint="eastAsia"/>
          <w:sz w:val="28"/>
        </w:rPr>
        <w:t>小城市</w:t>
      </w:r>
      <w:r>
        <w:rPr>
          <w:rFonts w:ascii="华文楷体" w:eastAsia="华文楷体" w:hint="eastAsia"/>
          <w:spacing w:val="-3"/>
          <w:sz w:val="28"/>
        </w:rPr>
        <w:t>布</w:t>
      </w:r>
      <w:r>
        <w:rPr>
          <w:rFonts w:ascii="华文楷体" w:eastAsia="华文楷体" w:hint="eastAsia"/>
          <w:sz w:val="28"/>
        </w:rPr>
        <w:t>局</w:t>
        <w:tab/>
        <w:t>2</w:t>
      </w:r>
    </w:p>
    <w:p>
      <w:pPr>
        <w:tabs>
          <w:tab w:pos="9521" w:val="right" w:leader="dot"/>
        </w:tabs>
        <w:spacing w:before="119"/>
        <w:ind w:left="448" w:right="0" w:firstLine="0"/>
        <w:jc w:val="left"/>
        <w:rPr>
          <w:rFonts w:ascii="华文楷体" w:eastAsia="华文楷体" w:hint="eastAsia"/>
          <w:sz w:val="28"/>
        </w:rPr>
      </w:pPr>
      <w:r>
        <w:rPr>
          <w:rFonts w:ascii="华文楷体" w:eastAsia="华文楷体" w:hint="eastAsia"/>
          <w:w w:val="95"/>
          <w:sz w:val="28"/>
        </w:rPr>
        <w:t>国家卫生健康委办公厅关于持续做好抗菌药物临床应用管理工作的通知</w:t>
        <w:tab/>
        <w:t>2</w:t>
      </w:r>
    </w:p>
    <w:p>
      <w:pPr>
        <w:tabs>
          <w:tab w:pos="9521" w:val="right" w:leader="dot"/>
        </w:tabs>
        <w:spacing w:before="122"/>
        <w:ind w:left="448" w:right="0" w:firstLine="0"/>
        <w:jc w:val="left"/>
        <w:rPr>
          <w:rFonts w:ascii="华文楷体" w:eastAsia="华文楷体" w:hint="eastAsia"/>
          <w:sz w:val="28"/>
        </w:rPr>
      </w:pPr>
      <w:r>
        <w:rPr>
          <w:rFonts w:ascii="华文楷体" w:eastAsia="华文楷体" w:hint="eastAsia"/>
          <w:sz w:val="28"/>
        </w:rPr>
        <w:t>体细胞</w:t>
      </w:r>
      <w:r>
        <w:rPr>
          <w:rFonts w:ascii="华文楷体" w:eastAsia="华文楷体" w:hint="eastAsia"/>
          <w:spacing w:val="-3"/>
          <w:sz w:val="28"/>
        </w:rPr>
        <w:t>治</w:t>
      </w:r>
      <w:r>
        <w:rPr>
          <w:rFonts w:ascii="华文楷体" w:eastAsia="华文楷体" w:hint="eastAsia"/>
          <w:sz w:val="28"/>
        </w:rPr>
        <w:t>疗研</w:t>
      </w:r>
      <w:r>
        <w:rPr>
          <w:rFonts w:ascii="华文楷体" w:eastAsia="华文楷体" w:hint="eastAsia"/>
          <w:spacing w:val="-3"/>
          <w:sz w:val="28"/>
        </w:rPr>
        <w:t>究应</w:t>
      </w:r>
      <w:r>
        <w:rPr>
          <w:rFonts w:ascii="华文楷体" w:eastAsia="华文楷体" w:hint="eastAsia"/>
          <w:sz w:val="28"/>
        </w:rPr>
        <w:t>用需备案</w:t>
        <w:tab/>
        <w:t>4</w:t>
      </w:r>
    </w:p>
    <w:p>
      <w:pPr>
        <w:tabs>
          <w:tab w:pos="9521" w:val="right" w:leader="dot"/>
        </w:tabs>
        <w:spacing w:before="122"/>
        <w:ind w:left="448" w:right="0" w:firstLine="0"/>
        <w:jc w:val="left"/>
        <w:rPr>
          <w:rFonts w:ascii="华文楷体" w:eastAsia="华文楷体" w:hint="eastAsia"/>
          <w:sz w:val="28"/>
        </w:rPr>
      </w:pPr>
      <w:r>
        <w:rPr>
          <w:rFonts w:ascii="华文楷体" w:eastAsia="华文楷体" w:hint="eastAsia"/>
          <w:b/>
          <w:sz w:val="28"/>
        </w:rPr>
        <w:t>【药监动态】</w:t>
        <w:tab/>
      </w:r>
      <w:r>
        <w:rPr>
          <w:rFonts w:ascii="华文楷体" w:eastAsia="华文楷体" w:hint="eastAsia"/>
          <w:sz w:val="28"/>
        </w:rPr>
        <w:t>5</w:t>
      </w:r>
    </w:p>
    <w:p>
      <w:pPr>
        <w:tabs>
          <w:tab w:pos="9521" w:val="right" w:leader="dot"/>
        </w:tabs>
        <w:spacing w:before="119"/>
        <w:ind w:left="448" w:right="0" w:firstLine="0"/>
        <w:jc w:val="left"/>
        <w:rPr>
          <w:rFonts w:ascii="华文楷体" w:eastAsia="华文楷体" w:hint="eastAsia"/>
          <w:sz w:val="28"/>
        </w:rPr>
      </w:pPr>
      <w:r>
        <w:rPr>
          <w:rFonts w:ascii="华文楷体" w:eastAsia="华文楷体" w:hint="eastAsia"/>
          <w:sz w:val="28"/>
        </w:rPr>
        <w:t>国家药</w:t>
      </w:r>
      <w:r>
        <w:rPr>
          <w:rFonts w:ascii="华文楷体" w:eastAsia="华文楷体" w:hint="eastAsia"/>
          <w:spacing w:val="-3"/>
          <w:sz w:val="28"/>
        </w:rPr>
        <w:t>监</w:t>
      </w:r>
      <w:r>
        <w:rPr>
          <w:rFonts w:ascii="华文楷体" w:eastAsia="华文楷体" w:hint="eastAsia"/>
          <w:sz w:val="28"/>
        </w:rPr>
        <w:t>局领</w:t>
      </w:r>
      <w:r>
        <w:rPr>
          <w:rFonts w:ascii="华文楷体" w:eastAsia="华文楷体" w:hint="eastAsia"/>
          <w:spacing w:val="-3"/>
          <w:sz w:val="28"/>
        </w:rPr>
        <w:t>到三</w:t>
      </w:r>
      <w:r>
        <w:rPr>
          <w:rFonts w:ascii="华文楷体" w:eastAsia="华文楷体" w:hint="eastAsia"/>
          <w:sz w:val="28"/>
        </w:rPr>
        <w:t>项任务</w:t>
        <w:tab/>
        <w:t>5</w:t>
      </w:r>
    </w:p>
    <w:p>
      <w:pPr>
        <w:tabs>
          <w:tab w:pos="9521" w:val="right" w:leader="dot"/>
        </w:tabs>
        <w:spacing w:before="122"/>
        <w:ind w:left="448" w:right="0" w:firstLine="0"/>
        <w:jc w:val="left"/>
        <w:rPr>
          <w:rFonts w:ascii="华文楷体" w:eastAsia="华文楷体" w:hint="eastAsia"/>
          <w:sz w:val="28"/>
        </w:rPr>
      </w:pPr>
      <w:r>
        <w:rPr>
          <w:rFonts w:ascii="华文楷体" w:eastAsia="华文楷体" w:hint="eastAsia"/>
          <w:sz w:val="28"/>
        </w:rPr>
        <w:t>仿制药</w:t>
      </w:r>
      <w:r>
        <w:rPr>
          <w:rFonts w:ascii="华文楷体" w:eastAsia="华文楷体" w:hint="eastAsia"/>
          <w:spacing w:val="-3"/>
          <w:sz w:val="28"/>
        </w:rPr>
        <w:t>参</w:t>
      </w:r>
      <w:r>
        <w:rPr>
          <w:rFonts w:ascii="华文楷体" w:eastAsia="华文楷体" w:hint="eastAsia"/>
          <w:sz w:val="28"/>
        </w:rPr>
        <w:t>比制</w:t>
      </w:r>
      <w:r>
        <w:rPr>
          <w:rFonts w:ascii="华文楷体" w:eastAsia="华文楷体" w:hint="eastAsia"/>
          <w:spacing w:val="-3"/>
          <w:sz w:val="28"/>
        </w:rPr>
        <w:t>剂范</w:t>
      </w:r>
      <w:r>
        <w:rPr>
          <w:rFonts w:ascii="华文楷体" w:eastAsia="华文楷体" w:hint="eastAsia"/>
          <w:sz w:val="28"/>
        </w:rPr>
        <w:t>围扩大</w:t>
      </w:r>
      <w:r>
        <w:rPr>
          <w:rFonts w:ascii="华文楷体" w:eastAsia="华文楷体" w:hint="eastAsia"/>
          <w:spacing w:val="-3"/>
          <w:sz w:val="28"/>
        </w:rPr>
        <w:t>至</w:t>
      </w:r>
      <w:r>
        <w:rPr>
          <w:rFonts w:ascii="华文楷体" w:eastAsia="华文楷体" w:hint="eastAsia"/>
          <w:sz w:val="28"/>
        </w:rPr>
        <w:t>所有</w:t>
      </w:r>
      <w:r>
        <w:rPr>
          <w:rFonts w:ascii="华文楷体" w:eastAsia="华文楷体" w:hint="eastAsia"/>
          <w:spacing w:val="-3"/>
          <w:sz w:val="28"/>
        </w:rPr>
        <w:t>剂</w:t>
      </w:r>
      <w:r>
        <w:rPr>
          <w:rFonts w:ascii="华文楷体" w:eastAsia="华文楷体" w:hint="eastAsia"/>
          <w:sz w:val="28"/>
        </w:rPr>
        <w:t>型</w:t>
        <w:tab/>
        <w:t>6</w:t>
      </w:r>
    </w:p>
    <w:p>
      <w:pPr>
        <w:tabs>
          <w:tab w:pos="9521" w:val="right" w:leader="dot"/>
        </w:tabs>
        <w:spacing w:before="122"/>
        <w:ind w:left="448" w:right="0" w:firstLine="0"/>
        <w:jc w:val="left"/>
        <w:rPr>
          <w:rFonts w:ascii="华文楷体" w:eastAsia="华文楷体" w:hint="eastAsia"/>
          <w:sz w:val="28"/>
        </w:rPr>
      </w:pPr>
      <w:r>
        <w:rPr>
          <w:rFonts w:ascii="华文楷体" w:eastAsia="华文楷体" w:hint="eastAsia"/>
          <w:sz w:val="28"/>
        </w:rPr>
        <w:t>85</w:t>
      </w:r>
      <w:r>
        <w:rPr>
          <w:rFonts w:ascii="华文楷体" w:eastAsia="华文楷体" w:hint="eastAsia"/>
          <w:spacing w:val="-1"/>
          <w:sz w:val="28"/>
        </w:rPr>
        <w:t> </w:t>
      </w:r>
      <w:r>
        <w:rPr>
          <w:rFonts w:ascii="华文楷体" w:eastAsia="华文楷体" w:hint="eastAsia"/>
          <w:sz w:val="28"/>
        </w:rPr>
        <w:t>个药</w:t>
      </w:r>
      <w:r>
        <w:rPr>
          <w:rFonts w:ascii="华文楷体" w:eastAsia="华文楷体" w:hint="eastAsia"/>
          <w:spacing w:val="-3"/>
          <w:sz w:val="28"/>
        </w:rPr>
        <w:t>品</w:t>
      </w:r>
      <w:r>
        <w:rPr>
          <w:rFonts w:ascii="华文楷体" w:eastAsia="华文楷体" w:hint="eastAsia"/>
          <w:sz w:val="28"/>
        </w:rPr>
        <w:t>批准</w:t>
      </w:r>
      <w:r>
        <w:rPr>
          <w:rFonts w:ascii="华文楷体" w:eastAsia="华文楷体" w:hint="eastAsia"/>
          <w:spacing w:val="-3"/>
          <w:sz w:val="28"/>
        </w:rPr>
        <w:t>文号</w:t>
      </w:r>
      <w:r>
        <w:rPr>
          <w:rFonts w:ascii="华文楷体" w:eastAsia="华文楷体" w:hint="eastAsia"/>
          <w:sz w:val="28"/>
        </w:rPr>
        <w:t>被注销</w:t>
        <w:tab/>
        <w:t>6</w:t>
      </w:r>
    </w:p>
    <w:p>
      <w:pPr>
        <w:tabs>
          <w:tab w:pos="9521" w:val="right" w:leader="dot"/>
        </w:tabs>
        <w:spacing w:before="119"/>
        <w:ind w:left="448" w:right="0" w:firstLine="0"/>
        <w:jc w:val="left"/>
        <w:rPr>
          <w:rFonts w:ascii="华文楷体" w:eastAsia="华文楷体" w:hint="eastAsia"/>
          <w:sz w:val="28"/>
        </w:rPr>
      </w:pPr>
      <w:r>
        <w:rPr>
          <w:rFonts w:ascii="华文楷体" w:eastAsia="华文楷体" w:hint="eastAsia"/>
          <w:sz w:val="28"/>
        </w:rPr>
        <w:t>12</w:t>
      </w:r>
      <w:r>
        <w:rPr>
          <w:rFonts w:ascii="华文楷体" w:eastAsia="华文楷体" w:hint="eastAsia"/>
          <w:spacing w:val="-1"/>
          <w:sz w:val="28"/>
        </w:rPr>
        <w:t> </w:t>
      </w:r>
      <w:r>
        <w:rPr>
          <w:rFonts w:ascii="华文楷体" w:eastAsia="华文楷体" w:hint="eastAsia"/>
          <w:sz w:val="28"/>
        </w:rPr>
        <w:t>项国</w:t>
      </w:r>
      <w:r>
        <w:rPr>
          <w:rFonts w:ascii="华文楷体" w:eastAsia="华文楷体" w:hint="eastAsia"/>
          <w:spacing w:val="-3"/>
          <w:sz w:val="28"/>
        </w:rPr>
        <w:t>家</w:t>
      </w:r>
      <w:r>
        <w:rPr>
          <w:rFonts w:ascii="华文楷体" w:eastAsia="华文楷体" w:hint="eastAsia"/>
          <w:sz w:val="28"/>
        </w:rPr>
        <w:t>药品</w:t>
      </w:r>
      <w:r>
        <w:rPr>
          <w:rFonts w:ascii="华文楷体" w:eastAsia="华文楷体" w:hint="eastAsia"/>
          <w:spacing w:val="-3"/>
          <w:sz w:val="28"/>
        </w:rPr>
        <w:t>标准</w:t>
      </w:r>
      <w:r>
        <w:rPr>
          <w:rFonts w:ascii="华文楷体" w:eastAsia="华文楷体" w:hint="eastAsia"/>
          <w:sz w:val="28"/>
        </w:rPr>
        <w:t>拟修订</w:t>
        <w:tab/>
        <w:t>7</w:t>
      </w:r>
    </w:p>
    <w:p>
      <w:pPr>
        <w:tabs>
          <w:tab w:pos="9521" w:val="right" w:leader="dot"/>
        </w:tabs>
        <w:spacing w:before="122"/>
        <w:ind w:left="448" w:right="0" w:firstLine="0"/>
        <w:jc w:val="left"/>
        <w:rPr>
          <w:rFonts w:ascii="华文楷体" w:eastAsia="华文楷体" w:hint="eastAsia"/>
          <w:sz w:val="28"/>
        </w:rPr>
      </w:pPr>
      <w:r>
        <w:rPr>
          <w:rFonts w:ascii="华文楷体" w:eastAsia="华文楷体" w:hint="eastAsia"/>
          <w:sz w:val="28"/>
        </w:rPr>
        <w:t>八个品</w:t>
      </w:r>
      <w:r>
        <w:rPr>
          <w:rFonts w:ascii="华文楷体" w:eastAsia="华文楷体" w:hint="eastAsia"/>
          <w:spacing w:val="-3"/>
          <w:sz w:val="28"/>
        </w:rPr>
        <w:t>规</w:t>
      </w:r>
      <w:r>
        <w:rPr>
          <w:rFonts w:ascii="华文楷体" w:eastAsia="华文楷体" w:hint="eastAsia"/>
          <w:sz w:val="28"/>
        </w:rPr>
        <w:t>纳入</w:t>
      </w:r>
      <w:r>
        <w:rPr>
          <w:rFonts w:ascii="华文楷体" w:eastAsia="华文楷体" w:hint="eastAsia"/>
          <w:spacing w:val="-3"/>
          <w:sz w:val="28"/>
        </w:rPr>
        <w:t>药审</w:t>
      </w:r>
      <w:r>
        <w:rPr>
          <w:rFonts w:ascii="华文楷体" w:eastAsia="华文楷体" w:hint="eastAsia"/>
          <w:sz w:val="28"/>
        </w:rPr>
        <w:t>中心拟优先审</w:t>
      </w:r>
      <w:r>
        <w:rPr>
          <w:rFonts w:ascii="华文楷体" w:eastAsia="华文楷体" w:hint="eastAsia"/>
          <w:spacing w:val="-3"/>
          <w:sz w:val="28"/>
        </w:rPr>
        <w:t>评通</w:t>
      </w:r>
      <w:r>
        <w:rPr>
          <w:rFonts w:ascii="华文楷体" w:eastAsia="华文楷体" w:hint="eastAsia"/>
          <w:sz w:val="28"/>
        </w:rPr>
        <w:t>道</w:t>
        <w:tab/>
        <w:t>8</w:t>
      </w:r>
    </w:p>
    <w:p>
      <w:pPr>
        <w:tabs>
          <w:tab w:pos="9521" w:val="right" w:leader="dot"/>
        </w:tabs>
        <w:spacing w:before="121"/>
        <w:ind w:left="448" w:right="0" w:firstLine="0"/>
        <w:jc w:val="left"/>
        <w:rPr>
          <w:rFonts w:ascii="华文楷体" w:eastAsia="华文楷体" w:hint="eastAsia"/>
          <w:sz w:val="28"/>
        </w:rPr>
      </w:pPr>
      <w:r>
        <w:rPr>
          <w:rFonts w:ascii="华文楷体" w:eastAsia="华文楷体" w:hint="eastAsia"/>
          <w:b/>
          <w:sz w:val="28"/>
        </w:rPr>
        <w:t>【医保动态】</w:t>
        <w:tab/>
      </w:r>
      <w:r>
        <w:rPr>
          <w:rFonts w:ascii="华文楷体" w:eastAsia="华文楷体" w:hint="eastAsia"/>
          <w:sz w:val="28"/>
        </w:rPr>
        <w:t>8</w:t>
      </w:r>
    </w:p>
    <w:p>
      <w:pPr>
        <w:tabs>
          <w:tab w:pos="9521" w:val="right" w:leader="dot"/>
        </w:tabs>
        <w:spacing w:before="120"/>
        <w:ind w:left="448" w:right="0" w:firstLine="0"/>
        <w:jc w:val="left"/>
        <w:rPr>
          <w:rFonts w:ascii="华文楷体" w:eastAsia="华文楷体" w:hint="eastAsia"/>
          <w:sz w:val="28"/>
        </w:rPr>
      </w:pPr>
      <w:r>
        <w:rPr>
          <w:rFonts w:ascii="华文楷体" w:eastAsia="华文楷体" w:hint="eastAsia"/>
          <w:sz w:val="28"/>
        </w:rPr>
        <w:t>国家医</w:t>
      </w:r>
      <w:r>
        <w:rPr>
          <w:rFonts w:ascii="华文楷体" w:eastAsia="华文楷体" w:hint="eastAsia"/>
          <w:spacing w:val="-3"/>
          <w:sz w:val="28"/>
        </w:rPr>
        <w:t>保</w:t>
      </w:r>
      <w:r>
        <w:rPr>
          <w:rFonts w:ascii="华文楷体" w:eastAsia="华文楷体" w:hint="eastAsia"/>
          <w:sz w:val="28"/>
        </w:rPr>
        <w:t>局再</w:t>
      </w:r>
      <w:r>
        <w:rPr>
          <w:rFonts w:ascii="华文楷体" w:eastAsia="华文楷体" w:hint="eastAsia"/>
          <w:spacing w:val="-3"/>
          <w:sz w:val="28"/>
        </w:rPr>
        <w:t>次通</w:t>
      </w:r>
      <w:r>
        <w:rPr>
          <w:rFonts w:ascii="华文楷体" w:eastAsia="华文楷体" w:hint="eastAsia"/>
          <w:sz w:val="28"/>
        </w:rPr>
        <w:t>报 8</w:t>
      </w:r>
      <w:r>
        <w:rPr>
          <w:rFonts w:ascii="华文楷体" w:eastAsia="华文楷体" w:hint="eastAsia"/>
          <w:spacing w:val="-1"/>
          <w:sz w:val="28"/>
        </w:rPr>
        <w:t> </w:t>
      </w:r>
      <w:r>
        <w:rPr>
          <w:rFonts w:ascii="华文楷体" w:eastAsia="华文楷体" w:hint="eastAsia"/>
          <w:sz w:val="28"/>
        </w:rPr>
        <w:t>起骗</w:t>
      </w:r>
      <w:r>
        <w:rPr>
          <w:rFonts w:ascii="华文楷体" w:eastAsia="华文楷体" w:hint="eastAsia"/>
          <w:spacing w:val="-3"/>
          <w:sz w:val="28"/>
        </w:rPr>
        <w:t>保</w:t>
      </w:r>
      <w:r>
        <w:rPr>
          <w:rFonts w:ascii="华文楷体" w:eastAsia="华文楷体" w:hint="eastAsia"/>
          <w:sz w:val="28"/>
        </w:rPr>
        <w:t>案</w:t>
        <w:tab/>
        <w:t>8</w:t>
      </w:r>
    </w:p>
    <w:p>
      <w:pPr>
        <w:spacing w:after="0"/>
        <w:jc w:val="left"/>
        <w:rPr>
          <w:rFonts w:ascii="华文楷体" w:eastAsia="华文楷体" w:hint="eastAsia"/>
          <w:sz w:val="28"/>
        </w:rPr>
        <w:sectPr>
          <w:footerReference w:type="default" r:id="rId5"/>
          <w:type w:val="continuous"/>
          <w:pgSz w:w="11910" w:h="16850"/>
          <w:pgMar w:footer="825" w:top="1100" w:bottom="1020" w:left="1040" w:right="0"/>
          <w:pgNumType w:start="1"/>
        </w:sectPr>
      </w:pPr>
    </w:p>
    <w:sdt>
      <w:sdtPr>
        <w:docPartObj>
          <w:docPartGallery w:val="Table of Contents"/>
          <w:docPartUnique/>
        </w:docPartObj>
      </w:sdtPr>
      <w:sdtEndPr/>
      <w:sdtContent>
        <w:p>
          <w:pPr>
            <w:pStyle w:val="TOC1"/>
            <w:spacing w:line="240" w:lineRule="auto" w:before="194"/>
          </w:pPr>
          <w:hyperlink w:history="true" w:anchor="_TOC_250042">
            <w:r>
              <w:rPr>
                <w:color w:val="1A5220"/>
              </w:rPr>
              <w:t>行业资讯</w:t>
            </w:r>
          </w:hyperlink>
        </w:p>
        <w:p>
          <w:pPr>
            <w:pStyle w:val="TOC2"/>
            <w:tabs>
              <w:tab w:pos="9389" w:val="left" w:leader="dot"/>
            </w:tabs>
            <w:rPr>
              <w:b w:val="0"/>
            </w:rPr>
          </w:pPr>
          <w:hyperlink w:history="true" w:anchor="_TOC_250041">
            <w:r>
              <w:rPr/>
              <w:t>【热点聚焦】</w:t>
              <w:tab/>
            </w:r>
            <w:r>
              <w:rPr>
                <w:b w:val="0"/>
              </w:rPr>
              <w:t>8</w:t>
            </w:r>
          </w:hyperlink>
        </w:p>
        <w:p>
          <w:pPr>
            <w:pStyle w:val="TOC3"/>
            <w:tabs>
              <w:tab w:pos="9389" w:val="left" w:leader="dot"/>
            </w:tabs>
            <w:spacing w:before="121"/>
          </w:pPr>
          <w:hyperlink w:history="true" w:anchor="_TOC_250040">
            <w:r>
              <w:rPr/>
              <w:t>全球药</w:t>
            </w:r>
            <w:r>
              <w:rPr>
                <w:spacing w:val="-3"/>
              </w:rPr>
              <w:t>物</w:t>
            </w:r>
            <w:r>
              <w:rPr/>
              <w:t>研发</w:t>
            </w:r>
            <w:r>
              <w:rPr>
                <w:spacing w:val="-3"/>
              </w:rPr>
              <w:t>领域</w:t>
            </w:r>
            <w:r>
              <w:rPr/>
              <w:t>的七大</w:t>
            </w:r>
            <w:r>
              <w:rPr>
                <w:spacing w:val="-3"/>
              </w:rPr>
              <w:t>新</w:t>
            </w:r>
            <w:r>
              <w:rPr/>
              <w:t>潮</w:t>
              <w:tab/>
              <w:t>8</w:t>
            </w:r>
          </w:hyperlink>
        </w:p>
        <w:p>
          <w:pPr>
            <w:pStyle w:val="TOC3"/>
            <w:tabs>
              <w:tab w:pos="9260" w:val="left" w:leader="dot"/>
            </w:tabs>
          </w:pPr>
          <w:hyperlink w:history="true" w:anchor="_TOC_250039">
            <w:r>
              <w:rPr/>
              <w:t>国家医</w:t>
            </w:r>
            <w:r>
              <w:rPr>
                <w:spacing w:val="-3"/>
              </w:rPr>
              <w:t>保</w:t>
            </w:r>
            <w:r>
              <w:rPr/>
              <w:t>“腾</w:t>
            </w:r>
            <w:r>
              <w:rPr>
                <w:spacing w:val="-3"/>
              </w:rPr>
              <w:t>笼换</w:t>
            </w:r>
            <w:r>
              <w:rPr/>
              <w:t>鸟”与</w:t>
            </w:r>
            <w:r>
              <w:rPr>
                <w:spacing w:val="-3"/>
              </w:rPr>
              <w:t>仿</w:t>
            </w:r>
            <w:r>
              <w:rPr/>
              <w:t>制药</w:t>
            </w:r>
            <w:r>
              <w:rPr>
                <w:spacing w:val="-3"/>
              </w:rPr>
              <w:t>企业</w:t>
            </w:r>
            <w:r>
              <w:rPr/>
              <w:t>技术升</w:t>
            </w:r>
            <w:r>
              <w:rPr>
                <w:spacing w:val="-3"/>
              </w:rPr>
              <w:t>级</w:t>
            </w:r>
            <w:r>
              <w:rPr/>
              <w:t>三阶梯</w:t>
              <w:tab/>
              <w:t>10</w:t>
            </w:r>
          </w:hyperlink>
        </w:p>
        <w:p>
          <w:pPr>
            <w:pStyle w:val="TOC4"/>
            <w:tabs>
              <w:tab w:pos="9260" w:val="left" w:leader="dot"/>
            </w:tabs>
            <w:rPr>
              <w:b w:val="0"/>
              <w:i w:val="0"/>
              <w:sz w:val="28"/>
            </w:rPr>
          </w:pPr>
          <w:hyperlink w:history="true" w:anchor="_TOC_250038">
            <w:r>
              <w:rPr>
                <w:i w:val="0"/>
                <w:sz w:val="28"/>
              </w:rPr>
              <w:t>【医院管理】</w:t>
              <w:tab/>
            </w:r>
            <w:r>
              <w:rPr>
                <w:b w:val="0"/>
                <w:i w:val="0"/>
                <w:sz w:val="28"/>
              </w:rPr>
              <w:t>13</w:t>
            </w:r>
          </w:hyperlink>
        </w:p>
        <w:p>
          <w:pPr>
            <w:pStyle w:val="TOC3"/>
            <w:tabs>
              <w:tab w:pos="9260" w:val="left" w:leader="dot"/>
            </w:tabs>
            <w:spacing w:line="457" w:lineRule="exact"/>
          </w:pPr>
          <w:hyperlink w:history="true" w:anchor="_TOC_250037">
            <w:r>
              <w:rPr/>
              <w:t>医疗机</w:t>
            </w:r>
            <w:r>
              <w:rPr>
                <w:spacing w:val="-3"/>
              </w:rPr>
              <w:t>构</w:t>
            </w:r>
            <w:r>
              <w:rPr/>
              <w:t>投诉</w:t>
            </w:r>
            <w:r>
              <w:rPr>
                <w:spacing w:val="-3"/>
              </w:rPr>
              <w:t>实行</w:t>
            </w:r>
            <w:r>
              <w:rPr/>
              <w:t>“首诉</w:t>
            </w:r>
            <w:r>
              <w:rPr>
                <w:spacing w:val="-3"/>
              </w:rPr>
              <w:t>负</w:t>
            </w:r>
            <w:r>
              <w:rPr/>
              <w:t>责制”</w:t>
              <w:tab/>
              <w:t>13</w:t>
            </w:r>
          </w:hyperlink>
        </w:p>
        <w:p>
          <w:pPr>
            <w:pStyle w:val="TOC1"/>
            <w:spacing w:line="562" w:lineRule="exact"/>
          </w:pPr>
          <w:hyperlink w:history="true" w:anchor="_TOC_250036">
            <w:r>
              <w:rPr>
                <w:color w:val="1A5220"/>
              </w:rPr>
              <w:t>医药前沿</w:t>
            </w:r>
          </w:hyperlink>
        </w:p>
        <w:p>
          <w:pPr>
            <w:pStyle w:val="TOC4"/>
            <w:tabs>
              <w:tab w:pos="9260" w:val="left" w:leader="dot"/>
            </w:tabs>
            <w:spacing w:before="141"/>
            <w:rPr>
              <w:b w:val="0"/>
              <w:i w:val="0"/>
              <w:sz w:val="28"/>
            </w:rPr>
          </w:pPr>
          <w:r>
            <w:rPr>
              <w:i w:val="0"/>
              <w:sz w:val="28"/>
            </w:rPr>
            <w:t>【前沿速览】</w:t>
            <w:tab/>
          </w:r>
          <w:r>
            <w:rPr>
              <w:b w:val="0"/>
              <w:i w:val="0"/>
              <w:sz w:val="28"/>
            </w:rPr>
            <w:t>14</w:t>
          </w:r>
        </w:p>
        <w:p>
          <w:pPr>
            <w:pStyle w:val="TOC3"/>
            <w:tabs>
              <w:tab w:pos="9260" w:val="left" w:leader="dot"/>
            </w:tabs>
            <w:spacing w:before="121"/>
          </w:pPr>
          <w:hyperlink w:history="true" w:anchor="_TOC_250035">
            <w:r>
              <w:rPr/>
              <w:t>部分实</w:t>
            </w:r>
            <w:r>
              <w:rPr>
                <w:spacing w:val="-3"/>
              </w:rPr>
              <w:t>体</w:t>
            </w:r>
            <w:r>
              <w:rPr/>
              <w:t>瘤尝</w:t>
            </w:r>
            <w:r>
              <w:rPr>
                <w:spacing w:val="-3"/>
              </w:rPr>
              <w:t>试免</w:t>
            </w:r>
            <w:r>
              <w:rPr/>
              <w:t>疫疗法</w:t>
            </w:r>
            <w:r>
              <w:rPr>
                <w:spacing w:val="-3"/>
              </w:rPr>
              <w:t>初</w:t>
            </w:r>
            <w:r>
              <w:rPr/>
              <w:t>显成效</w:t>
              <w:tab/>
              <w:t>14</w:t>
            </w:r>
          </w:hyperlink>
        </w:p>
        <w:p>
          <w:pPr>
            <w:pStyle w:val="TOC3"/>
            <w:tabs>
              <w:tab w:pos="9260" w:val="left" w:leader="dot"/>
            </w:tabs>
          </w:pPr>
          <w:hyperlink w:history="true" w:anchor="_TOC_250034">
            <w:r>
              <w:rPr/>
              <w:t>发光肿瘤 </w:t>
            </w:r>
            <w:r>
              <w:rPr>
                <w:spacing w:val="3"/>
              </w:rPr>
              <w:t> </w:t>
            </w:r>
            <w:r>
              <w:rPr>
                <w:spacing w:val="-3"/>
              </w:rPr>
              <w:t>标</w:t>
            </w:r>
            <w:r>
              <w:rPr/>
              <w:t>记抗</w:t>
            </w:r>
            <w:r>
              <w:rPr>
                <w:spacing w:val="-3"/>
              </w:rPr>
              <w:t>癌</w:t>
            </w:r>
            <w:r>
              <w:rPr/>
              <w:t>药物的</w:t>
            </w:r>
            <w:r>
              <w:rPr>
                <w:spacing w:val="-3"/>
              </w:rPr>
              <w:t>起</w:t>
            </w:r>
            <w:r>
              <w:rPr/>
              <w:t>效位置</w:t>
              <w:tab/>
              <w:t>14</w:t>
            </w:r>
          </w:hyperlink>
        </w:p>
        <w:p>
          <w:pPr>
            <w:pStyle w:val="TOC4"/>
            <w:tabs>
              <w:tab w:pos="9260" w:val="left" w:leader="dot"/>
            </w:tabs>
            <w:rPr>
              <w:b w:val="0"/>
              <w:i w:val="0"/>
              <w:sz w:val="28"/>
            </w:rPr>
          </w:pPr>
          <w:hyperlink w:history="true" w:anchor="_TOC_250033">
            <w:r>
              <w:rPr>
                <w:i w:val="0"/>
                <w:sz w:val="28"/>
              </w:rPr>
              <w:t>【研究进展】</w:t>
              <w:tab/>
            </w:r>
            <w:r>
              <w:rPr>
                <w:b w:val="0"/>
                <w:i w:val="0"/>
                <w:sz w:val="28"/>
              </w:rPr>
              <w:t>15</w:t>
            </w:r>
          </w:hyperlink>
        </w:p>
        <w:p>
          <w:pPr>
            <w:pStyle w:val="TOC3"/>
            <w:tabs>
              <w:tab w:pos="9260" w:val="left" w:leader="dot"/>
            </w:tabs>
          </w:pPr>
          <w:hyperlink w:history="true" w:anchor="_TOC_250032">
            <w:r>
              <w:rPr/>
              <w:t>糖尿病</w:t>
            </w:r>
            <w:r>
              <w:rPr>
                <w:spacing w:val="-3"/>
              </w:rPr>
              <w:t>治</w:t>
            </w:r>
            <w:r>
              <w:rPr/>
              <w:t>疗性</w:t>
            </w:r>
            <w:r>
              <w:rPr>
                <w:spacing w:val="-3"/>
              </w:rPr>
              <w:t>基因</w:t>
            </w:r>
            <w:r>
              <w:rPr/>
              <w:t>疫苗获</w:t>
            </w:r>
            <w:r>
              <w:rPr>
                <w:spacing w:val="-3"/>
              </w:rPr>
              <w:t>授</w:t>
            </w:r>
            <w:r>
              <w:rPr/>
              <w:t>权</w:t>
              <w:tab/>
              <w:t>15</w:t>
            </w:r>
          </w:hyperlink>
        </w:p>
        <w:p>
          <w:pPr>
            <w:pStyle w:val="TOC3"/>
            <w:tabs>
              <w:tab w:pos="9260" w:val="left" w:leader="dot"/>
            </w:tabs>
          </w:pPr>
          <w:hyperlink w:history="true" w:anchor="_TOC_250031">
            <w:r>
              <w:rPr/>
              <w:t>DNA 聚合酶</w:t>
            </w:r>
            <w:r>
              <w:rPr>
                <w:spacing w:val="-3"/>
              </w:rPr>
              <w:t>参</w:t>
            </w:r>
            <w:r>
              <w:rPr/>
              <w:t>与</w:t>
            </w:r>
            <w:r>
              <w:rPr>
                <w:spacing w:val="-3"/>
              </w:rPr>
              <w:t>细</w:t>
            </w:r>
            <w:r>
              <w:rPr/>
              <w:t>胞衰老</w:t>
            </w:r>
            <w:r>
              <w:rPr>
                <w:spacing w:val="-3"/>
              </w:rPr>
              <w:t>过</w:t>
            </w:r>
            <w:r>
              <w:rPr/>
              <w:t>程</w:t>
              <w:tab/>
              <w:t>16</w:t>
            </w:r>
          </w:hyperlink>
        </w:p>
        <w:p>
          <w:pPr>
            <w:pStyle w:val="TOC3"/>
            <w:tabs>
              <w:tab w:pos="9260" w:val="left" w:leader="dot"/>
            </w:tabs>
            <w:spacing w:before="119"/>
          </w:pPr>
          <w:hyperlink w:history="true" w:anchor="_TOC_250030">
            <w:r>
              <w:rPr/>
              <w:t>解析中</w:t>
            </w:r>
            <w:r>
              <w:rPr>
                <w:spacing w:val="-3"/>
              </w:rPr>
              <w:t>药</w:t>
            </w:r>
            <w:r>
              <w:rPr/>
              <w:t>协同</w:t>
            </w:r>
            <w:r>
              <w:rPr>
                <w:spacing w:val="-3"/>
              </w:rPr>
              <w:t>干预</w:t>
            </w:r>
            <w:r>
              <w:rPr/>
              <w:t>机制有</w:t>
            </w:r>
            <w:r>
              <w:rPr>
                <w:spacing w:val="-3"/>
              </w:rPr>
              <w:t>了</w:t>
            </w:r>
            <w:r>
              <w:rPr/>
              <w:t>新方法</w:t>
              <w:tab/>
              <w:t>16</w:t>
            </w:r>
          </w:hyperlink>
        </w:p>
        <w:p>
          <w:pPr>
            <w:pStyle w:val="TOC3"/>
            <w:tabs>
              <w:tab w:pos="9260" w:val="left" w:leader="dot"/>
            </w:tabs>
          </w:pPr>
          <w:hyperlink w:history="true" w:anchor="_TOC_250029">
            <w:r>
              <w:rPr/>
              <w:t>一种哮</w:t>
            </w:r>
            <w:r>
              <w:rPr>
                <w:spacing w:val="-3"/>
              </w:rPr>
              <w:t>喘</w:t>
            </w:r>
            <w:r>
              <w:rPr/>
              <w:t>药或</w:t>
            </w:r>
            <w:r>
              <w:rPr>
                <w:spacing w:val="-3"/>
              </w:rPr>
              <w:t>可治</w:t>
            </w:r>
            <w:r>
              <w:rPr/>
              <w:t>疗渐冻</w:t>
            </w:r>
            <w:r>
              <w:rPr>
                <w:spacing w:val="-3"/>
              </w:rPr>
              <w:t>人</w:t>
            </w:r>
            <w:r>
              <w:rPr/>
              <w:t>症</w:t>
              <w:tab/>
              <w:t>17</w:t>
            </w:r>
          </w:hyperlink>
        </w:p>
        <w:p>
          <w:pPr>
            <w:pStyle w:val="TOC4"/>
            <w:tabs>
              <w:tab w:pos="9260" w:val="left" w:leader="dot"/>
            </w:tabs>
            <w:spacing w:before="121"/>
            <w:rPr>
              <w:b w:val="0"/>
              <w:i w:val="0"/>
              <w:sz w:val="28"/>
            </w:rPr>
          </w:pPr>
          <w:hyperlink w:history="true" w:anchor="_TOC_250028">
            <w:r>
              <w:rPr>
                <w:i w:val="0"/>
                <w:sz w:val="28"/>
              </w:rPr>
              <w:t>【新药看台】</w:t>
              <w:tab/>
            </w:r>
            <w:r>
              <w:rPr>
                <w:b w:val="0"/>
                <w:i w:val="0"/>
                <w:sz w:val="28"/>
              </w:rPr>
              <w:t>18</w:t>
            </w:r>
          </w:hyperlink>
        </w:p>
        <w:p>
          <w:pPr>
            <w:pStyle w:val="TOC3"/>
            <w:tabs>
              <w:tab w:pos="9260" w:val="left" w:leader="dot"/>
            </w:tabs>
            <w:spacing w:line="457" w:lineRule="exact" w:before="120"/>
          </w:pPr>
          <w:hyperlink w:history="true" w:anchor="_TOC_250027">
            <w:r>
              <w:rPr/>
              <w:t>美药管</w:t>
            </w:r>
            <w:r>
              <w:rPr>
                <w:spacing w:val="-3"/>
              </w:rPr>
              <w:t>局</w:t>
            </w:r>
            <w:r>
              <w:rPr/>
              <w:t>批准</w:t>
            </w:r>
            <w:r>
              <w:rPr>
                <w:spacing w:val="-3"/>
              </w:rPr>
              <w:t>抗艾</w:t>
            </w:r>
            <w:r>
              <w:rPr/>
              <w:t>滋病新</w:t>
            </w:r>
            <w:r>
              <w:rPr>
                <w:spacing w:val="-3"/>
              </w:rPr>
              <w:t>药</w:t>
            </w:r>
            <w:r>
              <w:rPr/>
              <w:t>上市</w:t>
              <w:tab/>
              <w:t>18</w:t>
            </w:r>
          </w:hyperlink>
        </w:p>
        <w:p>
          <w:pPr>
            <w:pStyle w:val="TOC1"/>
          </w:pPr>
          <w:hyperlink w:history="true" w:anchor="_TOC_250026">
            <w:r>
              <w:rPr>
                <w:color w:val="1A5220"/>
              </w:rPr>
              <w:t>合理用药</w:t>
            </w:r>
          </w:hyperlink>
        </w:p>
        <w:p>
          <w:pPr>
            <w:pStyle w:val="TOC4"/>
            <w:tabs>
              <w:tab w:pos="9260" w:val="left" w:leader="dot"/>
            </w:tabs>
            <w:spacing w:before="143"/>
            <w:rPr>
              <w:b w:val="0"/>
              <w:i w:val="0"/>
              <w:sz w:val="28"/>
            </w:rPr>
          </w:pPr>
          <w:hyperlink w:history="true" w:anchor="_TOC_250025">
            <w:r>
              <w:rPr>
                <w:i w:val="0"/>
                <w:sz w:val="28"/>
              </w:rPr>
              <w:t>【临床药师】</w:t>
              <w:tab/>
            </w:r>
            <w:r>
              <w:rPr>
                <w:b w:val="0"/>
                <w:i w:val="0"/>
                <w:sz w:val="28"/>
              </w:rPr>
              <w:t>18</w:t>
            </w:r>
          </w:hyperlink>
        </w:p>
        <w:p>
          <w:pPr>
            <w:pStyle w:val="TOC3"/>
            <w:tabs>
              <w:tab w:pos="9260" w:val="left" w:leader="dot"/>
            </w:tabs>
            <w:spacing w:before="120"/>
          </w:pPr>
          <w:hyperlink w:history="true" w:anchor="_TOC_250024">
            <w:r>
              <w:rPr/>
              <w:t>钙通道</w:t>
            </w:r>
            <w:r>
              <w:rPr>
                <w:spacing w:val="-3"/>
              </w:rPr>
              <w:t>阻</w:t>
            </w:r>
            <w:r>
              <w:rPr/>
              <w:t>滞剂</w:t>
            </w:r>
            <w:r>
              <w:rPr>
                <w:spacing w:val="-3"/>
              </w:rPr>
              <w:t>在非</w:t>
            </w:r>
            <w:r>
              <w:rPr/>
              <w:t>惊厥/癫痫</w:t>
            </w:r>
            <w:r>
              <w:rPr>
                <w:spacing w:val="-3"/>
              </w:rPr>
              <w:t>治</w:t>
            </w:r>
            <w:r>
              <w:rPr/>
              <w:t>疗中</w:t>
            </w:r>
            <w:r>
              <w:rPr>
                <w:spacing w:val="-3"/>
              </w:rPr>
              <w:t>，</w:t>
            </w:r>
            <w:r>
              <w:rPr/>
              <w:t>怎样使</w:t>
            </w:r>
            <w:r>
              <w:rPr>
                <w:spacing w:val="-3"/>
              </w:rPr>
              <w:t>用</w:t>
            </w:r>
            <w:r>
              <w:rPr/>
              <w:t>？</w:t>
              <w:tab/>
              <w:t>18</w:t>
            </w:r>
          </w:hyperlink>
        </w:p>
        <w:p>
          <w:pPr>
            <w:pStyle w:val="TOC3"/>
            <w:tabs>
              <w:tab w:pos="9260" w:val="left" w:leader="dot"/>
            </w:tabs>
            <w:spacing w:before="121"/>
          </w:pPr>
          <w:hyperlink w:history="true" w:anchor="_TOC_250023">
            <w:r>
              <w:rPr/>
              <w:t>载万古</w:t>
            </w:r>
            <w:r>
              <w:rPr>
                <w:spacing w:val="-3"/>
              </w:rPr>
              <w:t>霉</w:t>
            </w:r>
            <w:r>
              <w:rPr/>
              <w:t>素骨</w:t>
            </w:r>
            <w:r>
              <w:rPr>
                <w:spacing w:val="-3"/>
              </w:rPr>
              <w:t>水泥</w:t>
            </w:r>
            <w:r>
              <w:rPr/>
              <w:t>的人体</w:t>
            </w:r>
            <w:r>
              <w:rPr>
                <w:spacing w:val="-3"/>
              </w:rPr>
              <w:t>局</w:t>
            </w:r>
            <w:r>
              <w:rPr/>
              <w:t>部释</w:t>
            </w:r>
            <w:r>
              <w:rPr>
                <w:spacing w:val="-3"/>
              </w:rPr>
              <w:t>放及</w:t>
            </w:r>
            <w:r>
              <w:rPr/>
              <w:t>全身药</w:t>
            </w:r>
            <w:r>
              <w:rPr>
                <w:spacing w:val="-3"/>
              </w:rPr>
              <w:t>物</w:t>
            </w:r>
            <w:r>
              <w:rPr/>
              <w:t>浓度</w:t>
            </w:r>
            <w:r>
              <w:rPr>
                <w:spacing w:val="-3"/>
              </w:rPr>
              <w:t>监</w:t>
            </w:r>
            <w:r>
              <w:rPr/>
              <w:t>测</w:t>
              <w:tab/>
              <w:t>20</w:t>
            </w:r>
          </w:hyperlink>
        </w:p>
        <w:p>
          <w:pPr>
            <w:pStyle w:val="TOC4"/>
            <w:tabs>
              <w:tab w:pos="9260" w:val="left" w:leader="dot"/>
            </w:tabs>
            <w:spacing w:before="122"/>
            <w:rPr>
              <w:b w:val="0"/>
              <w:i w:val="0"/>
              <w:sz w:val="28"/>
            </w:rPr>
          </w:pPr>
          <w:hyperlink w:history="true" w:anchor="_TOC_250022">
            <w:r>
              <w:rPr>
                <w:i w:val="0"/>
                <w:sz w:val="28"/>
              </w:rPr>
              <w:t>【指南解读】</w:t>
              <w:tab/>
            </w:r>
            <w:r>
              <w:rPr>
                <w:b w:val="0"/>
                <w:i w:val="0"/>
                <w:sz w:val="28"/>
              </w:rPr>
              <w:t>23</w:t>
            </w:r>
          </w:hyperlink>
        </w:p>
        <w:p>
          <w:pPr>
            <w:pStyle w:val="TOC3"/>
            <w:tabs>
              <w:tab w:pos="9260" w:val="left" w:leader="dot"/>
            </w:tabs>
            <w:spacing w:before="119"/>
          </w:pPr>
          <w:hyperlink w:history="true" w:anchor="_TOC_250021">
            <w:r>
              <w:rPr/>
              <w:t>乳腺癌</w:t>
            </w:r>
            <w:r>
              <w:rPr>
                <w:spacing w:val="-3"/>
              </w:rPr>
              <w:t>诊</w:t>
            </w:r>
            <w:r>
              <w:rPr/>
              <w:t>疗指</w:t>
            </w:r>
            <w:r>
              <w:rPr>
                <w:spacing w:val="-3"/>
              </w:rPr>
              <w:t>南更</w:t>
            </w:r>
            <w:r>
              <w:rPr/>
              <w:t>新</w:t>
              <w:tab/>
              <w:t>23</w:t>
            </w:r>
          </w:hyperlink>
        </w:p>
        <w:p>
          <w:pPr>
            <w:pStyle w:val="TOC4"/>
            <w:tabs>
              <w:tab w:pos="9260" w:val="left" w:leader="dot"/>
            </w:tabs>
            <w:spacing w:before="122"/>
            <w:rPr>
              <w:b w:val="0"/>
              <w:i w:val="0"/>
              <w:sz w:val="28"/>
            </w:rPr>
          </w:pPr>
          <w:hyperlink w:history="true" w:anchor="_TOC_250020">
            <w:r>
              <w:rPr>
                <w:i w:val="0"/>
                <w:sz w:val="28"/>
              </w:rPr>
              <w:t>【专家观点】</w:t>
              <w:tab/>
            </w:r>
            <w:r>
              <w:rPr>
                <w:b w:val="0"/>
                <w:i w:val="0"/>
                <w:sz w:val="28"/>
              </w:rPr>
              <w:t>24</w:t>
            </w:r>
          </w:hyperlink>
        </w:p>
        <w:p>
          <w:pPr>
            <w:pStyle w:val="TOC3"/>
            <w:tabs>
              <w:tab w:pos="9260" w:val="left" w:leader="dot"/>
            </w:tabs>
            <w:spacing w:after="20"/>
          </w:pPr>
          <w:hyperlink w:history="true" w:anchor="_TOC_250019">
            <w:r>
              <w:rPr/>
              <w:t>“药”</w:t>
            </w:r>
            <w:r>
              <w:rPr>
                <w:spacing w:val="-3"/>
              </w:rPr>
              <w:t>无</w:t>
            </w:r>
            <w:r>
              <w:rPr/>
              <w:t>伤害</w:t>
            </w:r>
            <w:r>
              <w:rPr>
                <w:spacing w:val="-3"/>
              </w:rPr>
              <w:t>须多</w:t>
            </w:r>
            <w:r>
              <w:rPr/>
              <w:t>管齐下</w:t>
              <w:tab/>
              <w:t>24</w:t>
            </w:r>
          </w:hyperlink>
        </w:p>
        <w:p>
          <w:pPr>
            <w:pStyle w:val="TOC3"/>
            <w:tabs>
              <w:tab w:pos="9524" w:val="right" w:leader="dot"/>
            </w:tabs>
            <w:spacing w:before="320"/>
          </w:pPr>
          <w:hyperlink w:history="true" w:anchor="_TOC_250018">
            <w:r>
              <w:rPr/>
              <w:t>芬太尼</w:t>
            </w:r>
            <w:r>
              <w:rPr>
                <w:spacing w:val="-3"/>
              </w:rPr>
              <w:t>离</w:t>
            </w:r>
            <w:r>
              <w:rPr/>
              <w:t>毒品</w:t>
            </w:r>
            <w:r>
              <w:rPr>
                <w:spacing w:val="-3"/>
              </w:rPr>
              <w:t>究竟</w:t>
            </w:r>
            <w:r>
              <w:rPr/>
              <w:t>有多远</w:t>
              <w:tab/>
              <w:t>24</w:t>
            </w:r>
          </w:hyperlink>
        </w:p>
        <w:p>
          <w:pPr>
            <w:pStyle w:val="TOC4"/>
            <w:tabs>
              <w:tab w:pos="9524" w:val="right" w:leader="dot"/>
            </w:tabs>
            <w:rPr>
              <w:b w:val="0"/>
              <w:i w:val="0"/>
              <w:sz w:val="28"/>
            </w:rPr>
          </w:pPr>
          <w:hyperlink w:history="true" w:anchor="_TOC_250017">
            <w:r>
              <w:rPr>
                <w:i w:val="0"/>
                <w:sz w:val="28"/>
              </w:rPr>
              <w:t>【药物警戒】</w:t>
              <w:tab/>
            </w:r>
            <w:r>
              <w:rPr>
                <w:b w:val="0"/>
                <w:i w:val="0"/>
                <w:sz w:val="28"/>
              </w:rPr>
              <w:t>26</w:t>
            </w:r>
          </w:hyperlink>
        </w:p>
        <w:p>
          <w:pPr>
            <w:pStyle w:val="TOC3"/>
            <w:tabs>
              <w:tab w:pos="9524" w:val="right" w:leader="dot"/>
            </w:tabs>
          </w:pPr>
          <w:hyperlink w:history="true" w:anchor="_TOC_250016">
            <w:r>
              <w:rPr/>
              <w:t>德药管</w:t>
            </w:r>
            <w:r>
              <w:rPr>
                <w:spacing w:val="-3"/>
              </w:rPr>
              <w:t>机</w:t>
            </w:r>
            <w:r>
              <w:rPr/>
              <w:t>构警</w:t>
            </w:r>
            <w:r>
              <w:rPr>
                <w:spacing w:val="-3"/>
              </w:rPr>
              <w:t>告：</w:t>
            </w:r>
            <w:r>
              <w:rPr/>
              <w:t>慎用诺</w:t>
            </w:r>
            <w:r>
              <w:rPr>
                <w:spacing w:val="-3"/>
              </w:rPr>
              <w:t>氟</w:t>
            </w:r>
            <w:r>
              <w:rPr/>
              <w:t>沙星</w:t>
            </w:r>
            <w:r>
              <w:rPr>
                <w:spacing w:val="-3"/>
              </w:rPr>
              <w:t>等药</w:t>
            </w:r>
            <w:r>
              <w:rPr/>
              <w:t>物</w:t>
              <w:tab/>
              <w:t>26</w:t>
            </w:r>
          </w:hyperlink>
        </w:p>
        <w:p>
          <w:pPr>
            <w:pStyle w:val="TOC4"/>
            <w:tabs>
              <w:tab w:pos="9524" w:val="right" w:leader="dot"/>
            </w:tabs>
            <w:spacing w:before="121"/>
            <w:rPr>
              <w:b w:val="0"/>
              <w:i w:val="0"/>
              <w:sz w:val="28"/>
            </w:rPr>
          </w:pPr>
          <w:hyperlink w:history="true" w:anchor="_TOC_250015">
            <w:r>
              <w:rPr>
                <w:i w:val="0"/>
                <w:sz w:val="28"/>
              </w:rPr>
              <w:t>【中医中药】</w:t>
              <w:tab/>
            </w:r>
            <w:r>
              <w:rPr>
                <w:b w:val="0"/>
                <w:i w:val="0"/>
                <w:sz w:val="28"/>
              </w:rPr>
              <w:t>27</w:t>
            </w:r>
          </w:hyperlink>
        </w:p>
        <w:p>
          <w:pPr>
            <w:pStyle w:val="TOC3"/>
            <w:tabs>
              <w:tab w:pos="9524" w:val="right" w:leader="dot"/>
            </w:tabs>
            <w:spacing w:before="120"/>
          </w:pPr>
          <w:hyperlink w:history="true" w:anchor="_TOC_250014">
            <w:r>
              <w:rPr/>
              <w:t>牛黄解</w:t>
            </w:r>
            <w:r>
              <w:rPr>
                <w:spacing w:val="-3"/>
              </w:rPr>
              <w:t>毒</w:t>
            </w:r>
            <w:r>
              <w:rPr/>
              <w:t>片</w:t>
            </w:r>
            <w:r>
              <w:rPr>
                <w:spacing w:val="69"/>
              </w:rPr>
              <w:t> </w:t>
            </w:r>
            <w:r>
              <w:rPr/>
              <w:t>不可</w:t>
            </w:r>
            <w:r>
              <w:rPr>
                <w:spacing w:val="-3"/>
              </w:rPr>
              <w:t>随</w:t>
            </w:r>
            <w:r>
              <w:rPr/>
              <w:t>便吃</w:t>
              <w:tab/>
              <w:t>27</w:t>
            </w:r>
          </w:hyperlink>
        </w:p>
        <w:p>
          <w:pPr>
            <w:pStyle w:val="TOC4"/>
            <w:tabs>
              <w:tab w:pos="9524" w:val="right" w:leader="dot"/>
            </w:tabs>
            <w:spacing w:before="121"/>
            <w:rPr>
              <w:b w:val="0"/>
              <w:i w:val="0"/>
              <w:sz w:val="28"/>
            </w:rPr>
          </w:pPr>
          <w:hyperlink w:history="true" w:anchor="_TOC_250013">
            <w:r>
              <w:rPr>
                <w:i w:val="0"/>
                <w:sz w:val="28"/>
              </w:rPr>
              <w:t>【科普知识】</w:t>
              <w:tab/>
            </w:r>
            <w:r>
              <w:rPr>
                <w:b w:val="0"/>
                <w:i w:val="0"/>
                <w:sz w:val="28"/>
              </w:rPr>
              <w:t>28</w:t>
            </w:r>
          </w:hyperlink>
        </w:p>
        <w:p>
          <w:pPr>
            <w:pStyle w:val="TOC3"/>
            <w:tabs>
              <w:tab w:pos="9524" w:val="right" w:leader="dot"/>
            </w:tabs>
            <w:spacing w:line="456" w:lineRule="exact" w:before="123"/>
          </w:pPr>
          <w:hyperlink w:history="true" w:anchor="_TOC_250012">
            <w:r>
              <w:rPr>
                <w:w w:val="100"/>
              </w:rPr>
              <w:t>被美国</w:t>
            </w:r>
            <w:r>
              <w:rPr>
                <w:spacing w:val="-3"/>
                <w:w w:val="100"/>
              </w:rPr>
              <w:t>列</w:t>
            </w:r>
            <w:r>
              <w:rPr>
                <w:w w:val="100"/>
              </w:rPr>
              <w:t>为“</w:t>
            </w:r>
            <w:r>
              <w:rPr>
                <w:spacing w:val="-3"/>
                <w:w w:val="100"/>
              </w:rPr>
              <w:t>紧急</w:t>
            </w:r>
            <w:r>
              <w:rPr>
                <w:w w:val="100"/>
              </w:rPr>
              <w:t>威胁</w:t>
            </w:r>
            <w:r>
              <w:rPr>
                <w:spacing w:val="-142"/>
                <w:w w:val="100"/>
              </w:rPr>
              <w:t>”</w:t>
            </w:r>
            <w:r>
              <w:rPr>
                <w:w w:val="100"/>
              </w:rPr>
              <w:t>！超</w:t>
            </w:r>
            <w:r>
              <w:rPr>
                <w:spacing w:val="-3"/>
                <w:w w:val="100"/>
              </w:rPr>
              <w:t>级</w:t>
            </w:r>
            <w:r>
              <w:rPr>
                <w:w w:val="100"/>
              </w:rPr>
              <w:t>真菌</w:t>
            </w:r>
            <w:r>
              <w:rPr>
                <w:spacing w:val="-3"/>
                <w:w w:val="100"/>
              </w:rPr>
              <w:t>来</w:t>
            </w:r>
            <w:r>
              <w:rPr>
                <w:w w:val="100"/>
              </w:rPr>
              <w:t>袭？生</w:t>
            </w:r>
            <w:r>
              <w:rPr>
                <w:spacing w:val="-3"/>
                <w:w w:val="100"/>
              </w:rPr>
              <w:t>化</w:t>
            </w:r>
            <w:r>
              <w:rPr>
                <w:w w:val="100"/>
              </w:rPr>
              <w:t>危机</w:t>
            </w:r>
            <w:r>
              <w:rPr>
                <w:spacing w:val="-3"/>
                <w:w w:val="100"/>
              </w:rPr>
              <w:t>上演</w:t>
            </w:r>
            <w:r>
              <w:rPr>
                <w:w w:val="100"/>
              </w:rPr>
              <w:t>？未必！</w:t>
            </w:r>
            <w:r>
              <w:rPr>
                <w:rFonts w:ascii="Times New Roman" w:hAnsi="Times New Roman" w:eastAsia="Times New Roman"/>
                <w:b/>
                <w:w w:val="100"/>
              </w:rPr>
              <w:t> </w:t>
            </w:r>
            <w:r>
              <w:rPr>
                <w:rFonts w:ascii="Times New Roman" w:hAnsi="Times New Roman" w:eastAsia="Times New Roman"/>
                <w:b/>
              </w:rPr>
              <w:tab/>
            </w:r>
            <w:r>
              <w:rPr>
                <w:w w:val="100"/>
              </w:rPr>
              <w:t>28</w:t>
            </w:r>
          </w:hyperlink>
        </w:p>
        <w:p>
          <w:pPr>
            <w:pStyle w:val="TOC1"/>
            <w:spacing w:line="560" w:lineRule="exact"/>
          </w:pPr>
          <w:hyperlink w:history="true" w:anchor="_TOC_250011">
            <w:r>
              <w:rPr>
                <w:color w:val="1A5220"/>
              </w:rPr>
              <w:t>学会动态</w:t>
            </w:r>
          </w:hyperlink>
        </w:p>
        <w:p>
          <w:pPr>
            <w:pStyle w:val="TOC4"/>
            <w:tabs>
              <w:tab w:pos="9524" w:val="right" w:leader="dot"/>
            </w:tabs>
            <w:spacing w:before="143"/>
            <w:rPr>
              <w:b w:val="0"/>
              <w:i w:val="0"/>
              <w:sz w:val="28"/>
            </w:rPr>
          </w:pPr>
          <w:hyperlink w:history="true" w:anchor="_TOC_250010">
            <w:r>
              <w:rPr>
                <w:i w:val="0"/>
                <w:sz w:val="28"/>
              </w:rPr>
              <w:t>【重要通知】</w:t>
              <w:tab/>
            </w:r>
            <w:r>
              <w:rPr>
                <w:b w:val="0"/>
                <w:i w:val="0"/>
                <w:sz w:val="28"/>
              </w:rPr>
              <w:t>30</w:t>
            </w:r>
          </w:hyperlink>
        </w:p>
        <w:p>
          <w:pPr>
            <w:pStyle w:val="TOC3"/>
            <w:tabs>
              <w:tab w:pos="9524" w:val="right" w:leader="dot"/>
            </w:tabs>
          </w:pPr>
          <w:hyperlink w:history="true" w:anchor="_TOC_250009">
            <w:r>
              <w:rPr/>
              <w:t>关于筹</w:t>
            </w:r>
            <w:r>
              <w:rPr>
                <w:spacing w:val="-3"/>
              </w:rPr>
              <w:t>备</w:t>
            </w:r>
            <w:r>
              <w:rPr/>
              <w:t>召开</w:t>
            </w:r>
            <w:r>
              <w:rPr>
                <w:spacing w:val="2"/>
              </w:rPr>
              <w:t> </w:t>
            </w:r>
            <w:r>
              <w:rPr/>
              <w:t>2019</w:t>
            </w:r>
            <w:r>
              <w:rPr>
                <w:spacing w:val="1"/>
              </w:rPr>
              <w:t> </w:t>
            </w:r>
            <w:r>
              <w:rPr/>
              <w:t>年全国</w:t>
            </w:r>
            <w:r>
              <w:rPr>
                <w:spacing w:val="-3"/>
              </w:rPr>
              <w:t>医</w:t>
            </w:r>
            <w:r>
              <w:rPr/>
              <w:t>药经</w:t>
            </w:r>
            <w:r>
              <w:rPr>
                <w:spacing w:val="-3"/>
              </w:rPr>
              <w:t>济信</w:t>
            </w:r>
            <w:r>
              <w:rPr/>
              <w:t>息网工</w:t>
            </w:r>
            <w:r>
              <w:rPr>
                <w:spacing w:val="-3"/>
              </w:rPr>
              <w:t>作</w:t>
            </w:r>
            <w:r>
              <w:rPr/>
              <w:t>会议</w:t>
            </w:r>
            <w:r>
              <w:rPr>
                <w:spacing w:val="-3"/>
              </w:rPr>
              <w:t>的通</w:t>
            </w:r>
            <w:r>
              <w:rPr/>
              <w:t>知（第</w:t>
            </w:r>
            <w:r>
              <w:rPr>
                <w:spacing w:val="-3"/>
              </w:rPr>
              <w:t>一</w:t>
            </w:r>
            <w:r>
              <w:rPr/>
              <w:t>轮）</w:t>
              <w:tab/>
              <w:t>30</w:t>
            </w:r>
          </w:hyperlink>
        </w:p>
        <w:p>
          <w:pPr>
            <w:pStyle w:val="TOC3"/>
            <w:tabs>
              <w:tab w:pos="9524" w:val="right" w:leader="dot"/>
            </w:tabs>
            <w:spacing w:before="119"/>
          </w:pPr>
          <w:hyperlink w:history="true" w:anchor="_TOC_250008">
            <w:r>
              <w:rPr/>
              <w:t>2019</w:t>
            </w:r>
            <w:r>
              <w:rPr>
                <w:spacing w:val="-1"/>
              </w:rPr>
              <w:t> </w:t>
            </w:r>
            <w:r>
              <w:rPr>
                <w:spacing w:val="-3"/>
              </w:rPr>
              <w:t>年</w:t>
            </w:r>
            <w:r>
              <w:rPr/>
              <w:t>“药</w:t>
            </w:r>
            <w:r>
              <w:rPr>
                <w:spacing w:val="-3"/>
              </w:rPr>
              <w:t>娃</w:t>
            </w:r>
            <w:r>
              <w:rPr/>
              <w:t>杯</w:t>
            </w:r>
            <w:r>
              <w:rPr>
                <w:spacing w:val="-3"/>
              </w:rPr>
              <w:t>”</w:t>
            </w:r>
            <w:r>
              <w:rPr/>
              <w:t>药学科</w:t>
            </w:r>
            <w:r>
              <w:rPr>
                <w:spacing w:val="-3"/>
              </w:rPr>
              <w:t>普</w:t>
            </w:r>
            <w:r>
              <w:rPr/>
              <w:t>作品</w:t>
            </w:r>
            <w:r>
              <w:rPr>
                <w:spacing w:val="-3"/>
              </w:rPr>
              <w:t>征集</w:t>
            </w:r>
            <w:r>
              <w:rPr/>
              <w:t>活动方案</w:t>
              <w:tab/>
              <w:t>30</w:t>
            </w:r>
          </w:hyperlink>
        </w:p>
        <w:p>
          <w:pPr>
            <w:pStyle w:val="TOC3"/>
            <w:tabs>
              <w:tab w:pos="9524" w:val="right" w:leader="dot"/>
            </w:tabs>
            <w:spacing w:line="457" w:lineRule="exact"/>
          </w:pPr>
          <w:hyperlink w:history="true" w:anchor="_TOC_250007">
            <w:r>
              <w:rPr/>
              <w:t>征集第</w:t>
            </w:r>
            <w:r>
              <w:rPr>
                <w:spacing w:val="-3"/>
              </w:rPr>
              <w:t>十</w:t>
            </w:r>
            <w:r>
              <w:rPr/>
              <w:t>九届</w:t>
            </w:r>
            <w:r>
              <w:rPr>
                <w:spacing w:val="-3"/>
              </w:rPr>
              <w:t>药师</w:t>
            </w:r>
            <w:r>
              <w:rPr/>
              <w:t>周药学</w:t>
            </w:r>
            <w:r>
              <w:rPr>
                <w:spacing w:val="-3"/>
              </w:rPr>
              <w:t>服</w:t>
            </w:r>
            <w:r>
              <w:rPr/>
              <w:t>务经</w:t>
            </w:r>
            <w:r>
              <w:rPr>
                <w:spacing w:val="-3"/>
              </w:rPr>
              <w:t>典案</w:t>
            </w:r>
            <w:r>
              <w:rPr/>
              <w:t>例论文</w:t>
              <w:tab/>
              <w:t>33</w:t>
            </w:r>
          </w:hyperlink>
        </w:p>
        <w:p>
          <w:pPr>
            <w:pStyle w:val="TOC1"/>
          </w:pPr>
          <w:hyperlink w:history="true" w:anchor="_TOC_250006">
            <w:r>
              <w:rPr>
                <w:color w:val="1A5220"/>
              </w:rPr>
              <w:t>交流园地</w:t>
            </w:r>
          </w:hyperlink>
        </w:p>
        <w:p>
          <w:pPr>
            <w:pStyle w:val="TOC4"/>
            <w:tabs>
              <w:tab w:pos="9524" w:val="right" w:leader="dot"/>
            </w:tabs>
            <w:spacing w:before="141"/>
            <w:rPr>
              <w:b w:val="0"/>
              <w:i w:val="0"/>
              <w:sz w:val="28"/>
            </w:rPr>
          </w:pPr>
          <w:hyperlink w:history="true" w:anchor="_TOC_250005">
            <w:r>
              <w:rPr>
                <w:i w:val="0"/>
                <w:sz w:val="28"/>
              </w:rPr>
              <w:t>【药师风采】</w:t>
              <w:tab/>
            </w:r>
            <w:r>
              <w:rPr>
                <w:b w:val="0"/>
                <w:i w:val="0"/>
                <w:sz w:val="28"/>
              </w:rPr>
              <w:t>34</w:t>
            </w:r>
          </w:hyperlink>
        </w:p>
        <w:p>
          <w:pPr>
            <w:pStyle w:val="TOC3"/>
            <w:tabs>
              <w:tab w:pos="9524" w:val="right" w:leader="dot"/>
            </w:tabs>
            <w:spacing w:before="121"/>
          </w:pPr>
          <w:hyperlink w:history="true" w:anchor="_TOC_250004">
            <w:r>
              <w:rPr/>
              <w:t>华中科</w:t>
            </w:r>
            <w:r>
              <w:rPr>
                <w:spacing w:val="-3"/>
              </w:rPr>
              <w:t>技</w:t>
            </w:r>
            <w:r>
              <w:rPr/>
              <w:t>大学</w:t>
            </w:r>
            <w:r>
              <w:rPr>
                <w:spacing w:val="-3"/>
              </w:rPr>
              <w:t>同济</w:t>
            </w:r>
            <w:r>
              <w:rPr/>
              <w:t>医学院</w:t>
            </w:r>
            <w:r>
              <w:rPr>
                <w:spacing w:val="-3"/>
              </w:rPr>
              <w:t>附</w:t>
            </w:r>
            <w:r>
              <w:rPr/>
              <w:t>属协</w:t>
            </w:r>
            <w:r>
              <w:rPr>
                <w:spacing w:val="-3"/>
              </w:rPr>
              <w:t>和医</w:t>
            </w:r>
            <w:r>
              <w:rPr/>
              <w:t>院——</w:t>
            </w:r>
            <w:r>
              <w:rPr>
                <w:spacing w:val="-3"/>
              </w:rPr>
              <w:t>师</w:t>
            </w:r>
            <w:r>
              <w:rPr/>
              <w:t>少军</w:t>
              <w:tab/>
              <w:t>34</w:t>
            </w:r>
          </w:hyperlink>
        </w:p>
        <w:p>
          <w:pPr>
            <w:pStyle w:val="TOC3"/>
            <w:tabs>
              <w:tab w:pos="9524" w:val="right" w:leader="dot"/>
            </w:tabs>
          </w:pPr>
          <w:hyperlink w:history="true" w:anchor="_TOC_250003">
            <w:r>
              <w:rPr/>
              <w:t>武汉市</w:t>
            </w:r>
            <w:r>
              <w:rPr>
                <w:spacing w:val="-3"/>
              </w:rPr>
              <w:t>第</w:t>
            </w:r>
            <w:r>
              <w:rPr/>
              <w:t>三医</w:t>
            </w:r>
            <w:r>
              <w:rPr>
                <w:spacing w:val="-3"/>
              </w:rPr>
              <w:t>院</w:t>
            </w:r>
            <w:r>
              <w:rPr/>
              <w:t>——吴金虎</w:t>
              <w:tab/>
              <w:t>35</w:t>
            </w:r>
          </w:hyperlink>
        </w:p>
        <w:p>
          <w:pPr>
            <w:pStyle w:val="TOC3"/>
            <w:tabs>
              <w:tab w:pos="9524" w:val="right" w:leader="dot"/>
            </w:tabs>
            <w:spacing w:before="120"/>
          </w:pPr>
          <w:hyperlink w:history="true" w:anchor="_TOC_250002">
            <w:r>
              <w:rPr/>
              <w:t>湖北省</w:t>
            </w:r>
            <w:r>
              <w:rPr>
                <w:spacing w:val="-3"/>
              </w:rPr>
              <w:t>卫</w:t>
            </w:r>
            <w:r>
              <w:rPr/>
              <w:t>生界</w:t>
            </w:r>
            <w:r>
              <w:rPr>
                <w:spacing w:val="-3"/>
              </w:rPr>
              <w:t>学会</w:t>
            </w:r>
            <w:r>
              <w:rPr/>
              <w:t>办公室——潘</w:t>
            </w:r>
            <w:r>
              <w:rPr>
                <w:spacing w:val="-3"/>
              </w:rPr>
              <w:t>旭</w:t>
            </w:r>
            <w:r>
              <w:rPr/>
              <w:t>初</w:t>
              <w:tab/>
              <w:t>36</w:t>
            </w:r>
          </w:hyperlink>
        </w:p>
        <w:p>
          <w:pPr>
            <w:pStyle w:val="TOC3"/>
            <w:tabs>
              <w:tab w:pos="9524" w:val="right" w:leader="dot"/>
            </w:tabs>
            <w:spacing w:before="121"/>
          </w:pPr>
          <w:hyperlink w:history="true" w:anchor="_TOC_250001">
            <w:r>
              <w:rPr/>
              <w:t>中南大</w:t>
            </w:r>
            <w:r>
              <w:rPr>
                <w:spacing w:val="-3"/>
              </w:rPr>
              <w:t>学</w:t>
            </w:r>
            <w:r>
              <w:rPr/>
              <w:t>湘雅</w:t>
            </w:r>
            <w:r>
              <w:rPr>
                <w:spacing w:val="-3"/>
              </w:rPr>
              <w:t>二医</w:t>
            </w:r>
            <w:r>
              <w:rPr/>
              <w:t>院——</w:t>
            </w:r>
            <w:r>
              <w:rPr>
                <w:spacing w:val="-3"/>
              </w:rPr>
              <w:t>向</w:t>
            </w:r>
            <w:r>
              <w:rPr/>
              <w:t>大雄</w:t>
              <w:tab/>
              <w:t>36</w:t>
            </w:r>
          </w:hyperlink>
        </w:p>
        <w:p>
          <w:pPr>
            <w:pStyle w:val="TOC3"/>
            <w:tabs>
              <w:tab w:pos="9524" w:val="right" w:leader="dot"/>
            </w:tabs>
          </w:pPr>
          <w:hyperlink w:history="true" w:anchor="_TOC_250000">
            <w:r>
              <w:rPr/>
              <w:t>邵阳学</w:t>
            </w:r>
            <w:r>
              <w:rPr>
                <w:spacing w:val="-3"/>
              </w:rPr>
              <w:t>院</w:t>
            </w:r>
            <w:r>
              <w:rPr/>
              <w:t>附属</w:t>
            </w:r>
            <w:r>
              <w:rPr>
                <w:spacing w:val="-3"/>
              </w:rPr>
              <w:t>第一</w:t>
            </w:r>
            <w:r>
              <w:rPr/>
              <w:t>医院——范秀珍</w:t>
              <w:tab/>
              <w:t>37</w:t>
            </w:r>
          </w:hyperlink>
        </w:p>
      </w:sdtContent>
    </w:sdt>
    <w:p>
      <w:pPr>
        <w:spacing w:after="0"/>
        <w:sectPr>
          <w:headerReference w:type="default" r:id="rId7"/>
          <w:footerReference w:type="default" r:id="rId8"/>
          <w:pgSz w:w="11910" w:h="16850"/>
          <w:pgMar w:header="906" w:footer="810" w:top="1115" w:bottom="1012" w:left="1040" w:right="0"/>
          <w:pgNumType w:start="2"/>
        </w:sectPr>
      </w:pPr>
    </w:p>
    <w:p>
      <w:pPr>
        <w:pStyle w:val="Heading2"/>
        <w:spacing w:before="993"/>
      </w:pPr>
      <w:r>
        <w:rPr/>
        <w:t>【政府要闻】</w:t>
      </w:r>
    </w:p>
    <w:p>
      <w:pPr>
        <w:spacing w:before="122"/>
        <w:ind w:left="237" w:right="0" w:firstLine="0"/>
        <w:jc w:val="left"/>
        <w:rPr>
          <w:rFonts w:ascii="华文宋体" w:eastAsia="华文宋体" w:hint="eastAsia"/>
          <w:b/>
          <w:sz w:val="44"/>
        </w:rPr>
      </w:pPr>
      <w:r>
        <w:rPr/>
        <w:br w:type="column"/>
      </w:r>
      <w:r>
        <w:rPr>
          <w:rFonts w:ascii="Times New Roman" w:eastAsia="Times New Roman"/>
          <w:b/>
          <w:color w:val="008000"/>
          <w:spacing w:val="-110"/>
          <w:w w:val="99"/>
          <w:sz w:val="44"/>
          <w:u w:val="thick" w:color="008000"/>
        </w:rPr>
        <w:t> </w:t>
      </w:r>
      <w:r>
        <w:rPr>
          <w:rFonts w:ascii="华文宋体" w:eastAsia="华文宋体" w:hint="eastAsia"/>
          <w:b/>
          <w:color w:val="008000"/>
          <w:sz w:val="44"/>
          <w:u w:val="thick" w:color="008000"/>
        </w:rPr>
        <w:t>政策导览</w:t>
      </w:r>
    </w:p>
    <w:p>
      <w:pPr>
        <w:spacing w:after="0"/>
        <w:jc w:val="left"/>
        <w:rPr>
          <w:rFonts w:ascii="华文宋体" w:eastAsia="华文宋体" w:hint="eastAsia"/>
          <w:sz w:val="44"/>
        </w:rPr>
        <w:sectPr>
          <w:headerReference w:type="default" r:id="rId9"/>
          <w:footerReference w:type="default" r:id="rId10"/>
          <w:pgSz w:w="11910" w:h="16850"/>
          <w:pgMar w:header="906" w:footer="607" w:top="1100" w:bottom="800" w:left="1040" w:right="0"/>
          <w:pgNumType w:start="1"/>
          <w:cols w:num="2" w:equalWidth="0">
            <w:col w:w="2207" w:space="1660"/>
            <w:col w:w="7003"/>
          </w:cols>
        </w:sectPr>
      </w:pPr>
    </w:p>
    <w:p>
      <w:pPr>
        <w:pStyle w:val="BodyText"/>
        <w:spacing w:before="4"/>
        <w:ind w:left="0"/>
        <w:rPr>
          <w:rFonts w:ascii="华文宋体"/>
          <w:b/>
          <w:sz w:val="13"/>
        </w:rPr>
      </w:pPr>
    </w:p>
    <w:p>
      <w:pPr>
        <w:pStyle w:val="BodyText"/>
        <w:ind w:left="0" w:right="894"/>
        <w:jc w:val="center"/>
      </w:pPr>
      <w:r>
        <w:rPr/>
        <w:t>李克强主持召开国务院常务会，会议强调——</w:t>
      </w:r>
    </w:p>
    <w:p>
      <w:pPr>
        <w:pStyle w:val="Heading2"/>
        <w:spacing w:before="148"/>
        <w:ind w:left="0" w:right="896"/>
        <w:jc w:val="center"/>
      </w:pPr>
      <w:r>
        <w:rPr/>
        <w:t>药品集中采购要实现降价惠民</w:t>
      </w:r>
    </w:p>
    <w:p>
      <w:pPr>
        <w:pStyle w:val="BodyText"/>
        <w:spacing w:before="8"/>
        <w:ind w:left="0"/>
        <w:rPr>
          <w:b/>
          <w:sz w:val="23"/>
        </w:rPr>
      </w:pPr>
    </w:p>
    <w:p>
      <w:pPr>
        <w:pStyle w:val="Heading3"/>
        <w:spacing w:before="1"/>
        <w:ind w:left="7325"/>
      </w:pPr>
      <w:r>
        <w:rPr>
          <w:color w:val="FF0000"/>
        </w:rPr>
        <w:t>（来源：中国政府网）</w:t>
      </w:r>
    </w:p>
    <w:p>
      <w:pPr>
        <w:pStyle w:val="BodyText"/>
        <w:spacing w:line="297" w:lineRule="auto" w:before="95"/>
        <w:ind w:right="1025" w:firstLine="480"/>
      </w:pPr>
      <w:r>
        <w:rPr>
          <w:spacing w:val="-7"/>
        </w:rPr>
        <w:t>国务院总理李克强 </w:t>
      </w:r>
      <w:r>
        <w:rPr/>
        <w:t>4</w:t>
      </w:r>
      <w:r>
        <w:rPr>
          <w:spacing w:val="-40"/>
        </w:rPr>
        <w:t> 月 </w:t>
      </w:r>
      <w:r>
        <w:rPr/>
        <w:t>3</w:t>
      </w:r>
      <w:r>
        <w:rPr>
          <w:spacing w:val="-14"/>
        </w:rPr>
        <w:t> 日主持召开国务院常务会议，确定今年降低政府性收费和经营</w:t>
      </w:r>
      <w:r>
        <w:rPr>
          <w:spacing w:val="-16"/>
        </w:rPr>
        <w:t>服务性收费的措施，进一步为企业和群众减负；配合《外商投资法》实施、适应优化营商环</w:t>
      </w:r>
      <w:r>
        <w:rPr>
          <w:spacing w:val="-17"/>
        </w:rPr>
        <w:t>境需要，通过一批法律修正案草案；听取药品集中采购、短缺药供应及医疗救助工作汇报， </w:t>
      </w:r>
      <w:r>
        <w:rPr/>
        <w:t>要求更多让群众在用药就医上受益。</w:t>
      </w:r>
    </w:p>
    <w:p>
      <w:pPr>
        <w:pStyle w:val="BodyText"/>
        <w:spacing w:line="297" w:lineRule="auto"/>
        <w:ind w:right="1126" w:firstLine="480"/>
        <w:jc w:val="right"/>
      </w:pPr>
      <w:r>
        <w:rPr>
          <w:spacing w:val="-3"/>
        </w:rPr>
        <w:t>为落实《政府工作报告》部署，会议决定，至 </w:t>
      </w:r>
      <w:r>
        <w:rPr/>
        <w:t>2024</w:t>
      </w:r>
      <w:r>
        <w:rPr>
          <w:spacing w:val="-8"/>
        </w:rPr>
        <w:t> 年年底对中央所属企事业单位减半</w:t>
      </w:r>
      <w:r>
        <w:rPr>
          <w:spacing w:val="-10"/>
        </w:rPr>
        <w:t>征收文化事业建设费，并授权各省</w:t>
      </w:r>
      <w:r>
        <w:rPr/>
        <w:t>（</w:t>
      </w:r>
      <w:r>
        <w:rPr>
          <w:spacing w:val="-4"/>
        </w:rPr>
        <w:t>区、市</w:t>
      </w:r>
      <w:r>
        <w:rPr>
          <w:spacing w:val="-12"/>
        </w:rPr>
        <w:t>）</w:t>
      </w:r>
      <w:r>
        <w:rPr>
          <w:spacing w:val="-30"/>
        </w:rPr>
        <w:t>在 </w:t>
      </w:r>
      <w:r>
        <w:rPr/>
        <w:t>50%</w:t>
      </w:r>
      <w:r>
        <w:rPr>
          <w:spacing w:val="-1"/>
        </w:rPr>
        <w:t>幅度内对地方企事业单位和个人减征此</w:t>
      </w:r>
      <w:r>
        <w:rPr>
          <w:spacing w:val="-9"/>
        </w:rPr>
        <w:t>项收费。同时，对产教融合试点企业兴办职业教育符合条件的投资，落实按投资额 </w:t>
      </w:r>
      <w:r>
        <w:rPr/>
        <w:t>30%</w:t>
      </w:r>
      <w:r>
        <w:rPr>
          <w:spacing w:val="-7"/>
        </w:rPr>
        <w:t>抵免当年应缴教育费附加和地方教育附加的政策。会议决定，从 </w:t>
      </w:r>
      <w:r>
        <w:rPr/>
        <w:t>4</w:t>
      </w:r>
      <w:r>
        <w:rPr>
          <w:spacing w:val="-40"/>
        </w:rPr>
        <w:t> 月 </w:t>
      </w:r>
      <w:r>
        <w:rPr/>
        <w:t>9</w:t>
      </w:r>
      <w:r>
        <w:rPr>
          <w:spacing w:val="-12"/>
        </w:rPr>
        <w:t> 日起，调降对个人携带进</w:t>
      </w:r>
      <w:r>
        <w:rPr>
          <w:spacing w:val="-2"/>
        </w:rPr>
        <w:t>境的行李和邮递物品征收的行邮税税率，其中对食品、药品等商品，税率由 </w:t>
      </w:r>
      <w:r>
        <w:rPr/>
        <w:t>15%</w:t>
      </w:r>
      <w:r>
        <w:rPr>
          <w:spacing w:val="-20"/>
        </w:rPr>
        <w:t>降至 </w:t>
      </w:r>
      <w:r>
        <w:rPr/>
        <w:t>13%。</w:t>
      </w:r>
      <w:r>
        <w:rPr>
          <w:spacing w:val="-9"/>
        </w:rPr>
        <w:t>会议强调，要进一步推进国家药品集中采购试点、短缺药监测应对和医疗救助工作。一</w:t>
      </w:r>
    </w:p>
    <w:p>
      <w:pPr>
        <w:pStyle w:val="BodyText"/>
        <w:spacing w:line="297" w:lineRule="auto"/>
        <w:ind w:right="1027"/>
      </w:pPr>
      <w:r>
        <w:rPr>
          <w:spacing w:val="-7"/>
        </w:rPr>
        <w:t>要完善集中采购制度，加强中标药品质量监管和供应保障，实现降价惠民。认真总结试点经</w:t>
      </w:r>
      <w:r>
        <w:rPr>
          <w:spacing w:val="-9"/>
        </w:rPr>
        <w:t>验，及时全面推开。二要保障基本药物、急</w:t>
      </w:r>
      <w:r>
        <w:rPr/>
        <w:t>（抢</w:t>
      </w:r>
      <w:r>
        <w:rPr>
          <w:spacing w:val="-15"/>
        </w:rPr>
        <w:t>）</w:t>
      </w:r>
      <w:r>
        <w:rPr>
          <w:spacing w:val="-4"/>
        </w:rPr>
        <w:t>救等药品供应。完善监测预警机制，对临</w:t>
      </w:r>
      <w:r>
        <w:rPr>
          <w:spacing w:val="-11"/>
        </w:rPr>
        <w:t>床必需、易短缺、替代性差等药品，采取强化储备、统一采购或定点生产等方式保供，防止</w:t>
      </w:r>
      <w:r>
        <w:rPr>
          <w:spacing w:val="-12"/>
        </w:rPr>
        <w:t>急需、常用药品不合理涨价。三要在做好基本医疗保障的同时，进一步完善医疗救助制度， </w:t>
      </w:r>
      <w:r>
        <w:rPr/>
        <w:t>落实落细参保缴费资助、直接救助等措施，切实提高困难群众获得感。</w:t>
      </w:r>
    </w:p>
    <w:p>
      <w:pPr>
        <w:spacing w:line="414" w:lineRule="exact" w:before="0"/>
        <w:ind w:left="717" w:right="0" w:firstLine="0"/>
        <w:jc w:val="left"/>
        <w:rPr>
          <w:rFonts w:ascii="Meiryo" w:eastAsia="Meiryo" w:hint="eastAsia"/>
          <w:b/>
          <w:sz w:val="24"/>
        </w:rPr>
      </w:pPr>
      <w:r>
        <w:rPr>
          <w:sz w:val="24"/>
        </w:rPr>
        <w:t>会议还研究了其他事项。</w:t>
      </w:r>
      <w:r>
        <w:rPr>
          <w:rFonts w:ascii="Meiryo" w:eastAsia="Meiryo" w:hint="eastAsia"/>
          <w:b/>
          <w:color w:val="0033CC"/>
          <w:sz w:val="24"/>
        </w:rPr>
        <w:t>[返回目次]</w:t>
      </w:r>
    </w:p>
    <w:p>
      <w:pPr>
        <w:pStyle w:val="Heading2"/>
        <w:spacing w:before="180"/>
        <w:ind w:left="0" w:right="895"/>
        <w:jc w:val="center"/>
      </w:pPr>
      <w:r>
        <w:rPr/>
        <w:t>三部门牵头建立疫苗管理部际联席会议制度</w:t>
      </w:r>
    </w:p>
    <w:p>
      <w:pPr>
        <w:pStyle w:val="Heading3"/>
        <w:spacing w:before="210"/>
        <w:ind w:left="7325"/>
      </w:pPr>
      <w:r>
        <w:rPr>
          <w:color w:val="FF0000"/>
        </w:rPr>
        <w:t>（来源：中国医药报）</w:t>
      </w:r>
    </w:p>
    <w:p>
      <w:pPr>
        <w:pStyle w:val="BodyText"/>
        <w:spacing w:line="297" w:lineRule="auto" w:before="95"/>
        <w:ind w:right="1125" w:firstLine="480"/>
        <w:jc w:val="both"/>
      </w:pPr>
      <w:r>
        <w:rPr/>
        <w:t>4</w:t>
      </w:r>
      <w:r>
        <w:rPr>
          <w:spacing w:val="-41"/>
        </w:rPr>
        <w:t> 月 </w:t>
      </w:r>
      <w:r>
        <w:rPr/>
        <w:t>2</w:t>
      </w:r>
      <w:r>
        <w:rPr>
          <w:spacing w:val="-11"/>
        </w:rPr>
        <w:t> 日，国务院办公厅印发《关于同意建立疫苗管理部际联席会议制度的函》，同意</w:t>
      </w:r>
      <w:r>
        <w:rPr>
          <w:spacing w:val="-9"/>
        </w:rPr>
        <w:t>建立由国家市场监管总局、国家卫生健康委、国家药品监管局牵头的疫苗管理部际联席会议</w:t>
      </w:r>
      <w:r>
        <w:rPr/>
        <w:t>制度。</w:t>
      </w:r>
    </w:p>
    <w:p>
      <w:pPr>
        <w:pStyle w:val="BodyText"/>
        <w:spacing w:line="297" w:lineRule="auto"/>
        <w:ind w:right="1007" w:firstLine="480"/>
      </w:pPr>
      <w:r>
        <w:rPr>
          <w:spacing w:val="-9"/>
        </w:rPr>
        <w:t>函件指出，经国务院同意，建立疫苗管理部际联席会议制度，加强部门间协调配合，进</w:t>
      </w:r>
      <w:r>
        <w:rPr>
          <w:spacing w:val="-14"/>
        </w:rPr>
        <w:t>一步提升疫苗管理能力水平，形成权责清晰、运行高效的疫苗管理体系。联席会议的主要职能是在党中央、国务院领导下，统筹研究疫苗产业布局、行业规划、生产流通、质量安全、</w:t>
      </w:r>
      <w:r>
        <w:rPr>
          <w:spacing w:val="-20"/>
        </w:rPr>
        <w:t>供应储备、预防接种、补偿赔偿等重大问题，加快推进疫苗技术创新、工艺优化和产业升级； </w:t>
      </w:r>
      <w:r>
        <w:rPr>
          <w:spacing w:val="-8"/>
        </w:rPr>
        <w:t>定期分析疫苗安全形势，会商研判疫苗案件办理、信息发布，组织制定疫苗安全事件应急预案；提出加强和改进疫苗工作的意见，推进监管能力建设和监管方式创新等。</w:t>
      </w:r>
    </w:p>
    <w:p>
      <w:pPr>
        <w:pStyle w:val="BodyText"/>
        <w:spacing w:line="295" w:lineRule="auto"/>
        <w:ind w:right="1130" w:firstLine="480"/>
      </w:pPr>
      <w:r>
        <w:rPr>
          <w:spacing w:val="-7"/>
        </w:rPr>
        <w:t>联席会议由国家市场监管总局、国家卫健委、国家药监局、中宣部、中央编办、国家发</w:t>
      </w:r>
      <w:r>
        <w:rPr>
          <w:spacing w:val="-12"/>
        </w:rPr>
        <w:t>改委、科技部、工信部、公安部、司法部、财政部、人社部、国务院国资委组成。由国家市</w:t>
      </w:r>
    </w:p>
    <w:p>
      <w:pPr>
        <w:spacing w:after="0" w:line="295" w:lineRule="auto"/>
        <w:sectPr>
          <w:type w:val="continuous"/>
          <w:pgSz w:w="11910" w:h="16850"/>
          <w:pgMar w:top="1100" w:bottom="1020" w:left="1040" w:right="0"/>
        </w:sectPr>
      </w:pPr>
    </w:p>
    <w:p>
      <w:pPr>
        <w:pStyle w:val="BodyText"/>
        <w:spacing w:line="297" w:lineRule="auto" w:before="65"/>
        <w:ind w:right="1128"/>
        <w:jc w:val="both"/>
      </w:pPr>
      <w:r>
        <w:rPr>
          <w:spacing w:val="-6"/>
        </w:rPr>
        <w:t>场监管总局和国家卫健委主要负责同志担任召集人，国家药监局主要负责同志和国家卫健委</w:t>
      </w:r>
      <w:r>
        <w:rPr>
          <w:spacing w:val="-7"/>
        </w:rPr>
        <w:t>分管负责同志担任副召集人，其他成员单位分管负责同志担任成员。函件同时公布联席会议</w:t>
      </w:r>
      <w:r>
        <w:rPr>
          <w:spacing w:val="-10"/>
        </w:rPr>
        <w:t>成员名单，召集人为国家市场监管总局局长张茅、国家卫健委主任马晓伟；副召集人为国家</w:t>
      </w:r>
      <w:r>
        <w:rPr/>
        <w:t>药监局党组书记、副局长李利，国家药监局局长焦红，国家卫健委副主任李斌。</w:t>
      </w:r>
    </w:p>
    <w:p>
      <w:pPr>
        <w:pStyle w:val="BodyText"/>
        <w:spacing w:line="295" w:lineRule="auto"/>
        <w:ind w:right="1127" w:firstLine="480"/>
      </w:pPr>
      <w:r>
        <w:rPr>
          <w:spacing w:val="-7"/>
        </w:rPr>
        <w:t>联席会议办公室设在国家药监局，承担联席会议日常工作，国家药监局副局长兼任办公</w:t>
      </w:r>
      <w:r>
        <w:rPr/>
        <w:t>室主任。联席会议设联络员，由各成员单位有关司局负责同志担任。</w:t>
      </w:r>
    </w:p>
    <w:p>
      <w:pPr>
        <w:pStyle w:val="BodyText"/>
        <w:spacing w:line="285" w:lineRule="auto"/>
        <w:ind w:right="1027" w:firstLine="480"/>
        <w:rPr>
          <w:rFonts w:ascii="Meiryo" w:eastAsia="Meiryo" w:hint="eastAsia"/>
          <w:b/>
        </w:rPr>
      </w:pPr>
      <w:r>
        <w:rPr>
          <w:spacing w:val="-7"/>
        </w:rPr>
        <w:t>根据联席会议制度，各成员单位要按照职责分工，深入研究疫苗管理工作有关问题，制</w:t>
      </w:r>
      <w:r>
        <w:rPr>
          <w:spacing w:val="-8"/>
        </w:rPr>
        <w:t>定相关配套政策措施或提出政策措施建议；认真落实联席会议确定的工作任务和议定事项； </w:t>
      </w:r>
      <w:r>
        <w:rPr>
          <w:spacing w:val="-10"/>
        </w:rPr>
        <w:t>加强沟通，密切配合，相互支持，形成合力，充分发挥联席会议作用，形成高效运行的工作机制。</w:t>
      </w:r>
      <w:r>
        <w:rPr>
          <w:rFonts w:ascii="Meiryo" w:eastAsia="Meiryo" w:hint="eastAsia"/>
          <w:b/>
          <w:color w:val="0033CC"/>
          <w:spacing w:val="-10"/>
        </w:rPr>
        <w:t>[返回目次]</w:t>
      </w:r>
    </w:p>
    <w:p>
      <w:pPr>
        <w:pStyle w:val="Heading2"/>
        <w:spacing w:line="353" w:lineRule="exact"/>
        <w:ind w:left="0" w:right="896"/>
        <w:jc w:val="center"/>
      </w:pPr>
      <w:r>
        <w:rPr/>
        <w:t>三级医院更多在中小城市布局</w:t>
      </w:r>
    </w:p>
    <w:p>
      <w:pPr>
        <w:pStyle w:val="Heading3"/>
        <w:spacing w:before="207"/>
        <w:ind w:right="1128"/>
        <w:jc w:val="right"/>
      </w:pPr>
      <w:r>
        <w:rPr>
          <w:color w:val="FF0000"/>
          <w:w w:val="95"/>
        </w:rPr>
        <w:t>（来源：健康报）</w:t>
      </w:r>
    </w:p>
    <w:p>
      <w:pPr>
        <w:pStyle w:val="BodyText"/>
        <w:spacing w:line="297" w:lineRule="auto" w:before="98"/>
        <w:ind w:right="1127" w:firstLine="480"/>
      </w:pPr>
      <w:r>
        <w:rPr/>
        <w:t>国家发展改革委近日发布的《2019</w:t>
      </w:r>
      <w:r>
        <w:rPr>
          <w:spacing w:val="-8"/>
        </w:rPr>
        <w:t> 年新型城镇化建设重点任务》指出，将更多三级医</w:t>
      </w:r>
      <w:r>
        <w:rPr>
          <w:spacing w:val="-14"/>
        </w:rPr>
        <w:t>院布局在中小城市，支持大城市知名三级医院在中小城市设立分支机构。增加基层医务人员</w:t>
      </w:r>
      <w:r>
        <w:rPr>
          <w:spacing w:val="-10"/>
        </w:rPr>
        <w:t>岗位吸引力，鼓励县医院与乡镇卫生院建立县域医共体，鼓励城市大医院与县医院建立对口</w:t>
      </w:r>
      <w:r>
        <w:rPr/>
        <w:t>帮扶、巡回医疗和远程医疗机制。</w:t>
      </w:r>
    </w:p>
    <w:p>
      <w:pPr>
        <w:pStyle w:val="BodyText"/>
        <w:spacing w:line="297" w:lineRule="auto"/>
        <w:ind w:right="1127" w:firstLine="480"/>
        <w:jc w:val="both"/>
      </w:pPr>
      <w:r>
        <w:rPr>
          <w:spacing w:val="-12"/>
        </w:rPr>
        <w:t>《重点任务》指出，合理发展城镇婴幼儿照护服务机构，充分考虑婴幼儿随迁子女的照护服务需求。同时，全面推进建立统一的城乡居民医保制度，提高跨省异地就医住院费用线</w:t>
      </w:r>
      <w:r>
        <w:rPr>
          <w:spacing w:val="-10"/>
        </w:rPr>
        <w:t>上结算率，推进远程医疗和社区医院高质量发展。推进城乡居民养老保险参保扩面，指导各</w:t>
      </w:r>
    </w:p>
    <w:p>
      <w:pPr>
        <w:pStyle w:val="BodyText"/>
        <w:spacing w:line="416" w:lineRule="exact"/>
        <w:rPr>
          <w:rFonts w:ascii="Meiryo" w:eastAsia="Meiryo" w:hint="eastAsia"/>
          <w:b/>
        </w:rPr>
      </w:pPr>
      <w:r>
        <w:rPr/>
        <w:t>地区全面建立城乡居民基本养老保险待遇确定和基础养老金正常调整机制。</w:t>
      </w:r>
      <w:r>
        <w:rPr>
          <w:rFonts w:ascii="Meiryo" w:eastAsia="Meiryo" w:hint="eastAsia"/>
          <w:b/>
          <w:color w:val="0033CC"/>
        </w:rPr>
        <w:t>[返回目次]</w:t>
      </w:r>
    </w:p>
    <w:p>
      <w:pPr>
        <w:pStyle w:val="Heading2"/>
        <w:spacing w:before="187"/>
        <w:ind w:left="0" w:right="895"/>
        <w:jc w:val="center"/>
      </w:pPr>
      <w:r>
        <w:rPr>
          <w:w w:val="90"/>
        </w:rPr>
        <w:t>国家卫生健康委办公厅关于持续做好抗菌药物临床应用管理工作的通知</w:t>
      </w:r>
    </w:p>
    <w:p>
      <w:pPr>
        <w:pStyle w:val="BodyText"/>
        <w:spacing w:before="147"/>
        <w:ind w:left="0" w:right="411"/>
        <w:jc w:val="center"/>
      </w:pPr>
      <w:r>
        <w:rPr>
          <w:color w:val="474747"/>
        </w:rPr>
        <w:t>国卫办医发〔2019〕12 号</w:t>
      </w:r>
    </w:p>
    <w:p>
      <w:pPr>
        <w:pStyle w:val="Heading3"/>
        <w:spacing w:before="192"/>
        <w:ind w:right="1128"/>
        <w:jc w:val="right"/>
      </w:pPr>
      <w:r>
        <w:rPr>
          <w:color w:val="FF0000"/>
          <w:w w:val="95"/>
        </w:rPr>
        <w:t>（来源：国家卫健委医政医改局网站）</w:t>
      </w:r>
    </w:p>
    <w:p>
      <w:pPr>
        <w:pStyle w:val="BodyText"/>
        <w:spacing w:before="96"/>
      </w:pPr>
      <w:r>
        <w:rPr/>
        <w:t>各省、自治区、直辖市及新疆生产建设兵团卫生健康委：</w:t>
      </w:r>
    </w:p>
    <w:p>
      <w:pPr>
        <w:pStyle w:val="BodyText"/>
        <w:spacing w:before="74"/>
        <w:ind w:left="717"/>
      </w:pPr>
      <w:r>
        <w:rPr/>
        <w:t>为深入贯彻落实《“健康中国 2030”规划纲要》和《遏制细菌耐药国家行动计划</w:t>
      </w:r>
    </w:p>
    <w:p>
      <w:pPr>
        <w:pStyle w:val="BodyText"/>
        <w:spacing w:line="295" w:lineRule="auto" w:before="72"/>
        <w:ind w:right="1129"/>
      </w:pPr>
      <w:r>
        <w:rPr/>
        <w:t>（2016-2020</w:t>
      </w:r>
      <w:r>
        <w:rPr>
          <w:spacing w:val="-30"/>
        </w:rPr>
        <w:t> 年</w:t>
      </w:r>
      <w:r>
        <w:rPr>
          <w:spacing w:val="-8"/>
        </w:rPr>
        <w:t>）》，持续加强抗菌药物临床应用管理，保证医疗质量，遏制细菌耐药，现</w:t>
      </w:r>
      <w:r>
        <w:rPr/>
        <w:t>提出以下工作要求：</w:t>
      </w:r>
    </w:p>
    <w:p>
      <w:pPr>
        <w:pStyle w:val="Heading3"/>
        <w:spacing w:before="4"/>
        <w:ind w:left="717"/>
        <w:rPr>
          <w:rFonts w:ascii="宋体" w:eastAsia="宋体" w:hint="eastAsia"/>
        </w:rPr>
      </w:pPr>
      <w:r>
        <w:rPr>
          <w:rFonts w:ascii="宋体" w:eastAsia="宋体" w:hint="eastAsia"/>
        </w:rPr>
        <w:t>一、进一步优化抗菌药物管理模式</w:t>
      </w:r>
    </w:p>
    <w:p>
      <w:pPr>
        <w:pStyle w:val="BodyText"/>
        <w:spacing w:line="297" w:lineRule="auto" w:before="72"/>
        <w:ind w:right="1127" w:firstLine="453"/>
      </w:pPr>
      <w:r>
        <w:rPr/>
        <w:t>（一</w:t>
      </w:r>
      <w:r>
        <w:rPr>
          <w:spacing w:val="-27"/>
        </w:rPr>
        <w:t>）</w:t>
      </w:r>
      <w:r>
        <w:rPr>
          <w:spacing w:val="-5"/>
        </w:rPr>
        <w:t>制订和实施抗菌药物管理技术规范。各医疗机构要按照《抗菌药物临床应用管理</w:t>
      </w:r>
      <w:r>
        <w:rPr>
          <w:spacing w:val="-12"/>
        </w:rPr>
        <w:t>办法》各项要求，制订系统的、可操作的抗菌药物管理技术规范并认真落实。要树立科学的</w:t>
      </w:r>
      <w:r>
        <w:rPr>
          <w:spacing w:val="-7"/>
        </w:rPr>
        <w:t>抗菌药物临床应用管理理念，明确改善感染性疾病转归和提高医疗质量的管理目标。医疗机</w:t>
      </w:r>
      <w:r>
        <w:rPr/>
        <w:t>构主要负责人要切实履行抗菌药物管理第一责任人的职责，带领本机构抗菌药物管理工作组，发挥多学科专业团队优势，做好具体管理工作。</w:t>
      </w:r>
    </w:p>
    <w:p>
      <w:pPr>
        <w:pStyle w:val="BodyText"/>
        <w:spacing w:line="295" w:lineRule="auto"/>
        <w:ind w:right="1127" w:firstLine="446"/>
        <w:jc w:val="both"/>
      </w:pPr>
      <w:r>
        <w:rPr/>
        <w:t>（二</w:t>
      </w:r>
      <w:r>
        <w:rPr>
          <w:spacing w:val="-34"/>
        </w:rPr>
        <w:t>）</w:t>
      </w:r>
      <w:r>
        <w:rPr>
          <w:spacing w:val="-5"/>
        </w:rPr>
        <w:t>推进感染性疾病多学科诊疗。各医疗机构要重点针对疑难感染性疾病加强重症医</w:t>
      </w:r>
      <w:r>
        <w:rPr>
          <w:spacing w:val="-12"/>
        </w:rPr>
        <w:t>学、感染性疾病、临床药学、临床微生物等学科的联系协作，做好医院感染预防与控制，提</w:t>
      </w:r>
      <w:r>
        <w:rPr>
          <w:spacing w:val="-16"/>
        </w:rPr>
        <w:t>高感染性疾病综合诊疗水平。要研究建立多学科诊疗的工作机制和标准化操作流程，在保证</w:t>
      </w:r>
    </w:p>
    <w:p>
      <w:pPr>
        <w:spacing w:after="0" w:line="295" w:lineRule="auto"/>
        <w:jc w:val="both"/>
        <w:sectPr>
          <w:pgSz w:w="11910" w:h="16850"/>
          <w:pgMar w:header="906" w:footer="607" w:top="1100" w:bottom="800" w:left="1040" w:right="0"/>
        </w:sectPr>
      </w:pPr>
    </w:p>
    <w:p>
      <w:pPr>
        <w:pStyle w:val="BodyText"/>
        <w:spacing w:before="65"/>
      </w:pPr>
      <w:r>
        <w:rPr/>
        <w:t>诊疗质量的同时，提高工作效率。</w:t>
      </w:r>
    </w:p>
    <w:p>
      <w:pPr>
        <w:pStyle w:val="Heading3"/>
        <w:spacing w:before="72"/>
        <w:ind w:left="717"/>
        <w:rPr>
          <w:rFonts w:ascii="宋体" w:eastAsia="宋体" w:hint="eastAsia"/>
        </w:rPr>
      </w:pPr>
      <w:r>
        <w:rPr>
          <w:rFonts w:ascii="宋体" w:eastAsia="宋体" w:hint="eastAsia"/>
        </w:rPr>
        <w:t>二、着力提高抗菌药物合理应用能力</w:t>
      </w:r>
    </w:p>
    <w:p>
      <w:pPr>
        <w:pStyle w:val="BodyText"/>
        <w:spacing w:line="297" w:lineRule="auto" w:before="71"/>
        <w:ind w:right="1007" w:firstLine="446"/>
      </w:pPr>
      <w:r>
        <w:rPr/>
        <w:t>（三</w:t>
      </w:r>
      <w:r>
        <w:rPr>
          <w:spacing w:val="-34"/>
        </w:rPr>
        <w:t>）</w:t>
      </w:r>
      <w:r>
        <w:rPr>
          <w:spacing w:val="-4"/>
        </w:rPr>
        <w:t>广泛开展抗菌药物知识培训。各级卫生健康行政部门和各医疗机构要建立规范合</w:t>
      </w:r>
      <w:r>
        <w:rPr>
          <w:spacing w:val="-17"/>
        </w:rPr>
        <w:t>理的培训考核制度，制订培训大纲和培训计划，对相关医务人员开展感染性疾病规范化诊疗、</w:t>
      </w:r>
      <w:r>
        <w:rPr>
          <w:spacing w:val="-7"/>
        </w:rPr>
        <w:t>抗菌药物合理使用、医院感染防控等培训及考核。重点加强对医师的培训，提高对感染性疾</w:t>
      </w:r>
      <w:r>
        <w:rPr>
          <w:spacing w:val="-12"/>
        </w:rPr>
        <w:t>病诊疗规范、临床路径的依从性。经本机构培训并考核合格的医师，方可授予相应的抗菌药物处方权。不得单纯依据医师职称授予处方权限。</w:t>
      </w:r>
    </w:p>
    <w:p>
      <w:pPr>
        <w:pStyle w:val="BodyText"/>
        <w:spacing w:line="297" w:lineRule="auto"/>
        <w:ind w:right="1127" w:firstLine="453"/>
        <w:jc w:val="both"/>
      </w:pPr>
      <w:r>
        <w:rPr/>
        <w:t>（四</w:t>
      </w:r>
      <w:r>
        <w:rPr>
          <w:spacing w:val="-27"/>
        </w:rPr>
        <w:t>）</w:t>
      </w:r>
      <w:r>
        <w:rPr>
          <w:spacing w:val="-6"/>
        </w:rPr>
        <w:t>高度重视相关学科建设。通过加大学科建设力度，健全抗菌药物临床应用管理技</w:t>
      </w:r>
      <w:r>
        <w:rPr>
          <w:spacing w:val="-2"/>
        </w:rPr>
        <w:t>术支撑体系。要落实二级以上综合医院感染性疾病科的建设要求，在 </w:t>
      </w:r>
      <w:r>
        <w:rPr/>
        <w:t>2020</w:t>
      </w:r>
      <w:r>
        <w:rPr>
          <w:spacing w:val="-8"/>
        </w:rPr>
        <w:t> 年以前设立以收</w:t>
      </w:r>
      <w:r>
        <w:rPr>
          <w:spacing w:val="-13"/>
        </w:rPr>
        <w:t>治细菌真菌感染为主要疾病的感染病区或医疗组，加快感染性疾病诊疗能力建设。加强临床</w:t>
      </w:r>
      <w:r>
        <w:rPr>
          <w:spacing w:val="-9"/>
        </w:rPr>
        <w:t>药师培养和配备，转变药学服务模式，充分发挥临床药师在感染性疾病诊治中的作用。认真执行微生物标本采集、送检相关的卫生行业标准与专家共识，提高细菌真菌感染的病原学诊</w:t>
      </w:r>
      <w:r>
        <w:rPr>
          <w:spacing w:val="-10"/>
        </w:rPr>
        <w:t>断水平。加强医院感染管理人员队伍建设，提高医院感染管理和业务技术水平。省级卫生健</w:t>
      </w:r>
      <w:r>
        <w:rPr/>
        <w:t>康行政部门要将上述要求纳入医院评审，促进工作落实。</w:t>
      </w:r>
    </w:p>
    <w:p>
      <w:pPr>
        <w:pStyle w:val="BodyText"/>
        <w:spacing w:line="297" w:lineRule="auto"/>
        <w:ind w:right="1130" w:firstLine="446"/>
        <w:jc w:val="both"/>
      </w:pPr>
      <w:r>
        <w:rPr/>
        <w:t>（五</w:t>
      </w:r>
      <w:r>
        <w:rPr>
          <w:spacing w:val="-34"/>
        </w:rPr>
        <w:t>）</w:t>
      </w:r>
      <w:r>
        <w:rPr>
          <w:spacing w:val="-5"/>
        </w:rPr>
        <w:t>提高基层抗菌药物使用水平。各级卫生健康行政部门要结合分级诊疗制度和医联</w:t>
      </w:r>
      <w:r>
        <w:rPr>
          <w:spacing w:val="-9"/>
        </w:rPr>
        <w:t>体建设，加强对县医院和基层医疗机构的技术支持。通过进修培训、对口支援、远程会诊等方式，指导基层医务人员学习执行相关诊疗规范、临床路径，提高合理用药意识，促进基层</w:t>
      </w:r>
      <w:r>
        <w:rPr/>
        <w:t>规范诊治感染性疾病。</w:t>
      </w:r>
    </w:p>
    <w:p>
      <w:pPr>
        <w:pStyle w:val="BodyText"/>
        <w:spacing w:line="295" w:lineRule="auto"/>
        <w:ind w:right="1128" w:firstLine="453"/>
        <w:jc w:val="both"/>
      </w:pPr>
      <w:r>
        <w:rPr/>
        <w:t>（六</w:t>
      </w:r>
      <w:r>
        <w:rPr>
          <w:spacing w:val="-27"/>
        </w:rPr>
        <w:t>）</w:t>
      </w:r>
      <w:r>
        <w:rPr>
          <w:spacing w:val="-5"/>
        </w:rPr>
        <w:t>做好医院感染预防与控制。严格落实医院感染防控基础措施，提高医师手卫生依</w:t>
      </w:r>
      <w:r>
        <w:rPr>
          <w:spacing w:val="-7"/>
        </w:rPr>
        <w:t>从性，执行有关操作规范和技术标准。重点加强对 </w:t>
      </w:r>
      <w:r>
        <w:rPr/>
        <w:t>ICU</w:t>
      </w:r>
      <w:r>
        <w:rPr>
          <w:spacing w:val="-6"/>
        </w:rPr>
        <w:t>、呼吸、急诊等重点科室以及基层医</w:t>
      </w:r>
      <w:r>
        <w:rPr>
          <w:spacing w:val="-8"/>
        </w:rPr>
        <w:t>疗机构的医院感染防控，减少中心静脉导管相关血流感染、呼吸机相关肺炎、导尿管相关尿</w:t>
      </w:r>
      <w:r>
        <w:rPr>
          <w:spacing w:val="-11"/>
        </w:rPr>
        <w:t>路感染、透析相关感染、手术部位感染、操作后肺炎以及多重耐药感染的发生，加强碳青霉</w:t>
      </w:r>
      <w:r>
        <w:rPr>
          <w:spacing w:val="-6"/>
        </w:rPr>
        <w:t>烯类耐药革兰阴性菌所致感染的防控和监测。通过做好医院感染防控，控制耐药菌、条件致</w:t>
      </w:r>
      <w:r>
        <w:rPr/>
        <w:t>病菌及其他病原微生物的传播，降低医院感染风险，减少不必要的抗菌药物使用需求。</w:t>
      </w:r>
    </w:p>
    <w:p>
      <w:pPr>
        <w:pStyle w:val="Heading3"/>
        <w:ind w:left="717"/>
        <w:rPr>
          <w:rFonts w:ascii="宋体" w:eastAsia="宋体" w:hint="eastAsia"/>
        </w:rPr>
      </w:pPr>
      <w:r>
        <w:rPr>
          <w:rFonts w:ascii="宋体" w:eastAsia="宋体" w:hint="eastAsia"/>
        </w:rPr>
        <w:t>三、狠抓抗菌药物应用的重点环节管理</w:t>
      </w:r>
    </w:p>
    <w:p>
      <w:pPr>
        <w:pStyle w:val="BodyText"/>
        <w:spacing w:line="297" w:lineRule="auto" w:before="65"/>
        <w:ind w:right="1027" w:firstLine="453"/>
      </w:pPr>
      <w:r>
        <w:rPr/>
        <w:t>（七</w:t>
      </w:r>
      <w:r>
        <w:rPr>
          <w:spacing w:val="-27"/>
        </w:rPr>
        <w:t>）</w:t>
      </w:r>
      <w:r>
        <w:rPr>
          <w:spacing w:val="-5"/>
        </w:rPr>
        <w:t>加强专档管理的内涵建设。根据临床监测情况，继续对碳青霉烯类抗菌药物及替</w:t>
      </w:r>
      <w:r>
        <w:rPr>
          <w:spacing w:val="-11"/>
        </w:rPr>
        <w:t>加环素实行专档管理，并做好其内涵管理。专档管理要覆盖处方开具、处方审核、临床使用</w:t>
      </w:r>
      <w:r>
        <w:rPr>
          <w:spacing w:val="-15"/>
        </w:rPr>
        <w:t>和处方点评等各环节。要严格落实《碳青霉烯类抗菌药物临床应用专家共识》《碳青霉烯类</w:t>
      </w:r>
      <w:r>
        <w:rPr>
          <w:spacing w:val="-17"/>
        </w:rPr>
        <w:t>抗菌药物临床应用评价细则》和《替加环素临床应用评价细则》，遏制碳青霉烯类耐药过快</w:t>
      </w:r>
      <w:r>
        <w:rPr>
          <w:spacing w:val="-18"/>
        </w:rPr>
        <w:t>增长的势头。鼓励医疗机构对耐药率较高的含酶抑制剂复合制剂等抗菌药物进行重点监控， </w:t>
      </w:r>
      <w:r>
        <w:rPr/>
        <w:t>纳入专档管理。</w:t>
      </w:r>
    </w:p>
    <w:p>
      <w:pPr>
        <w:pStyle w:val="BodyText"/>
        <w:spacing w:line="297" w:lineRule="auto"/>
        <w:ind w:right="1010" w:firstLine="405"/>
      </w:pPr>
      <w:r>
        <w:rPr/>
        <w:t>（八</w:t>
      </w:r>
      <w:r>
        <w:rPr>
          <w:spacing w:val="-75"/>
        </w:rPr>
        <w:t>）</w:t>
      </w:r>
      <w:r>
        <w:rPr>
          <w:spacing w:val="-7"/>
        </w:rPr>
        <w:t>合理调整抗菌药物供应目录。医疗机构要落实抗菌药物供应目录遴选和评估制度， </w:t>
      </w:r>
      <w:r>
        <w:rPr>
          <w:spacing w:val="-6"/>
        </w:rPr>
        <w:t>综合考量新药和新技术应用情况，对抗菌药物供应目录进行科学合理的动态调整。目录调整</w:t>
      </w:r>
      <w:r>
        <w:rPr>
          <w:spacing w:val="-14"/>
        </w:rPr>
        <w:t>周期原则上为 </w:t>
      </w:r>
      <w:r>
        <w:rPr/>
        <w:t>2</w:t>
      </w:r>
      <w:r>
        <w:rPr>
          <w:spacing w:val="-20"/>
        </w:rPr>
        <w:t> 年，最短不少于 </w:t>
      </w:r>
      <w:r>
        <w:rPr/>
        <w:t>1</w:t>
      </w:r>
      <w:r>
        <w:rPr>
          <w:spacing w:val="-13"/>
        </w:rPr>
        <w:t> 年，避免无理由地频繁调整供应目录品种。供应目录应当</w:t>
      </w:r>
      <w:r>
        <w:rPr>
          <w:spacing w:val="-16"/>
        </w:rPr>
        <w:t>满足临床感染性疾病诊疗需要，杜绝违规目录外用药或外购用药情况发生。同时，应当根据</w:t>
      </w:r>
      <w:r>
        <w:rPr>
          <w:spacing w:val="-14"/>
        </w:rPr>
        <w:t>临床实际，及时启动供应目录调整，将耐药率高、不良反应多、循证医学证据不足、违规使用突出的药品，清退出供应目录，避免长时间不调整供应目录。</w:t>
      </w:r>
    </w:p>
    <w:p>
      <w:pPr>
        <w:pStyle w:val="BodyText"/>
        <w:spacing w:line="300" w:lineRule="exact"/>
        <w:ind w:left="683"/>
      </w:pPr>
      <w:r>
        <w:rPr/>
        <w:t>（九）减少预防使用和不合理静脉输注。继续加强Ⅰ类和Ⅱ类切口围手术期预防使用抗</w:t>
      </w:r>
    </w:p>
    <w:p>
      <w:pPr>
        <w:spacing w:after="0" w:line="300" w:lineRule="exact"/>
        <w:sectPr>
          <w:pgSz w:w="11910" w:h="16850"/>
          <w:pgMar w:header="906" w:footer="607" w:top="1100" w:bottom="800" w:left="1040" w:right="0"/>
        </w:sectPr>
      </w:pPr>
    </w:p>
    <w:p>
      <w:pPr>
        <w:pStyle w:val="BodyText"/>
        <w:spacing w:line="297" w:lineRule="auto" w:before="65"/>
        <w:ind w:right="1127"/>
        <w:jc w:val="both"/>
      </w:pPr>
      <w:r>
        <w:rPr>
          <w:spacing w:val="-10"/>
        </w:rPr>
        <w:t>菌药物的管理，改变过度依赖抗菌药物预防手术感染的状况。限制门诊静脉输注抗菌药物的</w:t>
      </w:r>
      <w:r>
        <w:rPr>
          <w:spacing w:val="-9"/>
        </w:rPr>
        <w:t>地区，要重点关注急诊静脉输注抗菌药物的情况，强调“能口服不肌注，能肌注不输液”的</w:t>
      </w:r>
      <w:r>
        <w:rPr>
          <w:spacing w:val="-12"/>
        </w:rPr>
        <w:t>原则。各地要根据抗菌药物使用监测结果，采取针对性措施，减少不合理的预防性使用和静</w:t>
      </w:r>
      <w:r>
        <w:rPr/>
        <w:t>脉输注抗菌药物。</w:t>
      </w:r>
    </w:p>
    <w:p>
      <w:pPr>
        <w:pStyle w:val="Heading3"/>
        <w:spacing w:line="302" w:lineRule="exact"/>
        <w:ind w:left="717"/>
        <w:rPr>
          <w:rFonts w:ascii="宋体" w:eastAsia="宋体" w:hint="eastAsia"/>
        </w:rPr>
      </w:pPr>
      <w:r>
        <w:rPr>
          <w:rFonts w:ascii="宋体" w:eastAsia="宋体" w:hint="eastAsia"/>
        </w:rPr>
        <w:t>四、提升抗菌药物管理水平</w:t>
      </w:r>
    </w:p>
    <w:p>
      <w:pPr>
        <w:pStyle w:val="BodyText"/>
        <w:spacing w:line="297" w:lineRule="auto" w:before="71"/>
        <w:ind w:right="1015" w:firstLine="453"/>
      </w:pPr>
      <w:r>
        <w:rPr/>
        <w:t>（十</w:t>
      </w:r>
      <w:r>
        <w:rPr>
          <w:spacing w:val="-27"/>
        </w:rPr>
        <w:t>）</w:t>
      </w:r>
      <w:r>
        <w:rPr>
          <w:spacing w:val="-5"/>
        </w:rPr>
        <w:t>加强信息化管理。各医疗机构要结合电子病历推进工作，将抗菌药物临床应用管</w:t>
      </w:r>
      <w:r>
        <w:rPr>
          <w:spacing w:val="-10"/>
        </w:rPr>
        <w:t>理的各项要求嵌入医院信息系统。依托信息化手段，落实医师抗菌药物处方权限、药师处方</w:t>
      </w:r>
      <w:r>
        <w:rPr>
          <w:spacing w:val="-12"/>
        </w:rPr>
        <w:t>审核资格、特殊使用级抗菌药物处方点评以及动态评估和预警等要求。发挥信息化在辅助诊</w:t>
      </w:r>
      <w:r>
        <w:rPr>
          <w:spacing w:val="-16"/>
        </w:rPr>
        <w:t>断、临床决策支持等方面的积极作用，逐步实现抗菌药物科学化、精细化、自动化、智能化、</w:t>
      </w:r>
      <w:r>
        <w:rPr/>
        <w:t>个体化管理。</w:t>
      </w:r>
    </w:p>
    <w:p>
      <w:pPr>
        <w:pStyle w:val="BodyText"/>
        <w:spacing w:line="297" w:lineRule="auto"/>
        <w:ind w:right="1027" w:firstLine="453"/>
      </w:pPr>
      <w:r>
        <w:rPr/>
        <w:t>（十一</w:t>
      </w:r>
      <w:r>
        <w:rPr>
          <w:spacing w:val="-27"/>
        </w:rPr>
        <w:t>）</w:t>
      </w:r>
      <w:r>
        <w:rPr>
          <w:spacing w:val="-5"/>
        </w:rPr>
        <w:t>开展阶段性效果评估。各地、各医疗机构应当定期组织开展抗菌药物临床应用</w:t>
      </w:r>
      <w:r>
        <w:rPr>
          <w:spacing w:val="-12"/>
        </w:rPr>
        <w:t>管理阶段性效果评估。除抗菌药物使用指标和细菌耐药控制情况外，对抗菌药物管理效果的</w:t>
      </w:r>
      <w:r>
        <w:rPr>
          <w:spacing w:val="-13"/>
        </w:rPr>
        <w:t>评估还应当充分考量疾病转归和患者预后等有关指标，如感染性疾病治愈率和归因病死率、</w:t>
      </w:r>
      <w:r>
        <w:rPr>
          <w:spacing w:val="-8"/>
        </w:rPr>
        <w:t>医院感染发生率、药物不良事件发生率、艰难梭菌感染发生率等。重点加强对脓毒症</w:t>
      </w:r>
      <w:r>
        <w:rPr/>
        <w:t>（包括败血症）、脓毒性休克等患者初始抗菌药物合理使用的评估。</w:t>
      </w:r>
    </w:p>
    <w:p>
      <w:pPr>
        <w:pStyle w:val="BodyText"/>
        <w:spacing w:line="295" w:lineRule="auto"/>
        <w:ind w:right="1026" w:firstLine="446"/>
      </w:pPr>
      <w:r>
        <w:rPr/>
        <w:t>（十二</w:t>
      </w:r>
      <w:r>
        <w:rPr>
          <w:spacing w:val="-34"/>
        </w:rPr>
        <w:t>）</w:t>
      </w:r>
      <w:r>
        <w:rPr>
          <w:spacing w:val="-6"/>
        </w:rPr>
        <w:t>做好临床监测。各医疗机构要按照要求向抗菌药物临床应用监测网和细菌耐药</w:t>
      </w:r>
      <w:r>
        <w:rPr>
          <w:spacing w:val="-12"/>
        </w:rPr>
        <w:t>监测网报送监测数据，并确保数据质量。鼓励各地卫生健康行政部门扩大监测范围，尤其关</w:t>
      </w:r>
      <w:r>
        <w:rPr>
          <w:spacing w:val="-13"/>
        </w:rPr>
        <w:t>注儿童、老年人、孕产妇等特殊人群的用药监测，并重视对监测结果的评价和利用。同时， </w:t>
      </w:r>
      <w:r>
        <w:rPr>
          <w:spacing w:val="-5"/>
        </w:rPr>
        <w:t>开展医院感染主动监测与前瞻性评价，及早发现并降低感染风险。加强医疗机构内重点部位</w:t>
      </w:r>
      <w:r>
        <w:rPr>
          <w:spacing w:val="-11"/>
        </w:rPr>
        <w:t>重点环节医院感染监测，科学合理设定监测指标，及时发现工作薄弱环节，指导做好医院感染防控工作。</w:t>
      </w:r>
    </w:p>
    <w:p>
      <w:pPr>
        <w:pStyle w:val="Heading3"/>
        <w:ind w:left="719"/>
        <w:rPr>
          <w:rFonts w:ascii="宋体" w:eastAsia="宋体" w:hint="eastAsia"/>
        </w:rPr>
      </w:pPr>
      <w:r>
        <w:rPr>
          <w:rFonts w:ascii="宋体" w:eastAsia="宋体" w:hint="eastAsia"/>
        </w:rPr>
        <w:t>五、开展科学知识普及和宣传教育</w:t>
      </w:r>
    </w:p>
    <w:p>
      <w:pPr>
        <w:pStyle w:val="BodyText"/>
        <w:spacing w:line="297" w:lineRule="auto" w:before="72"/>
        <w:ind w:right="1127" w:firstLine="480"/>
      </w:pPr>
      <w:r>
        <w:rPr>
          <w:spacing w:val="-5"/>
        </w:rPr>
        <w:t>各级卫生健康行政部门和各医疗机构要加强对患者的合理用药指导，充分宣传抗菌药物</w:t>
      </w:r>
      <w:r>
        <w:rPr>
          <w:spacing w:val="-7"/>
        </w:rPr>
        <w:t>使用误区和不合理使用的危害；纠正患者不规范的自我治疗行为，在谨慎使用抗菌药物的同</w:t>
      </w:r>
      <w:r>
        <w:rPr>
          <w:spacing w:val="-11"/>
        </w:rPr>
        <w:t>时，遵医嘱、足剂量、足疗程地使用抗菌药物。建立抗菌药物合理使用定期宣传机制，每年11</w:t>
      </w:r>
      <w:r>
        <w:rPr>
          <w:spacing w:val="-8"/>
        </w:rPr>
        <w:t> 月第三周与世界卫生组织同步开展宣传活动。将抗菌药物合理使用科普宣教融入到社区</w:t>
      </w:r>
      <w:r>
        <w:rPr>
          <w:spacing w:val="-14"/>
        </w:rPr>
        <w:t>和基层文化活动中，充分利用公共媒体、新媒体等多种形式，为社会公众提供准确的信息和</w:t>
      </w:r>
      <w:r>
        <w:rPr/>
        <w:t>报道，科学宣传抗菌药物使用知识。</w:t>
      </w:r>
    </w:p>
    <w:p>
      <w:pPr>
        <w:pStyle w:val="BodyText"/>
        <w:tabs>
          <w:tab w:pos="5998" w:val="left" w:leader="none"/>
        </w:tabs>
        <w:spacing w:line="412" w:lineRule="exact"/>
        <w:ind w:left="3237"/>
        <w:rPr>
          <w:rFonts w:ascii="Meiryo" w:eastAsia="Meiryo" w:hint="eastAsia"/>
          <w:b/>
        </w:rPr>
      </w:pPr>
      <w:r>
        <w:rPr/>
        <w:t>国家卫生健康委办公厅</w:t>
        <w:tab/>
        <w:t>2019</w:t>
      </w:r>
      <w:r>
        <w:rPr>
          <w:spacing w:val="-60"/>
        </w:rPr>
        <w:t> </w:t>
      </w:r>
      <w:r>
        <w:rPr/>
        <w:t>年</w:t>
      </w:r>
      <w:r>
        <w:rPr>
          <w:spacing w:val="-60"/>
        </w:rPr>
        <w:t> </w:t>
      </w:r>
      <w:r>
        <w:rPr/>
        <w:t>3</w:t>
      </w:r>
      <w:r>
        <w:rPr>
          <w:spacing w:val="-60"/>
        </w:rPr>
        <w:t> </w:t>
      </w:r>
      <w:r>
        <w:rPr/>
        <w:t>月</w:t>
      </w:r>
      <w:r>
        <w:rPr>
          <w:spacing w:val="-60"/>
        </w:rPr>
        <w:t> </w:t>
      </w:r>
      <w:r>
        <w:rPr/>
        <w:t>29</w:t>
      </w:r>
      <w:r>
        <w:rPr>
          <w:spacing w:val="-59"/>
        </w:rPr>
        <w:t> </w:t>
      </w:r>
      <w:r>
        <w:rPr/>
        <w:t>日</w:t>
      </w:r>
      <w:r>
        <w:rPr>
          <w:rFonts w:ascii="Meiryo" w:eastAsia="Meiryo" w:hint="eastAsia"/>
          <w:b/>
          <w:color w:val="0033CC"/>
        </w:rPr>
        <w:t>[返回目次]</w:t>
      </w:r>
    </w:p>
    <w:p>
      <w:pPr>
        <w:pStyle w:val="BodyText"/>
        <w:spacing w:before="11"/>
        <w:ind w:left="0"/>
        <w:rPr>
          <w:rFonts w:ascii="Meiryo"/>
          <w:b/>
          <w:sz w:val="10"/>
        </w:rPr>
      </w:pPr>
    </w:p>
    <w:p>
      <w:pPr>
        <w:pStyle w:val="BodyText"/>
        <w:spacing w:before="67"/>
        <w:ind w:left="0" w:right="894"/>
        <w:jc w:val="center"/>
      </w:pPr>
      <w:r>
        <w:rPr/>
        <w:t>国家卫生健康委就相关管理办法征求意见提出——</w:t>
      </w:r>
    </w:p>
    <w:p>
      <w:pPr>
        <w:pStyle w:val="Heading2"/>
        <w:spacing w:before="150"/>
        <w:ind w:left="0" w:right="896"/>
        <w:jc w:val="center"/>
      </w:pPr>
      <w:r>
        <w:rPr/>
        <w:t>体细胞治疗研究应用需备案</w:t>
      </w:r>
    </w:p>
    <w:p>
      <w:pPr>
        <w:pStyle w:val="Heading3"/>
        <w:spacing w:before="145"/>
        <w:ind w:right="1128"/>
        <w:jc w:val="right"/>
      </w:pPr>
      <w:r>
        <w:rPr>
          <w:color w:val="FF0000"/>
          <w:w w:val="95"/>
        </w:rPr>
        <w:t>（来源：健康报）</w:t>
      </w:r>
    </w:p>
    <w:p>
      <w:pPr>
        <w:pStyle w:val="BodyText"/>
        <w:spacing w:line="297" w:lineRule="auto" w:before="96"/>
        <w:ind w:right="1027" w:firstLine="480"/>
      </w:pPr>
      <w:r>
        <w:rPr>
          <w:spacing w:val="-8"/>
        </w:rPr>
        <w:t>近日，国家卫生健康委就《体细胞治疗临床研究和转化应用管理办法</w:t>
      </w:r>
      <w:r>
        <w:rPr/>
        <w:t>（试行</w:t>
      </w:r>
      <w:r>
        <w:rPr>
          <w:spacing w:val="-22"/>
        </w:rPr>
        <w:t>）</w:t>
      </w:r>
      <w:r>
        <w:rPr>
          <w:spacing w:val="-6"/>
        </w:rPr>
        <w:t>》向社会</w:t>
      </w:r>
      <w:r>
        <w:rPr>
          <w:spacing w:val="-11"/>
        </w:rPr>
        <w:t>公开征求意见。征求意见稿提出，国家卫生健康委将对体细胞临床研究进行备案管理，允许</w:t>
      </w:r>
      <w:r>
        <w:rPr>
          <w:spacing w:val="-12"/>
        </w:rPr>
        <w:t>经医疗机构临床研究证明安全有效的体细胞治疗项目经备案后在本医疗机构进入转化应用， </w:t>
      </w:r>
      <w:r>
        <w:rPr>
          <w:spacing w:val="-4"/>
        </w:rPr>
        <w:t>并向社会公示完成备案的医疗机构及临床研究或转化应用项目清单，接受社会监督。对细胞</w:t>
      </w:r>
    </w:p>
    <w:p>
      <w:pPr>
        <w:spacing w:after="0" w:line="297" w:lineRule="auto"/>
        <w:sectPr>
          <w:pgSz w:w="11910" w:h="16850"/>
          <w:pgMar w:header="906" w:footer="607" w:top="1100" w:bottom="800" w:left="1040" w:right="0"/>
        </w:sectPr>
      </w:pPr>
    </w:p>
    <w:p>
      <w:pPr>
        <w:pStyle w:val="BodyText"/>
        <w:spacing w:line="295" w:lineRule="auto" w:before="65"/>
        <w:ind w:right="1127"/>
      </w:pPr>
      <w:r>
        <w:rPr>
          <w:spacing w:val="-7"/>
        </w:rPr>
        <w:t>治疗转化应用项目进行目录管理，与产业化前景明显的细胞治疗产品错位发展。体细胞治疗</w:t>
      </w:r>
      <w:r>
        <w:rPr/>
        <w:t>在临床研究阶段不得向受试者收取任何研究相关费用。</w:t>
      </w:r>
    </w:p>
    <w:p>
      <w:pPr>
        <w:pStyle w:val="BodyText"/>
        <w:spacing w:line="297" w:lineRule="auto" w:before="2"/>
        <w:ind w:right="1127" w:firstLine="480"/>
        <w:jc w:val="both"/>
      </w:pPr>
      <w:r>
        <w:rPr>
          <w:spacing w:val="-8"/>
        </w:rPr>
        <w:t>征求意见稿指出，开展体细胞治疗临床研究和转化应用的医疗机构、临床研究项目、转</w:t>
      </w:r>
      <w:r>
        <w:rPr>
          <w:spacing w:val="-7"/>
        </w:rPr>
        <w:t>化应用项目均应具备相应条件，在国家卫生健康委备案，并在备案项目范围内开展体细胞治</w:t>
      </w:r>
      <w:r>
        <w:rPr>
          <w:spacing w:val="-11"/>
        </w:rPr>
        <w:t>疗临床研究和转化应用。国家卫生健康委将参照药品生产质量管理规范的核心技术标准组织</w:t>
      </w:r>
      <w:r>
        <w:rPr>
          <w:spacing w:val="-9"/>
        </w:rPr>
        <w:t>制定和发布《体细胞治疗临床研究和转化应用技术规范》，组建体细胞治疗专家委员会，建</w:t>
      </w:r>
      <w:r>
        <w:rPr/>
        <w:t>立和维护登记备案信息系统。</w:t>
      </w:r>
    </w:p>
    <w:p>
      <w:pPr>
        <w:pStyle w:val="BodyText"/>
        <w:spacing w:line="297" w:lineRule="auto"/>
        <w:ind w:right="1025" w:firstLine="480"/>
      </w:pPr>
      <w:r>
        <w:rPr>
          <w:spacing w:val="-9"/>
        </w:rPr>
        <w:t>根据征求意见稿，开展体细胞治疗临床研究和转化应用的医疗机构，应满足三级甲等医</w:t>
      </w:r>
      <w:r>
        <w:rPr>
          <w:spacing w:val="-13"/>
        </w:rPr>
        <w:t>疗机构要求，具备较强的医疗、教学和科研能力，具有相应的诊疗科目并完成药物临床试验机构备案；承担过省级及以上科技部门或卫生健康部门立项的体细胞治疗领域研究项目；具</w:t>
      </w:r>
      <w:r>
        <w:rPr>
          <w:spacing w:val="-17"/>
        </w:rPr>
        <w:t>有满足体细胞制备所需要的实验室以及相应的设施设备；建立质量管理及风险控制制度体系等条件。体细胞治疗临床研究项目应具备充分的科学依据，用于尚无有效干预措施的疾病， </w:t>
      </w:r>
      <w:r>
        <w:rPr>
          <w:spacing w:val="-5"/>
        </w:rPr>
        <w:t>或用于严重威胁生命和影响生存质量的疾病，旨在提高现有治疗方法的疗效；通过本机构的</w:t>
      </w:r>
    </w:p>
    <w:p>
      <w:pPr>
        <w:pStyle w:val="BodyText"/>
        <w:spacing w:line="412" w:lineRule="exact"/>
        <w:rPr>
          <w:rFonts w:ascii="Meiryo" w:eastAsia="Meiryo" w:hint="eastAsia"/>
          <w:b/>
        </w:rPr>
      </w:pPr>
      <w:r>
        <w:rPr/>
        <w:t>科学性审查和伦理审查，并由医疗机构主要负责人审核立项。</w:t>
      </w:r>
      <w:r>
        <w:rPr>
          <w:rFonts w:ascii="Meiryo" w:eastAsia="Meiryo" w:hint="eastAsia"/>
          <w:b/>
          <w:color w:val="0033CC"/>
        </w:rPr>
        <w:t>[返回目次]</w:t>
      </w:r>
    </w:p>
    <w:p>
      <w:pPr>
        <w:pStyle w:val="Heading2"/>
        <w:spacing w:before="59"/>
      </w:pPr>
      <w:r>
        <w:rPr/>
        <w:t>【药监动态】</w:t>
      </w:r>
    </w:p>
    <w:p>
      <w:pPr>
        <w:spacing w:before="153"/>
        <w:ind w:left="0" w:right="891" w:firstLine="0"/>
        <w:jc w:val="center"/>
        <w:rPr>
          <w:sz w:val="21"/>
        </w:rPr>
      </w:pPr>
      <w:r>
        <w:rPr>
          <w:sz w:val="21"/>
        </w:rPr>
        <w:t>国务院明确《政府工作报告》重点工作部门分工</w:t>
      </w:r>
    </w:p>
    <w:p>
      <w:pPr>
        <w:pStyle w:val="Heading2"/>
        <w:spacing w:before="159"/>
        <w:ind w:left="0" w:right="895"/>
        <w:jc w:val="center"/>
      </w:pPr>
      <w:r>
        <w:rPr/>
        <w:t>国家药监局领到三项任务</w:t>
      </w:r>
    </w:p>
    <w:p>
      <w:pPr>
        <w:pStyle w:val="Heading3"/>
        <w:spacing w:before="208"/>
        <w:ind w:right="1128"/>
        <w:jc w:val="right"/>
      </w:pPr>
      <w:r>
        <w:rPr>
          <w:color w:val="FF0000"/>
          <w:w w:val="95"/>
        </w:rPr>
        <w:t>（来源：中国医药报）</w:t>
      </w:r>
    </w:p>
    <w:p>
      <w:pPr>
        <w:pStyle w:val="BodyText"/>
        <w:spacing w:line="280" w:lineRule="auto" w:before="79"/>
        <w:ind w:right="1005" w:firstLine="482"/>
      </w:pPr>
      <w:r>
        <w:rPr/>
        <w:t>4</w:t>
      </w:r>
      <w:r>
        <w:rPr>
          <w:spacing w:val="-41"/>
        </w:rPr>
        <w:t> 月 </w:t>
      </w:r>
      <w:r>
        <w:rPr/>
        <w:t>9</w:t>
      </w:r>
      <w:r>
        <w:rPr>
          <w:spacing w:val="-16"/>
        </w:rPr>
        <w:t> 日，国务院印发《关于落实〈政府工作报告〉重点工作部门分工的意见》。其中， </w:t>
      </w:r>
      <w:r>
        <w:rPr>
          <w:spacing w:val="-9"/>
        </w:rPr>
        <w:t>按照职责分工，国家药品监督管理局负责的重点工作有三项，包括完善药品集中采购和使用</w:t>
      </w:r>
      <w:r>
        <w:rPr>
          <w:spacing w:val="-12"/>
        </w:rPr>
        <w:t>机制、加强重大疾病防治、强化药品疫苗全程监管。与医药行业相关的国家重点工作的分工</w:t>
      </w:r>
      <w:r>
        <w:rPr>
          <w:spacing w:val="-25"/>
        </w:rPr>
        <w:t>意见有 </w:t>
      </w:r>
      <w:r>
        <w:rPr/>
        <w:t>11</w:t>
      </w:r>
      <w:r>
        <w:rPr>
          <w:spacing w:val="-8"/>
        </w:rPr>
        <w:t> 条，涉及生物医药、医养结合、重大疾病防治、医药卫生体制改革等。</w:t>
      </w:r>
    </w:p>
    <w:p>
      <w:pPr>
        <w:pStyle w:val="BodyText"/>
        <w:spacing w:line="280" w:lineRule="auto" w:before="1"/>
        <w:ind w:right="1126" w:firstLine="602"/>
        <w:jc w:val="both"/>
      </w:pPr>
      <w:r>
        <w:rPr>
          <w:spacing w:val="-17"/>
        </w:rPr>
        <w:t>“深化医疗、医保、医药联动改革；</w:t>
      </w:r>
      <w:r>
        <w:rPr>
          <w:spacing w:val="-32"/>
        </w:rPr>
        <w:t>17</w:t>
      </w:r>
      <w:r>
        <w:rPr>
          <w:spacing w:val="-1"/>
        </w:rPr>
        <w:t> 种抗癌药大幅降价并纳入国家医保目录„</w:t>
      </w:r>
      <w:r>
        <w:rPr>
          <w:spacing w:val="-3"/>
        </w:rPr>
        <w:t>”2018 年，中国医药卫生事业交出亮眼成绩单。步入 </w:t>
      </w:r>
      <w:r>
        <w:rPr/>
        <w:t>2019</w:t>
      </w:r>
      <w:r>
        <w:rPr>
          <w:spacing w:val="-8"/>
        </w:rPr>
        <w:t> 年，在人口老龄化、疾病谱转变等背景</w:t>
      </w:r>
      <w:r>
        <w:rPr>
          <w:spacing w:val="-12"/>
        </w:rPr>
        <w:t>下，如何继续缓解百姓看病难、看病贵等难题，切实提升人民群众用药可及性？今年政府工</w:t>
      </w:r>
      <w:r>
        <w:rPr>
          <w:spacing w:val="-8"/>
        </w:rPr>
        <w:t>作报告中提出了多项举措。此次下发的重点工作部门分工意见中，国家药监局需按职责分工负责的举措有三项：一是完善药品集中采购和使用机制。二是加强重大疾病防治。要实施癌</w:t>
      </w:r>
      <w:r>
        <w:rPr>
          <w:spacing w:val="-9"/>
        </w:rPr>
        <w:t>症防治行动，推进预防筛查、早诊早治和科研攻关。加快儿童药物研发。加强罕见病用药保</w:t>
      </w:r>
      <w:r>
        <w:rPr>
          <w:spacing w:val="-10"/>
        </w:rPr>
        <w:t>障。三是药品疫苗攸关生命安全，必须强化全程监管，对违法者要严惩不贷，对失职渎职者要严肃查办。</w:t>
      </w:r>
    </w:p>
    <w:p>
      <w:pPr>
        <w:pStyle w:val="BodyText"/>
        <w:spacing w:line="280" w:lineRule="auto" w:before="2"/>
        <w:ind w:right="1126" w:firstLine="482"/>
      </w:pPr>
      <w:r>
        <w:rPr>
          <w:spacing w:val="-10"/>
        </w:rPr>
        <w:t>此外，一系列分工与医药产业相关：培育生物医药等新兴产业集群。改革完善医养结合</w:t>
      </w:r>
      <w:r>
        <w:rPr/>
        <w:t>政策。继续提高城乡居民基本医保和大病保险保障水平，居民医保人均财政补助标准增加30</w:t>
      </w:r>
      <w:r>
        <w:rPr>
          <w:spacing w:val="-12"/>
        </w:rPr>
        <w:t> 元，一半用于大病保险。降低并统一大病保险起付线，报销比例由 </w:t>
      </w:r>
      <w:r>
        <w:rPr/>
        <w:t>50%</w:t>
      </w:r>
      <w:r>
        <w:rPr>
          <w:spacing w:val="-15"/>
        </w:rPr>
        <w:t>提高到 </w:t>
      </w:r>
      <w:r>
        <w:rPr/>
        <w:t>60%</w:t>
      </w:r>
      <w:r>
        <w:rPr>
          <w:spacing w:val="-10"/>
        </w:rPr>
        <w:t>。深化</w:t>
      </w:r>
      <w:r>
        <w:rPr>
          <w:spacing w:val="-8"/>
        </w:rPr>
        <w:t>医保支付方式改革，优化医保支出结构。抓紧落实和完善跨省异地就医直接结算政策，尽快</w:t>
      </w:r>
      <w:r>
        <w:rPr>
          <w:spacing w:val="-5"/>
        </w:rPr>
        <w:t>使异地就医患者在所有定点医院能持卡看病、即时结算。抓好传染病、地方病防治。做好常</w:t>
      </w:r>
      <w:r>
        <w:rPr>
          <w:spacing w:val="-13"/>
        </w:rPr>
        <w:t>见慢性病防治。把高血压、糖尿病等门诊用药纳入医保报销。支持中医药事业传承创新发展</w:t>
      </w:r>
      <w:r>
        <w:rPr>
          <w:spacing w:val="-11"/>
        </w:rPr>
        <w:t>等。这些工作分别由国家卫生健康委、民政部、国家医保局、国家中医药管理局等部门牵头</w:t>
      </w:r>
      <w:r>
        <w:rPr/>
        <w:t>或分工负责。</w:t>
      </w:r>
    </w:p>
    <w:p>
      <w:pPr>
        <w:spacing w:after="0" w:line="280" w:lineRule="auto"/>
        <w:sectPr>
          <w:pgSz w:w="11910" w:h="16850"/>
          <w:pgMar w:header="906" w:footer="607" w:top="1100" w:bottom="800" w:left="1040" w:right="0"/>
        </w:sectPr>
      </w:pPr>
    </w:p>
    <w:p>
      <w:pPr>
        <w:pStyle w:val="BodyText"/>
        <w:spacing w:line="280" w:lineRule="auto" w:before="48"/>
        <w:ind w:right="1023" w:firstLine="482"/>
      </w:pPr>
      <w:r>
        <w:rPr>
          <w:spacing w:val="-1"/>
        </w:rPr>
        <w:t>记者对照各部门工作进度发现，多项重点工作已取得进展。如在“两会”尚未闭幕时， </w:t>
      </w:r>
      <w:r>
        <w:rPr/>
        <w:t>国家药监局已召开“4+7”集采中标品种监管工作调度会，进一步贯彻落实党中央国务院关于药品集中采购和使用试点工作部署，研究部署对通过仿制药一致性评价药品，特别是“4+7”集采中标品种的监管工作，全力保障药品质量安全；在中医药事业传承创新发展方</w:t>
      </w:r>
      <w:r>
        <w:rPr>
          <w:spacing w:val="-9"/>
        </w:rPr>
        <w:t>面，古代经典名方中药复方制剂的简化注册正在稳步推进；在疫苗安全监管方面，目前已成</w:t>
      </w:r>
      <w:r>
        <w:rPr>
          <w:spacing w:val="-14"/>
        </w:rPr>
        <w:t>立了由市场监管总局、国家卫生健康委、国家药监局牵头的疫苗管理部际联席会议制度，以</w:t>
      </w:r>
    </w:p>
    <w:p>
      <w:pPr>
        <w:pStyle w:val="BodyText"/>
        <w:spacing w:line="244" w:lineRule="auto" w:before="1"/>
        <w:ind w:right="1127"/>
        <w:rPr>
          <w:rFonts w:ascii="Meiryo" w:eastAsia="Meiryo" w:hint="eastAsia"/>
          <w:b/>
        </w:rPr>
      </w:pPr>
      <w:r>
        <w:rPr>
          <w:spacing w:val="-8"/>
        </w:rPr>
        <w:t>加强部门间协调配合，进一步提升疫苗管理能力水平，形成权责清晰、运行高效的疫苗管理</w:t>
      </w:r>
      <w:r>
        <w:rPr/>
        <w:t>体系。</w:t>
      </w:r>
      <w:r>
        <w:rPr>
          <w:rFonts w:ascii="Meiryo" w:eastAsia="Meiryo" w:hint="eastAsia"/>
          <w:b/>
          <w:color w:val="0033CC"/>
        </w:rPr>
        <w:t>[返回目次]</w:t>
      </w:r>
    </w:p>
    <w:p>
      <w:pPr>
        <w:spacing w:before="135"/>
        <w:ind w:left="2885" w:right="0" w:firstLine="0"/>
        <w:jc w:val="left"/>
        <w:rPr>
          <w:sz w:val="21"/>
        </w:rPr>
      </w:pPr>
      <w:r>
        <w:rPr>
          <w:sz w:val="21"/>
        </w:rPr>
        <w:t>《化学仿制药参比制剂遴选与确定程序》发布</w:t>
      </w:r>
    </w:p>
    <w:p>
      <w:pPr>
        <w:pStyle w:val="Heading2"/>
        <w:spacing w:before="156"/>
        <w:ind w:left="0" w:right="900"/>
        <w:jc w:val="center"/>
      </w:pPr>
      <w:r>
        <w:rPr/>
        <w:t>仿制药参比制剂范围扩大至所有剂型</w:t>
      </w:r>
    </w:p>
    <w:p>
      <w:pPr>
        <w:pStyle w:val="Heading3"/>
        <w:spacing w:before="239"/>
        <w:ind w:left="7325"/>
      </w:pPr>
      <w:r>
        <w:rPr>
          <w:color w:val="FF0000"/>
        </w:rPr>
        <w:t>（来源：中国医药报）</w:t>
      </w:r>
    </w:p>
    <w:p>
      <w:pPr>
        <w:pStyle w:val="ListParagraph"/>
        <w:numPr>
          <w:ilvl w:val="0"/>
          <w:numId w:val="1"/>
        </w:numPr>
        <w:tabs>
          <w:tab w:pos="900" w:val="left" w:leader="none"/>
        </w:tabs>
        <w:spacing w:line="297" w:lineRule="auto" w:before="96" w:after="0"/>
        <w:ind w:left="237" w:right="1127" w:firstLine="482"/>
        <w:jc w:val="both"/>
        <w:rPr>
          <w:sz w:val="24"/>
        </w:rPr>
      </w:pPr>
      <w:r>
        <w:rPr>
          <w:spacing w:val="-31"/>
          <w:sz w:val="24"/>
        </w:rPr>
        <w:t>月 </w:t>
      </w:r>
      <w:r>
        <w:rPr>
          <w:sz w:val="24"/>
        </w:rPr>
        <w:t>28</w:t>
      </w:r>
      <w:r>
        <w:rPr>
          <w:spacing w:val="-8"/>
          <w:sz w:val="24"/>
        </w:rPr>
        <w:t> 日，国家药品监管局印发《关于发布化学仿制药参比制剂遴选与确定程序的公</w:t>
      </w:r>
      <w:r>
        <w:rPr>
          <w:spacing w:val="-19"/>
          <w:sz w:val="24"/>
        </w:rPr>
        <w:t>告》</w:t>
      </w:r>
      <w:r>
        <w:rPr>
          <w:sz w:val="24"/>
        </w:rPr>
        <w:t>（</w:t>
      </w:r>
      <w:r>
        <w:rPr>
          <w:spacing w:val="-6"/>
          <w:sz w:val="24"/>
        </w:rPr>
        <w:t>以下简称《公告》</w:t>
      </w:r>
      <w:r>
        <w:rPr>
          <w:spacing w:val="-15"/>
          <w:sz w:val="24"/>
        </w:rPr>
        <w:t>）</w:t>
      </w:r>
      <w:r>
        <w:rPr>
          <w:spacing w:val="-6"/>
          <w:sz w:val="24"/>
        </w:rPr>
        <w:t>，明确化学仿制药参比制剂遴选与确定程序，规范仿制药审评与</w:t>
      </w:r>
      <w:r>
        <w:rPr>
          <w:spacing w:val="-3"/>
          <w:sz w:val="24"/>
        </w:rPr>
        <w:t>质量和疗效一致性评价工作。原国家食品药品监管总局于 </w:t>
      </w:r>
      <w:r>
        <w:rPr>
          <w:sz w:val="24"/>
        </w:rPr>
        <w:t>2016</w:t>
      </w:r>
      <w:r>
        <w:rPr>
          <w:spacing w:val="-40"/>
          <w:sz w:val="24"/>
        </w:rPr>
        <w:t> 年 </w:t>
      </w:r>
      <w:r>
        <w:rPr>
          <w:sz w:val="24"/>
        </w:rPr>
        <w:t>5</w:t>
      </w:r>
      <w:r>
        <w:rPr>
          <w:spacing w:val="-8"/>
          <w:sz w:val="24"/>
        </w:rPr>
        <w:t> 月印发的《关于发布仿</w:t>
      </w:r>
      <w:r>
        <w:rPr>
          <w:spacing w:val="-12"/>
          <w:sz w:val="24"/>
        </w:rPr>
        <w:t>制药质量和疗效一致性评价参比制剂备案与推荐程序的公告》同时废止。《公告》将参比制</w:t>
      </w:r>
      <w:r>
        <w:rPr>
          <w:spacing w:val="-6"/>
          <w:sz w:val="24"/>
        </w:rPr>
        <w:t>剂范围从普通口服固体制剂扩大到所有剂型，增加了参比制剂遴选路径，参比制剂同时适用</w:t>
      </w:r>
      <w:r>
        <w:rPr>
          <w:sz w:val="24"/>
        </w:rPr>
        <w:t>于仿制药审评和一致性评价工作。</w:t>
      </w:r>
    </w:p>
    <w:p>
      <w:pPr>
        <w:pStyle w:val="BodyText"/>
        <w:spacing w:line="297" w:lineRule="auto"/>
        <w:ind w:right="1025" w:firstLine="482"/>
      </w:pPr>
      <w:r>
        <w:rPr>
          <w:spacing w:val="-11"/>
        </w:rPr>
        <w:t>《公告》指出，化学仿制药参比制剂遴选按以下顺序选择：原研药品选择顺序依次为国</w:t>
      </w:r>
      <w:r>
        <w:rPr>
          <w:spacing w:val="-12"/>
        </w:rPr>
        <w:t>内上市的原研药品、经审核确定的国外原研企业在中国境内生产或经技术转移生产的药品、</w:t>
      </w:r>
      <w:r>
        <w:rPr>
          <w:spacing w:val="-10"/>
        </w:rPr>
        <w:t>未进口原研药品；在原研药品停止生产或因质量等原因所致原研药品不适合作为参比制剂的</w:t>
      </w:r>
      <w:r>
        <w:rPr>
          <w:spacing w:val="-12"/>
        </w:rPr>
        <w:t>情况下，可选择在美国、日本或欧盟等管理规范的国家和地区获准上市的国际公认的同种药</w:t>
      </w:r>
      <w:r>
        <w:rPr>
          <w:spacing w:val="-11"/>
        </w:rPr>
        <w:t>品、经审核确定的在中国境内生产或经技术转移生产的国际公认的同种药品；其他经国家药品监管局评估确定具有安全性、有效性和质量可控性的药品。</w:t>
      </w:r>
    </w:p>
    <w:p>
      <w:pPr>
        <w:pStyle w:val="BodyText"/>
        <w:spacing w:line="297" w:lineRule="auto"/>
        <w:ind w:right="1027" w:firstLine="482"/>
      </w:pPr>
      <w:r>
        <w:rPr/>
        <w:t>参比制剂的遴选路径也有所增加：药品生产及研发企业或行业协会可按照上述遴选原 </w:t>
      </w:r>
      <w:r>
        <w:rPr>
          <w:spacing w:val="-8"/>
        </w:rPr>
        <w:t>则，通过参比制剂遴选申请平台向国家药监局药品审评中心提出申请，并参照公告中的《参</w:t>
      </w:r>
      <w:r>
        <w:rPr>
          <w:spacing w:val="-10"/>
        </w:rPr>
        <w:t>比制剂遴选申请表》《参比制剂遴选申请资料目录》提交申请资料，药审中心在 </w:t>
      </w:r>
      <w:r>
        <w:rPr/>
        <w:t>60</w:t>
      </w:r>
      <w:r>
        <w:rPr>
          <w:spacing w:val="-15"/>
        </w:rPr>
        <w:t> 个工作</w:t>
      </w:r>
      <w:r>
        <w:rPr>
          <w:spacing w:val="-16"/>
        </w:rPr>
        <w:t>日内予以答复。值得注意的是，药审中心还可基于药品注册资料及相关信息推荐参比制剂。</w:t>
      </w:r>
    </w:p>
    <w:p>
      <w:pPr>
        <w:pStyle w:val="BodyText"/>
        <w:spacing w:line="285" w:lineRule="auto"/>
        <w:ind w:right="1127" w:firstLine="482"/>
        <w:jc w:val="both"/>
        <w:rPr>
          <w:rFonts w:ascii="Meiryo" w:eastAsia="Meiryo" w:hint="eastAsia"/>
          <w:b/>
        </w:rPr>
      </w:pPr>
      <w:r>
        <w:rPr>
          <w:spacing w:val="-10"/>
        </w:rPr>
        <w:t>此外，企业对公示或已发布的参比制剂有异议的，可向药审中心提出异议和建议。药审</w:t>
      </w:r>
      <w:r>
        <w:rPr>
          <w:spacing w:val="-6"/>
        </w:rPr>
        <w:t>中心将对企业提交的论证资料进行审核，并进行分类处理。企业在参比制剂遴选与确定过程</w:t>
      </w:r>
      <w:r>
        <w:rPr>
          <w:spacing w:val="-8"/>
        </w:rPr>
        <w:t>中遇到重大技术问题的，可按照《药物研发与技术审评沟通交流管理办法》的有关规定，与</w:t>
      </w:r>
      <w:r>
        <w:rPr/>
        <w:t>药审中心进行沟通交流。</w:t>
      </w:r>
      <w:r>
        <w:rPr>
          <w:rFonts w:ascii="Meiryo" w:eastAsia="Meiryo" w:hint="eastAsia"/>
          <w:b/>
          <w:color w:val="0033CC"/>
        </w:rPr>
        <w:t>[返回目次]</w:t>
      </w:r>
    </w:p>
    <w:p>
      <w:pPr>
        <w:pStyle w:val="Heading2"/>
        <w:spacing w:before="81"/>
        <w:ind w:left="0" w:right="895"/>
        <w:jc w:val="center"/>
      </w:pPr>
      <w:r>
        <w:rPr/>
        <w:t>85 个药品批准文号被注销</w:t>
      </w:r>
    </w:p>
    <w:p>
      <w:pPr>
        <w:pStyle w:val="Heading3"/>
        <w:spacing w:before="208"/>
        <w:ind w:left="7325"/>
      </w:pPr>
      <w:r>
        <w:rPr>
          <w:color w:val="FF0000"/>
        </w:rPr>
        <w:t>（来源：中国医药报）</w:t>
      </w:r>
    </w:p>
    <w:p>
      <w:pPr>
        <w:pStyle w:val="ListParagraph"/>
        <w:numPr>
          <w:ilvl w:val="0"/>
          <w:numId w:val="1"/>
        </w:numPr>
        <w:tabs>
          <w:tab w:pos="900" w:val="left" w:leader="none"/>
        </w:tabs>
        <w:spacing w:line="312" w:lineRule="auto" w:before="113" w:after="0"/>
        <w:ind w:left="237" w:right="1203" w:firstLine="482"/>
        <w:jc w:val="both"/>
        <w:rPr>
          <w:sz w:val="24"/>
        </w:rPr>
      </w:pPr>
      <w:r>
        <w:rPr>
          <w:spacing w:val="-31"/>
          <w:sz w:val="24"/>
        </w:rPr>
        <w:t>月 </w:t>
      </w:r>
      <w:r>
        <w:rPr>
          <w:sz w:val="24"/>
        </w:rPr>
        <w:t>4</w:t>
      </w:r>
      <w:r>
        <w:rPr>
          <w:spacing w:val="-10"/>
          <w:sz w:val="24"/>
        </w:rPr>
        <w:t> 日，国家药品监管局发布公告明确，注销铁蛋白放射免疫分析试剂盒等 </w:t>
      </w:r>
      <w:r>
        <w:rPr>
          <w:sz w:val="24"/>
        </w:rPr>
        <w:t>85</w:t>
      </w:r>
      <w:r>
        <w:rPr>
          <w:spacing w:val="-26"/>
          <w:sz w:val="24"/>
        </w:rPr>
        <w:t> 个药</w:t>
      </w:r>
      <w:r>
        <w:rPr>
          <w:sz w:val="24"/>
        </w:rPr>
        <w:t>品批准文号。其中，19</w:t>
      </w:r>
      <w:r>
        <w:rPr>
          <w:spacing w:val="-9"/>
          <w:sz w:val="24"/>
        </w:rPr>
        <w:t> 个药品批准文号因企业被依法吊销《药品生产许可证》而被注销， </w:t>
      </w:r>
      <w:r>
        <w:rPr>
          <w:sz w:val="24"/>
        </w:rPr>
        <w:t>53</w:t>
      </w:r>
      <w:r>
        <w:rPr>
          <w:spacing w:val="-8"/>
          <w:sz w:val="24"/>
        </w:rPr>
        <w:t> 个因企业主动申请而被注销</w:t>
      </w:r>
      <w:r>
        <w:rPr>
          <w:sz w:val="24"/>
        </w:rPr>
        <w:t>，13</w:t>
      </w:r>
      <w:r>
        <w:rPr>
          <w:spacing w:val="-8"/>
          <w:sz w:val="24"/>
        </w:rPr>
        <w:t> 个因已撤销药品批准证明文件而被注销。</w:t>
      </w:r>
    </w:p>
    <w:p>
      <w:pPr>
        <w:spacing w:after="0" w:line="312" w:lineRule="auto"/>
        <w:jc w:val="both"/>
        <w:rPr>
          <w:sz w:val="24"/>
        </w:rPr>
        <w:sectPr>
          <w:pgSz w:w="11910" w:h="16850"/>
          <w:pgMar w:header="906" w:footer="607" w:top="1100" w:bottom="800" w:left="1040" w:right="0"/>
        </w:sectPr>
      </w:pPr>
    </w:p>
    <w:p>
      <w:pPr>
        <w:pStyle w:val="BodyText"/>
        <w:spacing w:before="79"/>
        <w:ind w:left="719"/>
      </w:pPr>
      <w:r>
        <w:rPr/>
        <w:t>此次因“已依法吊销《药品生产许可证》”而被注销的 19 个批准文号的生产企业皆是</w:t>
      </w:r>
    </w:p>
    <w:p>
      <w:pPr>
        <w:pStyle w:val="BodyText"/>
        <w:spacing w:line="312" w:lineRule="auto" w:before="91"/>
        <w:ind w:right="1010"/>
      </w:pPr>
      <w:r>
        <w:rPr>
          <w:spacing w:val="-2"/>
        </w:rPr>
        <w:t>长春长生生物科技有限责任公司。公告显示，长春长生此次被注销的 </w:t>
      </w:r>
      <w:r>
        <w:rPr/>
        <w:t>19</w:t>
      </w:r>
      <w:r>
        <w:rPr>
          <w:spacing w:val="-10"/>
        </w:rPr>
        <w:t> 个批准文号有 </w:t>
      </w:r>
      <w:r>
        <w:rPr/>
        <w:t>18 </w:t>
      </w:r>
      <w:r>
        <w:rPr>
          <w:spacing w:val="-16"/>
        </w:rPr>
        <w:t>个是疫苗产品，包括四价流感病毒裂解疫苗、水痘减毒活疫苗、吸附无细胞百白破联合疫苗、</w:t>
      </w:r>
      <w:r>
        <w:rPr/>
        <w:t>A</w:t>
      </w:r>
      <w:r>
        <w:rPr>
          <w:spacing w:val="-40"/>
        </w:rPr>
        <w:t> 群 </w:t>
      </w:r>
      <w:r>
        <w:rPr/>
        <w:t>C</w:t>
      </w:r>
      <w:r>
        <w:rPr>
          <w:spacing w:val="-11"/>
        </w:rPr>
        <w:t> 群脑膜炎球菌多糖疫苗、冻干甲型肝炎减毒活疫苗、流感全病毒灭活疫苗、流感病毒</w:t>
      </w:r>
      <w:r>
        <w:rPr>
          <w:spacing w:val="-18"/>
        </w:rPr>
        <w:t>裂解疫苗、甲型 </w:t>
      </w:r>
      <w:r>
        <w:rPr/>
        <w:t>H1N1</w:t>
      </w:r>
      <w:r>
        <w:rPr>
          <w:spacing w:val="-8"/>
        </w:rPr>
        <w:t> 流感病毒裂解疫苗、冻干人用狂犬病疫苗</w:t>
      </w:r>
      <w:r>
        <w:rPr/>
        <w:t>（Vero</w:t>
      </w:r>
      <w:r>
        <w:rPr>
          <w:spacing w:val="-20"/>
        </w:rPr>
        <w:t> 细胞</w:t>
      </w:r>
      <w:r>
        <w:rPr/>
        <w:t>）、ACYW135</w:t>
      </w:r>
      <w:r>
        <w:rPr>
          <w:spacing w:val="-30"/>
        </w:rPr>
        <w:t> 群</w:t>
      </w:r>
      <w:r>
        <w:rPr>
          <w:spacing w:val="-20"/>
        </w:rPr>
        <w:t>脑膜炎球菌多糖疫苗、人用狂犬病纯化疫苗</w:t>
      </w:r>
      <w:r>
        <w:rPr/>
        <w:t>（地鼠肾细胞</w:t>
      </w:r>
      <w:r>
        <w:rPr>
          <w:spacing w:val="-22"/>
        </w:rPr>
        <w:t>）</w:t>
      </w:r>
      <w:r>
        <w:rPr>
          <w:spacing w:val="-7"/>
        </w:rPr>
        <w:t>等，除疫苗外，还有一个为胸腺肽注射液。</w:t>
      </w:r>
    </w:p>
    <w:p>
      <w:pPr>
        <w:pStyle w:val="BodyText"/>
        <w:spacing w:line="312" w:lineRule="auto" w:before="2"/>
        <w:ind w:right="1145" w:firstLine="482"/>
        <w:jc w:val="both"/>
      </w:pPr>
      <w:r>
        <w:rPr/>
        <w:t>据悉，在本次公告发布的注销药品批准文号中，53</w:t>
      </w:r>
      <w:r>
        <w:rPr>
          <w:spacing w:val="-8"/>
        </w:rPr>
        <w:t> 个为企业申请主动注销。其中，重</w:t>
      </w:r>
      <w:r>
        <w:rPr>
          <w:spacing w:val="-10"/>
        </w:rPr>
        <w:t>庆汉华制药有限公司申请注销了包括原料药、片剂、胶囊在内的 </w:t>
      </w:r>
      <w:r>
        <w:rPr/>
        <w:t>34</w:t>
      </w:r>
      <w:r>
        <w:rPr>
          <w:spacing w:val="-14"/>
        </w:rPr>
        <w:t> 个批准文号；另有 </w:t>
      </w:r>
      <w:r>
        <w:rPr/>
        <w:t>4</w:t>
      </w:r>
      <w:r>
        <w:rPr>
          <w:spacing w:val="-38"/>
        </w:rPr>
        <w:t> 家</w:t>
      </w:r>
      <w:r>
        <w:rPr/>
        <w:t>外资药企申请注销了多个剂型产品。</w:t>
      </w:r>
    </w:p>
    <w:p>
      <w:pPr>
        <w:pStyle w:val="ListParagraph"/>
        <w:numPr>
          <w:ilvl w:val="0"/>
          <w:numId w:val="2"/>
        </w:numPr>
        <w:tabs>
          <w:tab w:pos="900" w:val="left" w:leader="none"/>
        </w:tabs>
        <w:spacing w:line="312" w:lineRule="auto" w:before="1" w:after="0"/>
        <w:ind w:left="237" w:right="1006" w:firstLine="482"/>
        <w:jc w:val="left"/>
        <w:rPr>
          <w:sz w:val="24"/>
        </w:rPr>
      </w:pPr>
      <w:r>
        <w:rPr>
          <w:spacing w:val="-31"/>
          <w:sz w:val="24"/>
        </w:rPr>
        <w:t>月 </w:t>
      </w:r>
      <w:r>
        <w:rPr>
          <w:sz w:val="24"/>
        </w:rPr>
        <w:t>15</w:t>
      </w:r>
      <w:r>
        <w:rPr>
          <w:spacing w:val="-8"/>
          <w:sz w:val="24"/>
        </w:rPr>
        <w:t> 日，国家药监局发布公告称，经国家药监局组织再评价，含呋喃唑酮复方制剂</w:t>
      </w:r>
      <w:r>
        <w:rPr>
          <w:spacing w:val="-19"/>
          <w:sz w:val="24"/>
        </w:rPr>
        <w:t>存在严重不良反应，在我国使用风险大于获益，决定停止含呋喃唑酮复方制剂在我国的生产、</w:t>
      </w:r>
      <w:r>
        <w:rPr>
          <w:sz w:val="24"/>
        </w:rPr>
        <w:t>销售和使用，撤销药品批准证明文件。目前我国已批准上市的含呋喃唑酮复方制剂共有 4 个品种，分别是复方雪胆呋喃唑酮胶囊、呋喃苦参黄连素片、二维呋喃唑酮片、谷海生片， </w:t>
      </w:r>
      <w:r>
        <w:rPr>
          <w:spacing w:val="-16"/>
          <w:sz w:val="24"/>
        </w:rPr>
        <w:t>全国有 </w:t>
      </w:r>
      <w:r>
        <w:rPr>
          <w:sz w:val="24"/>
        </w:rPr>
        <w:t>12</w:t>
      </w:r>
      <w:r>
        <w:rPr>
          <w:spacing w:val="-11"/>
          <w:sz w:val="24"/>
        </w:rPr>
        <w:t> 家企业生产此类相关药品。此次发布的公告中，这 </w:t>
      </w:r>
      <w:r>
        <w:rPr>
          <w:sz w:val="24"/>
        </w:rPr>
        <w:t>4</w:t>
      </w:r>
      <w:r>
        <w:rPr>
          <w:spacing w:val="-8"/>
          <w:sz w:val="24"/>
        </w:rPr>
        <w:t> 类含呋喃唑酮复方制剂均包</w:t>
      </w:r>
    </w:p>
    <w:p>
      <w:pPr>
        <w:pStyle w:val="BodyText"/>
        <w:spacing w:line="300" w:lineRule="auto" w:before="3"/>
        <w:ind w:right="1127"/>
        <w:jc w:val="both"/>
        <w:rPr>
          <w:rFonts w:ascii="Meiryo" w:hAnsi="Meiryo" w:eastAsia="Meiryo" w:hint="eastAsia"/>
          <w:b/>
        </w:rPr>
      </w:pPr>
      <w:r>
        <w:rPr>
          <w:spacing w:val="-9"/>
        </w:rPr>
        <w:t>含在内，共计 </w:t>
      </w:r>
      <w:r>
        <w:rPr/>
        <w:t>13</w:t>
      </w:r>
      <w:r>
        <w:rPr>
          <w:spacing w:val="-8"/>
        </w:rPr>
        <w:t> 个药品批准文号因“已撤销药品批准证明文件”而被注销，涉及企业包括</w:t>
      </w:r>
      <w:r>
        <w:rPr>
          <w:spacing w:val="-11"/>
        </w:rPr>
        <w:t>哈药集团三精明水药业有限公司、华润三九</w:t>
      </w:r>
      <w:r>
        <w:rPr/>
        <w:t>（雅安</w:t>
      </w:r>
      <w:r>
        <w:rPr>
          <w:spacing w:val="-27"/>
        </w:rPr>
        <w:t>）</w:t>
      </w:r>
      <w:r>
        <w:rPr>
          <w:spacing w:val="-5"/>
        </w:rPr>
        <w:t>药业有限公司、河南鼎复康药业股份有</w:t>
      </w:r>
      <w:r>
        <w:rPr>
          <w:spacing w:val="-10"/>
        </w:rPr>
        <w:t>限公司、贵州神奇药业有限公司、山西晋新双鹤药业有限责任公司、海南制药厂有限公司制</w:t>
      </w:r>
      <w:r>
        <w:rPr/>
        <w:t>药一厂等多家药企。</w:t>
      </w:r>
      <w:r>
        <w:rPr>
          <w:rFonts w:ascii="Meiryo" w:hAnsi="Meiryo" w:eastAsia="Meiryo" w:hint="eastAsia"/>
          <w:b/>
          <w:color w:val="0033CC"/>
        </w:rPr>
        <w:t>[返回目次]</w:t>
      </w:r>
    </w:p>
    <w:p>
      <w:pPr>
        <w:pStyle w:val="Heading2"/>
        <w:spacing w:before="81"/>
        <w:ind w:left="3177"/>
      </w:pPr>
      <w:r>
        <w:rPr/>
        <w:t>12 项国家药品标准拟修订</w:t>
      </w:r>
    </w:p>
    <w:p>
      <w:pPr>
        <w:pStyle w:val="BodyText"/>
        <w:spacing w:before="6"/>
        <w:ind w:left="0"/>
        <w:rPr>
          <w:b/>
          <w:sz w:val="22"/>
        </w:rPr>
      </w:pPr>
    </w:p>
    <w:p>
      <w:pPr>
        <w:spacing w:before="0"/>
        <w:ind w:left="0" w:right="572" w:firstLine="0"/>
        <w:jc w:val="center"/>
        <w:rPr>
          <w:sz w:val="16"/>
        </w:rPr>
      </w:pPr>
      <w:r>
        <w:rPr>
          <w:sz w:val="16"/>
        </w:rPr>
        <w:t>涉及氨酚伪麻、氨麻美敏等药品</w:t>
      </w:r>
    </w:p>
    <w:p>
      <w:pPr>
        <w:pStyle w:val="BodyText"/>
        <w:spacing w:before="11"/>
        <w:ind w:left="0"/>
        <w:rPr>
          <w:sz w:val="14"/>
        </w:rPr>
      </w:pPr>
    </w:p>
    <w:p>
      <w:pPr>
        <w:pStyle w:val="Heading3"/>
        <w:ind w:right="1128"/>
        <w:jc w:val="right"/>
      </w:pPr>
      <w:r>
        <w:rPr>
          <w:color w:val="FF0000"/>
          <w:w w:val="95"/>
        </w:rPr>
        <w:t>（来源：中国医药报）</w:t>
      </w:r>
    </w:p>
    <w:p>
      <w:pPr>
        <w:pStyle w:val="ListParagraph"/>
        <w:numPr>
          <w:ilvl w:val="0"/>
          <w:numId w:val="2"/>
        </w:numPr>
        <w:tabs>
          <w:tab w:pos="900" w:val="left" w:leader="none"/>
        </w:tabs>
        <w:spacing w:line="240" w:lineRule="auto" w:before="110" w:after="0"/>
        <w:ind w:left="899" w:right="0" w:hanging="181"/>
        <w:jc w:val="left"/>
        <w:rPr>
          <w:sz w:val="24"/>
        </w:rPr>
      </w:pPr>
      <w:r>
        <w:rPr>
          <w:spacing w:val="-31"/>
          <w:sz w:val="24"/>
        </w:rPr>
        <w:t>月 </w:t>
      </w:r>
      <w:r>
        <w:rPr>
          <w:sz w:val="24"/>
        </w:rPr>
        <w:t>28</w:t>
      </w:r>
      <w:r>
        <w:rPr>
          <w:spacing w:val="-8"/>
          <w:sz w:val="24"/>
        </w:rPr>
        <w:t> 日，国家药典委网站对小儿氨酚伪麻分散片、氨麻美敏片、萘普生钠氯化钠等</w:t>
      </w:r>
    </w:p>
    <w:p>
      <w:pPr>
        <w:pStyle w:val="BodyText"/>
        <w:spacing w:before="94"/>
      </w:pPr>
      <w:r>
        <w:rPr/>
        <w:t>12 个药品的国家药品标准修订草案进行公示，面向社会各界征求意见。</w:t>
      </w:r>
    </w:p>
    <w:p>
      <w:pPr>
        <w:pStyle w:val="BodyText"/>
        <w:spacing w:line="312" w:lineRule="auto" w:before="93"/>
        <w:ind w:right="1025" w:firstLine="482"/>
      </w:pPr>
      <w:r>
        <w:rPr/>
        <w:t>12</w:t>
      </w:r>
      <w:r>
        <w:rPr>
          <w:spacing w:val="-8"/>
        </w:rPr>
        <w:t> 个药品为：小儿氨酚伪麻分散片、氨酚伪麻胶囊(Ⅱ)、氨酚伪麻片(Ⅰ)、氨酚伪麻</w:t>
      </w:r>
      <w:r>
        <w:rPr>
          <w:spacing w:val="-10"/>
        </w:rPr>
        <w:t>片(Ⅱ)、复方地芬诺酯片、别嘌醇缓释片、氨麻美敏片</w:t>
      </w:r>
      <w:r>
        <w:rPr>
          <w:spacing w:val="-4"/>
        </w:rPr>
        <w:t>（Ⅲ）</w:t>
      </w:r>
      <w:r>
        <w:rPr>
          <w:spacing w:val="-6"/>
        </w:rPr>
        <w:t>、氨麻美敏片</w:t>
      </w:r>
      <w:r>
        <w:rPr/>
        <w:t>（</w:t>
      </w:r>
      <w:r>
        <w:rPr>
          <w:spacing w:val="-3"/>
        </w:rPr>
        <w:t>曾用名：酚麻美敏片、氨麻美敏片）、氨麻美敏片（Ⅱ）</w:t>
      </w:r>
      <w:r>
        <w:rPr>
          <w:spacing w:val="-4"/>
        </w:rPr>
        <w:t>〔曾用名：氨麻美敏片(Ⅱ)、氨麻美敏片Ⅱ〕、</w:t>
      </w:r>
      <w:r>
        <w:rPr>
          <w:spacing w:val="-7"/>
        </w:rPr>
        <w:t>氨麻美敏胶囊(Ⅱ)、萘普生钠氯化钠注射液、氨麻美敏胶囊〔曾用名：酚麻美敏胶囊、酚麻美敏胶囊（夜用）、美扑伪麻胶囊〕。</w:t>
      </w:r>
    </w:p>
    <w:p>
      <w:pPr>
        <w:pStyle w:val="BodyText"/>
        <w:ind w:left="0" w:right="1144"/>
        <w:jc w:val="right"/>
      </w:pPr>
      <w:r>
        <w:rPr>
          <w:spacing w:val="-5"/>
        </w:rPr>
        <w:t>记者发现，此次公示涉及 </w:t>
      </w:r>
      <w:r>
        <w:rPr/>
        <w:t>59</w:t>
      </w:r>
      <w:r>
        <w:rPr>
          <w:spacing w:val="-8"/>
        </w:rPr>
        <w:t> 家药品生产企业，包括生产氨酚伪麻片</w:t>
      </w:r>
      <w:r>
        <w:rPr/>
        <w:t>（胶囊）的北京九</w:t>
      </w:r>
    </w:p>
    <w:p>
      <w:pPr>
        <w:pStyle w:val="BodyText"/>
        <w:spacing w:before="94"/>
        <w:ind w:left="0" w:right="1147"/>
        <w:jc w:val="right"/>
      </w:pPr>
      <w:r>
        <w:rPr>
          <w:spacing w:val="-7"/>
        </w:rPr>
        <w:t>龙制药有限公司等 </w:t>
      </w:r>
      <w:r>
        <w:rPr/>
        <w:t>14</w:t>
      </w:r>
      <w:r>
        <w:rPr>
          <w:spacing w:val="-8"/>
        </w:rPr>
        <w:t> 家企业，生产氨麻美敏片</w:t>
      </w:r>
      <w:r>
        <w:rPr/>
        <w:t>（胶囊）的中美上海施贵宝制药有限公司等</w:t>
      </w:r>
    </w:p>
    <w:p>
      <w:pPr>
        <w:pStyle w:val="BodyText"/>
        <w:spacing w:line="295" w:lineRule="auto" w:before="91"/>
        <w:ind w:right="1130"/>
        <w:jc w:val="both"/>
        <w:rPr>
          <w:rFonts w:ascii="Meiryo" w:eastAsia="Meiryo" w:hint="eastAsia"/>
          <w:b/>
        </w:rPr>
      </w:pPr>
      <w:r>
        <w:rPr/>
        <w:t>8</w:t>
      </w:r>
      <w:r>
        <w:rPr>
          <w:spacing w:val="-12"/>
        </w:rPr>
        <w:t> 家企业，以及生产萘普生钠氯化钠注射液的湖南金健药业有限责任公司，生产儿童用药小</w:t>
      </w:r>
      <w:r>
        <w:rPr>
          <w:spacing w:val="-6"/>
        </w:rPr>
        <w:t>儿氨酚伪麻分散片的内蒙古惠丰药业有限公司，生产别嘌醇缓释片的海南普利制药股份有限</w:t>
      </w:r>
      <w:r>
        <w:rPr>
          <w:spacing w:val="-4"/>
        </w:rPr>
        <w:t>公司，以及生产复方地芬诺酯片的 </w:t>
      </w:r>
      <w:r>
        <w:rPr/>
        <w:t>34</w:t>
      </w:r>
      <w:r>
        <w:rPr>
          <w:spacing w:val="-12"/>
        </w:rPr>
        <w:t> 家企业。</w:t>
      </w:r>
      <w:r>
        <w:rPr>
          <w:rFonts w:ascii="Meiryo" w:eastAsia="Meiryo" w:hint="eastAsia"/>
          <w:b/>
          <w:color w:val="0033CC"/>
        </w:rPr>
        <w:t>[返回目次]</w:t>
      </w:r>
    </w:p>
    <w:p>
      <w:pPr>
        <w:spacing w:after="0" w:line="295" w:lineRule="auto"/>
        <w:jc w:val="both"/>
        <w:rPr>
          <w:rFonts w:ascii="Meiryo" w:eastAsia="Meiryo" w:hint="eastAsia"/>
        </w:rPr>
        <w:sectPr>
          <w:pgSz w:w="11910" w:h="16850"/>
          <w:pgMar w:header="906" w:footer="607" w:top="1100" w:bottom="800" w:left="1040" w:right="0"/>
        </w:sectPr>
      </w:pPr>
    </w:p>
    <w:p>
      <w:pPr>
        <w:pStyle w:val="Heading2"/>
        <w:spacing w:line="395" w:lineRule="exact"/>
        <w:ind w:left="2253"/>
      </w:pPr>
      <w:r>
        <w:rPr/>
        <w:t>八个品规纳入药审中心拟优先审评通道</w:t>
      </w:r>
    </w:p>
    <w:p>
      <w:pPr>
        <w:pStyle w:val="Heading3"/>
        <w:spacing w:before="208"/>
        <w:ind w:right="1128"/>
        <w:jc w:val="right"/>
      </w:pPr>
      <w:r>
        <w:rPr>
          <w:color w:val="FF0000"/>
          <w:w w:val="95"/>
        </w:rPr>
        <w:t>（来源：中国医药报）</w:t>
      </w:r>
    </w:p>
    <w:p>
      <w:pPr>
        <w:pStyle w:val="ListParagraph"/>
        <w:numPr>
          <w:ilvl w:val="0"/>
          <w:numId w:val="3"/>
        </w:numPr>
        <w:tabs>
          <w:tab w:pos="898" w:val="left" w:leader="none"/>
        </w:tabs>
        <w:spacing w:line="240" w:lineRule="auto" w:before="95" w:after="0"/>
        <w:ind w:left="897" w:right="0" w:hanging="181"/>
        <w:jc w:val="both"/>
        <w:rPr>
          <w:sz w:val="24"/>
        </w:rPr>
      </w:pPr>
      <w:r>
        <w:rPr>
          <w:spacing w:val="-31"/>
          <w:sz w:val="24"/>
        </w:rPr>
        <w:t>月 </w:t>
      </w:r>
      <w:r>
        <w:rPr>
          <w:sz w:val="24"/>
        </w:rPr>
        <w:t>29</w:t>
      </w:r>
      <w:r>
        <w:rPr>
          <w:spacing w:val="-8"/>
          <w:sz w:val="24"/>
        </w:rPr>
        <w:t> 日，盐酸安非他酮缓释片</w:t>
      </w:r>
      <w:r>
        <w:rPr>
          <w:sz w:val="24"/>
        </w:rPr>
        <w:t>（Ⅰ）</w:t>
      </w:r>
      <w:r>
        <w:rPr>
          <w:spacing w:val="-30"/>
          <w:sz w:val="24"/>
        </w:rPr>
        <w:t>等 </w:t>
      </w:r>
      <w:r>
        <w:rPr>
          <w:sz w:val="24"/>
        </w:rPr>
        <w:t>8</w:t>
      </w:r>
      <w:r>
        <w:rPr>
          <w:spacing w:val="-8"/>
          <w:sz w:val="24"/>
        </w:rPr>
        <w:t> 个品规纳入国家药品监管局药品审评中心</w:t>
      </w:r>
    </w:p>
    <w:p>
      <w:pPr>
        <w:pStyle w:val="BodyText"/>
        <w:spacing w:before="74"/>
        <w:jc w:val="both"/>
      </w:pPr>
      <w:r>
        <w:rPr/>
        <w:t>（以下简称药审中心）拟优先审评通道，涉及 4 家企业。</w:t>
      </w:r>
    </w:p>
    <w:p>
      <w:pPr>
        <w:pStyle w:val="BodyText"/>
        <w:spacing w:line="297" w:lineRule="auto" w:before="72"/>
        <w:ind w:right="1128" w:firstLine="480"/>
        <w:jc w:val="both"/>
      </w:pPr>
      <w:r>
        <w:rPr/>
        <w:t>具体包括：上海安必生制药技术有限公司生产的盐酸安非他酮缓释片（Ⅰ）（150mg， </w:t>
      </w:r>
      <w:r>
        <w:rPr>
          <w:spacing w:val="-3"/>
        </w:rPr>
        <w:t>300mg）</w:t>
      </w:r>
      <w:r>
        <w:rPr>
          <w:spacing w:val="-4"/>
        </w:rPr>
        <w:t>、上海宣泰医药科技有限公司生产的盐酸安非他酮缓释片(Ⅰ)（0.15g，0.3g）</w:t>
      </w:r>
      <w:r>
        <w:rPr>
          <w:spacing w:val="-17"/>
        </w:rPr>
        <w:t>、天</w:t>
      </w:r>
      <w:r>
        <w:rPr>
          <w:spacing w:val="-2"/>
        </w:rPr>
        <w:t>津天药药业股份有限公司生产的泼尼松片</w:t>
      </w:r>
      <w:r>
        <w:rPr>
          <w:spacing w:val="-5"/>
        </w:rPr>
        <w:t>（10mg，20mg，50mg）</w:t>
      </w:r>
      <w:r>
        <w:rPr>
          <w:spacing w:val="-2"/>
        </w:rPr>
        <w:t>以及广东省东莞市阳之康医</w:t>
      </w:r>
      <w:r>
        <w:rPr/>
        <w:t>药有限责任公司生产的盐酸二甲双胍片（1000mg）。</w:t>
      </w:r>
    </w:p>
    <w:p>
      <w:pPr>
        <w:pStyle w:val="BodyText"/>
        <w:spacing w:line="297" w:lineRule="auto"/>
        <w:ind w:right="1128" w:firstLine="480"/>
      </w:pPr>
      <w:r>
        <w:rPr>
          <w:spacing w:val="-10"/>
        </w:rPr>
        <w:t>值得关注的是，此次公示品种均按“同一生产线生产”纳入拟优先审评通道。国家药监</w:t>
      </w:r>
      <w:r>
        <w:rPr>
          <w:spacing w:val="-7"/>
        </w:rPr>
        <w:t>部门鼓励药品创新的相关政策明确，具有明显临床价值，符合在中国境内用同一生产线生产</w:t>
      </w:r>
    </w:p>
    <w:p>
      <w:pPr>
        <w:pStyle w:val="BodyText"/>
        <w:spacing w:line="259" w:lineRule="auto"/>
        <w:ind w:right="1127"/>
        <w:rPr>
          <w:rFonts w:ascii="Meiryo" w:eastAsia="Meiryo" w:hint="eastAsia"/>
          <w:b/>
        </w:rPr>
      </w:pPr>
      <w:r>
        <w:rPr>
          <w:spacing w:val="-12"/>
        </w:rPr>
        <w:t>并在美国、欧盟药品审批机构同步申请上市，且通过了其现场检查的药品注册申请可以申报</w:t>
      </w:r>
      <w:r>
        <w:rPr>
          <w:spacing w:val="-3"/>
        </w:rPr>
        <w:t>优先审评审批。此次纳入拟优先审评通道的 </w:t>
      </w:r>
      <w:r>
        <w:rPr/>
        <w:t>8</w:t>
      </w:r>
      <w:r>
        <w:rPr>
          <w:spacing w:val="-8"/>
        </w:rPr>
        <w:t> 个品规均属此类情况。</w:t>
      </w:r>
      <w:r>
        <w:rPr>
          <w:rFonts w:ascii="Meiryo" w:eastAsia="Meiryo" w:hint="eastAsia"/>
          <w:b/>
          <w:color w:val="0033CC"/>
        </w:rPr>
        <w:t>[返回目次]</w:t>
      </w:r>
    </w:p>
    <w:p>
      <w:pPr>
        <w:pStyle w:val="Heading2"/>
        <w:spacing w:before="24"/>
      </w:pPr>
      <w:r>
        <w:rPr/>
        <w:t>【医保动态】</w:t>
      </w:r>
    </w:p>
    <w:p>
      <w:pPr>
        <w:pStyle w:val="BodyText"/>
        <w:spacing w:before="5"/>
        <w:ind w:left="0"/>
        <w:rPr>
          <w:b/>
          <w:sz w:val="18"/>
        </w:rPr>
      </w:pPr>
    </w:p>
    <w:p>
      <w:pPr>
        <w:spacing w:after="0"/>
        <w:rPr>
          <w:sz w:val="18"/>
        </w:rPr>
        <w:sectPr>
          <w:pgSz w:w="11910" w:h="16850"/>
          <w:pgMar w:header="906" w:footer="607" w:top="1100" w:bottom="800" w:left="1040" w:right="0"/>
        </w:sectPr>
      </w:pPr>
    </w:p>
    <w:p>
      <w:pPr>
        <w:spacing w:before="55"/>
        <w:ind w:left="2735" w:right="0" w:firstLine="0"/>
        <w:jc w:val="left"/>
        <w:rPr>
          <w:b/>
          <w:sz w:val="32"/>
        </w:rPr>
      </w:pPr>
      <w:r>
        <w:rPr>
          <w:b/>
          <w:spacing w:val="-9"/>
          <w:sz w:val="32"/>
        </w:rPr>
        <w:t>国家医保局再次通报 </w:t>
      </w:r>
      <w:r>
        <w:rPr>
          <w:b/>
          <w:sz w:val="32"/>
        </w:rPr>
        <w:t>8</w:t>
      </w:r>
      <w:r>
        <w:rPr>
          <w:b/>
          <w:spacing w:val="-20"/>
          <w:sz w:val="32"/>
        </w:rPr>
        <w:t> 起骗保案</w:t>
      </w:r>
    </w:p>
    <w:p>
      <w:pPr>
        <w:pStyle w:val="BodyText"/>
        <w:ind w:left="0"/>
        <w:rPr>
          <w:b/>
        </w:rPr>
      </w:pPr>
      <w:r>
        <w:rPr/>
        <w:br w:type="column"/>
      </w:r>
      <w:r>
        <w:rPr>
          <w:b/>
        </w:rPr>
      </w:r>
    </w:p>
    <w:p>
      <w:pPr>
        <w:pStyle w:val="BodyText"/>
        <w:spacing w:before="10"/>
        <w:ind w:left="0"/>
        <w:rPr>
          <w:b/>
          <w:sz w:val="23"/>
        </w:rPr>
      </w:pPr>
    </w:p>
    <w:p>
      <w:pPr>
        <w:pStyle w:val="Heading3"/>
        <w:ind w:left="531"/>
      </w:pPr>
      <w:r>
        <w:rPr>
          <w:color w:val="FF0000"/>
        </w:rPr>
        <w:t>（来源：健康报）</w:t>
      </w:r>
    </w:p>
    <w:p>
      <w:pPr>
        <w:spacing w:after="0"/>
        <w:sectPr>
          <w:type w:val="continuous"/>
          <w:pgSz w:w="11910" w:h="16850"/>
          <w:pgMar w:top="1100" w:bottom="1020" w:left="1040" w:right="0"/>
          <w:cols w:num="2" w:equalWidth="0">
            <w:col w:w="7237" w:space="40"/>
            <w:col w:w="3593"/>
          </w:cols>
        </w:sectPr>
      </w:pPr>
    </w:p>
    <w:p>
      <w:pPr>
        <w:pStyle w:val="BodyText"/>
        <w:spacing w:line="297" w:lineRule="auto" w:before="96"/>
        <w:ind w:right="1126" w:firstLine="480"/>
        <w:jc w:val="both"/>
      </w:pPr>
      <w:r>
        <w:rPr>
          <w:spacing w:val="-5"/>
        </w:rPr>
        <w:t>国家医保局近日通报第二批 </w:t>
      </w:r>
      <w:r>
        <w:rPr/>
        <w:t>8</w:t>
      </w:r>
      <w:r>
        <w:rPr>
          <w:spacing w:val="-14"/>
        </w:rPr>
        <w:t> 起欺诈骗取医保基金典型案例。这些典型案例分别为：安</w:t>
      </w:r>
      <w:r>
        <w:rPr>
          <w:spacing w:val="-6"/>
        </w:rPr>
        <w:t>徽省阜阳市阜阳双龙医院收买病人骗取医保基金案；陕西省渭南市合阳福音医院无医嘱收费</w:t>
      </w:r>
      <w:r>
        <w:rPr>
          <w:spacing w:val="-10"/>
        </w:rPr>
        <w:t>骗取医保基金案；宁夏回族自治区银川市银川百合堂医院骗取医保基金案；北京市通州区宋</w:t>
      </w:r>
      <w:r>
        <w:rPr>
          <w:spacing w:val="-5"/>
        </w:rPr>
        <w:t>庄镇师姑庄社区卫生服务站购买虚假进货发票骗取医保基金案；山西省临汾市尧都区友好医</w:t>
      </w:r>
      <w:r>
        <w:rPr>
          <w:spacing w:val="-9"/>
        </w:rPr>
        <w:t>院骗取医保基金案；上海市白茅岭医院骗取医保基金案；福建省厦门市翔安区马巷卫生院垵</w:t>
      </w:r>
      <w:r>
        <w:rPr/>
        <w:t>边卫生所套换医保编码骗取医保基金案；贵州省黔东南红洲儿童医院骗取医保基金案。</w:t>
      </w:r>
    </w:p>
    <w:p>
      <w:pPr>
        <w:pStyle w:val="BodyText"/>
        <w:spacing w:line="297" w:lineRule="auto"/>
        <w:ind w:right="1127" w:firstLine="480"/>
        <w:jc w:val="both"/>
      </w:pPr>
      <w:r>
        <w:rPr>
          <w:spacing w:val="-11"/>
        </w:rPr>
        <w:t>据了解，自 </w:t>
      </w:r>
      <w:r>
        <w:rPr/>
        <w:t>2018</w:t>
      </w:r>
      <w:r>
        <w:rPr>
          <w:spacing w:val="-40"/>
        </w:rPr>
        <w:t> 年 </w:t>
      </w:r>
      <w:r>
        <w:rPr/>
        <w:t>9</w:t>
      </w:r>
      <w:r>
        <w:rPr>
          <w:spacing w:val="-8"/>
        </w:rPr>
        <w:t> 月起，国家医保局会同国家卫生健康委、公安部、国家药监局联</w:t>
      </w:r>
      <w:r>
        <w:rPr>
          <w:spacing w:val="-13"/>
        </w:rPr>
        <w:t>合开展打击欺诈骗取医疗保障基金专项行动，并组织开展飞行检查。专项行动以来，各地加</w:t>
      </w:r>
    </w:p>
    <w:p>
      <w:pPr>
        <w:pStyle w:val="BodyText"/>
        <w:spacing w:line="259" w:lineRule="auto"/>
        <w:ind w:right="1325"/>
        <w:jc w:val="both"/>
        <w:rPr>
          <w:rFonts w:ascii="Meiryo" w:eastAsia="Meiryo" w:hint="eastAsia"/>
          <w:b/>
        </w:rPr>
      </w:pPr>
      <w:r>
        <w:rPr>
          <w:spacing w:val="-3"/>
        </w:rPr>
        <w:t>大打击力度，依法依规进行查处，形成高压态势。今年 </w:t>
      </w:r>
      <w:r>
        <w:rPr/>
        <w:t>1</w:t>
      </w:r>
      <w:r>
        <w:rPr>
          <w:spacing w:val="-12"/>
        </w:rPr>
        <w:t> 月，国家医保局首次对查处的 </w:t>
      </w:r>
      <w:r>
        <w:rPr>
          <w:spacing w:val="-16"/>
        </w:rPr>
        <w:t>8 </w:t>
      </w:r>
      <w:r>
        <w:rPr/>
        <w:t>起欺诈骗取医保基金案件进行通报。</w:t>
      </w:r>
      <w:r>
        <w:rPr>
          <w:rFonts w:ascii="Meiryo" w:eastAsia="Meiryo" w:hint="eastAsia"/>
          <w:b/>
          <w:color w:val="0033CC"/>
        </w:rPr>
        <w:t>[返回目次]</w:t>
      </w:r>
    </w:p>
    <w:p>
      <w:pPr>
        <w:pStyle w:val="Heading1"/>
        <w:spacing w:line="673" w:lineRule="exact"/>
        <w:rPr>
          <w:u w:val="none"/>
        </w:rPr>
      </w:pPr>
      <w:bookmarkStart w:name="_TOC_250042" w:id="1"/>
      <w:r>
        <w:rPr>
          <w:rFonts w:ascii="Times New Roman" w:eastAsia="Times New Roman"/>
          <w:color w:val="008000"/>
          <w:spacing w:val="-110"/>
          <w:w w:val="99"/>
          <w:u w:val="thick" w:color="008000"/>
        </w:rPr>
        <w:t> </w:t>
      </w:r>
      <w:bookmarkEnd w:id="1"/>
      <w:r>
        <w:rPr>
          <w:color w:val="008000"/>
          <w:u w:val="thick" w:color="008000"/>
        </w:rPr>
        <w:t>行业资讯</w:t>
      </w:r>
    </w:p>
    <w:p>
      <w:pPr>
        <w:pStyle w:val="Heading2"/>
        <w:spacing w:before="131"/>
      </w:pPr>
      <w:bookmarkStart w:name="_TOC_250041" w:id="2"/>
      <w:bookmarkEnd w:id="2"/>
      <w:r>
        <w:rPr/>
        <w:t>【热点聚焦】</w:t>
      </w:r>
    </w:p>
    <w:p>
      <w:pPr>
        <w:pStyle w:val="BodyText"/>
        <w:spacing w:before="8"/>
        <w:ind w:left="0"/>
        <w:rPr>
          <w:b/>
          <w:sz w:val="18"/>
        </w:rPr>
      </w:pPr>
    </w:p>
    <w:p>
      <w:pPr>
        <w:pStyle w:val="Heading2"/>
        <w:spacing w:before="55"/>
        <w:ind w:left="2897"/>
      </w:pPr>
      <w:bookmarkStart w:name="_TOC_250040" w:id="3"/>
      <w:bookmarkEnd w:id="3"/>
      <w:r>
        <w:rPr/>
        <w:t>全球药物研发领域的七大新潮</w:t>
      </w:r>
    </w:p>
    <w:p>
      <w:pPr>
        <w:pStyle w:val="Heading3"/>
        <w:spacing w:before="208"/>
        <w:ind w:right="1128"/>
        <w:jc w:val="right"/>
      </w:pPr>
      <w:r>
        <w:rPr>
          <w:color w:val="FF0000"/>
          <w:w w:val="95"/>
        </w:rPr>
        <w:t>（来源：中国医药报）</w:t>
      </w:r>
    </w:p>
    <w:p>
      <w:pPr>
        <w:pStyle w:val="BodyText"/>
        <w:spacing w:line="280" w:lineRule="auto" w:before="81"/>
        <w:ind w:right="1146" w:firstLine="480"/>
      </w:pPr>
      <w:r>
        <w:rPr/>
        <w:t>近年来，我国创新药研发能力大幅提升，但大多数创新药研发企业尚处在“跟着国外</w:t>
      </w:r>
      <w:r>
        <w:rPr>
          <w:spacing w:val="-4"/>
        </w:rPr>
        <w:t>走”的状态，致力于选择有潜力的靶点做 </w:t>
      </w:r>
      <w:r>
        <w:rPr/>
        <w:t>Me-Too</w:t>
      </w:r>
      <w:r>
        <w:rPr>
          <w:spacing w:val="-9"/>
        </w:rPr>
        <w:t> 药物。本文重点介绍近年来国外的一些新</w:t>
      </w:r>
      <w:r>
        <w:rPr/>
        <w:t>药研发新思路、新方法，供国内企业参考。</w:t>
      </w:r>
    </w:p>
    <w:p>
      <w:pPr>
        <w:pStyle w:val="Heading3"/>
        <w:spacing w:before="1"/>
        <w:ind w:left="717"/>
        <w:rPr>
          <w:rFonts w:ascii="宋体" w:eastAsia="宋体" w:hint="eastAsia"/>
        </w:rPr>
      </w:pPr>
      <w:r>
        <w:rPr>
          <w:rFonts w:ascii="宋体" w:eastAsia="宋体" w:hint="eastAsia"/>
        </w:rPr>
        <w:t>人工智能技术的应用</w:t>
      </w:r>
    </w:p>
    <w:p>
      <w:pPr>
        <w:spacing w:after="0"/>
        <w:rPr>
          <w:rFonts w:ascii="宋体" w:eastAsia="宋体" w:hint="eastAsia"/>
        </w:rPr>
        <w:sectPr>
          <w:type w:val="continuous"/>
          <w:pgSz w:w="11910" w:h="16850"/>
          <w:pgMar w:top="1100" w:bottom="1020" w:left="1040" w:right="0"/>
        </w:sectPr>
      </w:pPr>
    </w:p>
    <w:p>
      <w:pPr>
        <w:pStyle w:val="BodyText"/>
        <w:spacing w:line="280" w:lineRule="auto" w:before="48"/>
        <w:ind w:right="1008" w:firstLine="480"/>
      </w:pPr>
      <w:r>
        <w:rPr>
          <w:spacing w:val="-10"/>
        </w:rPr>
        <w:t>引入人工智能</w:t>
      </w:r>
      <w:r>
        <w:rPr>
          <w:spacing w:val="-15"/>
        </w:rPr>
        <w:t>（AI）</w:t>
      </w:r>
      <w:r>
        <w:rPr>
          <w:spacing w:val="-10"/>
        </w:rPr>
        <w:t>技术或许是 </w:t>
      </w:r>
      <w:r>
        <w:rPr/>
        <w:t>2018</w:t>
      </w:r>
      <w:r>
        <w:rPr>
          <w:spacing w:val="-11"/>
        </w:rPr>
        <w:t> 年以来创新药研发领域最大的变化。</w:t>
      </w:r>
      <w:r>
        <w:rPr/>
        <w:t>2018</w:t>
      </w:r>
      <w:r>
        <w:rPr>
          <w:spacing w:val="-40"/>
        </w:rPr>
        <w:t> 年 </w:t>
      </w:r>
      <w:r>
        <w:rPr/>
        <w:t>9</w:t>
      </w:r>
      <w:r>
        <w:rPr>
          <w:spacing w:val="-25"/>
        </w:rPr>
        <w:t> 月， </w:t>
      </w:r>
      <w:r>
        <w:rPr>
          <w:spacing w:val="-3"/>
        </w:rPr>
        <w:t>诺和诺德宣布裁减研发人员，重组研发模式，并引入 </w:t>
      </w:r>
      <w:r>
        <w:rPr/>
        <w:t>AI</w:t>
      </w:r>
      <w:r>
        <w:rPr>
          <w:spacing w:val="-8"/>
        </w:rPr>
        <w:t> 技术。事实上，诺和诺德并非第一</w:t>
      </w:r>
      <w:r>
        <w:rPr>
          <w:spacing w:val="-22"/>
        </w:rPr>
        <w:t>家运用 </w:t>
      </w:r>
      <w:r>
        <w:rPr/>
        <w:t>AI</w:t>
      </w:r>
      <w:r>
        <w:rPr>
          <w:spacing w:val="-8"/>
        </w:rPr>
        <w:t> 技术进行新药研发的公司。</w:t>
      </w:r>
    </w:p>
    <w:p>
      <w:pPr>
        <w:pStyle w:val="BodyText"/>
        <w:tabs>
          <w:tab w:pos="5578" w:val="left" w:leader="none"/>
          <w:tab w:pos="6538" w:val="left" w:leader="none"/>
        </w:tabs>
        <w:spacing w:line="280" w:lineRule="auto" w:before="1"/>
        <w:ind w:right="1012" w:firstLine="480"/>
      </w:pPr>
      <w:r>
        <w:rPr/>
        <w:t>Atomwise</w:t>
      </w:r>
      <w:r>
        <w:rPr>
          <w:spacing w:val="-61"/>
        </w:rPr>
        <w:t> </w:t>
      </w:r>
      <w:r>
        <w:rPr/>
        <w:t>是第一家使用深度神经网络“Deep</w:t>
        <w:tab/>
        <w:t>neural</w:t>
        <w:tab/>
        <w:t>networks”进行药物结构设计的公司</w:t>
      </w:r>
      <w:r>
        <w:rPr>
          <w:spacing w:val="-34"/>
        </w:rPr>
        <w:t>，</w:t>
      </w:r>
      <w:r>
        <w:rPr/>
        <w:t>目前该公司已经获得</w:t>
      </w:r>
      <w:r>
        <w:rPr>
          <w:spacing w:val="-60"/>
        </w:rPr>
        <w:t> </w:t>
      </w:r>
      <w:r>
        <w:rPr/>
        <w:t>4500</w:t>
      </w:r>
      <w:r>
        <w:rPr>
          <w:spacing w:val="-60"/>
        </w:rPr>
        <w:t> </w:t>
      </w:r>
      <w:r>
        <w:rPr/>
        <w:t>万美元的融资</w:t>
      </w:r>
      <w:r>
        <w:rPr>
          <w:spacing w:val="-34"/>
        </w:rPr>
        <w:t>，</w:t>
      </w:r>
      <w:r>
        <w:rPr/>
        <w:t>以发展</w:t>
      </w:r>
      <w:r>
        <w:rPr>
          <w:spacing w:val="-60"/>
        </w:rPr>
        <w:t> </w:t>
      </w:r>
      <w:r>
        <w:rPr/>
        <w:t>AI</w:t>
      </w:r>
      <w:r>
        <w:rPr>
          <w:spacing w:val="-60"/>
        </w:rPr>
        <w:t> </w:t>
      </w:r>
      <w:r>
        <w:rPr/>
        <w:t>驱动药物设计的技术</w:t>
      </w:r>
      <w:r>
        <w:rPr>
          <w:spacing w:val="-34"/>
        </w:rPr>
        <w:t>。</w:t>
      </w:r>
      <w:r>
        <w:rPr/>
        <w:t>该公司是计算机筛选药物的集大成者，通过其</w:t>
      </w:r>
      <w:r>
        <w:rPr>
          <w:spacing w:val="-60"/>
        </w:rPr>
        <w:t> </w:t>
      </w:r>
      <w:r>
        <w:rPr/>
        <w:t>AtomNet</w:t>
      </w:r>
      <w:r>
        <w:rPr>
          <w:spacing w:val="-60"/>
        </w:rPr>
        <w:t> </w:t>
      </w:r>
      <w:r>
        <w:rPr/>
        <w:t>平台，每天可同时对</w:t>
      </w:r>
      <w:r>
        <w:rPr>
          <w:spacing w:val="-60"/>
        </w:rPr>
        <w:t> </w:t>
      </w:r>
      <w:r>
        <w:rPr/>
        <w:t>1000</w:t>
      </w:r>
      <w:r>
        <w:rPr>
          <w:spacing w:val="-60"/>
        </w:rPr>
        <w:t> </w:t>
      </w:r>
      <w:r>
        <w:rPr/>
        <w:t>万个分子进行监控</w:t>
      </w:r>
      <w:r>
        <w:rPr>
          <w:spacing w:val="-10"/>
        </w:rPr>
        <w:t>，</w:t>
      </w:r>
      <w:r>
        <w:rPr/>
        <w:t>并预测它们的活性</w:t>
      </w:r>
      <w:r>
        <w:rPr>
          <w:spacing w:val="-10"/>
        </w:rPr>
        <w:t>、</w:t>
      </w:r>
      <w:r>
        <w:rPr/>
        <w:t>毒性和不良反应等</w:t>
      </w:r>
      <w:r>
        <w:rPr>
          <w:spacing w:val="-12"/>
        </w:rPr>
        <w:t>。</w:t>
      </w:r>
      <w:r>
        <w:rPr/>
        <w:t>截至目前，Atomwise</w:t>
      </w:r>
      <w:r>
        <w:rPr>
          <w:spacing w:val="-62"/>
        </w:rPr>
        <w:t> </w:t>
      </w:r>
      <w:r>
        <w:rPr/>
        <w:t>已经拥有</w:t>
      </w:r>
      <w:r>
        <w:rPr>
          <w:spacing w:val="-62"/>
        </w:rPr>
        <w:t> </w:t>
      </w:r>
      <w:r>
        <w:rPr/>
        <w:t>50</w:t>
      </w:r>
      <w:r>
        <w:rPr>
          <w:spacing w:val="-62"/>
        </w:rPr>
        <w:t> </w:t>
      </w:r>
      <w:r>
        <w:rPr/>
        <w:t>多个分子发现程序</w:t>
      </w:r>
      <w:r>
        <w:rPr>
          <w:spacing w:val="-27"/>
        </w:rPr>
        <w:t>，</w:t>
      </w:r>
      <w:r>
        <w:rPr/>
        <w:t>可基于</w:t>
      </w:r>
      <w:r>
        <w:rPr>
          <w:spacing w:val="-61"/>
        </w:rPr>
        <w:t> </w:t>
      </w:r>
      <w:r>
        <w:rPr/>
        <w:t>AI</w:t>
      </w:r>
      <w:r>
        <w:rPr>
          <w:spacing w:val="-60"/>
        </w:rPr>
        <w:t> </w:t>
      </w:r>
      <w:r>
        <w:rPr/>
        <w:t>技术进一步改良</w:t>
      </w:r>
      <w:r>
        <w:rPr>
          <w:spacing w:val="-27"/>
        </w:rPr>
        <w:t>，</w:t>
      </w:r>
      <w:r>
        <w:rPr/>
        <w:t>并与默沙东</w:t>
      </w:r>
      <w:r>
        <w:rPr>
          <w:spacing w:val="-27"/>
        </w:rPr>
        <w:t>、</w:t>
      </w:r>
      <w:r>
        <w:rPr/>
        <w:t>艾伯维等制药公司合作</w:t>
      </w:r>
      <w:r>
        <w:rPr>
          <w:spacing w:val="-27"/>
        </w:rPr>
        <w:t>，</w:t>
      </w:r>
      <w:r>
        <w:rPr/>
        <w:t>还与哈佛大学</w:t>
      </w:r>
      <w:r>
        <w:rPr>
          <w:spacing w:val="-14"/>
        </w:rPr>
        <w:t>、</w:t>
      </w:r>
      <w:r>
        <w:rPr/>
        <w:t>杜克大学等知名大学达成了合作协议。</w:t>
      </w:r>
    </w:p>
    <w:p>
      <w:pPr>
        <w:pStyle w:val="BodyText"/>
        <w:tabs>
          <w:tab w:pos="1197" w:val="left" w:leader="none"/>
          <w:tab w:pos="4737" w:val="left" w:leader="none"/>
          <w:tab w:pos="7978" w:val="left" w:leader="none"/>
        </w:tabs>
        <w:spacing w:line="280" w:lineRule="auto" w:before="1"/>
        <w:ind w:right="1206" w:firstLine="480"/>
      </w:pPr>
      <w:r>
        <w:rPr/>
        <w:t>除了</w:t>
      </w:r>
      <w:r>
        <w:rPr>
          <w:spacing w:val="-61"/>
        </w:rPr>
        <w:t> </w:t>
      </w:r>
      <w:r>
        <w:rPr/>
        <w:t>Atomwise，Sirenas、Insilico</w:t>
        <w:tab/>
        <w:t>Medicine、Datavant、Verge</w:t>
        <w:tab/>
        <w:t>Genomics、Engine</w:t>
        <w:tab/>
        <w:t>Biosciences、XtalPi、Owkin</w:t>
      </w:r>
      <w:r>
        <w:rPr>
          <w:spacing w:val="-60"/>
        </w:rPr>
        <w:t> </w:t>
      </w:r>
      <w:r>
        <w:rPr/>
        <w:t>和</w:t>
      </w:r>
      <w:r>
        <w:rPr>
          <w:spacing w:val="-60"/>
        </w:rPr>
        <w:t> </w:t>
      </w:r>
      <w:r>
        <w:rPr/>
        <w:t>E-Therapeutics</w:t>
      </w:r>
      <w:r>
        <w:rPr>
          <w:spacing w:val="-60"/>
        </w:rPr>
        <w:t> </w:t>
      </w:r>
      <w:r>
        <w:rPr/>
        <w:t>等都是</w:t>
      </w:r>
      <w:r>
        <w:rPr>
          <w:spacing w:val="-60"/>
        </w:rPr>
        <w:t> </w:t>
      </w:r>
      <w:r>
        <w:rPr/>
        <w:t>AI</w:t>
      </w:r>
      <w:r>
        <w:rPr>
          <w:spacing w:val="-60"/>
        </w:rPr>
        <w:t> </w:t>
      </w:r>
      <w:r>
        <w:rPr/>
        <w:t>技术驱动药物设计</w:t>
      </w:r>
      <w:r>
        <w:rPr>
          <w:spacing w:val="-17"/>
        </w:rPr>
        <w:t>与</w:t>
      </w:r>
      <w:r>
        <w:rPr/>
        <w:t>筛选的新锐，并已引起制药巨头的关注，其中，Sirenas</w:t>
      </w:r>
      <w:r>
        <w:rPr>
          <w:spacing w:val="-60"/>
        </w:rPr>
        <w:t> </w:t>
      </w:r>
      <w:r>
        <w:rPr/>
        <w:t>已经与百时美施贵宝达成了战略合作。</w:t>
      </w:r>
    </w:p>
    <w:p>
      <w:pPr>
        <w:pStyle w:val="Heading3"/>
        <w:spacing w:before="2"/>
        <w:ind w:left="717"/>
        <w:rPr>
          <w:rFonts w:ascii="宋体" w:eastAsia="宋体" w:hint="eastAsia"/>
        </w:rPr>
      </w:pPr>
      <w:r>
        <w:rPr>
          <w:rFonts w:ascii="宋体" w:eastAsia="宋体" w:hint="eastAsia"/>
          <w:w w:val="95"/>
        </w:rPr>
        <w:t>小分子药物探索范围大幅扩大</w:t>
      </w:r>
    </w:p>
    <w:p>
      <w:pPr>
        <w:pStyle w:val="BodyText"/>
        <w:spacing w:line="280" w:lineRule="auto" w:before="52"/>
        <w:ind w:right="1127" w:firstLine="480"/>
        <w:jc w:val="both"/>
      </w:pPr>
      <w:r>
        <w:rPr>
          <w:spacing w:val="-7"/>
        </w:rPr>
        <w:t>有人认为小分子化学药物已经日薄西山，其实相反，人们对小分子化学药物的认识才刚</w:t>
      </w:r>
      <w:r>
        <w:rPr>
          <w:spacing w:val="-11"/>
        </w:rPr>
        <w:t>刚开始。一方面，简单的碳原子通过复杂的组合，可以形成数百亿计的新有机分子，而目前</w:t>
      </w:r>
      <w:r>
        <w:rPr>
          <w:spacing w:val="-8"/>
        </w:rPr>
        <w:t>上市的新分子化学实体只有几千个；另一方面，人们对已知分子的认识也只是基于某一个或</w:t>
      </w:r>
      <w:r>
        <w:rPr>
          <w:spacing w:val="-10"/>
        </w:rPr>
        <w:t>某几个靶点，随着人们对靶点和疾病信息通路认识的逐渐系统化，对已知分子的重新定位意</w:t>
      </w:r>
      <w:r>
        <w:rPr>
          <w:spacing w:val="-4"/>
        </w:rPr>
        <w:t>义重大。近年来，筛选技术的不断进步和 </w:t>
      </w:r>
      <w:r>
        <w:rPr/>
        <w:t>AI</w:t>
      </w:r>
      <w:r>
        <w:rPr>
          <w:spacing w:val="-8"/>
        </w:rPr>
        <w:t> 技术的应用，正推动小分子化学药物研究突破瓶颈，向更宽、更深的方向发展。</w:t>
      </w:r>
    </w:p>
    <w:p>
      <w:pPr>
        <w:pStyle w:val="BodyText"/>
        <w:tabs>
          <w:tab w:pos="1317" w:val="left" w:leader="none"/>
        </w:tabs>
        <w:spacing w:line="280" w:lineRule="auto" w:before="2"/>
        <w:ind w:right="1086" w:firstLine="480"/>
      </w:pPr>
      <w:r>
        <w:rPr/>
        <w:t>截至目前</w:t>
      </w:r>
      <w:r>
        <w:rPr>
          <w:spacing w:val="-34"/>
        </w:rPr>
        <w:t>，</w:t>
      </w:r>
      <w:r>
        <w:rPr/>
        <w:t>国外已经有企业在着手发展这些技术</w:t>
      </w:r>
      <w:r>
        <w:rPr>
          <w:spacing w:val="-34"/>
        </w:rPr>
        <w:t>，</w:t>
      </w:r>
      <w:r>
        <w:rPr/>
        <w:t>通过打造强大的数据库</w:t>
      </w:r>
      <w:r>
        <w:rPr>
          <w:spacing w:val="-34"/>
        </w:rPr>
        <w:t>，</w:t>
      </w:r>
      <w:r>
        <w:rPr/>
        <w:t>收集尽量多的分子，以实现药物的广义筛选和大规模筛选。比如</w:t>
      </w:r>
      <w:r>
        <w:rPr>
          <w:spacing w:val="-60"/>
        </w:rPr>
        <w:t> </w:t>
      </w:r>
      <w:r>
        <w:rPr/>
        <w:t>GDB-17</w:t>
      </w:r>
      <w:r>
        <w:rPr>
          <w:spacing w:val="-60"/>
        </w:rPr>
        <w:t> </w:t>
      </w:r>
      <w:r>
        <w:rPr/>
        <w:t>数据库、ZINK</w:t>
      </w:r>
      <w:r>
        <w:rPr>
          <w:spacing w:val="-60"/>
        </w:rPr>
        <w:t> </w:t>
      </w:r>
      <w:r>
        <w:rPr/>
        <w:t>数据库、REadily</w:t>
        <w:tab/>
        <w:t>AvailabLe</w:t>
      </w:r>
      <w:r>
        <w:rPr>
          <w:spacing w:val="-60"/>
        </w:rPr>
        <w:t> </w:t>
      </w:r>
      <w:r>
        <w:rPr/>
        <w:t>数据库和</w:t>
      </w:r>
      <w:r>
        <w:rPr>
          <w:spacing w:val="-60"/>
        </w:rPr>
        <w:t> </w:t>
      </w:r>
      <w:r>
        <w:rPr/>
        <w:t>EnamineStore</w:t>
      </w:r>
      <w:r>
        <w:rPr>
          <w:spacing w:val="-60"/>
        </w:rPr>
        <w:t> </w:t>
      </w:r>
      <w:r>
        <w:rPr/>
        <w:t>数据库等，这些数据库已收录数亿计的分子</w:t>
      </w:r>
      <w:r>
        <w:rPr>
          <w:spacing w:val="-17"/>
        </w:rPr>
        <w:t>， </w:t>
      </w:r>
      <w:r>
        <w:rPr/>
        <w:t>在</w:t>
      </w:r>
      <w:r>
        <w:rPr>
          <w:spacing w:val="-60"/>
        </w:rPr>
        <w:t> </w:t>
      </w:r>
      <w:r>
        <w:rPr/>
        <w:t>AI</w:t>
      </w:r>
      <w:r>
        <w:rPr>
          <w:spacing w:val="-60"/>
        </w:rPr>
        <w:t> </w:t>
      </w:r>
      <w:r>
        <w:rPr/>
        <w:t>技术的帮助下，可实现分子与靶点自动匹配和定位。</w:t>
      </w:r>
    </w:p>
    <w:p>
      <w:pPr>
        <w:pStyle w:val="Heading3"/>
        <w:spacing w:before="1"/>
        <w:ind w:left="717"/>
        <w:rPr>
          <w:rFonts w:ascii="宋体" w:eastAsia="宋体" w:hint="eastAsia"/>
        </w:rPr>
      </w:pPr>
      <w:r>
        <w:rPr>
          <w:rFonts w:ascii="宋体" w:eastAsia="宋体" w:hint="eastAsia"/>
        </w:rPr>
        <w:t>RNA（核糖核酸）药物</w:t>
      </w:r>
    </w:p>
    <w:p>
      <w:pPr>
        <w:pStyle w:val="BodyText"/>
        <w:tabs>
          <w:tab w:pos="3434" w:val="left" w:leader="none"/>
          <w:tab w:pos="6554" w:val="left" w:leader="none"/>
        </w:tabs>
        <w:spacing w:line="280" w:lineRule="auto" w:before="52"/>
        <w:ind w:right="1127" w:firstLine="480"/>
      </w:pPr>
      <w:r>
        <w:rPr/>
        <w:t>以前，RNA</w:t>
      </w:r>
      <w:r>
        <w:rPr>
          <w:spacing w:val="-60"/>
        </w:rPr>
        <w:t> </w:t>
      </w:r>
      <w:r>
        <w:rPr/>
        <w:t>药物领域研究一直都不温不火。事实上，RNA</w:t>
      </w:r>
      <w:r>
        <w:rPr>
          <w:spacing w:val="-60"/>
        </w:rPr>
        <w:t> </w:t>
      </w:r>
      <w:r>
        <w:rPr/>
        <w:t>在蛋白表达中起着至关重要的作用</w:t>
      </w:r>
      <w:r>
        <w:rPr>
          <w:spacing w:val="-51"/>
        </w:rPr>
        <w:t>，</w:t>
      </w:r>
      <w:r>
        <w:rPr/>
        <w:t>通过合成一些短链的</w:t>
      </w:r>
      <w:r>
        <w:rPr>
          <w:spacing w:val="-60"/>
        </w:rPr>
        <w:t> </w:t>
      </w:r>
      <w:r>
        <w:rPr/>
        <w:t>RNA</w:t>
      </w:r>
      <w:r>
        <w:rPr>
          <w:spacing w:val="-60"/>
        </w:rPr>
        <w:t> </w:t>
      </w:r>
      <w:r>
        <w:rPr/>
        <w:t>可以干扰基因的表达</w:t>
      </w:r>
      <w:r>
        <w:rPr>
          <w:spacing w:val="-51"/>
        </w:rPr>
        <w:t>，</w:t>
      </w:r>
      <w:r>
        <w:rPr/>
        <w:t>弥补部分基因的缺失或矫正不正常</w:t>
      </w:r>
      <w:r>
        <w:rPr>
          <w:spacing w:val="-16"/>
        </w:rPr>
        <w:t>基</w:t>
      </w:r>
      <w:r>
        <w:rPr/>
        <w:t>因的表达。随着近年来几个</w:t>
      </w:r>
      <w:r>
        <w:rPr>
          <w:spacing w:val="-60"/>
        </w:rPr>
        <w:t> </w:t>
      </w:r>
      <w:r>
        <w:rPr/>
        <w:t>RNA</w:t>
      </w:r>
      <w:r>
        <w:rPr>
          <w:spacing w:val="-60"/>
        </w:rPr>
        <w:t> </w:t>
      </w:r>
      <w:r>
        <w:rPr/>
        <w:t>或</w:t>
      </w:r>
      <w:r>
        <w:rPr>
          <w:spacing w:val="-60"/>
        </w:rPr>
        <w:t> </w:t>
      </w:r>
      <w:r>
        <w:rPr/>
        <w:t>RNAi</w:t>
      </w:r>
      <w:r>
        <w:rPr>
          <w:spacing w:val="-60"/>
        </w:rPr>
        <w:t> </w:t>
      </w:r>
      <w:r>
        <w:rPr/>
        <w:t>药物相继获批上市，RNA</w:t>
      </w:r>
      <w:r>
        <w:rPr>
          <w:spacing w:val="-60"/>
        </w:rPr>
        <w:t> </w:t>
      </w:r>
      <w:r>
        <w:rPr/>
        <w:t>药物逐渐受到关注。截至目前</w:t>
      </w:r>
      <w:r>
        <w:rPr>
          <w:spacing w:val="-27"/>
        </w:rPr>
        <w:t>，</w:t>
      </w:r>
      <w:r>
        <w:rPr/>
        <w:t>至少有十几家公司有专门的</w:t>
      </w:r>
      <w:r>
        <w:rPr>
          <w:spacing w:val="-60"/>
        </w:rPr>
        <w:t> </w:t>
      </w:r>
      <w:r>
        <w:rPr/>
        <w:t>RNA</w:t>
      </w:r>
      <w:r>
        <w:rPr>
          <w:spacing w:val="-60"/>
        </w:rPr>
        <w:t> </w:t>
      </w:r>
      <w:r>
        <w:rPr/>
        <w:t>药物研究计划</w:t>
      </w:r>
      <w:r>
        <w:rPr>
          <w:spacing w:val="-27"/>
        </w:rPr>
        <w:t>，</w:t>
      </w:r>
      <w:r>
        <w:rPr/>
        <w:t>包括默沙东</w:t>
      </w:r>
      <w:r>
        <w:rPr>
          <w:spacing w:val="-24"/>
        </w:rPr>
        <w:t>、</w:t>
      </w:r>
      <w:r>
        <w:rPr/>
        <w:t>诺华</w:t>
      </w:r>
      <w:r>
        <w:rPr>
          <w:spacing w:val="-27"/>
        </w:rPr>
        <w:t>、</w:t>
      </w:r>
      <w:r>
        <w:rPr/>
        <w:t>赛诺菲和辉瑞</w:t>
      </w:r>
      <w:r>
        <w:rPr>
          <w:spacing w:val="-13"/>
        </w:rPr>
        <w:t>等</w:t>
      </w:r>
      <w:r>
        <w:rPr/>
        <w:t>大型制药公司</w:t>
      </w:r>
      <w:r>
        <w:rPr>
          <w:spacing w:val="-104"/>
        </w:rPr>
        <w:t>，</w:t>
      </w:r>
      <w:r>
        <w:rPr/>
        <w:t>以及</w:t>
      </w:r>
      <w:r>
        <w:rPr>
          <w:spacing w:val="-61"/>
        </w:rPr>
        <w:t> </w:t>
      </w:r>
      <w:r>
        <w:rPr/>
        <w:t>Arrakis</w:t>
        <w:tab/>
        <w:t>Therapeutics</w:t>
      </w:r>
      <w:r>
        <w:rPr>
          <w:spacing w:val="-60"/>
        </w:rPr>
        <w:t> </w:t>
      </w:r>
      <w:r>
        <w:rPr/>
        <w:t>和</w:t>
      </w:r>
      <w:r>
        <w:rPr>
          <w:spacing w:val="-60"/>
        </w:rPr>
        <w:t> </w:t>
      </w:r>
      <w:r>
        <w:rPr/>
        <w:t>Expansion</w:t>
        <w:tab/>
        <w:t>Therapeutics</w:t>
      </w:r>
      <w:r>
        <w:rPr>
          <w:spacing w:val="-60"/>
        </w:rPr>
        <w:t> </w:t>
      </w:r>
      <w:r>
        <w:rPr/>
        <w:t>等生物技术初</w:t>
      </w:r>
      <w:r>
        <w:rPr>
          <w:spacing w:val="-15"/>
        </w:rPr>
        <w:t>创</w:t>
      </w:r>
      <w:r>
        <w:rPr/>
        <w:t>公司。</w:t>
      </w:r>
    </w:p>
    <w:p>
      <w:pPr>
        <w:pStyle w:val="Heading3"/>
        <w:spacing w:before="2"/>
        <w:ind w:left="717"/>
        <w:rPr>
          <w:rFonts w:ascii="宋体" w:eastAsia="宋体" w:hint="eastAsia"/>
        </w:rPr>
      </w:pPr>
      <w:r>
        <w:rPr>
          <w:rFonts w:ascii="宋体" w:eastAsia="宋体" w:hint="eastAsia"/>
        </w:rPr>
        <w:t>新型抗生素研发</w:t>
      </w:r>
    </w:p>
    <w:p>
      <w:pPr>
        <w:pStyle w:val="BodyText"/>
        <w:tabs>
          <w:tab w:pos="2097" w:val="left" w:leader="none"/>
        </w:tabs>
        <w:spacing w:line="280" w:lineRule="auto" w:before="53"/>
        <w:ind w:right="1126" w:firstLine="480"/>
      </w:pPr>
      <w:r>
        <w:rPr/>
        <w:t>长期以来</w:t>
      </w:r>
      <w:r>
        <w:rPr>
          <w:spacing w:val="-34"/>
        </w:rPr>
        <w:t>，</w:t>
      </w:r>
      <w:r>
        <w:rPr/>
        <w:t>抗生素的研发没有实质性的突破</w:t>
      </w:r>
      <w:r>
        <w:rPr>
          <w:spacing w:val="-34"/>
        </w:rPr>
        <w:t>。</w:t>
      </w:r>
      <w:r>
        <w:rPr/>
        <w:t>然而近年来的“超级细菌”事件</w:t>
      </w:r>
      <w:r>
        <w:rPr>
          <w:spacing w:val="-34"/>
        </w:rPr>
        <w:t>，</w:t>
      </w:r>
      <w:r>
        <w:rPr/>
        <w:t>使各</w:t>
      </w:r>
      <w:r>
        <w:rPr>
          <w:spacing w:val="-15"/>
        </w:rPr>
        <w:t>国</w:t>
      </w:r>
      <w:r>
        <w:rPr/>
        <w:t>政府开始鼓励新型抗生素的研发</w:t>
      </w:r>
      <w:r>
        <w:rPr>
          <w:spacing w:val="-51"/>
        </w:rPr>
        <w:t>。</w:t>
      </w:r>
      <w:r>
        <w:rPr/>
        <w:t>抗生素领域令人兴奋的突破之一是</w:t>
      </w:r>
      <w:r>
        <w:rPr>
          <w:spacing w:val="-51"/>
        </w:rPr>
        <w:t>，</w:t>
      </w:r>
      <w:r>
        <w:rPr/>
        <w:t>美国东北大学抗菌</w:t>
      </w:r>
      <w:r>
        <w:rPr>
          <w:spacing w:val="-15"/>
        </w:rPr>
        <w:t>发</w:t>
      </w:r>
      <w:r>
        <w:rPr/>
        <w:t>现中心主任</w:t>
      </w:r>
      <w:r>
        <w:rPr>
          <w:spacing w:val="-61"/>
        </w:rPr>
        <w:t> </w:t>
      </w:r>
      <w:r>
        <w:rPr/>
        <w:t>Kim</w:t>
        <w:tab/>
        <w:t>Lewis</w:t>
      </w:r>
      <w:r>
        <w:rPr>
          <w:spacing w:val="-60"/>
        </w:rPr>
        <w:t> </w:t>
      </w:r>
      <w:r>
        <w:rPr/>
        <w:t>及其团队于</w:t>
      </w:r>
      <w:r>
        <w:rPr>
          <w:spacing w:val="-60"/>
        </w:rPr>
        <w:t> </w:t>
      </w:r>
      <w:r>
        <w:rPr/>
        <w:t>2015</w:t>
      </w:r>
      <w:r>
        <w:rPr>
          <w:spacing w:val="-60"/>
        </w:rPr>
        <w:t> </w:t>
      </w:r>
      <w:r>
        <w:rPr/>
        <w:t>年发现了</w:t>
      </w:r>
      <w:r>
        <w:rPr>
          <w:spacing w:val="-60"/>
        </w:rPr>
        <w:t> </w:t>
      </w:r>
      <w:r>
        <w:rPr/>
        <w:t>Teixobactin</w:t>
      </w:r>
      <w:r>
        <w:rPr>
          <w:spacing w:val="-60"/>
        </w:rPr>
        <w:t> </w:t>
      </w:r>
      <w:r>
        <w:rPr/>
        <w:t>及其类似物</w:t>
      </w:r>
      <w:r>
        <w:rPr>
          <w:spacing w:val="-104"/>
        </w:rPr>
        <w:t>。</w:t>
      </w:r>
      <w:r>
        <w:rPr/>
        <w:t>这种强大的</w:t>
      </w:r>
      <w:r>
        <w:rPr>
          <w:spacing w:val="-13"/>
        </w:rPr>
        <w:t>新</w:t>
      </w:r>
      <w:r>
        <w:rPr/>
        <w:t>抗生素被认为有抵抗“超级细菌”的潜力。2018</w:t>
      </w:r>
      <w:r>
        <w:rPr>
          <w:spacing w:val="-61"/>
        </w:rPr>
        <w:t> </w:t>
      </w:r>
      <w:r>
        <w:rPr/>
        <w:t>年，林肯大学的研究人员成功合成了Teixobactin，抗生素研发又向前迈出了重要一步。</w:t>
      </w:r>
    </w:p>
    <w:p>
      <w:pPr>
        <w:pStyle w:val="BodyText"/>
        <w:spacing w:line="280" w:lineRule="auto" w:before="1"/>
        <w:ind w:right="1129" w:firstLine="480"/>
      </w:pPr>
      <w:r>
        <w:rPr/>
        <w:t>截至目前，Teixobactin</w:t>
      </w:r>
      <w:r>
        <w:rPr>
          <w:spacing w:val="-11"/>
        </w:rPr>
        <w:t> 及其部分衍生物已经进入临床试验，部分制药企业加入了这一</w:t>
      </w:r>
      <w:r>
        <w:rPr/>
        <w:t>领域的竞赛。</w:t>
      </w:r>
    </w:p>
    <w:p>
      <w:pPr>
        <w:pStyle w:val="Heading3"/>
        <w:spacing w:before="1"/>
        <w:ind w:left="717"/>
        <w:rPr>
          <w:rFonts w:ascii="宋体" w:eastAsia="宋体" w:hint="eastAsia"/>
        </w:rPr>
      </w:pPr>
      <w:r>
        <w:rPr>
          <w:rFonts w:ascii="宋体" w:eastAsia="宋体" w:hint="eastAsia"/>
        </w:rPr>
        <w:t>现代表型药物筛选</w:t>
      </w:r>
    </w:p>
    <w:p>
      <w:pPr>
        <w:spacing w:after="0"/>
        <w:rPr>
          <w:rFonts w:ascii="宋体" w:eastAsia="宋体" w:hint="eastAsia"/>
        </w:rPr>
        <w:sectPr>
          <w:pgSz w:w="11910" w:h="16850"/>
          <w:pgMar w:header="906" w:footer="607" w:top="1100" w:bottom="800" w:left="1040" w:right="0"/>
        </w:sectPr>
      </w:pPr>
    </w:p>
    <w:p>
      <w:pPr>
        <w:pStyle w:val="BodyText"/>
        <w:spacing w:line="280" w:lineRule="auto" w:before="48"/>
        <w:ind w:right="1130" w:firstLine="480"/>
      </w:pPr>
      <w:r>
        <w:rPr>
          <w:spacing w:val="-6"/>
        </w:rPr>
        <w:t>表型药物筛选是基于生物体表型的药物筛选方法，传统表型药物筛选是在动物疾病模型</w:t>
      </w:r>
      <w:r>
        <w:rPr/>
        <w:t>上筛选能够改变表型的化合物，再深入探索化合物发挥药理作用的靶点及作用机制。</w:t>
      </w:r>
    </w:p>
    <w:p>
      <w:pPr>
        <w:pStyle w:val="BodyText"/>
        <w:spacing w:line="280" w:lineRule="auto" w:before="1"/>
        <w:ind w:right="1009" w:firstLine="480"/>
      </w:pPr>
      <w:r>
        <w:rPr>
          <w:spacing w:val="-9"/>
        </w:rPr>
        <w:t>近年来，表型药物筛选重新受到广泛重视，并被赋予了新的内涵，形成了现代表型药物</w:t>
      </w:r>
      <w:r>
        <w:rPr>
          <w:spacing w:val="-18"/>
        </w:rPr>
        <w:t>筛选。现代表型药物筛选可涉及更多、更复杂的生理和病理过程，研究内容深入到细胞水平， </w:t>
      </w:r>
      <w:r>
        <w:rPr/>
        <w:t>通过细胞水平的表型变化来发现新型药物。</w:t>
      </w:r>
    </w:p>
    <w:p>
      <w:pPr>
        <w:pStyle w:val="BodyText"/>
        <w:tabs>
          <w:tab w:pos="2560" w:val="left" w:leader="none"/>
          <w:tab w:pos="4567" w:val="left" w:leader="none"/>
        </w:tabs>
        <w:spacing w:line="280" w:lineRule="auto"/>
        <w:ind w:right="1126" w:firstLine="480"/>
      </w:pPr>
      <w:r>
        <w:rPr/>
        <w:t>2011</w:t>
      </w:r>
      <w:r>
        <w:rPr>
          <w:spacing w:val="-77"/>
        </w:rPr>
        <w:t> </w:t>
      </w:r>
      <w:r>
        <w:rPr/>
        <w:t>年，David</w:t>
        <w:tab/>
        <w:t>Swinney</w:t>
      </w:r>
      <w:r>
        <w:rPr>
          <w:spacing w:val="-77"/>
        </w:rPr>
        <w:t> </w:t>
      </w:r>
      <w:r>
        <w:rPr/>
        <w:t>和</w:t>
      </w:r>
      <w:r>
        <w:rPr>
          <w:spacing w:val="-77"/>
        </w:rPr>
        <w:t> </w:t>
      </w:r>
      <w:r>
        <w:rPr/>
        <w:t>Jason</w:t>
        <w:tab/>
        <w:t>Anthony</w:t>
      </w:r>
      <w:r>
        <w:rPr>
          <w:spacing w:val="-77"/>
        </w:rPr>
        <w:t> </w:t>
      </w:r>
      <w:r>
        <w:rPr/>
        <w:t>发表的一篇文章表示，对</w:t>
      </w:r>
      <w:r>
        <w:rPr>
          <w:spacing w:val="-77"/>
        </w:rPr>
        <w:t> </w:t>
      </w:r>
      <w:r>
        <w:rPr/>
        <w:t>1999~2008</w:t>
      </w:r>
      <w:r>
        <w:rPr>
          <w:spacing w:val="-77"/>
        </w:rPr>
        <w:t> </w:t>
      </w:r>
      <w:r>
        <w:rPr/>
        <w:t>年</w:t>
      </w:r>
      <w:r>
        <w:rPr>
          <w:spacing w:val="-16"/>
        </w:rPr>
        <w:t>上</w:t>
      </w:r>
      <w:r>
        <w:rPr/>
        <w:t>市药物的发现方法进行研究，结果发现，大部分</w:t>
      </w:r>
      <w:r>
        <w:rPr>
          <w:spacing w:val="-60"/>
        </w:rPr>
        <w:t> </w:t>
      </w:r>
      <w:r>
        <w:rPr/>
        <w:t>First-in-class</w:t>
      </w:r>
      <w:r>
        <w:rPr>
          <w:spacing w:val="-60"/>
        </w:rPr>
        <w:t> </w:t>
      </w:r>
      <w:r>
        <w:rPr/>
        <w:t>药物(28</w:t>
      </w:r>
      <w:r>
        <w:rPr>
          <w:spacing w:val="-60"/>
        </w:rPr>
        <w:t> </w:t>
      </w:r>
      <w:r>
        <w:rPr/>
        <w:t>个中的</w:t>
      </w:r>
      <w:r>
        <w:rPr>
          <w:spacing w:val="-60"/>
        </w:rPr>
        <w:t> </w:t>
      </w:r>
      <w:r>
        <w:rPr/>
        <w:t>17</w:t>
      </w:r>
      <w:r>
        <w:rPr>
          <w:spacing w:val="-60"/>
        </w:rPr>
        <w:t> </w:t>
      </w:r>
      <w:r>
        <w:rPr/>
        <w:t>个)在发现过程中都采用了现代药物表型筛选。这一有影响力的分析引发了自</w:t>
      </w:r>
      <w:r>
        <w:rPr>
          <w:spacing w:val="-60"/>
        </w:rPr>
        <w:t> </w:t>
      </w:r>
      <w:r>
        <w:rPr/>
        <w:t>2011</w:t>
      </w:r>
      <w:r>
        <w:rPr>
          <w:spacing w:val="-60"/>
        </w:rPr>
        <w:t> </w:t>
      </w:r>
      <w:r>
        <w:rPr/>
        <w:t>年以来表型药物筛选的范式复兴。</w:t>
      </w:r>
    </w:p>
    <w:p>
      <w:pPr>
        <w:pStyle w:val="BodyText"/>
        <w:spacing w:line="280" w:lineRule="auto" w:before="1"/>
        <w:ind w:right="1127" w:firstLine="480"/>
        <w:jc w:val="both"/>
      </w:pPr>
      <w:r>
        <w:rPr>
          <w:spacing w:val="-6"/>
        </w:rPr>
        <w:t>诺华公司的科学家对这一现象进行分析后得出结论：虽然制药研究组织在表型方法方面</w:t>
      </w:r>
      <w:r>
        <w:rPr>
          <w:spacing w:val="-8"/>
        </w:rPr>
        <w:t>遇到了相当大的挑战，但在过去 </w:t>
      </w:r>
      <w:r>
        <w:rPr/>
        <w:t>5</w:t>
      </w:r>
      <w:r>
        <w:rPr>
          <w:spacing w:val="-12"/>
        </w:rPr>
        <w:t> 年时间里，基于传统靶点筛选出的药物数量正在减少，而</w:t>
      </w:r>
      <w:r>
        <w:rPr/>
        <w:t>采用表型药物筛选出的药物数量却在进一步增加。</w:t>
      </w:r>
    </w:p>
    <w:p>
      <w:pPr>
        <w:pStyle w:val="Heading3"/>
        <w:spacing w:before="1"/>
        <w:ind w:left="717"/>
        <w:rPr>
          <w:rFonts w:ascii="宋体" w:eastAsia="宋体" w:hint="eastAsia"/>
        </w:rPr>
      </w:pPr>
      <w:r>
        <w:rPr>
          <w:rFonts w:ascii="宋体" w:eastAsia="宋体" w:hint="eastAsia"/>
        </w:rPr>
        <w:t>数字化器官</w:t>
      </w:r>
    </w:p>
    <w:p>
      <w:pPr>
        <w:pStyle w:val="BodyText"/>
        <w:spacing w:line="280" w:lineRule="auto" w:before="53"/>
        <w:ind w:right="1007" w:firstLine="480"/>
      </w:pPr>
      <w:r>
        <w:rPr/>
        <w:t>2017</w:t>
      </w:r>
      <w:r>
        <w:rPr>
          <w:spacing w:val="-21"/>
        </w:rPr>
        <w:t> 年，美国 </w:t>
      </w:r>
      <w:r>
        <w:rPr/>
        <w:t>FDA</w:t>
      </w:r>
      <w:r>
        <w:rPr>
          <w:spacing w:val="-8"/>
        </w:rPr>
        <w:t> 批准了大冢制药的数字化药物阿立哌唑，该药物中含有一颗芯片， </w:t>
      </w:r>
      <w:r>
        <w:rPr>
          <w:spacing w:val="-17"/>
        </w:rPr>
        <w:t>可实时监控药物在患者体内的处置过程。这是一个数字化医疗的典型案例。除了数字化制剂， </w:t>
      </w:r>
      <w:r>
        <w:rPr/>
        <w:t>国外一些制药企业已经着手探索数字化器官，以辅助药物筛选。</w:t>
      </w:r>
    </w:p>
    <w:p>
      <w:pPr>
        <w:pStyle w:val="BodyText"/>
        <w:spacing w:line="280" w:lineRule="auto" w:before="1"/>
        <w:ind w:right="1127" w:firstLine="480"/>
        <w:jc w:val="both"/>
      </w:pPr>
      <w:r>
        <w:rPr>
          <w:spacing w:val="-6"/>
        </w:rPr>
        <w:t>活细胞内衬的微芯片不但可以彻底改变药物的研发方式，而且对疾病的建模和个性化医</w:t>
      </w:r>
      <w:r>
        <w:rPr/>
        <w:t>疗都有帮助。这种植入细胞的微芯片被称为“organ-on-a-chip”的药物筛选模式，可以为</w:t>
      </w:r>
      <w:r>
        <w:rPr>
          <w:spacing w:val="-9"/>
        </w:rPr>
        <w:t>科学家提供实时数据，有效弥补了动物筛选药物的不足。但这种过于理论化的高科技仍然面</w:t>
      </w:r>
      <w:r>
        <w:rPr/>
        <w:t>临着实用性的问题。</w:t>
      </w:r>
    </w:p>
    <w:p>
      <w:pPr>
        <w:pStyle w:val="Heading3"/>
        <w:spacing w:before="1"/>
        <w:ind w:left="717"/>
        <w:rPr>
          <w:rFonts w:ascii="宋体" w:eastAsia="宋体" w:hint="eastAsia"/>
        </w:rPr>
      </w:pPr>
      <w:r>
        <w:rPr>
          <w:rFonts w:ascii="宋体" w:eastAsia="宋体" w:hint="eastAsia"/>
        </w:rPr>
        <w:t>生物打印技术</w:t>
      </w:r>
    </w:p>
    <w:p>
      <w:pPr>
        <w:pStyle w:val="BodyText"/>
        <w:spacing w:before="52"/>
        <w:ind w:left="717"/>
      </w:pPr>
      <w:r>
        <w:rPr/>
        <w:t>生物打印技术是一种类似 3D 打印的技术，但打印出来的是有生命的器官。</w:t>
      </w:r>
    </w:p>
    <w:p>
      <w:pPr>
        <w:pStyle w:val="BodyText"/>
        <w:spacing w:line="280" w:lineRule="auto" w:before="53"/>
        <w:ind w:right="1127" w:firstLine="480"/>
      </w:pPr>
      <w:r>
        <w:rPr/>
        <w:t>很多疾病通过器官移植就能够得到救治，然而目前人体器官并不能像零件一样批量生</w:t>
      </w:r>
      <w:r>
        <w:rPr>
          <w:spacing w:val="-11"/>
        </w:rPr>
        <w:t>产，生物打印技术有望让这一愿望成为可能。不但如此，生物打印的器官还有望促进药物研</w:t>
      </w:r>
      <w:r>
        <w:rPr/>
        <w:t>发，让药物筛选变得简单化。</w:t>
      </w:r>
    </w:p>
    <w:p>
      <w:pPr>
        <w:pStyle w:val="BodyText"/>
        <w:tabs>
          <w:tab w:pos="1617" w:val="left" w:leader="none"/>
        </w:tabs>
        <w:spacing w:line="280" w:lineRule="auto" w:before="1"/>
        <w:ind w:right="1009"/>
      </w:pPr>
      <w:r>
        <w:rPr/>
        <w:t>Cellink</w:t>
      </w:r>
      <w:r>
        <w:rPr>
          <w:spacing w:val="-61"/>
        </w:rPr>
        <w:t> </w:t>
      </w:r>
      <w:r>
        <w:rPr/>
        <w:t>是世界上首批能够提供</w:t>
      </w:r>
      <w:r>
        <w:rPr>
          <w:spacing w:val="-60"/>
        </w:rPr>
        <w:t> </w:t>
      </w:r>
      <w:r>
        <w:rPr/>
        <w:t>3D</w:t>
      </w:r>
      <w:r>
        <w:rPr>
          <w:spacing w:val="-60"/>
        </w:rPr>
        <w:t> </w:t>
      </w:r>
      <w:r>
        <w:rPr/>
        <w:t>打印生物聚合物的公司之一</w:t>
      </w:r>
      <w:r>
        <w:rPr>
          <w:spacing w:val="-103"/>
        </w:rPr>
        <w:t>，</w:t>
      </w:r>
      <w:r>
        <w:rPr/>
        <w:t>Cellink</w:t>
      </w:r>
      <w:r>
        <w:rPr>
          <w:spacing w:val="-60"/>
        </w:rPr>
        <w:t> </w:t>
      </w:r>
      <w:r>
        <w:rPr/>
        <w:t>已经与法国医疗技术公司</w:t>
      </w:r>
      <w:r>
        <w:rPr>
          <w:spacing w:val="-61"/>
        </w:rPr>
        <w:t> </w:t>
      </w:r>
      <w:r>
        <w:rPr/>
        <w:t>CTI</w:t>
        <w:tab/>
        <w:t>Biotech</w:t>
      </w:r>
      <w:r>
        <w:rPr>
          <w:spacing w:val="-60"/>
        </w:rPr>
        <w:t> </w:t>
      </w:r>
      <w:r>
        <w:rPr/>
        <w:t>达成合作</w:t>
      </w:r>
      <w:r>
        <w:rPr>
          <w:spacing w:val="-34"/>
        </w:rPr>
        <w:t>，</w:t>
      </w:r>
      <w:r>
        <w:rPr/>
        <w:t>专门生产癌症组织</w:t>
      </w:r>
      <w:r>
        <w:rPr>
          <w:spacing w:val="-34"/>
        </w:rPr>
        <w:t>，</w:t>
      </w:r>
      <w:r>
        <w:rPr/>
        <w:t>以推进癌症研究</w:t>
      </w:r>
      <w:r>
        <w:rPr>
          <w:spacing w:val="-34"/>
        </w:rPr>
        <w:t>，</w:t>
      </w:r>
      <w:r>
        <w:rPr/>
        <w:t>加快抗癌药物研发</w:t>
      </w:r>
      <w:r>
        <w:rPr>
          <w:spacing w:val="-18"/>
        </w:rPr>
        <w:t>。</w:t>
      </w:r>
      <w:r>
        <w:rPr/>
        <w:t>除了</w:t>
      </w:r>
      <w:r>
        <w:rPr>
          <w:spacing w:val="-64"/>
        </w:rPr>
        <w:t> </w:t>
      </w:r>
      <w:r>
        <w:rPr/>
        <w:t>Cellink，OxSyBio</w:t>
      </w:r>
      <w:r>
        <w:rPr>
          <w:spacing w:val="-63"/>
        </w:rPr>
        <w:t> </w:t>
      </w:r>
      <w:r>
        <w:rPr/>
        <w:t>也在积极探索生物打印技术</w:t>
      </w:r>
      <w:r>
        <w:rPr>
          <w:spacing w:val="-22"/>
        </w:rPr>
        <w:t>，</w:t>
      </w:r>
      <w:r>
        <w:rPr/>
        <w:t>目前该公司已经完成</w:t>
      </w:r>
      <w:r>
        <w:rPr>
          <w:spacing w:val="-62"/>
        </w:rPr>
        <w:t> </w:t>
      </w:r>
      <w:r>
        <w:rPr/>
        <w:t>1000</w:t>
      </w:r>
      <w:r>
        <w:rPr>
          <w:spacing w:val="-63"/>
        </w:rPr>
        <w:t> </w:t>
      </w:r>
      <w:r>
        <w:rPr/>
        <w:t>万英镑的</w:t>
      </w:r>
      <w:r>
        <w:rPr>
          <w:spacing w:val="-64"/>
        </w:rPr>
        <w:t> </w:t>
      </w:r>
      <w:r>
        <w:rPr/>
        <w:t>A</w:t>
      </w:r>
    </w:p>
    <w:p>
      <w:pPr>
        <w:spacing w:line="421" w:lineRule="exact" w:before="0"/>
        <w:ind w:left="237" w:right="0" w:firstLine="0"/>
        <w:jc w:val="left"/>
        <w:rPr>
          <w:rFonts w:ascii="Meiryo" w:eastAsia="Meiryo" w:hint="eastAsia"/>
          <w:b/>
          <w:sz w:val="24"/>
        </w:rPr>
      </w:pPr>
      <w:r>
        <w:rPr>
          <w:sz w:val="24"/>
        </w:rPr>
        <w:t>轮融资。</w:t>
      </w:r>
      <w:r>
        <w:rPr>
          <w:rFonts w:ascii="Meiryo" w:eastAsia="Meiryo" w:hint="eastAsia"/>
          <w:b/>
          <w:color w:val="0033CC"/>
          <w:sz w:val="24"/>
        </w:rPr>
        <w:t>[返回目次]</w:t>
      </w:r>
    </w:p>
    <w:p>
      <w:pPr>
        <w:pStyle w:val="Heading2"/>
        <w:spacing w:before="189"/>
        <w:ind w:left="1290"/>
      </w:pPr>
      <w:bookmarkStart w:name="_TOC_250039" w:id="4"/>
      <w:bookmarkEnd w:id="4"/>
      <w:r>
        <w:rPr/>
        <w:t>国家医保“腾笼换鸟”与仿制药企业技术升级三阶梯</w:t>
      </w:r>
    </w:p>
    <w:p>
      <w:pPr>
        <w:pStyle w:val="Heading3"/>
        <w:spacing w:before="207"/>
        <w:ind w:right="1128"/>
        <w:jc w:val="right"/>
      </w:pPr>
      <w:r>
        <w:rPr>
          <w:color w:val="FF0000"/>
          <w:w w:val="95"/>
        </w:rPr>
        <w:t>（来源：中国医药报）</w:t>
      </w:r>
    </w:p>
    <w:p>
      <w:pPr>
        <w:pStyle w:val="BodyText"/>
        <w:spacing w:line="304" w:lineRule="auto" w:before="103"/>
        <w:ind w:right="1127" w:firstLine="480"/>
        <w:jc w:val="both"/>
      </w:pPr>
      <w:r>
        <w:rPr>
          <w:spacing w:val="-11"/>
        </w:rPr>
        <w:t>改善用药结构，为公立医院改革腾出空间，是国家组织药品集中采购和使用试点的重点</w:t>
      </w:r>
      <w:r>
        <w:rPr>
          <w:spacing w:val="-4"/>
        </w:rPr>
        <w:t>工作之一。国家医保局局长胡静林在今年 </w:t>
      </w:r>
      <w:r>
        <w:rPr/>
        <w:t>1</w:t>
      </w:r>
      <w:r>
        <w:rPr>
          <w:spacing w:val="-8"/>
        </w:rPr>
        <w:t> 月召开的全国医疗保障工作会议上表示，按照</w:t>
      </w:r>
    </w:p>
    <w:p>
      <w:pPr>
        <w:pStyle w:val="BodyText"/>
        <w:spacing w:line="304" w:lineRule="auto"/>
        <w:ind w:right="1145"/>
        <w:jc w:val="both"/>
      </w:pPr>
      <w:r>
        <w:rPr/>
        <w:t>“4+7</w:t>
      </w:r>
      <w:r>
        <w:rPr>
          <w:spacing w:val="-4"/>
        </w:rPr>
        <w:t>”带量采购拟中选结果测算，预计 </w:t>
      </w:r>
      <w:r>
        <w:rPr/>
        <w:t>11</w:t>
      </w:r>
      <w:r>
        <w:rPr>
          <w:spacing w:val="-11"/>
        </w:rPr>
        <w:t> 个城市对应品种的药品采购费用从 </w:t>
      </w:r>
      <w:r>
        <w:rPr/>
        <w:t>77</w:t>
      </w:r>
      <w:r>
        <w:rPr>
          <w:spacing w:val="-16"/>
        </w:rPr>
        <w:t> 亿元下降</w:t>
      </w:r>
      <w:r>
        <w:rPr>
          <w:spacing w:val="-30"/>
        </w:rPr>
        <w:t>到 </w:t>
      </w:r>
      <w:r>
        <w:rPr/>
        <w:t>19</w:t>
      </w:r>
      <w:r>
        <w:rPr>
          <w:spacing w:val="-14"/>
        </w:rPr>
        <w:t> 亿元，费用下降 </w:t>
      </w:r>
      <w:r>
        <w:rPr/>
        <w:t>75.3%。而此次中选的品种绝大多数为仿制药。</w:t>
      </w:r>
    </w:p>
    <w:p>
      <w:pPr>
        <w:pStyle w:val="BodyText"/>
        <w:spacing w:line="304" w:lineRule="auto"/>
        <w:ind w:right="1127" w:firstLine="480"/>
        <w:jc w:val="both"/>
      </w:pPr>
      <w:r>
        <w:rPr>
          <w:spacing w:val="-6"/>
        </w:rPr>
        <w:t>笔者通过对比中美日三国老龄化进程及其医疗费用支出、仿制药总费用占药品总费用的</w:t>
      </w:r>
      <w:r>
        <w:rPr>
          <w:spacing w:val="-10"/>
        </w:rPr>
        <w:t>比例等情况，并结合国家推出的医保政策，对我国仿制药降价空间还有多大、仿制药企业如</w:t>
      </w:r>
      <w:r>
        <w:rPr/>
        <w:t>何快速转型升级进行分析。</w:t>
      </w:r>
    </w:p>
    <w:p>
      <w:pPr>
        <w:spacing w:after="0" w:line="304" w:lineRule="auto"/>
        <w:jc w:val="both"/>
        <w:sectPr>
          <w:pgSz w:w="11910" w:h="16850"/>
          <w:pgMar w:header="906" w:footer="607" w:top="1100" w:bottom="800" w:left="1040" w:right="0"/>
        </w:sectPr>
      </w:pPr>
    </w:p>
    <w:p>
      <w:pPr>
        <w:pStyle w:val="Heading3"/>
        <w:spacing w:before="72"/>
        <w:ind w:left="717"/>
        <w:rPr>
          <w:rFonts w:ascii="宋体" w:eastAsia="宋体" w:hint="eastAsia"/>
        </w:rPr>
      </w:pPr>
      <w:r>
        <w:rPr>
          <w:rFonts w:ascii="宋体" w:eastAsia="宋体" w:hint="eastAsia"/>
        </w:rPr>
        <w:t>中美日老龄化及医疗费用构成比较</w:t>
      </w:r>
    </w:p>
    <w:p>
      <w:pPr>
        <w:pStyle w:val="BodyText"/>
        <w:spacing w:line="304" w:lineRule="auto" w:before="81"/>
        <w:ind w:right="1145" w:firstLine="480"/>
        <w:jc w:val="both"/>
      </w:pPr>
      <w:r>
        <w:rPr>
          <w:spacing w:val="-3"/>
        </w:rPr>
        <w:t>老龄化是影响医疗卫生费用支出的重要因素。自 </w:t>
      </w:r>
      <w:r>
        <w:rPr/>
        <w:t>2002</w:t>
      </w:r>
      <w:r>
        <w:rPr>
          <w:spacing w:val="-8"/>
        </w:rPr>
        <w:t> 年全球进入老龄化社会以来</w:t>
      </w:r>
      <w:r>
        <w:rPr>
          <w:spacing w:val="-6"/>
        </w:rPr>
        <w:t>，65 </w:t>
      </w:r>
      <w:r>
        <w:rPr>
          <w:spacing w:val="-4"/>
        </w:rPr>
        <w:t>岁以上老年人占总人口的比例从 </w:t>
      </w:r>
      <w:r>
        <w:rPr/>
        <w:t>7%</w:t>
      </w:r>
      <w:r>
        <w:rPr>
          <w:spacing w:val="-15"/>
        </w:rPr>
        <w:t>提升到 </w:t>
      </w:r>
      <w:r>
        <w:rPr/>
        <w:t>14%</w:t>
      </w:r>
      <w:r>
        <w:rPr>
          <w:spacing w:val="-8"/>
        </w:rPr>
        <w:t>。美国大约用了 </w:t>
      </w:r>
      <w:r>
        <w:rPr/>
        <w:t>79</w:t>
      </w:r>
      <w:r>
        <w:rPr>
          <w:spacing w:val="-9"/>
        </w:rPr>
        <w:t> 年时间进入老龄化社会， </w:t>
      </w:r>
      <w:r>
        <w:rPr>
          <w:spacing w:val="-13"/>
        </w:rPr>
        <w:t>日本用了 </w:t>
      </w:r>
      <w:r>
        <w:rPr/>
        <w:t>25</w:t>
      </w:r>
      <w:r>
        <w:rPr>
          <w:spacing w:val="-15"/>
        </w:rPr>
        <w:t> 年时间</w:t>
      </w:r>
      <w:r>
        <w:rPr/>
        <w:t>（1970～1995</w:t>
      </w:r>
      <w:r>
        <w:rPr>
          <w:spacing w:val="-30"/>
        </w:rPr>
        <w:t> 年</w:t>
      </w:r>
      <w:r>
        <w:rPr/>
        <w:t>）</w:t>
      </w:r>
      <w:r>
        <w:rPr>
          <w:spacing w:val="-5"/>
        </w:rPr>
        <w:t>完成深度老龄化进程，我国自 </w:t>
      </w:r>
      <w:r>
        <w:rPr/>
        <w:t>2000</w:t>
      </w:r>
      <w:r>
        <w:rPr>
          <w:spacing w:val="-8"/>
        </w:rPr>
        <w:t> 年步入老龄化社</w:t>
      </w:r>
    </w:p>
    <w:p>
      <w:pPr>
        <w:pStyle w:val="BodyText"/>
        <w:spacing w:line="307" w:lineRule="exact"/>
        <w:jc w:val="both"/>
      </w:pPr>
      <w:r>
        <w:rPr/>
        <w:t>会，预计将在 2025 年左右完成老龄化进程。</w:t>
      </w:r>
    </w:p>
    <w:p>
      <w:pPr>
        <w:pStyle w:val="BodyText"/>
        <w:spacing w:line="304" w:lineRule="auto" w:before="82"/>
        <w:ind w:right="1145" w:firstLine="480"/>
        <w:jc w:val="both"/>
      </w:pPr>
      <w:r>
        <w:rPr>
          <w:spacing w:val="-3"/>
        </w:rPr>
        <w:t>在老龄化带来的医疗卫生费用不断上升过程中，日本只用了占 </w:t>
      </w:r>
      <w:r>
        <w:rPr/>
        <w:t>GDP 7.81%（2016</w:t>
      </w:r>
      <w:r>
        <w:rPr>
          <w:spacing w:val="-30"/>
        </w:rPr>
        <w:t> 年</w:t>
      </w:r>
      <w:r>
        <w:rPr>
          <w:spacing w:val="-16"/>
        </w:rPr>
        <w:t>） </w:t>
      </w:r>
      <w:r>
        <w:rPr>
          <w:spacing w:val="-5"/>
        </w:rPr>
        <w:t>的医疗卫生投入就完成了 </w:t>
      </w:r>
      <w:r>
        <w:rPr/>
        <w:t>1.27</w:t>
      </w:r>
      <w:r>
        <w:rPr>
          <w:spacing w:val="-9"/>
        </w:rPr>
        <w:t> 亿人口的全民医疗覆盖，这得益于日本政府采取的控制药品</w:t>
      </w:r>
      <w:r>
        <w:rPr/>
        <w:t>价格、推进药品再评价，以及仿制药替代原研药的组合行动。2016</w:t>
      </w:r>
      <w:r>
        <w:rPr>
          <w:spacing w:val="-8"/>
        </w:rPr>
        <w:t> 年，美国医疗卫生费用</w:t>
      </w:r>
      <w:r>
        <w:rPr>
          <w:spacing w:val="-26"/>
        </w:rPr>
        <w:t>占其 </w:t>
      </w:r>
      <w:r>
        <w:rPr/>
        <w:t>GDP</w:t>
      </w:r>
      <w:r>
        <w:rPr>
          <w:spacing w:val="-40"/>
        </w:rPr>
        <w:t> 的 </w:t>
      </w:r>
      <w:r>
        <w:rPr/>
        <w:t>18%</w:t>
      </w:r>
      <w:r>
        <w:rPr>
          <w:spacing w:val="-2"/>
        </w:rPr>
        <w:t>。在我国，老龄化带来的医疗卫生费用快速增长，我国医疗卫生费用占 </w:t>
      </w:r>
      <w:r>
        <w:rPr>
          <w:spacing w:val="-6"/>
        </w:rPr>
        <w:t>GDP </w:t>
      </w:r>
      <w:r>
        <w:rPr/>
        <w:t>的比例持续提高，2016</w:t>
      </w:r>
      <w:r>
        <w:rPr>
          <w:spacing w:val="-25"/>
        </w:rPr>
        <w:t> 年达到 </w:t>
      </w:r>
      <w:r>
        <w:rPr/>
        <w:t>6.23%，</w:t>
      </w:r>
      <w:r>
        <w:rPr>
          <w:spacing w:val="-8"/>
        </w:rPr>
        <w:t>近几年平均在以 </w:t>
      </w:r>
      <w:r>
        <w:rPr/>
        <w:t>0.2%的幅度增长。</w:t>
      </w:r>
    </w:p>
    <w:p>
      <w:pPr>
        <w:pStyle w:val="BodyText"/>
        <w:spacing w:line="304" w:lineRule="auto"/>
        <w:ind w:right="1127" w:firstLine="480"/>
        <w:jc w:val="both"/>
      </w:pPr>
      <w:r>
        <w:rPr>
          <w:spacing w:val="-7"/>
        </w:rPr>
        <w:t>美国的医疗卫生费用支出总量、人均医疗支出、人均药费支出均位于全球前列，这主要</w:t>
      </w:r>
      <w:r>
        <w:rPr>
          <w:spacing w:val="-4"/>
        </w:rPr>
        <w:t>是由于美国的医疗服务收费高昂。实际上，美国的药品总费用仅占卫生总费用的 13%（2016 </w:t>
      </w:r>
      <w:r>
        <w:rPr/>
        <w:t>年）。</w:t>
      </w:r>
    </w:p>
    <w:p>
      <w:pPr>
        <w:pStyle w:val="BodyText"/>
        <w:spacing w:line="304" w:lineRule="auto"/>
        <w:ind w:left="8002" w:right="1181" w:firstLine="472"/>
        <w:jc w:val="both"/>
      </w:pPr>
      <w:r>
        <w:rPr/>
        <w:drawing>
          <wp:anchor distT="0" distB="0" distL="0" distR="0" allowOverlap="1" layoutInCell="1" locked="0" behindDoc="1" simplePos="0" relativeHeight="249339904">
            <wp:simplePos x="0" y="0"/>
            <wp:positionH relativeFrom="page">
              <wp:posOffset>835779</wp:posOffset>
            </wp:positionH>
            <wp:positionV relativeFrom="paragraph">
              <wp:posOffset>56388</wp:posOffset>
            </wp:positionV>
            <wp:extent cx="4790320" cy="3947795"/>
            <wp:effectExtent l="0" t="0" r="0" b="0"/>
            <wp:wrapNone/>
            <wp:docPr id="1" name="image2.jpeg"/>
            <wp:cNvGraphicFramePr>
              <a:graphicFrameLocks noChangeAspect="1"/>
            </wp:cNvGraphicFramePr>
            <a:graphic>
              <a:graphicData uri="http://schemas.openxmlformats.org/drawingml/2006/picture">
                <pic:pic>
                  <pic:nvPicPr>
                    <pic:cNvPr id="2" name="image2.jpeg"/>
                    <pic:cNvPicPr/>
                  </pic:nvPicPr>
                  <pic:blipFill>
                    <a:blip r:embed="rId11" cstate="print"/>
                    <a:stretch>
                      <a:fillRect/>
                    </a:stretch>
                  </pic:blipFill>
                  <pic:spPr>
                    <a:xfrm>
                      <a:off x="0" y="0"/>
                      <a:ext cx="4790320" cy="3947795"/>
                    </a:xfrm>
                    <a:prstGeom prst="rect">
                      <a:avLst/>
                    </a:prstGeom>
                  </pic:spPr>
                </pic:pic>
              </a:graphicData>
            </a:graphic>
          </wp:anchor>
        </w:drawing>
      </w:r>
      <w:r>
        <w:rPr/>
        <w:t>值得关注的</w:t>
      </w:r>
      <w:r>
        <w:rPr>
          <w:spacing w:val="-3"/>
        </w:rPr>
        <w:t>是，中美日三国人均药品费用占</w:t>
      </w:r>
      <w:r>
        <w:rPr>
          <w:spacing w:val="-20"/>
        </w:rPr>
        <w:t>人均 </w:t>
      </w:r>
      <w:r>
        <w:rPr/>
        <w:t>GDP</w:t>
      </w:r>
      <w:r>
        <w:rPr>
          <w:spacing w:val="-20"/>
        </w:rPr>
        <w:t> 的比例</w:t>
      </w:r>
      <w:r>
        <w:rPr>
          <w:spacing w:val="-3"/>
        </w:rPr>
        <w:t>几乎一致，都在</w:t>
      </w:r>
      <w:r>
        <w:rPr/>
        <w:t>2%左右。</w:t>
      </w:r>
    </w:p>
    <w:p>
      <w:pPr>
        <w:pStyle w:val="BodyText"/>
        <w:spacing w:line="304" w:lineRule="auto"/>
        <w:ind w:left="8002" w:right="1058" w:firstLine="480"/>
      </w:pPr>
      <w:r>
        <w:rPr/>
        <w:t>2016 年，我国药品总费用占卫生总费用的比例是 35.8%，虽然这一比例近几年在持续下降</w:t>
      </w:r>
    </w:p>
    <w:p>
      <w:pPr>
        <w:pStyle w:val="BodyText"/>
        <w:spacing w:line="304" w:lineRule="auto"/>
        <w:ind w:left="8002" w:right="1181"/>
        <w:jc w:val="both"/>
      </w:pPr>
      <w:r>
        <w:rPr/>
        <w:t>（平均每年下降1%），但依然远远高于美国</w:t>
      </w:r>
    </w:p>
    <w:p>
      <w:pPr>
        <w:pStyle w:val="BodyText"/>
        <w:spacing w:line="307" w:lineRule="exact"/>
        <w:ind w:left="8002"/>
      </w:pPr>
      <w:r>
        <w:rPr/>
        <w:t>（13%）和日本</w:t>
      </w:r>
    </w:p>
    <w:p>
      <w:pPr>
        <w:pStyle w:val="BodyText"/>
        <w:spacing w:line="304" w:lineRule="auto" w:before="72"/>
        <w:ind w:right="1058" w:firstLine="7765"/>
      </w:pPr>
      <w:r>
        <w:rPr/>
        <w:t>（25%）。按照这个速度计算，10 年后，我国药品总费用占卫生总费用的比例将降到 25%左右。</w:t>
      </w:r>
    </w:p>
    <w:p>
      <w:pPr>
        <w:pStyle w:val="BodyText"/>
        <w:spacing w:line="304" w:lineRule="auto"/>
        <w:ind w:right="1129" w:firstLine="480"/>
        <w:jc w:val="both"/>
      </w:pPr>
      <w:r>
        <w:rPr/>
        <w:t>2016</w:t>
      </w:r>
      <w:r>
        <w:rPr>
          <w:spacing w:val="-12"/>
        </w:rPr>
        <w:t> 年，我国仿制药市场规模约 </w:t>
      </w:r>
      <w:r>
        <w:rPr/>
        <w:t>9167</w:t>
      </w:r>
      <w:r>
        <w:rPr>
          <w:spacing w:val="-11"/>
        </w:rPr>
        <w:t> 亿元，占当年药品总费用的比例为 </w:t>
      </w:r>
      <w:r>
        <w:rPr/>
        <w:t>53%（不包括专利过期的原研药</w:t>
      </w:r>
      <w:r>
        <w:rPr>
          <w:spacing w:val="-14"/>
        </w:rPr>
        <w:t>）</w:t>
      </w:r>
      <w:r>
        <w:rPr>
          <w:spacing w:val="-6"/>
        </w:rPr>
        <w:t>，远远高于美国</w:t>
      </w:r>
      <w:r>
        <w:rPr>
          <w:spacing w:val="-3"/>
        </w:rPr>
        <w:t>（15%）</w:t>
      </w:r>
      <w:r>
        <w:rPr>
          <w:spacing w:val="-4"/>
        </w:rPr>
        <w:t>和日本</w:t>
      </w:r>
      <w:r>
        <w:rPr>
          <w:spacing w:val="-3"/>
        </w:rPr>
        <w:t>（14%）</w:t>
      </w:r>
      <w:r>
        <w:rPr>
          <w:spacing w:val="-6"/>
        </w:rPr>
        <w:t>。同时，我国仿制药费用占卫生</w:t>
      </w:r>
      <w:r>
        <w:rPr/>
        <w:t>总费用的比例（19%）远高于美国（2%）和日本（4%），下降空间巨大（见表）。</w:t>
      </w:r>
    </w:p>
    <w:p>
      <w:pPr>
        <w:pStyle w:val="Heading3"/>
        <w:ind w:left="839"/>
        <w:rPr>
          <w:rFonts w:ascii="宋体" w:hAnsi="宋体" w:eastAsia="宋体" w:hint="eastAsia"/>
        </w:rPr>
      </w:pPr>
      <w:r>
        <w:rPr>
          <w:rFonts w:ascii="宋体" w:hAnsi="宋体" w:eastAsia="宋体" w:hint="eastAsia"/>
        </w:rPr>
        <w:t>“腾笼换鸟”的四层含义</w:t>
      </w:r>
    </w:p>
    <w:p>
      <w:pPr>
        <w:spacing w:after="0"/>
        <w:rPr>
          <w:rFonts w:ascii="宋体" w:hAnsi="宋体" w:eastAsia="宋体" w:hint="eastAsia"/>
        </w:rPr>
        <w:sectPr>
          <w:pgSz w:w="11910" w:h="16850"/>
          <w:pgMar w:header="906" w:footer="607" w:top="1100" w:bottom="800" w:left="1040" w:right="0"/>
        </w:sectPr>
      </w:pPr>
    </w:p>
    <w:p>
      <w:pPr>
        <w:pStyle w:val="BodyText"/>
        <w:spacing w:line="304" w:lineRule="auto" w:before="72"/>
        <w:ind w:right="1010" w:firstLine="480"/>
      </w:pPr>
      <w:r>
        <w:rPr>
          <w:spacing w:val="-5"/>
        </w:rPr>
        <w:t>虽然我国政府在医疗卫生方面的投入还将进一步增加，但增速已经逐渐放缓，相对比例</w:t>
      </w:r>
      <w:r>
        <w:rPr>
          <w:spacing w:val="-17"/>
        </w:rPr>
        <w:t>下降。因此，未来我国医疗卫生状况的改善更大程度上依赖于医疗体制的改革和效率的提高， </w:t>
      </w:r>
      <w:r>
        <w:rPr/>
        <w:t>而不会仅依赖于医疗卫生总体投入的增加。</w:t>
      </w:r>
    </w:p>
    <w:p>
      <w:pPr>
        <w:pStyle w:val="BodyText"/>
        <w:spacing w:line="304" w:lineRule="auto"/>
        <w:ind w:right="1126" w:firstLine="480"/>
        <w:jc w:val="both"/>
      </w:pPr>
      <w:r>
        <w:rPr>
          <w:spacing w:val="-7"/>
        </w:rPr>
        <w:t>医疗体制改革的目的是理顺各方利益关系，促进社会资源向更好满足人民群众的健康需</w:t>
      </w:r>
      <w:r>
        <w:rPr>
          <w:spacing w:val="-6"/>
        </w:rPr>
        <w:t>求以及做大做强我国医药产业方向发展。而要想实现这一目的，还要依靠存量资源，即“腾</w:t>
      </w:r>
      <w:r>
        <w:rPr/>
        <w:t>笼换鸟”——改善用药结构，为公立医院改革腾出空间。</w:t>
      </w:r>
    </w:p>
    <w:p>
      <w:pPr>
        <w:pStyle w:val="BodyText"/>
        <w:spacing w:line="304" w:lineRule="auto"/>
        <w:ind w:right="1132" w:firstLine="600"/>
        <w:jc w:val="both"/>
      </w:pPr>
      <w:r>
        <w:rPr/>
        <w:t>“腾笼换鸟”有四层含义，即通过质量和疗效一致性评价的仿制药替换专利过期的原</w:t>
      </w:r>
      <w:r>
        <w:rPr>
          <w:spacing w:val="-10"/>
        </w:rPr>
        <w:t>研药，治疗药替换辅助药，创新药替换专利到期药，医疗服务替换药品，其带来的影响将是</w:t>
      </w:r>
      <w:r>
        <w:rPr/>
        <w:t>巨大的。</w:t>
      </w:r>
    </w:p>
    <w:p>
      <w:pPr>
        <w:pStyle w:val="BodyText"/>
        <w:spacing w:line="304" w:lineRule="auto"/>
        <w:ind w:right="1145" w:firstLine="480"/>
        <w:jc w:val="both"/>
      </w:pPr>
      <w:r>
        <w:rPr>
          <w:spacing w:val="-16"/>
        </w:rPr>
        <w:t>假设到 </w:t>
      </w:r>
      <w:r>
        <w:rPr/>
        <w:t>2021</w:t>
      </w:r>
      <w:r>
        <w:rPr>
          <w:spacing w:val="-11"/>
        </w:rPr>
        <w:t> 年，我国药品总费用占卫生总费用的比例控制在 </w:t>
      </w:r>
      <w:r>
        <w:rPr/>
        <w:t>30%左右，2026</w:t>
      </w:r>
      <w:r>
        <w:rPr>
          <w:spacing w:val="-16"/>
        </w:rPr>
        <w:t> 年控制在</w:t>
      </w:r>
      <w:r>
        <w:rPr/>
        <w:t>25%</w:t>
      </w:r>
      <w:r>
        <w:rPr>
          <w:spacing w:val="-2"/>
        </w:rPr>
        <w:t>左右，给医疗服务留下的空间会有多少？按照目前我国卫生总费用每年增长 </w:t>
      </w:r>
      <w:r>
        <w:rPr/>
        <w:t>13%左右计</w:t>
      </w:r>
      <w:r>
        <w:rPr>
          <w:spacing w:val="-16"/>
        </w:rPr>
        <w:t>算，到 </w:t>
      </w:r>
      <w:r>
        <w:rPr/>
        <w:t>2021</w:t>
      </w:r>
      <w:r>
        <w:rPr>
          <w:spacing w:val="-20"/>
        </w:rPr>
        <w:t> 年，约有 </w:t>
      </w:r>
      <w:r>
        <w:rPr/>
        <w:t>4000</w:t>
      </w:r>
      <w:r>
        <w:rPr>
          <w:spacing w:val="-11"/>
        </w:rPr>
        <w:t> 亿元的药品费用节省给医疗服务；到 </w:t>
      </w:r>
      <w:r>
        <w:rPr/>
        <w:t>2026</w:t>
      </w:r>
      <w:r>
        <w:rPr>
          <w:spacing w:val="-20"/>
        </w:rPr>
        <w:t> 年，约有 </w:t>
      </w:r>
      <w:r>
        <w:rPr/>
        <w:t>1.4</w:t>
      </w:r>
      <w:r>
        <w:rPr>
          <w:spacing w:val="-19"/>
        </w:rPr>
        <w:t> 万亿元</w:t>
      </w:r>
      <w:r>
        <w:rPr/>
        <w:t>的药品费用节省给医疗服务。</w:t>
      </w:r>
    </w:p>
    <w:p>
      <w:pPr>
        <w:pStyle w:val="BodyText"/>
        <w:spacing w:line="304" w:lineRule="auto"/>
        <w:ind w:left="717" w:right="1127"/>
        <w:jc w:val="both"/>
      </w:pPr>
      <w:r>
        <w:rPr>
          <w:spacing w:val="-4"/>
        </w:rPr>
        <w:t>当仿制药总费用控制在卫生总费用的 </w:t>
      </w:r>
      <w:r>
        <w:rPr/>
        <w:t>10%</w:t>
      </w:r>
      <w:r>
        <w:rPr>
          <w:spacing w:val="-15"/>
        </w:rPr>
        <w:t>甚至到 </w:t>
      </w:r>
      <w:r>
        <w:rPr/>
        <w:t>5%时，仿制药市场规模将大幅压缩。</w:t>
      </w:r>
      <w:r>
        <w:rPr>
          <w:spacing w:val="-10"/>
        </w:rPr>
        <w:t>因此，未来仿制药企业要想生存下去，就必须在非常有限的市场空间中占据优势，这个</w:t>
      </w:r>
    </w:p>
    <w:p>
      <w:pPr>
        <w:spacing w:line="304" w:lineRule="auto" w:before="0"/>
        <w:ind w:left="717" w:right="5826" w:hanging="480"/>
        <w:jc w:val="both"/>
        <w:rPr>
          <w:b/>
          <w:sz w:val="24"/>
        </w:rPr>
      </w:pPr>
      <w:r>
        <w:rPr>
          <w:spacing w:val="-9"/>
          <w:sz w:val="24"/>
        </w:rPr>
        <w:t>时间窗口将是 </w:t>
      </w:r>
      <w:r>
        <w:rPr>
          <w:sz w:val="24"/>
        </w:rPr>
        <w:t>3～5</w:t>
      </w:r>
      <w:r>
        <w:rPr>
          <w:spacing w:val="-14"/>
          <w:sz w:val="24"/>
        </w:rPr>
        <w:t> 年，乐观一点是 </w:t>
      </w:r>
      <w:r>
        <w:rPr>
          <w:sz w:val="24"/>
        </w:rPr>
        <w:t>6～8</w:t>
      </w:r>
      <w:r>
        <w:rPr>
          <w:spacing w:val="-26"/>
          <w:sz w:val="24"/>
        </w:rPr>
        <w:t> 年。</w:t>
      </w:r>
      <w:r>
        <w:rPr>
          <w:b/>
          <w:sz w:val="24"/>
        </w:rPr>
        <w:t>仿制药企业技术升级三阶梯</w:t>
      </w:r>
    </w:p>
    <w:p>
      <w:pPr>
        <w:pStyle w:val="BodyText"/>
        <w:spacing w:line="304" w:lineRule="auto"/>
        <w:ind w:right="1127" w:firstLine="480"/>
      </w:pPr>
      <w:r>
        <w:rPr>
          <w:spacing w:val="-7"/>
        </w:rPr>
        <w:t>随着医疗体制改革的深入推进，制药企业要审视自身的战略资源，厘清发展方向，制定</w:t>
      </w:r>
      <w:r>
        <w:rPr/>
        <w:t>短期（3</w:t>
      </w:r>
      <w:r>
        <w:rPr>
          <w:spacing w:val="-31"/>
        </w:rPr>
        <w:t> 年</w:t>
      </w:r>
      <w:r>
        <w:rPr/>
        <w:t>）、中长期（5～8</w:t>
      </w:r>
      <w:r>
        <w:rPr>
          <w:spacing w:val="-30"/>
        </w:rPr>
        <w:t> 年</w:t>
      </w:r>
      <w:r>
        <w:rPr/>
        <w:t>）和长期（10</w:t>
      </w:r>
      <w:r>
        <w:rPr>
          <w:spacing w:val="-30"/>
        </w:rPr>
        <w:t> 年</w:t>
      </w:r>
      <w:r>
        <w:rPr/>
        <w:t>）的战略目标。对于很多中小型制药企业</w:t>
      </w:r>
      <w:r>
        <w:rPr>
          <w:spacing w:val="-10"/>
        </w:rPr>
        <w:t>而言，技术升级和转型需要时间，在转型成功前，必须先生存。因此，发展仿制药依然是很多企业短期目标的必选项。</w:t>
      </w:r>
    </w:p>
    <w:p>
      <w:pPr>
        <w:pStyle w:val="BodyText"/>
        <w:spacing w:line="304" w:lineRule="auto"/>
        <w:ind w:right="1127" w:firstLine="480"/>
        <w:jc w:val="both"/>
      </w:pPr>
      <w:r>
        <w:rPr>
          <w:spacing w:val="-11"/>
        </w:rPr>
        <w:t>发展仿制药，首先，选题立项十分关键，尤其是普通仿制药的研发费用迅速上升，企业</w:t>
      </w:r>
      <w:r>
        <w:rPr>
          <w:spacing w:val="-8"/>
        </w:rPr>
        <w:t>的资金和时间有限，如何用最少的资金获取更多的市场回报，需要全面评估分析，很多企业</w:t>
      </w:r>
      <w:r>
        <w:rPr>
          <w:spacing w:val="-6"/>
        </w:rPr>
        <w:t>已经越来越意识到这一工作的重要性；其次，发展仿制药更需要契合临床需求，仿制药经营</w:t>
      </w:r>
      <w:r>
        <w:rPr>
          <w:spacing w:val="-7"/>
        </w:rPr>
        <w:t>逻辑不同于创新药，其竞争的核心是速度和价格，强仿唯快，众仿唯廉；第三，技术升级是必经之路，仿制药企业要想在激烈的市场竞争中站稳脚跟，需跨越技术升级三阶梯。</w:t>
      </w:r>
    </w:p>
    <w:p>
      <w:pPr>
        <w:pStyle w:val="BodyText"/>
        <w:spacing w:line="307" w:lineRule="exact"/>
        <w:ind w:left="717"/>
      </w:pPr>
      <w:r>
        <w:rPr/>
        <w:t>第一阶梯：充分利用专利、政策、技术壁垒构建利基市场</w:t>
      </w:r>
    </w:p>
    <w:p>
      <w:pPr>
        <w:pStyle w:val="BodyText"/>
        <w:spacing w:line="304" w:lineRule="auto" w:before="70"/>
        <w:ind w:right="1130" w:firstLine="480"/>
        <w:jc w:val="both"/>
      </w:pPr>
      <w:r>
        <w:rPr>
          <w:spacing w:val="-5"/>
        </w:rPr>
        <w:t>这一步做好了，企业可以获得 </w:t>
      </w:r>
      <w:r>
        <w:rPr/>
        <w:t>5～8</w:t>
      </w:r>
      <w:r>
        <w:rPr>
          <w:spacing w:val="-8"/>
        </w:rPr>
        <w:t> 年的喘息时间，便于后续继续转型升级。专利壁垒</w:t>
      </w:r>
      <w:r>
        <w:rPr>
          <w:spacing w:val="-12"/>
        </w:rPr>
        <w:t>方面，专利挑战是目前比较可行的路径。专利挑战成功，产品可以提前上市，享受市场独占</w:t>
      </w:r>
      <w:r>
        <w:rPr>
          <w:spacing w:val="-11"/>
        </w:rPr>
        <w:t>期；即使专利挑战不成功，产品必须要等到专利到期后上市，但产品依然存在，并不代表研发失败。政策壁垒方面，按照现行规定，麻醉药品和第一类精神药品由国家定价，不参与药</w:t>
      </w:r>
      <w:r>
        <w:rPr>
          <w:spacing w:val="-9"/>
        </w:rPr>
        <w:t>品集中招标采购。此外，妇儿专科非专利药品、急(抢)救药品、临床用量小的药品，直接挂</w:t>
      </w:r>
      <w:r>
        <w:rPr>
          <w:spacing w:val="-10"/>
        </w:rPr>
        <w:t>网采购，不参与药品集中招标采购。技术壁垒方面，以技术门槛换时间和市场空间，有技术</w:t>
      </w:r>
      <w:r>
        <w:rPr/>
        <w:t>难度的，包括复方制剂、缓控释、纳米晶、固体分散制剂等。</w:t>
      </w:r>
    </w:p>
    <w:p>
      <w:pPr>
        <w:pStyle w:val="BodyText"/>
        <w:spacing w:line="302" w:lineRule="auto"/>
        <w:ind w:right="1126" w:firstLine="480"/>
      </w:pPr>
      <w:r>
        <w:rPr>
          <w:spacing w:val="-10"/>
        </w:rPr>
        <w:t>同时，升级制剂技术应考虑到老年人用药问题，需根据老龄人口的生理特点，如容易口</w:t>
      </w:r>
      <w:r>
        <w:rPr>
          <w:spacing w:val="-11"/>
        </w:rPr>
        <w:t>干、吞咽困难、便秘多见等，进行制剂改良和再开发。此外，老年人多见视力下降、认知障</w:t>
      </w:r>
    </w:p>
    <w:p>
      <w:pPr>
        <w:spacing w:after="0" w:line="302" w:lineRule="auto"/>
        <w:sectPr>
          <w:pgSz w:w="11910" w:h="16850"/>
          <w:pgMar w:header="906" w:footer="607" w:top="1100" w:bottom="800" w:left="1040" w:right="0"/>
        </w:sectPr>
      </w:pPr>
    </w:p>
    <w:p>
      <w:pPr>
        <w:pStyle w:val="BodyText"/>
        <w:spacing w:line="304" w:lineRule="auto" w:before="72"/>
        <w:ind w:right="1132"/>
      </w:pPr>
      <w:r>
        <w:rPr>
          <w:spacing w:val="-11"/>
        </w:rPr>
        <w:t>碍、活动不便，可能很难取出微小药物，药物包装要有强烈的识别性，方便老年人使用。因</w:t>
      </w:r>
      <w:r>
        <w:rPr/>
        <w:t>此，改善老年患者的服用依从性也是制剂技术提升的方向。</w:t>
      </w:r>
    </w:p>
    <w:p>
      <w:pPr>
        <w:pStyle w:val="BodyText"/>
        <w:spacing w:line="304" w:lineRule="auto"/>
        <w:ind w:right="1007" w:firstLine="480"/>
      </w:pPr>
      <w:r>
        <w:rPr>
          <w:spacing w:val="-16"/>
        </w:rPr>
        <w:t>第二阶梯：以临床需求为核心，做改良型新药按照《化学药品注册分类改革工作方案》， </w:t>
      </w:r>
      <w:r>
        <w:rPr/>
        <w:t>2</w:t>
      </w:r>
      <w:r>
        <w:rPr>
          <w:spacing w:val="-15"/>
        </w:rPr>
        <w:t> 类新药</w:t>
      </w:r>
      <w:r>
        <w:rPr/>
        <w:t>（改良型新药）要有“临床优势”，1</w:t>
      </w:r>
      <w:r>
        <w:rPr>
          <w:spacing w:val="-8"/>
        </w:rPr>
        <w:t> 类新药要有“临床价值”。因此，研发改良</w:t>
      </w:r>
      <w:r>
        <w:rPr>
          <w:spacing w:val="-13"/>
        </w:rPr>
        <w:t>型新药的关键是找准临床需求，对药品理化特性、制剂方法手段进行深入研究。此外，找准临床需求还要深入临床一线，与医生深入交流。</w:t>
      </w:r>
    </w:p>
    <w:p>
      <w:pPr>
        <w:pStyle w:val="BodyText"/>
        <w:spacing w:line="305" w:lineRule="exact"/>
        <w:ind w:left="717"/>
      </w:pPr>
      <w:r>
        <w:rPr/>
        <w:t>第三阶梯：以临床价值为核心，做创新药</w:t>
      </w:r>
    </w:p>
    <w:p>
      <w:pPr>
        <w:pStyle w:val="BodyText"/>
        <w:spacing w:line="292" w:lineRule="auto" w:before="80"/>
        <w:ind w:right="1027"/>
        <w:rPr>
          <w:rFonts w:ascii="Meiryo" w:eastAsia="Meiryo" w:hint="eastAsia"/>
          <w:b/>
        </w:rPr>
      </w:pPr>
      <w:r>
        <w:rPr>
          <w:spacing w:val="-20"/>
        </w:rPr>
        <w:t>尽管 </w:t>
      </w:r>
      <w:r>
        <w:rPr/>
        <w:t>1</w:t>
      </w:r>
      <w:r>
        <w:rPr>
          <w:spacing w:val="-13"/>
        </w:rPr>
        <w:t> 类新药研发不易，但纵观日本、美国的仿制药发展历史，中小型仿制药企业最终都会</w:t>
      </w:r>
      <w:r>
        <w:rPr>
          <w:spacing w:val="-15"/>
        </w:rPr>
        <w:t>走到技术创新上来。现阶段，我国很多仿制药企业基本没有开展创新药研发的能力，但建议</w:t>
      </w:r>
      <w:r>
        <w:rPr>
          <w:spacing w:val="-16"/>
        </w:rPr>
        <w:t>尽早开始学习研究，关注创新药研发，提高对创新药的分析决策能力，未来才有可能入局。</w:t>
      </w:r>
      <w:r>
        <w:rPr>
          <w:rFonts w:ascii="Meiryo" w:eastAsia="Meiryo" w:hint="eastAsia"/>
          <w:b/>
          <w:color w:val="0033CC"/>
        </w:rPr>
        <w:t>[返回目次]</w:t>
      </w:r>
    </w:p>
    <w:p>
      <w:pPr>
        <w:pStyle w:val="Heading2"/>
        <w:spacing w:line="375" w:lineRule="exact"/>
      </w:pPr>
      <w:bookmarkStart w:name="_TOC_250038" w:id="5"/>
      <w:bookmarkEnd w:id="5"/>
      <w:r>
        <w:rPr/>
        <w:t>【医院管理】</w:t>
      </w:r>
    </w:p>
    <w:p>
      <w:pPr>
        <w:pStyle w:val="BodyText"/>
        <w:spacing w:before="11"/>
        <w:ind w:left="0"/>
        <w:rPr>
          <w:b/>
          <w:sz w:val="22"/>
        </w:rPr>
      </w:pPr>
    </w:p>
    <w:p>
      <w:pPr>
        <w:pStyle w:val="Heading2"/>
        <w:spacing w:before="1"/>
        <w:ind w:left="2574"/>
      </w:pPr>
      <w:bookmarkStart w:name="_TOC_250037" w:id="6"/>
      <w:bookmarkEnd w:id="6"/>
      <w:r>
        <w:rPr/>
        <w:t>医疗机构投诉实行“首诉负责制”</w:t>
      </w:r>
    </w:p>
    <w:p>
      <w:pPr>
        <w:pStyle w:val="BodyText"/>
        <w:spacing w:before="8"/>
        <w:ind w:left="0"/>
        <w:rPr>
          <w:b/>
          <w:sz w:val="23"/>
        </w:rPr>
      </w:pPr>
    </w:p>
    <w:p>
      <w:pPr>
        <w:pStyle w:val="Heading3"/>
        <w:spacing w:before="1"/>
        <w:ind w:right="1128"/>
        <w:jc w:val="right"/>
      </w:pPr>
      <w:r>
        <w:rPr>
          <w:color w:val="FF0000"/>
          <w:w w:val="95"/>
        </w:rPr>
        <w:t>（来源：健康报）</w:t>
      </w:r>
    </w:p>
    <w:p>
      <w:pPr>
        <w:pStyle w:val="BodyText"/>
        <w:spacing w:line="312" w:lineRule="auto" w:before="110"/>
        <w:ind w:right="1007" w:firstLine="482"/>
      </w:pPr>
      <w:r>
        <w:rPr>
          <w:spacing w:val="-31"/>
        </w:rPr>
        <w:t>从 </w:t>
      </w:r>
      <w:r>
        <w:rPr/>
        <w:t>4</w:t>
      </w:r>
      <w:r>
        <w:rPr>
          <w:spacing w:val="-40"/>
        </w:rPr>
        <w:t> 月 </w:t>
      </w:r>
      <w:r>
        <w:rPr/>
        <w:t>10</w:t>
      </w:r>
      <w:r>
        <w:rPr>
          <w:spacing w:val="-8"/>
        </w:rPr>
        <w:t> 日起，《医疗机构投诉管理办法》将正式施行。近日，《办法》经国家卫生</w:t>
      </w:r>
      <w:r>
        <w:rPr>
          <w:spacing w:val="-18"/>
        </w:rPr>
        <w:t>健康委委主任会议讨论通过并对外公布。《办法》指出，医疗机构投诉实行“首诉负责制”， </w:t>
      </w:r>
      <w:r>
        <w:rPr/>
        <w:t>不得推诿、搪塞。国家卫生健康委负责全国医疗机构投诉管理工作的监督指导。</w:t>
      </w:r>
    </w:p>
    <w:p>
      <w:pPr>
        <w:pStyle w:val="BodyText"/>
        <w:spacing w:line="312" w:lineRule="auto" w:before="1"/>
        <w:ind w:right="1012" w:firstLine="482"/>
        <w:jc w:val="both"/>
      </w:pPr>
      <w:r>
        <w:rPr>
          <w:spacing w:val="-10"/>
        </w:rPr>
        <w:t>《办法》要求，将投诉管理纳入患者安全管理体系，并做好与医疗纠纷人民调解、行政</w:t>
      </w:r>
      <w:r>
        <w:rPr>
          <w:spacing w:val="-11"/>
        </w:rPr>
        <w:t>调解、诉讼等的衔接。不仅要加强风险管理，防范安全隐患，还要以“患者为中心”，改善</w:t>
      </w:r>
      <w:r>
        <w:rPr>
          <w:spacing w:val="-17"/>
        </w:rPr>
        <w:t>医疗服务，优化服务流程，提高服务效率，注重人文关怀，加强医患沟通，从源头减少投诉。</w:t>
      </w:r>
    </w:p>
    <w:p>
      <w:pPr>
        <w:pStyle w:val="BodyText"/>
        <w:spacing w:line="312" w:lineRule="auto" w:before="1"/>
        <w:ind w:right="1008" w:firstLine="482"/>
      </w:pPr>
      <w:r>
        <w:rPr>
          <w:spacing w:val="-10"/>
        </w:rPr>
        <w:t>《办法》明确，二级以上医疗机构应当建立医疗机构、投诉管理部门、科室三级投诉管</w:t>
      </w:r>
      <w:r>
        <w:rPr>
          <w:spacing w:val="-14"/>
        </w:rPr>
        <w:t>理机制，医疗机构各部门、各科室应当指定至少 </w:t>
      </w:r>
      <w:r>
        <w:rPr/>
        <w:t>1</w:t>
      </w:r>
      <w:r>
        <w:rPr>
          <w:spacing w:val="-10"/>
        </w:rPr>
        <w:t> 名负责人配合做好投诉管理工作，并健全</w:t>
      </w:r>
      <w:r>
        <w:rPr>
          <w:spacing w:val="-14"/>
        </w:rPr>
        <w:t>投诉管理部门与临床、护理、医技和后勤、保卫等部门的联动机制。《办法》对医疗机构投</w:t>
      </w:r>
      <w:r>
        <w:rPr>
          <w:spacing w:val="-17"/>
        </w:rPr>
        <w:t>诉管理人员提出了明确条件要求：具备良好的职业道德和工作责任心；具备一定的医学、管</w:t>
      </w:r>
      <w:r>
        <w:rPr>
          <w:spacing w:val="-13"/>
        </w:rPr>
        <w:t>理学、法学、伦理学、社会工作等学科知识，熟悉医疗和投诉管理相关法律法规及医疗机构规章制度；社会适应能力较强，具有良好的社会人际交往能力，具备良好的沟通能力和应变</w:t>
      </w:r>
      <w:r>
        <w:rPr>
          <w:spacing w:val="-12"/>
        </w:rPr>
        <w:t>能力。同时，鼓励和吸纳社会工作者、志愿者等熟悉医学、法律专业知识的人员或者第三方</w:t>
      </w:r>
      <w:r>
        <w:rPr>
          <w:spacing w:val="-16"/>
        </w:rPr>
        <w:t>组织参与医疗机构投诉接待与处理工作。同样，患者也应依法文明表达意见和要求，不得扰</w:t>
      </w:r>
      <w:r>
        <w:rPr>
          <w:spacing w:val="-20"/>
        </w:rPr>
        <w:t>乱正常医疗秩序，不得有违法犯罪行为。单次投诉人员数量原则上不超过 </w:t>
      </w:r>
      <w:r>
        <w:rPr/>
        <w:t>5</w:t>
      </w:r>
      <w:r>
        <w:rPr>
          <w:spacing w:val="-34"/>
        </w:rPr>
        <w:t> 人。超过 </w:t>
      </w:r>
      <w:r>
        <w:rPr/>
        <w:t>5</w:t>
      </w:r>
      <w:r>
        <w:rPr>
          <w:spacing w:val="-19"/>
        </w:rPr>
        <w:t> 人的， </w:t>
      </w:r>
      <w:r>
        <w:rPr/>
        <w:t>应当推选代表集中反映诉求。</w:t>
      </w:r>
    </w:p>
    <w:p>
      <w:pPr>
        <w:pStyle w:val="BodyText"/>
        <w:spacing w:before="4"/>
        <w:ind w:left="719"/>
      </w:pPr>
      <w:r>
        <w:rPr/>
        <w:t>据悉，《国家卫生健康委关于修改〈职业健康检查管理办法〉等 4 件部门规章的决定》</w:t>
      </w:r>
    </w:p>
    <w:p>
      <w:pPr>
        <w:pStyle w:val="BodyText"/>
        <w:spacing w:line="206" w:lineRule="auto" w:before="85"/>
        <w:ind w:right="1128"/>
        <w:rPr>
          <w:rFonts w:ascii="Meiryo" w:eastAsia="Meiryo" w:hint="eastAsia"/>
          <w:b/>
        </w:rPr>
      </w:pPr>
      <w:r>
        <w:rPr>
          <w:spacing w:val="-20"/>
        </w:rPr>
        <w:t>已于 </w:t>
      </w:r>
      <w:r>
        <w:rPr/>
        <w:t>2019</w:t>
      </w:r>
      <w:r>
        <w:rPr>
          <w:spacing w:val="-40"/>
        </w:rPr>
        <w:t> 年 </w:t>
      </w:r>
      <w:r>
        <w:rPr/>
        <w:t>2</w:t>
      </w:r>
      <w:r>
        <w:rPr>
          <w:spacing w:val="-40"/>
        </w:rPr>
        <w:t> 月 </w:t>
      </w:r>
      <w:r>
        <w:rPr/>
        <w:t>2</w:t>
      </w:r>
      <w:r>
        <w:rPr>
          <w:spacing w:val="-13"/>
        </w:rPr>
        <w:t> 日经国家卫生健康委委主任会议讨论通过，并于近日公布施行。</w:t>
      </w:r>
      <w:r>
        <w:rPr>
          <w:rFonts w:ascii="Meiryo" w:eastAsia="Meiryo" w:hint="eastAsia"/>
          <w:b/>
          <w:color w:val="0033CC"/>
          <w:spacing w:val="-4"/>
        </w:rPr>
        <w:t>[返回目</w:t>
      </w:r>
      <w:r>
        <w:rPr>
          <w:rFonts w:ascii="Meiryo" w:eastAsia="Meiryo" w:hint="eastAsia"/>
          <w:b/>
          <w:color w:val="0033CC"/>
        </w:rPr>
        <w:t>次]</w:t>
      </w:r>
    </w:p>
    <w:p>
      <w:pPr>
        <w:spacing w:after="0" w:line="206" w:lineRule="auto"/>
        <w:rPr>
          <w:rFonts w:ascii="Meiryo" w:eastAsia="Meiryo" w:hint="eastAsia"/>
        </w:rPr>
        <w:sectPr>
          <w:pgSz w:w="11910" w:h="16850"/>
          <w:pgMar w:header="906" w:footer="607" w:top="1100" w:bottom="800" w:left="1040" w:right="0"/>
        </w:sectPr>
      </w:pPr>
    </w:p>
    <w:p>
      <w:pPr>
        <w:pStyle w:val="BodyText"/>
        <w:spacing w:before="16"/>
        <w:ind w:left="0"/>
        <w:rPr>
          <w:rFonts w:ascii="Meiryo"/>
          <w:b/>
          <w:sz w:val="43"/>
        </w:rPr>
      </w:pPr>
    </w:p>
    <w:p>
      <w:pPr>
        <w:pStyle w:val="Heading2"/>
      </w:pPr>
      <w:r>
        <w:rPr/>
        <w:pict>
          <v:line style="position:absolute;mso-position-horizontal-relative:page;mso-position-vertical-relative:paragraph;z-index:-253975552" from="62.400002pt,-32.61998pt" to="540.220002pt,-32.61998pt" stroked="true" strokeweight=".72pt" strokecolor="#000000">
            <v:stroke dashstyle="solid"/>
            <w10:wrap type="none"/>
          </v:line>
        </w:pict>
      </w:r>
      <w:r>
        <w:rPr/>
        <w:t>【前沿速览】</w:t>
      </w:r>
    </w:p>
    <w:p>
      <w:pPr>
        <w:pStyle w:val="Heading1"/>
        <w:spacing w:before="17"/>
        <w:ind w:left="237"/>
        <w:jc w:val="left"/>
        <w:rPr>
          <w:u w:val="none"/>
        </w:rPr>
      </w:pPr>
      <w:bookmarkStart w:name="_TOC_250036" w:id="7"/>
      <w:r>
        <w:rPr>
          <w:b w:val="0"/>
          <w:u w:val="none"/>
        </w:rPr>
        <w:br w:type="column"/>
      </w:r>
      <w:r>
        <w:rPr>
          <w:rFonts w:ascii="Times New Roman" w:eastAsia="Times New Roman"/>
          <w:color w:val="008000"/>
          <w:spacing w:val="-110"/>
          <w:w w:val="99"/>
          <w:u w:val="thick" w:color="008000"/>
        </w:rPr>
        <w:t> </w:t>
      </w:r>
      <w:bookmarkEnd w:id="7"/>
      <w:r>
        <w:rPr>
          <w:color w:val="008000"/>
          <w:u w:val="thick" w:color="008000"/>
        </w:rPr>
        <w:t>医药前沿</w:t>
      </w:r>
    </w:p>
    <w:p>
      <w:pPr>
        <w:spacing w:after="0"/>
        <w:jc w:val="left"/>
        <w:sectPr>
          <w:headerReference w:type="default" r:id="rId12"/>
          <w:footerReference w:type="default" r:id="rId13"/>
          <w:pgSz w:w="11910" w:h="16850"/>
          <w:pgMar w:header="0" w:footer="607" w:top="900" w:bottom="800" w:left="1040" w:right="0"/>
          <w:pgNumType w:start="14"/>
          <w:cols w:num="2" w:equalWidth="0">
            <w:col w:w="2205" w:space="2183"/>
            <w:col w:w="6482"/>
          </w:cols>
        </w:sectPr>
      </w:pPr>
    </w:p>
    <w:p>
      <w:pPr>
        <w:pStyle w:val="BodyText"/>
        <w:spacing w:before="14"/>
        <w:ind w:left="0"/>
        <w:rPr>
          <w:rFonts w:ascii="华文宋体"/>
          <w:b/>
          <w:sz w:val="13"/>
        </w:rPr>
      </w:pPr>
    </w:p>
    <w:p>
      <w:pPr>
        <w:spacing w:after="0"/>
        <w:rPr>
          <w:rFonts w:ascii="华文宋体"/>
          <w:sz w:val="13"/>
        </w:rPr>
        <w:sectPr>
          <w:type w:val="continuous"/>
          <w:pgSz w:w="11910" w:h="16850"/>
          <w:pgMar w:top="1100" w:bottom="1020" w:left="1040" w:right="0"/>
        </w:sectPr>
      </w:pPr>
    </w:p>
    <w:p>
      <w:pPr>
        <w:pStyle w:val="Heading2"/>
        <w:spacing w:before="54"/>
        <w:ind w:left="2574"/>
      </w:pPr>
      <w:bookmarkStart w:name="_TOC_250035" w:id="8"/>
      <w:bookmarkEnd w:id="8"/>
      <w:r>
        <w:rPr>
          <w:spacing w:val="-2"/>
        </w:rPr>
        <w:t>部分实体瘤尝试免疫疗法初显成效</w:t>
      </w:r>
    </w:p>
    <w:p>
      <w:pPr>
        <w:pStyle w:val="BodyText"/>
        <w:ind w:left="0"/>
        <w:rPr>
          <w:b/>
        </w:rPr>
      </w:pPr>
      <w:r>
        <w:rPr/>
        <w:br w:type="column"/>
      </w:r>
      <w:r>
        <w:rPr>
          <w:b/>
        </w:rPr>
      </w:r>
    </w:p>
    <w:p>
      <w:pPr>
        <w:pStyle w:val="BodyText"/>
        <w:spacing w:before="7"/>
        <w:ind w:left="0"/>
        <w:rPr>
          <w:b/>
          <w:sz w:val="23"/>
        </w:rPr>
      </w:pPr>
    </w:p>
    <w:p>
      <w:pPr>
        <w:pStyle w:val="Heading3"/>
        <w:ind w:left="378"/>
      </w:pPr>
      <w:r>
        <w:rPr>
          <w:color w:val="FF0000"/>
        </w:rPr>
        <w:t>（来源：新华社）</w:t>
      </w:r>
    </w:p>
    <w:p>
      <w:pPr>
        <w:spacing w:after="0"/>
        <w:sectPr>
          <w:type w:val="continuous"/>
          <w:pgSz w:w="11910" w:h="16850"/>
          <w:pgMar w:top="1100" w:bottom="1020" w:left="1040" w:right="0"/>
          <w:cols w:num="2" w:equalWidth="0">
            <w:col w:w="7390" w:space="40"/>
            <w:col w:w="3440"/>
          </w:cols>
        </w:sectPr>
      </w:pPr>
    </w:p>
    <w:p>
      <w:pPr>
        <w:pStyle w:val="BodyText"/>
        <w:spacing w:line="295" w:lineRule="auto" w:before="98"/>
        <w:ind w:right="1146" w:firstLine="480"/>
      </w:pPr>
      <w:r>
        <w:rPr>
          <w:spacing w:val="-9"/>
        </w:rPr>
        <w:t>美国研究人员 </w:t>
      </w:r>
      <w:r>
        <w:rPr/>
        <w:t>3</w:t>
      </w:r>
      <w:r>
        <w:rPr>
          <w:spacing w:val="-40"/>
        </w:rPr>
        <w:t> 月 </w:t>
      </w:r>
      <w:r>
        <w:rPr/>
        <w:t>31</w:t>
      </w:r>
      <w:r>
        <w:rPr>
          <w:spacing w:val="-9"/>
        </w:rPr>
        <w:t> 日公布的两项试验结果显示，一种已被批准治疗血癌的免疫疗法</w:t>
      </w:r>
      <w:r>
        <w:rPr/>
        <w:t>对一些实体瘤也显示出初步疗效，这意味着该疗法未来有可能被用于治疗一些更常见的癌症。</w:t>
      </w:r>
    </w:p>
    <w:p>
      <w:pPr>
        <w:pStyle w:val="BodyText"/>
        <w:spacing w:line="295" w:lineRule="auto" w:before="6"/>
        <w:ind w:right="1127" w:firstLine="480"/>
        <w:jc w:val="both"/>
      </w:pPr>
      <w:r>
        <w:rPr>
          <w:spacing w:val="-9"/>
        </w:rPr>
        <w:t>嵌合抗原受体 </w:t>
      </w:r>
      <w:r>
        <w:rPr/>
        <w:t>T</w:t>
      </w:r>
      <w:r>
        <w:rPr>
          <w:spacing w:val="-9"/>
        </w:rPr>
        <w:t> 细胞免疫疗法</w:t>
      </w:r>
      <w:r>
        <w:rPr/>
        <w:t>（CAR-T）通过改造患者自身免疫细胞来治疗癌症，2017 </w:t>
      </w:r>
      <w:r>
        <w:rPr>
          <w:spacing w:val="-6"/>
        </w:rPr>
        <w:t>年已在美国获批治疗特定白血病和淋巴癌。但这种疗法对恶性实体瘤一直表现不佳，许多专</w:t>
      </w:r>
      <w:r>
        <w:rPr/>
        <w:t>家还担心有严重副作用。</w:t>
      </w:r>
    </w:p>
    <w:p>
      <w:pPr>
        <w:pStyle w:val="BodyText"/>
        <w:spacing w:line="297" w:lineRule="auto" w:before="6"/>
        <w:ind w:right="1128" w:firstLine="480"/>
      </w:pPr>
      <w:r>
        <w:rPr>
          <w:spacing w:val="-6"/>
        </w:rPr>
        <w:t>当天在美国亚特兰大举行的美国癌症研究协会年会上，纪念斯隆—凯特林癌症中心的普</w:t>
      </w:r>
      <w:r>
        <w:rPr/>
        <w:t>拉萨德·阿杜苏米利报告说，他们设计了一种以癌细胞表面蛋白质间皮素为靶点的新型CAR-T</w:t>
      </w:r>
      <w:r>
        <w:rPr>
          <w:spacing w:val="-13"/>
        </w:rPr>
        <w:t> 细胞，在其中添加一种“自杀”开关。一旦 </w:t>
      </w:r>
      <w:r>
        <w:rPr/>
        <w:t>CAR-T</w:t>
      </w:r>
      <w:r>
        <w:rPr>
          <w:spacing w:val="-10"/>
        </w:rPr>
        <w:t> 细胞造成意外伤害，这种开关就被</w:t>
      </w:r>
      <w:r>
        <w:rPr>
          <w:spacing w:val="-8"/>
        </w:rPr>
        <w:t>激活，杀死所有 </w:t>
      </w:r>
      <w:r>
        <w:rPr/>
        <w:t>CAR-T</w:t>
      </w:r>
      <w:r>
        <w:rPr>
          <w:spacing w:val="-12"/>
        </w:rPr>
        <w:t> 细胞。阿杜苏米利等人招募了 </w:t>
      </w:r>
      <w:r>
        <w:rPr/>
        <w:t>19</w:t>
      </w:r>
      <w:r>
        <w:rPr>
          <w:spacing w:val="-8"/>
        </w:rPr>
        <w:t> 名恶性胸膜间皮瘤患者、一名转移</w:t>
      </w:r>
      <w:r>
        <w:rPr>
          <w:spacing w:val="-14"/>
        </w:rPr>
        <w:t>性肺癌患者和一名转移性乳腺癌患者，将新型 </w:t>
      </w:r>
      <w:r>
        <w:rPr/>
        <w:t>CAR-T</w:t>
      </w:r>
      <w:r>
        <w:rPr>
          <w:spacing w:val="-13"/>
        </w:rPr>
        <w:t> 细胞直接注入他们的胸腔，其中一些患</w:t>
      </w:r>
      <w:r>
        <w:rPr>
          <w:spacing w:val="-7"/>
        </w:rPr>
        <w:t>者还接受了其他治疗手段。总体结果显示，这种新型疗法效果良好，特别是未发现有毒副作</w:t>
      </w:r>
      <w:r>
        <w:rPr/>
        <w:t>用。</w:t>
      </w:r>
    </w:p>
    <w:p>
      <w:pPr>
        <w:pStyle w:val="BodyText"/>
        <w:spacing w:line="297" w:lineRule="auto"/>
        <w:ind w:right="1006" w:firstLine="480"/>
      </w:pPr>
      <w:r>
        <w:rPr>
          <w:spacing w:val="-10"/>
        </w:rPr>
        <w:t>年会上公布的另一项研究说，</w:t>
      </w:r>
      <w:r>
        <w:rPr/>
        <w:t>10</w:t>
      </w:r>
      <w:r>
        <w:rPr>
          <w:spacing w:val="-46"/>
        </w:rPr>
        <w:t> 名 </w:t>
      </w:r>
      <w:r>
        <w:rPr/>
        <w:t>4</w:t>
      </w:r>
      <w:r>
        <w:rPr>
          <w:spacing w:val="-34"/>
        </w:rPr>
        <w:t> 岁到 </w:t>
      </w:r>
      <w:r>
        <w:rPr/>
        <w:t>54</w:t>
      </w:r>
      <w:r>
        <w:rPr>
          <w:spacing w:val="-15"/>
        </w:rPr>
        <w:t> 岁的肉瘤患者接受了 </w:t>
      </w:r>
      <w:r>
        <w:rPr/>
        <w:t>CAR</w:t>
      </w:r>
      <w:r>
        <w:rPr>
          <w:spacing w:val="2"/>
        </w:rPr>
        <w:t>-</w:t>
      </w:r>
      <w:r>
        <w:rPr/>
        <w:t>T</w:t>
      </w:r>
      <w:r>
        <w:rPr>
          <w:spacing w:val="-11"/>
        </w:rPr>
        <w:t> 细胞注射治疗，</w:t>
      </w:r>
      <w:r>
        <w:rPr>
          <w:spacing w:val="-14"/>
        </w:rPr>
        <w:t>其中两人的肿瘤消失，一人已 </w:t>
      </w:r>
      <w:r>
        <w:rPr/>
        <w:t>32</w:t>
      </w:r>
      <w:r>
        <w:rPr>
          <w:spacing w:val="-10"/>
        </w:rPr>
        <w:t> 个月未复发，另一人也已有 </w:t>
      </w:r>
      <w:r>
        <w:rPr/>
        <w:t>17</w:t>
      </w:r>
      <w:r>
        <w:rPr>
          <w:spacing w:val="-11"/>
        </w:rPr>
        <w:t> 个月未复发。多数 </w:t>
      </w:r>
      <w:r>
        <w:rPr/>
        <w:t>CAR-T </w:t>
      </w:r>
      <w:r>
        <w:rPr>
          <w:spacing w:val="-17"/>
        </w:rPr>
        <w:t>疗法是一次性治疗，而在美国贝勒医学院开展的这项试验中，患者接受多次 </w:t>
      </w:r>
      <w:r>
        <w:rPr/>
        <w:t>CAR-T</w:t>
      </w:r>
      <w:r>
        <w:rPr>
          <w:spacing w:val="-13"/>
        </w:rPr>
        <w:t> 细胞注射。</w:t>
      </w:r>
      <w:r>
        <w:rPr>
          <w:spacing w:val="-1"/>
        </w:rPr>
        <w:t>试验中也未发现该疗法有严重的毒副作用。</w:t>
      </w:r>
      <w:r>
        <w:rPr/>
        <w:t>CAR-T</w:t>
      </w:r>
      <w:r>
        <w:rPr>
          <w:spacing w:val="-10"/>
        </w:rPr>
        <w:t> 疗法近年来发展迅速，其做法是，先从患</w:t>
      </w:r>
      <w:r>
        <w:rPr>
          <w:spacing w:val="-13"/>
        </w:rPr>
        <w:t>者自身采集在免疫反应中发挥重要作用的 </w:t>
      </w:r>
      <w:r>
        <w:rPr/>
        <w:t>T</w:t>
      </w:r>
      <w:r>
        <w:rPr>
          <w:spacing w:val="-20"/>
        </w:rPr>
        <w:t> 细胞，对其重新编程，所得 </w:t>
      </w:r>
      <w:r>
        <w:rPr/>
        <w:t>T</w:t>
      </w:r>
      <w:r>
        <w:rPr>
          <w:spacing w:val="-8"/>
        </w:rPr>
        <w:t> 细胞含有嵌合抗原</w:t>
      </w:r>
    </w:p>
    <w:p>
      <w:pPr>
        <w:pStyle w:val="BodyText"/>
        <w:spacing w:line="414" w:lineRule="exact"/>
        <w:rPr>
          <w:rFonts w:ascii="Meiryo" w:eastAsia="Meiryo" w:hint="eastAsia"/>
          <w:b/>
        </w:rPr>
      </w:pPr>
      <w:r>
        <w:rPr/>
        <w:t>受体，能识别并攻击癌变细胞，因此可重新注入患者体内用于治疗。</w:t>
      </w:r>
      <w:r>
        <w:rPr>
          <w:rFonts w:ascii="Meiryo" w:eastAsia="Meiryo" w:hint="eastAsia"/>
          <w:b/>
          <w:color w:val="0033CC"/>
        </w:rPr>
        <w:t>[返回目次]</w:t>
      </w:r>
    </w:p>
    <w:p>
      <w:pPr>
        <w:pStyle w:val="Heading2"/>
        <w:spacing w:before="149"/>
        <w:ind w:left="2495"/>
      </w:pPr>
      <w:bookmarkStart w:name="_TOC_250034" w:id="9"/>
      <w:bookmarkEnd w:id="9"/>
      <w:r>
        <w:rPr/>
        <w:t>发光肿瘤 标记抗癌药物的起效位置</w:t>
      </w:r>
    </w:p>
    <w:p>
      <w:pPr>
        <w:pStyle w:val="BodyText"/>
        <w:spacing w:before="5"/>
        <w:ind w:left="0"/>
        <w:rPr>
          <w:b/>
          <w:sz w:val="33"/>
        </w:rPr>
      </w:pPr>
    </w:p>
    <w:p>
      <w:pPr>
        <w:pStyle w:val="Heading3"/>
        <w:ind w:right="1128"/>
        <w:jc w:val="right"/>
      </w:pPr>
      <w:r>
        <w:rPr>
          <w:color w:val="FF0000"/>
          <w:w w:val="95"/>
        </w:rPr>
        <w:t>（来源：健康报）</w:t>
      </w:r>
    </w:p>
    <w:p>
      <w:pPr>
        <w:pStyle w:val="BodyText"/>
        <w:spacing w:line="295" w:lineRule="auto" w:before="96"/>
        <w:ind w:right="1132" w:firstLine="480"/>
        <w:jc w:val="both"/>
      </w:pPr>
      <w:r>
        <w:rPr/>
        <w:t>约翰</w:t>
      </w:r>
      <w:r>
        <w:rPr>
          <w:spacing w:val="-22"/>
        </w:rPr>
        <w:t>·</w:t>
      </w:r>
      <w:r>
        <w:rPr>
          <w:spacing w:val="-6"/>
        </w:rPr>
        <w:t>霍普金斯大学的研究人员近日在《临床研究杂志》报告称，在小鼠实验中，使用</w:t>
      </w:r>
      <w:r>
        <w:rPr/>
        <w:t>PET</w:t>
      </w:r>
      <w:r>
        <w:rPr>
          <w:spacing w:val="-8"/>
        </w:rPr>
        <w:t> 扫描可实时计算免疫治疗药物到达肿瘤的数量以及肿瘤的哪些部位未受影响。</w:t>
      </w:r>
    </w:p>
    <w:p>
      <w:pPr>
        <w:pStyle w:val="BodyText"/>
        <w:spacing w:line="297" w:lineRule="auto" w:before="5"/>
        <w:ind w:right="1127" w:firstLine="480"/>
        <w:jc w:val="both"/>
      </w:pPr>
      <w:r>
        <w:rPr>
          <w:spacing w:val="-4"/>
        </w:rPr>
        <w:t>该技术使用合成的放射性标记蛋白质的 </w:t>
      </w:r>
      <w:r>
        <w:rPr/>
        <w:t>PET</w:t>
      </w:r>
      <w:r>
        <w:rPr>
          <w:spacing w:val="-16"/>
        </w:rPr>
        <w:t> 成像，该蛋白质可锁定肿瘤细胞，让研究人</w:t>
      </w:r>
      <w:r>
        <w:rPr>
          <w:spacing w:val="-5"/>
        </w:rPr>
        <w:t>员能够视觉跟踪检查点抑制剂药物在分散时与肿瘤结合的位置。“这种方法为直接测量免疫</w:t>
      </w:r>
      <w:r>
        <w:rPr>
          <w:spacing w:val="-3"/>
        </w:rPr>
        <w:t>治疗药物在任何特定人员中与肿瘤的接触程度提供了至关重要的一步。”约翰</w:t>
      </w:r>
      <w:r>
        <w:rPr>
          <w:spacing w:val="-34"/>
        </w:rPr>
        <w:t>·</w:t>
      </w:r>
      <w:r>
        <w:rPr>
          <w:spacing w:val="-4"/>
        </w:rPr>
        <w:t>霍普金斯大学医学院放射学和放射科学副教授 </w:t>
      </w:r>
      <w:r>
        <w:rPr/>
        <w:t>Sridhar Nimmagadda</w:t>
      </w:r>
      <w:r>
        <w:rPr>
          <w:spacing w:val="-12"/>
        </w:rPr>
        <w:t> 博士说。</w:t>
      </w:r>
    </w:p>
    <w:p>
      <w:pPr>
        <w:pStyle w:val="BodyText"/>
        <w:spacing w:line="297" w:lineRule="auto"/>
        <w:ind w:right="1206" w:firstLine="480"/>
        <w:jc w:val="both"/>
      </w:pPr>
      <w:r>
        <w:rPr/>
        <w:t>Nimmagadda</w:t>
      </w:r>
      <w:r>
        <w:rPr>
          <w:spacing w:val="-11"/>
        </w:rPr>
        <w:t> 表示，如果动物和人类的进一步试验证实了 </w:t>
      </w:r>
      <w:r>
        <w:rPr/>
        <w:t>PET</w:t>
      </w:r>
      <w:r>
        <w:rPr>
          <w:spacing w:val="-9"/>
        </w:rPr>
        <w:t> 扫描的精确性和安全性， </w:t>
      </w:r>
      <w:r>
        <w:rPr/>
        <w:t>则该扫描的使用可以提高医生制定治疗方案和药物治疗剂量的能力，从而简化人类癌症治疗，并避免或停止无效的治疗。</w:t>
      </w:r>
    </w:p>
    <w:p>
      <w:pPr>
        <w:spacing w:after="0" w:line="297" w:lineRule="auto"/>
        <w:jc w:val="both"/>
        <w:sectPr>
          <w:type w:val="continuous"/>
          <w:pgSz w:w="11910" w:h="16850"/>
          <w:pgMar w:top="1100" w:bottom="1020" w:left="1040" w:right="0"/>
        </w:sectPr>
      </w:pPr>
    </w:p>
    <w:p>
      <w:pPr>
        <w:pStyle w:val="BodyText"/>
        <w:spacing w:line="295" w:lineRule="auto" w:before="65"/>
        <w:ind w:right="1011" w:firstLine="480"/>
      </w:pPr>
      <w:r>
        <w:rPr>
          <w:spacing w:val="-6"/>
        </w:rPr>
        <w:t>检查点抑制剂是一种癌症疗法，旨在帮助免疫系统识别癌细胞并将其作为摧毁目标。天</w:t>
      </w:r>
      <w:r>
        <w:rPr>
          <w:spacing w:val="-17"/>
        </w:rPr>
        <w:t>然的免疫保护系统经常被肿瘤劫持，并允许肿瘤伪装成健康组织。程序性死亡配体-</w:t>
      </w:r>
      <w:r>
        <w:rPr>
          <w:spacing w:val="-118"/>
        </w:rPr>
        <w:t>1</w:t>
      </w:r>
      <w:r>
        <w:rPr>
          <w:spacing w:val="-2"/>
        </w:rPr>
        <w:t>（PD-L1）</w:t>
      </w:r>
      <w:r>
        <w:rPr>
          <w:spacing w:val="-8"/>
        </w:rPr>
        <w:t>是此类检查点的靶标，也是当前免疫检查点疗法的主流靶点。目前有三种非常昂贵的免疫检</w:t>
      </w:r>
      <w:r>
        <w:rPr>
          <w:spacing w:val="-12"/>
        </w:rPr>
        <w:t>查点抑制剂药物已获得美国食品药品监督管理局批准上市。然而，由于很难预测或快速追踪PD-L1</w:t>
      </w:r>
      <w:r>
        <w:rPr>
          <w:spacing w:val="-11"/>
        </w:rPr>
        <w:t> 在不同肿瘤中的表达量以及这些药物与患者肿瘤中 </w:t>
      </w:r>
      <w:r>
        <w:rPr/>
        <w:t>PD-L1</w:t>
      </w:r>
      <w:r>
        <w:rPr>
          <w:spacing w:val="-10"/>
        </w:rPr>
        <w:t> 受体的结合效率，这类药物的临床应用效果非常有限。</w:t>
      </w:r>
    </w:p>
    <w:p>
      <w:pPr>
        <w:pStyle w:val="BodyText"/>
        <w:spacing w:line="295" w:lineRule="auto" w:before="11"/>
        <w:ind w:right="1006" w:firstLine="480"/>
      </w:pPr>
      <w:r>
        <w:rPr>
          <w:spacing w:val="-18"/>
        </w:rPr>
        <w:t>为此，研究者在实验室中设计了一种专用的放射性标记小蛋白多肽，其可与 </w:t>
      </w:r>
      <w:r>
        <w:rPr/>
        <w:t>PD-L1</w:t>
      </w:r>
      <w:r>
        <w:rPr>
          <w:spacing w:val="-19"/>
        </w:rPr>
        <w:t> 结合， </w:t>
      </w:r>
      <w:r>
        <w:rPr>
          <w:spacing w:val="-7"/>
        </w:rPr>
        <w:t>有助于使用可通过 </w:t>
      </w:r>
      <w:r>
        <w:rPr/>
        <w:t>PET</w:t>
      </w:r>
      <w:r>
        <w:rPr>
          <w:spacing w:val="-8"/>
        </w:rPr>
        <w:t> 成像看到的放射性示踪剂标记该受体。</w:t>
      </w:r>
    </w:p>
    <w:p>
      <w:pPr>
        <w:pStyle w:val="BodyText"/>
        <w:spacing w:line="297" w:lineRule="auto" w:before="2"/>
        <w:ind w:right="1128" w:firstLine="480"/>
        <w:jc w:val="both"/>
      </w:pPr>
      <w:r>
        <w:rPr>
          <w:spacing w:val="-7"/>
        </w:rPr>
        <w:t>研究人员在对实验室培养细胞的试验中证实，他们的放射性标记多肽不会改变或干扰免</w:t>
      </w:r>
      <w:r>
        <w:rPr>
          <w:spacing w:val="-12"/>
        </w:rPr>
        <w:t>疫治疗药物。多项试验显示，放射性标记多肽与 </w:t>
      </w:r>
      <w:r>
        <w:rPr/>
        <w:t>PD-L1</w:t>
      </w:r>
      <w:r>
        <w:rPr>
          <w:spacing w:val="-11"/>
        </w:rPr>
        <w:t> 的结合活力较低，不能推走结合的药</w:t>
      </w:r>
      <w:r>
        <w:rPr>
          <w:spacing w:val="-13"/>
        </w:rPr>
        <w:t>物。理论上，这种能力将使放射性标记多肽充当仍然等待接受治疗的 </w:t>
      </w:r>
      <w:r>
        <w:rPr/>
        <w:t>PD-L1</w:t>
      </w:r>
      <w:r>
        <w:rPr>
          <w:spacing w:val="-10"/>
        </w:rPr>
        <w:t> 蛋白的有效标记</w:t>
      </w:r>
      <w:r>
        <w:rPr/>
        <w:t>物。</w:t>
      </w:r>
    </w:p>
    <w:p>
      <w:pPr>
        <w:pStyle w:val="BodyText"/>
        <w:spacing w:line="297" w:lineRule="auto"/>
        <w:ind w:right="1129" w:firstLine="480"/>
        <w:jc w:val="both"/>
      </w:pPr>
      <w:r>
        <w:rPr>
          <w:spacing w:val="-16"/>
        </w:rPr>
        <w:t>将接受 </w:t>
      </w:r>
      <w:r>
        <w:rPr/>
        <w:t>atezolizumab</w:t>
      </w:r>
      <w:r>
        <w:rPr>
          <w:spacing w:val="-8"/>
        </w:rPr>
        <w:t> 治疗的实验组小鼠与仅接受盐水注射的对照组小鼠进行比较时， </w:t>
      </w:r>
      <w:r>
        <w:rPr>
          <w:spacing w:val="-12"/>
        </w:rPr>
        <w:t>研究人员发现前者肿瘤中未结合的 </w:t>
      </w:r>
      <w:r>
        <w:rPr/>
        <w:t>PD-L1</w:t>
      </w:r>
      <w:r>
        <w:rPr>
          <w:spacing w:val="-18"/>
        </w:rPr>
        <w:t> 水平降低了 </w:t>
      </w:r>
      <w:r>
        <w:rPr/>
        <w:t>77%，</w:t>
      </w:r>
      <w:r>
        <w:rPr>
          <w:spacing w:val="-5"/>
        </w:rPr>
        <w:t>这表明治疗药物到达许多 </w:t>
      </w:r>
      <w:r>
        <w:rPr/>
        <w:t>PD-L1 蛋白部位。“剩下的区域是免疫治疗药物无法达到的肿瘤部位，”Nimmagadda</w:t>
      </w:r>
      <w:r>
        <w:rPr>
          <w:spacing w:val="-10"/>
        </w:rPr>
        <w:t> 说道。“在</w:t>
      </w:r>
      <w:r>
        <w:rPr>
          <w:spacing w:val="-15"/>
        </w:rPr>
        <w:t>人类患者中，这可以让我们了解如何通过更快地增加剂量或者以其他药物或代替疗法来优化</w:t>
      </w:r>
      <w:r>
        <w:rPr/>
        <w:t>进一步的治疗。”</w:t>
      </w:r>
    </w:p>
    <w:p>
      <w:pPr>
        <w:pStyle w:val="BodyText"/>
        <w:spacing w:line="297" w:lineRule="auto"/>
        <w:ind w:right="1129" w:firstLine="480"/>
        <w:jc w:val="both"/>
      </w:pPr>
      <w:r>
        <w:rPr>
          <w:spacing w:val="-3"/>
        </w:rPr>
        <w:t>研究人员随后检验了该方法是否可以测量肿瘤上 </w:t>
      </w:r>
      <w:r>
        <w:rPr/>
        <w:t>PD-L1</w:t>
      </w:r>
      <w:r>
        <w:rPr>
          <w:spacing w:val="-15"/>
        </w:rPr>
        <w:t> 受体水平的变化，结果显示在免</w:t>
      </w:r>
      <w:r>
        <w:rPr>
          <w:spacing w:val="-5"/>
        </w:rPr>
        <w:t>疫检查点治疗期间，通过 </w:t>
      </w:r>
      <w:r>
        <w:rPr/>
        <w:t>PET，</w:t>
      </w:r>
      <w:r>
        <w:rPr>
          <w:spacing w:val="-5"/>
        </w:rPr>
        <w:t>无须活组织检查即可测量 </w:t>
      </w:r>
      <w:r>
        <w:rPr/>
        <w:t>PD-L1</w:t>
      </w:r>
      <w:r>
        <w:rPr>
          <w:spacing w:val="-9"/>
        </w:rPr>
        <w:t> 水平的变化。</w:t>
      </w:r>
    </w:p>
    <w:p>
      <w:pPr>
        <w:pStyle w:val="BodyText"/>
        <w:spacing w:line="306" w:lineRule="exact"/>
        <w:ind w:left="717"/>
      </w:pPr>
      <w:r>
        <w:rPr/>
        <w:t>研究者认为，这些探索可以帮助我们寻找更安全、有效和个性化的肿瘤免疫治疗剂量。</w:t>
      </w:r>
    </w:p>
    <w:p>
      <w:pPr>
        <w:pStyle w:val="Heading3"/>
        <w:spacing w:before="14"/>
        <w:ind w:left="237"/>
        <w:rPr>
          <w:rFonts w:ascii="Meiryo" w:eastAsia="Meiryo" w:hint="eastAsia"/>
        </w:rPr>
      </w:pPr>
      <w:r>
        <w:rPr>
          <w:rFonts w:ascii="Meiryo" w:eastAsia="Meiryo" w:hint="eastAsia"/>
          <w:color w:val="0033CC"/>
        </w:rPr>
        <w:t>[返回目次]</w:t>
      </w:r>
    </w:p>
    <w:p>
      <w:pPr>
        <w:pStyle w:val="Heading2"/>
        <w:spacing w:before="67"/>
      </w:pPr>
      <w:bookmarkStart w:name="_TOC_250033" w:id="10"/>
      <w:bookmarkEnd w:id="10"/>
      <w:r>
        <w:rPr/>
        <w:t>【研究进展】</w:t>
      </w:r>
    </w:p>
    <w:p>
      <w:pPr>
        <w:pStyle w:val="Heading2"/>
        <w:spacing w:before="260"/>
        <w:ind w:left="2897"/>
      </w:pPr>
      <w:bookmarkStart w:name="_TOC_250032" w:id="11"/>
      <w:bookmarkEnd w:id="11"/>
      <w:r>
        <w:rPr/>
        <w:t>糖尿病治疗性基因疫苗获授权</w:t>
      </w:r>
    </w:p>
    <w:p>
      <w:pPr>
        <w:pStyle w:val="BodyText"/>
        <w:spacing w:before="4"/>
        <w:ind w:left="0"/>
        <w:rPr>
          <w:b/>
          <w:sz w:val="33"/>
        </w:rPr>
      </w:pPr>
    </w:p>
    <w:p>
      <w:pPr>
        <w:spacing w:before="0"/>
        <w:ind w:left="0" w:right="1128" w:firstLine="0"/>
        <w:jc w:val="right"/>
        <w:rPr>
          <w:rFonts w:ascii="楷体" w:eastAsia="楷体" w:hint="eastAsia"/>
          <w:b/>
          <w:sz w:val="24"/>
        </w:rPr>
      </w:pPr>
      <w:r>
        <w:rPr>
          <w:rFonts w:ascii="楷体" w:eastAsia="楷体" w:hint="eastAsia"/>
          <w:b/>
          <w:color w:val="FF0000"/>
          <w:w w:val="95"/>
          <w:sz w:val="24"/>
        </w:rPr>
        <w:t>（来源：健康报）</w:t>
      </w:r>
    </w:p>
    <w:p>
      <w:pPr>
        <w:pStyle w:val="BodyText"/>
        <w:spacing w:line="297" w:lineRule="auto" w:before="98"/>
        <w:ind w:right="1026" w:firstLine="480"/>
      </w:pPr>
      <w:r>
        <w:rPr>
          <w:spacing w:val="-8"/>
        </w:rPr>
        <w:t>日前，解放军总医院第五医学中心免疫室主任奚永志团队申报的《基于 </w:t>
      </w:r>
      <w:r>
        <w:rPr/>
        <w:t>B7-1-PE40KDEL </w:t>
      </w:r>
      <w:r>
        <w:rPr>
          <w:spacing w:val="-7"/>
        </w:rPr>
        <w:t>外毒素融合基因的 </w:t>
      </w:r>
      <w:r>
        <w:rPr/>
        <w:t>DNA</w:t>
      </w:r>
      <w:r>
        <w:rPr>
          <w:spacing w:val="-14"/>
        </w:rPr>
        <w:t> 疫苗及其用途》获得国际标准“三方”发明专利授权。该成果是具有</w:t>
      </w:r>
      <w:r>
        <w:rPr>
          <w:spacing w:val="-16"/>
        </w:rPr>
        <w:t>完全自主知识产权的原创性成果，也是我国全新治疗性 </w:t>
      </w:r>
      <w:r>
        <w:rPr/>
        <w:t>DNA</w:t>
      </w:r>
      <w:r>
        <w:rPr>
          <w:spacing w:val="-8"/>
        </w:rPr>
        <w:t> 疫苗领域获得的首个国际标准“</w:t>
      </w:r>
      <w:r>
        <w:rPr>
          <w:spacing w:val="-12"/>
        </w:rPr>
        <w:t>三方”发明专利授权，它代表我国在 </w:t>
      </w:r>
      <w:r>
        <w:rPr/>
        <w:t>I</w:t>
      </w:r>
      <w:r>
        <w:rPr>
          <w:spacing w:val="-9"/>
        </w:rPr>
        <w:t> 型糖尿病生物治疗新药研究领域取得了重要突破， </w:t>
      </w:r>
      <w:r>
        <w:rPr/>
        <w:t>也标志着我国在全新型治疗性基因疫苗的研究上走在了世界前列。</w:t>
      </w:r>
    </w:p>
    <w:p>
      <w:pPr>
        <w:pStyle w:val="BodyText"/>
        <w:spacing w:line="297" w:lineRule="auto"/>
        <w:ind w:right="1010" w:firstLine="480"/>
      </w:pPr>
      <w:r>
        <w:rPr>
          <w:spacing w:val="-16"/>
        </w:rPr>
        <w:t>据了解，治疗性 </w:t>
      </w:r>
      <w:r>
        <w:rPr/>
        <w:t>DNA</w:t>
      </w:r>
      <w:r>
        <w:rPr>
          <w:spacing w:val="-10"/>
        </w:rPr>
        <w:t> 疫苗是在基因治疗技术基础上发展而来的生物高新制药技术。由于</w:t>
      </w:r>
      <w:r>
        <w:rPr>
          <w:spacing w:val="-13"/>
        </w:rPr>
        <w:t>其特异性强、疗效确切、安全性好、生产制备成本低，现已成为继单克隆抗体药之后全球生</w:t>
      </w:r>
      <w:r>
        <w:rPr>
          <w:spacing w:val="-21"/>
        </w:rPr>
        <w:t>物制药产业中又一个新的战略制高点。基于 </w:t>
      </w:r>
      <w:r>
        <w:rPr/>
        <w:t>B7-1-PE40KDEL</w:t>
      </w:r>
      <w:r>
        <w:rPr>
          <w:spacing w:val="-14"/>
        </w:rPr>
        <w:t> 外毒素融合基因的 </w:t>
      </w:r>
      <w:r>
        <w:rPr/>
        <w:t>DNA</w:t>
      </w:r>
      <w:r>
        <w:rPr>
          <w:spacing w:val="-12"/>
        </w:rPr>
        <w:t> 疫苗在前</w:t>
      </w:r>
      <w:r>
        <w:rPr>
          <w:spacing w:val="-8"/>
        </w:rPr>
        <w:t>期动物实验中能有效防治</w:t>
      </w:r>
      <w:r>
        <w:rPr/>
        <w:t>I</w:t>
      </w:r>
      <w:r>
        <w:rPr>
          <w:spacing w:val="-23"/>
        </w:rPr>
        <w:t> 型糖尿病，纠正</w:t>
      </w:r>
      <w:r>
        <w:rPr/>
        <w:t>I</w:t>
      </w:r>
      <w:r>
        <w:rPr>
          <w:spacing w:val="-11"/>
        </w:rPr>
        <w:t> 型糖尿病自身紊乱的细胞与体液免疫应答反应， </w:t>
      </w:r>
      <w:r>
        <w:rPr/>
        <w:t>修复损伤破坏的胰岛</w:t>
      </w:r>
      <w:r>
        <w:rPr>
          <w:rFonts w:ascii="Arial" w:hAnsi="Arial" w:eastAsia="Arial"/>
        </w:rPr>
        <w:t>β </w:t>
      </w:r>
      <w:r>
        <w:rPr/>
        <w:t>细胞，恢复自身胰岛素的分泌。</w:t>
      </w:r>
    </w:p>
    <w:p>
      <w:pPr>
        <w:spacing w:after="0" w:line="297" w:lineRule="auto"/>
        <w:sectPr>
          <w:headerReference w:type="default" r:id="rId14"/>
          <w:footerReference w:type="default" r:id="rId15"/>
          <w:pgSz w:w="11910" w:h="16850"/>
          <w:pgMar w:header="906" w:footer="607" w:top="1100" w:bottom="800" w:left="1040" w:right="0"/>
          <w:pgNumType w:start="15"/>
        </w:sectPr>
      </w:pPr>
    </w:p>
    <w:p>
      <w:pPr>
        <w:pStyle w:val="BodyText"/>
        <w:spacing w:line="295" w:lineRule="auto" w:before="65"/>
        <w:ind w:right="1130" w:firstLine="480"/>
        <w:jc w:val="both"/>
      </w:pPr>
      <w:r>
        <w:rPr>
          <w:spacing w:val="-11"/>
        </w:rPr>
        <w:t>按照国际惯例，“三方专利”是指在欧洲专利局和日本特许厅都提出了申请并已在美国</w:t>
      </w:r>
      <w:r>
        <w:rPr>
          <w:spacing w:val="-7"/>
        </w:rPr>
        <w:t>专利商标局获得发明专利权的同一项发明专利。获得“三方专利”，很大程度上表明某项发</w:t>
      </w:r>
      <w:r>
        <w:rPr/>
        <w:t>明专利拥有原创性技术，以及未来在国际市场上较高的潜在商业价值。</w:t>
      </w:r>
    </w:p>
    <w:p>
      <w:pPr>
        <w:pStyle w:val="BodyText"/>
        <w:spacing w:line="278" w:lineRule="auto" w:before="5"/>
        <w:ind w:right="1128" w:firstLine="480"/>
        <w:jc w:val="both"/>
        <w:rPr>
          <w:rFonts w:ascii="Meiryo" w:eastAsia="Meiryo" w:hint="eastAsia"/>
          <w:b/>
        </w:rPr>
      </w:pPr>
      <w:r>
        <w:rPr>
          <w:spacing w:val="-9"/>
        </w:rPr>
        <w:t>值得一提的是，该疫苗只需在患者皮下或肌肉注射一次，可有效维持疗效近一个月，将</w:t>
      </w:r>
      <w:r>
        <w:rPr>
          <w:spacing w:val="-11"/>
        </w:rPr>
        <w:t>极大地提高 </w:t>
      </w:r>
      <w:r>
        <w:rPr/>
        <w:t>DNA</w:t>
      </w:r>
      <w:r>
        <w:rPr>
          <w:spacing w:val="-14"/>
        </w:rPr>
        <w:t> 疫苗用药的依从性，有效地避免患者每天用药的麻烦。该疫苗已准备申报临</w:t>
      </w:r>
      <w:r>
        <w:rPr/>
        <w:t>床试验，未来将逐步进入产业化阶段。</w:t>
      </w:r>
      <w:r>
        <w:rPr>
          <w:rFonts w:ascii="Meiryo" w:eastAsia="Meiryo" w:hint="eastAsia"/>
          <w:b/>
          <w:color w:val="0033CC"/>
        </w:rPr>
        <w:t>[返回目次]</w:t>
      </w:r>
    </w:p>
    <w:p>
      <w:pPr>
        <w:spacing w:after="0" w:line="278" w:lineRule="auto"/>
        <w:jc w:val="both"/>
        <w:rPr>
          <w:rFonts w:ascii="Meiryo" w:eastAsia="Meiryo" w:hint="eastAsia"/>
        </w:rPr>
        <w:sectPr>
          <w:pgSz w:w="11910" w:h="16850"/>
          <w:pgMar w:header="906" w:footer="607" w:top="1100" w:bottom="800" w:left="1040" w:right="0"/>
        </w:sectPr>
      </w:pPr>
    </w:p>
    <w:p>
      <w:pPr>
        <w:pStyle w:val="Heading2"/>
        <w:spacing w:before="119"/>
        <w:ind w:left="2937"/>
      </w:pPr>
      <w:bookmarkStart w:name="_TOC_250031" w:id="12"/>
      <w:r>
        <w:rPr/>
        <w:t>DNA</w:t>
      </w:r>
      <w:bookmarkEnd w:id="12"/>
      <w:r>
        <w:rPr>
          <w:spacing w:val="-11"/>
        </w:rPr>
        <w:t> 聚合酶参与细胞衰老过程</w:t>
      </w:r>
    </w:p>
    <w:p>
      <w:pPr>
        <w:pStyle w:val="BodyText"/>
        <w:ind w:left="0"/>
        <w:rPr>
          <w:b/>
        </w:rPr>
      </w:pPr>
      <w:r>
        <w:rPr/>
        <w:br w:type="column"/>
      </w:r>
      <w:r>
        <w:rPr>
          <w:b/>
        </w:rPr>
      </w:r>
    </w:p>
    <w:p>
      <w:pPr>
        <w:pStyle w:val="BodyText"/>
        <w:spacing w:before="8"/>
        <w:ind w:left="0"/>
        <w:rPr>
          <w:b/>
          <w:sz w:val="28"/>
        </w:rPr>
      </w:pPr>
    </w:p>
    <w:p>
      <w:pPr>
        <w:pStyle w:val="Heading3"/>
        <w:ind w:left="734"/>
      </w:pPr>
      <w:r>
        <w:rPr>
          <w:color w:val="FF0000"/>
        </w:rPr>
        <w:t>（来源：健康报）</w:t>
      </w:r>
    </w:p>
    <w:p>
      <w:pPr>
        <w:spacing w:after="0"/>
        <w:sectPr>
          <w:type w:val="continuous"/>
          <w:pgSz w:w="11910" w:h="16850"/>
          <w:pgMar w:top="1100" w:bottom="1020" w:left="1040" w:right="0"/>
          <w:cols w:num="2" w:equalWidth="0">
            <w:col w:w="7034" w:space="40"/>
            <w:col w:w="3796"/>
          </w:cols>
        </w:sectPr>
      </w:pPr>
    </w:p>
    <w:p>
      <w:pPr>
        <w:pStyle w:val="BodyText"/>
        <w:spacing w:line="297" w:lineRule="auto" w:before="96"/>
        <w:ind w:right="1266" w:firstLine="480"/>
      </w:pPr>
      <w:r>
        <w:rPr>
          <w:spacing w:val="-3"/>
        </w:rPr>
        <w:t>首都医科大学宣武医院王培昌教授课题组深入揭示了 </w:t>
      </w:r>
      <w:r>
        <w:rPr/>
        <w:t>POLD1</w:t>
      </w:r>
      <w:r>
        <w:rPr>
          <w:spacing w:val="-9"/>
        </w:rPr>
        <w:t> 增龄性表达下调的转录调</w:t>
      </w:r>
      <w:r>
        <w:rPr/>
        <w:t>控机制，研究成果近日在线发表于《细胞和分子生命科学》。</w:t>
      </w:r>
    </w:p>
    <w:p>
      <w:pPr>
        <w:pStyle w:val="BodyText"/>
        <w:spacing w:line="297" w:lineRule="auto"/>
        <w:ind w:right="1127" w:firstLine="480"/>
      </w:pPr>
      <w:r>
        <w:rPr/>
        <w:t>DNA</w:t>
      </w:r>
      <w:r>
        <w:rPr>
          <w:spacing w:val="-11"/>
        </w:rPr>
        <w:t> 合成能力、</w:t>
      </w:r>
      <w:r>
        <w:rPr/>
        <w:t>DNA</w:t>
      </w:r>
      <w:r>
        <w:rPr>
          <w:spacing w:val="-8"/>
        </w:rPr>
        <w:t> 损伤修复能力随年龄增加下降是细胞衰老的关键机制；</w:t>
      </w:r>
      <w:r>
        <w:rPr/>
        <w:t>DNA</w:t>
      </w:r>
      <w:r>
        <w:rPr>
          <w:spacing w:val="-15"/>
        </w:rPr>
        <w:t> 损伤修复能力增龄性下降所致基因组不稳定在肿瘤等老年相关疾病的发生机制中亦扮演了核心角色。DNA</w:t>
      </w:r>
      <w:r>
        <w:rPr>
          <w:spacing w:val="-18"/>
        </w:rPr>
        <w:t> 聚合酶负责 </w:t>
      </w:r>
      <w:r>
        <w:rPr/>
        <w:t>DNA</w:t>
      </w:r>
      <w:r>
        <w:rPr>
          <w:spacing w:val="-24"/>
        </w:rPr>
        <w:t> 合成及 </w:t>
      </w:r>
      <w:r>
        <w:rPr/>
        <w:t>DNA</w:t>
      </w:r>
      <w:r>
        <w:rPr>
          <w:spacing w:val="-8"/>
        </w:rPr>
        <w:t> 损伤识别与修复</w:t>
      </w:r>
      <w:r>
        <w:rPr/>
        <w:t>，DNA</w:t>
      </w:r>
      <w:r>
        <w:rPr>
          <w:spacing w:val="-24"/>
        </w:rPr>
        <w:t> 聚合酶 </w:t>
      </w:r>
      <w:r>
        <w:rPr>
          <w:rFonts w:ascii="Arial" w:hAnsi="Arial" w:eastAsia="Arial"/>
        </w:rPr>
        <w:t>δ </w:t>
      </w:r>
      <w:r>
        <w:rPr>
          <w:spacing w:val="-8"/>
        </w:rPr>
        <w:t>是真核细胞主要 </w:t>
      </w:r>
      <w:r>
        <w:rPr/>
        <w:t>DNA </w:t>
      </w:r>
      <w:r>
        <w:rPr>
          <w:spacing w:val="-9"/>
        </w:rPr>
        <w:t>聚合酶之一，前期研究发现其催化亚基 </w:t>
      </w:r>
      <w:r>
        <w:rPr/>
        <w:t>POLD1</w:t>
      </w:r>
      <w:r>
        <w:rPr>
          <w:spacing w:val="-13"/>
        </w:rPr>
        <w:t> 随龄表达下调，并介导细胞衰老，然而其机制</w:t>
      </w:r>
      <w:r>
        <w:rPr/>
        <w:t>一直未能明晰。</w:t>
      </w:r>
    </w:p>
    <w:p>
      <w:pPr>
        <w:pStyle w:val="BodyText"/>
        <w:spacing w:line="302" w:lineRule="exact"/>
        <w:ind w:left="717"/>
      </w:pPr>
      <w:r>
        <w:rPr/>
        <w:t>王培昌教授课题组首先根据 POLD1 启动子区结构特点，以人胚肺二倍体成纤维细胞</w:t>
      </w:r>
    </w:p>
    <w:p>
      <w:pPr>
        <w:pStyle w:val="BodyText"/>
        <w:spacing w:line="297" w:lineRule="auto" w:before="70"/>
        <w:ind w:right="1009"/>
      </w:pPr>
      <w:r>
        <w:rPr/>
        <w:t>（2BS，WI38）</w:t>
      </w:r>
      <w:r>
        <w:rPr>
          <w:spacing w:val="-2"/>
        </w:rPr>
        <w:t>和不同年龄健康人群外周血淋巴细胞为材料，发现并证实了 </w:t>
      </w:r>
      <w:r>
        <w:rPr/>
        <w:t>POLD1</w:t>
      </w:r>
      <w:r>
        <w:rPr>
          <w:spacing w:val="-10"/>
        </w:rPr>
        <w:t> 启动子区 4</w:t>
      </w:r>
      <w:r>
        <w:rPr>
          <w:spacing w:val="-40"/>
        </w:rPr>
        <w:t> 个 </w:t>
      </w:r>
      <w:r>
        <w:rPr/>
        <w:t>CpG</w:t>
      </w:r>
      <w:r>
        <w:rPr>
          <w:spacing w:val="-18"/>
        </w:rPr>
        <w:t> 甲基化岛，其中 </w:t>
      </w:r>
      <w:r>
        <w:rPr/>
        <w:t>CpG</w:t>
      </w:r>
      <w:r>
        <w:rPr>
          <w:spacing w:val="-40"/>
        </w:rPr>
        <w:t> 岛 </w:t>
      </w:r>
      <w:r>
        <w:rPr/>
        <w:t>3</w:t>
      </w:r>
      <w:r>
        <w:rPr>
          <w:spacing w:val="-22"/>
        </w:rPr>
        <w:t>、</w:t>
      </w:r>
      <w:r>
        <w:rPr/>
        <w:t>4</w:t>
      </w:r>
      <w:r>
        <w:rPr>
          <w:spacing w:val="-12"/>
        </w:rPr>
        <w:t> 甲基化增龄性改变显著且与 </w:t>
      </w:r>
      <w:r>
        <w:rPr/>
        <w:t>POLD1</w:t>
      </w:r>
      <w:r>
        <w:rPr>
          <w:spacing w:val="-9"/>
        </w:rPr>
        <w:t> 表达呈显著负相关， </w:t>
      </w:r>
      <w:r>
        <w:rPr/>
        <w:t>CpG</w:t>
      </w:r>
      <w:r>
        <w:rPr>
          <w:spacing w:val="-40"/>
        </w:rPr>
        <w:t> 岛 </w:t>
      </w:r>
      <w:r>
        <w:rPr/>
        <w:t>3</w:t>
      </w:r>
      <w:r>
        <w:rPr>
          <w:spacing w:val="-41"/>
        </w:rPr>
        <w:t> 第 </w:t>
      </w:r>
      <w:r>
        <w:rPr/>
        <w:t>36</w:t>
      </w:r>
      <w:r>
        <w:rPr>
          <w:spacing w:val="-8"/>
        </w:rPr>
        <w:t> 位点是该启动子序列中甲基化增龄性改变最显著位点。课题组进一步研究发</w:t>
      </w:r>
      <w:r>
        <w:rPr>
          <w:spacing w:val="-29"/>
        </w:rPr>
        <w:t>现，转录因子 </w:t>
      </w:r>
      <w:r>
        <w:rPr/>
        <w:t>E2F1</w:t>
      </w:r>
      <w:r>
        <w:rPr>
          <w:spacing w:val="-27"/>
        </w:rPr>
        <w:t> 结合在 </w:t>
      </w:r>
      <w:r>
        <w:rPr/>
        <w:t>POLD1</w:t>
      </w:r>
      <w:r>
        <w:rPr>
          <w:spacing w:val="-27"/>
        </w:rPr>
        <w:t> 启动子 </w:t>
      </w:r>
      <w:r>
        <w:rPr/>
        <w:t>CpG</w:t>
      </w:r>
      <w:r>
        <w:rPr>
          <w:spacing w:val="-44"/>
        </w:rPr>
        <w:t> 岛 </w:t>
      </w:r>
      <w:r>
        <w:rPr/>
        <w:t>3</w:t>
      </w:r>
      <w:r>
        <w:rPr>
          <w:spacing w:val="-42"/>
        </w:rPr>
        <w:t> 第 </w:t>
      </w:r>
      <w:r>
        <w:rPr/>
        <w:t>36</w:t>
      </w:r>
      <w:r>
        <w:rPr>
          <w:spacing w:val="-38"/>
        </w:rPr>
        <w:t> 位点处，</w:t>
      </w:r>
      <w:r>
        <w:rPr/>
        <w:t>E2F1</w:t>
      </w:r>
      <w:r>
        <w:rPr>
          <w:spacing w:val="-32"/>
        </w:rPr>
        <w:t> 表达水平、</w:t>
      </w:r>
      <w:r>
        <w:rPr/>
        <w:t>E2F1</w:t>
      </w:r>
      <w:r>
        <w:rPr>
          <w:spacing w:val="-43"/>
        </w:rPr>
        <w:t> 与 </w:t>
      </w:r>
      <w:r>
        <w:rPr/>
        <w:t>POLD1</w:t>
      </w:r>
      <w:r>
        <w:rPr>
          <w:spacing w:val="-4"/>
        </w:rPr>
        <w:t>启动子结合水平均随龄下降，并均与 </w:t>
      </w:r>
      <w:r>
        <w:rPr/>
        <w:t>POLD1</w:t>
      </w:r>
      <w:r>
        <w:rPr>
          <w:spacing w:val="-8"/>
        </w:rPr>
        <w:t> 表达呈正相关。</w:t>
      </w:r>
    </w:p>
    <w:p>
      <w:pPr>
        <w:pStyle w:val="BodyText"/>
        <w:spacing w:line="295" w:lineRule="auto"/>
        <w:ind w:right="1128" w:firstLine="480"/>
        <w:jc w:val="both"/>
      </w:pPr>
      <w:r>
        <w:rPr>
          <w:spacing w:val="-9"/>
        </w:rPr>
        <w:t>进一步研究揭示了 </w:t>
      </w:r>
      <w:r>
        <w:rPr/>
        <w:t>POLD1</w:t>
      </w:r>
      <w:r>
        <w:rPr>
          <w:spacing w:val="-16"/>
        </w:rPr>
        <w:t> 增龄性表达下调的转录调控机制：</w:t>
      </w:r>
      <w:r>
        <w:rPr/>
        <w:t>E2F1</w:t>
      </w:r>
      <w:r>
        <w:rPr>
          <w:spacing w:val="-24"/>
        </w:rPr>
        <w:t> 增龄性表达下调、</w:t>
      </w:r>
      <w:r>
        <w:rPr>
          <w:spacing w:val="-3"/>
        </w:rPr>
        <w:t>POLD1</w:t>
      </w:r>
      <w:r>
        <w:rPr>
          <w:spacing w:val="-16"/>
        </w:rPr>
        <w:t>启动子 </w:t>
      </w:r>
      <w:r>
        <w:rPr/>
        <w:t>CpG</w:t>
      </w:r>
      <w:r>
        <w:rPr>
          <w:spacing w:val="-40"/>
        </w:rPr>
        <w:t> 岛 </w:t>
      </w:r>
      <w:r>
        <w:rPr/>
        <w:t>3</w:t>
      </w:r>
      <w:r>
        <w:rPr>
          <w:spacing w:val="-40"/>
        </w:rPr>
        <w:t> 第 </w:t>
      </w:r>
      <w:r>
        <w:rPr/>
        <w:t>36</w:t>
      </w:r>
      <w:r>
        <w:rPr>
          <w:spacing w:val="-17"/>
        </w:rPr>
        <w:t> 位点甲基化水平增龄性升高，协同导致 </w:t>
      </w:r>
      <w:r>
        <w:rPr/>
        <w:t>E2F1</w:t>
      </w:r>
      <w:r>
        <w:rPr>
          <w:spacing w:val="-40"/>
        </w:rPr>
        <w:t> 与 </w:t>
      </w:r>
      <w:r>
        <w:rPr/>
        <w:t>POLD1</w:t>
      </w:r>
      <w:r>
        <w:rPr>
          <w:spacing w:val="-10"/>
        </w:rPr>
        <w:t> 启动子结合水平</w:t>
      </w:r>
      <w:r>
        <w:rPr>
          <w:spacing w:val="-8"/>
        </w:rPr>
        <w:t>下降，进而导致 </w:t>
      </w:r>
      <w:r>
        <w:rPr/>
        <w:t>POLD1</w:t>
      </w:r>
      <w:r>
        <w:rPr>
          <w:spacing w:val="-8"/>
        </w:rPr>
        <w:t> 转录表达下调。</w:t>
      </w:r>
    </w:p>
    <w:p>
      <w:pPr>
        <w:pStyle w:val="BodyText"/>
        <w:spacing w:line="259" w:lineRule="auto" w:before="1"/>
        <w:ind w:right="1129" w:firstLine="480"/>
        <w:jc w:val="both"/>
        <w:rPr>
          <w:rFonts w:ascii="Meiryo" w:eastAsia="Meiryo" w:hint="eastAsia"/>
          <w:b/>
        </w:rPr>
      </w:pPr>
      <w:r>
        <w:rPr>
          <w:spacing w:val="-8"/>
        </w:rPr>
        <w:t>这一结果不仅从 </w:t>
      </w:r>
      <w:r>
        <w:rPr/>
        <w:t>DNA</w:t>
      </w:r>
      <w:r>
        <w:rPr>
          <w:spacing w:val="-21"/>
        </w:rPr>
        <w:t> 合成、</w:t>
      </w:r>
      <w:r>
        <w:rPr/>
        <w:t>DNA</w:t>
      </w:r>
      <w:r>
        <w:rPr>
          <w:spacing w:val="-10"/>
        </w:rPr>
        <w:t> 损伤修复角度深入揭示了细胞衰老分子机制，同时为深</w:t>
      </w:r>
      <w:r>
        <w:rPr/>
        <w:t>入揭示肿瘤发生的分子机制提供了重要线索，并发现了多个潜在的复制性衰老标志物。</w:t>
      </w:r>
      <w:r>
        <w:rPr>
          <w:rFonts w:ascii="Meiryo" w:eastAsia="Meiryo" w:hint="eastAsia"/>
          <w:b/>
          <w:color w:val="0033CC"/>
        </w:rPr>
        <w:t>[返</w:t>
      </w:r>
    </w:p>
    <w:p>
      <w:pPr>
        <w:pStyle w:val="Heading3"/>
        <w:spacing w:line="343" w:lineRule="exact"/>
        <w:ind w:left="237"/>
        <w:rPr>
          <w:rFonts w:ascii="Meiryo" w:eastAsia="Meiryo" w:hint="eastAsia"/>
        </w:rPr>
      </w:pPr>
      <w:r>
        <w:rPr>
          <w:rFonts w:ascii="Meiryo" w:eastAsia="Meiryo" w:hint="eastAsia"/>
          <w:color w:val="0033CC"/>
        </w:rPr>
        <w:t>回目次]</w:t>
      </w:r>
    </w:p>
    <w:p>
      <w:pPr>
        <w:pStyle w:val="Heading2"/>
        <w:spacing w:before="160"/>
        <w:ind w:left="2574"/>
      </w:pPr>
      <w:bookmarkStart w:name="_TOC_250030" w:id="13"/>
      <w:bookmarkEnd w:id="13"/>
      <w:r>
        <w:rPr/>
        <w:t>解析中药协同干预机制有了新方法</w:t>
      </w:r>
    </w:p>
    <w:p>
      <w:pPr>
        <w:pStyle w:val="BodyText"/>
        <w:spacing w:before="3"/>
        <w:ind w:left="0"/>
        <w:rPr>
          <w:b/>
          <w:sz w:val="33"/>
        </w:rPr>
      </w:pPr>
    </w:p>
    <w:p>
      <w:pPr>
        <w:spacing w:before="0"/>
        <w:ind w:left="0" w:right="1128" w:firstLine="0"/>
        <w:jc w:val="right"/>
        <w:rPr>
          <w:rFonts w:ascii="楷体" w:eastAsia="楷体" w:hint="eastAsia"/>
          <w:b/>
          <w:sz w:val="24"/>
        </w:rPr>
      </w:pPr>
      <w:r>
        <w:rPr>
          <w:rFonts w:ascii="楷体" w:eastAsia="楷体" w:hint="eastAsia"/>
          <w:b/>
          <w:color w:val="FF0000"/>
          <w:w w:val="95"/>
          <w:sz w:val="24"/>
        </w:rPr>
        <w:t>（来源：健康报）</w:t>
      </w:r>
    </w:p>
    <w:p>
      <w:pPr>
        <w:pStyle w:val="BodyText"/>
        <w:spacing w:line="297" w:lineRule="auto" w:before="98"/>
        <w:ind w:right="1027" w:firstLine="480"/>
      </w:pPr>
      <w:r>
        <w:rPr>
          <w:spacing w:val="-6"/>
        </w:rPr>
        <w:t>我国消化道恶性肿瘤发病率总体呈逐年升高趋势，结直肠癌、胃癌、肝癌均是我国五大</w:t>
      </w:r>
      <w:r>
        <w:rPr>
          <w:spacing w:val="-12"/>
        </w:rPr>
        <w:t>常见肿瘤，发病率和死亡率位居肿瘤前列。从生物分子网络角度来认识炎癌转化和肿瘤发生</w:t>
      </w:r>
      <w:r>
        <w:rPr>
          <w:spacing w:val="-13"/>
        </w:rPr>
        <w:t>的内在机理，有助于克服以往单靶标研究模式的局限，从系统的角度进行肿瘤的精准预防， </w:t>
      </w:r>
      <w:r>
        <w:rPr/>
        <w:t>促进肿瘤“治未病”。</w:t>
      </w:r>
    </w:p>
    <w:p>
      <w:pPr>
        <w:pStyle w:val="BodyText"/>
        <w:spacing w:line="295" w:lineRule="auto"/>
        <w:ind w:right="1127" w:firstLine="480"/>
      </w:pPr>
      <w:r>
        <w:rPr>
          <w:spacing w:val="-10"/>
        </w:rPr>
        <w:t>然而，达到这一目标的一个关键在于，如何构建并深入分析炎癌转化生物分子网络、揭</w:t>
      </w:r>
      <w:r>
        <w:rPr>
          <w:spacing w:val="-6"/>
        </w:rPr>
        <w:t>示网络中具有协同效应的关键模块？清华大学自动化系、信息科学与技术国家研究中心李梢</w:t>
      </w:r>
    </w:p>
    <w:p>
      <w:pPr>
        <w:spacing w:after="0" w:line="295" w:lineRule="auto"/>
        <w:sectPr>
          <w:type w:val="continuous"/>
          <w:pgSz w:w="11910" w:h="16850"/>
          <w:pgMar w:top="1100" w:bottom="1020" w:left="1040" w:right="0"/>
        </w:sectPr>
      </w:pPr>
    </w:p>
    <w:p>
      <w:pPr>
        <w:pStyle w:val="BodyText"/>
        <w:spacing w:line="297" w:lineRule="auto" w:before="65"/>
        <w:ind w:right="1007"/>
      </w:pPr>
      <w:r>
        <w:rPr>
          <w:spacing w:val="-11"/>
        </w:rPr>
        <w:t>课题组长期致力于网络药理学、生物信息学与中医药现代化研究，提出了“网络靶标”理论， </w:t>
      </w:r>
      <w:r>
        <w:rPr>
          <w:spacing w:val="-5"/>
        </w:rPr>
        <w:t>创建了一套高精度的网络药理学智能算法，并在炎癌转化和中医寒热证分子网络、中药网络</w:t>
      </w:r>
      <w:r>
        <w:rPr>
          <w:spacing w:val="-12"/>
        </w:rPr>
        <w:t>调节机制等方面取得了系列成果。日前，介绍相关机制的论文作为封面文章发表在国际合成生物学领域权威刊物《美国化学学会合成生物学》杂志上。</w:t>
      </w:r>
    </w:p>
    <w:p>
      <w:pPr>
        <w:pStyle w:val="BodyText"/>
        <w:spacing w:line="297" w:lineRule="auto"/>
        <w:ind w:right="1011" w:firstLine="480"/>
      </w:pPr>
      <w:r>
        <w:rPr>
          <w:spacing w:val="-10"/>
        </w:rPr>
        <w:t>研究中，作者提出了一个整合计算预测和实验分析的系统性方法，用于发现消化系统炎</w:t>
      </w:r>
      <w:r>
        <w:rPr>
          <w:spacing w:val="-15"/>
        </w:rPr>
        <w:t>癌转化过程中的协同功能模块。首先，利用李梢课题组自主研制的、基于网络的全基因组致</w:t>
      </w:r>
      <w:r>
        <w:rPr>
          <w:spacing w:val="-21"/>
        </w:rPr>
        <w:t>病基因预测方法 </w:t>
      </w:r>
      <w:r>
        <w:rPr/>
        <w:t>CIPHER</w:t>
      </w:r>
      <w:r>
        <w:rPr>
          <w:spacing w:val="-12"/>
        </w:rPr>
        <w:t> 进行炎、癌相关基因预测，结合消化系统不同部位</w:t>
      </w:r>
      <w:r>
        <w:rPr/>
        <w:t>（</w:t>
      </w:r>
      <w:r>
        <w:rPr>
          <w:spacing w:val="-5"/>
        </w:rPr>
        <w:t>胃、肠和肝</w:t>
      </w:r>
      <w:r>
        <w:rPr>
          <w:spacing w:val="-20"/>
        </w:rPr>
        <w:t>）</w:t>
      </w:r>
      <w:r>
        <w:rPr>
          <w:spacing w:val="-14"/>
        </w:rPr>
        <w:t>、</w:t>
      </w:r>
      <w:r>
        <w:rPr>
          <w:spacing w:val="-7"/>
        </w:rPr>
        <w:t>不同阶段</w:t>
      </w:r>
      <w:r>
        <w:rPr/>
        <w:t>（</w:t>
      </w:r>
      <w:r>
        <w:rPr>
          <w:spacing w:val="-5"/>
        </w:rPr>
        <w:t>正常人、炎症和癌症患者</w:t>
      </w:r>
      <w:r>
        <w:rPr>
          <w:spacing w:val="-27"/>
        </w:rPr>
        <w:t>）</w:t>
      </w:r>
      <w:r>
        <w:rPr>
          <w:spacing w:val="-3"/>
        </w:rPr>
        <w:t>的公共基因表达谱数据，筛选了消化系统炎癌转化的</w:t>
      </w:r>
      <w:r>
        <w:rPr>
          <w:spacing w:val="-6"/>
        </w:rPr>
        <w:t>候选基因集，构建出炎癌转化关键分子网络。随后，使用 </w:t>
      </w:r>
      <w:r>
        <w:rPr/>
        <w:t>TGF</w:t>
      </w:r>
      <w:r>
        <w:rPr>
          <w:rFonts w:ascii="Arial" w:hAnsi="Arial" w:eastAsia="Arial"/>
        </w:rPr>
        <w:t>β </w:t>
      </w:r>
      <w:r>
        <w:rPr/>
        <w:t>1</w:t>
      </w:r>
      <w:r>
        <w:rPr>
          <w:spacing w:val="-8"/>
        </w:rPr>
        <w:t> 诱导的肠上皮细胞恶性转</w:t>
      </w:r>
      <w:r>
        <w:rPr>
          <w:spacing w:val="-14"/>
        </w:rPr>
        <w:t>化细胞模型和新的 </w:t>
      </w:r>
      <w:r>
        <w:rPr/>
        <w:t>CRISPR-Cas9</w:t>
      </w:r>
      <w:r>
        <w:rPr>
          <w:spacing w:val="-14"/>
        </w:rPr>
        <w:t> 组合干预策略，识别出炎癌转化关键分子网络中的差异遗传相互作用网络模块，揭示了显著差异的基因之间的功能协同特征。</w:t>
      </w:r>
    </w:p>
    <w:p>
      <w:pPr>
        <w:pStyle w:val="BodyText"/>
        <w:spacing w:line="297" w:lineRule="auto"/>
        <w:ind w:right="1129" w:firstLine="480"/>
        <w:jc w:val="both"/>
      </w:pPr>
      <w:r>
        <w:rPr>
          <w:spacing w:val="-5"/>
        </w:rPr>
        <w:t>研究发现了肠炎细胞恶性转化过程中基因功能之间的协同效应，明确了协同功能模块对</w:t>
      </w:r>
      <w:r>
        <w:rPr>
          <w:spacing w:val="-8"/>
        </w:rPr>
        <w:t>肠炎细胞恶性转化的重要影响。结果表明，免疫-增殖或代谢-增殖协同功能模块可能作为炎</w:t>
      </w:r>
      <w:r>
        <w:rPr>
          <w:spacing w:val="-7"/>
        </w:rPr>
        <w:t>症诱导肿瘤发生的早期组合靶点，可作为识别炎癌转化风险的早期生物标志物。进而以炎癌</w:t>
      </w:r>
      <w:r>
        <w:rPr>
          <w:spacing w:val="-6"/>
        </w:rPr>
        <w:t>转化关键分子网络中的协同功能模块为干预靶标，从前期发现的具有抑制炎癌转化潜在功效</w:t>
      </w:r>
      <w:r>
        <w:rPr/>
        <w:t>的中医经典名方六味地黄丸及其类方中，识别出能够干预代谢-免疫等协同作用模块、抑制肠炎细胞恶性转化的多种中药成分。</w:t>
      </w:r>
    </w:p>
    <w:p>
      <w:pPr>
        <w:pStyle w:val="BodyText"/>
        <w:spacing w:line="300" w:lineRule="exact"/>
        <w:ind w:left="0" w:right="1128"/>
        <w:jc w:val="right"/>
      </w:pPr>
      <w:r>
        <w:rPr/>
        <w:t>该研究结果为李梢课题组前期提出的胃炎癌转化“代谢-免疫网络失衡”假说提供了重</w:t>
      </w:r>
    </w:p>
    <w:p>
      <w:pPr>
        <w:pStyle w:val="BodyText"/>
        <w:spacing w:line="380" w:lineRule="exact"/>
        <w:ind w:right="1126"/>
        <w:jc w:val="both"/>
        <w:rPr>
          <w:rFonts w:ascii="Meiryo" w:hAnsi="Meiryo" w:eastAsia="Meiryo" w:hint="eastAsia"/>
          <w:b/>
        </w:rPr>
      </w:pPr>
      <w:r>
        <w:rPr>
          <w:spacing w:val="-9"/>
        </w:rPr>
        <w:t>要佐证，为揭示中药多成分协同作用提供了新依据。同时，基于“网络计算—组合干预—协</w:t>
      </w:r>
      <w:r>
        <w:rPr>
          <w:spacing w:val="-15"/>
        </w:rPr>
        <w:t>同模块”的生物分子网络研究新方法，为肿瘤等复杂疾病的精准防治探索了一条新途径。</w:t>
      </w:r>
      <w:r>
        <w:rPr>
          <w:rFonts w:ascii="Meiryo" w:hAnsi="Meiryo" w:eastAsia="Meiryo" w:hint="eastAsia"/>
          <w:b/>
          <w:color w:val="0033CC"/>
          <w:spacing w:val="-8"/>
        </w:rPr>
        <w:t>[返</w:t>
      </w:r>
      <w:r>
        <w:rPr>
          <w:rFonts w:ascii="Meiryo" w:hAnsi="Meiryo" w:eastAsia="Meiryo" w:hint="eastAsia"/>
          <w:b/>
          <w:color w:val="0033CC"/>
        </w:rPr>
        <w:t>回目次]</w:t>
      </w:r>
    </w:p>
    <w:p>
      <w:pPr>
        <w:pStyle w:val="BodyText"/>
        <w:spacing w:before="5"/>
        <w:ind w:left="0"/>
        <w:rPr>
          <w:rFonts w:ascii="Meiryo"/>
          <w:b/>
          <w:sz w:val="13"/>
        </w:rPr>
      </w:pPr>
    </w:p>
    <w:p>
      <w:pPr>
        <w:pStyle w:val="Heading2"/>
        <w:ind w:left="2897"/>
      </w:pPr>
      <w:bookmarkStart w:name="_TOC_250029" w:id="14"/>
      <w:bookmarkEnd w:id="14"/>
      <w:r>
        <w:rPr/>
        <w:t>一种哮喘药或可治疗渐冻人症</w:t>
      </w:r>
    </w:p>
    <w:p>
      <w:pPr>
        <w:pStyle w:val="BodyText"/>
        <w:spacing w:before="3"/>
        <w:ind w:left="0"/>
        <w:rPr>
          <w:b/>
          <w:sz w:val="33"/>
        </w:rPr>
      </w:pPr>
    </w:p>
    <w:p>
      <w:pPr>
        <w:pStyle w:val="Heading3"/>
        <w:ind w:right="1128"/>
        <w:jc w:val="right"/>
      </w:pPr>
      <w:r>
        <w:rPr>
          <w:color w:val="FF0000"/>
          <w:w w:val="95"/>
        </w:rPr>
        <w:t>（来源：健康报）</w:t>
      </w:r>
    </w:p>
    <w:p>
      <w:pPr>
        <w:pStyle w:val="ListParagraph"/>
        <w:numPr>
          <w:ilvl w:val="0"/>
          <w:numId w:val="3"/>
        </w:numPr>
        <w:tabs>
          <w:tab w:pos="898" w:val="left" w:leader="none"/>
        </w:tabs>
        <w:spacing w:line="297" w:lineRule="auto" w:before="98" w:after="0"/>
        <w:ind w:left="237" w:right="1127" w:firstLine="480"/>
        <w:jc w:val="right"/>
        <w:rPr>
          <w:sz w:val="24"/>
        </w:rPr>
      </w:pPr>
      <w:r>
        <w:rPr>
          <w:spacing w:val="-31"/>
          <w:sz w:val="24"/>
        </w:rPr>
        <w:t>月 </w:t>
      </w:r>
      <w:r>
        <w:rPr>
          <w:sz w:val="24"/>
        </w:rPr>
        <w:t>1</w:t>
      </w:r>
      <w:r>
        <w:rPr>
          <w:spacing w:val="-12"/>
          <w:sz w:val="24"/>
        </w:rPr>
        <w:t> 日，《大脑》杂志在线发表中国科学院神经科学研究所、神经科学国家重点实验</w:t>
      </w:r>
      <w:r>
        <w:rPr>
          <w:spacing w:val="-7"/>
          <w:sz w:val="24"/>
        </w:rPr>
        <w:t>室徐进研究组的一项研究成果。该成果揭示了导致渐冻人症的新机制，证实了激活无义介导</w:t>
      </w:r>
      <w:r>
        <w:rPr>
          <w:spacing w:val="-30"/>
          <w:sz w:val="24"/>
        </w:rPr>
        <w:t>的 </w:t>
      </w:r>
      <w:r>
        <w:rPr>
          <w:sz w:val="24"/>
        </w:rPr>
        <w:t>mRNA</w:t>
      </w:r>
      <w:r>
        <w:rPr>
          <w:spacing w:val="-8"/>
          <w:sz w:val="24"/>
        </w:rPr>
        <w:t> 降解通路可作为治疗新策略，并发现一种用于治疗哮喘的药物或可治疗渐冻人症。</w:t>
      </w:r>
      <w:r>
        <w:rPr>
          <w:spacing w:val="-11"/>
          <w:sz w:val="24"/>
        </w:rPr>
        <w:t>据介绍，渐冻人症是一种因运动神经元进行性死亡造成的严重的神经退行性疾病，其学</w:t>
      </w:r>
    </w:p>
    <w:p>
      <w:pPr>
        <w:pStyle w:val="BodyText"/>
        <w:spacing w:line="302" w:lineRule="exact"/>
        <w:ind w:left="0" w:right="1126"/>
        <w:jc w:val="right"/>
      </w:pPr>
      <w:r>
        <w:rPr>
          <w:spacing w:val="-8"/>
        </w:rPr>
        <w:t>名是部分肌萎缩性侧索硬化症，目前缺乏有效的干预治疗手段。一旦确诊，患者多在 </w:t>
      </w:r>
      <w:r>
        <w:rPr/>
        <w:t>3</w:t>
      </w:r>
      <w:r>
        <w:rPr>
          <w:spacing w:val="-30"/>
        </w:rPr>
        <w:t> 年</w:t>
      </w:r>
      <w:r>
        <w:rPr/>
        <w:t>～</w:t>
      </w:r>
    </w:p>
    <w:p>
      <w:pPr>
        <w:pStyle w:val="ListParagraph"/>
        <w:numPr>
          <w:ilvl w:val="0"/>
          <w:numId w:val="3"/>
        </w:numPr>
        <w:tabs>
          <w:tab w:pos="418" w:val="left" w:leader="none"/>
        </w:tabs>
        <w:spacing w:line="297" w:lineRule="auto" w:before="72" w:after="0"/>
        <w:ind w:left="237" w:right="1128" w:firstLine="0"/>
        <w:jc w:val="both"/>
        <w:rPr>
          <w:sz w:val="24"/>
        </w:rPr>
      </w:pPr>
      <w:r>
        <w:rPr>
          <w:sz w:val="24"/>
        </w:rPr>
        <w:t>年内去世。C9orf72</w:t>
      </w:r>
      <w:r>
        <w:rPr>
          <w:spacing w:val="-8"/>
          <w:sz w:val="24"/>
        </w:rPr>
        <w:t> 的遗传学变异是造成部分肌萎缩性侧索硬化症最常见的因素。同时有证据表明，</w:t>
      </w:r>
      <w:r>
        <w:rPr>
          <w:spacing w:val="-6"/>
          <w:sz w:val="24"/>
        </w:rPr>
        <w:t>C9orf72</w:t>
      </w:r>
      <w:r>
        <w:rPr>
          <w:spacing w:val="-10"/>
          <w:sz w:val="24"/>
        </w:rPr>
        <w:t> 和其他一些部分肌萎缩性侧索硬化症的致病基因可能会影响 </w:t>
      </w:r>
      <w:r>
        <w:rPr>
          <w:sz w:val="24"/>
        </w:rPr>
        <w:t>RNA</w:t>
      </w:r>
      <w:r>
        <w:rPr>
          <w:spacing w:val="-19"/>
          <w:sz w:val="24"/>
        </w:rPr>
        <w:t> 代谢等</w:t>
      </w:r>
      <w:r>
        <w:rPr>
          <w:sz w:val="24"/>
        </w:rPr>
        <w:t>共同的功能通路，但是它们造成神经毒性的具体机制尚不完全明确。</w:t>
      </w:r>
    </w:p>
    <w:p>
      <w:pPr>
        <w:pStyle w:val="BodyText"/>
        <w:spacing w:line="297" w:lineRule="auto"/>
        <w:ind w:right="1010" w:firstLine="480"/>
      </w:pPr>
      <w:r>
        <w:rPr>
          <w:spacing w:val="-9"/>
        </w:rPr>
        <w:t>在该研究中，徐进团队首先对渐冻人症患者的大脑组织、人源细胞进行大量生物信息学</w:t>
      </w:r>
      <w:r>
        <w:rPr>
          <w:spacing w:val="-16"/>
        </w:rPr>
        <w:t>数据的分析和比对，发现 </w:t>
      </w:r>
      <w:r>
        <w:rPr/>
        <w:t>C9orf72</w:t>
      </w:r>
      <w:r>
        <w:rPr>
          <w:spacing w:val="-3"/>
        </w:rPr>
        <w:t> 六核苷酸重复序列可抑制一条称为无义介导的 </w:t>
      </w:r>
      <w:r>
        <w:rPr/>
        <w:t>mRNA</w:t>
      </w:r>
      <w:r>
        <w:rPr>
          <w:spacing w:val="-20"/>
        </w:rPr>
        <w:t> 降解</w:t>
      </w:r>
      <w:r>
        <w:rPr>
          <w:spacing w:val="-34"/>
        </w:rPr>
        <w:t>通路 </w:t>
      </w:r>
      <w:r>
        <w:rPr/>
        <w:t>NMD</w:t>
      </w:r>
      <w:r>
        <w:rPr>
          <w:spacing w:val="-15"/>
        </w:rPr>
        <w:t>。然后，他们在细胞、果蝇、小鼠等实验模型中运用多种方法对这一结论进行验证， </w:t>
      </w:r>
      <w:r>
        <w:rPr>
          <w:spacing w:val="-11"/>
        </w:rPr>
        <w:t>并尝试激活 </w:t>
      </w:r>
      <w:r>
        <w:rPr/>
        <w:t>NMD</w:t>
      </w:r>
      <w:r>
        <w:rPr>
          <w:spacing w:val="-18"/>
        </w:rPr>
        <w:t> 通路来阻碍 </w:t>
      </w:r>
      <w:r>
        <w:rPr/>
        <w:t>C9orf72</w:t>
      </w:r>
      <w:r>
        <w:rPr>
          <w:spacing w:val="-18"/>
        </w:rPr>
        <w:t> 重复序列的神经毒性，并检验 </w:t>
      </w:r>
      <w:r>
        <w:rPr/>
        <w:t>NMD</w:t>
      </w:r>
      <w:r>
        <w:rPr>
          <w:spacing w:val="-8"/>
        </w:rPr>
        <w:t> 作为药物靶点的可能</w:t>
      </w:r>
      <w:r>
        <w:rPr>
          <w:spacing w:val="-11"/>
        </w:rPr>
        <w:t>性。结果令人振奋，在细胞和果蝇模型中，增加 </w:t>
      </w:r>
      <w:r>
        <w:rPr/>
        <w:t>NMD</w:t>
      </w:r>
      <w:r>
        <w:rPr>
          <w:spacing w:val="-14"/>
        </w:rPr>
        <w:t> 通路的核心蛋白 </w:t>
      </w:r>
      <w:r>
        <w:rPr/>
        <w:t>UPF1</w:t>
      </w:r>
      <w:r>
        <w:rPr>
          <w:spacing w:val="-8"/>
        </w:rPr>
        <w:t> 的表达可以有效</w:t>
      </w:r>
      <w:r>
        <w:rPr>
          <w:spacing w:val="-26"/>
        </w:rPr>
        <w:t>阻碍 </w:t>
      </w:r>
      <w:r>
        <w:rPr/>
        <w:t>C9orf72</w:t>
      </w:r>
      <w:r>
        <w:rPr>
          <w:spacing w:val="-8"/>
        </w:rPr>
        <w:t> 重复序列的神经毒性。</w:t>
      </w:r>
    </w:p>
    <w:p>
      <w:pPr>
        <w:spacing w:after="0" w:line="297" w:lineRule="auto"/>
        <w:sectPr>
          <w:pgSz w:w="11910" w:h="16850"/>
          <w:pgMar w:header="906" w:footer="607" w:top="1100" w:bottom="800" w:left="1040" w:right="0"/>
        </w:sectPr>
      </w:pPr>
    </w:p>
    <w:p>
      <w:pPr>
        <w:pStyle w:val="BodyText"/>
        <w:spacing w:line="278" w:lineRule="auto" w:before="65"/>
        <w:ind w:right="1127" w:firstLine="480"/>
        <w:jc w:val="both"/>
        <w:rPr>
          <w:rFonts w:ascii="Meiryo" w:eastAsia="Meiryo" w:hint="eastAsia"/>
          <w:b/>
        </w:rPr>
      </w:pPr>
      <w:r>
        <w:rPr>
          <w:spacing w:val="-22"/>
        </w:rPr>
        <w:t>他们还发现，从 </w:t>
      </w:r>
      <w:r>
        <w:rPr/>
        <w:t>20</w:t>
      </w:r>
      <w:r>
        <w:rPr>
          <w:spacing w:val="-30"/>
        </w:rPr>
        <w:t> 世纪 </w:t>
      </w:r>
      <w:r>
        <w:rPr/>
        <w:t>80</w:t>
      </w:r>
      <w:r>
        <w:rPr>
          <w:spacing w:val="-11"/>
        </w:rPr>
        <w:t> 年代开始用于治疗哮喘的药物曲尼斯特有稳定激活 </w:t>
      </w:r>
      <w:r>
        <w:rPr/>
        <w:t>NMD</w:t>
      </w:r>
      <w:r>
        <w:rPr>
          <w:spacing w:val="-25"/>
        </w:rPr>
        <w:t> 通路</w:t>
      </w:r>
      <w:r>
        <w:rPr>
          <w:spacing w:val="-16"/>
        </w:rPr>
        <w:t>的特征，并可对 </w:t>
      </w:r>
      <w:r>
        <w:rPr/>
        <w:t>C9orf72</w:t>
      </w:r>
      <w:r>
        <w:rPr>
          <w:spacing w:val="-12"/>
        </w:rPr>
        <w:t> 重复序列的神经毒性起到保护作用。该研究将促进曲尼斯特及其他</w:t>
      </w:r>
      <w:r>
        <w:rPr/>
        <w:t>NMD</w:t>
      </w:r>
      <w:r>
        <w:rPr>
          <w:spacing w:val="-8"/>
        </w:rPr>
        <w:t> 激活剂作为治疗渐冻人症药物的研究，为患者带来新的希望。</w:t>
      </w:r>
      <w:r>
        <w:rPr>
          <w:rFonts w:ascii="Meiryo" w:eastAsia="Meiryo" w:hint="eastAsia"/>
          <w:b/>
          <w:color w:val="0033CC"/>
        </w:rPr>
        <w:t>[返回目次]</w:t>
      </w:r>
    </w:p>
    <w:p>
      <w:pPr>
        <w:pStyle w:val="Heading2"/>
        <w:spacing w:line="373" w:lineRule="exact"/>
      </w:pPr>
      <w:bookmarkStart w:name="_TOC_250028" w:id="15"/>
      <w:bookmarkEnd w:id="15"/>
      <w:r>
        <w:rPr/>
        <w:t>【新药看台】</w:t>
      </w:r>
    </w:p>
    <w:p>
      <w:pPr>
        <w:pStyle w:val="Heading2"/>
        <w:spacing w:before="247"/>
        <w:ind w:left="2735"/>
      </w:pPr>
      <w:bookmarkStart w:name="_TOC_250027" w:id="16"/>
      <w:bookmarkEnd w:id="16"/>
      <w:r>
        <w:rPr/>
        <w:t>美药管局批准抗艾滋病新药上市</w:t>
      </w:r>
    </w:p>
    <w:p>
      <w:pPr>
        <w:pStyle w:val="BodyText"/>
        <w:spacing w:before="5"/>
        <w:ind w:left="0"/>
        <w:rPr>
          <w:b/>
          <w:sz w:val="33"/>
        </w:rPr>
      </w:pPr>
    </w:p>
    <w:p>
      <w:pPr>
        <w:pStyle w:val="Heading3"/>
        <w:spacing w:before="1"/>
        <w:ind w:right="1128"/>
        <w:jc w:val="right"/>
      </w:pPr>
      <w:r>
        <w:rPr>
          <w:color w:val="FF0000"/>
          <w:w w:val="95"/>
        </w:rPr>
        <w:t>（来源：新华社）</w:t>
      </w:r>
    </w:p>
    <w:p>
      <w:pPr>
        <w:pStyle w:val="BodyText"/>
        <w:spacing w:line="297" w:lineRule="auto" w:before="95"/>
        <w:ind w:right="1129" w:firstLine="480"/>
        <w:jc w:val="both"/>
      </w:pPr>
      <w:r>
        <w:rPr>
          <w:spacing w:val="-2"/>
        </w:rPr>
        <w:t>美国食品和药物管理局</w:t>
      </w:r>
      <w:r>
        <w:rPr/>
        <w:t>（药管局</w:t>
      </w:r>
      <w:r>
        <w:rPr>
          <w:spacing w:val="-7"/>
        </w:rPr>
        <w:t>）4</w:t>
      </w:r>
      <w:r>
        <w:rPr>
          <w:spacing w:val="-40"/>
        </w:rPr>
        <w:t> 月 </w:t>
      </w:r>
      <w:r>
        <w:rPr/>
        <w:t>8</w:t>
      </w:r>
      <w:r>
        <w:rPr>
          <w:spacing w:val="-10"/>
        </w:rPr>
        <w:t> 日批准一款抗艾新药上市，可用于治疗未接受</w:t>
      </w:r>
      <w:r>
        <w:rPr/>
        <w:t>过抗逆转录病毒治疗的成年艾滋病病毒感染者。</w:t>
      </w:r>
    </w:p>
    <w:p>
      <w:pPr>
        <w:pStyle w:val="BodyText"/>
        <w:spacing w:line="297" w:lineRule="auto"/>
        <w:ind w:right="1127" w:firstLine="480"/>
        <w:jc w:val="both"/>
      </w:pPr>
      <w:r>
        <w:rPr>
          <w:spacing w:val="-9"/>
        </w:rPr>
        <w:t>新获批的药物 </w:t>
      </w:r>
      <w:r>
        <w:rPr/>
        <w:t>Dovato</w:t>
      </w:r>
      <w:r>
        <w:rPr>
          <w:spacing w:val="-8"/>
        </w:rPr>
        <w:t> 是由固定剂量的度鲁特韦和拉米夫定组成的单一片剂，每日服用</w:t>
      </w:r>
      <w:r>
        <w:rPr>
          <w:spacing w:val="-12"/>
        </w:rPr>
        <w:t>一次。其中度鲁特韦是艾滋病病毒整合酶抑制剂，拉米夫定是一种核苷逆转录酶抑制剂。该</w:t>
      </w:r>
      <w:r>
        <w:rPr>
          <w:spacing w:val="-8"/>
        </w:rPr>
        <w:t>药物由英国葛兰素史克公司研发，用于治疗未接受过抗逆转录病毒治疗并对以上两种药物成</w:t>
      </w:r>
      <w:r>
        <w:rPr/>
        <w:t>分没有显示抗药性的艾滋病病毒感染者。</w:t>
      </w:r>
    </w:p>
    <w:p>
      <w:pPr>
        <w:pStyle w:val="BodyText"/>
        <w:spacing w:line="297" w:lineRule="auto"/>
        <w:ind w:right="1027" w:firstLine="480"/>
      </w:pPr>
      <w:r>
        <w:rPr/>
        <w:t>美药管局抗病毒产品部主任德布拉·伯恩克兰特说，目前艾滋病标准疗法联合使用 3 </w:t>
      </w:r>
      <w:r>
        <w:rPr>
          <w:spacing w:val="-10"/>
        </w:rPr>
        <w:t>种药物，该新药获批使从未接受过治疗的感染者多了一种选择。该二合一复方片剂无需使用</w:t>
      </w:r>
      <w:r>
        <w:rPr>
          <w:spacing w:val="-12"/>
        </w:rPr>
        <w:t>第三种药物，减轻了毒副作用和潜在药物相互作用。研究人员对总计 </w:t>
      </w:r>
      <w:r>
        <w:rPr/>
        <w:t>1433</w:t>
      </w:r>
      <w:r>
        <w:rPr>
          <w:spacing w:val="-8"/>
        </w:rPr>
        <w:t> 名艾滋病病毒感</w:t>
      </w:r>
      <w:r>
        <w:rPr>
          <w:spacing w:val="-9"/>
        </w:rPr>
        <w:t>染者展开随机、双盲临床试验，结果显示新的复方疗法在降低血液中艾滋病病毒数目方面， 与由度鲁特韦、恩曲他滨和替诺福韦构成的三联复方疗法具有相似效果，而患者服药数量更少。</w:t>
      </w:r>
    </w:p>
    <w:p>
      <w:pPr>
        <w:pStyle w:val="BodyText"/>
        <w:spacing w:line="259" w:lineRule="auto"/>
        <w:ind w:right="1130" w:firstLine="480"/>
        <w:rPr>
          <w:rFonts w:ascii="Meiryo" w:eastAsia="Meiryo" w:hint="eastAsia"/>
          <w:b/>
        </w:rPr>
      </w:pPr>
      <w:r>
        <w:rPr>
          <w:spacing w:val="-11"/>
        </w:rPr>
        <w:t>该药物标签上警示，同时感染了乙型肝炎病毒的艾滋病病毒感染者需要额外服用乙肝治</w:t>
      </w:r>
      <w:r>
        <w:rPr/>
        <w:t>疗药物，或考虑其他治疗方案。</w:t>
      </w:r>
      <w:r>
        <w:rPr>
          <w:rFonts w:ascii="Meiryo" w:eastAsia="Meiryo" w:hint="eastAsia"/>
          <w:b/>
          <w:color w:val="0033CC"/>
        </w:rPr>
        <w:t>[返回目次]</w:t>
      </w:r>
    </w:p>
    <w:p>
      <w:pPr>
        <w:pStyle w:val="Heading1"/>
        <w:spacing w:line="551" w:lineRule="exact"/>
        <w:rPr>
          <w:u w:val="none"/>
        </w:rPr>
      </w:pPr>
      <w:bookmarkStart w:name="_TOC_250026" w:id="17"/>
      <w:r>
        <w:rPr>
          <w:rFonts w:ascii="Times New Roman" w:eastAsia="Times New Roman"/>
          <w:color w:val="008000"/>
          <w:spacing w:val="-110"/>
          <w:w w:val="99"/>
          <w:u w:val="thick" w:color="008000"/>
        </w:rPr>
        <w:t> </w:t>
      </w:r>
      <w:bookmarkEnd w:id="17"/>
      <w:r>
        <w:rPr>
          <w:color w:val="008000"/>
          <w:u w:val="thick" w:color="008000"/>
        </w:rPr>
        <w:t>合理用药</w:t>
      </w:r>
    </w:p>
    <w:p>
      <w:pPr>
        <w:pStyle w:val="Heading2"/>
        <w:spacing w:before="1"/>
      </w:pPr>
      <w:bookmarkStart w:name="_TOC_250025" w:id="18"/>
      <w:bookmarkEnd w:id="18"/>
      <w:r>
        <w:rPr/>
        <w:t>【临床药师】</w:t>
      </w:r>
    </w:p>
    <w:p>
      <w:pPr>
        <w:pStyle w:val="BodyText"/>
        <w:spacing w:before="12"/>
        <w:ind w:left="0"/>
        <w:rPr>
          <w:b/>
          <w:sz w:val="22"/>
        </w:rPr>
      </w:pPr>
    </w:p>
    <w:p>
      <w:pPr>
        <w:pStyle w:val="Heading2"/>
        <w:ind w:left="1530"/>
      </w:pPr>
      <w:bookmarkStart w:name="_TOC_250024" w:id="19"/>
      <w:bookmarkEnd w:id="19"/>
      <w:r>
        <w:rPr/>
        <w:t>钙通道阻滞剂在非惊厥/癫痫治疗中，怎样使用？</w:t>
      </w:r>
    </w:p>
    <w:p>
      <w:pPr>
        <w:pStyle w:val="Heading3"/>
        <w:spacing w:before="145"/>
        <w:ind w:right="1128"/>
        <w:jc w:val="right"/>
      </w:pPr>
      <w:r>
        <w:rPr>
          <w:color w:val="FF0000"/>
          <w:w w:val="95"/>
        </w:rPr>
        <w:t>（来源：临床药师网）</w:t>
      </w:r>
    </w:p>
    <w:p>
      <w:pPr>
        <w:pStyle w:val="BodyText"/>
        <w:spacing w:line="295" w:lineRule="auto" w:before="98"/>
        <w:ind w:right="1007" w:firstLine="482"/>
      </w:pPr>
      <w:r>
        <w:rPr>
          <w:b/>
        </w:rPr>
        <w:t>钙通道调节剂</w:t>
      </w:r>
      <w:r>
        <w:rPr>
          <w:spacing w:val="-1"/>
        </w:rPr>
        <w:t>加巴喷丁、普瑞巴林，通过调节电压门控通道的</w:t>
      </w:r>
      <w:r>
        <w:rPr>
          <w:rFonts w:ascii="Arial" w:hAnsi="Arial" w:eastAsia="Arial"/>
        </w:rPr>
        <w:t>α </w:t>
      </w:r>
      <w:r>
        <w:rPr/>
        <w:t>2</w:t>
      </w:r>
      <w:r>
        <w:rPr>
          <w:rFonts w:ascii="Arial" w:hAnsi="Arial" w:eastAsia="Arial"/>
        </w:rPr>
        <w:t>δ </w:t>
      </w:r>
      <w:r>
        <w:rPr/>
        <w:t>亚基，可减少钙离</w:t>
      </w:r>
      <w:r>
        <w:rPr>
          <w:spacing w:val="-14"/>
        </w:rPr>
        <w:t>子内流，减少谷氨酸、去甲肾上腺素和 </w:t>
      </w:r>
      <w:r>
        <w:rPr/>
        <w:t>P</w:t>
      </w:r>
      <w:r>
        <w:rPr>
          <w:spacing w:val="-15"/>
        </w:rPr>
        <w:t> 物质释放。临床可用于慢性疼痛、神经病理性疼痛、</w:t>
      </w:r>
      <w:r>
        <w:rPr/>
        <w:t>围手术期疼痛及辅助用于癌痛等。</w:t>
      </w:r>
    </w:p>
    <w:p>
      <w:pPr>
        <w:pStyle w:val="Heading3"/>
        <w:numPr>
          <w:ilvl w:val="1"/>
          <w:numId w:val="3"/>
        </w:numPr>
        <w:tabs>
          <w:tab w:pos="959" w:val="left" w:leader="none"/>
        </w:tabs>
        <w:spacing w:line="240" w:lineRule="auto" w:before="6" w:after="0"/>
        <w:ind w:left="958" w:right="0" w:hanging="242"/>
        <w:jc w:val="left"/>
        <w:rPr>
          <w:rFonts w:ascii="宋体" w:eastAsia="宋体" w:hint="eastAsia"/>
        </w:rPr>
      </w:pPr>
      <w:r>
        <w:rPr>
          <w:rFonts w:ascii="宋体" w:eastAsia="宋体" w:hint="eastAsia"/>
        </w:rPr>
        <w:t>药物比较</w:t>
      </w:r>
    </w:p>
    <w:p>
      <w:pPr>
        <w:pStyle w:val="BodyText"/>
        <w:spacing w:line="295" w:lineRule="auto" w:before="71"/>
        <w:ind w:right="1145" w:firstLine="480"/>
      </w:pPr>
      <w:r>
        <w:rPr/>
        <w:pict>
          <v:shape style="position:absolute;margin-left:63.360001pt;margin-top:38.370018pt;width:476.15pt;height:78.5pt;mso-position-horizontal-relative:page;mso-position-vertical-relative:paragraph;z-index:251662336" type="#_x0000_t202" filled="false" stroked="false">
            <v:textbox inset="0,0,0,0">
              <w:txbxContent>
                <w:tbl>
                  <w:tblPr>
                    <w:tblW w:w="0" w:type="auto"/>
                    <w:jc w:val="left"/>
                    <w:tblInd w:w="7" w:type="dxa"/>
                    <w:tblBorders>
                      <w:top w:val="single" w:sz="4" w:space="0" w:color="3D3D3D"/>
                      <w:left w:val="single" w:sz="4" w:space="0" w:color="3D3D3D"/>
                      <w:bottom w:val="single" w:sz="4" w:space="0" w:color="3D3D3D"/>
                      <w:right w:val="single" w:sz="4" w:space="0" w:color="3D3D3D"/>
                      <w:insideH w:val="single" w:sz="4" w:space="0" w:color="3D3D3D"/>
                      <w:insideV w:val="single" w:sz="4" w:space="0" w:color="3D3D3D"/>
                    </w:tblBorders>
                    <w:tblLayout w:type="fixed"/>
                    <w:tblCellMar>
                      <w:top w:w="0" w:type="dxa"/>
                      <w:left w:w="0" w:type="dxa"/>
                      <w:bottom w:w="0" w:type="dxa"/>
                      <w:right w:w="0" w:type="dxa"/>
                    </w:tblCellMar>
                    <w:tblLook w:val="01E0"/>
                  </w:tblPr>
                  <w:tblGrid>
                    <w:gridCol w:w="2280"/>
                    <w:gridCol w:w="3615"/>
                    <w:gridCol w:w="3612"/>
                  </w:tblGrid>
                  <w:tr>
                    <w:trPr>
                      <w:trHeight w:val="378" w:hRule="atLeast"/>
                    </w:trPr>
                    <w:tc>
                      <w:tcPr>
                        <w:tcW w:w="2280" w:type="dxa"/>
                        <w:tcBorders>
                          <w:left w:val="single" w:sz="6" w:space="0" w:color="3D3D3D"/>
                        </w:tcBorders>
                      </w:tcPr>
                      <w:p>
                        <w:pPr>
                          <w:pStyle w:val="TableParagraph"/>
                          <w:rPr>
                            <w:rFonts w:ascii="Times New Roman"/>
                            <w:sz w:val="24"/>
                          </w:rPr>
                        </w:pPr>
                      </w:p>
                    </w:tc>
                    <w:tc>
                      <w:tcPr>
                        <w:tcW w:w="3615" w:type="dxa"/>
                      </w:tcPr>
                      <w:p>
                        <w:pPr>
                          <w:pStyle w:val="TableParagraph"/>
                          <w:spacing w:before="124"/>
                          <w:ind w:left="5"/>
                          <w:rPr>
                            <w:b/>
                            <w:sz w:val="18"/>
                          </w:rPr>
                        </w:pPr>
                        <w:r>
                          <w:rPr>
                            <w:b/>
                            <w:sz w:val="18"/>
                          </w:rPr>
                          <w:t>加巴喷丁</w:t>
                        </w:r>
                      </w:p>
                    </w:tc>
                    <w:tc>
                      <w:tcPr>
                        <w:tcW w:w="3612" w:type="dxa"/>
                      </w:tcPr>
                      <w:p>
                        <w:pPr>
                          <w:pStyle w:val="TableParagraph"/>
                          <w:spacing w:before="124"/>
                          <w:ind w:left="5"/>
                          <w:rPr>
                            <w:b/>
                            <w:sz w:val="18"/>
                          </w:rPr>
                        </w:pPr>
                        <w:r>
                          <w:rPr>
                            <w:b/>
                            <w:sz w:val="18"/>
                          </w:rPr>
                          <w:t>普瑞巴林</w:t>
                        </w:r>
                      </w:p>
                    </w:tc>
                  </w:tr>
                  <w:tr>
                    <w:trPr>
                      <w:trHeight w:val="381" w:hRule="atLeast"/>
                    </w:trPr>
                    <w:tc>
                      <w:tcPr>
                        <w:tcW w:w="2280" w:type="dxa"/>
                        <w:tcBorders>
                          <w:left w:val="single" w:sz="6" w:space="0" w:color="3D3D3D"/>
                        </w:tcBorders>
                      </w:tcPr>
                      <w:p>
                        <w:pPr>
                          <w:pStyle w:val="TableParagraph"/>
                          <w:spacing w:before="124"/>
                          <w:ind w:left="2"/>
                          <w:rPr>
                            <w:b/>
                            <w:sz w:val="18"/>
                          </w:rPr>
                        </w:pPr>
                        <w:r>
                          <w:rPr>
                            <w:b/>
                            <w:sz w:val="18"/>
                          </w:rPr>
                          <w:t>分子结构</w:t>
                        </w:r>
                      </w:p>
                    </w:tc>
                    <w:tc>
                      <w:tcPr>
                        <w:tcW w:w="3615" w:type="dxa"/>
                      </w:tcPr>
                      <w:p>
                        <w:pPr>
                          <w:pStyle w:val="TableParagraph"/>
                          <w:spacing w:before="124"/>
                          <w:ind w:left="5"/>
                          <w:rPr>
                            <w:sz w:val="18"/>
                          </w:rPr>
                        </w:pPr>
                        <w:r>
                          <w:rPr>
                            <w:sz w:val="18"/>
                          </w:rPr>
                          <w:t>是与 </w:t>
                        </w:r>
                        <w:r>
                          <w:rPr>
                            <w:rFonts w:ascii="Arial" w:hAnsi="Arial" w:eastAsia="Arial"/>
                            <w:sz w:val="18"/>
                          </w:rPr>
                          <w:t>α </w:t>
                        </w:r>
                        <w:r>
                          <w:rPr>
                            <w:sz w:val="18"/>
                          </w:rPr>
                          <w:t>2</w:t>
                        </w:r>
                        <w:r>
                          <w:rPr>
                            <w:rFonts w:ascii="Arial" w:hAnsi="Arial" w:eastAsia="Arial"/>
                            <w:sz w:val="18"/>
                          </w:rPr>
                          <w:t>δ </w:t>
                        </w:r>
                        <w:r>
                          <w:rPr>
                            <w:sz w:val="18"/>
                          </w:rPr>
                          <w:t>亚基结合的第一代药</w:t>
                        </w:r>
                      </w:p>
                    </w:tc>
                    <w:tc>
                      <w:tcPr>
                        <w:tcW w:w="3612" w:type="dxa"/>
                      </w:tcPr>
                      <w:p>
                        <w:pPr>
                          <w:pStyle w:val="TableParagraph"/>
                          <w:spacing w:before="124"/>
                          <w:ind w:left="5"/>
                          <w:rPr>
                            <w:sz w:val="18"/>
                          </w:rPr>
                        </w:pPr>
                        <w:r>
                          <w:rPr>
                            <w:sz w:val="18"/>
                          </w:rPr>
                          <w:t>是与 </w:t>
                        </w:r>
                        <w:r>
                          <w:rPr>
                            <w:rFonts w:ascii="Arial" w:hAnsi="Arial" w:eastAsia="Arial"/>
                            <w:sz w:val="18"/>
                          </w:rPr>
                          <w:t>α </w:t>
                        </w:r>
                        <w:r>
                          <w:rPr>
                            <w:sz w:val="18"/>
                          </w:rPr>
                          <w:t>2</w:t>
                        </w:r>
                        <w:r>
                          <w:rPr>
                            <w:rFonts w:ascii="Arial" w:hAnsi="Arial" w:eastAsia="Arial"/>
                            <w:sz w:val="18"/>
                          </w:rPr>
                          <w:t>δ </w:t>
                        </w:r>
                        <w:r>
                          <w:rPr>
                            <w:sz w:val="18"/>
                          </w:rPr>
                          <w:t>亚基结合的第二代药</w:t>
                        </w:r>
                      </w:p>
                    </w:tc>
                  </w:tr>
                  <w:tr>
                    <w:trPr>
                      <w:trHeight w:val="378" w:hRule="atLeast"/>
                    </w:trPr>
                    <w:tc>
                      <w:tcPr>
                        <w:tcW w:w="2280" w:type="dxa"/>
                        <w:tcBorders>
                          <w:left w:val="single" w:sz="6" w:space="0" w:color="3D3D3D"/>
                        </w:tcBorders>
                      </w:tcPr>
                      <w:p>
                        <w:pPr>
                          <w:pStyle w:val="TableParagraph"/>
                          <w:spacing w:before="124"/>
                          <w:ind w:left="2"/>
                          <w:rPr>
                            <w:b/>
                            <w:sz w:val="18"/>
                          </w:rPr>
                        </w:pPr>
                        <w:r>
                          <w:rPr>
                            <w:b/>
                            <w:sz w:val="18"/>
                          </w:rPr>
                          <w:t>个体间变异</w:t>
                        </w:r>
                      </w:p>
                    </w:tc>
                    <w:tc>
                      <w:tcPr>
                        <w:tcW w:w="3615" w:type="dxa"/>
                      </w:tcPr>
                      <w:p>
                        <w:pPr>
                          <w:pStyle w:val="TableParagraph"/>
                          <w:spacing w:before="124"/>
                          <w:ind w:left="5"/>
                          <w:rPr>
                            <w:sz w:val="18"/>
                          </w:rPr>
                        </w:pPr>
                        <w:r>
                          <w:rPr>
                            <w:sz w:val="18"/>
                          </w:rPr>
                          <w:t>20-30%</w:t>
                        </w:r>
                      </w:p>
                    </w:tc>
                    <w:tc>
                      <w:tcPr>
                        <w:tcW w:w="3612" w:type="dxa"/>
                      </w:tcPr>
                      <w:p>
                        <w:pPr>
                          <w:pStyle w:val="TableParagraph"/>
                          <w:spacing w:before="124"/>
                          <w:ind w:left="5"/>
                          <w:rPr>
                            <w:sz w:val="18"/>
                          </w:rPr>
                        </w:pPr>
                        <w:r>
                          <w:rPr>
                            <w:sz w:val="18"/>
                          </w:rPr>
                          <w:t>10-15%</w:t>
                        </w:r>
                      </w:p>
                    </w:tc>
                  </w:tr>
                  <w:tr>
                    <w:trPr>
                      <w:trHeight w:val="381" w:hRule="atLeast"/>
                    </w:trPr>
                    <w:tc>
                      <w:tcPr>
                        <w:tcW w:w="2280" w:type="dxa"/>
                        <w:tcBorders>
                          <w:left w:val="single" w:sz="6" w:space="0" w:color="3D3D3D"/>
                        </w:tcBorders>
                      </w:tcPr>
                      <w:p>
                        <w:pPr>
                          <w:pStyle w:val="TableParagraph"/>
                          <w:spacing w:before="124"/>
                          <w:ind w:left="2"/>
                          <w:rPr>
                            <w:b/>
                            <w:sz w:val="18"/>
                          </w:rPr>
                        </w:pPr>
                        <w:r>
                          <w:rPr>
                            <w:b/>
                            <w:sz w:val="18"/>
                          </w:rPr>
                          <w:t>封顶效应</w:t>
                        </w:r>
                      </w:p>
                    </w:tc>
                    <w:tc>
                      <w:tcPr>
                        <w:tcW w:w="3615" w:type="dxa"/>
                      </w:tcPr>
                      <w:p>
                        <w:pPr>
                          <w:pStyle w:val="TableParagraph"/>
                          <w:spacing w:before="124"/>
                          <w:ind w:left="5"/>
                          <w:rPr>
                            <w:sz w:val="18"/>
                          </w:rPr>
                        </w:pPr>
                        <w:r>
                          <w:rPr>
                            <w:sz w:val="18"/>
                          </w:rPr>
                          <w:t>存在</w:t>
                        </w:r>
                      </w:p>
                    </w:tc>
                    <w:tc>
                      <w:tcPr>
                        <w:tcW w:w="3612" w:type="dxa"/>
                      </w:tcPr>
                      <w:p>
                        <w:pPr>
                          <w:pStyle w:val="TableParagraph"/>
                          <w:spacing w:before="124"/>
                          <w:ind w:left="5"/>
                          <w:rPr>
                            <w:sz w:val="18"/>
                          </w:rPr>
                        </w:pPr>
                        <w:r>
                          <w:rPr>
                            <w:sz w:val="18"/>
                          </w:rPr>
                          <w:t>不存在</w:t>
                        </w:r>
                      </w:p>
                    </w:tc>
                  </w:tr>
                </w:tbl>
                <w:p>
                  <w:pPr>
                    <w:pStyle w:val="BodyText"/>
                    <w:ind w:left="0"/>
                  </w:pPr>
                </w:p>
              </w:txbxContent>
            </v:textbox>
            <w10:wrap type="none"/>
          </v:shape>
        </w:pict>
      </w:r>
      <w:r>
        <w:rPr/>
        <w:t>加巴喷丁和普瑞巴林的作用机制相似，可与电压门控钙离子通道的</w:t>
      </w:r>
      <w:r>
        <w:rPr>
          <w:rFonts w:ascii="Arial" w:hAnsi="Arial" w:eastAsia="Arial"/>
        </w:rPr>
        <w:t>α </w:t>
      </w:r>
      <w:r>
        <w:rPr/>
        <w:t>2</w:t>
      </w:r>
      <w:r>
        <w:rPr>
          <w:rFonts w:ascii="Arial" w:hAnsi="Arial" w:eastAsia="Arial"/>
        </w:rPr>
        <w:t>δ </w:t>
      </w:r>
      <w:r>
        <w:rPr/>
        <w:t>亚基结合，减少兴奋性神经递质的过度释放，抑制痛觉过敏和中枢敏化。</w:t>
      </w:r>
    </w:p>
    <w:p>
      <w:pPr>
        <w:spacing w:after="0" w:line="295" w:lineRule="auto"/>
        <w:sectPr>
          <w:pgSz w:w="11910" w:h="16850"/>
          <w:pgMar w:header="906" w:footer="607" w:top="1100" w:bottom="800" w:left="1040" w:right="0"/>
        </w:sectPr>
      </w:pPr>
    </w:p>
    <w:tbl>
      <w:tblPr>
        <w:tblW w:w="0" w:type="auto"/>
        <w:jc w:val="left"/>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2280"/>
        <w:gridCol w:w="3615"/>
        <w:gridCol w:w="3612"/>
      </w:tblGrid>
      <w:tr>
        <w:trPr>
          <w:trHeight w:val="376" w:hRule="atLeast"/>
        </w:trPr>
        <w:tc>
          <w:tcPr>
            <w:tcW w:w="2280" w:type="dxa"/>
            <w:tcBorders>
              <w:left w:val="single" w:sz="6" w:space="0" w:color="3D3D3D"/>
              <w:bottom w:val="single" w:sz="4" w:space="0" w:color="3D3D3D"/>
              <w:right w:val="single" w:sz="4" w:space="0" w:color="3D3D3D"/>
            </w:tcBorders>
          </w:tcPr>
          <w:p>
            <w:pPr>
              <w:pStyle w:val="TableParagraph"/>
              <w:spacing w:before="113"/>
              <w:ind w:left="2"/>
              <w:rPr>
                <w:b/>
                <w:sz w:val="18"/>
              </w:rPr>
            </w:pPr>
            <w:r>
              <w:rPr>
                <w:b/>
                <w:sz w:val="18"/>
              </w:rPr>
              <w:t>滴定期</w:t>
            </w:r>
          </w:p>
        </w:tc>
        <w:tc>
          <w:tcPr>
            <w:tcW w:w="3615" w:type="dxa"/>
            <w:tcBorders>
              <w:left w:val="single" w:sz="4" w:space="0" w:color="3D3D3D"/>
              <w:bottom w:val="single" w:sz="4" w:space="0" w:color="3D3D3D"/>
              <w:right w:val="single" w:sz="4" w:space="0" w:color="3D3D3D"/>
            </w:tcBorders>
          </w:tcPr>
          <w:p>
            <w:pPr>
              <w:pStyle w:val="TableParagraph"/>
              <w:spacing w:before="113"/>
              <w:ind w:left="5"/>
              <w:rPr>
                <w:sz w:val="18"/>
              </w:rPr>
            </w:pPr>
            <w:r>
              <w:rPr>
                <w:sz w:val="18"/>
              </w:rPr>
              <w:t>需数周缓慢滴定至有效剂量</w:t>
            </w:r>
          </w:p>
        </w:tc>
        <w:tc>
          <w:tcPr>
            <w:tcW w:w="3612" w:type="dxa"/>
            <w:tcBorders>
              <w:left w:val="single" w:sz="4" w:space="0" w:color="3D3D3D"/>
              <w:bottom w:val="single" w:sz="4" w:space="0" w:color="3D3D3D"/>
              <w:right w:val="single" w:sz="4" w:space="0" w:color="3D3D3D"/>
            </w:tcBorders>
          </w:tcPr>
          <w:p>
            <w:pPr>
              <w:pStyle w:val="TableParagraph"/>
              <w:spacing w:before="113"/>
              <w:ind w:left="5"/>
              <w:rPr>
                <w:sz w:val="18"/>
              </w:rPr>
            </w:pPr>
            <w:r>
              <w:rPr>
                <w:sz w:val="18"/>
              </w:rPr>
              <w:t>5-7 天</w:t>
            </w:r>
          </w:p>
        </w:tc>
      </w:tr>
      <w:tr>
        <w:trPr>
          <w:trHeight w:val="381"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6"/>
              <w:ind w:left="2"/>
              <w:rPr>
                <w:b/>
                <w:sz w:val="18"/>
              </w:rPr>
            </w:pPr>
            <w:r>
              <w:rPr>
                <w:b/>
                <w:sz w:val="18"/>
              </w:rPr>
              <w:t>口服生物利用度</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随剂量增加而降低</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≥90%（与剂量无关）</w:t>
            </w:r>
          </w:p>
        </w:tc>
      </w:tr>
      <w:tr>
        <w:trPr>
          <w:trHeight w:val="378"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6"/>
              <w:ind w:left="2"/>
              <w:rPr>
                <w:b/>
                <w:sz w:val="18"/>
              </w:rPr>
            </w:pPr>
            <w:r>
              <w:rPr>
                <w:b/>
                <w:sz w:val="18"/>
              </w:rPr>
              <w:t>进餐影晌</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不受</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不受</w:t>
            </w:r>
          </w:p>
        </w:tc>
      </w:tr>
      <w:tr>
        <w:trPr>
          <w:trHeight w:val="381"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6"/>
              <w:ind w:left="2"/>
              <w:rPr>
                <w:b/>
                <w:sz w:val="18"/>
              </w:rPr>
            </w:pPr>
            <w:r>
              <w:rPr>
                <w:b/>
                <w:sz w:val="18"/>
              </w:rPr>
              <w:t>吸收</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慢</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快</w:t>
            </w:r>
          </w:p>
        </w:tc>
      </w:tr>
      <w:tr>
        <w:trPr>
          <w:trHeight w:val="378"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6"/>
              <w:ind w:left="2"/>
              <w:rPr>
                <w:b/>
                <w:sz w:val="18"/>
              </w:rPr>
            </w:pPr>
            <w:r>
              <w:rPr>
                <w:b/>
                <w:sz w:val="18"/>
              </w:rPr>
              <w:t>是否与血浆蛋白结合</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不与</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不与</w:t>
            </w:r>
          </w:p>
        </w:tc>
      </w:tr>
      <w:tr>
        <w:trPr>
          <w:trHeight w:val="381"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6"/>
              <w:ind w:left="2"/>
              <w:rPr>
                <w:b/>
                <w:sz w:val="18"/>
              </w:rPr>
            </w:pPr>
            <w:r>
              <w:rPr>
                <w:b/>
                <w:sz w:val="18"/>
              </w:rPr>
              <w:t>达峰时间</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3-4h</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&lt;1h</w:t>
            </w:r>
          </w:p>
        </w:tc>
      </w:tr>
      <w:tr>
        <w:trPr>
          <w:trHeight w:val="378"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6"/>
              <w:ind w:left="2"/>
              <w:rPr>
                <w:b/>
                <w:sz w:val="18"/>
              </w:rPr>
            </w:pPr>
            <w:r>
              <w:rPr>
                <w:b/>
                <w:sz w:val="18"/>
              </w:rPr>
              <w:t>半衰期</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5-7h</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Pr>
                <w:sz w:val="18"/>
              </w:rPr>
            </w:pPr>
            <w:r>
              <w:rPr>
                <w:sz w:val="18"/>
              </w:rPr>
              <w:t>约 6.3h</w:t>
            </w:r>
          </w:p>
        </w:tc>
      </w:tr>
      <w:tr>
        <w:trPr>
          <w:trHeight w:val="760"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rPr>
                <w:sz w:val="24"/>
              </w:rPr>
            </w:pPr>
          </w:p>
          <w:p>
            <w:pPr>
              <w:pStyle w:val="TableParagraph"/>
              <w:ind w:left="2"/>
              <w:rPr>
                <w:b/>
                <w:sz w:val="18"/>
              </w:rPr>
            </w:pPr>
            <w:r>
              <w:rPr>
                <w:b/>
                <w:sz w:val="18"/>
              </w:rPr>
              <w:t>排泄途径</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ight="-15"/>
              <w:rPr>
                <w:sz w:val="18"/>
              </w:rPr>
            </w:pPr>
            <w:r>
              <w:rPr>
                <w:sz w:val="18"/>
              </w:rPr>
              <w:t>体内几乎不代谢，主要由肾清除，大部分药物</w:t>
            </w:r>
          </w:p>
          <w:p>
            <w:pPr>
              <w:pStyle w:val="TableParagraph"/>
              <w:spacing w:before="150"/>
              <w:ind w:left="5"/>
              <w:rPr>
                <w:sz w:val="18"/>
              </w:rPr>
            </w:pPr>
            <w:r>
              <w:rPr>
                <w:sz w:val="18"/>
              </w:rPr>
              <w:t>以原型经尿排出。</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rPr>
                <w:sz w:val="24"/>
              </w:rPr>
            </w:pPr>
          </w:p>
          <w:p>
            <w:pPr>
              <w:pStyle w:val="TableParagraph"/>
              <w:ind w:left="5" w:right="-101"/>
              <w:rPr>
                <w:sz w:val="18"/>
              </w:rPr>
            </w:pPr>
            <w:r>
              <w:rPr>
                <w:sz w:val="18"/>
              </w:rPr>
              <w:t>在体内几乎不代谢，98%</w:t>
            </w:r>
            <w:r>
              <w:rPr>
                <w:spacing w:val="-3"/>
                <w:sz w:val="18"/>
              </w:rPr>
              <w:t>以原型药物经尿排出。</w:t>
            </w:r>
          </w:p>
        </w:tc>
      </w:tr>
      <w:tr>
        <w:trPr>
          <w:trHeight w:val="1140"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rPr>
                <w:sz w:val="18"/>
              </w:rPr>
            </w:pPr>
          </w:p>
          <w:p>
            <w:pPr>
              <w:pStyle w:val="TableParagraph"/>
              <w:spacing w:before="11"/>
              <w:rPr>
                <w:sz w:val="20"/>
              </w:rPr>
            </w:pPr>
          </w:p>
          <w:p>
            <w:pPr>
              <w:pStyle w:val="TableParagraph"/>
              <w:ind w:left="2"/>
              <w:rPr>
                <w:b/>
                <w:sz w:val="18"/>
              </w:rPr>
            </w:pPr>
            <w:r>
              <w:rPr>
                <w:b/>
                <w:sz w:val="18"/>
              </w:rPr>
              <w:t>特点</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ight="-15"/>
              <w:rPr>
                <w:sz w:val="18"/>
              </w:rPr>
            </w:pPr>
            <w:r>
              <w:rPr>
                <w:sz w:val="18"/>
              </w:rPr>
              <w:t>呈非线性药代动力学，服药后的药代动力学无</w:t>
            </w:r>
          </w:p>
          <w:p>
            <w:pPr>
              <w:pStyle w:val="TableParagraph"/>
              <w:spacing w:line="380" w:lineRule="atLeast" w:before="2"/>
              <w:ind w:left="5" w:right="-15"/>
              <w:rPr>
                <w:sz w:val="18"/>
              </w:rPr>
            </w:pPr>
            <w:r>
              <w:rPr>
                <w:sz w:val="18"/>
              </w:rPr>
              <w:t>法预测，血药浓度达稳态后不随剂量增加而增高。</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6"/>
              <w:ind w:left="5" w:right="-15"/>
              <w:rPr>
                <w:sz w:val="18"/>
              </w:rPr>
            </w:pPr>
            <w:r>
              <w:rPr>
                <w:sz w:val="18"/>
              </w:rPr>
              <w:t>呈线性药代动力学，即具有非饱和吸收优势，</w:t>
            </w:r>
          </w:p>
          <w:p>
            <w:pPr>
              <w:pStyle w:val="TableParagraph"/>
              <w:spacing w:line="380" w:lineRule="atLeast" w:before="2"/>
              <w:ind w:left="5" w:right="-15"/>
              <w:rPr>
                <w:sz w:val="18"/>
              </w:rPr>
            </w:pPr>
            <w:r>
              <w:rPr>
                <w:sz w:val="18"/>
              </w:rPr>
              <w:t>药物剂量反应关系曲线较陡峭，血药浓度可随剂量的增加而增高。</w:t>
            </w:r>
          </w:p>
        </w:tc>
      </w:tr>
      <w:tr>
        <w:trPr>
          <w:trHeight w:val="381" w:hRule="atLeast"/>
        </w:trPr>
        <w:tc>
          <w:tcPr>
            <w:tcW w:w="2280" w:type="dxa"/>
            <w:tcBorders>
              <w:top w:val="single" w:sz="4" w:space="0" w:color="3D3D3D"/>
              <w:left w:val="single" w:sz="6" w:space="0" w:color="3D3D3D"/>
              <w:bottom w:val="single" w:sz="4" w:space="0" w:color="3D3D3D"/>
              <w:right w:val="single" w:sz="4" w:space="0" w:color="3D3D3D"/>
            </w:tcBorders>
          </w:tcPr>
          <w:p>
            <w:pPr>
              <w:pStyle w:val="TableParagraph"/>
              <w:spacing w:before="115"/>
              <w:ind w:left="2"/>
              <w:rPr>
                <w:b/>
                <w:sz w:val="18"/>
              </w:rPr>
            </w:pPr>
            <w:r>
              <w:rPr>
                <w:b/>
                <w:sz w:val="18"/>
              </w:rPr>
              <w:t>不良反应</w:t>
            </w:r>
          </w:p>
        </w:tc>
        <w:tc>
          <w:tcPr>
            <w:tcW w:w="3615" w:type="dxa"/>
            <w:tcBorders>
              <w:top w:val="single" w:sz="4" w:space="0" w:color="3D3D3D"/>
              <w:left w:val="single" w:sz="4" w:space="0" w:color="3D3D3D"/>
              <w:bottom w:val="single" w:sz="4" w:space="0" w:color="3D3D3D"/>
              <w:right w:val="single" w:sz="4" w:space="0" w:color="3D3D3D"/>
            </w:tcBorders>
          </w:tcPr>
          <w:p>
            <w:pPr>
              <w:pStyle w:val="TableParagraph"/>
              <w:spacing w:before="115"/>
              <w:ind w:left="5"/>
              <w:rPr>
                <w:sz w:val="18"/>
              </w:rPr>
            </w:pPr>
            <w:r>
              <w:rPr>
                <w:sz w:val="18"/>
              </w:rPr>
              <w:t>呈剂量依赖性</w:t>
            </w:r>
          </w:p>
        </w:tc>
        <w:tc>
          <w:tcPr>
            <w:tcW w:w="3612" w:type="dxa"/>
            <w:tcBorders>
              <w:top w:val="single" w:sz="4" w:space="0" w:color="3D3D3D"/>
              <w:left w:val="single" w:sz="4" w:space="0" w:color="3D3D3D"/>
              <w:bottom w:val="single" w:sz="4" w:space="0" w:color="3D3D3D"/>
              <w:right w:val="single" w:sz="4" w:space="0" w:color="3D3D3D"/>
            </w:tcBorders>
          </w:tcPr>
          <w:p>
            <w:pPr>
              <w:pStyle w:val="TableParagraph"/>
              <w:spacing w:before="115"/>
              <w:ind w:left="5"/>
              <w:rPr>
                <w:sz w:val="18"/>
              </w:rPr>
            </w:pPr>
            <w:r>
              <w:rPr>
                <w:sz w:val="18"/>
              </w:rPr>
              <w:t>呈剂量依赖性</w:t>
            </w:r>
          </w:p>
        </w:tc>
      </w:tr>
      <w:tr>
        <w:trPr>
          <w:trHeight w:val="760" w:hRule="atLeast"/>
        </w:trPr>
        <w:tc>
          <w:tcPr>
            <w:tcW w:w="9507" w:type="dxa"/>
            <w:gridSpan w:val="3"/>
            <w:tcBorders>
              <w:top w:val="single" w:sz="4" w:space="0" w:color="3D3D3D"/>
              <w:left w:val="single" w:sz="6" w:space="0" w:color="3D3D3D"/>
              <w:bottom w:val="single" w:sz="4" w:space="0" w:color="3D3D3D"/>
              <w:right w:val="single" w:sz="4" w:space="0" w:color="3D3D3D"/>
            </w:tcBorders>
          </w:tcPr>
          <w:p>
            <w:pPr>
              <w:pStyle w:val="TableParagraph"/>
              <w:spacing w:before="115"/>
              <w:ind w:left="2" w:right="-15"/>
              <w:rPr>
                <w:sz w:val="18"/>
              </w:rPr>
            </w:pPr>
            <w:r>
              <w:rPr>
                <w:spacing w:val="-4"/>
                <w:sz w:val="18"/>
              </w:rPr>
              <w:t>普瑞巴林在药物代谢动力学方面相比加巴喷丁有明显优势。与加巴喷丁相比，其增强了与 </w:t>
            </w:r>
            <w:r>
              <w:rPr>
                <w:rFonts w:ascii="Arial" w:hAnsi="Arial" w:eastAsia="Arial"/>
                <w:sz w:val="18"/>
              </w:rPr>
              <w:t>α</w:t>
            </w:r>
            <w:r>
              <w:rPr>
                <w:rFonts w:ascii="Arial" w:hAnsi="Arial" w:eastAsia="Arial"/>
                <w:spacing w:val="25"/>
                <w:sz w:val="18"/>
              </w:rPr>
              <w:t> </w:t>
            </w:r>
            <w:r>
              <w:rPr>
                <w:sz w:val="18"/>
              </w:rPr>
              <w:t>2</w:t>
            </w:r>
            <w:r>
              <w:rPr>
                <w:rFonts w:ascii="Arial" w:hAnsi="Arial" w:eastAsia="Arial"/>
                <w:sz w:val="18"/>
              </w:rPr>
              <w:t>δ</w:t>
            </w:r>
            <w:r>
              <w:rPr>
                <w:rFonts w:ascii="Arial" w:hAnsi="Arial" w:eastAsia="Arial"/>
                <w:spacing w:val="25"/>
                <w:sz w:val="18"/>
              </w:rPr>
              <w:t> </w:t>
            </w:r>
            <w:r>
              <w:rPr>
                <w:spacing w:val="-3"/>
                <w:sz w:val="18"/>
              </w:rPr>
              <w:t>亚基的亲和力，口服生物</w:t>
            </w:r>
          </w:p>
          <w:p>
            <w:pPr>
              <w:pStyle w:val="TableParagraph"/>
              <w:spacing w:before="149"/>
              <w:ind w:left="2"/>
              <w:rPr>
                <w:sz w:val="18"/>
              </w:rPr>
            </w:pPr>
            <w:r>
              <w:rPr>
                <w:sz w:val="18"/>
              </w:rPr>
              <w:t>利用度较高，滴定和起效更快，药代动力学表现为线性，疗效可预估。</w:t>
            </w:r>
          </w:p>
        </w:tc>
      </w:tr>
    </w:tbl>
    <w:p>
      <w:pPr>
        <w:pStyle w:val="Heading3"/>
        <w:numPr>
          <w:ilvl w:val="1"/>
          <w:numId w:val="3"/>
        </w:numPr>
        <w:tabs>
          <w:tab w:pos="959" w:val="left" w:leader="none"/>
        </w:tabs>
        <w:spacing w:line="240" w:lineRule="auto" w:before="56" w:after="0"/>
        <w:ind w:left="958" w:right="0" w:hanging="242"/>
        <w:jc w:val="left"/>
        <w:rPr>
          <w:rFonts w:ascii="宋体" w:eastAsia="宋体" w:hint="eastAsia"/>
        </w:rPr>
      </w:pPr>
      <w:r>
        <w:rPr>
          <w:rFonts w:ascii="宋体" w:eastAsia="宋体" w:hint="eastAsia"/>
        </w:rPr>
        <w:t>神经病理性疼痛</w:t>
      </w:r>
    </w:p>
    <w:p>
      <w:pPr>
        <w:pStyle w:val="BodyText"/>
        <w:spacing w:line="297" w:lineRule="auto" w:before="71"/>
        <w:ind w:right="1006" w:firstLine="480"/>
      </w:pPr>
      <w:r>
        <w:rPr>
          <w:spacing w:val="-5"/>
        </w:rPr>
        <w:t>神经病理性疼痛是由于外周神经或中枢神经受损，痛觉传递神经纤维或疼痛中枢产生异</w:t>
      </w:r>
      <w:r>
        <w:rPr>
          <w:spacing w:val="-10"/>
        </w:rPr>
        <w:t>常神经冲动所致，分为外周神经病理性疼痛和中枢神经病理性疼痛。常表现为刺痛、烧灼样</w:t>
      </w:r>
      <w:r>
        <w:rPr>
          <w:spacing w:val="-17"/>
        </w:rPr>
        <w:t>痛、放电样痛、枪击样疼痛、麻木痛、麻刺痛、幻觉痛、中枢性坠胀痛，常合并自发性疼痛、</w:t>
      </w:r>
      <w:r>
        <w:rPr>
          <w:spacing w:val="-9"/>
        </w:rPr>
        <w:t>触诱发痛、痛觉过敏和痛觉超敏。常见类型有糖尿病性周围神经病理性疼痛、带状疱疹后神</w:t>
      </w:r>
      <w:r>
        <w:rPr>
          <w:spacing w:val="-12"/>
        </w:rPr>
        <w:t>经痛、三叉神经痛、放化疗后神经病变、癌痛、脑卒中后疼痛、恶性肿瘤性骨痛、脊髓损伤性疼痛等。</w:t>
      </w:r>
    </w:p>
    <w:p>
      <w:pPr>
        <w:pStyle w:val="BodyText"/>
        <w:spacing w:line="297" w:lineRule="auto"/>
        <w:ind w:right="1130"/>
        <w:jc w:val="both"/>
      </w:pPr>
      <w:r>
        <w:rPr>
          <w:spacing w:val="-6"/>
        </w:rPr>
        <w:t>加巴喷丁和普瑞巴林可用于放电样疼痛或电击样疼痛、烧灼痛、撕裂痛、枪击样疼痛或针刺</w:t>
      </w:r>
      <w:r>
        <w:rPr>
          <w:spacing w:val="-11"/>
        </w:rPr>
        <w:t>样剧痛等。不良反应为嗜睡和头晕，遵循夜间起始、逐渐加量和缓慢减量的原则。此外，与</w:t>
      </w:r>
      <w:r>
        <w:rPr/>
        <w:t>加巴喷丁相比，普瑞巴林治疗带状疱疹后神经痛疗效更优。</w:t>
      </w:r>
    </w:p>
    <w:p>
      <w:pPr>
        <w:pStyle w:val="Heading3"/>
        <w:spacing w:line="304" w:lineRule="exact"/>
        <w:ind w:left="710"/>
        <w:rPr>
          <w:rFonts w:ascii="宋体" w:eastAsia="宋体" w:hint="eastAsia"/>
        </w:rPr>
      </w:pPr>
      <w:r>
        <w:rPr>
          <w:rFonts w:ascii="宋体" w:eastAsia="宋体" w:hint="eastAsia"/>
        </w:rPr>
        <w:t>温馨提醒</w:t>
      </w:r>
    </w:p>
    <w:p>
      <w:pPr>
        <w:pStyle w:val="BodyText"/>
        <w:spacing w:line="297" w:lineRule="auto" w:before="65"/>
        <w:ind w:right="1007" w:firstLine="480"/>
      </w:pPr>
      <w:r>
        <w:rPr>
          <w:spacing w:val="-7"/>
        </w:rPr>
        <w:t>抗抑郁药如选择性 </w:t>
      </w:r>
      <w:r>
        <w:rPr/>
        <w:t>5-羟色胺再摄取抑制剂、5-羟色胺和去甲肾上腺素再摄取双重抑制</w:t>
      </w:r>
      <w:r>
        <w:rPr>
          <w:spacing w:val="-5"/>
        </w:rPr>
        <w:t>剂及三环抗抑郁药</w:t>
      </w:r>
      <w:r>
        <w:rPr/>
        <w:t>（如阿米替林</w:t>
      </w:r>
      <w:r>
        <w:rPr>
          <w:spacing w:val="-36"/>
        </w:rPr>
        <w:t>）</w:t>
      </w:r>
      <w:r>
        <w:rPr>
          <w:spacing w:val="-15"/>
        </w:rPr>
        <w:t>等，用于麻木样痛、灼痛、坠胀痛等表现，此外阿米替林、</w:t>
      </w:r>
      <w:r>
        <w:rPr/>
        <w:t>度洛西汀及文拉法辛等也可改善心情和睡眠。</w:t>
      </w:r>
    </w:p>
    <w:p>
      <w:pPr>
        <w:pStyle w:val="Heading3"/>
        <w:numPr>
          <w:ilvl w:val="1"/>
          <w:numId w:val="3"/>
        </w:numPr>
        <w:tabs>
          <w:tab w:pos="959" w:val="left" w:leader="none"/>
        </w:tabs>
        <w:spacing w:line="304" w:lineRule="exact" w:before="0" w:after="0"/>
        <w:ind w:left="958" w:right="0" w:hanging="242"/>
        <w:jc w:val="left"/>
        <w:rPr>
          <w:rFonts w:ascii="宋体" w:eastAsia="宋体" w:hint="eastAsia"/>
        </w:rPr>
      </w:pPr>
      <w:r>
        <w:rPr>
          <w:rFonts w:ascii="宋体" w:eastAsia="宋体" w:hint="eastAsia"/>
        </w:rPr>
        <w:t>瘙痒症</w:t>
      </w:r>
    </w:p>
    <w:p>
      <w:pPr>
        <w:pStyle w:val="BodyText"/>
        <w:spacing w:line="295" w:lineRule="auto" w:before="74"/>
        <w:ind w:right="1127" w:firstLine="480"/>
        <w:jc w:val="both"/>
      </w:pPr>
      <w:r>
        <w:rPr>
          <w:spacing w:val="-6"/>
        </w:rPr>
        <w:t>瘙痒或痒是一种激发欲望去搔抓的感觉，是一种常见的症状。慢性瘙痒通常持续时间超</w:t>
      </w:r>
      <w:r>
        <w:rPr>
          <w:spacing w:val="-30"/>
        </w:rPr>
        <w:t>过 </w:t>
      </w:r>
      <w:r>
        <w:rPr/>
        <w:t>6</w:t>
      </w:r>
      <w:r>
        <w:rPr>
          <w:spacing w:val="-14"/>
        </w:rPr>
        <w:t> 周。引发原因通常为皮肤源性、系统疾病、神经源性及精神源性等，还与年龄、生理及代谢特点有关。</w:t>
      </w:r>
    </w:p>
    <w:p>
      <w:pPr>
        <w:pStyle w:val="BodyText"/>
        <w:spacing w:line="295" w:lineRule="auto" w:before="6"/>
        <w:ind w:right="1127" w:firstLine="480"/>
      </w:pPr>
      <w:r>
        <w:rPr>
          <w:spacing w:val="-6"/>
        </w:rPr>
        <w:t>加巴喷丁和普瑞巴林可抑制神经去极化，可用于神经病理性瘙痒、肱桡肌瘙痒症、胆汁</w:t>
      </w:r>
      <w:r>
        <w:rPr/>
        <w:t>淤积性瘙痒、慢性肾病相关性瘙痒症、瘢痕相关的瘙痒和不明原因的瘙痒症。</w:t>
      </w:r>
    </w:p>
    <w:p>
      <w:pPr>
        <w:pStyle w:val="Heading3"/>
        <w:spacing w:before="1" w:after="10"/>
        <w:ind w:left="719"/>
        <w:rPr>
          <w:rFonts w:ascii="宋体" w:eastAsia="宋体" w:hint="eastAsia"/>
        </w:rPr>
      </w:pPr>
      <w:r>
        <w:rPr>
          <w:rFonts w:ascii="宋体" w:eastAsia="宋体" w:hint="eastAsia"/>
        </w:rPr>
        <w:t>肾功能不全者用量</w:t>
      </w:r>
    </w:p>
    <w:tbl>
      <w:tblPr>
        <w:tblW w:w="0" w:type="auto"/>
        <w:jc w:val="left"/>
        <w:tblInd w:w="242" w:type="dxa"/>
        <w:tblBorders>
          <w:top w:val="single" w:sz="4" w:space="0" w:color="3D3D3D"/>
          <w:left w:val="single" w:sz="4" w:space="0" w:color="3D3D3D"/>
          <w:bottom w:val="single" w:sz="4" w:space="0" w:color="3D3D3D"/>
          <w:right w:val="single" w:sz="4" w:space="0" w:color="3D3D3D"/>
          <w:insideH w:val="single" w:sz="4" w:space="0" w:color="3D3D3D"/>
          <w:insideV w:val="single" w:sz="4" w:space="0" w:color="3D3D3D"/>
        </w:tblBorders>
        <w:tblLayout w:type="fixed"/>
        <w:tblCellMar>
          <w:top w:w="0" w:type="dxa"/>
          <w:left w:w="0" w:type="dxa"/>
          <w:bottom w:w="0" w:type="dxa"/>
          <w:right w:w="0" w:type="dxa"/>
        </w:tblCellMar>
        <w:tblLook w:val="01E0"/>
      </w:tblPr>
      <w:tblGrid>
        <w:gridCol w:w="960"/>
        <w:gridCol w:w="2880"/>
        <w:gridCol w:w="2880"/>
        <w:gridCol w:w="2787"/>
      </w:tblGrid>
      <w:tr>
        <w:trPr>
          <w:trHeight w:val="378" w:hRule="atLeast"/>
        </w:trPr>
        <w:tc>
          <w:tcPr>
            <w:tcW w:w="960" w:type="dxa"/>
            <w:tcBorders>
              <w:left w:val="single" w:sz="6" w:space="0" w:color="3D3D3D"/>
            </w:tcBorders>
          </w:tcPr>
          <w:p>
            <w:pPr>
              <w:pStyle w:val="TableParagraph"/>
              <w:rPr>
                <w:rFonts w:ascii="Times New Roman"/>
                <w:sz w:val="20"/>
              </w:rPr>
            </w:pPr>
          </w:p>
        </w:tc>
        <w:tc>
          <w:tcPr>
            <w:tcW w:w="2880" w:type="dxa"/>
          </w:tcPr>
          <w:p>
            <w:pPr>
              <w:pStyle w:val="TableParagraph"/>
              <w:spacing w:before="124"/>
              <w:ind w:left="2"/>
              <w:rPr>
                <w:b/>
                <w:sz w:val="18"/>
              </w:rPr>
            </w:pPr>
            <w:r>
              <w:rPr>
                <w:b/>
                <w:sz w:val="18"/>
              </w:rPr>
              <w:t>Ccr≥60ml/min</w:t>
            </w:r>
          </w:p>
        </w:tc>
        <w:tc>
          <w:tcPr>
            <w:tcW w:w="2880" w:type="dxa"/>
          </w:tcPr>
          <w:p>
            <w:pPr>
              <w:pStyle w:val="TableParagraph"/>
              <w:spacing w:before="124"/>
              <w:ind w:left="5"/>
              <w:rPr>
                <w:b/>
                <w:sz w:val="18"/>
              </w:rPr>
            </w:pPr>
            <w:r>
              <w:rPr>
                <w:b/>
                <w:sz w:val="18"/>
              </w:rPr>
              <w:t>Ccr 15-60ml/min</w:t>
            </w:r>
          </w:p>
        </w:tc>
        <w:tc>
          <w:tcPr>
            <w:tcW w:w="2787" w:type="dxa"/>
          </w:tcPr>
          <w:p>
            <w:pPr>
              <w:pStyle w:val="TableParagraph"/>
              <w:spacing w:before="124"/>
              <w:ind w:left="6"/>
              <w:rPr>
                <w:b/>
                <w:sz w:val="18"/>
              </w:rPr>
            </w:pPr>
            <w:r>
              <w:rPr>
                <w:b/>
                <w:sz w:val="18"/>
              </w:rPr>
              <w:t>Ccr＜15ml/min</w:t>
            </w:r>
          </w:p>
        </w:tc>
      </w:tr>
      <w:tr>
        <w:trPr>
          <w:trHeight w:val="381" w:hRule="atLeast"/>
        </w:trPr>
        <w:tc>
          <w:tcPr>
            <w:tcW w:w="960" w:type="dxa"/>
            <w:tcBorders>
              <w:left w:val="single" w:sz="6" w:space="0" w:color="3D3D3D"/>
            </w:tcBorders>
          </w:tcPr>
          <w:p>
            <w:pPr>
              <w:pStyle w:val="TableParagraph"/>
              <w:spacing w:before="124"/>
              <w:ind w:left="2"/>
              <w:rPr>
                <w:sz w:val="18"/>
              </w:rPr>
            </w:pPr>
            <w:r>
              <w:rPr>
                <w:sz w:val="18"/>
              </w:rPr>
              <w:t>加巴喷丁</w:t>
            </w:r>
          </w:p>
        </w:tc>
        <w:tc>
          <w:tcPr>
            <w:tcW w:w="2880" w:type="dxa"/>
          </w:tcPr>
          <w:p>
            <w:pPr>
              <w:pStyle w:val="TableParagraph"/>
              <w:spacing w:before="124"/>
              <w:ind w:left="2"/>
              <w:rPr>
                <w:sz w:val="18"/>
              </w:rPr>
            </w:pPr>
            <w:r>
              <w:rPr>
                <w:sz w:val="18"/>
              </w:rPr>
              <w:t>原剂量</w:t>
            </w:r>
          </w:p>
        </w:tc>
        <w:tc>
          <w:tcPr>
            <w:tcW w:w="2880" w:type="dxa"/>
          </w:tcPr>
          <w:p>
            <w:pPr>
              <w:pStyle w:val="TableParagraph"/>
              <w:spacing w:before="124"/>
              <w:ind w:left="5"/>
              <w:rPr>
                <w:sz w:val="18"/>
              </w:rPr>
            </w:pPr>
            <w:r>
              <w:rPr>
                <w:sz w:val="18"/>
              </w:rPr>
              <w:t>减量至 10-30%</w:t>
            </w:r>
          </w:p>
        </w:tc>
        <w:tc>
          <w:tcPr>
            <w:tcW w:w="2787" w:type="dxa"/>
          </w:tcPr>
          <w:p>
            <w:pPr>
              <w:pStyle w:val="TableParagraph"/>
              <w:spacing w:before="124"/>
              <w:ind w:left="6"/>
              <w:rPr>
                <w:sz w:val="18"/>
              </w:rPr>
            </w:pPr>
            <w:r>
              <w:rPr>
                <w:sz w:val="18"/>
              </w:rPr>
              <w:t>慎用</w:t>
            </w:r>
          </w:p>
        </w:tc>
      </w:tr>
    </w:tbl>
    <w:p>
      <w:pPr>
        <w:spacing w:after="0"/>
        <w:rPr>
          <w:sz w:val="18"/>
        </w:rPr>
        <w:sectPr>
          <w:headerReference w:type="default" r:id="rId16"/>
          <w:footerReference w:type="default" r:id="rId17"/>
          <w:pgSz w:w="11910" w:h="16850"/>
          <w:pgMar w:header="0" w:footer="607" w:top="1100" w:bottom="800" w:left="1040" w:right="0"/>
          <w:pgNumType w:start="19"/>
        </w:sectPr>
      </w:pPr>
    </w:p>
    <w:tbl>
      <w:tblPr>
        <w:tblW w:w="0" w:type="auto"/>
        <w:jc w:val="left"/>
        <w:tblInd w:w="2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60"/>
        <w:gridCol w:w="2880"/>
        <w:gridCol w:w="2880"/>
        <w:gridCol w:w="2787"/>
      </w:tblGrid>
      <w:tr>
        <w:trPr>
          <w:trHeight w:val="376" w:hRule="atLeast"/>
        </w:trPr>
        <w:tc>
          <w:tcPr>
            <w:tcW w:w="960" w:type="dxa"/>
            <w:tcBorders>
              <w:left w:val="single" w:sz="6" w:space="0" w:color="3D3D3D"/>
              <w:bottom w:val="single" w:sz="4" w:space="0" w:color="3D3D3D"/>
              <w:right w:val="single" w:sz="4" w:space="0" w:color="3D3D3D"/>
            </w:tcBorders>
          </w:tcPr>
          <w:p>
            <w:pPr>
              <w:pStyle w:val="TableParagraph"/>
              <w:spacing w:before="113"/>
              <w:ind w:left="2"/>
              <w:rPr>
                <w:sz w:val="18"/>
              </w:rPr>
            </w:pPr>
            <w:r>
              <w:rPr>
                <w:sz w:val="18"/>
              </w:rPr>
              <w:t>普瑞巴林</w:t>
            </w:r>
          </w:p>
        </w:tc>
        <w:tc>
          <w:tcPr>
            <w:tcW w:w="2880" w:type="dxa"/>
            <w:tcBorders>
              <w:left w:val="single" w:sz="4" w:space="0" w:color="3D3D3D"/>
              <w:bottom w:val="single" w:sz="4" w:space="0" w:color="3D3D3D"/>
              <w:right w:val="single" w:sz="4" w:space="0" w:color="3D3D3D"/>
            </w:tcBorders>
          </w:tcPr>
          <w:p>
            <w:pPr>
              <w:pStyle w:val="TableParagraph"/>
              <w:spacing w:before="113"/>
              <w:ind w:left="2"/>
              <w:rPr>
                <w:sz w:val="18"/>
              </w:rPr>
            </w:pPr>
            <w:r>
              <w:rPr>
                <w:sz w:val="18"/>
              </w:rPr>
              <w:t>原剂量</w:t>
            </w:r>
          </w:p>
        </w:tc>
        <w:tc>
          <w:tcPr>
            <w:tcW w:w="2880" w:type="dxa"/>
            <w:tcBorders>
              <w:left w:val="single" w:sz="4" w:space="0" w:color="3D3D3D"/>
              <w:bottom w:val="single" w:sz="4" w:space="0" w:color="3D3D3D"/>
              <w:right w:val="single" w:sz="4" w:space="0" w:color="3D3D3D"/>
            </w:tcBorders>
          </w:tcPr>
          <w:p>
            <w:pPr>
              <w:pStyle w:val="TableParagraph"/>
              <w:spacing w:before="113"/>
              <w:ind w:left="5"/>
              <w:rPr>
                <w:sz w:val="18"/>
              </w:rPr>
            </w:pPr>
            <w:r>
              <w:rPr>
                <w:sz w:val="18"/>
              </w:rPr>
              <w:t>减量至 25-50%</w:t>
            </w:r>
          </w:p>
        </w:tc>
        <w:tc>
          <w:tcPr>
            <w:tcW w:w="2787" w:type="dxa"/>
            <w:tcBorders>
              <w:left w:val="single" w:sz="4" w:space="0" w:color="3D3D3D"/>
              <w:bottom w:val="single" w:sz="4" w:space="0" w:color="3D3D3D"/>
              <w:right w:val="single" w:sz="4" w:space="0" w:color="3D3D3D"/>
            </w:tcBorders>
          </w:tcPr>
          <w:p>
            <w:pPr>
              <w:pStyle w:val="TableParagraph"/>
              <w:spacing w:before="113"/>
              <w:ind w:left="6"/>
              <w:rPr>
                <w:sz w:val="18"/>
              </w:rPr>
            </w:pPr>
            <w:r>
              <w:rPr>
                <w:sz w:val="18"/>
              </w:rPr>
              <w:t>慎用</w:t>
            </w:r>
          </w:p>
        </w:tc>
      </w:tr>
    </w:tbl>
    <w:p>
      <w:pPr>
        <w:pStyle w:val="ListParagraph"/>
        <w:numPr>
          <w:ilvl w:val="1"/>
          <w:numId w:val="3"/>
        </w:numPr>
        <w:tabs>
          <w:tab w:pos="959" w:val="left" w:leader="none"/>
        </w:tabs>
        <w:spacing w:line="240" w:lineRule="auto" w:before="56" w:after="0"/>
        <w:ind w:left="958" w:right="0" w:hanging="242"/>
        <w:jc w:val="left"/>
        <w:rPr>
          <w:b/>
          <w:sz w:val="24"/>
        </w:rPr>
      </w:pPr>
      <w:r>
        <w:rPr>
          <w:b/>
          <w:w w:val="95"/>
          <w:sz w:val="24"/>
        </w:rPr>
        <w:t>围手术期疼痛</w:t>
      </w:r>
    </w:p>
    <w:p>
      <w:pPr>
        <w:pStyle w:val="BodyText"/>
        <w:spacing w:line="295" w:lineRule="auto" w:before="74"/>
        <w:ind w:right="1127" w:firstLine="480"/>
        <w:jc w:val="both"/>
      </w:pPr>
      <w:r>
        <w:rPr/>
        <w:pict>
          <v:shape style="position:absolute;margin-left:63.360001pt;margin-top:57.460011pt;width:476.15pt;height:211pt;mso-position-horizontal-relative:page;mso-position-vertical-relative:paragraph;z-index:251664384" type="#_x0000_t202" filled="false" stroked="false">
            <v:textbox inset="0,0,0,0">
              <w:txbxContent>
                <w:tbl>
                  <w:tblPr>
                    <w:tblW w:w="0" w:type="auto"/>
                    <w:jc w:val="left"/>
                    <w:tblInd w:w="7" w:type="dxa"/>
                    <w:tblBorders>
                      <w:top w:val="single" w:sz="4" w:space="0" w:color="3D3D3D"/>
                      <w:left w:val="single" w:sz="4" w:space="0" w:color="3D3D3D"/>
                      <w:bottom w:val="single" w:sz="4" w:space="0" w:color="3D3D3D"/>
                      <w:right w:val="single" w:sz="4" w:space="0" w:color="3D3D3D"/>
                      <w:insideH w:val="single" w:sz="4" w:space="0" w:color="3D3D3D"/>
                      <w:insideV w:val="single" w:sz="4" w:space="0" w:color="3D3D3D"/>
                    </w:tblBorders>
                    <w:tblLayout w:type="fixed"/>
                    <w:tblCellMar>
                      <w:top w:w="0" w:type="dxa"/>
                      <w:left w:w="0" w:type="dxa"/>
                      <w:bottom w:w="0" w:type="dxa"/>
                      <w:right w:w="0" w:type="dxa"/>
                    </w:tblCellMar>
                    <w:tblLook w:val="01E0"/>
                  </w:tblPr>
                  <w:tblGrid>
                    <w:gridCol w:w="951"/>
                    <w:gridCol w:w="4281"/>
                    <w:gridCol w:w="4278"/>
                  </w:tblGrid>
                  <w:tr>
                    <w:trPr>
                      <w:trHeight w:val="378" w:hRule="atLeast"/>
                    </w:trPr>
                    <w:tc>
                      <w:tcPr>
                        <w:tcW w:w="951" w:type="dxa"/>
                        <w:tcBorders>
                          <w:left w:val="single" w:sz="6" w:space="0" w:color="3D3D3D"/>
                        </w:tcBorders>
                      </w:tcPr>
                      <w:p>
                        <w:pPr>
                          <w:pStyle w:val="TableParagraph"/>
                          <w:spacing w:before="124"/>
                          <w:ind w:left="2"/>
                          <w:rPr>
                            <w:b/>
                            <w:sz w:val="18"/>
                          </w:rPr>
                        </w:pPr>
                        <w:r>
                          <w:rPr>
                            <w:b/>
                            <w:sz w:val="18"/>
                          </w:rPr>
                          <w:t>药物</w:t>
                        </w:r>
                      </w:p>
                    </w:tc>
                    <w:tc>
                      <w:tcPr>
                        <w:tcW w:w="4281" w:type="dxa"/>
                      </w:tcPr>
                      <w:p>
                        <w:pPr>
                          <w:pStyle w:val="TableParagraph"/>
                          <w:spacing w:before="124"/>
                          <w:ind w:left="4"/>
                          <w:rPr>
                            <w:b/>
                            <w:sz w:val="18"/>
                          </w:rPr>
                        </w:pPr>
                        <w:r>
                          <w:rPr>
                            <w:b/>
                            <w:sz w:val="18"/>
                          </w:rPr>
                          <w:t>特殊人群的使用</w:t>
                        </w:r>
                      </w:p>
                    </w:tc>
                    <w:tc>
                      <w:tcPr>
                        <w:tcW w:w="4278" w:type="dxa"/>
                      </w:tcPr>
                      <w:p>
                        <w:pPr>
                          <w:pStyle w:val="TableParagraph"/>
                          <w:spacing w:before="124"/>
                          <w:ind w:left="1"/>
                          <w:rPr>
                            <w:b/>
                            <w:sz w:val="18"/>
                          </w:rPr>
                        </w:pPr>
                        <w:r>
                          <w:rPr>
                            <w:b/>
                            <w:sz w:val="18"/>
                          </w:rPr>
                          <w:t>药物相互作用</w:t>
                        </w:r>
                      </w:p>
                    </w:tc>
                  </w:tr>
                  <w:tr>
                    <w:trPr>
                      <w:trHeight w:val="430" w:hRule="atLeast"/>
                    </w:trPr>
                    <w:tc>
                      <w:tcPr>
                        <w:tcW w:w="951" w:type="dxa"/>
                        <w:tcBorders>
                          <w:left w:val="single" w:sz="6" w:space="0" w:color="3D3D3D"/>
                          <w:bottom w:val="nil"/>
                        </w:tcBorders>
                      </w:tcPr>
                      <w:p>
                        <w:pPr>
                          <w:pStyle w:val="TableParagraph"/>
                          <w:rPr>
                            <w:rFonts w:ascii="Times New Roman"/>
                            <w:sz w:val="20"/>
                          </w:rPr>
                        </w:pPr>
                      </w:p>
                    </w:tc>
                    <w:tc>
                      <w:tcPr>
                        <w:tcW w:w="4281" w:type="dxa"/>
                        <w:tcBorders>
                          <w:bottom w:val="nil"/>
                        </w:tcBorders>
                      </w:tcPr>
                      <w:p>
                        <w:pPr>
                          <w:pStyle w:val="TableParagraph"/>
                          <w:rPr>
                            <w:rFonts w:ascii="Times New Roman"/>
                            <w:sz w:val="20"/>
                          </w:rPr>
                        </w:pPr>
                      </w:p>
                    </w:tc>
                    <w:tc>
                      <w:tcPr>
                        <w:tcW w:w="4278" w:type="dxa"/>
                        <w:tcBorders>
                          <w:bottom w:val="nil"/>
                        </w:tcBorders>
                      </w:tcPr>
                      <w:p>
                        <w:pPr>
                          <w:pStyle w:val="TableParagraph"/>
                          <w:spacing w:before="124"/>
                          <w:ind w:left="1" w:right="-15"/>
                          <w:rPr>
                            <w:sz w:val="18"/>
                          </w:rPr>
                        </w:pPr>
                        <w:r>
                          <w:rPr>
                            <w:spacing w:val="-4"/>
                            <w:sz w:val="18"/>
                          </w:rPr>
                          <w:t>①可协同阿片类药物的呼吸抑制作用，增加术后早期呼</w:t>
                        </w:r>
                      </w:p>
                    </w:tc>
                  </w:tr>
                  <w:tr>
                    <w:trPr>
                      <w:trHeight w:val="287" w:hRule="atLeast"/>
                    </w:trPr>
                    <w:tc>
                      <w:tcPr>
                        <w:tcW w:w="951" w:type="dxa"/>
                        <w:tcBorders>
                          <w:top w:val="nil"/>
                          <w:left w:val="single" w:sz="6" w:space="0" w:color="3D3D3D"/>
                          <w:bottom w:val="nil"/>
                        </w:tcBorders>
                      </w:tcPr>
                      <w:p>
                        <w:pPr>
                          <w:pStyle w:val="TableParagraph"/>
                          <w:rPr>
                            <w:rFonts w:ascii="Times New Roman"/>
                            <w:sz w:val="20"/>
                          </w:rPr>
                        </w:pPr>
                      </w:p>
                    </w:tc>
                    <w:tc>
                      <w:tcPr>
                        <w:tcW w:w="4281" w:type="dxa"/>
                        <w:tcBorders>
                          <w:top w:val="nil"/>
                          <w:bottom w:val="nil"/>
                        </w:tcBorders>
                      </w:tcPr>
                      <w:p>
                        <w:pPr>
                          <w:pStyle w:val="TableParagraph"/>
                          <w:rPr>
                            <w:rFonts w:ascii="Times New Roman"/>
                            <w:sz w:val="20"/>
                          </w:rPr>
                        </w:pPr>
                      </w:p>
                    </w:tc>
                    <w:tc>
                      <w:tcPr>
                        <w:tcW w:w="4278" w:type="dxa"/>
                        <w:tcBorders>
                          <w:top w:val="nil"/>
                          <w:bottom w:val="nil"/>
                        </w:tcBorders>
                      </w:tcPr>
                      <w:p>
                        <w:pPr>
                          <w:pStyle w:val="TableParagraph"/>
                          <w:spacing w:line="193" w:lineRule="exact" w:before="75"/>
                          <w:ind w:left="1"/>
                          <w:rPr>
                            <w:sz w:val="18"/>
                          </w:rPr>
                        </w:pPr>
                        <w:r>
                          <w:rPr>
                            <w:sz w:val="18"/>
                          </w:rPr>
                          <w:t>吸抑制的发生率；</w:t>
                        </w:r>
                      </w:p>
                    </w:tc>
                  </w:tr>
                  <w:tr>
                    <w:trPr>
                      <w:trHeight w:val="189"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spacing w:line="170" w:lineRule="exact"/>
                          <w:ind w:left="4"/>
                          <w:rPr>
                            <w:sz w:val="18"/>
                          </w:rPr>
                        </w:pPr>
                        <w:r>
                          <w:rPr>
                            <w:sz w:val="18"/>
                          </w:rPr>
                          <w:t>①禁用于严重心衰者。</w:t>
                        </w:r>
                      </w:p>
                    </w:tc>
                    <w:tc>
                      <w:tcPr>
                        <w:tcW w:w="4278" w:type="dxa"/>
                        <w:tcBorders>
                          <w:top w:val="nil"/>
                          <w:bottom w:val="nil"/>
                        </w:tcBorders>
                      </w:tcPr>
                      <w:p>
                        <w:pPr>
                          <w:pStyle w:val="TableParagraph"/>
                          <w:rPr>
                            <w:rFonts w:ascii="Times New Roman"/>
                            <w:sz w:val="12"/>
                          </w:rPr>
                        </w:pPr>
                      </w:p>
                    </w:tc>
                  </w:tr>
                  <w:tr>
                    <w:trPr>
                      <w:trHeight w:val="189" w:hRule="atLeast"/>
                    </w:trPr>
                    <w:tc>
                      <w:tcPr>
                        <w:tcW w:w="951" w:type="dxa"/>
                        <w:tcBorders>
                          <w:top w:val="nil"/>
                          <w:left w:val="single" w:sz="6" w:space="0" w:color="3D3D3D"/>
                          <w:bottom w:val="nil"/>
                        </w:tcBorders>
                      </w:tcPr>
                      <w:p>
                        <w:pPr>
                          <w:pStyle w:val="TableParagraph"/>
                          <w:spacing w:line="170" w:lineRule="exact"/>
                          <w:ind w:left="2"/>
                          <w:rPr>
                            <w:sz w:val="18"/>
                          </w:rPr>
                        </w:pPr>
                        <w:r>
                          <w:rPr>
                            <w:sz w:val="18"/>
                          </w:rPr>
                          <w:t>加巴喷丁</w:t>
                        </w:r>
                      </w:p>
                    </w:tc>
                    <w:tc>
                      <w:tcPr>
                        <w:tcW w:w="4281" w:type="dxa"/>
                        <w:tcBorders>
                          <w:top w:val="nil"/>
                          <w:bottom w:val="nil"/>
                        </w:tcBorders>
                      </w:tcPr>
                      <w:p>
                        <w:pPr>
                          <w:pStyle w:val="TableParagraph"/>
                          <w:rPr>
                            <w:rFonts w:ascii="Times New Roman"/>
                            <w:sz w:val="12"/>
                          </w:rPr>
                        </w:pPr>
                      </w:p>
                    </w:tc>
                    <w:tc>
                      <w:tcPr>
                        <w:tcW w:w="4278" w:type="dxa"/>
                        <w:tcBorders>
                          <w:top w:val="nil"/>
                          <w:bottom w:val="nil"/>
                        </w:tcBorders>
                      </w:tcPr>
                      <w:p>
                        <w:pPr>
                          <w:pStyle w:val="TableParagraph"/>
                          <w:spacing w:line="170" w:lineRule="exact"/>
                          <w:ind w:left="1" w:right="-15"/>
                          <w:rPr>
                            <w:sz w:val="18"/>
                          </w:rPr>
                        </w:pPr>
                        <w:r>
                          <w:rPr>
                            <w:spacing w:val="-4"/>
                            <w:sz w:val="18"/>
                          </w:rPr>
                          <w:t>②与镇静药合用时，可增加头晕、嗜睡、疲倦等不良反</w:t>
                        </w:r>
                      </w:p>
                    </w:tc>
                  </w:tr>
                  <w:tr>
                    <w:trPr>
                      <w:trHeight w:val="189"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spacing w:line="170" w:lineRule="exact"/>
                          <w:ind w:left="4" w:right="-15"/>
                          <w:rPr>
                            <w:sz w:val="18"/>
                          </w:rPr>
                        </w:pPr>
                        <w:r>
                          <w:rPr>
                            <w:spacing w:val="-5"/>
                            <w:sz w:val="18"/>
                          </w:rPr>
                          <w:t>②呼吸抑制作用与用量有关，尤其是老年患者，老年患</w:t>
                        </w:r>
                      </w:p>
                    </w:tc>
                    <w:tc>
                      <w:tcPr>
                        <w:tcW w:w="4278" w:type="dxa"/>
                        <w:tcBorders>
                          <w:top w:val="nil"/>
                          <w:bottom w:val="nil"/>
                        </w:tcBorders>
                      </w:tcPr>
                      <w:p>
                        <w:pPr>
                          <w:pStyle w:val="TableParagraph"/>
                          <w:rPr>
                            <w:rFonts w:ascii="Times New Roman"/>
                            <w:sz w:val="12"/>
                          </w:rPr>
                        </w:pPr>
                      </w:p>
                    </w:tc>
                  </w:tr>
                  <w:tr>
                    <w:trPr>
                      <w:trHeight w:val="190"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rPr>
                            <w:rFonts w:ascii="Times New Roman"/>
                            <w:sz w:val="12"/>
                          </w:rPr>
                        </w:pPr>
                      </w:p>
                    </w:tc>
                    <w:tc>
                      <w:tcPr>
                        <w:tcW w:w="4278" w:type="dxa"/>
                        <w:tcBorders>
                          <w:top w:val="nil"/>
                          <w:bottom w:val="nil"/>
                        </w:tcBorders>
                      </w:tcPr>
                      <w:p>
                        <w:pPr>
                          <w:pStyle w:val="TableParagraph"/>
                          <w:spacing w:line="171" w:lineRule="exact"/>
                          <w:ind w:left="1"/>
                          <w:rPr>
                            <w:sz w:val="18"/>
                          </w:rPr>
                        </w:pPr>
                        <w:r>
                          <w:rPr>
                            <w:sz w:val="18"/>
                          </w:rPr>
                          <w:t>应。</w:t>
                        </w:r>
                      </w:p>
                    </w:tc>
                  </w:tr>
                  <w:tr>
                    <w:trPr>
                      <w:trHeight w:val="190"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spacing w:line="171" w:lineRule="exact"/>
                          <w:ind w:left="4"/>
                          <w:rPr>
                            <w:sz w:val="18"/>
                          </w:rPr>
                        </w:pPr>
                        <w:r>
                          <w:rPr>
                            <w:sz w:val="18"/>
                          </w:rPr>
                          <w:t>者术前口服加巴喷丁/普瑞巴林，术中阿片类药物应减</w:t>
                        </w:r>
                      </w:p>
                    </w:tc>
                    <w:tc>
                      <w:tcPr>
                        <w:tcW w:w="4278" w:type="dxa"/>
                        <w:tcBorders>
                          <w:top w:val="nil"/>
                          <w:bottom w:val="nil"/>
                        </w:tcBorders>
                      </w:tcPr>
                      <w:p>
                        <w:pPr>
                          <w:pStyle w:val="TableParagraph"/>
                          <w:rPr>
                            <w:rFonts w:ascii="Times New Roman"/>
                            <w:sz w:val="12"/>
                          </w:rPr>
                        </w:pPr>
                      </w:p>
                    </w:tc>
                  </w:tr>
                  <w:tr>
                    <w:trPr>
                      <w:trHeight w:val="189" w:hRule="atLeast"/>
                    </w:trPr>
                    <w:tc>
                      <w:tcPr>
                        <w:tcW w:w="951" w:type="dxa"/>
                        <w:vMerge w:val="restart"/>
                        <w:tcBorders>
                          <w:top w:val="nil"/>
                          <w:left w:val="single" w:sz="6" w:space="0" w:color="3D3D3D"/>
                          <w:bottom w:val="nil"/>
                        </w:tcBorders>
                      </w:tcPr>
                      <w:p>
                        <w:pPr>
                          <w:pStyle w:val="TableParagraph"/>
                          <w:rPr>
                            <w:rFonts w:ascii="Times New Roman"/>
                            <w:sz w:val="14"/>
                          </w:rPr>
                        </w:pPr>
                      </w:p>
                    </w:tc>
                    <w:tc>
                      <w:tcPr>
                        <w:tcW w:w="4281" w:type="dxa"/>
                        <w:tcBorders>
                          <w:top w:val="nil"/>
                          <w:bottom w:val="nil"/>
                        </w:tcBorders>
                      </w:tcPr>
                      <w:p>
                        <w:pPr>
                          <w:pStyle w:val="TableParagraph"/>
                          <w:rPr>
                            <w:rFonts w:ascii="Times New Roman"/>
                            <w:sz w:val="12"/>
                          </w:rPr>
                        </w:pPr>
                      </w:p>
                    </w:tc>
                    <w:tc>
                      <w:tcPr>
                        <w:tcW w:w="4278" w:type="dxa"/>
                        <w:vMerge w:val="restart"/>
                        <w:tcBorders>
                          <w:top w:val="nil"/>
                          <w:bottom w:val="nil"/>
                        </w:tcBorders>
                      </w:tcPr>
                      <w:p>
                        <w:pPr>
                          <w:pStyle w:val="TableParagraph"/>
                          <w:spacing w:line="184" w:lineRule="exact"/>
                          <w:ind w:left="1"/>
                          <w:rPr>
                            <w:sz w:val="18"/>
                          </w:rPr>
                        </w:pPr>
                        <w:r>
                          <w:rPr>
                            <w:sz w:val="18"/>
                          </w:rPr>
                          <w:t>③抑酸药可减少加巴喷丁从胃肠道的吸收。</w:t>
                        </w:r>
                      </w:p>
                    </w:tc>
                  </w:tr>
                  <w:tr>
                    <w:trPr>
                      <w:trHeight w:val="41" w:hRule="atLeast"/>
                    </w:trPr>
                    <w:tc>
                      <w:tcPr>
                        <w:tcW w:w="951" w:type="dxa"/>
                        <w:vMerge/>
                        <w:tcBorders>
                          <w:top w:val="nil"/>
                          <w:left w:val="single" w:sz="6" w:space="0" w:color="3D3D3D"/>
                          <w:bottom w:val="nil"/>
                        </w:tcBorders>
                      </w:tcPr>
                      <w:p>
                        <w:pPr>
                          <w:rPr>
                            <w:sz w:val="2"/>
                            <w:szCs w:val="2"/>
                          </w:rPr>
                        </w:pPr>
                      </w:p>
                    </w:tc>
                    <w:tc>
                      <w:tcPr>
                        <w:tcW w:w="4281" w:type="dxa"/>
                        <w:vMerge w:val="restart"/>
                        <w:tcBorders>
                          <w:top w:val="nil"/>
                          <w:bottom w:val="nil"/>
                        </w:tcBorders>
                      </w:tcPr>
                      <w:p>
                        <w:pPr>
                          <w:pStyle w:val="TableParagraph"/>
                          <w:spacing w:line="174" w:lineRule="exact"/>
                          <w:ind w:left="4"/>
                          <w:rPr>
                            <w:sz w:val="18"/>
                          </w:rPr>
                        </w:pPr>
                        <w:r>
                          <w:rPr>
                            <w:sz w:val="18"/>
                          </w:rPr>
                          <w:t>量，以减少术后呼吸抑制的发生。</w:t>
                        </w:r>
                      </w:p>
                    </w:tc>
                    <w:tc>
                      <w:tcPr>
                        <w:tcW w:w="4278" w:type="dxa"/>
                        <w:vMerge/>
                        <w:tcBorders>
                          <w:top w:val="nil"/>
                          <w:bottom w:val="nil"/>
                        </w:tcBorders>
                      </w:tcPr>
                      <w:p>
                        <w:pPr>
                          <w:rPr>
                            <w:sz w:val="2"/>
                            <w:szCs w:val="2"/>
                          </w:rPr>
                        </w:pPr>
                      </w:p>
                    </w:tc>
                  </w:tr>
                  <w:tr>
                    <w:trPr>
                      <w:trHeight w:val="142" w:hRule="atLeast"/>
                    </w:trPr>
                    <w:tc>
                      <w:tcPr>
                        <w:tcW w:w="951" w:type="dxa"/>
                        <w:tcBorders>
                          <w:left w:val="single" w:sz="6" w:space="0" w:color="3D3D3D"/>
                          <w:bottom w:val="nil"/>
                        </w:tcBorders>
                      </w:tcPr>
                      <w:p>
                        <w:pPr>
                          <w:pStyle w:val="TableParagraph"/>
                          <w:rPr>
                            <w:rFonts w:ascii="Times New Roman"/>
                            <w:sz w:val="8"/>
                          </w:rPr>
                        </w:pPr>
                      </w:p>
                    </w:tc>
                    <w:tc>
                      <w:tcPr>
                        <w:tcW w:w="4281" w:type="dxa"/>
                        <w:vMerge/>
                        <w:tcBorders>
                          <w:top w:val="nil"/>
                          <w:bottom w:val="nil"/>
                        </w:tcBorders>
                      </w:tcPr>
                      <w:p>
                        <w:pPr>
                          <w:rPr>
                            <w:sz w:val="2"/>
                            <w:szCs w:val="2"/>
                          </w:rPr>
                        </w:pPr>
                      </w:p>
                    </w:tc>
                    <w:tc>
                      <w:tcPr>
                        <w:tcW w:w="4278" w:type="dxa"/>
                        <w:tcBorders>
                          <w:bottom w:val="nil"/>
                        </w:tcBorders>
                      </w:tcPr>
                      <w:p>
                        <w:pPr>
                          <w:pStyle w:val="TableParagraph"/>
                          <w:rPr>
                            <w:rFonts w:ascii="Times New Roman"/>
                            <w:sz w:val="8"/>
                          </w:rPr>
                        </w:pPr>
                      </w:p>
                    </w:tc>
                  </w:tr>
                  <w:tr>
                    <w:trPr>
                      <w:trHeight w:val="189"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rPr>
                            <w:rFonts w:ascii="Times New Roman"/>
                            <w:sz w:val="12"/>
                          </w:rPr>
                        </w:pPr>
                      </w:p>
                    </w:tc>
                    <w:tc>
                      <w:tcPr>
                        <w:tcW w:w="4278" w:type="dxa"/>
                        <w:tcBorders>
                          <w:top w:val="nil"/>
                          <w:bottom w:val="nil"/>
                        </w:tcBorders>
                      </w:tcPr>
                      <w:p>
                        <w:pPr>
                          <w:pStyle w:val="TableParagraph"/>
                          <w:spacing w:line="170" w:lineRule="exact"/>
                          <w:ind w:left="1" w:right="-15"/>
                          <w:rPr>
                            <w:sz w:val="18"/>
                          </w:rPr>
                        </w:pPr>
                        <w:r>
                          <w:rPr>
                            <w:spacing w:val="-4"/>
                            <w:sz w:val="18"/>
                          </w:rPr>
                          <w:t>①可协同阿片类药物的呼吸抑制作用，增加术后早期呼</w:t>
                        </w:r>
                      </w:p>
                    </w:tc>
                  </w:tr>
                  <w:tr>
                    <w:trPr>
                      <w:trHeight w:val="190"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spacing w:line="171" w:lineRule="exact"/>
                          <w:ind w:left="4"/>
                          <w:rPr>
                            <w:sz w:val="18"/>
                          </w:rPr>
                        </w:pPr>
                        <w:r>
                          <w:rPr>
                            <w:sz w:val="18"/>
                          </w:rPr>
                          <w:t>③阻塞性睡眠呼吸暂停综合征者，术前服用加巴喷丁/</w:t>
                        </w:r>
                      </w:p>
                    </w:tc>
                    <w:tc>
                      <w:tcPr>
                        <w:tcW w:w="4278" w:type="dxa"/>
                        <w:tcBorders>
                          <w:top w:val="nil"/>
                          <w:bottom w:val="nil"/>
                        </w:tcBorders>
                      </w:tcPr>
                      <w:p>
                        <w:pPr>
                          <w:pStyle w:val="TableParagraph"/>
                          <w:rPr>
                            <w:rFonts w:ascii="Times New Roman"/>
                            <w:sz w:val="12"/>
                          </w:rPr>
                        </w:pPr>
                      </w:p>
                    </w:tc>
                  </w:tr>
                  <w:tr>
                    <w:trPr>
                      <w:trHeight w:val="190"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rPr>
                            <w:rFonts w:ascii="Times New Roman"/>
                            <w:sz w:val="12"/>
                          </w:rPr>
                        </w:pPr>
                      </w:p>
                    </w:tc>
                    <w:tc>
                      <w:tcPr>
                        <w:tcW w:w="4278" w:type="dxa"/>
                        <w:tcBorders>
                          <w:top w:val="nil"/>
                          <w:bottom w:val="nil"/>
                        </w:tcBorders>
                      </w:tcPr>
                      <w:p>
                        <w:pPr>
                          <w:pStyle w:val="TableParagraph"/>
                          <w:spacing w:line="171" w:lineRule="exact"/>
                          <w:ind w:left="1"/>
                          <w:rPr>
                            <w:sz w:val="18"/>
                          </w:rPr>
                        </w:pPr>
                        <w:r>
                          <w:rPr>
                            <w:sz w:val="18"/>
                          </w:rPr>
                          <w:t>吸抑制的发生率。</w:t>
                        </w:r>
                      </w:p>
                    </w:tc>
                  </w:tr>
                  <w:tr>
                    <w:trPr>
                      <w:trHeight w:val="189" w:hRule="atLeast"/>
                    </w:trPr>
                    <w:tc>
                      <w:tcPr>
                        <w:tcW w:w="951" w:type="dxa"/>
                        <w:tcBorders>
                          <w:top w:val="nil"/>
                          <w:left w:val="single" w:sz="6" w:space="0" w:color="3D3D3D"/>
                          <w:bottom w:val="nil"/>
                        </w:tcBorders>
                      </w:tcPr>
                      <w:p>
                        <w:pPr>
                          <w:pStyle w:val="TableParagraph"/>
                          <w:rPr>
                            <w:rFonts w:ascii="Times New Roman"/>
                            <w:sz w:val="12"/>
                          </w:rPr>
                        </w:pPr>
                      </w:p>
                    </w:tc>
                    <w:tc>
                      <w:tcPr>
                        <w:tcW w:w="4281" w:type="dxa"/>
                        <w:tcBorders>
                          <w:top w:val="nil"/>
                          <w:bottom w:val="nil"/>
                        </w:tcBorders>
                      </w:tcPr>
                      <w:p>
                        <w:pPr>
                          <w:pStyle w:val="TableParagraph"/>
                          <w:spacing w:line="170" w:lineRule="exact"/>
                          <w:ind w:left="4"/>
                          <w:rPr>
                            <w:sz w:val="18"/>
                          </w:rPr>
                        </w:pPr>
                        <w:r>
                          <w:rPr>
                            <w:sz w:val="18"/>
                          </w:rPr>
                          <w:t>普瑞巴林可增加术后呼吸抑制的发生率。</w:t>
                        </w:r>
                      </w:p>
                    </w:tc>
                    <w:tc>
                      <w:tcPr>
                        <w:tcW w:w="4278" w:type="dxa"/>
                        <w:tcBorders>
                          <w:top w:val="nil"/>
                          <w:bottom w:val="nil"/>
                        </w:tcBorders>
                      </w:tcPr>
                      <w:p>
                        <w:pPr>
                          <w:pStyle w:val="TableParagraph"/>
                          <w:rPr>
                            <w:rFonts w:ascii="Times New Roman"/>
                            <w:sz w:val="12"/>
                          </w:rPr>
                        </w:pPr>
                      </w:p>
                    </w:tc>
                  </w:tr>
                  <w:tr>
                    <w:trPr>
                      <w:trHeight w:val="286" w:hRule="atLeast"/>
                    </w:trPr>
                    <w:tc>
                      <w:tcPr>
                        <w:tcW w:w="951" w:type="dxa"/>
                        <w:tcBorders>
                          <w:top w:val="nil"/>
                          <w:left w:val="single" w:sz="6" w:space="0" w:color="3D3D3D"/>
                          <w:bottom w:val="nil"/>
                        </w:tcBorders>
                      </w:tcPr>
                      <w:p>
                        <w:pPr>
                          <w:pStyle w:val="TableParagraph"/>
                          <w:spacing w:line="213" w:lineRule="exact"/>
                          <w:ind w:left="2"/>
                          <w:rPr>
                            <w:sz w:val="18"/>
                          </w:rPr>
                        </w:pPr>
                        <w:r>
                          <w:rPr>
                            <w:sz w:val="18"/>
                          </w:rPr>
                          <w:t>普瑞巴林</w:t>
                        </w:r>
                      </w:p>
                    </w:tc>
                    <w:tc>
                      <w:tcPr>
                        <w:tcW w:w="4281" w:type="dxa"/>
                        <w:tcBorders>
                          <w:top w:val="nil"/>
                          <w:bottom w:val="nil"/>
                        </w:tcBorders>
                      </w:tcPr>
                      <w:p>
                        <w:pPr>
                          <w:pStyle w:val="TableParagraph"/>
                          <w:rPr>
                            <w:rFonts w:ascii="Times New Roman"/>
                            <w:sz w:val="20"/>
                          </w:rPr>
                        </w:pPr>
                      </w:p>
                    </w:tc>
                    <w:tc>
                      <w:tcPr>
                        <w:tcW w:w="4278" w:type="dxa"/>
                        <w:tcBorders>
                          <w:top w:val="nil"/>
                          <w:bottom w:val="nil"/>
                        </w:tcBorders>
                      </w:tcPr>
                      <w:p>
                        <w:pPr>
                          <w:pStyle w:val="TableParagraph"/>
                          <w:spacing w:line="213" w:lineRule="exact"/>
                          <w:ind w:left="1" w:right="-15"/>
                          <w:rPr>
                            <w:sz w:val="18"/>
                          </w:rPr>
                        </w:pPr>
                        <w:r>
                          <w:rPr>
                            <w:spacing w:val="-5"/>
                            <w:sz w:val="18"/>
                          </w:rPr>
                          <w:t>②常见不良反应有头晕、嗜睡、视觉障碍、外周水肿和</w:t>
                        </w:r>
                      </w:p>
                    </w:tc>
                  </w:tr>
                  <w:tr>
                    <w:trPr>
                      <w:trHeight w:val="380" w:hRule="atLeast"/>
                    </w:trPr>
                    <w:tc>
                      <w:tcPr>
                        <w:tcW w:w="951" w:type="dxa"/>
                        <w:tcBorders>
                          <w:top w:val="nil"/>
                          <w:left w:val="single" w:sz="6" w:space="0" w:color="3D3D3D"/>
                          <w:bottom w:val="nil"/>
                        </w:tcBorders>
                      </w:tcPr>
                      <w:p>
                        <w:pPr>
                          <w:pStyle w:val="TableParagraph"/>
                          <w:rPr>
                            <w:rFonts w:ascii="Times New Roman"/>
                            <w:sz w:val="20"/>
                          </w:rPr>
                        </w:pPr>
                      </w:p>
                    </w:tc>
                    <w:tc>
                      <w:tcPr>
                        <w:tcW w:w="4281" w:type="dxa"/>
                        <w:tcBorders>
                          <w:top w:val="nil"/>
                          <w:bottom w:val="nil"/>
                        </w:tcBorders>
                      </w:tcPr>
                      <w:p>
                        <w:pPr>
                          <w:pStyle w:val="TableParagraph"/>
                          <w:rPr>
                            <w:rFonts w:ascii="Times New Roman"/>
                            <w:sz w:val="20"/>
                          </w:rPr>
                        </w:pPr>
                      </w:p>
                    </w:tc>
                    <w:tc>
                      <w:tcPr>
                        <w:tcW w:w="4278" w:type="dxa"/>
                        <w:tcBorders>
                          <w:top w:val="nil"/>
                          <w:bottom w:val="nil"/>
                        </w:tcBorders>
                      </w:tcPr>
                      <w:p>
                        <w:pPr>
                          <w:pStyle w:val="TableParagraph"/>
                          <w:spacing w:before="74"/>
                          <w:ind w:left="1" w:right="-15"/>
                          <w:rPr>
                            <w:sz w:val="18"/>
                          </w:rPr>
                        </w:pPr>
                        <w:r>
                          <w:rPr>
                            <w:spacing w:val="-8"/>
                            <w:sz w:val="18"/>
                          </w:rPr>
                          <w:t>体重增加。与噻唑烷二酮类抗糖尿病药物合用时应关注</w:t>
                        </w:r>
                      </w:p>
                    </w:tc>
                  </w:tr>
                  <w:tr>
                    <w:trPr>
                      <w:trHeight w:val="329" w:hRule="atLeast"/>
                    </w:trPr>
                    <w:tc>
                      <w:tcPr>
                        <w:tcW w:w="951" w:type="dxa"/>
                        <w:tcBorders>
                          <w:top w:val="nil"/>
                          <w:left w:val="single" w:sz="6" w:space="0" w:color="3D3D3D"/>
                        </w:tcBorders>
                      </w:tcPr>
                      <w:p>
                        <w:pPr>
                          <w:pStyle w:val="TableParagraph"/>
                          <w:rPr>
                            <w:rFonts w:ascii="Times New Roman"/>
                            <w:sz w:val="20"/>
                          </w:rPr>
                        </w:pPr>
                      </w:p>
                    </w:tc>
                    <w:tc>
                      <w:tcPr>
                        <w:tcW w:w="4281" w:type="dxa"/>
                        <w:tcBorders>
                          <w:top w:val="nil"/>
                        </w:tcBorders>
                      </w:tcPr>
                      <w:p>
                        <w:pPr>
                          <w:pStyle w:val="TableParagraph"/>
                          <w:rPr>
                            <w:rFonts w:ascii="Times New Roman"/>
                            <w:sz w:val="20"/>
                          </w:rPr>
                        </w:pPr>
                      </w:p>
                    </w:tc>
                    <w:tc>
                      <w:tcPr>
                        <w:tcW w:w="4278" w:type="dxa"/>
                        <w:tcBorders>
                          <w:top w:val="nil"/>
                        </w:tcBorders>
                      </w:tcPr>
                      <w:p>
                        <w:pPr>
                          <w:pStyle w:val="TableParagraph"/>
                          <w:spacing w:before="75"/>
                          <w:ind w:left="1"/>
                          <w:rPr>
                            <w:sz w:val="18"/>
                          </w:rPr>
                        </w:pPr>
                        <w:r>
                          <w:rPr>
                            <w:sz w:val="18"/>
                          </w:rPr>
                          <w:t>病情变化。</w:t>
                        </w:r>
                      </w:p>
                    </w:tc>
                  </w:tr>
                </w:tbl>
                <w:p>
                  <w:pPr>
                    <w:pStyle w:val="BodyText"/>
                    <w:ind w:left="0"/>
                  </w:pPr>
                </w:p>
              </w:txbxContent>
            </v:textbox>
            <w10:wrap type="none"/>
          </v:shape>
        </w:pict>
      </w:r>
      <w:r>
        <w:rPr>
          <w:spacing w:val="-6"/>
        </w:rPr>
        <w:t>加巴喷丁与普瑞巴林作为多模式镇痛的组成成分，可减轻手术后疼痛，降低术后阿片类</w:t>
      </w:r>
      <w:r>
        <w:rPr>
          <w:spacing w:val="-8"/>
        </w:rPr>
        <w:t>药物的用量和疼痛评分，并有抑制中枢或外周疼痛敏化作用。此外，手术前晚口服普瑞巴林</w:t>
      </w:r>
      <w:r>
        <w:rPr/>
        <w:t>可改善睡眠，减轻患者焦虑。</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Heading3"/>
        <w:spacing w:before="182"/>
        <w:ind w:left="237"/>
        <w:rPr>
          <w:rFonts w:ascii="Meiryo" w:eastAsia="Meiryo" w:hint="eastAsia"/>
        </w:rPr>
      </w:pPr>
      <w:r>
        <w:rPr>
          <w:rFonts w:ascii="Meiryo" w:eastAsia="Meiryo" w:hint="eastAsia"/>
          <w:color w:val="0033CC"/>
        </w:rPr>
        <w:t>[返回目次]</w:t>
      </w:r>
    </w:p>
    <w:p>
      <w:pPr>
        <w:pStyle w:val="Heading2"/>
        <w:spacing w:before="192"/>
        <w:ind w:left="1130"/>
      </w:pPr>
      <w:bookmarkStart w:name="_TOC_250023" w:id="20"/>
      <w:bookmarkEnd w:id="20"/>
      <w:r>
        <w:rPr/>
        <w:t>载万古霉素骨水泥的人体局部释放及全身药物浓度监测</w:t>
      </w:r>
    </w:p>
    <w:p>
      <w:pPr>
        <w:spacing w:before="147"/>
        <w:ind w:left="4610" w:right="0" w:firstLine="0"/>
        <w:jc w:val="left"/>
        <w:rPr>
          <w:rFonts w:ascii="楷体" w:eastAsia="楷体" w:hint="eastAsia"/>
          <w:b/>
          <w:sz w:val="24"/>
        </w:rPr>
      </w:pPr>
      <w:r>
        <w:rPr>
          <w:rFonts w:ascii="楷体" w:eastAsia="楷体" w:hint="eastAsia"/>
          <w:b/>
          <w:color w:val="FF0000"/>
          <w:sz w:val="24"/>
        </w:rPr>
        <w:t>（来源：《中国医院药学杂志》2019 年第 3 期）</w:t>
      </w:r>
    </w:p>
    <w:p>
      <w:pPr>
        <w:tabs>
          <w:tab w:pos="1902" w:val="left" w:leader="none"/>
          <w:tab w:pos="2728" w:val="left" w:leader="none"/>
          <w:tab w:pos="3794" w:val="left" w:leader="none"/>
        </w:tabs>
        <w:spacing w:line="107" w:lineRule="exact" w:before="63"/>
        <w:ind w:left="777" w:right="0" w:firstLine="0"/>
        <w:jc w:val="left"/>
        <w:rPr>
          <w:rFonts w:ascii="楷体"/>
          <w:sz w:val="12"/>
        </w:rPr>
      </w:pPr>
      <w:r>
        <w:rPr/>
        <w:pict>
          <v:shape style="position:absolute;margin-left:63.863998pt;margin-top:4.837499pt;width:174.9pt;height:12pt;mso-position-horizontal-relative:page;mso-position-vertical-relative:paragraph;z-index:-253973504" type="#_x0000_t202" filled="false" stroked="false">
            <v:textbox inset="0,0,0,0">
              <w:txbxContent>
                <w:p>
                  <w:pPr>
                    <w:pStyle w:val="BodyText"/>
                    <w:spacing w:line="240" w:lineRule="exact"/>
                    <w:ind w:left="0"/>
                    <w:rPr>
                      <w:rFonts w:ascii="楷体" w:eastAsia="楷体" w:hint="eastAsia"/>
                    </w:rPr>
                  </w:pPr>
                  <w:r>
                    <w:rPr>
                      <w:rFonts w:ascii="楷体" w:eastAsia="楷体" w:hint="eastAsia"/>
                    </w:rPr>
                    <w:t>毛璐 ，张伯松 ，姜璐 ，齐文渊</w:t>
                  </w:r>
                </w:p>
              </w:txbxContent>
            </v:textbox>
            <w10:wrap type="none"/>
          </v:shape>
        </w:pict>
      </w:r>
      <w:r>
        <w:rPr>
          <w:rFonts w:ascii="楷体"/>
          <w:sz w:val="12"/>
        </w:rPr>
        <w:t>1*</w:t>
        <w:tab/>
        <w:t>2</w:t>
        <w:tab/>
        <w:t>1</w:t>
        <w:tab/>
        <w:t>3</w:t>
      </w:r>
    </w:p>
    <w:p>
      <w:pPr>
        <w:spacing w:line="184" w:lineRule="exact" w:before="0"/>
        <w:ind w:left="3854" w:right="0" w:firstLine="0"/>
        <w:jc w:val="left"/>
        <w:rPr>
          <w:sz w:val="18"/>
        </w:rPr>
      </w:pPr>
      <w:r>
        <w:rPr>
          <w:sz w:val="18"/>
        </w:rPr>
        <w:t>（1 北京积水潭医院 药剂科 2 北京积水潭医院 创伤骨科 北京 100035，3</w:t>
      </w:r>
    </w:p>
    <w:p>
      <w:pPr>
        <w:spacing w:before="110"/>
        <w:ind w:left="237" w:right="0" w:firstLine="0"/>
        <w:jc w:val="left"/>
        <w:rPr>
          <w:sz w:val="18"/>
        </w:rPr>
      </w:pPr>
      <w:r>
        <w:rPr>
          <w:sz w:val="18"/>
        </w:rPr>
        <w:t>北京医院 临床试验研究中心 北京 100730）</w:t>
      </w:r>
    </w:p>
    <w:p>
      <w:pPr>
        <w:spacing w:line="355" w:lineRule="auto" w:before="107"/>
        <w:ind w:left="237" w:right="1126" w:firstLine="91"/>
        <w:jc w:val="left"/>
        <w:rPr>
          <w:rFonts w:ascii="楷体" w:hAnsi="楷体" w:eastAsia="楷体" w:hint="eastAsia"/>
          <w:sz w:val="18"/>
        </w:rPr>
      </w:pPr>
      <w:r>
        <w:rPr>
          <w:rFonts w:ascii="黑体" w:hAnsi="黑体" w:eastAsia="黑体" w:hint="eastAsia"/>
          <w:spacing w:val="-1"/>
          <w:sz w:val="18"/>
        </w:rPr>
        <w:t>[摘要] 目的</w:t>
      </w:r>
      <w:r>
        <w:rPr>
          <w:rFonts w:ascii="黑体" w:hAnsi="黑体" w:eastAsia="黑体" w:hint="eastAsia"/>
          <w:b/>
          <w:sz w:val="18"/>
        </w:rPr>
        <w:t>：</w:t>
      </w:r>
      <w:r>
        <w:rPr>
          <w:rFonts w:ascii="楷体" w:hAnsi="楷体" w:eastAsia="楷体" w:hint="eastAsia"/>
          <w:spacing w:val="-1"/>
          <w:sz w:val="18"/>
        </w:rPr>
        <w:t>通过测定载万古霉素骨水泥链珠植入骨感染患者体内后全身及局部的药物浓度，了解万古霉素骨水泥链珠的释放规律，为临床使用万古霉素骨水泥治疗骨感染提供依据。</w:t>
      </w:r>
      <w:r>
        <w:rPr>
          <w:rFonts w:ascii="黑体" w:hAnsi="黑体" w:eastAsia="黑体" w:hint="eastAsia"/>
          <w:spacing w:val="-1"/>
          <w:sz w:val="18"/>
        </w:rPr>
        <w:t>方法</w:t>
      </w:r>
      <w:r>
        <w:rPr>
          <w:rFonts w:ascii="楷体" w:hAnsi="楷体" w:eastAsia="楷体" w:hint="eastAsia"/>
          <w:b/>
          <w:spacing w:val="-1"/>
          <w:sz w:val="18"/>
        </w:rPr>
        <w:t>：</w:t>
      </w:r>
      <w:r>
        <w:rPr>
          <w:rFonts w:ascii="楷体" w:hAnsi="楷体" w:eastAsia="楷体" w:hint="eastAsia"/>
          <w:spacing w:val="-1"/>
          <w:sz w:val="18"/>
        </w:rPr>
        <w:t>2017</w:t>
      </w:r>
      <w:r>
        <w:rPr>
          <w:rFonts w:ascii="楷体" w:hAnsi="楷体" w:eastAsia="楷体" w:hint="eastAsia"/>
          <w:spacing w:val="-32"/>
          <w:sz w:val="18"/>
        </w:rPr>
        <w:t> 年 </w:t>
      </w:r>
      <w:r>
        <w:rPr>
          <w:rFonts w:ascii="楷体" w:hAnsi="楷体" w:eastAsia="楷体" w:hint="eastAsia"/>
          <w:sz w:val="18"/>
        </w:rPr>
        <w:t>1</w:t>
      </w:r>
      <w:r>
        <w:rPr>
          <w:rFonts w:ascii="楷体" w:hAnsi="楷体" w:eastAsia="楷体" w:hint="eastAsia"/>
          <w:spacing w:val="-16"/>
          <w:sz w:val="18"/>
        </w:rPr>
        <w:t> 月-</w:t>
      </w:r>
      <w:r>
        <w:rPr>
          <w:rFonts w:ascii="楷体" w:hAnsi="楷体" w:eastAsia="楷体" w:hint="eastAsia"/>
          <w:sz w:val="18"/>
        </w:rPr>
        <w:t>2018</w:t>
      </w:r>
      <w:r>
        <w:rPr>
          <w:rFonts w:ascii="楷体" w:hAnsi="楷体" w:eastAsia="楷体" w:hint="eastAsia"/>
          <w:spacing w:val="-32"/>
          <w:sz w:val="18"/>
        </w:rPr>
        <w:t> 年 </w:t>
      </w:r>
      <w:r>
        <w:rPr>
          <w:rFonts w:ascii="楷体" w:hAnsi="楷体" w:eastAsia="楷体" w:hint="eastAsia"/>
          <w:sz w:val="18"/>
        </w:rPr>
        <w:t>3</w:t>
      </w:r>
      <w:r>
        <w:rPr>
          <w:rFonts w:ascii="楷体" w:hAnsi="楷体" w:eastAsia="楷体" w:hint="eastAsia"/>
          <w:spacing w:val="-11"/>
          <w:sz w:val="18"/>
        </w:rPr>
        <w:t> 月收治的骨感染患者 </w:t>
      </w:r>
      <w:r>
        <w:rPr>
          <w:rFonts w:ascii="楷体" w:hAnsi="楷体" w:eastAsia="楷体" w:hint="eastAsia"/>
          <w:sz w:val="18"/>
        </w:rPr>
        <w:t>20 </w:t>
      </w:r>
      <w:r>
        <w:rPr>
          <w:rFonts w:ascii="楷体" w:hAnsi="楷体" w:eastAsia="楷体" w:hint="eastAsia"/>
          <w:spacing w:val="-2"/>
          <w:sz w:val="18"/>
        </w:rPr>
        <w:t>例，手术感染灶局部植入万古霉素和骨水泥混合制成的链珠，局部埋置引流管，分别于术后 </w:t>
      </w:r>
      <w:r>
        <w:rPr>
          <w:rFonts w:ascii="楷体" w:hAnsi="楷体" w:eastAsia="楷体" w:hint="eastAsia"/>
          <w:sz w:val="18"/>
        </w:rPr>
        <w:t>2h</w:t>
      </w:r>
      <w:r>
        <w:rPr>
          <w:rFonts w:ascii="楷体" w:hAnsi="楷体" w:eastAsia="楷体" w:hint="eastAsia"/>
          <w:spacing w:val="-7"/>
          <w:sz w:val="18"/>
        </w:rPr>
        <w:t> 及此后每日清晨留取患者静脉血及伤口引流液标本，直至术后引流管拔除。使用酶放大免疫法进行静脉血及引流液万古霉素浓度测定。</w:t>
      </w:r>
      <w:r>
        <w:rPr>
          <w:rFonts w:ascii="黑体" w:hAnsi="黑体" w:eastAsia="黑体" w:hint="eastAsia"/>
          <w:spacing w:val="-7"/>
          <w:sz w:val="18"/>
        </w:rPr>
        <w:t>结果：</w:t>
      </w:r>
      <w:r>
        <w:rPr>
          <w:rFonts w:ascii="楷体" w:hAnsi="楷体" w:eastAsia="楷体" w:hint="eastAsia"/>
          <w:spacing w:val="-7"/>
          <w:sz w:val="18"/>
        </w:rPr>
        <w:t>20 </w:t>
      </w:r>
      <w:r>
        <w:rPr>
          <w:rFonts w:ascii="楷体" w:hAnsi="楷体" w:eastAsia="楷体" w:hint="eastAsia"/>
          <w:spacing w:val="-12"/>
          <w:sz w:val="18"/>
        </w:rPr>
        <w:t>例患者平均年龄 </w:t>
      </w:r>
      <w:r>
        <w:rPr>
          <w:rFonts w:ascii="楷体" w:hAnsi="楷体" w:eastAsia="楷体" w:hint="eastAsia"/>
          <w:sz w:val="18"/>
        </w:rPr>
        <w:t>48.35±19.37</w:t>
      </w:r>
      <w:r>
        <w:rPr>
          <w:rFonts w:ascii="楷体" w:hAnsi="楷体" w:eastAsia="楷体" w:hint="eastAsia"/>
          <w:spacing w:val="-22"/>
          <w:sz w:val="18"/>
        </w:rPr>
        <w:t> 岁，男 </w:t>
      </w:r>
      <w:r>
        <w:rPr>
          <w:rFonts w:ascii="楷体" w:hAnsi="楷体" w:eastAsia="楷体" w:hint="eastAsia"/>
          <w:sz w:val="18"/>
        </w:rPr>
        <w:t>16</w:t>
      </w:r>
      <w:r>
        <w:rPr>
          <w:rFonts w:ascii="楷体" w:hAnsi="楷体" w:eastAsia="楷体" w:hint="eastAsia"/>
          <w:spacing w:val="-22"/>
          <w:sz w:val="18"/>
        </w:rPr>
        <w:t> 例，女 </w:t>
      </w:r>
      <w:r>
        <w:rPr>
          <w:rFonts w:ascii="楷体" w:hAnsi="楷体" w:eastAsia="楷体" w:hint="eastAsia"/>
          <w:sz w:val="18"/>
        </w:rPr>
        <w:t>4</w:t>
      </w:r>
      <w:r>
        <w:rPr>
          <w:rFonts w:ascii="楷体" w:hAnsi="楷体" w:eastAsia="楷体" w:hint="eastAsia"/>
          <w:spacing w:val="-11"/>
          <w:sz w:val="18"/>
        </w:rPr>
        <w:t> 例，引流管留置时间中位数为 </w:t>
      </w:r>
      <w:r>
        <w:rPr>
          <w:rFonts w:ascii="楷体" w:hAnsi="楷体" w:eastAsia="楷体" w:hint="eastAsia"/>
          <w:sz w:val="18"/>
        </w:rPr>
        <w:t>5</w:t>
      </w:r>
      <w:r>
        <w:rPr>
          <w:rFonts w:ascii="楷体" w:hAnsi="楷体" w:eastAsia="楷体" w:hint="eastAsia"/>
          <w:spacing w:val="-12"/>
          <w:sz w:val="18"/>
        </w:rPr>
        <w:t> 天，血药峰浓度为 </w:t>
      </w:r>
      <w:r>
        <w:rPr>
          <w:rFonts w:ascii="楷体" w:hAnsi="楷体" w:eastAsia="楷体" w:hint="eastAsia"/>
          <w:spacing w:val="-4"/>
          <w:sz w:val="18"/>
        </w:rPr>
        <w:t>0.99mg·L</w:t>
      </w:r>
      <w:r>
        <w:rPr>
          <w:rFonts w:ascii="楷体" w:hAnsi="楷体" w:eastAsia="楷体" w:hint="eastAsia"/>
          <w:spacing w:val="-4"/>
          <w:position w:val="9"/>
          <w:sz w:val="9"/>
        </w:rPr>
        <w:t>-1</w:t>
      </w:r>
      <w:r>
        <w:rPr>
          <w:rFonts w:ascii="楷体" w:hAnsi="楷体" w:eastAsia="楷体" w:hint="eastAsia"/>
          <w:spacing w:val="-2"/>
          <w:sz w:val="18"/>
        </w:rPr>
        <w:t>，达峰时</w:t>
      </w:r>
      <w:r>
        <w:rPr>
          <w:rFonts w:ascii="楷体" w:hAnsi="楷体" w:eastAsia="楷体" w:hint="eastAsia"/>
          <w:spacing w:val="-18"/>
          <w:sz w:val="18"/>
        </w:rPr>
        <w:t>间为 </w:t>
      </w:r>
      <w:r>
        <w:rPr>
          <w:rFonts w:ascii="楷体" w:hAnsi="楷体" w:eastAsia="楷体" w:hint="eastAsia"/>
          <w:sz w:val="18"/>
        </w:rPr>
        <w:t>33.33h</w:t>
      </w:r>
      <w:r>
        <w:rPr>
          <w:rFonts w:ascii="楷体" w:hAnsi="楷体" w:eastAsia="楷体" w:hint="eastAsia"/>
          <w:spacing w:val="-4"/>
          <w:sz w:val="18"/>
        </w:rPr>
        <w:t>，局部释放率最高峰值出现在 </w:t>
      </w:r>
      <w:r>
        <w:rPr>
          <w:rFonts w:ascii="楷体" w:hAnsi="楷体" w:eastAsia="楷体" w:hint="eastAsia"/>
          <w:sz w:val="18"/>
        </w:rPr>
        <w:t>10.5 h</w:t>
      </w:r>
      <w:r>
        <w:rPr>
          <w:rFonts w:ascii="楷体" w:hAnsi="楷体" w:eastAsia="楷体" w:hint="eastAsia"/>
          <w:spacing w:val="-5"/>
          <w:sz w:val="18"/>
        </w:rPr>
        <w:t>，最大释放速率为 </w:t>
      </w:r>
      <w:r>
        <w:rPr>
          <w:rFonts w:ascii="楷体" w:hAnsi="楷体" w:eastAsia="楷体" w:hint="eastAsia"/>
          <w:sz w:val="18"/>
        </w:rPr>
        <w:t>6.107mg·h</w:t>
      </w:r>
      <w:r>
        <w:rPr>
          <w:rFonts w:ascii="楷体" w:hAnsi="楷体" w:eastAsia="楷体" w:hint="eastAsia"/>
          <w:position w:val="9"/>
          <w:sz w:val="9"/>
        </w:rPr>
        <w:t>-1</w:t>
      </w:r>
      <w:r>
        <w:rPr>
          <w:rFonts w:ascii="楷体" w:hAnsi="楷体" w:eastAsia="楷体" w:hint="eastAsia"/>
          <w:spacing w:val="-5"/>
          <w:sz w:val="18"/>
        </w:rPr>
        <w:t>。累计局部释放率为 </w:t>
      </w:r>
      <w:r>
        <w:rPr>
          <w:rFonts w:ascii="楷体" w:hAnsi="楷体" w:eastAsia="楷体" w:hint="eastAsia"/>
          <w:sz w:val="18"/>
        </w:rPr>
        <w:t>5.68%,溶出模型拟</w:t>
      </w:r>
      <w:r>
        <w:rPr>
          <w:rFonts w:ascii="楷体" w:hAnsi="楷体" w:eastAsia="楷体" w:hint="eastAsia"/>
          <w:spacing w:val="-12"/>
          <w:sz w:val="18"/>
        </w:rPr>
        <w:t>合符合 </w:t>
      </w:r>
      <w:r>
        <w:rPr>
          <w:rFonts w:ascii="楷体" w:hAnsi="楷体" w:eastAsia="楷体" w:hint="eastAsia"/>
          <w:sz w:val="18"/>
        </w:rPr>
        <w:t>Weibull</w:t>
      </w:r>
      <w:r>
        <w:rPr>
          <w:rFonts w:ascii="楷体" w:hAnsi="楷体" w:eastAsia="楷体" w:hint="eastAsia"/>
          <w:spacing w:val="-13"/>
          <w:sz w:val="18"/>
        </w:rPr>
        <w:t> 方程，</w:t>
      </w:r>
      <w:r>
        <w:rPr>
          <w:rFonts w:ascii="楷体" w:hAnsi="楷体" w:eastAsia="楷体" w:hint="eastAsia"/>
          <w:spacing w:val="-3"/>
          <w:sz w:val="18"/>
        </w:rPr>
        <w:t>r=0.9845</w:t>
      </w:r>
      <w:r>
        <w:rPr>
          <w:rFonts w:ascii="楷体" w:hAnsi="楷体" w:eastAsia="楷体" w:hint="eastAsia"/>
          <w:spacing w:val="-7"/>
          <w:sz w:val="18"/>
        </w:rPr>
        <w:t>。 </w:t>
      </w:r>
      <w:r>
        <w:rPr>
          <w:rFonts w:ascii="黑体" w:hAnsi="黑体" w:eastAsia="黑体" w:hint="eastAsia"/>
          <w:b/>
          <w:spacing w:val="-4"/>
          <w:sz w:val="18"/>
        </w:rPr>
        <w:t>结论： </w:t>
      </w:r>
      <w:r>
        <w:rPr>
          <w:rFonts w:ascii="楷体" w:hAnsi="楷体" w:eastAsia="楷体" w:hint="eastAsia"/>
          <w:sz w:val="18"/>
        </w:rPr>
        <w:t>局部植入万古霉素骨水泥可以至少在术后一周内伤口局部达到很高的药物治疗浓度，而全身药物浓度很低，可以避免全身使用万古霉素带来的不良反应，具有很高的安全性。</w:t>
      </w:r>
    </w:p>
    <w:p>
      <w:pPr>
        <w:spacing w:line="222" w:lineRule="exact" w:before="0"/>
        <w:ind w:left="237" w:right="0" w:firstLine="0"/>
        <w:jc w:val="left"/>
        <w:rPr>
          <w:rFonts w:ascii="楷体" w:eastAsia="楷体" w:hint="eastAsia"/>
          <w:sz w:val="18"/>
        </w:rPr>
      </w:pPr>
      <w:r>
        <w:rPr>
          <w:rFonts w:ascii="黑体" w:eastAsia="黑体" w:hint="eastAsia"/>
          <w:sz w:val="18"/>
        </w:rPr>
        <w:t>[关键词] </w:t>
      </w:r>
      <w:r>
        <w:rPr>
          <w:rFonts w:ascii="楷体" w:eastAsia="楷体" w:hint="eastAsia"/>
          <w:sz w:val="18"/>
        </w:rPr>
        <w:t>骨感染；万古霉素； 骨水泥； 局部浓度</w:t>
      </w:r>
    </w:p>
    <w:p>
      <w:pPr>
        <w:tabs>
          <w:tab w:pos="2037" w:val="left" w:leader="none"/>
          <w:tab w:pos="3240" w:val="left" w:leader="none"/>
        </w:tabs>
        <w:spacing w:before="138"/>
        <w:ind w:left="237" w:right="0" w:firstLine="0"/>
        <w:jc w:val="left"/>
        <w:rPr>
          <w:rFonts w:ascii="黑体" w:eastAsia="黑体" w:hint="eastAsia"/>
          <w:sz w:val="15"/>
        </w:rPr>
      </w:pPr>
      <w:r>
        <w:rPr>
          <w:rFonts w:ascii="黑体" w:eastAsia="黑体" w:hint="eastAsia"/>
          <w:sz w:val="15"/>
        </w:rPr>
        <w:t>[中图</w:t>
      </w:r>
      <w:r>
        <w:rPr>
          <w:rFonts w:ascii="黑体" w:eastAsia="黑体" w:hint="eastAsia"/>
          <w:spacing w:val="-3"/>
          <w:sz w:val="15"/>
        </w:rPr>
        <w:t>分</w:t>
      </w:r>
      <w:r>
        <w:rPr>
          <w:rFonts w:ascii="黑体" w:eastAsia="黑体" w:hint="eastAsia"/>
          <w:sz w:val="15"/>
        </w:rPr>
        <w:t>类号]</w:t>
      </w:r>
      <w:r>
        <w:rPr>
          <w:rFonts w:ascii="黑体" w:eastAsia="黑体" w:hint="eastAsia"/>
          <w:spacing w:val="-1"/>
          <w:sz w:val="15"/>
        </w:rPr>
        <w:t> </w:t>
      </w:r>
      <w:r>
        <w:rPr>
          <w:rFonts w:ascii="黑体" w:eastAsia="黑体" w:hint="eastAsia"/>
          <w:sz w:val="15"/>
        </w:rPr>
        <w:t>R9</w:t>
        <w:tab/>
        <w:t>[文献</w:t>
      </w:r>
      <w:r>
        <w:rPr>
          <w:rFonts w:ascii="黑体" w:eastAsia="黑体" w:hint="eastAsia"/>
          <w:spacing w:val="-3"/>
          <w:sz w:val="15"/>
        </w:rPr>
        <w:t>标</w:t>
      </w:r>
      <w:r>
        <w:rPr>
          <w:rFonts w:ascii="黑体" w:eastAsia="黑体" w:hint="eastAsia"/>
          <w:sz w:val="15"/>
        </w:rPr>
        <w:t>识码]</w:t>
        <w:tab/>
        <w:t>[文</w:t>
      </w:r>
      <w:r>
        <w:rPr>
          <w:rFonts w:ascii="黑体" w:eastAsia="黑体" w:hint="eastAsia"/>
          <w:spacing w:val="-3"/>
          <w:sz w:val="15"/>
        </w:rPr>
        <w:t>章</w:t>
      </w:r>
      <w:r>
        <w:rPr>
          <w:rFonts w:ascii="黑体" w:eastAsia="黑体" w:hint="eastAsia"/>
          <w:sz w:val="15"/>
        </w:rPr>
        <w:t>编号]</w:t>
      </w:r>
    </w:p>
    <w:p>
      <w:pPr>
        <w:pStyle w:val="BodyText"/>
        <w:spacing w:line="297" w:lineRule="auto" w:before="92"/>
        <w:ind w:right="1027" w:firstLine="480"/>
      </w:pPr>
      <w:r>
        <w:rPr>
          <w:spacing w:val="-6"/>
        </w:rPr>
        <w:t>骨感染在临床上是一个治疗难题，感染局部骨质硬化有时存在死骨、血液循环差，全身</w:t>
      </w:r>
      <w:r>
        <w:rPr>
          <w:spacing w:val="-12"/>
        </w:rPr>
        <w:t>给药的抗菌药物局部浓度低，疗效不佳。提高骨感染局部的抗菌药物浓度，是治疗骨感染的</w:t>
      </w:r>
      <w:r>
        <w:rPr>
          <w:spacing w:val="-15"/>
        </w:rPr>
        <w:t>重要问题。创伤骨科骨感染病例中 </w:t>
      </w:r>
      <w:r>
        <w:rPr/>
        <w:t>G+菌占大多数，可以考虑使用万古霉素进行治疗。万古</w:t>
      </w:r>
      <w:r>
        <w:rPr>
          <w:spacing w:val="-6"/>
        </w:rPr>
        <w:t>霉素全身给药，组织分布浓度低，其骨浓度仅为静脉血药浓度的 </w:t>
      </w:r>
      <w:r>
        <w:rPr>
          <w:spacing w:val="-3"/>
        </w:rPr>
        <w:t>7-13%</w:t>
      </w:r>
      <w:r>
        <w:rPr>
          <w:spacing w:val="-2"/>
        </w:rPr>
        <w:t>，为了达到骨组织中</w:t>
      </w:r>
      <w:r>
        <w:rPr>
          <w:spacing w:val="-4"/>
        </w:rPr>
        <w:t>的治疗浓度，需要提高血药浓度，因此指南推荐其治疗骨感染血药谷浓度需要达到 </w:t>
      </w:r>
      <w:r>
        <w:rPr/>
        <w:t>15-20 mg·L-1</w:t>
      </w:r>
      <w:r>
        <w:rPr>
          <w:spacing w:val="-8"/>
        </w:rPr>
        <w:t>,而大剂量长疗程、累计剂量高，与该药导致的肾损伤、白细胞减少、药物热等不良</w:t>
      </w:r>
      <w:r>
        <w:rPr>
          <w:spacing w:val="-9"/>
        </w:rPr>
        <w:t>反应密切相关。临床上尝试使用万古霉素加入骨水泥治疗骨感染，取得了较为满意的疗效，</w:t>
      </w:r>
    </w:p>
    <w:p>
      <w:pPr>
        <w:spacing w:after="0" w:line="297" w:lineRule="auto"/>
        <w:sectPr>
          <w:headerReference w:type="default" r:id="rId18"/>
          <w:footerReference w:type="default" r:id="rId19"/>
          <w:pgSz w:w="11910" w:h="16850"/>
          <w:pgMar w:header="0" w:footer="607" w:top="1100" w:bottom="800" w:left="1040" w:right="0"/>
          <w:pgNumType w:start="20"/>
        </w:sectPr>
      </w:pPr>
    </w:p>
    <w:p>
      <w:pPr>
        <w:pStyle w:val="BodyText"/>
        <w:spacing w:line="20" w:lineRule="exact"/>
        <w:ind w:left="200"/>
        <w:rPr>
          <w:sz w:val="2"/>
        </w:rPr>
      </w:pPr>
      <w:r>
        <w:rPr>
          <w:sz w:val="2"/>
        </w:rPr>
        <w:pict>
          <v:group style="width:477.85pt;height:.75pt;mso-position-horizontal-relative:char;mso-position-vertical-relative:line" coordorigin="0,0" coordsize="9557,15">
            <v:line style="position:absolute" from="0,7" to="9556,7" stroked="true" strokeweight=".72pt" strokecolor="#000000">
              <v:stroke dashstyle="solid"/>
            </v:line>
          </v:group>
        </w:pict>
      </w:r>
      <w:r>
        <w:rPr>
          <w:sz w:val="2"/>
        </w:rPr>
      </w:r>
    </w:p>
    <w:p>
      <w:pPr>
        <w:pStyle w:val="BodyText"/>
        <w:spacing w:line="295" w:lineRule="auto" w:before="50"/>
        <w:ind w:right="1127"/>
      </w:pPr>
      <w:r>
        <w:rPr>
          <w:spacing w:val="-7"/>
        </w:rPr>
        <w:t>但是具体的加入量并未达成共识，本研究将万古霉素骨水泥植入患者感染部位，观察其释放</w:t>
      </w:r>
      <w:r>
        <w:rPr/>
        <w:t>规律及局部组织浓度，为临床应用提供参考。</w:t>
      </w:r>
    </w:p>
    <w:p>
      <w:pPr>
        <w:pStyle w:val="Heading3"/>
        <w:spacing w:before="2"/>
        <w:ind w:left="719"/>
        <w:rPr>
          <w:rFonts w:ascii="宋体" w:eastAsia="宋体" w:hint="eastAsia"/>
        </w:rPr>
      </w:pPr>
      <w:r>
        <w:rPr>
          <w:rFonts w:ascii="宋体" w:eastAsia="宋体" w:hint="eastAsia"/>
        </w:rPr>
        <w:t>一般资料</w:t>
      </w:r>
    </w:p>
    <w:p>
      <w:pPr>
        <w:pStyle w:val="ListParagraph"/>
        <w:numPr>
          <w:ilvl w:val="1"/>
          <w:numId w:val="4"/>
        </w:numPr>
        <w:tabs>
          <w:tab w:pos="1138" w:val="left" w:leader="none"/>
        </w:tabs>
        <w:spacing w:line="297" w:lineRule="auto" w:before="75" w:after="0"/>
        <w:ind w:left="237" w:right="1007" w:firstLine="480"/>
        <w:jc w:val="left"/>
        <w:rPr>
          <w:sz w:val="24"/>
        </w:rPr>
      </w:pPr>
      <w:r>
        <w:rPr>
          <w:spacing w:val="-6"/>
          <w:sz w:val="24"/>
        </w:rPr>
        <w:t>研究对象 创伤骨科 </w:t>
      </w:r>
      <w:r>
        <w:rPr>
          <w:sz w:val="24"/>
        </w:rPr>
        <w:t>2017</w:t>
      </w:r>
      <w:r>
        <w:rPr>
          <w:spacing w:val="-40"/>
          <w:sz w:val="24"/>
        </w:rPr>
        <w:t> 年 </w:t>
      </w:r>
      <w:r>
        <w:rPr>
          <w:sz w:val="24"/>
        </w:rPr>
        <w:t>6</w:t>
      </w:r>
      <w:r>
        <w:rPr>
          <w:spacing w:val="-30"/>
          <w:sz w:val="24"/>
        </w:rPr>
        <w:t> 月</w:t>
      </w:r>
      <w:r>
        <w:rPr>
          <w:sz w:val="24"/>
        </w:rPr>
        <w:t>-2018</w:t>
      </w:r>
      <w:r>
        <w:rPr>
          <w:spacing w:val="-40"/>
          <w:sz w:val="24"/>
        </w:rPr>
        <w:t> 年 </w:t>
      </w:r>
      <w:r>
        <w:rPr>
          <w:sz w:val="24"/>
        </w:rPr>
        <w:t>3</w:t>
      </w:r>
      <w:r>
        <w:rPr>
          <w:spacing w:val="-8"/>
          <w:sz w:val="24"/>
        </w:rPr>
        <w:t> 月收治的拟行万古霉素骨水泥植入术的</w:t>
      </w:r>
      <w:r>
        <w:rPr>
          <w:spacing w:val="-20"/>
          <w:sz w:val="24"/>
        </w:rPr>
        <w:t>骨感染患者，参与试验前签署知情同意</w:t>
      </w:r>
      <w:r>
        <w:rPr>
          <w:sz w:val="24"/>
        </w:rPr>
        <w:t>（</w:t>
      </w:r>
      <w:r>
        <w:rPr>
          <w:spacing w:val="-1"/>
          <w:sz w:val="24"/>
        </w:rPr>
        <w:t>本试验方案及知情同意书经过我院伦理委员会批准， </w:t>
      </w:r>
      <w:r>
        <w:rPr>
          <w:spacing w:val="-8"/>
          <w:sz w:val="24"/>
        </w:rPr>
        <w:t>伦理批件号：积伦科审字第 </w:t>
      </w:r>
      <w:r>
        <w:rPr>
          <w:sz w:val="24"/>
        </w:rPr>
        <w:t>201706-05</w:t>
      </w:r>
      <w:r>
        <w:rPr>
          <w:spacing w:val="-30"/>
          <w:sz w:val="24"/>
        </w:rPr>
        <w:t> 号</w:t>
      </w:r>
      <w:r>
        <w:rPr>
          <w:spacing w:val="-17"/>
          <w:sz w:val="24"/>
        </w:rPr>
        <w:t>）</w:t>
      </w:r>
      <w:r>
        <w:rPr>
          <w:spacing w:val="-20"/>
          <w:sz w:val="24"/>
        </w:rPr>
        <w:t>。共计 </w:t>
      </w:r>
      <w:r>
        <w:rPr>
          <w:sz w:val="24"/>
        </w:rPr>
        <w:t>20</w:t>
      </w:r>
      <w:r>
        <w:rPr>
          <w:spacing w:val="-28"/>
          <w:sz w:val="24"/>
        </w:rPr>
        <w:t> 人，男 </w:t>
      </w:r>
      <w:r>
        <w:rPr>
          <w:sz w:val="24"/>
        </w:rPr>
        <w:t>16</w:t>
      </w:r>
      <w:r>
        <w:rPr>
          <w:spacing w:val="-28"/>
          <w:sz w:val="24"/>
        </w:rPr>
        <w:t> 例，女 </w:t>
      </w:r>
      <w:r>
        <w:rPr>
          <w:sz w:val="24"/>
        </w:rPr>
        <w:t>4</w:t>
      </w:r>
      <w:r>
        <w:rPr>
          <w:spacing w:val="-10"/>
          <w:sz w:val="24"/>
        </w:rPr>
        <w:t> 例，其中骨感染部</w:t>
      </w:r>
      <w:r>
        <w:rPr>
          <w:spacing w:val="-19"/>
          <w:sz w:val="24"/>
        </w:rPr>
        <w:t>位：股骨干 </w:t>
      </w:r>
      <w:r>
        <w:rPr>
          <w:sz w:val="24"/>
        </w:rPr>
        <w:t>9</w:t>
      </w:r>
      <w:r>
        <w:rPr>
          <w:spacing w:val="-18"/>
          <w:sz w:val="24"/>
        </w:rPr>
        <w:t> 例，胫腓骨 </w:t>
      </w:r>
      <w:r>
        <w:rPr>
          <w:sz w:val="24"/>
        </w:rPr>
        <w:t>4</w:t>
      </w:r>
      <w:r>
        <w:rPr>
          <w:spacing w:val="-18"/>
          <w:sz w:val="24"/>
        </w:rPr>
        <w:t> 例，髋关节 </w:t>
      </w:r>
      <w:r>
        <w:rPr>
          <w:sz w:val="24"/>
        </w:rPr>
        <w:t>4</w:t>
      </w:r>
      <w:r>
        <w:rPr>
          <w:spacing w:val="-18"/>
          <w:sz w:val="24"/>
        </w:rPr>
        <w:t> 例，尺桡骨 </w:t>
      </w:r>
      <w:r>
        <w:rPr>
          <w:sz w:val="24"/>
        </w:rPr>
        <w:t>1</w:t>
      </w:r>
      <w:r>
        <w:rPr>
          <w:spacing w:val="-18"/>
          <w:sz w:val="24"/>
        </w:rPr>
        <w:t> 例，踝关节 </w:t>
      </w:r>
      <w:r>
        <w:rPr>
          <w:sz w:val="24"/>
        </w:rPr>
        <w:t>1</w:t>
      </w:r>
      <w:r>
        <w:rPr>
          <w:spacing w:val="-20"/>
          <w:sz w:val="24"/>
        </w:rPr>
        <w:t> 例，跟骨 </w:t>
      </w:r>
      <w:r>
        <w:rPr>
          <w:sz w:val="24"/>
        </w:rPr>
        <w:t>1</w:t>
      </w:r>
      <w:r>
        <w:rPr>
          <w:spacing w:val="-20"/>
          <w:sz w:val="24"/>
        </w:rPr>
        <w:t> 例。</w:t>
      </w:r>
    </w:p>
    <w:p>
      <w:pPr>
        <w:pStyle w:val="ListParagraph"/>
        <w:numPr>
          <w:ilvl w:val="1"/>
          <w:numId w:val="4"/>
        </w:numPr>
        <w:tabs>
          <w:tab w:pos="1138" w:val="left" w:leader="none"/>
        </w:tabs>
        <w:spacing w:line="295" w:lineRule="auto" w:before="0" w:after="0"/>
        <w:ind w:left="237" w:right="1128" w:firstLine="480"/>
        <w:jc w:val="left"/>
        <w:rPr>
          <w:sz w:val="24"/>
        </w:rPr>
      </w:pPr>
      <w:r>
        <w:rPr>
          <w:sz w:val="24"/>
        </w:rPr>
        <w:t>试剂和材料 骨水泥（Palacos</w:t>
      </w:r>
      <w:r>
        <w:rPr>
          <w:spacing w:val="-15"/>
          <w:sz w:val="24"/>
        </w:rPr>
        <w:t> </w:t>
      </w:r>
      <w:r>
        <w:rPr>
          <w:sz w:val="24"/>
        </w:rPr>
        <w:t>R 生产厂家： Heraeus</w:t>
      </w:r>
      <w:r>
        <w:rPr>
          <w:spacing w:val="-15"/>
          <w:sz w:val="24"/>
        </w:rPr>
        <w:t> </w:t>
      </w:r>
      <w:r>
        <w:rPr>
          <w:sz w:val="24"/>
        </w:rPr>
        <w:t>Medical</w:t>
      </w:r>
      <w:r>
        <w:rPr>
          <w:spacing w:val="-15"/>
          <w:sz w:val="24"/>
        </w:rPr>
        <w:t> </w:t>
      </w:r>
      <w:r>
        <w:rPr>
          <w:sz w:val="24"/>
        </w:rPr>
        <w:t>GmbH），</w:t>
      </w:r>
      <w:r>
        <w:rPr>
          <w:spacing w:val="-4"/>
          <w:sz w:val="24"/>
        </w:rPr>
        <w:t>注射用盐</w:t>
      </w:r>
      <w:r>
        <w:rPr>
          <w:sz w:val="24"/>
        </w:rPr>
        <w:t>酸万古霉素（VIANEX</w:t>
      </w:r>
      <w:r>
        <w:rPr>
          <w:spacing w:val="-1"/>
          <w:sz w:val="24"/>
        </w:rPr>
        <w:t> </w:t>
      </w:r>
      <w:r>
        <w:rPr>
          <w:sz w:val="24"/>
        </w:rPr>
        <w:t>S.A.(PLANT C),希腊）。万古霉素检测试剂（酶放大免疫法）</w:t>
      </w:r>
    </w:p>
    <w:p>
      <w:pPr>
        <w:pStyle w:val="ListParagraph"/>
        <w:numPr>
          <w:ilvl w:val="1"/>
          <w:numId w:val="4"/>
        </w:numPr>
        <w:tabs>
          <w:tab w:pos="1138" w:val="left" w:leader="none"/>
        </w:tabs>
        <w:spacing w:line="295" w:lineRule="auto" w:before="0" w:after="0"/>
        <w:ind w:left="237" w:right="1205" w:firstLine="480"/>
        <w:jc w:val="left"/>
        <w:rPr>
          <w:sz w:val="24"/>
        </w:rPr>
      </w:pPr>
      <w:r>
        <w:rPr>
          <w:sz w:val="24"/>
        </w:rPr>
        <w:t>仪器 ViVa-E</w:t>
      </w:r>
      <w:r>
        <w:rPr>
          <w:spacing w:val="-8"/>
          <w:sz w:val="24"/>
        </w:rPr>
        <w:t> 血药浓度分析系统</w:t>
      </w:r>
      <w:r>
        <w:rPr>
          <w:sz w:val="24"/>
        </w:rPr>
        <w:t>（德国西门子公司），TDZ5-WS</w:t>
      </w:r>
      <w:r>
        <w:rPr>
          <w:spacing w:val="-9"/>
          <w:sz w:val="24"/>
        </w:rPr>
        <w:t> 低速多管架自动平</w:t>
      </w:r>
      <w:r>
        <w:rPr>
          <w:sz w:val="24"/>
        </w:rPr>
        <w:t>衡离心机（长沙湘仪离心机仪器有限公司）最高转速：5000r·min-1</w:t>
      </w:r>
      <w:r>
        <w:rPr>
          <w:spacing w:val="-9"/>
          <w:sz w:val="24"/>
        </w:rPr>
        <w:t> 离心腔半径 </w:t>
      </w:r>
      <w:r>
        <w:rPr>
          <w:sz w:val="24"/>
        </w:rPr>
        <w:t>190mm</w:t>
      </w:r>
      <w:r>
        <w:rPr>
          <w:spacing w:val="-16"/>
          <w:sz w:val="24"/>
        </w:rPr>
        <w:t>。</w:t>
      </w:r>
    </w:p>
    <w:p>
      <w:pPr>
        <w:pStyle w:val="BodyText"/>
        <w:ind w:left="717"/>
      </w:pPr>
      <w:r>
        <w:rPr/>
        <w:t>方法</w:t>
      </w:r>
    </w:p>
    <w:p>
      <w:pPr>
        <w:pStyle w:val="ListParagraph"/>
        <w:numPr>
          <w:ilvl w:val="1"/>
          <w:numId w:val="5"/>
        </w:numPr>
        <w:tabs>
          <w:tab w:pos="1198" w:val="left" w:leader="none"/>
        </w:tabs>
        <w:spacing w:line="295" w:lineRule="auto" w:before="75" w:after="0"/>
        <w:ind w:left="237" w:right="1026" w:firstLine="480"/>
        <w:jc w:val="left"/>
        <w:rPr>
          <w:sz w:val="24"/>
        </w:rPr>
      </w:pPr>
      <w:r>
        <w:rPr>
          <w:spacing w:val="-3"/>
          <w:sz w:val="24"/>
        </w:rPr>
        <w:t>样本采集及处理 手术医生在层流手术室中将 </w:t>
      </w:r>
      <w:r>
        <w:rPr>
          <w:sz w:val="24"/>
        </w:rPr>
        <w:t>40g</w:t>
      </w:r>
      <w:r>
        <w:rPr>
          <w:spacing w:val="-20"/>
          <w:sz w:val="24"/>
        </w:rPr>
        <w:t> 骨水泥与 </w:t>
      </w:r>
      <w:r>
        <w:rPr>
          <w:sz w:val="24"/>
        </w:rPr>
        <w:t>4g</w:t>
      </w:r>
      <w:r>
        <w:rPr>
          <w:spacing w:val="-18"/>
          <w:sz w:val="24"/>
        </w:rPr>
        <w:t> 万古霉素，用手工制成万古霉素骨水泥链珠，植入患者骨感染部位，局部留置引流管，外接引流袋，记录植入时</w:t>
      </w:r>
      <w:r>
        <w:rPr>
          <w:spacing w:val="-17"/>
          <w:sz w:val="24"/>
        </w:rPr>
        <w:t>间。于术后 </w:t>
      </w:r>
      <w:r>
        <w:rPr>
          <w:sz w:val="24"/>
        </w:rPr>
        <w:t>2</w:t>
      </w:r>
      <w:r>
        <w:rPr>
          <w:spacing w:val="-9"/>
          <w:sz w:val="24"/>
        </w:rPr>
        <w:t> 小时及术后次日清晨分别留取静脉血</w:t>
      </w:r>
      <w:r>
        <w:rPr>
          <w:spacing w:val="-4"/>
          <w:sz w:val="24"/>
        </w:rPr>
        <w:t>（2ml）</w:t>
      </w:r>
      <w:r>
        <w:rPr>
          <w:spacing w:val="-5"/>
          <w:sz w:val="24"/>
        </w:rPr>
        <w:t>及引流液</w:t>
      </w:r>
      <w:r>
        <w:rPr>
          <w:spacing w:val="-6"/>
          <w:sz w:val="24"/>
        </w:rPr>
        <w:t>（2ml）</w:t>
      </w:r>
      <w:r>
        <w:rPr>
          <w:spacing w:val="-2"/>
          <w:sz w:val="24"/>
        </w:rPr>
        <w:t>，此后每日清晨</w:t>
      </w:r>
      <w:r>
        <w:rPr>
          <w:spacing w:val="-5"/>
          <w:sz w:val="24"/>
        </w:rPr>
        <w:t>用量筒量取前一日引流量并记录，混匀后留取其中 </w:t>
      </w:r>
      <w:r>
        <w:rPr>
          <w:sz w:val="24"/>
        </w:rPr>
        <w:t>2ml</w:t>
      </w:r>
      <w:r>
        <w:rPr>
          <w:spacing w:val="-9"/>
          <w:sz w:val="24"/>
        </w:rPr>
        <w:t> 做浓度检测，直至临床拔除引流管。</w:t>
      </w:r>
      <w:r>
        <w:rPr>
          <w:spacing w:val="3"/>
          <w:sz w:val="24"/>
        </w:rPr>
        <w:t>静脉血及引流液用离心机</w:t>
      </w:r>
      <w:r>
        <w:rPr>
          <w:sz w:val="24"/>
        </w:rPr>
        <w:t>4000</w:t>
      </w:r>
      <w:r>
        <w:rPr>
          <w:spacing w:val="-60"/>
          <w:sz w:val="24"/>
        </w:rPr>
        <w:t> </w:t>
      </w:r>
      <w:r>
        <w:rPr>
          <w:sz w:val="24"/>
        </w:rPr>
        <w:t>r·min-1</w:t>
      </w:r>
      <w:r>
        <w:rPr>
          <w:spacing w:val="-27"/>
          <w:sz w:val="24"/>
        </w:rPr>
        <w:t>，离心</w:t>
      </w:r>
      <w:r>
        <w:rPr>
          <w:sz w:val="24"/>
        </w:rPr>
        <w:t>5min</w:t>
      </w:r>
      <w:r>
        <w:rPr>
          <w:spacing w:val="-18"/>
          <w:sz w:val="24"/>
        </w:rPr>
        <w:t> 后取上清，每次取样</w:t>
      </w:r>
      <w:r>
        <w:rPr>
          <w:sz w:val="24"/>
        </w:rPr>
        <w:t>300</w:t>
      </w:r>
      <w:r>
        <w:rPr>
          <w:rFonts w:ascii="Arial" w:hAnsi="Arial" w:eastAsia="Arial"/>
          <w:sz w:val="24"/>
        </w:rPr>
        <w:t>μ</w:t>
      </w:r>
      <w:r>
        <w:rPr>
          <w:rFonts w:ascii="Arial" w:hAnsi="Arial" w:eastAsia="Arial"/>
          <w:spacing w:val="-16"/>
          <w:sz w:val="24"/>
        </w:rPr>
        <w:t>  </w:t>
      </w:r>
      <w:r>
        <w:rPr>
          <w:sz w:val="24"/>
        </w:rPr>
        <w:t>l</w:t>
      </w:r>
      <w:r>
        <w:rPr>
          <w:spacing w:val="-28"/>
          <w:sz w:val="24"/>
        </w:rPr>
        <w:t>，使用</w:t>
      </w:r>
      <w:r>
        <w:rPr>
          <w:sz w:val="24"/>
        </w:rPr>
        <w:t>ViVa-E血药浓度分析系统进行万古霉素浓度测定。</w:t>
      </w:r>
    </w:p>
    <w:p>
      <w:pPr>
        <w:pStyle w:val="ListParagraph"/>
        <w:numPr>
          <w:ilvl w:val="1"/>
          <w:numId w:val="5"/>
        </w:numPr>
        <w:tabs>
          <w:tab w:pos="1138" w:val="left" w:leader="none"/>
        </w:tabs>
        <w:spacing w:line="295" w:lineRule="auto" w:before="11" w:after="0"/>
        <w:ind w:left="237" w:right="1206" w:firstLine="480"/>
        <w:jc w:val="left"/>
        <w:rPr>
          <w:sz w:val="24"/>
        </w:rPr>
      </w:pPr>
      <w:r>
        <w:rPr>
          <w:spacing w:val="-5"/>
          <w:sz w:val="24"/>
        </w:rPr>
        <w:t>数据处理 实验数据应用 </w:t>
      </w:r>
      <w:r>
        <w:rPr>
          <w:sz w:val="24"/>
        </w:rPr>
        <w:t>SPSS 22， EXCEL2013</w:t>
      </w:r>
      <w:r>
        <w:rPr>
          <w:spacing w:val="-9"/>
          <w:sz w:val="24"/>
        </w:rPr>
        <w:t> 进行统计分析。血药浓度数据应用</w:t>
      </w:r>
      <w:r>
        <w:rPr>
          <w:sz w:val="24"/>
        </w:rPr>
        <w:t>Phoenix</w:t>
      </w:r>
      <w:r>
        <w:rPr>
          <w:spacing w:val="-1"/>
          <w:sz w:val="24"/>
        </w:rPr>
        <w:t> </w:t>
      </w:r>
      <w:r>
        <w:rPr>
          <w:sz w:val="24"/>
        </w:rPr>
        <w:t>WinNonlin 6.4</w:t>
      </w:r>
      <w:r>
        <w:rPr>
          <w:spacing w:val="-8"/>
          <w:sz w:val="24"/>
        </w:rPr>
        <w:t> 软件进行药动学参数计算。</w:t>
      </w:r>
    </w:p>
    <w:p>
      <w:pPr>
        <w:pStyle w:val="Heading3"/>
        <w:spacing w:before="2"/>
        <w:ind w:left="719"/>
        <w:rPr>
          <w:rFonts w:ascii="宋体" w:eastAsia="宋体" w:hint="eastAsia"/>
        </w:rPr>
      </w:pPr>
      <w:r>
        <w:rPr>
          <w:rFonts w:ascii="宋体" w:eastAsia="宋体" w:hint="eastAsia"/>
        </w:rPr>
        <w:t>结果</w:t>
      </w:r>
    </w:p>
    <w:p>
      <w:pPr>
        <w:pStyle w:val="ListParagraph"/>
        <w:numPr>
          <w:ilvl w:val="1"/>
          <w:numId w:val="6"/>
        </w:numPr>
        <w:tabs>
          <w:tab w:pos="1138" w:val="left" w:leader="none"/>
        </w:tabs>
        <w:spacing w:line="297" w:lineRule="auto" w:before="74" w:after="0"/>
        <w:ind w:left="237" w:right="1008" w:firstLine="480"/>
        <w:jc w:val="left"/>
        <w:rPr>
          <w:sz w:val="24"/>
        </w:rPr>
      </w:pPr>
      <w:r>
        <w:rPr>
          <w:spacing w:val="-3"/>
          <w:sz w:val="24"/>
        </w:rPr>
        <w:t>引流液浓度测定结果 引流管留置时间中位数为 </w:t>
      </w:r>
      <w:r>
        <w:rPr>
          <w:sz w:val="24"/>
        </w:rPr>
        <w:t>5</w:t>
      </w:r>
      <w:r>
        <w:rPr>
          <w:spacing w:val="-18"/>
          <w:sz w:val="24"/>
        </w:rPr>
        <w:t> 天，最长为 </w:t>
      </w:r>
      <w:r>
        <w:rPr>
          <w:sz w:val="24"/>
        </w:rPr>
        <w:t>7</w:t>
      </w:r>
      <w:r>
        <w:rPr>
          <w:spacing w:val="-18"/>
          <w:sz w:val="24"/>
        </w:rPr>
        <w:t> 天，最少为 </w:t>
      </w:r>
      <w:r>
        <w:rPr>
          <w:sz w:val="24"/>
        </w:rPr>
        <w:t>3</w:t>
      </w:r>
      <w:r>
        <w:rPr>
          <w:spacing w:val="-20"/>
          <w:sz w:val="24"/>
        </w:rPr>
        <w:t> 天。</w:t>
      </w:r>
      <w:r>
        <w:rPr>
          <w:spacing w:val="-34"/>
          <w:sz w:val="24"/>
        </w:rPr>
        <w:t>术后 </w:t>
      </w:r>
      <w:r>
        <w:rPr>
          <w:sz w:val="24"/>
        </w:rPr>
        <w:t>2h</w:t>
      </w:r>
      <w:r>
        <w:rPr>
          <w:spacing w:val="-13"/>
          <w:sz w:val="24"/>
        </w:rPr>
        <w:t> 局部引流液药物浓度为 </w:t>
      </w:r>
      <w:r>
        <w:rPr>
          <w:sz w:val="24"/>
        </w:rPr>
        <w:t>522.40±206.99</w:t>
      </w:r>
      <w:r>
        <w:rPr>
          <w:spacing w:val="-44"/>
          <w:sz w:val="24"/>
        </w:rPr>
        <w:t> </w:t>
      </w:r>
      <w:r>
        <w:rPr>
          <w:sz w:val="24"/>
        </w:rPr>
        <w:t>mg·L-1，此后每日（</w:t>
      </w:r>
      <w:r>
        <w:rPr>
          <w:spacing w:val="-15"/>
          <w:sz w:val="24"/>
        </w:rPr>
        <w:t>术后第 </w:t>
      </w:r>
      <w:r>
        <w:rPr>
          <w:sz w:val="24"/>
        </w:rPr>
        <w:t>1</w:t>
      </w:r>
      <w:r>
        <w:rPr>
          <w:spacing w:val="-24"/>
          <w:sz w:val="24"/>
        </w:rPr>
        <w:t> 日-第 </w:t>
      </w:r>
      <w:r>
        <w:rPr>
          <w:sz w:val="24"/>
        </w:rPr>
        <w:t>6</w:t>
      </w:r>
      <w:r>
        <w:rPr>
          <w:spacing w:val="-30"/>
          <w:sz w:val="24"/>
        </w:rPr>
        <w:t> 日</w:t>
      </w:r>
      <w:r>
        <w:rPr>
          <w:spacing w:val="-14"/>
          <w:sz w:val="24"/>
        </w:rPr>
        <w:t>） </w:t>
      </w:r>
      <w:r>
        <w:rPr>
          <w:sz w:val="24"/>
        </w:rPr>
        <w:t>引流液平均浓度(mg·L-1)</w:t>
      </w:r>
      <w:r>
        <w:rPr>
          <w:spacing w:val="-16"/>
          <w:sz w:val="24"/>
        </w:rPr>
        <w:t>分别为 </w:t>
      </w:r>
      <w:r>
        <w:rPr>
          <w:sz w:val="24"/>
        </w:rPr>
        <w:t>295.90±111.29，260.93±134.69，226.24±133.04， 204.74±132.15，182.3±93.86，172.16±107.06，</w:t>
      </w:r>
      <w:r>
        <w:rPr>
          <w:spacing w:val="-13"/>
          <w:sz w:val="24"/>
        </w:rPr>
        <w:t>引流量第 </w:t>
      </w:r>
      <w:r>
        <w:rPr>
          <w:sz w:val="24"/>
        </w:rPr>
        <w:t>1</w:t>
      </w:r>
      <w:r>
        <w:rPr>
          <w:spacing w:val="-8"/>
          <w:sz w:val="24"/>
        </w:rPr>
        <w:t> 天最多，之后逐渐减少。</w:t>
      </w:r>
    </w:p>
    <w:p>
      <w:pPr>
        <w:pStyle w:val="ListParagraph"/>
        <w:numPr>
          <w:ilvl w:val="1"/>
          <w:numId w:val="6"/>
        </w:numPr>
        <w:tabs>
          <w:tab w:pos="1138" w:val="left" w:leader="none"/>
        </w:tabs>
        <w:spacing w:line="297" w:lineRule="auto" w:before="0" w:after="0"/>
        <w:ind w:left="237" w:right="1008" w:firstLine="480"/>
        <w:jc w:val="left"/>
        <w:rPr>
          <w:sz w:val="24"/>
        </w:rPr>
      </w:pPr>
      <w:r>
        <w:rPr>
          <w:sz w:val="24"/>
        </w:rPr>
        <w:t>血药（血浆）</w:t>
      </w:r>
      <w:r>
        <w:rPr>
          <w:spacing w:val="-8"/>
          <w:sz w:val="24"/>
        </w:rPr>
        <w:t>浓度测定 术后 </w:t>
      </w:r>
      <w:r>
        <w:rPr>
          <w:sz w:val="24"/>
        </w:rPr>
        <w:t>2h</w:t>
      </w:r>
      <w:r>
        <w:rPr>
          <w:spacing w:val="-14"/>
          <w:sz w:val="24"/>
        </w:rPr>
        <w:t> 血药浓度最高为 </w:t>
      </w:r>
      <w:r>
        <w:rPr>
          <w:sz w:val="24"/>
        </w:rPr>
        <w:t>1.1 mg·L-1，</w:t>
      </w:r>
      <w:r>
        <w:rPr>
          <w:spacing w:val="-15"/>
          <w:sz w:val="24"/>
        </w:rPr>
        <w:t>最低为 </w:t>
      </w:r>
      <w:r>
        <w:rPr>
          <w:sz w:val="24"/>
        </w:rPr>
        <w:t>0，中位数</w:t>
      </w:r>
      <w:r>
        <w:rPr>
          <w:spacing w:val="-31"/>
          <w:sz w:val="24"/>
        </w:rPr>
        <w:t>为 </w:t>
      </w:r>
      <w:r>
        <w:rPr>
          <w:sz w:val="24"/>
        </w:rPr>
        <w:t>0.42</w:t>
      </w:r>
      <w:r>
        <w:rPr>
          <w:spacing w:val="-62"/>
          <w:sz w:val="24"/>
        </w:rPr>
        <w:t> </w:t>
      </w:r>
      <w:r>
        <w:rPr>
          <w:spacing w:val="-12"/>
          <w:sz w:val="24"/>
        </w:rPr>
        <w:t>mg·L-1</w:t>
      </w:r>
      <w:r>
        <w:rPr>
          <w:spacing w:val="-19"/>
          <w:sz w:val="24"/>
        </w:rPr>
        <w:t>，术后 </w:t>
      </w:r>
      <w:r>
        <w:rPr>
          <w:sz w:val="24"/>
        </w:rPr>
        <w:t>18h</w:t>
      </w:r>
      <w:r>
        <w:rPr>
          <w:spacing w:val="-15"/>
          <w:sz w:val="24"/>
        </w:rPr>
        <w:t> 血药浓度最高为 </w:t>
      </w:r>
      <w:r>
        <w:rPr>
          <w:sz w:val="24"/>
        </w:rPr>
        <w:t>1.3</w:t>
      </w:r>
      <w:r>
        <w:rPr>
          <w:spacing w:val="-61"/>
          <w:sz w:val="24"/>
        </w:rPr>
        <w:t> </w:t>
      </w:r>
      <w:r>
        <w:rPr>
          <w:sz w:val="24"/>
        </w:rPr>
        <w:t>mg·L-1,</w:t>
      </w:r>
      <w:r>
        <w:rPr>
          <w:spacing w:val="-16"/>
          <w:sz w:val="24"/>
        </w:rPr>
        <w:t>最低为 </w:t>
      </w:r>
      <w:r>
        <w:rPr>
          <w:spacing w:val="-41"/>
          <w:sz w:val="24"/>
        </w:rPr>
        <w:t>0</w:t>
      </w:r>
      <w:r>
        <w:rPr>
          <w:spacing w:val="-18"/>
          <w:sz w:val="24"/>
        </w:rPr>
        <w:t>，中位数为 </w:t>
      </w:r>
      <w:r>
        <w:rPr>
          <w:sz w:val="24"/>
        </w:rPr>
        <w:t>0.52</w:t>
      </w:r>
      <w:r>
        <w:rPr>
          <w:spacing w:val="-62"/>
          <w:sz w:val="24"/>
        </w:rPr>
        <w:t> </w:t>
      </w:r>
      <w:r>
        <w:rPr>
          <w:sz w:val="24"/>
        </w:rPr>
        <w:t>mg·L-1， </w:t>
      </w:r>
      <w:r>
        <w:rPr>
          <w:spacing w:val="-7"/>
          <w:sz w:val="24"/>
        </w:rPr>
        <w:t>术后第二日最高值为 </w:t>
      </w:r>
      <w:r>
        <w:rPr>
          <w:sz w:val="24"/>
        </w:rPr>
        <w:t>0.9 mg·L-1，</w:t>
      </w:r>
      <w:r>
        <w:rPr>
          <w:spacing w:val="-12"/>
          <w:sz w:val="24"/>
        </w:rPr>
        <w:t>最低值为 </w:t>
      </w:r>
      <w:r>
        <w:rPr>
          <w:sz w:val="24"/>
        </w:rPr>
        <w:t>0，</w:t>
      </w:r>
      <w:r>
        <w:rPr>
          <w:spacing w:val="-12"/>
          <w:sz w:val="24"/>
        </w:rPr>
        <w:t>中位数为 </w:t>
      </w:r>
      <w:r>
        <w:rPr>
          <w:sz w:val="24"/>
        </w:rPr>
        <w:t>0.3 mg·L-1。</w:t>
      </w:r>
    </w:p>
    <w:p>
      <w:pPr>
        <w:pStyle w:val="ListParagraph"/>
        <w:numPr>
          <w:ilvl w:val="1"/>
          <w:numId w:val="6"/>
        </w:numPr>
        <w:tabs>
          <w:tab w:pos="1138" w:val="left" w:leader="none"/>
        </w:tabs>
        <w:spacing w:line="295" w:lineRule="auto" w:before="0" w:after="0"/>
        <w:ind w:left="237" w:right="1008" w:firstLine="480"/>
        <w:jc w:val="left"/>
        <w:rPr>
          <w:sz w:val="24"/>
        </w:rPr>
      </w:pPr>
      <w:r>
        <w:rPr>
          <w:spacing w:val="-6"/>
          <w:sz w:val="24"/>
        </w:rPr>
        <w:t>药动学参数计算 利用 </w:t>
      </w:r>
      <w:r>
        <w:rPr>
          <w:sz w:val="24"/>
        </w:rPr>
        <w:t>Phoenix</w:t>
      </w:r>
      <w:r>
        <w:rPr>
          <w:spacing w:val="-22"/>
          <w:sz w:val="24"/>
        </w:rPr>
        <w:t> </w:t>
      </w:r>
      <w:r>
        <w:rPr>
          <w:sz w:val="24"/>
        </w:rPr>
        <w:t>WinNonlin</w:t>
      </w:r>
      <w:r>
        <w:rPr>
          <w:spacing w:val="-22"/>
          <w:sz w:val="24"/>
        </w:rPr>
        <w:t> </w:t>
      </w:r>
      <w:r>
        <w:rPr>
          <w:sz w:val="24"/>
        </w:rPr>
        <w:t>6.4</w:t>
      </w:r>
      <w:r>
        <w:rPr>
          <w:spacing w:val="-9"/>
          <w:sz w:val="24"/>
        </w:rPr>
        <w:t> 计算万古霉素骨水泥的药动学参数， </w:t>
      </w:r>
      <w:r>
        <w:rPr>
          <w:spacing w:val="-3"/>
          <w:sz w:val="24"/>
        </w:rPr>
        <w:t>采用非房室模型，主要药动学参数计算结果见表 </w:t>
      </w:r>
      <w:r>
        <w:rPr>
          <w:sz w:val="24"/>
        </w:rPr>
        <w:t>1，</w:t>
      </w:r>
      <w:r>
        <w:rPr>
          <w:spacing w:val="-6"/>
          <w:sz w:val="24"/>
        </w:rPr>
        <w:t>血药浓度参数参见表 </w:t>
      </w:r>
      <w:r>
        <w:rPr>
          <w:sz w:val="24"/>
        </w:rPr>
        <w:t>2</w:t>
      </w:r>
    </w:p>
    <w:p>
      <w:pPr>
        <w:spacing w:line="242" w:lineRule="exact" w:before="0"/>
        <w:ind w:left="237" w:right="0" w:firstLine="0"/>
        <w:jc w:val="left"/>
        <w:rPr>
          <w:rFonts w:ascii="华文楷体" w:eastAsia="华文楷体" w:hint="eastAsia"/>
          <w:sz w:val="18"/>
        </w:rPr>
      </w:pPr>
      <w:r>
        <w:rPr>
          <w:rFonts w:ascii="华文楷体" w:eastAsia="华文楷体" w:hint="eastAsia"/>
          <w:sz w:val="18"/>
        </w:rPr>
        <w:t>表1万古霉素骨水泥的局部释药药物动力学参数</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1"/>
        <w:gridCol w:w="1955"/>
        <w:gridCol w:w="2365"/>
        <w:gridCol w:w="2127"/>
        <w:gridCol w:w="2059"/>
      </w:tblGrid>
      <w:tr>
        <w:trPr>
          <w:trHeight w:val="329" w:hRule="atLeast"/>
        </w:trPr>
        <w:tc>
          <w:tcPr>
            <w:tcW w:w="3176" w:type="dxa"/>
            <w:gridSpan w:val="2"/>
            <w:tcBorders>
              <w:top w:val="single" w:sz="4" w:space="0" w:color="000000"/>
            </w:tcBorders>
          </w:tcPr>
          <w:p>
            <w:pPr>
              <w:pStyle w:val="TableParagraph"/>
              <w:spacing w:before="73"/>
              <w:ind w:left="1111"/>
              <w:rPr>
                <w:sz w:val="15"/>
              </w:rPr>
            </w:pPr>
            <w:r>
              <w:rPr>
                <w:sz w:val="15"/>
              </w:rPr>
              <w:t>达到最大释放速率的时间</w:t>
            </w:r>
          </w:p>
        </w:tc>
        <w:tc>
          <w:tcPr>
            <w:tcW w:w="2365" w:type="dxa"/>
            <w:tcBorders>
              <w:top w:val="single" w:sz="4" w:space="0" w:color="000000"/>
            </w:tcBorders>
          </w:tcPr>
          <w:p>
            <w:pPr>
              <w:pStyle w:val="TableParagraph"/>
              <w:spacing w:before="73"/>
              <w:ind w:left="395" w:right="729"/>
              <w:jc w:val="center"/>
              <w:rPr>
                <w:sz w:val="15"/>
              </w:rPr>
            </w:pPr>
            <w:r>
              <w:rPr>
                <w:sz w:val="15"/>
              </w:rPr>
              <w:t>最大局部释放速率</w:t>
            </w:r>
          </w:p>
        </w:tc>
        <w:tc>
          <w:tcPr>
            <w:tcW w:w="2127" w:type="dxa"/>
            <w:tcBorders>
              <w:top w:val="single" w:sz="4" w:space="0" w:color="000000"/>
            </w:tcBorders>
          </w:tcPr>
          <w:p>
            <w:pPr>
              <w:pStyle w:val="TableParagraph"/>
              <w:spacing w:before="73"/>
              <w:ind w:left="733" w:right="675"/>
              <w:jc w:val="center"/>
              <w:rPr>
                <w:sz w:val="15"/>
              </w:rPr>
            </w:pPr>
            <w:r>
              <w:rPr>
                <w:sz w:val="15"/>
              </w:rPr>
              <w:t>释放量</w:t>
            </w:r>
          </w:p>
        </w:tc>
        <w:tc>
          <w:tcPr>
            <w:tcW w:w="2059" w:type="dxa"/>
            <w:tcBorders>
              <w:top w:val="single" w:sz="4" w:space="0" w:color="000000"/>
            </w:tcBorders>
          </w:tcPr>
          <w:p>
            <w:pPr>
              <w:pStyle w:val="TableParagraph"/>
              <w:spacing w:before="73"/>
              <w:ind w:left="684" w:right="584"/>
              <w:jc w:val="center"/>
              <w:rPr>
                <w:sz w:val="15"/>
              </w:rPr>
            </w:pPr>
            <w:r>
              <w:rPr>
                <w:sz w:val="15"/>
              </w:rPr>
              <w:t>累积释放率</w:t>
            </w:r>
          </w:p>
        </w:tc>
      </w:tr>
      <w:tr>
        <w:trPr>
          <w:trHeight w:val="349" w:hRule="atLeast"/>
        </w:trPr>
        <w:tc>
          <w:tcPr>
            <w:tcW w:w="1221" w:type="dxa"/>
            <w:tcBorders>
              <w:bottom w:val="single" w:sz="4" w:space="0" w:color="000000"/>
            </w:tcBorders>
          </w:tcPr>
          <w:p>
            <w:pPr>
              <w:pStyle w:val="TableParagraph"/>
              <w:rPr>
                <w:rFonts w:ascii="Times New Roman"/>
                <w:sz w:val="22"/>
              </w:rPr>
            </w:pPr>
          </w:p>
        </w:tc>
        <w:tc>
          <w:tcPr>
            <w:tcW w:w="1955" w:type="dxa"/>
            <w:tcBorders>
              <w:bottom w:val="single" w:sz="4" w:space="0" w:color="000000"/>
            </w:tcBorders>
          </w:tcPr>
          <w:p>
            <w:pPr>
              <w:pStyle w:val="TableParagraph"/>
              <w:spacing w:before="82"/>
              <w:ind w:left="603"/>
              <w:rPr>
                <w:sz w:val="15"/>
              </w:rPr>
            </w:pPr>
            <w:r>
              <w:rPr>
                <w:sz w:val="15"/>
              </w:rPr>
              <w:t>(h)</w:t>
            </w:r>
          </w:p>
        </w:tc>
        <w:tc>
          <w:tcPr>
            <w:tcW w:w="2365" w:type="dxa"/>
            <w:tcBorders>
              <w:bottom w:val="single" w:sz="4" w:space="0" w:color="000000"/>
            </w:tcBorders>
          </w:tcPr>
          <w:p>
            <w:pPr>
              <w:pStyle w:val="TableParagraph"/>
              <w:spacing w:before="72"/>
              <w:ind w:left="394" w:right="729"/>
              <w:jc w:val="center"/>
              <w:rPr>
                <w:sz w:val="15"/>
              </w:rPr>
            </w:pPr>
            <w:r>
              <w:rPr>
                <w:sz w:val="15"/>
              </w:rPr>
              <w:t>(ug·h</w:t>
            </w:r>
            <w:r>
              <w:rPr>
                <w:position w:val="8"/>
                <w:sz w:val="8"/>
              </w:rPr>
              <w:t>-1</w:t>
            </w:r>
            <w:r>
              <w:rPr>
                <w:sz w:val="15"/>
              </w:rPr>
              <w:t>)</w:t>
            </w:r>
          </w:p>
        </w:tc>
        <w:tc>
          <w:tcPr>
            <w:tcW w:w="2127" w:type="dxa"/>
            <w:tcBorders>
              <w:bottom w:val="single" w:sz="4" w:space="0" w:color="000000"/>
            </w:tcBorders>
          </w:tcPr>
          <w:p>
            <w:pPr>
              <w:pStyle w:val="TableParagraph"/>
              <w:spacing w:before="82"/>
              <w:ind w:left="733" w:right="679"/>
              <w:jc w:val="center"/>
              <w:rPr>
                <w:sz w:val="15"/>
              </w:rPr>
            </w:pPr>
            <w:r>
              <w:rPr>
                <w:sz w:val="15"/>
              </w:rPr>
              <w:t>(ug)</w:t>
            </w:r>
          </w:p>
        </w:tc>
        <w:tc>
          <w:tcPr>
            <w:tcW w:w="2059" w:type="dxa"/>
            <w:tcBorders>
              <w:bottom w:val="single" w:sz="4" w:space="0" w:color="000000"/>
            </w:tcBorders>
          </w:tcPr>
          <w:p>
            <w:pPr>
              <w:pStyle w:val="TableParagraph"/>
              <w:spacing w:before="82"/>
              <w:ind w:left="684" w:right="583"/>
              <w:jc w:val="center"/>
              <w:rPr>
                <w:sz w:val="15"/>
              </w:rPr>
            </w:pPr>
            <w:r>
              <w:rPr>
                <w:sz w:val="15"/>
              </w:rPr>
              <w:t>(%)</w:t>
            </w:r>
          </w:p>
        </w:tc>
      </w:tr>
      <w:tr>
        <w:trPr>
          <w:trHeight w:val="329" w:hRule="atLeast"/>
        </w:trPr>
        <w:tc>
          <w:tcPr>
            <w:tcW w:w="1221" w:type="dxa"/>
            <w:tcBorders>
              <w:top w:val="single" w:sz="4" w:space="0" w:color="000000"/>
            </w:tcBorders>
          </w:tcPr>
          <w:p>
            <w:pPr>
              <w:pStyle w:val="TableParagraph"/>
              <w:spacing w:before="68"/>
              <w:ind w:left="353"/>
              <w:rPr>
                <w:sz w:val="15"/>
              </w:rPr>
            </w:pPr>
            <w:r>
              <w:rPr>
                <w:sz w:val="15"/>
              </w:rPr>
              <w:t>Mean</w:t>
            </w:r>
          </w:p>
        </w:tc>
        <w:tc>
          <w:tcPr>
            <w:tcW w:w="1955" w:type="dxa"/>
            <w:tcBorders>
              <w:top w:val="single" w:sz="4" w:space="0" w:color="000000"/>
            </w:tcBorders>
          </w:tcPr>
          <w:p>
            <w:pPr>
              <w:pStyle w:val="TableParagraph"/>
              <w:spacing w:before="68"/>
              <w:ind w:left="567"/>
              <w:rPr>
                <w:sz w:val="15"/>
              </w:rPr>
            </w:pPr>
            <w:r>
              <w:rPr>
                <w:sz w:val="15"/>
              </w:rPr>
              <w:t>10.5</w:t>
            </w:r>
          </w:p>
        </w:tc>
        <w:tc>
          <w:tcPr>
            <w:tcW w:w="2365" w:type="dxa"/>
            <w:tcBorders>
              <w:top w:val="single" w:sz="4" w:space="0" w:color="000000"/>
            </w:tcBorders>
          </w:tcPr>
          <w:p>
            <w:pPr>
              <w:pStyle w:val="TableParagraph"/>
              <w:spacing w:before="68"/>
              <w:ind w:left="395" w:right="728"/>
              <w:jc w:val="center"/>
              <w:rPr>
                <w:sz w:val="15"/>
              </w:rPr>
            </w:pPr>
            <w:r>
              <w:rPr>
                <w:sz w:val="15"/>
              </w:rPr>
              <w:t>6107.25</w:t>
            </w:r>
          </w:p>
        </w:tc>
        <w:tc>
          <w:tcPr>
            <w:tcW w:w="2127" w:type="dxa"/>
            <w:tcBorders>
              <w:top w:val="single" w:sz="4" w:space="0" w:color="000000"/>
            </w:tcBorders>
          </w:tcPr>
          <w:p>
            <w:pPr>
              <w:pStyle w:val="TableParagraph"/>
              <w:spacing w:before="68"/>
              <w:ind w:left="733" w:right="679"/>
              <w:jc w:val="center"/>
              <w:rPr>
                <w:sz w:val="15"/>
              </w:rPr>
            </w:pPr>
            <w:r>
              <w:rPr>
                <w:sz w:val="15"/>
              </w:rPr>
              <w:t>137108.10</w:t>
            </w:r>
          </w:p>
        </w:tc>
        <w:tc>
          <w:tcPr>
            <w:tcW w:w="2059" w:type="dxa"/>
            <w:tcBorders>
              <w:top w:val="single" w:sz="4" w:space="0" w:color="000000"/>
            </w:tcBorders>
          </w:tcPr>
          <w:p>
            <w:pPr>
              <w:pStyle w:val="TableParagraph"/>
              <w:spacing w:before="68"/>
              <w:ind w:left="682" w:right="584"/>
              <w:jc w:val="center"/>
              <w:rPr>
                <w:sz w:val="15"/>
              </w:rPr>
            </w:pPr>
            <w:r>
              <w:rPr>
                <w:sz w:val="15"/>
              </w:rPr>
              <w:t>5.68</w:t>
            </w:r>
          </w:p>
        </w:tc>
      </w:tr>
      <w:tr>
        <w:trPr>
          <w:trHeight w:val="332" w:hRule="atLeast"/>
        </w:trPr>
        <w:tc>
          <w:tcPr>
            <w:tcW w:w="1221" w:type="dxa"/>
          </w:tcPr>
          <w:p>
            <w:pPr>
              <w:pStyle w:val="TableParagraph"/>
              <w:spacing w:before="70"/>
              <w:ind w:left="427"/>
              <w:rPr>
                <w:sz w:val="15"/>
              </w:rPr>
            </w:pPr>
            <w:r>
              <w:rPr>
                <w:sz w:val="15"/>
              </w:rPr>
              <w:t>SD</w:t>
            </w:r>
          </w:p>
        </w:tc>
        <w:tc>
          <w:tcPr>
            <w:tcW w:w="1955" w:type="dxa"/>
          </w:tcPr>
          <w:p>
            <w:pPr>
              <w:pStyle w:val="TableParagraph"/>
              <w:spacing w:before="70"/>
              <w:ind w:left="680"/>
              <w:rPr>
                <w:sz w:val="15"/>
              </w:rPr>
            </w:pPr>
            <w:r>
              <w:rPr>
                <w:w w:val="100"/>
                <w:sz w:val="15"/>
              </w:rPr>
              <w:t>0</w:t>
            </w:r>
          </w:p>
        </w:tc>
        <w:tc>
          <w:tcPr>
            <w:tcW w:w="2365" w:type="dxa"/>
          </w:tcPr>
          <w:p>
            <w:pPr>
              <w:pStyle w:val="TableParagraph"/>
              <w:spacing w:before="70"/>
              <w:ind w:left="395" w:right="728"/>
              <w:jc w:val="center"/>
              <w:rPr>
                <w:sz w:val="15"/>
              </w:rPr>
            </w:pPr>
            <w:r>
              <w:rPr>
                <w:sz w:val="15"/>
              </w:rPr>
              <w:t>4010.73</w:t>
            </w:r>
          </w:p>
        </w:tc>
        <w:tc>
          <w:tcPr>
            <w:tcW w:w="2127" w:type="dxa"/>
          </w:tcPr>
          <w:p>
            <w:pPr>
              <w:pStyle w:val="TableParagraph"/>
              <w:spacing w:before="70"/>
              <w:ind w:left="733" w:right="676"/>
              <w:jc w:val="center"/>
              <w:rPr>
                <w:sz w:val="15"/>
              </w:rPr>
            </w:pPr>
            <w:r>
              <w:rPr>
                <w:sz w:val="15"/>
              </w:rPr>
              <w:t>96267.59</w:t>
            </w:r>
          </w:p>
        </w:tc>
        <w:tc>
          <w:tcPr>
            <w:tcW w:w="2059" w:type="dxa"/>
          </w:tcPr>
          <w:p>
            <w:pPr>
              <w:pStyle w:val="TableParagraph"/>
              <w:spacing w:before="70"/>
              <w:ind w:left="682" w:right="584"/>
              <w:jc w:val="center"/>
              <w:rPr>
                <w:sz w:val="15"/>
              </w:rPr>
            </w:pPr>
            <w:r>
              <w:rPr>
                <w:sz w:val="15"/>
              </w:rPr>
              <w:t>3.65</w:t>
            </w:r>
          </w:p>
        </w:tc>
      </w:tr>
      <w:tr>
        <w:trPr>
          <w:trHeight w:val="338" w:hRule="atLeast"/>
        </w:trPr>
        <w:tc>
          <w:tcPr>
            <w:tcW w:w="1221" w:type="dxa"/>
            <w:tcBorders>
              <w:bottom w:val="single" w:sz="4" w:space="0" w:color="000000"/>
            </w:tcBorders>
          </w:tcPr>
          <w:p>
            <w:pPr>
              <w:pStyle w:val="TableParagraph"/>
              <w:spacing w:before="71"/>
              <w:ind w:left="391"/>
              <w:rPr>
                <w:sz w:val="15"/>
              </w:rPr>
            </w:pPr>
            <w:r>
              <w:rPr>
                <w:sz w:val="15"/>
              </w:rPr>
              <w:t>CV%</w:t>
            </w:r>
          </w:p>
        </w:tc>
        <w:tc>
          <w:tcPr>
            <w:tcW w:w="1955" w:type="dxa"/>
            <w:tcBorders>
              <w:bottom w:val="single" w:sz="4" w:space="0" w:color="000000"/>
            </w:tcBorders>
          </w:tcPr>
          <w:p>
            <w:pPr>
              <w:pStyle w:val="TableParagraph"/>
              <w:spacing w:before="71"/>
              <w:ind w:left="680"/>
              <w:rPr>
                <w:sz w:val="15"/>
              </w:rPr>
            </w:pPr>
            <w:r>
              <w:rPr>
                <w:w w:val="100"/>
                <w:sz w:val="15"/>
              </w:rPr>
              <w:t>0</w:t>
            </w:r>
          </w:p>
        </w:tc>
        <w:tc>
          <w:tcPr>
            <w:tcW w:w="2365" w:type="dxa"/>
            <w:tcBorders>
              <w:bottom w:val="single" w:sz="4" w:space="0" w:color="000000"/>
            </w:tcBorders>
          </w:tcPr>
          <w:p>
            <w:pPr>
              <w:pStyle w:val="TableParagraph"/>
              <w:spacing w:before="71"/>
              <w:ind w:left="394" w:right="729"/>
              <w:jc w:val="center"/>
              <w:rPr>
                <w:sz w:val="15"/>
              </w:rPr>
            </w:pPr>
            <w:r>
              <w:rPr>
                <w:sz w:val="15"/>
              </w:rPr>
              <w:t>65.67</w:t>
            </w:r>
          </w:p>
        </w:tc>
        <w:tc>
          <w:tcPr>
            <w:tcW w:w="2127" w:type="dxa"/>
            <w:tcBorders>
              <w:bottom w:val="single" w:sz="4" w:space="0" w:color="000000"/>
            </w:tcBorders>
          </w:tcPr>
          <w:p>
            <w:pPr>
              <w:pStyle w:val="TableParagraph"/>
              <w:spacing w:before="71"/>
              <w:ind w:left="733" w:right="676"/>
              <w:jc w:val="center"/>
              <w:rPr>
                <w:sz w:val="15"/>
              </w:rPr>
            </w:pPr>
            <w:r>
              <w:rPr>
                <w:sz w:val="15"/>
              </w:rPr>
              <w:t>70.21</w:t>
            </w:r>
          </w:p>
        </w:tc>
        <w:tc>
          <w:tcPr>
            <w:tcW w:w="2059" w:type="dxa"/>
            <w:tcBorders>
              <w:bottom w:val="single" w:sz="4" w:space="0" w:color="000000"/>
            </w:tcBorders>
          </w:tcPr>
          <w:p>
            <w:pPr>
              <w:pStyle w:val="TableParagraph"/>
              <w:spacing w:before="71"/>
              <w:ind w:left="684" w:right="583"/>
              <w:jc w:val="center"/>
              <w:rPr>
                <w:sz w:val="15"/>
              </w:rPr>
            </w:pPr>
            <w:r>
              <w:rPr>
                <w:sz w:val="15"/>
              </w:rPr>
              <w:t>64.22</w:t>
            </w:r>
          </w:p>
        </w:tc>
      </w:tr>
    </w:tbl>
    <w:p>
      <w:pPr>
        <w:pStyle w:val="BodyText"/>
        <w:spacing w:before="7"/>
        <w:ind w:left="0"/>
        <w:rPr>
          <w:rFonts w:ascii="华文楷体"/>
          <w:sz w:val="19"/>
        </w:rPr>
      </w:pPr>
    </w:p>
    <w:p>
      <w:pPr>
        <w:spacing w:before="0" w:after="10"/>
        <w:ind w:left="237" w:right="0" w:firstLine="0"/>
        <w:jc w:val="left"/>
        <w:rPr>
          <w:rFonts w:ascii="华文楷体" w:eastAsia="华文楷体" w:hint="eastAsia"/>
          <w:sz w:val="18"/>
        </w:rPr>
      </w:pPr>
      <w:r>
        <w:rPr>
          <w:rFonts w:ascii="华文楷体" w:eastAsia="华文楷体" w:hint="eastAsia"/>
          <w:sz w:val="18"/>
        </w:rPr>
        <w:t>表2：万古霉素骨水泥植入后全身的药代动力学参数</w:t>
      </w: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83"/>
        <w:gridCol w:w="2079"/>
        <w:gridCol w:w="2356"/>
        <w:gridCol w:w="1810"/>
      </w:tblGrid>
      <w:tr>
        <w:trPr>
          <w:trHeight w:val="303" w:hRule="atLeast"/>
        </w:trPr>
        <w:tc>
          <w:tcPr>
            <w:tcW w:w="3483" w:type="dxa"/>
            <w:tcBorders>
              <w:top w:val="single" w:sz="8" w:space="0" w:color="000000"/>
            </w:tcBorders>
          </w:tcPr>
          <w:p>
            <w:pPr>
              <w:pStyle w:val="TableParagraph"/>
              <w:spacing w:before="61"/>
              <w:ind w:left="2160" w:right="682"/>
              <w:jc w:val="center"/>
              <w:rPr>
                <w:sz w:val="15"/>
              </w:rPr>
            </w:pPr>
            <w:r>
              <w:rPr>
                <w:sz w:val="15"/>
              </w:rPr>
              <w:t>达峰时间</w:t>
            </w:r>
          </w:p>
        </w:tc>
        <w:tc>
          <w:tcPr>
            <w:tcW w:w="2079" w:type="dxa"/>
            <w:tcBorders>
              <w:top w:val="single" w:sz="8" w:space="0" w:color="000000"/>
            </w:tcBorders>
          </w:tcPr>
          <w:p>
            <w:pPr>
              <w:pStyle w:val="TableParagraph"/>
              <w:spacing w:before="61"/>
              <w:ind w:left="683" w:right="750"/>
              <w:jc w:val="center"/>
              <w:rPr>
                <w:sz w:val="15"/>
              </w:rPr>
            </w:pPr>
            <w:r>
              <w:rPr>
                <w:sz w:val="15"/>
              </w:rPr>
              <w:t>峰浓度</w:t>
            </w:r>
          </w:p>
        </w:tc>
        <w:tc>
          <w:tcPr>
            <w:tcW w:w="2356" w:type="dxa"/>
            <w:tcBorders>
              <w:top w:val="single" w:sz="8" w:space="0" w:color="000000"/>
            </w:tcBorders>
          </w:tcPr>
          <w:p>
            <w:pPr>
              <w:pStyle w:val="TableParagraph"/>
              <w:spacing w:before="60"/>
              <w:ind w:left="753" w:right="732"/>
              <w:jc w:val="center"/>
              <w:rPr>
                <w:sz w:val="8"/>
              </w:rPr>
            </w:pPr>
            <w:r>
              <w:rPr>
                <w:position w:val="1"/>
                <w:sz w:val="15"/>
              </w:rPr>
              <w:t>AUC</w:t>
            </w:r>
            <w:r>
              <w:rPr>
                <w:sz w:val="8"/>
              </w:rPr>
              <w:t>last</w:t>
            </w:r>
          </w:p>
        </w:tc>
        <w:tc>
          <w:tcPr>
            <w:tcW w:w="1810" w:type="dxa"/>
            <w:tcBorders>
              <w:top w:val="single" w:sz="8" w:space="0" w:color="000000"/>
            </w:tcBorders>
          </w:tcPr>
          <w:p>
            <w:pPr>
              <w:pStyle w:val="TableParagraph"/>
              <w:spacing w:before="60"/>
              <w:ind w:left="732" w:right="652"/>
              <w:jc w:val="center"/>
              <w:rPr>
                <w:sz w:val="8"/>
              </w:rPr>
            </w:pPr>
            <w:r>
              <w:rPr>
                <w:position w:val="1"/>
                <w:sz w:val="15"/>
              </w:rPr>
              <w:t>MRT</w:t>
            </w:r>
            <w:r>
              <w:rPr>
                <w:sz w:val="8"/>
              </w:rPr>
              <w:t>last</w:t>
            </w:r>
          </w:p>
        </w:tc>
      </w:tr>
      <w:tr>
        <w:trPr>
          <w:trHeight w:val="321" w:hRule="atLeast"/>
        </w:trPr>
        <w:tc>
          <w:tcPr>
            <w:tcW w:w="3483" w:type="dxa"/>
            <w:tcBorders>
              <w:bottom w:val="single" w:sz="8" w:space="0" w:color="000000"/>
            </w:tcBorders>
          </w:tcPr>
          <w:p>
            <w:pPr>
              <w:pStyle w:val="TableParagraph"/>
              <w:spacing w:before="69"/>
              <w:ind w:left="2159" w:right="682"/>
              <w:jc w:val="center"/>
              <w:rPr>
                <w:sz w:val="15"/>
              </w:rPr>
            </w:pPr>
            <w:r>
              <w:rPr>
                <w:sz w:val="15"/>
              </w:rPr>
              <w:t>(h)</w:t>
            </w:r>
          </w:p>
        </w:tc>
        <w:tc>
          <w:tcPr>
            <w:tcW w:w="2079" w:type="dxa"/>
            <w:tcBorders>
              <w:bottom w:val="single" w:sz="8" w:space="0" w:color="000000"/>
            </w:tcBorders>
          </w:tcPr>
          <w:p>
            <w:pPr>
              <w:pStyle w:val="TableParagraph"/>
              <w:spacing w:before="59"/>
              <w:ind w:left="683" w:right="751"/>
              <w:jc w:val="center"/>
              <w:rPr>
                <w:sz w:val="15"/>
              </w:rPr>
            </w:pPr>
            <w:r>
              <w:rPr>
                <w:sz w:val="15"/>
              </w:rPr>
              <w:t>(mg·L</w:t>
            </w:r>
            <w:r>
              <w:rPr>
                <w:position w:val="8"/>
                <w:sz w:val="8"/>
              </w:rPr>
              <w:t>-1</w:t>
            </w:r>
            <w:r>
              <w:rPr>
                <w:sz w:val="15"/>
              </w:rPr>
              <w:t>)</w:t>
            </w:r>
          </w:p>
        </w:tc>
        <w:tc>
          <w:tcPr>
            <w:tcW w:w="2356" w:type="dxa"/>
            <w:tcBorders>
              <w:bottom w:val="single" w:sz="8" w:space="0" w:color="000000"/>
            </w:tcBorders>
          </w:tcPr>
          <w:p>
            <w:pPr>
              <w:pStyle w:val="TableParagraph"/>
              <w:spacing w:before="59"/>
              <w:ind w:left="753" w:right="732"/>
              <w:jc w:val="center"/>
              <w:rPr>
                <w:sz w:val="15"/>
              </w:rPr>
            </w:pPr>
            <w:r>
              <w:rPr>
                <w:sz w:val="15"/>
              </w:rPr>
              <w:t>(h·mg·L</w:t>
            </w:r>
            <w:r>
              <w:rPr>
                <w:position w:val="8"/>
                <w:sz w:val="8"/>
              </w:rPr>
              <w:t>-1</w:t>
            </w:r>
            <w:r>
              <w:rPr>
                <w:sz w:val="15"/>
              </w:rPr>
              <w:t>)</w:t>
            </w:r>
          </w:p>
        </w:tc>
        <w:tc>
          <w:tcPr>
            <w:tcW w:w="1810" w:type="dxa"/>
            <w:tcBorders>
              <w:bottom w:val="single" w:sz="8" w:space="0" w:color="000000"/>
            </w:tcBorders>
          </w:tcPr>
          <w:p>
            <w:pPr>
              <w:pStyle w:val="TableParagraph"/>
              <w:spacing w:before="69"/>
              <w:ind w:left="732" w:right="652"/>
              <w:jc w:val="center"/>
              <w:rPr>
                <w:sz w:val="15"/>
              </w:rPr>
            </w:pPr>
            <w:r>
              <w:rPr>
                <w:sz w:val="15"/>
              </w:rPr>
              <w:t>(h)</w:t>
            </w:r>
          </w:p>
        </w:tc>
      </w:tr>
    </w:tbl>
    <w:p>
      <w:pPr>
        <w:spacing w:after="0"/>
        <w:jc w:val="center"/>
        <w:rPr>
          <w:sz w:val="15"/>
        </w:rPr>
        <w:sectPr>
          <w:headerReference w:type="default" r:id="rId20"/>
          <w:footerReference w:type="default" r:id="rId21"/>
          <w:pgSz w:w="11910" w:h="16850"/>
          <w:pgMar w:header="0" w:footer="607" w:top="1100" w:bottom="800" w:left="1040" w:right="0"/>
          <w:pgNumType w:start="21"/>
        </w:sect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
        <w:gridCol w:w="1574"/>
        <w:gridCol w:w="2526"/>
        <w:gridCol w:w="2266"/>
        <w:gridCol w:w="2113"/>
        <w:gridCol w:w="1084"/>
        <w:gridCol w:w="81"/>
      </w:tblGrid>
      <w:tr>
        <w:trPr>
          <w:trHeight w:val="310" w:hRule="atLeast"/>
        </w:trPr>
        <w:tc>
          <w:tcPr>
            <w:tcW w:w="94" w:type="dxa"/>
          </w:tcPr>
          <w:p>
            <w:pPr>
              <w:pStyle w:val="TableParagraph"/>
              <w:rPr>
                <w:rFonts w:ascii="Times New Roman"/>
                <w:sz w:val="20"/>
              </w:rPr>
            </w:pPr>
          </w:p>
        </w:tc>
        <w:tc>
          <w:tcPr>
            <w:tcW w:w="1574" w:type="dxa"/>
            <w:tcBorders>
              <w:top w:val="single" w:sz="6" w:space="0" w:color="000000"/>
            </w:tcBorders>
          </w:tcPr>
          <w:p>
            <w:pPr>
              <w:pStyle w:val="TableParagraph"/>
              <w:spacing w:before="49"/>
              <w:ind w:left="28"/>
              <w:rPr>
                <w:sz w:val="15"/>
              </w:rPr>
            </w:pPr>
            <w:r>
              <w:rPr>
                <w:sz w:val="15"/>
              </w:rPr>
              <w:t>mean</w:t>
            </w:r>
          </w:p>
        </w:tc>
        <w:tc>
          <w:tcPr>
            <w:tcW w:w="2526" w:type="dxa"/>
            <w:tcBorders>
              <w:top w:val="single" w:sz="6" w:space="0" w:color="000000"/>
            </w:tcBorders>
          </w:tcPr>
          <w:p>
            <w:pPr>
              <w:pStyle w:val="TableParagraph"/>
              <w:spacing w:before="49"/>
              <w:ind w:right="829"/>
              <w:jc w:val="right"/>
              <w:rPr>
                <w:sz w:val="15"/>
              </w:rPr>
            </w:pPr>
            <w:r>
              <w:rPr>
                <w:sz w:val="15"/>
              </w:rPr>
              <w:t>33.33</w:t>
            </w:r>
          </w:p>
        </w:tc>
        <w:tc>
          <w:tcPr>
            <w:tcW w:w="2266" w:type="dxa"/>
            <w:tcBorders>
              <w:top w:val="single" w:sz="6" w:space="0" w:color="000000"/>
            </w:tcBorders>
          </w:tcPr>
          <w:p>
            <w:pPr>
              <w:pStyle w:val="TableParagraph"/>
              <w:spacing w:before="49"/>
              <w:ind w:right="1060"/>
              <w:jc w:val="right"/>
              <w:rPr>
                <w:sz w:val="15"/>
              </w:rPr>
            </w:pPr>
            <w:r>
              <w:rPr>
                <w:sz w:val="15"/>
              </w:rPr>
              <w:t>0.99</w:t>
            </w:r>
          </w:p>
        </w:tc>
        <w:tc>
          <w:tcPr>
            <w:tcW w:w="2113" w:type="dxa"/>
            <w:tcBorders>
              <w:top w:val="single" w:sz="6" w:space="0" w:color="000000"/>
            </w:tcBorders>
          </w:tcPr>
          <w:p>
            <w:pPr>
              <w:pStyle w:val="TableParagraph"/>
              <w:spacing w:before="49"/>
              <w:ind w:right="679"/>
              <w:jc w:val="right"/>
              <w:rPr>
                <w:sz w:val="15"/>
              </w:rPr>
            </w:pPr>
            <w:r>
              <w:rPr>
                <w:sz w:val="15"/>
              </w:rPr>
              <w:t>44.04</w:t>
            </w:r>
          </w:p>
        </w:tc>
        <w:tc>
          <w:tcPr>
            <w:tcW w:w="1084" w:type="dxa"/>
            <w:tcBorders>
              <w:top w:val="single" w:sz="6" w:space="0" w:color="000000"/>
            </w:tcBorders>
          </w:tcPr>
          <w:p>
            <w:pPr>
              <w:pStyle w:val="TableParagraph"/>
              <w:spacing w:before="49"/>
              <w:ind w:right="35"/>
              <w:jc w:val="right"/>
              <w:rPr>
                <w:sz w:val="15"/>
              </w:rPr>
            </w:pPr>
            <w:r>
              <w:rPr>
                <w:sz w:val="15"/>
              </w:rPr>
              <w:t>29.66</w:t>
            </w:r>
          </w:p>
        </w:tc>
        <w:tc>
          <w:tcPr>
            <w:tcW w:w="81" w:type="dxa"/>
          </w:tcPr>
          <w:p>
            <w:pPr>
              <w:pStyle w:val="TableParagraph"/>
              <w:rPr>
                <w:rFonts w:ascii="Times New Roman"/>
                <w:sz w:val="20"/>
              </w:rPr>
            </w:pPr>
          </w:p>
        </w:tc>
      </w:tr>
      <w:tr>
        <w:trPr>
          <w:trHeight w:val="312" w:hRule="atLeast"/>
        </w:trPr>
        <w:tc>
          <w:tcPr>
            <w:tcW w:w="94" w:type="dxa"/>
          </w:tcPr>
          <w:p>
            <w:pPr>
              <w:pStyle w:val="TableParagraph"/>
              <w:rPr>
                <w:rFonts w:ascii="Times New Roman"/>
                <w:sz w:val="20"/>
              </w:rPr>
            </w:pPr>
          </w:p>
        </w:tc>
        <w:tc>
          <w:tcPr>
            <w:tcW w:w="1574" w:type="dxa"/>
          </w:tcPr>
          <w:p>
            <w:pPr>
              <w:pStyle w:val="TableParagraph"/>
              <w:spacing w:before="51"/>
              <w:ind w:left="28"/>
              <w:rPr>
                <w:sz w:val="15"/>
              </w:rPr>
            </w:pPr>
            <w:r>
              <w:rPr>
                <w:sz w:val="15"/>
              </w:rPr>
              <w:t>sd</w:t>
            </w:r>
          </w:p>
        </w:tc>
        <w:tc>
          <w:tcPr>
            <w:tcW w:w="2526" w:type="dxa"/>
          </w:tcPr>
          <w:p>
            <w:pPr>
              <w:pStyle w:val="TableParagraph"/>
              <w:spacing w:before="51"/>
              <w:ind w:right="829"/>
              <w:jc w:val="right"/>
              <w:rPr>
                <w:sz w:val="15"/>
              </w:rPr>
            </w:pPr>
            <w:r>
              <w:rPr>
                <w:sz w:val="15"/>
              </w:rPr>
              <w:t>36.11</w:t>
            </w:r>
          </w:p>
        </w:tc>
        <w:tc>
          <w:tcPr>
            <w:tcW w:w="2266" w:type="dxa"/>
          </w:tcPr>
          <w:p>
            <w:pPr>
              <w:pStyle w:val="TableParagraph"/>
              <w:spacing w:before="51"/>
              <w:ind w:right="1060"/>
              <w:jc w:val="right"/>
              <w:rPr>
                <w:sz w:val="15"/>
              </w:rPr>
            </w:pPr>
            <w:r>
              <w:rPr>
                <w:sz w:val="15"/>
              </w:rPr>
              <w:t>0.36</w:t>
            </w:r>
          </w:p>
        </w:tc>
        <w:tc>
          <w:tcPr>
            <w:tcW w:w="2113" w:type="dxa"/>
          </w:tcPr>
          <w:p>
            <w:pPr>
              <w:pStyle w:val="TableParagraph"/>
              <w:spacing w:before="51"/>
              <w:ind w:right="679"/>
              <w:jc w:val="right"/>
              <w:rPr>
                <w:sz w:val="15"/>
              </w:rPr>
            </w:pPr>
            <w:r>
              <w:rPr>
                <w:sz w:val="15"/>
              </w:rPr>
              <w:t>39.01</w:t>
            </w:r>
          </w:p>
        </w:tc>
        <w:tc>
          <w:tcPr>
            <w:tcW w:w="1084" w:type="dxa"/>
          </w:tcPr>
          <w:p>
            <w:pPr>
              <w:pStyle w:val="TableParagraph"/>
              <w:spacing w:before="51"/>
              <w:ind w:right="35"/>
              <w:jc w:val="right"/>
              <w:rPr>
                <w:sz w:val="15"/>
              </w:rPr>
            </w:pPr>
            <w:r>
              <w:rPr>
                <w:sz w:val="15"/>
              </w:rPr>
              <w:t>20.03</w:t>
            </w:r>
          </w:p>
        </w:tc>
        <w:tc>
          <w:tcPr>
            <w:tcW w:w="81" w:type="dxa"/>
          </w:tcPr>
          <w:p>
            <w:pPr>
              <w:pStyle w:val="TableParagraph"/>
              <w:rPr>
                <w:rFonts w:ascii="Times New Roman"/>
                <w:sz w:val="20"/>
              </w:rPr>
            </w:pPr>
          </w:p>
        </w:tc>
      </w:tr>
      <w:tr>
        <w:trPr>
          <w:trHeight w:val="313" w:hRule="atLeast"/>
        </w:trPr>
        <w:tc>
          <w:tcPr>
            <w:tcW w:w="94" w:type="dxa"/>
            <w:tcBorders>
              <w:bottom w:val="single" w:sz="8" w:space="0" w:color="000000"/>
            </w:tcBorders>
          </w:tcPr>
          <w:p>
            <w:pPr>
              <w:pStyle w:val="TableParagraph"/>
              <w:rPr>
                <w:rFonts w:ascii="Times New Roman"/>
                <w:sz w:val="20"/>
              </w:rPr>
            </w:pPr>
          </w:p>
        </w:tc>
        <w:tc>
          <w:tcPr>
            <w:tcW w:w="1574" w:type="dxa"/>
            <w:tcBorders>
              <w:bottom w:val="single" w:sz="8" w:space="0" w:color="000000"/>
            </w:tcBorders>
          </w:tcPr>
          <w:p>
            <w:pPr>
              <w:pStyle w:val="TableParagraph"/>
              <w:spacing w:before="51"/>
              <w:ind w:left="28"/>
              <w:rPr>
                <w:sz w:val="15"/>
              </w:rPr>
            </w:pPr>
            <w:r>
              <w:rPr>
                <w:sz w:val="15"/>
              </w:rPr>
              <w:t>cv%</w:t>
            </w:r>
          </w:p>
        </w:tc>
        <w:tc>
          <w:tcPr>
            <w:tcW w:w="2526" w:type="dxa"/>
            <w:tcBorders>
              <w:bottom w:val="single" w:sz="8" w:space="0" w:color="000000"/>
            </w:tcBorders>
          </w:tcPr>
          <w:p>
            <w:pPr>
              <w:pStyle w:val="TableParagraph"/>
              <w:spacing w:before="51"/>
              <w:ind w:right="830"/>
              <w:jc w:val="right"/>
              <w:rPr>
                <w:sz w:val="15"/>
              </w:rPr>
            </w:pPr>
            <w:r>
              <w:rPr>
                <w:sz w:val="15"/>
              </w:rPr>
              <w:t>108.32</w:t>
            </w:r>
          </w:p>
        </w:tc>
        <w:tc>
          <w:tcPr>
            <w:tcW w:w="2266" w:type="dxa"/>
            <w:tcBorders>
              <w:bottom w:val="single" w:sz="8" w:space="0" w:color="000000"/>
            </w:tcBorders>
          </w:tcPr>
          <w:p>
            <w:pPr>
              <w:pStyle w:val="TableParagraph"/>
              <w:spacing w:before="51"/>
              <w:ind w:right="1060"/>
              <w:jc w:val="right"/>
              <w:rPr>
                <w:sz w:val="15"/>
              </w:rPr>
            </w:pPr>
            <w:r>
              <w:rPr>
                <w:sz w:val="15"/>
              </w:rPr>
              <w:t>35.91</w:t>
            </w:r>
          </w:p>
        </w:tc>
        <w:tc>
          <w:tcPr>
            <w:tcW w:w="2113" w:type="dxa"/>
            <w:tcBorders>
              <w:bottom w:val="single" w:sz="8" w:space="0" w:color="000000"/>
            </w:tcBorders>
          </w:tcPr>
          <w:p>
            <w:pPr>
              <w:pStyle w:val="TableParagraph"/>
              <w:spacing w:before="51"/>
              <w:ind w:right="679"/>
              <w:jc w:val="right"/>
              <w:rPr>
                <w:sz w:val="15"/>
              </w:rPr>
            </w:pPr>
            <w:r>
              <w:rPr>
                <w:sz w:val="15"/>
              </w:rPr>
              <w:t>88.58</w:t>
            </w:r>
          </w:p>
        </w:tc>
        <w:tc>
          <w:tcPr>
            <w:tcW w:w="1084" w:type="dxa"/>
            <w:tcBorders>
              <w:bottom w:val="single" w:sz="8" w:space="0" w:color="000000"/>
            </w:tcBorders>
          </w:tcPr>
          <w:p>
            <w:pPr>
              <w:pStyle w:val="TableParagraph"/>
              <w:spacing w:before="51"/>
              <w:ind w:right="35"/>
              <w:jc w:val="right"/>
              <w:rPr>
                <w:sz w:val="15"/>
              </w:rPr>
            </w:pPr>
            <w:r>
              <w:rPr>
                <w:sz w:val="15"/>
              </w:rPr>
              <w:t>67.52</w:t>
            </w:r>
          </w:p>
        </w:tc>
        <w:tc>
          <w:tcPr>
            <w:tcW w:w="81" w:type="dxa"/>
            <w:tcBorders>
              <w:bottom w:val="single" w:sz="8" w:space="0" w:color="000000"/>
            </w:tcBorders>
          </w:tcPr>
          <w:p>
            <w:pPr>
              <w:pStyle w:val="TableParagraph"/>
              <w:rPr>
                <w:rFonts w:ascii="Times New Roman"/>
                <w:sz w:val="20"/>
              </w:rPr>
            </w:pPr>
          </w:p>
        </w:tc>
      </w:tr>
    </w:tbl>
    <w:p>
      <w:pPr>
        <w:pStyle w:val="ListParagraph"/>
        <w:numPr>
          <w:ilvl w:val="1"/>
          <w:numId w:val="6"/>
        </w:numPr>
        <w:tabs>
          <w:tab w:pos="1138" w:val="left" w:leader="none"/>
        </w:tabs>
        <w:spacing w:line="295" w:lineRule="auto" w:before="56" w:after="0"/>
        <w:ind w:left="237" w:right="1206" w:firstLine="480"/>
        <w:jc w:val="left"/>
        <w:rPr>
          <w:sz w:val="24"/>
        </w:rPr>
      </w:pPr>
      <w:r>
        <w:rPr>
          <w:spacing w:val="-8"/>
          <w:sz w:val="24"/>
        </w:rPr>
        <w:t>释放曲线 利用 </w:t>
      </w:r>
      <w:r>
        <w:rPr>
          <w:sz w:val="24"/>
        </w:rPr>
        <w:t>EXCEL2013</w:t>
      </w:r>
      <w:r>
        <w:rPr>
          <w:spacing w:val="-9"/>
          <w:sz w:val="24"/>
        </w:rPr>
        <w:t> 对万古霉素骨水泥局部释放率与时间绘制释放曲线，曲</w:t>
      </w:r>
      <w:r>
        <w:rPr>
          <w:spacing w:val="-13"/>
          <w:sz w:val="24"/>
        </w:rPr>
        <w:t>线图见图 </w:t>
      </w:r>
      <w:r>
        <w:rPr>
          <w:sz w:val="24"/>
        </w:rPr>
        <w:t>1，</w:t>
      </w:r>
      <w:r>
        <w:rPr>
          <w:spacing w:val="-5"/>
          <w:sz w:val="24"/>
        </w:rPr>
        <w:t>累计释放量时间曲线见图 </w:t>
      </w:r>
      <w:r>
        <w:rPr>
          <w:sz w:val="24"/>
        </w:rPr>
        <w:t>2</w:t>
      </w:r>
    </w:p>
    <w:p>
      <w:pPr>
        <w:tabs>
          <w:tab w:pos="5693" w:val="left" w:leader="none"/>
        </w:tabs>
        <w:spacing w:line="242" w:lineRule="exact" w:before="0"/>
        <w:ind w:left="237" w:right="0" w:firstLine="0"/>
        <w:jc w:val="left"/>
        <w:rPr>
          <w:rFonts w:ascii="华文楷体" w:eastAsia="华文楷体" w:hint="eastAsia"/>
          <w:sz w:val="18"/>
        </w:rPr>
      </w:pPr>
      <w:r>
        <w:rPr/>
        <w:pict>
          <v:group style="position:absolute;margin-left:57.863159pt;margin-top:22.093538pt;width:260.6pt;height:142.15pt;mso-position-horizontal-relative:page;mso-position-vertical-relative:paragraph;z-index:-253968384" coordorigin="1157,442" coordsize="5212,2843">
            <v:rect style="position:absolute;left:1157;top:441;width:5200;height:2831" filled="true" fillcolor="#c6eccc" stroked="false">
              <v:fill type="solid"/>
            </v:rect>
            <v:shape style="position:absolute;left:1158;top:11251;width:3780;height:1740" coordorigin="1158,11252" coordsize="3780,1740" path="m2232,2403l2232,664m2232,2403l6015,2403e" filled="false" stroked="true" strokeweight=".600044pt" strokecolor="#bebebe">
              <v:path arrowok="t"/>
              <v:stroke dashstyle="solid"/>
            </v:shape>
            <v:shape style="position:absolute;left:2226;top:849;width:349;height:1560" coordorigin="2226,850" coordsize="349,1560" path="m2226,2409l2243,2331,2259,2249,2275,2162,2291,2071,2306,1978,2322,1883,2338,1787,2354,1691,2369,1596,2385,1503,2401,1412,2417,1325,2433,1243,2450,1165,2466,1094,2483,1031,2518,928,2555,864,2574,850e" filled="false" stroked="true" strokeweight="1.200825pt" strokecolor="#5b9bd4">
              <v:path arrowok="t"/>
              <v:stroke dashstyle="solid"/>
            </v:shape>
            <v:shape style="position:absolute;left:1500;top:11437;width:2268;height:1537" coordorigin="1500,11438" coordsize="2268,1537" path="m2574,850l2597,850,2620,867,2644,900,2668,947,2693,1007,2718,1077,2744,1155,2769,1240,2795,1330,2822,1422,2848,1515,2874,1608,2901,1697,2927,1782,2953,1860,2979,1930,3005,1990,3031,2037,3091,2121,3155,2182,3220,2225,3286,2255,3351,2276,3415,2294,3475,2313,3551,2336,3627,2349,3703,2354,3779,2355,3855,2356,3931,2359m3931,2361l4007,2364,4083,2366,4160,2368,4236,2370,4312,2371,4388,2373,4464,2375,4540,2377,4616,2379,4692,2381,4768,2383,4844,2385e" filled="false" stroked="true" strokeweight="1.200087pt" strokecolor="#5b9bd4">
              <v:path arrowok="t"/>
              <v:stroke dashstyle="solid"/>
            </v:shape>
            <v:shape style="position:absolute;left:3768;top:12973;width:912;height:23" coordorigin="3768,12974" coordsize="912,23" path="m4844,2385l4920,2387,4996,2389,5072,2391,5148,2393,5224,2395,5300,2397m5300,2397l5376,2401,5452,2404,5529,2405,5605,2405,5681,2406,5757,2407e" filled="false" stroked="true" strokeweight="1.200087pt" strokecolor="#5b9bd4">
              <v:path arrowok="t"/>
              <v:stroke dashstyle="solid"/>
            </v:shape>
            <v:rect style="position:absolute;left:1163;top:447;width:5200;height:2831" filled="false" stroked="true" strokeweight=".600422pt" strokecolor="#d9d9d9">
              <v:stroke dashstyle="solid"/>
            </v:rect>
            <v:shape style="position:absolute;left:1710;top:1317;width:386;height:1176" type="#_x0000_t202" filled="false" stroked="false">
              <v:textbox inset="0,0,0,0">
                <w:txbxContent>
                  <w:p>
                    <w:pPr>
                      <w:spacing w:line="123" w:lineRule="exact" w:before="0"/>
                      <w:ind w:left="0" w:right="0" w:firstLine="0"/>
                      <w:jc w:val="left"/>
                      <w:rPr>
                        <w:rFonts w:ascii="Calibri"/>
                        <w:sz w:val="12"/>
                      </w:rPr>
                    </w:pPr>
                    <w:r>
                      <w:rPr>
                        <w:rFonts w:ascii="Calibri"/>
                        <w:color w:val="585858"/>
                        <w:sz w:val="12"/>
                      </w:rPr>
                      <w:t>3.000%</w:t>
                    </w:r>
                  </w:p>
                  <w:p>
                    <w:pPr>
                      <w:spacing w:before="29"/>
                      <w:ind w:left="0" w:right="0" w:firstLine="0"/>
                      <w:jc w:val="left"/>
                      <w:rPr>
                        <w:rFonts w:ascii="Calibri"/>
                        <w:sz w:val="12"/>
                      </w:rPr>
                    </w:pPr>
                    <w:r>
                      <w:rPr>
                        <w:rFonts w:ascii="Calibri"/>
                        <w:color w:val="585858"/>
                        <w:sz w:val="12"/>
                      </w:rPr>
                      <w:t>2.500%</w:t>
                    </w:r>
                  </w:p>
                  <w:p>
                    <w:pPr>
                      <w:spacing w:before="30"/>
                      <w:ind w:left="0" w:right="0" w:firstLine="0"/>
                      <w:jc w:val="left"/>
                      <w:rPr>
                        <w:rFonts w:ascii="Calibri"/>
                        <w:sz w:val="12"/>
                      </w:rPr>
                    </w:pPr>
                    <w:r>
                      <w:rPr>
                        <w:rFonts w:ascii="Calibri"/>
                        <w:color w:val="585858"/>
                        <w:sz w:val="12"/>
                      </w:rPr>
                      <w:t>2.000%</w:t>
                    </w:r>
                  </w:p>
                  <w:p>
                    <w:pPr>
                      <w:spacing w:before="29"/>
                      <w:ind w:left="0" w:right="0" w:firstLine="0"/>
                      <w:jc w:val="left"/>
                      <w:rPr>
                        <w:rFonts w:ascii="Calibri"/>
                        <w:sz w:val="12"/>
                      </w:rPr>
                    </w:pPr>
                    <w:r>
                      <w:rPr>
                        <w:rFonts w:ascii="Calibri"/>
                        <w:color w:val="585858"/>
                        <w:sz w:val="12"/>
                      </w:rPr>
                      <w:t>1.500%</w:t>
                    </w:r>
                  </w:p>
                  <w:p>
                    <w:pPr>
                      <w:spacing w:before="29"/>
                      <w:ind w:left="0" w:right="0" w:firstLine="0"/>
                      <w:jc w:val="left"/>
                      <w:rPr>
                        <w:rFonts w:ascii="Calibri"/>
                        <w:sz w:val="12"/>
                      </w:rPr>
                    </w:pPr>
                    <w:r>
                      <w:rPr>
                        <w:rFonts w:ascii="Calibri"/>
                        <w:color w:val="585858"/>
                        <w:sz w:val="12"/>
                      </w:rPr>
                      <w:t>1.000%</w:t>
                    </w:r>
                  </w:p>
                  <w:p>
                    <w:pPr>
                      <w:spacing w:before="29"/>
                      <w:ind w:left="0" w:right="0" w:firstLine="0"/>
                      <w:jc w:val="left"/>
                      <w:rPr>
                        <w:rFonts w:ascii="Calibri"/>
                        <w:sz w:val="12"/>
                      </w:rPr>
                    </w:pPr>
                    <w:r>
                      <w:rPr>
                        <w:rFonts w:ascii="Calibri"/>
                        <w:color w:val="585858"/>
                        <w:sz w:val="12"/>
                      </w:rPr>
                      <w:t>0.500%</w:t>
                    </w:r>
                  </w:p>
                  <w:p>
                    <w:pPr>
                      <w:spacing w:line="144" w:lineRule="exact" w:before="30"/>
                      <w:ind w:left="0" w:right="0" w:firstLine="0"/>
                      <w:jc w:val="left"/>
                      <w:rPr>
                        <w:rFonts w:ascii="Calibri"/>
                        <w:sz w:val="12"/>
                      </w:rPr>
                    </w:pPr>
                    <w:r>
                      <w:rPr>
                        <w:rFonts w:ascii="Calibri"/>
                        <w:color w:val="585858"/>
                        <w:sz w:val="12"/>
                      </w:rPr>
                      <w:t>0.000%</w:t>
                    </w:r>
                  </w:p>
                </w:txbxContent>
              </v:textbox>
              <w10:wrap type="none"/>
            </v:shape>
            <v:shape style="position:absolute;left:2182;top:2595;width:3944;height:430" type="#_x0000_t202" filled="false" stroked="false">
              <v:textbox inset="0,0,0,0">
                <w:txbxContent>
                  <w:p>
                    <w:pPr>
                      <w:tabs>
                        <w:tab w:pos="343" w:val="left" w:leader="none"/>
                        <w:tab w:pos="723" w:val="left" w:leader="none"/>
                        <w:tab w:pos="1104" w:val="left" w:leader="none"/>
                        <w:tab w:pos="1484" w:val="left" w:leader="none"/>
                        <w:tab w:pos="1840" w:val="left" w:leader="none"/>
                      </w:tabs>
                      <w:spacing w:line="138" w:lineRule="exact" w:before="0"/>
                      <w:ind w:left="-1" w:right="18" w:firstLine="0"/>
                      <w:jc w:val="center"/>
                      <w:rPr>
                        <w:sz w:val="12"/>
                      </w:rPr>
                    </w:pPr>
                    <w:r>
                      <w:rPr>
                        <w:color w:val="333333"/>
                        <w:sz w:val="12"/>
                      </w:rPr>
                      <w:t>0</w:t>
                      <w:tab/>
                      <w:t>20</w:t>
                      <w:tab/>
                      <w:t>40</w:t>
                      <w:tab/>
                      <w:t>60</w:t>
                      <w:tab/>
                      <w:t>80</w:t>
                      <w:tab/>
                      <w:t>100</w:t>
                    </w:r>
                    <w:r>
                      <w:rPr>
                        <w:color w:val="333333"/>
                        <w:spacing w:val="20"/>
                        <w:sz w:val="12"/>
                      </w:rPr>
                      <w:t> </w:t>
                    </w:r>
                    <w:r>
                      <w:rPr>
                        <w:color w:val="333333"/>
                        <w:sz w:val="12"/>
                      </w:rPr>
                      <w:t>120</w:t>
                    </w:r>
                    <w:r>
                      <w:rPr>
                        <w:color w:val="333333"/>
                        <w:spacing w:val="20"/>
                        <w:sz w:val="12"/>
                      </w:rPr>
                      <w:t> </w:t>
                    </w:r>
                    <w:r>
                      <w:rPr>
                        <w:color w:val="333333"/>
                        <w:sz w:val="12"/>
                      </w:rPr>
                      <w:t>140</w:t>
                    </w:r>
                    <w:r>
                      <w:rPr>
                        <w:color w:val="333333"/>
                        <w:spacing w:val="20"/>
                        <w:sz w:val="12"/>
                      </w:rPr>
                      <w:t> </w:t>
                    </w:r>
                    <w:r>
                      <w:rPr>
                        <w:color w:val="333333"/>
                        <w:sz w:val="12"/>
                      </w:rPr>
                      <w:t>160</w:t>
                    </w:r>
                    <w:r>
                      <w:rPr>
                        <w:color w:val="333333"/>
                        <w:spacing w:val="20"/>
                        <w:sz w:val="12"/>
                      </w:rPr>
                      <w:t> </w:t>
                    </w:r>
                    <w:r>
                      <w:rPr>
                        <w:color w:val="333333"/>
                        <w:sz w:val="12"/>
                      </w:rPr>
                      <w:t>180</w:t>
                    </w:r>
                    <w:r>
                      <w:rPr>
                        <w:color w:val="333333"/>
                        <w:spacing w:val="20"/>
                        <w:sz w:val="12"/>
                      </w:rPr>
                      <w:t> </w:t>
                    </w:r>
                    <w:r>
                      <w:rPr>
                        <w:color w:val="333333"/>
                        <w:spacing w:val="-5"/>
                        <w:sz w:val="12"/>
                      </w:rPr>
                      <w:t>200</w:t>
                    </w:r>
                  </w:p>
                  <w:p>
                    <w:pPr>
                      <w:spacing w:line="240" w:lineRule="auto" w:before="0"/>
                      <w:rPr>
                        <w:sz w:val="12"/>
                      </w:rPr>
                    </w:pPr>
                  </w:p>
                  <w:p>
                    <w:pPr>
                      <w:spacing w:line="137" w:lineRule="exact" w:before="1"/>
                      <w:ind w:left="18" w:right="18" w:firstLine="0"/>
                      <w:jc w:val="center"/>
                      <w:rPr>
                        <w:sz w:val="12"/>
                      </w:rPr>
                    </w:pPr>
                    <w:r>
                      <w:rPr>
                        <w:sz w:val="12"/>
                      </w:rPr>
                      <w:t>时间 （h）</w:t>
                    </w:r>
                  </w:p>
                </w:txbxContent>
              </v:textbox>
              <w10:wrap type="none"/>
            </v:shape>
            <w10:wrap type="none"/>
          </v:group>
        </w:pict>
      </w:r>
      <w:r>
        <w:rPr/>
        <w:pict>
          <v:group style="position:absolute;margin-left:361.581329pt;margin-top:38.823441pt;width:189.45pt;height:78.25pt;mso-position-horizontal-relative:page;mso-position-vertical-relative:paragraph;z-index:251669504" coordorigin="7232,776" coordsize="3789,1565">
            <v:shape style="position:absolute;left:1136;top:11238;width:3853;height:1740" coordorigin="1136,11238" coordsize="3853,1740" path="m7284,2294l7284,782m7284,2294l7318,2294m7284,2075l7318,2075m7284,1866l7318,1866m7284,1647l7318,1647m7284,1428l7318,1428m7284,1209l7318,1209m7284,1001l7318,1001m7284,782l7318,782m7284,2294l11014,2294m7284,2263l7284,2294m8213,2263l8213,2294m9143,2263l9143,2294m10084,2263l10084,2294m11014,2263l11014,2294e" filled="false" stroked="true" strokeweight=".551285pt" strokecolor="#000000">
              <v:path arrowok="t"/>
              <v:stroke dashstyle="solid"/>
            </v:shape>
            <v:shape style="position:absolute;left:7283;top:979;width:3463;height:1315" coordorigin="7284,980" coordsize="3463,1315" path="m7284,2294l7309,2218,7334,2138,7359,2056,7383,1972,7407,1889,7432,1805,7457,1724,7482,1645,7507,1570,7534,1500,7561,1435,7589,1377,7677,1255,7738,1204,7802,1170,7868,1147,7935,1132,8001,1118,8066,1101,8140,1082,8214,1070,8289,1062,8363,1057,8438,1052,8512,1046,8587,1040,8661,1034,8736,1029,8810,1025,8885,1021,8959,1017,9034,1013,9108,1009,9183,1006,9257,1003,9332,1000,9406,997,9480,995,9555,993,9629,991,9704,989,9778,987,9853,986,9927,985,10002,984,10076,984,10151,983,10225,983,10300,982,10379,982,10465,981,10551,981,10631,980,10698,980,10747,980e" filled="false" stroked="true" strokeweight=".529032pt" strokecolor="#000080">
              <v:path arrowok="t"/>
              <v:stroke dashstyle="solid"/>
            </v:shape>
            <v:shape style="position:absolute;left:7237;top:2248;width:98;height:88" coordorigin="7237,2249" coordsize="98,88" path="m7286,2249l7237,2292,7286,2336,7334,2292,7286,2249xe" filled="true" fillcolor="#000080" stroked="false">
              <v:path arrowok="t"/>
              <v:fill type="solid"/>
            </v:shape>
            <v:shape style="position:absolute;left:7237;top:2248;width:98;height:88" coordorigin="7237,2249" coordsize="98,88" path="m7286,2336l7237,2292,7286,2249,7334,2292,7286,2336e" filled="false" stroked="true" strokeweight=".548067pt" strokecolor="#000080">
              <v:path arrowok="t"/>
              <v:stroke dashstyle="solid"/>
            </v:shape>
            <v:shape style="position:absolute;left:7573;top:1284;width:98;height:88" coordorigin="7573,1285" coordsize="98,88" path="m7622,1285l7573,1328,7622,1372,7670,1328,7622,1285xe" filled="true" fillcolor="#000080" stroked="false">
              <v:path arrowok="t"/>
              <v:fill type="solid"/>
            </v:shape>
            <v:shape style="position:absolute;left:7573;top:1284;width:98;height:88" coordorigin="7573,1285" coordsize="98,88" path="m7622,1372l7573,1328,7622,1285,7670,1328,7622,1372e" filled="false" stroked="true" strokeweight=".548079pt" strokecolor="#000080">
              <v:path arrowok="t"/>
              <v:stroke dashstyle="solid"/>
            </v:shape>
            <v:shape style="position:absolute;left:8020;top:1059;width:98;height:88" coordorigin="8021,1059" coordsize="98,88" path="m8069,1059l8021,1103,8069,1146,8118,1103,8069,1059xe" filled="true" fillcolor="#000080" stroked="false">
              <v:path arrowok="t"/>
              <v:fill type="solid"/>
            </v:shape>
            <v:shape style="position:absolute;left:8020;top:1059;width:98;height:88" coordorigin="8021,1059" coordsize="98,88" path="m8069,1146l8021,1103,8069,1059,8118,1103,8069,1146e" filled="false" stroked="true" strokeweight=".548085pt" strokecolor="#000080">
              <v:path arrowok="t"/>
              <v:stroke dashstyle="solid"/>
            </v:shape>
            <v:shape style="position:absolute;left:8468;top:1004;width:98;height:88" coordorigin="8469,1005" coordsize="98,88" path="m8517,1005l8469,1048,8517,1092,8566,1048,8517,1005xe" filled="true" fillcolor="#000080" stroked="false">
              <v:path arrowok="t"/>
              <v:fill type="solid"/>
            </v:shape>
            <v:shape style="position:absolute;left:8468;top:1004;width:98;height:88" coordorigin="8469,1005" coordsize="98,88" path="m8517,1092l8469,1048,8517,1005,8566,1048,8517,1092e" filled="false" stroked="true" strokeweight=".548085pt" strokecolor="#000080">
              <v:path arrowok="t"/>
              <v:stroke dashstyle="solid"/>
            </v:shape>
            <v:shape style="position:absolute;left:8916;top:974;width:98;height:88" coordorigin="8916,975" coordsize="98,88" path="m8965,975l8916,1018,8965,1062,9013,1018,8965,975xe" filled="true" fillcolor="#000080" stroked="false">
              <v:path arrowok="t"/>
              <v:fill type="solid"/>
            </v:shape>
            <v:shape style="position:absolute;left:8916;top:974;width:98;height:88" coordorigin="8916,975" coordsize="98,88" path="m8965,1062l8916,1018,8965,975,9013,1018,8965,1062e" filled="false" stroked="true" strokeweight=".548085pt" strokecolor="#000080">
              <v:path arrowok="t"/>
              <v:stroke dashstyle="solid"/>
            </v:shape>
            <v:shape style="position:absolute;left:9364;top:955;width:98;height:88" coordorigin="9364,956" coordsize="98,88" path="m9413,956l9364,999,9413,1043,9461,999,9413,956xe" filled="true" fillcolor="#000080" stroked="false">
              <v:path arrowok="t"/>
              <v:fill type="solid"/>
            </v:shape>
            <v:shape style="position:absolute;left:9364;top:955;width:98;height:88" coordorigin="9364,956" coordsize="98,88" path="m9413,1043l9364,999,9413,956,9461,999,9413,1043e" filled="false" stroked="true" strokeweight=".548085pt" strokecolor="#000080">
              <v:path arrowok="t"/>
              <v:stroke dashstyle="solid"/>
            </v:shape>
            <v:shape style="position:absolute;left:9811;top:944;width:98;height:88" coordorigin="9812,944" coordsize="98,88" path="m9861,944l9812,988,9861,1031,9909,988,9861,944xe" filled="true" fillcolor="#000080" stroked="false">
              <v:path arrowok="t"/>
              <v:fill type="solid"/>
            </v:shape>
            <v:shape style="position:absolute;left:9811;top:944;width:98;height:88" coordorigin="9812,944" coordsize="98,88" path="m9861,1031l9812,988,9861,944,9909,988,9861,1031e" filled="false" stroked="true" strokeweight=".548085pt" strokecolor="#000080">
              <v:path arrowok="t"/>
              <v:stroke dashstyle="solid"/>
            </v:shape>
            <v:shape style="position:absolute;left:10259;top:940;width:98;height:88" coordorigin="10260,941" coordsize="98,88" path="m10308,941l10260,984,10308,1028,10357,984,10308,941xe" filled="true" fillcolor="#000080" stroked="false">
              <v:path arrowok="t"/>
              <v:fill type="solid"/>
            </v:shape>
            <v:shape style="position:absolute;left:10259;top:940;width:98;height:88" coordorigin="10260,941" coordsize="98,88" path="m10308,1028l10260,984,10308,941,10357,984,10308,1028e" filled="false" stroked="true" strokeweight=".548085pt" strokecolor="#000080">
              <v:path arrowok="t"/>
              <v:stroke dashstyle="solid"/>
            </v:shape>
            <v:shape style="position:absolute;left:10707;top:938;width:98;height:88" coordorigin="10708,938" coordsize="98,88" path="m10756,938l10708,982,10756,1025,10805,982,10756,938xe" filled="true" fillcolor="#000080" stroked="false">
              <v:path arrowok="t"/>
              <v:fill type="solid"/>
            </v:shape>
            <v:shape style="position:absolute;left:10707;top:938;width:98;height:88" coordorigin="10708,938" coordsize="98,88" path="m10756,1025l10708,982,10756,938,10805,982,10756,1025e" filled="false" stroked="true" strokeweight=".548085pt" strokecolor="#000080">
              <v:path arrowok="t"/>
              <v:stroke dashstyle="solid"/>
            </v:shape>
            <w10:wrap type="none"/>
          </v:group>
        </w:pict>
      </w:r>
      <w:r>
        <w:rPr>
          <w:rFonts w:ascii="华文楷体" w:eastAsia="华文楷体" w:hint="eastAsia"/>
          <w:sz w:val="18"/>
        </w:rPr>
        <w:t>图1万古霉素骨水泥局部释放百分率-时间曲线</w:t>
        <w:tab/>
        <w:t>图2万古霉素骨水泥</w:t>
      </w:r>
      <w:r>
        <w:rPr>
          <w:rFonts w:ascii="华文楷体" w:eastAsia="华文楷体" w:hint="eastAsia"/>
          <w:spacing w:val="-3"/>
          <w:sz w:val="18"/>
        </w:rPr>
        <w:t>局</w:t>
      </w:r>
      <w:r>
        <w:rPr>
          <w:rFonts w:ascii="华文楷体" w:eastAsia="华文楷体" w:hint="eastAsia"/>
          <w:sz w:val="18"/>
        </w:rPr>
        <w:t>部累计释放量-时间曲线</w:t>
      </w:r>
    </w:p>
    <w:p>
      <w:pPr>
        <w:pStyle w:val="BodyText"/>
        <w:spacing w:before="9"/>
        <w:ind w:left="0"/>
        <w:rPr>
          <w:rFonts w:ascii="华文楷体"/>
          <w:sz w:val="14"/>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8"/>
        <w:gridCol w:w="256"/>
        <w:gridCol w:w="392"/>
        <w:gridCol w:w="380"/>
        <w:gridCol w:w="380"/>
        <w:gridCol w:w="1528"/>
        <w:gridCol w:w="1410"/>
        <w:gridCol w:w="711"/>
      </w:tblGrid>
      <w:tr>
        <w:trPr>
          <w:trHeight w:val="281" w:hRule="atLeast"/>
        </w:trPr>
        <w:tc>
          <w:tcPr>
            <w:tcW w:w="468" w:type="dxa"/>
            <w:shd w:val="clear" w:color="auto" w:fill="C6ECCC"/>
          </w:tcPr>
          <w:p>
            <w:pPr>
              <w:pStyle w:val="TableParagraph"/>
              <w:spacing w:before="11"/>
              <w:rPr>
                <w:rFonts w:ascii="华文楷体"/>
                <w:sz w:val="6"/>
              </w:rPr>
            </w:pPr>
          </w:p>
          <w:p>
            <w:pPr>
              <w:pStyle w:val="TableParagraph"/>
              <w:ind w:left="50"/>
              <w:rPr>
                <w:rFonts w:ascii="Calibri"/>
                <w:sz w:val="12"/>
              </w:rPr>
            </w:pPr>
            <w:r>
              <w:rPr>
                <w:rFonts w:ascii="Calibri"/>
                <w:color w:val="585858"/>
                <w:sz w:val="12"/>
              </w:rPr>
              <w:t>5.000%</w:t>
            </w:r>
          </w:p>
        </w:tc>
        <w:tc>
          <w:tcPr>
            <w:tcW w:w="256" w:type="dxa"/>
            <w:shd w:val="clear" w:color="auto" w:fill="C6ECCC"/>
          </w:tcPr>
          <w:p>
            <w:pPr>
              <w:pStyle w:val="TableParagraph"/>
              <w:rPr>
                <w:rFonts w:ascii="Times New Roman"/>
                <w:sz w:val="20"/>
              </w:rPr>
            </w:pPr>
          </w:p>
        </w:tc>
        <w:tc>
          <w:tcPr>
            <w:tcW w:w="392" w:type="dxa"/>
            <w:shd w:val="clear" w:color="auto" w:fill="C6ECCC"/>
          </w:tcPr>
          <w:p>
            <w:pPr>
              <w:pStyle w:val="TableParagraph"/>
              <w:rPr>
                <w:rFonts w:ascii="Times New Roman"/>
                <w:sz w:val="20"/>
              </w:rPr>
            </w:pPr>
          </w:p>
        </w:tc>
        <w:tc>
          <w:tcPr>
            <w:tcW w:w="380" w:type="dxa"/>
            <w:shd w:val="clear" w:color="auto" w:fill="C6ECCC"/>
          </w:tcPr>
          <w:p>
            <w:pPr>
              <w:pStyle w:val="TableParagraph"/>
              <w:rPr>
                <w:rFonts w:ascii="Times New Roman"/>
                <w:sz w:val="20"/>
              </w:rPr>
            </w:pPr>
          </w:p>
        </w:tc>
        <w:tc>
          <w:tcPr>
            <w:tcW w:w="380" w:type="dxa"/>
            <w:shd w:val="clear" w:color="auto" w:fill="C6ECCC"/>
          </w:tcPr>
          <w:p>
            <w:pPr>
              <w:pStyle w:val="TableParagraph"/>
              <w:rPr>
                <w:rFonts w:ascii="Times New Roman"/>
                <w:sz w:val="20"/>
              </w:rPr>
            </w:pPr>
          </w:p>
        </w:tc>
        <w:tc>
          <w:tcPr>
            <w:tcW w:w="1528" w:type="dxa"/>
            <w:shd w:val="clear" w:color="auto" w:fill="C6ECCC"/>
          </w:tcPr>
          <w:p>
            <w:pPr>
              <w:pStyle w:val="TableParagraph"/>
              <w:rPr>
                <w:rFonts w:ascii="Times New Roman"/>
                <w:sz w:val="20"/>
              </w:rPr>
            </w:pPr>
          </w:p>
        </w:tc>
        <w:tc>
          <w:tcPr>
            <w:tcW w:w="1410" w:type="dxa"/>
            <w:shd w:val="clear" w:color="auto" w:fill="C6ECCC"/>
          </w:tcPr>
          <w:p>
            <w:pPr>
              <w:pStyle w:val="TableParagraph"/>
              <w:rPr>
                <w:rFonts w:ascii="Times New Roman"/>
                <w:sz w:val="20"/>
              </w:rPr>
            </w:pPr>
          </w:p>
        </w:tc>
        <w:tc>
          <w:tcPr>
            <w:tcW w:w="711" w:type="dxa"/>
          </w:tcPr>
          <w:p>
            <w:pPr>
              <w:pStyle w:val="TableParagraph"/>
              <w:rPr>
                <w:rFonts w:ascii="Times New Roman"/>
                <w:sz w:val="20"/>
              </w:rPr>
            </w:pPr>
          </w:p>
        </w:tc>
      </w:tr>
      <w:tr>
        <w:trPr>
          <w:trHeight w:val="167" w:hRule="atLeast"/>
        </w:trPr>
        <w:tc>
          <w:tcPr>
            <w:tcW w:w="468" w:type="dxa"/>
            <w:shd w:val="clear" w:color="auto" w:fill="C6ECCC"/>
          </w:tcPr>
          <w:p>
            <w:pPr>
              <w:pStyle w:val="TableParagraph"/>
              <w:spacing w:line="144" w:lineRule="exact" w:before="4"/>
              <w:ind w:left="50"/>
              <w:rPr>
                <w:rFonts w:ascii="Calibri"/>
                <w:sz w:val="12"/>
              </w:rPr>
            </w:pPr>
            <w:r>
              <w:rPr>
                <w:rFonts w:ascii="Calibri"/>
                <w:color w:val="585858"/>
                <w:sz w:val="12"/>
              </w:rPr>
              <w:t>4.500%</w:t>
            </w:r>
          </w:p>
        </w:tc>
        <w:tc>
          <w:tcPr>
            <w:tcW w:w="256" w:type="dxa"/>
            <w:shd w:val="clear" w:color="auto" w:fill="C6ECCC"/>
          </w:tcPr>
          <w:p>
            <w:pPr>
              <w:pStyle w:val="TableParagraph"/>
              <w:rPr>
                <w:rFonts w:ascii="Times New Roman"/>
                <w:sz w:val="10"/>
              </w:rPr>
            </w:pPr>
          </w:p>
        </w:tc>
        <w:tc>
          <w:tcPr>
            <w:tcW w:w="392" w:type="dxa"/>
            <w:shd w:val="clear" w:color="auto" w:fill="C6ECCC"/>
          </w:tcPr>
          <w:p>
            <w:pPr>
              <w:pStyle w:val="TableParagraph"/>
              <w:rPr>
                <w:rFonts w:ascii="Times New Roman"/>
                <w:sz w:val="10"/>
              </w:rPr>
            </w:pPr>
          </w:p>
        </w:tc>
        <w:tc>
          <w:tcPr>
            <w:tcW w:w="380" w:type="dxa"/>
            <w:shd w:val="clear" w:color="auto" w:fill="C6ECCC"/>
          </w:tcPr>
          <w:p>
            <w:pPr>
              <w:pStyle w:val="TableParagraph"/>
              <w:rPr>
                <w:rFonts w:ascii="Times New Roman"/>
                <w:sz w:val="10"/>
              </w:rPr>
            </w:pPr>
          </w:p>
        </w:tc>
        <w:tc>
          <w:tcPr>
            <w:tcW w:w="380" w:type="dxa"/>
            <w:shd w:val="clear" w:color="auto" w:fill="C6ECCC"/>
          </w:tcPr>
          <w:p>
            <w:pPr>
              <w:pStyle w:val="TableParagraph"/>
              <w:rPr>
                <w:rFonts w:ascii="Times New Roman"/>
                <w:sz w:val="10"/>
              </w:rPr>
            </w:pPr>
          </w:p>
        </w:tc>
        <w:tc>
          <w:tcPr>
            <w:tcW w:w="1528" w:type="dxa"/>
            <w:shd w:val="clear" w:color="auto" w:fill="C6ECCC"/>
          </w:tcPr>
          <w:p>
            <w:pPr>
              <w:pStyle w:val="TableParagraph"/>
              <w:rPr>
                <w:rFonts w:ascii="Times New Roman"/>
                <w:sz w:val="10"/>
              </w:rPr>
            </w:pPr>
          </w:p>
        </w:tc>
        <w:tc>
          <w:tcPr>
            <w:tcW w:w="1410" w:type="dxa"/>
            <w:shd w:val="clear" w:color="auto" w:fill="C6ECCC"/>
          </w:tcPr>
          <w:p>
            <w:pPr>
              <w:pStyle w:val="TableParagraph"/>
              <w:rPr>
                <w:rFonts w:ascii="Times New Roman"/>
                <w:sz w:val="10"/>
              </w:rPr>
            </w:pPr>
          </w:p>
        </w:tc>
        <w:tc>
          <w:tcPr>
            <w:tcW w:w="711" w:type="dxa"/>
          </w:tcPr>
          <w:p>
            <w:pPr>
              <w:pStyle w:val="TableParagraph"/>
              <w:spacing w:line="88" w:lineRule="exact"/>
              <w:ind w:right="46"/>
              <w:jc w:val="right"/>
              <w:rPr>
                <w:sz w:val="10"/>
              </w:rPr>
            </w:pPr>
            <w:r>
              <w:rPr>
                <w:w w:val="115"/>
                <w:sz w:val="10"/>
              </w:rPr>
              <w:t>7.00%</w:t>
            </w:r>
          </w:p>
        </w:tc>
      </w:tr>
      <w:tr>
        <w:trPr>
          <w:trHeight w:val="184" w:hRule="atLeast"/>
        </w:trPr>
        <w:tc>
          <w:tcPr>
            <w:tcW w:w="468" w:type="dxa"/>
            <w:shd w:val="clear" w:color="auto" w:fill="C6ECCC"/>
          </w:tcPr>
          <w:p>
            <w:pPr>
              <w:pStyle w:val="TableParagraph"/>
              <w:spacing w:before="12"/>
              <w:ind w:left="50"/>
              <w:rPr>
                <w:rFonts w:ascii="Calibri"/>
                <w:sz w:val="12"/>
              </w:rPr>
            </w:pPr>
            <w:r>
              <w:rPr>
                <w:rFonts w:ascii="Calibri"/>
                <w:color w:val="585858"/>
                <w:sz w:val="12"/>
              </w:rPr>
              <w:t>4.000%</w:t>
            </w:r>
          </w:p>
        </w:tc>
        <w:tc>
          <w:tcPr>
            <w:tcW w:w="256" w:type="dxa"/>
            <w:shd w:val="clear" w:color="auto" w:fill="C6ECCC"/>
          </w:tcPr>
          <w:p>
            <w:pPr>
              <w:pStyle w:val="TableParagraph"/>
              <w:rPr>
                <w:rFonts w:ascii="Times New Roman"/>
                <w:sz w:val="12"/>
              </w:rPr>
            </w:pPr>
          </w:p>
        </w:tc>
        <w:tc>
          <w:tcPr>
            <w:tcW w:w="392" w:type="dxa"/>
            <w:shd w:val="clear" w:color="auto" w:fill="C6ECCC"/>
          </w:tcPr>
          <w:p>
            <w:pPr>
              <w:pStyle w:val="TableParagraph"/>
              <w:rPr>
                <w:rFonts w:ascii="Times New Roman"/>
                <w:sz w:val="12"/>
              </w:rPr>
            </w:pPr>
          </w:p>
        </w:tc>
        <w:tc>
          <w:tcPr>
            <w:tcW w:w="380" w:type="dxa"/>
            <w:shd w:val="clear" w:color="auto" w:fill="C6ECCC"/>
          </w:tcPr>
          <w:p>
            <w:pPr>
              <w:pStyle w:val="TableParagraph"/>
              <w:rPr>
                <w:rFonts w:ascii="Times New Roman"/>
                <w:sz w:val="12"/>
              </w:rPr>
            </w:pPr>
          </w:p>
        </w:tc>
        <w:tc>
          <w:tcPr>
            <w:tcW w:w="380" w:type="dxa"/>
            <w:shd w:val="clear" w:color="auto" w:fill="C6ECCC"/>
          </w:tcPr>
          <w:p>
            <w:pPr>
              <w:pStyle w:val="TableParagraph"/>
              <w:rPr>
                <w:rFonts w:ascii="Times New Roman"/>
                <w:sz w:val="12"/>
              </w:rPr>
            </w:pPr>
          </w:p>
        </w:tc>
        <w:tc>
          <w:tcPr>
            <w:tcW w:w="1528" w:type="dxa"/>
            <w:shd w:val="clear" w:color="auto" w:fill="C6ECCC"/>
          </w:tcPr>
          <w:p>
            <w:pPr>
              <w:pStyle w:val="TableParagraph"/>
              <w:rPr>
                <w:rFonts w:ascii="Times New Roman"/>
                <w:sz w:val="12"/>
              </w:rPr>
            </w:pPr>
          </w:p>
        </w:tc>
        <w:tc>
          <w:tcPr>
            <w:tcW w:w="1410" w:type="dxa"/>
            <w:shd w:val="clear" w:color="auto" w:fill="C6ECCC"/>
          </w:tcPr>
          <w:p>
            <w:pPr>
              <w:pStyle w:val="TableParagraph"/>
              <w:rPr>
                <w:rFonts w:ascii="Times New Roman"/>
                <w:sz w:val="12"/>
              </w:rPr>
            </w:pPr>
          </w:p>
        </w:tc>
        <w:tc>
          <w:tcPr>
            <w:tcW w:w="711" w:type="dxa"/>
          </w:tcPr>
          <w:p>
            <w:pPr>
              <w:pStyle w:val="TableParagraph"/>
              <w:spacing w:before="10"/>
              <w:ind w:right="46"/>
              <w:jc w:val="right"/>
              <w:rPr>
                <w:sz w:val="10"/>
              </w:rPr>
            </w:pPr>
            <w:r>
              <w:rPr>
                <w:w w:val="115"/>
                <w:sz w:val="10"/>
              </w:rPr>
              <w:t>6.00%</w:t>
            </w:r>
          </w:p>
        </w:tc>
      </w:tr>
      <w:tr>
        <w:trPr>
          <w:trHeight w:val="207" w:hRule="atLeast"/>
        </w:trPr>
        <w:tc>
          <w:tcPr>
            <w:tcW w:w="468" w:type="dxa"/>
            <w:shd w:val="clear" w:color="auto" w:fill="C6ECCC"/>
          </w:tcPr>
          <w:p>
            <w:pPr>
              <w:pStyle w:val="TableParagraph"/>
              <w:spacing w:before="4"/>
              <w:ind w:left="50"/>
              <w:rPr>
                <w:rFonts w:ascii="Calibri"/>
                <w:sz w:val="12"/>
              </w:rPr>
            </w:pPr>
            <w:r>
              <w:rPr>
                <w:rFonts w:ascii="Calibri"/>
                <w:color w:val="585858"/>
                <w:sz w:val="12"/>
              </w:rPr>
              <w:t>3.500%</w:t>
            </w:r>
          </w:p>
        </w:tc>
        <w:tc>
          <w:tcPr>
            <w:tcW w:w="256" w:type="dxa"/>
            <w:shd w:val="clear" w:color="auto" w:fill="C6ECCC"/>
          </w:tcPr>
          <w:p>
            <w:pPr>
              <w:pStyle w:val="TableParagraph"/>
              <w:rPr>
                <w:rFonts w:ascii="Times New Roman"/>
                <w:sz w:val="14"/>
              </w:rPr>
            </w:pPr>
          </w:p>
        </w:tc>
        <w:tc>
          <w:tcPr>
            <w:tcW w:w="392" w:type="dxa"/>
            <w:shd w:val="clear" w:color="auto" w:fill="C6ECCC"/>
          </w:tcPr>
          <w:p>
            <w:pPr>
              <w:pStyle w:val="TableParagraph"/>
              <w:rPr>
                <w:rFonts w:ascii="Times New Roman"/>
                <w:sz w:val="14"/>
              </w:rPr>
            </w:pPr>
          </w:p>
        </w:tc>
        <w:tc>
          <w:tcPr>
            <w:tcW w:w="380" w:type="dxa"/>
            <w:shd w:val="clear" w:color="auto" w:fill="C6ECCC"/>
          </w:tcPr>
          <w:p>
            <w:pPr>
              <w:pStyle w:val="TableParagraph"/>
              <w:rPr>
                <w:rFonts w:ascii="Times New Roman"/>
                <w:sz w:val="14"/>
              </w:rPr>
            </w:pPr>
          </w:p>
        </w:tc>
        <w:tc>
          <w:tcPr>
            <w:tcW w:w="380" w:type="dxa"/>
            <w:shd w:val="clear" w:color="auto" w:fill="C6ECCC"/>
          </w:tcPr>
          <w:p>
            <w:pPr>
              <w:pStyle w:val="TableParagraph"/>
              <w:rPr>
                <w:rFonts w:ascii="Times New Roman"/>
                <w:sz w:val="14"/>
              </w:rPr>
            </w:pPr>
          </w:p>
        </w:tc>
        <w:tc>
          <w:tcPr>
            <w:tcW w:w="1528" w:type="dxa"/>
            <w:shd w:val="clear" w:color="auto" w:fill="C6ECCC"/>
          </w:tcPr>
          <w:p>
            <w:pPr>
              <w:pStyle w:val="TableParagraph"/>
              <w:rPr>
                <w:rFonts w:ascii="Times New Roman"/>
                <w:sz w:val="14"/>
              </w:rPr>
            </w:pPr>
          </w:p>
        </w:tc>
        <w:tc>
          <w:tcPr>
            <w:tcW w:w="1410" w:type="dxa"/>
            <w:shd w:val="clear" w:color="auto" w:fill="C6ECCC"/>
          </w:tcPr>
          <w:p>
            <w:pPr>
              <w:pStyle w:val="TableParagraph"/>
              <w:rPr>
                <w:rFonts w:ascii="Times New Roman"/>
                <w:sz w:val="14"/>
              </w:rPr>
            </w:pPr>
          </w:p>
        </w:tc>
        <w:tc>
          <w:tcPr>
            <w:tcW w:w="711" w:type="dxa"/>
          </w:tcPr>
          <w:p>
            <w:pPr>
              <w:pStyle w:val="TableParagraph"/>
              <w:spacing w:line="115" w:lineRule="exact" w:before="42"/>
              <w:ind w:right="46"/>
              <w:jc w:val="right"/>
              <w:rPr>
                <w:sz w:val="10"/>
              </w:rPr>
            </w:pPr>
            <w:r>
              <w:rPr>
                <w:w w:val="115"/>
                <w:sz w:val="10"/>
              </w:rPr>
              <w:t>5.00%</w:t>
            </w:r>
          </w:p>
        </w:tc>
      </w:tr>
    </w:tbl>
    <w:p>
      <w:pPr>
        <w:spacing w:before="52"/>
        <w:ind w:left="1922" w:right="891" w:firstLine="0"/>
        <w:jc w:val="center"/>
        <w:rPr>
          <w:sz w:val="10"/>
        </w:rPr>
      </w:pPr>
      <w:r>
        <w:rPr/>
        <w:pict>
          <v:shape style="position:absolute;margin-left:70.295509pt;margin-top:-16.873283pt;width:8.0500pt;height:56.45pt;mso-position-horizontal-relative:page;mso-position-vertical-relative:paragraph;z-index:251670528" type="#_x0000_t202" filled="false" stroked="false">
            <v:textbox inset="0,0,0,0" style="layout-flow:vertical;mso-layout-flow-alt:bottom-to-top">
              <w:txbxContent>
                <w:p>
                  <w:pPr>
                    <w:spacing w:before="3"/>
                    <w:ind w:left="20" w:right="0" w:firstLine="0"/>
                    <w:jc w:val="left"/>
                    <w:rPr>
                      <w:sz w:val="12"/>
                    </w:rPr>
                  </w:pPr>
                  <w:r>
                    <w:rPr>
                      <w:sz w:val="12"/>
                    </w:rPr>
                    <w:t>植入局部释放百分率</w:t>
                  </w:r>
                </w:p>
              </w:txbxContent>
            </v:textbox>
            <w10:wrap type="none"/>
          </v:shape>
        </w:pict>
      </w:r>
      <w:r>
        <w:rPr/>
        <w:pict>
          <v:shape style="position:absolute;margin-left:329.088135pt;margin-top:-9.111483pt;width:7.9pt;height:39pt;mso-position-horizontal-relative:page;mso-position-vertical-relative:paragraph;z-index:-253965312" type="#_x0000_t202" filled="false" stroked="false">
            <v:textbox inset="0,0,0,0" style="layout-flow:vertical;mso-layout-flow-alt:bottom-to-top">
              <w:txbxContent>
                <w:p>
                  <w:pPr>
                    <w:spacing w:before="10"/>
                    <w:ind w:left="20" w:right="0" w:firstLine="0"/>
                    <w:jc w:val="left"/>
                    <w:rPr>
                      <w:sz w:val="11"/>
                    </w:rPr>
                  </w:pPr>
                  <w:r>
                    <w:rPr>
                      <w:w w:val="95"/>
                      <w:sz w:val="11"/>
                    </w:rPr>
                    <w:t>累积释药百分率</w:t>
                  </w:r>
                </w:p>
              </w:txbxContent>
            </v:textbox>
            <w10:wrap type="none"/>
          </v:shape>
        </w:pict>
      </w:r>
      <w:r>
        <w:rPr>
          <w:w w:val="115"/>
          <w:sz w:val="10"/>
        </w:rPr>
        <w:t>4.00%</w:t>
      </w:r>
    </w:p>
    <w:p>
      <w:pPr>
        <w:spacing w:after="0"/>
        <w:jc w:val="center"/>
        <w:rPr>
          <w:sz w:val="10"/>
        </w:rPr>
        <w:sectPr>
          <w:headerReference w:type="default" r:id="rId22"/>
          <w:footerReference w:type="default" r:id="rId23"/>
          <w:pgSz w:w="11910" w:h="16850"/>
          <w:pgMar w:header="0" w:footer="607" w:top="1100" w:bottom="800" w:left="1040" w:right="0"/>
          <w:pgNumType w:start="22"/>
        </w:sectPr>
      </w:pPr>
    </w:p>
    <w:p>
      <w:pPr>
        <w:spacing w:before="89"/>
        <w:ind w:left="0" w:right="0" w:firstLine="0"/>
        <w:jc w:val="right"/>
        <w:rPr>
          <w:sz w:val="10"/>
        </w:rPr>
      </w:pPr>
      <w:r>
        <w:rPr>
          <w:spacing w:val="-1"/>
          <w:w w:val="115"/>
          <w:sz w:val="10"/>
        </w:rPr>
        <w:t>3.00%</w:t>
      </w:r>
    </w:p>
    <w:p>
      <w:pPr>
        <w:spacing w:before="89"/>
        <w:ind w:left="0" w:right="0" w:firstLine="0"/>
        <w:jc w:val="right"/>
        <w:rPr>
          <w:sz w:val="10"/>
        </w:rPr>
      </w:pPr>
      <w:r>
        <w:rPr>
          <w:spacing w:val="-1"/>
          <w:w w:val="115"/>
          <w:sz w:val="10"/>
        </w:rPr>
        <w:t>2.00%</w:t>
      </w:r>
    </w:p>
    <w:p>
      <w:pPr>
        <w:spacing w:before="88"/>
        <w:ind w:left="0" w:right="0" w:firstLine="0"/>
        <w:jc w:val="right"/>
        <w:rPr>
          <w:sz w:val="10"/>
        </w:rPr>
      </w:pPr>
      <w:r>
        <w:rPr>
          <w:spacing w:val="-1"/>
          <w:w w:val="115"/>
          <w:sz w:val="10"/>
        </w:rPr>
        <w:t>1.00%</w:t>
      </w:r>
    </w:p>
    <w:p>
      <w:pPr>
        <w:spacing w:before="89"/>
        <w:ind w:left="0" w:right="0" w:firstLine="0"/>
        <w:jc w:val="right"/>
        <w:rPr>
          <w:sz w:val="10"/>
        </w:rPr>
      </w:pPr>
      <w:r>
        <w:rPr>
          <w:spacing w:val="-1"/>
          <w:w w:val="115"/>
          <w:sz w:val="10"/>
        </w:rPr>
        <w:t>0.00%</w:t>
      </w:r>
    </w:p>
    <w:p>
      <w:pPr>
        <w:pStyle w:val="BodyText"/>
        <w:ind w:left="0"/>
        <w:rPr>
          <w:sz w:val="10"/>
        </w:rPr>
      </w:pPr>
      <w:r>
        <w:rPr/>
        <w:br w:type="column"/>
      </w:r>
      <w:r>
        <w:rPr>
          <w:sz w:val="10"/>
        </w:rPr>
      </w:r>
    </w:p>
    <w:p>
      <w:pPr>
        <w:pStyle w:val="BodyText"/>
        <w:ind w:left="0"/>
        <w:rPr>
          <w:sz w:val="10"/>
        </w:rPr>
      </w:pPr>
    </w:p>
    <w:p>
      <w:pPr>
        <w:pStyle w:val="BodyText"/>
        <w:ind w:left="0"/>
        <w:rPr>
          <w:sz w:val="10"/>
        </w:rPr>
      </w:pPr>
    </w:p>
    <w:p>
      <w:pPr>
        <w:pStyle w:val="BodyText"/>
        <w:ind w:left="0"/>
        <w:rPr>
          <w:sz w:val="10"/>
        </w:rPr>
      </w:pPr>
    </w:p>
    <w:p>
      <w:pPr>
        <w:pStyle w:val="BodyText"/>
        <w:ind w:left="0"/>
        <w:rPr>
          <w:sz w:val="10"/>
        </w:rPr>
      </w:pPr>
    </w:p>
    <w:p>
      <w:pPr>
        <w:pStyle w:val="BodyText"/>
        <w:ind w:left="0"/>
        <w:rPr>
          <w:sz w:val="10"/>
        </w:rPr>
      </w:pPr>
    </w:p>
    <w:p>
      <w:pPr>
        <w:pStyle w:val="BodyText"/>
        <w:spacing w:before="8"/>
        <w:ind w:left="0"/>
        <w:rPr>
          <w:sz w:val="13"/>
        </w:rPr>
      </w:pPr>
    </w:p>
    <w:p>
      <w:pPr>
        <w:tabs>
          <w:tab w:pos="912" w:val="left" w:leader="none"/>
          <w:tab w:pos="1812" w:val="left" w:leader="none"/>
          <w:tab w:pos="2747" w:val="left" w:leader="none"/>
          <w:tab w:pos="3682" w:val="left" w:leader="none"/>
        </w:tabs>
        <w:spacing w:before="0"/>
        <w:ind w:left="0" w:right="708" w:firstLine="0"/>
        <w:jc w:val="center"/>
        <w:rPr>
          <w:sz w:val="10"/>
        </w:rPr>
      </w:pPr>
      <w:r>
        <w:rPr>
          <w:w w:val="115"/>
          <w:sz w:val="10"/>
        </w:rPr>
        <w:t>0</w:t>
        <w:tab/>
        <w:t>50</w:t>
        <w:tab/>
        <w:t>100</w:t>
        <w:tab/>
        <w:t>150</w:t>
        <w:tab/>
        <w:t>200</w:t>
      </w:r>
    </w:p>
    <w:p>
      <w:pPr>
        <w:spacing w:before="12"/>
        <w:ind w:left="0" w:right="686" w:firstLine="0"/>
        <w:jc w:val="center"/>
        <w:rPr>
          <w:sz w:val="10"/>
        </w:rPr>
      </w:pPr>
      <w:r>
        <w:rPr>
          <w:w w:val="115"/>
          <w:sz w:val="10"/>
        </w:rPr>
        <w:t>时间(h)</w:t>
      </w:r>
    </w:p>
    <w:p>
      <w:pPr>
        <w:spacing w:after="0"/>
        <w:jc w:val="center"/>
        <w:rPr>
          <w:sz w:val="10"/>
        </w:rPr>
        <w:sectPr>
          <w:type w:val="continuous"/>
          <w:pgSz w:w="11910" w:h="16850"/>
          <w:pgMar w:top="1100" w:bottom="1020" w:left="1040" w:right="0"/>
          <w:cols w:num="2" w:equalWidth="0">
            <w:col w:w="6097" w:space="40"/>
            <w:col w:w="4733"/>
          </w:cols>
        </w:sectPr>
      </w:pPr>
    </w:p>
    <w:p>
      <w:pPr>
        <w:pStyle w:val="BodyText"/>
        <w:spacing w:before="12"/>
        <w:ind w:left="0"/>
        <w:rPr>
          <w:sz w:val="26"/>
        </w:rPr>
      </w:pPr>
    </w:p>
    <w:p>
      <w:pPr>
        <w:spacing w:after="0"/>
        <w:rPr>
          <w:sz w:val="26"/>
        </w:rPr>
        <w:sectPr>
          <w:type w:val="continuous"/>
          <w:pgSz w:w="11910" w:h="16850"/>
          <w:pgMar w:top="1100" w:bottom="1020" w:left="1040" w:right="0"/>
        </w:sectPr>
      </w:pPr>
    </w:p>
    <w:p>
      <w:pPr>
        <w:pStyle w:val="BodyText"/>
        <w:spacing w:before="10"/>
        <w:ind w:left="0"/>
        <w:rPr>
          <w:sz w:val="34"/>
        </w:rPr>
      </w:pPr>
    </w:p>
    <w:p>
      <w:pPr>
        <w:pStyle w:val="BodyText"/>
      </w:pPr>
      <w:r>
        <w:rPr/>
        <w:t>表 3</w:t>
      </w:r>
    </w:p>
    <w:p>
      <w:pPr>
        <w:spacing w:before="14"/>
        <w:ind w:left="237" w:right="0" w:firstLine="0"/>
        <w:jc w:val="left"/>
        <w:rPr>
          <w:rFonts w:ascii="华文楷体" w:eastAsia="华文楷体" w:hint="eastAsia"/>
          <w:sz w:val="18"/>
        </w:rPr>
      </w:pPr>
      <w:r>
        <w:rPr>
          <w:rFonts w:ascii="华文楷体" w:eastAsia="华文楷体" w:hint="eastAsia"/>
          <w:sz w:val="18"/>
        </w:rPr>
        <w:t>表3万古霉素骨水泥局部释药规律的数学模型拟合</w:t>
      </w:r>
    </w:p>
    <w:p>
      <w:pPr>
        <w:pStyle w:val="ListParagraph"/>
        <w:numPr>
          <w:ilvl w:val="1"/>
          <w:numId w:val="6"/>
        </w:numPr>
        <w:tabs>
          <w:tab w:pos="658" w:val="left" w:leader="none"/>
        </w:tabs>
        <w:spacing w:line="240" w:lineRule="auto" w:before="66" w:after="0"/>
        <w:ind w:left="657" w:right="0" w:hanging="421"/>
        <w:jc w:val="left"/>
        <w:rPr>
          <w:sz w:val="24"/>
        </w:rPr>
      </w:pPr>
      <w:r>
        <w:rPr>
          <w:sz w:val="24"/>
        </w:rPr>
        <w:br w:type="column"/>
        <w:t>局部释放模型拟合 拟合结果见</w:t>
      </w:r>
    </w:p>
    <w:p>
      <w:pPr>
        <w:spacing w:after="0" w:line="240" w:lineRule="auto"/>
        <w:jc w:val="left"/>
        <w:rPr>
          <w:sz w:val="24"/>
        </w:rPr>
        <w:sectPr>
          <w:type w:val="continuous"/>
          <w:pgSz w:w="11910" w:h="16850"/>
          <w:pgMar w:top="1100" w:bottom="1020" w:left="1040" w:right="0"/>
          <w:cols w:num="2" w:equalWidth="0">
            <w:col w:w="4142" w:space="1694"/>
            <w:col w:w="5034"/>
          </w:cols>
        </w:sectPr>
      </w:pPr>
    </w:p>
    <w:tbl>
      <w:tblPr>
        <w:tblW w:w="0" w:type="auto"/>
        <w:jc w:val="left"/>
        <w:tblInd w:w="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415"/>
        <w:gridCol w:w="4282"/>
        <w:gridCol w:w="2025"/>
      </w:tblGrid>
      <w:tr>
        <w:trPr>
          <w:trHeight w:val="313" w:hRule="atLeast"/>
        </w:trPr>
        <w:tc>
          <w:tcPr>
            <w:tcW w:w="3415" w:type="dxa"/>
            <w:tcBorders>
              <w:top w:val="single" w:sz="8" w:space="0" w:color="000000"/>
              <w:bottom w:val="single" w:sz="8" w:space="0" w:color="000000"/>
            </w:tcBorders>
          </w:tcPr>
          <w:p>
            <w:pPr>
              <w:pStyle w:val="TableParagraph"/>
              <w:spacing w:before="61"/>
              <w:ind w:left="1728" w:right="1346"/>
              <w:jc w:val="center"/>
              <w:rPr>
                <w:sz w:val="15"/>
              </w:rPr>
            </w:pPr>
            <w:r>
              <w:rPr>
                <w:sz w:val="15"/>
              </w:rPr>
              <w:t>模型</w:t>
            </w:r>
          </w:p>
        </w:tc>
        <w:tc>
          <w:tcPr>
            <w:tcW w:w="4282" w:type="dxa"/>
            <w:tcBorders>
              <w:top w:val="single" w:sz="8" w:space="0" w:color="000000"/>
              <w:bottom w:val="single" w:sz="8" w:space="0" w:color="000000"/>
            </w:tcBorders>
          </w:tcPr>
          <w:p>
            <w:pPr>
              <w:pStyle w:val="TableParagraph"/>
              <w:spacing w:before="61"/>
              <w:ind w:left="864" w:right="1209"/>
              <w:jc w:val="center"/>
              <w:rPr>
                <w:sz w:val="15"/>
              </w:rPr>
            </w:pPr>
            <w:r>
              <w:rPr>
                <w:sz w:val="15"/>
              </w:rPr>
              <w:t>方程</w:t>
            </w:r>
          </w:p>
        </w:tc>
        <w:tc>
          <w:tcPr>
            <w:tcW w:w="2025" w:type="dxa"/>
            <w:tcBorders>
              <w:top w:val="single" w:sz="8" w:space="0" w:color="000000"/>
              <w:bottom w:val="single" w:sz="8" w:space="0" w:color="000000"/>
            </w:tcBorders>
          </w:tcPr>
          <w:p>
            <w:pPr>
              <w:pStyle w:val="TableParagraph"/>
              <w:spacing w:before="61"/>
              <w:ind w:left="1206"/>
              <w:rPr>
                <w:sz w:val="15"/>
              </w:rPr>
            </w:pPr>
            <w:r>
              <w:rPr>
                <w:sz w:val="15"/>
              </w:rPr>
              <w:t>R 值</w:t>
            </w:r>
          </w:p>
        </w:tc>
      </w:tr>
      <w:tr>
        <w:trPr>
          <w:trHeight w:val="310" w:hRule="atLeast"/>
        </w:trPr>
        <w:tc>
          <w:tcPr>
            <w:tcW w:w="3415" w:type="dxa"/>
            <w:tcBorders>
              <w:top w:val="single" w:sz="8" w:space="0" w:color="000000"/>
            </w:tcBorders>
          </w:tcPr>
          <w:p>
            <w:pPr>
              <w:pStyle w:val="TableParagraph"/>
              <w:spacing w:before="58"/>
              <w:ind w:left="115"/>
              <w:rPr>
                <w:sz w:val="15"/>
              </w:rPr>
            </w:pPr>
            <w:r>
              <w:rPr>
                <w:sz w:val="15"/>
              </w:rPr>
              <w:t>零级释药方程：</w:t>
            </w:r>
          </w:p>
        </w:tc>
        <w:tc>
          <w:tcPr>
            <w:tcW w:w="4282" w:type="dxa"/>
            <w:tcBorders>
              <w:top w:val="single" w:sz="8" w:space="0" w:color="000000"/>
            </w:tcBorders>
          </w:tcPr>
          <w:p>
            <w:pPr>
              <w:pStyle w:val="TableParagraph"/>
              <w:spacing w:before="58"/>
              <w:ind w:left="864" w:right="1210"/>
              <w:jc w:val="center"/>
              <w:rPr>
                <w:sz w:val="15"/>
              </w:rPr>
            </w:pPr>
            <w:r>
              <w:rPr>
                <w:sz w:val="15"/>
              </w:rPr>
              <w:t>F=Kt</w:t>
            </w:r>
          </w:p>
        </w:tc>
        <w:tc>
          <w:tcPr>
            <w:tcW w:w="2025" w:type="dxa"/>
            <w:tcBorders>
              <w:top w:val="single" w:sz="8" w:space="0" w:color="000000"/>
            </w:tcBorders>
          </w:tcPr>
          <w:p>
            <w:pPr>
              <w:pStyle w:val="TableParagraph"/>
              <w:spacing w:before="58"/>
              <w:ind w:right="105"/>
              <w:jc w:val="right"/>
              <w:rPr>
                <w:sz w:val="15"/>
              </w:rPr>
            </w:pPr>
            <w:r>
              <w:rPr>
                <w:sz w:val="15"/>
              </w:rPr>
              <w:t>0.4966</w:t>
            </w:r>
          </w:p>
        </w:tc>
      </w:tr>
      <w:tr>
        <w:trPr>
          <w:trHeight w:val="303" w:hRule="atLeast"/>
        </w:trPr>
        <w:tc>
          <w:tcPr>
            <w:tcW w:w="3415" w:type="dxa"/>
          </w:tcPr>
          <w:p>
            <w:pPr>
              <w:pStyle w:val="TableParagraph"/>
              <w:spacing w:before="60"/>
              <w:ind w:left="115"/>
              <w:rPr>
                <w:sz w:val="15"/>
              </w:rPr>
            </w:pPr>
            <w:r>
              <w:rPr>
                <w:sz w:val="15"/>
              </w:rPr>
              <w:t>一级释药方程：</w:t>
            </w:r>
          </w:p>
        </w:tc>
        <w:tc>
          <w:tcPr>
            <w:tcW w:w="4282" w:type="dxa"/>
          </w:tcPr>
          <w:p>
            <w:pPr>
              <w:pStyle w:val="TableParagraph"/>
              <w:spacing w:before="60"/>
              <w:ind w:left="863" w:right="1211"/>
              <w:jc w:val="center"/>
              <w:rPr>
                <w:sz w:val="15"/>
              </w:rPr>
            </w:pPr>
            <w:r>
              <w:rPr>
                <w:sz w:val="15"/>
              </w:rPr>
              <w:t>F=1-exp(-Kt)</w:t>
            </w:r>
          </w:p>
        </w:tc>
        <w:tc>
          <w:tcPr>
            <w:tcW w:w="2025" w:type="dxa"/>
          </w:tcPr>
          <w:p>
            <w:pPr>
              <w:pStyle w:val="TableParagraph"/>
              <w:spacing w:before="60"/>
              <w:ind w:right="105"/>
              <w:jc w:val="right"/>
              <w:rPr>
                <w:sz w:val="15"/>
              </w:rPr>
            </w:pPr>
            <w:r>
              <w:rPr>
                <w:sz w:val="15"/>
              </w:rPr>
              <w:t>0.4955</w:t>
            </w:r>
          </w:p>
        </w:tc>
      </w:tr>
      <w:tr>
        <w:trPr>
          <w:trHeight w:val="312" w:hRule="atLeast"/>
        </w:trPr>
        <w:tc>
          <w:tcPr>
            <w:tcW w:w="3415" w:type="dxa"/>
          </w:tcPr>
          <w:p>
            <w:pPr>
              <w:pStyle w:val="TableParagraph"/>
              <w:spacing w:before="69"/>
              <w:ind w:left="115"/>
              <w:rPr>
                <w:sz w:val="15"/>
              </w:rPr>
            </w:pPr>
            <w:r>
              <w:rPr>
                <w:sz w:val="15"/>
              </w:rPr>
              <w:t>Higuchi 平面扩散模式方程：</w:t>
            </w:r>
          </w:p>
        </w:tc>
        <w:tc>
          <w:tcPr>
            <w:tcW w:w="4282" w:type="dxa"/>
          </w:tcPr>
          <w:p>
            <w:pPr>
              <w:pStyle w:val="TableParagraph"/>
              <w:spacing w:before="59"/>
              <w:ind w:left="864" w:right="1211"/>
              <w:jc w:val="center"/>
              <w:rPr>
                <w:sz w:val="8"/>
              </w:rPr>
            </w:pPr>
            <w:r>
              <w:rPr>
                <w:sz w:val="15"/>
              </w:rPr>
              <w:t>F=Kt</w:t>
            </w:r>
            <w:r>
              <w:rPr>
                <w:position w:val="8"/>
                <w:sz w:val="8"/>
              </w:rPr>
              <w:t>1/2</w:t>
            </w:r>
          </w:p>
        </w:tc>
        <w:tc>
          <w:tcPr>
            <w:tcW w:w="2025" w:type="dxa"/>
          </w:tcPr>
          <w:p>
            <w:pPr>
              <w:pStyle w:val="TableParagraph"/>
              <w:spacing w:before="69"/>
              <w:ind w:right="105"/>
              <w:jc w:val="right"/>
              <w:rPr>
                <w:sz w:val="15"/>
              </w:rPr>
            </w:pPr>
            <w:r>
              <w:rPr>
                <w:sz w:val="15"/>
              </w:rPr>
              <w:t>0.4087</w:t>
            </w:r>
          </w:p>
        </w:tc>
      </w:tr>
      <w:tr>
        <w:trPr>
          <w:trHeight w:val="312" w:hRule="atLeast"/>
        </w:trPr>
        <w:tc>
          <w:tcPr>
            <w:tcW w:w="3415" w:type="dxa"/>
          </w:tcPr>
          <w:p>
            <w:pPr>
              <w:pStyle w:val="TableParagraph"/>
              <w:spacing w:before="69"/>
              <w:ind w:left="115"/>
              <w:rPr>
                <w:sz w:val="15"/>
              </w:rPr>
            </w:pPr>
            <w:r>
              <w:rPr>
                <w:sz w:val="15"/>
              </w:rPr>
              <w:t>Hixson-Crowell 溶蚀方程：</w:t>
            </w:r>
          </w:p>
        </w:tc>
        <w:tc>
          <w:tcPr>
            <w:tcW w:w="4282" w:type="dxa"/>
          </w:tcPr>
          <w:p>
            <w:pPr>
              <w:pStyle w:val="TableParagraph"/>
              <w:spacing w:before="59"/>
              <w:ind w:left="864" w:right="1211"/>
              <w:jc w:val="center"/>
              <w:rPr>
                <w:sz w:val="15"/>
              </w:rPr>
            </w:pPr>
            <w:r>
              <w:rPr>
                <w:sz w:val="15"/>
              </w:rPr>
              <w:t>(1-F)</w:t>
            </w:r>
            <w:r>
              <w:rPr>
                <w:position w:val="8"/>
                <w:sz w:val="8"/>
              </w:rPr>
              <w:t>1/3</w:t>
            </w:r>
            <w:r>
              <w:rPr>
                <w:sz w:val="15"/>
              </w:rPr>
              <w:t>=1-Kt</w:t>
            </w:r>
          </w:p>
        </w:tc>
        <w:tc>
          <w:tcPr>
            <w:tcW w:w="2025" w:type="dxa"/>
          </w:tcPr>
          <w:p>
            <w:pPr>
              <w:pStyle w:val="TableParagraph"/>
              <w:spacing w:before="69"/>
              <w:ind w:right="105"/>
              <w:jc w:val="right"/>
              <w:rPr>
                <w:sz w:val="15"/>
              </w:rPr>
            </w:pPr>
            <w:r>
              <w:rPr>
                <w:sz w:val="15"/>
              </w:rPr>
              <w:t>0.4959</w:t>
            </w:r>
          </w:p>
        </w:tc>
      </w:tr>
      <w:tr>
        <w:trPr>
          <w:trHeight w:val="311" w:hRule="atLeast"/>
        </w:trPr>
        <w:tc>
          <w:tcPr>
            <w:tcW w:w="3415" w:type="dxa"/>
          </w:tcPr>
          <w:p>
            <w:pPr>
              <w:pStyle w:val="TableParagraph"/>
              <w:spacing w:before="69"/>
              <w:ind w:left="115"/>
              <w:rPr>
                <w:sz w:val="15"/>
              </w:rPr>
            </w:pPr>
            <w:r>
              <w:rPr>
                <w:sz w:val="15"/>
              </w:rPr>
              <w:t>Baker-Lonsdale 球形扩散模式方程：</w:t>
            </w:r>
          </w:p>
        </w:tc>
        <w:tc>
          <w:tcPr>
            <w:tcW w:w="4282" w:type="dxa"/>
          </w:tcPr>
          <w:p>
            <w:pPr>
              <w:pStyle w:val="TableParagraph"/>
              <w:spacing w:before="59"/>
              <w:ind w:left="864" w:right="1211"/>
              <w:jc w:val="center"/>
              <w:rPr>
                <w:sz w:val="15"/>
              </w:rPr>
            </w:pPr>
            <w:r>
              <w:rPr>
                <w:sz w:val="15"/>
              </w:rPr>
              <w:t>3/2[1-(1-F)</w:t>
            </w:r>
            <w:r>
              <w:rPr>
                <w:position w:val="8"/>
                <w:sz w:val="8"/>
              </w:rPr>
              <w:t>2/3</w:t>
            </w:r>
            <w:r>
              <w:rPr>
                <w:sz w:val="15"/>
              </w:rPr>
              <w:t>]-F=Kt</w:t>
            </w:r>
          </w:p>
        </w:tc>
        <w:tc>
          <w:tcPr>
            <w:tcW w:w="2025" w:type="dxa"/>
          </w:tcPr>
          <w:p>
            <w:pPr>
              <w:pStyle w:val="TableParagraph"/>
              <w:spacing w:before="69"/>
              <w:ind w:right="105"/>
              <w:jc w:val="right"/>
              <w:rPr>
                <w:sz w:val="15"/>
              </w:rPr>
            </w:pPr>
            <w:r>
              <w:rPr>
                <w:sz w:val="15"/>
              </w:rPr>
              <w:t>0.4397</w:t>
            </w:r>
          </w:p>
        </w:tc>
      </w:tr>
      <w:tr>
        <w:trPr>
          <w:trHeight w:val="317" w:hRule="atLeast"/>
        </w:trPr>
        <w:tc>
          <w:tcPr>
            <w:tcW w:w="3415" w:type="dxa"/>
          </w:tcPr>
          <w:p>
            <w:pPr>
              <w:pStyle w:val="TableParagraph"/>
              <w:spacing w:before="69"/>
              <w:ind w:left="115"/>
              <w:rPr>
                <w:sz w:val="15"/>
              </w:rPr>
            </w:pPr>
            <w:r>
              <w:rPr>
                <w:sz w:val="15"/>
              </w:rPr>
              <w:t>Ritger-Peppas 方程：</w:t>
            </w:r>
          </w:p>
        </w:tc>
        <w:tc>
          <w:tcPr>
            <w:tcW w:w="4282" w:type="dxa"/>
          </w:tcPr>
          <w:p>
            <w:pPr>
              <w:pStyle w:val="TableParagraph"/>
              <w:spacing w:before="59"/>
              <w:ind w:left="864" w:right="1208"/>
              <w:jc w:val="center"/>
              <w:rPr>
                <w:sz w:val="8"/>
              </w:rPr>
            </w:pPr>
            <w:r>
              <w:rPr>
                <w:sz w:val="15"/>
              </w:rPr>
              <w:t>F=Kt</w:t>
            </w:r>
            <w:r>
              <w:rPr>
                <w:position w:val="8"/>
                <w:sz w:val="8"/>
              </w:rPr>
              <w:t>n</w:t>
            </w:r>
          </w:p>
        </w:tc>
        <w:tc>
          <w:tcPr>
            <w:tcW w:w="2025" w:type="dxa"/>
          </w:tcPr>
          <w:p>
            <w:pPr>
              <w:pStyle w:val="TableParagraph"/>
              <w:spacing w:before="69"/>
              <w:ind w:right="105"/>
              <w:jc w:val="right"/>
              <w:rPr>
                <w:sz w:val="15"/>
              </w:rPr>
            </w:pPr>
            <w:r>
              <w:rPr>
                <w:sz w:val="15"/>
              </w:rPr>
              <w:t>0.9841</w:t>
            </w:r>
          </w:p>
        </w:tc>
      </w:tr>
      <w:tr>
        <w:trPr>
          <w:trHeight w:val="316" w:hRule="atLeast"/>
        </w:trPr>
        <w:tc>
          <w:tcPr>
            <w:tcW w:w="3415" w:type="dxa"/>
            <w:tcBorders>
              <w:bottom w:val="single" w:sz="4" w:space="0" w:color="000000"/>
            </w:tcBorders>
          </w:tcPr>
          <w:p>
            <w:pPr>
              <w:pStyle w:val="TableParagraph"/>
              <w:spacing w:before="64"/>
              <w:ind w:left="115"/>
              <w:rPr>
                <w:sz w:val="15"/>
              </w:rPr>
            </w:pPr>
            <w:r>
              <w:rPr>
                <w:sz w:val="15"/>
              </w:rPr>
              <w:t>Weibull 方程：</w:t>
            </w:r>
          </w:p>
        </w:tc>
        <w:tc>
          <w:tcPr>
            <w:tcW w:w="4282" w:type="dxa"/>
            <w:tcBorders>
              <w:bottom w:val="single" w:sz="4" w:space="0" w:color="000000"/>
            </w:tcBorders>
          </w:tcPr>
          <w:p>
            <w:pPr>
              <w:pStyle w:val="TableParagraph"/>
              <w:spacing w:before="63"/>
              <w:ind w:left="864" w:right="1211"/>
              <w:jc w:val="center"/>
              <w:rPr>
                <w:sz w:val="8"/>
              </w:rPr>
            </w:pPr>
            <w:r>
              <w:rPr>
                <w:position w:val="1"/>
                <w:sz w:val="15"/>
              </w:rPr>
              <w:t>lnln[1/1-F(t)]= mln(t-</w:t>
            </w:r>
            <w:r>
              <w:rPr>
                <w:rFonts w:ascii="Arial" w:hAnsi="Arial"/>
                <w:position w:val="1"/>
                <w:sz w:val="15"/>
              </w:rPr>
              <w:t>τ </w:t>
            </w:r>
            <w:r>
              <w:rPr>
                <w:position w:val="1"/>
                <w:sz w:val="15"/>
              </w:rPr>
              <w:t>)-lnt</w:t>
            </w:r>
            <w:r>
              <w:rPr>
                <w:sz w:val="8"/>
              </w:rPr>
              <w:t>0</w:t>
            </w:r>
          </w:p>
        </w:tc>
        <w:tc>
          <w:tcPr>
            <w:tcW w:w="2025" w:type="dxa"/>
            <w:tcBorders>
              <w:bottom w:val="single" w:sz="4" w:space="0" w:color="000000"/>
            </w:tcBorders>
          </w:tcPr>
          <w:p>
            <w:pPr>
              <w:pStyle w:val="TableParagraph"/>
              <w:spacing w:before="64"/>
              <w:ind w:right="105"/>
              <w:jc w:val="right"/>
              <w:rPr>
                <w:sz w:val="15"/>
              </w:rPr>
            </w:pPr>
            <w:r>
              <w:rPr>
                <w:sz w:val="15"/>
              </w:rPr>
              <w:t>0.9845</w:t>
            </w:r>
          </w:p>
        </w:tc>
      </w:tr>
    </w:tbl>
    <w:p>
      <w:pPr>
        <w:pStyle w:val="BodyText"/>
        <w:spacing w:line="297" w:lineRule="auto" w:before="74"/>
        <w:ind w:left="719" w:right="3486" w:hanging="3"/>
        <w:rPr>
          <w:b/>
        </w:rPr>
      </w:pPr>
      <w:r>
        <w:rPr>
          <w:spacing w:val="-22"/>
        </w:rPr>
        <w:t>由表 </w:t>
      </w:r>
      <w:r>
        <w:rPr/>
        <w:t>3</w:t>
      </w:r>
      <w:r>
        <w:rPr>
          <w:spacing w:val="-13"/>
        </w:rPr>
        <w:t> 可见万古霉素骨水泥的局部释放符合 </w:t>
      </w:r>
      <w:r>
        <w:rPr/>
        <w:t>Weibull，r=0.9845 </w:t>
      </w:r>
      <w:r>
        <w:rPr>
          <w:b/>
        </w:rPr>
        <w:t>讨论</w:t>
      </w:r>
    </w:p>
    <w:p>
      <w:pPr>
        <w:pStyle w:val="BodyText"/>
        <w:spacing w:line="297" w:lineRule="auto"/>
        <w:ind w:right="1127" w:firstLine="480"/>
      </w:pPr>
      <w:r>
        <w:rPr>
          <w:spacing w:val="-1"/>
        </w:rPr>
        <w:t>万古霉素骨水泥的使用现状及加入比例 在手术清创的同时给予负载抗生素缓释系统已</w:t>
      </w:r>
      <w:r>
        <w:rPr>
          <w:spacing w:val="-7"/>
        </w:rPr>
        <w:t>经成为临床治疗骨感染的治疗方法之一。假体周围感染国际共识认为：矫形骨科占位器中抗</w:t>
      </w:r>
      <w:r>
        <w:rPr/>
        <w:t>生素的种类和剂量需要个性化选择，大多数感染可以使用万古霉素(l～4g/40g</w:t>
      </w:r>
      <w:r>
        <w:rPr>
          <w:spacing w:val="-15"/>
        </w:rPr>
        <w:t> 骨水泥</w:t>
      </w:r>
      <w:r>
        <w:rPr/>
        <w:t>）和庆大霉素或妥布霉素(2.4～4.8g/40g</w:t>
      </w:r>
      <w:r>
        <w:rPr>
          <w:spacing w:val="-16"/>
        </w:rPr>
        <w:t> 骨水泥</w:t>
      </w:r>
      <w:r>
        <w:rPr>
          <w:spacing w:val="-22"/>
        </w:rPr>
        <w:t>）</w:t>
      </w:r>
      <w:r>
        <w:rPr>
          <w:spacing w:val="-3"/>
        </w:rPr>
        <w:t>制作骨水泥占位器,而目前庆大霉素、妥布霉</w:t>
      </w:r>
      <w:r>
        <w:rPr>
          <w:spacing w:val="-6"/>
        </w:rPr>
        <w:t>素均无市售粉针剂型可供制作抗菌药物骨水泥使用，因此万古霉素成为制作抗感染药物骨水</w:t>
      </w:r>
      <w:r>
        <w:rPr>
          <w:spacing w:val="-7"/>
        </w:rPr>
        <w:t>泥为数不多的药物之一。但是目前临床使用万古霉素骨水泥的用量，还没有共识，而且其植</w:t>
      </w:r>
      <w:r>
        <w:rPr>
          <w:spacing w:val="-6"/>
        </w:rPr>
        <w:t>入人体后局部和全身的浓度并不十分明确，抗生素骨水泥中的抗生素含量越多，其释放就越</w:t>
      </w:r>
      <w:r>
        <w:rPr>
          <w:spacing w:val="-11"/>
        </w:rPr>
        <w:t>多，骨水泥中抗生素的释放可能是通过浓度梯度的弥散作用完成的，但释放量增加的同时会</w:t>
      </w:r>
      <w:r>
        <w:rPr>
          <w:spacing w:val="-8"/>
        </w:rPr>
        <w:t>影响其力学性能。创伤骨科用于骨感染治疗的抗菌药物骨水泥制成链珠，由于不承重，抗菌</w:t>
      </w:r>
      <w:r>
        <w:rPr>
          <w:spacing w:val="-3"/>
        </w:rPr>
        <w:t>药物的加入比例可以更高。因此本次试验选择 </w:t>
      </w:r>
      <w:r>
        <w:rPr/>
        <w:t>4g</w:t>
      </w:r>
      <w:r>
        <w:rPr>
          <w:spacing w:val="-16"/>
        </w:rPr>
        <w:t> 万古霉素加入 </w:t>
      </w:r>
      <w:r>
        <w:rPr/>
        <w:t>40g</w:t>
      </w:r>
      <w:r>
        <w:rPr>
          <w:spacing w:val="-10"/>
        </w:rPr>
        <w:t> 骨水泥中。</w:t>
      </w:r>
    </w:p>
    <w:p>
      <w:pPr>
        <w:pStyle w:val="BodyText"/>
        <w:spacing w:line="297" w:lineRule="auto"/>
        <w:ind w:right="1026" w:firstLine="480"/>
      </w:pPr>
      <w:r>
        <w:rPr>
          <w:spacing w:val="-4"/>
        </w:rPr>
        <w:t>局部给药后的药物释放 既往研究发现，将 </w:t>
      </w:r>
      <w:r>
        <w:rPr/>
        <w:t>3g</w:t>
      </w:r>
      <w:r>
        <w:rPr>
          <w:spacing w:val="-16"/>
        </w:rPr>
        <w:t> 万古霉素加入 </w:t>
      </w:r>
      <w:r>
        <w:rPr/>
        <w:t>40g</w:t>
      </w:r>
      <w:r>
        <w:rPr>
          <w:spacing w:val="-9"/>
        </w:rPr>
        <w:t> 骨水泥中制成间隔物， </w:t>
      </w:r>
      <w:r>
        <w:rPr>
          <w:spacing w:val="-5"/>
        </w:rPr>
        <w:t>局部万古霉素浓度第一个 </w:t>
      </w:r>
      <w:r>
        <w:rPr/>
        <w:t>24h</w:t>
      </w:r>
      <w:r>
        <w:rPr>
          <w:spacing w:val="-20"/>
        </w:rPr>
        <w:t> 浓度可达 </w:t>
      </w:r>
      <w:r>
        <w:rPr/>
        <w:t>485.5 ±103.5</w:t>
      </w:r>
      <w:r>
        <w:rPr>
          <w:spacing w:val="-44"/>
        </w:rPr>
        <w:t> </w:t>
      </w:r>
      <w:r>
        <w:rPr/>
        <w:t>mg·L-1,</w:t>
      </w:r>
      <w:r>
        <w:rPr>
          <w:spacing w:val="-7"/>
        </w:rPr>
        <w:t>本次研究患者术后 </w:t>
      </w:r>
      <w:r>
        <w:rPr/>
        <w:t>2h</w:t>
      </w:r>
      <w:r>
        <w:rPr>
          <w:spacing w:val="-20"/>
        </w:rPr>
        <w:t> 的局</w:t>
      </w:r>
      <w:r>
        <w:rPr>
          <w:spacing w:val="-25"/>
        </w:rPr>
        <w:t>部药物浓度可以达到 </w:t>
      </w:r>
      <w:r>
        <w:rPr/>
        <w:t>522.40±206.99 mg·L-1，</w:t>
      </w:r>
      <w:r>
        <w:rPr>
          <w:spacing w:val="-20"/>
        </w:rPr>
        <w:t>术后 </w:t>
      </w:r>
      <w:r>
        <w:rPr/>
        <w:t>18h</w:t>
      </w:r>
      <w:r>
        <w:rPr>
          <w:spacing w:val="-13"/>
        </w:rPr>
        <w:t> 平均局部浓度可以达到 </w:t>
      </w:r>
      <w:r>
        <w:rPr/>
        <w:t>295.90±</w:t>
      </w:r>
    </w:p>
    <w:p>
      <w:pPr>
        <w:pStyle w:val="BodyText"/>
        <w:spacing w:line="304" w:lineRule="exact"/>
      </w:pPr>
      <w:r>
        <w:rPr/>
        <w:t>111.29</w:t>
      </w:r>
      <w:r>
        <w:rPr>
          <w:spacing w:val="-58"/>
        </w:rPr>
        <w:t> </w:t>
      </w:r>
      <w:r>
        <w:rPr>
          <w:spacing w:val="-3"/>
        </w:rPr>
        <w:t>mg·L-1</w:t>
      </w:r>
      <w:r>
        <w:rPr>
          <w:spacing w:val="-5"/>
        </w:rPr>
        <w:t>。孔隙率与骨水泥制备过程的混合搅拌方式密切相关。手工混合优于商业预</w:t>
      </w:r>
    </w:p>
    <w:p>
      <w:pPr>
        <w:spacing w:after="0" w:line="304" w:lineRule="exact"/>
        <w:sectPr>
          <w:type w:val="continuous"/>
          <w:pgSz w:w="11910" w:h="16850"/>
          <w:pgMar w:top="1100" w:bottom="1020" w:left="1040" w:right="0"/>
        </w:sectPr>
      </w:pPr>
    </w:p>
    <w:p>
      <w:pPr>
        <w:pStyle w:val="BodyText"/>
        <w:spacing w:line="297" w:lineRule="auto" w:before="65"/>
        <w:ind w:right="1126"/>
        <w:jc w:val="both"/>
      </w:pPr>
      <w:r>
        <w:rPr>
          <w:spacing w:val="-11"/>
        </w:rPr>
        <w:t>制，一般搅拌优于真空搅拌，因为能更多的夹带空气以增加骨水泥的孔隙率。本次试验万古</w:t>
      </w:r>
      <w:r>
        <w:rPr>
          <w:spacing w:val="-7"/>
        </w:rPr>
        <w:t>霉素与骨水泥为手工混合，这样可以获得较高的孔隙率，作为临床研究，住院患者后期拔除</w:t>
      </w:r>
      <w:r>
        <w:rPr>
          <w:spacing w:val="-8"/>
        </w:rPr>
        <w:t>引流管后无法再留取标本，因而无法获得术后一周以后的局部浓度，但药物仍在局部缓慢释</w:t>
      </w:r>
      <w:r>
        <w:rPr>
          <w:spacing w:val="-10"/>
        </w:rPr>
        <w:t>放。此外局部释放的万古霉素有一部分会进入循环，从肾脏排泄，因此本次试验测得局部药</w:t>
      </w:r>
      <w:r>
        <w:rPr>
          <w:spacing w:val="-12"/>
        </w:rPr>
        <w:t>物释放率 </w:t>
      </w:r>
      <w:r>
        <w:rPr>
          <w:spacing w:val="-3"/>
        </w:rPr>
        <w:t>5.68%</w:t>
      </w:r>
      <w:r>
        <w:rPr>
          <w:spacing w:val="-5"/>
        </w:rPr>
        <w:t>，应较实际万古霉素骨水泥释放率低。局部药物浓度的影响因素很多，包括</w:t>
      </w:r>
      <w:r>
        <w:rPr>
          <w:spacing w:val="-8"/>
        </w:rPr>
        <w:t>患者的病灶大小及部位、引流量等。引流量多会对局部药物进行稀释，血运丰富的部位吸收入血的药物量相对多，造成局部药物浓度降低，形成漏槽效应，使更多药物释放，因此整体</w:t>
      </w:r>
      <w:r>
        <w:rPr>
          <w:spacing w:val="-19"/>
        </w:rPr>
        <w:t>药物释放量会增加。尽管我们的实验结果变异率高，但是平均值通过拟合，仍然符合 </w:t>
      </w:r>
      <w:r>
        <w:rPr>
          <w:spacing w:val="-3"/>
        </w:rPr>
        <w:t>Weibull </w:t>
      </w:r>
      <w:r>
        <w:rPr/>
        <w:t>方程。</w:t>
      </w:r>
    </w:p>
    <w:p>
      <w:pPr>
        <w:pStyle w:val="BodyText"/>
        <w:spacing w:line="297" w:lineRule="auto"/>
        <w:ind w:right="1127" w:firstLine="480"/>
        <w:jc w:val="both"/>
      </w:pPr>
      <w:r>
        <w:rPr/>
        <w:t>局部给药后全身吸收情况 既往研究虽然肯定了万古霉素骨水泥局部治疗的疗效，也有</w:t>
      </w:r>
      <w:r>
        <w:rPr>
          <w:spacing w:val="-6"/>
        </w:rPr>
        <w:t>部分文献观察了其体内及体外的释放规律，但是其局部应用后，全身的药物浓度却鲜有文献</w:t>
      </w:r>
      <w:r>
        <w:rPr>
          <w:spacing w:val="-10"/>
        </w:rPr>
        <w:t>报道。本次研究发现局部植入后血药浓度达峰时间平均为 </w:t>
      </w:r>
      <w:r>
        <w:rPr>
          <w:spacing w:val="-9"/>
        </w:rPr>
        <w:t>33h，20 例患者血药浓度在此期间</w:t>
      </w:r>
      <w:r>
        <w:rPr>
          <w:spacing w:val="-16"/>
        </w:rPr>
        <w:t>最高为 </w:t>
      </w:r>
      <w:r>
        <w:rPr/>
        <w:t>1.3 mg·L-1,</w:t>
      </w:r>
      <w:r>
        <w:rPr>
          <w:spacing w:val="-9"/>
        </w:rPr>
        <w:t>平均峰浓度为 </w:t>
      </w:r>
      <w:r>
        <w:rPr/>
        <w:t>0.99 mg·L-1，</w:t>
      </w:r>
      <w:r>
        <w:rPr>
          <w:spacing w:val="-15"/>
        </w:rPr>
        <w:t>最低为 </w:t>
      </w:r>
      <w:r>
        <w:rPr/>
        <w:t>0。但局部浓度却可达到全身的</w:t>
      </w:r>
    </w:p>
    <w:p>
      <w:pPr>
        <w:pStyle w:val="BodyText"/>
        <w:spacing w:line="297" w:lineRule="auto"/>
        <w:ind w:right="1009"/>
      </w:pPr>
      <w:r>
        <w:rPr/>
        <w:t>200</w:t>
      </w:r>
      <w:r>
        <w:rPr>
          <w:spacing w:val="-19"/>
        </w:rPr>
        <w:t> 倍以上，一直持续到术后 </w:t>
      </w:r>
      <w:r>
        <w:rPr/>
        <w:t>1</w:t>
      </w:r>
      <w:r>
        <w:rPr>
          <w:spacing w:val="-14"/>
        </w:rPr>
        <w:t> 周，因此说明局部植入万古霉素骨水泥具有很好的缓释作用。</w:t>
      </w:r>
      <w:r>
        <w:rPr>
          <w:spacing w:val="-8"/>
        </w:rPr>
        <w:t>虽然局部植入了 </w:t>
      </w:r>
      <w:r>
        <w:rPr/>
        <w:t>4g</w:t>
      </w:r>
      <w:r>
        <w:rPr>
          <w:spacing w:val="-12"/>
        </w:rPr>
        <w:t> 万古霉素，相当于正常成人 </w:t>
      </w:r>
      <w:r>
        <w:rPr/>
        <w:t>2</w:t>
      </w:r>
      <w:r>
        <w:rPr>
          <w:spacing w:val="-8"/>
        </w:rPr>
        <w:t> 天的全身用药剂量，但是全身吸收很少， </w:t>
      </w:r>
      <w:r>
        <w:rPr>
          <w:spacing w:val="-13"/>
        </w:rPr>
        <w:t>而只有吸收入血的药物才会经过肾脏进行排泄，带来肾毒性，因此可以说明局部使用的安全性较高。</w:t>
      </w:r>
    </w:p>
    <w:p>
      <w:pPr>
        <w:pStyle w:val="Heading3"/>
        <w:spacing w:line="302" w:lineRule="exact"/>
        <w:ind w:left="719"/>
        <w:rPr>
          <w:rFonts w:ascii="宋体" w:eastAsia="宋体" w:hint="eastAsia"/>
        </w:rPr>
      </w:pPr>
      <w:r>
        <w:rPr>
          <w:rFonts w:ascii="宋体" w:eastAsia="宋体" w:hint="eastAsia"/>
        </w:rPr>
        <w:t>结论</w:t>
      </w:r>
    </w:p>
    <w:p>
      <w:pPr>
        <w:pStyle w:val="BodyText"/>
        <w:spacing w:line="380" w:lineRule="exact"/>
        <w:ind w:right="1026" w:firstLine="480"/>
        <w:rPr>
          <w:rFonts w:ascii="Meiryo" w:eastAsia="Meiryo" w:hint="eastAsia"/>
          <w:b/>
        </w:rPr>
      </w:pPr>
      <w:r>
        <w:rPr>
          <w:spacing w:val="-6"/>
        </w:rPr>
        <w:t>骨感染的患者手术植入 </w:t>
      </w:r>
      <w:r>
        <w:rPr/>
        <w:t>4g</w:t>
      </w:r>
      <w:r>
        <w:rPr>
          <w:spacing w:val="-16"/>
        </w:rPr>
        <w:t> 万古霉素加入 </w:t>
      </w:r>
      <w:r>
        <w:rPr/>
        <w:t>40g</w:t>
      </w:r>
      <w:r>
        <w:rPr>
          <w:spacing w:val="-8"/>
        </w:rPr>
        <w:t> 骨水泥制成自制链珠，可以至少在术后一</w:t>
      </w:r>
      <w:r>
        <w:rPr>
          <w:spacing w:val="-10"/>
        </w:rPr>
        <w:t>周伤口局部达到很高的药物治疗浓度，局部释放规律符合 </w:t>
      </w:r>
      <w:r>
        <w:rPr/>
        <w:t>Weibull</w:t>
      </w:r>
      <w:r>
        <w:rPr>
          <w:spacing w:val="-9"/>
        </w:rPr>
        <w:t> 方程，而全身吸收很少， </w:t>
      </w:r>
      <w:r>
        <w:rPr>
          <w:spacing w:val="-8"/>
        </w:rPr>
        <w:t>血药浓度几乎为 </w:t>
      </w:r>
      <w:r>
        <w:rPr/>
        <w:t>0，具有很高的安全性，可以避免全身使用万古霉素带来的不良反应。</w:t>
      </w:r>
      <w:r>
        <w:rPr>
          <w:rFonts w:ascii="Meiryo" w:eastAsia="Meiryo" w:hint="eastAsia"/>
          <w:b/>
          <w:color w:val="0033CC"/>
        </w:rPr>
        <w:t>[返</w:t>
      </w:r>
    </w:p>
    <w:p>
      <w:pPr>
        <w:pStyle w:val="Heading3"/>
        <w:spacing w:before="11"/>
        <w:ind w:left="237"/>
        <w:rPr>
          <w:rFonts w:ascii="Meiryo" w:eastAsia="Meiryo" w:hint="eastAsia"/>
        </w:rPr>
      </w:pPr>
      <w:r>
        <w:rPr>
          <w:rFonts w:ascii="Meiryo" w:eastAsia="Meiryo" w:hint="eastAsia"/>
          <w:color w:val="0033CC"/>
        </w:rPr>
        <w:t>回目次]</w:t>
      </w:r>
    </w:p>
    <w:p>
      <w:pPr>
        <w:pStyle w:val="Heading2"/>
        <w:spacing w:before="64"/>
      </w:pPr>
      <w:bookmarkStart w:name="_TOC_250022" w:id="21"/>
      <w:bookmarkEnd w:id="21"/>
      <w:r>
        <w:rPr/>
        <w:t>【指南解读】</w:t>
      </w:r>
    </w:p>
    <w:p>
      <w:pPr>
        <w:pStyle w:val="BodyText"/>
        <w:spacing w:before="11"/>
        <w:ind w:left="0"/>
        <w:rPr>
          <w:b/>
          <w:sz w:val="22"/>
        </w:rPr>
      </w:pPr>
    </w:p>
    <w:p>
      <w:pPr>
        <w:pStyle w:val="Heading2"/>
        <w:spacing w:before="1"/>
        <w:ind w:left="3540"/>
      </w:pPr>
      <w:bookmarkStart w:name="_TOC_250021" w:id="22"/>
      <w:bookmarkEnd w:id="22"/>
      <w:r>
        <w:rPr/>
        <w:t>乳腺癌诊疗指南更新</w:t>
      </w:r>
    </w:p>
    <w:p>
      <w:pPr>
        <w:spacing w:before="208"/>
        <w:ind w:left="0" w:right="1128" w:firstLine="0"/>
        <w:jc w:val="right"/>
        <w:rPr>
          <w:rFonts w:ascii="楷体" w:eastAsia="楷体" w:hint="eastAsia"/>
          <w:b/>
          <w:sz w:val="24"/>
        </w:rPr>
      </w:pPr>
      <w:r>
        <w:rPr>
          <w:rFonts w:ascii="楷体" w:eastAsia="楷体" w:hint="eastAsia"/>
          <w:b/>
          <w:color w:val="FF0000"/>
          <w:w w:val="95"/>
          <w:sz w:val="24"/>
        </w:rPr>
        <w:t>（来源：健康报）</w:t>
      </w:r>
    </w:p>
    <w:p>
      <w:pPr>
        <w:pStyle w:val="BodyText"/>
        <w:spacing w:line="295" w:lineRule="auto" w:before="98"/>
        <w:ind w:right="1127" w:firstLine="480"/>
        <w:jc w:val="both"/>
      </w:pPr>
      <w:r>
        <w:rPr/>
        <w:t>4</w:t>
      </w:r>
      <w:r>
        <w:rPr>
          <w:spacing w:val="-40"/>
        </w:rPr>
        <w:t> 月 </w:t>
      </w:r>
      <w:r>
        <w:rPr/>
        <w:t>12</w:t>
      </w:r>
      <w:r>
        <w:rPr>
          <w:spacing w:val="-27"/>
        </w:rPr>
        <w:t> 日，《</w:t>
      </w:r>
      <w:r>
        <w:rPr/>
        <w:t>2019CSCO</w:t>
      </w:r>
      <w:r>
        <w:rPr>
          <w:spacing w:val="-14"/>
        </w:rPr>
        <w:t> 乳腺癌诊疗指南》在 </w:t>
      </w:r>
      <w:r>
        <w:rPr/>
        <w:t>2019</w:t>
      </w:r>
      <w:r>
        <w:rPr>
          <w:spacing w:val="-10"/>
        </w:rPr>
        <w:t> 中国临床肿瘤学会</w:t>
      </w:r>
      <w:r>
        <w:rPr>
          <w:spacing w:val="-4"/>
        </w:rPr>
        <w:t>（CSCO）</w:t>
      </w:r>
      <w:r>
        <w:rPr/>
        <w:t>乳腺癌年会上发布。CSCO</w:t>
      </w:r>
      <w:r>
        <w:rPr>
          <w:spacing w:val="-8"/>
        </w:rPr>
        <w:t> 乳腺癌专家委员会主任委员、解放军总医院第五医学中心乳腺肿瘤科主任</w:t>
      </w:r>
      <w:r>
        <w:rPr>
          <w:spacing w:val="-13"/>
        </w:rPr>
        <w:t>江泽飞教授表示，结合医生临床实践和患者诊治需求，同时兼顾药品的可及性和性价比，新</w:t>
      </w:r>
      <w:r>
        <w:rPr>
          <w:spacing w:val="-9"/>
        </w:rPr>
        <w:t>版《指南》在 </w:t>
      </w:r>
      <w:r>
        <w:rPr/>
        <w:t>2018</w:t>
      </w:r>
      <w:r>
        <w:rPr>
          <w:spacing w:val="-8"/>
        </w:rPr>
        <w:t> 年版基础上对乳腺癌术前新辅助治疗、术后辅助治疗、晚期乳腺癌的解</w:t>
      </w:r>
      <w:r>
        <w:rPr>
          <w:spacing w:val="-13"/>
        </w:rPr>
        <w:t>救治疗等方面均做了更新。乳腺癌专家委员会计划制作《指南》科普版，让公众能够更好地</w:t>
      </w:r>
      <w:r>
        <w:rPr/>
        <w:t>了解乳腺癌诊疗现状。</w:t>
      </w:r>
    </w:p>
    <w:p>
      <w:pPr>
        <w:pStyle w:val="BodyText"/>
        <w:spacing w:line="297" w:lineRule="auto" w:before="11"/>
        <w:ind w:right="1127" w:firstLine="480"/>
        <w:jc w:val="both"/>
      </w:pPr>
      <w:r>
        <w:rPr>
          <w:spacing w:val="-3"/>
        </w:rPr>
        <w:t>据介绍，新版《指南》在乳腺癌术前新辅助治疗方面，强调仅以 </w:t>
      </w:r>
      <w:r>
        <w:rPr/>
        <w:t>HER2</w:t>
      </w:r>
      <w:r>
        <w:rPr>
          <w:spacing w:val="-8"/>
        </w:rPr>
        <w:t> 阳性或三阴性作</w:t>
      </w:r>
      <w:r>
        <w:rPr>
          <w:spacing w:val="-10"/>
        </w:rPr>
        <w:t>为乳腺癌术前新辅助药物治疗选择的标准时，肿瘤应大于 </w:t>
      </w:r>
      <w:r>
        <w:rPr/>
        <w:t>50px；或参加严格设计的临床研</w:t>
      </w:r>
      <w:r>
        <w:rPr>
          <w:spacing w:val="-9"/>
        </w:rPr>
        <w:t>究。对于经足疗程新辅助治疗后仍未达到 </w:t>
      </w:r>
      <w:r>
        <w:rPr/>
        <w:t>pCR</w:t>
      </w:r>
      <w:r>
        <w:rPr>
          <w:spacing w:val="-13"/>
        </w:rPr>
        <w:t> 的患者，术后可考虑强化治疗。在乳腺癌的术</w:t>
      </w:r>
      <w:r>
        <w:rPr>
          <w:spacing w:val="-10"/>
        </w:rPr>
        <w:t>后辅助治疗方面，新增了基因检测对辅助治疗决策的重要作用。而在晚期乳腺癌的解救治疗</w:t>
      </w:r>
      <w:r>
        <w:rPr>
          <w:spacing w:val="-2"/>
        </w:rPr>
        <w:t>方面，重申了曲妥珠单抗和紫杉类再使用的获益人群；指出了帕妥珠单抗在晚期 </w:t>
      </w:r>
      <w:r>
        <w:rPr/>
        <w:t>HER2</w:t>
      </w:r>
      <w:r>
        <w:rPr>
          <w:spacing w:val="-20"/>
        </w:rPr>
        <w:t> 阳性</w:t>
      </w:r>
    </w:p>
    <w:p>
      <w:pPr>
        <w:spacing w:after="0" w:line="297" w:lineRule="auto"/>
        <w:jc w:val="both"/>
        <w:sectPr>
          <w:headerReference w:type="default" r:id="rId24"/>
          <w:footerReference w:type="default" r:id="rId25"/>
          <w:pgSz w:w="11910" w:h="16850"/>
          <w:pgMar w:header="906" w:footer="607" w:top="1100" w:bottom="800" w:left="1040" w:right="0"/>
          <w:pgNumType w:start="23"/>
        </w:sectPr>
      </w:pPr>
    </w:p>
    <w:p>
      <w:pPr>
        <w:pStyle w:val="BodyText"/>
        <w:spacing w:line="295" w:lineRule="auto" w:before="65"/>
        <w:ind w:right="1009"/>
      </w:pPr>
      <w:r>
        <w:rPr>
          <w:spacing w:val="-11"/>
        </w:rPr>
        <w:t>乳腺癌患者中的重要作用；增加了吡咯替尼联合卡培他滨作为抗 </w:t>
      </w:r>
      <w:r>
        <w:rPr/>
        <w:t>HER2</w:t>
      </w:r>
      <w:r>
        <w:rPr>
          <w:spacing w:val="-9"/>
        </w:rPr>
        <w:t> 二线治疗的推荐方案， </w:t>
      </w:r>
      <w:r>
        <w:rPr>
          <w:spacing w:val="-5"/>
        </w:rPr>
        <w:t>突出了国产新药在乳腺癌治疗领域的地位和作用；同时，还提高了氟维司群在激素受体阳性</w:t>
      </w:r>
      <w:r>
        <w:rPr>
          <w:spacing w:val="-10"/>
        </w:rPr>
        <w:t>患者中的治疗地位，强调了 </w:t>
      </w:r>
      <w:r>
        <w:rPr/>
        <w:t>CDK4/6</w:t>
      </w:r>
      <w:r>
        <w:rPr>
          <w:spacing w:val="-8"/>
        </w:rPr>
        <w:t> 抑制剂联合内分泌治疗的作用。</w:t>
      </w:r>
    </w:p>
    <w:p>
      <w:pPr>
        <w:pStyle w:val="BodyText"/>
        <w:spacing w:line="295" w:lineRule="auto" w:before="5"/>
        <w:ind w:right="1129" w:firstLine="480"/>
        <w:jc w:val="both"/>
      </w:pPr>
      <w:r>
        <w:rPr>
          <w:spacing w:val="-31"/>
        </w:rPr>
        <w:t>从 </w:t>
      </w:r>
      <w:r>
        <w:rPr/>
        <w:t>2017</w:t>
      </w:r>
      <w:r>
        <w:rPr>
          <w:spacing w:val="-8"/>
        </w:rPr>
        <w:t> 年首次发布至今，</w:t>
      </w:r>
      <w:r>
        <w:rPr>
          <w:spacing w:val="-3"/>
        </w:rPr>
        <w:t>CSCO</w:t>
      </w:r>
      <w:r>
        <w:rPr>
          <w:spacing w:val="-11"/>
        </w:rPr>
        <w:t> 乳腺癌专家委员会制定的《指南》不仅紧跟国际最新科</w:t>
      </w:r>
      <w:r>
        <w:rPr/>
        <w:t>学进展，把类似吡咯替尼、CDK4/6</w:t>
      </w:r>
      <w:r>
        <w:rPr>
          <w:spacing w:val="-8"/>
        </w:rPr>
        <w:t> 等纳入指南外，还增加了循环肿瘤标记物、人工智能等章节，涵盖了液体活检、二代测序、智能影像、智能病理和智能决策等领域。</w:t>
      </w:r>
    </w:p>
    <w:p>
      <w:pPr>
        <w:pStyle w:val="BodyText"/>
        <w:spacing w:line="259" w:lineRule="auto" w:before="6"/>
        <w:ind w:right="1127" w:firstLine="480"/>
        <w:rPr>
          <w:rFonts w:ascii="Meiryo" w:hAnsi="Meiryo" w:eastAsia="Meiryo" w:hint="eastAsia"/>
          <w:b/>
        </w:rPr>
      </w:pPr>
      <w:r>
        <w:rPr>
          <w:spacing w:val="-10"/>
        </w:rPr>
        <w:t>“基于证据、兼顾可及和专家推荐等级的指南，既体现最新的国际领域学术进展，又紧</w:t>
      </w:r>
      <w:r>
        <w:rPr/>
        <w:t>密联系我国患者实际及医疗保险制度。”江泽飞说。</w:t>
      </w:r>
      <w:r>
        <w:rPr>
          <w:rFonts w:ascii="Meiryo" w:hAnsi="Meiryo" w:eastAsia="Meiryo" w:hint="eastAsia"/>
          <w:b/>
          <w:color w:val="0033CC"/>
        </w:rPr>
        <w:t>[返回目次]</w:t>
      </w:r>
    </w:p>
    <w:p>
      <w:pPr>
        <w:pStyle w:val="Heading2"/>
        <w:spacing w:before="28"/>
      </w:pPr>
      <w:bookmarkStart w:name="_TOC_250020" w:id="23"/>
      <w:bookmarkEnd w:id="23"/>
      <w:r>
        <w:rPr/>
        <w:t>【专家观点】</w:t>
      </w:r>
    </w:p>
    <w:p>
      <w:pPr>
        <w:pStyle w:val="BodyText"/>
        <w:spacing w:before="8"/>
        <w:ind w:left="0"/>
        <w:rPr>
          <w:b/>
          <w:sz w:val="18"/>
        </w:rPr>
      </w:pPr>
    </w:p>
    <w:p>
      <w:pPr>
        <w:spacing w:after="0"/>
        <w:rPr>
          <w:sz w:val="18"/>
        </w:rPr>
        <w:sectPr>
          <w:pgSz w:w="11910" w:h="16850"/>
          <w:pgMar w:header="906" w:footer="607" w:top="1100" w:bottom="800" w:left="1040" w:right="0"/>
        </w:sectPr>
      </w:pPr>
    </w:p>
    <w:p>
      <w:pPr>
        <w:pStyle w:val="Heading2"/>
        <w:spacing w:before="55"/>
        <w:ind w:left="3218"/>
      </w:pPr>
      <w:bookmarkStart w:name="_TOC_250019" w:id="24"/>
      <w:bookmarkEnd w:id="24"/>
      <w:r>
        <w:rPr>
          <w:spacing w:val="-2"/>
        </w:rPr>
        <w:t>“药”无伤害须多管齐下</w:t>
      </w:r>
    </w:p>
    <w:p>
      <w:pPr>
        <w:pStyle w:val="BodyText"/>
        <w:ind w:left="0"/>
        <w:rPr>
          <w:b/>
        </w:rPr>
      </w:pPr>
      <w:r>
        <w:rPr/>
        <w:br w:type="column"/>
      </w:r>
      <w:r>
        <w:rPr>
          <w:b/>
        </w:rPr>
      </w:r>
    </w:p>
    <w:p>
      <w:pPr>
        <w:pStyle w:val="BodyText"/>
        <w:spacing w:before="10"/>
        <w:ind w:left="0"/>
        <w:rPr>
          <w:b/>
          <w:sz w:val="23"/>
        </w:rPr>
      </w:pPr>
    </w:p>
    <w:p>
      <w:pPr>
        <w:pStyle w:val="Heading3"/>
        <w:ind w:left="1017"/>
      </w:pPr>
      <w:r>
        <w:rPr>
          <w:color w:val="FF0000"/>
        </w:rPr>
        <w:t>（来源：健康报）</w:t>
      </w:r>
    </w:p>
    <w:p>
      <w:pPr>
        <w:spacing w:after="0"/>
        <w:sectPr>
          <w:type w:val="continuous"/>
          <w:pgSz w:w="11910" w:h="16850"/>
          <w:pgMar w:top="1100" w:bottom="1020" w:left="1040" w:right="0"/>
          <w:cols w:num="2" w:equalWidth="0">
            <w:col w:w="6750" w:space="40"/>
            <w:col w:w="4080"/>
          </w:cols>
        </w:sectPr>
      </w:pPr>
    </w:p>
    <w:p>
      <w:pPr>
        <w:pStyle w:val="BodyText"/>
        <w:spacing w:line="297" w:lineRule="auto" w:before="96"/>
        <w:ind w:right="1127" w:firstLine="480"/>
        <w:jc w:val="both"/>
      </w:pPr>
      <w:r>
        <w:rPr/>
        <w:t>3</w:t>
      </w:r>
      <w:r>
        <w:rPr>
          <w:spacing w:val="-41"/>
        </w:rPr>
        <w:t> 月 </w:t>
      </w:r>
      <w:r>
        <w:rPr/>
        <w:t>30</w:t>
      </w:r>
      <w:r>
        <w:rPr>
          <w:spacing w:val="-30"/>
        </w:rPr>
        <w:t> 日</w:t>
      </w:r>
      <w:r>
        <w:rPr/>
        <w:t>~31</w:t>
      </w:r>
      <w:r>
        <w:rPr>
          <w:spacing w:val="-15"/>
        </w:rPr>
        <w:t> 日，由药物不良反应杂志社、中国药理学会药源性疾病学专业委员会主办</w:t>
      </w:r>
      <w:r>
        <w:rPr>
          <w:spacing w:val="-6"/>
        </w:rPr>
        <w:t>的“第十一届药源性疾病与安全用药中国论坛”上，中国药理学会药源性疾病学专业委员会</w:t>
      </w:r>
      <w:r>
        <w:rPr>
          <w:spacing w:val="-11"/>
        </w:rPr>
        <w:t>主任委员、首都医科大学宣武医院主任药师王育琴表示，用药安全是患者安全中最重要的问</w:t>
      </w:r>
      <w:r>
        <w:rPr>
          <w:spacing w:val="-12"/>
        </w:rPr>
        <w:t>题，药品质量反应、用药错误和药品质量缺陷是患者用药时面临的三大风险，而其中用药错</w:t>
      </w:r>
      <w:r>
        <w:rPr/>
        <w:t>误和药品质量缺陷属于人为、可避免的风险。</w:t>
      </w:r>
    </w:p>
    <w:p>
      <w:pPr>
        <w:pStyle w:val="BodyText"/>
        <w:spacing w:line="297" w:lineRule="auto"/>
        <w:ind w:right="1127" w:firstLine="480"/>
        <w:jc w:val="both"/>
      </w:pPr>
      <w:r>
        <w:rPr/>
        <w:t>我国政府和医疗机构在保障患者用药安全方面做了大量工作。2005</w:t>
      </w:r>
      <w:r>
        <w:rPr>
          <w:spacing w:val="-40"/>
        </w:rPr>
        <w:t> 年 </w:t>
      </w:r>
      <w:r>
        <w:rPr/>
        <w:t>8</w:t>
      </w:r>
      <w:r>
        <w:rPr>
          <w:spacing w:val="-9"/>
        </w:rPr>
        <w:t> 月，卫生部医疗服务监管司牵头成立了合理用药国际网络（INRUD）。2012</w:t>
      </w:r>
      <w:r>
        <w:rPr>
          <w:spacing w:val="-40"/>
        </w:rPr>
        <w:t> 年 </w:t>
      </w:r>
      <w:r>
        <w:rPr/>
        <w:t>9</w:t>
      </w:r>
      <w:r>
        <w:rPr>
          <w:spacing w:val="-30"/>
        </w:rPr>
        <w:t> 月</w:t>
      </w:r>
      <w:r>
        <w:rPr/>
        <w:t>，INRUD</w:t>
      </w:r>
      <w:r>
        <w:rPr>
          <w:spacing w:val="-9"/>
        </w:rPr>
        <w:t> 中国中心组成</w:t>
      </w:r>
      <w:r>
        <w:rPr>
          <w:spacing w:val="-11"/>
        </w:rPr>
        <w:t>立临床安全用药组并建立了全国临床安全用药监测网，同时确定了全国 </w:t>
      </w:r>
      <w:r>
        <w:rPr/>
        <w:t>31</w:t>
      </w:r>
      <w:r>
        <w:rPr>
          <w:spacing w:val="-8"/>
        </w:rPr>
        <w:t> 家医院作为首批</w:t>
      </w:r>
      <w:r>
        <w:rPr>
          <w:spacing w:val="-12"/>
        </w:rPr>
        <w:t>临床安全用药监测网络医院。</w:t>
      </w:r>
      <w:r>
        <w:rPr/>
        <w:t>2014</w:t>
      </w:r>
      <w:r>
        <w:rPr>
          <w:spacing w:val="-23"/>
        </w:rPr>
        <w:t> 年，</w:t>
      </w:r>
      <w:r>
        <w:rPr>
          <w:spacing w:val="-9"/>
        </w:rPr>
        <w:t>INRUD 中国中心组临床安全用药组在国家卫生计生委</w:t>
      </w:r>
      <w:r>
        <w:rPr>
          <w:spacing w:val="-11"/>
        </w:rPr>
        <w:t>领导下，与中国药理学会药源性疾病学专业委员会、中国药学会医院药学专业委员会和药物</w:t>
      </w:r>
      <w:r>
        <w:rPr>
          <w:spacing w:val="-7"/>
        </w:rPr>
        <w:t>不良反应杂志社联合，组织全国多学科专家历时两年讨论、修改，形成《中国用药错误管理</w:t>
      </w:r>
      <w:r>
        <w:rPr/>
        <w:t>专家共识》，此后还推出了一系列针对不同环节用药错误防范的指导原则。</w:t>
      </w:r>
    </w:p>
    <w:p>
      <w:pPr>
        <w:pStyle w:val="BodyText"/>
        <w:spacing w:line="297" w:lineRule="auto"/>
        <w:ind w:right="1026" w:firstLine="480"/>
      </w:pPr>
      <w:r>
        <w:rPr>
          <w:spacing w:val="-9"/>
        </w:rPr>
        <w:t>王育琴表示，当面对用药错误不再是唯恐避之不及而是主动上报，不再是一味苛责而是</w:t>
      </w:r>
      <w:r>
        <w:rPr>
          <w:spacing w:val="-10"/>
        </w:rPr>
        <w:t>给予包容理解，不再是责备或惩罚当事人而是将重点放在系统和程序改进，形成人人重视、</w:t>
      </w:r>
      <w:r>
        <w:rPr/>
        <w:t>人人参与的氛围，我们离“无伤害用药”的目标会越来越近。</w:t>
      </w:r>
    </w:p>
    <w:p>
      <w:pPr>
        <w:pStyle w:val="BodyText"/>
        <w:spacing w:line="295" w:lineRule="auto"/>
        <w:ind w:right="1127" w:firstLine="480"/>
      </w:pPr>
      <w:r>
        <w:rPr>
          <w:spacing w:val="-3"/>
        </w:rPr>
        <w:t>国家药品不良反应监测中心主任沈传勇在介绍我国 </w:t>
      </w:r>
      <w:r>
        <w:rPr/>
        <w:t>2018</w:t>
      </w:r>
      <w:r>
        <w:rPr>
          <w:spacing w:val="-8"/>
        </w:rPr>
        <w:t> 年药品不良反应监测情况时表示，2018 年，国家药品不良反应监测系统监测报告数量和质量稳步提高。借助信息系统，</w:t>
      </w:r>
    </w:p>
    <w:p>
      <w:pPr>
        <w:pStyle w:val="BodyText"/>
        <w:spacing w:line="259" w:lineRule="auto"/>
        <w:ind w:right="1127"/>
        <w:rPr>
          <w:rFonts w:ascii="Meiryo" w:eastAsia="Meiryo" w:hint="eastAsia"/>
          <w:b/>
        </w:rPr>
      </w:pPr>
      <w:r>
        <w:rPr>
          <w:spacing w:val="-6"/>
        </w:rPr>
        <w:t>及时预警和处置聚集性不良事件风险信号，并扎实开展基于风险的评价工作，积极推动企业</w:t>
      </w:r>
      <w:r>
        <w:rPr/>
        <w:t>主体责任落实。</w:t>
      </w:r>
      <w:r>
        <w:rPr>
          <w:rFonts w:ascii="Meiryo" w:eastAsia="Meiryo" w:hint="eastAsia"/>
          <w:b/>
          <w:color w:val="0033CC"/>
        </w:rPr>
        <w:t>[返回目次]</w:t>
      </w:r>
    </w:p>
    <w:p>
      <w:pPr>
        <w:pStyle w:val="Heading2"/>
        <w:spacing w:before="108"/>
        <w:ind w:left="3218"/>
      </w:pPr>
      <w:bookmarkStart w:name="_TOC_250018" w:id="25"/>
      <w:bookmarkEnd w:id="25"/>
      <w:r>
        <w:rPr/>
        <w:t>芬太尼离毒品究竟有多远</w:t>
      </w:r>
    </w:p>
    <w:p>
      <w:pPr>
        <w:pStyle w:val="BodyText"/>
        <w:spacing w:before="6"/>
        <w:ind w:left="0"/>
        <w:rPr>
          <w:b/>
          <w:sz w:val="33"/>
        </w:rPr>
      </w:pPr>
    </w:p>
    <w:p>
      <w:pPr>
        <w:pStyle w:val="Heading3"/>
        <w:ind w:right="1128"/>
        <w:jc w:val="right"/>
      </w:pPr>
      <w:r>
        <w:rPr>
          <w:color w:val="FF0000"/>
          <w:w w:val="95"/>
        </w:rPr>
        <w:t>（来源：健康报）</w:t>
      </w:r>
    </w:p>
    <w:p>
      <w:pPr>
        <w:pStyle w:val="BodyText"/>
        <w:spacing w:line="297" w:lineRule="auto" w:before="96"/>
        <w:ind w:right="1129" w:firstLine="480"/>
      </w:pPr>
      <w:r>
        <w:rPr>
          <w:spacing w:val="-6"/>
        </w:rPr>
        <w:t>芬太尼一直是我国及国际严格管控的强效麻醉性镇痛药，在去年底举行的中美元首会晤上，两国领导人就“对芬太尼类物质进行管控”达成了共识。</w:t>
      </w:r>
      <w:r>
        <w:rPr/>
        <w:t>4</w:t>
      </w:r>
      <w:r>
        <w:rPr>
          <w:spacing w:val="-40"/>
        </w:rPr>
        <w:t> 月 </w:t>
      </w:r>
      <w:r>
        <w:rPr/>
        <w:t>1</w:t>
      </w:r>
      <w:r>
        <w:rPr>
          <w:spacing w:val="-11"/>
        </w:rPr>
        <w:t> 日，公安部、国家卫生</w:t>
      </w:r>
    </w:p>
    <w:p>
      <w:pPr>
        <w:spacing w:after="0" w:line="297" w:lineRule="auto"/>
        <w:sectPr>
          <w:type w:val="continuous"/>
          <w:pgSz w:w="11910" w:h="16850"/>
          <w:pgMar w:top="1100" w:bottom="1020" w:left="1040" w:right="0"/>
        </w:sectPr>
      </w:pPr>
    </w:p>
    <w:p>
      <w:pPr>
        <w:pStyle w:val="BodyText"/>
        <w:spacing w:line="295" w:lineRule="auto" w:before="65"/>
        <w:ind w:right="1127"/>
      </w:pPr>
      <w:r>
        <w:rPr>
          <w:spacing w:val="-10"/>
        </w:rPr>
        <w:t>健康委员会、国家药品监督管理局联合发布《关于将芬太尼类物质列入〈非药用类麻醉药品</w:t>
      </w:r>
      <w:r>
        <w:rPr/>
        <w:t>和精神药品管制品种增补目录〉的公告》，芬太尼类物质被整类列管。</w:t>
      </w:r>
    </w:p>
    <w:p>
      <w:pPr>
        <w:pStyle w:val="BodyText"/>
        <w:spacing w:line="297" w:lineRule="auto" w:before="2"/>
        <w:ind w:right="1127" w:firstLine="480"/>
        <w:jc w:val="both"/>
      </w:pPr>
      <w:r>
        <w:rPr>
          <w:spacing w:val="-5"/>
        </w:rPr>
        <w:t>麻醉性镇痛药是指阿片及合成的各种阿片类活性碱类镇痛药，用于疼痛治疗。芬太尼类</w:t>
      </w:r>
      <w:r>
        <w:rPr>
          <w:spacing w:val="-8"/>
        </w:rPr>
        <w:t>麻醉药是人们对麻醉性镇痛药的俗称，并非指用于手术中让全身或局部暂时性失去知觉的麻</w:t>
      </w:r>
      <w:r>
        <w:rPr/>
        <w:t>醉药品。</w:t>
      </w:r>
    </w:p>
    <w:p>
      <w:pPr>
        <w:pStyle w:val="Heading3"/>
        <w:spacing w:line="304" w:lineRule="exact"/>
        <w:ind w:left="717"/>
        <w:rPr>
          <w:rFonts w:ascii="宋体" w:eastAsia="宋体" w:hint="eastAsia"/>
        </w:rPr>
      </w:pPr>
      <w:r>
        <w:rPr>
          <w:rFonts w:ascii="宋体" w:eastAsia="宋体" w:hint="eastAsia"/>
        </w:rPr>
        <w:t>芬太尼家族的故事</w:t>
      </w:r>
    </w:p>
    <w:p>
      <w:pPr>
        <w:pStyle w:val="BodyText"/>
        <w:spacing w:line="297" w:lineRule="auto" w:before="74"/>
        <w:ind w:right="1127" w:firstLine="480"/>
        <w:jc w:val="both"/>
      </w:pPr>
      <w:r>
        <w:rPr/>
        <w:t>芬太尼类药在现代麻醉史和镇痛医学中占有重要地位。1960</w:t>
      </w:r>
      <w:r>
        <w:rPr>
          <w:spacing w:val="-8"/>
        </w:rPr>
        <w:t> 年，比利时杰出科学家杨森博士成功研发出人工合成强效镇痛药芬太尼，其镇痛效力是吗啡的一百倍。1974</w:t>
      </w:r>
      <w:r>
        <w:rPr>
          <w:spacing w:val="-15"/>
        </w:rPr>
        <w:t> 年，他</w:t>
      </w:r>
      <w:r>
        <w:rPr>
          <w:spacing w:val="-16"/>
        </w:rPr>
        <w:t>又研发出舒芬太尼、卡芬太尼，其镇痛效力分别是吗啡的一千倍和一万倍。随后，他还研发</w:t>
      </w:r>
      <w:r>
        <w:rPr>
          <w:spacing w:val="-17"/>
        </w:rPr>
        <w:t>出芬太尼的多种衍生物，故而被称为芬太尼家族。在研发过程中，杨森博士发现，芬太尼的</w:t>
      </w:r>
      <w:r>
        <w:rPr>
          <w:spacing w:val="-6"/>
        </w:rPr>
        <w:t>系列衍生物如同其他麻醉性镇痛药一样，镇痛作用越强，成瘾性等不良反应越明显，这或许</w:t>
      </w:r>
      <w:r>
        <w:rPr/>
        <w:t>就是麻醉性镇痛药的“天性”。</w:t>
      </w:r>
    </w:p>
    <w:p>
      <w:pPr>
        <w:pStyle w:val="BodyText"/>
        <w:spacing w:line="297" w:lineRule="auto"/>
        <w:ind w:right="1130" w:firstLine="480"/>
        <w:jc w:val="both"/>
      </w:pPr>
      <w:r>
        <w:rPr>
          <w:spacing w:val="-9"/>
        </w:rPr>
        <w:t>正因如此，杨森博士认为前期研发的医用芬太尼、舒芬太尼、瑞芬太尼、阿芬太尼提供</w:t>
      </w:r>
      <w:r>
        <w:rPr>
          <w:spacing w:val="-8"/>
        </w:rPr>
        <w:t>给临床镇痛治疗，兽用卡芬太尼提供给巨型动物镇痛治疗，足矣！接下来要做的事，一是将</w:t>
      </w:r>
      <w:r>
        <w:rPr>
          <w:spacing w:val="-4"/>
        </w:rPr>
        <w:t>自己亲自研发而尚未上市的其他近 </w:t>
      </w:r>
      <w:r>
        <w:rPr/>
        <w:t>20</w:t>
      </w:r>
      <w:r>
        <w:rPr>
          <w:spacing w:val="-8"/>
        </w:rPr>
        <w:t> 种芬太尼衍生物全部锁进保险箱，二是研究如何更加合理及安全地使用已上市的芬太尼类药物。</w:t>
      </w:r>
    </w:p>
    <w:p>
      <w:pPr>
        <w:pStyle w:val="BodyText"/>
        <w:spacing w:line="297" w:lineRule="auto"/>
        <w:ind w:right="1007" w:firstLine="480"/>
      </w:pPr>
      <w:r>
        <w:rPr/>
        <w:t>如何将短效芬太尼安全有效地应用于需要长期持续用药的慢性癌症疼痛治疗？杨森博 </w:t>
      </w:r>
      <w:r>
        <w:rPr>
          <w:spacing w:val="-6"/>
        </w:rPr>
        <w:t>士开始研究芬太尼新剂型，即芬太尼透皮贴剂。芬太尼具备作为透皮给药的三大特性：分子</w:t>
      </w:r>
      <w:r>
        <w:rPr>
          <w:spacing w:val="-12"/>
        </w:rPr>
        <w:t>量小、脂溶性、强效。然而，作为麻醉性镇痛药的透皮贴剂，必须按时、按量、透皮吸收并</w:t>
      </w:r>
      <w:r>
        <w:rPr>
          <w:spacing w:val="-19"/>
        </w:rPr>
        <w:t>释放入血，才能既保证维持恒定的有效镇痛血药浓度，又避免出现过高血药浓度导致的成瘾、</w:t>
      </w:r>
      <w:r>
        <w:rPr>
          <w:spacing w:val="-2"/>
        </w:rPr>
        <w:t>欣快感及呼吸抑制等严重不良反应。经过反复地试验，芬太尼透皮贴剂 </w:t>
      </w:r>
      <w:r>
        <w:rPr/>
        <w:t>1990</w:t>
      </w:r>
      <w:r>
        <w:rPr>
          <w:spacing w:val="-15"/>
        </w:rPr>
        <w:t> 年问世</w:t>
      </w:r>
      <w:r>
        <w:rPr/>
        <w:t>，1999 </w:t>
      </w:r>
      <w:r>
        <w:rPr>
          <w:spacing w:val="-10"/>
        </w:rPr>
        <w:t>年在中国上市。如今，芬太尼透皮贴剂和其他麻醉性镇痛药一样，已成为中重度慢性癌症疼痛治疗的基本镇痛药物。</w:t>
      </w:r>
    </w:p>
    <w:p>
      <w:pPr>
        <w:pStyle w:val="Heading3"/>
        <w:spacing w:line="298" w:lineRule="exact"/>
        <w:ind w:left="717"/>
        <w:rPr>
          <w:rFonts w:ascii="宋体" w:eastAsia="宋体" w:hint="eastAsia"/>
        </w:rPr>
      </w:pPr>
      <w:r>
        <w:rPr>
          <w:rFonts w:ascii="宋体" w:eastAsia="宋体" w:hint="eastAsia"/>
          <w:w w:val="95"/>
        </w:rPr>
        <w:t>合理应用是镇痛良药</w:t>
      </w:r>
    </w:p>
    <w:p>
      <w:pPr>
        <w:pStyle w:val="BodyText"/>
        <w:spacing w:line="297" w:lineRule="auto" w:before="61"/>
        <w:ind w:right="1007" w:firstLine="480"/>
      </w:pPr>
      <w:r>
        <w:rPr>
          <w:spacing w:val="-10"/>
        </w:rPr>
        <w:t>止痛药分麻醉性镇痛药和非麻醉性镇痛药两种。非麻醉性镇痛药，如阿司匹林、布洛芬、</w:t>
      </w:r>
      <w:r>
        <w:rPr>
          <w:spacing w:val="-9"/>
        </w:rPr>
        <w:t>对乙酰氨基酚、塞来昔布等，其作用机制是通过抑制引起疼痛的炎性因子而减轻疼痛，因此</w:t>
      </w:r>
      <w:r>
        <w:rPr>
          <w:spacing w:val="-18"/>
        </w:rPr>
        <w:t>称为解热镇痛药。解热镇痛药无成瘾和呼吸抑制等副作用，但止痛强度远不及麻醉性镇痛药， </w:t>
      </w:r>
      <w:r>
        <w:rPr>
          <w:spacing w:val="-7"/>
        </w:rPr>
        <w:t>当用量达到一定限度时，止痛作用不再增强，不良反应发生率却明显增加，长期用药尤其如此，并可导致消化道溃疡、肝肾毒性、血小板功能抑制等。</w:t>
      </w:r>
    </w:p>
    <w:p>
      <w:pPr>
        <w:pStyle w:val="BodyText"/>
        <w:spacing w:line="297" w:lineRule="auto"/>
        <w:ind w:right="1127" w:firstLine="480"/>
        <w:jc w:val="both"/>
      </w:pPr>
      <w:r>
        <w:rPr>
          <w:spacing w:val="-6"/>
        </w:rPr>
        <w:t>对于中重度癌症疼痛病人的止痛治疗，麻醉性镇痛药必不可少。麻醉性镇痛药通过抑制中枢神经系统的疼痛传递系统而产生强效镇痛作用。由于其中枢作用机制，可能因使用不当</w:t>
      </w:r>
      <w:r>
        <w:rPr>
          <w:spacing w:val="-3"/>
        </w:rPr>
        <w:t>而导致药物精神依赖性</w:t>
      </w:r>
      <w:r>
        <w:rPr/>
        <w:t>（俗称成瘾</w:t>
      </w:r>
      <w:r>
        <w:rPr>
          <w:spacing w:val="-27"/>
        </w:rPr>
        <w:t>）</w:t>
      </w:r>
      <w:r>
        <w:rPr>
          <w:spacing w:val="-6"/>
        </w:rPr>
        <w:t>和呼吸抑制等问题。麻醉性镇痛药不仅止痛作用强，还可通过适当调整剂量进一步增强镇痛作用。麻醉性镇痛药对肝、肾、血小板功能无影响，因</w:t>
      </w:r>
      <w:r>
        <w:rPr>
          <w:spacing w:val="-13"/>
        </w:rPr>
        <w:t>此，对于需要长期止痛治疗，尤其是因病情恶化可能还需要逐渐增加止痛强度的中重度癌症</w:t>
      </w:r>
      <w:r>
        <w:rPr>
          <w:spacing w:val="-9"/>
        </w:rPr>
        <w:t>疼痛病人来说，麻醉性镇痛药是他们的止痛“神药”，有时甚至是他们唯一可能获益和耐受</w:t>
      </w:r>
      <w:r>
        <w:rPr/>
        <w:t>的止痛疗法。</w:t>
      </w:r>
    </w:p>
    <w:p>
      <w:pPr>
        <w:pStyle w:val="BodyText"/>
        <w:spacing w:line="295" w:lineRule="auto"/>
        <w:ind w:right="1026" w:firstLine="480"/>
        <w:jc w:val="both"/>
      </w:pPr>
      <w:r>
        <w:rPr/>
        <w:t>然而，人们对麻醉性镇痛药的成瘾恐惧，长期困扰着癌痛病人的合理止痛治疗。为此， 世界卫生组织早在 1986 年就开始大力推广“癌症疼痛三阶梯止痛”原则，轻度疼痛选择消</w:t>
      </w:r>
    </w:p>
    <w:p>
      <w:pPr>
        <w:spacing w:after="0" w:line="295" w:lineRule="auto"/>
        <w:jc w:val="both"/>
        <w:sectPr>
          <w:pgSz w:w="11910" w:h="16850"/>
          <w:pgMar w:header="906" w:footer="607" w:top="1100" w:bottom="800" w:left="1040" w:right="0"/>
        </w:sectPr>
      </w:pPr>
    </w:p>
    <w:p>
      <w:pPr>
        <w:pStyle w:val="BodyText"/>
        <w:spacing w:line="295" w:lineRule="auto" w:before="65"/>
        <w:ind w:right="1130"/>
        <w:jc w:val="both"/>
      </w:pPr>
      <w:r>
        <w:rPr>
          <w:spacing w:val="-2"/>
        </w:rPr>
        <w:t>炎镇痛药，而麻醉性镇痛药则是缓解中度和重度疼痛的基本药物。全球 </w:t>
      </w:r>
      <w:r>
        <w:rPr/>
        <w:t>30</w:t>
      </w:r>
      <w:r>
        <w:rPr>
          <w:spacing w:val="-8"/>
        </w:rPr>
        <w:t> 多年的癌痛规范</w:t>
      </w:r>
      <w:r>
        <w:rPr>
          <w:spacing w:val="-15"/>
        </w:rPr>
        <w:t>化治疗临床推广经验及研究证据证明，合理应用麻醉性镇痛药是癌症疼痛治疗必不可少的良</w:t>
      </w:r>
      <w:r>
        <w:rPr/>
        <w:t>方。</w:t>
      </w:r>
    </w:p>
    <w:p>
      <w:pPr>
        <w:pStyle w:val="Heading3"/>
        <w:spacing w:before="5"/>
        <w:ind w:left="717"/>
        <w:rPr>
          <w:rFonts w:ascii="宋体" w:eastAsia="宋体" w:hint="eastAsia"/>
        </w:rPr>
      </w:pPr>
      <w:r>
        <w:rPr>
          <w:rFonts w:ascii="宋体" w:eastAsia="宋体" w:hint="eastAsia"/>
        </w:rPr>
        <w:t>滥用就是害人毒品</w:t>
      </w:r>
    </w:p>
    <w:p>
      <w:pPr>
        <w:pStyle w:val="BodyText"/>
        <w:spacing w:line="297" w:lineRule="auto" w:before="72"/>
        <w:ind w:right="1007" w:firstLine="480"/>
      </w:pPr>
      <w:r>
        <w:rPr>
          <w:spacing w:val="-6"/>
        </w:rPr>
        <w:t>麻醉药因其中枢神经作用机制，不当使用会产生身体依赖和精神依赖，甚至呼吸抑制致</w:t>
      </w:r>
      <w:r>
        <w:rPr>
          <w:spacing w:val="-11"/>
        </w:rPr>
        <w:t>死。因此，包括麻醉性镇痛药在内的麻醉药，一直被列为特殊管制药，严格预防滥用。在我国，麻醉性镇痛药的原料生产、制作、销售、处方、应用的每一环节都有非常严格的监管制</w:t>
      </w:r>
      <w:r>
        <w:rPr>
          <w:spacing w:val="-16"/>
        </w:rPr>
        <w:t>度。例如，医院首先需要获得国家严格审查的印鉴卡资格，并严格实施专人负责、专柜加锁、</w:t>
      </w:r>
      <w:r>
        <w:rPr>
          <w:spacing w:val="-10"/>
        </w:rPr>
        <w:t>专用账、专用处方、专册登记的“五专”管理制度，才能为病人提供麻醉性镇痛药。而癌痛</w:t>
      </w:r>
      <w:r>
        <w:rPr>
          <w:spacing w:val="-14"/>
        </w:rPr>
        <w:t>病人要获取麻醉性镇痛药，需要由获得麻醉药品处方资格的医师根据癌痛病情开具处方，处方还需要记录病人的身份信息。临床上，麻醉性镇痛药处方为专用红处方。</w:t>
      </w:r>
    </w:p>
    <w:p>
      <w:pPr>
        <w:pStyle w:val="BodyText"/>
        <w:spacing w:line="297" w:lineRule="auto"/>
        <w:ind w:right="1127" w:firstLine="480"/>
        <w:jc w:val="both"/>
      </w:pPr>
      <w:r>
        <w:rPr>
          <w:spacing w:val="-10"/>
        </w:rPr>
        <w:t>事实上，经严格程序批准上市用于临床的药物，才能称之为药品。需要管制的芬太尼类</w:t>
      </w:r>
      <w:r>
        <w:rPr>
          <w:spacing w:val="-5"/>
        </w:rPr>
        <w:t>物质包括已批准上市用于医疗和兽用的芬太尼及其衍生物药品，还包括前面提到的被杨森博士认为应被永久锁进保险箱的芬太尼系列衍生物和前体物。芬太尼类物质是人工合成的高效</w:t>
      </w:r>
      <w:r>
        <w:rPr>
          <w:spacing w:val="-9"/>
        </w:rPr>
        <w:t>阿片类物质，其制作成本大大低于通过种植罂粟提取制作吗啡、海洛因等物质；其强效阿片</w:t>
      </w:r>
      <w:r>
        <w:rPr>
          <w:spacing w:val="-7"/>
        </w:rPr>
        <w:t>类作用又使其体积大大缩小，夹带运输可能性增加，运输成本及风险减低。加之，不法分子</w:t>
      </w:r>
      <w:r>
        <w:rPr>
          <w:spacing w:val="-13"/>
        </w:rPr>
        <w:t>不断翻新制造的芬太尼类衍生物变体，使人们辨识其本性的难度大大增加。而对于吸毒的瘾</w:t>
      </w:r>
      <w:r>
        <w:rPr/>
        <w:t>君子来说，不断翻新的复杂毒品，使人过量吸食而死的危险也在不断增加。</w:t>
      </w:r>
    </w:p>
    <w:p>
      <w:pPr>
        <w:pStyle w:val="BodyText"/>
        <w:spacing w:line="295" w:lineRule="auto"/>
        <w:ind w:right="1129" w:firstLine="480"/>
        <w:jc w:val="both"/>
      </w:pPr>
      <w:r>
        <w:rPr>
          <w:spacing w:val="-10"/>
        </w:rPr>
        <w:t>总之，麻醉性镇痛药，合理应用是镇痛良药，非法使用则是毒品。盲目将临床应用的麻</w:t>
      </w:r>
      <w:r>
        <w:rPr>
          <w:spacing w:val="-7"/>
        </w:rPr>
        <w:t>醉性镇痛药直接与毒品划等号，是危言耸听；让身受疼痛折磨的癌症病人忍痛，限制他们合</w:t>
      </w:r>
      <w:r>
        <w:rPr/>
        <w:t>理获得麻醉性镇痛药治疗，也是不人道的。</w:t>
      </w:r>
    </w:p>
    <w:p>
      <w:pPr>
        <w:pStyle w:val="BodyText"/>
        <w:spacing w:line="425" w:lineRule="exact"/>
        <w:ind w:left="717"/>
        <w:jc w:val="both"/>
        <w:rPr>
          <w:rFonts w:ascii="Meiryo" w:eastAsia="Meiryo" w:hint="eastAsia"/>
          <w:b/>
        </w:rPr>
      </w:pPr>
      <w:r>
        <w:rPr/>
        <w:t>作者：华中科技大学同济医学院附属同济医院肿瘤中心教授 于世英</w:t>
      </w:r>
      <w:r>
        <w:rPr>
          <w:rFonts w:ascii="Meiryo" w:eastAsia="Meiryo" w:hint="eastAsia"/>
          <w:b/>
          <w:color w:val="0033CC"/>
        </w:rPr>
        <w:t>[返回目次]</w:t>
      </w:r>
    </w:p>
    <w:p>
      <w:pPr>
        <w:pStyle w:val="Heading2"/>
        <w:spacing w:before="48"/>
      </w:pPr>
      <w:bookmarkStart w:name="_TOC_250017" w:id="26"/>
      <w:bookmarkEnd w:id="26"/>
      <w:r>
        <w:rPr/>
        <w:t>【药物警戒】</w:t>
      </w:r>
    </w:p>
    <w:p>
      <w:pPr>
        <w:pStyle w:val="Heading2"/>
        <w:spacing w:before="260"/>
        <w:ind w:left="2253"/>
      </w:pPr>
      <w:bookmarkStart w:name="_TOC_250016" w:id="27"/>
      <w:bookmarkEnd w:id="27"/>
      <w:r>
        <w:rPr/>
        <w:t>德药管机构警告：慎用诺氟沙星等药物</w:t>
      </w:r>
    </w:p>
    <w:p>
      <w:pPr>
        <w:pStyle w:val="BodyText"/>
        <w:spacing w:before="6"/>
        <w:ind w:left="0"/>
        <w:rPr>
          <w:b/>
          <w:sz w:val="33"/>
        </w:rPr>
      </w:pPr>
    </w:p>
    <w:p>
      <w:pPr>
        <w:pStyle w:val="Heading3"/>
        <w:ind w:right="1128"/>
        <w:jc w:val="right"/>
      </w:pPr>
      <w:r>
        <w:rPr>
          <w:color w:val="FF0000"/>
          <w:w w:val="95"/>
        </w:rPr>
        <w:t>（来源：新华社）</w:t>
      </w:r>
    </w:p>
    <w:p>
      <w:pPr>
        <w:pStyle w:val="BodyText"/>
        <w:spacing w:line="297" w:lineRule="auto" w:before="96"/>
        <w:ind w:right="1129" w:firstLine="480"/>
        <w:jc w:val="both"/>
      </w:pPr>
      <w:r>
        <w:rPr>
          <w:spacing w:val="-4"/>
        </w:rPr>
        <w:t>德国联邦药品与医疗器械管理局 </w:t>
      </w:r>
      <w:r>
        <w:rPr/>
        <w:t>4</w:t>
      </w:r>
      <w:r>
        <w:rPr>
          <w:spacing w:val="-40"/>
        </w:rPr>
        <w:t> 月 </w:t>
      </w:r>
      <w:r>
        <w:rPr/>
        <w:t>8</w:t>
      </w:r>
      <w:r>
        <w:rPr>
          <w:spacing w:val="-15"/>
        </w:rPr>
        <w:t> 日警告说，使用诺氟沙星、左氧氟沙星等氟喹诺</w:t>
      </w:r>
      <w:r>
        <w:rPr>
          <w:spacing w:val="-9"/>
        </w:rPr>
        <w:t>酮类药物可能产生“严重且持久”的副作用，抗感染治疗时一定要慎用此类药物。此外，该</w:t>
      </w:r>
      <w:r>
        <w:rPr/>
        <w:t>机构还发布了有关限制此类药物使用的新规定。</w:t>
      </w:r>
    </w:p>
    <w:p>
      <w:pPr>
        <w:pStyle w:val="BodyText"/>
        <w:spacing w:line="297" w:lineRule="auto"/>
        <w:ind w:right="1126" w:firstLine="480"/>
        <w:jc w:val="both"/>
      </w:pPr>
      <w:r>
        <w:rPr>
          <w:spacing w:val="-7"/>
        </w:rPr>
        <w:t>该机构当天在官网发布警告说，氟喹诺酮类药物可能会对肌腱、肌肉、关节和神经系统</w:t>
      </w:r>
      <w:r>
        <w:rPr>
          <w:spacing w:val="-10"/>
        </w:rPr>
        <w:t>造成伤害，某些严重不良反应会持续很长时间，不仅影响患者生活质量，且健康损害可能无</w:t>
      </w:r>
      <w:r>
        <w:rPr/>
        <w:t>法逆转。一旦患者出现不良反应迹象，应立即停药。</w:t>
      </w:r>
    </w:p>
    <w:p>
      <w:pPr>
        <w:pStyle w:val="BodyText"/>
        <w:spacing w:line="297" w:lineRule="auto"/>
        <w:ind w:right="1127" w:firstLine="480"/>
        <w:jc w:val="both"/>
      </w:pPr>
      <w:r>
        <w:rPr>
          <w:spacing w:val="-6"/>
        </w:rPr>
        <w:t>氟喹诺酮类药物是一类化学合成抗菌药，可用于治疗多种感染性疾病，包括一些其他抗感染药物效果不佳却危及生命的疾病。环丙沙星、左氧氟沙星、莫西沙星、诺氟沙星、氧氟沙星等均属于此类药物。</w:t>
      </w:r>
    </w:p>
    <w:p>
      <w:pPr>
        <w:pStyle w:val="BodyText"/>
        <w:spacing w:line="295" w:lineRule="auto"/>
        <w:ind w:right="1127" w:firstLine="480"/>
      </w:pPr>
      <w:r>
        <w:rPr>
          <w:spacing w:val="-8"/>
        </w:rPr>
        <w:t>该类药物的不良反应包括肌肉疼痛、关节肿胀、行走困难、疲劳、抑郁、记忆衰退、睡</w:t>
      </w:r>
      <w:r>
        <w:rPr>
          <w:spacing w:val="-12"/>
        </w:rPr>
        <w:t>眠障碍、视觉听觉受损、味觉嗅觉改变等。欧洲有关机构先前已知此类药品存在严重不良反</w:t>
      </w:r>
    </w:p>
    <w:p>
      <w:pPr>
        <w:spacing w:after="0" w:line="295" w:lineRule="auto"/>
        <w:sectPr>
          <w:pgSz w:w="11910" w:h="16850"/>
          <w:pgMar w:header="906" w:footer="607" w:top="1100" w:bottom="800" w:left="1040" w:right="0"/>
        </w:sectPr>
      </w:pPr>
    </w:p>
    <w:p>
      <w:pPr>
        <w:pStyle w:val="BodyText"/>
        <w:spacing w:line="295" w:lineRule="auto" w:before="65"/>
        <w:ind w:right="1146"/>
        <w:jc w:val="both"/>
      </w:pPr>
      <w:r>
        <w:rPr>
          <w:spacing w:val="-2"/>
        </w:rPr>
        <w:t>应，并对其使用加以限制。中国国家食品药品监督管理总局也曾在 </w:t>
      </w:r>
      <w:r>
        <w:rPr/>
        <w:t>2013</w:t>
      </w:r>
      <w:r>
        <w:rPr>
          <w:spacing w:val="-9"/>
        </w:rPr>
        <w:t> 年发布通报，提醒</w:t>
      </w:r>
      <w:r>
        <w:rPr/>
        <w:t>关注氟喹诺酮类药品的严重不良反应。</w:t>
      </w:r>
    </w:p>
    <w:p>
      <w:pPr>
        <w:pStyle w:val="BodyText"/>
        <w:spacing w:line="297" w:lineRule="auto" w:before="2"/>
        <w:ind w:right="1127" w:firstLine="480"/>
        <w:jc w:val="both"/>
      </w:pPr>
      <w:r>
        <w:rPr>
          <w:spacing w:val="-8"/>
        </w:rPr>
        <w:t>鉴于此类药物的危险性，德国联邦药品与医疗器械管理局此次提出了新的使用规定：对</w:t>
      </w:r>
      <w:r>
        <w:rPr>
          <w:spacing w:val="-6"/>
        </w:rPr>
        <w:t>于不严重或不用药也能自行消失的感染，以及非细菌感染，不应使用此类药物；对于轻度或</w:t>
      </w:r>
      <w:r>
        <w:rPr>
          <w:spacing w:val="-11"/>
        </w:rPr>
        <w:t>中度感染，也不应使用，除非通常建议使用的其他抗感染药物无法使用；如确需开具此类药</w:t>
      </w:r>
      <w:r>
        <w:rPr/>
        <w:t>物，医生应根据具体情况仔细评估疗效与风险。</w:t>
      </w:r>
    </w:p>
    <w:p>
      <w:pPr>
        <w:pStyle w:val="BodyText"/>
        <w:spacing w:line="278" w:lineRule="auto"/>
        <w:ind w:right="1126" w:firstLine="480"/>
        <w:jc w:val="both"/>
        <w:rPr>
          <w:rFonts w:ascii="Meiryo" w:eastAsia="Meiryo" w:hint="eastAsia"/>
          <w:b/>
        </w:rPr>
      </w:pPr>
      <w:r>
        <w:rPr>
          <w:spacing w:val="-7"/>
        </w:rPr>
        <w:t>德国联邦药品与医疗器械管理局说，新规涉及所有口服、注射以及吸入给药的氟喹诺酮</w:t>
      </w:r>
      <w:r>
        <w:rPr>
          <w:spacing w:val="-11"/>
        </w:rPr>
        <w:t>类药物。限制该类药物适应证等决定是在完成欧盟相关风险评估程序后做出的，所涉药品的</w:t>
      </w:r>
      <w:r>
        <w:rPr/>
        <w:t>使用说明书等也将做出相应调整。</w:t>
      </w:r>
      <w:r>
        <w:rPr>
          <w:rFonts w:ascii="Meiryo" w:eastAsia="Meiryo" w:hint="eastAsia"/>
          <w:b/>
          <w:color w:val="0033CC"/>
        </w:rPr>
        <w:t>[返回目次]</w:t>
      </w:r>
    </w:p>
    <w:p>
      <w:pPr>
        <w:pStyle w:val="Heading2"/>
        <w:spacing w:line="388" w:lineRule="exact"/>
      </w:pPr>
      <w:bookmarkStart w:name="_TOC_250015" w:id="28"/>
      <w:bookmarkEnd w:id="28"/>
      <w:r>
        <w:rPr/>
        <w:t>【中医中药】</w:t>
      </w:r>
    </w:p>
    <w:p>
      <w:pPr>
        <w:spacing w:after="0" w:line="388" w:lineRule="exact"/>
        <w:sectPr>
          <w:pgSz w:w="11910" w:h="16850"/>
          <w:pgMar w:header="906" w:footer="607" w:top="1100" w:bottom="800" w:left="1040" w:right="0"/>
        </w:sectPr>
      </w:pPr>
    </w:p>
    <w:p>
      <w:pPr>
        <w:pStyle w:val="Heading2"/>
        <w:spacing w:before="126"/>
        <w:ind w:left="3297"/>
      </w:pPr>
      <w:bookmarkStart w:name="_TOC_250014" w:id="29"/>
      <w:bookmarkEnd w:id="29"/>
      <w:r>
        <w:rPr>
          <w:spacing w:val="-3"/>
        </w:rPr>
        <w:t>牛黄解毒片 不可随便吃</w:t>
      </w:r>
    </w:p>
    <w:p>
      <w:pPr>
        <w:pStyle w:val="BodyText"/>
        <w:ind w:left="0"/>
        <w:rPr>
          <w:b/>
        </w:rPr>
      </w:pPr>
      <w:r>
        <w:rPr/>
        <w:br w:type="column"/>
      </w:r>
      <w:r>
        <w:rPr>
          <w:b/>
        </w:rPr>
      </w:r>
    </w:p>
    <w:p>
      <w:pPr>
        <w:pStyle w:val="BodyText"/>
        <w:spacing w:before="5"/>
        <w:ind w:left="0"/>
        <w:rPr>
          <w:b/>
          <w:sz w:val="29"/>
        </w:rPr>
      </w:pPr>
    </w:p>
    <w:p>
      <w:pPr>
        <w:pStyle w:val="Heading3"/>
        <w:ind w:left="1098"/>
      </w:pPr>
      <w:r>
        <w:rPr>
          <w:color w:val="FF0000"/>
        </w:rPr>
        <w:t>（来源：健康报）</w:t>
      </w:r>
    </w:p>
    <w:p>
      <w:pPr>
        <w:spacing w:after="0"/>
        <w:sectPr>
          <w:type w:val="continuous"/>
          <w:pgSz w:w="11910" w:h="16850"/>
          <w:pgMar w:top="1100" w:bottom="1020" w:left="1040" w:right="0"/>
          <w:cols w:num="2" w:equalWidth="0">
            <w:col w:w="6670" w:space="40"/>
            <w:col w:w="4160"/>
          </w:cols>
        </w:sectPr>
      </w:pPr>
    </w:p>
    <w:p>
      <w:pPr>
        <w:pStyle w:val="BodyText"/>
        <w:spacing w:line="295" w:lineRule="auto" w:before="95"/>
        <w:ind w:right="1027" w:firstLine="480"/>
      </w:pPr>
      <w:r>
        <w:rPr/>
        <w:t>近日，国家药品监督管理局发布公告，要求修订牛黄解毒制剂说明书，明示“婴幼儿、哺乳期妇女、孕妇禁用牛黄解毒制剂”。那么，究竟该如何正确服用牛黄解毒制剂呢？</w:t>
      </w:r>
    </w:p>
    <w:p>
      <w:pPr>
        <w:pStyle w:val="BodyText"/>
        <w:spacing w:line="297" w:lineRule="auto" w:before="5"/>
        <w:ind w:right="1008" w:firstLine="480"/>
      </w:pPr>
      <w:r>
        <w:rPr>
          <w:spacing w:val="-9"/>
        </w:rPr>
        <w:t>牙龈肿痛、口舌生疮、脸上起痘„„来点牛黄解毒片、牛黄解毒丸，牛黄解毒制剂是很  </w:t>
      </w:r>
      <w:r>
        <w:rPr>
          <w:spacing w:val="-13"/>
        </w:rPr>
        <w:t>多家庭的常备药，不仅大人动不动就来几片，孩子用药也很随意。但是，新近修订在牛黄解</w:t>
      </w:r>
      <w:r>
        <w:rPr>
          <w:spacing w:val="-19"/>
        </w:rPr>
        <w:t>毒制剂说明书“禁忌”项增加了“孕妇、哺乳期妇女、婴幼儿、对本品及所含成分过敏者”， </w:t>
      </w:r>
      <w:r>
        <w:rPr>
          <w:spacing w:val="-9"/>
        </w:rPr>
        <w:t>“不良反应”项也修改成了具体内容。另外，说明书“注意事项”一项明确内容，“本品含雄黄，不可超剂量或长期服用”。</w:t>
      </w:r>
    </w:p>
    <w:p>
      <w:pPr>
        <w:pStyle w:val="BodyText"/>
        <w:spacing w:line="297" w:lineRule="auto"/>
        <w:ind w:right="1127" w:firstLine="480"/>
      </w:pPr>
      <w:r>
        <w:rPr>
          <w:spacing w:val="-7"/>
        </w:rPr>
        <w:t>药品说明书是临床用药的法定指南，会在使用中不断修改完善。这次牛黄解毒制剂修改</w:t>
      </w:r>
      <w:r>
        <w:rPr/>
        <w:t>说明书，是国家对于临床用药不断规范的表现。</w:t>
      </w:r>
    </w:p>
    <w:p>
      <w:pPr>
        <w:pStyle w:val="Heading3"/>
        <w:spacing w:line="306" w:lineRule="exact"/>
        <w:ind w:left="717"/>
        <w:rPr>
          <w:rFonts w:ascii="宋体" w:eastAsia="宋体" w:hint="eastAsia"/>
        </w:rPr>
      </w:pPr>
      <w:r>
        <w:rPr>
          <w:rFonts w:ascii="宋体" w:eastAsia="宋体" w:hint="eastAsia"/>
        </w:rPr>
        <w:t>依然是广泛应用的好药</w:t>
      </w:r>
    </w:p>
    <w:p>
      <w:pPr>
        <w:pStyle w:val="BodyText"/>
        <w:spacing w:line="297" w:lineRule="auto" w:before="64"/>
        <w:ind w:right="1010" w:firstLine="480"/>
      </w:pPr>
      <w:r>
        <w:rPr>
          <w:spacing w:val="-16"/>
        </w:rPr>
        <w:t>修改药品说明书，不意味着药品有问题。不能否认，牛黄解毒制剂确确实实是一类好药， </w:t>
      </w:r>
      <w:r>
        <w:rPr/>
        <w:t>在数百年的用药历史中发挥了重要的作用，且颇受病家喜爱。</w:t>
      </w:r>
    </w:p>
    <w:p>
      <w:pPr>
        <w:pStyle w:val="BodyText"/>
        <w:spacing w:line="297" w:lineRule="auto"/>
        <w:ind w:right="1127" w:firstLine="480"/>
        <w:jc w:val="both"/>
      </w:pPr>
      <w:r>
        <w:rPr>
          <w:spacing w:val="-9"/>
        </w:rPr>
        <w:t>牛黄解毒制剂有片、丸、胶囊、软胶囊等多种剂型，以片、丸最为多见，是一类常用的</w:t>
      </w:r>
      <w:r>
        <w:rPr>
          <w:spacing w:val="-2"/>
        </w:rPr>
        <w:t>中成药，也是家庭常备成药之一。牛黄解毒制剂最早记载在成书于 </w:t>
      </w:r>
      <w:r>
        <w:rPr/>
        <w:t>1278</w:t>
      </w:r>
      <w:r>
        <w:rPr>
          <w:spacing w:val="-8"/>
        </w:rPr>
        <w:t> 年的《咽喉脉证通论》中，最初为大丸，现代才衍生出片、胶囊等剂型。</w:t>
      </w:r>
    </w:p>
    <w:p>
      <w:pPr>
        <w:pStyle w:val="BodyText"/>
        <w:spacing w:line="297" w:lineRule="auto"/>
        <w:ind w:right="1027" w:firstLine="480"/>
      </w:pPr>
      <w:r>
        <w:rPr>
          <w:spacing w:val="-31"/>
        </w:rPr>
        <w:t>据 </w:t>
      </w:r>
      <w:r>
        <w:rPr/>
        <w:t>2015</w:t>
      </w:r>
      <w:r>
        <w:rPr>
          <w:spacing w:val="-8"/>
        </w:rPr>
        <w:t> 年版《中华人民共和国药典》记载，牛黄解毒胶囊(片、丸、软胶囊)，其药物</w:t>
      </w:r>
      <w:r>
        <w:rPr>
          <w:spacing w:val="-12"/>
        </w:rPr>
        <w:t>组成主要为人工牛黄、石膏、黄芩、大黄、雄黄、冰片、甘草，主治清热解毒，用于火热内</w:t>
      </w:r>
      <w:r>
        <w:rPr>
          <w:spacing w:val="-13"/>
        </w:rPr>
        <w:t>盛、咽喉肿痛、牙龈肿痛、口舌生疮、目赤肿痛。该方中人工牛黄味苦性凉，入肝、心经， </w:t>
      </w:r>
      <w:r>
        <w:rPr>
          <w:spacing w:val="-8"/>
        </w:rPr>
        <w:t>功善清心泻火解毒，为君药。生石膏可清胃泻火、除烦止渴；黄芩清热燥湿，泻火解毒；大</w:t>
      </w:r>
      <w:r>
        <w:rPr>
          <w:spacing w:val="-14"/>
        </w:rPr>
        <w:t>黄凉血解毒，泻下通便，开实火下行之途，共为臣药。雄黄、冰片清热解毒，消肿止痛；桔梗宣肺利咽，共为佐药。甘草调和诸药，为使药。诸药合用，共奏清热解毒之效。</w:t>
      </w:r>
    </w:p>
    <w:p>
      <w:pPr>
        <w:pStyle w:val="BodyText"/>
        <w:spacing w:line="297" w:lineRule="auto"/>
        <w:ind w:right="1027" w:firstLine="480"/>
      </w:pPr>
      <w:r>
        <w:rPr>
          <w:spacing w:val="-1"/>
        </w:rPr>
        <w:t>牛黄解毒制剂在临床上应用广泛，可用于口疮、胃火亢盛所致的口舌生疮、疼痛剧烈、</w:t>
      </w:r>
      <w:r>
        <w:rPr>
          <w:spacing w:val="-10"/>
        </w:rPr>
        <w:t>反复发作，口干喜饮、大便秘结、舌质红苔黄、脉沉实有力；口腔炎、口腔溃疡等；用于三</w:t>
      </w:r>
      <w:r>
        <w:rPr>
          <w:spacing w:val="-15"/>
        </w:rPr>
        <w:t>焦火盛所致的牙龈红肿疼痛、发热，急性牙周炎、牙龈炎；火毒内盛，火热上攻所致的咽痛红肿、壮热、烦渴、大便秘结、腹胀、胸满、小便黄赤、舌红苔黄；急性咽炎等。</w:t>
      </w:r>
    </w:p>
    <w:p>
      <w:pPr>
        <w:spacing w:after="0" w:line="297" w:lineRule="auto"/>
        <w:sectPr>
          <w:type w:val="continuous"/>
          <w:pgSz w:w="11910" w:h="16850"/>
          <w:pgMar w:top="1100" w:bottom="1020" w:left="1040" w:right="0"/>
        </w:sectPr>
      </w:pPr>
    </w:p>
    <w:p>
      <w:pPr>
        <w:pStyle w:val="Heading3"/>
        <w:spacing w:before="65"/>
        <w:ind w:left="717"/>
        <w:rPr>
          <w:rFonts w:ascii="宋体" w:eastAsia="宋体" w:hint="eastAsia"/>
        </w:rPr>
      </w:pPr>
      <w:r>
        <w:rPr>
          <w:rFonts w:ascii="宋体" w:eastAsia="宋体" w:hint="eastAsia"/>
        </w:rPr>
        <w:t>超量服用有中毒风险</w:t>
      </w:r>
    </w:p>
    <w:p>
      <w:pPr>
        <w:pStyle w:val="BodyText"/>
        <w:spacing w:line="297" w:lineRule="auto" w:before="72"/>
        <w:ind w:right="1127" w:firstLine="480"/>
        <w:jc w:val="both"/>
      </w:pPr>
      <w:r>
        <w:rPr>
          <w:spacing w:val="-7"/>
        </w:rPr>
        <w:t>雄黄是牛黄解毒制剂中的重要成分，药典记载本品为硫化物类矿物雄黄族雄黄，主含二</w:t>
      </w:r>
      <w:r>
        <w:rPr>
          <w:spacing w:val="-12"/>
        </w:rPr>
        <w:t>硫化二砷。雄黄性辛、温，有毒，归肝、大肠经，有解毒杀虫、燥湿祛痰、截疟作用，可用</w:t>
      </w:r>
      <w:r>
        <w:rPr>
          <w:spacing w:val="-10"/>
        </w:rPr>
        <w:t>于痈肿疗疮、蛇虫咬伤、虫积腹痛、惊痫、疟疾。《本草纲目》记载，雄黄温燥有毒，可攻</w:t>
      </w:r>
      <w:r>
        <w:rPr/>
        <w:t>毒疗疮，为“治疮杀毒要药”。</w:t>
      </w:r>
    </w:p>
    <w:p>
      <w:pPr>
        <w:pStyle w:val="BodyText"/>
        <w:spacing w:line="297" w:lineRule="auto"/>
        <w:ind w:right="1127" w:firstLine="480"/>
        <w:jc w:val="both"/>
      </w:pPr>
      <w:r>
        <w:rPr>
          <w:spacing w:val="-9"/>
        </w:rPr>
        <w:t>雄黄虽有毒，但在配伍应用上十分广泛，药典记载如下。雄黄配五灵脂，可增强解毒化</w:t>
      </w:r>
      <w:r>
        <w:rPr>
          <w:spacing w:val="-12"/>
        </w:rPr>
        <w:t>瘀、止痛消肿之功，适用于蛇虫咬伤。雄黄配黄柏，可增强清热燥湿、杀虫止痒的作用，适</w:t>
      </w:r>
      <w:r>
        <w:rPr/>
        <w:t>用于湿热留滞肌肤所致的湿疹湿疮,皮肤瘙痒等。雄黄配麝香，能化痰开窍、解毒杀虫消肿</w:t>
      </w:r>
      <w:r>
        <w:rPr>
          <w:spacing w:val="-10"/>
        </w:rPr>
        <w:t>止痛，外用于痈肿疮毒，内服用于痰热惊痫。由于雄黄为硫化物，长期大剂量服用可能就会造成砷中毒。急性砷中毒会出现头痛、恶心、呕吐、腹痛等情况，慢性砷中毒也会导致皮肤</w:t>
      </w:r>
      <w:r>
        <w:rPr/>
        <w:t>色素沉着过度或色素沉着减少、角化过度等，对神经系统也有损害。</w:t>
      </w:r>
    </w:p>
    <w:p>
      <w:pPr>
        <w:pStyle w:val="BodyText"/>
        <w:spacing w:line="297" w:lineRule="auto"/>
        <w:ind w:right="1027" w:firstLine="480"/>
      </w:pPr>
      <w:r>
        <w:rPr>
          <w:spacing w:val="-10"/>
        </w:rPr>
        <w:t>也正因为雄黄的毒性，此次国家药监局特意要求牛黄解毒制剂的说明书中增加一栏警示</w:t>
      </w:r>
      <w:r>
        <w:rPr>
          <w:spacing w:val="-11"/>
        </w:rPr>
        <w:t>语：本品含雄黄，不可超剂量或长期服用。而对于婴幼儿来说，身体的代谢机能还不成熟， </w:t>
      </w:r>
      <w:r>
        <w:rPr/>
        <w:t>牛黄解毒制剂也没有相关的安全性研究资料，这也是药监局责令婴幼儿禁用的主要原因。</w:t>
      </w:r>
    </w:p>
    <w:p>
      <w:pPr>
        <w:pStyle w:val="Heading3"/>
        <w:spacing w:line="304" w:lineRule="exact"/>
        <w:ind w:left="717"/>
        <w:rPr>
          <w:rFonts w:ascii="宋体" w:eastAsia="宋体" w:hint="eastAsia"/>
        </w:rPr>
      </w:pPr>
      <w:r>
        <w:rPr>
          <w:rFonts w:ascii="宋体" w:eastAsia="宋体" w:hint="eastAsia"/>
        </w:rPr>
        <w:t>吃药前先辨清病因和体质</w:t>
      </w:r>
    </w:p>
    <w:p>
      <w:pPr>
        <w:pStyle w:val="BodyText"/>
        <w:spacing w:line="295" w:lineRule="auto" w:before="61"/>
        <w:ind w:right="1007" w:firstLine="480"/>
      </w:pPr>
      <w:r>
        <w:rPr>
          <w:spacing w:val="-12"/>
        </w:rPr>
        <w:t>牛黄解毒制剂究竟该怎么服用？事实上，作为清火解毒药品，牛黄解毒制剂不能过量吃， </w:t>
      </w:r>
      <w:r>
        <w:rPr/>
        <w:t>也不能随意吃，要辨清病因和体质再用药。</w:t>
      </w:r>
    </w:p>
    <w:p>
      <w:pPr>
        <w:pStyle w:val="BodyText"/>
        <w:spacing w:line="297" w:lineRule="auto" w:before="2"/>
        <w:ind w:right="1130" w:firstLine="480"/>
        <w:jc w:val="both"/>
      </w:pPr>
      <w:r>
        <w:rPr>
          <w:spacing w:val="-7"/>
        </w:rPr>
        <w:t>牛黄解毒制剂治实火不治虚火。假如上火后面红、口热、喜食冷饮、小便色黄、大便干</w:t>
      </w:r>
      <w:r>
        <w:rPr>
          <w:spacing w:val="-11"/>
        </w:rPr>
        <w:t>结，多为实火的表现，一般服用牛黄解毒制剂是能够起作用的，但建议患者认真阅读说明书</w:t>
      </w:r>
      <w:r>
        <w:rPr>
          <w:spacing w:val="-10"/>
        </w:rPr>
        <w:t>后再服用。而虚火则表现为潮热盗汗，咽痛而不红肿，且大便多软烂，这种情况就不能服用</w:t>
      </w:r>
      <w:r>
        <w:rPr/>
        <w:t>清热败火类药物，</w:t>
      </w:r>
    </w:p>
    <w:p>
      <w:pPr>
        <w:pStyle w:val="BodyText"/>
        <w:spacing w:line="295" w:lineRule="auto"/>
        <w:ind w:right="1010" w:firstLine="480"/>
      </w:pPr>
      <w:r>
        <w:rPr>
          <w:spacing w:val="-16"/>
        </w:rPr>
        <w:t>所以说，牛黄解毒制剂不是一上火就能吃的。服用牛黄解毒制剂时，即便是适应证对了， </w:t>
      </w:r>
      <w:r>
        <w:rPr>
          <w:spacing w:val="-7"/>
        </w:rPr>
        <w:t>也应该起效后立即停药；若没有效果，就应果断放弃，不能随意加量，应到医院就诊寻求其他解决方法。</w:t>
      </w:r>
    </w:p>
    <w:p>
      <w:pPr>
        <w:pStyle w:val="BodyText"/>
        <w:spacing w:line="297" w:lineRule="auto" w:before="2"/>
        <w:ind w:right="1026" w:firstLine="480"/>
      </w:pPr>
      <w:r>
        <w:rPr>
          <w:spacing w:val="-4"/>
        </w:rPr>
        <w:t>牛黄解毒制剂服用疗程一般应该控制在 </w:t>
      </w:r>
      <w:r>
        <w:rPr/>
        <w:t>3</w:t>
      </w:r>
      <w:r>
        <w:rPr>
          <w:spacing w:val="-9"/>
        </w:rPr>
        <w:t> 天左右，连续服用需要咨询专业医生和药师， </w:t>
      </w:r>
      <w:r>
        <w:rPr/>
        <w:t>严格审核用药合理性。</w:t>
      </w:r>
    </w:p>
    <w:p>
      <w:pPr>
        <w:pStyle w:val="BodyText"/>
        <w:spacing w:line="297" w:lineRule="auto"/>
        <w:ind w:right="1009" w:firstLine="480"/>
      </w:pPr>
      <w:r>
        <w:rPr>
          <w:spacing w:val="-15"/>
        </w:rPr>
        <w:t>此外，牛黄解毒片剂不能与一些西药同时服用，如诺氟沙星、氧氟沙星、磺胺类抗菌药、</w:t>
      </w:r>
      <w:r>
        <w:rPr>
          <w:spacing w:val="-10"/>
        </w:rPr>
        <w:t>硫酸亚铁、乳酶生、整肠生、苯巴比妥、洋地黄类等。一旦同时服用，或降低药效，或加重</w:t>
      </w:r>
      <w:r>
        <w:rPr>
          <w:spacing w:val="-15"/>
        </w:rPr>
        <w:t>毒副反应，因此最好间隔 </w:t>
      </w:r>
      <w:r>
        <w:rPr/>
        <w:t>3</w:t>
      </w:r>
      <w:r>
        <w:rPr>
          <w:spacing w:val="-10"/>
        </w:rPr>
        <w:t> 小时以上。</w:t>
      </w:r>
    </w:p>
    <w:p>
      <w:pPr>
        <w:pStyle w:val="BodyText"/>
        <w:spacing w:line="297" w:lineRule="auto"/>
        <w:ind w:right="1010" w:firstLine="480"/>
      </w:pPr>
      <w:r>
        <w:rPr>
          <w:spacing w:val="-9"/>
        </w:rPr>
        <w:t>总体而言，牛黄解毒制剂成药成方久远，安全性、临床疗效等已经获得检验。虽然被要</w:t>
      </w:r>
      <w:r>
        <w:rPr>
          <w:spacing w:val="-18"/>
        </w:rPr>
        <w:t>求修改说明书，但不意味着药物被停用，只要根据适应证合理用药，牛黄解毒制剂还是好药。</w:t>
      </w:r>
    </w:p>
    <w:p>
      <w:pPr>
        <w:spacing w:line="418" w:lineRule="exact" w:before="0"/>
        <w:ind w:left="717" w:right="0" w:firstLine="0"/>
        <w:jc w:val="left"/>
        <w:rPr>
          <w:rFonts w:ascii="Meiryo" w:eastAsia="Meiryo" w:hint="eastAsia"/>
          <w:b/>
          <w:sz w:val="24"/>
        </w:rPr>
      </w:pPr>
      <w:r>
        <w:rPr>
          <w:sz w:val="24"/>
        </w:rPr>
        <w:t>作者：浙江省中医院中药房主任 郑敏霞</w:t>
      </w:r>
      <w:r>
        <w:rPr>
          <w:rFonts w:ascii="Meiryo" w:eastAsia="Meiryo" w:hint="eastAsia"/>
          <w:b/>
          <w:color w:val="0033CC"/>
          <w:sz w:val="24"/>
        </w:rPr>
        <w:t>[返回目次]</w:t>
      </w:r>
    </w:p>
    <w:p>
      <w:pPr>
        <w:pStyle w:val="Heading2"/>
        <w:spacing w:before="198"/>
      </w:pPr>
      <w:bookmarkStart w:name="_TOC_250013" w:id="30"/>
      <w:bookmarkEnd w:id="30"/>
      <w:r>
        <w:rPr/>
        <w:t>【科普知识】</w:t>
      </w:r>
    </w:p>
    <w:p>
      <w:pPr>
        <w:pStyle w:val="BodyText"/>
        <w:spacing w:before="7"/>
        <w:ind w:left="0"/>
        <w:rPr>
          <w:b/>
          <w:sz w:val="22"/>
        </w:rPr>
      </w:pPr>
    </w:p>
    <w:p>
      <w:pPr>
        <w:pStyle w:val="Heading2"/>
        <w:ind w:left="326"/>
      </w:pPr>
      <w:bookmarkStart w:name="_TOC_250012" w:id="31"/>
      <w:bookmarkEnd w:id="31"/>
      <w:r>
        <w:rPr/>
        <w:t>被美国列为“紧急威胁”！超级真菌来袭？生化危机上演？未必！</w:t>
      </w:r>
    </w:p>
    <w:p>
      <w:pPr>
        <w:pStyle w:val="Heading3"/>
        <w:spacing w:before="208"/>
        <w:ind w:left="6360"/>
      </w:pPr>
      <w:r>
        <w:rPr>
          <w:color w:val="FF0000"/>
        </w:rPr>
        <w:t>（来源：药葫芦娃微信公众号）</w:t>
      </w:r>
    </w:p>
    <w:p>
      <w:pPr>
        <w:pStyle w:val="BodyText"/>
        <w:spacing w:before="98"/>
        <w:ind w:left="717"/>
      </w:pPr>
      <w:r>
        <w:rPr>
          <w:w w:val="105"/>
        </w:rPr>
        <w:t>最近几天，“中国确诊 18 例超级真菌感染”的新闻登上微博热搜</w:t>
      </w:r>
      <w:r>
        <w:rPr>
          <w:w w:val="180"/>
        </w:rPr>
        <w:t>„„</w:t>
      </w:r>
    </w:p>
    <w:p>
      <w:pPr>
        <w:spacing w:after="0"/>
        <w:sectPr>
          <w:pgSz w:w="11910" w:h="16850"/>
          <w:pgMar w:header="906" w:footer="607" w:top="1100" w:bottom="800" w:left="1040" w:right="0"/>
        </w:sectPr>
      </w:pPr>
    </w:p>
    <w:p>
      <w:pPr>
        <w:pStyle w:val="BodyText"/>
        <w:spacing w:before="65"/>
        <w:ind w:left="717"/>
      </w:pPr>
      <w:r>
        <w:rPr/>
        <w:t>事情是这个样子滴！</w:t>
      </w:r>
    </w:p>
    <w:p>
      <w:pPr>
        <w:pStyle w:val="BodyText"/>
        <w:spacing w:before="72"/>
        <w:ind w:left="717"/>
      </w:pPr>
      <w:r>
        <w:rPr/>
        <w:t>据哥伦比亚广播公司（CBS）新闻 4 月 8 日报道，一种名为耳念珠菌的多重耐药性真菌</w:t>
      </w:r>
    </w:p>
    <w:p>
      <w:pPr>
        <w:pStyle w:val="BodyText"/>
        <w:spacing w:line="297" w:lineRule="auto" w:before="71"/>
        <w:ind w:right="1127"/>
      </w:pPr>
      <w:r>
        <w:rPr>
          <w:spacing w:val="-9"/>
        </w:rPr>
        <w:t>近日在美国多地爆发，截至 </w:t>
      </w:r>
      <w:r>
        <w:rPr/>
        <w:t>2</w:t>
      </w:r>
      <w:r>
        <w:rPr>
          <w:spacing w:val="-20"/>
        </w:rPr>
        <w:t> 月底，全美已有 </w:t>
      </w:r>
      <w:r>
        <w:rPr/>
        <w:t>587</w:t>
      </w:r>
      <w:r>
        <w:rPr>
          <w:spacing w:val="-11"/>
        </w:rPr>
        <w:t> 例确诊病例。耳念珠菌的来源目前还不明</w:t>
      </w:r>
      <w:r>
        <w:rPr>
          <w:spacing w:val="-16"/>
        </w:rPr>
        <w:t>确，近 </w:t>
      </w:r>
      <w:r>
        <w:rPr/>
        <w:t>50%</w:t>
      </w:r>
      <w:r>
        <w:rPr>
          <w:spacing w:val="-9"/>
        </w:rPr>
        <w:t>的感染者会在 </w:t>
      </w:r>
      <w:r>
        <w:rPr/>
        <w:t>90</w:t>
      </w:r>
      <w:r>
        <w:rPr>
          <w:spacing w:val="-8"/>
        </w:rPr>
        <w:t> 天内身亡，感染者会有发高烧症状，并伴随各种器官衰竭、呼</w:t>
      </w:r>
      <w:r>
        <w:rPr>
          <w:spacing w:val="-11"/>
        </w:rPr>
        <w:t>吸衰竭等表现。目前，也有国内媒体报道“中国确诊 </w:t>
      </w:r>
      <w:r>
        <w:rPr/>
        <w:t>18</w:t>
      </w:r>
      <w:r>
        <w:rPr>
          <w:spacing w:val="-8"/>
        </w:rPr>
        <w:t> 例超级真菌感染”。</w:t>
      </w:r>
    </w:p>
    <w:p>
      <w:pPr>
        <w:pStyle w:val="BodyText"/>
        <w:spacing w:line="304" w:lineRule="exact"/>
        <w:ind w:left="717"/>
      </w:pPr>
      <w:r>
        <w:rPr/>
        <w:t>啥？超级真菌？</w:t>
      </w:r>
    </w:p>
    <w:p>
      <w:pPr>
        <w:pStyle w:val="BodyText"/>
        <w:spacing w:line="295" w:lineRule="auto" w:before="74"/>
        <w:ind w:left="717" w:right="7267"/>
      </w:pPr>
      <w:r>
        <w:rPr/>
        <w:t>生化危机要真实上演了么？ 莫慌！</w:t>
      </w:r>
    </w:p>
    <w:p>
      <w:pPr>
        <w:spacing w:line="297" w:lineRule="auto" w:before="2"/>
        <w:ind w:left="717" w:right="6787" w:firstLine="0"/>
        <w:jc w:val="left"/>
        <w:rPr>
          <w:b/>
          <w:sz w:val="24"/>
        </w:rPr>
      </w:pPr>
      <w:r>
        <w:rPr>
          <w:sz w:val="24"/>
        </w:rPr>
        <w:t>事情可能和你想象的不太一样！ </w:t>
      </w:r>
      <w:r>
        <w:rPr>
          <w:b/>
          <w:sz w:val="24"/>
        </w:rPr>
        <w:t>超级真菌是什么？</w:t>
      </w:r>
    </w:p>
    <w:p>
      <w:pPr>
        <w:pStyle w:val="BodyText"/>
        <w:spacing w:line="297" w:lineRule="auto"/>
        <w:ind w:right="1127" w:firstLine="480"/>
      </w:pPr>
      <w:r>
        <w:rPr/>
        <w:t>所谓的“超级真菌”是一种叫做耳念珠菌的真菌，它是一种院内感染菌，2009</w:t>
      </w:r>
      <w:r>
        <w:rPr>
          <w:spacing w:val="-15"/>
        </w:rPr>
        <w:t> 年在一</w:t>
      </w:r>
      <w:r>
        <w:rPr>
          <w:spacing w:val="-17"/>
        </w:rPr>
        <w:t>名日本患者的外耳道分泌物中首次发现，它可以从皮肤</w:t>
      </w:r>
      <w:r>
        <w:rPr/>
        <w:t>（很常见</w:t>
      </w:r>
      <w:r>
        <w:rPr>
          <w:spacing w:val="-17"/>
        </w:rPr>
        <w:t>）</w:t>
      </w:r>
      <w:r>
        <w:rPr>
          <w:spacing w:val="-7"/>
        </w:rPr>
        <w:t>、泌尿生殖道</w:t>
      </w:r>
      <w:r>
        <w:rPr/>
        <w:t>（普通</w:t>
      </w:r>
      <w:r>
        <w:rPr>
          <w:spacing w:val="-17"/>
        </w:rPr>
        <w:t>）</w:t>
      </w:r>
      <w:r>
        <w:rPr>
          <w:spacing w:val="-16"/>
        </w:rPr>
        <w:t>和</w:t>
      </w:r>
      <w:r>
        <w:rPr/>
        <w:t>呼吸道（偶尔）等分离出，导致侵袭性感染，如血流念珠菌感染、心包炎、尿路感染等。</w:t>
      </w:r>
    </w:p>
    <w:p>
      <w:pPr>
        <w:pStyle w:val="Heading3"/>
        <w:spacing w:line="295" w:lineRule="auto"/>
        <w:ind w:left="717" w:right="6291" w:firstLine="2"/>
        <w:rPr>
          <w:rFonts w:ascii="宋体" w:eastAsia="宋体" w:hint="eastAsia"/>
          <w:b w:val="0"/>
        </w:rPr>
      </w:pPr>
      <w:r>
        <w:rPr>
          <w:rFonts w:ascii="宋体" w:eastAsia="宋体" w:hint="eastAsia"/>
        </w:rPr>
        <w:t>超级真菌是新近产生的变异真菌么？ </w:t>
      </w:r>
      <w:r>
        <w:rPr>
          <w:rFonts w:ascii="宋体" w:eastAsia="宋体" w:hint="eastAsia"/>
          <w:b w:val="0"/>
        </w:rPr>
        <w:t>并不是！</w:t>
      </w:r>
    </w:p>
    <w:p>
      <w:pPr>
        <w:pStyle w:val="BodyText"/>
        <w:ind w:left="717"/>
      </w:pPr>
      <w:r>
        <w:rPr/>
        <w:t>早在 2017 年，美国疾病预防控制中心（CDC）就报道过一次超级真菌感染的暴发。</w:t>
      </w:r>
    </w:p>
    <w:p>
      <w:pPr>
        <w:pStyle w:val="BodyText"/>
        <w:spacing w:before="71"/>
        <w:ind w:left="717"/>
      </w:pPr>
      <w:r>
        <w:rPr/>
        <w:t>在英国，自 2013 年发现第一例感染者以来，也已发生过多次相关的医院感染暴发。</w:t>
      </w:r>
    </w:p>
    <w:p>
      <w:pPr>
        <w:pStyle w:val="BodyText"/>
        <w:spacing w:line="297" w:lineRule="auto" w:before="72"/>
        <w:ind w:right="1027" w:firstLine="480"/>
      </w:pPr>
      <w:r>
        <w:rPr/>
        <w:t>而在其他国家，如印度、日本、韩国、巴基斯坦、委内瑞拉、西班牙、南非、以色列、哥伦比亚也都报道过耳念珠菌暴发的情况。</w:t>
      </w:r>
    </w:p>
    <w:p>
      <w:pPr>
        <w:pStyle w:val="Heading3"/>
        <w:spacing w:line="306" w:lineRule="exact"/>
        <w:ind w:left="717"/>
        <w:rPr>
          <w:rFonts w:ascii="宋体" w:eastAsia="宋体" w:hint="eastAsia"/>
        </w:rPr>
      </w:pPr>
      <w:r>
        <w:rPr>
          <w:rFonts w:ascii="宋体" w:eastAsia="宋体" w:hint="eastAsia"/>
        </w:rPr>
        <w:t>超级真菌的易感人群都有谁？</w:t>
      </w:r>
    </w:p>
    <w:p>
      <w:pPr>
        <w:pStyle w:val="BodyText"/>
        <w:spacing w:before="72"/>
        <w:ind w:left="717"/>
      </w:pPr>
      <w:r>
        <w:rPr/>
        <w:t>上面提到了，超级真菌为院内感染菌，其主要发生在医院内部，如 ICU 等场所。</w:t>
      </w:r>
    </w:p>
    <w:p>
      <w:pPr>
        <w:pStyle w:val="BodyText"/>
        <w:spacing w:line="295" w:lineRule="auto" w:before="74"/>
        <w:ind w:right="1130" w:firstLine="480"/>
      </w:pPr>
      <w:r>
        <w:rPr>
          <w:spacing w:val="-7"/>
        </w:rPr>
        <w:t>易感人群包括外科术后患者、糖尿病患者、使用广谱抗生素和抗真菌药物患者、在疗养</w:t>
      </w:r>
      <w:r>
        <w:rPr/>
        <w:t>院常住的患者、留置导管的患者(如气管插管、胃管和中心静脉导管等）或免疫缺陷患者。</w:t>
      </w:r>
    </w:p>
    <w:p>
      <w:pPr>
        <w:pStyle w:val="BodyText"/>
        <w:spacing w:before="2"/>
        <w:ind w:left="717"/>
      </w:pPr>
      <w:r>
        <w:rPr/>
        <w:t>据报道，一旦感染“超级真菌”，患者死亡率高达 30～60%。</w:t>
      </w:r>
    </w:p>
    <w:p>
      <w:pPr>
        <w:pStyle w:val="BodyText"/>
        <w:spacing w:line="297" w:lineRule="auto" w:before="74"/>
        <w:ind w:right="1127" w:firstLine="480"/>
      </w:pPr>
      <w:r>
        <w:rPr>
          <w:spacing w:val="-11"/>
        </w:rPr>
        <w:t>但是，不能忽视的是死亡患者中的绝大部分都同时患有其他严重的基础疾病，这也间接</w:t>
      </w:r>
      <w:r>
        <w:rPr/>
        <w:t>导致了其死亡。</w:t>
      </w:r>
    </w:p>
    <w:p>
      <w:pPr>
        <w:spacing w:line="297" w:lineRule="auto" w:before="0"/>
        <w:ind w:left="717" w:right="4387" w:firstLine="0"/>
        <w:jc w:val="left"/>
        <w:rPr>
          <w:b/>
          <w:sz w:val="24"/>
        </w:rPr>
      </w:pPr>
      <w:r>
        <w:rPr>
          <w:sz w:val="24"/>
        </w:rPr>
        <w:t>所以，超级真菌和免疫力正常的普通人基本没啥关系！ </w:t>
      </w:r>
      <w:r>
        <w:rPr>
          <w:b/>
          <w:sz w:val="24"/>
        </w:rPr>
        <w:t>超级真菌来源是什么？</w:t>
      </w:r>
    </w:p>
    <w:p>
      <w:pPr>
        <w:spacing w:line="295" w:lineRule="auto" w:before="0"/>
        <w:ind w:left="719" w:right="4147" w:hanging="3"/>
        <w:jc w:val="left"/>
        <w:rPr>
          <w:b/>
          <w:sz w:val="24"/>
        </w:rPr>
      </w:pPr>
      <w:r>
        <w:rPr>
          <w:sz w:val="24"/>
        </w:rPr>
        <w:t>这个，尚不明确。唯一能确定的是超级真菌是院内感染。</w:t>
      </w:r>
      <w:r>
        <w:rPr>
          <w:b/>
          <w:sz w:val="24"/>
        </w:rPr>
        <w:t>超级真菌的传播途径有哪些？</w:t>
      </w:r>
    </w:p>
    <w:p>
      <w:pPr>
        <w:pStyle w:val="BodyText"/>
        <w:ind w:left="717"/>
      </w:pPr>
      <w:r>
        <w:rPr/>
        <w:t>耳念珠菌通过被污染的环境表面或设备，或者患者与患者之间的接触传播。</w:t>
      </w:r>
    </w:p>
    <w:p>
      <w:pPr>
        <w:pStyle w:val="BodyText"/>
        <w:spacing w:line="295" w:lineRule="auto" w:before="71"/>
        <w:ind w:right="1207" w:firstLine="480"/>
      </w:pPr>
      <w:r>
        <w:rPr/>
        <w:t>2016</w:t>
      </w:r>
      <w:r>
        <w:rPr>
          <w:spacing w:val="-9"/>
        </w:rPr>
        <w:t> 年针对欧洲一家医院的念珠菌暴发感染监测报告指出，该医院从环境筛选的结果</w:t>
      </w:r>
      <w:r>
        <w:rPr/>
        <w:t>表明，阳性患者携带的“超级真菌”可以对周围环境造成持续传播的风险。</w:t>
      </w:r>
    </w:p>
    <w:p>
      <w:pPr>
        <w:pStyle w:val="Heading3"/>
        <w:spacing w:before="5"/>
        <w:ind w:left="717"/>
        <w:rPr>
          <w:rFonts w:ascii="宋体" w:eastAsia="宋体" w:hint="eastAsia"/>
        </w:rPr>
      </w:pPr>
      <w:r>
        <w:rPr>
          <w:rFonts w:ascii="宋体" w:eastAsia="宋体" w:hint="eastAsia"/>
        </w:rPr>
        <w:t>感染超级真菌还有救么？</w:t>
      </w:r>
    </w:p>
    <w:p>
      <w:pPr>
        <w:pStyle w:val="BodyText"/>
        <w:spacing w:before="71"/>
        <w:ind w:left="717"/>
      </w:pPr>
      <w:r>
        <w:rPr/>
        <w:t>安啦！感染耳念珠菌并不是无药可治！</w:t>
      </w:r>
    </w:p>
    <w:p>
      <w:pPr>
        <w:pStyle w:val="BodyText"/>
        <w:spacing w:before="72"/>
        <w:ind w:left="717"/>
      </w:pPr>
      <w:r>
        <w:rPr/>
        <w:t>感染耳念珠菌后，治疗首选卡泊芬净、米卡芬净等棘白菌素类药物。</w:t>
      </w:r>
    </w:p>
    <w:p>
      <w:pPr>
        <w:pStyle w:val="BodyText"/>
        <w:spacing w:line="295" w:lineRule="auto" w:before="74"/>
        <w:ind w:right="1126" w:firstLine="480"/>
      </w:pPr>
      <w:r>
        <w:rPr>
          <w:spacing w:val="-1"/>
        </w:rPr>
        <w:t>耳念珠菌对常用的抗真菌药氟康唑高度耐药，</w:t>
      </w:r>
      <w:r>
        <w:rPr>
          <w:spacing w:val="-7"/>
        </w:rPr>
        <w:t>13%～35%</w:t>
      </w:r>
      <w:r>
        <w:rPr>
          <w:spacing w:val="-6"/>
        </w:rPr>
        <w:t>的分离株对两性霉素 </w:t>
      </w:r>
      <w:r>
        <w:rPr/>
        <w:t>B</w:t>
      </w:r>
      <w:r>
        <w:rPr>
          <w:spacing w:val="-26"/>
        </w:rPr>
        <w:t> 耐药，但</w:t>
      </w:r>
      <w:r>
        <w:rPr/>
        <w:t>绝大多数分离株对棘白菌素敏感。</w:t>
      </w:r>
    </w:p>
    <w:p>
      <w:pPr>
        <w:spacing w:after="0" w:line="295" w:lineRule="auto"/>
        <w:sectPr>
          <w:pgSz w:w="11910" w:h="16850"/>
          <w:pgMar w:header="906" w:footer="607" w:top="1100" w:bottom="800" w:left="1040" w:right="0"/>
        </w:sectPr>
      </w:pPr>
    </w:p>
    <w:p>
      <w:pPr>
        <w:pStyle w:val="Heading3"/>
        <w:spacing w:before="65"/>
        <w:ind w:left="717"/>
        <w:rPr>
          <w:rFonts w:ascii="宋体" w:eastAsia="宋体" w:hint="eastAsia"/>
        </w:rPr>
      </w:pPr>
      <w:r>
        <w:rPr>
          <w:rFonts w:ascii="宋体" w:eastAsia="宋体" w:hint="eastAsia"/>
        </w:rPr>
        <w:t>药娃温馨提示：</w:t>
      </w:r>
    </w:p>
    <w:p>
      <w:pPr>
        <w:pStyle w:val="BodyText"/>
        <w:spacing w:before="72"/>
        <w:ind w:left="717"/>
      </w:pPr>
      <w:r>
        <w:rPr/>
        <w:t>综上所述，以超级真菌为主题的“灾难大片”不会上演，小伙伴完全没必要陷入恐慌！</w:t>
      </w:r>
    </w:p>
    <w:p>
      <w:pPr>
        <w:pStyle w:val="Heading3"/>
        <w:spacing w:before="25"/>
        <w:ind w:left="237"/>
        <w:rPr>
          <w:rFonts w:ascii="Meiryo" w:eastAsia="Meiryo" w:hint="eastAsia"/>
        </w:rPr>
      </w:pPr>
      <w:r>
        <w:rPr>
          <w:rFonts w:ascii="Meiryo" w:eastAsia="Meiryo" w:hint="eastAsia"/>
          <w:color w:val="0033CC"/>
        </w:rPr>
        <w:t>[返回目次]</w:t>
      </w:r>
    </w:p>
    <w:p>
      <w:pPr>
        <w:pStyle w:val="Heading1"/>
        <w:spacing w:line="710" w:lineRule="exact"/>
        <w:rPr>
          <w:u w:val="none"/>
        </w:rPr>
      </w:pPr>
      <w:bookmarkStart w:name="_TOC_250011" w:id="32"/>
      <w:r>
        <w:rPr>
          <w:rFonts w:ascii="Times New Roman" w:eastAsia="Times New Roman"/>
          <w:color w:val="008000"/>
          <w:spacing w:val="-110"/>
          <w:w w:val="99"/>
          <w:u w:val="thick" w:color="008000"/>
        </w:rPr>
        <w:t> </w:t>
      </w:r>
      <w:bookmarkEnd w:id="32"/>
      <w:r>
        <w:rPr>
          <w:color w:val="008000"/>
          <w:u w:val="thick" w:color="008000"/>
        </w:rPr>
        <w:t>学会动态</w:t>
      </w:r>
    </w:p>
    <w:p>
      <w:pPr>
        <w:pStyle w:val="BodyText"/>
        <w:spacing w:before="5"/>
        <w:ind w:left="0"/>
        <w:rPr>
          <w:rFonts w:ascii="华文宋体"/>
          <w:b/>
          <w:sz w:val="9"/>
        </w:rPr>
      </w:pPr>
    </w:p>
    <w:p>
      <w:pPr>
        <w:pStyle w:val="Heading2"/>
        <w:spacing w:before="54"/>
      </w:pPr>
      <w:bookmarkStart w:name="_TOC_250010" w:id="33"/>
      <w:bookmarkEnd w:id="33"/>
      <w:r>
        <w:rPr/>
        <w:t>【重要通知】</w:t>
      </w:r>
    </w:p>
    <w:p>
      <w:pPr>
        <w:pStyle w:val="Heading2"/>
        <w:spacing w:before="123"/>
      </w:pPr>
      <w:bookmarkStart w:name="_TOC_250009" w:id="34"/>
      <w:bookmarkEnd w:id="34"/>
      <w:r>
        <w:rPr/>
        <w:t>关于筹备召开 2019 年全国医药经济信息网工作会议的通知（第一轮）</w:t>
      </w:r>
    </w:p>
    <w:p>
      <w:pPr>
        <w:pStyle w:val="BodyText"/>
        <w:ind w:left="0"/>
        <w:rPr>
          <w:b/>
          <w:sz w:val="8"/>
        </w:rPr>
      </w:pPr>
    </w:p>
    <w:p>
      <w:pPr>
        <w:spacing w:before="67"/>
        <w:ind w:left="5398" w:right="0" w:firstLine="0"/>
        <w:jc w:val="left"/>
        <w:rPr>
          <w:rFonts w:ascii="楷体" w:eastAsia="楷体" w:hint="eastAsia"/>
          <w:b/>
          <w:sz w:val="24"/>
        </w:rPr>
      </w:pPr>
      <w:r>
        <w:rPr>
          <w:rFonts w:ascii="楷体" w:eastAsia="楷体" w:hint="eastAsia"/>
          <w:b/>
          <w:color w:val="FF0000"/>
          <w:sz w:val="24"/>
        </w:rPr>
        <w:t>（来源：中国药学会科技开发中心网站）</w:t>
      </w:r>
    </w:p>
    <w:p>
      <w:pPr>
        <w:pStyle w:val="BodyText"/>
        <w:spacing w:before="98"/>
        <w:ind w:left="717"/>
      </w:pPr>
      <w:r>
        <w:rPr/>
        <w:t>各有关单位：</w:t>
      </w:r>
    </w:p>
    <w:p>
      <w:pPr>
        <w:pStyle w:val="BodyText"/>
        <w:spacing w:line="297" w:lineRule="auto" w:before="72"/>
        <w:ind w:right="1010" w:firstLine="480"/>
      </w:pPr>
      <w:r>
        <w:rPr/>
        <w:t>2019</w:t>
      </w:r>
      <w:r>
        <w:rPr>
          <w:spacing w:val="-12"/>
        </w:rPr>
        <w:t> 年是中华人民共和国成立 </w:t>
      </w:r>
      <w:r>
        <w:rPr/>
        <w:t>70</w:t>
      </w:r>
      <w:r>
        <w:rPr>
          <w:spacing w:val="-11"/>
        </w:rPr>
        <w:t> 周年，也是新一轮医药卫生体制改革的第 </w:t>
      </w:r>
      <w:r>
        <w:rPr/>
        <w:t>10</w:t>
      </w:r>
      <w:r>
        <w:rPr>
          <w:spacing w:val="-15"/>
        </w:rPr>
        <w:t> 年，新时代要有新理念。为深刻领会习近平新时代中国特色社会主义思想，紧紧围绕实施健康中国</w:t>
      </w:r>
      <w:r>
        <w:rPr>
          <w:spacing w:val="-18"/>
        </w:rPr>
        <w:t>的战略，以人民健康为中心，以服务保障为主线，努力推动我国卫生健康事业高质量的发展， </w:t>
      </w:r>
      <w:r>
        <w:rPr>
          <w:spacing w:val="-8"/>
        </w:rPr>
        <w:t>依照中国药学会 </w:t>
      </w:r>
      <w:r>
        <w:rPr/>
        <w:t>2019</w:t>
      </w:r>
      <w:r>
        <w:rPr>
          <w:spacing w:val="-13"/>
        </w:rPr>
        <w:t> 年工作部署，拟定于 </w:t>
      </w:r>
      <w:r>
        <w:rPr/>
        <w:t>2019</w:t>
      </w:r>
      <w:r>
        <w:rPr>
          <w:spacing w:val="-40"/>
        </w:rPr>
        <w:t> 年 </w:t>
      </w:r>
      <w:r>
        <w:rPr/>
        <w:t>11</w:t>
      </w:r>
      <w:r>
        <w:rPr>
          <w:spacing w:val="-8"/>
        </w:rPr>
        <w:t> 月上旬在重庆市举办第十九届中国药</w:t>
      </w:r>
    </w:p>
    <w:p>
      <w:pPr>
        <w:pStyle w:val="BodyText"/>
        <w:spacing w:line="297" w:lineRule="auto"/>
        <w:ind w:right="1027"/>
      </w:pPr>
      <w:r>
        <w:rPr>
          <w:spacing w:val="-8"/>
        </w:rPr>
        <w:t>师周,同期召开 </w:t>
      </w:r>
      <w:r>
        <w:rPr/>
        <w:t>2019</w:t>
      </w:r>
      <w:r>
        <w:rPr>
          <w:spacing w:val="-9"/>
        </w:rPr>
        <w:t> 年全国医药经济信息网工作会议。为确保会议及各项活动的顺利进行， </w:t>
      </w:r>
      <w:r>
        <w:rPr/>
        <w:t>现将有关筹备工作通知如下：</w:t>
      </w:r>
    </w:p>
    <w:p>
      <w:pPr>
        <w:pStyle w:val="BodyText"/>
        <w:tabs>
          <w:tab w:pos="3597" w:val="left" w:leader="none"/>
          <w:tab w:pos="5578" w:val="left" w:leader="none"/>
        </w:tabs>
        <w:spacing w:line="259" w:lineRule="auto"/>
        <w:ind w:left="717" w:right="2706"/>
        <w:rPr>
          <w:rFonts w:ascii="Meiryo" w:eastAsia="Meiryo" w:hint="eastAsia"/>
          <w:b/>
        </w:rPr>
      </w:pPr>
      <w:r>
        <w:rPr>
          <w:spacing w:val="-1"/>
        </w:rPr>
        <w:t>具</w:t>
      </w:r>
      <w:r>
        <w:rPr/>
        <w:t>体通知内容请下载：</w:t>
      </w:r>
      <w:hyperlink r:id="rId26">
        <w:r>
          <w:rPr>
            <w:color w:val="0000FF"/>
            <w:u w:val="single" w:color="0000FF"/>
          </w:rPr>
          <w:t>http://www.cmei.org.cn/content/?13956.html </w:t>
        </w:r>
      </w:hyperlink>
      <w:r>
        <w:rPr/>
        <w:t>中国药学会科技开发中心</w:t>
        <w:tab/>
        <w:t>2019</w:t>
      </w:r>
      <w:r>
        <w:rPr>
          <w:spacing w:val="-60"/>
        </w:rPr>
        <w:t> </w:t>
      </w:r>
      <w:r>
        <w:rPr/>
        <w:t>年</w:t>
      </w:r>
      <w:r>
        <w:rPr>
          <w:spacing w:val="-60"/>
        </w:rPr>
        <w:t> </w:t>
      </w:r>
      <w:r>
        <w:rPr/>
        <w:t>3</w:t>
      </w:r>
      <w:r>
        <w:rPr>
          <w:spacing w:val="-60"/>
        </w:rPr>
        <w:t> </w:t>
      </w:r>
      <w:r>
        <w:rPr/>
        <w:t>月</w:t>
      </w:r>
      <w:r>
        <w:rPr>
          <w:spacing w:val="-60"/>
        </w:rPr>
        <w:t> </w:t>
      </w:r>
      <w:r>
        <w:rPr/>
        <w:t>1</w:t>
      </w:r>
      <w:r>
        <w:rPr>
          <w:spacing w:val="-60"/>
        </w:rPr>
        <w:t> </w:t>
      </w:r>
      <w:r>
        <w:rPr/>
        <w:t>日</w:t>
        <w:tab/>
      </w:r>
      <w:r>
        <w:rPr>
          <w:rFonts w:ascii="Meiryo" w:eastAsia="Meiryo" w:hint="eastAsia"/>
          <w:b/>
          <w:color w:val="0033CC"/>
        </w:rPr>
        <w:t>[返回目次]</w:t>
      </w:r>
    </w:p>
    <w:p>
      <w:pPr>
        <w:pStyle w:val="Heading2"/>
        <w:spacing w:before="148"/>
        <w:ind w:left="1730"/>
      </w:pPr>
      <w:bookmarkStart w:name="_TOC_250008" w:id="35"/>
      <w:bookmarkEnd w:id="35"/>
      <w:r>
        <w:rPr/>
        <w:t>2019 年“药娃杯”药学科普作品征集活动方案</w:t>
      </w:r>
    </w:p>
    <w:p>
      <w:pPr>
        <w:pStyle w:val="Heading3"/>
        <w:spacing w:before="148"/>
        <w:ind w:left="5398"/>
      </w:pPr>
      <w:r>
        <w:rPr>
          <w:color w:val="FF0000"/>
        </w:rPr>
        <w:t>（来源：中国药学会科技开发中心网站）</w:t>
      </w:r>
    </w:p>
    <w:p>
      <w:pPr>
        <w:pStyle w:val="BodyText"/>
        <w:spacing w:before="79"/>
        <w:ind w:left="717"/>
      </w:pPr>
      <w:r>
        <w:rPr/>
        <w:t>一、指导思想</w:t>
      </w:r>
    </w:p>
    <w:p>
      <w:pPr>
        <w:pStyle w:val="BodyText"/>
        <w:spacing w:line="280" w:lineRule="auto" w:before="52"/>
        <w:ind w:right="1126" w:firstLine="480"/>
        <w:jc w:val="both"/>
      </w:pPr>
      <w:r>
        <w:rPr>
          <w:spacing w:val="-6"/>
        </w:rPr>
        <w:t>习近平总书记在十九大报告中提出“弘扬科学精神，普及科学知识”。为进一步强化全国医药经济信息网的药学科技传播能力，促进药学科普资源的开发、整合与共享，繁荣药学</w:t>
      </w:r>
      <w:r>
        <w:rPr>
          <w:spacing w:val="-9"/>
        </w:rPr>
        <w:t>科普作品创作，丰富药学科普内容和形式，展现药师职业风采，向公众广泛宣传安全合理用</w:t>
      </w:r>
      <w:r>
        <w:rPr>
          <w:spacing w:val="-2"/>
        </w:rPr>
        <w:t>药知识，现面向各地药学会所属分网及全国医药经济信息网各网员医院开展 </w:t>
      </w:r>
      <w:r>
        <w:rPr/>
        <w:t>2019</w:t>
      </w:r>
      <w:r>
        <w:rPr>
          <w:spacing w:val="-12"/>
        </w:rPr>
        <w:t> 年“药娃杯”药学科普作品征集活动。</w:t>
      </w:r>
    </w:p>
    <w:p>
      <w:pPr>
        <w:pStyle w:val="BodyText"/>
        <w:spacing w:before="2"/>
        <w:ind w:left="717"/>
      </w:pPr>
      <w:r>
        <w:rPr/>
        <w:t>二、作品主题</w:t>
      </w:r>
    </w:p>
    <w:p>
      <w:pPr>
        <w:pStyle w:val="BodyText"/>
        <w:spacing w:line="280" w:lineRule="auto" w:before="52"/>
        <w:ind w:left="717" w:right="8107"/>
      </w:pPr>
      <w:r>
        <w:rPr>
          <w:spacing w:val="-3"/>
        </w:rPr>
        <w:t>科学用药 健康你我</w:t>
      </w:r>
      <w:r>
        <w:rPr/>
        <w:t>三、活动范围</w:t>
      </w:r>
    </w:p>
    <w:p>
      <w:pPr>
        <w:pStyle w:val="BodyText"/>
        <w:spacing w:line="280" w:lineRule="auto" w:before="1"/>
        <w:ind w:left="717" w:right="5827"/>
      </w:pPr>
      <w:r>
        <w:rPr>
          <w:spacing w:val="-1"/>
        </w:rPr>
        <w:t>全国医药经济信息网各网员医院专业药师</w:t>
      </w:r>
      <w:r>
        <w:rPr/>
        <w:t>四、征集要求</w:t>
      </w:r>
    </w:p>
    <w:p>
      <w:pPr>
        <w:pStyle w:val="BodyText"/>
        <w:ind w:left="717"/>
      </w:pPr>
      <w:r>
        <w:rPr/>
        <w:t>（一）作品应具有较高的思想性、科学性、新颖性、通俗性和实用性。</w:t>
      </w:r>
    </w:p>
    <w:p>
      <w:pPr>
        <w:pStyle w:val="ListParagraph"/>
        <w:numPr>
          <w:ilvl w:val="0"/>
          <w:numId w:val="7"/>
        </w:numPr>
        <w:tabs>
          <w:tab w:pos="959" w:val="left" w:leader="none"/>
        </w:tabs>
        <w:spacing w:line="280" w:lineRule="auto" w:before="53" w:after="0"/>
        <w:ind w:left="237" w:right="1127" w:firstLine="480"/>
        <w:jc w:val="left"/>
        <w:rPr>
          <w:sz w:val="24"/>
        </w:rPr>
      </w:pPr>
      <w:r>
        <w:rPr>
          <w:spacing w:val="-10"/>
          <w:sz w:val="24"/>
        </w:rPr>
        <w:t>思想性：主题思想和内容健康向上，反映当前药学领域主旋律，代表医药事业的发展</w:t>
      </w:r>
      <w:r>
        <w:rPr>
          <w:sz w:val="24"/>
        </w:rPr>
        <w:t>方向，能为公众合理用药、安全用药、健康促进提供帮助。</w:t>
      </w:r>
    </w:p>
    <w:p>
      <w:pPr>
        <w:pStyle w:val="ListParagraph"/>
        <w:numPr>
          <w:ilvl w:val="0"/>
          <w:numId w:val="7"/>
        </w:numPr>
        <w:tabs>
          <w:tab w:pos="959" w:val="left" w:leader="none"/>
        </w:tabs>
        <w:spacing w:line="280" w:lineRule="auto" w:before="1" w:after="0"/>
        <w:ind w:left="237" w:right="1130" w:firstLine="480"/>
        <w:jc w:val="left"/>
        <w:rPr>
          <w:sz w:val="24"/>
        </w:rPr>
      </w:pPr>
      <w:r>
        <w:rPr>
          <w:spacing w:val="-10"/>
          <w:sz w:val="24"/>
        </w:rPr>
        <w:t>科学性：符合普及科学技术知识、倡导科学方法、传播科学思想、弘扬科学精神的要</w:t>
      </w:r>
      <w:r>
        <w:rPr>
          <w:sz w:val="24"/>
        </w:rPr>
        <w:t>求，科学、客观、准确地传递药学专业知识。</w:t>
      </w:r>
    </w:p>
    <w:p>
      <w:pPr>
        <w:pStyle w:val="ListParagraph"/>
        <w:numPr>
          <w:ilvl w:val="0"/>
          <w:numId w:val="7"/>
        </w:numPr>
        <w:tabs>
          <w:tab w:pos="959" w:val="left" w:leader="none"/>
        </w:tabs>
        <w:spacing w:line="280" w:lineRule="auto" w:before="0" w:after="0"/>
        <w:ind w:left="237" w:right="1126" w:firstLine="480"/>
        <w:jc w:val="left"/>
        <w:rPr>
          <w:sz w:val="24"/>
        </w:rPr>
      </w:pPr>
      <w:r>
        <w:rPr>
          <w:spacing w:val="-11"/>
          <w:sz w:val="24"/>
        </w:rPr>
        <w:t>新颖性：作品主题切入视角独特，整体内容构思新颖，创作手法和表现形式具有独创</w:t>
      </w:r>
      <w:r>
        <w:rPr>
          <w:sz w:val="24"/>
        </w:rPr>
        <w:t>性，富有特色，具有感染力。</w:t>
      </w:r>
    </w:p>
    <w:p>
      <w:pPr>
        <w:spacing w:after="0" w:line="280" w:lineRule="auto"/>
        <w:jc w:val="left"/>
        <w:rPr>
          <w:sz w:val="24"/>
        </w:rPr>
        <w:sectPr>
          <w:pgSz w:w="11910" w:h="16850"/>
          <w:pgMar w:header="906" w:footer="607" w:top="1100" w:bottom="800" w:left="1040" w:right="0"/>
        </w:sectPr>
      </w:pPr>
    </w:p>
    <w:p>
      <w:pPr>
        <w:pStyle w:val="ListParagraph"/>
        <w:numPr>
          <w:ilvl w:val="0"/>
          <w:numId w:val="7"/>
        </w:numPr>
        <w:tabs>
          <w:tab w:pos="959" w:val="left" w:leader="none"/>
        </w:tabs>
        <w:spacing w:line="240" w:lineRule="auto" w:before="48" w:after="0"/>
        <w:ind w:left="958" w:right="0" w:hanging="242"/>
        <w:jc w:val="left"/>
        <w:rPr>
          <w:sz w:val="24"/>
        </w:rPr>
      </w:pPr>
      <w:r>
        <w:rPr>
          <w:sz w:val="24"/>
        </w:rPr>
        <w:t>通俗性：作品生动活泼，通俗易懂，并注重药学科普与人文科学相结合。</w:t>
      </w:r>
    </w:p>
    <w:p>
      <w:pPr>
        <w:pStyle w:val="ListParagraph"/>
        <w:numPr>
          <w:ilvl w:val="0"/>
          <w:numId w:val="7"/>
        </w:numPr>
        <w:tabs>
          <w:tab w:pos="959" w:val="left" w:leader="none"/>
        </w:tabs>
        <w:spacing w:line="240" w:lineRule="auto" w:before="53" w:after="0"/>
        <w:ind w:left="958" w:right="0" w:hanging="242"/>
        <w:jc w:val="left"/>
        <w:rPr>
          <w:sz w:val="24"/>
        </w:rPr>
      </w:pPr>
      <w:r>
        <w:rPr>
          <w:sz w:val="24"/>
        </w:rPr>
        <w:t>实用性：反映的药学科普知识紧跟社会热点，密切结合公众生活实际。</w:t>
      </w:r>
    </w:p>
    <w:p>
      <w:pPr>
        <w:pStyle w:val="BodyText"/>
        <w:spacing w:before="52"/>
        <w:ind w:left="717"/>
      </w:pPr>
      <w:r>
        <w:rPr/>
        <w:t>（二）作品内容</w:t>
      </w:r>
    </w:p>
    <w:p>
      <w:pPr>
        <w:pStyle w:val="ListParagraph"/>
        <w:numPr>
          <w:ilvl w:val="0"/>
          <w:numId w:val="8"/>
        </w:numPr>
        <w:tabs>
          <w:tab w:pos="959" w:val="left" w:leader="none"/>
        </w:tabs>
        <w:spacing w:line="280" w:lineRule="auto" w:before="53" w:after="0"/>
        <w:ind w:left="237" w:right="1128" w:firstLine="480"/>
        <w:jc w:val="left"/>
        <w:rPr>
          <w:sz w:val="24"/>
        </w:rPr>
      </w:pPr>
      <w:r>
        <w:rPr>
          <w:spacing w:val="-13"/>
          <w:sz w:val="24"/>
        </w:rPr>
        <w:t>主题鲜明，围绕“合理用药”主题，结合公众关心的热点话题或工作实际引入案例分</w:t>
      </w:r>
      <w:r>
        <w:rPr>
          <w:sz w:val="24"/>
        </w:rPr>
        <w:t>析为佳。</w:t>
      </w:r>
    </w:p>
    <w:p>
      <w:pPr>
        <w:pStyle w:val="ListParagraph"/>
        <w:numPr>
          <w:ilvl w:val="0"/>
          <w:numId w:val="8"/>
        </w:numPr>
        <w:tabs>
          <w:tab w:pos="959" w:val="left" w:leader="none"/>
        </w:tabs>
        <w:spacing w:line="240" w:lineRule="auto" w:before="0" w:after="0"/>
        <w:ind w:left="958" w:right="0" w:hanging="242"/>
        <w:jc w:val="left"/>
        <w:rPr>
          <w:sz w:val="24"/>
        </w:rPr>
      </w:pPr>
      <w:r>
        <w:rPr>
          <w:sz w:val="24"/>
        </w:rPr>
        <w:t>题材不限，以下题材仅供参考：</w:t>
      </w:r>
    </w:p>
    <w:p>
      <w:pPr>
        <w:pStyle w:val="BodyText"/>
        <w:spacing w:line="280" w:lineRule="auto" w:before="53"/>
        <w:ind w:right="1127" w:firstLine="480"/>
      </w:pPr>
      <w:r>
        <w:rPr>
          <w:spacing w:val="-2"/>
        </w:rPr>
        <w:t>特殊人群用药</w:t>
      </w:r>
      <w:r>
        <w:rPr/>
        <w:t>（</w:t>
      </w:r>
      <w:r>
        <w:rPr>
          <w:spacing w:val="-5"/>
        </w:rPr>
        <w:t>老人、妇女、儿童等</w:t>
      </w:r>
      <w:r>
        <w:rPr>
          <w:spacing w:val="-12"/>
        </w:rPr>
        <w:t>）；</w:t>
      </w:r>
      <w:r>
        <w:rPr>
          <w:spacing w:val="-2"/>
        </w:rPr>
        <w:t>特殊疾病及防治</w:t>
      </w:r>
      <w:r>
        <w:rPr/>
        <w:t>（</w:t>
      </w:r>
      <w:r>
        <w:rPr>
          <w:spacing w:val="-3"/>
        </w:rPr>
        <w:t>肿瘤、罕见病等</w:t>
      </w:r>
      <w:r>
        <w:rPr>
          <w:spacing w:val="-12"/>
        </w:rPr>
        <w:t>）；</w:t>
      </w:r>
      <w:r>
        <w:rPr>
          <w:spacing w:val="-6"/>
        </w:rPr>
        <w:t>常见慢</w:t>
      </w:r>
      <w:r>
        <w:rPr>
          <w:spacing w:val="-4"/>
        </w:rPr>
        <w:t>病管理</w:t>
      </w:r>
      <w:r>
        <w:rPr>
          <w:spacing w:val="-6"/>
        </w:rPr>
        <w:t>（</w:t>
      </w:r>
      <w:r>
        <w:rPr>
          <w:spacing w:val="-4"/>
        </w:rPr>
        <w:t>“三高”等</w:t>
      </w:r>
      <w:r>
        <w:rPr>
          <w:spacing w:val="-14"/>
        </w:rPr>
        <w:t>）</w:t>
      </w:r>
      <w:r>
        <w:rPr>
          <w:spacing w:val="-8"/>
        </w:rPr>
        <w:t>；季节流行病防治；地方性疾病及防治；药品不良反应；常见健康或</w:t>
      </w:r>
      <w:r>
        <w:rPr/>
        <w:t>用药误区；药品与保健品；中药的应用；药品说明书解读；节日/健康日（</w:t>
      </w:r>
      <w:r>
        <w:rPr>
          <w:spacing w:val="-15"/>
        </w:rPr>
        <w:t>见附件 </w:t>
      </w:r>
      <w:r>
        <w:rPr/>
        <w:t>5-1）相关疾病防治等。</w:t>
      </w:r>
    </w:p>
    <w:p>
      <w:pPr>
        <w:pStyle w:val="BodyText"/>
        <w:spacing w:before="1"/>
        <w:ind w:left="717"/>
      </w:pPr>
      <w:r>
        <w:rPr/>
        <w:t>（三）作品形式及要求</w:t>
      </w:r>
    </w:p>
    <w:p>
      <w:pPr>
        <w:pStyle w:val="BodyText"/>
        <w:spacing w:line="280" w:lineRule="auto" w:before="53"/>
        <w:ind w:left="717" w:right="4387"/>
      </w:pPr>
      <w:r>
        <w:rPr/>
        <w:t>形式不限，可为视频、音频、图片（漫画）、文字等。1.视频作品要求：</w:t>
      </w:r>
    </w:p>
    <w:p>
      <w:pPr>
        <w:pStyle w:val="BodyText"/>
        <w:spacing w:line="280" w:lineRule="auto"/>
        <w:ind w:left="717" w:right="4139"/>
      </w:pPr>
      <w:r>
        <w:rPr/>
        <w:t>格式： MP4、MPEG、AVI 等格式的高清视频（不压缩）； 分辨率：1920*1080P；</w:t>
      </w:r>
    </w:p>
    <w:p>
      <w:pPr>
        <w:pStyle w:val="BodyText"/>
        <w:spacing w:line="280" w:lineRule="auto"/>
        <w:ind w:left="717" w:right="7980"/>
      </w:pPr>
      <w:r>
        <w:rPr/>
        <w:t>时长：3～10 分钟； 字幕：中文；</w:t>
      </w:r>
    </w:p>
    <w:p>
      <w:pPr>
        <w:pStyle w:val="BodyText"/>
        <w:spacing w:before="1"/>
        <w:ind w:left="717"/>
      </w:pPr>
      <w:r>
        <w:rPr/>
        <w:t>附完整字幕的 word 文档；</w:t>
      </w:r>
    </w:p>
    <w:p>
      <w:pPr>
        <w:pStyle w:val="BodyText"/>
        <w:spacing w:line="280" w:lineRule="auto" w:before="53"/>
        <w:ind w:left="717" w:right="6067"/>
      </w:pPr>
      <w:r>
        <w:rPr/>
        <w:t>视频中不得出现商业广告等无关内容。2.音频作品要求：</w:t>
      </w:r>
    </w:p>
    <w:p>
      <w:pPr>
        <w:pStyle w:val="BodyText"/>
        <w:spacing w:line="280" w:lineRule="auto"/>
        <w:ind w:left="717" w:right="4147"/>
      </w:pPr>
      <w:r>
        <w:rPr/>
        <w:t>格式：MP3、WMA；音质：清晰无杂音，可自配背景音乐； 时长：3～10 分钟；</w:t>
      </w:r>
    </w:p>
    <w:p>
      <w:pPr>
        <w:pStyle w:val="BodyText"/>
        <w:spacing w:line="280" w:lineRule="auto" w:before="1"/>
        <w:ind w:left="717" w:right="6306"/>
      </w:pPr>
      <w:r>
        <w:rPr/>
        <w:t>（3）</w:t>
      </w:r>
      <w:r>
        <w:rPr>
          <w:spacing w:val="-7"/>
        </w:rPr>
        <w:t>附完整音频文字的 </w:t>
      </w:r>
      <w:r>
        <w:rPr/>
        <w:t>word</w:t>
      </w:r>
      <w:r>
        <w:rPr>
          <w:spacing w:val="-19"/>
        </w:rPr>
        <w:t> 文档。</w:t>
      </w:r>
      <w:r>
        <w:rPr/>
        <w:t>3.图片（漫画）作品要求：</w:t>
      </w:r>
    </w:p>
    <w:p>
      <w:pPr>
        <w:pStyle w:val="ListParagraph"/>
        <w:numPr>
          <w:ilvl w:val="0"/>
          <w:numId w:val="9"/>
        </w:numPr>
        <w:tabs>
          <w:tab w:pos="1319" w:val="left" w:leader="none"/>
        </w:tabs>
        <w:spacing w:line="240" w:lineRule="auto" w:before="0" w:after="0"/>
        <w:ind w:left="1318" w:right="0" w:hanging="602"/>
        <w:jc w:val="left"/>
        <w:rPr>
          <w:sz w:val="24"/>
        </w:rPr>
      </w:pPr>
      <w:r>
        <w:rPr>
          <w:sz w:val="24"/>
        </w:rPr>
        <w:t>格式：jpg、png；</w:t>
      </w:r>
    </w:p>
    <w:p>
      <w:pPr>
        <w:pStyle w:val="ListParagraph"/>
        <w:numPr>
          <w:ilvl w:val="0"/>
          <w:numId w:val="9"/>
        </w:numPr>
        <w:tabs>
          <w:tab w:pos="1319" w:val="left" w:leader="none"/>
        </w:tabs>
        <w:spacing w:line="240" w:lineRule="auto" w:before="53" w:after="0"/>
        <w:ind w:left="1318" w:right="0" w:hanging="602"/>
        <w:jc w:val="left"/>
        <w:rPr>
          <w:sz w:val="24"/>
        </w:rPr>
      </w:pPr>
      <w:r>
        <w:rPr>
          <w:spacing w:val="-7"/>
          <w:sz w:val="24"/>
        </w:rPr>
        <w:t>尺寸：宽度不低于 </w:t>
      </w:r>
      <w:r>
        <w:rPr>
          <w:sz w:val="24"/>
        </w:rPr>
        <w:t>1000px，高度可根据需求自行设置（参考尺寸：1000px（宽）</w:t>
      </w:r>
    </w:p>
    <w:p>
      <w:pPr>
        <w:pStyle w:val="BodyText"/>
        <w:spacing w:before="52"/>
      </w:pPr>
      <w:r>
        <w:rPr/>
        <w:t>*1600px（高））；</w:t>
      </w:r>
    </w:p>
    <w:p>
      <w:pPr>
        <w:pStyle w:val="ListParagraph"/>
        <w:numPr>
          <w:ilvl w:val="0"/>
          <w:numId w:val="9"/>
        </w:numPr>
        <w:tabs>
          <w:tab w:pos="1319" w:val="left" w:leader="none"/>
        </w:tabs>
        <w:spacing w:line="240" w:lineRule="auto" w:before="53" w:after="0"/>
        <w:ind w:left="1318" w:right="0" w:hanging="602"/>
        <w:jc w:val="left"/>
        <w:rPr>
          <w:sz w:val="24"/>
        </w:rPr>
      </w:pPr>
      <w:r>
        <w:rPr>
          <w:sz w:val="24"/>
        </w:rPr>
        <w:t>配图文字：以手机预览清晰、美观为准；</w:t>
      </w:r>
    </w:p>
    <w:p>
      <w:pPr>
        <w:pStyle w:val="ListParagraph"/>
        <w:numPr>
          <w:ilvl w:val="0"/>
          <w:numId w:val="9"/>
        </w:numPr>
        <w:tabs>
          <w:tab w:pos="1319" w:val="left" w:leader="none"/>
        </w:tabs>
        <w:spacing w:line="280" w:lineRule="auto" w:before="53" w:after="0"/>
        <w:ind w:left="717" w:right="6306" w:firstLine="0"/>
        <w:jc w:val="left"/>
        <w:rPr>
          <w:sz w:val="24"/>
        </w:rPr>
      </w:pPr>
      <w:r>
        <w:rPr>
          <w:spacing w:val="-7"/>
          <w:sz w:val="24"/>
        </w:rPr>
        <w:t>附完整配图文字的 </w:t>
      </w:r>
      <w:r>
        <w:rPr>
          <w:sz w:val="24"/>
        </w:rPr>
        <w:t>word</w:t>
      </w:r>
      <w:r>
        <w:rPr>
          <w:spacing w:val="-19"/>
          <w:sz w:val="24"/>
        </w:rPr>
        <w:t> 文档。</w:t>
      </w:r>
      <w:r>
        <w:rPr>
          <w:sz w:val="24"/>
        </w:rPr>
        <w:t>4.文字作品要求：</w:t>
      </w:r>
    </w:p>
    <w:p>
      <w:pPr>
        <w:pStyle w:val="BodyText"/>
        <w:spacing w:line="280" w:lineRule="auto"/>
        <w:ind w:left="717" w:right="7619"/>
      </w:pPr>
      <w:r>
        <w:rPr/>
        <w:t>字数：1000～1500 字； 字体：微软雅黑；</w:t>
      </w:r>
    </w:p>
    <w:p>
      <w:pPr>
        <w:pStyle w:val="BodyText"/>
        <w:spacing w:before="1"/>
        <w:ind w:left="717"/>
      </w:pPr>
      <w:r>
        <w:rPr/>
        <w:t>字号：</w:t>
      </w:r>
    </w:p>
    <w:p>
      <w:pPr>
        <w:pStyle w:val="BodyText"/>
        <w:spacing w:line="280" w:lineRule="auto" w:before="52"/>
        <w:ind w:left="717" w:right="8707"/>
      </w:pPr>
      <w:r>
        <w:rPr/>
        <w:t>标题：四号； 正文：小四；</w:t>
      </w:r>
    </w:p>
    <w:p>
      <w:pPr>
        <w:pStyle w:val="BodyText"/>
        <w:spacing w:before="1"/>
        <w:ind w:left="717"/>
      </w:pPr>
      <w:r>
        <w:rPr/>
        <w:t>（4）行间距：1.3 倍；</w:t>
      </w:r>
    </w:p>
    <w:p>
      <w:pPr>
        <w:pStyle w:val="ListParagraph"/>
        <w:numPr>
          <w:ilvl w:val="0"/>
          <w:numId w:val="9"/>
        </w:numPr>
        <w:tabs>
          <w:tab w:pos="1319" w:val="left" w:leader="none"/>
        </w:tabs>
        <w:spacing w:line="240" w:lineRule="auto" w:before="53" w:after="0"/>
        <w:ind w:left="1318" w:right="0" w:hanging="602"/>
        <w:jc w:val="left"/>
        <w:rPr>
          <w:sz w:val="24"/>
        </w:rPr>
      </w:pPr>
      <w:r>
        <w:rPr>
          <w:spacing w:val="-6"/>
          <w:sz w:val="24"/>
        </w:rPr>
        <w:t>文章配图尺寸：不低于 </w:t>
      </w:r>
      <w:r>
        <w:rPr>
          <w:sz w:val="24"/>
        </w:rPr>
        <w:t>900px（长）*500px（宽）。</w:t>
      </w:r>
    </w:p>
    <w:p>
      <w:pPr>
        <w:pStyle w:val="BodyText"/>
        <w:spacing w:before="52"/>
        <w:ind w:left="717"/>
      </w:pPr>
      <w:r>
        <w:rPr/>
        <w:t>（四）作品版权</w:t>
      </w:r>
    </w:p>
    <w:p>
      <w:pPr>
        <w:pStyle w:val="ListParagraph"/>
        <w:numPr>
          <w:ilvl w:val="0"/>
          <w:numId w:val="10"/>
        </w:numPr>
        <w:tabs>
          <w:tab w:pos="959" w:val="left" w:leader="none"/>
        </w:tabs>
        <w:spacing w:line="240" w:lineRule="auto" w:before="53" w:after="0"/>
        <w:ind w:left="958" w:right="0" w:hanging="242"/>
        <w:jc w:val="left"/>
        <w:rPr>
          <w:sz w:val="24"/>
        </w:rPr>
      </w:pPr>
      <w:r>
        <w:rPr>
          <w:sz w:val="24"/>
        </w:rPr>
        <w:t>要求作品为原创，无知识产权争议，尚未于任何平台公开发表。</w:t>
      </w:r>
    </w:p>
    <w:p>
      <w:pPr>
        <w:pStyle w:val="ListParagraph"/>
        <w:numPr>
          <w:ilvl w:val="0"/>
          <w:numId w:val="10"/>
        </w:numPr>
        <w:tabs>
          <w:tab w:pos="959" w:val="left" w:leader="none"/>
        </w:tabs>
        <w:spacing w:line="240" w:lineRule="auto" w:before="52" w:after="0"/>
        <w:ind w:left="958" w:right="0" w:hanging="242"/>
        <w:jc w:val="left"/>
        <w:rPr>
          <w:sz w:val="24"/>
        </w:rPr>
      </w:pPr>
      <w:r>
        <w:rPr>
          <w:sz w:val="24"/>
        </w:rPr>
        <w:t>应征者一旦提交作品，则被视为征集方享有作品版权，并可用于公益性科普宣传。</w:t>
      </w:r>
    </w:p>
    <w:p>
      <w:pPr>
        <w:spacing w:after="0" w:line="240" w:lineRule="auto"/>
        <w:jc w:val="left"/>
        <w:rPr>
          <w:sz w:val="24"/>
        </w:rPr>
        <w:sectPr>
          <w:pgSz w:w="11910" w:h="16850"/>
          <w:pgMar w:header="906" w:footer="607" w:top="1100" w:bottom="800" w:left="1040" w:right="0"/>
        </w:sectPr>
      </w:pPr>
    </w:p>
    <w:p>
      <w:pPr>
        <w:pStyle w:val="BodyText"/>
        <w:spacing w:before="48"/>
        <w:ind w:left="717"/>
      </w:pPr>
      <w:r>
        <w:rPr/>
        <w:t>（五）提交形式</w:t>
      </w:r>
    </w:p>
    <w:p>
      <w:pPr>
        <w:pStyle w:val="ListParagraph"/>
        <w:numPr>
          <w:ilvl w:val="0"/>
          <w:numId w:val="11"/>
        </w:numPr>
        <w:tabs>
          <w:tab w:pos="959" w:val="left" w:leader="none"/>
        </w:tabs>
        <w:spacing w:line="240" w:lineRule="auto" w:before="53" w:after="0"/>
        <w:ind w:left="958" w:right="0" w:hanging="242"/>
        <w:jc w:val="left"/>
        <w:rPr>
          <w:sz w:val="24"/>
        </w:rPr>
      </w:pPr>
      <w:r>
        <w:rPr>
          <w:sz w:val="24"/>
        </w:rPr>
        <w:t>邮件主题：分网/医院名称+药学科普作品；</w:t>
      </w:r>
    </w:p>
    <w:p>
      <w:pPr>
        <w:pStyle w:val="ListParagraph"/>
        <w:numPr>
          <w:ilvl w:val="0"/>
          <w:numId w:val="11"/>
        </w:numPr>
        <w:tabs>
          <w:tab w:pos="959" w:val="left" w:leader="none"/>
        </w:tabs>
        <w:spacing w:line="240" w:lineRule="auto" w:before="52" w:after="0"/>
        <w:ind w:left="958" w:right="0" w:hanging="242"/>
        <w:jc w:val="left"/>
        <w:rPr>
          <w:sz w:val="24"/>
        </w:rPr>
      </w:pPr>
      <w:r>
        <w:rPr>
          <w:sz w:val="24"/>
        </w:rPr>
        <w:t>文件夹：以医院名称命名；</w:t>
      </w:r>
    </w:p>
    <w:p>
      <w:pPr>
        <w:pStyle w:val="ListParagraph"/>
        <w:numPr>
          <w:ilvl w:val="0"/>
          <w:numId w:val="11"/>
        </w:numPr>
        <w:tabs>
          <w:tab w:pos="959" w:val="left" w:leader="none"/>
        </w:tabs>
        <w:spacing w:line="240" w:lineRule="auto" w:before="53" w:after="0"/>
        <w:ind w:left="958" w:right="0" w:hanging="242"/>
        <w:jc w:val="left"/>
        <w:rPr>
          <w:sz w:val="24"/>
        </w:rPr>
      </w:pPr>
      <w:r>
        <w:rPr>
          <w:sz w:val="24"/>
        </w:rPr>
        <w:t>文件：以医院名称+作者姓名命名；</w:t>
      </w:r>
    </w:p>
    <w:p>
      <w:pPr>
        <w:pStyle w:val="ListParagraph"/>
        <w:numPr>
          <w:ilvl w:val="0"/>
          <w:numId w:val="11"/>
        </w:numPr>
        <w:tabs>
          <w:tab w:pos="959" w:val="left" w:leader="none"/>
        </w:tabs>
        <w:spacing w:line="280" w:lineRule="auto" w:before="52" w:after="0"/>
        <w:ind w:left="717" w:right="6606" w:firstLine="0"/>
        <w:jc w:val="left"/>
        <w:rPr>
          <w:sz w:val="24"/>
        </w:rPr>
      </w:pPr>
      <w:r>
        <w:rPr>
          <w:sz w:val="24"/>
        </w:rPr>
        <w:t>附作品信息表（</w:t>
      </w:r>
      <w:r>
        <w:rPr>
          <w:spacing w:val="-15"/>
          <w:sz w:val="24"/>
        </w:rPr>
        <w:t>见附件 </w:t>
      </w:r>
      <w:r>
        <w:rPr>
          <w:sz w:val="24"/>
        </w:rPr>
        <w:t>5-2）</w:t>
      </w:r>
      <w:r>
        <w:rPr>
          <w:spacing w:val="-17"/>
          <w:sz w:val="24"/>
        </w:rPr>
        <w:t>。</w:t>
      </w:r>
      <w:r>
        <w:rPr>
          <w:sz w:val="24"/>
        </w:rPr>
        <w:t>五、征集评选</w:t>
      </w:r>
    </w:p>
    <w:p>
      <w:pPr>
        <w:pStyle w:val="BodyText"/>
        <w:spacing w:before="1"/>
        <w:ind w:left="717"/>
      </w:pPr>
      <w:r>
        <w:rPr/>
        <w:t>（一）初选与推荐</w:t>
      </w:r>
    </w:p>
    <w:p>
      <w:pPr>
        <w:pStyle w:val="ListParagraph"/>
        <w:numPr>
          <w:ilvl w:val="0"/>
          <w:numId w:val="12"/>
        </w:numPr>
        <w:tabs>
          <w:tab w:pos="959" w:val="left" w:leader="none"/>
        </w:tabs>
        <w:spacing w:line="280" w:lineRule="auto" w:before="52" w:after="0"/>
        <w:ind w:left="237" w:right="1126" w:firstLine="480"/>
        <w:jc w:val="left"/>
        <w:rPr>
          <w:sz w:val="24"/>
        </w:rPr>
      </w:pPr>
      <w:r>
        <w:rPr>
          <w:spacing w:val="-12"/>
          <w:sz w:val="24"/>
        </w:rPr>
        <w:t>推荐单位：各网员医院统一上报至各分网，再由各分网组织按照第三条征集要求进行</w:t>
      </w:r>
      <w:r>
        <w:rPr>
          <w:sz w:val="24"/>
        </w:rPr>
        <w:t>初选推荐工作（</w:t>
      </w:r>
      <w:r>
        <w:rPr>
          <w:spacing w:val="-15"/>
          <w:sz w:val="24"/>
        </w:rPr>
        <w:t>见附件 </w:t>
      </w:r>
      <w:r>
        <w:rPr>
          <w:sz w:val="24"/>
        </w:rPr>
        <w:t>5-3）。</w:t>
      </w:r>
    </w:p>
    <w:p>
      <w:pPr>
        <w:pStyle w:val="ListParagraph"/>
        <w:numPr>
          <w:ilvl w:val="0"/>
          <w:numId w:val="12"/>
        </w:numPr>
        <w:tabs>
          <w:tab w:pos="959" w:val="left" w:leader="none"/>
        </w:tabs>
        <w:spacing w:line="240" w:lineRule="auto" w:before="1" w:after="0"/>
        <w:ind w:left="958" w:right="0" w:hanging="242"/>
        <w:jc w:val="left"/>
        <w:rPr>
          <w:sz w:val="24"/>
        </w:rPr>
      </w:pPr>
      <w:r>
        <w:rPr>
          <w:sz w:val="24"/>
        </w:rPr>
        <w:t>推荐时间：2019</w:t>
      </w:r>
      <w:r>
        <w:rPr>
          <w:spacing w:val="-41"/>
          <w:sz w:val="24"/>
        </w:rPr>
        <w:t> 年 </w:t>
      </w:r>
      <w:r>
        <w:rPr>
          <w:sz w:val="24"/>
        </w:rPr>
        <w:t>6</w:t>
      </w:r>
      <w:r>
        <w:rPr>
          <w:spacing w:val="-40"/>
          <w:sz w:val="24"/>
        </w:rPr>
        <w:t> 月 </w:t>
      </w:r>
      <w:r>
        <w:rPr>
          <w:sz w:val="24"/>
        </w:rPr>
        <w:t>30</w:t>
      </w:r>
      <w:r>
        <w:rPr>
          <w:spacing w:val="-8"/>
          <w:sz w:val="24"/>
        </w:rPr>
        <w:t> 日前，由各分网统一将初选推荐作品报送至中心。</w:t>
      </w:r>
    </w:p>
    <w:p>
      <w:pPr>
        <w:pStyle w:val="ListParagraph"/>
        <w:numPr>
          <w:ilvl w:val="0"/>
          <w:numId w:val="12"/>
        </w:numPr>
        <w:tabs>
          <w:tab w:pos="959" w:val="left" w:leader="none"/>
        </w:tabs>
        <w:spacing w:line="240" w:lineRule="auto" w:before="53" w:after="0"/>
        <w:ind w:left="958" w:right="0" w:hanging="242"/>
        <w:jc w:val="left"/>
        <w:rPr>
          <w:sz w:val="24"/>
        </w:rPr>
      </w:pPr>
      <w:r>
        <w:rPr>
          <w:sz w:val="24"/>
        </w:rPr>
        <w:t>本次活动所征集作品一律不退稿。</w:t>
      </w:r>
    </w:p>
    <w:p>
      <w:pPr>
        <w:pStyle w:val="BodyText"/>
        <w:spacing w:before="52"/>
        <w:ind w:left="717"/>
      </w:pPr>
      <w:r>
        <w:rPr/>
        <w:t>（二）评审</w:t>
      </w:r>
    </w:p>
    <w:p>
      <w:pPr>
        <w:pStyle w:val="ListParagraph"/>
        <w:numPr>
          <w:ilvl w:val="0"/>
          <w:numId w:val="13"/>
        </w:numPr>
        <w:tabs>
          <w:tab w:pos="959" w:val="left" w:leader="none"/>
        </w:tabs>
        <w:spacing w:line="280" w:lineRule="auto" w:before="53" w:after="0"/>
        <w:ind w:left="237" w:right="1130" w:firstLine="480"/>
        <w:jc w:val="left"/>
        <w:rPr>
          <w:sz w:val="24"/>
        </w:rPr>
      </w:pPr>
      <w:r>
        <w:rPr>
          <w:spacing w:val="-9"/>
          <w:sz w:val="24"/>
        </w:rPr>
        <w:t>中心将组织药学专家、科普专家、资深媒体人，对推荐作品进行内容审查，并按照征</w:t>
      </w:r>
      <w:r>
        <w:rPr>
          <w:sz w:val="24"/>
        </w:rPr>
        <w:t>集要求对作品进行评审。</w:t>
      </w:r>
    </w:p>
    <w:p>
      <w:pPr>
        <w:pStyle w:val="ListParagraph"/>
        <w:numPr>
          <w:ilvl w:val="0"/>
          <w:numId w:val="13"/>
        </w:numPr>
        <w:tabs>
          <w:tab w:pos="959" w:val="left" w:leader="none"/>
        </w:tabs>
        <w:spacing w:line="240" w:lineRule="auto" w:before="0" w:after="0"/>
        <w:ind w:left="958" w:right="0" w:hanging="242"/>
        <w:jc w:val="left"/>
        <w:rPr>
          <w:sz w:val="24"/>
        </w:rPr>
      </w:pPr>
      <w:r>
        <w:rPr>
          <w:spacing w:val="-8"/>
          <w:sz w:val="24"/>
        </w:rPr>
        <w:t>评审结束时间为 </w:t>
      </w:r>
      <w:r>
        <w:rPr>
          <w:sz w:val="24"/>
        </w:rPr>
        <w:t>2019</w:t>
      </w:r>
      <w:r>
        <w:rPr>
          <w:spacing w:val="-40"/>
          <w:sz w:val="24"/>
        </w:rPr>
        <w:t> 年 </w:t>
      </w:r>
      <w:r>
        <w:rPr>
          <w:sz w:val="24"/>
        </w:rPr>
        <w:t>9</w:t>
      </w:r>
      <w:r>
        <w:rPr>
          <w:spacing w:val="-40"/>
          <w:sz w:val="24"/>
        </w:rPr>
        <w:t> 月 </w:t>
      </w:r>
      <w:r>
        <w:rPr>
          <w:sz w:val="24"/>
        </w:rPr>
        <w:t>1</w:t>
      </w:r>
      <w:r>
        <w:rPr>
          <w:spacing w:val="-20"/>
          <w:sz w:val="24"/>
        </w:rPr>
        <w:t> 日。</w:t>
      </w:r>
    </w:p>
    <w:p>
      <w:pPr>
        <w:pStyle w:val="BodyText"/>
        <w:spacing w:before="53"/>
        <w:ind w:left="717"/>
      </w:pPr>
      <w:r>
        <w:rPr/>
        <w:t>（三）表彰与奖励</w:t>
      </w:r>
    </w:p>
    <w:p>
      <w:pPr>
        <w:pStyle w:val="BodyText"/>
        <w:spacing w:line="280" w:lineRule="auto" w:before="52"/>
        <w:ind w:left="717" w:right="1987"/>
      </w:pPr>
      <w:r>
        <w:rPr/>
        <w:t>根据评审结果，活动组织单位将设置优秀个人奖、优秀组织奖给予表彰奖励。1.优秀个人奖：</w:t>
      </w:r>
    </w:p>
    <w:p>
      <w:pPr>
        <w:pStyle w:val="ListParagraph"/>
        <w:numPr>
          <w:ilvl w:val="0"/>
          <w:numId w:val="14"/>
        </w:numPr>
        <w:tabs>
          <w:tab w:pos="1319" w:val="left" w:leader="none"/>
        </w:tabs>
        <w:spacing w:line="240" w:lineRule="auto" w:before="1" w:after="0"/>
        <w:ind w:left="1318" w:right="0" w:hanging="602"/>
        <w:jc w:val="left"/>
        <w:rPr>
          <w:sz w:val="24"/>
        </w:rPr>
      </w:pPr>
      <w:r>
        <w:rPr>
          <w:sz w:val="24"/>
        </w:rPr>
        <w:t>设置视频组、音频组、图片（漫画）</w:t>
      </w:r>
      <w:r>
        <w:rPr>
          <w:spacing w:val="-9"/>
          <w:sz w:val="24"/>
        </w:rPr>
        <w:t>组、文字组等 </w:t>
      </w:r>
      <w:r>
        <w:rPr>
          <w:sz w:val="24"/>
        </w:rPr>
        <w:t>4</w:t>
      </w:r>
      <w:r>
        <w:rPr>
          <w:spacing w:val="-12"/>
          <w:sz w:val="24"/>
        </w:rPr>
        <w:t> 组奖项。</w:t>
      </w:r>
    </w:p>
    <w:p>
      <w:pPr>
        <w:pStyle w:val="ListParagraph"/>
        <w:numPr>
          <w:ilvl w:val="0"/>
          <w:numId w:val="14"/>
        </w:numPr>
        <w:tabs>
          <w:tab w:pos="1319" w:val="left" w:leader="none"/>
        </w:tabs>
        <w:spacing w:line="240" w:lineRule="auto" w:before="52" w:after="0"/>
        <w:ind w:left="1318" w:right="0" w:hanging="602"/>
        <w:jc w:val="left"/>
        <w:rPr>
          <w:sz w:val="24"/>
        </w:rPr>
      </w:pPr>
      <w:r>
        <w:rPr>
          <w:spacing w:val="-6"/>
          <w:sz w:val="24"/>
        </w:rPr>
        <w:t>每组分别设置一等奖 </w:t>
      </w:r>
      <w:r>
        <w:rPr>
          <w:sz w:val="24"/>
        </w:rPr>
        <w:t>3</w:t>
      </w:r>
      <w:r>
        <w:rPr>
          <w:spacing w:val="-20"/>
          <w:sz w:val="24"/>
        </w:rPr>
        <w:t> 名，奖金 </w:t>
      </w:r>
      <w:r>
        <w:rPr>
          <w:sz w:val="24"/>
        </w:rPr>
        <w:t>1000</w:t>
      </w:r>
      <w:r>
        <w:rPr>
          <w:spacing w:val="-18"/>
          <w:sz w:val="24"/>
        </w:rPr>
        <w:t> 元；二等奖 </w:t>
      </w:r>
      <w:r>
        <w:rPr>
          <w:sz w:val="24"/>
        </w:rPr>
        <w:t>5</w:t>
      </w:r>
      <w:r>
        <w:rPr>
          <w:spacing w:val="-20"/>
          <w:sz w:val="24"/>
        </w:rPr>
        <w:t> 名，奖金 </w:t>
      </w:r>
      <w:r>
        <w:rPr>
          <w:sz w:val="24"/>
        </w:rPr>
        <w:t>500</w:t>
      </w:r>
      <w:r>
        <w:rPr>
          <w:spacing w:val="-18"/>
          <w:sz w:val="24"/>
        </w:rPr>
        <w:t> 元；三等奖 </w:t>
      </w:r>
      <w:r>
        <w:rPr>
          <w:sz w:val="24"/>
        </w:rPr>
        <w:t>10</w:t>
      </w:r>
    </w:p>
    <w:p>
      <w:pPr>
        <w:pStyle w:val="BodyText"/>
        <w:spacing w:line="280" w:lineRule="auto" w:before="53"/>
        <w:ind w:left="717" w:right="2467" w:hanging="480"/>
      </w:pPr>
      <w:r>
        <w:rPr>
          <w:spacing w:val="-13"/>
        </w:rPr>
        <w:t>名，奖金 </w:t>
      </w:r>
      <w:r>
        <w:rPr/>
        <w:t>300</w:t>
      </w:r>
      <w:r>
        <w:rPr>
          <w:spacing w:val="-9"/>
        </w:rPr>
        <w:t> 元；优秀奖若干。颁发获奖证书，授予“药学科普之星”称号。</w:t>
      </w:r>
      <w:r>
        <w:rPr/>
        <w:t>2.优秀组织奖：</w:t>
      </w:r>
    </w:p>
    <w:p>
      <w:pPr>
        <w:pStyle w:val="ListParagraph"/>
        <w:numPr>
          <w:ilvl w:val="0"/>
          <w:numId w:val="15"/>
        </w:numPr>
        <w:tabs>
          <w:tab w:pos="1319" w:val="left" w:leader="none"/>
        </w:tabs>
        <w:spacing w:line="240" w:lineRule="auto" w:before="0" w:after="0"/>
        <w:ind w:left="1318" w:right="0" w:hanging="602"/>
        <w:jc w:val="left"/>
        <w:rPr>
          <w:sz w:val="24"/>
        </w:rPr>
      </w:pPr>
      <w:r>
        <w:rPr>
          <w:spacing w:val="-4"/>
          <w:sz w:val="24"/>
        </w:rPr>
        <w:t>设置优秀分网组织奖和优秀医院组织奖 </w:t>
      </w:r>
      <w:r>
        <w:rPr>
          <w:sz w:val="24"/>
        </w:rPr>
        <w:t>2</w:t>
      </w:r>
      <w:r>
        <w:rPr>
          <w:spacing w:val="-12"/>
          <w:sz w:val="24"/>
        </w:rPr>
        <w:t> 组奖项。</w:t>
      </w:r>
    </w:p>
    <w:p>
      <w:pPr>
        <w:pStyle w:val="ListParagraph"/>
        <w:numPr>
          <w:ilvl w:val="0"/>
          <w:numId w:val="15"/>
        </w:numPr>
        <w:tabs>
          <w:tab w:pos="1319" w:val="left" w:leader="none"/>
        </w:tabs>
        <w:spacing w:line="240" w:lineRule="auto" w:before="53" w:after="0"/>
        <w:ind w:left="1318" w:right="0" w:hanging="602"/>
        <w:jc w:val="left"/>
        <w:rPr>
          <w:sz w:val="24"/>
        </w:rPr>
      </w:pPr>
      <w:r>
        <w:rPr>
          <w:spacing w:val="-20"/>
          <w:sz w:val="24"/>
        </w:rPr>
        <w:t>每组 </w:t>
      </w:r>
      <w:r>
        <w:rPr>
          <w:sz w:val="24"/>
        </w:rPr>
        <w:t>10</w:t>
      </w:r>
      <w:r>
        <w:rPr>
          <w:spacing w:val="-8"/>
          <w:sz w:val="24"/>
        </w:rPr>
        <w:t> 名，颁发获奖证书。</w:t>
      </w:r>
    </w:p>
    <w:p>
      <w:pPr>
        <w:pStyle w:val="ListParagraph"/>
        <w:numPr>
          <w:ilvl w:val="0"/>
          <w:numId w:val="13"/>
        </w:numPr>
        <w:tabs>
          <w:tab w:pos="959" w:val="left" w:leader="none"/>
        </w:tabs>
        <w:spacing w:line="240" w:lineRule="auto" w:before="52" w:after="0"/>
        <w:ind w:left="958" w:right="0" w:hanging="242"/>
        <w:jc w:val="left"/>
        <w:rPr>
          <w:sz w:val="24"/>
        </w:rPr>
      </w:pPr>
      <w:r>
        <w:rPr>
          <w:sz w:val="24"/>
        </w:rPr>
        <w:t>活动参与者将获得药学科普志愿者身份，参与相应科普活动将获得志愿者时长。</w:t>
      </w:r>
    </w:p>
    <w:p>
      <w:pPr>
        <w:pStyle w:val="ListParagraph"/>
        <w:numPr>
          <w:ilvl w:val="0"/>
          <w:numId w:val="13"/>
        </w:numPr>
        <w:tabs>
          <w:tab w:pos="959" w:val="left" w:leader="none"/>
        </w:tabs>
        <w:spacing w:line="280" w:lineRule="auto" w:before="53" w:after="0"/>
        <w:ind w:left="237" w:right="1385" w:firstLine="480"/>
        <w:jc w:val="left"/>
        <w:rPr>
          <w:sz w:val="24"/>
        </w:rPr>
      </w:pPr>
      <w:r>
        <w:rPr>
          <w:spacing w:val="-3"/>
          <w:sz w:val="24"/>
        </w:rPr>
        <w:t>优秀作者将成为“药葫芦娃”科普专家团签约作者，获邀出席 </w:t>
      </w:r>
      <w:r>
        <w:rPr>
          <w:sz w:val="24"/>
        </w:rPr>
        <w:t>2019</w:t>
      </w:r>
      <w:r>
        <w:rPr>
          <w:spacing w:val="-11"/>
          <w:sz w:val="24"/>
        </w:rPr>
        <w:t> 年“中国药师</w:t>
      </w:r>
      <w:r>
        <w:rPr>
          <w:sz w:val="24"/>
        </w:rPr>
        <w:t>周”，参加表彰活动。</w:t>
      </w:r>
    </w:p>
    <w:p>
      <w:pPr>
        <w:pStyle w:val="ListParagraph"/>
        <w:numPr>
          <w:ilvl w:val="0"/>
          <w:numId w:val="13"/>
        </w:numPr>
        <w:tabs>
          <w:tab w:pos="959" w:val="left" w:leader="none"/>
        </w:tabs>
        <w:spacing w:line="280" w:lineRule="auto" w:before="1" w:after="0"/>
        <w:ind w:left="237" w:right="1012" w:firstLine="480"/>
        <w:jc w:val="left"/>
        <w:rPr>
          <w:sz w:val="24"/>
        </w:rPr>
      </w:pPr>
      <w:r>
        <w:rPr>
          <w:spacing w:val="-11"/>
          <w:sz w:val="24"/>
        </w:rPr>
        <w:t>作品录用之后，将在“药葫芦娃”两微七端</w:t>
      </w:r>
      <w:r>
        <w:rPr>
          <w:sz w:val="24"/>
        </w:rPr>
        <w:t>（</w:t>
      </w:r>
      <w:r>
        <w:rPr>
          <w:spacing w:val="-13"/>
          <w:sz w:val="24"/>
        </w:rPr>
        <w:t>微信、微博、头条号、搜狐号、企鹅号、</w:t>
      </w:r>
      <w:r>
        <w:rPr>
          <w:sz w:val="24"/>
        </w:rPr>
        <w:t>一点号、搜狗号、新浪健康、喜马拉雅电台）及后续新开辟科普平台署名发布。</w:t>
      </w:r>
    </w:p>
    <w:p>
      <w:pPr>
        <w:pStyle w:val="ListParagraph"/>
        <w:numPr>
          <w:ilvl w:val="0"/>
          <w:numId w:val="13"/>
        </w:numPr>
        <w:tabs>
          <w:tab w:pos="1078" w:val="left" w:leader="none"/>
        </w:tabs>
        <w:spacing w:line="280" w:lineRule="auto" w:before="0" w:after="0"/>
        <w:ind w:left="237" w:right="1128" w:firstLine="480"/>
        <w:jc w:val="left"/>
        <w:rPr>
          <w:sz w:val="24"/>
        </w:rPr>
      </w:pPr>
      <w:r>
        <w:rPr>
          <w:spacing w:val="-5"/>
          <w:sz w:val="24"/>
        </w:rPr>
        <w:t>优秀作品可被推荐至科普中国网-科学用药专栏以及中国经济网等主流媒体，署名发</w:t>
      </w:r>
      <w:r>
        <w:rPr>
          <w:sz w:val="24"/>
        </w:rPr>
        <w:t>布。</w:t>
      </w:r>
    </w:p>
    <w:p>
      <w:pPr>
        <w:pStyle w:val="BodyText"/>
        <w:spacing w:before="1"/>
        <w:ind w:left="717"/>
      </w:pPr>
      <w:r>
        <w:rPr/>
        <w:t>六、工作要求</w:t>
      </w:r>
    </w:p>
    <w:p>
      <w:pPr>
        <w:pStyle w:val="BodyText"/>
        <w:spacing w:line="280" w:lineRule="auto" w:before="52"/>
        <w:ind w:right="1128" w:firstLine="480"/>
      </w:pPr>
      <w:r>
        <w:rPr>
          <w:spacing w:val="-7"/>
        </w:rPr>
        <w:t>各分网对本次活动要高度重视，精心组织。要充分认识开展药学科普的重要意义，切实</w:t>
      </w:r>
      <w:r>
        <w:rPr/>
        <w:t>推进、落实药学科普作品的征集工作。</w:t>
      </w:r>
    </w:p>
    <w:p>
      <w:pPr>
        <w:pStyle w:val="BodyText"/>
        <w:spacing w:before="1"/>
        <w:ind w:left="717"/>
      </w:pPr>
      <w:r>
        <w:rPr/>
        <w:t>七、联系方式</w:t>
      </w:r>
    </w:p>
    <w:p>
      <w:pPr>
        <w:pStyle w:val="BodyText"/>
        <w:spacing w:before="53"/>
        <w:ind w:left="717"/>
      </w:pPr>
      <w:r>
        <w:rPr/>
        <w:t>联系人：裴玉兰、刘玉</w:t>
      </w:r>
    </w:p>
    <w:p>
      <w:pPr>
        <w:pStyle w:val="BodyText"/>
        <w:spacing w:line="280" w:lineRule="auto" w:before="52"/>
        <w:ind w:left="717" w:right="6786"/>
      </w:pPr>
      <w:r>
        <w:rPr/>
        <w:t>联系电话：010-65660788</w:t>
      </w:r>
      <w:r>
        <w:rPr>
          <w:spacing w:val="-40"/>
        </w:rPr>
        <w:t> 转 </w:t>
      </w:r>
      <w:r>
        <w:rPr>
          <w:spacing w:val="-6"/>
        </w:rPr>
        <w:t>119 </w:t>
      </w:r>
      <w:r>
        <w:rPr/>
        <w:t>传真：010-65661656</w:t>
      </w:r>
    </w:p>
    <w:p>
      <w:pPr>
        <w:pStyle w:val="BodyText"/>
        <w:spacing w:line="295" w:lineRule="auto" w:before="17"/>
        <w:ind w:left="717" w:right="7387"/>
      </w:pPr>
      <w:r>
        <w:rPr/>
        <w:t>邮箱：</w:t>
      </w:r>
      <w:hyperlink r:id="rId27">
        <w:r>
          <w:rPr>
            <w:color w:val="0000FF"/>
            <w:u w:val="single" w:color="0000FF"/>
          </w:rPr>
          <w:t>yhlw_cmei@126.com </w:t>
        </w:r>
      </w:hyperlink>
      <w:r>
        <w:rPr/>
        <w:t>附件 5-1</w:t>
      </w:r>
    </w:p>
    <w:p>
      <w:pPr>
        <w:spacing w:after="0" w:line="295" w:lineRule="auto"/>
        <w:sectPr>
          <w:pgSz w:w="11910" w:h="16850"/>
          <w:pgMar w:header="906" w:footer="607" w:top="1100" w:bottom="800" w:left="1040" w:right="0"/>
        </w:sectPr>
      </w:pPr>
    </w:p>
    <w:tbl>
      <w:tblPr>
        <w:tblW w:w="0" w:type="auto"/>
        <w:jc w:val="left"/>
        <w:tblInd w:w="2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96"/>
        <w:gridCol w:w="2648"/>
        <w:gridCol w:w="2775"/>
        <w:gridCol w:w="3212"/>
        <w:gridCol w:w="327"/>
      </w:tblGrid>
      <w:tr>
        <w:trPr>
          <w:trHeight w:val="308" w:hRule="atLeast"/>
        </w:trPr>
        <w:tc>
          <w:tcPr>
            <w:tcW w:w="596" w:type="dxa"/>
            <w:vMerge w:val="restart"/>
            <w:tcBorders>
              <w:left w:val="nil"/>
              <w:bottom w:val="nil"/>
              <w:right w:val="single" w:sz="4" w:space="0" w:color="000000"/>
            </w:tcBorders>
          </w:tcPr>
          <w:p>
            <w:pPr>
              <w:pStyle w:val="TableParagraph"/>
              <w:rPr>
                <w:rFonts w:ascii="Times New Roman"/>
                <w:sz w:val="16"/>
              </w:rPr>
            </w:pPr>
          </w:p>
        </w:tc>
        <w:tc>
          <w:tcPr>
            <w:tcW w:w="8635" w:type="dxa"/>
            <w:gridSpan w:val="3"/>
            <w:tcBorders>
              <w:top w:val="single" w:sz="12" w:space="0" w:color="000000"/>
              <w:left w:val="single" w:sz="4" w:space="0" w:color="000000"/>
              <w:bottom w:val="single" w:sz="4" w:space="0" w:color="000000"/>
              <w:right w:val="single" w:sz="4" w:space="0" w:color="000000"/>
            </w:tcBorders>
          </w:tcPr>
          <w:p>
            <w:pPr>
              <w:pStyle w:val="TableParagraph"/>
              <w:spacing w:before="42"/>
              <w:ind w:left="3849" w:right="3851"/>
              <w:jc w:val="center"/>
              <w:rPr>
                <w:b/>
                <w:sz w:val="16"/>
              </w:rPr>
            </w:pPr>
            <w:r>
              <w:rPr>
                <w:b/>
                <w:sz w:val="16"/>
              </w:rPr>
              <w:t>节日/健康日</w:t>
            </w:r>
          </w:p>
        </w:tc>
        <w:tc>
          <w:tcPr>
            <w:tcW w:w="327" w:type="dxa"/>
            <w:vMerge w:val="restart"/>
            <w:tcBorders>
              <w:left w:val="single" w:sz="4" w:space="0" w:color="000000"/>
              <w:bottom w:val="nil"/>
              <w:right w:val="nil"/>
            </w:tcBorders>
          </w:tcPr>
          <w:p>
            <w:pPr>
              <w:pStyle w:val="TableParagraph"/>
              <w:rPr>
                <w:rFonts w:ascii="Times New Roman"/>
                <w:sz w:val="16"/>
              </w:rPr>
            </w:pPr>
          </w:p>
        </w:tc>
      </w:tr>
      <w:tr>
        <w:trPr>
          <w:trHeight w:val="312"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5"/>
              <w:ind w:left="418" w:right="419"/>
              <w:jc w:val="center"/>
              <w:rPr>
                <w:sz w:val="16"/>
              </w:rPr>
            </w:pPr>
            <w:r>
              <w:rPr>
                <w:sz w:val="16"/>
              </w:rPr>
              <w:t>国际罕见病日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5"/>
              <w:ind w:left="641" w:right="642"/>
              <w:jc w:val="center"/>
              <w:rPr>
                <w:sz w:val="16"/>
              </w:rPr>
            </w:pPr>
            <w:r>
              <w:rPr>
                <w:sz w:val="16"/>
              </w:rPr>
              <w:t>国际脊髓损伤日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5"/>
              <w:ind w:left="620" w:right="620"/>
              <w:jc w:val="center"/>
              <w:rPr>
                <w:sz w:val="16"/>
              </w:rPr>
            </w:pPr>
            <w:r>
              <w:rPr>
                <w:sz w:val="16"/>
              </w:rPr>
              <w:t>全国爱足日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国际爱耳日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世界预防自杀日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中国房颤日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8" w:right="419"/>
              <w:jc w:val="center"/>
              <w:rPr>
                <w:sz w:val="16"/>
              </w:rPr>
            </w:pPr>
            <w:r>
              <w:rPr>
                <w:sz w:val="16"/>
              </w:rPr>
              <w:t>世界青光眼日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3"/>
              <w:jc w:val="center"/>
              <w:rPr>
                <w:sz w:val="16"/>
              </w:rPr>
            </w:pPr>
            <w:r>
              <w:rPr>
                <w:sz w:val="16"/>
              </w:rPr>
              <w:t>中国预防出生缺陷日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全国爱眼日</w:t>
            </w:r>
          </w:p>
        </w:tc>
        <w:tc>
          <w:tcPr>
            <w:tcW w:w="327" w:type="dxa"/>
            <w:vMerge/>
            <w:tcBorders>
              <w:top w:val="nil"/>
              <w:left w:val="single" w:sz="4" w:space="0" w:color="000000"/>
              <w:bottom w:val="nil"/>
              <w:right w:val="nil"/>
            </w:tcBorders>
          </w:tcPr>
          <w:p>
            <w:pPr>
              <w:rPr>
                <w:sz w:val="2"/>
                <w:szCs w:val="2"/>
              </w:rPr>
            </w:pPr>
          </w:p>
        </w:tc>
      </w:tr>
      <w:tr>
        <w:trPr>
          <w:trHeight w:val="313"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7"/>
              <w:ind w:left="419" w:right="419"/>
              <w:jc w:val="center"/>
              <w:rPr>
                <w:sz w:val="16"/>
              </w:rPr>
            </w:pPr>
            <w:r>
              <w:rPr>
                <w:sz w:val="16"/>
              </w:rPr>
              <w:t>世界肾脏日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7"/>
              <w:ind w:left="641" w:right="642"/>
              <w:jc w:val="center"/>
              <w:rPr>
                <w:sz w:val="16"/>
              </w:rPr>
            </w:pPr>
            <w:r>
              <w:rPr>
                <w:sz w:val="16"/>
              </w:rPr>
              <w:t>世界淋巴瘤宣传日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7"/>
              <w:ind w:left="620" w:right="620"/>
              <w:jc w:val="center"/>
              <w:rPr>
                <w:sz w:val="16"/>
              </w:rPr>
            </w:pPr>
            <w:r>
              <w:rPr>
                <w:sz w:val="16"/>
              </w:rPr>
              <w:t>国际白化病宣传日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全国爱肝日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3"/>
              <w:jc w:val="center"/>
              <w:rPr>
                <w:sz w:val="16"/>
              </w:rPr>
            </w:pPr>
            <w:r>
              <w:rPr>
                <w:sz w:val="16"/>
              </w:rPr>
              <w:t>中国脑健康日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重症肌无力关爱日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8" w:right="419"/>
              <w:jc w:val="center"/>
              <w:rPr>
                <w:sz w:val="16"/>
              </w:rPr>
            </w:pPr>
            <w:r>
              <w:rPr>
                <w:sz w:val="16"/>
              </w:rPr>
              <w:t>中国血小板日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全国爱牙日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2"/>
              <w:jc w:val="center"/>
              <w:rPr>
                <w:sz w:val="16"/>
              </w:rPr>
            </w:pPr>
            <w:r>
              <w:rPr>
                <w:sz w:val="16"/>
              </w:rPr>
              <w:t>世界渐冻人日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世界睡眠日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3"/>
              <w:jc w:val="center"/>
              <w:rPr>
                <w:sz w:val="16"/>
              </w:rPr>
            </w:pPr>
            <w:r>
              <w:rPr>
                <w:sz w:val="16"/>
              </w:rPr>
              <w:t>世界阿尔茨海默病日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国际癫痫关爱日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世界防治结核病日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国际聋人节</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国际肉瘤宣传日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世界双相障碍日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世界避孕日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2"/>
              <w:jc w:val="center"/>
              <w:rPr>
                <w:sz w:val="16"/>
              </w:rPr>
            </w:pPr>
            <w:r>
              <w:rPr>
                <w:sz w:val="16"/>
              </w:rPr>
              <w:t>国际卡尔曼氏综合征宣传日</w:t>
            </w:r>
          </w:p>
        </w:tc>
        <w:tc>
          <w:tcPr>
            <w:tcW w:w="327" w:type="dxa"/>
            <w:vMerge/>
            <w:tcBorders>
              <w:top w:val="nil"/>
              <w:left w:val="single" w:sz="4" w:space="0" w:color="000000"/>
              <w:bottom w:val="nil"/>
              <w:right w:val="nil"/>
            </w:tcBorders>
          </w:tcPr>
          <w:p>
            <w:pPr>
              <w:rPr>
                <w:sz w:val="2"/>
                <w:szCs w:val="2"/>
              </w:rPr>
            </w:pPr>
          </w:p>
        </w:tc>
      </w:tr>
      <w:tr>
        <w:trPr>
          <w:trHeight w:val="314"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7"/>
              <w:ind w:left="418" w:right="419"/>
              <w:jc w:val="center"/>
              <w:rPr>
                <w:sz w:val="16"/>
              </w:rPr>
            </w:pPr>
            <w:r>
              <w:rPr>
                <w:sz w:val="16"/>
              </w:rPr>
              <w:t>世界自闭症日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7"/>
              <w:ind w:left="641" w:right="642"/>
              <w:jc w:val="center"/>
              <w:rPr>
                <w:sz w:val="16"/>
              </w:rPr>
            </w:pPr>
            <w:r>
              <w:rPr>
                <w:sz w:val="16"/>
              </w:rPr>
              <w:t>世界心脏日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7"/>
              <w:ind w:left="620" w:right="620"/>
              <w:jc w:val="center"/>
              <w:rPr>
                <w:sz w:val="16"/>
              </w:rPr>
            </w:pPr>
            <w:r>
              <w:rPr>
                <w:sz w:val="16"/>
              </w:rPr>
              <w:t>世界更年期关怀日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世界帕金森病日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乳腺癌防治宣传月</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世界骨质疏松日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8" w:right="419"/>
              <w:jc w:val="center"/>
              <w:rPr>
                <w:sz w:val="16"/>
              </w:rPr>
            </w:pPr>
            <w:r>
              <w:rPr>
                <w:sz w:val="16"/>
              </w:rPr>
              <w:t>全国肿瘤防治宣传周</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世界精神卫生日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世界传统医药日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8" w:right="419"/>
              <w:jc w:val="center"/>
              <w:rPr>
                <w:sz w:val="16"/>
              </w:rPr>
            </w:pPr>
            <w:r>
              <w:rPr>
                <w:sz w:val="16"/>
              </w:rPr>
              <w:t>国际庞贝病日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世界镇痛日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世界脊髓灰质炎日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8" w:right="419"/>
              <w:jc w:val="center"/>
              <w:rPr>
                <w:sz w:val="16"/>
              </w:rPr>
            </w:pPr>
            <w:r>
              <w:rPr>
                <w:sz w:val="16"/>
              </w:rPr>
              <w:t>世界血友病日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世界肥胖日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世界男性健康日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全国爱鼻日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3"/>
              <w:jc w:val="center"/>
              <w:rPr>
                <w:sz w:val="16"/>
              </w:rPr>
            </w:pPr>
            <w:r>
              <w:rPr>
                <w:sz w:val="16"/>
              </w:rPr>
              <w:t>世界关节炎日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世界卒中日</w:t>
            </w:r>
          </w:p>
        </w:tc>
        <w:tc>
          <w:tcPr>
            <w:tcW w:w="327" w:type="dxa"/>
            <w:vMerge/>
            <w:tcBorders>
              <w:top w:val="nil"/>
              <w:left w:val="single" w:sz="4" w:space="0" w:color="000000"/>
              <w:bottom w:val="nil"/>
              <w:right w:val="nil"/>
            </w:tcBorders>
          </w:tcPr>
          <w:p>
            <w:pPr>
              <w:rPr>
                <w:sz w:val="2"/>
                <w:szCs w:val="2"/>
              </w:rPr>
            </w:pPr>
          </w:p>
        </w:tc>
      </w:tr>
      <w:tr>
        <w:trPr>
          <w:trHeight w:val="314"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7"/>
              <w:ind w:left="419" w:right="419"/>
              <w:jc w:val="center"/>
              <w:rPr>
                <w:sz w:val="16"/>
              </w:rPr>
            </w:pPr>
            <w:r>
              <w:rPr>
                <w:sz w:val="16"/>
              </w:rPr>
              <w:t>全国儿童预防接种宣传日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7"/>
              <w:ind w:left="641" w:right="642"/>
              <w:jc w:val="center"/>
              <w:rPr>
                <w:sz w:val="16"/>
              </w:rPr>
            </w:pPr>
            <w:r>
              <w:rPr>
                <w:sz w:val="16"/>
              </w:rPr>
              <w:t>世界血栓日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7"/>
              <w:ind w:left="620" w:right="620"/>
              <w:jc w:val="center"/>
              <w:rPr>
                <w:sz w:val="16"/>
              </w:rPr>
            </w:pPr>
            <w:r>
              <w:rPr>
                <w:sz w:val="16"/>
              </w:rPr>
              <w:t>世界提高抗生素认识周</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世界哮喘日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国际盲人节</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世界肺炎日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全国防灾减灾日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世界脊椎日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0"/>
              <w:jc w:val="center"/>
              <w:rPr>
                <w:sz w:val="16"/>
              </w:rPr>
            </w:pPr>
            <w:r>
              <w:rPr>
                <w:sz w:val="16"/>
              </w:rPr>
              <w:t>国际肺癌日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8" w:right="419"/>
              <w:jc w:val="center"/>
              <w:rPr>
                <w:sz w:val="16"/>
              </w:rPr>
            </w:pPr>
            <w:r>
              <w:rPr>
                <w:sz w:val="16"/>
              </w:rPr>
              <w:t>全国防治碘缺乏病日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世界炎症性肠病日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2"/>
              <w:jc w:val="center"/>
              <w:rPr>
                <w:sz w:val="16"/>
              </w:rPr>
            </w:pPr>
            <w:r>
              <w:rPr>
                <w:sz w:val="16"/>
              </w:rPr>
              <w:t>世界慢阻肺日</w:t>
            </w:r>
          </w:p>
        </w:tc>
        <w:tc>
          <w:tcPr>
            <w:tcW w:w="327" w:type="dxa"/>
            <w:vMerge/>
            <w:tcBorders>
              <w:top w:val="nil"/>
              <w:left w:val="single" w:sz="4" w:space="0" w:color="000000"/>
              <w:bottom w:val="nil"/>
              <w:right w:val="nil"/>
            </w:tcBorders>
          </w:tcPr>
          <w:p>
            <w:pPr>
              <w:rPr>
                <w:sz w:val="2"/>
                <w:szCs w:val="2"/>
              </w:rPr>
            </w:pPr>
          </w:p>
        </w:tc>
      </w:tr>
      <w:tr>
        <w:trPr>
          <w:trHeight w:val="312"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5"/>
              <w:ind w:left="419" w:right="419"/>
              <w:jc w:val="center"/>
              <w:rPr>
                <w:sz w:val="16"/>
              </w:rPr>
            </w:pPr>
            <w:r>
              <w:rPr>
                <w:sz w:val="16"/>
              </w:rPr>
              <w:t>血管健康日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5"/>
              <w:ind w:left="641" w:right="643"/>
              <w:jc w:val="center"/>
              <w:rPr>
                <w:sz w:val="16"/>
              </w:rPr>
            </w:pPr>
            <w:r>
              <w:rPr>
                <w:sz w:val="16"/>
              </w:rPr>
              <w:t>全国母乳喂养宣传日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5"/>
              <w:ind w:left="620" w:right="620"/>
              <w:jc w:val="center"/>
              <w:rPr>
                <w:sz w:val="16"/>
              </w:rPr>
            </w:pPr>
            <w:r>
              <w:rPr>
                <w:sz w:val="16"/>
              </w:rPr>
              <w:t>中国 11.20 心梗救治日</w:t>
            </w:r>
          </w:p>
        </w:tc>
        <w:tc>
          <w:tcPr>
            <w:tcW w:w="327" w:type="dxa"/>
            <w:vMerge/>
            <w:tcBorders>
              <w:top w:val="nil"/>
              <w:left w:val="single" w:sz="4" w:space="0" w:color="000000"/>
              <w:bottom w:val="nil"/>
              <w:right w:val="nil"/>
            </w:tcBorders>
          </w:tcPr>
          <w:p>
            <w:pPr>
              <w:rPr>
                <w:sz w:val="2"/>
                <w:szCs w:val="2"/>
              </w:rPr>
            </w:pPr>
          </w:p>
        </w:tc>
      </w:tr>
      <w:tr>
        <w:trPr>
          <w:trHeight w:val="311"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4"/>
              <w:ind w:left="419" w:right="419"/>
              <w:jc w:val="center"/>
              <w:rPr>
                <w:sz w:val="16"/>
              </w:rPr>
            </w:pPr>
            <w:r>
              <w:rPr>
                <w:sz w:val="16"/>
              </w:rPr>
              <w:t>世界过敏性疾病日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4"/>
              <w:ind w:left="641" w:right="642"/>
              <w:jc w:val="center"/>
              <w:rPr>
                <w:sz w:val="16"/>
              </w:rPr>
            </w:pPr>
            <w:r>
              <w:rPr>
                <w:sz w:val="16"/>
              </w:rPr>
              <w:t>肾脏关爱日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4"/>
              <w:ind w:left="620" w:right="622"/>
              <w:jc w:val="center"/>
              <w:rPr>
                <w:sz w:val="16"/>
              </w:rPr>
            </w:pPr>
            <w:r>
              <w:rPr>
                <w:sz w:val="16"/>
              </w:rPr>
              <w:t>世界艾滋病日</w:t>
            </w:r>
          </w:p>
        </w:tc>
        <w:tc>
          <w:tcPr>
            <w:tcW w:w="327" w:type="dxa"/>
            <w:vMerge/>
            <w:tcBorders>
              <w:top w:val="nil"/>
              <w:left w:val="single" w:sz="4" w:space="0" w:color="000000"/>
              <w:bottom w:val="nil"/>
              <w:right w:val="nil"/>
            </w:tcBorders>
          </w:tcPr>
          <w:p>
            <w:pPr>
              <w:rPr>
                <w:sz w:val="2"/>
                <w:szCs w:val="2"/>
              </w:rPr>
            </w:pPr>
          </w:p>
        </w:tc>
      </w:tr>
      <w:tr>
        <w:trPr>
          <w:trHeight w:val="313" w:hRule="atLeast"/>
        </w:trPr>
        <w:tc>
          <w:tcPr>
            <w:tcW w:w="596" w:type="dxa"/>
            <w:vMerge/>
            <w:tcBorders>
              <w:top w:val="nil"/>
              <w:left w:val="nil"/>
              <w:bottom w:val="nil"/>
              <w:right w:val="single" w:sz="4" w:space="0" w:color="000000"/>
            </w:tcBorders>
          </w:tcPr>
          <w:p>
            <w:pPr>
              <w:rPr>
                <w:sz w:val="2"/>
                <w:szCs w:val="2"/>
              </w:rPr>
            </w:pPr>
          </w:p>
        </w:tc>
        <w:tc>
          <w:tcPr>
            <w:tcW w:w="2648" w:type="dxa"/>
            <w:tcBorders>
              <w:top w:val="single" w:sz="4" w:space="0" w:color="000000"/>
              <w:left w:val="single" w:sz="4" w:space="0" w:color="000000"/>
              <w:bottom w:val="single" w:sz="4" w:space="0" w:color="000000"/>
              <w:right w:val="single" w:sz="4" w:space="0" w:color="000000"/>
            </w:tcBorders>
          </w:tcPr>
          <w:p>
            <w:pPr>
              <w:pStyle w:val="TableParagraph"/>
              <w:spacing w:before="47"/>
              <w:ind w:left="419" w:right="419"/>
              <w:jc w:val="center"/>
              <w:rPr>
                <w:sz w:val="16"/>
              </w:rPr>
            </w:pPr>
            <w:r>
              <w:rPr>
                <w:sz w:val="16"/>
              </w:rPr>
              <w:t>世界头颈肿瘤日</w:t>
            </w:r>
          </w:p>
        </w:tc>
        <w:tc>
          <w:tcPr>
            <w:tcW w:w="2775" w:type="dxa"/>
            <w:tcBorders>
              <w:top w:val="single" w:sz="4" w:space="0" w:color="000000"/>
              <w:left w:val="single" w:sz="4" w:space="0" w:color="000000"/>
              <w:bottom w:val="single" w:sz="4" w:space="0" w:color="000000"/>
              <w:right w:val="single" w:sz="4" w:space="0" w:color="000000"/>
            </w:tcBorders>
          </w:tcPr>
          <w:p>
            <w:pPr>
              <w:pStyle w:val="TableParagraph"/>
              <w:spacing w:before="47"/>
              <w:ind w:left="641" w:right="642"/>
              <w:jc w:val="center"/>
              <w:rPr>
                <w:sz w:val="16"/>
              </w:rPr>
            </w:pPr>
            <w:r>
              <w:rPr>
                <w:sz w:val="16"/>
              </w:rPr>
              <w:t>世界预防中风日</w:t>
            </w:r>
          </w:p>
        </w:tc>
        <w:tc>
          <w:tcPr>
            <w:tcW w:w="3212" w:type="dxa"/>
            <w:tcBorders>
              <w:top w:val="single" w:sz="4" w:space="0" w:color="000000"/>
              <w:left w:val="single" w:sz="4" w:space="0" w:color="000000"/>
              <w:bottom w:val="single" w:sz="4" w:space="0" w:color="000000"/>
              <w:right w:val="single" w:sz="4" w:space="0" w:color="000000"/>
            </w:tcBorders>
          </w:tcPr>
          <w:p>
            <w:pPr>
              <w:pStyle w:val="TableParagraph"/>
              <w:spacing w:before="47"/>
              <w:ind w:left="620" w:right="620"/>
              <w:jc w:val="center"/>
              <w:rPr>
                <w:sz w:val="16"/>
              </w:rPr>
            </w:pPr>
            <w:r>
              <w:rPr>
                <w:sz w:val="16"/>
              </w:rPr>
              <w:t>世界强化免疫日</w:t>
            </w:r>
          </w:p>
        </w:tc>
        <w:tc>
          <w:tcPr>
            <w:tcW w:w="327" w:type="dxa"/>
            <w:vMerge/>
            <w:tcBorders>
              <w:top w:val="nil"/>
              <w:left w:val="single" w:sz="4" w:space="0" w:color="000000"/>
              <w:bottom w:val="nil"/>
              <w:right w:val="nil"/>
            </w:tcBorders>
          </w:tcPr>
          <w:p>
            <w:pPr>
              <w:rPr>
                <w:sz w:val="2"/>
                <w:szCs w:val="2"/>
              </w:rPr>
            </w:pPr>
          </w:p>
        </w:tc>
      </w:tr>
    </w:tbl>
    <w:p>
      <w:pPr>
        <w:pStyle w:val="BodyText"/>
        <w:spacing w:before="53" w:after="7"/>
        <w:ind w:left="717"/>
      </w:pPr>
      <w:r>
        <w:rPr/>
        <w:t>附件 5-2</w:t>
      </w: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6"/>
        <w:gridCol w:w="2127"/>
        <w:gridCol w:w="1275"/>
        <w:gridCol w:w="3579"/>
      </w:tblGrid>
      <w:tr>
        <w:trPr>
          <w:trHeight w:val="311" w:hRule="atLeast"/>
        </w:trPr>
        <w:tc>
          <w:tcPr>
            <w:tcW w:w="8507" w:type="dxa"/>
            <w:gridSpan w:val="4"/>
          </w:tcPr>
          <w:p>
            <w:pPr>
              <w:pStyle w:val="TableParagraph"/>
              <w:spacing w:before="53"/>
              <w:ind w:left="3833" w:right="3824"/>
              <w:jc w:val="center"/>
              <w:rPr>
                <w:sz w:val="16"/>
              </w:rPr>
            </w:pPr>
            <w:r>
              <w:rPr>
                <w:sz w:val="16"/>
              </w:rPr>
              <w:t>作品信息表</w:t>
            </w:r>
          </w:p>
        </w:tc>
      </w:tr>
      <w:tr>
        <w:trPr>
          <w:trHeight w:val="311" w:hRule="atLeast"/>
        </w:trPr>
        <w:tc>
          <w:tcPr>
            <w:tcW w:w="1526" w:type="dxa"/>
          </w:tcPr>
          <w:p>
            <w:pPr>
              <w:pStyle w:val="TableParagraph"/>
              <w:spacing w:before="53"/>
              <w:ind w:left="422" w:right="413"/>
              <w:jc w:val="center"/>
              <w:rPr>
                <w:sz w:val="16"/>
              </w:rPr>
            </w:pPr>
            <w:r>
              <w:rPr>
                <w:sz w:val="16"/>
              </w:rPr>
              <w:t>作品名称</w:t>
            </w:r>
          </w:p>
        </w:tc>
        <w:tc>
          <w:tcPr>
            <w:tcW w:w="6981" w:type="dxa"/>
            <w:gridSpan w:val="3"/>
          </w:tcPr>
          <w:p>
            <w:pPr>
              <w:pStyle w:val="TableParagraph"/>
              <w:rPr>
                <w:rFonts w:ascii="Times New Roman"/>
                <w:sz w:val="16"/>
              </w:rPr>
            </w:pPr>
          </w:p>
        </w:tc>
      </w:tr>
      <w:tr>
        <w:trPr>
          <w:trHeight w:val="313" w:hRule="atLeast"/>
        </w:trPr>
        <w:tc>
          <w:tcPr>
            <w:tcW w:w="1526" w:type="dxa"/>
          </w:tcPr>
          <w:p>
            <w:pPr>
              <w:pStyle w:val="TableParagraph"/>
              <w:spacing w:before="55"/>
              <w:ind w:left="422" w:right="413"/>
              <w:jc w:val="center"/>
              <w:rPr>
                <w:sz w:val="16"/>
              </w:rPr>
            </w:pPr>
            <w:r>
              <w:rPr>
                <w:sz w:val="16"/>
              </w:rPr>
              <w:t>作品类别</w:t>
            </w:r>
          </w:p>
        </w:tc>
        <w:tc>
          <w:tcPr>
            <w:tcW w:w="6981" w:type="dxa"/>
            <w:gridSpan w:val="3"/>
          </w:tcPr>
          <w:p>
            <w:pPr>
              <w:pStyle w:val="TableParagraph"/>
              <w:spacing w:before="55"/>
              <w:ind w:left="2548" w:right="2543"/>
              <w:jc w:val="center"/>
              <w:rPr>
                <w:sz w:val="16"/>
              </w:rPr>
            </w:pPr>
            <w:r>
              <w:rPr>
                <w:sz w:val="16"/>
              </w:rPr>
              <w:t>注：视频/音频/图片/文字</w:t>
            </w:r>
          </w:p>
        </w:tc>
      </w:tr>
      <w:tr>
        <w:trPr>
          <w:trHeight w:val="318" w:hRule="atLeast"/>
        </w:trPr>
        <w:tc>
          <w:tcPr>
            <w:tcW w:w="1526" w:type="dxa"/>
          </w:tcPr>
          <w:p>
            <w:pPr>
              <w:pStyle w:val="TableParagraph"/>
              <w:spacing w:before="56"/>
              <w:ind w:left="422" w:right="413"/>
              <w:jc w:val="center"/>
              <w:rPr>
                <w:sz w:val="16"/>
              </w:rPr>
            </w:pPr>
            <w:r>
              <w:rPr>
                <w:sz w:val="16"/>
              </w:rPr>
              <w:t>姓名</w:t>
            </w:r>
          </w:p>
        </w:tc>
        <w:tc>
          <w:tcPr>
            <w:tcW w:w="2127" w:type="dxa"/>
          </w:tcPr>
          <w:p>
            <w:pPr>
              <w:pStyle w:val="TableParagraph"/>
              <w:spacing w:line="202" w:lineRule="exact" w:before="96"/>
              <w:ind w:left="105"/>
              <w:rPr>
                <w:sz w:val="16"/>
              </w:rPr>
            </w:pPr>
            <w:r>
              <w:rPr>
                <w:sz w:val="16"/>
              </w:rPr>
              <w:t>注：获奖评定仅限第一作者</w:t>
            </w:r>
          </w:p>
        </w:tc>
        <w:tc>
          <w:tcPr>
            <w:tcW w:w="1275" w:type="dxa"/>
          </w:tcPr>
          <w:p>
            <w:pPr>
              <w:pStyle w:val="TableParagraph"/>
              <w:spacing w:before="56"/>
              <w:ind w:left="456" w:right="449"/>
              <w:jc w:val="center"/>
              <w:rPr>
                <w:sz w:val="16"/>
              </w:rPr>
            </w:pPr>
            <w:r>
              <w:rPr>
                <w:sz w:val="16"/>
              </w:rPr>
              <w:t>性别</w:t>
            </w:r>
          </w:p>
        </w:tc>
        <w:tc>
          <w:tcPr>
            <w:tcW w:w="3579" w:type="dxa"/>
          </w:tcPr>
          <w:p>
            <w:pPr>
              <w:pStyle w:val="TableParagraph"/>
              <w:rPr>
                <w:rFonts w:ascii="Times New Roman"/>
                <w:sz w:val="16"/>
              </w:rPr>
            </w:pPr>
          </w:p>
        </w:tc>
      </w:tr>
      <w:tr>
        <w:trPr>
          <w:trHeight w:val="311" w:hRule="atLeast"/>
        </w:trPr>
        <w:tc>
          <w:tcPr>
            <w:tcW w:w="1526" w:type="dxa"/>
          </w:tcPr>
          <w:p>
            <w:pPr>
              <w:pStyle w:val="TableParagraph"/>
              <w:spacing w:before="53"/>
              <w:ind w:left="422" w:right="413"/>
              <w:jc w:val="center"/>
              <w:rPr>
                <w:sz w:val="16"/>
              </w:rPr>
            </w:pPr>
            <w:r>
              <w:rPr>
                <w:sz w:val="16"/>
              </w:rPr>
              <w:t>职称</w:t>
            </w:r>
          </w:p>
        </w:tc>
        <w:tc>
          <w:tcPr>
            <w:tcW w:w="2127" w:type="dxa"/>
          </w:tcPr>
          <w:p>
            <w:pPr>
              <w:pStyle w:val="TableParagraph"/>
              <w:rPr>
                <w:rFonts w:ascii="Times New Roman"/>
                <w:sz w:val="16"/>
              </w:rPr>
            </w:pPr>
          </w:p>
        </w:tc>
        <w:tc>
          <w:tcPr>
            <w:tcW w:w="1275" w:type="dxa"/>
          </w:tcPr>
          <w:p>
            <w:pPr>
              <w:pStyle w:val="TableParagraph"/>
              <w:spacing w:before="53"/>
              <w:ind w:left="456" w:right="449"/>
              <w:jc w:val="center"/>
              <w:rPr>
                <w:sz w:val="16"/>
              </w:rPr>
            </w:pPr>
            <w:r>
              <w:rPr>
                <w:sz w:val="16"/>
              </w:rPr>
              <w:t>科室</w:t>
            </w:r>
          </w:p>
        </w:tc>
        <w:tc>
          <w:tcPr>
            <w:tcW w:w="3579" w:type="dxa"/>
          </w:tcPr>
          <w:p>
            <w:pPr>
              <w:pStyle w:val="TableParagraph"/>
              <w:rPr>
                <w:rFonts w:ascii="Times New Roman"/>
                <w:sz w:val="16"/>
              </w:rPr>
            </w:pPr>
          </w:p>
        </w:tc>
      </w:tr>
      <w:tr>
        <w:trPr>
          <w:trHeight w:val="312" w:hRule="atLeast"/>
        </w:trPr>
        <w:tc>
          <w:tcPr>
            <w:tcW w:w="1526" w:type="dxa"/>
          </w:tcPr>
          <w:p>
            <w:pPr>
              <w:pStyle w:val="TableParagraph"/>
              <w:spacing w:before="53"/>
              <w:ind w:left="422" w:right="413"/>
              <w:jc w:val="center"/>
              <w:rPr>
                <w:sz w:val="16"/>
              </w:rPr>
            </w:pPr>
            <w:r>
              <w:rPr>
                <w:sz w:val="16"/>
              </w:rPr>
              <w:t>单位</w:t>
            </w:r>
          </w:p>
        </w:tc>
        <w:tc>
          <w:tcPr>
            <w:tcW w:w="6981" w:type="dxa"/>
            <w:gridSpan w:val="3"/>
          </w:tcPr>
          <w:p>
            <w:pPr>
              <w:pStyle w:val="TableParagraph"/>
              <w:rPr>
                <w:rFonts w:ascii="Times New Roman"/>
                <w:sz w:val="16"/>
              </w:rPr>
            </w:pPr>
          </w:p>
        </w:tc>
      </w:tr>
      <w:tr>
        <w:trPr>
          <w:trHeight w:val="314" w:hRule="atLeast"/>
        </w:trPr>
        <w:tc>
          <w:tcPr>
            <w:tcW w:w="1526" w:type="dxa"/>
          </w:tcPr>
          <w:p>
            <w:pPr>
              <w:pStyle w:val="TableParagraph"/>
              <w:spacing w:before="56"/>
              <w:ind w:left="422" w:right="413"/>
              <w:jc w:val="center"/>
              <w:rPr>
                <w:sz w:val="16"/>
              </w:rPr>
            </w:pPr>
            <w:r>
              <w:rPr>
                <w:sz w:val="16"/>
              </w:rPr>
              <w:t>联系方式</w:t>
            </w:r>
          </w:p>
        </w:tc>
        <w:tc>
          <w:tcPr>
            <w:tcW w:w="2127" w:type="dxa"/>
          </w:tcPr>
          <w:p>
            <w:pPr>
              <w:pStyle w:val="TableParagraph"/>
              <w:rPr>
                <w:rFonts w:ascii="Times New Roman"/>
                <w:sz w:val="16"/>
              </w:rPr>
            </w:pPr>
          </w:p>
        </w:tc>
        <w:tc>
          <w:tcPr>
            <w:tcW w:w="1275" w:type="dxa"/>
          </w:tcPr>
          <w:p>
            <w:pPr>
              <w:pStyle w:val="TableParagraph"/>
              <w:spacing w:before="56"/>
              <w:ind w:left="456" w:right="449"/>
              <w:jc w:val="center"/>
              <w:rPr>
                <w:sz w:val="16"/>
              </w:rPr>
            </w:pPr>
            <w:r>
              <w:rPr>
                <w:sz w:val="16"/>
              </w:rPr>
              <w:t>邮箱</w:t>
            </w:r>
          </w:p>
        </w:tc>
        <w:tc>
          <w:tcPr>
            <w:tcW w:w="3579" w:type="dxa"/>
          </w:tcPr>
          <w:p>
            <w:pPr>
              <w:pStyle w:val="TableParagraph"/>
              <w:rPr>
                <w:rFonts w:ascii="Times New Roman"/>
                <w:sz w:val="16"/>
              </w:rPr>
            </w:pPr>
          </w:p>
        </w:tc>
      </w:tr>
    </w:tbl>
    <w:p>
      <w:pPr>
        <w:tabs>
          <w:tab w:pos="1857" w:val="left" w:leader="none"/>
        </w:tabs>
        <w:spacing w:before="18"/>
        <w:ind w:left="717" w:right="0" w:firstLine="0"/>
        <w:jc w:val="left"/>
        <w:rPr>
          <w:rFonts w:ascii="Meiryo" w:eastAsia="Meiryo" w:hint="eastAsia"/>
          <w:b/>
          <w:sz w:val="24"/>
        </w:rPr>
      </w:pPr>
      <w:r>
        <w:rPr/>
        <w:pict>
          <v:shape style="position:absolute;margin-left:91.944pt;margin-top:18.924522pt;width:426.1pt;height:104.05pt;mso-position-horizontal-relative:page;mso-position-vertical-relative:paragraph;z-index:251672576"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1"/>
                    <w:gridCol w:w="1354"/>
                    <w:gridCol w:w="4193"/>
                    <w:gridCol w:w="1478"/>
                  </w:tblGrid>
                  <w:tr>
                    <w:trPr>
                      <w:trHeight w:val="311" w:hRule="atLeast"/>
                    </w:trPr>
                    <w:tc>
                      <w:tcPr>
                        <w:tcW w:w="8506" w:type="dxa"/>
                        <w:gridSpan w:val="4"/>
                      </w:tcPr>
                      <w:p>
                        <w:pPr>
                          <w:pStyle w:val="TableParagraph"/>
                          <w:spacing w:before="53"/>
                          <w:ind w:left="3833" w:right="3823"/>
                          <w:jc w:val="center"/>
                          <w:rPr>
                            <w:sz w:val="16"/>
                          </w:rPr>
                        </w:pPr>
                        <w:r>
                          <w:rPr>
                            <w:sz w:val="16"/>
                          </w:rPr>
                          <w:t>单位推荐表</w:t>
                        </w:r>
                      </w:p>
                    </w:tc>
                  </w:tr>
                  <w:tr>
                    <w:trPr>
                      <w:trHeight w:val="311" w:hRule="atLeast"/>
                    </w:trPr>
                    <w:tc>
                      <w:tcPr>
                        <w:tcW w:w="1481" w:type="dxa"/>
                      </w:tcPr>
                      <w:p>
                        <w:pPr>
                          <w:pStyle w:val="TableParagraph"/>
                          <w:spacing w:before="53"/>
                          <w:ind w:left="419"/>
                          <w:rPr>
                            <w:sz w:val="16"/>
                          </w:rPr>
                        </w:pPr>
                        <w:r>
                          <w:rPr>
                            <w:sz w:val="16"/>
                          </w:rPr>
                          <w:t>分网名称</w:t>
                        </w:r>
                      </w:p>
                    </w:tc>
                    <w:tc>
                      <w:tcPr>
                        <w:tcW w:w="7025" w:type="dxa"/>
                        <w:gridSpan w:val="3"/>
                      </w:tcPr>
                      <w:p>
                        <w:pPr>
                          <w:pStyle w:val="TableParagraph"/>
                          <w:rPr>
                            <w:rFonts w:ascii="Times New Roman"/>
                            <w:sz w:val="16"/>
                          </w:rPr>
                        </w:pPr>
                      </w:p>
                    </w:tc>
                  </w:tr>
                  <w:tr>
                    <w:trPr>
                      <w:trHeight w:val="313" w:hRule="atLeast"/>
                    </w:trPr>
                    <w:tc>
                      <w:tcPr>
                        <w:tcW w:w="1481" w:type="dxa"/>
                      </w:tcPr>
                      <w:p>
                        <w:pPr>
                          <w:pStyle w:val="TableParagraph"/>
                          <w:spacing w:before="55"/>
                          <w:ind w:left="419"/>
                          <w:rPr>
                            <w:sz w:val="16"/>
                          </w:rPr>
                        </w:pPr>
                        <w:r>
                          <w:rPr>
                            <w:sz w:val="16"/>
                          </w:rPr>
                          <w:t>医院名称</w:t>
                        </w:r>
                      </w:p>
                    </w:tc>
                    <w:tc>
                      <w:tcPr>
                        <w:tcW w:w="1354" w:type="dxa"/>
                      </w:tcPr>
                      <w:p>
                        <w:pPr>
                          <w:pStyle w:val="TableParagraph"/>
                          <w:spacing w:before="55"/>
                          <w:ind w:left="354"/>
                          <w:rPr>
                            <w:sz w:val="16"/>
                          </w:rPr>
                        </w:pPr>
                        <w:r>
                          <w:rPr>
                            <w:sz w:val="16"/>
                          </w:rPr>
                          <w:t>作品名称</w:t>
                        </w:r>
                      </w:p>
                    </w:tc>
                    <w:tc>
                      <w:tcPr>
                        <w:tcW w:w="4193" w:type="dxa"/>
                        <w:tcBorders>
                          <w:right w:val="single" w:sz="6" w:space="0" w:color="000000"/>
                        </w:tcBorders>
                      </w:tcPr>
                      <w:p>
                        <w:pPr>
                          <w:pStyle w:val="TableParagraph"/>
                          <w:spacing w:before="55"/>
                          <w:ind w:left="854"/>
                          <w:rPr>
                            <w:sz w:val="16"/>
                          </w:rPr>
                        </w:pPr>
                        <w:r>
                          <w:rPr>
                            <w:sz w:val="16"/>
                          </w:rPr>
                          <w:t>作品类别（视频/音频/图片/文字）</w:t>
                        </w:r>
                      </w:p>
                    </w:tc>
                    <w:tc>
                      <w:tcPr>
                        <w:tcW w:w="1478" w:type="dxa"/>
                        <w:tcBorders>
                          <w:left w:val="single" w:sz="6" w:space="0" w:color="000000"/>
                        </w:tcBorders>
                      </w:tcPr>
                      <w:p>
                        <w:pPr>
                          <w:pStyle w:val="TableParagraph"/>
                          <w:spacing w:before="55"/>
                          <w:ind w:left="556" w:right="548"/>
                          <w:jc w:val="center"/>
                          <w:rPr>
                            <w:sz w:val="16"/>
                          </w:rPr>
                        </w:pPr>
                        <w:r>
                          <w:rPr>
                            <w:sz w:val="16"/>
                          </w:rPr>
                          <w:t>作者</w:t>
                        </w:r>
                      </w:p>
                    </w:tc>
                  </w:tr>
                  <w:tr>
                    <w:trPr>
                      <w:trHeight w:val="266" w:hRule="atLeast"/>
                    </w:trPr>
                    <w:tc>
                      <w:tcPr>
                        <w:tcW w:w="1481" w:type="dxa"/>
                      </w:tcPr>
                      <w:p>
                        <w:pPr>
                          <w:pStyle w:val="TableParagraph"/>
                          <w:rPr>
                            <w:rFonts w:ascii="Times New Roman"/>
                            <w:sz w:val="16"/>
                          </w:rPr>
                        </w:pPr>
                      </w:p>
                    </w:tc>
                    <w:tc>
                      <w:tcPr>
                        <w:tcW w:w="1354" w:type="dxa"/>
                      </w:tcPr>
                      <w:p>
                        <w:pPr>
                          <w:pStyle w:val="TableParagraph"/>
                          <w:rPr>
                            <w:rFonts w:ascii="Times New Roman"/>
                            <w:sz w:val="16"/>
                          </w:rPr>
                        </w:pPr>
                      </w:p>
                    </w:tc>
                    <w:tc>
                      <w:tcPr>
                        <w:tcW w:w="4193" w:type="dxa"/>
                        <w:tcBorders>
                          <w:right w:val="single" w:sz="6" w:space="0" w:color="000000"/>
                        </w:tcBorders>
                      </w:tcPr>
                      <w:p>
                        <w:pPr>
                          <w:pStyle w:val="TableParagraph"/>
                          <w:rPr>
                            <w:rFonts w:ascii="Times New Roman"/>
                            <w:sz w:val="16"/>
                          </w:rPr>
                        </w:pPr>
                      </w:p>
                    </w:tc>
                    <w:tc>
                      <w:tcPr>
                        <w:tcW w:w="1478" w:type="dxa"/>
                        <w:tcBorders>
                          <w:left w:val="single" w:sz="6" w:space="0" w:color="000000"/>
                        </w:tcBorders>
                      </w:tcPr>
                      <w:p>
                        <w:pPr>
                          <w:pStyle w:val="TableParagraph"/>
                          <w:rPr>
                            <w:rFonts w:ascii="Times New Roman"/>
                            <w:sz w:val="16"/>
                          </w:rPr>
                        </w:pPr>
                      </w:p>
                    </w:tc>
                  </w:tr>
                  <w:tr>
                    <w:trPr>
                      <w:trHeight w:val="266" w:hRule="atLeast"/>
                    </w:trPr>
                    <w:tc>
                      <w:tcPr>
                        <w:tcW w:w="1481" w:type="dxa"/>
                      </w:tcPr>
                      <w:p>
                        <w:pPr>
                          <w:pStyle w:val="TableParagraph"/>
                          <w:rPr>
                            <w:rFonts w:ascii="Times New Roman"/>
                            <w:sz w:val="16"/>
                          </w:rPr>
                        </w:pPr>
                      </w:p>
                    </w:tc>
                    <w:tc>
                      <w:tcPr>
                        <w:tcW w:w="1354" w:type="dxa"/>
                      </w:tcPr>
                      <w:p>
                        <w:pPr>
                          <w:pStyle w:val="TableParagraph"/>
                          <w:rPr>
                            <w:rFonts w:ascii="Times New Roman"/>
                            <w:sz w:val="16"/>
                          </w:rPr>
                        </w:pPr>
                      </w:p>
                    </w:tc>
                    <w:tc>
                      <w:tcPr>
                        <w:tcW w:w="4193" w:type="dxa"/>
                        <w:tcBorders>
                          <w:right w:val="single" w:sz="6" w:space="0" w:color="000000"/>
                        </w:tcBorders>
                      </w:tcPr>
                      <w:p>
                        <w:pPr>
                          <w:pStyle w:val="TableParagraph"/>
                          <w:rPr>
                            <w:rFonts w:ascii="Times New Roman"/>
                            <w:sz w:val="16"/>
                          </w:rPr>
                        </w:pPr>
                      </w:p>
                    </w:tc>
                    <w:tc>
                      <w:tcPr>
                        <w:tcW w:w="1478" w:type="dxa"/>
                        <w:tcBorders>
                          <w:left w:val="single" w:sz="6" w:space="0" w:color="000000"/>
                        </w:tcBorders>
                      </w:tcPr>
                      <w:p>
                        <w:pPr>
                          <w:pStyle w:val="TableParagraph"/>
                          <w:rPr>
                            <w:rFonts w:ascii="Times New Roman"/>
                            <w:sz w:val="16"/>
                          </w:rPr>
                        </w:pPr>
                      </w:p>
                    </w:tc>
                  </w:tr>
                  <w:tr>
                    <w:trPr>
                      <w:trHeight w:val="265" w:hRule="atLeast"/>
                    </w:trPr>
                    <w:tc>
                      <w:tcPr>
                        <w:tcW w:w="1481" w:type="dxa"/>
                      </w:tcPr>
                      <w:p>
                        <w:pPr>
                          <w:pStyle w:val="TableParagraph"/>
                          <w:rPr>
                            <w:rFonts w:ascii="Times New Roman"/>
                            <w:sz w:val="16"/>
                          </w:rPr>
                        </w:pPr>
                      </w:p>
                    </w:tc>
                    <w:tc>
                      <w:tcPr>
                        <w:tcW w:w="1354" w:type="dxa"/>
                      </w:tcPr>
                      <w:p>
                        <w:pPr>
                          <w:pStyle w:val="TableParagraph"/>
                          <w:rPr>
                            <w:rFonts w:ascii="Times New Roman"/>
                            <w:sz w:val="16"/>
                          </w:rPr>
                        </w:pPr>
                      </w:p>
                    </w:tc>
                    <w:tc>
                      <w:tcPr>
                        <w:tcW w:w="4193" w:type="dxa"/>
                        <w:tcBorders>
                          <w:right w:val="single" w:sz="6" w:space="0" w:color="000000"/>
                        </w:tcBorders>
                      </w:tcPr>
                      <w:p>
                        <w:pPr>
                          <w:pStyle w:val="TableParagraph"/>
                          <w:rPr>
                            <w:rFonts w:ascii="Times New Roman"/>
                            <w:sz w:val="16"/>
                          </w:rPr>
                        </w:pPr>
                      </w:p>
                    </w:tc>
                    <w:tc>
                      <w:tcPr>
                        <w:tcW w:w="1478" w:type="dxa"/>
                        <w:tcBorders>
                          <w:left w:val="single" w:sz="6" w:space="0" w:color="000000"/>
                        </w:tcBorders>
                      </w:tcPr>
                      <w:p>
                        <w:pPr>
                          <w:pStyle w:val="TableParagraph"/>
                          <w:rPr>
                            <w:rFonts w:ascii="Times New Roman"/>
                            <w:sz w:val="16"/>
                          </w:rPr>
                        </w:pPr>
                      </w:p>
                    </w:tc>
                  </w:tr>
                  <w:tr>
                    <w:trPr>
                      <w:trHeight w:val="266" w:hRule="atLeast"/>
                    </w:trPr>
                    <w:tc>
                      <w:tcPr>
                        <w:tcW w:w="1481" w:type="dxa"/>
                      </w:tcPr>
                      <w:p>
                        <w:pPr>
                          <w:pStyle w:val="TableParagraph"/>
                          <w:rPr>
                            <w:rFonts w:ascii="Times New Roman"/>
                            <w:sz w:val="16"/>
                          </w:rPr>
                        </w:pPr>
                      </w:p>
                    </w:tc>
                    <w:tc>
                      <w:tcPr>
                        <w:tcW w:w="1354" w:type="dxa"/>
                      </w:tcPr>
                      <w:p>
                        <w:pPr>
                          <w:pStyle w:val="TableParagraph"/>
                          <w:rPr>
                            <w:rFonts w:ascii="Times New Roman"/>
                            <w:sz w:val="16"/>
                          </w:rPr>
                        </w:pPr>
                      </w:p>
                    </w:tc>
                    <w:tc>
                      <w:tcPr>
                        <w:tcW w:w="4193" w:type="dxa"/>
                        <w:tcBorders>
                          <w:right w:val="single" w:sz="6" w:space="0" w:color="000000"/>
                        </w:tcBorders>
                      </w:tcPr>
                      <w:p>
                        <w:pPr>
                          <w:pStyle w:val="TableParagraph"/>
                          <w:rPr>
                            <w:rFonts w:ascii="Times New Roman"/>
                            <w:sz w:val="16"/>
                          </w:rPr>
                        </w:pPr>
                      </w:p>
                    </w:tc>
                    <w:tc>
                      <w:tcPr>
                        <w:tcW w:w="1478" w:type="dxa"/>
                        <w:tcBorders>
                          <w:left w:val="single" w:sz="6" w:space="0" w:color="000000"/>
                        </w:tcBorders>
                      </w:tcPr>
                      <w:p>
                        <w:pPr>
                          <w:pStyle w:val="TableParagraph"/>
                          <w:rPr>
                            <w:rFonts w:ascii="Times New Roman"/>
                            <w:sz w:val="16"/>
                          </w:rPr>
                        </w:pPr>
                      </w:p>
                    </w:tc>
                  </w:tr>
                </w:tbl>
                <w:p>
                  <w:pPr>
                    <w:pStyle w:val="BodyText"/>
                    <w:ind w:left="0"/>
                  </w:pPr>
                </w:p>
              </w:txbxContent>
            </v:textbox>
            <w10:wrap type="none"/>
          </v:shape>
        </w:pict>
      </w:r>
      <w:r>
        <w:rPr>
          <w:sz w:val="24"/>
        </w:rPr>
        <w:t>附件</w:t>
      </w:r>
      <w:r>
        <w:rPr>
          <w:spacing w:val="-61"/>
          <w:sz w:val="24"/>
        </w:rPr>
        <w:t> </w:t>
      </w:r>
      <w:r>
        <w:rPr>
          <w:sz w:val="24"/>
        </w:rPr>
        <w:t>5-3</w:t>
        <w:tab/>
      </w:r>
      <w:r>
        <w:rPr>
          <w:rFonts w:ascii="Meiryo" w:eastAsia="Meiryo" w:hint="eastAsia"/>
          <w:b/>
          <w:color w:val="0033CC"/>
          <w:sz w:val="24"/>
        </w:rPr>
        <w:t>[返回目次]</w:t>
      </w:r>
    </w:p>
    <w:p>
      <w:pPr>
        <w:pStyle w:val="BodyText"/>
        <w:ind w:left="0"/>
        <w:rPr>
          <w:rFonts w:ascii="Meiryo"/>
          <w:b/>
        </w:rPr>
      </w:pPr>
    </w:p>
    <w:p>
      <w:pPr>
        <w:pStyle w:val="BodyText"/>
        <w:ind w:left="0"/>
        <w:rPr>
          <w:rFonts w:ascii="Meiryo"/>
          <w:b/>
        </w:rPr>
      </w:pPr>
    </w:p>
    <w:p>
      <w:pPr>
        <w:pStyle w:val="BodyText"/>
        <w:ind w:left="0"/>
        <w:rPr>
          <w:rFonts w:ascii="Meiryo"/>
          <w:b/>
        </w:rPr>
      </w:pPr>
    </w:p>
    <w:p>
      <w:pPr>
        <w:pStyle w:val="BodyText"/>
        <w:ind w:left="0"/>
        <w:rPr>
          <w:rFonts w:ascii="Meiryo"/>
          <w:b/>
        </w:rPr>
      </w:pPr>
    </w:p>
    <w:p>
      <w:pPr>
        <w:pStyle w:val="BodyText"/>
        <w:spacing w:before="3"/>
        <w:ind w:left="0"/>
        <w:rPr>
          <w:rFonts w:ascii="Meiryo"/>
          <w:b/>
          <w:sz w:val="21"/>
        </w:rPr>
      </w:pPr>
    </w:p>
    <w:p>
      <w:pPr>
        <w:pStyle w:val="Heading2"/>
        <w:spacing w:before="1"/>
        <w:ind w:left="1933"/>
      </w:pPr>
      <w:bookmarkStart w:name="_TOC_250007" w:id="36"/>
      <w:bookmarkEnd w:id="36"/>
      <w:r>
        <w:rPr/>
        <w:t>征集第十九届药师周药学服务经典案例论文</w:t>
      </w:r>
    </w:p>
    <w:p>
      <w:pPr>
        <w:pStyle w:val="Heading3"/>
        <w:spacing w:before="145"/>
        <w:ind w:left="5398"/>
      </w:pPr>
      <w:r>
        <w:rPr>
          <w:color w:val="FF0000"/>
          <w:w w:val="95"/>
        </w:rPr>
        <w:t>（来源：中国药学会科技开发中心网站）</w:t>
      </w:r>
    </w:p>
    <w:p>
      <w:pPr>
        <w:pStyle w:val="BodyText"/>
        <w:spacing w:line="297" w:lineRule="auto" w:before="95"/>
        <w:ind w:right="1026" w:firstLine="480"/>
      </w:pPr>
      <w:r>
        <w:rPr>
          <w:spacing w:val="-1"/>
        </w:rPr>
        <w:t>共享药学服务经典案例，共探药学服务创新思路，是医院药学人员共筑的健康中国梦。</w:t>
      </w:r>
      <w:r>
        <w:rPr>
          <w:spacing w:val="-16"/>
        </w:rPr>
        <w:t>为保障 </w:t>
      </w:r>
      <w:r>
        <w:rPr/>
        <w:t>2019</w:t>
      </w:r>
      <w:r>
        <w:rPr>
          <w:spacing w:val="-8"/>
        </w:rPr>
        <w:t> 年第十九届中国药师周期间召开的“药学服务经典案例分享”论坛顺利举办，</w:t>
      </w:r>
    </w:p>
    <w:p>
      <w:pPr>
        <w:spacing w:after="0" w:line="297" w:lineRule="auto"/>
        <w:sectPr>
          <w:headerReference w:type="default" r:id="rId28"/>
          <w:footerReference w:type="default" r:id="rId29"/>
          <w:pgSz w:w="11910" w:h="16850"/>
          <w:pgMar w:header="0" w:footer="607" w:top="1100" w:bottom="800" w:left="1040" w:right="0"/>
          <w:pgNumType w:start="33"/>
        </w:sectPr>
      </w:pPr>
    </w:p>
    <w:p>
      <w:pPr>
        <w:pStyle w:val="BodyText"/>
        <w:spacing w:line="295" w:lineRule="auto" w:before="65"/>
        <w:ind w:right="1266"/>
      </w:pPr>
      <w:r>
        <w:rPr/>
        <w:t>现面向各地药学会所属分网及全国医药经济信息网各网员医院开展药学服务经典案例论文征集活动，欢迎广大药学工作者积极投稿。现将征文工作要求通知如下：</w:t>
      </w:r>
    </w:p>
    <w:p>
      <w:pPr>
        <w:pStyle w:val="BodyText"/>
        <w:spacing w:before="2"/>
        <w:ind w:left="717"/>
      </w:pPr>
      <w:r>
        <w:rPr/>
        <w:t>一、征文范围和要求</w:t>
      </w:r>
    </w:p>
    <w:p>
      <w:pPr>
        <w:pStyle w:val="ListParagraph"/>
        <w:numPr>
          <w:ilvl w:val="0"/>
          <w:numId w:val="16"/>
        </w:numPr>
        <w:tabs>
          <w:tab w:pos="1079" w:val="left" w:leader="none"/>
        </w:tabs>
        <w:spacing w:line="295" w:lineRule="auto" w:before="74" w:after="0"/>
        <w:ind w:left="237" w:right="1025" w:firstLine="480"/>
        <w:jc w:val="left"/>
        <w:rPr>
          <w:sz w:val="24"/>
        </w:rPr>
      </w:pPr>
      <w:r>
        <w:rPr>
          <w:sz w:val="24"/>
        </w:rPr>
        <w:t>征文范围：内容涵盖各疾病领域中的药学学科服务，包括但不限于药事管理、合理</w:t>
      </w:r>
      <w:r>
        <w:rPr>
          <w:spacing w:val="-1"/>
          <w:sz w:val="24"/>
        </w:rPr>
        <w:t>用药、药物不良反应、药物相互作用、药物经济学的治疗管理、慢病治疗管理等相关内容。</w:t>
      </w:r>
    </w:p>
    <w:p>
      <w:pPr>
        <w:pStyle w:val="ListParagraph"/>
        <w:numPr>
          <w:ilvl w:val="0"/>
          <w:numId w:val="16"/>
        </w:numPr>
        <w:tabs>
          <w:tab w:pos="1079" w:val="left" w:leader="none"/>
        </w:tabs>
        <w:spacing w:line="297" w:lineRule="auto" w:before="2" w:after="0"/>
        <w:ind w:left="237" w:right="1145" w:firstLine="480"/>
        <w:jc w:val="left"/>
        <w:rPr>
          <w:sz w:val="24"/>
        </w:rPr>
      </w:pPr>
      <w:r>
        <w:rPr>
          <w:spacing w:val="-1"/>
          <w:sz w:val="24"/>
        </w:rPr>
        <w:t>征文要求：请提交能体现新思路、新观点、新案例，尚未在期刊发表的文章、专题</w:t>
      </w:r>
      <w:r>
        <w:rPr>
          <w:spacing w:val="-5"/>
          <w:sz w:val="24"/>
        </w:rPr>
        <w:t>报告或综述。每篇字数控制在 </w:t>
      </w:r>
      <w:r>
        <w:rPr>
          <w:sz w:val="24"/>
        </w:rPr>
        <w:t>3000</w:t>
      </w:r>
      <w:r>
        <w:rPr>
          <w:spacing w:val="-8"/>
          <w:sz w:val="24"/>
        </w:rPr>
        <w:t> 字以内，确保内容的真实性和客观性，文责自负。</w:t>
      </w:r>
    </w:p>
    <w:p>
      <w:pPr>
        <w:pStyle w:val="ListParagraph"/>
        <w:numPr>
          <w:ilvl w:val="0"/>
          <w:numId w:val="16"/>
        </w:numPr>
        <w:tabs>
          <w:tab w:pos="1078" w:val="left" w:leader="none"/>
        </w:tabs>
        <w:spacing w:line="295" w:lineRule="auto" w:before="0" w:after="0"/>
        <w:ind w:left="717" w:right="2765" w:firstLine="0"/>
        <w:jc w:val="left"/>
        <w:rPr>
          <w:sz w:val="24"/>
        </w:rPr>
      </w:pPr>
      <w:r>
        <w:rPr>
          <w:spacing w:val="-6"/>
          <w:sz w:val="24"/>
        </w:rPr>
        <w:t>提交方式：将论文以 </w:t>
      </w:r>
      <w:r>
        <w:rPr>
          <w:sz w:val="24"/>
        </w:rPr>
        <w:t>word</w:t>
      </w:r>
      <w:r>
        <w:rPr>
          <w:spacing w:val="-14"/>
          <w:sz w:val="24"/>
        </w:rPr>
        <w:t> 文稿形式，发送至 </w:t>
      </w:r>
      <w:hyperlink r:id="rId32">
        <w:r>
          <w:rPr>
            <w:sz w:val="24"/>
          </w:rPr>
          <w:t>liuyu@cmei.org.cn</w:t>
        </w:r>
      </w:hyperlink>
      <w:r>
        <w:rPr>
          <w:spacing w:val="-15"/>
          <w:sz w:val="24"/>
        </w:rPr>
        <w:t>。</w:t>
      </w:r>
      <w:r>
        <w:rPr>
          <w:sz w:val="24"/>
        </w:rPr>
        <w:t>4．征文截止日期：2019</w:t>
      </w:r>
      <w:r>
        <w:rPr>
          <w:spacing w:val="-41"/>
          <w:sz w:val="24"/>
        </w:rPr>
        <w:t> 年 </w:t>
      </w:r>
      <w:r>
        <w:rPr>
          <w:sz w:val="24"/>
        </w:rPr>
        <w:t>8</w:t>
      </w:r>
      <w:r>
        <w:rPr>
          <w:spacing w:val="-40"/>
          <w:sz w:val="24"/>
        </w:rPr>
        <w:t> 月 </w:t>
      </w:r>
      <w:r>
        <w:rPr>
          <w:sz w:val="24"/>
        </w:rPr>
        <w:t>30</w:t>
      </w:r>
      <w:r>
        <w:rPr>
          <w:spacing w:val="-20"/>
          <w:sz w:val="24"/>
        </w:rPr>
        <w:t> 日。</w:t>
      </w:r>
    </w:p>
    <w:p>
      <w:pPr>
        <w:pStyle w:val="BodyText"/>
        <w:spacing w:before="3"/>
        <w:ind w:left="717"/>
      </w:pPr>
      <w:r>
        <w:rPr/>
        <w:t>二、征文评审</w:t>
      </w:r>
    </w:p>
    <w:p>
      <w:pPr>
        <w:pStyle w:val="BodyText"/>
        <w:spacing w:line="295" w:lineRule="auto" w:before="72"/>
        <w:ind w:right="1128" w:firstLine="480"/>
      </w:pPr>
      <w:r>
        <w:rPr>
          <w:spacing w:val="-6"/>
        </w:rPr>
        <w:t>由中国药学会科技开发中心及我会药学服务专委会组成评审委员会，遴选出 </w:t>
      </w:r>
      <w:r>
        <w:rPr/>
        <w:t>8</w:t>
      </w:r>
      <w:r>
        <w:rPr>
          <w:spacing w:val="-15"/>
        </w:rPr>
        <w:t> 篇优秀论</w:t>
      </w:r>
      <w:r>
        <w:rPr/>
        <w:t>文在第十九届中国药师周专题论坛上作报告交流，并颁发获奖证书。</w:t>
      </w:r>
    </w:p>
    <w:p>
      <w:pPr>
        <w:pStyle w:val="BodyText"/>
        <w:spacing w:line="295" w:lineRule="auto" w:before="4"/>
        <w:ind w:right="1131" w:firstLine="480"/>
      </w:pPr>
      <w:r>
        <w:rPr>
          <w:spacing w:val="-9"/>
        </w:rPr>
        <w:t>优秀论文亦可推荐到《中国药学杂志》《中国医院药学杂志》等期刊，并在中国药学会</w:t>
      </w:r>
      <w:r>
        <w:rPr/>
        <w:t>科技开发中心服务号、《全网医药经济信息网快讯》等署名发表。</w:t>
      </w:r>
    </w:p>
    <w:p>
      <w:pPr>
        <w:pStyle w:val="BodyText"/>
        <w:spacing w:before="2"/>
        <w:ind w:left="717"/>
      </w:pPr>
      <w:r>
        <w:rPr/>
        <w:t>三、联系方式</w:t>
      </w:r>
    </w:p>
    <w:p>
      <w:pPr>
        <w:pStyle w:val="BodyText"/>
        <w:tabs>
          <w:tab w:pos="1197" w:val="left" w:leader="none"/>
        </w:tabs>
        <w:spacing w:line="295" w:lineRule="auto" w:before="74"/>
        <w:ind w:left="717" w:right="4026"/>
      </w:pPr>
      <w:r>
        <w:rPr/>
        <w:t>地</w:t>
        <w:tab/>
        <w:t>址：北京朝阳区南郎家园</w:t>
      </w:r>
      <w:r>
        <w:rPr>
          <w:spacing w:val="-60"/>
        </w:rPr>
        <w:t> </w:t>
      </w:r>
      <w:r>
        <w:rPr/>
        <w:t>18</w:t>
      </w:r>
      <w:r>
        <w:rPr>
          <w:spacing w:val="-60"/>
        </w:rPr>
        <w:t> </w:t>
      </w:r>
      <w:r>
        <w:rPr/>
        <w:t>号楼恋日国际大厦</w:t>
      </w:r>
      <w:r>
        <w:rPr>
          <w:spacing w:val="-60"/>
        </w:rPr>
        <w:t> </w:t>
      </w:r>
      <w:r>
        <w:rPr/>
        <w:t>403</w:t>
      </w:r>
      <w:r>
        <w:rPr>
          <w:spacing w:val="-60"/>
        </w:rPr>
        <w:t> </w:t>
      </w:r>
      <w:r>
        <w:rPr>
          <w:spacing w:val="-17"/>
        </w:rPr>
        <w:t>室</w:t>
      </w:r>
      <w:r>
        <w:rPr/>
        <w:t>邮</w:t>
        <w:tab/>
        <w:t>编：100022</w:t>
      </w:r>
    </w:p>
    <w:p>
      <w:pPr>
        <w:pStyle w:val="BodyText"/>
        <w:spacing w:before="3"/>
        <w:ind w:left="717"/>
      </w:pPr>
      <w:r>
        <w:rPr/>
        <w:t>联系人：刘玉</w:t>
      </w:r>
    </w:p>
    <w:p>
      <w:pPr>
        <w:pStyle w:val="BodyText"/>
        <w:tabs>
          <w:tab w:pos="1197" w:val="left" w:leader="none"/>
        </w:tabs>
        <w:spacing w:before="74"/>
        <w:ind w:left="717"/>
      </w:pPr>
      <w:r>
        <w:rPr/>
        <w:t>电</w:t>
        <w:tab/>
        <w:t>话：010-65660788-181</w:t>
      </w:r>
    </w:p>
    <w:p>
      <w:pPr>
        <w:pStyle w:val="BodyText"/>
        <w:tabs>
          <w:tab w:pos="3597" w:val="left" w:leader="none"/>
        </w:tabs>
        <w:spacing w:line="459" w:lineRule="exact" w:before="25"/>
        <w:ind w:left="717"/>
        <w:rPr>
          <w:rFonts w:ascii="Meiryo" w:eastAsia="Meiryo" w:hint="eastAsia"/>
          <w:b/>
        </w:rPr>
      </w:pPr>
      <w:r>
        <w:rPr/>
        <w:t>中国药学会科技开发中心</w:t>
        <w:tab/>
        <w:t>2019</w:t>
      </w:r>
      <w:r>
        <w:rPr>
          <w:spacing w:val="-60"/>
        </w:rPr>
        <w:t> </w:t>
      </w:r>
      <w:r>
        <w:rPr/>
        <w:t>年</w:t>
      </w:r>
      <w:r>
        <w:rPr>
          <w:spacing w:val="-60"/>
        </w:rPr>
        <w:t> </w:t>
      </w:r>
      <w:r>
        <w:rPr/>
        <w:t>3</w:t>
      </w:r>
      <w:r>
        <w:rPr>
          <w:spacing w:val="-60"/>
        </w:rPr>
        <w:t> </w:t>
      </w:r>
      <w:r>
        <w:rPr/>
        <w:t>月</w:t>
      </w:r>
      <w:r>
        <w:rPr>
          <w:spacing w:val="-60"/>
        </w:rPr>
        <w:t> </w:t>
      </w:r>
      <w:r>
        <w:rPr/>
        <w:t>1</w:t>
      </w:r>
      <w:r>
        <w:rPr>
          <w:spacing w:val="-60"/>
        </w:rPr>
        <w:t> </w:t>
      </w:r>
      <w:r>
        <w:rPr/>
        <w:t>日 </w:t>
      </w:r>
      <w:r>
        <w:rPr>
          <w:rFonts w:ascii="Meiryo" w:eastAsia="Meiryo" w:hint="eastAsia"/>
          <w:b/>
          <w:color w:val="0033CC"/>
        </w:rPr>
        <w:t>[返回目次]</w:t>
      </w:r>
    </w:p>
    <w:p>
      <w:pPr>
        <w:pStyle w:val="Heading1"/>
        <w:spacing w:line="715" w:lineRule="exact"/>
        <w:rPr>
          <w:u w:val="none"/>
        </w:rPr>
      </w:pPr>
      <w:bookmarkStart w:name="_TOC_250006" w:id="37"/>
      <w:r>
        <w:rPr>
          <w:rFonts w:ascii="Times New Roman" w:eastAsia="Times New Roman"/>
          <w:color w:val="008000"/>
          <w:spacing w:val="-110"/>
          <w:w w:val="99"/>
          <w:u w:val="thick" w:color="008000"/>
        </w:rPr>
        <w:t> </w:t>
      </w:r>
      <w:bookmarkEnd w:id="37"/>
      <w:r>
        <w:rPr>
          <w:color w:val="008000"/>
          <w:u w:val="thick" w:color="008000"/>
        </w:rPr>
        <w:t>交流园地</w:t>
      </w:r>
    </w:p>
    <w:p>
      <w:pPr>
        <w:pStyle w:val="BodyText"/>
        <w:spacing w:before="5"/>
        <w:ind w:left="0"/>
        <w:rPr>
          <w:rFonts w:ascii="华文宋体"/>
          <w:b/>
          <w:sz w:val="9"/>
        </w:rPr>
      </w:pPr>
    </w:p>
    <w:p>
      <w:pPr>
        <w:pStyle w:val="Heading2"/>
        <w:spacing w:before="55"/>
      </w:pPr>
      <w:bookmarkStart w:name="_TOC_250005" w:id="38"/>
      <w:bookmarkEnd w:id="38"/>
      <w:r>
        <w:rPr/>
        <w:t>【药师风采】</w:t>
      </w:r>
    </w:p>
    <w:p>
      <w:pPr>
        <w:pStyle w:val="Heading2"/>
        <w:spacing w:before="120"/>
        <w:ind w:left="0" w:right="894"/>
        <w:jc w:val="center"/>
      </w:pPr>
      <w:bookmarkStart w:name="_TOC_250004" w:id="39"/>
      <w:bookmarkEnd w:id="39"/>
      <w:r>
        <w:rPr/>
        <w:t>华中科技大学同济医学院附属协和医院——师少军</w:t>
      </w:r>
    </w:p>
    <w:p>
      <w:pPr>
        <w:pStyle w:val="Heading3"/>
        <w:spacing w:before="247"/>
        <w:ind w:right="896"/>
        <w:jc w:val="center"/>
      </w:pPr>
      <w:r>
        <w:rPr/>
        <w:t>励志寄语：一药一性知根底，百病百方晓弊益；药师仁心促安全，大医精诚保健康。</w:t>
      </w:r>
    </w:p>
    <w:p>
      <w:pPr>
        <w:pStyle w:val="BodyText"/>
        <w:spacing w:line="297" w:lineRule="auto" w:before="170"/>
        <w:ind w:right="1127" w:firstLine="420"/>
        <w:jc w:val="both"/>
      </w:pPr>
      <w:r>
        <w:rPr>
          <w:spacing w:val="-7"/>
        </w:rPr>
        <w:t>师少军，现任华中科技大学同济医学院附属协和医院药学部党支部书记，临床药学研究</w:t>
      </w:r>
      <w:r>
        <w:rPr>
          <w:spacing w:val="-2"/>
        </w:rPr>
        <w:t>室副主任，临床药师规范化培训师资培训中心主任，主任药师，从事药学工作 </w:t>
      </w:r>
      <w:r>
        <w:rPr/>
        <w:t>22</w:t>
      </w:r>
      <w:r>
        <w:rPr>
          <w:spacing w:val="-12"/>
        </w:rPr>
        <w:t> 年。主要</w:t>
      </w:r>
      <w:r>
        <w:rPr>
          <w:spacing w:val="-16"/>
        </w:rPr>
        <w:t>研究方向临床药学实践与发展，积极组织开展以“患者为中心”的临床药学服务，成功搭建</w:t>
      </w:r>
      <w:r>
        <w:rPr/>
        <w:t>6</w:t>
      </w:r>
      <w:r>
        <w:rPr>
          <w:spacing w:val="-8"/>
        </w:rPr>
        <w:t> 大临床药学服务平台，极大促进医院临床合理用药。</w:t>
      </w:r>
    </w:p>
    <w:p>
      <w:pPr>
        <w:pStyle w:val="BodyText"/>
        <w:spacing w:line="295" w:lineRule="auto"/>
        <w:ind w:right="1007" w:firstLine="420"/>
        <w:jc w:val="both"/>
      </w:pPr>
      <w:r>
        <w:rPr>
          <w:spacing w:val="-3"/>
        </w:rPr>
        <w:t>积极组织开展湖北省临床药师规范化培训工作，探索临床药师综合技能和实践培训创新</w:t>
      </w:r>
      <w:r>
        <w:rPr>
          <w:spacing w:val="-11"/>
        </w:rPr>
        <w:t>模式，成效显著。依托学会和杂志等平台，每年主办多项学术会议，扩大对外交流，不断树</w:t>
      </w:r>
      <w:r>
        <w:rPr>
          <w:spacing w:val="-19"/>
        </w:rPr>
        <w:t>立学科品牌，科室学科建设实现跨越式发展。药学部已成为国家临床药学重点专科建设单位。</w:t>
      </w:r>
    </w:p>
    <w:p>
      <w:pPr>
        <w:pStyle w:val="BodyText"/>
        <w:spacing w:line="297" w:lineRule="auto" w:before="2"/>
        <w:ind w:right="1009" w:firstLine="420"/>
      </w:pPr>
      <w:r>
        <w:rPr>
          <w:spacing w:val="-9"/>
        </w:rPr>
        <w:t>积极组织参与科室学科建设和人才培养工作。大力推进“人才强科”战略，在人才引进、</w:t>
      </w:r>
      <w:r>
        <w:rPr/>
        <w:t>培育等方面不断探索创新，深入构建“外引内育”人才工作体系，不断优化药师队伍结构。</w:t>
      </w:r>
      <w:r>
        <w:rPr>
          <w:spacing w:val="-4"/>
        </w:rPr>
        <w:t>武汉协和药学部现有硕士和博士学位人员 </w:t>
      </w:r>
      <w:r>
        <w:rPr/>
        <w:t>96</w:t>
      </w:r>
      <w:r>
        <w:rPr>
          <w:spacing w:val="-30"/>
        </w:rPr>
        <w:t> 人</w:t>
      </w:r>
      <w:r>
        <w:rPr/>
        <w:t>（</w:t>
      </w:r>
      <w:r>
        <w:rPr>
          <w:spacing w:val="-30"/>
        </w:rPr>
        <w:t>占 </w:t>
      </w:r>
      <w:r>
        <w:rPr/>
        <w:t>54%），</w:t>
      </w:r>
      <w:r>
        <w:rPr>
          <w:spacing w:val="-8"/>
        </w:rPr>
        <w:t>本科以上人员占 </w:t>
      </w:r>
      <w:r>
        <w:rPr/>
        <w:t>85%，10</w:t>
      </w:r>
      <w:r>
        <w:rPr>
          <w:spacing w:val="-20"/>
        </w:rPr>
        <w:t> 余人次赴多个国家进修学习，极大提升了学科影响力和核心竞争力。</w:t>
      </w:r>
    </w:p>
    <w:p>
      <w:pPr>
        <w:spacing w:after="0" w:line="297" w:lineRule="auto"/>
        <w:sectPr>
          <w:headerReference w:type="default" r:id="rId30"/>
          <w:footerReference w:type="default" r:id="rId31"/>
          <w:pgSz w:w="11910" w:h="16850"/>
          <w:pgMar w:header="906" w:footer="607" w:top="1100" w:bottom="800" w:left="1040" w:right="0"/>
          <w:pgNumType w:start="34"/>
        </w:sectPr>
      </w:pPr>
    </w:p>
    <w:p>
      <w:pPr>
        <w:pStyle w:val="BodyText"/>
        <w:spacing w:line="295" w:lineRule="auto" w:before="65"/>
        <w:ind w:right="1128" w:firstLine="420"/>
      </w:pPr>
      <w:r>
        <w:rPr>
          <w:spacing w:val="-5"/>
        </w:rPr>
        <w:t>高度重视科研工作，紧密围绕临床合理用药开展科研工作，主要研究方向为临床药学和</w:t>
      </w:r>
      <w:r>
        <w:rPr>
          <w:spacing w:val="-10"/>
        </w:rPr>
        <w:t>临床药理学。目前主持和参与国家自然科学基金面上项目 </w:t>
      </w:r>
      <w:r>
        <w:rPr/>
        <w:t>5</w:t>
      </w:r>
      <w:r>
        <w:rPr>
          <w:spacing w:val="-13"/>
        </w:rPr>
        <w:t> 项，国家重点研发计划重点专项</w:t>
      </w:r>
    </w:p>
    <w:p>
      <w:pPr>
        <w:pStyle w:val="BodyText"/>
        <w:spacing w:line="297" w:lineRule="auto" w:before="2"/>
        <w:ind w:right="1126"/>
      </w:pPr>
      <w:r>
        <w:rPr/>
        <w:t>1</w:t>
      </w:r>
      <w:r>
        <w:rPr>
          <w:spacing w:val="-12"/>
        </w:rPr>
        <w:t> 项，承担并完成国家级、省级等课题 </w:t>
      </w:r>
      <w:r>
        <w:rPr/>
        <w:t>40</w:t>
      </w:r>
      <w:r>
        <w:rPr>
          <w:spacing w:val="-16"/>
        </w:rPr>
        <w:t> 余项。主译专著 </w:t>
      </w:r>
      <w:r>
        <w:rPr/>
        <w:t>2</w:t>
      </w:r>
      <w:r>
        <w:rPr>
          <w:spacing w:val="-16"/>
        </w:rPr>
        <w:t> 部，参编</w:t>
      </w:r>
      <w:r>
        <w:rPr/>
        <w:t>（译</w:t>
      </w:r>
      <w:r>
        <w:rPr>
          <w:spacing w:val="-8"/>
        </w:rPr>
        <w:t>）</w:t>
      </w:r>
      <w:r>
        <w:rPr>
          <w:spacing w:val="-20"/>
        </w:rPr>
        <w:t>专著 </w:t>
      </w:r>
      <w:r>
        <w:rPr/>
        <w:t>10</w:t>
      </w:r>
      <w:r>
        <w:rPr>
          <w:spacing w:val="-17"/>
        </w:rPr>
        <w:t> 部；发</w:t>
      </w:r>
      <w:r>
        <w:rPr>
          <w:spacing w:val="-25"/>
        </w:rPr>
        <w:t>表学术论文 </w:t>
      </w:r>
      <w:r>
        <w:rPr/>
        <w:t>140</w:t>
      </w:r>
      <w:r>
        <w:rPr>
          <w:spacing w:val="-18"/>
        </w:rPr>
        <w:t> 余篇，其中 </w:t>
      </w:r>
      <w:r>
        <w:rPr/>
        <w:t>SCI</w:t>
      </w:r>
      <w:r>
        <w:rPr>
          <w:spacing w:val="-30"/>
        </w:rPr>
        <w:t> 收录 </w:t>
      </w:r>
      <w:r>
        <w:rPr/>
        <w:t>30</w:t>
      </w:r>
      <w:r>
        <w:rPr>
          <w:spacing w:val="-14"/>
        </w:rPr>
        <w:t> 余篇，被国际同行 </w:t>
      </w:r>
      <w:r>
        <w:rPr/>
        <w:t>SCI</w:t>
      </w:r>
      <w:r>
        <w:rPr>
          <w:spacing w:val="-30"/>
        </w:rPr>
        <w:t> 他引 </w:t>
      </w:r>
      <w:r>
        <w:rPr/>
        <w:t>1500</w:t>
      </w:r>
      <w:r>
        <w:rPr>
          <w:spacing w:val="-8"/>
        </w:rPr>
        <w:t> 余次，单篇最高SCI</w:t>
      </w:r>
      <w:r>
        <w:rPr>
          <w:spacing w:val="-31"/>
        </w:rPr>
        <w:t> 他引 </w:t>
      </w:r>
      <w:r>
        <w:rPr/>
        <w:t>300</w:t>
      </w:r>
      <w:r>
        <w:rPr>
          <w:spacing w:val="-15"/>
        </w:rPr>
        <w:t> 余次。</w:t>
      </w:r>
    </w:p>
    <w:p>
      <w:pPr>
        <w:pStyle w:val="BodyText"/>
        <w:spacing w:line="297" w:lineRule="auto"/>
        <w:ind w:right="1146" w:firstLine="420"/>
        <w:jc w:val="both"/>
      </w:pPr>
      <w:r>
        <w:rPr/>
        <w:t>2014</w:t>
      </w:r>
      <w:r>
        <w:rPr>
          <w:spacing w:val="-8"/>
        </w:rPr>
        <w:t> 年荣获中华医学会临床药学分会优秀临床药师奖，</w:t>
      </w:r>
      <w:r>
        <w:rPr/>
        <w:t>2012</w:t>
      </w:r>
      <w:r>
        <w:rPr>
          <w:spacing w:val="-8"/>
        </w:rPr>
        <w:t> 年荣获第四届中国医院药学奖—青年药师优秀奖，2016 年荣获湖北省科技进步一等奖</w:t>
      </w:r>
      <w:r>
        <w:rPr/>
        <w:t>，2016</w:t>
      </w:r>
      <w:r>
        <w:rPr>
          <w:spacing w:val="-9"/>
        </w:rPr>
        <w:t> 年被评为武汉药学会工</w:t>
      </w:r>
      <w:r>
        <w:rPr/>
        <w:t>作先进个人；2015</w:t>
      </w:r>
      <w:r>
        <w:rPr>
          <w:spacing w:val="-8"/>
        </w:rPr>
        <w:t> 年被评为湖北省卫生计生委优秀党务工作者。</w:t>
      </w:r>
    </w:p>
    <w:p>
      <w:pPr>
        <w:pStyle w:val="BodyText"/>
        <w:spacing w:line="297" w:lineRule="auto"/>
        <w:ind w:right="1007" w:firstLine="420"/>
      </w:pPr>
      <w:r>
        <w:rPr>
          <w:spacing w:val="-3"/>
        </w:rPr>
        <w:t>兼任中国药学会药物流行病学专业委员会委员，中国药理学会临床药理学专业委员会委</w:t>
      </w:r>
      <w:r>
        <w:rPr>
          <w:spacing w:val="-16"/>
        </w:rPr>
        <w:t>员，中国研究型医院学会药物评价专业委员会常务委员，中华医学会临床药学分会青年委员， </w:t>
      </w:r>
      <w:r>
        <w:rPr>
          <w:spacing w:val="-5"/>
        </w:rPr>
        <w:t>中国医学装备协会药房装备与技术专业委员会委员，中国医药教育协会食品卫生安全教育专</w:t>
      </w:r>
      <w:r>
        <w:rPr>
          <w:spacing w:val="-11"/>
        </w:rPr>
        <w:t>业委员会委员，中国中西医结合学会临床药理与毒理专业委员会委员，湖北省药学会医院药</w:t>
      </w:r>
      <w:r>
        <w:rPr>
          <w:spacing w:val="-14"/>
        </w:rPr>
        <w:t>学专业委员会秘书，湖北省医学会临床药学分会常委兼秘书，武汉药学会药事管理专业委员</w:t>
      </w:r>
    </w:p>
    <w:p>
      <w:pPr>
        <w:pStyle w:val="BodyText"/>
        <w:spacing w:line="259" w:lineRule="auto"/>
        <w:ind w:right="1130"/>
        <w:rPr>
          <w:rFonts w:ascii="Meiryo" w:eastAsia="Meiryo" w:hint="eastAsia"/>
          <w:b/>
        </w:rPr>
      </w:pPr>
      <w:r>
        <w:rPr>
          <w:spacing w:val="-11"/>
        </w:rPr>
        <w:t>会副主任委员；《中国药师》编委、《中国医院药学杂志》通讯编委、《医药导报》常委编</w:t>
      </w:r>
      <w:r>
        <w:rPr/>
        <w:t>委等。</w:t>
      </w:r>
      <w:r>
        <w:rPr>
          <w:rFonts w:ascii="Meiryo" w:eastAsia="Meiryo" w:hint="eastAsia"/>
          <w:b/>
          <w:color w:val="0033CC"/>
        </w:rPr>
        <w:t>[返回目次]</w:t>
      </w:r>
    </w:p>
    <w:p>
      <w:pPr>
        <w:pStyle w:val="Heading2"/>
        <w:spacing w:before="145"/>
        <w:ind w:left="0" w:right="891"/>
        <w:jc w:val="center"/>
      </w:pPr>
      <w:bookmarkStart w:name="_TOC_250003" w:id="40"/>
      <w:bookmarkEnd w:id="40"/>
      <w:r>
        <w:rPr/>
        <w:t>武汉市第三医院——吴金虎</w:t>
      </w:r>
    </w:p>
    <w:p>
      <w:pPr>
        <w:pStyle w:val="Heading3"/>
        <w:spacing w:before="220"/>
        <w:ind w:right="895"/>
        <w:jc w:val="center"/>
      </w:pPr>
      <w:r>
        <w:rPr/>
        <w:t>励志寄语：药学之路不平坦，你我携手共创未来！</w:t>
      </w:r>
    </w:p>
    <w:p>
      <w:pPr>
        <w:pStyle w:val="BodyText"/>
        <w:spacing w:line="297" w:lineRule="auto" w:before="170"/>
        <w:ind w:right="1130" w:firstLine="420"/>
        <w:jc w:val="both"/>
      </w:pPr>
      <w:r>
        <w:rPr>
          <w:spacing w:val="-5"/>
        </w:rPr>
        <w:t>吴金虎, 现任武汉市第三医院副院长，原国家卫计委临床药师培训基地负责人，主任药</w:t>
      </w:r>
      <w:r>
        <w:rPr>
          <w:spacing w:val="-2"/>
        </w:rPr>
        <w:t>师，副教授，武汉大学、湖北中医药大学硕士生导师，从事药学工作 </w:t>
      </w:r>
      <w:r>
        <w:rPr/>
        <w:t>31</w:t>
      </w:r>
      <w:r>
        <w:rPr>
          <w:spacing w:val="-8"/>
        </w:rPr>
        <w:t> 年。长期担任医院</w:t>
      </w:r>
    </w:p>
    <w:p>
      <w:pPr>
        <w:pStyle w:val="BodyText"/>
        <w:spacing w:line="297" w:lineRule="auto"/>
        <w:ind w:right="1145"/>
        <w:jc w:val="both"/>
      </w:pPr>
      <w:r>
        <w:rPr/>
        <w:t>药学学科带头人，在临床药学、个体化诊疗等方面走在武汉市同行的前列，2013</w:t>
      </w:r>
      <w:r>
        <w:rPr>
          <w:spacing w:val="-30"/>
        </w:rPr>
        <w:t> 年和 </w:t>
      </w:r>
      <w:r>
        <w:rPr>
          <w:spacing w:val="-5"/>
        </w:rPr>
        <w:t>2014 </w:t>
      </w:r>
      <w:r>
        <w:rPr/>
        <w:t>年被评为武汉市和湖北省临床药学重点专科。2013</w:t>
      </w:r>
      <w:r>
        <w:rPr>
          <w:spacing w:val="-8"/>
        </w:rPr>
        <w:t> 年成立个体化诊疗研究中心，成为武汉市临床药学的特色；2015 年被评为湖北省规范化管理示范药房。</w:t>
      </w:r>
      <w:r>
        <w:rPr/>
        <w:t>2017</w:t>
      </w:r>
      <w:r>
        <w:rPr>
          <w:spacing w:val="-9"/>
        </w:rPr>
        <w:t> 年牵头成立湖北省个</w:t>
      </w:r>
      <w:r>
        <w:rPr/>
        <w:t>体化药物治疗联盟，各项工作发挥了示范引领作用。</w:t>
      </w:r>
    </w:p>
    <w:p>
      <w:pPr>
        <w:pStyle w:val="BodyText"/>
        <w:spacing w:line="297" w:lineRule="auto"/>
        <w:ind w:right="1125" w:firstLine="420"/>
        <w:jc w:val="both"/>
      </w:pPr>
      <w:r>
        <w:rPr>
          <w:spacing w:val="-5"/>
        </w:rPr>
        <w:t>长期致力于药学学科建设，大力引进和培养人才队伍，先后引进和培养博士、硕士、临</w:t>
      </w:r>
      <w:r>
        <w:rPr>
          <w:spacing w:val="-16"/>
        </w:rPr>
        <w:t>床药师 </w:t>
      </w:r>
      <w:r>
        <w:rPr/>
        <w:t>20</w:t>
      </w:r>
      <w:r>
        <w:rPr>
          <w:spacing w:val="-26"/>
        </w:rPr>
        <w:t> 余人，医院 </w:t>
      </w:r>
      <w:r>
        <w:rPr/>
        <w:t>2012</w:t>
      </w:r>
      <w:r>
        <w:rPr>
          <w:spacing w:val="-12"/>
        </w:rPr>
        <w:t> 年被评为原国家卫生部临床药师培训基地后，已招收培养省内外</w:t>
      </w:r>
    </w:p>
    <w:p>
      <w:pPr>
        <w:pStyle w:val="BodyText"/>
        <w:spacing w:line="306" w:lineRule="exact"/>
        <w:jc w:val="both"/>
      </w:pPr>
      <w:r>
        <w:rPr>
          <w:spacing w:val="-20"/>
        </w:rPr>
        <w:t>学员 </w:t>
      </w:r>
      <w:r>
        <w:rPr/>
        <w:t>59</w:t>
      </w:r>
      <w:r>
        <w:rPr>
          <w:spacing w:val="-8"/>
        </w:rPr>
        <w:t> 名。在临床积极推进个体化诊疗模式，建立武汉市首家个体化诊疗研究中心，在全</w:t>
      </w:r>
    </w:p>
    <w:p>
      <w:pPr>
        <w:pStyle w:val="BodyText"/>
        <w:spacing w:line="297" w:lineRule="auto" w:before="64"/>
        <w:ind w:right="1009"/>
      </w:pPr>
      <w:r>
        <w:rPr>
          <w:spacing w:val="-11"/>
        </w:rPr>
        <w:t>院、全市开展基因检测和血药浓度检测项目，共开展 </w:t>
      </w:r>
      <w:r>
        <w:rPr/>
        <w:t>300</w:t>
      </w:r>
      <w:r>
        <w:rPr>
          <w:spacing w:val="-12"/>
        </w:rPr>
        <w:t> 余个项目，年检测量达万人次。覆</w:t>
      </w:r>
      <w:r>
        <w:rPr>
          <w:spacing w:val="-20"/>
        </w:rPr>
        <w:t>盖临床所有科室，为临床提供先进的、准确的诊疗手段。并与兄弟医院签订个体化诊疗协议， </w:t>
      </w:r>
      <w:r>
        <w:rPr>
          <w:spacing w:val="-7"/>
        </w:rPr>
        <w:t>承担其个体化检测，并指导其个体化临床用药。不断探索医改下药学转型，发挥药师队伍的</w:t>
      </w:r>
      <w:r>
        <w:rPr>
          <w:spacing w:val="-8"/>
        </w:rPr>
        <w:t>独特作用。作为武汉大学、湖北中医药大学的硕士生导师，带教硕士 </w:t>
      </w:r>
      <w:r>
        <w:rPr/>
        <w:t>11</w:t>
      </w:r>
      <w:r>
        <w:rPr>
          <w:spacing w:val="-10"/>
        </w:rPr>
        <w:t> 名、本专科生 </w:t>
      </w:r>
      <w:r>
        <w:rPr/>
        <w:t>50 </w:t>
      </w:r>
      <w:r>
        <w:rPr>
          <w:spacing w:val="-4"/>
        </w:rPr>
        <w:t>余名。举办国家级、省市级继续教育 </w:t>
      </w:r>
      <w:r>
        <w:rPr/>
        <w:t>10</w:t>
      </w:r>
      <w:r>
        <w:rPr>
          <w:spacing w:val="-20"/>
        </w:rPr>
        <w:t> 余项</w:t>
      </w:r>
      <w:r>
        <w:rPr/>
        <w:t>，5000</w:t>
      </w:r>
      <w:r>
        <w:rPr>
          <w:spacing w:val="-8"/>
        </w:rPr>
        <w:t> 多人次参与培训。</w:t>
      </w:r>
    </w:p>
    <w:p>
      <w:pPr>
        <w:pStyle w:val="BodyText"/>
        <w:spacing w:line="297" w:lineRule="auto"/>
        <w:ind w:right="1128" w:firstLine="420"/>
        <w:jc w:val="both"/>
      </w:pPr>
      <w:r>
        <w:rPr>
          <w:spacing w:val="-4"/>
        </w:rPr>
        <w:t>率领药学队伍积极开展科学研究，多年来主持包括省自然基金、市科技局重大攻关项目</w:t>
      </w:r>
      <w:r>
        <w:rPr>
          <w:spacing w:val="-9"/>
        </w:rPr>
        <w:t>等在内的课题 </w:t>
      </w:r>
      <w:r>
        <w:rPr/>
        <w:t>20</w:t>
      </w:r>
      <w:r>
        <w:rPr>
          <w:spacing w:val="-14"/>
        </w:rPr>
        <w:t> 余项，发表论文 </w:t>
      </w:r>
      <w:r>
        <w:rPr/>
        <w:t>30</w:t>
      </w:r>
      <w:r>
        <w:rPr>
          <w:spacing w:val="-18"/>
        </w:rPr>
        <w:t> 余篇，其中 </w:t>
      </w:r>
      <w:r>
        <w:rPr/>
        <w:t>SCI</w:t>
      </w:r>
      <w:r>
        <w:rPr>
          <w:spacing w:val="-30"/>
        </w:rPr>
        <w:t> 论文 </w:t>
      </w:r>
      <w:r>
        <w:rPr/>
        <w:t>7</w:t>
      </w:r>
      <w:r>
        <w:rPr>
          <w:spacing w:val="-20"/>
        </w:rPr>
        <w:t> 篇，专著 </w:t>
      </w:r>
      <w:r>
        <w:rPr/>
        <w:t>4</w:t>
      </w:r>
      <w:r>
        <w:rPr>
          <w:spacing w:val="-20"/>
        </w:rPr>
        <w:t> 部。</w:t>
      </w:r>
      <w:r>
        <w:rPr/>
        <w:t>2013</w:t>
      </w:r>
      <w:r>
        <w:rPr>
          <w:spacing w:val="-12"/>
        </w:rPr>
        <w:t> 年主持的科研课题经鉴定被认为达到国际先进水平，</w:t>
      </w:r>
      <w:r>
        <w:rPr>
          <w:spacing w:val="-9"/>
        </w:rPr>
        <w:t>2012</w:t>
      </w:r>
      <w:r>
        <w:rPr>
          <w:spacing w:val="-30"/>
        </w:rPr>
        <w:t> 年和 </w:t>
      </w:r>
      <w:r>
        <w:rPr/>
        <w:t>2015</w:t>
      </w:r>
      <w:r>
        <w:rPr>
          <w:spacing w:val="-9"/>
        </w:rPr>
        <w:t> 年鉴定的课题被认定为国内领先</w:t>
      </w:r>
      <w:r>
        <w:rPr>
          <w:spacing w:val="-4"/>
        </w:rPr>
        <w:t>水平，获得湖北省科技进步二、三等奖 </w:t>
      </w:r>
      <w:r>
        <w:rPr/>
        <w:t>7</w:t>
      </w:r>
      <w:r>
        <w:rPr>
          <w:spacing w:val="-20"/>
        </w:rPr>
        <w:t> 项。</w:t>
      </w:r>
    </w:p>
    <w:p>
      <w:pPr>
        <w:pStyle w:val="BodyText"/>
        <w:spacing w:line="297" w:lineRule="auto"/>
        <w:ind w:right="1071" w:firstLine="420"/>
      </w:pPr>
      <w:r>
        <w:rPr/>
        <w:t>荣获湖北省人民政府授予湖北省有突出贡献中青年专家称号，入选市卫计委组织的黄鹤英才（医疗卫生计划），连续六年被武汉市卫计委评为优秀质控中心。</w:t>
      </w:r>
    </w:p>
    <w:p>
      <w:pPr>
        <w:spacing w:after="0" w:line="297" w:lineRule="auto"/>
        <w:sectPr>
          <w:pgSz w:w="11910" w:h="16850"/>
          <w:pgMar w:header="906" w:footer="607" w:top="1100" w:bottom="800" w:left="1040" w:right="0"/>
        </w:sectPr>
      </w:pPr>
    </w:p>
    <w:p>
      <w:pPr>
        <w:pStyle w:val="BodyText"/>
        <w:spacing w:line="295" w:lineRule="auto" w:before="65"/>
        <w:ind w:right="1007" w:firstLine="420"/>
        <w:jc w:val="both"/>
      </w:pPr>
      <w:r>
        <w:rPr>
          <w:spacing w:val="-2"/>
        </w:rPr>
        <w:t>兼任中国药理学会药物基因组学专家委员会常务委员，湖北省药理学会治疗药物浓度检</w:t>
      </w:r>
      <w:r>
        <w:rPr>
          <w:spacing w:val="-9"/>
        </w:rPr>
        <w:t>测委员会副主任委员，湖北省医学会临床药学分会委员会常务委员，湖北省医院协会药事管</w:t>
      </w:r>
      <w:r>
        <w:rPr>
          <w:spacing w:val="-19"/>
        </w:rPr>
        <w:t>理专业委员会常务委员，湖北省个体化药物治疗联盟理事长，武汉市临床药学质控中心主任，</w:t>
      </w:r>
    </w:p>
    <w:p>
      <w:pPr>
        <w:pStyle w:val="BodyText"/>
        <w:spacing w:line="259" w:lineRule="auto" w:before="5"/>
        <w:ind w:right="1130"/>
        <w:rPr>
          <w:rFonts w:ascii="Meiryo" w:eastAsia="Meiryo" w:hint="eastAsia"/>
          <w:b/>
        </w:rPr>
      </w:pPr>
      <w:r>
        <w:rPr>
          <w:spacing w:val="-8"/>
        </w:rPr>
        <w:t>武汉市个体化诊疗研究中心主任，《中国医院药学》杂志、《医药导报》、《中药材》等多</w:t>
      </w:r>
      <w:r>
        <w:rPr/>
        <w:t>家杂志编委。</w:t>
      </w:r>
      <w:r>
        <w:rPr>
          <w:rFonts w:ascii="Meiryo" w:eastAsia="Meiryo" w:hint="eastAsia"/>
          <w:b/>
          <w:color w:val="0033CC"/>
        </w:rPr>
        <w:t>[返回目次]</w:t>
      </w:r>
    </w:p>
    <w:p>
      <w:pPr>
        <w:pStyle w:val="Heading2"/>
        <w:spacing w:before="156"/>
        <w:ind w:left="0" w:right="897"/>
        <w:jc w:val="center"/>
      </w:pPr>
      <w:bookmarkStart w:name="_TOC_250002" w:id="41"/>
      <w:bookmarkEnd w:id="41"/>
      <w:r>
        <w:rPr/>
        <w:t>湖北省卫生界学会办公室——潘旭初</w:t>
      </w:r>
    </w:p>
    <w:p>
      <w:pPr>
        <w:pStyle w:val="Heading3"/>
        <w:spacing w:before="222"/>
        <w:ind w:right="896"/>
        <w:jc w:val="center"/>
      </w:pPr>
      <w:r>
        <w:rPr/>
        <w:t>励志寄语：初心不改，搭建药学交流舞台；继续前行，创办黄鹤论坛，谱写时代新篇！</w:t>
      </w:r>
    </w:p>
    <w:p>
      <w:pPr>
        <w:pStyle w:val="BodyText"/>
        <w:spacing w:line="297" w:lineRule="auto" w:before="170"/>
        <w:ind w:right="1012" w:firstLine="420"/>
      </w:pPr>
      <w:r>
        <w:rPr>
          <w:spacing w:val="-14"/>
        </w:rPr>
        <w:t>潘旭初，现任湖北省卫生界学会办公室主任，湖北省药学会副会长兼秘书长，主任药师， </w:t>
      </w:r>
      <w:r>
        <w:rPr>
          <w:spacing w:val="-7"/>
        </w:rPr>
        <w:t>从事药学服务工作 </w:t>
      </w:r>
      <w:r>
        <w:rPr/>
        <w:t>35</w:t>
      </w:r>
      <w:r>
        <w:rPr>
          <w:spacing w:val="-8"/>
        </w:rPr>
        <w:t> 年。政治信念坚定，视界开阔，专业责任感与使命感强，长期以来专</w:t>
      </w:r>
      <w:r>
        <w:rPr>
          <w:spacing w:val="-14"/>
        </w:rPr>
        <w:t>职负责管理湖北省药学会，组织全国性、地域性重大药学学术活动，积极发挥药学会桥梁和纽带作用，承接政府委托任务，组织行业横向活动，关心老少边穷地区，为推动和繁荣湖北省医药科技事业的发展做出了积极贡献，得到中国药学会和兄弟省、市学会的肯定。</w:t>
      </w:r>
    </w:p>
    <w:p>
      <w:pPr>
        <w:pStyle w:val="BodyText"/>
        <w:spacing w:line="297" w:lineRule="auto"/>
        <w:ind w:right="1127" w:firstLine="480"/>
      </w:pPr>
      <w:r>
        <w:rPr>
          <w:spacing w:val="-7"/>
        </w:rPr>
        <w:t>热心药学信息事业，提出药师不但应该成为药学信息体系的使用者、推广者，更应该成</w:t>
      </w:r>
      <w:r>
        <w:rPr>
          <w:spacing w:val="-4"/>
        </w:rPr>
        <w:t>为药学信息体系的优化者甚至创建者。于 </w:t>
      </w:r>
      <w:r>
        <w:rPr/>
        <w:t>2002</w:t>
      </w:r>
      <w:r>
        <w:rPr>
          <w:spacing w:val="-8"/>
        </w:rPr>
        <w:t> 年，亲自推动创建了湖北省药学信息专业委员会。2007 年，明确湖北分网的组织工作由药学信息专业委员会管理，从机制上为湖北药</w:t>
      </w:r>
      <w:r>
        <w:rPr>
          <w:spacing w:val="-14"/>
        </w:rPr>
        <w:t>师群体进入更大的平台提供了机会。积极支持湖北药师在突发事件药品信息保障体系的理论</w:t>
      </w:r>
      <w:r>
        <w:rPr>
          <w:spacing w:val="-10"/>
        </w:rPr>
        <w:t>构建、全国总网湖北分网数据平台的快速扩展、药学信息数据挖掘管理应用的学术探索、药</w:t>
      </w:r>
      <w:r>
        <w:rPr/>
        <w:t>学信息工作人员团队合作的文化建设以及面向大众服务患者走向一线的科普宣传等方面开展理论研究和实践摸索。</w:t>
      </w:r>
    </w:p>
    <w:p>
      <w:pPr>
        <w:pStyle w:val="BodyText"/>
        <w:spacing w:line="297" w:lineRule="auto"/>
        <w:ind w:right="1128" w:firstLine="480"/>
        <w:jc w:val="both"/>
      </w:pPr>
      <w:r>
        <w:rPr>
          <w:spacing w:val="-3"/>
        </w:rPr>
        <w:t>开展课题研究，主持参与国家重大新药创制专项——“化药 </w:t>
      </w:r>
      <w:r>
        <w:rPr/>
        <w:t>1</w:t>
      </w:r>
      <w:r>
        <w:rPr>
          <w:spacing w:val="-14"/>
        </w:rPr>
        <w:t> 类治疗高脂血症 </w:t>
      </w:r>
      <w:r>
        <w:rPr/>
        <w:t>CETP</w:t>
      </w:r>
      <w:r>
        <w:rPr>
          <w:spacing w:val="-30"/>
        </w:rPr>
        <w:t> 抑</w:t>
      </w:r>
      <w:r>
        <w:rPr>
          <w:spacing w:val="-40"/>
        </w:rPr>
        <w:t>制剂 </w:t>
      </w:r>
      <w:r>
        <w:rPr/>
        <w:t>TRZ</w:t>
      </w:r>
      <w:r>
        <w:rPr>
          <w:spacing w:val="-10"/>
        </w:rPr>
        <w:t> 候选药物研究”</w:t>
      </w:r>
      <w:r>
        <w:rPr>
          <w:spacing w:val="-7"/>
        </w:rPr>
        <w:t>（</w:t>
      </w:r>
      <w:r>
        <w:rPr>
          <w:spacing w:val="-9"/>
        </w:rPr>
        <w:t>项目中排名第 </w:t>
      </w:r>
      <w:r>
        <w:rPr>
          <w:spacing w:val="-10"/>
        </w:rPr>
        <w:t>2），</w:t>
      </w:r>
      <w:r>
        <w:rPr>
          <w:spacing w:val="-20"/>
        </w:rPr>
        <w:t>国家 </w:t>
      </w:r>
      <w:r>
        <w:rPr/>
        <w:t>863</w:t>
      </w:r>
      <w:r>
        <w:rPr>
          <w:spacing w:val="-9"/>
        </w:rPr>
        <w:t> 计划——“生物和医药技术领域药</w:t>
      </w:r>
      <w:r>
        <w:rPr>
          <w:spacing w:val="-1"/>
        </w:rPr>
        <w:t>食同源生物资源挖掘关键技术与产品开发”</w:t>
      </w:r>
      <w:r>
        <w:rPr>
          <w:spacing w:val="-8"/>
        </w:rPr>
        <w:t>（</w:t>
      </w:r>
      <w:r>
        <w:rPr>
          <w:spacing w:val="-9"/>
        </w:rPr>
        <w:t>项目中排名第 </w:t>
      </w:r>
      <w:r>
        <w:rPr>
          <w:spacing w:val="-10"/>
        </w:rPr>
        <w:t>2），</w:t>
      </w:r>
      <w:r>
        <w:rPr>
          <w:spacing w:val="-20"/>
        </w:rPr>
        <w:t>国家 </w:t>
      </w:r>
      <w:r>
        <w:rPr/>
        <w:t>863</w:t>
      </w:r>
      <w:r>
        <w:rPr>
          <w:spacing w:val="-10"/>
        </w:rPr>
        <w:t> 计划 “促肝细</w:t>
      </w:r>
      <w:r>
        <w:rPr>
          <w:spacing w:val="-4"/>
        </w:rPr>
        <w:t>胞再生金线莲胶囊保健品的研究与开发” 项目主要研究人员；以第一作者发表 </w:t>
      </w:r>
      <w:r>
        <w:rPr/>
        <w:t>SCI</w:t>
      </w:r>
      <w:r>
        <w:rPr>
          <w:spacing w:val="-30"/>
        </w:rPr>
        <w:t> 论文 </w:t>
      </w:r>
      <w:r>
        <w:rPr>
          <w:spacing w:val="-16"/>
        </w:rPr>
        <w:t>1 </w:t>
      </w:r>
      <w:r>
        <w:rPr/>
        <w:t>篇。</w:t>
      </w:r>
    </w:p>
    <w:p>
      <w:pPr>
        <w:pStyle w:val="BodyText"/>
        <w:spacing w:line="295" w:lineRule="auto"/>
        <w:ind w:right="1129" w:firstLine="480"/>
      </w:pPr>
      <w:r>
        <w:rPr>
          <w:spacing w:val="-6"/>
        </w:rPr>
        <w:t>多次被评中国药学会全国医药经济信息网“信息管理先进个人”，荣获湖北省社团管理</w:t>
      </w:r>
      <w:r>
        <w:rPr/>
        <w:t>先进个人。</w:t>
      </w:r>
    </w:p>
    <w:p>
      <w:pPr>
        <w:pStyle w:val="BodyText"/>
        <w:spacing w:line="261" w:lineRule="auto"/>
        <w:ind w:right="1129" w:firstLine="480"/>
        <w:rPr>
          <w:rFonts w:ascii="Meiryo" w:eastAsia="Meiryo" w:hint="eastAsia"/>
          <w:b/>
        </w:rPr>
      </w:pPr>
      <w:r>
        <w:rPr>
          <w:spacing w:val="-9"/>
        </w:rPr>
        <w:t>兼任中国药学会理事，湖北省科学技术奖励复评会议评审专家，湖北省卫生高级技术职</w:t>
      </w:r>
      <w:r>
        <w:rPr/>
        <w:t>称评审专家，《中国医院药学》杂志常务编委、《医药导报》常务编委。</w:t>
      </w:r>
      <w:r>
        <w:rPr>
          <w:rFonts w:ascii="Meiryo" w:eastAsia="Meiryo" w:hint="eastAsia"/>
          <w:b/>
          <w:color w:val="0033CC"/>
        </w:rPr>
        <w:t>[返回目次]</w:t>
      </w:r>
    </w:p>
    <w:p>
      <w:pPr>
        <w:pStyle w:val="Heading2"/>
        <w:spacing w:before="132"/>
        <w:ind w:left="0" w:right="892"/>
        <w:jc w:val="center"/>
      </w:pPr>
      <w:bookmarkStart w:name="_TOC_250001" w:id="42"/>
      <w:bookmarkEnd w:id="42"/>
      <w:r>
        <w:rPr/>
        <w:t>中南大学湘雅二医院——向大雄</w:t>
      </w:r>
    </w:p>
    <w:p>
      <w:pPr>
        <w:pStyle w:val="Heading3"/>
        <w:spacing w:before="220"/>
        <w:ind w:right="898"/>
        <w:jc w:val="center"/>
      </w:pPr>
      <w:r>
        <w:rPr/>
        <w:t>励志寄语：积极应对新医改挑战，充分发挥药师作用，保障患者用药安全有效。</w:t>
      </w:r>
    </w:p>
    <w:p>
      <w:pPr>
        <w:pStyle w:val="BodyText"/>
        <w:spacing w:line="280" w:lineRule="auto" w:before="156"/>
        <w:ind w:right="1010" w:firstLine="420"/>
      </w:pPr>
      <w:r>
        <w:rPr>
          <w:spacing w:val="-15"/>
        </w:rPr>
        <w:t>向大雄，现任中南大学湘雅二医院药学部主任，湖南省中药制剂新技术重点研究室主任， </w:t>
      </w:r>
      <w:r>
        <w:rPr>
          <w:spacing w:val="-6"/>
        </w:rPr>
        <w:t>中南大学临床药学研究所所长，中南大学湘雅药学院临床药学系副主任、湖南省转化医学与</w:t>
      </w:r>
      <w:r>
        <w:rPr>
          <w:spacing w:val="-8"/>
        </w:rPr>
        <w:t>创新药物工程技术研究中心主任，主任药师，教授，博士生导师，从事药学工作 </w:t>
      </w:r>
      <w:r>
        <w:rPr/>
        <w:t>27</w:t>
      </w:r>
      <w:r>
        <w:rPr>
          <w:spacing w:val="-15"/>
        </w:rPr>
        <w:t> 年。长期从事医院药学管理、创新药物与新制剂研究等工作。主持国家新药创制重大专项课题、国</w:t>
      </w:r>
      <w:r>
        <w:rPr>
          <w:spacing w:val="-18"/>
        </w:rPr>
        <w:t>家科技支撑计划、国家自然科学基金等课题 </w:t>
      </w:r>
      <w:r>
        <w:rPr/>
        <w:t>12</w:t>
      </w:r>
      <w:r>
        <w:rPr>
          <w:spacing w:val="-8"/>
        </w:rPr>
        <w:t> 项，研制了肠溶控释制剂；研制并成功上市</w:t>
      </w:r>
      <w:r>
        <w:rPr>
          <w:spacing w:val="-10"/>
        </w:rPr>
        <w:t>国内第一个阴道给药中药凝胶剂</w:t>
      </w:r>
      <w:r>
        <w:rPr/>
        <w:t>（椿乳凝胶</w:t>
      </w:r>
      <w:r>
        <w:rPr>
          <w:spacing w:val="-26"/>
        </w:rPr>
        <w:t>）</w:t>
      </w:r>
      <w:r>
        <w:rPr>
          <w:spacing w:val="-7"/>
        </w:rPr>
        <w:t>；在国内较早开展了皮肤靶向制剂研究，在国</w:t>
      </w:r>
    </w:p>
    <w:p>
      <w:pPr>
        <w:spacing w:after="0" w:line="280" w:lineRule="auto"/>
        <w:sectPr>
          <w:pgSz w:w="11910" w:h="16850"/>
          <w:pgMar w:header="906" w:footer="607" w:top="1100" w:bottom="800" w:left="1040" w:right="0"/>
        </w:sectPr>
      </w:pPr>
    </w:p>
    <w:p>
      <w:pPr>
        <w:pStyle w:val="BodyText"/>
        <w:spacing w:line="280" w:lineRule="auto" w:before="48"/>
        <w:ind w:right="1026"/>
        <w:jc w:val="both"/>
      </w:pPr>
      <w:r>
        <w:rPr/>
        <w:t>际上较早进行断层-放射自显影技术研究经皮给药脂质体药物在皮肤中的动态分布，在国内</w:t>
      </w:r>
      <w:r>
        <w:rPr>
          <w:spacing w:val="-5"/>
        </w:rPr>
        <w:t>系统提出“医院药学管理 </w:t>
      </w:r>
      <w:r>
        <w:rPr/>
        <w:t>SAFE-CARE</w:t>
      </w:r>
      <w:r>
        <w:rPr>
          <w:spacing w:val="-9"/>
        </w:rPr>
        <w:t> 体系”的学科建设理论和转化药学理论，并积极实践。</w:t>
      </w:r>
    </w:p>
    <w:p>
      <w:pPr>
        <w:pStyle w:val="BodyText"/>
        <w:spacing w:line="280" w:lineRule="auto" w:before="1"/>
        <w:ind w:right="1129" w:firstLine="420"/>
        <w:jc w:val="both"/>
      </w:pPr>
      <w:r>
        <w:rPr>
          <w:spacing w:val="-7"/>
        </w:rPr>
        <w:t>凝练学科方向，组建临床药学、临床药理、创新药物与新制剂、药事管理 </w:t>
      </w:r>
      <w:r>
        <w:rPr/>
        <w:t>4</w:t>
      </w:r>
      <w:r>
        <w:rPr>
          <w:spacing w:val="-14"/>
        </w:rPr>
        <w:t> 个团队，在</w:t>
      </w:r>
      <w:r>
        <w:rPr>
          <w:spacing w:val="-7"/>
        </w:rPr>
        <w:t>国内率先开展病区药房信息化、智能化技术研究，自主审方系统研究及应用，开始药学服务</w:t>
      </w:r>
      <w:r>
        <w:rPr>
          <w:spacing w:val="-11"/>
        </w:rPr>
        <w:t>全员转型改革，以“湘雅精神”为核心的科室文化建设，为药学部的发展培养一批人才和骨</w:t>
      </w:r>
      <w:r>
        <w:rPr>
          <w:spacing w:val="-12"/>
        </w:rPr>
        <w:t>干。药学部入选医院“卓超攀”学科发展计划支持，获省科技厅批准组建“湖南省转化医学</w:t>
      </w:r>
      <w:r>
        <w:rPr>
          <w:spacing w:val="-7"/>
        </w:rPr>
        <w:t>与创新药物工程技术研究中心”，并担任中心首任主任。承担药学本科生、研究生的教学工</w:t>
      </w:r>
      <w:r>
        <w:rPr>
          <w:spacing w:val="-8"/>
        </w:rPr>
        <w:t>作，培养硕士生 </w:t>
      </w:r>
      <w:r>
        <w:rPr/>
        <w:t>31</w:t>
      </w:r>
      <w:r>
        <w:rPr>
          <w:spacing w:val="-14"/>
        </w:rPr>
        <w:t> 名，博士研究生 </w:t>
      </w:r>
      <w:r>
        <w:rPr/>
        <w:t>2</w:t>
      </w:r>
      <w:r>
        <w:rPr>
          <w:spacing w:val="-20"/>
        </w:rPr>
        <w:t> 名。</w:t>
      </w:r>
    </w:p>
    <w:p>
      <w:pPr>
        <w:pStyle w:val="BodyText"/>
        <w:spacing w:before="1"/>
        <w:ind w:left="0" w:right="1205"/>
        <w:jc w:val="right"/>
      </w:pPr>
      <w:r>
        <w:rPr/>
        <w:t>发表科研论文 150 余篇，其中 SCI 文章 20 篇，已获得新药证书 4 项，授权专利 6 项。</w:t>
      </w:r>
    </w:p>
    <w:p>
      <w:pPr>
        <w:pStyle w:val="BodyText"/>
        <w:spacing w:before="52"/>
        <w:ind w:left="0" w:right="1127"/>
        <w:jc w:val="right"/>
      </w:pPr>
      <w:r>
        <w:rPr>
          <w:spacing w:val="-4"/>
        </w:rPr>
        <w:t>先后获得湖南省中医药科技一等奖 </w:t>
      </w:r>
      <w:r>
        <w:rPr/>
        <w:t>1</w:t>
      </w:r>
      <w:r>
        <w:rPr>
          <w:spacing w:val="-16"/>
        </w:rPr>
        <w:t> 项，湖南省科技进步三等奖 </w:t>
      </w:r>
      <w:r>
        <w:rPr/>
        <w:t>1</w:t>
      </w:r>
      <w:r>
        <w:rPr>
          <w:spacing w:val="-12"/>
        </w:rPr>
        <w:t> 项，湖南省卫生厅科技成</w:t>
      </w:r>
    </w:p>
    <w:p>
      <w:pPr>
        <w:pStyle w:val="BodyText"/>
        <w:spacing w:before="53"/>
        <w:jc w:val="both"/>
      </w:pPr>
      <w:r>
        <w:rPr/>
        <w:t>果三等奖 1 项。</w:t>
      </w:r>
    </w:p>
    <w:p>
      <w:pPr>
        <w:pStyle w:val="BodyText"/>
        <w:spacing w:line="280" w:lineRule="auto" w:before="53"/>
        <w:ind w:right="1005" w:firstLine="420"/>
        <w:jc w:val="both"/>
      </w:pPr>
      <w:r>
        <w:rPr>
          <w:spacing w:val="-2"/>
        </w:rPr>
        <w:t>兼任世界中医药学会联合会中药药剂专业委员会常务理事兼副秘书长，中国医院协会药</w:t>
      </w:r>
      <w:r>
        <w:rPr>
          <w:spacing w:val="-9"/>
        </w:rPr>
        <w:t>事管理专业委员会委员，湖南省药学会医院药学专业委员会主任委员，湖南省医院协会药事</w:t>
      </w:r>
      <w:r>
        <w:rPr>
          <w:spacing w:val="-14"/>
        </w:rPr>
        <w:t>管理专业委员会委员，湖南省中医药学会中药专业委员会副主任委员，湖南省医药行业协会</w:t>
      </w:r>
      <w:r>
        <w:rPr>
          <w:spacing w:val="-18"/>
        </w:rPr>
        <w:t>专家委员会委员，湖南省执业药师协会常务理事，《中南药学》杂志副主编、《用药与健康》</w:t>
      </w:r>
    </w:p>
    <w:p>
      <w:pPr>
        <w:spacing w:line="420" w:lineRule="exact" w:before="0"/>
        <w:ind w:left="237" w:right="0" w:firstLine="0"/>
        <w:jc w:val="left"/>
        <w:rPr>
          <w:rFonts w:ascii="Meiryo" w:eastAsia="Meiryo" w:hint="eastAsia"/>
          <w:b/>
          <w:sz w:val="24"/>
        </w:rPr>
      </w:pPr>
      <w:r>
        <w:rPr>
          <w:sz w:val="24"/>
        </w:rPr>
        <w:t>杂志副总编辑。</w:t>
      </w:r>
      <w:r>
        <w:rPr>
          <w:rFonts w:ascii="Meiryo" w:eastAsia="Meiryo" w:hint="eastAsia"/>
          <w:b/>
          <w:color w:val="0033CC"/>
          <w:sz w:val="24"/>
        </w:rPr>
        <w:t>[返回目次]</w:t>
      </w:r>
    </w:p>
    <w:p>
      <w:pPr>
        <w:pStyle w:val="Heading2"/>
        <w:spacing w:before="189"/>
        <w:ind w:left="0" w:right="897"/>
        <w:jc w:val="center"/>
      </w:pPr>
      <w:bookmarkStart w:name="_TOC_250000" w:id="43"/>
      <w:bookmarkEnd w:id="43"/>
      <w:r>
        <w:rPr/>
        <w:t>邵阳学院附属第一医院——范秀珍</w:t>
      </w:r>
    </w:p>
    <w:p>
      <w:pPr>
        <w:pStyle w:val="Heading3"/>
        <w:spacing w:before="220"/>
        <w:ind w:right="899"/>
        <w:jc w:val="center"/>
      </w:pPr>
      <w:r>
        <w:rPr/>
        <w:t>励志寄语：简单生活，用心工作。一份耕耘，一份收获。</w:t>
      </w:r>
    </w:p>
    <w:p>
      <w:pPr>
        <w:pStyle w:val="BodyText"/>
        <w:spacing w:line="297" w:lineRule="auto" w:before="170"/>
        <w:ind w:right="1127" w:firstLine="420"/>
        <w:jc w:val="both"/>
      </w:pPr>
      <w:r>
        <w:rPr>
          <w:spacing w:val="-7"/>
        </w:rPr>
        <w:t>范秀珍，现任邵阳学院附属第一医院药学部主任，主任药师，教授，博士生导师，从事</w:t>
      </w:r>
      <w:r>
        <w:rPr>
          <w:spacing w:val="-18"/>
        </w:rPr>
        <w:t>药学工作 </w:t>
      </w:r>
      <w:r>
        <w:rPr/>
        <w:t>24</w:t>
      </w:r>
      <w:r>
        <w:rPr>
          <w:spacing w:val="-8"/>
        </w:rPr>
        <w:t> 年。建立药学部一系列的制度和规范，涵盖医院药事管理的各个环节。充分发</w:t>
      </w:r>
      <w:r>
        <w:rPr>
          <w:spacing w:val="-14"/>
        </w:rPr>
        <w:t>挥管理职能，协同医务部门，加强药品遴选、采购、处方审核、调剂、临床应用等环节的全</w:t>
      </w:r>
      <w:r>
        <w:rPr>
          <w:spacing w:val="-11"/>
        </w:rPr>
        <w:t>过程管理，确保医院用药安全、合理。熟练掌握临床常见病的药物治疗和处理，尤其擅长抗</w:t>
      </w:r>
      <w:r>
        <w:rPr>
          <w:spacing w:val="-7"/>
        </w:rPr>
        <w:t>菌药物的治疗和管理，参加会诊、业务查房和药物咨询，解决各种危疑难病的药物治疗。促</w:t>
      </w:r>
      <w:r>
        <w:rPr>
          <w:spacing w:val="-13"/>
        </w:rPr>
        <w:t>进科室转变药学服务模式，开展新制剂研究、用药咨询、前置审方工作等项工作；药事管理</w:t>
      </w:r>
      <w:r>
        <w:rPr>
          <w:spacing w:val="-11"/>
        </w:rPr>
        <w:t>规范，药品采购制度化、程序化和规范化，医院药品结构合理，药学部被定为邵阳市临床用</w:t>
      </w:r>
      <w:r>
        <w:rPr/>
        <w:t>药质控中心。</w:t>
      </w:r>
    </w:p>
    <w:p>
      <w:pPr>
        <w:pStyle w:val="BodyText"/>
        <w:spacing w:line="297" w:lineRule="auto"/>
        <w:ind w:right="1127" w:firstLine="420"/>
        <w:jc w:val="both"/>
      </w:pPr>
      <w:r>
        <w:rPr>
          <w:spacing w:val="-6"/>
        </w:rPr>
        <w:t>加强临床药师队伍的建设。开展 </w:t>
      </w:r>
      <w:r>
        <w:rPr/>
        <w:t>TDM</w:t>
      </w:r>
      <w:r>
        <w:rPr>
          <w:spacing w:val="-11"/>
        </w:rPr>
        <w:t> 工作，参与药物应用环节质控，探索重点监控药品</w:t>
      </w:r>
      <w:r>
        <w:rPr>
          <w:spacing w:val="-10"/>
        </w:rPr>
        <w:t>管理，开展药品不良反应监测，医院连续五年被评为市药品不良反应监测先进单位。开发医院制剂，医院制剂产品覆盖周边各市。规范开展药物临床试验，取得 </w:t>
      </w:r>
      <w:r>
        <w:rPr/>
        <w:t>GCP</w:t>
      </w:r>
      <w:r>
        <w:rPr>
          <w:spacing w:val="-11"/>
        </w:rPr>
        <w:t> 资质；积极开展科普宣教，获湖南省首批食品药品安全科普教育基地。</w:t>
      </w:r>
    </w:p>
    <w:p>
      <w:pPr>
        <w:pStyle w:val="BodyText"/>
        <w:spacing w:line="297" w:lineRule="auto"/>
        <w:ind w:right="1127" w:firstLine="420"/>
        <w:jc w:val="both"/>
      </w:pPr>
      <w:r>
        <w:rPr>
          <w:spacing w:val="-6"/>
        </w:rPr>
        <w:t>积极参加全国、省、市药学会活动，是邵阳市药学会活动的主要组织者，近年来组织市</w:t>
      </w:r>
      <w:r>
        <w:rPr>
          <w:spacing w:val="-4"/>
        </w:rPr>
        <w:t>药学会开展全市药学和医务人员业务培训 </w:t>
      </w:r>
      <w:r>
        <w:rPr/>
        <w:t>5</w:t>
      </w:r>
      <w:r>
        <w:rPr>
          <w:spacing w:val="-14"/>
        </w:rPr>
        <w:t> 次，受训人员达 </w:t>
      </w:r>
      <w:r>
        <w:rPr/>
        <w:t>2000</w:t>
      </w:r>
      <w:r>
        <w:rPr>
          <w:spacing w:val="-8"/>
        </w:rPr>
        <w:t> 人次以上。承担全市临床</w:t>
      </w:r>
      <w:r>
        <w:rPr>
          <w:spacing w:val="-13"/>
        </w:rPr>
        <w:t>用药质量控制和指导，每月两次定点指导医联体合作单位工作。承担长沙医学院，邵阳学院</w:t>
      </w:r>
      <w:r>
        <w:rPr>
          <w:spacing w:val="-6"/>
        </w:rPr>
        <w:t>等院校实习学生带教工作。严谨的管理获同行和卫生行政部门的高度评价，《中华医学信息</w:t>
      </w:r>
      <w:r>
        <w:rPr>
          <w:spacing w:val="-13"/>
        </w:rPr>
        <w:t>导报》在 </w:t>
      </w:r>
      <w:r>
        <w:rPr/>
        <w:t>2016</w:t>
      </w:r>
      <w:r>
        <w:rPr>
          <w:spacing w:val="-40"/>
        </w:rPr>
        <w:t> 年 </w:t>
      </w:r>
      <w:r>
        <w:rPr/>
        <w:t>6</w:t>
      </w:r>
      <w:r>
        <w:rPr>
          <w:spacing w:val="-40"/>
        </w:rPr>
        <w:t> 月 </w:t>
      </w:r>
      <w:r>
        <w:rPr/>
        <w:t>27</w:t>
      </w:r>
      <w:r>
        <w:rPr>
          <w:spacing w:val="-8"/>
        </w:rPr>
        <w:t> 日进行专题报道。</w:t>
      </w:r>
    </w:p>
    <w:p>
      <w:pPr>
        <w:pStyle w:val="BodyText"/>
        <w:spacing w:line="302" w:lineRule="exact"/>
        <w:ind w:left="657"/>
        <w:jc w:val="both"/>
      </w:pPr>
      <w:r>
        <w:rPr/>
        <w:t>在《中国临床药理学杂志》等国家核心期刊发表论文 20 余篇。主持省卫生厅课题 1 项，</w:t>
      </w:r>
    </w:p>
    <w:p>
      <w:pPr>
        <w:pStyle w:val="BodyText"/>
        <w:spacing w:before="57"/>
        <w:jc w:val="both"/>
      </w:pPr>
      <w:r>
        <w:rPr/>
        <w:t>参与省市厅科研课题 4 项。获得邵阳市科技成果二、三等奖各 1 项。</w:t>
      </w:r>
    </w:p>
    <w:p>
      <w:pPr>
        <w:spacing w:after="0"/>
        <w:jc w:val="both"/>
        <w:sectPr>
          <w:pgSz w:w="11910" w:h="16850"/>
          <w:pgMar w:header="906" w:footer="607" w:top="1100" w:bottom="800" w:left="1040" w:right="0"/>
        </w:sectPr>
      </w:pPr>
    </w:p>
    <w:p>
      <w:pPr>
        <w:pStyle w:val="BodyText"/>
        <w:spacing w:line="297" w:lineRule="auto" w:before="65"/>
        <w:ind w:right="1126" w:firstLine="420"/>
      </w:pPr>
      <w:r>
        <w:rPr/>
        <w:t>2014</w:t>
      </w:r>
      <w:r>
        <w:rPr>
          <w:spacing w:val="-8"/>
        </w:rPr>
        <w:t> 年荣获邵阳市三八红旗手称号</w:t>
      </w:r>
      <w:r>
        <w:rPr/>
        <w:t>，2015</w:t>
      </w:r>
      <w:r>
        <w:rPr>
          <w:spacing w:val="-8"/>
        </w:rPr>
        <w:t> 年获湖南省质量管理小组优秀推进者，</w:t>
      </w:r>
      <w:r>
        <w:rPr/>
        <w:t>2015 </w:t>
      </w:r>
      <w:r>
        <w:rPr>
          <w:spacing w:val="-3"/>
        </w:rPr>
        <w:t>年获得中国药学会全国医药经济信息网“信息工作先进单位”，</w:t>
      </w:r>
      <w:r>
        <w:rPr>
          <w:spacing w:val="-4"/>
        </w:rPr>
        <w:t>2016</w:t>
      </w:r>
      <w:r>
        <w:rPr>
          <w:spacing w:val="-10"/>
        </w:rPr>
        <w:t> 年获 “第四届全国医</w:t>
      </w:r>
      <w:r>
        <w:rPr>
          <w:spacing w:val="-9"/>
        </w:rPr>
        <w:t>院品管圈大赛”三等奖，被评为医院优秀共产党员、医院感染管理工作先进个人、优秀带教老师等。</w:t>
      </w:r>
    </w:p>
    <w:p>
      <w:pPr>
        <w:pStyle w:val="BodyText"/>
        <w:spacing w:line="295" w:lineRule="auto"/>
        <w:ind w:right="1007" w:firstLine="420"/>
      </w:pPr>
      <w:r>
        <w:rPr>
          <w:spacing w:val="-3"/>
        </w:rPr>
        <w:t>兼任湖南省药学会第十四届理事、医院药学专业委员会委员，邵阳市医学会临床药学专</w:t>
      </w:r>
      <w:r>
        <w:rPr>
          <w:spacing w:val="-16"/>
        </w:rPr>
        <w:t>业委员会主任委员，湖南省临床用药质量控制中心委员，邵阳市临床用药质量控制中心主任。</w:t>
      </w:r>
    </w:p>
    <w:p>
      <w:pPr>
        <w:pStyle w:val="Heading3"/>
        <w:spacing w:line="438" w:lineRule="exact"/>
        <w:ind w:left="717"/>
        <w:rPr>
          <w:rFonts w:ascii="Meiryo" w:eastAsia="Meiryo" w:hint="eastAsia"/>
        </w:rPr>
      </w:pPr>
      <w:r>
        <w:rPr>
          <w:rFonts w:ascii="华文楷体" w:eastAsia="华文楷体" w:hint="eastAsia"/>
          <w:color w:val="006FC0"/>
        </w:rPr>
        <w:t>以上药师荣获 2018 年中国药学会优秀药师</w:t>
      </w:r>
      <w:r>
        <w:rPr>
          <w:rFonts w:ascii="Meiryo" w:eastAsia="Meiryo" w:hint="eastAsia"/>
          <w:color w:val="0033CC"/>
        </w:rPr>
        <w:t>[返回目次]</w:t>
      </w:r>
    </w:p>
    <w:sectPr>
      <w:pgSz w:w="11910" w:h="16850"/>
      <w:pgMar w:header="906" w:footer="607" w:top="1100" w:bottom="800" w:left="104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华文楷体">
    <w:altName w:val="华文楷体"/>
    <w:charset w:val="86"/>
    <w:family w:val="auto"/>
    <w:pitch w:val="variable"/>
  </w:font>
  <w:font w:name="黑体">
    <w:altName w:val="黑体"/>
    <w:charset w:val="86"/>
    <w:family w:val="modern"/>
    <w:pitch w:val="fixed"/>
  </w:font>
  <w:font w:name="Calibri">
    <w:altName w:val="Calibri"/>
    <w:charset w:val="0"/>
    <w:family w:val="swiss"/>
    <w:pitch w:val="variable"/>
  </w:font>
  <w:font w:name="Meiryo">
    <w:altName w:val="Meiryo"/>
    <w:charset w:val="0"/>
    <w:family w:val="swiss"/>
    <w:pitch w:val="variable"/>
  </w:font>
  <w:font w:name="楷体">
    <w:altName w:val="楷体"/>
    <w:charset w:val="86"/>
    <w:family w:val="modern"/>
    <w:pitch w:val="fixed"/>
  </w:font>
  <w:font w:name="宋体">
    <w:altName w:val="宋体"/>
    <w:charset w:val="86"/>
    <w:family w:val="auto"/>
    <w:pitch w:val="variable"/>
  </w:font>
  <w:font w:name="华文宋体">
    <w:altName w:val="华文宋体"/>
    <w:charset w:val="86"/>
    <w:family w:val="auto"/>
    <w:pitch w:val="variable"/>
  </w:font>
  <w:font w:name="Arial">
    <w:altName w:val="Arial"/>
    <w:charset w:val="0"/>
    <w:family w:val="swiss"/>
    <w:pitch w:val="variable"/>
  </w:font>
  <w:font w:name="等线">
    <w:altName w:val="等线"/>
    <w:charset w:val="86"/>
    <w:family w:val="auto"/>
    <w:pitch w:val="variable"/>
  </w:font>
  <w:font w:name="隶书">
    <w:altName w:val="隶书"/>
    <w:charset w:val="86"/>
    <w:family w:val="modern"/>
    <w:pitch w:val="fixed"/>
  </w:font>
  <w:font w:name="Microsoft JhengHei">
    <w:altName w:val="Microsoft JhengHe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95.970001pt;margin-top:789.769958pt;width:10.6pt;height:11pt;mso-position-horizontal-relative:page;mso-position-vertical-relative:page;z-index:-25397862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6531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23</w:t>
                </w:r>
                <w:r>
                  <w:rPr/>
                  <w:fldChar w:fldCharType="end"/>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6428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33</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6224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34</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295.970001pt;margin-top:789.769958pt;width:10.6pt;height:11pt;mso-position-horizontal-relative:page;mso-position-vertical-relative:page;z-index:-25397657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7452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10</w:t>
                </w:r>
                <w:r>
                  <w:rPr/>
                  <w:fldChar w:fldCharType="end"/>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7350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14</w:t>
                </w:r>
                <w:r>
                  <w:rPr/>
                  <w:fldChar w:fldCharType="end"/>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71456"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15</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70432"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19</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69408"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20</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68384"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21</w:t>
                </w:r>
                <w:r>
                  <w:rPr/>
                  <w:fldChar w:fldCharType="end"/>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 style="position:absolute;margin-left:60.863998pt;margin-top:800.690002pt;width:15.15pt;height:11pt;mso-position-horizontal-relative:page;mso-position-vertical-relative:page;z-index:-253967360" type="#_x0000_t202" filled="false" stroked="false">
          <v:textbox inset="0,0,0,0">
            <w:txbxContent>
              <w:p>
                <w:pPr>
                  <w:spacing w:line="203" w:lineRule="exact" w:before="0"/>
                  <w:ind w:left="60" w:right="0" w:firstLine="0"/>
                  <w:jc w:val="left"/>
                  <w:rPr>
                    <w:rFonts w:ascii="Calibri"/>
                    <w:sz w:val="18"/>
                  </w:rPr>
                </w:pPr>
                <w:r>
                  <w:rPr/>
                  <w:fldChar w:fldCharType="begin"/>
                </w:r>
                <w:r>
                  <w:rPr>
                    <w:rFonts w:ascii="Calibri"/>
                    <w:sz w:val="18"/>
                  </w:rPr>
                  <w:instrText> PAGE </w:instrText>
                </w:r>
                <w:r>
                  <w:rPr/>
                  <w:fldChar w:fldCharType="separate"/>
                </w:r>
                <w:r>
                  <w:rPr/>
                  <w:t>22</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977600" from="62.400002pt,54.959976pt" to="540.220002pt,54.959976pt" stroked="true" strokeweight=".72pt" strokecolor="#000000">
          <v:stroke dashstyle="solid"/>
          <w10:wrap type="none"/>
        </v:lin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963264" from="62.400002pt,54.959976pt" to="540.220002pt,54.959976pt" stroked="true" strokeweight=".72pt" strokecolor="#000000">
          <v:stroke dashstyle="solid"/>
          <w10:wrap type="none"/>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975552" from="62.400002pt,54.959976pt" to="540.220002pt,54.959976pt" stroked="true" strokeweight=".72pt" strokecolor="#000000">
          <v:stroke dashstyle="solid"/>
          <w10:wrap type="none"/>
        </v:lin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972480" from="62.400002pt,54.959976pt" to="540.220002pt,54.959976pt" stroked="true" strokeweight=".72pt" strokecolor="#000000">
          <v:stroke dashstyle="solid"/>
          <w10:wrap type="none"/>
        </v:lin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line style="position:absolute;mso-position-horizontal-relative:page;mso-position-vertical-relative:page;z-index:-253966336" from="62.400002pt,54.959976pt" to="540.220002pt,54.959976pt" stroked="true" strokeweight=".72pt" strokecolor="#000000">
          <v:stroke dashstyle="solid"/>
          <w10:wrap type="none"/>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897" w:hanging="180"/>
        <w:jc w:val="right"/>
      </w:pPr>
      <w:rPr>
        <w:rFonts w:hint="default" w:ascii="宋体" w:hAnsi="宋体" w:eastAsia="宋体" w:cs="宋体"/>
        <w:w w:val="100"/>
        <w:sz w:val="24"/>
        <w:szCs w:val="24"/>
        <w:lang w:val="zh-cn" w:eastAsia="zh-cn" w:bidi="zh-cn"/>
      </w:rPr>
    </w:lvl>
    <w:lvl w:ilvl="1">
      <w:start w:val="1"/>
      <w:numFmt w:val="decimal"/>
      <w:lvlText w:val="%2."/>
      <w:lvlJc w:val="left"/>
      <w:pPr>
        <w:ind w:left="958" w:hanging="241"/>
        <w:jc w:val="left"/>
      </w:pPr>
      <w:rPr>
        <w:rFonts w:hint="default" w:ascii="宋体" w:hAnsi="宋体" w:eastAsia="宋体" w:cs="宋体"/>
        <w:w w:val="100"/>
        <w:sz w:val="22"/>
        <w:szCs w:val="22"/>
        <w:lang w:val="zh-cn" w:eastAsia="zh-cn" w:bidi="zh-cn"/>
      </w:rPr>
    </w:lvl>
    <w:lvl w:ilvl="2">
      <w:start w:val="0"/>
      <w:numFmt w:val="bullet"/>
      <w:lvlText w:val="•"/>
      <w:lvlJc w:val="left"/>
      <w:pPr>
        <w:ind w:left="2060" w:hanging="241"/>
      </w:pPr>
      <w:rPr>
        <w:rFonts w:hint="default"/>
        <w:lang w:val="zh-cn" w:eastAsia="zh-cn" w:bidi="zh-cn"/>
      </w:rPr>
    </w:lvl>
    <w:lvl w:ilvl="3">
      <w:start w:val="0"/>
      <w:numFmt w:val="bullet"/>
      <w:lvlText w:val="•"/>
      <w:lvlJc w:val="left"/>
      <w:pPr>
        <w:ind w:left="3161" w:hanging="241"/>
      </w:pPr>
      <w:rPr>
        <w:rFonts w:hint="default"/>
        <w:lang w:val="zh-cn" w:eastAsia="zh-cn" w:bidi="zh-cn"/>
      </w:rPr>
    </w:lvl>
    <w:lvl w:ilvl="4">
      <w:start w:val="0"/>
      <w:numFmt w:val="bullet"/>
      <w:lvlText w:val="•"/>
      <w:lvlJc w:val="left"/>
      <w:pPr>
        <w:ind w:left="4262" w:hanging="241"/>
      </w:pPr>
      <w:rPr>
        <w:rFonts w:hint="default"/>
        <w:lang w:val="zh-cn" w:eastAsia="zh-cn" w:bidi="zh-cn"/>
      </w:rPr>
    </w:lvl>
    <w:lvl w:ilvl="5">
      <w:start w:val="0"/>
      <w:numFmt w:val="bullet"/>
      <w:lvlText w:val="•"/>
      <w:lvlJc w:val="left"/>
      <w:pPr>
        <w:ind w:left="5362" w:hanging="241"/>
      </w:pPr>
      <w:rPr>
        <w:rFonts w:hint="default"/>
        <w:lang w:val="zh-cn" w:eastAsia="zh-cn" w:bidi="zh-cn"/>
      </w:rPr>
    </w:lvl>
    <w:lvl w:ilvl="6">
      <w:start w:val="0"/>
      <w:numFmt w:val="bullet"/>
      <w:lvlText w:val="•"/>
      <w:lvlJc w:val="left"/>
      <w:pPr>
        <w:ind w:left="6463" w:hanging="241"/>
      </w:pPr>
      <w:rPr>
        <w:rFonts w:hint="default"/>
        <w:lang w:val="zh-cn" w:eastAsia="zh-cn" w:bidi="zh-cn"/>
      </w:rPr>
    </w:lvl>
    <w:lvl w:ilvl="7">
      <w:start w:val="0"/>
      <w:numFmt w:val="bullet"/>
      <w:lvlText w:val="•"/>
      <w:lvlJc w:val="left"/>
      <w:pPr>
        <w:ind w:left="7564" w:hanging="241"/>
      </w:pPr>
      <w:rPr>
        <w:rFonts w:hint="default"/>
        <w:lang w:val="zh-cn" w:eastAsia="zh-cn" w:bidi="zh-cn"/>
      </w:rPr>
    </w:lvl>
    <w:lvl w:ilvl="8">
      <w:start w:val="0"/>
      <w:numFmt w:val="bullet"/>
      <w:lvlText w:val="•"/>
      <w:lvlJc w:val="left"/>
      <w:pPr>
        <w:ind w:left="8664" w:hanging="241"/>
      </w:pPr>
      <w:rPr>
        <w:rFonts w:hint="default"/>
        <w:lang w:val="zh-cn" w:eastAsia="zh-cn" w:bidi="zh-cn"/>
      </w:rPr>
    </w:lvl>
  </w:abstractNum>
  <w:abstractNum w:abstractNumId="15">
    <w:multiLevelType w:val="hybridMultilevel"/>
    <w:lvl w:ilvl="0">
      <w:start w:val="1"/>
      <w:numFmt w:val="decimal"/>
      <w:lvlText w:val="%1."/>
      <w:lvlJc w:val="left"/>
      <w:pPr>
        <w:ind w:left="237" w:hanging="361"/>
        <w:jc w:val="left"/>
      </w:pPr>
      <w:rPr>
        <w:rFonts w:hint="default" w:ascii="宋体" w:hAnsi="宋体" w:eastAsia="宋体" w:cs="宋体"/>
        <w:spacing w:val="-17"/>
        <w:w w:val="100"/>
        <w:sz w:val="22"/>
        <w:szCs w:val="22"/>
        <w:lang w:val="zh-cn" w:eastAsia="zh-cn" w:bidi="zh-cn"/>
      </w:rPr>
    </w:lvl>
    <w:lvl w:ilvl="1">
      <w:start w:val="0"/>
      <w:numFmt w:val="bullet"/>
      <w:lvlText w:val="•"/>
      <w:lvlJc w:val="left"/>
      <w:pPr>
        <w:ind w:left="1302" w:hanging="361"/>
      </w:pPr>
      <w:rPr>
        <w:rFonts w:hint="default"/>
        <w:lang w:val="zh-cn" w:eastAsia="zh-cn" w:bidi="zh-cn"/>
      </w:rPr>
    </w:lvl>
    <w:lvl w:ilvl="2">
      <w:start w:val="0"/>
      <w:numFmt w:val="bullet"/>
      <w:lvlText w:val="•"/>
      <w:lvlJc w:val="left"/>
      <w:pPr>
        <w:ind w:left="2365" w:hanging="361"/>
      </w:pPr>
      <w:rPr>
        <w:rFonts w:hint="default"/>
        <w:lang w:val="zh-cn" w:eastAsia="zh-cn" w:bidi="zh-cn"/>
      </w:rPr>
    </w:lvl>
    <w:lvl w:ilvl="3">
      <w:start w:val="0"/>
      <w:numFmt w:val="bullet"/>
      <w:lvlText w:val="•"/>
      <w:lvlJc w:val="left"/>
      <w:pPr>
        <w:ind w:left="3427" w:hanging="361"/>
      </w:pPr>
      <w:rPr>
        <w:rFonts w:hint="default"/>
        <w:lang w:val="zh-cn" w:eastAsia="zh-cn" w:bidi="zh-cn"/>
      </w:rPr>
    </w:lvl>
    <w:lvl w:ilvl="4">
      <w:start w:val="0"/>
      <w:numFmt w:val="bullet"/>
      <w:lvlText w:val="•"/>
      <w:lvlJc w:val="left"/>
      <w:pPr>
        <w:ind w:left="4490" w:hanging="361"/>
      </w:pPr>
      <w:rPr>
        <w:rFonts w:hint="default"/>
        <w:lang w:val="zh-cn" w:eastAsia="zh-cn" w:bidi="zh-cn"/>
      </w:rPr>
    </w:lvl>
    <w:lvl w:ilvl="5">
      <w:start w:val="0"/>
      <w:numFmt w:val="bullet"/>
      <w:lvlText w:val="•"/>
      <w:lvlJc w:val="left"/>
      <w:pPr>
        <w:ind w:left="5553" w:hanging="361"/>
      </w:pPr>
      <w:rPr>
        <w:rFonts w:hint="default"/>
        <w:lang w:val="zh-cn" w:eastAsia="zh-cn" w:bidi="zh-cn"/>
      </w:rPr>
    </w:lvl>
    <w:lvl w:ilvl="6">
      <w:start w:val="0"/>
      <w:numFmt w:val="bullet"/>
      <w:lvlText w:val="•"/>
      <w:lvlJc w:val="left"/>
      <w:pPr>
        <w:ind w:left="6615" w:hanging="361"/>
      </w:pPr>
      <w:rPr>
        <w:rFonts w:hint="default"/>
        <w:lang w:val="zh-cn" w:eastAsia="zh-cn" w:bidi="zh-cn"/>
      </w:rPr>
    </w:lvl>
    <w:lvl w:ilvl="7">
      <w:start w:val="0"/>
      <w:numFmt w:val="bullet"/>
      <w:lvlText w:val="•"/>
      <w:lvlJc w:val="left"/>
      <w:pPr>
        <w:ind w:left="7678" w:hanging="361"/>
      </w:pPr>
      <w:rPr>
        <w:rFonts w:hint="default"/>
        <w:lang w:val="zh-cn" w:eastAsia="zh-cn" w:bidi="zh-cn"/>
      </w:rPr>
    </w:lvl>
    <w:lvl w:ilvl="8">
      <w:start w:val="0"/>
      <w:numFmt w:val="bullet"/>
      <w:lvlText w:val="•"/>
      <w:lvlJc w:val="left"/>
      <w:pPr>
        <w:ind w:left="8741" w:hanging="361"/>
      </w:pPr>
      <w:rPr>
        <w:rFonts w:hint="default"/>
        <w:lang w:val="zh-cn" w:eastAsia="zh-cn" w:bidi="zh-cn"/>
      </w:rPr>
    </w:lvl>
  </w:abstractNum>
  <w:abstractNum w:abstractNumId="14">
    <w:multiLevelType w:val="hybridMultilevel"/>
    <w:lvl w:ilvl="0">
      <w:start w:val="1"/>
      <w:numFmt w:val="decimal"/>
      <w:lvlText w:val="（%1）"/>
      <w:lvlJc w:val="left"/>
      <w:pPr>
        <w:ind w:left="1318"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274" w:hanging="601"/>
      </w:pPr>
      <w:rPr>
        <w:rFonts w:hint="default"/>
        <w:lang w:val="zh-cn" w:eastAsia="zh-cn" w:bidi="zh-cn"/>
      </w:rPr>
    </w:lvl>
    <w:lvl w:ilvl="2">
      <w:start w:val="0"/>
      <w:numFmt w:val="bullet"/>
      <w:lvlText w:val="•"/>
      <w:lvlJc w:val="left"/>
      <w:pPr>
        <w:ind w:left="3229" w:hanging="601"/>
      </w:pPr>
      <w:rPr>
        <w:rFonts w:hint="default"/>
        <w:lang w:val="zh-cn" w:eastAsia="zh-cn" w:bidi="zh-cn"/>
      </w:rPr>
    </w:lvl>
    <w:lvl w:ilvl="3">
      <w:start w:val="0"/>
      <w:numFmt w:val="bullet"/>
      <w:lvlText w:val="•"/>
      <w:lvlJc w:val="left"/>
      <w:pPr>
        <w:ind w:left="4183" w:hanging="601"/>
      </w:pPr>
      <w:rPr>
        <w:rFonts w:hint="default"/>
        <w:lang w:val="zh-cn" w:eastAsia="zh-cn" w:bidi="zh-cn"/>
      </w:rPr>
    </w:lvl>
    <w:lvl w:ilvl="4">
      <w:start w:val="0"/>
      <w:numFmt w:val="bullet"/>
      <w:lvlText w:val="•"/>
      <w:lvlJc w:val="left"/>
      <w:pPr>
        <w:ind w:left="5138" w:hanging="601"/>
      </w:pPr>
      <w:rPr>
        <w:rFonts w:hint="default"/>
        <w:lang w:val="zh-cn" w:eastAsia="zh-cn" w:bidi="zh-cn"/>
      </w:rPr>
    </w:lvl>
    <w:lvl w:ilvl="5">
      <w:start w:val="0"/>
      <w:numFmt w:val="bullet"/>
      <w:lvlText w:val="•"/>
      <w:lvlJc w:val="left"/>
      <w:pPr>
        <w:ind w:left="6093" w:hanging="601"/>
      </w:pPr>
      <w:rPr>
        <w:rFonts w:hint="default"/>
        <w:lang w:val="zh-cn" w:eastAsia="zh-cn" w:bidi="zh-cn"/>
      </w:rPr>
    </w:lvl>
    <w:lvl w:ilvl="6">
      <w:start w:val="0"/>
      <w:numFmt w:val="bullet"/>
      <w:lvlText w:val="•"/>
      <w:lvlJc w:val="left"/>
      <w:pPr>
        <w:ind w:left="7047" w:hanging="601"/>
      </w:pPr>
      <w:rPr>
        <w:rFonts w:hint="default"/>
        <w:lang w:val="zh-cn" w:eastAsia="zh-cn" w:bidi="zh-cn"/>
      </w:rPr>
    </w:lvl>
    <w:lvl w:ilvl="7">
      <w:start w:val="0"/>
      <w:numFmt w:val="bullet"/>
      <w:lvlText w:val="•"/>
      <w:lvlJc w:val="left"/>
      <w:pPr>
        <w:ind w:left="8002" w:hanging="601"/>
      </w:pPr>
      <w:rPr>
        <w:rFonts w:hint="default"/>
        <w:lang w:val="zh-cn" w:eastAsia="zh-cn" w:bidi="zh-cn"/>
      </w:rPr>
    </w:lvl>
    <w:lvl w:ilvl="8">
      <w:start w:val="0"/>
      <w:numFmt w:val="bullet"/>
      <w:lvlText w:val="•"/>
      <w:lvlJc w:val="left"/>
      <w:pPr>
        <w:ind w:left="8957" w:hanging="601"/>
      </w:pPr>
      <w:rPr>
        <w:rFonts w:hint="default"/>
        <w:lang w:val="zh-cn" w:eastAsia="zh-cn" w:bidi="zh-cn"/>
      </w:rPr>
    </w:lvl>
  </w:abstractNum>
  <w:abstractNum w:abstractNumId="13">
    <w:multiLevelType w:val="hybridMultilevel"/>
    <w:lvl w:ilvl="0">
      <w:start w:val="1"/>
      <w:numFmt w:val="decimal"/>
      <w:lvlText w:val="（%1）"/>
      <w:lvlJc w:val="left"/>
      <w:pPr>
        <w:ind w:left="1318" w:hanging="60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2274" w:hanging="601"/>
      </w:pPr>
      <w:rPr>
        <w:rFonts w:hint="default"/>
        <w:lang w:val="zh-cn" w:eastAsia="zh-cn" w:bidi="zh-cn"/>
      </w:rPr>
    </w:lvl>
    <w:lvl w:ilvl="2">
      <w:start w:val="0"/>
      <w:numFmt w:val="bullet"/>
      <w:lvlText w:val="•"/>
      <w:lvlJc w:val="left"/>
      <w:pPr>
        <w:ind w:left="3229" w:hanging="601"/>
      </w:pPr>
      <w:rPr>
        <w:rFonts w:hint="default"/>
        <w:lang w:val="zh-cn" w:eastAsia="zh-cn" w:bidi="zh-cn"/>
      </w:rPr>
    </w:lvl>
    <w:lvl w:ilvl="3">
      <w:start w:val="0"/>
      <w:numFmt w:val="bullet"/>
      <w:lvlText w:val="•"/>
      <w:lvlJc w:val="left"/>
      <w:pPr>
        <w:ind w:left="4183" w:hanging="601"/>
      </w:pPr>
      <w:rPr>
        <w:rFonts w:hint="default"/>
        <w:lang w:val="zh-cn" w:eastAsia="zh-cn" w:bidi="zh-cn"/>
      </w:rPr>
    </w:lvl>
    <w:lvl w:ilvl="4">
      <w:start w:val="0"/>
      <w:numFmt w:val="bullet"/>
      <w:lvlText w:val="•"/>
      <w:lvlJc w:val="left"/>
      <w:pPr>
        <w:ind w:left="5138" w:hanging="601"/>
      </w:pPr>
      <w:rPr>
        <w:rFonts w:hint="default"/>
        <w:lang w:val="zh-cn" w:eastAsia="zh-cn" w:bidi="zh-cn"/>
      </w:rPr>
    </w:lvl>
    <w:lvl w:ilvl="5">
      <w:start w:val="0"/>
      <w:numFmt w:val="bullet"/>
      <w:lvlText w:val="•"/>
      <w:lvlJc w:val="left"/>
      <w:pPr>
        <w:ind w:left="6093" w:hanging="601"/>
      </w:pPr>
      <w:rPr>
        <w:rFonts w:hint="default"/>
        <w:lang w:val="zh-cn" w:eastAsia="zh-cn" w:bidi="zh-cn"/>
      </w:rPr>
    </w:lvl>
    <w:lvl w:ilvl="6">
      <w:start w:val="0"/>
      <w:numFmt w:val="bullet"/>
      <w:lvlText w:val="•"/>
      <w:lvlJc w:val="left"/>
      <w:pPr>
        <w:ind w:left="7047" w:hanging="601"/>
      </w:pPr>
      <w:rPr>
        <w:rFonts w:hint="default"/>
        <w:lang w:val="zh-cn" w:eastAsia="zh-cn" w:bidi="zh-cn"/>
      </w:rPr>
    </w:lvl>
    <w:lvl w:ilvl="7">
      <w:start w:val="0"/>
      <w:numFmt w:val="bullet"/>
      <w:lvlText w:val="•"/>
      <w:lvlJc w:val="left"/>
      <w:pPr>
        <w:ind w:left="8002" w:hanging="601"/>
      </w:pPr>
      <w:rPr>
        <w:rFonts w:hint="default"/>
        <w:lang w:val="zh-cn" w:eastAsia="zh-cn" w:bidi="zh-cn"/>
      </w:rPr>
    </w:lvl>
    <w:lvl w:ilvl="8">
      <w:start w:val="0"/>
      <w:numFmt w:val="bullet"/>
      <w:lvlText w:val="•"/>
      <w:lvlJc w:val="left"/>
      <w:pPr>
        <w:ind w:left="8957" w:hanging="601"/>
      </w:pPr>
      <w:rPr>
        <w:rFonts w:hint="default"/>
        <w:lang w:val="zh-cn" w:eastAsia="zh-cn" w:bidi="zh-cn"/>
      </w:rPr>
    </w:lvl>
  </w:abstractNum>
  <w:abstractNum w:abstractNumId="12">
    <w:multiLevelType w:val="hybridMultilevel"/>
    <w:lvl w:ilvl="0">
      <w:start w:val="1"/>
      <w:numFmt w:val="decimal"/>
      <w:lvlText w:val="%1."/>
      <w:lvlJc w:val="left"/>
      <w:pPr>
        <w:ind w:left="237" w:hanging="241"/>
        <w:jc w:val="left"/>
      </w:pPr>
      <w:rPr>
        <w:rFonts w:hint="default" w:ascii="宋体" w:hAnsi="宋体" w:eastAsia="宋体" w:cs="宋体"/>
        <w:spacing w:val="-27"/>
        <w:w w:val="100"/>
        <w:sz w:val="22"/>
        <w:szCs w:val="22"/>
        <w:lang w:val="zh-cn" w:eastAsia="zh-cn" w:bidi="zh-cn"/>
      </w:rPr>
    </w:lvl>
    <w:lvl w:ilvl="1">
      <w:start w:val="0"/>
      <w:numFmt w:val="bullet"/>
      <w:lvlText w:val="•"/>
      <w:lvlJc w:val="left"/>
      <w:pPr>
        <w:ind w:left="1302" w:hanging="241"/>
      </w:pPr>
      <w:rPr>
        <w:rFonts w:hint="default"/>
        <w:lang w:val="zh-cn" w:eastAsia="zh-cn" w:bidi="zh-cn"/>
      </w:rPr>
    </w:lvl>
    <w:lvl w:ilvl="2">
      <w:start w:val="0"/>
      <w:numFmt w:val="bullet"/>
      <w:lvlText w:val="•"/>
      <w:lvlJc w:val="left"/>
      <w:pPr>
        <w:ind w:left="2365" w:hanging="241"/>
      </w:pPr>
      <w:rPr>
        <w:rFonts w:hint="default"/>
        <w:lang w:val="zh-cn" w:eastAsia="zh-cn" w:bidi="zh-cn"/>
      </w:rPr>
    </w:lvl>
    <w:lvl w:ilvl="3">
      <w:start w:val="0"/>
      <w:numFmt w:val="bullet"/>
      <w:lvlText w:val="•"/>
      <w:lvlJc w:val="left"/>
      <w:pPr>
        <w:ind w:left="3427" w:hanging="241"/>
      </w:pPr>
      <w:rPr>
        <w:rFonts w:hint="default"/>
        <w:lang w:val="zh-cn" w:eastAsia="zh-cn" w:bidi="zh-cn"/>
      </w:rPr>
    </w:lvl>
    <w:lvl w:ilvl="4">
      <w:start w:val="0"/>
      <w:numFmt w:val="bullet"/>
      <w:lvlText w:val="•"/>
      <w:lvlJc w:val="left"/>
      <w:pPr>
        <w:ind w:left="4490" w:hanging="241"/>
      </w:pPr>
      <w:rPr>
        <w:rFonts w:hint="default"/>
        <w:lang w:val="zh-cn" w:eastAsia="zh-cn" w:bidi="zh-cn"/>
      </w:rPr>
    </w:lvl>
    <w:lvl w:ilvl="5">
      <w:start w:val="0"/>
      <w:numFmt w:val="bullet"/>
      <w:lvlText w:val="•"/>
      <w:lvlJc w:val="left"/>
      <w:pPr>
        <w:ind w:left="5553" w:hanging="241"/>
      </w:pPr>
      <w:rPr>
        <w:rFonts w:hint="default"/>
        <w:lang w:val="zh-cn" w:eastAsia="zh-cn" w:bidi="zh-cn"/>
      </w:rPr>
    </w:lvl>
    <w:lvl w:ilvl="6">
      <w:start w:val="0"/>
      <w:numFmt w:val="bullet"/>
      <w:lvlText w:val="•"/>
      <w:lvlJc w:val="left"/>
      <w:pPr>
        <w:ind w:left="6615" w:hanging="241"/>
      </w:pPr>
      <w:rPr>
        <w:rFonts w:hint="default"/>
        <w:lang w:val="zh-cn" w:eastAsia="zh-cn" w:bidi="zh-cn"/>
      </w:rPr>
    </w:lvl>
    <w:lvl w:ilvl="7">
      <w:start w:val="0"/>
      <w:numFmt w:val="bullet"/>
      <w:lvlText w:val="•"/>
      <w:lvlJc w:val="left"/>
      <w:pPr>
        <w:ind w:left="7678" w:hanging="241"/>
      </w:pPr>
      <w:rPr>
        <w:rFonts w:hint="default"/>
        <w:lang w:val="zh-cn" w:eastAsia="zh-cn" w:bidi="zh-cn"/>
      </w:rPr>
    </w:lvl>
    <w:lvl w:ilvl="8">
      <w:start w:val="0"/>
      <w:numFmt w:val="bullet"/>
      <w:lvlText w:val="•"/>
      <w:lvlJc w:val="left"/>
      <w:pPr>
        <w:ind w:left="8741" w:hanging="241"/>
      </w:pPr>
      <w:rPr>
        <w:rFonts w:hint="default"/>
        <w:lang w:val="zh-cn" w:eastAsia="zh-cn" w:bidi="zh-cn"/>
      </w:rPr>
    </w:lvl>
  </w:abstractNum>
  <w:abstractNum w:abstractNumId="11">
    <w:multiLevelType w:val="hybridMultilevel"/>
    <w:lvl w:ilvl="0">
      <w:start w:val="1"/>
      <w:numFmt w:val="decimal"/>
      <w:lvlText w:val="%1."/>
      <w:lvlJc w:val="left"/>
      <w:pPr>
        <w:ind w:left="237" w:hanging="241"/>
        <w:jc w:val="left"/>
      </w:pPr>
      <w:rPr>
        <w:rFonts w:hint="default" w:ascii="宋体" w:hAnsi="宋体" w:eastAsia="宋体" w:cs="宋体"/>
        <w:spacing w:val="-60"/>
        <w:w w:val="100"/>
        <w:sz w:val="22"/>
        <w:szCs w:val="22"/>
        <w:lang w:val="zh-cn" w:eastAsia="zh-cn" w:bidi="zh-cn"/>
      </w:rPr>
    </w:lvl>
    <w:lvl w:ilvl="1">
      <w:start w:val="0"/>
      <w:numFmt w:val="bullet"/>
      <w:lvlText w:val="•"/>
      <w:lvlJc w:val="left"/>
      <w:pPr>
        <w:ind w:left="1302" w:hanging="241"/>
      </w:pPr>
      <w:rPr>
        <w:rFonts w:hint="default"/>
        <w:lang w:val="zh-cn" w:eastAsia="zh-cn" w:bidi="zh-cn"/>
      </w:rPr>
    </w:lvl>
    <w:lvl w:ilvl="2">
      <w:start w:val="0"/>
      <w:numFmt w:val="bullet"/>
      <w:lvlText w:val="•"/>
      <w:lvlJc w:val="left"/>
      <w:pPr>
        <w:ind w:left="2365" w:hanging="241"/>
      </w:pPr>
      <w:rPr>
        <w:rFonts w:hint="default"/>
        <w:lang w:val="zh-cn" w:eastAsia="zh-cn" w:bidi="zh-cn"/>
      </w:rPr>
    </w:lvl>
    <w:lvl w:ilvl="3">
      <w:start w:val="0"/>
      <w:numFmt w:val="bullet"/>
      <w:lvlText w:val="•"/>
      <w:lvlJc w:val="left"/>
      <w:pPr>
        <w:ind w:left="3427" w:hanging="241"/>
      </w:pPr>
      <w:rPr>
        <w:rFonts w:hint="default"/>
        <w:lang w:val="zh-cn" w:eastAsia="zh-cn" w:bidi="zh-cn"/>
      </w:rPr>
    </w:lvl>
    <w:lvl w:ilvl="4">
      <w:start w:val="0"/>
      <w:numFmt w:val="bullet"/>
      <w:lvlText w:val="•"/>
      <w:lvlJc w:val="left"/>
      <w:pPr>
        <w:ind w:left="4490" w:hanging="241"/>
      </w:pPr>
      <w:rPr>
        <w:rFonts w:hint="default"/>
        <w:lang w:val="zh-cn" w:eastAsia="zh-cn" w:bidi="zh-cn"/>
      </w:rPr>
    </w:lvl>
    <w:lvl w:ilvl="5">
      <w:start w:val="0"/>
      <w:numFmt w:val="bullet"/>
      <w:lvlText w:val="•"/>
      <w:lvlJc w:val="left"/>
      <w:pPr>
        <w:ind w:left="5553" w:hanging="241"/>
      </w:pPr>
      <w:rPr>
        <w:rFonts w:hint="default"/>
        <w:lang w:val="zh-cn" w:eastAsia="zh-cn" w:bidi="zh-cn"/>
      </w:rPr>
    </w:lvl>
    <w:lvl w:ilvl="6">
      <w:start w:val="0"/>
      <w:numFmt w:val="bullet"/>
      <w:lvlText w:val="•"/>
      <w:lvlJc w:val="left"/>
      <w:pPr>
        <w:ind w:left="6615" w:hanging="241"/>
      </w:pPr>
      <w:rPr>
        <w:rFonts w:hint="default"/>
        <w:lang w:val="zh-cn" w:eastAsia="zh-cn" w:bidi="zh-cn"/>
      </w:rPr>
    </w:lvl>
    <w:lvl w:ilvl="7">
      <w:start w:val="0"/>
      <w:numFmt w:val="bullet"/>
      <w:lvlText w:val="•"/>
      <w:lvlJc w:val="left"/>
      <w:pPr>
        <w:ind w:left="7678" w:hanging="241"/>
      </w:pPr>
      <w:rPr>
        <w:rFonts w:hint="default"/>
        <w:lang w:val="zh-cn" w:eastAsia="zh-cn" w:bidi="zh-cn"/>
      </w:rPr>
    </w:lvl>
    <w:lvl w:ilvl="8">
      <w:start w:val="0"/>
      <w:numFmt w:val="bullet"/>
      <w:lvlText w:val="•"/>
      <w:lvlJc w:val="left"/>
      <w:pPr>
        <w:ind w:left="8741" w:hanging="241"/>
      </w:pPr>
      <w:rPr>
        <w:rFonts w:hint="default"/>
        <w:lang w:val="zh-cn" w:eastAsia="zh-cn" w:bidi="zh-cn"/>
      </w:rPr>
    </w:lvl>
  </w:abstractNum>
  <w:abstractNum w:abstractNumId="10">
    <w:multiLevelType w:val="hybridMultilevel"/>
    <w:lvl w:ilvl="0">
      <w:start w:val="1"/>
      <w:numFmt w:val="decimal"/>
      <w:lvlText w:val="%1."/>
      <w:lvlJc w:val="left"/>
      <w:pPr>
        <w:ind w:left="958" w:hanging="24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1950" w:hanging="241"/>
      </w:pPr>
      <w:rPr>
        <w:rFonts w:hint="default"/>
        <w:lang w:val="zh-cn" w:eastAsia="zh-cn" w:bidi="zh-cn"/>
      </w:rPr>
    </w:lvl>
    <w:lvl w:ilvl="2">
      <w:start w:val="0"/>
      <w:numFmt w:val="bullet"/>
      <w:lvlText w:val="•"/>
      <w:lvlJc w:val="left"/>
      <w:pPr>
        <w:ind w:left="2941" w:hanging="241"/>
      </w:pPr>
      <w:rPr>
        <w:rFonts w:hint="default"/>
        <w:lang w:val="zh-cn" w:eastAsia="zh-cn" w:bidi="zh-cn"/>
      </w:rPr>
    </w:lvl>
    <w:lvl w:ilvl="3">
      <w:start w:val="0"/>
      <w:numFmt w:val="bullet"/>
      <w:lvlText w:val="•"/>
      <w:lvlJc w:val="left"/>
      <w:pPr>
        <w:ind w:left="3931" w:hanging="241"/>
      </w:pPr>
      <w:rPr>
        <w:rFonts w:hint="default"/>
        <w:lang w:val="zh-cn" w:eastAsia="zh-cn" w:bidi="zh-cn"/>
      </w:rPr>
    </w:lvl>
    <w:lvl w:ilvl="4">
      <w:start w:val="0"/>
      <w:numFmt w:val="bullet"/>
      <w:lvlText w:val="•"/>
      <w:lvlJc w:val="left"/>
      <w:pPr>
        <w:ind w:left="4922" w:hanging="241"/>
      </w:pPr>
      <w:rPr>
        <w:rFonts w:hint="default"/>
        <w:lang w:val="zh-cn" w:eastAsia="zh-cn" w:bidi="zh-cn"/>
      </w:rPr>
    </w:lvl>
    <w:lvl w:ilvl="5">
      <w:start w:val="0"/>
      <w:numFmt w:val="bullet"/>
      <w:lvlText w:val="•"/>
      <w:lvlJc w:val="left"/>
      <w:pPr>
        <w:ind w:left="5913" w:hanging="241"/>
      </w:pPr>
      <w:rPr>
        <w:rFonts w:hint="default"/>
        <w:lang w:val="zh-cn" w:eastAsia="zh-cn" w:bidi="zh-cn"/>
      </w:rPr>
    </w:lvl>
    <w:lvl w:ilvl="6">
      <w:start w:val="0"/>
      <w:numFmt w:val="bullet"/>
      <w:lvlText w:val="•"/>
      <w:lvlJc w:val="left"/>
      <w:pPr>
        <w:ind w:left="6903" w:hanging="241"/>
      </w:pPr>
      <w:rPr>
        <w:rFonts w:hint="default"/>
        <w:lang w:val="zh-cn" w:eastAsia="zh-cn" w:bidi="zh-cn"/>
      </w:rPr>
    </w:lvl>
    <w:lvl w:ilvl="7">
      <w:start w:val="0"/>
      <w:numFmt w:val="bullet"/>
      <w:lvlText w:val="•"/>
      <w:lvlJc w:val="left"/>
      <w:pPr>
        <w:ind w:left="7894" w:hanging="241"/>
      </w:pPr>
      <w:rPr>
        <w:rFonts w:hint="default"/>
        <w:lang w:val="zh-cn" w:eastAsia="zh-cn" w:bidi="zh-cn"/>
      </w:rPr>
    </w:lvl>
    <w:lvl w:ilvl="8">
      <w:start w:val="0"/>
      <w:numFmt w:val="bullet"/>
      <w:lvlText w:val="•"/>
      <w:lvlJc w:val="left"/>
      <w:pPr>
        <w:ind w:left="8885" w:hanging="241"/>
      </w:pPr>
      <w:rPr>
        <w:rFonts w:hint="default"/>
        <w:lang w:val="zh-cn" w:eastAsia="zh-cn" w:bidi="zh-cn"/>
      </w:rPr>
    </w:lvl>
  </w:abstractNum>
  <w:abstractNum w:abstractNumId="9">
    <w:multiLevelType w:val="hybridMultilevel"/>
    <w:lvl w:ilvl="0">
      <w:start w:val="1"/>
      <w:numFmt w:val="decimal"/>
      <w:lvlText w:val="%1."/>
      <w:lvlJc w:val="left"/>
      <w:pPr>
        <w:ind w:left="958" w:hanging="241"/>
        <w:jc w:val="left"/>
      </w:pPr>
      <w:rPr>
        <w:rFonts w:hint="default" w:ascii="宋体" w:hAnsi="宋体" w:eastAsia="宋体" w:cs="宋体"/>
        <w:w w:val="100"/>
        <w:sz w:val="22"/>
        <w:szCs w:val="22"/>
        <w:lang w:val="zh-cn" w:eastAsia="zh-cn" w:bidi="zh-cn"/>
      </w:rPr>
    </w:lvl>
    <w:lvl w:ilvl="1">
      <w:start w:val="0"/>
      <w:numFmt w:val="bullet"/>
      <w:lvlText w:val="•"/>
      <w:lvlJc w:val="left"/>
      <w:pPr>
        <w:ind w:left="1950" w:hanging="241"/>
      </w:pPr>
      <w:rPr>
        <w:rFonts w:hint="default"/>
        <w:lang w:val="zh-cn" w:eastAsia="zh-cn" w:bidi="zh-cn"/>
      </w:rPr>
    </w:lvl>
    <w:lvl w:ilvl="2">
      <w:start w:val="0"/>
      <w:numFmt w:val="bullet"/>
      <w:lvlText w:val="•"/>
      <w:lvlJc w:val="left"/>
      <w:pPr>
        <w:ind w:left="2941" w:hanging="241"/>
      </w:pPr>
      <w:rPr>
        <w:rFonts w:hint="default"/>
        <w:lang w:val="zh-cn" w:eastAsia="zh-cn" w:bidi="zh-cn"/>
      </w:rPr>
    </w:lvl>
    <w:lvl w:ilvl="3">
      <w:start w:val="0"/>
      <w:numFmt w:val="bullet"/>
      <w:lvlText w:val="•"/>
      <w:lvlJc w:val="left"/>
      <w:pPr>
        <w:ind w:left="3931" w:hanging="241"/>
      </w:pPr>
      <w:rPr>
        <w:rFonts w:hint="default"/>
        <w:lang w:val="zh-cn" w:eastAsia="zh-cn" w:bidi="zh-cn"/>
      </w:rPr>
    </w:lvl>
    <w:lvl w:ilvl="4">
      <w:start w:val="0"/>
      <w:numFmt w:val="bullet"/>
      <w:lvlText w:val="•"/>
      <w:lvlJc w:val="left"/>
      <w:pPr>
        <w:ind w:left="4922" w:hanging="241"/>
      </w:pPr>
      <w:rPr>
        <w:rFonts w:hint="default"/>
        <w:lang w:val="zh-cn" w:eastAsia="zh-cn" w:bidi="zh-cn"/>
      </w:rPr>
    </w:lvl>
    <w:lvl w:ilvl="5">
      <w:start w:val="0"/>
      <w:numFmt w:val="bullet"/>
      <w:lvlText w:val="•"/>
      <w:lvlJc w:val="left"/>
      <w:pPr>
        <w:ind w:left="5913" w:hanging="241"/>
      </w:pPr>
      <w:rPr>
        <w:rFonts w:hint="default"/>
        <w:lang w:val="zh-cn" w:eastAsia="zh-cn" w:bidi="zh-cn"/>
      </w:rPr>
    </w:lvl>
    <w:lvl w:ilvl="6">
      <w:start w:val="0"/>
      <w:numFmt w:val="bullet"/>
      <w:lvlText w:val="•"/>
      <w:lvlJc w:val="left"/>
      <w:pPr>
        <w:ind w:left="6903" w:hanging="241"/>
      </w:pPr>
      <w:rPr>
        <w:rFonts w:hint="default"/>
        <w:lang w:val="zh-cn" w:eastAsia="zh-cn" w:bidi="zh-cn"/>
      </w:rPr>
    </w:lvl>
    <w:lvl w:ilvl="7">
      <w:start w:val="0"/>
      <w:numFmt w:val="bullet"/>
      <w:lvlText w:val="•"/>
      <w:lvlJc w:val="left"/>
      <w:pPr>
        <w:ind w:left="7894" w:hanging="241"/>
      </w:pPr>
      <w:rPr>
        <w:rFonts w:hint="default"/>
        <w:lang w:val="zh-cn" w:eastAsia="zh-cn" w:bidi="zh-cn"/>
      </w:rPr>
    </w:lvl>
    <w:lvl w:ilvl="8">
      <w:start w:val="0"/>
      <w:numFmt w:val="bullet"/>
      <w:lvlText w:val="•"/>
      <w:lvlJc w:val="left"/>
      <w:pPr>
        <w:ind w:left="8885" w:hanging="241"/>
      </w:pPr>
      <w:rPr>
        <w:rFonts w:hint="default"/>
        <w:lang w:val="zh-cn" w:eastAsia="zh-cn" w:bidi="zh-cn"/>
      </w:rPr>
    </w:lvl>
  </w:abstractNum>
  <w:abstractNum w:abstractNumId="8">
    <w:multiLevelType w:val="hybridMultilevel"/>
    <w:lvl w:ilvl="0">
      <w:start w:val="1"/>
      <w:numFmt w:val="decimal"/>
      <w:lvlText w:val="（%1）"/>
      <w:lvlJc w:val="left"/>
      <w:pPr>
        <w:ind w:left="1318" w:hanging="601"/>
        <w:jc w:val="left"/>
      </w:pPr>
      <w:rPr>
        <w:rFonts w:hint="default" w:ascii="宋体" w:hAnsi="宋体" w:eastAsia="宋体" w:cs="宋体"/>
        <w:spacing w:val="-1"/>
        <w:w w:val="100"/>
        <w:sz w:val="22"/>
        <w:szCs w:val="22"/>
        <w:lang w:val="zh-cn" w:eastAsia="zh-cn" w:bidi="zh-cn"/>
      </w:rPr>
    </w:lvl>
    <w:lvl w:ilvl="1">
      <w:start w:val="0"/>
      <w:numFmt w:val="bullet"/>
      <w:lvlText w:val="•"/>
      <w:lvlJc w:val="left"/>
      <w:pPr>
        <w:ind w:left="2274" w:hanging="601"/>
      </w:pPr>
      <w:rPr>
        <w:rFonts w:hint="default"/>
        <w:lang w:val="zh-cn" w:eastAsia="zh-cn" w:bidi="zh-cn"/>
      </w:rPr>
    </w:lvl>
    <w:lvl w:ilvl="2">
      <w:start w:val="0"/>
      <w:numFmt w:val="bullet"/>
      <w:lvlText w:val="•"/>
      <w:lvlJc w:val="left"/>
      <w:pPr>
        <w:ind w:left="3229" w:hanging="601"/>
      </w:pPr>
      <w:rPr>
        <w:rFonts w:hint="default"/>
        <w:lang w:val="zh-cn" w:eastAsia="zh-cn" w:bidi="zh-cn"/>
      </w:rPr>
    </w:lvl>
    <w:lvl w:ilvl="3">
      <w:start w:val="0"/>
      <w:numFmt w:val="bullet"/>
      <w:lvlText w:val="•"/>
      <w:lvlJc w:val="left"/>
      <w:pPr>
        <w:ind w:left="4183" w:hanging="601"/>
      </w:pPr>
      <w:rPr>
        <w:rFonts w:hint="default"/>
        <w:lang w:val="zh-cn" w:eastAsia="zh-cn" w:bidi="zh-cn"/>
      </w:rPr>
    </w:lvl>
    <w:lvl w:ilvl="4">
      <w:start w:val="0"/>
      <w:numFmt w:val="bullet"/>
      <w:lvlText w:val="•"/>
      <w:lvlJc w:val="left"/>
      <w:pPr>
        <w:ind w:left="5138" w:hanging="601"/>
      </w:pPr>
      <w:rPr>
        <w:rFonts w:hint="default"/>
        <w:lang w:val="zh-cn" w:eastAsia="zh-cn" w:bidi="zh-cn"/>
      </w:rPr>
    </w:lvl>
    <w:lvl w:ilvl="5">
      <w:start w:val="0"/>
      <w:numFmt w:val="bullet"/>
      <w:lvlText w:val="•"/>
      <w:lvlJc w:val="left"/>
      <w:pPr>
        <w:ind w:left="6093" w:hanging="601"/>
      </w:pPr>
      <w:rPr>
        <w:rFonts w:hint="default"/>
        <w:lang w:val="zh-cn" w:eastAsia="zh-cn" w:bidi="zh-cn"/>
      </w:rPr>
    </w:lvl>
    <w:lvl w:ilvl="6">
      <w:start w:val="0"/>
      <w:numFmt w:val="bullet"/>
      <w:lvlText w:val="•"/>
      <w:lvlJc w:val="left"/>
      <w:pPr>
        <w:ind w:left="7047" w:hanging="601"/>
      </w:pPr>
      <w:rPr>
        <w:rFonts w:hint="default"/>
        <w:lang w:val="zh-cn" w:eastAsia="zh-cn" w:bidi="zh-cn"/>
      </w:rPr>
    </w:lvl>
    <w:lvl w:ilvl="7">
      <w:start w:val="0"/>
      <w:numFmt w:val="bullet"/>
      <w:lvlText w:val="•"/>
      <w:lvlJc w:val="left"/>
      <w:pPr>
        <w:ind w:left="8002" w:hanging="601"/>
      </w:pPr>
      <w:rPr>
        <w:rFonts w:hint="default"/>
        <w:lang w:val="zh-cn" w:eastAsia="zh-cn" w:bidi="zh-cn"/>
      </w:rPr>
    </w:lvl>
    <w:lvl w:ilvl="8">
      <w:start w:val="0"/>
      <w:numFmt w:val="bullet"/>
      <w:lvlText w:val="•"/>
      <w:lvlJc w:val="left"/>
      <w:pPr>
        <w:ind w:left="8957" w:hanging="601"/>
      </w:pPr>
      <w:rPr>
        <w:rFonts w:hint="default"/>
        <w:lang w:val="zh-cn" w:eastAsia="zh-cn" w:bidi="zh-cn"/>
      </w:rPr>
    </w:lvl>
  </w:abstractNum>
  <w:abstractNum w:abstractNumId="7">
    <w:multiLevelType w:val="hybridMultilevel"/>
    <w:lvl w:ilvl="0">
      <w:start w:val="1"/>
      <w:numFmt w:val="decimal"/>
      <w:lvlText w:val="%1."/>
      <w:lvlJc w:val="left"/>
      <w:pPr>
        <w:ind w:left="237" w:hanging="241"/>
        <w:jc w:val="left"/>
      </w:pPr>
      <w:rPr>
        <w:rFonts w:hint="default" w:ascii="宋体" w:hAnsi="宋体" w:eastAsia="宋体" w:cs="宋体"/>
        <w:spacing w:val="-27"/>
        <w:w w:val="100"/>
        <w:sz w:val="22"/>
        <w:szCs w:val="22"/>
        <w:lang w:val="zh-cn" w:eastAsia="zh-cn" w:bidi="zh-cn"/>
      </w:rPr>
    </w:lvl>
    <w:lvl w:ilvl="1">
      <w:start w:val="0"/>
      <w:numFmt w:val="bullet"/>
      <w:lvlText w:val="•"/>
      <w:lvlJc w:val="left"/>
      <w:pPr>
        <w:ind w:left="1302" w:hanging="241"/>
      </w:pPr>
      <w:rPr>
        <w:rFonts w:hint="default"/>
        <w:lang w:val="zh-cn" w:eastAsia="zh-cn" w:bidi="zh-cn"/>
      </w:rPr>
    </w:lvl>
    <w:lvl w:ilvl="2">
      <w:start w:val="0"/>
      <w:numFmt w:val="bullet"/>
      <w:lvlText w:val="•"/>
      <w:lvlJc w:val="left"/>
      <w:pPr>
        <w:ind w:left="2365" w:hanging="241"/>
      </w:pPr>
      <w:rPr>
        <w:rFonts w:hint="default"/>
        <w:lang w:val="zh-cn" w:eastAsia="zh-cn" w:bidi="zh-cn"/>
      </w:rPr>
    </w:lvl>
    <w:lvl w:ilvl="3">
      <w:start w:val="0"/>
      <w:numFmt w:val="bullet"/>
      <w:lvlText w:val="•"/>
      <w:lvlJc w:val="left"/>
      <w:pPr>
        <w:ind w:left="3427" w:hanging="241"/>
      </w:pPr>
      <w:rPr>
        <w:rFonts w:hint="default"/>
        <w:lang w:val="zh-cn" w:eastAsia="zh-cn" w:bidi="zh-cn"/>
      </w:rPr>
    </w:lvl>
    <w:lvl w:ilvl="4">
      <w:start w:val="0"/>
      <w:numFmt w:val="bullet"/>
      <w:lvlText w:val="•"/>
      <w:lvlJc w:val="left"/>
      <w:pPr>
        <w:ind w:left="4490" w:hanging="241"/>
      </w:pPr>
      <w:rPr>
        <w:rFonts w:hint="default"/>
        <w:lang w:val="zh-cn" w:eastAsia="zh-cn" w:bidi="zh-cn"/>
      </w:rPr>
    </w:lvl>
    <w:lvl w:ilvl="5">
      <w:start w:val="0"/>
      <w:numFmt w:val="bullet"/>
      <w:lvlText w:val="•"/>
      <w:lvlJc w:val="left"/>
      <w:pPr>
        <w:ind w:left="5553" w:hanging="241"/>
      </w:pPr>
      <w:rPr>
        <w:rFonts w:hint="default"/>
        <w:lang w:val="zh-cn" w:eastAsia="zh-cn" w:bidi="zh-cn"/>
      </w:rPr>
    </w:lvl>
    <w:lvl w:ilvl="6">
      <w:start w:val="0"/>
      <w:numFmt w:val="bullet"/>
      <w:lvlText w:val="•"/>
      <w:lvlJc w:val="left"/>
      <w:pPr>
        <w:ind w:left="6615" w:hanging="241"/>
      </w:pPr>
      <w:rPr>
        <w:rFonts w:hint="default"/>
        <w:lang w:val="zh-cn" w:eastAsia="zh-cn" w:bidi="zh-cn"/>
      </w:rPr>
    </w:lvl>
    <w:lvl w:ilvl="7">
      <w:start w:val="0"/>
      <w:numFmt w:val="bullet"/>
      <w:lvlText w:val="•"/>
      <w:lvlJc w:val="left"/>
      <w:pPr>
        <w:ind w:left="7678" w:hanging="241"/>
      </w:pPr>
      <w:rPr>
        <w:rFonts w:hint="default"/>
        <w:lang w:val="zh-cn" w:eastAsia="zh-cn" w:bidi="zh-cn"/>
      </w:rPr>
    </w:lvl>
    <w:lvl w:ilvl="8">
      <w:start w:val="0"/>
      <w:numFmt w:val="bullet"/>
      <w:lvlText w:val="•"/>
      <w:lvlJc w:val="left"/>
      <w:pPr>
        <w:ind w:left="8741" w:hanging="241"/>
      </w:pPr>
      <w:rPr>
        <w:rFonts w:hint="default"/>
        <w:lang w:val="zh-cn" w:eastAsia="zh-cn" w:bidi="zh-cn"/>
      </w:rPr>
    </w:lvl>
  </w:abstractNum>
  <w:abstractNum w:abstractNumId="6">
    <w:multiLevelType w:val="hybridMultilevel"/>
    <w:lvl w:ilvl="0">
      <w:start w:val="1"/>
      <w:numFmt w:val="decimal"/>
      <w:lvlText w:val="%1."/>
      <w:lvlJc w:val="left"/>
      <w:pPr>
        <w:ind w:left="237" w:hanging="241"/>
        <w:jc w:val="left"/>
      </w:pPr>
      <w:rPr>
        <w:rFonts w:hint="default" w:ascii="宋体" w:hAnsi="宋体" w:eastAsia="宋体" w:cs="宋体"/>
        <w:spacing w:val="-34"/>
        <w:w w:val="100"/>
        <w:sz w:val="22"/>
        <w:szCs w:val="22"/>
        <w:lang w:val="zh-cn" w:eastAsia="zh-cn" w:bidi="zh-cn"/>
      </w:rPr>
    </w:lvl>
    <w:lvl w:ilvl="1">
      <w:start w:val="0"/>
      <w:numFmt w:val="bullet"/>
      <w:lvlText w:val="•"/>
      <w:lvlJc w:val="left"/>
      <w:pPr>
        <w:ind w:left="1302" w:hanging="241"/>
      </w:pPr>
      <w:rPr>
        <w:rFonts w:hint="default"/>
        <w:lang w:val="zh-cn" w:eastAsia="zh-cn" w:bidi="zh-cn"/>
      </w:rPr>
    </w:lvl>
    <w:lvl w:ilvl="2">
      <w:start w:val="0"/>
      <w:numFmt w:val="bullet"/>
      <w:lvlText w:val="•"/>
      <w:lvlJc w:val="left"/>
      <w:pPr>
        <w:ind w:left="2365" w:hanging="241"/>
      </w:pPr>
      <w:rPr>
        <w:rFonts w:hint="default"/>
        <w:lang w:val="zh-cn" w:eastAsia="zh-cn" w:bidi="zh-cn"/>
      </w:rPr>
    </w:lvl>
    <w:lvl w:ilvl="3">
      <w:start w:val="0"/>
      <w:numFmt w:val="bullet"/>
      <w:lvlText w:val="•"/>
      <w:lvlJc w:val="left"/>
      <w:pPr>
        <w:ind w:left="3427" w:hanging="241"/>
      </w:pPr>
      <w:rPr>
        <w:rFonts w:hint="default"/>
        <w:lang w:val="zh-cn" w:eastAsia="zh-cn" w:bidi="zh-cn"/>
      </w:rPr>
    </w:lvl>
    <w:lvl w:ilvl="4">
      <w:start w:val="0"/>
      <w:numFmt w:val="bullet"/>
      <w:lvlText w:val="•"/>
      <w:lvlJc w:val="left"/>
      <w:pPr>
        <w:ind w:left="4490" w:hanging="241"/>
      </w:pPr>
      <w:rPr>
        <w:rFonts w:hint="default"/>
        <w:lang w:val="zh-cn" w:eastAsia="zh-cn" w:bidi="zh-cn"/>
      </w:rPr>
    </w:lvl>
    <w:lvl w:ilvl="5">
      <w:start w:val="0"/>
      <w:numFmt w:val="bullet"/>
      <w:lvlText w:val="•"/>
      <w:lvlJc w:val="left"/>
      <w:pPr>
        <w:ind w:left="5553" w:hanging="241"/>
      </w:pPr>
      <w:rPr>
        <w:rFonts w:hint="default"/>
        <w:lang w:val="zh-cn" w:eastAsia="zh-cn" w:bidi="zh-cn"/>
      </w:rPr>
    </w:lvl>
    <w:lvl w:ilvl="6">
      <w:start w:val="0"/>
      <w:numFmt w:val="bullet"/>
      <w:lvlText w:val="•"/>
      <w:lvlJc w:val="left"/>
      <w:pPr>
        <w:ind w:left="6615" w:hanging="241"/>
      </w:pPr>
      <w:rPr>
        <w:rFonts w:hint="default"/>
        <w:lang w:val="zh-cn" w:eastAsia="zh-cn" w:bidi="zh-cn"/>
      </w:rPr>
    </w:lvl>
    <w:lvl w:ilvl="7">
      <w:start w:val="0"/>
      <w:numFmt w:val="bullet"/>
      <w:lvlText w:val="•"/>
      <w:lvlJc w:val="left"/>
      <w:pPr>
        <w:ind w:left="7678" w:hanging="241"/>
      </w:pPr>
      <w:rPr>
        <w:rFonts w:hint="default"/>
        <w:lang w:val="zh-cn" w:eastAsia="zh-cn" w:bidi="zh-cn"/>
      </w:rPr>
    </w:lvl>
    <w:lvl w:ilvl="8">
      <w:start w:val="0"/>
      <w:numFmt w:val="bullet"/>
      <w:lvlText w:val="•"/>
      <w:lvlJc w:val="left"/>
      <w:pPr>
        <w:ind w:left="8741" w:hanging="241"/>
      </w:pPr>
      <w:rPr>
        <w:rFonts w:hint="default"/>
        <w:lang w:val="zh-cn" w:eastAsia="zh-cn" w:bidi="zh-cn"/>
      </w:rPr>
    </w:lvl>
  </w:abstractNum>
  <w:abstractNum w:abstractNumId="5">
    <w:multiLevelType w:val="hybridMultilevel"/>
    <w:lvl w:ilvl="0">
      <w:start w:val="3"/>
      <w:numFmt w:val="decimal"/>
      <w:lvlText w:val="%1"/>
      <w:lvlJc w:val="left"/>
      <w:pPr>
        <w:ind w:left="237" w:hanging="420"/>
        <w:jc w:val="left"/>
      </w:pPr>
      <w:rPr>
        <w:rFonts w:hint="default"/>
        <w:lang w:val="zh-cn" w:eastAsia="zh-cn" w:bidi="zh-cn"/>
      </w:rPr>
    </w:lvl>
    <w:lvl w:ilvl="1">
      <w:start w:val="1"/>
      <w:numFmt w:val="decimal"/>
      <w:lvlText w:val="%1.%2"/>
      <w:lvlJc w:val="left"/>
      <w:pPr>
        <w:ind w:left="237" w:hanging="420"/>
        <w:jc w:val="right"/>
      </w:pPr>
      <w:rPr>
        <w:rFonts w:hint="default" w:ascii="宋体" w:hAnsi="宋体" w:eastAsia="宋体" w:cs="宋体"/>
        <w:w w:val="100"/>
        <w:sz w:val="24"/>
        <w:szCs w:val="24"/>
        <w:lang w:val="zh-cn" w:eastAsia="zh-cn" w:bidi="zh-cn"/>
      </w:rPr>
    </w:lvl>
    <w:lvl w:ilvl="2">
      <w:start w:val="0"/>
      <w:numFmt w:val="bullet"/>
      <w:lvlText w:val="•"/>
      <w:lvlJc w:val="left"/>
      <w:pPr>
        <w:ind w:left="2365" w:hanging="420"/>
      </w:pPr>
      <w:rPr>
        <w:rFonts w:hint="default"/>
        <w:lang w:val="zh-cn" w:eastAsia="zh-cn" w:bidi="zh-cn"/>
      </w:rPr>
    </w:lvl>
    <w:lvl w:ilvl="3">
      <w:start w:val="0"/>
      <w:numFmt w:val="bullet"/>
      <w:lvlText w:val="•"/>
      <w:lvlJc w:val="left"/>
      <w:pPr>
        <w:ind w:left="3427" w:hanging="420"/>
      </w:pPr>
      <w:rPr>
        <w:rFonts w:hint="default"/>
        <w:lang w:val="zh-cn" w:eastAsia="zh-cn" w:bidi="zh-cn"/>
      </w:rPr>
    </w:lvl>
    <w:lvl w:ilvl="4">
      <w:start w:val="0"/>
      <w:numFmt w:val="bullet"/>
      <w:lvlText w:val="•"/>
      <w:lvlJc w:val="left"/>
      <w:pPr>
        <w:ind w:left="4490" w:hanging="420"/>
      </w:pPr>
      <w:rPr>
        <w:rFonts w:hint="default"/>
        <w:lang w:val="zh-cn" w:eastAsia="zh-cn" w:bidi="zh-cn"/>
      </w:rPr>
    </w:lvl>
    <w:lvl w:ilvl="5">
      <w:start w:val="0"/>
      <w:numFmt w:val="bullet"/>
      <w:lvlText w:val="•"/>
      <w:lvlJc w:val="left"/>
      <w:pPr>
        <w:ind w:left="5553" w:hanging="420"/>
      </w:pPr>
      <w:rPr>
        <w:rFonts w:hint="default"/>
        <w:lang w:val="zh-cn" w:eastAsia="zh-cn" w:bidi="zh-cn"/>
      </w:rPr>
    </w:lvl>
    <w:lvl w:ilvl="6">
      <w:start w:val="0"/>
      <w:numFmt w:val="bullet"/>
      <w:lvlText w:val="•"/>
      <w:lvlJc w:val="left"/>
      <w:pPr>
        <w:ind w:left="6615" w:hanging="420"/>
      </w:pPr>
      <w:rPr>
        <w:rFonts w:hint="default"/>
        <w:lang w:val="zh-cn" w:eastAsia="zh-cn" w:bidi="zh-cn"/>
      </w:rPr>
    </w:lvl>
    <w:lvl w:ilvl="7">
      <w:start w:val="0"/>
      <w:numFmt w:val="bullet"/>
      <w:lvlText w:val="•"/>
      <w:lvlJc w:val="left"/>
      <w:pPr>
        <w:ind w:left="7678" w:hanging="420"/>
      </w:pPr>
      <w:rPr>
        <w:rFonts w:hint="default"/>
        <w:lang w:val="zh-cn" w:eastAsia="zh-cn" w:bidi="zh-cn"/>
      </w:rPr>
    </w:lvl>
    <w:lvl w:ilvl="8">
      <w:start w:val="0"/>
      <w:numFmt w:val="bullet"/>
      <w:lvlText w:val="•"/>
      <w:lvlJc w:val="left"/>
      <w:pPr>
        <w:ind w:left="8741" w:hanging="420"/>
      </w:pPr>
      <w:rPr>
        <w:rFonts w:hint="default"/>
        <w:lang w:val="zh-cn" w:eastAsia="zh-cn" w:bidi="zh-cn"/>
      </w:rPr>
    </w:lvl>
  </w:abstractNum>
  <w:abstractNum w:abstractNumId="4">
    <w:multiLevelType w:val="hybridMultilevel"/>
    <w:lvl w:ilvl="0">
      <w:start w:val="2"/>
      <w:numFmt w:val="decimal"/>
      <w:lvlText w:val="%1"/>
      <w:lvlJc w:val="left"/>
      <w:pPr>
        <w:ind w:left="237" w:hanging="480"/>
        <w:jc w:val="left"/>
      </w:pPr>
      <w:rPr>
        <w:rFonts w:hint="default"/>
        <w:lang w:val="zh-cn" w:eastAsia="zh-cn" w:bidi="zh-cn"/>
      </w:rPr>
    </w:lvl>
    <w:lvl w:ilvl="1">
      <w:start w:val="1"/>
      <w:numFmt w:val="decimal"/>
      <w:lvlText w:val="%1.%2"/>
      <w:lvlJc w:val="left"/>
      <w:pPr>
        <w:ind w:left="237" w:hanging="480"/>
        <w:jc w:val="left"/>
      </w:pPr>
      <w:rPr>
        <w:rFonts w:hint="default" w:ascii="宋体" w:hAnsi="宋体" w:eastAsia="宋体" w:cs="宋体"/>
        <w:w w:val="100"/>
        <w:sz w:val="24"/>
        <w:szCs w:val="24"/>
        <w:lang w:val="zh-cn" w:eastAsia="zh-cn" w:bidi="zh-cn"/>
      </w:rPr>
    </w:lvl>
    <w:lvl w:ilvl="2">
      <w:start w:val="0"/>
      <w:numFmt w:val="bullet"/>
      <w:lvlText w:val="•"/>
      <w:lvlJc w:val="left"/>
      <w:pPr>
        <w:ind w:left="2365" w:hanging="480"/>
      </w:pPr>
      <w:rPr>
        <w:rFonts w:hint="default"/>
        <w:lang w:val="zh-cn" w:eastAsia="zh-cn" w:bidi="zh-cn"/>
      </w:rPr>
    </w:lvl>
    <w:lvl w:ilvl="3">
      <w:start w:val="0"/>
      <w:numFmt w:val="bullet"/>
      <w:lvlText w:val="•"/>
      <w:lvlJc w:val="left"/>
      <w:pPr>
        <w:ind w:left="3427" w:hanging="480"/>
      </w:pPr>
      <w:rPr>
        <w:rFonts w:hint="default"/>
        <w:lang w:val="zh-cn" w:eastAsia="zh-cn" w:bidi="zh-cn"/>
      </w:rPr>
    </w:lvl>
    <w:lvl w:ilvl="4">
      <w:start w:val="0"/>
      <w:numFmt w:val="bullet"/>
      <w:lvlText w:val="•"/>
      <w:lvlJc w:val="left"/>
      <w:pPr>
        <w:ind w:left="4490" w:hanging="480"/>
      </w:pPr>
      <w:rPr>
        <w:rFonts w:hint="default"/>
        <w:lang w:val="zh-cn" w:eastAsia="zh-cn" w:bidi="zh-cn"/>
      </w:rPr>
    </w:lvl>
    <w:lvl w:ilvl="5">
      <w:start w:val="0"/>
      <w:numFmt w:val="bullet"/>
      <w:lvlText w:val="•"/>
      <w:lvlJc w:val="left"/>
      <w:pPr>
        <w:ind w:left="5553" w:hanging="480"/>
      </w:pPr>
      <w:rPr>
        <w:rFonts w:hint="default"/>
        <w:lang w:val="zh-cn" w:eastAsia="zh-cn" w:bidi="zh-cn"/>
      </w:rPr>
    </w:lvl>
    <w:lvl w:ilvl="6">
      <w:start w:val="0"/>
      <w:numFmt w:val="bullet"/>
      <w:lvlText w:val="•"/>
      <w:lvlJc w:val="left"/>
      <w:pPr>
        <w:ind w:left="6615" w:hanging="480"/>
      </w:pPr>
      <w:rPr>
        <w:rFonts w:hint="default"/>
        <w:lang w:val="zh-cn" w:eastAsia="zh-cn" w:bidi="zh-cn"/>
      </w:rPr>
    </w:lvl>
    <w:lvl w:ilvl="7">
      <w:start w:val="0"/>
      <w:numFmt w:val="bullet"/>
      <w:lvlText w:val="•"/>
      <w:lvlJc w:val="left"/>
      <w:pPr>
        <w:ind w:left="7678" w:hanging="480"/>
      </w:pPr>
      <w:rPr>
        <w:rFonts w:hint="default"/>
        <w:lang w:val="zh-cn" w:eastAsia="zh-cn" w:bidi="zh-cn"/>
      </w:rPr>
    </w:lvl>
    <w:lvl w:ilvl="8">
      <w:start w:val="0"/>
      <w:numFmt w:val="bullet"/>
      <w:lvlText w:val="•"/>
      <w:lvlJc w:val="left"/>
      <w:pPr>
        <w:ind w:left="8741" w:hanging="480"/>
      </w:pPr>
      <w:rPr>
        <w:rFonts w:hint="default"/>
        <w:lang w:val="zh-cn" w:eastAsia="zh-cn" w:bidi="zh-cn"/>
      </w:rPr>
    </w:lvl>
  </w:abstractNum>
  <w:abstractNum w:abstractNumId="3">
    <w:multiLevelType w:val="hybridMultilevel"/>
    <w:lvl w:ilvl="0">
      <w:start w:val="1"/>
      <w:numFmt w:val="decimal"/>
      <w:lvlText w:val="%1"/>
      <w:lvlJc w:val="left"/>
      <w:pPr>
        <w:ind w:left="237" w:hanging="420"/>
        <w:jc w:val="left"/>
      </w:pPr>
      <w:rPr>
        <w:rFonts w:hint="default"/>
        <w:lang w:val="zh-cn" w:eastAsia="zh-cn" w:bidi="zh-cn"/>
      </w:rPr>
    </w:lvl>
    <w:lvl w:ilvl="1">
      <w:start w:val="1"/>
      <w:numFmt w:val="decimal"/>
      <w:lvlText w:val="%1.%2"/>
      <w:lvlJc w:val="left"/>
      <w:pPr>
        <w:ind w:left="237" w:hanging="420"/>
        <w:jc w:val="left"/>
      </w:pPr>
      <w:rPr>
        <w:rFonts w:hint="default" w:ascii="宋体" w:hAnsi="宋体" w:eastAsia="宋体" w:cs="宋体"/>
        <w:w w:val="100"/>
        <w:sz w:val="24"/>
        <w:szCs w:val="24"/>
        <w:lang w:val="zh-cn" w:eastAsia="zh-cn" w:bidi="zh-cn"/>
      </w:rPr>
    </w:lvl>
    <w:lvl w:ilvl="2">
      <w:start w:val="0"/>
      <w:numFmt w:val="bullet"/>
      <w:lvlText w:val="•"/>
      <w:lvlJc w:val="left"/>
      <w:pPr>
        <w:ind w:left="2365" w:hanging="420"/>
      </w:pPr>
      <w:rPr>
        <w:rFonts w:hint="default"/>
        <w:lang w:val="zh-cn" w:eastAsia="zh-cn" w:bidi="zh-cn"/>
      </w:rPr>
    </w:lvl>
    <w:lvl w:ilvl="3">
      <w:start w:val="0"/>
      <w:numFmt w:val="bullet"/>
      <w:lvlText w:val="•"/>
      <w:lvlJc w:val="left"/>
      <w:pPr>
        <w:ind w:left="3427" w:hanging="420"/>
      </w:pPr>
      <w:rPr>
        <w:rFonts w:hint="default"/>
        <w:lang w:val="zh-cn" w:eastAsia="zh-cn" w:bidi="zh-cn"/>
      </w:rPr>
    </w:lvl>
    <w:lvl w:ilvl="4">
      <w:start w:val="0"/>
      <w:numFmt w:val="bullet"/>
      <w:lvlText w:val="•"/>
      <w:lvlJc w:val="left"/>
      <w:pPr>
        <w:ind w:left="4490" w:hanging="420"/>
      </w:pPr>
      <w:rPr>
        <w:rFonts w:hint="default"/>
        <w:lang w:val="zh-cn" w:eastAsia="zh-cn" w:bidi="zh-cn"/>
      </w:rPr>
    </w:lvl>
    <w:lvl w:ilvl="5">
      <w:start w:val="0"/>
      <w:numFmt w:val="bullet"/>
      <w:lvlText w:val="•"/>
      <w:lvlJc w:val="left"/>
      <w:pPr>
        <w:ind w:left="5553" w:hanging="420"/>
      </w:pPr>
      <w:rPr>
        <w:rFonts w:hint="default"/>
        <w:lang w:val="zh-cn" w:eastAsia="zh-cn" w:bidi="zh-cn"/>
      </w:rPr>
    </w:lvl>
    <w:lvl w:ilvl="6">
      <w:start w:val="0"/>
      <w:numFmt w:val="bullet"/>
      <w:lvlText w:val="•"/>
      <w:lvlJc w:val="left"/>
      <w:pPr>
        <w:ind w:left="6615" w:hanging="420"/>
      </w:pPr>
      <w:rPr>
        <w:rFonts w:hint="default"/>
        <w:lang w:val="zh-cn" w:eastAsia="zh-cn" w:bidi="zh-cn"/>
      </w:rPr>
    </w:lvl>
    <w:lvl w:ilvl="7">
      <w:start w:val="0"/>
      <w:numFmt w:val="bullet"/>
      <w:lvlText w:val="•"/>
      <w:lvlJc w:val="left"/>
      <w:pPr>
        <w:ind w:left="7678" w:hanging="420"/>
      </w:pPr>
      <w:rPr>
        <w:rFonts w:hint="default"/>
        <w:lang w:val="zh-cn" w:eastAsia="zh-cn" w:bidi="zh-cn"/>
      </w:rPr>
    </w:lvl>
    <w:lvl w:ilvl="8">
      <w:start w:val="0"/>
      <w:numFmt w:val="bullet"/>
      <w:lvlText w:val="•"/>
      <w:lvlJc w:val="left"/>
      <w:pPr>
        <w:ind w:left="8741" w:hanging="420"/>
      </w:pPr>
      <w:rPr>
        <w:rFonts w:hint="default"/>
        <w:lang w:val="zh-cn" w:eastAsia="zh-cn" w:bidi="zh-cn"/>
      </w:rPr>
    </w:lvl>
  </w:abstractNum>
  <w:abstractNum w:abstractNumId="1">
    <w:multiLevelType w:val="hybridMultilevel"/>
    <w:lvl w:ilvl="0">
      <w:start w:val="2"/>
      <w:numFmt w:val="decimal"/>
      <w:lvlText w:val="%1"/>
      <w:lvlJc w:val="left"/>
      <w:pPr>
        <w:ind w:left="23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3580" w:hanging="180"/>
      </w:pPr>
      <w:rPr>
        <w:rFonts w:hint="default"/>
        <w:lang w:val="zh-cn" w:eastAsia="zh-cn" w:bidi="zh-cn"/>
      </w:rPr>
    </w:lvl>
    <w:lvl w:ilvl="2">
      <w:start w:val="0"/>
      <w:numFmt w:val="bullet"/>
      <w:lvlText w:val="•"/>
      <w:lvlJc w:val="left"/>
      <w:pPr>
        <w:ind w:left="4389" w:hanging="180"/>
      </w:pPr>
      <w:rPr>
        <w:rFonts w:hint="default"/>
        <w:lang w:val="zh-cn" w:eastAsia="zh-cn" w:bidi="zh-cn"/>
      </w:rPr>
    </w:lvl>
    <w:lvl w:ilvl="3">
      <w:start w:val="0"/>
      <w:numFmt w:val="bullet"/>
      <w:lvlText w:val="•"/>
      <w:lvlJc w:val="left"/>
      <w:pPr>
        <w:ind w:left="5199" w:hanging="180"/>
      </w:pPr>
      <w:rPr>
        <w:rFonts w:hint="default"/>
        <w:lang w:val="zh-cn" w:eastAsia="zh-cn" w:bidi="zh-cn"/>
      </w:rPr>
    </w:lvl>
    <w:lvl w:ilvl="4">
      <w:start w:val="0"/>
      <w:numFmt w:val="bullet"/>
      <w:lvlText w:val="•"/>
      <w:lvlJc w:val="left"/>
      <w:pPr>
        <w:ind w:left="6008" w:hanging="180"/>
      </w:pPr>
      <w:rPr>
        <w:rFonts w:hint="default"/>
        <w:lang w:val="zh-cn" w:eastAsia="zh-cn" w:bidi="zh-cn"/>
      </w:rPr>
    </w:lvl>
    <w:lvl w:ilvl="5">
      <w:start w:val="0"/>
      <w:numFmt w:val="bullet"/>
      <w:lvlText w:val="•"/>
      <w:lvlJc w:val="left"/>
      <w:pPr>
        <w:ind w:left="6818" w:hanging="180"/>
      </w:pPr>
      <w:rPr>
        <w:rFonts w:hint="default"/>
        <w:lang w:val="zh-cn" w:eastAsia="zh-cn" w:bidi="zh-cn"/>
      </w:rPr>
    </w:lvl>
    <w:lvl w:ilvl="6">
      <w:start w:val="0"/>
      <w:numFmt w:val="bullet"/>
      <w:lvlText w:val="•"/>
      <w:lvlJc w:val="left"/>
      <w:pPr>
        <w:ind w:left="7628" w:hanging="180"/>
      </w:pPr>
      <w:rPr>
        <w:rFonts w:hint="default"/>
        <w:lang w:val="zh-cn" w:eastAsia="zh-cn" w:bidi="zh-cn"/>
      </w:rPr>
    </w:lvl>
    <w:lvl w:ilvl="7">
      <w:start w:val="0"/>
      <w:numFmt w:val="bullet"/>
      <w:lvlText w:val="•"/>
      <w:lvlJc w:val="left"/>
      <w:pPr>
        <w:ind w:left="8437" w:hanging="180"/>
      </w:pPr>
      <w:rPr>
        <w:rFonts w:hint="default"/>
        <w:lang w:val="zh-cn" w:eastAsia="zh-cn" w:bidi="zh-cn"/>
      </w:rPr>
    </w:lvl>
    <w:lvl w:ilvl="8">
      <w:start w:val="0"/>
      <w:numFmt w:val="bullet"/>
      <w:lvlText w:val="•"/>
      <w:lvlJc w:val="left"/>
      <w:pPr>
        <w:ind w:left="9247" w:hanging="180"/>
      </w:pPr>
      <w:rPr>
        <w:rFonts w:hint="default"/>
        <w:lang w:val="zh-cn" w:eastAsia="zh-cn" w:bidi="zh-cn"/>
      </w:rPr>
    </w:lvl>
  </w:abstractNum>
  <w:abstractNum w:abstractNumId="0">
    <w:multiLevelType w:val="hybridMultilevel"/>
    <w:lvl w:ilvl="0">
      <w:start w:val="3"/>
      <w:numFmt w:val="decimal"/>
      <w:lvlText w:val="%1"/>
      <w:lvlJc w:val="left"/>
      <w:pPr>
        <w:ind w:left="237" w:hanging="180"/>
        <w:jc w:val="left"/>
      </w:pPr>
      <w:rPr>
        <w:rFonts w:hint="default" w:ascii="宋体" w:hAnsi="宋体" w:eastAsia="宋体" w:cs="宋体"/>
        <w:w w:val="100"/>
        <w:sz w:val="24"/>
        <w:szCs w:val="24"/>
        <w:lang w:val="zh-cn" w:eastAsia="zh-cn" w:bidi="zh-cn"/>
      </w:rPr>
    </w:lvl>
    <w:lvl w:ilvl="1">
      <w:start w:val="0"/>
      <w:numFmt w:val="bullet"/>
      <w:lvlText w:val="•"/>
      <w:lvlJc w:val="left"/>
      <w:pPr>
        <w:ind w:left="3580" w:hanging="180"/>
      </w:pPr>
      <w:rPr>
        <w:rFonts w:hint="default"/>
        <w:lang w:val="zh-cn" w:eastAsia="zh-cn" w:bidi="zh-cn"/>
      </w:rPr>
    </w:lvl>
    <w:lvl w:ilvl="2">
      <w:start w:val="0"/>
      <w:numFmt w:val="bullet"/>
      <w:lvlText w:val="•"/>
      <w:lvlJc w:val="left"/>
      <w:pPr>
        <w:ind w:left="4389" w:hanging="180"/>
      </w:pPr>
      <w:rPr>
        <w:rFonts w:hint="default"/>
        <w:lang w:val="zh-cn" w:eastAsia="zh-cn" w:bidi="zh-cn"/>
      </w:rPr>
    </w:lvl>
    <w:lvl w:ilvl="3">
      <w:start w:val="0"/>
      <w:numFmt w:val="bullet"/>
      <w:lvlText w:val="•"/>
      <w:lvlJc w:val="left"/>
      <w:pPr>
        <w:ind w:left="5199" w:hanging="180"/>
      </w:pPr>
      <w:rPr>
        <w:rFonts w:hint="default"/>
        <w:lang w:val="zh-cn" w:eastAsia="zh-cn" w:bidi="zh-cn"/>
      </w:rPr>
    </w:lvl>
    <w:lvl w:ilvl="4">
      <w:start w:val="0"/>
      <w:numFmt w:val="bullet"/>
      <w:lvlText w:val="•"/>
      <w:lvlJc w:val="left"/>
      <w:pPr>
        <w:ind w:left="6008" w:hanging="180"/>
      </w:pPr>
      <w:rPr>
        <w:rFonts w:hint="default"/>
        <w:lang w:val="zh-cn" w:eastAsia="zh-cn" w:bidi="zh-cn"/>
      </w:rPr>
    </w:lvl>
    <w:lvl w:ilvl="5">
      <w:start w:val="0"/>
      <w:numFmt w:val="bullet"/>
      <w:lvlText w:val="•"/>
      <w:lvlJc w:val="left"/>
      <w:pPr>
        <w:ind w:left="6818" w:hanging="180"/>
      </w:pPr>
      <w:rPr>
        <w:rFonts w:hint="default"/>
        <w:lang w:val="zh-cn" w:eastAsia="zh-cn" w:bidi="zh-cn"/>
      </w:rPr>
    </w:lvl>
    <w:lvl w:ilvl="6">
      <w:start w:val="0"/>
      <w:numFmt w:val="bullet"/>
      <w:lvlText w:val="•"/>
      <w:lvlJc w:val="left"/>
      <w:pPr>
        <w:ind w:left="7628" w:hanging="180"/>
      </w:pPr>
      <w:rPr>
        <w:rFonts w:hint="default"/>
        <w:lang w:val="zh-cn" w:eastAsia="zh-cn" w:bidi="zh-cn"/>
      </w:rPr>
    </w:lvl>
    <w:lvl w:ilvl="7">
      <w:start w:val="0"/>
      <w:numFmt w:val="bullet"/>
      <w:lvlText w:val="•"/>
      <w:lvlJc w:val="left"/>
      <w:pPr>
        <w:ind w:left="8437" w:hanging="180"/>
      </w:pPr>
      <w:rPr>
        <w:rFonts w:hint="default"/>
        <w:lang w:val="zh-cn" w:eastAsia="zh-cn" w:bidi="zh-cn"/>
      </w:rPr>
    </w:lvl>
    <w:lvl w:ilvl="8">
      <w:start w:val="0"/>
      <w:numFmt w:val="bullet"/>
      <w:lvlText w:val="•"/>
      <w:lvlJc w:val="left"/>
      <w:pPr>
        <w:ind w:left="9247" w:hanging="180"/>
      </w:pPr>
      <w:rPr>
        <w:rFonts w:hint="default"/>
        <w:lang w:val="zh-cn" w:eastAsia="zh-cn" w:bidi="zh-cn"/>
      </w:rPr>
    </w:lvl>
  </w:abstractNum>
  <w:num w:numId="3">
    <w:abstractNumId w:val="2"/>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TOC1" w:type="paragraph">
    <w:name w:val="TOC 1"/>
    <w:basedOn w:val="Normal"/>
    <w:uiPriority w:val="1"/>
    <w:qFormat/>
    <w:pPr>
      <w:spacing w:line="561" w:lineRule="exact"/>
      <w:ind w:right="892"/>
      <w:jc w:val="center"/>
    </w:pPr>
    <w:rPr>
      <w:rFonts w:ascii="隶书" w:hAnsi="隶书" w:eastAsia="隶书" w:cs="隶书"/>
      <w:sz w:val="44"/>
      <w:szCs w:val="44"/>
      <w:lang w:val="zh-cn" w:eastAsia="zh-cn" w:bidi="zh-cn"/>
    </w:rPr>
  </w:style>
  <w:style w:styleId="TOC2" w:type="paragraph">
    <w:name w:val="TOC 2"/>
    <w:basedOn w:val="Normal"/>
    <w:uiPriority w:val="1"/>
    <w:qFormat/>
    <w:pPr>
      <w:spacing w:before="141"/>
      <w:ind w:left="448"/>
    </w:pPr>
    <w:rPr>
      <w:rFonts w:ascii="华文楷体" w:hAnsi="华文楷体" w:eastAsia="华文楷体" w:cs="华文楷体"/>
      <w:b/>
      <w:bCs/>
      <w:sz w:val="28"/>
      <w:szCs w:val="28"/>
      <w:lang w:val="zh-cn" w:eastAsia="zh-cn" w:bidi="zh-cn"/>
    </w:rPr>
  </w:style>
  <w:style w:styleId="TOC3" w:type="paragraph">
    <w:name w:val="TOC 3"/>
    <w:basedOn w:val="Normal"/>
    <w:uiPriority w:val="1"/>
    <w:qFormat/>
    <w:pPr>
      <w:spacing w:before="122"/>
      <w:ind w:left="448"/>
    </w:pPr>
    <w:rPr>
      <w:rFonts w:ascii="华文楷体" w:hAnsi="华文楷体" w:eastAsia="华文楷体" w:cs="华文楷体"/>
      <w:sz w:val="28"/>
      <w:szCs w:val="28"/>
      <w:lang w:val="zh-cn" w:eastAsia="zh-cn" w:bidi="zh-cn"/>
    </w:rPr>
  </w:style>
  <w:style w:styleId="TOC4" w:type="paragraph">
    <w:name w:val="TOC 4"/>
    <w:basedOn w:val="Normal"/>
    <w:uiPriority w:val="1"/>
    <w:qFormat/>
    <w:pPr>
      <w:spacing w:before="119"/>
      <w:ind w:left="448"/>
    </w:pPr>
    <w:rPr>
      <w:rFonts w:ascii="华文楷体" w:hAnsi="华文楷体" w:eastAsia="华文楷体" w:cs="华文楷体"/>
      <w:b/>
      <w:bCs/>
      <w:i/>
      <w:lang w:val="zh-cn" w:eastAsia="zh-cn" w:bidi="zh-cn"/>
    </w:rPr>
  </w:style>
  <w:style w:styleId="BodyText" w:type="paragraph">
    <w:name w:val="Body Text"/>
    <w:basedOn w:val="Normal"/>
    <w:uiPriority w:val="1"/>
    <w:qFormat/>
    <w:pPr>
      <w:ind w:left="237"/>
    </w:pPr>
    <w:rPr>
      <w:rFonts w:ascii="宋体" w:hAnsi="宋体" w:eastAsia="宋体" w:cs="宋体"/>
      <w:sz w:val="24"/>
      <w:szCs w:val="24"/>
      <w:lang w:val="zh-cn" w:eastAsia="zh-cn" w:bidi="zh-cn"/>
    </w:rPr>
  </w:style>
  <w:style w:styleId="Heading1" w:type="paragraph">
    <w:name w:val="Heading 1"/>
    <w:basedOn w:val="Normal"/>
    <w:uiPriority w:val="1"/>
    <w:qFormat/>
    <w:pPr>
      <w:ind w:left="145"/>
      <w:jc w:val="center"/>
      <w:outlineLvl w:val="1"/>
    </w:pPr>
    <w:rPr>
      <w:rFonts w:ascii="华文宋体" w:hAnsi="华文宋体" w:eastAsia="华文宋体" w:cs="华文宋体"/>
      <w:b/>
      <w:bCs/>
      <w:sz w:val="44"/>
      <w:szCs w:val="44"/>
      <w:u w:val="single" w:color="000000"/>
      <w:lang w:val="zh-cn" w:eastAsia="zh-cn" w:bidi="zh-cn"/>
    </w:rPr>
  </w:style>
  <w:style w:styleId="Heading2" w:type="paragraph">
    <w:name w:val="Heading 2"/>
    <w:basedOn w:val="Normal"/>
    <w:uiPriority w:val="1"/>
    <w:qFormat/>
    <w:pPr>
      <w:ind w:left="237"/>
      <w:outlineLvl w:val="2"/>
    </w:pPr>
    <w:rPr>
      <w:rFonts w:ascii="宋体" w:hAnsi="宋体" w:eastAsia="宋体" w:cs="宋体"/>
      <w:b/>
      <w:bCs/>
      <w:sz w:val="32"/>
      <w:szCs w:val="32"/>
      <w:lang w:val="zh-cn" w:eastAsia="zh-cn" w:bidi="zh-cn"/>
    </w:rPr>
  </w:style>
  <w:style w:styleId="Heading3" w:type="paragraph">
    <w:name w:val="Heading 3"/>
    <w:basedOn w:val="Normal"/>
    <w:uiPriority w:val="1"/>
    <w:qFormat/>
    <w:pPr>
      <w:outlineLvl w:val="3"/>
    </w:pPr>
    <w:rPr>
      <w:rFonts w:ascii="楷体" w:hAnsi="楷体" w:eastAsia="楷体" w:cs="楷体"/>
      <w:b/>
      <w:bCs/>
      <w:sz w:val="24"/>
      <w:szCs w:val="24"/>
      <w:lang w:val="zh-cn" w:eastAsia="zh-cn" w:bidi="zh-cn"/>
    </w:rPr>
  </w:style>
  <w:style w:styleId="ListParagraph" w:type="paragraph">
    <w:name w:val="List Paragraph"/>
    <w:basedOn w:val="Normal"/>
    <w:uiPriority w:val="1"/>
    <w:qFormat/>
    <w:pPr>
      <w:spacing w:before="53"/>
      <w:ind w:left="237" w:firstLine="480"/>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header" Target="header1.xml"/><Relationship Id="rId8" Type="http://schemas.openxmlformats.org/officeDocument/2006/relationships/footer" Target="footer2.xml"/><Relationship Id="rId9" Type="http://schemas.openxmlformats.org/officeDocument/2006/relationships/header" Target="header2.xml"/><Relationship Id="rId10" Type="http://schemas.openxmlformats.org/officeDocument/2006/relationships/footer" Target="footer3.xml"/><Relationship Id="rId11" Type="http://schemas.openxmlformats.org/officeDocument/2006/relationships/image" Target="media/image2.jpeg"/><Relationship Id="rId12" Type="http://schemas.openxmlformats.org/officeDocument/2006/relationships/header" Target="header3.xml"/><Relationship Id="rId13" Type="http://schemas.openxmlformats.org/officeDocument/2006/relationships/footer" Target="footer4.xml"/><Relationship Id="rId14" Type="http://schemas.openxmlformats.org/officeDocument/2006/relationships/header" Target="header4.xml"/><Relationship Id="rId15" Type="http://schemas.openxmlformats.org/officeDocument/2006/relationships/footer" Target="footer5.xml"/><Relationship Id="rId16" Type="http://schemas.openxmlformats.org/officeDocument/2006/relationships/header" Target="header5.xml"/><Relationship Id="rId17" Type="http://schemas.openxmlformats.org/officeDocument/2006/relationships/footer" Target="footer6.xml"/><Relationship Id="rId18" Type="http://schemas.openxmlformats.org/officeDocument/2006/relationships/header" Target="header6.xml"/><Relationship Id="rId19" Type="http://schemas.openxmlformats.org/officeDocument/2006/relationships/footer" Target="footer7.xml"/><Relationship Id="rId20" Type="http://schemas.openxmlformats.org/officeDocument/2006/relationships/header" Target="header7.xml"/><Relationship Id="rId21" Type="http://schemas.openxmlformats.org/officeDocument/2006/relationships/footer" Target="footer8.xml"/><Relationship Id="rId22" Type="http://schemas.openxmlformats.org/officeDocument/2006/relationships/header" Target="header8.xml"/><Relationship Id="rId23" Type="http://schemas.openxmlformats.org/officeDocument/2006/relationships/footer" Target="footer9.xml"/><Relationship Id="rId24" Type="http://schemas.openxmlformats.org/officeDocument/2006/relationships/header" Target="header9.xml"/><Relationship Id="rId25" Type="http://schemas.openxmlformats.org/officeDocument/2006/relationships/footer" Target="footer10.xml"/><Relationship Id="rId26" Type="http://schemas.openxmlformats.org/officeDocument/2006/relationships/hyperlink" Target="http://www.cmei.org.cn/content/?13956.html" TargetMode="External"/><Relationship Id="rId27" Type="http://schemas.openxmlformats.org/officeDocument/2006/relationships/hyperlink" Target="mailto:yhlw_cmei@126.com" TargetMode="External"/><Relationship Id="rId28" Type="http://schemas.openxmlformats.org/officeDocument/2006/relationships/header" Target="header10.xml"/><Relationship Id="rId29" Type="http://schemas.openxmlformats.org/officeDocument/2006/relationships/footer" Target="footer11.xml"/><Relationship Id="rId30" Type="http://schemas.openxmlformats.org/officeDocument/2006/relationships/header" Target="header11.xml"/><Relationship Id="rId31" Type="http://schemas.openxmlformats.org/officeDocument/2006/relationships/footer" Target="footer12.xml"/><Relationship Id="rId32" Type="http://schemas.openxmlformats.org/officeDocument/2006/relationships/hyperlink" Target="mailto:liuyu@cmei.org.cn"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dc:title>中国药学会全国医药经济信息网</dc:title>
  <dcterms:created xsi:type="dcterms:W3CDTF">2019-10-23T03:22:19Z</dcterms:created>
  <dcterms:modified xsi:type="dcterms:W3CDTF">2019-10-23T03:22:19Z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Office Word 2007</vt:lpwstr>
  </property>
  <property fmtid="{D5CDD505-2E9C-101B-9397-08002B2CF9AE}" pid="4" name="LastSaved">
    <vt:filetime>2019-10-23T00:00:00Z</vt:filetime>
  </property>
</Properties>
</file>