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r>
        <w:rPr/>
        <w:pict>
          <v:group style="position:absolute;margin-left:32.400002pt;margin-top:54.599979pt;width:540.6pt;height:161.3pt;mso-position-horizontal-relative:page;mso-position-vertical-relative:page;z-index:-252716032" coordorigin="648,1092" coordsize="10812,3226">
            <v:line style="position:absolute" from="1248,1099" to="10804,1099" stroked="true" strokeweight=".72pt" strokecolor="#000000">
              <v:stroke dashstyle="solid"/>
            </v:line>
            <v:shape style="position:absolute;left:648;top:1099;width:10812;height:3219" type="#_x0000_t75" stroked="false">
              <v:imagedata r:id="rId6" o:title=""/>
            </v:shape>
            <w10:wrap type="none"/>
          </v:group>
        </w:pict>
      </w: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2"/>
        <w:ind w:left="0" w:firstLine="0"/>
        <w:rPr>
          <w:rFonts w:ascii="Times New Roman"/>
        </w:rPr>
      </w:pPr>
    </w:p>
    <w:p>
      <w:pPr>
        <w:pStyle w:val="Heading2"/>
        <w:tabs>
          <w:tab w:pos="3459" w:val="left" w:leader="none"/>
        </w:tabs>
        <w:spacing w:before="55"/>
        <w:jc w:val="center"/>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14</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212</w:t>
      </w:r>
      <w:r>
        <w:rPr>
          <w:rFonts w:ascii="黑体" w:eastAsia="黑体" w:hint="eastAsia"/>
          <w:spacing w:val="-81"/>
        </w:rPr>
        <w:t> </w:t>
      </w:r>
      <w:r>
        <w:rPr>
          <w:rFonts w:ascii="黑体" w:eastAsia="黑体" w:hint="eastAsia"/>
        </w:rPr>
        <w:t>期</w:t>
      </w:r>
    </w:p>
    <w:p>
      <w:pPr>
        <w:tabs>
          <w:tab w:pos="7329" w:val="left" w:leader="none"/>
        </w:tabs>
        <w:spacing w:before="137" w:after="51"/>
        <w:ind w:left="298" w:right="0" w:firstLine="0"/>
        <w:jc w:val="left"/>
        <w:rPr>
          <w:rFonts w:ascii="Microsoft JhengHei" w:eastAsia="Microsoft JhengHei" w:hint="eastAsia"/>
          <w:b/>
          <w:sz w:val="28"/>
        </w:rPr>
      </w:pPr>
      <w:r>
        <w:rPr>
          <w:rFonts w:ascii="Microsoft JhengHei" w:eastAsia="Microsoft JhengHei" w:hint="eastAsia"/>
          <w:b/>
          <w:sz w:val="28"/>
        </w:rPr>
        <w:t>中国药学会科技开发中心 </w:t>
      </w:r>
      <w:r>
        <w:rPr>
          <w:rFonts w:ascii="Microsoft JhengHei" w:eastAsia="Microsoft JhengHei" w:hint="eastAsia"/>
          <w:b/>
          <w:spacing w:val="7"/>
          <w:sz w:val="28"/>
        </w:rPr>
        <w:t> </w:t>
      </w:r>
      <w:r>
        <w:rPr>
          <w:rFonts w:ascii="Microsoft JhengHei" w:eastAsia="Microsoft JhengHei" w:hint="eastAsia"/>
          <w:b/>
          <w:sz w:val="28"/>
        </w:rPr>
        <w:t>组织联络部</w:t>
        <w:tab/>
        <w:t>2019</w:t>
      </w:r>
      <w:r>
        <w:rPr>
          <w:rFonts w:ascii="Microsoft JhengHei" w:eastAsia="Microsoft JhengHei" w:hint="eastAsia"/>
          <w:b/>
          <w:spacing w:val="-16"/>
          <w:sz w:val="28"/>
        </w:rPr>
        <w:t> </w:t>
      </w:r>
      <w:r>
        <w:rPr>
          <w:rFonts w:ascii="Microsoft JhengHei" w:eastAsia="Microsoft JhengHei" w:hint="eastAsia"/>
          <w:b/>
          <w:sz w:val="28"/>
        </w:rPr>
        <w:t>年</w:t>
      </w:r>
      <w:r>
        <w:rPr>
          <w:rFonts w:ascii="Microsoft JhengHei" w:eastAsia="Microsoft JhengHei" w:hint="eastAsia"/>
          <w:b/>
          <w:spacing w:val="-15"/>
          <w:sz w:val="28"/>
        </w:rPr>
        <w:t> </w:t>
      </w:r>
      <w:r>
        <w:rPr>
          <w:rFonts w:ascii="Microsoft JhengHei" w:eastAsia="Microsoft JhengHei" w:hint="eastAsia"/>
          <w:b/>
          <w:sz w:val="28"/>
        </w:rPr>
        <w:t>9</w:t>
      </w:r>
      <w:r>
        <w:rPr>
          <w:rFonts w:ascii="Microsoft JhengHei" w:eastAsia="Microsoft JhengHei" w:hint="eastAsia"/>
          <w:b/>
          <w:spacing w:val="-19"/>
          <w:sz w:val="28"/>
        </w:rPr>
        <w:t> </w:t>
      </w:r>
      <w:r>
        <w:rPr>
          <w:rFonts w:ascii="Microsoft JhengHei" w:eastAsia="Microsoft JhengHei" w:hint="eastAsia"/>
          <w:b/>
          <w:sz w:val="28"/>
        </w:rPr>
        <w:t>月</w:t>
      </w:r>
      <w:r>
        <w:rPr>
          <w:rFonts w:ascii="Microsoft JhengHei" w:eastAsia="Microsoft JhengHei" w:hint="eastAsia"/>
          <w:b/>
          <w:spacing w:val="-15"/>
          <w:sz w:val="28"/>
        </w:rPr>
        <w:t> </w:t>
      </w:r>
      <w:r>
        <w:rPr>
          <w:rFonts w:ascii="Microsoft JhengHei" w:eastAsia="Microsoft JhengHei" w:hint="eastAsia"/>
          <w:b/>
          <w:sz w:val="28"/>
        </w:rPr>
        <w:t>16</w:t>
      </w:r>
      <w:r>
        <w:rPr>
          <w:rFonts w:ascii="Microsoft JhengHei" w:eastAsia="Microsoft JhengHei" w:hint="eastAsia"/>
          <w:b/>
          <w:spacing w:val="-19"/>
          <w:sz w:val="28"/>
        </w:rPr>
        <w:t> </w:t>
      </w:r>
      <w:r>
        <w:rPr>
          <w:rFonts w:ascii="Microsoft JhengHei" w:eastAsia="Microsoft JhengHei" w:hint="eastAsia"/>
          <w:b/>
          <w:sz w:val="28"/>
        </w:rPr>
        <w:t>日</w:t>
      </w:r>
    </w:p>
    <w:p>
      <w:pPr>
        <w:pStyle w:val="BodyText"/>
        <w:spacing w:line="46" w:lineRule="exact"/>
        <w:ind w:left="-43" w:right="-15" w:firstLine="0"/>
        <w:rPr>
          <w:rFonts w:ascii="Microsoft JhengHei"/>
          <w:sz w:val="4"/>
        </w:rPr>
      </w:pPr>
      <w:r>
        <w:rPr>
          <w:rFonts w:ascii="Microsoft JhengHei"/>
          <w:position w:val="0"/>
          <w:sz w:val="4"/>
        </w:rPr>
        <w:pict>
          <v:group style="width:491.25pt;height:2.25pt;mso-position-horizontal-relative:char;mso-position-vertical-relative:line" coordorigin="0,0" coordsize="9825,45">
            <v:line style="position:absolute" from="0,23" to="9825,23" stroked="true" strokeweight="2.25pt" strokecolor="#ff0000">
              <v:stroke dashstyle="solid"/>
            </v:line>
          </v:group>
        </w:pict>
      </w:r>
      <w:r>
        <w:rPr>
          <w:rFonts w:ascii="Microsoft JhengHei"/>
          <w:position w:val="0"/>
          <w:sz w:val="4"/>
        </w:rPr>
      </w:r>
    </w:p>
    <w:p>
      <w:pPr>
        <w:pStyle w:val="BodyText"/>
        <w:spacing w:before="12"/>
        <w:ind w:left="0" w:firstLine="0"/>
        <w:rPr>
          <w:rFonts w:ascii="Microsoft JhengHei"/>
          <w:b/>
          <w:sz w:val="19"/>
        </w:rPr>
      </w:pPr>
    </w:p>
    <w:p>
      <w:pPr>
        <w:spacing w:line="189" w:lineRule="auto" w:before="0"/>
        <w:ind w:left="4026" w:right="4099" w:firstLine="328"/>
        <w:jc w:val="left"/>
        <w:rPr>
          <w:rFonts w:ascii="隶书" w:eastAsia="隶书" w:hint="eastAsia"/>
          <w:sz w:val="44"/>
        </w:rPr>
      </w:pPr>
      <w:r>
        <w:rPr>
          <w:rFonts w:ascii="隶书" w:eastAsia="隶书" w:hint="eastAsia"/>
          <w:color w:val="1A5220"/>
          <w:sz w:val="44"/>
        </w:rPr>
        <w:t>目 次政策导览</w:t>
      </w:r>
    </w:p>
    <w:p>
      <w:pPr>
        <w:pStyle w:val="Heading3"/>
        <w:tabs>
          <w:tab w:pos="9441" w:val="right" w:leader="dot"/>
        </w:tabs>
        <w:spacing w:before="4"/>
        <w:ind w:left="368"/>
        <w:rPr>
          <w:b w:val="0"/>
        </w:rPr>
      </w:pPr>
      <w:r>
        <w:rPr>
          <w:rFonts w:ascii="Microsoft JhengHei" w:eastAsia="Microsoft JhengHei" w:hint="eastAsia"/>
        </w:rPr>
        <w:t>【政府要闻】</w:t>
        <w:tab/>
      </w:r>
      <w:r>
        <w:rPr>
          <w:b w:val="0"/>
        </w:rPr>
        <w:t>1</w:t>
      </w:r>
    </w:p>
    <w:p>
      <w:pPr>
        <w:pStyle w:val="BodyText"/>
        <w:tabs>
          <w:tab w:pos="9441" w:val="right" w:leader="dot"/>
        </w:tabs>
        <w:spacing w:before="58"/>
        <w:ind w:left="368" w:firstLine="0"/>
      </w:pPr>
      <w:r>
        <w:rPr/>
        <w:t>数亿高血压糖尿病患者负担将减轻</w:t>
        <w:tab/>
        <w:t>1</w:t>
      </w:r>
    </w:p>
    <w:p>
      <w:pPr>
        <w:pStyle w:val="BodyText"/>
        <w:tabs>
          <w:tab w:pos="9441" w:val="right" w:leader="dot"/>
        </w:tabs>
        <w:spacing w:before="113"/>
        <w:ind w:left="368" w:firstLine="0"/>
      </w:pPr>
      <w:r>
        <w:rPr/>
        <w:t>不断满足人民群众用药需求</w:t>
        <w:tab/>
        <w:t>2</w:t>
      </w:r>
    </w:p>
    <w:p>
      <w:pPr>
        <w:pStyle w:val="BodyText"/>
        <w:tabs>
          <w:tab w:pos="9441" w:val="right" w:leader="dot"/>
        </w:tabs>
        <w:spacing w:before="112"/>
        <w:ind w:left="368" w:firstLine="0"/>
      </w:pPr>
      <w:r>
        <w:rPr/>
        <w:t>今年基本公卫服务要提质增量</w:t>
        <w:tab/>
        <w:t>6</w:t>
      </w:r>
    </w:p>
    <w:p>
      <w:pPr>
        <w:pStyle w:val="BodyText"/>
        <w:tabs>
          <w:tab w:pos="9441" w:val="right" w:leader="dot"/>
        </w:tabs>
        <w:spacing w:before="113"/>
        <w:ind w:left="368" w:firstLine="0"/>
      </w:pPr>
      <w:r>
        <w:rPr/>
        <w:t>第三批鼓励研发申报儿童药品清单发布</w:t>
        <w:tab/>
        <w:t>6</w:t>
      </w:r>
    </w:p>
    <w:p>
      <w:pPr>
        <w:pStyle w:val="BodyText"/>
        <w:tabs>
          <w:tab w:pos="9441" w:val="right" w:leader="dot"/>
        </w:tabs>
        <w:spacing w:before="112"/>
        <w:ind w:left="368" w:firstLine="0"/>
      </w:pPr>
      <w:r>
        <w:rPr/>
        <w:t>公立医院改革发展要抓</w:t>
      </w:r>
      <w:r>
        <w:rPr>
          <w:spacing w:val="-60"/>
        </w:rPr>
        <w:t> </w:t>
      </w:r>
      <w:r>
        <w:rPr/>
        <w:t>3</w:t>
      </w:r>
      <w:r>
        <w:rPr>
          <w:spacing w:val="-60"/>
        </w:rPr>
        <w:t> </w:t>
      </w:r>
      <w:r>
        <w:rPr/>
        <w:t>项重点</w:t>
        <w:tab/>
        <w:t>7</w:t>
      </w:r>
    </w:p>
    <w:p>
      <w:pPr>
        <w:pStyle w:val="Heading3"/>
        <w:tabs>
          <w:tab w:pos="9441" w:val="right" w:leader="dot"/>
        </w:tabs>
        <w:spacing w:before="34"/>
        <w:ind w:left="368"/>
        <w:rPr>
          <w:b w:val="0"/>
        </w:rPr>
      </w:pPr>
      <w:r>
        <w:rPr>
          <w:rFonts w:ascii="Microsoft JhengHei" w:eastAsia="Microsoft JhengHei" w:hint="eastAsia"/>
        </w:rPr>
        <w:t>【壮丽</w:t>
      </w:r>
      <w:r>
        <w:rPr>
          <w:rFonts w:ascii="Microsoft JhengHei" w:eastAsia="Microsoft JhengHei" w:hint="eastAsia"/>
          <w:spacing w:val="1"/>
        </w:rPr>
        <w:t> </w:t>
      </w:r>
      <w:r>
        <w:rPr>
          <w:rFonts w:ascii="Microsoft JhengHei" w:eastAsia="Microsoft JhengHei" w:hint="eastAsia"/>
        </w:rPr>
        <w:t>70</w:t>
      </w:r>
      <w:r>
        <w:rPr>
          <w:rFonts w:ascii="Microsoft JhengHei" w:eastAsia="Microsoft JhengHei" w:hint="eastAsia"/>
          <w:spacing w:val="2"/>
        </w:rPr>
        <w:t> </w:t>
      </w:r>
      <w:r>
        <w:rPr>
          <w:rFonts w:ascii="Microsoft JhengHei" w:eastAsia="Microsoft JhengHei" w:hint="eastAsia"/>
        </w:rPr>
        <w:t>年】</w:t>
        <w:tab/>
      </w:r>
      <w:r>
        <w:rPr>
          <w:b w:val="0"/>
        </w:rPr>
        <w:t>7</w:t>
      </w:r>
    </w:p>
    <w:p>
      <w:pPr>
        <w:pStyle w:val="BodyText"/>
        <w:tabs>
          <w:tab w:pos="2048" w:val="left" w:leader="none"/>
          <w:tab w:pos="9441" w:val="right" w:leader="dot"/>
        </w:tabs>
        <w:spacing w:before="58"/>
        <w:ind w:left="368" w:firstLine="0"/>
      </w:pPr>
      <w:r>
        <w:rPr/>
        <w:t>回顾三年经验</w:t>
        <w:tab/>
        <w:t>布局“十二五”医改</w:t>
        <w:tab/>
        <w:t>7</w:t>
      </w:r>
    </w:p>
    <w:p>
      <w:pPr>
        <w:pStyle w:val="BodyText"/>
        <w:tabs>
          <w:tab w:pos="9441" w:val="right" w:leader="dot"/>
        </w:tabs>
        <w:spacing w:before="112"/>
        <w:ind w:left="368" w:firstLine="0"/>
      </w:pPr>
      <w:r>
        <w:rPr/>
        <w:t>“十二五”医改开局良好</w:t>
        <w:tab/>
        <w:t>10</w:t>
      </w:r>
    </w:p>
    <w:p>
      <w:pPr>
        <w:tabs>
          <w:tab w:pos="9441" w:val="right" w:leader="dot"/>
        </w:tabs>
        <w:spacing w:before="34"/>
        <w:ind w:left="368" w:right="0" w:firstLine="0"/>
        <w:jc w:val="left"/>
        <w:rPr>
          <w:sz w:val="24"/>
        </w:rPr>
      </w:pPr>
      <w:r>
        <w:rPr>
          <w:rFonts w:ascii="Microsoft JhengHei" w:eastAsia="Microsoft JhengHei" w:hint="eastAsia"/>
          <w:b/>
          <w:sz w:val="24"/>
        </w:rPr>
        <w:t>【医保动态】</w:t>
        <w:tab/>
      </w:r>
      <w:r>
        <w:rPr>
          <w:sz w:val="24"/>
        </w:rPr>
        <w:t>12</w:t>
      </w:r>
    </w:p>
    <w:p>
      <w:pPr>
        <w:pStyle w:val="BodyText"/>
        <w:tabs>
          <w:tab w:pos="9441" w:val="right" w:leader="dot"/>
        </w:tabs>
        <w:spacing w:before="58"/>
        <w:ind w:left="368" w:firstLine="0"/>
      </w:pPr>
      <w:r>
        <w:rPr/>
        <w:t>跨省就医定点机构突破两万</w:t>
        <w:tab/>
        <w:t>12</w:t>
      </w:r>
    </w:p>
    <w:p>
      <w:pPr>
        <w:pStyle w:val="BodyText"/>
        <w:tabs>
          <w:tab w:pos="9441" w:val="right" w:leader="dot"/>
        </w:tabs>
        <w:spacing w:before="112"/>
        <w:ind w:left="368" w:firstLine="0"/>
      </w:pPr>
      <w:r>
        <w:rPr/>
        <w:t>新一轮医保药物准入谈判在即，将会带来哪些影响？</w:t>
        <w:tab/>
        <w:t>12</w:t>
      </w:r>
    </w:p>
    <w:p>
      <w:pPr>
        <w:tabs>
          <w:tab w:pos="9441" w:val="right" w:leader="dot"/>
        </w:tabs>
        <w:spacing w:before="34"/>
        <w:ind w:left="368" w:right="0" w:firstLine="0"/>
        <w:jc w:val="left"/>
        <w:rPr>
          <w:sz w:val="24"/>
        </w:rPr>
      </w:pPr>
      <w:r>
        <w:rPr>
          <w:rFonts w:ascii="Microsoft JhengHei" w:eastAsia="Microsoft JhengHei" w:hint="eastAsia"/>
          <w:b/>
          <w:sz w:val="24"/>
        </w:rPr>
        <w:t>【药监动态】</w:t>
        <w:tab/>
      </w:r>
      <w:r>
        <w:rPr>
          <w:sz w:val="24"/>
        </w:rPr>
        <w:t>13</w:t>
      </w:r>
    </w:p>
    <w:p>
      <w:pPr>
        <w:pStyle w:val="BodyText"/>
        <w:tabs>
          <w:tab w:pos="9441" w:val="right" w:leader="dot"/>
        </w:tabs>
        <w:spacing w:before="58"/>
        <w:ind w:left="368" w:firstLine="0"/>
      </w:pPr>
      <w:r>
        <w:rPr/>
        <w:t>药品追溯又有新进展！</w:t>
        <w:tab/>
        <w:t>13</w:t>
      </w:r>
    </w:p>
    <w:p>
      <w:pPr>
        <w:pStyle w:val="BodyText"/>
        <w:tabs>
          <w:tab w:pos="9441" w:val="right" w:leader="dot"/>
        </w:tabs>
        <w:spacing w:before="112"/>
        <w:ind w:left="368" w:firstLine="0"/>
      </w:pPr>
      <w:r>
        <w:rPr/>
        <w:t>心脉隆注射液和骨筋丸口服制剂说明书修订</w:t>
        <w:tab/>
        <w:t>14</w:t>
      </w:r>
    </w:p>
    <w:p>
      <w:pPr>
        <w:pStyle w:val="BodyText"/>
        <w:tabs>
          <w:tab w:pos="9441" w:val="right" w:leader="dot"/>
        </w:tabs>
        <w:spacing w:before="113"/>
        <w:ind w:left="368" w:firstLine="0"/>
      </w:pPr>
      <w:r>
        <w:rPr/>
        <w:t>薄荷通吸入剂等</w:t>
      </w:r>
      <w:r>
        <w:rPr>
          <w:spacing w:val="-61"/>
        </w:rPr>
        <w:t> </w:t>
      </w:r>
      <w:r>
        <w:rPr/>
        <w:t>7</w:t>
      </w:r>
      <w:r>
        <w:rPr>
          <w:spacing w:val="-60"/>
        </w:rPr>
        <w:t> </w:t>
      </w:r>
      <w:r>
        <w:rPr/>
        <w:t>个含薄荷脑非处方药说明书修订</w:t>
        <w:tab/>
        <w:t>15</w:t>
      </w:r>
    </w:p>
    <w:p>
      <w:pPr>
        <w:pStyle w:val="BodyText"/>
        <w:tabs>
          <w:tab w:pos="9441" w:val="right" w:leader="dot"/>
        </w:tabs>
        <w:spacing w:before="112"/>
        <w:ind w:left="368" w:firstLine="0"/>
      </w:pPr>
      <w:r>
        <w:rPr/>
        <w:t>丹参川芎嗪注射液说明书修订</w:t>
        <w:tab/>
        <w:t>16</w:t>
      </w:r>
    </w:p>
    <w:p>
      <w:pPr>
        <w:tabs>
          <w:tab w:pos="9441" w:val="right" w:leader="dot"/>
        </w:tabs>
        <w:spacing w:before="34"/>
        <w:ind w:left="368" w:right="0" w:firstLine="0"/>
        <w:jc w:val="left"/>
        <w:rPr>
          <w:sz w:val="24"/>
        </w:rPr>
      </w:pPr>
      <w:r>
        <w:rPr>
          <w:rFonts w:ascii="Microsoft JhengHei" w:eastAsia="Microsoft JhengHei" w:hint="eastAsia"/>
          <w:b/>
          <w:sz w:val="24"/>
        </w:rPr>
        <w:t>【医改新政】</w:t>
        <w:tab/>
      </w:r>
      <w:r>
        <w:rPr>
          <w:sz w:val="24"/>
        </w:rPr>
        <w:t>16</w:t>
      </w:r>
    </w:p>
    <w:p>
      <w:pPr>
        <w:pStyle w:val="BodyText"/>
        <w:tabs>
          <w:tab w:pos="9441" w:val="right" w:leader="dot"/>
        </w:tabs>
        <w:spacing w:line="264" w:lineRule="exact" w:before="58"/>
        <w:ind w:left="368" w:firstLine="0"/>
      </w:pPr>
      <w:r>
        <w:rPr/>
        <w:t>北京：药学门诊降低患者用药成</w:t>
        <w:tab/>
        <w:t>16</w:t>
      </w:r>
    </w:p>
    <w:p>
      <w:pPr>
        <w:spacing w:line="509" w:lineRule="exact" w:before="0"/>
        <w:ind w:left="160" w:right="232" w:firstLine="0"/>
        <w:jc w:val="center"/>
        <w:rPr>
          <w:rFonts w:ascii="隶书" w:eastAsia="隶书" w:hint="eastAsia"/>
          <w:sz w:val="44"/>
        </w:rPr>
      </w:pPr>
      <w:r>
        <w:rPr>
          <w:rFonts w:ascii="隶书" w:eastAsia="隶书" w:hint="eastAsia"/>
          <w:color w:val="1A5220"/>
          <w:sz w:val="44"/>
        </w:rPr>
        <w:t>行业资讯</w:t>
      </w:r>
    </w:p>
    <w:p>
      <w:pPr>
        <w:tabs>
          <w:tab w:pos="9441" w:val="right" w:leader="dot"/>
        </w:tabs>
        <w:spacing w:line="430" w:lineRule="exact" w:before="0"/>
        <w:ind w:left="368" w:right="0" w:firstLine="0"/>
        <w:jc w:val="left"/>
        <w:rPr>
          <w:sz w:val="24"/>
        </w:rPr>
      </w:pPr>
      <w:r>
        <w:rPr>
          <w:rFonts w:ascii="Microsoft JhengHei" w:eastAsia="Microsoft JhengHei" w:hint="eastAsia"/>
          <w:b/>
          <w:sz w:val="24"/>
        </w:rPr>
        <w:t>【热点聚焦】</w:t>
        <w:tab/>
      </w:r>
      <w:r>
        <w:rPr>
          <w:sz w:val="24"/>
        </w:rPr>
        <w:t>17</w:t>
      </w:r>
    </w:p>
    <w:p>
      <w:pPr>
        <w:spacing w:after="0" w:line="430" w:lineRule="exact"/>
        <w:jc w:val="left"/>
        <w:rPr>
          <w:sz w:val="24"/>
        </w:rPr>
        <w:sectPr>
          <w:footerReference w:type="default" r:id="rId5"/>
          <w:type w:val="continuous"/>
          <w:pgSz w:w="11910" w:h="16850"/>
          <w:pgMar w:footer="825" w:top="1100" w:bottom="1020" w:left="1120" w:right="900"/>
          <w:pgNumType w:start="1"/>
        </w:sectPr>
      </w:pPr>
    </w:p>
    <w:sdt>
      <w:sdtPr>
        <w:docPartObj>
          <w:docPartGallery w:val="Table of Contents"/>
          <w:docPartUnique/>
        </w:docPartObj>
      </w:sdtPr>
      <w:sdtEndPr/>
      <w:sdtContent>
        <w:p>
          <w:pPr>
            <w:pStyle w:val="TOC2"/>
            <w:tabs>
              <w:tab w:pos="9441" w:val="right" w:leader="dot"/>
            </w:tabs>
            <w:spacing w:before="266"/>
          </w:pPr>
          <w:hyperlink w:history="true" w:anchor="_TOC_250031">
            <w:r>
              <w:rPr/>
              <w:t>2019</w:t>
            </w:r>
            <w:r>
              <w:rPr>
                <w:spacing w:val="-61"/>
              </w:rPr>
              <w:t> </w:t>
            </w:r>
            <w:r>
              <w:rPr/>
              <w:t>年版国家医保药品目录数据观察及影响预判</w:t>
              <w:tab/>
              <w:t>17</w:t>
            </w:r>
          </w:hyperlink>
        </w:p>
        <w:p>
          <w:pPr>
            <w:pStyle w:val="TOC3"/>
            <w:tabs>
              <w:tab w:pos="9441" w:val="right" w:leader="dot"/>
            </w:tabs>
            <w:spacing w:before="34"/>
            <w:rPr>
              <w:rFonts w:ascii="宋体" w:eastAsia="宋体" w:hint="eastAsia"/>
              <w:b w:val="0"/>
              <w:i w:val="0"/>
              <w:sz w:val="24"/>
            </w:rPr>
          </w:pPr>
          <w:hyperlink w:history="true" w:anchor="_TOC_250030">
            <w:r>
              <w:rPr>
                <w:i w:val="0"/>
                <w:sz w:val="24"/>
              </w:rPr>
              <w:t>【数据公报】</w:t>
              <w:tab/>
            </w:r>
            <w:r>
              <w:rPr>
                <w:rFonts w:ascii="宋体" w:eastAsia="宋体" w:hint="eastAsia"/>
                <w:b w:val="0"/>
                <w:i w:val="0"/>
                <w:sz w:val="24"/>
              </w:rPr>
              <w:t>23</w:t>
            </w:r>
          </w:hyperlink>
        </w:p>
        <w:p>
          <w:pPr>
            <w:pStyle w:val="TOC2"/>
            <w:tabs>
              <w:tab w:pos="9441" w:val="right" w:leader="dot"/>
            </w:tabs>
          </w:pPr>
          <w:hyperlink w:history="true" w:anchor="_TOC_250029">
            <w:r>
              <w:rPr/>
              <w:t>第五批过度重复药品目录公布</w:t>
              <w:tab/>
              <w:t>23</w:t>
            </w:r>
          </w:hyperlink>
        </w:p>
        <w:p>
          <w:pPr>
            <w:pStyle w:val="TOC2"/>
            <w:tabs>
              <w:tab w:pos="9441" w:val="right" w:leader="dot"/>
            </w:tabs>
            <w:spacing w:before="112"/>
          </w:pPr>
          <w:hyperlink w:history="true" w:anchor="_TOC_250028">
            <w:r>
              <w:rPr/>
              <w:t>2018</w:t>
            </w:r>
            <w:r>
              <w:rPr>
                <w:spacing w:val="-61"/>
              </w:rPr>
              <w:t> </w:t>
            </w:r>
            <w:r>
              <w:rPr/>
              <w:t>年度中国医药工业百强企业发布</w:t>
              <w:tab/>
              <w:t>24</w:t>
            </w:r>
          </w:hyperlink>
        </w:p>
        <w:p>
          <w:pPr>
            <w:pStyle w:val="TOC3"/>
            <w:tabs>
              <w:tab w:pos="9441" w:val="right" w:leader="dot"/>
            </w:tabs>
            <w:spacing w:before="33"/>
            <w:rPr>
              <w:rFonts w:ascii="宋体" w:eastAsia="宋体" w:hint="eastAsia"/>
              <w:b w:val="0"/>
              <w:i w:val="0"/>
              <w:sz w:val="24"/>
            </w:rPr>
          </w:pPr>
          <w:hyperlink w:history="true" w:anchor="_TOC_250027">
            <w:r>
              <w:rPr>
                <w:rFonts w:ascii="宋体" w:eastAsia="宋体" w:hint="eastAsia"/>
                <w:b w:val="0"/>
                <w:i w:val="0"/>
                <w:sz w:val="24"/>
              </w:rPr>
              <w:t>【</w:t>
            </w:r>
            <w:r>
              <w:rPr>
                <w:i w:val="0"/>
                <w:sz w:val="24"/>
              </w:rPr>
              <w:t>医院管理】</w:t>
              <w:tab/>
            </w:r>
            <w:r>
              <w:rPr>
                <w:rFonts w:ascii="宋体" w:eastAsia="宋体" w:hint="eastAsia"/>
                <w:b w:val="0"/>
                <w:i w:val="0"/>
                <w:sz w:val="24"/>
              </w:rPr>
              <w:t>24</w:t>
            </w:r>
          </w:hyperlink>
        </w:p>
        <w:p>
          <w:pPr>
            <w:pStyle w:val="TOC2"/>
            <w:tabs>
              <w:tab w:pos="9441" w:val="right" w:leader="dot"/>
            </w:tabs>
          </w:pPr>
          <w:hyperlink w:history="true" w:anchor="_TOC_250026">
            <w:r>
              <w:rPr/>
              <w:t>别误读了这些考核指标</w:t>
              <w:tab/>
              <w:t>24</w:t>
            </w:r>
          </w:hyperlink>
        </w:p>
        <w:p>
          <w:pPr>
            <w:pStyle w:val="TOC2"/>
            <w:tabs>
              <w:tab w:pos="9441" w:val="right" w:leader="dot"/>
            </w:tabs>
            <w:spacing w:line="264" w:lineRule="exact" w:before="113"/>
          </w:pPr>
          <w:hyperlink w:history="true" w:anchor="_TOC_250025">
            <w:r>
              <w:rPr/>
              <w:t>遏制细菌耐药</w:t>
            </w:r>
            <w:r>
              <w:rPr>
                <w:spacing w:val="-1"/>
              </w:rPr>
              <w:t> </w:t>
            </w:r>
            <w:r>
              <w:rPr/>
              <w:t>构建安全防控网</w:t>
              <w:tab/>
              <w:t>25</w:t>
            </w:r>
          </w:hyperlink>
        </w:p>
        <w:p>
          <w:pPr>
            <w:pStyle w:val="TOC1"/>
          </w:pPr>
          <w:hyperlink w:history="true" w:anchor="_TOC_250024">
            <w:r>
              <w:rPr>
                <w:color w:val="1A5220"/>
              </w:rPr>
              <w:t>医药前沿</w:t>
            </w:r>
          </w:hyperlink>
        </w:p>
        <w:p>
          <w:pPr>
            <w:pStyle w:val="TOC3"/>
            <w:tabs>
              <w:tab w:pos="9441" w:val="right" w:leader="dot"/>
            </w:tabs>
            <w:spacing w:line="430" w:lineRule="exact"/>
            <w:rPr>
              <w:rFonts w:ascii="宋体" w:eastAsia="宋体" w:hint="eastAsia"/>
              <w:b w:val="0"/>
              <w:i w:val="0"/>
              <w:sz w:val="24"/>
            </w:rPr>
          </w:pPr>
          <w:hyperlink w:history="true" w:anchor="_TOC_250023">
            <w:r>
              <w:rPr>
                <w:i w:val="0"/>
                <w:sz w:val="24"/>
              </w:rPr>
              <w:t>【前沿速览】</w:t>
              <w:tab/>
            </w:r>
            <w:r>
              <w:rPr>
                <w:rFonts w:ascii="宋体" w:eastAsia="宋体" w:hint="eastAsia"/>
                <w:b w:val="0"/>
                <w:i w:val="0"/>
                <w:sz w:val="24"/>
              </w:rPr>
              <w:t>27</w:t>
            </w:r>
          </w:hyperlink>
        </w:p>
        <w:p>
          <w:pPr>
            <w:pStyle w:val="TOC2"/>
            <w:tabs>
              <w:tab w:pos="2048" w:val="left" w:leader="none"/>
              <w:tab w:pos="9441" w:val="right" w:leader="dot"/>
            </w:tabs>
          </w:pPr>
          <w:hyperlink w:history="true" w:anchor="_TOC_250022">
            <w:r>
              <w:rPr/>
              <w:t>临床选择偏少</w:t>
              <w:tab/>
              <w:t>研发需求迫切</w:t>
              <w:tab/>
              <w:t>27</w:t>
            </w:r>
          </w:hyperlink>
        </w:p>
        <w:p>
          <w:pPr>
            <w:pStyle w:val="TOC2"/>
            <w:tabs>
              <w:tab w:pos="9441" w:val="right" w:leader="dot"/>
            </w:tabs>
            <w:spacing w:before="112"/>
          </w:pPr>
          <w:hyperlink w:history="true" w:anchor="_TOC_250021">
            <w:r>
              <w:rPr/>
              <w:t>新型微针药膜可提高药物疗效</w:t>
              <w:tab/>
              <w:t>28</w:t>
            </w:r>
          </w:hyperlink>
        </w:p>
        <w:p>
          <w:pPr>
            <w:pStyle w:val="TOC3"/>
            <w:tabs>
              <w:tab w:pos="9441" w:val="right" w:leader="dot"/>
            </w:tabs>
            <w:spacing w:before="34"/>
            <w:rPr>
              <w:rFonts w:ascii="宋体" w:eastAsia="宋体" w:hint="eastAsia"/>
              <w:b w:val="0"/>
              <w:i w:val="0"/>
              <w:sz w:val="24"/>
            </w:rPr>
          </w:pPr>
          <w:hyperlink w:history="true" w:anchor="_TOC_250020">
            <w:r>
              <w:rPr>
                <w:i w:val="0"/>
                <w:sz w:val="24"/>
              </w:rPr>
              <w:t>【研究进展】</w:t>
              <w:tab/>
            </w:r>
            <w:r>
              <w:rPr>
                <w:rFonts w:ascii="宋体" w:eastAsia="宋体" w:hint="eastAsia"/>
                <w:b w:val="0"/>
                <w:i w:val="0"/>
                <w:sz w:val="24"/>
              </w:rPr>
              <w:t>29</w:t>
            </w:r>
          </w:hyperlink>
        </w:p>
        <w:p>
          <w:pPr>
            <w:pStyle w:val="TOC2"/>
            <w:tabs>
              <w:tab w:pos="9441" w:val="right" w:leader="dot"/>
            </w:tabs>
            <w:spacing w:before="57"/>
          </w:pPr>
          <w:hyperlink w:history="true" w:anchor="_TOC_250019">
            <w:r>
              <w:rPr/>
              <w:t>T</w:t>
            </w:r>
            <w:r>
              <w:rPr>
                <w:spacing w:val="-60"/>
              </w:rPr>
              <w:t> </w:t>
            </w:r>
            <w:r>
              <w:rPr/>
              <w:t>细胞受体复合物结构获揭示</w:t>
              <w:tab/>
              <w:t>29</w:t>
            </w:r>
          </w:hyperlink>
        </w:p>
        <w:p>
          <w:pPr>
            <w:pStyle w:val="TOC2"/>
            <w:tabs>
              <w:tab w:pos="9441" w:val="right" w:leader="dot"/>
            </w:tabs>
            <w:spacing w:before="113"/>
          </w:pPr>
          <w:hyperlink w:history="true" w:anchor="_TOC_250018">
            <w:r>
              <w:rPr/>
              <w:t>纳米药“正负相吸”渗入肿瘤细胞</w:t>
              <w:tab/>
              <w:t>29</w:t>
            </w:r>
          </w:hyperlink>
        </w:p>
        <w:p>
          <w:pPr>
            <w:pStyle w:val="TOC2"/>
            <w:tabs>
              <w:tab w:pos="9441" w:val="right" w:leader="dot"/>
            </w:tabs>
            <w:spacing w:line="264" w:lineRule="exact" w:before="112"/>
          </w:pPr>
          <w:hyperlink w:history="true" w:anchor="_TOC_250017">
            <w:r>
              <w:rPr/>
              <w:t>心血管疾病治疗新靶点被找到</w:t>
              <w:tab/>
              <w:t>30</w:t>
            </w:r>
          </w:hyperlink>
        </w:p>
        <w:p>
          <w:pPr>
            <w:pStyle w:val="TOC1"/>
          </w:pPr>
          <w:hyperlink w:history="true" w:anchor="_TOC_250016">
            <w:r>
              <w:rPr>
                <w:color w:val="1A5220"/>
              </w:rPr>
              <w:t>合理用药</w:t>
            </w:r>
          </w:hyperlink>
        </w:p>
        <w:p>
          <w:pPr>
            <w:pStyle w:val="TOC3"/>
            <w:tabs>
              <w:tab w:pos="9441" w:val="right" w:leader="dot"/>
            </w:tabs>
            <w:spacing w:line="430" w:lineRule="exact"/>
            <w:rPr>
              <w:rFonts w:ascii="宋体" w:eastAsia="宋体" w:hint="eastAsia"/>
              <w:b w:val="0"/>
              <w:i w:val="0"/>
              <w:sz w:val="24"/>
            </w:rPr>
          </w:pPr>
          <w:hyperlink w:history="true" w:anchor="_TOC_250015">
            <w:r>
              <w:rPr>
                <w:i w:val="0"/>
                <w:sz w:val="24"/>
              </w:rPr>
              <w:t>【临床药师】</w:t>
              <w:tab/>
            </w:r>
            <w:r>
              <w:rPr>
                <w:rFonts w:ascii="宋体" w:eastAsia="宋体" w:hint="eastAsia"/>
                <w:b w:val="0"/>
                <w:i w:val="0"/>
                <w:sz w:val="24"/>
              </w:rPr>
              <w:t>31</w:t>
            </w:r>
          </w:hyperlink>
        </w:p>
        <w:p>
          <w:pPr>
            <w:pStyle w:val="TOC2"/>
            <w:tabs>
              <w:tab w:pos="9441" w:val="right" w:leader="dot"/>
            </w:tabs>
          </w:pPr>
          <w:hyperlink w:history="true" w:anchor="_TOC_250014">
            <w:r>
              <w:rPr/>
              <w:t>活性维生素</w:t>
            </w:r>
            <w:r>
              <w:rPr>
                <w:spacing w:val="-61"/>
              </w:rPr>
              <w:t> </w:t>
            </w:r>
            <w:r>
              <w:rPr/>
              <w:t>D</w:t>
            </w:r>
            <w:r>
              <w:rPr>
                <w:spacing w:val="-60"/>
              </w:rPr>
              <w:t> </w:t>
            </w:r>
            <w:r>
              <w:rPr/>
              <w:t>及其类似物在骨质疏松治疗中的地位</w:t>
              <w:tab/>
              <w:t>31</w:t>
            </w:r>
          </w:hyperlink>
        </w:p>
        <w:p>
          <w:pPr>
            <w:pStyle w:val="TOC2"/>
            <w:tabs>
              <w:tab w:pos="9441" w:val="right" w:leader="dot"/>
            </w:tabs>
            <w:spacing w:before="113"/>
          </w:pPr>
          <w:hyperlink w:history="true" w:anchor="_TOC_250013">
            <w:r>
              <w:rPr/>
              <w:t>黑白两道儿通吃的酪氨酸酶，来了解一下</w:t>
              <w:tab/>
              <w:t>32</w:t>
            </w:r>
          </w:hyperlink>
        </w:p>
        <w:p>
          <w:pPr>
            <w:pStyle w:val="TOC2"/>
            <w:tabs>
              <w:tab w:pos="9441" w:val="right" w:leader="dot"/>
            </w:tabs>
            <w:spacing w:before="112"/>
          </w:pPr>
          <w:hyperlink w:history="true" w:anchor="_TOC_250012">
            <w:r>
              <w:rPr/>
              <w:t>做科研</w:t>
            </w:r>
            <w:r>
              <w:rPr>
                <w:spacing w:val="-1"/>
              </w:rPr>
              <w:t> </w:t>
            </w:r>
            <w:r>
              <w:rPr/>
              <w:t>明确能力圈跳出舒适圈</w:t>
              <w:tab/>
              <w:t>35</w:t>
            </w:r>
          </w:hyperlink>
        </w:p>
        <w:p>
          <w:pPr>
            <w:pStyle w:val="TOC3"/>
            <w:tabs>
              <w:tab w:pos="9441" w:val="right" w:leader="dot"/>
            </w:tabs>
            <w:spacing w:before="34"/>
            <w:rPr>
              <w:rFonts w:ascii="宋体" w:eastAsia="宋体" w:hint="eastAsia"/>
              <w:b w:val="0"/>
              <w:i w:val="0"/>
              <w:sz w:val="24"/>
            </w:rPr>
          </w:pPr>
          <w:hyperlink w:history="true" w:anchor="_TOC_250011">
            <w:r>
              <w:rPr>
                <w:i w:val="0"/>
                <w:sz w:val="24"/>
              </w:rPr>
              <w:t>【科普知识】</w:t>
              <w:tab/>
            </w:r>
            <w:r>
              <w:rPr>
                <w:rFonts w:ascii="宋体" w:eastAsia="宋体" w:hint="eastAsia"/>
                <w:b w:val="0"/>
                <w:i w:val="0"/>
                <w:sz w:val="24"/>
              </w:rPr>
              <w:t>37</w:t>
            </w:r>
          </w:hyperlink>
        </w:p>
        <w:p>
          <w:pPr>
            <w:pStyle w:val="TOC2"/>
            <w:tabs>
              <w:tab w:pos="9441" w:val="right" w:leader="dot"/>
            </w:tabs>
            <w:spacing w:line="264" w:lineRule="exact" w:before="57"/>
          </w:pPr>
          <w:hyperlink w:history="true" w:anchor="_TOC_250010">
            <w:r>
              <w:rPr/>
              <w:t>你知道老年人用药的“十要十忌”吗？</w:t>
              <w:tab/>
              <w:t>37</w:t>
            </w:r>
          </w:hyperlink>
        </w:p>
        <w:p>
          <w:pPr>
            <w:pStyle w:val="TOC1"/>
          </w:pPr>
          <w:hyperlink w:history="true" w:anchor="_TOC_250009">
            <w:r>
              <w:rPr>
                <w:color w:val="1A5220"/>
              </w:rPr>
              <w:t>交流园地</w:t>
            </w:r>
          </w:hyperlink>
        </w:p>
        <w:p>
          <w:pPr>
            <w:pStyle w:val="TOC3"/>
            <w:tabs>
              <w:tab w:pos="9441" w:val="right" w:leader="dot"/>
            </w:tabs>
            <w:spacing w:line="430" w:lineRule="exact"/>
            <w:rPr>
              <w:rFonts w:ascii="宋体" w:eastAsia="宋体" w:hint="eastAsia"/>
              <w:b w:val="0"/>
              <w:i w:val="0"/>
              <w:sz w:val="24"/>
            </w:rPr>
          </w:pPr>
          <w:hyperlink w:history="true" w:anchor="_TOC_250008">
            <w:r>
              <w:rPr>
                <w:i w:val="0"/>
                <w:sz w:val="24"/>
              </w:rPr>
              <w:t>【交流平台】</w:t>
              <w:tab/>
            </w:r>
            <w:r>
              <w:rPr>
                <w:rFonts w:ascii="宋体" w:eastAsia="宋体" w:hint="eastAsia"/>
                <w:b w:val="0"/>
                <w:i w:val="0"/>
                <w:sz w:val="24"/>
              </w:rPr>
              <w:t>39</w:t>
            </w:r>
          </w:hyperlink>
        </w:p>
        <w:p>
          <w:pPr>
            <w:pStyle w:val="TOC2"/>
            <w:tabs>
              <w:tab w:pos="9441" w:val="right" w:leader="dot"/>
            </w:tabs>
          </w:pPr>
          <w:hyperlink w:history="true" w:anchor="_TOC_250007">
            <w:r>
              <w:rPr/>
              <w:t>管好慢病</w:t>
            </w:r>
            <w:r>
              <w:rPr>
                <w:spacing w:val="-1"/>
              </w:rPr>
              <w:t> </w:t>
            </w:r>
            <w:r>
              <w:rPr/>
              <w:t>医联体“药”有作为</w:t>
              <w:tab/>
              <w:t>39</w:t>
            </w:r>
          </w:hyperlink>
        </w:p>
        <w:p>
          <w:pPr>
            <w:pStyle w:val="TOC3"/>
            <w:tabs>
              <w:tab w:pos="9441" w:val="right" w:leader="dot"/>
            </w:tabs>
            <w:spacing w:before="34"/>
            <w:rPr>
              <w:rFonts w:ascii="宋体" w:eastAsia="宋体" w:hint="eastAsia"/>
              <w:b w:val="0"/>
              <w:i w:val="0"/>
              <w:sz w:val="24"/>
            </w:rPr>
          </w:pPr>
          <w:hyperlink w:history="true" w:anchor="_TOC_250006">
            <w:r>
              <w:rPr>
                <w:i w:val="0"/>
                <w:sz w:val="24"/>
              </w:rPr>
              <w:t>【药师风采】</w:t>
              <w:tab/>
            </w:r>
            <w:r>
              <w:rPr>
                <w:rFonts w:ascii="宋体" w:eastAsia="宋体" w:hint="eastAsia"/>
                <w:b w:val="0"/>
                <w:i w:val="0"/>
                <w:sz w:val="24"/>
              </w:rPr>
              <w:t>41</w:t>
            </w:r>
          </w:hyperlink>
        </w:p>
        <w:p>
          <w:pPr>
            <w:pStyle w:val="TOC2"/>
            <w:tabs>
              <w:tab w:pos="9441" w:val="right" w:leader="dot"/>
            </w:tabs>
          </w:pPr>
          <w:hyperlink w:history="true" w:anchor="_TOC_250005">
            <w:r>
              <w:rPr/>
              <w:t>中国人民解放军第二一〇医院——王晓波</w:t>
              <w:tab/>
              <w:t>41</w:t>
            </w:r>
          </w:hyperlink>
        </w:p>
        <w:p>
          <w:pPr>
            <w:pStyle w:val="TOC2"/>
            <w:tabs>
              <w:tab w:pos="9441" w:val="right" w:leader="dot"/>
            </w:tabs>
            <w:spacing w:before="112"/>
          </w:pPr>
          <w:hyperlink w:history="true" w:anchor="_TOC_250004">
            <w:r>
              <w:rPr/>
              <w:t>宁波市妇女儿童医院——陈漪</w:t>
              <w:tab/>
              <w:t>42</w:t>
            </w:r>
          </w:hyperlink>
        </w:p>
        <w:p>
          <w:pPr>
            <w:pStyle w:val="TOC2"/>
            <w:tabs>
              <w:tab w:pos="9441" w:val="right" w:leader="dot"/>
            </w:tabs>
            <w:spacing w:line="264" w:lineRule="exact" w:before="113"/>
          </w:pPr>
          <w:hyperlink w:history="true" w:anchor="_TOC_250003">
            <w:r>
              <w:rPr/>
              <w:t>厦门市儿童医院——吴秀萍</w:t>
              <w:tab/>
              <w:t>42</w:t>
            </w:r>
          </w:hyperlink>
        </w:p>
        <w:p>
          <w:pPr>
            <w:pStyle w:val="TOC1"/>
          </w:pPr>
          <w:hyperlink w:history="true" w:anchor="_TOC_250002">
            <w:r>
              <w:rPr>
                <w:color w:val="1A5220"/>
              </w:rPr>
              <w:t>学会动态</w:t>
            </w:r>
          </w:hyperlink>
        </w:p>
        <w:p>
          <w:pPr>
            <w:pStyle w:val="TOC3"/>
            <w:tabs>
              <w:tab w:pos="9441" w:val="right" w:leader="dot"/>
            </w:tabs>
            <w:spacing w:line="430" w:lineRule="exact"/>
            <w:rPr>
              <w:rFonts w:ascii="宋体" w:eastAsia="宋体" w:hint="eastAsia"/>
              <w:b w:val="0"/>
              <w:i w:val="0"/>
              <w:sz w:val="24"/>
            </w:rPr>
          </w:pPr>
          <w:hyperlink w:history="true" w:anchor="_TOC_250001">
            <w:r>
              <w:rPr>
                <w:i w:val="0"/>
                <w:sz w:val="24"/>
              </w:rPr>
              <w:t>【学会动态】</w:t>
              <w:tab/>
            </w:r>
            <w:r>
              <w:rPr>
                <w:rFonts w:ascii="宋体" w:eastAsia="宋体" w:hint="eastAsia"/>
                <w:b w:val="0"/>
                <w:i w:val="0"/>
                <w:sz w:val="24"/>
              </w:rPr>
              <w:t>43</w:t>
            </w:r>
          </w:hyperlink>
        </w:p>
        <w:p>
          <w:pPr>
            <w:pStyle w:val="TOC2"/>
            <w:tabs>
              <w:tab w:pos="9441" w:val="right" w:leader="dot"/>
            </w:tabs>
            <w:spacing w:before="57"/>
          </w:pPr>
          <w:hyperlink w:history="true" w:anchor="_TOC_250000">
            <w:r>
              <w:rPr/>
              <w:t>2019</w:t>
            </w:r>
            <w:r>
              <w:rPr>
                <w:spacing w:val="-61"/>
              </w:rPr>
              <w:t> </w:t>
            </w:r>
            <w:r>
              <w:rPr/>
              <w:t>年中国药学大会在河北省石家庄市隆重召开</w:t>
              <w:tab/>
              <w:t>43</w:t>
            </w:r>
          </w:hyperlink>
        </w:p>
      </w:sdtContent>
    </w:sdt>
    <w:p>
      <w:pPr>
        <w:spacing w:after="0"/>
        <w:sectPr>
          <w:headerReference w:type="default" r:id="rId7"/>
          <w:footerReference w:type="default" r:id="rId8"/>
          <w:pgSz w:w="11910" w:h="16850"/>
          <w:pgMar w:header="906" w:footer="825" w:top="1100" w:bottom="1020" w:left="1120" w:right="900"/>
          <w:pgNumType w:start="2"/>
        </w:sectPr>
      </w:pPr>
    </w:p>
    <w:p>
      <w:pPr>
        <w:pStyle w:val="Heading2"/>
        <w:spacing w:before="993"/>
        <w:ind w:left="157"/>
      </w:pPr>
      <w:r>
        <w:rPr/>
        <w:t>【政府要闻】</w:t>
      </w:r>
    </w:p>
    <w:p>
      <w:pPr>
        <w:spacing w:before="122"/>
        <w:ind w:left="15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1120" w:right="900"/>
          <w:pgNumType w:start="1"/>
          <w:cols w:num="2" w:equalWidth="0">
            <w:col w:w="2127" w:space="1740"/>
            <w:col w:w="6023"/>
          </w:cols>
        </w:sectPr>
      </w:pPr>
    </w:p>
    <w:p>
      <w:pPr>
        <w:pStyle w:val="BodyText"/>
        <w:spacing w:before="10"/>
        <w:ind w:left="0" w:firstLine="0"/>
        <w:rPr>
          <w:rFonts w:ascii="华文宋体"/>
          <w:b/>
          <w:sz w:val="23"/>
        </w:rPr>
      </w:pPr>
    </w:p>
    <w:p>
      <w:pPr>
        <w:pStyle w:val="BodyText"/>
        <w:ind w:left="160" w:right="235" w:firstLine="0"/>
        <w:jc w:val="center"/>
      </w:pPr>
      <w:r>
        <w:rPr/>
        <w:t>国务院常务会议决定出台居民医保门诊用药报销政策</w:t>
      </w:r>
    </w:p>
    <w:p>
      <w:pPr>
        <w:pStyle w:val="Heading2"/>
        <w:spacing w:before="155"/>
        <w:ind w:right="239"/>
        <w:jc w:val="center"/>
      </w:pPr>
      <w:r>
        <w:rPr/>
        <w:t>数亿高血压糖尿病患者负担将减轻</w:t>
      </w:r>
    </w:p>
    <w:p>
      <w:pPr>
        <w:pStyle w:val="Heading3"/>
        <w:spacing w:before="145"/>
        <w:ind w:left="0" w:right="228"/>
        <w:jc w:val="right"/>
        <w:rPr>
          <w:rFonts w:ascii="楷体" w:eastAsia="楷体" w:hint="eastAsia"/>
        </w:rPr>
      </w:pPr>
      <w:r>
        <w:rPr>
          <w:rFonts w:ascii="楷体" w:eastAsia="楷体" w:hint="eastAsia"/>
          <w:color w:val="FF0000"/>
          <w:w w:val="95"/>
        </w:rPr>
        <w:t>（来源：中国政府网）</w:t>
      </w:r>
    </w:p>
    <w:p>
      <w:pPr>
        <w:pStyle w:val="BodyText"/>
        <w:spacing w:line="297" w:lineRule="auto" w:before="96"/>
        <w:ind w:right="110"/>
      </w:pPr>
      <w:r>
        <w:rPr>
          <w:spacing w:val="-7"/>
        </w:rPr>
        <w:t>国务院总理李克强 </w:t>
      </w:r>
      <w:r>
        <w:rPr/>
        <w:t>9</w:t>
      </w:r>
      <w:r>
        <w:rPr>
          <w:spacing w:val="-40"/>
        </w:rPr>
        <w:t> 月 </w:t>
      </w:r>
      <w:r>
        <w:rPr/>
        <w:t>11</w:t>
      </w:r>
      <w:r>
        <w:rPr>
          <w:spacing w:val="-8"/>
        </w:rPr>
        <w:t> 日主持召开国务院常务会议，要求紧扣群众关切进一步保障</w:t>
      </w:r>
      <w:r>
        <w:rPr>
          <w:spacing w:val="-18"/>
        </w:rPr>
        <w:t>好基本民生；决定出台城乡居民医保高血压、糖尿病门诊用药报销政策，减轻数亿患者负担； </w:t>
      </w:r>
      <w:r>
        <w:rPr/>
        <w:t>部署深入推进医养结合发展，更好满足老年人健康和养老需求。</w:t>
      </w:r>
    </w:p>
    <w:p>
      <w:pPr>
        <w:pStyle w:val="BodyText"/>
        <w:spacing w:line="297" w:lineRule="auto"/>
        <w:ind w:right="126"/>
      </w:pPr>
      <w:r>
        <w:rPr>
          <w:spacing w:val="-10"/>
        </w:rPr>
        <w:t>会议指出，要按照党中央、国务院部署，把顺应人民对美好生活的向往、破解群众急难</w:t>
      </w:r>
      <w:r>
        <w:rPr>
          <w:spacing w:val="-15"/>
        </w:rPr>
        <w:t>忧愁作为政府工作的重要着力点。当前形势下，保障和改善民生要突出保障好基本民生，民</w:t>
      </w:r>
      <w:r>
        <w:rPr>
          <w:spacing w:val="-18"/>
        </w:rPr>
        <w:t>生基础夯实了才能夯实发展基础。要把稳就业放在优先位置，继续做好未就业大学毕业生就</w:t>
      </w:r>
      <w:r>
        <w:rPr>
          <w:spacing w:val="-13"/>
        </w:rPr>
        <w:t>业服务，支持困难企业稳岗和职工转岗就业，为城市灵活就业和农民工打工增收开拓更多渠</w:t>
      </w:r>
      <w:r>
        <w:rPr>
          <w:spacing w:val="-11"/>
        </w:rPr>
        <w:t>道。抓紧落实猪肉保供稳价措施，纠正不合理禁养限养规定，做好今冬明春肉蛋菜、天然气</w:t>
      </w:r>
      <w:r>
        <w:rPr>
          <w:spacing w:val="-13"/>
        </w:rPr>
        <w:t>等市场供应。深入推进脱贫攻坚。保障洪涝等灾害受灾群众基本生活，确保温暖过冬。实施</w:t>
      </w:r>
      <w:r>
        <w:rPr>
          <w:spacing w:val="-15"/>
        </w:rPr>
        <w:t>好社会保障兜底、临时救助等制度。确保基本养老金按时足额发放。各部门要深入基层了解群众期盼和诉求，认真梳理和下力气解决涉及民生的苗头性问题和突出问题。要以民生需求</w:t>
      </w:r>
      <w:r>
        <w:rPr>
          <w:spacing w:val="-16"/>
        </w:rPr>
        <w:t>为导向培育经济新增长点，加大政府支持带动社会力量投入，增加普惠优质的教育、医疗、</w:t>
      </w:r>
      <w:r>
        <w:rPr>
          <w:spacing w:val="-1"/>
        </w:rPr>
        <w:t>养老、托幼等服务供给，尊重居民意愿加大城镇老旧小区改造力度，持续推进棚户区改造， </w:t>
      </w:r>
      <w:r>
        <w:rPr/>
        <w:t>研究支持建设一批惠及面广、补短板的民生重大工程，让人民群众更多受益。</w:t>
      </w:r>
    </w:p>
    <w:p>
      <w:pPr>
        <w:pStyle w:val="BodyText"/>
        <w:spacing w:line="297" w:lineRule="auto"/>
        <w:ind w:right="112"/>
      </w:pPr>
      <w:r>
        <w:rPr>
          <w:spacing w:val="-7"/>
        </w:rPr>
        <w:t>为进一步加强重大慢性病防治，减轻患者用药负担，会议决定，对参加城乡居民基本医</w:t>
      </w:r>
      <w:r>
        <w:rPr>
          <w:spacing w:val="-25"/>
        </w:rPr>
        <w:t>保的 </w:t>
      </w:r>
      <w:r>
        <w:rPr/>
        <w:t>3</w:t>
      </w:r>
      <w:r>
        <w:rPr>
          <w:spacing w:val="-14"/>
        </w:rPr>
        <w:t> 亿多高血压、糖尿病患者，将其在国家基本医保用药目录范围内的门诊用药统一纳入</w:t>
      </w:r>
      <w:r>
        <w:rPr>
          <w:spacing w:val="-16"/>
        </w:rPr>
        <w:t>医保支付，报销比例提高至 </w:t>
      </w:r>
      <w:r>
        <w:rPr/>
        <w:t>50%</w:t>
      </w:r>
      <w:r>
        <w:rPr>
          <w:spacing w:val="-12"/>
        </w:rPr>
        <w:t>以上。有条件的地方可不设起付线，封顶线由各地自行设定。</w:t>
      </w:r>
      <w:r>
        <w:rPr>
          <w:spacing w:val="-5"/>
        </w:rPr>
        <w:t>对已纳入门诊慢特病保障范围的患者，继续执行现有政策，确保待遇水平不降低。推动国产</w:t>
      </w:r>
      <w:r>
        <w:rPr>
          <w:spacing w:val="-11"/>
        </w:rPr>
        <w:t>降压、降糖药降价提质。加快推进集中招标采购，扩大采购范围，降低购药成本，推行长处</w:t>
      </w:r>
      <w:r>
        <w:rPr>
          <w:spacing w:val="-12"/>
        </w:rPr>
        <w:t>方制度，多措并举减轻患者负担。这也有利于强化预防、减少大病发病率，有利于医保基金可持续。</w:t>
      </w:r>
    </w:p>
    <w:p>
      <w:pPr>
        <w:pStyle w:val="BodyText"/>
        <w:spacing w:line="297" w:lineRule="auto"/>
        <w:ind w:right="227"/>
        <w:jc w:val="both"/>
      </w:pPr>
      <w:r>
        <w:rPr>
          <w:spacing w:val="-6"/>
        </w:rPr>
        <w:t>会议确定了深入推进医养结合发展的措施。一是简化审批。养老机构举办二级及以下医</w:t>
      </w:r>
      <w:r>
        <w:rPr>
          <w:spacing w:val="-10"/>
        </w:rPr>
        <w:t>疗机构的，设置审批与执业登记“两证合一”。医疗机构利用现有资源提供养老服务的，其</w:t>
      </w:r>
      <w:r>
        <w:rPr>
          <w:spacing w:val="-12"/>
        </w:rPr>
        <w:t>建设、消防等条件，可依据医疗机构已具备的资质直接备案。二是通过完善价格机制、取消不合理审批、实行“一窗办理”等，鼓励社会力量举办医养结合机构。三是鼓励养老机构与</w:t>
      </w:r>
      <w:r>
        <w:rPr>
          <w:spacing w:val="-11"/>
        </w:rPr>
        <w:t>医疗、康复、护理等机构合作，支持上门服务，大规模培养养老护理等人才。四是落实对医</w:t>
      </w:r>
      <w:r>
        <w:rPr>
          <w:spacing w:val="-10"/>
        </w:rPr>
        <w:t>养结合机构的税费、用地等优惠政策。符合基本医保范围的医疗服务费用由基本医保基金支</w:t>
      </w:r>
      <w:r>
        <w:rPr>
          <w:spacing w:val="-11"/>
        </w:rPr>
        <w:t>付。鼓励有条件的地方按规定增加纳入基本医保支付范围的医疗康复项目。五是发展医养保</w:t>
      </w:r>
    </w:p>
    <w:p>
      <w:pPr>
        <w:pStyle w:val="BodyText"/>
        <w:spacing w:line="259" w:lineRule="auto"/>
        <w:ind w:right="227" w:firstLine="0"/>
        <w:jc w:val="both"/>
        <w:rPr>
          <w:rFonts w:ascii="Meiryo" w:hAnsi="Meiryo" w:eastAsia="Meiryo" w:hint="eastAsia"/>
          <w:b/>
        </w:rPr>
      </w:pPr>
      <w:r>
        <w:rPr>
          <w:spacing w:val="-10"/>
        </w:rPr>
        <w:t>险，增加老年人可选择的商业保险品种，加快推进长期护理保险试点。以新制度新举措全面</w:t>
      </w:r>
      <w:r>
        <w:rPr/>
        <w:t>贯彻落实</w:t>
      </w:r>
      <w:r>
        <w:rPr>
          <w:rFonts w:ascii="Times New Roman" w:hAnsi="Times New Roman" w:eastAsia="Times New Roman"/>
        </w:rPr>
        <w:t>“</w:t>
      </w:r>
      <w:r>
        <w:rPr/>
        <w:t>四个最严</w:t>
      </w:r>
      <w:r>
        <w:rPr>
          <w:rFonts w:ascii="Times New Roman" w:hAnsi="Times New Roman" w:eastAsia="Times New Roman"/>
        </w:rPr>
        <w:t>”</w:t>
      </w:r>
      <w:r>
        <w:rPr>
          <w:spacing w:val="1"/>
        </w:rPr>
        <w:t>。 </w:t>
      </w:r>
      <w:r>
        <w:rPr>
          <w:rFonts w:ascii="Meiryo" w:hAnsi="Meiryo" w:eastAsia="Meiryo" w:hint="eastAsia"/>
          <w:b/>
          <w:color w:val="0033CC"/>
        </w:rPr>
        <w:t>[返回目次]</w:t>
      </w:r>
    </w:p>
    <w:p>
      <w:pPr>
        <w:spacing w:after="0" w:line="259" w:lineRule="auto"/>
        <w:jc w:val="both"/>
        <w:rPr>
          <w:rFonts w:ascii="Meiryo" w:hAnsi="Meiryo" w:eastAsia="Meiryo" w:hint="eastAsia"/>
        </w:rPr>
        <w:sectPr>
          <w:type w:val="continuous"/>
          <w:pgSz w:w="11910" w:h="16850"/>
          <w:pgMar w:top="1100" w:bottom="1020" w:left="1120" w:right="900"/>
        </w:sectPr>
      </w:pPr>
    </w:p>
    <w:p>
      <w:pPr>
        <w:pStyle w:val="Heading2"/>
        <w:spacing w:line="395" w:lineRule="exact"/>
        <w:ind w:left="2977"/>
      </w:pPr>
      <w:r>
        <w:rPr>
          <w:spacing w:val="-2"/>
        </w:rPr>
        <w:t>不断满足人民群众用药需求</w:t>
      </w:r>
    </w:p>
    <w:p>
      <w:pPr>
        <w:pStyle w:val="BodyText"/>
        <w:ind w:left="0" w:firstLine="0"/>
        <w:rPr>
          <w:b/>
        </w:rPr>
      </w:pPr>
      <w:r>
        <w:rPr/>
        <w:br w:type="column"/>
      </w:r>
      <w:r>
        <w:rPr>
          <w:b/>
        </w:rPr>
      </w:r>
    </w:p>
    <w:p>
      <w:pPr>
        <w:pStyle w:val="BodyText"/>
        <w:spacing w:before="2"/>
        <w:ind w:left="0" w:firstLine="0"/>
        <w:rPr>
          <w:b/>
          <w:sz w:val="18"/>
        </w:rPr>
      </w:pPr>
    </w:p>
    <w:p>
      <w:pPr>
        <w:pStyle w:val="Heading3"/>
        <w:ind w:left="374"/>
        <w:rPr>
          <w:rFonts w:ascii="楷体" w:eastAsia="楷体" w:hint="eastAsia"/>
        </w:rPr>
      </w:pPr>
      <w:r>
        <w:rPr>
          <w:rFonts w:ascii="楷体" w:eastAsia="楷体" w:hint="eastAsia"/>
          <w:color w:val="FF0000"/>
        </w:rPr>
        <w:t>（来源：中国医药报）</w:t>
      </w:r>
    </w:p>
    <w:p>
      <w:pPr>
        <w:spacing w:after="0"/>
        <w:rPr>
          <w:rFonts w:ascii="楷体" w:eastAsia="楷体" w:hint="eastAsia"/>
        </w:rPr>
        <w:sectPr>
          <w:pgSz w:w="11910" w:h="16850"/>
          <w:pgMar w:header="906" w:footer="607" w:top="1100" w:bottom="800" w:left="1120" w:right="900"/>
          <w:cols w:num="2" w:equalWidth="0">
            <w:col w:w="6831" w:space="40"/>
            <w:col w:w="3019"/>
          </w:cols>
        </w:sectPr>
      </w:pPr>
    </w:p>
    <w:p>
      <w:pPr>
        <w:pStyle w:val="ListParagraph"/>
        <w:numPr>
          <w:ilvl w:val="0"/>
          <w:numId w:val="1"/>
        </w:numPr>
        <w:tabs>
          <w:tab w:pos="820" w:val="left" w:leader="none"/>
        </w:tabs>
        <w:spacing w:line="240" w:lineRule="auto" w:before="96" w:after="0"/>
        <w:ind w:left="819" w:right="0" w:hanging="181"/>
        <w:jc w:val="both"/>
        <w:rPr>
          <w:sz w:val="24"/>
        </w:rPr>
      </w:pPr>
      <w:r>
        <w:rPr>
          <w:spacing w:val="-31"/>
          <w:sz w:val="24"/>
        </w:rPr>
        <w:t>月 </w:t>
      </w:r>
      <w:r>
        <w:rPr>
          <w:sz w:val="24"/>
        </w:rPr>
        <w:t>26</w:t>
      </w:r>
      <w:r>
        <w:rPr>
          <w:spacing w:val="-8"/>
          <w:sz w:val="24"/>
        </w:rPr>
        <w:t> 日，第十三届全国人大常委会第十二次会议表决通过新修订《中华人民共和国</w:t>
      </w:r>
    </w:p>
    <w:p>
      <w:pPr>
        <w:pStyle w:val="BodyText"/>
        <w:spacing w:before="74"/>
        <w:ind w:firstLine="0"/>
        <w:jc w:val="both"/>
      </w:pPr>
      <w:r>
        <w:rPr/>
        <w:t>药品管理法》。新修订《药品管理法》将于今年 12 月 1 日起正式施行。</w:t>
      </w:r>
    </w:p>
    <w:p>
      <w:pPr>
        <w:pStyle w:val="BodyText"/>
        <w:spacing w:line="297" w:lineRule="auto" w:before="71"/>
        <w:ind w:right="227"/>
        <w:jc w:val="both"/>
      </w:pPr>
      <w:r>
        <w:rPr>
          <w:spacing w:val="-11"/>
        </w:rPr>
        <w:t>新修订《药品管理法》全面贯彻落实习近平总书记“四个最严”要求，以保护和促进公</w:t>
      </w:r>
      <w:r>
        <w:rPr>
          <w:spacing w:val="-8"/>
        </w:rPr>
        <w:t>众健康为中心，将药品领域改革成果和行之有效的做法上升为法律，以新制度、新举措全面</w:t>
      </w:r>
      <w:r>
        <w:rPr/>
        <w:t>加强药品监管，为公众健康提供更加有力的法治保障。</w:t>
      </w:r>
    </w:p>
    <w:p>
      <w:pPr>
        <w:pStyle w:val="Heading3"/>
        <w:spacing w:line="304" w:lineRule="exact"/>
      </w:pPr>
      <w:r>
        <w:rPr/>
        <w:t>坚持以人民为中心及时满足公众用药需求</w:t>
      </w:r>
    </w:p>
    <w:p>
      <w:pPr>
        <w:pStyle w:val="BodyText"/>
        <w:spacing w:line="297" w:lineRule="auto" w:before="72"/>
        <w:ind w:right="127"/>
      </w:pPr>
      <w:r>
        <w:rPr>
          <w:spacing w:val="-10"/>
        </w:rPr>
        <w:t>新修订《药品管理法》设专条明确药品管理应当以人民健康为中心，旗帜鲜明地提出立</w:t>
      </w:r>
      <w:r>
        <w:rPr>
          <w:spacing w:val="-11"/>
        </w:rPr>
        <w:t>法目的旨在保障公众用药安全和合法权益，保护和促进公众健康。对于加快药品审评审批、</w:t>
      </w:r>
      <w:r>
        <w:rPr/>
        <w:t>加快临床急需药上市等均专设条款，全力满足人民群众用药需求。</w:t>
      </w:r>
    </w:p>
    <w:p>
      <w:pPr>
        <w:pStyle w:val="BodyText"/>
        <w:spacing w:line="297" w:lineRule="auto"/>
        <w:ind w:right="227"/>
        <w:jc w:val="both"/>
      </w:pPr>
      <w:r>
        <w:rPr>
          <w:spacing w:val="-7"/>
        </w:rPr>
        <w:t>一是实施优先审评审批制度。国家鼓励临床急需短缺药品、防治重大传染病和罕见病等</w:t>
      </w:r>
      <w:r>
        <w:rPr>
          <w:spacing w:val="-8"/>
        </w:rPr>
        <w:t>疾病的新药研制，支持开发符合儿童生理特征的儿童用药品新品种、剂型和规格，对儿童用</w:t>
      </w:r>
      <w:r>
        <w:rPr/>
        <w:t>药开设绿色通道，优先审评审批，加快满足临床用药需求。</w:t>
      </w:r>
    </w:p>
    <w:p>
      <w:pPr>
        <w:pStyle w:val="BodyText"/>
        <w:spacing w:line="297" w:lineRule="auto"/>
        <w:ind w:right="230"/>
        <w:jc w:val="both"/>
      </w:pPr>
      <w:r>
        <w:rPr>
          <w:spacing w:val="-11"/>
        </w:rPr>
        <w:t>二是实施拓展性临床。对正在开展临床试验的用于治疗严重危及生命且尚无有效治疗手</w:t>
      </w:r>
      <w:r>
        <w:rPr>
          <w:spacing w:val="-9"/>
        </w:rPr>
        <w:t>段的疾病的药物，经医学观察可能获益，并且符合伦理原则的，经审查、知情同意后可以在</w:t>
      </w:r>
      <w:r>
        <w:rPr/>
        <w:t>开展临床试验的机构内用于其他病情相同的患者。</w:t>
      </w:r>
    </w:p>
    <w:p>
      <w:pPr>
        <w:pStyle w:val="BodyText"/>
        <w:spacing w:line="297" w:lineRule="auto"/>
        <w:ind w:right="227"/>
        <w:jc w:val="both"/>
      </w:pPr>
      <w:r>
        <w:rPr>
          <w:spacing w:val="-10"/>
        </w:rPr>
        <w:t>三是实施附条件批准制度。对治疗严重危及生命且尚无有效治疗手段的疾病以及公共卫</w:t>
      </w:r>
      <w:r>
        <w:rPr>
          <w:spacing w:val="-9"/>
        </w:rPr>
        <w:t>生方面急需的药品，药物临床试验已有数据显示疗效并能预测其临床价值的，可以附条件批</w:t>
      </w:r>
      <w:r>
        <w:rPr/>
        <w:t>准，以提高临床急需药物的可获得性，使急需治疗的患者早日用上新药。</w:t>
      </w:r>
    </w:p>
    <w:p>
      <w:pPr>
        <w:pStyle w:val="BodyText"/>
        <w:spacing w:line="297" w:lineRule="auto"/>
        <w:ind w:right="227"/>
        <w:jc w:val="both"/>
      </w:pPr>
      <w:r>
        <w:rPr>
          <w:spacing w:val="-8"/>
        </w:rPr>
        <w:t>四是实施临床试验默示许可。优化临床试验管理，将临床试验由审批制改为到期默示许</w:t>
      </w:r>
      <w:r>
        <w:rPr>
          <w:spacing w:val="-9"/>
        </w:rPr>
        <w:t>可制，对生物等效性试验以及药物临床试验机构实行备案管理，充分释放临床试验资源，提</w:t>
      </w:r>
      <w:r>
        <w:rPr/>
        <w:t>高临床试验审批效率，加快新药上市。</w:t>
      </w:r>
    </w:p>
    <w:p>
      <w:pPr>
        <w:pStyle w:val="BodyText"/>
        <w:spacing w:line="297" w:lineRule="auto"/>
        <w:ind w:right="230"/>
        <w:jc w:val="both"/>
      </w:pPr>
      <w:r>
        <w:rPr>
          <w:spacing w:val="-8"/>
        </w:rPr>
        <w:t>五是实施专家咨询制度。国家要健全药品审评机制，优化审评流程，强化审评人员能力</w:t>
      </w:r>
      <w:r>
        <w:rPr>
          <w:spacing w:val="-10"/>
        </w:rPr>
        <w:t>建设，完善与注册申请人的沟通交流机制，建立专家咨询制度，从而提高审评效率，为药物</w:t>
      </w:r>
      <w:r>
        <w:rPr>
          <w:spacing w:val="-9"/>
        </w:rPr>
        <w:t>创新提供制度护航。在专家咨询制度下，专家将参与监督、提供技术意见，对技术审评争议</w:t>
      </w:r>
      <w:r>
        <w:rPr/>
        <w:t>进行充分论证，进一步推进药品注册技术审评工作的科学、客观、公开、透明。</w:t>
      </w:r>
    </w:p>
    <w:p>
      <w:pPr>
        <w:pStyle w:val="BodyText"/>
        <w:spacing w:line="297" w:lineRule="auto"/>
        <w:ind w:right="227"/>
        <w:jc w:val="both"/>
      </w:pPr>
      <w:r>
        <w:rPr>
          <w:spacing w:val="-8"/>
        </w:rPr>
        <w:t>六是实施药品储备制度。国家实行药品储备制度，建立中央和地方两级药品储备。提出</w:t>
      </w:r>
      <w:r>
        <w:rPr>
          <w:spacing w:val="-7"/>
        </w:rPr>
        <w:t>国家遴选适当数量的基本药物品种，加强组织生产和储备，提高基本药物的供给能力，满足</w:t>
      </w:r>
      <w:r>
        <w:rPr>
          <w:spacing w:val="-8"/>
        </w:rPr>
        <w:t>疾病防治基本用药需求。同时，还要满足发生重大灾情、疫情或者其他突发事件使用，充分</w:t>
      </w:r>
      <w:r>
        <w:rPr/>
        <w:t>体现以人民为中心的法律设计。</w:t>
      </w:r>
    </w:p>
    <w:p>
      <w:pPr>
        <w:pStyle w:val="BodyText"/>
        <w:spacing w:line="297" w:lineRule="auto"/>
        <w:ind w:right="226"/>
        <w:jc w:val="both"/>
      </w:pPr>
      <w:r>
        <w:rPr>
          <w:spacing w:val="-7"/>
        </w:rPr>
        <w:t>七是实施短缺药品清单管理制度。药品上市许可持有人停止生产短缺药品的，应当按照</w:t>
      </w:r>
      <w:r>
        <w:rPr>
          <w:spacing w:val="-8"/>
        </w:rPr>
        <w:t>规定向药品监管部门报告。国家建立药品供求监测体系，及时收集汇总分析短缺药品供求信</w:t>
      </w:r>
      <w:r>
        <w:rPr>
          <w:spacing w:val="-10"/>
        </w:rPr>
        <w:t>息，对短缺药品实施预警，采取相应措施。对短缺药品，国务院可以限制或者禁止出口。必</w:t>
      </w:r>
      <w:r>
        <w:rPr>
          <w:spacing w:val="-11"/>
        </w:rPr>
        <w:t>要时，国务院有关部门可以采取组织生产、价格干预和扩大进口等措施，保障药品供应。在保障人民群众用药安全有效的前提下，最大程度兼顾用药可及性。</w:t>
      </w:r>
    </w:p>
    <w:p>
      <w:pPr>
        <w:pStyle w:val="BodyText"/>
        <w:spacing w:line="295" w:lineRule="auto"/>
        <w:ind w:right="227"/>
      </w:pPr>
      <w:r>
        <w:rPr>
          <w:spacing w:val="-6"/>
        </w:rPr>
        <w:t>八是实施国家药品安全信息统一公布制度。国家药品安全总体情况、药品安全风险警示</w:t>
      </w:r>
      <w:r>
        <w:rPr>
          <w:spacing w:val="-11"/>
        </w:rPr>
        <w:t>信息、重大药品安全事件及其调查处理信息等由国家药监局统一公布；限于特定区域的药品</w:t>
      </w:r>
    </w:p>
    <w:p>
      <w:pPr>
        <w:spacing w:after="0" w:line="295" w:lineRule="auto"/>
        <w:sectPr>
          <w:type w:val="continuous"/>
          <w:pgSz w:w="11910" w:h="16850"/>
          <w:pgMar w:top="1100" w:bottom="1020" w:left="1120" w:right="900"/>
        </w:sectPr>
      </w:pPr>
    </w:p>
    <w:p>
      <w:pPr>
        <w:pStyle w:val="BodyText"/>
        <w:spacing w:line="295" w:lineRule="auto" w:before="65"/>
        <w:ind w:right="228" w:firstLine="0"/>
        <w:jc w:val="both"/>
      </w:pPr>
      <w:r>
        <w:rPr>
          <w:spacing w:val="-6"/>
        </w:rPr>
        <w:t>安全风险警示信息和重大药品安全事件等，也可以由省级药品监管部门发布；未经授权不得</w:t>
      </w:r>
      <w:r>
        <w:rPr>
          <w:spacing w:val="-9"/>
        </w:rPr>
        <w:t>发布上述信息，任何单位和个人不得编造、散布虚假药品安全信息。从法律的层面规定及时</w:t>
      </w:r>
      <w:r>
        <w:rPr/>
        <w:t>准确回应广大人民群众对药品安全的关切。</w:t>
      </w:r>
    </w:p>
    <w:p>
      <w:pPr>
        <w:pStyle w:val="Heading3"/>
        <w:spacing w:before="5"/>
      </w:pPr>
      <w:r>
        <w:rPr/>
        <w:t>坚持全面落实“四个最严”切实加大监管处罚力度</w:t>
      </w:r>
    </w:p>
    <w:p>
      <w:pPr>
        <w:pStyle w:val="BodyText"/>
        <w:spacing w:line="295" w:lineRule="auto" w:before="72"/>
        <w:ind w:right="231"/>
      </w:pPr>
      <w:r>
        <w:rPr>
          <w:spacing w:val="-11"/>
        </w:rPr>
        <w:t>新修订《药品管理法》全面贯彻落实“四个最严”要求，对药品标准、药品监管、药品</w:t>
      </w:r>
      <w:r>
        <w:rPr/>
        <w:t>违法行为处罚等都作出更严格要求。</w:t>
      </w:r>
    </w:p>
    <w:p>
      <w:pPr>
        <w:pStyle w:val="BodyText"/>
        <w:spacing w:line="295" w:lineRule="auto" w:before="4"/>
        <w:ind w:right="227"/>
      </w:pPr>
      <w:r>
        <w:rPr>
          <w:spacing w:val="-7"/>
        </w:rPr>
        <w:t>一是坚持实施最严谨的标准。药品应当符合国家药品标准，国家药品监管部门核准的药</w:t>
      </w:r>
      <w:r>
        <w:rPr/>
        <w:t>品质量标准高于国家药品标准的，按照经核准的药品质量标准执行。</w:t>
      </w:r>
    </w:p>
    <w:p>
      <w:pPr>
        <w:pStyle w:val="BodyText"/>
        <w:spacing w:line="297" w:lineRule="auto" w:before="2"/>
        <w:ind w:right="127"/>
      </w:pPr>
      <w:r>
        <w:rPr/>
        <w:t>二是专条规定刑事责任。设专条强调药品违法行为构成犯罪的，要依法追究刑事责任， 立场鲜明地保持对药品安全犯罪行为的强力震慑和高压态势。</w:t>
      </w:r>
    </w:p>
    <w:p>
      <w:pPr>
        <w:pStyle w:val="BodyText"/>
        <w:spacing w:line="297" w:lineRule="auto"/>
        <w:ind w:right="110"/>
      </w:pPr>
      <w:r>
        <w:rPr>
          <w:spacing w:val="-7"/>
        </w:rPr>
        <w:t>三是提高财产罚幅度。财产罚额度全面提升，如对无证生产经营、生产销售假药等违法</w:t>
      </w:r>
      <w:r>
        <w:rPr>
          <w:spacing w:val="-17"/>
        </w:rPr>
        <w:t>行为，罚款倍数由现行《药品管理法》规定的货值金额的二倍到五倍提高到十五倍到三十倍， </w:t>
      </w:r>
      <w:r>
        <w:rPr>
          <w:spacing w:val="-6"/>
        </w:rPr>
        <w:t>货值金额不足十万元的以十万元计，也就是最低罚款一百五十万元。生产销售劣药违法行为的罚款，也从现行《药品管理法》规定的货值金额的一倍到三倍提高到十倍到二十倍。</w:t>
      </w:r>
    </w:p>
    <w:p>
      <w:pPr>
        <w:pStyle w:val="BodyText"/>
        <w:spacing w:line="297" w:lineRule="auto"/>
        <w:ind w:right="126"/>
        <w:jc w:val="both"/>
      </w:pPr>
      <w:r>
        <w:rPr>
          <w:spacing w:val="-10"/>
        </w:rPr>
        <w:t>四是加大资格罚力度。对生产销售假劣药违法行为责任人的资格罚由十年禁业提高到终</w:t>
      </w:r>
      <w:r>
        <w:rPr>
          <w:spacing w:val="-11"/>
        </w:rPr>
        <w:t>身禁业，对生产销售假药被吊销许可证的企业，十年内不受理其相应申请。此外，还增加了</w:t>
      </w:r>
      <w:r>
        <w:rPr>
          <w:spacing w:val="-12"/>
        </w:rPr>
        <w:t>对伪造变造许可证件、骗取许可证件、严重违反质量管理规范等违法行为责任人的资格罚。</w:t>
      </w:r>
    </w:p>
    <w:p>
      <w:pPr>
        <w:pStyle w:val="BodyText"/>
        <w:spacing w:line="297" w:lineRule="auto"/>
        <w:ind w:right="227"/>
        <w:jc w:val="both"/>
      </w:pPr>
      <w:r>
        <w:rPr>
          <w:spacing w:val="-9"/>
        </w:rPr>
        <w:t>五是增加自由罚手段。对生产销售假药和生产销售劣药情节严重的，以及伪造变造许可</w:t>
      </w:r>
      <w:r>
        <w:rPr>
          <w:spacing w:val="-12"/>
        </w:rPr>
        <w:t>证件、骗取许可证件等情节恶劣的违法行为，可以由公安机关对相关责任人员处五日至十五</w:t>
      </w:r>
      <w:r>
        <w:rPr/>
        <w:t>日的拘留。</w:t>
      </w:r>
    </w:p>
    <w:p>
      <w:pPr>
        <w:pStyle w:val="BodyText"/>
        <w:spacing w:line="297" w:lineRule="auto"/>
        <w:ind w:right="127"/>
      </w:pPr>
      <w:r>
        <w:rPr>
          <w:spacing w:val="-7"/>
        </w:rPr>
        <w:t>六是切实“处罚到人”。明确对严重影响质量安全的违法行为，在对违法主体依法处罚</w:t>
      </w:r>
      <w:r>
        <w:rPr>
          <w:spacing w:val="-8"/>
        </w:rPr>
        <w:t>的同时，对其法定代表人、主要责任人、直接负责的主管人员和其他责任人员也予以处罚， </w:t>
      </w:r>
      <w:r>
        <w:rPr>
          <w:spacing w:val="-5"/>
        </w:rPr>
        <w:t>包括没收违法行为发生期间其所获收入、罚款、一定期限甚至终身禁业，并可以由公安机关处五日以上十五日以下的拘留。</w:t>
      </w:r>
    </w:p>
    <w:p>
      <w:pPr>
        <w:pStyle w:val="BodyText"/>
        <w:spacing w:line="297" w:lineRule="auto"/>
        <w:ind w:right="228"/>
        <w:jc w:val="both"/>
      </w:pPr>
      <w:r>
        <w:rPr>
          <w:spacing w:val="-9"/>
        </w:rPr>
        <w:t>七是实施首负责任制。明确药品上市许可持有人和药品生产经营企业赔偿责任，规定境</w:t>
      </w:r>
      <w:r>
        <w:rPr>
          <w:spacing w:val="-5"/>
        </w:rPr>
        <w:t>外药品上市许可持有人在中国境内的代理人与持有人承担连带责任。实行民事赔偿首负责任</w:t>
      </w:r>
      <w:r>
        <w:rPr>
          <w:spacing w:val="-10"/>
        </w:rPr>
        <w:t>制，对生产假劣药或者明知假劣药仍销售使用的，受害人可以要求惩罚性赔偿。受害人可以</w:t>
      </w:r>
      <w:r>
        <w:rPr>
          <w:spacing w:val="-8"/>
        </w:rPr>
        <w:t>向药品上市许可持有人、药品生产企业请求赔偿，也可以向药品经营企业、医疗机构请求赔</w:t>
      </w:r>
      <w:r>
        <w:rPr/>
        <w:t>偿。接到受害人赔偿请求的，应当实行首负责任制，先行赔付。</w:t>
      </w:r>
    </w:p>
    <w:p>
      <w:pPr>
        <w:pStyle w:val="BodyText"/>
        <w:spacing w:line="297" w:lineRule="auto"/>
        <w:ind w:right="227"/>
        <w:jc w:val="both"/>
      </w:pPr>
      <w:r>
        <w:rPr>
          <w:spacing w:val="-7"/>
        </w:rPr>
        <w:t>八是实施联合惩戒制。规定药品监管部门建立药品上市许可持有人、药品生产企业、药</w:t>
      </w:r>
      <w:r>
        <w:rPr>
          <w:spacing w:val="-11"/>
        </w:rPr>
        <w:t>品经营企业、药物非临床安全性评价研究机构、药物临床试验机构和医疗机构药品安全信用档案，记录许可颁发、日常监督检查结果、违法行为查处等情况，依法向社会公布并及时更</w:t>
      </w:r>
      <w:r>
        <w:rPr/>
        <w:t>新；对有不良信用记录的，增加监督检查频次，并可以按照国家规定实施联合惩戒。</w:t>
      </w:r>
    </w:p>
    <w:p>
      <w:pPr>
        <w:pStyle w:val="BodyText"/>
        <w:spacing w:line="295" w:lineRule="auto"/>
        <w:ind w:right="110"/>
      </w:pPr>
      <w:r>
        <w:rPr>
          <w:spacing w:val="-11"/>
        </w:rPr>
        <w:t>此外，新修订《药品管理法》还增加了药品监管部门的行政处理措施。法律明确，对有</w:t>
      </w:r>
      <w:r>
        <w:rPr>
          <w:spacing w:val="-19"/>
        </w:rPr>
        <w:t>证据证明可能存在安全隐患的，药品监督管理部门根据监督检查情况，应当采取告诫、约谈、</w:t>
      </w:r>
      <w:r>
        <w:rPr/>
        <w:t>限期整改以及暂停生产、销售、使用、进口等措施。</w:t>
      </w:r>
    </w:p>
    <w:p>
      <w:pPr>
        <w:pStyle w:val="Heading3"/>
        <w:tabs>
          <w:tab w:pos="3049" w:val="left" w:leader="none"/>
        </w:tabs>
      </w:pPr>
      <w:r>
        <w:rPr/>
        <w:t>坚持全生命周期管理</w:t>
        <w:tab/>
        <w:t>构建科学监管制度体系</w:t>
      </w:r>
    </w:p>
    <w:p>
      <w:pPr>
        <w:spacing w:after="0"/>
        <w:sectPr>
          <w:pgSz w:w="11910" w:h="16850"/>
          <w:pgMar w:header="906" w:footer="607" w:top="1100" w:bottom="800" w:left="1120" w:right="900"/>
        </w:sectPr>
      </w:pPr>
    </w:p>
    <w:p>
      <w:pPr>
        <w:pStyle w:val="BodyText"/>
        <w:spacing w:line="295" w:lineRule="auto" w:before="65"/>
        <w:ind w:right="227"/>
        <w:jc w:val="both"/>
      </w:pPr>
      <w:r>
        <w:rPr>
          <w:spacing w:val="-11"/>
        </w:rPr>
        <w:t>新修订《药品管理法》对药品研制、生产、经营、使用等管理作出了一系列规定，从药</w:t>
      </w:r>
      <w:r>
        <w:rPr>
          <w:spacing w:val="-6"/>
        </w:rPr>
        <w:t>品全链条全生命周期的角度进行制度设计，明确药品各相关方的责任，凝聚合力，共同守护</w:t>
      </w:r>
      <w:r>
        <w:rPr/>
        <w:t>公众用药安全。</w:t>
      </w:r>
    </w:p>
    <w:p>
      <w:pPr>
        <w:pStyle w:val="BodyText"/>
        <w:spacing w:line="297" w:lineRule="auto" w:before="5"/>
        <w:ind w:right="227"/>
        <w:jc w:val="both"/>
      </w:pPr>
      <w:r>
        <w:rPr>
          <w:spacing w:val="-6"/>
        </w:rPr>
        <w:t>一是全面实施药品上市许可持有人制度。在既往试点基础上，从法律层面明确上市许可</w:t>
      </w:r>
      <w:r>
        <w:rPr>
          <w:spacing w:val="-11"/>
        </w:rPr>
        <w:t>持有人的具体要求。将监管重心由原来分散的多元主体聚焦到上市许可持有人这一主要责任</w:t>
      </w:r>
      <w:r>
        <w:rPr>
          <w:spacing w:val="-9"/>
        </w:rPr>
        <w:t>主体，监管的核心内容从准入资格管理转移到体系能力的管理，管理更加科学合理。药品上</w:t>
      </w:r>
      <w:r>
        <w:rPr>
          <w:spacing w:val="-7"/>
        </w:rPr>
        <w:t>市许可持有人依法对药品研制、生产、经营、使用全过程中药品的安全性、有效性和质量可</w:t>
      </w:r>
      <w:r>
        <w:rPr/>
        <w:t>控性负责。</w:t>
      </w:r>
    </w:p>
    <w:p>
      <w:pPr>
        <w:pStyle w:val="BodyText"/>
        <w:spacing w:line="297" w:lineRule="auto"/>
        <w:ind w:right="227"/>
        <w:jc w:val="both"/>
      </w:pPr>
      <w:r>
        <w:rPr>
          <w:spacing w:val="-7"/>
        </w:rPr>
        <w:t>二是严格境外上市许可持有人监管。规定药品上市许可持有人为境外企业的，应当由其</w:t>
      </w:r>
      <w:r>
        <w:rPr>
          <w:spacing w:val="-5"/>
        </w:rPr>
        <w:t>指定的在中国境内的企业法人履行药品上市许可持有人义务，并与药品上市许可持有人承担</w:t>
      </w:r>
      <w:r>
        <w:rPr/>
        <w:t>连带责任。</w:t>
      </w:r>
    </w:p>
    <w:p>
      <w:pPr>
        <w:pStyle w:val="BodyText"/>
        <w:spacing w:line="297" w:lineRule="auto"/>
        <w:ind w:right="109"/>
      </w:pPr>
      <w:r>
        <w:rPr>
          <w:spacing w:val="-6"/>
        </w:rPr>
        <w:t>三是全面实施药品追溯制度。首次从法律层面提出建立追溯制度。药品追溯制度建设的</w:t>
      </w:r>
      <w:r>
        <w:rPr>
          <w:spacing w:val="-18"/>
        </w:rPr>
        <w:t>目标是实现“一物一码，物码同追”，这样的精准追溯有助于防止假药、劣药进入合法渠道， </w:t>
      </w:r>
      <w:r>
        <w:rPr/>
        <w:t>有助于实现药品精准召回，并最终实现药品全品种、全过程“来源可查、去向可追”。</w:t>
      </w:r>
    </w:p>
    <w:p>
      <w:pPr>
        <w:pStyle w:val="BodyText"/>
        <w:spacing w:line="297" w:lineRule="auto"/>
        <w:ind w:right="227"/>
        <w:jc w:val="both"/>
      </w:pPr>
      <w:r>
        <w:rPr>
          <w:spacing w:val="-7"/>
        </w:rPr>
        <w:t>四是全面实施年度报告制度。药品上市许可持有人应当建立年度报告制度，每年将药品</w:t>
      </w:r>
      <w:r>
        <w:rPr>
          <w:spacing w:val="-10"/>
        </w:rPr>
        <w:t>生产销售、上市后研究、风险管理等情况按规定向省、自治区、直辖市人民政府药品监督管理部门报告。年度报告制度有助于药品监管部门更加系统全面地掌握药品生产销售、安全管</w:t>
      </w:r>
      <w:r>
        <w:rPr/>
        <w:t>理及变更情况，从而作出科学合理的监管决策。</w:t>
      </w:r>
    </w:p>
    <w:p>
      <w:pPr>
        <w:pStyle w:val="BodyText"/>
        <w:spacing w:line="297" w:lineRule="auto"/>
        <w:ind w:right="227"/>
        <w:jc w:val="both"/>
      </w:pPr>
      <w:r>
        <w:rPr>
          <w:spacing w:val="-8"/>
        </w:rPr>
        <w:t>五是严格第三方平台监管。对药品网络交易第三方平台实施备案管理。药品网络交易第</w:t>
      </w:r>
      <w:r>
        <w:rPr>
          <w:spacing w:val="-5"/>
        </w:rPr>
        <w:t>三方平台提供者应依法对申请进入平台经营的药品上市许可持有人、药品经营企业的资质等</w:t>
      </w:r>
      <w:r>
        <w:rPr>
          <w:spacing w:val="-10"/>
        </w:rPr>
        <w:t>进行审核，保证其符合法定要求，并对发生在平台的药品经营行为进行管理。第三方平台提</w:t>
      </w:r>
      <w:r>
        <w:rPr>
          <w:spacing w:val="-5"/>
        </w:rPr>
        <w:t>供者发现进入平台经营者的违法行为应及时制止并向药品监管部门报告；发现严重违法行为</w:t>
      </w:r>
      <w:r>
        <w:rPr/>
        <w:t>的，应立即停止提供网络交易平台服务。</w:t>
      </w:r>
    </w:p>
    <w:p>
      <w:pPr>
        <w:pStyle w:val="BodyText"/>
        <w:spacing w:line="297" w:lineRule="auto"/>
        <w:ind w:right="227"/>
        <w:jc w:val="both"/>
      </w:pPr>
      <w:r>
        <w:rPr>
          <w:spacing w:val="-8"/>
        </w:rPr>
        <w:t>六是实施药物警戒制度。明确提出国家实施药物警戒制度。各级药品监管部门将建立健</w:t>
      </w:r>
      <w:r>
        <w:rPr>
          <w:spacing w:val="-10"/>
        </w:rPr>
        <w:t>全药物警戒机构，负责本行政区域内药物警戒信息报告和监测等技术工作。药品上市许可持</w:t>
      </w:r>
      <w:r>
        <w:rPr>
          <w:spacing w:val="-8"/>
        </w:rPr>
        <w:t>有人应建立药物警戒体系，设立专门机构并配备专职人员，依法主动承担相应的药物警戒工</w:t>
      </w:r>
      <w:r>
        <w:rPr/>
        <w:t>作。</w:t>
      </w:r>
    </w:p>
    <w:p>
      <w:pPr>
        <w:pStyle w:val="BodyText"/>
        <w:spacing w:line="297" w:lineRule="auto"/>
        <w:ind w:right="227"/>
        <w:jc w:val="both"/>
      </w:pPr>
      <w:r>
        <w:rPr>
          <w:spacing w:val="-7"/>
        </w:rPr>
        <w:t>七是建立药品检查员队伍。明确国家建立职业化、专业化药品检查员队伍。药品检查是</w:t>
      </w:r>
      <w:r>
        <w:rPr>
          <w:spacing w:val="-11"/>
        </w:rPr>
        <w:t>最直接、最系统、最有效的监管措施，职业化、专业化药品检查员具体承担这一职能。首次</w:t>
      </w:r>
      <w:r>
        <w:rPr>
          <w:spacing w:val="-16"/>
        </w:rPr>
        <w:t>从法律层面明确药品职业化、专业化检查员队伍的地位，将为药品监督检查提供重要人员保</w:t>
      </w:r>
      <w:r>
        <w:rPr/>
        <w:t>障和技术支撑，对强化药品全过程质量安全风险管理具有重要意义。</w:t>
      </w:r>
    </w:p>
    <w:p>
      <w:pPr>
        <w:pStyle w:val="BodyText"/>
        <w:spacing w:line="297" w:lineRule="auto"/>
        <w:ind w:right="227"/>
        <w:jc w:val="both"/>
      </w:pPr>
      <w:r>
        <w:rPr>
          <w:spacing w:val="-8"/>
        </w:rPr>
        <w:t>八是全面落实各部门责任。药品监管部门主管药品监管工作，各有关部门在职权范围内负责与药品有关监管工作，县级以上人民政府对辖区内药品监管负责。药品监管部门未及时发现药品安全系统性风险，未及时消除监管区域内药品安全隐患的，本级人民政府或者上级</w:t>
      </w:r>
      <w:r>
        <w:rPr>
          <w:spacing w:val="-6"/>
        </w:rPr>
        <w:t>人民政府药品监管部门应该对其主要负责人进行约谈；地方政府未履行药品安全职责，未及</w:t>
      </w:r>
      <w:r>
        <w:rPr>
          <w:spacing w:val="-8"/>
        </w:rPr>
        <w:t>时消除区域性重大药品安全隐患的，上级人民政府或者上级人民政府药品监督管理部门应当</w:t>
      </w:r>
      <w:r>
        <w:rPr/>
        <w:t>对其主要负责人约谈。</w:t>
      </w:r>
    </w:p>
    <w:p>
      <w:pPr>
        <w:spacing w:after="0" w:line="297" w:lineRule="auto"/>
        <w:jc w:val="both"/>
        <w:sectPr>
          <w:pgSz w:w="11910" w:h="16850"/>
          <w:pgMar w:header="906" w:footer="607" w:top="1100" w:bottom="800" w:left="1120" w:right="900"/>
        </w:sectPr>
      </w:pPr>
    </w:p>
    <w:p>
      <w:pPr>
        <w:pStyle w:val="BodyText"/>
        <w:spacing w:line="297" w:lineRule="auto" w:before="65"/>
        <w:ind w:right="228"/>
        <w:jc w:val="both"/>
      </w:pPr>
      <w:r>
        <w:rPr>
          <w:spacing w:val="-7"/>
        </w:rPr>
        <w:t>九是全面实施应急管理制度。县级以上人民政府应当制定药品安全事件应急预案；药品</w:t>
      </w:r>
      <w:r>
        <w:rPr>
          <w:spacing w:val="-11"/>
        </w:rPr>
        <w:t>上市许可持有人、药品生产企业、药品经营企业和医疗机构等应当制定本单位的药品安全事件处置方案，并组织开展培训和应急演练，从法律层面对药品安全突发事件准备工作提出要</w:t>
      </w:r>
      <w:r>
        <w:rPr/>
        <w:t>求。</w:t>
      </w:r>
    </w:p>
    <w:p>
      <w:pPr>
        <w:pStyle w:val="BodyText"/>
        <w:spacing w:line="297" w:lineRule="auto"/>
        <w:ind w:right="227"/>
        <w:jc w:val="both"/>
      </w:pPr>
      <w:r>
        <w:rPr>
          <w:spacing w:val="-9"/>
        </w:rPr>
        <w:t>十是加强医疗机构的药品管理。医疗机构必须配备依法经过资格认定的药师或者其他药学技术人员，负责本单位的药品管理、处方审核和调配、合理用药指导工作。医疗机构应该</w:t>
      </w:r>
      <w:r>
        <w:rPr>
          <w:spacing w:val="-14"/>
        </w:rPr>
        <w:t>坚持安全有效、经济合理的用药原则，遵循药品临床应用指导原则、临床诊疗指南和药品说</w:t>
      </w:r>
      <w:r>
        <w:rPr/>
        <w:t>明书等合理用药，对医师处方、用药医嘱的适宜性进行审核。</w:t>
      </w:r>
    </w:p>
    <w:p>
      <w:pPr>
        <w:pStyle w:val="Heading3"/>
        <w:spacing w:line="302" w:lineRule="exact"/>
        <w:jc w:val="both"/>
      </w:pPr>
      <w:r>
        <w:rPr/>
        <w:t>坚持深化“放管服”改革 推动医药行业高质量发展</w:t>
      </w:r>
    </w:p>
    <w:p>
      <w:pPr>
        <w:pStyle w:val="BodyText"/>
        <w:spacing w:line="297" w:lineRule="auto" w:before="69"/>
        <w:ind w:right="228"/>
        <w:jc w:val="both"/>
      </w:pPr>
      <w:r>
        <w:rPr>
          <w:spacing w:val="-8"/>
        </w:rPr>
        <w:t>一是鼓励药品研发创新。强调国家鼓励研究和创制新药，保护公民、法人和其他组织研</w:t>
      </w:r>
      <w:r>
        <w:rPr>
          <w:spacing w:val="-11"/>
        </w:rPr>
        <w:t>究、开发新药的合法权益。明确国家支持以临床价值为导向、对人的疾病具有明确或者特殊</w:t>
      </w:r>
      <w:r>
        <w:rPr>
          <w:spacing w:val="-9"/>
        </w:rPr>
        <w:t>疗效的药物创新，推动药品技术进步。采用药品上市许可与生产许可分离的管理模式，有效</w:t>
      </w:r>
      <w:r>
        <w:rPr/>
        <w:t>激发科研和创新活力。</w:t>
      </w:r>
    </w:p>
    <w:p>
      <w:pPr>
        <w:pStyle w:val="BodyText"/>
        <w:spacing w:line="297" w:lineRule="auto"/>
        <w:ind w:right="227"/>
        <w:jc w:val="both"/>
      </w:pPr>
      <w:r>
        <w:rPr>
          <w:spacing w:val="-7"/>
        </w:rPr>
        <w:t>二是规范药品上市许可转让。明确经国家药品监督管理部门批准，药品上市许可持有人</w:t>
      </w:r>
      <w:r>
        <w:rPr>
          <w:spacing w:val="-8"/>
        </w:rPr>
        <w:t>可以转让药品上市许可。允许药品上市许可证明文件转让，有利于激发药物创新活力，促进</w:t>
      </w:r>
      <w:r>
        <w:rPr/>
        <w:t>社会专业分工。</w:t>
      </w:r>
    </w:p>
    <w:p>
      <w:pPr>
        <w:pStyle w:val="BodyText"/>
        <w:spacing w:line="297" w:lineRule="auto"/>
        <w:ind w:right="227"/>
        <w:jc w:val="both"/>
      </w:pPr>
      <w:r>
        <w:rPr>
          <w:spacing w:val="-9"/>
        </w:rPr>
        <w:t>三是优化资源配置。药品上市许可持有人制度实施后，上市许可持有人可以自建厂房生</w:t>
      </w:r>
      <w:r>
        <w:rPr>
          <w:spacing w:val="-10"/>
        </w:rPr>
        <w:t>产药品，也可以不建厂房委托其他企业生产药品，这样可以避免企业重复建设，有效地整合</w:t>
      </w:r>
      <w:r>
        <w:rPr/>
        <w:t>和提高现有资源的使用效能。</w:t>
      </w:r>
    </w:p>
    <w:p>
      <w:pPr>
        <w:pStyle w:val="BodyText"/>
        <w:spacing w:line="297" w:lineRule="auto"/>
        <w:ind w:right="109"/>
      </w:pPr>
      <w:r>
        <w:rPr>
          <w:spacing w:val="-14"/>
        </w:rPr>
        <w:t>四是实施关联审评审批。在审评审批药品时，对化学原料药一并审评审批，对相关辅料、</w:t>
      </w:r>
      <w:r>
        <w:rPr>
          <w:spacing w:val="-5"/>
        </w:rPr>
        <w:t>直接接触药品的包装材料和容器一并审评，减轻企业负担，突出制剂企业主体责任，同时提高审评审批效率。</w:t>
      </w:r>
    </w:p>
    <w:p>
      <w:pPr>
        <w:pStyle w:val="BodyText"/>
        <w:spacing w:line="297" w:lineRule="auto"/>
        <w:ind w:right="232"/>
        <w:jc w:val="both"/>
      </w:pPr>
      <w:r>
        <w:rPr>
          <w:spacing w:val="-9"/>
        </w:rPr>
        <w:t>五是简化审批流程。取消了《药品生产质量管理规范》《药品经营质量管理规范》认证</w:t>
      </w:r>
      <w:r>
        <w:rPr>
          <w:spacing w:val="-11"/>
        </w:rPr>
        <w:t>环节，将药品生产、经营许可与认证合二为一，大大简化了审批流程，服务行业发展，释放</w:t>
      </w:r>
      <w:r>
        <w:rPr/>
        <w:t>行业发展新动能。</w:t>
      </w:r>
    </w:p>
    <w:p>
      <w:pPr>
        <w:pStyle w:val="BodyText"/>
        <w:spacing w:line="297" w:lineRule="auto"/>
        <w:ind w:right="227"/>
        <w:jc w:val="both"/>
      </w:pPr>
      <w:r>
        <w:rPr>
          <w:spacing w:val="-8"/>
        </w:rPr>
        <w:t>六是鼓励企业做大做强。明确提出国家鼓励、引导药品零售连锁经营。与单体经营的药</w:t>
      </w:r>
      <w:r>
        <w:rPr>
          <w:spacing w:val="-9"/>
        </w:rPr>
        <w:t>品零售企业相比，药品零售连锁企业具有规模化经营、规范化管理的优势。鼓励药品零售连</w:t>
      </w:r>
      <w:r>
        <w:rPr/>
        <w:t>锁经营，有利于规范药品零售环节行业秩序，有利于促进提升药学服务水平。</w:t>
      </w:r>
    </w:p>
    <w:p>
      <w:pPr>
        <w:pStyle w:val="BodyText"/>
        <w:spacing w:line="297" w:lineRule="auto"/>
        <w:ind w:right="227"/>
        <w:jc w:val="both"/>
      </w:pPr>
      <w:r>
        <w:rPr>
          <w:spacing w:val="-8"/>
        </w:rPr>
        <w:t>七是允许网络销售药品。药品上市许可持有人、药品经营企业通过网络销售药品，应当遵守药品经营的有关规定。同时明确疫苗、血液制品、麻醉药品、精神药品、医疗用毒性药</w:t>
      </w:r>
      <w:r>
        <w:rPr/>
        <w:t>品、放射性药品、药品类易制毒化学品等国家实行特殊管理的药品不得在网络上销售。</w:t>
      </w:r>
    </w:p>
    <w:p>
      <w:pPr>
        <w:pStyle w:val="BodyText"/>
        <w:spacing w:line="297" w:lineRule="auto"/>
        <w:ind w:right="227"/>
        <w:jc w:val="both"/>
      </w:pPr>
      <w:r>
        <w:rPr>
          <w:spacing w:val="-8"/>
        </w:rPr>
        <w:t>八是切实减轻企业负担。药品监督管理部门根据监督管理的需要，对药品质量进行抽样</w:t>
      </w:r>
      <w:r>
        <w:rPr>
          <w:spacing w:val="-9"/>
        </w:rPr>
        <w:t>检验。抽样检验应当按照规定抽样，并不得收取任何费用，抽样应当购买样品。所需费用按照国务院规定列支，从而切实减轻企业负担。</w:t>
      </w:r>
    </w:p>
    <w:p>
      <w:pPr>
        <w:pStyle w:val="BodyText"/>
        <w:spacing w:line="297" w:lineRule="auto"/>
        <w:ind w:right="127"/>
      </w:pPr>
      <w:r>
        <w:rPr>
          <w:spacing w:val="-11"/>
        </w:rPr>
        <w:t>总之，新修订《药品管理法》全面贯彻落实“四个最严”要求，充分体现了新时代药品</w:t>
      </w:r>
      <w:r>
        <w:rPr>
          <w:spacing w:val="-12"/>
        </w:rPr>
        <w:t>监管的新举措、新方法，必将为人民群众用药安全有效可及提供更加坚强有力的法治保障， </w:t>
      </w:r>
      <w:r>
        <w:rPr/>
        <w:t>不断满足人民群众日益增长的对安全高质量药品的需求。</w:t>
      </w:r>
    </w:p>
    <w:p>
      <w:pPr>
        <w:spacing w:line="416" w:lineRule="exact" w:before="0"/>
        <w:ind w:left="637" w:right="0" w:firstLine="0"/>
        <w:jc w:val="left"/>
        <w:rPr>
          <w:rFonts w:ascii="Meiryo" w:eastAsia="Meiryo" w:hint="eastAsia"/>
          <w:b/>
          <w:sz w:val="24"/>
        </w:rPr>
      </w:pPr>
      <w:r>
        <w:rPr>
          <w:sz w:val="24"/>
        </w:rPr>
        <w:t>作者系国家药品监督管理局药品监管司司长</w:t>
      </w:r>
      <w:r>
        <w:rPr>
          <w:rFonts w:ascii="Meiryo" w:eastAsia="Meiryo" w:hint="eastAsia"/>
          <w:b/>
          <w:color w:val="0033CC"/>
          <w:sz w:val="24"/>
        </w:rPr>
        <w:t>[返回目次]</w:t>
      </w:r>
    </w:p>
    <w:p>
      <w:pPr>
        <w:spacing w:after="0" w:line="416" w:lineRule="exact"/>
        <w:jc w:val="left"/>
        <w:rPr>
          <w:rFonts w:ascii="Meiryo" w:eastAsia="Meiryo" w:hint="eastAsia"/>
          <w:sz w:val="24"/>
        </w:rPr>
        <w:sectPr>
          <w:pgSz w:w="11910" w:h="16850"/>
          <w:pgMar w:header="906" w:footer="607" w:top="1100" w:bottom="800" w:left="1120" w:right="900"/>
        </w:sectPr>
      </w:pPr>
    </w:p>
    <w:p>
      <w:pPr>
        <w:pStyle w:val="Heading2"/>
        <w:spacing w:line="395" w:lineRule="exact"/>
        <w:ind w:right="236"/>
        <w:jc w:val="center"/>
      </w:pPr>
      <w:r>
        <w:rPr/>
        <w:t>今年基本公卫服务要提质增量</w:t>
      </w:r>
    </w:p>
    <w:p>
      <w:pPr>
        <w:pStyle w:val="BodyText"/>
        <w:spacing w:before="64"/>
        <w:ind w:left="160" w:right="234" w:firstLine="0"/>
        <w:jc w:val="center"/>
      </w:pPr>
      <w:r>
        <w:rPr/>
        <w:t>新纳入 3 项单列 明确资金和任务</w:t>
      </w:r>
    </w:p>
    <w:p>
      <w:pPr>
        <w:pStyle w:val="Heading3"/>
        <w:spacing w:before="175"/>
        <w:ind w:left="0" w:right="230"/>
        <w:jc w:val="right"/>
        <w:rPr>
          <w:rFonts w:ascii="楷体" w:eastAsia="楷体" w:hint="eastAsia"/>
        </w:rPr>
      </w:pPr>
      <w:r>
        <w:rPr>
          <w:rFonts w:ascii="楷体" w:eastAsia="楷体" w:hint="eastAsia"/>
          <w:color w:val="FF0000"/>
          <w:w w:val="95"/>
        </w:rPr>
        <w:t>（来源：健康报）</w:t>
      </w:r>
    </w:p>
    <w:p>
      <w:pPr>
        <w:pStyle w:val="ListParagraph"/>
        <w:numPr>
          <w:ilvl w:val="0"/>
          <w:numId w:val="1"/>
        </w:numPr>
        <w:tabs>
          <w:tab w:pos="818" w:val="left" w:leader="none"/>
        </w:tabs>
        <w:spacing w:line="297" w:lineRule="auto" w:before="95" w:after="0"/>
        <w:ind w:left="157" w:right="305" w:firstLine="480"/>
        <w:jc w:val="both"/>
        <w:rPr>
          <w:sz w:val="24"/>
        </w:rPr>
      </w:pPr>
      <w:r>
        <w:rPr>
          <w:spacing w:val="-31"/>
          <w:sz w:val="24"/>
        </w:rPr>
        <w:t>月 </w:t>
      </w:r>
      <w:r>
        <w:rPr>
          <w:sz w:val="24"/>
        </w:rPr>
        <w:t>4</w:t>
      </w:r>
      <w:r>
        <w:rPr>
          <w:spacing w:val="-10"/>
          <w:sz w:val="24"/>
        </w:rPr>
        <w:t> 日，国家卫生健康委、财政部、国家中医药管理局联合印发《关于做好 </w:t>
      </w:r>
      <w:r>
        <w:rPr>
          <w:sz w:val="24"/>
        </w:rPr>
        <w:t>2019</w:t>
      </w:r>
      <w:r>
        <w:rPr>
          <w:spacing w:val="-38"/>
          <w:sz w:val="24"/>
        </w:rPr>
        <w:t> 年</w:t>
      </w:r>
      <w:r>
        <w:rPr>
          <w:sz w:val="24"/>
        </w:rPr>
        <w:t>基本公共卫生服务项目工作的通知》指出，各地要在实施原基本公共卫生服务内容（12</w:t>
      </w:r>
      <w:r>
        <w:rPr>
          <w:spacing w:val="-39"/>
          <w:sz w:val="24"/>
        </w:rPr>
        <w:t> 类</w:t>
      </w:r>
      <w:r>
        <w:rPr>
          <w:sz w:val="24"/>
        </w:rPr>
        <w:t>项目）</w:t>
      </w:r>
      <w:r>
        <w:rPr>
          <w:spacing w:val="-11"/>
          <w:sz w:val="24"/>
        </w:rPr>
        <w:t>的同时，对 </w:t>
      </w:r>
      <w:r>
        <w:rPr>
          <w:sz w:val="24"/>
        </w:rPr>
        <w:t>2019</w:t>
      </w:r>
      <w:r>
        <w:rPr>
          <w:spacing w:val="-10"/>
          <w:sz w:val="24"/>
        </w:rPr>
        <w:t> 年新划入的地方病防治、职业病防治、重大疾病及危害因素监测 </w:t>
      </w:r>
      <w:r>
        <w:rPr>
          <w:spacing w:val="-16"/>
          <w:sz w:val="24"/>
        </w:rPr>
        <w:t>3 </w:t>
      </w:r>
      <w:r>
        <w:rPr>
          <w:sz w:val="24"/>
        </w:rPr>
        <w:t>项重点工作按项目单列，明确资金和任务。2019</w:t>
      </w:r>
      <w:r>
        <w:rPr>
          <w:spacing w:val="-9"/>
          <w:sz w:val="24"/>
        </w:rPr>
        <w:t> 年人均基本公共卫生服务经费补助标准为</w:t>
      </w:r>
      <w:r>
        <w:rPr>
          <w:sz w:val="24"/>
        </w:rPr>
        <w:t>69</w:t>
      </w:r>
      <w:r>
        <w:rPr>
          <w:spacing w:val="-21"/>
          <w:sz w:val="24"/>
        </w:rPr>
        <w:t> 元，新增 </w:t>
      </w:r>
      <w:r>
        <w:rPr>
          <w:sz w:val="24"/>
        </w:rPr>
        <w:t>5</w:t>
      </w:r>
      <w:r>
        <w:rPr>
          <w:spacing w:val="-8"/>
          <w:sz w:val="24"/>
        </w:rPr>
        <w:t> 元经费全部用于村和社区，要确保项目经费按时足额到位。</w:t>
      </w:r>
    </w:p>
    <w:p>
      <w:pPr>
        <w:pStyle w:val="BodyText"/>
        <w:spacing w:line="295" w:lineRule="auto"/>
        <w:ind w:right="228"/>
        <w:jc w:val="both"/>
      </w:pPr>
      <w:r>
        <w:rPr>
          <w:spacing w:val="-11"/>
        </w:rPr>
        <w:t>《通知》指出，要优化细化预防接种流程，在落实“三查七对”的基础上，增加“一验</w:t>
      </w:r>
      <w:r>
        <w:rPr/>
        <w:t>证”环节。优化电子健康档案面向个人开放服务的渠道和交互形式，发挥“互联网+”的优势，提高群众对电子健康档案的利用率。</w:t>
      </w:r>
    </w:p>
    <w:p>
      <w:pPr>
        <w:pStyle w:val="BodyText"/>
        <w:spacing w:line="297" w:lineRule="auto" w:before="1"/>
        <w:ind w:right="226"/>
      </w:pPr>
      <w:r>
        <w:rPr>
          <w:spacing w:val="-11"/>
        </w:rPr>
        <w:t>《通知》指出，继续以高血压、糖尿病等慢性病管理为突破口，探索基层医防融合服务</w:t>
      </w:r>
      <w:r>
        <w:rPr>
          <w:spacing w:val="-12"/>
        </w:rPr>
        <w:t>模式，推动“上下分开”。山西、辽宁、广东、重庆、贵州、云南、陕西等 </w:t>
      </w:r>
      <w:r>
        <w:rPr/>
        <w:t>7</w:t>
      </w:r>
      <w:r>
        <w:rPr>
          <w:spacing w:val="-35"/>
        </w:rPr>
        <w:t> 省</w:t>
      </w:r>
      <w:r>
        <w:rPr/>
        <w:t>（市</w:t>
      </w:r>
      <w:r>
        <w:rPr>
          <w:spacing w:val="-10"/>
        </w:rPr>
        <w:t>）</w:t>
      </w:r>
      <w:r>
        <w:rPr>
          <w:spacing w:val="-6"/>
        </w:rPr>
        <w:t>要发</w:t>
      </w:r>
      <w:r>
        <w:rPr>
          <w:spacing w:val="-7"/>
        </w:rPr>
        <w:t>挥基层高血压医防融合试点的作用，发挥家庭医生团队优势，明确团队中医生在开展医防融合管理中的主导作用。其他省份要参照这 </w:t>
      </w:r>
      <w:r>
        <w:rPr/>
        <w:t>7</w:t>
      </w:r>
      <w:r>
        <w:rPr>
          <w:spacing w:val="-32"/>
        </w:rPr>
        <w:t> 个省</w:t>
      </w:r>
      <w:r>
        <w:rPr/>
        <w:t>（市</w:t>
      </w:r>
      <w:r>
        <w:rPr>
          <w:spacing w:val="-34"/>
        </w:rPr>
        <w:t>）</w:t>
      </w:r>
      <w:r>
        <w:rPr>
          <w:spacing w:val="-2"/>
        </w:rPr>
        <w:t>的试点要求继续开展基层高血压医防</w:t>
      </w:r>
      <w:r>
        <w:rPr/>
        <w:t>融合探索。2019</w:t>
      </w:r>
      <w:r>
        <w:rPr>
          <w:spacing w:val="-8"/>
        </w:rPr>
        <w:t> 年，启动基层糖尿病医防融合管理工作，各地要将中华医学会发布的《国</w:t>
      </w:r>
      <w:r>
        <w:rPr>
          <w:spacing w:val="-10"/>
        </w:rPr>
        <w:t>家基层糖尿病防治管理指南</w:t>
      </w:r>
      <w:r>
        <w:rPr>
          <w:spacing w:val="-5"/>
        </w:rPr>
        <w:t>（2018）</w:t>
      </w:r>
      <w:r>
        <w:rPr>
          <w:spacing w:val="-9"/>
        </w:rPr>
        <w:t>》作为开展基层糖尿病医防融合的技术指南，组织开展</w:t>
      </w:r>
      <w:r>
        <w:rPr/>
        <w:t>师资和基层医务人员培训。</w:t>
      </w:r>
    </w:p>
    <w:p>
      <w:pPr>
        <w:pStyle w:val="BodyText"/>
        <w:spacing w:line="297" w:lineRule="auto"/>
        <w:ind w:right="227"/>
        <w:jc w:val="both"/>
      </w:pPr>
      <w:r>
        <w:rPr>
          <w:spacing w:val="-8"/>
        </w:rPr>
        <w:t>《通知》特别提出，要创新绩效评价方式方法。县</w:t>
      </w:r>
      <w:r>
        <w:rPr/>
        <w:t>（</w:t>
      </w:r>
      <w:r>
        <w:rPr>
          <w:spacing w:val="-6"/>
        </w:rPr>
        <w:t>市、区</w:t>
      </w:r>
      <w:r>
        <w:rPr>
          <w:spacing w:val="-17"/>
        </w:rPr>
        <w:t>）</w:t>
      </w:r>
      <w:r>
        <w:rPr>
          <w:spacing w:val="-3"/>
        </w:rPr>
        <w:t>要落实对项目绩效评价的</w:t>
      </w:r>
      <w:r>
        <w:rPr>
          <w:spacing w:val="-12"/>
        </w:rPr>
        <w:t>主体责任，科学合理制定绩效指标，每年至少要对辖区所有承担任务的医疗卫生机构开展一</w:t>
      </w:r>
      <w:r>
        <w:rPr>
          <w:spacing w:val="-9"/>
        </w:rPr>
        <w:t>次综合绩效评价，将评价结果与经费拨付挂钩。为了清理基层机构反映强烈的报表繁多、多</w:t>
      </w:r>
      <w:r>
        <w:rPr>
          <w:spacing w:val="-11"/>
        </w:rPr>
        <w:t>头填报、填报频次过多等问题，《通知》明确，按照一数一源、一源多用的原则，力争实现</w:t>
      </w:r>
    </w:p>
    <w:p>
      <w:pPr>
        <w:spacing w:line="413" w:lineRule="exact" w:before="0"/>
        <w:ind w:left="157" w:right="0" w:firstLine="0"/>
        <w:jc w:val="both"/>
        <w:rPr>
          <w:rFonts w:ascii="Meiryo" w:hAnsi="Meiryo" w:eastAsia="Meiryo" w:hint="eastAsia"/>
          <w:b/>
          <w:sz w:val="24"/>
        </w:rPr>
      </w:pPr>
      <w:r>
        <w:rPr>
          <w:sz w:val="24"/>
        </w:rPr>
        <w:t>同类信息“只填一次”。 </w:t>
      </w:r>
      <w:r>
        <w:rPr>
          <w:rFonts w:ascii="Meiryo" w:hAnsi="Meiryo" w:eastAsia="Meiryo" w:hint="eastAsia"/>
          <w:b/>
          <w:color w:val="0033CC"/>
          <w:sz w:val="24"/>
        </w:rPr>
        <w:t>[返回目次]</w:t>
      </w:r>
    </w:p>
    <w:p>
      <w:pPr>
        <w:pStyle w:val="Heading2"/>
        <w:spacing w:before="184"/>
        <w:ind w:right="240"/>
        <w:jc w:val="center"/>
      </w:pPr>
      <w:r>
        <w:rPr/>
        <w:t>第三批鼓励研发申报儿童药品清单发布</w:t>
      </w:r>
    </w:p>
    <w:p>
      <w:pPr>
        <w:pStyle w:val="BodyText"/>
        <w:spacing w:before="64"/>
        <w:ind w:left="160" w:right="234" w:firstLine="0"/>
        <w:jc w:val="center"/>
      </w:pPr>
      <w:r>
        <w:rPr/>
        <w:t>阿司匹林口服溶液剂等 34 种药品上榜</w:t>
      </w:r>
    </w:p>
    <w:p>
      <w:pPr>
        <w:pStyle w:val="Heading3"/>
        <w:spacing w:before="175"/>
        <w:ind w:left="0" w:right="228"/>
        <w:jc w:val="right"/>
        <w:rPr>
          <w:rFonts w:ascii="楷体" w:eastAsia="楷体" w:hint="eastAsia"/>
        </w:rPr>
      </w:pPr>
      <w:r>
        <w:rPr>
          <w:rFonts w:ascii="楷体" w:eastAsia="楷体" w:hint="eastAsia"/>
          <w:color w:val="FF0000"/>
          <w:w w:val="95"/>
        </w:rPr>
        <w:t>（来源：中国医药报）</w:t>
      </w:r>
    </w:p>
    <w:p>
      <w:pPr>
        <w:pStyle w:val="BodyText"/>
        <w:spacing w:before="96"/>
        <w:ind w:left="0" w:right="307" w:firstLine="0"/>
        <w:jc w:val="right"/>
      </w:pPr>
      <w:r>
        <w:rPr/>
        <w:t>8 月 27 日，国家卫健委、工业和信息化部、国家药监局联合发布《第三批鼓励研发申</w:t>
      </w:r>
    </w:p>
    <w:p>
      <w:pPr>
        <w:pStyle w:val="BodyText"/>
        <w:spacing w:before="72"/>
        <w:ind w:left="0" w:right="246" w:firstLine="0"/>
        <w:jc w:val="right"/>
      </w:pPr>
      <w:r>
        <w:rPr/>
        <w:t>报儿童药品清单》。此次发布的清单，包括阿司匹林口服溶液剂等 34 种药品，涉及鼻用喷</w:t>
      </w:r>
    </w:p>
    <w:p>
      <w:pPr>
        <w:pStyle w:val="BodyText"/>
        <w:spacing w:before="74"/>
        <w:ind w:firstLine="0"/>
      </w:pPr>
      <w:r>
        <w:rPr/>
        <w:t>雾剂、胶囊剂、颗粒剂等 11 种剂型。</w:t>
      </w:r>
    </w:p>
    <w:p>
      <w:pPr>
        <w:pStyle w:val="BodyText"/>
        <w:spacing w:line="297" w:lineRule="auto" w:before="71"/>
        <w:ind w:right="127"/>
      </w:pPr>
      <w:r>
        <w:rPr>
          <w:spacing w:val="-7"/>
        </w:rPr>
        <w:t>保障儿童基本用药需求，对于防治儿童疾病、提升儿童健康水平具有重要意义。虽然我</w:t>
      </w:r>
      <w:r>
        <w:rPr>
          <w:spacing w:val="-8"/>
        </w:rPr>
        <w:t>国儿童健康和用药水平不断提高，基本用药状况逐渐改善，但儿童药品适宜剂型规格缺少、</w:t>
      </w:r>
      <w:r>
        <w:rPr>
          <w:spacing w:val="-7"/>
        </w:rPr>
        <w:t>企业研发和生产动力不足等问题依然存在。新修订《药品管理法》第十六条规定：“国家采</w:t>
      </w:r>
      <w:r>
        <w:rPr>
          <w:spacing w:val="-13"/>
        </w:rPr>
        <w:t>取有效措施，鼓励儿童用药品的研制和创新，支持开发符合儿童生理特征的儿童用药品新品</w:t>
      </w:r>
      <w:r>
        <w:rPr>
          <w:spacing w:val="-11"/>
        </w:rPr>
        <w:t>种、剂型和规格，对儿童用药品予以优先审评审批。”此次清单的发布，旨在促进儿童用药适宜品种、剂型、规格的研发创制和申报审评，满足儿科临床用药需求。</w:t>
      </w:r>
    </w:p>
    <w:p>
      <w:pPr>
        <w:pStyle w:val="BodyText"/>
        <w:spacing w:line="194" w:lineRule="auto" w:before="1"/>
        <w:ind w:right="228"/>
        <w:rPr>
          <w:rFonts w:ascii="Meiryo" w:eastAsia="Meiryo" w:hint="eastAsia"/>
          <w:b/>
        </w:rPr>
      </w:pPr>
      <w:r>
        <w:rPr>
          <w:spacing w:val="-16"/>
        </w:rPr>
        <w:t>据了解，截至目前，已有 </w:t>
      </w:r>
      <w:r>
        <w:rPr/>
        <w:t>3</w:t>
      </w:r>
      <w:r>
        <w:rPr>
          <w:spacing w:val="-14"/>
        </w:rPr>
        <w:t> 批鼓励研发申报儿童药品清单公布，累计品种达 </w:t>
      </w:r>
      <w:r>
        <w:rPr/>
        <w:t>105</w:t>
      </w:r>
      <w:r>
        <w:rPr>
          <w:spacing w:val="-39"/>
        </w:rPr>
        <w:t> 种。</w:t>
      </w:r>
      <w:r>
        <w:rPr>
          <w:rFonts w:ascii="Meiryo" w:eastAsia="Meiryo" w:hint="eastAsia"/>
          <w:b/>
          <w:color w:val="0033CC"/>
          <w:spacing w:val="-7"/>
        </w:rPr>
        <w:t>[返</w:t>
      </w:r>
      <w:r>
        <w:rPr>
          <w:rFonts w:ascii="Meiryo" w:eastAsia="Meiryo" w:hint="eastAsia"/>
          <w:b/>
          <w:color w:val="0033CC"/>
        </w:rPr>
        <w:t>回目次]</w:t>
      </w:r>
    </w:p>
    <w:p>
      <w:pPr>
        <w:spacing w:after="0" w:line="194" w:lineRule="auto"/>
        <w:rPr>
          <w:rFonts w:ascii="Meiryo" w:eastAsia="Meiryo" w:hint="eastAsia"/>
        </w:rPr>
        <w:sectPr>
          <w:pgSz w:w="11910" w:h="16850"/>
          <w:pgMar w:header="906" w:footer="607" w:top="1100" w:bottom="800" w:left="1120" w:right="900"/>
        </w:sectPr>
      </w:pPr>
    </w:p>
    <w:p>
      <w:pPr>
        <w:spacing w:before="95"/>
        <w:ind w:left="160" w:right="231" w:firstLine="0"/>
        <w:jc w:val="center"/>
        <w:rPr>
          <w:sz w:val="21"/>
        </w:rPr>
      </w:pPr>
      <w:r>
        <w:rPr>
          <w:sz w:val="21"/>
        </w:rPr>
        <w:t>第六届大型公立医院发展高峰会议举行</w:t>
      </w:r>
    </w:p>
    <w:p>
      <w:pPr>
        <w:pStyle w:val="Heading2"/>
        <w:spacing w:before="156"/>
        <w:ind w:right="232"/>
        <w:jc w:val="center"/>
      </w:pPr>
      <w:r>
        <w:rPr/>
        <w:t>公立医院改革发展要抓 3 项重点</w:t>
      </w:r>
    </w:p>
    <w:p>
      <w:pPr>
        <w:pStyle w:val="Heading3"/>
        <w:spacing w:before="145"/>
        <w:ind w:left="0" w:right="230"/>
        <w:jc w:val="right"/>
        <w:rPr>
          <w:rFonts w:ascii="楷体" w:eastAsia="楷体" w:hint="eastAsia"/>
        </w:rPr>
      </w:pPr>
      <w:r>
        <w:rPr>
          <w:rFonts w:ascii="楷体" w:eastAsia="楷体" w:hint="eastAsia"/>
          <w:color w:val="FF0000"/>
          <w:w w:val="95"/>
        </w:rPr>
        <w:t>（来源：健康报）</w:t>
      </w:r>
    </w:p>
    <w:p>
      <w:pPr>
        <w:pStyle w:val="BodyText"/>
        <w:spacing w:line="295" w:lineRule="auto" w:before="98"/>
        <w:ind w:right="106"/>
      </w:pPr>
      <w:r>
        <w:rPr/>
        <w:t>8</w:t>
      </w:r>
      <w:r>
        <w:rPr>
          <w:spacing w:val="-41"/>
        </w:rPr>
        <w:t> 月 </w:t>
      </w:r>
      <w:r>
        <w:rPr/>
        <w:t>31</w:t>
      </w:r>
      <w:r>
        <w:rPr>
          <w:spacing w:val="-8"/>
        </w:rPr>
        <w:t> 日，由健康报社主办、吉林大学第一医院承办的第六届大型公立医院发展高峰</w:t>
      </w:r>
      <w:r>
        <w:rPr>
          <w:spacing w:val="-17"/>
        </w:rPr>
        <w:t>会议在吉林省长春市举行，主题为“行动起来 健康中国 大医院发展迎战转型时刻”。会上， </w:t>
      </w:r>
      <w:r>
        <w:rPr/>
        <w:t>国家卫生健康委副主任王贺胜发表书面讲话，强调了公立医院改革发展近期重点工作。</w:t>
      </w:r>
    </w:p>
    <w:p>
      <w:pPr>
        <w:pStyle w:val="BodyText"/>
        <w:spacing w:line="297" w:lineRule="auto" w:before="6"/>
        <w:ind w:right="127"/>
      </w:pPr>
      <w:r>
        <w:rPr>
          <w:spacing w:val="-9"/>
        </w:rPr>
        <w:t>王贺胜表示，公立医院是我国医疗服务体系的主体，是深化卫生体制改革的主战场。近</w:t>
      </w:r>
      <w:r>
        <w:rPr>
          <w:spacing w:val="-15"/>
        </w:rPr>
        <w:t>期，要重点抓好 </w:t>
      </w:r>
      <w:r>
        <w:rPr/>
        <w:t>3</w:t>
      </w:r>
      <w:r>
        <w:rPr>
          <w:spacing w:val="-11"/>
        </w:rPr>
        <w:t> 方面工作：一是加强公立医院党的领导和党的建设。落实党委领导下的院</w:t>
      </w:r>
      <w:r>
        <w:rPr>
          <w:spacing w:val="-12"/>
        </w:rPr>
        <w:t>长负责制，推动党的工作与业务工作深度融合。二是完善医院外部治理体系。持之以恒推进</w:t>
      </w:r>
      <w:r>
        <w:rPr>
          <w:spacing w:val="-13"/>
        </w:rPr>
        <w:t>“三医联动”改革，坚持腾笼换鸟的思路，以国家组织药品集中采购和使用改革为突破口， </w:t>
      </w:r>
      <w:r>
        <w:rPr>
          <w:spacing w:val="-5"/>
        </w:rPr>
        <w:t>腾出的空间同步用于调整医疗服务价格，优化医院收入结构。落实“两个允许”要求，深化</w:t>
      </w:r>
      <w:r>
        <w:rPr>
          <w:spacing w:val="-11"/>
        </w:rPr>
        <w:t>公立医院薪酬制度改革。完善公立医院政府投入。深化医保支付方式改革，调动医院控制成本、节约费用的内生动力。深化人事编制职称制度改革，为医院真正减压松绑赋权。三是完</w:t>
      </w:r>
      <w:r>
        <w:rPr>
          <w:spacing w:val="-15"/>
        </w:rPr>
        <w:t>善医院内部管理制度。制定医院章程，把调动工作人员的积极性作为医院管理的重点。开展三级公立医院绩效考核，推动医院实现三转变、三提高。</w:t>
      </w:r>
    </w:p>
    <w:p>
      <w:pPr>
        <w:pStyle w:val="BodyText"/>
        <w:spacing w:line="278" w:lineRule="auto"/>
        <w:ind w:right="366"/>
        <w:rPr>
          <w:rFonts w:ascii="Meiryo" w:hAnsi="Meiryo" w:eastAsia="Meiryo" w:hint="eastAsia"/>
          <w:b/>
        </w:rPr>
      </w:pPr>
      <w:r>
        <w:rPr>
          <w:spacing w:val="-1"/>
        </w:rPr>
        <w:t>除主论坛外，会议还设立了“健康中国时代的大医院责任”“公立医院绩效考核关键</w:t>
      </w:r>
      <w:r>
        <w:rPr/>
        <w:t>点”“建设一流医院品牌背后的秘诀”“5G</w:t>
      </w:r>
      <w:r>
        <w:rPr>
          <w:spacing w:val="-7"/>
        </w:rPr>
        <w:t> 重构医疗生态”“建好区域中心放大资源优势”“加强党建工作 保障科学发展</w:t>
      </w:r>
      <w:r>
        <w:rPr/>
        <w:t>”6</w:t>
      </w:r>
      <w:r>
        <w:rPr>
          <w:spacing w:val="-10"/>
        </w:rPr>
        <w:t> 个分论坛。</w:t>
      </w:r>
      <w:r>
        <w:rPr>
          <w:rFonts w:ascii="Meiryo" w:hAnsi="Meiryo" w:eastAsia="Meiryo" w:hint="eastAsia"/>
          <w:b/>
          <w:color w:val="0033CC"/>
        </w:rPr>
        <w:t>[返回目次]</w:t>
      </w:r>
    </w:p>
    <w:p>
      <w:pPr>
        <w:pStyle w:val="Heading2"/>
        <w:spacing w:before="107"/>
        <w:ind w:left="157"/>
      </w:pPr>
      <w:r>
        <w:rPr/>
        <w:t>【壮丽 70 年】</w:t>
      </w:r>
    </w:p>
    <w:p>
      <w:pPr>
        <w:tabs>
          <w:tab w:pos="2249" w:val="left" w:leader="none"/>
        </w:tabs>
        <w:spacing w:before="282"/>
        <w:ind w:left="0" w:right="78" w:firstLine="0"/>
        <w:jc w:val="center"/>
        <w:rPr>
          <w:b/>
          <w:sz w:val="32"/>
        </w:rPr>
      </w:pPr>
      <w:r>
        <w:rPr>
          <w:b/>
          <w:sz w:val="32"/>
        </w:rPr>
        <w:t>回顾三年经验</w:t>
        <w:tab/>
        <w:t>布局“十二五”医改</w:t>
      </w:r>
    </w:p>
    <w:p>
      <w:pPr>
        <w:pStyle w:val="Heading3"/>
        <w:spacing w:before="145"/>
        <w:ind w:left="0" w:right="228"/>
        <w:jc w:val="right"/>
        <w:rPr>
          <w:rFonts w:ascii="楷体" w:eastAsia="楷体" w:hint="eastAsia"/>
        </w:rPr>
      </w:pPr>
      <w:r>
        <w:rPr>
          <w:rFonts w:ascii="楷体" w:eastAsia="楷体" w:hint="eastAsia"/>
          <w:color w:val="FF0000"/>
          <w:w w:val="95"/>
        </w:rPr>
        <w:t>（来源：中国医药报）</w:t>
      </w:r>
    </w:p>
    <w:p>
      <w:pPr>
        <w:pStyle w:val="BodyText"/>
        <w:spacing w:before="112"/>
        <w:ind w:left="637" w:firstLine="0"/>
      </w:pPr>
      <w:r>
        <w:rPr/>
        <w:t>2011 年是《医药卫生体制改革近期重点实施方案（2009-2011 年）》施行的最后一年，</w:t>
      </w:r>
    </w:p>
    <w:p>
      <w:pPr>
        <w:pStyle w:val="BodyText"/>
        <w:spacing w:line="312" w:lineRule="auto" w:before="91"/>
        <w:ind w:right="108" w:firstLine="0"/>
      </w:pPr>
      <w:r>
        <w:rPr/>
        <w:t>也是“十一五”与“十二五”规划承接的关键之年。2011</w:t>
      </w:r>
      <w:r>
        <w:rPr>
          <w:spacing w:val="-41"/>
        </w:rPr>
        <w:t> 年 </w:t>
      </w:r>
      <w:r>
        <w:rPr/>
        <w:t>11</w:t>
      </w:r>
      <w:r>
        <w:rPr>
          <w:spacing w:val="-40"/>
        </w:rPr>
        <w:t> 月 </w:t>
      </w:r>
      <w:r>
        <w:rPr/>
        <w:t>29</w:t>
      </w:r>
      <w:r>
        <w:rPr>
          <w:spacing w:val="-8"/>
        </w:rPr>
        <w:t> 日，国务院深化医改</w:t>
      </w:r>
      <w:r>
        <w:rPr>
          <w:spacing w:val="-14"/>
        </w:rPr>
        <w:t>领导小组第十次全体会议审议了《〈医药卫生体制改革近期重点实施方案</w:t>
      </w:r>
      <w:r>
        <w:rPr/>
        <w:t>（2009-2011</w:t>
      </w:r>
      <w:r>
        <w:rPr>
          <w:spacing w:val="-30"/>
        </w:rPr>
        <w:t> 年</w:t>
      </w:r>
      <w:r>
        <w:rPr>
          <w:spacing w:val="-41"/>
        </w:rPr>
        <w:t>）</w:t>
      </w:r>
      <w:r>
        <w:rPr>
          <w:spacing w:val="-16"/>
        </w:rPr>
        <w:t>〉</w:t>
      </w:r>
      <w:r>
        <w:rPr>
          <w:spacing w:val="-12"/>
        </w:rPr>
        <w:t>实施中期评估报告》，充分肯定 </w:t>
      </w:r>
      <w:r>
        <w:rPr/>
        <w:t>2009-2011</w:t>
      </w:r>
      <w:r>
        <w:rPr>
          <w:spacing w:val="-10"/>
        </w:rPr>
        <w:t> 年医改取得的成效，并提出巩固和发展改革的阶段性成果，创新体制机制，将医改推向深入。</w:t>
      </w:r>
    </w:p>
    <w:p>
      <w:pPr>
        <w:pStyle w:val="Heading3"/>
        <w:tabs>
          <w:tab w:pos="1844" w:val="left" w:leader="none"/>
        </w:tabs>
        <w:spacing w:before="3"/>
      </w:pPr>
      <w:r>
        <w:rPr/>
        <w:t>稳步推进</w:t>
        <w:tab/>
        <w:t>基本医疗卫生制度框架建立</w:t>
      </w:r>
    </w:p>
    <w:p>
      <w:pPr>
        <w:pStyle w:val="BodyText"/>
        <w:spacing w:line="312" w:lineRule="auto" w:before="93"/>
        <w:ind w:right="227"/>
      </w:pPr>
      <w:r>
        <w:rPr/>
        <w:t>2012</w:t>
      </w:r>
      <w:r>
        <w:rPr>
          <w:spacing w:val="-8"/>
        </w:rPr>
        <w:t> 年初召开的全国卫生工作会议指出，经过几年努力，我国基本医疗卫生制度的框</w:t>
      </w:r>
      <w:r>
        <w:rPr>
          <w:spacing w:val="-13"/>
        </w:rPr>
        <w:t>架初步建立，这一制度成为中国特色社会主义制度的重要组成部分，不仅将长久造福国民健</w:t>
      </w:r>
      <w:r>
        <w:rPr/>
        <w:t>康，也为医改这一世界性难题探索了中国式的解决办法。</w:t>
      </w:r>
    </w:p>
    <w:p>
      <w:pPr>
        <w:pStyle w:val="BodyText"/>
        <w:spacing w:line="312" w:lineRule="auto" w:before="1"/>
        <w:ind w:right="227"/>
        <w:jc w:val="both"/>
      </w:pPr>
      <w:r>
        <w:rPr>
          <w:spacing w:val="-6"/>
        </w:rPr>
        <w:t>中央财政投入逐年加大 “新医改”施行以来，中央不断加大对地方一般性转移支付的</w:t>
      </w:r>
      <w:r>
        <w:rPr/>
        <w:t>力度，2009</w:t>
      </w:r>
      <w:r>
        <w:rPr>
          <w:spacing w:val="-12"/>
        </w:rPr>
        <w:t> 年中央对地方一般性转移支付比 </w:t>
      </w:r>
      <w:r>
        <w:rPr/>
        <w:t>2008</w:t>
      </w:r>
      <w:r>
        <w:rPr>
          <w:spacing w:val="-20"/>
        </w:rPr>
        <w:t> 年增长了 </w:t>
      </w:r>
      <w:r>
        <w:rPr/>
        <w:t>29.4%，2010</w:t>
      </w:r>
      <w:r>
        <w:rPr>
          <w:spacing w:val="-30"/>
        </w:rPr>
        <w:t> 年比 </w:t>
      </w:r>
      <w:r>
        <w:rPr/>
        <w:t>2009</w:t>
      </w:r>
      <w:r>
        <w:rPr>
          <w:spacing w:val="-15"/>
        </w:rPr>
        <w:t> 年增长</w:t>
      </w:r>
      <w:r>
        <w:rPr>
          <w:spacing w:val="-38"/>
        </w:rPr>
        <w:t>了 </w:t>
      </w:r>
      <w:r>
        <w:rPr/>
        <w:t>17%，2011</w:t>
      </w:r>
      <w:r>
        <w:rPr>
          <w:spacing w:val="-30"/>
        </w:rPr>
        <w:t> 年比 </w:t>
      </w:r>
      <w:r>
        <w:rPr/>
        <w:t>2010</w:t>
      </w:r>
      <w:r>
        <w:rPr>
          <w:spacing w:val="-20"/>
        </w:rPr>
        <w:t> 年增长了 </w:t>
      </w:r>
      <w:r>
        <w:rPr/>
        <w:t>18.5%。2009～2011</w:t>
      </w:r>
      <w:r>
        <w:rPr>
          <w:spacing w:val="-13"/>
        </w:rPr>
        <w:t> 年，中央财政共安排 </w:t>
      </w:r>
      <w:r>
        <w:rPr/>
        <w:t>120</w:t>
      </w:r>
      <w:r>
        <w:rPr>
          <w:spacing w:val="-10"/>
        </w:rPr>
        <w:t> 亿元专项资</w:t>
      </w:r>
      <w:r>
        <w:rPr>
          <w:spacing w:val="-12"/>
        </w:rPr>
        <w:t>金，对实施基本药物制度、推进综合改革进展快且效果好的地区予以奖补。全国财政医疗卫</w:t>
      </w:r>
      <w:r>
        <w:rPr>
          <w:spacing w:val="-11"/>
        </w:rPr>
        <w:t>生新增投入 </w:t>
      </w:r>
      <w:r>
        <w:rPr/>
        <w:t>12409</w:t>
      </w:r>
      <w:r>
        <w:rPr>
          <w:spacing w:val="-14"/>
        </w:rPr>
        <w:t> 亿元，比既定的 </w:t>
      </w:r>
      <w:r>
        <w:rPr/>
        <w:t>8500</w:t>
      </w:r>
      <w:r>
        <w:rPr>
          <w:spacing w:val="-18"/>
        </w:rPr>
        <w:t> 亿元增加了 </w:t>
      </w:r>
      <w:r>
        <w:rPr/>
        <w:t>3909</w:t>
      </w:r>
      <w:r>
        <w:rPr>
          <w:spacing w:val="-15"/>
        </w:rPr>
        <w:t> 亿元。</w:t>
      </w:r>
    </w:p>
    <w:p>
      <w:pPr>
        <w:spacing w:after="0" w:line="312" w:lineRule="auto"/>
        <w:jc w:val="both"/>
        <w:sectPr>
          <w:pgSz w:w="11910" w:h="16850"/>
          <w:pgMar w:header="906" w:footer="607" w:top="1100" w:bottom="800" w:left="1120" w:right="900"/>
        </w:sectPr>
      </w:pPr>
    </w:p>
    <w:p>
      <w:pPr>
        <w:pStyle w:val="BodyText"/>
        <w:spacing w:line="312" w:lineRule="auto" w:before="79"/>
        <w:ind w:right="228"/>
      </w:pPr>
      <w:r>
        <w:rPr>
          <w:spacing w:val="-3"/>
        </w:rPr>
        <w:t>同时，</w:t>
      </w:r>
      <w:r>
        <w:rPr>
          <w:spacing w:val="-8"/>
        </w:rPr>
        <w:t>3</w:t>
      </w:r>
      <w:r>
        <w:rPr>
          <w:spacing w:val="-13"/>
        </w:rPr>
        <w:t> 年间中央出台医改文件 </w:t>
      </w:r>
      <w:r>
        <w:rPr/>
        <w:t>14</w:t>
      </w:r>
      <w:r>
        <w:rPr>
          <w:spacing w:val="-13"/>
        </w:rPr>
        <w:t> 个，主要部门出台重要配套文件 </w:t>
      </w:r>
      <w:r>
        <w:rPr/>
        <w:t>50</w:t>
      </w:r>
      <w:r>
        <w:rPr>
          <w:spacing w:val="-13"/>
        </w:rPr>
        <w:t> 多个，加上地方</w:t>
      </w:r>
      <w:r>
        <w:rPr/>
        <w:t>出台的文件，较为完整的医改政策体系基本形成。</w:t>
      </w:r>
    </w:p>
    <w:p>
      <w:pPr>
        <w:pStyle w:val="BodyText"/>
        <w:tabs>
          <w:tab w:pos="3997" w:val="left" w:leader="none"/>
        </w:tabs>
        <w:spacing w:line="312" w:lineRule="auto"/>
        <w:ind w:right="228"/>
      </w:pPr>
      <w:r>
        <w:rPr/>
        <w:t>基本医疗保障制度覆盖面扩大</w:t>
        <w:tab/>
        <w:t>“新医改”实施三年来，筹资水平和保障水平不断提高</w:t>
      </w:r>
      <w:r>
        <w:rPr>
          <w:spacing w:val="-82"/>
        </w:rPr>
        <w:t>。</w:t>
      </w:r>
      <w:r>
        <w:rPr/>
        <w:t>以“新农合”为例</w:t>
      </w:r>
      <w:r>
        <w:rPr>
          <w:spacing w:val="-82"/>
        </w:rPr>
        <w:t>，</w:t>
      </w:r>
      <w:r>
        <w:rPr/>
        <w:t>各级财政对参合农民的补助水平从</w:t>
      </w:r>
      <w:r>
        <w:rPr>
          <w:spacing w:val="-59"/>
        </w:rPr>
        <w:t> </w:t>
      </w:r>
      <w:r>
        <w:rPr/>
        <w:t>2003</w:t>
      </w:r>
      <w:r>
        <w:rPr>
          <w:spacing w:val="-60"/>
        </w:rPr>
        <w:t> </w:t>
      </w:r>
      <w:r>
        <w:rPr/>
        <w:t>年的人均</w:t>
      </w:r>
      <w:r>
        <w:rPr>
          <w:spacing w:val="-60"/>
        </w:rPr>
        <w:t> </w:t>
      </w:r>
      <w:r>
        <w:rPr/>
        <w:t>20</w:t>
      </w:r>
      <w:r>
        <w:rPr>
          <w:spacing w:val="-60"/>
        </w:rPr>
        <w:t> </w:t>
      </w:r>
      <w:r>
        <w:rPr/>
        <w:t>元提高到</w:t>
      </w:r>
      <w:r>
        <w:rPr>
          <w:spacing w:val="-60"/>
        </w:rPr>
        <w:t> </w:t>
      </w:r>
      <w:r>
        <w:rPr>
          <w:spacing w:val="-4"/>
        </w:rPr>
        <w:t>2011</w:t>
      </w:r>
    </w:p>
    <w:p>
      <w:pPr>
        <w:pStyle w:val="BodyText"/>
        <w:spacing w:line="307" w:lineRule="exact"/>
        <w:ind w:firstLine="0"/>
      </w:pPr>
      <w:r>
        <w:rPr>
          <w:spacing w:val="-13"/>
        </w:rPr>
        <w:t>年的人均 </w:t>
      </w:r>
      <w:r>
        <w:rPr/>
        <w:t>200</w:t>
      </w:r>
      <w:r>
        <w:rPr>
          <w:spacing w:val="-10"/>
        </w:rPr>
        <w:t> 元。城镇居民医保、新农合政策范围内住院报销比例从 </w:t>
      </w:r>
      <w:r>
        <w:rPr/>
        <w:t>2003</w:t>
      </w:r>
      <w:r>
        <w:rPr>
          <w:spacing w:val="-30"/>
        </w:rPr>
        <w:t> 年的 </w:t>
      </w:r>
      <w:r>
        <w:rPr/>
        <w:t>20%提高到</w:t>
      </w:r>
    </w:p>
    <w:p>
      <w:pPr>
        <w:pStyle w:val="BodyText"/>
        <w:spacing w:before="93"/>
        <w:ind w:firstLine="0"/>
      </w:pPr>
      <w:r>
        <w:rPr/>
        <w:t>2011 年的 70%左右。</w:t>
      </w:r>
    </w:p>
    <w:p>
      <w:pPr>
        <w:pStyle w:val="BodyText"/>
        <w:spacing w:before="94"/>
        <w:ind w:left="637" w:firstLine="0"/>
      </w:pPr>
      <w:r>
        <w:rPr>
          <w:spacing w:val="-4"/>
        </w:rPr>
        <w:t>基本药物制度建设取得进展 启动于 </w:t>
      </w:r>
      <w:r>
        <w:rPr/>
        <w:t>2009</w:t>
      </w:r>
      <w:r>
        <w:rPr>
          <w:spacing w:val="-40"/>
        </w:rPr>
        <w:t> 年 </w:t>
      </w:r>
      <w:r>
        <w:rPr/>
        <w:t>8</w:t>
      </w:r>
      <w:r>
        <w:rPr>
          <w:spacing w:val="-8"/>
        </w:rPr>
        <w:t> 月的国家基本药物制度在我国基本建立，</w:t>
      </w:r>
    </w:p>
    <w:p>
      <w:pPr>
        <w:pStyle w:val="BodyText"/>
        <w:spacing w:line="312" w:lineRule="auto" w:before="90"/>
        <w:ind w:right="107" w:firstLine="0"/>
      </w:pPr>
      <w:r>
        <w:rPr>
          <w:spacing w:val="-2"/>
        </w:rPr>
        <w:t>各地以此为突破口，统筹推进基层医疗卫生机构综合改革。截至 </w:t>
      </w:r>
      <w:r>
        <w:rPr/>
        <w:t>2011</w:t>
      </w:r>
      <w:r>
        <w:rPr>
          <w:spacing w:val="-29"/>
        </w:rPr>
        <w:t> 年 </w:t>
      </w:r>
      <w:r>
        <w:rPr/>
        <w:t>7</w:t>
      </w:r>
      <w:r>
        <w:rPr>
          <w:spacing w:val="-14"/>
        </w:rPr>
        <w:t> 月底，全国 </w:t>
      </w:r>
      <w:r>
        <w:rPr/>
        <w:t>31 </w:t>
      </w:r>
      <w:r>
        <w:rPr>
          <w:spacing w:val="-17"/>
        </w:rPr>
        <w:t>个省</w:t>
      </w:r>
      <w:r>
        <w:rPr/>
        <w:t>（</w:t>
      </w:r>
      <w:r>
        <w:rPr>
          <w:spacing w:val="-12"/>
        </w:rPr>
        <w:t>区、市</w:t>
      </w:r>
      <w:r>
        <w:rPr>
          <w:spacing w:val="-34"/>
        </w:rPr>
        <w:t>）</w:t>
      </w:r>
      <w:r>
        <w:rPr>
          <w:spacing w:val="-1"/>
        </w:rPr>
        <w:t>和新疆生产建设兵团均实现了在所有政府办基层医疗卫生机构配备使用基本</w:t>
      </w:r>
      <w:r>
        <w:rPr>
          <w:spacing w:val="-17"/>
        </w:rPr>
        <w:t>药物，并实行零差率销售。同时，基本药物省级集中采购全面推行。基层综合医改稳步推进， </w:t>
      </w:r>
      <w:r>
        <w:rPr/>
        <w:t>25</w:t>
      </w:r>
      <w:r>
        <w:rPr>
          <w:spacing w:val="-8"/>
        </w:rPr>
        <w:t> 个省份出台了基层综合改革或多渠道补偿实施办法。此外，群众就医负担明显减轻，</w:t>
      </w:r>
      <w:r>
        <w:rPr/>
        <w:t>24 </w:t>
      </w:r>
      <w:r>
        <w:rPr>
          <w:spacing w:val="-5"/>
        </w:rPr>
        <w:t>个省份调整了基层医疗卫生机构收费标准。基本药物被全部纳入医保报销目录，售价平均下</w:t>
      </w:r>
      <w:r>
        <w:rPr>
          <w:spacing w:val="-24"/>
        </w:rPr>
        <w:t>降了 </w:t>
      </w:r>
      <w:r>
        <w:rPr/>
        <w:t>25%。</w:t>
      </w:r>
    </w:p>
    <w:p>
      <w:pPr>
        <w:pStyle w:val="BodyText"/>
        <w:spacing w:line="312" w:lineRule="auto" w:before="3"/>
        <w:ind w:right="245"/>
        <w:jc w:val="both"/>
      </w:pPr>
      <w:r>
        <w:rPr/>
        <w:t>基层医疗卫生服务体系逐步健全 为切实加强基层医疗卫生服务体系建设，2011</w:t>
      </w:r>
      <w:r>
        <w:rPr>
          <w:spacing w:val="-20"/>
        </w:rPr>
        <w:t> 年， </w:t>
      </w:r>
      <w:r>
        <w:rPr>
          <w:spacing w:val="-29"/>
        </w:rPr>
        <w:t>国家支持 </w:t>
      </w:r>
      <w:r>
        <w:rPr/>
        <w:t>300</w:t>
      </w:r>
      <w:r>
        <w:rPr>
          <w:spacing w:val="-8"/>
        </w:rPr>
        <w:t> 多所县级医院、</w:t>
      </w:r>
      <w:r>
        <w:rPr/>
        <w:t>1000</w:t>
      </w:r>
      <w:r>
        <w:rPr>
          <w:spacing w:val="-14"/>
        </w:rPr>
        <w:t> 余所中心卫生院和 </w:t>
      </w:r>
      <w:r>
        <w:rPr/>
        <w:t>13000</w:t>
      </w:r>
      <w:r>
        <w:rPr>
          <w:spacing w:val="-8"/>
        </w:rPr>
        <w:t> 多个村卫生室的建设。</w:t>
      </w:r>
      <w:r>
        <w:rPr/>
        <w:t>2011</w:t>
      </w:r>
      <w:r>
        <w:rPr>
          <w:spacing w:val="-38"/>
        </w:rPr>
        <w:t> 年</w:t>
      </w:r>
      <w:r>
        <w:rPr>
          <w:spacing w:val="-3"/>
        </w:rPr>
        <w:t>中央财政对地方的转移支付中，医药方面新增投资 </w:t>
      </w:r>
      <w:r>
        <w:rPr/>
        <w:t>42.12</w:t>
      </w:r>
      <w:r>
        <w:rPr>
          <w:spacing w:val="-18"/>
        </w:rPr>
        <w:t> 亿元，覆盖 </w:t>
      </w:r>
      <w:r>
        <w:rPr/>
        <w:t>1814</w:t>
      </w:r>
      <w:r>
        <w:rPr>
          <w:spacing w:val="-9"/>
        </w:rPr>
        <w:t> 所中医医院、</w:t>
      </w:r>
      <w:r>
        <w:rPr>
          <w:spacing w:val="-8"/>
        </w:rPr>
        <w:t>58</w:t>
      </w:r>
    </w:p>
    <w:p>
      <w:pPr>
        <w:pStyle w:val="BodyText"/>
        <w:spacing w:line="312" w:lineRule="auto" w:before="1"/>
        <w:ind w:right="247" w:firstLine="0"/>
        <w:jc w:val="both"/>
      </w:pPr>
      <w:r>
        <w:rPr>
          <w:spacing w:val="-7"/>
        </w:rPr>
        <w:t>个地市级民族医院和 </w:t>
      </w:r>
      <w:r>
        <w:rPr/>
        <w:t>88</w:t>
      </w:r>
      <w:r>
        <w:rPr>
          <w:spacing w:val="-9"/>
        </w:rPr>
        <w:t> 个西部地区地市级中医医院，基层医疗卫生服务机构和队伍结构明</w:t>
      </w:r>
      <w:r>
        <w:rPr/>
        <w:t>显优化。</w:t>
      </w:r>
    </w:p>
    <w:p>
      <w:pPr>
        <w:pStyle w:val="BodyText"/>
        <w:tabs>
          <w:tab w:pos="3997" w:val="left" w:leader="none"/>
        </w:tabs>
        <w:spacing w:before="2"/>
        <w:ind w:left="637" w:firstLine="0"/>
      </w:pPr>
      <w:r>
        <w:rPr/>
        <w:t>基本公共卫生服务均等化推进</w:t>
        <w:tab/>
        <w:t>2011</w:t>
      </w:r>
      <w:r>
        <w:rPr>
          <w:spacing w:val="-75"/>
        </w:rPr>
        <w:t> </w:t>
      </w:r>
      <w:r>
        <w:rPr/>
        <w:t>年</w:t>
      </w:r>
      <w:r>
        <w:rPr>
          <w:spacing w:val="-120"/>
        </w:rPr>
        <w:t>，</w:t>
      </w:r>
      <w:r>
        <w:rPr/>
        <w:t>我国人均基本公共卫生服务经费提高到</w:t>
      </w:r>
      <w:r>
        <w:rPr>
          <w:spacing w:val="-74"/>
        </w:rPr>
        <w:t> </w:t>
      </w:r>
      <w:r>
        <w:rPr/>
        <w:t>25</w:t>
      </w:r>
      <w:r>
        <w:rPr>
          <w:spacing w:val="-75"/>
        </w:rPr>
        <w:t> </w:t>
      </w:r>
      <w:r>
        <w:rPr/>
        <w:t>元，</w:t>
      </w:r>
    </w:p>
    <w:p>
      <w:pPr>
        <w:pStyle w:val="BodyText"/>
        <w:spacing w:line="312" w:lineRule="auto" w:before="91"/>
        <w:ind w:right="226" w:firstLine="0"/>
      </w:pPr>
      <w:r>
        <w:rPr>
          <w:spacing w:val="-4"/>
        </w:rPr>
        <w:t>国家基本公共卫生服务项目增至 </w:t>
      </w:r>
      <w:r>
        <w:rPr/>
        <w:t>10</w:t>
      </w:r>
      <w:r>
        <w:rPr>
          <w:spacing w:val="-40"/>
        </w:rPr>
        <w:t> 类 </w:t>
      </w:r>
      <w:r>
        <w:rPr/>
        <w:t>41</w:t>
      </w:r>
      <w:r>
        <w:rPr>
          <w:spacing w:val="-8"/>
        </w:rPr>
        <w:t> 项。中医体质辨识、</w:t>
      </w:r>
      <w:r>
        <w:rPr/>
        <w:t>0～6</w:t>
      </w:r>
      <w:r>
        <w:rPr>
          <w:spacing w:val="-8"/>
        </w:rPr>
        <w:t> 岁儿童中医健康指导、</w:t>
      </w:r>
      <w:r>
        <w:rPr>
          <w:spacing w:val="-14"/>
        </w:rPr>
        <w:t>孕产妇中医健康指导、老年人中医健康指导、高血压患者中医健康干预、Ⅱ型糖尿病患者中</w:t>
      </w:r>
      <w:r>
        <w:rPr/>
        <w:t>医健康干预、中医健康教育等七个方面的中医药服务内容被纳入基本公共卫生服务试点范</w:t>
      </w:r>
      <w:r>
        <w:rPr>
          <w:spacing w:val="-13"/>
        </w:rPr>
        <w:t>围。截至 </w:t>
      </w:r>
      <w:r>
        <w:rPr/>
        <w:t>2011</w:t>
      </w:r>
      <w:r>
        <w:rPr>
          <w:spacing w:val="-11"/>
        </w:rPr>
        <w:t> 年底，全国电子健康档案建档率达到 </w:t>
      </w:r>
      <w:r>
        <w:rPr/>
        <w:t>50%，高血压、糖尿病患者健康管理人</w:t>
      </w:r>
      <w:r>
        <w:rPr>
          <w:spacing w:val="-11"/>
        </w:rPr>
        <w:t>数分别达到 </w:t>
      </w:r>
      <w:r>
        <w:rPr/>
        <w:t>4500</w:t>
      </w:r>
      <w:r>
        <w:rPr>
          <w:spacing w:val="-24"/>
        </w:rPr>
        <w:t> 万人和 </w:t>
      </w:r>
      <w:r>
        <w:rPr/>
        <w:t>1500</w:t>
      </w:r>
      <w:r>
        <w:rPr>
          <w:spacing w:val="-15"/>
        </w:rPr>
        <w:t> 万人。</w:t>
      </w:r>
    </w:p>
    <w:p>
      <w:pPr>
        <w:pStyle w:val="BodyText"/>
        <w:tabs>
          <w:tab w:pos="3757" w:val="left" w:leader="none"/>
        </w:tabs>
        <w:spacing w:before="3"/>
        <w:ind w:left="637" w:firstLine="0"/>
      </w:pPr>
      <w:r>
        <w:rPr/>
        <w:t>全面探索公立医院改革试点</w:t>
        <w:tab/>
        <w:t>2010</w:t>
      </w:r>
      <w:r>
        <w:rPr>
          <w:spacing w:val="-60"/>
        </w:rPr>
        <w:t> </w:t>
      </w:r>
      <w:r>
        <w:rPr/>
        <w:t>年</w:t>
      </w:r>
      <w:r>
        <w:rPr>
          <w:spacing w:val="-60"/>
        </w:rPr>
        <w:t> </w:t>
      </w:r>
      <w:r>
        <w:rPr/>
        <w:t>2</w:t>
      </w:r>
      <w:r>
        <w:rPr>
          <w:spacing w:val="-60"/>
        </w:rPr>
        <w:t> </w:t>
      </w:r>
      <w:r>
        <w:rPr/>
        <w:t>月，《关于公立医院改革试点的指导意见》发</w:t>
      </w:r>
    </w:p>
    <w:p>
      <w:pPr>
        <w:pStyle w:val="BodyText"/>
        <w:spacing w:line="312" w:lineRule="auto" w:before="91"/>
        <w:ind w:right="226" w:firstLine="0"/>
      </w:pPr>
      <w:r>
        <w:rPr>
          <w:spacing w:val="-10"/>
        </w:rPr>
        <w:t>布，提出公立医院改革试点的 </w:t>
      </w:r>
      <w:r>
        <w:rPr/>
        <w:t>1</w:t>
      </w:r>
      <w:r>
        <w:rPr>
          <w:spacing w:val="-18"/>
        </w:rPr>
        <w:t> 个目标、</w:t>
      </w:r>
      <w:r>
        <w:rPr/>
        <w:t>3</w:t>
      </w:r>
      <w:r>
        <w:rPr>
          <w:spacing w:val="-20"/>
        </w:rPr>
        <w:t> 个领域和 </w:t>
      </w:r>
      <w:r>
        <w:rPr/>
        <w:t>9</w:t>
      </w:r>
      <w:r>
        <w:rPr>
          <w:spacing w:val="-18"/>
        </w:rPr>
        <w:t> 项任务。</w:t>
      </w:r>
      <w:r>
        <w:rPr/>
        <w:t>2011</w:t>
      </w:r>
      <w:r>
        <w:rPr>
          <w:spacing w:val="-40"/>
        </w:rPr>
        <w:t> 年 </w:t>
      </w:r>
      <w:r>
        <w:rPr/>
        <w:t>2</w:t>
      </w:r>
      <w:r>
        <w:rPr>
          <w:spacing w:val="-11"/>
        </w:rPr>
        <w:t> 月，国务院办公厅印发《2011</w:t>
      </w:r>
      <w:r>
        <w:rPr>
          <w:spacing w:val="-8"/>
        </w:rPr>
        <w:t> 年公立医院改革试点工作安排》，明确要按照上下联动、内增活力、外加推力</w:t>
      </w:r>
      <w:r>
        <w:rPr>
          <w:spacing w:val="-13"/>
        </w:rPr>
        <w:t>的原则，坚持点面结合、远近兼顾、突出重点、边试边推，采用“两条腿走路”的策略，推</w:t>
      </w:r>
      <w:r>
        <w:rPr/>
        <w:t>进公立医院改革。2011</w:t>
      </w:r>
      <w:r>
        <w:rPr>
          <w:spacing w:val="-41"/>
        </w:rPr>
        <w:t> 年 </w:t>
      </w:r>
      <w:r>
        <w:rPr/>
        <w:t>4</w:t>
      </w:r>
      <w:r>
        <w:rPr>
          <w:spacing w:val="-8"/>
        </w:rPr>
        <w:t> 月，《三级综合医院评审标准</w:t>
      </w:r>
      <w:r>
        <w:rPr/>
        <w:t>（2011</w:t>
      </w:r>
      <w:r>
        <w:rPr>
          <w:spacing w:val="-20"/>
        </w:rPr>
        <w:t> 年版</w:t>
      </w:r>
      <w:r>
        <w:rPr/>
        <w:t>）</w:t>
      </w:r>
      <w:r>
        <w:rPr>
          <w:spacing w:val="-9"/>
        </w:rPr>
        <w:t>》发布。全国 </w:t>
      </w:r>
      <w:r>
        <w:rPr/>
        <w:t>16 </w:t>
      </w:r>
      <w:r>
        <w:rPr>
          <w:spacing w:val="-4"/>
        </w:rPr>
        <w:t>个公立医院改革国家联系试点城市、</w:t>
      </w:r>
      <w:r>
        <w:rPr/>
        <w:t>37</w:t>
      </w:r>
      <w:r>
        <w:rPr>
          <w:spacing w:val="-13"/>
        </w:rPr>
        <w:t> 个省级试点城市、</w:t>
      </w:r>
      <w:r>
        <w:rPr/>
        <w:t>745</w:t>
      </w:r>
      <w:r>
        <w:rPr>
          <w:spacing w:val="-9"/>
        </w:rPr>
        <w:t> 家公立医院开展了综合改革试</w:t>
      </w:r>
      <w:r>
        <w:rPr>
          <w:spacing w:val="-11"/>
        </w:rPr>
        <w:t>点，在管理体制、补偿机制、支付制度、内部管理、改善服务、支援基层和鼓励社会办医方</w:t>
      </w:r>
      <w:r>
        <w:rPr/>
        <w:t>面展开全面探索。</w:t>
      </w:r>
    </w:p>
    <w:p>
      <w:pPr>
        <w:pStyle w:val="Heading3"/>
        <w:tabs>
          <w:tab w:pos="1364" w:val="left" w:leader="none"/>
        </w:tabs>
        <w:spacing w:before="3"/>
      </w:pPr>
      <w:r>
        <w:rPr/>
        <w:t>探索</w:t>
        <w:tab/>
        <w:t>给出医改“中国答案”</w:t>
      </w:r>
    </w:p>
    <w:p>
      <w:pPr>
        <w:pStyle w:val="BodyText"/>
        <w:spacing w:line="312" w:lineRule="auto" w:before="93"/>
        <w:ind w:right="307"/>
      </w:pPr>
      <w:r>
        <w:rPr/>
        <w:t>2009～2011</w:t>
      </w:r>
      <w:r>
        <w:rPr>
          <w:spacing w:val="-9"/>
        </w:rPr>
        <w:t> 年的三年医改时间，为医改的进一步深化作了有益探索，也对这一世界性</w:t>
      </w:r>
      <w:r>
        <w:rPr/>
        <w:t>难题给出了“中国答案”。</w:t>
      </w:r>
    </w:p>
    <w:p>
      <w:pPr>
        <w:spacing w:after="0" w:line="312" w:lineRule="auto"/>
        <w:sectPr>
          <w:pgSz w:w="11910" w:h="16850"/>
          <w:pgMar w:header="906" w:footer="607" w:top="1100" w:bottom="800" w:left="1120" w:right="900"/>
        </w:sectPr>
      </w:pPr>
    </w:p>
    <w:p>
      <w:pPr>
        <w:pStyle w:val="BodyText"/>
        <w:spacing w:line="312" w:lineRule="auto" w:before="79"/>
        <w:ind w:right="226"/>
      </w:pPr>
      <w:r>
        <w:rPr>
          <w:spacing w:val="-1"/>
        </w:rPr>
        <w:t>群众得到更多实惠 人民群众“看病难”“看病贵”问题得到一定程度缓解。农村和偏</w:t>
      </w:r>
      <w:r>
        <w:rPr>
          <w:spacing w:val="-7"/>
        </w:rPr>
        <w:t>远地区医疗服务设施落后、服务能力薄弱的状况改善，城市大医院“三长一短”</w:t>
      </w:r>
      <w:r>
        <w:rPr>
          <w:spacing w:val="-17"/>
        </w:rPr>
        <w:t>（</w:t>
      </w:r>
      <w:r>
        <w:rPr>
          <w:spacing w:val="-4"/>
        </w:rPr>
        <w:t>挂号时间</w:t>
      </w:r>
      <w:r>
        <w:rPr/>
        <w:t>长、候诊时间长、取药时间长、就诊时间短）问题逐步缓解。15</w:t>
      </w:r>
      <w:r>
        <w:rPr>
          <w:spacing w:val="-8"/>
        </w:rPr>
        <w:t> 分钟内可到达医疗机构的</w:t>
      </w:r>
      <w:r>
        <w:rPr>
          <w:spacing w:val="-17"/>
        </w:rPr>
        <w:t>住户比例从 </w:t>
      </w:r>
      <w:r>
        <w:rPr/>
        <w:t>2008</w:t>
      </w:r>
      <w:r>
        <w:rPr>
          <w:spacing w:val="-30"/>
        </w:rPr>
        <w:t> 年的 </w:t>
      </w:r>
      <w:r>
        <w:rPr/>
        <w:t>80.3%</w:t>
      </w:r>
      <w:r>
        <w:rPr>
          <w:spacing w:val="-15"/>
        </w:rPr>
        <w:t>提高到 </w:t>
      </w:r>
      <w:r>
        <w:rPr/>
        <w:t>2011</w:t>
      </w:r>
      <w:r>
        <w:rPr>
          <w:spacing w:val="-30"/>
        </w:rPr>
        <w:t> 年的 </w:t>
      </w:r>
      <w:r>
        <w:rPr/>
        <w:t>83.3%</w:t>
      </w:r>
      <w:r>
        <w:rPr>
          <w:spacing w:val="-13"/>
        </w:rPr>
        <w:t>。个人卫生支出从 </w:t>
      </w:r>
      <w:r>
        <w:rPr/>
        <w:t>2003</w:t>
      </w:r>
      <w:r>
        <w:rPr>
          <w:spacing w:val="-30"/>
        </w:rPr>
        <w:t> 年的 </w:t>
      </w:r>
      <w:r>
        <w:rPr/>
        <w:t>55.8%</w:t>
      </w:r>
      <w:r>
        <w:rPr>
          <w:spacing w:val="-6"/>
        </w:rPr>
        <w:t>下降</w:t>
      </w:r>
      <w:r>
        <w:rPr>
          <w:spacing w:val="-30"/>
        </w:rPr>
        <w:t>到 </w:t>
      </w:r>
      <w:r>
        <w:rPr/>
        <w:t>2011</w:t>
      </w:r>
      <w:r>
        <w:rPr>
          <w:spacing w:val="-31"/>
        </w:rPr>
        <w:t> 年的 </w:t>
      </w:r>
      <w:r>
        <w:rPr/>
        <w:t>35.3%</w:t>
      </w:r>
      <w:r>
        <w:rPr>
          <w:spacing w:val="-10"/>
        </w:rPr>
        <w:t>。“新农合”参合农民自付医药费用比例从 </w:t>
      </w:r>
      <w:r>
        <w:rPr/>
        <w:t>2008</w:t>
      </w:r>
      <w:r>
        <w:rPr>
          <w:spacing w:val="-30"/>
        </w:rPr>
        <w:t> 年的 </w:t>
      </w:r>
      <w:r>
        <w:rPr/>
        <w:t>73.4%</w:t>
      </w:r>
      <w:r>
        <w:rPr>
          <w:spacing w:val="-15"/>
        </w:rPr>
        <w:t>下降到 </w:t>
      </w:r>
      <w:r>
        <w:rPr>
          <w:spacing w:val="-3"/>
        </w:rPr>
        <w:t>2011 </w:t>
      </w:r>
      <w:r>
        <w:rPr>
          <w:spacing w:val="-20"/>
        </w:rPr>
        <w:t>年的 </w:t>
      </w:r>
      <w:r>
        <w:rPr/>
        <w:t>49.5%。</w:t>
      </w:r>
    </w:p>
    <w:p>
      <w:pPr>
        <w:pStyle w:val="BodyText"/>
        <w:spacing w:line="312" w:lineRule="auto" w:before="2"/>
        <w:ind w:right="232"/>
      </w:pPr>
      <w:r>
        <w:rPr/>
        <w:t>卫生事业发生结构性变化 一方面，卫生资源配置结构发生明显变化。重城市轻农村、</w:t>
      </w:r>
      <w:r>
        <w:rPr>
          <w:spacing w:val="-9"/>
        </w:rPr>
        <w:t>重医疗轻预防、重高端轻基本、重西医轻中医的问题正在扭转。公共财政投入向基层、农村</w:t>
      </w:r>
      <w:r>
        <w:rPr/>
        <w:t>和公共卫生倾斜的导向作用不断增强。2009～2010</w:t>
      </w:r>
      <w:r>
        <w:rPr>
          <w:spacing w:val="-8"/>
        </w:rPr>
        <w:t> 年间，城市社区卫生服务机构净资产增</w:t>
      </w:r>
      <w:r>
        <w:rPr>
          <w:spacing w:val="-26"/>
        </w:rPr>
        <w:t>幅达 </w:t>
      </w:r>
      <w:r>
        <w:rPr/>
        <w:t>55</w:t>
      </w:r>
      <w:r>
        <w:rPr>
          <w:spacing w:val="-7"/>
        </w:rPr>
        <w:t>%，县级医院增加 </w:t>
      </w:r>
      <w:r>
        <w:rPr/>
        <w:t>39%，均高于城市医院。同时，基层卫生人才队伍的数量、学历、知识结构也出现向好趋势。2011</w:t>
      </w:r>
      <w:r>
        <w:rPr>
          <w:spacing w:val="-12"/>
        </w:rPr>
        <w:t> 年我国乡镇卫生院人员数达到 </w:t>
      </w:r>
      <w:r>
        <w:rPr/>
        <w:t>120</w:t>
      </w:r>
      <w:r>
        <w:rPr>
          <w:spacing w:val="-20"/>
        </w:rPr>
        <w:t> 万人，比 </w:t>
      </w:r>
      <w:r>
        <w:rPr/>
        <w:t>2005</w:t>
      </w:r>
      <w:r>
        <w:rPr>
          <w:spacing w:val="-15"/>
        </w:rPr>
        <w:t> 年增长18.7%，</w:t>
      </w:r>
      <w:r>
        <w:rPr>
          <w:spacing w:val="-19"/>
        </w:rPr>
        <w:t>大专以上学历人员占比从 </w:t>
      </w:r>
      <w:r>
        <w:rPr/>
        <w:t>23%</w:t>
      </w:r>
      <w:r>
        <w:rPr>
          <w:spacing w:val="-15"/>
        </w:rPr>
        <w:t>提高到 </w:t>
      </w:r>
      <w:r>
        <w:rPr/>
        <w:t>40%。</w:t>
      </w:r>
    </w:p>
    <w:p>
      <w:pPr>
        <w:pStyle w:val="BodyText"/>
        <w:spacing w:line="312" w:lineRule="auto" w:before="2"/>
        <w:ind w:right="127"/>
      </w:pPr>
      <w:r>
        <w:rPr>
          <w:spacing w:val="-1"/>
        </w:rPr>
        <w:t>另一方面，人民群众卫生服务利用结构发生变化。群众更加认可和信任基层卫生服务， </w:t>
      </w:r>
      <w:r>
        <w:rPr/>
        <w:t>其服务利用出现增长趋势。城乡之间、地区之间差距逐步缩小。2003</w:t>
      </w:r>
      <w:r>
        <w:rPr>
          <w:spacing w:val="-8"/>
        </w:rPr>
        <w:t> 年，我国城乡居民享</w:t>
      </w:r>
      <w:r>
        <w:rPr>
          <w:spacing w:val="-13"/>
        </w:rPr>
        <w:t>有医疗保障的比例分别为 </w:t>
      </w:r>
      <w:r>
        <w:rPr/>
        <w:t>55%</w:t>
      </w:r>
      <w:r>
        <w:rPr>
          <w:spacing w:val="-10"/>
        </w:rPr>
        <w:t>、</w:t>
      </w:r>
      <w:r>
        <w:rPr/>
        <w:t>21%，2011</w:t>
      </w:r>
      <w:r>
        <w:rPr>
          <w:spacing w:val="-15"/>
        </w:rPr>
        <w:t> 年该比例分别为 </w:t>
      </w:r>
      <w:r>
        <w:rPr/>
        <w:t>89%</w:t>
      </w:r>
      <w:r>
        <w:rPr>
          <w:spacing w:val="-10"/>
        </w:rPr>
        <w:t>、</w:t>
      </w:r>
      <w:r>
        <w:rPr/>
        <w:t>97%</w:t>
      </w:r>
      <w:r>
        <w:rPr>
          <w:spacing w:val="-5"/>
        </w:rPr>
        <w:t>。这表明，医疗卫生城乡统筹发展步伐加快，长期存在的城乡二元结构和地区差异正发生深刻变化。</w:t>
      </w:r>
    </w:p>
    <w:p>
      <w:pPr>
        <w:pStyle w:val="BodyText"/>
        <w:spacing w:line="312" w:lineRule="auto"/>
        <w:ind w:right="226"/>
        <w:jc w:val="both"/>
      </w:pPr>
      <w:r>
        <w:rPr/>
        <w:t>筹资结构趋于合理 2001</w:t>
      </w:r>
      <w:r>
        <w:rPr>
          <w:spacing w:val="-15"/>
        </w:rPr>
        <w:t> 年，我国卫生总费用中个人卫生支出占比为 </w:t>
      </w:r>
      <w:r>
        <w:rPr>
          <w:spacing w:val="-13"/>
        </w:rPr>
        <w:t>60%</w:t>
      </w:r>
      <w:r>
        <w:rPr>
          <w:spacing w:val="-6"/>
        </w:rPr>
        <w:t>，政府预算卫</w:t>
      </w:r>
      <w:r>
        <w:rPr>
          <w:spacing w:val="-4"/>
        </w:rPr>
        <w:t>生支出和社会卫生支出分别仅占 </w:t>
      </w:r>
      <w:r>
        <w:rPr/>
        <w:t>16%</w:t>
      </w:r>
      <w:r>
        <w:rPr>
          <w:spacing w:val="-30"/>
        </w:rPr>
        <w:t>和 </w:t>
      </w:r>
      <w:r>
        <w:rPr/>
        <w:t>24%。2010</w:t>
      </w:r>
      <w:r>
        <w:rPr>
          <w:spacing w:val="-12"/>
        </w:rPr>
        <w:t> 年，个人卫生支出占比下降到 </w:t>
      </w:r>
      <w:r>
        <w:rPr/>
        <w:t>35.5%，政</w:t>
      </w:r>
      <w:r>
        <w:rPr>
          <w:spacing w:val="-4"/>
        </w:rPr>
        <w:t>府和社会卫生支出占比分别提高到 </w:t>
      </w:r>
      <w:r>
        <w:rPr/>
        <w:t>28.6%</w:t>
      </w:r>
      <w:r>
        <w:rPr>
          <w:spacing w:val="-30"/>
        </w:rPr>
        <w:t>和 </w:t>
      </w:r>
      <w:r>
        <w:rPr/>
        <w:t>35.9%。这一结构性变化表明，我国卫生筹资结构趋向合理，居民负担相对减轻。</w:t>
      </w:r>
    </w:p>
    <w:p>
      <w:pPr>
        <w:pStyle w:val="Heading3"/>
        <w:spacing w:before="1"/>
        <w:jc w:val="both"/>
      </w:pPr>
      <w:r>
        <w:rPr/>
        <w:t>继承与深化 “五项工作”变“三项任务”</w:t>
      </w:r>
    </w:p>
    <w:p>
      <w:pPr>
        <w:pStyle w:val="BodyText"/>
        <w:spacing w:line="312" w:lineRule="auto" w:before="94"/>
        <w:ind w:right="228"/>
        <w:jc w:val="both"/>
      </w:pPr>
      <w:r>
        <w:rPr>
          <w:spacing w:val="-8"/>
        </w:rPr>
        <w:t>医改是一个宏大的系统工程，也是重大制度创新。根据《中共中央国务院关于深化医药</w:t>
      </w:r>
      <w:r>
        <w:rPr>
          <w:spacing w:val="-3"/>
        </w:rPr>
        <w:t>卫生体制改革的意见》和《医药卫生体制改革近期重点实施方案</w:t>
      </w:r>
      <w:r>
        <w:rPr/>
        <w:t>（2009-2011</w:t>
      </w:r>
      <w:r>
        <w:rPr>
          <w:spacing w:val="-30"/>
        </w:rPr>
        <w:t> 年</w:t>
      </w:r>
      <w:r>
        <w:rPr>
          <w:spacing w:val="-8"/>
        </w:rPr>
        <w:t>）》，全国</w:t>
      </w:r>
      <w:r>
        <w:rPr/>
        <w:t>上下深入贯彻医改决策部署，五项重点工作和相关领域改革取得阶段性成果。</w:t>
      </w:r>
    </w:p>
    <w:p>
      <w:pPr>
        <w:pStyle w:val="BodyText"/>
        <w:spacing w:line="312" w:lineRule="auto" w:before="1"/>
        <w:ind w:right="109"/>
      </w:pPr>
      <w:r>
        <w:rPr/>
        <w:t>2011</w:t>
      </w:r>
      <w:r>
        <w:rPr>
          <w:spacing w:val="-41"/>
        </w:rPr>
        <w:t> 年 </w:t>
      </w:r>
      <w:r>
        <w:rPr/>
        <w:t>11</w:t>
      </w:r>
      <w:r>
        <w:rPr>
          <w:spacing w:val="-11"/>
        </w:rPr>
        <w:t> 月，国务院深化医改领导小组第十次全体会议审议了《“十二五”期间深化医药卫生体制改革规划（2012-2015）》等文件，提出要在“十二五”期间提高医疗卫生服务水平。随着医改的不断深入，体制性矛盾日渐暴露，改革难点集中显现，工作难度加大。</w:t>
      </w:r>
      <w:r>
        <w:rPr>
          <w:spacing w:val="-18"/>
        </w:rPr>
        <w:t>统筹谋划好“十二五”医改规划，对巩固医改成果及确保 </w:t>
      </w:r>
      <w:r>
        <w:rPr/>
        <w:t>2020</w:t>
      </w:r>
      <w:r>
        <w:rPr>
          <w:spacing w:val="-9"/>
        </w:rPr>
        <w:t> 年医改目标的实现至关重要。</w:t>
      </w:r>
    </w:p>
    <w:p>
      <w:pPr>
        <w:pStyle w:val="BodyText"/>
        <w:spacing w:line="312" w:lineRule="auto"/>
        <w:ind w:right="109"/>
      </w:pPr>
      <w:r>
        <w:rPr/>
        <w:t>2012</w:t>
      </w:r>
      <w:r>
        <w:rPr>
          <w:spacing w:val="-41"/>
        </w:rPr>
        <w:t> 年 </w:t>
      </w:r>
      <w:r>
        <w:rPr/>
        <w:t>3</w:t>
      </w:r>
      <w:r>
        <w:rPr>
          <w:spacing w:val="-12"/>
        </w:rPr>
        <w:t> 月，国务院出台《“十二五”期间深化医药卫生体制改革规划暨实施方案》， </w:t>
      </w:r>
      <w:r>
        <w:rPr>
          <w:spacing w:val="-6"/>
        </w:rPr>
        <w:t>标志着新医改完成了“转段”工作。该文件明确，“十二五”期间要以建设符合国情的基本</w:t>
      </w:r>
      <w:r>
        <w:rPr>
          <w:spacing w:val="-13"/>
        </w:rPr>
        <w:t>医疗卫生制度为核心，在全民基本医保建设、基本药物制度巩固完善和公立医院改革三方面</w:t>
      </w:r>
      <w:r>
        <w:rPr>
          <w:spacing w:val="-17"/>
        </w:rPr>
        <w:t>取得重点突破。这标志着 </w:t>
      </w:r>
      <w:r>
        <w:rPr/>
        <w:t>2009～2011</w:t>
      </w:r>
      <w:r>
        <w:rPr>
          <w:spacing w:val="-8"/>
        </w:rPr>
        <w:t> 年的五项重点工作转变为“十二五”期间的“三项重点改革”任务，改革的难点、重点进一步聚焦。</w:t>
      </w:r>
    </w:p>
    <w:p>
      <w:pPr>
        <w:pStyle w:val="BodyText"/>
        <w:spacing w:line="292" w:lineRule="auto" w:before="3"/>
        <w:ind w:right="227"/>
        <w:jc w:val="both"/>
        <w:rPr>
          <w:rFonts w:ascii="Meiryo" w:hAnsi="Meiryo" w:eastAsia="Meiryo" w:hint="eastAsia"/>
          <w:b/>
        </w:rPr>
      </w:pPr>
      <w:r>
        <w:rPr>
          <w:spacing w:val="-6"/>
        </w:rPr>
        <w:t>三项重点任务既是对五项重点工作的继承和发展，也是根据新形势、新要求进行的拓展</w:t>
      </w:r>
      <w:r>
        <w:rPr>
          <w:spacing w:val="-10"/>
        </w:rPr>
        <w:t>和深化，体现了“十二五”期间承前启后的阶段性特征，也体现了建新机制、持续深化医改</w:t>
      </w:r>
      <w:r>
        <w:rPr/>
        <w:t>的目标。</w:t>
      </w:r>
      <w:r>
        <w:rPr>
          <w:rFonts w:ascii="Meiryo" w:hAnsi="Meiryo" w:eastAsia="Meiryo" w:hint="eastAsia"/>
          <w:b/>
          <w:color w:val="0033CC"/>
        </w:rPr>
        <w:t>[返回目次]</w:t>
      </w:r>
    </w:p>
    <w:p>
      <w:pPr>
        <w:spacing w:after="0" w:line="292" w:lineRule="auto"/>
        <w:jc w:val="both"/>
        <w:rPr>
          <w:rFonts w:ascii="Meiryo" w:hAnsi="Meiryo" w:eastAsia="Meiryo" w:hint="eastAsia"/>
        </w:rPr>
        <w:sectPr>
          <w:pgSz w:w="11910" w:h="16850"/>
          <w:pgMar w:header="906" w:footer="607" w:top="1100" w:bottom="800" w:left="1120" w:right="900"/>
        </w:sectPr>
      </w:pPr>
    </w:p>
    <w:p>
      <w:pPr>
        <w:pStyle w:val="Heading2"/>
        <w:spacing w:line="395" w:lineRule="exact"/>
        <w:ind w:left="3138"/>
      </w:pPr>
      <w:r>
        <w:rPr>
          <w:spacing w:val="-2"/>
        </w:rPr>
        <w:t>“十二五”医改开局良好</w:t>
      </w:r>
    </w:p>
    <w:p>
      <w:pPr>
        <w:pStyle w:val="BodyText"/>
        <w:ind w:left="0" w:firstLine="0"/>
        <w:rPr>
          <w:b/>
        </w:rPr>
      </w:pPr>
      <w:r>
        <w:rPr/>
        <w:br w:type="column"/>
      </w:r>
      <w:r>
        <w:rPr>
          <w:b/>
        </w:rPr>
      </w:r>
    </w:p>
    <w:p>
      <w:pPr>
        <w:pStyle w:val="BodyText"/>
        <w:spacing w:before="2"/>
        <w:ind w:left="0" w:firstLine="0"/>
        <w:rPr>
          <w:b/>
          <w:sz w:val="18"/>
        </w:rPr>
      </w:pPr>
    </w:p>
    <w:p>
      <w:pPr>
        <w:pStyle w:val="Heading3"/>
        <w:ind w:left="535"/>
        <w:rPr>
          <w:rFonts w:ascii="楷体" w:eastAsia="楷体" w:hint="eastAsia"/>
        </w:rPr>
      </w:pPr>
      <w:r>
        <w:rPr>
          <w:rFonts w:ascii="楷体" w:eastAsia="楷体" w:hint="eastAsia"/>
          <w:color w:val="FF0000"/>
        </w:rPr>
        <w:t>（来源：中国医药报）</w:t>
      </w:r>
    </w:p>
    <w:p>
      <w:pPr>
        <w:spacing w:after="0"/>
        <w:rPr>
          <w:rFonts w:ascii="楷体" w:eastAsia="楷体" w:hint="eastAsia"/>
        </w:rPr>
        <w:sectPr>
          <w:pgSz w:w="11910" w:h="16850"/>
          <w:pgMar w:header="906" w:footer="607" w:top="1100" w:bottom="800" w:left="1120" w:right="900"/>
          <w:cols w:num="2" w:equalWidth="0">
            <w:col w:w="6670" w:space="40"/>
            <w:col w:w="3180"/>
          </w:cols>
        </w:sectPr>
      </w:pPr>
    </w:p>
    <w:p>
      <w:pPr>
        <w:pStyle w:val="BodyText"/>
        <w:spacing w:line="312" w:lineRule="auto" w:before="110"/>
        <w:ind w:right="227"/>
      </w:pPr>
      <w:r>
        <w:rPr/>
        <w:t>2012</w:t>
      </w:r>
      <w:r>
        <w:rPr>
          <w:spacing w:val="-8"/>
        </w:rPr>
        <w:t> 年，“十二五”医改规划开局大幕拉开。这一年，医改逐渐走向破除原有机制体</w:t>
      </w:r>
      <w:r>
        <w:rPr>
          <w:spacing w:val="-12"/>
        </w:rPr>
        <w:t>制、触动既得利益分配格局的关键时期，基层医疗卫生机构综合改革由创新机制转向巩固完</w:t>
      </w:r>
      <w:r>
        <w:rPr/>
        <w:t>善，公立医院改革由局部试点向全面推进布局。</w:t>
      </w:r>
    </w:p>
    <w:p>
      <w:pPr>
        <w:pStyle w:val="Heading3"/>
        <w:spacing w:before="1"/>
      </w:pPr>
      <w:r>
        <w:rPr/>
        <w:t>“十二五”期间重点工作明确</w:t>
      </w:r>
    </w:p>
    <w:p>
      <w:pPr>
        <w:pStyle w:val="BodyText"/>
        <w:spacing w:line="312" w:lineRule="auto" w:before="93"/>
        <w:ind w:right="227"/>
        <w:jc w:val="both"/>
      </w:pPr>
      <w:r>
        <w:rPr>
          <w:spacing w:val="-31"/>
        </w:rPr>
        <w:t>在 </w:t>
      </w:r>
      <w:r>
        <w:rPr/>
        <w:t>2012</w:t>
      </w:r>
      <w:r>
        <w:rPr>
          <w:spacing w:val="-40"/>
        </w:rPr>
        <w:t> 年 </w:t>
      </w:r>
      <w:r>
        <w:rPr/>
        <w:t>1</w:t>
      </w:r>
      <w:r>
        <w:rPr>
          <w:spacing w:val="-40"/>
        </w:rPr>
        <w:t> 月 </w:t>
      </w:r>
      <w:r>
        <w:rPr/>
        <w:t>5</w:t>
      </w:r>
      <w:r>
        <w:rPr>
          <w:spacing w:val="-10"/>
        </w:rPr>
        <w:t> 日召开的全国卫生工作会议上，时任卫生部部长陈竺表示，未来 </w:t>
      </w:r>
      <w:r>
        <w:rPr/>
        <w:t>4</w:t>
      </w:r>
      <w:r>
        <w:rPr>
          <w:spacing w:val="-30"/>
        </w:rPr>
        <w:t> 年</w:t>
      </w:r>
      <w:r>
        <w:rPr>
          <w:spacing w:val="-25"/>
        </w:rPr>
        <w:t>医改主要围绕八个关键问题攻坚克难：全面取消以药补医理顺补偿机制、全面推进医保支付</w:t>
      </w:r>
      <w:r>
        <w:rPr>
          <w:spacing w:val="-11"/>
        </w:rPr>
        <w:t>制度改革、强化新农合风险保护机制合理设置管理体制、巩固完善基层医疗卫生机构运行新机制、全面建立信息公开制度促进医疗机构良性竞争、创新工作方式全面落实基本公共卫生</w:t>
      </w:r>
      <w:r>
        <w:rPr>
          <w:spacing w:val="-9"/>
        </w:rPr>
        <w:t>服务均等化、全面推进药品集中采购、创新人才培养和分配激励机制。同时，在加快健全全</w:t>
      </w:r>
      <w:r>
        <w:rPr>
          <w:spacing w:val="-13"/>
        </w:rPr>
        <w:t>民医保体系、巩固完善基本药物制度和基层医疗卫生机构运行新机制、深化公立医院改革三</w:t>
      </w:r>
      <w:r>
        <w:rPr/>
        <w:t>方面进行重点突破。</w:t>
      </w:r>
    </w:p>
    <w:p>
      <w:pPr>
        <w:pStyle w:val="BodyText"/>
        <w:spacing w:line="312" w:lineRule="auto" w:before="3"/>
        <w:ind w:right="107"/>
      </w:pPr>
      <w:r>
        <w:rPr>
          <w:spacing w:val="-13"/>
        </w:rPr>
        <w:t>一是加快健全全民医保体系建设。要求继续巩固扩大基本医保覆盖面，重点做好农民工、</w:t>
      </w:r>
      <w:r>
        <w:rPr>
          <w:spacing w:val="-6"/>
        </w:rPr>
        <w:t>非公有制经济组织从业人员、灵活就业人员等人群的参保工作。提高基本医疗保障水平，到2015</w:t>
      </w:r>
      <w:r>
        <w:rPr>
          <w:spacing w:val="-10"/>
        </w:rPr>
        <w:t> 年，城镇居民医保和新农合政府补助标准提高到每人每年 </w:t>
      </w:r>
      <w:r>
        <w:rPr/>
        <w:t>360</w:t>
      </w:r>
      <w:r>
        <w:rPr>
          <w:spacing w:val="-8"/>
        </w:rPr>
        <w:t> 元以上，三项基本医保</w:t>
      </w:r>
      <w:r>
        <w:rPr>
          <w:spacing w:val="-12"/>
        </w:rPr>
        <w:t>政策范围内住院费用支付比例均达到 </w:t>
      </w:r>
      <w:r>
        <w:rPr/>
        <w:t>75%</w:t>
      </w:r>
      <w:r>
        <w:rPr>
          <w:spacing w:val="-6"/>
        </w:rPr>
        <w:t>左右。改革完善医保支付和医疗救助制度，积极发</w:t>
      </w:r>
      <w:r>
        <w:rPr>
          <w:spacing w:val="-12"/>
        </w:rPr>
        <w:t>展商业健康保险。二是巩固完善基本药物制度和基层医疗卫生机构运行新机制。基本药物制</w:t>
      </w:r>
      <w:r>
        <w:rPr>
          <w:spacing w:val="-15"/>
        </w:rPr>
        <w:t>度实施范围逐步扩大到村卫生室和非政府办基层医疗卫生机构。继续支持村卫生室、乡镇卫</w:t>
      </w:r>
      <w:r>
        <w:rPr>
          <w:spacing w:val="-17"/>
        </w:rPr>
        <w:t>生院、社区卫生服务机构标准化建设，为基层医疗卫生机构培养 </w:t>
      </w:r>
      <w:r>
        <w:rPr/>
        <w:t>15</w:t>
      </w:r>
      <w:r>
        <w:rPr>
          <w:spacing w:val="-8"/>
        </w:rPr>
        <w:t> 万名以上全科医生。三</w:t>
      </w:r>
      <w:r>
        <w:rPr>
          <w:spacing w:val="-13"/>
        </w:rPr>
        <w:t>是积极推进公立医院改革。深化公立医院补偿机制改革，破除“以药养医”机制。建立现代医院管理制度，规范诊疗行为，调动医务人员的积极性。</w:t>
      </w:r>
    </w:p>
    <w:p>
      <w:pPr>
        <w:pStyle w:val="BodyText"/>
        <w:spacing w:line="312" w:lineRule="auto" w:before="3"/>
        <w:ind w:right="108"/>
      </w:pPr>
      <w:r>
        <w:rPr>
          <w:spacing w:val="-5"/>
        </w:rPr>
        <w:t>这三方面工作既是对“五项重点改革”的继承与发展，也是根据新形势、新要求进行的</w:t>
      </w:r>
      <w:r>
        <w:rPr>
          <w:spacing w:val="-11"/>
        </w:rPr>
        <w:t>拓展和深化，充分体现了“十二五”期间承前启后、攻坚克难的阶段性特征及建立机制、完</w:t>
      </w:r>
      <w:r>
        <w:rPr>
          <w:spacing w:val="-19"/>
        </w:rPr>
        <w:t>善制度的核心任务。三方面工作的核心是要实现“三个转变”：从打好基础向提升质量转变，</w:t>
      </w:r>
      <w:r>
        <w:rPr/>
        <w:t>从形成框架向制度建设转变，从试点探索向全面推进转变。</w:t>
      </w:r>
    </w:p>
    <w:p>
      <w:pPr>
        <w:pStyle w:val="Heading3"/>
      </w:pPr>
      <w:r>
        <w:rPr/>
        <w:t>公立医院综合改革加速</w:t>
      </w:r>
    </w:p>
    <w:p>
      <w:pPr>
        <w:pStyle w:val="BodyText"/>
        <w:spacing w:line="312" w:lineRule="auto" w:before="93"/>
        <w:ind w:left="637" w:right="108" w:firstLine="0"/>
      </w:pPr>
      <w:r>
        <w:rPr/>
        <w:t>2012</w:t>
      </w:r>
      <w:r>
        <w:rPr>
          <w:spacing w:val="-17"/>
        </w:rPr>
        <w:t> 年，为贯彻落实 “十二五”医改规划，公立医院综合改革的“油门”进一步加大。</w:t>
      </w:r>
      <w:r>
        <w:rPr>
          <w:spacing w:val="-8"/>
        </w:rPr>
        <w:t>一是加大探索力度，有计划推进县级公立医院改革。制定实施《全国医疗服务价格项目</w:t>
      </w:r>
    </w:p>
    <w:p>
      <w:pPr>
        <w:pStyle w:val="BodyText"/>
        <w:spacing w:line="312" w:lineRule="auto"/>
        <w:ind w:right="106" w:firstLine="0"/>
      </w:pPr>
      <w:r>
        <w:rPr/>
        <w:t>规范（2012</w:t>
      </w:r>
      <w:r>
        <w:rPr>
          <w:spacing w:val="-21"/>
        </w:rPr>
        <w:t> 年版</w:t>
      </w:r>
      <w:r>
        <w:rPr/>
        <w:t>）》，探索建立理顺医疗服务价格、增加政府补助及医院合理控费的科学补偿机制。2012</w:t>
      </w:r>
      <w:r>
        <w:rPr>
          <w:spacing w:val="-17"/>
        </w:rPr>
        <w:t> 年，国家选取 </w:t>
      </w:r>
      <w:r>
        <w:rPr/>
        <w:t>311</w:t>
      </w:r>
      <w:r>
        <w:rPr>
          <w:spacing w:val="-8"/>
        </w:rPr>
        <w:t> 个试点县的公立医院作为国家级试点，中央财政补助每</w:t>
      </w:r>
      <w:r>
        <w:rPr>
          <w:spacing w:val="-19"/>
        </w:rPr>
        <w:t>个试点县 </w:t>
      </w:r>
      <w:r>
        <w:rPr/>
        <w:t>300</w:t>
      </w:r>
      <w:r>
        <w:rPr>
          <w:spacing w:val="-16"/>
        </w:rPr>
        <w:t> 万元，在全国吹响了县级公立医院综合改革的“冲锋号”。截至 </w:t>
      </w:r>
      <w:r>
        <w:rPr/>
        <w:t>2012</w:t>
      </w:r>
      <w:r>
        <w:rPr>
          <w:spacing w:val="-40"/>
        </w:rPr>
        <w:t> 年 </w:t>
      </w:r>
      <w:r>
        <w:rPr/>
        <w:t>7</w:t>
      </w:r>
      <w:r>
        <w:rPr>
          <w:spacing w:val="-25"/>
        </w:rPr>
        <w:t> 月，</w:t>
      </w:r>
    </w:p>
    <w:p>
      <w:pPr>
        <w:pStyle w:val="BodyText"/>
        <w:spacing w:before="1"/>
        <w:ind w:firstLine="0"/>
      </w:pPr>
      <w:r>
        <w:rPr/>
        <w:t>全国 19 个省（区、市）的 600 多所县级医院启动了县级公立医院改革探索。</w:t>
      </w:r>
    </w:p>
    <w:p>
      <w:pPr>
        <w:pStyle w:val="BodyText"/>
        <w:spacing w:line="312" w:lineRule="auto" w:before="93"/>
        <w:ind w:right="305"/>
        <w:jc w:val="both"/>
      </w:pPr>
      <w:r>
        <w:rPr/>
        <w:t>二是城市公立医院综合改革稳步推进。2012</w:t>
      </w:r>
      <w:r>
        <w:rPr>
          <w:spacing w:val="-14"/>
        </w:rPr>
        <w:t> 年，原卫生部对 </w:t>
      </w:r>
      <w:r>
        <w:rPr/>
        <w:t>2010</w:t>
      </w:r>
      <w:r>
        <w:rPr>
          <w:spacing w:val="-16"/>
        </w:rPr>
        <w:t> 年国家确定的 </w:t>
      </w:r>
      <w:r>
        <w:rPr/>
        <w:t>17</w:t>
      </w:r>
      <w:r>
        <w:rPr>
          <w:spacing w:val="-38"/>
        </w:rPr>
        <w:t> 个</w:t>
      </w:r>
      <w:r>
        <w:rPr/>
        <w:t>公立医院改革试点城市开展现场调查，并在此基础上对公立医院改革试点工作进行全面评估，为形成向全国推广的公立医院改革基本路子奠定了基础。2012</w:t>
      </w:r>
      <w:r>
        <w:rPr>
          <w:spacing w:val="-9"/>
        </w:rPr>
        <w:t> 年，深圳市取消社会医</w:t>
      </w:r>
    </w:p>
    <w:p>
      <w:pPr>
        <w:spacing w:after="0" w:line="312" w:lineRule="auto"/>
        <w:jc w:val="both"/>
        <w:sectPr>
          <w:type w:val="continuous"/>
          <w:pgSz w:w="11910" w:h="16850"/>
          <w:pgMar w:top="1100" w:bottom="1020" w:left="1120" w:right="900"/>
        </w:sectPr>
      </w:pPr>
    </w:p>
    <w:p>
      <w:pPr>
        <w:pStyle w:val="BodyText"/>
        <w:spacing w:line="312" w:lineRule="auto" w:before="79"/>
        <w:ind w:right="126" w:firstLine="0"/>
      </w:pPr>
      <w:r>
        <w:rPr>
          <w:spacing w:val="-3"/>
        </w:rPr>
        <w:t>疗保险定点医疗机构医保目录药品加成；北京市选择 </w:t>
      </w:r>
      <w:r>
        <w:rPr/>
        <w:t>5</w:t>
      </w:r>
      <w:r>
        <w:rPr>
          <w:spacing w:val="-9"/>
        </w:rPr>
        <w:t> 家市属公立医院，分别在医药分开、</w:t>
      </w:r>
      <w:r>
        <w:rPr>
          <w:spacing w:val="-8"/>
        </w:rPr>
        <w:t>法人治理运行机制、医保付费机制等方面进行改革试点；鞍山市公开选聘院长</w:t>
      </w:r>
      <w:r>
        <w:rPr>
          <w:w w:val="180"/>
        </w:rPr>
        <w:t>„„</w:t>
      </w:r>
      <w:r>
        <w:rPr/>
        <w:t>触及公立医院核心改革的大幕徐徐拉开。</w:t>
      </w:r>
    </w:p>
    <w:p>
      <w:pPr>
        <w:pStyle w:val="Heading3"/>
        <w:spacing w:before="1"/>
      </w:pPr>
      <w:r>
        <w:rPr/>
        <w:t>“四个基本”成效明显</w:t>
      </w:r>
    </w:p>
    <w:p>
      <w:pPr>
        <w:pStyle w:val="BodyText"/>
        <w:spacing w:line="312" w:lineRule="auto" w:before="91"/>
        <w:ind w:right="227"/>
        <w:jc w:val="both"/>
      </w:pPr>
      <w:r>
        <w:rPr>
          <w:spacing w:val="-21"/>
        </w:rPr>
        <w:t>通过 </w:t>
      </w:r>
      <w:r>
        <w:rPr/>
        <w:t>4</w:t>
      </w:r>
      <w:r>
        <w:rPr>
          <w:spacing w:val="-15"/>
        </w:rPr>
        <w:t> 年努力</w:t>
      </w:r>
      <w:r>
        <w:rPr/>
        <w:t>，2012</w:t>
      </w:r>
      <w:r>
        <w:rPr>
          <w:spacing w:val="-8"/>
        </w:rPr>
        <w:t> 年初步形成了具有“中国特色”的医改和医改的“中国特色”。</w:t>
      </w:r>
      <w:r>
        <w:rPr>
          <w:spacing w:val="-14"/>
        </w:rPr>
        <w:t>在指导思想上坚持了“三个基本”，即坚持把基本医疗卫生制度作为公共产品向全民提供的</w:t>
      </w:r>
      <w:r>
        <w:rPr>
          <w:spacing w:val="-11"/>
        </w:rPr>
        <w:t>基本理念；坚持保基本、强基层、建机制的基本原则；坚持统筹协调、突出重点、循序渐进</w:t>
      </w:r>
      <w:r>
        <w:rPr/>
        <w:t>的基本路径。在实现路径上坚持了从基本入手、从基层改起、从基础做起。</w:t>
      </w:r>
    </w:p>
    <w:p>
      <w:pPr>
        <w:pStyle w:val="BodyText"/>
        <w:spacing w:line="312" w:lineRule="auto" w:before="2"/>
        <w:ind w:right="127"/>
      </w:pPr>
      <w:r>
        <w:rPr>
          <w:spacing w:val="-1"/>
        </w:rPr>
        <w:t>在重点突破上，坚持把体制机制创新放在突出位置。在政策设计上，坚持从实际出发， </w:t>
      </w:r>
      <w:r>
        <w:rPr>
          <w:spacing w:val="-7"/>
        </w:rPr>
        <w:t>认识和把握事物的规律。在组织实施上，坚持建立了强有力的领导体制和推进机制。在改革</w:t>
      </w:r>
      <w:r>
        <w:rPr>
          <w:spacing w:val="-11"/>
        </w:rPr>
        <w:t>过程中，坚持把维护人民群众健康权益放在首位，努力缩小不同区域、不同层次人群医疗卫生服务差距，让最贫穷、最困难的人群优先得到改革实惠。2012</w:t>
      </w:r>
      <w:r>
        <w:rPr>
          <w:spacing w:val="-8"/>
        </w:rPr>
        <w:t> 年，医改各项改革成果突出，“四个基本”成效明显。</w:t>
      </w:r>
    </w:p>
    <w:p>
      <w:pPr>
        <w:pStyle w:val="BodyText"/>
        <w:tabs>
          <w:tab w:pos="7118" w:val="left" w:leader="none"/>
        </w:tabs>
        <w:spacing w:before="1"/>
        <w:ind w:left="637" w:firstLine="0"/>
      </w:pPr>
      <w:r>
        <w:rPr/>
        <w:t>基本医疗保障制度进一步健全，保障力度和水平进一步提高</w:t>
        <w:tab/>
        <w:t>2012</w:t>
      </w:r>
      <w:r>
        <w:rPr>
          <w:spacing w:val="-60"/>
        </w:rPr>
        <w:t> </w:t>
      </w:r>
      <w:r>
        <w:rPr/>
        <w:t>年，新农合、城镇</w:t>
      </w:r>
    </w:p>
    <w:p>
      <w:pPr>
        <w:pStyle w:val="BodyText"/>
        <w:spacing w:line="312" w:lineRule="auto" w:before="93"/>
        <w:ind w:right="245" w:firstLine="0"/>
      </w:pPr>
      <w:r>
        <w:rPr>
          <w:spacing w:val="-7"/>
        </w:rPr>
        <w:t>居民补助标准提高到 </w:t>
      </w:r>
      <w:r>
        <w:rPr/>
        <w:t>280</w:t>
      </w:r>
      <w:r>
        <w:rPr>
          <w:spacing w:val="-12"/>
        </w:rPr>
        <w:t> 元，三项医保支出总额达到 </w:t>
      </w:r>
      <w:r>
        <w:rPr/>
        <w:t>9000</w:t>
      </w:r>
      <w:r>
        <w:rPr>
          <w:spacing w:val="-9"/>
        </w:rPr>
        <w:t> 亿元。基本医保政策范围内的报</w:t>
      </w:r>
      <w:r>
        <w:rPr>
          <w:spacing w:val="-4"/>
        </w:rPr>
        <w:t>销水平逐年提高，新农合报销比例超过 </w:t>
      </w:r>
      <w:r>
        <w:rPr/>
        <w:t>75%，</w:t>
      </w:r>
      <w:r>
        <w:rPr>
          <w:spacing w:val="-5"/>
        </w:rPr>
        <w:t>城镇居民医保报销水平达到 </w:t>
      </w:r>
      <w:r>
        <w:rPr/>
        <w:t>70%。</w:t>
      </w:r>
    </w:p>
    <w:p>
      <w:pPr>
        <w:pStyle w:val="BodyText"/>
        <w:tabs>
          <w:tab w:pos="4477" w:val="left" w:leader="none"/>
        </w:tabs>
        <w:spacing w:line="312" w:lineRule="auto"/>
        <w:ind w:right="226"/>
      </w:pPr>
      <w:r>
        <w:rPr/>
        <w:t>基层医改成果得到进一步巩固完善</w:t>
        <w:tab/>
        <w:t>新医改</w:t>
      </w:r>
      <w:r>
        <w:rPr>
          <w:spacing w:val="-60"/>
        </w:rPr>
        <w:t> </w:t>
      </w:r>
      <w:r>
        <w:rPr/>
        <w:t>4</w:t>
      </w:r>
      <w:r>
        <w:rPr>
          <w:spacing w:val="-60"/>
        </w:rPr>
        <w:t> </w:t>
      </w:r>
      <w:r>
        <w:rPr/>
        <w:t>年，中央财政投入</w:t>
      </w:r>
      <w:r>
        <w:rPr>
          <w:spacing w:val="-60"/>
        </w:rPr>
        <w:t> </w:t>
      </w:r>
      <w:r>
        <w:rPr/>
        <w:t>1300</w:t>
      </w:r>
      <w:r>
        <w:rPr>
          <w:spacing w:val="-60"/>
        </w:rPr>
        <w:t> </w:t>
      </w:r>
      <w:r>
        <w:rPr/>
        <w:t>多亿元，用于基层医疗卫生机构硬件建设。2012</w:t>
      </w:r>
      <w:r>
        <w:rPr>
          <w:spacing w:val="-60"/>
        </w:rPr>
        <w:t> </w:t>
      </w:r>
      <w:r>
        <w:rPr/>
        <w:t>年，有关部门积极协调解决儿童用药、短缺廉价药品供应问题</w:t>
      </w:r>
      <w:r>
        <w:rPr>
          <w:spacing w:val="-34"/>
        </w:rPr>
        <w:t>，</w:t>
      </w:r>
      <w:r>
        <w:rPr/>
        <w:t>遴选一批基本药物定点生产试点品种</w:t>
      </w:r>
      <w:r>
        <w:rPr>
          <w:spacing w:val="-34"/>
        </w:rPr>
        <w:t>。</w:t>
      </w:r>
      <w:r>
        <w:rPr/>
        <w:t>改进基层医疗卫生机构考核制度</w:t>
      </w:r>
      <w:r>
        <w:rPr>
          <w:spacing w:val="-34"/>
        </w:rPr>
        <w:t>，</w:t>
      </w:r>
      <w:r>
        <w:rPr/>
        <w:t>全面推行</w:t>
      </w:r>
      <w:r>
        <w:rPr>
          <w:spacing w:val="-15"/>
        </w:rPr>
        <w:t>绩</w:t>
      </w:r>
      <w:r>
        <w:rPr/>
        <w:t>效工资。进一步完善乡村医生养老政策，11</w:t>
      </w:r>
      <w:r>
        <w:rPr>
          <w:spacing w:val="-60"/>
        </w:rPr>
        <w:t> </w:t>
      </w:r>
      <w:r>
        <w:rPr/>
        <w:t>个省份出台具体措施。积极推进设置规划、人员准入</w:t>
      </w:r>
      <w:r>
        <w:rPr>
          <w:spacing w:val="-10"/>
        </w:rPr>
        <w:t>、</w:t>
      </w:r>
      <w:r>
        <w:rPr/>
        <w:t>执业管理</w:t>
      </w:r>
      <w:r>
        <w:rPr>
          <w:spacing w:val="-10"/>
        </w:rPr>
        <w:t>、</w:t>
      </w:r>
      <w:r>
        <w:rPr>
          <w:spacing w:val="-3"/>
        </w:rPr>
        <w:t>业</w:t>
      </w:r>
      <w:r>
        <w:rPr/>
        <w:t>务</w:t>
      </w:r>
      <w:r>
        <w:rPr>
          <w:spacing w:val="-10"/>
        </w:rPr>
        <w:t>、</w:t>
      </w:r>
      <w:r>
        <w:rPr/>
        <w:t>财务和绩效考核等方面的乡村卫生服务一体化管理</w:t>
      </w:r>
      <w:r>
        <w:rPr>
          <w:spacing w:val="-10"/>
        </w:rPr>
        <w:t>，</w:t>
      </w:r>
      <w:r>
        <w:rPr/>
        <w:t>安排</w:t>
      </w:r>
      <w:r>
        <w:rPr>
          <w:spacing w:val="-59"/>
        </w:rPr>
        <w:t> </w:t>
      </w:r>
      <w:r>
        <w:rPr/>
        <w:t>40%</w:t>
      </w:r>
      <w:r>
        <w:rPr>
          <w:spacing w:val="-15"/>
        </w:rPr>
        <w:t>左</w:t>
      </w:r>
      <w:r>
        <w:rPr/>
        <w:t>右的基本公共卫生服务任务由村卫生室承担。</w:t>
      </w:r>
    </w:p>
    <w:p>
      <w:pPr>
        <w:pStyle w:val="BodyText"/>
        <w:spacing w:line="312" w:lineRule="auto" w:before="2"/>
        <w:ind w:right="127"/>
        <w:jc w:val="both"/>
      </w:pPr>
      <w:r>
        <w:rPr>
          <w:spacing w:val="-2"/>
        </w:rPr>
        <w:t>建立起基本公共卫生服务均等化服务体系 人均基本公共卫生服务经费标准提高到 </w:t>
      </w:r>
      <w:r>
        <w:rPr/>
        <w:t>25 </w:t>
      </w:r>
      <w:r>
        <w:rPr>
          <w:spacing w:val="-7"/>
        </w:rPr>
        <w:t>元。城乡居民健康档案规范化电子建档率达到 </w:t>
      </w:r>
      <w:r>
        <w:rPr/>
        <w:t>60%</w:t>
      </w:r>
      <w:r>
        <w:rPr>
          <w:spacing w:val="-6"/>
        </w:rPr>
        <w:t>以上，高血压、糖尿病患者规范化管理人</w:t>
      </w:r>
      <w:r>
        <w:rPr>
          <w:spacing w:val="-16"/>
        </w:rPr>
        <w:t>数分别达到 </w:t>
      </w:r>
      <w:r>
        <w:rPr/>
        <w:t>6500</w:t>
      </w:r>
      <w:r>
        <w:rPr>
          <w:spacing w:val="-25"/>
        </w:rPr>
        <w:t> 万、</w:t>
      </w:r>
      <w:r>
        <w:rPr/>
        <w:t>1800</w:t>
      </w:r>
      <w:r>
        <w:rPr>
          <w:spacing w:val="-10"/>
        </w:rPr>
        <w:t> 万。将排查发现的所有重性精神病患者纳入管理范围。加强国家</w:t>
      </w:r>
      <w:r>
        <w:rPr>
          <w:spacing w:val="-15"/>
        </w:rPr>
        <w:t>免疫规划疫苗接种工作。提高流动人口、农村留守儿童和老年人公共卫生服务可及性。加强健康促进与教育，倡导健康的生活方式，引导科学就医和安全合理用药。实施重大公共卫生</w:t>
      </w:r>
      <w:r>
        <w:rPr>
          <w:spacing w:val="-12"/>
        </w:rPr>
        <w:t>项目，做好传染病、慢性病、职业病、重性精神病、重大地方病等严重危害群众健康的疾病</w:t>
      </w:r>
      <w:r>
        <w:rPr>
          <w:spacing w:val="-2"/>
        </w:rPr>
        <w:t>防治。完善专业公共卫生服务网络，继续支持农村院前急救体系和县级卫生监督机构建设。</w:t>
      </w:r>
    </w:p>
    <w:p>
      <w:pPr>
        <w:pStyle w:val="BodyText"/>
        <w:spacing w:line="312" w:lineRule="auto" w:before="3"/>
        <w:ind w:right="229"/>
      </w:pPr>
      <w:r>
        <w:rPr/>
        <w:t>基本药物长效补偿机制初步建立，启动《国家基本药物目录（2012</w:t>
      </w:r>
      <w:r>
        <w:rPr>
          <w:spacing w:val="-20"/>
        </w:rPr>
        <w:t> 年版</w:t>
      </w:r>
      <w:r>
        <w:rPr/>
        <w:t>）》制定工作</w:t>
      </w:r>
      <w:r>
        <w:rPr>
          <w:spacing w:val="-2"/>
        </w:rPr>
        <w:t>实行基本药物制度后，全国基层医疗卫生机构使用的基本药物价格平均下降 </w:t>
      </w:r>
      <w:r>
        <w:rPr/>
        <w:t>30%。其中， 2009～2011</w:t>
      </w:r>
      <w:r>
        <w:rPr>
          <w:spacing w:val="-12"/>
        </w:rPr>
        <w:t> 年中央财政投入补助资金 </w:t>
      </w:r>
      <w:r>
        <w:rPr/>
        <w:t>120</w:t>
      </w:r>
      <w:r>
        <w:rPr>
          <w:spacing w:val="-25"/>
        </w:rPr>
        <w:t> 亿元，自 </w:t>
      </w:r>
      <w:r>
        <w:rPr/>
        <w:t>2012</w:t>
      </w:r>
      <w:r>
        <w:rPr>
          <w:spacing w:val="-11"/>
        </w:rPr>
        <w:t> 年起从中央到地方，各级财政建立</w:t>
      </w:r>
    </w:p>
    <w:p>
      <w:pPr>
        <w:pStyle w:val="BodyText"/>
        <w:spacing w:before="1"/>
        <w:ind w:firstLine="0"/>
      </w:pPr>
      <w:r>
        <w:rPr>
          <w:spacing w:val="-10"/>
        </w:rPr>
        <w:t>了稳定补偿机制，每年投入 </w:t>
      </w:r>
      <w:r>
        <w:rPr/>
        <w:t>91</w:t>
      </w:r>
      <w:r>
        <w:rPr>
          <w:spacing w:val="-14"/>
        </w:rPr>
        <w:t> 亿元。根据“十二五”医改规划和 </w:t>
      </w:r>
      <w:r>
        <w:rPr/>
        <w:t>2012</w:t>
      </w:r>
      <w:r>
        <w:rPr>
          <w:spacing w:val="-11"/>
        </w:rPr>
        <w:t> 年的工作安排，按照</w:t>
      </w:r>
    </w:p>
    <w:p>
      <w:pPr>
        <w:pStyle w:val="BodyText"/>
        <w:spacing w:line="276" w:lineRule="auto" w:before="93"/>
        <w:ind w:right="245" w:firstLine="0"/>
        <w:rPr>
          <w:rFonts w:ascii="Meiryo" w:eastAsia="Meiryo" w:hint="eastAsia"/>
          <w:b/>
        </w:rPr>
      </w:pPr>
      <w:r>
        <w:rPr>
          <w:spacing w:val="-4"/>
        </w:rPr>
        <w:t>国家基本药物目录实行动态管理，每 </w:t>
      </w:r>
      <w:r>
        <w:rPr/>
        <w:t>3</w:t>
      </w:r>
      <w:r>
        <w:rPr>
          <w:spacing w:val="-8"/>
        </w:rPr>
        <w:t> 年调整一次的要求</w:t>
      </w:r>
      <w:r>
        <w:rPr/>
        <w:t>，2012</w:t>
      </w:r>
      <w:r>
        <w:rPr>
          <w:spacing w:val="-13"/>
        </w:rPr>
        <w:t> 年初，原卫生部着手 </w:t>
      </w:r>
      <w:r>
        <w:rPr>
          <w:spacing w:val="-4"/>
        </w:rPr>
        <w:t>2012 </w:t>
      </w:r>
      <w:r>
        <w:rPr/>
        <w:t>年版《国家基本药物目录》的制定工作。</w:t>
      </w:r>
      <w:r>
        <w:rPr>
          <w:rFonts w:ascii="Meiryo" w:eastAsia="Meiryo" w:hint="eastAsia"/>
          <w:b/>
          <w:color w:val="0033CC"/>
        </w:rPr>
        <w:t>[返回目次]</w:t>
      </w:r>
    </w:p>
    <w:p>
      <w:pPr>
        <w:spacing w:after="0" w:line="276" w:lineRule="auto"/>
        <w:rPr>
          <w:rFonts w:ascii="Meiryo" w:eastAsia="Meiryo" w:hint="eastAsia"/>
        </w:rPr>
        <w:sectPr>
          <w:pgSz w:w="11910" w:h="16850"/>
          <w:pgMar w:header="906" w:footer="607" w:top="1100" w:bottom="800" w:left="1120" w:right="900"/>
        </w:sectPr>
      </w:pPr>
    </w:p>
    <w:p>
      <w:pPr>
        <w:pStyle w:val="Heading2"/>
        <w:spacing w:before="13"/>
        <w:ind w:left="157"/>
      </w:pPr>
      <w:r>
        <w:rPr/>
        <w:t>【医保动态】</w:t>
      </w:r>
    </w:p>
    <w:p>
      <w:pPr>
        <w:pStyle w:val="BodyText"/>
        <w:spacing w:before="9"/>
        <w:ind w:left="0" w:firstLine="0"/>
        <w:rPr>
          <w:b/>
          <w:sz w:val="18"/>
        </w:rPr>
      </w:pPr>
    </w:p>
    <w:p>
      <w:pPr>
        <w:spacing w:after="0"/>
        <w:rPr>
          <w:sz w:val="18"/>
        </w:rPr>
        <w:sectPr>
          <w:pgSz w:w="11910" w:h="16850"/>
          <w:pgMar w:header="906" w:footer="607" w:top="1100" w:bottom="800" w:left="1120" w:right="900"/>
        </w:sectPr>
      </w:pPr>
    </w:p>
    <w:p>
      <w:pPr>
        <w:spacing w:before="54"/>
        <w:ind w:left="2977" w:right="0" w:firstLine="0"/>
        <w:jc w:val="left"/>
        <w:rPr>
          <w:b/>
          <w:sz w:val="32"/>
        </w:rPr>
      </w:pPr>
      <w:r>
        <w:rPr>
          <w:b/>
          <w:spacing w:val="-2"/>
          <w:sz w:val="32"/>
        </w:rPr>
        <w:t>跨省就医定点机构突破两万</w:t>
      </w:r>
    </w:p>
    <w:p>
      <w:pPr>
        <w:pStyle w:val="BodyText"/>
        <w:ind w:left="0" w:firstLine="0"/>
        <w:rPr>
          <w:b/>
        </w:rPr>
      </w:pPr>
      <w:r>
        <w:rPr/>
        <w:br w:type="column"/>
      </w:r>
      <w:r>
        <w:rPr>
          <w:b/>
        </w:rPr>
      </w:r>
    </w:p>
    <w:p>
      <w:pPr>
        <w:pStyle w:val="BodyText"/>
        <w:spacing w:before="7"/>
        <w:ind w:left="0" w:firstLine="0"/>
        <w:rPr>
          <w:b/>
          <w:sz w:val="23"/>
        </w:rPr>
      </w:pPr>
    </w:p>
    <w:p>
      <w:pPr>
        <w:pStyle w:val="Heading3"/>
        <w:ind w:left="857"/>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20" w:right="900"/>
          <w:cols w:num="2" w:equalWidth="0">
            <w:col w:w="6831" w:space="40"/>
            <w:col w:w="3019"/>
          </w:cols>
        </w:sectPr>
      </w:pPr>
    </w:p>
    <w:p>
      <w:pPr>
        <w:pStyle w:val="BodyText"/>
        <w:spacing w:before="96"/>
        <w:ind w:left="0" w:right="307" w:firstLine="0"/>
        <w:jc w:val="right"/>
      </w:pPr>
      <w:r>
        <w:rPr/>
        <w:t>8 月 30 日，国家医保局发布信息指出，全国跨省异地就医住院医疗费用直接结算工作</w:t>
      </w:r>
    </w:p>
    <w:p>
      <w:pPr>
        <w:pStyle w:val="BodyText"/>
        <w:spacing w:before="74"/>
        <w:ind w:left="0" w:right="226" w:firstLine="0"/>
        <w:jc w:val="right"/>
      </w:pPr>
      <w:r>
        <w:rPr>
          <w:spacing w:val="-9"/>
        </w:rPr>
        <w:t>稳步推进，跨省异地就医定点医疗机构数量和备案人数持续增长；截至今年 </w:t>
      </w:r>
      <w:r>
        <w:rPr/>
        <w:t>7</w:t>
      </w:r>
      <w:r>
        <w:rPr>
          <w:spacing w:val="-15"/>
        </w:rPr>
        <w:t> 月底，跨省异</w:t>
      </w:r>
    </w:p>
    <w:p>
      <w:pPr>
        <w:pStyle w:val="BodyText"/>
        <w:spacing w:before="72"/>
        <w:ind w:firstLine="0"/>
      </w:pPr>
      <w:r>
        <w:rPr/>
        <w:t>地就医定点医疗机构数量为 21598 家。</w:t>
      </w:r>
    </w:p>
    <w:p>
      <w:pPr>
        <w:pStyle w:val="BodyText"/>
        <w:spacing w:before="71"/>
        <w:ind w:left="0" w:right="231" w:firstLine="0"/>
        <w:jc w:val="right"/>
      </w:pPr>
      <w:r>
        <w:rPr>
          <w:spacing w:val="-11"/>
        </w:rPr>
        <w:t>信息显示，截至今年 </w:t>
      </w:r>
      <w:r>
        <w:rPr/>
        <w:t>7</w:t>
      </w:r>
      <w:r>
        <w:rPr>
          <w:spacing w:val="-14"/>
        </w:rPr>
        <w:t> 月底，国家平台备案人数为 </w:t>
      </w:r>
      <w:r>
        <w:rPr/>
        <w:t>450</w:t>
      </w:r>
      <w:r>
        <w:rPr>
          <w:spacing w:val="-25"/>
        </w:rPr>
        <w:t> 万。今年 </w:t>
      </w:r>
      <w:r>
        <w:rPr/>
        <w:t>7</w:t>
      </w:r>
      <w:r>
        <w:rPr>
          <w:spacing w:val="-10"/>
        </w:rPr>
        <w:t> 月，跨省异地就医定</w:t>
      </w:r>
    </w:p>
    <w:p>
      <w:pPr>
        <w:pStyle w:val="BodyText"/>
        <w:spacing w:before="75"/>
        <w:ind w:left="0" w:right="246" w:firstLine="0"/>
        <w:jc w:val="right"/>
      </w:pPr>
      <w:r>
        <w:rPr>
          <w:spacing w:val="-7"/>
        </w:rPr>
        <w:t>点医疗机构数量新增 </w:t>
      </w:r>
      <w:r>
        <w:rPr/>
        <w:t>2636</w:t>
      </w:r>
      <w:r>
        <w:rPr>
          <w:spacing w:val="-8"/>
        </w:rPr>
        <w:t> 家；基层医疗卫生机构覆盖范围持续扩大，二级及以下定点医疗</w:t>
      </w:r>
    </w:p>
    <w:p>
      <w:pPr>
        <w:pStyle w:val="BodyText"/>
        <w:spacing w:line="278" w:lineRule="auto" w:before="72"/>
        <w:ind w:right="226" w:firstLine="0"/>
        <w:jc w:val="both"/>
        <w:rPr>
          <w:rFonts w:ascii="Meiryo" w:eastAsia="Meiryo" w:hint="eastAsia"/>
          <w:b/>
        </w:rPr>
      </w:pPr>
      <w:r>
        <w:rPr>
          <w:spacing w:val="-13"/>
        </w:rPr>
        <w:t>机构新增 </w:t>
      </w:r>
      <w:r>
        <w:rPr/>
        <w:t>2594</w:t>
      </w:r>
      <w:r>
        <w:rPr>
          <w:spacing w:val="-13"/>
        </w:rPr>
        <w:t> 家。当月，跨省异地就医直接结算 </w:t>
      </w:r>
      <w:r>
        <w:rPr/>
        <w:t>24.9</w:t>
      </w:r>
      <w:r>
        <w:rPr>
          <w:spacing w:val="-16"/>
        </w:rPr>
        <w:t> 万人次，环比上升 </w:t>
      </w:r>
      <w:r>
        <w:rPr/>
        <w:t>19.0%</w:t>
      </w:r>
      <w:r>
        <w:rPr>
          <w:spacing w:val="-4"/>
        </w:rPr>
        <w:t>；涉及医疗</w:t>
      </w:r>
      <w:r>
        <w:rPr>
          <w:spacing w:val="-20"/>
        </w:rPr>
        <w:t>费用 </w:t>
      </w:r>
      <w:r>
        <w:rPr/>
        <w:t>60.8</w:t>
      </w:r>
      <w:r>
        <w:rPr>
          <w:spacing w:val="-15"/>
        </w:rPr>
        <w:t> 亿元，环比上升 </w:t>
      </w:r>
      <w:r>
        <w:rPr/>
        <w:t>19.4%；</w:t>
      </w:r>
      <w:r>
        <w:rPr>
          <w:spacing w:val="-12"/>
        </w:rPr>
        <w:t>基金支付 </w:t>
      </w:r>
      <w:r>
        <w:rPr/>
        <w:t>35.8</w:t>
      </w:r>
      <w:r>
        <w:rPr>
          <w:spacing w:val="-14"/>
        </w:rPr>
        <w:t> 亿元，环比上升 </w:t>
      </w:r>
      <w:r>
        <w:rPr/>
        <w:t>19.6%，基金支付比例达58.8%；</w:t>
      </w:r>
      <w:r>
        <w:rPr>
          <w:spacing w:val="-9"/>
        </w:rPr>
        <w:t>日均直接结算 </w:t>
      </w:r>
      <w:r>
        <w:rPr/>
        <w:t>8043</w:t>
      </w:r>
      <w:r>
        <w:rPr>
          <w:spacing w:val="-15"/>
        </w:rPr>
        <w:t> 人次。</w:t>
      </w:r>
      <w:r>
        <w:rPr>
          <w:rFonts w:ascii="Meiryo" w:eastAsia="Meiryo" w:hint="eastAsia"/>
          <w:b/>
          <w:color w:val="0033CC"/>
        </w:rPr>
        <w:t>[返回目次]</w:t>
      </w:r>
    </w:p>
    <w:p>
      <w:pPr>
        <w:pStyle w:val="Heading2"/>
        <w:spacing w:before="118"/>
        <w:ind w:right="238"/>
        <w:jc w:val="center"/>
      </w:pPr>
      <w:r>
        <w:rPr/>
        <w:t>新一轮医保药物准入谈判在即，将会带来哪些影响？</w:t>
      </w:r>
    </w:p>
    <w:p>
      <w:pPr>
        <w:pStyle w:val="Heading3"/>
        <w:spacing w:before="146"/>
        <w:ind w:left="5800"/>
        <w:rPr>
          <w:rFonts w:ascii="楷体" w:eastAsia="楷体" w:hint="eastAsia"/>
        </w:rPr>
      </w:pPr>
      <w:r>
        <w:rPr>
          <w:rFonts w:ascii="楷体" w:eastAsia="楷体" w:hint="eastAsia"/>
          <w:color w:val="FF0000"/>
        </w:rPr>
        <w:t>（来源：中国医疗保险微信公众号）</w:t>
      </w:r>
    </w:p>
    <w:p>
      <w:pPr>
        <w:pStyle w:val="BodyText"/>
        <w:spacing w:line="295" w:lineRule="auto" w:before="98"/>
        <w:ind w:right="230"/>
      </w:pPr>
      <w:r>
        <w:rPr>
          <w:spacing w:val="-6"/>
        </w:rPr>
        <w:t>即将启动的新一轮医保药物准入谈判备受业界关注，医保药物准入谈判这种创新方式也</w:t>
      </w:r>
      <w:r>
        <w:rPr/>
        <w:t>正在提高部分高价药物的可及性。</w:t>
      </w:r>
    </w:p>
    <w:p>
      <w:pPr>
        <w:pStyle w:val="Heading3"/>
        <w:spacing w:before="2"/>
      </w:pPr>
      <w:r>
        <w:rPr/>
        <w:t>癌症、罕见病等用药成为谈判重点</w:t>
      </w:r>
    </w:p>
    <w:p>
      <w:pPr>
        <w:pStyle w:val="ListParagraph"/>
        <w:numPr>
          <w:ilvl w:val="0"/>
          <w:numId w:val="2"/>
        </w:numPr>
        <w:tabs>
          <w:tab w:pos="818" w:val="left" w:leader="none"/>
        </w:tabs>
        <w:spacing w:line="240" w:lineRule="auto" w:before="74" w:after="0"/>
        <w:ind w:left="817" w:right="0" w:hanging="181"/>
        <w:jc w:val="left"/>
        <w:rPr>
          <w:sz w:val="24"/>
        </w:rPr>
      </w:pPr>
      <w:r>
        <w:rPr>
          <w:spacing w:val="-31"/>
          <w:sz w:val="24"/>
        </w:rPr>
        <w:t>月 </w:t>
      </w:r>
      <w:r>
        <w:rPr>
          <w:sz w:val="24"/>
        </w:rPr>
        <w:t>20</w:t>
      </w:r>
      <w:r>
        <w:rPr>
          <w:spacing w:val="-8"/>
          <w:sz w:val="24"/>
        </w:rPr>
        <w:t> 日，国家医保局、人力资源社会保障部发布关于印发《国家基本医疗保险、工</w:t>
      </w:r>
    </w:p>
    <w:p>
      <w:pPr>
        <w:pStyle w:val="BodyText"/>
        <w:spacing w:before="72"/>
        <w:ind w:firstLine="0"/>
      </w:pPr>
      <w:r>
        <w:rPr/>
        <w:t>伤保险和生育保险药品目录》的通知，本次药品目录调整也是自 2000 年第一版药品目录以</w:t>
      </w:r>
    </w:p>
    <w:p>
      <w:pPr>
        <w:pStyle w:val="BodyText"/>
        <w:spacing w:line="297" w:lineRule="auto" w:before="72"/>
        <w:ind w:right="226" w:firstLine="0"/>
      </w:pPr>
      <w:r>
        <w:rPr>
          <w:spacing w:val="-8"/>
        </w:rPr>
        <w:t>来对原有目录品种的一次全面梳理。国家医保局同时指出，经过专家评审，确定了 </w:t>
      </w:r>
      <w:r>
        <w:rPr/>
        <w:t>128</w:t>
      </w:r>
      <w:r>
        <w:rPr>
          <w:spacing w:val="-26"/>
        </w:rPr>
        <w:t> 个拟</w:t>
      </w:r>
      <w:r>
        <w:rPr/>
        <w:t>谈判药品，均为临床价值较高但价格相对较贵的独家产品。</w:t>
      </w:r>
    </w:p>
    <w:p>
      <w:pPr>
        <w:pStyle w:val="BodyText"/>
        <w:spacing w:line="297" w:lineRule="auto"/>
        <w:ind w:right="227"/>
        <w:jc w:val="both"/>
      </w:pPr>
      <w:r>
        <w:rPr>
          <w:spacing w:val="-10"/>
        </w:rPr>
        <w:t>下一步，国家医保局将将在确认企业的谈判意向后，组织国家医保经办机构、地方医保</w:t>
      </w:r>
      <w:r>
        <w:rPr>
          <w:spacing w:val="-7"/>
        </w:rPr>
        <w:t>部门代表以及相关专家组成谈判组，按相关程序与谈判药品企业进行现场谈判。谈判达成一致的药品纳入药品目录范围，并确定全国统一的医保支付标准及管理政策。这些药品主要用</w:t>
      </w:r>
      <w:r>
        <w:rPr/>
        <w:t>于治疗癌症、罕见病、乙肝、糖尿病等救急救命药物和慢性病常用药。</w:t>
      </w:r>
    </w:p>
    <w:p>
      <w:pPr>
        <w:pStyle w:val="BodyText"/>
        <w:spacing w:line="302" w:lineRule="exact"/>
        <w:ind w:left="637" w:firstLine="0"/>
        <w:jc w:val="both"/>
      </w:pPr>
      <w:r>
        <w:rPr/>
        <w:t>此外，对于 2017 年谈判准入的、协议将于 2019 年底到期且目前尚无仿制药上市的 31</w:t>
      </w:r>
    </w:p>
    <w:p>
      <w:pPr>
        <w:pStyle w:val="BodyText"/>
        <w:spacing w:before="72"/>
        <w:ind w:firstLine="0"/>
        <w:jc w:val="both"/>
      </w:pPr>
      <w:r>
        <w:rPr/>
        <w:t>个药品的续约谈判，将与 128 个拟谈判药品的准入谈判同步进行。</w:t>
      </w:r>
    </w:p>
    <w:p>
      <w:pPr>
        <w:pStyle w:val="BodyText"/>
        <w:spacing w:line="295" w:lineRule="auto" w:before="72"/>
        <w:ind w:right="245"/>
        <w:jc w:val="both"/>
      </w:pPr>
      <w:r>
        <w:rPr/>
        <w:t>根据此前国家医保局发布的《2019</w:t>
      </w:r>
      <w:r>
        <w:rPr>
          <w:spacing w:val="-8"/>
        </w:rPr>
        <w:t> 年国家医保药品目录调整工作方案》要求，</w:t>
      </w:r>
      <w:r>
        <w:rPr/>
        <w:t>2019</w:t>
      </w:r>
      <w:r>
        <w:rPr>
          <w:spacing w:val="-38"/>
        </w:rPr>
        <w:t> 年</w:t>
      </w:r>
      <w:r>
        <w:rPr/>
        <w:t>8</w:t>
      </w:r>
      <w:r>
        <w:rPr>
          <w:spacing w:val="-30"/>
        </w:rPr>
        <w:t> 月</w:t>
      </w:r>
      <w:r>
        <w:rPr/>
        <w:t>～9</w:t>
      </w:r>
      <w:r>
        <w:rPr>
          <w:spacing w:val="-10"/>
        </w:rPr>
        <w:t> 月为谈判阶段</w:t>
      </w:r>
      <w:r>
        <w:rPr/>
        <w:t>，9</w:t>
      </w:r>
      <w:r>
        <w:rPr>
          <w:spacing w:val="-30"/>
        </w:rPr>
        <w:t> 月</w:t>
      </w:r>
      <w:r>
        <w:rPr/>
        <w:t>～10</w:t>
      </w:r>
      <w:r>
        <w:rPr>
          <w:spacing w:val="-8"/>
        </w:rPr>
        <w:t> 月发布谈判准入目录。</w:t>
      </w:r>
    </w:p>
    <w:p>
      <w:pPr>
        <w:pStyle w:val="Heading3"/>
        <w:spacing w:before="4"/>
      </w:pPr>
      <w:r>
        <w:rPr/>
        <w:t>谈判或为企业带来更大市场</w:t>
      </w:r>
    </w:p>
    <w:p>
      <w:pPr>
        <w:pStyle w:val="BodyText"/>
        <w:spacing w:line="297" w:lineRule="auto" w:before="72"/>
        <w:ind w:right="226"/>
      </w:pPr>
      <w:r>
        <w:rPr>
          <w:spacing w:val="-1"/>
        </w:rPr>
        <w:t>谈判准入成为近年来医保药品目录准入方式的一种创新，</w:t>
      </w:r>
      <w:r>
        <w:rPr>
          <w:spacing w:val="-5"/>
        </w:rPr>
        <w:t>2017</w:t>
      </w:r>
      <w:r>
        <w:rPr>
          <w:spacing w:val="-30"/>
        </w:rPr>
        <w:t> 年和 </w:t>
      </w:r>
      <w:r>
        <w:rPr/>
        <w:t>2018</w:t>
      </w:r>
      <w:r>
        <w:rPr>
          <w:spacing w:val="-15"/>
        </w:rPr>
        <w:t> 年，医保部门</w:t>
      </w:r>
      <w:r>
        <w:rPr>
          <w:spacing w:val="-10"/>
        </w:rPr>
        <w:t>通过谈判方式，在医保药品目录中分别纳入 </w:t>
      </w:r>
      <w:r>
        <w:rPr/>
        <w:t>36</w:t>
      </w:r>
      <w:r>
        <w:rPr>
          <w:spacing w:val="-30"/>
        </w:rPr>
        <w:t> 个和 </w:t>
      </w:r>
      <w:r>
        <w:rPr/>
        <w:t>17</w:t>
      </w:r>
      <w:r>
        <w:rPr>
          <w:spacing w:val="-13"/>
        </w:rPr>
        <w:t> 个药品，药品价格的大幅下降也成为</w:t>
      </w:r>
      <w:r>
        <w:rPr>
          <w:spacing w:val="-3"/>
        </w:rPr>
        <w:t>谈判的重要成果，这两次的谈判中，药品平均降价幅度分别达到 </w:t>
      </w:r>
      <w:r>
        <w:rPr/>
        <w:t>44%、56.7%，部分药品谈判后的价格达到该药品的全球最低价。</w:t>
      </w:r>
    </w:p>
    <w:p>
      <w:pPr>
        <w:pStyle w:val="BodyText"/>
        <w:spacing w:line="278" w:lineRule="auto"/>
        <w:ind w:right="227"/>
        <w:jc w:val="both"/>
        <w:rPr>
          <w:rFonts w:ascii="Meiryo" w:eastAsia="Meiryo" w:hint="eastAsia"/>
          <w:b/>
        </w:rPr>
      </w:pPr>
      <w:r>
        <w:rPr>
          <w:spacing w:val="-6"/>
        </w:rPr>
        <w:t>一位医保药品谈判组专家此前在接受采访时就表示，药品价格谈判的最大好处在于，治</w:t>
      </w:r>
      <w:r>
        <w:rPr>
          <w:spacing w:val="-7"/>
        </w:rPr>
        <w:t>疗药品纳入医保目录，老百姓能够享受到最新技术带来的健康福利。他认为，随着谈判药品</w:t>
      </w:r>
      <w:r>
        <w:rPr/>
        <w:t>逐步在各省医保落地，从长远来看，谈判也能为企业带来更大的市场。</w:t>
      </w:r>
      <w:r>
        <w:rPr>
          <w:rFonts w:ascii="Meiryo" w:eastAsia="Meiryo" w:hint="eastAsia"/>
          <w:b/>
          <w:color w:val="0033CC"/>
        </w:rPr>
        <w:t>[返回目次]</w:t>
      </w:r>
    </w:p>
    <w:p>
      <w:pPr>
        <w:spacing w:after="0" w:line="278" w:lineRule="auto"/>
        <w:jc w:val="both"/>
        <w:rPr>
          <w:rFonts w:ascii="Meiryo" w:eastAsia="Meiryo" w:hint="eastAsia"/>
        </w:rPr>
        <w:sectPr>
          <w:type w:val="continuous"/>
          <w:pgSz w:w="11910" w:h="16850"/>
          <w:pgMar w:top="1100" w:bottom="1020" w:left="1120" w:right="900"/>
        </w:sectPr>
      </w:pPr>
    </w:p>
    <w:p>
      <w:pPr>
        <w:pStyle w:val="Heading2"/>
        <w:spacing w:before="13"/>
        <w:ind w:left="157"/>
      </w:pPr>
      <w:r>
        <w:rPr/>
        <w:t>【药监动态】</w:t>
      </w:r>
    </w:p>
    <w:p>
      <w:pPr>
        <w:pStyle w:val="BodyText"/>
        <w:spacing w:before="9"/>
        <w:ind w:left="0" w:firstLine="0"/>
        <w:rPr>
          <w:b/>
          <w:sz w:val="18"/>
        </w:rPr>
      </w:pPr>
    </w:p>
    <w:p>
      <w:pPr>
        <w:spacing w:after="0"/>
        <w:rPr>
          <w:sz w:val="18"/>
        </w:rPr>
        <w:sectPr>
          <w:pgSz w:w="11910" w:h="16850"/>
          <w:pgMar w:header="906" w:footer="607" w:top="1100" w:bottom="800" w:left="1120" w:right="900"/>
        </w:sectPr>
      </w:pPr>
    </w:p>
    <w:p>
      <w:pPr>
        <w:spacing w:before="54"/>
        <w:ind w:left="3299" w:right="0" w:firstLine="0"/>
        <w:jc w:val="left"/>
        <w:rPr>
          <w:b/>
          <w:sz w:val="32"/>
        </w:rPr>
      </w:pPr>
      <w:r>
        <w:rPr>
          <w:b/>
          <w:spacing w:val="-2"/>
          <w:sz w:val="32"/>
        </w:rPr>
        <w:t>药品追溯又有新进展！</w:t>
      </w:r>
    </w:p>
    <w:p>
      <w:pPr>
        <w:pStyle w:val="BodyText"/>
        <w:ind w:left="0" w:firstLine="0"/>
        <w:rPr>
          <w:b/>
        </w:rPr>
      </w:pPr>
      <w:r>
        <w:rPr/>
        <w:br w:type="column"/>
      </w:r>
      <w:r>
        <w:rPr>
          <w:b/>
        </w:rPr>
      </w:r>
    </w:p>
    <w:p>
      <w:pPr>
        <w:pStyle w:val="BodyText"/>
        <w:spacing w:before="7"/>
        <w:ind w:left="0" w:firstLine="0"/>
        <w:rPr>
          <w:b/>
          <w:sz w:val="23"/>
        </w:rPr>
      </w:pPr>
    </w:p>
    <w:p>
      <w:pPr>
        <w:pStyle w:val="Heading3"/>
        <w:ind w:left="696"/>
        <w:rPr>
          <w:rFonts w:ascii="楷体" w:eastAsia="楷体" w:hint="eastAsia"/>
        </w:rPr>
      </w:pPr>
      <w:r>
        <w:rPr>
          <w:rFonts w:ascii="楷体" w:eastAsia="楷体" w:hint="eastAsia"/>
          <w:color w:val="FF0000"/>
        </w:rPr>
        <w:t>（来源：医药经济报）</w:t>
      </w:r>
    </w:p>
    <w:p>
      <w:pPr>
        <w:spacing w:after="0"/>
        <w:rPr>
          <w:rFonts w:ascii="楷体" w:eastAsia="楷体" w:hint="eastAsia"/>
        </w:rPr>
        <w:sectPr>
          <w:type w:val="continuous"/>
          <w:pgSz w:w="11910" w:h="16850"/>
          <w:pgMar w:top="1100" w:bottom="1020" w:left="1120" w:right="900"/>
          <w:cols w:num="2" w:equalWidth="0">
            <w:col w:w="6510" w:space="40"/>
            <w:col w:w="3340"/>
          </w:cols>
        </w:sectPr>
      </w:pPr>
    </w:p>
    <w:p>
      <w:pPr>
        <w:pStyle w:val="ListParagraph"/>
        <w:numPr>
          <w:ilvl w:val="0"/>
          <w:numId w:val="2"/>
        </w:numPr>
        <w:tabs>
          <w:tab w:pos="818" w:val="left" w:leader="none"/>
        </w:tabs>
        <w:spacing w:line="240" w:lineRule="auto" w:before="89" w:after="0"/>
        <w:ind w:left="817" w:right="0" w:hanging="181"/>
        <w:jc w:val="both"/>
        <w:rPr>
          <w:sz w:val="24"/>
        </w:rPr>
      </w:pPr>
      <w:r>
        <w:rPr>
          <w:spacing w:val="-31"/>
          <w:sz w:val="24"/>
        </w:rPr>
        <w:t>月 </w:t>
      </w:r>
      <w:r>
        <w:rPr>
          <w:sz w:val="24"/>
        </w:rPr>
        <w:t>11</w:t>
      </w:r>
      <w:r>
        <w:rPr>
          <w:spacing w:val="-8"/>
          <w:sz w:val="24"/>
        </w:rPr>
        <w:t> 日，国家药监局网站发布关于公开征求《药品生产企业追溯基本数据集</w:t>
      </w:r>
      <w:r>
        <w:rPr>
          <w:sz w:val="24"/>
        </w:rPr>
        <w:t>（征求</w:t>
      </w:r>
    </w:p>
    <w:p>
      <w:pPr>
        <w:pStyle w:val="BodyText"/>
        <w:spacing w:line="288" w:lineRule="auto" w:before="64"/>
        <w:ind w:right="227" w:firstLine="0"/>
        <w:jc w:val="both"/>
      </w:pPr>
      <w:r>
        <w:rPr/>
        <w:t>意见稿</w:t>
      </w:r>
      <w:r>
        <w:rPr>
          <w:spacing w:val="-27"/>
        </w:rPr>
        <w:t>）</w:t>
      </w:r>
      <w:r>
        <w:rPr>
          <w:spacing w:val="-30"/>
        </w:rPr>
        <w:t>》等 </w:t>
      </w:r>
      <w:r>
        <w:rPr/>
        <w:t>5</w:t>
      </w:r>
      <w:r>
        <w:rPr>
          <w:spacing w:val="-12"/>
        </w:rPr>
        <w:t> 个标准意见的通知。为贯彻落实《国家药监局关于药品信息化追溯体系建设</w:t>
      </w:r>
      <w:r>
        <w:rPr>
          <w:spacing w:val="-11"/>
        </w:rPr>
        <w:t>的指导意见》，推进药品信息化追溯体系建设，国家药品监督管理局组织开展了药品追溯标</w:t>
      </w:r>
      <w:r>
        <w:rPr>
          <w:spacing w:val="-9"/>
        </w:rPr>
        <w:t>准规范编制工作，并于近期完成了《药品生产企业追溯基本数据集》《药品经营企业追溯基</w:t>
      </w:r>
      <w:r>
        <w:rPr>
          <w:spacing w:val="-11"/>
        </w:rPr>
        <w:t>本数据集》《药品使用单位追溯基本数据集》《药品追溯消费者查询基本数据集》和《药品</w:t>
      </w:r>
      <w:r>
        <w:rPr/>
        <w:t>追溯数据交换基本技术要求》5</w:t>
      </w:r>
      <w:r>
        <w:rPr>
          <w:spacing w:val="-8"/>
        </w:rPr>
        <w:t> 个标准征求意见稿，向社会公开征求意见。</w:t>
      </w:r>
    </w:p>
    <w:p>
      <w:pPr>
        <w:pStyle w:val="BodyText"/>
        <w:spacing w:before="4"/>
        <w:ind w:left="637" w:firstLine="0"/>
      </w:pPr>
      <w:r>
        <w:rPr/>
        <w:t>一物一码，物码同追</w:t>
      </w:r>
    </w:p>
    <w:p>
      <w:pPr>
        <w:pStyle w:val="BodyText"/>
        <w:spacing w:line="288" w:lineRule="auto" w:before="64"/>
        <w:ind w:right="227"/>
        <w:jc w:val="both"/>
      </w:pPr>
      <w:r>
        <w:rPr>
          <w:spacing w:val="-7"/>
        </w:rPr>
        <w:t>药品追溯是指通过记录和标识，正向追踪和逆向溯源药品的生产、流通和使用情况，获</w:t>
      </w:r>
      <w:r>
        <w:rPr>
          <w:spacing w:val="-8"/>
        </w:rPr>
        <w:t>取药品全生命周期追溯信息的活动。建立药品追溯体系是实现药品监管信息化的一项重要基</w:t>
      </w:r>
      <w:r>
        <w:rPr/>
        <w:t>础性工作。</w:t>
      </w:r>
    </w:p>
    <w:p>
      <w:pPr>
        <w:pStyle w:val="BodyText"/>
        <w:spacing w:line="288" w:lineRule="auto" w:before="2"/>
        <w:ind w:right="227"/>
        <w:jc w:val="both"/>
      </w:pPr>
      <w:r>
        <w:rPr/>
        <w:t>2018</w:t>
      </w:r>
      <w:r>
        <w:rPr>
          <w:spacing w:val="-41"/>
        </w:rPr>
        <w:t> 年 </w:t>
      </w:r>
      <w:r>
        <w:rPr/>
        <w:t>11</w:t>
      </w:r>
      <w:r>
        <w:rPr>
          <w:spacing w:val="-19"/>
        </w:rPr>
        <w:t> 月国家药监局发布的《关于药品信息化追溯体系建设的指导意见》中提出“一</w:t>
      </w:r>
      <w:r>
        <w:rPr>
          <w:spacing w:val="-11"/>
        </w:rPr>
        <w:t>物一码，物码同追”的建设目标，明确允许多码并存，企业可自主选择、自建追溯体系，指</w:t>
      </w:r>
      <w:r>
        <w:rPr>
          <w:spacing w:val="-12"/>
        </w:rPr>
        <w:t>出疫苗、麻醉药品、精神药品、药品类易制毒化学品、血液制品等重点产品应率先建立药品</w:t>
      </w:r>
      <w:r>
        <w:rPr>
          <w:spacing w:val="-9"/>
        </w:rPr>
        <w:t>信息化追溯体系。业界普遍认为，按照国家药监局发布的追溯体系建设标准，将进一步加快</w:t>
      </w:r>
      <w:r>
        <w:rPr/>
        <w:t>推进追溯体系建设。</w:t>
      </w:r>
    </w:p>
    <w:p>
      <w:pPr>
        <w:pStyle w:val="BodyText"/>
        <w:spacing w:line="288" w:lineRule="auto" w:before="6"/>
        <w:ind w:right="127"/>
      </w:pPr>
      <w:r>
        <w:rPr>
          <w:spacing w:val="-21"/>
        </w:rPr>
        <w:t>将于 </w:t>
      </w:r>
      <w:r>
        <w:rPr/>
        <w:t>2019</w:t>
      </w:r>
      <w:r>
        <w:rPr>
          <w:spacing w:val="-40"/>
        </w:rPr>
        <w:t> 年 </w:t>
      </w:r>
      <w:r>
        <w:rPr/>
        <w:t>12</w:t>
      </w:r>
      <w:r>
        <w:rPr>
          <w:spacing w:val="-40"/>
        </w:rPr>
        <w:t> 月 </w:t>
      </w:r>
      <w:r>
        <w:rPr/>
        <w:t>1</w:t>
      </w:r>
      <w:r>
        <w:rPr>
          <w:spacing w:val="-12"/>
        </w:rPr>
        <w:t> 日起正式施行的药品管理法中也提出将建立健全药品追溯制度。国</w:t>
      </w:r>
      <w:r>
        <w:rPr>
          <w:spacing w:val="-13"/>
        </w:rPr>
        <w:t>家药品监督管理局政策法规司司长刘沛表示，药品追溯制度是药品管理法的一项重要制度， </w:t>
      </w:r>
      <w:r>
        <w:rPr>
          <w:spacing w:val="-5"/>
        </w:rPr>
        <w:t>利用信息化手段保障药品生产经营质量的安全，防止假药、劣药进入合法渠道，并且能够实现药品风险控制，精准召回。</w:t>
      </w:r>
    </w:p>
    <w:p>
      <w:pPr>
        <w:pStyle w:val="BodyText"/>
        <w:spacing w:line="288" w:lineRule="auto" w:before="5"/>
        <w:ind w:right="227"/>
        <w:jc w:val="both"/>
      </w:pPr>
      <w:r>
        <w:rPr>
          <w:spacing w:val="-7"/>
        </w:rPr>
        <w:t>根据新修订的药品管理法，药品上市许可持有人、药品生产企业、药品经营企业和医疗机构建立并实施药品追溯制度，按照规定提供追溯信息，保证药品可追溯。国务院药品监督</w:t>
      </w:r>
      <w:r>
        <w:rPr>
          <w:spacing w:val="-6"/>
        </w:rPr>
        <w:t>管理部门应当制定统一的药品追溯标准和规范，推进药品追溯信息互通互享，实现药品可追</w:t>
      </w:r>
      <w:r>
        <w:rPr/>
        <w:t>溯。</w:t>
      </w:r>
    </w:p>
    <w:p>
      <w:pPr>
        <w:pStyle w:val="BodyText"/>
        <w:spacing w:line="288" w:lineRule="auto" w:before="3"/>
        <w:ind w:right="127" w:firstLine="600"/>
      </w:pPr>
      <w:r>
        <w:rPr/>
        <w:t>“一物一码、一码同追”的建设目标，要求药品追溯制度实现药品最小包装单元可追</w:t>
      </w:r>
      <w:r>
        <w:rPr>
          <w:spacing w:val="-11"/>
        </w:rPr>
        <w:t>溯、可核查。据了解，这里的“码”将由监管部门定制度、建标准，允许多码并存，可以兼</w:t>
      </w:r>
      <w:r>
        <w:rPr>
          <w:spacing w:val="-12"/>
        </w:rPr>
        <w:t>容原来的电子监管码，也可以兼容现在国际上常用的其他编码，充分发挥企业的主体作用。</w:t>
      </w:r>
      <w:r>
        <w:rPr>
          <w:spacing w:val="-8"/>
        </w:rPr>
        <w:t>刘沛表示，追溯协同平台和监管平台的建设将明确有关要求及完成时限，落实各方责任，最终实现全品种、全过程来源可查、去向可追。</w:t>
      </w:r>
    </w:p>
    <w:p>
      <w:pPr>
        <w:pStyle w:val="Heading3"/>
        <w:spacing w:before="5"/>
      </w:pPr>
      <w:r>
        <w:rPr/>
        <w:t>药品追溯的钥匙</w:t>
      </w:r>
    </w:p>
    <w:p>
      <w:pPr>
        <w:pStyle w:val="BodyText"/>
        <w:spacing w:line="288" w:lineRule="auto" w:before="62"/>
        <w:ind w:right="127"/>
      </w:pPr>
      <w:r>
        <w:rPr/>
        <w:t>药品追溯码是建立药品与其对应追溯数据的重要钥匙，是实现“一物一码，物码同追” 的必要前提和重要基础。</w:t>
      </w:r>
    </w:p>
    <w:p>
      <w:pPr>
        <w:pStyle w:val="BodyText"/>
        <w:spacing w:line="288" w:lineRule="auto" w:before="4"/>
        <w:ind w:right="227"/>
        <w:jc w:val="both"/>
      </w:pPr>
      <w:r>
        <w:rPr>
          <w:spacing w:val="-5"/>
        </w:rPr>
        <w:t>药品追溯码是由一系列数字、字母和</w:t>
      </w:r>
      <w:r>
        <w:rPr/>
        <w:t>（或</w:t>
      </w:r>
      <w:r>
        <w:rPr>
          <w:spacing w:val="-27"/>
        </w:rPr>
        <w:t>）</w:t>
      </w:r>
      <w:r>
        <w:rPr>
          <w:spacing w:val="-5"/>
        </w:rPr>
        <w:t>符号组成的代码，包含药品标识代码段和生</w:t>
      </w:r>
      <w:r>
        <w:rPr>
          <w:spacing w:val="-6"/>
        </w:rPr>
        <w:t>产标识代码段，用于唯一标识药品销售包装单元，通过一定的载体</w:t>
      </w:r>
      <w:r>
        <w:rPr/>
        <w:t>（</w:t>
      </w:r>
      <w:r>
        <w:rPr>
          <w:spacing w:val="-8"/>
        </w:rPr>
        <w:t>如一维码、二维码、电</w:t>
      </w:r>
      <w:r>
        <w:rPr/>
        <w:t>子标签等</w:t>
      </w:r>
      <w:r>
        <w:rPr>
          <w:spacing w:val="-34"/>
        </w:rPr>
        <w:t>）</w:t>
      </w:r>
      <w:r>
        <w:rPr>
          <w:spacing w:val="-7"/>
        </w:rPr>
        <w:t>附着在药品产品上，应可被扫码设备和人眼识别。药品标识为识别药品上市许可</w:t>
      </w:r>
      <w:r>
        <w:rPr/>
        <w:t>持有人/生产企业、药品名称、剂型、制剂规格和包装规格的唯一代码；生产标识由药品生</w:t>
      </w:r>
    </w:p>
    <w:p>
      <w:pPr>
        <w:spacing w:after="0" w:line="288" w:lineRule="auto"/>
        <w:jc w:val="both"/>
        <w:sectPr>
          <w:type w:val="continuous"/>
          <w:pgSz w:w="11910" w:h="16850"/>
          <w:pgMar w:top="1100" w:bottom="1020" w:left="1120" w:right="900"/>
        </w:sectPr>
      </w:pPr>
    </w:p>
    <w:p>
      <w:pPr>
        <w:pStyle w:val="BodyText"/>
        <w:spacing w:line="288" w:lineRule="auto" w:before="57"/>
        <w:ind w:right="230" w:firstLine="0"/>
      </w:pPr>
      <w:r>
        <w:rPr>
          <w:spacing w:val="-8"/>
        </w:rPr>
        <w:t>产过程相关信息的代码组成，根据“一物一码，物码同追”的要求，应至少包含药品单品序</w:t>
      </w:r>
      <w:r>
        <w:rPr/>
        <w:t>列号，根据监管和实际应用需求，还可包含药品生产批次号、生产日期、有效期等。</w:t>
      </w:r>
    </w:p>
    <w:p>
      <w:pPr>
        <w:pStyle w:val="BodyText"/>
        <w:spacing w:line="288" w:lineRule="auto" w:before="2"/>
        <w:ind w:right="107"/>
      </w:pPr>
      <w:r>
        <w:rPr>
          <w:spacing w:val="-9"/>
        </w:rPr>
        <w:t>国家药品标识码是用于唯一标识与药品上市许可持有人、生产企业、药品通用名、剂型、</w:t>
      </w:r>
      <w:r>
        <w:rPr/>
        <w:t>制剂规格和包装规格对应药品的代码，由药品上市许可持有人/生产企业向药品追溯协同服</w:t>
      </w:r>
      <w:r>
        <w:rPr>
          <w:spacing w:val="-10"/>
        </w:rPr>
        <w:t>务平台备案药品包装规格相关信息后产生，将在药品追溯协同服务平台上公开，供业界使用。</w:t>
      </w:r>
    </w:p>
    <w:p>
      <w:pPr>
        <w:pStyle w:val="BodyText"/>
        <w:spacing w:line="288" w:lineRule="auto" w:before="4"/>
        <w:ind w:right="230"/>
        <w:jc w:val="both"/>
      </w:pPr>
      <w:r>
        <w:rPr>
          <w:spacing w:val="-5"/>
        </w:rPr>
        <w:t>药品追溯系统是用于药品信息化追溯体系参与方按照质量管理规范要求，记录和储存药</w:t>
      </w:r>
      <w:r>
        <w:rPr>
          <w:spacing w:val="-9"/>
        </w:rPr>
        <w:t>品生产、流通及使用等全过程的追溯信息的信息系统，用于实现追溯信息存储、交换、互联</w:t>
      </w:r>
      <w:r>
        <w:rPr/>
        <w:t>互通。</w:t>
      </w:r>
    </w:p>
    <w:p>
      <w:pPr>
        <w:pStyle w:val="Heading3"/>
        <w:spacing w:before="2"/>
      </w:pPr>
      <w:r>
        <w:rPr/>
        <w:t>统一标准规范</w:t>
      </w:r>
    </w:p>
    <w:p>
      <w:pPr>
        <w:pStyle w:val="BodyText"/>
        <w:spacing w:line="288" w:lineRule="auto" w:before="63"/>
        <w:ind w:right="232"/>
      </w:pPr>
      <w:r>
        <w:rPr/>
        <w:t>药品追溯监管系统是药品监督管理部门根据自身的药品追溯监管需求而建设的信息系</w:t>
      </w:r>
      <w:r>
        <w:rPr>
          <w:spacing w:val="-10"/>
        </w:rPr>
        <w:t>统，可分为国家和省级药品追溯监管系统，应具有追溯数据获取、数据统计、数据分析、智</w:t>
      </w:r>
      <w:r>
        <w:rPr>
          <w:spacing w:val="-11"/>
        </w:rPr>
        <w:t>能预警、召回管理、信息发布等功能，辅助相关部门开展日常检查、协同监管等工作，加强</w:t>
      </w:r>
      <w:r>
        <w:rPr/>
        <w:t>风险研判和预测预警。</w:t>
      </w:r>
    </w:p>
    <w:p>
      <w:pPr>
        <w:pStyle w:val="BodyText"/>
        <w:spacing w:line="288" w:lineRule="auto" w:before="4"/>
        <w:ind w:right="227"/>
        <w:jc w:val="both"/>
      </w:pPr>
      <w:r>
        <w:rPr>
          <w:spacing w:val="-7"/>
        </w:rPr>
        <w:t>信息化监管已成为重要的监管手段，不断提升药品监管的效能，促进新时代药品安全治</w:t>
      </w:r>
      <w:r>
        <w:rPr>
          <w:spacing w:val="-11"/>
        </w:rPr>
        <w:t>理体系实现“智慧监管”。统一的标准规范是药品信息化追溯体系建设的重要基础，是药品</w:t>
      </w:r>
      <w:r>
        <w:rPr/>
        <w:t>追溯数据汇聚和分析的重要前提。</w:t>
      </w:r>
    </w:p>
    <w:p>
      <w:pPr>
        <w:pStyle w:val="BodyText"/>
        <w:spacing w:line="288" w:lineRule="auto" w:before="2"/>
        <w:ind w:right="227"/>
        <w:jc w:val="both"/>
      </w:pPr>
      <w:r>
        <w:rPr>
          <w:spacing w:val="-7"/>
        </w:rPr>
        <w:t>为贯彻落实药品追溯相关法规，推进药品信息化追溯体系建设工作，国家药监局也明确</w:t>
      </w:r>
      <w:r>
        <w:rPr>
          <w:spacing w:val="-6"/>
        </w:rPr>
        <w:t>提出了药品信息化追溯体系建设总体要求，统一的药品追溯码编码规则、药品追溯过程中企</w:t>
      </w:r>
      <w:r>
        <w:rPr>
          <w:spacing w:val="-9"/>
        </w:rPr>
        <w:t>业记录信息的内容和格式、数据交换要求等，指导相关方在统一的标准下共建药品信息化追</w:t>
      </w:r>
      <w:r>
        <w:rPr>
          <w:spacing w:val="-11"/>
        </w:rPr>
        <w:t>溯体系。专家表示，通过建立统一的追溯协同与监管平台、统一的追溯标准与规范，将进一</w:t>
      </w:r>
      <w:r>
        <w:rPr/>
        <w:t>步推进药品信息化追溯体系建设。</w:t>
      </w:r>
    </w:p>
    <w:p>
      <w:pPr>
        <w:pStyle w:val="BodyText"/>
        <w:spacing w:line="290" w:lineRule="auto" w:before="6"/>
        <w:ind w:right="227"/>
        <w:jc w:val="both"/>
      </w:pPr>
      <w:r>
        <w:rPr>
          <w:spacing w:val="-5"/>
        </w:rPr>
        <w:t>通过建设药品信息化追溯体系，实现追溯信息互通共享，实现全品种、全过程追溯，对</w:t>
      </w:r>
      <w:r>
        <w:rPr>
          <w:spacing w:val="-11"/>
        </w:rPr>
        <w:t>于促进药品质量安全综合治理具有重要意义。据悉，部分药品生产企业在已有药品追溯系统</w:t>
      </w:r>
      <w:r>
        <w:rPr>
          <w:spacing w:val="-7"/>
        </w:rPr>
        <w:t>基础上进一步完善扩展功能，针对不同国家和地区的追溯要求，通过技术升级实现多种赋码</w:t>
      </w:r>
    </w:p>
    <w:p>
      <w:pPr>
        <w:spacing w:line="414" w:lineRule="exact" w:before="0"/>
        <w:ind w:left="157" w:right="0" w:firstLine="0"/>
        <w:jc w:val="left"/>
        <w:rPr>
          <w:rFonts w:ascii="Meiryo" w:eastAsia="Meiryo" w:hint="eastAsia"/>
          <w:b/>
          <w:sz w:val="24"/>
        </w:rPr>
      </w:pPr>
      <w:r>
        <w:rPr>
          <w:sz w:val="24"/>
        </w:rPr>
        <w:t>形式兼容。</w:t>
      </w:r>
      <w:r>
        <w:rPr>
          <w:rFonts w:ascii="Meiryo" w:eastAsia="Meiryo" w:hint="eastAsia"/>
          <w:b/>
          <w:color w:val="0033CC"/>
          <w:sz w:val="24"/>
        </w:rPr>
        <w:t>[返回目次]</w:t>
      </w:r>
    </w:p>
    <w:p>
      <w:pPr>
        <w:pStyle w:val="Heading2"/>
        <w:spacing w:before="190"/>
        <w:ind w:right="235"/>
        <w:jc w:val="center"/>
      </w:pPr>
      <w:r>
        <w:rPr/>
        <w:t>心脉隆注射液和骨筋丸口服制剂说明书修订</w:t>
      </w:r>
    </w:p>
    <w:p>
      <w:pPr>
        <w:spacing w:before="94"/>
        <w:ind w:left="348" w:right="0" w:firstLine="0"/>
        <w:jc w:val="center"/>
        <w:rPr>
          <w:sz w:val="21"/>
        </w:rPr>
      </w:pPr>
      <w:r>
        <w:rPr>
          <w:sz w:val="21"/>
        </w:rPr>
        <w:t>涉及云南腾药制药、陕西盘龙药业等 40 余家企业</w:t>
      </w:r>
    </w:p>
    <w:p>
      <w:pPr>
        <w:pStyle w:val="BodyText"/>
        <w:spacing w:before="3"/>
        <w:ind w:left="0" w:firstLine="0"/>
        <w:rPr>
          <w:sz w:val="14"/>
        </w:rPr>
      </w:pPr>
    </w:p>
    <w:p>
      <w:pPr>
        <w:pStyle w:val="Heading3"/>
        <w:ind w:left="0" w:right="228"/>
        <w:jc w:val="right"/>
        <w:rPr>
          <w:rFonts w:ascii="楷体" w:eastAsia="楷体" w:hint="eastAsia"/>
        </w:rPr>
      </w:pPr>
      <w:r>
        <w:rPr>
          <w:rFonts w:ascii="楷体" w:eastAsia="楷体" w:hint="eastAsia"/>
          <w:color w:val="FF0000"/>
          <w:w w:val="95"/>
        </w:rPr>
        <w:t>（来源：中国医药报）</w:t>
      </w:r>
    </w:p>
    <w:p>
      <w:pPr>
        <w:pStyle w:val="BodyText"/>
        <w:spacing w:line="297" w:lineRule="auto" w:before="96"/>
        <w:ind w:right="228"/>
      </w:pPr>
      <w:r>
        <w:rPr/>
        <w:t>9</w:t>
      </w:r>
      <w:r>
        <w:rPr>
          <w:spacing w:val="-41"/>
        </w:rPr>
        <w:t> 月 </w:t>
      </w:r>
      <w:r>
        <w:rPr/>
        <w:t>2</w:t>
      </w:r>
      <w:r>
        <w:rPr>
          <w:spacing w:val="-12"/>
        </w:rPr>
        <w:t> 日，国家药品监管局发布公告，决定对心脉隆注射液说明书增加警示语，对其和</w:t>
      </w:r>
      <w:r>
        <w:rPr/>
        <w:t>骨筋丸口服制剂（丸剂、胶囊剂、片剂）药品说明书进行修订。</w:t>
      </w:r>
    </w:p>
    <w:p>
      <w:pPr>
        <w:pStyle w:val="BodyText"/>
        <w:spacing w:line="297" w:lineRule="auto"/>
        <w:ind w:right="107"/>
      </w:pPr>
      <w:r>
        <w:rPr>
          <w:spacing w:val="-9"/>
        </w:rPr>
        <w:t>针对心脉隆注射液，公告要求，其说明书应增加警示语：上市后监测数据显示本品有过</w:t>
      </w:r>
      <w:r>
        <w:rPr>
          <w:spacing w:val="-19"/>
        </w:rPr>
        <w:t>敏性休克病例报告，应在有抢救条件的医疗机构使用，使用者应接受过过敏性休克抢救培训， </w:t>
      </w:r>
      <w:r>
        <w:rPr/>
        <w:t>用药后出现过敏反应或其他严重不良反应须立即停药并及时救治。</w:t>
      </w:r>
    </w:p>
    <w:p>
      <w:pPr>
        <w:pStyle w:val="BodyText"/>
        <w:spacing w:line="297" w:lineRule="auto"/>
        <w:ind w:right="107"/>
      </w:pPr>
      <w:r>
        <w:rPr>
          <w:spacing w:val="-17"/>
        </w:rPr>
        <w:t>根据公告，心脉隆注射液说明书中【不良反应】项应包括过敏或过敏样反应，以及全身、</w:t>
      </w:r>
      <w:r>
        <w:rPr>
          <w:spacing w:val="-20"/>
        </w:rPr>
        <w:t>皮肤、心血管系统、呼吸系统、神经系统、消化系统、给药部位和其他反应等 </w:t>
      </w:r>
      <w:r>
        <w:rPr/>
        <w:t>9</w:t>
      </w:r>
      <w:r>
        <w:rPr>
          <w:spacing w:val="-24"/>
        </w:rPr>
        <w:t> 项内容。【禁</w:t>
      </w:r>
      <w:r>
        <w:rPr>
          <w:spacing w:val="-15"/>
        </w:rPr>
        <w:t>忌】项应增加：对本品或含有蜚蠊及成份中所列辅料过敏或有严重不良反应病史者禁用</w:t>
      </w:r>
      <w:r>
        <w:rPr>
          <w:spacing w:val="-58"/>
        </w:rPr>
        <w:t>。【注意事项】项应增加上述警示语提及的相关内容。</w:t>
      </w:r>
    </w:p>
    <w:p>
      <w:pPr>
        <w:spacing w:after="0" w:line="297" w:lineRule="auto"/>
        <w:sectPr>
          <w:pgSz w:w="11910" w:h="16850"/>
          <w:pgMar w:header="906" w:footer="607" w:top="1100" w:bottom="800" w:left="1120" w:right="900"/>
        </w:sectPr>
      </w:pPr>
    </w:p>
    <w:p>
      <w:pPr>
        <w:pStyle w:val="BodyText"/>
        <w:spacing w:line="295" w:lineRule="auto" w:before="65"/>
        <w:ind w:right="108"/>
      </w:pPr>
      <w:r>
        <w:rPr>
          <w:spacing w:val="-8"/>
        </w:rPr>
        <w:t>对于骨筋丸口服制剂，公告要求，其说明书中【不良反应】项应增加消化系统、神经系</w:t>
      </w:r>
      <w:r>
        <w:rPr>
          <w:spacing w:val="-13"/>
        </w:rPr>
        <w:t>统、皮肤及其附件、心血管系统、全身性和其他反应等 </w:t>
      </w:r>
      <w:r>
        <w:rPr/>
        <w:t>6</w:t>
      </w:r>
      <w:r>
        <w:rPr>
          <w:spacing w:val="-15"/>
        </w:rPr>
        <w:t> 项内容。【禁忌】项应增加：孕妇、</w:t>
      </w:r>
      <w:r>
        <w:rPr>
          <w:spacing w:val="-10"/>
        </w:rPr>
        <w:t>月经期妇女禁用；对本品及所含成份过敏者禁用</w:t>
      </w:r>
      <w:r>
        <w:rPr>
          <w:spacing w:val="-33"/>
        </w:rPr>
        <w:t>。【注意事项】项应增加：本品含马钱子</w:t>
      </w:r>
      <w:r>
        <w:rPr/>
        <w:t>（制</w:t>
      </w:r>
      <w:r>
        <w:rPr>
          <w:spacing w:val="-107"/>
        </w:rPr>
        <w:t>）</w:t>
      </w:r>
      <w:r>
        <w:rPr>
          <w:spacing w:val="-8"/>
        </w:rPr>
        <w:t>，</w:t>
      </w:r>
      <w:r>
        <w:rPr>
          <w:spacing w:val="-4"/>
        </w:rPr>
        <w:t>应严格在医生指导下按照药品说明书规定的用法用量使用，不宜长期用药；尚无哺乳期妇女使用本品的安全性研究证据；脾胃虚弱者、过敏体质者、肝生化指标异常者、运动员慎用； 当使用本品出现不良反应时，应立即停药并及时就医。</w:t>
      </w:r>
    </w:p>
    <w:p>
      <w:pPr>
        <w:pStyle w:val="BodyText"/>
        <w:spacing w:before="11"/>
        <w:ind w:left="637" w:firstLine="0"/>
      </w:pPr>
      <w:r>
        <w:rPr/>
        <w:t>记者查询国家药监局官网发现，心脉隆注射液在全国只有 1 个批准文号，生产单位为云</w:t>
      </w:r>
    </w:p>
    <w:p>
      <w:pPr>
        <w:pStyle w:val="BodyText"/>
        <w:spacing w:line="297" w:lineRule="auto" w:before="71"/>
        <w:ind w:right="109" w:firstLine="0"/>
        <w:jc w:val="both"/>
      </w:pPr>
      <w:r>
        <w:rPr/>
        <w:t>南腾药制药股份有限公司。骨筋丸口服制剂（丸剂、胶囊剂、片剂）</w:t>
      </w:r>
      <w:r>
        <w:rPr>
          <w:spacing w:val="-10"/>
        </w:rPr>
        <w:t>在全国共有 </w:t>
      </w:r>
      <w:r>
        <w:rPr/>
        <w:t>43</w:t>
      </w:r>
      <w:r>
        <w:rPr>
          <w:spacing w:val="-15"/>
        </w:rPr>
        <w:t> 个批准</w:t>
      </w:r>
      <w:r>
        <w:rPr>
          <w:spacing w:val="-12"/>
        </w:rPr>
        <w:t>文号，涉及陕西盘龙药业集团股份有限公司、黑龙江省济仁药业有限公司、贵州景诚制药有</w:t>
      </w:r>
      <w:r>
        <w:rPr>
          <w:spacing w:val="-22"/>
        </w:rPr>
        <w:t>限公司等 </w:t>
      </w:r>
      <w:r>
        <w:rPr/>
        <w:t>42</w:t>
      </w:r>
      <w:r>
        <w:rPr>
          <w:spacing w:val="-13"/>
        </w:rPr>
        <w:t> 家药品生产企业，其中有 </w:t>
      </w:r>
      <w:r>
        <w:rPr/>
        <w:t>15</w:t>
      </w:r>
      <w:r>
        <w:rPr>
          <w:spacing w:val="-8"/>
        </w:rPr>
        <w:t> 家企业集中在黑龙江省，10</w:t>
      </w:r>
      <w:r>
        <w:rPr>
          <w:spacing w:val="-9"/>
        </w:rPr>
        <w:t> 家企业集中在陕西省。</w:t>
      </w:r>
    </w:p>
    <w:p>
      <w:pPr>
        <w:pStyle w:val="BodyText"/>
        <w:spacing w:line="295" w:lineRule="auto"/>
        <w:ind w:right="227" w:firstLine="720"/>
        <w:jc w:val="both"/>
      </w:pPr>
      <w:r>
        <w:rPr>
          <w:spacing w:val="-11"/>
        </w:rPr>
        <w:t>公告要求，所有心脉隆注射液和骨筋丸口服制剂生产企业均应依据《药品注册管理办</w:t>
      </w:r>
      <w:r>
        <w:rPr>
          <w:spacing w:val="-2"/>
        </w:rPr>
        <w:t>法》等有关规定，按照相应说明书修订要求，提出修订说明书的补充申请，于 </w:t>
      </w:r>
      <w:r>
        <w:rPr/>
        <w:t>2019</w:t>
      </w:r>
      <w:r>
        <w:rPr>
          <w:spacing w:val="-40"/>
        </w:rPr>
        <w:t> 年 </w:t>
      </w:r>
      <w:r>
        <w:rPr/>
        <w:t>10</w:t>
      </w:r>
    </w:p>
    <w:p>
      <w:pPr>
        <w:pStyle w:val="BodyText"/>
        <w:spacing w:before="1"/>
        <w:ind w:firstLine="0"/>
        <w:jc w:val="both"/>
      </w:pPr>
      <w:r>
        <w:rPr/>
        <w:t>月 31 日前报省级药品监管部门备案。修订内容涉及药品标签的，应当一并进行修订；说明</w:t>
      </w:r>
    </w:p>
    <w:p>
      <w:pPr>
        <w:pStyle w:val="BodyText"/>
        <w:spacing w:line="295" w:lineRule="auto" w:before="72"/>
        <w:ind w:right="229" w:firstLine="0"/>
        <w:jc w:val="both"/>
      </w:pPr>
      <w:r>
        <w:rPr>
          <w:spacing w:val="-8"/>
        </w:rPr>
        <w:t>书及标签其他内容应当与原批准内容一致。企业在补充申请备案后 </w:t>
      </w:r>
      <w:r>
        <w:rPr/>
        <w:t>6</w:t>
      </w:r>
      <w:r>
        <w:rPr>
          <w:spacing w:val="-9"/>
        </w:rPr>
        <w:t> 个月内对已出厂的药品</w:t>
      </w:r>
      <w:r>
        <w:rPr/>
        <w:t>说明书及标签予以更换。</w:t>
      </w:r>
    </w:p>
    <w:p>
      <w:pPr>
        <w:pStyle w:val="BodyText"/>
        <w:spacing w:line="259" w:lineRule="auto" w:before="4"/>
        <w:ind w:right="227"/>
        <w:rPr>
          <w:rFonts w:ascii="Meiryo" w:eastAsia="Meiryo" w:hint="eastAsia"/>
          <w:b/>
        </w:rPr>
      </w:pPr>
      <w:r>
        <w:rPr>
          <w:spacing w:val="-10"/>
        </w:rPr>
        <w:t>公告同时要求，上述药品生产企业应当对新增不良反应发生机制开展深入研究，采取有</w:t>
      </w:r>
      <w:r>
        <w:rPr/>
        <w:t>效措施做好相关药品使用和安全性问题的宣传培训，指导医师合理用药。</w:t>
      </w:r>
      <w:r>
        <w:rPr>
          <w:rFonts w:ascii="Meiryo" w:eastAsia="Meiryo" w:hint="eastAsia"/>
          <w:b/>
          <w:color w:val="0033CC"/>
        </w:rPr>
        <w:t>[返回目次]</w:t>
      </w:r>
    </w:p>
    <w:p>
      <w:pPr>
        <w:pStyle w:val="Heading2"/>
        <w:spacing w:before="156"/>
        <w:ind w:right="239"/>
        <w:jc w:val="center"/>
      </w:pPr>
      <w:r>
        <w:rPr/>
        <w:t>薄荷通吸入剂等 7 个含薄荷脑非处方药说明书修订</w:t>
      </w:r>
    </w:p>
    <w:p>
      <w:pPr>
        <w:spacing w:before="96"/>
        <w:ind w:left="160" w:right="231" w:firstLine="0"/>
        <w:jc w:val="center"/>
        <w:rPr>
          <w:sz w:val="21"/>
        </w:rPr>
      </w:pPr>
      <w:r>
        <w:rPr>
          <w:sz w:val="21"/>
        </w:rPr>
        <w:t>涉及广东泰恩康制药、上海中华药业等 </w:t>
      </w:r>
      <w:r>
        <w:rPr>
          <w:rFonts w:ascii="Times New Roman" w:eastAsia="Times New Roman"/>
          <w:sz w:val="21"/>
        </w:rPr>
        <w:t>7 </w:t>
      </w:r>
      <w:r>
        <w:rPr>
          <w:sz w:val="21"/>
        </w:rPr>
        <w:t>家企业</w:t>
      </w:r>
    </w:p>
    <w:p>
      <w:pPr>
        <w:pStyle w:val="BodyText"/>
        <w:spacing w:before="12"/>
        <w:ind w:left="0" w:firstLine="0"/>
        <w:rPr>
          <w:sz w:val="8"/>
        </w:rPr>
      </w:pPr>
    </w:p>
    <w:p>
      <w:pPr>
        <w:pStyle w:val="Heading3"/>
        <w:spacing w:before="67"/>
        <w:ind w:left="0" w:right="226"/>
        <w:jc w:val="right"/>
        <w:rPr>
          <w:rFonts w:ascii="楷体" w:eastAsia="楷体" w:hint="eastAsia"/>
        </w:rPr>
      </w:pPr>
      <w:r>
        <w:rPr>
          <w:rFonts w:ascii="楷体" w:eastAsia="楷体" w:hint="eastAsia"/>
          <w:color w:val="FF0000"/>
          <w:w w:val="95"/>
        </w:rPr>
        <w:t>（来源：中国医药报）</w:t>
      </w:r>
    </w:p>
    <w:p>
      <w:pPr>
        <w:pStyle w:val="BodyText"/>
        <w:spacing w:before="98"/>
        <w:ind w:left="637" w:firstLine="0"/>
        <w:jc w:val="both"/>
      </w:pPr>
      <w:r>
        <w:rPr/>
        <w:t>9</w:t>
      </w:r>
      <w:r>
        <w:rPr>
          <w:spacing w:val="-41"/>
        </w:rPr>
        <w:t> 月 </w:t>
      </w:r>
      <w:r>
        <w:rPr/>
        <w:t>2</w:t>
      </w:r>
      <w:r>
        <w:rPr>
          <w:spacing w:val="-10"/>
        </w:rPr>
        <w:t> 日，国家药品监管局发布公告，决定对薄荷通吸入剂、清凉鼻舒吸入剂、白避瘟</w:t>
      </w:r>
    </w:p>
    <w:p>
      <w:pPr>
        <w:pStyle w:val="BodyText"/>
        <w:spacing w:line="295" w:lineRule="auto" w:before="71"/>
        <w:ind w:right="227" w:firstLine="0"/>
        <w:jc w:val="both"/>
      </w:pPr>
      <w:r>
        <w:rPr>
          <w:spacing w:val="-13"/>
        </w:rPr>
        <w:t>散、薄荷锭、麝香醒神搽剂、通达滴鼻剂、复方熊胆通鼻喷雾剂 </w:t>
      </w:r>
      <w:r>
        <w:rPr/>
        <w:t>7</w:t>
      </w:r>
      <w:r>
        <w:rPr>
          <w:spacing w:val="-9"/>
        </w:rPr>
        <w:t> 个含薄荷脑的非处方药品</w:t>
      </w:r>
      <w:r>
        <w:rPr/>
        <w:t>说明书进行修订。</w:t>
      </w:r>
    </w:p>
    <w:p>
      <w:pPr>
        <w:pStyle w:val="BodyText"/>
        <w:spacing w:line="295" w:lineRule="auto" w:before="5"/>
        <w:ind w:right="107"/>
        <w:jc w:val="both"/>
      </w:pPr>
      <w:r>
        <w:rPr>
          <w:spacing w:val="-12"/>
        </w:rPr>
        <w:t>公告要求，上述 </w:t>
      </w:r>
      <w:r>
        <w:rPr/>
        <w:t>7</w:t>
      </w:r>
      <w:r>
        <w:rPr>
          <w:spacing w:val="-13"/>
        </w:rPr>
        <w:t> 个非处方药【不良反应】项均应包含：本品含薄荷脑。文献报道，含</w:t>
      </w:r>
      <w:r>
        <w:rPr>
          <w:spacing w:val="-18"/>
        </w:rPr>
        <w:t>薄荷脑成分的制剂可能引起过敏反应，国外有婴幼儿鼻腔局部或吸入使用含薄荷脑成分的制</w:t>
      </w:r>
      <w:r>
        <w:rPr>
          <w:spacing w:val="-24"/>
        </w:rPr>
        <w:t>剂后出现呼吸暂停或虚脱的个案报道。【禁忌】项均应包含：对本品及所含成分过敏者禁用。</w:t>
      </w:r>
    </w:p>
    <w:p>
      <w:pPr>
        <w:pStyle w:val="BodyText"/>
        <w:spacing w:line="295" w:lineRule="auto" w:before="6"/>
        <w:ind w:right="227"/>
      </w:pPr>
      <w:r>
        <w:rPr>
          <w:spacing w:val="-10"/>
        </w:rPr>
        <w:t>此外，公告根据品种不同，对说明书【禁忌】【注意事项】【不良反应】等项修改提出</w:t>
      </w:r>
      <w:r>
        <w:rPr/>
        <w:t>要求。</w:t>
      </w:r>
    </w:p>
    <w:p>
      <w:pPr>
        <w:pStyle w:val="BodyText"/>
        <w:spacing w:line="297" w:lineRule="auto" w:before="2"/>
        <w:ind w:right="227"/>
      </w:pPr>
      <w:r>
        <w:rPr>
          <w:spacing w:val="-5"/>
        </w:rPr>
        <w:t>薄荷通吸入剂和清凉鼻舒吸入剂均为治疗感冒鼻塞的辅助用药，其说明书中【禁忌】项</w:t>
      </w:r>
      <w:r>
        <w:rPr>
          <w:spacing w:val="-12"/>
        </w:rPr>
        <w:t>还应包含：孕妇及 </w:t>
      </w:r>
      <w:r>
        <w:rPr/>
        <w:t>3</w:t>
      </w:r>
      <w:r>
        <w:rPr>
          <w:spacing w:val="-13"/>
        </w:rPr>
        <w:t> 岁以下的婴幼儿禁用。【注意事项】应包含对本品过敏者禁用、过敏体</w:t>
      </w:r>
    </w:p>
    <w:p>
      <w:pPr>
        <w:pStyle w:val="BodyText"/>
        <w:spacing w:line="297" w:lineRule="auto"/>
        <w:ind w:right="126" w:firstLine="0"/>
        <w:jc w:val="both"/>
      </w:pPr>
      <w:r>
        <w:rPr>
          <w:spacing w:val="-11"/>
        </w:rPr>
        <w:t>质者慎用等 </w:t>
      </w:r>
      <w:r>
        <w:rPr/>
        <w:t>10</w:t>
      </w:r>
      <w:r>
        <w:rPr>
          <w:spacing w:val="-8"/>
        </w:rPr>
        <w:t> 项内容。白避瘟散用于受暑受热，头目眩晕，呕吐恶心，晕车晕船。公告要</w:t>
      </w:r>
      <w:r>
        <w:rPr>
          <w:spacing w:val="-12"/>
        </w:rPr>
        <w:t>求，其说明书【注意事项】应包含严格按用法用量使用，儿童及年老体弱者应在医师指导下</w:t>
      </w:r>
      <w:r>
        <w:rPr>
          <w:spacing w:val="-25"/>
        </w:rPr>
        <w:t>使用等 </w:t>
      </w:r>
      <w:r>
        <w:rPr/>
        <w:t>10</w:t>
      </w:r>
      <w:r>
        <w:rPr>
          <w:spacing w:val="-8"/>
        </w:rPr>
        <w:t> 项内容。薄荷锭用于风热感冒头痛，公告要求，其说明书中【禁忌】项应包含皮</w:t>
      </w:r>
      <w:r>
        <w:rPr>
          <w:spacing w:val="-13"/>
        </w:rPr>
        <w:t>肤破损处忌用，【注意事项】应包含儿童、孕妇、哺乳期妇女、年老体弱者应在医师指导下</w:t>
      </w:r>
      <w:r>
        <w:rPr>
          <w:spacing w:val="-25"/>
        </w:rPr>
        <w:t>使用等 </w:t>
      </w:r>
      <w:r>
        <w:rPr/>
        <w:t>9</w:t>
      </w:r>
      <w:r>
        <w:rPr>
          <w:spacing w:val="-9"/>
        </w:rPr>
        <w:t> 项内容。针对麝香醒神搽剂，公告要求，其说明书中【禁忌】项应包含孕妇禁用，</w:t>
      </w:r>
    </w:p>
    <w:p>
      <w:pPr>
        <w:pStyle w:val="BodyText"/>
        <w:spacing w:line="295" w:lineRule="auto"/>
        <w:ind w:right="227" w:firstLine="0"/>
        <w:jc w:val="both"/>
      </w:pPr>
      <w:r>
        <w:rPr>
          <w:spacing w:val="-10"/>
        </w:rPr>
        <w:t>【注意事项】应包含本品仅为感冒或思虑劳累过度所致头晕头痛、鼻塞流涕等症的辅助治疗</w:t>
      </w:r>
      <w:r>
        <w:rPr>
          <w:spacing w:val="-5"/>
        </w:rPr>
        <w:t>药品，应在医生确诊后使用等 </w:t>
      </w:r>
      <w:r>
        <w:rPr/>
        <w:t>14</w:t>
      </w:r>
      <w:r>
        <w:rPr>
          <w:spacing w:val="-8"/>
        </w:rPr>
        <w:t> 项内容。对于通达滴鼻剂，公告要求，其说明书中【不良</w:t>
      </w:r>
    </w:p>
    <w:p>
      <w:pPr>
        <w:spacing w:after="0" w:line="295" w:lineRule="auto"/>
        <w:jc w:val="both"/>
        <w:sectPr>
          <w:pgSz w:w="11910" w:h="16850"/>
          <w:pgMar w:header="906" w:footer="607" w:top="1100" w:bottom="800" w:left="1120" w:right="900"/>
        </w:sectPr>
      </w:pPr>
    </w:p>
    <w:p>
      <w:pPr>
        <w:pStyle w:val="BodyText"/>
        <w:spacing w:line="297" w:lineRule="auto" w:before="65"/>
        <w:ind w:right="127" w:firstLine="0"/>
      </w:pPr>
      <w:r>
        <w:rPr>
          <w:spacing w:val="-10"/>
        </w:rPr>
        <w:t>反应】项应包含本品呈碱性，用后鼻腔偶有辣痛感，【注意事项】应包含本品不适用于过敏</w:t>
      </w:r>
      <w:r>
        <w:rPr>
          <w:spacing w:val="-21"/>
        </w:rPr>
        <w:t>性鼻炎等 </w:t>
      </w:r>
      <w:r>
        <w:rPr/>
        <w:t>13</w:t>
      </w:r>
      <w:r>
        <w:rPr>
          <w:spacing w:val="-8"/>
        </w:rPr>
        <w:t> 项内容。对于复方熊胆通鼻喷雾剂，公告要求，其说明书中【不良反应】项应</w:t>
      </w:r>
      <w:r>
        <w:rPr>
          <w:spacing w:val="-9"/>
        </w:rPr>
        <w:t>包含个别人感觉有轻微刺激性，【禁忌】项还应包含孕妇及哺乳期妇女禁用，【注意事项】</w:t>
      </w:r>
      <w:r>
        <w:rPr>
          <w:spacing w:val="-3"/>
        </w:rPr>
        <w:t>应包含切勿接触眼睛，鼻黏膜损伤者慎用等 </w:t>
      </w:r>
      <w:r>
        <w:rPr/>
        <w:t>15</w:t>
      </w:r>
      <w:r>
        <w:rPr>
          <w:spacing w:val="-12"/>
        </w:rPr>
        <w:t> 项内容。</w:t>
      </w:r>
    </w:p>
    <w:p>
      <w:pPr>
        <w:pStyle w:val="BodyText"/>
        <w:spacing w:line="297" w:lineRule="auto"/>
        <w:ind w:right="187"/>
        <w:jc w:val="both"/>
      </w:pPr>
      <w:r>
        <w:rPr>
          <w:spacing w:val="-6"/>
        </w:rPr>
        <w:t>记者查询国家药监局官网发现，薄荷通吸入剂、清凉鼻舒吸入剂、白避瘟散、麝香醒神</w:t>
      </w:r>
      <w:r>
        <w:rPr>
          <w:spacing w:val="-11"/>
        </w:rPr>
        <w:t>搽剂、通达滴鼻剂和复方熊胆通鼻喷雾剂在全国各只有 </w:t>
      </w:r>
      <w:r>
        <w:rPr/>
        <w:t>1</w:t>
      </w:r>
      <w:r>
        <w:rPr>
          <w:spacing w:val="-11"/>
        </w:rPr>
        <w:t> 个批准文号，生产单位分别为广东</w:t>
      </w:r>
      <w:r>
        <w:rPr>
          <w:spacing w:val="-14"/>
        </w:rPr>
        <w:t>泰恩康制药厂有限公司、上海中华药业有限公司、天津宏仁堂药业有限公司、天津宏仁堂药</w:t>
      </w:r>
      <w:r>
        <w:rPr>
          <w:spacing w:val="-12"/>
        </w:rPr>
        <w:t>业有限公司、广西药用植物园制药厂和重庆科瑞制药</w:t>
      </w:r>
      <w:r>
        <w:rPr/>
        <w:t>（集团</w:t>
      </w:r>
      <w:r>
        <w:rPr>
          <w:spacing w:val="-27"/>
        </w:rPr>
        <w:t>）</w:t>
      </w:r>
      <w:r>
        <w:rPr>
          <w:spacing w:val="-5"/>
        </w:rPr>
        <w:t>有限公司。薄荷锭在全国共有2</w:t>
      </w:r>
      <w:r>
        <w:rPr>
          <w:spacing w:val="-9"/>
        </w:rPr>
        <w:t> 个批准文号，生产单位为上海旭东海普南通药业有限公司和上海中华药业南通有限公司。</w:t>
      </w:r>
    </w:p>
    <w:p>
      <w:pPr>
        <w:pStyle w:val="Heading3"/>
        <w:spacing w:line="414" w:lineRule="exact"/>
        <w:ind w:left="157"/>
        <w:rPr>
          <w:rFonts w:ascii="Meiryo" w:eastAsia="Meiryo" w:hint="eastAsia"/>
        </w:rPr>
      </w:pPr>
      <w:r>
        <w:rPr>
          <w:rFonts w:ascii="Meiryo" w:eastAsia="Meiryo" w:hint="eastAsia"/>
          <w:color w:val="0033CC"/>
        </w:rPr>
        <w:t>[返回目次]</w:t>
      </w:r>
    </w:p>
    <w:p>
      <w:pPr>
        <w:pStyle w:val="BodyText"/>
        <w:spacing w:before="15"/>
        <w:ind w:left="0" w:firstLine="0"/>
        <w:rPr>
          <w:rFonts w:ascii="Meiryo"/>
          <w:b/>
          <w:sz w:val="6"/>
        </w:rPr>
      </w:pPr>
    </w:p>
    <w:p>
      <w:pPr>
        <w:spacing w:before="54"/>
        <w:ind w:left="160" w:right="236" w:firstLine="0"/>
        <w:jc w:val="center"/>
        <w:rPr>
          <w:b/>
          <w:sz w:val="32"/>
        </w:rPr>
      </w:pPr>
      <w:r>
        <w:rPr>
          <w:b/>
          <w:sz w:val="32"/>
        </w:rPr>
        <w:t>丹参川芎嗪注射液说明书修订</w:t>
      </w:r>
    </w:p>
    <w:p>
      <w:pPr>
        <w:pStyle w:val="BodyText"/>
        <w:spacing w:before="64"/>
        <w:ind w:left="160" w:right="234" w:firstLine="0"/>
        <w:jc w:val="center"/>
      </w:pPr>
      <w:r>
        <w:rPr/>
        <w:t>涉及吉林四长制药和贵州拜特制药 </w:t>
      </w:r>
      <w:r>
        <w:rPr>
          <w:rFonts w:ascii="Times New Roman" w:eastAsia="Times New Roman"/>
        </w:rPr>
        <w:t>2 </w:t>
      </w:r>
      <w:r>
        <w:rPr/>
        <w:t>家企业</w:t>
      </w:r>
    </w:p>
    <w:p>
      <w:pPr>
        <w:pStyle w:val="Heading3"/>
        <w:spacing w:before="175"/>
        <w:ind w:left="0" w:right="226"/>
        <w:jc w:val="right"/>
        <w:rPr>
          <w:rFonts w:ascii="楷体" w:eastAsia="楷体" w:hint="eastAsia"/>
        </w:rPr>
      </w:pPr>
      <w:r>
        <w:rPr>
          <w:rFonts w:ascii="楷体" w:eastAsia="楷体" w:hint="eastAsia"/>
          <w:color w:val="FF0000"/>
          <w:w w:val="95"/>
        </w:rPr>
        <w:t>（来源：中国医药报）</w:t>
      </w:r>
    </w:p>
    <w:p>
      <w:pPr>
        <w:pStyle w:val="BodyText"/>
        <w:spacing w:line="297" w:lineRule="auto" w:before="95"/>
        <w:ind w:right="230"/>
        <w:jc w:val="both"/>
      </w:pPr>
      <w:r>
        <w:rPr/>
        <w:t>9</w:t>
      </w:r>
      <w:r>
        <w:rPr>
          <w:spacing w:val="-41"/>
        </w:rPr>
        <w:t> 月 </w:t>
      </w:r>
      <w:r>
        <w:rPr/>
        <w:t>3</w:t>
      </w:r>
      <w:r>
        <w:rPr>
          <w:spacing w:val="-12"/>
        </w:rPr>
        <w:t> 日，国家药品监管局发布公告，决定对丹参川芎嗪注射液说明书增加警示语，并</w:t>
      </w:r>
      <w:r>
        <w:rPr/>
        <w:t>对其说明书进行修订。</w:t>
      </w:r>
    </w:p>
    <w:p>
      <w:pPr>
        <w:pStyle w:val="BodyText"/>
        <w:spacing w:line="297" w:lineRule="auto"/>
        <w:ind w:right="227"/>
        <w:jc w:val="both"/>
      </w:pPr>
      <w:r>
        <w:rPr>
          <w:spacing w:val="-9"/>
        </w:rPr>
        <w:t>公告要求，丹参川芎嗪注射液说明书应增加警示语：本品可致严重过敏反应</w:t>
      </w:r>
      <w:r>
        <w:rPr/>
        <w:t>（</w:t>
      </w:r>
      <w:r>
        <w:rPr>
          <w:spacing w:val="-4"/>
        </w:rPr>
        <w:t>包括过敏</w:t>
      </w:r>
      <w:r>
        <w:rPr/>
        <w:t>性休克</w:t>
      </w:r>
      <w:r>
        <w:rPr>
          <w:spacing w:val="-34"/>
        </w:rPr>
        <w:t>），</w:t>
      </w:r>
      <w:r>
        <w:rPr>
          <w:spacing w:val="-5"/>
        </w:rPr>
        <w:t>给药期间应对患者密切观察，一旦出现过敏反应或其他严重不良反应须立即停药</w:t>
      </w:r>
      <w:r>
        <w:rPr/>
        <w:t>并及时救治。</w:t>
      </w:r>
    </w:p>
    <w:p>
      <w:pPr>
        <w:pStyle w:val="BodyText"/>
        <w:spacing w:line="297" w:lineRule="auto"/>
        <w:ind w:right="127"/>
      </w:pPr>
      <w:r>
        <w:rPr>
          <w:spacing w:val="-1"/>
        </w:rPr>
        <w:t>根据公告，丹参川芎嗪注射液说明书【不良反应】项应当包括过敏反应、全身性损害、</w:t>
      </w:r>
      <w:r>
        <w:rPr>
          <w:spacing w:val="-8"/>
        </w:rPr>
        <w:t>皮肤及其附件损害、心血管系统损害、神经系统损害、消化系统损害、呼吸系统损害、肌肉</w:t>
      </w:r>
      <w:r>
        <w:rPr>
          <w:spacing w:val="-11"/>
        </w:rPr>
        <w:t>骨骼系统损害、血液系统损害、用药部位损害和其他等 </w:t>
      </w:r>
      <w:r>
        <w:rPr/>
        <w:t>11</w:t>
      </w:r>
      <w:r>
        <w:rPr>
          <w:spacing w:val="-8"/>
        </w:rPr>
        <w:t> 项内容。【禁忌】项应当包括： </w:t>
      </w:r>
      <w:r>
        <w:rPr>
          <w:spacing w:val="-13"/>
        </w:rPr>
        <w:t>对本品或含有丹参、川芎嗪制剂及成份中所列辅料过敏者禁用；新生儿、婴幼儿、孕妇及哺</w:t>
      </w:r>
      <w:r>
        <w:rPr>
          <w:spacing w:val="-15"/>
        </w:rPr>
        <w:t>乳期妇女禁用；出血及有出血倾向患者禁用。【注意事项】应当包括用药前应仔细询问患者</w:t>
      </w:r>
      <w:r>
        <w:rPr>
          <w:spacing w:val="-12"/>
        </w:rPr>
        <w:t>情况，过敏体质者、肝功能异常患者、老人等特殊人群应慎重使用；糖尿病患者用药请在医</w:t>
      </w:r>
      <w:r>
        <w:rPr>
          <w:spacing w:val="-14"/>
        </w:rPr>
        <w:t>生指导下使用；不宜与中药藜芦及其制剂同时使用等 </w:t>
      </w:r>
      <w:r>
        <w:rPr/>
        <w:t>9</w:t>
      </w:r>
      <w:r>
        <w:rPr>
          <w:spacing w:val="-12"/>
        </w:rPr>
        <w:t> 项内容。</w:t>
      </w:r>
    </w:p>
    <w:p>
      <w:pPr>
        <w:pStyle w:val="BodyText"/>
        <w:spacing w:line="298" w:lineRule="exact"/>
        <w:ind w:left="637" w:firstLine="0"/>
      </w:pPr>
      <w:r>
        <w:rPr/>
        <w:t>记者查询国家药监局官网发现，丹参川芎嗪注射液在全国共有 2 个批准文号，涉及吉林</w:t>
      </w:r>
    </w:p>
    <w:p>
      <w:pPr>
        <w:pStyle w:val="BodyText"/>
        <w:spacing w:before="23"/>
        <w:ind w:firstLine="0"/>
        <w:rPr>
          <w:rFonts w:ascii="Meiryo" w:eastAsia="Meiryo" w:hint="eastAsia"/>
          <w:b/>
        </w:rPr>
      </w:pPr>
      <w:r>
        <w:rPr/>
        <w:t>四长制药有限公司和贵州拜特制药有限公司 2 家药品生产企业。</w:t>
      </w:r>
      <w:r>
        <w:rPr>
          <w:rFonts w:ascii="Meiryo" w:eastAsia="Meiryo" w:hint="eastAsia"/>
          <w:b/>
          <w:color w:val="0033CC"/>
        </w:rPr>
        <w:t>[返回目次]</w:t>
      </w:r>
    </w:p>
    <w:p>
      <w:pPr>
        <w:pStyle w:val="Heading2"/>
        <w:spacing w:before="65"/>
        <w:ind w:left="157"/>
      </w:pPr>
      <w:r>
        <w:rPr/>
        <w:t>【医改新政】</w:t>
      </w:r>
    </w:p>
    <w:p>
      <w:pPr>
        <w:pStyle w:val="BodyText"/>
        <w:spacing w:before="11"/>
        <w:ind w:left="0" w:firstLine="0"/>
        <w:rPr>
          <w:b/>
          <w:sz w:val="22"/>
        </w:rPr>
      </w:pPr>
    </w:p>
    <w:p>
      <w:pPr>
        <w:spacing w:before="0"/>
        <w:ind w:left="160" w:right="234" w:firstLine="0"/>
        <w:jc w:val="center"/>
        <w:rPr>
          <w:b/>
          <w:sz w:val="32"/>
        </w:rPr>
      </w:pPr>
      <w:r>
        <w:rPr>
          <w:b/>
          <w:sz w:val="32"/>
        </w:rPr>
        <w:t>北京：药学门诊降低患者用药成</w:t>
      </w:r>
    </w:p>
    <w:p>
      <w:pPr>
        <w:pStyle w:val="BodyText"/>
        <w:spacing w:before="64"/>
        <w:ind w:left="160" w:right="234" w:firstLine="0"/>
        <w:jc w:val="center"/>
      </w:pPr>
      <w:r>
        <w:rPr/>
        <w:t>累计服务 30 万人，平均每位患者少用 0.5 种药</w:t>
      </w:r>
    </w:p>
    <w:p>
      <w:pPr>
        <w:pStyle w:val="Heading3"/>
        <w:spacing w:before="174"/>
        <w:ind w:left="0" w:right="228"/>
        <w:jc w:val="right"/>
        <w:rPr>
          <w:rFonts w:ascii="楷体" w:eastAsia="楷体" w:hint="eastAsia"/>
        </w:rPr>
      </w:pPr>
      <w:r>
        <w:rPr>
          <w:rFonts w:ascii="楷体" w:eastAsia="楷体" w:hint="eastAsia"/>
          <w:color w:val="FF0000"/>
          <w:w w:val="95"/>
        </w:rPr>
        <w:t>（来源：健康报）</w:t>
      </w:r>
    </w:p>
    <w:p>
      <w:pPr>
        <w:pStyle w:val="BodyText"/>
        <w:spacing w:before="111"/>
        <w:ind w:left="0" w:right="307" w:firstLine="0"/>
        <w:jc w:val="right"/>
      </w:pPr>
      <w:r>
        <w:rPr/>
        <w:t>9 月 10 日，北京市医院管理中心召开市属医院药学门诊服务媒体沟通会。记者从会上</w:t>
      </w:r>
    </w:p>
    <w:p>
      <w:pPr>
        <w:pStyle w:val="BodyText"/>
        <w:spacing w:before="93"/>
        <w:ind w:left="0" w:right="226" w:firstLine="0"/>
        <w:jc w:val="right"/>
      </w:pPr>
      <w:r>
        <w:rPr>
          <w:spacing w:val="-20"/>
        </w:rPr>
        <w:t>获悉，自 </w:t>
      </w:r>
      <w:r>
        <w:rPr/>
        <w:t>2018</w:t>
      </w:r>
      <w:r>
        <w:rPr>
          <w:spacing w:val="-12"/>
        </w:rPr>
        <w:t> 年北京市属医院开展药学门诊试点至今，已累计服务约 </w:t>
      </w:r>
      <w:r>
        <w:rPr/>
        <w:t>30</w:t>
      </w:r>
      <w:r>
        <w:rPr>
          <w:spacing w:val="-12"/>
        </w:rPr>
        <w:t> 万名患者。患者在</w:t>
      </w:r>
    </w:p>
    <w:p>
      <w:pPr>
        <w:pStyle w:val="BodyText"/>
        <w:spacing w:before="94"/>
        <w:ind w:left="0" w:right="227" w:firstLine="0"/>
        <w:jc w:val="right"/>
      </w:pPr>
      <w:r>
        <w:rPr>
          <w:spacing w:val="-6"/>
        </w:rPr>
        <w:t>药学门诊就诊后用药成本明显降低，平均每位患者减少用药品种 </w:t>
      </w:r>
      <w:r>
        <w:rPr/>
        <w:t>0.5</w:t>
      </w:r>
      <w:r>
        <w:rPr>
          <w:spacing w:val="-13"/>
        </w:rPr>
        <w:t> 种，半年人均花费降低</w:t>
      </w:r>
    </w:p>
    <w:p>
      <w:pPr>
        <w:pStyle w:val="BodyText"/>
        <w:spacing w:before="90"/>
        <w:ind w:firstLine="0"/>
      </w:pPr>
      <w:r>
        <w:rPr/>
        <w:t>178.9 元，患者血压、血脂达标率均有所提高。</w:t>
      </w:r>
    </w:p>
    <w:p>
      <w:pPr>
        <w:spacing w:after="0"/>
        <w:sectPr>
          <w:pgSz w:w="11910" w:h="16850"/>
          <w:pgMar w:header="906" w:footer="607" w:top="1100" w:bottom="800" w:left="1120" w:right="900"/>
        </w:sectPr>
      </w:pPr>
    </w:p>
    <w:p>
      <w:pPr>
        <w:pStyle w:val="BodyText"/>
        <w:spacing w:before="79"/>
        <w:ind w:left="637" w:firstLine="0"/>
        <w:jc w:val="both"/>
      </w:pPr>
      <w:r>
        <w:rPr>
          <w:spacing w:val="-5"/>
        </w:rPr>
        <w:t>北京市属医院每年门诊量约 </w:t>
      </w:r>
      <w:r>
        <w:rPr/>
        <w:t>3319</w:t>
      </w:r>
      <w:r>
        <w:rPr>
          <w:spacing w:val="-16"/>
        </w:rPr>
        <w:t> 万人次，其中用药患者约 </w:t>
      </w:r>
      <w:r>
        <w:rPr/>
        <w:t>1823</w:t>
      </w:r>
      <w:r>
        <w:rPr>
          <w:spacing w:val="-13"/>
        </w:rPr>
        <w:t> 万人次。北京市医院管</w:t>
      </w:r>
    </w:p>
    <w:p>
      <w:pPr>
        <w:pStyle w:val="BodyText"/>
        <w:spacing w:before="91"/>
        <w:ind w:firstLine="0"/>
        <w:jc w:val="both"/>
      </w:pPr>
      <w:r>
        <w:rPr>
          <w:spacing w:val="-10"/>
        </w:rPr>
        <w:t>理中心党委书记、主任潘苏彦介绍，自 </w:t>
      </w:r>
      <w:r>
        <w:rPr/>
        <w:t>2018</w:t>
      </w:r>
      <w:r>
        <w:rPr>
          <w:spacing w:val="-11"/>
        </w:rPr>
        <w:t> 年起，北京市部分市属医院试点开设药学门诊；</w:t>
      </w:r>
    </w:p>
    <w:p>
      <w:pPr>
        <w:pStyle w:val="BodyText"/>
        <w:spacing w:line="312" w:lineRule="auto" w:before="93"/>
        <w:ind w:right="227" w:firstLine="0"/>
        <w:jc w:val="both"/>
      </w:pPr>
      <w:r>
        <w:rPr/>
        <w:t>2019</w:t>
      </w:r>
      <w:r>
        <w:rPr>
          <w:spacing w:val="-41"/>
        </w:rPr>
        <w:t> 年 </w:t>
      </w:r>
      <w:r>
        <w:rPr/>
        <w:t>8</w:t>
      </w:r>
      <w:r>
        <w:rPr>
          <w:spacing w:val="-30"/>
        </w:rPr>
        <w:t> 月</w:t>
      </w:r>
      <w:r>
        <w:rPr/>
        <w:t>，22</w:t>
      </w:r>
      <w:r>
        <w:rPr>
          <w:spacing w:val="-8"/>
        </w:rPr>
        <w:t> 家市属医院全面开设药学门诊。药学门诊药师通过采集患者病史用药史、</w:t>
      </w:r>
      <w:r>
        <w:rPr>
          <w:spacing w:val="-14"/>
        </w:rPr>
        <w:t>分析评估、提供合理用药建议、诊后随访等形式，为患者制订更合理的药物治疗方案和后期</w:t>
      </w:r>
      <w:r>
        <w:rPr/>
        <w:t>监测措施。</w:t>
      </w:r>
    </w:p>
    <w:p>
      <w:pPr>
        <w:pStyle w:val="BodyText"/>
        <w:spacing w:before="1"/>
        <w:ind w:left="637" w:firstLine="0"/>
        <w:jc w:val="both"/>
      </w:pPr>
      <w:r>
        <w:rPr>
          <w:spacing w:val="-4"/>
        </w:rPr>
        <w:t>据悉，北京市属医院目前共开设药学门诊 </w:t>
      </w:r>
      <w:r>
        <w:rPr/>
        <w:t>68</w:t>
      </w:r>
      <w:r>
        <w:rPr>
          <w:spacing w:val="-16"/>
        </w:rPr>
        <w:t> 个，参与药师 </w:t>
      </w:r>
      <w:r>
        <w:rPr/>
        <w:t>80</w:t>
      </w:r>
      <w:r>
        <w:rPr>
          <w:spacing w:val="-8"/>
        </w:rPr>
        <w:t> 人，均为临床经验丰富、</w:t>
      </w:r>
    </w:p>
    <w:p>
      <w:pPr>
        <w:pStyle w:val="BodyText"/>
        <w:spacing w:before="94"/>
        <w:ind w:firstLine="0"/>
        <w:jc w:val="both"/>
      </w:pPr>
      <w:r>
        <w:rPr/>
        <w:t>具备药物治疗管理药师资质或国家认证的临床药师。其中，药师独立出诊的药学门诊有 48</w:t>
      </w:r>
    </w:p>
    <w:p>
      <w:pPr>
        <w:pStyle w:val="BodyText"/>
        <w:spacing w:before="90"/>
        <w:ind w:firstLine="0"/>
        <w:jc w:val="both"/>
      </w:pPr>
      <w:r>
        <w:rPr/>
        <w:t>个，药师、医师联合门诊有 20 个，涉及专业近 30 个，基本覆盖综合诊疗范围。</w:t>
      </w:r>
    </w:p>
    <w:p>
      <w:pPr>
        <w:pStyle w:val="BodyText"/>
        <w:spacing w:line="312" w:lineRule="auto" w:before="94"/>
        <w:ind w:right="109"/>
      </w:pPr>
      <w:r>
        <w:rPr>
          <w:spacing w:val="-11"/>
        </w:rPr>
        <w:t>潘苏彦介绍，对于用法用量、注意事项等简单问题，患者可以在市属医院用药咨询中心</w:t>
      </w:r>
      <w:r>
        <w:rPr>
          <w:spacing w:val="-22"/>
        </w:rPr>
        <w:t>免费得到解决。具有下列情况的患者，可通过京医通平台、医院 </w:t>
      </w:r>
      <w:r>
        <w:rPr/>
        <w:t>App</w:t>
      </w:r>
      <w:r>
        <w:rPr>
          <w:spacing w:val="-9"/>
        </w:rPr>
        <w:t> 挂号平台或医院自助机， </w:t>
      </w:r>
      <w:r>
        <w:rPr>
          <w:spacing w:val="-10"/>
        </w:rPr>
        <w:t>挂药学门诊号就诊：同时接受不同医师处方的患者；使用 </w:t>
      </w:r>
      <w:r>
        <w:rPr/>
        <w:t>5</w:t>
      </w:r>
      <w:r>
        <w:rPr>
          <w:spacing w:val="-30"/>
        </w:rPr>
        <w:t> 种及 </w:t>
      </w:r>
      <w:r>
        <w:rPr/>
        <w:t>5</w:t>
      </w:r>
      <w:r>
        <w:rPr>
          <w:spacing w:val="-8"/>
        </w:rPr>
        <w:t> 种以上慢性病治疗药物的</w:t>
      </w:r>
      <w:r>
        <w:rPr>
          <w:spacing w:val="-11"/>
        </w:rPr>
        <w:t>患者；正在服用高风险药物的患者；服用药物导致实验室检查异常的患者；肝功能、肾功能</w:t>
      </w:r>
    </w:p>
    <w:p>
      <w:pPr>
        <w:pStyle w:val="BodyText"/>
        <w:spacing w:line="276" w:lineRule="auto" w:before="2"/>
        <w:ind w:right="227" w:firstLine="0"/>
        <w:rPr>
          <w:rFonts w:ascii="Meiryo" w:eastAsia="Meiryo" w:hint="eastAsia"/>
          <w:b/>
        </w:rPr>
      </w:pPr>
      <w:r>
        <w:rPr>
          <w:spacing w:val="-10"/>
        </w:rPr>
        <w:t>有异常情况的患者；药物治疗依从性不好的患者；近期在接受治疗时经历了药物不良反应的</w:t>
      </w:r>
      <w:r>
        <w:rPr/>
        <w:t>患者；老年人、儿童、妊娠期和哺乳期妇女等特殊人群。</w:t>
      </w:r>
      <w:r>
        <w:rPr>
          <w:rFonts w:ascii="Meiryo" w:eastAsia="Meiryo" w:hint="eastAsia"/>
          <w:b/>
          <w:color w:val="0033CC"/>
        </w:rPr>
        <w:t>[返回目次]</w:t>
      </w:r>
    </w:p>
    <w:p>
      <w:pPr>
        <w:pStyle w:val="Heading1"/>
        <w:spacing w:line="643" w:lineRule="exact"/>
        <w:ind w:left="0" w:right="73"/>
        <w:rPr>
          <w:u w:val="none"/>
        </w:rPr>
      </w:pPr>
      <w:r>
        <w:rPr>
          <w:rFonts w:ascii="Times New Roman" w:eastAsia="Times New Roman"/>
          <w:color w:val="008000"/>
          <w:spacing w:val="-110"/>
          <w:w w:val="99"/>
          <w:u w:val="thick" w:color="008000"/>
        </w:rPr>
        <w:t> </w:t>
      </w:r>
      <w:r>
        <w:rPr>
          <w:color w:val="008000"/>
          <w:u w:val="thick" w:color="008000"/>
        </w:rPr>
        <w:t>行业资讯</w:t>
      </w:r>
    </w:p>
    <w:p>
      <w:pPr>
        <w:pStyle w:val="Heading2"/>
        <w:spacing w:before="143"/>
        <w:ind w:left="157"/>
      </w:pPr>
      <w:r>
        <w:rPr/>
        <w:t>【热点聚焦】</w:t>
      </w:r>
    </w:p>
    <w:p>
      <w:pPr>
        <w:pStyle w:val="BodyText"/>
        <w:spacing w:before="11"/>
        <w:ind w:left="0" w:firstLine="0"/>
        <w:rPr>
          <w:b/>
          <w:sz w:val="22"/>
        </w:rPr>
      </w:pPr>
    </w:p>
    <w:p>
      <w:pPr>
        <w:pStyle w:val="Heading2"/>
        <w:ind w:right="238"/>
        <w:jc w:val="center"/>
      </w:pPr>
      <w:bookmarkStart w:name="_TOC_250031" w:id="1"/>
      <w:bookmarkEnd w:id="1"/>
      <w:r>
        <w:rPr/>
        <w:t>2019 年版国家医保药品目录数据观察及影响预判</w:t>
      </w:r>
    </w:p>
    <w:p>
      <w:pPr>
        <w:pStyle w:val="Heading3"/>
        <w:spacing w:before="145"/>
        <w:ind w:left="0" w:right="228"/>
        <w:jc w:val="right"/>
        <w:rPr>
          <w:rFonts w:ascii="楷体" w:eastAsia="楷体" w:hint="eastAsia"/>
        </w:rPr>
      </w:pPr>
      <w:r>
        <w:rPr/>
        <w:drawing>
          <wp:anchor distT="0" distB="0" distL="0" distR="0" allowOverlap="1" layoutInCell="1" locked="0" behindDoc="0" simplePos="0" relativeHeight="251660288">
            <wp:simplePos x="0" y="0"/>
            <wp:positionH relativeFrom="page">
              <wp:posOffset>1495121</wp:posOffset>
            </wp:positionH>
            <wp:positionV relativeFrom="paragraph">
              <wp:posOffset>397636</wp:posOffset>
            </wp:positionV>
            <wp:extent cx="4671418" cy="4336415"/>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11" cstate="print"/>
                    <a:stretch>
                      <a:fillRect/>
                    </a:stretch>
                  </pic:blipFill>
                  <pic:spPr>
                    <a:xfrm>
                      <a:off x="0" y="0"/>
                      <a:ext cx="4671418" cy="4336415"/>
                    </a:xfrm>
                    <a:prstGeom prst="rect">
                      <a:avLst/>
                    </a:prstGeom>
                  </pic:spPr>
                </pic:pic>
              </a:graphicData>
            </a:graphic>
          </wp:anchor>
        </w:drawing>
      </w:r>
      <w:r>
        <w:rPr>
          <w:rFonts w:ascii="楷体" w:eastAsia="楷体" w:hint="eastAsia"/>
          <w:color w:val="FF0000"/>
          <w:w w:val="95"/>
        </w:rPr>
        <w:t>（来源：中国医药报）</w:t>
      </w:r>
    </w:p>
    <w:p>
      <w:pPr>
        <w:spacing w:after="0"/>
        <w:jc w:val="right"/>
        <w:rPr>
          <w:rFonts w:ascii="楷体" w:eastAsia="楷体" w:hint="eastAsia"/>
        </w:rPr>
        <w:sectPr>
          <w:pgSz w:w="11910" w:h="16850"/>
          <w:pgMar w:header="906" w:footer="607" w:top="1100" w:bottom="800" w:left="1120" w:right="900"/>
        </w:sectPr>
      </w:pPr>
    </w:p>
    <w:p>
      <w:pPr>
        <w:pStyle w:val="BodyText"/>
        <w:spacing w:before="12"/>
        <w:ind w:left="0" w:firstLine="0"/>
        <w:rPr>
          <w:rFonts w:ascii="楷体"/>
          <w:b/>
          <w:sz w:val="14"/>
        </w:rPr>
      </w:pPr>
    </w:p>
    <w:p>
      <w:pPr>
        <w:pStyle w:val="BodyText"/>
        <w:ind w:left="578" w:firstLine="0"/>
        <w:rPr>
          <w:rFonts w:ascii="楷体"/>
          <w:sz w:val="20"/>
        </w:rPr>
      </w:pPr>
      <w:r>
        <w:rPr>
          <w:rFonts w:ascii="楷体"/>
          <w:sz w:val="20"/>
        </w:rPr>
        <w:drawing>
          <wp:inline distT="0" distB="0" distL="0" distR="0">
            <wp:extent cx="5357442" cy="2637472"/>
            <wp:effectExtent l="0" t="0" r="0" b="0"/>
            <wp:docPr id="3" name="image3.jpeg"/>
            <wp:cNvGraphicFramePr>
              <a:graphicFrameLocks noChangeAspect="1"/>
            </wp:cNvGraphicFramePr>
            <a:graphic>
              <a:graphicData uri="http://schemas.openxmlformats.org/drawingml/2006/picture">
                <pic:pic>
                  <pic:nvPicPr>
                    <pic:cNvPr id="4" name="image3.jpeg"/>
                    <pic:cNvPicPr/>
                  </pic:nvPicPr>
                  <pic:blipFill>
                    <a:blip r:embed="rId12" cstate="print"/>
                    <a:stretch>
                      <a:fillRect/>
                    </a:stretch>
                  </pic:blipFill>
                  <pic:spPr>
                    <a:xfrm>
                      <a:off x="0" y="0"/>
                      <a:ext cx="5357442" cy="2637472"/>
                    </a:xfrm>
                    <a:prstGeom prst="rect">
                      <a:avLst/>
                    </a:prstGeom>
                  </pic:spPr>
                </pic:pic>
              </a:graphicData>
            </a:graphic>
          </wp:inline>
        </w:drawing>
      </w:r>
      <w:r>
        <w:rPr>
          <w:rFonts w:ascii="楷体"/>
          <w:sz w:val="20"/>
        </w:rPr>
      </w:r>
    </w:p>
    <w:p>
      <w:pPr>
        <w:pStyle w:val="BodyText"/>
        <w:ind w:left="0" w:firstLine="0"/>
        <w:rPr>
          <w:rFonts w:ascii="楷体"/>
          <w:b/>
          <w:sz w:val="20"/>
        </w:rPr>
      </w:pPr>
    </w:p>
    <w:p>
      <w:pPr>
        <w:pStyle w:val="BodyText"/>
        <w:spacing w:before="7"/>
        <w:ind w:left="0" w:firstLine="0"/>
        <w:rPr>
          <w:rFonts w:ascii="楷体"/>
          <w:b/>
          <w:sz w:val="21"/>
        </w:rPr>
      </w:pPr>
    </w:p>
    <w:p>
      <w:pPr>
        <w:pStyle w:val="BodyText"/>
        <w:spacing w:line="312" w:lineRule="auto" w:before="67"/>
        <w:ind w:right="227" w:firstLine="470"/>
        <w:jc w:val="both"/>
      </w:pPr>
      <w:r>
        <w:rPr/>
        <w:t>8</w:t>
      </w:r>
      <w:r>
        <w:rPr>
          <w:spacing w:val="-41"/>
        </w:rPr>
        <w:t> 月 </w:t>
      </w:r>
      <w:r>
        <w:rPr/>
        <w:t>20</w:t>
      </w:r>
      <w:r>
        <w:rPr>
          <w:spacing w:val="-14"/>
        </w:rPr>
        <w:t> 日，国家医保局、人社部发布 </w:t>
      </w:r>
      <w:r>
        <w:rPr/>
        <w:t>2019</w:t>
      </w:r>
      <w:r>
        <w:rPr>
          <w:spacing w:val="-10"/>
        </w:rPr>
        <w:t> 年版《国家基本医疗保险、工伤保险和生育</w:t>
      </w:r>
      <w:r>
        <w:rPr/>
        <w:t>保险药品目录》（以下简称“2019</w:t>
      </w:r>
      <w:r>
        <w:rPr>
          <w:spacing w:val="-8"/>
        </w:rPr>
        <w:t> 年版医保药品目录</w:t>
      </w:r>
      <w:r>
        <w:rPr/>
        <w:t>”）。据介绍，2019</w:t>
      </w:r>
      <w:r>
        <w:rPr>
          <w:spacing w:val="-8"/>
        </w:rPr>
        <w:t> 年版医保药品目</w:t>
      </w:r>
      <w:r>
        <w:rPr>
          <w:spacing w:val="-17"/>
        </w:rPr>
        <w:t>录调整是自 </w:t>
      </w:r>
      <w:r>
        <w:rPr/>
        <w:t>2000</w:t>
      </w:r>
      <w:r>
        <w:rPr>
          <w:spacing w:val="-8"/>
        </w:rPr>
        <w:t> 年第一版医保药品目录以来对原有目录品种的全面梳理，推动医保药品目录更趋科学化、合理化。</w:t>
      </w:r>
    </w:p>
    <w:p>
      <w:pPr>
        <w:pStyle w:val="BodyText"/>
        <w:spacing w:line="312" w:lineRule="auto"/>
        <w:ind w:right="307"/>
        <w:jc w:val="both"/>
      </w:pPr>
      <w:r>
        <w:rPr/>
        <w:t>2019</w:t>
      </w:r>
      <w:r>
        <w:rPr>
          <w:spacing w:val="-9"/>
        </w:rPr>
        <w:t> 年版医保药品目录进一步明确了动态调整机制和地方权限，将对生物医药产业发</w:t>
      </w:r>
      <w:r>
        <w:rPr/>
        <w:t>展、地方政策制定、医保支付和患者用药产生深远影响。</w:t>
      </w:r>
    </w:p>
    <w:p>
      <w:pPr>
        <w:pStyle w:val="Heading3"/>
        <w:spacing w:before="1"/>
        <w:jc w:val="both"/>
      </w:pPr>
      <w:r>
        <w:rPr/>
        <w:t>2019 年版医保药品目录调整背景</w:t>
      </w:r>
    </w:p>
    <w:p>
      <w:pPr>
        <w:pStyle w:val="BodyText"/>
        <w:spacing w:line="312" w:lineRule="auto" w:before="91"/>
        <w:ind w:right="112"/>
      </w:pPr>
      <w:r>
        <w:rPr>
          <w:spacing w:val="-14"/>
        </w:rPr>
        <w:t>迄今为止，我国已经发布了五版国家医保药品目录，分别是 </w:t>
      </w:r>
      <w:r>
        <w:rPr/>
        <w:t>2000</w:t>
      </w:r>
      <w:r>
        <w:rPr>
          <w:spacing w:val="-33"/>
        </w:rPr>
        <w:t> 年版、</w:t>
      </w:r>
      <w:r>
        <w:rPr/>
        <w:t>2004</w:t>
      </w:r>
      <w:r>
        <w:rPr>
          <w:spacing w:val="-33"/>
        </w:rPr>
        <w:t> 年版、</w:t>
      </w:r>
      <w:r>
        <w:rPr/>
        <w:t>2009 </w:t>
      </w:r>
      <w:r>
        <w:rPr>
          <w:spacing w:val="-19"/>
        </w:rPr>
        <w:t>年版、</w:t>
      </w:r>
      <w:r>
        <w:rPr/>
        <w:t>2017</w:t>
      </w:r>
      <w:r>
        <w:rPr>
          <w:spacing w:val="-25"/>
        </w:rPr>
        <w:t> 年版和 </w:t>
      </w:r>
      <w:r>
        <w:rPr/>
        <w:t>2019</w:t>
      </w:r>
      <w:r>
        <w:rPr>
          <w:spacing w:val="-15"/>
        </w:rPr>
        <w:t> 年版。我国医保药品目录正从种类单一、数量增长特征向结构优化、</w:t>
      </w:r>
      <w:r>
        <w:rPr/>
        <w:t>“质”“量”齐升的特征转变，医保药品目录组成日趋科学化、合理化。</w:t>
      </w:r>
    </w:p>
    <w:p>
      <w:pPr>
        <w:pStyle w:val="BodyText"/>
        <w:spacing w:before="1"/>
        <w:ind w:left="637" w:firstLine="0"/>
      </w:pPr>
      <w:r>
        <w:rPr/>
        <w:t>近两年，我国有关部门发布一系列政策，为 2019 年版医保药品目录的出台提供了坚实</w:t>
      </w:r>
    </w:p>
    <w:p>
      <w:pPr>
        <w:pStyle w:val="BodyText"/>
        <w:spacing w:line="312" w:lineRule="auto" w:before="93"/>
        <w:ind w:right="106" w:firstLine="0"/>
      </w:pPr>
      <w:r>
        <w:rPr>
          <w:spacing w:val="-13"/>
        </w:rPr>
        <w:t>支撑，如 </w:t>
      </w:r>
      <w:r>
        <w:rPr/>
        <w:t>2017</w:t>
      </w:r>
      <w:r>
        <w:rPr>
          <w:spacing w:val="-40"/>
        </w:rPr>
        <w:t> 年 </w:t>
      </w:r>
      <w:r>
        <w:rPr/>
        <w:t>6</w:t>
      </w:r>
      <w:r>
        <w:rPr>
          <w:spacing w:val="-8"/>
        </w:rPr>
        <w:t> 月印发的《关于改革完善短缺药品供应保障机制的实施意见》，针对孤</w:t>
      </w:r>
      <w:r>
        <w:rPr>
          <w:spacing w:val="-10"/>
        </w:rPr>
        <w:t>儿药、儿童药等临床急需药品易短缺问题，建立长效机制，防止短缺药问题反复出现；</w:t>
      </w:r>
      <w:r>
        <w:rPr>
          <w:spacing w:val="-5"/>
        </w:rPr>
        <w:t>2019 </w:t>
      </w:r>
      <w:r>
        <w:rPr>
          <w:spacing w:val="-30"/>
        </w:rPr>
        <w:t>年 </w:t>
      </w:r>
      <w:r>
        <w:rPr/>
        <w:t>7</w:t>
      </w:r>
      <w:r>
        <w:rPr>
          <w:spacing w:val="-18"/>
        </w:rPr>
        <w:t> 月发布的《关于印发第一批国家重点监控合理用药药品目录</w:t>
      </w:r>
      <w:r>
        <w:rPr/>
        <w:t>（化药及生物制品</w:t>
      </w:r>
      <w:r>
        <w:rPr>
          <w:spacing w:val="-116"/>
        </w:rPr>
        <w:t>）</w:t>
      </w:r>
      <w:r>
        <w:rPr>
          <w:spacing w:val="-26"/>
        </w:rPr>
        <w:t>的通知》， </w:t>
      </w:r>
      <w:r>
        <w:rPr>
          <w:spacing w:val="-7"/>
        </w:rPr>
        <w:t>指出对用药不合理问题突出的品种，采取排名通报、限期整改、清除出本机构药品供应目录等措施，保证合理用药。</w:t>
      </w:r>
    </w:p>
    <w:p>
      <w:pPr>
        <w:pStyle w:val="BodyText"/>
        <w:spacing w:line="312" w:lineRule="auto" w:before="1"/>
        <w:ind w:right="108"/>
      </w:pPr>
      <w:r>
        <w:rPr/>
        <w:t>2017</w:t>
      </w:r>
      <w:r>
        <w:rPr>
          <w:spacing w:val="-25"/>
        </w:rPr>
        <w:t> 年版与 </w:t>
      </w:r>
      <w:r>
        <w:rPr/>
        <w:t>2019</w:t>
      </w:r>
      <w:r>
        <w:rPr>
          <w:spacing w:val="-10"/>
        </w:rPr>
        <w:t> 年版医保药品目录更多地融入了对用药监管、药品精细化管理及药品创新等深层次的思考和科学考量。2017</w:t>
      </w:r>
      <w:r>
        <w:rPr>
          <w:spacing w:val="-8"/>
        </w:rPr>
        <w:t> 年版医保药品目录将一批创新药纳入医保范围，建</w:t>
      </w:r>
      <w:r>
        <w:rPr>
          <w:spacing w:val="-11"/>
        </w:rPr>
        <w:t>立健全基本医疗保险医疗服务智能监控系统和社会保险药品使用监测分析体系，建立了医保药品谈判准入机制和药品目录动态调整机制。2019</w:t>
      </w:r>
      <w:r>
        <w:rPr>
          <w:spacing w:val="-8"/>
        </w:rPr>
        <w:t> 年版医保药品目录坚持优化结构、有进</w:t>
      </w:r>
      <w:r>
        <w:rPr>
          <w:spacing w:val="-17"/>
        </w:rPr>
        <w:t>有出、着力提升使用效率的调整思路，增加了部分疗效确切的药品，调出部分临床价值不高、</w:t>
      </w:r>
      <w:r>
        <w:rPr/>
        <w:t>滥用明显、有更好替代的药品。</w:t>
      </w:r>
    </w:p>
    <w:p>
      <w:pPr>
        <w:pStyle w:val="Heading3"/>
        <w:spacing w:line="312" w:lineRule="auto" w:before="2"/>
        <w:ind w:right="5743"/>
      </w:pPr>
      <w:r>
        <w:rPr/>
        <w:t>2019 年版医保药品目录调整特征总体调整特征</w:t>
      </w:r>
    </w:p>
    <w:p>
      <w:pPr>
        <w:spacing w:after="0" w:line="312" w:lineRule="auto"/>
        <w:sectPr>
          <w:pgSz w:w="11910" w:h="16850"/>
          <w:pgMar w:header="906" w:footer="607" w:top="1100" w:bottom="800" w:left="1120" w:right="900"/>
        </w:sectPr>
      </w:pPr>
    </w:p>
    <w:p>
      <w:pPr>
        <w:pStyle w:val="BodyText"/>
        <w:spacing w:before="79"/>
        <w:ind w:left="637" w:firstLine="0"/>
      </w:pPr>
      <w:r>
        <w:rPr>
          <w:spacing w:val="-7"/>
        </w:rPr>
        <w:t>中成药及民族药占比逐次增长，接近 </w:t>
      </w:r>
      <w:r>
        <w:rPr/>
        <w:t>50%</w:t>
      </w:r>
      <w:r>
        <w:rPr>
          <w:spacing w:val="-34"/>
        </w:rPr>
        <w:t>。</w:t>
      </w:r>
      <w:r>
        <w:rPr/>
        <w:t>2004</w:t>
      </w:r>
      <w:r>
        <w:rPr>
          <w:spacing w:val="-15"/>
        </w:rPr>
        <w:t> 年版医保药品目录中，有 </w:t>
      </w:r>
      <w:r>
        <w:rPr/>
        <w:t>823</w:t>
      </w:r>
      <w:r>
        <w:rPr>
          <w:spacing w:val="-12"/>
        </w:rPr>
        <w:t> 个中成药</w:t>
      </w:r>
    </w:p>
    <w:p>
      <w:pPr>
        <w:pStyle w:val="BodyText"/>
        <w:spacing w:line="312" w:lineRule="auto" w:before="91"/>
        <w:ind w:right="231" w:firstLine="0"/>
      </w:pPr>
      <w:r>
        <w:rPr/>
        <w:t>（含民族药</w:t>
      </w:r>
      <w:r>
        <w:rPr>
          <w:spacing w:val="-22"/>
        </w:rPr>
        <w:t>），</w:t>
      </w:r>
      <w:r>
        <w:rPr>
          <w:spacing w:val="-5"/>
        </w:rPr>
        <w:t>占医保药品目录药品总数的 </w:t>
      </w:r>
      <w:r>
        <w:rPr/>
        <w:t>44.5%</w:t>
      </w:r>
      <w:r>
        <w:rPr>
          <w:spacing w:val="-22"/>
        </w:rPr>
        <w:t>。</w:t>
      </w:r>
      <w:r>
        <w:rPr/>
        <w:t>2019</w:t>
      </w:r>
      <w:r>
        <w:rPr>
          <w:spacing w:val="-11"/>
        </w:rPr>
        <w:t> 年版医保药品目录中，中成药</w:t>
      </w:r>
      <w:r>
        <w:rPr/>
        <w:t>（</w:t>
      </w:r>
      <w:r>
        <w:rPr>
          <w:spacing w:val="-14"/>
        </w:rPr>
        <w:t>含</w:t>
      </w:r>
      <w:r>
        <w:rPr/>
        <w:t>民族药）</w:t>
      </w:r>
      <w:r>
        <w:rPr>
          <w:spacing w:val="-9"/>
        </w:rPr>
        <w:t>的数量增加至 </w:t>
      </w:r>
      <w:r>
        <w:rPr/>
        <w:t>1321</w:t>
      </w:r>
      <w:r>
        <w:rPr>
          <w:spacing w:val="-30"/>
        </w:rPr>
        <w:t> 个</w:t>
      </w:r>
      <w:r>
        <w:rPr/>
        <w:t>（</w:t>
      </w:r>
      <w:r>
        <w:rPr>
          <w:spacing w:val="-30"/>
        </w:rPr>
        <w:t>含 </w:t>
      </w:r>
      <w:r>
        <w:rPr/>
        <w:t>5</w:t>
      </w:r>
      <w:r>
        <w:rPr>
          <w:spacing w:val="-8"/>
        </w:rPr>
        <w:t> 个协议期内谈判药品</w:t>
      </w:r>
      <w:r>
        <w:rPr/>
        <w:t>），约占医保药品目录药品总数</w:t>
      </w:r>
    </w:p>
    <w:p>
      <w:pPr>
        <w:pStyle w:val="BodyText"/>
        <w:spacing w:before="2"/>
        <w:ind w:firstLine="0"/>
      </w:pPr>
      <w:r>
        <w:rPr/>
        <w:t>的 50%。民族药由 2004 年的 47 个增加至 2019 年的 93 个。</w:t>
      </w:r>
    </w:p>
    <w:p>
      <w:pPr>
        <w:pStyle w:val="BodyText"/>
        <w:spacing w:before="91"/>
        <w:ind w:left="637" w:firstLine="0"/>
      </w:pPr>
      <w:r>
        <w:rPr/>
        <w:t>124</w:t>
      </w:r>
      <w:r>
        <w:rPr>
          <w:spacing w:val="-16"/>
        </w:rPr>
        <w:t> 个乙类药品调整为甲类药品。本次涉及药品医保类型调整的药品共有 </w:t>
      </w:r>
      <w:r>
        <w:rPr/>
        <w:t>131</w:t>
      </w:r>
      <w:r>
        <w:rPr>
          <w:spacing w:val="-25"/>
        </w:rPr>
        <w:t> 个。其中，</w:t>
      </w:r>
    </w:p>
    <w:p>
      <w:pPr>
        <w:pStyle w:val="BodyText"/>
        <w:spacing w:line="312" w:lineRule="auto" w:before="93"/>
        <w:ind w:right="107" w:firstLine="0"/>
      </w:pPr>
      <w:r>
        <w:rPr>
          <w:spacing w:val="-5"/>
        </w:rPr>
        <w:t>由甲类调整为乙类的药品有 </w:t>
      </w:r>
      <w:r>
        <w:rPr/>
        <w:t>7</w:t>
      </w:r>
      <w:r>
        <w:rPr>
          <w:spacing w:val="-15"/>
        </w:rPr>
        <w:t> 个，由乙类调整为甲类的药品有 </w:t>
      </w:r>
      <w:r>
        <w:rPr/>
        <w:t>124</w:t>
      </w:r>
      <w:r>
        <w:rPr>
          <w:spacing w:val="-12"/>
        </w:rPr>
        <w:t> 个。甲类药品具有更大的</w:t>
      </w:r>
      <w:r>
        <w:rPr>
          <w:spacing w:val="-18"/>
        </w:rPr>
        <w:t>报销额度，因此将一些药品纳入甲类目录将有效缓解患者的支付压力。从药品分类单独统计， </w:t>
      </w:r>
      <w:r>
        <w:rPr>
          <w:spacing w:val="-9"/>
        </w:rPr>
        <w:t>西药类别调整 </w:t>
      </w:r>
      <w:r>
        <w:rPr/>
        <w:t>27</w:t>
      </w:r>
      <w:r>
        <w:rPr>
          <w:spacing w:val="-14"/>
        </w:rPr>
        <w:t> 个，其中由乙类调整为甲类的有 </w:t>
      </w:r>
      <w:r>
        <w:rPr/>
        <w:t>25</w:t>
      </w:r>
      <w:r>
        <w:rPr>
          <w:spacing w:val="-17"/>
        </w:rPr>
        <w:t> 个；中成药类别调整 </w:t>
      </w:r>
      <w:r>
        <w:rPr/>
        <w:t>104</w:t>
      </w:r>
      <w:r>
        <w:rPr>
          <w:spacing w:val="-15"/>
        </w:rPr>
        <w:t> 个，其中由乙</w:t>
      </w:r>
    </w:p>
    <w:p>
      <w:pPr>
        <w:pStyle w:val="BodyText"/>
        <w:spacing w:before="1"/>
        <w:ind w:firstLine="0"/>
      </w:pPr>
      <w:r>
        <w:rPr>
          <w:spacing w:val="-7"/>
        </w:rPr>
        <w:t>类调整为甲类的有 </w:t>
      </w:r>
      <w:r>
        <w:rPr/>
        <w:t>99</w:t>
      </w:r>
      <w:r>
        <w:rPr>
          <w:spacing w:val="-11"/>
        </w:rPr>
        <w:t> 个。此外，西药由甲类调整为乙类的药品有 </w:t>
      </w:r>
      <w:r>
        <w:rPr/>
        <w:t>2</w:t>
      </w:r>
      <w:r>
        <w:rPr>
          <w:spacing w:val="-8"/>
        </w:rPr>
        <w:t> 个，分别是地衣芽孢杆</w:t>
      </w:r>
    </w:p>
    <w:p>
      <w:pPr>
        <w:pStyle w:val="BodyText"/>
        <w:spacing w:line="312" w:lineRule="auto" w:before="94"/>
        <w:ind w:right="231" w:firstLine="0"/>
      </w:pPr>
      <w:r>
        <w:rPr>
          <w:spacing w:val="-7"/>
        </w:rPr>
        <w:t>菌活菌和氨溴索；中成药由甲类调整为乙类的药品有 </w:t>
      </w:r>
      <w:r>
        <w:rPr/>
        <w:t>5</w:t>
      </w:r>
      <w:r>
        <w:rPr>
          <w:spacing w:val="-13"/>
        </w:rPr>
        <w:t> 个，分别为生脉饮、小柴胡汤丸、锡</w:t>
      </w:r>
      <w:r>
        <w:rPr/>
        <w:t>类散、明目蒺藜丸、生脉饮(人参方)。</w:t>
      </w:r>
    </w:p>
    <w:p>
      <w:pPr>
        <w:pStyle w:val="Heading3"/>
        <w:spacing w:line="307" w:lineRule="exact"/>
      </w:pPr>
      <w:r>
        <w:rPr/>
        <w:t>调入药品特征</w:t>
      </w:r>
    </w:p>
    <w:p>
      <w:pPr>
        <w:pStyle w:val="BodyText"/>
        <w:spacing w:line="312" w:lineRule="auto" w:before="93"/>
        <w:ind w:right="106"/>
      </w:pPr>
      <w:r>
        <w:rPr/>
        <w:t>慢性病用药数量最多，眼科用药批准文号最多。2019</w:t>
      </w:r>
      <w:r>
        <w:rPr>
          <w:spacing w:val="-8"/>
        </w:rPr>
        <w:t> 年版医保药品目录新增药品主要</w:t>
      </w:r>
      <w:r>
        <w:rPr>
          <w:spacing w:val="-19"/>
        </w:rPr>
        <w:t>集中在小儿用药、妇科用药、皮肤病用药、慢性病用药、眼科用药和抗肿瘤药六大重点领域。</w:t>
      </w:r>
      <w:r>
        <w:rPr>
          <w:spacing w:val="-3"/>
        </w:rPr>
        <w:t>上述六大重点领域新增药品数量占新增药品总数的 </w:t>
      </w:r>
      <w:r>
        <w:rPr>
          <w:spacing w:val="-6"/>
        </w:rPr>
        <w:t>39%</w:t>
      </w:r>
      <w:r>
        <w:rPr>
          <w:spacing w:val="-4"/>
        </w:rPr>
        <w:t>，其中慢性病用药数量最多，占新增</w:t>
      </w:r>
      <w:r>
        <w:rPr>
          <w:spacing w:val="-14"/>
        </w:rPr>
        <w:t>药品总数的 </w:t>
      </w:r>
      <w:r>
        <w:rPr/>
        <w:t>13%（</w:t>
      </w:r>
      <w:r>
        <w:rPr>
          <w:spacing w:val="-20"/>
        </w:rPr>
        <w:t>见图 </w:t>
      </w:r>
      <w:r>
        <w:rPr/>
        <w:t>1）</w:t>
      </w:r>
      <w:r>
        <w:rPr>
          <w:spacing w:val="-3"/>
        </w:rPr>
        <w:t>。六大重点领域新增药品关联的批准文号数量达 </w:t>
      </w:r>
      <w:r>
        <w:rPr/>
        <w:t>795</w:t>
      </w:r>
      <w:r>
        <w:rPr>
          <w:spacing w:val="-10"/>
        </w:rPr>
        <w:t> 个，占新增</w:t>
      </w:r>
      <w:r>
        <w:rPr>
          <w:spacing w:val="-15"/>
        </w:rPr>
        <w:t>药品批准文号总数的 </w:t>
      </w:r>
      <w:r>
        <w:rPr>
          <w:spacing w:val="-13"/>
        </w:rPr>
        <w:t>51%</w:t>
      </w:r>
      <w:r>
        <w:rPr>
          <w:spacing w:val="-10"/>
        </w:rPr>
        <w:t>，其中眼科用药的批准文号最多，占新增药品批准文号总数的 </w:t>
      </w:r>
      <w:r>
        <w:rPr>
          <w:spacing w:val="-4"/>
        </w:rPr>
        <w:t>23%， </w:t>
      </w:r>
      <w:r>
        <w:rPr>
          <w:spacing w:val="-30"/>
        </w:rPr>
        <w:t>达 </w:t>
      </w:r>
      <w:r>
        <w:rPr/>
        <w:t>355</w:t>
      </w:r>
      <w:r>
        <w:rPr>
          <w:spacing w:val="-30"/>
        </w:rPr>
        <w:t> 个</w:t>
      </w:r>
      <w:r>
        <w:rPr/>
        <w:t>（</w:t>
      </w:r>
      <w:r>
        <w:rPr>
          <w:spacing w:val="-21"/>
        </w:rPr>
        <w:t>见图 </w:t>
      </w:r>
      <w:r>
        <w:rPr/>
        <w:t>2）。</w:t>
      </w:r>
    </w:p>
    <w:p>
      <w:pPr>
        <w:pStyle w:val="BodyText"/>
        <w:spacing w:before="2"/>
        <w:ind w:left="0" w:right="245" w:firstLine="0"/>
        <w:jc w:val="right"/>
      </w:pPr>
      <w:r>
        <w:rPr/>
        <w:t>批准文号前 10 新增药品的平均生产企业达到 58 家。据统计，在 2019 年版医保药品目</w:t>
      </w:r>
    </w:p>
    <w:p>
      <w:pPr>
        <w:pStyle w:val="BodyText"/>
        <w:spacing w:before="91"/>
        <w:ind w:left="0" w:right="305" w:firstLine="0"/>
        <w:jc w:val="right"/>
      </w:pPr>
      <w:r>
        <w:rPr>
          <w:spacing w:val="-4"/>
        </w:rPr>
        <w:t>录中，与新增药品关联的生产企业超过 </w:t>
      </w:r>
      <w:r>
        <w:rPr/>
        <w:t>600</w:t>
      </w:r>
      <w:r>
        <w:rPr>
          <w:spacing w:val="-11"/>
        </w:rPr>
        <w:t> 家，与新增药品关联的药品批准文号达到 </w:t>
      </w:r>
      <w:r>
        <w:rPr/>
        <w:t>1559</w:t>
      </w:r>
    </w:p>
    <w:p>
      <w:pPr>
        <w:pStyle w:val="BodyText"/>
        <w:spacing w:line="312" w:lineRule="auto" w:before="94"/>
        <w:ind w:right="228" w:firstLine="0"/>
        <w:jc w:val="both"/>
      </w:pPr>
      <w:r>
        <w:rPr>
          <w:spacing w:val="-12"/>
        </w:rPr>
        <w:t>个。批准文号前 </w:t>
      </w:r>
      <w:r>
        <w:rPr/>
        <w:t>10</w:t>
      </w:r>
      <w:r>
        <w:rPr>
          <w:spacing w:val="-12"/>
        </w:rPr>
        <w:t> 位的新增药品中，每个药品的平均生产企业有 </w:t>
      </w:r>
      <w:r>
        <w:rPr/>
        <w:t>58</w:t>
      </w:r>
      <w:r>
        <w:rPr>
          <w:spacing w:val="-14"/>
        </w:rPr>
        <w:t> 家，生产企业数量前 3 </w:t>
      </w:r>
      <w:r>
        <w:rPr>
          <w:spacing w:val="-5"/>
        </w:rPr>
        <w:t>位的药品为加替沙星、安神丸和小儿退热口服液</w:t>
      </w:r>
      <w:r>
        <w:rPr/>
        <w:t>（</w:t>
      </w:r>
      <w:r>
        <w:rPr>
          <w:spacing w:val="-20"/>
        </w:rPr>
        <w:t>见图 </w:t>
      </w:r>
      <w:r>
        <w:rPr>
          <w:spacing w:val="-14"/>
        </w:rPr>
        <w:t>3）。批准文号前 </w:t>
      </w:r>
      <w:r>
        <w:rPr/>
        <w:t>10</w:t>
      </w:r>
      <w:r>
        <w:rPr>
          <w:spacing w:val="-2"/>
        </w:rPr>
        <w:t> 的新增药品中</w:t>
      </w:r>
      <w:r>
        <w:rPr>
          <w:spacing w:val="-30"/>
        </w:rPr>
        <w:t>有 </w:t>
      </w:r>
      <w:r>
        <w:rPr/>
        <w:t>6</w:t>
      </w:r>
      <w:r>
        <w:rPr>
          <w:spacing w:val="-11"/>
        </w:rPr>
        <w:t> 个是中药，平均每个中药品种的批准文号达 </w:t>
      </w:r>
      <w:r>
        <w:rPr/>
        <w:t>97</w:t>
      </w:r>
      <w:r>
        <w:rPr>
          <w:spacing w:val="-13"/>
        </w:rPr>
        <w:t> 个，相关生产企业达 </w:t>
      </w:r>
      <w:r>
        <w:rPr/>
        <w:t>68</w:t>
      </w:r>
      <w:r>
        <w:rPr>
          <w:spacing w:val="-20"/>
        </w:rPr>
        <w:t> 家。</w:t>
      </w:r>
    </w:p>
    <w:p>
      <w:pPr>
        <w:pStyle w:val="BodyText"/>
        <w:spacing w:line="312" w:lineRule="auto"/>
        <w:ind w:right="230"/>
        <w:jc w:val="both"/>
      </w:pPr>
      <w:r>
        <w:rPr>
          <w:spacing w:val="-6"/>
        </w:rPr>
        <w:t>中药的独家优势显著高于西药，广东省独家药品数量最多。据统计，在新增药品中，独</w:t>
      </w:r>
      <w:r>
        <w:rPr>
          <w:spacing w:val="-5"/>
        </w:rPr>
        <w:t>家药品总数占新增药品总数的 </w:t>
      </w:r>
      <w:r>
        <w:rPr/>
        <w:t>47%</w:t>
      </w:r>
      <w:r>
        <w:rPr>
          <w:spacing w:val="-3"/>
        </w:rPr>
        <w:t>。尤其是新增独家中药数量，占独家品种数量的 </w:t>
      </w:r>
      <w:r>
        <w:rPr/>
        <w:t>90%，占</w:t>
      </w:r>
      <w:r>
        <w:rPr>
          <w:spacing w:val="-8"/>
        </w:rPr>
        <w:t>新增药品总数的 </w:t>
      </w:r>
      <w:r>
        <w:rPr/>
        <w:t>42%</w:t>
      </w:r>
      <w:r>
        <w:rPr>
          <w:spacing w:val="-8"/>
        </w:rPr>
        <w:t>。从地域分布上看，广东、吉林、江苏、陕西和贵州五个省份的独家药</w:t>
      </w:r>
      <w:r>
        <w:rPr/>
        <w:t>品数量最多（</w:t>
      </w:r>
      <w:r>
        <w:rPr>
          <w:spacing w:val="-21"/>
        </w:rPr>
        <w:t>见图 </w:t>
      </w:r>
      <w:r>
        <w:rPr/>
        <w:t>4），其独家产品进入医保药品目录后具备市场放量优势。</w:t>
      </w:r>
    </w:p>
    <w:p>
      <w:pPr>
        <w:pStyle w:val="Heading3"/>
        <w:spacing w:before="3"/>
      </w:pPr>
      <w:r>
        <w:rPr/>
        <w:t>谈判药品特征</w:t>
      </w:r>
    </w:p>
    <w:p>
      <w:pPr>
        <w:pStyle w:val="BodyText"/>
        <w:spacing w:line="312" w:lineRule="auto" w:before="91"/>
        <w:ind w:right="228"/>
      </w:pPr>
      <w:r>
        <w:rPr/>
        <w:t>六成协议期内谈判药品集中在抗肿瘤和免疫调节领域。2019</w:t>
      </w:r>
      <w:r>
        <w:rPr>
          <w:spacing w:val="-8"/>
        </w:rPr>
        <w:t> 年版医保药品目录公布的48</w:t>
      </w:r>
      <w:r>
        <w:rPr>
          <w:spacing w:val="-12"/>
        </w:rPr>
        <w:t> 个协议期内谈判药品中含 </w:t>
      </w:r>
      <w:r>
        <w:rPr/>
        <w:t>43</w:t>
      </w:r>
      <w:r>
        <w:rPr>
          <w:spacing w:val="-15"/>
        </w:rPr>
        <w:t> 个西药、</w:t>
      </w:r>
      <w:r>
        <w:rPr/>
        <w:t>5</w:t>
      </w:r>
      <w:r>
        <w:rPr>
          <w:spacing w:val="-9"/>
        </w:rPr>
        <w:t> 个中成药。从治疗领域来看，</w:t>
      </w:r>
      <w:r>
        <w:rPr>
          <w:spacing w:val="-5"/>
        </w:rPr>
        <w:t>43</w:t>
      </w:r>
      <w:r>
        <w:rPr>
          <w:spacing w:val="-10"/>
        </w:rPr>
        <w:t> 个协议期内谈判</w:t>
      </w:r>
    </w:p>
    <w:p>
      <w:pPr>
        <w:pStyle w:val="BodyText"/>
        <w:spacing w:before="2"/>
        <w:ind w:firstLine="0"/>
      </w:pPr>
      <w:r>
        <w:rPr>
          <w:spacing w:val="-2"/>
        </w:rPr>
        <w:t>西药中，近六成是抗肿瘤及免疫调节药物，包括厄洛替尼、阿法替尼等 </w:t>
      </w:r>
      <w:r>
        <w:rPr/>
        <w:t>16</w:t>
      </w:r>
      <w:r>
        <w:rPr>
          <w:spacing w:val="-8"/>
        </w:rPr>
        <w:t> 个蛋白激酶抑制</w:t>
      </w:r>
    </w:p>
    <w:p>
      <w:pPr>
        <w:pStyle w:val="BodyText"/>
        <w:spacing w:before="91"/>
        <w:ind w:firstLine="0"/>
      </w:pPr>
      <w:r>
        <w:rPr/>
        <w:t>剂，曲妥珠单抗、贝伐珠单抗、尼妥珠单抗、西妥昔单抗 4 个单克隆抗体。</w:t>
      </w:r>
    </w:p>
    <w:p>
      <w:pPr>
        <w:pStyle w:val="BodyText"/>
        <w:spacing w:line="312" w:lineRule="auto" w:before="93"/>
        <w:ind w:right="231"/>
        <w:jc w:val="both"/>
      </w:pPr>
      <w:r>
        <w:rPr>
          <w:spacing w:val="-3"/>
        </w:rPr>
        <w:t>六成以上协议期内谈判药品集中在化学药物。在 </w:t>
      </w:r>
      <w:r>
        <w:rPr/>
        <w:t>48</w:t>
      </w:r>
      <w:r>
        <w:rPr>
          <w:spacing w:val="-8"/>
        </w:rPr>
        <w:t> 个协议期内谈判药品中，西药占比</w:t>
      </w:r>
      <w:r>
        <w:rPr>
          <w:spacing w:val="-34"/>
        </w:rPr>
        <w:t>约 </w:t>
      </w:r>
      <w:r>
        <w:rPr/>
        <w:t>90%</w:t>
      </w:r>
      <w:r>
        <w:rPr>
          <w:spacing w:val="-13"/>
        </w:rPr>
        <w:t>。其中，化学药品 </w:t>
      </w:r>
      <w:r>
        <w:rPr/>
        <w:t>31</w:t>
      </w:r>
      <w:r>
        <w:rPr>
          <w:spacing w:val="-14"/>
        </w:rPr>
        <w:t> 个，占协议期内谈判药物总数的 </w:t>
      </w:r>
      <w:r>
        <w:rPr>
          <w:spacing w:val="-6"/>
        </w:rPr>
        <w:t>65%，主要以片剂为主；生物制</w:t>
      </w:r>
      <w:r>
        <w:rPr>
          <w:spacing w:val="-30"/>
        </w:rPr>
        <w:t>品 </w:t>
      </w:r>
      <w:r>
        <w:rPr/>
        <w:t>12</w:t>
      </w:r>
      <w:r>
        <w:rPr>
          <w:spacing w:val="-12"/>
        </w:rPr>
        <w:t> 个，占协议期内谈判药物总数的 </w:t>
      </w:r>
      <w:r>
        <w:rPr/>
        <w:t>25%，均为注射剂。</w:t>
      </w:r>
    </w:p>
    <w:p>
      <w:pPr>
        <w:spacing w:after="0" w:line="312" w:lineRule="auto"/>
        <w:jc w:val="both"/>
        <w:sectPr>
          <w:pgSz w:w="11910" w:h="16850"/>
          <w:pgMar w:header="906" w:footer="607" w:top="1100" w:bottom="800" w:left="1120" w:right="900"/>
        </w:sectPr>
      </w:pPr>
    </w:p>
    <w:p>
      <w:pPr>
        <w:pStyle w:val="BodyText"/>
        <w:spacing w:line="312" w:lineRule="auto" w:before="79"/>
        <w:ind w:right="226"/>
        <w:jc w:val="both"/>
      </w:pPr>
      <w:r>
        <w:rPr>
          <w:spacing w:val="-3"/>
        </w:rPr>
        <w:t>三成协议期内谈判药品为企业独家品种。</w:t>
      </w:r>
      <w:r>
        <w:rPr/>
        <w:t>48</w:t>
      </w:r>
      <w:r>
        <w:rPr>
          <w:spacing w:val="-16"/>
        </w:rPr>
        <w:t> 个协议期内谈判药品中，约 </w:t>
      </w:r>
      <w:r>
        <w:rPr/>
        <w:t>35%</w:t>
      </w:r>
      <w:r>
        <w:rPr>
          <w:spacing w:val="-4"/>
        </w:rPr>
        <w:t>的药品仅拥</w:t>
      </w:r>
      <w:r>
        <w:rPr>
          <w:spacing w:val="-11"/>
        </w:rPr>
        <w:t>有一个批准文号，即为企业的独家品种，如眼科用药“康柏西普”是成都康弘生物科技有限</w:t>
      </w:r>
      <w:r>
        <w:rPr>
          <w:spacing w:val="-10"/>
        </w:rPr>
        <w:t>公司的独家品种，抗肿瘤药“尼妥珠单抗”是百泰生物药业有限公司的独家品种。这些独家</w:t>
      </w:r>
      <w:r>
        <w:rPr/>
        <w:t>品种进入国家医保药品目录，预计将给药企和患者带来利好。</w:t>
      </w:r>
    </w:p>
    <w:p>
      <w:pPr>
        <w:pStyle w:val="BodyText"/>
        <w:spacing w:line="312" w:lineRule="auto"/>
        <w:ind w:right="227"/>
      </w:pPr>
      <w:r>
        <w:rPr>
          <w:spacing w:val="-8"/>
        </w:rPr>
        <w:t>药品谈判机制正式纳入调整工作。谈判准入是近年国家医保药品目录在准入方式方面的</w:t>
      </w:r>
      <w:r>
        <w:rPr/>
        <w:t>一个重大创新。2017</w:t>
      </w:r>
      <w:r>
        <w:rPr>
          <w:spacing w:val="-21"/>
        </w:rPr>
        <w:t> 年、</w:t>
      </w:r>
      <w:r>
        <w:rPr/>
        <w:t>2018</w:t>
      </w:r>
      <w:r>
        <w:rPr>
          <w:spacing w:val="-10"/>
        </w:rPr>
        <w:t> 年，医保部门通过谈判方式在医保药品目录中分别纳入 </w:t>
      </w:r>
      <w:r>
        <w:rPr/>
        <w:t>36 个、17</w:t>
      </w:r>
      <w:r>
        <w:rPr>
          <w:spacing w:val="-8"/>
        </w:rPr>
        <w:t> 个药品。本次医保药品目录调整，是在总结前期经验的基础上，对谈判准入方法进</w:t>
      </w:r>
      <w:r>
        <w:rPr>
          <w:spacing w:val="-14"/>
        </w:rPr>
        <w:t>行了进一步完善，对于临床价值高但价格昂贵，或对基金影响较大的专利独家药品，通过专</w:t>
      </w:r>
      <w:r>
        <w:rPr>
          <w:spacing w:val="-5"/>
        </w:rPr>
        <w:t>家评审和投票遴选，初步确定 </w:t>
      </w:r>
      <w:r>
        <w:rPr/>
        <w:t>128</w:t>
      </w:r>
      <w:r>
        <w:rPr>
          <w:spacing w:val="-12"/>
        </w:rPr>
        <w:t> 个药品纳入拟谈判准入范围，包括 </w:t>
      </w:r>
      <w:r>
        <w:rPr/>
        <w:t>109</w:t>
      </w:r>
      <w:r>
        <w:rPr>
          <w:spacing w:val="-20"/>
        </w:rPr>
        <w:t> 个西药和 </w:t>
      </w:r>
      <w:r>
        <w:rPr/>
        <w:t>19</w:t>
      </w:r>
      <w:r>
        <w:rPr>
          <w:spacing w:val="-20"/>
        </w:rPr>
        <w:t> 个中成药。</w:t>
      </w:r>
    </w:p>
    <w:p>
      <w:pPr>
        <w:pStyle w:val="BodyText"/>
        <w:spacing w:line="312" w:lineRule="auto" w:before="2"/>
        <w:ind w:right="228"/>
      </w:pPr>
      <w:r>
        <w:rPr>
          <w:spacing w:val="-4"/>
        </w:rPr>
        <w:t>从医保谈判目录到常规目录。</w:t>
      </w:r>
      <w:r>
        <w:rPr/>
        <w:t>2019</w:t>
      </w:r>
      <w:r>
        <w:rPr>
          <w:spacing w:val="-11"/>
        </w:rPr>
        <w:t> 年版医保药品目录公布了在协议期内的 </w:t>
      </w:r>
      <w:r>
        <w:rPr/>
        <w:t>48</w:t>
      </w:r>
      <w:r>
        <w:rPr>
          <w:spacing w:val="-16"/>
        </w:rPr>
        <w:t> 个谈判药</w:t>
      </w:r>
      <w:r>
        <w:rPr>
          <w:spacing w:val="-13"/>
        </w:rPr>
        <w:t>品，对比 </w:t>
      </w:r>
      <w:r>
        <w:rPr/>
        <w:t>2017</w:t>
      </w:r>
      <w:r>
        <w:rPr>
          <w:spacing w:val="-30"/>
        </w:rPr>
        <w:t> 年和 </w:t>
      </w:r>
      <w:r>
        <w:rPr/>
        <w:t>2018</w:t>
      </w:r>
      <w:r>
        <w:rPr>
          <w:spacing w:val="-30"/>
        </w:rPr>
        <w:t> 年的 </w:t>
      </w:r>
      <w:r>
        <w:rPr/>
        <w:t>53</w:t>
      </w:r>
      <w:r>
        <w:rPr>
          <w:spacing w:val="-8"/>
        </w:rPr>
        <w:t> 个谈判药品，替格瑞洛、利妥昔单抗、硼替佐米、阿比特</w:t>
      </w:r>
    </w:p>
    <w:p>
      <w:pPr>
        <w:pStyle w:val="BodyText"/>
        <w:spacing w:line="312" w:lineRule="auto" w:before="2"/>
        <w:ind w:right="245" w:firstLine="0"/>
      </w:pPr>
      <w:r>
        <w:rPr/>
        <w:drawing>
          <wp:anchor distT="0" distB="0" distL="0" distR="0" allowOverlap="1" layoutInCell="1" locked="0" behindDoc="0" simplePos="0" relativeHeight="3">
            <wp:simplePos x="0" y="0"/>
            <wp:positionH relativeFrom="page">
              <wp:posOffset>810894</wp:posOffset>
            </wp:positionH>
            <wp:positionV relativeFrom="paragraph">
              <wp:posOffset>523494</wp:posOffset>
            </wp:positionV>
            <wp:extent cx="6039988" cy="2502217"/>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13" cstate="print"/>
                    <a:stretch>
                      <a:fillRect/>
                    </a:stretch>
                  </pic:blipFill>
                  <pic:spPr>
                    <a:xfrm>
                      <a:off x="0" y="0"/>
                      <a:ext cx="6039988" cy="2502217"/>
                    </a:xfrm>
                    <a:prstGeom prst="rect">
                      <a:avLst/>
                    </a:prstGeom>
                  </pic:spPr>
                </pic:pic>
              </a:graphicData>
            </a:graphic>
          </wp:anchor>
        </w:drawing>
      </w:r>
      <w:r>
        <w:rPr>
          <w:spacing w:val="-9"/>
        </w:rPr>
        <w:t>龙和来那度胺 </w:t>
      </w:r>
      <w:r>
        <w:rPr/>
        <w:t>5</w:t>
      </w:r>
      <w:r>
        <w:rPr>
          <w:spacing w:val="-12"/>
        </w:rPr>
        <w:t> 个药品已经从谈判目录进入 </w:t>
      </w:r>
      <w:r>
        <w:rPr/>
        <w:t>2019</w:t>
      </w:r>
      <w:r>
        <w:rPr>
          <w:spacing w:val="-9"/>
        </w:rPr>
        <w:t> 年版常规目录中；在医保支付价格上，依</w:t>
      </w:r>
      <w:r>
        <w:rPr>
          <w:spacing w:val="-16"/>
        </w:rPr>
        <w:t>然按照 </w:t>
      </w:r>
      <w:r>
        <w:rPr/>
        <w:t>2017</w:t>
      </w:r>
      <w:r>
        <w:rPr>
          <w:spacing w:val="-20"/>
        </w:rPr>
        <w:t> 年、</w:t>
      </w:r>
      <w:r>
        <w:rPr/>
        <w:t>2018</w:t>
      </w:r>
      <w:r>
        <w:rPr>
          <w:spacing w:val="-8"/>
        </w:rPr>
        <w:t> 年的谈判药品支付价制定。</w:t>
      </w:r>
    </w:p>
    <w:p>
      <w:pPr>
        <w:pStyle w:val="BodyText"/>
        <w:spacing w:line="312" w:lineRule="auto" w:before="155"/>
        <w:ind w:right="227"/>
      </w:pPr>
      <w:r>
        <w:rPr/>
        <w:t>2019</w:t>
      </w:r>
      <w:r>
        <w:rPr>
          <w:spacing w:val="-8"/>
        </w:rPr>
        <w:t> 年版国家医保药品目录调整开创了多个“首次</w:t>
      </w:r>
      <w:r>
        <w:rPr/>
        <w:t>”（见表）。国家医保部门通过不</w:t>
      </w:r>
      <w:r>
        <w:rPr>
          <w:spacing w:val="-10"/>
        </w:rPr>
        <w:t>断创新工作机制，推动动态调整机制进一步完善，医疗保障待遇清单管理制度相关事项进一</w:t>
      </w:r>
      <w:r>
        <w:rPr/>
        <w:t>步明确，此前系列工作部署进一步落实。</w:t>
      </w:r>
    </w:p>
    <w:p>
      <w:pPr>
        <w:pStyle w:val="Heading3"/>
        <w:spacing w:before="1"/>
      </w:pPr>
      <w:r>
        <w:rPr/>
        <w:t>相关制度创新与落实</w:t>
      </w:r>
    </w:p>
    <w:p>
      <w:pPr>
        <w:pStyle w:val="BodyText"/>
        <w:spacing w:before="91"/>
        <w:ind w:left="637" w:firstLine="0"/>
      </w:pPr>
      <w:r>
        <w:rPr/>
        <w:t>动态调整机制建设基础逐步夯实，但仍待完善。</w:t>
      </w:r>
    </w:p>
    <w:p>
      <w:pPr>
        <w:pStyle w:val="BodyText"/>
        <w:spacing w:line="312" w:lineRule="auto" w:before="93"/>
        <w:ind w:right="230"/>
        <w:jc w:val="both"/>
      </w:pPr>
      <w:r>
        <w:rPr>
          <w:spacing w:val="-4"/>
        </w:rPr>
        <w:t>此次医保药品目录调整是国家医保局成立后对医保药品目录进行的首次全面调整，也是</w:t>
      </w:r>
      <w:r>
        <w:rPr>
          <w:spacing w:val="-30"/>
        </w:rPr>
        <w:t>自 </w:t>
      </w:r>
      <w:r>
        <w:rPr/>
        <w:t>2000</w:t>
      </w:r>
      <w:r>
        <w:rPr>
          <w:spacing w:val="-8"/>
        </w:rPr>
        <w:t> 年第一版医保药品目录发布以来，对原有医保药品目录进行的一次全面梳理，这为日后建立常态化、规范化的动态调整机制打下了良好的基础。</w:t>
      </w:r>
    </w:p>
    <w:p>
      <w:pPr>
        <w:pStyle w:val="BodyText"/>
        <w:spacing w:line="312" w:lineRule="auto" w:before="1"/>
        <w:ind w:right="227"/>
        <w:jc w:val="both"/>
      </w:pPr>
      <w:r>
        <w:rPr>
          <w:spacing w:val="-7"/>
        </w:rPr>
        <w:t>动态调整的组织机制不断完善。此次医保药品目录调整工作，首次新增测算专家和谈判</w:t>
      </w:r>
      <w:r>
        <w:rPr>
          <w:spacing w:val="-10"/>
        </w:rPr>
        <w:t>专家，分别负责从医保基金影响、药物经济性两方面对谈判药品提出评估意见，以及与谈判</w:t>
      </w:r>
      <w:r>
        <w:rPr>
          <w:spacing w:val="-7"/>
        </w:rPr>
        <w:t>药品企业进行现场谈判，提升医保药品目录调整的专业化。同时，依托评审基础数据库、医</w:t>
      </w:r>
    </w:p>
    <w:p>
      <w:pPr>
        <w:spacing w:after="0" w:line="312" w:lineRule="auto"/>
        <w:jc w:val="both"/>
        <w:sectPr>
          <w:pgSz w:w="11910" w:h="16850"/>
          <w:pgMar w:header="906" w:footer="607" w:top="1100" w:bottom="800" w:left="1120" w:right="900"/>
        </w:sectPr>
      </w:pPr>
    </w:p>
    <w:p>
      <w:pPr>
        <w:pStyle w:val="BodyText"/>
        <w:spacing w:line="312" w:lineRule="auto" w:before="79"/>
        <w:ind w:right="227" w:firstLine="0"/>
      </w:pPr>
      <w:r>
        <w:rPr>
          <w:spacing w:val="-9"/>
        </w:rPr>
        <w:t>保用药咨询调查，对备选药品进行投票，制定全国统一的医保药品编码等工作机制，为医保</w:t>
      </w:r>
      <w:r>
        <w:rPr/>
        <w:t>药品目录动态调整提供了更完善的支撑。</w:t>
      </w:r>
    </w:p>
    <w:p>
      <w:pPr>
        <w:pStyle w:val="BodyText"/>
        <w:spacing w:line="312" w:lineRule="auto"/>
        <w:ind w:right="227"/>
        <w:jc w:val="both"/>
      </w:pPr>
      <w:r>
        <w:rPr>
          <w:spacing w:val="-9"/>
        </w:rPr>
        <w:t>退出机制进一步建立和完善。此前调出医保药品目录的药品一般为药品监管部门禁止生</w:t>
      </w:r>
      <w:r>
        <w:rPr>
          <w:spacing w:val="-11"/>
        </w:rPr>
        <w:t>产、销售和使用的药品，而此次医保药品目录调整设定了严格的专家评审程序，对临床价值</w:t>
      </w:r>
      <w:r>
        <w:rPr/>
        <w:t>不高、滥用明显、有可替代的品种，经专家论证后调出。</w:t>
      </w:r>
    </w:p>
    <w:p>
      <w:pPr>
        <w:pStyle w:val="BodyText"/>
        <w:spacing w:line="312" w:lineRule="auto" w:before="1"/>
        <w:ind w:right="230"/>
        <w:jc w:val="both"/>
      </w:pPr>
      <w:r>
        <w:rPr/>
        <w:t>建立临床用药需求及反馈机制。2019</w:t>
      </w:r>
      <w:r>
        <w:rPr>
          <w:spacing w:val="-8"/>
        </w:rPr>
        <w:t> 年版医保药品目录的出台，建立在充分开展医保</w:t>
      </w:r>
      <w:r>
        <w:rPr>
          <w:spacing w:val="-13"/>
        </w:rPr>
        <w:t>用药咨询调查，公开、广泛了解临床用药需求的基础上，旨在确保医保药品目录调整的基础</w:t>
      </w:r>
      <w:r>
        <w:rPr/>
        <w:t>更广泛、更科学、更扎实。</w:t>
      </w:r>
    </w:p>
    <w:p>
      <w:pPr>
        <w:pStyle w:val="BodyText"/>
        <w:spacing w:line="312" w:lineRule="auto"/>
        <w:ind w:right="228"/>
        <w:jc w:val="both"/>
      </w:pPr>
      <w:r>
        <w:rPr>
          <w:spacing w:val="-7"/>
        </w:rPr>
        <w:t>在取得成效的同时也应该看到，医保药品目录动态调整仍待渐序推进。此次医保药品目录调整距离上一次调整仅隔两年，比过去已是很大进步。但同时也应该看到，医保药品目录</w:t>
      </w:r>
      <w:r>
        <w:rPr/>
        <w:t>动态调整仍待加速构建起符合标准的“救命药”纳入机制，以更好满足患者用药需求。</w:t>
      </w:r>
    </w:p>
    <w:p>
      <w:pPr>
        <w:pStyle w:val="Heading3"/>
        <w:spacing w:before="2"/>
      </w:pPr>
      <w:r>
        <w:rPr/>
        <w:t>地方权限进一步规范，地方特色药仍有调整余地</w:t>
      </w:r>
    </w:p>
    <w:p>
      <w:pPr>
        <w:pStyle w:val="BodyText"/>
        <w:spacing w:line="312" w:lineRule="auto" w:before="93"/>
        <w:ind w:right="107"/>
      </w:pPr>
      <w:r>
        <w:rPr>
          <w:spacing w:val="-10"/>
        </w:rPr>
        <w:t>国家医保局、人社部印发的《〈国家基本医疗保险、工伤保险和生育保险药品目录〉的</w:t>
      </w:r>
      <w:r>
        <w:rPr>
          <w:spacing w:val="-31"/>
        </w:rPr>
        <w:t>通知》</w:t>
      </w:r>
      <w:r>
        <w:rPr/>
        <w:t>（</w:t>
      </w:r>
      <w:r>
        <w:rPr>
          <w:spacing w:val="-11"/>
        </w:rPr>
        <w:t>以下简称《通知》</w:t>
      </w:r>
      <w:r>
        <w:rPr>
          <w:spacing w:val="-36"/>
        </w:rPr>
        <w:t>）</w:t>
      </w:r>
      <w:r>
        <w:rPr>
          <w:spacing w:val="-8"/>
        </w:rPr>
        <w:t>明确，各地不得自行制定目录或用变通的方法增加目录内药品， </w:t>
      </w:r>
      <w:r>
        <w:rPr/>
        <w:t>也不得自行调整目录内药品的限定支付范围。对于原省级药品目录内按规定调增的乙类药 </w:t>
      </w:r>
      <w:r>
        <w:rPr>
          <w:spacing w:val="-20"/>
        </w:rPr>
        <w:t>品，应在 </w:t>
      </w:r>
      <w:r>
        <w:rPr/>
        <w:t>3</w:t>
      </w:r>
      <w:r>
        <w:rPr>
          <w:spacing w:val="-12"/>
        </w:rPr>
        <w:t> 年内逐步消化。消化过程中，各省应优先将纳入国家重点监控范围的药品调整出支付范围。</w:t>
      </w:r>
    </w:p>
    <w:p>
      <w:pPr>
        <w:pStyle w:val="BodyText"/>
        <w:spacing w:line="312" w:lineRule="auto" w:before="1"/>
        <w:ind w:right="228"/>
      </w:pPr>
      <w:r>
        <w:rPr/>
        <w:t>2019</w:t>
      </w:r>
      <w:r>
        <w:rPr>
          <w:spacing w:val="-8"/>
        </w:rPr>
        <w:t> 年版医保药品目录中的中药饮片、各省</w:t>
      </w:r>
      <w:r>
        <w:rPr/>
        <w:t>（区、市）调整的民族药品和医院制剂的</w:t>
      </w:r>
      <w:r>
        <w:rPr>
          <w:spacing w:val="-6"/>
        </w:rPr>
        <w:t>支付管理办法由省级医疗保障部门自行制定。对于中药饮片，采用准入法管理，地方可根据</w:t>
      </w:r>
      <w:r>
        <w:rPr>
          <w:spacing w:val="-9"/>
        </w:rPr>
        <w:t>本地实际按程序增补；对于民族药，延续《关于完善国家基本药物制度的意见》的要求，即</w:t>
      </w:r>
      <w:r>
        <w:rPr>
          <w:spacing w:val="-8"/>
        </w:rPr>
        <w:t>“原则上各地不增补药品，少数民族地区可增补少量民族药”，少量民族药可以作为基本药</w:t>
      </w:r>
      <w:r>
        <w:rPr/>
        <w:t>物补充进入医保药品目录；对于经省级药品监管部门批准的治疗性医院制剂，可纳入本省</w:t>
      </w:r>
    </w:p>
    <w:p>
      <w:pPr>
        <w:spacing w:line="312" w:lineRule="auto" w:before="0"/>
        <w:ind w:left="639" w:right="846" w:hanging="483"/>
        <w:jc w:val="left"/>
        <w:rPr>
          <w:b/>
          <w:sz w:val="24"/>
        </w:rPr>
      </w:pPr>
      <w:r>
        <w:rPr>
          <w:sz w:val="24"/>
        </w:rPr>
        <w:t>（区、市）基金支付范围的医院制剂目录，并按照有关规定限于特定医疗机构使用。</w:t>
      </w:r>
      <w:r>
        <w:rPr>
          <w:b/>
          <w:sz w:val="24"/>
        </w:rPr>
        <w:t>医保药品目录调整产生的影响</w:t>
      </w:r>
    </w:p>
    <w:p>
      <w:pPr>
        <w:pStyle w:val="BodyText"/>
        <w:spacing w:before="3"/>
        <w:ind w:left="637" w:firstLine="0"/>
      </w:pPr>
      <w:r>
        <w:rPr/>
        <w:t>产业层面：创新药与中药长期向好，临床价值不高药物市场压缩</w:t>
      </w:r>
    </w:p>
    <w:p>
      <w:pPr>
        <w:pStyle w:val="BodyText"/>
        <w:spacing w:line="312" w:lineRule="auto" w:before="91"/>
        <w:ind w:right="127"/>
      </w:pPr>
      <w:r>
        <w:rPr>
          <w:spacing w:val="-1"/>
        </w:rPr>
        <w:t>创新药市场增长可期。谈判准入药品目录数倍扩大，有助于进一步改善医保药品结构， </w:t>
      </w:r>
      <w:r>
        <w:rPr>
          <w:spacing w:val="-5"/>
        </w:rPr>
        <w:t>推动更多的创新药纳入医保药品目录，为创新药拓展市场空间，并通过“以价换量”提升创</w:t>
      </w:r>
      <w:r>
        <w:rPr>
          <w:spacing w:val="-11"/>
        </w:rPr>
        <w:t>新药市场份额。伴随医保动态调整机制的形成，创新药将更容易进入医保药品目录，这将激励企业加大创新研发投入。</w:t>
      </w:r>
    </w:p>
    <w:p>
      <w:pPr>
        <w:pStyle w:val="BodyText"/>
        <w:spacing w:line="312" w:lineRule="auto" w:before="2"/>
        <w:ind w:right="227"/>
      </w:pPr>
      <w:r>
        <w:rPr/>
        <w:t>促进中药饮片行业健康发展。2019</w:t>
      </w:r>
      <w:r>
        <w:rPr>
          <w:spacing w:val="-8"/>
        </w:rPr>
        <w:t> 年版医保药品目录调整，对中药饮片采用准入管理</w:t>
      </w:r>
      <w:r>
        <w:rPr>
          <w:spacing w:val="-12"/>
        </w:rPr>
        <w:t>且规定国家医保药品目录的调整对象仅限按国家药品标准炮制的中药饮片。新的管理方式将</w:t>
      </w:r>
      <w:r>
        <w:rPr>
          <w:spacing w:val="-7"/>
        </w:rPr>
        <w:t>进一步提升中药饮片行业标准，长期来看，对炮制工艺水平高的企业将产生有利影响，部分</w:t>
      </w:r>
      <w:r>
        <w:rPr>
          <w:spacing w:val="-9"/>
        </w:rPr>
        <w:t>中小企业将面临生存危机。同时，国家医保局进一步强调，要规范中成药和中药饮片领域的</w:t>
      </w:r>
      <w:r>
        <w:rPr>
          <w:spacing w:val="-10"/>
        </w:rPr>
        <w:t>医师处方行为，进一步落实保障中药合理用药安全性，进而从用药端促进中药饮片行业规范</w:t>
      </w:r>
      <w:r>
        <w:rPr/>
        <w:t>化发展。</w:t>
      </w:r>
    </w:p>
    <w:p>
      <w:pPr>
        <w:spacing w:after="0" w:line="312" w:lineRule="auto"/>
        <w:sectPr>
          <w:pgSz w:w="11910" w:h="16850"/>
          <w:pgMar w:header="906" w:footer="607" w:top="1100" w:bottom="800" w:left="1120" w:right="900"/>
        </w:sectPr>
      </w:pPr>
    </w:p>
    <w:p>
      <w:pPr>
        <w:pStyle w:val="BodyText"/>
        <w:spacing w:before="79"/>
        <w:ind w:left="637" w:firstLine="0"/>
        <w:jc w:val="both"/>
      </w:pPr>
      <w:r>
        <w:rPr/>
        <w:t>临床价值不高药物市场空间被压缩。第一批国家重点监控合理用药的 20 个药品被全部</w:t>
      </w:r>
    </w:p>
    <w:p>
      <w:pPr>
        <w:pStyle w:val="BodyText"/>
        <w:spacing w:line="312" w:lineRule="auto" w:before="91"/>
        <w:ind w:right="229" w:firstLine="0"/>
        <w:jc w:val="both"/>
      </w:pPr>
      <w:r>
        <w:rPr>
          <w:spacing w:val="-20"/>
        </w:rPr>
        <w:t>调出 </w:t>
      </w:r>
      <w:r>
        <w:rPr/>
        <w:t>2019</w:t>
      </w:r>
      <w:r>
        <w:rPr>
          <w:spacing w:val="-8"/>
        </w:rPr>
        <w:t> 年版医保药品目录，预计相关药品的销量将呈断崖式下跌，这将促进相关企业加大力度调整战略布局。同时，2019 年版医保药品目录对部分药品限定了支付范围，对部分</w:t>
      </w:r>
      <w:r>
        <w:rPr>
          <w:spacing w:val="-13"/>
        </w:rPr>
        <w:t>主要用于门诊治疗的药品限定门诊和个人账户支付，支付范围的限定更加精准和严格，抗生</w:t>
      </w:r>
      <w:r>
        <w:rPr>
          <w:spacing w:val="-11"/>
        </w:rPr>
        <w:t>素、营养制剂、中药注射剂等容易滥用药品的医保支付限定进一步加强，这类药物的市场增</w:t>
      </w:r>
      <w:r>
        <w:rPr/>
        <w:t>长将面临较大挑战。</w:t>
      </w:r>
    </w:p>
    <w:p>
      <w:pPr>
        <w:pStyle w:val="Heading3"/>
        <w:spacing w:before="3"/>
      </w:pPr>
      <w:r>
        <w:rPr>
          <w:w w:val="95"/>
        </w:rPr>
        <w:t>医保层面：提高医保资金使用效益和管理水平</w:t>
      </w:r>
    </w:p>
    <w:p>
      <w:pPr>
        <w:pStyle w:val="BodyText"/>
        <w:spacing w:line="312" w:lineRule="auto" w:before="91"/>
        <w:ind w:right="107"/>
      </w:pPr>
      <w:r>
        <w:rPr>
          <w:spacing w:val="-7"/>
        </w:rPr>
        <w:t>医保利用效率进一步提升。本次医保药品目录调整一方面将临床价值不高、滥用明显的</w:t>
      </w:r>
      <w:r>
        <w:rPr>
          <w:spacing w:val="-11"/>
        </w:rPr>
        <w:t>药品调出，减少了医保的过度支出和浪费；另一方面新增临床紧缺、用药负担重的药品，增</w:t>
      </w:r>
      <w:r>
        <w:rPr>
          <w:spacing w:val="-19"/>
        </w:rPr>
        <w:t>加甲类药品、医保完全支付的药品数量，提高了医保的利用效率和参保人员的医疗保障水平。</w:t>
      </w:r>
      <w:r>
        <w:rPr/>
        <w:t>同时与“4+7”带量采购政策联动实施，伴随着药品品种和城市范围的扩大，以量换价使药价进一步降低，有利于整体提高医保的有效支出。</w:t>
      </w:r>
    </w:p>
    <w:p>
      <w:pPr>
        <w:pStyle w:val="BodyText"/>
        <w:spacing w:line="312" w:lineRule="auto" w:before="3"/>
        <w:ind w:right="227"/>
        <w:jc w:val="both"/>
      </w:pPr>
      <w:r>
        <w:rPr>
          <w:spacing w:val="-10"/>
        </w:rPr>
        <w:t>医保支付管理进一步规范。《通知》强调，各省级医疗保障部门和人力资源社会保障部门要加强指导，做好统筹协调，逐步推进省域范围内医疗保险、工伤保险和生育保险药品管理政策趋向统一。各统筹地区医疗保障部门应在省级医疗保障部门的指导下，根据医保基金</w:t>
      </w:r>
      <w:r>
        <w:rPr>
          <w:spacing w:val="-8"/>
        </w:rPr>
        <w:t>的负担能力和管理要求，制定医保药品目录甲乙类药品相应的支付办法。对规定有限定支付</w:t>
      </w:r>
      <w:r>
        <w:rPr/>
        <w:t>范围的药品，要制定审核支付细则，并加强临床依据的核查。</w:t>
      </w:r>
    </w:p>
    <w:p>
      <w:pPr>
        <w:pStyle w:val="BodyText"/>
        <w:spacing w:line="312" w:lineRule="auto" w:before="1"/>
        <w:ind w:right="226"/>
        <w:jc w:val="both"/>
      </w:pPr>
      <w:r>
        <w:rPr>
          <w:spacing w:val="-8"/>
        </w:rPr>
        <w:t>医保公平性进一步提升。对地方决策权进行限制将有利于医保基金的统筹安排，增强医</w:t>
      </w:r>
      <w:r>
        <w:rPr>
          <w:spacing w:val="-10"/>
        </w:rPr>
        <w:t>保的公平性。中药饮片由排除法改为准入法之后，在一定程度上使不同地区的保障范围相对</w:t>
      </w:r>
      <w:r>
        <w:rPr/>
        <w:t>统一，提升了保障政策的公平性。</w:t>
      </w:r>
    </w:p>
    <w:p>
      <w:pPr>
        <w:pStyle w:val="Heading3"/>
        <w:spacing w:before="1"/>
      </w:pPr>
      <w:r>
        <w:rPr/>
        <w:t>病患层面：以更低价格用上好药</w:t>
      </w:r>
    </w:p>
    <w:p>
      <w:pPr>
        <w:pStyle w:val="BodyText"/>
        <w:spacing w:line="312" w:lineRule="auto" w:before="93"/>
        <w:ind w:right="227"/>
        <w:jc w:val="both"/>
      </w:pPr>
      <w:r>
        <w:rPr>
          <w:spacing w:val="-6"/>
        </w:rPr>
        <w:t>医疗负担降低与治疗效果提升相协同。此次医保药品目录调整，将临床价值不高、滥用</w:t>
      </w:r>
      <w:r>
        <w:rPr>
          <w:spacing w:val="-10"/>
        </w:rPr>
        <w:t>明显、有更好替代的药品调出，新增临床紧缺、用药负担重的药品，既减少了患者的无效治</w:t>
      </w:r>
      <w:r>
        <w:rPr>
          <w:spacing w:val="-9"/>
        </w:rPr>
        <w:t>疗和过度医疗，又提高了患者的治疗效果和治愈率，从而达到既能降低患者的医疗负担，又</w:t>
      </w:r>
      <w:r>
        <w:rPr/>
        <w:t>能提高其生活质量的目的。</w:t>
      </w:r>
    </w:p>
    <w:p>
      <w:pPr>
        <w:pStyle w:val="BodyText"/>
        <w:spacing w:line="312" w:lineRule="auto"/>
        <w:ind w:right="227"/>
        <w:jc w:val="both"/>
      </w:pPr>
      <w:r>
        <w:rPr>
          <w:spacing w:val="-6"/>
        </w:rPr>
        <w:t>谈判药品降低价格与增加临床使用相协同。此次确定的 </w:t>
      </w:r>
      <w:r>
        <w:rPr/>
        <w:t>128</w:t>
      </w:r>
      <w:r>
        <w:rPr>
          <w:spacing w:val="-12"/>
        </w:rPr>
        <w:t> 个拟谈判药品，基本为临床</w:t>
      </w:r>
      <w:r>
        <w:rPr>
          <w:spacing w:val="-5"/>
        </w:rPr>
        <w:t>价值高但价格昂贵或对医保基金影响较大的专利独家品种，通过谈判将大幅降低其价格。伴</w:t>
      </w:r>
      <w:r>
        <w:rPr>
          <w:spacing w:val="-6"/>
        </w:rPr>
        <w:t>随国家谈判药品优惠政策进一步落实，谈判药品由于实行单独核算，不计入药占比，将使医</w:t>
      </w:r>
      <w:r>
        <w:rPr/>
        <w:t>疗机构能够放心用药，保障谈判药品的临床使用。</w:t>
      </w:r>
    </w:p>
    <w:p>
      <w:pPr>
        <w:pStyle w:val="BodyText"/>
        <w:spacing w:line="300" w:lineRule="auto" w:before="2"/>
        <w:ind w:right="227"/>
        <w:jc w:val="both"/>
        <w:rPr>
          <w:rFonts w:ascii="Meiryo" w:eastAsia="Meiryo" w:hint="eastAsia"/>
          <w:b/>
        </w:rPr>
      </w:pPr>
      <w:r>
        <w:rPr>
          <w:spacing w:val="-7"/>
        </w:rPr>
        <w:t>在国家大力鼓励研发创新的当下，医药行业已经开始向创新转型。相信未来医保药品目</w:t>
      </w:r>
      <w:r>
        <w:rPr>
          <w:spacing w:val="-8"/>
        </w:rPr>
        <w:t>录调整会遵循小步动态调整的原则，做好临床急需且具有突出社会效益与经济效益的药品纳</w:t>
      </w:r>
      <w:r>
        <w:rPr>
          <w:spacing w:val="-10"/>
        </w:rPr>
        <w:t>入工作，使其尽快服务于提高医保基金使用效率、降低群众医药费用负担的目标，以最快速</w:t>
      </w:r>
      <w:r>
        <w:rPr/>
        <w:t>度、最大限度惠及民生，助力医药科技创新向良性循环转变。 </w:t>
      </w:r>
      <w:r>
        <w:rPr>
          <w:rFonts w:ascii="Meiryo" w:eastAsia="Meiryo" w:hint="eastAsia"/>
          <w:b/>
          <w:color w:val="0033CC"/>
        </w:rPr>
        <w:t>[返回目次]</w:t>
      </w:r>
    </w:p>
    <w:p>
      <w:pPr>
        <w:spacing w:after="0" w:line="300" w:lineRule="auto"/>
        <w:jc w:val="both"/>
        <w:rPr>
          <w:rFonts w:ascii="Meiryo" w:eastAsia="Meiryo" w:hint="eastAsia"/>
        </w:rPr>
        <w:sectPr>
          <w:pgSz w:w="11910" w:h="16850"/>
          <w:pgMar w:header="906" w:footer="607" w:top="1100" w:bottom="800" w:left="1120" w:right="900"/>
        </w:sectPr>
      </w:pPr>
    </w:p>
    <w:p>
      <w:pPr>
        <w:pStyle w:val="Heading2"/>
        <w:spacing w:before="13"/>
        <w:ind w:left="157"/>
      </w:pPr>
      <w:bookmarkStart w:name="_TOC_250030" w:id="2"/>
      <w:bookmarkEnd w:id="2"/>
      <w:r>
        <w:rPr/>
        <w:t>【数据公报】</w:t>
      </w:r>
    </w:p>
    <w:p>
      <w:pPr>
        <w:pStyle w:val="BodyText"/>
        <w:spacing w:before="9"/>
        <w:ind w:left="0" w:firstLine="0"/>
        <w:rPr>
          <w:b/>
          <w:sz w:val="18"/>
        </w:rPr>
      </w:pPr>
    </w:p>
    <w:p>
      <w:pPr>
        <w:pStyle w:val="Heading2"/>
        <w:spacing w:before="54"/>
        <w:ind w:right="236"/>
        <w:jc w:val="center"/>
      </w:pPr>
      <w:bookmarkStart w:name="_TOC_250029" w:id="3"/>
      <w:bookmarkEnd w:id="3"/>
      <w:r>
        <w:rPr/>
        <w:t>第五批过度重复药品目录公布</w:t>
      </w:r>
    </w:p>
    <w:p>
      <w:pPr>
        <w:pStyle w:val="BodyText"/>
        <w:spacing w:before="64"/>
        <w:ind w:left="403" w:firstLine="0"/>
        <w:jc w:val="center"/>
      </w:pPr>
      <w:r>
        <w:rPr/>
        <w:t>包含 303 个通用名品种，均为临床多发病、常见病用药</w:t>
      </w:r>
    </w:p>
    <w:p>
      <w:pPr>
        <w:pStyle w:val="Heading3"/>
        <w:spacing w:before="175"/>
        <w:ind w:left="0" w:right="228"/>
        <w:jc w:val="right"/>
        <w:rPr>
          <w:rFonts w:ascii="楷体" w:eastAsia="楷体" w:hint="eastAsia"/>
        </w:rPr>
      </w:pPr>
      <w:r>
        <w:rPr>
          <w:rFonts w:ascii="楷体" w:eastAsia="楷体" w:hint="eastAsia"/>
          <w:color w:val="FF0000"/>
          <w:w w:val="95"/>
        </w:rPr>
        <w:t>（来源：中国医药报）</w:t>
      </w:r>
    </w:p>
    <w:p>
      <w:pPr>
        <w:pStyle w:val="BodyText"/>
        <w:spacing w:line="295" w:lineRule="auto" w:before="95"/>
        <w:ind w:right="305"/>
      </w:pPr>
      <w:r>
        <w:rPr/>
        <w:t>9</w:t>
      </w:r>
      <w:r>
        <w:rPr>
          <w:spacing w:val="-41"/>
        </w:rPr>
        <w:t> 月 </w:t>
      </w:r>
      <w:r>
        <w:rPr/>
        <w:t>6</w:t>
      </w:r>
      <w:r>
        <w:rPr>
          <w:spacing w:val="-10"/>
        </w:rPr>
        <w:t> 日，以“推进药学科学发展，服务健康中国战略”为主题的 </w:t>
      </w:r>
      <w:r>
        <w:rPr/>
        <w:t>2019</w:t>
      </w:r>
      <w:r>
        <w:rPr>
          <w:spacing w:val="-11"/>
        </w:rPr>
        <w:t> 年中国药学大</w:t>
      </w:r>
      <w:r>
        <w:rPr/>
        <w:t>会在石家庄市召开。大会开幕式上，中国药学会发布了第五批过度重复药品目录。</w:t>
      </w:r>
    </w:p>
    <w:p>
      <w:pPr>
        <w:pStyle w:val="BodyText"/>
        <w:spacing w:before="5"/>
        <w:ind w:left="637" w:firstLine="0"/>
      </w:pPr>
      <w:r>
        <w:rPr/>
        <w:t>第五批过度重复药品目录共包含 303 个通用名品种，涉及临床药理学和治疗学分类的</w:t>
      </w:r>
    </w:p>
    <w:p>
      <w:pPr>
        <w:pStyle w:val="BodyText"/>
        <w:spacing w:line="297" w:lineRule="auto" w:before="72"/>
        <w:ind w:right="108" w:firstLine="0"/>
      </w:pPr>
      <w:r>
        <w:rPr/>
        <w:t>14</w:t>
      </w:r>
      <w:r>
        <w:rPr>
          <w:spacing w:val="-13"/>
        </w:rPr>
        <w:t> 个大类、</w:t>
      </w:r>
      <w:r>
        <w:rPr/>
        <w:t>60</w:t>
      </w:r>
      <w:r>
        <w:rPr>
          <w:spacing w:val="-8"/>
        </w:rPr>
        <w:t> 个亚类，均为临床多发病、常见病用药。目录通用名品种占全部化药及生物</w:t>
      </w:r>
      <w:r>
        <w:rPr>
          <w:spacing w:val="-14"/>
        </w:rPr>
        <w:t>制品通用名总数的 </w:t>
      </w:r>
      <w:r>
        <w:rPr/>
        <w:t>10.39%</w:t>
      </w:r>
      <w:r>
        <w:rPr>
          <w:spacing w:val="-13"/>
        </w:rPr>
        <w:t>，其涉及的有效批文数占化药及生物制品制剂批文总数的 </w:t>
      </w:r>
      <w:r>
        <w:rPr/>
        <w:t>68.09%</w:t>
      </w:r>
      <w:r>
        <w:rPr>
          <w:spacing w:val="-15"/>
        </w:rPr>
        <w:t>。</w:t>
      </w:r>
      <w:r>
        <w:rPr>
          <w:spacing w:val="-3"/>
        </w:rPr>
        <w:t>与第四批过度重复药品提示信息相比，本次目录调入 </w:t>
      </w:r>
      <w:r>
        <w:rPr/>
        <w:t>7</w:t>
      </w:r>
      <w:r>
        <w:rPr>
          <w:spacing w:val="-8"/>
        </w:rPr>
        <w:t> 个通用名品种，分别为阿德福韦酯、</w:t>
      </w:r>
      <w:r>
        <w:rPr>
          <w:spacing w:val="-14"/>
        </w:rPr>
        <w:t>吡罗昔康、复方氨酚那敏、酮洛芬、氯芬黄敏、胃膜素、颠茄磺苄啶，调出维生素 </w:t>
      </w:r>
      <w:r>
        <w:rPr/>
        <w:t>E</w:t>
      </w:r>
      <w:r>
        <w:rPr>
          <w:spacing w:val="-15"/>
        </w:rPr>
        <w:t> 烟酸酯</w:t>
      </w:r>
      <w:r>
        <w:rPr/>
        <w:t>1</w:t>
      </w:r>
      <w:r>
        <w:rPr>
          <w:spacing w:val="-60"/>
        </w:rPr>
        <w:t> </w:t>
      </w:r>
      <w:r>
        <w:rPr>
          <w:spacing w:val="-5"/>
        </w:rPr>
        <w:t>个通用名品种。目录不含相关通用名品种项下的特殊剂型、质量标准或者质量有较大提升的品种、临床短缺品种及儿童药。</w:t>
      </w:r>
    </w:p>
    <w:p>
      <w:pPr>
        <w:pStyle w:val="BodyText"/>
        <w:spacing w:line="297" w:lineRule="auto"/>
        <w:ind w:right="127"/>
      </w:pPr>
      <w:r>
        <w:rPr>
          <w:spacing w:val="-5"/>
        </w:rPr>
        <w:t>中国药学会提示相关药品生产企业和研发机构，要充分了解市场供需状况，科学评估药</w:t>
      </w:r>
      <w:r>
        <w:rPr>
          <w:spacing w:val="-12"/>
        </w:rPr>
        <w:t>品研发风险，慎重进行投资经营决策；建议各级药监部门加强对相关药品注册申请的受理审</w:t>
      </w:r>
      <w:r>
        <w:rPr>
          <w:spacing w:val="-13"/>
        </w:rPr>
        <w:t>查、研制现场核查和生产现场检查，引导企业理性研发和申报，减少研发和审评资源浪费， </w:t>
      </w:r>
      <w:r>
        <w:rPr/>
        <w:t>为有临床价值的新药和临床急需仿制药进入市场节约时间和资源。</w:t>
      </w:r>
    </w:p>
    <w:p>
      <w:pPr>
        <w:pStyle w:val="BodyText"/>
        <w:spacing w:line="297" w:lineRule="auto"/>
        <w:ind w:right="227"/>
        <w:jc w:val="both"/>
      </w:pPr>
      <w:r>
        <w:rPr>
          <w:spacing w:val="-9"/>
        </w:rPr>
        <w:t>据悉，为落实国务院发布的《关于改革药品医疗器械审评审批制度的意见》，中国药学</w:t>
      </w:r>
      <w:r>
        <w:rPr>
          <w:spacing w:val="-14"/>
        </w:rPr>
        <w:t>会与国家药品监管局南方医药经济研究所、信息中心，应用全国医药经济信息网数据库、中</w:t>
      </w:r>
      <w:r>
        <w:rPr>
          <w:spacing w:val="-5"/>
        </w:rPr>
        <w:t>国药品零售市场用药分析系统数据库和我国药品已有批文数据库，承接并长期开展“过度重</w:t>
      </w:r>
      <w:r>
        <w:rPr>
          <w:spacing w:val="-3"/>
        </w:rPr>
        <w:t>复类和鼓励类药品审批目录动态监测研究”工作。自 </w:t>
      </w:r>
      <w:r>
        <w:rPr/>
        <w:t>2016</w:t>
      </w:r>
      <w:r>
        <w:rPr>
          <w:spacing w:val="-8"/>
        </w:rPr>
        <w:t> 年开始，国家药品监管部门连续</w:t>
      </w:r>
    </w:p>
    <w:p>
      <w:pPr>
        <w:pStyle w:val="BodyText"/>
        <w:spacing w:line="304" w:lineRule="exact"/>
        <w:ind w:firstLine="0"/>
      </w:pPr>
      <w:r>
        <w:rPr>
          <w:spacing w:val="-5"/>
        </w:rPr>
        <w:t>发布三批过度重复药品提示信息公告，第一批发布 </w:t>
      </w:r>
      <w:r>
        <w:rPr/>
        <w:t>282</w:t>
      </w:r>
      <w:r>
        <w:rPr>
          <w:spacing w:val="-16"/>
        </w:rPr>
        <w:t> 个品种，第二批发布 </w:t>
      </w:r>
      <w:r>
        <w:rPr/>
        <w:t>294</w:t>
      </w:r>
      <w:r>
        <w:rPr>
          <w:spacing w:val="-16"/>
        </w:rPr>
        <w:t> 个品种，第</w:t>
      </w:r>
    </w:p>
    <w:p>
      <w:pPr>
        <w:pStyle w:val="BodyText"/>
        <w:spacing w:before="58"/>
        <w:ind w:firstLine="0"/>
      </w:pPr>
      <w:r>
        <w:rPr/>
        <w:t>三批发布 298 个品种；2018 年 9 月，中国药学会发布第四批过度重复药品提示信息公告，</w:t>
      </w:r>
    </w:p>
    <w:p>
      <w:pPr>
        <w:pStyle w:val="BodyText"/>
        <w:spacing w:line="297" w:lineRule="auto" w:before="72"/>
        <w:ind w:right="227" w:firstLine="0"/>
      </w:pPr>
      <w:r>
        <w:rPr>
          <w:spacing w:val="-30"/>
        </w:rPr>
        <w:t>共 </w:t>
      </w:r>
      <w:r>
        <w:rPr/>
        <w:t>297</w:t>
      </w:r>
      <w:r>
        <w:rPr>
          <w:spacing w:val="-14"/>
        </w:rPr>
        <w:t> 个品种。这项工作对推进药品审评审批制度改革，引导企业及研发机构有序研发，优</w:t>
      </w:r>
      <w:r>
        <w:rPr/>
        <w:t>化研发资源配置起到了积极作用。</w:t>
      </w:r>
    </w:p>
    <w:p>
      <w:pPr>
        <w:pStyle w:val="BodyText"/>
        <w:spacing w:line="297" w:lineRule="auto"/>
        <w:ind w:right="226"/>
        <w:jc w:val="both"/>
      </w:pPr>
      <w:r>
        <w:rPr>
          <w:spacing w:val="-6"/>
        </w:rPr>
        <w:t>过度重复药品提示信息的发布及动态更新，可明确提示研发机构调整研发策略，减少乃</w:t>
      </w:r>
      <w:r>
        <w:rPr>
          <w:spacing w:val="-7"/>
        </w:rPr>
        <w:t>至停止过度重复品种的注册申请，实现药品审评审批资源向创新药和首仿药转移；提示药品</w:t>
      </w:r>
      <w:r>
        <w:rPr>
          <w:spacing w:val="-8"/>
        </w:rPr>
        <w:t>生产企业调整生产决策，在保证药品质量和保障供应前提下，开展良性市场竞争。该目录亦</w:t>
      </w:r>
      <w:r>
        <w:rPr>
          <w:spacing w:val="-6"/>
        </w:rPr>
        <w:t>可作为科学安排产业和产品结构调整的决策参考依据，引导医药工业提高集中度，加快产业</w:t>
      </w:r>
      <w:r>
        <w:rPr>
          <w:spacing w:val="-11"/>
        </w:rPr>
        <w:t>转型升级，实现高质量发展；作为科学确定“分类采购”方式的参考依据，指导药品集中采</w:t>
      </w:r>
      <w:r>
        <w:rPr/>
        <w:t>购，保证药品供应。</w:t>
      </w:r>
    </w:p>
    <w:p>
      <w:pPr>
        <w:pStyle w:val="BodyText"/>
        <w:spacing w:line="297" w:lineRule="auto"/>
        <w:ind w:right="127"/>
      </w:pPr>
      <w:r>
        <w:rPr/>
        <w:t>本次大会由中国药学会、石家庄市人民政府主办，河北省药学会、河北医科大学承办， 石药控股集团有限公司、南京海辰药业股份有限公司、上海复星医药（集团）股份有限公司协办。</w:t>
      </w:r>
    </w:p>
    <w:p>
      <w:pPr>
        <w:pStyle w:val="BodyText"/>
        <w:spacing w:line="259" w:lineRule="auto"/>
        <w:ind w:right="363"/>
        <w:rPr>
          <w:rFonts w:ascii="Meiryo" w:eastAsia="Meiryo" w:hint="eastAsia"/>
          <w:b/>
        </w:rPr>
      </w:pPr>
      <w:r>
        <w:rPr/>
        <w:t>第 五 批 过 度 重 复 药 品 目 录 可 连 接 下 载 ： </w:t>
      </w:r>
      <w:hyperlink r:id="rId14">
        <w:r>
          <w:rPr/>
          <w:t>http://www.cpa.org.cn/cpadmn/attached/file/20190905/1567672168978757.pdf </w:t>
        </w:r>
      </w:hyperlink>
      <w:r>
        <w:rPr>
          <w:rFonts w:ascii="Meiryo" w:eastAsia="Meiryo" w:hint="eastAsia"/>
          <w:b/>
          <w:color w:val="0033CC"/>
        </w:rPr>
        <w:t>[返回</w:t>
      </w:r>
    </w:p>
    <w:p>
      <w:pPr>
        <w:pStyle w:val="Heading3"/>
        <w:spacing w:line="345" w:lineRule="exact"/>
        <w:ind w:left="157"/>
        <w:rPr>
          <w:rFonts w:ascii="Meiryo" w:eastAsia="Meiryo" w:hint="eastAsia"/>
        </w:rPr>
      </w:pPr>
      <w:r>
        <w:rPr>
          <w:rFonts w:ascii="Meiryo" w:eastAsia="Meiryo" w:hint="eastAsia"/>
          <w:color w:val="0033CC"/>
        </w:rPr>
        <w:t>目次]</w:t>
      </w:r>
    </w:p>
    <w:p>
      <w:pPr>
        <w:spacing w:after="0" w:line="345" w:lineRule="exact"/>
        <w:rPr>
          <w:rFonts w:ascii="Meiryo" w:eastAsia="Meiryo" w:hint="eastAsia"/>
        </w:rPr>
        <w:sectPr>
          <w:pgSz w:w="11910" w:h="16850"/>
          <w:pgMar w:header="906" w:footer="607" w:top="1100" w:bottom="800" w:left="1120" w:right="900"/>
        </w:sectPr>
      </w:pPr>
    </w:p>
    <w:p>
      <w:pPr>
        <w:pStyle w:val="Heading2"/>
        <w:spacing w:line="395" w:lineRule="exact"/>
        <w:ind w:left="2293"/>
      </w:pPr>
      <w:bookmarkStart w:name="_TOC_250028" w:id="4"/>
      <w:r>
        <w:rPr/>
        <w:t>2018</w:t>
      </w:r>
      <w:bookmarkEnd w:id="4"/>
      <w:r>
        <w:rPr>
          <w:spacing w:val="-11"/>
        </w:rPr>
        <w:t> 年度中国医药工业百强企业发布</w:t>
      </w:r>
    </w:p>
    <w:p>
      <w:pPr>
        <w:pStyle w:val="BodyText"/>
        <w:ind w:left="0" w:firstLine="0"/>
        <w:rPr>
          <w:b/>
        </w:rPr>
      </w:pPr>
      <w:r>
        <w:rPr/>
        <w:br w:type="column"/>
      </w:r>
      <w:r>
        <w:rPr>
          <w:b/>
        </w:rPr>
      </w:r>
    </w:p>
    <w:p>
      <w:pPr>
        <w:pStyle w:val="BodyText"/>
        <w:spacing w:before="2"/>
        <w:ind w:left="0" w:firstLine="0"/>
        <w:rPr>
          <w:b/>
          <w:sz w:val="18"/>
        </w:rPr>
      </w:pPr>
    </w:p>
    <w:p>
      <w:pPr>
        <w:spacing w:before="0"/>
        <w:ind w:left="173"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pgSz w:w="11910" w:h="16850"/>
          <w:pgMar w:header="906" w:footer="607" w:top="1100" w:bottom="800" w:left="1120" w:right="900"/>
          <w:cols w:num="2" w:equalWidth="0">
            <w:col w:w="7515" w:space="40"/>
            <w:col w:w="2335"/>
          </w:cols>
        </w:sectPr>
      </w:pPr>
    </w:p>
    <w:p>
      <w:pPr>
        <w:pStyle w:val="BodyText"/>
        <w:spacing w:line="297" w:lineRule="auto" w:before="96"/>
        <w:ind w:right="229"/>
        <w:jc w:val="both"/>
      </w:pPr>
      <w:r>
        <w:rPr>
          <w:spacing w:val="-9"/>
        </w:rPr>
        <w:t>日前，由中国医药工业信息中心主办的 </w:t>
      </w:r>
      <w:r>
        <w:rPr/>
        <w:t>2019</w:t>
      </w:r>
      <w:r>
        <w:rPr>
          <w:spacing w:val="-47"/>
        </w:rPr>
        <w:t> 年</w:t>
      </w:r>
      <w:r>
        <w:rPr/>
        <w:t>（</w:t>
      </w:r>
      <w:r>
        <w:rPr>
          <w:spacing w:val="-30"/>
        </w:rPr>
        <w:t>第 </w:t>
      </w:r>
      <w:r>
        <w:rPr/>
        <w:t>36</w:t>
      </w:r>
      <w:r>
        <w:rPr>
          <w:spacing w:val="-30"/>
        </w:rPr>
        <w:t> 届</w:t>
      </w:r>
      <w:r>
        <w:rPr>
          <w:spacing w:val="-34"/>
        </w:rPr>
        <w:t>）</w:t>
      </w:r>
      <w:r>
        <w:rPr>
          <w:spacing w:val="-3"/>
        </w:rPr>
        <w:t>全国医药工业信息年会在江</w:t>
      </w:r>
      <w:r>
        <w:rPr>
          <w:spacing w:val="-4"/>
        </w:rPr>
        <w:t>苏省连云港市召开，会上发布了 </w:t>
      </w:r>
      <w:r>
        <w:rPr/>
        <w:t>2018</w:t>
      </w:r>
      <w:r>
        <w:rPr>
          <w:spacing w:val="-8"/>
        </w:rPr>
        <w:t> 年度中国医药工业百强企业榜单。</w:t>
      </w:r>
    </w:p>
    <w:p>
      <w:pPr>
        <w:pStyle w:val="BodyText"/>
        <w:spacing w:line="295" w:lineRule="auto"/>
        <w:ind w:right="126"/>
        <w:jc w:val="both"/>
      </w:pPr>
      <w:r>
        <w:rPr>
          <w:spacing w:val="-1"/>
        </w:rPr>
        <w:t>国家药品监督管理局药品注册管理司相关负责人表示，</w:t>
      </w:r>
      <w:r>
        <w:rPr>
          <w:spacing w:val="-5"/>
        </w:rPr>
        <w:t>2018</w:t>
      </w:r>
      <w:r>
        <w:rPr>
          <w:spacing w:val="-18"/>
        </w:rPr>
        <w:t> 年，我国批准的 </w:t>
      </w:r>
      <w:r>
        <w:rPr/>
        <w:t>48</w:t>
      </w:r>
      <w:r>
        <w:rPr>
          <w:spacing w:val="-15"/>
        </w:rPr>
        <w:t> 个创新</w:t>
      </w:r>
      <w:r>
        <w:rPr>
          <w:spacing w:val="-27"/>
        </w:rPr>
        <w:t>药中有 </w:t>
      </w:r>
      <w:r>
        <w:rPr/>
        <w:t>10</w:t>
      </w:r>
      <w:r>
        <w:rPr>
          <w:spacing w:val="-11"/>
        </w:rPr>
        <w:t> 个自主创新药，抗癌新药的平均审评时长缩短为 </w:t>
      </w:r>
      <w:r>
        <w:rPr/>
        <w:t>12</w:t>
      </w:r>
      <w:r>
        <w:rPr>
          <w:spacing w:val="-9"/>
        </w:rPr>
        <w:t> 个月，与发达国家日趋一致，</w:t>
      </w:r>
    </w:p>
    <w:p>
      <w:pPr>
        <w:pStyle w:val="BodyText"/>
        <w:spacing w:line="295" w:lineRule="auto" w:before="2"/>
        <w:ind w:right="227" w:firstLine="0"/>
        <w:jc w:val="both"/>
      </w:pPr>
      <w:r>
        <w:rPr>
          <w:spacing w:val="-9"/>
        </w:rPr>
        <w:t>临床迫切需求的境外新药加速上市；《中国上市药品目录集》收录 </w:t>
      </w:r>
      <w:r>
        <w:rPr/>
        <w:t>770</w:t>
      </w:r>
      <w:r>
        <w:rPr>
          <w:spacing w:val="-9"/>
        </w:rPr>
        <w:t> 余个新批准上市或通</w:t>
      </w:r>
      <w:r>
        <w:rPr>
          <w:spacing w:val="-6"/>
        </w:rPr>
        <w:t>过仿制药质量和疗效一致性评价的药品，树立了药品创新研发和仿制的标杆和规范；药品上</w:t>
      </w:r>
      <w:r>
        <w:rPr>
          <w:spacing w:val="-4"/>
        </w:rPr>
        <w:t>市许可持有人制度试点以来，截至今年 </w:t>
      </w:r>
      <w:r>
        <w:rPr/>
        <w:t>7</w:t>
      </w:r>
      <w:r>
        <w:rPr>
          <w:spacing w:val="-13"/>
        </w:rPr>
        <w:t> 月底，药监部门共受理 </w:t>
      </w:r>
      <w:r>
        <w:rPr/>
        <w:t>2437</w:t>
      </w:r>
      <w:r>
        <w:rPr>
          <w:spacing w:val="-12"/>
        </w:rPr>
        <w:t> 件申请。</w:t>
      </w:r>
    </w:p>
    <w:p>
      <w:pPr>
        <w:pStyle w:val="BodyText"/>
        <w:spacing w:line="295" w:lineRule="auto" w:before="6"/>
        <w:ind w:right="228"/>
        <w:jc w:val="both"/>
      </w:pPr>
      <w:r>
        <w:rPr/>
        <w:t>据中国医药工业信息中心统计分析，2018</w:t>
      </w:r>
      <w:r>
        <w:rPr>
          <w:spacing w:val="-8"/>
        </w:rPr>
        <w:t> 年度中国医药工业百强榜上榜企业延续了一</w:t>
      </w:r>
      <w:r>
        <w:rPr>
          <w:spacing w:val="-12"/>
        </w:rPr>
        <w:t>贯的强劲增长势头，主营业务收入规模 </w:t>
      </w:r>
      <w:r>
        <w:rPr/>
        <w:t>8395.5</w:t>
      </w:r>
      <w:r>
        <w:rPr>
          <w:spacing w:val="-18"/>
        </w:rPr>
        <w:t> 亿元，增速达 </w:t>
      </w:r>
      <w:r>
        <w:rPr>
          <w:spacing w:val="-3"/>
        </w:rPr>
        <w:t>11.8%</w:t>
      </w:r>
      <w:r>
        <w:rPr>
          <w:spacing w:val="-14"/>
        </w:rPr>
        <w:t>，诞生了 </w:t>
      </w:r>
      <w:r>
        <w:rPr/>
        <w:t>22</w:t>
      </w:r>
      <w:r>
        <w:rPr>
          <w:spacing w:val="-13"/>
        </w:rPr>
        <w:t> 家“百亿企</w:t>
      </w:r>
    </w:p>
    <w:p>
      <w:pPr>
        <w:pStyle w:val="BodyText"/>
        <w:spacing w:before="2"/>
        <w:ind w:firstLine="0"/>
        <w:jc w:val="both"/>
      </w:pPr>
      <w:r>
        <w:rPr/>
        <w:t>业”。百强榜门槛小幅提升 2%，由上年的 25.6 亿元提升至 26.1 亿元。</w:t>
      </w:r>
    </w:p>
    <w:p>
      <w:pPr>
        <w:pStyle w:val="BodyText"/>
        <w:spacing w:line="295" w:lineRule="auto" w:before="74"/>
        <w:ind w:right="127"/>
      </w:pPr>
      <w:r>
        <w:rPr/>
        <w:t>中国医药工业信息中心主任郭文表示，百强企业以优异的成绩在业务提升、结构优化、国际布局、提质增效、创新突破等方面均有所建树，我国医药产业正逐步迈向规模经济。</w:t>
      </w:r>
    </w:p>
    <w:p>
      <w:pPr>
        <w:pStyle w:val="BodyText"/>
        <w:spacing w:line="261" w:lineRule="auto" w:before="2"/>
        <w:ind w:right="229"/>
        <w:rPr>
          <w:rFonts w:ascii="Meiryo" w:eastAsia="Meiryo" w:hint="eastAsia"/>
          <w:b/>
        </w:rPr>
      </w:pPr>
      <w:r>
        <w:rPr>
          <w:spacing w:val="-8"/>
        </w:rPr>
        <w:t>会议同时发布了 </w:t>
      </w:r>
      <w:r>
        <w:rPr/>
        <w:t>2019</w:t>
      </w:r>
      <w:r>
        <w:rPr>
          <w:spacing w:val="-10"/>
        </w:rPr>
        <w:t> 年中国医药研发产品线最佳工业企业、</w:t>
      </w:r>
      <w:r>
        <w:rPr/>
        <w:t>2019</w:t>
      </w:r>
      <w:r>
        <w:rPr>
          <w:spacing w:val="-9"/>
        </w:rPr>
        <w:t> 年中国医药工业最具</w:t>
      </w:r>
      <w:r>
        <w:rPr/>
        <w:t>投资价值企业（非上市）</w:t>
      </w:r>
      <w:r>
        <w:rPr>
          <w:spacing w:val="-30"/>
        </w:rPr>
        <w:t>和 </w:t>
      </w:r>
      <w:r>
        <w:rPr/>
        <w:t>2019</w:t>
      </w:r>
      <w:r>
        <w:rPr>
          <w:spacing w:val="-8"/>
        </w:rPr>
        <w:t> 年中国医药工业最具成长力企业榜单。</w:t>
      </w:r>
      <w:r>
        <w:rPr>
          <w:rFonts w:ascii="Meiryo" w:eastAsia="Meiryo" w:hint="eastAsia"/>
          <w:b/>
          <w:color w:val="0033CC"/>
        </w:rPr>
        <w:t>[返回目次]</w:t>
      </w:r>
    </w:p>
    <w:p>
      <w:pPr>
        <w:pStyle w:val="Heading2"/>
        <w:spacing w:before="23"/>
        <w:ind w:left="157"/>
      </w:pPr>
      <w:bookmarkStart w:name="_TOC_250027" w:id="5"/>
      <w:bookmarkEnd w:id="5"/>
      <w:r>
        <w:rPr/>
        <w:t>【医院管理】</w:t>
      </w:r>
    </w:p>
    <w:p>
      <w:pPr>
        <w:pStyle w:val="BodyText"/>
        <w:spacing w:before="12"/>
        <w:ind w:left="0" w:firstLine="0"/>
        <w:rPr>
          <w:b/>
          <w:sz w:val="12"/>
        </w:rPr>
      </w:pPr>
    </w:p>
    <w:p>
      <w:pPr>
        <w:pStyle w:val="BodyText"/>
        <w:spacing w:before="66"/>
        <w:ind w:left="160" w:right="234" w:firstLine="0"/>
        <w:jc w:val="center"/>
      </w:pPr>
      <w:r>
        <w:rPr/>
        <w:t>聚焦三级公立医院绩效考核</w:t>
      </w:r>
    </w:p>
    <w:p>
      <w:pPr>
        <w:pStyle w:val="Heading2"/>
        <w:spacing w:before="155"/>
        <w:ind w:right="235"/>
        <w:jc w:val="center"/>
      </w:pPr>
      <w:bookmarkStart w:name="_TOC_250026" w:id="6"/>
      <w:bookmarkEnd w:id="6"/>
      <w:r>
        <w:rPr/>
        <w:t>别误读了这些考核指标</w:t>
      </w:r>
    </w:p>
    <w:p>
      <w:pPr>
        <w:pStyle w:val="Heading3"/>
        <w:spacing w:before="145"/>
        <w:ind w:left="0" w:right="226"/>
        <w:jc w:val="right"/>
        <w:rPr>
          <w:rFonts w:ascii="楷体" w:eastAsia="楷体" w:hint="eastAsia"/>
        </w:rPr>
      </w:pPr>
      <w:r>
        <w:rPr>
          <w:rFonts w:ascii="楷体" w:eastAsia="楷体" w:hint="eastAsia"/>
          <w:color w:val="FF0000"/>
          <w:w w:val="95"/>
        </w:rPr>
        <w:t>（来源：健康报）</w:t>
      </w:r>
    </w:p>
    <w:p>
      <w:pPr>
        <w:pStyle w:val="BodyText"/>
        <w:spacing w:line="297" w:lineRule="auto" w:before="96"/>
        <w:ind w:right="227"/>
      </w:pPr>
      <w:r>
        <w:rPr/>
        <w:t>2019</w:t>
      </w:r>
      <w:r>
        <w:rPr>
          <w:spacing w:val="-41"/>
        </w:rPr>
        <w:t> 年 </w:t>
      </w:r>
      <w:r>
        <w:rPr/>
        <w:t>5</w:t>
      </w:r>
      <w:r>
        <w:rPr>
          <w:spacing w:val="-8"/>
        </w:rPr>
        <w:t> 月，三级公立医院绩效考核工作全面启动，引起公立医院高度关注。总体上</w:t>
      </w:r>
      <w:r>
        <w:rPr>
          <w:spacing w:val="-11"/>
        </w:rPr>
        <w:t>看，本次绩效考核指标数量较多，一些医院对部分指标的设置存在一些困惑。笔者选择其中</w:t>
      </w:r>
      <w:r>
        <w:rPr/>
        <w:t>几项特殊考核指标进行初步解析。</w:t>
      </w:r>
    </w:p>
    <w:p>
      <w:pPr>
        <w:pStyle w:val="Heading3"/>
        <w:spacing w:line="304" w:lineRule="exact"/>
      </w:pPr>
      <w:r>
        <w:rPr>
          <w:w w:val="95"/>
        </w:rPr>
        <w:t>门诊、出院人次数之比：不是越低越好</w:t>
      </w:r>
    </w:p>
    <w:p>
      <w:pPr>
        <w:pStyle w:val="BodyText"/>
        <w:spacing w:line="297" w:lineRule="auto" w:before="74"/>
        <w:ind w:right="227"/>
        <w:jc w:val="both"/>
      </w:pPr>
      <w:r>
        <w:rPr>
          <w:spacing w:val="-5"/>
        </w:rPr>
        <w:t>门诊人次数与出院人次数之比是指标体系排序第一的指标，足可见其重要性。该指标的设立旨在调动三级公立医院参与分级诊疗的积极性和主动性，引导三级公立医院收治疑难复</w:t>
      </w:r>
      <w:r>
        <w:rPr>
          <w:spacing w:val="-8"/>
        </w:rPr>
        <w:t>杂和危急重症患者，逐步下转常见病、多发病和疾病稳定期和恢复期患者。在推进分级诊疗</w:t>
      </w:r>
      <w:r>
        <w:rPr>
          <w:spacing w:val="-9"/>
        </w:rPr>
        <w:t>制度建设过程中，监测该指标便于观察医院落实功能定位情况。理论上讲，该指标越低表明</w:t>
      </w:r>
      <w:r>
        <w:rPr/>
        <w:t>门诊人次下降，意味着基层首诊比例越高。</w:t>
      </w:r>
    </w:p>
    <w:p>
      <w:pPr>
        <w:pStyle w:val="BodyText"/>
        <w:spacing w:line="297" w:lineRule="auto"/>
        <w:ind w:right="227"/>
        <w:jc w:val="both"/>
      </w:pPr>
      <w:r>
        <w:rPr>
          <w:spacing w:val="-10"/>
        </w:rPr>
        <w:t>但必须警惕的是，单纯考核该指标存在很大的误区。有的医院可能为了降低该考核指标</w:t>
      </w:r>
      <w:r>
        <w:rPr>
          <w:spacing w:val="-7"/>
        </w:rPr>
        <w:t>数值而诱导病情不严重的患者住院。有研究显示，医院每百门诊人次住院比率，可作为判断</w:t>
      </w:r>
      <w:r>
        <w:rPr>
          <w:spacing w:val="-6"/>
        </w:rPr>
        <w:t>医院是否存在诱导需求及其诱导程度的敏感指标。因此，该项指标不是低优指标，而是适度</w:t>
      </w:r>
      <w:r>
        <w:rPr>
          <w:spacing w:val="-11"/>
        </w:rPr>
        <w:t>指标。在绩效考核工作中，主管部门应该根据历史数据，在同类医院横向比较基础上测算该</w:t>
      </w:r>
      <w:r>
        <w:rPr>
          <w:spacing w:val="-9"/>
        </w:rPr>
        <w:t>指标的一个合理范围。除了引导医院落实分级诊疗功能，该指标还可作为区域卫生规划核定</w:t>
      </w:r>
      <w:r>
        <w:rPr/>
        <w:t>床位以及医保支付的重要参考依据。</w:t>
      </w:r>
    </w:p>
    <w:p>
      <w:pPr>
        <w:pStyle w:val="Heading3"/>
        <w:spacing w:line="300" w:lineRule="exact"/>
      </w:pPr>
      <w:r>
        <w:rPr/>
        <w:t>三级医院日间手术：并非多多益善</w:t>
      </w:r>
    </w:p>
    <w:p>
      <w:pPr>
        <w:spacing w:after="0" w:line="300" w:lineRule="exact"/>
        <w:sectPr>
          <w:type w:val="continuous"/>
          <w:pgSz w:w="11910" w:h="16850"/>
          <w:pgMar w:top="1100" w:bottom="1020" w:left="1120" w:right="900"/>
        </w:sectPr>
      </w:pPr>
    </w:p>
    <w:p>
      <w:pPr>
        <w:pStyle w:val="BodyText"/>
        <w:spacing w:line="295" w:lineRule="auto" w:before="65"/>
        <w:ind w:right="108"/>
      </w:pPr>
      <w:r>
        <w:rPr>
          <w:spacing w:val="-6"/>
        </w:rPr>
        <w:t>日间手术可以为患者提供高质、高效、低成本的医疗服务，在减少住院费用、方便就诊</w:t>
      </w:r>
      <w:r>
        <w:rPr>
          <w:spacing w:val="-12"/>
        </w:rPr>
        <w:t>等方面收到了积极的效果，符合医院、患者、医保多方的利益和医院科学发展观的要求，具</w:t>
      </w:r>
      <w:r>
        <w:rPr>
          <w:spacing w:val="-15"/>
        </w:rPr>
        <w:t>备广阔的发展前景。加拿大、丹麦、西班牙等国日间手术占择期手术比例已达到 </w:t>
      </w:r>
      <w:r>
        <w:rPr/>
        <w:t>80%～90%， </w:t>
      </w:r>
      <w:r>
        <w:rPr>
          <w:spacing w:val="-4"/>
        </w:rPr>
        <w:t>而目前在我国日间手术占比仅为 </w:t>
      </w:r>
      <w:r>
        <w:rPr/>
        <w:t>12.8%</w:t>
      </w:r>
      <w:r>
        <w:rPr>
          <w:spacing w:val="-7"/>
        </w:rPr>
        <w:t>。本次绩效考核将日间手术占择期手术比例作为考核</w:t>
      </w:r>
      <w:r>
        <w:rPr>
          <w:spacing w:val="-11"/>
        </w:rPr>
        <w:t>指标之一，旨在鼓励三级医院开展日间手术。这对于促进我国日间手术的发展、提高医疗服务效率具有促进作用，在一定时期内对于缓解看病难、手术难具有一定积极意义。</w:t>
      </w:r>
    </w:p>
    <w:p>
      <w:pPr>
        <w:pStyle w:val="BodyText"/>
        <w:spacing w:line="295" w:lineRule="auto" w:before="11"/>
        <w:ind w:right="227"/>
      </w:pPr>
      <w:r>
        <w:rPr>
          <w:spacing w:val="-9"/>
        </w:rPr>
        <w:t>但从另一方面看，对于三级医院而言，日间手术占择期手术比例并非越高越好，这个比</w:t>
      </w:r>
      <w:r>
        <w:rPr/>
        <w:t>例应该是一个适度指标而非高优指标。对原国家卫生计生委与人力资源社会保障部发布的</w:t>
      </w:r>
    </w:p>
    <w:p>
      <w:pPr>
        <w:pStyle w:val="BodyText"/>
        <w:spacing w:line="297" w:lineRule="auto" w:before="2"/>
        <w:ind w:right="111" w:firstLine="0"/>
      </w:pPr>
      <w:r>
        <w:rPr>
          <w:spacing w:val="-1"/>
        </w:rPr>
        <w:t>《关于印发开展三级医院日间手术试点工作方案的通知》</w:t>
      </w:r>
      <w:r>
        <w:rPr/>
        <w:t>（</w:t>
      </w:r>
      <w:r>
        <w:rPr>
          <w:spacing w:val="-2"/>
        </w:rPr>
        <w:t>国卫医函〔</w:t>
      </w:r>
      <w:r>
        <w:rPr/>
        <w:t>2016</w:t>
      </w:r>
      <w:r>
        <w:rPr>
          <w:spacing w:val="-10"/>
        </w:rPr>
        <w:t>〕</w:t>
      </w:r>
      <w:r>
        <w:rPr/>
        <w:t>306</w:t>
      </w:r>
      <w:r>
        <w:rPr>
          <w:spacing w:val="-30"/>
        </w:rPr>
        <w:t> 号</w:t>
      </w:r>
      <w:r>
        <w:rPr>
          <w:spacing w:val="-10"/>
        </w:rPr>
        <w:t>）</w:t>
      </w:r>
      <w:r>
        <w:rPr/>
        <w:t>中公</w:t>
      </w:r>
      <w:r>
        <w:rPr>
          <w:spacing w:val="-20"/>
        </w:rPr>
        <w:t>布的 </w:t>
      </w:r>
      <w:r>
        <w:rPr/>
        <w:t>43</w:t>
      </w:r>
      <w:r>
        <w:rPr>
          <w:spacing w:val="-12"/>
        </w:rPr>
        <w:t> 个术式推荐目录进行统计，一、二、三、四级手术类别占比分别为 </w:t>
      </w:r>
      <w:r>
        <w:rPr/>
        <w:t>9.3%</w:t>
      </w:r>
      <w:r>
        <w:rPr>
          <w:spacing w:val="-5"/>
        </w:rPr>
        <w:t> 、</w:t>
      </w:r>
      <w:r>
        <w:rPr/>
        <w:t>51.2%</w:t>
      </w:r>
      <w:r>
        <w:rPr>
          <w:spacing w:val="-7"/>
        </w:rPr>
        <w:t> 、</w:t>
      </w:r>
      <w:r>
        <w:rPr/>
        <w:t>20.9%</w:t>
      </w:r>
      <w:r>
        <w:rPr>
          <w:spacing w:val="-21"/>
        </w:rPr>
        <w:t> 和 </w:t>
      </w:r>
      <w:r>
        <w:rPr/>
        <w:t>18.6%，</w:t>
      </w:r>
      <w:r>
        <w:rPr>
          <w:spacing w:val="-13"/>
        </w:rPr>
        <w:t> 一、二级手术占比达到 </w:t>
      </w:r>
      <w:r>
        <w:rPr/>
        <w:t>60.5%</w:t>
      </w:r>
      <w:r>
        <w:rPr>
          <w:spacing w:val="-8"/>
        </w:rPr>
        <w:t>。因此，长期来看三级医院手术能力的功能</w:t>
      </w:r>
      <w:r>
        <w:rPr>
          <w:spacing w:val="-14"/>
        </w:rPr>
        <w:t>定位不应该在日间手术上。国家应该引导三级医院在发展日间手术成熟后，通过医联体等管理和技术手段，帮扶二级甚至一级医院开展日间手术，提升基层医院开展日间手术的能力。</w:t>
      </w:r>
      <w:r>
        <w:rPr>
          <w:spacing w:val="-16"/>
        </w:rPr>
        <w:t>例如四川大学华西医院、德阳市人民医院等医院在做强日间手术的基础上，帮扶医联体医院积极发展日间手术，真正落实了三级医院的功能定位，符合日间手术发展的客观规律。</w:t>
      </w:r>
    </w:p>
    <w:p>
      <w:pPr>
        <w:pStyle w:val="Heading3"/>
        <w:spacing w:line="301" w:lineRule="exact"/>
      </w:pPr>
      <w:r>
        <w:rPr/>
        <w:t>四级手术、微创手术：统一目录是关键</w:t>
      </w:r>
    </w:p>
    <w:p>
      <w:pPr>
        <w:pStyle w:val="BodyText"/>
        <w:spacing w:line="297" w:lineRule="auto" w:before="71"/>
        <w:ind w:right="227"/>
        <w:jc w:val="both"/>
      </w:pPr>
      <w:r>
        <w:rPr>
          <w:spacing w:val="-7"/>
        </w:rPr>
        <w:t>手术量尤其是疑难复杂手术的数量与医院的规模，人员、设备、设施等综合诊疗技术能</w:t>
      </w:r>
      <w:r>
        <w:rPr>
          <w:spacing w:val="-10"/>
        </w:rPr>
        <w:t>力、临床管理流程科学程度呈正相关。综合考核出院患者微创手术占比、四级手术占比对于</w:t>
      </w:r>
      <w:r>
        <w:rPr/>
        <w:t>发挥三级医院疑难重症的诊疗能力具有积极意义。</w:t>
      </w:r>
    </w:p>
    <w:p>
      <w:pPr>
        <w:pStyle w:val="BodyText"/>
        <w:spacing w:line="297" w:lineRule="auto"/>
        <w:ind w:right="107"/>
      </w:pPr>
      <w:r>
        <w:rPr>
          <w:spacing w:val="-7"/>
        </w:rPr>
        <w:t>但在实际操作过程中，国家尚未发布全国统一的三、四级手术和微创手术目录，全国绝</w:t>
      </w:r>
      <w:r>
        <w:rPr>
          <w:spacing w:val="-13"/>
        </w:rPr>
        <w:t>大多数省市也未发布相应目录。这就使得医院在数据统计和填报过程中存在很大困难。有的</w:t>
      </w:r>
      <w:r>
        <w:rPr>
          <w:spacing w:val="-21"/>
        </w:rPr>
        <w:t>医院由于找不到相应目录，甚至自定目录进行统计和填报。虽然这两个指标是国家监测指标， </w:t>
      </w:r>
      <w:r>
        <w:rPr>
          <w:spacing w:val="-9"/>
        </w:rPr>
        <w:t>但鉴于上述原因，全国范围内的结果数据根本不能进行监测比较，甚至同一省市内医院之间</w:t>
      </w:r>
      <w:r>
        <w:rPr>
          <w:spacing w:val="-13"/>
        </w:rPr>
        <w:t>的数据也不能进行监测比较。这就使该两项指标失去了绩效考核的意义。因此，期待国家卫</w:t>
      </w:r>
      <w:r>
        <w:rPr>
          <w:spacing w:val="-18"/>
        </w:rPr>
        <w:t>生行政部门尽快出台全国统一的三、四级手术和微创手术目录，使这两项指标考核指标具有实践意义。</w:t>
      </w:r>
    </w:p>
    <w:p>
      <w:pPr>
        <w:pStyle w:val="BodyText"/>
        <w:spacing w:line="410" w:lineRule="exact"/>
        <w:ind w:left="637" w:firstLine="0"/>
        <w:rPr>
          <w:rFonts w:ascii="Meiryo" w:eastAsia="Meiryo" w:hint="eastAsia"/>
          <w:b/>
        </w:rPr>
      </w:pPr>
      <w:r>
        <w:rPr/>
        <w:t>作者: 国家卫生健康委医院管理研究所 董四平 陈晔</w:t>
      </w:r>
      <w:r>
        <w:rPr>
          <w:rFonts w:ascii="Meiryo" w:eastAsia="Meiryo" w:hint="eastAsia"/>
          <w:b/>
          <w:color w:val="0033CC"/>
        </w:rPr>
        <w:t>[返回目次]</w:t>
      </w:r>
    </w:p>
    <w:p>
      <w:pPr>
        <w:pStyle w:val="BodyText"/>
        <w:spacing w:before="1"/>
        <w:ind w:left="0" w:firstLine="0"/>
        <w:rPr>
          <w:rFonts w:ascii="Meiryo"/>
          <w:b/>
          <w:sz w:val="7"/>
        </w:rPr>
      </w:pPr>
    </w:p>
    <w:p>
      <w:pPr>
        <w:spacing w:after="0"/>
        <w:rPr>
          <w:rFonts w:ascii="Meiryo"/>
          <w:sz w:val="7"/>
        </w:rPr>
        <w:sectPr>
          <w:pgSz w:w="11910" w:h="16850"/>
          <w:pgMar w:header="906" w:footer="607" w:top="1100" w:bottom="800" w:left="1120" w:right="900"/>
        </w:sectPr>
      </w:pPr>
    </w:p>
    <w:p>
      <w:pPr>
        <w:pStyle w:val="Heading2"/>
        <w:spacing w:before="54"/>
        <w:ind w:left="2737"/>
      </w:pPr>
      <w:bookmarkStart w:name="_TOC_250025" w:id="7"/>
      <w:bookmarkEnd w:id="7"/>
      <w:r>
        <w:rPr>
          <w:spacing w:val="-3"/>
        </w:rPr>
        <w:t>遏制细菌耐药 构建安全防控网</w:t>
      </w:r>
    </w:p>
    <w:p>
      <w:pPr>
        <w:pStyle w:val="BodyText"/>
        <w:ind w:left="0" w:firstLine="0"/>
        <w:rPr>
          <w:b/>
        </w:rPr>
      </w:pPr>
      <w:r>
        <w:rPr/>
        <w:br w:type="column"/>
      </w:r>
      <w:r>
        <w:rPr>
          <w:b/>
        </w:rPr>
      </w:r>
    </w:p>
    <w:p>
      <w:pPr>
        <w:pStyle w:val="BodyText"/>
        <w:spacing w:before="7"/>
        <w:ind w:left="0" w:firstLine="0"/>
        <w:rPr>
          <w:b/>
          <w:sz w:val="23"/>
        </w:rPr>
      </w:pPr>
    </w:p>
    <w:p>
      <w:pPr>
        <w:pStyle w:val="Heading3"/>
        <w:ind w:left="614"/>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20" w:right="900"/>
          <w:cols w:num="2" w:equalWidth="0">
            <w:col w:w="7074" w:space="40"/>
            <w:col w:w="2776"/>
          </w:cols>
        </w:sectPr>
      </w:pPr>
    </w:p>
    <w:p>
      <w:pPr>
        <w:pStyle w:val="BodyText"/>
        <w:spacing w:line="297" w:lineRule="auto" w:before="96"/>
        <w:ind w:right="111"/>
      </w:pPr>
      <w:r>
        <w:rPr>
          <w:spacing w:val="-20"/>
        </w:rPr>
        <w:t>日前，记者深入四川大学华西医院，采访其在抗菌药物科学合理使用、重症医学科</w:t>
      </w:r>
      <w:r>
        <w:rPr>
          <w:spacing w:val="-3"/>
        </w:rPr>
        <w:t>（ICU） </w:t>
      </w:r>
      <w:r>
        <w:rPr/>
        <w:t>感染有效防控、远程指导基层医疗卫生机构规范感控等方面的成功经验。</w:t>
      </w:r>
    </w:p>
    <w:p>
      <w:pPr>
        <w:pStyle w:val="BodyText"/>
        <w:spacing w:line="297" w:lineRule="auto"/>
        <w:ind w:right="106"/>
      </w:pPr>
      <w:r>
        <w:rPr>
          <w:spacing w:val="-6"/>
        </w:rPr>
        <w:t>四川大学华西医院副院长曾勇介绍，华西医院作为西部地区最大的三甲医院，在抗菌药物应用的全病程管理和重点环节管理上，不断推进科学管理举措，提升抗菌药物管理水平。</w:t>
      </w:r>
      <w:r>
        <w:rPr>
          <w:spacing w:val="-12"/>
        </w:rPr>
        <w:t>近年来，华西医院抗菌药物整体用量下降 </w:t>
      </w:r>
      <w:r>
        <w:rPr>
          <w:spacing w:val="-8"/>
        </w:rPr>
        <w:t>42.76%</w:t>
      </w:r>
      <w:r>
        <w:rPr>
          <w:spacing w:val="-7"/>
        </w:rPr>
        <w:t>，住院患者抗菌药物使用强度下降 </w:t>
      </w:r>
      <w:r>
        <w:rPr>
          <w:spacing w:val="-3"/>
        </w:rPr>
        <w:t>63.41%， </w:t>
      </w:r>
      <w:r>
        <w:rPr>
          <w:spacing w:val="-7"/>
        </w:rPr>
        <w:t>平均住院时间缩短 </w:t>
      </w:r>
      <w:r>
        <w:rPr/>
        <w:t>3.25</w:t>
      </w:r>
      <w:r>
        <w:rPr>
          <w:spacing w:val="-20"/>
        </w:rPr>
        <w:t> 天。与此同时，华西医院在 </w:t>
      </w:r>
      <w:r>
        <w:rPr/>
        <w:t>ICU</w:t>
      </w:r>
      <w:r>
        <w:rPr>
          <w:spacing w:val="-9"/>
        </w:rPr>
        <w:t> 等科室积极优化抗菌药物科学管理， </w:t>
      </w:r>
      <w:r>
        <w:rPr>
          <w:spacing w:val="-8"/>
        </w:rPr>
        <w:t>该院重症医学科主任康焰介绍，为更好地指导全省重症感染的规范治疗，华西医院 </w:t>
      </w:r>
      <w:r>
        <w:rPr/>
        <w:t>ICU</w:t>
      </w:r>
      <w:r>
        <w:rPr>
          <w:spacing w:val="-20"/>
        </w:rPr>
        <w:t> 以华</w:t>
      </w:r>
    </w:p>
    <w:p>
      <w:pPr>
        <w:spacing w:after="0" w:line="297" w:lineRule="auto"/>
        <w:sectPr>
          <w:type w:val="continuous"/>
          <w:pgSz w:w="11910" w:h="16850"/>
          <w:pgMar w:top="1100" w:bottom="1020" w:left="1120" w:right="900"/>
        </w:sectPr>
      </w:pPr>
    </w:p>
    <w:p>
      <w:pPr>
        <w:pStyle w:val="BodyText"/>
        <w:spacing w:line="295" w:lineRule="auto" w:before="65"/>
        <w:ind w:right="227" w:firstLine="0"/>
      </w:pPr>
      <w:r>
        <w:rPr>
          <w:spacing w:val="-6"/>
        </w:rPr>
        <w:t>西重症医学学科联盟为核心，对四川省广大的联盟医院展开了远程查房、远程会诊、在线与</w:t>
      </w:r>
      <w:r>
        <w:rPr/>
        <w:t>在位的规范培训，积极提升四川省感染诊断和治疗水平。</w:t>
      </w:r>
    </w:p>
    <w:p>
      <w:pPr>
        <w:pStyle w:val="Heading3"/>
        <w:spacing w:before="2"/>
        <w:jc w:val="both"/>
      </w:pPr>
      <w:r>
        <w:rPr/>
        <w:t>规范用药 加强抗菌药物合理管控</w:t>
      </w:r>
    </w:p>
    <w:p>
      <w:pPr>
        <w:pStyle w:val="BodyText"/>
        <w:spacing w:line="297" w:lineRule="auto" w:before="74"/>
        <w:ind w:right="227"/>
        <w:jc w:val="both"/>
      </w:pPr>
      <w:r>
        <w:rPr>
          <w:spacing w:val="-7"/>
        </w:rPr>
        <w:t>由于细菌耐药问题日趋严峻，临床中因耐药菌感染引起的死亡风险逐渐增加，但新药研发速度赶不上耐药菌的更新迭代，部分患者正面临着无药可用的困境。随着近年来国家陆续</w:t>
      </w:r>
      <w:r>
        <w:rPr>
          <w:spacing w:val="-6"/>
        </w:rPr>
        <w:t>出台抗菌药物合理使用规范，尤其是 </w:t>
      </w:r>
      <w:r>
        <w:rPr/>
        <w:t>2011</w:t>
      </w:r>
      <w:r>
        <w:rPr>
          <w:spacing w:val="-30"/>
        </w:rPr>
        <w:t> 年</w:t>
      </w:r>
      <w:r>
        <w:rPr/>
        <w:t>～2013</w:t>
      </w:r>
      <w:r>
        <w:rPr>
          <w:spacing w:val="-14"/>
        </w:rPr>
        <w:t> 年实施抗菌药物 </w:t>
      </w:r>
      <w:r>
        <w:rPr/>
        <w:t>3</w:t>
      </w:r>
      <w:r>
        <w:rPr>
          <w:spacing w:val="-11"/>
        </w:rPr>
        <w:t> 年专项整治以来，抗</w:t>
      </w:r>
      <w:r>
        <w:rPr/>
        <w:t>菌药物不合理应用现象总体上有了很大的改善。</w:t>
      </w:r>
    </w:p>
    <w:p>
      <w:pPr>
        <w:pStyle w:val="BodyText"/>
        <w:spacing w:line="297" w:lineRule="auto"/>
        <w:ind w:right="227"/>
        <w:jc w:val="both"/>
      </w:pPr>
      <w:r>
        <w:rPr>
          <w:spacing w:val="-7"/>
        </w:rPr>
        <w:t>“我们一贯严格执行国家相关规定，并结合医院实际情况，把抗菌药物临床合理使用的</w:t>
      </w:r>
      <w:r>
        <w:rPr>
          <w:spacing w:val="-10"/>
        </w:rPr>
        <w:t>管理、院内感染控制放在非常重要的位置，基本的一条就是规范抗菌药物的临床使用，依据</w:t>
      </w:r>
      <w:r>
        <w:rPr>
          <w:spacing w:val="-7"/>
        </w:rPr>
        <w:t>感染部位及致病菌个性化选择药物。”华西医院医务部副部长陈敏介绍，华西医院在医院感</w:t>
      </w:r>
      <w:r>
        <w:rPr/>
        <w:t>染管理方面也有一套完整的制度保障，比如手卫生、环境/物表的清洁与消毒、医疗废物的</w:t>
      </w:r>
      <w:r>
        <w:rPr>
          <w:spacing w:val="-13"/>
        </w:rPr>
        <w:t>处理、院内感染监测报告等都有严格的制度，并主动筛查特殊科室如 </w:t>
      </w:r>
      <w:r>
        <w:rPr/>
        <w:t>ICU</w:t>
      </w:r>
      <w:r>
        <w:rPr>
          <w:spacing w:val="-9"/>
        </w:rPr>
        <w:t> 患者的多重耐药菌</w:t>
      </w:r>
      <w:r>
        <w:rPr/>
        <w:t>定植/感染情况，及时干预，确保将院内感染风险降到最低。</w:t>
      </w:r>
    </w:p>
    <w:p>
      <w:pPr>
        <w:pStyle w:val="Heading3"/>
        <w:spacing w:line="300" w:lineRule="exact"/>
        <w:jc w:val="both"/>
      </w:pPr>
      <w:r>
        <w:rPr/>
        <w:t>完善制度 尽早发现多重耐药病例</w:t>
      </w:r>
    </w:p>
    <w:p>
      <w:pPr>
        <w:pStyle w:val="BodyText"/>
        <w:spacing w:line="297" w:lineRule="auto" w:before="66"/>
        <w:ind w:right="112"/>
      </w:pPr>
      <w:r>
        <w:rPr>
          <w:spacing w:val="-1"/>
        </w:rPr>
        <w:t>“感控工作是保障医疗质量和医疗安全的底线，</w:t>
      </w:r>
      <w:r>
        <w:rPr>
          <w:spacing w:val="-6"/>
        </w:rPr>
        <w:t>ICU</w:t>
      </w:r>
      <w:r>
        <w:rPr>
          <w:spacing w:val="-10"/>
        </w:rPr>
        <w:t> 是抗菌药物临床使用量大、使用级</w:t>
      </w:r>
      <w:r>
        <w:rPr>
          <w:spacing w:val="-11"/>
        </w:rPr>
        <w:t>别高、容易产生问题的科室之一，也是院内感染防控的重点监控对象。”康焰介绍，一般而</w:t>
      </w:r>
      <w:r>
        <w:rPr>
          <w:spacing w:val="-12"/>
        </w:rPr>
        <w:t>言，医院感染发生率排在前 </w:t>
      </w:r>
      <w:r>
        <w:rPr/>
        <w:t>5</w:t>
      </w:r>
      <w:r>
        <w:rPr>
          <w:spacing w:val="-16"/>
        </w:rPr>
        <w:t> 的科室分别是 </w:t>
      </w:r>
      <w:r>
        <w:rPr/>
        <w:t>ICU</w:t>
      </w:r>
      <w:r>
        <w:rPr>
          <w:spacing w:val="-14"/>
        </w:rPr>
        <w:t>、新生儿室、血液内科、呼吸内科、神经科。</w:t>
      </w:r>
      <w:r>
        <w:rPr>
          <w:spacing w:val="-6"/>
        </w:rPr>
        <w:t>其中，作为院内感染性疾病发病率最高的科室，ICU</w:t>
      </w:r>
      <w:r>
        <w:rPr>
          <w:spacing w:val="-8"/>
        </w:rPr>
        <w:t> 感染控制水平直接代表了医院整体感控的水平。</w:t>
      </w:r>
    </w:p>
    <w:p>
      <w:pPr>
        <w:pStyle w:val="BodyText"/>
        <w:spacing w:line="297" w:lineRule="auto"/>
        <w:ind w:right="127"/>
      </w:pPr>
      <w:r>
        <w:rPr>
          <w:spacing w:val="-15"/>
        </w:rPr>
        <w:t>“当前 </w:t>
      </w:r>
      <w:r>
        <w:rPr/>
        <w:t>ICU</w:t>
      </w:r>
      <w:r>
        <w:rPr>
          <w:spacing w:val="-8"/>
        </w:rPr>
        <w:t> 面临的主要问题仍然是抗菌药物不合理使用带来的细菌耐药问题。”康焰</w:t>
      </w:r>
      <w:r>
        <w:rPr>
          <w:spacing w:val="-10"/>
        </w:rPr>
        <w:t>说，“华西医院采取了一系列科学管理手段，比如临床医生需要根据患者病情、临床症状以</w:t>
      </w:r>
      <w:r>
        <w:rPr>
          <w:spacing w:val="-11"/>
        </w:rPr>
        <w:t>及抗菌药物的抗菌谱、药物特性等，合理选用抗菌药物，做到个性化治疗。如对血流感染、</w:t>
      </w:r>
      <w:r>
        <w:rPr/>
        <w:t>脑膜炎等重症感染和高度耐药菌感染，可选择大剂量用药或者联合用药。”</w:t>
      </w:r>
    </w:p>
    <w:p>
      <w:pPr>
        <w:pStyle w:val="BodyText"/>
        <w:spacing w:line="297" w:lineRule="auto"/>
        <w:ind w:right="110"/>
      </w:pPr>
      <w:r>
        <w:rPr>
          <w:spacing w:val="-8"/>
        </w:rPr>
        <w:t>除了加强抗菌药物合理使用，华西医院在抗菌药物管理和多重耐药菌防控方面建立了一</w:t>
      </w:r>
      <w:r>
        <w:rPr>
          <w:spacing w:val="-18"/>
        </w:rPr>
        <w:t>套完善的制度保障，同时开展末端隔离、入科即采样本等筛查措施，尽早发现多重耐药病例， </w:t>
      </w:r>
      <w:r>
        <w:rPr/>
        <w:t>及时治疗。</w:t>
      </w:r>
    </w:p>
    <w:p>
      <w:pPr>
        <w:pStyle w:val="BodyText"/>
        <w:spacing w:line="297" w:lineRule="auto"/>
        <w:ind w:right="305"/>
      </w:pPr>
      <w:r>
        <w:rPr>
          <w:spacing w:val="-4"/>
        </w:rPr>
        <w:t>通过这些科学管理，近年来，华西医院 </w:t>
      </w:r>
      <w:r>
        <w:rPr/>
        <w:t>ICU</w:t>
      </w:r>
      <w:r>
        <w:rPr>
          <w:spacing w:val="-13"/>
        </w:rPr>
        <w:t> 抗菌药物整体用量下降 </w:t>
      </w:r>
      <w:r>
        <w:rPr/>
        <w:t>56.15%，</w:t>
      </w:r>
      <w:r>
        <w:rPr>
          <w:spacing w:val="-4"/>
        </w:rPr>
        <w:t>住院患者</w:t>
      </w:r>
      <w:r>
        <w:rPr>
          <w:spacing w:val="-6"/>
        </w:rPr>
        <w:t>抗菌药物使用强度下降 </w:t>
      </w:r>
      <w:r>
        <w:rPr/>
        <w:t>16.22%，</w:t>
      </w:r>
      <w:r>
        <w:rPr>
          <w:spacing w:val="-6"/>
        </w:rPr>
        <w:t>平均住院时间缩短了 </w:t>
      </w:r>
      <w:r>
        <w:rPr/>
        <w:t>3.46</w:t>
      </w:r>
      <w:r>
        <w:rPr>
          <w:spacing w:val="-20"/>
        </w:rPr>
        <w:t> 天。</w:t>
      </w:r>
    </w:p>
    <w:p>
      <w:pPr>
        <w:pStyle w:val="Heading3"/>
        <w:tabs>
          <w:tab w:pos="1844" w:val="left" w:leader="none"/>
        </w:tabs>
        <w:spacing w:line="306" w:lineRule="exact"/>
      </w:pPr>
      <w:r>
        <w:rPr/>
        <w:t>资源下沉</w:t>
        <w:tab/>
        <w:t>推进医联体重症感染防控</w:t>
      </w:r>
    </w:p>
    <w:p>
      <w:pPr>
        <w:pStyle w:val="BodyText"/>
        <w:spacing w:line="297" w:lineRule="auto" w:before="57"/>
        <w:ind w:right="227"/>
        <w:jc w:val="both"/>
      </w:pPr>
      <w:r>
        <w:rPr>
          <w:spacing w:val="-9"/>
        </w:rPr>
        <w:t>随着医疗资源的下沉，基层医疗卫生机构在感染防控方面扮演的角色也越来越重要，但</w:t>
      </w:r>
      <w:r>
        <w:rPr>
          <w:spacing w:val="-6"/>
        </w:rPr>
        <w:t>目前基层的重症感染诊疗过程中存在很多误区，导致大量基层医疗卫生机构抗感染治疗失败</w:t>
      </w:r>
      <w:r>
        <w:rPr/>
        <w:t>的患者转入华西医院这种大医院，给大医院的感染防控带来不小的挑战。</w:t>
      </w:r>
    </w:p>
    <w:p>
      <w:pPr>
        <w:pStyle w:val="BodyText"/>
        <w:spacing w:line="297" w:lineRule="auto"/>
        <w:ind w:right="126"/>
      </w:pPr>
      <w:r>
        <w:rPr>
          <w:spacing w:val="-9"/>
        </w:rPr>
        <w:t>陈敏说，对于基层医疗卫生机构而言，临床上要加强细菌定植与感染的鉴别，不能忽视</w:t>
      </w:r>
      <w:r>
        <w:rPr>
          <w:spacing w:val="-10"/>
        </w:rPr>
        <w:t>临床症状，而简单地将病原学结果作为“金标准”；不能忽视感染灶的搜索及病原学送检， </w:t>
      </w:r>
      <w:r>
        <w:rPr>
          <w:spacing w:val="-6"/>
        </w:rPr>
        <w:t>如果拿一套抗感染方案应用于所有患者，是不科学的；不能机械地照搬指南、共识，或将定植与感染混为一谈，导致不必要的抗菌药物暴露，增加了耐药细菌的产生。</w:t>
      </w:r>
    </w:p>
    <w:p>
      <w:pPr>
        <w:spacing w:after="0" w:line="297" w:lineRule="auto"/>
        <w:sectPr>
          <w:pgSz w:w="11910" w:h="16850"/>
          <w:pgMar w:header="906" w:footer="607" w:top="1100" w:bottom="800" w:left="1120" w:right="900"/>
        </w:sectPr>
      </w:pPr>
    </w:p>
    <w:p>
      <w:pPr>
        <w:pStyle w:val="BodyText"/>
        <w:spacing w:line="295" w:lineRule="auto" w:before="65"/>
        <w:ind w:right="227"/>
        <w:jc w:val="both"/>
      </w:pPr>
      <w:r>
        <w:rPr>
          <w:spacing w:val="-10"/>
        </w:rPr>
        <w:t>为了解决这些问题，华西医院 </w:t>
      </w:r>
      <w:r>
        <w:rPr/>
        <w:t>ICU</w:t>
      </w:r>
      <w:r>
        <w:rPr>
          <w:spacing w:val="-11"/>
        </w:rPr>
        <w:t> 已将感染诊治工作不断向基层和医联体机构延伸，通</w:t>
      </w:r>
      <w:r>
        <w:rPr>
          <w:spacing w:val="-5"/>
        </w:rPr>
        <w:t>过对基层医疗卫生机构尤其是医联体内医疗机构进行远程指导，传递规范的重症感染管理理</w:t>
      </w:r>
      <w:r>
        <w:rPr/>
        <w:t>念，构建起以华西医院为核心的医联体重症感染防控网。</w:t>
      </w:r>
    </w:p>
    <w:p>
      <w:pPr>
        <w:pStyle w:val="BodyText"/>
        <w:spacing w:line="259" w:lineRule="auto" w:before="5"/>
        <w:ind w:right="230"/>
        <w:jc w:val="both"/>
        <w:rPr>
          <w:rFonts w:ascii="Meiryo" w:hAnsi="Meiryo" w:eastAsia="Meiryo" w:hint="eastAsia"/>
          <w:b/>
        </w:rPr>
      </w:pPr>
      <w:r>
        <w:rPr>
          <w:spacing w:val="-11"/>
        </w:rPr>
        <w:t>康焰说：“目前，我们要借助医联体的力量，规范抗菌药物的临床应用，通过培训基层</w:t>
      </w:r>
      <w:r>
        <w:rPr>
          <w:spacing w:val="-2"/>
        </w:rPr>
        <w:t>医生，提升基层医院治疗规范化水平，进而减少全社会临床耐药的发生。” </w:t>
      </w:r>
      <w:r>
        <w:rPr>
          <w:rFonts w:ascii="Meiryo" w:hAnsi="Meiryo" w:eastAsia="Meiryo" w:hint="eastAsia"/>
          <w:b/>
          <w:color w:val="0033CC"/>
        </w:rPr>
        <w:t>[返回目次]</w:t>
      </w:r>
    </w:p>
    <w:p>
      <w:pPr>
        <w:pStyle w:val="Heading1"/>
        <w:spacing w:line="671" w:lineRule="exact"/>
        <w:rPr>
          <w:u w:val="none"/>
        </w:rPr>
      </w:pPr>
      <w:bookmarkStart w:name="_TOC_250024" w:id="8"/>
      <w:r>
        <w:rPr>
          <w:rFonts w:ascii="Times New Roman" w:eastAsia="Times New Roman"/>
          <w:color w:val="008000"/>
          <w:spacing w:val="-110"/>
          <w:w w:val="99"/>
          <w:u w:val="thick" w:color="008000"/>
        </w:rPr>
        <w:t> </w:t>
      </w:r>
      <w:bookmarkEnd w:id="8"/>
      <w:r>
        <w:rPr>
          <w:color w:val="008000"/>
          <w:u w:val="thick" w:color="008000"/>
        </w:rPr>
        <w:t>医药前沿</w:t>
      </w:r>
    </w:p>
    <w:p>
      <w:pPr>
        <w:pStyle w:val="Heading2"/>
        <w:spacing w:before="143"/>
        <w:ind w:left="157"/>
      </w:pPr>
      <w:bookmarkStart w:name="_TOC_250023" w:id="9"/>
      <w:bookmarkEnd w:id="9"/>
      <w:r>
        <w:rPr/>
        <w:t>【前沿速览】</w:t>
      </w:r>
    </w:p>
    <w:p>
      <w:pPr>
        <w:pStyle w:val="BodyText"/>
        <w:spacing w:before="8"/>
        <w:ind w:left="0" w:firstLine="0"/>
        <w:rPr>
          <w:b/>
          <w:sz w:val="18"/>
        </w:rPr>
      </w:pPr>
    </w:p>
    <w:p>
      <w:pPr>
        <w:pStyle w:val="Heading2"/>
        <w:tabs>
          <w:tab w:pos="2248" w:val="left" w:leader="none"/>
        </w:tabs>
        <w:spacing w:before="55"/>
        <w:ind w:left="0" w:right="72"/>
        <w:jc w:val="center"/>
      </w:pPr>
      <w:bookmarkStart w:name="_TOC_250022" w:id="10"/>
      <w:r>
        <w:rPr/>
        <w:t>临床选择偏少</w:t>
        <w:tab/>
      </w:r>
      <w:bookmarkEnd w:id="10"/>
      <w:r>
        <w:rPr>
          <w:w w:val="95"/>
        </w:rPr>
        <w:t>研发需求迫切</w:t>
      </w:r>
    </w:p>
    <w:p>
      <w:pPr>
        <w:spacing w:before="93"/>
        <w:ind w:left="160" w:right="228" w:firstLine="0"/>
        <w:jc w:val="center"/>
        <w:rPr>
          <w:sz w:val="21"/>
        </w:rPr>
      </w:pPr>
      <w:r>
        <w:rPr>
          <w:spacing w:val="-3"/>
          <w:sz w:val="21"/>
        </w:rPr>
        <w:t>——新型抗侵袭性真菌感染药物研究进展简析</w:t>
      </w:r>
    </w:p>
    <w:p>
      <w:pPr>
        <w:pStyle w:val="BodyText"/>
        <w:spacing w:before="4"/>
        <w:ind w:left="0" w:firstLine="0"/>
        <w:rPr>
          <w:sz w:val="14"/>
        </w:rPr>
      </w:pPr>
    </w:p>
    <w:p>
      <w:pPr>
        <w:pStyle w:val="Heading3"/>
        <w:ind w:left="0" w:right="228"/>
        <w:jc w:val="right"/>
        <w:rPr>
          <w:rFonts w:ascii="楷体" w:eastAsia="楷体" w:hint="eastAsia"/>
        </w:rPr>
      </w:pPr>
      <w:r>
        <w:rPr>
          <w:rFonts w:ascii="楷体" w:eastAsia="楷体" w:hint="eastAsia"/>
          <w:color w:val="FF0000"/>
          <w:w w:val="95"/>
        </w:rPr>
        <w:t>（来源：中国医药报）</w:t>
      </w:r>
    </w:p>
    <w:p>
      <w:pPr>
        <w:pStyle w:val="BodyText"/>
        <w:spacing w:line="280" w:lineRule="auto" w:before="79"/>
        <w:ind w:right="227" w:firstLine="482"/>
        <w:jc w:val="both"/>
      </w:pPr>
      <w:r>
        <w:rPr>
          <w:spacing w:val="-11"/>
        </w:rPr>
        <w:t>近年来，由侵袭性真菌感染导致的疾病发病率逐年上升，但抗侵袭性真菌感染新药的研</w:t>
      </w:r>
      <w:r>
        <w:rPr>
          <w:spacing w:val="-8"/>
        </w:rPr>
        <w:t>发却进展缓慢，临床上安全有效的产品不多，主要是唑类、多烯类和棘白菌素类三种。鉴于</w:t>
      </w:r>
      <w:r>
        <w:rPr>
          <w:spacing w:val="-14"/>
        </w:rPr>
        <w:t>现有药物种类明显不足，且受到真菌耐药性和药品毒副作用等因素的制约，新型抗侵袭性真</w:t>
      </w:r>
      <w:r>
        <w:rPr/>
        <w:t>菌药物的研发需求越来越迫切。</w:t>
      </w:r>
    </w:p>
    <w:p>
      <w:pPr>
        <w:pStyle w:val="BodyText"/>
        <w:spacing w:line="280" w:lineRule="auto" w:before="1"/>
        <w:ind w:right="228"/>
        <w:jc w:val="both"/>
      </w:pPr>
      <w:r>
        <w:rPr>
          <w:spacing w:val="-6"/>
        </w:rPr>
        <w:t>唑类药物主要是通过干扰细胞中麦角甾醇的合成，从而破坏真菌细胞膜的通透性，代表</w:t>
      </w:r>
      <w:r>
        <w:rPr>
          <w:spacing w:val="-9"/>
        </w:rPr>
        <w:t>药物有氟康唑等；多烯类药物属于大环内酯类抗生素，主要靶向真菌细胞膜中的固醇，损伤</w:t>
      </w:r>
      <w:r>
        <w:rPr>
          <w:spacing w:val="-10"/>
        </w:rPr>
        <w:t>细胞膜通透性，从而抑制其生长，代表药物有两性霉素 </w:t>
      </w:r>
      <w:r>
        <w:rPr/>
        <w:t>B</w:t>
      </w:r>
      <w:r>
        <w:rPr>
          <w:spacing w:val="-12"/>
        </w:rPr>
        <w:t> 等；棘白菌素类药物选择性抑制真</w:t>
      </w:r>
      <w:r>
        <w:rPr>
          <w:spacing w:val="-9"/>
        </w:rPr>
        <w:t>菌细胞壁上的 </w:t>
      </w:r>
      <w:r>
        <w:rPr>
          <w:rFonts w:ascii="Arial" w:hAnsi="Arial" w:eastAsia="Arial"/>
        </w:rPr>
        <w:t>β </w:t>
      </w:r>
      <w:r>
        <w:rPr/>
        <w:t>-(1,3)-D</w:t>
      </w:r>
      <w:r>
        <w:rPr>
          <w:spacing w:val="-8"/>
        </w:rPr>
        <w:t> 葡聚糖合成，从而发挥抗真菌作用，临床上为侵袭性念珠菌感染</w:t>
      </w:r>
      <w:r>
        <w:rPr>
          <w:spacing w:val="-13"/>
        </w:rPr>
        <w:t>患者的首选，代表药物有卡泊芬净、米卡芬净、阿尼芬净三种。这些已有药物并不能满足临</w:t>
      </w:r>
      <w:r>
        <w:rPr>
          <w:spacing w:val="-11"/>
        </w:rPr>
        <w:t>床需求，因侵袭性真菌感染而导致的死亡率仍居高不下。本文主要对部分新型抗侵袭性真菌</w:t>
      </w:r>
      <w:r>
        <w:rPr/>
        <w:t>感染药物及其临床研究进展进行介绍。</w:t>
      </w:r>
    </w:p>
    <w:p>
      <w:pPr>
        <w:pStyle w:val="Heading3"/>
        <w:spacing w:before="2"/>
      </w:pPr>
      <w:r>
        <w:rPr/>
        <w:t>新型葡聚糖合成酶抑制剂</w:t>
      </w:r>
    </w:p>
    <w:p>
      <w:pPr>
        <w:pStyle w:val="BodyText"/>
        <w:tabs>
          <w:tab w:pos="1117" w:val="left" w:leader="none"/>
        </w:tabs>
        <w:spacing w:line="280" w:lineRule="auto" w:before="53"/>
        <w:ind w:right="230"/>
      </w:pPr>
      <w:r>
        <w:rPr/>
        <w:t>棘白菌素虽然在一定程度上起到了抗真菌的作用</w:t>
      </w:r>
      <w:r>
        <w:rPr>
          <w:spacing w:val="-104"/>
        </w:rPr>
        <w:t>，</w:t>
      </w:r>
      <w:r>
        <w:rPr/>
        <w:t>但是这类药物具有半衰期短和易产</w:t>
      </w:r>
      <w:r>
        <w:rPr>
          <w:spacing w:val="-17"/>
        </w:rPr>
        <w:t>生</w:t>
      </w:r>
      <w:r>
        <w:rPr/>
        <w:t>耐药性等缺点，限制了其临床使用。当前正在开发的新型葡聚糖合成酶抑制剂主要有Cidara</w:t>
        <w:tab/>
        <w:t>Therapeutics</w:t>
      </w:r>
      <w:r>
        <w:rPr>
          <w:spacing w:val="-70"/>
        </w:rPr>
        <w:t> </w:t>
      </w:r>
      <w:r>
        <w:rPr/>
        <w:t>公司的棘白菌素类药物</w:t>
      </w:r>
      <w:r>
        <w:rPr>
          <w:spacing w:val="-69"/>
        </w:rPr>
        <w:t> </w:t>
      </w:r>
      <w:r>
        <w:rPr/>
        <w:t>CD101</w:t>
      </w:r>
      <w:r>
        <w:rPr>
          <w:spacing w:val="-69"/>
        </w:rPr>
        <w:t> </w:t>
      </w:r>
      <w:r>
        <w:rPr/>
        <w:t>和</w:t>
      </w:r>
      <w:r>
        <w:rPr>
          <w:spacing w:val="-70"/>
        </w:rPr>
        <w:t> </w:t>
      </w:r>
      <w:r>
        <w:rPr/>
        <w:t>Scynexis</w:t>
      </w:r>
      <w:r>
        <w:rPr>
          <w:spacing w:val="-69"/>
        </w:rPr>
        <w:t> </w:t>
      </w:r>
      <w:r>
        <w:rPr/>
        <w:t>公司的非棘白菌素类药</w:t>
      </w:r>
      <w:r>
        <w:rPr>
          <w:spacing w:val="-14"/>
        </w:rPr>
        <w:t>物</w:t>
      </w:r>
      <w:r>
        <w:rPr/>
        <w:t>SCY-078。</w:t>
      </w:r>
    </w:p>
    <w:p>
      <w:pPr>
        <w:pStyle w:val="BodyText"/>
        <w:spacing w:line="280" w:lineRule="auto" w:before="1"/>
        <w:ind w:right="228"/>
      </w:pPr>
      <w:r>
        <w:rPr>
          <w:spacing w:val="-3"/>
        </w:rPr>
        <w:t>通过对环状棘白菌素核心处的胆碱部分进行结构修饰后得到的 </w:t>
      </w:r>
      <w:r>
        <w:rPr/>
        <w:t>CD101，提高了其在血</w:t>
      </w:r>
      <w:r>
        <w:rPr>
          <w:spacing w:val="-12"/>
        </w:rPr>
        <w:t>浆、水溶液以及缓冲溶液中的溶解度和稳定性，极大解决了传统棘白菌素类药物半衰期短的</w:t>
      </w:r>
      <w:r>
        <w:rPr>
          <w:spacing w:val="-5"/>
        </w:rPr>
        <w:t>问题。</w:t>
      </w:r>
      <w:r>
        <w:rPr/>
        <w:t>CD101</w:t>
      </w:r>
      <w:r>
        <w:rPr>
          <w:spacing w:val="-11"/>
        </w:rPr>
        <w:t> 与其他棘白菌素类药物的体外抗真菌活性相似，能够有效抑制念珠菌。一期临</w:t>
      </w:r>
      <w:r>
        <w:rPr/>
        <w:t>床试验中单次和多次递增剂量给药研究数据表明，CD101</w:t>
      </w:r>
      <w:r>
        <w:rPr>
          <w:spacing w:val="-8"/>
        </w:rPr>
        <w:t> 在健康受试者体内的半衰期约为133 小时；每周一次的给药方案数据显示</w:t>
      </w:r>
      <w:r>
        <w:rPr/>
        <w:t>，CD101</w:t>
      </w:r>
      <w:r>
        <w:rPr>
          <w:spacing w:val="-8"/>
        </w:rPr>
        <w:t> 每周给药后雷沙孔菌素有微量蓄积</w:t>
      </w:r>
      <w:r>
        <w:rPr/>
        <w:t>(30%～</w:t>
      </w:r>
    </w:p>
    <w:p>
      <w:pPr>
        <w:pStyle w:val="BodyText"/>
        <w:spacing w:before="1"/>
        <w:ind w:firstLine="0"/>
      </w:pPr>
      <w:r>
        <w:rPr/>
        <w:t>55%)。两项研究均未发现不良反应。</w:t>
      </w:r>
    </w:p>
    <w:p>
      <w:pPr>
        <w:pStyle w:val="BodyText"/>
        <w:spacing w:line="280" w:lineRule="auto" w:before="53"/>
        <w:ind w:right="226"/>
        <w:jc w:val="both"/>
      </w:pPr>
      <w:r>
        <w:rPr/>
        <w:t>SCY-078</w:t>
      </w:r>
      <w:r>
        <w:rPr>
          <w:spacing w:val="-11"/>
        </w:rPr>
        <w:t> 具有不同于棘白菌素的三萜烯结构，是天然产物 </w:t>
      </w:r>
      <w:r>
        <w:rPr/>
        <w:t>enfumafungin</w:t>
      </w:r>
      <w:r>
        <w:rPr>
          <w:spacing w:val="-9"/>
        </w:rPr>
        <w:t> 的半合成衍生</w:t>
      </w:r>
      <w:r>
        <w:rPr>
          <w:spacing w:val="-5"/>
        </w:rPr>
        <w:t>物。临床研究表明，</w:t>
      </w:r>
      <w:r>
        <w:rPr/>
        <w:t>SCY-078</w:t>
      </w:r>
      <w:r>
        <w:rPr>
          <w:spacing w:val="-11"/>
        </w:rPr>
        <w:t> 对白色念珠菌和光滑念珠菌的菌株具有较强的抑制活性，目前</w:t>
      </w:r>
      <w:r>
        <w:rPr>
          <w:spacing w:val="-7"/>
        </w:rPr>
        <w:t>该药已经完成两项二期临床试验研究。第一项研究结果表明，治疗期间口服 </w:t>
      </w:r>
      <w:r>
        <w:rPr/>
        <w:t>SCY-078</w:t>
      </w:r>
      <w:r>
        <w:rPr>
          <w:spacing w:val="-19"/>
        </w:rPr>
        <w:t> 的急性</w:t>
      </w:r>
      <w:r>
        <w:rPr/>
        <w:t>中重度外阴阴道念珠菌感染患者组的临床治愈率高于口服</w:t>
      </w:r>
    </w:p>
    <w:p>
      <w:pPr>
        <w:spacing w:after="0" w:line="280" w:lineRule="auto"/>
        <w:jc w:val="both"/>
        <w:sectPr>
          <w:pgSz w:w="11910" w:h="16850"/>
          <w:pgMar w:header="906" w:footer="607" w:top="1100" w:bottom="800" w:left="1120" w:right="900"/>
        </w:sectPr>
      </w:pPr>
    </w:p>
    <w:p>
      <w:pPr>
        <w:pStyle w:val="BodyText"/>
        <w:spacing w:line="280" w:lineRule="auto" w:before="48"/>
        <w:ind w:right="245"/>
      </w:pPr>
      <w:r>
        <w:rPr/>
        <w:t>氟康唑组；第二项研究结果显示，SCY-078</w:t>
      </w:r>
      <w:r>
        <w:rPr>
          <w:spacing w:val="-12"/>
        </w:rPr>
        <w:t> 安全且耐受良好的口服日剂量为 </w:t>
      </w:r>
      <w:r>
        <w:rPr/>
        <w:t>750mg，</w:t>
      </w:r>
      <w:r>
        <w:rPr>
          <w:spacing w:val="-17"/>
        </w:rPr>
        <w:t>该</w:t>
      </w:r>
      <w:r>
        <w:rPr/>
        <w:t>剂量的治疗效果与标准治疗相似。两项研究治疗期间均未发生不良反应。</w:t>
      </w:r>
    </w:p>
    <w:p>
      <w:pPr>
        <w:pStyle w:val="Heading3"/>
        <w:spacing w:before="1"/>
      </w:pPr>
      <w:r>
        <w:rPr/>
        <w:t>几丁质合成酶抑制剂</w:t>
      </w:r>
    </w:p>
    <w:p>
      <w:pPr>
        <w:pStyle w:val="BodyText"/>
        <w:tabs>
          <w:tab w:pos="7734" w:val="left" w:leader="none"/>
        </w:tabs>
        <w:spacing w:line="280" w:lineRule="auto" w:before="52"/>
        <w:ind w:right="226"/>
        <w:jc w:val="right"/>
      </w:pPr>
      <w:r>
        <w:rPr/>
        <w:t>尼可霉素</w:t>
      </w:r>
      <w:r>
        <w:rPr>
          <w:spacing w:val="-61"/>
        </w:rPr>
        <w:t> </w:t>
      </w:r>
      <w:r>
        <w:rPr/>
        <w:t>Z</w:t>
      </w:r>
      <w:r>
        <w:rPr>
          <w:spacing w:val="-60"/>
        </w:rPr>
        <w:t> </w:t>
      </w:r>
      <w:r>
        <w:rPr/>
        <w:t>是一类天然的核苷肽类抗真菌抗生素</w:t>
      </w:r>
      <w:r>
        <w:rPr>
          <w:spacing w:val="-51"/>
        </w:rPr>
        <w:t>，</w:t>
      </w:r>
      <w:r>
        <w:rPr/>
        <w:t>能够竞争性抑制几丁质合成酶</w:t>
      </w:r>
      <w:r>
        <w:rPr>
          <w:spacing w:val="-51"/>
        </w:rPr>
        <w:t>。</w:t>
      </w:r>
      <w:r>
        <w:rPr/>
        <w:t>尼</w:t>
      </w:r>
      <w:r>
        <w:rPr>
          <w:spacing w:val="-14"/>
        </w:rPr>
        <w:t>可</w:t>
      </w:r>
      <w:r>
        <w:rPr/>
        <w:t>霉素</w:t>
      </w:r>
      <w:r>
        <w:rPr>
          <w:spacing w:val="-60"/>
        </w:rPr>
        <w:t> </w:t>
      </w:r>
      <w:r>
        <w:rPr/>
        <w:t>Z</w:t>
      </w:r>
      <w:r>
        <w:rPr>
          <w:spacing w:val="-60"/>
        </w:rPr>
        <w:t> </w:t>
      </w:r>
      <w:r>
        <w:rPr/>
        <w:t>在体内外均有较强的抗粗球孢子菌和皮炎芽生菌活性</w:t>
      </w:r>
      <w:r>
        <w:rPr>
          <w:spacing w:val="-104"/>
        </w:rPr>
        <w:t>，</w:t>
      </w:r>
      <w:r>
        <w:rPr/>
        <w:t>对白色念珠菌的分离株有一</w:t>
      </w:r>
      <w:r>
        <w:rPr>
          <w:spacing w:val="-13"/>
        </w:rPr>
        <w:t>定</w:t>
      </w:r>
      <w:r>
        <w:rPr/>
        <w:t>活性</w:t>
      </w:r>
      <w:r>
        <w:rPr>
          <w:spacing w:val="-27"/>
        </w:rPr>
        <w:t>，</w:t>
      </w:r>
      <w:r>
        <w:rPr/>
        <w:t>但对新生隐球菌</w:t>
      </w:r>
      <w:r>
        <w:rPr>
          <w:spacing w:val="-27"/>
        </w:rPr>
        <w:t>、</w:t>
      </w:r>
      <w:r>
        <w:rPr/>
        <w:t>曲霉属和镰刀菌属无效</w:t>
      </w:r>
      <w:r>
        <w:rPr>
          <w:spacing w:val="-27"/>
        </w:rPr>
        <w:t>。</w:t>
      </w:r>
      <w:r>
        <w:rPr/>
        <w:t>在体内</w:t>
      </w:r>
      <w:r>
        <w:rPr>
          <w:spacing w:val="-27"/>
        </w:rPr>
        <w:t>，</w:t>
      </w:r>
      <w:r>
        <w:rPr/>
        <w:t>尼可霉素</w:t>
      </w:r>
      <w:r>
        <w:rPr>
          <w:spacing w:val="-58"/>
        </w:rPr>
        <w:t> </w:t>
      </w:r>
      <w:r>
        <w:rPr/>
        <w:t>Z</w:t>
      </w:r>
      <w:r>
        <w:rPr>
          <w:spacing w:val="-60"/>
        </w:rPr>
        <w:t> </w:t>
      </w:r>
      <w:r>
        <w:rPr/>
        <w:t>已被证明在全身性</w:t>
      </w:r>
      <w:r>
        <w:rPr>
          <w:spacing w:val="-11"/>
        </w:rPr>
        <w:t>球</w:t>
      </w:r>
      <w:r>
        <w:rPr/>
        <w:t>孢子菌病和芽生菌病的小鼠模型中的药效优于唑类药物</w:t>
      </w:r>
      <w:r>
        <w:rPr>
          <w:spacing w:val="-44"/>
        </w:rPr>
        <w:t>。</w:t>
      </w:r>
      <w:r>
        <w:rPr/>
        <w:t>但尼可霉素</w:t>
      </w:r>
      <w:r>
        <w:rPr>
          <w:spacing w:val="-60"/>
        </w:rPr>
        <w:t> </w:t>
      </w:r>
      <w:r>
        <w:rPr/>
        <w:t>Z</w:t>
        <w:tab/>
        <w:t>静脉内和口服给</w:t>
      </w:r>
      <w:r>
        <w:rPr>
          <w:spacing w:val="-14"/>
        </w:rPr>
        <w:t>药</w:t>
      </w:r>
      <w:r>
        <w:rPr/>
        <w:t>后的半衰期很短（分别为</w:t>
      </w:r>
      <w:r>
        <w:rPr>
          <w:spacing w:val="-60"/>
        </w:rPr>
        <w:t> </w:t>
      </w:r>
      <w:r>
        <w:rPr/>
        <w:t>15</w:t>
      </w:r>
      <w:r>
        <w:rPr>
          <w:spacing w:val="-60"/>
        </w:rPr>
        <w:t> </w:t>
      </w:r>
      <w:r>
        <w:rPr/>
        <w:t>分钟和</w:t>
      </w:r>
      <w:r>
        <w:rPr>
          <w:spacing w:val="-60"/>
        </w:rPr>
        <w:t> </w:t>
      </w:r>
      <w:r>
        <w:rPr/>
        <w:t>1</w:t>
      </w:r>
      <w:r>
        <w:rPr>
          <w:spacing w:val="-60"/>
        </w:rPr>
        <w:t> </w:t>
      </w:r>
      <w:r>
        <w:rPr/>
        <w:t>小时），这是限制尼可霉素</w:t>
      </w:r>
      <w:r>
        <w:rPr>
          <w:spacing w:val="-60"/>
        </w:rPr>
        <w:t> </w:t>
      </w:r>
      <w:r>
        <w:rPr/>
        <w:t>Z</w:t>
      </w:r>
      <w:r>
        <w:rPr>
          <w:spacing w:val="-60"/>
        </w:rPr>
        <w:t> </w:t>
      </w:r>
      <w:r>
        <w:rPr/>
        <w:t>临床应用的主要因素。一期临床试验研究结果表明</w:t>
      </w:r>
      <w:r>
        <w:rPr>
          <w:spacing w:val="-51"/>
        </w:rPr>
        <w:t>，</w:t>
      </w:r>
      <w:r>
        <w:rPr/>
        <w:t>当作为单一口服剂量给予健康受试者时</w:t>
      </w:r>
      <w:r>
        <w:rPr>
          <w:spacing w:val="-51"/>
        </w:rPr>
        <w:t>，</w:t>
      </w:r>
      <w:r>
        <w:rPr/>
        <w:t>尼可霉素</w:t>
      </w:r>
      <w:r>
        <w:rPr>
          <w:spacing w:val="-59"/>
        </w:rPr>
        <w:t> </w:t>
      </w:r>
      <w:r>
        <w:rPr/>
        <w:t>Z</w:t>
      </w:r>
      <w:r>
        <w:rPr>
          <w:spacing w:val="-60"/>
        </w:rPr>
        <w:t> </w:t>
      </w:r>
      <w:r>
        <w:rPr/>
        <w:t>具有</w:t>
      </w:r>
    </w:p>
    <w:p>
      <w:pPr>
        <w:pStyle w:val="BodyText"/>
        <w:spacing w:line="280" w:lineRule="auto" w:before="1"/>
        <w:ind w:right="107" w:firstLine="0"/>
      </w:pPr>
      <w:r>
        <w:rPr>
          <w:spacing w:val="-5"/>
        </w:rPr>
        <w:t>良好的耐受性，且剂量高达 </w:t>
      </w:r>
      <w:r>
        <w:rPr/>
        <w:t>2000mg</w:t>
      </w:r>
      <w:r>
        <w:rPr>
          <w:spacing w:val="-11"/>
        </w:rPr>
        <w:t> 时未发现剂量相关的不良反应。此前，尼可霉素 </w:t>
      </w:r>
      <w:r>
        <w:rPr/>
        <w:t>Z</w:t>
      </w:r>
      <w:r>
        <w:rPr>
          <w:spacing w:val="-20"/>
        </w:rPr>
        <w:t> 已开</w:t>
      </w:r>
      <w:r>
        <w:rPr>
          <w:spacing w:val="-25"/>
        </w:rPr>
        <w:t>始进行治疗球孢子菌病的二期临床试验，但由于志愿者和资金不足，这项研究被迫提前终止。</w:t>
      </w:r>
    </w:p>
    <w:p>
      <w:pPr>
        <w:pStyle w:val="Heading3"/>
        <w:spacing w:before="1"/>
      </w:pPr>
      <w:r>
        <w:rPr/>
        <w:t>CYP51 抑制剂</w:t>
      </w:r>
    </w:p>
    <w:p>
      <w:pPr>
        <w:pStyle w:val="BodyText"/>
        <w:spacing w:line="280" w:lineRule="auto" w:before="53"/>
        <w:ind w:right="245"/>
        <w:jc w:val="both"/>
      </w:pPr>
      <w:r>
        <w:rPr/>
        <w:t>Viamet Pharmaceuticals</w:t>
      </w:r>
      <w:r>
        <w:rPr>
          <w:spacing w:val="-18"/>
        </w:rPr>
        <w:t> 公司开发的 </w:t>
      </w:r>
      <w:r>
        <w:rPr/>
        <w:t>CYP51</w:t>
      </w:r>
      <w:r>
        <w:rPr>
          <w:spacing w:val="-13"/>
        </w:rPr>
        <w:t> 金属酶抑制剂主要有 </w:t>
      </w:r>
      <w:r>
        <w:rPr/>
        <w:t>VT-1129</w:t>
      </w:r>
      <w:r>
        <w:rPr>
          <w:spacing w:val="-40"/>
        </w:rPr>
        <w:t> 和 </w:t>
      </w:r>
      <w:r>
        <w:rPr>
          <w:spacing w:val="-3"/>
        </w:rPr>
        <w:t>VT-1161 </w:t>
      </w:r>
      <w:r>
        <w:rPr>
          <w:spacing w:val="-4"/>
        </w:rPr>
        <w:t>两种，均含有四氮唑结构，不与人体的 </w:t>
      </w:r>
      <w:r>
        <w:rPr/>
        <w:t>CYP51</w:t>
      </w:r>
      <w:r>
        <w:rPr>
          <w:spacing w:val="-8"/>
        </w:rPr>
        <w:t> 金属酶结合，具有较好的靶向选择性。</w:t>
      </w:r>
    </w:p>
    <w:p>
      <w:pPr>
        <w:pStyle w:val="BodyText"/>
        <w:spacing w:line="280" w:lineRule="auto"/>
        <w:ind w:right="126"/>
        <w:jc w:val="both"/>
      </w:pPr>
      <w:r>
        <w:rPr/>
        <w:t>VT-1129</w:t>
      </w:r>
      <w:r>
        <w:rPr>
          <w:spacing w:val="-18"/>
        </w:rPr>
        <w:t> 对隐球菌的 </w:t>
      </w:r>
      <w:r>
        <w:rPr/>
        <w:t>CYP51</w:t>
      </w:r>
      <w:r>
        <w:rPr>
          <w:spacing w:val="-14"/>
        </w:rPr>
        <w:t> 具有选择性抑制作用及强亲和力，对人体中的 </w:t>
      </w:r>
      <w:r>
        <w:rPr/>
        <w:t>CYP51</w:t>
      </w:r>
      <w:r>
        <w:rPr>
          <w:spacing w:val="-15"/>
        </w:rPr>
        <w:t> 的抑制</w:t>
      </w:r>
      <w:r>
        <w:rPr>
          <w:spacing w:val="-14"/>
        </w:rPr>
        <w:t>作用和亲和力较弱，</w:t>
      </w:r>
      <w:r>
        <w:rPr>
          <w:spacing w:val="-3"/>
        </w:rPr>
        <w:t>VT-1129</w:t>
      </w:r>
      <w:r>
        <w:rPr>
          <w:spacing w:val="-9"/>
        </w:rPr>
        <w:t> 在隐球菌性脑膜炎小鼠模型中显示出改善的功效，在鞘内感染</w:t>
      </w:r>
      <w:r>
        <w:rPr>
          <w:spacing w:val="-11"/>
        </w:rPr>
        <w:t>的免疫活性小鼠脑中检测不到隐球菌菌落，并且与氟康唑组相比增加了 </w:t>
      </w:r>
      <w:r>
        <w:rPr/>
        <w:t>30</w:t>
      </w:r>
      <w:r>
        <w:rPr>
          <w:spacing w:val="-8"/>
        </w:rPr>
        <w:t> 天的存活率，在</w:t>
      </w:r>
      <w:r>
        <w:rPr>
          <w:spacing w:val="-10"/>
        </w:rPr>
        <w:t>系统性念珠菌病小鼠模型中也显示出强效。</w:t>
      </w:r>
      <w:r>
        <w:rPr/>
        <w:t>VT-1129</w:t>
      </w:r>
      <w:r>
        <w:rPr>
          <w:spacing w:val="-24"/>
        </w:rPr>
        <w:t> 被美国 </w:t>
      </w:r>
      <w:r>
        <w:rPr/>
        <w:t>FDA</w:t>
      </w:r>
      <w:r>
        <w:rPr>
          <w:spacing w:val="-8"/>
        </w:rPr>
        <w:t> 认定为一种合格的抗感染疾</w:t>
      </w:r>
      <w:r>
        <w:rPr>
          <w:spacing w:val="-9"/>
        </w:rPr>
        <w:t>病的产品，用于治疗隐孢子虫性脑膜炎，目前正在美国的健康志愿者中进行一期临床试验。</w:t>
      </w:r>
    </w:p>
    <w:p>
      <w:pPr>
        <w:pStyle w:val="BodyText"/>
        <w:spacing w:line="280" w:lineRule="auto" w:before="2"/>
        <w:ind w:right="228"/>
        <w:jc w:val="both"/>
      </w:pPr>
      <w:r>
        <w:rPr/>
        <w:t>VT-1161</w:t>
      </w:r>
      <w:r>
        <w:rPr>
          <w:spacing w:val="-12"/>
        </w:rPr>
        <w:t> 相较于其他氮唑类抗菌药物有更好的选择性，对白色念珠菌 </w:t>
      </w:r>
      <w:r>
        <w:rPr/>
        <w:t>CYP51</w:t>
      </w:r>
      <w:r>
        <w:rPr>
          <w:spacing w:val="-13"/>
        </w:rPr>
        <w:t> 的亲和力约</w:t>
      </w:r>
      <w:r>
        <w:rPr>
          <w:spacing w:val="-7"/>
        </w:rPr>
        <w:t>为人体同源酶体的 </w:t>
      </w:r>
      <w:r>
        <w:rPr/>
        <w:t>2000</w:t>
      </w:r>
      <w:r>
        <w:rPr>
          <w:spacing w:val="-20"/>
        </w:rPr>
        <w:t> 倍。</w:t>
      </w:r>
      <w:r>
        <w:rPr/>
        <w:t>VT-1161</w:t>
      </w:r>
      <w:r>
        <w:rPr>
          <w:spacing w:val="-13"/>
        </w:rPr>
        <w:t> 的口服生物利用度达 </w:t>
      </w:r>
      <w:r>
        <w:rPr/>
        <w:t>73%</w:t>
      </w:r>
      <w:r>
        <w:rPr>
          <w:spacing w:val="-9"/>
        </w:rPr>
        <w:t>、半衰期超过 </w:t>
      </w:r>
      <w:r>
        <w:rPr/>
        <w:t>48</w:t>
      </w:r>
      <w:r>
        <w:rPr>
          <w:spacing w:val="-10"/>
        </w:rPr>
        <w:t> 小时。一项临床研究结果显示，VT-1161</w:t>
      </w:r>
      <w:r>
        <w:rPr>
          <w:spacing w:val="-11"/>
        </w:rPr>
        <w:t> 的临床治愈率与氟康唑相似，但疗效更为显著</w:t>
      </w:r>
      <w:r>
        <w:rPr/>
        <w:t>(93%vs73%)</w:t>
      </w:r>
      <w:r>
        <w:rPr>
          <w:spacing w:val="-8"/>
        </w:rPr>
        <w:t>，安</w:t>
      </w:r>
      <w:r>
        <w:rPr/>
        <w:t>全性更高，随访期间复发率更低，且在该试验中被确定为安全且耐受良好。</w:t>
      </w:r>
    </w:p>
    <w:p>
      <w:pPr>
        <w:pStyle w:val="Heading3"/>
        <w:spacing w:before="1"/>
      </w:pPr>
      <w:r>
        <w:rPr/>
        <w:t>二氢乳清酸脱氢酶抑制剂</w:t>
      </w:r>
    </w:p>
    <w:p>
      <w:pPr>
        <w:pStyle w:val="BodyText"/>
        <w:spacing w:line="280" w:lineRule="auto" w:before="52"/>
        <w:ind w:right="229"/>
      </w:pPr>
      <w:r>
        <w:rPr/>
        <w:t>F901318</w:t>
      </w:r>
      <w:r>
        <w:rPr>
          <w:spacing w:val="-11"/>
        </w:rPr>
        <w:t> 可选择性抑制真菌的二氢乳清酸脱氢酶，其活性约为人体抑制二氢乳清酸脱氢</w:t>
      </w:r>
      <w:r>
        <w:rPr>
          <w:spacing w:val="-13"/>
        </w:rPr>
        <w:t>酶能力的 </w:t>
      </w:r>
      <w:r>
        <w:rPr/>
        <w:t>2200</w:t>
      </w:r>
      <w:r>
        <w:rPr>
          <w:spacing w:val="-8"/>
        </w:rPr>
        <w:t> 倍。体内研究表明，在侵袭性曲霉病的小鼠模型中，</w:t>
      </w:r>
      <w:r>
        <w:rPr/>
        <w:t>F901318</w:t>
      </w:r>
      <w:r>
        <w:rPr>
          <w:spacing w:val="-9"/>
        </w:rPr>
        <w:t> 治疗组和泊沙康唑治疗组相比，表现出显著改善的存活率。一项评估输注持续时间对健康志愿者中F901318</w:t>
      </w:r>
      <w:r>
        <w:rPr>
          <w:spacing w:val="-8"/>
        </w:rPr>
        <w:t> 的耐受性和重复剂量药代动力学的临床研究结果显示，</w:t>
      </w:r>
      <w:r>
        <w:rPr/>
        <w:t>F901318</w:t>
      </w:r>
      <w:r>
        <w:rPr>
          <w:spacing w:val="-8"/>
        </w:rPr>
        <w:t> 输注持续时间可以</w:t>
      </w:r>
      <w:r>
        <w:rPr>
          <w:spacing w:val="-16"/>
        </w:rPr>
        <w:t>安全地减少到 </w:t>
      </w:r>
      <w:r>
        <w:rPr/>
        <w:t>1</w:t>
      </w:r>
      <w:r>
        <w:rPr>
          <w:spacing w:val="-15"/>
        </w:rPr>
        <w:t> 小时，而不显著增加峰浓度并且仍然达到临床功效的目标阈浓度，治疗期间</w:t>
      </w:r>
      <w:r>
        <w:rPr/>
        <w:t>发生的治疗突发不良反应均为轻度或中度。</w:t>
      </w:r>
    </w:p>
    <w:p>
      <w:pPr>
        <w:pStyle w:val="BodyText"/>
        <w:spacing w:line="268" w:lineRule="auto" w:before="2"/>
        <w:ind w:right="109"/>
        <w:rPr>
          <w:rFonts w:ascii="Meiryo" w:eastAsia="Meiryo" w:hint="eastAsia"/>
          <w:b/>
        </w:rPr>
      </w:pPr>
      <w:r>
        <w:rPr>
          <w:spacing w:val="-10"/>
        </w:rPr>
        <w:t>近年来，虽然全球抗侵袭性真菌感染药物研究已经取得一定进展，但是自卡泊芬净上市后，尚未有新的作用靶点药物上市，临床上可供选择的药物种类少，已有不能满足临床需求</w:t>
      </w:r>
      <w:r>
        <w:rPr>
          <w:spacing w:val="-15"/>
        </w:rPr>
        <w:t>的趋势出现。所以，急需基于宿主-真菌二者相互作用的新型抗真菌药物能尽快被研发出来， </w:t>
      </w:r>
      <w:r>
        <w:rPr/>
        <w:t>为临床治疗侵袭性真菌感染提供更多的药物选择方案。</w:t>
      </w:r>
      <w:r>
        <w:rPr>
          <w:rFonts w:ascii="Meiryo" w:eastAsia="Meiryo" w:hint="eastAsia"/>
          <w:b/>
          <w:color w:val="0033CC"/>
        </w:rPr>
        <w:t>[返回目次]</w:t>
      </w:r>
    </w:p>
    <w:p>
      <w:pPr>
        <w:spacing w:after="0" w:line="268" w:lineRule="auto"/>
        <w:rPr>
          <w:rFonts w:ascii="Meiryo" w:eastAsia="Meiryo" w:hint="eastAsia"/>
        </w:rPr>
        <w:sectPr>
          <w:pgSz w:w="11910" w:h="16850"/>
          <w:pgMar w:header="906" w:footer="607" w:top="1100" w:bottom="800" w:left="1120" w:right="900"/>
        </w:sectPr>
      </w:pPr>
    </w:p>
    <w:p>
      <w:pPr>
        <w:pStyle w:val="Heading2"/>
        <w:spacing w:before="135"/>
        <w:ind w:left="2817"/>
      </w:pPr>
      <w:bookmarkStart w:name="_TOC_250021" w:id="11"/>
      <w:bookmarkEnd w:id="11"/>
      <w:r>
        <w:rPr>
          <w:spacing w:val="-2"/>
        </w:rPr>
        <w:t>新型微针药膜可提高药物疗效</w:t>
      </w:r>
    </w:p>
    <w:p>
      <w:pPr>
        <w:pStyle w:val="BodyText"/>
        <w:ind w:left="0" w:firstLine="0"/>
        <w:rPr>
          <w:b/>
        </w:rPr>
      </w:pPr>
      <w:r>
        <w:rPr/>
        <w:br w:type="column"/>
      </w:r>
      <w:r>
        <w:rPr>
          <w:b/>
        </w:rPr>
      </w:r>
    </w:p>
    <w:p>
      <w:pPr>
        <w:pStyle w:val="BodyText"/>
        <w:spacing w:before="11"/>
        <w:ind w:left="0" w:firstLine="0"/>
        <w:rPr>
          <w:b/>
          <w:sz w:val="29"/>
        </w:rPr>
      </w:pPr>
    </w:p>
    <w:p>
      <w:pPr>
        <w:pStyle w:val="Heading3"/>
        <w:ind w:left="696"/>
        <w:rPr>
          <w:rFonts w:ascii="楷体" w:eastAsia="楷体" w:hint="eastAsia"/>
        </w:rPr>
      </w:pPr>
      <w:r>
        <w:rPr>
          <w:rFonts w:ascii="楷体" w:eastAsia="楷体" w:hint="eastAsia"/>
          <w:color w:val="FF0000"/>
        </w:rPr>
        <w:t>（来源：新华社）</w:t>
      </w:r>
    </w:p>
    <w:p>
      <w:pPr>
        <w:spacing w:after="0"/>
        <w:rPr>
          <w:rFonts w:ascii="楷体" w:eastAsia="楷体" w:hint="eastAsia"/>
        </w:rPr>
        <w:sectPr>
          <w:type w:val="continuous"/>
          <w:pgSz w:w="11910" w:h="16850"/>
          <w:pgMar w:top="1100" w:bottom="1020" w:left="1120" w:right="900"/>
          <w:cols w:num="2" w:equalWidth="0">
            <w:col w:w="6992" w:space="40"/>
            <w:col w:w="2858"/>
          </w:cols>
        </w:sectPr>
      </w:pPr>
    </w:p>
    <w:p>
      <w:pPr>
        <w:pStyle w:val="BodyText"/>
        <w:spacing w:line="297" w:lineRule="auto" w:before="96"/>
        <w:ind w:right="127"/>
        <w:jc w:val="both"/>
      </w:pPr>
      <w:r>
        <w:rPr/>
        <w:t>美国麻省理工学院的研究人员日前研发出一款新型微针药膜，可应用于癌症、艾滋病、登革热等多种疾病疫苗的给药。这种微针药膜不仅具有无痛、安全、快速自己给药等优势， 还可以显著提高药物疗效。</w:t>
      </w:r>
    </w:p>
    <w:p>
      <w:pPr>
        <w:spacing w:after="0" w:line="297" w:lineRule="auto"/>
        <w:jc w:val="both"/>
        <w:sectPr>
          <w:type w:val="continuous"/>
          <w:pgSz w:w="11910" w:h="16850"/>
          <w:pgMar w:top="1100" w:bottom="1020" w:left="1120" w:right="900"/>
        </w:sectPr>
      </w:pPr>
    </w:p>
    <w:p>
      <w:pPr>
        <w:pStyle w:val="BodyText"/>
        <w:spacing w:line="295" w:lineRule="auto" w:before="65"/>
        <w:ind w:right="226"/>
        <w:jc w:val="both"/>
      </w:pPr>
      <w:r>
        <w:rPr>
          <w:spacing w:val="-11"/>
        </w:rPr>
        <w:t>据介绍，这种微针药膜运用了静电逐层自组装方法，在微针表面上逐层吸附正负电荷交</w:t>
      </w:r>
      <w:r>
        <w:rPr/>
        <w:t>替的合成聚合物材料或蛋白质/核酸药物，进而形成微米级药膜。研究人员合成了一种对酸</w:t>
      </w:r>
      <w:r>
        <w:rPr>
          <w:spacing w:val="-8"/>
        </w:rPr>
        <w:t>碱度敏感的嵌段共聚物，置其于药膜底层，其电荷在自组装时为正，以便吸附相邻的负电分</w:t>
      </w:r>
      <w:r>
        <w:rPr>
          <w:spacing w:val="-11"/>
        </w:rPr>
        <w:t>子层；当微针刺入皮肤接触到组织间液后该共聚物电荷转变为负，通过静电排斥使药膜迅速</w:t>
      </w:r>
      <w:r>
        <w:rPr>
          <w:spacing w:val="-8"/>
        </w:rPr>
        <w:t>脱离微针进入表皮，给药过程在 </w:t>
      </w:r>
      <w:r>
        <w:rPr/>
        <w:t>1</w:t>
      </w:r>
      <w:r>
        <w:rPr>
          <w:spacing w:val="-12"/>
        </w:rPr>
        <w:t> 分钟内完成。研究论文已发表在美国《美国化学学会</w:t>
      </w:r>
      <w:r>
        <w:rPr/>
        <w:t>·</w:t>
      </w:r>
      <w:r>
        <w:rPr>
          <w:spacing w:val="-16"/>
        </w:rPr>
        <w:t>纳</w:t>
      </w:r>
      <w:r>
        <w:rPr/>
        <w:t>米》期刊上。</w:t>
      </w:r>
    </w:p>
    <w:p>
      <w:pPr>
        <w:pStyle w:val="BodyText"/>
        <w:spacing w:line="295" w:lineRule="auto" w:before="11"/>
        <w:ind w:right="227"/>
      </w:pPr>
      <w:r>
        <w:rPr>
          <w:spacing w:val="-11"/>
        </w:rPr>
        <w:t>论文第一作者、麻省理工学院博士生何彦璞说，这种微针药膜技术可以使药物疗效缓慢</w:t>
      </w:r>
      <w:r>
        <w:rPr/>
        <w:t>释放，持续刺激人体免疫系统发挥作用，比肌肉注射和皮下注射的药物疗效有明显提升。</w:t>
      </w:r>
    </w:p>
    <w:p>
      <w:pPr>
        <w:pStyle w:val="BodyText"/>
        <w:spacing w:before="2"/>
        <w:ind w:left="637" w:firstLine="0"/>
      </w:pPr>
      <w:r>
        <w:rPr/>
        <w:t>小鼠免疫试验结果显示，微针药膜治疗产生的血清抗体水平是肌内注射的 9 倍，是皮下</w:t>
      </w:r>
    </w:p>
    <w:p>
      <w:pPr>
        <w:pStyle w:val="BodyText"/>
        <w:spacing w:before="74"/>
        <w:ind w:firstLine="0"/>
      </w:pPr>
      <w:r>
        <w:rPr/>
        <w:t>注射的 160 倍。</w:t>
      </w:r>
    </w:p>
    <w:p>
      <w:pPr>
        <w:pStyle w:val="BodyText"/>
        <w:spacing w:line="297" w:lineRule="auto" w:before="72"/>
        <w:ind w:right="127" w:firstLine="199"/>
        <w:jc w:val="both"/>
      </w:pPr>
      <w:r>
        <w:rPr/>
        <w:t>麻省理工学院化学工程系主任葆拉·</w:t>
      </w:r>
      <w:r>
        <w:rPr>
          <w:spacing w:val="-6"/>
        </w:rPr>
        <w:t>哈蒙德告诉新华社记者，这种新技术目前正在做小鼠</w:t>
      </w:r>
      <w:r>
        <w:rPr>
          <w:spacing w:val="-11"/>
        </w:rPr>
        <w:t>的皮肤癌疫苗实验，下一步将在灵长类动物身上测试，然后进入人体临床试验，预计 </w:t>
      </w:r>
      <w:r>
        <w:rPr/>
        <w:t>3</w:t>
      </w:r>
      <w:r>
        <w:rPr>
          <w:spacing w:val="-40"/>
        </w:rPr>
        <w:t> 至 </w:t>
      </w:r>
      <w:r>
        <w:rPr/>
        <w:t>5 </w:t>
      </w:r>
      <w:r>
        <w:rPr>
          <w:spacing w:val="-1"/>
        </w:rPr>
        <w:t>年可以进入市场。这一方法未来有望用于癌症、艾滋病、登革热等多种疾病的预防和治疗。</w:t>
      </w:r>
    </w:p>
    <w:p>
      <w:pPr>
        <w:pStyle w:val="Heading3"/>
        <w:spacing w:line="416" w:lineRule="exact"/>
        <w:ind w:left="157"/>
        <w:rPr>
          <w:rFonts w:ascii="Meiryo" w:eastAsia="Meiryo" w:hint="eastAsia"/>
        </w:rPr>
      </w:pPr>
      <w:r>
        <w:rPr>
          <w:rFonts w:ascii="Meiryo" w:eastAsia="Meiryo" w:hint="eastAsia"/>
          <w:color w:val="0033CC"/>
        </w:rPr>
        <w:t>[返回目次]</w:t>
      </w:r>
    </w:p>
    <w:p>
      <w:pPr>
        <w:pStyle w:val="Heading2"/>
        <w:spacing w:before="64"/>
        <w:ind w:left="157"/>
      </w:pPr>
      <w:bookmarkStart w:name="_TOC_250020" w:id="12"/>
      <w:bookmarkEnd w:id="12"/>
      <w:r>
        <w:rPr/>
        <w:t>【研究进展】</w:t>
      </w:r>
    </w:p>
    <w:p>
      <w:pPr>
        <w:pStyle w:val="BodyText"/>
        <w:spacing w:before="8"/>
        <w:ind w:left="0" w:firstLine="0"/>
        <w:rPr>
          <w:b/>
          <w:sz w:val="18"/>
        </w:rPr>
      </w:pPr>
    </w:p>
    <w:p>
      <w:pPr>
        <w:spacing w:after="0"/>
        <w:rPr>
          <w:sz w:val="18"/>
        </w:rPr>
        <w:sectPr>
          <w:pgSz w:w="11910" w:h="16850"/>
          <w:pgMar w:header="906" w:footer="607" w:top="1100" w:bottom="800" w:left="1120" w:right="900"/>
        </w:sectPr>
      </w:pPr>
    </w:p>
    <w:p>
      <w:pPr>
        <w:pStyle w:val="Heading2"/>
        <w:spacing w:before="55"/>
        <w:ind w:left="2857"/>
      </w:pPr>
      <w:bookmarkStart w:name="_TOC_250019" w:id="13"/>
      <w:r>
        <w:rPr/>
        <w:t>T</w:t>
      </w:r>
      <w:bookmarkEnd w:id="13"/>
      <w:r>
        <w:rPr>
          <w:spacing w:val="-11"/>
        </w:rPr>
        <w:t> 细胞受体复合物结构获揭示</w:t>
      </w:r>
    </w:p>
    <w:p>
      <w:pPr>
        <w:pStyle w:val="BodyText"/>
        <w:ind w:left="0" w:firstLine="0"/>
        <w:rPr>
          <w:b/>
        </w:rPr>
      </w:pPr>
      <w:r>
        <w:rPr/>
        <w:br w:type="column"/>
      </w:r>
      <w:r>
        <w:rPr>
          <w:b/>
        </w:rPr>
      </w:r>
    </w:p>
    <w:p>
      <w:pPr>
        <w:pStyle w:val="BodyText"/>
        <w:spacing w:before="11"/>
        <w:ind w:left="0" w:firstLine="0"/>
        <w:rPr>
          <w:b/>
          <w:sz w:val="23"/>
        </w:rPr>
      </w:pPr>
    </w:p>
    <w:p>
      <w:pPr>
        <w:spacing w:before="0"/>
        <w:ind w:left="734" w:right="0" w:firstLine="0"/>
        <w:jc w:val="left"/>
        <w:rPr>
          <w:rFonts w:ascii="楷体" w:eastAsia="楷体" w:hint="eastAsia"/>
          <w:b/>
          <w:sz w:val="24"/>
        </w:rPr>
      </w:pPr>
      <w:r>
        <w:rPr>
          <w:rFonts w:ascii="楷体" w:eastAsia="楷体" w:hint="eastAsia"/>
          <w:b/>
          <w:color w:val="FF0000"/>
          <w:sz w:val="24"/>
        </w:rPr>
        <w:t>（来源：健康报）</w:t>
      </w:r>
    </w:p>
    <w:p>
      <w:pPr>
        <w:spacing w:after="0"/>
        <w:jc w:val="left"/>
        <w:rPr>
          <w:rFonts w:ascii="楷体" w:eastAsia="楷体" w:hint="eastAsia"/>
          <w:sz w:val="24"/>
        </w:rPr>
        <w:sectPr>
          <w:type w:val="continuous"/>
          <w:pgSz w:w="11910" w:h="16850"/>
          <w:pgMar w:top="1100" w:bottom="1020" w:left="1120" w:right="900"/>
          <w:cols w:num="2" w:equalWidth="0">
            <w:col w:w="6953" w:space="40"/>
            <w:col w:w="2897"/>
          </w:cols>
        </w:sectPr>
      </w:pPr>
    </w:p>
    <w:p>
      <w:pPr>
        <w:pStyle w:val="BodyText"/>
        <w:spacing w:line="297" w:lineRule="auto" w:before="95"/>
        <w:ind w:right="228"/>
        <w:jc w:val="both"/>
      </w:pPr>
      <w:r>
        <w:rPr>
          <w:spacing w:val="-15"/>
        </w:rPr>
        <w:t>哈尔滨工业大学生命学院黄志伟团队日前在《自然》杂志上在线发表研究文章，题为《人</w:t>
      </w:r>
      <w:r>
        <w:rPr/>
        <w:t>T</w:t>
      </w:r>
      <w:r>
        <w:rPr>
          <w:spacing w:val="-12"/>
        </w:rPr>
        <w:t> 细胞受体-共受体复合物组装的结构基础》。相关研究在国际上首次解析 </w:t>
      </w:r>
      <w:r>
        <w:rPr/>
        <w:t>T</w:t>
      </w:r>
      <w:r>
        <w:rPr>
          <w:spacing w:val="-10"/>
        </w:rPr>
        <w:t> 细胞受体-共受</w:t>
      </w:r>
      <w:r>
        <w:rPr/>
        <w:t>体复合物（TCR-CD3）结构。</w:t>
      </w:r>
    </w:p>
    <w:p>
      <w:pPr>
        <w:pStyle w:val="BodyText"/>
        <w:spacing w:line="297" w:lineRule="auto"/>
        <w:ind w:right="228"/>
        <w:jc w:val="both"/>
      </w:pPr>
      <w:r>
        <w:rPr>
          <w:spacing w:val="-1"/>
        </w:rPr>
        <w:t>人体免疫分为体液免疫和细胞免疫，</w:t>
      </w:r>
      <w:r>
        <w:rPr>
          <w:spacing w:val="-7"/>
        </w:rPr>
        <w:t>T</w:t>
      </w:r>
      <w:r>
        <w:rPr>
          <w:spacing w:val="-11"/>
        </w:rPr>
        <w:t> 细胞是细胞免疫的关键，在病毒感染、癌症以及</w:t>
      </w:r>
      <w:r>
        <w:rPr>
          <w:spacing w:val="-3"/>
        </w:rPr>
        <w:t>自体免疫疾病中起着关键作用。黄志伟比喻说，</w:t>
      </w:r>
      <w:r>
        <w:rPr>
          <w:spacing w:val="-7"/>
        </w:rPr>
        <w:t>T</w:t>
      </w:r>
      <w:r>
        <w:rPr>
          <w:spacing w:val="-9"/>
        </w:rPr>
        <w:t> 细胞是人体细胞的“警察”，识别并消灭</w:t>
      </w:r>
      <w:r>
        <w:rPr>
          <w:spacing w:val="-4"/>
        </w:rPr>
        <w:t>病毒感染的细胞或肿瘤细胞，而 </w:t>
      </w:r>
      <w:r>
        <w:rPr/>
        <w:t>TCR-CD3</w:t>
      </w:r>
      <w:r>
        <w:rPr>
          <w:spacing w:val="-20"/>
        </w:rPr>
        <w:t> 复合物是 </w:t>
      </w:r>
      <w:r>
        <w:rPr/>
        <w:t>T</w:t>
      </w:r>
      <w:r>
        <w:rPr>
          <w:spacing w:val="-13"/>
        </w:rPr>
        <w:t> 细胞的“眼睛”。对于 </w:t>
      </w:r>
      <w:r>
        <w:rPr/>
        <w:t>T</w:t>
      </w:r>
      <w:r>
        <w:rPr>
          <w:spacing w:val="-9"/>
        </w:rPr>
        <w:t> 细胞受体-共受体（TCR-CD3）复合物组装以及信号转导的结构基础，各国科学家一直尝试解析，却始终未果。</w:t>
      </w:r>
    </w:p>
    <w:p>
      <w:pPr>
        <w:pStyle w:val="BodyText"/>
        <w:spacing w:line="285" w:lineRule="auto"/>
        <w:ind w:right="226" w:firstLine="199"/>
        <w:jc w:val="both"/>
        <w:rPr>
          <w:rFonts w:ascii="Meiryo" w:eastAsia="Meiryo" w:hint="eastAsia"/>
          <w:b/>
        </w:rPr>
      </w:pPr>
      <w:r>
        <w:rPr>
          <w:spacing w:val="-6"/>
        </w:rPr>
        <w:t>黄志伟团队通过对该原子水平的复合物结构分析，揭示了 </w:t>
      </w:r>
      <w:r>
        <w:rPr/>
        <w:t>TCR</w:t>
      </w:r>
      <w:r>
        <w:rPr>
          <w:spacing w:val="-40"/>
        </w:rPr>
        <w:t> 和 </w:t>
      </w:r>
      <w:r>
        <w:rPr/>
        <w:t>CD3</w:t>
      </w:r>
      <w:r>
        <w:rPr>
          <w:spacing w:val="-9"/>
        </w:rPr>
        <w:t> 亚基在膜外侧以及膜</w:t>
      </w:r>
      <w:r>
        <w:rPr>
          <w:spacing w:val="-13"/>
        </w:rPr>
        <w:t>内识别、组装成功能复合物的分子机制，从而回答了免疫领域关于 </w:t>
      </w:r>
      <w:r>
        <w:rPr/>
        <w:t>T</w:t>
      </w:r>
      <w:r>
        <w:rPr>
          <w:spacing w:val="-9"/>
        </w:rPr>
        <w:t> 细胞受体结构的基础科</w:t>
      </w:r>
      <w:r>
        <w:rPr>
          <w:spacing w:val="-14"/>
        </w:rPr>
        <w:t>学问题，而且对解析 </w:t>
      </w:r>
      <w:r>
        <w:rPr/>
        <w:t>T</w:t>
      </w:r>
      <w:r>
        <w:rPr>
          <w:spacing w:val="-13"/>
        </w:rPr>
        <w:t> 细胞活化的分子机制具有重要的科学意义，同时也为开发基于 </w:t>
      </w:r>
      <w:r>
        <w:rPr/>
        <w:t>T</w:t>
      </w:r>
      <w:r>
        <w:rPr>
          <w:spacing w:val="-25"/>
        </w:rPr>
        <w:t> 细胞</w:t>
      </w:r>
      <w:r>
        <w:rPr/>
        <w:t>受体的免疫疗法提供了关键结构基础。</w:t>
      </w:r>
      <w:r>
        <w:rPr>
          <w:rFonts w:ascii="Meiryo" w:eastAsia="Meiryo" w:hint="eastAsia"/>
          <w:b/>
          <w:color w:val="0033CC"/>
        </w:rPr>
        <w:t>[返回目次]</w:t>
      </w:r>
    </w:p>
    <w:p>
      <w:pPr>
        <w:pStyle w:val="Heading2"/>
        <w:spacing w:before="91"/>
        <w:ind w:right="239"/>
        <w:jc w:val="center"/>
      </w:pPr>
      <w:bookmarkStart w:name="_TOC_250018" w:id="14"/>
      <w:bookmarkEnd w:id="14"/>
      <w:r>
        <w:rPr/>
        <w:t>纳米药“正负相吸”渗入肿瘤细胞</w:t>
      </w:r>
    </w:p>
    <w:p>
      <w:pPr>
        <w:pStyle w:val="BodyText"/>
        <w:spacing w:before="63"/>
        <w:ind w:left="403" w:firstLine="0"/>
        <w:jc w:val="center"/>
      </w:pPr>
      <w:r>
        <w:rPr/>
        <w:t>新结构有望显著提高抗肿瘤疗效</w:t>
      </w:r>
    </w:p>
    <w:p>
      <w:pPr>
        <w:pStyle w:val="Heading3"/>
        <w:spacing w:before="176"/>
        <w:ind w:left="0" w:right="228"/>
        <w:jc w:val="right"/>
        <w:rPr>
          <w:rFonts w:ascii="楷体" w:eastAsia="楷体" w:hint="eastAsia"/>
        </w:rPr>
      </w:pPr>
      <w:r>
        <w:rPr>
          <w:rFonts w:ascii="楷体" w:eastAsia="楷体" w:hint="eastAsia"/>
          <w:color w:val="FF0000"/>
          <w:w w:val="95"/>
        </w:rPr>
        <w:t>（来源：健康报）</w:t>
      </w:r>
    </w:p>
    <w:p>
      <w:pPr>
        <w:pStyle w:val="BodyText"/>
        <w:spacing w:line="297" w:lineRule="auto" w:before="95"/>
        <w:ind w:right="227"/>
        <w:jc w:val="both"/>
      </w:pPr>
      <w:r>
        <w:rPr>
          <w:spacing w:val="-12"/>
        </w:rPr>
        <w:t>近日，浙江大学化学工程与生物工程学院申有青教授团队和美国加州大学洛杉矶分校顾</w:t>
      </w:r>
      <w:r>
        <w:rPr>
          <w:spacing w:val="-10"/>
        </w:rPr>
        <w:t>臻教授团队合作，提出了纳米药在肿瘤组织中主动渗透的新机制。他们利用正负电荷相吸原理，设计出肿瘤细胞主动递送药物的方法，将抗肿瘤纳米药输送到每一个肿瘤细胞，并用多</w:t>
      </w:r>
    </w:p>
    <w:p>
      <w:pPr>
        <w:spacing w:after="0" w:line="297" w:lineRule="auto"/>
        <w:jc w:val="both"/>
        <w:sectPr>
          <w:type w:val="continuous"/>
          <w:pgSz w:w="11910" w:h="16850"/>
          <w:pgMar w:top="1100" w:bottom="1020" w:left="1120" w:right="900"/>
        </w:sectPr>
      </w:pPr>
    </w:p>
    <w:p>
      <w:pPr>
        <w:pStyle w:val="BodyText"/>
        <w:spacing w:line="295" w:lineRule="auto" w:before="65"/>
        <w:ind w:right="227" w:firstLine="0"/>
      </w:pPr>
      <w:r>
        <w:rPr>
          <w:spacing w:val="-3"/>
        </w:rPr>
        <w:t>种动物模型验证这种方法能够显著提高抗肿瘤疗效。相关论文刊登在国际期刊《自然</w:t>
      </w:r>
      <w:r>
        <w:rPr>
          <w:spacing w:val="-34"/>
        </w:rPr>
        <w:t>·</w:t>
      </w:r>
      <w:r>
        <w:rPr>
          <w:spacing w:val="-8"/>
        </w:rPr>
        <w:t>纳米</w:t>
      </w:r>
      <w:r>
        <w:rPr/>
        <w:t>技术》上。</w:t>
      </w:r>
    </w:p>
    <w:p>
      <w:pPr>
        <w:pStyle w:val="BodyText"/>
        <w:spacing w:line="297" w:lineRule="auto" w:before="2"/>
        <w:ind w:right="127"/>
      </w:pPr>
      <w:r>
        <w:rPr>
          <w:spacing w:val="-4"/>
        </w:rPr>
        <w:t>“治疗癌症的纳米药是将小分子抗肿瘤药负载到纳米尺寸的载体中得到的。纳米药的优</w:t>
      </w:r>
      <w:r>
        <w:rPr>
          <w:spacing w:val="-10"/>
        </w:rPr>
        <w:t>势在于，注射到血液后可以躲过肾脏过滤，在血液中滞留较长时间，因而能更多地蓄积在肿</w:t>
      </w:r>
      <w:r>
        <w:rPr>
          <w:spacing w:val="-8"/>
        </w:rPr>
        <w:t>瘤中。但它过于庞大的体积使其自身运动</w:t>
      </w:r>
      <w:r>
        <w:rPr/>
        <w:t>（扩散</w:t>
      </w:r>
      <w:r>
        <w:rPr>
          <w:spacing w:val="-22"/>
        </w:rPr>
        <w:t>）</w:t>
      </w:r>
      <w:r>
        <w:rPr>
          <w:spacing w:val="-7"/>
        </w:rPr>
        <w:t>能力很弱。与此同时，肿瘤内部缺少毛细</w:t>
      </w:r>
      <w:r>
        <w:rPr>
          <w:spacing w:val="-8"/>
        </w:rPr>
        <w:t>血管网，有非常致密的细胞外基质和非常高的细胞密度，因此纳米药在肿瘤组织内的扩散， </w:t>
      </w:r>
      <w:r>
        <w:rPr>
          <w:spacing w:val="-6"/>
        </w:rPr>
        <w:t>犹如一头大象在枝蔓横生的原始密林中一样难以前行。”申有青说，这就导致了纳米药即便能够积蓄在肿瘤内，也无法将携带的药物直接递送到每一个细胞内。</w:t>
      </w:r>
    </w:p>
    <w:p>
      <w:pPr>
        <w:pStyle w:val="BodyText"/>
        <w:spacing w:line="297" w:lineRule="auto"/>
        <w:ind w:right="227"/>
        <w:jc w:val="both"/>
      </w:pPr>
      <w:r>
        <w:rPr>
          <w:spacing w:val="-8"/>
        </w:rPr>
        <w:t>“肿瘤细胞表面带负电荷，只需让纳米药呈正电性，就能很容易地被吸附到细胞表面而</w:t>
      </w:r>
      <w:r>
        <w:rPr>
          <w:spacing w:val="-12"/>
        </w:rPr>
        <w:t>被‘内吞’。”申有青表示，团队经过实验设计，可让肿瘤细胞一边吞噬纳米药，然后在另</w:t>
      </w:r>
      <w:r>
        <w:rPr/>
        <w:t>一边将一部分吐出来，如此循环往复，将纳米药从肿瘤毛细血管处传递出去。</w:t>
      </w:r>
    </w:p>
    <w:p>
      <w:pPr>
        <w:pStyle w:val="BodyText"/>
        <w:spacing w:line="297" w:lineRule="auto"/>
        <w:ind w:right="228"/>
        <w:jc w:val="both"/>
      </w:pPr>
      <w:r>
        <w:rPr>
          <w:spacing w:val="-6"/>
        </w:rPr>
        <w:t>科研团队用多种动物模型考察了该新结构的纳米药，结果表明，尾静脉注射的纳米药可</w:t>
      </w:r>
      <w:r>
        <w:rPr>
          <w:spacing w:val="-9"/>
        </w:rPr>
        <w:t>以治愈体积为 </w:t>
      </w:r>
      <w:r>
        <w:rPr/>
        <w:t>100</w:t>
      </w:r>
      <w:r>
        <w:rPr>
          <w:spacing w:val="-15"/>
        </w:rPr>
        <w:t> 立方毫米的小肿瘤，还能让 </w:t>
      </w:r>
      <w:r>
        <w:rPr/>
        <w:t>500</w:t>
      </w:r>
      <w:r>
        <w:rPr>
          <w:spacing w:val="-13"/>
        </w:rPr>
        <w:t> 立方毫米的大肿瘤萎缩变小。停药半个月</w:t>
      </w:r>
      <w:r>
        <w:rPr/>
        <w:t>后，未见反弹，并对具有癌症之王的胰腺癌也有显著抑制肿瘤生长、延长存活期的能力。</w:t>
      </w:r>
    </w:p>
    <w:p>
      <w:pPr>
        <w:pStyle w:val="BodyText"/>
        <w:spacing w:line="278" w:lineRule="auto"/>
        <w:ind w:right="227"/>
        <w:jc w:val="both"/>
        <w:rPr>
          <w:rFonts w:ascii="Meiryo" w:eastAsia="Meiryo" w:hint="eastAsia"/>
          <w:b/>
        </w:rPr>
      </w:pPr>
      <w:r>
        <w:rPr>
          <w:spacing w:val="-11"/>
        </w:rPr>
        <w:t>申有青表示，这种化被动渗透为主动的策略，克服了纳米药大尺寸导致扩散能力低的天然缺陷，有望解决纳米药在肿瘤组织内渗透难的问题，为下一阶段纳米药物的设计开辟了新</w:t>
      </w:r>
      <w:r>
        <w:rPr/>
        <w:t>思路。</w:t>
      </w:r>
      <w:r>
        <w:rPr>
          <w:rFonts w:ascii="Meiryo" w:eastAsia="Meiryo" w:hint="eastAsia"/>
          <w:b/>
          <w:color w:val="0033CC"/>
        </w:rPr>
        <w:t>[返回目次]</w:t>
      </w:r>
    </w:p>
    <w:p>
      <w:pPr>
        <w:spacing w:after="0" w:line="278" w:lineRule="auto"/>
        <w:jc w:val="both"/>
        <w:rPr>
          <w:rFonts w:ascii="Meiryo" w:eastAsia="Meiryo" w:hint="eastAsia"/>
        </w:rPr>
        <w:sectPr>
          <w:pgSz w:w="11910" w:h="16850"/>
          <w:pgMar w:header="906" w:footer="607" w:top="1100" w:bottom="800" w:left="1120" w:right="900"/>
        </w:sectPr>
      </w:pPr>
    </w:p>
    <w:p>
      <w:pPr>
        <w:pStyle w:val="Heading2"/>
        <w:spacing w:before="104"/>
        <w:ind w:left="2817"/>
      </w:pPr>
      <w:bookmarkStart w:name="_TOC_250017" w:id="15"/>
      <w:bookmarkEnd w:id="15"/>
      <w:r>
        <w:rPr>
          <w:spacing w:val="-2"/>
        </w:rPr>
        <w:t>心血管疾病治疗新靶点被找到</w:t>
      </w:r>
    </w:p>
    <w:p>
      <w:pPr>
        <w:pStyle w:val="BodyText"/>
        <w:ind w:left="0" w:firstLine="0"/>
        <w:rPr>
          <w:b/>
        </w:rPr>
      </w:pPr>
      <w:r>
        <w:rPr/>
        <w:br w:type="column"/>
      </w:r>
      <w:r>
        <w:rPr>
          <w:b/>
        </w:rPr>
      </w:r>
    </w:p>
    <w:p>
      <w:pPr>
        <w:pStyle w:val="BodyText"/>
        <w:spacing w:before="1"/>
        <w:ind w:left="0" w:firstLine="0"/>
        <w:rPr>
          <w:b/>
          <w:sz w:val="20"/>
        </w:rPr>
      </w:pPr>
    </w:p>
    <w:p>
      <w:pPr>
        <w:pStyle w:val="Heading3"/>
        <w:spacing w:before="1"/>
        <w:ind w:left="696"/>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20" w:right="900"/>
          <w:cols w:num="2" w:equalWidth="0">
            <w:col w:w="6992" w:space="40"/>
            <w:col w:w="2858"/>
          </w:cols>
        </w:sectPr>
      </w:pPr>
    </w:p>
    <w:p>
      <w:pPr>
        <w:pStyle w:val="BodyText"/>
        <w:spacing w:line="297" w:lineRule="auto" w:before="71"/>
        <w:ind w:right="227"/>
        <w:jc w:val="both"/>
      </w:pPr>
      <w:r>
        <w:rPr>
          <w:spacing w:val="-5"/>
        </w:rPr>
        <w:t>同济大学附属东方医院心衰研究所暨心律失常教育部重点实验室张玉珍团队，阐明了转</w:t>
      </w:r>
      <w:r>
        <w:rPr>
          <w:spacing w:val="-9"/>
        </w:rPr>
        <w:t>录因子在心力衰竭、动脉粥样硬化以及血管再狭窄等心血管疾病中的重要调控机制，并与东</w:t>
      </w:r>
      <w:r>
        <w:rPr>
          <w:spacing w:val="-4"/>
        </w:rPr>
        <w:t>方医院纳米医学应用技术研究所的成昱教授合作开发出血管内皮靶向性纳米材料，成功实现</w:t>
      </w:r>
      <w:r>
        <w:rPr>
          <w:spacing w:val="-7"/>
        </w:rPr>
        <w:t>了血管内皮细胞靶向性基因调控，成功逆转了病理性心脏重构，有效延缓动脉粥样硬化的发</w:t>
      </w:r>
      <w:r>
        <w:rPr>
          <w:spacing w:val="-10"/>
        </w:rPr>
        <w:t>生、发展。研究结果于近期先后发表在《循环》《循环研究》《动脉硬化、血栓形成和血管</w:t>
      </w:r>
      <w:r>
        <w:rPr/>
        <w:t>生物学》杂志上，研究第一作者为庄涛、刘杰、陈晓丽、皮劲江等人。</w:t>
      </w:r>
    </w:p>
    <w:p>
      <w:pPr>
        <w:pStyle w:val="BodyText"/>
        <w:spacing w:line="297" w:lineRule="auto"/>
        <w:ind w:right="126"/>
      </w:pPr>
      <w:r>
        <w:rPr>
          <w:spacing w:val="-3"/>
        </w:rPr>
        <w:t>在第一项研究中，团队发现平滑肌细胞特异性敲除转录因子 </w:t>
      </w:r>
      <w:r>
        <w:rPr/>
        <w:t>GATA6</w:t>
      </w:r>
      <w:r>
        <w:rPr>
          <w:spacing w:val="-9"/>
        </w:rPr>
        <w:t> 增加血管内膜增生， </w:t>
      </w:r>
      <w:r>
        <w:rPr>
          <w:spacing w:val="-5"/>
        </w:rPr>
        <w:t>而血管内皮细胞特异性敲除 </w:t>
      </w:r>
      <w:r>
        <w:rPr/>
        <w:t>GATA6</w:t>
      </w:r>
      <w:r>
        <w:rPr>
          <w:spacing w:val="-17"/>
        </w:rPr>
        <w:t> 反而明显减少内膜增生，原因是不同来源的 </w:t>
      </w:r>
      <w:r>
        <w:rPr/>
        <w:t>GATA6</w:t>
      </w:r>
      <w:r>
        <w:rPr>
          <w:spacing w:val="-15"/>
        </w:rPr>
        <w:t> 会影响不同的细胞因子表达。该研究有助于进一步理解血管支架植入术后血管内膜增生的分子机 制，为寻找治疗支架植入后血管再狭窄的药物靶点提供思路。</w:t>
      </w:r>
    </w:p>
    <w:p>
      <w:pPr>
        <w:pStyle w:val="BodyText"/>
        <w:spacing w:line="297" w:lineRule="auto"/>
        <w:ind w:right="228"/>
      </w:pPr>
      <w:r>
        <w:rPr>
          <w:spacing w:val="-8"/>
        </w:rPr>
        <w:t>随后，课题组又发现了调控心力衰竭的关键转录因子 </w:t>
      </w:r>
      <w:r>
        <w:rPr/>
        <w:t>Foxp1</w:t>
      </w:r>
      <w:r>
        <w:rPr>
          <w:spacing w:val="-12"/>
        </w:rPr>
        <w:t>。血管内皮表达的 </w:t>
      </w:r>
      <w:r>
        <w:rPr/>
        <w:t>Foxp1</w:t>
      </w:r>
      <w:r>
        <w:rPr>
          <w:spacing w:val="-38"/>
        </w:rPr>
        <w:t> 可</w:t>
      </w:r>
      <w:r>
        <w:rPr>
          <w:spacing w:val="-5"/>
        </w:rPr>
        <w:t>以改善心力衰竭的病理性心脏重构，去除血管内皮中 </w:t>
      </w:r>
      <w:r>
        <w:rPr>
          <w:spacing w:val="-4"/>
        </w:rPr>
        <w:t>Foxp1</w:t>
      </w:r>
      <w:r>
        <w:rPr>
          <w:spacing w:val="-3"/>
        </w:rPr>
        <w:t>，则加重病理性心脏重构和降低</w:t>
      </w:r>
      <w:r>
        <w:rPr/>
        <w:t>心功能。进一步研究显示，TGF（转化生长因子）</w:t>
      </w:r>
      <w:r>
        <w:rPr>
          <w:rFonts w:ascii="Arial" w:hAnsi="Arial" w:eastAsia="Arial"/>
        </w:rPr>
        <w:t>β </w:t>
      </w:r>
      <w:r>
        <w:rPr>
          <w:spacing w:val="-10"/>
        </w:rPr>
        <w:t>信号通路为 </w:t>
      </w:r>
      <w:r>
        <w:rPr/>
        <w:t>Foxp1</w:t>
      </w:r>
      <w:r>
        <w:rPr>
          <w:spacing w:val="-8"/>
        </w:rPr>
        <w:t> 调控的下游靶基因， TGF</w:t>
      </w:r>
      <w:r>
        <w:rPr>
          <w:rFonts w:ascii="Arial" w:hAnsi="Arial" w:eastAsia="Arial"/>
          <w:spacing w:val="-8"/>
        </w:rPr>
        <w:t>β </w:t>
      </w:r>
      <w:r>
        <w:rPr>
          <w:spacing w:val="-5"/>
        </w:rPr>
        <w:t>抑制剂能够逆转血管内皮 </w:t>
      </w:r>
      <w:r>
        <w:rPr/>
        <w:t>Foxp1</w:t>
      </w:r>
      <w:r>
        <w:rPr>
          <w:spacing w:val="-11"/>
        </w:rPr>
        <w:t> 缺失引起的心室重构恶化。但全身性运用 </w:t>
      </w:r>
      <w:r>
        <w:rPr/>
        <w:t>TGF</w:t>
      </w:r>
      <w:r>
        <w:rPr>
          <w:rFonts w:ascii="Arial" w:hAnsi="Arial" w:eastAsia="Arial"/>
        </w:rPr>
        <w:t>β </w:t>
      </w:r>
      <w:r>
        <w:rPr/>
        <w:t>抑制剂实验动物死亡率反而增加。为扭转这种局面，课题组尝试运用多肽纳米材料作为载体将TGF</w:t>
      </w:r>
      <w:r>
        <w:rPr>
          <w:rFonts w:ascii="Arial" w:hAnsi="Arial" w:eastAsia="Arial"/>
        </w:rPr>
        <w:t>β </w:t>
      </w:r>
      <w:r>
        <w:rPr>
          <w:spacing w:val="-8"/>
        </w:rPr>
        <w:t>小干扰核糖核酸 </w:t>
      </w:r>
      <w:r>
        <w:rPr>
          <w:spacing w:val="-3"/>
        </w:rPr>
        <w:t>RNA（siRNA）靶向导入血管内皮细胞，证实可以减轻病理性心脏重构</w:t>
      </w:r>
      <w:r>
        <w:rPr/>
        <w:t>和改善心功能障碍，这为防治心衰提供了思路和方法。</w:t>
      </w:r>
    </w:p>
    <w:p>
      <w:pPr>
        <w:spacing w:after="0" w:line="297" w:lineRule="auto"/>
        <w:sectPr>
          <w:type w:val="continuous"/>
          <w:pgSz w:w="11910" w:h="16850"/>
          <w:pgMar w:top="1100" w:bottom="1020" w:left="1120" w:right="900"/>
        </w:sectPr>
      </w:pPr>
    </w:p>
    <w:p>
      <w:pPr>
        <w:pStyle w:val="BodyText"/>
        <w:spacing w:line="297" w:lineRule="auto" w:before="65"/>
        <w:ind w:right="228"/>
      </w:pPr>
      <w:r>
        <w:rPr>
          <w:spacing w:val="-11"/>
        </w:rPr>
        <w:t>在第三项研究中，课题组发现 </w:t>
      </w:r>
      <w:r>
        <w:rPr/>
        <w:t>Foxp1</w:t>
      </w:r>
      <w:r>
        <w:rPr>
          <w:spacing w:val="-12"/>
        </w:rPr>
        <w:t> 不仅在心力衰竭中发挥重要作用，而且参与动脉粥</w:t>
      </w:r>
      <w:r>
        <w:rPr>
          <w:spacing w:val="-9"/>
        </w:rPr>
        <w:t>样硬化的发生发展。血管内皮细胞特异性敲除 </w:t>
      </w:r>
      <w:r>
        <w:rPr/>
        <w:t>Foxp1</w:t>
      </w:r>
      <w:r>
        <w:rPr>
          <w:spacing w:val="-13"/>
        </w:rPr>
        <w:t> 可显著增加动脉粥样斑块，而血管内皮</w:t>
      </w:r>
      <w:r>
        <w:rPr>
          <w:spacing w:val="-16"/>
        </w:rPr>
        <w:t>过表达 </w:t>
      </w:r>
      <w:r>
        <w:rPr/>
        <w:t>Foxp1</w:t>
      </w:r>
      <w:r>
        <w:rPr>
          <w:spacing w:val="-15"/>
        </w:rPr>
        <w:t> 则抑制动脉粥样硬化发生。并且 </w:t>
      </w:r>
      <w:r>
        <w:rPr/>
        <w:t>Foxp1</w:t>
      </w:r>
      <w:r>
        <w:rPr>
          <w:spacing w:val="-13"/>
        </w:rPr>
        <w:t> 可以响应血流剪切力的变化，揭示了血</w:t>
      </w:r>
      <w:r>
        <w:rPr>
          <w:spacing w:val="-2"/>
        </w:rPr>
        <w:t>流剪切力影响动脉粥样硬化发生发展的分子机制。研究还发现他汀类药物可以影响 </w:t>
      </w:r>
      <w:r>
        <w:rPr/>
        <w:t>Foxp1 的表达，揭示出他汀类药物治疗动脉粥样硬化的新机制。</w:t>
      </w:r>
    </w:p>
    <w:p>
      <w:pPr>
        <w:pStyle w:val="BodyText"/>
        <w:spacing w:line="297" w:lineRule="auto"/>
        <w:ind w:right="227"/>
        <w:jc w:val="both"/>
      </w:pPr>
      <w:r>
        <w:rPr>
          <w:spacing w:val="-10"/>
        </w:rPr>
        <w:t>张玉珍介绍说，此前的 </w:t>
      </w:r>
      <w:r>
        <w:rPr/>
        <w:t>7</w:t>
      </w:r>
      <w:r>
        <w:rPr>
          <w:spacing w:val="-14"/>
        </w:rPr>
        <w:t> 年间，该团队在医院的大力支持下，建立了较为完整的冠心病</w:t>
      </w:r>
      <w:r>
        <w:rPr>
          <w:spacing w:val="-9"/>
        </w:rPr>
        <w:t>和血管病变动物模型，引进和构建了多种重要的工具小鼠和转基因小鼠，系统完善了冠心病</w:t>
      </w:r>
      <w:r>
        <w:rPr>
          <w:spacing w:val="-7"/>
        </w:rPr>
        <w:t>和血管病变的研究体系，搭建出具有国际水平的冠心病和血管病变研究平台。得益于此，才</w:t>
      </w:r>
      <w:r>
        <w:rPr/>
        <w:t>有了近些年的一系列成果。</w:t>
      </w:r>
    </w:p>
    <w:p>
      <w:pPr>
        <w:spacing w:line="348" w:lineRule="exact" w:before="0"/>
        <w:ind w:left="637" w:right="0" w:firstLine="0"/>
        <w:jc w:val="both"/>
        <w:rPr>
          <w:rFonts w:ascii="Meiryo" w:eastAsia="Meiryo" w:hint="eastAsia"/>
          <w:b/>
          <w:sz w:val="24"/>
        </w:rPr>
      </w:pPr>
      <w:r>
        <w:rPr>
          <w:sz w:val="24"/>
        </w:rPr>
        <w:t>作者：同济大学附属东方医院 李静 </w:t>
      </w:r>
      <w:r>
        <w:rPr>
          <w:rFonts w:ascii="Meiryo" w:eastAsia="Meiryo" w:hint="eastAsia"/>
          <w:b/>
          <w:color w:val="0033CC"/>
          <w:sz w:val="24"/>
        </w:rPr>
        <w:t>[返回目次]</w:t>
      </w:r>
    </w:p>
    <w:p>
      <w:pPr>
        <w:pStyle w:val="Heading1"/>
        <w:spacing w:line="653" w:lineRule="exact"/>
        <w:rPr>
          <w:u w:val="none"/>
        </w:rPr>
      </w:pPr>
      <w:bookmarkStart w:name="_TOC_250016" w:id="16"/>
      <w:r>
        <w:rPr>
          <w:rFonts w:ascii="Times New Roman" w:eastAsia="Times New Roman"/>
          <w:color w:val="008000"/>
          <w:spacing w:val="-110"/>
          <w:w w:val="99"/>
          <w:u w:val="thick" w:color="008000"/>
        </w:rPr>
        <w:t> </w:t>
      </w:r>
      <w:bookmarkEnd w:id="16"/>
      <w:r>
        <w:rPr>
          <w:color w:val="008000"/>
          <w:u w:val="thick" w:color="008000"/>
        </w:rPr>
        <w:t>合理用药</w:t>
      </w:r>
    </w:p>
    <w:p>
      <w:pPr>
        <w:pStyle w:val="Heading2"/>
        <w:spacing w:before="7"/>
        <w:ind w:left="157"/>
      </w:pPr>
      <w:bookmarkStart w:name="_TOC_250015" w:id="17"/>
      <w:bookmarkEnd w:id="17"/>
      <w:r>
        <w:rPr/>
        <w:t>【临床药师】</w:t>
      </w:r>
    </w:p>
    <w:p>
      <w:pPr>
        <w:pStyle w:val="BodyText"/>
        <w:spacing w:before="11"/>
        <w:ind w:left="0" w:firstLine="0"/>
        <w:rPr>
          <w:b/>
          <w:sz w:val="22"/>
        </w:rPr>
      </w:pPr>
    </w:p>
    <w:p>
      <w:pPr>
        <w:pStyle w:val="Heading2"/>
        <w:ind w:right="236"/>
        <w:jc w:val="center"/>
      </w:pPr>
      <w:bookmarkStart w:name="_TOC_250014" w:id="18"/>
      <w:bookmarkEnd w:id="18"/>
      <w:r>
        <w:rPr/>
        <w:t>活性维生素 D 及其类似物在骨质疏松治疗中的地位</w:t>
      </w:r>
    </w:p>
    <w:p>
      <w:pPr>
        <w:pStyle w:val="Heading3"/>
        <w:spacing w:before="148"/>
        <w:ind w:left="0" w:right="228"/>
        <w:jc w:val="right"/>
        <w:rPr>
          <w:rFonts w:ascii="楷体" w:eastAsia="楷体" w:hint="eastAsia"/>
        </w:rPr>
      </w:pPr>
      <w:r>
        <w:rPr>
          <w:rFonts w:ascii="楷体" w:eastAsia="楷体" w:hint="eastAsia"/>
          <w:color w:val="FF0000"/>
          <w:w w:val="95"/>
        </w:rPr>
        <w:t>（来源：中国医学论坛报）</w:t>
      </w:r>
    </w:p>
    <w:p>
      <w:pPr>
        <w:pStyle w:val="BodyText"/>
        <w:spacing w:line="297" w:lineRule="auto" w:before="96"/>
        <w:ind w:right="227"/>
      </w:pPr>
      <w:r>
        <w:rPr>
          <w:spacing w:val="-11"/>
        </w:rPr>
        <w:t>活性维生素 </w:t>
      </w:r>
      <w:r>
        <w:rPr/>
        <w:t>D</w:t>
      </w:r>
      <w:r>
        <w:rPr>
          <w:spacing w:val="-30"/>
        </w:rPr>
        <w:t> 是指 </w:t>
      </w:r>
      <w:r>
        <w:rPr/>
        <w:t>1</w:t>
      </w:r>
      <w:r>
        <w:rPr>
          <w:rFonts w:ascii="Arial" w:hAnsi="Arial" w:eastAsia="Arial"/>
        </w:rPr>
        <w:t>α</w:t>
      </w:r>
      <w:r>
        <w:rPr>
          <w:rFonts w:ascii="Arial" w:hAnsi="Arial" w:eastAsia="Arial"/>
          <w:spacing w:val="33"/>
        </w:rPr>
        <w:t> </w:t>
      </w:r>
      <w:r>
        <w:rPr/>
        <w:t>,25-</w:t>
      </w:r>
      <w:r>
        <w:rPr>
          <w:spacing w:val="-10"/>
        </w:rPr>
        <w:t>双羟维生素 </w:t>
      </w:r>
      <w:r>
        <w:rPr/>
        <w:t>D（骨化三醇），</w:t>
      </w:r>
      <w:r>
        <w:rPr>
          <w:spacing w:val="-12"/>
        </w:rPr>
        <w:t>是维生素 </w:t>
      </w:r>
      <w:r>
        <w:rPr/>
        <w:t>D</w:t>
      </w:r>
      <w:r>
        <w:rPr>
          <w:spacing w:val="-8"/>
        </w:rPr>
        <w:t> 的活性产物，在体</w:t>
      </w:r>
      <w:r>
        <w:rPr>
          <w:spacing w:val="-12"/>
        </w:rPr>
        <w:t>内直接激活靶细胞内的维生素 </w:t>
      </w:r>
      <w:r>
        <w:rPr/>
        <w:t>D</w:t>
      </w:r>
      <w:r>
        <w:rPr>
          <w:spacing w:val="-14"/>
        </w:rPr>
        <w:t> 受体，从而发挥生物学效应。而活性维生素 </w:t>
      </w:r>
      <w:r>
        <w:rPr/>
        <w:t>D</w:t>
      </w:r>
      <w:r>
        <w:rPr>
          <w:spacing w:val="-18"/>
        </w:rPr>
        <w:t> 的类似物如 </w:t>
      </w:r>
      <w:r>
        <w:rPr>
          <w:spacing w:val="-14"/>
        </w:rPr>
        <w:t>1 </w:t>
      </w:r>
      <w:r>
        <w:rPr>
          <w:rFonts w:ascii="Arial" w:hAnsi="Arial" w:eastAsia="Arial"/>
        </w:rPr>
        <w:t>α</w:t>
      </w:r>
      <w:r>
        <w:rPr>
          <w:rFonts w:ascii="Arial" w:hAnsi="Arial" w:eastAsia="Arial"/>
          <w:spacing w:val="33"/>
        </w:rPr>
        <w:t> </w:t>
      </w:r>
      <w:r>
        <w:rPr>
          <w:spacing w:val="-9"/>
        </w:rPr>
        <w:t>-羟基维生素 </w:t>
      </w:r>
      <w:r>
        <w:rPr/>
        <w:t>D（阿法骨化醇）</w:t>
      </w:r>
      <w:r>
        <w:rPr>
          <w:spacing w:val="-10"/>
        </w:rPr>
        <w:t>在肝脏完成 </w:t>
      </w:r>
      <w:r>
        <w:rPr/>
        <w:t>25</w:t>
      </w:r>
      <w:r>
        <w:rPr>
          <w:spacing w:val="-11"/>
        </w:rPr>
        <w:t> 位羟化后，即可转变为具有活性的 </w:t>
      </w:r>
      <w:r>
        <w:rPr/>
        <w:t>1</w:t>
      </w:r>
      <w:r>
        <w:rPr>
          <w:rFonts w:ascii="Arial" w:hAnsi="Arial" w:eastAsia="Arial"/>
        </w:rPr>
        <w:t>α</w:t>
      </w:r>
      <w:r>
        <w:rPr>
          <w:rFonts w:ascii="Arial" w:hAnsi="Arial" w:eastAsia="Arial"/>
          <w:spacing w:val="34"/>
        </w:rPr>
        <w:t> </w:t>
      </w:r>
      <w:r>
        <w:rPr/>
        <w:t>,25- </w:t>
      </w:r>
      <w:r>
        <w:rPr>
          <w:spacing w:val="-11"/>
        </w:rPr>
        <w:t>双羟维生素 </w:t>
      </w:r>
      <w:r>
        <w:rPr>
          <w:spacing w:val="-8"/>
        </w:rPr>
        <w:t>D，后者激活靶细胞内的维生素 </w:t>
      </w:r>
      <w:r>
        <w:rPr/>
        <w:t>D</w:t>
      </w:r>
      <w:r>
        <w:rPr>
          <w:spacing w:val="-11"/>
        </w:rPr>
        <w:t> 受体，再发挥生物学作用。由于阿法骨化醇在</w:t>
      </w:r>
      <w:r>
        <w:rPr>
          <w:spacing w:val="-16"/>
        </w:rPr>
        <w:t>肝脏的 </w:t>
      </w:r>
      <w:r>
        <w:rPr/>
        <w:t>25</w:t>
      </w:r>
      <w:r>
        <w:rPr>
          <w:spacing w:val="-10"/>
        </w:rPr>
        <w:t> 位羟化为非酶促反应，随着阿法骨化醇的剂量增大，体内 </w:t>
      </w:r>
      <w:r>
        <w:rPr/>
        <w:t>1</w:t>
      </w:r>
      <w:r>
        <w:rPr>
          <w:rFonts w:ascii="Arial" w:hAnsi="Arial" w:eastAsia="Arial"/>
        </w:rPr>
        <w:t>α</w:t>
      </w:r>
      <w:r>
        <w:rPr>
          <w:rFonts w:ascii="Arial" w:hAnsi="Arial" w:eastAsia="Arial"/>
          <w:spacing w:val="33"/>
        </w:rPr>
        <w:t> </w:t>
      </w:r>
      <w:r>
        <w:rPr/>
        <w:t>,25-</w:t>
      </w:r>
      <w:r>
        <w:rPr>
          <w:spacing w:val="-10"/>
        </w:rPr>
        <w:t>双羟维生素 </w:t>
      </w:r>
      <w:r>
        <w:rPr/>
        <w:t>D </w:t>
      </w:r>
      <w:r>
        <w:rPr>
          <w:spacing w:val="-4"/>
        </w:rPr>
        <w:t>水平也会随之升高，因此，</w:t>
      </w:r>
      <w:r>
        <w:rPr>
          <w:spacing w:val="-8"/>
        </w:rPr>
        <w:t>1</w:t>
      </w:r>
      <w:r>
        <w:rPr>
          <w:rFonts w:ascii="Arial" w:hAnsi="Arial" w:eastAsia="Arial"/>
          <w:spacing w:val="-8"/>
        </w:rPr>
        <w:t>α</w:t>
      </w:r>
      <w:r>
        <w:rPr>
          <w:rFonts w:ascii="Arial" w:hAnsi="Arial" w:eastAsia="Arial"/>
          <w:spacing w:val="34"/>
        </w:rPr>
        <w:t> </w:t>
      </w:r>
      <w:r>
        <w:rPr>
          <w:spacing w:val="-9"/>
        </w:rPr>
        <w:t>-羟基维生素 </w:t>
      </w:r>
      <w:r>
        <w:rPr/>
        <w:t>D</w:t>
      </w:r>
      <w:r>
        <w:rPr>
          <w:spacing w:val="-24"/>
        </w:rPr>
        <w:t> 具有与 </w:t>
      </w:r>
      <w:r>
        <w:rPr/>
        <w:t>1</w:t>
      </w:r>
      <w:r>
        <w:rPr>
          <w:rFonts w:ascii="Arial" w:hAnsi="Arial" w:eastAsia="Arial"/>
        </w:rPr>
        <w:t>α</w:t>
      </w:r>
      <w:r>
        <w:rPr>
          <w:rFonts w:ascii="Arial" w:hAnsi="Arial" w:eastAsia="Arial"/>
          <w:spacing w:val="34"/>
        </w:rPr>
        <w:t> </w:t>
      </w:r>
      <w:r>
        <w:rPr/>
        <w:t>,25-</w:t>
      </w:r>
      <w:r>
        <w:rPr>
          <w:spacing w:val="-10"/>
        </w:rPr>
        <w:t>双羟维生素 </w:t>
      </w:r>
      <w:r>
        <w:rPr/>
        <w:t>D</w:t>
      </w:r>
      <w:r>
        <w:rPr>
          <w:spacing w:val="-10"/>
        </w:rPr>
        <w:t> 相似的生物学作</w:t>
      </w:r>
      <w:r>
        <w:rPr>
          <w:spacing w:val="-8"/>
        </w:rPr>
        <w:t>用。但由于阿法骨化醇在体内需要进一步羟化后才能起作用，服用后体内 </w:t>
      </w:r>
      <w:r>
        <w:rPr/>
        <w:t>1</w:t>
      </w:r>
      <w:r>
        <w:rPr>
          <w:rFonts w:ascii="Arial" w:hAnsi="Arial" w:eastAsia="Arial"/>
        </w:rPr>
        <w:t>α</w:t>
      </w:r>
      <w:r>
        <w:rPr>
          <w:rFonts w:ascii="Arial" w:hAnsi="Arial" w:eastAsia="Arial"/>
          <w:spacing w:val="33"/>
        </w:rPr>
        <w:t> </w:t>
      </w:r>
      <w:r>
        <w:rPr/>
        <w:t>,25-</w:t>
      </w:r>
      <w:r>
        <w:rPr>
          <w:spacing w:val="-4"/>
        </w:rPr>
        <w:t>双羟维生</w:t>
      </w:r>
      <w:r>
        <w:rPr>
          <w:spacing w:val="-30"/>
        </w:rPr>
        <w:t>素 </w:t>
      </w:r>
      <w:r>
        <w:rPr/>
        <w:t>D</w:t>
      </w:r>
      <w:r>
        <w:rPr>
          <w:spacing w:val="-13"/>
        </w:rPr>
        <w:t> 浓度的升高相对较为缓慢，并且持续时间相对较长，升高血钙的作用也相对较弱。尽管</w:t>
      </w:r>
      <w:r>
        <w:rPr>
          <w:spacing w:val="-6"/>
        </w:rPr>
        <w:t>阿法骨化醇需要在肝脏羟化后才能起作用，但肝功能不良时，阿法骨化醇的羟化一般不受影</w:t>
      </w:r>
      <w:r>
        <w:rPr>
          <w:spacing w:val="-10"/>
        </w:rPr>
        <w:t>响。也就是说当患者肝功能不良时，阿法骨化醇与骨化三醇都可使用，使用时也无需调整剂</w:t>
      </w:r>
      <w:r>
        <w:rPr/>
        <w:t>量。</w:t>
      </w:r>
    </w:p>
    <w:p>
      <w:pPr>
        <w:pStyle w:val="BodyText"/>
        <w:spacing w:line="297" w:lineRule="auto"/>
        <w:ind w:right="106"/>
      </w:pPr>
      <w:r>
        <w:rPr>
          <w:spacing w:val="-11"/>
        </w:rPr>
        <w:t>有研究表明，维生素 </w:t>
      </w:r>
      <w:r>
        <w:rPr/>
        <w:t>D</w:t>
      </w:r>
      <w:r>
        <w:rPr>
          <w:spacing w:val="-11"/>
        </w:rPr>
        <w:t> 严重缺乏时可出现肌力减退，从而使跌倒风险增加，而当维生素</w:t>
      </w:r>
      <w:r>
        <w:rPr/>
        <w:t>D</w:t>
      </w:r>
      <w:r>
        <w:rPr>
          <w:spacing w:val="-60"/>
        </w:rPr>
        <w:t> </w:t>
      </w:r>
      <w:r>
        <w:rPr>
          <w:spacing w:val="-7"/>
        </w:rPr>
        <w:t>缺乏被纠正后，肌力明显改善，因此对于维生素 </w:t>
      </w:r>
      <w:r>
        <w:rPr/>
        <w:t>D</w:t>
      </w:r>
      <w:r>
        <w:rPr>
          <w:spacing w:val="-14"/>
        </w:rPr>
        <w:t> 缺乏者，补充维生素 </w:t>
      </w:r>
      <w:r>
        <w:rPr/>
        <w:t>D</w:t>
      </w:r>
      <w:r>
        <w:rPr>
          <w:spacing w:val="-8"/>
        </w:rPr>
        <w:t> 将有助于改善肌力</w:t>
      </w:r>
      <w:r>
        <w:rPr>
          <w:spacing w:val="-14"/>
        </w:rPr>
        <w:t>，降低跌倒风险。其实，维生素 </w:t>
      </w:r>
      <w:r>
        <w:rPr/>
        <w:t>D</w:t>
      </w:r>
      <w:r>
        <w:rPr>
          <w:spacing w:val="-9"/>
        </w:rPr>
        <w:t> 缺乏在我国中老年人群中是普遍存在的，近期我国一项纳</w:t>
      </w:r>
      <w:r>
        <w:rPr>
          <w:spacing w:val="-35"/>
        </w:rPr>
        <w:t>入 </w:t>
      </w:r>
      <w:r>
        <w:rPr/>
        <w:t>1713</w:t>
      </w:r>
      <w:r>
        <w:rPr>
          <w:spacing w:val="-15"/>
        </w:rPr>
        <w:t> 名绝经后妇女</w:t>
      </w:r>
      <w:r>
        <w:rPr/>
        <w:t>（</w:t>
      </w:r>
      <w:r>
        <w:rPr>
          <w:spacing w:val="-12"/>
        </w:rPr>
        <w:t>平均年龄 </w:t>
      </w:r>
      <w:r>
        <w:rPr/>
        <w:t>65.4</w:t>
      </w:r>
      <w:r>
        <w:rPr>
          <w:spacing w:val="-30"/>
        </w:rPr>
        <w:t> 岁</w:t>
      </w:r>
      <w:r>
        <w:rPr>
          <w:spacing w:val="-36"/>
        </w:rPr>
        <w:t>）</w:t>
      </w:r>
      <w:r>
        <w:rPr>
          <w:spacing w:val="-8"/>
        </w:rPr>
        <w:t>的多中心维生素 </w:t>
      </w:r>
      <w:r>
        <w:rPr/>
        <w:t>D</w:t>
      </w:r>
      <w:r>
        <w:rPr>
          <w:spacing w:val="-10"/>
        </w:rPr>
        <w:t> 营养调查结果表明，维生素</w:t>
      </w:r>
      <w:r>
        <w:rPr/>
        <w:t>D</w:t>
      </w:r>
      <w:r>
        <w:rPr>
          <w:spacing w:val="-68"/>
        </w:rPr>
        <w:t> </w:t>
      </w:r>
      <w:r>
        <w:rPr>
          <w:spacing w:val="-60"/>
        </w:rPr>
        <w:t>不足</w:t>
      </w:r>
      <w:r>
        <w:rPr>
          <w:spacing w:val="-1"/>
        </w:rPr>
        <w:t>（</w:t>
      </w:r>
      <w:r>
        <w:rPr/>
        <w:t>25</w:t>
      </w:r>
      <w:r>
        <w:rPr>
          <w:spacing w:val="-24"/>
        </w:rPr>
        <w:t> 羟维生素 </w:t>
      </w:r>
      <w:r>
        <w:rPr/>
        <w:t>D&lt;</w:t>
      </w:r>
      <w:r>
        <w:rPr>
          <w:spacing w:val="2"/>
        </w:rPr>
        <w:t>3</w:t>
      </w:r>
      <w:r>
        <w:rPr/>
        <w:t>0</w:t>
      </w:r>
      <w:r>
        <w:rPr>
          <w:spacing w:val="-60"/>
        </w:rPr>
        <w:t> </w:t>
      </w:r>
      <w:r>
        <w:rPr/>
        <w:t>ng/ml</w:t>
      </w:r>
      <w:r>
        <w:rPr>
          <w:spacing w:val="-120"/>
        </w:rPr>
        <w:t>）</w:t>
      </w:r>
      <w:r>
        <w:rPr>
          <w:spacing w:val="-40"/>
        </w:rPr>
        <w:t>和缺乏</w:t>
      </w:r>
      <w:r>
        <w:rPr/>
        <w:t>（25</w:t>
      </w:r>
      <w:r>
        <w:rPr>
          <w:spacing w:val="-23"/>
        </w:rPr>
        <w:t> 羟维生素 </w:t>
      </w:r>
      <w:r>
        <w:rPr/>
        <w:t>D&lt;20</w:t>
      </w:r>
      <w:r>
        <w:rPr>
          <w:spacing w:val="-60"/>
        </w:rPr>
        <w:t> </w:t>
      </w:r>
      <w:r>
        <w:rPr/>
        <w:t>ng/ml</w:t>
      </w:r>
      <w:r>
        <w:rPr>
          <w:spacing w:val="-120"/>
        </w:rPr>
        <w:t>）</w:t>
      </w:r>
      <w:r>
        <w:rPr>
          <w:spacing w:val="-14"/>
        </w:rPr>
        <w:t>分别高达 </w:t>
      </w:r>
      <w:r>
        <w:rPr/>
        <w:t>91.2%</w:t>
      </w:r>
      <w:r>
        <w:rPr>
          <w:spacing w:val="-34"/>
        </w:rPr>
        <w:t>和 </w:t>
      </w:r>
      <w:r>
        <w:rPr/>
        <w:t>61.3%</w:t>
      </w:r>
      <w:r>
        <w:rPr>
          <w:spacing w:val="2"/>
        </w:rPr>
        <w:t>1</w:t>
      </w:r>
      <w:r>
        <w:rPr/>
        <w:t>。</w:t>
      </w:r>
      <w:r>
        <w:rPr>
          <w:spacing w:val="-10"/>
        </w:rPr>
        <w:t>因此，对于绝经后妇女，需重视维生素 </w:t>
      </w:r>
      <w:r>
        <w:rPr/>
        <w:t>D</w:t>
      </w:r>
      <w:r>
        <w:rPr>
          <w:spacing w:val="-14"/>
        </w:rPr>
        <w:t> 的补充，补充普通维生素 </w:t>
      </w:r>
      <w:r>
        <w:rPr/>
        <w:t>D</w:t>
      </w:r>
      <w:r>
        <w:rPr>
          <w:spacing w:val="-10"/>
        </w:rPr>
        <w:t> 有望增强肌力，从而降</w:t>
      </w:r>
      <w:r>
        <w:rPr>
          <w:spacing w:val="-20"/>
        </w:rPr>
        <w:t>低跌倒风险。但 </w:t>
      </w:r>
      <w:r>
        <w:rPr/>
        <w:t>Sanders</w:t>
      </w:r>
      <w:r>
        <w:rPr>
          <w:spacing w:val="-14"/>
        </w:rPr>
        <w:t> 等开展的一项纳入 </w:t>
      </w:r>
      <w:r>
        <w:rPr/>
        <w:t>2256</w:t>
      </w:r>
      <w:r>
        <w:rPr>
          <w:spacing w:val="-15"/>
        </w:rPr>
        <w:t> 名年龄</w:t>
      </w:r>
      <w:r>
        <w:rPr/>
        <w:t>≥70</w:t>
      </w:r>
      <w:r>
        <w:rPr>
          <w:spacing w:val="-8"/>
        </w:rPr>
        <w:t> 岁老年女性的双盲安慰剂对照</w:t>
      </w:r>
      <w:r>
        <w:rPr>
          <w:spacing w:val="-15"/>
        </w:rPr>
        <w:t>的临床研究显示，每年单次口服 </w:t>
      </w:r>
      <w:r>
        <w:rPr/>
        <w:t>50</w:t>
      </w:r>
      <w:r>
        <w:rPr>
          <w:spacing w:val="-40"/>
        </w:rPr>
        <w:t> 万 </w:t>
      </w:r>
      <w:r>
        <w:rPr/>
        <w:t>IU</w:t>
      </w:r>
      <w:r>
        <w:rPr>
          <w:spacing w:val="-18"/>
        </w:rPr>
        <w:t> 活性维生素 </w:t>
      </w:r>
      <w:r>
        <w:rPr>
          <w:spacing w:val="-9"/>
        </w:rPr>
        <w:t>D3，3-5</w:t>
      </w:r>
      <w:r>
        <w:rPr>
          <w:spacing w:val="-8"/>
        </w:rPr>
        <w:t> 年后跌倒和骨折的风险反而增</w:t>
      </w:r>
      <w:r>
        <w:rPr>
          <w:spacing w:val="-32"/>
        </w:rPr>
        <w:t>加 </w:t>
      </w:r>
      <w:r>
        <w:rPr/>
        <w:t>2</w:t>
      </w:r>
      <w:r>
        <w:rPr>
          <w:spacing w:val="-8"/>
        </w:rPr>
        <w:t>。另一项纳入 </w:t>
      </w:r>
      <w:r>
        <w:rPr/>
        <w:t>200</w:t>
      </w:r>
      <w:r>
        <w:rPr>
          <w:spacing w:val="-15"/>
        </w:rPr>
        <w:t> 名年龄</w:t>
      </w:r>
      <w:r>
        <w:rPr/>
        <w:t>≥70</w:t>
      </w:r>
      <w:r>
        <w:rPr>
          <w:spacing w:val="-10"/>
        </w:rPr>
        <w:t> 岁老年人的双盲随机对照研究表明，每月给予口服 </w:t>
      </w:r>
      <w:r>
        <w:rPr/>
        <w:t>6</w:t>
      </w:r>
      <w:r>
        <w:rPr>
          <w:spacing w:val="-28"/>
        </w:rPr>
        <w:t> 万</w:t>
      </w:r>
      <w:r>
        <w:rPr/>
        <w:t>IU</w:t>
      </w:r>
      <w:r>
        <w:rPr>
          <w:spacing w:val="-60"/>
        </w:rPr>
        <w:t> </w:t>
      </w:r>
      <w:r>
        <w:rPr>
          <w:spacing w:val="-11"/>
        </w:rPr>
        <w:t>普通维生素 </w:t>
      </w:r>
      <w:r>
        <w:rPr/>
        <w:t>D3</w:t>
      </w:r>
      <w:r>
        <w:rPr>
          <w:spacing w:val="-18"/>
        </w:rPr>
        <w:t> 与每月口服 </w:t>
      </w:r>
      <w:r>
        <w:rPr/>
        <w:t>2.4</w:t>
      </w:r>
      <w:r>
        <w:rPr>
          <w:spacing w:val="-40"/>
        </w:rPr>
        <w:t> 万 </w:t>
      </w:r>
      <w:r>
        <w:rPr/>
        <w:t>IU</w:t>
      </w:r>
      <w:r>
        <w:rPr>
          <w:spacing w:val="-18"/>
        </w:rPr>
        <w:t> 普通维生素 </w:t>
      </w:r>
      <w:r>
        <w:rPr/>
        <w:t>D3</w:t>
      </w:r>
      <w:r>
        <w:rPr>
          <w:spacing w:val="-14"/>
        </w:rPr>
        <w:t> 相比，每月口服 </w:t>
      </w:r>
      <w:r>
        <w:rPr/>
        <w:t>6</w:t>
      </w:r>
      <w:r>
        <w:rPr>
          <w:spacing w:val="-40"/>
        </w:rPr>
        <w:t> 万 </w:t>
      </w:r>
      <w:r>
        <w:rPr/>
        <w:t>IU</w:t>
      </w:r>
      <w:r>
        <w:rPr>
          <w:spacing w:val="-10"/>
        </w:rPr>
        <w:t> 普通维生素</w:t>
      </w:r>
      <w:r>
        <w:rPr/>
        <w:t>D3</w:t>
      </w:r>
      <w:r>
        <w:rPr>
          <w:spacing w:val="-60"/>
        </w:rPr>
        <w:t> </w:t>
      </w:r>
      <w:r>
        <w:rPr>
          <w:spacing w:val="-5"/>
        </w:rPr>
        <w:t>后的跌倒风险反而比每月口服 </w:t>
      </w:r>
      <w:r>
        <w:rPr/>
        <w:t>2.4</w:t>
      </w:r>
      <w:r>
        <w:rPr>
          <w:spacing w:val="-40"/>
        </w:rPr>
        <w:t> 万 </w:t>
      </w:r>
      <w:r>
        <w:rPr/>
        <w:t>IU</w:t>
      </w:r>
      <w:r>
        <w:rPr>
          <w:spacing w:val="-18"/>
        </w:rPr>
        <w:t> 普通维生素 </w:t>
      </w:r>
      <w:r>
        <w:rPr/>
        <w:t>D3</w:t>
      </w:r>
      <w:r>
        <w:rPr>
          <w:spacing w:val="-14"/>
        </w:rPr>
        <w:t> 后的跌倒风险要高 </w:t>
      </w:r>
      <w:r>
        <w:rPr/>
        <w:t>3</w:t>
      </w:r>
      <w:r>
        <w:rPr>
          <w:spacing w:val="-19"/>
        </w:rPr>
        <w:t>。以上研究结</w:t>
      </w:r>
    </w:p>
    <w:p>
      <w:pPr>
        <w:spacing w:after="0" w:line="297" w:lineRule="auto"/>
        <w:sectPr>
          <w:pgSz w:w="11910" w:h="16850"/>
          <w:pgMar w:header="906" w:footer="607" w:top="1100" w:bottom="800" w:left="1120" w:right="900"/>
        </w:sectPr>
      </w:pPr>
    </w:p>
    <w:p>
      <w:pPr>
        <w:pStyle w:val="BodyText"/>
        <w:spacing w:line="297" w:lineRule="auto" w:before="65"/>
        <w:ind w:right="107" w:firstLine="0"/>
      </w:pPr>
      <w:r>
        <w:rPr>
          <w:spacing w:val="-12"/>
        </w:rPr>
        <w:t>果提示，单次口服大剂量的维生素 </w:t>
      </w:r>
      <w:r>
        <w:rPr/>
        <w:t>D3</w:t>
      </w:r>
      <w:r>
        <w:rPr>
          <w:spacing w:val="-13"/>
        </w:rPr>
        <w:t> 不仅不能降低跌倒的风险，反而可能增加跌倒的风险， </w:t>
      </w:r>
      <w:r>
        <w:rPr>
          <w:spacing w:val="-3"/>
        </w:rPr>
        <w:t>出现这种现象最可能的原因是超大剂量的口服维生素 </w:t>
      </w:r>
      <w:r>
        <w:rPr/>
        <w:t>D3</w:t>
      </w:r>
      <w:r>
        <w:rPr>
          <w:spacing w:val="-8"/>
        </w:rPr>
        <w:t> 通过肠道吸收后，通过门静脉直接</w:t>
      </w:r>
      <w:r>
        <w:rPr>
          <w:spacing w:val="-16"/>
        </w:rPr>
        <w:t>到达肝脏进行 </w:t>
      </w:r>
      <w:r>
        <w:rPr/>
        <w:t>25</w:t>
      </w:r>
      <w:r>
        <w:rPr>
          <w:spacing w:val="-16"/>
        </w:rPr>
        <w:t> 位羟化，容易使血 </w:t>
      </w:r>
      <w:r>
        <w:rPr/>
        <w:t>25-</w:t>
      </w:r>
      <w:r>
        <w:rPr>
          <w:spacing w:val="-12"/>
        </w:rPr>
        <w:t>羟维生素 </w:t>
      </w:r>
      <w:r>
        <w:rPr/>
        <w:t>D</w:t>
      </w:r>
      <w:r>
        <w:rPr>
          <w:spacing w:val="-13"/>
        </w:rPr>
        <w:t> 的浓度过高，过高水平的 </w:t>
      </w:r>
      <w:r>
        <w:rPr/>
        <w:t>25-</w:t>
      </w:r>
      <w:r>
        <w:rPr>
          <w:spacing w:val="-12"/>
        </w:rPr>
        <w:t>羟维生素 </w:t>
      </w:r>
      <w:r>
        <w:rPr/>
        <w:t>D </w:t>
      </w:r>
      <w:r>
        <w:rPr>
          <w:spacing w:val="-5"/>
        </w:rPr>
        <w:t>在激活肾小管细胞内的维生素 </w:t>
      </w:r>
      <w:r>
        <w:rPr/>
        <w:t>D</w:t>
      </w:r>
      <w:r>
        <w:rPr>
          <w:spacing w:val="-18"/>
        </w:rPr>
        <w:t> 受体后，使 </w:t>
      </w:r>
      <w:r>
        <w:rPr/>
        <w:t>24</w:t>
      </w:r>
      <w:r>
        <w:rPr>
          <w:spacing w:val="-12"/>
        </w:rPr>
        <w:t> 羟化酶的合成增加，增加 </w:t>
      </w:r>
      <w:r>
        <w:rPr/>
        <w:t>1</w:t>
      </w:r>
      <w:r>
        <w:rPr>
          <w:rFonts w:ascii="Arial" w:hAnsi="Arial" w:eastAsia="Arial"/>
        </w:rPr>
        <w:t>α</w:t>
      </w:r>
      <w:r>
        <w:rPr>
          <w:rFonts w:ascii="Arial" w:hAnsi="Arial" w:eastAsia="Arial"/>
          <w:spacing w:val="33"/>
        </w:rPr>
        <w:t> </w:t>
      </w:r>
      <w:r>
        <w:rPr/>
        <w:t>,25-双羟维生</w:t>
      </w:r>
      <w:r>
        <w:rPr>
          <w:spacing w:val="-30"/>
        </w:rPr>
        <w:t>素 </w:t>
      </w:r>
      <w:r>
        <w:rPr/>
        <w:t>D</w:t>
      </w:r>
      <w:r>
        <w:rPr>
          <w:spacing w:val="-41"/>
        </w:rPr>
        <w:t> 向 </w:t>
      </w:r>
      <w:r>
        <w:rPr/>
        <w:t>1</w:t>
      </w:r>
      <w:r>
        <w:rPr>
          <w:rFonts w:ascii="Arial" w:hAnsi="Arial" w:eastAsia="Arial"/>
        </w:rPr>
        <w:t>α</w:t>
      </w:r>
      <w:r>
        <w:rPr>
          <w:rFonts w:ascii="Arial" w:hAnsi="Arial" w:eastAsia="Arial"/>
          <w:spacing w:val="33"/>
        </w:rPr>
        <w:t> </w:t>
      </w:r>
      <w:r>
        <w:rPr/>
        <w:t>,24,25-</w:t>
      </w:r>
      <w:r>
        <w:rPr>
          <w:spacing w:val="-10"/>
        </w:rPr>
        <w:t>双羟维生素 </w:t>
      </w:r>
      <w:r>
        <w:rPr/>
        <w:t>D</w:t>
      </w:r>
      <w:r>
        <w:rPr>
          <w:spacing w:val="-25"/>
        </w:rPr>
        <w:t> 的转变，从而消耗 </w:t>
      </w:r>
      <w:r>
        <w:rPr/>
        <w:t>1</w:t>
      </w:r>
      <w:r>
        <w:rPr>
          <w:rFonts w:ascii="Arial" w:hAnsi="Arial" w:eastAsia="Arial"/>
        </w:rPr>
        <w:t>α</w:t>
      </w:r>
      <w:r>
        <w:rPr>
          <w:rFonts w:ascii="Arial" w:hAnsi="Arial" w:eastAsia="Arial"/>
          <w:spacing w:val="34"/>
        </w:rPr>
        <w:t> </w:t>
      </w:r>
      <w:r>
        <w:rPr/>
        <w:t>,25-</w:t>
      </w:r>
      <w:r>
        <w:rPr>
          <w:spacing w:val="-10"/>
        </w:rPr>
        <w:t>双羟维生素 </w:t>
      </w:r>
      <w:r>
        <w:rPr/>
        <w:t>D</w:t>
      </w:r>
      <w:r>
        <w:rPr>
          <w:spacing w:val="-24"/>
        </w:rPr>
        <w:t>。并且高浓度的 </w:t>
      </w:r>
      <w:r>
        <w:rPr/>
        <w:t>25- </w:t>
      </w:r>
      <w:r>
        <w:rPr>
          <w:spacing w:val="-13"/>
        </w:rPr>
        <w:t>羟维生素 </w:t>
      </w:r>
      <w:r>
        <w:rPr/>
        <w:t>D</w:t>
      </w:r>
      <w:r>
        <w:rPr>
          <w:spacing w:val="-12"/>
        </w:rPr>
        <w:t> 还可能抑制甲状旁腺激素的分泌，从而使 </w:t>
      </w:r>
      <w:r>
        <w:rPr/>
        <w:t>1</w:t>
      </w:r>
      <w:r>
        <w:rPr>
          <w:rFonts w:ascii="Arial" w:hAnsi="Arial" w:eastAsia="Arial"/>
        </w:rPr>
        <w:t>α</w:t>
      </w:r>
      <w:r>
        <w:rPr>
          <w:rFonts w:ascii="Arial" w:hAnsi="Arial" w:eastAsia="Arial"/>
          <w:spacing w:val="33"/>
        </w:rPr>
        <w:t> </w:t>
      </w:r>
      <w:r>
        <w:rPr>
          <w:spacing w:val="-3"/>
        </w:rPr>
        <w:t>羟化酶的合成也减少。但同样剂量</w:t>
      </w:r>
      <w:r>
        <w:rPr>
          <w:spacing w:val="-15"/>
        </w:rPr>
        <w:t>的维生素 </w:t>
      </w:r>
      <w:r>
        <w:rPr/>
        <w:t>D2</w:t>
      </w:r>
      <w:r>
        <w:rPr>
          <w:spacing w:val="-11"/>
        </w:rPr>
        <w:t> 在肌注后不直接到达肝脏进行羟化，使血 </w:t>
      </w:r>
      <w:r>
        <w:rPr/>
        <w:t>25-</w:t>
      </w:r>
      <w:r>
        <w:rPr>
          <w:spacing w:val="-12"/>
        </w:rPr>
        <w:t>羟维生素 </w:t>
      </w:r>
      <w:r>
        <w:rPr/>
        <w:t>D</w:t>
      </w:r>
      <w:r>
        <w:rPr>
          <w:spacing w:val="-8"/>
        </w:rPr>
        <w:t> 升高的幅度较低，相</w:t>
      </w:r>
      <w:r>
        <w:rPr>
          <w:spacing w:val="-11"/>
        </w:rPr>
        <w:t>对不太容易出现浓度过高的情况。因此，当 </w:t>
      </w:r>
      <w:r>
        <w:rPr/>
        <w:t>25-</w:t>
      </w:r>
      <w:r>
        <w:rPr>
          <w:spacing w:val="-12"/>
        </w:rPr>
        <w:t>羟维生素 </w:t>
      </w:r>
      <w:r>
        <w:rPr/>
        <w:t>D</w:t>
      </w:r>
      <w:r>
        <w:rPr>
          <w:spacing w:val="-9"/>
        </w:rPr>
        <w:t> 的水平过高时</w:t>
      </w:r>
      <w:r>
        <w:rPr/>
        <w:t>，1</w:t>
      </w:r>
      <w:r>
        <w:rPr>
          <w:rFonts w:ascii="Arial" w:hAnsi="Arial" w:eastAsia="Arial"/>
        </w:rPr>
        <w:t>α</w:t>
      </w:r>
      <w:r>
        <w:rPr>
          <w:rFonts w:ascii="Arial" w:hAnsi="Arial" w:eastAsia="Arial"/>
          <w:spacing w:val="33"/>
        </w:rPr>
        <w:t> </w:t>
      </w:r>
      <w:r>
        <w:rPr/>
        <w:t>,25-双羟维</w:t>
      </w:r>
      <w:r>
        <w:rPr>
          <w:spacing w:val="-20"/>
        </w:rPr>
        <w:t>生素 </w:t>
      </w:r>
      <w:r>
        <w:rPr/>
        <w:t>D</w:t>
      </w:r>
      <w:r>
        <w:rPr>
          <w:spacing w:val="-13"/>
        </w:rPr>
        <w:t> 不仅灭活增加，且合成也会减少，使 </w:t>
      </w:r>
      <w:r>
        <w:rPr/>
        <w:t>1</w:t>
      </w:r>
      <w:r>
        <w:rPr>
          <w:rFonts w:ascii="Arial" w:hAnsi="Arial" w:eastAsia="Arial"/>
        </w:rPr>
        <w:t>α</w:t>
      </w:r>
      <w:r>
        <w:rPr>
          <w:rFonts w:ascii="Arial" w:hAnsi="Arial" w:eastAsia="Arial"/>
          <w:spacing w:val="33"/>
        </w:rPr>
        <w:t> </w:t>
      </w:r>
      <w:r>
        <w:rPr/>
        <w:t>,25-</w:t>
      </w:r>
      <w:r>
        <w:rPr>
          <w:spacing w:val="-10"/>
        </w:rPr>
        <w:t>双羟维生素 </w:t>
      </w:r>
      <w:r>
        <w:rPr/>
        <w:t>D</w:t>
      </w:r>
      <w:r>
        <w:rPr>
          <w:spacing w:val="-9"/>
        </w:rPr>
        <w:t> 的水平下降，从而出现肌</w:t>
      </w:r>
      <w:r>
        <w:rPr>
          <w:spacing w:val="-12"/>
        </w:rPr>
        <w:t>力减退。所以，目前许多学者认为，血 </w:t>
      </w:r>
      <w:r>
        <w:rPr/>
        <w:t>25</w:t>
      </w:r>
      <w:r>
        <w:rPr>
          <w:spacing w:val="-20"/>
        </w:rPr>
        <w:t> 羟维生素 </w:t>
      </w:r>
      <w:r>
        <w:rPr/>
        <w:t>D</w:t>
      </w:r>
      <w:r>
        <w:rPr>
          <w:spacing w:val="-8"/>
        </w:rPr>
        <w:t> 的水平与跌倒风险的关系可能呈</w:t>
      </w:r>
      <w:r>
        <w:rPr/>
        <w:t>“U” </w:t>
      </w:r>
      <w:r>
        <w:rPr>
          <w:spacing w:val="-11"/>
        </w:rPr>
        <w:t>型曲线，即 </w:t>
      </w:r>
      <w:r>
        <w:rPr/>
        <w:t>25</w:t>
      </w:r>
      <w:r>
        <w:rPr>
          <w:spacing w:val="-20"/>
        </w:rPr>
        <w:t> 羟维生素 </w:t>
      </w:r>
      <w:r>
        <w:rPr/>
        <w:t>D</w:t>
      </w:r>
      <w:r>
        <w:rPr>
          <w:spacing w:val="-8"/>
        </w:rPr>
        <w:t> 的水平过低或过高时均可能出现肌力减退，跌倒风险增加，只有</w:t>
      </w:r>
      <w:r>
        <w:rPr>
          <w:spacing w:val="-34"/>
        </w:rPr>
        <w:t>在 </w:t>
      </w:r>
      <w:r>
        <w:rPr/>
        <w:t>25-</w:t>
      </w:r>
      <w:r>
        <w:rPr>
          <w:spacing w:val="-13"/>
        </w:rPr>
        <w:t>羟维生素 </w:t>
      </w:r>
      <w:r>
        <w:rPr/>
        <w:t>D</w:t>
      </w:r>
      <w:r>
        <w:rPr>
          <w:spacing w:val="-10"/>
        </w:rPr>
        <w:t> 的水平在一个恰当的范围之内时，跌倒的风险相对较低，该范围的低限可</w:t>
      </w:r>
      <w:r>
        <w:rPr>
          <w:spacing w:val="-27"/>
        </w:rPr>
        <w:t>能是 </w:t>
      </w:r>
      <w:r>
        <w:rPr/>
        <w:t>50 nmol/L</w:t>
      </w:r>
      <w:r>
        <w:rPr>
          <w:spacing w:val="-13"/>
        </w:rPr>
        <w:t> 左右, 高限可能在 </w:t>
      </w:r>
      <w:r>
        <w:rPr/>
        <w:t>100 nmol/L</w:t>
      </w:r>
      <w:r>
        <w:rPr>
          <w:spacing w:val="-13"/>
        </w:rPr>
        <w:t> 左右。因此，在维生素 </w:t>
      </w:r>
      <w:r>
        <w:rPr/>
        <w:t>D</w:t>
      </w:r>
      <w:r>
        <w:rPr>
          <w:spacing w:val="-8"/>
        </w:rPr>
        <w:t> 缺乏被纠正后，肌</w:t>
      </w:r>
      <w:r>
        <w:rPr>
          <w:spacing w:val="-14"/>
        </w:rPr>
        <w:t>力增强且跌倒风险降低，但如果 </w:t>
      </w:r>
      <w:r>
        <w:rPr/>
        <w:t>25-</w:t>
      </w:r>
      <w:r>
        <w:rPr>
          <w:spacing w:val="-12"/>
        </w:rPr>
        <w:t>羟维生素 </w:t>
      </w:r>
      <w:r>
        <w:rPr/>
        <w:t>D</w:t>
      </w:r>
      <w:r>
        <w:rPr>
          <w:spacing w:val="-10"/>
        </w:rPr>
        <w:t> 的水平再进一步升高，并不能进一步增强肌力和降低跌倒风险。</w:t>
      </w:r>
    </w:p>
    <w:p>
      <w:pPr>
        <w:pStyle w:val="BodyText"/>
        <w:spacing w:line="289" w:lineRule="exact"/>
        <w:ind w:left="637" w:firstLine="0"/>
      </w:pPr>
      <w:r>
        <w:rPr>
          <w:spacing w:val="-8"/>
        </w:rPr>
        <w:t>由于普通维生素 </w:t>
      </w:r>
      <w:r>
        <w:rPr/>
        <w:t>D</w:t>
      </w:r>
      <w:r>
        <w:rPr>
          <w:spacing w:val="-14"/>
        </w:rPr>
        <w:t> 作用的这种局限性，对于维生素 </w:t>
      </w:r>
      <w:r>
        <w:rPr/>
        <w:t>D</w:t>
      </w:r>
      <w:r>
        <w:rPr>
          <w:spacing w:val="-12"/>
        </w:rPr>
        <w:t> 充足的老年人，如果肌力减退，可</w:t>
      </w:r>
    </w:p>
    <w:p>
      <w:pPr>
        <w:pStyle w:val="BodyText"/>
        <w:spacing w:line="297" w:lineRule="auto" w:before="71"/>
        <w:ind w:right="111" w:firstLine="0"/>
      </w:pPr>
      <w:r>
        <w:rPr>
          <w:spacing w:val="-3"/>
        </w:rPr>
        <w:t>能要考虑是否存在由于肾功能的减退所致的活性维生素 </w:t>
      </w:r>
      <w:r>
        <w:rPr/>
        <w:t>D</w:t>
      </w:r>
      <w:r>
        <w:rPr>
          <w:spacing w:val="-19"/>
        </w:rPr>
        <w:t> 不足，可以试用活性维生素 </w:t>
      </w:r>
      <w:r>
        <w:rPr/>
        <w:t>D</w:t>
      </w:r>
      <w:r>
        <w:rPr>
          <w:spacing w:val="-20"/>
        </w:rPr>
        <w:t> 或其</w:t>
      </w:r>
      <w:r>
        <w:rPr>
          <w:spacing w:val="-15"/>
        </w:rPr>
        <w:t>类似物，将有可能获得肌力增强的效果，从而起到降低跌倒风险的作用，</w:t>
      </w:r>
      <w:r>
        <w:rPr>
          <w:spacing w:val="-10"/>
        </w:rPr>
        <w:t>Ringe</w:t>
      </w:r>
      <w:r>
        <w:rPr>
          <w:spacing w:val="-11"/>
        </w:rPr>
        <w:t> 等曾经报道， 在接受使用 </w:t>
      </w:r>
      <w:r>
        <w:rPr/>
        <w:t>1µg/d</w:t>
      </w:r>
      <w:r>
        <w:rPr>
          <w:spacing w:val="-14"/>
        </w:rPr>
        <w:t> 阿法骨化醇的老年人中，用药两年后，跌倒风险较对照组减少一半，新发</w:t>
      </w:r>
      <w:r>
        <w:rPr>
          <w:spacing w:val="-18"/>
        </w:rPr>
        <w:t>椎体或非椎体骨折风险均降低 </w:t>
      </w:r>
      <w:r>
        <w:rPr/>
        <w:t>48%4。</w:t>
      </w:r>
    </w:p>
    <w:p>
      <w:pPr>
        <w:pStyle w:val="BodyText"/>
        <w:spacing w:line="297" w:lineRule="auto"/>
        <w:ind w:right="126"/>
      </w:pPr>
      <w:r>
        <w:rPr>
          <w:spacing w:val="-8"/>
        </w:rPr>
        <w:t>由于活性维生素 </w:t>
      </w:r>
      <w:r>
        <w:rPr/>
        <w:t>D</w:t>
      </w:r>
      <w:r>
        <w:rPr>
          <w:spacing w:val="-13"/>
        </w:rPr>
        <w:t> 及其类似物具有促进肠钙吸收的作用，虽然对骨骼是有利的，但可能导致血钙升高，因此在使用时应避免使用大剂量的钙剂，并同时监测血钙和尿钙，建议使用</w:t>
      </w:r>
      <w:r>
        <w:rPr>
          <w:spacing w:val="-15"/>
        </w:rPr>
        <w:t>后第一周就开始检测，随后可以延长检测的间隔时间。由于双膦酸盐在抑制骨转换时使次级</w:t>
      </w:r>
      <w:r>
        <w:rPr>
          <w:spacing w:val="-17"/>
        </w:rPr>
        <w:t>矿化时间延长，骨骼矿化需要更多的钙，如果将活性维生素 </w:t>
      </w:r>
      <w:r>
        <w:rPr/>
        <w:t>D</w:t>
      </w:r>
      <w:r>
        <w:rPr>
          <w:spacing w:val="-9"/>
        </w:rPr>
        <w:t> 或其类似物与双膦酸盐联用， </w:t>
      </w:r>
      <w:r>
        <w:rPr>
          <w:spacing w:val="-6"/>
        </w:rPr>
        <w:t>可以减少活性维生素 </w:t>
      </w:r>
      <w:r>
        <w:rPr/>
        <w:t>D</w:t>
      </w:r>
      <w:r>
        <w:rPr>
          <w:spacing w:val="-8"/>
        </w:rPr>
        <w:t> 或其类似物的高血钙和高尿钙的副作用，并同时增强双膦酸盐的疗效。但由于特立帕肽在使用时可能出现有一过性高血钙或高尿钙，不建议将活性维生素 </w:t>
      </w:r>
      <w:r>
        <w:rPr/>
        <w:t>D 或其类似物与特立帕肽联用。</w:t>
      </w:r>
    </w:p>
    <w:p>
      <w:pPr>
        <w:pStyle w:val="BodyText"/>
        <w:tabs>
          <w:tab w:pos="4477" w:val="left" w:leader="none"/>
          <w:tab w:pos="8318" w:val="left" w:leader="none"/>
        </w:tabs>
        <w:spacing w:line="259" w:lineRule="auto"/>
        <w:ind w:right="245"/>
        <w:rPr>
          <w:rFonts w:ascii="Meiryo" w:eastAsia="Meiryo" w:hint="eastAsia"/>
          <w:b/>
        </w:rPr>
      </w:pPr>
      <w:r>
        <w:rPr/>
        <w:t>作者：中南大学代谢内分泌研究所</w:t>
        <w:tab/>
        <w:t>中南大学湘雅二医院代谢内分泌科</w:t>
        <w:tab/>
        <w:t>谢忠建 夏</w:t>
      </w:r>
      <w:r>
        <w:rPr>
          <w:spacing w:val="-17"/>
        </w:rPr>
        <w:t>雪</w:t>
      </w:r>
      <w:r>
        <w:rPr/>
        <w:t>迪</w:t>
      </w:r>
      <w:r>
        <w:rPr>
          <w:rFonts w:ascii="Meiryo" w:eastAsia="Meiryo" w:hint="eastAsia"/>
          <w:b/>
          <w:color w:val="0033CC"/>
        </w:rPr>
        <w:t>[返回目次]</w:t>
      </w:r>
    </w:p>
    <w:p>
      <w:pPr>
        <w:pStyle w:val="Heading2"/>
        <w:spacing w:before="143"/>
        <w:ind w:right="235"/>
        <w:jc w:val="center"/>
      </w:pPr>
      <w:bookmarkStart w:name="_TOC_250013" w:id="19"/>
      <w:bookmarkEnd w:id="19"/>
      <w:r>
        <w:rPr/>
        <w:t>黑白两道儿通吃的酪氨酸酶，来了解一下</w:t>
      </w:r>
    </w:p>
    <w:p>
      <w:pPr>
        <w:pStyle w:val="Heading3"/>
        <w:spacing w:before="148"/>
        <w:ind w:left="0" w:right="228"/>
        <w:jc w:val="right"/>
        <w:rPr>
          <w:rFonts w:ascii="楷体" w:eastAsia="楷体" w:hint="eastAsia"/>
        </w:rPr>
      </w:pPr>
      <w:r>
        <w:rPr>
          <w:rFonts w:ascii="楷体" w:eastAsia="楷体" w:hint="eastAsia"/>
          <w:color w:val="FF0000"/>
          <w:w w:val="95"/>
        </w:rPr>
        <w:t>（来源：临床药师网）</w:t>
      </w:r>
    </w:p>
    <w:p>
      <w:pPr>
        <w:pStyle w:val="BodyText"/>
        <w:spacing w:line="312" w:lineRule="auto" w:before="110"/>
        <w:ind w:right="226"/>
        <w:jc w:val="both"/>
      </w:pPr>
      <w:r>
        <w:rPr/>
        <w:t>酪氨酸酶（TYR）是一种含铜的酶，存在于植物与动物组织中，催化生成由酪氨酸氧化</w:t>
      </w:r>
      <w:r>
        <w:rPr>
          <w:spacing w:val="-7"/>
        </w:rPr>
        <w:t>而来的黑色素以及其它色素，如使剥皮或切片的马铃薯暴露在空气中变黑。在皮肤黑素细胞</w:t>
      </w:r>
      <w:r>
        <w:rPr/>
        <w:t>的黑色素体中能发现酪氨酸酶。</w:t>
      </w:r>
    </w:p>
    <w:p>
      <w:pPr>
        <w:pStyle w:val="BodyText"/>
        <w:spacing w:line="312" w:lineRule="auto" w:before="1"/>
        <w:ind w:right="227"/>
        <w:jc w:val="both"/>
      </w:pPr>
      <w:r>
        <w:rPr>
          <w:spacing w:val="-5"/>
        </w:rPr>
        <w:t>人的皮肤在日光下曝晒变成棕色或黑色是由于在紫外线的辐射下，酪氨酸酶被激活，催</w:t>
      </w:r>
      <w:r>
        <w:rPr>
          <w:spacing w:val="-7"/>
        </w:rPr>
        <w:t>化体内的酪氨酸羟化形成多巴，继而将多巴氧化成多巴醌，再经一系列复杂反应，最终形成</w:t>
      </w:r>
      <w:r>
        <w:rPr/>
        <w:t>黑色素。</w:t>
      </w:r>
    </w:p>
    <w:p>
      <w:pPr>
        <w:spacing w:after="0" w:line="312" w:lineRule="auto"/>
        <w:jc w:val="both"/>
        <w:sectPr>
          <w:pgSz w:w="11910" w:h="16850"/>
          <w:pgMar w:header="906" w:footer="607" w:top="1100" w:bottom="800" w:left="1120" w:right="900"/>
        </w:sectPr>
      </w:pPr>
    </w:p>
    <w:p>
      <w:pPr>
        <w:pStyle w:val="BodyText"/>
        <w:spacing w:line="312" w:lineRule="auto" w:before="79"/>
        <w:ind w:right="227"/>
      </w:pPr>
      <w:r>
        <w:rPr>
          <w:spacing w:val="-6"/>
        </w:rPr>
        <w:t>一白遮百丑是许多爱美人士的口头禅，这时候就到了酪氨酸酶在“白道”大显身手的时</w:t>
      </w:r>
      <w:r>
        <w:rPr/>
        <w:t>候了。</w:t>
      </w:r>
    </w:p>
    <w:p>
      <w:pPr>
        <w:pStyle w:val="BodyText"/>
        <w:ind w:left="609" w:firstLine="0"/>
        <w:rPr>
          <w:sz w:val="20"/>
        </w:rPr>
      </w:pPr>
      <w:r>
        <w:rPr>
          <w:sz w:val="20"/>
        </w:rPr>
        <w:drawing>
          <wp:inline distT="0" distB="0" distL="0" distR="0">
            <wp:extent cx="5688585" cy="1986533"/>
            <wp:effectExtent l="0" t="0" r="0" b="0"/>
            <wp:docPr id="7" name="image5.jpeg"/>
            <wp:cNvGraphicFramePr>
              <a:graphicFrameLocks noChangeAspect="1"/>
            </wp:cNvGraphicFramePr>
            <a:graphic>
              <a:graphicData uri="http://schemas.openxmlformats.org/drawingml/2006/picture">
                <pic:pic>
                  <pic:nvPicPr>
                    <pic:cNvPr id="8" name="image5.jpeg"/>
                    <pic:cNvPicPr/>
                  </pic:nvPicPr>
                  <pic:blipFill>
                    <a:blip r:embed="rId15" cstate="print"/>
                    <a:stretch>
                      <a:fillRect/>
                    </a:stretch>
                  </pic:blipFill>
                  <pic:spPr>
                    <a:xfrm>
                      <a:off x="0" y="0"/>
                      <a:ext cx="5688585" cy="1986533"/>
                    </a:xfrm>
                    <a:prstGeom prst="rect">
                      <a:avLst/>
                    </a:prstGeom>
                  </pic:spPr>
                </pic:pic>
              </a:graphicData>
            </a:graphic>
          </wp:inline>
        </w:drawing>
      </w:r>
      <w:r>
        <w:rPr>
          <w:sz w:val="20"/>
        </w:rPr>
      </w:r>
    </w:p>
    <w:p>
      <w:pPr>
        <w:pStyle w:val="BodyText"/>
        <w:spacing w:line="312" w:lineRule="auto" w:before="66"/>
        <w:ind w:right="246"/>
      </w:pPr>
      <w:r>
        <w:rPr/>
        <w:t>由于在黑色素的生物合成过程中酪氨酸酶起着十分重要的催化作用, 酪氨酸酶含量和活性的高低直接影响到黑色素的形成，因此筛选酪氨酸酶的抑制剂,减少皮肤色素的生成已成为化妆品工业中引人关注的研究热点。</w:t>
      </w:r>
    </w:p>
    <w:p>
      <w:pPr>
        <w:pStyle w:val="BodyText"/>
        <w:spacing w:line="312" w:lineRule="auto" w:before="1"/>
        <w:ind w:right="232"/>
      </w:pPr>
      <w:r>
        <w:rPr>
          <w:spacing w:val="-8"/>
        </w:rPr>
        <w:t>有研究人员根据中国古籍《外台秘要》以及《本草纲目》中记载的许多治疗雀斑，改善</w:t>
      </w:r>
      <w:r>
        <w:rPr>
          <w:spacing w:val="-3"/>
        </w:rPr>
        <w:t>面部黑素的处方中选取了使用率较高的山椒，细辛等 </w:t>
      </w:r>
      <w:r>
        <w:rPr/>
        <w:t>33</w:t>
      </w:r>
      <w:r>
        <w:rPr>
          <w:spacing w:val="-8"/>
        </w:rPr>
        <w:t> 种中药，提取其中的有效成分，采</w:t>
      </w:r>
    </w:p>
    <w:p>
      <w:pPr>
        <w:pStyle w:val="BodyText"/>
        <w:spacing w:line="312" w:lineRule="auto"/>
        <w:ind w:right="230" w:firstLine="0"/>
        <w:jc w:val="both"/>
      </w:pPr>
      <w:r>
        <w:rPr>
          <w:spacing w:val="-3"/>
        </w:rPr>
        <w:t>用酶活性测定法研究它们对酪氨酸酶活性的影响，发现其中 </w:t>
      </w:r>
      <w:r>
        <w:rPr/>
        <w:t>26</w:t>
      </w:r>
      <w:r>
        <w:rPr>
          <w:spacing w:val="-8"/>
        </w:rPr>
        <w:t> 种都有抑制作用，以乌梅， </w:t>
      </w:r>
      <w:r>
        <w:rPr>
          <w:spacing w:val="-13"/>
        </w:rPr>
        <w:t>桂皮，蔓荆子，山茱萸和夏枯草为甚。另有研究发现甘草浸膏亦具有相似作用，推测其中的</w:t>
      </w:r>
      <w:r>
        <w:rPr/>
        <w:t>有效成分同作为底物的酪氨酸或多巴竞相与酪氨酸酶结合，从而抑制了酪氨酸酶的活性。</w:t>
      </w:r>
    </w:p>
    <w:p>
      <w:pPr>
        <w:pStyle w:val="BodyText"/>
        <w:spacing w:line="312" w:lineRule="auto" w:before="1"/>
        <w:ind w:right="226"/>
      </w:pPr>
      <w:r>
        <w:rPr/>
        <w:drawing>
          <wp:anchor distT="0" distB="0" distL="0" distR="0" allowOverlap="1" layoutInCell="1" locked="0" behindDoc="0" simplePos="0" relativeHeight="4">
            <wp:simplePos x="0" y="0"/>
            <wp:positionH relativeFrom="page">
              <wp:posOffset>1100455</wp:posOffset>
            </wp:positionH>
            <wp:positionV relativeFrom="paragraph">
              <wp:posOffset>850391</wp:posOffset>
            </wp:positionV>
            <wp:extent cx="5265087" cy="3771900"/>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16" cstate="print"/>
                    <a:stretch>
                      <a:fillRect/>
                    </a:stretch>
                  </pic:blipFill>
                  <pic:spPr>
                    <a:xfrm>
                      <a:off x="0" y="0"/>
                      <a:ext cx="5265087" cy="3771900"/>
                    </a:xfrm>
                    <a:prstGeom prst="rect">
                      <a:avLst/>
                    </a:prstGeom>
                  </pic:spPr>
                </pic:pic>
              </a:graphicData>
            </a:graphic>
          </wp:anchor>
        </w:drawing>
      </w:r>
      <w:r>
        <w:rPr>
          <w:spacing w:val="-3"/>
        </w:rPr>
        <w:t>最为人所知的酪氨酸酶抑制剂应该就是维生素 </w:t>
      </w:r>
      <w:r>
        <w:rPr/>
        <w:t>C</w:t>
      </w:r>
      <w:r>
        <w:rPr>
          <w:spacing w:val="-8"/>
        </w:rPr>
        <w:t> 了，许多具有美白功能的化妆品的标</w:t>
      </w:r>
      <w:r>
        <w:rPr>
          <w:spacing w:val="-12"/>
        </w:rPr>
        <w:t>配，由于其不稳定易氧化，故化妆品中一般添加的是维生素 </w:t>
      </w:r>
      <w:r>
        <w:rPr/>
        <w:t>c</w:t>
      </w:r>
      <w:r>
        <w:rPr>
          <w:spacing w:val="-17"/>
        </w:rPr>
        <w:t> 磷酸酯镁，维生素 </w:t>
      </w:r>
      <w:r>
        <w:rPr/>
        <w:t>c</w:t>
      </w:r>
      <w:r>
        <w:rPr>
          <w:spacing w:val="-15"/>
        </w:rPr>
        <w:t> 乙基醚或</w:t>
      </w:r>
      <w:r>
        <w:rPr>
          <w:spacing w:val="-16"/>
        </w:rPr>
        <w:t>维生素 </w:t>
      </w:r>
      <w:r>
        <w:rPr/>
        <w:t>c</w:t>
      </w:r>
      <w:r>
        <w:rPr>
          <w:spacing w:val="-8"/>
        </w:rPr>
        <w:t> 四异棕榈酸，酯等衍生物。</w:t>
      </w:r>
    </w:p>
    <w:p>
      <w:pPr>
        <w:spacing w:after="0" w:line="312" w:lineRule="auto"/>
        <w:sectPr>
          <w:pgSz w:w="11910" w:h="16850"/>
          <w:pgMar w:header="906" w:footer="607" w:top="1100" w:bottom="800" w:left="1120" w:right="900"/>
        </w:sect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11"/>
        <w:ind w:left="0" w:firstLine="0"/>
        <w:rPr>
          <w:sz w:val="19"/>
        </w:rPr>
      </w:pPr>
    </w:p>
    <w:p>
      <w:pPr>
        <w:pStyle w:val="BodyText"/>
        <w:spacing w:line="312" w:lineRule="auto"/>
        <w:ind w:left="4545" w:right="178"/>
        <w:jc w:val="both"/>
      </w:pPr>
      <w:r>
        <w:rPr/>
        <w:pict>
          <v:group style="position:absolute;margin-left:61.700001pt;margin-top:-3.30001pt;width:221.7pt;height:375.5pt;mso-position-horizontal-relative:page;mso-position-vertical-relative:paragraph;z-index:251664384" coordorigin="1234,-66" coordsize="4434,7510">
            <v:shape style="position:absolute;left:1615;top:-66;width:3869;height:4166" type="#_x0000_t75" stroked="false">
              <v:imagedata r:id="rId19" o:title=""/>
            </v:shape>
            <v:shape style="position:absolute;left:1234;top:4100;width:4434;height:3344" type="#_x0000_t75" stroked="false">
              <v:imagedata r:id="rId20" o:title=""/>
            </v:shape>
            <w10:wrap type="none"/>
          </v:group>
        </w:pict>
      </w:r>
      <w:r>
        <w:rPr/>
        <w:t>另外，如烟酰胺，L-半胱氨酸，</w:t>
      </w:r>
      <w:r>
        <w:rPr>
          <w:rFonts w:ascii="Arial" w:hAnsi="Arial" w:eastAsia="Arial"/>
        </w:rPr>
        <w:t>β </w:t>
      </w:r>
      <w:r>
        <w:rPr/>
        <w:t>-熊果酸， 曲酸等常见的成分都具有类似的作用。</w:t>
      </w:r>
    </w:p>
    <w:p>
      <w:pPr>
        <w:pStyle w:val="BodyText"/>
        <w:spacing w:line="312" w:lineRule="auto"/>
        <w:ind w:left="4545" w:right="299"/>
        <w:jc w:val="both"/>
      </w:pPr>
      <w:r>
        <w:rPr/>
        <w:t>至于酪氨酸酶在黑道的地位，其在白癜风治疗领域影响力甚大。白癜风的病因复杂，如铜缺乏，免疫功能异常等，但是作为一种皮肤色素脱失病，必然和酪氨酸酶含量减少和活性降低脱不开关系。</w:t>
      </w:r>
    </w:p>
    <w:p>
      <w:pPr>
        <w:pStyle w:val="BodyText"/>
        <w:spacing w:line="312" w:lineRule="auto" w:before="1"/>
        <w:ind w:left="4545" w:right="299"/>
        <w:jc w:val="both"/>
      </w:pPr>
      <w:r>
        <w:rPr/>
        <w:t>中药补骨脂为豆科补骨脂属植物补骨脂的干燥成熟果实，而补骨脂素又是其中的主要有效成分，属于呋喃香豆素类药物（芹菜，茴香，无花</w:t>
      </w:r>
    </w:p>
    <w:p>
      <w:pPr>
        <w:pStyle w:val="BodyText"/>
        <w:spacing w:line="312" w:lineRule="auto" w:before="183"/>
        <w:ind w:left="4729" w:right="108" w:firstLine="0"/>
      </w:pPr>
      <w:r>
        <w:rPr/>
        <w:t>果中也存在类似物质</w:t>
      </w:r>
      <w:r>
        <w:rPr>
          <w:spacing w:val="-39"/>
        </w:rPr>
        <w:t>），</w:t>
      </w:r>
      <w:r>
        <w:rPr>
          <w:spacing w:val="-5"/>
        </w:rPr>
        <w:t>为光敏性化合物，用药</w:t>
      </w:r>
      <w:r>
        <w:rPr>
          <w:spacing w:val="-13"/>
        </w:rPr>
        <w:t>后能增强紫外线的作用，使酪氨酸活性增加，从</w:t>
      </w:r>
      <w:r>
        <w:rPr>
          <w:spacing w:val="-16"/>
        </w:rPr>
        <w:t>而增加黑色素生成，直至目前仍为国内外治疗白</w:t>
      </w:r>
      <w:r>
        <w:rPr>
          <w:spacing w:val="-17"/>
        </w:rPr>
        <w:t>癜风的有效药物之一，如中医科常用的复方补骨</w:t>
      </w:r>
      <w:r>
        <w:rPr>
          <w:spacing w:val="-28"/>
        </w:rPr>
        <w:t>脂酊</w:t>
      </w:r>
      <w:r>
        <w:rPr/>
        <w:t>（</w:t>
      </w:r>
      <w:r>
        <w:rPr>
          <w:spacing w:val="-15"/>
        </w:rPr>
        <w:t>补骨脂 </w:t>
      </w:r>
      <w:r>
        <w:rPr/>
        <w:t>1000g</w:t>
      </w:r>
      <w:r>
        <w:rPr>
          <w:spacing w:val="-21"/>
        </w:rPr>
        <w:t>、菟丝子 </w:t>
      </w:r>
      <w:r>
        <w:rPr>
          <w:spacing w:val="-8"/>
        </w:rPr>
        <w:t>300g</w:t>
      </w:r>
      <w:r>
        <w:rPr>
          <w:spacing w:val="-3"/>
        </w:rPr>
        <w:t>，共研成粗粉</w:t>
      </w:r>
      <w:r>
        <w:rPr>
          <w:spacing w:val="-13"/>
        </w:rPr>
        <w:t>后浸入乙醇 </w:t>
      </w:r>
      <w:r>
        <w:rPr/>
        <w:t>4000ml</w:t>
      </w:r>
      <w:r>
        <w:rPr>
          <w:spacing w:val="-40"/>
        </w:rPr>
        <w:t> 内，浸泡 </w:t>
      </w:r>
      <w:r>
        <w:rPr/>
        <w:t>7d</w:t>
      </w:r>
      <w:r>
        <w:rPr>
          <w:spacing w:val="-23"/>
        </w:rPr>
        <w:t> 过滤，取液外用， </w:t>
      </w:r>
      <w:r>
        <w:rPr>
          <w:spacing w:val="-10"/>
        </w:rPr>
        <w:t>每日涂白斑 </w:t>
      </w:r>
      <w:r>
        <w:rPr/>
        <w:t>1～3</w:t>
      </w:r>
      <w:r>
        <w:rPr>
          <w:spacing w:val="-30"/>
        </w:rPr>
        <w:t> 次</w:t>
      </w:r>
      <w:r>
        <w:rPr/>
        <w:t>）。</w:t>
      </w:r>
    </w:p>
    <w:p>
      <w:pPr>
        <w:pStyle w:val="BodyText"/>
        <w:ind w:left="5209" w:firstLine="0"/>
      </w:pPr>
      <w:r>
        <w:rPr/>
        <w:t>甲氧沙林即甲氧基补骨脂素（8-MOP 等），</w:t>
      </w:r>
    </w:p>
    <w:p>
      <w:pPr>
        <w:pStyle w:val="BodyText"/>
        <w:spacing w:before="7"/>
        <w:ind w:left="0" w:firstLine="0"/>
        <w:rPr>
          <w:sz w:val="18"/>
        </w:rPr>
      </w:pPr>
    </w:p>
    <w:p>
      <w:pPr>
        <w:pStyle w:val="BodyText"/>
        <w:spacing w:line="312" w:lineRule="auto"/>
        <w:ind w:left="4801" w:right="162" w:firstLine="0"/>
      </w:pPr>
      <w:r>
        <w:rPr/>
        <w:drawing>
          <wp:anchor distT="0" distB="0" distL="0" distR="0" allowOverlap="1" layoutInCell="1" locked="0" behindDoc="0" simplePos="0" relativeHeight="251665408">
            <wp:simplePos x="0" y="0"/>
            <wp:positionH relativeFrom="page">
              <wp:posOffset>783590</wp:posOffset>
            </wp:positionH>
            <wp:positionV relativeFrom="paragraph">
              <wp:posOffset>0</wp:posOffset>
            </wp:positionV>
            <wp:extent cx="2861310" cy="3947160"/>
            <wp:effectExtent l="0" t="0" r="0" b="0"/>
            <wp:wrapNone/>
            <wp:docPr id="11" name="image9.jpeg"/>
            <wp:cNvGraphicFramePr>
              <a:graphicFrameLocks noChangeAspect="1"/>
            </wp:cNvGraphicFramePr>
            <a:graphic>
              <a:graphicData uri="http://schemas.openxmlformats.org/drawingml/2006/picture">
                <pic:pic>
                  <pic:nvPicPr>
                    <pic:cNvPr id="12" name="image9.jpeg"/>
                    <pic:cNvPicPr/>
                  </pic:nvPicPr>
                  <pic:blipFill>
                    <a:blip r:embed="rId21" cstate="print"/>
                    <a:stretch>
                      <a:fillRect/>
                    </a:stretch>
                  </pic:blipFill>
                  <pic:spPr>
                    <a:xfrm>
                      <a:off x="0" y="0"/>
                      <a:ext cx="2861310" cy="3947160"/>
                    </a:xfrm>
                    <a:prstGeom prst="rect">
                      <a:avLst/>
                    </a:prstGeom>
                  </pic:spPr>
                </pic:pic>
              </a:graphicData>
            </a:graphic>
          </wp:anchor>
        </w:drawing>
      </w:r>
      <w:r>
        <w:rPr>
          <w:spacing w:val="-5"/>
        </w:rPr>
        <w:t>是从生长于地中海区域的一种 </w:t>
      </w:r>
      <w:r>
        <w:rPr/>
        <w:t>1</w:t>
      </w:r>
      <w:r>
        <w:rPr>
          <w:spacing w:val="-9"/>
        </w:rPr>
        <w:t> 年生伞形科植物（包括许多人嗤之以鼻，也有许多人嗜之如命的香菜也是伞形科）---</w:t>
      </w:r>
      <w:r>
        <w:rPr>
          <w:spacing w:val="-10"/>
        </w:rPr>
        <w:t>大阿米芹中提取的， </w:t>
      </w:r>
      <w:r>
        <w:rPr/>
        <w:t>内服或外用后配合照射阳光或长波紫外线，使</w:t>
      </w:r>
      <w:r>
        <w:rPr>
          <w:spacing w:val="-4"/>
        </w:rPr>
        <w:t>白斑的色素逐渐恢复，也就是所谓的 </w:t>
      </w:r>
      <w:r>
        <w:rPr/>
        <w:t>PUVA</w:t>
      </w:r>
      <w:r>
        <w:rPr>
          <w:spacing w:val="-29"/>
        </w:rPr>
        <w:t> 疗法。</w:t>
      </w:r>
    </w:p>
    <w:p>
      <w:pPr>
        <w:pStyle w:val="BodyText"/>
        <w:spacing w:line="312" w:lineRule="auto" w:before="2"/>
        <w:ind w:left="4801" w:right="228"/>
        <w:jc w:val="both"/>
      </w:pPr>
      <w:r>
        <w:rPr>
          <w:spacing w:val="-7"/>
        </w:rPr>
        <w:t>另外还有人工合成的 </w:t>
      </w:r>
      <w:r>
        <w:rPr/>
        <w:t>4,5,8-</w:t>
      </w:r>
      <w:r>
        <w:rPr>
          <w:spacing w:val="-3"/>
        </w:rPr>
        <w:t>三甲基补骨脂</w:t>
      </w:r>
      <w:r>
        <w:rPr/>
        <w:t>素制剂（TMP）可供选择。</w:t>
      </w:r>
    </w:p>
    <w:p>
      <w:pPr>
        <w:pStyle w:val="BodyText"/>
        <w:spacing w:line="312" w:lineRule="auto"/>
        <w:ind w:left="4801" w:right="227"/>
        <w:jc w:val="both"/>
      </w:pPr>
      <w:r>
        <w:rPr/>
        <w:pict>
          <v:shape style="position:absolute;margin-left:63.863998pt;margin-top:146.149994pt;width:9.15pt;height:9pt;mso-position-horizontal-relative:page;mso-position-vertical-relative:paragraph;z-index:-252711936" type="#_x0000_t202" filled="false" stroked="false">
            <v:textbox inset="0,0,0,0">
              <w:txbxContent>
                <w:p>
                  <w:pPr>
                    <w:spacing w:line="180" w:lineRule="exact" w:before="0"/>
                    <w:ind w:left="0" w:right="0" w:firstLine="0"/>
                    <w:jc w:val="left"/>
                    <w:rPr>
                      <w:rFonts w:ascii="Calibri"/>
                      <w:sz w:val="18"/>
                    </w:rPr>
                  </w:pPr>
                  <w:r>
                    <w:rPr>
                      <w:rFonts w:ascii="Calibri"/>
                      <w:sz w:val="18"/>
                    </w:rPr>
                    <w:t>34</w:t>
                  </w:r>
                </w:p>
              </w:txbxContent>
            </v:textbox>
            <w10:wrap type="none"/>
          </v:shape>
        </w:pict>
      </w:r>
      <w:r>
        <w:rPr>
          <w:spacing w:val="-20"/>
        </w:rPr>
        <w:t>另外，维生素 </w:t>
      </w:r>
      <w:r>
        <w:rPr/>
        <w:t>D3</w:t>
      </w:r>
      <w:r>
        <w:rPr>
          <w:spacing w:val="-9"/>
        </w:rPr>
        <w:t> 衍生物卡泊三醇亦可增加</w:t>
      </w:r>
      <w:r>
        <w:rPr>
          <w:spacing w:val="-4"/>
        </w:rPr>
        <w:t>黑素细胞酪氨酸蛋白表达水平，联合 </w:t>
      </w:r>
      <w:r>
        <w:rPr/>
        <w:t>308nm</w:t>
      </w:r>
      <w:r>
        <w:rPr>
          <w:spacing w:val="-30"/>
        </w:rPr>
        <w:t> 准分子激光，NB-UVB</w:t>
      </w:r>
      <w:r>
        <w:rPr>
          <w:spacing w:val="-9"/>
        </w:rPr>
        <w:t> 等中波段紫外线光疗，提高</w:t>
      </w:r>
      <w:r>
        <w:rPr/>
        <w:t>酪氨酸酶活性，外用涂抹于白癜风部位，从而促进黑素细胞的黑素合成。</w:t>
      </w:r>
    </w:p>
    <w:p>
      <w:pPr>
        <w:spacing w:after="0" w:line="312" w:lineRule="auto"/>
        <w:jc w:val="both"/>
        <w:sectPr>
          <w:headerReference w:type="default" r:id="rId17"/>
          <w:footerReference w:type="default" r:id="rId18"/>
          <w:pgSz w:w="11910" w:h="16850"/>
          <w:pgMar w:header="906" w:footer="0" w:top="1100" w:bottom="280" w:left="1120" w:right="900"/>
        </w:sectPr>
      </w:pPr>
    </w:p>
    <w:p>
      <w:pPr>
        <w:pStyle w:val="BodyText"/>
        <w:spacing w:line="276" w:lineRule="auto" w:before="79"/>
        <w:ind w:right="227"/>
        <w:rPr>
          <w:rFonts w:ascii="Meiryo" w:eastAsia="Meiryo" w:hint="eastAsia"/>
          <w:b/>
        </w:rPr>
      </w:pPr>
      <w:r>
        <w:rPr>
          <w:spacing w:val="-6"/>
        </w:rPr>
        <w:t>随着更多酪氨酸酶抑制剂和激动剂的发现，无论在白道还是黑道，美容还是遮丑，它都</w:t>
      </w:r>
      <w:r>
        <w:rPr/>
        <w:t>能混的风生水起。</w:t>
      </w:r>
      <w:r>
        <w:rPr>
          <w:rFonts w:ascii="Meiryo" w:eastAsia="Meiryo" w:hint="eastAsia"/>
          <w:b/>
          <w:color w:val="0033CC"/>
        </w:rPr>
        <w:t>[返回目次]</w:t>
      </w:r>
    </w:p>
    <w:p>
      <w:pPr>
        <w:pStyle w:val="BodyText"/>
        <w:spacing w:before="16"/>
        <w:ind w:left="0" w:firstLine="0"/>
        <w:rPr>
          <w:rFonts w:ascii="Meiryo"/>
          <w:b/>
          <w:sz w:val="20"/>
        </w:rPr>
      </w:pPr>
    </w:p>
    <w:p>
      <w:pPr>
        <w:spacing w:before="72"/>
        <w:ind w:left="160" w:right="229" w:firstLine="0"/>
        <w:jc w:val="center"/>
        <w:rPr>
          <w:sz w:val="21"/>
        </w:rPr>
      </w:pPr>
      <w:r>
        <w:rPr>
          <w:sz w:val="21"/>
        </w:rPr>
        <w:t>临床药师做科研</w:t>
      </w:r>
    </w:p>
    <w:p>
      <w:pPr>
        <w:pStyle w:val="Heading2"/>
        <w:spacing w:before="163"/>
        <w:ind w:right="233"/>
        <w:jc w:val="center"/>
      </w:pPr>
      <w:bookmarkStart w:name="_TOC_250012" w:id="20"/>
      <w:bookmarkEnd w:id="20"/>
      <w:r>
        <w:rPr/>
        <w:t>做科研 明确能力圈跳出舒适圈</w:t>
      </w:r>
    </w:p>
    <w:p>
      <w:pPr>
        <w:pStyle w:val="Heading3"/>
        <w:spacing w:before="145"/>
        <w:ind w:left="0" w:right="226"/>
        <w:jc w:val="right"/>
        <w:rPr>
          <w:rFonts w:ascii="楷体" w:eastAsia="楷体" w:hint="eastAsia"/>
        </w:rPr>
      </w:pPr>
      <w:r>
        <w:rPr>
          <w:rFonts w:ascii="楷体" w:eastAsia="楷体" w:hint="eastAsia"/>
          <w:color w:val="FF0000"/>
          <w:w w:val="95"/>
        </w:rPr>
        <w:t>（来源：健康报）</w:t>
      </w:r>
    </w:p>
    <w:p>
      <w:pPr>
        <w:pStyle w:val="BodyText"/>
        <w:spacing w:line="312" w:lineRule="auto" w:before="113"/>
        <w:ind w:right="229"/>
        <w:jc w:val="both"/>
      </w:pPr>
      <w:r>
        <w:rPr>
          <w:spacing w:val="-8"/>
        </w:rPr>
        <w:t>药师与医师共同对药物治疗负责。对于复杂病情的合理、安全用药，药师的建议是医生</w:t>
      </w:r>
      <w:r>
        <w:rPr>
          <w:spacing w:val="-12"/>
        </w:rPr>
        <w:t>重要的参考。药师如何在临床中发挥更多作用？如何从临床工作中凝练科研方向？医学论坛</w:t>
      </w:r>
      <w:r>
        <w:rPr>
          <w:spacing w:val="-11"/>
        </w:rPr>
        <w:t>版推出“临床药师做科研”系列，邀请临床药师畅谈自己的经验与思考，希望对有同样困惑</w:t>
      </w:r>
      <w:r>
        <w:rPr/>
        <w:t>的读者以启迪。</w:t>
      </w:r>
    </w:p>
    <w:p>
      <w:pPr>
        <w:pStyle w:val="BodyText"/>
        <w:ind w:left="637" w:firstLine="0"/>
        <w:jc w:val="both"/>
      </w:pPr>
      <w:r>
        <w:rPr/>
        <w:t>近年来，随着医疗卫生体制改革逐渐深入，国家陆续出台了一系列医改政策。如 2019</w:t>
      </w:r>
    </w:p>
    <w:p>
      <w:pPr>
        <w:pStyle w:val="BodyText"/>
        <w:spacing w:line="312" w:lineRule="auto" w:before="93"/>
        <w:ind w:right="227" w:firstLine="0"/>
        <w:jc w:val="both"/>
      </w:pPr>
      <w:r>
        <w:rPr>
          <w:spacing w:val="-30"/>
        </w:rPr>
        <w:t>年 </w:t>
      </w:r>
      <w:r>
        <w:rPr/>
        <w:t>1</w:t>
      </w:r>
      <w:r>
        <w:rPr>
          <w:spacing w:val="-13"/>
        </w:rPr>
        <w:t> 月，国务院办公厅印发《关于加强三级公立医院绩效考核工作的意见》，取消了以往公</w:t>
      </w:r>
      <w:r>
        <w:rPr>
          <w:spacing w:val="-16"/>
        </w:rPr>
        <w:t>立医院单一药占比的考核，取而代之的是全方位的合理用药考核。同时，在仿制药一致性评</w:t>
      </w:r>
      <w:r>
        <w:rPr/>
        <w:t>价持续推进的基础上，国家药品集中采购和使用试点工作也逐步走向深入。</w:t>
      </w:r>
    </w:p>
    <w:p>
      <w:pPr>
        <w:pStyle w:val="BodyText"/>
        <w:spacing w:line="312" w:lineRule="auto" w:before="1"/>
        <w:ind w:right="127"/>
      </w:pPr>
      <w:r>
        <w:rPr>
          <w:spacing w:val="-6"/>
        </w:rPr>
        <w:t>这一系列医改新规的出台，旨在进一步整顿医疗行业，控制药品价格，让利于民。但同</w:t>
      </w:r>
      <w:r>
        <w:rPr>
          <w:spacing w:val="-7"/>
        </w:rPr>
        <w:t>时也对医疗行业，尤其是药学部门的发展提出了更高的要求。作为药学部的一支中坚力量， </w:t>
      </w:r>
      <w:r>
        <w:rPr/>
        <w:t>临床药师在这样的大环境下如何积极调整自我定位、适应发展，值得大家思考。</w:t>
      </w:r>
    </w:p>
    <w:p>
      <w:pPr>
        <w:pStyle w:val="BodyText"/>
        <w:spacing w:line="312" w:lineRule="auto" w:before="1"/>
        <w:ind w:right="227"/>
        <w:jc w:val="both"/>
      </w:pPr>
      <w:r>
        <w:rPr>
          <w:spacing w:val="-6"/>
        </w:rPr>
        <w:t>美国卫生系统药师协会在药学工作监护指南中提出，临床药师的主要职责是依靠自己的专业知识和通过科学研究获得新知识，参与药物临床治疗，改善治疗方法，为患者提供优质</w:t>
      </w:r>
      <w:r>
        <w:rPr/>
        <w:t>的药学服务。</w:t>
      </w:r>
    </w:p>
    <w:p>
      <w:pPr>
        <w:pStyle w:val="BodyText"/>
        <w:spacing w:line="312" w:lineRule="auto" w:before="1"/>
        <w:ind w:right="227"/>
        <w:jc w:val="both"/>
      </w:pPr>
      <w:r>
        <w:rPr>
          <w:spacing w:val="-11"/>
        </w:rPr>
        <w:t>由此可见，与药学相关的科研工作既是临床药师的一项重要职责，同时也是提供优质药</w:t>
      </w:r>
      <w:r>
        <w:rPr>
          <w:spacing w:val="-9"/>
        </w:rPr>
        <w:t>学服务和临床带教的基础。所以，无论从社会、学科还是个人发展的角度，科研工作都是临</w:t>
      </w:r>
      <w:r>
        <w:rPr/>
        <w:t>床药师应高度重视的一环。</w:t>
      </w:r>
    </w:p>
    <w:p>
      <w:pPr>
        <w:spacing w:line="312" w:lineRule="auto" w:before="1"/>
        <w:ind w:left="639" w:right="3487" w:hanging="3"/>
        <w:jc w:val="left"/>
        <w:rPr>
          <w:b/>
          <w:sz w:val="24"/>
        </w:rPr>
      </w:pPr>
      <w:r>
        <w:rPr>
          <w:sz w:val="24"/>
        </w:rPr>
        <w:t>笔者认为，临床药师开展科研工作可从以下两点入手。</w:t>
      </w:r>
      <w:r>
        <w:rPr>
          <w:b/>
          <w:sz w:val="24"/>
        </w:rPr>
        <w:t>在能力圈内选择适合方向</w:t>
      </w:r>
    </w:p>
    <w:p>
      <w:pPr>
        <w:pStyle w:val="BodyText"/>
        <w:spacing w:line="312" w:lineRule="auto"/>
        <w:ind w:right="227"/>
        <w:jc w:val="both"/>
      </w:pPr>
      <w:r>
        <w:rPr>
          <w:spacing w:val="-9"/>
        </w:rPr>
        <w:t>所谓能力圈，简单来说就是：什么是个人能做到的，什么是超出个人能力范围的。能力</w:t>
      </w:r>
      <w:r>
        <w:rPr>
          <w:spacing w:val="-14"/>
        </w:rPr>
        <w:t>圈的大小不是关键，人们在极度细分的领域，也能做出大成绩，而了解能力的边界范围至关</w:t>
      </w:r>
      <w:r>
        <w:rPr/>
        <w:t>重要。</w:t>
      </w:r>
    </w:p>
    <w:p>
      <w:pPr>
        <w:pStyle w:val="BodyText"/>
        <w:spacing w:line="312" w:lineRule="auto"/>
        <w:ind w:right="126"/>
      </w:pPr>
      <w:r>
        <w:rPr>
          <w:spacing w:val="-9"/>
        </w:rPr>
        <w:t>对于临床药师来说，在坚定信念走上科研道路时，正确认识自己的科研能力和知识储备</w:t>
      </w:r>
      <w:r>
        <w:rPr>
          <w:spacing w:val="-11"/>
        </w:rPr>
        <w:t>水平，找到属于自己的研究方向，并且能准确评估自己的能力圈边界，在自我的研究领域不</w:t>
      </w:r>
      <w:r>
        <w:rPr>
          <w:spacing w:val="-12"/>
        </w:rPr>
        <w:t>断深入，不盲目跟风，是做好科研工作的重要一步。能力圈也帮助我们明确什么是错误的、</w:t>
      </w:r>
      <w:r>
        <w:rPr/>
        <w:t>不适合的行为。</w:t>
      </w:r>
    </w:p>
    <w:p>
      <w:pPr>
        <w:pStyle w:val="BodyText"/>
        <w:spacing w:line="312" w:lineRule="auto" w:before="3"/>
        <w:ind w:right="367"/>
      </w:pPr>
      <w:r>
        <w:rPr/>
        <w:t>笔者以自身经验为例，归纳了作为临床药师从事科研工作的能力圈范围及相关研究方向：</w:t>
      </w:r>
    </w:p>
    <w:p>
      <w:pPr>
        <w:pStyle w:val="BodyText"/>
        <w:spacing w:line="307" w:lineRule="exact"/>
        <w:ind w:left="637" w:firstLine="0"/>
      </w:pPr>
      <w:r>
        <w:rPr/>
        <w:t>药物临床评价 如一致性评价、临床药物代谢动力学及临床药效学研究。</w:t>
      </w:r>
    </w:p>
    <w:p>
      <w:pPr>
        <w:spacing w:after="0" w:line="307" w:lineRule="exact"/>
        <w:sectPr>
          <w:headerReference w:type="default" r:id="rId22"/>
          <w:footerReference w:type="default" r:id="rId23"/>
          <w:pgSz w:w="11910" w:h="16850"/>
          <w:pgMar w:header="906" w:footer="607" w:top="1100" w:bottom="800" w:left="1120" w:right="900"/>
          <w:pgNumType w:start="35"/>
        </w:sectPr>
      </w:pPr>
    </w:p>
    <w:p>
      <w:pPr>
        <w:pStyle w:val="BodyText"/>
        <w:spacing w:before="79"/>
        <w:ind w:left="637" w:firstLine="0"/>
      </w:pPr>
      <w:r>
        <w:rPr/>
        <w:t>合理用药研究 如药物不良反应、药物经济学研究等。</w:t>
      </w:r>
    </w:p>
    <w:p>
      <w:pPr>
        <w:pStyle w:val="BodyText"/>
        <w:spacing w:line="312" w:lineRule="auto" w:before="91"/>
        <w:ind w:left="637" w:right="3007" w:firstLine="0"/>
      </w:pPr>
      <w:r>
        <w:rPr/>
        <w:t>个体化用药研究 如治疗药物监测、药物基因组学研究等。以上科研方向也是很多临床药师正在从事的日常科研工作。</w:t>
      </w:r>
    </w:p>
    <w:p>
      <w:pPr>
        <w:pStyle w:val="BodyText"/>
        <w:spacing w:line="312" w:lineRule="auto" w:before="2"/>
        <w:ind w:right="105"/>
      </w:pPr>
      <w:r>
        <w:rPr>
          <w:spacing w:val="-8"/>
        </w:rPr>
        <w:t>但需要注意的是，准确评估个人的能力圈范围并不是故步自封、墨守成规，不断拓展科</w:t>
      </w:r>
      <w:r>
        <w:rPr>
          <w:spacing w:val="-17"/>
        </w:rPr>
        <w:t>研边界，提升科研能力，才能实现自我成长，使学科进步，社会发展。所以，在科研工作中， </w:t>
      </w:r>
      <w:r>
        <w:rPr/>
        <w:t>临床药师需要在认清能力圈边界的前提下，在舒适圈外不断拓展与学习。</w:t>
      </w:r>
    </w:p>
    <w:p>
      <w:pPr>
        <w:pStyle w:val="Heading3"/>
        <w:spacing w:before="1"/>
      </w:pPr>
      <w:r>
        <w:rPr/>
        <w:t>勇于挑战自我获得成长</w:t>
      </w:r>
    </w:p>
    <w:p>
      <w:pPr>
        <w:pStyle w:val="BodyText"/>
        <w:spacing w:line="312" w:lineRule="auto" w:before="91"/>
        <w:ind w:right="110"/>
        <w:jc w:val="both"/>
      </w:pPr>
      <w:r>
        <w:rPr>
          <w:spacing w:val="-7"/>
        </w:rPr>
        <w:t>在舒适圈里有安全感，但缺乏挑战，只有走出去才能获得进步。如果盲目地把能力圈等</w:t>
      </w:r>
      <w:r>
        <w:rPr>
          <w:spacing w:val="-12"/>
        </w:rPr>
        <w:t>同于舒适圈，默认为能力边界就在舒适圈之内，那在学习和工作上，只关注自己熟悉的知识</w:t>
      </w:r>
      <w:r>
        <w:rPr>
          <w:spacing w:val="-16"/>
        </w:rPr>
        <w:t>领域，只以自己习惯的方式，把自己习惯的工作做到自己习惯的水平，就不可能有质的飞越。</w:t>
      </w:r>
    </w:p>
    <w:p>
      <w:pPr>
        <w:pStyle w:val="BodyText"/>
        <w:spacing w:line="312" w:lineRule="auto" w:before="1"/>
        <w:ind w:right="227"/>
      </w:pPr>
      <w:r>
        <w:rPr>
          <w:spacing w:val="-6"/>
        </w:rPr>
        <w:t>如何走出舒适圈呢？常说的走出舒适圈，是不是就意味着要大胆尝鲜，做自己不熟悉的</w:t>
      </w:r>
      <w:r>
        <w:rPr/>
        <w:t>工作呢？</w:t>
      </w:r>
    </w:p>
    <w:p>
      <w:pPr>
        <w:pStyle w:val="BodyText"/>
        <w:spacing w:line="312" w:lineRule="auto" w:before="2"/>
        <w:ind w:right="232"/>
        <w:jc w:val="both"/>
      </w:pPr>
      <w:r>
        <w:rPr>
          <w:spacing w:val="-9"/>
        </w:rPr>
        <w:t>舒适圈可分为舒适区、学习区、恐慌区三部分。人应该“跳出舒适圈”是指应该从舒适</w:t>
      </w:r>
      <w:r>
        <w:rPr>
          <w:spacing w:val="-3"/>
        </w:rPr>
        <w:t>区拓展到学习区去学习</w:t>
      </w:r>
      <w:r>
        <w:rPr/>
        <w:t>（避免触及恐慌区</w:t>
      </w:r>
      <w:r>
        <w:rPr>
          <w:spacing w:val="-21"/>
        </w:rPr>
        <w:t>）</w:t>
      </w:r>
      <w:r>
        <w:rPr>
          <w:spacing w:val="-9"/>
        </w:rPr>
        <w:t>，在力所能及的范围内，通过不断学习，把学习</w:t>
      </w:r>
      <w:r>
        <w:rPr/>
        <w:t>区变成舒适区。</w:t>
      </w:r>
    </w:p>
    <w:p>
      <w:pPr>
        <w:pStyle w:val="BodyText"/>
        <w:spacing w:line="312" w:lineRule="auto" w:before="1"/>
        <w:ind w:right="107"/>
      </w:pPr>
      <w:r>
        <w:rPr>
          <w:spacing w:val="-7"/>
        </w:rPr>
        <w:t>对于临床药师来说，科研工作的新知识、新方法一定是在舒适圈外的，因而让人产生焦</w:t>
      </w:r>
      <w:r>
        <w:rPr>
          <w:spacing w:val="-18"/>
        </w:rPr>
        <w:t>虑。临床药师要跨出舒适圈、取得进步，就应该先正确了解自己的能力圈边界，分别了解新、</w:t>
      </w:r>
      <w:r>
        <w:rPr/>
        <w:t>旧知识和方法的大轮廓，再比较它们的不同，明确是否可以通过学习达到目的。</w:t>
      </w:r>
    </w:p>
    <w:p>
      <w:pPr>
        <w:pStyle w:val="BodyText"/>
        <w:spacing w:line="312" w:lineRule="auto" w:before="1"/>
        <w:ind w:right="126"/>
      </w:pPr>
      <w:r>
        <w:rPr>
          <w:spacing w:val="-4"/>
        </w:rPr>
        <w:t>笔者原来的科研方向主要是小分子药物的药代动力学及药效学研究。而近年来，大分子</w:t>
      </w:r>
      <w:r>
        <w:rPr>
          <w:spacing w:val="-6"/>
        </w:rPr>
        <w:t>生物制剂药物逐渐成为研究热点，尤其是单克隆抗体药物。目前已有近 </w:t>
      </w:r>
      <w:r>
        <w:rPr/>
        <w:t>50</w:t>
      </w:r>
      <w:r>
        <w:rPr>
          <w:spacing w:val="-8"/>
        </w:rPr>
        <w:t> 种单克隆抗体药</w:t>
      </w:r>
      <w:r>
        <w:rPr>
          <w:spacing w:val="-9"/>
        </w:rPr>
        <w:t>物在欧美国家上市，这些药物在自身免疫性疾病、炎症以及肿瘤等疾病的治疗中效果显著， </w:t>
      </w:r>
      <w:r>
        <w:rPr>
          <w:spacing w:val="-13"/>
        </w:rPr>
        <w:t>目前尚有 </w:t>
      </w:r>
      <w:r>
        <w:rPr/>
        <w:t>500</w:t>
      </w:r>
      <w:r>
        <w:rPr>
          <w:spacing w:val="-15"/>
        </w:rPr>
        <w:t> 种候选单抗药物处于研发中。未来，会有大量的临床患者使用这些药物进行治</w:t>
      </w:r>
      <w:r>
        <w:rPr>
          <w:spacing w:val="-11"/>
        </w:rPr>
        <w:t>疗，同时，这期间也会有大量的临床数据提供给临床药师，作为研究的依据。因此，单抗药物的临床药物代谢动力学及药效学评价，可以作为临床药师拓宽科研边界的研究方向。</w:t>
      </w:r>
    </w:p>
    <w:p>
      <w:pPr>
        <w:pStyle w:val="BodyText"/>
        <w:spacing w:line="312" w:lineRule="auto" w:before="2"/>
        <w:ind w:right="127"/>
      </w:pPr>
      <w:r>
        <w:rPr>
          <w:spacing w:val="-1"/>
        </w:rPr>
        <w:t>进一步对比两者的药代动力学特征不难发现，由于单克隆抗体药物相对分子质量较大， </w:t>
      </w:r>
      <w:r>
        <w:rPr>
          <w:spacing w:val="-5"/>
        </w:rPr>
        <w:t>在体内主要以分解代谢的方式进行消除，这使单抗药物在体内的吸收、分布、消除等药代动</w:t>
      </w:r>
      <w:r>
        <w:rPr>
          <w:spacing w:val="-10"/>
        </w:rPr>
        <w:t>力学行为上与传统的小分子药物存在较大的差异。因此，传统的房室模型或者非房室模型不适用于研究单抗药物的体内药代动力学过程。</w:t>
      </w:r>
    </w:p>
    <w:p>
      <w:pPr>
        <w:pStyle w:val="BodyText"/>
        <w:spacing w:line="312" w:lineRule="auto"/>
        <w:ind w:right="229"/>
      </w:pPr>
      <w:r>
        <w:rPr>
          <w:spacing w:val="-8"/>
        </w:rPr>
        <w:t>近年来，欧美国家的新药审评中，生理药代动力学</w:t>
      </w:r>
      <w:r>
        <w:rPr>
          <w:spacing w:val="-5"/>
        </w:rPr>
        <w:t>（PBPK）</w:t>
      </w:r>
      <w:r>
        <w:rPr>
          <w:spacing w:val="-2"/>
        </w:rPr>
        <w:t>模型常被用于体现各种复杂</w:t>
      </w:r>
      <w:r>
        <w:rPr/>
        <w:t>的临床情况下的体内药代动力学变化。如美国食品药品监督管理局和欧洲药品管理局均推</w:t>
      </w:r>
      <w:r>
        <w:rPr>
          <w:spacing w:val="-16"/>
        </w:rPr>
        <w:t>荐，将 </w:t>
      </w:r>
      <w:r>
        <w:rPr/>
        <w:t>PBPK</w:t>
      </w:r>
      <w:r>
        <w:rPr>
          <w:spacing w:val="-8"/>
        </w:rPr>
        <w:t> 模型用于儿科用药的研发。</w:t>
      </w:r>
    </w:p>
    <w:p>
      <w:pPr>
        <w:pStyle w:val="BodyText"/>
        <w:spacing w:line="312" w:lineRule="auto" w:before="1"/>
        <w:ind w:right="306"/>
      </w:pPr>
      <w:r>
        <w:rPr>
          <w:spacing w:val="-2"/>
        </w:rPr>
        <w:t>美国北卡罗来纳大学教堂山分校曹彦光教授和纽约州立大学布法罗分校 </w:t>
      </w:r>
      <w:r>
        <w:rPr/>
        <w:t>William J. Jusko</w:t>
      </w:r>
      <w:r>
        <w:rPr>
          <w:spacing w:val="-12"/>
        </w:rPr>
        <w:t> 教授共同提出适合单抗药物研究的 </w:t>
      </w:r>
      <w:r>
        <w:rPr/>
        <w:t>minimal PBPK</w:t>
      </w:r>
      <w:r>
        <w:rPr>
          <w:spacing w:val="-9"/>
        </w:rPr>
        <w:t> 模型，此模型尤其适用于单克隆抗</w:t>
      </w:r>
      <w:r>
        <w:rPr/>
        <w:t>体或融合蛋白的体内基本分布机制研究。</w:t>
      </w:r>
    </w:p>
    <w:p>
      <w:pPr>
        <w:pStyle w:val="BodyText"/>
        <w:spacing w:line="312" w:lineRule="auto" w:before="1"/>
        <w:ind w:right="227"/>
      </w:pPr>
      <w:r>
        <w:rPr>
          <w:spacing w:val="-6"/>
        </w:rPr>
        <w:t>笔者曾在曹彦光教授课题组进行了为期一年的交流学习，并成功将该模型应用于三种抗肿瘤坏死因子生物制剂药效差异的机制研究，并在《药理学与实验疗法》杂志发表了相关研</w:t>
      </w:r>
    </w:p>
    <w:p>
      <w:pPr>
        <w:spacing w:after="0" w:line="312" w:lineRule="auto"/>
        <w:sectPr>
          <w:pgSz w:w="11910" w:h="16850"/>
          <w:pgMar w:header="906" w:footer="607" w:top="1100" w:bottom="800" w:left="1120" w:right="900"/>
        </w:sectPr>
      </w:pPr>
    </w:p>
    <w:p>
      <w:pPr>
        <w:pStyle w:val="BodyText"/>
        <w:spacing w:line="312" w:lineRule="auto" w:before="79"/>
        <w:ind w:right="227" w:firstLine="0"/>
      </w:pPr>
      <w:r>
        <w:rPr>
          <w:spacing w:val="-11"/>
        </w:rPr>
        <w:t>究论文，对于模型的构建及在单抗药物中的应用有了更为深刻的认识，同时也拓展了科研思</w:t>
      </w:r>
      <w:r>
        <w:rPr/>
        <w:t>路，找到了更适合自身发展的科研新方向。</w:t>
      </w:r>
    </w:p>
    <w:p>
      <w:pPr>
        <w:spacing w:line="420" w:lineRule="exact" w:before="0"/>
        <w:ind w:left="637" w:right="0" w:firstLine="0"/>
        <w:jc w:val="left"/>
        <w:rPr>
          <w:rFonts w:ascii="Meiryo" w:eastAsia="Meiryo" w:hint="eastAsia"/>
          <w:b/>
          <w:sz w:val="24"/>
        </w:rPr>
      </w:pPr>
      <w:r>
        <w:rPr>
          <w:sz w:val="24"/>
        </w:rPr>
        <w:t>作者: 中国医科大学附属盛京医院药学部 李晓冰</w:t>
      </w:r>
      <w:r>
        <w:rPr>
          <w:rFonts w:ascii="Meiryo" w:eastAsia="Meiryo" w:hint="eastAsia"/>
          <w:b/>
          <w:color w:val="0033CC"/>
          <w:sz w:val="24"/>
        </w:rPr>
        <w:t>[返回目次]</w:t>
      </w:r>
    </w:p>
    <w:p>
      <w:pPr>
        <w:pStyle w:val="Heading2"/>
        <w:spacing w:before="57"/>
        <w:ind w:left="157"/>
      </w:pPr>
      <w:bookmarkStart w:name="_TOC_250011" w:id="21"/>
      <w:bookmarkEnd w:id="21"/>
      <w:r>
        <w:rPr/>
        <w:t>【科普知识】</w:t>
      </w:r>
    </w:p>
    <w:p>
      <w:pPr>
        <w:pStyle w:val="Heading2"/>
        <w:spacing w:before="286"/>
        <w:ind w:right="240"/>
        <w:jc w:val="center"/>
      </w:pPr>
      <w:bookmarkStart w:name="_TOC_250010" w:id="22"/>
      <w:bookmarkEnd w:id="22"/>
      <w:r>
        <w:rPr/>
        <w:t>你知道老年人用药的“十要十忌”吗？</w:t>
      </w:r>
    </w:p>
    <w:p>
      <w:pPr>
        <w:pStyle w:val="Heading3"/>
        <w:spacing w:before="148"/>
        <w:ind w:left="6280"/>
        <w:rPr>
          <w:rFonts w:ascii="楷体" w:eastAsia="楷体" w:hint="eastAsia"/>
        </w:rPr>
      </w:pPr>
      <w:r>
        <w:rPr>
          <w:rFonts w:ascii="楷体" w:eastAsia="楷体" w:hint="eastAsia"/>
          <w:color w:val="FF0000"/>
        </w:rPr>
        <w:t>（来源：药葫芦娃微信公众号）</w:t>
      </w:r>
    </w:p>
    <w:p>
      <w:pPr>
        <w:pStyle w:val="BodyText"/>
        <w:spacing w:line="312" w:lineRule="auto" w:before="110"/>
        <w:ind w:right="107"/>
      </w:pPr>
      <w:r>
        <w:rPr>
          <w:spacing w:val="-16"/>
        </w:rPr>
        <w:t>我国已进入老龄化社会，老年人成为医疗和健康关注的一个重要人群。随着年龄的增长， </w:t>
      </w:r>
      <w:r>
        <w:rPr>
          <w:spacing w:val="-4"/>
        </w:rPr>
        <w:t>老年人各器官的生理功能逐渐衰退，许多疾病</w:t>
      </w:r>
      <w:r>
        <w:rPr/>
        <w:t>（特别是慢性病</w:t>
      </w:r>
      <w:r>
        <w:rPr>
          <w:spacing w:val="-27"/>
        </w:rPr>
        <w:t>）</w:t>
      </w:r>
      <w:r>
        <w:rPr>
          <w:spacing w:val="-4"/>
        </w:rPr>
        <w:t>的发生率上升，常有一人多</w:t>
      </w:r>
      <w:r>
        <w:rPr>
          <w:spacing w:val="-15"/>
        </w:rPr>
        <w:t>病、多药共用的情况，导致发生药物不良反应的几率增加。老年人用药在选药、剂量、疗程、给药方式、用药依从性等方面都应给予特别关注。</w:t>
      </w:r>
    </w:p>
    <w:p>
      <w:pPr>
        <w:pStyle w:val="Heading3"/>
        <w:numPr>
          <w:ilvl w:val="0"/>
          <w:numId w:val="3"/>
        </w:numPr>
        <w:tabs>
          <w:tab w:pos="884" w:val="left" w:leader="none"/>
        </w:tabs>
        <w:spacing w:line="240" w:lineRule="auto" w:before="2" w:after="0"/>
        <w:ind w:left="883" w:right="0" w:hanging="245"/>
        <w:jc w:val="left"/>
      </w:pPr>
      <w:r>
        <w:rPr/>
        <w:t>要正规渠道购药，忌轻信伪劣假冒</w:t>
      </w:r>
    </w:p>
    <w:p>
      <w:pPr>
        <w:pStyle w:val="BodyText"/>
        <w:spacing w:before="91"/>
        <w:ind w:left="637" w:firstLine="0"/>
      </w:pPr>
      <w:r>
        <w:rPr/>
        <w:t>老年人是非法销售各种伪劣假冒药品的主要对象。</w:t>
      </w:r>
    </w:p>
    <w:p>
      <w:pPr>
        <w:pStyle w:val="BodyText"/>
        <w:spacing w:line="312" w:lineRule="auto" w:before="94"/>
        <w:ind w:right="227"/>
        <w:jc w:val="both"/>
      </w:pPr>
      <w:r>
        <w:rPr>
          <w:spacing w:val="-10"/>
        </w:rPr>
        <w:t>因此，老年人应从正规的医院、药店选购药品，不仅质量有保障，还有专业的医生和药</w:t>
      </w:r>
      <w:r>
        <w:rPr>
          <w:spacing w:val="-6"/>
        </w:rPr>
        <w:t>师为老年人提供选择药品的有关信息。若从网络购药，老年人最好请子女帮助到国家药品监</w:t>
      </w:r>
      <w:r>
        <w:rPr/>
        <w:t>督管理局网站找合法的网上药店购买。</w:t>
      </w:r>
    </w:p>
    <w:p>
      <w:pPr>
        <w:pStyle w:val="BodyText"/>
        <w:spacing w:line="312" w:lineRule="auto" w:before="1"/>
        <w:ind w:right="367"/>
      </w:pPr>
      <w:r>
        <w:rPr/>
        <w:t>购买药品后索要购药凭据。不要相信在街头兜售和到家里传销所谓药品和保健品的商贩，也不要通过电话和健康讲座购买药品。</w:t>
      </w:r>
    </w:p>
    <w:p>
      <w:pPr>
        <w:pStyle w:val="Heading3"/>
        <w:numPr>
          <w:ilvl w:val="0"/>
          <w:numId w:val="3"/>
        </w:numPr>
        <w:tabs>
          <w:tab w:pos="884" w:val="left" w:leader="none"/>
        </w:tabs>
        <w:spacing w:line="307" w:lineRule="exact" w:before="0" w:after="0"/>
        <w:ind w:left="883" w:right="0" w:hanging="245"/>
        <w:jc w:val="left"/>
      </w:pPr>
      <w:r>
        <w:rPr/>
        <w:t>要咨询医生药师，忌偏听偏信广告</w:t>
      </w:r>
    </w:p>
    <w:p>
      <w:pPr>
        <w:pStyle w:val="BodyText"/>
        <w:spacing w:before="93"/>
        <w:ind w:left="637" w:firstLine="0"/>
      </w:pPr>
      <w:r>
        <w:rPr/>
        <w:t>当今社会信息发达，各种药品宣传广告形式多样，老年人不易分辨真伪。</w:t>
      </w:r>
    </w:p>
    <w:p>
      <w:pPr>
        <w:pStyle w:val="BodyText"/>
        <w:spacing w:line="312" w:lineRule="auto" w:before="93"/>
        <w:ind w:right="227"/>
      </w:pPr>
      <w:r>
        <w:rPr>
          <w:spacing w:val="-9"/>
        </w:rPr>
        <w:t>老年人在选择药品时，最好咨询正规医疗机构的医生和药师。现在许多医院药房设有免</w:t>
      </w:r>
      <w:r>
        <w:rPr/>
        <w:t>费的用药咨询窗口，药店有执业药师，可以向他们咨询。</w:t>
      </w:r>
    </w:p>
    <w:p>
      <w:pPr>
        <w:pStyle w:val="BodyText"/>
        <w:spacing w:line="312" w:lineRule="auto"/>
        <w:ind w:right="232"/>
      </w:pPr>
      <w:r>
        <w:rPr>
          <w:spacing w:val="-9"/>
        </w:rPr>
        <w:t>不要相信广告中所谓的“祖传秘方、高科技、权威专家认证、安全无毒副作用、纯天然</w:t>
      </w:r>
      <w:r>
        <w:rPr/>
        <w:t>绝不含西药、无效退款、保险公司保险、免费赠送、有奖销售”等蛊惑性宣传。</w:t>
      </w:r>
    </w:p>
    <w:p>
      <w:pPr>
        <w:pStyle w:val="Heading3"/>
        <w:numPr>
          <w:ilvl w:val="0"/>
          <w:numId w:val="3"/>
        </w:numPr>
        <w:tabs>
          <w:tab w:pos="884" w:val="left" w:leader="none"/>
        </w:tabs>
        <w:spacing w:line="240" w:lineRule="auto" w:before="0" w:after="0"/>
        <w:ind w:left="883" w:right="0" w:hanging="245"/>
        <w:jc w:val="left"/>
      </w:pPr>
      <w:r>
        <w:rPr/>
        <w:t>要做好用药记录，忌自行加药同服</w:t>
      </w:r>
    </w:p>
    <w:p>
      <w:pPr>
        <w:pStyle w:val="BodyText"/>
        <w:spacing w:line="312" w:lineRule="auto" w:before="94"/>
        <w:ind w:right="126"/>
      </w:pPr>
      <w:r>
        <w:rPr>
          <w:spacing w:val="-1"/>
        </w:rPr>
        <w:t>安全用药提倡“能少用药就少用、能不用药就不用”。但老年人常有一人多病的情况， </w:t>
      </w:r>
      <w:r>
        <w:rPr>
          <w:spacing w:val="-8"/>
        </w:rPr>
        <w:t>需要多种用药。多种药物同服可能会产生相互作用，导致药物的疗效降低、毒性增强甚至造成严重的不良反应。</w:t>
      </w:r>
    </w:p>
    <w:p>
      <w:pPr>
        <w:pStyle w:val="BodyText"/>
        <w:spacing w:line="312" w:lineRule="auto"/>
        <w:ind w:right="232"/>
        <w:jc w:val="both"/>
      </w:pPr>
      <w:r>
        <w:rPr>
          <w:spacing w:val="-6"/>
        </w:rPr>
        <w:t>建议老年人最好将服用的药记录在本子上，列出药品名称、用法用量、服药时间等。这</w:t>
      </w:r>
      <w:r>
        <w:rPr>
          <w:spacing w:val="-10"/>
        </w:rPr>
        <w:t>样做的好处：一是避免多服、漏服、误服；二是在就诊时将用药记录带给医生看，以便医生</w:t>
      </w:r>
      <w:r>
        <w:rPr/>
        <w:t>根据患者的病情调整用药，并避免医生在不知情的情况下开出不合理的用药处方。</w:t>
      </w:r>
    </w:p>
    <w:p>
      <w:pPr>
        <w:pStyle w:val="Heading3"/>
        <w:numPr>
          <w:ilvl w:val="0"/>
          <w:numId w:val="3"/>
        </w:numPr>
        <w:tabs>
          <w:tab w:pos="884" w:val="left" w:leader="none"/>
        </w:tabs>
        <w:spacing w:line="240" w:lineRule="auto" w:before="1" w:after="0"/>
        <w:ind w:left="883" w:right="0" w:hanging="245"/>
        <w:jc w:val="left"/>
      </w:pPr>
      <w:r>
        <w:rPr/>
        <w:t>要谨遵医嘱服药，忌凭借经验自服</w:t>
      </w:r>
    </w:p>
    <w:p>
      <w:pPr>
        <w:pStyle w:val="BodyText"/>
        <w:spacing w:line="312" w:lineRule="auto" w:before="94"/>
        <w:ind w:right="228"/>
        <w:jc w:val="both"/>
      </w:pPr>
      <w:r>
        <w:rPr>
          <w:spacing w:val="-6"/>
        </w:rPr>
        <w:t>用药依从性对老年人慢性病的治疗非常重要。依从性也称顺应性，是指患者用药、饮食和运动等行为与医务人员建议相符的程度。简单地说，好的依从性就是患者按照医生和药师</w:t>
      </w:r>
      <w:r>
        <w:rPr/>
        <w:t>的指导服药。</w:t>
      </w:r>
    </w:p>
    <w:p>
      <w:pPr>
        <w:spacing w:after="0" w:line="312" w:lineRule="auto"/>
        <w:jc w:val="both"/>
        <w:sectPr>
          <w:pgSz w:w="11910" w:h="16850"/>
          <w:pgMar w:header="906" w:footer="607" w:top="1100" w:bottom="800" w:left="1120" w:right="900"/>
        </w:sectPr>
      </w:pPr>
    </w:p>
    <w:p>
      <w:pPr>
        <w:pStyle w:val="BodyText"/>
        <w:spacing w:line="312" w:lineRule="auto" w:before="79"/>
        <w:ind w:right="107"/>
      </w:pPr>
      <w:r>
        <w:rPr>
          <w:spacing w:val="-5"/>
        </w:rPr>
        <w:t>当老年人看到别人用某种药物疗效很好，或听到亲朋好友推荐某种治疗方法时，一定不</w:t>
      </w:r>
      <w:r>
        <w:rPr>
          <w:spacing w:val="-17"/>
        </w:rPr>
        <w:t>要简单地照搬他人的经验。因为人体存在着体质和病症的差异，尤其是患有慢性病的老年人， </w:t>
      </w:r>
      <w:r>
        <w:rPr>
          <w:spacing w:val="-7"/>
        </w:rPr>
        <w:t>可能会产生用药安全风险。若想参考他人的用药经验，最好先咨询医生和药师看是否适合自身的情况。</w:t>
      </w:r>
    </w:p>
    <w:p>
      <w:pPr>
        <w:pStyle w:val="Heading3"/>
        <w:numPr>
          <w:ilvl w:val="0"/>
          <w:numId w:val="3"/>
        </w:numPr>
        <w:tabs>
          <w:tab w:pos="884" w:val="left" w:leader="none"/>
        </w:tabs>
        <w:spacing w:line="240" w:lineRule="auto" w:before="0" w:after="0"/>
        <w:ind w:left="883" w:right="0" w:hanging="245"/>
        <w:jc w:val="left"/>
      </w:pPr>
      <w:r>
        <w:rPr/>
        <w:t>要细读药品说明，忌随意丢弃包装</w:t>
      </w:r>
    </w:p>
    <w:p>
      <w:pPr>
        <w:pStyle w:val="BodyText"/>
        <w:spacing w:line="312" w:lineRule="auto" w:before="93"/>
        <w:ind w:right="230"/>
      </w:pPr>
      <w:r>
        <w:rPr>
          <w:spacing w:val="-6"/>
        </w:rPr>
        <w:t>药品说明书和外包装上的信息是很好的用药指导，在购得药品后，一定不要将药品的外</w:t>
      </w:r>
      <w:r>
        <w:rPr/>
        <w:t>包装和说明书随意丢弃。</w:t>
      </w:r>
    </w:p>
    <w:p>
      <w:pPr>
        <w:pStyle w:val="BodyText"/>
        <w:spacing w:line="312" w:lineRule="auto"/>
        <w:ind w:right="110"/>
      </w:pPr>
      <w:r>
        <w:rPr/>
        <w:t>老年人应养成用药前细读说明书的习惯。在使用非处方药物（OTC）进行自我药疗时， 一定要严格遵照说明书的用法用量服药。阅读药品说明书时要重点看药品名称、剂量规格、</w:t>
      </w:r>
      <w:r>
        <w:rPr>
          <w:spacing w:val="-5"/>
        </w:rPr>
        <w:t>用法用量、适应证</w:t>
      </w:r>
      <w:r>
        <w:rPr/>
        <w:t>（治什么病的</w:t>
      </w:r>
      <w:r>
        <w:rPr>
          <w:spacing w:val="-15"/>
        </w:rPr>
        <w:t>）</w:t>
      </w:r>
      <w:r>
        <w:rPr>
          <w:spacing w:val="-9"/>
        </w:rPr>
        <w:t>、禁忌证</w:t>
      </w:r>
      <w:r>
        <w:rPr/>
        <w:t>（什么病症不能用</w:t>
      </w:r>
      <w:r>
        <w:rPr>
          <w:spacing w:val="-15"/>
        </w:rPr>
        <w:t>），</w:t>
      </w:r>
      <w:r>
        <w:rPr/>
        <w:t>以及用药后可能会发生哪</w:t>
      </w:r>
      <w:r>
        <w:rPr>
          <w:spacing w:val="-16"/>
        </w:rPr>
        <w:t>些不良反应、有哪些需要注意的事项，药品应存放在什么地方。药品包装盒上主要看有效期， </w:t>
      </w:r>
      <w:r>
        <w:rPr/>
        <w:t>以防药品过期失效。</w:t>
      </w:r>
    </w:p>
    <w:p>
      <w:pPr>
        <w:spacing w:line="312" w:lineRule="auto" w:before="3"/>
        <w:ind w:left="639" w:right="847" w:hanging="3"/>
        <w:jc w:val="left"/>
        <w:rPr>
          <w:b/>
          <w:sz w:val="24"/>
        </w:rPr>
      </w:pPr>
      <w:r>
        <w:rPr>
          <w:sz w:val="24"/>
        </w:rPr>
        <w:t>老年人阅读说明书有困难时，可以向医生、药师或家人求助，要明明白白用药。</w:t>
      </w:r>
      <w:r>
        <w:rPr>
          <w:b/>
          <w:sz w:val="24"/>
        </w:rPr>
        <w:t>6.要按时按量用药，忌擅自加减药量</w:t>
      </w:r>
    </w:p>
    <w:p>
      <w:pPr>
        <w:pStyle w:val="BodyText"/>
        <w:spacing w:line="312" w:lineRule="auto"/>
        <w:ind w:right="107"/>
      </w:pPr>
      <w:r>
        <w:rPr>
          <w:spacing w:val="-4"/>
        </w:rPr>
        <w:t>按时按量用药是保障老年人慢性病药物治疗效果的重要环节。用药的时间长短和剂量大小是医生根据患者的病情来定的，药物的疗效取决于它在血液中保持一定时间的浓度水平， </w:t>
      </w:r>
      <w:r>
        <w:rPr>
          <w:spacing w:val="-11"/>
        </w:rPr>
        <w:t>太低则达不到疗效，太高则易发生毒副作用。时断时续地服药，漏服后擅自加服可能造成药</w:t>
      </w:r>
      <w:r>
        <w:rPr>
          <w:spacing w:val="-21"/>
        </w:rPr>
        <w:t>物在血液中浓度的大幅波动，是不可取的。不要心急治病，误认为剂量大些，病就好得快些， </w:t>
      </w:r>
      <w:r>
        <w:rPr/>
        <w:t>而随意加大剂量。也不要病情稍有好转，就认为可以减量或停药。</w:t>
      </w:r>
    </w:p>
    <w:p>
      <w:pPr>
        <w:pStyle w:val="BodyText"/>
        <w:spacing w:line="312" w:lineRule="auto" w:before="1"/>
        <w:ind w:right="230"/>
      </w:pPr>
      <w:r>
        <w:rPr>
          <w:spacing w:val="-6"/>
        </w:rPr>
        <w:t>老年人记忆力减退，可做一些用药提醒或用药记录，或用星期</w:t>
      </w:r>
      <w:r>
        <w:rPr/>
        <w:t>（分装</w:t>
      </w:r>
      <w:r>
        <w:rPr>
          <w:spacing w:val="-27"/>
        </w:rPr>
        <w:t>）</w:t>
      </w:r>
      <w:r>
        <w:rPr>
          <w:spacing w:val="-3"/>
        </w:rPr>
        <w:t>药盒摆放常用药</w:t>
      </w:r>
      <w:r>
        <w:rPr/>
        <w:t>以防止漏服。</w:t>
      </w:r>
    </w:p>
    <w:p>
      <w:pPr>
        <w:pStyle w:val="Heading3"/>
        <w:numPr>
          <w:ilvl w:val="0"/>
          <w:numId w:val="4"/>
        </w:numPr>
        <w:tabs>
          <w:tab w:pos="884" w:val="left" w:leader="none"/>
        </w:tabs>
        <w:spacing w:line="240" w:lineRule="auto" w:before="2" w:after="0"/>
        <w:ind w:left="883" w:right="0" w:hanging="245"/>
        <w:jc w:val="left"/>
      </w:pPr>
      <w:r>
        <w:rPr/>
        <w:t>要定期随诊复查，忌忽略不良反应</w:t>
      </w:r>
    </w:p>
    <w:p>
      <w:pPr>
        <w:pStyle w:val="BodyText"/>
        <w:spacing w:line="312" w:lineRule="auto" w:before="91"/>
        <w:ind w:right="230"/>
      </w:pPr>
      <w:r>
        <w:rPr>
          <w:spacing w:val="-8"/>
        </w:rPr>
        <w:t>随着老年人生理机能渐衰，药物在机体的吸收、分布、代谢和排泄与年轻时不同，且老</w:t>
      </w:r>
      <w:r>
        <w:rPr/>
        <w:t>年人用药品种多，时间长，更容易发生药物不良反应。</w:t>
      </w:r>
    </w:p>
    <w:p>
      <w:pPr>
        <w:pStyle w:val="BodyText"/>
        <w:spacing w:line="312" w:lineRule="auto" w:before="2"/>
        <w:ind w:right="229"/>
      </w:pPr>
      <w:r>
        <w:rPr>
          <w:spacing w:val="-8"/>
        </w:rPr>
        <w:t>建议老年人要定期到医院随诊复查，及时发现问题，进行用药调整。这样既可保证药物</w:t>
      </w:r>
      <w:r>
        <w:rPr/>
        <w:t>治疗的效果，又可防止严重不良反应的发生。</w:t>
      </w:r>
    </w:p>
    <w:p>
      <w:pPr>
        <w:pStyle w:val="BodyText"/>
        <w:spacing w:line="307" w:lineRule="exact"/>
        <w:ind w:left="637" w:firstLine="0"/>
      </w:pPr>
      <w:r>
        <w:rPr/>
        <w:t>对于长期用药的老年慢病患者，建议一般每 3～6 个月可复查一次。</w:t>
      </w:r>
    </w:p>
    <w:p>
      <w:pPr>
        <w:pStyle w:val="BodyText"/>
        <w:spacing w:line="312" w:lineRule="auto" w:before="94"/>
        <w:ind w:right="227"/>
        <w:jc w:val="both"/>
      </w:pPr>
      <w:r>
        <w:rPr>
          <w:spacing w:val="-6"/>
        </w:rPr>
        <w:t>不良反应是药物与生俱来的固有属性，要正确看待药物的不良反应，请医生和药师帮助评价药物疗效和不良反应之间孰轻孰重，以判断是否停药，不要看到说明书中写的不良反应</w:t>
      </w:r>
      <w:r>
        <w:rPr/>
        <w:t>多就认为药不好，拒绝用药或自行停药。</w:t>
      </w:r>
    </w:p>
    <w:p>
      <w:pPr>
        <w:pStyle w:val="Heading3"/>
        <w:numPr>
          <w:ilvl w:val="0"/>
          <w:numId w:val="4"/>
        </w:numPr>
        <w:tabs>
          <w:tab w:pos="884" w:val="left" w:leader="none"/>
        </w:tabs>
        <w:spacing w:line="240" w:lineRule="auto" w:before="0" w:after="0"/>
        <w:ind w:left="883" w:right="0" w:hanging="245"/>
        <w:jc w:val="left"/>
      </w:pPr>
      <w:r>
        <w:rPr/>
        <w:t>要随身备急救药，忌准备不足出行</w:t>
      </w:r>
    </w:p>
    <w:p>
      <w:pPr>
        <w:pStyle w:val="BodyText"/>
        <w:spacing w:line="312" w:lineRule="auto" w:before="91"/>
        <w:ind w:right="227"/>
        <w:jc w:val="both"/>
      </w:pPr>
      <w:r>
        <w:rPr>
          <w:spacing w:val="-9"/>
        </w:rPr>
        <w:t>老年人外出时，要常备一些急救药品以防万一。老年人在较长时间外出前，应做好预防</w:t>
      </w:r>
      <w:r>
        <w:rPr>
          <w:spacing w:val="-12"/>
        </w:rPr>
        <w:t>“意外”的充足准备，可以带适量的晕车药、外伤药、感冒药、防暑药、安眠药等。有慢性</w:t>
      </w:r>
      <w:r>
        <w:rPr>
          <w:spacing w:val="-7"/>
        </w:rPr>
        <w:t>病的老年人除带好常服的药品外，还应备些特殊的急救药品，如心脑血管病患者随身带硝酸</w:t>
      </w:r>
      <w:r>
        <w:rPr>
          <w:spacing w:val="-10"/>
        </w:rPr>
        <w:t>甘油含片，哮喘患者随身带治疗哮喘的气雾剂，癫痫患者随身带抗癫痫药，糖尿病人带好糖</w:t>
      </w:r>
      <w:r>
        <w:rPr/>
        <w:t>果以备低血糖时应急等。</w:t>
      </w:r>
    </w:p>
    <w:p>
      <w:pPr>
        <w:spacing w:after="0" w:line="312" w:lineRule="auto"/>
        <w:jc w:val="both"/>
        <w:sectPr>
          <w:pgSz w:w="11910" w:h="16850"/>
          <w:pgMar w:header="906" w:footer="607" w:top="1100" w:bottom="800" w:left="1120" w:right="900"/>
        </w:sectPr>
      </w:pPr>
    </w:p>
    <w:p>
      <w:pPr>
        <w:pStyle w:val="BodyText"/>
        <w:spacing w:line="312" w:lineRule="auto" w:before="79"/>
        <w:ind w:right="230"/>
        <w:jc w:val="both"/>
      </w:pPr>
      <w:r>
        <w:rPr>
          <w:spacing w:val="-8"/>
        </w:rPr>
        <w:t>建议老年人外出时最好随身携带一张“急救卡”，注明姓名、住址、亲属电话、所患疾</w:t>
      </w:r>
      <w:r>
        <w:rPr>
          <w:spacing w:val="-11"/>
        </w:rPr>
        <w:t>病、急救药存放位置、使用说明等。万一突发疾病，路人可以根据急救卡上的信息，实施紧</w:t>
      </w:r>
      <w:r>
        <w:rPr/>
        <w:t>急救助。</w:t>
      </w:r>
    </w:p>
    <w:p>
      <w:pPr>
        <w:pStyle w:val="Heading3"/>
        <w:numPr>
          <w:ilvl w:val="0"/>
          <w:numId w:val="4"/>
        </w:numPr>
        <w:tabs>
          <w:tab w:pos="884" w:val="left" w:leader="none"/>
        </w:tabs>
        <w:spacing w:line="240" w:lineRule="auto" w:before="1" w:after="0"/>
        <w:ind w:left="883" w:right="0" w:hanging="245"/>
        <w:jc w:val="left"/>
      </w:pPr>
      <w:r>
        <w:rPr/>
        <w:t>要定期整理药箱，忌变质过期服用</w:t>
      </w:r>
    </w:p>
    <w:p>
      <w:pPr>
        <w:pStyle w:val="BodyText"/>
        <w:spacing w:line="312" w:lineRule="auto" w:before="91"/>
        <w:ind w:right="127"/>
      </w:pPr>
      <w:r>
        <w:rPr>
          <w:spacing w:val="-1"/>
        </w:rPr>
        <w:t>家庭小药箱是常用药的“家”，如果“小药箱”中的药品存放不当，反而会威胁健康， </w:t>
      </w:r>
      <w:r>
        <w:rPr>
          <w:spacing w:val="-8"/>
        </w:rPr>
        <w:t>应该定期清理。家庭药箱管理的核心是有效期管理，防止误服过期药品而影响疗效，建议每3 个月检查整理一次家庭药箱，一定不要服用过期和变质的药品。</w:t>
      </w:r>
    </w:p>
    <w:p>
      <w:pPr>
        <w:pStyle w:val="BodyText"/>
        <w:spacing w:line="312" w:lineRule="auto" w:before="1"/>
        <w:ind w:right="227"/>
      </w:pPr>
      <w:r>
        <w:rPr>
          <w:spacing w:val="-7"/>
        </w:rPr>
        <w:t>老年人的家庭药箱配备还要注意：药物的品种和数量不宜过多，内服和外用药分开，避</w:t>
      </w:r>
      <w:r>
        <w:rPr/>
        <w:t>光放在阴凉干燥处，不要让儿童拿到，最好建立药品档案。</w:t>
      </w:r>
    </w:p>
    <w:p>
      <w:pPr>
        <w:pStyle w:val="Heading3"/>
        <w:numPr>
          <w:ilvl w:val="0"/>
          <w:numId w:val="4"/>
        </w:numPr>
        <w:tabs>
          <w:tab w:pos="1005" w:val="left" w:leader="none"/>
        </w:tabs>
        <w:spacing w:line="240" w:lineRule="auto" w:before="2" w:after="0"/>
        <w:ind w:left="1004" w:right="0" w:hanging="366"/>
        <w:jc w:val="left"/>
      </w:pPr>
      <w:r>
        <w:rPr/>
        <w:t>要家人经常关心，忌误服漏服重服</w:t>
      </w:r>
    </w:p>
    <w:p>
      <w:pPr>
        <w:pStyle w:val="BodyText"/>
        <w:spacing w:line="312" w:lineRule="auto" w:before="91"/>
        <w:ind w:right="226"/>
        <w:jc w:val="both"/>
      </w:pPr>
      <w:r>
        <w:rPr>
          <w:spacing w:val="-6"/>
        </w:rPr>
        <w:t>亲属及看护人要经常关心家里老年人的用药情况，特别是对于记忆力或视力较差、独居</w:t>
      </w:r>
      <w:r>
        <w:rPr>
          <w:spacing w:val="-9"/>
        </w:rPr>
        <w:t>或生活不能自理的老人，防止误服、漏服、重服等现象的发生。家人要帮助老人建立用药档</w:t>
      </w:r>
      <w:r>
        <w:rPr>
          <w:spacing w:val="-10"/>
        </w:rPr>
        <w:t>案和记录，督促老人按时按量用药，观察老人用药后的反应和病情的发展情况，定期整理老年人的家庭药箱；同时也要提醒老年人不要轻信社会上的各种非法宣传和传销，不要道听途</w:t>
      </w:r>
      <w:r>
        <w:rPr/>
        <w:t>说以自己的身体试用未经验证的秘方偏方，经常为老年人讲解安全用药常识。</w:t>
      </w:r>
    </w:p>
    <w:p>
      <w:pPr>
        <w:pStyle w:val="BodyText"/>
        <w:spacing w:line="276" w:lineRule="auto" w:before="3"/>
        <w:ind w:right="232"/>
        <w:rPr>
          <w:rFonts w:ascii="Meiryo" w:eastAsia="Meiryo" w:hint="eastAsia"/>
          <w:b/>
        </w:rPr>
      </w:pPr>
      <w:r>
        <w:rPr>
          <w:spacing w:val="-10"/>
        </w:rPr>
        <w:t>此外，关心也要科学适当。不要随意为老年人购买各种补药和补品，为补而补，盲目滥</w:t>
      </w:r>
      <w:r>
        <w:rPr/>
        <w:t>补，有可能将孝心变成伤害。</w:t>
      </w:r>
      <w:r>
        <w:rPr>
          <w:rFonts w:ascii="Meiryo" w:eastAsia="Meiryo" w:hint="eastAsia"/>
          <w:b/>
          <w:color w:val="0033CC"/>
        </w:rPr>
        <w:t>[返回目次]</w:t>
      </w:r>
    </w:p>
    <w:p>
      <w:pPr>
        <w:pStyle w:val="Heading1"/>
        <w:spacing w:before="52"/>
        <w:rPr>
          <w:u w:val="none"/>
        </w:rPr>
      </w:pPr>
      <w:bookmarkStart w:name="_TOC_250009" w:id="23"/>
      <w:r>
        <w:rPr>
          <w:rFonts w:ascii="Times New Roman" w:eastAsia="Times New Roman"/>
          <w:color w:val="008000"/>
          <w:spacing w:val="-110"/>
          <w:w w:val="99"/>
          <w:u w:val="thick" w:color="008000"/>
        </w:rPr>
        <w:t> </w:t>
      </w:r>
      <w:bookmarkEnd w:id="23"/>
      <w:r>
        <w:rPr>
          <w:color w:val="008000"/>
          <w:u w:val="thick" w:color="008000"/>
        </w:rPr>
        <w:t>交流园地</w:t>
      </w:r>
    </w:p>
    <w:p>
      <w:pPr>
        <w:pStyle w:val="BodyText"/>
        <w:spacing w:before="12"/>
        <w:ind w:left="0" w:firstLine="0"/>
        <w:rPr>
          <w:rFonts w:ascii="华文宋体"/>
          <w:b/>
          <w:sz w:val="10"/>
        </w:rPr>
      </w:pPr>
    </w:p>
    <w:p>
      <w:pPr>
        <w:pStyle w:val="Heading2"/>
        <w:spacing w:before="55"/>
        <w:ind w:left="157"/>
      </w:pPr>
      <w:bookmarkStart w:name="_TOC_250008" w:id="24"/>
      <w:bookmarkEnd w:id="24"/>
      <w:r>
        <w:rPr/>
        <w:t>【交流平台】</w:t>
      </w:r>
    </w:p>
    <w:p>
      <w:pPr>
        <w:pStyle w:val="BodyText"/>
        <w:spacing w:before="7"/>
        <w:ind w:left="0" w:firstLine="0"/>
        <w:rPr>
          <w:b/>
          <w:sz w:val="19"/>
        </w:rPr>
      </w:pPr>
    </w:p>
    <w:p>
      <w:pPr>
        <w:spacing w:after="0"/>
        <w:rPr>
          <w:sz w:val="19"/>
        </w:rPr>
        <w:sectPr>
          <w:pgSz w:w="11910" w:h="16850"/>
          <w:pgMar w:header="906" w:footer="607" w:top="1100" w:bottom="800" w:left="1120" w:right="900"/>
        </w:sectPr>
      </w:pPr>
    </w:p>
    <w:p>
      <w:pPr>
        <w:pStyle w:val="Heading2"/>
        <w:spacing w:before="54"/>
        <w:ind w:left="2737"/>
      </w:pPr>
      <w:bookmarkStart w:name="_TOC_250007" w:id="25"/>
      <w:bookmarkEnd w:id="25"/>
      <w:r>
        <w:rPr>
          <w:spacing w:val="-3"/>
        </w:rPr>
        <w:t>管好慢病 医联体“药”有作为</w:t>
      </w:r>
    </w:p>
    <w:p>
      <w:pPr>
        <w:pStyle w:val="BodyText"/>
        <w:ind w:left="0" w:firstLine="0"/>
        <w:rPr>
          <w:b/>
        </w:rPr>
      </w:pPr>
      <w:r>
        <w:rPr/>
        <w:br w:type="column"/>
      </w:r>
      <w:r>
        <w:rPr>
          <w:b/>
        </w:rPr>
      </w:r>
    </w:p>
    <w:p>
      <w:pPr>
        <w:pStyle w:val="BodyText"/>
        <w:spacing w:before="10"/>
        <w:ind w:left="0" w:firstLine="0"/>
        <w:rPr>
          <w:b/>
          <w:sz w:val="23"/>
        </w:rPr>
      </w:pPr>
    </w:p>
    <w:p>
      <w:pPr>
        <w:pStyle w:val="Heading3"/>
        <w:ind w:left="614"/>
        <w:rPr>
          <w:rFonts w:ascii="楷体" w:eastAsia="楷体" w:hint="eastAsia"/>
        </w:rPr>
      </w:pPr>
      <w:r>
        <w:rPr>
          <w:rFonts w:ascii="楷体" w:eastAsia="楷体" w:hint="eastAsia"/>
          <w:color w:val="FF0000"/>
        </w:rPr>
        <w:t>（来源：健康报）</w:t>
      </w:r>
    </w:p>
    <w:p>
      <w:pPr>
        <w:spacing w:after="0"/>
        <w:rPr>
          <w:rFonts w:ascii="楷体" w:eastAsia="楷体" w:hint="eastAsia"/>
        </w:rPr>
        <w:sectPr>
          <w:type w:val="continuous"/>
          <w:pgSz w:w="11910" w:h="16850"/>
          <w:pgMar w:top="1100" w:bottom="1020" w:left="1120" w:right="900"/>
          <w:cols w:num="2" w:equalWidth="0">
            <w:col w:w="7074" w:space="40"/>
            <w:col w:w="2776"/>
          </w:cols>
        </w:sectPr>
      </w:pPr>
    </w:p>
    <w:p>
      <w:pPr>
        <w:pStyle w:val="BodyText"/>
        <w:spacing w:line="312" w:lineRule="auto" w:before="111"/>
        <w:ind w:right="109"/>
      </w:pPr>
      <w:r>
        <w:rPr>
          <w:spacing w:val="-17"/>
        </w:rPr>
        <w:t>编者按：一提医联体，人们的第一反应常常是大医院牵头下“医疗”工作的多级别串联。</w:t>
      </w:r>
      <w:r>
        <w:rPr>
          <w:spacing w:val="-6"/>
        </w:rPr>
        <w:t>但当我们把目光范围调大，将医联体放到健康管理的大背景下思考，就会发现，药学、护理</w:t>
      </w:r>
      <w:r>
        <w:rPr>
          <w:spacing w:val="-11"/>
        </w:rPr>
        <w:t>等服务的上下贯通、携手发力同样是医联体的题中之意。做好医联体框架下的这些工作，不</w:t>
      </w:r>
      <w:r>
        <w:rPr>
          <w:spacing w:val="-15"/>
        </w:rPr>
        <w:t>但有助于提升各级医疗机构服务能力和公众健康体验，更为开拓医联体的效能带来启示和灵感。</w:t>
      </w:r>
    </w:p>
    <w:p>
      <w:pPr>
        <w:pStyle w:val="Heading3"/>
      </w:pPr>
      <w:r>
        <w:rPr/>
        <w:t>肇始：慢病用药管理难关多</w:t>
      </w:r>
    </w:p>
    <w:p>
      <w:pPr>
        <w:pStyle w:val="BodyText"/>
        <w:spacing w:line="312" w:lineRule="auto" w:before="93"/>
        <w:ind w:right="109"/>
        <w:jc w:val="both"/>
      </w:pPr>
      <w:r>
        <w:rPr>
          <w:spacing w:val="-15"/>
        </w:rPr>
        <w:t>当前，慢性病已成为我国国民健康的“头号杀手”。其特点是持续时间长、病情变化多、</w:t>
      </w:r>
      <w:r>
        <w:rPr>
          <w:spacing w:val="-17"/>
        </w:rPr>
        <w:t>用药种类多，往往需要长期、全面、连续、主动的治疗药物管理。但要实现这样的有效管理， </w:t>
      </w:r>
      <w:r>
        <w:rPr/>
        <w:t>却有不少难关。</w:t>
      </w:r>
    </w:p>
    <w:p>
      <w:pPr>
        <w:pStyle w:val="BodyText"/>
        <w:spacing w:line="312" w:lineRule="auto" w:before="1"/>
        <w:ind w:right="107"/>
      </w:pPr>
      <w:r>
        <w:rPr>
          <w:spacing w:val="-16"/>
        </w:rPr>
        <w:t>首先是分段管理、能力不均。在大型医院，慢性病患者从入院药物重整、住院医嘱审核、</w:t>
      </w:r>
      <w:r>
        <w:rPr>
          <w:spacing w:val="-8"/>
        </w:rPr>
        <w:t>分级药学监护，再到出院用药指导，大部分有药师参与，确保用药疗效和安全，部分患者出院后还可以受到药师随访。可是，慢性病管理主要依靠基层，当前基层服务能力普遍不足，</w:t>
      </w:r>
    </w:p>
    <w:p>
      <w:pPr>
        <w:spacing w:after="0" w:line="312" w:lineRule="auto"/>
        <w:sectPr>
          <w:type w:val="continuous"/>
          <w:pgSz w:w="11910" w:h="16850"/>
          <w:pgMar w:top="1100" w:bottom="1020" w:left="1120" w:right="900"/>
        </w:sectPr>
      </w:pPr>
    </w:p>
    <w:p>
      <w:pPr>
        <w:pStyle w:val="BodyText"/>
        <w:spacing w:line="312" w:lineRule="auto" w:before="79"/>
        <w:ind w:right="227" w:firstLine="0"/>
      </w:pPr>
      <w:r>
        <w:rPr>
          <w:spacing w:val="-7"/>
        </w:rPr>
        <w:t>大多数基层医院还没开设药学门诊，药师基础薄弱，极少参与患者随访，未能充分发挥人力</w:t>
      </w:r>
      <w:r>
        <w:rPr/>
        <w:t>优势。</w:t>
      </w:r>
    </w:p>
    <w:p>
      <w:pPr>
        <w:pStyle w:val="BodyText"/>
        <w:spacing w:line="312" w:lineRule="auto"/>
        <w:ind w:right="232"/>
        <w:jc w:val="both"/>
      </w:pPr>
      <w:r>
        <w:rPr>
          <w:spacing w:val="-11"/>
        </w:rPr>
        <w:t>其次，传统随访手段效率低下。目前以电话、微信等形式为主，耗人耗时耗力，随访率</w:t>
      </w:r>
      <w:r>
        <w:rPr>
          <w:spacing w:val="-12"/>
        </w:rPr>
        <w:t>低，失访率高。因此，慢性病患者出院后用药管理往往不到位，主要表现在五个方面：服药</w:t>
      </w:r>
      <w:r>
        <w:rPr>
          <w:spacing w:val="-10"/>
        </w:rPr>
        <w:t>依从性差，疗效无法实时监控，不良反应无法实时反馈，医药患无法实时沟通，缺乏个性化</w:t>
      </w:r>
      <w:r>
        <w:rPr/>
        <w:t>用药指导。</w:t>
      </w:r>
    </w:p>
    <w:p>
      <w:pPr>
        <w:pStyle w:val="BodyText"/>
        <w:spacing w:line="312" w:lineRule="auto" w:before="2"/>
        <w:ind w:right="228"/>
        <w:jc w:val="both"/>
      </w:pPr>
      <w:r>
        <w:rPr>
          <w:spacing w:val="-11"/>
        </w:rPr>
        <w:t>那么，该如何有效管理出院慢性病患者的居家药物治疗呢？我们想到，出院慢性病患者</w:t>
      </w:r>
      <w:r>
        <w:rPr>
          <w:spacing w:val="-8"/>
        </w:rPr>
        <w:t>希望药物治疗能够控制病情，减少不良反应，避免反复返院，降低治疗费用，有问题能随时</w:t>
      </w:r>
      <w:r>
        <w:rPr>
          <w:spacing w:val="-9"/>
        </w:rPr>
        <w:t>与管理人员沟通，二者之间最灵活便捷的“沟通桥梁”，无疑就是慢病管理手机软件！借助</w:t>
      </w:r>
      <w:r>
        <w:rPr/>
        <w:t>专业手机软件，上下级医院药师既能远程管理患者，又能随时沟通联系，保证专业高效。</w:t>
      </w:r>
    </w:p>
    <w:p>
      <w:pPr>
        <w:pStyle w:val="BodyText"/>
        <w:spacing w:line="312" w:lineRule="auto"/>
        <w:ind w:right="227"/>
      </w:pPr>
      <w:r>
        <w:rPr>
          <w:spacing w:val="-10"/>
        </w:rPr>
        <w:t>由此，我们试着创新了管理理念，通过医联体上下级医院药师的通力合作，借助手机软</w:t>
      </w:r>
      <w:r>
        <w:rPr/>
        <w:t>件全程管理出院慢性病患者。</w:t>
      </w:r>
    </w:p>
    <w:p>
      <w:pPr>
        <w:pStyle w:val="Heading3"/>
        <w:spacing w:before="2"/>
      </w:pPr>
      <w:r>
        <w:rPr/>
        <w:t>破题：医行在线 上下共管</w:t>
      </w:r>
    </w:p>
    <w:p>
      <w:pPr>
        <w:pStyle w:val="BodyText"/>
        <w:spacing w:line="312" w:lineRule="auto" w:before="91"/>
        <w:ind w:right="226"/>
        <w:jc w:val="both"/>
      </w:pPr>
      <w:r>
        <w:rPr>
          <w:spacing w:val="-10"/>
        </w:rPr>
        <w:t>为解决上述问题，我院药学部自主研发了慢病管理手机软件——“医行”，针对患者出</w:t>
      </w:r>
      <w:r>
        <w:rPr>
          <w:spacing w:val="-8"/>
        </w:rPr>
        <w:t>院后五大用药问题，开发了相应管理功能，包括输入服药计划、按时提醒服药、记录服药情</w:t>
      </w:r>
      <w:r>
        <w:rPr>
          <w:spacing w:val="-11"/>
        </w:rPr>
        <w:t>况、反馈监测指标和不良反应、实时在线沟通和精准用药指导，并能自动建立患者电子档案库。对于基层药师，还增加了药学点滴、病例讨论等线上培训版块，既方便了他们利用碎片</w:t>
      </w:r>
      <w:r>
        <w:rPr/>
        <w:t>时间“充电”，又能打破时空限制，远程实时解决用药问题。</w:t>
      </w:r>
    </w:p>
    <w:p>
      <w:pPr>
        <w:pStyle w:val="BodyText"/>
        <w:spacing w:line="312" w:lineRule="auto" w:before="3"/>
        <w:ind w:right="227"/>
        <w:jc w:val="both"/>
      </w:pPr>
      <w:r>
        <w:rPr>
          <w:spacing w:val="-10"/>
        </w:rPr>
        <w:t>同时，我们牵头组建了医联体药师慢性病管理团队，以我院药师为核心，联合区域内县级医院、区属医院和社区卫生服务中心等基层药师组成，并制定了工作方案，重点保障开展</w:t>
      </w:r>
      <w:r>
        <w:rPr/>
        <w:t>慢性病居家用药管理。</w:t>
      </w:r>
    </w:p>
    <w:p>
      <w:pPr>
        <w:pStyle w:val="BodyText"/>
        <w:spacing w:line="312" w:lineRule="auto" w:before="1"/>
        <w:ind w:right="227"/>
        <w:jc w:val="both"/>
      </w:pPr>
      <w:r>
        <w:rPr>
          <w:spacing w:val="-8"/>
        </w:rPr>
        <w:t>为提升基层服务能力，我们采取了多种培训方式，线下进行培训班系统授课、下基层实</w:t>
      </w:r>
      <w:r>
        <w:rPr>
          <w:spacing w:val="-2"/>
        </w:rPr>
        <w:t>践指导，线上借助“医行”确保培训长期持续。目前已共享药学点滴 </w:t>
      </w:r>
      <w:r>
        <w:rPr/>
        <w:t>2290</w:t>
      </w:r>
      <w:r>
        <w:rPr>
          <w:spacing w:val="-20"/>
        </w:rPr>
        <w:t> 条，浏览 </w:t>
      </w:r>
      <w:r>
        <w:rPr/>
        <w:t>82749</w:t>
      </w:r>
    </w:p>
    <w:p>
      <w:pPr>
        <w:pStyle w:val="BodyText"/>
        <w:spacing w:line="307" w:lineRule="exact"/>
        <w:ind w:firstLine="0"/>
        <w:jc w:val="both"/>
      </w:pPr>
      <w:r>
        <w:rPr/>
        <w:t>人次，收录 61 个经典会诊案例，参与讨论 5975 人次。</w:t>
      </w:r>
    </w:p>
    <w:p>
      <w:pPr>
        <w:pStyle w:val="BodyText"/>
        <w:spacing w:line="312" w:lineRule="auto" w:before="94"/>
        <w:ind w:right="226"/>
        <w:jc w:val="both"/>
      </w:pPr>
      <w:r>
        <w:rPr>
          <w:spacing w:val="-9"/>
        </w:rPr>
        <w:t>经过反复探索与改进，团队最终形成了完善的出院慢性病患者全程管理模式：我院药师</w:t>
      </w:r>
      <w:r>
        <w:rPr>
          <w:spacing w:val="-6"/>
        </w:rPr>
        <w:t>为慢性病患者安装管理软件——“医行”并指导使用，出院时输入服药计划，并通过“医行</w:t>
      </w:r>
      <w:r>
        <w:rPr/>
        <w:t>在线”对接医联体内基层药师，由基层药师实时管理患者居家治疗。</w:t>
      </w:r>
    </w:p>
    <w:p>
      <w:pPr>
        <w:pStyle w:val="BodyText"/>
        <w:spacing w:line="312" w:lineRule="auto"/>
        <w:ind w:right="227"/>
        <w:jc w:val="both"/>
      </w:pPr>
      <w:r>
        <w:rPr>
          <w:spacing w:val="-7"/>
        </w:rPr>
        <w:t>慢病患者的用药管理，既需要药师尽心，更需要患者自己上心。为此，我们的整个管理</w:t>
      </w:r>
      <w:r>
        <w:rPr>
          <w:spacing w:val="-13"/>
        </w:rPr>
        <w:t>模式、软件设计，都特意强调患者的自我管理与药师的远程监管并行。比如，“医行”每日</w:t>
      </w:r>
      <w:r>
        <w:rPr>
          <w:spacing w:val="-9"/>
        </w:rPr>
        <w:t>按时响闹提醒服药，患者服药后记录，基层药师实时监控，若发现漏服及时主动在线沟通提</w:t>
      </w:r>
      <w:r>
        <w:rPr>
          <w:spacing w:val="-11"/>
        </w:rPr>
        <w:t>醒患者；患者自行记录血压、血糖等指标，“医行”自动生成趋势图，便于药师评估，基层</w:t>
      </w:r>
      <w:r>
        <w:rPr>
          <w:spacing w:val="-15"/>
        </w:rPr>
        <w:t>药师一旦发现指标异常，可及时在线指导。患者还能通过文字、语音、图片等多种形式直接</w:t>
      </w:r>
      <w:r>
        <w:rPr>
          <w:spacing w:val="-6"/>
        </w:rPr>
        <w:t>向药师反馈病情变化或药物不良反应，便于其及时处理。基层药师遇到难题，则可以在线咨</w:t>
      </w:r>
      <w:r>
        <w:rPr>
          <w:spacing w:val="-8"/>
        </w:rPr>
        <w:t>询上级医院药师。而我院的药师，能远程监控患者情况，发现问题联系基层药师处理。这种点对点的个体化管理、用药教育，既有针对性，还可以避免对其他患者的信息“轰炸”。</w:t>
      </w:r>
    </w:p>
    <w:p>
      <w:pPr>
        <w:pStyle w:val="Heading3"/>
        <w:spacing w:before="2"/>
        <w:jc w:val="both"/>
      </w:pPr>
      <w:r>
        <w:rPr/>
        <w:t>显效：跑腿少 管得好</w:t>
      </w:r>
    </w:p>
    <w:p>
      <w:pPr>
        <w:spacing w:after="0"/>
        <w:jc w:val="both"/>
        <w:sectPr>
          <w:pgSz w:w="11910" w:h="16850"/>
          <w:pgMar w:header="906" w:footer="607" w:top="1100" w:bottom="800" w:left="1120" w:right="900"/>
        </w:sectPr>
      </w:pPr>
    </w:p>
    <w:p>
      <w:pPr>
        <w:pStyle w:val="BodyText"/>
        <w:spacing w:line="312" w:lineRule="auto" w:before="79"/>
        <w:ind w:right="229"/>
      </w:pPr>
      <w:r>
        <w:rPr>
          <w:spacing w:val="-10"/>
        </w:rPr>
        <w:t>目前，我们团队已建立高血压、冠心病、瓣膜置换抗凝、慢性肾衰透析、器官移植、胃</w:t>
      </w:r>
      <w:r>
        <w:rPr/>
        <w:t>肠间质瘤等多个慢性病病种治疗药物管理体系，逐步探索全方位的患者出院后全程合理用药。</w:t>
      </w:r>
    </w:p>
    <w:p>
      <w:pPr>
        <w:pStyle w:val="BodyText"/>
        <w:spacing w:line="312" w:lineRule="auto" w:before="1"/>
        <w:ind w:right="231"/>
        <w:jc w:val="both"/>
      </w:pPr>
      <w:r>
        <w:rPr/>
        <w:t>我们抽查了部分管理患者进行评估。比如其中一个是：2017</w:t>
      </w:r>
      <w:r>
        <w:rPr>
          <w:spacing w:val="-40"/>
        </w:rPr>
        <w:t> 年 </w:t>
      </w:r>
      <w:r>
        <w:rPr/>
        <w:t>7</w:t>
      </w:r>
      <w:r>
        <w:rPr>
          <w:spacing w:val="-30"/>
        </w:rPr>
        <w:t> 月</w:t>
      </w:r>
      <w:r>
        <w:rPr/>
        <w:t>～2018</w:t>
      </w:r>
      <w:r>
        <w:rPr>
          <w:spacing w:val="-40"/>
        </w:rPr>
        <w:t> 年 </w:t>
      </w:r>
      <w:r>
        <w:rPr/>
        <w:t>3</w:t>
      </w:r>
      <w:r>
        <w:rPr>
          <w:spacing w:val="-15"/>
        </w:rPr>
        <w:t> 月，纳</w:t>
      </w:r>
      <w:r>
        <w:rPr>
          <w:spacing w:val="-20"/>
        </w:rPr>
        <w:t>入“医行”管理高血压患者 </w:t>
      </w:r>
      <w:r>
        <w:rPr/>
        <w:t>278</w:t>
      </w:r>
      <w:r>
        <w:rPr>
          <w:spacing w:val="-39"/>
        </w:rPr>
        <w:t> 例，未入组 </w:t>
      </w:r>
      <w:r>
        <w:rPr/>
        <w:t>278</w:t>
      </w:r>
      <w:r>
        <w:rPr>
          <w:spacing w:val="-13"/>
        </w:rPr>
        <w:t> 例,两组的疾病用药知识知晓率分别为 </w:t>
      </w:r>
      <w:r>
        <w:rPr>
          <w:spacing w:val="-3"/>
        </w:rPr>
        <w:t>81.2% </w:t>
      </w:r>
      <w:r>
        <w:rPr>
          <w:spacing w:val="-31"/>
        </w:rPr>
        <w:t>和 </w:t>
      </w:r>
      <w:r>
        <w:rPr/>
        <w:t>42.6</w:t>
      </w:r>
      <w:r>
        <w:rPr>
          <w:spacing w:val="-6"/>
        </w:rPr>
        <w:t>%，血压达标率分别为 </w:t>
      </w:r>
      <w:r>
        <w:rPr/>
        <w:t>79.2%</w:t>
      </w:r>
      <w:r>
        <w:rPr>
          <w:spacing w:val="-30"/>
        </w:rPr>
        <w:t>与 </w:t>
      </w:r>
      <w:r>
        <w:rPr/>
        <w:t>45.6%。</w:t>
      </w:r>
    </w:p>
    <w:p>
      <w:pPr>
        <w:pStyle w:val="BodyText"/>
        <w:spacing w:line="312" w:lineRule="auto" w:before="1"/>
        <w:ind w:right="127"/>
      </w:pPr>
      <w:r>
        <w:rPr/>
        <w:t>来看一个实例。家住惠东县的老赵，2017</w:t>
      </w:r>
      <w:r>
        <w:rPr>
          <w:spacing w:val="-40"/>
        </w:rPr>
        <w:t> 年 </w:t>
      </w:r>
      <w:r>
        <w:rPr/>
        <w:t>12</w:t>
      </w:r>
      <w:r>
        <w:rPr>
          <w:spacing w:val="-8"/>
        </w:rPr>
        <w:t> 月在我院确诊为“腹腔胃肠间质瘤”， 需要长期口服伊马替尼。2018</w:t>
      </w:r>
      <w:r>
        <w:rPr>
          <w:spacing w:val="-40"/>
        </w:rPr>
        <w:t> 年 </w:t>
      </w:r>
      <w:r>
        <w:rPr/>
        <w:t>1</w:t>
      </w:r>
      <w:r>
        <w:rPr>
          <w:spacing w:val="-8"/>
        </w:rPr>
        <w:t> 月，老赵在家出现明显恶心、呕吐，在线反馈给当地药</w:t>
      </w:r>
      <w:r>
        <w:rPr>
          <w:spacing w:val="-9"/>
        </w:rPr>
        <w:t>师。当地药师判定为伊马替尼所致，但不确定该停药还是减量，立即在线咨询了我院药师。</w:t>
      </w:r>
      <w:r>
        <w:rPr>
          <w:spacing w:val="-5"/>
        </w:rPr>
        <w:t>我们建议患者在当地抽血寄至我院检测血药浓度，结果经我们多次指导调整，终于确定了合</w:t>
      </w:r>
      <w:r>
        <w:rPr>
          <w:spacing w:val="-6"/>
        </w:rPr>
        <w:t>适剂量，缓解了不良反应，保证了治疗效果，还避免了奔波往返我院，减少了差旅等费用。</w:t>
      </w:r>
    </w:p>
    <w:p>
      <w:pPr>
        <w:pStyle w:val="BodyText"/>
        <w:spacing w:line="312" w:lineRule="auto" w:before="1"/>
        <w:ind w:right="230"/>
      </w:pPr>
      <w:r>
        <w:rPr>
          <w:spacing w:val="-6"/>
        </w:rPr>
        <w:t>让患者足不出户即可享受远程优质药学服务的初衷，变成了现实。如今，我们把这套慢</w:t>
      </w:r>
      <w:r>
        <w:rPr>
          <w:spacing w:val="-5"/>
        </w:rPr>
        <w:t>病管理软件免费共享，已有 </w:t>
      </w:r>
      <w:r>
        <w:rPr/>
        <w:t>12</w:t>
      </w:r>
      <w:r>
        <w:rPr>
          <w:spacing w:val="-8"/>
        </w:rPr>
        <w:t> 省数千名的药师和患者正在使用，得到了广泛好评。</w:t>
      </w:r>
    </w:p>
    <w:p>
      <w:pPr>
        <w:spacing w:line="419" w:lineRule="exact" w:before="0"/>
        <w:ind w:left="637" w:right="0" w:firstLine="0"/>
        <w:jc w:val="left"/>
        <w:rPr>
          <w:rFonts w:ascii="Meiryo" w:eastAsia="Meiryo" w:hint="eastAsia"/>
          <w:b/>
          <w:sz w:val="24"/>
        </w:rPr>
      </w:pPr>
      <w:r>
        <w:rPr>
          <w:sz w:val="24"/>
        </w:rPr>
        <w:t>作者：中山大学附属第一医院药学部主任 陈孝</w:t>
      </w:r>
      <w:r>
        <w:rPr>
          <w:rFonts w:ascii="Meiryo" w:eastAsia="Meiryo" w:hint="eastAsia"/>
          <w:b/>
          <w:color w:val="0033CC"/>
          <w:sz w:val="24"/>
        </w:rPr>
        <w:t>[返回目次]</w:t>
      </w:r>
    </w:p>
    <w:p>
      <w:pPr>
        <w:pStyle w:val="Heading2"/>
        <w:spacing w:before="213"/>
        <w:ind w:left="157"/>
      </w:pPr>
      <w:bookmarkStart w:name="_TOC_250006" w:id="26"/>
      <w:bookmarkEnd w:id="26"/>
      <w:r>
        <w:rPr/>
        <w:t>【药师风采】</w:t>
      </w:r>
    </w:p>
    <w:p>
      <w:pPr>
        <w:pStyle w:val="BodyText"/>
        <w:spacing w:before="7"/>
        <w:ind w:left="0" w:firstLine="0"/>
        <w:rPr>
          <w:b/>
          <w:sz w:val="22"/>
        </w:rPr>
      </w:pPr>
    </w:p>
    <w:p>
      <w:pPr>
        <w:pStyle w:val="Heading2"/>
        <w:ind w:right="229"/>
        <w:jc w:val="center"/>
      </w:pPr>
      <w:bookmarkStart w:name="_TOC_250005" w:id="27"/>
      <w:bookmarkEnd w:id="27"/>
      <w:r>
        <w:rPr/>
        <w:t>中国人民解放军第二一〇医院——王晓波</w:t>
      </w:r>
    </w:p>
    <w:p>
      <w:pPr>
        <w:pStyle w:val="Heading3"/>
        <w:spacing w:before="140"/>
        <w:ind w:left="160" w:right="235"/>
        <w:jc w:val="center"/>
        <w:rPr>
          <w:rFonts w:ascii="楷体" w:eastAsia="楷体" w:hint="eastAsia"/>
        </w:rPr>
      </w:pPr>
      <w:r>
        <w:rPr>
          <w:rFonts w:ascii="楷体" w:eastAsia="楷体" w:hint="eastAsia"/>
        </w:rPr>
        <w:t>励志寄语：伟大的行程始于足下，追求事业的脚步永不停歇。</w:t>
      </w:r>
    </w:p>
    <w:p>
      <w:pPr>
        <w:pStyle w:val="BodyText"/>
        <w:spacing w:line="297" w:lineRule="auto" w:before="70"/>
        <w:ind w:right="226"/>
        <w:jc w:val="both"/>
      </w:pPr>
      <w:r>
        <w:rPr>
          <w:spacing w:val="-9"/>
        </w:rPr>
        <w:t>王晓波，现任中国人民解放军第二一〇医院沈阳军区药物研究所所长，主任药师，硕士</w:t>
      </w:r>
      <w:r>
        <w:rPr>
          <w:spacing w:val="-10"/>
        </w:rPr>
        <w:t>生导师，曾担任医院药剂科主任、医疗副院长、院长，沈阳军区药物研究所所长，临床药物</w:t>
      </w:r>
      <w:r>
        <w:rPr>
          <w:spacing w:val="-12"/>
        </w:rPr>
        <w:t>试验机构主任，国家临床药学中心重点专科主任，从事药学工作 </w:t>
      </w:r>
      <w:r>
        <w:rPr/>
        <w:t>33</w:t>
      </w:r>
      <w:r>
        <w:rPr>
          <w:spacing w:val="-20"/>
        </w:rPr>
        <w:t> 年。</w:t>
      </w:r>
    </w:p>
    <w:p>
      <w:pPr>
        <w:pStyle w:val="BodyText"/>
        <w:spacing w:line="297" w:lineRule="auto"/>
        <w:ind w:right="110"/>
      </w:pPr>
      <w:r>
        <w:rPr/>
        <w:t>在临床药物治疗方面取得许多成绩，是“PASS</w:t>
      </w:r>
      <w:r>
        <w:rPr>
          <w:spacing w:val="-8"/>
        </w:rPr>
        <w:t> 合理用药自动监测系统”的设计者和主</w:t>
      </w:r>
      <w:r>
        <w:rPr>
          <w:spacing w:val="-12"/>
        </w:rPr>
        <w:t>要研究者，该系统已在全国范围内展开广泛应用。作为主要研究者研制的复方黄黛片被称为</w:t>
      </w:r>
      <w:r>
        <w:rPr>
          <w:spacing w:val="-21"/>
        </w:rPr>
        <w:t>治疗白血病中药复方制剂的典范，在国内外引起很大反响，达到国内领先水平。在临床药学， </w:t>
      </w:r>
      <w:r>
        <w:rPr/>
        <w:t>药剂学，天然药物化学及白血病临床治疗方面有较大贡献。</w:t>
      </w:r>
    </w:p>
    <w:p>
      <w:pPr>
        <w:pStyle w:val="BodyText"/>
        <w:spacing w:line="302" w:lineRule="exact"/>
        <w:ind w:left="637" w:firstLine="0"/>
      </w:pPr>
      <w:r>
        <w:rPr/>
        <w:t>作为临床药学学科带头人和主要负责人，带领科室 2001 年获批成为全军临床药理基地</w:t>
      </w:r>
    </w:p>
    <w:p>
      <w:pPr>
        <w:pStyle w:val="BodyText"/>
        <w:spacing w:line="297" w:lineRule="auto" w:before="70"/>
        <w:ind w:right="227" w:firstLine="0"/>
        <w:jc w:val="both"/>
      </w:pPr>
      <w:r>
        <w:rPr/>
        <w:t>（原沈阳军区临床药学中心），2004</w:t>
      </w:r>
      <w:r>
        <w:rPr>
          <w:spacing w:val="-8"/>
        </w:rPr>
        <w:t> 年获批成为军队临床药师培训基地，</w:t>
      </w:r>
      <w:r>
        <w:rPr/>
        <w:t>2005</w:t>
      </w:r>
      <w:r>
        <w:rPr>
          <w:spacing w:val="-10"/>
        </w:rPr>
        <w:t> 年获批成为国家药物临床试验机构，2013</w:t>
      </w:r>
      <w:r>
        <w:rPr>
          <w:spacing w:val="-8"/>
        </w:rPr>
        <w:t> 年获批成为国家博士后科研工作站</w:t>
      </w:r>
      <w:r>
        <w:rPr/>
        <w:t>，2016</w:t>
      </w:r>
      <w:r>
        <w:rPr>
          <w:spacing w:val="-8"/>
        </w:rPr>
        <w:t> 年获国家临床药学</w:t>
      </w:r>
      <w:r>
        <w:rPr>
          <w:spacing w:val="-13"/>
        </w:rPr>
        <w:t>重点专科。担任医院博士后工作站博士后合作导师，沈阳药科大学等高校硕士生导师。累计</w:t>
      </w:r>
      <w:r>
        <w:rPr>
          <w:spacing w:val="-8"/>
        </w:rPr>
        <w:t>培养硕士研究生 </w:t>
      </w:r>
      <w:r>
        <w:rPr/>
        <w:t>31</w:t>
      </w:r>
      <w:r>
        <w:rPr>
          <w:spacing w:val="-20"/>
        </w:rPr>
        <w:t> 人，博士 </w:t>
      </w:r>
      <w:r>
        <w:rPr/>
        <w:t>3</w:t>
      </w:r>
      <w:r>
        <w:rPr>
          <w:spacing w:val="-18"/>
        </w:rPr>
        <w:t> 人，博士后 </w:t>
      </w:r>
      <w:r>
        <w:rPr/>
        <w:t>14</w:t>
      </w:r>
      <w:r>
        <w:rPr>
          <w:spacing w:val="-20"/>
        </w:rPr>
        <w:t> 人。</w:t>
      </w:r>
    </w:p>
    <w:p>
      <w:pPr>
        <w:pStyle w:val="BodyText"/>
        <w:spacing w:line="301" w:lineRule="exact"/>
        <w:ind w:left="637" w:firstLine="0"/>
        <w:jc w:val="both"/>
      </w:pPr>
      <w:r>
        <w:rPr/>
        <w:t>先后有 34 项研究成果获军地科技进步奖，其中国家科学技术进步奖二等奖 1 项，辽宁</w:t>
      </w:r>
    </w:p>
    <w:p>
      <w:pPr>
        <w:pStyle w:val="BodyText"/>
        <w:spacing w:line="297" w:lineRule="auto" w:before="72"/>
        <w:ind w:right="125" w:firstLine="0"/>
      </w:pPr>
      <w:r>
        <w:rPr>
          <w:spacing w:val="-5"/>
        </w:rPr>
        <w:t>省政府科学技术奖一等奖 </w:t>
      </w:r>
      <w:r>
        <w:rPr/>
        <w:t>2</w:t>
      </w:r>
      <w:r>
        <w:rPr>
          <w:spacing w:val="-15"/>
        </w:rPr>
        <w:t> 项，获得军队科学技术进步二等奖 </w:t>
      </w:r>
      <w:r>
        <w:rPr/>
        <w:t>6</w:t>
      </w:r>
      <w:r>
        <w:rPr>
          <w:spacing w:val="-12"/>
        </w:rPr>
        <w:t> 项。目前承担国家重大新药</w:t>
      </w:r>
      <w:r>
        <w:rPr>
          <w:spacing w:val="-13"/>
        </w:rPr>
        <w:t>创制项目、国家自然科学基金、全军“十二五”重大攻关课题、中国药学会孙思邈中医药科</w:t>
      </w:r>
      <w:r>
        <w:rPr>
          <w:spacing w:val="-17"/>
        </w:rPr>
        <w:t>研专项、辽宁省自然科学基金 </w:t>
      </w:r>
      <w:r>
        <w:rPr/>
        <w:t>5</w:t>
      </w:r>
      <w:r>
        <w:rPr>
          <w:spacing w:val="-24"/>
        </w:rPr>
        <w:t> 项。在 </w:t>
      </w:r>
      <w:r>
        <w:rPr/>
        <w:t>SCI</w:t>
      </w:r>
      <w:r>
        <w:rPr>
          <w:spacing w:val="-12"/>
        </w:rPr>
        <w:t> 及核心期刊发表学术论文 </w:t>
      </w:r>
      <w:r>
        <w:rPr/>
        <w:t>200</w:t>
      </w:r>
      <w:r>
        <w:rPr>
          <w:spacing w:val="-9"/>
        </w:rPr>
        <w:t> 余篇，完成国家、</w:t>
      </w:r>
      <w:r>
        <w:rPr>
          <w:spacing w:val="-8"/>
        </w:rPr>
        <w:t>军队专项课题等 </w:t>
      </w:r>
      <w:r>
        <w:rPr/>
        <w:t>20</w:t>
      </w:r>
      <w:r>
        <w:rPr>
          <w:spacing w:val="-14"/>
        </w:rPr>
        <w:t> 余项。获新药证书 </w:t>
      </w:r>
      <w:r>
        <w:rPr/>
        <w:t>3</w:t>
      </w:r>
      <w:r>
        <w:rPr>
          <w:spacing w:val="-20"/>
        </w:rPr>
        <w:t> 个，专利 </w:t>
      </w:r>
      <w:r>
        <w:rPr/>
        <w:t>6</w:t>
      </w:r>
      <w:r>
        <w:rPr>
          <w:spacing w:val="-14"/>
        </w:rPr>
        <w:t> 项，主编学术专著 </w:t>
      </w:r>
      <w:r>
        <w:rPr/>
        <w:t>26</w:t>
      </w:r>
      <w:r>
        <w:rPr>
          <w:spacing w:val="-20"/>
        </w:rPr>
        <w:t> 部。</w:t>
      </w:r>
    </w:p>
    <w:p>
      <w:pPr>
        <w:pStyle w:val="BodyText"/>
        <w:spacing w:line="295" w:lineRule="auto"/>
        <w:ind w:right="112"/>
      </w:pPr>
      <w:r>
        <w:rPr>
          <w:spacing w:val="-15"/>
        </w:rPr>
        <w:t>先后获全国“优秀科技工作者”荣誉称号，全军“高层次创新人才培养工程”拔尖人才， </w:t>
      </w:r>
      <w:r>
        <w:rPr>
          <w:spacing w:val="-11"/>
        </w:rPr>
        <w:t>全军“爱军精武标兵”，中国人民解放军杰出专业技术人才奖，全军“军队医学科技先进个</w:t>
      </w:r>
    </w:p>
    <w:p>
      <w:pPr>
        <w:spacing w:after="0" w:line="295" w:lineRule="auto"/>
        <w:sectPr>
          <w:pgSz w:w="11910" w:h="16850"/>
          <w:pgMar w:header="906" w:footer="607" w:top="1100" w:bottom="800" w:left="1120" w:right="900"/>
        </w:sectPr>
      </w:pPr>
    </w:p>
    <w:p>
      <w:pPr>
        <w:pStyle w:val="BodyText"/>
        <w:spacing w:line="297" w:lineRule="auto" w:before="65"/>
        <w:ind w:right="112" w:firstLine="0"/>
      </w:pPr>
      <w:r>
        <w:rPr>
          <w:spacing w:val="-11"/>
        </w:rPr>
        <w:t>人”，全军“优秀共产党员”，中国药学会青年科技奖、杰出新秀奖，辽宁省首届青年科技</w:t>
      </w:r>
      <w:r>
        <w:rPr>
          <w:spacing w:val="-12"/>
        </w:rPr>
        <w:t>奖，辽宁省优秀科技工作者，享受国务院政府特殊津贴及军队优秀专业技术人才一类岗位津</w:t>
      </w:r>
      <w:r>
        <w:rPr>
          <w:spacing w:val="-15"/>
        </w:rPr>
        <w:t>贴，被沈阳军区树为“军中良剑”，荣获全国“优秀医院院长”，辽宁省“优秀医院院长”。</w:t>
      </w:r>
      <w:r>
        <w:rPr/>
        <w:t>先后荣立一等功一次、三等功七次。</w:t>
      </w:r>
    </w:p>
    <w:p>
      <w:pPr>
        <w:pStyle w:val="BodyText"/>
        <w:spacing w:line="297" w:lineRule="auto"/>
        <w:ind w:right="228"/>
        <w:jc w:val="both"/>
      </w:pPr>
      <w:r>
        <w:rPr/>
        <w:t>兼任国际药学联合会（FIP）军事与急救委员会委员，亚洲科学编辑委员会（ACSE）委</w:t>
      </w:r>
      <w:r>
        <w:rPr>
          <w:spacing w:val="-11"/>
        </w:rPr>
        <w:t>员、中国药学会理事、军事药学专业委员会副主任委员，中国医药教育协会副会长、全军药</w:t>
      </w:r>
      <w:r>
        <w:rPr>
          <w:spacing w:val="-8"/>
        </w:rPr>
        <w:t>学专业委员会副主任委员、生化与生物技术分委会主任委员，全军医学计量科学技术委员会</w:t>
      </w:r>
      <w:r>
        <w:rPr/>
        <w:t>常务委员，大连药学会常务副理事长，Neural Regeneration Research（NRR）编委、《解</w:t>
      </w:r>
    </w:p>
    <w:p>
      <w:pPr>
        <w:spacing w:line="413" w:lineRule="exact" w:before="0"/>
        <w:ind w:left="157" w:right="0" w:firstLine="0"/>
        <w:jc w:val="left"/>
        <w:rPr>
          <w:rFonts w:ascii="Meiryo" w:eastAsia="Meiryo" w:hint="eastAsia"/>
          <w:b/>
          <w:sz w:val="24"/>
        </w:rPr>
      </w:pPr>
      <w:r>
        <w:rPr>
          <w:sz w:val="24"/>
        </w:rPr>
        <w:t>放军药学学报》副主编等职。</w:t>
      </w:r>
      <w:r>
        <w:rPr>
          <w:rFonts w:ascii="Meiryo" w:eastAsia="Meiryo" w:hint="eastAsia"/>
          <w:b/>
          <w:color w:val="0033CC"/>
          <w:sz w:val="24"/>
        </w:rPr>
        <w:t>[返回目次]</w:t>
      </w:r>
    </w:p>
    <w:p>
      <w:pPr>
        <w:pStyle w:val="Heading2"/>
        <w:spacing w:before="189"/>
        <w:ind w:right="231"/>
        <w:jc w:val="center"/>
      </w:pPr>
      <w:bookmarkStart w:name="_TOC_250004" w:id="28"/>
      <w:bookmarkEnd w:id="28"/>
      <w:r>
        <w:rPr/>
        <w:t>宁波市妇女儿童医院——陈漪</w:t>
      </w:r>
    </w:p>
    <w:p>
      <w:pPr>
        <w:pStyle w:val="Heading3"/>
        <w:spacing w:before="140"/>
        <w:ind w:left="160" w:right="238"/>
        <w:jc w:val="center"/>
        <w:rPr>
          <w:rFonts w:ascii="楷体" w:eastAsia="楷体" w:hint="eastAsia"/>
        </w:rPr>
      </w:pPr>
      <w:r>
        <w:rPr>
          <w:rFonts w:ascii="楷体" w:eastAsia="楷体" w:hint="eastAsia"/>
        </w:rPr>
        <w:t>励志寄语：保障患者用药安全、有效、经济，不忘初心继续努力！</w:t>
      </w:r>
    </w:p>
    <w:p>
      <w:pPr>
        <w:pStyle w:val="BodyText"/>
        <w:spacing w:line="297" w:lineRule="auto" w:before="69"/>
        <w:ind w:right="226"/>
        <w:jc w:val="both"/>
      </w:pPr>
      <w:r>
        <w:rPr>
          <w:spacing w:val="-10"/>
        </w:rPr>
        <w:t>陈漪，现任宁波市妇女儿童医院药剂科主任，兼医务科药事安全管理办公室主任，主任</w:t>
      </w:r>
      <w:r>
        <w:rPr>
          <w:spacing w:val="-7"/>
        </w:rPr>
        <w:t>药师，从事药学工作 </w:t>
      </w:r>
      <w:r>
        <w:rPr/>
        <w:t>30</w:t>
      </w:r>
      <w:r>
        <w:rPr>
          <w:spacing w:val="-8"/>
        </w:rPr>
        <w:t> 年，具有扎实的专业基础理论、丰富的专业技术实践经验以及较强</w:t>
      </w:r>
      <w:r>
        <w:rPr>
          <w:spacing w:val="-13"/>
        </w:rPr>
        <w:t>的管理工作能力，爱岗敬业，乐于奉献，在医院药学服务、药事管理、人才培养等方面做出显著成绩。</w:t>
      </w:r>
    </w:p>
    <w:p>
      <w:pPr>
        <w:pStyle w:val="BodyText"/>
        <w:spacing w:line="297" w:lineRule="auto"/>
        <w:ind w:right="127"/>
      </w:pPr>
      <w:r>
        <w:rPr>
          <w:spacing w:val="-7"/>
        </w:rPr>
        <w:t>加强科室规范化建设，完善科室管理体系，坚持以人为本，注重管理创新，重视学科建</w:t>
      </w:r>
      <w:r>
        <w:rPr>
          <w:spacing w:val="-8"/>
        </w:rPr>
        <w:t>设和药学人员梯队建设。在医院的药事管理工作、临床药师队伍建设、静脉用药调配中心、</w:t>
      </w:r>
      <w:r>
        <w:rPr/>
        <w:t>抗菌药物的合理使用、药房信息化建设等方面不断持续改进，取得较好成效。</w:t>
      </w:r>
    </w:p>
    <w:p>
      <w:pPr>
        <w:pStyle w:val="BodyText"/>
        <w:spacing w:line="297" w:lineRule="auto"/>
        <w:ind w:right="229"/>
        <w:jc w:val="both"/>
      </w:pPr>
      <w:r>
        <w:rPr>
          <w:spacing w:val="-9"/>
        </w:rPr>
        <w:t>药剂科团队获 </w:t>
      </w:r>
      <w:r>
        <w:rPr/>
        <w:t>2010</w:t>
      </w:r>
      <w:r>
        <w:rPr>
          <w:spacing w:val="-8"/>
        </w:rPr>
        <w:t> 年浙江省医院质量管理论坛暨品管圈成果推广会最佳才艺奖，</w:t>
      </w:r>
      <w:r>
        <w:rPr/>
        <w:t>2010 年度浙江省医院药事品质管理优秀奖，2011</w:t>
      </w:r>
      <w:r>
        <w:rPr>
          <w:spacing w:val="-8"/>
        </w:rPr>
        <w:t> 年宁波市医院药事管理质控中心医院综合管理奖，2015 年浙江省药事质控中心“医院处方管理优秀奖”，</w:t>
      </w:r>
      <w:r>
        <w:rPr/>
        <w:t>2016</w:t>
      </w:r>
      <w:r>
        <w:rPr>
          <w:spacing w:val="-8"/>
        </w:rPr>
        <w:t> 年浙江省药学会医院药学</w:t>
      </w:r>
      <w:r>
        <w:rPr>
          <w:spacing w:val="-12"/>
        </w:rPr>
        <w:t>专业委员会“医院好药师”患者教育视频大赛最佳人气奖，</w:t>
      </w:r>
      <w:r>
        <w:rPr>
          <w:spacing w:val="-8"/>
        </w:rPr>
        <w:t>2017</w:t>
      </w:r>
      <w:r>
        <w:rPr>
          <w:spacing w:val="-12"/>
        </w:rPr>
        <w:t> 年浙江省药事质控中心“药</w:t>
      </w:r>
      <w:r>
        <w:rPr>
          <w:spacing w:val="-10"/>
        </w:rPr>
        <w:t>事信息管理优秀奖”。多名药师在历届浙江省医院药学岗位技能竞赛中荣获个人一等奖、二</w:t>
      </w:r>
      <w:r>
        <w:rPr/>
        <w:t>等奖等。</w:t>
      </w:r>
    </w:p>
    <w:p>
      <w:pPr>
        <w:pStyle w:val="BodyText"/>
        <w:spacing w:line="300" w:lineRule="exact"/>
        <w:ind w:left="637" w:firstLine="0"/>
        <w:jc w:val="both"/>
      </w:pPr>
      <w:r>
        <w:rPr/>
        <w:t>先后在国家级及省级刊物发表学术论文 10 多篇，参与省市级课题多项。参与的课题获</w:t>
      </w:r>
    </w:p>
    <w:p>
      <w:pPr>
        <w:pStyle w:val="BodyText"/>
        <w:spacing w:line="295" w:lineRule="auto" w:before="65"/>
        <w:ind w:right="228" w:firstLine="0"/>
        <w:jc w:val="both"/>
      </w:pPr>
      <w:r>
        <w:rPr>
          <w:spacing w:val="-10"/>
        </w:rPr>
        <w:t>“浙江省医药卫生科技创新奖”二等奖，荣获 </w:t>
      </w:r>
      <w:r>
        <w:rPr/>
        <w:t>2011</w:t>
      </w:r>
      <w:r>
        <w:rPr>
          <w:spacing w:val="-9"/>
        </w:rPr>
        <w:t> 年浙江省药学会“华东-千红杯”优秀医</w:t>
      </w:r>
      <w:r>
        <w:rPr/>
        <w:t>院药师称号，2014</w:t>
      </w:r>
      <w:r>
        <w:rPr>
          <w:spacing w:val="-8"/>
        </w:rPr>
        <w:t> 年宁波市药品行业德技双馨“优秀药师”，</w:t>
      </w:r>
      <w:r>
        <w:rPr/>
        <w:t>2015</w:t>
      </w:r>
      <w:r>
        <w:rPr>
          <w:spacing w:val="-8"/>
        </w:rPr>
        <w:t> 年宁波市药学会“优秀药师”。</w:t>
      </w:r>
    </w:p>
    <w:p>
      <w:pPr>
        <w:pStyle w:val="BodyText"/>
        <w:spacing w:line="278" w:lineRule="auto" w:before="5"/>
        <w:ind w:right="227"/>
        <w:jc w:val="both"/>
        <w:rPr>
          <w:rFonts w:ascii="Meiryo" w:eastAsia="Meiryo" w:hint="eastAsia"/>
          <w:b/>
        </w:rPr>
      </w:pPr>
      <w:r>
        <w:rPr>
          <w:spacing w:val="-5"/>
        </w:rPr>
        <w:t>兼任中国药学会医院药学专业委员会妇产科药学学组委员，浙江省药学会医院药学专业</w:t>
      </w:r>
      <w:r>
        <w:rPr>
          <w:spacing w:val="-8"/>
        </w:rPr>
        <w:t>委员会妇儿药学学组委员，宁波市医学会临床药学分会副主任委员，宁波市药学会医院药学</w:t>
      </w:r>
      <w:r>
        <w:rPr/>
        <w:t>专业委员会委员。</w:t>
      </w:r>
      <w:r>
        <w:rPr>
          <w:rFonts w:ascii="Meiryo" w:eastAsia="Meiryo" w:hint="eastAsia"/>
          <w:b/>
          <w:color w:val="0033CC"/>
        </w:rPr>
        <w:t>[返回目次]</w:t>
      </w:r>
    </w:p>
    <w:p>
      <w:pPr>
        <w:pStyle w:val="Heading2"/>
        <w:spacing w:before="119"/>
        <w:ind w:right="231"/>
        <w:jc w:val="center"/>
      </w:pPr>
      <w:bookmarkStart w:name="_TOC_250003" w:id="29"/>
      <w:bookmarkEnd w:id="29"/>
      <w:r>
        <w:rPr/>
        <w:t>厦门市儿童医院——吴秀萍</w:t>
      </w:r>
    </w:p>
    <w:p>
      <w:pPr>
        <w:pStyle w:val="Heading3"/>
        <w:spacing w:before="141"/>
        <w:ind w:left="160" w:right="238"/>
        <w:jc w:val="center"/>
        <w:rPr>
          <w:rFonts w:ascii="楷体" w:hAnsi="楷体" w:eastAsia="楷体" w:hint="eastAsia"/>
        </w:rPr>
      </w:pPr>
      <w:r>
        <w:rPr>
          <w:rFonts w:ascii="楷体" w:hAnsi="楷体" w:eastAsia="楷体" w:hint="eastAsia"/>
        </w:rPr>
        <w:t>励志寄语：以绵薄之力，尽自己所能，为“合理用药”添砖加瓦！</w:t>
      </w:r>
    </w:p>
    <w:p>
      <w:pPr>
        <w:pStyle w:val="BodyText"/>
        <w:spacing w:line="297" w:lineRule="auto" w:before="69"/>
        <w:ind w:right="229"/>
        <w:jc w:val="both"/>
      </w:pPr>
      <w:r>
        <w:rPr>
          <w:spacing w:val="-11"/>
        </w:rPr>
        <w:t>吴秀萍，现任厦门市儿童医院药学部副主任，主任药师，医院药事管理和药物治疗学委</w:t>
      </w:r>
      <w:r>
        <w:rPr>
          <w:spacing w:val="-5"/>
        </w:rPr>
        <w:t>员会副主任委员，从事药学工作 </w:t>
      </w:r>
      <w:r>
        <w:rPr/>
        <w:t>28</w:t>
      </w:r>
      <w:r>
        <w:rPr>
          <w:spacing w:val="-8"/>
        </w:rPr>
        <w:t> 年。从事并全面掌握医院药学中药品采购，调剂，临床药学，药事管理等各项工作，是原湖里医院药品不良反应监测工作的开拓实施和推动者。</w:t>
      </w:r>
    </w:p>
    <w:p>
      <w:pPr>
        <w:spacing w:after="0" w:line="297" w:lineRule="auto"/>
        <w:jc w:val="both"/>
        <w:sectPr>
          <w:pgSz w:w="11910" w:h="16850"/>
          <w:pgMar w:header="906" w:footer="607" w:top="1100" w:bottom="800" w:left="1120" w:right="900"/>
        </w:sectPr>
      </w:pPr>
    </w:p>
    <w:p>
      <w:pPr>
        <w:pStyle w:val="BodyText"/>
        <w:spacing w:line="295" w:lineRule="auto" w:before="65"/>
        <w:ind w:right="227"/>
        <w:jc w:val="both"/>
      </w:pPr>
      <w:r>
        <w:rPr>
          <w:spacing w:val="-7"/>
        </w:rPr>
        <w:t>厦门市儿童医院于 </w:t>
      </w:r>
      <w:r>
        <w:rPr/>
        <w:t>2014</w:t>
      </w:r>
      <w:r>
        <w:rPr>
          <w:spacing w:val="-40"/>
        </w:rPr>
        <w:t> 年 </w:t>
      </w:r>
      <w:r>
        <w:rPr/>
        <w:t>6</w:t>
      </w:r>
      <w:r>
        <w:rPr>
          <w:spacing w:val="-40"/>
        </w:rPr>
        <w:t> 月 </w:t>
      </w:r>
      <w:r>
        <w:rPr/>
        <w:t>1</w:t>
      </w:r>
      <w:r>
        <w:rPr>
          <w:spacing w:val="-8"/>
        </w:rPr>
        <w:t> 日开业，作为医院首批建设者，承担药学部各项工作</w:t>
      </w:r>
      <w:r>
        <w:rPr>
          <w:spacing w:val="-12"/>
        </w:rPr>
        <w:t>的筹备，根据药事管理相关规范要求，制定切实可行的工作制度、操作规程和岗位职责，并</w:t>
      </w:r>
      <w:r>
        <w:rPr>
          <w:spacing w:val="-13"/>
        </w:rPr>
        <w:t>不断完善。建院之初，临床医生用药习惯各异，用药行为有待规范和统一，药学部将处方点</w:t>
      </w:r>
      <w:r>
        <w:rPr>
          <w:spacing w:val="-8"/>
        </w:rPr>
        <w:t>评作为科室工作重点，将点评结果纳入医院药事质控考核，每月定期发布药事质控月报。积</w:t>
      </w:r>
      <w:r>
        <w:rPr>
          <w:spacing w:val="-6"/>
        </w:rPr>
        <w:t>极配合医务部有针对性地在全院举办多场专项培训，经过多项举措，不合理用药状况得到明</w:t>
      </w:r>
      <w:r>
        <w:rPr/>
        <w:t>显改观，2014</w:t>
      </w:r>
      <w:r>
        <w:rPr>
          <w:spacing w:val="-8"/>
        </w:rPr>
        <w:t> 年被单位授予“医院建设特别贡献奖”。</w:t>
      </w:r>
    </w:p>
    <w:p>
      <w:pPr>
        <w:pStyle w:val="BodyText"/>
        <w:spacing w:line="297" w:lineRule="auto" w:before="11"/>
        <w:ind w:right="227"/>
      </w:pPr>
      <w:r>
        <w:rPr>
          <w:spacing w:val="-10"/>
        </w:rPr>
        <w:t>秉持“一切为了孩子”的服务理念，为提高患儿家属满意度，提升药事服务质量，药学</w:t>
      </w:r>
      <w:r>
        <w:rPr>
          <w:spacing w:val="-13"/>
        </w:rPr>
        <w:t>部积极投入到“青年文明号”的创建中。作为科室负责人，带领科室青年团队紧紧围绕“创</w:t>
      </w:r>
      <w:r>
        <w:rPr>
          <w:spacing w:val="-14"/>
        </w:rPr>
        <w:t>优质服务，建温馨药房”的创建宗旨开展窗口微笑服务、安全用药宣传、“结对帮扶、志愿</w:t>
      </w:r>
      <w:r>
        <w:rPr/>
        <w:t>服务”等各种活动。2016</w:t>
      </w:r>
      <w:r>
        <w:rPr>
          <w:spacing w:val="-8"/>
        </w:rPr>
        <w:t> 年，药学部被医院评为“精神文明建设先进科室”，个人年终考核被医院评定为“优秀”。</w:t>
      </w:r>
    </w:p>
    <w:p>
      <w:pPr>
        <w:pStyle w:val="BodyText"/>
        <w:spacing w:line="297" w:lineRule="auto"/>
        <w:ind w:right="227"/>
      </w:pPr>
      <w:r>
        <w:rPr>
          <w:spacing w:val="-10"/>
        </w:rPr>
        <w:t>医院作为市委、市政府为民办实事的重大民生工程，承担厦门市突发公共卫生事件的救</w:t>
      </w:r>
      <w:r>
        <w:rPr/>
        <w:t>治任务。2017</w:t>
      </w:r>
      <w:r>
        <w:rPr>
          <w:spacing w:val="-8"/>
        </w:rPr>
        <w:t> 年，厦门“金砖会晤”以及岁末年初全国儿童流感爆发时期，积极配合临床救治，主动参与重症会诊，全力以赴保障药品供应，受到厦门市卫计委的高度肯定。</w:t>
      </w:r>
    </w:p>
    <w:p>
      <w:pPr>
        <w:pStyle w:val="BodyText"/>
        <w:spacing w:line="304" w:lineRule="exact"/>
        <w:ind w:left="637" w:firstLine="0"/>
      </w:pPr>
      <w:r>
        <w:rPr/>
        <w:t>注重科室功能的完善和人才培养，静脉药物集中配置中心将于 2018 年底投入使用，选</w:t>
      </w:r>
    </w:p>
    <w:p>
      <w:pPr>
        <w:pStyle w:val="BodyText"/>
        <w:spacing w:line="295" w:lineRule="auto" w:before="66"/>
        <w:ind w:right="246" w:firstLine="0"/>
      </w:pPr>
      <w:r>
        <w:rPr>
          <w:spacing w:val="-3"/>
        </w:rPr>
        <w:t>派三人前往复旦大学附属儿科医院参加临床药师培训，申报的 </w:t>
      </w:r>
      <w:r>
        <w:rPr/>
        <w:t>2018</w:t>
      </w:r>
      <w:r>
        <w:rPr>
          <w:spacing w:val="-9"/>
        </w:rPr>
        <w:t> 年厦门市科技计划项目</w:t>
      </w:r>
      <w:r>
        <w:rPr/>
        <w:t>已通过院部初选。</w:t>
      </w:r>
    </w:p>
    <w:p>
      <w:pPr>
        <w:pStyle w:val="BodyText"/>
        <w:spacing w:line="297" w:lineRule="auto" w:before="3"/>
        <w:ind w:right="227"/>
      </w:pPr>
      <w:r>
        <w:rPr>
          <w:spacing w:val="-5"/>
        </w:rPr>
        <w:t>连续两年被厦门市药监局和卫生局评为药品不良反应工作“先进工作者”和“优秀工作</w:t>
      </w:r>
      <w:r>
        <w:rPr/>
        <w:t>者”。</w:t>
      </w:r>
    </w:p>
    <w:p>
      <w:pPr>
        <w:pStyle w:val="BodyText"/>
        <w:spacing w:line="297" w:lineRule="auto"/>
        <w:ind w:right="228"/>
        <w:jc w:val="both"/>
      </w:pPr>
      <w:r>
        <w:rPr>
          <w:spacing w:val="-5"/>
        </w:rPr>
        <w:t>兼任海峡两岸医药卫生交流协会新生儿学专业委员会新生儿药学组委员，福建省医院协</w:t>
      </w:r>
      <w:r>
        <w:rPr>
          <w:spacing w:val="-8"/>
        </w:rPr>
        <w:t>会药事管理分会委员，厦门市药学会理事、临床药学、医院药学专业委员会委员，厦门市医</w:t>
      </w:r>
      <w:r>
        <w:rPr/>
        <w:t>学会医院药事管理学分会委员，厦门市湖里区预防接种异常反应调查诊断专家组成员。</w:t>
      </w:r>
    </w:p>
    <w:p>
      <w:pPr>
        <w:pStyle w:val="Heading3"/>
        <w:spacing w:line="365" w:lineRule="exact"/>
        <w:ind w:left="157"/>
        <w:rPr>
          <w:rFonts w:ascii="Meiryo" w:eastAsia="Meiryo" w:hint="eastAsia"/>
        </w:rPr>
      </w:pPr>
      <w:r>
        <w:rPr>
          <w:rFonts w:ascii="华文楷体" w:eastAsia="华文楷体" w:hint="eastAsia"/>
          <w:color w:val="006FC0"/>
        </w:rPr>
        <w:t>以上药师荣获 2018 年中国药学会优秀药师</w:t>
      </w:r>
      <w:r>
        <w:rPr>
          <w:rFonts w:ascii="Meiryo" w:eastAsia="Meiryo" w:hint="eastAsia"/>
          <w:color w:val="0033CC"/>
        </w:rPr>
        <w:t>[返回目次]</w:t>
      </w:r>
    </w:p>
    <w:p>
      <w:pPr>
        <w:pStyle w:val="Heading1"/>
        <w:spacing w:line="657" w:lineRule="exact"/>
        <w:rPr>
          <w:u w:val="none"/>
        </w:rPr>
      </w:pPr>
      <w:bookmarkStart w:name="_TOC_250002" w:id="30"/>
      <w:r>
        <w:rPr>
          <w:rFonts w:ascii="Times New Roman" w:eastAsia="Times New Roman"/>
          <w:color w:val="008000"/>
          <w:spacing w:val="-110"/>
          <w:w w:val="99"/>
          <w:u w:val="thick" w:color="008000"/>
        </w:rPr>
        <w:t> </w:t>
      </w:r>
      <w:bookmarkEnd w:id="30"/>
      <w:r>
        <w:rPr>
          <w:color w:val="008000"/>
          <w:u w:val="thick" w:color="008000"/>
        </w:rPr>
        <w:t>学会动态</w:t>
      </w:r>
    </w:p>
    <w:p>
      <w:pPr>
        <w:pStyle w:val="BodyText"/>
        <w:spacing w:before="3"/>
        <w:ind w:left="0" w:firstLine="0"/>
        <w:rPr>
          <w:rFonts w:ascii="华文宋体"/>
          <w:b/>
          <w:sz w:val="9"/>
        </w:rPr>
      </w:pPr>
    </w:p>
    <w:p>
      <w:pPr>
        <w:pStyle w:val="Heading2"/>
        <w:spacing w:before="55"/>
        <w:ind w:left="157"/>
      </w:pPr>
      <w:bookmarkStart w:name="_TOC_250001" w:id="31"/>
      <w:bookmarkEnd w:id="31"/>
      <w:r>
        <w:rPr/>
        <w:t>【学会动态】</w:t>
      </w:r>
    </w:p>
    <w:p>
      <w:pPr>
        <w:pStyle w:val="BodyText"/>
        <w:spacing w:before="10"/>
        <w:ind w:left="0" w:firstLine="0"/>
        <w:rPr>
          <w:b/>
          <w:sz w:val="23"/>
        </w:rPr>
      </w:pPr>
    </w:p>
    <w:p>
      <w:pPr>
        <w:pStyle w:val="Heading2"/>
        <w:ind w:right="238"/>
        <w:jc w:val="center"/>
      </w:pPr>
      <w:bookmarkStart w:name="_TOC_250000" w:id="32"/>
      <w:bookmarkEnd w:id="32"/>
      <w:r>
        <w:rPr/>
        <w:t>2019 年中国药学大会在河北省石家庄市隆重召开</w:t>
      </w:r>
    </w:p>
    <w:p>
      <w:pPr>
        <w:spacing w:before="146"/>
        <w:ind w:left="0" w:right="228" w:firstLine="0"/>
        <w:jc w:val="right"/>
        <w:rPr>
          <w:rFonts w:ascii="楷体" w:eastAsia="楷体" w:hint="eastAsia"/>
          <w:b/>
          <w:sz w:val="24"/>
        </w:rPr>
      </w:pPr>
      <w:r>
        <w:rPr>
          <w:rFonts w:ascii="楷体" w:eastAsia="楷体" w:hint="eastAsia"/>
          <w:b/>
          <w:color w:val="FF0000"/>
          <w:w w:val="95"/>
          <w:sz w:val="24"/>
        </w:rPr>
        <w:t>（来源：中国药学会网站）</w:t>
      </w:r>
    </w:p>
    <w:p>
      <w:pPr>
        <w:pStyle w:val="BodyText"/>
        <w:spacing w:line="312" w:lineRule="auto" w:before="112"/>
        <w:ind w:right="227"/>
      </w:pPr>
      <w:r>
        <w:rPr>
          <w:spacing w:val="-8"/>
        </w:rPr>
        <w:t>由中国药学会、石家庄市人民政府主办，河北省药学会、河北医科大学承办，石药控股集团有限公司、南京海辰药业股份有限公司、上海复星医药（集团）股份有限公司协办的2019</w:t>
      </w:r>
      <w:r>
        <w:rPr>
          <w:spacing w:val="-9"/>
        </w:rPr>
        <w:t> 年中国药学大会，</w:t>
      </w:r>
      <w:r>
        <w:rPr>
          <w:spacing w:val="-17"/>
        </w:rPr>
        <w:t>9</w:t>
      </w:r>
      <w:r>
        <w:rPr>
          <w:spacing w:val="-40"/>
        </w:rPr>
        <w:t> 月 </w:t>
      </w:r>
      <w:r>
        <w:rPr/>
        <w:t>5</w:t>
      </w:r>
      <w:r>
        <w:rPr>
          <w:spacing w:val="-30"/>
        </w:rPr>
        <w:t> 日至 </w:t>
      </w:r>
      <w:r>
        <w:rPr/>
        <w:t>7</w:t>
      </w:r>
      <w:r>
        <w:rPr>
          <w:spacing w:val="-13"/>
        </w:rPr>
        <w:t> 日在河北省石家庄市隆重召开。大会主题为：推进药学</w:t>
      </w:r>
    </w:p>
    <w:p>
      <w:pPr>
        <w:pStyle w:val="BodyText"/>
        <w:spacing w:line="312" w:lineRule="auto" w:before="1"/>
        <w:ind w:right="246" w:firstLine="0"/>
      </w:pPr>
      <w:r>
        <w:rPr>
          <w:spacing w:val="-3"/>
        </w:rPr>
        <w:t>科学发展，服务健康中国战略。大会围绕总结新中国成立 </w:t>
      </w:r>
      <w:r>
        <w:rPr/>
        <w:t>70</w:t>
      </w:r>
      <w:r>
        <w:rPr>
          <w:spacing w:val="-9"/>
        </w:rPr>
        <w:t> 周年医药事业发展重大成就， </w:t>
      </w:r>
      <w:r>
        <w:rPr/>
        <w:t>重点探讨新时代药物创新新理论、新方法、新技术、新进展。</w:t>
      </w:r>
    </w:p>
    <w:p>
      <w:pPr>
        <w:pStyle w:val="BodyText"/>
        <w:spacing w:line="312" w:lineRule="auto"/>
        <w:ind w:right="107"/>
      </w:pPr>
      <w:r>
        <w:rPr>
          <w:spacing w:val="-16"/>
        </w:rPr>
        <w:t>全国政协副主席、农工党中央常务副主席何维为大会发来书面致辞。中国药学会理事长、</w:t>
      </w:r>
      <w:r>
        <w:rPr>
          <w:spacing w:val="-5"/>
        </w:rPr>
        <w:t>全国政协教科卫体委员会副主任孙咸泽，国家药品监督管理局副局长颜江瑛、石家庄市人民</w:t>
      </w:r>
      <w:r>
        <w:rPr>
          <w:spacing w:val="-9"/>
        </w:rPr>
        <w:t>政府副市长周刚等领导出席大会开幕式并讲话。中国药学会常务理事、监事，学会科技奖等</w:t>
      </w:r>
    </w:p>
    <w:p>
      <w:pPr>
        <w:spacing w:after="0" w:line="312" w:lineRule="auto"/>
        <w:sectPr>
          <w:pgSz w:w="11910" w:h="16850"/>
          <w:pgMar w:header="906" w:footer="607" w:top="1100" w:bottom="800" w:left="1120" w:right="900"/>
        </w:sectPr>
      </w:pPr>
    </w:p>
    <w:p>
      <w:pPr>
        <w:pStyle w:val="BodyText"/>
        <w:spacing w:line="312" w:lineRule="auto" w:before="79"/>
        <w:ind w:right="227" w:firstLine="0"/>
      </w:pPr>
      <w:r>
        <w:rPr>
          <w:spacing w:val="-11"/>
        </w:rPr>
        <w:t>获奖代表、设奖单位代表，以及来自科研院所、高等院校、医疗机构、医药企业、监管机构</w:t>
      </w:r>
      <w:r>
        <w:rPr>
          <w:spacing w:val="-8"/>
        </w:rPr>
        <w:t>等领域专家学者 </w:t>
      </w:r>
      <w:r>
        <w:rPr/>
        <w:t>1700</w:t>
      </w:r>
      <w:r>
        <w:rPr>
          <w:spacing w:val="-8"/>
        </w:rPr>
        <w:t> 余人参加大会。大会开幕式由中国药学会副理事长张晓东主持。</w:t>
      </w:r>
    </w:p>
    <w:p>
      <w:pPr>
        <w:pStyle w:val="BodyText"/>
        <w:spacing w:line="312" w:lineRule="auto"/>
        <w:ind w:right="107"/>
      </w:pPr>
      <w:r>
        <w:rPr>
          <w:spacing w:val="-4"/>
        </w:rPr>
        <w:t>何维书面致辞首先向辛勤工作在我国医药卫生领域的广大科技工作者，致以诚挚的问候</w:t>
      </w:r>
      <w:r>
        <w:rPr>
          <w:spacing w:val="-9"/>
        </w:rPr>
        <w:t>和崇高的敬意！新中国成立 </w:t>
      </w:r>
      <w:r>
        <w:rPr/>
        <w:t>70</w:t>
      </w:r>
      <w:r>
        <w:rPr>
          <w:spacing w:val="-8"/>
        </w:rPr>
        <w:t> 周年特别是改革开放以来，我国卫生健康领域改革发展成绩</w:t>
      </w:r>
      <w:r>
        <w:rPr>
          <w:spacing w:val="-11"/>
        </w:rPr>
        <w:t>显著，公共卫生体系和医疗服务体系不断完善，覆盖城乡的基本医疗保障制度逐步建立和完</w:t>
      </w:r>
      <w:r>
        <w:rPr>
          <w:spacing w:val="-18"/>
        </w:rPr>
        <w:t>善，人民健康水平和身体素质持续提高。农工党中央历来高度重视人民健康和医药卫生事业， </w:t>
      </w:r>
      <w:r>
        <w:rPr>
          <w:spacing w:val="-7"/>
        </w:rPr>
        <w:t>以医药卫生为切入点，围绕党和国家中心工作，聚焦创新驱动引领高质量发展、优化营商环</w:t>
      </w:r>
      <w:r>
        <w:rPr>
          <w:spacing w:val="-12"/>
        </w:rPr>
        <w:t>境激发微观主体活力等重大问题，深入开展调查研究，形成了一系列高质量的调研成果。强</w:t>
      </w:r>
      <w:r>
        <w:rPr>
          <w:spacing w:val="-14"/>
        </w:rPr>
        <w:t>调要不忘初心，牢记使命，聚焦改革发展过程中的重点目标任务，围绕医药健康、生物技术产业创新发展进行深入探讨，推动医药健康事业繁荣发展。</w:t>
      </w:r>
    </w:p>
    <w:p>
      <w:pPr>
        <w:pStyle w:val="BodyText"/>
        <w:spacing w:line="312" w:lineRule="auto" w:before="2"/>
        <w:ind w:right="107"/>
      </w:pPr>
      <w:r>
        <w:rPr/>
        <w:t>孙咸泽在开幕词中指出，70</w:t>
      </w:r>
      <w:r>
        <w:rPr>
          <w:spacing w:val="-8"/>
        </w:rPr>
        <w:t> 年来新中国医药健康事业的成长史，铭刻着国家和社会发</w:t>
      </w:r>
      <w:r>
        <w:rPr>
          <w:spacing w:val="-17"/>
        </w:rPr>
        <w:t>展的足迹，折射出人民生活状态的变迁。新中国成立伊始，处于缺医少药的状态；改革开放， </w:t>
      </w:r>
      <w:r>
        <w:rPr/>
        <w:t>让医药产业得到井喷式发展；党的十八大以来，我国医药产业发展驶入快车道，创新发展、</w:t>
      </w:r>
      <w:r>
        <w:rPr>
          <w:spacing w:val="-6"/>
        </w:rPr>
        <w:t>高质量发展成为新的导向与坐标，现已经成长为全球第二大医药市场，我国也为解决世界医</w:t>
      </w:r>
      <w:r>
        <w:rPr>
          <w:spacing w:val="-12"/>
        </w:rPr>
        <w:t>疗难题贡献了中国方案。伴随工业化、城镇化及人口老龄化进程加快，疾病谱的变化，人民健康也面临许多新问题新挑战。2019</w:t>
      </w:r>
      <w:r>
        <w:rPr>
          <w:spacing w:val="-8"/>
        </w:rPr>
        <w:t> 年中国药学大会以“推进药学科学发展，服务健康中</w:t>
      </w:r>
      <w:r>
        <w:rPr>
          <w:spacing w:val="-13"/>
        </w:rPr>
        <w:t>国战略”为主题，探讨药学科技研究进展，展示医药创新成果，权威解读制修订的药品法律法规，为全面推进健康中国建设、药学事业科学发展和民生改善贡献智慧和力量。</w:t>
      </w:r>
    </w:p>
    <w:p>
      <w:pPr>
        <w:pStyle w:val="BodyText"/>
        <w:spacing w:line="312" w:lineRule="auto" w:before="4"/>
        <w:ind w:right="110"/>
      </w:pPr>
      <w:r>
        <w:rPr>
          <w:spacing w:val="-8"/>
        </w:rPr>
        <w:t>颜江瑛在讲话中指出，当前，人民群众对药品安全关注度越来越高，对用上新药好药的</w:t>
      </w:r>
      <w:r>
        <w:rPr>
          <w:spacing w:val="-13"/>
        </w:rPr>
        <w:t>期待越来越高，对药品监管和安全共治的期望也越来越高。国家药品监督管理局坚持以习近</w:t>
      </w:r>
      <w:r>
        <w:rPr>
          <w:spacing w:val="-17"/>
        </w:rPr>
        <w:t>平新时代中国特色社会主义思想为指导，认真贯彻落实党中央、国务院决策部署，扎实落实“四个最严”的要求。坚持以机构改革为契机，加快相关法规建设,《疫苗管理法》、《药</w:t>
      </w:r>
      <w:r>
        <w:rPr>
          <w:spacing w:val="-19"/>
        </w:rPr>
        <w:t>品管理法》已颁布；深入推进审评审批制度改革，上半年批准了 </w:t>
      </w:r>
      <w:r>
        <w:rPr/>
        <w:t>6</w:t>
      </w:r>
      <w:r>
        <w:rPr>
          <w:spacing w:val="-8"/>
        </w:rPr>
        <w:t> 个国产创新药、</w:t>
      </w:r>
      <w:r>
        <w:rPr/>
        <w:t>19</w:t>
      </w:r>
      <w:r>
        <w:rPr>
          <w:spacing w:val="-20"/>
        </w:rPr>
        <w:t> 个境</w:t>
      </w:r>
      <w:r>
        <w:rPr>
          <w:spacing w:val="-18"/>
        </w:rPr>
        <w:t>外已上市药品上市，药品平均审评时限压缩到 </w:t>
      </w:r>
      <w:r>
        <w:rPr/>
        <w:t>12</w:t>
      </w:r>
      <w:r>
        <w:rPr>
          <w:spacing w:val="-18"/>
        </w:rPr>
        <w:t> 个月，</w:t>
      </w:r>
      <w:r>
        <w:rPr>
          <w:spacing w:val="-9"/>
        </w:rPr>
        <w:t>92.6%</w:t>
      </w:r>
      <w:r>
        <w:rPr/>
        <w:t>的药品注册申请可按法定时限</w:t>
      </w:r>
      <w:r>
        <w:rPr>
          <w:spacing w:val="-9"/>
        </w:rPr>
        <w:t>审评；坚持以人民为中心的发展思想，强化药品全生命周期监管，严防严管严控药品安全风险。面对党中央的嘱托和人民群众的期盼，国家药品监督管理局要不断完善法规标准体系， 稳步推进相关配套规章制修订，推进《中国药典》（2020</w:t>
      </w:r>
      <w:r>
        <w:rPr>
          <w:spacing w:val="-20"/>
        </w:rPr>
        <w:t> 年版</w:t>
      </w:r>
      <w:r>
        <w:rPr/>
        <w:t>）编制工作；持续深入推进</w:t>
      </w:r>
      <w:r>
        <w:rPr>
          <w:spacing w:val="-8"/>
        </w:rPr>
        <w:t>审评审批制度改革，不断简化、优化审评审批程序，鼓励支持药品研发创新，支持中药传承</w:t>
      </w:r>
      <w:r>
        <w:rPr>
          <w:spacing w:val="-12"/>
        </w:rPr>
        <w:t>和创新，持续推进仿制药一致性评价；严防严控药品安全风险，不断提高风险隐患发现、处</w:t>
      </w:r>
      <w:r>
        <w:rPr>
          <w:spacing w:val="-18"/>
        </w:rPr>
        <w:t>置能力，始终保持严惩重处的高压态势，推动形成社会共治新格局；深入开展监管科学研究， </w:t>
      </w:r>
      <w:r>
        <w:rPr/>
        <w:t>实施中国药品监管科学行动计划，推出一批新制度、新工具、新标准，促进医药产业创新， </w:t>
      </w:r>
      <w:r>
        <w:rPr>
          <w:spacing w:val="-8"/>
        </w:rPr>
        <w:t>提高监管效能；全面提升监管能力，推进构建职业化专业化检查员队伍体系，推进药品监管追溯体系建设，全面推进智慧监管；强化国际交流合作，以疫苗国家监管体系（NRA）评估为契机，完善质量管理体系，充分发挥国际人用药品注册技术协调会（ICH）管理委员会成员作用，加入世界卫生组织国际贸易药品认证计划，探索国际药品监管机构联盟(ICMRA)工作合作机制。</w:t>
      </w:r>
    </w:p>
    <w:p>
      <w:pPr>
        <w:spacing w:after="0" w:line="312" w:lineRule="auto"/>
        <w:sectPr>
          <w:pgSz w:w="11910" w:h="16850"/>
          <w:pgMar w:header="906" w:footer="607" w:top="1100" w:bottom="800" w:left="1120" w:right="900"/>
        </w:sectPr>
      </w:pPr>
    </w:p>
    <w:p>
      <w:pPr>
        <w:pStyle w:val="BodyText"/>
        <w:spacing w:line="312" w:lineRule="auto" w:before="79"/>
        <w:ind w:right="110"/>
      </w:pPr>
      <w:r>
        <w:rPr/>
        <w:t>开幕式上宣布成立中国药学会战略发展专家委员会。专家委员会将在学会理事会领导 </w:t>
      </w:r>
      <w:r>
        <w:rPr>
          <w:spacing w:val="-16"/>
        </w:rPr>
        <w:t>下，对学会重大事项、对学会履行职责提供科技咨询服务，并对国家药品监管有关发展战略、</w:t>
      </w:r>
      <w:r>
        <w:rPr>
          <w:spacing w:val="-8"/>
        </w:rPr>
        <w:t>政策和规划提出建议。同时，对贯彻落实党和国家医药卫生方针政策，推动实施科技兴会战</w:t>
      </w:r>
      <w:r>
        <w:rPr>
          <w:spacing w:val="-10"/>
        </w:rPr>
        <w:t>略，围绕建设世界一流学会发展目标，为繁荣和发展医药卫生事业作贡献。学会专家委员会</w:t>
      </w:r>
      <w:r>
        <w:rPr>
          <w:spacing w:val="-13"/>
        </w:rPr>
        <w:t>由医药科技、管理和药学实践等领域专家组成，第一届中国药学会战略发展专家委员会名誉</w:t>
      </w:r>
      <w:r>
        <w:rPr>
          <w:spacing w:val="-16"/>
        </w:rPr>
        <w:t>主任委员由中国药学会名誉理事长桑国卫院士和中国药学会监事长陈凯先院士担任，主任委员由中国药学会副理事长陈志南院士担任。孙咸泽理事长向陈志南主任委员颁发聘书。</w:t>
      </w:r>
    </w:p>
    <w:p>
      <w:pPr>
        <w:pStyle w:val="BodyText"/>
        <w:spacing w:line="312" w:lineRule="auto"/>
        <w:ind w:right="126"/>
      </w:pPr>
      <w:r>
        <w:rPr/>
        <w:t>开幕式上中国药学会发布了“第五批过度重复药品提示信息公告”和两个“中国药学 </w:t>
      </w:r>
      <w:r>
        <w:rPr>
          <w:spacing w:val="-10"/>
        </w:rPr>
        <w:t>会团体标准”。受国家药品监督管理局委托，中国药学会牵头开展市售药品监测分析并研究</w:t>
      </w:r>
      <w:r>
        <w:rPr>
          <w:spacing w:val="-14"/>
        </w:rPr>
        <w:t>发布过渡药品重复信息，自 </w:t>
      </w:r>
      <w:r>
        <w:rPr/>
        <w:t>2016</w:t>
      </w:r>
      <w:r>
        <w:rPr>
          <w:spacing w:val="-16"/>
        </w:rPr>
        <w:t> 年起，已连续 </w:t>
      </w:r>
      <w:r>
        <w:rPr/>
        <w:t>4</w:t>
      </w:r>
      <w:r>
        <w:rPr>
          <w:spacing w:val="-8"/>
        </w:rPr>
        <w:t> 期发布“过度重复药品提示信息公告”。</w:t>
      </w:r>
      <w:r>
        <w:rPr>
          <w:spacing w:val="-13"/>
        </w:rPr>
        <w:t>该信息的及时发布为引导申请人调整研发方向、调整生产决策发挥了导向作用，为减少研发</w:t>
      </w:r>
      <w:r>
        <w:rPr>
          <w:spacing w:val="-17"/>
        </w:rPr>
        <w:t>和审评资源浪费发挥了积极作用，也为有临床价值新药和临床急需仿制药进入市场节约了时</w:t>
      </w:r>
      <w:r>
        <w:rPr>
          <w:spacing w:val="-13"/>
        </w:rPr>
        <w:t>间和资源，获得有关专家和产业界充分肯定，取得较好社会反响。今年，我会联合国家药监局南方医药经济研究所、信息中心，应用全国医药经济信息网医院药品采购数据 (CMEI)、中国药品零售市场用药分析系统数据 (RDM)</w:t>
      </w:r>
      <w:r>
        <w:rPr>
          <w:spacing w:val="-14"/>
        </w:rPr>
        <w:t>和我国药品批文数据，开展相关监测研究工作， </w:t>
      </w:r>
      <w:r>
        <w:rPr>
          <w:spacing w:val="-7"/>
        </w:rPr>
        <w:t>形成“第五批过度重复药品提示信息公告”。《第五批过度重复药品目录》共包含 </w:t>
      </w:r>
      <w:r>
        <w:rPr/>
        <w:t>303</w:t>
      </w:r>
      <w:r>
        <w:rPr>
          <w:spacing w:val="-20"/>
        </w:rPr>
        <w:t> 个通</w:t>
      </w:r>
      <w:r>
        <w:rPr>
          <w:spacing w:val="-13"/>
        </w:rPr>
        <w:t>用名品种，涉及临床药理学和治疗学分类的 </w:t>
      </w:r>
      <w:r>
        <w:rPr/>
        <w:t>14</w:t>
      </w:r>
      <w:r>
        <w:rPr>
          <w:spacing w:val="-14"/>
        </w:rPr>
        <w:t> 个大类、</w:t>
      </w:r>
      <w:r>
        <w:rPr/>
        <w:t>60</w:t>
      </w:r>
      <w:r>
        <w:rPr>
          <w:spacing w:val="-10"/>
        </w:rPr>
        <w:t> 个亚类，均为临床多发病、常见</w:t>
      </w:r>
      <w:r>
        <w:rPr>
          <w:spacing w:val="-12"/>
        </w:rPr>
        <w:t>病用药。与第四批过度重复药品提示信息相比，本次目录调入 </w:t>
      </w:r>
      <w:r>
        <w:rPr/>
        <w:t>7</w:t>
      </w:r>
      <w:r>
        <w:rPr>
          <w:spacing w:val="-10"/>
        </w:rPr>
        <w:t> 个通用名品种，分别为阿德</w:t>
      </w:r>
      <w:r>
        <w:rPr>
          <w:spacing w:val="-13"/>
        </w:rPr>
        <w:t>福韦酯、吡罗昔康、复方氨酚那敏，酮洛芬、氯芬黄敏、胃膜素、颠茄磺苄啶，调出了维生</w:t>
      </w:r>
      <w:r>
        <w:rPr>
          <w:spacing w:val="-37"/>
        </w:rPr>
        <w:t>素 </w:t>
      </w:r>
      <w:r>
        <w:rPr/>
        <w:t>E</w:t>
      </w:r>
      <w:r>
        <w:rPr>
          <w:spacing w:val="-25"/>
        </w:rPr>
        <w:t> 烟酸酯 </w:t>
      </w:r>
      <w:r>
        <w:rPr/>
        <w:t>1</w:t>
      </w:r>
      <w:r>
        <w:rPr>
          <w:spacing w:val="-13"/>
        </w:rPr>
        <w:t> 个通用名品种。目录不含相关通用名品种项下的特殊剂型、质量标准或者质量有较大提升的品种、临床短缺品种及儿童药。</w:t>
      </w:r>
    </w:p>
    <w:p>
      <w:pPr>
        <w:pStyle w:val="BodyText"/>
        <w:spacing w:line="312" w:lineRule="auto" w:before="7"/>
        <w:ind w:right="227"/>
      </w:pPr>
      <w:r>
        <w:rPr>
          <w:spacing w:val="-8"/>
        </w:rPr>
        <w:t>为深化标准化工作改革，加强我国技术标准体系建设，解决我国标准制定、标准供给体</w:t>
      </w:r>
      <w:r>
        <w:rPr>
          <w:spacing w:val="-9"/>
        </w:rPr>
        <w:t>制机制瓶颈问题，国务院及国家标准化委员会、民政部颁布相关文件，将团体标准列入标准</w:t>
      </w:r>
      <w:r>
        <w:rPr>
          <w:spacing w:val="-10"/>
        </w:rPr>
        <w:t>体系。首次发布两个团体标准。由我会医院药学专业委员会负责起草的《医疗机构静脉用细</w:t>
      </w:r>
      <w:r>
        <w:rPr/>
        <w:t>胞毒性药物调配操作质量管理工作规范》（编号：T/CPHARMA 001－2019），从细胞毒性药</w:t>
      </w:r>
      <w:r>
        <w:rPr>
          <w:spacing w:val="-6"/>
        </w:rPr>
        <w:t>物调配工作各个方面规范标准化工作要求，着重规范调配操作和职业防护细节，同时涵盖了</w:t>
      </w:r>
      <w:r>
        <w:rPr>
          <w:spacing w:val="-8"/>
        </w:rPr>
        <w:t>溢出处理等急需同质化工作的细节。该标准的出台将有益于全国抗肿瘤药物调配操作工作的</w:t>
      </w:r>
      <w:r>
        <w:rPr>
          <w:spacing w:val="-10"/>
        </w:rPr>
        <w:t>统一规范，提高职业防护水平、保障人民群众安全用药的同时保护医疗人员人身安全、确保</w:t>
      </w:r>
      <w:r>
        <w:rPr>
          <w:spacing w:val="-14"/>
        </w:rPr>
        <w:t>环境保护。由我会药物流行病学专业委员会负责起草的《药物流行病学研究方法学指南</w:t>
      </w:r>
      <w:r>
        <w:rPr>
          <w:spacing w:val="-173"/>
        </w:rPr>
        <w:t>》</w:t>
      </w:r>
      <w:r>
        <w:rPr/>
        <w:t>（</w:t>
      </w:r>
      <w:r>
        <w:rPr>
          <w:spacing w:val="-13"/>
        </w:rPr>
        <w:t>编</w:t>
      </w:r>
      <w:r>
        <w:rPr>
          <w:spacing w:val="-31"/>
        </w:rPr>
        <w:t>号 </w:t>
      </w:r>
      <w:r>
        <w:rPr/>
        <w:t>T/CPHARMA 002-2019）在系统综述国内外药物流行病学研究方法学标准和指南基础上， </w:t>
      </w:r>
      <w:r>
        <w:rPr>
          <w:spacing w:val="-9"/>
        </w:rPr>
        <w:t>结合我国医疗卫生实践和国情，对药物流行病学研究方法学标准从方案制定到结果发表均做</w:t>
      </w:r>
      <w:r>
        <w:rPr>
          <w:spacing w:val="-11"/>
        </w:rPr>
        <w:t>了详细规范，为政府监管部门、研究机构、医药企业等开展药物流行病学研究提供指引和参</w:t>
      </w:r>
      <w:r>
        <w:rPr/>
        <w:t>考，以期提升药物流行病学研究设计、实施的规范化、透明化，增加研究的可信度。</w:t>
      </w:r>
    </w:p>
    <w:p>
      <w:pPr>
        <w:pStyle w:val="BodyText"/>
        <w:spacing w:before="4"/>
        <w:ind w:left="0" w:right="245" w:firstLine="0"/>
        <w:jc w:val="right"/>
      </w:pPr>
      <w:r>
        <w:rPr>
          <w:spacing w:val="-3"/>
        </w:rPr>
        <w:t>开幕式上颁发中国药学会第十四届中国药学会科学技术奖 </w:t>
      </w:r>
      <w:r>
        <w:rPr/>
        <w:t>15</w:t>
      </w:r>
      <w:r>
        <w:rPr>
          <w:spacing w:val="-14"/>
        </w:rPr>
        <w:t> 项，其中一等奖 </w:t>
      </w:r>
      <w:r>
        <w:rPr/>
        <w:t>3</w:t>
      </w:r>
      <w:r>
        <w:rPr>
          <w:spacing w:val="-15"/>
        </w:rPr>
        <w:t> 项，二</w:t>
      </w:r>
    </w:p>
    <w:p>
      <w:pPr>
        <w:pStyle w:val="BodyText"/>
        <w:spacing w:before="90"/>
        <w:ind w:left="0" w:right="228" w:firstLine="0"/>
        <w:jc w:val="right"/>
      </w:pPr>
      <w:r>
        <w:rPr>
          <w:spacing w:val="-20"/>
        </w:rPr>
        <w:t>等奖 </w:t>
      </w:r>
      <w:r>
        <w:rPr/>
        <w:t>5</w:t>
      </w:r>
      <w:r>
        <w:rPr>
          <w:spacing w:val="-24"/>
        </w:rPr>
        <w:t> 项，三等奖 </w:t>
      </w:r>
      <w:r>
        <w:rPr/>
        <w:t>7</w:t>
      </w:r>
      <w:r>
        <w:rPr>
          <w:spacing w:val="-14"/>
        </w:rPr>
        <w:t> 项。构建组合化学库及其应用等 </w:t>
      </w:r>
      <w:r>
        <w:rPr/>
        <w:t>3</w:t>
      </w:r>
      <w:r>
        <w:rPr>
          <w:spacing w:val="-10"/>
        </w:rPr>
        <w:t> 个项目荣获一等奖。同时颁发了第四</w:t>
      </w:r>
    </w:p>
    <w:p>
      <w:pPr>
        <w:spacing w:after="0"/>
        <w:jc w:val="right"/>
        <w:sectPr>
          <w:pgSz w:w="11910" w:h="16850"/>
          <w:pgMar w:header="906" w:footer="607" w:top="1100" w:bottom="800" w:left="1120" w:right="900"/>
        </w:sectPr>
      </w:pPr>
    </w:p>
    <w:p>
      <w:pPr>
        <w:pStyle w:val="BodyText"/>
        <w:spacing w:before="79"/>
        <w:ind w:firstLine="0"/>
        <w:jc w:val="both"/>
      </w:pPr>
      <w:r>
        <w:rPr/>
        <w:t>届中国药学会-以岭生物医药奖 11 名、第七届中国药学会-施维雅青年医院药学奖 8 名，表</w:t>
      </w:r>
    </w:p>
    <w:p>
      <w:pPr>
        <w:pStyle w:val="BodyText"/>
        <w:spacing w:before="91"/>
        <w:ind w:firstLine="0"/>
        <w:jc w:val="both"/>
      </w:pPr>
      <w:r>
        <w:rPr/>
        <w:t>彰了 2019 年中国药学会优秀编辑 6 名。</w:t>
      </w:r>
    </w:p>
    <w:p>
      <w:pPr>
        <w:pStyle w:val="BodyText"/>
        <w:spacing w:line="312" w:lineRule="auto" w:before="93"/>
        <w:ind w:right="227"/>
        <w:jc w:val="both"/>
      </w:pPr>
      <w:r>
        <w:rPr>
          <w:spacing w:val="-1"/>
        </w:rPr>
        <w:t>大会邀请国家药品监督管理局政策法规司负责人、</w:t>
      </w:r>
      <w:r>
        <w:rPr/>
        <w:t>7</w:t>
      </w:r>
      <w:r>
        <w:rPr>
          <w:spacing w:val="-11"/>
        </w:rPr>
        <w:t> 位院士作大会主题报告。中国药学</w:t>
      </w:r>
      <w:r>
        <w:rPr>
          <w:spacing w:val="-8"/>
        </w:rPr>
        <w:t>会副理事长陈志南院士、黄璐琦院士、丁健院士、王晓良、吴春福、张晓东主持大会主题报</w:t>
      </w:r>
      <w:r>
        <w:rPr>
          <w:spacing w:val="-17"/>
        </w:rPr>
        <w:t>告。</w:t>
      </w:r>
      <w:r>
        <w:rPr/>
        <w:t>71</w:t>
      </w:r>
      <w:r>
        <w:rPr>
          <w:spacing w:val="-17"/>
        </w:rPr>
        <w:t> 位特邀专家在 </w:t>
      </w:r>
      <w:r>
        <w:rPr/>
        <w:t>13</w:t>
      </w:r>
      <w:r>
        <w:rPr>
          <w:spacing w:val="-14"/>
        </w:rPr>
        <w:t> 个分会场作专题报告；大会收到论文 </w:t>
      </w:r>
      <w:r>
        <w:rPr/>
        <w:t>516</w:t>
      </w:r>
      <w:r>
        <w:rPr>
          <w:spacing w:val="-24"/>
        </w:rPr>
        <w:t> 篇，</w:t>
      </w:r>
      <w:r>
        <w:rPr>
          <w:spacing w:val="-12"/>
        </w:rPr>
        <w:t>92</w:t>
      </w:r>
      <w:r>
        <w:rPr>
          <w:spacing w:val="-9"/>
        </w:rPr>
        <w:t> 篇论文在分会场报</w:t>
      </w:r>
      <w:r>
        <w:rPr>
          <w:spacing w:val="-5"/>
        </w:rPr>
        <w:t>告交流，共评选出优秀论文 </w:t>
      </w:r>
      <w:r>
        <w:rPr/>
        <w:t>44</w:t>
      </w:r>
      <w:r>
        <w:rPr>
          <w:spacing w:val="-14"/>
        </w:rPr>
        <w:t> 篇，其中一等奖 </w:t>
      </w:r>
      <w:r>
        <w:rPr/>
        <w:t>4</w:t>
      </w:r>
      <w:r>
        <w:rPr>
          <w:spacing w:val="-18"/>
        </w:rPr>
        <w:t> 篇，二等奖 </w:t>
      </w:r>
      <w:r>
        <w:rPr/>
        <w:t>16</w:t>
      </w:r>
      <w:r>
        <w:rPr>
          <w:spacing w:val="-18"/>
        </w:rPr>
        <w:t> 篇，三等奖 </w:t>
      </w:r>
      <w:r>
        <w:rPr/>
        <w:t>24</w:t>
      </w:r>
      <w:r>
        <w:rPr>
          <w:spacing w:val="-20"/>
        </w:rPr>
        <w:t> 篇。</w:t>
      </w:r>
    </w:p>
    <w:p>
      <w:pPr>
        <w:pStyle w:val="BodyText"/>
        <w:spacing w:before="2"/>
        <w:ind w:left="637" w:firstLine="0"/>
        <w:jc w:val="both"/>
      </w:pPr>
      <w:r>
        <w:rPr>
          <w:spacing w:val="-3"/>
        </w:rPr>
        <w:t>国家药品监督管理局政策法规司司长刘沛介绍了将于 </w:t>
      </w:r>
      <w:r>
        <w:rPr/>
        <w:t>2019</w:t>
      </w:r>
      <w:r>
        <w:rPr>
          <w:spacing w:val="-40"/>
        </w:rPr>
        <w:t> 年 </w:t>
      </w:r>
      <w:r>
        <w:rPr/>
        <w:t>12</w:t>
      </w:r>
      <w:r>
        <w:rPr>
          <w:spacing w:val="-40"/>
        </w:rPr>
        <w:t> 月 </w:t>
      </w:r>
      <w:r>
        <w:rPr/>
        <w:t>1</w:t>
      </w:r>
      <w:r>
        <w:rPr>
          <w:spacing w:val="-19"/>
        </w:rPr>
        <w:t> 日施行的《药品管</w:t>
      </w:r>
    </w:p>
    <w:p>
      <w:pPr>
        <w:pStyle w:val="BodyText"/>
        <w:spacing w:line="312" w:lineRule="auto" w:before="91"/>
        <w:ind w:right="127" w:firstLine="0"/>
      </w:pPr>
      <w:r>
        <w:rPr>
          <w:spacing w:val="-3"/>
        </w:rPr>
        <w:t>理法》修订背景、原则、主要内容。这是《药品管理法》自 </w:t>
      </w:r>
      <w:r>
        <w:rPr/>
        <w:t>1984</w:t>
      </w:r>
      <w:r>
        <w:rPr>
          <w:spacing w:val="-8"/>
        </w:rPr>
        <w:t> 年颁布以来的第二次系统</w:t>
      </w:r>
      <w:r>
        <w:rPr>
          <w:spacing w:val="-11"/>
        </w:rPr>
        <w:t>性、结构性的重大修改。新修订的《药品管理法》全面贯彻落实党中央有关药品安全“四个</w:t>
      </w:r>
      <w:r>
        <w:rPr>
          <w:spacing w:val="-12"/>
        </w:rPr>
        <w:t>最严”要求，明确了保护和促进公众健康的药品管理工作使命，确立了以人民健康为中心， </w:t>
      </w:r>
      <w:r>
        <w:rPr>
          <w:spacing w:val="-9"/>
        </w:rPr>
        <w:t>坚持风险管理、全程管控、社会共治的基本原则，要求建立科学、严格的监督管理制度，全</w:t>
      </w:r>
      <w:r>
        <w:rPr>
          <w:spacing w:val="-13"/>
        </w:rPr>
        <w:t>面提升药品质量，保障药品安全有效可及。这些充分体现了《药品管理法》的修订，坚持以人为本、坚持问题导向、坚持尊重规律、坚持国际视野、坚持改革创新、坚持科学发展的鲜明立场、根本遵循和基本要求。新修订《药品管理法》将行之有效的改革措施固化为法律成果，鼓励研制和创新新药，为深入推进药品领域改革奠定了更为坚实的法律基础。</w:t>
      </w:r>
    </w:p>
    <w:p>
      <w:pPr>
        <w:pStyle w:val="BodyText"/>
        <w:spacing w:line="312" w:lineRule="auto" w:before="4"/>
        <w:ind w:right="127"/>
      </w:pPr>
      <w:r>
        <w:rPr>
          <w:spacing w:val="-7"/>
        </w:rPr>
        <w:t>中国中医科学院名誉院长、天津中医药大学校长张伯礼院士作题为《新时代中医药发展</w:t>
      </w:r>
      <w:r>
        <w:rPr>
          <w:spacing w:val="-8"/>
        </w:rPr>
        <w:t>的机遇与任务》的报告。健康是人的基本权利，应坚持中西医并重，传承发展中医药事业。</w:t>
      </w:r>
      <w:r>
        <w:rPr>
          <w:spacing w:val="-5"/>
        </w:rPr>
        <w:t>临床证据与中药的质量是中医药传承发展的瓶颈；西方发达国家利用现代科技技术优势和雄</w:t>
      </w:r>
      <w:r>
        <w:rPr>
          <w:spacing w:val="-10"/>
        </w:rPr>
        <w:t>厚的工业基础，抢先占领包括中国在内的国际中医药市场。面对竞争，报告提出借助人工智</w:t>
      </w:r>
      <w:r>
        <w:rPr>
          <w:spacing w:val="-14"/>
        </w:rPr>
        <w:t>能等新兴技术与中医药的跨界融合创新，加速研发中医药相关的诊疗、康复、制药等仪器装备，是中医药科技创新能力提升的关键性战略要求。</w:t>
      </w:r>
    </w:p>
    <w:p>
      <w:pPr>
        <w:pStyle w:val="BodyText"/>
        <w:spacing w:line="312" w:lineRule="auto" w:before="2"/>
        <w:ind w:right="229"/>
      </w:pPr>
      <w:r>
        <w:rPr>
          <w:spacing w:val="-4"/>
        </w:rPr>
        <w:t>美国国家医学院院士、中国工程院外籍院士王存玉先生作题为《</w:t>
      </w:r>
      <w:r>
        <w:rPr/>
        <w:t>Targeting</w:t>
      </w:r>
      <w:r>
        <w:rPr>
          <w:spacing w:val="-60"/>
        </w:rPr>
        <w:t> </w:t>
      </w:r>
      <w:r>
        <w:rPr/>
        <w:t>Cancer</w:t>
      </w:r>
      <w:r>
        <w:rPr>
          <w:spacing w:val="-60"/>
        </w:rPr>
        <w:t> </w:t>
      </w:r>
      <w:r>
        <w:rPr>
          <w:spacing w:val="-4"/>
        </w:rPr>
        <w:t>Stem </w:t>
      </w:r>
      <w:r>
        <w:rPr/>
        <w:t>Cells to Improve Cancer Therapy Efficacy》的报告。癌症干细胞（CSC）</w:t>
      </w:r>
      <w:r>
        <w:rPr>
          <w:spacing w:val="-12"/>
        </w:rPr>
        <w:t>假说暗示 </w:t>
      </w:r>
      <w:r>
        <w:rPr/>
        <w:t>CSC </w:t>
      </w:r>
      <w:r>
        <w:rPr>
          <w:spacing w:val="-3"/>
        </w:rPr>
        <w:t>负责肿瘤的发生，发展，转移和治疗抵抗或复发，表明 </w:t>
      </w:r>
      <w:r>
        <w:rPr/>
        <w:t>CSC</w:t>
      </w:r>
      <w:r>
        <w:rPr>
          <w:spacing w:val="-8"/>
        </w:rPr>
        <w:t> 是关键的治疗靶点。与单独靶</w:t>
      </w:r>
      <w:r>
        <w:rPr>
          <w:spacing w:val="-34"/>
        </w:rPr>
        <w:t>向 </w:t>
      </w:r>
      <w:r>
        <w:rPr/>
        <w:t>CSC</w:t>
      </w:r>
      <w:r>
        <w:rPr>
          <w:spacing w:val="-12"/>
        </w:rPr>
        <w:t> 相比，通过联合治疗靶向 </w:t>
      </w:r>
      <w:r>
        <w:rPr/>
        <w:t>CSC</w:t>
      </w:r>
      <w:r>
        <w:rPr>
          <w:spacing w:val="-11"/>
        </w:rPr>
        <w:t> 和肿瘤体积产生了更好的结果并且有效地消除了 </w:t>
      </w:r>
      <w:r>
        <w:rPr/>
        <w:t>SCC </w:t>
      </w:r>
      <w:r>
        <w:rPr>
          <w:spacing w:val="-12"/>
        </w:rPr>
        <w:t>的淋巴结转移。报告论述了这些潜在靶点在癌症发展中的作用和如何依剧这些靶点开发新的</w:t>
      </w:r>
      <w:r>
        <w:rPr/>
        <w:t>策略,以此来克服肿瘤的耐药，防止肿瘤的转移和复发。</w:t>
      </w:r>
    </w:p>
    <w:p>
      <w:pPr>
        <w:pStyle w:val="BodyText"/>
        <w:spacing w:line="312" w:lineRule="auto" w:before="2"/>
        <w:ind w:right="227"/>
      </w:pPr>
      <w:r>
        <w:rPr>
          <w:spacing w:val="-9"/>
        </w:rPr>
        <w:t>中国药学会常务理事、武汉大学药学院院长邓子新院士作题为《合成生物学驱动的智能</w:t>
      </w:r>
      <w:r>
        <w:rPr>
          <w:spacing w:val="-13"/>
        </w:rPr>
        <w:t>生物制造》的报告。报告系统阐述在基础生命科学，尤其是组学和大数据科学日新月异的背</w:t>
      </w:r>
      <w:r>
        <w:rPr/>
        <w:t>景下发展起来的合成生物学这门颠覆性科学对未来生命科学研究和产业转型发展可能产生</w:t>
      </w:r>
      <w:r>
        <w:rPr>
          <w:spacing w:val="-9"/>
        </w:rPr>
        <w:t>的巨大潜能和影响。重点展示这门科学技术近期在颠覆国内外重大品种的合成工艺，打破国</w:t>
      </w:r>
      <w:r>
        <w:rPr>
          <w:spacing w:val="-6"/>
        </w:rPr>
        <w:t>外大品种的垄断并孵化国际声誉的新型标杆企业，带动传统产业向高端产业的快速转型升级</w:t>
      </w:r>
      <w:r>
        <w:rPr>
          <w:spacing w:val="-9"/>
        </w:rPr>
        <w:t>方面产生聚变效应的巨大潜能。合成生物学将成为本世纪我国生命科学和产业发展水平的核</w:t>
      </w:r>
      <w:r>
        <w:rPr/>
        <w:t>心驱动力。</w:t>
      </w:r>
    </w:p>
    <w:p>
      <w:pPr>
        <w:pStyle w:val="BodyText"/>
        <w:spacing w:line="312" w:lineRule="auto" w:before="1"/>
        <w:ind w:right="227"/>
      </w:pPr>
      <w:r>
        <w:rPr>
          <w:spacing w:val="-9"/>
        </w:rPr>
        <w:t>中国药学会常务理事、中国药科大学王广基院士作题为《精准医学背景下药代动力学新</w:t>
      </w:r>
      <w:r>
        <w:rPr>
          <w:spacing w:val="-6"/>
        </w:rPr>
        <w:t>技术在新药研究及临床应用中的探索》的报告。循证医学建立了用药的统一标准，然而患者</w:t>
      </w:r>
    </w:p>
    <w:p>
      <w:pPr>
        <w:spacing w:after="0" w:line="312" w:lineRule="auto"/>
        <w:sectPr>
          <w:pgSz w:w="11910" w:h="16850"/>
          <w:pgMar w:header="906" w:footer="607" w:top="1100" w:bottom="800" w:left="1120" w:right="900"/>
        </w:sectPr>
      </w:pPr>
    </w:p>
    <w:p>
      <w:pPr>
        <w:pStyle w:val="BodyText"/>
        <w:spacing w:line="312" w:lineRule="auto" w:before="79"/>
        <w:ind w:right="107" w:firstLine="0"/>
      </w:pPr>
      <w:r>
        <w:rPr>
          <w:spacing w:val="-6"/>
        </w:rPr>
        <w:t>的个体差异导致药效差异大，因此循证医学需要向精准医学转换。药代动力学是通过研究药物的体内过程指导临床用药的学科。 “细胞药代动力学”新理论，建立了细胞药代动力学研究技术平台，并将其用于新药研究、制剂评价、药效/毒性研究以及临床研究等方面。报</w:t>
      </w:r>
      <w:r>
        <w:rPr>
          <w:spacing w:val="-11"/>
        </w:rPr>
        <w:t>告总结对于靶点位于细胞内的药物，经典药代动力学研究往往会导致 </w:t>
      </w:r>
      <w:r>
        <w:rPr/>
        <w:t>PK/PD</w:t>
      </w:r>
      <w:r>
        <w:rPr>
          <w:spacing w:val="-14"/>
        </w:rPr>
        <w:t> 不相关现象，无</w:t>
      </w:r>
      <w:r>
        <w:rPr>
          <w:spacing w:val="-19"/>
        </w:rPr>
        <w:t>法精准指导临床用药；细胞药代动力学研究可有效指导该类新药及制剂的药代动力学、药效、</w:t>
      </w:r>
      <w:r>
        <w:rPr/>
        <w:t>毒性以及临床研究，促进用药方案的精准化。</w:t>
      </w:r>
    </w:p>
    <w:p>
      <w:pPr>
        <w:pStyle w:val="BodyText"/>
        <w:spacing w:line="312" w:lineRule="auto" w:before="2"/>
        <w:ind w:right="112"/>
      </w:pPr>
      <w:r>
        <w:rPr/>
        <w:t>中国工程院院士、河北医科大学第三医院名誉院长张英泽作题为《医学创新的十大关 </w:t>
      </w:r>
      <w:r>
        <w:rPr>
          <w:spacing w:val="-17"/>
        </w:rPr>
        <w:t>系》。报告点明了创新的重要性，并从创新与环境关系、创新与借鉴关系、创新与观察关系、</w:t>
      </w:r>
      <w:r>
        <w:rPr>
          <w:spacing w:val="-9"/>
        </w:rPr>
        <w:t>创新与思考关系、创新与实践关系等方面，全方位、多角度阐述了医务工作者创新思维的培</w:t>
      </w:r>
      <w:r>
        <w:rPr>
          <w:spacing w:val="-12"/>
        </w:rPr>
        <w:t>养方法；同时，结合自己医学实践以及国内外学者实践经历，旁征博引，直观而具象地举例</w:t>
      </w:r>
      <w:r>
        <w:rPr>
          <w:spacing w:val="-13"/>
        </w:rPr>
        <w:t>说明在生活、工作中迸发创新创造。创新需要长期实践的积累，认真观察，反复思考，才能迸发创新思维；将创新思维立刻进行实验，不断修正、完善和时间，才能产生创新成果。</w:t>
      </w:r>
    </w:p>
    <w:p>
      <w:pPr>
        <w:pStyle w:val="BodyText"/>
        <w:spacing w:line="312" w:lineRule="auto" w:before="2"/>
        <w:ind w:right="227"/>
        <w:jc w:val="both"/>
      </w:pPr>
      <w:r>
        <w:rPr>
          <w:spacing w:val="-7"/>
        </w:rPr>
        <w:t>中国科学院上海药物研究所岳建民院士作题为《中草药是发现药物和药物先导的重要资</w:t>
      </w:r>
      <w:r>
        <w:rPr>
          <w:spacing w:val="-12"/>
        </w:rPr>
        <w:t>源》的报告。新颖结构活性天然产物在新药研发中具有非常重要的作用和地位，中草药是发</w:t>
      </w:r>
      <w:r>
        <w:rPr>
          <w:spacing w:val="-7"/>
        </w:rPr>
        <w:t>现药物和药物先导的重要资源。岳院士团队长期致力于中草药中活性化学成分的研究，发现</w:t>
      </w:r>
      <w:r>
        <w:rPr>
          <w:spacing w:val="-4"/>
        </w:rPr>
        <w:t>了大量结构新颖、活性显著的萜类</w:t>
      </w:r>
      <w:r>
        <w:rPr/>
        <w:t>（</w:t>
      </w:r>
      <w:r>
        <w:rPr>
          <w:spacing w:val="-3"/>
        </w:rPr>
        <w:t>包括倍半萜、二萜和三萜</w:t>
      </w:r>
      <w:r>
        <w:rPr>
          <w:spacing w:val="-17"/>
        </w:rPr>
        <w:t>）</w:t>
      </w:r>
      <w:r>
        <w:rPr>
          <w:spacing w:val="-7"/>
        </w:rPr>
        <w:t>、生物碱、大环内酯等类型</w:t>
      </w:r>
      <w:r>
        <w:rPr>
          <w:spacing w:val="-9"/>
        </w:rPr>
        <w:t>的化合物；对 </w:t>
      </w:r>
      <w:r>
        <w:rPr/>
        <w:t>80</w:t>
      </w:r>
      <w:r>
        <w:rPr>
          <w:spacing w:val="-8"/>
        </w:rPr>
        <w:t> 余种药用植物进行了系统深入的研究，发现了大量结构新颖的化合物，其</w:t>
      </w:r>
    </w:p>
    <w:p>
      <w:pPr>
        <w:pStyle w:val="BodyText"/>
        <w:spacing w:line="312" w:lineRule="auto" w:before="1"/>
        <w:ind w:right="229" w:firstLine="0"/>
        <w:jc w:val="both"/>
      </w:pPr>
      <w:r>
        <w:rPr>
          <w:spacing w:val="-8"/>
        </w:rPr>
        <w:t>中新化合物超过 </w:t>
      </w:r>
      <w:r>
        <w:rPr/>
        <w:t>450</w:t>
      </w:r>
      <w:r>
        <w:rPr>
          <w:spacing w:val="-16"/>
        </w:rPr>
        <w:t> 个，特别是多种新骨架结构类型，多个系列的新化合物显示非常强的生</w:t>
      </w:r>
      <w:r>
        <w:rPr/>
        <w:t>物活性，包括抗肿瘤、抗艾滋病、免疫抑制等。</w:t>
      </w:r>
    </w:p>
    <w:p>
      <w:pPr>
        <w:pStyle w:val="BodyText"/>
        <w:spacing w:line="312" w:lineRule="auto"/>
        <w:ind w:right="228"/>
        <w:jc w:val="both"/>
      </w:pPr>
      <w:r>
        <w:rPr/>
        <w:t>中国科技大学免疫学研究所所长田志刚院士作题为《肿瘤免疫治疗进展与前景--基于NK</w:t>
      </w:r>
      <w:r>
        <w:rPr>
          <w:spacing w:val="-11"/>
        </w:rPr>
        <w:t> 细胞的免疫治疗》的报告。全世界已经进入基于 </w:t>
      </w:r>
      <w:r>
        <w:rPr/>
        <w:t>T</w:t>
      </w:r>
      <w:r>
        <w:rPr>
          <w:spacing w:val="-8"/>
        </w:rPr>
        <w:t> 细胞的肿瘤免疫治疗新时代，治疗性肿瘤疫苗、抗癌单克隆抗体、卡控点抗体、双/多功能抗体类似物、超级细胞因子、细胞治疗</w:t>
      </w:r>
      <w:r>
        <w:rPr/>
        <w:t>（</w:t>
      </w:r>
      <w:r>
        <w:rPr>
          <w:spacing w:val="-3"/>
        </w:rPr>
        <w:t>基因修饰、蛋白武装、适配体装配等等</w:t>
      </w:r>
      <w:r>
        <w:rPr>
          <w:spacing w:val="-8"/>
        </w:rPr>
        <w:t>）</w:t>
      </w:r>
      <w:r>
        <w:rPr>
          <w:spacing w:val="-1"/>
        </w:rPr>
        <w:t>等前沿技术领域竞争激烈。</w:t>
      </w:r>
      <w:r>
        <w:rPr/>
        <w:t>NK</w:t>
      </w:r>
      <w:r>
        <w:rPr>
          <w:spacing w:val="-26"/>
        </w:rPr>
        <w:t> 细胞</w:t>
      </w:r>
      <w:r>
        <w:rPr/>
        <w:t>（Natural Killer</w:t>
      </w:r>
      <w:r>
        <w:rPr>
          <w:spacing w:val="-59"/>
        </w:rPr>
        <w:t> </w:t>
      </w:r>
      <w:r>
        <w:rPr>
          <w:spacing w:val="-4"/>
        </w:rPr>
        <w:t>Cell）</w:t>
      </w:r>
      <w:r>
        <w:rPr>
          <w:spacing w:val="-7"/>
        </w:rPr>
        <w:t>又称为自然杀伤细胞，是肿瘤的“天然杀手”，基于 </w:t>
      </w:r>
      <w:r>
        <w:rPr/>
        <w:t>NK</w:t>
      </w:r>
      <w:r>
        <w:rPr>
          <w:spacing w:val="-9"/>
        </w:rPr>
        <w:t> 细胞的免疫治疗是待</w:t>
      </w:r>
      <w:r>
        <w:rPr>
          <w:spacing w:val="-4"/>
        </w:rPr>
        <w:t>开垦的肿瘤治疗的“半壁江山”，基于 </w:t>
      </w:r>
      <w:r>
        <w:rPr/>
        <w:t>NK</w:t>
      </w:r>
      <w:r>
        <w:rPr>
          <w:spacing w:val="-8"/>
        </w:rPr>
        <w:t> 细胞的肿瘤免疫治疗所具有的巨大前景。</w:t>
      </w:r>
    </w:p>
    <w:p>
      <w:pPr>
        <w:pStyle w:val="BodyText"/>
        <w:spacing w:line="312" w:lineRule="auto" w:before="2"/>
        <w:ind w:right="107"/>
      </w:pPr>
      <w:r>
        <w:rPr>
          <w:spacing w:val="-12"/>
        </w:rPr>
        <w:t>本次大会注重青年药学学者创新发展，开设药剂学青年科学家论坛、海洋药物博士论坛、</w:t>
      </w:r>
      <w:r>
        <w:rPr>
          <w:spacing w:val="-4"/>
        </w:rPr>
        <w:t>纳米药物青年学者论坛和青年药学人才创新发展研讨会等四个分分会场，为青年药学人才健</w:t>
      </w:r>
      <w:r>
        <w:rPr>
          <w:spacing w:val="-13"/>
        </w:rPr>
        <w:t>康成长搭建交流、探讨平台。中国药学会监事长陈凯先院士在“药学青年人才创新与发展研讨会”上，以亲身经历寄语广大青年药学科技工作者“不忘初心，勇担使命，创新成才”。</w:t>
      </w:r>
      <w:r>
        <w:rPr>
          <w:spacing w:val="-17"/>
        </w:rPr>
        <w:t>报告围绕青年人才创新成长主题，分析了当代生物医药科技创新的前沿和由此引发的产业变</w:t>
      </w:r>
      <w:r>
        <w:rPr>
          <w:spacing w:val="-14"/>
        </w:rPr>
        <w:t>革趋势，阐述了面临的机遇和挑战；并分析了我国新药研究和医药产业发展新阶段的任务和</w:t>
      </w:r>
      <w:r>
        <w:rPr>
          <w:spacing w:val="-20"/>
        </w:rPr>
        <w:t>目标，阐述今后 </w:t>
      </w:r>
      <w:r>
        <w:rPr/>
        <w:t>15</w:t>
      </w:r>
      <w:r>
        <w:rPr>
          <w:spacing w:val="-8"/>
        </w:rPr>
        <w:t> 年发展目标和历史使命；并从知识结构、创新意识、科学精神、学科交叉等方面，畅谈了新时代青年人才培养和成长的看法和建议。</w:t>
      </w:r>
    </w:p>
    <w:p>
      <w:pPr>
        <w:pStyle w:val="BodyText"/>
        <w:spacing w:before="4"/>
        <w:ind w:left="637" w:firstLine="0"/>
      </w:pPr>
      <w:r>
        <w:rPr/>
        <w:t>大会期间，召开了中国药学会 24 届理事会第二十次常务理事会议等。</w:t>
      </w:r>
    </w:p>
    <w:p>
      <w:pPr>
        <w:pStyle w:val="BodyText"/>
        <w:spacing w:line="312" w:lineRule="auto" w:before="90"/>
        <w:ind w:right="232"/>
      </w:pPr>
      <w:r>
        <w:rPr/>
        <w:t>大会号召中国药学会全体会员和广大药学工作者深入学习贯彻落实习近平新时代中国</w:t>
      </w:r>
      <w:r>
        <w:rPr>
          <w:spacing w:val="-9"/>
        </w:rPr>
        <w:t>特色社会主义思想，不忘初心，牢记使命，把引领药学科学技术，服务人类健康的梦想，融</w:t>
      </w:r>
    </w:p>
    <w:p>
      <w:pPr>
        <w:spacing w:after="0" w:line="312" w:lineRule="auto"/>
        <w:sectPr>
          <w:pgSz w:w="11910" w:h="16850"/>
          <w:pgMar w:header="906" w:footer="607" w:top="1100" w:bottom="800" w:left="1120" w:right="900"/>
        </w:sectPr>
      </w:pPr>
    </w:p>
    <w:p>
      <w:pPr>
        <w:pStyle w:val="BodyText"/>
        <w:spacing w:line="276" w:lineRule="auto" w:before="79"/>
        <w:ind w:right="227" w:firstLine="0"/>
        <w:rPr>
          <w:rFonts w:ascii="Meiryo" w:eastAsia="Meiryo" w:hint="eastAsia"/>
          <w:b/>
        </w:rPr>
      </w:pPr>
      <w:r>
        <w:rPr>
          <w:spacing w:val="-7"/>
        </w:rPr>
        <w:t>入中华民族伟大复兴的中国梦之中，为我国医药健康事业发展作出新的更大贡献，以优异成绩庆祝新中国成立 </w:t>
      </w:r>
      <w:r>
        <w:rPr/>
        <w:t>70</w:t>
      </w:r>
      <w:r>
        <w:rPr>
          <w:spacing w:val="-12"/>
        </w:rPr>
        <w:t> 周年！ </w:t>
      </w:r>
      <w:r>
        <w:rPr>
          <w:rFonts w:ascii="Meiryo" w:eastAsia="Meiryo" w:hint="eastAsia"/>
          <w:b/>
          <w:color w:val="0033CC"/>
        </w:rPr>
        <w:t>[返回目次]</w:t>
      </w:r>
    </w:p>
    <w:sectPr>
      <w:pgSz w:w="11910" w:h="16850"/>
      <w:pgMar w:header="906" w:footer="607" w:top="1100" w:bottom="800" w:left="11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华文楷体">
    <w:altName w:val="华文楷体"/>
    <w:charset w:val="86"/>
    <w:family w:val="auto"/>
    <w:pitch w:val="variable"/>
  </w:font>
  <w:font w:name="Meiryo">
    <w:altName w:val="Meiryo"/>
    <w:charset w:val="0"/>
    <w:family w:val="swiss"/>
    <w:pitch w:val="variable"/>
  </w:font>
  <w:font w:name="Calibri">
    <w:altName w:val="Calibri"/>
    <w:charset w:val="0"/>
    <w:family w:val="swiss"/>
    <w:pitch w:val="variable"/>
  </w:font>
  <w:font w:name="黑体">
    <w:altName w:val="黑体"/>
    <w:charset w:val="86"/>
    <w:family w:val="modern"/>
    <w:pitch w:val="fixed"/>
  </w:font>
  <w:font w:name="Microsoft JhengHei">
    <w:altName w:val="Microsoft JhengHei"/>
    <w:charset w:val="0"/>
    <w:family w:val="swiss"/>
    <w:pitch w:val="variable"/>
  </w:font>
  <w:font w:name="宋体">
    <w:altName w:val="宋体"/>
    <w:charset w:val="86"/>
    <w:family w:val="auto"/>
    <w:pitch w:val="variable"/>
  </w:font>
  <w:font w:name="隶书">
    <w:altName w:val="隶书"/>
    <w:charset w:val="86"/>
    <w:family w:val="modern"/>
    <w:pitch w:val="fixed"/>
  </w:font>
  <w:font w:name="华文宋体">
    <w:altName w:val="华文宋体"/>
    <w:charset w:val="86"/>
    <w:family w:val="auto"/>
    <w:pitch w:val="variable"/>
  </w:font>
  <w:font w:name="楷体">
    <w:altName w:val="楷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271705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95.970001pt;margin-top:789.769958pt;width:10.6pt;height:11pt;mso-position-horizontal-relative:page;mso-position-vertical-relative:page;z-index:-25271500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71296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60.863998pt;margin-top:800.690002pt;width:15.15pt;height:11pt;mso-position-horizontal-relative:page;mso-position-vertical-relative:page;z-index:-25270988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35</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716032"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713984" from="62.400002pt,54.959976pt" to="540.220002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711936" from="62.400002pt,54.959976pt" to="540.220002pt,54.959976pt" stroked="true" strokeweight=".72pt" strokecolor="#000000">
          <v:stroke dashstyle="solid"/>
          <w10:wrap type="non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252710912"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83" w:hanging="244"/>
        <w:jc w:val="left"/>
      </w:pPr>
      <w:rPr>
        <w:rFonts w:hint="default" w:ascii="宋体" w:hAnsi="宋体" w:eastAsia="宋体" w:cs="宋体"/>
        <w:b/>
        <w:bCs/>
        <w:spacing w:val="-1"/>
        <w:w w:val="99"/>
        <w:sz w:val="22"/>
        <w:szCs w:val="22"/>
        <w:lang w:val="zh-cn" w:eastAsia="zh-cn" w:bidi="zh-cn"/>
      </w:rPr>
    </w:lvl>
    <w:lvl w:ilvl="1">
      <w:start w:val="0"/>
      <w:numFmt w:val="bullet"/>
      <w:lvlText w:val="•"/>
      <w:lvlJc w:val="left"/>
      <w:pPr>
        <w:ind w:left="1780" w:hanging="244"/>
      </w:pPr>
      <w:rPr>
        <w:rFonts w:hint="default"/>
        <w:lang w:val="zh-cn" w:eastAsia="zh-cn" w:bidi="zh-cn"/>
      </w:rPr>
    </w:lvl>
    <w:lvl w:ilvl="2">
      <w:start w:val="0"/>
      <w:numFmt w:val="bullet"/>
      <w:lvlText w:val="•"/>
      <w:lvlJc w:val="left"/>
      <w:pPr>
        <w:ind w:left="2681" w:hanging="244"/>
      </w:pPr>
      <w:rPr>
        <w:rFonts w:hint="default"/>
        <w:lang w:val="zh-cn" w:eastAsia="zh-cn" w:bidi="zh-cn"/>
      </w:rPr>
    </w:lvl>
    <w:lvl w:ilvl="3">
      <w:start w:val="0"/>
      <w:numFmt w:val="bullet"/>
      <w:lvlText w:val="•"/>
      <w:lvlJc w:val="left"/>
      <w:pPr>
        <w:ind w:left="3581" w:hanging="244"/>
      </w:pPr>
      <w:rPr>
        <w:rFonts w:hint="default"/>
        <w:lang w:val="zh-cn" w:eastAsia="zh-cn" w:bidi="zh-cn"/>
      </w:rPr>
    </w:lvl>
    <w:lvl w:ilvl="4">
      <w:start w:val="0"/>
      <w:numFmt w:val="bullet"/>
      <w:lvlText w:val="•"/>
      <w:lvlJc w:val="left"/>
      <w:pPr>
        <w:ind w:left="4482" w:hanging="244"/>
      </w:pPr>
      <w:rPr>
        <w:rFonts w:hint="default"/>
        <w:lang w:val="zh-cn" w:eastAsia="zh-cn" w:bidi="zh-cn"/>
      </w:rPr>
    </w:lvl>
    <w:lvl w:ilvl="5">
      <w:start w:val="0"/>
      <w:numFmt w:val="bullet"/>
      <w:lvlText w:val="•"/>
      <w:lvlJc w:val="left"/>
      <w:pPr>
        <w:ind w:left="5383" w:hanging="244"/>
      </w:pPr>
      <w:rPr>
        <w:rFonts w:hint="default"/>
        <w:lang w:val="zh-cn" w:eastAsia="zh-cn" w:bidi="zh-cn"/>
      </w:rPr>
    </w:lvl>
    <w:lvl w:ilvl="6">
      <w:start w:val="0"/>
      <w:numFmt w:val="bullet"/>
      <w:lvlText w:val="•"/>
      <w:lvlJc w:val="left"/>
      <w:pPr>
        <w:ind w:left="6283" w:hanging="244"/>
      </w:pPr>
      <w:rPr>
        <w:rFonts w:hint="default"/>
        <w:lang w:val="zh-cn" w:eastAsia="zh-cn" w:bidi="zh-cn"/>
      </w:rPr>
    </w:lvl>
    <w:lvl w:ilvl="7">
      <w:start w:val="0"/>
      <w:numFmt w:val="bullet"/>
      <w:lvlText w:val="•"/>
      <w:lvlJc w:val="left"/>
      <w:pPr>
        <w:ind w:left="7184" w:hanging="244"/>
      </w:pPr>
      <w:rPr>
        <w:rFonts w:hint="default"/>
        <w:lang w:val="zh-cn" w:eastAsia="zh-cn" w:bidi="zh-cn"/>
      </w:rPr>
    </w:lvl>
    <w:lvl w:ilvl="8">
      <w:start w:val="0"/>
      <w:numFmt w:val="bullet"/>
      <w:lvlText w:val="•"/>
      <w:lvlJc w:val="left"/>
      <w:pPr>
        <w:ind w:left="8085" w:hanging="244"/>
      </w:pPr>
      <w:rPr>
        <w:rFonts w:hint="default"/>
        <w:lang w:val="zh-cn" w:eastAsia="zh-cn" w:bidi="zh-cn"/>
      </w:rPr>
    </w:lvl>
  </w:abstractNum>
  <w:abstractNum w:abstractNumId="3">
    <w:multiLevelType w:val="hybridMultilevel"/>
    <w:lvl w:ilvl="0">
      <w:start w:val="7"/>
      <w:numFmt w:val="decimal"/>
      <w:lvlText w:val="%1."/>
      <w:lvlJc w:val="left"/>
      <w:pPr>
        <w:ind w:left="883" w:hanging="244"/>
        <w:jc w:val="left"/>
      </w:pPr>
      <w:rPr>
        <w:rFonts w:hint="default" w:ascii="宋体" w:hAnsi="宋体" w:eastAsia="宋体" w:cs="宋体"/>
        <w:b/>
        <w:bCs/>
        <w:spacing w:val="-1"/>
        <w:w w:val="99"/>
        <w:sz w:val="22"/>
        <w:szCs w:val="22"/>
        <w:lang w:val="zh-cn" w:eastAsia="zh-cn" w:bidi="zh-cn"/>
      </w:rPr>
    </w:lvl>
    <w:lvl w:ilvl="1">
      <w:start w:val="0"/>
      <w:numFmt w:val="bullet"/>
      <w:lvlText w:val="•"/>
      <w:lvlJc w:val="left"/>
      <w:pPr>
        <w:ind w:left="1780" w:hanging="244"/>
      </w:pPr>
      <w:rPr>
        <w:rFonts w:hint="default"/>
        <w:lang w:val="zh-cn" w:eastAsia="zh-cn" w:bidi="zh-cn"/>
      </w:rPr>
    </w:lvl>
    <w:lvl w:ilvl="2">
      <w:start w:val="0"/>
      <w:numFmt w:val="bullet"/>
      <w:lvlText w:val="•"/>
      <w:lvlJc w:val="left"/>
      <w:pPr>
        <w:ind w:left="2681" w:hanging="244"/>
      </w:pPr>
      <w:rPr>
        <w:rFonts w:hint="default"/>
        <w:lang w:val="zh-cn" w:eastAsia="zh-cn" w:bidi="zh-cn"/>
      </w:rPr>
    </w:lvl>
    <w:lvl w:ilvl="3">
      <w:start w:val="0"/>
      <w:numFmt w:val="bullet"/>
      <w:lvlText w:val="•"/>
      <w:lvlJc w:val="left"/>
      <w:pPr>
        <w:ind w:left="3581" w:hanging="244"/>
      </w:pPr>
      <w:rPr>
        <w:rFonts w:hint="default"/>
        <w:lang w:val="zh-cn" w:eastAsia="zh-cn" w:bidi="zh-cn"/>
      </w:rPr>
    </w:lvl>
    <w:lvl w:ilvl="4">
      <w:start w:val="0"/>
      <w:numFmt w:val="bullet"/>
      <w:lvlText w:val="•"/>
      <w:lvlJc w:val="left"/>
      <w:pPr>
        <w:ind w:left="4482" w:hanging="244"/>
      </w:pPr>
      <w:rPr>
        <w:rFonts w:hint="default"/>
        <w:lang w:val="zh-cn" w:eastAsia="zh-cn" w:bidi="zh-cn"/>
      </w:rPr>
    </w:lvl>
    <w:lvl w:ilvl="5">
      <w:start w:val="0"/>
      <w:numFmt w:val="bullet"/>
      <w:lvlText w:val="•"/>
      <w:lvlJc w:val="left"/>
      <w:pPr>
        <w:ind w:left="5383" w:hanging="244"/>
      </w:pPr>
      <w:rPr>
        <w:rFonts w:hint="default"/>
        <w:lang w:val="zh-cn" w:eastAsia="zh-cn" w:bidi="zh-cn"/>
      </w:rPr>
    </w:lvl>
    <w:lvl w:ilvl="6">
      <w:start w:val="0"/>
      <w:numFmt w:val="bullet"/>
      <w:lvlText w:val="•"/>
      <w:lvlJc w:val="left"/>
      <w:pPr>
        <w:ind w:left="6283" w:hanging="244"/>
      </w:pPr>
      <w:rPr>
        <w:rFonts w:hint="default"/>
        <w:lang w:val="zh-cn" w:eastAsia="zh-cn" w:bidi="zh-cn"/>
      </w:rPr>
    </w:lvl>
    <w:lvl w:ilvl="7">
      <w:start w:val="0"/>
      <w:numFmt w:val="bullet"/>
      <w:lvlText w:val="•"/>
      <w:lvlJc w:val="left"/>
      <w:pPr>
        <w:ind w:left="7184" w:hanging="244"/>
      </w:pPr>
      <w:rPr>
        <w:rFonts w:hint="default"/>
        <w:lang w:val="zh-cn" w:eastAsia="zh-cn" w:bidi="zh-cn"/>
      </w:rPr>
    </w:lvl>
    <w:lvl w:ilvl="8">
      <w:start w:val="0"/>
      <w:numFmt w:val="bullet"/>
      <w:lvlText w:val="•"/>
      <w:lvlJc w:val="left"/>
      <w:pPr>
        <w:ind w:left="8085" w:hanging="244"/>
      </w:pPr>
      <w:rPr>
        <w:rFonts w:hint="default"/>
        <w:lang w:val="zh-cn" w:eastAsia="zh-cn" w:bidi="zh-cn"/>
      </w:rPr>
    </w:lvl>
  </w:abstractNum>
  <w:abstractNum w:abstractNumId="1">
    <w:multiLevelType w:val="hybridMultilevel"/>
    <w:lvl w:ilvl="0">
      <w:start w:val="8"/>
      <w:numFmt w:val="decimal"/>
      <w:lvlText w:val="%1"/>
      <w:lvlJc w:val="left"/>
      <w:pPr>
        <w:ind w:left="817"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726" w:hanging="180"/>
      </w:pPr>
      <w:rPr>
        <w:rFonts w:hint="default"/>
        <w:lang w:val="zh-cn" w:eastAsia="zh-cn" w:bidi="zh-cn"/>
      </w:rPr>
    </w:lvl>
    <w:lvl w:ilvl="2">
      <w:start w:val="0"/>
      <w:numFmt w:val="bullet"/>
      <w:lvlText w:val="•"/>
      <w:lvlJc w:val="left"/>
      <w:pPr>
        <w:ind w:left="2633" w:hanging="180"/>
      </w:pPr>
      <w:rPr>
        <w:rFonts w:hint="default"/>
        <w:lang w:val="zh-cn" w:eastAsia="zh-cn" w:bidi="zh-cn"/>
      </w:rPr>
    </w:lvl>
    <w:lvl w:ilvl="3">
      <w:start w:val="0"/>
      <w:numFmt w:val="bullet"/>
      <w:lvlText w:val="•"/>
      <w:lvlJc w:val="left"/>
      <w:pPr>
        <w:ind w:left="3539" w:hanging="180"/>
      </w:pPr>
      <w:rPr>
        <w:rFonts w:hint="default"/>
        <w:lang w:val="zh-cn" w:eastAsia="zh-cn" w:bidi="zh-cn"/>
      </w:rPr>
    </w:lvl>
    <w:lvl w:ilvl="4">
      <w:start w:val="0"/>
      <w:numFmt w:val="bullet"/>
      <w:lvlText w:val="•"/>
      <w:lvlJc w:val="left"/>
      <w:pPr>
        <w:ind w:left="4446" w:hanging="180"/>
      </w:pPr>
      <w:rPr>
        <w:rFonts w:hint="default"/>
        <w:lang w:val="zh-cn" w:eastAsia="zh-cn" w:bidi="zh-cn"/>
      </w:rPr>
    </w:lvl>
    <w:lvl w:ilvl="5">
      <w:start w:val="0"/>
      <w:numFmt w:val="bullet"/>
      <w:lvlText w:val="•"/>
      <w:lvlJc w:val="left"/>
      <w:pPr>
        <w:ind w:left="5353" w:hanging="180"/>
      </w:pPr>
      <w:rPr>
        <w:rFonts w:hint="default"/>
        <w:lang w:val="zh-cn" w:eastAsia="zh-cn" w:bidi="zh-cn"/>
      </w:rPr>
    </w:lvl>
    <w:lvl w:ilvl="6">
      <w:start w:val="0"/>
      <w:numFmt w:val="bullet"/>
      <w:lvlText w:val="•"/>
      <w:lvlJc w:val="left"/>
      <w:pPr>
        <w:ind w:left="6259" w:hanging="180"/>
      </w:pPr>
      <w:rPr>
        <w:rFonts w:hint="default"/>
        <w:lang w:val="zh-cn" w:eastAsia="zh-cn" w:bidi="zh-cn"/>
      </w:rPr>
    </w:lvl>
    <w:lvl w:ilvl="7">
      <w:start w:val="0"/>
      <w:numFmt w:val="bullet"/>
      <w:lvlText w:val="•"/>
      <w:lvlJc w:val="left"/>
      <w:pPr>
        <w:ind w:left="7166" w:hanging="180"/>
      </w:pPr>
      <w:rPr>
        <w:rFonts w:hint="default"/>
        <w:lang w:val="zh-cn" w:eastAsia="zh-cn" w:bidi="zh-cn"/>
      </w:rPr>
    </w:lvl>
    <w:lvl w:ilvl="8">
      <w:start w:val="0"/>
      <w:numFmt w:val="bullet"/>
      <w:lvlText w:val="•"/>
      <w:lvlJc w:val="left"/>
      <w:pPr>
        <w:ind w:left="8073" w:hanging="180"/>
      </w:pPr>
      <w:rPr>
        <w:rFonts w:hint="default"/>
        <w:lang w:val="zh-cn" w:eastAsia="zh-cn" w:bidi="zh-cn"/>
      </w:rPr>
    </w:lvl>
  </w:abstractNum>
  <w:abstractNum w:abstractNumId="0">
    <w:multiLevelType w:val="hybridMultilevel"/>
    <w:lvl w:ilvl="0">
      <w:start w:val="8"/>
      <w:numFmt w:val="decimal"/>
      <w:lvlText w:val="%1"/>
      <w:lvlJc w:val="left"/>
      <w:pPr>
        <w:ind w:left="819"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1726" w:hanging="180"/>
      </w:pPr>
      <w:rPr>
        <w:rFonts w:hint="default"/>
        <w:lang w:val="zh-cn" w:eastAsia="zh-cn" w:bidi="zh-cn"/>
      </w:rPr>
    </w:lvl>
    <w:lvl w:ilvl="2">
      <w:start w:val="0"/>
      <w:numFmt w:val="bullet"/>
      <w:lvlText w:val="•"/>
      <w:lvlJc w:val="left"/>
      <w:pPr>
        <w:ind w:left="2633" w:hanging="180"/>
      </w:pPr>
      <w:rPr>
        <w:rFonts w:hint="default"/>
        <w:lang w:val="zh-cn" w:eastAsia="zh-cn" w:bidi="zh-cn"/>
      </w:rPr>
    </w:lvl>
    <w:lvl w:ilvl="3">
      <w:start w:val="0"/>
      <w:numFmt w:val="bullet"/>
      <w:lvlText w:val="•"/>
      <w:lvlJc w:val="left"/>
      <w:pPr>
        <w:ind w:left="3539" w:hanging="180"/>
      </w:pPr>
      <w:rPr>
        <w:rFonts w:hint="default"/>
        <w:lang w:val="zh-cn" w:eastAsia="zh-cn" w:bidi="zh-cn"/>
      </w:rPr>
    </w:lvl>
    <w:lvl w:ilvl="4">
      <w:start w:val="0"/>
      <w:numFmt w:val="bullet"/>
      <w:lvlText w:val="•"/>
      <w:lvlJc w:val="left"/>
      <w:pPr>
        <w:ind w:left="4446" w:hanging="180"/>
      </w:pPr>
      <w:rPr>
        <w:rFonts w:hint="default"/>
        <w:lang w:val="zh-cn" w:eastAsia="zh-cn" w:bidi="zh-cn"/>
      </w:rPr>
    </w:lvl>
    <w:lvl w:ilvl="5">
      <w:start w:val="0"/>
      <w:numFmt w:val="bullet"/>
      <w:lvlText w:val="•"/>
      <w:lvlJc w:val="left"/>
      <w:pPr>
        <w:ind w:left="5353" w:hanging="180"/>
      </w:pPr>
      <w:rPr>
        <w:rFonts w:hint="default"/>
        <w:lang w:val="zh-cn" w:eastAsia="zh-cn" w:bidi="zh-cn"/>
      </w:rPr>
    </w:lvl>
    <w:lvl w:ilvl="6">
      <w:start w:val="0"/>
      <w:numFmt w:val="bullet"/>
      <w:lvlText w:val="•"/>
      <w:lvlJc w:val="left"/>
      <w:pPr>
        <w:ind w:left="6259" w:hanging="180"/>
      </w:pPr>
      <w:rPr>
        <w:rFonts w:hint="default"/>
        <w:lang w:val="zh-cn" w:eastAsia="zh-cn" w:bidi="zh-cn"/>
      </w:rPr>
    </w:lvl>
    <w:lvl w:ilvl="7">
      <w:start w:val="0"/>
      <w:numFmt w:val="bullet"/>
      <w:lvlText w:val="•"/>
      <w:lvlJc w:val="left"/>
      <w:pPr>
        <w:ind w:left="7166" w:hanging="180"/>
      </w:pPr>
      <w:rPr>
        <w:rFonts w:hint="default"/>
        <w:lang w:val="zh-cn" w:eastAsia="zh-cn" w:bidi="zh-cn"/>
      </w:rPr>
    </w:lvl>
    <w:lvl w:ilvl="8">
      <w:start w:val="0"/>
      <w:numFmt w:val="bullet"/>
      <w:lvlText w:val="•"/>
      <w:lvlJc w:val="left"/>
      <w:pPr>
        <w:ind w:left="8073" w:hanging="180"/>
      </w:pPr>
      <w:rPr>
        <w:rFonts w:hint="default"/>
        <w:lang w:val="zh-cn" w:eastAsia="zh-cn" w:bidi="zh-cn"/>
      </w:rPr>
    </w:lvl>
  </w:abstractNum>
  <w:num w:numId="3">
    <w:abstractNumId w:val="2"/>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09" w:lineRule="exact"/>
      <w:ind w:left="160" w:right="232"/>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58"/>
      <w:ind w:left="368"/>
    </w:pPr>
    <w:rPr>
      <w:rFonts w:ascii="宋体" w:hAnsi="宋体" w:eastAsia="宋体" w:cs="宋体"/>
      <w:sz w:val="24"/>
      <w:szCs w:val="24"/>
      <w:lang w:val="zh-cn" w:eastAsia="zh-cn" w:bidi="zh-cn"/>
    </w:rPr>
  </w:style>
  <w:style w:styleId="TOC3" w:type="paragraph">
    <w:name w:val="TOC 3"/>
    <w:basedOn w:val="Normal"/>
    <w:uiPriority w:val="1"/>
    <w:qFormat/>
    <w:pPr>
      <w:ind w:left="368"/>
    </w:pPr>
    <w:rPr>
      <w:rFonts w:ascii="Microsoft JhengHei" w:hAnsi="Microsoft JhengHei" w:eastAsia="Microsoft JhengHei" w:cs="Microsoft JhengHei"/>
      <w:b/>
      <w:bCs/>
      <w:i/>
      <w:lang w:val="zh-cn" w:eastAsia="zh-cn" w:bidi="zh-cn"/>
    </w:rPr>
  </w:style>
  <w:style w:styleId="BodyText" w:type="paragraph">
    <w:name w:val="Body Text"/>
    <w:basedOn w:val="Normal"/>
    <w:uiPriority w:val="1"/>
    <w:qFormat/>
    <w:pPr>
      <w:ind w:left="157" w:firstLine="480"/>
    </w:pPr>
    <w:rPr>
      <w:rFonts w:ascii="宋体" w:hAnsi="宋体" w:eastAsia="宋体" w:cs="宋体"/>
      <w:sz w:val="24"/>
      <w:szCs w:val="24"/>
      <w:lang w:val="zh-cn" w:eastAsia="zh-cn" w:bidi="zh-cn"/>
    </w:rPr>
  </w:style>
  <w:style w:styleId="Heading1" w:type="paragraph">
    <w:name w:val="Heading 1"/>
    <w:basedOn w:val="Normal"/>
    <w:uiPriority w:val="1"/>
    <w:qFormat/>
    <w:pPr>
      <w:ind w:left="965"/>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160"/>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ind w:left="639"/>
      <w:outlineLvl w:val="3"/>
    </w:pPr>
    <w:rPr>
      <w:rFonts w:ascii="宋体" w:hAnsi="宋体" w:eastAsia="宋体" w:cs="宋体"/>
      <w:b/>
      <w:bCs/>
      <w:sz w:val="24"/>
      <w:szCs w:val="24"/>
      <w:lang w:val="zh-cn" w:eastAsia="zh-cn" w:bidi="zh-cn"/>
    </w:rPr>
  </w:style>
  <w:style w:styleId="ListParagraph" w:type="paragraph">
    <w:name w:val="List Paragraph"/>
    <w:basedOn w:val="Normal"/>
    <w:uiPriority w:val="1"/>
    <w:qFormat/>
    <w:pPr>
      <w:ind w:left="883" w:hanging="245"/>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hyperlink" Target="http://www.cpa.org.cn/cpadmn/attached/file/20190905/1567672168978757.pdf" TargetMode="Externa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eader" Target="header3.xml"/><Relationship Id="rId18" Type="http://schemas.openxmlformats.org/officeDocument/2006/relationships/footer" Target="footer4.xml"/><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header" Target="header4.xml"/><Relationship Id="rId23" Type="http://schemas.openxmlformats.org/officeDocument/2006/relationships/footer" Target="footer5.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2019-10-23T03:35:57Z</dcterms:created>
  <dcterms:modified xsi:type="dcterms:W3CDTF">2019-10-23T03:35:57Z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Microsoft® Office Word 2007</vt:lpwstr>
  </property>
  <property fmtid="{D5CDD505-2E9C-101B-9397-08002B2CF9AE}" pid="4" name="LastSaved">
    <vt:filetime>2019-10-23T00:00:00Z</vt:filetime>
  </property>
</Properties>
</file>