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Default Extension="png" ContentType="image/png"/>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
        <w:rPr>
          <w:rFonts w:ascii="Times New Roman"/>
          <w:sz w:val="20"/>
        </w:rPr>
      </w:pPr>
      <w:r>
        <w:rPr>
          <w:rFonts w:ascii="Times New Roman"/>
          <w:sz w:val="20"/>
        </w:rPr>
        <w:pict>
          <v:group style="width:540.6pt;height:161.3pt;mso-position-horizontal-relative:char;mso-position-vertical-relative:line" coordorigin="0,0" coordsize="10812,3226">
            <v:line style="position:absolute" from="600,7" to="10156,7" stroked="true" strokeweight=".72pt" strokecolor="#000000">
              <v:stroke dashstyle="solid"/>
            </v:line>
            <v:shape style="position:absolute;left:0;top:7;width:10812;height:3219" type="#_x0000_t75" stroked="false">
              <v:imagedata r:id="rId6" o:title=""/>
            </v:shape>
          </v:group>
        </w:pict>
      </w:r>
      <w:r>
        <w:rPr>
          <w:rFonts w:ascii="Times New Roman"/>
          <w:sz w:val="20"/>
        </w:rPr>
      </w:r>
    </w:p>
    <w:p>
      <w:pPr>
        <w:pStyle w:val="Heading4"/>
        <w:tabs>
          <w:tab w:pos="3297" w:val="left" w:leader="none"/>
        </w:tabs>
        <w:spacing w:before="62"/>
        <w:ind w:right="256"/>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12</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210</w:t>
      </w:r>
      <w:r>
        <w:rPr>
          <w:rFonts w:ascii="黑体" w:eastAsia="黑体" w:hint="eastAsia"/>
          <w:spacing w:val="-81"/>
        </w:rPr>
        <w:t> </w:t>
      </w:r>
      <w:r>
        <w:rPr>
          <w:rFonts w:ascii="黑体" w:eastAsia="黑体" w:hint="eastAsia"/>
        </w:rPr>
        <w:t>期</w:t>
      </w:r>
    </w:p>
    <w:p>
      <w:pPr>
        <w:tabs>
          <w:tab w:pos="7809" w:val="left" w:leader="none"/>
        </w:tabs>
        <w:spacing w:before="230"/>
        <w:ind w:left="778" w:right="0" w:firstLine="0"/>
        <w:jc w:val="left"/>
        <w:rPr>
          <w:rFonts w:ascii="楷体" w:eastAsia="楷体" w:hint="eastAsia"/>
          <w:b/>
          <w:sz w:val="28"/>
        </w:rPr>
      </w:pPr>
      <w:r>
        <w:rPr/>
        <w:pict>
          <v:shape style="position:absolute;margin-left:55pt;margin-top:36.279995pt;width:491.25pt;height:.1pt;mso-position-horizontal-relative:page;mso-position-vertical-relative:paragraph;z-index:-251657216;mso-wrap-distance-left:0;mso-wrap-distance-right:0" coordorigin="1100,726" coordsize="9825,0" path="m1100,726l10925,726e" filled="false" stroked="true" strokeweight="2.25pt" strokecolor="#ff0000">
            <v:path arrowok="t"/>
            <v:stroke dashstyle="solid"/>
            <w10:wrap type="topAndBottom"/>
          </v:shape>
        </w:pict>
      </w:r>
      <w:r>
        <w:rPr>
          <w:rFonts w:ascii="楷体" w:eastAsia="楷体" w:hint="eastAsia"/>
          <w:b/>
          <w:sz w:val="28"/>
        </w:rPr>
        <w:t>中国药学会科技开发中心 组织联络部</w:t>
        <w:tab/>
        <w:t>2019</w:t>
      </w:r>
      <w:r>
        <w:rPr>
          <w:rFonts w:ascii="楷体" w:eastAsia="楷体" w:hint="eastAsia"/>
          <w:b/>
          <w:spacing w:val="-71"/>
          <w:sz w:val="28"/>
        </w:rPr>
        <w:t> </w:t>
      </w:r>
      <w:r>
        <w:rPr>
          <w:rFonts w:ascii="楷体" w:eastAsia="楷体" w:hint="eastAsia"/>
          <w:b/>
          <w:sz w:val="28"/>
        </w:rPr>
        <w:t>年</w:t>
      </w:r>
      <w:r>
        <w:rPr>
          <w:rFonts w:ascii="楷体" w:eastAsia="楷体" w:hint="eastAsia"/>
          <w:b/>
          <w:spacing w:val="-70"/>
          <w:sz w:val="28"/>
        </w:rPr>
        <w:t> </w:t>
      </w:r>
      <w:r>
        <w:rPr>
          <w:rFonts w:ascii="楷体" w:eastAsia="楷体" w:hint="eastAsia"/>
          <w:b/>
          <w:sz w:val="28"/>
        </w:rPr>
        <w:t>7</w:t>
      </w:r>
      <w:r>
        <w:rPr>
          <w:rFonts w:ascii="楷体" w:eastAsia="楷体" w:hint="eastAsia"/>
          <w:b/>
          <w:spacing w:val="-73"/>
          <w:sz w:val="28"/>
        </w:rPr>
        <w:t> </w:t>
      </w:r>
      <w:r>
        <w:rPr>
          <w:rFonts w:ascii="楷体" w:eastAsia="楷体" w:hint="eastAsia"/>
          <w:b/>
          <w:sz w:val="28"/>
        </w:rPr>
        <w:t>月</w:t>
      </w:r>
      <w:r>
        <w:rPr>
          <w:rFonts w:ascii="楷体" w:eastAsia="楷体" w:hint="eastAsia"/>
          <w:b/>
          <w:spacing w:val="-70"/>
          <w:sz w:val="28"/>
        </w:rPr>
        <w:t> </w:t>
      </w:r>
      <w:r>
        <w:rPr>
          <w:rFonts w:ascii="楷体" w:eastAsia="楷体" w:hint="eastAsia"/>
          <w:b/>
          <w:sz w:val="28"/>
        </w:rPr>
        <w:t>16</w:t>
      </w:r>
      <w:r>
        <w:rPr>
          <w:rFonts w:ascii="楷体" w:eastAsia="楷体" w:hint="eastAsia"/>
          <w:b/>
          <w:spacing w:val="-73"/>
          <w:sz w:val="28"/>
        </w:rPr>
        <w:t> </w:t>
      </w:r>
      <w:r>
        <w:rPr>
          <w:rFonts w:ascii="楷体" w:eastAsia="楷体" w:hint="eastAsia"/>
          <w:b/>
          <w:sz w:val="28"/>
        </w:rPr>
        <w:t>日</w:t>
      </w:r>
    </w:p>
    <w:p>
      <w:pPr>
        <w:pStyle w:val="BodyText"/>
        <w:spacing w:before="8"/>
        <w:ind w:left="0"/>
        <w:rPr>
          <w:rFonts w:ascii="楷体"/>
          <w:b/>
          <w:sz w:val="29"/>
        </w:rPr>
      </w:pPr>
    </w:p>
    <w:p>
      <w:pPr>
        <w:pStyle w:val="Heading1"/>
        <w:spacing w:line="560" w:lineRule="exact"/>
        <w:ind w:left="0" w:right="496"/>
        <w:rPr>
          <w:rFonts w:ascii="黑体" w:eastAsia="黑体" w:hint="eastAsia"/>
          <w:u w:val="none"/>
        </w:rPr>
      </w:pPr>
      <w:r>
        <w:rPr>
          <w:rFonts w:ascii="黑体" w:eastAsia="黑体" w:hint="eastAsia"/>
          <w:color w:val="008000"/>
          <w:u w:val="none"/>
        </w:rPr>
        <w:t>目 次</w:t>
      </w:r>
    </w:p>
    <w:p>
      <w:pPr>
        <w:pStyle w:val="Heading2"/>
        <w:spacing w:line="560" w:lineRule="exact"/>
        <w:rPr>
          <w:rFonts w:ascii="隶书" w:eastAsia="隶书" w:hint="eastAsia"/>
        </w:rPr>
      </w:pPr>
      <w:r>
        <w:rPr>
          <w:rFonts w:ascii="隶书" w:eastAsia="隶书" w:hint="eastAsia"/>
          <w:color w:val="1A5220"/>
        </w:rPr>
        <w:t>政策导览</w:t>
      </w:r>
    </w:p>
    <w:p>
      <w:pPr>
        <w:tabs>
          <w:tab w:pos="9923" w:val="right" w:leader="dot"/>
        </w:tabs>
        <w:spacing w:before="186"/>
        <w:ind w:left="848" w:right="0" w:firstLine="0"/>
        <w:jc w:val="left"/>
        <w:rPr>
          <w:rFonts w:ascii="楷体" w:eastAsia="楷体" w:hint="eastAsia"/>
          <w:sz w:val="28"/>
        </w:rPr>
      </w:pPr>
      <w:r>
        <w:rPr>
          <w:rFonts w:ascii="楷体" w:eastAsia="楷体" w:hint="eastAsia"/>
          <w:b/>
          <w:sz w:val="28"/>
        </w:rPr>
        <w:t>【政府要闻】</w:t>
        <w:tab/>
      </w:r>
      <w:r>
        <w:rPr>
          <w:rFonts w:ascii="楷体" w:eastAsia="楷体" w:hint="eastAsia"/>
          <w:sz w:val="28"/>
        </w:rPr>
        <w:t>1</w:t>
      </w:r>
    </w:p>
    <w:p>
      <w:pPr>
        <w:tabs>
          <w:tab w:pos="9923" w:val="right" w:leader="dot"/>
        </w:tabs>
        <w:spacing w:before="242"/>
        <w:ind w:left="848" w:right="0" w:firstLine="0"/>
        <w:jc w:val="left"/>
        <w:rPr>
          <w:rFonts w:ascii="楷体" w:eastAsia="楷体" w:hint="eastAsia"/>
          <w:sz w:val="28"/>
        </w:rPr>
      </w:pPr>
      <w:r>
        <w:rPr>
          <w:rFonts w:ascii="楷体" w:eastAsia="楷体" w:hint="eastAsia"/>
          <w:sz w:val="28"/>
        </w:rPr>
        <w:t>国务院</w:t>
      </w:r>
      <w:r>
        <w:rPr>
          <w:rFonts w:ascii="楷体" w:eastAsia="楷体" w:hint="eastAsia"/>
          <w:spacing w:val="-3"/>
          <w:sz w:val="28"/>
        </w:rPr>
        <w:t>印</w:t>
      </w:r>
      <w:r>
        <w:rPr>
          <w:rFonts w:ascii="楷体" w:eastAsia="楷体" w:hint="eastAsia"/>
          <w:sz w:val="28"/>
        </w:rPr>
        <w:t>发《</w:t>
      </w:r>
      <w:r>
        <w:rPr>
          <w:rFonts w:ascii="楷体" w:eastAsia="楷体" w:hint="eastAsia"/>
          <w:spacing w:val="-3"/>
          <w:sz w:val="28"/>
        </w:rPr>
        <w:t>国务</w:t>
      </w:r>
      <w:r>
        <w:rPr>
          <w:rFonts w:ascii="楷体" w:eastAsia="楷体" w:hint="eastAsia"/>
          <w:sz w:val="28"/>
        </w:rPr>
        <w:t>院关于</w:t>
      </w:r>
      <w:r>
        <w:rPr>
          <w:rFonts w:ascii="楷体" w:eastAsia="楷体" w:hint="eastAsia"/>
          <w:spacing w:val="-3"/>
          <w:sz w:val="28"/>
        </w:rPr>
        <w:t>实</w:t>
      </w:r>
      <w:r>
        <w:rPr>
          <w:rFonts w:ascii="楷体" w:eastAsia="楷体" w:hint="eastAsia"/>
          <w:sz w:val="28"/>
        </w:rPr>
        <w:t>施健</w:t>
      </w:r>
      <w:r>
        <w:rPr>
          <w:rFonts w:ascii="楷体" w:eastAsia="楷体" w:hint="eastAsia"/>
          <w:spacing w:val="-3"/>
          <w:sz w:val="28"/>
        </w:rPr>
        <w:t>康中</w:t>
      </w:r>
      <w:r>
        <w:rPr>
          <w:rFonts w:ascii="楷体" w:eastAsia="楷体" w:hint="eastAsia"/>
          <w:sz w:val="28"/>
        </w:rPr>
        <w:t>国行动</w:t>
      </w:r>
      <w:r>
        <w:rPr>
          <w:rFonts w:ascii="楷体" w:eastAsia="楷体" w:hint="eastAsia"/>
          <w:spacing w:val="-3"/>
          <w:sz w:val="28"/>
        </w:rPr>
        <w:t>的</w:t>
      </w:r>
      <w:r>
        <w:rPr>
          <w:rFonts w:ascii="楷体" w:eastAsia="楷体" w:hint="eastAsia"/>
          <w:sz w:val="28"/>
        </w:rPr>
        <w:t>意见》</w:t>
        <w:tab/>
        <w:t>1</w:t>
      </w:r>
    </w:p>
    <w:p>
      <w:pPr>
        <w:tabs>
          <w:tab w:pos="9923" w:val="right" w:leader="dot"/>
        </w:tabs>
        <w:spacing w:before="241"/>
        <w:ind w:left="848" w:right="0" w:firstLine="0"/>
        <w:jc w:val="left"/>
        <w:rPr>
          <w:rFonts w:ascii="楷体" w:eastAsia="楷体" w:hint="eastAsia"/>
          <w:sz w:val="28"/>
        </w:rPr>
      </w:pPr>
      <w:r>
        <w:rPr>
          <w:rFonts w:ascii="楷体" w:eastAsia="楷体" w:hint="eastAsia"/>
          <w:sz w:val="28"/>
        </w:rPr>
        <w:t>今明两</w:t>
      </w:r>
      <w:r>
        <w:rPr>
          <w:rFonts w:ascii="楷体" w:eastAsia="楷体" w:hint="eastAsia"/>
          <w:spacing w:val="-3"/>
          <w:sz w:val="28"/>
        </w:rPr>
        <w:t>年</w:t>
      </w:r>
      <w:r>
        <w:rPr>
          <w:rFonts w:ascii="楷体" w:eastAsia="楷体" w:hint="eastAsia"/>
          <w:sz w:val="28"/>
        </w:rPr>
        <w:t>健康</w:t>
      </w:r>
      <w:r>
        <w:rPr>
          <w:rFonts w:ascii="楷体" w:eastAsia="楷体" w:hint="eastAsia"/>
          <w:spacing w:val="-3"/>
          <w:sz w:val="28"/>
        </w:rPr>
        <w:t>扶贫</w:t>
      </w:r>
      <w:r>
        <w:rPr>
          <w:rFonts w:ascii="楷体" w:eastAsia="楷体" w:hint="eastAsia"/>
          <w:sz w:val="28"/>
        </w:rPr>
        <w:t>工作重</w:t>
      </w:r>
      <w:r>
        <w:rPr>
          <w:rFonts w:ascii="楷体" w:eastAsia="楷体" w:hint="eastAsia"/>
          <w:spacing w:val="-3"/>
          <w:sz w:val="28"/>
        </w:rPr>
        <w:t>点</w:t>
      </w:r>
      <w:r>
        <w:rPr>
          <w:rFonts w:ascii="楷体" w:eastAsia="楷体" w:hint="eastAsia"/>
          <w:sz w:val="28"/>
        </w:rPr>
        <w:t>划出</w:t>
        <w:tab/>
        <w:t>1</w:t>
      </w:r>
    </w:p>
    <w:p>
      <w:pPr>
        <w:tabs>
          <w:tab w:pos="9923" w:val="right" w:leader="dot"/>
        </w:tabs>
        <w:spacing w:before="242"/>
        <w:ind w:left="848" w:right="0" w:firstLine="0"/>
        <w:jc w:val="left"/>
        <w:rPr>
          <w:rFonts w:ascii="楷体" w:eastAsia="楷体" w:hint="eastAsia"/>
          <w:sz w:val="28"/>
        </w:rPr>
      </w:pPr>
      <w:r>
        <w:rPr>
          <w:rFonts w:ascii="楷体" w:eastAsia="楷体" w:hint="eastAsia"/>
          <w:sz w:val="28"/>
        </w:rPr>
        <w:t>医疗机</w:t>
      </w:r>
      <w:r>
        <w:rPr>
          <w:rFonts w:ascii="楷体" w:eastAsia="楷体" w:hint="eastAsia"/>
          <w:spacing w:val="-3"/>
          <w:sz w:val="28"/>
        </w:rPr>
        <w:t>构</w:t>
      </w:r>
      <w:r>
        <w:rPr>
          <w:rFonts w:ascii="楷体" w:eastAsia="楷体" w:hint="eastAsia"/>
          <w:sz w:val="28"/>
        </w:rPr>
        <w:t>执业</w:t>
      </w:r>
      <w:r>
        <w:rPr>
          <w:rFonts w:ascii="楷体" w:eastAsia="楷体" w:hint="eastAsia"/>
          <w:spacing w:val="-3"/>
          <w:sz w:val="28"/>
        </w:rPr>
        <w:t>自查</w:t>
      </w:r>
      <w:r>
        <w:rPr>
          <w:rFonts w:ascii="楷体" w:eastAsia="楷体" w:hint="eastAsia"/>
          <w:sz w:val="28"/>
        </w:rPr>
        <w:t>制度拟建</w:t>
        <w:tab/>
        <w:t>2</w:t>
      </w:r>
    </w:p>
    <w:p>
      <w:pPr>
        <w:tabs>
          <w:tab w:pos="9923" w:val="right" w:leader="dot"/>
        </w:tabs>
        <w:spacing w:before="241"/>
        <w:ind w:left="848" w:right="0" w:firstLine="0"/>
        <w:jc w:val="left"/>
        <w:rPr>
          <w:rFonts w:ascii="楷体" w:eastAsia="楷体" w:hint="eastAsia"/>
          <w:sz w:val="28"/>
        </w:rPr>
      </w:pPr>
      <w:r>
        <w:rPr>
          <w:rFonts w:ascii="楷体" w:eastAsia="楷体" w:hint="eastAsia"/>
          <w:sz w:val="28"/>
        </w:rPr>
        <w:t>合理用</w:t>
      </w:r>
      <w:r>
        <w:rPr>
          <w:rFonts w:ascii="楷体" w:eastAsia="楷体" w:hint="eastAsia"/>
          <w:spacing w:val="-3"/>
          <w:sz w:val="28"/>
        </w:rPr>
        <w:t>药</w:t>
      </w:r>
      <w:r>
        <w:rPr>
          <w:rFonts w:ascii="楷体" w:eastAsia="楷体" w:hint="eastAsia"/>
          <w:sz w:val="28"/>
        </w:rPr>
        <w:t>重点监控</w:t>
      </w:r>
      <w:r>
        <w:rPr>
          <w:rFonts w:ascii="楷体" w:eastAsia="楷体" w:hint="eastAsia"/>
          <w:spacing w:val="-70"/>
          <w:sz w:val="28"/>
        </w:rPr>
        <w:t> </w:t>
      </w:r>
      <w:r>
        <w:rPr>
          <w:rFonts w:ascii="楷体" w:eastAsia="楷体" w:hint="eastAsia"/>
          <w:sz w:val="28"/>
        </w:rPr>
        <w:t>20</w:t>
      </w:r>
      <w:r>
        <w:rPr>
          <w:rFonts w:ascii="楷体" w:eastAsia="楷体" w:hint="eastAsia"/>
          <w:spacing w:val="-72"/>
          <w:sz w:val="28"/>
        </w:rPr>
        <w:t> </w:t>
      </w:r>
      <w:r>
        <w:rPr>
          <w:rFonts w:ascii="楷体" w:eastAsia="楷体" w:hint="eastAsia"/>
          <w:sz w:val="28"/>
        </w:rPr>
        <w:t>个药品</w:t>
        <w:tab/>
        <w:t>3</w:t>
      </w:r>
    </w:p>
    <w:p>
      <w:pPr>
        <w:tabs>
          <w:tab w:pos="9923" w:val="right" w:leader="dot"/>
        </w:tabs>
        <w:spacing w:before="241"/>
        <w:ind w:left="848" w:right="0" w:firstLine="0"/>
        <w:jc w:val="left"/>
        <w:rPr>
          <w:rFonts w:ascii="楷体" w:eastAsia="楷体" w:hint="eastAsia"/>
          <w:sz w:val="28"/>
        </w:rPr>
      </w:pPr>
      <w:r>
        <w:rPr>
          <w:rFonts w:ascii="楷体" w:eastAsia="楷体" w:hint="eastAsia"/>
          <w:b/>
          <w:sz w:val="28"/>
        </w:rPr>
        <w:t>【医保动态】</w:t>
        <w:tab/>
      </w:r>
      <w:r>
        <w:rPr>
          <w:rFonts w:ascii="楷体" w:eastAsia="楷体" w:hint="eastAsia"/>
          <w:sz w:val="28"/>
        </w:rPr>
        <w:t>4</w:t>
      </w:r>
    </w:p>
    <w:p>
      <w:pPr>
        <w:tabs>
          <w:tab w:pos="9923" w:val="right" w:leader="dot"/>
        </w:tabs>
        <w:spacing w:before="242"/>
        <w:ind w:left="848" w:right="0" w:firstLine="0"/>
        <w:jc w:val="left"/>
        <w:rPr>
          <w:rFonts w:ascii="楷体" w:eastAsia="楷体" w:hint="eastAsia"/>
          <w:sz w:val="28"/>
        </w:rPr>
      </w:pPr>
      <w:r>
        <w:rPr>
          <w:rFonts w:ascii="楷体" w:eastAsia="楷体" w:hint="eastAsia"/>
          <w:sz w:val="28"/>
        </w:rPr>
        <w:t>医保信</w:t>
      </w:r>
      <w:r>
        <w:rPr>
          <w:rFonts w:ascii="楷体" w:eastAsia="楷体" w:hint="eastAsia"/>
          <w:spacing w:val="-3"/>
          <w:sz w:val="28"/>
        </w:rPr>
        <w:t>息</w:t>
      </w:r>
      <w:r>
        <w:rPr>
          <w:rFonts w:ascii="楷体" w:eastAsia="楷体" w:hint="eastAsia"/>
          <w:sz w:val="28"/>
        </w:rPr>
        <w:t>迈向</w:t>
      </w:r>
      <w:r>
        <w:rPr>
          <w:rFonts w:ascii="楷体" w:eastAsia="楷体" w:hint="eastAsia"/>
          <w:spacing w:val="-3"/>
          <w:sz w:val="28"/>
        </w:rPr>
        <w:t>统一</w:t>
      </w:r>
      <w:r>
        <w:rPr>
          <w:rFonts w:ascii="楷体" w:eastAsia="楷体" w:hint="eastAsia"/>
          <w:sz w:val="28"/>
        </w:rPr>
        <w:t>时代</w:t>
        <w:tab/>
        <w:t>4</w:t>
      </w:r>
    </w:p>
    <w:p>
      <w:pPr>
        <w:tabs>
          <w:tab w:pos="9923" w:val="right" w:leader="dot"/>
        </w:tabs>
        <w:spacing w:before="241"/>
        <w:ind w:left="848" w:right="0" w:firstLine="0"/>
        <w:jc w:val="left"/>
        <w:rPr>
          <w:rFonts w:ascii="楷体" w:eastAsia="楷体" w:hint="eastAsia"/>
          <w:sz w:val="28"/>
        </w:rPr>
      </w:pPr>
      <w:r>
        <w:rPr>
          <w:rFonts w:ascii="楷体" w:eastAsia="楷体" w:hint="eastAsia"/>
          <w:sz w:val="28"/>
        </w:rPr>
        <w:t>医疗保障</w:t>
      </w:r>
      <w:r>
        <w:rPr>
          <w:rFonts w:ascii="楷体" w:eastAsia="楷体" w:hint="eastAsia"/>
          <w:spacing w:val="-1"/>
          <w:sz w:val="28"/>
        </w:rPr>
        <w:t> </w:t>
      </w:r>
      <w:r>
        <w:rPr>
          <w:rFonts w:ascii="楷体" w:eastAsia="楷体" w:hint="eastAsia"/>
          <w:spacing w:val="-3"/>
          <w:sz w:val="28"/>
        </w:rPr>
        <w:t>谈</w:t>
      </w:r>
      <w:r>
        <w:rPr>
          <w:rFonts w:ascii="楷体" w:eastAsia="楷体" w:hint="eastAsia"/>
          <w:sz w:val="28"/>
        </w:rPr>
        <w:t>谈扩</w:t>
      </w:r>
      <w:r>
        <w:rPr>
          <w:rFonts w:ascii="楷体" w:eastAsia="楷体" w:hint="eastAsia"/>
          <w:spacing w:val="-3"/>
          <w:sz w:val="28"/>
        </w:rPr>
        <w:t>面</w:t>
      </w:r>
      <w:r>
        <w:rPr>
          <w:rFonts w:ascii="楷体" w:eastAsia="楷体" w:hint="eastAsia"/>
          <w:sz w:val="28"/>
        </w:rPr>
        <w:t>与公平</w:t>
        <w:tab/>
        <w:t>5</w:t>
      </w:r>
    </w:p>
    <w:p>
      <w:pPr>
        <w:tabs>
          <w:tab w:pos="9923" w:val="right" w:leader="dot"/>
        </w:tabs>
        <w:spacing w:before="241"/>
        <w:ind w:left="848" w:right="0" w:firstLine="0"/>
        <w:jc w:val="left"/>
        <w:rPr>
          <w:rFonts w:ascii="楷体" w:eastAsia="楷体" w:hint="eastAsia"/>
          <w:sz w:val="28"/>
        </w:rPr>
      </w:pPr>
      <w:r>
        <w:rPr>
          <w:rFonts w:ascii="楷体" w:eastAsia="楷体" w:hint="eastAsia"/>
          <w:b/>
          <w:sz w:val="28"/>
        </w:rPr>
        <w:t>【药监动态】</w:t>
        <w:tab/>
      </w:r>
      <w:r>
        <w:rPr>
          <w:rFonts w:ascii="楷体" w:eastAsia="楷体" w:hint="eastAsia"/>
          <w:sz w:val="28"/>
        </w:rPr>
        <w:t>8</w:t>
      </w:r>
    </w:p>
    <w:p>
      <w:pPr>
        <w:tabs>
          <w:tab w:pos="9923" w:val="right" w:leader="dot"/>
        </w:tabs>
        <w:spacing w:before="242"/>
        <w:ind w:left="848" w:right="0" w:firstLine="0"/>
        <w:jc w:val="left"/>
        <w:rPr>
          <w:rFonts w:ascii="楷体" w:eastAsia="楷体" w:hint="eastAsia"/>
          <w:sz w:val="28"/>
        </w:rPr>
      </w:pPr>
      <w:r>
        <w:rPr>
          <w:rFonts w:ascii="楷体" w:eastAsia="楷体" w:hint="eastAsia"/>
          <w:sz w:val="28"/>
        </w:rPr>
        <w:t>《2018</w:t>
      </w:r>
      <w:r>
        <w:rPr>
          <w:rFonts w:ascii="楷体" w:eastAsia="楷体" w:hint="eastAsia"/>
          <w:spacing w:val="-72"/>
          <w:sz w:val="28"/>
        </w:rPr>
        <w:t> </w:t>
      </w:r>
      <w:r>
        <w:rPr>
          <w:rFonts w:ascii="楷体" w:eastAsia="楷体" w:hint="eastAsia"/>
          <w:sz w:val="28"/>
        </w:rPr>
        <w:t>年度药品</w:t>
      </w:r>
      <w:r>
        <w:rPr>
          <w:rFonts w:ascii="楷体" w:eastAsia="楷体" w:hint="eastAsia"/>
          <w:spacing w:val="-3"/>
          <w:sz w:val="28"/>
        </w:rPr>
        <w:t>审</w:t>
      </w:r>
      <w:r>
        <w:rPr>
          <w:rFonts w:ascii="楷体" w:eastAsia="楷体" w:hint="eastAsia"/>
          <w:sz w:val="28"/>
        </w:rPr>
        <w:t>评报告</w:t>
      </w:r>
      <w:r>
        <w:rPr>
          <w:rFonts w:ascii="楷体" w:eastAsia="楷体" w:hint="eastAsia"/>
          <w:spacing w:val="-3"/>
          <w:sz w:val="28"/>
        </w:rPr>
        <w:t>》</w:t>
      </w:r>
      <w:r>
        <w:rPr>
          <w:rFonts w:ascii="楷体" w:eastAsia="楷体" w:hint="eastAsia"/>
          <w:sz w:val="28"/>
        </w:rPr>
        <w:t>发布</w:t>
        <w:tab/>
        <w:t>8</w:t>
      </w:r>
    </w:p>
    <w:p>
      <w:pPr>
        <w:tabs>
          <w:tab w:pos="9924" w:val="right" w:leader="dot"/>
        </w:tabs>
        <w:spacing w:before="241"/>
        <w:ind w:left="848" w:right="0" w:firstLine="0"/>
        <w:jc w:val="left"/>
        <w:rPr>
          <w:rFonts w:ascii="楷体" w:eastAsia="楷体" w:hint="eastAsia"/>
          <w:sz w:val="28"/>
        </w:rPr>
      </w:pPr>
      <w:r>
        <w:rPr>
          <w:rFonts w:ascii="楷体" w:eastAsia="楷体" w:hint="eastAsia"/>
          <w:sz w:val="28"/>
        </w:rPr>
        <w:t>临床急</w:t>
      </w:r>
      <w:r>
        <w:rPr>
          <w:rFonts w:ascii="楷体" w:eastAsia="楷体" w:hint="eastAsia"/>
          <w:spacing w:val="-3"/>
          <w:sz w:val="28"/>
        </w:rPr>
        <w:t>需</w:t>
      </w:r>
      <w:r>
        <w:rPr>
          <w:rFonts w:ascii="楷体" w:eastAsia="楷体" w:hint="eastAsia"/>
          <w:sz w:val="28"/>
        </w:rPr>
        <w:t>境外</w:t>
      </w:r>
      <w:r>
        <w:rPr>
          <w:rFonts w:ascii="楷体" w:eastAsia="楷体" w:hint="eastAsia"/>
          <w:spacing w:val="-3"/>
          <w:sz w:val="28"/>
        </w:rPr>
        <w:t>新药</w:t>
      </w:r>
      <w:r>
        <w:rPr>
          <w:rFonts w:ascii="楷体" w:eastAsia="楷体" w:hint="eastAsia"/>
          <w:sz w:val="28"/>
        </w:rPr>
        <w:t>标准复</w:t>
      </w:r>
      <w:r>
        <w:rPr>
          <w:rFonts w:ascii="楷体" w:eastAsia="楷体" w:hint="eastAsia"/>
          <w:spacing w:val="-3"/>
          <w:sz w:val="28"/>
        </w:rPr>
        <w:t>核</w:t>
      </w:r>
      <w:r>
        <w:rPr>
          <w:rFonts w:ascii="楷体" w:eastAsia="楷体" w:hint="eastAsia"/>
          <w:sz w:val="28"/>
        </w:rPr>
        <w:t>检验</w:t>
      </w:r>
      <w:r>
        <w:rPr>
          <w:rFonts w:ascii="楷体" w:eastAsia="楷体" w:hint="eastAsia"/>
          <w:spacing w:val="-3"/>
          <w:sz w:val="28"/>
        </w:rPr>
        <w:t>相关</w:t>
      </w:r>
      <w:r>
        <w:rPr>
          <w:rFonts w:ascii="楷体" w:eastAsia="楷体" w:hint="eastAsia"/>
          <w:sz w:val="28"/>
        </w:rPr>
        <w:t>要求发布</w:t>
        <w:tab/>
        <w:t>10</w:t>
      </w:r>
    </w:p>
    <w:p>
      <w:pPr>
        <w:tabs>
          <w:tab w:pos="9924" w:val="right" w:leader="dot"/>
        </w:tabs>
        <w:spacing w:before="242"/>
        <w:ind w:left="848" w:right="0" w:firstLine="0"/>
        <w:jc w:val="left"/>
        <w:rPr>
          <w:rFonts w:ascii="楷体" w:eastAsia="楷体" w:hint="eastAsia"/>
          <w:sz w:val="28"/>
        </w:rPr>
      </w:pPr>
      <w:r>
        <w:rPr>
          <w:rFonts w:ascii="楷体" w:eastAsia="楷体" w:hint="eastAsia"/>
          <w:sz w:val="28"/>
        </w:rPr>
        <w:t>3</w:t>
      </w:r>
      <w:r>
        <w:rPr>
          <w:rFonts w:ascii="楷体" w:eastAsia="楷体" w:hint="eastAsia"/>
          <w:spacing w:val="-72"/>
          <w:sz w:val="28"/>
        </w:rPr>
        <w:t> </w:t>
      </w:r>
      <w:r>
        <w:rPr>
          <w:rFonts w:ascii="楷体" w:eastAsia="楷体" w:hint="eastAsia"/>
          <w:sz w:val="28"/>
        </w:rPr>
        <w:t>种儿童和罕</w:t>
      </w:r>
      <w:r>
        <w:rPr>
          <w:rFonts w:ascii="楷体" w:eastAsia="楷体" w:hint="eastAsia"/>
          <w:spacing w:val="-3"/>
          <w:sz w:val="28"/>
        </w:rPr>
        <w:t>见</w:t>
      </w:r>
      <w:r>
        <w:rPr>
          <w:rFonts w:ascii="楷体" w:eastAsia="楷体" w:hint="eastAsia"/>
          <w:sz w:val="28"/>
        </w:rPr>
        <w:t>病</w:t>
      </w:r>
      <w:r>
        <w:rPr>
          <w:rFonts w:ascii="楷体" w:eastAsia="楷体" w:hint="eastAsia"/>
          <w:spacing w:val="-3"/>
          <w:sz w:val="28"/>
        </w:rPr>
        <w:t>用</w:t>
      </w:r>
      <w:r>
        <w:rPr>
          <w:rFonts w:ascii="楷体" w:eastAsia="楷体" w:hint="eastAsia"/>
          <w:sz w:val="28"/>
        </w:rPr>
        <w:t>药拟被</w:t>
      </w:r>
      <w:r>
        <w:rPr>
          <w:rFonts w:ascii="楷体" w:eastAsia="楷体" w:hint="eastAsia"/>
          <w:spacing w:val="-3"/>
          <w:sz w:val="28"/>
        </w:rPr>
        <w:t>纳</w:t>
      </w:r>
      <w:r>
        <w:rPr>
          <w:rFonts w:ascii="楷体" w:eastAsia="楷体" w:hint="eastAsia"/>
          <w:sz w:val="28"/>
        </w:rPr>
        <w:t>入优</w:t>
      </w:r>
      <w:r>
        <w:rPr>
          <w:rFonts w:ascii="楷体" w:eastAsia="楷体" w:hint="eastAsia"/>
          <w:spacing w:val="-3"/>
          <w:sz w:val="28"/>
        </w:rPr>
        <w:t>先审</w:t>
      </w:r>
      <w:r>
        <w:rPr>
          <w:rFonts w:ascii="楷体" w:eastAsia="楷体" w:hint="eastAsia"/>
          <w:sz w:val="28"/>
        </w:rPr>
        <w:t>评</w:t>
        <w:tab/>
        <w:t>11</w:t>
      </w:r>
    </w:p>
    <w:p>
      <w:pPr>
        <w:tabs>
          <w:tab w:pos="9924" w:val="right" w:leader="dot"/>
        </w:tabs>
        <w:spacing w:before="241"/>
        <w:ind w:left="848" w:right="0" w:firstLine="0"/>
        <w:jc w:val="left"/>
        <w:rPr>
          <w:rFonts w:ascii="楷体" w:eastAsia="楷体" w:hint="eastAsia"/>
          <w:sz w:val="28"/>
        </w:rPr>
      </w:pPr>
      <w:r>
        <w:rPr>
          <w:rFonts w:ascii="楷体" w:eastAsia="楷体" w:hint="eastAsia"/>
          <w:b/>
          <w:sz w:val="28"/>
        </w:rPr>
        <w:t>【医改新政】</w:t>
        <w:tab/>
      </w:r>
      <w:r>
        <w:rPr>
          <w:rFonts w:ascii="楷体" w:eastAsia="楷体" w:hint="eastAsia"/>
          <w:sz w:val="28"/>
        </w:rPr>
        <w:t>11</w:t>
      </w:r>
    </w:p>
    <w:p>
      <w:pPr>
        <w:tabs>
          <w:tab w:pos="9924" w:val="right" w:leader="dot"/>
        </w:tabs>
        <w:spacing w:before="241"/>
        <w:ind w:left="848" w:right="0" w:firstLine="0"/>
        <w:jc w:val="left"/>
        <w:rPr>
          <w:rFonts w:ascii="楷体" w:eastAsia="楷体" w:hint="eastAsia"/>
          <w:sz w:val="28"/>
        </w:rPr>
      </w:pPr>
      <w:r>
        <w:rPr>
          <w:rFonts w:ascii="楷体" w:eastAsia="楷体" w:hint="eastAsia"/>
          <w:sz w:val="28"/>
        </w:rPr>
        <w:t>重庆动</w:t>
      </w:r>
      <w:r>
        <w:rPr>
          <w:rFonts w:ascii="楷体" w:eastAsia="楷体" w:hint="eastAsia"/>
          <w:spacing w:val="-3"/>
          <w:sz w:val="28"/>
        </w:rPr>
        <w:t>态</w:t>
      </w:r>
      <w:r>
        <w:rPr>
          <w:rFonts w:ascii="楷体" w:eastAsia="楷体" w:hint="eastAsia"/>
          <w:sz w:val="28"/>
        </w:rPr>
        <w:t>管理</w:t>
      </w:r>
      <w:r>
        <w:rPr>
          <w:rFonts w:ascii="楷体" w:eastAsia="楷体" w:hint="eastAsia"/>
          <w:spacing w:val="-3"/>
          <w:sz w:val="28"/>
        </w:rPr>
        <w:t>基本</w:t>
      </w:r>
      <w:r>
        <w:rPr>
          <w:rFonts w:ascii="楷体" w:eastAsia="楷体" w:hint="eastAsia"/>
          <w:sz w:val="28"/>
        </w:rPr>
        <w:t>药物使</w:t>
      </w:r>
      <w:r>
        <w:rPr>
          <w:rFonts w:ascii="楷体" w:eastAsia="楷体" w:hint="eastAsia"/>
          <w:spacing w:val="-3"/>
          <w:sz w:val="28"/>
        </w:rPr>
        <w:t>用</w:t>
      </w:r>
      <w:r>
        <w:rPr>
          <w:rFonts w:ascii="楷体" w:eastAsia="楷体" w:hint="eastAsia"/>
          <w:sz w:val="28"/>
        </w:rPr>
        <w:t>比例</w:t>
        <w:tab/>
        <w:t>11</w:t>
      </w:r>
    </w:p>
    <w:p>
      <w:pPr>
        <w:spacing w:after="0"/>
        <w:jc w:val="left"/>
        <w:rPr>
          <w:rFonts w:ascii="楷体" w:eastAsia="楷体" w:hint="eastAsia"/>
          <w:sz w:val="28"/>
        </w:rPr>
        <w:sectPr>
          <w:footerReference w:type="default" r:id="rId5"/>
          <w:type w:val="continuous"/>
          <w:pgSz w:w="11910" w:h="16850"/>
          <w:pgMar w:footer="825" w:top="1100" w:bottom="1020" w:left="640" w:right="0"/>
          <w:pgNumType w:start="1"/>
        </w:sectPr>
      </w:pPr>
    </w:p>
    <w:sdt>
      <w:sdtPr>
        <w:docPartObj>
          <w:docPartGallery w:val="Table of Contents"/>
          <w:docPartUnique/>
        </w:docPartObj>
      </w:sdtPr>
      <w:sdtEndPr/>
      <w:sdtContent>
        <w:p>
          <w:pPr>
            <w:pStyle w:val="TOC3"/>
            <w:tabs>
              <w:tab w:pos="9924" w:val="right" w:leader="dot"/>
            </w:tabs>
            <w:spacing w:before="371"/>
          </w:pPr>
          <w:hyperlink w:history="true" w:anchor="_TOC_250041">
            <w:r>
              <w:rPr/>
              <w:t>浙江调</w:t>
            </w:r>
            <w:r>
              <w:rPr>
                <w:spacing w:val="-3"/>
              </w:rPr>
              <w:t>整</w:t>
            </w:r>
            <w:r>
              <w:rPr/>
              <w:t>省级</w:t>
            </w:r>
            <w:r>
              <w:rPr>
                <w:spacing w:val="-3"/>
              </w:rPr>
              <w:t>公立</w:t>
            </w:r>
            <w:r>
              <w:rPr/>
              <w:t>医院服</w:t>
            </w:r>
            <w:r>
              <w:rPr>
                <w:spacing w:val="-3"/>
              </w:rPr>
              <w:t>务</w:t>
            </w:r>
            <w:r>
              <w:rPr/>
              <w:t>价格</w:t>
              <w:tab/>
              <w:t>12</w:t>
            </w:r>
          </w:hyperlink>
        </w:p>
        <w:p>
          <w:pPr>
            <w:pStyle w:val="TOC3"/>
            <w:tabs>
              <w:tab w:pos="9924" w:val="right" w:leader="dot"/>
            </w:tabs>
          </w:pPr>
          <w:hyperlink w:history="true" w:anchor="_TOC_250040">
            <w:r>
              <w:rPr/>
              <w:t>四川出</w:t>
            </w:r>
            <w:r>
              <w:rPr>
                <w:spacing w:val="-3"/>
              </w:rPr>
              <w:t>台</w:t>
            </w:r>
            <w:r>
              <w:rPr/>
              <w:t>三级</w:t>
            </w:r>
            <w:r>
              <w:rPr>
                <w:spacing w:val="-3"/>
              </w:rPr>
              <w:t>医院</w:t>
            </w:r>
            <w:r>
              <w:rPr/>
              <w:t>绩效考</w:t>
            </w:r>
            <w:r>
              <w:rPr>
                <w:spacing w:val="-3"/>
              </w:rPr>
              <w:t>核</w:t>
            </w:r>
            <w:r>
              <w:rPr/>
              <w:t>方案</w:t>
              <w:tab/>
              <w:t>12</w:t>
            </w:r>
          </w:hyperlink>
        </w:p>
        <w:p>
          <w:pPr>
            <w:pStyle w:val="TOC1"/>
          </w:pPr>
          <w:hyperlink w:history="true" w:anchor="_TOC_250039">
            <w:r>
              <w:rPr>
                <w:color w:val="1A5220"/>
              </w:rPr>
              <w:t>行业资讯</w:t>
            </w:r>
          </w:hyperlink>
        </w:p>
        <w:p>
          <w:pPr>
            <w:pStyle w:val="TOC4"/>
            <w:tabs>
              <w:tab w:pos="9924" w:val="right" w:leader="dot"/>
            </w:tabs>
            <w:spacing w:before="186"/>
            <w:rPr>
              <w:b w:val="0"/>
              <w:i w:val="0"/>
              <w:sz w:val="28"/>
            </w:rPr>
          </w:pPr>
          <w:hyperlink w:history="true" w:anchor="_TOC_250038">
            <w:r>
              <w:rPr>
                <w:i w:val="0"/>
                <w:sz w:val="28"/>
              </w:rPr>
              <w:t>【数据公报】</w:t>
              <w:tab/>
            </w:r>
            <w:r>
              <w:rPr>
                <w:b w:val="0"/>
                <w:i w:val="0"/>
                <w:sz w:val="28"/>
              </w:rPr>
              <w:t>13</w:t>
            </w:r>
          </w:hyperlink>
        </w:p>
        <w:p>
          <w:pPr>
            <w:pStyle w:val="TOC3"/>
            <w:tabs>
              <w:tab w:pos="9924" w:val="right" w:leader="dot"/>
            </w:tabs>
            <w:spacing w:before="242"/>
          </w:pPr>
          <w:hyperlink w:history="true" w:anchor="_TOC_250037">
            <w:r>
              <w:rPr/>
              <w:t>去年</w:t>
            </w:r>
            <w:r>
              <w:rPr>
                <w:spacing w:val="-71"/>
              </w:rPr>
              <w:t> </w:t>
            </w:r>
            <w:r>
              <w:rPr/>
              <w:t>24</w:t>
            </w:r>
            <w:r>
              <w:rPr>
                <w:spacing w:val="-72"/>
              </w:rPr>
              <w:t> </w:t>
            </w:r>
            <w:r>
              <w:rPr/>
              <w:t>种国产</w:t>
            </w:r>
            <w:r>
              <w:rPr>
                <w:spacing w:val="-71"/>
              </w:rPr>
              <w:t> </w:t>
            </w:r>
            <w:r>
              <w:rPr/>
              <w:t>1</w:t>
            </w:r>
            <w:r>
              <w:rPr>
                <w:spacing w:val="-72"/>
              </w:rPr>
              <w:t> </w:t>
            </w:r>
            <w:r>
              <w:rPr/>
              <w:t>类新药申</w:t>
            </w:r>
            <w:r>
              <w:rPr>
                <w:spacing w:val="-3"/>
              </w:rPr>
              <w:t>请</w:t>
            </w:r>
            <w:r>
              <w:rPr/>
              <w:t>上市</w:t>
              <w:tab/>
              <w:t>13</w:t>
            </w:r>
          </w:hyperlink>
        </w:p>
        <w:p>
          <w:pPr>
            <w:pStyle w:val="TOC4"/>
            <w:tabs>
              <w:tab w:pos="9924" w:val="right" w:leader="dot"/>
            </w:tabs>
            <w:spacing w:before="242"/>
            <w:rPr>
              <w:b w:val="0"/>
              <w:i w:val="0"/>
              <w:sz w:val="28"/>
            </w:rPr>
          </w:pPr>
          <w:hyperlink w:history="true" w:anchor="_TOC_250036">
            <w:r>
              <w:rPr>
                <w:i w:val="0"/>
                <w:sz w:val="28"/>
              </w:rPr>
              <w:t>【专项巡礼】</w:t>
              <w:tab/>
            </w:r>
            <w:r>
              <w:rPr>
                <w:b w:val="0"/>
                <w:i w:val="0"/>
                <w:sz w:val="28"/>
              </w:rPr>
              <w:t>13</w:t>
            </w:r>
          </w:hyperlink>
        </w:p>
        <w:p>
          <w:pPr>
            <w:pStyle w:val="TOC3"/>
            <w:tabs>
              <w:tab w:pos="9924" w:val="right" w:leader="dot"/>
            </w:tabs>
          </w:pPr>
          <w:hyperlink w:history="true" w:anchor="_TOC_250035">
            <w:r>
              <w:rPr/>
              <w:t>肿瘤免</w:t>
            </w:r>
            <w:r>
              <w:rPr>
                <w:spacing w:val="-3"/>
              </w:rPr>
              <w:t>疫</w:t>
            </w:r>
            <w:r>
              <w:rPr/>
              <w:t>治疗</w:t>
            </w:r>
            <w:r>
              <w:rPr>
                <w:spacing w:val="-3"/>
              </w:rPr>
              <w:t>新</w:t>
            </w:r>
            <w:r>
              <w:rPr/>
              <w:t>贵——CAR-T</w:t>
              <w:tab/>
              <w:t>13</w:t>
            </w:r>
          </w:hyperlink>
        </w:p>
        <w:p>
          <w:pPr>
            <w:pStyle w:val="TOC3"/>
            <w:tabs>
              <w:tab w:pos="9924" w:val="right" w:leader="dot"/>
            </w:tabs>
          </w:pPr>
          <w:hyperlink w:history="true" w:anchor="_TOC_250034">
            <w:r>
              <w:rPr/>
              <w:t>CAR-T</w:t>
            </w:r>
            <w:r>
              <w:rPr>
                <w:spacing w:val="-72"/>
              </w:rPr>
              <w:t> </w:t>
            </w:r>
            <w:r>
              <w:rPr/>
              <w:t>疗法的</w:t>
            </w:r>
            <w:r>
              <w:rPr>
                <w:spacing w:val="-3"/>
              </w:rPr>
              <w:t>局</w:t>
            </w:r>
            <w:r>
              <w:rPr/>
              <w:t>限</w:t>
            </w:r>
            <w:r>
              <w:rPr>
                <w:spacing w:val="-3"/>
              </w:rPr>
              <w:t>性</w:t>
            </w:r>
            <w:r>
              <w:rPr/>
              <w:t>及研发</w:t>
            </w:r>
            <w:r>
              <w:rPr>
                <w:spacing w:val="-3"/>
              </w:rPr>
              <w:t>方</w:t>
            </w:r>
            <w:r>
              <w:rPr/>
              <w:t>向</w:t>
              <w:tab/>
              <w:t>16</w:t>
            </w:r>
          </w:hyperlink>
        </w:p>
        <w:p>
          <w:pPr>
            <w:pStyle w:val="TOC3"/>
            <w:tabs>
              <w:tab w:pos="9924" w:val="right" w:leader="dot"/>
            </w:tabs>
          </w:pPr>
          <w:hyperlink w:history="true" w:anchor="_TOC_250033">
            <w:r>
              <w:rPr/>
              <w:t>12</w:t>
            </w:r>
            <w:r>
              <w:rPr>
                <w:spacing w:val="-72"/>
              </w:rPr>
              <w:t> </w:t>
            </w:r>
            <w:r>
              <w:rPr/>
              <w:t>家开发</w:t>
            </w:r>
            <w:r>
              <w:rPr>
                <w:spacing w:val="-3"/>
              </w:rPr>
              <w:t>通</w:t>
            </w:r>
            <w:r>
              <w:rPr/>
              <w:t>用型</w:t>
            </w:r>
            <w:r>
              <w:rPr>
                <w:spacing w:val="-71"/>
              </w:rPr>
              <w:t> </w:t>
            </w:r>
            <w:r>
              <w:rPr/>
              <w:t>CAR-T</w:t>
            </w:r>
            <w:r>
              <w:rPr>
                <w:spacing w:val="-72"/>
              </w:rPr>
              <w:t> </w:t>
            </w:r>
            <w:r>
              <w:rPr/>
              <w:t>的公司</w:t>
              <w:tab/>
              <w:t>19</w:t>
            </w:r>
          </w:hyperlink>
        </w:p>
        <w:p>
          <w:pPr>
            <w:pStyle w:val="TOC1"/>
          </w:pPr>
          <w:hyperlink w:history="true" w:anchor="_TOC_250032">
            <w:r>
              <w:rPr>
                <w:color w:val="1A5220"/>
              </w:rPr>
              <w:t>医药前沿</w:t>
            </w:r>
          </w:hyperlink>
        </w:p>
        <w:p>
          <w:pPr>
            <w:pStyle w:val="TOC4"/>
            <w:tabs>
              <w:tab w:pos="9924" w:val="right" w:leader="dot"/>
            </w:tabs>
            <w:spacing w:before="187"/>
            <w:rPr>
              <w:b w:val="0"/>
              <w:i w:val="0"/>
              <w:sz w:val="28"/>
            </w:rPr>
          </w:pPr>
          <w:r>
            <w:rPr>
              <w:i w:val="0"/>
              <w:sz w:val="28"/>
            </w:rPr>
            <w:t>【研究进展】</w:t>
            <w:tab/>
          </w:r>
          <w:r>
            <w:rPr>
              <w:b w:val="0"/>
              <w:i w:val="0"/>
              <w:sz w:val="28"/>
            </w:rPr>
            <w:t>20</w:t>
          </w:r>
        </w:p>
        <w:p>
          <w:pPr>
            <w:pStyle w:val="TOC3"/>
            <w:tabs>
              <w:tab w:pos="9924" w:val="right" w:leader="dot"/>
            </w:tabs>
            <w:spacing w:before="242"/>
          </w:pPr>
          <w:hyperlink w:history="true" w:anchor="_TOC_250031">
            <w:r>
              <w:rPr/>
              <w:t>自身免</w:t>
            </w:r>
            <w:r>
              <w:rPr>
                <w:spacing w:val="-3"/>
              </w:rPr>
              <w:t>疫</w:t>
            </w:r>
            <w:r>
              <w:rPr/>
              <w:t>肝炎</w:t>
            </w:r>
            <w:r>
              <w:rPr>
                <w:spacing w:val="-3"/>
              </w:rPr>
              <w:t>患者</w:t>
            </w:r>
            <w:r>
              <w:rPr/>
              <w:t>有特殊</w:t>
            </w:r>
            <w:r>
              <w:rPr>
                <w:spacing w:val="-3"/>
              </w:rPr>
              <w:t>肠</w:t>
            </w:r>
            <w:r>
              <w:rPr/>
              <w:t>道菌群</w:t>
              <w:tab/>
              <w:t>20</w:t>
            </w:r>
          </w:hyperlink>
        </w:p>
        <w:p>
          <w:pPr>
            <w:pStyle w:val="TOC3"/>
            <w:tabs>
              <w:tab w:pos="9924" w:val="right" w:leader="dot"/>
            </w:tabs>
          </w:pPr>
          <w:hyperlink w:history="true" w:anchor="_TOC_250030">
            <w:r>
              <w:rPr/>
              <w:t>新型嗜</w:t>
            </w:r>
            <w:r>
              <w:rPr>
                <w:spacing w:val="-3"/>
              </w:rPr>
              <w:t>肺</w:t>
            </w:r>
            <w:r>
              <w:rPr/>
              <w:t>军团</w:t>
            </w:r>
            <w:r>
              <w:rPr>
                <w:spacing w:val="-3"/>
              </w:rPr>
              <w:t>菌毒</w:t>
            </w:r>
            <w:r>
              <w:rPr/>
              <w:t>素被“</w:t>
            </w:r>
            <w:r>
              <w:rPr>
                <w:spacing w:val="-3"/>
              </w:rPr>
              <w:t>捕</w:t>
            </w:r>
            <w:r>
              <w:rPr/>
              <w:t>获”</w:t>
              <w:tab/>
              <w:t>21</w:t>
            </w:r>
          </w:hyperlink>
        </w:p>
        <w:p>
          <w:pPr>
            <w:pStyle w:val="TOC4"/>
            <w:tabs>
              <w:tab w:pos="9924" w:val="right" w:leader="dot"/>
            </w:tabs>
            <w:rPr>
              <w:b w:val="0"/>
              <w:i w:val="0"/>
              <w:sz w:val="28"/>
            </w:rPr>
          </w:pPr>
          <w:hyperlink w:history="true" w:anchor="_TOC_250029">
            <w:r>
              <w:rPr>
                <w:i w:val="0"/>
                <w:sz w:val="28"/>
              </w:rPr>
              <w:t>【新药看台】</w:t>
              <w:tab/>
            </w:r>
            <w:r>
              <w:rPr>
                <w:b w:val="0"/>
                <w:i w:val="0"/>
                <w:sz w:val="28"/>
              </w:rPr>
              <w:t>21</w:t>
            </w:r>
          </w:hyperlink>
        </w:p>
        <w:p>
          <w:pPr>
            <w:pStyle w:val="TOC3"/>
            <w:tabs>
              <w:tab w:pos="9924" w:val="right" w:leader="dot"/>
            </w:tabs>
          </w:pPr>
          <w:hyperlink w:history="true" w:anchor="_TOC_250028">
            <w:r>
              <w:rPr/>
              <w:t>两种国</w:t>
            </w:r>
            <w:r>
              <w:rPr>
                <w:spacing w:val="-3"/>
              </w:rPr>
              <w:t>产</w:t>
            </w:r>
            <w:r>
              <w:rPr/>
              <w:t>创新</w:t>
            </w:r>
            <w:r>
              <w:rPr>
                <w:spacing w:val="-3"/>
              </w:rPr>
              <w:t>药被</w:t>
            </w:r>
            <w:r>
              <w:rPr/>
              <w:t>认可</w:t>
              <w:tab/>
              <w:t>21</w:t>
            </w:r>
          </w:hyperlink>
        </w:p>
        <w:p>
          <w:pPr>
            <w:pStyle w:val="TOC3"/>
            <w:tabs>
              <w:tab w:pos="9924" w:val="right" w:leader="dot"/>
            </w:tabs>
            <w:spacing w:before="242"/>
          </w:pPr>
          <w:hyperlink w:history="true" w:anchor="_TOC_250027">
            <w:r>
              <w:rPr/>
              <w:t>多发性</w:t>
            </w:r>
            <w:r>
              <w:rPr>
                <w:spacing w:val="-3"/>
              </w:rPr>
              <w:t>骨</w:t>
            </w:r>
            <w:r>
              <w:rPr/>
              <w:t>髓瘤</w:t>
            </w:r>
            <w:r>
              <w:rPr>
                <w:spacing w:val="-3"/>
              </w:rPr>
              <w:t>治疗</w:t>
            </w:r>
            <w:r>
              <w:rPr/>
              <w:t>药达雷</w:t>
            </w:r>
            <w:r>
              <w:rPr>
                <w:spacing w:val="-3"/>
              </w:rPr>
              <w:t>妥</w:t>
            </w:r>
            <w:r>
              <w:rPr/>
              <w:t>尤单</w:t>
            </w:r>
            <w:r>
              <w:rPr>
                <w:spacing w:val="-3"/>
              </w:rPr>
              <w:t>抗注</w:t>
            </w:r>
            <w:r>
              <w:rPr/>
              <w:t>射液获</w:t>
            </w:r>
            <w:r>
              <w:rPr>
                <w:spacing w:val="-3"/>
              </w:rPr>
              <w:t>批</w:t>
            </w:r>
            <w:r>
              <w:rPr/>
              <w:t>上市</w:t>
              <w:tab/>
              <w:t>22</w:t>
            </w:r>
          </w:hyperlink>
        </w:p>
        <w:p>
          <w:pPr>
            <w:pStyle w:val="TOC1"/>
          </w:pPr>
          <w:hyperlink w:history="true" w:anchor="_TOC_250026">
            <w:r>
              <w:rPr>
                <w:color w:val="1A5220"/>
              </w:rPr>
              <w:t>合理用药</w:t>
            </w:r>
          </w:hyperlink>
        </w:p>
        <w:p>
          <w:pPr>
            <w:pStyle w:val="TOC4"/>
            <w:tabs>
              <w:tab w:pos="9924" w:val="right" w:leader="dot"/>
            </w:tabs>
            <w:spacing w:before="189"/>
            <w:rPr>
              <w:b w:val="0"/>
              <w:i w:val="0"/>
              <w:sz w:val="28"/>
            </w:rPr>
          </w:pPr>
          <w:r>
            <w:rPr>
              <w:i w:val="0"/>
              <w:sz w:val="28"/>
            </w:rPr>
            <w:t>【临床药师】</w:t>
            <w:tab/>
          </w:r>
          <w:r>
            <w:rPr>
              <w:b w:val="0"/>
              <w:i w:val="0"/>
              <w:sz w:val="28"/>
            </w:rPr>
            <w:t>22</w:t>
          </w:r>
        </w:p>
        <w:p>
          <w:pPr>
            <w:pStyle w:val="TOC3"/>
            <w:tabs>
              <w:tab w:pos="9924" w:val="right" w:leader="dot"/>
            </w:tabs>
            <w:spacing w:before="242"/>
          </w:pPr>
          <w:hyperlink w:history="true" w:anchor="_TOC_250025">
            <w:r>
              <w:rPr/>
              <w:t>β</w:t>
            </w:r>
            <w:r>
              <w:rPr>
                <w:spacing w:val="-71"/>
              </w:rPr>
              <w:t> </w:t>
            </w:r>
            <w:r>
              <w:rPr/>
              <w:t>受体阻</w:t>
            </w:r>
            <w:r>
              <w:rPr>
                <w:spacing w:val="-3"/>
              </w:rPr>
              <w:t>滞</w:t>
            </w:r>
            <w:r>
              <w:rPr/>
              <w:t>剂的</w:t>
            </w:r>
            <w:r>
              <w:rPr>
                <w:spacing w:val="-3"/>
              </w:rPr>
              <w:t>区</w:t>
            </w:r>
            <w:r>
              <w:rPr/>
              <w:t>别及注</w:t>
            </w:r>
            <w:r>
              <w:rPr>
                <w:spacing w:val="-3"/>
              </w:rPr>
              <w:t>意</w:t>
            </w:r>
            <w:r>
              <w:rPr/>
              <w:t>事项</w:t>
              <w:tab/>
              <w:t>22</w:t>
            </w:r>
          </w:hyperlink>
        </w:p>
        <w:p>
          <w:pPr>
            <w:pStyle w:val="TOC3"/>
            <w:tabs>
              <w:tab w:pos="9924" w:val="right" w:leader="dot"/>
            </w:tabs>
          </w:pPr>
          <w:hyperlink w:history="true" w:anchor="_TOC_250024">
            <w:r>
              <w:rPr/>
              <w:t>警惕抗</w:t>
            </w:r>
            <w:r>
              <w:rPr>
                <w:spacing w:val="-3"/>
              </w:rPr>
              <w:t>菌</w:t>
            </w:r>
            <w:r>
              <w:rPr/>
              <w:t>药可</w:t>
            </w:r>
            <w:r>
              <w:rPr>
                <w:spacing w:val="-3"/>
              </w:rPr>
              <w:t>能导</w:t>
            </w:r>
            <w:r>
              <w:rPr/>
              <w:t>致的癫</w:t>
            </w:r>
            <w:r>
              <w:rPr>
                <w:spacing w:val="-3"/>
              </w:rPr>
              <w:t>痫</w:t>
            </w:r>
            <w:r>
              <w:rPr/>
              <w:t>与神</w:t>
            </w:r>
            <w:r>
              <w:rPr>
                <w:spacing w:val="-3"/>
              </w:rPr>
              <w:t>经肌</w:t>
            </w:r>
            <w:r>
              <w:rPr/>
              <w:t>肉阻滞</w:t>
              <w:tab/>
              <w:t>24</w:t>
            </w:r>
          </w:hyperlink>
        </w:p>
        <w:p>
          <w:pPr>
            <w:pStyle w:val="TOC4"/>
            <w:tabs>
              <w:tab w:pos="9924" w:val="right" w:leader="dot"/>
            </w:tabs>
            <w:rPr>
              <w:b w:val="0"/>
              <w:i w:val="0"/>
              <w:sz w:val="28"/>
            </w:rPr>
          </w:pPr>
          <w:hyperlink w:history="true" w:anchor="_TOC_250023">
            <w:r>
              <w:rPr>
                <w:i w:val="0"/>
                <w:sz w:val="28"/>
              </w:rPr>
              <w:t>【医生谈药】</w:t>
              <w:tab/>
            </w:r>
            <w:r>
              <w:rPr>
                <w:b w:val="0"/>
                <w:i w:val="0"/>
                <w:sz w:val="28"/>
              </w:rPr>
              <w:t>26</w:t>
            </w:r>
          </w:hyperlink>
        </w:p>
        <w:p>
          <w:pPr>
            <w:pStyle w:val="TOC3"/>
            <w:tabs>
              <w:tab w:pos="9924" w:val="right" w:leader="dot"/>
            </w:tabs>
            <w:spacing w:before="242"/>
          </w:pPr>
          <w:hyperlink w:history="true" w:anchor="_TOC_250022">
            <w:r>
              <w:rPr/>
              <w:t>原研帕</w:t>
            </w:r>
            <w:r>
              <w:rPr>
                <w:spacing w:val="-3"/>
              </w:rPr>
              <w:t>洛</w:t>
            </w:r>
            <w:r>
              <w:rPr/>
              <w:t>诺司</w:t>
            </w:r>
            <w:r>
              <w:rPr>
                <w:spacing w:val="-3"/>
              </w:rPr>
              <w:t>琼注</w:t>
            </w:r>
            <w:r>
              <w:rPr/>
              <w:t>射液（</w:t>
            </w:r>
            <w:r>
              <w:rPr>
                <w:spacing w:val="-3"/>
              </w:rPr>
              <w:t>第</w:t>
            </w:r>
            <w:r>
              <w:rPr/>
              <w:t>二代</w:t>
            </w:r>
            <w:r>
              <w:rPr>
                <w:spacing w:val="-70"/>
              </w:rPr>
              <w:t> </w:t>
            </w:r>
            <w:r>
              <w:rPr/>
              <w:t>5-HT3RA）在</w:t>
            </w:r>
            <w:r>
              <w:rPr>
                <w:spacing w:val="-3"/>
              </w:rPr>
              <w:t>中</w:t>
            </w:r>
            <w:r>
              <w:rPr/>
              <w:t>国获</w:t>
            </w:r>
            <w:r>
              <w:rPr>
                <w:spacing w:val="-3"/>
              </w:rPr>
              <w:t>批上</w:t>
            </w:r>
            <w:r>
              <w:rPr/>
              <w:t>市</w:t>
              <w:tab/>
              <w:t>26</w:t>
            </w:r>
          </w:hyperlink>
        </w:p>
        <w:p>
          <w:pPr>
            <w:pStyle w:val="TOC4"/>
            <w:tabs>
              <w:tab w:pos="9924" w:val="right" w:leader="dot"/>
            </w:tabs>
            <w:rPr>
              <w:b w:val="0"/>
              <w:i w:val="0"/>
              <w:sz w:val="28"/>
            </w:rPr>
          </w:pPr>
          <w:hyperlink w:history="true" w:anchor="_TOC_250021">
            <w:r>
              <w:rPr>
                <w:i w:val="0"/>
                <w:sz w:val="28"/>
              </w:rPr>
              <w:t>【中医中药】</w:t>
              <w:tab/>
            </w:r>
            <w:r>
              <w:rPr>
                <w:b w:val="0"/>
                <w:i w:val="0"/>
                <w:sz w:val="28"/>
              </w:rPr>
              <w:t>29</w:t>
            </w:r>
          </w:hyperlink>
        </w:p>
        <w:p>
          <w:pPr>
            <w:pStyle w:val="TOC3"/>
            <w:tabs>
              <w:tab w:pos="9924" w:val="right" w:leader="dot"/>
            </w:tabs>
            <w:spacing w:after="20"/>
          </w:pPr>
          <w:hyperlink w:history="true" w:anchor="_TOC_250020">
            <w:r>
              <w:rPr/>
              <w:t>绝经前</w:t>
            </w:r>
            <w:r>
              <w:rPr>
                <w:spacing w:val="-3"/>
              </w:rPr>
              <w:t>不</w:t>
            </w:r>
            <w:r>
              <w:rPr/>
              <w:t>宜服</w:t>
            </w:r>
            <w:r>
              <w:rPr>
                <w:spacing w:val="-3"/>
              </w:rPr>
              <w:t>用雷</w:t>
            </w:r>
            <w:r>
              <w:rPr/>
              <w:t>公藤</w:t>
              <w:tab/>
              <w:t>29</w:t>
            </w:r>
          </w:hyperlink>
        </w:p>
        <w:p>
          <w:pPr>
            <w:pStyle w:val="TOC4"/>
            <w:tabs>
              <w:tab w:pos="9923" w:val="right" w:leader="dot"/>
            </w:tabs>
            <w:spacing w:before="371"/>
            <w:rPr>
              <w:b w:val="0"/>
              <w:i w:val="0"/>
              <w:sz w:val="28"/>
            </w:rPr>
          </w:pPr>
          <w:hyperlink w:history="true" w:anchor="_TOC_250019">
            <w:r>
              <w:rPr>
                <w:i w:val="0"/>
                <w:sz w:val="28"/>
              </w:rPr>
              <w:t>【科普知识】</w:t>
              <w:tab/>
            </w:r>
            <w:r>
              <w:rPr>
                <w:b w:val="0"/>
                <w:i w:val="0"/>
                <w:sz w:val="28"/>
              </w:rPr>
              <w:t>29</w:t>
            </w:r>
          </w:hyperlink>
        </w:p>
        <w:p>
          <w:pPr>
            <w:pStyle w:val="TOC3"/>
            <w:tabs>
              <w:tab w:pos="9924" w:val="right" w:leader="dot"/>
            </w:tabs>
          </w:pPr>
          <w:hyperlink w:history="true" w:anchor="_TOC_250018">
            <w:r>
              <w:rPr>
                <w:w w:val="90"/>
              </w:rPr>
              <w:t>宫颈病变治愈后，还可以接种疫苗吗？接种</w:t>
            </w:r>
            <w:r>
              <w:rPr>
                <w:spacing w:val="-103"/>
                <w:w w:val="90"/>
              </w:rPr>
              <w:t> </w:t>
            </w:r>
            <w:r>
              <w:rPr>
                <w:w w:val="90"/>
              </w:rPr>
              <w:t>HPV</w:t>
            </w:r>
            <w:r>
              <w:rPr>
                <w:spacing w:val="-104"/>
                <w:w w:val="90"/>
              </w:rPr>
              <w:t> </w:t>
            </w:r>
            <w:r>
              <w:rPr>
                <w:w w:val="90"/>
              </w:rPr>
              <w:t>疫苗，这些套路你要清楚！</w:t>
              <w:tab/>
              <w:t>29</w:t>
            </w:r>
          </w:hyperlink>
        </w:p>
        <w:p>
          <w:pPr>
            <w:pStyle w:val="TOC3"/>
            <w:tabs>
              <w:tab w:pos="9924" w:val="right" w:leader="dot"/>
            </w:tabs>
          </w:pPr>
          <w:hyperlink w:history="true" w:anchor="_TOC_250017">
            <w:r>
              <w:rPr/>
              <w:t>风湿病</w:t>
            </w:r>
            <w:r>
              <w:rPr>
                <w:spacing w:val="-3"/>
              </w:rPr>
              <w:t>患</w:t>
            </w:r>
            <w:r>
              <w:rPr/>
              <w:t>儿别</w:t>
            </w:r>
            <w:r>
              <w:rPr>
                <w:spacing w:val="-3"/>
              </w:rPr>
              <w:t>随意</w:t>
            </w:r>
            <w:r>
              <w:rPr/>
              <w:t>停药</w:t>
              <w:tab/>
              <w:t>30</w:t>
            </w:r>
          </w:hyperlink>
        </w:p>
        <w:p>
          <w:pPr>
            <w:pStyle w:val="TOC3"/>
            <w:tabs>
              <w:tab w:pos="9924" w:val="right" w:leader="dot"/>
            </w:tabs>
          </w:pPr>
          <w:hyperlink w:history="true" w:anchor="_TOC_250016">
            <w:r>
              <w:rPr/>
              <w:t>老年人</w:t>
            </w:r>
            <w:r>
              <w:rPr>
                <w:spacing w:val="-3"/>
              </w:rPr>
              <w:t>泌</w:t>
            </w:r>
            <w:r>
              <w:rPr/>
              <w:t>尿系</w:t>
            </w:r>
            <w:r>
              <w:rPr>
                <w:spacing w:val="-3"/>
              </w:rPr>
              <w:t>感染</w:t>
            </w:r>
            <w:r>
              <w:rPr/>
              <w:t>应及时</w:t>
            </w:r>
            <w:r>
              <w:rPr>
                <w:spacing w:val="-3"/>
              </w:rPr>
              <w:t>使</w:t>
            </w:r>
            <w:r>
              <w:rPr/>
              <w:t>用抗</w:t>
            </w:r>
            <w:r>
              <w:rPr>
                <w:spacing w:val="-3"/>
              </w:rPr>
              <w:t>生</w:t>
            </w:r>
            <w:r>
              <w:rPr/>
              <w:t>素</w:t>
              <w:tab/>
              <w:t>31</w:t>
            </w:r>
          </w:hyperlink>
        </w:p>
        <w:p>
          <w:pPr>
            <w:pStyle w:val="TOC3"/>
            <w:tabs>
              <w:tab w:pos="9924" w:val="right" w:leader="dot"/>
            </w:tabs>
            <w:spacing w:before="242"/>
          </w:pPr>
          <w:hyperlink w:history="true" w:anchor="_TOC_250015">
            <w:r>
              <w:rPr/>
              <w:t>病毒是</w:t>
            </w:r>
            <w:r>
              <w:rPr>
                <w:spacing w:val="-3"/>
              </w:rPr>
              <w:t>如</w:t>
            </w:r>
            <w:r>
              <w:rPr/>
              <w:t>何现</w:t>
            </w:r>
            <w:r>
              <w:rPr>
                <w:spacing w:val="-3"/>
              </w:rPr>
              <w:t>出原</w:t>
            </w:r>
            <w:r>
              <w:rPr/>
              <w:t>形的</w:t>
              <w:tab/>
              <w:t>31</w:t>
            </w:r>
          </w:hyperlink>
        </w:p>
        <w:p>
          <w:pPr>
            <w:pStyle w:val="TOC3"/>
            <w:tabs>
              <w:tab w:pos="9924" w:val="right" w:leader="dot"/>
            </w:tabs>
          </w:pPr>
          <w:hyperlink w:history="true" w:anchor="_TOC_250014">
            <w:r>
              <w:rPr/>
              <w:t>外贴膏</w:t>
            </w:r>
            <w:r>
              <w:rPr>
                <w:spacing w:val="-3"/>
              </w:rPr>
              <w:t>药</w:t>
            </w:r>
            <w:r>
              <w:rPr/>
              <w:t>您贴</w:t>
            </w:r>
            <w:r>
              <w:rPr>
                <w:spacing w:val="-3"/>
              </w:rPr>
              <w:t>对了</w:t>
            </w:r>
            <w:r>
              <w:rPr/>
              <w:t>吗</w:t>
              <w:tab/>
              <w:t>33</w:t>
            </w:r>
          </w:hyperlink>
        </w:p>
        <w:p>
          <w:pPr>
            <w:pStyle w:val="TOC3"/>
            <w:tabs>
              <w:tab w:pos="9924" w:val="right" w:leader="dot"/>
            </w:tabs>
            <w:spacing w:before="242"/>
          </w:pPr>
          <w:hyperlink w:history="true" w:anchor="_TOC_250013">
            <w:r>
              <w:rPr/>
              <w:t>打胰岛</w:t>
            </w:r>
            <w:r>
              <w:rPr>
                <w:spacing w:val="-3"/>
              </w:rPr>
              <w:t>素</w:t>
            </w:r>
            <w:r>
              <w:rPr/>
              <w:t>不疼</w:t>
            </w:r>
            <w:r>
              <w:rPr>
                <w:spacing w:val="-3"/>
              </w:rPr>
              <w:t>的小</w:t>
            </w:r>
            <w:r>
              <w:rPr/>
              <w:t>窍门</w:t>
              <w:tab/>
              <w:t>34</w:t>
            </w:r>
          </w:hyperlink>
        </w:p>
        <w:p>
          <w:pPr>
            <w:pStyle w:val="TOC1"/>
          </w:pPr>
          <w:hyperlink w:history="true" w:anchor="_TOC_250012">
            <w:r>
              <w:rPr>
                <w:color w:val="1A5220"/>
              </w:rPr>
              <w:t>交流园地</w:t>
            </w:r>
          </w:hyperlink>
        </w:p>
        <w:p>
          <w:pPr>
            <w:pStyle w:val="TOC4"/>
            <w:tabs>
              <w:tab w:pos="9924" w:val="right" w:leader="dot"/>
            </w:tabs>
            <w:spacing w:before="186"/>
            <w:rPr>
              <w:b w:val="0"/>
              <w:i w:val="0"/>
              <w:sz w:val="28"/>
            </w:rPr>
          </w:pPr>
          <w:hyperlink w:history="true" w:anchor="_TOC_250011">
            <w:r>
              <w:rPr>
                <w:i w:val="0"/>
                <w:sz w:val="28"/>
              </w:rPr>
              <w:t>【学习园地】</w:t>
              <w:tab/>
            </w:r>
            <w:r>
              <w:rPr>
                <w:b w:val="0"/>
                <w:i w:val="0"/>
                <w:sz w:val="28"/>
              </w:rPr>
              <w:t>35</w:t>
            </w:r>
          </w:hyperlink>
        </w:p>
        <w:p>
          <w:pPr>
            <w:pStyle w:val="TOC3"/>
            <w:tabs>
              <w:tab w:pos="9924" w:val="right" w:leader="dot"/>
            </w:tabs>
            <w:spacing w:before="242"/>
          </w:pPr>
          <w:hyperlink w:history="true" w:anchor="_TOC_250010">
            <w:r>
              <w:rPr/>
              <w:t>美国药</w:t>
            </w:r>
            <w:r>
              <w:rPr>
                <w:spacing w:val="-3"/>
              </w:rPr>
              <w:t>物</w:t>
            </w:r>
            <w:r>
              <w:rPr/>
              <w:t>回收</w:t>
            </w:r>
            <w:r>
              <w:rPr>
                <w:spacing w:val="-3"/>
              </w:rPr>
              <w:t>处置</w:t>
            </w:r>
            <w:r>
              <w:rPr/>
              <w:t>公司</w:t>
              <w:tab/>
              <w:t>35</w:t>
            </w:r>
          </w:hyperlink>
        </w:p>
        <w:p>
          <w:pPr>
            <w:pStyle w:val="TOC4"/>
            <w:tabs>
              <w:tab w:pos="9924" w:val="right" w:leader="dot"/>
            </w:tabs>
            <w:rPr>
              <w:b w:val="0"/>
              <w:i w:val="0"/>
              <w:sz w:val="28"/>
            </w:rPr>
          </w:pPr>
          <w:hyperlink w:history="true" w:anchor="_TOC_250009">
            <w:r>
              <w:rPr>
                <w:i w:val="0"/>
                <w:sz w:val="28"/>
              </w:rPr>
              <w:t>【药师风采】</w:t>
              <w:tab/>
            </w:r>
            <w:r>
              <w:rPr>
                <w:b w:val="0"/>
                <w:i w:val="0"/>
                <w:sz w:val="28"/>
              </w:rPr>
              <w:t>35</w:t>
            </w:r>
          </w:hyperlink>
        </w:p>
        <w:p>
          <w:pPr>
            <w:pStyle w:val="TOC3"/>
            <w:tabs>
              <w:tab w:pos="9924" w:val="right" w:leader="dot"/>
            </w:tabs>
          </w:pPr>
          <w:hyperlink w:history="true" w:anchor="_TOC_250008">
            <w:r>
              <w:rPr/>
              <w:t>空军军</w:t>
            </w:r>
            <w:r>
              <w:rPr>
                <w:spacing w:val="-3"/>
              </w:rPr>
              <w:t>医</w:t>
            </w:r>
            <w:r>
              <w:rPr/>
              <w:t>大学</w:t>
            </w:r>
            <w:r>
              <w:rPr>
                <w:spacing w:val="-3"/>
              </w:rPr>
              <w:t>第一</w:t>
            </w:r>
            <w:r>
              <w:rPr/>
              <w:t>附属医院——</w:t>
            </w:r>
            <w:r>
              <w:rPr>
                <w:spacing w:val="-3"/>
              </w:rPr>
              <w:t>乔逸</w:t>
              <w:tab/>
            </w:r>
            <w:r>
              <w:rPr/>
              <w:t>35</w:t>
            </w:r>
          </w:hyperlink>
        </w:p>
        <w:p>
          <w:pPr>
            <w:pStyle w:val="TOC3"/>
            <w:tabs>
              <w:tab w:pos="9924" w:val="right" w:leader="dot"/>
            </w:tabs>
            <w:spacing w:before="242"/>
          </w:pPr>
          <w:hyperlink w:history="true" w:anchor="_TOC_250007">
            <w:r>
              <w:rPr/>
              <w:t>兰州市</w:t>
            </w:r>
            <w:r>
              <w:rPr>
                <w:spacing w:val="-3"/>
              </w:rPr>
              <w:t>第</w:t>
            </w:r>
            <w:r>
              <w:rPr/>
              <w:t>二人</w:t>
            </w:r>
            <w:r>
              <w:rPr>
                <w:spacing w:val="-3"/>
              </w:rPr>
              <w:t>民医</w:t>
            </w:r>
            <w:r>
              <w:rPr/>
              <w:t>院——</w:t>
            </w:r>
            <w:r>
              <w:rPr>
                <w:spacing w:val="-3"/>
              </w:rPr>
              <w:t>丁丽</w:t>
              <w:tab/>
            </w:r>
            <w:r>
              <w:rPr/>
              <w:t>36</w:t>
            </w:r>
          </w:hyperlink>
        </w:p>
        <w:p>
          <w:pPr>
            <w:pStyle w:val="TOC3"/>
            <w:tabs>
              <w:tab w:pos="9924" w:val="right" w:leader="dot"/>
            </w:tabs>
          </w:pPr>
          <w:hyperlink w:history="true" w:anchor="_TOC_250006">
            <w:r>
              <w:rPr/>
              <w:t>甘肃中</w:t>
            </w:r>
            <w:r>
              <w:rPr>
                <w:spacing w:val="-3"/>
              </w:rPr>
              <w:t>医</w:t>
            </w:r>
            <w:r>
              <w:rPr/>
              <w:t>药大</w:t>
            </w:r>
            <w:r>
              <w:rPr>
                <w:spacing w:val="-3"/>
              </w:rPr>
              <w:t>学附</w:t>
            </w:r>
            <w:r>
              <w:rPr/>
              <w:t>属医院——靳</w:t>
            </w:r>
            <w:r>
              <w:rPr>
                <w:spacing w:val="-3"/>
              </w:rPr>
              <w:t>子</w:t>
            </w:r>
            <w:r>
              <w:rPr/>
              <w:t>明</w:t>
              <w:tab/>
              <w:t>37</w:t>
            </w:r>
          </w:hyperlink>
        </w:p>
        <w:p>
          <w:pPr>
            <w:pStyle w:val="TOC3"/>
            <w:tabs>
              <w:tab w:pos="9924" w:val="right" w:leader="dot"/>
            </w:tabs>
          </w:pPr>
          <w:hyperlink w:history="true" w:anchor="_TOC_250005">
            <w:r>
              <w:rPr/>
              <w:t>青海大</w:t>
            </w:r>
            <w:r>
              <w:rPr>
                <w:spacing w:val="-3"/>
              </w:rPr>
              <w:t>学</w:t>
            </w:r>
            <w:r>
              <w:rPr/>
              <w:t>附属</w:t>
            </w:r>
            <w:r>
              <w:rPr>
                <w:spacing w:val="-3"/>
              </w:rPr>
              <w:t>医</w:t>
            </w:r>
            <w:r>
              <w:rPr/>
              <w:t>院——徐萌</w:t>
              <w:tab/>
              <w:t>37</w:t>
            </w:r>
          </w:hyperlink>
        </w:p>
        <w:p>
          <w:pPr>
            <w:pStyle w:val="TOC2"/>
            <w:tabs>
              <w:tab w:pos="9924" w:val="right" w:leader="dot"/>
            </w:tabs>
            <w:rPr>
              <w:b w:val="0"/>
            </w:rPr>
          </w:pPr>
          <w:hyperlink w:history="true" w:anchor="_TOC_250004">
            <w:r>
              <w:rPr/>
              <w:t>【优秀药师经验分享】</w:t>
              <w:tab/>
            </w:r>
            <w:r>
              <w:rPr>
                <w:b w:val="0"/>
              </w:rPr>
              <w:t>38</w:t>
            </w:r>
          </w:hyperlink>
        </w:p>
        <w:p>
          <w:pPr>
            <w:pStyle w:val="TOC3"/>
            <w:tabs>
              <w:tab w:pos="9924" w:val="right" w:leader="dot"/>
            </w:tabs>
            <w:spacing w:before="242"/>
          </w:pPr>
          <w:hyperlink w:history="true" w:anchor="_TOC_250003">
            <w:r>
              <w:rPr/>
              <w:t>药师搞</w:t>
            </w:r>
            <w:r>
              <w:rPr>
                <w:spacing w:val="-3"/>
              </w:rPr>
              <w:t>科</w:t>
            </w:r>
            <w:r>
              <w:rPr/>
              <w:t>研，</w:t>
            </w:r>
            <w:r>
              <w:rPr>
                <w:spacing w:val="-3"/>
              </w:rPr>
              <w:t>抓住</w:t>
            </w:r>
            <w:r>
              <w:rPr/>
              <w:t>七大优</w:t>
            </w:r>
            <w:r>
              <w:rPr>
                <w:spacing w:val="-3"/>
              </w:rPr>
              <w:t>势</w:t>
            </w:r>
            <w:r>
              <w:rPr/>
              <w:t>让你</w:t>
            </w:r>
            <w:r>
              <w:rPr>
                <w:spacing w:val="-3"/>
              </w:rPr>
              <w:t>脱颖</w:t>
            </w:r>
            <w:r>
              <w:rPr/>
              <w:t>而出</w:t>
              <w:tab/>
              <w:t>38</w:t>
            </w:r>
          </w:hyperlink>
        </w:p>
        <w:p>
          <w:pPr>
            <w:pStyle w:val="TOC3"/>
            <w:tabs>
              <w:tab w:pos="9924" w:val="right" w:leader="dot"/>
            </w:tabs>
            <w:spacing w:before="242"/>
          </w:pPr>
          <w:hyperlink w:history="true" w:anchor="_TOC_250002">
            <w:r>
              <w:rPr/>
              <w:t>优势突</w:t>
            </w:r>
            <w:r>
              <w:rPr>
                <w:spacing w:val="-3"/>
              </w:rPr>
              <w:t>出</w:t>
            </w:r>
            <w:r>
              <w:rPr/>
              <w:t>，专</w:t>
            </w:r>
            <w:r>
              <w:rPr>
                <w:spacing w:val="-3"/>
              </w:rPr>
              <w:t>职专</w:t>
            </w:r>
            <w:r>
              <w:rPr/>
              <w:t>任，打</w:t>
            </w:r>
            <w:r>
              <w:rPr>
                <w:spacing w:val="-3"/>
              </w:rPr>
              <w:t>造</w:t>
            </w:r>
            <w:r>
              <w:rPr/>
              <w:t>有战</w:t>
            </w:r>
            <w:r>
              <w:rPr>
                <w:spacing w:val="-3"/>
              </w:rPr>
              <w:t>斗力</w:t>
            </w:r>
            <w:r>
              <w:rPr/>
              <w:t>的骨干</w:t>
            </w:r>
            <w:r>
              <w:rPr>
                <w:spacing w:val="-3"/>
              </w:rPr>
              <w:t>队</w:t>
            </w:r>
            <w:r>
              <w:rPr/>
              <w:t>伍！</w:t>
              <w:tab/>
              <w:t>40</w:t>
            </w:r>
          </w:hyperlink>
        </w:p>
        <w:p>
          <w:pPr>
            <w:pStyle w:val="TOC1"/>
          </w:pPr>
          <w:hyperlink w:history="true" w:anchor="_TOC_250001">
            <w:r>
              <w:rPr>
                <w:color w:val="1A5220"/>
              </w:rPr>
              <w:t>学会动态</w:t>
            </w:r>
          </w:hyperlink>
        </w:p>
        <w:p>
          <w:pPr>
            <w:pStyle w:val="TOC4"/>
            <w:tabs>
              <w:tab w:pos="9924" w:val="right" w:leader="dot"/>
            </w:tabs>
            <w:spacing w:before="186"/>
            <w:rPr>
              <w:b w:val="0"/>
              <w:i w:val="0"/>
              <w:sz w:val="28"/>
            </w:rPr>
          </w:pPr>
          <w:hyperlink w:history="true" w:anchor="_TOC_250000">
            <w:r>
              <w:rPr>
                <w:i w:val="0"/>
                <w:sz w:val="28"/>
              </w:rPr>
              <w:t>【会议通知】</w:t>
              <w:tab/>
            </w:r>
            <w:r>
              <w:rPr>
                <w:b w:val="0"/>
                <w:i w:val="0"/>
                <w:sz w:val="28"/>
              </w:rPr>
              <w:t>41</w:t>
            </w:r>
          </w:hyperlink>
        </w:p>
      </w:sdtContent>
    </w:sdt>
    <w:p>
      <w:pPr>
        <w:spacing w:after="0"/>
        <w:rPr>
          <w:sz w:val="28"/>
        </w:rPr>
        <w:sectPr>
          <w:headerReference w:type="default" r:id="rId7"/>
          <w:footerReference w:type="default" r:id="rId8"/>
          <w:pgSz w:w="11910" w:h="16850"/>
          <w:pgMar w:header="906" w:footer="825" w:top="1115" w:bottom="1302" w:left="640" w:right="0"/>
          <w:pgNumType w:start="2"/>
        </w:sectPr>
      </w:pPr>
    </w:p>
    <w:p>
      <w:pPr>
        <w:spacing w:before="242"/>
        <w:ind w:left="848" w:right="0" w:firstLine="0"/>
        <w:jc w:val="left"/>
        <w:rPr>
          <w:rFonts w:ascii="楷体" w:eastAsia="楷体" w:hint="eastAsia"/>
          <w:sz w:val="28"/>
        </w:rPr>
      </w:pPr>
      <w:r>
        <w:rPr>
          <w:rFonts w:ascii="楷体" w:eastAsia="楷体" w:hint="eastAsia"/>
          <w:sz w:val="28"/>
        </w:rPr>
        <w:t>关于召开 2019 年中国药学会药学服务专业委员会学术年会的通知（第二轮）</w:t>
      </w:r>
    </w:p>
    <w:p>
      <w:pPr>
        <w:spacing w:after="0"/>
        <w:jc w:val="left"/>
        <w:rPr>
          <w:rFonts w:ascii="楷体" w:eastAsia="楷体" w:hint="eastAsia"/>
          <w:sz w:val="28"/>
        </w:rPr>
        <w:sectPr>
          <w:type w:val="continuous"/>
          <w:pgSz w:w="11910" w:h="16850"/>
          <w:pgMar w:top="1100" w:bottom="1020" w:left="640" w:right="0"/>
        </w:sectPr>
      </w:pPr>
    </w:p>
    <w:p>
      <w:pPr>
        <w:spacing w:before="993"/>
        <w:ind w:left="637" w:right="0" w:firstLine="0"/>
        <w:jc w:val="left"/>
        <w:rPr>
          <w:b/>
          <w:sz w:val="32"/>
        </w:rPr>
      </w:pPr>
      <w:r>
        <w:rPr>
          <w:b/>
          <w:sz w:val="32"/>
        </w:rPr>
        <w:t>【政府要闻】</w:t>
      </w:r>
    </w:p>
    <w:p>
      <w:pPr>
        <w:spacing w:before="122"/>
        <w:ind w:left="6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640" w:right="0"/>
          <w:pgNumType w:start="1"/>
          <w:cols w:num="2" w:equalWidth="0">
            <w:col w:w="2607" w:space="1260"/>
            <w:col w:w="7403"/>
          </w:cols>
        </w:sectPr>
      </w:pPr>
    </w:p>
    <w:p>
      <w:pPr>
        <w:pStyle w:val="BodyText"/>
        <w:spacing w:before="14"/>
        <w:ind w:left="0"/>
        <w:rPr>
          <w:rFonts w:ascii="华文宋体"/>
          <w:b/>
          <w:sz w:val="17"/>
        </w:rPr>
      </w:pPr>
    </w:p>
    <w:p>
      <w:pPr>
        <w:spacing w:before="0"/>
        <w:ind w:left="0" w:right="498" w:firstLine="0"/>
        <w:jc w:val="center"/>
        <w:rPr>
          <w:b/>
          <w:sz w:val="32"/>
        </w:rPr>
      </w:pPr>
      <w:r>
        <w:rPr>
          <w:b/>
          <w:sz w:val="32"/>
        </w:rPr>
        <w:t>国务院印发《国务院关于实施健康中国行动的意见》</w:t>
      </w:r>
    </w:p>
    <w:p>
      <w:pPr>
        <w:pStyle w:val="Heading8"/>
        <w:spacing w:before="145"/>
        <w:ind w:left="0" w:right="1128"/>
        <w:jc w:val="right"/>
        <w:rPr>
          <w:rFonts w:ascii="楷体" w:eastAsia="楷体" w:hint="eastAsia"/>
        </w:rPr>
      </w:pPr>
      <w:r>
        <w:rPr>
          <w:rFonts w:ascii="楷体" w:eastAsia="楷体" w:hint="eastAsia"/>
          <w:color w:val="FF0000"/>
          <w:w w:val="95"/>
        </w:rPr>
        <w:t>（来源：新华社）</w:t>
      </w:r>
    </w:p>
    <w:p>
      <w:pPr>
        <w:pStyle w:val="BodyText"/>
        <w:spacing w:before="82"/>
        <w:ind w:left="1119"/>
      </w:pPr>
      <w:hyperlink r:id="rId11">
        <w:r>
          <w:rPr/>
          <w:t>近日，国务院印发《国务院关于实施健康中国行动的意见》</w:t>
        </w:r>
      </w:hyperlink>
      <w:r>
        <w:rPr/>
        <w:t>（以下简称《意见》）。</w:t>
      </w:r>
    </w:p>
    <w:p>
      <w:pPr>
        <w:pStyle w:val="BodyText"/>
        <w:spacing w:line="280" w:lineRule="auto" w:before="52"/>
        <w:ind w:right="1007" w:firstLine="482"/>
      </w:pPr>
      <w:r>
        <w:rPr>
          <w:spacing w:val="-10"/>
        </w:rPr>
        <w:t>《意见》指出，人民健康是民族昌盛和国家富强的重要标志，预防是最经济最有效的健</w:t>
      </w:r>
      <w:r>
        <w:rPr>
          <w:spacing w:val="-12"/>
        </w:rPr>
        <w:t>康策略。要以习近平新时代中国特色社会主义思想为指导，全面贯彻党的十九大和十九届二</w:t>
      </w:r>
      <w:r>
        <w:rPr>
          <w:spacing w:val="-11"/>
        </w:rPr>
        <w:t>中、三中全会精神，坚持以人民为中心的发展思想，坚持改革创新，贯彻新时代卫生与健康</w:t>
      </w:r>
      <w:r>
        <w:rPr>
          <w:spacing w:val="-13"/>
        </w:rPr>
        <w:t>工作方针，强化政府、社会、个人责任，加快推动卫生健康工作理念、服务方式从以治病为</w:t>
      </w:r>
      <w:r>
        <w:rPr>
          <w:spacing w:val="-16"/>
        </w:rPr>
        <w:t>中心转变为以人民健康为中心，建立健全健康教育体系，普及健康知识，引导群众建立正确</w:t>
      </w:r>
      <w:r>
        <w:rPr>
          <w:spacing w:val="-17"/>
        </w:rPr>
        <w:t>健康观，加强早期干预，形成有利于健康的生活方式、生态环境和社会环境，延长健康寿命， </w:t>
      </w:r>
      <w:r>
        <w:rPr/>
        <w:t>为全方位全周期保障人民健康、建设健康中国奠定坚实基础。</w:t>
      </w:r>
    </w:p>
    <w:p>
      <w:pPr>
        <w:pStyle w:val="BodyText"/>
        <w:spacing w:line="280" w:lineRule="auto" w:before="2"/>
        <w:ind w:right="1127" w:firstLine="482"/>
      </w:pPr>
      <w:r>
        <w:rPr>
          <w:spacing w:val="-12"/>
        </w:rPr>
        <w:t>《意见》提出，要坚持普及知识、提升素养，自主自律、健康生活，早期干预、完善服</w:t>
      </w:r>
      <w:r>
        <w:rPr>
          <w:spacing w:val="-4"/>
        </w:rPr>
        <w:t>务，全民参与、共建共享的基本原则。到 </w:t>
      </w:r>
      <w:r>
        <w:rPr/>
        <w:t>2022</w:t>
      </w:r>
      <w:r>
        <w:rPr>
          <w:spacing w:val="-8"/>
        </w:rPr>
        <w:t> 年，健康促进政策体系基本建立，全民健康</w:t>
      </w:r>
    </w:p>
    <w:p>
      <w:pPr>
        <w:pStyle w:val="BodyText"/>
        <w:spacing w:line="280" w:lineRule="auto" w:before="1"/>
        <w:ind w:right="1007"/>
      </w:pPr>
      <w:r>
        <w:rPr>
          <w:spacing w:val="-3"/>
        </w:rPr>
        <w:t>素养水平稳步提高，健康生活方式加快推广。到 </w:t>
      </w:r>
      <w:r>
        <w:rPr/>
        <w:t>2030</w:t>
      </w:r>
      <w:r>
        <w:rPr>
          <w:spacing w:val="-8"/>
        </w:rPr>
        <w:t> 年，全民健康素养水平大幅提升，健</w:t>
      </w:r>
      <w:r>
        <w:rPr>
          <w:spacing w:val="-13"/>
        </w:rPr>
        <w:t>康生活方式基本普及，居民主要健康影响因素得到有效控制，因重大慢性病导致的过早死亡</w:t>
      </w:r>
      <w:r>
        <w:rPr>
          <w:spacing w:val="-19"/>
        </w:rPr>
        <w:t>率明显降低，人均健康预期寿命得到较大提高，居民主要健康指标水平进入高收入国家行列， </w:t>
      </w:r>
      <w:r>
        <w:rPr/>
        <w:t>健康公平基本实现。</w:t>
      </w:r>
    </w:p>
    <w:p>
      <w:pPr>
        <w:pStyle w:val="BodyText"/>
        <w:spacing w:line="280" w:lineRule="auto" w:before="1"/>
        <w:ind w:right="1009" w:firstLine="482"/>
      </w:pPr>
      <w:r>
        <w:rPr>
          <w:spacing w:val="-10"/>
        </w:rPr>
        <w:t>《意见》明确了三方面共 </w:t>
      </w:r>
      <w:r>
        <w:rPr/>
        <w:t>15</w:t>
      </w:r>
      <w:r>
        <w:rPr>
          <w:spacing w:val="-13"/>
        </w:rPr>
        <w:t> 个专项行动。一是从健康知识普及、合理膳食、全民健身、</w:t>
      </w:r>
      <w:r>
        <w:rPr>
          <w:spacing w:val="-10"/>
        </w:rPr>
        <w:t>控烟、心理健康等方面综合施策，全方位干预健康影响因素；二是关注妇幼、中小学生、劳</w:t>
      </w:r>
      <w:r>
        <w:rPr>
          <w:spacing w:val="-12"/>
        </w:rPr>
        <w:t>动者、老年人等重点人群，维护全生命周期健康；三是针对心脑血管疾病、癌症、慢性呼吸系统疾病、糖尿病四类慢性病以及传染病、地方病，加强重大疾病防控。通过政府、社会、家庭、个人的共同努力，努力使群众不生病、少生病，提高生活质量。</w:t>
      </w:r>
    </w:p>
    <w:p>
      <w:pPr>
        <w:pStyle w:val="BodyText"/>
        <w:spacing w:before="1"/>
        <w:ind w:left="1119"/>
      </w:pPr>
      <w:r>
        <w:rPr/>
        <w:t>《意见》强调，国家层面成立健康中国行动推进委员会，制定印发《健康中国行动（2019</w:t>
      </w:r>
    </w:p>
    <w:p>
      <w:pPr>
        <w:pStyle w:val="BodyText"/>
        <w:spacing w:line="360" w:lineRule="exact" w:before="5"/>
        <w:ind w:right="1127"/>
        <w:jc w:val="both"/>
        <w:rPr>
          <w:rFonts w:ascii="微软雅黑" w:eastAsia="微软雅黑" w:hint="eastAsia"/>
          <w:b/>
        </w:rPr>
      </w:pPr>
      <w:r>
        <w:rPr/>
        <w:t>－2030</w:t>
      </w:r>
      <w:r>
        <w:rPr>
          <w:spacing w:val="-31"/>
        </w:rPr>
        <w:t> 年</w:t>
      </w:r>
      <w:r>
        <w:rPr>
          <w:spacing w:val="-8"/>
        </w:rPr>
        <w:t>）</w:t>
      </w:r>
      <w:r>
        <w:rPr>
          <w:spacing w:val="-12"/>
        </w:rPr>
        <w:t>》，细化上述 </w:t>
      </w:r>
      <w:r>
        <w:rPr/>
        <w:t>15</w:t>
      </w:r>
      <w:r>
        <w:rPr>
          <w:spacing w:val="-8"/>
        </w:rPr>
        <w:t> 个专项行动的目标、指标、任务和职责分工，统筹指导各地区</w:t>
      </w:r>
      <w:r>
        <w:rPr>
          <w:spacing w:val="-13"/>
        </w:rPr>
        <w:t>各相关部门加强协作，研究疾病的综合防治策略，做好监测考核。要动员各方广泛参与，凝</w:t>
      </w:r>
      <w:r>
        <w:rPr>
          <w:spacing w:val="-9"/>
        </w:rPr>
        <w:t>聚全社会力量，形成健康促进的强大合力。要加强公共卫生体系建设和人才培养，加强财政</w:t>
      </w:r>
      <w:r>
        <w:rPr>
          <w:spacing w:val="-11"/>
        </w:rPr>
        <w:t>支持，强化资金统筹，优化资源配置，加强科技、信息支撑，完善法律法规体系。要注重宣传引导，及时发布政策解读，设立健康中国行动专题网站，以有效方式引导群众了解和掌握</w:t>
      </w:r>
      <w:r>
        <w:rPr/>
        <w:t>必备健康知识，践行健康生活方式。</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BodyText"/>
        <w:spacing w:before="3"/>
        <w:ind w:left="0"/>
        <w:rPr>
          <w:rFonts w:ascii="微软雅黑"/>
          <w:b/>
          <w:sz w:val="13"/>
        </w:rPr>
      </w:pPr>
    </w:p>
    <w:p>
      <w:pPr>
        <w:spacing w:after="0"/>
        <w:rPr>
          <w:rFonts w:ascii="微软雅黑"/>
          <w:sz w:val="13"/>
        </w:rPr>
        <w:sectPr>
          <w:type w:val="continuous"/>
          <w:pgSz w:w="11910" w:h="16850"/>
          <w:pgMar w:top="1100" w:bottom="1020" w:left="640" w:right="0"/>
        </w:sectPr>
      </w:pPr>
    </w:p>
    <w:p>
      <w:pPr>
        <w:spacing w:before="55"/>
        <w:ind w:left="3136" w:right="0" w:firstLine="0"/>
        <w:jc w:val="left"/>
        <w:rPr>
          <w:b/>
          <w:sz w:val="32"/>
        </w:rPr>
      </w:pPr>
      <w:r>
        <w:rPr>
          <w:b/>
          <w:spacing w:val="-2"/>
          <w:sz w:val="32"/>
        </w:rPr>
        <w:t>今明两年健康扶贫工作重点划出</w:t>
      </w:r>
    </w:p>
    <w:p>
      <w:pPr>
        <w:pStyle w:val="BodyText"/>
        <w:ind w:left="0"/>
        <w:rPr>
          <w:b/>
        </w:rPr>
      </w:pPr>
      <w:r>
        <w:rPr/>
        <w:br w:type="column"/>
      </w:r>
      <w:r>
        <w:rPr>
          <w:b/>
        </w:rPr>
      </w:r>
    </w:p>
    <w:p>
      <w:pPr>
        <w:pStyle w:val="BodyText"/>
        <w:spacing w:before="8"/>
        <w:ind w:left="0"/>
        <w:rPr>
          <w:b/>
          <w:sz w:val="23"/>
        </w:rPr>
      </w:pPr>
    </w:p>
    <w:p>
      <w:pPr>
        <w:pStyle w:val="Heading8"/>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632" w:space="40"/>
            <w:col w:w="3598"/>
          </w:cols>
        </w:sectPr>
      </w:pPr>
    </w:p>
    <w:p>
      <w:pPr>
        <w:pStyle w:val="BodyText"/>
        <w:spacing w:line="297" w:lineRule="auto" w:before="96"/>
        <w:ind w:right="1128" w:firstLine="480"/>
        <w:jc w:val="both"/>
      </w:pPr>
      <w:r>
        <w:rPr/>
        <w:t>7</w:t>
      </w:r>
      <w:r>
        <w:rPr>
          <w:spacing w:val="-41"/>
        </w:rPr>
        <w:t> 月 </w:t>
      </w:r>
      <w:r>
        <w:rPr/>
        <w:t>11</w:t>
      </w:r>
      <w:r>
        <w:rPr>
          <w:spacing w:val="-16"/>
        </w:rPr>
        <w:t> 日在京召开的 </w:t>
      </w:r>
      <w:r>
        <w:rPr/>
        <w:t>2019</w:t>
      </w:r>
      <w:r>
        <w:rPr>
          <w:spacing w:val="-12"/>
        </w:rPr>
        <w:t> 年全国健康扶贫工作电视电话会议，对今明两年健康扶贫工</w:t>
      </w:r>
      <w:r>
        <w:rPr>
          <w:spacing w:val="-9"/>
        </w:rPr>
        <w:t>作进行部署，明确全面推进解决“基本医疗有保障”突出问题的工作举措，尽锐出击，确保</w:t>
      </w:r>
      <w:r>
        <w:rPr>
          <w:spacing w:val="-8"/>
        </w:rPr>
        <w:t>坚决打赢脱贫攻坚战。会议要求，进一步增强做好健康扶贫工作的思想自觉、政治自觉和行</w:t>
      </w:r>
      <w:r>
        <w:rPr/>
        <w:t>动自觉，形成党委领导、政府主导、部门协作、上下联动、合力攻坚的工作格局。</w:t>
      </w:r>
    </w:p>
    <w:p>
      <w:pPr>
        <w:spacing w:after="0" w:line="297" w:lineRule="auto"/>
        <w:jc w:val="both"/>
        <w:sectPr>
          <w:type w:val="continuous"/>
          <w:pgSz w:w="11910" w:h="16850"/>
          <w:pgMar w:top="1100" w:bottom="1020" w:left="640" w:right="0"/>
        </w:sectPr>
      </w:pPr>
    </w:p>
    <w:p>
      <w:pPr>
        <w:pStyle w:val="BodyText"/>
        <w:spacing w:line="297" w:lineRule="auto" w:before="65"/>
        <w:ind w:right="1007" w:firstLine="480"/>
      </w:pPr>
      <w:r>
        <w:rPr>
          <w:spacing w:val="-9"/>
        </w:rPr>
        <w:t>会议明确，要深入实施健康扶贫工程，从严从实明确基本医疗有保障的工作标准，进一</w:t>
      </w:r>
      <w:r>
        <w:rPr>
          <w:spacing w:val="-14"/>
        </w:rPr>
        <w:t>步加大政府投入力度，将符合条件的未达标贫困县县医院全部纳入全民健康保障工程支持范</w:t>
      </w:r>
      <w:r>
        <w:rPr>
          <w:spacing w:val="-16"/>
        </w:rPr>
        <w:t>围；进一步强化对口帮扶，明确三级医院帮扶目标、任务和考核指标；进一步推进远程医疗， </w:t>
      </w:r>
      <w:r>
        <w:rPr>
          <w:spacing w:val="-8"/>
        </w:rPr>
        <w:t>着力拓展服务内涵，丰富服务内容。强化人才培养培训，加大农村订单定向免费医学生培养</w:t>
      </w:r>
      <w:r>
        <w:rPr>
          <w:spacing w:val="-13"/>
        </w:rPr>
        <w:t>力度；强化人才统筹使用，推广县聘县管乡用、乡聘村用以及从卫生院选派医生开展巡诊或</w:t>
      </w:r>
      <w:r>
        <w:rPr>
          <w:spacing w:val="-19"/>
        </w:rPr>
        <w:t>派驻等措施；强化人才能力提升，推进区域医疗资源共享，提高县域医疗卫生服务整体绩效。</w:t>
      </w:r>
      <w:r>
        <w:rPr>
          <w:spacing w:val="-16"/>
        </w:rPr>
        <w:t>力争到 </w:t>
      </w:r>
      <w:r>
        <w:rPr/>
        <w:t>2019</w:t>
      </w:r>
      <w:r>
        <w:rPr>
          <w:spacing w:val="-8"/>
        </w:rPr>
        <w:t> 年年底前，全面消除乡村两级医疗卫生机构和人员“空白点”。通过全面摸清</w:t>
      </w:r>
      <w:r>
        <w:rPr>
          <w:spacing w:val="-12"/>
        </w:rPr>
        <w:t>农村贫困人口医疗保障参保底数、落实精准到人台账管理、改进参保缴费宣传等措施，全力推进应保尽保，确保实现贫困人口看病有地方、有医生、有医保制度保障。</w:t>
      </w:r>
    </w:p>
    <w:p>
      <w:pPr>
        <w:pStyle w:val="BodyText"/>
        <w:spacing w:line="295" w:lineRule="auto"/>
        <w:ind w:right="1026" w:firstLine="480"/>
      </w:pPr>
      <w:r>
        <w:rPr>
          <w:spacing w:val="-9"/>
        </w:rPr>
        <w:t>会议指出，要精准补齐医疗保障政策短板，完善门诊保障机制，增强贫困大病患者保障</w:t>
      </w:r>
      <w:r>
        <w:rPr>
          <w:spacing w:val="-11"/>
        </w:rPr>
        <w:t>能力，持续优化医疗服务管理，让改革红利更好惠及贫困患者。同时，积极稳妥治理过度保</w:t>
      </w:r>
      <w:r>
        <w:rPr>
          <w:spacing w:val="-12"/>
        </w:rPr>
        <w:t>障，做到坚持标准、防控风险、妥善过渡，对保障标准明显超标的，要实事求是予以纠正， </w:t>
      </w:r>
      <w:r>
        <w:rPr>
          <w:spacing w:val="-1"/>
        </w:rPr>
        <w:t>没有超标的，要保持政策稳定性、连续性，不“翻烧饼”。持续保持基金监管的高压态势， </w:t>
      </w:r>
      <w:r>
        <w:rPr>
          <w:spacing w:val="-6"/>
        </w:rPr>
        <w:t>重点加大贫困地区监管力度，切实提高贫困地区监管能力，协同规范医疗行为，探索建立各方力量共同参与的长效监管机制。</w:t>
      </w:r>
    </w:p>
    <w:p>
      <w:pPr>
        <w:pStyle w:val="BodyText"/>
        <w:spacing w:line="297" w:lineRule="auto"/>
        <w:ind w:right="1127" w:firstLine="480"/>
        <w:jc w:val="both"/>
      </w:pPr>
      <w:r>
        <w:rPr>
          <w:spacing w:val="-10"/>
        </w:rPr>
        <w:t>会议强调，要完善贫困人口制度化的分类救治机制，持续做好大病专项救治工作，落实</w:t>
      </w:r>
      <w:r>
        <w:rPr>
          <w:spacing w:val="-8"/>
        </w:rPr>
        <w:t>落细慢病签约服务。建立贫困地区健康危险因素防控长效机制，做好艾滋病、结核病等重大</w:t>
      </w:r>
      <w:r>
        <w:rPr>
          <w:spacing w:val="-9"/>
        </w:rPr>
        <w:t>传染病综合防治，全面推进地方病和重点疾病防治攻坚行动。落实健康中国行动计划，深入</w:t>
      </w:r>
      <w:r>
        <w:rPr/>
        <w:t>开展贫困地区健康促进攻坚行动，推动实现健康扶贫关口前移。</w:t>
      </w:r>
    </w:p>
    <w:p>
      <w:pPr>
        <w:pStyle w:val="BodyText"/>
        <w:spacing w:line="297" w:lineRule="auto"/>
        <w:ind w:right="1127" w:firstLine="480"/>
        <w:jc w:val="both"/>
      </w:pPr>
      <w:r>
        <w:rPr>
          <w:spacing w:val="-11"/>
        </w:rPr>
        <w:t>会议要求，加强组织领导，落实中央统筹、省负总责、市县抓落实的管理体制，强力部</w:t>
      </w:r>
      <w:r>
        <w:rPr>
          <w:spacing w:val="-12"/>
        </w:rPr>
        <w:t>署推进。压实攻坚责任，把解决基本医疗有保障问题成效作为省级党委和政府扶贫开发工作</w:t>
      </w:r>
      <w:r>
        <w:rPr>
          <w:spacing w:val="-9"/>
        </w:rPr>
        <w:t>考核重点。强化投入保障，统筹用好各项保障资金，用足用好现有政策，加大解决基本医疗</w:t>
      </w:r>
      <w:r>
        <w:rPr>
          <w:spacing w:val="-22"/>
        </w:rPr>
        <w:t>有保障突出问题的投入力度，资金和政策重点向深度贫困地区倾斜。加强作风建设，结合“不</w:t>
      </w:r>
      <w:r>
        <w:rPr>
          <w:spacing w:val="-10"/>
        </w:rPr>
        <w:t>忘初心、牢记使命”主题教育，全面落实中央为基层减负要求，让基层干部把更多时间用在</w:t>
      </w:r>
    </w:p>
    <w:p>
      <w:pPr>
        <w:pStyle w:val="BodyText"/>
        <w:spacing w:line="235" w:lineRule="auto"/>
        <w:ind w:right="1135"/>
        <w:rPr>
          <w:rFonts w:ascii="微软雅黑" w:eastAsia="微软雅黑" w:hint="eastAsia"/>
          <w:b/>
        </w:rPr>
      </w:pPr>
      <w:r>
        <w:rPr>
          <w:spacing w:val="-10"/>
        </w:rPr>
        <w:t>抓工作落实上。加强宣传总结，深入解读健康扶贫、医保扶贫相关政策措施、标准要求，将</w:t>
      </w:r>
      <w:r>
        <w:rPr>
          <w:w w:val="110"/>
        </w:rPr>
        <w:t>健康扶贫工作融入健康中国战略，与乡村振兴战略有机衔接。</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3"/>
        <w:ind w:left="0"/>
        <w:rPr>
          <w:rFonts w:ascii="微软雅黑"/>
          <w:b/>
          <w:sz w:val="10"/>
        </w:rPr>
      </w:pPr>
    </w:p>
    <w:p>
      <w:pPr>
        <w:spacing w:after="0"/>
        <w:rPr>
          <w:rFonts w:ascii="微软雅黑"/>
          <w:sz w:val="10"/>
        </w:rPr>
        <w:sectPr>
          <w:pgSz w:w="11910" w:h="16850"/>
          <w:pgMar w:header="906" w:footer="607" w:top="1100" w:bottom="800" w:left="640" w:right="0"/>
        </w:sectPr>
      </w:pPr>
    </w:p>
    <w:p>
      <w:pPr>
        <w:pStyle w:val="Heading4"/>
        <w:spacing w:before="54"/>
        <w:ind w:left="3457"/>
      </w:pPr>
      <w:r>
        <w:rPr>
          <w:spacing w:val="-2"/>
        </w:rPr>
        <w:t>医疗机构执业自查制度拟建</w:t>
      </w:r>
    </w:p>
    <w:p>
      <w:pPr>
        <w:pStyle w:val="BodyText"/>
        <w:ind w:left="0"/>
        <w:rPr>
          <w:b/>
        </w:rPr>
      </w:pPr>
      <w:r>
        <w:rPr/>
        <w:br w:type="column"/>
      </w:r>
      <w:r>
        <w:rPr>
          <w:b/>
        </w:rPr>
      </w:r>
    </w:p>
    <w:p>
      <w:pPr>
        <w:pStyle w:val="BodyText"/>
        <w:spacing w:before="10"/>
        <w:ind w:left="0"/>
        <w:rPr>
          <w:b/>
          <w:sz w:val="23"/>
        </w:rPr>
      </w:pPr>
    </w:p>
    <w:p>
      <w:pPr>
        <w:pStyle w:val="Heading8"/>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311" w:space="40"/>
            <w:col w:w="3919"/>
          </w:cols>
        </w:sectPr>
      </w:pPr>
    </w:p>
    <w:p>
      <w:pPr>
        <w:pStyle w:val="BodyText"/>
        <w:spacing w:line="297" w:lineRule="auto" w:before="96"/>
        <w:ind w:right="1010" w:firstLine="480"/>
      </w:pPr>
      <w:r>
        <w:rPr>
          <w:spacing w:val="-3"/>
        </w:rPr>
        <w:t>国家卫生健康委日前印发《医疗机构依法执业自查管理办法</w:t>
      </w:r>
      <w:r>
        <w:rPr/>
        <w:t>（征求意见稿</w:t>
      </w:r>
      <w:r>
        <w:rPr>
          <w:spacing w:val="-22"/>
        </w:rPr>
        <w:t>）</w:t>
      </w:r>
      <w:r>
        <w:rPr>
          <w:spacing w:val="-10"/>
        </w:rPr>
        <w:t>》，要求压</w:t>
      </w:r>
      <w:r>
        <w:rPr>
          <w:spacing w:val="-15"/>
        </w:rPr>
        <w:t>实医疗机构自我管理主体责任，拟建立医疗机构依法执业自查制度，督促指导医疗机构对本</w:t>
      </w:r>
      <w:r>
        <w:rPr>
          <w:spacing w:val="-21"/>
        </w:rPr>
        <w:t>机构依法执业情况进行自查，对发现的问题及时整改，降低违法违规风险。征求意见稿明确， </w:t>
      </w:r>
      <w:r>
        <w:rPr/>
        <w:t>各地卫生健康行政部门按要求制定本地区医疗机构自查实施办法。</w:t>
      </w:r>
    </w:p>
    <w:p>
      <w:pPr>
        <w:pStyle w:val="BodyText"/>
        <w:spacing w:line="297" w:lineRule="auto"/>
        <w:ind w:right="1006" w:firstLine="480"/>
      </w:pPr>
      <w:r>
        <w:rPr>
          <w:spacing w:val="-7"/>
        </w:rPr>
        <w:t>征求意见稿指出，医疗机构应当建立本机构依法执业自查工作制度。自查内容包括，医</w:t>
      </w:r>
      <w:r>
        <w:rPr>
          <w:spacing w:val="-18"/>
        </w:rPr>
        <w:t>疗机构资质、执业及保障管理；医务人员资质及执业管理；药品和医疗器械、临床用血管理； </w:t>
      </w:r>
      <w:r>
        <w:rPr>
          <w:spacing w:val="-16"/>
        </w:rPr>
        <w:t>医疗技术临床应用；医疗质量管理；传染病防治；母婴保健与计划生育技术服务；放射诊疗、</w:t>
      </w:r>
      <w:r>
        <w:rPr>
          <w:spacing w:val="-9"/>
        </w:rPr>
        <w:t>职业健康检查、职业病诊断；精神卫生；中医药服务；医疗文书管理；法律法规规章规定医疗机构应当履行的职责和遵守的其他要求。各地可结合实际情况，适当调整内容。</w:t>
      </w:r>
    </w:p>
    <w:p>
      <w:pPr>
        <w:spacing w:after="0" w:line="297" w:lineRule="auto"/>
        <w:sectPr>
          <w:type w:val="continuous"/>
          <w:pgSz w:w="11910" w:h="16850"/>
          <w:pgMar w:top="1100" w:bottom="1020" w:left="640" w:right="0"/>
        </w:sectPr>
      </w:pPr>
    </w:p>
    <w:p>
      <w:pPr>
        <w:pStyle w:val="BodyText"/>
        <w:spacing w:line="295" w:lineRule="auto" w:before="65"/>
        <w:ind w:right="1127" w:firstLine="480"/>
        <w:jc w:val="both"/>
      </w:pPr>
      <w:r>
        <w:rPr>
          <w:spacing w:val="-9"/>
        </w:rPr>
        <w:t>征求意见稿要求，医疗机构应当根据本机构依法执业实际情况，开展全面自查、专项自</w:t>
      </w:r>
      <w:r>
        <w:rPr>
          <w:spacing w:val="-10"/>
        </w:rPr>
        <w:t>查和日常自查。各地卫生健康行政部门要发挥行业组织作用，对辖区医疗机构依法执业自查</w:t>
      </w:r>
      <w:r>
        <w:rPr>
          <w:spacing w:val="-7"/>
        </w:rPr>
        <w:t>情况进行监测评价指导；要将医疗机构依法执业自我管理情况纳入医疗机构定级、评审、评</w:t>
      </w:r>
    </w:p>
    <w:p>
      <w:pPr>
        <w:pStyle w:val="BodyText"/>
        <w:spacing w:line="235" w:lineRule="auto" w:before="10"/>
        <w:ind w:right="1129"/>
        <w:rPr>
          <w:rFonts w:ascii="微软雅黑" w:eastAsia="微软雅黑" w:hint="eastAsia"/>
          <w:b/>
        </w:rPr>
      </w:pPr>
      <w:r>
        <w:rPr>
          <w:spacing w:val="-11"/>
        </w:rPr>
        <w:t>价、考核的指标体系，并作为行业评先评优的重要参考；开展医疗机构校验时，要将开展依</w:t>
      </w:r>
      <w:r>
        <w:rPr>
          <w:w w:val="110"/>
        </w:rPr>
        <w:t>法执业自查工作情况作为重要依据。</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9"/>
        <w:ind w:left="0"/>
        <w:rPr>
          <w:rFonts w:ascii="微软雅黑"/>
          <w:b/>
          <w:sz w:val="10"/>
        </w:rPr>
      </w:pPr>
    </w:p>
    <w:p>
      <w:pPr>
        <w:pStyle w:val="Heading4"/>
        <w:spacing w:before="55"/>
        <w:ind w:right="491"/>
        <w:jc w:val="center"/>
      </w:pPr>
      <w:r>
        <w:rPr/>
        <w:t>合理用药重点监控 20 个药品</w:t>
      </w:r>
    </w:p>
    <w:p>
      <w:pPr>
        <w:pStyle w:val="BodyText"/>
        <w:spacing w:before="52"/>
        <w:ind w:left="0" w:right="494"/>
        <w:jc w:val="center"/>
      </w:pPr>
      <w:r>
        <w:rPr/>
        <w:t>使用情况与医疗机构评审评价、绩效考核结合</w:t>
      </w:r>
    </w:p>
    <w:p>
      <w:pPr>
        <w:pStyle w:val="Heading8"/>
        <w:spacing w:before="167"/>
        <w:ind w:left="0" w:right="1128"/>
        <w:jc w:val="right"/>
        <w:rPr>
          <w:rFonts w:ascii="楷体" w:eastAsia="楷体" w:hint="eastAsia"/>
        </w:rPr>
      </w:pPr>
      <w:r>
        <w:rPr>
          <w:rFonts w:ascii="楷体" w:eastAsia="楷体" w:hint="eastAsia"/>
          <w:color w:val="FF0000"/>
          <w:w w:val="95"/>
        </w:rPr>
        <w:t>（来源：健康报）</w:t>
      </w:r>
    </w:p>
    <w:p>
      <w:pPr>
        <w:pStyle w:val="BodyText"/>
        <w:spacing w:before="97"/>
        <w:ind w:left="1117"/>
        <w:jc w:val="both"/>
      </w:pPr>
      <w:r>
        <w:rPr/>
        <w:t>7</w:t>
      </w:r>
      <w:r>
        <w:rPr>
          <w:spacing w:val="-41"/>
        </w:rPr>
        <w:t> 月 </w:t>
      </w:r>
      <w:r>
        <w:rPr/>
        <w:t>1</w:t>
      </w:r>
      <w:r>
        <w:rPr>
          <w:spacing w:val="-11"/>
        </w:rPr>
        <w:t> 日，国家卫生健康委、国家中医药管理局联合发布《关于印发第一批国家重点监</w:t>
      </w:r>
    </w:p>
    <w:p>
      <w:pPr>
        <w:pStyle w:val="BodyText"/>
        <w:spacing w:line="295" w:lineRule="auto" w:before="74"/>
        <w:ind w:right="1130"/>
        <w:jc w:val="both"/>
      </w:pPr>
      <w:r>
        <w:rPr/>
        <w:t>控合理用药药品目录（化药及生物制品）</w:t>
      </w:r>
      <w:r>
        <w:rPr>
          <w:spacing w:val="-4"/>
        </w:rPr>
        <w:t>的通知》。根据《通知》，神经节苷脂等 </w:t>
      </w:r>
      <w:r>
        <w:rPr/>
        <w:t>20</w:t>
      </w:r>
      <w:r>
        <w:rPr>
          <w:spacing w:val="-20"/>
        </w:rPr>
        <w:t> 个药</w:t>
      </w:r>
      <w:r>
        <w:rPr>
          <w:spacing w:val="-21"/>
        </w:rPr>
        <w:t>品成为首批国家重点监控合理用药药品，将纳入目录的药品临床使用情况作为医疗机构及其</w:t>
      </w:r>
      <w:r>
        <w:rPr/>
        <w:t>主要负责人的考核内容，与医疗机构校验、评审评价、绩效考核相结合。</w:t>
      </w:r>
    </w:p>
    <w:p>
      <w:pPr>
        <w:pStyle w:val="BodyText"/>
        <w:spacing w:line="297" w:lineRule="auto" w:before="5"/>
        <w:ind w:right="1027" w:firstLine="480"/>
      </w:pPr>
      <w:r>
        <w:rPr>
          <w:spacing w:val="-10"/>
        </w:rPr>
        <w:t>《通知》强调，各地要制定省级和各医疗机构目录，以政务公开、院务公开、官方网站</w:t>
      </w:r>
      <w:r>
        <w:rPr>
          <w:spacing w:val="-11"/>
        </w:rPr>
        <w:t>公示等形式向社会公布，省级目录公布后及时报国家卫生健康委和国家中医药管理局备案。</w:t>
      </w:r>
      <w:r>
        <w:rPr>
          <w:spacing w:val="-5"/>
        </w:rPr>
        <w:t>医疗机构要建立重点监控合理用药药品管理制度，加强目录内药品临床应用的全程管理，对</w:t>
      </w:r>
      <w:r>
        <w:rPr>
          <w:spacing w:val="-10"/>
        </w:rPr>
        <w:t>纳入目录中的药品制定用药指南或技术规范，明确临床应用的条件和原则。对纳入目录中的</w:t>
      </w:r>
      <w:r>
        <w:rPr>
          <w:spacing w:val="-14"/>
        </w:rPr>
        <w:t>全部药品开展处方审核和处方点评，加强处方点评结果的公示、反馈及利用。对用药不合理</w:t>
      </w:r>
      <w:r>
        <w:rPr>
          <w:spacing w:val="-15"/>
        </w:rPr>
        <w:t>问题突出的品种，采取排名通报、限期整改、清除出本机构药品供应目录等措施，保证合理用药。</w:t>
      </w:r>
    </w:p>
    <w:p>
      <w:pPr>
        <w:pStyle w:val="BodyText"/>
        <w:spacing w:line="297" w:lineRule="auto"/>
        <w:ind w:right="1127" w:firstLine="480"/>
        <w:jc w:val="both"/>
      </w:pPr>
      <w:r>
        <w:rPr>
          <w:spacing w:val="-10"/>
        </w:rPr>
        <w:t>《通知》指出，加强目录外药品的处方管理。对未纳入目录的化药、生物制品，医师要</w:t>
      </w:r>
      <w:r>
        <w:rPr>
          <w:spacing w:val="-15"/>
        </w:rPr>
        <w:t>按照药品说明书规定的适应证、疾病诊疗规范指南和相应处方权限，合理选择药品品种、给</w:t>
      </w:r>
      <w:r>
        <w:rPr>
          <w:spacing w:val="-7"/>
        </w:rPr>
        <w:t>药途径和给药剂量并开具处方。对于中药，中医类别医师应当按照相关规范，遵照中医临床</w:t>
      </w:r>
      <w:r>
        <w:rPr>
          <w:spacing w:val="-8"/>
        </w:rPr>
        <w:t>基本的辨证施治原则开具中药处方。其他类别的医师，经过不少于 </w:t>
      </w:r>
      <w:r>
        <w:rPr/>
        <w:t>1</w:t>
      </w:r>
      <w:r>
        <w:rPr>
          <w:spacing w:val="-9"/>
        </w:rPr>
        <w:t> 年系统学习中医药专业</w:t>
      </w:r>
      <w:r>
        <w:rPr/>
        <w:t>知识并考核合格后，可以开具中成药处方。</w:t>
      </w:r>
    </w:p>
    <w:p>
      <w:pPr>
        <w:pStyle w:val="BodyText"/>
        <w:spacing w:line="302" w:lineRule="exact"/>
        <w:ind w:left="1117"/>
      </w:pPr>
      <w:r>
        <w:rPr/>
        <w:t>附件：</w:t>
      </w:r>
    </w:p>
    <w:p>
      <w:pPr>
        <w:pStyle w:val="Heading8"/>
        <w:spacing w:before="87"/>
        <w:ind w:left="0" w:right="494"/>
        <w:jc w:val="center"/>
        <w:rPr>
          <w:rFonts w:ascii="微软雅黑" w:eastAsia="微软雅黑" w:hint="eastAsia"/>
        </w:rPr>
      </w:pPr>
      <w:r>
        <w:rPr>
          <w:rFonts w:ascii="微软雅黑" w:eastAsia="微软雅黑" w:hint="eastAsia"/>
          <w:color w:val="474747"/>
        </w:rPr>
        <w:t>第一批国家重点监控合理用药药品目录</w:t>
      </w:r>
    </w:p>
    <w:p>
      <w:pPr>
        <w:pStyle w:val="BodyText"/>
        <w:spacing w:before="93" w:after="4"/>
        <w:ind w:left="0" w:right="494"/>
        <w:jc w:val="center"/>
      </w:pPr>
      <w:r>
        <w:rPr>
          <w:color w:val="474747"/>
        </w:rPr>
        <w:t>（化药及生物制品 排名不分先后）</w:t>
      </w:r>
    </w:p>
    <w:tbl>
      <w:tblPr>
        <w:tblW w:w="0" w:type="auto"/>
        <w:jc w:val="left"/>
        <w:tblInd w:w="1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63"/>
        <w:gridCol w:w="2633"/>
        <w:gridCol w:w="1361"/>
        <w:gridCol w:w="3651"/>
      </w:tblGrid>
      <w:tr>
        <w:trPr>
          <w:trHeight w:val="510" w:hRule="atLeast"/>
        </w:trPr>
        <w:tc>
          <w:tcPr>
            <w:tcW w:w="1063" w:type="dxa"/>
          </w:tcPr>
          <w:p>
            <w:pPr>
              <w:pStyle w:val="TableParagraph"/>
              <w:spacing w:before="100"/>
              <w:ind w:left="270" w:right="253"/>
              <w:jc w:val="center"/>
              <w:rPr>
                <w:sz w:val="24"/>
              </w:rPr>
            </w:pPr>
            <w:r>
              <w:rPr>
                <w:color w:val="474747"/>
                <w:sz w:val="24"/>
              </w:rPr>
              <w:t>序号</w:t>
            </w:r>
          </w:p>
        </w:tc>
        <w:tc>
          <w:tcPr>
            <w:tcW w:w="2633" w:type="dxa"/>
          </w:tcPr>
          <w:p>
            <w:pPr>
              <w:pStyle w:val="TableParagraph"/>
              <w:spacing w:before="100"/>
              <w:ind w:left="86" w:right="68"/>
              <w:jc w:val="center"/>
              <w:rPr>
                <w:sz w:val="24"/>
              </w:rPr>
            </w:pPr>
            <w:r>
              <w:rPr>
                <w:color w:val="474747"/>
                <w:sz w:val="24"/>
              </w:rPr>
              <w:t>药品通用名</w:t>
            </w:r>
          </w:p>
        </w:tc>
        <w:tc>
          <w:tcPr>
            <w:tcW w:w="1361" w:type="dxa"/>
          </w:tcPr>
          <w:p>
            <w:pPr>
              <w:pStyle w:val="TableParagraph"/>
              <w:spacing w:before="100"/>
              <w:ind w:left="419" w:right="401"/>
              <w:jc w:val="center"/>
              <w:rPr>
                <w:sz w:val="24"/>
              </w:rPr>
            </w:pPr>
            <w:r>
              <w:rPr>
                <w:color w:val="474747"/>
                <w:sz w:val="24"/>
              </w:rPr>
              <w:t>序号</w:t>
            </w:r>
          </w:p>
        </w:tc>
        <w:tc>
          <w:tcPr>
            <w:tcW w:w="3651" w:type="dxa"/>
          </w:tcPr>
          <w:p>
            <w:pPr>
              <w:pStyle w:val="TableParagraph"/>
              <w:spacing w:before="100"/>
              <w:ind w:left="715" w:right="698"/>
              <w:jc w:val="center"/>
              <w:rPr>
                <w:sz w:val="24"/>
              </w:rPr>
            </w:pPr>
            <w:r>
              <w:rPr>
                <w:color w:val="474747"/>
                <w:sz w:val="24"/>
              </w:rPr>
              <w:t>药品通用名</w:t>
            </w:r>
          </w:p>
        </w:tc>
      </w:tr>
      <w:tr>
        <w:trPr>
          <w:trHeight w:val="510" w:hRule="atLeast"/>
        </w:trPr>
        <w:tc>
          <w:tcPr>
            <w:tcW w:w="1063" w:type="dxa"/>
          </w:tcPr>
          <w:p>
            <w:pPr>
              <w:pStyle w:val="TableParagraph"/>
              <w:spacing w:before="98"/>
              <w:ind w:left="17"/>
              <w:jc w:val="center"/>
              <w:rPr>
                <w:sz w:val="24"/>
              </w:rPr>
            </w:pPr>
            <w:r>
              <w:rPr>
                <w:color w:val="474747"/>
                <w:sz w:val="24"/>
              </w:rPr>
              <w:t>1</w:t>
            </w:r>
          </w:p>
        </w:tc>
        <w:tc>
          <w:tcPr>
            <w:tcW w:w="2633" w:type="dxa"/>
          </w:tcPr>
          <w:p>
            <w:pPr>
              <w:pStyle w:val="TableParagraph"/>
              <w:spacing w:before="98"/>
              <w:ind w:left="86" w:right="68"/>
              <w:jc w:val="center"/>
              <w:rPr>
                <w:sz w:val="24"/>
              </w:rPr>
            </w:pPr>
            <w:r>
              <w:rPr>
                <w:color w:val="474747"/>
                <w:sz w:val="24"/>
              </w:rPr>
              <w:t>神经节苷脂</w:t>
            </w:r>
          </w:p>
        </w:tc>
        <w:tc>
          <w:tcPr>
            <w:tcW w:w="1361" w:type="dxa"/>
          </w:tcPr>
          <w:p>
            <w:pPr>
              <w:pStyle w:val="TableParagraph"/>
              <w:spacing w:before="98"/>
              <w:ind w:left="419" w:right="401"/>
              <w:jc w:val="center"/>
              <w:rPr>
                <w:sz w:val="24"/>
              </w:rPr>
            </w:pPr>
            <w:r>
              <w:rPr>
                <w:color w:val="474747"/>
                <w:sz w:val="24"/>
              </w:rPr>
              <w:t>11</w:t>
            </w:r>
          </w:p>
        </w:tc>
        <w:tc>
          <w:tcPr>
            <w:tcW w:w="3651" w:type="dxa"/>
          </w:tcPr>
          <w:p>
            <w:pPr>
              <w:pStyle w:val="TableParagraph"/>
              <w:spacing w:before="98"/>
              <w:ind w:left="715" w:right="698"/>
              <w:jc w:val="center"/>
              <w:rPr>
                <w:sz w:val="24"/>
              </w:rPr>
            </w:pPr>
            <w:r>
              <w:rPr>
                <w:color w:val="474747"/>
                <w:sz w:val="24"/>
              </w:rPr>
              <w:t>鼠神经生长因子</w:t>
            </w:r>
          </w:p>
        </w:tc>
      </w:tr>
      <w:tr>
        <w:trPr>
          <w:trHeight w:val="510" w:hRule="atLeast"/>
        </w:trPr>
        <w:tc>
          <w:tcPr>
            <w:tcW w:w="1063" w:type="dxa"/>
          </w:tcPr>
          <w:p>
            <w:pPr>
              <w:pStyle w:val="TableParagraph"/>
              <w:spacing w:before="98"/>
              <w:ind w:left="17"/>
              <w:jc w:val="center"/>
              <w:rPr>
                <w:sz w:val="24"/>
              </w:rPr>
            </w:pPr>
            <w:r>
              <w:rPr>
                <w:color w:val="474747"/>
                <w:sz w:val="24"/>
              </w:rPr>
              <w:t>2</w:t>
            </w:r>
          </w:p>
        </w:tc>
        <w:tc>
          <w:tcPr>
            <w:tcW w:w="2633" w:type="dxa"/>
          </w:tcPr>
          <w:p>
            <w:pPr>
              <w:pStyle w:val="TableParagraph"/>
              <w:spacing w:before="98"/>
              <w:ind w:left="86" w:right="68"/>
              <w:jc w:val="center"/>
              <w:rPr>
                <w:sz w:val="24"/>
              </w:rPr>
            </w:pPr>
            <w:r>
              <w:rPr>
                <w:color w:val="474747"/>
                <w:sz w:val="24"/>
              </w:rPr>
              <w:t>脑苷肌肽</w:t>
            </w:r>
          </w:p>
        </w:tc>
        <w:tc>
          <w:tcPr>
            <w:tcW w:w="1361" w:type="dxa"/>
          </w:tcPr>
          <w:p>
            <w:pPr>
              <w:pStyle w:val="TableParagraph"/>
              <w:spacing w:before="98"/>
              <w:ind w:left="419" w:right="401"/>
              <w:jc w:val="center"/>
              <w:rPr>
                <w:sz w:val="24"/>
              </w:rPr>
            </w:pPr>
            <w:r>
              <w:rPr>
                <w:color w:val="474747"/>
                <w:sz w:val="24"/>
              </w:rPr>
              <w:t>12</w:t>
            </w:r>
          </w:p>
        </w:tc>
        <w:tc>
          <w:tcPr>
            <w:tcW w:w="3651" w:type="dxa"/>
          </w:tcPr>
          <w:p>
            <w:pPr>
              <w:pStyle w:val="TableParagraph"/>
              <w:spacing w:before="98"/>
              <w:ind w:left="715" w:right="696"/>
              <w:jc w:val="center"/>
              <w:rPr>
                <w:sz w:val="24"/>
              </w:rPr>
            </w:pPr>
            <w:r>
              <w:rPr>
                <w:color w:val="474747"/>
                <w:sz w:val="24"/>
              </w:rPr>
              <w:t>胸腺五肽</w:t>
            </w:r>
          </w:p>
        </w:tc>
      </w:tr>
      <w:tr>
        <w:trPr>
          <w:trHeight w:val="508" w:hRule="atLeast"/>
        </w:trPr>
        <w:tc>
          <w:tcPr>
            <w:tcW w:w="1063" w:type="dxa"/>
          </w:tcPr>
          <w:p>
            <w:pPr>
              <w:pStyle w:val="TableParagraph"/>
              <w:spacing w:before="98"/>
              <w:ind w:left="17"/>
              <w:jc w:val="center"/>
              <w:rPr>
                <w:sz w:val="24"/>
              </w:rPr>
            </w:pPr>
            <w:r>
              <w:rPr>
                <w:color w:val="474747"/>
                <w:sz w:val="24"/>
              </w:rPr>
              <w:t>3</w:t>
            </w:r>
          </w:p>
        </w:tc>
        <w:tc>
          <w:tcPr>
            <w:tcW w:w="2633" w:type="dxa"/>
          </w:tcPr>
          <w:p>
            <w:pPr>
              <w:pStyle w:val="TableParagraph"/>
              <w:spacing w:before="98"/>
              <w:ind w:left="86" w:right="68"/>
              <w:jc w:val="center"/>
              <w:rPr>
                <w:sz w:val="24"/>
              </w:rPr>
            </w:pPr>
            <w:r>
              <w:rPr>
                <w:color w:val="474747"/>
                <w:sz w:val="24"/>
              </w:rPr>
              <w:t>奥拉西坦</w:t>
            </w:r>
          </w:p>
        </w:tc>
        <w:tc>
          <w:tcPr>
            <w:tcW w:w="1361" w:type="dxa"/>
          </w:tcPr>
          <w:p>
            <w:pPr>
              <w:pStyle w:val="TableParagraph"/>
              <w:spacing w:before="98"/>
              <w:ind w:left="419" w:right="401"/>
              <w:jc w:val="center"/>
              <w:rPr>
                <w:sz w:val="24"/>
              </w:rPr>
            </w:pPr>
            <w:r>
              <w:rPr>
                <w:color w:val="474747"/>
                <w:sz w:val="24"/>
              </w:rPr>
              <w:t>13</w:t>
            </w:r>
          </w:p>
        </w:tc>
        <w:tc>
          <w:tcPr>
            <w:tcW w:w="3651" w:type="dxa"/>
          </w:tcPr>
          <w:p>
            <w:pPr>
              <w:pStyle w:val="TableParagraph"/>
              <w:spacing w:before="98"/>
              <w:ind w:left="715" w:right="698"/>
              <w:jc w:val="center"/>
              <w:rPr>
                <w:sz w:val="24"/>
              </w:rPr>
            </w:pPr>
            <w:r>
              <w:rPr>
                <w:color w:val="474747"/>
                <w:sz w:val="24"/>
              </w:rPr>
              <w:t>核糖核酸Ⅱ</w:t>
            </w:r>
          </w:p>
        </w:tc>
      </w:tr>
      <w:tr>
        <w:trPr>
          <w:trHeight w:val="510" w:hRule="atLeast"/>
        </w:trPr>
        <w:tc>
          <w:tcPr>
            <w:tcW w:w="1063" w:type="dxa"/>
          </w:tcPr>
          <w:p>
            <w:pPr>
              <w:pStyle w:val="TableParagraph"/>
              <w:spacing w:before="100"/>
              <w:ind w:left="17"/>
              <w:jc w:val="center"/>
              <w:rPr>
                <w:sz w:val="24"/>
              </w:rPr>
            </w:pPr>
            <w:r>
              <w:rPr>
                <w:color w:val="474747"/>
                <w:sz w:val="24"/>
              </w:rPr>
              <w:t>4</w:t>
            </w:r>
          </w:p>
        </w:tc>
        <w:tc>
          <w:tcPr>
            <w:tcW w:w="2633" w:type="dxa"/>
          </w:tcPr>
          <w:p>
            <w:pPr>
              <w:pStyle w:val="TableParagraph"/>
              <w:spacing w:before="100"/>
              <w:ind w:left="86" w:right="68"/>
              <w:jc w:val="center"/>
              <w:rPr>
                <w:sz w:val="24"/>
              </w:rPr>
            </w:pPr>
            <w:r>
              <w:rPr>
                <w:color w:val="474747"/>
                <w:sz w:val="24"/>
              </w:rPr>
              <w:t>磷酸肌酸钠</w:t>
            </w:r>
          </w:p>
        </w:tc>
        <w:tc>
          <w:tcPr>
            <w:tcW w:w="1361" w:type="dxa"/>
          </w:tcPr>
          <w:p>
            <w:pPr>
              <w:pStyle w:val="TableParagraph"/>
              <w:spacing w:before="100"/>
              <w:ind w:left="419" w:right="401"/>
              <w:jc w:val="center"/>
              <w:rPr>
                <w:sz w:val="24"/>
              </w:rPr>
            </w:pPr>
            <w:r>
              <w:rPr>
                <w:color w:val="474747"/>
                <w:sz w:val="24"/>
              </w:rPr>
              <w:t>14</w:t>
            </w:r>
          </w:p>
        </w:tc>
        <w:tc>
          <w:tcPr>
            <w:tcW w:w="3651" w:type="dxa"/>
          </w:tcPr>
          <w:p>
            <w:pPr>
              <w:pStyle w:val="TableParagraph"/>
              <w:spacing w:before="100"/>
              <w:ind w:left="715" w:right="696"/>
              <w:jc w:val="center"/>
              <w:rPr>
                <w:sz w:val="24"/>
              </w:rPr>
            </w:pPr>
            <w:r>
              <w:rPr>
                <w:color w:val="474747"/>
                <w:sz w:val="24"/>
              </w:rPr>
              <w:t>依达拉奉</w:t>
            </w:r>
          </w:p>
        </w:tc>
      </w:tr>
      <w:tr>
        <w:trPr>
          <w:trHeight w:val="510" w:hRule="atLeast"/>
        </w:trPr>
        <w:tc>
          <w:tcPr>
            <w:tcW w:w="1063" w:type="dxa"/>
          </w:tcPr>
          <w:p>
            <w:pPr>
              <w:pStyle w:val="TableParagraph"/>
              <w:spacing w:before="100"/>
              <w:ind w:left="17"/>
              <w:jc w:val="center"/>
              <w:rPr>
                <w:sz w:val="24"/>
              </w:rPr>
            </w:pPr>
            <w:r>
              <w:rPr>
                <w:color w:val="474747"/>
                <w:sz w:val="24"/>
              </w:rPr>
              <w:t>5</w:t>
            </w:r>
          </w:p>
        </w:tc>
        <w:tc>
          <w:tcPr>
            <w:tcW w:w="2633" w:type="dxa"/>
          </w:tcPr>
          <w:p>
            <w:pPr>
              <w:pStyle w:val="TableParagraph"/>
              <w:spacing w:before="100"/>
              <w:ind w:left="86" w:right="69"/>
              <w:jc w:val="center"/>
              <w:rPr>
                <w:sz w:val="24"/>
              </w:rPr>
            </w:pPr>
            <w:r>
              <w:rPr>
                <w:color w:val="474747"/>
                <w:sz w:val="24"/>
              </w:rPr>
              <w:t>小牛血清去蛋白</w:t>
            </w:r>
          </w:p>
        </w:tc>
        <w:tc>
          <w:tcPr>
            <w:tcW w:w="1361" w:type="dxa"/>
          </w:tcPr>
          <w:p>
            <w:pPr>
              <w:pStyle w:val="TableParagraph"/>
              <w:spacing w:before="100"/>
              <w:ind w:left="419" w:right="401"/>
              <w:jc w:val="center"/>
              <w:rPr>
                <w:sz w:val="24"/>
              </w:rPr>
            </w:pPr>
            <w:r>
              <w:rPr>
                <w:color w:val="474747"/>
                <w:sz w:val="24"/>
              </w:rPr>
              <w:t>15</w:t>
            </w:r>
          </w:p>
        </w:tc>
        <w:tc>
          <w:tcPr>
            <w:tcW w:w="3651" w:type="dxa"/>
          </w:tcPr>
          <w:p>
            <w:pPr>
              <w:pStyle w:val="TableParagraph"/>
              <w:spacing w:before="100"/>
              <w:ind w:left="715" w:right="696"/>
              <w:jc w:val="center"/>
              <w:rPr>
                <w:sz w:val="24"/>
              </w:rPr>
            </w:pPr>
            <w:r>
              <w:rPr>
                <w:color w:val="474747"/>
                <w:sz w:val="24"/>
              </w:rPr>
              <w:t>骨肽</w:t>
            </w:r>
          </w:p>
        </w:tc>
      </w:tr>
      <w:tr>
        <w:trPr>
          <w:trHeight w:val="510" w:hRule="atLeast"/>
        </w:trPr>
        <w:tc>
          <w:tcPr>
            <w:tcW w:w="1063" w:type="dxa"/>
          </w:tcPr>
          <w:p>
            <w:pPr>
              <w:pStyle w:val="TableParagraph"/>
              <w:spacing w:before="100"/>
              <w:ind w:left="17"/>
              <w:jc w:val="center"/>
              <w:rPr>
                <w:sz w:val="24"/>
              </w:rPr>
            </w:pPr>
            <w:r>
              <w:rPr>
                <w:color w:val="474747"/>
                <w:sz w:val="24"/>
              </w:rPr>
              <w:t>6</w:t>
            </w:r>
          </w:p>
        </w:tc>
        <w:tc>
          <w:tcPr>
            <w:tcW w:w="2633" w:type="dxa"/>
          </w:tcPr>
          <w:p>
            <w:pPr>
              <w:pStyle w:val="TableParagraph"/>
              <w:spacing w:before="100"/>
              <w:ind w:left="86" w:right="68"/>
              <w:jc w:val="center"/>
              <w:rPr>
                <w:sz w:val="24"/>
              </w:rPr>
            </w:pPr>
            <w:r>
              <w:rPr>
                <w:color w:val="474747"/>
                <w:sz w:val="24"/>
              </w:rPr>
              <w:t>前列地尔</w:t>
            </w:r>
          </w:p>
        </w:tc>
        <w:tc>
          <w:tcPr>
            <w:tcW w:w="1361" w:type="dxa"/>
          </w:tcPr>
          <w:p>
            <w:pPr>
              <w:pStyle w:val="TableParagraph"/>
              <w:spacing w:before="100"/>
              <w:ind w:left="419" w:right="401"/>
              <w:jc w:val="center"/>
              <w:rPr>
                <w:sz w:val="24"/>
              </w:rPr>
            </w:pPr>
            <w:r>
              <w:rPr>
                <w:color w:val="474747"/>
                <w:sz w:val="24"/>
              </w:rPr>
              <w:t>16</w:t>
            </w:r>
          </w:p>
        </w:tc>
        <w:tc>
          <w:tcPr>
            <w:tcW w:w="3651" w:type="dxa"/>
          </w:tcPr>
          <w:p>
            <w:pPr>
              <w:pStyle w:val="TableParagraph"/>
              <w:spacing w:before="100"/>
              <w:ind w:left="715" w:right="698"/>
              <w:jc w:val="center"/>
              <w:rPr>
                <w:sz w:val="24"/>
              </w:rPr>
            </w:pPr>
            <w:r>
              <w:rPr>
                <w:color w:val="474747"/>
                <w:sz w:val="24"/>
              </w:rPr>
              <w:t>脑蛋白水解物</w:t>
            </w:r>
          </w:p>
        </w:tc>
      </w:tr>
    </w:tbl>
    <w:p>
      <w:pPr>
        <w:spacing w:after="0"/>
        <w:jc w:val="center"/>
        <w:rPr>
          <w:sz w:val="24"/>
        </w:rPr>
        <w:sectPr>
          <w:pgSz w:w="11910" w:h="16850"/>
          <w:pgMar w:header="906" w:footer="607" w:top="1100" w:bottom="800" w:left="640" w:right="0"/>
        </w:sectPr>
      </w:pPr>
    </w:p>
    <w:tbl>
      <w:tblPr>
        <w:tblW w:w="0" w:type="auto"/>
        <w:jc w:val="left"/>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5"/>
        <w:gridCol w:w="1063"/>
        <w:gridCol w:w="2633"/>
        <w:gridCol w:w="1361"/>
        <w:gridCol w:w="3651"/>
      </w:tblGrid>
      <w:tr>
        <w:trPr>
          <w:trHeight w:val="508" w:hRule="atLeast"/>
        </w:trPr>
        <w:tc>
          <w:tcPr>
            <w:tcW w:w="785" w:type="dxa"/>
            <w:vMerge w:val="restart"/>
            <w:tcBorders>
              <w:left w:val="nil"/>
              <w:bottom w:val="nil"/>
              <w:right w:val="single" w:sz="8" w:space="0" w:color="000000"/>
            </w:tcBorders>
          </w:tcPr>
          <w:p>
            <w:pPr>
              <w:pStyle w:val="TableParagraph"/>
              <w:rPr>
                <w:rFonts w:ascii="Times New Roman"/>
                <w:sz w:val="24"/>
              </w:rPr>
            </w:pPr>
          </w:p>
        </w:tc>
        <w:tc>
          <w:tcPr>
            <w:tcW w:w="1063" w:type="dxa"/>
            <w:tcBorders>
              <w:left w:val="single" w:sz="8" w:space="0" w:color="000000"/>
              <w:bottom w:val="single" w:sz="8" w:space="0" w:color="000000"/>
              <w:right w:val="single" w:sz="8" w:space="0" w:color="000000"/>
            </w:tcBorders>
          </w:tcPr>
          <w:p>
            <w:pPr>
              <w:pStyle w:val="TableParagraph"/>
              <w:spacing w:before="89"/>
              <w:ind w:left="460"/>
              <w:rPr>
                <w:sz w:val="24"/>
              </w:rPr>
            </w:pPr>
            <w:r>
              <w:rPr>
                <w:color w:val="474747"/>
                <w:sz w:val="24"/>
              </w:rPr>
              <w:t>7</w:t>
            </w:r>
          </w:p>
        </w:tc>
        <w:tc>
          <w:tcPr>
            <w:tcW w:w="2633" w:type="dxa"/>
            <w:tcBorders>
              <w:left w:val="single" w:sz="8" w:space="0" w:color="000000"/>
              <w:bottom w:val="single" w:sz="8" w:space="0" w:color="000000"/>
              <w:right w:val="single" w:sz="8" w:space="0" w:color="000000"/>
            </w:tcBorders>
          </w:tcPr>
          <w:p>
            <w:pPr>
              <w:pStyle w:val="TableParagraph"/>
              <w:spacing w:before="89"/>
              <w:ind w:left="86" w:right="86"/>
              <w:jc w:val="center"/>
              <w:rPr>
                <w:sz w:val="24"/>
              </w:rPr>
            </w:pPr>
            <w:r>
              <w:rPr>
                <w:color w:val="474747"/>
                <w:sz w:val="24"/>
              </w:rPr>
              <w:t>曲克芦丁脑蛋白水解物</w:t>
            </w:r>
          </w:p>
        </w:tc>
        <w:tc>
          <w:tcPr>
            <w:tcW w:w="1361" w:type="dxa"/>
            <w:tcBorders>
              <w:left w:val="single" w:sz="8" w:space="0" w:color="000000"/>
              <w:bottom w:val="single" w:sz="8" w:space="0" w:color="000000"/>
              <w:right w:val="single" w:sz="8" w:space="0" w:color="000000"/>
            </w:tcBorders>
          </w:tcPr>
          <w:p>
            <w:pPr>
              <w:pStyle w:val="TableParagraph"/>
              <w:spacing w:before="89"/>
              <w:ind w:left="400" w:right="401"/>
              <w:jc w:val="center"/>
              <w:rPr>
                <w:sz w:val="24"/>
              </w:rPr>
            </w:pPr>
            <w:r>
              <w:rPr>
                <w:color w:val="474747"/>
                <w:sz w:val="24"/>
              </w:rPr>
              <w:t>17</w:t>
            </w:r>
          </w:p>
        </w:tc>
        <w:tc>
          <w:tcPr>
            <w:tcW w:w="3651" w:type="dxa"/>
            <w:tcBorders>
              <w:left w:val="single" w:sz="8" w:space="0" w:color="000000"/>
              <w:bottom w:val="single" w:sz="8" w:space="0" w:color="000000"/>
              <w:right w:val="single" w:sz="8" w:space="0" w:color="000000"/>
            </w:tcBorders>
          </w:tcPr>
          <w:p>
            <w:pPr>
              <w:pStyle w:val="TableParagraph"/>
              <w:spacing w:before="89"/>
              <w:ind w:left="715" w:right="715"/>
              <w:jc w:val="center"/>
              <w:rPr>
                <w:sz w:val="24"/>
              </w:rPr>
            </w:pPr>
            <w:r>
              <w:rPr>
                <w:color w:val="474747"/>
                <w:sz w:val="24"/>
              </w:rPr>
              <w:t>核糖核酸</w:t>
            </w:r>
          </w:p>
        </w:tc>
      </w:tr>
      <w:tr>
        <w:trPr>
          <w:trHeight w:val="510" w:hRule="atLeast"/>
        </w:trPr>
        <w:tc>
          <w:tcPr>
            <w:tcW w:w="785" w:type="dxa"/>
            <w:vMerge/>
            <w:tcBorders>
              <w:top w:val="nil"/>
              <w:left w:val="nil"/>
              <w:bottom w:val="nil"/>
              <w:right w:val="single" w:sz="8" w:space="0" w:color="000000"/>
            </w:tcBorders>
          </w:tcPr>
          <w:p>
            <w:pPr>
              <w:rPr>
                <w:sz w:val="2"/>
                <w:szCs w:val="2"/>
              </w:rPr>
            </w:pPr>
          </w:p>
        </w:tc>
        <w:tc>
          <w:tcPr>
            <w:tcW w:w="1063" w:type="dxa"/>
            <w:tcBorders>
              <w:top w:val="single" w:sz="8" w:space="0" w:color="000000"/>
              <w:left w:val="single" w:sz="8" w:space="0" w:color="000000"/>
              <w:bottom w:val="single" w:sz="8" w:space="0" w:color="000000"/>
              <w:right w:val="single" w:sz="8" w:space="0" w:color="000000"/>
            </w:tcBorders>
          </w:tcPr>
          <w:p>
            <w:pPr>
              <w:pStyle w:val="TableParagraph"/>
              <w:spacing w:before="91"/>
              <w:ind w:left="460"/>
              <w:rPr>
                <w:sz w:val="24"/>
              </w:rPr>
            </w:pPr>
            <w:r>
              <w:rPr>
                <w:color w:val="474747"/>
                <w:sz w:val="24"/>
              </w:rPr>
              <w:t>8</w:t>
            </w:r>
          </w:p>
        </w:tc>
        <w:tc>
          <w:tcPr>
            <w:tcW w:w="2633" w:type="dxa"/>
            <w:tcBorders>
              <w:top w:val="single" w:sz="8" w:space="0" w:color="000000"/>
              <w:left w:val="single" w:sz="8" w:space="0" w:color="000000"/>
              <w:bottom w:val="single" w:sz="8" w:space="0" w:color="000000"/>
              <w:right w:val="single" w:sz="8" w:space="0" w:color="000000"/>
            </w:tcBorders>
          </w:tcPr>
          <w:p>
            <w:pPr>
              <w:pStyle w:val="TableParagraph"/>
              <w:spacing w:before="91"/>
              <w:ind w:left="85" w:right="86"/>
              <w:jc w:val="center"/>
              <w:rPr>
                <w:sz w:val="24"/>
              </w:rPr>
            </w:pPr>
            <w:r>
              <w:rPr>
                <w:color w:val="474747"/>
                <w:sz w:val="24"/>
              </w:rPr>
              <w:t>复合辅酶</w:t>
            </w:r>
          </w:p>
        </w:tc>
        <w:tc>
          <w:tcPr>
            <w:tcW w:w="1361" w:type="dxa"/>
            <w:tcBorders>
              <w:top w:val="single" w:sz="8" w:space="0" w:color="000000"/>
              <w:left w:val="single" w:sz="8" w:space="0" w:color="000000"/>
              <w:bottom w:val="single" w:sz="8" w:space="0" w:color="000000"/>
              <w:right w:val="single" w:sz="8" w:space="0" w:color="000000"/>
            </w:tcBorders>
          </w:tcPr>
          <w:p>
            <w:pPr>
              <w:pStyle w:val="TableParagraph"/>
              <w:spacing w:before="91"/>
              <w:ind w:left="400" w:right="401"/>
              <w:jc w:val="center"/>
              <w:rPr>
                <w:sz w:val="24"/>
              </w:rPr>
            </w:pPr>
            <w:r>
              <w:rPr>
                <w:color w:val="474747"/>
                <w:sz w:val="24"/>
              </w:rPr>
              <w:t>18</w:t>
            </w:r>
          </w:p>
        </w:tc>
        <w:tc>
          <w:tcPr>
            <w:tcW w:w="3651" w:type="dxa"/>
            <w:tcBorders>
              <w:top w:val="single" w:sz="8" w:space="0" w:color="000000"/>
              <w:left w:val="single" w:sz="8" w:space="0" w:color="000000"/>
              <w:bottom w:val="single" w:sz="8" w:space="0" w:color="000000"/>
              <w:right w:val="single" w:sz="8" w:space="0" w:color="000000"/>
            </w:tcBorders>
          </w:tcPr>
          <w:p>
            <w:pPr>
              <w:pStyle w:val="TableParagraph"/>
              <w:spacing w:before="91"/>
              <w:ind w:left="715" w:right="715"/>
              <w:jc w:val="center"/>
              <w:rPr>
                <w:sz w:val="24"/>
              </w:rPr>
            </w:pPr>
            <w:r>
              <w:rPr>
                <w:color w:val="474747"/>
                <w:sz w:val="24"/>
              </w:rPr>
              <w:t>长春西汀</w:t>
            </w:r>
          </w:p>
        </w:tc>
      </w:tr>
      <w:tr>
        <w:trPr>
          <w:trHeight w:val="510" w:hRule="atLeast"/>
        </w:trPr>
        <w:tc>
          <w:tcPr>
            <w:tcW w:w="785" w:type="dxa"/>
            <w:vMerge/>
            <w:tcBorders>
              <w:top w:val="nil"/>
              <w:left w:val="nil"/>
              <w:bottom w:val="nil"/>
              <w:right w:val="single" w:sz="8" w:space="0" w:color="000000"/>
            </w:tcBorders>
          </w:tcPr>
          <w:p>
            <w:pPr>
              <w:rPr>
                <w:sz w:val="2"/>
                <w:szCs w:val="2"/>
              </w:rPr>
            </w:pPr>
          </w:p>
        </w:tc>
        <w:tc>
          <w:tcPr>
            <w:tcW w:w="1063" w:type="dxa"/>
            <w:tcBorders>
              <w:top w:val="single" w:sz="8" w:space="0" w:color="000000"/>
              <w:left w:val="single" w:sz="8" w:space="0" w:color="000000"/>
              <w:bottom w:val="single" w:sz="8" w:space="0" w:color="000000"/>
              <w:right w:val="single" w:sz="8" w:space="0" w:color="000000"/>
            </w:tcBorders>
          </w:tcPr>
          <w:p>
            <w:pPr>
              <w:pStyle w:val="TableParagraph"/>
              <w:spacing w:before="91"/>
              <w:ind w:left="460"/>
              <w:rPr>
                <w:sz w:val="24"/>
              </w:rPr>
            </w:pPr>
            <w:r>
              <w:rPr>
                <w:color w:val="474747"/>
                <w:sz w:val="24"/>
              </w:rPr>
              <w:t>9</w:t>
            </w:r>
          </w:p>
        </w:tc>
        <w:tc>
          <w:tcPr>
            <w:tcW w:w="2633" w:type="dxa"/>
            <w:tcBorders>
              <w:top w:val="single" w:sz="8" w:space="0" w:color="000000"/>
              <w:left w:val="single" w:sz="8" w:space="0" w:color="000000"/>
              <w:bottom w:val="single" w:sz="8" w:space="0" w:color="000000"/>
              <w:right w:val="single" w:sz="8" w:space="0" w:color="000000"/>
            </w:tcBorders>
          </w:tcPr>
          <w:p>
            <w:pPr>
              <w:pStyle w:val="TableParagraph"/>
              <w:spacing w:before="91"/>
              <w:ind w:left="85" w:right="86"/>
              <w:jc w:val="center"/>
              <w:rPr>
                <w:sz w:val="24"/>
              </w:rPr>
            </w:pPr>
            <w:r>
              <w:rPr>
                <w:color w:val="474747"/>
                <w:sz w:val="24"/>
              </w:rPr>
              <w:t>丹参川芎嗪</w:t>
            </w:r>
          </w:p>
        </w:tc>
        <w:tc>
          <w:tcPr>
            <w:tcW w:w="1361" w:type="dxa"/>
            <w:tcBorders>
              <w:top w:val="single" w:sz="8" w:space="0" w:color="000000"/>
              <w:left w:val="single" w:sz="8" w:space="0" w:color="000000"/>
              <w:bottom w:val="single" w:sz="8" w:space="0" w:color="000000"/>
              <w:right w:val="single" w:sz="8" w:space="0" w:color="000000"/>
            </w:tcBorders>
          </w:tcPr>
          <w:p>
            <w:pPr>
              <w:pStyle w:val="TableParagraph"/>
              <w:spacing w:before="91"/>
              <w:ind w:left="400" w:right="401"/>
              <w:jc w:val="center"/>
              <w:rPr>
                <w:sz w:val="24"/>
              </w:rPr>
            </w:pPr>
            <w:r>
              <w:rPr>
                <w:color w:val="474747"/>
                <w:sz w:val="24"/>
              </w:rPr>
              <w:t>19</w:t>
            </w:r>
          </w:p>
        </w:tc>
        <w:tc>
          <w:tcPr>
            <w:tcW w:w="3651" w:type="dxa"/>
            <w:tcBorders>
              <w:top w:val="single" w:sz="8" w:space="0" w:color="000000"/>
              <w:left w:val="single" w:sz="8" w:space="0" w:color="000000"/>
              <w:bottom w:val="single" w:sz="8" w:space="0" w:color="000000"/>
              <w:right w:val="single" w:sz="8" w:space="0" w:color="000000"/>
            </w:tcBorders>
          </w:tcPr>
          <w:p>
            <w:pPr>
              <w:pStyle w:val="TableParagraph"/>
              <w:spacing w:before="91"/>
              <w:ind w:left="715" w:right="716"/>
              <w:jc w:val="center"/>
              <w:rPr>
                <w:sz w:val="24"/>
              </w:rPr>
            </w:pPr>
            <w:r>
              <w:rPr>
                <w:color w:val="474747"/>
                <w:sz w:val="24"/>
              </w:rPr>
              <w:t>小牛血去蛋白提取物</w:t>
            </w:r>
          </w:p>
        </w:tc>
      </w:tr>
      <w:tr>
        <w:trPr>
          <w:trHeight w:val="510" w:hRule="atLeast"/>
        </w:trPr>
        <w:tc>
          <w:tcPr>
            <w:tcW w:w="785" w:type="dxa"/>
            <w:vMerge/>
            <w:tcBorders>
              <w:top w:val="nil"/>
              <w:left w:val="nil"/>
              <w:bottom w:val="nil"/>
              <w:right w:val="single" w:sz="8" w:space="0" w:color="000000"/>
            </w:tcBorders>
          </w:tcPr>
          <w:p>
            <w:pPr>
              <w:rPr>
                <w:sz w:val="2"/>
                <w:szCs w:val="2"/>
              </w:rPr>
            </w:pPr>
          </w:p>
        </w:tc>
        <w:tc>
          <w:tcPr>
            <w:tcW w:w="1063" w:type="dxa"/>
            <w:tcBorders>
              <w:top w:val="single" w:sz="8" w:space="0" w:color="000000"/>
              <w:left w:val="single" w:sz="8" w:space="0" w:color="000000"/>
              <w:bottom w:val="single" w:sz="8" w:space="0" w:color="000000"/>
              <w:right w:val="single" w:sz="8" w:space="0" w:color="000000"/>
            </w:tcBorders>
          </w:tcPr>
          <w:p>
            <w:pPr>
              <w:pStyle w:val="TableParagraph"/>
              <w:spacing w:before="89"/>
              <w:ind w:left="400"/>
              <w:rPr>
                <w:sz w:val="24"/>
              </w:rPr>
            </w:pPr>
            <w:r>
              <w:rPr>
                <w:color w:val="474747"/>
                <w:sz w:val="24"/>
              </w:rPr>
              <w:t>10</w:t>
            </w:r>
          </w:p>
        </w:tc>
        <w:tc>
          <w:tcPr>
            <w:tcW w:w="2633" w:type="dxa"/>
            <w:tcBorders>
              <w:top w:val="single" w:sz="8" w:space="0" w:color="000000"/>
              <w:left w:val="single" w:sz="8" w:space="0" w:color="000000"/>
              <w:bottom w:val="single" w:sz="8" w:space="0" w:color="000000"/>
              <w:right w:val="single" w:sz="8" w:space="0" w:color="000000"/>
            </w:tcBorders>
          </w:tcPr>
          <w:p>
            <w:pPr>
              <w:pStyle w:val="TableParagraph"/>
              <w:spacing w:before="89"/>
              <w:ind w:left="85" w:right="86"/>
              <w:jc w:val="center"/>
              <w:rPr>
                <w:sz w:val="24"/>
              </w:rPr>
            </w:pPr>
            <w:r>
              <w:rPr>
                <w:color w:val="474747"/>
                <w:sz w:val="24"/>
              </w:rPr>
              <w:t>转化糖电解质</w:t>
            </w:r>
          </w:p>
        </w:tc>
        <w:tc>
          <w:tcPr>
            <w:tcW w:w="1361" w:type="dxa"/>
            <w:tcBorders>
              <w:top w:val="single" w:sz="8" w:space="0" w:color="000000"/>
              <w:left w:val="single" w:sz="8" w:space="0" w:color="000000"/>
              <w:bottom w:val="single" w:sz="8" w:space="0" w:color="000000"/>
              <w:right w:val="single" w:sz="8" w:space="0" w:color="000000"/>
            </w:tcBorders>
          </w:tcPr>
          <w:p>
            <w:pPr>
              <w:pStyle w:val="TableParagraph"/>
              <w:spacing w:before="89"/>
              <w:ind w:left="400" w:right="401"/>
              <w:jc w:val="center"/>
              <w:rPr>
                <w:sz w:val="24"/>
              </w:rPr>
            </w:pPr>
            <w:r>
              <w:rPr>
                <w:color w:val="474747"/>
                <w:sz w:val="24"/>
              </w:rPr>
              <w:t>20</w:t>
            </w:r>
          </w:p>
        </w:tc>
        <w:tc>
          <w:tcPr>
            <w:tcW w:w="3651" w:type="dxa"/>
            <w:tcBorders>
              <w:top w:val="single" w:sz="8" w:space="0" w:color="000000"/>
              <w:left w:val="single" w:sz="8" w:space="0" w:color="000000"/>
              <w:bottom w:val="single" w:sz="8" w:space="0" w:color="000000"/>
              <w:right w:val="single" w:sz="8" w:space="0" w:color="000000"/>
            </w:tcBorders>
          </w:tcPr>
          <w:p>
            <w:pPr>
              <w:pStyle w:val="TableParagraph"/>
              <w:spacing w:before="89"/>
              <w:ind w:left="715" w:right="716"/>
              <w:jc w:val="center"/>
              <w:rPr>
                <w:sz w:val="24"/>
              </w:rPr>
            </w:pPr>
            <w:r>
              <w:rPr>
                <w:color w:val="474747"/>
                <w:sz w:val="24"/>
              </w:rPr>
              <w:t>马来酸桂哌齐特</w:t>
            </w:r>
          </w:p>
        </w:tc>
      </w:tr>
    </w:tbl>
    <w:p>
      <w:pPr>
        <w:pStyle w:val="Heading8"/>
        <w:spacing w:line="422" w:lineRule="exact"/>
        <w:rPr>
          <w:rFonts w:ascii="微软雅黑" w:eastAsia="微软雅黑" w:hint="eastAsia"/>
        </w:rPr>
      </w:pPr>
      <w:r>
        <w:rPr>
          <w:rFonts w:ascii="微软雅黑" w:eastAsia="微软雅黑" w:hint="eastAsia"/>
          <w:color w:val="0033CC"/>
          <w:w w:val="110"/>
        </w:rPr>
        <w:t>[</w:t>
      </w:r>
      <w:r>
        <w:rPr>
          <w:rFonts w:ascii="Microsoft JhengHei" w:eastAsia="Microsoft JhengHei" w:hint="eastAsia"/>
          <w:color w:val="0033CC"/>
          <w:w w:val="110"/>
        </w:rPr>
        <w:t>返回目次</w:t>
      </w:r>
      <w:r>
        <w:rPr>
          <w:rFonts w:ascii="微软雅黑" w:eastAsia="微软雅黑" w:hint="eastAsia"/>
          <w:color w:val="0033CC"/>
          <w:w w:val="110"/>
        </w:rPr>
        <w:t>]</w:t>
      </w:r>
    </w:p>
    <w:p>
      <w:pPr>
        <w:spacing w:before="118"/>
        <w:ind w:left="637" w:right="0" w:firstLine="0"/>
        <w:jc w:val="left"/>
        <w:rPr>
          <w:b/>
          <w:sz w:val="32"/>
        </w:rPr>
      </w:pPr>
      <w:r>
        <w:rPr>
          <w:b/>
          <w:sz w:val="32"/>
        </w:rPr>
        <w:t>【医保动态】</w:t>
      </w:r>
    </w:p>
    <w:p>
      <w:pPr>
        <w:pStyle w:val="BodyText"/>
        <w:spacing w:before="9"/>
        <w:ind w:left="0"/>
        <w:rPr>
          <w:b/>
          <w:sz w:val="18"/>
        </w:rPr>
      </w:pPr>
    </w:p>
    <w:p>
      <w:pPr>
        <w:spacing w:after="0"/>
        <w:rPr>
          <w:sz w:val="18"/>
        </w:rPr>
        <w:sectPr>
          <w:headerReference w:type="default" r:id="rId12"/>
          <w:footerReference w:type="default" r:id="rId13"/>
          <w:pgSz w:w="11910" w:h="16850"/>
          <w:pgMar w:header="0" w:footer="607" w:top="1100" w:bottom="800" w:left="640" w:right="0"/>
          <w:pgNumType w:start="4"/>
        </w:sectPr>
      </w:pPr>
    </w:p>
    <w:p>
      <w:pPr>
        <w:spacing w:before="54"/>
        <w:ind w:left="3779" w:right="0" w:firstLine="0"/>
        <w:jc w:val="left"/>
        <w:rPr>
          <w:b/>
          <w:sz w:val="32"/>
        </w:rPr>
      </w:pPr>
      <w:r>
        <w:rPr>
          <w:b/>
          <w:spacing w:val="-2"/>
          <w:sz w:val="32"/>
        </w:rPr>
        <w:t>医保信息迈向统一时代</w:t>
      </w:r>
    </w:p>
    <w:p>
      <w:pPr>
        <w:pStyle w:val="BodyText"/>
        <w:ind w:left="0"/>
        <w:rPr>
          <w:b/>
        </w:rPr>
      </w:pPr>
      <w:r>
        <w:rPr/>
        <w:br w:type="column"/>
      </w:r>
      <w:r>
        <w:rPr>
          <w:b/>
        </w:rPr>
      </w:r>
    </w:p>
    <w:p>
      <w:pPr>
        <w:pStyle w:val="BodyText"/>
        <w:spacing w:before="9"/>
        <w:ind w:left="0"/>
        <w:rPr>
          <w:b/>
          <w:sz w:val="23"/>
        </w:rPr>
      </w:pPr>
    </w:p>
    <w:p>
      <w:pPr>
        <w:spacing w:before="1"/>
        <w:ind w:left="1179"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640" w:right="0"/>
          <w:cols w:num="2" w:equalWidth="0">
            <w:col w:w="6990" w:space="40"/>
            <w:col w:w="4240"/>
          </w:cols>
        </w:sectPr>
      </w:pPr>
    </w:p>
    <w:p>
      <w:pPr>
        <w:pStyle w:val="BodyText"/>
        <w:spacing w:line="297" w:lineRule="auto" w:before="95"/>
        <w:ind w:right="1129" w:firstLine="480"/>
        <w:jc w:val="both"/>
      </w:pPr>
      <w:r>
        <w:rPr>
          <w:spacing w:val="-11"/>
        </w:rPr>
        <w:t>近日，国家医保局发布《医疗保障标准化工作指导意见》，随后召开医保信息化和标准</w:t>
      </w:r>
      <w:r>
        <w:rPr>
          <w:spacing w:val="-7"/>
        </w:rPr>
        <w:t>化建设座谈会暨媒体见面会，通报相关工作进展。国家医保局相关负责人表示，该项工作以制定全国统一医保信息业务标准为突破口，将医疗保障编码标准统一为医保信息交换的通用</w:t>
      </w:r>
      <w:r>
        <w:rPr>
          <w:spacing w:val="-10"/>
        </w:rPr>
        <w:t>语言，形成自上而下、统一规范的医保信息业务编码体系，同时推进智能医保、数据医保建</w:t>
      </w:r>
      <w:r>
        <w:rPr/>
        <w:t>设，让群众少跑腿，让信息多走路。</w:t>
      </w:r>
    </w:p>
    <w:p>
      <w:pPr>
        <w:pStyle w:val="Heading8"/>
        <w:spacing w:line="302" w:lineRule="exact"/>
      </w:pPr>
      <w:r>
        <w:rPr/>
        <w:t>确保数据高速畅通运行</w:t>
      </w:r>
    </w:p>
    <w:p>
      <w:pPr>
        <w:pStyle w:val="BodyText"/>
        <w:spacing w:line="295" w:lineRule="auto" w:before="72"/>
        <w:ind w:right="1127" w:firstLine="480"/>
      </w:pPr>
      <w:r>
        <w:rPr>
          <w:spacing w:val="-7"/>
        </w:rPr>
        <w:t>当参保人员在医疗机构就医时，医保疾病诊断与手术操作、药品及医用耗材使用、医疗</w:t>
      </w:r>
      <w:r>
        <w:rPr/>
        <w:t>服务项目等数据便开始产生。</w:t>
      </w:r>
    </w:p>
    <w:p>
      <w:pPr>
        <w:pStyle w:val="BodyText"/>
        <w:spacing w:line="297" w:lineRule="auto" w:before="5"/>
        <w:ind w:right="1145" w:firstLine="480"/>
        <w:jc w:val="both"/>
      </w:pPr>
      <w:r>
        <w:rPr>
          <w:spacing w:val="-3"/>
        </w:rPr>
        <w:t>“以医疗服务项目编码为例，调研发现，全国有 </w:t>
      </w:r>
      <w:r>
        <w:rPr/>
        <w:t>24</w:t>
      </w:r>
      <w:r>
        <w:rPr>
          <w:spacing w:val="-9"/>
        </w:rPr>
        <w:t> 个省份内部是统一的。”医疗服务</w:t>
      </w:r>
      <w:r>
        <w:rPr/>
        <w:t>项目编码标准课题负责人、浙江大学公共卫生学院何文炯教授表示，24</w:t>
      </w:r>
      <w:r>
        <w:rPr>
          <w:spacing w:val="-10"/>
        </w:rPr>
        <w:t> 个省份当中</w:t>
      </w:r>
      <w:r>
        <w:rPr/>
        <w:t>，20</w:t>
      </w:r>
      <w:r>
        <w:rPr>
          <w:spacing w:val="-38"/>
        </w:rPr>
        <w:t> 个</w:t>
      </w:r>
      <w:r>
        <w:rPr/>
        <w:t>省份用的《全国医疗服务价格项目规范（</w:t>
      </w:r>
      <w:r>
        <w:rPr>
          <w:spacing w:val="-20"/>
        </w:rPr>
        <w:t>试行 </w:t>
      </w:r>
      <w:r>
        <w:rPr/>
        <w:t>2001</w:t>
      </w:r>
      <w:r>
        <w:rPr>
          <w:spacing w:val="-20"/>
        </w:rPr>
        <w:t> 年版</w:t>
      </w:r>
      <w:r>
        <w:rPr/>
        <w:t>）</w:t>
      </w:r>
      <w:r>
        <w:rPr>
          <w:spacing w:val="-2"/>
        </w:rPr>
        <w:t>》，“由于各省份编码不同，信</w:t>
      </w:r>
      <w:r>
        <w:rPr/>
        <w:t>息不能识别，仅跨省异地就医即时结算一项，就给医保监管带来了难题”。</w:t>
      </w:r>
    </w:p>
    <w:p>
      <w:pPr>
        <w:pStyle w:val="BodyText"/>
        <w:spacing w:line="297" w:lineRule="auto"/>
        <w:ind w:right="1128" w:firstLine="480"/>
        <w:jc w:val="both"/>
      </w:pPr>
      <w:r>
        <w:rPr>
          <w:spacing w:val="-7"/>
        </w:rPr>
        <w:t>对于当前的医保信息现状，国家医保局分析“存在医保数据不互认、医保系统分割、孤</w:t>
      </w:r>
      <w:r>
        <w:rPr>
          <w:spacing w:val="-8"/>
        </w:rPr>
        <w:t>岛现象突出等问题”。国家医保局副局长施子海表示，推动医保信息生态完善，提升医保治</w:t>
      </w:r>
      <w:r>
        <w:rPr>
          <w:spacing w:val="-9"/>
        </w:rPr>
        <w:t>理现代化水平，需要加强医保信息化建设，通过编码标准、系统架构、数据规范等方面的统</w:t>
      </w:r>
      <w:r>
        <w:rPr/>
        <w:t>一，做到数据按照统一标准和规则在互联互通的信息高速路上畅通运行。</w:t>
      </w:r>
    </w:p>
    <w:p>
      <w:pPr>
        <w:pStyle w:val="BodyText"/>
        <w:spacing w:line="297" w:lineRule="auto"/>
        <w:ind w:right="1127" w:firstLine="480"/>
        <w:jc w:val="both"/>
      </w:pPr>
      <w:r>
        <w:rPr>
          <w:spacing w:val="-3"/>
        </w:rPr>
        <w:t>据介绍，统一编码标准就是各地要落实国家统一制定的 </w:t>
      </w:r>
      <w:r>
        <w:rPr/>
        <w:t>15</w:t>
      </w:r>
      <w:r>
        <w:rPr>
          <w:spacing w:val="-8"/>
        </w:rPr>
        <w:t> 项信息业务编码标准，并通</w:t>
      </w:r>
      <w:r>
        <w:rPr>
          <w:spacing w:val="-13"/>
        </w:rPr>
        <w:t>过动态维护逐步实现医保业务标准的全国统一，形成“通用语言”。统一系统架构，就是各</w:t>
      </w:r>
      <w:r>
        <w:rPr>
          <w:spacing w:val="-6"/>
        </w:rPr>
        <w:t>地按照国家建立的基础信息管理系统，为省级信息系统提供数据支撑，推动各项业务在一个</w:t>
      </w:r>
      <w:r>
        <w:rPr>
          <w:spacing w:val="-10"/>
        </w:rPr>
        <w:t>框架下衔接、数据信息在一个平台上共享。统一数据规范，就是各地要按照国家即将出台的</w:t>
      </w:r>
      <w:r>
        <w:rPr/>
        <w:t>医保业务数据格式，将业务数据定义成标准格式，形成统一的存储结构和识别方式。</w:t>
      </w:r>
    </w:p>
    <w:p>
      <w:pPr>
        <w:pStyle w:val="Heading8"/>
        <w:spacing w:line="302" w:lineRule="exact"/>
      </w:pPr>
      <w:r>
        <w:rPr/>
        <w:t>推广数据编码中的“普通话”</w:t>
      </w:r>
    </w:p>
    <w:p>
      <w:pPr>
        <w:pStyle w:val="BodyText"/>
        <w:spacing w:line="297" w:lineRule="auto" w:before="60"/>
        <w:ind w:right="1127" w:firstLine="480"/>
        <w:jc w:val="both"/>
      </w:pPr>
      <w:r>
        <w:rPr>
          <w:spacing w:val="-21"/>
        </w:rPr>
        <w:t>今年 </w:t>
      </w:r>
      <w:r>
        <w:rPr/>
        <w:t>1</w:t>
      </w:r>
      <w:r>
        <w:rPr>
          <w:spacing w:val="-13"/>
        </w:rPr>
        <w:t> 月，国家医保局印发《关于医疗保障信息化工作的指导意见》，确定了全国医保</w:t>
      </w:r>
      <w:r>
        <w:rPr>
          <w:spacing w:val="-18"/>
        </w:rPr>
        <w:t>信息化建设“一二三四”的工作目标，即建设一套全国统一的医保信息系统，搭建国家和省</w:t>
      </w:r>
    </w:p>
    <w:p>
      <w:pPr>
        <w:pStyle w:val="BodyText"/>
        <w:spacing w:line="218" w:lineRule="auto" w:before="20"/>
        <w:ind w:right="1128"/>
        <w:jc w:val="both"/>
        <w:rPr>
          <w:rFonts w:ascii="微软雅黑" w:hAnsi="微软雅黑" w:eastAsia="微软雅黑" w:hint="eastAsia"/>
          <w:b/>
        </w:rPr>
      </w:pPr>
      <w:r>
        <w:rPr>
          <w:spacing w:val="-8"/>
        </w:rPr>
        <w:t>级两级医保信息平台，提高全国医保标准化、智能化、信息化水平，确定公共服务、经办管</w:t>
      </w:r>
      <w:r>
        <w:rPr>
          <w:spacing w:val="-16"/>
        </w:rPr>
        <w:t>理、智能监控、宏观决策四大类业务子系统，由此推动形成医保信息化“一盘棋”格局。</w:t>
      </w:r>
      <w:r>
        <w:rPr>
          <w:rFonts w:ascii="微软雅黑" w:hAnsi="微软雅黑" w:eastAsia="微软雅黑" w:hint="eastAsia"/>
          <w:b/>
          <w:color w:val="0033CC"/>
        </w:rPr>
        <w:t>[</w:t>
      </w:r>
      <w:r>
        <w:rPr>
          <w:rFonts w:ascii="Microsoft JhengHei" w:hAnsi="Microsoft JhengHei" w:eastAsia="Microsoft JhengHei" w:hint="eastAsia"/>
          <w:b/>
          <w:color w:val="0033CC"/>
          <w:spacing w:val="-13"/>
        </w:rPr>
        <w:t>返</w:t>
      </w:r>
      <w:r>
        <w:rPr>
          <w:rFonts w:ascii="Microsoft JhengHei" w:hAnsi="Microsoft JhengHei" w:eastAsia="Microsoft JhengHei" w:hint="eastAsia"/>
          <w:b/>
          <w:color w:val="0033CC"/>
          <w:w w:val="110"/>
        </w:rPr>
        <w:t>回目次</w:t>
      </w:r>
      <w:r>
        <w:rPr>
          <w:rFonts w:ascii="微软雅黑" w:hAnsi="微软雅黑" w:eastAsia="微软雅黑" w:hint="eastAsia"/>
          <w:b/>
          <w:color w:val="0033CC"/>
          <w:w w:val="110"/>
        </w:rPr>
        <w:t>]</w:t>
      </w:r>
    </w:p>
    <w:p>
      <w:pPr>
        <w:spacing w:after="0" w:line="218" w:lineRule="auto"/>
        <w:jc w:val="both"/>
        <w:rPr>
          <w:rFonts w:ascii="微软雅黑" w:hAnsi="微软雅黑" w:eastAsia="微软雅黑" w:hint="eastAsia"/>
        </w:rPr>
        <w:sectPr>
          <w:type w:val="continuous"/>
          <w:pgSz w:w="11910" w:h="16850"/>
          <w:pgMar w:top="1100" w:bottom="1020" w:left="640" w:right="0"/>
        </w:sectPr>
      </w:pPr>
    </w:p>
    <w:p>
      <w:pPr>
        <w:pStyle w:val="Heading4"/>
        <w:spacing w:line="395" w:lineRule="exact"/>
        <w:ind w:left="3378"/>
      </w:pPr>
      <w:r>
        <w:rPr>
          <w:spacing w:val="-3"/>
        </w:rPr>
        <w:t>医疗保障 谈谈扩面与公平</w:t>
      </w:r>
    </w:p>
    <w:p>
      <w:pPr>
        <w:pStyle w:val="BodyText"/>
        <w:spacing w:before="10"/>
        <w:ind w:left="0"/>
        <w:rPr>
          <w:b/>
          <w:sz w:val="35"/>
        </w:rPr>
      </w:pPr>
      <w:r>
        <w:rPr/>
        <w:br w:type="column"/>
      </w:r>
      <w:r>
        <w:rPr>
          <w:b/>
          <w:sz w:val="35"/>
        </w:rPr>
      </w:r>
    </w:p>
    <w:p>
      <w:pPr>
        <w:pStyle w:val="Heading8"/>
        <w:ind w:left="1097"/>
        <w:rPr>
          <w:rFonts w:ascii="楷体" w:eastAsia="楷体" w:hint="eastAsia"/>
        </w:rPr>
      </w:pPr>
      <w:r>
        <w:rPr>
          <w:rFonts w:ascii="楷体" w:eastAsia="楷体" w:hint="eastAsia"/>
          <w:color w:val="FF0000"/>
        </w:rPr>
        <w:t>（来源：健康报）</w:t>
      </w:r>
    </w:p>
    <w:p>
      <w:pPr>
        <w:spacing w:after="0"/>
        <w:rPr>
          <w:rFonts w:ascii="楷体" w:eastAsia="楷体" w:hint="eastAsia"/>
        </w:rPr>
        <w:sectPr>
          <w:headerReference w:type="default" r:id="rId14"/>
          <w:footerReference w:type="default" r:id="rId15"/>
          <w:pgSz w:w="11910" w:h="16850"/>
          <w:pgMar w:header="906" w:footer="607" w:top="1100" w:bottom="800" w:left="640" w:right="0"/>
          <w:pgNumType w:start="5"/>
          <w:cols w:num="2" w:equalWidth="0">
            <w:col w:w="7072" w:space="40"/>
            <w:col w:w="4158"/>
          </w:cols>
        </w:sectPr>
      </w:pPr>
    </w:p>
    <w:p>
      <w:pPr>
        <w:pStyle w:val="BodyText"/>
        <w:spacing w:line="312" w:lineRule="auto" w:before="93"/>
        <w:ind w:right="1010" w:firstLine="480"/>
        <w:jc w:val="both"/>
      </w:pPr>
      <w:r>
        <w:rPr>
          <w:spacing w:val="-16"/>
        </w:rPr>
        <w:t>目前，国家医保药品目录正在调整中。如何把包括抗癌药物在内的更多更好的“救命药” 纳入目录，尽可能地扩大患者的受益面，又能最大限度地保证社会公平，是各方的共同关注。</w:t>
      </w:r>
      <w:r>
        <w:rPr>
          <w:spacing w:val="-10"/>
        </w:rPr>
        <w:t>近日，在由健康报社主办、辉瑞中国支持的研讨会上，业内专家围绕这一话题进行了讨论—</w:t>
      </w:r>
    </w:p>
    <w:p>
      <w:pPr>
        <w:pStyle w:val="BodyText"/>
        <w:spacing w:before="1"/>
      </w:pPr>
      <w:r>
        <w:rPr/>
        <w:t>—</w:t>
      </w:r>
    </w:p>
    <w:p>
      <w:pPr>
        <w:pStyle w:val="Heading8"/>
        <w:spacing w:before="91"/>
      </w:pPr>
      <w:r>
        <w:rPr/>
        <w:t>北京大学医药管理国际研究中心主任史录文：构建多元化医保体系</w:t>
      </w:r>
    </w:p>
    <w:p>
      <w:pPr>
        <w:pStyle w:val="BodyText"/>
        <w:spacing w:line="312" w:lineRule="auto" w:before="93"/>
        <w:ind w:right="1010" w:firstLine="480"/>
      </w:pPr>
      <w:r>
        <w:rPr>
          <w:spacing w:val="-16"/>
        </w:rPr>
        <w:t>基本医保的功能是限定在“保基本”的。要让一个医保目录去承担实现社会公平的任务， </w:t>
      </w:r>
      <w:r>
        <w:rPr/>
        <w:t>医保制度设计是无解的、不可持续的。</w:t>
      </w:r>
    </w:p>
    <w:p>
      <w:pPr>
        <w:pStyle w:val="BodyText"/>
        <w:spacing w:line="312" w:lineRule="auto" w:before="1"/>
        <w:ind w:right="1007" w:firstLine="480"/>
      </w:pPr>
      <w:r>
        <w:rPr>
          <w:spacing w:val="-8"/>
        </w:rPr>
        <w:t>比如肿瘤——发病群体大、治疗花费高；又如罕见病——中国这么大的人口基数下罕见</w:t>
      </w:r>
      <w:r>
        <w:rPr>
          <w:spacing w:val="-13"/>
        </w:rPr>
        <w:t>病并不罕见，而“孤儿药”的价格却令人咋舌。这么大的群体的医疗费用，依赖基本医保有</w:t>
      </w:r>
      <w:r>
        <w:rPr>
          <w:spacing w:val="-21"/>
        </w:rPr>
        <w:t>限的筹资是难以提供有效保障的。仅靠每年国家投入增加的几十块钱，要把越来越多的新药、</w:t>
      </w:r>
      <w:r>
        <w:rPr>
          <w:spacing w:val="-8"/>
        </w:rPr>
        <w:t>新技术纳入进去，只能降低报销比例，那么老百姓是很难有获得感的。提高医疗保障的公平</w:t>
      </w:r>
      <w:r>
        <w:rPr>
          <w:spacing w:val="-10"/>
        </w:rPr>
        <w:t>性，不应仅盯着基本医保目录的调整，还应探索如何在经济发展的背景下、在以治病为中心向健康为中心转化的过程中，继续完善医疗保障体系。</w:t>
      </w:r>
    </w:p>
    <w:p>
      <w:pPr>
        <w:pStyle w:val="BodyText"/>
        <w:spacing w:line="312" w:lineRule="auto" w:before="1"/>
        <w:ind w:right="1027" w:firstLine="480"/>
      </w:pPr>
      <w:r>
        <w:rPr/>
        <w:t>所以我们呼吁，当前中国应构建多元化的医疗保障体系。构建多元化的医疗保障体系， 须在政府引导下创建一种新的保障模式，集中全社会各种力量，包括第三方组织和个人慈善力量，构建面向所有公众的，公开、公平的第三方运行的保障体系。</w:t>
      </w:r>
    </w:p>
    <w:p>
      <w:pPr>
        <w:pStyle w:val="BodyText"/>
        <w:spacing w:line="312" w:lineRule="auto" w:before="1"/>
        <w:ind w:right="1127" w:firstLine="480"/>
        <w:jc w:val="both"/>
      </w:pPr>
      <w:r>
        <w:rPr>
          <w:spacing w:val="-8"/>
        </w:rPr>
        <w:t>从社会公平的角度来看，多元化保障体系有助于实现社会公平。绝对公平在任何社会也</w:t>
      </w:r>
      <w:r>
        <w:rPr>
          <w:spacing w:val="-10"/>
        </w:rPr>
        <w:t>不存在，更何况中国当前尚未解决的城乡差异、东西差异、南北差异„„在这种发展不平衡 </w:t>
      </w:r>
      <w:r>
        <w:rPr>
          <w:spacing w:val="-12"/>
        </w:rPr>
        <w:t>下，收入水平、卫生筹资水平、医疗资源分布都是不平衡的。引入第三方保障机制作为社会</w:t>
      </w:r>
      <w:r>
        <w:rPr/>
        <w:t>的“润滑剂”，倡导公平的模式，是维护社会公平的重要砝码。</w:t>
      </w:r>
    </w:p>
    <w:p>
      <w:pPr>
        <w:pStyle w:val="Heading8"/>
        <w:spacing w:before="2"/>
      </w:pPr>
      <w:r>
        <w:rPr/>
        <w:t>国家卫生健康委卫生发展研究中心医保研究室副主任顾雪非：着重提升报销比例</w:t>
      </w:r>
    </w:p>
    <w:p>
      <w:pPr>
        <w:pStyle w:val="BodyText"/>
        <w:spacing w:line="312" w:lineRule="auto" w:before="93"/>
        <w:ind w:right="1127" w:firstLine="480"/>
        <w:jc w:val="both"/>
      </w:pPr>
      <w:r>
        <w:rPr>
          <w:spacing w:val="-9"/>
        </w:rPr>
        <w:t>讨论医疗保障水平，社会舆论往往更加关注的医保目录的大小，似乎是把更多药品和技术纳入医保，就等同于医疗保障水平的提升，更多疾病可以获得保障，制度就更加公平。事</w:t>
      </w:r>
      <w:r>
        <w:rPr>
          <w:spacing w:val="-12"/>
        </w:rPr>
        <w:t>实上，衡量保障水平，不仅要考虑医保目录的大小，还要考虑报销比例。在筹资水平既定的</w:t>
      </w:r>
      <w:r>
        <w:rPr/>
        <w:t>情况下，片面强调保障的范围，会引起报销比例下降。</w:t>
      </w:r>
    </w:p>
    <w:p>
      <w:pPr>
        <w:pStyle w:val="BodyText"/>
        <w:spacing w:line="312" w:lineRule="auto"/>
        <w:ind w:right="1127" w:firstLine="480"/>
      </w:pPr>
      <w:r>
        <w:rPr>
          <w:spacing w:val="-5"/>
        </w:rPr>
        <w:t>从统计数据上可以看出，从 </w:t>
      </w:r>
      <w:r>
        <w:rPr/>
        <w:t>2011</w:t>
      </w:r>
      <w:r>
        <w:rPr>
          <w:spacing w:val="-8"/>
        </w:rPr>
        <w:t> 年到现在，每年医保筹资水平都在提高，但由于就医</w:t>
      </w:r>
      <w:r>
        <w:rPr>
          <w:spacing w:val="-13"/>
        </w:rPr>
        <w:t>人次增加、保障范围不断扩大，实际的报销比例却并没有太大变化：职工医保报销比维持在</w:t>
      </w:r>
      <w:r>
        <w:rPr/>
        <w:t>72%</w:t>
      </w:r>
      <w:r>
        <w:rPr>
          <w:spacing w:val="-4"/>
        </w:rPr>
        <w:t>上下，城乡居民医保报销比例在 </w:t>
      </w:r>
      <w:r>
        <w:rPr/>
        <w:t>54%~56%。报销比例不够高，对医疗保障制度的公平性造成了不利影响。</w:t>
      </w:r>
    </w:p>
    <w:p>
      <w:pPr>
        <w:pStyle w:val="BodyText"/>
        <w:spacing w:line="312" w:lineRule="auto" w:before="2"/>
        <w:ind w:right="1127" w:firstLine="480"/>
      </w:pPr>
      <w:r>
        <w:rPr>
          <w:spacing w:val="-2"/>
        </w:rPr>
        <w:t>多年前我们做过一项研究，对东中西部七个县连续做了几年的入户调查，样本有 </w:t>
      </w:r>
      <w:r>
        <w:rPr/>
        <w:t>4000 </w:t>
      </w:r>
      <w:r>
        <w:rPr>
          <w:spacing w:val="-10"/>
        </w:rPr>
        <w:t>多户。我们把人群按照收入水平分为五个组别，然后去考察他们医疗服务利用情况。排除年</w:t>
      </w:r>
      <w:r>
        <w:rPr>
          <w:spacing w:val="-9"/>
        </w:rPr>
        <w:t>龄等影响因素，不同收入人群的医疗需求应该是接近的。然而分析结果显示，收入每提高一个组别，住院的概率增加 </w:t>
      </w:r>
      <w:r>
        <w:rPr/>
        <w:t>43%</w:t>
      </w:r>
      <w:r>
        <w:rPr>
          <w:spacing w:val="-6"/>
        </w:rPr>
        <w:t>。这说明当时医保制度实际上是更有利于中高收入人群。健康</w:t>
      </w:r>
      <w:r>
        <w:rPr>
          <w:spacing w:val="-7"/>
        </w:rPr>
        <w:t>扶贫的实践也发现了类似的情况。在开展兜底保障之前，贫困人口对医疗服务的利用率明显</w:t>
      </w:r>
    </w:p>
    <w:p>
      <w:pPr>
        <w:spacing w:after="0" w:line="312" w:lineRule="auto"/>
        <w:sectPr>
          <w:type w:val="continuous"/>
          <w:pgSz w:w="11910" w:h="16850"/>
          <w:pgMar w:top="1100" w:bottom="1020" w:left="640" w:right="0"/>
        </w:sectPr>
      </w:pPr>
    </w:p>
    <w:p>
      <w:pPr>
        <w:pStyle w:val="BodyText"/>
        <w:spacing w:line="312" w:lineRule="auto" w:before="79"/>
        <w:ind w:right="1130"/>
        <w:jc w:val="both"/>
      </w:pPr>
      <w:r>
        <w:rPr>
          <w:spacing w:val="-11"/>
        </w:rPr>
        <w:t>偏低；很多贫困人口名义上有保险，但是实际上没有得到应有保障。因此，在当前来看，应</w:t>
      </w:r>
      <w:r>
        <w:rPr>
          <w:spacing w:val="-8"/>
        </w:rPr>
        <w:t>着重关注报销比例的提升，让更多低收入人群能“用得起”医保。这才是提高医保制度公平</w:t>
      </w:r>
      <w:r>
        <w:rPr/>
        <w:t>性的当务之急。</w:t>
      </w:r>
    </w:p>
    <w:p>
      <w:pPr>
        <w:pStyle w:val="Heading8"/>
        <w:spacing w:before="1"/>
      </w:pPr>
      <w:r>
        <w:rPr/>
        <w:t>北京大学人民医院药剂科主任冯婉玉：给仿制药更多支持</w:t>
      </w:r>
    </w:p>
    <w:p>
      <w:pPr>
        <w:pStyle w:val="BodyText"/>
        <w:spacing w:line="312" w:lineRule="auto" w:before="91"/>
        <w:ind w:right="1127" w:firstLine="480"/>
        <w:jc w:val="both"/>
      </w:pPr>
      <w:r>
        <w:rPr>
          <w:spacing w:val="-5"/>
        </w:rPr>
        <w:t>当前中国的卫生总费用占 </w:t>
      </w:r>
      <w:r>
        <w:rPr/>
        <w:t>GDP</w:t>
      </w:r>
      <w:r>
        <w:rPr>
          <w:spacing w:val="-14"/>
        </w:rPr>
        <w:t> 比重以及医保的筹资水平都不算高。在这种情况下，有几</w:t>
      </w:r>
      <w:r>
        <w:rPr/>
        <w:t>个问题就不得不需要考虑。</w:t>
      </w:r>
    </w:p>
    <w:p>
      <w:pPr>
        <w:pStyle w:val="BodyText"/>
        <w:spacing w:line="312" w:lineRule="auto" w:before="2"/>
        <w:ind w:right="1085" w:firstLine="480"/>
        <w:jc w:val="both"/>
      </w:pPr>
      <w:r>
        <w:rPr>
          <w:spacing w:val="-9"/>
        </w:rPr>
        <w:t>众所周知，抗肿瘤药、尤其是抗肿瘤的进口靶向药研发周期长、使用人群少，这就注定</w:t>
      </w:r>
      <w:r>
        <w:rPr>
          <w:spacing w:val="-11"/>
        </w:rPr>
        <w:t>了药品的高定价。尽管国家通过谈判，使一些药品的价格平均下降了 </w:t>
      </w:r>
      <w:r>
        <w:rPr/>
        <w:t>50%</w:t>
      </w:r>
      <w:r>
        <w:rPr>
          <w:spacing w:val="-3"/>
        </w:rPr>
        <w:t>以上并纳入医保， </w:t>
      </w:r>
      <w:r>
        <w:rPr>
          <w:spacing w:val="-5"/>
        </w:rPr>
        <w:t>但患者需要支付的费用仍然超出一般家庭的承受能力。在当前严格的医保控费机制下，医生开药时还要考虑控费要求，这也影响了群众的获得感。</w:t>
      </w:r>
    </w:p>
    <w:p>
      <w:pPr>
        <w:pStyle w:val="BodyText"/>
        <w:spacing w:line="312" w:lineRule="auto"/>
        <w:ind w:right="1127" w:firstLine="480"/>
        <w:jc w:val="both"/>
      </w:pPr>
      <w:r>
        <w:rPr>
          <w:spacing w:val="-6"/>
        </w:rPr>
        <w:t>怎么办？一个办法就是进一步扶持国内制药企业，使其研发有动力、生产有利润。我们</w:t>
      </w:r>
      <w:r>
        <w:rPr>
          <w:spacing w:val="-8"/>
        </w:rPr>
        <w:t>知道，印度生产的仿制药占据着全世界 </w:t>
      </w:r>
      <w:r>
        <w:rPr/>
        <w:t>90%</w:t>
      </w:r>
      <w:r>
        <w:rPr>
          <w:spacing w:val="-5"/>
        </w:rPr>
        <w:t>的仿制市场，而且质量过硬，就是得益于印度对</w:t>
      </w:r>
      <w:r>
        <w:rPr>
          <w:spacing w:val="-7"/>
        </w:rPr>
        <w:t>本土仿制药企业的政策支持。如果不给国内企业同样的政策支持，那就开放市场，通过合法</w:t>
      </w:r>
      <w:r>
        <w:rPr/>
        <w:t>渠道进口印度仿制药，让老百姓有廉价有效的药物可用。</w:t>
      </w:r>
    </w:p>
    <w:p>
      <w:pPr>
        <w:pStyle w:val="Heading8"/>
        <w:spacing w:before="2"/>
      </w:pPr>
      <w:r>
        <w:rPr/>
        <w:t>四川大学华西药学院教授胡明：开源节流合理分配</w:t>
      </w:r>
    </w:p>
    <w:p>
      <w:pPr>
        <w:pStyle w:val="BodyText"/>
        <w:spacing w:line="312" w:lineRule="auto" w:before="93"/>
        <w:ind w:right="1130" w:firstLine="480"/>
      </w:pPr>
      <w:r>
        <w:rPr>
          <w:spacing w:val="-8"/>
        </w:rPr>
        <w:t>站在国家决策和资源统筹分配的角度，解决医保公平和群众期盼的矛盾还需从三个方面</w:t>
      </w:r>
      <w:r>
        <w:rPr/>
        <w:t>着手。</w:t>
      </w:r>
    </w:p>
    <w:p>
      <w:pPr>
        <w:pStyle w:val="BodyText"/>
        <w:spacing w:line="312" w:lineRule="auto"/>
        <w:ind w:right="1010" w:firstLine="480"/>
      </w:pPr>
      <w:r>
        <w:rPr>
          <w:spacing w:val="-9"/>
        </w:rPr>
        <w:t>首先是开源。增加卫生经费和资源投入水平是解决公平覆盖的源头问题。而对于罕见病</w:t>
      </w:r>
      <w:r>
        <w:rPr>
          <w:spacing w:val="-14"/>
        </w:rPr>
        <w:t>及恶性肿瘤来说，具有突破性临床价值的创新药物按照传统的药物经济学评价原则往往是不</w:t>
      </w:r>
      <w:r>
        <w:rPr>
          <w:spacing w:val="-19"/>
        </w:rPr>
        <w:t>具有成本效果的。解决这部分需求，国家可以鼓励扩展额外的社会筹资渠道，比如商业保险、</w:t>
      </w:r>
      <w:r>
        <w:rPr/>
        <w:t>社会慈善、企业援助等。建议为慈善事业发展创造更友好的政策环境和更优惠的条件。</w:t>
      </w:r>
    </w:p>
    <w:p>
      <w:pPr>
        <w:pStyle w:val="BodyText"/>
        <w:spacing w:line="312" w:lineRule="auto" w:before="2"/>
        <w:ind w:right="1127" w:firstLine="480"/>
        <w:jc w:val="both"/>
      </w:pPr>
      <w:r>
        <w:rPr>
          <w:spacing w:val="-4"/>
        </w:rPr>
        <w:t>其次是节流。大力推行临床路径管理等诊疗模式、</w:t>
      </w:r>
      <w:r>
        <w:rPr/>
        <w:t>DRG</w:t>
      </w:r>
      <w:r>
        <w:rPr>
          <w:spacing w:val="-10"/>
        </w:rPr>
        <w:t> 等医保支付方式改革，引导和规</w:t>
      </w:r>
      <w:r>
        <w:rPr>
          <w:spacing w:val="-9"/>
        </w:rPr>
        <w:t>范临床治疗方案；加强医师教育和培训，充分发挥药师药学服务能力和水平，确保药品的经</w:t>
      </w:r>
      <w:r>
        <w:rPr>
          <w:spacing w:val="-11"/>
        </w:rPr>
        <w:t>济、合理使用，促进适宜治疗领域基本药物和通过一致性评价的仿制药的使用，减少不必要</w:t>
      </w:r>
      <w:r>
        <w:rPr/>
        <w:t>的费用支出。</w:t>
      </w:r>
    </w:p>
    <w:p>
      <w:pPr>
        <w:pStyle w:val="BodyText"/>
        <w:spacing w:line="312" w:lineRule="auto"/>
        <w:ind w:right="1127" w:firstLine="480"/>
        <w:jc w:val="both"/>
      </w:pPr>
      <w:r>
        <w:rPr>
          <w:spacing w:val="-10"/>
        </w:rPr>
        <w:t>再次是合理分配资源。一方面，建议把更多治疗常见病、慢性病的优质仿制药纳入集中</w:t>
      </w:r>
      <w:r>
        <w:rPr>
          <w:spacing w:val="-6"/>
        </w:rPr>
        <w:t>采购并以此为参考确定医保支付标准，实现有效医保控费，从而合理配置医保资金，以覆盖</w:t>
      </w:r>
      <w:r>
        <w:rPr>
          <w:spacing w:val="-5"/>
        </w:rPr>
        <w:t>更多对威胁人类生命的严重疾病有突破性临床价值的新药和新治疗方案。另一方面，完善医</w:t>
      </w:r>
      <w:r>
        <w:rPr>
          <w:spacing w:val="-7"/>
        </w:rPr>
        <w:t>保目录调出机制和评估方法，开展更全面的比较成本效果研究和动态评价，在纳入更有临床</w:t>
      </w:r>
      <w:r>
        <w:rPr/>
        <w:t>价值的创新药物的同时，及时调出相对经济性不佳的目录内品种。</w:t>
      </w:r>
    </w:p>
    <w:p>
      <w:pPr>
        <w:pStyle w:val="Heading8"/>
        <w:spacing w:before="3"/>
      </w:pPr>
      <w:r>
        <w:rPr/>
        <w:t>北京同仁医院医保办主任张彤彦：建立科学评估机制</w:t>
      </w:r>
    </w:p>
    <w:p>
      <w:pPr>
        <w:pStyle w:val="BodyText"/>
        <w:spacing w:line="312" w:lineRule="auto" w:before="91"/>
        <w:ind w:right="1010" w:firstLine="480"/>
      </w:pPr>
      <w:r>
        <w:rPr>
          <w:spacing w:val="-16"/>
        </w:rPr>
        <w:t>药品、疫苗和医疗技术的发展日新月异。特别是在癌症治疗领域，在巨大的市场驱动下， </w:t>
      </w:r>
      <w:r>
        <w:rPr>
          <w:spacing w:val="-10"/>
        </w:rPr>
        <w:t>新产品、新技术层出不穷。新药物、新治疗方式有效性如何，怎样来评估，是个特别重要的问题。尤其是当我们要用公共资源去对其进行支付的时候，建立一种科学、审慎的评估机制是十分必要的。</w:t>
      </w:r>
    </w:p>
    <w:p>
      <w:pPr>
        <w:spacing w:after="0" w:line="312" w:lineRule="auto"/>
        <w:sectPr>
          <w:pgSz w:w="11910" w:h="16850"/>
          <w:pgMar w:header="906" w:footer="607" w:top="1100" w:bottom="800" w:left="640" w:right="0"/>
        </w:sectPr>
      </w:pPr>
    </w:p>
    <w:p>
      <w:pPr>
        <w:pStyle w:val="BodyText"/>
        <w:spacing w:line="312" w:lineRule="auto" w:before="79"/>
        <w:ind w:right="1010" w:firstLine="480"/>
      </w:pPr>
      <w:r>
        <w:rPr>
          <w:spacing w:val="-7"/>
        </w:rPr>
        <w:t>从学科建设角度看，开展最新的技术，往往意味着医院和医生紧跟医学前沿，是实力和</w:t>
      </w:r>
      <w:r>
        <w:rPr>
          <w:spacing w:val="-12"/>
        </w:rPr>
        <w:t>能力的象征；从经济利益考虑，新技术、新药物往往价格更高、使用耗材更贵。从患者期待</w:t>
      </w:r>
      <w:r>
        <w:rPr>
          <w:spacing w:val="-18"/>
        </w:rPr>
        <w:t>的角度看，新技术、新药物也意味着更多治愈希望。尤其在常规治疗手段已经无效的情况下， </w:t>
      </w:r>
      <w:r>
        <w:rPr>
          <w:spacing w:val="-5"/>
        </w:rPr>
        <w:t>有些患者会不惜代价尝试新的治疗手段。患者的个人选择是可以理解的，但如果不经审慎的</w:t>
      </w:r>
      <w:r>
        <w:rPr>
          <w:spacing w:val="-10"/>
        </w:rPr>
        <w:t>评估，就把医保这样的公共资源投入到无效的医疗手段上，对大多数患者来说无疑是不公平的。</w:t>
      </w:r>
    </w:p>
    <w:p>
      <w:pPr>
        <w:pStyle w:val="Heading8"/>
        <w:spacing w:before="2"/>
      </w:pPr>
      <w:r>
        <w:rPr/>
        <w:t>北京妇产医院药剂科主任冯欣：用差异化满足不同需求</w:t>
      </w:r>
    </w:p>
    <w:p>
      <w:pPr>
        <w:pStyle w:val="BodyText"/>
        <w:spacing w:line="312" w:lineRule="auto" w:before="91"/>
        <w:ind w:right="1127" w:firstLine="480"/>
        <w:jc w:val="both"/>
      </w:pPr>
      <w:r>
        <w:rPr>
          <w:spacing w:val="-7"/>
        </w:rPr>
        <w:t>医疗保障制度设计是全世界的难题，更何况没有哪个国家有我们这么多的人口、这么复</w:t>
      </w:r>
      <w:r>
        <w:rPr>
          <w:spacing w:val="-11"/>
        </w:rPr>
        <w:t>杂的情况。在当前的国情下，公平并不意味着彼此一样，很多时候有所差异反而是公平的表</w:t>
      </w:r>
      <w:r>
        <w:rPr/>
        <w:t>现。</w:t>
      </w:r>
    </w:p>
    <w:p>
      <w:pPr>
        <w:pStyle w:val="BodyText"/>
        <w:spacing w:line="312" w:lineRule="auto" w:before="1"/>
        <w:ind w:right="1127" w:firstLine="480"/>
        <w:jc w:val="both"/>
      </w:pPr>
      <w:r>
        <w:rPr>
          <w:spacing w:val="-9"/>
        </w:rPr>
        <w:t>比如，基本医保要覆盖到多少病种，必须要有一个限度，以确保医保基金的可持续，以</w:t>
      </w:r>
      <w:r>
        <w:rPr>
          <w:spacing w:val="-14"/>
        </w:rPr>
        <w:t>及适当的补偿比例。这就意味着不是治疗所有疾病的药物都能进入目录。决定一种药物是否</w:t>
      </w:r>
      <w:r>
        <w:rPr>
          <w:spacing w:val="-9"/>
        </w:rPr>
        <w:t>应被纳入医保目录，就要在公平和效率之间找到一个平衡点。而寻找这个平衡点的工具就是</w:t>
      </w:r>
      <w:r>
        <w:rPr>
          <w:spacing w:val="-10"/>
        </w:rPr>
        <w:t>药物经济学。一个药品该不该进入医保目录，要在充分考虑安全性和适应证的情况下，取得</w:t>
      </w:r>
      <w:r>
        <w:rPr/>
        <w:t>药物经济学数据，用数据说话。</w:t>
      </w:r>
    </w:p>
    <w:p>
      <w:pPr>
        <w:pStyle w:val="BodyText"/>
        <w:spacing w:line="312" w:lineRule="auto" w:before="3"/>
        <w:ind w:right="1010" w:firstLine="480"/>
      </w:pPr>
      <w:r>
        <w:rPr>
          <w:spacing w:val="-9"/>
        </w:rPr>
        <w:t>除了目录的范围，另一个差异化体现公平的是各地的医保支付标准。考虑到各省的经济</w:t>
      </w:r>
      <w:r>
        <w:rPr>
          <w:spacing w:val="-17"/>
        </w:rPr>
        <w:t>发展程度、医保筹资能力和医疗服务水平的差异，医保支付标准也应该有所区别。可根据一、</w:t>
      </w:r>
      <w:r>
        <w:rPr/>
        <w:t>二、三线城市，划分几个不同的支付标准档位。</w:t>
      </w:r>
    </w:p>
    <w:p>
      <w:pPr>
        <w:pStyle w:val="BodyText"/>
        <w:spacing w:line="312" w:lineRule="auto" w:before="1"/>
        <w:ind w:right="1127" w:firstLine="480"/>
        <w:jc w:val="both"/>
      </w:pPr>
      <w:r>
        <w:rPr>
          <w:spacing w:val="-7"/>
        </w:rPr>
        <w:t>医保类型也要体现差异化。国家的基本医保，目前做到了低水平广覆盖。然而更高医疗需求的解决不是靠基本医保，而是靠商保来解决的。经济条件允许就去买商保，保额越高享</w:t>
      </w:r>
      <w:r>
        <w:rPr>
          <w:spacing w:val="-9"/>
        </w:rPr>
        <w:t>受到的保障水平越高。因此不同保险机制解决不同人群的需求，这样的因人而异并不代表不</w:t>
      </w:r>
      <w:r>
        <w:rPr/>
        <w:t>公平。</w:t>
      </w:r>
    </w:p>
    <w:p>
      <w:pPr>
        <w:pStyle w:val="Heading8"/>
        <w:spacing w:line="307" w:lineRule="exact"/>
      </w:pPr>
      <w:r>
        <w:rPr/>
        <w:t>北京大学肿瘤医院乳腺肿瘤内科主任李惠平：不让患者与“救命药”错过</w:t>
      </w:r>
    </w:p>
    <w:p>
      <w:pPr>
        <w:pStyle w:val="BodyText"/>
        <w:spacing w:line="312" w:lineRule="auto" w:before="93"/>
        <w:ind w:right="1127" w:firstLine="480"/>
        <w:jc w:val="both"/>
      </w:pPr>
      <w:r>
        <w:rPr>
          <w:spacing w:val="-8"/>
        </w:rPr>
        <w:t>作为一名从医近 </w:t>
      </w:r>
      <w:r>
        <w:rPr/>
        <w:t>40</w:t>
      </w:r>
      <w:r>
        <w:rPr>
          <w:spacing w:val="-8"/>
        </w:rPr>
        <w:t> 年的肿瘤内科医生，从早年眼见患者无药可用，到后来患者有药用</w:t>
      </w:r>
      <w:r>
        <w:rPr>
          <w:spacing w:val="-12"/>
        </w:rPr>
        <w:t>不起，再到今天看到越来越多的抗癌药进入医保、肿瘤患者的总生存率越来越高，我感到十</w:t>
      </w:r>
      <w:r>
        <w:rPr/>
        <w:t>分欣慰。</w:t>
      </w:r>
    </w:p>
    <w:p>
      <w:pPr>
        <w:pStyle w:val="BodyText"/>
        <w:spacing w:line="312" w:lineRule="auto" w:before="2"/>
        <w:ind w:right="1127" w:firstLine="480"/>
        <w:jc w:val="both"/>
      </w:pPr>
      <w:r>
        <w:rPr>
          <w:spacing w:val="-6"/>
        </w:rPr>
        <w:t>但现在医生看病需要考虑的问题很多，不但要考虑疗效、副反应，还要考虑费用。像肿</w:t>
      </w:r>
      <w:r>
        <w:rPr>
          <w:spacing w:val="-8"/>
        </w:rPr>
        <w:t>瘤内科这样的科室，主要的治疗手段就是用药，而肿瘤药往往又很贵，这让临床医生感到困</w:t>
      </w:r>
      <w:r>
        <w:rPr/>
        <w:t>惑。</w:t>
      </w:r>
    </w:p>
    <w:p>
      <w:pPr>
        <w:pStyle w:val="BodyText"/>
        <w:spacing w:line="312" w:lineRule="auto"/>
        <w:ind w:right="1007" w:firstLine="480"/>
        <w:jc w:val="both"/>
      </w:pPr>
      <w:r>
        <w:rPr>
          <w:spacing w:val="-8"/>
        </w:rPr>
        <w:t>从肿瘤临床医生角度看，患者痛苦被减轻、生命得到延长，甚至癌症被治愈„„这些实  </w:t>
      </w:r>
      <w:r>
        <w:rPr>
          <w:spacing w:val="-13"/>
        </w:rPr>
        <w:t>实在在的效果是检验治疗成功与否的唯一标准。我们也只有拿出疗效，才能向患者和家属交</w:t>
      </w:r>
      <w:r>
        <w:rPr>
          <w:spacing w:val="-10"/>
        </w:rPr>
        <w:t>代，我们希望每一个患者都能用上疗效最好、最适合他们的药，不要因为经济原因而与这些</w:t>
      </w:r>
      <w:r>
        <w:rPr>
          <w:spacing w:val="-18"/>
        </w:rPr>
        <w:t>“救命药”错过。把更多、更好的抗癌药物纳入医保目录，毫无疑问可以挽救更多人的生命。</w:t>
      </w:r>
    </w:p>
    <w:p>
      <w:pPr>
        <w:pStyle w:val="Heading8"/>
        <w:spacing w:before="3"/>
      </w:pPr>
      <w:r>
        <w:rPr/>
        <w:t>中日友好医院主任药师王鹤尧：保大病不妨设立新险种</w:t>
      </w:r>
    </w:p>
    <w:p>
      <w:pPr>
        <w:pStyle w:val="BodyText"/>
        <w:spacing w:line="312" w:lineRule="auto" w:before="91"/>
        <w:ind w:right="1027" w:firstLine="480"/>
      </w:pPr>
      <w:r>
        <w:rPr>
          <w:spacing w:val="-9"/>
        </w:rPr>
        <w:t>基本医保保基本，也决定了其保障范围不可无限扩大。基本医保是靠大量财政投入才能</w:t>
      </w:r>
      <w:r>
        <w:rPr>
          <w:spacing w:val="-10"/>
        </w:rPr>
        <w:t>维持，在经济增幅放缓的背景下很难有更多增量。大病保险基金筹资来源于基本医保基金，</w:t>
      </w:r>
    </w:p>
    <w:p>
      <w:pPr>
        <w:spacing w:after="0" w:line="312" w:lineRule="auto"/>
        <w:sectPr>
          <w:pgSz w:w="11910" w:h="16850"/>
          <w:pgMar w:header="906" w:footer="607" w:top="1100" w:bottom="800" w:left="640" w:right="0"/>
        </w:sectPr>
      </w:pPr>
    </w:p>
    <w:p>
      <w:pPr>
        <w:pStyle w:val="BodyText"/>
        <w:spacing w:line="312" w:lineRule="auto" w:before="79"/>
        <w:ind w:right="1127"/>
        <w:jc w:val="both"/>
      </w:pPr>
      <w:r>
        <w:rPr>
          <w:spacing w:val="-6"/>
        </w:rPr>
        <w:t>必然会迟滞基本医保保障水平的提高。从各地交由商保经办的大病保险来看，由于政府对其</w:t>
      </w:r>
      <w:r>
        <w:rPr>
          <w:spacing w:val="-9"/>
        </w:rPr>
        <w:t>监管更加严格，各家保险公司基本都处于勉强维持的状态。而商业保险费用高昂，主要用于</w:t>
      </w:r>
      <w:r>
        <w:rPr/>
        <w:t>满足多元化、个性化需求，“性价比”低于基本医保，在当前只能是少数群体使用。</w:t>
      </w:r>
    </w:p>
    <w:p>
      <w:pPr>
        <w:pStyle w:val="BodyText"/>
        <w:spacing w:line="312" w:lineRule="auto" w:before="1"/>
        <w:ind w:right="1027" w:firstLine="480"/>
      </w:pPr>
      <w:r>
        <w:rPr>
          <w:spacing w:val="-7"/>
        </w:rPr>
        <w:t>解决重大疾病保障的问题，既然基本医保和商保的优势与不足都很明显，有没有可能让</w:t>
      </w:r>
      <w:r>
        <w:rPr>
          <w:spacing w:val="-11"/>
        </w:rPr>
        <w:t>二者“取长补短”，走出一条中间道路呢？我认为，不妨在国家主导下，设立新的险种。老</w:t>
      </w:r>
      <w:r>
        <w:rPr>
          <w:spacing w:val="-12"/>
        </w:rPr>
        <w:t>百姓除了享有当前政府补贴的基本医保之外，如果有更高的医疗服务需求，比如保障癌症、</w:t>
      </w:r>
      <w:r>
        <w:rPr/>
        <w:t>罕见病等大病，可以额外付钱，形成独立于基本医保的额外保障。</w:t>
      </w:r>
    </w:p>
    <w:p>
      <w:pPr>
        <w:pStyle w:val="BodyText"/>
        <w:spacing w:line="312" w:lineRule="auto"/>
        <w:ind w:right="1127" w:firstLine="480"/>
        <w:jc w:val="both"/>
      </w:pPr>
      <w:r>
        <w:rPr>
          <w:spacing w:val="-7"/>
        </w:rPr>
        <w:t>但无论什么样的保障体系，药物经济学评估都是十分必要的。比如肿瘤治疗，不仅要看</w:t>
      </w:r>
      <w:r>
        <w:rPr>
          <w:spacing w:val="-9"/>
        </w:rPr>
        <w:t>药物增加的总生存期，还要看生存期内增加的费用。这两个数据不仅是药物纳入医保目录与</w:t>
      </w:r>
      <w:r>
        <w:rPr/>
        <w:t>否的重要参考，还应客观地告知患者，尊重患者和家属有充分的知情权和选择权。</w:t>
      </w:r>
    </w:p>
    <w:p>
      <w:pPr>
        <w:pStyle w:val="Heading8"/>
        <w:spacing w:before="1"/>
      </w:pPr>
      <w:r>
        <w:rPr/>
        <w:t>中国医科院肿瘤医院肿瘤内科教授袁芃：做好自己健康的第一责任人</w:t>
      </w:r>
    </w:p>
    <w:p>
      <w:pPr>
        <w:pStyle w:val="BodyText"/>
        <w:spacing w:line="312" w:lineRule="auto" w:before="93"/>
        <w:ind w:right="1026" w:firstLine="480"/>
      </w:pPr>
      <w:r>
        <w:rPr>
          <w:spacing w:val="-1"/>
        </w:rPr>
        <w:t>我是医生，也属于医保的受益人群。我认为当前要让大多数老百姓明白这样一个事实： </w:t>
      </w:r>
      <w:r>
        <w:rPr>
          <w:spacing w:val="-7"/>
        </w:rPr>
        <w:t>自己才是健康的第一责任人。要有足够的风险意识，做到未雨绸缪，不能期待基本医保解决所有的医疗问题。</w:t>
      </w:r>
    </w:p>
    <w:p>
      <w:pPr>
        <w:pStyle w:val="BodyText"/>
        <w:spacing w:line="312" w:lineRule="auto" w:before="1"/>
        <w:ind w:right="1026" w:firstLine="480"/>
      </w:pPr>
      <w:r>
        <w:rPr>
          <w:spacing w:val="-16"/>
        </w:rPr>
        <w:t>早在 </w:t>
      </w:r>
      <w:r>
        <w:rPr/>
        <w:t>20</w:t>
      </w:r>
      <w:r>
        <w:rPr>
          <w:spacing w:val="-9"/>
        </w:rPr>
        <w:t> 年前我就开始买商业医保了。那时候我一个月才挣 </w:t>
      </w:r>
      <w:r>
        <w:rPr/>
        <w:t>1000</w:t>
      </w:r>
      <w:r>
        <w:rPr>
          <w:spacing w:val="-12"/>
        </w:rPr>
        <w:t> 元，一年却要花 </w:t>
      </w:r>
      <w:r>
        <w:rPr/>
        <w:t>800 </w:t>
      </w:r>
      <w:r>
        <w:rPr>
          <w:spacing w:val="-8"/>
        </w:rPr>
        <w:t>元去买一份保额 </w:t>
      </w:r>
      <w:r>
        <w:rPr/>
        <w:t>30000</w:t>
      </w:r>
      <w:r>
        <w:rPr>
          <w:spacing w:val="-13"/>
        </w:rPr>
        <w:t> 元的保险。</w:t>
      </w:r>
      <w:r>
        <w:rPr/>
        <w:t>30000</w:t>
      </w:r>
      <w:r>
        <w:rPr>
          <w:spacing w:val="-10"/>
        </w:rPr>
        <w:t> 元的额度，当时我觉得够用了，得了大病不至于给</w:t>
      </w:r>
      <w:r>
        <w:rPr>
          <w:spacing w:val="-14"/>
        </w:rPr>
        <w:t>家里造成负担。但是今天看这 </w:t>
      </w:r>
      <w:r>
        <w:rPr/>
        <w:t>30000</w:t>
      </w:r>
      <w:r>
        <w:rPr>
          <w:spacing w:val="-9"/>
        </w:rPr>
        <w:t> 元远远不够。所以在去年我又买了一份消费型的保险，</w:t>
      </w:r>
    </w:p>
    <w:p>
      <w:pPr>
        <w:pStyle w:val="BodyText"/>
        <w:spacing w:before="1"/>
      </w:pPr>
      <w:r>
        <w:rPr>
          <w:spacing w:val="-20"/>
        </w:rPr>
        <w:t>保额 </w:t>
      </w:r>
      <w:r>
        <w:rPr/>
        <w:t>700</w:t>
      </w:r>
      <w:r>
        <w:rPr>
          <w:spacing w:val="-8"/>
        </w:rPr>
        <w:t> 万元，终身没有上限。很多人觉得很奇怪：看病怎么会用得着那么多钱？我认为，</w:t>
      </w:r>
    </w:p>
    <w:p>
      <w:pPr>
        <w:pStyle w:val="BodyText"/>
        <w:spacing w:before="93"/>
      </w:pPr>
      <w:r>
        <w:rPr/>
        <w:t>20 年前看病 30000 元就已经够了，可是现在治疗大病可能甚至要花掉 200 万元。等真到了</w:t>
      </w:r>
    </w:p>
    <w:p>
      <w:pPr>
        <w:pStyle w:val="BodyText"/>
        <w:spacing w:before="91"/>
      </w:pPr>
      <w:r>
        <w:rPr/>
        <w:t>我生病的时候，也许就要 1000 万元了。所以 700 万元保障额度并不算离谱。</w:t>
      </w:r>
    </w:p>
    <w:p>
      <w:pPr>
        <w:pStyle w:val="BodyText"/>
        <w:spacing w:line="252" w:lineRule="auto" w:before="93"/>
        <w:ind w:right="1027" w:firstLine="480"/>
        <w:rPr>
          <w:rFonts w:ascii="微软雅黑" w:eastAsia="微软雅黑" w:hint="eastAsia"/>
          <w:b/>
        </w:rPr>
      </w:pPr>
      <w:r>
        <w:rPr/>
        <w:t>人要趁着健康的时候早做规划，积极的控制未来可能发生的健康风险。有备才能无患， </w:t>
      </w:r>
      <w:r>
        <w:rPr>
          <w:w w:val="110"/>
        </w:rPr>
        <w:t>购买商业医保是一个选择。</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Heading4"/>
        <w:spacing w:before="100"/>
        <w:ind w:left="637"/>
      </w:pPr>
      <w:r>
        <w:rPr/>
        <w:t>【药监动态】</w:t>
      </w:r>
    </w:p>
    <w:p>
      <w:pPr>
        <w:pStyle w:val="BodyText"/>
        <w:ind w:left="0"/>
        <w:rPr>
          <w:b/>
        </w:rPr>
      </w:pPr>
    </w:p>
    <w:p>
      <w:pPr>
        <w:pStyle w:val="BodyText"/>
        <w:tabs>
          <w:tab w:pos="1680" w:val="left" w:leader="none"/>
        </w:tabs>
        <w:spacing w:before="67"/>
        <w:ind w:left="0" w:right="494"/>
        <w:jc w:val="center"/>
      </w:pPr>
      <w:r>
        <w:rPr/>
        <w:t>审评提质增效</w:t>
        <w:tab/>
        <w:t>满足临床需求</w:t>
      </w:r>
    </w:p>
    <w:p>
      <w:pPr>
        <w:pStyle w:val="Heading4"/>
        <w:spacing w:before="150"/>
        <w:ind w:right="493"/>
        <w:jc w:val="center"/>
      </w:pPr>
      <w:r>
        <w:rPr/>
        <w:t>《2018 年度药品审评报告》发布</w:t>
      </w:r>
    </w:p>
    <w:p>
      <w:pPr>
        <w:pStyle w:val="Heading8"/>
        <w:spacing w:before="145"/>
        <w:ind w:left="0" w:right="11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1128" w:firstLine="480"/>
        <w:jc w:val="both"/>
      </w:pPr>
      <w:r>
        <w:rPr/>
        <w:t>7</w:t>
      </w:r>
      <w:r>
        <w:rPr>
          <w:spacing w:val="-41"/>
        </w:rPr>
        <w:t> 月 </w:t>
      </w:r>
      <w:r>
        <w:rPr/>
        <w:t>1</w:t>
      </w:r>
      <w:r>
        <w:rPr>
          <w:spacing w:val="-13"/>
        </w:rPr>
        <w:t> 日，国家药品监管局发布《</w:t>
      </w:r>
      <w:r>
        <w:rPr/>
        <w:t>2018</w:t>
      </w:r>
      <w:r>
        <w:rPr>
          <w:spacing w:val="-15"/>
        </w:rPr>
        <w:t> 年度药品审评报告》</w:t>
      </w:r>
      <w:r>
        <w:rPr/>
        <w:t>（</w:t>
      </w:r>
      <w:r>
        <w:rPr>
          <w:spacing w:val="-11"/>
        </w:rPr>
        <w:t>以下简称《报告》</w:t>
      </w:r>
      <w:r>
        <w:rPr>
          <w:spacing w:val="-39"/>
        </w:rPr>
        <w:t>）</w:t>
      </w:r>
      <w:r>
        <w:rPr>
          <w:spacing w:val="-26"/>
        </w:rPr>
        <w:t>。《报告》显示，2018</w:t>
      </w:r>
      <w:r>
        <w:rPr>
          <w:spacing w:val="-8"/>
        </w:rPr>
        <w:t> 年我国药品审评审批制度改革成效显著，新药上市跑出加速度，人民群众</w:t>
      </w:r>
      <w:r>
        <w:rPr>
          <w:spacing w:val="-10"/>
        </w:rPr>
        <w:t>用药需求得到更好保障。国家药监局药品审评中心</w:t>
      </w:r>
      <w:r>
        <w:rPr/>
        <w:t>（以下简称药审中心</w:t>
      </w:r>
      <w:r>
        <w:rPr>
          <w:spacing w:val="-15"/>
        </w:rPr>
        <w:t>）</w:t>
      </w:r>
      <w:r>
        <w:rPr>
          <w:spacing w:val="-9"/>
        </w:rPr>
        <w:t>全年审评通过 </w:t>
      </w:r>
      <w:r>
        <w:rPr>
          <w:spacing w:val="-5"/>
        </w:rPr>
        <w:t>106</w:t>
      </w:r>
    </w:p>
    <w:p>
      <w:pPr>
        <w:pStyle w:val="BodyText"/>
        <w:tabs>
          <w:tab w:pos="3997" w:val="left" w:leader="none"/>
        </w:tabs>
        <w:spacing w:line="304" w:lineRule="exact"/>
      </w:pPr>
      <w:r>
        <w:rPr/>
        <w:t>个新药（按品种统计），包含</w:t>
        <w:tab/>
        <w:t>2</w:t>
      </w:r>
      <w:r>
        <w:rPr>
          <w:spacing w:val="-60"/>
        </w:rPr>
        <w:t> </w:t>
      </w:r>
      <w:r>
        <w:rPr/>
        <w:t>个新中药复方制剂、9</w:t>
      </w:r>
      <w:r>
        <w:rPr>
          <w:spacing w:val="-60"/>
        </w:rPr>
        <w:t> </w:t>
      </w:r>
      <w:r>
        <w:rPr/>
        <w:t>个</w:t>
      </w:r>
      <w:r>
        <w:rPr>
          <w:spacing w:val="-60"/>
        </w:rPr>
        <w:t> </w:t>
      </w:r>
      <w:r>
        <w:rPr/>
        <w:t>1</w:t>
      </w:r>
      <w:r>
        <w:rPr>
          <w:spacing w:val="-60"/>
        </w:rPr>
        <w:t> </w:t>
      </w:r>
      <w:r>
        <w:rPr/>
        <w:t>类创新药和</w:t>
      </w:r>
      <w:r>
        <w:rPr>
          <w:spacing w:val="-60"/>
        </w:rPr>
        <w:t> </w:t>
      </w:r>
      <w:r>
        <w:rPr/>
        <w:t>67</w:t>
      </w:r>
      <w:r>
        <w:rPr>
          <w:spacing w:val="-60"/>
        </w:rPr>
        <w:t> </w:t>
      </w:r>
      <w:r>
        <w:rPr/>
        <w:t>个进口原研药；</w:t>
      </w:r>
    </w:p>
    <w:p>
      <w:pPr>
        <w:pStyle w:val="BodyText"/>
        <w:spacing w:before="74"/>
      </w:pPr>
      <w:r>
        <w:rPr/>
        <w:t>313</w:t>
      </w:r>
      <w:r>
        <w:rPr>
          <w:spacing w:val="-13"/>
        </w:rPr>
        <w:t> 件药品注册申请被纳入优先审评程序，其中 </w:t>
      </w:r>
      <w:r>
        <w:rPr/>
        <w:t>83</w:t>
      </w:r>
      <w:r>
        <w:rPr>
          <w:spacing w:val="-8"/>
        </w:rPr>
        <w:t> 个品种通过优先审评程序加速获批上市；</w:t>
      </w:r>
    </w:p>
    <w:p>
      <w:pPr>
        <w:pStyle w:val="BodyText"/>
        <w:spacing w:line="295" w:lineRule="auto" w:before="72"/>
        <w:ind w:right="1128"/>
      </w:pPr>
      <w:r>
        <w:rPr/>
        <w:t>57</w:t>
      </w:r>
      <w:r>
        <w:rPr>
          <w:spacing w:val="-12"/>
        </w:rPr>
        <w:t> 个品种通过口服固体制剂仿制药质量和疗效一致性评价；第一批遴选的 </w:t>
      </w:r>
      <w:r>
        <w:rPr/>
        <w:t>48</w:t>
      </w:r>
      <w:r>
        <w:rPr>
          <w:spacing w:val="-11"/>
        </w:rPr>
        <w:t> 个临床急需境</w:t>
      </w:r>
      <w:r>
        <w:rPr/>
        <w:t>外新药中，10</w:t>
      </w:r>
      <w:r>
        <w:rPr>
          <w:spacing w:val="-8"/>
        </w:rPr>
        <w:t> 个品种已获批上市。</w:t>
      </w:r>
    </w:p>
    <w:p>
      <w:pPr>
        <w:pStyle w:val="Heading8"/>
        <w:spacing w:before="4"/>
      </w:pPr>
      <w:r>
        <w:rPr/>
        <w:t>药审改革持续深化</w:t>
      </w:r>
    </w:p>
    <w:p>
      <w:pPr>
        <w:spacing w:after="0"/>
        <w:sectPr>
          <w:pgSz w:w="11910" w:h="16850"/>
          <w:pgMar w:header="906" w:footer="607" w:top="1100" w:bottom="800" w:left="640" w:right="0"/>
        </w:sectPr>
      </w:pPr>
    </w:p>
    <w:p>
      <w:pPr>
        <w:pStyle w:val="BodyText"/>
        <w:spacing w:line="295" w:lineRule="auto" w:before="65"/>
        <w:ind w:right="1127" w:firstLine="480"/>
      </w:pPr>
      <w:r>
        <w:rPr>
          <w:spacing w:val="-9"/>
        </w:rPr>
        <w:t>为更好满足临床需求，国家药监部门持续深化药品审评审批制度改革，确保各项改革任</w:t>
      </w:r>
      <w:r>
        <w:rPr/>
        <w:t>务落到实处。</w:t>
      </w:r>
    </w:p>
    <w:p>
      <w:pPr>
        <w:pStyle w:val="BodyText"/>
        <w:spacing w:line="297" w:lineRule="auto" w:before="2"/>
        <w:ind w:right="1129" w:firstLine="480"/>
        <w:jc w:val="both"/>
      </w:pPr>
      <w:r>
        <w:rPr>
          <w:spacing w:val="-4"/>
        </w:rPr>
        <w:t>根据《报告》，</w:t>
      </w:r>
      <w:r>
        <w:rPr/>
        <w:t>2018</w:t>
      </w:r>
      <w:r>
        <w:rPr>
          <w:spacing w:val="-17"/>
        </w:rPr>
        <w:t> 年，药审中心对 </w:t>
      </w:r>
      <w:r>
        <w:rPr/>
        <w:t>2007</w:t>
      </w:r>
      <w:r>
        <w:rPr>
          <w:spacing w:val="-8"/>
        </w:rPr>
        <w:t> 年以来在美国、欧盟、日本批准上市，但尚</w:t>
      </w:r>
      <w:r>
        <w:rPr>
          <w:spacing w:val="-10"/>
        </w:rPr>
        <w:t>未在我国境内上市的新药进行梳理，组织专家遴选出第一批 </w:t>
      </w:r>
      <w:r>
        <w:rPr/>
        <w:t>48</w:t>
      </w:r>
      <w:r>
        <w:rPr>
          <w:spacing w:val="-8"/>
        </w:rPr>
        <w:t> 个临床急需境外新药，纳入专门通道加快审评，多措并举，加大对申请人的服务和指导。目前，48 个境外新药中已有17</w:t>
      </w:r>
      <w:r>
        <w:rPr>
          <w:spacing w:val="-9"/>
        </w:rPr>
        <w:t> 个品种被受理，</w:t>
      </w:r>
      <w:r>
        <w:rPr/>
        <w:t>10</w:t>
      </w:r>
      <w:r>
        <w:rPr>
          <w:spacing w:val="-8"/>
        </w:rPr>
        <w:t> 个品种已获批上市</w:t>
      </w:r>
      <w:r>
        <w:rPr/>
        <w:t>，7</w:t>
      </w:r>
      <w:r>
        <w:rPr>
          <w:spacing w:val="-8"/>
        </w:rPr>
        <w:t> 个品种正在技术审评阶段。</w:t>
      </w:r>
    </w:p>
    <w:p>
      <w:pPr>
        <w:pStyle w:val="BodyText"/>
        <w:spacing w:line="295" w:lineRule="auto"/>
        <w:ind w:right="1130" w:firstLine="480"/>
      </w:pPr>
      <w:r>
        <w:rPr>
          <w:spacing w:val="-8"/>
        </w:rPr>
        <w:t>为使更多新药能够及早进入临床试验，药审中心制定了临床试验默示许可审评审批工作</w:t>
      </w:r>
      <w:r>
        <w:rPr/>
        <w:t>程序，大幅减少临床试验审评用时，在保证审评质量的同时，提升审评速度。</w:t>
      </w:r>
    </w:p>
    <w:p>
      <w:pPr>
        <w:pStyle w:val="BodyText"/>
        <w:spacing w:line="297" w:lineRule="auto"/>
        <w:ind w:right="1027" w:firstLine="480"/>
      </w:pPr>
      <w:r>
        <w:rPr>
          <w:spacing w:val="-10"/>
        </w:rPr>
        <w:t>同时，药审中心还进一步深化、细化适应证团队、优先审评、沟通交流、立卷审查制度</w:t>
      </w:r>
      <w:r>
        <w:rPr>
          <w:spacing w:val="-11"/>
        </w:rPr>
        <w:t>等工作，实行原辅包与制剂共同审评审批，运行上市药品目录集系统，改革临床试验管理， </w:t>
      </w:r>
      <w:r>
        <w:rPr/>
        <w:t>探索开展合规工作。</w:t>
      </w:r>
    </w:p>
    <w:p>
      <w:pPr>
        <w:pStyle w:val="Heading8"/>
        <w:spacing w:line="304" w:lineRule="exact"/>
      </w:pPr>
      <w:r>
        <w:rPr/>
        <w:t>注册申请受理量增长</w:t>
      </w:r>
    </w:p>
    <w:p>
      <w:pPr>
        <w:pStyle w:val="BodyText"/>
        <w:spacing w:line="297" w:lineRule="auto" w:before="72"/>
        <w:ind w:right="1127" w:firstLine="480"/>
      </w:pPr>
      <w:r>
        <w:rPr>
          <w:spacing w:val="-3"/>
        </w:rPr>
        <w:t>《报告》显示，</w:t>
      </w:r>
      <w:r>
        <w:rPr/>
        <w:t>2018</w:t>
      </w:r>
      <w:r>
        <w:rPr>
          <w:spacing w:val="-13"/>
        </w:rPr>
        <w:t> 年，药审中心受理新注册申请共 </w:t>
      </w:r>
      <w:r>
        <w:rPr/>
        <w:t>7336</w:t>
      </w:r>
      <w:r>
        <w:rPr>
          <w:spacing w:val="-10"/>
        </w:rPr>
        <w:t> 件，其中需技术审评的注册</w:t>
      </w:r>
      <w:r>
        <w:rPr>
          <w:spacing w:val="-20"/>
        </w:rPr>
        <w:t>申请 </w:t>
      </w:r>
      <w:r>
        <w:rPr/>
        <w:t>5574</w:t>
      </w:r>
      <w:r>
        <w:rPr>
          <w:spacing w:val="-15"/>
        </w:rPr>
        <w:t> 件，直接行政审批</w:t>
      </w:r>
      <w:r>
        <w:rPr/>
        <w:t>（无需技术审评</w:t>
      </w:r>
      <w:r>
        <w:rPr>
          <w:spacing w:val="-27"/>
        </w:rPr>
        <w:t>）</w:t>
      </w:r>
      <w:r>
        <w:rPr>
          <w:spacing w:val="-10"/>
        </w:rPr>
        <w:t>的注册申请 </w:t>
      </w:r>
      <w:r>
        <w:rPr/>
        <w:t>1762</w:t>
      </w:r>
      <w:r>
        <w:rPr>
          <w:spacing w:val="-10"/>
        </w:rPr>
        <w:t> 件。需技术审评的注册申请</w:t>
      </w:r>
      <w:r>
        <w:rPr>
          <w:spacing w:val="-18"/>
        </w:rPr>
        <w:t>任务受理量较 </w:t>
      </w:r>
      <w:r>
        <w:rPr/>
        <w:t>2017</w:t>
      </w:r>
      <w:r>
        <w:rPr>
          <w:spacing w:val="-20"/>
        </w:rPr>
        <w:t> 年增长了 </w:t>
      </w:r>
      <w:r>
        <w:rPr/>
        <w:t>47%，且中药、化学药和生物制品各类药品注册申请任务受理量均有较大幅度增长。</w:t>
      </w:r>
    </w:p>
    <w:p>
      <w:pPr>
        <w:pStyle w:val="BodyText"/>
        <w:spacing w:line="297" w:lineRule="auto"/>
        <w:ind w:right="1126" w:firstLine="480"/>
        <w:jc w:val="both"/>
      </w:pPr>
      <w:r>
        <w:rPr>
          <w:spacing w:val="-4"/>
        </w:rPr>
        <w:t>但注册申请审评用时明显下降。至 </w:t>
      </w:r>
      <w:r>
        <w:rPr/>
        <w:t>2018</w:t>
      </w:r>
      <w:r>
        <w:rPr>
          <w:spacing w:val="-8"/>
        </w:rPr>
        <w:t> 年底，药审中心实现中药、化学药、生物制品</w:t>
      </w:r>
      <w:r>
        <w:rPr>
          <w:spacing w:val="-12"/>
        </w:rPr>
        <w:t>各类注册申请按时限审评审批率超过 </w:t>
      </w:r>
      <w:r>
        <w:rPr/>
        <w:t>90%</w:t>
      </w:r>
      <w:r>
        <w:rPr>
          <w:spacing w:val="-4"/>
        </w:rPr>
        <w:t>。全年完成审评审批的注册申请共 </w:t>
      </w:r>
      <w:r>
        <w:rPr/>
        <w:t>9796</w:t>
      </w:r>
      <w:r>
        <w:rPr>
          <w:spacing w:val="-12"/>
        </w:rPr>
        <w:t> 件，其中</w:t>
      </w:r>
      <w:r>
        <w:rPr>
          <w:spacing w:val="-16"/>
        </w:rPr>
        <w:t>完成需技术审评的注册申请 </w:t>
      </w:r>
      <w:r>
        <w:rPr/>
        <w:t>7988</w:t>
      </w:r>
      <w:r>
        <w:rPr>
          <w:spacing w:val="-15"/>
        </w:rPr>
        <w:t> 件；无需技术审评的直接行政审批任务 </w:t>
      </w:r>
      <w:r>
        <w:rPr/>
        <w:t>1808</w:t>
      </w:r>
      <w:r>
        <w:rPr>
          <w:spacing w:val="-20"/>
        </w:rPr>
        <w:t> 件，平均审批</w:t>
      </w:r>
    </w:p>
    <w:p>
      <w:pPr>
        <w:pStyle w:val="BodyText"/>
        <w:spacing w:line="304" w:lineRule="exact"/>
        <w:jc w:val="both"/>
      </w:pPr>
      <w:r>
        <w:rPr/>
        <w:t>时限为 12.3 个工作日，小于法定的 20 个工作日的行政审批时限。</w:t>
      </w:r>
    </w:p>
    <w:p>
      <w:pPr>
        <w:pStyle w:val="BodyText"/>
        <w:spacing w:line="297" w:lineRule="auto" w:before="66"/>
        <w:ind w:right="1127" w:firstLine="480"/>
        <w:jc w:val="both"/>
      </w:pPr>
      <w:r>
        <w:rPr>
          <w:spacing w:val="-4"/>
        </w:rPr>
        <w:t>排队等待审评审批的注册申请已由 </w:t>
      </w:r>
      <w:r>
        <w:rPr/>
        <w:t>2015</w:t>
      </w:r>
      <w:r>
        <w:rPr>
          <w:spacing w:val="-40"/>
        </w:rPr>
        <w:t> 年 </w:t>
      </w:r>
      <w:r>
        <w:rPr/>
        <w:t>9</w:t>
      </w:r>
      <w:r>
        <w:rPr>
          <w:spacing w:val="-16"/>
        </w:rPr>
        <w:t> 月高峰时的近 </w:t>
      </w:r>
      <w:r>
        <w:rPr/>
        <w:t>22000</w:t>
      </w:r>
      <w:r>
        <w:rPr>
          <w:spacing w:val="-24"/>
        </w:rPr>
        <w:t> 件降至 </w:t>
      </w:r>
      <w:r>
        <w:rPr/>
        <w:t>3440</w:t>
      </w:r>
      <w:r>
        <w:rPr>
          <w:spacing w:val="-37"/>
        </w:rPr>
        <w:t> 件，进一</w:t>
      </w:r>
      <w:r>
        <w:rPr>
          <w:spacing w:val="-8"/>
        </w:rPr>
        <w:t>步巩固了解决注册申请积压的成效，基本完成国务院《关于改革药品医疗器械审评审批制度</w:t>
      </w:r>
      <w:r>
        <w:rPr/>
        <w:t>的意见》确定的“2018</w:t>
      </w:r>
      <w:r>
        <w:rPr>
          <w:spacing w:val="-8"/>
        </w:rPr>
        <w:t> 年实现按规定时限审批”的工作目标。</w:t>
      </w:r>
    </w:p>
    <w:p>
      <w:pPr>
        <w:pStyle w:val="Heading8"/>
        <w:spacing w:line="304" w:lineRule="exact"/>
      </w:pPr>
      <w:r>
        <w:rPr/>
        <w:t>研发创新态势明显</w:t>
      </w:r>
    </w:p>
    <w:p>
      <w:pPr>
        <w:pStyle w:val="BodyText"/>
        <w:spacing w:before="74"/>
        <w:ind w:left="1117"/>
      </w:pPr>
      <w:r>
        <w:rPr/>
        <w:t>受益于药审改革加速，2018 年创新药注册申请数量大幅增长，药品研发创新态势明显。</w:t>
      </w:r>
    </w:p>
    <w:p>
      <w:pPr>
        <w:pStyle w:val="BodyText"/>
        <w:spacing w:before="72"/>
      </w:pPr>
      <w:r>
        <w:rPr/>
        <w:t>《报告》显示，药审中心 2018 全年受理 1 类创新药注册申请 264 个品种（化学药的品种数</w:t>
      </w:r>
    </w:p>
    <w:p>
      <w:pPr>
        <w:pStyle w:val="BodyText"/>
        <w:spacing w:line="297" w:lineRule="auto" w:before="72"/>
        <w:ind w:right="1025"/>
      </w:pPr>
      <w:r>
        <w:rPr>
          <w:spacing w:val="-7"/>
        </w:rPr>
        <w:t>以活性成分统计，共 </w:t>
      </w:r>
      <w:r>
        <w:rPr/>
        <w:t>157</w:t>
      </w:r>
      <w:r>
        <w:rPr>
          <w:spacing w:val="-10"/>
        </w:rPr>
        <w:t> 个；中药和生物制品的品种数均以药品通用名称统计，中药 </w:t>
      </w:r>
      <w:r>
        <w:rPr/>
        <w:t>1</w:t>
      </w:r>
      <w:r>
        <w:rPr>
          <w:spacing w:val="-26"/>
        </w:rPr>
        <w:t> 个、</w:t>
      </w:r>
      <w:r>
        <w:rPr>
          <w:spacing w:val="-13"/>
        </w:rPr>
        <w:t>生物制品 </w:t>
      </w:r>
      <w:r>
        <w:rPr/>
        <w:t>106</w:t>
      </w:r>
      <w:r>
        <w:rPr>
          <w:spacing w:val="-30"/>
        </w:rPr>
        <w:t> 个</w:t>
      </w:r>
      <w:r>
        <w:rPr/>
        <w:t>），</w:t>
      </w:r>
      <w:r>
        <w:rPr>
          <w:spacing w:val="-30"/>
        </w:rPr>
        <w:t>较 </w:t>
      </w:r>
      <w:r>
        <w:rPr/>
        <w:t>2017</w:t>
      </w:r>
      <w:r>
        <w:rPr>
          <w:spacing w:val="-20"/>
        </w:rPr>
        <w:t> 年增长了 </w:t>
      </w:r>
      <w:r>
        <w:rPr/>
        <w:t>21%。其中，1</w:t>
      </w:r>
      <w:r>
        <w:rPr>
          <w:spacing w:val="-8"/>
        </w:rPr>
        <w:t> 类创新药的新药临床试验</w:t>
      </w:r>
      <w:r>
        <w:rPr/>
        <w:t>（IND）申请</w:t>
      </w:r>
      <w:r>
        <w:rPr>
          <w:spacing w:val="-30"/>
        </w:rPr>
        <w:t>有 </w:t>
      </w:r>
      <w:r>
        <w:rPr/>
        <w:t>239</w:t>
      </w:r>
      <w:r>
        <w:rPr>
          <w:spacing w:val="-22"/>
        </w:rPr>
        <w:t> 个品种，较 </w:t>
      </w:r>
      <w:r>
        <w:rPr/>
        <w:t>2017</w:t>
      </w:r>
      <w:r>
        <w:rPr>
          <w:spacing w:val="-20"/>
        </w:rPr>
        <w:t> 年增长了 </w:t>
      </w:r>
      <w:r>
        <w:rPr>
          <w:spacing w:val="-5"/>
        </w:rPr>
        <w:t>15%；1</w:t>
      </w:r>
      <w:r>
        <w:rPr>
          <w:spacing w:val="-10"/>
        </w:rPr>
        <w:t> 类创新药的新药上市申请</w:t>
      </w:r>
      <w:r>
        <w:rPr>
          <w:spacing w:val="-5"/>
        </w:rPr>
        <w:t>（NDA）</w:t>
      </w:r>
      <w:r>
        <w:rPr>
          <w:spacing w:val="-30"/>
        </w:rPr>
        <w:t>有 </w:t>
      </w:r>
      <w:r>
        <w:rPr/>
        <w:t>25</w:t>
      </w:r>
      <w:r>
        <w:rPr>
          <w:spacing w:val="-15"/>
        </w:rPr>
        <w:t> 个品种，包</w:t>
      </w:r>
      <w:r>
        <w:rPr>
          <w:spacing w:val="-38"/>
        </w:rPr>
        <w:t>括 </w:t>
      </w:r>
      <w:r>
        <w:rPr/>
        <w:t>16</w:t>
      </w:r>
      <w:r>
        <w:rPr>
          <w:spacing w:val="-9"/>
        </w:rPr>
        <w:t> 个化学药品、</w:t>
      </w:r>
      <w:r>
        <w:rPr/>
        <w:t>9</w:t>
      </w:r>
      <w:r>
        <w:rPr>
          <w:spacing w:val="-14"/>
        </w:rPr>
        <w:t> 个生物制品，较 </w:t>
      </w:r>
      <w:r>
        <w:rPr/>
        <w:t>2017</w:t>
      </w:r>
      <w:r>
        <w:rPr>
          <w:spacing w:val="-20"/>
        </w:rPr>
        <w:t> 年增长了 </w:t>
      </w:r>
      <w:r>
        <w:rPr/>
        <w:t>150%。</w:t>
      </w:r>
    </w:p>
    <w:p>
      <w:pPr>
        <w:pStyle w:val="BodyText"/>
        <w:spacing w:line="295" w:lineRule="auto"/>
        <w:ind w:right="1127" w:firstLine="480"/>
      </w:pPr>
      <w:r>
        <w:rPr>
          <w:spacing w:val="-12"/>
        </w:rPr>
        <w:t>值得注意的是，在 </w:t>
      </w:r>
      <w:r>
        <w:rPr/>
        <w:t>264</w:t>
      </w:r>
      <w:r>
        <w:rPr>
          <w:spacing w:val="-40"/>
        </w:rPr>
        <w:t> 个 </w:t>
      </w:r>
      <w:r>
        <w:rPr/>
        <w:t>1</w:t>
      </w:r>
      <w:r>
        <w:rPr>
          <w:spacing w:val="-14"/>
        </w:rPr>
        <w:t> 类创新药注册申请品种中，有 </w:t>
      </w:r>
      <w:r>
        <w:rPr/>
        <w:t>222</w:t>
      </w:r>
      <w:r>
        <w:rPr>
          <w:spacing w:val="-12"/>
        </w:rPr>
        <w:t> 个品种来自国内企业，适</w:t>
      </w:r>
      <w:r>
        <w:rPr/>
        <w:t>应证主要集中在抗肿瘤、内分泌系统和消化系统领域；42</w:t>
      </w:r>
      <w:r>
        <w:rPr>
          <w:spacing w:val="-8"/>
        </w:rPr>
        <w:t> 个品种为进口药，适应证主要集中在抗肿瘤、循环系统和消化系统领域。</w:t>
      </w:r>
    </w:p>
    <w:p>
      <w:pPr>
        <w:pStyle w:val="Heading8"/>
        <w:spacing w:before="2"/>
      </w:pPr>
      <w:r>
        <w:rPr/>
        <w:t>新药上市进程加快</w:t>
      </w:r>
    </w:p>
    <w:p>
      <w:pPr>
        <w:pStyle w:val="BodyText"/>
        <w:spacing w:line="297" w:lineRule="auto" w:before="72"/>
        <w:ind w:right="1127" w:firstLine="480"/>
        <w:jc w:val="both"/>
      </w:pPr>
      <w:r>
        <w:rPr>
          <w:spacing w:val="-8"/>
        </w:rPr>
        <w:t>通过实施优先审评程序、临床试验默示许可制，以及加强与申请人沟通交流等措施，药</w:t>
      </w:r>
      <w:r>
        <w:rPr>
          <w:spacing w:val="-13"/>
        </w:rPr>
        <w:t>审中心在 </w:t>
      </w:r>
      <w:r>
        <w:rPr/>
        <w:t>2018</w:t>
      </w:r>
      <w:r>
        <w:rPr>
          <w:spacing w:val="-8"/>
        </w:rPr>
        <w:t> 年审评通过一批具有明显临床价值、临床急需的新药好药，建议批准上市， 为患者提供了更多用药选择。</w:t>
      </w:r>
    </w:p>
    <w:p>
      <w:pPr>
        <w:spacing w:after="0" w:line="297" w:lineRule="auto"/>
        <w:jc w:val="both"/>
        <w:sectPr>
          <w:pgSz w:w="11910" w:h="16850"/>
          <w:pgMar w:header="906" w:footer="607" w:top="1100" w:bottom="800" w:left="640" w:right="0"/>
        </w:sectPr>
      </w:pPr>
    </w:p>
    <w:p>
      <w:pPr>
        <w:pStyle w:val="BodyText"/>
        <w:tabs>
          <w:tab w:pos="8349" w:val="left" w:leader="none"/>
        </w:tabs>
        <w:spacing w:line="295" w:lineRule="auto" w:before="65"/>
        <w:ind w:right="1128" w:firstLine="480"/>
      </w:pPr>
      <w:r>
        <w:rPr/>
        <w:t>《报告》显示，药审中心全年审评通过新药上市（NDA</w:t>
      </w:r>
      <w:r>
        <w:rPr>
          <w:spacing w:val="-60"/>
        </w:rPr>
        <w:t> </w:t>
      </w:r>
      <w:r>
        <w:rPr/>
        <w:t>及</w:t>
      </w:r>
      <w:r>
        <w:rPr>
          <w:spacing w:val="-60"/>
        </w:rPr>
        <w:t> </w:t>
      </w:r>
      <w:r>
        <w:rPr/>
        <w:t>IND</w:t>
      </w:r>
      <w:r>
        <w:rPr>
          <w:spacing w:val="-60"/>
        </w:rPr>
        <w:t> </w:t>
      </w:r>
      <w:r>
        <w:rPr/>
        <w:t>直接批产）106</w:t>
      </w:r>
      <w:r>
        <w:rPr>
          <w:spacing w:val="-60"/>
        </w:rPr>
        <w:t> </w:t>
      </w:r>
      <w:r>
        <w:rPr/>
        <w:t>个，包含关黄母颗粒</w:t>
      </w:r>
      <w:r>
        <w:rPr>
          <w:spacing w:val="-15"/>
        </w:rPr>
        <w:t>、</w:t>
      </w:r>
      <w:r>
        <w:rPr/>
        <w:t>金蓉颗粒</w:t>
      </w:r>
      <w:r>
        <w:rPr>
          <w:spacing w:val="-60"/>
        </w:rPr>
        <w:t> </w:t>
      </w:r>
      <w:r>
        <w:rPr/>
        <w:t>2</w:t>
      </w:r>
      <w:r>
        <w:rPr>
          <w:spacing w:val="-60"/>
        </w:rPr>
        <w:t> </w:t>
      </w:r>
      <w:r>
        <w:rPr/>
        <w:t>个新中药复方制剂</w:t>
      </w:r>
      <w:r>
        <w:rPr>
          <w:spacing w:val="-15"/>
        </w:rPr>
        <w:t>，</w:t>
      </w:r>
      <w:r>
        <w:rPr/>
        <w:t>以及</w:t>
      </w:r>
      <w:r>
        <w:rPr>
          <w:spacing w:val="-60"/>
        </w:rPr>
        <w:t> </w:t>
      </w:r>
      <w:r>
        <w:rPr/>
        <w:t>9</w:t>
      </w:r>
      <w:r>
        <w:rPr>
          <w:spacing w:val="-60"/>
        </w:rPr>
        <w:t> </w:t>
      </w:r>
      <w:r>
        <w:rPr/>
        <w:t>个</w:t>
      </w:r>
      <w:r>
        <w:rPr>
          <w:spacing w:val="-60"/>
        </w:rPr>
        <w:t> </w:t>
      </w:r>
      <w:r>
        <w:rPr/>
        <w:t>1</w:t>
      </w:r>
      <w:r>
        <w:rPr>
          <w:spacing w:val="-60"/>
        </w:rPr>
        <w:t> </w:t>
      </w:r>
      <w:r>
        <w:rPr/>
        <w:t>类创新药和</w:t>
      </w:r>
      <w:r>
        <w:rPr>
          <w:spacing w:val="-60"/>
        </w:rPr>
        <w:t> </w:t>
      </w:r>
      <w:r>
        <w:rPr/>
        <w:t>67</w:t>
        <w:tab/>
        <w:t>个进口原研药</w:t>
      </w:r>
      <w:r>
        <w:rPr>
          <w:spacing w:val="-15"/>
        </w:rPr>
        <w:t>。</w:t>
      </w:r>
      <w:r>
        <w:rPr>
          <w:spacing w:val="-16"/>
        </w:rPr>
        <w:t>9</w:t>
      </w:r>
    </w:p>
    <w:p>
      <w:pPr>
        <w:pStyle w:val="BodyText"/>
        <w:spacing w:before="2"/>
      </w:pPr>
      <w:r>
        <w:rPr/>
        <w:t>个 1 类创新药全部为我国自主创新药品，且以抗癌药、抗病毒药居多，分别是呋喹替尼胶囊、</w:t>
      </w:r>
    </w:p>
    <w:p>
      <w:pPr>
        <w:pStyle w:val="BodyText"/>
        <w:spacing w:line="295" w:lineRule="auto" w:before="74"/>
        <w:ind w:right="1006"/>
      </w:pPr>
      <w:r>
        <w:rPr>
          <w:spacing w:val="-7"/>
        </w:rPr>
        <w:t>罗沙司他胶囊、马来酸吡咯替尼片、盐酸安罗替尼胶囊、达诺瑞韦钠片、注射用艾博韦泰 </w:t>
      </w:r>
      <w:r>
        <w:rPr/>
        <w:t>6 </w:t>
      </w:r>
      <w:r>
        <w:rPr>
          <w:spacing w:val="-10"/>
        </w:rPr>
        <w:t>个化学新分子实体药物，特瑞普利单抗注射液、信迪利单抗注射液 </w:t>
      </w:r>
      <w:r>
        <w:rPr/>
        <w:t>2</w:t>
      </w:r>
      <w:r>
        <w:rPr>
          <w:spacing w:val="-30"/>
        </w:rPr>
        <w:t> 个抗 </w:t>
      </w:r>
      <w:r>
        <w:rPr/>
        <w:t>PD-1</w:t>
      </w:r>
      <w:r>
        <w:rPr>
          <w:spacing w:val="-11"/>
        </w:rPr>
        <w:t> 单克隆抗体， </w:t>
      </w:r>
      <w:r>
        <w:rPr/>
        <w:t>以及重组细胞因子基因衍生蛋白注射液。</w:t>
      </w:r>
    </w:p>
    <w:p>
      <w:pPr>
        <w:pStyle w:val="BodyText"/>
        <w:spacing w:line="295" w:lineRule="auto" w:before="5"/>
        <w:ind w:right="1129" w:firstLine="480"/>
        <w:jc w:val="both"/>
      </w:pPr>
      <w:r>
        <w:rPr/>
        <w:t>根据《关于鼓励药品创新实行优先审评审批的意见》，2018</w:t>
      </w:r>
      <w:r>
        <w:rPr>
          <w:spacing w:val="-30"/>
        </w:rPr>
        <w:t> 年有 </w:t>
      </w:r>
      <w:r>
        <w:rPr/>
        <w:t>313</w:t>
      </w:r>
      <w:r>
        <w:rPr>
          <w:spacing w:val="-8"/>
        </w:rPr>
        <w:t> 件注册申请被纳</w:t>
      </w:r>
      <w:r>
        <w:rPr>
          <w:spacing w:val="-14"/>
        </w:rPr>
        <w:t>入优先审评程序，其中 </w:t>
      </w:r>
      <w:r>
        <w:rPr/>
        <w:t>23%</w:t>
      </w:r>
      <w:r>
        <w:rPr>
          <w:spacing w:val="-3"/>
        </w:rPr>
        <w:t>为具有明显临床价值的新药注册申请，儿童用药和罕见病用药有</w:t>
      </w:r>
      <w:r>
        <w:rPr/>
        <w:t>63</w:t>
      </w:r>
      <w:r>
        <w:rPr>
          <w:spacing w:val="-21"/>
        </w:rPr>
        <w:t> 件。</w:t>
      </w:r>
      <w:r>
        <w:rPr/>
        <w:t>83</w:t>
      </w:r>
      <w:r>
        <w:rPr>
          <w:spacing w:val="-8"/>
        </w:rPr>
        <w:t> 个品种通过优先审评程序得以加快批准上市</w:t>
      </w:r>
      <w:r>
        <w:rPr/>
        <w:t>（以通用名计算）。</w:t>
      </w:r>
    </w:p>
    <w:p>
      <w:pPr>
        <w:pStyle w:val="BodyText"/>
        <w:spacing w:line="295" w:lineRule="auto" w:before="6"/>
        <w:ind w:right="1129" w:firstLine="480"/>
        <w:jc w:val="both"/>
      </w:pPr>
      <w:r>
        <w:rPr/>
        <w:t>为提升我国仿制药质量，药品审评中心全力推进仿制药质量和疗效一致性评价工作， 2018</w:t>
      </w:r>
      <w:r>
        <w:rPr>
          <w:spacing w:val="-14"/>
        </w:rPr>
        <w:t> 全年正式发布了 </w:t>
      </w:r>
      <w:r>
        <w:rPr/>
        <w:t>8</w:t>
      </w:r>
      <w:r>
        <w:rPr>
          <w:spacing w:val="-13"/>
        </w:rPr>
        <w:t> 批参比制剂目录</w:t>
      </w:r>
      <w:r>
        <w:rPr/>
        <w:t>（221</w:t>
      </w:r>
      <w:r>
        <w:rPr>
          <w:spacing w:val="-15"/>
        </w:rPr>
        <w:t> 个品规</w:t>
      </w:r>
      <w:r>
        <w:rPr>
          <w:spacing w:val="-34"/>
        </w:rPr>
        <w:t>）；</w:t>
      </w:r>
      <w:r>
        <w:rPr>
          <w:spacing w:val="-2"/>
        </w:rPr>
        <w:t>受理口服固体制剂一致性评价申请</w:t>
      </w:r>
    </w:p>
    <w:p>
      <w:pPr>
        <w:pStyle w:val="BodyText"/>
        <w:spacing w:line="297" w:lineRule="auto" w:before="2"/>
        <w:ind w:right="1265"/>
        <w:jc w:val="both"/>
      </w:pPr>
      <w:r>
        <w:rPr/>
        <w:t>440</w:t>
      </w:r>
      <w:r>
        <w:rPr>
          <w:spacing w:val="-31"/>
        </w:rPr>
        <w:t> 件</w:t>
      </w:r>
      <w:r>
        <w:rPr/>
        <w:t>（155</w:t>
      </w:r>
      <w:r>
        <w:rPr>
          <w:spacing w:val="-15"/>
        </w:rPr>
        <w:t> 个品种</w:t>
      </w:r>
      <w:r>
        <w:rPr/>
        <w:t>），</w:t>
      </w:r>
      <w:r>
        <w:rPr>
          <w:spacing w:val="-20"/>
        </w:rPr>
        <w:t>通过 </w:t>
      </w:r>
      <w:r>
        <w:rPr/>
        <w:t>111</w:t>
      </w:r>
      <w:r>
        <w:rPr>
          <w:spacing w:val="-30"/>
        </w:rPr>
        <w:t> 件</w:t>
      </w:r>
      <w:r>
        <w:rPr/>
        <w:t>（57</w:t>
      </w:r>
      <w:r>
        <w:rPr>
          <w:spacing w:val="-15"/>
        </w:rPr>
        <w:t> 个品种</w:t>
      </w:r>
      <w:r>
        <w:rPr/>
        <w:t>），其中“289</w:t>
      </w:r>
      <w:r>
        <w:rPr>
          <w:spacing w:val="-14"/>
        </w:rPr>
        <w:t> 基药”品种申请 </w:t>
      </w:r>
      <w:r>
        <w:rPr/>
        <w:t>63</w:t>
      </w:r>
      <w:r>
        <w:rPr>
          <w:spacing w:val="-30"/>
        </w:rPr>
        <w:t> 件</w:t>
      </w:r>
      <w:r>
        <w:rPr>
          <w:spacing w:val="-5"/>
        </w:rPr>
        <w:t>（36 </w:t>
      </w:r>
      <w:r>
        <w:rPr/>
        <w:t>个品种）。</w:t>
      </w:r>
    </w:p>
    <w:p>
      <w:pPr>
        <w:pStyle w:val="Heading8"/>
        <w:spacing w:line="306" w:lineRule="exact"/>
      </w:pPr>
      <w:r>
        <w:rPr/>
        <w:t>依法履职科学审评</w:t>
      </w:r>
    </w:p>
    <w:p>
      <w:pPr>
        <w:pStyle w:val="BodyText"/>
        <w:spacing w:line="297" w:lineRule="auto" w:before="72"/>
        <w:ind w:right="1127" w:firstLine="480"/>
      </w:pPr>
      <w:r>
        <w:rPr>
          <w:spacing w:val="-6"/>
        </w:rPr>
        <w:t>在持续深化药品审评审批制度改革的同时，药审中心坚持依法依规、科学规范审评，进</w:t>
      </w:r>
      <w:r>
        <w:rPr/>
        <w:t>一步加强审评科学基础建设，强化审评质量管理，并加强对自由裁量权的制约和监督。</w:t>
      </w:r>
    </w:p>
    <w:p>
      <w:pPr>
        <w:pStyle w:val="BodyText"/>
        <w:spacing w:line="306" w:lineRule="exact"/>
        <w:ind w:left="1117"/>
      </w:pPr>
      <w:r>
        <w:rPr/>
        <w:t>2018 年，经药审中心起草、国家药监部门发布了《新药 I 期临床试验申请技术指南》</w:t>
      </w:r>
    </w:p>
    <w:p>
      <w:pPr>
        <w:pStyle w:val="BodyText"/>
        <w:tabs>
          <w:tab w:pos="3397" w:val="left" w:leader="none"/>
        </w:tabs>
        <w:spacing w:line="297" w:lineRule="auto" w:before="72"/>
        <w:ind w:right="1127"/>
      </w:pPr>
      <w:r>
        <w:rPr/>
        <w:t>《创新</w:t>
      </w:r>
      <w:r>
        <w:rPr>
          <w:spacing w:val="-27"/>
        </w:rPr>
        <w:t>药</w:t>
      </w:r>
      <w:r>
        <w:rPr/>
        <w:t>（化学药</w:t>
      </w:r>
      <w:r>
        <w:rPr>
          <w:spacing w:val="-12"/>
        </w:rPr>
        <w:t>）Ⅲ</w:t>
      </w:r>
      <w:r>
        <w:rPr/>
        <w:t>期临床试验药学研究信息指南</w:t>
      </w:r>
      <w:r>
        <w:rPr>
          <w:spacing w:val="-53"/>
        </w:rPr>
        <w:t>》</w:t>
      </w:r>
      <w:r>
        <w:rPr/>
        <w:t>《证候类中药新药临床研究技术指</w:t>
      </w:r>
      <w:r>
        <w:rPr>
          <w:spacing w:val="-16"/>
        </w:rPr>
        <w:t>导</w:t>
      </w:r>
      <w:r>
        <w:rPr/>
        <w:t>原则》等</w:t>
      </w:r>
      <w:r>
        <w:rPr>
          <w:spacing w:val="-61"/>
        </w:rPr>
        <w:t> </w:t>
      </w:r>
      <w:r>
        <w:rPr/>
        <w:t>17</w:t>
      </w:r>
      <w:r>
        <w:rPr>
          <w:spacing w:val="-60"/>
        </w:rPr>
        <w:t> </w:t>
      </w:r>
      <w:r>
        <w:rPr/>
        <w:t>个指导原则</w:t>
        <w:tab/>
        <w:t>。</w:t>
      </w:r>
    </w:p>
    <w:p>
      <w:pPr>
        <w:pStyle w:val="BodyText"/>
        <w:spacing w:line="297" w:lineRule="auto"/>
        <w:ind w:right="1127" w:firstLine="480"/>
        <w:jc w:val="both"/>
      </w:pPr>
      <w:r>
        <w:rPr>
          <w:spacing w:val="-7"/>
        </w:rPr>
        <w:t>为进一步方便企业的研发申请，药审中心不断丰富沟通渠道，提高沟通效率和质量，形</w:t>
      </w:r>
      <w:r>
        <w:rPr>
          <w:spacing w:val="-5"/>
        </w:rPr>
        <w:t>成沟通交流会议、网络平台咨询</w:t>
      </w:r>
      <w:r>
        <w:rPr/>
        <w:t>（一般性技术问题</w:t>
      </w:r>
      <w:r>
        <w:rPr>
          <w:spacing w:val="-22"/>
        </w:rPr>
        <w:t>）</w:t>
      </w:r>
      <w:r>
        <w:rPr>
          <w:spacing w:val="-7"/>
        </w:rPr>
        <w:t>、电话咨询、邮件咨询和现场咨询等多渠道、多层次的沟通交流模式。2018</w:t>
      </w:r>
      <w:r>
        <w:rPr>
          <w:spacing w:val="-12"/>
        </w:rPr>
        <w:t> 年，药审中心接收沟通交流申请 </w:t>
      </w:r>
      <w:r>
        <w:rPr/>
        <w:t>1982</w:t>
      </w:r>
      <w:r>
        <w:rPr>
          <w:spacing w:val="-24"/>
        </w:rPr>
        <w:t> 件，较 </w:t>
      </w:r>
      <w:r>
        <w:rPr/>
        <w:t>2017</w:t>
      </w:r>
      <w:r>
        <w:rPr>
          <w:spacing w:val="-30"/>
        </w:rPr>
        <w:t> 年</w:t>
      </w:r>
    </w:p>
    <w:p>
      <w:pPr>
        <w:pStyle w:val="BodyText"/>
        <w:spacing w:line="295" w:lineRule="auto"/>
        <w:ind w:right="1006"/>
        <w:jc w:val="both"/>
      </w:pPr>
      <w:r>
        <w:rPr>
          <w:spacing w:val="-30"/>
        </w:rPr>
        <w:t>的 </w:t>
      </w:r>
      <w:r>
        <w:rPr/>
        <w:t>840</w:t>
      </w:r>
      <w:r>
        <w:rPr>
          <w:spacing w:val="-20"/>
        </w:rPr>
        <w:t> 件增长了 </w:t>
      </w:r>
      <w:r>
        <w:rPr>
          <w:spacing w:val="-11"/>
        </w:rPr>
        <w:t>136%</w:t>
      </w:r>
      <w:r>
        <w:rPr>
          <w:spacing w:val="-8"/>
        </w:rPr>
        <w:t>；接收网络平台咨询问题 </w:t>
      </w:r>
      <w:r>
        <w:rPr/>
        <w:t>15219</w:t>
      </w:r>
      <w:r>
        <w:rPr>
          <w:spacing w:val="-35"/>
        </w:rPr>
        <w:t> 个，较 </w:t>
      </w:r>
      <w:r>
        <w:rPr/>
        <w:t>2017</w:t>
      </w:r>
      <w:r>
        <w:rPr>
          <w:spacing w:val="-30"/>
        </w:rPr>
        <w:t> 年的 </w:t>
      </w:r>
      <w:r>
        <w:rPr/>
        <w:t>5881</w:t>
      </w:r>
      <w:r>
        <w:rPr>
          <w:spacing w:val="-20"/>
        </w:rPr>
        <w:t> 个增长了 </w:t>
      </w:r>
      <w:r>
        <w:rPr>
          <w:spacing w:val="-3"/>
        </w:rPr>
        <w:t>159%； </w:t>
      </w:r>
      <w:r>
        <w:rPr/>
        <w:t>同时，每周三定期开展现场咨询。</w:t>
      </w:r>
    </w:p>
    <w:p>
      <w:pPr>
        <w:pStyle w:val="BodyText"/>
        <w:spacing w:line="295" w:lineRule="auto"/>
        <w:ind w:right="1008" w:firstLine="480"/>
        <w:jc w:val="both"/>
      </w:pPr>
      <w:r>
        <w:rPr/>
        <w:t>2018</w:t>
      </w:r>
      <w:r>
        <w:rPr>
          <w:spacing w:val="-40"/>
        </w:rPr>
        <w:t> 年 </w:t>
      </w:r>
      <w:r>
        <w:rPr/>
        <w:t>6</w:t>
      </w:r>
      <w:r>
        <w:rPr>
          <w:spacing w:val="-14"/>
        </w:rPr>
        <w:t> 月，国家药监局当选为国际人用药品注册技术协调会</w:t>
      </w:r>
      <w:r>
        <w:rPr>
          <w:spacing w:val="-11"/>
        </w:rPr>
        <w:t>（ICH）</w:t>
      </w:r>
      <w:r>
        <w:rPr>
          <w:spacing w:val="-2"/>
        </w:rPr>
        <w:t>管理委员会成员。</w:t>
      </w:r>
      <w:r>
        <w:rPr/>
        <w:t>药审中心在网站开设了“ICH</w:t>
      </w:r>
      <w:r>
        <w:rPr>
          <w:spacing w:val="-13"/>
        </w:rPr>
        <w:t> 工作办公室专栏”，以便业界及时了解 </w:t>
      </w:r>
      <w:r>
        <w:rPr/>
        <w:t>ICH</w:t>
      </w:r>
      <w:r>
        <w:rPr>
          <w:spacing w:val="-10"/>
        </w:rPr>
        <w:t> 工作动态，积极参</w:t>
      </w:r>
    </w:p>
    <w:p>
      <w:pPr>
        <w:spacing w:line="368" w:lineRule="exact" w:before="0"/>
        <w:ind w:left="637" w:right="0" w:firstLine="0"/>
        <w:jc w:val="both"/>
        <w:rPr>
          <w:rFonts w:ascii="微软雅黑" w:eastAsia="微软雅黑" w:hint="eastAsia"/>
          <w:b/>
          <w:sz w:val="24"/>
        </w:rPr>
      </w:pPr>
      <w:r>
        <w:rPr>
          <w:w w:val="105"/>
          <w:sz w:val="24"/>
        </w:rPr>
        <w:t>与 ICH 相关工作。</w:t>
      </w:r>
      <w:r>
        <w:rPr>
          <w:rFonts w:ascii="微软雅黑" w:eastAsia="微软雅黑" w:hint="eastAsia"/>
          <w:b/>
          <w:color w:val="0033CC"/>
          <w:w w:val="105"/>
          <w:sz w:val="24"/>
        </w:rPr>
        <w:t>[</w:t>
      </w:r>
      <w:r>
        <w:rPr>
          <w:rFonts w:ascii="Microsoft JhengHei" w:eastAsia="Microsoft JhengHei" w:hint="eastAsia"/>
          <w:b/>
          <w:color w:val="0033CC"/>
          <w:w w:val="105"/>
          <w:sz w:val="24"/>
        </w:rPr>
        <w:t>返回目次</w:t>
      </w:r>
      <w:r>
        <w:rPr>
          <w:rFonts w:ascii="微软雅黑" w:eastAsia="微软雅黑" w:hint="eastAsia"/>
          <w:b/>
          <w:color w:val="0033CC"/>
          <w:w w:val="105"/>
          <w:sz w:val="24"/>
        </w:rPr>
        <w:t>]</w:t>
      </w:r>
    </w:p>
    <w:p>
      <w:pPr>
        <w:pStyle w:val="BodyText"/>
        <w:spacing w:before="7"/>
        <w:ind w:left="0"/>
        <w:rPr>
          <w:rFonts w:ascii="微软雅黑"/>
          <w:b/>
          <w:sz w:val="13"/>
        </w:rPr>
      </w:pPr>
    </w:p>
    <w:p>
      <w:pPr>
        <w:pStyle w:val="Heading4"/>
        <w:ind w:right="496"/>
        <w:jc w:val="center"/>
      </w:pPr>
      <w:r>
        <w:rPr/>
        <w:t>临床急需境外新药标准复核检验相关要求发布</w:t>
      </w:r>
    </w:p>
    <w:p>
      <w:pPr>
        <w:pStyle w:val="Heading8"/>
        <w:spacing w:before="145"/>
        <w:ind w:left="0" w:right="11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1027" w:firstLine="480"/>
      </w:pPr>
      <w:r>
        <w:rPr>
          <w:spacing w:val="-10"/>
        </w:rPr>
        <w:t>近日，国家药品监管局发布通告，发布《临床急需境外新药标准复核检验用资料及样品要求（化学药品）》《临床急需境外新药标准复核检验用资料及样品要求（生物制品）</w:t>
      </w:r>
      <w:r>
        <w:rPr>
          <w:spacing w:val="-14"/>
        </w:rPr>
        <w:t>》， </w:t>
      </w:r>
      <w:r>
        <w:rPr>
          <w:spacing w:val="-9"/>
        </w:rPr>
        <w:t>落实《关于临床急需境外新药审评审批相关事宜的公告》要求，加快临床急需境外新药审评审批速度。</w:t>
      </w:r>
    </w:p>
    <w:p>
      <w:pPr>
        <w:pStyle w:val="BodyText"/>
        <w:spacing w:line="297" w:lineRule="auto"/>
        <w:ind w:right="1005" w:firstLine="480"/>
        <w:jc w:val="both"/>
      </w:pPr>
      <w:r>
        <w:rPr>
          <w:spacing w:val="-7"/>
        </w:rPr>
        <w:t>根据通告，《临床急需境外新药标准复核检验用资料及样品要求</w:t>
      </w:r>
      <w:r>
        <w:rPr/>
        <w:t>（化学药品</w:t>
      </w:r>
      <w:r>
        <w:rPr>
          <w:spacing w:val="-17"/>
        </w:rPr>
        <w:t>）</w:t>
      </w:r>
      <w:r>
        <w:rPr>
          <w:spacing w:val="-9"/>
        </w:rPr>
        <w:t>》《临床</w:t>
      </w:r>
      <w:r>
        <w:rPr>
          <w:spacing w:val="-10"/>
        </w:rPr>
        <w:t>急需境外新药标准复核检验用资料及样品要求</w:t>
      </w:r>
      <w:r>
        <w:rPr/>
        <w:t>（生物制品</w:t>
      </w:r>
      <w:r>
        <w:rPr>
          <w:spacing w:val="-22"/>
        </w:rPr>
        <w:t>）</w:t>
      </w:r>
      <w:r>
        <w:rPr>
          <w:spacing w:val="-9"/>
        </w:rPr>
        <w:t>》均包括资料要求，样品、标准</w:t>
      </w:r>
      <w:r>
        <w:rPr>
          <w:spacing w:val="-14"/>
        </w:rPr>
        <w:t>物质及实验材料要求。值得注意的是，化学药品或生物制品的样品为多种规格的，每个规格</w:t>
      </w:r>
      <w:r>
        <w:rPr>
          <w:spacing w:val="-17"/>
        </w:rPr>
        <w:t>为三批样品，每批样品量为全检量的三倍。其中，液体制剂、半固体制剂</w:t>
      </w:r>
      <w:r>
        <w:rPr/>
        <w:t>（</w:t>
      </w:r>
      <w:r>
        <w:rPr>
          <w:spacing w:val="-6"/>
        </w:rPr>
        <w:t>如软膏、乳膏等</w:t>
      </w:r>
      <w:r>
        <w:rPr>
          <w:spacing w:val="-17"/>
        </w:rPr>
        <w:t>）</w:t>
      </w:r>
    </w:p>
    <w:p>
      <w:pPr>
        <w:spacing w:after="0" w:line="297" w:lineRule="auto"/>
        <w:jc w:val="both"/>
        <w:sectPr>
          <w:pgSz w:w="11910" w:h="16850"/>
          <w:pgMar w:header="906" w:footer="607" w:top="1100" w:bottom="800" w:left="640" w:right="0"/>
        </w:sectPr>
      </w:pPr>
    </w:p>
    <w:p>
      <w:pPr>
        <w:pStyle w:val="BodyText"/>
        <w:spacing w:line="295" w:lineRule="auto" w:before="65"/>
        <w:ind w:right="1127"/>
        <w:jc w:val="both"/>
      </w:pPr>
      <w:r>
        <w:rPr>
          <w:spacing w:val="-11"/>
        </w:rPr>
        <w:t>如主药浓度相同，存在多种规格的，可根据具体情况确定一种规格的三批样品和其他规格至</w:t>
      </w:r>
      <w:r>
        <w:rPr>
          <w:spacing w:val="-8"/>
        </w:rPr>
        <w:t>少一批样品进行检验。生物制品的成品如主药浓度相同，存在多种规格的，应提供最大规格</w:t>
      </w:r>
      <w:r>
        <w:rPr/>
        <w:t>的三批样品和其他规格至少一批样品进行检验。</w:t>
      </w:r>
    </w:p>
    <w:p>
      <w:pPr>
        <w:pStyle w:val="BodyText"/>
        <w:spacing w:line="295" w:lineRule="auto" w:before="5"/>
        <w:ind w:right="1130" w:firstLine="480"/>
        <w:jc w:val="both"/>
      </w:pPr>
      <w:r>
        <w:rPr>
          <w:spacing w:val="-7"/>
        </w:rPr>
        <w:t>通告显示，凡列入国家药监局药品审评中心</w:t>
      </w:r>
      <w:r>
        <w:rPr/>
        <w:t>（以下简称药审中心</w:t>
      </w:r>
      <w:r>
        <w:rPr>
          <w:spacing w:val="-27"/>
        </w:rPr>
        <w:t>）</w:t>
      </w:r>
      <w:r>
        <w:rPr>
          <w:spacing w:val="-6"/>
        </w:rPr>
        <w:t>公布的《临床急需境</w:t>
      </w:r>
      <w:r>
        <w:rPr>
          <w:spacing w:val="-12"/>
        </w:rPr>
        <w:t>外新药名单》的品种，申请人应当在申报药品上市时按照本通告要求同步向中国食品药品检</w:t>
      </w:r>
      <w:r>
        <w:rPr/>
        <w:t>定研究院提交用于药品标准复核检验的相关资料及样品。</w:t>
      </w:r>
    </w:p>
    <w:p>
      <w:pPr>
        <w:pStyle w:val="BodyText"/>
        <w:spacing w:before="6"/>
        <w:ind w:left="1117"/>
        <w:jc w:val="both"/>
      </w:pPr>
      <w:r>
        <w:rPr/>
        <w:t>据了解，截至目前，药审中心共发布了两批临床急需境外新药名单。其中，2018</w:t>
      </w:r>
      <w:r>
        <w:rPr>
          <w:spacing w:val="-40"/>
        </w:rPr>
        <w:t> 年 </w:t>
      </w:r>
      <w:r>
        <w:rPr/>
        <w:t>11</w:t>
      </w:r>
    </w:p>
    <w:p>
      <w:pPr>
        <w:pStyle w:val="BodyText"/>
        <w:spacing w:line="304" w:lineRule="exact" w:before="71"/>
        <w:jc w:val="both"/>
      </w:pPr>
      <w:r>
        <w:rPr>
          <w:spacing w:val="-30"/>
        </w:rPr>
        <w:t>月 </w:t>
      </w:r>
      <w:r>
        <w:rPr/>
        <w:t>1</w:t>
      </w:r>
      <w:r>
        <w:rPr>
          <w:spacing w:val="-11"/>
        </w:rPr>
        <w:t> 日发布的首批临床急需境外新药名单含 </w:t>
      </w:r>
      <w:r>
        <w:rPr/>
        <w:t>40</w:t>
      </w:r>
      <w:r>
        <w:rPr>
          <w:spacing w:val="-29"/>
        </w:rPr>
        <w:t> 个品种，今年 </w:t>
      </w:r>
      <w:r>
        <w:rPr/>
        <w:t>5</w:t>
      </w:r>
      <w:r>
        <w:rPr>
          <w:spacing w:val="-40"/>
        </w:rPr>
        <w:t> 月 </w:t>
      </w:r>
      <w:r>
        <w:rPr/>
        <w:t>29</w:t>
      </w:r>
      <w:r>
        <w:rPr>
          <w:spacing w:val="-8"/>
        </w:rPr>
        <w:t> 日发布的第二批临床急</w:t>
      </w:r>
    </w:p>
    <w:p>
      <w:pPr>
        <w:spacing w:line="441" w:lineRule="exact" w:before="0"/>
        <w:ind w:left="637" w:right="0" w:firstLine="0"/>
        <w:jc w:val="both"/>
        <w:rPr>
          <w:rFonts w:ascii="微软雅黑" w:eastAsia="微软雅黑" w:hint="eastAsia"/>
          <w:b/>
          <w:sz w:val="24"/>
        </w:rPr>
      </w:pPr>
      <w:r>
        <w:rPr>
          <w:w w:val="105"/>
          <w:sz w:val="24"/>
        </w:rPr>
        <w:t>需境外新药名单包含 26 个品种。</w:t>
      </w:r>
      <w:r>
        <w:rPr>
          <w:rFonts w:ascii="微软雅黑" w:eastAsia="微软雅黑" w:hint="eastAsia"/>
          <w:b/>
          <w:color w:val="0033CC"/>
          <w:w w:val="105"/>
          <w:sz w:val="24"/>
        </w:rPr>
        <w:t>[</w:t>
      </w:r>
      <w:r>
        <w:rPr>
          <w:rFonts w:ascii="Microsoft JhengHei" w:eastAsia="Microsoft JhengHei" w:hint="eastAsia"/>
          <w:b/>
          <w:color w:val="0033CC"/>
          <w:w w:val="105"/>
          <w:sz w:val="24"/>
        </w:rPr>
        <w:t>返回目次</w:t>
      </w:r>
      <w:r>
        <w:rPr>
          <w:rFonts w:ascii="微软雅黑" w:eastAsia="微软雅黑" w:hint="eastAsia"/>
          <w:b/>
          <w:color w:val="0033CC"/>
          <w:w w:val="105"/>
          <w:sz w:val="24"/>
        </w:rPr>
        <w:t>]</w:t>
      </w:r>
    </w:p>
    <w:p>
      <w:pPr>
        <w:pStyle w:val="BodyText"/>
        <w:spacing w:before="9"/>
        <w:ind w:left="0"/>
        <w:rPr>
          <w:rFonts w:ascii="微软雅黑"/>
          <w:b/>
          <w:sz w:val="13"/>
        </w:rPr>
      </w:pPr>
    </w:p>
    <w:p>
      <w:pPr>
        <w:pStyle w:val="Heading4"/>
        <w:ind w:right="497"/>
        <w:jc w:val="center"/>
      </w:pPr>
      <w:r>
        <w:rPr/>
        <w:t>3 种儿童和罕见病用药拟被纳入优先审评</w:t>
      </w:r>
    </w:p>
    <w:p>
      <w:pPr>
        <w:pStyle w:val="Heading8"/>
        <w:spacing w:before="145"/>
        <w:ind w:left="0" w:right="11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1129" w:firstLine="480"/>
        <w:jc w:val="both"/>
      </w:pPr>
      <w:r>
        <w:rPr/>
        <w:t>7</w:t>
      </w:r>
      <w:r>
        <w:rPr>
          <w:spacing w:val="-41"/>
        </w:rPr>
        <w:t> 月 </w:t>
      </w:r>
      <w:r>
        <w:rPr/>
        <w:t>10</w:t>
      </w:r>
      <w:r>
        <w:rPr>
          <w:spacing w:val="-8"/>
        </w:rPr>
        <w:t> 日，国家药品监管局药品审评中心网站公示拟优先审评品种，河南百年康鑫药业有限公司的盐酸普萘洛尔口服溶液（</w:t>
      </w:r>
      <w:r>
        <w:rPr>
          <w:spacing w:val="-21"/>
        </w:rPr>
        <w:t>规格为 </w:t>
      </w:r>
      <w:r>
        <w:rPr/>
        <w:t>120ml：0.5136g）、成都苑东生物制药股份</w:t>
      </w:r>
      <w:r>
        <w:rPr>
          <w:spacing w:val="-1"/>
        </w:rPr>
        <w:t>有限公司的布洛芬氨丁三醇注射液</w:t>
      </w:r>
      <w:r>
        <w:rPr/>
        <w:t>（</w:t>
      </w:r>
      <w:r>
        <w:rPr>
          <w:spacing w:val="-18"/>
        </w:rPr>
        <w:t>规格为 </w:t>
      </w:r>
      <w:r>
        <w:rPr/>
        <w:t>2ml：10mg）</w:t>
      </w:r>
      <w:r>
        <w:rPr>
          <w:spacing w:val="-4"/>
        </w:rPr>
        <w:t>、爱可泰隆医药贸易</w:t>
      </w:r>
      <w:r>
        <w:rPr/>
        <w:t>（上海</w:t>
      </w:r>
      <w:r>
        <w:rPr>
          <w:spacing w:val="-8"/>
        </w:rPr>
        <w:t>）</w:t>
      </w:r>
      <w:r>
        <w:rPr>
          <w:spacing w:val="-6"/>
        </w:rPr>
        <w:t>有限</w:t>
      </w:r>
      <w:r>
        <w:rPr/>
        <w:t>公司的马昔腾坦片（</w:t>
      </w:r>
      <w:r>
        <w:rPr>
          <w:spacing w:val="-15"/>
        </w:rPr>
        <w:t>规格为 </w:t>
      </w:r>
      <w:r>
        <w:rPr/>
        <w:t>10mg）</w:t>
      </w:r>
      <w:r>
        <w:rPr>
          <w:spacing w:val="-5"/>
        </w:rPr>
        <w:t>三个品种在列，公示日期截至 </w:t>
      </w:r>
      <w:r>
        <w:rPr/>
        <w:t>7</w:t>
      </w:r>
      <w:r>
        <w:rPr>
          <w:spacing w:val="-40"/>
        </w:rPr>
        <w:t> 月 </w:t>
      </w:r>
      <w:r>
        <w:rPr/>
        <w:t>17</w:t>
      </w:r>
      <w:r>
        <w:rPr>
          <w:spacing w:val="-20"/>
        </w:rPr>
        <w:t> 日。</w:t>
      </w:r>
    </w:p>
    <w:p>
      <w:pPr>
        <w:pStyle w:val="BodyText"/>
        <w:spacing w:line="295" w:lineRule="auto"/>
        <w:ind w:right="1127" w:firstLine="480"/>
        <w:jc w:val="both"/>
      </w:pPr>
      <w:r>
        <w:rPr>
          <w:spacing w:val="-4"/>
        </w:rPr>
        <w:t>盐酸普萘洛尔口服液原研药由法国 </w:t>
      </w:r>
      <w:r>
        <w:rPr/>
        <w:t>Pierre Fabre  Dermatologie</w:t>
      </w:r>
      <w:r>
        <w:rPr>
          <w:spacing w:val="-19"/>
        </w:rPr>
        <w:t> 公司开发，用于治疗</w:t>
      </w:r>
      <w:r>
        <w:rPr>
          <w:spacing w:val="-6"/>
        </w:rPr>
        <w:t>需予全身疗法的增殖期婴儿血管瘤患者，是首个用于增殖期婴幼儿血管瘤的治疗药物。婴幼</w:t>
      </w:r>
      <w:r>
        <w:rPr>
          <w:spacing w:val="-3"/>
        </w:rPr>
        <w:t>儿血管瘤是婴幼儿最常见的良性肿瘤，其发生率在新生儿中为 </w:t>
      </w:r>
      <w:r>
        <w:rPr/>
        <w:t>1.1%~2.6%。</w:t>
      </w:r>
    </w:p>
    <w:p>
      <w:pPr>
        <w:pStyle w:val="BodyText"/>
        <w:spacing w:line="295" w:lineRule="auto" w:before="2"/>
        <w:ind w:right="1007" w:firstLine="480"/>
      </w:pPr>
      <w:r>
        <w:rPr>
          <w:spacing w:val="-7"/>
        </w:rPr>
        <w:t>布洛芬氨丁三醇注射液由成都苑东生物制药开发。根据中信证券有限公司今年 </w:t>
      </w:r>
      <w:r>
        <w:rPr/>
        <w:t>3</w:t>
      </w:r>
      <w:r>
        <w:rPr>
          <w:spacing w:val="-15"/>
        </w:rPr>
        <w:t> 月发布</w:t>
      </w:r>
      <w:r>
        <w:rPr>
          <w:spacing w:val="-16"/>
        </w:rPr>
        <w:t>的《关于成都苑东生物制药股份有限公司首次公开发行股票并在科创板上市之上市保荐书》， </w:t>
      </w:r>
      <w:r>
        <w:rPr>
          <w:spacing w:val="-4"/>
        </w:rPr>
        <w:t>布洛芬氨丁三醇注射液属于化药 </w:t>
      </w:r>
      <w:r>
        <w:rPr/>
        <w:t>3</w:t>
      </w:r>
      <w:r>
        <w:rPr>
          <w:spacing w:val="-9"/>
        </w:rPr>
        <w:t> 类、儿童药。</w:t>
      </w:r>
    </w:p>
    <w:p>
      <w:pPr>
        <w:pStyle w:val="BodyText"/>
        <w:spacing w:line="295" w:lineRule="auto" w:before="6"/>
        <w:ind w:right="1027" w:firstLine="480"/>
        <w:jc w:val="both"/>
      </w:pPr>
      <w:r>
        <w:rPr>
          <w:spacing w:val="-5"/>
        </w:rPr>
        <w:t>马昔腾坦片是一种内皮素受体拮抗剂，用于肺动脉高压的治疗，延缓疾病进展，原研药</w:t>
      </w:r>
      <w:r>
        <w:rPr>
          <w:spacing w:val="-33"/>
        </w:rPr>
        <w:t>于 </w:t>
      </w:r>
      <w:r>
        <w:rPr/>
        <w:t>2013</w:t>
      </w:r>
      <w:r>
        <w:rPr>
          <w:spacing w:val="-41"/>
        </w:rPr>
        <w:t> 年 </w:t>
      </w:r>
      <w:r>
        <w:rPr/>
        <w:t>10</w:t>
      </w:r>
      <w:r>
        <w:rPr>
          <w:spacing w:val="-14"/>
        </w:rPr>
        <w:t> 月在美国获批上市。在今年 </w:t>
      </w:r>
      <w:r>
        <w:rPr/>
        <w:t>2</w:t>
      </w:r>
      <w:r>
        <w:rPr>
          <w:spacing w:val="-13"/>
        </w:rPr>
        <w:t> 月财政部、海关总署、税务总局和国家药监局联</w:t>
      </w:r>
      <w:r>
        <w:rPr>
          <w:spacing w:val="-14"/>
        </w:rPr>
        <w:t>合发布的《关于罕见病药品增值税政策的通知》中，马昔腾坦片位列首批罕见病药品清单。</w:t>
      </w:r>
    </w:p>
    <w:p>
      <w:pPr>
        <w:pStyle w:val="BodyText"/>
        <w:spacing w:line="235" w:lineRule="auto" w:before="10"/>
        <w:ind w:right="1129" w:firstLine="480"/>
        <w:rPr>
          <w:rFonts w:ascii="微软雅黑" w:eastAsia="微软雅黑" w:hint="eastAsia"/>
          <w:b/>
        </w:rPr>
      </w:pPr>
      <w:r>
        <w:rPr>
          <w:spacing w:val="-9"/>
        </w:rPr>
        <w:t>公示信息显示，本次申报的三个品种拟纳入优先审评的理由是，符合《关于鼓励药品创</w:t>
      </w:r>
      <w:r>
        <w:rPr>
          <w:w w:val="105"/>
        </w:rPr>
        <w:t>新实行优先审评审批的意见》规定，按罕见病及儿童用药品优先审评。</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Heading4"/>
        <w:spacing w:before="121"/>
        <w:ind w:left="637"/>
      </w:pPr>
      <w:r>
        <w:rPr/>
        <w:t>【医改新政】</w:t>
      </w:r>
    </w:p>
    <w:p>
      <w:pPr>
        <w:pStyle w:val="BodyText"/>
        <w:spacing w:before="8"/>
        <w:ind w:left="0"/>
        <w:rPr>
          <w:b/>
          <w:sz w:val="18"/>
        </w:rPr>
      </w:pPr>
    </w:p>
    <w:p>
      <w:pPr>
        <w:spacing w:after="0"/>
        <w:rPr>
          <w:sz w:val="18"/>
        </w:rPr>
        <w:sectPr>
          <w:pgSz w:w="11910" w:h="16850"/>
          <w:pgMar w:header="906" w:footer="607" w:top="1100" w:bottom="800" w:left="640" w:right="0"/>
        </w:sectPr>
      </w:pPr>
    </w:p>
    <w:p>
      <w:pPr>
        <w:spacing w:before="55"/>
        <w:ind w:left="3136" w:right="0" w:firstLine="0"/>
        <w:jc w:val="left"/>
        <w:rPr>
          <w:b/>
          <w:sz w:val="32"/>
        </w:rPr>
      </w:pPr>
      <w:r>
        <w:rPr>
          <w:b/>
          <w:spacing w:val="-2"/>
          <w:sz w:val="32"/>
        </w:rPr>
        <w:t>重庆动态管理基本药物使用比例</w:t>
      </w:r>
    </w:p>
    <w:p>
      <w:pPr>
        <w:pStyle w:val="BodyText"/>
        <w:ind w:left="0"/>
        <w:rPr>
          <w:b/>
        </w:rPr>
      </w:pPr>
      <w:r>
        <w:rPr/>
        <w:br w:type="column"/>
      </w:r>
      <w:r>
        <w:rPr>
          <w:b/>
        </w:rPr>
      </w:r>
    </w:p>
    <w:p>
      <w:pPr>
        <w:pStyle w:val="BodyText"/>
        <w:spacing w:before="10"/>
        <w:ind w:left="0"/>
        <w:rPr>
          <w:b/>
          <w:sz w:val="23"/>
        </w:rPr>
      </w:pPr>
    </w:p>
    <w:p>
      <w:pPr>
        <w:pStyle w:val="Heading8"/>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632" w:space="40"/>
            <w:col w:w="3598"/>
          </w:cols>
        </w:sectPr>
      </w:pPr>
    </w:p>
    <w:p>
      <w:pPr>
        <w:pStyle w:val="BodyText"/>
        <w:spacing w:line="295" w:lineRule="auto" w:before="96"/>
        <w:ind w:right="1127" w:firstLine="480"/>
        <w:jc w:val="both"/>
      </w:pPr>
      <w:r>
        <w:rPr>
          <w:spacing w:val="-12"/>
        </w:rPr>
        <w:t>近日，重庆市卫生健康委印发通知，要求进一步加强公立医疗机构基本药物配备使用管</w:t>
      </w:r>
      <w:r>
        <w:rPr>
          <w:spacing w:val="-2"/>
        </w:rPr>
        <w:t>理，三级综合医院基本药物采购金额占药品采购总金额的比例不低于 </w:t>
      </w:r>
      <w:r>
        <w:rPr/>
        <w:t>30%。</w:t>
      </w:r>
    </w:p>
    <w:p>
      <w:pPr>
        <w:pStyle w:val="BodyText"/>
        <w:spacing w:line="297" w:lineRule="auto" w:before="5"/>
        <w:ind w:right="1127" w:firstLine="480"/>
        <w:jc w:val="both"/>
      </w:pPr>
      <w:r>
        <w:rPr>
          <w:spacing w:val="-9"/>
        </w:rPr>
        <w:t>通知要求，从 </w:t>
      </w:r>
      <w:r>
        <w:rPr/>
        <w:t>2019</w:t>
      </w:r>
      <w:r>
        <w:rPr>
          <w:spacing w:val="-8"/>
        </w:rPr>
        <w:t> 年起，该市对基本药物配备使用比例实行动态管理。各级各类公立</w:t>
      </w:r>
      <w:r>
        <w:rPr>
          <w:spacing w:val="-11"/>
        </w:rPr>
        <w:t>医疗机构基本药物采购金额占药品采购总金额的比例分别是：三级综合医院不低于 </w:t>
      </w:r>
      <w:r>
        <w:rPr>
          <w:spacing w:val="-6"/>
        </w:rPr>
        <w:t>30%</w:t>
      </w:r>
      <w:r>
        <w:rPr>
          <w:spacing w:val="-14"/>
        </w:rPr>
        <w:t>；二</w:t>
      </w:r>
      <w:r>
        <w:rPr>
          <w:spacing w:val="-7"/>
        </w:rPr>
        <w:t>级综合医院不低于 </w:t>
      </w:r>
      <w:r>
        <w:rPr/>
        <w:t>40%；</w:t>
      </w:r>
      <w:r>
        <w:rPr>
          <w:spacing w:val="-6"/>
        </w:rPr>
        <w:t>基层医疗机构不低于 </w:t>
      </w:r>
      <w:r>
        <w:rPr/>
        <w:t>50%；各级中医院（含中西医结合医院）中药</w:t>
      </w:r>
      <w:r>
        <w:rPr>
          <w:spacing w:val="-7"/>
        </w:rPr>
        <w:t>饮片采购金额纳入统计范围，比例要求比照同级别综合医院；各级专科医院中公共医疗救治</w:t>
      </w:r>
    </w:p>
    <w:p>
      <w:pPr>
        <w:spacing w:after="0" w:line="297" w:lineRule="auto"/>
        <w:jc w:val="both"/>
        <w:sectPr>
          <w:type w:val="continuous"/>
          <w:pgSz w:w="11910" w:h="16850"/>
          <w:pgMar w:top="1100" w:bottom="1020" w:left="640" w:right="0"/>
        </w:sectPr>
      </w:pPr>
    </w:p>
    <w:p>
      <w:pPr>
        <w:pStyle w:val="BodyText"/>
        <w:spacing w:line="235" w:lineRule="auto" w:before="69"/>
        <w:ind w:right="1128"/>
        <w:rPr>
          <w:rFonts w:ascii="微软雅黑" w:eastAsia="微软雅黑" w:hint="eastAsia"/>
          <w:b/>
        </w:rPr>
      </w:pPr>
      <w:r>
        <w:rPr>
          <w:spacing w:val="-10"/>
        </w:rPr>
        <w:t>中心、口腔医院、肿瘤医院、儿童医院、康复医院、煤炭医院、骨科医院不低于 </w:t>
      </w:r>
      <w:r>
        <w:rPr/>
        <w:t>20%</w:t>
      </w:r>
      <w:r>
        <w:rPr>
          <w:spacing w:val="-4"/>
        </w:rPr>
        <w:t>；三级</w:t>
      </w:r>
      <w:r>
        <w:rPr>
          <w:spacing w:val="-5"/>
        </w:rPr>
        <w:t>妇幼保健院不低于 </w:t>
      </w:r>
      <w:r>
        <w:rPr>
          <w:spacing w:val="-14"/>
        </w:rPr>
        <w:t>20%</w:t>
      </w:r>
      <w:r>
        <w:rPr>
          <w:spacing w:val="-8"/>
        </w:rPr>
        <w:t>；二级妇幼保健院不低于 </w:t>
      </w:r>
      <w:r>
        <w:rPr>
          <w:spacing w:val="-14"/>
        </w:rPr>
        <w:t>30%</w:t>
      </w:r>
      <w:r>
        <w:rPr>
          <w:spacing w:val="-8"/>
        </w:rPr>
        <w:t>；精神卫生中心不低于 </w:t>
      </w:r>
      <w:r>
        <w:rPr/>
        <w:t>60%</w:t>
      </w:r>
      <w:r>
        <w:rPr>
          <w:spacing w:val="-56"/>
        </w:rPr>
        <w:t>。</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spacing w:val="-12"/>
        </w:rPr>
        <w:t>]</w:t>
      </w:r>
    </w:p>
    <w:p>
      <w:pPr>
        <w:pStyle w:val="BodyText"/>
        <w:spacing w:before="10"/>
        <w:ind w:left="0"/>
        <w:rPr>
          <w:rFonts w:ascii="微软雅黑"/>
          <w:b/>
          <w:sz w:val="10"/>
        </w:rPr>
      </w:pPr>
    </w:p>
    <w:p>
      <w:pPr>
        <w:spacing w:after="0"/>
        <w:rPr>
          <w:rFonts w:ascii="微软雅黑"/>
          <w:sz w:val="10"/>
        </w:rPr>
        <w:sectPr>
          <w:pgSz w:w="11910" w:h="16850"/>
          <w:pgMar w:header="906" w:footer="607" w:top="1100" w:bottom="800" w:left="640" w:right="0"/>
        </w:sectPr>
      </w:pPr>
    </w:p>
    <w:p>
      <w:pPr>
        <w:pStyle w:val="Heading4"/>
        <w:spacing w:before="55"/>
        <w:ind w:left="3136"/>
      </w:pPr>
      <w:bookmarkStart w:name="_TOC_250041" w:id="1"/>
      <w:bookmarkEnd w:id="1"/>
      <w:r>
        <w:rPr>
          <w:spacing w:val="-2"/>
        </w:rPr>
        <w:t>浙江调整省级公立医院服务价格</w:t>
      </w:r>
    </w:p>
    <w:p>
      <w:pPr>
        <w:pStyle w:val="BodyText"/>
        <w:ind w:left="0"/>
        <w:rPr>
          <w:b/>
        </w:rPr>
      </w:pPr>
      <w:r>
        <w:rPr/>
        <w:br w:type="column"/>
      </w:r>
      <w:r>
        <w:rPr>
          <w:b/>
        </w:rPr>
      </w:r>
    </w:p>
    <w:p>
      <w:pPr>
        <w:pStyle w:val="BodyText"/>
        <w:spacing w:before="10"/>
        <w:ind w:left="0"/>
        <w:rPr>
          <w:b/>
          <w:sz w:val="23"/>
        </w:rPr>
      </w:pPr>
    </w:p>
    <w:p>
      <w:pPr>
        <w:pStyle w:val="Heading8"/>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632" w:space="40"/>
            <w:col w:w="3598"/>
          </w:cols>
        </w:sectPr>
      </w:pPr>
    </w:p>
    <w:p>
      <w:pPr>
        <w:pStyle w:val="BodyText"/>
        <w:spacing w:line="297" w:lineRule="auto" w:before="96"/>
        <w:ind w:right="1128" w:firstLine="480"/>
        <w:jc w:val="both"/>
      </w:pPr>
      <w:r>
        <w:rPr>
          <w:spacing w:val="-6"/>
        </w:rPr>
        <w:t>“取消可单独收费医用耗材加成政策，实行零差率销售；通过压缩不必要药品和医用耗</w:t>
      </w:r>
      <w:r>
        <w:rPr>
          <w:spacing w:val="-9"/>
        </w:rPr>
        <w:t>材使用量、控制不必要检查检验等使用环节腾出空间。”近日，浙江省医疗保障局、省卫生</w:t>
      </w:r>
      <w:r>
        <w:rPr>
          <w:spacing w:val="-8"/>
        </w:rPr>
        <w:t>健康委联合印发《浙江省省级公立医院医疗服务价格改革方案》，调整医疗服务价格，同步</w:t>
      </w:r>
      <w:r>
        <w:rPr/>
        <w:t>强化价格、医保等相关政策衔接。</w:t>
      </w:r>
    </w:p>
    <w:p>
      <w:pPr>
        <w:pStyle w:val="BodyText"/>
        <w:spacing w:line="297" w:lineRule="auto"/>
        <w:ind w:right="1025" w:firstLine="480"/>
        <w:jc w:val="both"/>
      </w:pPr>
      <w:r>
        <w:rPr>
          <w:spacing w:val="-1"/>
        </w:rPr>
        <w:t>《方案》按照“医疗机构良性运行、医保基金可承受、群众负担总体不增加”的原则， </w:t>
      </w:r>
      <w:r>
        <w:rPr>
          <w:spacing w:val="-20"/>
        </w:rPr>
        <w:t>调整 </w:t>
      </w:r>
      <w:r>
        <w:rPr/>
        <w:t>11</w:t>
      </w:r>
      <w:r>
        <w:rPr>
          <w:spacing w:val="-41"/>
        </w:rPr>
        <w:t> 类 </w:t>
      </w:r>
      <w:r>
        <w:rPr/>
        <w:t>938</w:t>
      </w:r>
      <w:r>
        <w:rPr>
          <w:spacing w:val="-14"/>
        </w:rPr>
        <w:t> 项医疗服务项目价格，其中价格提高项目 </w:t>
      </w:r>
      <w:r>
        <w:rPr/>
        <w:t>879</w:t>
      </w:r>
      <w:r>
        <w:rPr>
          <w:spacing w:val="-18"/>
        </w:rPr>
        <w:t> 项，价格降低项目 </w:t>
      </w:r>
      <w:r>
        <w:rPr/>
        <w:t>59</w:t>
      </w:r>
      <w:r>
        <w:rPr>
          <w:spacing w:val="-20"/>
        </w:rPr>
        <w:t> 项。按照</w:t>
      </w:r>
    </w:p>
    <w:p>
      <w:pPr>
        <w:pStyle w:val="BodyText"/>
        <w:spacing w:line="297" w:lineRule="auto"/>
        <w:ind w:right="1127"/>
        <w:jc w:val="both"/>
      </w:pPr>
      <w:r>
        <w:rPr>
          <w:spacing w:val="-4"/>
        </w:rPr>
        <w:t>改革后医疗服务项目提价增加收入部分的 </w:t>
      </w:r>
      <w:r>
        <w:rPr/>
        <w:t>1.1</w:t>
      </w:r>
      <w:r>
        <w:rPr>
          <w:spacing w:val="-14"/>
        </w:rPr>
        <w:t> 倍确定各医院承诺腾空间量，提价增加收入部</w:t>
      </w:r>
      <w:r>
        <w:rPr>
          <w:spacing w:val="-11"/>
        </w:rPr>
        <w:t>分先上缴专户，经考核合格后返还医院。重点提高与省级医院功能定位相匹配的体现专家技</w:t>
      </w:r>
      <w:r>
        <w:rPr>
          <w:spacing w:val="-8"/>
        </w:rPr>
        <w:t>术价值、技术难度较大的手术项目和部分麻醉类项目，降低部分检查、检验项目，取消可单独收费医用耗材加成政策，实行零差率销售。</w:t>
      </w:r>
    </w:p>
    <w:p>
      <w:pPr>
        <w:pStyle w:val="BodyText"/>
        <w:spacing w:line="297" w:lineRule="auto"/>
        <w:ind w:right="1127" w:firstLine="480"/>
        <w:jc w:val="both"/>
      </w:pPr>
      <w:r>
        <w:rPr>
          <w:spacing w:val="-7"/>
        </w:rPr>
        <w:t>浙江省医保局相关负责人表示，通过此次医疗服务价格改革，要进一步强化省级公立医</w:t>
      </w:r>
      <w:r>
        <w:rPr>
          <w:spacing w:val="-9"/>
        </w:rPr>
        <w:t>院功能定位，鼓励其开展高难度手术，优化病种收治结构，更好地实施分级诊疗政策；进一</w:t>
      </w:r>
      <w:r>
        <w:rPr>
          <w:spacing w:val="-14"/>
        </w:rPr>
        <w:t>步优化医院收入结构，提高体现医务人员劳务价值的医疗服务项目收入占比，降低药品、医</w:t>
      </w:r>
      <w:r>
        <w:rPr>
          <w:spacing w:val="-11"/>
        </w:rPr>
        <w:t>用耗材、检查、检验收入占比；进一步完善激励机制，促进医院建立合理用药、合理诊疗的内在激励机制。</w:t>
      </w:r>
    </w:p>
    <w:p>
      <w:pPr>
        <w:pStyle w:val="BodyText"/>
        <w:spacing w:line="235" w:lineRule="auto"/>
        <w:ind w:right="1265" w:firstLine="480"/>
        <w:rPr>
          <w:rFonts w:ascii="微软雅黑" w:hAnsi="微软雅黑" w:eastAsia="微软雅黑" w:hint="eastAsia"/>
          <w:b/>
        </w:rPr>
      </w:pPr>
      <w:r>
        <w:rPr/>
        <w:t>在浙江省医保局公布医疗服务价格改革方案后，杭州市医疗保障局也将根据“同城同</w:t>
      </w:r>
      <w:r>
        <w:rPr>
          <w:w w:val="110"/>
        </w:rPr>
        <w:t>价”改革精神，在近期出台杭州市医疗服务价格改革方案。</w:t>
      </w:r>
      <w:r>
        <w:rPr>
          <w:rFonts w:ascii="微软雅黑" w:hAnsi="微软雅黑" w:eastAsia="微软雅黑" w:hint="eastAsia"/>
          <w:b/>
          <w:color w:val="0033CC"/>
          <w:w w:val="110"/>
        </w:rPr>
        <w:t>[</w:t>
      </w:r>
      <w:r>
        <w:rPr>
          <w:rFonts w:ascii="Microsoft JhengHei" w:hAnsi="Microsoft JhengHei" w:eastAsia="Microsoft JhengHei" w:hint="eastAsia"/>
          <w:b/>
          <w:color w:val="0033CC"/>
          <w:w w:val="110"/>
        </w:rPr>
        <w:t>返回目次</w:t>
      </w:r>
      <w:r>
        <w:rPr>
          <w:rFonts w:ascii="微软雅黑" w:hAnsi="微软雅黑" w:eastAsia="微软雅黑" w:hint="eastAsia"/>
          <w:b/>
          <w:color w:val="0033CC"/>
          <w:w w:val="110"/>
        </w:rPr>
        <w:t>]</w:t>
      </w:r>
    </w:p>
    <w:p>
      <w:pPr>
        <w:pStyle w:val="BodyText"/>
        <w:spacing w:before="16"/>
        <w:ind w:left="0"/>
        <w:rPr>
          <w:rFonts w:ascii="微软雅黑"/>
          <w:b/>
          <w:sz w:val="9"/>
        </w:rPr>
      </w:pPr>
    </w:p>
    <w:p>
      <w:pPr>
        <w:spacing w:after="0"/>
        <w:rPr>
          <w:rFonts w:ascii="微软雅黑"/>
          <w:sz w:val="9"/>
        </w:rPr>
        <w:sectPr>
          <w:type w:val="continuous"/>
          <w:pgSz w:w="11910" w:h="16850"/>
          <w:pgMar w:top="1100" w:bottom="1020" w:left="640" w:right="0"/>
        </w:sectPr>
      </w:pPr>
    </w:p>
    <w:p>
      <w:pPr>
        <w:pStyle w:val="Heading4"/>
        <w:spacing w:before="55"/>
        <w:ind w:left="3136"/>
      </w:pPr>
      <w:bookmarkStart w:name="_TOC_250040" w:id="2"/>
      <w:bookmarkEnd w:id="2"/>
      <w:r>
        <w:rPr>
          <w:spacing w:val="-2"/>
        </w:rPr>
        <w:t>四川出台三级医院绩效考核方案</w:t>
      </w:r>
    </w:p>
    <w:p>
      <w:pPr>
        <w:pStyle w:val="BodyText"/>
        <w:ind w:left="0"/>
        <w:rPr>
          <w:b/>
        </w:rPr>
      </w:pPr>
      <w:r>
        <w:rPr/>
        <w:br w:type="column"/>
      </w:r>
      <w:r>
        <w:rPr>
          <w:b/>
        </w:rPr>
      </w:r>
    </w:p>
    <w:p>
      <w:pPr>
        <w:pStyle w:val="BodyText"/>
        <w:spacing w:before="8"/>
        <w:ind w:left="0"/>
        <w:rPr>
          <w:b/>
          <w:sz w:val="23"/>
        </w:rPr>
      </w:pPr>
    </w:p>
    <w:p>
      <w:pPr>
        <w:pStyle w:val="Heading8"/>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632" w:space="40"/>
            <w:col w:w="3598"/>
          </w:cols>
        </w:sectPr>
      </w:pPr>
    </w:p>
    <w:p>
      <w:pPr>
        <w:pStyle w:val="BodyText"/>
        <w:spacing w:line="297" w:lineRule="auto" w:before="96"/>
        <w:ind w:right="1127" w:firstLine="480"/>
        <w:jc w:val="both"/>
      </w:pPr>
      <w:r>
        <w:rPr>
          <w:spacing w:val="-9"/>
        </w:rPr>
        <w:t>近日，四川省政府办公室厅印发《四川省三级公立医院绩效考核工作实施方案》，要求</w:t>
      </w:r>
      <w:r>
        <w:rPr>
          <w:spacing w:val="-13"/>
        </w:rPr>
        <w:t>在今年内，全省启动三级公立医院绩效考核工作，初步建立指标考核体系、标准化支撑体系</w:t>
      </w:r>
      <w:r>
        <w:rPr>
          <w:spacing w:val="-6"/>
        </w:rPr>
        <w:t>和信息化考核系统。到 </w:t>
      </w:r>
      <w:r>
        <w:rPr/>
        <w:t>2020</w:t>
      </w:r>
      <w:r>
        <w:rPr>
          <w:spacing w:val="-8"/>
        </w:rPr>
        <w:t> 年，基本建立较为完善的三级公立医院绩效考核体系，三级公立医院功能定位进一步落实，医疗服务整体效率有效提升。</w:t>
      </w:r>
    </w:p>
    <w:p>
      <w:pPr>
        <w:pStyle w:val="BodyText"/>
        <w:spacing w:line="297" w:lineRule="auto"/>
        <w:ind w:right="1010" w:firstLine="480"/>
        <w:jc w:val="both"/>
      </w:pPr>
      <w:r>
        <w:rPr>
          <w:spacing w:val="-10"/>
        </w:rPr>
        <w:t>《方案》明确，对三级公立医院绩效考核指标体系主要由医疗质量、运营效率、持续发展、满意度评价和社会效益等方面构成。医疗质量上，通过医疗质量控制、合理用药、检查</w:t>
      </w:r>
      <w:r>
        <w:rPr>
          <w:spacing w:val="-13"/>
        </w:rPr>
        <w:t>检验同质化等指标，考核医院医疗质量和医疗安全。通过预约诊疗、门急诊服务、患者等待</w:t>
      </w:r>
      <w:r>
        <w:rPr>
          <w:spacing w:val="-14"/>
        </w:rPr>
        <w:t>时间等指标，考核医院改善医疗服务效果。运营效率上，通过人力资源配比和人员负荷指标</w:t>
      </w:r>
      <w:r>
        <w:rPr>
          <w:spacing w:val="-16"/>
        </w:rPr>
        <w:t>考核医疗资源利用效率。通过经济管理指标考核医院经济运行管理情况。通过考核收支结构</w:t>
      </w:r>
      <w:r>
        <w:rPr>
          <w:spacing w:val="-19"/>
        </w:rPr>
        <w:t>指标间接反映政府落实办医责任情况和医院医疗收入结构合理性，推动实现收支平衡、略有</w:t>
      </w:r>
      <w:r>
        <w:rPr>
          <w:spacing w:val="-12"/>
        </w:rPr>
        <w:t>结余，有效体现医务人员技术劳务价值的目标。持续发展上，主要通过人才结构指标考核医</w:t>
      </w:r>
      <w:r>
        <w:rPr>
          <w:spacing w:val="-13"/>
        </w:rPr>
        <w:t>务人员稳定性，通过科研成果临床转化指标考核医院创新支撑能力。满意度评价上，通过门</w:t>
      </w:r>
      <w:r>
        <w:rPr>
          <w:spacing w:val="-18"/>
        </w:rPr>
        <w:t>诊患者、住院患者和医务人员满意度评价，衡量患者获得感及医务人员积极性。社会效益上，</w:t>
      </w:r>
    </w:p>
    <w:p>
      <w:pPr>
        <w:spacing w:after="0" w:line="297" w:lineRule="auto"/>
        <w:jc w:val="both"/>
        <w:sectPr>
          <w:type w:val="continuous"/>
          <w:pgSz w:w="11910" w:h="16850"/>
          <w:pgMar w:top="1100" w:bottom="1020" w:left="640" w:right="0"/>
        </w:sectPr>
      </w:pPr>
    </w:p>
    <w:p>
      <w:pPr>
        <w:pStyle w:val="BodyText"/>
        <w:spacing w:line="295" w:lineRule="auto" w:before="65"/>
        <w:ind w:right="1130"/>
      </w:pPr>
      <w:r>
        <w:rPr>
          <w:spacing w:val="-6"/>
        </w:rPr>
        <w:t>通过完成政府指令性任务等指标考核公立医院社会效益，促进三级公立医院更好地履行公共</w:t>
      </w:r>
      <w:r>
        <w:rPr/>
        <w:t>服务职能。</w:t>
      </w:r>
    </w:p>
    <w:p>
      <w:pPr>
        <w:pStyle w:val="BodyText"/>
        <w:spacing w:before="2"/>
        <w:ind w:firstLine="480"/>
      </w:pPr>
      <w:r>
        <w:rPr/>
        <w:t>《方案》要求，9 月底前，全省三级公立医院完成上年度医院绩效情况分析评估，形成</w:t>
      </w:r>
    </w:p>
    <w:p>
      <w:pPr>
        <w:pStyle w:val="BodyText"/>
        <w:spacing w:line="235" w:lineRule="auto" w:before="79"/>
        <w:ind w:right="1128"/>
        <w:rPr>
          <w:rFonts w:ascii="微软雅黑" w:eastAsia="微软雅黑" w:hint="eastAsia"/>
          <w:b/>
        </w:rPr>
      </w:pPr>
      <w:r>
        <w:rPr>
          <w:spacing w:val="-2"/>
        </w:rPr>
        <w:t>绩效考核大数据。</w:t>
      </w:r>
      <w:r>
        <w:rPr/>
        <w:t>11</w:t>
      </w:r>
      <w:r>
        <w:rPr>
          <w:spacing w:val="-13"/>
        </w:rPr>
        <w:t> 月底前，省卫生健康委完成 </w:t>
      </w:r>
      <w:r>
        <w:rPr/>
        <w:t>2018</w:t>
      </w:r>
      <w:r>
        <w:rPr>
          <w:spacing w:val="-9"/>
        </w:rPr>
        <w:t> 年度全省三级公立医院绩效考核。</w:t>
      </w:r>
      <w:r>
        <w:rPr>
          <w:spacing w:val="-8"/>
        </w:rPr>
        <w:t>12 </w:t>
      </w:r>
      <w:r>
        <w:rPr/>
        <w:t>月底前，省卫生健康委完成全省监测指标分析，并以适当方式向社会公布。</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Heading1"/>
        <w:spacing w:before="42"/>
        <w:ind w:left="0" w:right="493"/>
        <w:rPr>
          <w:u w:val="none"/>
        </w:rPr>
      </w:pPr>
      <w:bookmarkStart w:name="_TOC_250039" w:id="3"/>
      <w:r>
        <w:rPr>
          <w:rFonts w:ascii="Times New Roman" w:eastAsia="Times New Roman"/>
          <w:color w:val="008000"/>
          <w:spacing w:val="-110"/>
          <w:w w:val="99"/>
          <w:u w:val="thick" w:color="008000"/>
        </w:rPr>
        <w:t> </w:t>
      </w:r>
      <w:bookmarkEnd w:id="3"/>
      <w:r>
        <w:rPr>
          <w:color w:val="008000"/>
          <w:u w:val="thick" w:color="008000"/>
        </w:rPr>
        <w:t>行业资讯</w:t>
      </w:r>
    </w:p>
    <w:p>
      <w:pPr>
        <w:pStyle w:val="Heading4"/>
        <w:spacing w:before="142"/>
        <w:ind w:left="637"/>
      </w:pPr>
      <w:bookmarkStart w:name="_TOC_250038" w:id="4"/>
      <w:bookmarkEnd w:id="4"/>
      <w:r>
        <w:rPr/>
        <w:t>【数据公报】</w:t>
      </w:r>
    </w:p>
    <w:p>
      <w:pPr>
        <w:pStyle w:val="BodyText"/>
        <w:spacing w:before="9"/>
        <w:ind w:left="0"/>
        <w:rPr>
          <w:b/>
          <w:sz w:val="18"/>
        </w:rPr>
      </w:pPr>
    </w:p>
    <w:p>
      <w:pPr>
        <w:pStyle w:val="Heading4"/>
        <w:spacing w:before="54"/>
        <w:ind w:right="491"/>
        <w:jc w:val="center"/>
      </w:pPr>
      <w:bookmarkStart w:name="_TOC_250037" w:id="5"/>
      <w:bookmarkEnd w:id="5"/>
      <w:r>
        <w:rPr/>
        <w:t>去年 24 种国产 1 类新药申请上市</w:t>
      </w:r>
    </w:p>
    <w:p>
      <w:pPr>
        <w:pStyle w:val="BodyText"/>
        <w:spacing w:before="49"/>
        <w:ind w:left="0" w:right="491"/>
        <w:jc w:val="center"/>
      </w:pPr>
      <w:r>
        <w:rPr/>
        <w:t>各类注册申请按时限审评审批率超 90%</w:t>
      </w:r>
    </w:p>
    <w:p>
      <w:pPr>
        <w:pStyle w:val="Heading8"/>
        <w:spacing w:before="170"/>
        <w:ind w:left="0" w:right="1128"/>
        <w:jc w:val="right"/>
        <w:rPr>
          <w:rFonts w:ascii="楷体" w:eastAsia="楷体" w:hint="eastAsia"/>
        </w:rPr>
      </w:pPr>
      <w:r>
        <w:rPr>
          <w:rFonts w:ascii="楷体" w:eastAsia="楷体" w:hint="eastAsia"/>
          <w:color w:val="FF0000"/>
          <w:w w:val="95"/>
        </w:rPr>
        <w:t>（来源：健康报）</w:t>
      </w:r>
    </w:p>
    <w:p>
      <w:pPr>
        <w:pStyle w:val="BodyText"/>
        <w:spacing w:line="297" w:lineRule="auto" w:before="96"/>
        <w:ind w:right="1008" w:firstLine="480"/>
      </w:pPr>
      <w:r>
        <w:rPr/>
        <w:t>国家药品监督管理局药品审评中心近日发布《2018</w:t>
      </w:r>
      <w:r>
        <w:rPr>
          <w:spacing w:val="-8"/>
        </w:rPr>
        <w:t> 年度药品审评报告》，指出去年药</w:t>
      </w:r>
      <w:r>
        <w:rPr>
          <w:spacing w:val="-16"/>
        </w:rPr>
        <w:t>审中心受理的 </w:t>
      </w:r>
      <w:r>
        <w:rPr/>
        <w:t>1</w:t>
      </w:r>
      <w:r>
        <w:rPr>
          <w:spacing w:val="-12"/>
        </w:rPr>
        <w:t> 类创新药注册申请共涉及 </w:t>
      </w:r>
      <w:r>
        <w:rPr/>
        <w:t>264</w:t>
      </w:r>
      <w:r>
        <w:rPr>
          <w:spacing w:val="-13"/>
        </w:rPr>
        <w:t> 个品种。其中，</w:t>
      </w:r>
      <w:r>
        <w:rPr>
          <w:spacing w:val="-11"/>
        </w:rPr>
        <w:t>1</w:t>
      </w:r>
      <w:r>
        <w:rPr>
          <w:spacing w:val="-8"/>
        </w:rPr>
        <w:t> 类创新药的新药临床试验申</w:t>
      </w:r>
      <w:r>
        <w:rPr>
          <w:spacing w:val="-26"/>
        </w:rPr>
        <w:t>请有 </w:t>
      </w:r>
      <w:r>
        <w:rPr/>
        <w:t>239</w:t>
      </w:r>
      <w:r>
        <w:rPr>
          <w:spacing w:val="-15"/>
        </w:rPr>
        <w:t> 个品种，同比增长 </w:t>
      </w:r>
      <w:r>
        <w:rPr>
          <w:spacing w:val="-3"/>
        </w:rPr>
        <w:t>15%；1</w:t>
      </w:r>
      <w:r>
        <w:rPr>
          <w:spacing w:val="-12"/>
        </w:rPr>
        <w:t> 类创新药的新药上市申请有 </w:t>
      </w:r>
      <w:r>
        <w:rPr/>
        <w:t>25</w:t>
      </w:r>
      <w:r>
        <w:rPr>
          <w:spacing w:val="-15"/>
        </w:rPr>
        <w:t> 个品种，同比增长 </w:t>
      </w:r>
      <w:r>
        <w:rPr/>
        <w:t>150%</w:t>
      </w:r>
      <w:r>
        <w:rPr>
          <w:spacing w:val="-13"/>
        </w:rPr>
        <w:t>。在受理的 </w:t>
      </w:r>
      <w:r>
        <w:rPr/>
        <w:t>1</w:t>
      </w:r>
      <w:r>
        <w:rPr>
          <w:spacing w:val="-12"/>
        </w:rPr>
        <w:t> 类创新药注册申请中，国产 </w:t>
      </w:r>
      <w:r>
        <w:rPr/>
        <w:t>1</w:t>
      </w:r>
      <w:r>
        <w:rPr>
          <w:spacing w:val="-14"/>
        </w:rPr>
        <w:t> 类创新药共涉及 </w:t>
      </w:r>
      <w:r>
        <w:rPr/>
        <w:t>222</w:t>
      </w:r>
      <w:r>
        <w:rPr>
          <w:spacing w:val="-8"/>
        </w:rPr>
        <w:t> 个品种，其中临床试验申请</w:t>
      </w:r>
    </w:p>
    <w:p>
      <w:pPr>
        <w:pStyle w:val="BodyText"/>
        <w:spacing w:line="297" w:lineRule="auto"/>
        <w:ind w:right="1206"/>
      </w:pPr>
      <w:r>
        <w:rPr/>
        <w:t>198</w:t>
      </w:r>
      <w:r>
        <w:rPr>
          <w:spacing w:val="-14"/>
        </w:rPr>
        <w:t> 个品种、上市申请 </w:t>
      </w:r>
      <w:r>
        <w:rPr/>
        <w:t>24</w:t>
      </w:r>
      <w:r>
        <w:rPr>
          <w:spacing w:val="-9"/>
        </w:rPr>
        <w:t> 个品种，国产创新药的适应证主要集中在抗肿瘤、内分泌系统和</w:t>
      </w:r>
      <w:r>
        <w:rPr/>
        <w:t>消化系统。</w:t>
      </w:r>
    </w:p>
    <w:p>
      <w:pPr>
        <w:pStyle w:val="BodyText"/>
        <w:spacing w:line="295" w:lineRule="auto"/>
        <w:ind w:right="1008" w:firstLine="480"/>
      </w:pPr>
      <w:r>
        <w:rPr>
          <w:spacing w:val="-27"/>
        </w:rPr>
        <w:t>《报告》显示，截至 </w:t>
      </w:r>
      <w:r>
        <w:rPr/>
        <w:t>2018</w:t>
      </w:r>
      <w:r>
        <w:rPr>
          <w:spacing w:val="-16"/>
        </w:rPr>
        <w:t> 年年底，药审中心各类注册申请按时限审评审批率已超过 </w:t>
      </w:r>
      <w:r>
        <w:rPr>
          <w:spacing w:val="-4"/>
        </w:rPr>
        <w:t>90%， </w:t>
      </w:r>
      <w:r>
        <w:rPr>
          <w:spacing w:val="-5"/>
        </w:rPr>
        <w:t>等待审评审批的注册申请已由 </w:t>
      </w:r>
      <w:r>
        <w:rPr/>
        <w:t>2015</w:t>
      </w:r>
      <w:r>
        <w:rPr>
          <w:spacing w:val="-40"/>
        </w:rPr>
        <w:t> 年 </w:t>
      </w:r>
      <w:r>
        <w:rPr/>
        <w:t>9</w:t>
      </w:r>
      <w:r>
        <w:rPr>
          <w:spacing w:val="-16"/>
        </w:rPr>
        <w:t> 月高峰时的近 </w:t>
      </w:r>
      <w:r>
        <w:rPr/>
        <w:t>2.2</w:t>
      </w:r>
      <w:r>
        <w:rPr>
          <w:spacing w:val="-20"/>
        </w:rPr>
        <w:t> 万件降至 </w:t>
      </w:r>
      <w:r>
        <w:rPr/>
        <w:t>3440</w:t>
      </w:r>
      <w:r>
        <w:rPr>
          <w:spacing w:val="-20"/>
        </w:rPr>
        <w:t> 件。去年，药审中</w:t>
      </w:r>
    </w:p>
    <w:p>
      <w:pPr>
        <w:pStyle w:val="BodyText"/>
      </w:pPr>
      <w:r>
        <w:rPr/>
        <w:t>心共审评通过上市 1 类创新药 9 个品种、进口原研药 67 个品种。在优先审评方面，2018 年，</w:t>
      </w:r>
    </w:p>
    <w:p>
      <w:pPr>
        <w:pStyle w:val="BodyText"/>
        <w:spacing w:line="297" w:lineRule="auto" w:before="69"/>
        <w:ind w:right="1129"/>
        <w:jc w:val="both"/>
      </w:pPr>
      <w:r>
        <w:rPr>
          <w:spacing w:val="-9"/>
        </w:rPr>
        <w:t>药审中心共将 </w:t>
      </w:r>
      <w:r>
        <w:rPr/>
        <w:t>313</w:t>
      </w:r>
      <w:r>
        <w:rPr>
          <w:spacing w:val="-10"/>
        </w:rPr>
        <w:t> 件注册申请纳入优先审评程序，其中儿童用药和罕见病用药 </w:t>
      </w:r>
      <w:r>
        <w:rPr/>
        <w:t>63</w:t>
      </w:r>
      <w:r>
        <w:rPr>
          <w:spacing w:val="-12"/>
        </w:rPr>
        <w:t> 件；纳入</w:t>
      </w:r>
      <w:r>
        <w:rPr>
          <w:spacing w:val="-14"/>
        </w:rPr>
        <w:t>优先审评的注册申请中，与境外同步申报的品种占比为 </w:t>
      </w:r>
      <w:r>
        <w:rPr>
          <w:spacing w:val="-6"/>
        </w:rPr>
        <w:t>28%</w:t>
      </w:r>
      <w:r>
        <w:rPr>
          <w:spacing w:val="-3"/>
        </w:rPr>
        <w:t>，具有明显临床价值的新药占比</w:t>
      </w:r>
      <w:r>
        <w:rPr>
          <w:spacing w:val="-30"/>
        </w:rPr>
        <w:t>为 </w:t>
      </w:r>
      <w:r>
        <w:rPr/>
        <w:t>23%；</w:t>
      </w:r>
      <w:r>
        <w:rPr>
          <w:spacing w:val="-21"/>
        </w:rPr>
        <w:t>共有 </w:t>
      </w:r>
      <w:r>
        <w:rPr/>
        <w:t>83</w:t>
      </w:r>
      <w:r>
        <w:rPr>
          <w:spacing w:val="-8"/>
        </w:rPr>
        <w:t> 个品种通过优先审评程序得以加快批准上市。</w:t>
      </w:r>
    </w:p>
    <w:p>
      <w:pPr>
        <w:pStyle w:val="BodyText"/>
        <w:spacing w:line="297" w:lineRule="auto"/>
        <w:ind w:right="1006" w:firstLine="480"/>
        <w:jc w:val="both"/>
      </w:pPr>
      <w:r>
        <w:rPr>
          <w:spacing w:val="-2"/>
        </w:rPr>
        <w:t>《报告》指出，在加快境外已上市临床急需新药审评方面，药审中心对 </w:t>
      </w:r>
      <w:r>
        <w:rPr/>
        <w:t>2007</w:t>
      </w:r>
      <w:r>
        <w:rPr>
          <w:spacing w:val="-12"/>
        </w:rPr>
        <w:t> 年以来在</w:t>
      </w:r>
      <w:r>
        <w:rPr>
          <w:spacing w:val="-11"/>
        </w:rPr>
        <w:t>美国、欧盟或日本批准上市，但尚未在我国境内上市的新药进行梳理，组织专家遴选临床急</w:t>
      </w:r>
      <w:r>
        <w:rPr>
          <w:spacing w:val="-27"/>
        </w:rPr>
        <w:t>需新药。第一批 </w:t>
      </w:r>
      <w:r>
        <w:rPr/>
        <w:t>48</w:t>
      </w:r>
      <w:r>
        <w:rPr>
          <w:spacing w:val="-15"/>
        </w:rPr>
        <w:t> 个临床急需境外新药已被纳入专门通道加快审评，其中已受理 </w:t>
      </w:r>
      <w:r>
        <w:rPr/>
        <w:t>17</w:t>
      </w:r>
      <w:r>
        <w:rPr>
          <w:spacing w:val="-15"/>
        </w:rPr>
        <w:t> 个品种，</w:t>
      </w:r>
    </w:p>
    <w:p>
      <w:pPr>
        <w:pStyle w:val="BodyText"/>
        <w:spacing w:line="362" w:lineRule="exact"/>
        <w:jc w:val="both"/>
        <w:rPr>
          <w:rFonts w:ascii="微软雅黑" w:eastAsia="微软雅黑" w:hint="eastAsia"/>
          <w:b/>
        </w:rPr>
      </w:pPr>
      <w:r>
        <w:rPr>
          <w:w w:val="105"/>
        </w:rPr>
        <w:t>10 个品种已获批上市，7 个正在进行技术审评。</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Heading4"/>
        <w:spacing w:before="114"/>
        <w:ind w:left="637"/>
      </w:pPr>
      <w:bookmarkStart w:name="_TOC_250036" w:id="6"/>
      <w:bookmarkEnd w:id="6"/>
      <w:r>
        <w:rPr/>
        <w:t>【专项巡礼】</w:t>
      </w:r>
    </w:p>
    <w:p>
      <w:pPr>
        <w:pStyle w:val="BodyText"/>
        <w:spacing w:before="8"/>
        <w:ind w:left="0"/>
        <w:rPr>
          <w:b/>
          <w:sz w:val="18"/>
        </w:rPr>
      </w:pPr>
    </w:p>
    <w:p>
      <w:pPr>
        <w:spacing w:after="0"/>
        <w:rPr>
          <w:sz w:val="18"/>
        </w:rPr>
        <w:sectPr>
          <w:pgSz w:w="11910" w:h="16850"/>
          <w:pgMar w:header="906" w:footer="607" w:top="1100" w:bottom="800" w:left="640" w:right="0"/>
        </w:sectPr>
      </w:pPr>
    </w:p>
    <w:p>
      <w:pPr>
        <w:pStyle w:val="Heading4"/>
        <w:spacing w:before="55"/>
        <w:ind w:left="3376"/>
      </w:pPr>
      <w:bookmarkStart w:name="_TOC_250035" w:id="7"/>
      <w:bookmarkEnd w:id="7"/>
      <w:r>
        <w:rPr>
          <w:w w:val="95"/>
        </w:rPr>
        <w:t>肿瘤免疫治疗新贵——CAR-T</w:t>
      </w:r>
    </w:p>
    <w:p>
      <w:pPr>
        <w:pStyle w:val="BodyText"/>
        <w:ind w:left="0"/>
        <w:rPr>
          <w:b/>
        </w:rPr>
      </w:pPr>
      <w:r>
        <w:rPr/>
        <w:br w:type="column"/>
      </w:r>
      <w:r>
        <w:rPr>
          <w:b/>
        </w:rPr>
      </w:r>
    </w:p>
    <w:p>
      <w:pPr>
        <w:pStyle w:val="BodyText"/>
        <w:spacing w:before="10"/>
        <w:ind w:left="0"/>
        <w:rPr>
          <w:b/>
          <w:sz w:val="23"/>
        </w:rPr>
      </w:pPr>
    </w:p>
    <w:p>
      <w:pPr>
        <w:pStyle w:val="Heading8"/>
        <w:ind w:left="289"/>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640" w:right="0"/>
          <w:cols w:num="2" w:equalWidth="0">
            <w:col w:w="7396" w:space="40"/>
            <w:col w:w="3834"/>
          </w:cols>
        </w:sectPr>
      </w:pPr>
    </w:p>
    <w:p>
      <w:pPr>
        <w:pStyle w:val="BodyText"/>
        <w:spacing w:line="297" w:lineRule="auto" w:before="96"/>
        <w:ind w:right="1129" w:firstLine="652"/>
        <w:jc w:val="both"/>
      </w:pPr>
      <w:r>
        <w:rPr>
          <w:spacing w:val="-5"/>
        </w:rPr>
        <w:t>免疫疗法是当下肿瘤治疗领域最具前景的发展方向之一。随着 </w:t>
      </w:r>
      <w:r>
        <w:rPr/>
        <w:t>PD-(L)1</w:t>
      </w:r>
      <w:r>
        <w:rPr>
          <w:spacing w:val="-11"/>
        </w:rPr>
        <w:t> 等免疫检查点</w:t>
      </w:r>
      <w:r>
        <w:rPr/>
        <w:t>抑制剂应用范围逐渐扩大，CAR-T</w:t>
      </w:r>
      <w:r>
        <w:rPr>
          <w:spacing w:val="-8"/>
        </w:rPr>
        <w:t> 疗法研究不断出现新的进展</w:t>
      </w:r>
      <w:r>
        <w:rPr/>
        <w:t>，CAR-T</w:t>
      </w:r>
      <w:r>
        <w:rPr>
          <w:spacing w:val="-8"/>
        </w:rPr>
        <w:t> 疗法作为有别于传统</w:t>
      </w:r>
      <w:r>
        <w:rPr>
          <w:spacing w:val="-13"/>
        </w:rPr>
        <w:t>药物的“活药”，不仅对复发、难治性肿瘤患者表现出了突破性疗效，其生产体系和使用场</w:t>
      </w:r>
      <w:r>
        <w:rPr>
          <w:spacing w:val="-3"/>
        </w:rPr>
        <w:t>景也有别于普通药物。鉴于生物技术的快速发展，预计 </w:t>
      </w:r>
      <w:r>
        <w:rPr/>
        <w:t>CAR-T</w:t>
      </w:r>
      <w:r>
        <w:rPr>
          <w:spacing w:val="-8"/>
        </w:rPr>
        <w:t> 疗法将带给人们更多惊喜。</w:t>
      </w:r>
    </w:p>
    <w:p>
      <w:pPr>
        <w:pStyle w:val="Heading8"/>
        <w:spacing w:line="302" w:lineRule="exact"/>
      </w:pPr>
      <w:r>
        <w:rPr/>
        <w:t>CAR-T 疗法是什么</w:t>
      </w:r>
    </w:p>
    <w:p>
      <w:pPr>
        <w:spacing w:after="0" w:line="302" w:lineRule="exact"/>
        <w:sectPr>
          <w:type w:val="continuous"/>
          <w:pgSz w:w="11910" w:h="16850"/>
          <w:pgMar w:top="1100" w:bottom="1020" w:left="640" w:right="0"/>
        </w:sectPr>
      </w:pPr>
    </w:p>
    <w:p>
      <w:pPr>
        <w:pStyle w:val="BodyText"/>
        <w:spacing w:line="295" w:lineRule="auto" w:before="65"/>
        <w:ind w:right="1127" w:firstLine="480"/>
        <w:jc w:val="both"/>
      </w:pPr>
      <w:r>
        <w:rPr/>
        <w:t>CAR-T（Chimeric</w:t>
      </w:r>
      <w:r>
        <w:rPr>
          <w:spacing w:val="119"/>
        </w:rPr>
        <w:t> </w:t>
      </w:r>
      <w:r>
        <w:rPr/>
        <w:t>antigen  receptor  T  cell，</w:t>
      </w:r>
      <w:r>
        <w:rPr>
          <w:spacing w:val="-9"/>
        </w:rPr>
        <w:t>嵌合抗原受体 </w:t>
      </w:r>
      <w:r>
        <w:rPr/>
        <w:t>T</w:t>
      </w:r>
      <w:r>
        <w:rPr>
          <w:spacing w:val="-20"/>
        </w:rPr>
        <w:t> 细胞</w:t>
      </w:r>
      <w:r>
        <w:rPr/>
        <w:t>）疗法是指通</w:t>
      </w:r>
      <w:r>
        <w:rPr>
          <w:spacing w:val="1"/>
        </w:rPr>
        <w:t>过基因修饰技术，将带有特异性抗原识别结构域及</w:t>
      </w:r>
      <w:r>
        <w:rPr/>
        <w:t>T</w:t>
      </w:r>
      <w:r>
        <w:rPr>
          <w:spacing w:val="-7"/>
        </w:rPr>
        <w:t> 细胞激活信号的遗传物质转入</w:t>
      </w:r>
      <w:r>
        <w:rPr/>
        <w:t>T</w:t>
      </w:r>
      <w:r>
        <w:rPr>
          <w:spacing w:val="-26"/>
        </w:rPr>
        <w:t> 细胞， </w:t>
      </w:r>
      <w:r>
        <w:rPr>
          <w:spacing w:val="-30"/>
        </w:rPr>
        <w:t>使 </w:t>
      </w:r>
      <w:r>
        <w:rPr/>
        <w:t>T</w:t>
      </w:r>
      <w:r>
        <w:rPr>
          <w:spacing w:val="-8"/>
        </w:rPr>
        <w:t> 细胞直接与肿瘤细胞表面的特异性抗原相结合而被激活。</w:t>
      </w:r>
      <w:r>
        <w:rPr/>
        <w:t>T</w:t>
      </w:r>
      <w:r>
        <w:rPr>
          <w:spacing w:val="-12"/>
        </w:rPr>
        <w:t> 细胞被激活后，一方面通过</w:t>
      </w:r>
      <w:r>
        <w:rPr>
          <w:spacing w:val="-11"/>
        </w:rPr>
        <w:t>释放穿孔素、颗粒酶素 </w:t>
      </w:r>
      <w:r>
        <w:rPr/>
        <w:t>B</w:t>
      </w:r>
      <w:r>
        <w:rPr>
          <w:spacing w:val="-13"/>
        </w:rPr>
        <w:t> 等直接杀伤肿瘤细胞；另一方面通过释放细胞因子，募集人体内源</w:t>
      </w:r>
      <w:r>
        <w:rPr>
          <w:spacing w:val="-7"/>
        </w:rPr>
        <w:t>性免疫细胞来杀伤肿瘤细胞，以达到治疗肿瘤的目的。同时，还可形成免疫记忆 </w:t>
      </w:r>
      <w:r>
        <w:rPr/>
        <w:t>T</w:t>
      </w:r>
      <w:r>
        <w:rPr>
          <w:spacing w:val="-21"/>
        </w:rPr>
        <w:t> 细胞，从</w:t>
      </w:r>
      <w:r>
        <w:rPr/>
        <w:t>而获得特异性的抗肿瘤长效机制。</w:t>
      </w:r>
    </w:p>
    <w:p>
      <w:pPr>
        <w:pStyle w:val="BodyText"/>
        <w:spacing w:line="297" w:lineRule="auto" w:before="11"/>
        <w:ind w:right="1009" w:firstLine="480"/>
      </w:pPr>
      <w:r>
        <w:rPr>
          <w:spacing w:val="-11"/>
        </w:rPr>
        <w:t>一个典型的 </w:t>
      </w:r>
      <w:r>
        <w:rPr/>
        <w:t>CAR-T</w:t>
      </w:r>
      <w:r>
        <w:rPr>
          <w:spacing w:val="-15"/>
        </w:rPr>
        <w:t> 治疗流程主要分为五个步骤：分离，从癌症患者外周血中分离纯化出</w:t>
      </w:r>
      <w:r>
        <w:rPr>
          <w:spacing w:val="-31"/>
        </w:rPr>
        <w:t>自身 </w:t>
      </w:r>
      <w:r>
        <w:rPr/>
        <w:t>T</w:t>
      </w:r>
      <w:r>
        <w:rPr>
          <w:spacing w:val="-9"/>
        </w:rPr>
        <w:t> 细胞；修饰，</w:t>
      </w:r>
      <w:r>
        <w:rPr/>
        <w:t>T</w:t>
      </w:r>
      <w:r>
        <w:rPr>
          <w:spacing w:val="-11"/>
        </w:rPr>
        <w:t> 细胞激活后，利用基因工程将能特异识别肿瘤细胞的 </w:t>
      </w:r>
      <w:r>
        <w:rPr/>
        <w:t>CAR</w:t>
      </w:r>
      <w:r>
        <w:rPr>
          <w:spacing w:val="-20"/>
        </w:rPr>
        <w:t> 结构转入 </w:t>
      </w:r>
      <w:r>
        <w:rPr/>
        <w:t>T </w:t>
      </w:r>
      <w:r>
        <w:rPr>
          <w:spacing w:val="-13"/>
        </w:rPr>
        <w:t>细胞；扩增，体外培养，大量扩增 </w:t>
      </w:r>
      <w:r>
        <w:rPr/>
        <w:t>CAR-T</w:t>
      </w:r>
      <w:r>
        <w:rPr>
          <w:spacing w:val="-11"/>
        </w:rPr>
        <w:t> 细胞至治疗所需剂量，一般为十亿至百亿级别</w:t>
      </w:r>
      <w:r>
        <w:rPr/>
        <w:t>（根据患者体重和治疗周期决定</w:t>
      </w:r>
      <w:r>
        <w:rPr>
          <w:spacing w:val="-56"/>
        </w:rPr>
        <w:t>）；</w:t>
      </w:r>
      <w:r>
        <w:rPr>
          <w:spacing w:val="-12"/>
        </w:rPr>
        <w:t>回输，化疗清淋预处理后回输 </w:t>
      </w:r>
      <w:r>
        <w:rPr/>
        <w:t>CAR-T</w:t>
      </w:r>
      <w:r>
        <w:rPr>
          <w:spacing w:val="-13"/>
        </w:rPr>
        <w:t> 细胞至患者体内；监控， </w:t>
      </w:r>
      <w:r>
        <w:rPr>
          <w:spacing w:val="-7"/>
        </w:rPr>
        <w:t>观察疗效并严密监测不良反应。整个疗程持续 </w:t>
      </w:r>
      <w:r>
        <w:rPr/>
        <w:t>3</w:t>
      </w:r>
      <w:r>
        <w:rPr>
          <w:spacing w:val="-12"/>
        </w:rPr>
        <w:t> 周左右，其中细胞“分离-修饰-扩增”约需</w:t>
      </w:r>
    </w:p>
    <w:p>
      <w:pPr>
        <w:pStyle w:val="BodyText"/>
        <w:spacing w:line="300" w:lineRule="exact"/>
      </w:pPr>
      <w:r>
        <w:rPr/>
        <w:t>要 2 周。</w:t>
      </w:r>
    </w:p>
    <w:p>
      <w:pPr>
        <w:pStyle w:val="Heading8"/>
        <w:spacing w:before="74"/>
      </w:pPr>
      <w:r>
        <w:rPr/>
        <w:t>CAR-T 的结构</w:t>
      </w:r>
    </w:p>
    <w:p>
      <w:pPr>
        <w:pStyle w:val="BodyText"/>
        <w:spacing w:line="297" w:lineRule="auto" w:before="71"/>
        <w:ind w:right="1008" w:firstLine="480"/>
      </w:pPr>
      <w:r>
        <w:rPr/>
        <w:t>CAR</w:t>
      </w:r>
      <w:r>
        <w:rPr>
          <w:spacing w:val="-12"/>
        </w:rPr>
        <w:t> 通常由一个胞外抗原结合域</w:t>
      </w:r>
      <w:r>
        <w:rPr/>
        <w:t>（</w:t>
      </w:r>
      <w:r>
        <w:rPr>
          <w:spacing w:val="-15"/>
        </w:rPr>
        <w:t>如识别 </w:t>
      </w:r>
      <w:r>
        <w:rPr/>
        <w:t>CD19</w:t>
      </w:r>
      <w:r>
        <w:rPr>
          <w:spacing w:val="-14"/>
        </w:rPr>
        <w:t> 的单链抗体序列 </w:t>
      </w:r>
      <w:r>
        <w:rPr>
          <w:spacing w:val="-19"/>
        </w:rPr>
        <w:t>scFv），</w:t>
      </w:r>
      <w:r>
        <w:rPr>
          <w:spacing w:val="-12"/>
        </w:rPr>
        <w:t>一个铰链区</w:t>
      </w:r>
      <w:r>
        <w:rPr/>
        <w:t>（促进抗原受体与肿瘤抗原的结合</w:t>
      </w:r>
      <w:r>
        <w:rPr>
          <w:spacing w:val="-120"/>
        </w:rPr>
        <w:t>），</w:t>
      </w:r>
      <w:r>
        <w:rPr>
          <w:spacing w:val="-24"/>
        </w:rPr>
        <w:t>一个跨膜区</w:t>
      </w:r>
      <w:r>
        <w:rPr/>
        <w:t>（</w:t>
      </w:r>
      <w:r>
        <w:rPr>
          <w:spacing w:val="-15"/>
        </w:rPr>
        <w:t>用来固定 </w:t>
      </w:r>
      <w:r>
        <w:rPr/>
        <w:t>CAR</w:t>
      </w:r>
      <w:r>
        <w:rPr>
          <w:spacing w:val="-120"/>
        </w:rPr>
        <w:t>），</w:t>
      </w:r>
      <w:r>
        <w:rPr>
          <w:spacing w:val="-25"/>
        </w:rPr>
        <w:t>一个 </w:t>
      </w:r>
      <w:r>
        <w:rPr/>
        <w:t>T</w:t>
      </w:r>
      <w:r>
        <w:rPr>
          <w:spacing w:val="-26"/>
        </w:rPr>
        <w:t> 细胞激活结构域</w:t>
      </w:r>
      <w:r>
        <w:rPr/>
        <w:t>（CD3</w:t>
      </w:r>
      <w:r>
        <w:rPr>
          <w:rFonts w:ascii="Arial" w:hAnsi="Arial" w:eastAsia="Arial"/>
          <w:w w:val="79"/>
        </w:rPr>
        <w:t>δ</w:t>
      </w:r>
      <w:r>
        <w:rPr>
          <w:rFonts w:ascii="Arial" w:hAnsi="Arial" w:eastAsia="Arial"/>
        </w:rPr>
        <w:t>  </w:t>
      </w:r>
      <w:r>
        <w:rPr>
          <w:spacing w:val="-14"/>
        </w:rPr>
        <w:t>，</w:t>
      </w:r>
      <w:r>
        <w:rPr>
          <w:spacing w:val="-21"/>
        </w:rPr>
        <w:t>提供 </w:t>
      </w:r>
      <w:r>
        <w:rPr/>
        <w:t>T</w:t>
      </w:r>
      <w:r>
        <w:rPr>
          <w:spacing w:val="-9"/>
        </w:rPr>
        <w:t> 细胞活化的第一信号</w:t>
      </w:r>
      <w:r>
        <w:rPr>
          <w:spacing w:val="-15"/>
        </w:rPr>
        <w:t>）</w:t>
      </w:r>
      <w:r>
        <w:rPr>
          <w:spacing w:val="-1"/>
        </w:rPr>
        <w:t>以及一个或多个胞内共刺激结构域组成</w:t>
      </w:r>
      <w:r>
        <w:rPr/>
        <w:t>（CD28/4-1BB</w:t>
      </w:r>
      <w:r>
        <w:rPr>
          <w:spacing w:val="-16"/>
        </w:rPr>
        <w:t>，提供 </w:t>
      </w:r>
      <w:r>
        <w:rPr/>
        <w:t>T 细胞活化的第二信号）。CAR</w:t>
      </w:r>
      <w:r>
        <w:rPr>
          <w:spacing w:val="-10"/>
        </w:rPr>
        <w:t> 的胞外抗原结合域源于抗体的抗原结合基序，可以连接 </w:t>
      </w:r>
      <w:r>
        <w:rPr/>
        <w:t>VH</w:t>
      </w:r>
      <w:r>
        <w:rPr>
          <w:spacing w:val="-30"/>
        </w:rPr>
        <w:t> 和VL</w:t>
      </w:r>
      <w:r>
        <w:rPr>
          <w:spacing w:val="-14"/>
        </w:rPr>
        <w:t> 序列构建的单链可变区，具有特异性识别某种特定肿瘤相关抗原的作用。</w:t>
      </w:r>
      <w:r>
        <w:rPr/>
        <w:t>CAR</w:t>
      </w:r>
      <w:r>
        <w:rPr>
          <w:spacing w:val="-10"/>
        </w:rPr>
        <w:t> 识别肿瘤相</w:t>
      </w:r>
      <w:r>
        <w:rPr>
          <w:spacing w:val="-14"/>
        </w:rPr>
        <w:t>关抗原，随后通过胞内信号传导结构域活化 </w:t>
      </w:r>
      <w:r>
        <w:rPr/>
        <w:t>T</w:t>
      </w:r>
      <w:r>
        <w:rPr>
          <w:spacing w:val="-30"/>
        </w:rPr>
        <w:t> 细胞，刺激 </w:t>
      </w:r>
      <w:r>
        <w:rPr/>
        <w:t>T</w:t>
      </w:r>
      <w:r>
        <w:rPr>
          <w:spacing w:val="-13"/>
        </w:rPr>
        <w:t> 细胞进行增殖，并发挥免疫效应， </w:t>
      </w:r>
      <w:r>
        <w:rPr/>
        <w:t>释放细胞因子，溶解肿瘤细胞。</w:t>
      </w:r>
    </w:p>
    <w:p>
      <w:pPr>
        <w:pStyle w:val="BodyText"/>
        <w:spacing w:line="297" w:lineRule="auto"/>
        <w:ind w:right="1025" w:firstLine="480"/>
      </w:pPr>
      <w:r>
        <w:rPr/>
        <w:t>历经十余年，CAR-T</w:t>
      </w:r>
      <w:r>
        <w:rPr>
          <w:spacing w:val="-10"/>
        </w:rPr>
        <w:t> 经历了四代结构，每一代结构在各个细节上均有所突破，使 </w:t>
      </w:r>
      <w:r>
        <w:rPr/>
        <w:t>CAR-T </w:t>
      </w:r>
      <w:r>
        <w:rPr>
          <w:spacing w:val="-6"/>
        </w:rPr>
        <w:t>往更为精准、更为高效、更为持久的方向发展。</w:t>
      </w:r>
      <w:r>
        <w:rPr/>
        <w:t>T</w:t>
      </w:r>
      <w:r>
        <w:rPr>
          <w:spacing w:val="-8"/>
        </w:rPr>
        <w:t> 细胞的完全激活一方面依赖于胞外抗原结</w:t>
      </w:r>
      <w:r>
        <w:rPr>
          <w:spacing w:val="-14"/>
        </w:rPr>
        <w:t>合域与抗原的结合所传递的第一信号，另一方面也需要共刺激分子受体与其配体结合所传递</w:t>
      </w:r>
      <w:r>
        <w:rPr>
          <w:spacing w:val="-16"/>
        </w:rPr>
        <w:t>的第二信号，而肿瘤细胞表面通常不表达这类共刺激配体。第一代 </w:t>
      </w:r>
      <w:r>
        <w:rPr/>
        <w:t>CAR</w:t>
      </w:r>
      <w:r>
        <w:rPr>
          <w:spacing w:val="-9"/>
        </w:rPr>
        <w:t> 设计结构相对简单， </w:t>
      </w:r>
      <w:r>
        <w:rPr>
          <w:spacing w:val="-4"/>
        </w:rPr>
        <w:t>在临床试验中的效果并不理想。第二代 </w:t>
      </w:r>
      <w:r>
        <w:rPr/>
        <w:t>CAR</w:t>
      </w:r>
      <w:r>
        <w:rPr>
          <w:spacing w:val="-13"/>
        </w:rPr>
        <w:t> 引入一个共刺激结构域 </w:t>
      </w:r>
      <w:r>
        <w:rPr/>
        <w:t>CD28</w:t>
      </w:r>
      <w:r>
        <w:rPr>
          <w:spacing w:val="-40"/>
        </w:rPr>
        <w:t> 或 </w:t>
      </w:r>
      <w:r>
        <w:rPr/>
        <w:t>4-1BB，在临床</w:t>
      </w:r>
      <w:r>
        <w:rPr>
          <w:spacing w:val="-7"/>
        </w:rPr>
        <w:t>试验中显著改善了 </w:t>
      </w:r>
      <w:r>
        <w:rPr/>
        <w:t>CAR-T</w:t>
      </w:r>
      <w:r>
        <w:rPr>
          <w:spacing w:val="-15"/>
        </w:rPr>
        <w:t> 免疫活性激活的问题，并提高了作用持久性。第三代 </w:t>
      </w:r>
      <w:r>
        <w:rPr/>
        <w:t>CAR</w:t>
      </w:r>
      <w:r>
        <w:rPr>
          <w:spacing w:val="-12"/>
        </w:rPr>
        <w:t> 包含两个</w:t>
      </w:r>
      <w:r>
        <w:rPr>
          <w:spacing w:val="-17"/>
        </w:rPr>
        <w:t>共刺激结构域，一个为 </w:t>
      </w:r>
      <w:r>
        <w:rPr/>
        <w:t>CD28</w:t>
      </w:r>
      <w:r>
        <w:rPr>
          <w:spacing w:val="-40"/>
        </w:rPr>
        <w:t> 或 </w:t>
      </w:r>
      <w:r>
        <w:rPr>
          <w:spacing w:val="-6"/>
        </w:rPr>
        <w:t>4-1BB</w:t>
      </w:r>
      <w:r>
        <w:rPr>
          <w:spacing w:val="-12"/>
        </w:rPr>
        <w:t>，另一个为 </w:t>
      </w:r>
      <w:r>
        <w:rPr/>
        <w:t>OX40</w:t>
      </w:r>
      <w:r>
        <w:rPr>
          <w:spacing w:val="-34"/>
        </w:rPr>
        <w:t>、</w:t>
      </w:r>
      <w:r>
        <w:rPr/>
        <w:t>CD28</w:t>
      </w:r>
      <w:r>
        <w:rPr>
          <w:spacing w:val="-40"/>
        </w:rPr>
        <w:t> 或 </w:t>
      </w:r>
      <w:r>
        <w:rPr/>
        <w:t>4-1BB</w:t>
      </w:r>
      <w:r>
        <w:rPr>
          <w:spacing w:val="-17"/>
        </w:rPr>
        <w:t>。相比二代，三代 </w:t>
      </w:r>
      <w:r>
        <w:rPr/>
        <w:t>CAR </w:t>
      </w:r>
      <w:r>
        <w:rPr>
          <w:spacing w:val="-5"/>
        </w:rPr>
        <w:t>虽然在一些前临床试验数据中表现出更强、更持久的作用活性，但也有报道指出，三代 </w:t>
      </w:r>
      <w:r>
        <w:rPr/>
        <w:t>CAR </w:t>
      </w:r>
      <w:r>
        <w:rPr>
          <w:spacing w:val="-11"/>
        </w:rPr>
        <w:t>可能会造成 </w:t>
      </w:r>
      <w:r>
        <w:rPr/>
        <w:t>T</w:t>
      </w:r>
      <w:r>
        <w:rPr>
          <w:spacing w:val="-8"/>
        </w:rPr>
        <w:t> 细胞刺激阈值的降低，引起信号泄露，可能诱发细胞因子过量释放。</w:t>
      </w:r>
    </w:p>
    <w:p>
      <w:pPr>
        <w:pStyle w:val="BodyText"/>
        <w:spacing w:line="297" w:lineRule="auto"/>
        <w:ind w:right="1087" w:firstLine="480"/>
        <w:jc w:val="both"/>
      </w:pPr>
      <w:r>
        <w:rPr>
          <w:spacing w:val="-8"/>
        </w:rPr>
        <w:t>由于肿瘤细胞具有异质性，一部分肿瘤细胞不具有可被 </w:t>
      </w:r>
      <w:r>
        <w:rPr/>
        <w:t>T</w:t>
      </w:r>
      <w:r>
        <w:rPr>
          <w:spacing w:val="-12"/>
        </w:rPr>
        <w:t> 细胞特异性识别的抗原，无法</w:t>
      </w:r>
      <w:r>
        <w:rPr>
          <w:spacing w:val="-22"/>
        </w:rPr>
        <w:t>被传统的 </w:t>
      </w:r>
      <w:r>
        <w:rPr/>
        <w:t>CAR-T</w:t>
      </w:r>
      <w:r>
        <w:rPr>
          <w:spacing w:val="-14"/>
        </w:rPr>
        <w:t> 细胞识别并清除。这一问题或可通过四代 </w:t>
      </w:r>
      <w:r>
        <w:rPr/>
        <w:t>CAR-T</w:t>
      </w:r>
      <w:r>
        <w:rPr>
          <w:spacing w:val="-24"/>
        </w:rPr>
        <w:t> 技术，募集除 </w:t>
      </w:r>
      <w:r>
        <w:rPr/>
        <w:t>T</w:t>
      </w:r>
      <w:r>
        <w:rPr>
          <w:spacing w:val="-10"/>
        </w:rPr>
        <w:t> 细胞以外的</w:t>
      </w:r>
      <w:r>
        <w:rPr>
          <w:spacing w:val="-13"/>
        </w:rPr>
        <w:t>免疫细胞至肿瘤所在区域来解决。四代 </w:t>
      </w:r>
      <w:r>
        <w:rPr/>
        <w:t>CAR-T</w:t>
      </w:r>
      <w:r>
        <w:rPr>
          <w:spacing w:val="-16"/>
        </w:rPr>
        <w:t> 细胞又被称为 </w:t>
      </w:r>
      <w:r>
        <w:rPr/>
        <w:t>TRUCK  T</w:t>
      </w:r>
      <w:r>
        <w:rPr>
          <w:spacing w:val="-8"/>
        </w:rPr>
        <w:t> 细胞，含有一个活化T</w:t>
      </w:r>
      <w:r>
        <w:rPr>
          <w:spacing w:val="-22"/>
        </w:rPr>
        <w:t> 细胞核因子</w:t>
      </w:r>
      <w:r>
        <w:rPr>
          <w:spacing w:val="-12"/>
        </w:rPr>
        <w:t>（NFAT）</w:t>
      </w:r>
      <w:r>
        <w:rPr>
          <w:spacing w:val="-14"/>
        </w:rPr>
        <w:t>转录相应元件，可以使 </w:t>
      </w:r>
      <w:r>
        <w:rPr/>
        <w:t>CAR-T</w:t>
      </w:r>
      <w:r>
        <w:rPr>
          <w:spacing w:val="-12"/>
        </w:rPr>
        <w:t> 细胞在肿瘤区域分泌特定的细胞因子</w:t>
      </w:r>
      <w:r>
        <w:rPr/>
        <w:t>（目</w:t>
      </w:r>
      <w:r>
        <w:rPr>
          <w:spacing w:val="-13"/>
        </w:rPr>
        <w:t>前主要是 </w:t>
      </w:r>
      <w:r>
        <w:rPr/>
        <w:t>IL-12），</w:t>
      </w:r>
      <w:r>
        <w:rPr>
          <w:spacing w:val="-1"/>
        </w:rPr>
        <w:t>从而修饰肿瘤微环境，募集并活化其他免疫细胞进行免疫反应。目前， </w:t>
      </w:r>
      <w:r>
        <w:rPr>
          <w:spacing w:val="-21"/>
        </w:rPr>
        <w:t>四代 </w:t>
      </w:r>
      <w:r>
        <w:rPr/>
        <w:t>CAR-T</w:t>
      </w:r>
      <w:r>
        <w:rPr>
          <w:spacing w:val="-8"/>
        </w:rPr>
        <w:t> 疗法已经在包括神经母细胞瘤在内的实体瘤中开展临床试验。</w:t>
      </w:r>
    </w:p>
    <w:p>
      <w:pPr>
        <w:pStyle w:val="BodyText"/>
        <w:spacing w:line="297" w:lineRule="auto"/>
        <w:ind w:right="1128" w:firstLine="480"/>
        <w:jc w:val="both"/>
      </w:pPr>
      <w:r>
        <w:rPr>
          <w:spacing w:val="-16"/>
        </w:rPr>
        <w:t>第二代 </w:t>
      </w:r>
      <w:r>
        <w:rPr/>
        <w:t>CAR-T</w:t>
      </w:r>
      <w:r>
        <w:rPr>
          <w:spacing w:val="-15"/>
        </w:rPr>
        <w:t> 有较多的临床数据支持，稳定性高且技术工艺较为成熟，是目前的主流技</w:t>
      </w:r>
      <w:r>
        <w:rPr>
          <w:spacing w:val="-12"/>
        </w:rPr>
        <w:t>术。未来，随着新结构在临床上的试验推广及生产工艺的改进，第三代、第四代 </w:t>
      </w:r>
      <w:r>
        <w:rPr/>
        <w:t>CAR-T</w:t>
      </w:r>
      <w:r>
        <w:rPr>
          <w:spacing w:val="-25"/>
        </w:rPr>
        <w:t> 产品</w:t>
      </w:r>
      <w:r>
        <w:rPr/>
        <w:t>更为优良的疗效值得期待。</w:t>
      </w:r>
    </w:p>
    <w:p>
      <w:pPr>
        <w:spacing w:after="0" w:line="297" w:lineRule="auto"/>
        <w:jc w:val="both"/>
        <w:sectPr>
          <w:pgSz w:w="11910" w:h="16850"/>
          <w:pgMar w:header="906" w:footer="607" w:top="1100" w:bottom="800" w:left="640" w:right="0"/>
        </w:sectPr>
      </w:pPr>
    </w:p>
    <w:p>
      <w:pPr>
        <w:pStyle w:val="Heading8"/>
        <w:spacing w:before="65"/>
      </w:pPr>
      <w:r>
        <w:rPr/>
        <w:t>CAR-T 的靶向抗原</w:t>
      </w:r>
    </w:p>
    <w:p>
      <w:pPr>
        <w:pStyle w:val="BodyText"/>
        <w:spacing w:line="297" w:lineRule="auto" w:before="72"/>
        <w:ind w:right="1127" w:firstLine="480"/>
        <w:jc w:val="both"/>
      </w:pPr>
      <w:r>
        <w:rPr/>
        <w:t>CAR-T</w:t>
      </w:r>
      <w:r>
        <w:rPr>
          <w:spacing w:val="-13"/>
        </w:rPr>
        <w:t> 技术是靶向某一种抗原，而不是针对单一肿瘤疾病，因此靶点的选择是 </w:t>
      </w:r>
      <w:r>
        <w:rPr/>
        <w:t>CAR-T</w:t>
      </w:r>
      <w:r>
        <w:rPr>
          <w:spacing w:val="-37"/>
        </w:rPr>
        <w:t> 有</w:t>
      </w:r>
      <w:r>
        <w:rPr>
          <w:spacing w:val="-2"/>
        </w:rPr>
        <w:t>效性和安全性的基础。</w:t>
      </w:r>
      <w:r>
        <w:rPr/>
        <w:t>CAR-T</w:t>
      </w:r>
      <w:r>
        <w:rPr>
          <w:spacing w:val="-11"/>
        </w:rPr>
        <w:t> 靶向的肿瘤抗原可分为两类：一类是肿瘤特异性抗原，是最理</w:t>
      </w:r>
      <w:r>
        <w:rPr>
          <w:spacing w:val="-3"/>
        </w:rPr>
        <w:t>想的抗原。靶点抗原的特异性越高，CAR-T</w:t>
      </w:r>
      <w:r>
        <w:rPr>
          <w:spacing w:val="-10"/>
        </w:rPr>
        <w:t> 细胞就可越专一地针对特定的肿瘤细胞，对正常细胞不作用，从而降低不良反应。但这种理想的抗原不多，目前受到关注的有表皮生长因子</w:t>
      </w:r>
      <w:r>
        <w:rPr>
          <w:spacing w:val="-21"/>
        </w:rPr>
        <w:t>受体 </w:t>
      </w:r>
      <w:r>
        <w:rPr/>
        <w:t>EFGRvIII</w:t>
      </w:r>
      <w:r>
        <w:rPr>
          <w:spacing w:val="-13"/>
        </w:rPr>
        <w:t> 和前列腺特异性膜抗原 </w:t>
      </w:r>
      <w:r>
        <w:rPr/>
        <w:t>PSMA</w:t>
      </w:r>
      <w:r>
        <w:rPr>
          <w:spacing w:val="-15"/>
        </w:rPr>
        <w:t> 等。还有一类是肿瘤相关抗原，其在肿瘤细胞表</w:t>
      </w:r>
      <w:r>
        <w:rPr/>
        <w:t>面过度表达，在正常组织中低表达，目前大部分应用的肿瘤抗原靶点都是这种。</w:t>
      </w:r>
    </w:p>
    <w:p>
      <w:pPr>
        <w:pStyle w:val="BodyText"/>
        <w:spacing w:line="297" w:lineRule="auto"/>
        <w:ind w:right="1132" w:firstLine="480"/>
        <w:jc w:val="both"/>
      </w:pPr>
      <w:r>
        <w:rPr>
          <w:spacing w:val="-4"/>
        </w:rPr>
        <w:t>目前应用于临床最成功的案例是以 </w:t>
      </w:r>
      <w:r>
        <w:rPr/>
        <w:t>CD19</w:t>
      </w:r>
      <w:r>
        <w:rPr>
          <w:spacing w:val="-16"/>
        </w:rPr>
        <w:t> 为靶点构建的 </w:t>
      </w:r>
      <w:r>
        <w:rPr/>
        <w:t>CAR-T，</w:t>
      </w:r>
      <w:r>
        <w:rPr>
          <w:spacing w:val="-7"/>
        </w:rPr>
        <w:t>但其适应证局限在 </w:t>
      </w:r>
      <w:r>
        <w:rPr/>
        <w:t>B</w:t>
      </w:r>
      <w:r>
        <w:rPr>
          <w:spacing w:val="-30"/>
        </w:rPr>
        <w:t> 细</w:t>
      </w:r>
      <w:r>
        <w:rPr>
          <w:spacing w:val="-31"/>
        </w:rPr>
        <w:t>胞相关的血液肿瘤中，如 </w:t>
      </w:r>
      <w:r>
        <w:rPr/>
        <w:t>B</w:t>
      </w:r>
      <w:r>
        <w:rPr>
          <w:spacing w:val="-10"/>
        </w:rPr>
        <w:t> 系淋巴细胞白血病</w:t>
      </w:r>
      <w:r>
        <w:rPr/>
        <w:t>（</w:t>
      </w:r>
      <w:r>
        <w:rPr>
          <w:spacing w:val="-5"/>
        </w:rPr>
        <w:t>急性、慢性</w:t>
      </w:r>
      <w:r>
        <w:rPr>
          <w:spacing w:val="-22"/>
        </w:rPr>
        <w:t>）</w:t>
      </w:r>
      <w:r>
        <w:rPr>
          <w:spacing w:val="-3"/>
        </w:rPr>
        <w:t>以及非霍奇金淋巴瘤</w:t>
      </w:r>
      <w:r>
        <w:rPr/>
        <w:t>（</w:t>
      </w:r>
      <w:r>
        <w:rPr>
          <w:spacing w:val="-5"/>
        </w:rPr>
        <w:t>弥漫性</w:t>
      </w:r>
      <w:r>
        <w:rPr>
          <w:spacing w:val="-30"/>
        </w:rPr>
        <w:t>大 </w:t>
      </w:r>
      <w:r>
        <w:rPr/>
        <w:t>B</w:t>
      </w:r>
      <w:r>
        <w:rPr>
          <w:spacing w:val="-8"/>
        </w:rPr>
        <w:t> 细胞淋巴瘤、滤泡性淋巴瘤、套细胞淋巴瘤等</w:t>
      </w:r>
      <w:r>
        <w:rPr/>
        <w:t>）。</w:t>
      </w:r>
    </w:p>
    <w:p>
      <w:pPr>
        <w:pStyle w:val="BodyText"/>
        <w:tabs>
          <w:tab w:pos="2115" w:val="left" w:leader="none"/>
        </w:tabs>
        <w:spacing w:line="297" w:lineRule="auto"/>
        <w:ind w:right="1008" w:firstLine="480"/>
      </w:pPr>
      <w:r>
        <w:rPr>
          <w:spacing w:val="38"/>
        </w:rPr>
        <w:t>据</w:t>
      </w:r>
      <w:r>
        <w:rPr/>
        <w:t>Cell</w:t>
        <w:tab/>
        <w:t>Trials</w:t>
      </w:r>
      <w:r>
        <w:rPr>
          <w:spacing w:val="-83"/>
        </w:rPr>
        <w:t> </w:t>
      </w:r>
      <w:r>
        <w:rPr/>
        <w:t>的</w:t>
      </w:r>
      <w:r>
        <w:rPr>
          <w:spacing w:val="-3"/>
        </w:rPr>
        <w:t>统</w:t>
      </w:r>
      <w:r>
        <w:rPr/>
        <w:t>计，截</w:t>
      </w:r>
      <w:r>
        <w:rPr>
          <w:spacing w:val="39"/>
        </w:rPr>
        <w:t>至</w:t>
      </w:r>
      <w:r>
        <w:rPr/>
        <w:t>2017</w:t>
      </w:r>
      <w:r>
        <w:rPr>
          <w:spacing w:val="-82"/>
        </w:rPr>
        <w:t> </w:t>
      </w:r>
      <w:r>
        <w:rPr>
          <w:spacing w:val="38"/>
        </w:rPr>
        <w:t>年</w:t>
      </w:r>
      <w:r>
        <w:rPr/>
        <w:t>10</w:t>
      </w:r>
      <w:r>
        <w:rPr>
          <w:spacing w:val="-83"/>
        </w:rPr>
        <w:t> </w:t>
      </w:r>
      <w:r>
        <w:rPr>
          <w:spacing w:val="-3"/>
        </w:rPr>
        <w:t>月</w:t>
      </w:r>
      <w:r>
        <w:rPr/>
        <w:t>，全球大</w:t>
      </w:r>
      <w:r>
        <w:rPr>
          <w:spacing w:val="38"/>
        </w:rPr>
        <w:t>约</w:t>
      </w:r>
      <w:r>
        <w:rPr/>
        <w:t>50%</w:t>
      </w:r>
      <w:r>
        <w:rPr>
          <w:spacing w:val="38"/>
        </w:rPr>
        <w:t>的</w:t>
      </w:r>
      <w:r>
        <w:rPr/>
        <w:t>CAR-T</w:t>
      </w:r>
      <w:r>
        <w:rPr>
          <w:spacing w:val="-82"/>
        </w:rPr>
        <w:t> </w:t>
      </w:r>
      <w:r>
        <w:rPr/>
        <w:t>临床试验针</w:t>
      </w:r>
      <w:r>
        <w:rPr>
          <w:spacing w:val="38"/>
        </w:rPr>
        <w:t>对</w:t>
      </w:r>
      <w:r>
        <w:rPr/>
        <w:t>CD19 靶向抗原，另有一小部</w:t>
      </w:r>
      <w:r>
        <w:rPr>
          <w:spacing w:val="-111"/>
        </w:rPr>
        <w:t>分</w:t>
      </w:r>
      <w:r>
        <w:rPr/>
        <w:t>（约</w:t>
      </w:r>
      <w:r>
        <w:rPr>
          <w:spacing w:val="-60"/>
        </w:rPr>
        <w:t> </w:t>
      </w:r>
      <w:r>
        <w:rPr/>
        <w:t>6%</w:t>
      </w:r>
      <w:r>
        <w:rPr>
          <w:spacing w:val="-111"/>
        </w:rPr>
        <w:t>）</w:t>
      </w:r>
      <w:r>
        <w:rPr/>
        <w:t>使用的是由</w:t>
      </w:r>
      <w:r>
        <w:rPr>
          <w:spacing w:val="-60"/>
        </w:rPr>
        <w:t> </w:t>
      </w:r>
      <w:r>
        <w:rPr>
          <w:spacing w:val="-3"/>
        </w:rPr>
        <w:t>C</w:t>
      </w:r>
      <w:r>
        <w:rPr/>
        <w:t>D19</w:t>
      </w:r>
      <w:r>
        <w:rPr>
          <w:spacing w:val="-60"/>
        </w:rPr>
        <w:t> </w:t>
      </w:r>
      <w:r>
        <w:rPr/>
        <w:t>与另一抗原组成的组合抗原。除了</w:t>
      </w:r>
      <w:r>
        <w:rPr>
          <w:spacing w:val="-60"/>
        </w:rPr>
        <w:t> </w:t>
      </w:r>
      <w:r>
        <w:rPr>
          <w:spacing w:val="-3"/>
        </w:rPr>
        <w:t>CD19，</w:t>
      </w:r>
      <w:r>
        <w:rPr/>
        <w:t> CAR-T</w:t>
      </w:r>
      <w:r>
        <w:rPr>
          <w:spacing w:val="-60"/>
        </w:rPr>
        <w:t> </w:t>
      </w:r>
      <w:r>
        <w:rPr/>
        <w:t>在血液肿瘤治疗方面还有许多其他抗原，其中</w:t>
      </w:r>
      <w:r>
        <w:rPr>
          <w:spacing w:val="-60"/>
        </w:rPr>
        <w:t> </w:t>
      </w:r>
      <w:r>
        <w:rPr/>
        <w:t>BCMA、CD22、CD20</w:t>
      </w:r>
      <w:r>
        <w:rPr>
          <w:spacing w:val="-60"/>
        </w:rPr>
        <w:t> </w:t>
      </w:r>
      <w:r>
        <w:rPr/>
        <w:t>较为常见。BCMA</w:t>
      </w:r>
      <w:r>
        <w:rPr>
          <w:spacing w:val="-60"/>
        </w:rPr>
        <w:t> </w:t>
      </w:r>
      <w:r>
        <w:rPr/>
        <w:t>正在成为</w:t>
      </w:r>
      <w:r>
        <w:rPr>
          <w:spacing w:val="-61"/>
        </w:rPr>
        <w:t> </w:t>
      </w:r>
      <w:r>
        <w:rPr/>
        <w:t>CAR-T</w:t>
      </w:r>
      <w:r>
        <w:rPr>
          <w:spacing w:val="-60"/>
        </w:rPr>
        <w:t> </w:t>
      </w:r>
      <w:r>
        <w:rPr/>
        <w:t>治疗的热门靶点。</w:t>
      </w:r>
    </w:p>
    <w:p>
      <w:pPr>
        <w:pStyle w:val="BodyText"/>
        <w:spacing w:line="297" w:lineRule="auto"/>
        <w:ind w:right="1124" w:firstLine="480"/>
      </w:pPr>
      <w:r>
        <w:rPr/>
        <w:t>2018</w:t>
      </w:r>
      <w:r>
        <w:rPr>
          <w:spacing w:val="-11"/>
        </w:rPr>
        <w:t> 年中国肿瘤登记年报数据显示，我国发病率最高的前 </w:t>
      </w:r>
      <w:r>
        <w:rPr/>
        <w:t>10</w:t>
      </w:r>
      <w:r>
        <w:rPr>
          <w:spacing w:val="-11"/>
        </w:rPr>
        <w:t> 种癌症均为实体瘤，占全</w:t>
      </w:r>
      <w:r>
        <w:rPr>
          <w:spacing w:val="-7"/>
        </w:rPr>
        <w:t>部癌症的比例高达 </w:t>
      </w:r>
      <w:r>
        <w:rPr/>
        <w:t>77%</w:t>
      </w:r>
      <w:r>
        <w:rPr>
          <w:spacing w:val="-6"/>
        </w:rPr>
        <w:t>。但实体瘤靶点的研发较为困难，相关研发任重道远。目前针对实体</w:t>
      </w:r>
      <w:r>
        <w:rPr>
          <w:spacing w:val="-10"/>
        </w:rPr>
        <w:t>瘤，以间皮素为靶点的 </w:t>
      </w:r>
      <w:r>
        <w:rPr/>
        <w:t>CAR-T</w:t>
      </w:r>
      <w:r>
        <w:rPr>
          <w:spacing w:val="-12"/>
        </w:rPr>
        <w:t> 临床试验数量最多，针对磷脂酰肌醇蛋白聚糖 </w:t>
      </w:r>
      <w:r>
        <w:rPr>
          <w:spacing w:val="-3"/>
        </w:rPr>
        <w:t>3（GPC3）</w:t>
      </w:r>
      <w:r>
        <w:rPr>
          <w:spacing w:val="-8"/>
        </w:rPr>
        <w:t>靶点</w:t>
      </w:r>
      <w:r>
        <w:rPr>
          <w:spacing w:val="-4"/>
        </w:rPr>
        <w:t>治疗肝癌、双唾液酸神经节苷脂 </w:t>
      </w:r>
      <w:r>
        <w:rPr/>
        <w:t>2（GD2）</w:t>
      </w:r>
      <w:r>
        <w:rPr>
          <w:spacing w:val="-4"/>
        </w:rPr>
        <w:t>靶点治疗神经母细胞瘤以及针对 </w:t>
      </w:r>
      <w:r>
        <w:rPr/>
        <w:t>CEA</w:t>
      </w:r>
      <w:r>
        <w:rPr>
          <w:spacing w:val="-10"/>
        </w:rPr>
        <w:t> 靶点治疗肠</w:t>
      </w:r>
      <w:r>
        <w:rPr>
          <w:spacing w:val="-27"/>
        </w:rPr>
        <w:t>癌的 </w:t>
      </w:r>
      <w:r>
        <w:rPr/>
        <w:t>CAR-T</w:t>
      </w:r>
      <w:r>
        <w:rPr>
          <w:spacing w:val="-8"/>
        </w:rPr>
        <w:t> 疗法也受到了广泛关注。</w:t>
      </w:r>
    </w:p>
    <w:p>
      <w:pPr>
        <w:pStyle w:val="Heading8"/>
        <w:spacing w:line="302" w:lineRule="exact"/>
      </w:pPr>
      <w:r>
        <w:rPr/>
        <w:t>CAR-T 结构中抗体 scFv 的筛选</w:t>
      </w:r>
    </w:p>
    <w:p>
      <w:pPr>
        <w:pStyle w:val="BodyText"/>
        <w:spacing w:line="297" w:lineRule="auto" w:before="54"/>
        <w:ind w:right="1126" w:firstLine="480"/>
        <w:jc w:val="both"/>
      </w:pPr>
      <w:r>
        <w:rPr/>
        <w:t>CAR</w:t>
      </w:r>
      <w:r>
        <w:rPr>
          <w:spacing w:val="-18"/>
        </w:rPr>
        <w:t> 是以抗体的 </w:t>
      </w:r>
      <w:r>
        <w:rPr>
          <w:spacing w:val="-7"/>
        </w:rPr>
        <w:t>scFv（</w:t>
      </w:r>
      <w:r>
        <w:rPr/>
        <w:t>单链可变区</w:t>
      </w:r>
      <w:r>
        <w:rPr>
          <w:spacing w:val="-34"/>
        </w:rPr>
        <w:t>）</w:t>
      </w:r>
      <w:r>
        <w:rPr>
          <w:spacing w:val="-10"/>
        </w:rPr>
        <w:t>识别肿瘤抗原的，所以 </w:t>
      </w:r>
      <w:r>
        <w:rPr/>
        <w:t>CAR-T</w:t>
      </w:r>
      <w:r>
        <w:rPr>
          <w:spacing w:val="-9"/>
        </w:rPr>
        <w:t> 的研发需要获取和筛</w:t>
      </w:r>
      <w:r>
        <w:rPr>
          <w:spacing w:val="-10"/>
        </w:rPr>
        <w:t>选单抗。筛选出亲和力高的单抗后，将相应的杂交瘤细胞冻存传代形成稳定的细胞株，用于</w:t>
      </w:r>
      <w:r>
        <w:rPr/>
        <w:t>CAR</w:t>
      </w:r>
      <w:r>
        <w:rPr>
          <w:spacing w:val="-25"/>
        </w:rPr>
        <w:t> 结构中 </w:t>
      </w:r>
      <w:r>
        <w:rPr/>
        <w:t>scFv</w:t>
      </w:r>
      <w:r>
        <w:rPr>
          <w:spacing w:val="-9"/>
        </w:rPr>
        <w:t> 序列的构建。</w:t>
      </w:r>
    </w:p>
    <w:p>
      <w:pPr>
        <w:pStyle w:val="BodyText"/>
        <w:spacing w:line="297" w:lineRule="auto"/>
        <w:ind w:right="1086" w:firstLine="480"/>
        <w:jc w:val="both"/>
      </w:pPr>
      <w:r>
        <w:rPr/>
        <w:t>scFv</w:t>
      </w:r>
      <w:r>
        <w:rPr>
          <w:spacing w:val="-12"/>
        </w:rPr>
        <w:t> 由重链、轻链以及之间的 </w:t>
      </w:r>
      <w:r>
        <w:rPr/>
        <w:t>linker</w:t>
      </w:r>
      <w:r>
        <w:rPr>
          <w:spacing w:val="-9"/>
        </w:rPr>
        <w:t> 连接而成，所以将不同的重链和轻链随机组合， </w:t>
      </w:r>
      <w:r>
        <w:rPr>
          <w:spacing w:val="-7"/>
        </w:rPr>
        <w:t>可以建成人源化的 </w:t>
      </w:r>
      <w:r>
        <w:rPr/>
        <w:t>scFv</w:t>
      </w:r>
      <w:r>
        <w:rPr>
          <w:spacing w:val="-8"/>
        </w:rPr>
        <w:t> 组合抗体文库，再通过表达量、稳定性、与抗原的亲和力等指标进</w:t>
      </w:r>
      <w:r>
        <w:rPr>
          <w:spacing w:val="-11"/>
        </w:rPr>
        <w:t>行筛选。高通量筛选主要通过噬菌体展示技术。该技术最大的优点是直接将表达出来的抗体与其基因型联系在一起，再利用抗原-抗体的特异性结合，将感兴趣的抗体挑选出来。通过</w:t>
      </w:r>
      <w:r>
        <w:rPr>
          <w:spacing w:val="-16"/>
        </w:rPr>
        <w:t>噬菌体技术，可高效获得 </w:t>
      </w:r>
      <w:r>
        <w:rPr/>
        <w:t>scFv</w:t>
      </w:r>
      <w:r>
        <w:rPr>
          <w:spacing w:val="-14"/>
        </w:rPr>
        <w:t> 人源化片段，提高 </w:t>
      </w:r>
      <w:r>
        <w:rPr/>
        <w:t>CAR-T</w:t>
      </w:r>
      <w:r>
        <w:rPr>
          <w:spacing w:val="-8"/>
        </w:rPr>
        <w:t> 的安全性和有效性。</w:t>
      </w:r>
    </w:p>
    <w:p>
      <w:pPr>
        <w:pStyle w:val="BodyText"/>
        <w:spacing w:line="297" w:lineRule="auto"/>
        <w:ind w:right="1127" w:firstLine="480"/>
      </w:pPr>
      <w:r>
        <w:rPr/>
        <w:t>scFv</w:t>
      </w:r>
      <w:r>
        <w:rPr>
          <w:spacing w:val="-25"/>
        </w:rPr>
        <w:t> 序列是 </w:t>
      </w:r>
      <w:r>
        <w:rPr/>
        <w:t>CAR-T</w:t>
      </w:r>
      <w:r>
        <w:rPr>
          <w:spacing w:val="-8"/>
        </w:rPr>
        <w:t> 研发中的核心技术，从华创证券的调研信息来看，筛选一个合适的scFv 序列，时间成本和费用成本都不低，鼠源性的成本在几十万元，人源化的则需要上百</w:t>
      </w:r>
      <w:r>
        <w:rPr>
          <w:spacing w:val="-12"/>
        </w:rPr>
        <w:t>万元。目前很多科研机构使用的序列是从文献上获取的，原则上只能用于科研。所以如果要</w:t>
      </w:r>
      <w:r>
        <w:rPr>
          <w:spacing w:val="-13"/>
        </w:rPr>
        <w:t>做创新型 </w:t>
      </w:r>
      <w:r>
        <w:rPr/>
        <w:t>CAR-T</w:t>
      </w:r>
      <w:r>
        <w:rPr>
          <w:spacing w:val="-8"/>
        </w:rPr>
        <w:t> 并进行商业化，则需要科研机构或企业自主研发筛选。</w:t>
      </w:r>
    </w:p>
    <w:p>
      <w:pPr>
        <w:pStyle w:val="Heading8"/>
        <w:spacing w:line="301" w:lineRule="exact"/>
      </w:pPr>
      <w:r>
        <w:rPr/>
        <w:t>CAR-T 的转染载体与制备工艺</w:t>
      </w:r>
    </w:p>
    <w:p>
      <w:pPr>
        <w:pStyle w:val="BodyText"/>
        <w:spacing w:line="297" w:lineRule="auto" w:before="65"/>
        <w:ind w:right="1127" w:firstLine="480"/>
      </w:pPr>
      <w:r>
        <w:rPr>
          <w:spacing w:val="-16"/>
        </w:rPr>
        <w:t>为实现 </w:t>
      </w:r>
      <w:r>
        <w:rPr/>
        <w:t>CAR</w:t>
      </w:r>
      <w:r>
        <w:rPr>
          <w:spacing w:val="-40"/>
        </w:rPr>
        <w:t> 在 </w:t>
      </w:r>
      <w:r>
        <w:rPr/>
        <w:t>T</w:t>
      </w:r>
      <w:r>
        <w:rPr>
          <w:spacing w:val="-14"/>
        </w:rPr>
        <w:t> 细胞上的表达，需要通过载体将 </w:t>
      </w:r>
      <w:r>
        <w:rPr/>
        <w:t>CAR</w:t>
      </w:r>
      <w:r>
        <w:rPr>
          <w:spacing w:val="-20"/>
        </w:rPr>
        <w:t> 基因导入 </w:t>
      </w:r>
      <w:r>
        <w:rPr/>
        <w:t>T</w:t>
      </w:r>
      <w:r>
        <w:rPr>
          <w:spacing w:val="-15"/>
        </w:rPr>
        <w:t> 细胞。理想的载体应该</w:t>
      </w:r>
      <w:r>
        <w:rPr/>
        <w:t>具有较高的基因转染效率、稳定性好，不引起机体免疫反应等特点。目前有多种载体用于CAR-T</w:t>
      </w:r>
      <w:r>
        <w:rPr>
          <w:spacing w:val="-8"/>
        </w:rPr>
        <w:t> 细胞产品制备，包括病毒载体转导</w:t>
      </w:r>
      <w:r>
        <w:rPr/>
        <w:t>（</w:t>
      </w:r>
      <w:r>
        <w:rPr>
          <w:spacing w:val="-30"/>
        </w:rPr>
        <w:t>如 </w:t>
      </w:r>
      <w:r>
        <w:rPr>
          <w:rFonts w:ascii="Arial" w:hAnsi="Arial" w:eastAsia="Arial"/>
        </w:rPr>
        <w:t>γ</w:t>
      </w:r>
      <w:r>
        <w:rPr>
          <w:rFonts w:ascii="Arial" w:hAnsi="Arial" w:eastAsia="Arial"/>
          <w:spacing w:val="52"/>
        </w:rPr>
        <w:t> </w:t>
      </w:r>
      <w:r>
        <w:rPr/>
        <w:t>-逆转录病毒载体或慢病毒载体）及非病毒载体转染（如转座子转染、mRNA</w:t>
      </w:r>
      <w:r>
        <w:rPr>
          <w:spacing w:val="-10"/>
        </w:rPr>
        <w:t> 电穿孔转染</w:t>
      </w:r>
      <w:r>
        <w:rPr/>
        <w:t>）等，虽然已开展的临床试验以病毒载体转导方式为主，但以非病毒载体转染的方式也在获得青睐。</w:t>
      </w:r>
    </w:p>
    <w:p>
      <w:pPr>
        <w:spacing w:after="0" w:line="297" w:lineRule="auto"/>
        <w:sectPr>
          <w:pgSz w:w="11910" w:h="16850"/>
          <w:pgMar w:header="906" w:footer="607" w:top="1100" w:bottom="800" w:left="640" w:right="0"/>
        </w:sectPr>
      </w:pPr>
    </w:p>
    <w:p>
      <w:pPr>
        <w:pStyle w:val="BodyText"/>
        <w:tabs>
          <w:tab w:pos="4936" w:val="left" w:leader="none"/>
          <w:tab w:pos="5296" w:val="left" w:leader="none"/>
        </w:tabs>
        <w:spacing w:line="297" w:lineRule="auto" w:before="65"/>
        <w:ind w:right="1027" w:firstLine="480"/>
      </w:pPr>
      <w:r>
        <w:rPr/>
        <w:t>慢病毒载体是目前应用最多的载体系统</w:t>
      </w:r>
      <w:r>
        <w:rPr>
          <w:spacing w:val="-51"/>
        </w:rPr>
        <w:t>。</w:t>
      </w:r>
      <w:r>
        <w:rPr/>
        <w:t>病毒基因转移载体的主要优点是制造</w:t>
      </w:r>
      <w:r>
        <w:rPr>
          <w:spacing w:val="-51"/>
        </w:rPr>
        <w:t>、</w:t>
      </w:r>
      <w:r>
        <w:rPr/>
        <w:t>生产相对容易</w:t>
      </w:r>
      <w:r>
        <w:rPr>
          <w:spacing w:val="-51"/>
        </w:rPr>
        <w:t>，</w:t>
      </w:r>
      <w:r>
        <w:rPr/>
        <w:t>并且能够将遗传物质稳定整合到宿主基因组中</w:t>
      </w:r>
      <w:r>
        <w:rPr>
          <w:spacing w:val="-51"/>
        </w:rPr>
        <w:t>。</w:t>
      </w:r>
      <w:r>
        <w:rPr/>
        <w:t>但病毒载体的致病性和潜在的插入诱变可能性在人类临床试验中存在显著的监管障碍，所以非病毒载体的开发显得十分重要</w:t>
      </w:r>
      <w:r>
        <w:rPr>
          <w:spacing w:val="-18"/>
        </w:rPr>
        <w:t>。</w:t>
      </w:r>
      <w:r>
        <w:rPr/>
        <w:t>转座子和</w:t>
      </w:r>
      <w:r>
        <w:rPr>
          <w:spacing w:val="-61"/>
        </w:rPr>
        <w:t> </w:t>
      </w:r>
      <w:r>
        <w:rPr/>
        <w:t>mRNA</w:t>
      </w:r>
      <w:r>
        <w:rPr>
          <w:spacing w:val="-60"/>
        </w:rPr>
        <w:t> </w:t>
      </w:r>
      <w:r>
        <w:rPr/>
        <w:t>电穿孔技术是目前研究比较多的两类非病毒载体系统。转座子最终可能发展成多功能</w:t>
      </w:r>
      <w:r>
        <w:rPr>
          <w:spacing w:val="-61"/>
        </w:rPr>
        <w:t> </w:t>
      </w:r>
      <w:r>
        <w:rPr/>
        <w:t>T</w:t>
      </w:r>
      <w:r>
        <w:rPr>
          <w:spacing w:val="-60"/>
        </w:rPr>
        <w:t> </w:t>
      </w:r>
      <w:r>
        <w:rPr/>
        <w:t>细胞基因转移系统</w:t>
      </w:r>
      <w:r>
        <w:rPr>
          <w:spacing w:val="-51"/>
        </w:rPr>
        <w:t>，</w:t>
      </w:r>
      <w:r>
        <w:rPr/>
        <w:t>但目前的</w:t>
      </w:r>
      <w:r>
        <w:rPr>
          <w:spacing w:val="-60"/>
        </w:rPr>
        <w:t> </w:t>
      </w:r>
      <w:r>
        <w:rPr/>
        <w:t>DNA</w:t>
      </w:r>
      <w:r>
        <w:rPr>
          <w:spacing w:val="-60"/>
        </w:rPr>
        <w:t> </w:t>
      </w:r>
      <w:r>
        <w:rPr/>
        <w:t>电穿孔方法通常产生较差的细胞活力</w:t>
      </w:r>
      <w:r>
        <w:rPr>
          <w:spacing w:val="-51"/>
        </w:rPr>
        <w:t>，</w:t>
      </w:r>
      <w:r>
        <w:rPr/>
        <w:t>临床应用中需要扩大</w:t>
      </w:r>
      <w:r>
        <w:rPr>
          <w:spacing w:val="-61"/>
        </w:rPr>
        <w:t> </w:t>
      </w:r>
      <w:r>
        <w:rPr/>
        <w:t>T</w:t>
      </w:r>
      <w:r>
        <w:rPr>
          <w:spacing w:val="-60"/>
        </w:rPr>
        <w:t> </w:t>
      </w:r>
      <w:r>
        <w:rPr/>
        <w:t>细胞培养</w:t>
      </w:r>
      <w:r>
        <w:rPr>
          <w:spacing w:val="-22"/>
        </w:rPr>
        <w:t>，</w:t>
      </w:r>
      <w:r>
        <w:rPr/>
        <w:t>以产生大量</w:t>
        <w:tab/>
        <w:t>T</w:t>
        <w:tab/>
        <w:t>细胞</w:t>
      </w:r>
      <w:r>
        <w:rPr>
          <w:spacing w:val="-22"/>
        </w:rPr>
        <w:t>。</w:t>
      </w:r>
      <w:r>
        <w:rPr/>
        <w:t>mRNA</w:t>
      </w:r>
      <w:r>
        <w:rPr>
          <w:spacing w:val="-60"/>
        </w:rPr>
        <w:t> </w:t>
      </w:r>
      <w:r>
        <w:rPr/>
        <w:t>电穿孔被认为是目前最安全的</w:t>
      </w:r>
      <w:r>
        <w:rPr>
          <w:spacing w:val="-60"/>
        </w:rPr>
        <w:t> </w:t>
      </w:r>
      <w:r>
        <w:rPr/>
        <w:t>T</w:t>
      </w:r>
      <w:r>
        <w:rPr>
          <w:spacing w:val="-60"/>
        </w:rPr>
        <w:t> </w:t>
      </w:r>
      <w:r>
        <w:rPr/>
        <w:t>细胞基因转导方法</w:t>
      </w:r>
      <w:r>
        <w:rPr>
          <w:spacing w:val="-15"/>
        </w:rPr>
        <w:t>，</w:t>
      </w:r>
      <w:r>
        <w:rPr/>
        <w:t>其可转导静止或增殖缓慢的</w:t>
      </w:r>
      <w:r>
        <w:rPr>
          <w:spacing w:val="-60"/>
        </w:rPr>
        <w:t> </w:t>
      </w:r>
      <w:r>
        <w:rPr/>
        <w:t>T</w:t>
      </w:r>
      <w:r>
        <w:rPr>
          <w:spacing w:val="-60"/>
        </w:rPr>
        <w:t> </w:t>
      </w:r>
      <w:r>
        <w:rPr/>
        <w:t>细胞</w:t>
      </w:r>
      <w:r>
        <w:rPr>
          <w:spacing w:val="-15"/>
        </w:rPr>
        <w:t>，</w:t>
      </w:r>
      <w:r>
        <w:rPr/>
        <w:t>转导效率多在</w:t>
      </w:r>
      <w:r>
        <w:rPr>
          <w:spacing w:val="-60"/>
        </w:rPr>
        <w:t> </w:t>
      </w:r>
      <w:r>
        <w:rPr/>
        <w:t>90%以上</w:t>
      </w:r>
      <w:r>
        <w:rPr>
          <w:spacing w:val="-15"/>
        </w:rPr>
        <w:t>，</w:t>
      </w:r>
      <w:r>
        <w:rPr/>
        <w:t>且设计相对容易，性价比高。临床上已经使用利用瞬时</w:t>
      </w:r>
      <w:r>
        <w:rPr>
          <w:spacing w:val="-60"/>
        </w:rPr>
        <w:t> </w:t>
      </w:r>
      <w:r>
        <w:rPr/>
        <w:t>mRNA</w:t>
      </w:r>
      <w:r>
        <w:rPr>
          <w:spacing w:val="-60"/>
        </w:rPr>
        <w:t> </w:t>
      </w:r>
      <w:r>
        <w:rPr/>
        <w:t>转染产生的</w:t>
      </w:r>
      <w:r>
        <w:rPr>
          <w:spacing w:val="-60"/>
        </w:rPr>
        <w:t> </w:t>
      </w:r>
      <w:r>
        <w:rPr/>
        <w:t>CAR-T</w:t>
      </w:r>
      <w:r>
        <w:rPr>
          <w:spacing w:val="-60"/>
        </w:rPr>
        <w:t> </w:t>
      </w:r>
      <w:r>
        <w:rPr/>
        <w:t>细胞，然而，这种方法需要几轮</w:t>
      </w:r>
      <w:r>
        <w:rPr>
          <w:spacing w:val="-61"/>
        </w:rPr>
        <w:t> </w:t>
      </w:r>
      <w:r>
        <w:rPr/>
        <w:t>CAR-T</w:t>
      </w:r>
      <w:r>
        <w:rPr>
          <w:spacing w:val="-60"/>
        </w:rPr>
        <w:t> </w:t>
      </w:r>
      <w:r>
        <w:rPr/>
        <w:t>细胞输注。在临床前模型中，mRNA</w:t>
      </w:r>
      <w:r>
        <w:rPr>
          <w:spacing w:val="-60"/>
        </w:rPr>
        <w:t> </w:t>
      </w:r>
      <w:r>
        <w:rPr/>
        <w:t>电穿孔转导的靶向间皮素的</w:t>
      </w:r>
      <w:r>
        <w:rPr>
          <w:spacing w:val="-60"/>
        </w:rPr>
        <w:t> </w:t>
      </w:r>
      <w:r>
        <w:rPr/>
        <w:t>CAR-T</w:t>
      </w:r>
      <w:r>
        <w:rPr>
          <w:spacing w:val="-60"/>
        </w:rPr>
        <w:t> </w:t>
      </w:r>
      <w:r>
        <w:rPr/>
        <w:t>能引起播散性间皮瘤异种移植物的消退，然而，在灌输</w:t>
      </w:r>
      <w:r>
        <w:rPr>
          <w:spacing w:val="-60"/>
        </w:rPr>
        <w:t> </w:t>
      </w:r>
      <w:r>
        <w:rPr/>
        <w:t>49</w:t>
      </w:r>
      <w:r>
        <w:rPr>
          <w:spacing w:val="-60"/>
        </w:rPr>
        <w:t> </w:t>
      </w:r>
      <w:r>
        <w:rPr/>
        <w:t>天后一名患者出现了过敏反应。</w:t>
      </w:r>
    </w:p>
    <w:p>
      <w:pPr>
        <w:pStyle w:val="BodyText"/>
        <w:spacing w:line="297" w:lineRule="auto"/>
        <w:ind w:right="1087" w:firstLine="480"/>
        <w:jc w:val="both"/>
      </w:pPr>
      <w:r>
        <w:rPr/>
        <w:t>CAR-T</w:t>
      </w:r>
      <w:r>
        <w:rPr>
          <w:spacing w:val="-9"/>
        </w:rPr>
        <w:t> 细胞的制备需要一些小心操作的步骤，而且整个过程中都需进行质量监控测试。</w:t>
      </w:r>
      <w:r>
        <w:rPr/>
        <w:t>CAR-T</w:t>
      </w:r>
      <w:r>
        <w:rPr>
          <w:spacing w:val="-41"/>
        </w:rPr>
        <w:t> 的 </w:t>
      </w:r>
      <w:r>
        <w:rPr/>
        <w:t>GMP</w:t>
      </w:r>
      <w:r>
        <w:rPr>
          <w:spacing w:val="-8"/>
        </w:rPr>
        <w:t> 制备工艺主要包括：</w:t>
      </w:r>
      <w:r>
        <w:rPr>
          <w:spacing w:val="-5"/>
        </w:rPr>
        <w:t>T</w:t>
      </w:r>
      <w:r>
        <w:rPr>
          <w:spacing w:val="-9"/>
        </w:rPr>
        <w:t> 细胞收集和分离、</w:t>
      </w:r>
      <w:r>
        <w:rPr/>
        <w:t>T</w:t>
      </w:r>
      <w:r>
        <w:rPr>
          <w:spacing w:val="-9"/>
        </w:rPr>
        <w:t> 细胞激活和修饰、</w:t>
      </w:r>
      <w:r>
        <w:rPr/>
        <w:t>T</w:t>
      </w:r>
      <w:r>
        <w:rPr>
          <w:spacing w:val="-12"/>
        </w:rPr>
        <w:t> 细胞扩增、</w:t>
      </w:r>
      <w:r>
        <w:rPr/>
        <w:t>T</w:t>
      </w:r>
      <w:r>
        <w:rPr>
          <w:spacing w:val="-32"/>
        </w:rPr>
        <w:t> 细</w:t>
      </w:r>
      <w:r>
        <w:rPr>
          <w:spacing w:val="-34"/>
        </w:rPr>
        <w:t>胞收获与回输。生产过程通常需要 </w:t>
      </w:r>
      <w:r>
        <w:rPr/>
        <w:t>5～10</w:t>
      </w:r>
      <w:r>
        <w:rPr>
          <w:spacing w:val="-13"/>
        </w:rPr>
        <w:t> 天，从收集到回输需要 </w:t>
      </w:r>
      <w:r>
        <w:rPr/>
        <w:t>2～4</w:t>
      </w:r>
      <w:r>
        <w:rPr>
          <w:spacing w:val="-30"/>
        </w:rPr>
        <w:t> 周</w:t>
      </w:r>
      <w:r>
        <w:rPr/>
        <w:t>（根据患者的临床状态和化疗预处理方案确定）。</w:t>
      </w:r>
    </w:p>
    <w:p>
      <w:pPr>
        <w:pStyle w:val="BodyText"/>
        <w:spacing w:line="297" w:lineRule="auto"/>
        <w:ind w:right="1008" w:firstLine="480"/>
      </w:pPr>
      <w:r>
        <w:rPr/>
        <w:t>CAR-T</w:t>
      </w:r>
      <w:r>
        <w:rPr>
          <w:spacing w:val="-17"/>
        </w:rPr>
        <w:t> 细胞制造是一个非常复杂的过程，制造难、成本高已经成为行业发展的瓶颈问题。</w:t>
      </w:r>
      <w:r>
        <w:rPr>
          <w:spacing w:val="-10"/>
        </w:rPr>
        <w:t>目前，吉利德和诺华公司均采用的是集中生产模式，首先在医院中提取患者的 </w:t>
      </w:r>
      <w:r>
        <w:rPr/>
        <w:t>T</w:t>
      </w:r>
      <w:r>
        <w:rPr>
          <w:spacing w:val="-17"/>
        </w:rPr>
        <w:t> 细胞，然后</w:t>
      </w:r>
      <w:r>
        <w:rPr>
          <w:spacing w:val="-18"/>
        </w:rPr>
        <w:t>将这些细胞运送至制造中心，在制造中心对 </w:t>
      </w:r>
      <w:r>
        <w:rPr/>
        <w:t>T</w:t>
      </w:r>
      <w:r>
        <w:rPr>
          <w:spacing w:val="-8"/>
        </w:rPr>
        <w:t> 细胞进行基因工程设计，最后将设计后的 </w:t>
      </w:r>
      <w:r>
        <w:rPr/>
        <w:t>T </w:t>
      </w:r>
      <w:r>
        <w:rPr>
          <w:spacing w:val="-9"/>
        </w:rPr>
        <w:t>细胞运回医院回输至患者体内。然而，无论使用何种制造模式，成功的 </w:t>
      </w:r>
      <w:r>
        <w:rPr/>
        <w:t>CAR-T</w:t>
      </w:r>
      <w:r>
        <w:rPr>
          <w:spacing w:val="-9"/>
        </w:rPr>
        <w:t> 细胞制造都依</w:t>
      </w:r>
      <w:r>
        <w:rPr>
          <w:spacing w:val="-13"/>
        </w:rPr>
        <w:t>赖于端到端流程的优化能力，包括工作流程的简化、产能规划以及生产的可扩展性等等。自</w:t>
      </w:r>
      <w:r>
        <w:rPr>
          <w:spacing w:val="-11"/>
        </w:rPr>
        <w:t>动化、全封闭的新一代制造工艺是未来发展趋势，目前市场上已经有一些解决方案，如博雅</w:t>
      </w:r>
    </w:p>
    <w:p>
      <w:pPr>
        <w:pStyle w:val="BodyText"/>
        <w:tabs>
          <w:tab w:pos="6278" w:val="left" w:leader="none"/>
        </w:tabs>
        <w:spacing w:line="237" w:lineRule="auto"/>
        <w:ind w:right="1145"/>
        <w:rPr>
          <w:rFonts w:ascii="微软雅黑" w:eastAsia="微软雅黑" w:hint="eastAsia"/>
          <w:b/>
        </w:rPr>
      </w:pPr>
      <w:r>
        <w:rPr/>
        <w:t>控股集团旗下的</w:t>
      </w:r>
      <w:r>
        <w:rPr>
          <w:spacing w:val="-61"/>
        </w:rPr>
        <w:t> </w:t>
      </w:r>
      <w:r>
        <w:rPr/>
        <w:t>CAR-TXpress、美天旎的</w:t>
      </w:r>
      <w:r>
        <w:rPr>
          <w:spacing w:val="-60"/>
        </w:rPr>
        <w:t> </w:t>
      </w:r>
      <w:r>
        <w:rPr/>
        <w:t>CliniMACS</w:t>
        <w:tab/>
        <w:t>Prodigy</w:t>
      </w:r>
      <w:r>
        <w:rPr>
          <w:spacing w:val="-64"/>
        </w:rPr>
        <w:t> </w:t>
      </w:r>
      <w:r>
        <w:rPr/>
        <w:t>以及</w:t>
      </w:r>
      <w:r>
        <w:rPr>
          <w:spacing w:val="-64"/>
        </w:rPr>
        <w:t> </w:t>
      </w:r>
      <w:r>
        <w:rPr/>
        <w:t>GE</w:t>
      </w:r>
      <w:r>
        <w:rPr>
          <w:spacing w:val="-64"/>
        </w:rPr>
        <w:t> </w:t>
      </w:r>
      <w:r>
        <w:rPr/>
        <w:t>公司的</w:t>
      </w:r>
      <w:r>
        <w:rPr>
          <w:spacing w:val="-64"/>
        </w:rPr>
        <w:t> </w:t>
      </w:r>
      <w:r>
        <w:rPr/>
        <w:t>FlexFactory 等。</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BodyText"/>
        <w:spacing w:before="1"/>
        <w:ind w:left="0"/>
        <w:rPr>
          <w:rFonts w:ascii="微软雅黑"/>
          <w:b/>
          <w:sz w:val="9"/>
        </w:rPr>
      </w:pPr>
    </w:p>
    <w:p>
      <w:pPr>
        <w:spacing w:after="0"/>
        <w:rPr>
          <w:rFonts w:ascii="微软雅黑"/>
          <w:sz w:val="9"/>
        </w:rPr>
        <w:sectPr>
          <w:pgSz w:w="11910" w:h="16850"/>
          <w:pgMar w:header="906" w:footer="607" w:top="1100" w:bottom="800" w:left="640" w:right="0"/>
        </w:sectPr>
      </w:pPr>
    </w:p>
    <w:p>
      <w:pPr>
        <w:pStyle w:val="Heading4"/>
        <w:spacing w:before="54"/>
        <w:ind w:left="3174"/>
      </w:pPr>
      <w:bookmarkStart w:name="_TOC_250034" w:id="8"/>
      <w:r>
        <w:rPr/>
        <w:t>CAR-T</w:t>
      </w:r>
      <w:bookmarkEnd w:id="8"/>
      <w:r>
        <w:rPr>
          <w:spacing w:val="-11"/>
        </w:rPr>
        <w:t> 疗法的局限性及研发方向</w:t>
      </w:r>
    </w:p>
    <w:p>
      <w:pPr>
        <w:pStyle w:val="BodyText"/>
        <w:ind w:left="0"/>
        <w:rPr>
          <w:b/>
        </w:rPr>
      </w:pPr>
      <w:r>
        <w:rPr/>
        <w:br w:type="column"/>
      </w:r>
      <w:r>
        <w:rPr>
          <w:b/>
        </w:rPr>
      </w:r>
    </w:p>
    <w:p>
      <w:pPr>
        <w:pStyle w:val="BodyText"/>
        <w:spacing w:before="7"/>
        <w:ind w:left="0"/>
        <w:rPr>
          <w:b/>
          <w:sz w:val="23"/>
        </w:rPr>
      </w:pPr>
    </w:p>
    <w:p>
      <w:pPr>
        <w:pStyle w:val="Heading8"/>
        <w:ind w:left="91"/>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640" w:right="0"/>
          <w:cols w:num="2" w:equalWidth="0">
            <w:col w:w="7594" w:space="40"/>
            <w:col w:w="3636"/>
          </w:cols>
        </w:sectPr>
      </w:pPr>
    </w:p>
    <w:p>
      <w:pPr>
        <w:pStyle w:val="BodyText"/>
        <w:spacing w:line="297" w:lineRule="auto" w:before="98"/>
        <w:ind w:right="1130" w:firstLine="480"/>
        <w:jc w:val="both"/>
      </w:pPr>
      <w:r>
        <w:rPr/>
        <w:t>CAR-T</w:t>
      </w:r>
      <w:r>
        <w:rPr>
          <w:spacing w:val="-11"/>
        </w:rPr>
        <w:t> 疗法在治疗急性白血病和非霍奇金淋巴瘤上具有显著疗效，为部分复发或难治性</w:t>
      </w:r>
      <w:r>
        <w:rPr>
          <w:spacing w:val="-4"/>
        </w:rPr>
        <w:t>血液肿瘤患者带来了新希望，但 </w:t>
      </w:r>
      <w:r>
        <w:rPr/>
        <w:t>CAR-T</w:t>
      </w:r>
      <w:r>
        <w:rPr>
          <w:spacing w:val="-8"/>
        </w:rPr>
        <w:t> 疗法作为一个新兴领域，目前也存在一些局限性。</w:t>
      </w:r>
    </w:p>
    <w:p>
      <w:pPr>
        <w:pStyle w:val="Heading8"/>
        <w:spacing w:line="304" w:lineRule="exact"/>
      </w:pPr>
      <w:r>
        <w:rPr/>
        <w:t>CAR-T 疗法的局限性</w:t>
      </w:r>
    </w:p>
    <w:p>
      <w:pPr>
        <w:pStyle w:val="BodyText"/>
        <w:spacing w:line="295" w:lineRule="auto" w:before="75"/>
        <w:ind w:right="1127" w:firstLine="480"/>
        <w:jc w:val="both"/>
      </w:pPr>
      <w:r>
        <w:rPr>
          <w:spacing w:val="-10"/>
        </w:rPr>
        <w:t>一是已知的毒副作用。目前已知 </w:t>
      </w:r>
      <w:r>
        <w:rPr/>
        <w:t>CAR-T</w:t>
      </w:r>
      <w:r>
        <w:rPr>
          <w:spacing w:val="-12"/>
        </w:rPr>
        <w:t> 疗法的毒副作用包括：细胞因子风暴或细胞因子</w:t>
      </w:r>
      <w:r>
        <w:rPr/>
        <w:t>释放综合征（CRS）、神经毒性和脱靶效应等。</w:t>
      </w:r>
    </w:p>
    <w:p>
      <w:pPr>
        <w:pStyle w:val="BodyText"/>
        <w:spacing w:line="297" w:lineRule="auto" w:before="2"/>
        <w:ind w:right="1126" w:firstLine="480"/>
        <w:jc w:val="both"/>
      </w:pPr>
      <w:r>
        <w:rPr/>
        <w:t>CRS</w:t>
      </w:r>
      <w:r>
        <w:rPr>
          <w:spacing w:val="-10"/>
        </w:rPr>
        <w:t> 主要表现为高烧、肌肉酸痛、呕吐、心动过速／低血压、弥漫性血管内凝血、心肺</w:t>
      </w:r>
      <w:r>
        <w:rPr>
          <w:spacing w:val="-19"/>
        </w:rPr>
        <w:t>功能障碍等症状。轻度 </w:t>
      </w:r>
      <w:r>
        <w:rPr/>
        <w:t>CRS</w:t>
      </w:r>
      <w:r>
        <w:rPr>
          <w:spacing w:val="-13"/>
        </w:rPr>
        <w:t> 可通过辅助疗法加以治疗，如使用类固醇药物或者细胞因子阻断</w:t>
      </w:r>
      <w:r>
        <w:rPr>
          <w:spacing w:val="-15"/>
        </w:rPr>
        <w:t>性药物；重度 </w:t>
      </w:r>
      <w:r>
        <w:rPr/>
        <w:t>CRS</w:t>
      </w:r>
      <w:r>
        <w:rPr>
          <w:spacing w:val="-13"/>
        </w:rPr>
        <w:t> 还需依靠血管活性升压药、抗癫痫药等缓解症状。神经毒性临床上多呈现</w:t>
      </w:r>
      <w:r>
        <w:rPr>
          <w:spacing w:val="-11"/>
        </w:rPr>
        <w:t>患者意识混乱、失语、脑水肿等症状，通常在 </w:t>
      </w:r>
      <w:r>
        <w:rPr/>
        <w:t>CAR-T</w:t>
      </w:r>
      <w:r>
        <w:rPr>
          <w:spacing w:val="-14"/>
        </w:rPr>
        <w:t> 细胞回输后的第 </w:t>
      </w:r>
      <w:r>
        <w:rPr/>
        <w:t>4~5</w:t>
      </w:r>
      <w:r>
        <w:rPr>
          <w:spacing w:val="-12"/>
        </w:rPr>
        <w:t> 天产生，目前该副</w:t>
      </w:r>
      <w:r>
        <w:rPr>
          <w:spacing w:val="-7"/>
        </w:rPr>
        <w:t>作用的发生机制尚不十分明确，出现轻微临床体征的患者可在几天后自行缓解；严重情况下</w:t>
      </w:r>
      <w:r>
        <w:rPr>
          <w:spacing w:val="-9"/>
        </w:rPr>
        <w:t>需配合地塞米松辅助治疗，通常可在约 </w:t>
      </w:r>
      <w:r>
        <w:rPr/>
        <w:t>4</w:t>
      </w:r>
      <w:r>
        <w:rPr>
          <w:spacing w:val="-15"/>
        </w:rPr>
        <w:t> 周内缓解。脱靶效应是指 </w:t>
      </w:r>
      <w:r>
        <w:rPr/>
        <w:t>CAR-T</w:t>
      </w:r>
      <w:r>
        <w:rPr>
          <w:spacing w:val="-9"/>
        </w:rPr>
        <w:t> 细胞在攻击肿瘤细</w:t>
      </w:r>
      <w:r>
        <w:rPr>
          <w:spacing w:val="-10"/>
        </w:rPr>
        <w:t>胞时，误伤了同样表达靶点抗原的正常组织细胞，从而引起正常组织损伤或免疫缺陷，严重</w:t>
      </w:r>
      <w:r>
        <w:rPr>
          <w:spacing w:val="-4"/>
        </w:rPr>
        <w:t>时会导致患者死亡。脱靶效应是 </w:t>
      </w:r>
      <w:r>
        <w:rPr/>
        <w:t>CAR-T</w:t>
      </w:r>
      <w:r>
        <w:rPr>
          <w:spacing w:val="-8"/>
        </w:rPr>
        <w:t> 疗法最主要的毒副作用之一。</w:t>
      </w:r>
    </w:p>
    <w:p>
      <w:pPr>
        <w:spacing w:after="0" w:line="297" w:lineRule="auto"/>
        <w:jc w:val="both"/>
        <w:sectPr>
          <w:type w:val="continuous"/>
          <w:pgSz w:w="11910" w:h="16850"/>
          <w:pgMar w:top="1100" w:bottom="1020" w:left="640" w:right="0"/>
        </w:sectPr>
      </w:pPr>
    </w:p>
    <w:p>
      <w:pPr>
        <w:pStyle w:val="BodyText"/>
        <w:spacing w:line="295" w:lineRule="auto" w:before="65"/>
        <w:ind w:right="1126" w:firstLine="480"/>
        <w:jc w:val="both"/>
      </w:pPr>
      <w:r>
        <w:rPr>
          <w:spacing w:val="-4"/>
        </w:rPr>
        <w:t>二是治疗效果待提高。仅从短时间内的治疗效果看，CAR-T</w:t>
      </w:r>
      <w:r>
        <w:rPr>
          <w:spacing w:val="-9"/>
        </w:rPr>
        <w:t> 疗法对某些血液肿瘤的治疗</w:t>
      </w:r>
      <w:r>
        <w:rPr>
          <w:spacing w:val="-11"/>
        </w:rPr>
        <w:t>效果十分显著，但若将观察期限进一步延长则发现，许多患者在经过 </w:t>
      </w:r>
      <w:r>
        <w:rPr/>
        <w:t>CAR-T</w:t>
      </w:r>
      <w:r>
        <w:rPr>
          <w:spacing w:val="-10"/>
        </w:rPr>
        <w:t> 治疗几个月或更</w:t>
      </w:r>
      <w:r>
        <w:rPr/>
        <w:t>长时间后，会出现肿瘤复发的现象，影响患者预后。</w:t>
      </w:r>
    </w:p>
    <w:p>
      <w:pPr>
        <w:pStyle w:val="BodyText"/>
        <w:spacing w:line="297" w:lineRule="auto" w:before="5"/>
        <w:ind w:right="1012" w:firstLine="480"/>
      </w:pPr>
      <w:r>
        <w:rPr>
          <w:spacing w:val="-1"/>
        </w:rPr>
        <w:t>和血液肿瘤相比，</w:t>
      </w:r>
      <w:r>
        <w:rPr>
          <w:spacing w:val="-3"/>
        </w:rPr>
        <w:t>CAR-T</w:t>
      </w:r>
      <w:r>
        <w:rPr>
          <w:spacing w:val="-10"/>
        </w:rPr>
        <w:t> 疗法在实体瘤方面遇到的问题更为棘手。一方面，实体瘤发生部位不像血液系统散布全身，CAR-T</w:t>
      </w:r>
      <w:r>
        <w:rPr>
          <w:spacing w:val="-16"/>
        </w:rPr>
        <w:t> 细胞需抵达实体瘤病灶，并浸润到肿瘤内部；另一方面， </w:t>
      </w:r>
      <w:r>
        <w:rPr>
          <w:spacing w:val="-20"/>
        </w:rPr>
        <w:t>即使 </w:t>
      </w:r>
      <w:r>
        <w:rPr/>
        <w:t>CAR-T</w:t>
      </w:r>
      <w:r>
        <w:rPr>
          <w:spacing w:val="-16"/>
        </w:rPr>
        <w:t> 细胞能够浸润到实体瘤内部，也会面临其内部免疫微环境的抑制，影响 </w:t>
      </w:r>
      <w:r>
        <w:rPr/>
        <w:t>T</w:t>
      </w:r>
      <w:r>
        <w:rPr>
          <w:spacing w:val="-15"/>
        </w:rPr>
        <w:t> 细胞正</w:t>
      </w:r>
      <w:r>
        <w:rPr>
          <w:spacing w:val="-13"/>
        </w:rPr>
        <w:t>常发挥作用。此外，实体瘤内部微环境存在偏酸、缺氧及营养缺乏等情况，也不利于 </w:t>
      </w:r>
      <w:r>
        <w:rPr/>
        <w:t>CAR-T 细胞发挥作用。</w:t>
      </w:r>
    </w:p>
    <w:p>
      <w:pPr>
        <w:pStyle w:val="BodyText"/>
        <w:spacing w:line="297" w:lineRule="auto"/>
        <w:ind w:right="1025" w:firstLine="480"/>
      </w:pPr>
      <w:r>
        <w:rPr/>
        <w:t>三是难以产业化。CAR-T</w:t>
      </w:r>
      <w:r>
        <w:rPr>
          <w:spacing w:val="-12"/>
        </w:rPr>
        <w:t> 疗法费用昂贵。目前，已获批的 </w:t>
      </w:r>
      <w:r>
        <w:rPr/>
        <w:t>CAR-T</w:t>
      </w:r>
      <w:r>
        <w:rPr>
          <w:spacing w:val="-14"/>
        </w:rPr>
        <w:t> 产品和绝大多数 </w:t>
      </w:r>
      <w:r>
        <w:rPr/>
        <w:t>CAR-T </w:t>
      </w:r>
      <w:r>
        <w:rPr>
          <w:spacing w:val="-5"/>
        </w:rPr>
        <w:t>临床试验都是使用自体型 </w:t>
      </w:r>
      <w:r>
        <w:rPr>
          <w:spacing w:val="-4"/>
        </w:rPr>
        <w:t>CAR-T</w:t>
      </w:r>
      <w:r>
        <w:rPr>
          <w:spacing w:val="-9"/>
        </w:rPr>
        <w:t>，即以患者自身的 </w:t>
      </w:r>
      <w:r>
        <w:rPr/>
        <w:t>T</w:t>
      </w:r>
      <w:r>
        <w:rPr>
          <w:spacing w:val="-9"/>
        </w:rPr>
        <w:t> 细胞为起始材料，这种“私人订制”疗法的生产成本较高。诺华、Kite</w:t>
      </w:r>
      <w:r>
        <w:rPr>
          <w:spacing w:val="-24"/>
        </w:rPr>
        <w:t> 获批的 </w:t>
      </w:r>
      <w:r>
        <w:rPr/>
        <w:t>CAR-T</w:t>
      </w:r>
      <w:r>
        <w:rPr>
          <w:spacing w:val="-14"/>
        </w:rPr>
        <w:t> 产品定价分别为 </w:t>
      </w:r>
      <w:r>
        <w:rPr/>
        <w:t>47.5</w:t>
      </w:r>
      <w:r>
        <w:rPr>
          <w:spacing w:val="-12"/>
        </w:rPr>
        <w:t> 万美元、</w:t>
      </w:r>
      <w:r>
        <w:rPr/>
        <w:t>37.3</w:t>
      </w:r>
      <w:r>
        <w:rPr>
          <w:spacing w:val="-16"/>
        </w:rPr>
        <w:t> 万美元， </w:t>
      </w:r>
      <w:r>
        <w:rPr>
          <w:spacing w:val="-11"/>
        </w:rPr>
        <w:t>高昂的价格限制了其市场潜力。诺华旗下的 </w:t>
      </w:r>
      <w:r>
        <w:rPr/>
        <w:t>CAR-T</w:t>
      </w:r>
      <w:r>
        <w:rPr>
          <w:spacing w:val="-24"/>
        </w:rPr>
        <w:t> 产品在 </w:t>
      </w:r>
      <w:r>
        <w:rPr/>
        <w:t>2018</w:t>
      </w:r>
      <w:r>
        <w:rPr>
          <w:spacing w:val="-14"/>
        </w:rPr>
        <w:t> 年第一季度取得了 </w:t>
      </w:r>
      <w:r>
        <w:rPr/>
        <w:t>1200</w:t>
      </w:r>
      <w:r>
        <w:rPr>
          <w:spacing w:val="-20"/>
        </w:rPr>
        <w:t> 万美元的营收，只达到了预期的三成；Kite</w:t>
      </w:r>
      <w:r>
        <w:rPr>
          <w:spacing w:val="-40"/>
        </w:rPr>
        <w:t> 的 </w:t>
      </w:r>
      <w:r>
        <w:rPr/>
        <w:t>CAR-T</w:t>
      </w:r>
      <w:r>
        <w:rPr>
          <w:spacing w:val="-8"/>
        </w:rPr>
        <w:t> 产品在获批后两个月内的销售额也不及预期。</w:t>
      </w:r>
    </w:p>
    <w:p>
      <w:pPr>
        <w:pStyle w:val="BodyText"/>
        <w:spacing w:line="297" w:lineRule="auto"/>
        <w:ind w:right="1127" w:firstLine="480"/>
        <w:jc w:val="both"/>
      </w:pPr>
      <w:r>
        <w:rPr>
          <w:spacing w:val="-1"/>
        </w:rPr>
        <w:t>除费用高昂外，</w:t>
      </w:r>
      <w:r>
        <w:rPr>
          <w:spacing w:val="-4"/>
        </w:rPr>
        <w:t>CAR-T</w:t>
      </w:r>
      <w:r>
        <w:rPr>
          <w:spacing w:val="-13"/>
        </w:rPr>
        <w:t> 疗法质量稳定性也比较差。患者自身的 </w:t>
      </w:r>
      <w:r>
        <w:rPr/>
        <w:t>T</w:t>
      </w:r>
      <w:r>
        <w:rPr>
          <w:spacing w:val="-9"/>
        </w:rPr>
        <w:t> 细胞通常都存在质量与</w:t>
      </w:r>
      <w:r>
        <w:rPr>
          <w:spacing w:val="-10"/>
        </w:rPr>
        <w:t>数量的缺陷，不同批次产品之间质量的稳定性较差，难以达到大规模的工业化生产及标准化</w:t>
      </w:r>
      <w:r>
        <w:rPr/>
        <w:t>的质量控制。</w:t>
      </w:r>
    </w:p>
    <w:p>
      <w:pPr>
        <w:pStyle w:val="BodyText"/>
        <w:spacing w:line="304" w:lineRule="exact"/>
        <w:ind w:left="1117"/>
      </w:pPr>
      <w:r>
        <w:rPr/>
        <w:t>CAR-T 的研发方向</w:t>
      </w:r>
    </w:p>
    <w:p>
      <w:pPr>
        <w:pStyle w:val="BodyText"/>
        <w:spacing w:line="295" w:lineRule="auto" w:before="59"/>
        <w:ind w:right="1128" w:firstLine="480"/>
      </w:pPr>
      <w:r>
        <w:rPr>
          <w:spacing w:val="-21"/>
        </w:rPr>
        <w:t>基于 </w:t>
      </w:r>
      <w:r>
        <w:rPr/>
        <w:t>CAR-T</w:t>
      </w:r>
      <w:r>
        <w:rPr>
          <w:spacing w:val="-14"/>
        </w:rPr>
        <w:t> 治疗暴露出的局限性，目前有关 </w:t>
      </w:r>
      <w:r>
        <w:rPr/>
        <w:t>CAR-T</w:t>
      </w:r>
      <w:r>
        <w:rPr>
          <w:spacing w:val="-12"/>
        </w:rPr>
        <w:t> 的研究和开发，主要围绕以下三方面</w:t>
      </w:r>
      <w:r>
        <w:rPr/>
        <w:t>展开：</w:t>
      </w:r>
    </w:p>
    <w:p>
      <w:pPr>
        <w:pStyle w:val="BodyText"/>
        <w:spacing w:line="297" w:lineRule="auto" w:before="2"/>
        <w:ind w:right="1128" w:firstLine="480"/>
      </w:pPr>
      <w:r>
        <w:rPr>
          <w:spacing w:val="-13"/>
        </w:rPr>
        <w:t>一是降低 </w:t>
      </w:r>
      <w:r>
        <w:rPr/>
        <w:t>CAR-T</w:t>
      </w:r>
      <w:r>
        <w:rPr>
          <w:spacing w:val="-14"/>
        </w:rPr>
        <w:t> 细胞毒性。</w:t>
      </w:r>
      <w:r>
        <w:rPr/>
        <w:t>CAR-T</w:t>
      </w:r>
      <w:r>
        <w:rPr>
          <w:spacing w:val="-10"/>
        </w:rPr>
        <w:t> 疗法表现出的毒副作用说明，需要开发一些控制程序</w:t>
      </w:r>
      <w:r>
        <w:rPr>
          <w:spacing w:val="-16"/>
        </w:rPr>
        <w:t>来调控 </w:t>
      </w:r>
      <w:r>
        <w:rPr/>
        <w:t>CAR</w:t>
      </w:r>
      <w:r>
        <w:rPr>
          <w:spacing w:val="-15"/>
        </w:rPr>
        <w:t> 的活性。目前已经有大量方法用于控制 </w:t>
      </w:r>
      <w:r>
        <w:rPr/>
        <w:t>CAR-T</w:t>
      </w:r>
      <w:r>
        <w:rPr>
          <w:spacing w:val="-12"/>
        </w:rPr>
        <w:t> 的安全性，比如通过安装自杀开关</w:t>
      </w:r>
      <w:r>
        <w:rPr>
          <w:spacing w:val="-8"/>
        </w:rPr>
        <w:t>对移植细胞进行快速清除，这种开关可通过小分子或者抗体来控制。常用的自杀开关包括可</w:t>
      </w:r>
      <w:r>
        <w:rPr>
          <w:spacing w:val="-21"/>
        </w:rPr>
        <w:t>诱导的 </w:t>
      </w:r>
      <w:r>
        <w:rPr/>
        <w:t>caspase-9（iCasp9）</w:t>
      </w:r>
      <w:r>
        <w:rPr>
          <w:spacing w:val="-4"/>
        </w:rPr>
        <w:t>、单纯疱疹病毒中的胸苷激酶</w:t>
      </w:r>
      <w:r>
        <w:rPr/>
        <w:t>（HSV-TK）</w:t>
      </w:r>
      <w:r>
        <w:rPr>
          <w:spacing w:val="-2"/>
        </w:rPr>
        <w:t>及自杀表位等。但自</w:t>
      </w:r>
      <w:r>
        <w:rPr>
          <w:spacing w:val="-7"/>
        </w:rPr>
        <w:t>杀开关也会清除治疗性的 </w:t>
      </w:r>
      <w:r>
        <w:rPr/>
        <w:t>CAR-T</w:t>
      </w:r>
      <w:r>
        <w:rPr>
          <w:spacing w:val="-11"/>
        </w:rPr>
        <w:t> 细胞，引发治疗反应的不可逆终止。因此，不清除 </w:t>
      </w:r>
      <w:r>
        <w:rPr/>
        <w:t>CAR-T </w:t>
      </w:r>
      <w:r>
        <w:rPr>
          <w:spacing w:val="-5"/>
        </w:rPr>
        <w:t>细胞的非细胞毒性的可逆系统对于控制毒性反应也许是有用的。这种可逆系统可以通过可诱</w:t>
      </w:r>
      <w:r>
        <w:rPr>
          <w:spacing w:val="-20"/>
        </w:rPr>
        <w:t>导的 </w:t>
      </w:r>
      <w:r>
        <w:rPr/>
        <w:t>CAR</w:t>
      </w:r>
      <w:r>
        <w:rPr>
          <w:spacing w:val="-10"/>
        </w:rPr>
        <w:t> 来实现，主要有三种方式：可诱导的表达、药物诱导的 </w:t>
      </w:r>
      <w:r>
        <w:rPr/>
        <w:t>CAR</w:t>
      </w:r>
      <w:r>
        <w:rPr>
          <w:spacing w:val="-8"/>
        </w:rPr>
        <w:t> 组装、可开关控制的CAR。</w:t>
      </w:r>
    </w:p>
    <w:p>
      <w:pPr>
        <w:pStyle w:val="BodyText"/>
        <w:spacing w:line="297" w:lineRule="auto"/>
        <w:ind w:right="1004" w:firstLine="480"/>
      </w:pPr>
      <w:r>
        <w:rPr>
          <w:spacing w:val="-21"/>
        </w:rPr>
        <w:t>目前 </w:t>
      </w:r>
      <w:r>
        <w:rPr/>
        <w:t>CAR-T</w:t>
      </w:r>
      <w:r>
        <w:rPr>
          <w:spacing w:val="-13"/>
        </w:rPr>
        <w:t> 靶向的抗原大都为肿瘤相关抗原，在肿瘤细胞表面过度表达，在正常组织中</w:t>
      </w:r>
      <w:r>
        <w:rPr>
          <w:spacing w:val="-20"/>
        </w:rPr>
        <w:t>也有低表达。因此 </w:t>
      </w:r>
      <w:r>
        <w:rPr/>
        <w:t>CAR-T</w:t>
      </w:r>
      <w:r>
        <w:rPr>
          <w:spacing w:val="-13"/>
        </w:rPr>
        <w:t> 疗法会出现脱靶效应，攻击正常组织。“逻辑门”的设计可以减少</w:t>
      </w:r>
      <w:r>
        <w:rPr>
          <w:spacing w:val="-19"/>
        </w:rPr>
        <w:t>对正常组织的杀伤，该设计主要有三种形式，即基于 </w:t>
      </w:r>
      <w:r>
        <w:rPr/>
        <w:t>Notch</w:t>
      </w:r>
      <w:r>
        <w:rPr>
          <w:spacing w:val="-19"/>
        </w:rPr>
        <w:t> 的组装式受体</w:t>
      </w:r>
      <w:r>
        <w:rPr/>
        <w:t>（SynNotch</w:t>
      </w:r>
      <w:r>
        <w:rPr>
          <w:spacing w:val="-20"/>
        </w:rPr>
        <w:t> 受体</w:t>
      </w:r>
      <w:r>
        <w:rPr>
          <w:spacing w:val="-70"/>
        </w:rPr>
        <w:t>）</w:t>
      </w:r>
      <w:r>
        <w:rPr>
          <w:spacing w:val="-15"/>
        </w:rPr>
        <w:t>、</w:t>
      </w:r>
      <w:r>
        <w:rPr>
          <w:spacing w:val="-16"/>
        </w:rPr>
        <w:t>抑制性 </w:t>
      </w:r>
      <w:r>
        <w:rPr/>
        <w:t>CAR（iCAR）</w:t>
      </w:r>
      <w:r>
        <w:rPr>
          <w:spacing w:val="-10"/>
        </w:rPr>
        <w:t>、双特异性 </w:t>
      </w:r>
      <w:r>
        <w:rPr/>
        <w:t>CAR。</w:t>
      </w:r>
    </w:p>
    <w:p>
      <w:pPr>
        <w:pStyle w:val="BodyText"/>
        <w:spacing w:line="297" w:lineRule="auto"/>
        <w:ind w:right="1128" w:firstLine="480"/>
        <w:jc w:val="both"/>
      </w:pPr>
      <w:r>
        <w:rPr>
          <w:spacing w:val="-1"/>
        </w:rPr>
        <w:t>此外，</w:t>
      </w:r>
      <w:r>
        <w:rPr>
          <w:spacing w:val="-3"/>
        </w:rPr>
        <w:t>CAR-T</w:t>
      </w:r>
      <w:r>
        <w:rPr>
          <w:spacing w:val="-11"/>
        </w:rPr>
        <w:t> 的安全性也可通过空间位置加以调控，主要是通过肿瘤微环境的感知，使</w:t>
      </w:r>
      <w:r>
        <w:rPr/>
        <w:t>CAR-T</w:t>
      </w:r>
      <w:r>
        <w:rPr>
          <w:spacing w:val="-11"/>
        </w:rPr>
        <w:t> 细胞只能在肿瘤位点激活，进而杀伤肿瘤细胞。目前这种设计主要有三种方式：“蒙</w:t>
      </w:r>
      <w:r>
        <w:rPr/>
        <w:t>面”CAR、“氧敏”CAR、感知“危险信号”CAR。</w:t>
      </w:r>
    </w:p>
    <w:p>
      <w:pPr>
        <w:pStyle w:val="BodyText"/>
        <w:spacing w:line="297" w:lineRule="auto"/>
        <w:ind w:right="1126" w:firstLine="480"/>
      </w:pPr>
      <w:r>
        <w:rPr>
          <w:spacing w:val="-13"/>
        </w:rPr>
        <w:t>二是提高 </w:t>
      </w:r>
      <w:r>
        <w:rPr/>
        <w:t>CAR-T</w:t>
      </w:r>
      <w:r>
        <w:rPr>
          <w:spacing w:val="-17"/>
        </w:rPr>
        <w:t> 治疗的有效性，尤其在实体瘤中。针对经 </w:t>
      </w:r>
      <w:r>
        <w:rPr/>
        <w:t>CAR-T</w:t>
      </w:r>
      <w:r>
        <w:rPr>
          <w:spacing w:val="-9"/>
        </w:rPr>
        <w:t> 治疗后血液肿瘤可能再</w:t>
      </w:r>
      <w:r>
        <w:rPr>
          <w:spacing w:val="-4"/>
        </w:rPr>
        <w:t>次复发的问题，可以设计同时靶向 </w:t>
      </w:r>
      <w:r>
        <w:rPr/>
        <w:t>CD19</w:t>
      </w:r>
      <w:r>
        <w:rPr>
          <w:spacing w:val="-40"/>
        </w:rPr>
        <w:t> 与 </w:t>
      </w:r>
      <w:r>
        <w:rPr/>
        <w:t>CD22</w:t>
      </w:r>
      <w:r>
        <w:rPr>
          <w:spacing w:val="-20"/>
        </w:rPr>
        <w:t> 分子的双 </w:t>
      </w:r>
      <w:r>
        <w:rPr/>
        <w:t>CAR-T</w:t>
      </w:r>
      <w:r>
        <w:rPr>
          <w:spacing w:val="-6"/>
        </w:rPr>
        <w:t>。已有研究发现，在 </w:t>
      </w:r>
      <w:r>
        <w:rPr/>
        <w:t>CAR-T</w:t>
      </w:r>
    </w:p>
    <w:p>
      <w:pPr>
        <w:spacing w:after="0" w:line="297" w:lineRule="auto"/>
        <w:sectPr>
          <w:pgSz w:w="11910" w:h="16850"/>
          <w:pgMar w:header="906" w:footer="607" w:top="1100" w:bottom="800" w:left="640" w:right="0"/>
        </w:sectPr>
      </w:pPr>
    </w:p>
    <w:p>
      <w:pPr>
        <w:pStyle w:val="BodyText"/>
        <w:spacing w:line="295" w:lineRule="auto" w:before="65"/>
        <w:ind w:right="1145"/>
      </w:pPr>
      <w:r>
        <w:rPr>
          <w:spacing w:val="-5"/>
        </w:rPr>
        <w:t>治疗过程中，一些原本表达 </w:t>
      </w:r>
      <w:r>
        <w:rPr/>
        <w:t>CD19</w:t>
      </w:r>
      <w:r>
        <w:rPr>
          <w:spacing w:val="-13"/>
        </w:rPr>
        <w:t> 的癌细胞可能转而表达 </w:t>
      </w:r>
      <w:r>
        <w:rPr/>
        <w:t>CD22</w:t>
      </w:r>
      <w:r>
        <w:rPr>
          <w:spacing w:val="-18"/>
        </w:rPr>
        <w:t> 蛋白，因此 </w:t>
      </w:r>
      <w:r>
        <w:rPr/>
        <w:t>CD19、CD22</w:t>
      </w:r>
      <w:r>
        <w:rPr>
          <w:spacing w:val="-26"/>
        </w:rPr>
        <w:t> 双管</w:t>
      </w:r>
      <w:r>
        <w:rPr>
          <w:spacing w:val="-7"/>
        </w:rPr>
        <w:t>齐下，理论上能增强 </w:t>
      </w:r>
      <w:r>
        <w:rPr/>
        <w:t>CAR-T</w:t>
      </w:r>
      <w:r>
        <w:rPr>
          <w:spacing w:val="-12"/>
        </w:rPr>
        <w:t> 的效果。</w:t>
      </w:r>
    </w:p>
    <w:p>
      <w:pPr>
        <w:pStyle w:val="BodyText"/>
        <w:spacing w:line="297" w:lineRule="auto" w:before="2"/>
        <w:ind w:right="1009" w:firstLine="480"/>
      </w:pPr>
      <w:r>
        <w:rPr>
          <w:spacing w:val="-17"/>
        </w:rPr>
        <w:t>当前，改善 </w:t>
      </w:r>
      <w:r>
        <w:rPr/>
        <w:t>CAR-T</w:t>
      </w:r>
      <w:r>
        <w:rPr>
          <w:spacing w:val="-11"/>
        </w:rPr>
        <w:t> 疗法在实体瘤中的治疗效果面临巨大的阻碍。一方面，肿瘤微环境中</w:t>
      </w:r>
      <w:r>
        <w:rPr>
          <w:spacing w:val="-18"/>
        </w:rPr>
        <w:t>存在物理屏障，不利于 </w:t>
      </w:r>
      <w:r>
        <w:rPr/>
        <w:t>T</w:t>
      </w:r>
      <w:r>
        <w:rPr>
          <w:spacing w:val="-11"/>
        </w:rPr>
        <w:t> 细胞效应功能发挥的生化和代谢环境，肿瘤细胞表达或分泌的抑制</w:t>
      </w:r>
      <w:r>
        <w:rPr>
          <w:spacing w:val="-14"/>
        </w:rPr>
        <w:t>分子以及大量基质细胞，</w:t>
      </w:r>
      <w:r>
        <w:rPr>
          <w:spacing w:val="-41"/>
        </w:rPr>
        <w:t>T</w:t>
      </w:r>
      <w:r>
        <w:rPr>
          <w:spacing w:val="-12"/>
        </w:rPr>
        <w:t> 细胞必须克服肿瘤微环境中的这些障碍才能杀伤肿瘤；另一方面， </w:t>
      </w:r>
      <w:r>
        <w:rPr>
          <w:spacing w:val="-1"/>
        </w:rPr>
        <w:t>在细胞功能失调或者耗竭前，</w:t>
      </w:r>
      <w:r>
        <w:rPr>
          <w:spacing w:val="-5"/>
        </w:rPr>
        <w:t>T</w:t>
      </w:r>
      <w:r>
        <w:rPr>
          <w:spacing w:val="-10"/>
        </w:rPr>
        <w:t> 细胞激活还需维持，用于清除肿瘤。最理想的状态是，在肿瘤消除后，CAR-T</w:t>
      </w:r>
      <w:r>
        <w:rPr>
          <w:spacing w:val="-8"/>
        </w:rPr>
        <w:t> 细胞仍能维持并形成能提供长期保护的记忆性细胞。</w:t>
      </w:r>
    </w:p>
    <w:p>
      <w:pPr>
        <w:pStyle w:val="BodyText"/>
        <w:spacing w:line="295" w:lineRule="auto"/>
        <w:ind w:right="1126" w:firstLine="480"/>
      </w:pPr>
      <w:r>
        <w:rPr/>
        <w:drawing>
          <wp:anchor distT="0" distB="0" distL="0" distR="0" allowOverlap="1" layoutInCell="1" locked="0" behindDoc="0" simplePos="0" relativeHeight="2">
            <wp:simplePos x="0" y="0"/>
            <wp:positionH relativeFrom="page">
              <wp:posOffset>781684</wp:posOffset>
            </wp:positionH>
            <wp:positionV relativeFrom="paragraph">
              <wp:posOffset>564006</wp:posOffset>
            </wp:positionV>
            <wp:extent cx="5849266" cy="3886200"/>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16" cstate="print"/>
                    <a:stretch>
                      <a:fillRect/>
                    </a:stretch>
                  </pic:blipFill>
                  <pic:spPr>
                    <a:xfrm>
                      <a:off x="0" y="0"/>
                      <a:ext cx="5849266" cy="3886200"/>
                    </a:xfrm>
                    <a:prstGeom prst="rect">
                      <a:avLst/>
                    </a:prstGeom>
                  </pic:spPr>
                </pic:pic>
              </a:graphicData>
            </a:graphic>
          </wp:anchor>
        </w:drawing>
      </w:r>
      <w:r>
        <w:rPr>
          <w:spacing w:val="-12"/>
        </w:rPr>
        <w:t>目前，已经有一些功能性模块用于 </w:t>
      </w:r>
      <w:r>
        <w:rPr/>
        <w:t>CAR-T</w:t>
      </w:r>
      <w:r>
        <w:rPr>
          <w:spacing w:val="-15"/>
        </w:rPr>
        <w:t> 细胞的工程化，将这些模块与 </w:t>
      </w:r>
      <w:r>
        <w:rPr/>
        <w:t>CAR-T</w:t>
      </w:r>
      <w:r>
        <w:rPr>
          <w:spacing w:val="-15"/>
        </w:rPr>
        <w:t> 细胞联合</w:t>
      </w:r>
      <w:r>
        <w:rPr/>
        <w:t>治疗，或可克服以上阻碍（见表）。</w:t>
      </w:r>
    </w:p>
    <w:p>
      <w:pPr>
        <w:pStyle w:val="BodyText"/>
        <w:spacing w:before="4"/>
        <w:ind w:left="0"/>
        <w:rPr>
          <w:sz w:val="23"/>
        </w:rPr>
      </w:pPr>
    </w:p>
    <w:p>
      <w:pPr>
        <w:pStyle w:val="BodyText"/>
        <w:ind w:left="1117"/>
      </w:pPr>
      <w:r>
        <w:rPr/>
        <w:t>三是开发通用型 CAR-T。目前全球主要有 12 家公司从事通用型 CAR-T 开发。</w:t>
      </w:r>
    </w:p>
    <w:p>
      <w:pPr>
        <w:pStyle w:val="BodyText"/>
        <w:spacing w:line="297" w:lineRule="auto" w:before="72"/>
        <w:ind w:right="1026" w:firstLine="480"/>
      </w:pPr>
      <w:r>
        <w:rPr>
          <w:spacing w:val="-7"/>
        </w:rPr>
        <w:t>为患者打造专属的治疗方式，必然价格不菲，但必须正视的是，无论是对商家还是患者</w:t>
      </w:r>
      <w:r>
        <w:rPr>
          <w:spacing w:val="-8"/>
        </w:rPr>
        <w:t>来说，高成本的“个体化生产”以及“个体化治疗”所具有的临床效益都是有限的。因此， </w:t>
      </w:r>
      <w:r>
        <w:rPr>
          <w:spacing w:val="-31"/>
        </w:rPr>
        <w:t>将 </w:t>
      </w:r>
      <w:r>
        <w:rPr/>
        <w:t>CAR-T</w:t>
      </w:r>
      <w:r>
        <w:rPr>
          <w:spacing w:val="-15"/>
        </w:rPr>
        <w:t> 转变为</w:t>
      </w:r>
      <w:r>
        <w:rPr/>
        <w:t>“off-the-shelf”供应链，具备能规模化生产、剂量恒定、疗效优越等优</w:t>
      </w:r>
      <w:r>
        <w:rPr>
          <w:spacing w:val="-11"/>
        </w:rPr>
        <w:t>点才是大势所趋。目前，虽然大多数通用 </w:t>
      </w:r>
      <w:r>
        <w:rPr/>
        <w:t>CAR-T</w:t>
      </w:r>
      <w:r>
        <w:rPr>
          <w:spacing w:val="-10"/>
        </w:rPr>
        <w:t> 的研发还处在临床前或临床早期阶段，但其</w:t>
      </w:r>
      <w:r>
        <w:rPr>
          <w:spacing w:val="-14"/>
        </w:rPr>
        <w:t>极具吸引力的治疗潜力足以作为继续研发的强大推动力。当前已有两款 </w:t>
      </w:r>
      <w:r>
        <w:rPr/>
        <w:t>CAR-T</w:t>
      </w:r>
      <w:r>
        <w:rPr>
          <w:spacing w:val="-17"/>
        </w:rPr>
        <w:t> 疗法上市。如</w:t>
      </w:r>
      <w:r>
        <w:rPr>
          <w:spacing w:val="-26"/>
        </w:rPr>
        <w:t>果通用型 </w:t>
      </w:r>
      <w:r>
        <w:rPr/>
        <w:t>CAR-T</w:t>
      </w:r>
      <w:r>
        <w:rPr>
          <w:spacing w:val="-12"/>
        </w:rPr>
        <w:t> 疗法能够顺利问世，对于患者来说又多了一个全新的治疗方案。而且，如果</w:t>
      </w:r>
      <w:r>
        <w:rPr>
          <w:spacing w:val="-29"/>
        </w:rPr>
        <w:t>异体 </w:t>
      </w:r>
      <w:r>
        <w:rPr/>
        <w:t>CAR-T</w:t>
      </w:r>
      <w:r>
        <w:rPr>
          <w:spacing w:val="-10"/>
        </w:rPr>
        <w:t> 最终可行，单例治疗价格有望大幅下降，生产效率也会大幅提升，</w:t>
      </w:r>
      <w:r>
        <w:rPr>
          <w:spacing w:val="-3"/>
        </w:rPr>
        <w:t>CAR-T</w:t>
      </w:r>
      <w:r>
        <w:rPr>
          <w:spacing w:val="-15"/>
        </w:rPr>
        <w:t> 治疗领</w:t>
      </w:r>
    </w:p>
    <w:p>
      <w:pPr>
        <w:spacing w:line="359" w:lineRule="exact" w:before="0"/>
        <w:ind w:left="637" w:right="0" w:firstLine="0"/>
        <w:jc w:val="left"/>
        <w:rPr>
          <w:rFonts w:ascii="微软雅黑" w:eastAsia="微软雅黑" w:hint="eastAsia"/>
          <w:b/>
          <w:sz w:val="24"/>
        </w:rPr>
      </w:pPr>
      <w:r>
        <w:rPr>
          <w:w w:val="110"/>
          <w:sz w:val="24"/>
        </w:rPr>
        <w:t>域也将迎来重要变革。</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spacing w:after="0" w:line="359" w:lineRule="exact"/>
        <w:jc w:val="left"/>
        <w:rPr>
          <w:rFonts w:ascii="微软雅黑" w:eastAsia="微软雅黑" w:hint="eastAsia"/>
          <w:sz w:val="24"/>
        </w:rPr>
        <w:sectPr>
          <w:pgSz w:w="11910" w:h="16850"/>
          <w:pgMar w:header="906" w:footer="607" w:top="1100" w:bottom="800" w:left="640" w:right="0"/>
        </w:sectPr>
      </w:pPr>
    </w:p>
    <w:p>
      <w:pPr>
        <w:pStyle w:val="Heading4"/>
        <w:spacing w:line="395" w:lineRule="exact"/>
        <w:ind w:left="3253"/>
      </w:pPr>
      <w:bookmarkStart w:name="_TOC_250033" w:id="9"/>
      <w:r>
        <w:rPr/>
        <w:t>12</w:t>
      </w:r>
      <w:r>
        <w:rPr>
          <w:spacing w:val="-22"/>
        </w:rPr>
        <w:t> 家开发通用型 </w:t>
      </w:r>
      <w:r>
        <w:rPr/>
        <w:t>CAR-T</w:t>
      </w:r>
      <w:bookmarkEnd w:id="9"/>
      <w:r>
        <w:rPr>
          <w:spacing w:val="-24"/>
        </w:rPr>
        <w:t> 的公司</w:t>
      </w:r>
    </w:p>
    <w:p>
      <w:pPr>
        <w:pStyle w:val="BodyText"/>
        <w:ind w:left="0"/>
        <w:rPr>
          <w:b/>
        </w:rPr>
      </w:pPr>
      <w:r>
        <w:rPr/>
        <w:br w:type="column"/>
      </w:r>
      <w:r>
        <w:rPr>
          <w:b/>
        </w:rPr>
      </w:r>
    </w:p>
    <w:p>
      <w:pPr>
        <w:pStyle w:val="BodyText"/>
        <w:spacing w:before="2"/>
        <w:ind w:left="0"/>
        <w:rPr>
          <w:b/>
          <w:sz w:val="18"/>
        </w:rPr>
      </w:pPr>
    </w:p>
    <w:p>
      <w:pPr>
        <w:pStyle w:val="Heading8"/>
        <w:ind w:left="166"/>
        <w:rPr>
          <w:rFonts w:ascii="楷体" w:eastAsia="楷体" w:hint="eastAsia"/>
        </w:rPr>
      </w:pPr>
      <w:r>
        <w:rPr>
          <w:rFonts w:ascii="楷体" w:eastAsia="楷体" w:hint="eastAsia"/>
          <w:color w:val="FF0000"/>
        </w:rPr>
        <w:t>（来源：中国医药报）</w:t>
      </w:r>
    </w:p>
    <w:p>
      <w:pPr>
        <w:spacing w:after="0"/>
        <w:rPr>
          <w:rFonts w:ascii="楷体" w:eastAsia="楷体" w:hint="eastAsia"/>
        </w:rPr>
        <w:sectPr>
          <w:pgSz w:w="11910" w:h="16850"/>
          <w:pgMar w:header="906" w:footer="607" w:top="1100" w:bottom="800" w:left="640" w:right="0"/>
          <w:cols w:num="2" w:equalWidth="0">
            <w:col w:w="7520" w:space="40"/>
            <w:col w:w="3710"/>
          </w:cols>
        </w:sectPr>
      </w:pPr>
    </w:p>
    <w:p>
      <w:pPr>
        <w:pStyle w:val="BodyText"/>
        <w:tabs>
          <w:tab w:pos="2689" w:val="left" w:leader="none"/>
          <w:tab w:pos="4261" w:val="left" w:leader="none"/>
          <w:tab w:pos="8520" w:val="left" w:leader="none"/>
        </w:tabs>
        <w:spacing w:line="297" w:lineRule="auto" w:before="96"/>
        <w:ind w:right="1128" w:firstLine="480"/>
      </w:pPr>
      <w:r>
        <w:rPr>
          <w:b/>
        </w:rPr>
        <w:t>Gilead/Kite</w:t>
        <w:tab/>
        <w:t>(Sangamo)</w:t>
        <w:tab/>
      </w:r>
      <w:r>
        <w:rPr/>
        <w:t>2018</w:t>
      </w:r>
      <w:r>
        <w:rPr>
          <w:spacing w:val="-61"/>
        </w:rPr>
        <w:t> </w:t>
      </w:r>
      <w:r>
        <w:rPr/>
        <w:t>年</w:t>
      </w:r>
      <w:r>
        <w:rPr>
          <w:spacing w:val="-60"/>
        </w:rPr>
        <w:t> </w:t>
      </w:r>
      <w:r>
        <w:rPr/>
        <w:t>2</w:t>
      </w:r>
      <w:r>
        <w:rPr>
          <w:spacing w:val="-61"/>
        </w:rPr>
        <w:t> </w:t>
      </w:r>
      <w:r>
        <w:rPr/>
        <w:t>月，Gilead/Kite</w:t>
      </w:r>
      <w:r>
        <w:rPr>
          <w:spacing w:val="-60"/>
        </w:rPr>
        <w:t> </w:t>
      </w:r>
      <w:r>
        <w:rPr/>
        <w:t>与</w:t>
      </w:r>
      <w:r>
        <w:rPr>
          <w:spacing w:val="-60"/>
        </w:rPr>
        <w:t> </w:t>
      </w:r>
      <w:r>
        <w:rPr/>
        <w:t>Sangamo</w:t>
        <w:tab/>
        <w:t>Therapeutics 共同宣布已经达成全球合作，Gilead/Kite</w:t>
      </w:r>
      <w:r>
        <w:rPr>
          <w:spacing w:val="-59"/>
        </w:rPr>
        <w:t> </w:t>
      </w:r>
      <w:r>
        <w:rPr/>
        <w:t>将使用</w:t>
      </w:r>
      <w:r>
        <w:rPr>
          <w:spacing w:val="-59"/>
        </w:rPr>
        <w:t> </w:t>
      </w:r>
      <w:r>
        <w:rPr/>
        <w:t>Sangamo</w:t>
      </w:r>
      <w:r>
        <w:rPr>
          <w:spacing w:val="-59"/>
        </w:rPr>
        <w:t> </w:t>
      </w:r>
      <w:r>
        <w:rPr/>
        <w:t>的锌指核酸</w:t>
      </w:r>
      <w:r>
        <w:rPr>
          <w:spacing w:val="-82"/>
        </w:rPr>
        <w:t>酶</w:t>
      </w:r>
      <w:r>
        <w:rPr>
          <w:spacing w:val="-17"/>
        </w:rPr>
        <w:t>（ZFN）</w:t>
      </w:r>
      <w:r>
        <w:rPr/>
        <w:t>技术平台</w:t>
      </w:r>
      <w:r>
        <w:rPr>
          <w:spacing w:val="-15"/>
        </w:rPr>
        <w:t>， </w:t>
      </w:r>
      <w:r>
        <w:rPr/>
        <w:t>开发下一代治疗不同肿瘤的自体和异体细胞疗法。作为编辑免疫细胞的工具</w:t>
      </w:r>
      <w:r>
        <w:rPr>
          <w:spacing w:val="-104"/>
        </w:rPr>
        <w:t>，</w:t>
      </w:r>
      <w:r>
        <w:rPr/>
        <w:t>基因编辑的</w:t>
      </w:r>
      <w:r>
        <w:rPr>
          <w:spacing w:val="-15"/>
        </w:rPr>
        <w:t>出</w:t>
      </w:r>
      <w:r>
        <w:rPr/>
        <w:t>现有希望开发能潜在改善安全性、疗效和效率的治疗方法。</w:t>
      </w:r>
    </w:p>
    <w:p>
      <w:pPr>
        <w:pStyle w:val="BodyText"/>
        <w:spacing w:line="295" w:lineRule="auto"/>
        <w:ind w:right="1127" w:firstLine="480"/>
        <w:jc w:val="both"/>
      </w:pPr>
      <w:r>
        <w:rPr>
          <w:b/>
        </w:rPr>
        <w:t>Cellectis</w:t>
      </w:r>
      <w:r>
        <w:rPr>
          <w:b/>
          <w:spacing w:val="58"/>
        </w:rPr>
        <w:t>  </w:t>
      </w:r>
      <w:r>
        <w:rPr/>
        <w:t>Cellectis</w:t>
      </w:r>
      <w:r>
        <w:rPr>
          <w:spacing w:val="-17"/>
        </w:rPr>
        <w:t> 在研的通用型 </w:t>
      </w:r>
      <w:r>
        <w:rPr/>
        <w:t>CAR-T（UCART）疗法是目前全球临床进展最快</w:t>
      </w:r>
      <w:r>
        <w:rPr>
          <w:spacing w:val="6"/>
        </w:rPr>
        <w:t>的，其基于</w:t>
      </w:r>
      <w:r>
        <w:rPr/>
        <w:t>TALEN</w:t>
      </w:r>
      <w:r>
        <w:rPr>
          <w:spacing w:val="-7"/>
        </w:rPr>
        <w:t> 基因编辑技术，开发同种异体</w:t>
      </w:r>
      <w:r>
        <w:rPr/>
        <w:t>CAR-T</w:t>
      </w:r>
      <w:r>
        <w:rPr>
          <w:spacing w:val="-11"/>
        </w:rPr>
        <w:t> 技术平台，用于治疗急性淋巴性白血</w:t>
      </w:r>
      <w:r>
        <w:rPr/>
        <w:t>病、多发性骨髓瘤、急性骨髓性白血病及母细胞性浆细胞样树突状细胞肿瘤。</w:t>
      </w:r>
    </w:p>
    <w:p>
      <w:pPr>
        <w:pStyle w:val="BodyText"/>
        <w:tabs>
          <w:tab w:pos="2077" w:val="left" w:leader="none"/>
          <w:tab w:pos="4019" w:val="left" w:leader="none"/>
        </w:tabs>
        <w:spacing w:line="295" w:lineRule="auto" w:before="2"/>
        <w:ind w:right="1129" w:firstLine="480"/>
      </w:pPr>
      <w:r>
        <w:rPr>
          <w:b/>
        </w:rPr>
        <w:t>CRISPR</w:t>
        <w:tab/>
        <w:t>Therapeutics</w:t>
        <w:tab/>
      </w:r>
      <w:r>
        <w:rPr/>
        <w:t>致力于为严重疾</w:t>
      </w:r>
      <w:r>
        <w:rPr>
          <w:spacing w:val="-3"/>
        </w:rPr>
        <w:t>病</w:t>
      </w:r>
      <w:r>
        <w:rPr/>
        <w:t>提供基因药物，CRISPR</w:t>
      </w:r>
      <w:r>
        <w:rPr>
          <w:spacing w:val="-60"/>
        </w:rPr>
        <w:t> </w:t>
      </w:r>
      <w:r>
        <w:rPr/>
        <w:t>技术先驱Emmanuelle</w:t>
        <w:tab/>
        <w:t>Charpentier</w:t>
      </w:r>
      <w:r>
        <w:rPr>
          <w:spacing w:val="-74"/>
        </w:rPr>
        <w:t> </w:t>
      </w:r>
      <w:r>
        <w:rPr/>
        <w:t>为其联合创始人。由于</w:t>
      </w:r>
      <w:r>
        <w:rPr>
          <w:spacing w:val="-74"/>
        </w:rPr>
        <w:t> </w:t>
      </w:r>
      <w:r>
        <w:rPr/>
        <w:t>CRISPR/Cas9</w:t>
      </w:r>
      <w:r>
        <w:rPr>
          <w:spacing w:val="-75"/>
        </w:rPr>
        <w:t> </w:t>
      </w:r>
      <w:r>
        <w:rPr/>
        <w:t>系统可高效多点地进行基</w:t>
      </w:r>
      <w:r>
        <w:rPr>
          <w:spacing w:val="-17"/>
        </w:rPr>
        <w:t>因</w:t>
      </w:r>
      <w:r>
        <w:rPr/>
        <w:t>编辑，通过</w:t>
      </w:r>
      <w:r>
        <w:rPr>
          <w:spacing w:val="33"/>
        </w:rPr>
        <w:t>对</w:t>
      </w:r>
      <w:r>
        <w:rPr/>
        <w:t>CAR-T</w:t>
      </w:r>
      <w:r>
        <w:rPr>
          <w:spacing w:val="-87"/>
        </w:rPr>
        <w:t> </w:t>
      </w:r>
      <w:r>
        <w:rPr/>
        <w:t>细胞的改造，有望解</w:t>
      </w:r>
      <w:r>
        <w:rPr>
          <w:spacing w:val="34"/>
        </w:rPr>
        <w:t>决</w:t>
      </w:r>
      <w:r>
        <w:rPr/>
        <w:t>CAR-T</w:t>
      </w:r>
      <w:r>
        <w:rPr>
          <w:spacing w:val="-86"/>
        </w:rPr>
        <w:t> </w:t>
      </w:r>
      <w:r>
        <w:rPr/>
        <w:t>疗法的应用难点，如实体瘤治疗效果较</w:t>
      </w:r>
      <w:r>
        <w:rPr>
          <w:spacing w:val="-15"/>
        </w:rPr>
        <w:t>差</w:t>
      </w:r>
      <w:r>
        <w:rPr/>
        <w:t>和无法现货供应等问题。与第一代</w:t>
      </w:r>
      <w:r>
        <w:rPr>
          <w:spacing w:val="-60"/>
        </w:rPr>
        <w:t> </w:t>
      </w:r>
      <w:r>
        <w:rPr/>
        <w:t>ZFN</w:t>
      </w:r>
      <w:r>
        <w:rPr>
          <w:spacing w:val="-60"/>
        </w:rPr>
        <w:t> </w:t>
      </w:r>
      <w:r>
        <w:rPr/>
        <w:t>和第二代</w:t>
      </w:r>
      <w:r>
        <w:rPr>
          <w:spacing w:val="-60"/>
        </w:rPr>
        <w:t> </w:t>
      </w:r>
      <w:r>
        <w:rPr/>
        <w:t>TALEN</w:t>
      </w:r>
      <w:r>
        <w:rPr>
          <w:spacing w:val="-60"/>
        </w:rPr>
        <w:t> </w:t>
      </w:r>
      <w:r>
        <w:rPr/>
        <w:t>技术相比，CRISPR/Cas</w:t>
      </w:r>
      <w:r>
        <w:rPr>
          <w:spacing w:val="-60"/>
        </w:rPr>
        <w:t> </w:t>
      </w:r>
      <w:r>
        <w:rPr/>
        <w:t>技术具备简单</w:t>
      </w:r>
      <w:r>
        <w:rPr>
          <w:spacing w:val="-22"/>
        </w:rPr>
        <w:t>、</w:t>
      </w:r>
      <w:r>
        <w:rPr/>
        <w:t>高效</w:t>
      </w:r>
      <w:r>
        <w:rPr>
          <w:spacing w:val="-22"/>
        </w:rPr>
        <w:t>、</w:t>
      </w:r>
      <w:r>
        <w:rPr/>
        <w:t>价格低廉</w:t>
      </w:r>
      <w:r>
        <w:rPr>
          <w:spacing w:val="-20"/>
        </w:rPr>
        <w:t>、</w:t>
      </w:r>
      <w:r>
        <w:rPr/>
        <w:t>易于编程等优势</w:t>
      </w:r>
      <w:r>
        <w:rPr>
          <w:spacing w:val="-22"/>
        </w:rPr>
        <w:t>，</w:t>
      </w:r>
      <w:r>
        <w:rPr/>
        <w:t>并且可通过添加多个向导</w:t>
      </w:r>
      <w:r>
        <w:rPr>
          <w:spacing w:val="-60"/>
        </w:rPr>
        <w:t> </w:t>
      </w:r>
      <w:r>
        <w:rPr/>
        <w:t>RNA</w:t>
      </w:r>
      <w:r>
        <w:rPr>
          <w:spacing w:val="-60"/>
        </w:rPr>
        <w:t> </w:t>
      </w:r>
      <w:r>
        <w:rPr/>
        <w:t>实现多重编辑</w:t>
      </w:r>
      <w:r>
        <w:rPr>
          <w:spacing w:val="-22"/>
        </w:rPr>
        <w:t>。</w:t>
      </w:r>
      <w:r>
        <w:rPr/>
        <w:t>但</w:t>
      </w:r>
      <w:r>
        <w:rPr>
          <w:spacing w:val="-12"/>
        </w:rPr>
        <w:t>是</w:t>
      </w:r>
      <w:r>
        <w:rPr/>
        <w:t>CRISPR/Cas9</w:t>
      </w:r>
      <w:r>
        <w:rPr>
          <w:spacing w:val="-61"/>
        </w:rPr>
        <w:t> </w:t>
      </w:r>
      <w:r>
        <w:rPr/>
        <w:t>技术也有一些限制，比如脱靶问题。</w:t>
      </w:r>
    </w:p>
    <w:p>
      <w:pPr>
        <w:pStyle w:val="BodyText"/>
        <w:tabs>
          <w:tab w:pos="2326" w:val="left" w:leader="none"/>
        </w:tabs>
        <w:spacing w:line="297" w:lineRule="auto" w:before="11"/>
        <w:ind w:right="1128" w:firstLine="480"/>
      </w:pPr>
      <w:r>
        <w:rPr>
          <w:b/>
          <w:spacing w:val="2"/>
          <w:w w:val="99"/>
        </w:rPr>
        <w:t>C</w:t>
      </w:r>
      <w:r>
        <w:rPr>
          <w:b/>
          <w:w w:val="99"/>
        </w:rPr>
        <w:t>e</w:t>
      </w:r>
      <w:r>
        <w:rPr>
          <w:b/>
          <w:spacing w:val="2"/>
          <w:w w:val="99"/>
        </w:rPr>
        <w:t>l</w:t>
      </w:r>
      <w:r>
        <w:rPr>
          <w:b/>
          <w:w w:val="99"/>
        </w:rPr>
        <w:t>yad</w:t>
      </w:r>
      <w:r>
        <w:rPr>
          <w:b/>
        </w:rPr>
        <w:tab/>
      </w:r>
      <w:r>
        <w:rPr/>
        <w:t>2018</w:t>
      </w:r>
      <w:r>
        <w:rPr>
          <w:spacing w:val="-40"/>
        </w:rPr>
        <w:t> 年 </w:t>
      </w:r>
      <w:r>
        <w:rPr/>
        <w:t>7</w:t>
      </w:r>
      <w:r>
        <w:rPr>
          <w:spacing w:val="-59"/>
        </w:rPr>
        <w:t> 月，</w:t>
      </w:r>
      <w:r>
        <w:rPr/>
        <w:t>Celyad</w:t>
      </w:r>
      <w:r>
        <w:rPr>
          <w:spacing w:val="-20"/>
        </w:rPr>
        <w:t> 宣布美国 </w:t>
      </w:r>
      <w:r>
        <w:rPr/>
        <w:t>FDA</w:t>
      </w:r>
      <w:r>
        <w:rPr>
          <w:spacing w:val="-14"/>
        </w:rPr>
        <w:t> 已接受该公司的 </w:t>
      </w:r>
      <w:r>
        <w:rPr/>
        <w:t>CYAD-101</w:t>
      </w:r>
      <w:r>
        <w:rPr>
          <w:spacing w:val="-11"/>
        </w:rPr>
        <w:t> 的新药研究申</w:t>
      </w:r>
      <w:r>
        <w:rPr>
          <w:spacing w:val="-3"/>
        </w:rPr>
        <w:t>请，这是全球第一个非基因编辑的同种异体 </w:t>
      </w:r>
      <w:r>
        <w:rPr/>
        <w:t>CAR-T</w:t>
      </w:r>
      <w:r>
        <w:rPr>
          <w:spacing w:val="-10"/>
        </w:rPr>
        <w:t> 临床项目。</w:t>
      </w:r>
      <w:r>
        <w:rPr/>
        <w:t>FDA</w:t>
      </w:r>
      <w:r>
        <w:rPr>
          <w:spacing w:val="-8"/>
        </w:rPr>
        <w:t> 表明，允许进行代号为Allo-SHRINK</w:t>
      </w:r>
      <w:r>
        <w:rPr>
          <w:spacing w:val="-14"/>
        </w:rPr>
        <w:t> 的临床试验，评估 </w:t>
      </w:r>
      <w:r>
        <w:rPr/>
        <w:t>CYAD-101</w:t>
      </w:r>
      <w:r>
        <w:rPr>
          <w:spacing w:val="-8"/>
        </w:rPr>
        <w:t> 联合化疗在无法切除的结直肠癌患者中的安全性及临床有效性。</w:t>
      </w:r>
    </w:p>
    <w:p>
      <w:pPr>
        <w:pStyle w:val="BodyText"/>
        <w:tabs>
          <w:tab w:pos="1841" w:val="left" w:leader="none"/>
          <w:tab w:pos="3774" w:val="left" w:leader="none"/>
          <w:tab w:pos="6654" w:val="left" w:leader="none"/>
          <w:tab w:pos="7254" w:val="left" w:leader="none"/>
          <w:tab w:pos="8095" w:val="left" w:leader="none"/>
          <w:tab w:pos="9698" w:val="left" w:leader="none"/>
        </w:tabs>
        <w:spacing w:line="297" w:lineRule="auto"/>
        <w:ind w:right="1126" w:firstLine="480"/>
      </w:pPr>
      <w:r>
        <w:rPr>
          <w:b/>
        </w:rPr>
        <w:t>Fate</w:t>
        <w:tab/>
        <w:t>Therapeutics</w:t>
        <w:tab/>
      </w:r>
      <w:r>
        <w:rPr/>
        <w:t>Fate</w:t>
      </w:r>
      <w:r>
        <w:rPr>
          <w:spacing w:val="-60"/>
        </w:rPr>
        <w:t> </w:t>
      </w:r>
      <w:r>
        <w:rPr/>
        <w:t>公司开发了一款</w:t>
      </w:r>
      <w:r>
        <w:rPr>
          <w:spacing w:val="-60"/>
        </w:rPr>
        <w:t> </w:t>
      </w:r>
      <w:r>
        <w:rPr/>
        <w:t>off</w:t>
        <w:tab/>
        <w:t>the</w:t>
        <w:tab/>
        <w:t>shelf</w:t>
        <w:tab/>
        <w:t>(现货)、双靶点的CAR-T</w:t>
      </w:r>
      <w:r>
        <w:rPr>
          <w:spacing w:val="-61"/>
        </w:rPr>
        <w:t> </w:t>
      </w:r>
      <w:r>
        <w:rPr/>
        <w:t>细胞产品——FT819。不同于自体</w:t>
      </w:r>
      <w:r>
        <w:rPr>
          <w:spacing w:val="-60"/>
        </w:rPr>
        <w:t> </w:t>
      </w:r>
      <w:r>
        <w:rPr/>
        <w:t>CAR-T</w:t>
      </w:r>
      <w:r>
        <w:rPr>
          <w:spacing w:val="-60"/>
        </w:rPr>
        <w:t> </w:t>
      </w:r>
      <w:r>
        <w:rPr/>
        <w:t>细胞治疗，FT819</w:t>
      </w:r>
      <w:r>
        <w:rPr>
          <w:spacing w:val="-60"/>
        </w:rPr>
        <w:t> </w:t>
      </w:r>
      <w:r>
        <w:rPr/>
        <w:t>是从健康供试者的细胞开始，然后创建一个主细胞系，并使用主细胞系生产大量不受患者限制的通用型</w:t>
      </w:r>
      <w:r>
        <w:rPr>
          <w:spacing w:val="-59"/>
        </w:rPr>
        <w:t> </w:t>
      </w:r>
      <w:r>
        <w:rPr/>
        <w:t>CAR19</w:t>
        <w:tab/>
        <w:t>T</w:t>
      </w:r>
      <w:r>
        <w:rPr>
          <w:spacing w:val="-60"/>
        </w:rPr>
        <w:t> </w:t>
      </w:r>
      <w:r>
        <w:rPr/>
        <w:t>细胞。具体来说</w:t>
      </w:r>
      <w:r>
        <w:rPr>
          <w:spacing w:val="-51"/>
        </w:rPr>
        <w:t>，</w:t>
      </w:r>
      <w:r>
        <w:rPr/>
        <w:t>用于生产制造</w:t>
      </w:r>
      <w:r>
        <w:rPr>
          <w:spacing w:val="-60"/>
        </w:rPr>
        <w:t> </w:t>
      </w:r>
      <w:r>
        <w:rPr/>
        <w:t>FT819</w:t>
      </w:r>
      <w:r>
        <w:rPr>
          <w:spacing w:val="-60"/>
        </w:rPr>
        <w:t> </w:t>
      </w:r>
      <w:r>
        <w:rPr/>
        <w:t>的主细胞系是诱导多能干细胞(iPSC)系</w:t>
      </w:r>
      <w:r>
        <w:rPr>
          <w:spacing w:val="-51"/>
        </w:rPr>
        <w:t>。</w:t>
      </w:r>
      <w:r>
        <w:rPr/>
        <w:t>与自体和同</w:t>
      </w:r>
      <w:r>
        <w:rPr>
          <w:spacing w:val="-15"/>
        </w:rPr>
        <w:t>种</w:t>
      </w:r>
      <w:r>
        <w:rPr/>
        <w:t>异体方法相比，使用主</w:t>
      </w:r>
      <w:r>
        <w:rPr>
          <w:spacing w:val="-60"/>
        </w:rPr>
        <w:t> </w:t>
      </w:r>
      <w:r>
        <w:rPr/>
        <w:t>iPSC</w:t>
      </w:r>
      <w:r>
        <w:rPr>
          <w:spacing w:val="-60"/>
        </w:rPr>
        <w:t> </w:t>
      </w:r>
      <w:r>
        <w:rPr/>
        <w:t>系生产的</w:t>
      </w:r>
      <w:r>
        <w:rPr>
          <w:spacing w:val="-60"/>
        </w:rPr>
        <w:t> </w:t>
      </w:r>
      <w:r>
        <w:rPr/>
        <w:t>CAR-T</w:t>
      </w:r>
      <w:r>
        <w:rPr>
          <w:spacing w:val="-60"/>
        </w:rPr>
        <w:t> </w:t>
      </w:r>
      <w:r>
        <w:rPr/>
        <w:t>细胞具有明显优势。</w:t>
      </w:r>
    </w:p>
    <w:p>
      <w:pPr>
        <w:pStyle w:val="BodyText"/>
        <w:tabs>
          <w:tab w:pos="2206" w:val="left" w:leader="none"/>
          <w:tab w:pos="4139" w:val="left" w:leader="none"/>
          <w:tab w:pos="4580" w:val="left" w:leader="none"/>
          <w:tab w:pos="9482" w:val="left" w:leader="none"/>
        </w:tabs>
        <w:spacing w:line="297" w:lineRule="auto"/>
        <w:ind w:right="1128" w:firstLine="480"/>
      </w:pPr>
      <w:r>
        <w:rPr>
          <w:b/>
        </w:rPr>
        <w:t>Poseida</w:t>
        <w:tab/>
        <w:t>Therapeutics</w:t>
        <w:tab/>
      </w:r>
      <w:r>
        <w:rPr/>
        <w:t>该公司专注于</w:t>
      </w:r>
      <w:r>
        <w:rPr>
          <w:spacing w:val="-3"/>
        </w:rPr>
        <w:t>开</w:t>
      </w:r>
      <w:r>
        <w:rPr/>
        <w:t>发新型</w:t>
      </w:r>
      <w:r>
        <w:rPr>
          <w:spacing w:val="-60"/>
        </w:rPr>
        <w:t> </w:t>
      </w:r>
      <w:r>
        <w:rPr/>
        <w:t>CAR-T</w:t>
      </w:r>
      <w:r>
        <w:rPr>
          <w:spacing w:val="-60"/>
        </w:rPr>
        <w:t> </w:t>
      </w:r>
      <w:r>
        <w:rPr/>
        <w:t>疗法。2017</w:t>
      </w:r>
      <w:r>
        <w:rPr>
          <w:spacing w:val="-60"/>
        </w:rPr>
        <w:t> </w:t>
      </w:r>
      <w:r>
        <w:rPr/>
        <w:t>年</w:t>
      </w:r>
      <w:r>
        <w:rPr>
          <w:spacing w:val="-60"/>
        </w:rPr>
        <w:t> </w:t>
      </w:r>
      <w:r>
        <w:rPr/>
        <w:t>12</w:t>
      </w:r>
      <w:r>
        <w:rPr>
          <w:spacing w:val="-60"/>
        </w:rPr>
        <w:t> </w:t>
      </w:r>
      <w:r>
        <w:rPr/>
        <w:t>月， Poseida</w:t>
      </w:r>
      <w:r>
        <w:rPr>
          <w:spacing w:val="-75"/>
        </w:rPr>
        <w:t> </w:t>
      </w:r>
      <w:r>
        <w:rPr/>
        <w:t>公司在美国血液学协会年会上公布了通用</w:t>
      </w:r>
      <w:r>
        <w:rPr>
          <w:spacing w:val="-74"/>
        </w:rPr>
        <w:t> </w:t>
      </w:r>
      <w:r>
        <w:rPr/>
        <w:t>CAR-T——P-BCMA-ALLO1</w:t>
      </w:r>
      <w:r>
        <w:rPr>
          <w:spacing w:val="-75"/>
        </w:rPr>
        <w:t> </w:t>
      </w:r>
      <w:r>
        <w:rPr/>
        <w:t>的临床前进展</w:t>
      </w:r>
      <w:r>
        <w:rPr>
          <w:spacing w:val="-15"/>
        </w:rPr>
        <w:t>。</w:t>
      </w:r>
      <w:r>
        <w:rPr/>
        <w:t>Poseida</w:t>
      </w:r>
      <w:r>
        <w:rPr>
          <w:spacing w:val="-70"/>
        </w:rPr>
        <w:t> </w:t>
      </w:r>
      <w:r>
        <w:rPr/>
        <w:t>公司将高保真</w:t>
      </w:r>
      <w:r>
        <w:rPr>
          <w:spacing w:val="-67"/>
        </w:rPr>
        <w:t> </w:t>
      </w:r>
      <w:r>
        <w:rPr/>
        <w:t>NextGEN(NG)</w:t>
        <w:tab/>
        <w:t>CRISPR</w:t>
      </w:r>
      <w:r>
        <w:rPr>
          <w:spacing w:val="-70"/>
        </w:rPr>
        <w:t> </w:t>
      </w:r>
      <w:r>
        <w:rPr/>
        <w:t>基因编辑系统与非病毒</w:t>
      </w:r>
      <w:r>
        <w:rPr>
          <w:spacing w:val="-69"/>
        </w:rPr>
        <w:t> </w:t>
      </w:r>
      <w:r>
        <w:rPr/>
        <w:t>piggyBac(PB)</w:t>
        <w:tab/>
        <w:t>DNA</w:t>
      </w:r>
      <w:r>
        <w:rPr>
          <w:spacing w:val="-70"/>
        </w:rPr>
        <w:t> </w:t>
      </w:r>
      <w:r>
        <w:rPr>
          <w:spacing w:val="-14"/>
        </w:rPr>
        <w:t>转</w:t>
      </w:r>
      <w:r>
        <w:rPr/>
        <w:t>座技术结合使用，主要在高度可取的记忆性干细胞</w:t>
      </w:r>
      <w:r>
        <w:rPr>
          <w:spacing w:val="34"/>
        </w:rPr>
        <w:t>样</w:t>
      </w:r>
      <w:r>
        <w:rPr/>
        <w:t>T</w:t>
      </w:r>
      <w:r>
        <w:rPr>
          <w:spacing w:val="-87"/>
        </w:rPr>
        <w:t> </w:t>
      </w:r>
      <w:r>
        <w:rPr/>
        <w:t>细胞亚群中产</w:t>
      </w:r>
      <w:r>
        <w:rPr>
          <w:spacing w:val="34"/>
        </w:rPr>
        <w:t>生</w:t>
      </w:r>
      <w:r>
        <w:rPr/>
        <w:t>CAR-T</w:t>
      </w:r>
      <w:r>
        <w:rPr>
          <w:spacing w:val="-86"/>
        </w:rPr>
        <w:t> </w:t>
      </w:r>
      <w:r>
        <w:rPr/>
        <w:t>细胞，开发</w:t>
      </w:r>
      <w:r>
        <w:rPr>
          <w:spacing w:val="-15"/>
        </w:rPr>
        <w:t>了</w:t>
      </w:r>
      <w:r>
        <w:rPr/>
        <w:t>P-BCMA-ALLO1，这是一种现成的同种异体</w:t>
      </w:r>
      <w:r>
        <w:rPr>
          <w:spacing w:val="-61"/>
        </w:rPr>
        <w:t> </w:t>
      </w:r>
      <w:r>
        <w:rPr/>
        <w:t>CAR-T</w:t>
      </w:r>
      <w:r>
        <w:rPr>
          <w:spacing w:val="-60"/>
        </w:rPr>
        <w:t> </w:t>
      </w:r>
      <w:r>
        <w:rPr/>
        <w:t>细胞产品。</w:t>
      </w:r>
    </w:p>
    <w:p>
      <w:pPr>
        <w:pStyle w:val="BodyText"/>
        <w:spacing w:line="297" w:lineRule="auto"/>
        <w:ind w:right="1128" w:firstLine="480"/>
        <w:jc w:val="both"/>
      </w:pPr>
      <w:r>
        <w:rPr>
          <w:b/>
        </w:rPr>
        <w:t>Allogene</w:t>
      </w:r>
      <w:r>
        <w:rPr>
          <w:b/>
          <w:spacing w:val="120"/>
        </w:rPr>
        <w:t> </w:t>
      </w:r>
      <w:r>
        <w:rPr>
          <w:b/>
        </w:rPr>
        <w:t>Therapeutics</w:t>
      </w:r>
      <w:r>
        <w:rPr>
          <w:b/>
          <w:spacing w:val="59"/>
        </w:rPr>
        <w:t>  </w:t>
      </w:r>
      <w:r>
        <w:rPr>
          <w:spacing w:val="7"/>
        </w:rPr>
        <w:t>核心技术由</w:t>
      </w:r>
      <w:r>
        <w:rPr/>
        <w:t>Cellectis</w:t>
      </w:r>
      <w:r>
        <w:rPr>
          <w:spacing w:val="-28"/>
        </w:rPr>
        <w:t> 提供</w:t>
      </w:r>
      <w:r>
        <w:rPr/>
        <w:t>，Cellectis</w:t>
      </w:r>
      <w:r>
        <w:rPr>
          <w:spacing w:val="-14"/>
        </w:rPr>
        <w:t> 专有的同种异体</w:t>
      </w:r>
      <w:r>
        <w:rPr>
          <w:spacing w:val="2"/>
        </w:rPr>
        <w:t>技术可将来源于健康供体的</w:t>
      </w:r>
      <w:r>
        <w:rPr/>
        <w:t>T</w:t>
      </w:r>
      <w:r>
        <w:rPr>
          <w:spacing w:val="-15"/>
        </w:rPr>
        <w:t> 细胞经</w:t>
      </w:r>
      <w:r>
        <w:rPr/>
        <w:t>TALEN</w:t>
      </w:r>
      <w:r>
        <w:rPr>
          <w:spacing w:val="-11"/>
        </w:rPr>
        <w:t> 基因编辑技术改造，而不需要依据患者个体情况</w:t>
      </w:r>
      <w:r>
        <w:rPr/>
        <w:t>进行相应修饰，就可以直接进行工程化，这种免疫细胞可以治疗任何符合条件的癌症患</w:t>
      </w:r>
    </w:p>
    <w:p>
      <w:pPr>
        <w:pStyle w:val="BodyText"/>
        <w:spacing w:line="297" w:lineRule="auto"/>
        <w:ind w:right="1566"/>
        <w:jc w:val="both"/>
      </w:pPr>
      <w:r>
        <w:rPr/>
        <w:t>者。Allogene</w:t>
      </w:r>
      <w:r>
        <w:rPr>
          <w:spacing w:val="-12"/>
        </w:rPr>
        <w:t> 公司的产品管线除了临床一期的 </w:t>
      </w:r>
      <w:r>
        <w:rPr/>
        <w:t>UCRT19</w:t>
      </w:r>
      <w:r>
        <w:rPr>
          <w:spacing w:val="-9"/>
        </w:rPr>
        <w:t> 外，还有一些临床前的同种异体</w:t>
      </w:r>
      <w:r>
        <w:rPr/>
        <w:t>CAR-T</w:t>
      </w:r>
      <w:r>
        <w:rPr>
          <w:spacing w:val="-8"/>
        </w:rPr>
        <w:t> 疗法正在开发中。</w:t>
      </w:r>
    </w:p>
    <w:p>
      <w:pPr>
        <w:spacing w:line="295" w:lineRule="auto" w:before="0"/>
        <w:ind w:left="637" w:right="1184" w:firstLine="480"/>
        <w:jc w:val="both"/>
        <w:rPr>
          <w:sz w:val="24"/>
        </w:rPr>
      </w:pPr>
      <w:r>
        <w:rPr>
          <w:b/>
          <w:sz w:val="24"/>
        </w:rPr>
        <w:t>Sorrento  (Celularity</w:t>
      </w:r>
      <w:r>
        <w:rPr>
          <w:b/>
          <w:spacing w:val="40"/>
          <w:sz w:val="24"/>
        </w:rPr>
        <w:t>)  </w:t>
      </w:r>
      <w:r>
        <w:rPr>
          <w:spacing w:val="-5"/>
          <w:sz w:val="24"/>
        </w:rPr>
        <w:t>最令业界关注的是该公司下一代 </w:t>
      </w:r>
      <w:r>
        <w:rPr>
          <w:sz w:val="24"/>
        </w:rPr>
        <w:t>CAR-T，</w:t>
      </w:r>
      <w:r>
        <w:rPr>
          <w:spacing w:val="-20"/>
          <w:sz w:val="24"/>
        </w:rPr>
        <w:t>基于 </w:t>
      </w:r>
      <w:r>
        <w:rPr>
          <w:sz w:val="24"/>
        </w:rPr>
        <w:t>CD38</w:t>
      </w:r>
      <w:r>
        <w:rPr>
          <w:spacing w:val="-25"/>
          <w:sz w:val="24"/>
        </w:rPr>
        <w:t> 的一</w:t>
      </w:r>
      <w:r>
        <w:rPr>
          <w:sz w:val="24"/>
        </w:rPr>
        <w:t>款“off</w:t>
      </w:r>
      <w:r>
        <w:rPr>
          <w:spacing w:val="119"/>
          <w:sz w:val="24"/>
        </w:rPr>
        <w:t> </w:t>
      </w:r>
      <w:r>
        <w:rPr>
          <w:sz w:val="24"/>
        </w:rPr>
        <w:t>the shelf”</w:t>
      </w:r>
      <w:r>
        <w:rPr>
          <w:spacing w:val="-4"/>
          <w:sz w:val="24"/>
        </w:rPr>
        <w:t>细胞药物，其是脐带血来源的异体 </w:t>
      </w:r>
      <w:r>
        <w:rPr>
          <w:sz w:val="24"/>
        </w:rPr>
        <w:t>CAR-T</w:t>
      </w:r>
      <w:r>
        <w:rPr>
          <w:spacing w:val="-20"/>
          <w:sz w:val="24"/>
        </w:rPr>
        <w:t> 细胞</w:t>
      </w:r>
    </w:p>
    <w:p>
      <w:pPr>
        <w:pStyle w:val="BodyText"/>
        <w:tabs>
          <w:tab w:pos="1597" w:val="left" w:leader="none"/>
        </w:tabs>
        <w:spacing w:line="295" w:lineRule="auto"/>
        <w:ind w:right="1206"/>
      </w:pPr>
      <w:r>
        <w:rPr/>
        <w:t>（CD38</w:t>
        <w:tab/>
        <w:t>CAR-T“CBA”）。其中，CD38</w:t>
      </w:r>
      <w:r>
        <w:rPr>
          <w:spacing w:val="-9"/>
        </w:rPr>
        <w:t> 的表达与分布相当广泛，无细胞系限制性，在定向</w:t>
      </w:r>
      <w:r>
        <w:rPr>
          <w:spacing w:val="-3"/>
        </w:rPr>
        <w:t>髓系和淋巴细胞系祖细胞中的表达水平很高，在 </w:t>
      </w:r>
      <w:r>
        <w:rPr/>
        <w:t>NK</w:t>
      </w:r>
      <w:r>
        <w:rPr>
          <w:spacing w:val="-15"/>
        </w:rPr>
        <w:t> 细胞、</w:t>
      </w:r>
      <w:r>
        <w:rPr/>
        <w:t>T</w:t>
      </w:r>
      <w:r>
        <w:rPr>
          <w:spacing w:val="-15"/>
        </w:rPr>
        <w:t> 细胞、</w:t>
      </w:r>
      <w:r>
        <w:rPr/>
        <w:t>B</w:t>
      </w:r>
      <w:r>
        <w:rPr>
          <w:spacing w:val="-8"/>
        </w:rPr>
        <w:t> 细胞等也有表达。</w:t>
      </w:r>
    </w:p>
    <w:p>
      <w:pPr>
        <w:spacing w:after="0" w:line="295" w:lineRule="auto"/>
        <w:sectPr>
          <w:type w:val="continuous"/>
          <w:pgSz w:w="11910" w:h="16850"/>
          <w:pgMar w:top="1100" w:bottom="1020" w:left="640" w:right="0"/>
        </w:sectPr>
      </w:pPr>
    </w:p>
    <w:p>
      <w:pPr>
        <w:pStyle w:val="BodyText"/>
        <w:tabs>
          <w:tab w:pos="1357" w:val="left" w:leader="none"/>
          <w:tab w:pos="2206" w:val="left" w:leader="none"/>
          <w:tab w:pos="2317" w:val="left" w:leader="none"/>
          <w:tab w:pos="3052" w:val="left" w:leader="none"/>
        </w:tabs>
        <w:spacing w:line="297" w:lineRule="auto" w:before="65"/>
        <w:ind w:right="1325" w:firstLine="480"/>
      </w:pPr>
      <w:r>
        <w:rPr>
          <w:b/>
        </w:rPr>
        <w:t>Mustang</w:t>
        <w:tab/>
        <w:t>Bio</w:t>
        <w:tab/>
      </w:r>
      <w:r>
        <w:rPr/>
        <w:t>2017</w:t>
      </w:r>
      <w:r>
        <w:rPr>
          <w:spacing w:val="-61"/>
        </w:rPr>
        <w:t> </w:t>
      </w:r>
      <w:r>
        <w:rPr/>
        <w:t>年</w:t>
      </w:r>
      <w:r>
        <w:rPr>
          <w:spacing w:val="-60"/>
        </w:rPr>
        <w:t> </w:t>
      </w:r>
      <w:r>
        <w:rPr/>
        <w:t>12</w:t>
      </w:r>
      <w:r>
        <w:rPr>
          <w:spacing w:val="-60"/>
        </w:rPr>
        <w:t> </w:t>
      </w:r>
      <w:r>
        <w:rPr/>
        <w:t>月，该公司宣布计划通过哈佛大学的授权，以及与Beth</w:t>
        <w:tab/>
        <w:t>Israel</w:t>
        <w:tab/>
        <w:tab/>
        <w:t>Deaconess</w:t>
      </w:r>
      <w:r>
        <w:rPr>
          <w:spacing w:val="-60"/>
        </w:rPr>
        <w:t> </w:t>
      </w:r>
      <w:r>
        <w:rPr/>
        <w:t>医学中心的研究合作协议，将哈佛大学技术开发办公室的CRISPR/Cas9</w:t>
      </w:r>
      <w:r>
        <w:rPr>
          <w:spacing w:val="-61"/>
        </w:rPr>
        <w:t> </w:t>
      </w:r>
      <w:r>
        <w:rPr/>
        <w:t>基因编辑平台与该公司在研的用于血液肿瘤和实体瘤治疗的</w:t>
      </w:r>
      <w:r>
        <w:rPr>
          <w:spacing w:val="-59"/>
        </w:rPr>
        <w:t> </w:t>
      </w:r>
      <w:r>
        <w:rPr/>
        <w:t>CAR-T</w:t>
      </w:r>
      <w:r>
        <w:rPr>
          <w:spacing w:val="-60"/>
        </w:rPr>
        <w:t> </w:t>
      </w:r>
      <w:r>
        <w:rPr/>
        <w:t>疗法相</w:t>
      </w:r>
      <w:r>
        <w:rPr>
          <w:spacing w:val="-16"/>
        </w:rPr>
        <w:t>结</w:t>
      </w:r>
      <w:r>
        <w:rPr/>
        <w:t>合，以开发更有效的“off-the-shelf”的</w:t>
      </w:r>
      <w:r>
        <w:rPr>
          <w:spacing w:val="-61"/>
        </w:rPr>
        <w:t> </w:t>
      </w:r>
      <w:r>
        <w:rPr/>
        <w:t>CAR-T</w:t>
      </w:r>
      <w:r>
        <w:rPr>
          <w:spacing w:val="-60"/>
        </w:rPr>
        <w:t> </w:t>
      </w:r>
      <w:r>
        <w:rPr/>
        <w:t>细胞产品。</w:t>
      </w:r>
    </w:p>
    <w:p>
      <w:pPr>
        <w:pStyle w:val="BodyText"/>
        <w:tabs>
          <w:tab w:pos="2569" w:val="left" w:leader="none"/>
          <w:tab w:pos="4384" w:val="left" w:leader="none"/>
        </w:tabs>
        <w:spacing w:line="297" w:lineRule="auto"/>
        <w:ind w:right="1128" w:firstLine="480"/>
      </w:pPr>
      <w:r>
        <w:rPr>
          <w:b/>
        </w:rPr>
        <w:t>Cartherics</w:t>
        <w:tab/>
        <w:t>(Mesoblast)</w:t>
        <w:tab/>
      </w:r>
      <w:r>
        <w:rPr>
          <w:spacing w:val="-1"/>
        </w:rPr>
        <w:t>开发用于治疗实体瘤的具有多种靶向受体的同种异体 </w:t>
      </w:r>
      <w:r>
        <w:rPr>
          <w:spacing w:val="-21"/>
        </w:rPr>
        <w:t>现货 </w:t>
      </w:r>
      <w:r>
        <w:rPr/>
        <w:t>CAR-T</w:t>
      </w:r>
      <w:r>
        <w:rPr>
          <w:spacing w:val="-15"/>
        </w:rPr>
        <w:t> 细胞。</w:t>
      </w:r>
      <w:r>
        <w:rPr/>
        <w:t>Mesoblast</w:t>
      </w:r>
      <w:r>
        <w:rPr>
          <w:spacing w:val="-40"/>
        </w:rPr>
        <w:t> 和 </w:t>
      </w:r>
      <w:r>
        <w:rPr/>
        <w:t>Cartherics</w:t>
      </w:r>
      <w:r>
        <w:rPr>
          <w:spacing w:val="-8"/>
        </w:rPr>
        <w:t> 技术平台的结合，旨在促进大规模生产来源于诱导多能干细胞（iPSCs）</w:t>
      </w:r>
      <w:r>
        <w:rPr>
          <w:spacing w:val="-17"/>
        </w:rPr>
        <w:t>的同种异体 </w:t>
      </w:r>
      <w:r>
        <w:rPr/>
        <w:t>CAR-T</w:t>
      </w:r>
      <w:r>
        <w:rPr>
          <w:spacing w:val="-8"/>
        </w:rPr>
        <w:t> 细胞。临床级的制造和储存方法将用于将基因</w:t>
      </w:r>
      <w:r>
        <w:rPr>
          <w:spacing w:val="-22"/>
        </w:rPr>
        <w:t>编辑的 </w:t>
      </w:r>
      <w:r>
        <w:rPr/>
        <w:t>iPSCs</w:t>
      </w:r>
      <w:r>
        <w:rPr>
          <w:spacing w:val="-12"/>
        </w:rPr>
        <w:t> 转化为潜在的无限数量的杀伤性 </w:t>
      </w:r>
      <w:r>
        <w:rPr/>
        <w:t>T</w:t>
      </w:r>
      <w:r>
        <w:rPr>
          <w:spacing w:val="-20"/>
        </w:rPr>
        <w:t> 细胞，从而消除生产自体 </w:t>
      </w:r>
      <w:r>
        <w:rPr/>
        <w:t>CAR-T</w:t>
      </w:r>
      <w:r>
        <w:rPr>
          <w:spacing w:val="-13"/>
        </w:rPr>
        <w:t> 细胞所需的</w:t>
      </w:r>
      <w:r>
        <w:rPr/>
        <w:t>昂贵资源，为大量癌症患者提供具有成本效益的“现成的”CAR-T</w:t>
      </w:r>
      <w:r>
        <w:rPr>
          <w:spacing w:val="-10"/>
        </w:rPr>
        <w:t> 细胞治疗。</w:t>
      </w:r>
    </w:p>
    <w:p>
      <w:pPr>
        <w:pStyle w:val="BodyText"/>
        <w:spacing w:line="295" w:lineRule="auto"/>
        <w:ind w:right="1256" w:firstLine="480"/>
        <w:jc w:val="both"/>
      </w:pPr>
      <w:r>
        <w:rPr>
          <w:b/>
        </w:rPr>
        <w:t>Adicet</w:t>
      </w:r>
      <w:r>
        <w:rPr>
          <w:b/>
          <w:spacing w:val="120"/>
        </w:rPr>
        <w:t> </w:t>
      </w:r>
      <w:r>
        <w:rPr>
          <w:b/>
        </w:rPr>
        <w:t>Bio</w:t>
      </w:r>
      <w:r>
        <w:rPr>
          <w:b/>
          <w:spacing w:val="59"/>
        </w:rPr>
        <w:t>  </w:t>
      </w:r>
      <w:r>
        <w:rPr>
          <w:spacing w:val="-2"/>
        </w:rPr>
        <w:t>其开发</w:t>
      </w:r>
      <w:r>
        <w:rPr/>
        <w:t>“off-the-shelf”</w:t>
      </w:r>
      <w:r>
        <w:rPr>
          <w:spacing w:val="-30"/>
        </w:rPr>
        <w:t>的 </w:t>
      </w:r>
      <w:r>
        <w:rPr/>
        <w:t>CAR-T</w:t>
      </w:r>
      <w:r>
        <w:rPr>
          <w:spacing w:val="-9"/>
        </w:rPr>
        <w:t> 疗法，从而简化治疗流程，避免</w:t>
      </w:r>
      <w:r>
        <w:rPr>
          <w:spacing w:val="-3"/>
        </w:rPr>
        <w:t>患者等待自体免疫细胞扩增的时间，同时大幅降低 </w:t>
      </w:r>
      <w:r>
        <w:rPr/>
        <w:t>CAR-T</w:t>
      </w:r>
      <w:r>
        <w:rPr>
          <w:spacing w:val="-8"/>
        </w:rPr>
        <w:t> 疗法的高昂成本。另外</w:t>
      </w:r>
      <w:r>
        <w:rPr/>
        <w:t>，Adicet 也将研发针对实体瘤和自身免疫疾病的疗法。</w:t>
      </w:r>
    </w:p>
    <w:p>
      <w:pPr>
        <w:spacing w:before="0"/>
        <w:ind w:left="1117" w:right="0" w:firstLine="0"/>
        <w:jc w:val="both"/>
        <w:rPr>
          <w:sz w:val="24"/>
        </w:rPr>
      </w:pPr>
      <w:r>
        <w:rPr>
          <w:b/>
          <w:sz w:val="24"/>
        </w:rPr>
        <w:t>TC</w:t>
      </w:r>
      <w:r>
        <w:rPr>
          <w:b/>
          <w:spacing w:val="120"/>
          <w:sz w:val="24"/>
        </w:rPr>
        <w:t> </w:t>
      </w:r>
      <w:r>
        <w:rPr>
          <w:b/>
          <w:sz w:val="24"/>
        </w:rPr>
        <w:t>BioPharm</w:t>
      </w:r>
      <w:r>
        <w:rPr>
          <w:b/>
          <w:spacing w:val="119"/>
          <w:sz w:val="24"/>
        </w:rPr>
        <w:t> </w:t>
      </w:r>
      <w:r>
        <w:rPr>
          <w:sz w:val="24"/>
        </w:rPr>
        <w:t>2017</w:t>
      </w:r>
      <w:r>
        <w:rPr>
          <w:spacing w:val="-40"/>
          <w:sz w:val="24"/>
        </w:rPr>
        <w:t> 年 </w:t>
      </w:r>
      <w:r>
        <w:rPr>
          <w:sz w:val="24"/>
        </w:rPr>
        <w:t>8</w:t>
      </w:r>
      <w:r>
        <w:rPr>
          <w:spacing w:val="-11"/>
          <w:sz w:val="24"/>
        </w:rPr>
        <w:t> 月，因具有</w:t>
      </w:r>
      <w:r>
        <w:rPr>
          <w:sz w:val="24"/>
        </w:rPr>
        <w:t>“off  the</w:t>
      </w:r>
      <w:r>
        <w:rPr>
          <w:spacing w:val="119"/>
          <w:sz w:val="24"/>
        </w:rPr>
        <w:t> </w:t>
      </w:r>
      <w:r>
        <w:rPr>
          <w:sz w:val="24"/>
        </w:rPr>
        <w:t>shelf”</w:t>
      </w:r>
      <w:r>
        <w:rPr>
          <w:spacing w:val="-15"/>
          <w:sz w:val="24"/>
        </w:rPr>
        <w:t>功能的 </w:t>
      </w:r>
      <w:r>
        <w:rPr>
          <w:rFonts w:ascii="Arial" w:hAnsi="Arial" w:eastAsia="Arial"/>
          <w:sz w:val="24"/>
        </w:rPr>
        <w:t>γ</w:t>
      </w:r>
      <w:r>
        <w:rPr>
          <w:rFonts w:ascii="Arial" w:hAnsi="Arial" w:eastAsia="Arial"/>
          <w:spacing w:val="53"/>
          <w:sz w:val="24"/>
        </w:rPr>
        <w:t> </w:t>
      </w:r>
      <w:r>
        <w:rPr>
          <w:rFonts w:ascii="Arial" w:hAnsi="Arial" w:eastAsia="Arial"/>
          <w:sz w:val="24"/>
        </w:rPr>
        <w:t>δ </w:t>
      </w:r>
      <w:r>
        <w:rPr>
          <w:sz w:val="24"/>
        </w:rPr>
        <w:t>T</w:t>
      </w:r>
      <w:r>
        <w:rPr>
          <w:spacing w:val="-12"/>
          <w:sz w:val="24"/>
        </w:rPr>
        <w:t> 细胞技术</w:t>
      </w:r>
    </w:p>
    <w:p>
      <w:pPr>
        <w:pStyle w:val="BodyText"/>
        <w:tabs>
          <w:tab w:pos="1957" w:val="left" w:leader="none"/>
          <w:tab w:pos="2917" w:val="left" w:leader="none"/>
          <w:tab w:pos="4117" w:val="left" w:leader="none"/>
        </w:tabs>
        <w:spacing w:line="297" w:lineRule="auto" w:before="66"/>
        <w:ind w:right="1130"/>
      </w:pPr>
      <w:r>
        <w:rPr/>
        <w:t>——OmnImmune，TC</w:t>
        <w:tab/>
        <w:t>BioPharm</w:t>
        <w:tab/>
        <w:t>(TCB)获得了科研领域的最大奖项，入选欧盟委员会“Horizon</w:t>
        <w:tab/>
        <w:t>2020”计划，并且获得</w:t>
      </w:r>
      <w:r>
        <w:rPr>
          <w:spacing w:val="-60"/>
        </w:rPr>
        <w:t> </w:t>
      </w:r>
      <w:r>
        <w:rPr/>
        <w:t>400</w:t>
      </w:r>
      <w:r>
        <w:rPr>
          <w:spacing w:val="-60"/>
        </w:rPr>
        <w:t> </w:t>
      </w:r>
      <w:r>
        <w:rPr/>
        <w:t>万欧元用于开发针对各种癌症的同种异体</w:t>
      </w:r>
      <w:r>
        <w:rPr>
          <w:spacing w:val="-59"/>
        </w:rPr>
        <w:t> </w:t>
      </w:r>
      <w:r>
        <w:rPr>
          <w:rFonts w:ascii="Arial" w:hAnsi="Arial" w:eastAsia="Arial"/>
        </w:rPr>
        <w:t>γ</w:t>
      </w:r>
      <w:r>
        <w:rPr>
          <w:rFonts w:ascii="Arial" w:hAnsi="Arial" w:eastAsia="Arial"/>
          <w:spacing w:val="52"/>
        </w:rPr>
        <w:t> </w:t>
      </w:r>
      <w:r>
        <w:rPr>
          <w:rFonts w:ascii="Arial" w:hAnsi="Arial" w:eastAsia="Arial"/>
        </w:rPr>
        <w:t>δ</w:t>
      </w:r>
      <w:r>
        <w:rPr>
          <w:rFonts w:ascii="Arial" w:hAnsi="Arial" w:eastAsia="Arial"/>
          <w:spacing w:val="40"/>
        </w:rPr>
        <w:t> </w:t>
      </w:r>
      <w:r>
        <w:rPr/>
        <w:t>T</w:t>
      </w:r>
      <w:r>
        <w:rPr>
          <w:spacing w:val="-60"/>
        </w:rPr>
        <w:t> </w:t>
      </w:r>
      <w:r>
        <w:rPr/>
        <w:t>细胞疗法。OmnImmune</w:t>
      </w:r>
      <w:r>
        <w:rPr>
          <w:spacing w:val="-61"/>
        </w:rPr>
        <w:t> </w:t>
      </w:r>
      <w:r>
        <w:rPr/>
        <w:t>对健康供体提供的细胞进行制备</w:t>
      </w:r>
      <w:r>
        <w:rPr>
          <w:spacing w:val="-22"/>
        </w:rPr>
        <w:t>，</w:t>
      </w:r>
      <w:r>
        <w:rPr/>
        <w:t>可适用于病毒</w:t>
      </w:r>
      <w:r>
        <w:rPr>
          <w:spacing w:val="-22"/>
        </w:rPr>
        <w:t>、</w:t>
      </w:r>
      <w:r>
        <w:rPr/>
        <w:t>细菌感染和多种癌</w:t>
      </w:r>
      <w:r>
        <w:rPr>
          <w:spacing w:val="-16"/>
        </w:rPr>
        <w:t>症</w:t>
      </w:r>
    </w:p>
    <w:p>
      <w:pPr>
        <w:spacing w:line="362" w:lineRule="exact" w:before="0"/>
        <w:ind w:left="637" w:right="0" w:firstLine="0"/>
        <w:jc w:val="left"/>
        <w:rPr>
          <w:rFonts w:ascii="微软雅黑" w:eastAsia="微软雅黑" w:hint="eastAsia"/>
          <w:b/>
          <w:sz w:val="24"/>
        </w:rPr>
      </w:pPr>
      <w:r>
        <w:rPr>
          <w:w w:val="110"/>
          <w:sz w:val="24"/>
        </w:rPr>
        <w:t>的治疗。</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spacing w:after="0" w:line="362" w:lineRule="exact"/>
        <w:jc w:val="left"/>
        <w:rPr>
          <w:rFonts w:ascii="微软雅黑" w:eastAsia="微软雅黑" w:hint="eastAsia"/>
          <w:sz w:val="24"/>
        </w:rPr>
        <w:sectPr>
          <w:pgSz w:w="11910" w:h="16850"/>
          <w:pgMar w:header="906" w:footer="607" w:top="1100" w:bottom="800" w:left="640" w:right="0"/>
        </w:sectPr>
      </w:pPr>
    </w:p>
    <w:p>
      <w:pPr>
        <w:pStyle w:val="BodyText"/>
        <w:ind w:left="0"/>
        <w:rPr>
          <w:rFonts w:ascii="微软雅黑"/>
          <w:b/>
          <w:sz w:val="32"/>
        </w:rPr>
      </w:pPr>
    </w:p>
    <w:p>
      <w:pPr>
        <w:pStyle w:val="BodyText"/>
        <w:ind w:left="0"/>
        <w:rPr>
          <w:rFonts w:ascii="微软雅黑"/>
          <w:b/>
          <w:sz w:val="17"/>
        </w:rPr>
      </w:pPr>
    </w:p>
    <w:p>
      <w:pPr>
        <w:pStyle w:val="Heading4"/>
        <w:ind w:left="637"/>
      </w:pPr>
      <w:r>
        <w:rPr/>
        <w:t>【研究进展】</w:t>
      </w:r>
    </w:p>
    <w:p>
      <w:pPr>
        <w:pStyle w:val="Heading1"/>
        <w:spacing w:before="39"/>
        <w:jc w:val="left"/>
        <w:rPr>
          <w:u w:val="none"/>
        </w:rPr>
      </w:pPr>
      <w:bookmarkStart w:name="_TOC_250032" w:id="10"/>
      <w:r>
        <w:rPr>
          <w:b w:val="0"/>
          <w:u w:val="none"/>
        </w:rPr>
        <w:br w:type="column"/>
      </w:r>
      <w:r>
        <w:rPr>
          <w:rFonts w:ascii="Times New Roman" w:eastAsia="Times New Roman"/>
          <w:color w:val="008000"/>
          <w:spacing w:val="-110"/>
          <w:w w:val="99"/>
          <w:u w:val="thick" w:color="008000"/>
        </w:rPr>
        <w:t> </w:t>
      </w:r>
      <w:bookmarkEnd w:id="10"/>
      <w:r>
        <w:rPr>
          <w:color w:val="008000"/>
          <w:u w:val="thick" w:color="008000"/>
        </w:rPr>
        <w:t>医药前沿</w:t>
      </w:r>
    </w:p>
    <w:p>
      <w:pPr>
        <w:spacing w:after="0"/>
        <w:jc w:val="left"/>
        <w:sectPr>
          <w:type w:val="continuous"/>
          <w:pgSz w:w="11910" w:h="16850"/>
          <w:pgMar w:top="1100" w:bottom="1020" w:left="640" w:right="0"/>
          <w:cols w:num="2" w:equalWidth="0">
            <w:col w:w="2607" w:space="1780"/>
            <w:col w:w="6883"/>
          </w:cols>
        </w:sectPr>
      </w:pPr>
    </w:p>
    <w:p>
      <w:pPr>
        <w:pStyle w:val="BodyText"/>
        <w:spacing w:before="9"/>
        <w:ind w:left="0"/>
        <w:rPr>
          <w:rFonts w:ascii="华文宋体"/>
          <w:b/>
          <w:sz w:val="14"/>
        </w:rPr>
      </w:pPr>
    </w:p>
    <w:p>
      <w:pPr>
        <w:spacing w:after="0"/>
        <w:rPr>
          <w:rFonts w:ascii="华文宋体"/>
          <w:sz w:val="14"/>
        </w:rPr>
        <w:sectPr>
          <w:type w:val="continuous"/>
          <w:pgSz w:w="11910" w:h="16850"/>
          <w:pgMar w:top="1100" w:bottom="1020" w:left="640" w:right="0"/>
        </w:sectPr>
      </w:pPr>
    </w:p>
    <w:p>
      <w:pPr>
        <w:pStyle w:val="Heading4"/>
        <w:spacing w:before="55"/>
        <w:ind w:left="2975"/>
      </w:pPr>
      <w:bookmarkStart w:name="_TOC_250031" w:id="11"/>
      <w:bookmarkEnd w:id="11"/>
      <w:r>
        <w:rPr>
          <w:spacing w:val="-2"/>
        </w:rPr>
        <w:t>自身免疫肝炎患者有特殊肠道菌群</w:t>
      </w:r>
    </w:p>
    <w:p>
      <w:pPr>
        <w:pStyle w:val="BodyText"/>
        <w:ind w:left="0"/>
        <w:rPr>
          <w:b/>
        </w:rPr>
      </w:pPr>
      <w:r>
        <w:rPr/>
        <w:br w:type="column"/>
      </w:r>
      <w:r>
        <w:rPr>
          <w:b/>
        </w:rPr>
      </w:r>
    </w:p>
    <w:p>
      <w:pPr>
        <w:pStyle w:val="BodyText"/>
        <w:spacing w:before="8"/>
        <w:ind w:left="0"/>
        <w:rPr>
          <w:b/>
          <w:sz w:val="23"/>
        </w:rPr>
      </w:pPr>
    </w:p>
    <w:p>
      <w:pPr>
        <w:pStyle w:val="Heading8"/>
        <w:ind w:left="375"/>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793" w:space="40"/>
            <w:col w:w="3437"/>
          </w:cols>
        </w:sectPr>
      </w:pPr>
    </w:p>
    <w:p>
      <w:pPr>
        <w:pStyle w:val="BodyText"/>
        <w:spacing w:before="98"/>
        <w:ind w:left="1117"/>
      </w:pPr>
      <w:r>
        <w:rPr/>
        <w:t>近日，上海交通大学医学院附属仁济医院消化内科马雄教授团队在消化领域权威期刊</w:t>
      </w:r>
    </w:p>
    <w:p>
      <w:pPr>
        <w:pStyle w:val="BodyText"/>
        <w:spacing w:line="297" w:lineRule="auto" w:before="72"/>
        <w:ind w:right="1146"/>
        <w:jc w:val="both"/>
      </w:pPr>
      <w:r>
        <w:rPr/>
        <w:t>《胃肠道》（GUT）在线发表了题为《自身免疫性肝炎患者的肠道菌群改变》的原创性研究成果，揭示了自身免疫性肝炎（AIH）患者的肠道菌群特征，即该类患者肠道菌群紊乱且多样性降低，并提示粪便里的线索可作为自身免疫性肝炎患者的潜在分级指标。</w:t>
      </w:r>
    </w:p>
    <w:p>
      <w:pPr>
        <w:pStyle w:val="BodyText"/>
        <w:spacing w:line="297" w:lineRule="auto"/>
        <w:ind w:right="1127" w:firstLine="480"/>
        <w:jc w:val="both"/>
      </w:pPr>
      <w:r>
        <w:rPr>
          <w:spacing w:val="-7"/>
        </w:rPr>
        <w:t>自身免疫性肝炎发病机制尚不明确，且由于最初的临床症状与病毒性肝炎症状相似，临</w:t>
      </w:r>
      <w:r>
        <w:rPr>
          <w:spacing w:val="-11"/>
        </w:rPr>
        <w:t>床上诊断比较困难。因此，准确及时地监测出自身免疫性肝炎的特异性指标无疑对诊断以及</w:t>
      </w:r>
      <w:r>
        <w:rPr/>
        <w:t>进一步治疗具有重要意义。</w:t>
      </w:r>
    </w:p>
    <w:p>
      <w:pPr>
        <w:pStyle w:val="BodyText"/>
        <w:spacing w:line="297" w:lineRule="auto"/>
        <w:ind w:right="1009" w:firstLine="480"/>
      </w:pPr>
      <w:r>
        <w:rPr>
          <w:spacing w:val="-8"/>
        </w:rPr>
        <w:t>越来越多的证据表明，肠道微生态改变与多种肝脏疾病的发生相关。通过高通量测序技</w:t>
      </w:r>
      <w:r>
        <w:rPr>
          <w:spacing w:val="-14"/>
        </w:rPr>
        <w:t>术，马雄研究团队在一个未经糖皮质激素治疗的大样本 </w:t>
      </w:r>
      <w:r>
        <w:rPr/>
        <w:t>AIH</w:t>
      </w:r>
      <w:r>
        <w:rPr>
          <w:spacing w:val="-8"/>
        </w:rPr>
        <w:t> 队列中对患者的肠道菌群结构进</w:t>
      </w:r>
      <w:r>
        <w:rPr>
          <w:spacing w:val="-9"/>
        </w:rPr>
        <w:t>行了全面系统的分析。研究发现，</w:t>
      </w:r>
      <w:r>
        <w:rPr>
          <w:spacing w:val="-4"/>
        </w:rPr>
        <w:t>AIH</w:t>
      </w:r>
      <w:r>
        <w:rPr>
          <w:spacing w:val="-9"/>
        </w:rPr>
        <w:t> 患者的肠道菌群失衡表现为肠道菌群多样性降低，且</w:t>
      </w:r>
      <w:r>
        <w:rPr>
          <w:spacing w:val="-12"/>
        </w:rPr>
        <w:t>总体菌群结构和健康人群有所不同。</w:t>
      </w:r>
      <w:r>
        <w:rPr/>
        <w:t>11</w:t>
      </w:r>
      <w:r>
        <w:rPr>
          <w:spacing w:val="-13"/>
        </w:rPr>
        <w:t> 种菌属的相对丰度在 </w:t>
      </w:r>
      <w:r>
        <w:rPr/>
        <w:t>AIH</w:t>
      </w:r>
      <w:r>
        <w:rPr>
          <w:spacing w:val="-9"/>
        </w:rPr>
        <w:t> 患者和健康对照中有差异， </w:t>
      </w:r>
      <w:r>
        <w:rPr>
          <w:spacing w:val="-7"/>
        </w:rPr>
        <w:t>主要表现为专性厌氧菌的相对丰度下降，潜在致病菌的相对丰度增加。基于 </w:t>
      </w:r>
      <w:r>
        <w:rPr/>
        <w:t>AIH</w:t>
      </w:r>
      <w:r>
        <w:rPr>
          <w:spacing w:val="-10"/>
        </w:rPr>
        <w:t> 患者特有的</w:t>
      </w:r>
      <w:r>
        <w:rPr>
          <w:spacing w:val="-13"/>
        </w:rPr>
        <w:t>肠道菌群结构构建疾病预测模型，能够有效判别 </w:t>
      </w:r>
      <w:r>
        <w:rPr/>
        <w:t>AIH</w:t>
      </w:r>
      <w:r>
        <w:rPr>
          <w:spacing w:val="-8"/>
        </w:rPr>
        <w:t> 患者和健康对照。</w:t>
      </w:r>
    </w:p>
    <w:p>
      <w:pPr>
        <w:pStyle w:val="BodyText"/>
        <w:spacing w:line="295" w:lineRule="auto"/>
        <w:ind w:right="1126" w:firstLine="480"/>
      </w:pPr>
      <w:r>
        <w:rPr>
          <w:spacing w:val="-12"/>
        </w:rPr>
        <w:t>研究发现，韦永氏球菌属在 </w:t>
      </w:r>
      <w:r>
        <w:rPr/>
        <w:t>AIH</w:t>
      </w:r>
      <w:r>
        <w:rPr>
          <w:spacing w:val="-15"/>
        </w:rPr>
        <w:t> 发病中可能发挥重要作用，其相对丰度在 </w:t>
      </w:r>
      <w:r>
        <w:rPr/>
        <w:t>AIH</w:t>
      </w:r>
      <w:r>
        <w:rPr>
          <w:spacing w:val="-16"/>
        </w:rPr>
        <w:t> 患者中增</w:t>
      </w:r>
      <w:r>
        <w:rPr>
          <w:spacing w:val="-11"/>
        </w:rPr>
        <w:t>高最为显著，且与患者的血清 </w:t>
      </w:r>
      <w:r>
        <w:rPr/>
        <w:t>AST</w:t>
      </w:r>
      <w:r>
        <w:rPr>
          <w:spacing w:val="-14"/>
        </w:rPr>
        <w:t> 水平以及肝脏炎症分级正相关。研究明确了 </w:t>
      </w:r>
      <w:r>
        <w:rPr/>
        <w:t>AIH</w:t>
      </w:r>
      <w:r>
        <w:rPr>
          <w:spacing w:val="-16"/>
        </w:rPr>
        <w:t> 患者粪便</w:t>
      </w:r>
    </w:p>
    <w:p>
      <w:pPr>
        <w:spacing w:after="0" w:line="295" w:lineRule="auto"/>
        <w:sectPr>
          <w:type w:val="continuous"/>
          <w:pgSz w:w="11910" w:h="16850"/>
          <w:pgMar w:top="1100" w:bottom="1020" w:left="640" w:right="0"/>
        </w:sectPr>
      </w:pPr>
    </w:p>
    <w:p>
      <w:pPr>
        <w:pStyle w:val="BodyText"/>
        <w:spacing w:line="235" w:lineRule="auto" w:before="69"/>
        <w:ind w:right="1128"/>
        <w:rPr>
          <w:rFonts w:ascii="微软雅黑" w:eastAsia="微软雅黑" w:hint="eastAsia"/>
          <w:b/>
        </w:rPr>
      </w:pPr>
      <w:r>
        <w:rPr>
          <w:spacing w:val="-12"/>
        </w:rPr>
        <w:t>菌群结构与功能的改变，提示肠道菌群作为非侵入性生物标记物用于 </w:t>
      </w:r>
      <w:r>
        <w:rPr/>
        <w:t>AIH</w:t>
      </w:r>
      <w:r>
        <w:rPr>
          <w:spacing w:val="-9"/>
        </w:rPr>
        <w:t> 疾病分层的潜在可</w:t>
      </w:r>
      <w:r>
        <w:rPr/>
        <w:t>能性。</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BodyText"/>
        <w:spacing w:before="10"/>
        <w:ind w:left="0"/>
        <w:rPr>
          <w:rFonts w:ascii="微软雅黑"/>
          <w:b/>
          <w:sz w:val="10"/>
        </w:rPr>
      </w:pPr>
    </w:p>
    <w:p>
      <w:pPr>
        <w:spacing w:after="0"/>
        <w:rPr>
          <w:rFonts w:ascii="微软雅黑"/>
          <w:sz w:val="10"/>
        </w:rPr>
        <w:sectPr>
          <w:pgSz w:w="11910" w:h="16850"/>
          <w:pgMar w:header="906" w:footer="607" w:top="1100" w:bottom="800" w:left="640" w:right="0"/>
        </w:sectPr>
      </w:pPr>
    </w:p>
    <w:p>
      <w:pPr>
        <w:pStyle w:val="Heading4"/>
        <w:spacing w:before="55"/>
        <w:ind w:left="3136"/>
      </w:pPr>
      <w:bookmarkStart w:name="_TOC_250030" w:id="12"/>
      <w:bookmarkEnd w:id="12"/>
      <w:r>
        <w:rPr>
          <w:spacing w:val="-2"/>
        </w:rPr>
        <w:t>新型嗜肺军团菌毒素被“捕获”</w:t>
      </w:r>
    </w:p>
    <w:p>
      <w:pPr>
        <w:pStyle w:val="BodyText"/>
        <w:ind w:left="0"/>
        <w:rPr>
          <w:b/>
        </w:rPr>
      </w:pPr>
      <w:r>
        <w:rPr/>
        <w:br w:type="column"/>
      </w:r>
      <w:r>
        <w:rPr>
          <w:b/>
        </w:rPr>
      </w:r>
    </w:p>
    <w:p>
      <w:pPr>
        <w:pStyle w:val="BodyText"/>
        <w:spacing w:before="10"/>
        <w:ind w:left="0"/>
        <w:rPr>
          <w:b/>
          <w:sz w:val="23"/>
        </w:rPr>
      </w:pPr>
    </w:p>
    <w:p>
      <w:pPr>
        <w:pStyle w:val="Heading8"/>
        <w:ind w:left="53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632" w:space="40"/>
            <w:col w:w="3598"/>
          </w:cols>
        </w:sectPr>
      </w:pPr>
    </w:p>
    <w:p>
      <w:pPr>
        <w:pStyle w:val="BodyText"/>
        <w:spacing w:line="297" w:lineRule="auto" w:before="96"/>
        <w:ind w:right="1006" w:firstLine="480"/>
      </w:pPr>
      <w:r>
        <w:rPr>
          <w:spacing w:val="-5"/>
        </w:rPr>
        <w:t>从引发“空调肺”的“危险分子”——嗜肺军团菌中，浙江大学生命科学研究院朱永群</w:t>
      </w:r>
      <w:r>
        <w:rPr>
          <w:spacing w:val="-10"/>
        </w:rPr>
        <w:t>团队鉴定出一种新型毒素 </w:t>
      </w:r>
      <w:r>
        <w:rPr/>
        <w:t>RavD，它能定向“切割”来自宿主细胞的标签，逃过免疫识别， </w:t>
      </w:r>
      <w:r>
        <w:rPr>
          <w:spacing w:val="-11"/>
        </w:rPr>
        <w:t>让自己不断扩增壮大，最终导致重症肺炎。相关研究论文日前在《自然</w:t>
      </w:r>
      <w:r>
        <w:rPr/>
        <w:t>·</w:t>
      </w:r>
      <w:r>
        <w:rPr>
          <w:spacing w:val="-9"/>
        </w:rPr>
        <w:t>微生物学》上发表。</w:t>
      </w:r>
    </w:p>
    <w:p>
      <w:pPr>
        <w:pStyle w:val="BodyText"/>
        <w:spacing w:line="297" w:lineRule="auto"/>
        <w:ind w:right="1009" w:firstLine="480"/>
      </w:pPr>
      <w:r>
        <w:rPr>
          <w:spacing w:val="-5"/>
        </w:rPr>
        <w:t>嗜肺军团菌引起的重症肺炎俗称“空调肺”。嗜肺军团菌进入人体后，在巨噬细胞的胞</w:t>
      </w:r>
      <w:r>
        <w:rPr>
          <w:spacing w:val="-12"/>
        </w:rPr>
        <w:t>内，给自己建起膜泡，并以 </w:t>
      </w:r>
      <w:r>
        <w:rPr/>
        <w:t>15</w:t>
      </w:r>
      <w:r>
        <w:rPr>
          <w:spacing w:val="-12"/>
        </w:rPr>
        <w:t> 分钟一代的速度扩增，最终导致巨噬细胞的裂解。朱永群说，</w:t>
      </w:r>
    </w:p>
    <w:p>
      <w:pPr>
        <w:pStyle w:val="BodyText"/>
        <w:spacing w:line="297" w:lineRule="auto"/>
        <w:ind w:right="1126"/>
        <w:jc w:val="both"/>
      </w:pPr>
      <w:r>
        <w:rPr>
          <w:spacing w:val="-7"/>
        </w:rPr>
        <w:t>嗜肺军团菌能产生 </w:t>
      </w:r>
      <w:r>
        <w:rPr/>
        <w:t>300</w:t>
      </w:r>
      <w:r>
        <w:rPr>
          <w:spacing w:val="-14"/>
        </w:rPr>
        <w:t> 多种效应蛋白，效应蛋白俗称细菌毒素，它们各司其职，合力将宿主</w:t>
      </w:r>
      <w:r>
        <w:rPr>
          <w:spacing w:val="-9"/>
        </w:rPr>
        <w:t>细胞打败。“细菌毒素专从泛素化这个关键的生命过程下手。”泛素化，就像在特定时期给</w:t>
      </w:r>
      <w:r>
        <w:rPr>
          <w:spacing w:val="-8"/>
        </w:rPr>
        <w:t>蛋白质打上“标签”，决定蛋白质下一步该往什么方向发展。而细菌见招拆招，用各种方法</w:t>
      </w:r>
      <w:r>
        <w:rPr>
          <w:spacing w:val="-7"/>
        </w:rPr>
        <w:t>干扰宿主打“标签”——不让“贴”，让“贴”错地方，或者把“标签”切碎，即“去泛素</w:t>
      </w:r>
      <w:r>
        <w:rPr/>
        <w:t>化”。</w:t>
      </w:r>
    </w:p>
    <w:p>
      <w:pPr>
        <w:pStyle w:val="BodyText"/>
        <w:spacing w:line="297" w:lineRule="auto"/>
        <w:ind w:right="1127" w:firstLine="480"/>
        <w:jc w:val="both"/>
      </w:pPr>
      <w:r>
        <w:rPr>
          <w:spacing w:val="-13"/>
        </w:rPr>
        <w:t>自上世纪 </w:t>
      </w:r>
      <w:r>
        <w:rPr/>
        <w:t>80</w:t>
      </w:r>
      <w:r>
        <w:rPr>
          <w:spacing w:val="-8"/>
        </w:rPr>
        <w:t> 年代以来，科学家一直在寻找细菌“去泛素化”的工具。但是，能够切割</w:t>
      </w:r>
      <w:r>
        <w:rPr>
          <w:spacing w:val="-14"/>
        </w:rPr>
        <w:t>不带“分叉”的线性泛素链的毒素，一直没有露出真面目。朱永群团队在试管中设计了一个</w:t>
      </w:r>
      <w:r>
        <w:rPr>
          <w:spacing w:val="-3"/>
        </w:rPr>
        <w:t>“破案”场景：底物是线性泛素链，一一试验 </w:t>
      </w:r>
      <w:r>
        <w:rPr/>
        <w:t>43</w:t>
      </w:r>
      <w:r>
        <w:rPr>
          <w:spacing w:val="-8"/>
        </w:rPr>
        <w:t> 种细菌的裂解液。试验发现，只有嗜肺军</w:t>
      </w:r>
      <w:r>
        <w:rPr>
          <w:spacing w:val="-14"/>
        </w:rPr>
        <w:t>团菌拥有“剪刀手”，能特异地切割线性链，不切割带任何“分叉”的异肽键泛素链。在明</w:t>
      </w:r>
      <w:r>
        <w:rPr>
          <w:spacing w:val="-3"/>
        </w:rPr>
        <w:t>确了搜索范围后，最终鉴定出这个独特的毒素为 </w:t>
      </w:r>
      <w:r>
        <w:rPr/>
        <w:t>RavD。</w:t>
      </w:r>
    </w:p>
    <w:p>
      <w:pPr>
        <w:pStyle w:val="BodyText"/>
        <w:spacing w:line="297" w:lineRule="auto"/>
        <w:ind w:right="1006" w:firstLine="480"/>
      </w:pPr>
      <w:r>
        <w:rPr>
          <w:spacing w:val="-12"/>
        </w:rPr>
        <w:t>线性泛素链在细胞生命中功能独特。当嗜肺军团菌最初进入巨噬细胞、搭建膜泡的瞬间， </w:t>
      </w:r>
      <w:r>
        <w:rPr>
          <w:spacing w:val="-6"/>
        </w:rPr>
        <w:t>巨噬细胞能识别出这个“闯入者”，对膜泡“标记”线性泛素链。线性泛素链会引发炎症反</w:t>
      </w:r>
      <w:r>
        <w:rPr>
          <w:spacing w:val="-9"/>
        </w:rPr>
        <w:t>应，引导其他吞噬类细胞清除被攻陷的巨噬细胞。“但 </w:t>
      </w:r>
      <w:r>
        <w:rPr/>
        <w:t>RavD</w:t>
      </w:r>
      <w:r>
        <w:rPr>
          <w:spacing w:val="-8"/>
        </w:rPr>
        <w:t> 毒素能把‘标签’切碎，不让</w:t>
      </w:r>
      <w:r>
        <w:rPr>
          <w:spacing w:val="-18"/>
        </w:rPr>
        <w:t>细胞觉察。它就像是一座危房的‘粉刷匠’，把一个病入膏肓的细胞‘打扮’成健康的细胞，</w:t>
      </w:r>
      <w:r>
        <w:rPr/>
        <w:t>得以躲过宿主的免疫反应。”朱永群说。</w:t>
      </w:r>
    </w:p>
    <w:p>
      <w:pPr>
        <w:pStyle w:val="BodyText"/>
        <w:spacing w:line="235" w:lineRule="auto"/>
        <w:ind w:right="1128" w:firstLine="480"/>
        <w:rPr>
          <w:rFonts w:ascii="微软雅黑" w:eastAsia="微软雅黑" w:hint="eastAsia"/>
          <w:b/>
        </w:rPr>
      </w:pPr>
      <w:r>
        <w:rPr>
          <w:spacing w:val="-10"/>
        </w:rPr>
        <w:t>据了解，嗜肺军团菌的 </w:t>
      </w:r>
      <w:r>
        <w:rPr/>
        <w:t>300</w:t>
      </w:r>
      <w:r>
        <w:rPr>
          <w:spacing w:val="-13"/>
        </w:rPr>
        <w:t> 多个毒素中，人类已经知道其中 </w:t>
      </w:r>
      <w:r>
        <w:rPr/>
        <w:t>20</w:t>
      </w:r>
      <w:r>
        <w:rPr>
          <w:spacing w:val="-11"/>
        </w:rPr>
        <w:t> 多个功能，</w:t>
      </w:r>
      <w:r>
        <w:rPr>
          <w:spacing w:val="-3"/>
        </w:rPr>
        <w:t>RavD</w:t>
      </w:r>
      <w:r>
        <w:rPr>
          <w:spacing w:val="-19"/>
        </w:rPr>
        <w:t> 是最新</w:t>
      </w:r>
      <w:r>
        <w:rPr/>
        <w:t>被确定功能的细菌毒素。</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Heading4"/>
        <w:spacing w:before="102"/>
        <w:ind w:left="637"/>
      </w:pPr>
      <w:bookmarkStart w:name="_TOC_250029" w:id="13"/>
      <w:bookmarkEnd w:id="13"/>
      <w:r>
        <w:rPr/>
        <w:t>【新药看台】</w:t>
      </w:r>
    </w:p>
    <w:p>
      <w:pPr>
        <w:pStyle w:val="BodyText"/>
        <w:spacing w:before="10"/>
        <w:ind w:left="0"/>
        <w:rPr>
          <w:b/>
          <w:sz w:val="11"/>
        </w:rPr>
      </w:pPr>
    </w:p>
    <w:p>
      <w:pPr>
        <w:pStyle w:val="BodyText"/>
        <w:spacing w:before="66"/>
        <w:ind w:left="0" w:right="494"/>
        <w:jc w:val="center"/>
      </w:pPr>
      <w:r>
        <w:rPr/>
        <w:t>医药卫生领域国家科技重大专项进展公布</w:t>
      </w:r>
    </w:p>
    <w:p>
      <w:pPr>
        <w:pStyle w:val="Heading4"/>
        <w:spacing w:before="150"/>
        <w:ind w:right="495"/>
        <w:jc w:val="center"/>
      </w:pPr>
      <w:bookmarkStart w:name="_TOC_250028" w:id="14"/>
      <w:bookmarkEnd w:id="14"/>
      <w:r>
        <w:rPr/>
        <w:t>两种国产创新药被认可</w:t>
      </w:r>
    </w:p>
    <w:p>
      <w:pPr>
        <w:pStyle w:val="Heading8"/>
        <w:spacing w:before="146"/>
        <w:ind w:left="0" w:right="1128"/>
        <w:jc w:val="right"/>
        <w:rPr>
          <w:rFonts w:ascii="楷体" w:eastAsia="楷体" w:hint="eastAsia"/>
        </w:rPr>
      </w:pPr>
      <w:r>
        <w:rPr>
          <w:rFonts w:ascii="楷体" w:eastAsia="楷体" w:hint="eastAsia"/>
          <w:color w:val="FF0000"/>
          <w:w w:val="95"/>
        </w:rPr>
        <w:t>（来源：中国医药报）</w:t>
      </w:r>
    </w:p>
    <w:p>
      <w:pPr>
        <w:pStyle w:val="BodyText"/>
        <w:spacing w:line="297" w:lineRule="auto" w:before="95"/>
        <w:ind w:right="1128" w:firstLine="480"/>
        <w:jc w:val="both"/>
      </w:pPr>
      <w:r>
        <w:rPr/>
        <w:t>7</w:t>
      </w:r>
      <w:r>
        <w:rPr>
          <w:spacing w:val="-51"/>
        </w:rPr>
        <w:t> 月 </w:t>
      </w:r>
      <w:r>
        <w:rPr/>
        <w:t>2</w:t>
      </w:r>
      <w:r>
        <w:rPr>
          <w:spacing w:val="-18"/>
        </w:rPr>
        <w:t> 日，国家卫健委科技教育司公布医药卫生领域国家科技重大专项进展与动态。“重</w:t>
      </w:r>
      <w:r>
        <w:rPr>
          <w:spacing w:val="-5"/>
        </w:rPr>
        <w:t>大新药创制”科技重大专项的 </w:t>
      </w:r>
      <w:r>
        <w:rPr/>
        <w:t>2</w:t>
      </w:r>
      <w:r>
        <w:rPr>
          <w:spacing w:val="-12"/>
        </w:rPr>
        <w:t> 项最新成果——恒瑞医药研发的 </w:t>
      </w:r>
      <w:r>
        <w:rPr/>
        <w:t>PD-1</w:t>
      </w:r>
      <w:r>
        <w:rPr>
          <w:spacing w:val="-8"/>
        </w:rPr>
        <w:t> 单抗被认可为重大突破，天济医药研发的本维莫德乳膏为全球首创，且均在我国获批上市。</w:t>
      </w:r>
    </w:p>
    <w:p>
      <w:pPr>
        <w:pStyle w:val="BodyText"/>
        <w:spacing w:line="297" w:lineRule="auto"/>
        <w:ind w:right="1126" w:firstLine="480"/>
        <w:jc w:val="both"/>
      </w:pPr>
      <w:r>
        <w:rPr>
          <w:spacing w:val="-11"/>
        </w:rPr>
        <w:t>据悉，恒瑞医药自主研发的 </w:t>
      </w:r>
      <w:r>
        <w:rPr/>
        <w:t>PD-1</w:t>
      </w:r>
      <w:r>
        <w:rPr>
          <w:spacing w:val="-32"/>
        </w:rPr>
        <w:t> 单抗</w:t>
      </w:r>
      <w:r>
        <w:rPr/>
        <w:t>（卡瑞利珠单抗</w:t>
      </w:r>
      <w:r>
        <w:rPr>
          <w:spacing w:val="-34"/>
        </w:rPr>
        <w:t>）</w:t>
      </w:r>
      <w:r>
        <w:rPr>
          <w:spacing w:val="-15"/>
        </w:rPr>
        <w:t>于今年 </w:t>
      </w:r>
      <w:r>
        <w:rPr/>
        <w:t>5</w:t>
      </w:r>
      <w:r>
        <w:rPr>
          <w:spacing w:val="-40"/>
        </w:rPr>
        <w:t> 月 </w:t>
      </w:r>
      <w:r>
        <w:rPr/>
        <w:t>28</w:t>
      </w:r>
      <w:r>
        <w:rPr>
          <w:spacing w:val="-10"/>
        </w:rPr>
        <w:t> 日获国家药品监</w:t>
      </w:r>
      <w:r>
        <w:rPr/>
        <w:t>管局批准上市。卡瑞利珠单抗的适应证为复发/难治性经典型霍奇金淋巴瘤，临床试验结果</w:t>
      </w:r>
    </w:p>
    <w:p>
      <w:pPr>
        <w:spacing w:after="0" w:line="297" w:lineRule="auto"/>
        <w:jc w:val="both"/>
        <w:sectPr>
          <w:type w:val="continuous"/>
          <w:pgSz w:w="11910" w:h="16850"/>
          <w:pgMar w:top="1100" w:bottom="1020" w:left="640" w:right="0"/>
        </w:sectPr>
      </w:pPr>
    </w:p>
    <w:p>
      <w:pPr>
        <w:pStyle w:val="BodyText"/>
        <w:spacing w:line="295" w:lineRule="auto" w:before="65"/>
        <w:ind w:right="1007"/>
      </w:pPr>
      <w:r>
        <w:rPr>
          <w:spacing w:val="-17"/>
        </w:rPr>
        <w:t>显示，该药临床疗效明显。该药的上市给难治性经典型霍奇金淋巴瘤患者带来更多治疗选择， </w:t>
      </w:r>
      <w:r>
        <w:rPr/>
        <w:t>是我国在免疫治疗药物领域自主研发创新的重大突破。</w:t>
      </w:r>
    </w:p>
    <w:p>
      <w:pPr>
        <w:pStyle w:val="BodyText"/>
        <w:spacing w:line="297" w:lineRule="auto" w:before="2"/>
        <w:ind w:right="1127" w:firstLine="480"/>
        <w:jc w:val="both"/>
      </w:pPr>
      <w:r>
        <w:rPr/>
        <w:t>5</w:t>
      </w:r>
      <w:r>
        <w:rPr>
          <w:spacing w:val="-41"/>
        </w:rPr>
        <w:t> 月 </w:t>
      </w:r>
      <w:r>
        <w:rPr/>
        <w:t>31</w:t>
      </w:r>
      <w:r>
        <w:rPr>
          <w:spacing w:val="-10"/>
        </w:rPr>
        <w:t> 日，由天济医药研发的全球首创、拥有完整自主知识产权的 </w:t>
      </w:r>
      <w:r>
        <w:rPr/>
        <w:t>1</w:t>
      </w:r>
      <w:r>
        <w:rPr>
          <w:spacing w:val="-8"/>
        </w:rPr>
        <w:t> 类新药——本维</w:t>
      </w:r>
      <w:r>
        <w:rPr>
          <w:spacing w:val="-13"/>
        </w:rPr>
        <w:t>莫德乳膏通过优先审评审批程序获国家药监局批准上市，用于局部治疗成人轻至中度稳定性</w:t>
      </w:r>
      <w:r>
        <w:rPr>
          <w:spacing w:val="-9"/>
        </w:rPr>
        <w:t>寻常型银屑病。本维莫德属于非激素类小分子化学药，通过抑制 </w:t>
      </w:r>
      <w:r>
        <w:rPr/>
        <w:t>T</w:t>
      </w:r>
      <w:r>
        <w:rPr>
          <w:spacing w:val="-12"/>
        </w:rPr>
        <w:t> 细胞酪氨酸蛋白激酶、干</w:t>
      </w:r>
      <w:r>
        <w:rPr/>
        <w:t>扰/阻断细胞因子和炎症介质的释放等机制发挥疗效。我国开展的Ⅲ期大样本临床研究结果</w:t>
      </w:r>
    </w:p>
    <w:p>
      <w:pPr>
        <w:pStyle w:val="BodyText"/>
        <w:spacing w:line="329" w:lineRule="exact"/>
        <w:rPr>
          <w:rFonts w:ascii="Microsoft JhengHei" w:eastAsia="Microsoft JhengHei" w:hint="eastAsia"/>
          <w:b/>
        </w:rPr>
      </w:pPr>
      <w:r>
        <w:rPr/>
        <w:t>表明，本维莫德乳膏可针对皮肤局部作用，因此不存在治疗相关的系统性不良反应。</w:t>
      </w:r>
      <w:r>
        <w:rPr>
          <w:rFonts w:ascii="微软雅黑" w:eastAsia="微软雅黑" w:hint="eastAsia"/>
          <w:b/>
          <w:color w:val="0033CC"/>
        </w:rPr>
        <w:t>[</w:t>
      </w:r>
      <w:r>
        <w:rPr>
          <w:rFonts w:ascii="Microsoft JhengHei" w:eastAsia="Microsoft JhengHei" w:hint="eastAsia"/>
          <w:b/>
          <w:color w:val="0033CC"/>
        </w:rPr>
        <w:t>返回</w:t>
      </w:r>
    </w:p>
    <w:p>
      <w:pPr>
        <w:pStyle w:val="Heading8"/>
        <w:spacing w:line="412" w:lineRule="exact"/>
        <w:ind w:left="637"/>
        <w:rPr>
          <w:rFonts w:ascii="微软雅黑" w:eastAsia="微软雅黑" w:hint="eastAsia"/>
        </w:rPr>
      </w:pPr>
      <w:r>
        <w:rPr>
          <w:rFonts w:ascii="Microsoft JhengHei" w:eastAsia="Microsoft JhengHei" w:hint="eastAsia"/>
          <w:color w:val="0033CC"/>
          <w:w w:val="110"/>
        </w:rPr>
        <w:t>目次</w:t>
      </w:r>
      <w:r>
        <w:rPr>
          <w:rFonts w:ascii="微软雅黑" w:eastAsia="微软雅黑" w:hint="eastAsia"/>
          <w:color w:val="0033CC"/>
          <w:w w:val="110"/>
        </w:rPr>
        <w:t>]</w:t>
      </w:r>
    </w:p>
    <w:p>
      <w:pPr>
        <w:pStyle w:val="BodyText"/>
        <w:spacing w:before="6"/>
        <w:ind w:left="0"/>
        <w:rPr>
          <w:rFonts w:ascii="微软雅黑"/>
          <w:b/>
          <w:sz w:val="13"/>
        </w:rPr>
      </w:pPr>
    </w:p>
    <w:p>
      <w:pPr>
        <w:pStyle w:val="Heading4"/>
        <w:ind w:right="498"/>
        <w:jc w:val="center"/>
      </w:pPr>
      <w:bookmarkStart w:name="_TOC_250027" w:id="15"/>
      <w:bookmarkEnd w:id="15"/>
      <w:r>
        <w:rPr/>
        <w:t>多发性骨髓瘤治疗药达雷妥尤单抗注射液获批上市</w:t>
      </w:r>
    </w:p>
    <w:p>
      <w:pPr>
        <w:spacing w:before="148"/>
        <w:ind w:left="0" w:right="1128" w:firstLine="0"/>
        <w:jc w:val="right"/>
        <w:rPr>
          <w:rFonts w:ascii="楷体" w:eastAsia="楷体" w:hint="eastAsia"/>
          <w:b/>
          <w:sz w:val="24"/>
        </w:rPr>
      </w:pPr>
      <w:r>
        <w:rPr>
          <w:rFonts w:ascii="楷体" w:eastAsia="楷体" w:hint="eastAsia"/>
          <w:b/>
          <w:color w:val="FF0000"/>
          <w:w w:val="95"/>
          <w:sz w:val="24"/>
        </w:rPr>
        <w:t>（来源：中国医药报）</w:t>
      </w:r>
    </w:p>
    <w:p>
      <w:pPr>
        <w:pStyle w:val="BodyText"/>
        <w:spacing w:line="295" w:lineRule="auto" w:before="96"/>
        <w:ind w:right="1127" w:firstLine="480"/>
      </w:pPr>
      <w:r>
        <w:rPr>
          <w:spacing w:val="-11"/>
        </w:rPr>
        <w:t>近日，国家药品监管局有条件批准达雷妥尤单抗注射液进口注册申请。达雷妥尤单抗注</w:t>
      </w:r>
      <w:r>
        <w:rPr/>
        <w:t>射液的上市将为复发和难治性多发性骨髓瘤患者提供新的治疗手段。</w:t>
      </w:r>
    </w:p>
    <w:p>
      <w:pPr>
        <w:pStyle w:val="BodyText"/>
        <w:spacing w:line="295" w:lineRule="auto" w:before="4"/>
        <w:ind w:right="1127" w:firstLine="480"/>
      </w:pPr>
      <w:r>
        <w:rPr>
          <w:spacing w:val="-11"/>
        </w:rPr>
        <w:t>据悉，达雷妥尤单抗用于单药治疗复发和难治性多发性骨髓瘤成年患者，包括既往接受</w:t>
      </w:r>
      <w:r>
        <w:rPr/>
        <w:t>过一种蛋白酶体抑</w:t>
      </w:r>
    </w:p>
    <w:p>
      <w:pPr>
        <w:pStyle w:val="BodyText"/>
        <w:tabs>
          <w:tab w:pos="1357" w:val="left" w:leader="none"/>
        </w:tabs>
        <w:spacing w:line="297" w:lineRule="auto" w:before="2"/>
        <w:ind w:right="1127" w:firstLine="480"/>
      </w:pPr>
      <w:r>
        <w:rPr/>
        <w:t>制剂和一种免疫调节剂且最后一次治疗时出现疾病进展的患者</w:t>
      </w:r>
      <w:r>
        <w:rPr>
          <w:spacing w:val="-51"/>
        </w:rPr>
        <w:t>。</w:t>
      </w:r>
      <w:r>
        <w:rPr/>
        <w:t>该药是一种人源化</w:t>
      </w:r>
      <w:r>
        <w:rPr>
          <w:spacing w:val="-51"/>
        </w:rPr>
        <w:t>、</w:t>
      </w:r>
      <w:r>
        <w:rPr>
          <w:spacing w:val="-16"/>
        </w:rPr>
        <w:t>抗</w:t>
      </w:r>
      <w:r>
        <w:rPr/>
        <w:t>CD38</w:t>
        <w:tab/>
        <w:t>IgG1</w:t>
      </w:r>
      <w:r>
        <w:rPr>
          <w:spacing w:val="-61"/>
        </w:rPr>
        <w:t> </w:t>
      </w:r>
      <w:r>
        <w:rPr/>
        <w:t>单克隆抗体</w:t>
      </w:r>
      <w:r>
        <w:rPr>
          <w:spacing w:val="-15"/>
        </w:rPr>
        <w:t>，</w:t>
      </w:r>
      <w:r>
        <w:rPr/>
        <w:t>与肿瘤细胞表达的</w:t>
      </w:r>
      <w:r>
        <w:rPr>
          <w:spacing w:val="-60"/>
        </w:rPr>
        <w:t> </w:t>
      </w:r>
      <w:r>
        <w:rPr/>
        <w:t>CD38</w:t>
      </w:r>
      <w:r>
        <w:rPr>
          <w:spacing w:val="-60"/>
        </w:rPr>
        <w:t> </w:t>
      </w:r>
      <w:r>
        <w:rPr/>
        <w:t>结合</w:t>
      </w:r>
      <w:r>
        <w:rPr>
          <w:spacing w:val="-15"/>
        </w:rPr>
        <w:t>，</w:t>
      </w:r>
      <w:r>
        <w:rPr/>
        <w:t>通过补体依赖的细胞毒作用</w:t>
      </w:r>
      <w:r>
        <w:rPr>
          <w:spacing w:val="-15"/>
        </w:rPr>
        <w:t>、</w:t>
      </w:r>
      <w:r>
        <w:rPr/>
        <w:t>抗</w:t>
      </w:r>
      <w:r>
        <w:rPr>
          <w:spacing w:val="-12"/>
        </w:rPr>
        <w:t>体</w:t>
      </w:r>
    </w:p>
    <w:p>
      <w:pPr>
        <w:pStyle w:val="BodyText"/>
        <w:spacing w:line="235" w:lineRule="auto" w:before="3"/>
        <w:ind w:right="1145"/>
        <w:rPr>
          <w:rFonts w:ascii="微软雅黑" w:hAnsi="微软雅黑" w:eastAsia="微软雅黑" w:hint="eastAsia"/>
          <w:b/>
        </w:rPr>
      </w:pPr>
      <w:r>
        <w:rPr/>
        <w:t>依赖性细胞介导的细胞毒作用和抗体依赖性细胞吞噬作用，以及 Fc</w:t>
      </w:r>
      <w:r>
        <w:rPr>
          <w:rFonts w:ascii="Arial" w:hAnsi="Arial" w:eastAsia="Arial"/>
        </w:rPr>
        <w:t>γ </w:t>
      </w:r>
      <w:r>
        <w:rPr/>
        <w:t>受体等多种免疫相关机制诱导肿瘤细胞凋亡。</w:t>
      </w:r>
      <w:r>
        <w:rPr>
          <w:rFonts w:ascii="微软雅黑" w:hAnsi="微软雅黑" w:eastAsia="微软雅黑" w:hint="eastAsia"/>
          <w:b/>
          <w:color w:val="0033CC"/>
        </w:rPr>
        <w:t>[</w:t>
      </w:r>
      <w:r>
        <w:rPr>
          <w:rFonts w:ascii="Microsoft JhengHei" w:hAnsi="Microsoft JhengHei" w:eastAsia="Microsoft JhengHei" w:hint="eastAsia"/>
          <w:b/>
          <w:color w:val="0033CC"/>
        </w:rPr>
        <w:t>返回目次</w:t>
      </w:r>
      <w:r>
        <w:rPr>
          <w:rFonts w:ascii="微软雅黑" w:hAnsi="微软雅黑" w:eastAsia="微软雅黑" w:hint="eastAsia"/>
          <w:b/>
          <w:color w:val="0033CC"/>
        </w:rPr>
        <w:t>]</w:t>
      </w:r>
    </w:p>
    <w:p>
      <w:pPr>
        <w:spacing w:after="0" w:line="235" w:lineRule="auto"/>
        <w:rPr>
          <w:rFonts w:ascii="微软雅黑" w:hAnsi="微软雅黑" w:eastAsia="微软雅黑" w:hint="eastAsia"/>
        </w:rPr>
        <w:sectPr>
          <w:pgSz w:w="11910" w:h="16850"/>
          <w:pgMar w:header="906" w:footer="607" w:top="1100" w:bottom="800" w:left="640" w:right="0"/>
        </w:sectPr>
      </w:pPr>
    </w:p>
    <w:p>
      <w:pPr>
        <w:pStyle w:val="BodyText"/>
        <w:spacing w:before="14"/>
        <w:ind w:left="0"/>
        <w:rPr>
          <w:rFonts w:ascii="微软雅黑"/>
          <w:b/>
          <w:sz w:val="35"/>
        </w:rPr>
      </w:pPr>
    </w:p>
    <w:p>
      <w:pPr>
        <w:pStyle w:val="Heading4"/>
        <w:ind w:left="637"/>
      </w:pPr>
      <w:r>
        <w:rPr/>
        <w:t>【临床药师】</w:t>
      </w:r>
    </w:p>
    <w:p>
      <w:pPr>
        <w:pStyle w:val="Heading1"/>
        <w:spacing w:line="644" w:lineRule="exact"/>
        <w:jc w:val="left"/>
        <w:rPr>
          <w:u w:val="none"/>
        </w:rPr>
      </w:pPr>
      <w:bookmarkStart w:name="_TOC_250026" w:id="16"/>
      <w:r>
        <w:rPr>
          <w:b w:val="0"/>
          <w:u w:val="none"/>
        </w:rPr>
        <w:br w:type="column"/>
      </w:r>
      <w:r>
        <w:rPr>
          <w:rFonts w:ascii="Times New Roman" w:eastAsia="Times New Roman"/>
          <w:color w:val="008000"/>
          <w:spacing w:val="-110"/>
          <w:w w:val="99"/>
          <w:u w:val="thick" w:color="008000"/>
        </w:rPr>
        <w:t> </w:t>
      </w:r>
      <w:bookmarkEnd w:id="16"/>
      <w:r>
        <w:rPr>
          <w:color w:val="008000"/>
          <w:u w:val="thick" w:color="008000"/>
        </w:rPr>
        <w:t>合理用药</w:t>
      </w:r>
    </w:p>
    <w:p>
      <w:pPr>
        <w:spacing w:after="0" w:line="644" w:lineRule="exact"/>
        <w:jc w:val="left"/>
        <w:sectPr>
          <w:type w:val="continuous"/>
          <w:pgSz w:w="11910" w:h="16850"/>
          <w:pgMar w:top="1100" w:bottom="1020" w:left="640" w:right="0"/>
          <w:cols w:num="2" w:equalWidth="0">
            <w:col w:w="2607" w:space="1780"/>
            <w:col w:w="6883"/>
          </w:cols>
        </w:sectPr>
      </w:pPr>
    </w:p>
    <w:p>
      <w:pPr>
        <w:pStyle w:val="BodyText"/>
        <w:spacing w:before="11"/>
        <w:ind w:left="0"/>
        <w:rPr>
          <w:rFonts w:ascii="华文宋体"/>
          <w:b/>
          <w:sz w:val="13"/>
        </w:rPr>
      </w:pPr>
    </w:p>
    <w:p>
      <w:pPr>
        <w:spacing w:after="0"/>
        <w:rPr>
          <w:rFonts w:ascii="华文宋体"/>
          <w:sz w:val="13"/>
        </w:rPr>
        <w:sectPr>
          <w:type w:val="continuous"/>
          <w:pgSz w:w="11910" w:h="16850"/>
          <w:pgMar w:top="1100" w:bottom="1020" w:left="640" w:right="0"/>
        </w:sectPr>
      </w:pPr>
    </w:p>
    <w:p>
      <w:pPr>
        <w:pStyle w:val="Heading4"/>
        <w:spacing w:before="69"/>
        <w:ind w:left="3136"/>
      </w:pPr>
      <w:bookmarkStart w:name="_TOC_250025" w:id="17"/>
      <w:r>
        <w:rPr>
          <w:rFonts w:ascii="Arial" w:hAnsi="Arial" w:eastAsia="Arial"/>
        </w:rPr>
        <w:t>β </w:t>
      </w:r>
      <w:bookmarkEnd w:id="17"/>
      <w:r>
        <w:rPr/>
        <w:t>受体阻滞剂的区别及注意事项</w:t>
      </w:r>
    </w:p>
    <w:p>
      <w:pPr>
        <w:pStyle w:val="BodyText"/>
        <w:ind w:left="0"/>
        <w:rPr>
          <w:b/>
        </w:rPr>
      </w:pPr>
      <w:r>
        <w:rPr/>
        <w:br w:type="column"/>
      </w:r>
      <w:r>
        <w:rPr>
          <w:b/>
        </w:rPr>
      </w:r>
    </w:p>
    <w:p>
      <w:pPr>
        <w:pStyle w:val="BodyText"/>
        <w:spacing w:before="9"/>
        <w:ind w:left="0"/>
        <w:rPr>
          <w:b/>
        </w:rPr>
      </w:pPr>
    </w:p>
    <w:p>
      <w:pPr>
        <w:pStyle w:val="Heading8"/>
        <w:ind w:left="53"/>
        <w:rPr>
          <w:rFonts w:ascii="楷体" w:eastAsia="楷体" w:hint="eastAsia"/>
        </w:rPr>
      </w:pPr>
      <w:r>
        <w:rPr>
          <w:rFonts w:ascii="楷体" w:eastAsia="楷体" w:hint="eastAsia"/>
          <w:color w:val="FF0000"/>
        </w:rPr>
        <w:t>（来源：临床药师网）</w:t>
      </w:r>
    </w:p>
    <w:p>
      <w:pPr>
        <w:spacing w:after="0"/>
        <w:rPr>
          <w:rFonts w:ascii="楷体" w:eastAsia="楷体" w:hint="eastAsia"/>
        </w:rPr>
        <w:sectPr>
          <w:type w:val="continuous"/>
          <w:pgSz w:w="11910" w:h="16850"/>
          <w:pgMar w:top="1100" w:bottom="1020" w:left="640" w:right="0"/>
          <w:cols w:num="2" w:equalWidth="0">
            <w:col w:w="7632" w:space="40"/>
            <w:col w:w="3598"/>
          </w:cols>
        </w:sectPr>
      </w:pPr>
    </w:p>
    <w:p>
      <w:pPr>
        <w:pStyle w:val="BodyText"/>
        <w:spacing w:line="288" w:lineRule="auto" w:before="91"/>
        <w:ind w:right="1007" w:firstLine="482"/>
      </w:pPr>
      <w:r>
        <w:rPr>
          <w:rFonts w:ascii="Arial" w:hAnsi="Arial" w:eastAsia="Arial"/>
        </w:rPr>
        <w:t>β </w:t>
      </w:r>
      <w:r>
        <w:rPr/>
        <w:t>受体阻滞剂是一类竞争性地与</w:t>
      </w:r>
      <w:r>
        <w:rPr>
          <w:rFonts w:ascii="Arial" w:hAnsi="Arial" w:eastAsia="Arial"/>
        </w:rPr>
        <w:t>β </w:t>
      </w:r>
      <w:r>
        <w:rPr/>
        <w:t>受体结合而产生拮抗神经递质或</w:t>
      </w:r>
      <w:r>
        <w:rPr>
          <w:rFonts w:ascii="Arial" w:hAnsi="Arial" w:eastAsia="Arial"/>
        </w:rPr>
        <w:t>β </w:t>
      </w:r>
      <w:r>
        <w:rPr/>
        <w:t>受体激动药效应的药物。其根据受体选择性不同，可分为非选择性</w:t>
      </w:r>
      <w:r>
        <w:rPr>
          <w:rFonts w:ascii="Arial" w:hAnsi="Arial" w:eastAsia="Arial"/>
        </w:rPr>
        <w:t>β </w:t>
      </w:r>
      <w:r>
        <w:rPr/>
        <w:t>受体阻滞剂、选择性</w:t>
      </w:r>
      <w:r>
        <w:rPr>
          <w:rFonts w:ascii="Arial" w:hAnsi="Arial" w:eastAsia="Arial"/>
        </w:rPr>
        <w:t>β </w:t>
      </w:r>
      <w:r>
        <w:rPr/>
        <w:t>1</w:t>
      </w:r>
      <w:r>
        <w:rPr>
          <w:spacing w:val="-8"/>
        </w:rPr>
        <w:t> 受体阻滞剂、有周围血管舒张功能的</w:t>
      </w:r>
      <w:r>
        <w:rPr>
          <w:rFonts w:ascii="Arial" w:hAnsi="Arial" w:eastAsia="Arial"/>
          <w:spacing w:val="-8"/>
        </w:rPr>
        <w:t>β </w:t>
      </w:r>
      <w:r>
        <w:rPr>
          <w:spacing w:val="-8"/>
        </w:rPr>
        <w:t>受体阻滞剂；根据溶解性不同，可分为脂溶性</w:t>
      </w:r>
      <w:r>
        <w:rPr>
          <w:rFonts w:ascii="Arial" w:hAnsi="Arial" w:eastAsia="Arial"/>
        </w:rPr>
        <w:t>β </w:t>
      </w:r>
      <w:r>
        <w:rPr>
          <w:spacing w:val="-6"/>
        </w:rPr>
        <w:t>受体阻滞剂、水溶性</w:t>
      </w:r>
      <w:r>
        <w:rPr>
          <w:rFonts w:ascii="Arial" w:hAnsi="Arial" w:eastAsia="Arial"/>
          <w:spacing w:val="-6"/>
        </w:rPr>
        <w:t>β</w:t>
      </w:r>
      <w:r>
        <w:rPr>
          <w:rFonts w:ascii="Arial" w:hAnsi="Arial" w:eastAsia="Arial"/>
          <w:spacing w:val="34"/>
        </w:rPr>
        <w:t> </w:t>
      </w:r>
      <w:r>
        <w:rPr>
          <w:spacing w:val="-6"/>
        </w:rPr>
        <w:t>受体阻滞剂、水脂双溶性</w:t>
      </w:r>
      <w:r>
        <w:rPr>
          <w:rFonts w:ascii="Arial" w:hAnsi="Arial" w:eastAsia="Arial"/>
        </w:rPr>
        <w:t>β </w:t>
      </w:r>
      <w:r>
        <w:rPr>
          <w:spacing w:val="-8"/>
        </w:rPr>
        <w:t>受体阻滞剂；根据是否具有内在拟交感活性，可分为有内在拟交感活性的</w:t>
      </w:r>
      <w:r>
        <w:rPr>
          <w:rFonts w:ascii="Arial" w:hAnsi="Arial" w:eastAsia="Arial"/>
          <w:spacing w:val="-8"/>
        </w:rPr>
        <w:t>β </w:t>
      </w:r>
      <w:r>
        <w:rPr>
          <w:spacing w:val="-7"/>
        </w:rPr>
        <w:t>受体阻滞剂、无内在拟交感活性的</w:t>
      </w:r>
      <w:r>
        <w:rPr>
          <w:rFonts w:ascii="Arial" w:hAnsi="Arial" w:eastAsia="Arial"/>
        </w:rPr>
        <w:t>β </w:t>
      </w:r>
      <w:r>
        <w:rPr>
          <w:spacing w:val="-9"/>
        </w:rPr>
        <w:t>受体阻滞剂。</w:t>
      </w:r>
      <w:r>
        <w:rPr>
          <w:rFonts w:ascii="Arial" w:hAnsi="Arial" w:eastAsia="Arial"/>
        </w:rPr>
        <w:t>β </w:t>
      </w:r>
      <w:r>
        <w:rPr/>
        <w:t>受体阻滞剂可拮抗交感神</w:t>
      </w:r>
      <w:r>
        <w:rPr>
          <w:spacing w:val="-3"/>
        </w:rPr>
        <w:t>经系统的过度激活、减慢心率、抑制过度的神经激素和 </w:t>
      </w:r>
      <w:r>
        <w:rPr/>
        <w:t>RAAS</w:t>
      </w:r>
      <w:r>
        <w:rPr>
          <w:spacing w:val="-8"/>
        </w:rPr>
        <w:t> 的激活，且还降低交感神经张</w:t>
      </w:r>
      <w:r>
        <w:rPr>
          <w:spacing w:val="-16"/>
        </w:rPr>
        <w:t>力、预防儿茶酚胺的心脏毒性及保护心血管系统。临床可用于高血压、心律失常、心绞痛、心肌梗死、充血性心力衰竭、甲亢、青光眼、偏头痛等。</w:t>
      </w:r>
    </w:p>
    <w:p>
      <w:pPr>
        <w:pStyle w:val="Heading8"/>
        <w:spacing w:before="8"/>
        <w:ind w:left="1119"/>
      </w:pPr>
      <w:r>
        <w:rPr>
          <w:rFonts w:ascii="Arial" w:hAnsi="Arial" w:eastAsia="Arial"/>
        </w:rPr>
        <w:t>β </w:t>
      </w:r>
      <w:r>
        <w:rPr/>
        <w:t>受体阻滞剂的分类</w:t>
      </w:r>
    </w:p>
    <w:p>
      <w:pPr>
        <w:pStyle w:val="ListParagraph"/>
        <w:numPr>
          <w:ilvl w:val="0"/>
          <w:numId w:val="1"/>
        </w:numPr>
        <w:tabs>
          <w:tab w:pos="1364" w:val="left" w:leader="none"/>
        </w:tabs>
        <w:spacing w:line="240" w:lineRule="auto" w:before="62" w:after="0"/>
        <w:ind w:left="1363" w:right="0" w:hanging="245"/>
        <w:jc w:val="left"/>
        <w:rPr>
          <w:b/>
          <w:sz w:val="24"/>
        </w:rPr>
      </w:pPr>
      <w:r>
        <w:rPr>
          <w:b/>
          <w:sz w:val="24"/>
        </w:rPr>
        <w:t>非选择性</w:t>
      </w:r>
      <w:r>
        <w:rPr>
          <w:rFonts w:ascii="Arial" w:hAnsi="Arial" w:eastAsia="Arial"/>
          <w:b/>
          <w:sz w:val="24"/>
        </w:rPr>
        <w:t>β</w:t>
      </w:r>
      <w:r>
        <w:rPr>
          <w:rFonts w:ascii="Arial" w:hAnsi="Arial" w:eastAsia="Arial"/>
          <w:b/>
          <w:spacing w:val="25"/>
          <w:sz w:val="24"/>
        </w:rPr>
        <w:t> </w:t>
      </w:r>
      <w:r>
        <w:rPr>
          <w:b/>
          <w:sz w:val="24"/>
        </w:rPr>
        <w:t>受体阻滞剂</w:t>
      </w:r>
    </w:p>
    <w:p>
      <w:pPr>
        <w:pStyle w:val="BodyText"/>
        <w:spacing w:line="290" w:lineRule="auto" w:before="62"/>
        <w:ind w:right="1075" w:firstLine="482"/>
      </w:pPr>
      <w:r>
        <w:rPr>
          <w:position w:val="2"/>
        </w:rPr>
        <w:t>如普萘洛尔、噻吗洛尔、吲哚洛尔。可竞争性阻断</w:t>
      </w:r>
      <w:r>
        <w:rPr>
          <w:rFonts w:ascii="Arial" w:hAnsi="Arial" w:eastAsia="Arial"/>
          <w:position w:val="2"/>
        </w:rPr>
        <w:t>β </w:t>
      </w:r>
      <w:r>
        <w:rPr>
          <w:sz w:val="12"/>
        </w:rPr>
        <w:t>1 </w:t>
      </w:r>
      <w:r>
        <w:rPr>
          <w:position w:val="2"/>
        </w:rPr>
        <w:t>和</w:t>
      </w:r>
      <w:r>
        <w:rPr>
          <w:rFonts w:ascii="Arial" w:hAnsi="Arial" w:eastAsia="Arial"/>
          <w:position w:val="2"/>
        </w:rPr>
        <w:t>β </w:t>
      </w:r>
      <w:r>
        <w:rPr>
          <w:sz w:val="12"/>
        </w:rPr>
        <w:t>2 </w:t>
      </w:r>
      <w:r>
        <w:rPr>
          <w:position w:val="2"/>
        </w:rPr>
        <w:t>受体，对糖、脂代谢和肺功能有不良影响；阻断血管上的</w:t>
      </w:r>
      <w:r>
        <w:rPr>
          <w:rFonts w:ascii="Arial" w:hAnsi="Arial" w:eastAsia="Arial"/>
          <w:position w:val="2"/>
        </w:rPr>
        <w:t>β </w:t>
      </w:r>
      <w:r>
        <w:rPr>
          <w:sz w:val="12"/>
        </w:rPr>
        <w:t>2 </w:t>
      </w:r>
      <w:r>
        <w:rPr>
          <w:position w:val="2"/>
        </w:rPr>
        <w:t>受体，相对兴奋</w:t>
      </w:r>
      <w:r>
        <w:rPr>
          <w:rFonts w:ascii="Arial" w:hAnsi="Arial" w:eastAsia="Arial"/>
          <w:position w:val="2"/>
        </w:rPr>
        <w:t>α </w:t>
      </w:r>
      <w:r>
        <w:rPr>
          <w:position w:val="2"/>
        </w:rPr>
        <w:t>受体，可增加周围动脉血管阻力。</w:t>
      </w:r>
    </w:p>
    <w:p>
      <w:pPr>
        <w:pStyle w:val="Heading8"/>
        <w:numPr>
          <w:ilvl w:val="0"/>
          <w:numId w:val="1"/>
        </w:numPr>
        <w:tabs>
          <w:tab w:pos="1364" w:val="left" w:leader="none"/>
        </w:tabs>
        <w:spacing w:line="305" w:lineRule="exact" w:before="0" w:after="0"/>
        <w:ind w:left="1363" w:right="0" w:hanging="245"/>
        <w:jc w:val="left"/>
      </w:pPr>
      <w:r>
        <w:rPr>
          <w:position w:val="2"/>
        </w:rPr>
        <w:t>选择性</w:t>
      </w:r>
      <w:r>
        <w:rPr>
          <w:rFonts w:ascii="Arial" w:hAnsi="Arial" w:eastAsia="Arial"/>
          <w:position w:val="2"/>
        </w:rPr>
        <w:t>β</w:t>
      </w:r>
      <w:r>
        <w:rPr>
          <w:rFonts w:ascii="Arial" w:hAnsi="Arial" w:eastAsia="Arial"/>
          <w:spacing w:val="25"/>
          <w:position w:val="2"/>
        </w:rPr>
        <w:t> </w:t>
      </w:r>
      <w:r>
        <w:rPr>
          <w:sz w:val="12"/>
        </w:rPr>
        <w:t>1</w:t>
      </w:r>
      <w:r>
        <w:rPr>
          <w:spacing w:val="-27"/>
          <w:sz w:val="12"/>
        </w:rPr>
        <w:t> </w:t>
      </w:r>
      <w:r>
        <w:rPr>
          <w:position w:val="2"/>
        </w:rPr>
        <w:t>受体阻滞剂</w:t>
      </w:r>
    </w:p>
    <w:p>
      <w:pPr>
        <w:spacing w:after="0" w:line="305" w:lineRule="exact"/>
        <w:jc w:val="left"/>
        <w:sectPr>
          <w:type w:val="continuous"/>
          <w:pgSz w:w="11910" w:h="16850"/>
          <w:pgMar w:top="1100" w:bottom="1020" w:left="640" w:right="0"/>
        </w:sectPr>
      </w:pPr>
    </w:p>
    <w:p>
      <w:pPr>
        <w:pStyle w:val="BodyText"/>
        <w:spacing w:line="290" w:lineRule="auto" w:before="56"/>
        <w:ind w:right="1126" w:firstLine="482"/>
        <w:jc w:val="both"/>
      </w:pPr>
      <w:r>
        <w:rPr>
          <w:spacing w:val="-5"/>
          <w:position w:val="2"/>
        </w:rPr>
        <w:t>如比索洛尔、阿替洛尔、美托洛尔、艾司洛尔。能特异性阻断</w:t>
      </w:r>
      <w:r>
        <w:rPr>
          <w:rFonts w:ascii="Arial" w:hAnsi="Arial" w:eastAsia="Arial"/>
          <w:position w:val="2"/>
        </w:rPr>
        <w:t>β </w:t>
      </w:r>
      <w:r>
        <w:rPr>
          <w:sz w:val="12"/>
        </w:rPr>
        <w:t>1 </w:t>
      </w:r>
      <w:r>
        <w:rPr>
          <w:spacing w:val="-3"/>
          <w:position w:val="2"/>
        </w:rPr>
        <w:t>受体，对</w:t>
      </w:r>
      <w:r>
        <w:rPr>
          <w:rFonts w:ascii="Arial" w:hAnsi="Arial" w:eastAsia="Arial"/>
          <w:position w:val="2"/>
        </w:rPr>
        <w:t>β </w:t>
      </w:r>
      <w:r>
        <w:rPr>
          <w:sz w:val="12"/>
        </w:rPr>
        <w:t>2 </w:t>
      </w:r>
      <w:r>
        <w:rPr>
          <w:spacing w:val="-4"/>
          <w:position w:val="2"/>
        </w:rPr>
        <w:t>受体的影</w:t>
      </w:r>
      <w:r>
        <w:rPr/>
        <w:t>响相对较小。</w:t>
      </w:r>
    </w:p>
    <w:p>
      <w:pPr>
        <w:pStyle w:val="Heading8"/>
        <w:numPr>
          <w:ilvl w:val="0"/>
          <w:numId w:val="1"/>
        </w:numPr>
        <w:tabs>
          <w:tab w:pos="1364" w:val="left" w:leader="none"/>
        </w:tabs>
        <w:spacing w:line="304" w:lineRule="exact" w:before="0" w:after="0"/>
        <w:ind w:left="1363" w:right="0" w:hanging="245"/>
        <w:jc w:val="left"/>
      </w:pPr>
      <w:r>
        <w:rPr/>
        <w:t>有周围血管舒张功能的</w:t>
      </w:r>
      <w:r>
        <w:rPr>
          <w:rFonts w:ascii="Arial" w:hAnsi="Arial" w:eastAsia="Arial"/>
        </w:rPr>
        <w:t>β</w:t>
      </w:r>
      <w:r>
        <w:rPr>
          <w:rFonts w:ascii="Arial" w:hAnsi="Arial" w:eastAsia="Arial"/>
          <w:spacing w:val="25"/>
        </w:rPr>
        <w:t> </w:t>
      </w:r>
      <w:r>
        <w:rPr/>
        <w:t>受体阻滞剂</w:t>
      </w:r>
    </w:p>
    <w:p>
      <w:pPr>
        <w:pStyle w:val="BodyText"/>
        <w:spacing w:before="63"/>
        <w:ind w:left="0" w:right="1126"/>
        <w:jc w:val="right"/>
      </w:pPr>
      <w:r>
        <w:rPr/>
        <w:t>如卡维地洛、阿罗洛尔、拉贝洛尔、奈必洛尔、塞利洛尔。通过阻断</w:t>
      </w:r>
      <w:r>
        <w:rPr>
          <w:rFonts w:ascii="Arial" w:hAnsi="Arial" w:eastAsia="Arial"/>
        </w:rPr>
        <w:t>α </w:t>
      </w:r>
      <w:r>
        <w:rPr/>
        <w:t>1 受体而产生周</w:t>
      </w:r>
    </w:p>
    <w:p>
      <w:pPr>
        <w:pStyle w:val="BodyText"/>
        <w:spacing w:before="61"/>
        <w:ind w:left="0" w:right="1175"/>
        <w:jc w:val="right"/>
      </w:pPr>
      <w:r>
        <w:rPr>
          <w:position w:val="2"/>
        </w:rPr>
        <w:t>围血管舒张作用。奈必洛尔通过激动</w:t>
      </w:r>
      <w:r>
        <w:rPr>
          <w:rFonts w:ascii="Arial" w:hAnsi="Arial" w:eastAsia="Arial"/>
          <w:position w:val="2"/>
        </w:rPr>
        <w:t>β </w:t>
      </w:r>
      <w:r>
        <w:rPr>
          <w:sz w:val="12"/>
        </w:rPr>
        <w:t>3 </w:t>
      </w:r>
      <w:r>
        <w:rPr>
          <w:position w:val="2"/>
        </w:rPr>
        <w:t>受体而增强一氧化氮的释放，产生周围血管舒张作</w:t>
      </w:r>
    </w:p>
    <w:p>
      <w:pPr>
        <w:spacing w:line="288" w:lineRule="auto" w:before="64"/>
        <w:ind w:left="1119" w:right="2915" w:hanging="483"/>
        <w:jc w:val="left"/>
        <w:rPr>
          <w:b/>
          <w:sz w:val="24"/>
        </w:rPr>
      </w:pPr>
      <w:r>
        <w:rPr>
          <w:position w:val="2"/>
          <w:sz w:val="24"/>
        </w:rPr>
        <w:t>用。塞利洛尔可拮抗</w:t>
      </w:r>
      <w:r>
        <w:rPr>
          <w:rFonts w:ascii="Arial" w:hAnsi="Arial" w:eastAsia="Arial"/>
          <w:position w:val="2"/>
          <w:sz w:val="24"/>
        </w:rPr>
        <w:t>β</w:t>
      </w:r>
      <w:r>
        <w:rPr>
          <w:rFonts w:ascii="Arial" w:hAnsi="Arial" w:eastAsia="Arial"/>
          <w:spacing w:val="35"/>
          <w:position w:val="2"/>
          <w:sz w:val="24"/>
        </w:rPr>
        <w:t> </w:t>
      </w:r>
      <w:r>
        <w:rPr>
          <w:sz w:val="12"/>
        </w:rPr>
        <w:t>1</w:t>
      </w:r>
      <w:r>
        <w:rPr>
          <w:spacing w:val="-29"/>
          <w:sz w:val="12"/>
        </w:rPr>
        <w:t> </w:t>
      </w:r>
      <w:r>
        <w:rPr>
          <w:position w:val="2"/>
          <w:sz w:val="24"/>
        </w:rPr>
        <w:t>受体、激动</w:t>
      </w:r>
      <w:r>
        <w:rPr>
          <w:rFonts w:ascii="Arial" w:hAnsi="Arial" w:eastAsia="Arial"/>
          <w:position w:val="2"/>
          <w:sz w:val="24"/>
        </w:rPr>
        <w:t>β</w:t>
      </w:r>
      <w:r>
        <w:rPr>
          <w:rFonts w:ascii="Arial" w:hAnsi="Arial" w:eastAsia="Arial"/>
          <w:spacing w:val="35"/>
          <w:position w:val="2"/>
          <w:sz w:val="24"/>
        </w:rPr>
        <w:t> </w:t>
      </w:r>
      <w:r>
        <w:rPr>
          <w:sz w:val="12"/>
        </w:rPr>
        <w:t>2</w:t>
      </w:r>
      <w:r>
        <w:rPr>
          <w:spacing w:val="-29"/>
          <w:sz w:val="12"/>
        </w:rPr>
        <w:t> </w:t>
      </w:r>
      <w:r>
        <w:rPr>
          <w:spacing w:val="-1"/>
          <w:position w:val="2"/>
          <w:sz w:val="24"/>
        </w:rPr>
        <w:t>受体、较弱拮抗</w:t>
      </w:r>
      <w:r>
        <w:rPr>
          <w:rFonts w:ascii="Arial" w:hAnsi="Arial" w:eastAsia="Arial"/>
          <w:position w:val="2"/>
          <w:sz w:val="24"/>
        </w:rPr>
        <w:t>α</w:t>
      </w:r>
      <w:r>
        <w:rPr>
          <w:rFonts w:ascii="Arial" w:hAnsi="Arial" w:eastAsia="Arial"/>
          <w:spacing w:val="33"/>
          <w:position w:val="2"/>
          <w:sz w:val="24"/>
        </w:rPr>
        <w:t> </w:t>
      </w:r>
      <w:r>
        <w:rPr>
          <w:sz w:val="12"/>
        </w:rPr>
        <w:t>2</w:t>
      </w:r>
      <w:r>
        <w:rPr>
          <w:spacing w:val="-29"/>
          <w:sz w:val="12"/>
        </w:rPr>
        <w:t> </w:t>
      </w:r>
      <w:r>
        <w:rPr>
          <w:spacing w:val="-2"/>
          <w:position w:val="2"/>
          <w:sz w:val="24"/>
        </w:rPr>
        <w:t>受体而扩血管。</w:t>
      </w:r>
      <w:r>
        <w:rPr>
          <w:b/>
          <w:sz w:val="24"/>
        </w:rPr>
        <w:t>4.脂溶性</w:t>
      </w:r>
      <w:r>
        <w:rPr>
          <w:rFonts w:ascii="Arial" w:hAnsi="Arial" w:eastAsia="Arial"/>
          <w:b/>
          <w:sz w:val="24"/>
        </w:rPr>
        <w:t>β</w:t>
      </w:r>
      <w:r>
        <w:rPr>
          <w:rFonts w:ascii="Arial" w:hAnsi="Arial" w:eastAsia="Arial"/>
          <w:b/>
          <w:spacing w:val="28"/>
          <w:sz w:val="24"/>
        </w:rPr>
        <w:t> </w:t>
      </w:r>
      <w:r>
        <w:rPr>
          <w:b/>
          <w:sz w:val="24"/>
        </w:rPr>
        <w:t>受体阻滞剂</w:t>
      </w:r>
    </w:p>
    <w:p>
      <w:pPr>
        <w:spacing w:line="288" w:lineRule="auto" w:before="2"/>
        <w:ind w:left="1119" w:right="1024" w:firstLine="0"/>
        <w:jc w:val="left"/>
        <w:rPr>
          <w:b/>
          <w:sz w:val="24"/>
        </w:rPr>
      </w:pPr>
      <w:r>
        <w:rPr>
          <w:spacing w:val="-1"/>
          <w:sz w:val="24"/>
        </w:rPr>
        <w:t>如普萘洛尔、美托洛尔、卡维地洛、拉贝洛尔，组织穿透力强，易进入中枢神经系统。</w:t>
      </w:r>
      <w:r>
        <w:rPr>
          <w:b/>
          <w:sz w:val="24"/>
        </w:rPr>
        <w:t>5.水溶性</w:t>
      </w:r>
      <w:r>
        <w:rPr>
          <w:rFonts w:ascii="Arial" w:hAnsi="Arial" w:eastAsia="Arial"/>
          <w:b/>
          <w:sz w:val="24"/>
        </w:rPr>
        <w:t>β</w:t>
      </w:r>
      <w:r>
        <w:rPr>
          <w:rFonts w:ascii="Arial" w:hAnsi="Arial" w:eastAsia="Arial"/>
          <w:b/>
          <w:spacing w:val="28"/>
          <w:sz w:val="24"/>
        </w:rPr>
        <w:t> </w:t>
      </w:r>
      <w:r>
        <w:rPr>
          <w:b/>
          <w:sz w:val="24"/>
        </w:rPr>
        <w:t>受体阻滞剂</w:t>
      </w:r>
    </w:p>
    <w:p>
      <w:pPr>
        <w:spacing w:line="288" w:lineRule="auto" w:before="2"/>
        <w:ind w:left="1119" w:right="4624" w:firstLine="0"/>
        <w:jc w:val="left"/>
        <w:rPr>
          <w:b/>
          <w:sz w:val="24"/>
        </w:rPr>
      </w:pPr>
      <w:r>
        <w:rPr>
          <w:sz w:val="24"/>
        </w:rPr>
        <w:t>如阿替洛尔，组织穿透力较弱，很少通过血脑屏障。</w:t>
      </w:r>
      <w:r>
        <w:rPr>
          <w:b/>
          <w:sz w:val="24"/>
        </w:rPr>
        <w:t>6.水脂双溶性</w:t>
      </w:r>
      <w:r>
        <w:rPr>
          <w:rFonts w:ascii="Arial" w:hAnsi="Arial" w:eastAsia="Arial"/>
          <w:b/>
          <w:sz w:val="24"/>
        </w:rPr>
        <w:t>β </w:t>
      </w:r>
      <w:r>
        <w:rPr>
          <w:b/>
          <w:sz w:val="24"/>
        </w:rPr>
        <w:t>受体阻滞剂</w:t>
      </w:r>
    </w:p>
    <w:p>
      <w:pPr>
        <w:pStyle w:val="BodyText"/>
        <w:spacing w:line="288" w:lineRule="auto" w:before="4"/>
        <w:ind w:right="1131" w:firstLine="482"/>
        <w:jc w:val="both"/>
      </w:pPr>
      <w:r>
        <w:rPr>
          <w:spacing w:val="-9"/>
        </w:rPr>
        <w:t>如比索洛尔、阿罗洛尔。既有水溶性</w:t>
      </w:r>
      <w:r>
        <w:rPr>
          <w:rFonts w:ascii="Arial" w:hAnsi="Arial" w:eastAsia="Arial"/>
        </w:rPr>
        <w:t>β </w:t>
      </w:r>
      <w:r>
        <w:rPr>
          <w:spacing w:val="-4"/>
        </w:rPr>
        <w:t>受体阻滞剂首关效应低、又有脂溶性</w:t>
      </w:r>
      <w:r>
        <w:rPr>
          <w:rFonts w:ascii="Arial" w:hAnsi="Arial" w:eastAsia="Arial"/>
        </w:rPr>
        <w:t>β </w:t>
      </w:r>
      <w:r>
        <w:rPr>
          <w:spacing w:val="-4"/>
        </w:rPr>
        <w:t>受体阻滞</w:t>
      </w:r>
      <w:r>
        <w:rPr/>
        <w:t>剂口服吸收率高的优势，中度透过血脑屏障。</w:t>
      </w:r>
    </w:p>
    <w:p>
      <w:pPr>
        <w:pStyle w:val="Heading8"/>
        <w:numPr>
          <w:ilvl w:val="0"/>
          <w:numId w:val="2"/>
        </w:numPr>
        <w:tabs>
          <w:tab w:pos="1364" w:val="left" w:leader="none"/>
        </w:tabs>
        <w:spacing w:line="240" w:lineRule="auto" w:before="1" w:after="0"/>
        <w:ind w:left="1363" w:right="0" w:hanging="245"/>
        <w:jc w:val="both"/>
      </w:pPr>
      <w:r>
        <w:rPr/>
        <w:t>有内在拟交感活性的</w:t>
      </w:r>
      <w:r>
        <w:rPr>
          <w:rFonts w:ascii="Arial" w:hAnsi="Arial" w:eastAsia="Arial"/>
        </w:rPr>
        <w:t>β</w:t>
      </w:r>
      <w:r>
        <w:rPr>
          <w:rFonts w:ascii="Arial" w:hAnsi="Arial" w:eastAsia="Arial"/>
          <w:spacing w:val="28"/>
        </w:rPr>
        <w:t> </w:t>
      </w:r>
      <w:r>
        <w:rPr/>
        <w:t>受体阻滞剂</w:t>
      </w:r>
    </w:p>
    <w:p>
      <w:pPr>
        <w:pStyle w:val="BodyText"/>
        <w:spacing w:line="288" w:lineRule="auto" w:before="62"/>
        <w:ind w:right="1128" w:firstLine="482"/>
        <w:jc w:val="both"/>
      </w:pPr>
      <w:r>
        <w:rPr/>
        <w:t>内在拟交感活性（ISA）指有些</w:t>
      </w:r>
      <w:r>
        <w:rPr>
          <w:rFonts w:ascii="Arial" w:hAnsi="Arial" w:eastAsia="Arial"/>
        </w:rPr>
        <w:t>β </w:t>
      </w:r>
      <w:r>
        <w:rPr/>
        <w:t>受体阻滞剂有微弱的</w:t>
      </w:r>
      <w:r>
        <w:rPr>
          <w:rFonts w:ascii="Arial" w:hAnsi="Arial" w:eastAsia="Arial"/>
        </w:rPr>
        <w:t>β </w:t>
      </w:r>
      <w:r>
        <w:rPr/>
        <w:t>受体激动作用，这种弱的激动</w:t>
      </w:r>
      <w:r>
        <w:rPr>
          <w:spacing w:val="-16"/>
        </w:rPr>
        <w:t>作用为 </w:t>
      </w:r>
      <w:r>
        <w:rPr/>
        <w:t>ISA</w:t>
      </w:r>
      <w:r>
        <w:rPr>
          <w:spacing w:val="-28"/>
        </w:rPr>
        <w:t>。有 </w:t>
      </w:r>
      <w:r>
        <w:rPr/>
        <w:t>ISA</w:t>
      </w:r>
      <w:r>
        <w:rPr>
          <w:spacing w:val="-15"/>
        </w:rPr>
        <w:t> 活性的</w:t>
      </w:r>
      <w:r>
        <w:rPr>
          <w:rFonts w:ascii="Arial" w:hAnsi="Arial" w:eastAsia="Arial"/>
        </w:rPr>
        <w:t>β </w:t>
      </w:r>
      <w:r>
        <w:rPr>
          <w:spacing w:val="-4"/>
        </w:rPr>
        <w:t>受体阻滞剂引起心脏抑制和诱发哮喘的作用较弱。有 </w:t>
      </w:r>
      <w:r>
        <w:rPr/>
        <w:t>ISA</w:t>
      </w:r>
      <w:r>
        <w:rPr>
          <w:spacing w:val="-25"/>
        </w:rPr>
        <w:t> 的药</w:t>
      </w:r>
      <w:r>
        <w:rPr/>
        <w:t>物如吲哚洛尔、拉贝洛尔、塞利洛尔。</w:t>
      </w:r>
    </w:p>
    <w:p>
      <w:pPr>
        <w:pStyle w:val="Heading8"/>
        <w:numPr>
          <w:ilvl w:val="0"/>
          <w:numId w:val="2"/>
        </w:numPr>
        <w:tabs>
          <w:tab w:pos="1364" w:val="left" w:leader="none"/>
        </w:tabs>
        <w:spacing w:line="240" w:lineRule="auto" w:before="4" w:after="0"/>
        <w:ind w:left="1363" w:right="0" w:hanging="245"/>
        <w:jc w:val="both"/>
      </w:pPr>
      <w:r>
        <w:rPr/>
        <w:t>无内在拟交感活性的</w:t>
      </w:r>
      <w:r>
        <w:rPr>
          <w:rFonts w:ascii="Arial" w:hAnsi="Arial" w:eastAsia="Arial"/>
        </w:rPr>
        <w:t>β</w:t>
      </w:r>
      <w:r>
        <w:rPr>
          <w:rFonts w:ascii="Arial" w:hAnsi="Arial" w:eastAsia="Arial"/>
          <w:spacing w:val="28"/>
        </w:rPr>
        <w:t> </w:t>
      </w:r>
      <w:r>
        <w:rPr/>
        <w:t>受体阻滞剂</w:t>
      </w:r>
    </w:p>
    <w:p>
      <w:pPr>
        <w:pStyle w:val="BodyText"/>
        <w:spacing w:line="288" w:lineRule="auto" w:before="63"/>
        <w:ind w:right="1127" w:firstLine="482"/>
      </w:pPr>
      <w:r>
        <w:rPr>
          <w:spacing w:val="-11"/>
        </w:rPr>
        <w:t>如普萘洛尔、噻吗洛尔、比索洛尔、阿替洛尔、美托洛尔、艾司洛尔、卡维地洛、阿罗</w:t>
      </w:r>
      <w:r>
        <w:rPr/>
        <w:t>洛尔等。</w:t>
      </w:r>
    </w:p>
    <w:p>
      <w:pPr>
        <w:pStyle w:val="BodyText"/>
        <w:spacing w:line="288" w:lineRule="auto" w:before="1"/>
        <w:ind w:right="1128" w:firstLine="482"/>
      </w:pPr>
      <w:r>
        <w:rPr>
          <w:b/>
        </w:rPr>
        <w:t>注</w:t>
      </w:r>
      <w:r>
        <w:rPr>
          <w:spacing w:val="-12"/>
        </w:rPr>
        <w:t>：一般认为，有血管扩张作用、选择性较高、有脂溶性和无内源性拟交感活性的</w:t>
      </w:r>
      <w:r>
        <w:rPr>
          <w:rFonts w:ascii="Arial" w:hAnsi="Arial" w:eastAsia="Arial"/>
        </w:rPr>
        <w:t>β </w:t>
      </w:r>
      <w:r>
        <w:rPr>
          <w:spacing w:val="-12"/>
        </w:rPr>
        <w:t>受</w:t>
      </w:r>
      <w:r>
        <w:rPr/>
        <w:t>体阻滞剂更适合高血压治疗。</w:t>
      </w:r>
    </w:p>
    <w:p>
      <w:pPr>
        <w:pStyle w:val="Heading8"/>
        <w:spacing w:line="290" w:lineRule="auto" w:before="1"/>
        <w:ind w:left="1119" w:right="7495"/>
      </w:pPr>
      <w:r>
        <w:rPr>
          <w:rFonts w:ascii="Arial" w:hAnsi="Arial" w:eastAsia="Arial"/>
        </w:rPr>
        <w:t>β </w:t>
      </w:r>
      <w:r>
        <w:rPr/>
        <w:t>受体阻滞剂的注意事项1.心血管系统</w:t>
      </w:r>
    </w:p>
    <w:p>
      <w:pPr>
        <w:pStyle w:val="BodyText"/>
        <w:spacing w:line="288" w:lineRule="auto"/>
        <w:ind w:right="1127" w:firstLine="482"/>
        <w:jc w:val="both"/>
      </w:pPr>
      <w:r>
        <w:rPr>
          <w:rFonts w:ascii="Arial" w:hAnsi="Arial" w:eastAsia="Arial"/>
        </w:rPr>
        <w:t>β </w:t>
      </w:r>
      <w:r>
        <w:rPr>
          <w:spacing w:val="-8"/>
        </w:rPr>
        <w:t>受体阻滞剂可减慢心率、抑制异位起搏点自律性、减慢传导和增加房室结不应期，可</w:t>
      </w:r>
      <w:r>
        <w:rPr>
          <w:spacing w:val="-7"/>
        </w:rPr>
        <w:t>引起严重心动过缓和房室传导阻滞，主要见于窦房结和房室结功能已受损者，罕见于高交感</w:t>
      </w:r>
      <w:r>
        <w:rPr>
          <w:spacing w:val="-4"/>
        </w:rPr>
        <w:t>活性状态如急性心肌梗死</w:t>
      </w:r>
      <w:r>
        <w:rPr>
          <w:spacing w:val="-7"/>
        </w:rPr>
        <w:t>（AMI）</w:t>
      </w:r>
      <w:r>
        <w:rPr>
          <w:spacing w:val="-9"/>
        </w:rPr>
        <w:t>静脉用药或慢性 </w:t>
      </w:r>
      <w:r>
        <w:rPr/>
        <w:t>HF</w:t>
      </w:r>
      <w:r>
        <w:rPr>
          <w:spacing w:val="-16"/>
        </w:rPr>
        <w:t> 口服用药。</w:t>
      </w:r>
      <w:r>
        <w:rPr>
          <w:rFonts w:ascii="Arial" w:hAnsi="Arial" w:eastAsia="Arial"/>
        </w:rPr>
        <w:t>β </w:t>
      </w:r>
      <w:r>
        <w:rPr>
          <w:spacing w:val="-2"/>
        </w:rPr>
        <w:t>受体阻滞剂可致直立性低</w:t>
      </w:r>
      <w:r>
        <w:rPr/>
        <w:t>血压、眩晕及站立不稳等。</w:t>
      </w:r>
    </w:p>
    <w:p>
      <w:pPr>
        <w:pStyle w:val="Heading8"/>
        <w:numPr>
          <w:ilvl w:val="0"/>
          <w:numId w:val="3"/>
        </w:numPr>
        <w:tabs>
          <w:tab w:pos="1364" w:val="left" w:leader="none"/>
        </w:tabs>
        <w:spacing w:line="240" w:lineRule="auto" w:before="1" w:after="0"/>
        <w:ind w:left="1363" w:right="0" w:hanging="245"/>
        <w:jc w:val="left"/>
      </w:pPr>
      <w:r>
        <w:rPr/>
        <w:t>代谢系统</w:t>
      </w:r>
    </w:p>
    <w:p>
      <w:pPr>
        <w:pStyle w:val="BodyText"/>
        <w:spacing w:line="288" w:lineRule="auto" w:before="63"/>
        <w:ind w:right="1129" w:firstLine="482"/>
      </w:pPr>
      <w:r>
        <w:rPr>
          <w:position w:val="2"/>
        </w:rPr>
        <w:t>糖代谢过程与</w:t>
      </w:r>
      <w:r>
        <w:rPr>
          <w:rFonts w:ascii="Arial" w:hAnsi="Arial" w:eastAsia="Arial"/>
          <w:position w:val="2"/>
        </w:rPr>
        <w:t>β </w:t>
      </w:r>
      <w:r>
        <w:rPr>
          <w:sz w:val="12"/>
        </w:rPr>
        <w:t>3 </w:t>
      </w:r>
      <w:r>
        <w:rPr>
          <w:position w:val="2"/>
        </w:rPr>
        <w:t>受体有关，激动</w:t>
      </w:r>
      <w:r>
        <w:rPr>
          <w:rFonts w:ascii="Arial" w:hAnsi="Arial" w:eastAsia="Arial"/>
          <w:position w:val="2"/>
        </w:rPr>
        <w:t>β </w:t>
      </w:r>
      <w:r>
        <w:rPr>
          <w:position w:val="2"/>
        </w:rPr>
        <w:t>2</w:t>
      </w:r>
      <w:r>
        <w:rPr>
          <w:spacing w:val="-8"/>
          <w:position w:val="2"/>
        </w:rPr>
        <w:t> 受体，可使肝糖原、肌糖原分解增加。</w:t>
      </w:r>
      <w:r>
        <w:rPr>
          <w:rFonts w:ascii="Arial" w:hAnsi="Arial" w:eastAsia="Arial"/>
          <w:position w:val="2"/>
        </w:rPr>
        <w:t>β </w:t>
      </w:r>
      <w:r>
        <w:rPr>
          <w:position w:val="2"/>
        </w:rPr>
        <w:t>受体阻</w:t>
      </w:r>
      <w:r>
        <w:rPr>
          <w:spacing w:val="-3"/>
        </w:rPr>
        <w:t>滞剂对正常人血糖水平无直接影响，但可减慢使用胰岛素后血糖水平的恢复速度。</w:t>
      </w:r>
      <w:r>
        <w:rPr/>
        <w:t>1</w:t>
      </w:r>
      <w:r>
        <w:rPr>
          <w:spacing w:val="-20"/>
        </w:rPr>
        <w:t> 型糖尿</w:t>
      </w:r>
      <w:r>
        <w:rPr/>
        <w:t>病者使用非选择性</w:t>
      </w:r>
      <w:r>
        <w:rPr>
          <w:rFonts w:ascii="Arial" w:hAnsi="Arial" w:eastAsia="Arial"/>
        </w:rPr>
        <w:t>β </w:t>
      </w:r>
      <w:r>
        <w:rPr>
          <w:spacing w:val="-6"/>
        </w:rPr>
        <w:t>受体阻滞剂后会掩盖低血糖的一些症状如震颤、心动过速等，但低血糖</w:t>
      </w:r>
      <w:r>
        <w:rPr/>
        <w:t>的其他症状如出汗依然有。</w:t>
      </w:r>
    </w:p>
    <w:p>
      <w:pPr>
        <w:pStyle w:val="BodyText"/>
        <w:spacing w:before="3"/>
        <w:ind w:left="1119"/>
      </w:pPr>
      <w:r>
        <w:rPr>
          <w:position w:val="2"/>
        </w:rPr>
        <w:t>选择性</w:t>
      </w:r>
      <w:r>
        <w:rPr>
          <w:rFonts w:ascii="Arial" w:hAnsi="Arial" w:eastAsia="Arial"/>
          <w:position w:val="2"/>
        </w:rPr>
        <w:t>β </w:t>
      </w:r>
      <w:r>
        <w:rPr>
          <w:sz w:val="12"/>
        </w:rPr>
        <w:t>1 </w:t>
      </w:r>
      <w:r>
        <w:rPr>
          <w:position w:val="2"/>
        </w:rPr>
        <w:t>受体阻滞剂可特异性地阻断</w:t>
      </w:r>
      <w:r>
        <w:rPr>
          <w:rFonts w:ascii="Arial" w:hAnsi="Arial" w:eastAsia="Arial"/>
          <w:position w:val="2"/>
        </w:rPr>
        <w:t>β </w:t>
      </w:r>
      <w:r>
        <w:rPr>
          <w:sz w:val="12"/>
        </w:rPr>
        <w:t>1 </w:t>
      </w:r>
      <w:r>
        <w:rPr>
          <w:position w:val="2"/>
        </w:rPr>
        <w:t>受体，对</w:t>
      </w:r>
      <w:r>
        <w:rPr>
          <w:rFonts w:ascii="Arial" w:hAnsi="Arial" w:eastAsia="Arial"/>
          <w:position w:val="2"/>
        </w:rPr>
        <w:t>β </w:t>
      </w:r>
      <w:r>
        <w:rPr>
          <w:sz w:val="12"/>
        </w:rPr>
        <w:t>3 </w:t>
      </w:r>
      <w:r>
        <w:rPr>
          <w:position w:val="2"/>
        </w:rPr>
        <w:t>受体作用较弱，糖尿病者若选用</w:t>
      </w:r>
    </w:p>
    <w:p>
      <w:pPr>
        <w:pStyle w:val="BodyText"/>
        <w:spacing w:line="290" w:lineRule="auto" w:before="62"/>
        <w:ind w:right="1074"/>
      </w:pPr>
      <w:r>
        <w:rPr>
          <w:position w:val="2"/>
        </w:rPr>
        <w:t>可谨慎选用小剂量高选择性</w:t>
      </w:r>
      <w:r>
        <w:rPr>
          <w:rFonts w:ascii="Arial" w:hAnsi="Arial" w:eastAsia="Arial"/>
          <w:position w:val="2"/>
        </w:rPr>
        <w:t>β </w:t>
      </w:r>
      <w:r>
        <w:rPr>
          <w:sz w:val="12"/>
        </w:rPr>
        <w:t>1 </w:t>
      </w:r>
      <w:r>
        <w:rPr>
          <w:position w:val="2"/>
        </w:rPr>
        <w:t>受体阻滞剂，但需注意随剂量加大，其选择性</w:t>
      </w:r>
      <w:r>
        <w:rPr>
          <w:rFonts w:ascii="Arial" w:hAnsi="Arial" w:eastAsia="Arial"/>
          <w:position w:val="2"/>
        </w:rPr>
        <w:t>β </w:t>
      </w:r>
      <w:r>
        <w:rPr>
          <w:sz w:val="12"/>
        </w:rPr>
        <w:t>1 </w:t>
      </w:r>
      <w:r>
        <w:rPr>
          <w:position w:val="2"/>
        </w:rPr>
        <w:t>受体作用将</w:t>
      </w:r>
      <w:r>
        <w:rPr/>
        <w:t>会降低，不良反应与非选择性药物相似，可掩盖低血糖症状。</w:t>
      </w:r>
    </w:p>
    <w:p>
      <w:pPr>
        <w:pStyle w:val="BodyText"/>
        <w:spacing w:line="305" w:lineRule="exact"/>
        <w:ind w:left="0" w:right="1172"/>
        <w:jc w:val="right"/>
        <w:rPr>
          <w:sz w:val="12"/>
        </w:rPr>
      </w:pPr>
      <w:r>
        <w:rPr>
          <w:rFonts w:ascii="Arial" w:hAnsi="Arial" w:eastAsia="Arial"/>
          <w:position w:val="2"/>
        </w:rPr>
        <w:t>α</w:t>
      </w:r>
      <w:r>
        <w:rPr>
          <w:rFonts w:ascii="Arial" w:hAnsi="Arial" w:eastAsia="Arial"/>
          <w:spacing w:val="33"/>
          <w:position w:val="2"/>
        </w:rPr>
        <w:t> </w:t>
      </w:r>
      <w:r>
        <w:rPr>
          <w:sz w:val="12"/>
        </w:rPr>
        <w:t>1</w:t>
      </w:r>
      <w:r>
        <w:rPr>
          <w:position w:val="2"/>
        </w:rPr>
        <w:t>/</w:t>
      </w:r>
      <w:r>
        <w:rPr>
          <w:rFonts w:ascii="Arial" w:hAnsi="Arial" w:eastAsia="Arial"/>
          <w:position w:val="2"/>
        </w:rPr>
        <w:t>β</w:t>
      </w:r>
      <w:r>
        <w:rPr>
          <w:rFonts w:ascii="Arial" w:hAnsi="Arial" w:eastAsia="Arial"/>
          <w:spacing w:val="35"/>
          <w:position w:val="2"/>
        </w:rPr>
        <w:t> </w:t>
      </w:r>
      <w:r>
        <w:rPr>
          <w:position w:val="2"/>
        </w:rPr>
        <w:t>受体阻滞剂可阻滞</w:t>
      </w:r>
      <w:r>
        <w:rPr>
          <w:rFonts w:ascii="Arial" w:hAnsi="Arial" w:eastAsia="Arial"/>
          <w:position w:val="2"/>
        </w:rPr>
        <w:t>β</w:t>
      </w:r>
      <w:r>
        <w:rPr>
          <w:rFonts w:ascii="Arial" w:hAnsi="Arial" w:eastAsia="Arial"/>
          <w:spacing w:val="35"/>
          <w:position w:val="2"/>
        </w:rPr>
        <w:t> </w:t>
      </w:r>
      <w:r>
        <w:rPr>
          <w:position w:val="2"/>
        </w:rPr>
        <w:t>受体和</w:t>
      </w:r>
      <w:r>
        <w:rPr>
          <w:rFonts w:ascii="Arial" w:hAnsi="Arial" w:eastAsia="Arial"/>
          <w:position w:val="2"/>
        </w:rPr>
        <w:t>α</w:t>
      </w:r>
      <w:r>
        <w:rPr>
          <w:rFonts w:ascii="Arial" w:hAnsi="Arial" w:eastAsia="Arial"/>
          <w:spacing w:val="33"/>
          <w:position w:val="2"/>
        </w:rPr>
        <w:t> </w:t>
      </w:r>
      <w:r>
        <w:rPr>
          <w:sz w:val="12"/>
        </w:rPr>
        <w:t>1</w:t>
      </w:r>
      <w:r>
        <w:rPr>
          <w:spacing w:val="-29"/>
          <w:sz w:val="12"/>
        </w:rPr>
        <w:t> </w:t>
      </w:r>
      <w:r>
        <w:rPr>
          <w:position w:val="2"/>
        </w:rPr>
        <w:t>受体，能部分抵消彼此的不良反应，如减轻因</w:t>
      </w:r>
      <w:r>
        <w:rPr>
          <w:rFonts w:ascii="Arial" w:hAnsi="Arial" w:eastAsia="Arial"/>
          <w:position w:val="2"/>
        </w:rPr>
        <w:t>α</w:t>
      </w:r>
      <w:r>
        <w:rPr>
          <w:rFonts w:ascii="Arial" w:hAnsi="Arial" w:eastAsia="Arial"/>
          <w:spacing w:val="34"/>
          <w:position w:val="2"/>
        </w:rPr>
        <w:t> </w:t>
      </w:r>
      <w:r>
        <w:rPr>
          <w:sz w:val="12"/>
        </w:rPr>
        <w:t>1</w:t>
      </w:r>
    </w:p>
    <w:p>
      <w:pPr>
        <w:pStyle w:val="BodyText"/>
        <w:spacing w:before="63"/>
        <w:ind w:left="0" w:right="1128"/>
        <w:jc w:val="right"/>
      </w:pPr>
      <w:r>
        <w:rPr>
          <w:spacing w:val="-4"/>
        </w:rPr>
        <w:t>受体阻断引起的反射性心动过速；减少或消除由</w:t>
      </w:r>
      <w:r>
        <w:rPr>
          <w:rFonts w:ascii="Arial" w:hAnsi="Arial" w:eastAsia="Arial"/>
        </w:rPr>
        <w:t>β</w:t>
      </w:r>
      <w:r>
        <w:rPr>
          <w:rFonts w:ascii="Arial" w:hAnsi="Arial" w:eastAsia="Arial"/>
          <w:spacing w:val="34"/>
        </w:rPr>
        <w:t> </w:t>
      </w:r>
      <w:r>
        <w:rPr>
          <w:spacing w:val="-4"/>
        </w:rPr>
        <w:t>受体阻断而致的外周血管收缩和糖、脂代</w:t>
      </w:r>
    </w:p>
    <w:p>
      <w:pPr>
        <w:spacing w:after="0"/>
        <w:jc w:val="right"/>
        <w:sectPr>
          <w:pgSz w:w="11910" w:h="16850"/>
          <w:pgMar w:header="906" w:footer="607" w:top="1100" w:bottom="800" w:left="640" w:right="0"/>
        </w:sectPr>
      </w:pPr>
    </w:p>
    <w:p>
      <w:pPr>
        <w:pStyle w:val="BodyText"/>
        <w:spacing w:line="288" w:lineRule="auto" w:before="57"/>
        <w:ind w:right="1133"/>
      </w:pPr>
      <w:r>
        <w:rPr>
          <w:spacing w:val="-11"/>
        </w:rPr>
        <w:t>谢异常。因而其有扩血管、降低周围血管阻力、减少心搏出量、抑制肾素释放的作用，同时</w:t>
      </w:r>
      <w:r>
        <w:rPr/>
        <w:t>又有抑制反射性心动过速、改善胰岛素抵抗、不加重脂代谢紊乱等优点。</w:t>
      </w:r>
    </w:p>
    <w:p>
      <w:pPr>
        <w:pStyle w:val="BodyText"/>
        <w:spacing w:line="288" w:lineRule="auto" w:before="2"/>
        <w:ind w:left="1119" w:right="2944"/>
      </w:pPr>
      <w:r>
        <w:rPr/>
        <w:t>注意：反复低血糖发作者慎用</w:t>
      </w:r>
      <w:r>
        <w:rPr>
          <w:rFonts w:ascii="Arial" w:hAnsi="Arial" w:eastAsia="Arial"/>
        </w:rPr>
        <w:t>β </w:t>
      </w:r>
      <w:r>
        <w:rPr/>
        <w:t>受体阻滞剂，以免掩盖低血糖症状。此外，有研究报道卡维地洛可减少 HF 者的新发糖尿病比例。</w:t>
      </w:r>
    </w:p>
    <w:p>
      <w:pPr>
        <w:pStyle w:val="Heading8"/>
        <w:numPr>
          <w:ilvl w:val="0"/>
          <w:numId w:val="3"/>
        </w:numPr>
        <w:tabs>
          <w:tab w:pos="1364" w:val="left" w:leader="none"/>
        </w:tabs>
        <w:spacing w:line="240" w:lineRule="auto" w:before="1" w:after="0"/>
        <w:ind w:left="1363" w:right="0" w:hanging="245"/>
        <w:jc w:val="left"/>
      </w:pPr>
      <w:r>
        <w:rPr/>
        <w:t>呼吸系统</w:t>
      </w:r>
    </w:p>
    <w:p>
      <w:pPr>
        <w:pStyle w:val="BodyText"/>
        <w:spacing w:line="288" w:lineRule="auto" w:before="64"/>
        <w:ind w:right="1010" w:firstLine="482"/>
      </w:pPr>
      <w:r>
        <w:rPr>
          <w:rFonts w:ascii="Arial" w:hAnsi="Arial" w:eastAsia="Arial"/>
          <w:position w:val="2"/>
        </w:rPr>
        <w:t>β </w:t>
      </w:r>
      <w:r>
        <w:rPr>
          <w:sz w:val="12"/>
        </w:rPr>
        <w:t>3 </w:t>
      </w:r>
      <w:r>
        <w:rPr>
          <w:spacing w:val="-2"/>
          <w:position w:val="2"/>
        </w:rPr>
        <w:t>受体主要分布在支气管和血管平滑肌，非选择性的</w:t>
      </w:r>
      <w:r>
        <w:rPr>
          <w:rFonts w:ascii="Arial" w:hAnsi="Arial" w:eastAsia="Arial"/>
          <w:position w:val="2"/>
        </w:rPr>
        <w:t>β </w:t>
      </w:r>
      <w:r>
        <w:rPr>
          <w:position w:val="2"/>
        </w:rPr>
        <w:t>受体阻滞剂可阻断</w:t>
      </w:r>
      <w:r>
        <w:rPr>
          <w:rFonts w:ascii="Arial" w:hAnsi="Arial" w:eastAsia="Arial"/>
          <w:position w:val="2"/>
        </w:rPr>
        <w:t>β </w:t>
      </w:r>
      <w:r>
        <w:rPr>
          <w:sz w:val="12"/>
        </w:rPr>
        <w:t>3 </w:t>
      </w:r>
      <w:r>
        <w:rPr>
          <w:spacing w:val="-6"/>
          <w:position w:val="2"/>
        </w:rPr>
        <w:t>受体，使</w:t>
      </w:r>
      <w:r>
        <w:rPr>
          <w:spacing w:val="-17"/>
        </w:rPr>
        <w:t>支气管平滑肌收缩，呼吸道阻力增加，这种作用对正常人的影响较小，但对哮喘者影响较大， </w:t>
      </w:r>
      <w:r>
        <w:rPr/>
        <w:t>可能诱发甚至加重哮喘发作，因此禁用于哮喘或支气管痉孪性慢性阻塞性肺病（COPD）。</w:t>
      </w:r>
    </w:p>
    <w:p>
      <w:pPr>
        <w:pStyle w:val="BodyText"/>
        <w:spacing w:line="288" w:lineRule="auto" w:before="2"/>
        <w:ind w:right="1174" w:firstLine="482"/>
        <w:jc w:val="both"/>
      </w:pPr>
      <w:r>
        <w:rPr>
          <w:position w:val="2"/>
        </w:rPr>
        <w:t>选择性</w:t>
      </w:r>
      <w:r>
        <w:rPr>
          <w:rFonts w:ascii="Arial" w:hAnsi="Arial" w:eastAsia="Arial"/>
          <w:position w:val="2"/>
        </w:rPr>
        <w:t>β </w:t>
      </w:r>
      <w:r>
        <w:rPr>
          <w:sz w:val="12"/>
        </w:rPr>
        <w:t>1 </w:t>
      </w:r>
      <w:r>
        <w:rPr>
          <w:position w:val="2"/>
        </w:rPr>
        <w:t>受体阻滞剂可选择性作用于</w:t>
      </w:r>
      <w:r>
        <w:rPr>
          <w:rFonts w:ascii="Arial" w:hAnsi="Arial" w:eastAsia="Arial"/>
          <w:position w:val="2"/>
        </w:rPr>
        <w:t>β </w:t>
      </w:r>
      <w:r>
        <w:rPr>
          <w:sz w:val="12"/>
        </w:rPr>
        <w:t>1 </w:t>
      </w:r>
      <w:r>
        <w:rPr>
          <w:position w:val="2"/>
        </w:rPr>
        <w:t>受体，对</w:t>
      </w:r>
      <w:r>
        <w:rPr>
          <w:rFonts w:ascii="Arial" w:hAnsi="Arial" w:eastAsia="Arial"/>
          <w:position w:val="2"/>
        </w:rPr>
        <w:t>β </w:t>
      </w:r>
      <w:r>
        <w:rPr>
          <w:sz w:val="12"/>
        </w:rPr>
        <w:t>3 </w:t>
      </w:r>
      <w:r>
        <w:rPr>
          <w:position w:val="2"/>
        </w:rPr>
        <w:t>受体作用较弱，增加呼吸道阻力的作用较弱，且</w:t>
      </w:r>
      <w:r>
        <w:rPr>
          <w:rFonts w:ascii="Arial" w:hAnsi="Arial" w:eastAsia="Arial"/>
          <w:position w:val="2"/>
        </w:rPr>
        <w:t>β </w:t>
      </w:r>
      <w:r>
        <w:rPr>
          <w:position w:val="2"/>
        </w:rPr>
        <w:t>受体阻滞剂对慢阻肺者可能有心肺双重保护作用，因此高度选择性</w:t>
      </w:r>
      <w:r>
        <w:rPr>
          <w:rFonts w:ascii="Arial" w:hAnsi="Arial" w:eastAsia="Arial"/>
          <w:position w:val="2"/>
        </w:rPr>
        <w:t>β </w:t>
      </w:r>
      <w:r>
        <w:rPr>
          <w:sz w:val="12"/>
        </w:rPr>
        <w:t>1 </w:t>
      </w:r>
      <w:r>
        <w:rPr>
          <w:position w:val="2"/>
        </w:rPr>
        <w:t>受</w:t>
      </w:r>
      <w:r>
        <w:rPr/>
        <w:t>体阻滞剂可用于无哮喘慢阻肺者。</w:t>
      </w:r>
    </w:p>
    <w:p>
      <w:pPr>
        <w:pStyle w:val="BodyText"/>
        <w:spacing w:line="288" w:lineRule="auto" w:before="4"/>
        <w:ind w:right="1172" w:firstLine="482"/>
        <w:jc w:val="both"/>
      </w:pPr>
      <w:r>
        <w:rPr>
          <w:position w:val="2"/>
        </w:rPr>
        <w:t>支气管哮喘病史者若使用</w:t>
      </w:r>
      <w:r>
        <w:rPr>
          <w:rFonts w:ascii="Arial" w:hAnsi="Arial" w:eastAsia="Arial"/>
          <w:position w:val="2"/>
        </w:rPr>
        <w:t>β </w:t>
      </w:r>
      <w:r>
        <w:rPr>
          <w:position w:val="2"/>
        </w:rPr>
        <w:t>受体阻滞剂治疗时，可谨慎选用选择性</w:t>
      </w:r>
      <w:r>
        <w:rPr>
          <w:rFonts w:ascii="Arial" w:hAnsi="Arial" w:eastAsia="Arial"/>
          <w:position w:val="2"/>
        </w:rPr>
        <w:t>β </w:t>
      </w:r>
      <w:r>
        <w:rPr>
          <w:sz w:val="12"/>
        </w:rPr>
        <w:t>1 </w:t>
      </w:r>
      <w:r>
        <w:rPr>
          <w:position w:val="2"/>
        </w:rPr>
        <w:t>受体阻滞剂，但严格控制用量，因其随剂量加大，选择性</w:t>
      </w:r>
      <w:r>
        <w:rPr>
          <w:rFonts w:ascii="Arial" w:hAnsi="Arial" w:eastAsia="Arial"/>
          <w:position w:val="2"/>
        </w:rPr>
        <w:t>β </w:t>
      </w:r>
      <w:r>
        <w:rPr>
          <w:sz w:val="12"/>
        </w:rPr>
        <w:t>1 </w:t>
      </w:r>
      <w:r>
        <w:rPr>
          <w:position w:val="2"/>
        </w:rPr>
        <w:t>受体作用将会降低。</w:t>
      </w:r>
    </w:p>
    <w:p>
      <w:pPr>
        <w:pStyle w:val="Heading8"/>
        <w:numPr>
          <w:ilvl w:val="0"/>
          <w:numId w:val="3"/>
        </w:numPr>
        <w:tabs>
          <w:tab w:pos="1364" w:val="left" w:leader="none"/>
        </w:tabs>
        <w:spacing w:line="240" w:lineRule="auto" w:before="2" w:after="0"/>
        <w:ind w:left="1363" w:right="0" w:hanging="245"/>
        <w:jc w:val="left"/>
      </w:pPr>
      <w:r>
        <w:rPr/>
        <w:t>中枢神经系统</w:t>
      </w:r>
    </w:p>
    <w:p>
      <w:pPr>
        <w:pStyle w:val="BodyText"/>
        <w:spacing w:before="62"/>
        <w:ind w:left="1119"/>
      </w:pPr>
      <w:r>
        <w:rPr>
          <w:rFonts w:ascii="Arial" w:hAnsi="Arial" w:eastAsia="Arial"/>
        </w:rPr>
        <w:t>β </w:t>
      </w:r>
      <w:r>
        <w:rPr/>
        <w:t>受体阻滞剂的中枢神经系统不良反应为疲劳、乏力、倦怠感、头痛、头重、睡眠紊乱</w:t>
      </w:r>
    </w:p>
    <w:p>
      <w:pPr>
        <w:pStyle w:val="BodyText"/>
        <w:spacing w:before="63"/>
      </w:pPr>
      <w:r>
        <w:rPr/>
        <w:t>（失眠、嗜睡、噩梦、多梦等）、压抑、忧郁及抑郁等。</w:t>
      </w:r>
    </w:p>
    <w:p>
      <w:pPr>
        <w:pStyle w:val="BodyText"/>
        <w:spacing w:line="290" w:lineRule="auto" w:before="62"/>
        <w:ind w:right="1075" w:firstLine="482"/>
      </w:pPr>
      <w:r>
        <w:rPr/>
        <w:t>脂溶性高的</w:t>
      </w:r>
      <w:r>
        <w:rPr>
          <w:rFonts w:ascii="Arial" w:hAnsi="Arial" w:eastAsia="Arial"/>
        </w:rPr>
        <w:t>β </w:t>
      </w:r>
      <w:r>
        <w:rPr/>
        <w:t>受体阻滞剂多见，水溶性的</w:t>
      </w:r>
      <w:r>
        <w:rPr>
          <w:rFonts w:ascii="Arial" w:hAnsi="Arial" w:eastAsia="Arial"/>
        </w:rPr>
        <w:t>β </w:t>
      </w:r>
      <w:r>
        <w:rPr/>
        <w:t>受体阻滞剂较为少见，可能与脂溶性高的药物易通过血脑屏障有关。此外疲劳可能与骨骼肌血流减少有关，也可能与中枢作用有关。</w:t>
      </w:r>
    </w:p>
    <w:p>
      <w:pPr>
        <w:pStyle w:val="Heading8"/>
        <w:numPr>
          <w:ilvl w:val="0"/>
          <w:numId w:val="3"/>
        </w:numPr>
        <w:tabs>
          <w:tab w:pos="1364" w:val="left" w:leader="none"/>
        </w:tabs>
        <w:spacing w:line="305" w:lineRule="exact" w:before="0" w:after="0"/>
        <w:ind w:left="1363" w:right="0" w:hanging="245"/>
        <w:jc w:val="left"/>
      </w:pPr>
      <w:r>
        <w:rPr/>
        <w:t>性功能</w:t>
      </w:r>
    </w:p>
    <w:p>
      <w:pPr>
        <w:spacing w:line="288" w:lineRule="auto" w:before="62"/>
        <w:ind w:left="1119" w:right="6304" w:firstLine="0"/>
        <w:jc w:val="left"/>
        <w:rPr>
          <w:b/>
          <w:sz w:val="24"/>
        </w:rPr>
      </w:pPr>
      <w:r>
        <w:rPr>
          <w:sz w:val="24"/>
        </w:rPr>
        <w:t>部分患者可出现或加重性功能障碍。</w:t>
      </w:r>
      <w:r>
        <w:rPr>
          <w:b/>
          <w:sz w:val="24"/>
        </w:rPr>
        <w:t>6.肢端循环障碍</w:t>
      </w:r>
    </w:p>
    <w:p>
      <w:pPr>
        <w:pStyle w:val="BodyText"/>
        <w:spacing w:line="288" w:lineRule="auto"/>
        <w:ind w:right="1128" w:firstLine="482"/>
        <w:jc w:val="both"/>
      </w:pPr>
      <w:r>
        <w:rPr>
          <w:rFonts w:ascii="Arial" w:hAnsi="Arial" w:eastAsia="Arial"/>
          <w:position w:val="2"/>
        </w:rPr>
        <w:t>β </w:t>
      </w:r>
      <w:r>
        <w:rPr>
          <w:position w:val="2"/>
        </w:rPr>
        <w:t>受体阻滞剂阻断血管</w:t>
      </w:r>
      <w:r>
        <w:rPr>
          <w:rFonts w:ascii="Arial" w:hAnsi="Arial" w:eastAsia="Arial"/>
          <w:position w:val="2"/>
        </w:rPr>
        <w:t>β </w:t>
      </w:r>
      <w:r>
        <w:rPr>
          <w:sz w:val="12"/>
        </w:rPr>
        <w:t>3 </w:t>
      </w:r>
      <w:r>
        <w:rPr>
          <w:spacing w:val="-4"/>
          <w:position w:val="2"/>
        </w:rPr>
        <w:t>受体，</w:t>
      </w:r>
      <w:r>
        <w:rPr>
          <w:rFonts w:ascii="Arial" w:hAnsi="Arial" w:eastAsia="Arial"/>
          <w:spacing w:val="-11"/>
          <w:position w:val="2"/>
        </w:rPr>
        <w:t>α </w:t>
      </w:r>
      <w:r>
        <w:rPr>
          <w:position w:val="2"/>
        </w:rPr>
        <w:t>受体失去</w:t>
      </w:r>
      <w:r>
        <w:rPr>
          <w:rFonts w:ascii="Arial" w:hAnsi="Arial" w:eastAsia="Arial"/>
          <w:position w:val="2"/>
        </w:rPr>
        <w:t>β </w:t>
      </w:r>
      <w:r>
        <w:rPr>
          <w:sz w:val="12"/>
        </w:rPr>
        <w:t>3 </w:t>
      </w:r>
      <w:r>
        <w:rPr>
          <w:spacing w:val="-3"/>
          <w:position w:val="2"/>
        </w:rPr>
        <w:t>受体拮抗从而减少组织血流，可出现肢</w:t>
      </w:r>
      <w:r>
        <w:rPr>
          <w:spacing w:val="-11"/>
        </w:rPr>
        <w:t>端发冷、发绀、皮肤苍白、脉搏消失，可引起雷诺综合征，加重间歇性跛行，且伴严重外周</w:t>
      </w:r>
      <w:r>
        <w:rPr>
          <w:spacing w:val="-8"/>
        </w:rPr>
        <w:t>血管疾病者病情恶化，严重甚至可致脚趾溃烂和坏死等。外周血管疾病者，特别是合并外周</w:t>
      </w:r>
      <w:r>
        <w:rPr>
          <w:spacing w:val="-7"/>
        </w:rPr>
        <w:t>动脉狭窄和闭塞的糖尿病肾病者，及末梢血循环障碍者如雷诺氏综合征、间歇性跛行等应慎</w:t>
      </w:r>
      <w:r>
        <w:rPr/>
        <w:t>用。</w:t>
      </w:r>
    </w:p>
    <w:p>
      <w:pPr>
        <w:pStyle w:val="BodyText"/>
        <w:spacing w:line="288" w:lineRule="auto" w:before="6"/>
        <w:ind w:left="1119" w:right="1892"/>
        <w:rPr>
          <w:b/>
        </w:rPr>
      </w:pPr>
      <w:r>
        <w:rPr>
          <w:position w:val="2"/>
        </w:rPr>
        <w:t>有血管扩张作用的</w:t>
      </w:r>
      <w:r>
        <w:rPr>
          <w:rFonts w:ascii="Arial" w:hAnsi="Arial" w:eastAsia="Arial"/>
          <w:position w:val="2"/>
        </w:rPr>
        <w:t>β </w:t>
      </w:r>
      <w:r>
        <w:rPr>
          <w:position w:val="2"/>
        </w:rPr>
        <w:t>受体阻滞剂或选择性</w:t>
      </w:r>
      <w:r>
        <w:rPr>
          <w:rFonts w:ascii="Arial" w:hAnsi="Arial" w:eastAsia="Arial"/>
          <w:position w:val="2"/>
        </w:rPr>
        <w:t>β </w:t>
      </w:r>
      <w:r>
        <w:rPr>
          <w:sz w:val="12"/>
        </w:rPr>
        <w:t>1 </w:t>
      </w:r>
      <w:r>
        <w:rPr>
          <w:position w:val="2"/>
        </w:rPr>
        <w:t>受体阻滞剂此种不良反应不明显。</w:t>
      </w:r>
      <w:r>
        <w:rPr>
          <w:b/>
        </w:rPr>
        <w:t>7.撤药综合征</w:t>
      </w:r>
    </w:p>
    <w:p>
      <w:pPr>
        <w:pStyle w:val="BodyText"/>
        <w:spacing w:line="290" w:lineRule="auto" w:before="2"/>
        <w:ind w:right="1064" w:firstLine="482"/>
      </w:pPr>
      <w:r>
        <w:rPr/>
        <w:t>发生于长期使用</w:t>
      </w:r>
      <w:r>
        <w:rPr>
          <w:rFonts w:ascii="Arial" w:hAnsi="Arial" w:eastAsia="Arial"/>
        </w:rPr>
        <w:t>β </w:t>
      </w:r>
      <w:r>
        <w:rPr/>
        <w:t>受体阻滞剂后突然停药，表现为高血压、头痛、焦虑、心律失常和心绞痛恶化等，与长期治疗中</w:t>
      </w:r>
      <w:r>
        <w:rPr>
          <w:rFonts w:ascii="Arial" w:hAnsi="Arial" w:eastAsia="Arial"/>
        </w:rPr>
        <w:t>β </w:t>
      </w:r>
      <w:r>
        <w:rPr/>
        <w:t>受体敏感性上调有关。</w:t>
      </w:r>
    </w:p>
    <w:p>
      <w:pPr>
        <w:pStyle w:val="BodyText"/>
        <w:spacing w:line="288" w:lineRule="auto"/>
        <w:ind w:right="1128" w:firstLine="482"/>
      </w:pPr>
      <w:r>
        <w:rPr/>
        <w:t>若需停用</w:t>
      </w:r>
      <w:r>
        <w:rPr>
          <w:rFonts w:ascii="Arial" w:hAnsi="Arial" w:eastAsia="Arial"/>
        </w:rPr>
        <w:t>β </w:t>
      </w:r>
      <w:r>
        <w:rPr>
          <w:spacing w:val="-10"/>
        </w:rPr>
        <w:t>受体阻滞剂，应逐步撤药，整个撤药过程至少 </w:t>
      </w:r>
      <w:r>
        <w:rPr/>
        <w:t>2</w:t>
      </w:r>
      <w:r>
        <w:rPr>
          <w:spacing w:val="-30"/>
        </w:rPr>
        <w:t> 周，每 </w:t>
      </w:r>
      <w:r>
        <w:rPr/>
        <w:t>2-3</w:t>
      </w:r>
      <w:r>
        <w:rPr>
          <w:spacing w:val="-13"/>
        </w:rPr>
        <w:t> 日剂量减半，停</w:t>
      </w:r>
      <w:r>
        <w:rPr>
          <w:spacing w:val="-6"/>
        </w:rPr>
        <w:t>药前最后的剂量至少给 </w:t>
      </w:r>
      <w:r>
        <w:rPr/>
        <w:t>4d。若出现症状，建议更缓慢地撤药。</w:t>
      </w:r>
    </w:p>
    <w:p>
      <w:pPr>
        <w:pStyle w:val="BodyText"/>
        <w:spacing w:line="230" w:lineRule="auto" w:before="8"/>
        <w:ind w:right="1203" w:firstLine="482"/>
        <w:rPr>
          <w:rFonts w:ascii="微软雅黑" w:eastAsia="微软雅黑" w:hint="eastAsia"/>
          <w:b/>
        </w:rPr>
      </w:pPr>
      <w:r>
        <w:rPr>
          <w:spacing w:val="-5"/>
        </w:rPr>
        <w:t>若手术前需停用，须至少在 </w:t>
      </w:r>
      <w:r>
        <w:rPr/>
        <w:t>48h</w:t>
      </w:r>
      <w:r>
        <w:rPr>
          <w:spacing w:val="-8"/>
        </w:rPr>
        <w:t> 前，但毒性弥漫性甲状腺肿</w:t>
      </w:r>
      <w:r>
        <w:rPr/>
        <w:t>（Graves</w:t>
      </w:r>
      <w:r>
        <w:rPr>
          <w:spacing w:val="-30"/>
        </w:rPr>
        <w:t> 病</w:t>
      </w:r>
      <w:r>
        <w:rPr/>
        <w:t>）</w:t>
      </w:r>
      <w:r>
        <w:rPr>
          <w:spacing w:val="-4"/>
        </w:rPr>
        <w:t>和嗜铬细胞</w:t>
      </w:r>
      <w:r>
        <w:rPr/>
        <w:t>瘤术前不能停药。</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BodyText"/>
        <w:spacing w:before="7"/>
        <w:ind w:left="0"/>
        <w:rPr>
          <w:rFonts w:ascii="微软雅黑"/>
          <w:b/>
          <w:sz w:val="13"/>
        </w:rPr>
      </w:pPr>
    </w:p>
    <w:p>
      <w:pPr>
        <w:pStyle w:val="Heading4"/>
        <w:spacing w:before="1"/>
        <w:ind w:right="493"/>
        <w:jc w:val="center"/>
      </w:pPr>
      <w:bookmarkStart w:name="_TOC_250024" w:id="18"/>
      <w:bookmarkEnd w:id="18"/>
      <w:r>
        <w:rPr/>
        <w:t>警惕抗菌药可能导致的癫痫与神经肌肉阻滞</w:t>
      </w:r>
    </w:p>
    <w:p>
      <w:pPr>
        <w:pStyle w:val="Heading8"/>
        <w:spacing w:before="147"/>
        <w:ind w:left="0" w:right="1128"/>
        <w:jc w:val="right"/>
        <w:rPr>
          <w:rFonts w:ascii="楷体" w:eastAsia="楷体" w:hint="eastAsia"/>
        </w:rPr>
      </w:pPr>
      <w:r>
        <w:rPr>
          <w:rFonts w:ascii="楷体" w:eastAsia="楷体" w:hint="eastAsia"/>
          <w:color w:val="FF0000"/>
          <w:w w:val="95"/>
        </w:rPr>
        <w:t>（来源：临床药师网）</w:t>
      </w:r>
    </w:p>
    <w:p>
      <w:pPr>
        <w:pStyle w:val="BodyText"/>
        <w:spacing w:line="280" w:lineRule="auto" w:before="79"/>
        <w:ind w:right="1127" w:firstLine="482"/>
      </w:pPr>
      <w:r>
        <w:rPr/>
        <w:t>药源性癫痫（MSE）是由药物直接或间接诱发所致的癫痫发作，属继发性癫痫或症状性</w:t>
      </w:r>
      <w:r>
        <w:rPr>
          <w:spacing w:val="-11"/>
        </w:rPr>
        <w:t>癫痫。使脑内兴奋性递质过多或抑制性递质过少，致使兴奋与抑制失衡的药物均可引起癫痫</w:t>
      </w:r>
    </w:p>
    <w:p>
      <w:pPr>
        <w:spacing w:after="0" w:line="280" w:lineRule="auto"/>
        <w:sectPr>
          <w:pgSz w:w="11910" w:h="16850"/>
          <w:pgMar w:header="906" w:footer="607" w:top="1100" w:bottom="800" w:left="640" w:right="0"/>
        </w:sectPr>
      </w:pPr>
    </w:p>
    <w:p>
      <w:pPr>
        <w:pStyle w:val="BodyText"/>
        <w:spacing w:line="280" w:lineRule="auto" w:before="48"/>
        <w:ind w:right="1127"/>
        <w:jc w:val="both"/>
      </w:pPr>
      <w:r>
        <w:rPr>
          <w:spacing w:val="-8"/>
        </w:rPr>
        <w:t>发作。重症肌无力</w:t>
      </w:r>
      <w:r>
        <w:rPr>
          <w:spacing w:val="-7"/>
        </w:rPr>
        <w:t>（MG）</w:t>
      </w:r>
      <w:r>
        <w:rPr>
          <w:spacing w:val="-4"/>
        </w:rPr>
        <w:t>是神经肌肉传递障碍性疾病，因自身抗体结合于神经肌肉接头突触</w:t>
      </w:r>
      <w:r>
        <w:rPr>
          <w:spacing w:val="-11"/>
        </w:rPr>
        <w:t>后膜组分，主要是乙酰胆碱受体导致器官特异性自身免疫性疾病。某些药物可能会有神经肌</w:t>
      </w:r>
      <w:r>
        <w:rPr>
          <w:spacing w:val="-5"/>
        </w:rPr>
        <w:t>肉阻滞作用，因而有加重 </w:t>
      </w:r>
      <w:r>
        <w:rPr/>
        <w:t>MG</w:t>
      </w:r>
      <w:r>
        <w:rPr>
          <w:spacing w:val="-8"/>
        </w:rPr>
        <w:t> 病情的可能，因此需避免或谨慎使用。</w:t>
      </w:r>
    </w:p>
    <w:p>
      <w:pPr>
        <w:pStyle w:val="Heading8"/>
        <w:numPr>
          <w:ilvl w:val="0"/>
          <w:numId w:val="4"/>
        </w:numPr>
        <w:tabs>
          <w:tab w:pos="1364" w:val="left" w:leader="none"/>
        </w:tabs>
        <w:spacing w:line="240" w:lineRule="auto" w:before="1" w:after="0"/>
        <w:ind w:left="1363" w:right="0" w:hanging="245"/>
        <w:jc w:val="left"/>
      </w:pPr>
      <w:r>
        <w:rPr/>
        <w:t>可能诱发癫痫的抗菌药</w:t>
      </w:r>
    </w:p>
    <w:p>
      <w:pPr>
        <w:pStyle w:val="BodyText"/>
        <w:spacing w:line="280" w:lineRule="auto" w:before="52"/>
        <w:ind w:right="1128" w:firstLine="482"/>
        <w:jc w:val="both"/>
      </w:pPr>
      <w:r>
        <w:rPr>
          <w:rFonts w:ascii="Arial" w:hAnsi="Arial" w:eastAsia="Arial"/>
        </w:rPr>
        <w:t>β </w:t>
      </w:r>
      <w:r>
        <w:rPr>
          <w:spacing w:val="-6"/>
        </w:rPr>
        <w:t>内酰胺类中的青霉素类、第四代头孢菌素类、碳青霉烯类</w:t>
      </w:r>
      <w:r>
        <w:rPr/>
        <w:t>（特别是亚胺培南</w:t>
      </w:r>
      <w:r>
        <w:rPr>
          <w:spacing w:val="-27"/>
        </w:rPr>
        <w:t>）</w:t>
      </w:r>
      <w:r>
        <w:rPr>
          <w:spacing w:val="-5"/>
        </w:rPr>
        <w:t>及氟喹</w:t>
      </w:r>
      <w:r>
        <w:rPr>
          <w:spacing w:val="-8"/>
        </w:rPr>
        <w:t>诺酮类是易诱发癫痫的抗菌药。剂量过大、并发肾功能不全、高龄、血脑屏障受损、脑血管</w:t>
      </w:r>
      <w:r>
        <w:rPr/>
        <w:t>意外、脑损伤、既往癫痫史为癫痫发作的高危因素。</w:t>
      </w:r>
    </w:p>
    <w:p>
      <w:pPr>
        <w:pStyle w:val="Heading8"/>
        <w:spacing w:before="1"/>
        <w:ind w:left="1119"/>
        <w:jc w:val="both"/>
      </w:pPr>
      <w:r>
        <w:rPr/>
        <w:t>⑴</w:t>
      </w:r>
      <w:r>
        <w:rPr>
          <w:rFonts w:ascii="Arial" w:hAnsi="Arial" w:eastAsia="Arial"/>
        </w:rPr>
        <w:t>β </w:t>
      </w:r>
      <w:r>
        <w:rPr/>
        <w:t>内酰胺类</w:t>
      </w:r>
    </w:p>
    <w:p>
      <w:pPr>
        <w:pStyle w:val="BodyText"/>
        <w:spacing w:line="280" w:lineRule="auto" w:before="52"/>
        <w:ind w:right="1127" w:firstLine="482"/>
        <w:jc w:val="both"/>
      </w:pPr>
      <w:r>
        <w:rPr/>
        <w:t>中枢神经抑制性神经递质</w:t>
      </w:r>
      <w:r>
        <w:rPr>
          <w:rFonts w:ascii="Arial" w:hAnsi="Arial" w:eastAsia="Arial"/>
        </w:rPr>
        <w:t>γ</w:t>
      </w:r>
      <w:r>
        <w:rPr>
          <w:rFonts w:ascii="Arial" w:hAnsi="Arial" w:eastAsia="Arial"/>
          <w:spacing w:val="52"/>
        </w:rPr>
        <w:t> </w:t>
      </w:r>
      <w:r>
        <w:rPr/>
        <w:t>－氨基丁酸（GABA）</w:t>
      </w:r>
      <w:r>
        <w:rPr>
          <w:spacing w:val="-20"/>
        </w:rPr>
        <w:t>激活 </w:t>
      </w:r>
      <w:r>
        <w:rPr/>
        <w:t>GABA</w:t>
      </w:r>
      <w:r>
        <w:rPr>
          <w:spacing w:val="-8"/>
        </w:rPr>
        <w:t> 受体可致氯离子内流，进而产生抑制性突触后电位，而</w:t>
      </w:r>
      <w:r>
        <w:rPr>
          <w:rFonts w:ascii="Arial" w:hAnsi="Arial" w:eastAsia="Arial"/>
          <w:spacing w:val="-8"/>
        </w:rPr>
        <w:t>β </w:t>
      </w:r>
      <w:r>
        <w:rPr>
          <w:spacing w:val="-5"/>
        </w:rPr>
        <w:t>－内酰胺类抗菌药可抑制 </w:t>
      </w:r>
      <w:r>
        <w:rPr/>
        <w:t>GABA</w:t>
      </w:r>
      <w:r>
        <w:rPr>
          <w:spacing w:val="-8"/>
        </w:rPr>
        <w:t> 受体，阻止抑制性神经递质传</w:t>
      </w:r>
      <w:r>
        <w:rPr>
          <w:spacing w:val="-11"/>
        </w:rPr>
        <w:t>递，从而引起中枢兴奋性中毒症状，这可能是其引起脑病、肌阵挛和癫痫发作的病理生理基</w:t>
      </w:r>
      <w:r>
        <w:rPr/>
        <w:t>础。</w:t>
      </w:r>
    </w:p>
    <w:p>
      <w:pPr>
        <w:pStyle w:val="Heading8"/>
        <w:spacing w:before="2"/>
        <w:ind w:left="1119"/>
      </w:pPr>
      <w:r>
        <w:rPr/>
        <w:t>①青霉素类</w:t>
      </w:r>
    </w:p>
    <w:p>
      <w:pPr>
        <w:pStyle w:val="BodyText"/>
        <w:spacing w:line="280" w:lineRule="auto" w:before="52"/>
        <w:ind w:right="1130" w:firstLine="482"/>
      </w:pPr>
      <w:r>
        <w:rPr>
          <w:spacing w:val="-7"/>
        </w:rPr>
        <w:t>青霉素发生于大剂量或脑膜有病变时，可出现抽搐、癫痫样大发作、幻听、幻视、意识</w:t>
      </w:r>
      <w:r>
        <w:rPr/>
        <w:t>丧失等。</w:t>
      </w:r>
    </w:p>
    <w:p>
      <w:pPr>
        <w:pStyle w:val="BodyText"/>
        <w:spacing w:before="1"/>
        <w:ind w:left="1119"/>
      </w:pPr>
      <w:r>
        <w:rPr/>
        <w:t>哌拉西林有引起癫痫的报道，多见于高剂量或存在肾功能不全时。</w:t>
      </w:r>
    </w:p>
    <w:p>
      <w:pPr>
        <w:pStyle w:val="BodyText"/>
        <w:spacing w:line="280" w:lineRule="auto" w:before="52"/>
        <w:ind w:right="1143" w:firstLine="482"/>
      </w:pPr>
      <w:r>
        <w:rPr>
          <w:spacing w:val="-2"/>
        </w:rPr>
        <w:t>阿莫西林和氨苄西林引起癫痫的报道很少，可能是因强极性使其不能与 </w:t>
      </w:r>
      <w:r>
        <w:rPr/>
        <w:t>GABA</w:t>
      </w:r>
      <w:r>
        <w:rPr>
          <w:spacing w:val="-16"/>
        </w:rPr>
        <w:t> 亲脂性受</w:t>
      </w:r>
      <w:r>
        <w:rPr/>
        <w:t>体结合。</w:t>
      </w:r>
    </w:p>
    <w:p>
      <w:pPr>
        <w:pStyle w:val="BodyText"/>
        <w:spacing w:before="1"/>
        <w:ind w:left="1119"/>
      </w:pPr>
      <w:r>
        <w:rPr/>
        <w:t>美洛西林、羧苄西林等有致癫痫发作的报道。</w:t>
      </w:r>
    </w:p>
    <w:p>
      <w:pPr>
        <w:pStyle w:val="Heading8"/>
        <w:spacing w:before="53"/>
        <w:ind w:left="1119"/>
      </w:pPr>
      <w:r>
        <w:rPr/>
        <w:t>②头孢菌素类</w:t>
      </w:r>
    </w:p>
    <w:p>
      <w:pPr>
        <w:pStyle w:val="BodyText"/>
        <w:spacing w:line="280" w:lineRule="auto" w:before="52"/>
        <w:ind w:right="1130" w:firstLine="482"/>
      </w:pPr>
      <w:r>
        <w:rPr>
          <w:spacing w:val="-5"/>
        </w:rPr>
        <w:t>肾功能损伤是头孢菌素类引起中枢神经毒性比较明确的诱因，同时并发低蛋白血症时可</w:t>
      </w:r>
      <w:r>
        <w:rPr/>
        <w:t>引起游离药物浓度升高，而促进药物在脑部积聚，也可增加神经系统不良反应。</w:t>
      </w:r>
    </w:p>
    <w:p>
      <w:pPr>
        <w:pStyle w:val="BodyText"/>
        <w:spacing w:line="280" w:lineRule="auto" w:before="1"/>
        <w:ind w:right="1008" w:firstLine="482"/>
      </w:pPr>
      <w:r>
        <w:rPr>
          <w:spacing w:val="-14"/>
        </w:rPr>
        <w:t>可诱发癫痫的主要是头孢唑林、头孢呋辛、头孢替安、头孢克肟、头孢曲松、头孢他啶、</w:t>
      </w:r>
      <w:r>
        <w:rPr>
          <w:spacing w:val="-10"/>
        </w:rPr>
        <w:t>头孢噻肟、头孢吡肟和头孢哌酮等。头孢唑肟、头孢氨苄和头孢拉定诱发癫痫样症状发生率低。</w:t>
      </w:r>
    </w:p>
    <w:p>
      <w:pPr>
        <w:pStyle w:val="Heading8"/>
        <w:ind w:left="1119"/>
      </w:pPr>
      <w:r>
        <w:rPr/>
        <w:t>③碳青霉烯类</w:t>
      </w:r>
    </w:p>
    <w:p>
      <w:pPr>
        <w:pStyle w:val="BodyText"/>
        <w:spacing w:line="280" w:lineRule="auto" w:before="53"/>
        <w:ind w:right="1009" w:firstLine="482"/>
      </w:pPr>
      <w:r>
        <w:rPr/>
        <w:t>碳青霉烯类致神经系统不良反应的发生受其结构影响，2 位碳原子连接的侧链体积越</w:t>
      </w:r>
      <w:r>
        <w:rPr>
          <w:spacing w:val="-29"/>
        </w:rPr>
        <w:t>小，其对 </w:t>
      </w:r>
      <w:r>
        <w:rPr/>
        <w:t>GABA</w:t>
      </w:r>
      <w:r>
        <w:rPr>
          <w:spacing w:val="-15"/>
        </w:rPr>
        <w:t> 受体亲和力越强，从而更易阻止 </w:t>
      </w:r>
      <w:r>
        <w:rPr/>
        <w:t>GABA</w:t>
      </w:r>
      <w:r>
        <w:rPr>
          <w:spacing w:val="-13"/>
        </w:rPr>
        <w:t> 与受体结合，致癫痫发生的危险性增高。</w:t>
      </w:r>
    </w:p>
    <w:p>
      <w:pPr>
        <w:pStyle w:val="BodyText"/>
        <w:spacing w:line="280" w:lineRule="auto" w:before="1"/>
        <w:ind w:right="1027" w:firstLine="482"/>
      </w:pPr>
      <w:r>
        <w:rPr>
          <w:spacing w:val="-13"/>
        </w:rPr>
        <w:t>亚胺培南 </w:t>
      </w:r>
      <w:r>
        <w:rPr/>
        <w:t>2</w:t>
      </w:r>
      <w:r>
        <w:rPr>
          <w:spacing w:val="-12"/>
        </w:rPr>
        <w:t> 位碳原子侧链体积较小，与中枢 </w:t>
      </w:r>
      <w:r>
        <w:rPr/>
        <w:t>GABA</w:t>
      </w:r>
      <w:r>
        <w:rPr>
          <w:spacing w:val="-8"/>
        </w:rPr>
        <w:t> 受体的结合力较强，其致中枢神经系</w:t>
      </w:r>
      <w:r>
        <w:rPr>
          <w:spacing w:val="-9"/>
        </w:rPr>
        <w:t>统不良反应的发生率较高；美罗培南致癫痫的病例报道较少；厄他培南可使癫痫阈值降低； </w:t>
      </w:r>
      <w:r>
        <w:rPr>
          <w:spacing w:val="-3"/>
        </w:rPr>
        <w:t>亲水性的药物多利培南致癫痫发作的报道不多，可能是因与 </w:t>
      </w:r>
      <w:r>
        <w:rPr/>
        <w:t>GABA</w:t>
      </w:r>
      <w:r>
        <w:rPr>
          <w:spacing w:val="-8"/>
        </w:rPr>
        <w:t> 受体亲和力较低。</w:t>
      </w:r>
    </w:p>
    <w:p>
      <w:pPr>
        <w:pStyle w:val="Heading8"/>
        <w:spacing w:before="1"/>
        <w:ind w:left="1119"/>
      </w:pPr>
      <w:r>
        <w:rPr/>
        <w:t>⑵氟喹诺酮类</w:t>
      </w:r>
    </w:p>
    <w:p>
      <w:pPr>
        <w:pStyle w:val="BodyText"/>
        <w:spacing w:line="280" w:lineRule="auto" w:before="52"/>
        <w:ind w:right="1124" w:firstLine="482"/>
      </w:pPr>
      <w:r>
        <w:rPr/>
        <w:t>氟喹诺酮类分子中含有氟原子，脂溶性强，能透过血脑屏障，可抑制脑内抑制性递质GABA</w:t>
      </w:r>
      <w:r>
        <w:rPr>
          <w:spacing w:val="-8"/>
        </w:rPr>
        <w:t> 与其受体的结合而致中枢神经兴奋性增高，进而致癫痫发作。肾功能不全、中枢神经</w:t>
      </w:r>
      <w:r>
        <w:rPr>
          <w:spacing w:val="-10"/>
        </w:rPr>
        <w:t>系统疾病</w:t>
      </w:r>
      <w:r>
        <w:rPr/>
        <w:t>（</w:t>
      </w:r>
      <w:r>
        <w:rPr>
          <w:spacing w:val="-3"/>
        </w:rPr>
        <w:t>如脑动脉硬化、脑梗塞、癫痫</w:t>
      </w:r>
      <w:r>
        <w:rPr>
          <w:spacing w:val="-12"/>
        </w:rPr>
        <w:t>）</w:t>
      </w:r>
      <w:r>
        <w:rPr>
          <w:spacing w:val="-7"/>
        </w:rPr>
        <w:t>、高龄、合用非甾体类抗炎药</w:t>
      </w:r>
      <w:r>
        <w:rPr/>
        <w:t>（NSAIDs）</w:t>
      </w:r>
      <w:r>
        <w:rPr>
          <w:spacing w:val="-6"/>
        </w:rPr>
        <w:t>或茶碱</w:t>
      </w:r>
      <w:r>
        <w:rPr/>
        <w:t>类药为癫痫发作的高危因素。</w:t>
      </w:r>
    </w:p>
    <w:p>
      <w:pPr>
        <w:pStyle w:val="BodyText"/>
        <w:spacing w:line="280" w:lineRule="auto" w:before="1"/>
        <w:ind w:right="1128" w:firstLine="482"/>
      </w:pPr>
      <w:r>
        <w:rPr>
          <w:spacing w:val="-15"/>
        </w:rPr>
        <w:t>尤以第 </w:t>
      </w:r>
      <w:r>
        <w:rPr/>
        <w:t>3</w:t>
      </w:r>
      <w:r>
        <w:rPr>
          <w:spacing w:val="-14"/>
        </w:rPr>
        <w:t> 代氟喹诺酮类多见，如环丙沙星、左氧氟沙星、氟罗沙星、诺氟沙星、氧氟沙</w:t>
      </w:r>
      <w:r>
        <w:rPr/>
        <w:t>星、洛美沙星、培氟沙星、依诺沙星，或莫西沙星等。</w:t>
      </w:r>
    </w:p>
    <w:p>
      <w:pPr>
        <w:pStyle w:val="Heading8"/>
        <w:spacing w:before="1"/>
        <w:ind w:left="1119"/>
      </w:pPr>
      <w:r>
        <w:rPr/>
        <w:t>⑶其他</w:t>
      </w:r>
    </w:p>
    <w:p>
      <w:pPr>
        <w:spacing w:after="0"/>
        <w:sectPr>
          <w:pgSz w:w="11910" w:h="16850"/>
          <w:pgMar w:header="906" w:footer="607" w:top="1100" w:bottom="800" w:left="640" w:right="0"/>
        </w:sectPr>
      </w:pPr>
    </w:p>
    <w:p>
      <w:pPr>
        <w:pStyle w:val="BodyText"/>
        <w:spacing w:line="280" w:lineRule="auto" w:before="48"/>
        <w:ind w:right="1027" w:firstLine="482"/>
        <w:jc w:val="both"/>
      </w:pPr>
      <w:r>
        <w:rPr>
          <w:spacing w:val="-7"/>
        </w:rPr>
        <w:t>甲硝唑可引起癫痫发作，与其硝基成分在无氧环境还原成氨基或自由基，影响大脑皮层</w:t>
      </w:r>
      <w:r>
        <w:rPr>
          <w:spacing w:val="-12"/>
        </w:rPr>
        <w:t>一部分神经元，使膜电位活动发生异常，放电频率增高。利奈唑胺有引起癫痫复杂部分性发</w:t>
      </w:r>
      <w:r>
        <w:rPr>
          <w:spacing w:val="-11"/>
        </w:rPr>
        <w:t>作的报道。拉氧头孢、庆大霉素、阿米卡星、两性霉素 </w:t>
      </w:r>
      <w:r>
        <w:rPr/>
        <w:t>B</w:t>
      </w:r>
      <w:r>
        <w:rPr>
          <w:spacing w:val="-5"/>
        </w:rPr>
        <w:t>、万古霉素、替硝唑、呋喃唑酮有</w:t>
      </w:r>
      <w:r>
        <w:rPr>
          <w:spacing w:val="-6"/>
        </w:rPr>
        <w:t>诱发癫痫的报道。大环内脂类引起癫痫发作的报道很少，可能与其很难透过血脑屏障相关。</w:t>
      </w:r>
    </w:p>
    <w:p>
      <w:pPr>
        <w:pStyle w:val="BodyText"/>
        <w:spacing w:line="280" w:lineRule="auto" w:before="1"/>
        <w:ind w:right="1007" w:firstLine="482"/>
      </w:pPr>
      <w:r>
        <w:rPr>
          <w:spacing w:val="-15"/>
        </w:rPr>
        <w:t>此外，抗结核药异烟肼诱发癫痫的报道较多，常发生于有癫痫史、脑外伤史、酒精中毒、</w:t>
      </w:r>
      <w:r>
        <w:rPr>
          <w:spacing w:val="-4"/>
        </w:rPr>
        <w:t>慢代谢型、大剂量使用而未加维生素 </w:t>
      </w:r>
      <w:r>
        <w:rPr/>
        <w:t>B6，或联用单胺氧化酶抑制剂者。异烟肼可拮抗维生</w:t>
      </w:r>
      <w:r>
        <w:rPr>
          <w:spacing w:val="-30"/>
        </w:rPr>
        <w:t>素 </w:t>
      </w:r>
      <w:r>
        <w:rPr>
          <w:spacing w:val="-9"/>
        </w:rPr>
        <w:t>B6（</w:t>
      </w:r>
      <w:r>
        <w:rPr>
          <w:spacing w:val="-15"/>
        </w:rPr>
        <w:t>维生素 </w:t>
      </w:r>
      <w:r>
        <w:rPr/>
        <w:t>B6</w:t>
      </w:r>
      <w:r>
        <w:rPr>
          <w:spacing w:val="-8"/>
        </w:rPr>
        <w:t> 是多种脱羧酶的辅酶</w:t>
      </w:r>
      <w:r>
        <w:rPr>
          <w:spacing w:val="-27"/>
        </w:rPr>
        <w:t>），</w:t>
      </w:r>
      <w:r>
        <w:rPr>
          <w:spacing w:val="-4"/>
        </w:rPr>
        <w:t>可阻碍谷氨酸在中枢神经系统脱羧形成 </w:t>
      </w:r>
      <w:r>
        <w:rPr>
          <w:spacing w:val="-6"/>
        </w:rPr>
        <w:t>GABA</w:t>
      </w:r>
      <w:r>
        <w:rPr>
          <w:spacing w:val="-17"/>
        </w:rPr>
        <w:t>，使</w:t>
      </w:r>
      <w:r>
        <w:rPr/>
        <w:t>GABA</w:t>
      </w:r>
      <w:r>
        <w:rPr>
          <w:spacing w:val="-8"/>
        </w:rPr>
        <w:t> 合成减少，而谷氨酸浓度升高，进而使中枢神经兴奋过度增强，出现头痛、抽搐等， 严重时出现癫痫持续状态。利福平大剂量给药时可引起癫痫发作。</w:t>
      </w:r>
    </w:p>
    <w:p>
      <w:pPr>
        <w:pStyle w:val="Heading8"/>
        <w:numPr>
          <w:ilvl w:val="0"/>
          <w:numId w:val="4"/>
        </w:numPr>
        <w:tabs>
          <w:tab w:pos="1364" w:val="left" w:leader="none"/>
        </w:tabs>
        <w:spacing w:line="240" w:lineRule="auto" w:before="1" w:after="0"/>
        <w:ind w:left="1363" w:right="0" w:hanging="245"/>
        <w:jc w:val="left"/>
      </w:pPr>
      <w:r>
        <w:rPr/>
        <w:t>可能致神经肌肉阻滞或加重重症肌无力的抗菌药</w:t>
      </w:r>
    </w:p>
    <w:p>
      <w:pPr>
        <w:spacing w:before="53"/>
        <w:ind w:left="1119" w:right="0" w:firstLine="0"/>
        <w:jc w:val="left"/>
        <w:rPr>
          <w:b/>
          <w:sz w:val="24"/>
        </w:rPr>
      </w:pPr>
      <w:r>
        <w:rPr>
          <w:b/>
          <w:sz w:val="24"/>
        </w:rPr>
        <w:t>⑴大环内酯类</w:t>
      </w:r>
    </w:p>
    <w:p>
      <w:pPr>
        <w:pStyle w:val="BodyText"/>
        <w:spacing w:line="280" w:lineRule="auto" w:before="53"/>
        <w:ind w:right="1024" w:firstLine="482"/>
      </w:pPr>
      <w:r>
        <w:rPr/>
        <w:t>如红霉素、阿奇霉素、克拉霉素等，有加重重症肌无力的可能，重症肌无力者宜慎用。此外泰利霉素不能用于重症肌无力者。</w:t>
      </w:r>
    </w:p>
    <w:p>
      <w:pPr>
        <w:pStyle w:val="Heading8"/>
        <w:ind w:left="1119"/>
      </w:pPr>
      <w:r>
        <w:rPr/>
        <w:t>⑵四环素类</w:t>
      </w:r>
    </w:p>
    <w:p>
      <w:pPr>
        <w:pStyle w:val="BodyText"/>
        <w:spacing w:before="53"/>
        <w:ind w:left="1119"/>
      </w:pPr>
      <w:r>
        <w:rPr/>
        <w:t>有引起神经肌肉接头阻滞作用的可能，需注意。</w:t>
      </w:r>
    </w:p>
    <w:p>
      <w:pPr>
        <w:pStyle w:val="Heading8"/>
        <w:spacing w:before="52"/>
        <w:ind w:left="1119"/>
      </w:pPr>
      <w:r>
        <w:rPr/>
        <w:t>⑶氨基糖苷类</w:t>
      </w:r>
    </w:p>
    <w:p>
      <w:pPr>
        <w:pStyle w:val="BodyText"/>
        <w:spacing w:line="280" w:lineRule="auto" w:before="53"/>
        <w:ind w:right="1127" w:firstLine="482"/>
        <w:jc w:val="both"/>
      </w:pPr>
      <w:r>
        <w:rPr>
          <w:spacing w:val="-3"/>
        </w:rPr>
        <w:t>可引起经肌肉阻滞，与给药剂量和给药途径有关。可能是与 </w:t>
      </w:r>
      <w:r>
        <w:rPr/>
        <w:t>Ca2+络合或竞争，造成节</w:t>
      </w:r>
      <w:r>
        <w:rPr>
          <w:spacing w:val="-7"/>
        </w:rPr>
        <w:t>前神经末梢乙酰胆碱的释放，并降低突触后膜对乙酰胆碱的敏感性，造成神经肌肉接头处传</w:t>
      </w:r>
      <w:r>
        <w:rPr>
          <w:spacing w:val="-10"/>
        </w:rPr>
        <w:t>递阻断，引起呼吸衰竭，进而循环衰竭致死亡。肾功能减退、血钙过低、重症肌无力者易发生，可用钙剂和新斯的明治疗。</w:t>
      </w:r>
    </w:p>
    <w:p>
      <w:pPr>
        <w:pStyle w:val="Heading8"/>
        <w:spacing w:before="1"/>
        <w:ind w:left="1119"/>
      </w:pPr>
      <w:r>
        <w:rPr/>
        <w:t>⑷林可酰胺类</w:t>
      </w:r>
    </w:p>
    <w:p>
      <w:pPr>
        <w:pStyle w:val="BodyText"/>
        <w:spacing w:before="52"/>
        <w:ind w:left="1119"/>
      </w:pPr>
      <w:r>
        <w:rPr/>
        <w:t>如林可霉素、克林霉素，有神经肌肉阻滞作用，避免与其他神经肌肉阻滞剂合用。</w:t>
      </w:r>
    </w:p>
    <w:p>
      <w:pPr>
        <w:pStyle w:val="Heading8"/>
        <w:spacing w:before="53"/>
        <w:ind w:left="1119"/>
      </w:pPr>
      <w:r>
        <w:rPr/>
        <w:t>⑸氟喹诺酮类</w:t>
      </w:r>
    </w:p>
    <w:p>
      <w:pPr>
        <w:pStyle w:val="BodyText"/>
        <w:spacing w:line="280" w:lineRule="auto" w:before="52"/>
        <w:ind w:right="1130" w:firstLine="482"/>
      </w:pPr>
      <w:r>
        <w:rPr>
          <w:spacing w:val="-6"/>
        </w:rPr>
        <w:t>所有氟喹诺酮类都有神经肌肉阻断活性，并可能加剧重症肌无力者肌无力症状。重症肌</w:t>
      </w:r>
      <w:r>
        <w:rPr/>
        <w:t>无力者使用氟喹诺酮类可能致死亡或需辅助呼吸，重症肌无力者应慎用。</w:t>
      </w:r>
    </w:p>
    <w:p>
      <w:pPr>
        <w:pStyle w:val="Heading8"/>
        <w:spacing w:before="1"/>
        <w:ind w:left="1119"/>
      </w:pPr>
      <w:r>
        <w:rPr/>
        <w:t>⑹多粘菌素类</w:t>
      </w:r>
    </w:p>
    <w:p>
      <w:pPr>
        <w:pStyle w:val="BodyText"/>
        <w:spacing w:line="280" w:lineRule="auto" w:before="52"/>
        <w:ind w:right="1130" w:firstLine="482"/>
        <w:jc w:val="both"/>
      </w:pPr>
      <w:r>
        <w:rPr>
          <w:spacing w:val="-9"/>
        </w:rPr>
        <w:t>可致可逆性神经肌肉阻滞，症状发生迅速且无先兆，其与氨基糖苷类引起的神经肌肉阻</w:t>
      </w:r>
      <w:r>
        <w:rPr>
          <w:spacing w:val="-11"/>
        </w:rPr>
        <w:t>滞不同，为非竞争性阻滞，新斯的明治疗无效，钙剂可能有效，只能进行人工呼吸。另外不</w:t>
      </w:r>
      <w:r>
        <w:rPr/>
        <w:t>宜与肌肉松弛剂、麻醉剂等合用，以防发生神经肌肉阻滞。</w:t>
      </w:r>
    </w:p>
    <w:p>
      <w:pPr>
        <w:pStyle w:val="BodyText"/>
        <w:spacing w:line="367" w:lineRule="exact"/>
        <w:ind w:left="1119"/>
        <w:jc w:val="both"/>
        <w:rPr>
          <w:rFonts w:ascii="微软雅黑" w:eastAsia="微软雅黑" w:hint="eastAsia"/>
          <w:b/>
        </w:rPr>
      </w:pPr>
      <w:r>
        <w:rPr>
          <w:w w:val="110"/>
        </w:rPr>
        <w:t>此外两性霉素 B 慎用于重症肌无力者，其能加强神经肌肉阻断药的作用。</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Heading4"/>
        <w:spacing w:before="116"/>
        <w:ind w:left="637"/>
      </w:pPr>
      <w:bookmarkStart w:name="_TOC_250023" w:id="19"/>
      <w:bookmarkEnd w:id="19"/>
      <w:r>
        <w:rPr/>
        <w:t>【医生谈药】</w:t>
      </w:r>
    </w:p>
    <w:p>
      <w:pPr>
        <w:pStyle w:val="BodyText"/>
        <w:spacing w:before="4"/>
        <w:ind w:left="0"/>
        <w:rPr>
          <w:b/>
        </w:rPr>
      </w:pPr>
    </w:p>
    <w:p>
      <w:pPr>
        <w:pStyle w:val="BodyText"/>
        <w:ind w:left="0" w:right="491"/>
        <w:jc w:val="center"/>
      </w:pPr>
      <w:r>
        <w:rPr/>
        <w:t>CINV 预防策略新力量——</w:t>
      </w:r>
    </w:p>
    <w:p>
      <w:pPr>
        <w:pStyle w:val="Heading4"/>
        <w:spacing w:before="143"/>
        <w:ind w:right="493"/>
        <w:jc w:val="center"/>
      </w:pPr>
      <w:bookmarkStart w:name="_TOC_250022" w:id="20"/>
      <w:bookmarkEnd w:id="20"/>
      <w:r>
        <w:rPr/>
        <w:t>原研帕洛诺司琼注射液（第二代 5-HT3RA）在中国获批上市</w:t>
      </w:r>
    </w:p>
    <w:p>
      <w:pPr>
        <w:pStyle w:val="Heading8"/>
        <w:spacing w:before="145"/>
        <w:ind w:left="7243"/>
        <w:rPr>
          <w:rFonts w:ascii="楷体" w:eastAsia="楷体" w:hint="eastAsia"/>
        </w:rPr>
      </w:pPr>
      <w:r>
        <w:rPr>
          <w:rFonts w:ascii="楷体" w:eastAsia="楷体" w:hint="eastAsia"/>
          <w:color w:val="FF0000"/>
        </w:rPr>
        <w:t>（来源：中国医学论坛报）</w:t>
      </w:r>
    </w:p>
    <w:p>
      <w:pPr>
        <w:pStyle w:val="BodyText"/>
        <w:tabs>
          <w:tab w:pos="3620" w:val="left" w:leader="none"/>
          <w:tab w:pos="8760" w:val="left" w:leader="none"/>
        </w:tabs>
        <w:spacing w:line="288" w:lineRule="auto" w:before="89"/>
        <w:ind w:right="1016" w:firstLine="480"/>
      </w:pPr>
      <w:r>
        <w:rPr>
          <w:spacing w:val="12"/>
        </w:rPr>
        <w:t>化疗所致恶心呕</w:t>
      </w:r>
      <w:r>
        <w:rPr>
          <w:spacing w:val="-8"/>
        </w:rPr>
        <w:t>吐</w:t>
      </w:r>
      <w:r>
        <w:rPr>
          <w:spacing w:val="4"/>
        </w:rPr>
        <w:t>（CINV）</w:t>
      </w:r>
      <w:r>
        <w:rPr>
          <w:spacing w:val="11"/>
        </w:rPr>
        <w:t>是肿瘤患者化疗过程中最常见的不良反应</w:t>
      </w:r>
      <w:r>
        <w:rPr>
          <w:spacing w:val="-8"/>
        </w:rPr>
        <w:t>。</w:t>
      </w:r>
      <w:r>
        <w:rPr>
          <w:spacing w:val="11"/>
        </w:rPr>
        <w:t>若未进行</w:t>
      </w:r>
      <w:r>
        <w:rPr/>
        <w:t>充</w:t>
      </w:r>
      <w:r>
        <w:rPr>
          <w:spacing w:val="11"/>
        </w:rPr>
        <w:t>分预防</w:t>
      </w:r>
      <w:r>
        <w:rPr>
          <w:spacing w:val="-106"/>
        </w:rPr>
        <w:t>，</w:t>
      </w:r>
      <w:r>
        <w:rPr>
          <w:spacing w:val="11"/>
        </w:rPr>
        <w:t>高度致吐风险药</w:t>
      </w:r>
      <w:r>
        <w:rPr>
          <w:spacing w:val="-106"/>
        </w:rPr>
        <w:t>物</w:t>
      </w:r>
      <w:r>
        <w:rPr>
          <w:spacing w:val="17"/>
        </w:rPr>
        <w:t>（</w:t>
      </w:r>
      <w:r>
        <w:rPr>
          <w:spacing w:val="4"/>
        </w:rPr>
        <w:t>H</w:t>
      </w:r>
      <w:r>
        <w:rPr>
          <w:spacing w:val="6"/>
        </w:rPr>
        <w:t>E</w:t>
      </w:r>
      <w:r>
        <w:rPr>
          <w:spacing w:val="5"/>
        </w:rPr>
        <w:t>C</w:t>
      </w:r>
      <w:r>
        <w:rPr>
          <w:spacing w:val="-106"/>
        </w:rPr>
        <w:t>）</w:t>
      </w:r>
      <w:r>
        <w:rPr>
          <w:spacing w:val="11"/>
        </w:rPr>
        <w:t>给患者带来的致吐风险</w:t>
      </w:r>
      <w:r>
        <w:rPr>
          <w:spacing w:val="17"/>
        </w:rPr>
        <w:t>＞</w:t>
      </w:r>
      <w:r>
        <w:rPr>
          <w:spacing w:val="4"/>
        </w:rPr>
        <w:t>9</w:t>
      </w:r>
      <w:r>
        <w:rPr>
          <w:spacing w:val="6"/>
        </w:rPr>
        <w:t>0</w:t>
      </w:r>
      <w:r>
        <w:rPr>
          <w:spacing w:val="5"/>
        </w:rPr>
        <w:t>%</w:t>
      </w:r>
      <w:r>
        <w:rPr>
          <w:spacing w:val="-106"/>
        </w:rPr>
        <w:t>，</w:t>
      </w:r>
      <w:r>
        <w:rPr>
          <w:spacing w:val="11"/>
        </w:rPr>
        <w:t>中度致吐风险药</w:t>
      </w:r>
      <w:r>
        <w:rPr>
          <w:spacing w:val="-106"/>
        </w:rPr>
        <w:t>物</w:t>
      </w:r>
      <w:r>
        <w:rPr>
          <w:spacing w:val="16"/>
        </w:rPr>
        <w:t>（</w:t>
      </w:r>
      <w:r>
        <w:rPr>
          <w:spacing w:val="4"/>
        </w:rPr>
        <w:t>M</w:t>
      </w:r>
      <w:r>
        <w:rPr>
          <w:spacing w:val="6"/>
        </w:rPr>
        <w:t>E</w:t>
      </w:r>
      <w:r>
        <w:rPr>
          <w:spacing w:val="5"/>
        </w:rPr>
        <w:t>C</w:t>
      </w:r>
      <w:r>
        <w:rPr/>
        <w:t>）</w:t>
      </w:r>
      <w:r>
        <w:rPr>
          <w:spacing w:val="12"/>
        </w:rPr>
        <w:t>则</w:t>
      </w:r>
      <w:r>
        <w:rPr/>
        <w:t>为</w:t>
      </w:r>
      <w:r>
        <w:rPr>
          <w:spacing w:val="-44"/>
        </w:rPr>
        <w:t> </w:t>
      </w:r>
      <w:r>
        <w:rPr>
          <w:spacing w:val="5"/>
        </w:rPr>
        <w:t>30%~90%</w:t>
      </w:r>
      <w:r>
        <w:rPr>
          <w:spacing w:val="-24"/>
        </w:rPr>
        <w:t>。</w:t>
      </w:r>
      <w:r>
        <w:rPr>
          <w:spacing w:val="4"/>
        </w:rPr>
        <w:t>CINV</w:t>
      </w:r>
      <w:r>
        <w:rPr>
          <w:spacing w:val="-53"/>
        </w:rPr>
        <w:t> </w:t>
      </w:r>
      <w:r>
        <w:rPr>
          <w:spacing w:val="12"/>
        </w:rPr>
        <w:t>不</w:t>
      </w:r>
      <w:r>
        <w:rPr/>
        <w:t>仅</w:t>
        <w:tab/>
      </w:r>
      <w:r>
        <w:rPr>
          <w:spacing w:val="12"/>
        </w:rPr>
        <w:t>影响患者身体功能和生活质量</w:t>
      </w:r>
      <w:r>
        <w:rPr>
          <w:spacing w:val="-24"/>
        </w:rPr>
        <w:t>，</w:t>
      </w:r>
      <w:r>
        <w:rPr>
          <w:spacing w:val="12"/>
        </w:rPr>
        <w:t>还会增加患者对治疗的恐惧感，严重时不得不终止抗肿瘤治疗。目前，国内外各止吐指南对</w:t>
      </w:r>
      <w:r>
        <w:rPr/>
        <w:t>于</w:t>
      </w:r>
      <w:r>
        <w:rPr>
          <w:spacing w:val="-42"/>
        </w:rPr>
        <w:t> </w:t>
      </w:r>
      <w:r>
        <w:rPr>
          <w:spacing w:val="3"/>
        </w:rPr>
        <w:t>CINV</w:t>
        <w:tab/>
      </w:r>
      <w:r>
        <w:rPr>
          <w:spacing w:val="12"/>
        </w:rPr>
        <w:t>的预防和治</w:t>
      </w:r>
    </w:p>
    <w:p>
      <w:pPr>
        <w:spacing w:after="0" w:line="288" w:lineRule="auto"/>
        <w:sectPr>
          <w:pgSz w:w="11910" w:h="16850"/>
          <w:pgMar w:header="906" w:footer="607" w:top="1100" w:bottom="800" w:left="640" w:right="0"/>
        </w:sectPr>
      </w:pPr>
    </w:p>
    <w:p>
      <w:pPr>
        <w:pStyle w:val="BodyText"/>
        <w:tabs>
          <w:tab w:pos="3971" w:val="left" w:leader="none"/>
          <w:tab w:pos="6801" w:val="left" w:leader="none"/>
        </w:tabs>
        <w:spacing w:line="288" w:lineRule="auto" w:before="57"/>
        <w:ind w:right="1127"/>
      </w:pPr>
      <w:r>
        <w:rPr>
          <w:spacing w:val="12"/>
        </w:rPr>
        <w:t>疗方案都做了详尽的推荐</w:t>
      </w:r>
      <w:r>
        <w:rPr>
          <w:spacing w:val="-27"/>
        </w:rPr>
        <w:t>，</w:t>
      </w:r>
      <w:r>
        <w:rPr>
          <w:spacing w:val="12"/>
        </w:rPr>
        <w:t>但国内外调查显示</w:t>
      </w:r>
      <w:r>
        <w:rPr>
          <w:spacing w:val="-27"/>
        </w:rPr>
        <w:t>，</w:t>
      </w:r>
      <w:r>
        <w:rPr>
          <w:spacing w:val="12"/>
        </w:rPr>
        <w:t>临床实践中对指南的遵循情况仍然不</w:t>
      </w:r>
      <w:r>
        <w:rPr>
          <w:spacing w:val="-4"/>
        </w:rPr>
        <w:t>尽</w:t>
      </w:r>
      <w:r>
        <w:rPr>
          <w:spacing w:val="12"/>
        </w:rPr>
        <w:t>人意，这导致了患者</w:t>
      </w:r>
      <w:r>
        <w:rPr/>
        <w:t>的</w:t>
      </w:r>
      <w:r>
        <w:rPr>
          <w:spacing w:val="-43"/>
        </w:rPr>
        <w:t> </w:t>
      </w:r>
      <w:r>
        <w:rPr>
          <w:spacing w:val="3"/>
        </w:rPr>
        <w:t>CINV</w:t>
        <w:tab/>
      </w:r>
      <w:r>
        <w:rPr>
          <w:spacing w:val="12"/>
        </w:rPr>
        <w:t>控制率不佳以及</w:t>
      </w:r>
      <w:r>
        <w:rPr/>
        <w:t>因</w:t>
      </w:r>
      <w:r>
        <w:rPr>
          <w:spacing w:val="-42"/>
        </w:rPr>
        <w:t> </w:t>
      </w:r>
      <w:r>
        <w:rPr>
          <w:spacing w:val="3"/>
        </w:rPr>
        <w:t>CINV</w:t>
        <w:tab/>
      </w:r>
      <w:r>
        <w:rPr>
          <w:spacing w:val="12"/>
        </w:rPr>
        <w:t>的就诊率增加。</w:t>
      </w:r>
    </w:p>
    <w:p>
      <w:pPr>
        <w:pStyle w:val="BodyText"/>
        <w:tabs>
          <w:tab w:pos="1261" w:val="left" w:leader="none"/>
          <w:tab w:pos="2703" w:val="left" w:leader="none"/>
          <w:tab w:pos="6767" w:val="left" w:leader="none"/>
        </w:tabs>
        <w:spacing w:line="288" w:lineRule="auto" w:before="2"/>
        <w:ind w:right="1014" w:firstLine="480"/>
        <w:rPr>
          <w:rFonts w:ascii="微软雅黑" w:eastAsia="微软雅黑" w:hint="eastAsia"/>
          <w:sz w:val="15"/>
        </w:rPr>
      </w:pPr>
      <w:r>
        <w:rPr>
          <w:spacing w:val="4"/>
        </w:rPr>
        <w:t>2018</w:t>
      </w:r>
      <w:r>
        <w:rPr>
          <w:spacing w:val="-53"/>
        </w:rPr>
        <w:t> </w:t>
      </w:r>
      <w:r>
        <w:rPr>
          <w:spacing w:val="12"/>
        </w:rPr>
        <w:t>年一项欧洲肿瘤科医生调研表明</w:t>
      </w:r>
      <w:r>
        <w:rPr>
          <w:spacing w:val="-80"/>
        </w:rPr>
        <w:t>，</w:t>
      </w:r>
      <w:r>
        <w:rPr>
          <w:spacing w:val="12"/>
        </w:rPr>
        <w:t>延迟</w:t>
      </w:r>
      <w:r>
        <w:rPr>
          <w:spacing w:val="-80"/>
        </w:rPr>
        <w:t>期</w:t>
      </w:r>
      <w:r>
        <w:rPr>
          <w:spacing w:val="12"/>
        </w:rPr>
        <w:t>（给予抗肿瘤</w:t>
      </w:r>
      <w:r>
        <w:rPr>
          <w:spacing w:val="14"/>
        </w:rPr>
        <w:t>药</w:t>
      </w:r>
      <w:r>
        <w:rPr/>
        <w:t>物</w:t>
      </w:r>
      <w:r>
        <w:rPr>
          <w:spacing w:val="-43"/>
        </w:rPr>
        <w:t> </w:t>
      </w:r>
      <w:r>
        <w:rPr/>
        <w:t>24</w:t>
      </w:r>
      <w:r>
        <w:rPr>
          <w:spacing w:val="-50"/>
        </w:rPr>
        <w:t> </w:t>
      </w:r>
      <w:r>
        <w:rPr>
          <w:spacing w:val="12"/>
        </w:rPr>
        <w:t>小时</w:t>
      </w:r>
      <w:r>
        <w:rPr>
          <w:spacing w:val="4"/>
        </w:rPr>
        <w:t>~120</w:t>
      </w:r>
      <w:r>
        <w:rPr>
          <w:spacing w:val="-52"/>
        </w:rPr>
        <w:t> </w:t>
      </w:r>
      <w:r>
        <w:rPr>
          <w:spacing w:val="11"/>
        </w:rPr>
        <w:t>小</w:t>
      </w:r>
      <w:r>
        <w:rPr>
          <w:spacing w:val="14"/>
        </w:rPr>
        <w:t>时</w:t>
      </w:r>
      <w:r>
        <w:rPr/>
        <w:t>） </w:t>
      </w:r>
      <w:r>
        <w:rPr>
          <w:spacing w:val="12"/>
        </w:rPr>
        <w:t>漏</w:t>
      </w:r>
      <w:r>
        <w:rPr>
          <w:spacing w:val="14"/>
        </w:rPr>
        <w:t>服</w:t>
      </w:r>
      <w:r>
        <w:rPr>
          <w:spacing w:val="4"/>
        </w:rPr>
        <w:t>/</w:t>
      </w:r>
      <w:r>
        <w:rPr>
          <w:spacing w:val="12"/>
        </w:rPr>
        <w:t>延迟服用止吐药物是止吐治疗失败的重要因素。帕洛诺司琼作为第二</w:t>
      </w:r>
      <w:r>
        <w:rPr/>
        <w:t>代</w:t>
      </w:r>
      <w:r>
        <w:rPr>
          <w:spacing w:val="-42"/>
        </w:rPr>
        <w:t> </w:t>
      </w:r>
      <w:r>
        <w:rPr>
          <w:spacing w:val="4"/>
        </w:rPr>
        <w:t>5-HT3</w:t>
      </w:r>
      <w:r>
        <w:rPr>
          <w:spacing w:val="-53"/>
        </w:rPr>
        <w:t> </w:t>
      </w:r>
      <w:r>
        <w:rPr/>
        <w:t>受</w:t>
      </w:r>
      <w:r>
        <w:rPr>
          <w:spacing w:val="11"/>
          <w:position w:val="2"/>
        </w:rPr>
        <w:t>体拮抗</w:t>
      </w:r>
      <w:r>
        <w:rPr>
          <w:spacing w:val="-24"/>
          <w:position w:val="2"/>
        </w:rPr>
        <w:t>剂</w:t>
      </w:r>
      <w:r>
        <w:rPr>
          <w:position w:val="2"/>
        </w:rPr>
        <w:t>（5-HT</w:t>
      </w:r>
      <w:r>
        <w:rPr>
          <w:sz w:val="12"/>
        </w:rPr>
        <w:t>3</w:t>
      </w:r>
      <w:r>
        <w:rPr>
          <w:position w:val="2"/>
        </w:rPr>
        <w:t>RA），</w:t>
      </w:r>
      <w:r>
        <w:rPr>
          <w:spacing w:val="11"/>
          <w:position w:val="2"/>
        </w:rPr>
        <w:t>相较第</w:t>
      </w:r>
      <w:r>
        <w:rPr>
          <w:spacing w:val="14"/>
          <w:position w:val="2"/>
        </w:rPr>
        <w:t>一</w:t>
      </w:r>
      <w:r>
        <w:rPr>
          <w:position w:val="2"/>
        </w:rPr>
        <w:t>代</w:t>
      </w:r>
      <w:r>
        <w:rPr>
          <w:spacing w:val="-44"/>
          <w:position w:val="2"/>
        </w:rPr>
        <w:t> </w:t>
      </w:r>
      <w:r>
        <w:rPr>
          <w:spacing w:val="4"/>
          <w:position w:val="2"/>
        </w:rPr>
        <w:t>5-HT</w:t>
      </w:r>
      <w:r>
        <w:rPr>
          <w:spacing w:val="4"/>
          <w:sz w:val="12"/>
        </w:rPr>
        <w:t>3</w:t>
      </w:r>
      <w:r>
        <w:rPr>
          <w:spacing w:val="4"/>
          <w:position w:val="2"/>
        </w:rPr>
        <w:t>RA</w:t>
      </w:r>
      <w:r>
        <w:rPr>
          <w:spacing w:val="-51"/>
          <w:position w:val="2"/>
        </w:rPr>
        <w:t> </w:t>
      </w:r>
      <w:r>
        <w:rPr>
          <w:spacing w:val="12"/>
          <w:position w:val="2"/>
        </w:rPr>
        <w:t>对心</w:t>
      </w:r>
      <w:r>
        <w:rPr>
          <w:position w:val="2"/>
        </w:rPr>
        <w:t>脏</w:t>
      </w:r>
      <w:r>
        <w:rPr>
          <w:spacing w:val="-41"/>
          <w:position w:val="2"/>
        </w:rPr>
        <w:t> </w:t>
      </w:r>
      <w:r>
        <w:rPr>
          <w:spacing w:val="3"/>
          <w:position w:val="2"/>
        </w:rPr>
        <w:t>QTc</w:t>
        <w:tab/>
      </w:r>
      <w:r>
        <w:rPr>
          <w:spacing w:val="11"/>
          <w:position w:val="2"/>
        </w:rPr>
        <w:t>间期影响更小</w:t>
      </w:r>
      <w:r>
        <w:rPr>
          <w:spacing w:val="-24"/>
          <w:position w:val="2"/>
        </w:rPr>
        <w:t>、</w:t>
      </w:r>
      <w:r>
        <w:rPr>
          <w:spacing w:val="11"/>
          <w:position w:val="2"/>
        </w:rPr>
        <w:t>给药次数更</w:t>
      </w:r>
      <w:r>
        <w:rPr>
          <w:spacing w:val="14"/>
          <w:position w:val="2"/>
        </w:rPr>
        <w:t>少</w:t>
      </w:r>
      <w:r>
        <w:rPr>
          <w:position w:val="2"/>
        </w:rPr>
        <w:t>， </w:t>
      </w:r>
      <w:r>
        <w:rPr>
          <w:spacing w:val="12"/>
        </w:rPr>
        <w:t>为改善临床实践中这一突出问题提供了新力量。在中国临床肿瘤学会</w:t>
      </w:r>
      <w:r>
        <w:rPr>
          <w:spacing w:val="6"/>
        </w:rPr>
        <w:t>（CSCO）2019</w:t>
      </w:r>
      <w:r>
        <w:rPr>
          <w:spacing w:val="-52"/>
        </w:rPr>
        <w:t> </w:t>
      </w:r>
      <w:r>
        <w:rPr/>
        <w:t>年</w:t>
      </w:r>
      <w:r>
        <w:rPr>
          <w:spacing w:val="11"/>
        </w:rPr>
        <w:t>发布</w:t>
      </w:r>
      <w:r>
        <w:rPr>
          <w:spacing w:val="-15"/>
        </w:rPr>
        <w:t>的</w:t>
      </w:r>
      <w:r>
        <w:rPr>
          <w:spacing w:val="12"/>
        </w:rPr>
        <w:t>《抗肿瘤治疗相关恶心呕吐预防和治疗指南</w:t>
      </w:r>
      <w:r>
        <w:rPr>
          <w:spacing w:val="-15"/>
        </w:rPr>
        <w:t>》</w:t>
      </w:r>
      <w:r>
        <w:rPr>
          <w:spacing w:val="12"/>
        </w:rPr>
        <w:t>中同样指出</w:t>
      </w:r>
      <w:r>
        <w:rPr>
          <w:spacing w:val="-15"/>
        </w:rPr>
        <w:t>，</w:t>
      </w:r>
      <w:r>
        <w:rPr>
          <w:spacing w:val="12"/>
        </w:rPr>
        <w:t>当采用单日静脉注射</w:t>
      </w:r>
      <w:r>
        <w:rPr>
          <w:spacing w:val="4"/>
        </w:rPr>
        <w:t>MEC</w:t>
        <w:tab/>
      </w:r>
      <w:r>
        <w:rPr/>
        <w:t>及</w:t>
      </w:r>
      <w:r>
        <w:rPr>
          <w:spacing w:val="-44"/>
        </w:rPr>
        <w:t> </w:t>
      </w:r>
      <w:r>
        <w:rPr>
          <w:spacing w:val="4"/>
        </w:rPr>
        <w:t>HEC/MEC</w:t>
        <w:tab/>
      </w:r>
      <w:r>
        <w:rPr>
          <w:spacing w:val="12"/>
        </w:rPr>
        <w:t>多天方案进行抗肿瘤治疗时，若预防止吐方案中不</w:t>
      </w:r>
      <w:r>
        <w:rPr/>
        <w:t>含</w:t>
      </w:r>
      <w:r>
        <w:rPr>
          <w:spacing w:val="-42"/>
        </w:rPr>
        <w:t> </w:t>
      </w:r>
      <w:r>
        <w:rPr>
          <w:spacing w:val="3"/>
        </w:rPr>
        <w:t>NK1</w:t>
      </w:r>
      <w:r>
        <w:rPr>
          <w:spacing w:val="-52"/>
        </w:rPr>
        <w:t> </w:t>
      </w:r>
      <w:r>
        <w:rPr>
          <w:spacing w:val="12"/>
        </w:rPr>
        <w:t>受体拮抗</w:t>
      </w:r>
      <w:r>
        <w:rPr>
          <w:spacing w:val="12"/>
          <w:position w:val="2"/>
        </w:rPr>
        <w:t>剂</w:t>
      </w:r>
      <w:r>
        <w:rPr>
          <w:spacing w:val="8"/>
          <w:position w:val="2"/>
        </w:rPr>
        <w:t>（NK</w:t>
      </w:r>
      <w:r>
        <w:rPr>
          <w:spacing w:val="8"/>
          <w:sz w:val="12"/>
        </w:rPr>
        <w:t>1</w:t>
      </w:r>
      <w:r>
        <w:rPr>
          <w:spacing w:val="8"/>
          <w:position w:val="2"/>
        </w:rPr>
        <w:t>RA），</w:t>
      </w:r>
      <w:r>
        <w:rPr>
          <w:spacing w:val="12"/>
          <w:position w:val="2"/>
        </w:rPr>
        <w:t>帕洛诺司琼为优先选择</w:t>
      </w:r>
      <w:r>
        <w:rPr>
          <w:position w:val="2"/>
        </w:rPr>
        <w:t>的</w:t>
      </w:r>
      <w:r>
        <w:rPr>
          <w:spacing w:val="-43"/>
          <w:position w:val="2"/>
        </w:rPr>
        <w:t> </w:t>
      </w:r>
      <w:r>
        <w:rPr>
          <w:spacing w:val="5"/>
          <w:position w:val="2"/>
        </w:rPr>
        <w:t>5-HT</w:t>
      </w:r>
      <w:r>
        <w:rPr>
          <w:spacing w:val="5"/>
          <w:sz w:val="12"/>
        </w:rPr>
        <w:t>3</w:t>
      </w:r>
      <w:r>
        <w:rPr>
          <w:spacing w:val="5"/>
          <w:position w:val="2"/>
        </w:rPr>
        <w:t>RA</w:t>
      </w:r>
      <w:r>
        <w:rPr>
          <w:rFonts w:ascii="微软雅黑" w:eastAsia="微软雅黑" w:hint="eastAsia"/>
          <w:position w:val="2"/>
          <w:sz w:val="15"/>
        </w:rPr>
        <w:t>。</w:t>
      </w:r>
    </w:p>
    <w:p>
      <w:pPr>
        <w:pStyle w:val="Heading8"/>
        <w:numPr>
          <w:ilvl w:val="0"/>
          <w:numId w:val="5"/>
        </w:numPr>
        <w:tabs>
          <w:tab w:pos="1372" w:val="left" w:leader="none"/>
        </w:tabs>
        <w:spacing w:line="303" w:lineRule="exact" w:before="0" w:after="0"/>
        <w:ind w:left="1371" w:right="0" w:hanging="253"/>
        <w:jc w:val="both"/>
        <w:rPr>
          <w:color w:val="333333"/>
          <w:sz w:val="22"/>
        </w:rPr>
      </w:pPr>
      <w:r>
        <w:rPr>
          <w:spacing w:val="-6"/>
          <w:position w:val="2"/>
        </w:rPr>
        <w:t>第二代 </w:t>
      </w:r>
      <w:r>
        <w:rPr>
          <w:spacing w:val="6"/>
          <w:position w:val="2"/>
        </w:rPr>
        <w:t>5-HT</w:t>
      </w:r>
      <w:r>
        <w:rPr>
          <w:spacing w:val="6"/>
          <w:sz w:val="12"/>
        </w:rPr>
        <w:t>3</w:t>
      </w:r>
      <w:r>
        <w:rPr>
          <w:spacing w:val="6"/>
          <w:position w:val="2"/>
        </w:rPr>
        <w:t>RA</w:t>
      </w:r>
      <w:r>
        <w:rPr>
          <w:spacing w:val="-8"/>
          <w:position w:val="2"/>
        </w:rPr>
        <w:t> 预防延迟性 </w:t>
      </w:r>
      <w:r>
        <w:rPr>
          <w:spacing w:val="5"/>
          <w:position w:val="2"/>
        </w:rPr>
        <w:t>CINV</w:t>
      </w:r>
      <w:r>
        <w:rPr>
          <w:spacing w:val="-5"/>
          <w:position w:val="2"/>
        </w:rPr>
        <w:t> 疗效更优</w:t>
      </w:r>
    </w:p>
    <w:p>
      <w:pPr>
        <w:pStyle w:val="BodyText"/>
        <w:spacing w:line="290" w:lineRule="auto" w:before="62"/>
        <w:ind w:right="1128" w:firstLine="482"/>
        <w:jc w:val="both"/>
      </w:pPr>
      <w:r>
        <w:rPr>
          <w:color w:val="333333"/>
          <w:position w:val="2"/>
        </w:rPr>
        <w:t>第一代 5-HT</w:t>
      </w:r>
      <w:r>
        <w:rPr>
          <w:color w:val="333333"/>
          <w:sz w:val="12"/>
        </w:rPr>
        <w:t>3</w:t>
      </w:r>
      <w:r>
        <w:rPr>
          <w:color w:val="333333"/>
          <w:position w:val="2"/>
        </w:rPr>
        <w:t>RA 的分子结构模拟 5-羟色胺吲哚环，因此，仅能与 5-羟色胺竞争性结合 5-HT3 受体，但这种竞争性结合会被 5-羟色胺逆转；且第一代 5-HT</w:t>
      </w:r>
      <w:r>
        <w:rPr>
          <w:color w:val="333333"/>
          <w:sz w:val="12"/>
        </w:rPr>
        <w:t>3</w:t>
      </w:r>
      <w:r>
        <w:rPr>
          <w:color w:val="333333"/>
          <w:position w:val="2"/>
        </w:rPr>
        <w:t>RA 半衰期短，代</w:t>
      </w:r>
      <w:r>
        <w:rPr>
          <w:color w:val="333333"/>
        </w:rPr>
        <w:t>表药物昂丹司琼半衰期仅 4 小时、格拉司琼半衰期仅 9 小时，无法覆盖延迟期。</w:t>
      </w:r>
    </w:p>
    <w:p>
      <w:pPr>
        <w:pStyle w:val="BodyText"/>
        <w:spacing w:line="288" w:lineRule="auto"/>
        <w:ind w:right="1129" w:firstLine="482"/>
        <w:jc w:val="both"/>
      </w:pPr>
      <w:r>
        <w:rPr>
          <w:color w:val="333333"/>
          <w:position w:val="2"/>
        </w:rPr>
        <w:t>而帕洛诺司琼作为第二代 5-HT</w:t>
      </w:r>
      <w:r>
        <w:rPr>
          <w:color w:val="333333"/>
          <w:sz w:val="12"/>
        </w:rPr>
        <w:t>3</w:t>
      </w:r>
      <w:r>
        <w:rPr>
          <w:color w:val="333333"/>
          <w:position w:val="2"/>
        </w:rPr>
        <w:t>RA，在分子结构上与第一代有所不同，其化学结构突破了第一代 5-HT</w:t>
      </w:r>
      <w:r>
        <w:rPr>
          <w:color w:val="333333"/>
          <w:sz w:val="12"/>
        </w:rPr>
        <w:t>3</w:t>
      </w:r>
      <w:r>
        <w:rPr>
          <w:color w:val="333333"/>
          <w:position w:val="2"/>
        </w:rPr>
        <w:t>RA 的传统吲哚环的结构，采用了非吲哚类的三环骨架，从而增强了</w:t>
      </w:r>
      <w:r>
        <w:rPr>
          <w:color w:val="333333"/>
        </w:rPr>
        <w:t>分子刚性，并提高了结合的特异性。</w:t>
      </w:r>
    </w:p>
    <w:p>
      <w:pPr>
        <w:pStyle w:val="BodyText"/>
        <w:spacing w:line="290" w:lineRule="auto"/>
        <w:ind w:right="1196" w:firstLine="482"/>
        <w:jc w:val="both"/>
      </w:pPr>
      <w:r>
        <w:rPr>
          <w:color w:val="333333"/>
        </w:rPr>
        <w:t>体外及动物实验提示，帕洛诺司琼对 5-HT3 受体的亲和力是第一代的 30~100 倍， 且半衰期也有显著延长（约为 40 小时）。</w:t>
      </w:r>
    </w:p>
    <w:p>
      <w:pPr>
        <w:pStyle w:val="BodyText"/>
        <w:spacing w:line="288" w:lineRule="auto"/>
        <w:ind w:right="1130" w:firstLine="482"/>
        <w:jc w:val="both"/>
      </w:pPr>
      <w:r>
        <w:rPr>
          <w:color w:val="333333"/>
          <w:position w:val="2"/>
        </w:rPr>
        <w:t>此外，帕洛诺司琼还具有第一代 5-HT</w:t>
      </w:r>
      <w:r>
        <w:rPr>
          <w:color w:val="333333"/>
          <w:sz w:val="12"/>
        </w:rPr>
        <w:t>3</w:t>
      </w:r>
      <w:r>
        <w:rPr>
          <w:color w:val="333333"/>
          <w:position w:val="2"/>
        </w:rPr>
        <w:t>RA 所不具备的药理学特性，如正协同作用、</w:t>
      </w:r>
      <w:r>
        <w:rPr>
          <w:color w:val="333333"/>
        </w:rPr>
        <w:t>受体内化作用及抑制通路间的交互作用。帕洛诺司琼这些独特的药理学特征为其在有效性和方便性上的优势提供了药理学方面的依据。</w:t>
      </w:r>
    </w:p>
    <w:p>
      <w:pPr>
        <w:pStyle w:val="Heading8"/>
        <w:numPr>
          <w:ilvl w:val="0"/>
          <w:numId w:val="5"/>
        </w:numPr>
        <w:tabs>
          <w:tab w:pos="1372" w:val="left" w:leader="none"/>
        </w:tabs>
        <w:spacing w:line="240" w:lineRule="auto" w:before="0" w:after="0"/>
        <w:ind w:left="1371" w:right="0" w:hanging="253"/>
        <w:jc w:val="both"/>
        <w:rPr>
          <w:color w:val="333333"/>
          <w:sz w:val="22"/>
        </w:rPr>
      </w:pPr>
      <w:r>
        <w:rPr>
          <w:color w:val="333333"/>
          <w:spacing w:val="-15"/>
        </w:rPr>
        <w:t>第二代 </w:t>
      </w:r>
      <w:r>
        <w:rPr>
          <w:color w:val="333333"/>
        </w:rPr>
        <w:t>5-HT3RA</w:t>
      </w:r>
      <w:r>
        <w:rPr>
          <w:color w:val="333333"/>
          <w:spacing w:val="-21"/>
        </w:rPr>
        <w:t> 全程预防 </w:t>
      </w:r>
      <w:r>
        <w:rPr>
          <w:color w:val="333333"/>
        </w:rPr>
        <w:t>CINV，临床证据充分</w:t>
      </w:r>
    </w:p>
    <w:p>
      <w:pPr>
        <w:pStyle w:val="BodyText"/>
        <w:tabs>
          <w:tab w:pos="1513" w:val="left" w:leader="none"/>
          <w:tab w:pos="3006" w:val="left" w:leader="none"/>
        </w:tabs>
        <w:spacing w:line="288" w:lineRule="auto" w:before="59"/>
        <w:ind w:right="1126" w:firstLine="482"/>
      </w:pPr>
      <w:r>
        <w:rPr>
          <w:spacing w:val="12"/>
          <w:position w:val="2"/>
        </w:rPr>
        <w:t>第二</w:t>
      </w:r>
      <w:r>
        <w:rPr>
          <w:position w:val="2"/>
        </w:rPr>
        <w:t>代</w:t>
      </w:r>
      <w:r>
        <w:rPr>
          <w:spacing w:val="-43"/>
          <w:position w:val="2"/>
        </w:rPr>
        <w:t> </w:t>
      </w:r>
      <w:r>
        <w:rPr>
          <w:spacing w:val="4"/>
          <w:position w:val="2"/>
        </w:rPr>
        <w:t>5-HT</w:t>
      </w:r>
      <w:r>
        <w:rPr>
          <w:spacing w:val="4"/>
          <w:sz w:val="12"/>
        </w:rPr>
        <w:t>3</w:t>
      </w:r>
      <w:r>
        <w:rPr>
          <w:spacing w:val="4"/>
          <w:position w:val="2"/>
        </w:rPr>
        <w:t>RA</w:t>
        <w:tab/>
      </w:r>
      <w:r>
        <w:rPr>
          <w:spacing w:val="12"/>
          <w:position w:val="2"/>
        </w:rPr>
        <w:t>帕洛诺司琼特有的药理学特性使其在疗效及安全性方面均优于第一</w:t>
      </w:r>
      <w:r>
        <w:rPr>
          <w:position w:val="2"/>
        </w:rPr>
        <w:t>代</w:t>
      </w:r>
      <w:r>
        <w:rPr>
          <w:spacing w:val="-43"/>
          <w:position w:val="2"/>
        </w:rPr>
        <w:t> </w:t>
      </w:r>
      <w:r>
        <w:rPr>
          <w:spacing w:val="4"/>
          <w:position w:val="2"/>
        </w:rPr>
        <w:t>5-HT</w:t>
      </w:r>
      <w:r>
        <w:rPr>
          <w:spacing w:val="4"/>
          <w:sz w:val="12"/>
        </w:rPr>
        <w:t>3</w:t>
      </w:r>
      <w:r>
        <w:rPr>
          <w:spacing w:val="4"/>
          <w:position w:val="2"/>
        </w:rPr>
        <w:t>RA，</w:t>
      </w:r>
      <w:r>
        <w:rPr>
          <w:spacing w:val="11"/>
          <w:position w:val="2"/>
        </w:rPr>
        <w:t>已有多项临床研究证明了其优越性</w:t>
      </w:r>
      <w:r>
        <w:rPr>
          <w:position w:val="2"/>
        </w:rPr>
        <w:t>。</w:t>
      </w:r>
      <w:r>
        <w:rPr>
          <w:spacing w:val="11"/>
          <w:position w:val="2"/>
        </w:rPr>
        <w:t>纳</w:t>
      </w:r>
      <w:r>
        <w:rPr>
          <w:position w:val="2"/>
        </w:rPr>
        <w:t>入</w:t>
      </w:r>
      <w:r>
        <w:rPr>
          <w:spacing w:val="-38"/>
          <w:position w:val="2"/>
        </w:rPr>
        <w:t> </w:t>
      </w:r>
      <w:r>
        <w:rPr>
          <w:position w:val="2"/>
        </w:rPr>
        <w:t>4</w:t>
      </w:r>
      <w:r>
        <w:rPr>
          <w:spacing w:val="18"/>
          <w:position w:val="2"/>
        </w:rPr>
        <w:t> </w:t>
      </w:r>
      <w:r>
        <w:rPr>
          <w:spacing w:val="12"/>
          <w:position w:val="2"/>
        </w:rPr>
        <w:t>项Ⅲ期应用原研帕洛诺司琼</w:t>
      </w:r>
      <w:r>
        <w:rPr>
          <w:spacing w:val="12"/>
        </w:rPr>
        <w:t>的随机、双盲临床研究的一项荟萃分析表明，在延迟期及全程（给予抗肿瘤药物 </w:t>
      </w:r>
      <w:r>
        <w:rPr>
          <w:spacing w:val="4"/>
          <w:position w:val="2"/>
        </w:rPr>
        <w:t>0~120</w:t>
        <w:tab/>
      </w:r>
      <w:r>
        <w:rPr>
          <w:spacing w:val="11"/>
          <w:position w:val="2"/>
        </w:rPr>
        <w:t>小时</w:t>
      </w:r>
      <w:r>
        <w:rPr>
          <w:spacing w:val="-79"/>
          <w:position w:val="2"/>
        </w:rPr>
        <w:t>），</w:t>
      </w:r>
      <w:r>
        <w:rPr>
          <w:spacing w:val="11"/>
          <w:position w:val="2"/>
        </w:rPr>
        <w:t>帕洛诺司琼预</w:t>
      </w:r>
      <w:r>
        <w:rPr>
          <w:position w:val="2"/>
        </w:rPr>
        <w:t>防</w:t>
      </w:r>
      <w:r>
        <w:rPr>
          <w:spacing w:val="-40"/>
          <w:position w:val="2"/>
        </w:rPr>
        <w:t> </w:t>
      </w:r>
      <w:r>
        <w:rPr>
          <w:spacing w:val="3"/>
          <w:position w:val="2"/>
        </w:rPr>
        <w:t>CINV</w:t>
      </w:r>
      <w:r>
        <w:rPr>
          <w:spacing w:val="21"/>
          <w:position w:val="2"/>
        </w:rPr>
        <w:t> </w:t>
      </w:r>
      <w:r>
        <w:rPr>
          <w:spacing w:val="11"/>
          <w:position w:val="2"/>
        </w:rPr>
        <w:t>的完全缓解率</w:t>
      </w:r>
      <w:r>
        <w:rPr>
          <w:spacing w:val="-80"/>
          <w:position w:val="2"/>
        </w:rPr>
        <w:t>、</w:t>
      </w:r>
      <w:r>
        <w:rPr>
          <w:spacing w:val="11"/>
          <w:position w:val="2"/>
        </w:rPr>
        <w:t>完全控制率均优于第一</w:t>
      </w:r>
      <w:r>
        <w:rPr>
          <w:position w:val="2"/>
        </w:rPr>
        <w:t>代</w:t>
      </w:r>
      <w:r>
        <w:rPr>
          <w:spacing w:val="-37"/>
          <w:position w:val="2"/>
        </w:rPr>
        <w:t> </w:t>
      </w:r>
      <w:r>
        <w:rPr>
          <w:spacing w:val="5"/>
          <w:position w:val="2"/>
        </w:rPr>
        <w:t>5-HT</w:t>
      </w:r>
      <w:r>
        <w:rPr>
          <w:spacing w:val="5"/>
          <w:sz w:val="12"/>
        </w:rPr>
        <w:t>3</w:t>
      </w:r>
      <w:r>
        <w:rPr>
          <w:spacing w:val="5"/>
          <w:position w:val="2"/>
        </w:rPr>
        <w:t>RA</w:t>
      </w:r>
    </w:p>
    <w:p>
      <w:pPr>
        <w:pStyle w:val="BodyText"/>
        <w:spacing w:before="6"/>
      </w:pPr>
      <w:r>
        <w:rPr/>
        <w:t>（图）。</w:t>
      </w:r>
    </w:p>
    <w:p>
      <w:pPr>
        <w:pStyle w:val="BodyText"/>
        <w:ind w:left="0"/>
        <w:rPr>
          <w:sz w:val="17"/>
        </w:rPr>
      </w:pPr>
      <w:r>
        <w:rPr/>
        <w:drawing>
          <wp:anchor distT="0" distB="0" distL="0" distR="0" allowOverlap="1" layoutInCell="1" locked="0" behindDoc="0" simplePos="0" relativeHeight="3">
            <wp:simplePos x="0" y="0"/>
            <wp:positionH relativeFrom="page">
              <wp:posOffset>917575</wp:posOffset>
            </wp:positionH>
            <wp:positionV relativeFrom="paragraph">
              <wp:posOffset>163401</wp:posOffset>
            </wp:positionV>
            <wp:extent cx="5528363" cy="2728341"/>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17" cstate="print"/>
                    <a:stretch>
                      <a:fillRect/>
                    </a:stretch>
                  </pic:blipFill>
                  <pic:spPr>
                    <a:xfrm>
                      <a:off x="0" y="0"/>
                      <a:ext cx="5528363" cy="2728341"/>
                    </a:xfrm>
                    <a:prstGeom prst="rect">
                      <a:avLst/>
                    </a:prstGeom>
                  </pic:spPr>
                </pic:pic>
              </a:graphicData>
            </a:graphic>
          </wp:anchor>
        </w:drawing>
      </w:r>
    </w:p>
    <w:p>
      <w:pPr>
        <w:spacing w:after="0"/>
        <w:rPr>
          <w:sz w:val="17"/>
        </w:rPr>
        <w:sectPr>
          <w:pgSz w:w="11910" w:h="16850"/>
          <w:pgMar w:header="906" w:footer="607" w:top="1100" w:bottom="800" w:left="640" w:right="0"/>
        </w:sectPr>
      </w:pPr>
    </w:p>
    <w:p>
      <w:pPr>
        <w:pStyle w:val="BodyText"/>
        <w:spacing w:line="288" w:lineRule="auto" w:before="57"/>
        <w:ind w:right="1200" w:firstLine="480"/>
      </w:pPr>
      <w:r>
        <w:rPr/>
        <w:t>在患者呕吐次数方面，帕洛诺司琼在急性期（给予抗肿瘤药物 24 小时内）、延迟</w:t>
      </w:r>
      <w:r>
        <w:rPr>
          <w:position w:val="2"/>
        </w:rPr>
        <w:t>期和全程也均优于第一代 5-HT</w:t>
      </w:r>
      <w:r>
        <w:rPr>
          <w:sz w:val="12"/>
        </w:rPr>
        <w:t>3</w:t>
      </w:r>
      <w:r>
        <w:rPr>
          <w:position w:val="2"/>
        </w:rPr>
        <w:t>RA。</w:t>
      </w:r>
    </w:p>
    <w:p>
      <w:pPr>
        <w:pStyle w:val="BodyText"/>
        <w:spacing w:before="2"/>
        <w:ind w:left="1117"/>
      </w:pPr>
      <w:r>
        <w:rPr>
          <w:spacing w:val="2"/>
        </w:rPr>
        <w:t>另外一项纳入 </w:t>
      </w:r>
      <w:r>
        <w:rPr>
          <w:spacing w:val="3"/>
        </w:rPr>
        <w:t>16 项随机对照临床研究的荟萃分析得到了相似的结论。研究共纳入</w:t>
      </w:r>
    </w:p>
    <w:p>
      <w:pPr>
        <w:pStyle w:val="BodyText"/>
        <w:spacing w:line="290" w:lineRule="auto" w:before="61"/>
        <w:ind w:right="1172"/>
      </w:pPr>
      <w:r>
        <w:rPr>
          <w:spacing w:val="4"/>
          <w:position w:val="2"/>
        </w:rPr>
        <w:t>2896</w:t>
      </w:r>
      <w:r>
        <w:rPr>
          <w:spacing w:val="-2"/>
          <w:position w:val="2"/>
        </w:rPr>
        <w:t> 例使用帕洛诺司琼的患者及 </w:t>
      </w:r>
      <w:r>
        <w:rPr>
          <w:spacing w:val="4"/>
          <w:position w:val="2"/>
        </w:rPr>
        <w:t>3187</w:t>
      </w:r>
      <w:r>
        <w:rPr>
          <w:spacing w:val="-6"/>
          <w:position w:val="2"/>
        </w:rPr>
        <w:t> 例使用第一代 </w:t>
      </w:r>
      <w:r>
        <w:rPr>
          <w:spacing w:val="4"/>
          <w:position w:val="2"/>
        </w:rPr>
        <w:t>5-HT</w:t>
      </w:r>
      <w:r>
        <w:rPr>
          <w:spacing w:val="4"/>
          <w:sz w:val="12"/>
        </w:rPr>
        <w:t>3</w:t>
      </w:r>
      <w:r>
        <w:rPr>
          <w:spacing w:val="4"/>
          <w:position w:val="2"/>
        </w:rPr>
        <w:t>RA</w:t>
      </w:r>
      <w:r>
        <w:rPr>
          <w:spacing w:val="3"/>
          <w:position w:val="2"/>
        </w:rPr>
        <w:t> 的患者，结果显示，在急</w:t>
      </w:r>
      <w:r>
        <w:rPr>
          <w:spacing w:val="-3"/>
        </w:rPr>
        <w:t>性期、延迟期及全程的 </w:t>
      </w:r>
      <w:r>
        <w:rPr>
          <w:spacing w:val="4"/>
        </w:rPr>
        <w:t>CINV</w:t>
      </w:r>
      <w:r>
        <w:rPr>
          <w:spacing w:val="3"/>
        </w:rPr>
        <w:t> 完全缓解率及完全控制率方面，帕洛诺司琼组较第一代</w:t>
      </w:r>
      <w:r>
        <w:rPr>
          <w:spacing w:val="5"/>
          <w:position w:val="2"/>
        </w:rPr>
        <w:t>5-HT</w:t>
      </w:r>
      <w:r>
        <w:rPr>
          <w:spacing w:val="5"/>
          <w:sz w:val="12"/>
        </w:rPr>
        <w:t>3</w:t>
      </w:r>
      <w:r>
        <w:rPr>
          <w:spacing w:val="5"/>
          <w:position w:val="2"/>
        </w:rPr>
        <w:t>RA</w:t>
      </w:r>
      <w:r>
        <w:rPr>
          <w:spacing w:val="2"/>
          <w:position w:val="2"/>
        </w:rPr>
        <w:t> 组更为有效，并能显著减少解救性治疗的需求。在两种治疗方案中均观察到了</w:t>
      </w:r>
    </w:p>
    <w:p>
      <w:pPr>
        <w:pStyle w:val="BodyText"/>
        <w:spacing w:line="288" w:lineRule="auto"/>
        <w:ind w:right="1128"/>
      </w:pPr>
      <w:r>
        <w:rPr/>
        <w:t>便秘、头痛和腹泻等不良反应，但帕洛诺司琼引起的头晕更少，在平均 QTc 间期延长方</w:t>
      </w:r>
      <w:r>
        <w:rPr>
          <w:position w:val="2"/>
        </w:rPr>
        <w:t>面也更为安全[帕洛诺司琼 2.45 ms 对第一代 5-HT</w:t>
      </w:r>
      <w:r>
        <w:rPr>
          <w:sz w:val="12"/>
        </w:rPr>
        <w:t>3</w:t>
      </w:r>
      <w:r>
        <w:rPr>
          <w:position w:val="2"/>
        </w:rPr>
        <w:t>RA 5.13 ms，P=0.002]。</w:t>
      </w:r>
    </w:p>
    <w:p>
      <w:pPr>
        <w:pStyle w:val="BodyText"/>
        <w:spacing w:line="290" w:lineRule="auto"/>
        <w:ind w:right="1128" w:firstLine="480"/>
        <w:jc w:val="both"/>
      </w:pPr>
      <w:r>
        <w:rPr>
          <w:position w:val="2"/>
        </w:rPr>
        <w:t>综上，可看到帕洛诺司琼在疗效方面显著优于第一代 5-HT</w:t>
      </w:r>
      <w:r>
        <w:rPr>
          <w:sz w:val="12"/>
        </w:rPr>
        <w:t>3</w:t>
      </w:r>
      <w:r>
        <w:rPr>
          <w:position w:val="2"/>
        </w:rPr>
        <w:t>RA，且能够覆盖急性期</w:t>
      </w:r>
      <w:r>
        <w:rPr/>
        <w:t>和延迟期，具有有效预防、全程止吐的作用特点。此外，帕洛诺司琼安全性良好，不良</w:t>
      </w:r>
      <w:r>
        <w:rPr>
          <w:position w:val="2"/>
        </w:rPr>
        <w:t>反应与第一代 5-HT</w:t>
      </w:r>
      <w:r>
        <w:rPr>
          <w:sz w:val="12"/>
        </w:rPr>
        <w:t>3</w:t>
      </w:r>
      <w:r>
        <w:rPr>
          <w:position w:val="2"/>
        </w:rPr>
        <w:t>RA 类似，且应用帕洛诺司琼的患者发生头晕更少，平均 QTc 间期延</w:t>
      </w:r>
      <w:r>
        <w:rPr/>
        <w:t>长方面则更为安全。</w:t>
      </w:r>
    </w:p>
    <w:p>
      <w:pPr>
        <w:pStyle w:val="Heading8"/>
        <w:numPr>
          <w:ilvl w:val="0"/>
          <w:numId w:val="5"/>
        </w:numPr>
        <w:tabs>
          <w:tab w:pos="1374" w:val="left" w:leader="none"/>
        </w:tabs>
        <w:spacing w:line="301" w:lineRule="exact" w:before="0" w:after="0"/>
        <w:ind w:left="1374" w:right="0" w:hanging="255"/>
        <w:jc w:val="both"/>
        <w:rPr>
          <w:color w:val="333333"/>
          <w:sz w:val="22"/>
        </w:rPr>
      </w:pPr>
      <w:r>
        <w:rPr>
          <w:color w:val="333333"/>
          <w:spacing w:val="-16"/>
        </w:rPr>
        <w:t>第二代 </w:t>
      </w:r>
      <w:r>
        <w:rPr>
          <w:color w:val="333333"/>
        </w:rPr>
        <w:t>5-HT3RA</w:t>
      </w:r>
      <w:r>
        <w:rPr>
          <w:color w:val="333333"/>
          <w:spacing w:val="-8"/>
        </w:rPr>
        <w:t> 用药方便，可预防多天化疗所致恶心呕吐</w:t>
      </w:r>
    </w:p>
    <w:p>
      <w:pPr>
        <w:pStyle w:val="BodyText"/>
        <w:spacing w:line="288" w:lineRule="auto" w:before="58"/>
        <w:ind w:right="1126" w:firstLine="480"/>
      </w:pPr>
      <w:r>
        <w:rPr/>
        <w:t>对于接受多天（3 日或以上）中度或高度致吐化疗方案（如在睾丸或卵巢生殖细胞癌中使用的 5 日顺铂治疗方案）的患者，第 1、3、5 日使用帕洛诺司琼联合每日地塞米松是一种可选的方案。一项Ⅲ期临床研究数据表明，在多日化疗方案期间应用帕洛诺司琼（顺铂３日化疗方案，帕洛诺司琼 0.25 mg d1、d3 用药；顺铂５日化疗方案，帕洛诺司琼 0.25 mg d1、d3、d5 用药），可预防患者的恶心呕吐反应。且在 48 小时或 72 小时再次给予帕洛诺司琼可进一步提高 CINV 的控制，并减轻延迟期恶心呕吐对生活质量的影响。</w:t>
      </w:r>
    </w:p>
    <w:p>
      <w:pPr>
        <w:pStyle w:val="Heading8"/>
        <w:numPr>
          <w:ilvl w:val="0"/>
          <w:numId w:val="5"/>
        </w:numPr>
        <w:tabs>
          <w:tab w:pos="1359" w:val="left" w:leader="none"/>
        </w:tabs>
        <w:spacing w:line="240" w:lineRule="auto" w:before="7" w:after="0"/>
        <w:ind w:left="1358" w:right="0" w:hanging="242"/>
        <w:jc w:val="left"/>
        <w:rPr>
          <w:sz w:val="22"/>
        </w:rPr>
      </w:pPr>
      <w:r>
        <w:rPr>
          <w:spacing w:val="7"/>
          <w:position w:val="2"/>
        </w:rPr>
        <w:t>帕洛诺司琼，国内外止吐指南推荐的优选 5-HT</w:t>
      </w:r>
      <w:r>
        <w:rPr>
          <w:spacing w:val="7"/>
          <w:sz w:val="12"/>
        </w:rPr>
        <w:t>3</w:t>
      </w:r>
      <w:r>
        <w:rPr>
          <w:spacing w:val="7"/>
          <w:position w:val="2"/>
        </w:rPr>
        <w:t>RA</w:t>
      </w:r>
    </w:p>
    <w:p>
      <w:pPr>
        <w:pStyle w:val="BodyText"/>
        <w:spacing w:line="288" w:lineRule="auto" w:before="63"/>
        <w:ind w:right="1018" w:firstLine="482"/>
      </w:pPr>
      <w:r>
        <w:rPr/>
        <w:t>美国国立综合癌症网络（NCCN）、癌症支持疗法多国学会（MASCC）联合欧洲肿瘤内科学会（ESMO）、美国临床肿瘤学会（ASCO）发布的相关指南均推荐使用帕洛诺司琼。2019 年最新版 NCCN 指南指出，帕诺洛司琼是接受单日 MEC 及多天化疗时预防恶心呕吐</w:t>
      </w:r>
      <w:r>
        <w:rPr>
          <w:position w:val="2"/>
        </w:rPr>
        <w:t>的优选 5-HT</w:t>
      </w:r>
      <w:r>
        <w:rPr>
          <w:sz w:val="12"/>
        </w:rPr>
        <w:t>3</w:t>
      </w:r>
      <w:r>
        <w:rPr>
          <w:position w:val="2"/>
        </w:rPr>
        <w:t>RA（在不含 NK</w:t>
      </w:r>
      <w:r>
        <w:rPr>
          <w:sz w:val="12"/>
        </w:rPr>
        <w:t>1</w:t>
      </w:r>
      <w:r>
        <w:rPr>
          <w:position w:val="2"/>
        </w:rPr>
        <w:t>RA 的预防方案中）。</w:t>
      </w:r>
    </w:p>
    <w:p>
      <w:pPr>
        <w:pStyle w:val="BodyText"/>
        <w:spacing w:before="4"/>
        <w:ind w:left="1119"/>
      </w:pPr>
      <w:r>
        <w:rPr>
          <w:spacing w:val="4"/>
        </w:rPr>
        <w:t>2019</w:t>
      </w:r>
      <w:r>
        <w:rPr>
          <w:spacing w:val="-32"/>
        </w:rPr>
        <w:t> 年 </w:t>
      </w:r>
      <w:r>
        <w:rPr>
          <w:spacing w:val="4"/>
        </w:rPr>
        <w:t>CSCO</w:t>
      </w:r>
      <w:r>
        <w:rPr>
          <w:spacing w:val="3"/>
        </w:rPr>
        <w:t> 发布的《抗肿瘤治疗相关恶心呕吐预防和治疗指南》指出，所有含</w:t>
      </w:r>
    </w:p>
    <w:p>
      <w:pPr>
        <w:pStyle w:val="BodyText"/>
        <w:spacing w:line="288" w:lineRule="auto" w:before="62"/>
        <w:ind w:right="1128"/>
        <w:jc w:val="both"/>
      </w:pPr>
      <w:r>
        <w:rPr>
          <w:spacing w:val="5"/>
          <w:position w:val="2"/>
        </w:rPr>
        <w:t>5-HT</w:t>
      </w:r>
      <w:r>
        <w:rPr>
          <w:spacing w:val="5"/>
          <w:sz w:val="12"/>
        </w:rPr>
        <w:t>3</w:t>
      </w:r>
      <w:r>
        <w:rPr>
          <w:spacing w:val="5"/>
          <w:position w:val="2"/>
        </w:rPr>
        <w:t>RA</w:t>
      </w:r>
      <w:r>
        <w:rPr>
          <w:spacing w:val="3"/>
          <w:position w:val="2"/>
        </w:rPr>
        <w:t> 的预防方案中，帕洛诺司琼</w:t>
      </w:r>
      <w:r>
        <w:rPr>
          <w:spacing w:val="12"/>
          <w:position w:val="2"/>
        </w:rPr>
        <w:t>（静脉和口服剂型）均为可选方案。在进行单日静</w:t>
      </w:r>
      <w:r>
        <w:rPr>
          <w:spacing w:val="-6"/>
          <w:position w:val="2"/>
        </w:rPr>
        <w:t>脉注射 </w:t>
      </w:r>
      <w:r>
        <w:rPr>
          <w:spacing w:val="3"/>
          <w:position w:val="2"/>
        </w:rPr>
        <w:t>MEC</w:t>
      </w:r>
      <w:r>
        <w:rPr>
          <w:spacing w:val="-33"/>
          <w:position w:val="2"/>
        </w:rPr>
        <w:t> 及 </w:t>
      </w:r>
      <w:r>
        <w:rPr>
          <w:spacing w:val="4"/>
          <w:position w:val="2"/>
        </w:rPr>
        <w:t>HEC/MEC</w:t>
      </w:r>
      <w:r>
        <w:rPr>
          <w:position w:val="2"/>
        </w:rPr>
        <w:t> 多天抗肿瘤治疗时，如预防方案不包含 </w:t>
      </w:r>
      <w:r>
        <w:rPr>
          <w:spacing w:val="7"/>
          <w:position w:val="2"/>
        </w:rPr>
        <w:t>NK</w:t>
      </w:r>
      <w:r>
        <w:rPr>
          <w:spacing w:val="7"/>
          <w:sz w:val="12"/>
        </w:rPr>
        <w:t>1</w:t>
      </w:r>
      <w:r>
        <w:rPr>
          <w:spacing w:val="7"/>
          <w:position w:val="2"/>
        </w:rPr>
        <w:t>RA</w:t>
      </w:r>
      <w:r>
        <w:rPr>
          <w:spacing w:val="10"/>
          <w:position w:val="2"/>
        </w:rPr>
        <w:t>，帕洛诺司琼为优</w:t>
      </w:r>
      <w:r>
        <w:rPr>
          <w:spacing w:val="-4"/>
          <w:position w:val="2"/>
        </w:rPr>
        <w:t>先选择的 </w:t>
      </w:r>
      <w:r>
        <w:rPr>
          <w:spacing w:val="6"/>
          <w:position w:val="2"/>
        </w:rPr>
        <w:t>5-HT</w:t>
      </w:r>
      <w:r>
        <w:rPr>
          <w:spacing w:val="6"/>
          <w:sz w:val="12"/>
        </w:rPr>
        <w:t>3</w:t>
      </w:r>
      <w:r>
        <w:rPr>
          <w:spacing w:val="6"/>
          <w:position w:val="2"/>
        </w:rPr>
        <w:t>RA</w:t>
      </w:r>
      <w:r>
        <w:rPr>
          <w:spacing w:val="5"/>
          <w:position w:val="2"/>
        </w:rPr>
        <w:t>，且重复使用帕洛诺司琼静脉滴注 </w:t>
      </w:r>
      <w:r>
        <w:rPr>
          <w:spacing w:val="3"/>
          <w:position w:val="2"/>
        </w:rPr>
        <w:t>0.25</w:t>
      </w:r>
      <w:r>
        <w:rPr>
          <w:spacing w:val="12"/>
          <w:position w:val="2"/>
        </w:rPr>
        <w:t> </w:t>
      </w:r>
      <w:r>
        <w:rPr>
          <w:spacing w:val="3"/>
          <w:position w:val="2"/>
        </w:rPr>
        <w:t>mg 安全性较好。日本的一项</w:t>
      </w:r>
      <w:r>
        <w:rPr>
          <w:spacing w:val="1"/>
        </w:rPr>
        <w:t>临床研究表明，对于 </w:t>
      </w:r>
      <w:r>
        <w:rPr>
          <w:spacing w:val="3"/>
        </w:rPr>
        <w:t>HEC</w:t>
      </w:r>
      <w:r>
        <w:rPr/>
        <w:t> 方案的患者，含帕洛诺司琼的三联方案，在顺铂所致延迟性恶</w:t>
      </w:r>
      <w:r>
        <w:rPr>
          <w:spacing w:val="7"/>
          <w:position w:val="2"/>
        </w:rPr>
        <w:t>心呕吐的控制方面优于含短效 </w:t>
      </w:r>
      <w:r>
        <w:rPr>
          <w:spacing w:val="4"/>
          <w:position w:val="2"/>
        </w:rPr>
        <w:t>5-HT</w:t>
      </w:r>
      <w:r>
        <w:rPr>
          <w:spacing w:val="4"/>
          <w:sz w:val="12"/>
        </w:rPr>
        <w:t>3</w:t>
      </w:r>
      <w:r>
        <w:rPr>
          <w:spacing w:val="4"/>
          <w:position w:val="2"/>
        </w:rPr>
        <w:t>RA</w:t>
      </w:r>
      <w:r>
        <w:rPr>
          <w:spacing w:val="-3"/>
          <w:position w:val="2"/>
        </w:rPr>
        <w:t> 的三联方案。在单日静脉注射 </w:t>
      </w:r>
      <w:r>
        <w:rPr>
          <w:spacing w:val="3"/>
          <w:position w:val="2"/>
        </w:rPr>
        <w:t>HEC</w:t>
      </w:r>
      <w:r>
        <w:rPr>
          <w:spacing w:val="1"/>
          <w:position w:val="2"/>
        </w:rPr>
        <w:t> 的替代预防方</w:t>
      </w:r>
      <w:r>
        <w:rPr>
          <w:spacing w:val="-4"/>
          <w:position w:val="2"/>
        </w:rPr>
        <w:t>案中，可采用奥氮平联合 </w:t>
      </w:r>
      <w:r>
        <w:rPr>
          <w:spacing w:val="5"/>
          <w:position w:val="2"/>
        </w:rPr>
        <w:t>5-HT</w:t>
      </w:r>
      <w:r>
        <w:rPr>
          <w:spacing w:val="5"/>
          <w:sz w:val="12"/>
        </w:rPr>
        <w:t>3</w:t>
      </w:r>
      <w:r>
        <w:rPr>
          <w:spacing w:val="5"/>
          <w:position w:val="2"/>
        </w:rPr>
        <w:t>RA</w:t>
      </w:r>
      <w:r>
        <w:rPr>
          <w:spacing w:val="12"/>
          <w:position w:val="2"/>
        </w:rPr>
        <w:t>、地塞米松的三联组合，帕洛诺司琼是唯一推荐的</w:t>
      </w:r>
    </w:p>
    <w:p>
      <w:pPr>
        <w:pStyle w:val="BodyText"/>
        <w:spacing w:before="6"/>
      </w:pPr>
      <w:r>
        <w:rPr>
          <w:position w:val="2"/>
        </w:rPr>
        <w:t>5-HT</w:t>
      </w:r>
      <w:r>
        <w:rPr>
          <w:sz w:val="12"/>
        </w:rPr>
        <w:t>3</w:t>
      </w:r>
      <w:r>
        <w:rPr>
          <w:position w:val="2"/>
        </w:rPr>
        <w:t>RA。</w:t>
      </w:r>
    </w:p>
    <w:p>
      <w:pPr>
        <w:pStyle w:val="BodyText"/>
        <w:tabs>
          <w:tab w:pos="4160" w:val="left" w:leader="none"/>
        </w:tabs>
        <w:spacing w:line="288" w:lineRule="auto" w:before="62"/>
        <w:ind w:right="1141" w:firstLine="482"/>
      </w:pPr>
      <w:r>
        <w:rPr>
          <w:spacing w:val="12"/>
          <w:position w:val="2"/>
        </w:rPr>
        <w:t>盐酸帕洛诺司琼注射液是来自瑞士的原研第二</w:t>
      </w:r>
      <w:r>
        <w:rPr>
          <w:position w:val="2"/>
        </w:rPr>
        <w:t>代</w:t>
      </w:r>
      <w:r>
        <w:rPr>
          <w:spacing w:val="-42"/>
          <w:position w:val="2"/>
        </w:rPr>
        <w:t> </w:t>
      </w:r>
      <w:r>
        <w:rPr>
          <w:spacing w:val="5"/>
          <w:position w:val="2"/>
        </w:rPr>
        <w:t>5-HT</w:t>
      </w:r>
      <w:r>
        <w:rPr>
          <w:spacing w:val="5"/>
          <w:sz w:val="12"/>
        </w:rPr>
        <w:t>3</w:t>
      </w:r>
      <w:r>
        <w:rPr>
          <w:spacing w:val="5"/>
          <w:position w:val="2"/>
        </w:rPr>
        <w:t>RA</w:t>
      </w:r>
      <w:r>
        <w:rPr>
          <w:spacing w:val="-48"/>
          <w:position w:val="2"/>
        </w:rPr>
        <w:t>。</w:t>
      </w:r>
      <w:r>
        <w:rPr>
          <w:spacing w:val="3"/>
          <w:position w:val="2"/>
        </w:rPr>
        <w:t>2018</w:t>
      </w:r>
      <w:r>
        <w:rPr>
          <w:spacing w:val="-51"/>
          <w:position w:val="2"/>
        </w:rPr>
        <w:t> </w:t>
      </w:r>
      <w:r>
        <w:rPr>
          <w:position w:val="2"/>
        </w:rPr>
        <w:t>年</w:t>
      </w:r>
      <w:r>
        <w:rPr>
          <w:spacing w:val="-43"/>
          <w:position w:val="2"/>
        </w:rPr>
        <w:t> </w:t>
      </w:r>
      <w:r>
        <w:rPr>
          <w:spacing w:val="3"/>
          <w:position w:val="2"/>
        </w:rPr>
        <w:t>11</w:t>
      </w:r>
      <w:r>
        <w:rPr>
          <w:spacing w:val="-52"/>
          <w:position w:val="2"/>
        </w:rPr>
        <w:t> </w:t>
      </w:r>
      <w:r>
        <w:rPr>
          <w:spacing w:val="11"/>
          <w:position w:val="2"/>
        </w:rPr>
        <w:t>月</w:t>
      </w:r>
      <w:r>
        <w:rPr>
          <w:spacing w:val="-51"/>
          <w:position w:val="2"/>
        </w:rPr>
        <w:t>，</w:t>
      </w:r>
      <w:r>
        <w:rPr>
          <w:spacing w:val="11"/>
          <w:position w:val="2"/>
        </w:rPr>
        <w:t>正式获</w:t>
      </w:r>
      <w:r>
        <w:rPr>
          <w:position w:val="2"/>
        </w:rPr>
        <w:t>得</w:t>
      </w:r>
      <w:r>
        <w:rPr>
          <w:spacing w:val="12"/>
        </w:rPr>
        <w:t>中国国家药品监督管理</w:t>
      </w:r>
      <w:r>
        <w:rPr>
          <w:spacing w:val="-8"/>
        </w:rPr>
        <w:t>局</w:t>
      </w:r>
      <w:r>
        <w:rPr>
          <w:spacing w:val="4"/>
        </w:rPr>
        <w:t>（NMPA）</w:t>
      </w:r>
      <w:r>
        <w:rPr>
          <w:spacing w:val="11"/>
        </w:rPr>
        <w:t>批准在中国上市</w:t>
      </w:r>
      <w:r>
        <w:rPr>
          <w:spacing w:val="-8"/>
        </w:rPr>
        <w:t>。</w:t>
      </w:r>
      <w:r>
        <w:rPr>
          <w:spacing w:val="11"/>
        </w:rPr>
        <w:t>大量临床数据证明</w:t>
      </w:r>
      <w:r>
        <w:rPr>
          <w:spacing w:val="-8"/>
        </w:rPr>
        <w:t>，</w:t>
      </w:r>
      <w:r>
        <w:rPr>
          <w:spacing w:val="11"/>
        </w:rPr>
        <w:t>盐酸帕洛诺</w:t>
      </w:r>
      <w:r>
        <w:rPr/>
        <w:t>司</w:t>
      </w:r>
      <w:r>
        <w:rPr>
          <w:spacing w:val="12"/>
        </w:rPr>
        <w:t>琼注射液可以安全有效的控</w:t>
      </w:r>
      <w:r>
        <w:rPr/>
        <w:t>制</w:t>
      </w:r>
      <w:r>
        <w:rPr>
          <w:spacing w:val="-43"/>
        </w:rPr>
        <w:t> </w:t>
      </w:r>
      <w:r>
        <w:rPr>
          <w:spacing w:val="6"/>
        </w:rPr>
        <w:t>CINV，</w:t>
      </w:r>
      <w:r>
        <w:rPr>
          <w:spacing w:val="12"/>
        </w:rPr>
        <w:t>同时也是目前唯一在中国获批可用于儿童的第二</w:t>
      </w:r>
      <w:r>
        <w:rPr>
          <w:position w:val="2"/>
        </w:rPr>
        <w:t>代</w:t>
      </w:r>
      <w:r>
        <w:rPr>
          <w:spacing w:val="-44"/>
          <w:position w:val="2"/>
        </w:rPr>
        <w:t> </w:t>
      </w:r>
      <w:r>
        <w:rPr>
          <w:spacing w:val="5"/>
          <w:position w:val="2"/>
        </w:rPr>
        <w:t>5-HT</w:t>
      </w:r>
      <w:r>
        <w:rPr>
          <w:spacing w:val="5"/>
          <w:sz w:val="12"/>
        </w:rPr>
        <w:t>3</w:t>
      </w:r>
      <w:r>
        <w:rPr>
          <w:spacing w:val="5"/>
          <w:position w:val="2"/>
        </w:rPr>
        <w:t>RA</w:t>
      </w:r>
      <w:r>
        <w:rPr>
          <w:spacing w:val="12"/>
          <w:position w:val="2"/>
        </w:rPr>
        <w:t>。</w:t>
      </w:r>
      <w:r>
        <w:rPr>
          <w:spacing w:val="4"/>
          <w:position w:val="2"/>
        </w:rPr>
        <w:t>2016</w:t>
      </w:r>
      <w:r>
        <w:rPr>
          <w:spacing w:val="-52"/>
          <w:position w:val="2"/>
        </w:rPr>
        <w:t> </w:t>
      </w:r>
      <w:r>
        <w:rPr>
          <w:spacing w:val="11"/>
          <w:position w:val="2"/>
        </w:rPr>
        <w:t>年《柳叶</w:t>
      </w:r>
      <w:r>
        <w:rPr>
          <w:spacing w:val="14"/>
          <w:position w:val="2"/>
        </w:rPr>
        <w:t>刀</w:t>
      </w:r>
      <w:r>
        <w:rPr>
          <w:spacing w:val="4"/>
          <w:position w:val="2"/>
        </w:rPr>
        <w:t>·</w:t>
      </w:r>
      <w:r>
        <w:rPr>
          <w:spacing w:val="11"/>
          <w:position w:val="2"/>
        </w:rPr>
        <w:t>肿瘤学杂志》发表的一项研究显</w:t>
      </w:r>
      <w:r>
        <w:rPr>
          <w:spacing w:val="18"/>
          <w:position w:val="2"/>
        </w:rPr>
        <w:t>示</w:t>
      </w:r>
      <w:r>
        <w:rPr>
          <w:spacing w:val="6"/>
          <w:position w:val="2"/>
        </w:rPr>
        <w:t>，165</w:t>
      </w:r>
      <w:r>
        <w:rPr>
          <w:spacing w:val="-53"/>
          <w:position w:val="2"/>
        </w:rPr>
        <w:t> </w:t>
      </w:r>
      <w:r>
        <w:rPr>
          <w:spacing w:val="12"/>
          <w:position w:val="2"/>
        </w:rPr>
        <w:t>例儿童患者应</w:t>
      </w:r>
      <w:r>
        <w:rPr>
          <w:spacing w:val="12"/>
        </w:rPr>
        <w:t>用盐酸帕洛诺司琼注射液</w:t>
      </w:r>
      <w:r>
        <w:rPr>
          <w:spacing w:val="6"/>
        </w:rPr>
        <w:t>（20</w:t>
        <w:tab/>
      </w:r>
      <w:r>
        <w:rPr>
          <w:rFonts w:ascii="Arial" w:hAnsi="Arial" w:eastAsia="Arial"/>
        </w:rPr>
        <w:t>μ</w:t>
      </w:r>
      <w:r>
        <w:rPr>
          <w:rFonts w:ascii="Arial" w:hAnsi="Arial" w:eastAsia="Arial"/>
          <w:spacing w:val="47"/>
        </w:rPr>
        <w:t> </w:t>
      </w:r>
      <w:r>
        <w:rPr>
          <w:spacing w:val="7"/>
        </w:rPr>
        <w:t>g/kg），</w:t>
      </w:r>
      <w:r>
        <w:rPr>
          <w:spacing w:val="12"/>
        </w:rPr>
        <w:t>急性期、延迟期和全</w:t>
      </w:r>
      <w:r>
        <w:rPr/>
        <w:t>程</w:t>
      </w:r>
      <w:r>
        <w:rPr>
          <w:spacing w:val="-42"/>
        </w:rPr>
        <w:t> </w:t>
      </w:r>
      <w:r>
        <w:rPr>
          <w:spacing w:val="4"/>
        </w:rPr>
        <w:t>CINV</w:t>
      </w:r>
      <w:r>
        <w:rPr>
          <w:spacing w:val="-52"/>
        </w:rPr>
        <w:t> </w:t>
      </w:r>
      <w:r>
        <w:rPr>
          <w:spacing w:val="12"/>
        </w:rPr>
        <w:t>完全缓解率达</w:t>
      </w:r>
      <w:r>
        <w:rPr>
          <w:spacing w:val="6"/>
        </w:rPr>
        <w:t>59%</w:t>
      </w:r>
      <w:r>
        <w:rPr>
          <w:spacing w:val="12"/>
        </w:rPr>
        <w:t>、</w:t>
      </w:r>
      <w:r>
        <w:rPr>
          <w:spacing w:val="5"/>
        </w:rPr>
        <w:t>39%</w:t>
      </w:r>
      <w:r>
        <w:rPr/>
        <w:t>和</w:t>
      </w:r>
      <w:r>
        <w:rPr>
          <w:spacing w:val="-44"/>
        </w:rPr>
        <w:t> </w:t>
      </w:r>
      <w:r>
        <w:rPr>
          <w:spacing w:val="6"/>
        </w:rPr>
        <w:t>33%，</w:t>
      </w:r>
      <w:r>
        <w:rPr>
          <w:spacing w:val="12"/>
        </w:rPr>
        <w:t>药物相关不良事件发生率仅</w:t>
      </w:r>
      <w:r>
        <w:rPr/>
        <w:t>为</w:t>
      </w:r>
      <w:r>
        <w:rPr>
          <w:spacing w:val="-43"/>
        </w:rPr>
        <w:t> </w:t>
      </w:r>
      <w:r>
        <w:rPr>
          <w:spacing w:val="4"/>
        </w:rPr>
        <w:t>4%</w:t>
      </w:r>
      <w:r>
        <w:rPr/>
        <w:t>。</w:t>
      </w:r>
    </w:p>
    <w:p>
      <w:pPr>
        <w:spacing w:after="0" w:line="288" w:lineRule="auto"/>
        <w:sectPr>
          <w:pgSz w:w="11910" w:h="16850"/>
          <w:pgMar w:header="906" w:footer="607" w:top="1100" w:bottom="800" w:left="640" w:right="0"/>
        </w:sectPr>
      </w:pPr>
    </w:p>
    <w:p>
      <w:pPr>
        <w:pStyle w:val="BodyText"/>
        <w:spacing w:line="290" w:lineRule="auto" w:before="56"/>
        <w:ind w:right="1131" w:firstLine="482"/>
      </w:pPr>
      <w:r>
        <w:rPr>
          <w:position w:val="2"/>
        </w:rPr>
        <w:t>盐酸帕洛诺司琼注射液的上市标志着第二代 5-HT</w:t>
      </w:r>
      <w:r>
        <w:rPr>
          <w:sz w:val="12"/>
        </w:rPr>
        <w:t>3</w:t>
      </w:r>
      <w:r>
        <w:rPr>
          <w:position w:val="2"/>
        </w:rPr>
        <w:t>RA 的原研产品开启了我国肿瘤治</w:t>
      </w:r>
      <w:r>
        <w:rPr/>
        <w:t>疗临床实践之路，意味着我国广大肿瘤医护工作者在管理 CINV 方面，有了较第一代</w:t>
      </w:r>
    </w:p>
    <w:p>
      <w:pPr>
        <w:pStyle w:val="ListParagraph"/>
        <w:numPr>
          <w:ilvl w:val="0"/>
          <w:numId w:val="6"/>
        </w:numPr>
        <w:tabs>
          <w:tab w:pos="892" w:val="left" w:leader="none"/>
        </w:tabs>
        <w:spacing w:line="295" w:lineRule="exact" w:before="0" w:after="0"/>
        <w:ind w:left="891" w:right="0" w:hanging="255"/>
        <w:jc w:val="left"/>
        <w:rPr>
          <w:sz w:val="24"/>
        </w:rPr>
      </w:pPr>
      <w:r>
        <w:rPr>
          <w:spacing w:val="4"/>
          <w:position w:val="2"/>
          <w:sz w:val="24"/>
        </w:rPr>
        <w:t>HT</w:t>
      </w:r>
      <w:r>
        <w:rPr>
          <w:spacing w:val="4"/>
          <w:sz w:val="12"/>
        </w:rPr>
        <w:t>3</w:t>
      </w:r>
      <w:r>
        <w:rPr>
          <w:spacing w:val="4"/>
          <w:position w:val="2"/>
          <w:sz w:val="24"/>
        </w:rPr>
        <w:t>RA</w:t>
      </w:r>
      <w:r>
        <w:rPr>
          <w:spacing w:val="3"/>
          <w:position w:val="2"/>
          <w:sz w:val="24"/>
        </w:rPr>
        <w:t> 更安全有效以及更方便的预防新策略。</w:t>
      </w:r>
    </w:p>
    <w:p>
      <w:pPr>
        <w:tabs>
          <w:tab w:pos="4103" w:val="left" w:leader="none"/>
        </w:tabs>
        <w:spacing w:line="437" w:lineRule="exact" w:before="0"/>
        <w:ind w:left="1119" w:right="0" w:firstLine="0"/>
        <w:jc w:val="left"/>
        <w:rPr>
          <w:rFonts w:ascii="微软雅黑" w:eastAsia="微软雅黑" w:hint="eastAsia"/>
          <w:b/>
          <w:sz w:val="24"/>
        </w:rPr>
      </w:pPr>
      <w:r>
        <w:rPr>
          <w:w w:val="105"/>
          <w:sz w:val="24"/>
        </w:rPr>
        <w:t>作者：</w:t>
      </w:r>
      <w:r>
        <w:rPr>
          <w:spacing w:val="12"/>
          <w:w w:val="105"/>
          <w:sz w:val="24"/>
        </w:rPr>
        <w:t>北京大学肿瘤医</w:t>
      </w:r>
      <w:r>
        <w:rPr>
          <w:w w:val="105"/>
          <w:sz w:val="24"/>
        </w:rPr>
        <w:t>院</w:t>
        <w:tab/>
      </w:r>
      <w:r>
        <w:rPr>
          <w:spacing w:val="12"/>
          <w:w w:val="110"/>
          <w:sz w:val="24"/>
        </w:rPr>
        <w:t>寇芙蓉、刘</w:t>
      </w:r>
      <w:r>
        <w:rPr>
          <w:w w:val="110"/>
          <w:sz w:val="24"/>
        </w:rPr>
        <w:t>巍</w:t>
      </w:r>
      <w:r>
        <w:rPr>
          <w:spacing w:val="5"/>
          <w:w w:val="110"/>
          <w:sz w:val="24"/>
        </w:rPr>
        <w:t> </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Heading4"/>
        <w:spacing w:before="116"/>
        <w:ind w:left="637"/>
      </w:pPr>
      <w:bookmarkStart w:name="_TOC_250021" w:id="21"/>
      <w:bookmarkEnd w:id="21"/>
      <w:r>
        <w:rPr/>
        <w:t>【中医中药】</w:t>
      </w:r>
    </w:p>
    <w:p>
      <w:pPr>
        <w:pStyle w:val="BodyText"/>
        <w:spacing w:before="9"/>
        <w:ind w:left="0"/>
        <w:rPr>
          <w:b/>
          <w:sz w:val="18"/>
        </w:rPr>
      </w:pPr>
    </w:p>
    <w:p>
      <w:pPr>
        <w:spacing w:after="0"/>
        <w:rPr>
          <w:sz w:val="18"/>
        </w:rPr>
        <w:sectPr>
          <w:pgSz w:w="11910" w:h="16850"/>
          <w:pgMar w:header="906" w:footer="607" w:top="1100" w:bottom="800" w:left="640" w:right="0"/>
        </w:sectPr>
      </w:pPr>
    </w:p>
    <w:p>
      <w:pPr>
        <w:pStyle w:val="Heading4"/>
        <w:spacing w:before="54"/>
        <w:ind w:left="3779"/>
      </w:pPr>
      <w:bookmarkStart w:name="_TOC_250020" w:id="22"/>
      <w:bookmarkEnd w:id="22"/>
      <w:r>
        <w:rPr>
          <w:spacing w:val="-2"/>
        </w:rPr>
        <w:t>绝经前不宜服用雷公藤</w:t>
      </w:r>
    </w:p>
    <w:p>
      <w:pPr>
        <w:pStyle w:val="BodyText"/>
        <w:ind w:left="0"/>
        <w:rPr>
          <w:b/>
        </w:rPr>
      </w:pPr>
      <w:r>
        <w:rPr/>
        <w:br w:type="column"/>
      </w:r>
      <w:r>
        <w:rPr>
          <w:b/>
        </w:rPr>
      </w:r>
    </w:p>
    <w:p>
      <w:pPr>
        <w:pStyle w:val="BodyText"/>
        <w:spacing w:before="9"/>
        <w:ind w:left="0"/>
        <w:rPr>
          <w:b/>
          <w:sz w:val="23"/>
        </w:rPr>
      </w:pPr>
    </w:p>
    <w:p>
      <w:pPr>
        <w:pStyle w:val="Heading8"/>
        <w:ind w:left="117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6990" w:space="40"/>
            <w:col w:w="4240"/>
          </w:cols>
        </w:sectPr>
      </w:pPr>
    </w:p>
    <w:p>
      <w:pPr>
        <w:pStyle w:val="BodyText"/>
        <w:spacing w:line="297" w:lineRule="auto" w:before="96"/>
        <w:ind w:right="1126" w:firstLine="480"/>
        <w:jc w:val="both"/>
      </w:pPr>
      <w:r>
        <w:rPr>
          <w:spacing w:val="-10"/>
        </w:rPr>
        <w:t>雷公藤又名黄藤、断肠草，为卫矛科植物雷公藤的根、叶及花，其味苦、辛，性寒，有</w:t>
      </w:r>
      <w:r>
        <w:rPr>
          <w:spacing w:val="-11"/>
        </w:rPr>
        <w:t>大毒，归肝、肾经。因其具有抗炎、免疫调节等多种生物活性，临床上主要用于治疗类风湿</w:t>
      </w:r>
      <w:r>
        <w:rPr>
          <w:spacing w:val="-14"/>
        </w:rPr>
        <w:t>性关节炎、红斑狼疮、肾病综合征、各种类型的银屑病、子宫肌瘤、子宫内膜异位症等，具</w:t>
      </w:r>
      <w:r>
        <w:rPr>
          <w:spacing w:val="-9"/>
        </w:rPr>
        <w:t>有良好的疗效。雷公藤与肾上腺皮质激素有着相似的功效， 又有“中草药激素” 之称，但</w:t>
      </w:r>
      <w:r>
        <w:rPr/>
        <w:t>没有激素“脸圆身胖”的副作用，耐受性好，因而在治疗免疫性疾病中深受患者欢迎。</w:t>
      </w:r>
    </w:p>
    <w:p>
      <w:pPr>
        <w:pStyle w:val="BodyText"/>
        <w:spacing w:line="297" w:lineRule="auto"/>
        <w:ind w:right="1007" w:firstLine="480"/>
      </w:pPr>
      <w:r>
        <w:rPr>
          <w:spacing w:val="-4"/>
        </w:rPr>
        <w:t>然而随着人们对其药理作用的深入研究及临床应用的增加，大量的研究表明，雷公藤对</w:t>
      </w:r>
      <w:r>
        <w:rPr>
          <w:spacing w:val="-12"/>
        </w:rPr>
        <w:t>人体消化、血液、生殖、内分泌等系统有损伤，其中对女性性腺毒性作用较为突出。对于免</w:t>
      </w:r>
      <w:r>
        <w:rPr>
          <w:spacing w:val="-15"/>
        </w:rPr>
        <w:t>疫相对旺盛的青春期、育龄期女性而言，雷公藤在发挥免疫抑制作用的同时，会不同程度地</w:t>
      </w:r>
      <w:r>
        <w:rPr>
          <w:spacing w:val="-20"/>
        </w:rPr>
        <w:t>引起月经周期紊乱、经期延长、闭经、闭经伴性欲减退，女性肾病患者用过雷公藤多甙以后， </w:t>
      </w:r>
      <w:r>
        <w:rPr>
          <w:spacing w:val="-5"/>
        </w:rPr>
        <w:t>出现月经紊乱或者闭经者高达 </w:t>
      </w:r>
      <w:r>
        <w:rPr/>
        <w:t>65%</w:t>
      </w:r>
      <w:r>
        <w:rPr>
          <w:spacing w:val="-6"/>
        </w:rPr>
        <w:t>。尤其是雷公藤导致的闭经绝不是不来月经这样简单，真</w:t>
      </w:r>
      <w:r>
        <w:rPr>
          <w:spacing w:val="-10"/>
        </w:rPr>
        <w:t>正可怕的是雌激素减少引起的一系列问题，使得女性提前进入更年期。内在对生殖系统、性</w:t>
      </w:r>
      <w:r>
        <w:rPr>
          <w:spacing w:val="-12"/>
        </w:rPr>
        <w:t>功能、心血管系统、神经系统的保护作用，外在对青春容貌，内外平衡都会被打破，提前进入老化的过程。同时雷公藤还会引起功能失调性子宫出血，卵巢、子宫萎缩。</w:t>
      </w:r>
    </w:p>
    <w:p>
      <w:pPr>
        <w:pStyle w:val="BodyText"/>
        <w:spacing w:line="297" w:lineRule="auto"/>
        <w:ind w:right="1127" w:firstLine="480"/>
        <w:jc w:val="both"/>
      </w:pPr>
      <w:r>
        <w:rPr>
          <w:spacing w:val="-9"/>
        </w:rPr>
        <w:t>雷公藤广泛用于肾病、风湿病领域，疗效确切，是对重大难治性疾病具有突出疗效的少</w:t>
      </w:r>
      <w:r>
        <w:rPr>
          <w:spacing w:val="-11"/>
        </w:rPr>
        <w:t>有中药之一。雷公藤的临床价值不可否认，但其毒副作用尤其是对女性生殖方面的毒性不容忽视。因此，应正确认识雷公藤的治疗作用和毒性反应，正确使用雷公藤制剂，才能提高其</w:t>
      </w:r>
      <w:r>
        <w:rPr>
          <w:spacing w:val="-8"/>
        </w:rPr>
        <w:t>临床应用的安全性。女性患者在绝经前不建议使用雷公藤制剂，育龄期有孕育要求者、孕妇和哺乳期妇女禁止使用。研究表明，雷公藤使用剂量与不良反应发生率呈正相关，小剂量用</w:t>
      </w:r>
      <w:r>
        <w:rPr>
          <w:spacing w:val="-7"/>
        </w:rPr>
        <w:t>药不良反应发生率明显降低，因此雷公藤应以小剂量维持治疗为佳。也可联合用药，提高疗</w:t>
      </w:r>
      <w:r>
        <w:rPr>
          <w:spacing w:val="-12"/>
        </w:rPr>
        <w:t>效，减少不良反应。用药期间需严格按照说明书规定剂量用药，不可超量使用。连续用药不</w:t>
      </w:r>
      <w:r>
        <w:rPr>
          <w:spacing w:val="-16"/>
        </w:rPr>
        <w:t>宜超过 </w:t>
      </w:r>
      <w:r>
        <w:rPr/>
        <w:t>3</w:t>
      </w:r>
      <w:r>
        <w:rPr>
          <w:spacing w:val="-8"/>
        </w:rPr>
        <w:t> 个月，如需继续用药，应由医生根据病情及治疗需要决定。</w:t>
      </w:r>
    </w:p>
    <w:p>
      <w:pPr>
        <w:spacing w:line="357" w:lineRule="exact" w:before="0"/>
        <w:ind w:left="1117" w:right="0" w:firstLine="0"/>
        <w:jc w:val="both"/>
        <w:rPr>
          <w:rFonts w:ascii="微软雅黑" w:eastAsia="微软雅黑" w:hint="eastAsia"/>
          <w:b/>
          <w:sz w:val="24"/>
        </w:rPr>
      </w:pPr>
      <w:r>
        <w:rPr>
          <w:w w:val="110"/>
          <w:sz w:val="24"/>
        </w:rPr>
        <w:t>作者: 武汉市中心医院药剂科主管药师 杨科 </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BodyText"/>
        <w:spacing w:before="4"/>
        <w:ind w:left="0"/>
        <w:rPr>
          <w:rFonts w:ascii="微软雅黑"/>
          <w:b/>
          <w:sz w:val="13"/>
        </w:rPr>
      </w:pPr>
    </w:p>
    <w:p>
      <w:pPr>
        <w:pStyle w:val="Heading4"/>
        <w:ind w:left="637"/>
      </w:pPr>
      <w:bookmarkStart w:name="_TOC_250019" w:id="23"/>
      <w:bookmarkEnd w:id="23"/>
      <w:r>
        <w:rPr/>
        <w:t>【科普知识】</w:t>
      </w:r>
    </w:p>
    <w:p>
      <w:pPr>
        <w:pStyle w:val="BodyText"/>
        <w:spacing w:before="6"/>
        <w:ind w:left="0"/>
        <w:rPr>
          <w:b/>
          <w:sz w:val="22"/>
        </w:rPr>
      </w:pPr>
    </w:p>
    <w:p>
      <w:pPr>
        <w:pStyle w:val="Heading4"/>
        <w:ind w:left="1114"/>
        <w:jc w:val="both"/>
      </w:pPr>
      <w:bookmarkStart w:name="_TOC_250018" w:id="24"/>
      <w:bookmarkEnd w:id="24"/>
      <w:r>
        <w:rPr>
          <w:w w:val="90"/>
        </w:rPr>
        <w:t>宫颈病变治愈后，还可以接种疫苗吗？接种 HPV 疫苗，这些套路你要清楚！</w:t>
      </w:r>
    </w:p>
    <w:p>
      <w:pPr>
        <w:pStyle w:val="Heading8"/>
        <w:spacing w:before="146"/>
        <w:ind w:left="6760"/>
        <w:rPr>
          <w:rFonts w:ascii="楷体" w:eastAsia="楷体" w:hint="eastAsia"/>
        </w:rPr>
      </w:pPr>
      <w:r>
        <w:rPr>
          <w:rFonts w:ascii="楷体" w:eastAsia="楷体" w:hint="eastAsia"/>
          <w:color w:val="FF0000"/>
        </w:rPr>
        <w:t>（来源：药葫芦娃微信公众号）</w:t>
      </w:r>
    </w:p>
    <w:p>
      <w:pPr>
        <w:spacing w:before="98"/>
        <w:ind w:left="1119" w:right="0" w:firstLine="0"/>
        <w:jc w:val="both"/>
        <w:rPr>
          <w:b/>
          <w:sz w:val="24"/>
        </w:rPr>
      </w:pPr>
      <w:r>
        <w:rPr>
          <w:b/>
          <w:sz w:val="24"/>
        </w:rPr>
        <w:t>HPV 和癌症是什么关系？是不是感染上病毒就会得宫颈癌？</w:t>
      </w:r>
    </w:p>
    <w:p>
      <w:pPr>
        <w:pStyle w:val="BodyText"/>
        <w:spacing w:line="295" w:lineRule="auto" w:before="72"/>
        <w:ind w:right="1196" w:firstLine="482"/>
      </w:pPr>
      <w:r>
        <w:rPr/>
        <w:t>HPV 是“人乳头状瘤病毒”英文名字的缩写，HPV 家族中有 100 多号成员，其中部分和恶性肿瘤关系密切，被称为高危型 HPV。</w:t>
      </w:r>
    </w:p>
    <w:p>
      <w:pPr>
        <w:spacing w:after="0" w:line="295" w:lineRule="auto"/>
        <w:sectPr>
          <w:type w:val="continuous"/>
          <w:pgSz w:w="11910" w:h="16850"/>
          <w:pgMar w:top="1100" w:bottom="1020" w:left="640" w:right="0"/>
        </w:sectPr>
      </w:pPr>
    </w:p>
    <w:p>
      <w:pPr>
        <w:pStyle w:val="BodyText"/>
        <w:spacing w:line="297" w:lineRule="auto" w:before="65"/>
        <w:ind w:right="1127" w:firstLine="482"/>
        <w:jc w:val="both"/>
      </w:pPr>
      <w:r>
        <w:rPr/>
        <w:t>有性生活的妇女一生中感染过一种 HPV 的可能性高达 40%~80%。但是超过 80%的 HPV 感染 8 个月内会自然清除，只有少数持续高危型 HPV 感染 2 年以上才有可能致癌。在持续感染的人中，又只有少数人会发展成宫颈癌前病变，后者中又只有极少数人会发展成为癌。</w:t>
      </w:r>
    </w:p>
    <w:p>
      <w:pPr>
        <w:pStyle w:val="BodyText"/>
        <w:spacing w:line="295" w:lineRule="auto"/>
        <w:ind w:right="1146" w:firstLine="482"/>
        <w:jc w:val="both"/>
      </w:pPr>
      <w:r>
        <w:rPr/>
        <w:t>所以，对大多数人而言，感染了 HPV 病毒，就像“宫颈得了一场感冒”，不用过于紧张害怕。</w:t>
      </w:r>
    </w:p>
    <w:p>
      <w:pPr>
        <w:pStyle w:val="Heading8"/>
        <w:ind w:left="1119"/>
      </w:pPr>
      <w:r>
        <w:rPr/>
        <w:t>接种疫苗会不会感染病毒？</w:t>
      </w:r>
    </w:p>
    <w:p>
      <w:pPr>
        <w:pStyle w:val="BodyText"/>
        <w:spacing w:line="297" w:lineRule="auto" w:before="70"/>
        <w:ind w:right="1013" w:firstLine="482"/>
      </w:pPr>
      <w:r>
        <w:rPr/>
        <w:t>HPV 疫苗是全球第一个用于预防肿瘤的疫苗，人类首次尝试通过疫苗消灭一种癌症。这种疫苗是利用病毒上的一种特别的蛋白质外壳，来引发人体的免疫力。所以疫苗本身不是病毒，是蛋白，没有病毒的功能，不会造成病毒感染。</w:t>
      </w:r>
    </w:p>
    <w:p>
      <w:pPr>
        <w:pStyle w:val="Heading8"/>
        <w:spacing w:line="304" w:lineRule="exact"/>
        <w:ind w:left="1119"/>
      </w:pPr>
      <w:r>
        <w:rPr/>
        <w:t>有人称 HPV 疫苗为抗癌疫苗，这样称呼对不对？</w:t>
      </w:r>
    </w:p>
    <w:p>
      <w:pPr>
        <w:pStyle w:val="BodyText"/>
        <w:spacing w:line="297" w:lineRule="auto" w:before="72"/>
        <w:ind w:right="1134" w:firstLine="482"/>
      </w:pPr>
      <w:r>
        <w:rPr/>
        <w:t>HPV 疫苗是预防由高危型 HPV 病毒感染引起的宫颈癌，不是针对已经患癌的患者， 所以称它为抗癌疫苗是不确切的。</w:t>
      </w:r>
    </w:p>
    <w:p>
      <w:pPr>
        <w:pStyle w:val="Heading8"/>
        <w:spacing w:line="295" w:lineRule="auto"/>
        <w:ind w:left="637" w:right="1221" w:firstLine="482"/>
      </w:pPr>
      <w:r>
        <w:rPr/>
        <w:t>在接种之前是否检测体内是否感染 HPV？如果感染过或者曾经有过宫颈病变，又治愈了，还可以接种吗？</w:t>
      </w:r>
    </w:p>
    <w:p>
      <w:pPr>
        <w:pStyle w:val="BodyText"/>
        <w:spacing w:line="295" w:lineRule="auto" w:before="2"/>
        <w:ind w:right="1013" w:firstLine="482"/>
        <w:jc w:val="both"/>
      </w:pPr>
      <w:r>
        <w:rPr/>
        <w:t>HPV 可以反复感染，一般认为接种前无需检测体内有无 HPV 感染。但是从医生角度， 如果感染过 HPV 或者由此造成了宫颈病变，则另当别论，还是治疗转阴后再接种更好。也可以边治疗边接种。</w:t>
      </w:r>
    </w:p>
    <w:p>
      <w:pPr>
        <w:pStyle w:val="BodyText"/>
        <w:spacing w:line="295" w:lineRule="auto" w:before="6"/>
        <w:ind w:right="1027" w:firstLine="482"/>
      </w:pPr>
      <w:r>
        <w:rPr/>
        <w:t>2012 年韩国的研究显示，HPV 感染或由此引发的宫颈病变治愈后，进行 HPV 疫苗接种可以减少疾病的复发率。尤其是疫苗还能预防目前患者没有感染过的几类 HPV 病毒， 那么接种还是有好处的。这是临床实践的结果。</w:t>
      </w:r>
    </w:p>
    <w:p>
      <w:pPr>
        <w:pStyle w:val="BodyText"/>
        <w:spacing w:line="297" w:lineRule="auto" w:before="5"/>
        <w:ind w:right="1146" w:firstLine="482"/>
        <w:jc w:val="both"/>
      </w:pPr>
      <w:r>
        <w:rPr>
          <w:spacing w:val="2"/>
        </w:rPr>
        <w:t>理论上认为，人体自然感染 </w:t>
      </w:r>
      <w:r>
        <w:rPr>
          <w:spacing w:val="3"/>
        </w:rPr>
        <w:t>HPV</w:t>
      </w:r>
      <w:r>
        <w:rPr/>
        <w:t> 后，抵抗病毒的体系是细胞免疫，主要在宫颈局部</w:t>
      </w:r>
      <w:r>
        <w:rPr>
          <w:spacing w:val="5"/>
        </w:rPr>
        <w:t>起作用，产生的抗体</w:t>
      </w:r>
      <w:r>
        <w:rPr>
          <w:spacing w:val="11"/>
        </w:rPr>
        <w:t>（对抗病毒的物质</w:t>
      </w:r>
      <w:r>
        <w:rPr>
          <w:spacing w:val="-5"/>
        </w:rPr>
        <w:t>）</w:t>
      </w:r>
      <w:r>
        <w:rPr>
          <w:spacing w:val="5"/>
        </w:rPr>
        <w:t>水平很低，不足以对抗病毒的再次进攻。而疫</w:t>
      </w:r>
      <w:r>
        <w:rPr>
          <w:spacing w:val="2"/>
        </w:rPr>
        <w:t>苗是肌肉注射，会引发人体产生强烈有效的免疫反应，产生的抗体的滴度是自然感染的</w:t>
      </w:r>
      <w:r>
        <w:rPr>
          <w:spacing w:val="3"/>
        </w:rPr>
        <w:t>40 倍以上，这样就可以防止病毒的感染。</w:t>
      </w:r>
    </w:p>
    <w:p>
      <w:pPr>
        <w:pStyle w:val="Heading8"/>
        <w:spacing w:line="301" w:lineRule="exact"/>
        <w:ind w:left="1119"/>
      </w:pPr>
      <w:r>
        <w:rPr>
          <w:w w:val="95"/>
        </w:rPr>
        <w:t>接种了疫苗后，还用做宫颈癌筛查吗？</w:t>
      </w:r>
    </w:p>
    <w:p>
      <w:pPr>
        <w:pStyle w:val="BodyText"/>
        <w:spacing w:line="297" w:lineRule="auto" w:before="73"/>
        <w:ind w:right="1128" w:firstLine="482"/>
        <w:jc w:val="both"/>
      </w:pPr>
      <w:r>
        <w:rPr/>
        <w:t>无论接种 2 价疫苗、4 价疫苗还是 9 价疫苗，接种疫苗后仍然需要定期筛查。现有疫苗，包括 9 价疫苗并不能预防所有的高危型 HPV。而且，可能还有一小部分高危型 HPV 目前没有得到鉴定，当然更没有针对性疫苗。</w:t>
      </w:r>
    </w:p>
    <w:p>
      <w:pPr>
        <w:pStyle w:val="BodyText"/>
        <w:spacing w:line="304" w:lineRule="exact"/>
        <w:ind w:firstLine="482"/>
      </w:pPr>
      <w:r>
        <w:rPr/>
        <w:t>从宫颈癌三级防控而言，接种宫颈癌疫苗属于一级防控（治未病），而筛查属于二</w:t>
      </w:r>
    </w:p>
    <w:p>
      <w:pPr>
        <w:pStyle w:val="BodyText"/>
        <w:spacing w:line="235" w:lineRule="auto" w:before="78"/>
        <w:ind w:right="1147"/>
        <w:rPr>
          <w:rFonts w:ascii="微软雅黑" w:eastAsia="微软雅黑" w:hint="eastAsia"/>
          <w:b/>
        </w:rPr>
      </w:pPr>
      <w:r>
        <w:rPr/>
        <w:t>级防控（治初病），对宫颈癌的诊治属于三级防控（治已病）。不能因为第一道防线不</w:t>
      </w:r>
      <w:r>
        <w:rPr>
          <w:w w:val="105"/>
        </w:rPr>
        <w:t>错（实际上还不完美）就把第二道防线给撤了。</w:t>
      </w:r>
      <w:r>
        <w:rPr>
          <w:rFonts w:ascii="微软雅黑" w:eastAsia="微软雅黑" w:hint="eastAsia"/>
          <w:b/>
          <w:color w:val="0033CC"/>
          <w:w w:val="105"/>
        </w:rPr>
        <w:t>[</w:t>
      </w:r>
      <w:r>
        <w:rPr>
          <w:rFonts w:ascii="Microsoft JhengHei" w:eastAsia="Microsoft JhengHei" w:hint="eastAsia"/>
          <w:b/>
          <w:color w:val="0033CC"/>
          <w:w w:val="105"/>
        </w:rPr>
        <w:t>返回目次</w:t>
      </w:r>
      <w:r>
        <w:rPr>
          <w:rFonts w:ascii="微软雅黑" w:eastAsia="微软雅黑" w:hint="eastAsia"/>
          <w:b/>
          <w:color w:val="0033CC"/>
          <w:w w:val="105"/>
        </w:rPr>
        <w:t>]</w:t>
      </w:r>
    </w:p>
    <w:p>
      <w:pPr>
        <w:pStyle w:val="BodyText"/>
        <w:spacing w:before="10"/>
        <w:ind w:left="0"/>
        <w:rPr>
          <w:rFonts w:ascii="微软雅黑"/>
          <w:b/>
          <w:sz w:val="10"/>
        </w:rPr>
      </w:pPr>
    </w:p>
    <w:p>
      <w:pPr>
        <w:spacing w:after="0"/>
        <w:rPr>
          <w:rFonts w:ascii="微软雅黑"/>
          <w:sz w:val="10"/>
        </w:rPr>
        <w:sectPr>
          <w:pgSz w:w="11910" w:h="16850"/>
          <w:pgMar w:header="906" w:footer="607" w:top="1100" w:bottom="800" w:left="640" w:right="0"/>
        </w:sectPr>
      </w:pPr>
    </w:p>
    <w:p>
      <w:pPr>
        <w:pStyle w:val="Heading4"/>
        <w:spacing w:before="54"/>
        <w:ind w:left="3779"/>
      </w:pPr>
      <w:bookmarkStart w:name="_TOC_250017" w:id="25"/>
      <w:bookmarkEnd w:id="25"/>
      <w:r>
        <w:rPr>
          <w:spacing w:val="-2"/>
        </w:rPr>
        <w:t>风湿病患儿别随意停药</w:t>
      </w:r>
    </w:p>
    <w:p>
      <w:pPr>
        <w:pStyle w:val="BodyText"/>
        <w:ind w:left="0"/>
        <w:rPr>
          <w:b/>
        </w:rPr>
      </w:pPr>
      <w:r>
        <w:rPr/>
        <w:br w:type="column"/>
      </w:r>
      <w:r>
        <w:rPr>
          <w:b/>
        </w:rPr>
      </w:r>
    </w:p>
    <w:p>
      <w:pPr>
        <w:pStyle w:val="BodyText"/>
        <w:spacing w:before="10"/>
        <w:ind w:left="0"/>
        <w:rPr>
          <w:b/>
          <w:sz w:val="23"/>
        </w:rPr>
      </w:pPr>
    </w:p>
    <w:p>
      <w:pPr>
        <w:pStyle w:val="Heading8"/>
        <w:ind w:left="117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6990" w:space="40"/>
            <w:col w:w="4240"/>
          </w:cols>
        </w:sectPr>
      </w:pPr>
    </w:p>
    <w:p>
      <w:pPr>
        <w:pStyle w:val="BodyText"/>
        <w:spacing w:line="297" w:lineRule="auto" w:before="96"/>
        <w:ind w:right="1126" w:firstLine="480"/>
        <w:jc w:val="both"/>
      </w:pPr>
      <w:r>
        <w:rPr>
          <w:spacing w:val="-6"/>
        </w:rPr>
        <w:t>风湿性疾病的标签往往和成年人联系起来，其实儿童患病并不少见。儿童风湿病病因复</w:t>
      </w:r>
      <w:r>
        <w:rPr>
          <w:spacing w:val="-11"/>
        </w:rPr>
        <w:t>杂，且大多病因不清，涉及遗传、感染、自身免疫等多种因素，起病多为隐蔽，部分进展缓</w:t>
      </w:r>
      <w:r>
        <w:rPr/>
        <w:t>慢，病程较长，且大多具有遗传倾向。这也让儿童风湿病的诊断变得更为复杂且困难。</w:t>
      </w:r>
    </w:p>
    <w:p>
      <w:pPr>
        <w:spacing w:after="0" w:line="297" w:lineRule="auto"/>
        <w:jc w:val="both"/>
        <w:sectPr>
          <w:type w:val="continuous"/>
          <w:pgSz w:w="11910" w:h="16850"/>
          <w:pgMar w:top="1100" w:bottom="1020" w:left="640" w:right="0"/>
        </w:sectPr>
      </w:pPr>
    </w:p>
    <w:p>
      <w:pPr>
        <w:pStyle w:val="BodyText"/>
        <w:spacing w:line="297" w:lineRule="auto" w:before="65"/>
        <w:ind w:right="1010" w:firstLine="480"/>
      </w:pPr>
      <w:r>
        <w:rPr>
          <w:spacing w:val="-7"/>
        </w:rPr>
        <w:t>儿童风湿病临床表现复杂多样，可出现关节、皮肤、眼、肺脏、心脏、肾脏等不同脏器</w:t>
      </w:r>
      <w:r>
        <w:rPr>
          <w:spacing w:val="-11"/>
        </w:rPr>
        <w:t>的症状，不同疾病之间可出现相似的症状，所以治疗方面存在一定难度。该病治疗可涉及非</w:t>
      </w:r>
      <w:r>
        <w:rPr>
          <w:spacing w:val="-19"/>
        </w:rPr>
        <w:t>甾体类抗炎药物、糖皮质激素、非生物性的免疫抑制剂、生物靶向药物及自体干细胞移植等。</w:t>
      </w:r>
      <w:r>
        <w:rPr/>
        <w:t>每种药物使用过程中会出现不同的副作用，如过敏反应、肝肾损伤、眼部受累、骨髓抑制、</w:t>
      </w:r>
      <w:r>
        <w:rPr>
          <w:spacing w:val="-9"/>
        </w:rPr>
        <w:t>生殖功能影响等，药物使用过程中可能出现耐药情况。所以儿童风湿免疫性疾病的治疗周期</w:t>
      </w:r>
      <w:r>
        <w:rPr>
          <w:spacing w:val="-11"/>
        </w:rPr>
        <w:t>比较长，以年作为基本治疗时间单位。儿童风湿科医生会制定一个长期的计划，并根据病情变化不断调整方案，因此患儿家长最好给孩子固定一位医生，进行系统性治疗。</w:t>
      </w:r>
    </w:p>
    <w:p>
      <w:pPr>
        <w:pStyle w:val="BodyText"/>
        <w:spacing w:line="297" w:lineRule="auto"/>
        <w:ind w:right="1127" w:firstLine="480"/>
        <w:jc w:val="both"/>
      </w:pPr>
      <w:r>
        <w:rPr>
          <w:spacing w:val="-8"/>
        </w:rPr>
        <w:t>家长需要特别注意的是，切勿因为看到药物副作用就随意停药减药，一切用药以医嘱为</w:t>
      </w:r>
      <w:r>
        <w:rPr>
          <w:spacing w:val="-11"/>
        </w:rPr>
        <w:t>前提。根据医生安排检查计划，进行药物副作用的监测，在医生的帮助下及时调整剂量或种</w:t>
      </w:r>
      <w:r>
        <w:rPr/>
        <w:t>类、及时处理可能发生的副作用。</w:t>
      </w:r>
    </w:p>
    <w:p>
      <w:pPr>
        <w:spacing w:line="362" w:lineRule="exact" w:before="0"/>
        <w:ind w:left="1117" w:right="0" w:firstLine="0"/>
        <w:jc w:val="both"/>
        <w:rPr>
          <w:rFonts w:ascii="微软雅黑" w:eastAsia="微软雅黑" w:hint="eastAsia"/>
          <w:b/>
          <w:sz w:val="24"/>
        </w:rPr>
      </w:pPr>
      <w:r>
        <w:rPr>
          <w:w w:val="110"/>
          <w:sz w:val="24"/>
        </w:rPr>
        <w:t>作者: 上海市仁济医院儿科 屠志强 </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BodyText"/>
        <w:spacing w:before="15"/>
        <w:ind w:left="0"/>
        <w:rPr>
          <w:rFonts w:ascii="微软雅黑"/>
          <w:b/>
          <w:sz w:val="9"/>
        </w:rPr>
      </w:pPr>
    </w:p>
    <w:p>
      <w:pPr>
        <w:spacing w:after="0"/>
        <w:rPr>
          <w:rFonts w:ascii="微软雅黑"/>
          <w:sz w:val="9"/>
        </w:rPr>
        <w:sectPr>
          <w:pgSz w:w="11910" w:h="16850"/>
          <w:pgMar w:header="906" w:footer="607" w:top="1100" w:bottom="800" w:left="640" w:right="0"/>
        </w:sectPr>
      </w:pPr>
    </w:p>
    <w:p>
      <w:pPr>
        <w:pStyle w:val="Heading4"/>
        <w:spacing w:before="55"/>
        <w:ind w:left="2814"/>
      </w:pPr>
      <w:bookmarkStart w:name="_TOC_250016" w:id="26"/>
      <w:bookmarkEnd w:id="26"/>
      <w:r>
        <w:rPr/>
        <w:t>老年人泌尿系感染应及时使用抗生素</w:t>
      </w:r>
    </w:p>
    <w:p>
      <w:pPr>
        <w:pStyle w:val="BodyText"/>
        <w:ind w:left="0"/>
        <w:rPr>
          <w:b/>
        </w:rPr>
      </w:pPr>
      <w:r>
        <w:rPr/>
        <w:br w:type="column"/>
      </w:r>
      <w:r>
        <w:rPr>
          <w:b/>
        </w:rPr>
      </w:r>
    </w:p>
    <w:p>
      <w:pPr>
        <w:pStyle w:val="BodyText"/>
        <w:spacing w:before="10"/>
        <w:ind w:left="0"/>
        <w:rPr>
          <w:b/>
          <w:sz w:val="23"/>
        </w:rPr>
      </w:pPr>
    </w:p>
    <w:p>
      <w:pPr>
        <w:pStyle w:val="Heading8"/>
        <w:ind w:left="215"/>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7954" w:space="40"/>
            <w:col w:w="3276"/>
          </w:cols>
        </w:sectPr>
      </w:pPr>
    </w:p>
    <w:p>
      <w:pPr>
        <w:pStyle w:val="BodyText"/>
        <w:spacing w:line="297" w:lineRule="auto" w:before="96"/>
        <w:ind w:right="1027" w:firstLine="480"/>
      </w:pPr>
      <w:r>
        <w:rPr>
          <w:spacing w:val="-9"/>
        </w:rPr>
        <w:t>发表在《英国医学杂志》的一项研究表明，存在泌尿系感染</w:t>
      </w:r>
      <w:r>
        <w:rPr>
          <w:spacing w:val="-4"/>
        </w:rPr>
        <w:t>（UTI）</w:t>
      </w:r>
      <w:r>
        <w:rPr>
          <w:spacing w:val="-15"/>
        </w:rPr>
        <w:t>症状的 </w:t>
      </w:r>
      <w:r>
        <w:rPr/>
        <w:t>65</w:t>
      </w:r>
      <w:r>
        <w:rPr>
          <w:spacing w:val="-12"/>
        </w:rPr>
        <w:t> 岁以上人</w:t>
      </w:r>
      <w:r>
        <w:rPr>
          <w:spacing w:val="-13"/>
        </w:rPr>
        <w:t>群，延迟或者不使用抗生素可能导致脓毒症和死亡的风险增加。英国的研究者表示老年人， </w:t>
      </w:r>
      <w:r>
        <w:rPr>
          <w:spacing w:val="-16"/>
        </w:rPr>
        <w:t>特别是 </w:t>
      </w:r>
      <w:r>
        <w:rPr/>
        <w:t>85</w:t>
      </w:r>
      <w:r>
        <w:rPr>
          <w:spacing w:val="-12"/>
        </w:rPr>
        <w:t> 岁以上的男性，如果存在 </w:t>
      </w:r>
      <w:r>
        <w:rPr/>
        <w:t>UTI</w:t>
      </w:r>
      <w:r>
        <w:rPr>
          <w:spacing w:val="-8"/>
        </w:rPr>
        <w:t> 证据时需要给予积极的抗感染治疗。</w:t>
      </w:r>
    </w:p>
    <w:p>
      <w:pPr>
        <w:pStyle w:val="BodyText"/>
        <w:spacing w:line="304" w:lineRule="exact"/>
        <w:ind w:left="1117"/>
      </w:pPr>
      <w:r>
        <w:rPr>
          <w:spacing w:val="-2"/>
        </w:rPr>
        <w:t>研究者利用英格兰各地医院和病死卒记录的相关初级保健数据来进行分析，在 </w:t>
      </w:r>
      <w:r>
        <w:rPr/>
        <w:t>2007</w:t>
      </w:r>
      <w:r>
        <w:rPr>
          <w:spacing w:val="-30"/>
        </w:rPr>
        <w:t> 至</w:t>
      </w:r>
    </w:p>
    <w:p>
      <w:pPr>
        <w:pStyle w:val="BodyText"/>
        <w:spacing w:before="71"/>
      </w:pPr>
      <w:r>
        <w:rPr/>
        <w:t>2015</w:t>
      </w:r>
      <w:r>
        <w:rPr>
          <w:spacing w:val="-14"/>
        </w:rPr>
        <w:t> 年共分析了超过 </w:t>
      </w:r>
      <w:r>
        <w:rPr/>
        <w:t>15</w:t>
      </w:r>
      <w:r>
        <w:rPr>
          <w:spacing w:val="-30"/>
        </w:rPr>
        <w:t> 万名 </w:t>
      </w:r>
      <w:r>
        <w:rPr/>
        <w:t>65</w:t>
      </w:r>
      <w:r>
        <w:rPr>
          <w:spacing w:val="-14"/>
        </w:rPr>
        <w:t> 岁以上患者发生的 </w:t>
      </w:r>
      <w:r>
        <w:rPr/>
        <w:t>30</w:t>
      </w:r>
      <w:r>
        <w:rPr>
          <w:spacing w:val="-20"/>
        </w:rPr>
        <w:t> 多万例次 </w:t>
      </w:r>
      <w:r>
        <w:rPr/>
        <w:t>UTI</w:t>
      </w:r>
      <w:r>
        <w:rPr>
          <w:spacing w:val="-27"/>
        </w:rPr>
        <w:t>。其中 </w:t>
      </w:r>
      <w:r>
        <w:rPr/>
        <w:t>87％的患者立即</w:t>
      </w:r>
    </w:p>
    <w:p>
      <w:pPr>
        <w:pStyle w:val="BodyText"/>
        <w:spacing w:line="295" w:lineRule="auto" w:before="75"/>
        <w:ind w:right="1126"/>
      </w:pPr>
      <w:r>
        <w:rPr>
          <w:spacing w:val="-4"/>
        </w:rPr>
        <w:t>使用抗生素</w:t>
      </w:r>
      <w:r>
        <w:rPr/>
        <w:t>（诊断当日使用</w:t>
      </w:r>
      <w:r>
        <w:rPr>
          <w:spacing w:val="-9"/>
        </w:rPr>
        <w:t>），6％</w:t>
      </w:r>
      <w:r>
        <w:rPr>
          <w:spacing w:val="-2"/>
        </w:rPr>
        <w:t>的患者延迟使用抗生素</w:t>
      </w:r>
      <w:r>
        <w:rPr/>
        <w:t>（</w:t>
      </w:r>
      <w:r>
        <w:rPr>
          <w:spacing w:val="-15"/>
        </w:rPr>
        <w:t>在诊断 </w:t>
      </w:r>
      <w:r>
        <w:rPr/>
        <w:t>7</w:t>
      </w:r>
      <w:r>
        <w:rPr>
          <w:spacing w:val="-12"/>
        </w:rPr>
        <w:t> 天内使用</w:t>
      </w:r>
      <w:r>
        <w:rPr>
          <w:spacing w:val="-9"/>
        </w:rPr>
        <w:t>），7％</w:t>
      </w:r>
      <w:r>
        <w:rPr>
          <w:spacing w:val="-8"/>
        </w:rPr>
        <w:t>的患</w:t>
      </w:r>
      <w:r>
        <w:rPr/>
        <w:t>者没有使用抗生素（7</w:t>
      </w:r>
      <w:r>
        <w:rPr>
          <w:spacing w:val="-8"/>
        </w:rPr>
        <w:t> 天内没有开具抗生素</w:t>
      </w:r>
      <w:r>
        <w:rPr/>
        <w:t>）。</w:t>
      </w:r>
    </w:p>
    <w:p>
      <w:pPr>
        <w:pStyle w:val="BodyText"/>
        <w:spacing w:line="297" w:lineRule="auto" w:before="2"/>
        <w:ind w:right="1147" w:firstLine="480"/>
      </w:pPr>
      <w:r>
        <w:rPr/>
        <w:t>研究者发现，在没有使用抗生素的患者中发生血流感染的风险明显增加（2.9％，n＝ 647），与首诊就开始使用抗生素的患者相比，再次就诊才开具抗生素的患者发生血流感染的风险增加（2.2％比 0.2％，P＝0.001）。研究表明，未使用抗生素的患者或者延迟使用抗生素的患者发生血流感染的机会，较就诊时即刻开始使用抗生素的患者明显增加。</w:t>
      </w:r>
    </w:p>
    <w:p>
      <w:pPr>
        <w:pStyle w:val="BodyText"/>
        <w:spacing w:line="304" w:lineRule="exact"/>
        <w:ind w:left="1117"/>
      </w:pPr>
      <w:r>
        <w:rPr>
          <w:spacing w:val="-2"/>
        </w:rPr>
        <w:t>就血流感染的风险需治人数而言，与立即使用抗生素组相比，无抗生素组为 </w:t>
      </w:r>
      <w:r>
        <w:rPr/>
        <w:t>37</w:t>
      </w:r>
      <w:r>
        <w:rPr>
          <w:spacing w:val="-15"/>
        </w:rPr>
        <w:t> 例，而</w:t>
      </w:r>
    </w:p>
    <w:p>
      <w:pPr>
        <w:pStyle w:val="BodyText"/>
        <w:spacing w:before="72"/>
      </w:pPr>
      <w:r>
        <w:rPr>
          <w:spacing w:val="-8"/>
        </w:rPr>
        <w:t>延迟抗生素组为 </w:t>
      </w:r>
      <w:r>
        <w:rPr/>
        <w:t>51</w:t>
      </w:r>
      <w:r>
        <w:rPr>
          <w:spacing w:val="-8"/>
        </w:rPr>
        <w:t> 例。未立即使用抗生素的患者住院率</w:t>
      </w:r>
      <w:r>
        <w:rPr/>
        <w:t>（27％）几乎是直接接受治疗的患</w:t>
      </w:r>
    </w:p>
    <w:p>
      <w:pPr>
        <w:pStyle w:val="BodyText"/>
        <w:spacing w:line="297" w:lineRule="auto" w:before="72"/>
        <w:ind w:right="1146"/>
      </w:pPr>
      <w:r>
        <w:rPr/>
        <w:t>者（15％）</w:t>
      </w:r>
      <w:r>
        <w:rPr>
          <w:spacing w:val="-10"/>
        </w:rPr>
        <w:t>的两倍。在 </w:t>
      </w:r>
      <w:r>
        <w:rPr/>
        <w:t>60</w:t>
      </w:r>
      <w:r>
        <w:rPr>
          <w:spacing w:val="-9"/>
        </w:rPr>
        <w:t> 天的随访期间，延迟治疗患者或未治疗的患者的全因死亡率明显</w:t>
      </w:r>
      <w:r>
        <w:rPr/>
        <w:t>升高。</w:t>
      </w:r>
    </w:p>
    <w:p>
      <w:pPr>
        <w:pStyle w:val="BodyText"/>
        <w:spacing w:line="235" w:lineRule="auto" w:before="3"/>
        <w:ind w:right="1127" w:firstLine="480"/>
        <w:rPr>
          <w:rFonts w:ascii="微软雅黑" w:eastAsia="微软雅黑" w:hint="eastAsia"/>
          <w:b/>
        </w:rPr>
      </w:pPr>
      <w:r>
        <w:rPr>
          <w:spacing w:val="-10"/>
        </w:rPr>
        <w:t>研究者表示，对于老年患者等弱势群体，全科医生要考虑早期使用抗生素治疗，因为这</w:t>
      </w:r>
      <w:r>
        <w:rPr>
          <w:spacing w:val="-13"/>
        </w:rPr>
        <w:t>些人群在 </w:t>
      </w:r>
      <w:r>
        <w:rPr/>
        <w:t>UTI</w:t>
      </w:r>
      <w:r>
        <w:rPr>
          <w:spacing w:val="-8"/>
        </w:rPr>
        <w:t> 后发生脓毒症的概率增加。</w:t>
      </w:r>
      <w:r>
        <w:rPr>
          <w:rFonts w:ascii="微软雅黑" w:eastAsia="微软雅黑" w:hint="eastAsia"/>
          <w:b/>
          <w:color w:val="0033CC"/>
        </w:rPr>
        <w:t>[</w:t>
      </w:r>
      <w:r>
        <w:rPr>
          <w:rFonts w:ascii="Microsoft JhengHei" w:eastAsia="Microsoft JhengHei" w:hint="eastAsia"/>
          <w:b/>
          <w:color w:val="0033CC"/>
        </w:rPr>
        <w:t>返回目次</w:t>
      </w:r>
      <w:r>
        <w:rPr>
          <w:rFonts w:ascii="微软雅黑" w:eastAsia="微软雅黑" w:hint="eastAsia"/>
          <w:b/>
          <w:color w:val="0033CC"/>
        </w:rPr>
        <w:t>]</w:t>
      </w:r>
    </w:p>
    <w:p>
      <w:pPr>
        <w:pStyle w:val="BodyText"/>
        <w:spacing w:before="11"/>
        <w:ind w:left="0"/>
        <w:rPr>
          <w:rFonts w:ascii="微软雅黑"/>
          <w:b/>
          <w:sz w:val="10"/>
        </w:rPr>
      </w:pPr>
    </w:p>
    <w:p>
      <w:pPr>
        <w:spacing w:after="0"/>
        <w:rPr>
          <w:rFonts w:ascii="微软雅黑"/>
          <w:sz w:val="10"/>
        </w:rPr>
        <w:sectPr>
          <w:type w:val="continuous"/>
          <w:pgSz w:w="11910" w:h="16850"/>
          <w:pgMar w:top="1100" w:bottom="1020" w:left="640" w:right="0"/>
        </w:sectPr>
      </w:pPr>
    </w:p>
    <w:p>
      <w:pPr>
        <w:pStyle w:val="Heading4"/>
        <w:spacing w:before="55"/>
        <w:ind w:left="3779"/>
      </w:pPr>
      <w:bookmarkStart w:name="_TOC_250015" w:id="27"/>
      <w:bookmarkEnd w:id="27"/>
      <w:r>
        <w:rPr>
          <w:spacing w:val="-2"/>
        </w:rPr>
        <w:t>病毒是如何现出原形的</w:t>
      </w:r>
    </w:p>
    <w:p>
      <w:pPr>
        <w:pStyle w:val="BodyText"/>
        <w:ind w:left="0"/>
        <w:rPr>
          <w:b/>
        </w:rPr>
      </w:pPr>
      <w:r>
        <w:rPr/>
        <w:br w:type="column"/>
      </w:r>
      <w:r>
        <w:rPr>
          <w:b/>
        </w:rPr>
      </w:r>
    </w:p>
    <w:p>
      <w:pPr>
        <w:pStyle w:val="BodyText"/>
        <w:spacing w:before="8"/>
        <w:ind w:left="0"/>
        <w:rPr>
          <w:b/>
          <w:sz w:val="23"/>
        </w:rPr>
      </w:pPr>
    </w:p>
    <w:p>
      <w:pPr>
        <w:pStyle w:val="Heading8"/>
        <w:ind w:left="696"/>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640" w:right="0"/>
          <w:cols w:num="2" w:equalWidth="0">
            <w:col w:w="6990" w:space="40"/>
            <w:col w:w="4240"/>
          </w:cols>
        </w:sectPr>
      </w:pPr>
    </w:p>
    <w:p>
      <w:pPr>
        <w:pStyle w:val="BodyText"/>
        <w:spacing w:line="297" w:lineRule="auto" w:before="96"/>
        <w:ind w:right="1126" w:firstLine="480"/>
        <w:jc w:val="both"/>
      </w:pPr>
      <w:r>
        <w:rPr>
          <w:spacing w:val="-3"/>
        </w:rPr>
        <w:t>提起病毒，人们会产生一种恐惧心理。</w:t>
      </w:r>
      <w:r>
        <w:rPr/>
        <w:t>2003</w:t>
      </w:r>
      <w:r>
        <w:rPr>
          <w:spacing w:val="-10"/>
        </w:rPr>
        <w:t> 年的“非典”，</w:t>
      </w:r>
      <w:r>
        <w:rPr/>
        <w:t>2004</w:t>
      </w:r>
      <w:r>
        <w:rPr>
          <w:spacing w:val="-11"/>
        </w:rPr>
        <w:t> 年的禽流感，</w:t>
      </w:r>
      <w:r>
        <w:rPr/>
        <w:t>2013</w:t>
      </w:r>
      <w:r>
        <w:rPr>
          <w:spacing w:val="-42"/>
        </w:rPr>
        <w:t> 年</w:t>
      </w:r>
      <w:r>
        <w:rPr>
          <w:spacing w:val="-16"/>
        </w:rPr>
        <w:t>的甲型 </w:t>
      </w:r>
      <w:r>
        <w:rPr/>
        <w:t>H1N1</w:t>
      </w:r>
      <w:r>
        <w:rPr>
          <w:spacing w:val="-8"/>
        </w:rPr>
        <w:t> 流感等，当时令不少人惊恐失措。特别是“非典”，至今提起，不少人还心有余悸。</w:t>
      </w:r>
    </w:p>
    <w:p>
      <w:pPr>
        <w:spacing w:after="0" w:line="297" w:lineRule="auto"/>
        <w:jc w:val="both"/>
        <w:sectPr>
          <w:type w:val="continuous"/>
          <w:pgSz w:w="11910" w:h="16850"/>
          <w:pgMar w:top="1100" w:bottom="1020" w:left="640" w:right="0"/>
        </w:sectPr>
      </w:pPr>
    </w:p>
    <w:p>
      <w:pPr>
        <w:pStyle w:val="BodyText"/>
        <w:spacing w:line="295" w:lineRule="auto" w:before="65"/>
        <w:ind w:right="1259" w:firstLine="480"/>
      </w:pPr>
      <w:r>
        <w:rPr/>
        <w:t>其实，医学上对流感、乙肝等疾病的症状早有记述，但却找不到确切病因。直到 100 多年前，才发现了这些病的罪魁祸首是病毒。</w:t>
      </w:r>
    </w:p>
    <w:p>
      <w:pPr>
        <w:pStyle w:val="BodyText"/>
        <w:spacing w:line="297" w:lineRule="auto" w:before="2"/>
        <w:ind w:right="1025" w:firstLine="480"/>
      </w:pPr>
      <w:r>
        <w:rPr/>
        <w:t>病毒个体微小，形状诡异，一般显微镜难觅它的踪影，细菌过滤器也“打捞”不到它， 它是怎样被发现的呢？</w:t>
      </w:r>
    </w:p>
    <w:p>
      <w:pPr>
        <w:pStyle w:val="Heading8"/>
        <w:spacing w:line="306" w:lineRule="exact"/>
      </w:pPr>
      <w:r>
        <w:rPr/>
        <w:t>发现的过程</w:t>
      </w:r>
    </w:p>
    <w:p>
      <w:pPr>
        <w:pStyle w:val="BodyText"/>
        <w:spacing w:line="297" w:lineRule="auto" w:before="72"/>
        <w:ind w:right="1127" w:firstLine="480"/>
      </w:pPr>
      <w:r>
        <w:rPr>
          <w:spacing w:val="-9"/>
        </w:rPr>
        <w:t>现在一般认为，荷兰的贝杰林克是病毒的发现者。但这个发现并非一蹴而就，而是经过</w:t>
      </w:r>
      <w:r>
        <w:rPr/>
        <w:t>了几位科学家的努力，为他最后发现打下了基础。</w:t>
      </w:r>
    </w:p>
    <w:p>
      <w:pPr>
        <w:pStyle w:val="BodyText"/>
        <w:spacing w:line="297" w:lineRule="auto"/>
        <w:ind w:right="1130" w:firstLine="480"/>
      </w:pPr>
      <w:r>
        <w:rPr/>
        <w:t>1886</w:t>
      </w:r>
      <w:r>
        <w:rPr>
          <w:spacing w:val="-8"/>
        </w:rPr>
        <w:t> 年，在荷兰工作的德国人麦尔，把患有花叶病的烟草植株的叶片加水研碎，取其</w:t>
      </w:r>
      <w:r>
        <w:rPr>
          <w:spacing w:val="-14"/>
        </w:rPr>
        <w:t>汁液注射到健康烟草的叶脉中，引起花叶病，证明这种病是可以传染的。通过对叶子和土壤</w:t>
      </w:r>
      <w:r>
        <w:rPr/>
        <w:t>的分析，麦尔指出烟草花叶病是由细菌引起的。</w:t>
      </w:r>
    </w:p>
    <w:p>
      <w:pPr>
        <w:pStyle w:val="BodyText"/>
        <w:spacing w:line="297" w:lineRule="auto"/>
        <w:ind w:right="1027" w:firstLine="480"/>
      </w:pPr>
      <w:r>
        <w:rPr/>
        <w:t>1892</w:t>
      </w:r>
      <w:r>
        <w:rPr>
          <w:spacing w:val="-8"/>
        </w:rPr>
        <w:t> 年，俄国的伊万诺夫斯基，重复了麦尔的实验，证实了麦尔所看到的现象；而且</w:t>
      </w:r>
      <w:r>
        <w:rPr>
          <w:spacing w:val="-13"/>
        </w:rPr>
        <w:t>他进一步发现，患病烟草植株的叶片汁液通过细菌过滤器过滤后，仍能引发健康的烟草植株</w:t>
      </w:r>
      <w:r>
        <w:rPr>
          <w:spacing w:val="-14"/>
        </w:rPr>
        <w:t>发生花叶病。这种现象至少可以证明，这种病的病原不是细菌。但他并没有跳出细菌致病的</w:t>
      </w:r>
      <w:r>
        <w:rPr>
          <w:spacing w:val="-15"/>
        </w:rPr>
        <w:t>框框，而将其解释为是由于细菌产生的毒素引起的。他受当时巴斯德细菌致病学说的限制， </w:t>
      </w:r>
      <w:r>
        <w:rPr/>
        <w:t>没有做进一步的思考，从而错失了一次获得重大发现的机会。</w:t>
      </w:r>
    </w:p>
    <w:p>
      <w:pPr>
        <w:pStyle w:val="BodyText"/>
        <w:spacing w:line="297" w:lineRule="auto"/>
        <w:ind w:right="1026" w:firstLine="480"/>
      </w:pPr>
      <w:r>
        <w:rPr>
          <w:spacing w:val="-16"/>
        </w:rPr>
        <w:t>又过了 </w:t>
      </w:r>
      <w:r>
        <w:rPr/>
        <w:t>6</w:t>
      </w:r>
      <w:r>
        <w:rPr>
          <w:spacing w:val="-24"/>
        </w:rPr>
        <w:t> 年，即 </w:t>
      </w:r>
      <w:r>
        <w:rPr/>
        <w:t>1898</w:t>
      </w:r>
      <w:r>
        <w:rPr>
          <w:spacing w:val="-8"/>
        </w:rPr>
        <w:t> 年，荷兰微生物学家和植物学家贝杰林克，同样证实了麦尔的观</w:t>
      </w:r>
      <w:r>
        <w:rPr>
          <w:spacing w:val="-11"/>
        </w:rPr>
        <w:t>察结果，并同伊万诺夫斯基一样，发现烟草花叶病病原能够通过细菌过滤器。但贝杰林克思</w:t>
      </w:r>
      <w:r>
        <w:rPr>
          <w:spacing w:val="-13"/>
        </w:rPr>
        <w:t>考得更深入。他把烟草花叶病植株的汁液置于琼脂凝胶块的表面，发现感染烟草花叶病的物</w:t>
      </w:r>
      <w:r>
        <w:rPr>
          <w:spacing w:val="-16"/>
        </w:rPr>
        <w:t>质在凝胶中以适度的速度扩散，而细菌仍滞留于琼脂的表面。从这些实验结果，贝杰林克指</w:t>
      </w:r>
      <w:r>
        <w:rPr>
          <w:spacing w:val="-9"/>
        </w:rPr>
        <w:t>出，引起烟草花叶病的致病因子有三个特点：</w:t>
      </w:r>
      <w:r>
        <w:rPr>
          <w:spacing w:val="-12"/>
        </w:rPr>
        <w:t>1.</w:t>
      </w:r>
      <w:r>
        <w:rPr>
          <w:spacing w:val="-2"/>
        </w:rPr>
        <w:t>能通过细菌过滤器；</w:t>
      </w:r>
      <w:r>
        <w:rPr>
          <w:spacing w:val="-12"/>
        </w:rPr>
        <w:t>2.</w:t>
      </w:r>
      <w:r>
        <w:rPr/>
        <w:t>仅能在感染的细胞内</w:t>
      </w:r>
      <w:r>
        <w:rPr>
          <w:spacing w:val="-4"/>
        </w:rPr>
        <w:t>繁殖；</w:t>
      </w:r>
      <w:r>
        <w:rPr>
          <w:spacing w:val="-12"/>
        </w:rPr>
        <w:t>3</w:t>
      </w:r>
      <w:r>
        <w:rPr>
          <w:spacing w:val="-7"/>
        </w:rPr>
        <w:t>.在体外非生命物质中不能生长。根据这几个特点他提出这种致病因子不是细菌，而</w:t>
      </w:r>
      <w:r>
        <w:rPr>
          <w:spacing w:val="-8"/>
        </w:rPr>
        <w:t>是一种新的物质，称为“有感染性的活的流质”，并取名为病毒。他主张病毒是一种液体， </w:t>
      </w:r>
      <w:r>
        <w:rPr/>
        <w:t>但后来美国化学家斯坦利证明了病毒其实是微粒。</w:t>
      </w:r>
    </w:p>
    <w:p>
      <w:pPr>
        <w:pStyle w:val="BodyText"/>
        <w:spacing w:line="297" w:lineRule="auto"/>
        <w:ind w:right="1007" w:firstLine="480"/>
      </w:pPr>
      <w:r>
        <w:rPr>
          <w:spacing w:val="-12"/>
        </w:rPr>
        <w:t>潜伏多个世纪的病毒终于被“揪”出来了！几乎是同时，德国细菌学家勒夫勒和费罗施， </w:t>
      </w:r>
      <w:r>
        <w:rPr>
          <w:spacing w:val="-5"/>
        </w:rPr>
        <w:t>发现了引起牛口蹄疫的病原也可以通过细菌过滤器，从而再次证明伊万诺夫斯基和贝杰林克的重大发现。</w:t>
      </w:r>
    </w:p>
    <w:p>
      <w:pPr>
        <w:pStyle w:val="Heading8"/>
        <w:spacing w:line="304" w:lineRule="exact"/>
      </w:pPr>
      <w:r>
        <w:rPr/>
        <w:t>认识病毒的真面目</w:t>
      </w:r>
    </w:p>
    <w:p>
      <w:pPr>
        <w:pStyle w:val="BodyText"/>
        <w:spacing w:line="295" w:lineRule="auto" w:before="51"/>
        <w:ind w:right="1127" w:firstLine="480"/>
        <w:jc w:val="both"/>
      </w:pPr>
      <w:r>
        <w:rPr>
          <w:spacing w:val="-6"/>
        </w:rPr>
        <w:t>病毒究竟什么样？它的个体微乎其微，体积是一毫米的几十万到百万分之一，也就是几</w:t>
      </w:r>
      <w:r>
        <w:rPr>
          <w:spacing w:val="-10"/>
        </w:rPr>
        <w:t>纳米，在一般在光学显微镜下是看不到的，因为它比细菌小得多，所以细菌过滤器也滤不出</w:t>
      </w:r>
      <w:r>
        <w:rPr/>
        <w:t>它，只有在电子显微镜下，才会现出原形。</w:t>
      </w:r>
    </w:p>
    <w:p>
      <w:pPr>
        <w:pStyle w:val="BodyText"/>
        <w:spacing w:line="295" w:lineRule="auto" w:before="6"/>
        <w:ind w:right="1127" w:firstLine="480"/>
      </w:pPr>
      <w:r>
        <w:rPr>
          <w:spacing w:val="-9"/>
        </w:rPr>
        <w:t>病毒的种类繁多，形态各异，有球状、丝状、杆状、蝌蚪状等。它没有细胞结构，在其</w:t>
      </w:r>
      <w:r>
        <w:rPr/>
        <w:t>他生物的细胞内寄生，利用细胞的生物合成来复制、增殖、遗传和演化。</w:t>
      </w:r>
    </w:p>
    <w:p>
      <w:pPr>
        <w:pStyle w:val="BodyText"/>
        <w:spacing w:line="297" w:lineRule="auto" w:before="2"/>
        <w:ind w:right="1130" w:firstLine="480"/>
        <w:jc w:val="both"/>
      </w:pPr>
      <w:r>
        <w:rPr>
          <w:spacing w:val="-9"/>
        </w:rPr>
        <w:t>病毒的危害很大。例如艾滋病病毒、狂犬病病毒、疯牛病病毒等，给人类带来生命的危</w:t>
      </w:r>
      <w:r>
        <w:rPr>
          <w:spacing w:val="-12"/>
        </w:rPr>
        <w:t>险；流感病毒传播迅速，使众多人患病；肝炎病毒使患者迁延不愈；脊髓灰质炎曾导致许多</w:t>
      </w:r>
      <w:r>
        <w:rPr>
          <w:spacing w:val="-10"/>
        </w:rPr>
        <w:t>儿童残疾；天花病毒曾使千百万人丧生。病毒还会使牲畜、家禽成群死亡，植物病毒会使农</w:t>
      </w:r>
      <w:r>
        <w:rPr/>
        <w:t>业减产，造成严重的经济损失。</w:t>
      </w:r>
    </w:p>
    <w:p>
      <w:pPr>
        <w:pStyle w:val="BodyText"/>
        <w:spacing w:line="295" w:lineRule="auto"/>
        <w:ind w:right="1127" w:firstLine="480"/>
      </w:pPr>
      <w:r>
        <w:rPr>
          <w:spacing w:val="-9"/>
        </w:rPr>
        <w:t>自发现病毒以来，人们一直对其进行研究，与其做着不懈斗争。疫苗就是将病毒等病原</w:t>
      </w:r>
      <w:r>
        <w:rPr>
          <w:spacing w:val="-8"/>
        </w:rPr>
        <w:t>微生物及其代谢产物，经过人工减毒、灭活或利用基因工程等方法，制成的用于预防传染病</w:t>
      </w:r>
    </w:p>
    <w:p>
      <w:pPr>
        <w:spacing w:after="0" w:line="295" w:lineRule="auto"/>
        <w:sectPr>
          <w:pgSz w:w="11910" w:h="16850"/>
          <w:pgMar w:header="906" w:footer="607" w:top="1100" w:bottom="800" w:left="640" w:right="0"/>
        </w:sectPr>
      </w:pPr>
    </w:p>
    <w:p>
      <w:pPr>
        <w:pStyle w:val="BodyText"/>
        <w:spacing w:line="295" w:lineRule="auto" w:before="65"/>
        <w:ind w:right="1009"/>
        <w:jc w:val="both"/>
      </w:pPr>
      <w:r>
        <w:rPr/>
        <w:t>的自动免疫制剂，它可以提高人体的免疫力，阻止相应病毒等的感染，有的还有治疗作用。</w:t>
      </w:r>
      <w:r>
        <w:rPr>
          <w:spacing w:val="-12"/>
        </w:rPr>
        <w:t>如由于天花疫苗的研制成功和广泛应用，才使天花在地球上绝迹。脊髓灰质炎疫苗研制成功， </w:t>
      </w:r>
      <w:r>
        <w:rPr/>
        <w:t>就有了预防和消灭脊髓灰质炎的有效手段。</w:t>
      </w:r>
    </w:p>
    <w:p>
      <w:pPr>
        <w:pStyle w:val="Heading8"/>
        <w:spacing w:before="5"/>
      </w:pPr>
      <w:r>
        <w:rPr/>
        <w:t>如何防止感染病毒</w:t>
      </w:r>
    </w:p>
    <w:p>
      <w:pPr>
        <w:pStyle w:val="BodyText"/>
        <w:spacing w:line="295" w:lineRule="auto" w:before="72"/>
        <w:ind w:right="1130" w:firstLine="480"/>
      </w:pPr>
      <w:r>
        <w:rPr>
          <w:spacing w:val="-11"/>
        </w:rPr>
        <w:t>对于病毒，人们既不要忽视、麻痹，也不要恐惧、惊慌，而是要客观认识它的危害和传</w:t>
      </w:r>
      <w:r>
        <w:rPr/>
        <w:t>播途径，采取有效措施来加以防治。</w:t>
      </w:r>
    </w:p>
    <w:p>
      <w:pPr>
        <w:pStyle w:val="BodyText"/>
        <w:spacing w:line="295" w:lineRule="auto" w:before="4"/>
        <w:ind w:right="1127" w:firstLine="480"/>
      </w:pPr>
      <w:r>
        <w:rPr>
          <w:spacing w:val="-6"/>
        </w:rPr>
        <w:t>目前已知的常规传染性病毒大致可分为两大类。一类是接触式的传染，如艾滋病、肠道</w:t>
      </w:r>
      <w:r>
        <w:rPr/>
        <w:t>传染病等；一类是非接触式的传染，如打喷嚏飞沫传染的各类感冒等。</w:t>
      </w:r>
    </w:p>
    <w:p>
      <w:pPr>
        <w:pStyle w:val="BodyText"/>
        <w:spacing w:before="2"/>
        <w:ind w:left="1117"/>
      </w:pPr>
      <w:r>
        <w:rPr/>
        <w:t>防止感染病毒可采取以下措施:</w:t>
      </w:r>
    </w:p>
    <w:p>
      <w:pPr>
        <w:pStyle w:val="BodyText"/>
        <w:spacing w:line="295" w:lineRule="auto" w:before="75"/>
        <w:ind w:right="1027" w:firstLine="480"/>
      </w:pPr>
      <w:r>
        <w:rPr>
          <w:spacing w:val="-1"/>
        </w:rPr>
        <w:t>对于接触式的各类传染性病毒的防护，主要是养成良好的卫生习惯，如饭前便后洗手， </w:t>
      </w:r>
      <w:r>
        <w:rPr>
          <w:spacing w:val="-9"/>
        </w:rPr>
        <w:t>勤换衣裤，避免接触；对于通过血液等途径传播的病毒如乙肝、艾滋病病毒等，要做好自身防护，避免高危接触。</w:t>
      </w:r>
    </w:p>
    <w:p>
      <w:pPr>
        <w:pStyle w:val="BodyText"/>
        <w:spacing w:line="295" w:lineRule="auto" w:before="5"/>
        <w:ind w:right="1130" w:firstLine="480"/>
      </w:pPr>
      <w:r>
        <w:rPr>
          <w:spacing w:val="-8"/>
        </w:rPr>
        <w:t>对于非接触式传染病的防护，主要是改良居住环境，防止污染，避免到人群密集区，常</w:t>
      </w:r>
      <w:r>
        <w:rPr/>
        <w:t>戴口罩，保持室内空气流通等。</w:t>
      </w:r>
    </w:p>
    <w:p>
      <w:pPr>
        <w:pStyle w:val="BodyText"/>
        <w:spacing w:line="297" w:lineRule="auto" w:before="2"/>
        <w:ind w:right="1027" w:firstLine="480"/>
      </w:pPr>
      <w:r>
        <w:rPr>
          <w:spacing w:val="-8"/>
        </w:rPr>
        <w:t>要增强防病意识，掌握有关知识。了解病毒的传播规律，有针对性地进行防护。有特异</w:t>
      </w:r>
      <w:r>
        <w:rPr>
          <w:spacing w:val="-9"/>
        </w:rPr>
        <w:t>性预防接种手段的要进行预防接种，如接种甲肝疫苗、脊髓灰质炎疫苗等。及时发现患者， </w:t>
      </w:r>
      <w:r>
        <w:rPr/>
        <w:t>加以隔离治疗。</w:t>
      </w:r>
    </w:p>
    <w:p>
      <w:pPr>
        <w:pStyle w:val="BodyText"/>
        <w:spacing w:line="297" w:lineRule="auto"/>
        <w:ind w:right="1132" w:firstLine="480"/>
      </w:pPr>
      <w:r>
        <w:rPr>
          <w:spacing w:val="-10"/>
        </w:rPr>
        <w:t>加强体育锻炼，增强体质，提高免疫力；同时要注意合理营养，戒烟限酒，克服熬夜打</w:t>
      </w:r>
      <w:r>
        <w:rPr/>
        <w:t>牌、夜间加餐等不良习惯。</w:t>
      </w:r>
    </w:p>
    <w:p>
      <w:pPr>
        <w:pStyle w:val="BodyText"/>
        <w:spacing w:line="306" w:lineRule="exact"/>
        <w:ind w:left="1117"/>
      </w:pPr>
      <w:r>
        <w:rPr/>
        <w:t>要保持良好的心理状态，提高对挫折与不良事件的承受能力。</w:t>
      </w:r>
    </w:p>
    <w:p>
      <w:pPr>
        <w:pStyle w:val="BodyText"/>
        <w:spacing w:before="68"/>
        <w:ind w:firstLine="480"/>
      </w:pPr>
      <w:r>
        <w:rPr/>
        <w:t>如饲养动物，应定期给动物注射疫苗。避免和动物亲密接触，特别是孕妇、幼儿更要严</w:t>
      </w:r>
    </w:p>
    <w:p>
      <w:pPr>
        <w:pStyle w:val="BodyText"/>
        <w:spacing w:line="235" w:lineRule="auto" w:before="79"/>
        <w:ind w:right="1135"/>
        <w:rPr>
          <w:rFonts w:ascii="微软雅黑" w:eastAsia="微软雅黑" w:hint="eastAsia"/>
          <w:b/>
        </w:rPr>
      </w:pPr>
      <w:r>
        <w:rPr>
          <w:spacing w:val="-9"/>
        </w:rPr>
        <w:t>格避免与动物接触。如果被动物咬伤、抓伤或黏膜接触到动物的血液、唾液、体液、分泌物</w:t>
      </w:r>
      <w:r>
        <w:rPr>
          <w:w w:val="110"/>
        </w:rPr>
        <w:t>等时，要按规范采取预防性措施。</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10"/>
        <w:ind w:left="0"/>
        <w:rPr>
          <w:rFonts w:ascii="微软雅黑"/>
          <w:b/>
          <w:sz w:val="10"/>
        </w:rPr>
      </w:pPr>
    </w:p>
    <w:p>
      <w:pPr>
        <w:spacing w:after="0"/>
        <w:rPr>
          <w:rFonts w:ascii="微软雅黑"/>
          <w:sz w:val="10"/>
        </w:rPr>
        <w:sectPr>
          <w:pgSz w:w="11910" w:h="16850"/>
          <w:pgMar w:header="906" w:footer="607" w:top="1100" w:bottom="800" w:left="640" w:right="0"/>
        </w:sectPr>
      </w:pPr>
    </w:p>
    <w:p>
      <w:pPr>
        <w:pStyle w:val="Heading4"/>
        <w:spacing w:before="54"/>
        <w:ind w:left="3940"/>
      </w:pPr>
      <w:bookmarkStart w:name="_TOC_250014" w:id="28"/>
      <w:bookmarkEnd w:id="28"/>
      <w:r>
        <w:rPr>
          <w:spacing w:val="-3"/>
        </w:rPr>
        <w:t>外贴膏药您贴对了吗</w:t>
      </w:r>
    </w:p>
    <w:p>
      <w:pPr>
        <w:pStyle w:val="BodyText"/>
        <w:ind w:left="0"/>
        <w:rPr>
          <w:b/>
        </w:rPr>
      </w:pPr>
      <w:r>
        <w:rPr/>
        <w:br w:type="column"/>
      </w:r>
      <w:r>
        <w:rPr>
          <w:b/>
        </w:rPr>
      </w:r>
    </w:p>
    <w:p>
      <w:pPr>
        <w:pStyle w:val="BodyText"/>
        <w:spacing w:before="9"/>
        <w:ind w:left="0"/>
        <w:rPr>
          <w:b/>
          <w:sz w:val="23"/>
        </w:rPr>
      </w:pPr>
    </w:p>
    <w:p>
      <w:pPr>
        <w:pStyle w:val="Heading8"/>
        <w:spacing w:before="1"/>
        <w:ind w:left="1339"/>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640" w:right="0"/>
          <w:cols w:num="2" w:equalWidth="0">
            <w:col w:w="6829" w:space="40"/>
            <w:col w:w="4401"/>
          </w:cols>
        </w:sectPr>
      </w:pPr>
    </w:p>
    <w:p>
      <w:pPr>
        <w:pStyle w:val="BodyText"/>
        <w:spacing w:line="297" w:lineRule="auto" w:before="96"/>
        <w:ind w:right="1006" w:firstLine="480"/>
      </w:pPr>
      <w:r>
        <w:rPr>
          <w:spacing w:val="-12"/>
        </w:rPr>
        <w:t>颈、肩、腰、腿痛等慢性劳损性疾病很常见，贴膏药止痛，取材方便、操作简单，因此</w:t>
      </w:r>
      <w:r>
        <w:rPr>
          <w:spacing w:val="-19"/>
        </w:rPr>
        <w:t>人们对膏药情有独钟。常用膏药的药物组成虽不完全相同，但形式上基本都是“橡皮膏药”， </w:t>
      </w:r>
      <w:r>
        <w:rPr/>
        <w:t>即将药附着在卫生胶布上，再将胶布贴于患处。</w:t>
      </w:r>
    </w:p>
    <w:p>
      <w:pPr>
        <w:pStyle w:val="BodyText"/>
        <w:spacing w:line="295" w:lineRule="auto"/>
        <w:ind w:right="1129" w:firstLine="480"/>
      </w:pPr>
      <w:r>
        <w:rPr>
          <w:spacing w:val="-9"/>
        </w:rPr>
        <w:t>膏药使用看似简单，但外贴时您未必就贴对了。下面，我们来说一说贴膏药要注意的几</w:t>
      </w:r>
      <w:r>
        <w:rPr/>
        <w:t>个细节。</w:t>
      </w:r>
    </w:p>
    <w:p>
      <w:pPr>
        <w:pStyle w:val="ListParagraph"/>
        <w:numPr>
          <w:ilvl w:val="1"/>
          <w:numId w:val="6"/>
        </w:numPr>
        <w:tabs>
          <w:tab w:pos="1359" w:val="left" w:leader="none"/>
        </w:tabs>
        <w:spacing w:line="295" w:lineRule="auto" w:before="0" w:after="0"/>
        <w:ind w:left="637" w:right="1132" w:firstLine="480"/>
        <w:jc w:val="left"/>
        <w:rPr>
          <w:sz w:val="24"/>
        </w:rPr>
      </w:pPr>
      <w:r>
        <w:rPr>
          <w:spacing w:val="-8"/>
          <w:sz w:val="24"/>
        </w:rPr>
        <w:t>贴前注意干燥和干净。皮肤表面如果有破损、溃烂时，千万不能贴，易引起感染。贴</w:t>
      </w:r>
      <w:r>
        <w:rPr>
          <w:sz w:val="24"/>
        </w:rPr>
        <w:t>前要将被贴部位的皮肤用温水擦洗干净，晾干再贴，这样有助于药效的发挥。</w:t>
      </w:r>
    </w:p>
    <w:p>
      <w:pPr>
        <w:pStyle w:val="ListParagraph"/>
        <w:numPr>
          <w:ilvl w:val="1"/>
          <w:numId w:val="6"/>
        </w:numPr>
        <w:tabs>
          <w:tab w:pos="1359" w:val="left" w:leader="none"/>
        </w:tabs>
        <w:spacing w:line="240" w:lineRule="auto" w:before="2" w:after="0"/>
        <w:ind w:left="1358" w:right="0" w:hanging="242"/>
        <w:jc w:val="left"/>
        <w:rPr>
          <w:sz w:val="24"/>
        </w:rPr>
      </w:pPr>
      <w:r>
        <w:rPr>
          <w:sz w:val="24"/>
        </w:rPr>
        <w:t>有些部位不能贴。腹部、会阴部、高度水肿等部位不能贴膏药。</w:t>
      </w:r>
    </w:p>
    <w:p>
      <w:pPr>
        <w:pStyle w:val="ListParagraph"/>
        <w:numPr>
          <w:ilvl w:val="1"/>
          <w:numId w:val="6"/>
        </w:numPr>
        <w:tabs>
          <w:tab w:pos="1359" w:val="left" w:leader="none"/>
        </w:tabs>
        <w:spacing w:line="295" w:lineRule="auto" w:before="75" w:after="0"/>
        <w:ind w:left="637" w:right="1007" w:firstLine="480"/>
        <w:jc w:val="left"/>
        <w:rPr>
          <w:sz w:val="24"/>
        </w:rPr>
      </w:pPr>
      <w:r>
        <w:rPr>
          <w:spacing w:val="-9"/>
          <w:sz w:val="24"/>
        </w:rPr>
        <w:t>过敏体质不能贴。贴上膏药后 </w:t>
      </w:r>
      <w:r>
        <w:rPr>
          <w:sz w:val="24"/>
        </w:rPr>
        <w:t>10</w:t>
      </w:r>
      <w:r>
        <w:rPr>
          <w:spacing w:val="-13"/>
          <w:sz w:val="24"/>
        </w:rPr>
        <w:t> 分钟左右，如感到被贴部位的皮肤出现发痒、灼热、</w:t>
      </w:r>
      <w:r>
        <w:rPr>
          <w:sz w:val="24"/>
        </w:rPr>
        <w:t>刺痛时，要及时揭掉。</w:t>
      </w:r>
    </w:p>
    <w:p>
      <w:pPr>
        <w:spacing w:after="0" w:line="295" w:lineRule="auto"/>
        <w:jc w:val="left"/>
        <w:rPr>
          <w:sz w:val="24"/>
        </w:rPr>
        <w:sectPr>
          <w:type w:val="continuous"/>
          <w:pgSz w:w="11910" w:h="16850"/>
          <w:pgMar w:top="1100" w:bottom="1020" w:left="640" w:right="0"/>
        </w:sectPr>
      </w:pPr>
    </w:p>
    <w:p>
      <w:pPr>
        <w:pStyle w:val="ListParagraph"/>
        <w:numPr>
          <w:ilvl w:val="1"/>
          <w:numId w:val="6"/>
        </w:numPr>
        <w:tabs>
          <w:tab w:pos="1359" w:val="left" w:leader="none"/>
        </w:tabs>
        <w:spacing w:line="295" w:lineRule="auto" w:before="65" w:after="0"/>
        <w:ind w:left="637" w:right="1010" w:firstLine="480"/>
        <w:jc w:val="left"/>
        <w:rPr>
          <w:sz w:val="24"/>
        </w:rPr>
      </w:pPr>
      <w:r>
        <w:rPr>
          <w:spacing w:val="-10"/>
          <w:sz w:val="24"/>
        </w:rPr>
        <w:t>最长不超过 </w:t>
      </w:r>
      <w:r>
        <w:rPr>
          <w:sz w:val="24"/>
        </w:rPr>
        <w:t>24</w:t>
      </w:r>
      <w:r>
        <w:rPr>
          <w:spacing w:val="-14"/>
          <w:sz w:val="24"/>
        </w:rPr>
        <w:t> 小时。膏药用于肌表，贴于体表刺激神经末梢，通过反射，扩张血管， </w:t>
      </w:r>
      <w:r>
        <w:rPr>
          <w:spacing w:val="-8"/>
          <w:sz w:val="24"/>
        </w:rPr>
        <w:t>促进局部血液循环，改善周围组织营养，达到消肿、消炎和镇痛的目的。一般一剂膏药不能</w:t>
      </w:r>
      <w:r>
        <w:rPr>
          <w:spacing w:val="-26"/>
          <w:sz w:val="24"/>
        </w:rPr>
        <w:t>超过 </w:t>
      </w:r>
      <w:r>
        <w:rPr>
          <w:sz w:val="24"/>
        </w:rPr>
        <w:t>24</w:t>
      </w:r>
      <w:r>
        <w:rPr>
          <w:spacing w:val="-8"/>
          <w:sz w:val="24"/>
        </w:rPr>
        <w:t> 小时，时间长了，不仅药物失效，而且还对皮肤刺激大。</w:t>
      </w:r>
    </w:p>
    <w:p>
      <w:pPr>
        <w:pStyle w:val="ListParagraph"/>
        <w:numPr>
          <w:ilvl w:val="1"/>
          <w:numId w:val="6"/>
        </w:numPr>
        <w:tabs>
          <w:tab w:pos="1359" w:val="left" w:leader="none"/>
        </w:tabs>
        <w:spacing w:line="240" w:lineRule="auto" w:before="5" w:after="0"/>
        <w:ind w:left="1358" w:right="0" w:hanging="242"/>
        <w:jc w:val="left"/>
        <w:rPr>
          <w:sz w:val="24"/>
        </w:rPr>
      </w:pPr>
      <w:r>
        <w:rPr>
          <w:spacing w:val="-14"/>
          <w:sz w:val="24"/>
        </w:rPr>
        <w:t>起泡不要弄破。如果贴过膏药的皮肤上红肿起泡，尽量不要将水泡弄破，等待其自愈。</w:t>
      </w:r>
    </w:p>
    <w:p>
      <w:pPr>
        <w:pStyle w:val="ListParagraph"/>
        <w:numPr>
          <w:ilvl w:val="1"/>
          <w:numId w:val="6"/>
        </w:numPr>
        <w:tabs>
          <w:tab w:pos="1359" w:val="left" w:leader="none"/>
        </w:tabs>
        <w:spacing w:line="295" w:lineRule="auto" w:before="72" w:after="0"/>
        <w:ind w:left="637" w:right="1027" w:firstLine="480"/>
        <w:jc w:val="left"/>
        <w:rPr>
          <w:sz w:val="24"/>
        </w:rPr>
      </w:pPr>
      <w:r>
        <w:rPr>
          <w:spacing w:val="-1"/>
          <w:sz w:val="24"/>
        </w:rPr>
        <w:t>揭膏药注意方法。膏药在揭掉时有时会很疼，如果先用温水在膏药表面湿一湿再揭， </w:t>
      </w:r>
      <w:r>
        <w:rPr>
          <w:sz w:val="24"/>
        </w:rPr>
        <w:t>就会好很多。</w:t>
      </w:r>
    </w:p>
    <w:p>
      <w:pPr>
        <w:pStyle w:val="BodyText"/>
        <w:spacing w:line="295" w:lineRule="auto" w:before="4"/>
        <w:ind w:right="1132" w:firstLine="480"/>
      </w:pPr>
      <w:r>
        <w:rPr>
          <w:spacing w:val="-9"/>
        </w:rPr>
        <w:t>老年人皮肤代谢慢，皮肤保湿能力降低，皮肤屏障功能差，表皮细胞更新慢，贴膏药时</w:t>
      </w:r>
      <w:r>
        <w:rPr/>
        <w:t>如不能掌握正确的贴法，易引起感染，甚至压疮。</w:t>
      </w:r>
    </w:p>
    <w:p>
      <w:pPr>
        <w:pStyle w:val="BodyText"/>
        <w:spacing w:line="368" w:lineRule="exact"/>
        <w:ind w:left="1117"/>
        <w:rPr>
          <w:rFonts w:ascii="微软雅黑" w:eastAsia="微软雅黑" w:hint="eastAsia"/>
          <w:b/>
        </w:rPr>
      </w:pPr>
      <w:r>
        <w:rPr>
          <w:w w:val="110"/>
        </w:rPr>
        <w:t>作者: 华中科技大学同济医学院附属武汉中心医院综合一科 喻慧敏 </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10"/>
        <w:ind w:left="0"/>
        <w:rPr>
          <w:rFonts w:ascii="微软雅黑"/>
          <w:b/>
          <w:sz w:val="10"/>
        </w:rPr>
      </w:pPr>
    </w:p>
    <w:p>
      <w:pPr>
        <w:spacing w:after="0"/>
        <w:rPr>
          <w:rFonts w:ascii="微软雅黑"/>
          <w:sz w:val="10"/>
        </w:rPr>
        <w:sectPr>
          <w:pgSz w:w="11910" w:h="16850"/>
          <w:pgMar w:header="906" w:footer="607" w:top="1100" w:bottom="800" w:left="640" w:right="0"/>
        </w:sectPr>
      </w:pPr>
    </w:p>
    <w:p>
      <w:pPr>
        <w:pStyle w:val="Heading4"/>
        <w:spacing w:before="55"/>
        <w:ind w:left="3779"/>
      </w:pPr>
      <w:bookmarkStart w:name="_TOC_250013" w:id="29"/>
      <w:bookmarkEnd w:id="29"/>
      <w:r>
        <w:rPr/>
        <w:t>打胰岛素不疼的小窍门</w:t>
      </w:r>
    </w:p>
    <w:p>
      <w:pPr>
        <w:pStyle w:val="BodyText"/>
        <w:ind w:left="0"/>
        <w:rPr>
          <w:b/>
        </w:rPr>
      </w:pPr>
      <w:r>
        <w:rPr/>
        <w:br w:type="column"/>
      </w:r>
      <w:r>
        <w:rPr>
          <w:b/>
        </w:rPr>
      </w:r>
    </w:p>
    <w:p>
      <w:pPr>
        <w:pStyle w:val="BodyText"/>
        <w:spacing w:before="7"/>
        <w:ind w:left="0"/>
        <w:rPr>
          <w:b/>
          <w:sz w:val="23"/>
        </w:rPr>
      </w:pPr>
    </w:p>
    <w:p>
      <w:pPr>
        <w:pStyle w:val="Heading8"/>
        <w:spacing w:before="1"/>
        <w:ind w:left="691"/>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640" w:right="0"/>
          <w:cols w:num="2" w:equalWidth="0">
            <w:col w:w="6994" w:space="40"/>
            <w:col w:w="4236"/>
          </w:cols>
        </w:sectPr>
      </w:pPr>
    </w:p>
    <w:p>
      <w:pPr>
        <w:pStyle w:val="BodyText"/>
        <w:spacing w:line="297" w:lineRule="auto" w:before="95"/>
        <w:ind w:right="1012" w:firstLine="621"/>
      </w:pPr>
      <w:r>
        <w:rPr>
          <w:spacing w:val="-9"/>
        </w:rPr>
        <w:t>糖尿病患者之所以不愿意打胰岛素，原因是多方面的，怕疼就是其中的重要原因之一。</w:t>
      </w:r>
      <w:r>
        <w:rPr/>
        <w:t>那么，究竟有没有办法减轻疼痛或几乎无痛呢？答案是肯定的。</w:t>
      </w:r>
    </w:p>
    <w:p>
      <w:pPr>
        <w:pStyle w:val="Heading8"/>
        <w:spacing w:line="306" w:lineRule="exact"/>
      </w:pPr>
      <w:r>
        <w:rPr/>
        <w:t>注射前把胰岛素放至室温</w:t>
      </w:r>
    </w:p>
    <w:p>
      <w:pPr>
        <w:pStyle w:val="BodyText"/>
        <w:spacing w:line="297" w:lineRule="auto" w:before="72"/>
        <w:ind w:right="1128" w:firstLine="480"/>
        <w:jc w:val="both"/>
      </w:pPr>
      <w:r>
        <w:rPr>
          <w:spacing w:val="-6"/>
        </w:rPr>
        <w:t>从冰箱冷藏室里刚取出的胰岛素温度比较凉，直接注射会引起疼痛。因此，最好将取出的胰岛素在常温下放置 </w:t>
      </w:r>
      <w:r>
        <w:rPr/>
        <w:t>5～10</w:t>
      </w:r>
      <w:r>
        <w:rPr>
          <w:spacing w:val="-14"/>
        </w:rPr>
        <w:t> 分钟或是用手“捂”一会儿再注射，疼痛就会明显减轻。已经</w:t>
      </w:r>
      <w:r>
        <w:rPr/>
        <w:t>开启的胰岛素在室温下储存即可。</w:t>
      </w:r>
    </w:p>
    <w:p>
      <w:pPr>
        <w:pStyle w:val="Heading8"/>
        <w:spacing w:line="304" w:lineRule="exact"/>
      </w:pPr>
      <w:r>
        <w:rPr/>
        <w:t>选择超细的短针头</w:t>
      </w:r>
    </w:p>
    <w:p>
      <w:pPr>
        <w:pStyle w:val="BodyText"/>
        <w:spacing w:line="295" w:lineRule="auto" w:before="74"/>
        <w:ind w:right="1126" w:firstLine="480"/>
      </w:pPr>
      <w:r>
        <w:rPr>
          <w:spacing w:val="-13"/>
        </w:rPr>
        <w:t>注射针头越细，疼痛感越轻。目前世界上最细的泰尔茂纳诺斯 </w:t>
      </w:r>
      <w:r>
        <w:rPr/>
        <w:t>34G</w:t>
      </w:r>
      <w:r>
        <w:rPr>
          <w:spacing w:val="-9"/>
        </w:rPr>
        <w:t> 胰岛素针头外径仅为</w:t>
      </w:r>
      <w:r>
        <w:rPr/>
        <w:t>0.18mm，注射基本无痛。</w:t>
      </w:r>
    </w:p>
    <w:p>
      <w:pPr>
        <w:pStyle w:val="Heading8"/>
        <w:spacing w:before="2"/>
      </w:pPr>
      <w:r>
        <w:rPr/>
        <w:t>经常更换针头</w:t>
      </w:r>
    </w:p>
    <w:p>
      <w:pPr>
        <w:pStyle w:val="BodyText"/>
        <w:spacing w:line="295" w:lineRule="auto" w:before="74"/>
        <w:ind w:right="1145" w:firstLine="480"/>
      </w:pPr>
      <w:r>
        <w:rPr>
          <w:spacing w:val="-2"/>
        </w:rPr>
        <w:t>针头使用时间长了，容易变钝或出现倒钩，注射时容易引起疼痛。因此，使用 </w:t>
      </w:r>
      <w:r>
        <w:rPr/>
        <w:t>3～5</w:t>
      </w:r>
      <w:r>
        <w:rPr>
          <w:spacing w:val="-39"/>
        </w:rPr>
        <w:t> 天</w:t>
      </w:r>
      <w:r>
        <w:rPr/>
        <w:t>就要更换一次注射针头。如果经济条件允许，最好每次一换。</w:t>
      </w:r>
    </w:p>
    <w:p>
      <w:pPr>
        <w:pStyle w:val="Heading8"/>
        <w:spacing w:before="2"/>
      </w:pPr>
      <w:r>
        <w:rPr/>
        <w:t>待酒精挥发干后再注射</w:t>
      </w:r>
    </w:p>
    <w:p>
      <w:pPr>
        <w:pStyle w:val="BodyText"/>
        <w:spacing w:line="297" w:lineRule="auto" w:before="74"/>
        <w:ind w:right="1027" w:firstLine="480"/>
      </w:pPr>
      <w:r>
        <w:rPr/>
        <w:t>如果消毒皮肤的酒精未干就进行注射，酒精会顺着针眼被带到皮下而引起疼痛。因此， 一定要等酒精完全挥发后再注射。</w:t>
      </w:r>
    </w:p>
    <w:p>
      <w:pPr>
        <w:pStyle w:val="Heading8"/>
        <w:spacing w:line="304" w:lineRule="exact"/>
      </w:pPr>
      <w:r>
        <w:rPr/>
        <w:t>用手捏起注射部位皮肤</w:t>
      </w:r>
    </w:p>
    <w:p>
      <w:pPr>
        <w:pStyle w:val="BodyText"/>
        <w:spacing w:line="295" w:lineRule="auto" w:before="74"/>
        <w:ind w:right="1127" w:firstLine="480"/>
      </w:pPr>
      <w:r>
        <w:rPr>
          <w:spacing w:val="-4"/>
        </w:rPr>
        <w:t>注射时先用手轻轻捏起注射部位约 </w:t>
      </w:r>
      <w:r>
        <w:rPr/>
        <w:t>3</w:t>
      </w:r>
      <w:r>
        <w:rPr>
          <w:spacing w:val="-14"/>
        </w:rPr>
        <w:t> 厘米宽的皮肤，并引起轻微疼痛后再开始注射。这</w:t>
      </w:r>
      <w:r>
        <w:rPr/>
        <w:t>样既方便注射，又能分散注射时进针引起的疼痛感。</w:t>
      </w:r>
    </w:p>
    <w:p>
      <w:pPr>
        <w:pStyle w:val="Heading8"/>
        <w:spacing w:before="2"/>
      </w:pPr>
      <w:r>
        <w:rPr/>
        <w:t>快速进针，进针与拔针保持同一方向</w:t>
      </w:r>
    </w:p>
    <w:p>
      <w:pPr>
        <w:pStyle w:val="BodyText"/>
        <w:spacing w:line="295" w:lineRule="auto" w:before="74"/>
        <w:ind w:right="1131" w:firstLine="480"/>
      </w:pPr>
      <w:r>
        <w:rPr>
          <w:spacing w:val="-9"/>
        </w:rPr>
        <w:t>进针时要快速果断，进针越慢，痛感越强；注射完毕后，顺着原进针方向，迅速将针拔</w:t>
      </w:r>
      <w:r>
        <w:rPr/>
        <w:t>出。</w:t>
      </w:r>
    </w:p>
    <w:p>
      <w:pPr>
        <w:pStyle w:val="Heading8"/>
        <w:spacing w:before="2"/>
      </w:pPr>
      <w:r>
        <w:rPr/>
        <w:t>注意放松肌肉</w:t>
      </w:r>
    </w:p>
    <w:p>
      <w:pPr>
        <w:pStyle w:val="BodyText"/>
        <w:spacing w:line="295" w:lineRule="auto" w:before="75"/>
        <w:ind w:left="1117" w:right="2467"/>
        <w:rPr>
          <w:b/>
        </w:rPr>
      </w:pPr>
      <w:r>
        <w:rPr/>
        <w:t>避免情绪紧张，保持注射部位肌肉放松，这样可以减轻注射疼痛及不适。</w:t>
      </w:r>
      <w:r>
        <w:rPr>
          <w:b/>
        </w:rPr>
        <w:t>经常更换注射部位</w:t>
      </w:r>
    </w:p>
    <w:p>
      <w:pPr>
        <w:pStyle w:val="BodyText"/>
        <w:spacing w:line="237" w:lineRule="auto" w:before="4"/>
        <w:ind w:right="1126" w:firstLine="480"/>
        <w:rPr>
          <w:rFonts w:ascii="微软雅黑" w:eastAsia="微软雅黑" w:hint="eastAsia"/>
          <w:b/>
        </w:rPr>
      </w:pPr>
      <w:r>
        <w:rPr>
          <w:spacing w:val="-8"/>
        </w:rPr>
        <w:t>及时更换注射部位，下一次注射部位与上一次注射部位的距离应大于 </w:t>
      </w:r>
      <w:r>
        <w:rPr/>
        <w:t>2</w:t>
      </w:r>
      <w:r>
        <w:rPr>
          <w:spacing w:val="-18"/>
        </w:rPr>
        <w:t> 厘米，注意避开</w:t>
      </w:r>
      <w:r>
        <w:rPr>
          <w:w w:val="110"/>
        </w:rPr>
        <w:t>皮肤感染处及皮下硬结。</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spacing w:after="0" w:line="237" w:lineRule="auto"/>
        <w:rPr>
          <w:rFonts w:ascii="微软雅黑" w:eastAsia="微软雅黑" w:hint="eastAsia"/>
        </w:rPr>
        <w:sectPr>
          <w:type w:val="continuous"/>
          <w:pgSz w:w="11910" w:h="16850"/>
          <w:pgMar w:top="1100" w:bottom="1020" w:left="640" w:right="0"/>
        </w:sectPr>
      </w:pPr>
    </w:p>
    <w:p>
      <w:pPr>
        <w:pStyle w:val="Heading1"/>
        <w:spacing w:before="13"/>
        <w:ind w:left="545"/>
        <w:rPr>
          <w:u w:val="none"/>
        </w:rPr>
      </w:pPr>
      <w:r>
        <w:rPr/>
        <w:pict>
          <v:line style="position:absolute;mso-position-horizontal-relative:page;mso-position-vertical-relative:paragraph;z-index:-254432256" from="62.424pt,4.889993pt" to="540.214pt,4.889993pt" stroked="true" strokeweight=".72pt" strokecolor="#000000">
            <v:stroke dashstyle="solid"/>
            <w10:wrap type="none"/>
          </v:line>
        </w:pict>
      </w:r>
      <w:bookmarkStart w:name="_TOC_250012" w:id="30"/>
      <w:r>
        <w:rPr>
          <w:rFonts w:ascii="Times New Roman" w:eastAsia="Times New Roman"/>
          <w:color w:val="008000"/>
          <w:spacing w:val="-110"/>
          <w:w w:val="99"/>
          <w:u w:val="thick" w:color="008000"/>
        </w:rPr>
        <w:t> </w:t>
      </w:r>
      <w:bookmarkEnd w:id="30"/>
      <w:r>
        <w:rPr>
          <w:color w:val="008000"/>
          <w:u w:val="thick" w:color="008000"/>
        </w:rPr>
        <w:t>交流园地</w:t>
      </w:r>
    </w:p>
    <w:p>
      <w:pPr>
        <w:pStyle w:val="BodyText"/>
        <w:spacing w:before="13"/>
        <w:ind w:left="0"/>
        <w:rPr>
          <w:rFonts w:ascii="华文宋体"/>
          <w:b/>
          <w:sz w:val="10"/>
        </w:rPr>
      </w:pPr>
    </w:p>
    <w:p>
      <w:pPr>
        <w:pStyle w:val="Heading4"/>
        <w:spacing w:before="55"/>
        <w:ind w:left="637"/>
      </w:pPr>
      <w:bookmarkStart w:name="_TOC_250011" w:id="31"/>
      <w:bookmarkEnd w:id="31"/>
      <w:r>
        <w:rPr/>
        <w:t>【学习园地】</w:t>
      </w:r>
    </w:p>
    <w:p>
      <w:pPr>
        <w:pStyle w:val="BodyText"/>
        <w:spacing w:before="7"/>
        <w:ind w:left="0"/>
        <w:rPr>
          <w:b/>
          <w:sz w:val="19"/>
        </w:rPr>
      </w:pPr>
    </w:p>
    <w:p>
      <w:pPr>
        <w:spacing w:after="0"/>
        <w:rPr>
          <w:sz w:val="19"/>
        </w:rPr>
        <w:sectPr>
          <w:headerReference w:type="default" r:id="rId18"/>
          <w:footerReference w:type="default" r:id="rId19"/>
          <w:pgSz w:w="11910" w:h="16850"/>
          <w:pgMar w:header="0" w:footer="607" w:top="1000" w:bottom="800" w:left="640" w:right="0"/>
          <w:pgNumType w:start="35"/>
        </w:sectPr>
      </w:pPr>
    </w:p>
    <w:p>
      <w:pPr>
        <w:pStyle w:val="Heading4"/>
        <w:spacing w:before="55"/>
        <w:ind w:left="3779"/>
      </w:pPr>
      <w:bookmarkStart w:name="_TOC_250010" w:id="32"/>
      <w:bookmarkEnd w:id="32"/>
      <w:r>
        <w:rPr>
          <w:spacing w:val="-2"/>
        </w:rPr>
        <w:t>美国药物回收处置公司</w:t>
      </w:r>
    </w:p>
    <w:p>
      <w:pPr>
        <w:pStyle w:val="BodyText"/>
        <w:ind w:left="0"/>
        <w:rPr>
          <w:b/>
        </w:rPr>
      </w:pPr>
      <w:r>
        <w:rPr/>
        <w:br w:type="column"/>
      </w:r>
      <w:r>
        <w:rPr>
          <w:b/>
        </w:rPr>
      </w:r>
    </w:p>
    <w:p>
      <w:pPr>
        <w:pStyle w:val="BodyText"/>
        <w:spacing w:before="7"/>
        <w:ind w:left="0"/>
        <w:rPr>
          <w:b/>
          <w:sz w:val="23"/>
        </w:rPr>
      </w:pPr>
    </w:p>
    <w:p>
      <w:pPr>
        <w:pStyle w:val="Heading8"/>
        <w:spacing w:before="1"/>
        <w:ind w:left="696"/>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640" w:right="0"/>
          <w:cols w:num="2" w:equalWidth="0">
            <w:col w:w="6990" w:space="40"/>
            <w:col w:w="4240"/>
          </w:cols>
        </w:sectPr>
      </w:pPr>
    </w:p>
    <w:p>
      <w:pPr>
        <w:pStyle w:val="BodyText"/>
        <w:tabs>
          <w:tab w:pos="2199" w:val="left" w:leader="none"/>
        </w:tabs>
        <w:spacing w:line="312" w:lineRule="auto" w:before="112"/>
        <w:ind w:left="1119" w:right="1008"/>
      </w:pPr>
      <w:r>
        <w:rPr/>
        <w:t>MedSafe</w:t>
        <w:tab/>
        <w:t>Waste</w:t>
      </w:r>
      <w:r>
        <w:rPr>
          <w:spacing w:val="-14"/>
        </w:rPr>
        <w:t>、</w:t>
      </w:r>
      <w:r>
        <w:rPr/>
        <w:t>Stericycle</w:t>
      </w:r>
      <w:r>
        <w:rPr>
          <w:spacing w:val="-15"/>
        </w:rPr>
        <w:t>、</w:t>
      </w:r>
      <w:r>
        <w:rPr/>
        <w:t>Deterra</w:t>
      </w:r>
      <w:r>
        <w:rPr>
          <w:spacing w:val="-14"/>
        </w:rPr>
        <w:t>、</w:t>
      </w:r>
      <w:r>
        <w:rPr/>
        <w:t>Sirum</w:t>
      </w:r>
      <w:r>
        <w:rPr>
          <w:spacing w:val="-60"/>
        </w:rPr>
        <w:t> </w:t>
      </w:r>
      <w:r>
        <w:rPr/>
        <w:t>是美国</w:t>
      </w:r>
      <w:r>
        <w:rPr>
          <w:spacing w:val="-60"/>
        </w:rPr>
        <w:t> </w:t>
      </w:r>
      <w:r>
        <w:rPr/>
        <w:t>4</w:t>
      </w:r>
      <w:r>
        <w:rPr>
          <w:spacing w:val="-60"/>
        </w:rPr>
        <w:t> </w:t>
      </w:r>
      <w:r>
        <w:rPr/>
        <w:t>家从事药物回收处置的公司</w:t>
      </w:r>
      <w:r>
        <w:rPr>
          <w:spacing w:val="-18"/>
        </w:rPr>
        <w:t>。</w:t>
      </w:r>
      <w:r>
        <w:rPr/>
        <w:t>MedSafe</w:t>
        <w:tab/>
        <w:t>Waste</w:t>
      </w:r>
      <w:r>
        <w:rPr>
          <w:spacing w:val="-60"/>
        </w:rPr>
        <w:t> </w:t>
      </w:r>
      <w:r>
        <w:rPr/>
        <w:t>专注于医疗废置物的回收和处理，主要提供医疗废物和制药废物的处</w:t>
      </w:r>
    </w:p>
    <w:p>
      <w:pPr>
        <w:pStyle w:val="BodyText"/>
        <w:spacing w:line="307" w:lineRule="exact"/>
      </w:pPr>
      <w:r>
        <w:rPr/>
        <w:t>理、医疗废物分类培训等服务。</w:t>
      </w:r>
    </w:p>
    <w:p>
      <w:pPr>
        <w:pStyle w:val="BodyText"/>
        <w:tabs>
          <w:tab w:pos="4120" w:val="left" w:leader="none"/>
        </w:tabs>
        <w:spacing w:line="312" w:lineRule="auto" w:before="94"/>
        <w:ind w:right="1126" w:firstLine="482"/>
      </w:pPr>
      <w:r>
        <w:rPr/>
        <w:t>在药物回收方面，MedSafe</w:t>
        <w:tab/>
        <w:t>Waste</w:t>
      </w:r>
      <w:r>
        <w:rPr>
          <w:spacing w:val="-60"/>
        </w:rPr>
        <w:t> </w:t>
      </w:r>
      <w:r>
        <w:rPr/>
        <w:t>主要提供制药工厂现场制药废物处理服务，以及针对药店过期和闲置药物退回服务</w:t>
      </w:r>
      <w:r>
        <w:rPr>
          <w:spacing w:val="-51"/>
        </w:rPr>
        <w:t>。</w:t>
      </w:r>
      <w:r>
        <w:rPr/>
        <w:t>该公司是</w:t>
      </w:r>
      <w:r>
        <w:rPr>
          <w:spacing w:val="-60"/>
        </w:rPr>
        <w:t> </w:t>
      </w:r>
      <w:r>
        <w:rPr/>
        <w:t>DEA</w:t>
      </w:r>
      <w:r>
        <w:rPr>
          <w:spacing w:val="-60"/>
        </w:rPr>
        <w:t> </w:t>
      </w:r>
      <w:r>
        <w:rPr/>
        <w:t>许可的反向分销商</w:t>
      </w:r>
      <w:r>
        <w:rPr>
          <w:spacing w:val="-51"/>
        </w:rPr>
        <w:t>，</w:t>
      </w:r>
      <w:r>
        <w:rPr/>
        <w:t>可以回收包括</w:t>
      </w:r>
      <w:r>
        <w:rPr>
          <w:spacing w:val="-60"/>
        </w:rPr>
        <w:t> </w:t>
      </w:r>
      <w:r>
        <w:rPr/>
        <w:t>DEA</w:t>
      </w:r>
      <w:r>
        <w:rPr>
          <w:spacing w:val="-60"/>
        </w:rPr>
        <w:t> </w:t>
      </w:r>
      <w:r>
        <w:rPr/>
        <w:t>管</w:t>
      </w:r>
      <w:r>
        <w:rPr>
          <w:spacing w:val="-15"/>
        </w:rPr>
        <w:t>控</w:t>
      </w:r>
      <w:r>
        <w:rPr/>
        <w:t>的阿片类药物在内的所有药物。</w:t>
      </w:r>
    </w:p>
    <w:p>
      <w:pPr>
        <w:pStyle w:val="BodyText"/>
        <w:spacing w:line="312" w:lineRule="auto" w:before="1"/>
        <w:ind w:right="1128" w:firstLine="482"/>
      </w:pPr>
      <w:r>
        <w:rPr/>
        <w:t>Stericycle</w:t>
      </w:r>
      <w:r>
        <w:rPr>
          <w:spacing w:val="-12"/>
        </w:rPr>
        <w:t> 是美国老牌废物回收公司，成立于 </w:t>
      </w:r>
      <w:r>
        <w:rPr/>
        <w:t>1989</w:t>
      </w:r>
      <w:r>
        <w:rPr>
          <w:spacing w:val="-11"/>
        </w:rPr>
        <w:t> 年。该公司主要面向医疗机构、零</w:t>
      </w:r>
      <w:r>
        <w:rPr/>
        <w:t>售药店提供包括药物召回、药物搜索、过期药和破损药物退货以及药物废物回收服务。Stericycle</w:t>
      </w:r>
      <w:r>
        <w:rPr>
          <w:spacing w:val="-31"/>
        </w:rPr>
        <w:t> 按照 </w:t>
      </w:r>
      <w:r>
        <w:rPr/>
        <w:t>EPA</w:t>
      </w:r>
      <w:r>
        <w:rPr>
          <w:spacing w:val="-21"/>
        </w:rPr>
        <w:t> 及当地法规，分类处理不同的药物废弃物。例如，通过焚烧处理非 </w:t>
      </w:r>
      <w:r>
        <w:rPr>
          <w:spacing w:val="-4"/>
        </w:rPr>
        <w:t>RCRA </w:t>
      </w:r>
      <w:r>
        <w:rPr/>
        <w:t>危险废物的药物，其他的废弃药物隔离后再通过不同途径处理。</w:t>
      </w:r>
    </w:p>
    <w:p>
      <w:pPr>
        <w:pStyle w:val="BodyText"/>
        <w:tabs>
          <w:tab w:pos="1237" w:val="left" w:leader="none"/>
          <w:tab w:pos="1717" w:val="left" w:leader="none"/>
        </w:tabs>
        <w:spacing w:line="312" w:lineRule="auto"/>
        <w:ind w:right="1008" w:firstLine="482"/>
      </w:pPr>
      <w:r>
        <w:rPr/>
        <w:t>Deterra</w:t>
      </w:r>
      <w:r>
        <w:rPr>
          <w:spacing w:val="-61"/>
        </w:rPr>
        <w:t> </w:t>
      </w:r>
      <w:r>
        <w:rPr/>
        <w:t>致力于开发基于科学验证的研究解决方案</w:t>
      </w:r>
      <w:r>
        <w:rPr>
          <w:spacing w:val="-22"/>
        </w:rPr>
        <w:t>，</w:t>
      </w:r>
      <w:r>
        <w:rPr/>
        <w:t>以减少药物滥用</w:t>
      </w:r>
      <w:r>
        <w:rPr>
          <w:spacing w:val="-22"/>
        </w:rPr>
        <w:t>、</w:t>
      </w:r>
      <w:r>
        <w:rPr/>
        <w:t>废弃药物对环境的负面影响等</w:t>
      </w:r>
      <w:r>
        <w:rPr>
          <w:spacing w:val="-15"/>
        </w:rPr>
        <w:t>。</w:t>
      </w:r>
      <w:r>
        <w:rPr/>
        <w:t>Deterra</w:t>
      </w:r>
      <w:r>
        <w:rPr>
          <w:spacing w:val="-60"/>
        </w:rPr>
        <w:t> </w:t>
      </w:r>
      <w:r>
        <w:rPr/>
        <w:t>受美国国家药物滥用研究</w:t>
      </w:r>
      <w:r>
        <w:rPr>
          <w:spacing w:val="-15"/>
        </w:rPr>
        <w:t>所</w:t>
      </w:r>
      <w:r>
        <w:rPr/>
        <w:t>（美国国立卫生研究院的子部门</w:t>
      </w:r>
      <w:r>
        <w:rPr>
          <w:spacing w:val="-15"/>
        </w:rPr>
        <w:t>）</w:t>
      </w:r>
      <w:r>
        <w:rPr/>
        <w:t>发起的小企业创新研究支持</w:t>
      </w:r>
      <w:r>
        <w:rPr>
          <w:spacing w:val="-15"/>
        </w:rPr>
        <w:t>。</w:t>
      </w:r>
      <w:r>
        <w:rPr/>
        <w:t>与其他药物回收公司不同，Deterra</w:t>
      </w:r>
      <w:r>
        <w:rPr>
          <w:spacing w:val="-63"/>
        </w:rPr>
        <w:t> </w:t>
      </w:r>
      <w:r>
        <w:rPr/>
        <w:t>通过其专利</w:t>
      </w:r>
      <w:r>
        <w:rPr>
          <w:spacing w:val="-63"/>
        </w:rPr>
        <w:t> </w:t>
      </w:r>
      <w:r>
        <w:rPr/>
        <w:t>Verde</w:t>
      </w:r>
      <w:r>
        <w:rPr>
          <w:spacing w:val="-63"/>
        </w:rPr>
        <w:t> </w:t>
      </w:r>
      <w:r>
        <w:rPr/>
        <w:t>平台</w:t>
      </w:r>
      <w:r>
        <w:rPr>
          <w:spacing w:val="-15"/>
        </w:rPr>
        <w:t>，</w:t>
      </w:r>
      <w:r>
        <w:rPr/>
        <w:t>搭载MAT</w:t>
        <w:tab/>
        <w:t>12</w:t>
        <w:tab/>
        <w:t>分子吸附技术</w:t>
      </w:r>
      <w:r>
        <w:rPr>
          <w:spacing w:val="-51"/>
        </w:rPr>
        <w:t>，</w:t>
      </w:r>
      <w:r>
        <w:rPr/>
        <w:t>开发了一种</w:t>
      </w:r>
      <w:r>
        <w:rPr>
          <w:spacing w:val="-60"/>
        </w:rPr>
        <w:t> </w:t>
      </w:r>
      <w:r>
        <w:rPr/>
        <w:t>Deterra</w:t>
      </w:r>
      <w:r>
        <w:rPr>
          <w:spacing w:val="-60"/>
        </w:rPr>
        <w:t> </w:t>
      </w:r>
      <w:r>
        <w:rPr/>
        <w:t>药物灭活袋</w:t>
      </w:r>
      <w:r>
        <w:rPr>
          <w:spacing w:val="-51"/>
        </w:rPr>
        <w:t>。</w:t>
      </w:r>
      <w:r>
        <w:rPr/>
        <w:t>该药物灭活袋用环保材料制成</w:t>
      </w:r>
      <w:r>
        <w:rPr>
          <w:spacing w:val="-17"/>
        </w:rPr>
        <w:t>， </w:t>
      </w:r>
      <w:r>
        <w:rPr/>
        <w:t>放入袋中的药物将被袋中活性炭吸附</w:t>
      </w:r>
      <w:r>
        <w:rPr>
          <w:spacing w:val="-51"/>
        </w:rPr>
        <w:t>，</w:t>
      </w:r>
      <w:r>
        <w:rPr/>
        <w:t>最终与灭活袋共同分解为水和二氧化碳</w:t>
      </w:r>
      <w:r>
        <w:rPr>
          <w:spacing w:val="-51"/>
        </w:rPr>
        <w:t>。</w:t>
      </w:r>
      <w:r>
        <w:rPr/>
        <w:t>这种药物灭活袋成本低廉，让过期或闲置药物通过更为简单的掩埋而非焚烧处理。</w:t>
      </w:r>
    </w:p>
    <w:p>
      <w:pPr>
        <w:pStyle w:val="BodyText"/>
        <w:spacing w:line="312" w:lineRule="auto" w:before="1"/>
        <w:ind w:right="1128" w:firstLine="482"/>
        <w:jc w:val="both"/>
      </w:pPr>
      <w:r>
        <w:rPr>
          <w:spacing w:val="-7"/>
        </w:rPr>
        <w:t>由于药物回收再利用的条件极为苛刻，成本高昂，所以在很多情况下，医疗机构、药店</w:t>
      </w:r>
      <w:r>
        <w:rPr>
          <w:spacing w:val="-4"/>
        </w:rPr>
        <w:t>都会选择销毁药物，而不是收集、分类后回收利用。</w:t>
      </w:r>
      <w:r>
        <w:rPr/>
        <w:t>Sirum</w:t>
      </w:r>
      <w:r>
        <w:rPr>
          <w:spacing w:val="-10"/>
        </w:rPr>
        <w:t> 的目标是改变这一现状，让医疗</w:t>
      </w:r>
      <w:r>
        <w:rPr/>
        <w:t>机构、药店能够轻松捐赠药物。</w:t>
      </w:r>
    </w:p>
    <w:p>
      <w:pPr>
        <w:pStyle w:val="BodyText"/>
        <w:spacing w:line="312" w:lineRule="auto" w:before="1"/>
        <w:ind w:right="1132" w:firstLine="482"/>
        <w:jc w:val="both"/>
      </w:pPr>
      <w:r>
        <w:rPr/>
        <w:t>Sirum</w:t>
      </w:r>
      <w:r>
        <w:rPr>
          <w:spacing w:val="-8"/>
        </w:rPr>
        <w:t> 由三位斯坦福大学毕业生创立。该公司通过建立平台将捐赠方和受赠方联系起</w:t>
      </w:r>
      <w:r>
        <w:rPr>
          <w:spacing w:val="-12"/>
        </w:rPr>
        <w:t>来，协调捐赠物流，包括获取药物清单、跟踪和运输药物等。捐赠方通过捐赠闲置药物，既</w:t>
      </w:r>
    </w:p>
    <w:p>
      <w:pPr>
        <w:pStyle w:val="BodyText"/>
        <w:spacing w:line="368" w:lineRule="exact"/>
        <w:rPr>
          <w:rFonts w:ascii="微软雅黑" w:eastAsia="微软雅黑" w:hint="eastAsia"/>
          <w:b/>
        </w:rPr>
      </w:pPr>
      <w:r>
        <w:rPr>
          <w:w w:val="110"/>
        </w:rPr>
        <w:t>能节省处理时间，也能获得收益，受赠方也能在经济承受范围内负担药费。</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7"/>
        <w:ind w:left="0"/>
        <w:rPr>
          <w:rFonts w:ascii="微软雅黑"/>
          <w:b/>
          <w:sz w:val="14"/>
        </w:rPr>
      </w:pPr>
    </w:p>
    <w:p>
      <w:pPr>
        <w:pStyle w:val="Heading4"/>
        <w:ind w:left="637"/>
      </w:pPr>
      <w:bookmarkStart w:name="_TOC_250009" w:id="33"/>
      <w:bookmarkEnd w:id="33"/>
      <w:r>
        <w:rPr/>
        <w:t>【药师风采】</w:t>
      </w:r>
    </w:p>
    <w:p>
      <w:pPr>
        <w:pStyle w:val="BodyText"/>
        <w:spacing w:before="7"/>
        <w:ind w:left="0"/>
        <w:rPr>
          <w:b/>
          <w:sz w:val="22"/>
        </w:rPr>
      </w:pPr>
    </w:p>
    <w:p>
      <w:pPr>
        <w:pStyle w:val="Heading4"/>
        <w:ind w:right="494"/>
        <w:jc w:val="center"/>
      </w:pPr>
      <w:bookmarkStart w:name="_TOC_250008" w:id="34"/>
      <w:bookmarkEnd w:id="34"/>
      <w:r>
        <w:rPr/>
        <w:t>空军军医大学第一附属医院——乔逸</w:t>
      </w:r>
    </w:p>
    <w:p>
      <w:pPr>
        <w:pStyle w:val="Heading8"/>
        <w:spacing w:before="220"/>
        <w:ind w:left="0" w:right="493"/>
        <w:jc w:val="center"/>
        <w:rPr>
          <w:rFonts w:ascii="楷体" w:eastAsia="楷体" w:hint="eastAsia"/>
        </w:rPr>
      </w:pPr>
      <w:r>
        <w:rPr>
          <w:rFonts w:ascii="楷体" w:eastAsia="楷体" w:hint="eastAsia"/>
        </w:rPr>
        <w:t>励志寄语：在药学道路上继续做我想做的事、做我能做的事、做我该做的事，不忘初心！</w:t>
      </w:r>
    </w:p>
    <w:p>
      <w:pPr>
        <w:pStyle w:val="BodyText"/>
        <w:spacing w:line="312" w:lineRule="auto" w:before="187"/>
        <w:ind w:right="1008" w:firstLine="480"/>
        <w:jc w:val="both"/>
      </w:pPr>
      <w:r>
        <w:rPr>
          <w:spacing w:val="-11"/>
        </w:rPr>
        <w:t>乔逸，现任空军军医大学第一附属医院副主任药师，硕士生导师，从事药学工作 </w:t>
      </w:r>
      <w:r>
        <w:rPr/>
        <w:t>11</w:t>
      </w:r>
      <w:r>
        <w:rPr>
          <w:spacing w:val="-25"/>
        </w:rPr>
        <w:t> 年。</w:t>
      </w:r>
      <w:r>
        <w:rPr>
          <w:spacing w:val="-5"/>
        </w:rPr>
        <w:t>具有扎实的专业基础和丰富的临床经验。开展临床药学工作，承担全院重症、消化、感染及</w:t>
      </w:r>
    </w:p>
    <w:p>
      <w:pPr>
        <w:spacing w:after="0" w:line="312" w:lineRule="auto"/>
        <w:jc w:val="both"/>
        <w:sectPr>
          <w:type w:val="continuous"/>
          <w:pgSz w:w="11910" w:h="16850"/>
          <w:pgMar w:top="1100" w:bottom="1020" w:left="640" w:right="0"/>
        </w:sectPr>
      </w:pPr>
    </w:p>
    <w:p>
      <w:pPr>
        <w:pStyle w:val="BodyText"/>
        <w:spacing w:line="312" w:lineRule="auto" w:before="79"/>
        <w:ind w:right="1130"/>
      </w:pPr>
      <w:r>
        <w:rPr>
          <w:spacing w:val="-9"/>
        </w:rPr>
        <w:t>癌痛患者的疑难病例用药指导，深入临床开展危重病例救治及危重患者临床个体化用药及研</w:t>
      </w:r>
      <w:r>
        <w:rPr/>
        <w:t>究工作。</w:t>
      </w:r>
    </w:p>
    <w:p>
      <w:pPr>
        <w:pStyle w:val="BodyText"/>
        <w:spacing w:line="312" w:lineRule="auto"/>
        <w:ind w:right="1145" w:firstLine="480"/>
      </w:pPr>
      <w:r>
        <w:rPr>
          <w:spacing w:val="-7"/>
        </w:rPr>
        <w:t>为军队伤病员会诊 </w:t>
      </w:r>
      <w:r>
        <w:rPr/>
        <w:t>500</w:t>
      </w:r>
      <w:r>
        <w:rPr>
          <w:spacing w:val="-18"/>
        </w:rPr>
        <w:t> 余次，完成 </w:t>
      </w:r>
      <w:r>
        <w:rPr/>
        <w:t>300</w:t>
      </w:r>
      <w:r>
        <w:rPr>
          <w:spacing w:val="-12"/>
        </w:rPr>
        <w:t> 余次总部</w:t>
      </w:r>
      <w:r>
        <w:rPr/>
        <w:t>/</w:t>
      </w:r>
      <w:r>
        <w:rPr>
          <w:spacing w:val="-10"/>
        </w:rPr>
        <w:t>省部首长及 </w:t>
      </w:r>
      <w:r>
        <w:rPr/>
        <w:t>VIP</w:t>
      </w:r>
      <w:r>
        <w:rPr>
          <w:spacing w:val="-9"/>
        </w:rPr>
        <w:t> 患者的会诊任务和疑</w:t>
      </w:r>
      <w:r>
        <w:rPr>
          <w:spacing w:val="-5"/>
        </w:rPr>
        <w:t>难危重病例救治工作。先后 </w:t>
      </w:r>
      <w:r>
        <w:rPr/>
        <w:t>5</w:t>
      </w:r>
      <w:r>
        <w:rPr>
          <w:spacing w:val="-8"/>
        </w:rPr>
        <w:t> 次深入干休所为老干部进行合理用药知识讲座，答疑解惑。</w:t>
      </w:r>
    </w:p>
    <w:p>
      <w:pPr>
        <w:pStyle w:val="BodyText"/>
        <w:spacing w:line="312" w:lineRule="auto"/>
        <w:ind w:right="1027" w:firstLine="480"/>
      </w:pPr>
      <w:r>
        <w:rPr>
          <w:spacing w:val="-1"/>
        </w:rPr>
        <w:t>担任国家临床药师师资培训中心带教老师，国家临床药师培训中心消化专业带教老师， 空军军医大学硕士研究生导师，</w:t>
      </w:r>
      <w:r>
        <w:rPr>
          <w:spacing w:val="-5"/>
        </w:rPr>
        <w:t>2012</w:t>
      </w:r>
      <w:r>
        <w:rPr>
          <w:spacing w:val="-11"/>
        </w:rPr>
        <w:t> 年至今累计带教临床药师培训学员 </w:t>
      </w:r>
      <w:r>
        <w:rPr/>
        <w:t>22</w:t>
      </w:r>
      <w:r>
        <w:rPr>
          <w:spacing w:val="-12"/>
        </w:rPr>
        <w:t> 名，带教临床药</w:t>
      </w:r>
      <w:r>
        <w:rPr>
          <w:spacing w:val="-22"/>
        </w:rPr>
        <w:t>师进修生 </w:t>
      </w:r>
      <w:r>
        <w:rPr/>
        <w:t>20</w:t>
      </w:r>
      <w:r>
        <w:rPr>
          <w:spacing w:val="-16"/>
        </w:rPr>
        <w:t> 名；指导空军军医大学、中国药科大学、陕西中医药大学、蚌埠医学院 </w:t>
      </w:r>
      <w:r>
        <w:rPr/>
        <w:t>12</w:t>
      </w:r>
      <w:r>
        <w:rPr>
          <w:spacing w:val="-20"/>
        </w:rPr>
        <w:t> 名本</w:t>
      </w:r>
    </w:p>
    <w:p>
      <w:pPr>
        <w:pStyle w:val="BodyText"/>
        <w:spacing w:line="312" w:lineRule="auto"/>
        <w:ind w:right="1128"/>
      </w:pPr>
      <w:r>
        <w:rPr>
          <w:spacing w:val="-9"/>
        </w:rPr>
        <w:t>科生完成毕业课题，协助指导空军军医大学 </w:t>
      </w:r>
      <w:r>
        <w:rPr/>
        <w:t>3</w:t>
      </w:r>
      <w:r>
        <w:rPr>
          <w:spacing w:val="-13"/>
        </w:rPr>
        <w:t> 名研究生开展毕业课题研究，每年承担多项临</w:t>
      </w:r>
      <w:r>
        <w:rPr/>
        <w:t>床药学教学任务及专题讲座任务。</w:t>
      </w:r>
    </w:p>
    <w:p>
      <w:pPr>
        <w:pStyle w:val="BodyText"/>
        <w:spacing w:before="3"/>
        <w:ind w:left="1117"/>
      </w:pPr>
      <w:r>
        <w:rPr/>
        <w:t>参与国家自然科学基金课题及省部级课题 4 项，参与复旦大学华山医院抗生素研究所研</w:t>
      </w:r>
    </w:p>
    <w:p>
      <w:pPr>
        <w:pStyle w:val="BodyText"/>
        <w:spacing w:before="91"/>
      </w:pPr>
      <w:r>
        <w:rPr/>
        <w:t>究课题 1 项，发表科研论文 97 篇(其中 SCI 文章 5 篇)，参编专著 16 部，其中副主编 1 部，</w:t>
      </w:r>
    </w:p>
    <w:p>
      <w:pPr>
        <w:pStyle w:val="BodyText"/>
        <w:spacing w:before="93"/>
      </w:pPr>
      <w:r>
        <w:rPr/>
        <w:t>参与全国首套临床药师规范化培训 11 部专科教材的编写。</w:t>
      </w:r>
    </w:p>
    <w:p>
      <w:pPr>
        <w:pStyle w:val="BodyText"/>
        <w:spacing w:before="94"/>
        <w:ind w:left="1117"/>
      </w:pPr>
      <w:r>
        <w:rPr/>
        <w:t>2012 年至今在国内临床药学学术会议进行 20 次学术汇报，获优秀论文 11 次。2016 年</w:t>
      </w:r>
    </w:p>
    <w:p>
      <w:pPr>
        <w:pStyle w:val="BodyText"/>
        <w:spacing w:before="91"/>
      </w:pPr>
      <w:r>
        <w:rPr/>
        <w:t>12 月被遴选为全国首批优秀带教老师。</w:t>
      </w:r>
    </w:p>
    <w:p>
      <w:pPr>
        <w:pStyle w:val="BodyText"/>
        <w:spacing w:before="93"/>
        <w:ind w:firstLine="480"/>
      </w:pPr>
      <w:r>
        <w:rPr/>
        <w:t>兼任陕西省抗癌协会肿瘤综合治疗委员会青年委员会常务委员、癌痛治疗专业委员会委</w:t>
      </w:r>
    </w:p>
    <w:p>
      <w:pPr>
        <w:pStyle w:val="BodyText"/>
        <w:spacing w:line="249" w:lineRule="auto" w:before="93"/>
        <w:ind w:right="1127"/>
        <w:rPr>
          <w:rFonts w:ascii="微软雅黑" w:eastAsia="微软雅黑" w:hint="eastAsia"/>
          <w:b/>
        </w:rPr>
      </w:pPr>
      <w:r>
        <w:rPr>
          <w:spacing w:val="-10"/>
        </w:rPr>
        <w:t>员，陕西省整合营养学会理事，《中国医院药学》杂志审稿专家，《中国医院用药评价与分</w:t>
      </w:r>
      <w:r>
        <w:rPr>
          <w:w w:val="110"/>
        </w:rPr>
        <w:t>析》杂志编委会青年编委。</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14"/>
        <w:ind w:left="0"/>
        <w:rPr>
          <w:rFonts w:ascii="微软雅黑"/>
          <w:b/>
          <w:sz w:val="12"/>
        </w:rPr>
      </w:pPr>
    </w:p>
    <w:p>
      <w:pPr>
        <w:pStyle w:val="Heading4"/>
        <w:ind w:right="491"/>
        <w:jc w:val="center"/>
      </w:pPr>
      <w:bookmarkStart w:name="_TOC_250007" w:id="35"/>
      <w:bookmarkEnd w:id="35"/>
      <w:r>
        <w:rPr/>
        <w:t>兰州市第二人民医院——丁丽</w:t>
      </w:r>
    </w:p>
    <w:p>
      <w:pPr>
        <w:pStyle w:val="Heading8"/>
        <w:spacing w:before="219"/>
        <w:ind w:left="0" w:right="492"/>
        <w:jc w:val="center"/>
        <w:rPr>
          <w:rFonts w:ascii="楷体" w:eastAsia="楷体" w:hint="eastAsia"/>
        </w:rPr>
      </w:pPr>
      <w:r>
        <w:rPr>
          <w:rFonts w:ascii="楷体" w:eastAsia="楷体" w:hint="eastAsia"/>
          <w:w w:val="95"/>
        </w:rPr>
        <w:t>励志寄语：路漫漫其修远兮，为安全用药，我时刻准备着把药品知识播散到世间每一个角落。</w:t>
      </w:r>
    </w:p>
    <w:p>
      <w:pPr>
        <w:pStyle w:val="BodyText"/>
        <w:spacing w:line="312" w:lineRule="auto" w:before="187"/>
        <w:ind w:right="1132" w:firstLine="480"/>
        <w:jc w:val="both"/>
      </w:pPr>
      <w:r>
        <w:rPr>
          <w:spacing w:val="-2"/>
        </w:rPr>
        <w:t>丁丽，现任兰州市第二人民医院药剂科主任，主任药师，从事药学工作 </w:t>
      </w:r>
      <w:r>
        <w:rPr/>
        <w:t>21</w:t>
      </w:r>
      <w:r>
        <w:rPr>
          <w:spacing w:val="-10"/>
        </w:rPr>
        <w:t> 年。主持完</w:t>
      </w:r>
      <w:r>
        <w:rPr>
          <w:spacing w:val="-14"/>
        </w:rPr>
        <w:t>成门急诊、住院、草药房的整合，配备自动发药机、中药配方颗粒机，初步实现药房自动化</w:t>
      </w:r>
      <w:r>
        <w:rPr/>
        <w:t>建设，逐步完善药事管理各项规章制度。</w:t>
      </w:r>
    </w:p>
    <w:p>
      <w:pPr>
        <w:pStyle w:val="BodyText"/>
        <w:spacing w:line="312" w:lineRule="auto" w:before="1"/>
        <w:ind w:right="1206" w:firstLine="480"/>
        <w:jc w:val="both"/>
      </w:pPr>
      <w:r>
        <w:rPr/>
        <w:t>重视人才培养，2010</w:t>
      </w:r>
      <w:r>
        <w:rPr>
          <w:spacing w:val="-12"/>
        </w:rPr>
        <w:t> 年后逐步培养专职临床药师 </w:t>
      </w:r>
      <w:r>
        <w:rPr/>
        <w:t>5</w:t>
      </w:r>
      <w:r>
        <w:rPr>
          <w:spacing w:val="-9"/>
        </w:rPr>
        <w:t> 名，药品不良反应监测工作迈上新</w:t>
      </w:r>
      <w:r>
        <w:rPr/>
        <w:t>台阶，病区药品逐步实现统一化管理。</w:t>
      </w:r>
    </w:p>
    <w:p>
      <w:pPr>
        <w:pStyle w:val="BodyText"/>
        <w:spacing w:line="312" w:lineRule="auto"/>
        <w:ind w:right="1006" w:firstLine="480"/>
        <w:jc w:val="both"/>
      </w:pPr>
      <w:r>
        <w:rPr>
          <w:spacing w:val="-1"/>
        </w:rPr>
        <w:t>作为甘肃省药品科普专家以来，</w:t>
      </w:r>
      <w:r>
        <w:rPr>
          <w:spacing w:val="-5"/>
        </w:rPr>
        <w:t>2014～2017</w:t>
      </w:r>
      <w:r>
        <w:rPr>
          <w:spacing w:val="-16"/>
        </w:rPr>
        <w:t> 年参与甘肃省 </w:t>
      </w:r>
      <w:r>
        <w:rPr/>
        <w:t>4</w:t>
      </w:r>
      <w:r>
        <w:rPr>
          <w:spacing w:val="-20"/>
        </w:rPr>
        <w:t> 个地州市 </w:t>
      </w:r>
      <w:r>
        <w:rPr/>
        <w:t>30</w:t>
      </w:r>
      <w:r>
        <w:rPr>
          <w:spacing w:val="-9"/>
        </w:rPr>
        <w:t> 余场次科普宣</w:t>
      </w:r>
      <w:r>
        <w:rPr>
          <w:spacing w:val="-12"/>
        </w:rPr>
        <w:t>讲，</w:t>
      </w:r>
      <w:r>
        <w:rPr>
          <w:spacing w:val="-14"/>
        </w:rPr>
        <w:t>5</w:t>
      </w:r>
      <w:r>
        <w:rPr>
          <w:spacing w:val="-9"/>
        </w:rPr>
        <w:t> 次走进小学校园，</w:t>
      </w:r>
      <w:r>
        <w:rPr>
          <w:spacing w:val="-13"/>
        </w:rPr>
        <w:t>1 次走入大学校园开展药品科普宣讲，参与制作 </w:t>
      </w:r>
      <w:r>
        <w:rPr/>
        <w:t>2016</w:t>
      </w:r>
      <w:r>
        <w:rPr>
          <w:spacing w:val="-27"/>
        </w:rPr>
        <w:t>、</w:t>
      </w:r>
      <w:r>
        <w:rPr/>
        <w:t>2017</w:t>
      </w:r>
      <w:r>
        <w:rPr>
          <w:spacing w:val="-15"/>
        </w:rPr>
        <w:t> 甘肃省</w:t>
      </w:r>
      <w:r>
        <w:rPr>
          <w:spacing w:val="-18"/>
        </w:rPr>
        <w:t>药品科普宣讲标准课件。参与 </w:t>
      </w:r>
      <w:r>
        <w:rPr/>
        <w:t>7</w:t>
      </w:r>
      <w:r>
        <w:rPr>
          <w:spacing w:val="-9"/>
        </w:rPr>
        <w:t> 次甘肃省电台食品药品话安全节目，</w:t>
      </w:r>
      <w:r>
        <w:rPr>
          <w:spacing w:val="-11"/>
        </w:rPr>
        <w:t>2</w:t>
      </w:r>
      <w:r>
        <w:rPr>
          <w:spacing w:val="-8"/>
        </w:rPr>
        <w:t> 次药品科普知识电话</w:t>
      </w:r>
      <w:r>
        <w:rPr>
          <w:spacing w:val="-15"/>
        </w:rPr>
        <w:t>专访活动，为公众安全用药科普宣传贡献力量。自 </w:t>
      </w:r>
      <w:r>
        <w:rPr/>
        <w:t>2010</w:t>
      </w:r>
      <w:r>
        <w:rPr>
          <w:spacing w:val="-12"/>
        </w:rPr>
        <w:t> 年以来主持完成省级继续教育 </w:t>
      </w:r>
      <w:r>
        <w:rPr/>
        <w:t>6</w:t>
      </w:r>
      <w:r>
        <w:rPr>
          <w:spacing w:val="-25"/>
        </w:rPr>
        <w:t> 项，</w:t>
      </w:r>
    </w:p>
    <w:p>
      <w:pPr>
        <w:pStyle w:val="BodyText"/>
        <w:spacing w:before="2"/>
        <w:jc w:val="both"/>
      </w:pPr>
      <w:r>
        <w:rPr/>
        <w:t>市级继续教育 5 项。</w:t>
      </w:r>
    </w:p>
    <w:p>
      <w:pPr>
        <w:pStyle w:val="BodyText"/>
        <w:spacing w:before="91"/>
        <w:ind w:left="1117"/>
        <w:jc w:val="both"/>
      </w:pPr>
      <w:r>
        <w:rPr/>
        <w:t>已完成 2015 年甘肃省中医药管理局科研课题 1 项，“蛭龙胶囊制备工艺和质量标准的</w:t>
      </w:r>
    </w:p>
    <w:p>
      <w:pPr>
        <w:pStyle w:val="BodyText"/>
        <w:spacing w:line="312" w:lineRule="auto" w:before="93"/>
        <w:ind w:right="1126"/>
        <w:jc w:val="both"/>
      </w:pPr>
      <w:r>
        <w:rPr>
          <w:spacing w:val="-20"/>
        </w:rPr>
        <w:t>研究”于 </w:t>
      </w:r>
      <w:r>
        <w:rPr/>
        <w:t>2013</w:t>
      </w:r>
      <w:r>
        <w:rPr>
          <w:spacing w:val="-14"/>
        </w:rPr>
        <w:t> 年通过甘肃省科技厅鉴定，达到国内领先水平，并获 </w:t>
      </w:r>
      <w:r>
        <w:rPr/>
        <w:t>2014</w:t>
      </w:r>
      <w:r>
        <w:rPr>
          <w:spacing w:val="-9"/>
        </w:rPr>
        <w:t> 兰州市科技进步三</w:t>
      </w:r>
      <w:r>
        <w:rPr/>
        <w:t>等奖。</w:t>
      </w:r>
    </w:p>
    <w:p>
      <w:pPr>
        <w:pStyle w:val="BodyText"/>
        <w:spacing w:line="312" w:lineRule="auto"/>
        <w:ind w:right="1145" w:firstLine="480"/>
        <w:jc w:val="both"/>
      </w:pPr>
      <w:r>
        <w:rPr/>
        <w:t>2015</w:t>
      </w:r>
      <w:r>
        <w:rPr>
          <w:spacing w:val="-8"/>
        </w:rPr>
        <w:t> 年获得中国药学会全国医药经济信息网“信息工作先进个人”，</w:t>
      </w:r>
      <w:r>
        <w:rPr/>
        <w:t>2017</w:t>
      </w:r>
      <w:r>
        <w:rPr>
          <w:spacing w:val="-13"/>
        </w:rPr>
        <w:t> 年度甘肃省</w:t>
      </w:r>
      <w:r>
        <w:rPr/>
        <w:t>药品不良反监测先进个人。</w:t>
      </w:r>
    </w:p>
    <w:p>
      <w:pPr>
        <w:spacing w:after="0" w:line="312" w:lineRule="auto"/>
        <w:jc w:val="both"/>
        <w:sectPr>
          <w:headerReference w:type="default" r:id="rId20"/>
          <w:footerReference w:type="default" r:id="rId21"/>
          <w:pgSz w:w="11910" w:h="16850"/>
          <w:pgMar w:header="906" w:footer="607" w:top="1100" w:bottom="800" w:left="640" w:right="0"/>
          <w:pgNumType w:start="36"/>
        </w:sectPr>
      </w:pPr>
    </w:p>
    <w:p>
      <w:pPr>
        <w:pStyle w:val="BodyText"/>
        <w:spacing w:line="312" w:lineRule="auto" w:before="79"/>
        <w:ind w:right="1127" w:firstLine="480"/>
      </w:pPr>
      <w:r>
        <w:rPr>
          <w:spacing w:val="-6"/>
        </w:rPr>
        <w:t>兼任甘肃省医院协会药事管理专业委员会常务委员，兰州医学会药事管理专业委员会主</w:t>
      </w:r>
      <w:r>
        <w:rPr>
          <w:spacing w:val="-10"/>
        </w:rPr>
        <w:t>任委员，甘肃省食品药品安全科普专家，甘肃省合理用药质控中心成员，兰州市合理用药质</w:t>
      </w:r>
    </w:p>
    <w:p>
      <w:pPr>
        <w:pStyle w:val="BodyText"/>
        <w:spacing w:line="366" w:lineRule="exact"/>
        <w:rPr>
          <w:rFonts w:ascii="微软雅黑" w:eastAsia="微软雅黑" w:hint="eastAsia"/>
          <w:b/>
        </w:rPr>
      </w:pPr>
      <w:r>
        <w:rPr>
          <w:w w:val="110"/>
        </w:rPr>
        <w:t>控中心副组长，兰州中西医结合脑心同治专业委员会合理用药学组副组长。</w:t>
      </w:r>
      <w:r>
        <w:rPr>
          <w:rFonts w:ascii="微软雅黑" w:eastAsia="微软雅黑" w:hint="eastAsia"/>
          <w:b/>
          <w:color w:val="0033CC"/>
          <w:w w:val="110"/>
        </w:rPr>
        <w:t>[</w:t>
      </w:r>
      <w:r>
        <w:rPr>
          <w:rFonts w:ascii="Microsoft JhengHei" w:eastAsia="Microsoft JhengHei" w:hint="eastAsia"/>
          <w:b/>
          <w:color w:val="0033CC"/>
          <w:w w:val="110"/>
        </w:rPr>
        <w:t>返回目次</w:t>
      </w:r>
      <w:r>
        <w:rPr>
          <w:rFonts w:ascii="微软雅黑" w:eastAsia="微软雅黑" w:hint="eastAsia"/>
          <w:b/>
          <w:color w:val="0033CC"/>
          <w:w w:val="110"/>
        </w:rPr>
        <w:t>]</w:t>
      </w:r>
    </w:p>
    <w:p>
      <w:pPr>
        <w:pStyle w:val="BodyText"/>
        <w:spacing w:before="13"/>
        <w:ind w:left="0"/>
        <w:rPr>
          <w:rFonts w:ascii="微软雅黑"/>
          <w:b/>
          <w:sz w:val="13"/>
        </w:rPr>
      </w:pPr>
    </w:p>
    <w:p>
      <w:pPr>
        <w:pStyle w:val="Heading4"/>
        <w:ind w:right="497"/>
        <w:jc w:val="center"/>
      </w:pPr>
      <w:bookmarkStart w:name="_TOC_250006" w:id="36"/>
      <w:bookmarkEnd w:id="36"/>
      <w:r>
        <w:rPr/>
        <w:t>甘肃中医药大学附属医院——靳子明</w:t>
      </w:r>
    </w:p>
    <w:p>
      <w:pPr>
        <w:pStyle w:val="Heading8"/>
        <w:spacing w:before="220"/>
        <w:ind w:left="0" w:right="498"/>
        <w:jc w:val="center"/>
        <w:rPr>
          <w:rFonts w:ascii="楷体" w:eastAsia="楷体" w:hint="eastAsia"/>
        </w:rPr>
      </w:pPr>
      <w:r>
        <w:rPr>
          <w:rFonts w:ascii="楷体" w:eastAsia="楷体" w:hint="eastAsia"/>
        </w:rPr>
        <w:t>励志寄语：在中医药的大道上，吾将上下求索，不忘初心，方得始终！</w:t>
      </w:r>
    </w:p>
    <w:p>
      <w:pPr>
        <w:pStyle w:val="BodyText"/>
        <w:spacing w:line="312" w:lineRule="auto" w:before="184"/>
        <w:ind w:right="1129" w:firstLine="480"/>
        <w:jc w:val="both"/>
      </w:pPr>
      <w:r>
        <w:rPr>
          <w:spacing w:val="-2"/>
        </w:rPr>
        <w:t>靳子明，现任甘肃中医药大学附属医院副院长，主任中药师，从事药学工作 </w:t>
      </w:r>
      <w:r>
        <w:rPr/>
        <w:t>30</w:t>
      </w:r>
      <w:r>
        <w:rPr>
          <w:spacing w:val="-15"/>
        </w:rPr>
        <w:t> 年。努</w:t>
      </w:r>
      <w:r>
        <w:rPr>
          <w:spacing w:val="-14"/>
        </w:rPr>
        <w:t>力工作，认真学习，不断提高个人的业务及实践能力，以适应医药事业的快速发展，更好地</w:t>
      </w:r>
      <w:r>
        <w:rPr>
          <w:spacing w:val="-10"/>
        </w:rPr>
        <w:t>为患者服务。作为医院副院长，主要分管医院药学及后勤基建，协助院长领导和协调医院的</w:t>
      </w:r>
      <w:r>
        <w:rPr/>
        <w:t>医疗、教学科研等工作。</w:t>
      </w:r>
    </w:p>
    <w:p>
      <w:pPr>
        <w:pStyle w:val="BodyText"/>
        <w:spacing w:line="312" w:lineRule="auto" w:before="3"/>
        <w:ind w:right="1027" w:firstLine="480"/>
      </w:pPr>
      <w:r>
        <w:rPr>
          <w:spacing w:val="-5"/>
        </w:rPr>
        <w:t>筹备组建省级重点专科中药炮制制剂专科，大力提升本院中医药研发的实力，重点专科</w:t>
      </w:r>
      <w:r>
        <w:rPr>
          <w:spacing w:val="-11"/>
        </w:rPr>
        <w:t>经过近几年的发展，已为医院培养了一大批专业素质过硬的科研及专业技术人员。作为“甘</w:t>
      </w:r>
      <w:r>
        <w:rPr>
          <w:spacing w:val="-12"/>
        </w:rPr>
        <w:t>肃省中药炮制及质控工程技术研究中心”副主任，经过多年努力，将该中心发展为集科研、</w:t>
      </w:r>
      <w:r>
        <w:rPr>
          <w:spacing w:val="-3"/>
        </w:rPr>
        <w:t>教学及新产品开发为一体的综合性研究中心。并于 </w:t>
      </w:r>
      <w:r>
        <w:rPr/>
        <w:t>2015</w:t>
      </w:r>
      <w:r>
        <w:rPr>
          <w:spacing w:val="-8"/>
        </w:rPr>
        <w:t> 年承担国家中医药管理局“省级中</w:t>
      </w:r>
      <w:r>
        <w:rPr>
          <w:spacing w:val="-14"/>
        </w:rPr>
        <w:t>药炮制技术传承基地”项目，建成甘肃中药文化展示厅、炮制文献资料室、中药炮制工艺小</w:t>
      </w:r>
      <w:r>
        <w:rPr>
          <w:spacing w:val="-15"/>
        </w:rPr>
        <w:t>试试验室、并协助拍摄《印象当归》纪录片，出版了《中药炮制绝活》光盘一部。大力开发</w:t>
      </w:r>
      <w:r>
        <w:rPr>
          <w:spacing w:val="-13"/>
        </w:rPr>
        <w:t>院内制剂，共获得制剂批号 </w:t>
      </w:r>
      <w:r>
        <w:rPr/>
        <w:t>47</w:t>
      </w:r>
      <w:r>
        <w:rPr>
          <w:spacing w:val="-13"/>
        </w:rPr>
        <w:t> 个，并全部投入生产，供患者使用，产生的经济效益约 </w:t>
      </w:r>
      <w:r>
        <w:rPr/>
        <w:t>1500</w:t>
      </w:r>
    </w:p>
    <w:p>
      <w:pPr>
        <w:pStyle w:val="BodyText"/>
        <w:spacing w:before="3"/>
      </w:pPr>
      <w:r>
        <w:rPr/>
        <w:t>万/</w:t>
      </w:r>
      <w:r>
        <w:rPr>
          <w:spacing w:val="-11"/>
        </w:rPr>
        <w:t>年；开发系列保健药酒产品 </w:t>
      </w:r>
      <w:r>
        <w:rPr/>
        <w:t>10</w:t>
      </w:r>
      <w:r>
        <w:rPr>
          <w:spacing w:val="-13"/>
        </w:rPr>
        <w:t> 个；经过对中药超微粉碎工艺的研究，开发出中药美容养</w:t>
      </w:r>
    </w:p>
    <w:p>
      <w:pPr>
        <w:pStyle w:val="BodyText"/>
        <w:spacing w:before="90"/>
      </w:pPr>
      <w:r>
        <w:rPr/>
        <w:t>颜面膜产品 2 个；开发的针穴外敷药袋产品获发明专利，并投产使用。</w:t>
      </w:r>
    </w:p>
    <w:p>
      <w:pPr>
        <w:pStyle w:val="BodyText"/>
        <w:spacing w:line="312" w:lineRule="auto" w:before="94"/>
        <w:ind w:right="1127" w:firstLine="480"/>
      </w:pPr>
      <w:r>
        <w:rPr>
          <w:spacing w:val="-10"/>
        </w:rPr>
        <w:t>重视人才培养，在重点专科建设以及炮制基地建设过程中，培养了大批高层次高素质的</w:t>
      </w:r>
      <w:r>
        <w:rPr>
          <w:spacing w:val="-2"/>
        </w:rPr>
        <w:t>人才。作为全省中医药师承教工作指导老师，通过带教理论和实践的方式，共带教徒弟 </w:t>
      </w:r>
      <w:r>
        <w:rPr/>
        <w:t>6 人。</w:t>
      </w:r>
    </w:p>
    <w:p>
      <w:pPr>
        <w:pStyle w:val="BodyText"/>
        <w:ind w:left="1117"/>
      </w:pPr>
      <w:r>
        <w:rPr/>
        <w:t>近几年，以第一主持人完成甘肃省自然科学基金 1 项，甘肃省中医药管理局项目 2 项，</w:t>
      </w:r>
    </w:p>
    <w:p>
      <w:pPr>
        <w:pStyle w:val="BodyText"/>
        <w:spacing w:before="94"/>
      </w:pPr>
      <w:r>
        <w:rPr/>
        <w:t>获得甘肃省皇甫谧中医药科技奖三等奖 2 项，发表论文 20 余篇。</w:t>
      </w:r>
    </w:p>
    <w:p>
      <w:pPr>
        <w:pStyle w:val="BodyText"/>
        <w:spacing w:line="312" w:lineRule="auto" w:before="91"/>
        <w:ind w:right="1127" w:firstLine="480"/>
      </w:pPr>
      <w:r>
        <w:rPr/>
        <w:t>2011</w:t>
      </w:r>
      <w:r>
        <w:rPr>
          <w:spacing w:val="-14"/>
        </w:rPr>
        <w:t> 年被评为“国家及省级继续教育项目优秀个人”，</w:t>
      </w:r>
      <w:r>
        <w:rPr>
          <w:spacing w:val="-19"/>
        </w:rPr>
        <w:t>2013</w:t>
      </w:r>
      <w:r>
        <w:rPr>
          <w:spacing w:val="-13"/>
        </w:rPr>
        <w:t> 年被甘肃省药学会授予“优</w:t>
      </w:r>
      <w:r>
        <w:rPr/>
        <w:t>秀药学工作者”称号，2017</w:t>
      </w:r>
      <w:r>
        <w:rPr>
          <w:spacing w:val="-8"/>
        </w:rPr>
        <w:t> 年被授予“省级重点专科中药炮制制剂科负责人”。</w:t>
      </w:r>
    </w:p>
    <w:p>
      <w:pPr>
        <w:pStyle w:val="BodyText"/>
        <w:spacing w:line="312" w:lineRule="auto" w:before="2"/>
        <w:ind w:right="1127" w:firstLine="480"/>
      </w:pPr>
      <w:r>
        <w:rPr>
          <w:spacing w:val="-6"/>
        </w:rPr>
        <w:t>兼任中华中医药学会中药鉴定专业委员会委员，甘肃省中医药学会中药鉴定委员会副主</w:t>
      </w:r>
      <w:r>
        <w:rPr>
          <w:spacing w:val="-11"/>
        </w:rPr>
        <w:t>任委员，甘肃省医院协会药事管理专业委员会常务委员，甘肃省中医药标准化技术委员会委</w:t>
      </w:r>
    </w:p>
    <w:p>
      <w:pPr>
        <w:spacing w:line="365" w:lineRule="exact" w:before="0"/>
        <w:ind w:left="637" w:right="0" w:firstLine="0"/>
        <w:jc w:val="left"/>
        <w:rPr>
          <w:rFonts w:ascii="微软雅黑" w:eastAsia="微软雅黑" w:hint="eastAsia"/>
          <w:b/>
          <w:sz w:val="24"/>
        </w:rPr>
      </w:pPr>
      <w:r>
        <w:rPr>
          <w:w w:val="110"/>
          <w:sz w:val="24"/>
        </w:rPr>
        <w:t>员，甘肃省食品药品协会重要炮制师资格考试评委。</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BodyText"/>
        <w:spacing w:before="13"/>
        <w:ind w:left="0"/>
        <w:rPr>
          <w:rFonts w:ascii="微软雅黑"/>
          <w:b/>
          <w:sz w:val="13"/>
        </w:rPr>
      </w:pPr>
    </w:p>
    <w:p>
      <w:pPr>
        <w:pStyle w:val="Heading4"/>
        <w:spacing w:before="1"/>
        <w:ind w:right="491"/>
        <w:jc w:val="center"/>
      </w:pPr>
      <w:bookmarkStart w:name="_TOC_250005" w:id="37"/>
      <w:bookmarkEnd w:id="37"/>
      <w:r>
        <w:rPr/>
        <w:t>青海大学附属医院——徐萌</w:t>
      </w:r>
    </w:p>
    <w:p>
      <w:pPr>
        <w:pStyle w:val="Heading8"/>
        <w:spacing w:before="219"/>
        <w:ind w:left="0" w:right="495"/>
        <w:jc w:val="center"/>
        <w:rPr>
          <w:rFonts w:ascii="楷体" w:eastAsia="楷体" w:hint="eastAsia"/>
        </w:rPr>
      </w:pPr>
      <w:r>
        <w:rPr>
          <w:rFonts w:ascii="楷体" w:eastAsia="楷体" w:hint="eastAsia"/>
        </w:rPr>
        <w:t>励志寄语：不忘初心、勤勤恳恳、精益求精的做好药学工作。</w:t>
      </w:r>
    </w:p>
    <w:p>
      <w:pPr>
        <w:pStyle w:val="BodyText"/>
        <w:spacing w:line="312" w:lineRule="auto" w:before="187"/>
        <w:ind w:right="1127" w:firstLine="480"/>
        <w:jc w:val="both"/>
      </w:pPr>
      <w:r>
        <w:rPr>
          <w:spacing w:val="-2"/>
        </w:rPr>
        <w:t>徐萌，现任青海大学附属医院药学部副主任，副主任药师，从事药学工作 </w:t>
      </w:r>
      <w:r>
        <w:rPr/>
        <w:t>28</w:t>
      </w:r>
      <w:r>
        <w:rPr>
          <w:spacing w:val="-12"/>
        </w:rPr>
        <w:t> 年。主要</w:t>
      </w:r>
      <w:r>
        <w:rPr>
          <w:spacing w:val="-15"/>
        </w:rPr>
        <w:t>从事临床药学、药物不良反应的防治及监测以及部分药事管理工作。作为青海省经国家正规</w:t>
      </w:r>
      <w:r>
        <w:rPr>
          <w:spacing w:val="-8"/>
        </w:rPr>
        <w:t>培训的第一个临床药师，在临床药学、合理用药和特殊患者用药方面具有丰富经验；重点参</w:t>
      </w:r>
      <w:r>
        <w:rPr/>
        <w:t>与医院疑难、重症患者的会诊与用药指导。</w:t>
      </w:r>
    </w:p>
    <w:p>
      <w:pPr>
        <w:spacing w:after="0" w:line="312" w:lineRule="auto"/>
        <w:jc w:val="both"/>
        <w:sectPr>
          <w:pgSz w:w="11910" w:h="16850"/>
          <w:pgMar w:header="906" w:footer="607" w:top="1100" w:bottom="800" w:left="640" w:right="0"/>
        </w:sectPr>
      </w:pPr>
    </w:p>
    <w:p>
      <w:pPr>
        <w:pStyle w:val="BodyText"/>
        <w:spacing w:line="312" w:lineRule="auto" w:before="79"/>
        <w:ind w:right="1129" w:firstLine="480"/>
        <w:jc w:val="both"/>
      </w:pPr>
      <w:r>
        <w:rPr>
          <w:spacing w:val="-10"/>
        </w:rPr>
        <w:t>注重学科建设与人才培养，每年负责青海省医学院药学班和其他院校药学毕业生的实习</w:t>
      </w:r>
      <w:r>
        <w:rPr>
          <w:spacing w:val="-2"/>
        </w:rPr>
        <w:t>及培训；</w:t>
      </w:r>
      <w:r>
        <w:rPr>
          <w:spacing w:val="-5"/>
        </w:rPr>
        <w:t>2018</w:t>
      </w:r>
      <w:r>
        <w:rPr>
          <w:spacing w:val="-12"/>
        </w:rPr>
        <w:t> 年带领学生完成了《青海大学附属医院 </w:t>
      </w:r>
      <w:r>
        <w:rPr/>
        <w:t>CYP3A4</w:t>
      </w:r>
      <w:r>
        <w:rPr>
          <w:spacing w:val="-9"/>
        </w:rPr>
        <w:t> 相关药物临床应用的合理性探</w:t>
      </w:r>
      <w:r>
        <w:rPr>
          <w:spacing w:val="-5"/>
        </w:rPr>
        <w:t>究与分析》、《</w:t>
      </w:r>
      <w:r>
        <w:rPr/>
        <w:t>369</w:t>
      </w:r>
      <w:r>
        <w:rPr>
          <w:spacing w:val="-11"/>
        </w:rPr>
        <w:t> 例住院患者注射用帕瑞昔布钠临床合理用药分析》等毕业论文，均获得</w:t>
      </w:r>
      <w:r>
        <w:rPr/>
        <w:t>学校和老师们好评。</w:t>
      </w:r>
    </w:p>
    <w:p>
      <w:pPr>
        <w:pStyle w:val="BodyText"/>
        <w:spacing w:line="312" w:lineRule="auto"/>
        <w:ind w:right="1129" w:firstLine="480"/>
        <w:jc w:val="both"/>
      </w:pPr>
      <w:r>
        <w:rPr/>
        <w:t>积极开展药学科研工作，2012</w:t>
      </w:r>
      <w:r>
        <w:rPr>
          <w:spacing w:val="-8"/>
        </w:rPr>
        <w:t> 年参与完成青海省科技厅科技成果，</w:t>
      </w:r>
      <w:r>
        <w:rPr/>
        <w:t>2015—2016</w:t>
      </w:r>
      <w:r>
        <w:rPr>
          <w:spacing w:val="-15"/>
        </w:rPr>
        <w:t> 年度参与《中国药源性急性肾损伤（AKI）</w:t>
      </w:r>
      <w:r>
        <w:rPr>
          <w:spacing w:val="-20"/>
        </w:rPr>
        <w:t>前导研究》并完成 </w:t>
      </w:r>
      <w:r>
        <w:rPr/>
        <w:t>200</w:t>
      </w:r>
      <w:r>
        <w:rPr>
          <w:spacing w:val="-8"/>
        </w:rPr>
        <w:t> 余份病历的分析、汇总等工作， 得到专家组好评；2017</w:t>
      </w:r>
      <w:r>
        <w:rPr>
          <w:spacing w:val="-12"/>
        </w:rPr>
        <w:t> 年度青海大学中青年科研基金项目 </w:t>
      </w:r>
      <w:r>
        <w:rPr/>
        <w:t>1</w:t>
      </w:r>
      <w:r>
        <w:rPr>
          <w:spacing w:val="-8"/>
        </w:rPr>
        <w:t> 项，主持完成青海省卫生和计</w:t>
      </w:r>
      <w:r>
        <w:rPr>
          <w:spacing w:val="-15"/>
        </w:rPr>
        <w:t>划生育委员会开展新技术、新业务、新方法项目 </w:t>
      </w:r>
      <w:r>
        <w:rPr/>
        <w:t>2</w:t>
      </w:r>
      <w:r>
        <w:rPr>
          <w:spacing w:val="-12"/>
        </w:rPr>
        <w:t> 项，均评为省内先进，主要参与青海省卫</w:t>
      </w:r>
    </w:p>
    <w:p>
      <w:pPr>
        <w:pStyle w:val="BodyText"/>
        <w:spacing w:before="1"/>
        <w:jc w:val="both"/>
      </w:pPr>
      <w:r>
        <w:rPr>
          <w:spacing w:val="-7"/>
        </w:rPr>
        <w:t>生和计划生育委员会开展新技术、新业务、新方法项目 </w:t>
      </w:r>
      <w:r>
        <w:rPr/>
        <w:t>2</w:t>
      </w:r>
      <w:r>
        <w:rPr>
          <w:spacing w:val="-11"/>
        </w:rPr>
        <w:t> 项，均评为省内先进，近五年发表</w:t>
      </w:r>
    </w:p>
    <w:p>
      <w:pPr>
        <w:pStyle w:val="BodyText"/>
        <w:spacing w:before="94"/>
        <w:jc w:val="both"/>
      </w:pPr>
      <w:r>
        <w:rPr/>
        <w:t>学术论文 10 篇。</w:t>
      </w:r>
    </w:p>
    <w:p>
      <w:pPr>
        <w:pStyle w:val="BodyText"/>
        <w:spacing w:line="312" w:lineRule="auto" w:before="91"/>
        <w:ind w:right="1206" w:firstLine="480"/>
      </w:pPr>
      <w:r>
        <w:rPr/>
        <w:t>多次被评为医院年度优秀工作者，2017</w:t>
      </w:r>
      <w:r>
        <w:rPr>
          <w:spacing w:val="-24"/>
        </w:rPr>
        <w:t> 年获得 </w:t>
      </w:r>
      <w:r>
        <w:rPr/>
        <w:t>INRUD</w:t>
      </w:r>
      <w:r>
        <w:rPr>
          <w:spacing w:val="-9"/>
        </w:rPr>
        <w:t> 中国中心组临床安全用药组优秀</w:t>
      </w:r>
      <w:r>
        <w:rPr/>
        <w:t>个人表彰。</w:t>
      </w:r>
    </w:p>
    <w:p>
      <w:pPr>
        <w:pStyle w:val="BodyText"/>
        <w:spacing w:line="312" w:lineRule="auto" w:before="2"/>
        <w:ind w:right="1127" w:firstLine="480"/>
      </w:pPr>
      <w:r>
        <w:rPr>
          <w:spacing w:val="-6"/>
        </w:rPr>
        <w:t>兼任青海省医学会医院药学分会委员，青海省药事管理质量控制中心委员，青海省静脉</w:t>
      </w:r>
      <w:r>
        <w:rPr/>
        <w:t>配置质量控制中心委员。</w:t>
      </w:r>
    </w:p>
    <w:p>
      <w:pPr>
        <w:pStyle w:val="Heading8"/>
        <w:spacing w:line="365" w:lineRule="exact"/>
        <w:rPr>
          <w:rFonts w:ascii="微软雅黑" w:eastAsia="微软雅黑" w:hint="eastAsia"/>
        </w:rPr>
      </w:pPr>
      <w:r>
        <w:rPr>
          <w:rFonts w:ascii="华文楷体" w:eastAsia="华文楷体" w:hint="eastAsia"/>
          <w:color w:val="006FC0"/>
        </w:rPr>
        <w:t>以上药师荣获 2018 年中国药学会优秀药师</w:t>
      </w:r>
      <w:r>
        <w:rPr>
          <w:rFonts w:ascii="微软雅黑" w:eastAsia="微软雅黑" w:hint="eastAsia"/>
          <w:color w:val="0033CC"/>
        </w:rPr>
        <w:t>[</w:t>
      </w:r>
      <w:r>
        <w:rPr>
          <w:rFonts w:ascii="Microsoft JhengHei" w:eastAsia="Microsoft JhengHei" w:hint="eastAsia"/>
          <w:color w:val="0033CC"/>
        </w:rPr>
        <w:t>返回目次</w:t>
      </w:r>
      <w:r>
        <w:rPr>
          <w:rFonts w:ascii="微软雅黑" w:eastAsia="微软雅黑" w:hint="eastAsia"/>
          <w:color w:val="0033CC"/>
        </w:rPr>
        <w:t>]</w:t>
      </w:r>
    </w:p>
    <w:p>
      <w:pPr>
        <w:pStyle w:val="Heading4"/>
        <w:spacing w:before="268"/>
        <w:ind w:left="637"/>
      </w:pPr>
      <w:bookmarkStart w:name="_TOC_250004" w:id="38"/>
      <w:bookmarkEnd w:id="38"/>
      <w:r>
        <w:rPr/>
        <w:t>【优秀药师经验分享】</w:t>
      </w:r>
    </w:p>
    <w:p>
      <w:pPr>
        <w:pStyle w:val="Heading4"/>
        <w:spacing w:before="286"/>
        <w:ind w:right="495"/>
        <w:jc w:val="center"/>
      </w:pPr>
      <w:bookmarkStart w:name="_TOC_250003" w:id="39"/>
      <w:bookmarkEnd w:id="39"/>
      <w:r>
        <w:rPr/>
        <w:t>药师搞科研，抓住七大优势让你脱颖而出</w:t>
      </w:r>
    </w:p>
    <w:p>
      <w:pPr>
        <w:pStyle w:val="BodyText"/>
        <w:spacing w:before="9"/>
        <w:ind w:left="0"/>
        <w:rPr>
          <w:b/>
          <w:sz w:val="23"/>
        </w:rPr>
      </w:pPr>
    </w:p>
    <w:p>
      <w:pPr>
        <w:tabs>
          <w:tab w:pos="3289" w:val="left" w:leader="none"/>
          <w:tab w:pos="6486" w:val="left" w:leader="none"/>
        </w:tabs>
        <w:spacing w:line="338" w:lineRule="auto" w:before="0"/>
        <w:ind w:left="1119" w:right="1128" w:firstLine="3955"/>
        <w:jc w:val="left"/>
        <w:rPr>
          <w:rFonts w:ascii="楷体" w:eastAsia="楷体" w:hint="eastAsia"/>
          <w:b/>
          <w:sz w:val="24"/>
        </w:rPr>
      </w:pPr>
      <w:r>
        <w:rPr>
          <w:rFonts w:ascii="楷体" w:eastAsia="楷体" w:hint="eastAsia"/>
          <w:b/>
          <w:color w:val="FF0000"/>
          <w:sz w:val="24"/>
        </w:rPr>
        <w:t>（来源：中国药学会科技开发中心微信公众号</w:t>
      </w:r>
      <w:r>
        <w:rPr>
          <w:rFonts w:ascii="楷体" w:eastAsia="楷体" w:hint="eastAsia"/>
          <w:b/>
          <w:color w:val="FF0000"/>
          <w:spacing w:val="-14"/>
          <w:sz w:val="24"/>
        </w:rPr>
        <w:t>） </w:t>
      </w:r>
      <w:r>
        <w:rPr>
          <w:rFonts w:ascii="楷体" w:eastAsia="楷体" w:hint="eastAsia"/>
          <w:b/>
          <w:sz w:val="24"/>
        </w:rPr>
        <w:t>本期人物:</w:t>
      </w:r>
      <w:r>
        <w:rPr>
          <w:rFonts w:ascii="楷体" w:eastAsia="楷体" w:hint="eastAsia"/>
          <w:b/>
          <w:spacing w:val="-1"/>
          <w:sz w:val="24"/>
        </w:rPr>
        <w:t> </w:t>
      </w:r>
      <w:r>
        <w:rPr>
          <w:rFonts w:ascii="楷体" w:eastAsia="楷体" w:hint="eastAsia"/>
          <w:b/>
          <w:sz w:val="24"/>
        </w:rPr>
        <w:t>曾明辉</w:t>
        <w:tab/>
        <w:t>2018</w:t>
      </w:r>
      <w:r>
        <w:rPr>
          <w:rFonts w:ascii="楷体" w:eastAsia="楷体" w:hint="eastAsia"/>
          <w:b/>
          <w:spacing w:val="-61"/>
          <w:sz w:val="24"/>
        </w:rPr>
        <w:t> </w:t>
      </w:r>
      <w:r>
        <w:rPr>
          <w:rFonts w:ascii="楷体" w:eastAsia="楷体" w:hint="eastAsia"/>
          <w:b/>
          <w:sz w:val="24"/>
        </w:rPr>
        <w:t>年中国药学会优秀药师</w:t>
        <w:tab/>
        <w:t>邛崃市医疗中心医院药学部主任</w:t>
      </w:r>
    </w:p>
    <w:p>
      <w:pPr>
        <w:spacing w:line="295" w:lineRule="exact" w:before="0"/>
        <w:ind w:left="637" w:right="0" w:firstLine="0"/>
        <w:jc w:val="left"/>
        <w:rPr>
          <w:rFonts w:ascii="楷体" w:eastAsia="楷体" w:hint="eastAsia"/>
          <w:b/>
          <w:sz w:val="24"/>
        </w:rPr>
      </w:pPr>
      <w:r>
        <w:rPr>
          <w:rFonts w:ascii="楷体" w:eastAsia="楷体" w:hint="eastAsia"/>
          <w:b/>
          <w:sz w:val="24"/>
        </w:rPr>
        <w:t>主任药师</w:t>
      </w:r>
    </w:p>
    <w:p>
      <w:pPr>
        <w:spacing w:before="112"/>
        <w:ind w:left="1119" w:right="0" w:firstLine="0"/>
        <w:jc w:val="left"/>
        <w:rPr>
          <w:b/>
          <w:sz w:val="24"/>
        </w:rPr>
      </w:pPr>
      <w:r>
        <w:rPr>
          <w:b/>
          <w:sz w:val="24"/>
        </w:rPr>
        <w:t>优秀药师应具备的职业素养有哪些？</w:t>
      </w:r>
    </w:p>
    <w:p>
      <w:pPr>
        <w:pStyle w:val="ListParagraph"/>
        <w:numPr>
          <w:ilvl w:val="0"/>
          <w:numId w:val="7"/>
        </w:numPr>
        <w:tabs>
          <w:tab w:pos="1478" w:val="left" w:leader="none"/>
        </w:tabs>
        <w:spacing w:line="240" w:lineRule="auto" w:before="113" w:after="0"/>
        <w:ind w:left="1477" w:right="0" w:hanging="361"/>
        <w:jc w:val="left"/>
        <w:rPr>
          <w:sz w:val="24"/>
        </w:rPr>
      </w:pPr>
      <w:r>
        <w:rPr>
          <w:sz w:val="24"/>
        </w:rPr>
        <w:t>心系患者</w:t>
      </w:r>
    </w:p>
    <w:p>
      <w:pPr>
        <w:pStyle w:val="BodyText"/>
        <w:spacing w:line="328" w:lineRule="auto" w:before="113"/>
        <w:ind w:right="1027" w:firstLine="480"/>
      </w:pPr>
      <w:r>
        <w:rPr>
          <w:spacing w:val="-1"/>
        </w:rPr>
        <w:t>《孟子》曰：“穷则独善其身，达则兼善天下。”优秀的药师应该把自己的工作做好， </w:t>
      </w:r>
      <w:r>
        <w:rPr>
          <w:spacing w:val="-7"/>
        </w:rPr>
        <w:t>同时能帮助别人解决问题。不局限于工作“本分”，树立提高全民用药水平和用药安全的理想。</w:t>
      </w:r>
    </w:p>
    <w:p>
      <w:pPr>
        <w:pStyle w:val="ListParagraph"/>
        <w:numPr>
          <w:ilvl w:val="0"/>
          <w:numId w:val="7"/>
        </w:numPr>
        <w:tabs>
          <w:tab w:pos="1478" w:val="left" w:leader="none"/>
        </w:tabs>
        <w:spacing w:line="304" w:lineRule="exact" w:before="0" w:after="0"/>
        <w:ind w:left="1477" w:right="0" w:hanging="361"/>
        <w:jc w:val="left"/>
        <w:rPr>
          <w:sz w:val="24"/>
        </w:rPr>
      </w:pPr>
      <w:r>
        <w:rPr>
          <w:sz w:val="24"/>
        </w:rPr>
        <w:t>技术过硬</w:t>
      </w:r>
    </w:p>
    <w:p>
      <w:pPr>
        <w:pStyle w:val="BodyText"/>
        <w:spacing w:line="328" w:lineRule="auto" w:before="112"/>
        <w:ind w:right="1007" w:firstLine="480"/>
        <w:jc w:val="both"/>
      </w:pPr>
      <w:r>
        <w:rPr>
          <w:spacing w:val="-12"/>
        </w:rPr>
        <w:t>医学技术不断进步的同时，伴随着不断产生的新药和新的药学知识。“活到老，学到老” </w:t>
      </w:r>
      <w:r>
        <w:rPr/>
        <w:t>是所有医务工作人员的终身事业。优秀药师应有严谨、求真、务实的工作作风，夯实基础， 踏实工作。</w:t>
      </w:r>
    </w:p>
    <w:p>
      <w:pPr>
        <w:pStyle w:val="ListParagraph"/>
        <w:numPr>
          <w:ilvl w:val="0"/>
          <w:numId w:val="7"/>
        </w:numPr>
        <w:tabs>
          <w:tab w:pos="1478" w:val="left" w:leader="none"/>
        </w:tabs>
        <w:spacing w:line="304" w:lineRule="exact" w:before="0" w:after="0"/>
        <w:ind w:left="1477" w:right="0" w:hanging="361"/>
        <w:jc w:val="both"/>
        <w:rPr>
          <w:sz w:val="24"/>
        </w:rPr>
      </w:pPr>
      <w:r>
        <w:rPr>
          <w:sz w:val="24"/>
        </w:rPr>
        <w:t>持之以恒</w:t>
      </w:r>
    </w:p>
    <w:p>
      <w:pPr>
        <w:pStyle w:val="BodyText"/>
        <w:spacing w:line="328" w:lineRule="auto" w:before="113"/>
        <w:ind w:right="1027" w:firstLine="480"/>
      </w:pPr>
      <w:r>
        <w:rPr>
          <w:spacing w:val="-1"/>
        </w:rPr>
        <w:t>在一些合理建议得不到医护人员采纳时不急躁，一片好意得不到病人的理解时不失落、</w:t>
      </w:r>
      <w:r>
        <w:rPr>
          <w:spacing w:val="-9"/>
        </w:rPr>
        <w:t>不放弃。一些观点与同事们不一致时耐心讨论、取长补短。提高对挫折的承受能力，保持沉稳、自信的心态热情投入每天的工作，相信辛勤耕耘定会有收获。</w:t>
      </w:r>
    </w:p>
    <w:p>
      <w:pPr>
        <w:spacing w:after="0" w:line="328" w:lineRule="auto"/>
        <w:sectPr>
          <w:pgSz w:w="11910" w:h="16850"/>
          <w:pgMar w:header="906" w:footer="607" w:top="1100" w:bottom="800" w:left="640" w:right="0"/>
        </w:sectPr>
      </w:pPr>
    </w:p>
    <w:p>
      <w:pPr>
        <w:pStyle w:val="ListParagraph"/>
        <w:numPr>
          <w:ilvl w:val="0"/>
          <w:numId w:val="7"/>
        </w:numPr>
        <w:tabs>
          <w:tab w:pos="1478" w:val="left" w:leader="none"/>
        </w:tabs>
        <w:spacing w:line="240" w:lineRule="auto" w:before="96" w:after="0"/>
        <w:ind w:left="1477" w:right="0" w:hanging="361"/>
        <w:jc w:val="both"/>
        <w:rPr>
          <w:sz w:val="24"/>
        </w:rPr>
      </w:pPr>
      <w:r>
        <w:rPr>
          <w:sz w:val="24"/>
        </w:rPr>
        <w:t>爱岗敬业</w:t>
      </w:r>
    </w:p>
    <w:p>
      <w:pPr>
        <w:pStyle w:val="BodyText"/>
        <w:spacing w:line="328" w:lineRule="auto" w:before="113"/>
        <w:ind w:right="1127" w:firstLine="480"/>
        <w:jc w:val="both"/>
      </w:pPr>
      <w:r>
        <w:rPr>
          <w:spacing w:val="-8"/>
        </w:rPr>
        <w:t>患者生病了会找医生，但有了用药问题却不会找药师。优秀药师应有足够的主动性。切实站在患者的角度，主动提供药学服务，有同情心、同理心，帮助患者克服负面心理，树立战胜疾病的信心。</w:t>
      </w:r>
    </w:p>
    <w:p>
      <w:pPr>
        <w:pStyle w:val="Heading8"/>
        <w:spacing w:line="304" w:lineRule="exact"/>
        <w:ind w:left="1119"/>
      </w:pPr>
      <w:r>
        <w:rPr/>
        <w:t>药师在指导临床用药过程中存在哪些困难？</w:t>
      </w:r>
    </w:p>
    <w:p>
      <w:pPr>
        <w:pStyle w:val="BodyText"/>
        <w:spacing w:line="328" w:lineRule="auto" w:before="112"/>
        <w:ind w:right="1127" w:firstLine="480"/>
      </w:pPr>
      <w:r>
        <w:rPr>
          <w:spacing w:val="-8"/>
        </w:rPr>
        <w:t>作为基层医院药师，医院临床药学处于萌芽发展阶段，在指导临床用药的过程中，主要</w:t>
      </w:r>
      <w:r>
        <w:rPr/>
        <w:t>存在以下困难：</w:t>
      </w:r>
    </w:p>
    <w:p>
      <w:pPr>
        <w:pStyle w:val="BodyText"/>
        <w:spacing w:line="328" w:lineRule="auto"/>
        <w:ind w:right="1127" w:firstLine="480"/>
        <w:jc w:val="both"/>
      </w:pPr>
      <w:r>
        <w:rPr>
          <w:spacing w:val="-10"/>
        </w:rPr>
        <w:t>第一，药师自身专业素质欠缺。在指导临床用药中，对药物的药代动力学、不良反应等掌握力度不够，不能熟练掌握疾病的起因、发展及转归，用药方案的调整重心目前仍在抗菌</w:t>
      </w:r>
      <w:r>
        <w:rPr/>
        <w:t>药物，对其他药物的合理使用指导稍欠缺。</w:t>
      </w:r>
    </w:p>
    <w:p>
      <w:pPr>
        <w:pStyle w:val="BodyText"/>
        <w:spacing w:line="304" w:lineRule="exact"/>
        <w:ind w:left="1117"/>
      </w:pPr>
      <w:r>
        <w:rPr/>
        <w:t>第二，药师沟通能力欠缺。在与医师的用药沟通中，仍有沟通不愉快的情况发生。</w:t>
      </w:r>
    </w:p>
    <w:p>
      <w:pPr>
        <w:pStyle w:val="BodyText"/>
        <w:spacing w:line="328" w:lineRule="auto" w:before="110"/>
        <w:ind w:right="1127" w:firstLine="480"/>
      </w:pPr>
      <w:r>
        <w:rPr>
          <w:spacing w:val="-10"/>
        </w:rPr>
        <w:t>第三，部分医师对药师的用药指导工作不认可，认为医师负责用药方案的制定，药师只</w:t>
      </w:r>
      <w:r>
        <w:rPr/>
        <w:t>需要按照方案执行。</w:t>
      </w:r>
    </w:p>
    <w:p>
      <w:pPr>
        <w:pStyle w:val="BodyText"/>
        <w:spacing w:line="328" w:lineRule="auto"/>
        <w:ind w:right="1127" w:firstLine="480"/>
        <w:jc w:val="both"/>
      </w:pPr>
      <w:r>
        <w:rPr>
          <w:spacing w:val="-11"/>
        </w:rPr>
        <w:t>第四，目前大部分患者对药师的观念还停留在只是药房抓药工的层面，对药师的专业认</w:t>
      </w:r>
      <w:r>
        <w:rPr>
          <w:spacing w:val="-10"/>
        </w:rPr>
        <w:t>可程度不高，药师耗费大量精力进行的患者个体化用药指导，在进行患者教育时往往得不到</w:t>
      </w:r>
      <w:r>
        <w:rPr/>
        <w:t>较好的效果，用药依从性得不到更好的改善。</w:t>
      </w:r>
    </w:p>
    <w:p>
      <w:pPr>
        <w:pStyle w:val="Heading8"/>
        <w:spacing w:line="304" w:lineRule="exact"/>
        <w:ind w:left="1119"/>
      </w:pPr>
      <w:r>
        <w:rPr/>
        <w:t>如何创新药学服务模式？</w:t>
      </w:r>
    </w:p>
    <w:p>
      <w:pPr>
        <w:pStyle w:val="BodyText"/>
        <w:spacing w:line="328" w:lineRule="auto" w:before="110"/>
        <w:ind w:left="1117" w:right="1267"/>
      </w:pPr>
      <w:r>
        <w:rPr/>
        <w:t>创新药学服务模式，应该加强药师队伍建设，让资源能够得到上通下沉、内调外改。向上，不断学习上级医院优秀的经验；向下，改善乡镇医疗机构的用药陋习。</w:t>
      </w:r>
    </w:p>
    <w:p>
      <w:pPr>
        <w:pStyle w:val="BodyText"/>
        <w:spacing w:line="328" w:lineRule="auto"/>
        <w:ind w:right="1007" w:firstLine="480"/>
      </w:pPr>
      <w:r>
        <w:rPr>
          <w:spacing w:val="-15"/>
        </w:rPr>
        <w:t>针对医院内部，参与药品目录制定、用药方案的调整，控制医疗费用、促进用药合理性； </w:t>
      </w:r>
      <w:r>
        <w:rPr/>
        <w:t>对于医院外部，加强对慢病患者的管理，加强开展家庭签约服务，改善患者用药依从性。</w:t>
      </w:r>
    </w:p>
    <w:p>
      <w:pPr>
        <w:pStyle w:val="Heading8"/>
        <w:spacing w:line="305" w:lineRule="exact"/>
        <w:ind w:left="1119"/>
      </w:pPr>
      <w:r>
        <w:rPr/>
        <w:t>药师开展科研项目的着力点有哪些？</w:t>
      </w:r>
    </w:p>
    <w:p>
      <w:pPr>
        <w:pStyle w:val="BodyText"/>
        <w:spacing w:line="328" w:lineRule="auto" w:before="110"/>
        <w:ind w:right="1127" w:firstLine="480"/>
        <w:jc w:val="both"/>
      </w:pPr>
      <w:r>
        <w:rPr>
          <w:spacing w:val="-7"/>
        </w:rPr>
        <w:t>作为基层医疗机构的一名普通药学工作者，在这里，我很荣幸能和大家分享自己的科研</w:t>
      </w:r>
      <w:r>
        <w:rPr>
          <w:spacing w:val="-10"/>
        </w:rPr>
        <w:t>经验。个人认为医疗机构的药学科研不一定都要做前沿研究、基础研究，也不是每个医疗机</w:t>
      </w:r>
      <w:r>
        <w:rPr>
          <w:spacing w:val="-6"/>
        </w:rPr>
        <w:t>构都有这样的软硬件支撑条件。医疗机构的药学科研本应来源于工作，服务于工作，解决工</w:t>
      </w:r>
      <w:r>
        <w:rPr/>
        <w:t>作中的实际问题，这样才能将药师工作与药学科研有机融合。</w:t>
      </w:r>
    </w:p>
    <w:p>
      <w:pPr>
        <w:pStyle w:val="BodyText"/>
        <w:spacing w:line="328" w:lineRule="auto"/>
        <w:ind w:right="1267" w:firstLine="480"/>
      </w:pPr>
      <w:r>
        <w:rPr/>
        <w:t>广大药师更多来源于基层医疗机构，结合大家的药学科研能力和工作环境的软硬件条件，建议可以围绕以下几点开展药学科研：</w:t>
      </w:r>
    </w:p>
    <w:p>
      <w:pPr>
        <w:pStyle w:val="ListParagraph"/>
        <w:numPr>
          <w:ilvl w:val="0"/>
          <w:numId w:val="8"/>
        </w:numPr>
        <w:tabs>
          <w:tab w:pos="1478" w:val="left" w:leader="none"/>
        </w:tabs>
        <w:spacing w:line="328" w:lineRule="auto" w:before="0" w:after="0"/>
        <w:ind w:left="637" w:right="1147" w:firstLine="480"/>
        <w:jc w:val="left"/>
        <w:rPr>
          <w:sz w:val="24"/>
        </w:rPr>
      </w:pPr>
      <w:r>
        <w:rPr>
          <w:spacing w:val="-1"/>
          <w:sz w:val="24"/>
        </w:rPr>
        <w:t>围绕传统药学服务模式的精细化管理开展研究，如药房的精细化、库房的数量化管</w:t>
      </w:r>
      <w:r>
        <w:rPr>
          <w:sz w:val="24"/>
        </w:rPr>
        <w:t>理等；</w:t>
      </w:r>
    </w:p>
    <w:p>
      <w:pPr>
        <w:pStyle w:val="ListParagraph"/>
        <w:numPr>
          <w:ilvl w:val="0"/>
          <w:numId w:val="8"/>
        </w:numPr>
        <w:tabs>
          <w:tab w:pos="1478" w:val="left" w:leader="none"/>
        </w:tabs>
        <w:spacing w:line="328" w:lineRule="auto" w:before="0" w:after="0"/>
        <w:ind w:left="637" w:right="1147" w:firstLine="480"/>
        <w:jc w:val="left"/>
        <w:rPr>
          <w:sz w:val="24"/>
        </w:rPr>
      </w:pPr>
      <w:r>
        <w:rPr>
          <w:spacing w:val="-1"/>
          <w:sz w:val="24"/>
        </w:rPr>
        <w:t>围绕临床药学工作内容及模式开展研究，如各项专项点评及其应用、特殊病种用药</w:t>
      </w:r>
      <w:r>
        <w:rPr>
          <w:spacing w:val="-5"/>
          <w:sz w:val="24"/>
        </w:rPr>
        <w:t>研究分析、基层医疗机构 </w:t>
      </w:r>
      <w:r>
        <w:rPr>
          <w:sz w:val="24"/>
        </w:rPr>
        <w:t>MDT</w:t>
      </w:r>
      <w:r>
        <w:rPr>
          <w:spacing w:val="-9"/>
          <w:sz w:val="24"/>
        </w:rPr>
        <w:t> 模式探讨等；</w:t>
      </w:r>
    </w:p>
    <w:p>
      <w:pPr>
        <w:pStyle w:val="ListParagraph"/>
        <w:numPr>
          <w:ilvl w:val="0"/>
          <w:numId w:val="8"/>
        </w:numPr>
        <w:tabs>
          <w:tab w:pos="1478" w:val="left" w:leader="none"/>
        </w:tabs>
        <w:spacing w:line="305" w:lineRule="exact" w:before="0" w:after="0"/>
        <w:ind w:left="1477" w:right="0" w:hanging="361"/>
        <w:jc w:val="left"/>
        <w:rPr>
          <w:sz w:val="24"/>
        </w:rPr>
      </w:pPr>
      <w:r>
        <w:rPr>
          <w:sz w:val="24"/>
        </w:rPr>
        <w:t>围绕慢病药学服务介入开展研究，如常见慢病的群体长期用药分析等；</w:t>
      </w:r>
    </w:p>
    <w:p>
      <w:pPr>
        <w:pStyle w:val="ListParagraph"/>
        <w:numPr>
          <w:ilvl w:val="0"/>
          <w:numId w:val="8"/>
        </w:numPr>
        <w:tabs>
          <w:tab w:pos="1478" w:val="left" w:leader="none"/>
        </w:tabs>
        <w:spacing w:line="328" w:lineRule="auto" w:before="103" w:after="0"/>
        <w:ind w:left="637" w:right="1147" w:firstLine="480"/>
        <w:jc w:val="left"/>
        <w:rPr>
          <w:sz w:val="24"/>
        </w:rPr>
      </w:pPr>
      <w:r>
        <w:rPr>
          <w:spacing w:val="-1"/>
          <w:sz w:val="24"/>
        </w:rPr>
        <w:t>围绕分级诊疗及医联体建设中的药学协作服务开展研究，统计分析基层医疗机构的</w:t>
      </w:r>
      <w:r>
        <w:rPr>
          <w:sz w:val="24"/>
        </w:rPr>
        <w:t>用药现状及存在的问题；</w:t>
      </w:r>
    </w:p>
    <w:p>
      <w:pPr>
        <w:spacing w:after="0" w:line="328" w:lineRule="auto"/>
        <w:jc w:val="left"/>
        <w:rPr>
          <w:sz w:val="24"/>
        </w:rPr>
        <w:sectPr>
          <w:pgSz w:w="11910" w:h="16850"/>
          <w:pgMar w:header="906" w:footer="607" w:top="1100" w:bottom="800" w:left="640" w:right="0"/>
        </w:sectPr>
      </w:pPr>
    </w:p>
    <w:p>
      <w:pPr>
        <w:pStyle w:val="ListParagraph"/>
        <w:numPr>
          <w:ilvl w:val="0"/>
          <w:numId w:val="8"/>
        </w:numPr>
        <w:tabs>
          <w:tab w:pos="1478" w:val="left" w:leader="none"/>
        </w:tabs>
        <w:spacing w:line="240" w:lineRule="auto" w:before="96" w:after="0"/>
        <w:ind w:left="1477" w:right="0" w:hanging="361"/>
        <w:jc w:val="left"/>
        <w:rPr>
          <w:sz w:val="24"/>
        </w:rPr>
      </w:pPr>
      <w:r>
        <w:rPr>
          <w:sz w:val="24"/>
        </w:rPr>
        <w:t>围绕临方炮制的临床应用开展研究；</w:t>
      </w:r>
    </w:p>
    <w:p>
      <w:pPr>
        <w:pStyle w:val="ListParagraph"/>
        <w:numPr>
          <w:ilvl w:val="0"/>
          <w:numId w:val="8"/>
        </w:numPr>
        <w:tabs>
          <w:tab w:pos="1478" w:val="left" w:leader="none"/>
        </w:tabs>
        <w:spacing w:line="328" w:lineRule="auto" w:before="113" w:after="0"/>
        <w:ind w:left="637" w:right="1147" w:firstLine="480"/>
        <w:jc w:val="left"/>
        <w:rPr>
          <w:sz w:val="24"/>
        </w:rPr>
      </w:pPr>
      <w:r>
        <w:rPr>
          <w:spacing w:val="-1"/>
          <w:sz w:val="24"/>
        </w:rPr>
        <w:t>对于有医院制剂的单位，可以做些医院制剂方面的研究，毕竟有院内制剂能力的单</w:t>
      </w:r>
      <w:r>
        <w:rPr>
          <w:sz w:val="24"/>
        </w:rPr>
        <w:t>位并不多；</w:t>
      </w:r>
    </w:p>
    <w:p>
      <w:pPr>
        <w:pStyle w:val="ListParagraph"/>
        <w:numPr>
          <w:ilvl w:val="0"/>
          <w:numId w:val="8"/>
        </w:numPr>
        <w:tabs>
          <w:tab w:pos="1478" w:val="left" w:leader="none"/>
        </w:tabs>
        <w:spacing w:line="363" w:lineRule="exact" w:before="0" w:after="0"/>
        <w:ind w:left="1477" w:right="0" w:hanging="361"/>
        <w:jc w:val="left"/>
        <w:rPr>
          <w:rFonts w:ascii="微软雅黑" w:eastAsia="微软雅黑" w:hint="eastAsia"/>
          <w:b/>
          <w:sz w:val="24"/>
        </w:rPr>
      </w:pPr>
      <w:r>
        <w:rPr>
          <w:w w:val="105"/>
          <w:sz w:val="24"/>
        </w:rPr>
        <w:t>与上级医疗机构建立医联体关系的机构可以与上级单位开展合作研究。</w:t>
      </w:r>
      <w:r>
        <w:rPr>
          <w:rFonts w:ascii="微软雅黑" w:eastAsia="微软雅黑" w:hint="eastAsia"/>
          <w:b/>
          <w:color w:val="0033CC"/>
          <w:w w:val="105"/>
          <w:sz w:val="24"/>
        </w:rPr>
        <w:t>[</w:t>
      </w:r>
      <w:r>
        <w:rPr>
          <w:rFonts w:ascii="Microsoft JhengHei" w:eastAsia="Microsoft JhengHei" w:hint="eastAsia"/>
          <w:b/>
          <w:color w:val="0033CC"/>
          <w:w w:val="105"/>
          <w:sz w:val="24"/>
        </w:rPr>
        <w:t>返回目次</w:t>
      </w:r>
      <w:r>
        <w:rPr>
          <w:rFonts w:ascii="微软雅黑" w:eastAsia="微软雅黑" w:hint="eastAsia"/>
          <w:b/>
          <w:color w:val="0033CC"/>
          <w:w w:val="105"/>
          <w:sz w:val="24"/>
        </w:rPr>
        <w:t>]</w:t>
      </w:r>
    </w:p>
    <w:p>
      <w:pPr>
        <w:pStyle w:val="BodyText"/>
        <w:spacing w:before="15"/>
        <w:ind w:left="0"/>
        <w:rPr>
          <w:rFonts w:ascii="微软雅黑"/>
          <w:b/>
          <w:sz w:val="13"/>
        </w:rPr>
      </w:pPr>
    </w:p>
    <w:p>
      <w:pPr>
        <w:pStyle w:val="Heading4"/>
        <w:ind w:right="498"/>
        <w:jc w:val="center"/>
      </w:pPr>
      <w:bookmarkStart w:name="_TOC_250002" w:id="40"/>
      <w:bookmarkEnd w:id="40"/>
      <w:r>
        <w:rPr/>
        <w:t>优势突出，专职专任，打造有战斗力的骨干队伍！</w:t>
      </w:r>
    </w:p>
    <w:p>
      <w:pPr>
        <w:pStyle w:val="BodyText"/>
        <w:spacing w:before="6"/>
        <w:ind w:left="0"/>
        <w:rPr>
          <w:b/>
          <w:sz w:val="23"/>
        </w:rPr>
      </w:pPr>
    </w:p>
    <w:p>
      <w:pPr>
        <w:pStyle w:val="Heading8"/>
        <w:tabs>
          <w:tab w:pos="3208" w:val="left" w:leader="none"/>
          <w:tab w:pos="6400" w:val="left" w:leader="none"/>
        </w:tabs>
        <w:spacing w:line="338" w:lineRule="auto" w:before="1"/>
        <w:ind w:left="1119" w:right="1128" w:firstLine="3955"/>
        <w:rPr>
          <w:rFonts w:ascii="楷体" w:eastAsia="楷体" w:hint="eastAsia"/>
        </w:rPr>
      </w:pPr>
      <w:r>
        <w:rPr>
          <w:rFonts w:ascii="楷体" w:eastAsia="楷体" w:hint="eastAsia"/>
          <w:color w:val="FF0000"/>
        </w:rPr>
        <w:t>（来源：中国药学会科技开发中心微信公众号</w:t>
      </w:r>
      <w:r>
        <w:rPr>
          <w:rFonts w:ascii="楷体" w:eastAsia="楷体" w:hint="eastAsia"/>
          <w:color w:val="FF0000"/>
          <w:spacing w:val="-14"/>
        </w:rPr>
        <w:t>） </w:t>
      </w:r>
      <w:r>
        <w:rPr>
          <w:rFonts w:ascii="楷体" w:eastAsia="楷体" w:hint="eastAsia"/>
        </w:rPr>
        <w:t>本期人物</w:t>
      </w:r>
      <w:r>
        <w:rPr>
          <w:rFonts w:ascii="楷体" w:eastAsia="楷体" w:hint="eastAsia"/>
          <w:spacing w:val="-82"/>
        </w:rPr>
        <w:t>：</w:t>
      </w:r>
      <w:r>
        <w:rPr>
          <w:rFonts w:ascii="楷体" w:eastAsia="楷体" w:hint="eastAsia"/>
        </w:rPr>
        <w:t>李松梅</w:t>
        <w:tab/>
        <w:t>2018</w:t>
      </w:r>
      <w:r>
        <w:rPr>
          <w:rFonts w:ascii="楷体" w:eastAsia="楷体" w:hint="eastAsia"/>
          <w:spacing w:val="-62"/>
        </w:rPr>
        <w:t> </w:t>
      </w:r>
      <w:r>
        <w:rPr>
          <w:rFonts w:ascii="楷体" w:eastAsia="楷体" w:hint="eastAsia"/>
        </w:rPr>
        <w:t>年中国药学会优秀药师</w:t>
        <w:tab/>
        <w:t>云南省中医医院/云南中医药大学</w:t>
      </w:r>
      <w:r>
        <w:rPr>
          <w:rFonts w:ascii="楷体" w:eastAsia="楷体" w:hint="eastAsia"/>
          <w:spacing w:val="-15"/>
        </w:rPr>
        <w:t>第</w:t>
      </w:r>
    </w:p>
    <w:p>
      <w:pPr>
        <w:spacing w:line="295" w:lineRule="exact" w:before="0"/>
        <w:ind w:left="637" w:right="0" w:firstLine="0"/>
        <w:jc w:val="left"/>
        <w:rPr>
          <w:rFonts w:ascii="楷体" w:eastAsia="楷体" w:hint="eastAsia"/>
          <w:b/>
          <w:sz w:val="24"/>
        </w:rPr>
      </w:pPr>
      <w:r>
        <w:rPr>
          <w:rFonts w:ascii="楷体" w:eastAsia="楷体" w:hint="eastAsia"/>
          <w:b/>
          <w:sz w:val="24"/>
        </w:rPr>
        <w:t>一附属医院药学部主任</w:t>
      </w:r>
    </w:p>
    <w:p>
      <w:pPr>
        <w:spacing w:before="112"/>
        <w:ind w:left="1119" w:right="0" w:firstLine="0"/>
        <w:jc w:val="left"/>
        <w:rPr>
          <w:b/>
          <w:sz w:val="24"/>
        </w:rPr>
      </w:pPr>
      <w:r>
        <w:rPr>
          <w:b/>
          <w:sz w:val="24"/>
        </w:rPr>
        <w:t>优秀药师应具备的职业素养有哪些？</w:t>
      </w:r>
    </w:p>
    <w:p>
      <w:pPr>
        <w:pStyle w:val="BodyText"/>
        <w:spacing w:line="328" w:lineRule="auto" w:before="113"/>
        <w:ind w:right="1027" w:firstLine="480"/>
      </w:pPr>
      <w:r>
        <w:rPr>
          <w:spacing w:val="-1"/>
        </w:rPr>
        <w:t>作为一名优秀药师，首先应具有较强的社会责任感和职业道德，对待工作，兢兢业业， </w:t>
      </w:r>
      <w:r>
        <w:rPr>
          <w:spacing w:val="-9"/>
        </w:rPr>
        <w:t>严肃认真；具备扎实的药学专业技能和知识，精通药物的疗效、使用方法、不良反应等，按照安全、有效、经济的原则，为患者提供优质的药学服务。</w:t>
      </w:r>
    </w:p>
    <w:p>
      <w:pPr>
        <w:pStyle w:val="BodyText"/>
        <w:spacing w:line="328" w:lineRule="auto"/>
        <w:ind w:right="1127" w:firstLine="480"/>
      </w:pPr>
      <w:r>
        <w:rPr>
          <w:spacing w:val="-10"/>
        </w:rPr>
        <w:t>其次，药师工作应与临床工作相结合，积极探索临床药学学科建设，深入开展用药咨询</w:t>
      </w:r>
      <w:r>
        <w:rPr/>
        <w:t>和药物监测，确保药物的合理开具和正确使用，努力减小用药误差和事故率。</w:t>
      </w:r>
    </w:p>
    <w:p>
      <w:pPr>
        <w:pStyle w:val="BodyText"/>
        <w:spacing w:line="328" w:lineRule="auto"/>
        <w:ind w:right="1027" w:firstLine="480"/>
      </w:pPr>
      <w:r>
        <w:rPr>
          <w:spacing w:val="-1"/>
        </w:rPr>
        <w:t>此外，优秀药师应注重基础科学研究与临床诊治的结合，运用科研成果提高专业技能， </w:t>
      </w:r>
      <w:r>
        <w:rPr/>
        <w:t>努力使自己朝着德业双修、医研兼通的创新优秀人才目标奋进。</w:t>
      </w:r>
    </w:p>
    <w:p>
      <w:pPr>
        <w:pStyle w:val="BodyText"/>
        <w:spacing w:line="328" w:lineRule="auto"/>
        <w:ind w:right="1130" w:firstLine="480"/>
      </w:pPr>
      <w:r>
        <w:rPr>
          <w:spacing w:val="-10"/>
        </w:rPr>
        <w:t>最后，优秀药师应加强创新骨干人才培养，通过传、帮、带的方式培养一批中医药优秀</w:t>
      </w:r>
      <w:r>
        <w:rPr/>
        <w:t>青年，带动广大药师充分发挥中医药优势，推进健康中国建设。</w:t>
      </w:r>
    </w:p>
    <w:p>
      <w:pPr>
        <w:pStyle w:val="BodyText"/>
        <w:spacing w:line="305" w:lineRule="exact"/>
        <w:ind w:left="1117"/>
      </w:pPr>
      <w:r>
        <w:rPr/>
        <w:t>新医改背景下如何提高医院药事管理水平？</w:t>
      </w:r>
    </w:p>
    <w:p>
      <w:pPr>
        <w:pStyle w:val="ListParagraph"/>
        <w:numPr>
          <w:ilvl w:val="0"/>
          <w:numId w:val="9"/>
        </w:numPr>
        <w:tabs>
          <w:tab w:pos="1719" w:val="left" w:leader="none"/>
        </w:tabs>
        <w:spacing w:line="328" w:lineRule="auto" w:before="104" w:after="0"/>
        <w:ind w:left="637" w:right="1130" w:firstLine="480"/>
        <w:jc w:val="both"/>
        <w:rPr>
          <w:sz w:val="24"/>
        </w:rPr>
      </w:pPr>
      <w:r>
        <w:rPr>
          <w:sz w:val="24"/>
        </w:rPr>
        <w:t>完善药事管理制度建设，树立药事管理的正确观念，促使药事人员把关注重心从</w:t>
      </w:r>
      <w:r>
        <w:rPr>
          <w:spacing w:val="-10"/>
          <w:sz w:val="24"/>
        </w:rPr>
        <w:t>“药品质量”转移到“患者用药结果”上来。发挥制度调控监管的作用机制，改善医疗机构</w:t>
      </w:r>
      <w:r>
        <w:rPr>
          <w:sz w:val="24"/>
        </w:rPr>
        <w:t>用药不合理的状况。</w:t>
      </w:r>
    </w:p>
    <w:p>
      <w:pPr>
        <w:pStyle w:val="ListParagraph"/>
        <w:numPr>
          <w:ilvl w:val="0"/>
          <w:numId w:val="9"/>
        </w:numPr>
        <w:tabs>
          <w:tab w:pos="1719" w:val="left" w:leader="none"/>
        </w:tabs>
        <w:spacing w:line="328" w:lineRule="auto" w:before="0" w:after="0"/>
        <w:ind w:left="637" w:right="1147" w:firstLine="480"/>
        <w:jc w:val="left"/>
        <w:rPr>
          <w:sz w:val="24"/>
        </w:rPr>
      </w:pPr>
      <w:r>
        <w:rPr>
          <w:spacing w:val="-1"/>
          <w:sz w:val="24"/>
        </w:rPr>
        <w:t>强化药品院内使用管理，制定标准化的药品采购规程，建立药品出入库登记标准</w:t>
      </w:r>
      <w:r>
        <w:rPr>
          <w:sz w:val="24"/>
        </w:rPr>
        <w:t>化操作规程，建设好药库和药品陈放处的基础设施。</w:t>
      </w:r>
    </w:p>
    <w:p>
      <w:pPr>
        <w:pStyle w:val="ListParagraph"/>
        <w:numPr>
          <w:ilvl w:val="0"/>
          <w:numId w:val="9"/>
        </w:numPr>
        <w:tabs>
          <w:tab w:pos="1719" w:val="left" w:leader="none"/>
        </w:tabs>
        <w:spacing w:line="328" w:lineRule="auto" w:before="0" w:after="0"/>
        <w:ind w:left="637" w:right="1027" w:firstLine="480"/>
        <w:jc w:val="left"/>
        <w:rPr>
          <w:sz w:val="24"/>
        </w:rPr>
      </w:pPr>
      <w:r>
        <w:rPr>
          <w:sz w:val="24"/>
        </w:rPr>
        <w:t>通过组织构建，扩大药事管理人才队伍，提升管理执行队伍的专业性，使组织的</w:t>
      </w:r>
      <w:r>
        <w:rPr>
          <w:spacing w:val="-1"/>
          <w:sz w:val="24"/>
        </w:rPr>
        <w:t>力量得到更显著的发挥。在药事管理职务方面，尽可能做到“专职专任”，避免兼职现象， </w:t>
      </w:r>
      <w:r>
        <w:rPr>
          <w:sz w:val="24"/>
        </w:rPr>
        <w:t>加强对管理人员的专业培训。</w:t>
      </w:r>
    </w:p>
    <w:p>
      <w:pPr>
        <w:pStyle w:val="ListParagraph"/>
        <w:numPr>
          <w:ilvl w:val="0"/>
          <w:numId w:val="9"/>
        </w:numPr>
        <w:tabs>
          <w:tab w:pos="1719" w:val="left" w:leader="none"/>
        </w:tabs>
        <w:spacing w:line="328" w:lineRule="auto" w:before="0" w:after="0"/>
        <w:ind w:left="637" w:right="1147" w:firstLine="480"/>
        <w:jc w:val="left"/>
        <w:rPr>
          <w:sz w:val="24"/>
        </w:rPr>
      </w:pPr>
      <w:r>
        <w:rPr>
          <w:spacing w:val="-1"/>
          <w:sz w:val="24"/>
        </w:rPr>
        <w:t>提升药事工作人员技术水平，包括临床药品监测、建立处方点评制度、药品使用</w:t>
      </w:r>
      <w:r>
        <w:rPr>
          <w:sz w:val="24"/>
        </w:rPr>
        <w:t>监督和药品不良反应跟踪等，提升医师用药的准确性、安全性和合理性。</w:t>
      </w:r>
    </w:p>
    <w:p>
      <w:pPr>
        <w:pStyle w:val="Heading8"/>
        <w:spacing w:line="305" w:lineRule="exact"/>
        <w:ind w:left="1119"/>
      </w:pPr>
      <w:r>
        <w:rPr/>
        <w:t>如何做好药学专业人才队伍建设？</w:t>
      </w:r>
    </w:p>
    <w:p>
      <w:pPr>
        <w:pStyle w:val="ListParagraph"/>
        <w:numPr>
          <w:ilvl w:val="0"/>
          <w:numId w:val="10"/>
        </w:numPr>
        <w:tabs>
          <w:tab w:pos="1719" w:val="left" w:leader="none"/>
        </w:tabs>
        <w:spacing w:line="328" w:lineRule="auto" w:before="103" w:after="0"/>
        <w:ind w:left="637" w:right="1126" w:firstLine="480"/>
        <w:jc w:val="both"/>
        <w:rPr>
          <w:sz w:val="24"/>
        </w:rPr>
      </w:pPr>
      <w:r>
        <w:rPr>
          <w:sz w:val="24"/>
        </w:rPr>
        <w:t>不断提高药师的职业道德，提升药师药学服务质量，使其全身心为患者服务；建</w:t>
      </w:r>
      <w:r>
        <w:rPr>
          <w:spacing w:val="-8"/>
          <w:sz w:val="24"/>
        </w:rPr>
        <w:t>立有效的激励机制，提升药师对药学工作的热情和积极性，使其主动投身药学事业，不断提</w:t>
      </w:r>
      <w:r>
        <w:rPr>
          <w:sz w:val="24"/>
        </w:rPr>
        <w:t>高药学专业技术能力。</w:t>
      </w:r>
    </w:p>
    <w:p>
      <w:pPr>
        <w:spacing w:after="0" w:line="328" w:lineRule="auto"/>
        <w:jc w:val="both"/>
        <w:rPr>
          <w:sz w:val="24"/>
        </w:rPr>
        <w:sectPr>
          <w:pgSz w:w="11910" w:h="16850"/>
          <w:pgMar w:header="906" w:footer="607" w:top="1100" w:bottom="800" w:left="640" w:right="0"/>
        </w:sectPr>
      </w:pPr>
    </w:p>
    <w:p>
      <w:pPr>
        <w:pStyle w:val="ListParagraph"/>
        <w:numPr>
          <w:ilvl w:val="0"/>
          <w:numId w:val="10"/>
        </w:numPr>
        <w:tabs>
          <w:tab w:pos="1719" w:val="left" w:leader="none"/>
        </w:tabs>
        <w:spacing w:line="328" w:lineRule="auto" w:before="96" w:after="0"/>
        <w:ind w:left="637" w:right="1127" w:firstLine="480"/>
        <w:jc w:val="both"/>
        <w:rPr>
          <w:sz w:val="24"/>
        </w:rPr>
      </w:pPr>
      <w:r>
        <w:rPr>
          <w:sz w:val="24"/>
        </w:rPr>
        <w:t>探寻创新型人才培养机制，构建优势突出、组织高效的药学人才创新团队。通过</w:t>
      </w:r>
      <w:r>
        <w:rPr>
          <w:spacing w:val="-10"/>
          <w:sz w:val="24"/>
        </w:rPr>
        <w:t>药学科研、药事管理等关键岗位和重大任务，磨练出一批中青年人才，培养具有突出创新能</w:t>
      </w:r>
      <w:r>
        <w:rPr>
          <w:sz w:val="24"/>
        </w:rPr>
        <w:t>力的骨干队伍。</w:t>
      </w:r>
    </w:p>
    <w:p>
      <w:pPr>
        <w:pStyle w:val="ListParagraph"/>
        <w:numPr>
          <w:ilvl w:val="0"/>
          <w:numId w:val="10"/>
        </w:numPr>
        <w:tabs>
          <w:tab w:pos="1719" w:val="left" w:leader="none"/>
        </w:tabs>
        <w:spacing w:line="328" w:lineRule="auto" w:before="0" w:after="0"/>
        <w:ind w:left="637" w:right="1025" w:firstLine="480"/>
        <w:jc w:val="both"/>
        <w:rPr>
          <w:sz w:val="24"/>
        </w:rPr>
      </w:pPr>
      <w:r>
        <w:rPr>
          <w:sz w:val="24"/>
        </w:rPr>
        <w:t>加强药学继续教育培训力度，重点加强关于药学学科发展中的新理论、新知识、</w:t>
      </w:r>
      <w:r>
        <w:rPr>
          <w:spacing w:val="-6"/>
          <w:sz w:val="24"/>
        </w:rPr>
        <w:t>新技术和新方法的继续教育培训。通过组织开展和委派学习的方式，进行形式多样的继续教</w:t>
      </w:r>
      <w:r>
        <w:rPr>
          <w:spacing w:val="-11"/>
          <w:sz w:val="24"/>
        </w:rPr>
        <w:t>育，如学术会议、专题讲座等。当然也可以开展一些专题调研和考察研究，加强药学与临床</w:t>
      </w:r>
      <w:r>
        <w:rPr>
          <w:spacing w:val="-12"/>
          <w:sz w:val="24"/>
        </w:rPr>
        <w:t>医学、药物治疗学、药物经济学、药学情报与统计学科的相互交叉渗透，培养复合型人才。</w:t>
      </w:r>
    </w:p>
    <w:p>
      <w:pPr>
        <w:pStyle w:val="Heading8"/>
        <w:spacing w:line="302" w:lineRule="exact"/>
        <w:ind w:left="1119"/>
      </w:pPr>
      <w:r>
        <w:rPr/>
        <w:t>药师在指导临床用药过程中存在哪些困难？</w:t>
      </w:r>
    </w:p>
    <w:p>
      <w:pPr>
        <w:pStyle w:val="BodyText"/>
        <w:spacing w:line="328" w:lineRule="auto" w:before="109"/>
        <w:ind w:right="1127" w:firstLine="480"/>
        <w:jc w:val="both"/>
      </w:pPr>
      <w:r>
        <w:rPr>
          <w:spacing w:val="-7"/>
        </w:rPr>
        <w:t>药师开展临床药学监护工作，仍然缺乏明确的制度和支撑机制，导致药师的工作难以得</w:t>
      </w:r>
      <w:r>
        <w:rPr>
          <w:spacing w:val="-11"/>
        </w:rPr>
        <w:t>到认同，如一些医师不赞同药师在临床药学服务中提出的用药建议，患者对临床药师的药学</w:t>
      </w:r>
      <w:r>
        <w:rPr/>
        <w:t>工作也持有怀疑态度。</w:t>
      </w:r>
    </w:p>
    <w:p>
      <w:pPr>
        <w:pStyle w:val="BodyText"/>
        <w:spacing w:line="328" w:lineRule="auto"/>
        <w:ind w:right="1130" w:firstLine="480"/>
      </w:pPr>
      <w:r>
        <w:rPr>
          <w:spacing w:val="-10"/>
        </w:rPr>
        <w:t>此外，如何将缺乏政策支持，长期局限于药品采购、调剂、制剂等工作的药师转化为专</w:t>
      </w:r>
      <w:r>
        <w:rPr/>
        <w:t>职临床药师，也是有一定难度的任务。</w:t>
      </w:r>
    </w:p>
    <w:p>
      <w:pPr>
        <w:pStyle w:val="Heading8"/>
        <w:spacing w:line="305" w:lineRule="exact"/>
        <w:ind w:left="1119"/>
      </w:pPr>
      <w:r>
        <w:rPr/>
        <w:t>如何创新药学服务模式？</w:t>
      </w:r>
    </w:p>
    <w:p>
      <w:pPr>
        <w:pStyle w:val="BodyText"/>
        <w:spacing w:line="328" w:lineRule="auto" w:before="109"/>
        <w:ind w:right="1126" w:firstLine="480"/>
        <w:jc w:val="both"/>
      </w:pPr>
      <w:r>
        <w:rPr>
          <w:spacing w:val="-11"/>
        </w:rPr>
        <w:t>理念创新，即建立“以患者为中心”的服务理念，促使临床医生和患者了解临床药师参</w:t>
      </w:r>
      <w:r>
        <w:rPr>
          <w:spacing w:val="-8"/>
        </w:rPr>
        <w:t>与用药决策的重要性；体制革新，即创建与现代医院药学服务紧密切合、具备完善功能的药</w:t>
      </w:r>
      <w:r>
        <w:rPr/>
        <w:t>学部。</w:t>
      </w:r>
    </w:p>
    <w:p>
      <w:pPr>
        <w:pStyle w:val="BodyText"/>
        <w:spacing w:line="328" w:lineRule="auto"/>
        <w:ind w:right="1127" w:firstLine="480"/>
      </w:pPr>
      <w:r>
        <w:rPr>
          <w:spacing w:val="-9"/>
        </w:rPr>
        <w:t>深化药学服务内涵，药师要坚持“药学服务个体化”原则，与医师、患者密切合作，制</w:t>
      </w:r>
      <w:r>
        <w:rPr>
          <w:spacing w:val="-11"/>
        </w:rPr>
        <w:t>定、执行药物治疗方案，监测、关注治疗效果和不良反应，有力保障患者用药的安全性、有</w:t>
      </w:r>
    </w:p>
    <w:p>
      <w:pPr>
        <w:spacing w:line="349" w:lineRule="exact" w:before="0"/>
        <w:ind w:left="637" w:right="0" w:firstLine="0"/>
        <w:jc w:val="left"/>
        <w:rPr>
          <w:rFonts w:ascii="微软雅黑" w:eastAsia="微软雅黑" w:hint="eastAsia"/>
          <w:b/>
          <w:sz w:val="24"/>
        </w:rPr>
      </w:pPr>
      <w:r>
        <w:rPr>
          <w:w w:val="110"/>
          <w:sz w:val="24"/>
        </w:rPr>
        <w:t>效性与经济性。 </w:t>
      </w:r>
      <w:r>
        <w:rPr>
          <w:rFonts w:ascii="微软雅黑" w:eastAsia="微软雅黑" w:hint="eastAsia"/>
          <w:b/>
          <w:color w:val="0033CC"/>
          <w:w w:val="110"/>
          <w:sz w:val="24"/>
        </w:rPr>
        <w:t>[</w:t>
      </w:r>
      <w:r>
        <w:rPr>
          <w:rFonts w:ascii="Microsoft JhengHei" w:eastAsia="Microsoft JhengHei" w:hint="eastAsia"/>
          <w:b/>
          <w:color w:val="0033CC"/>
          <w:w w:val="110"/>
          <w:sz w:val="24"/>
        </w:rPr>
        <w:t>返回目次</w:t>
      </w:r>
      <w:r>
        <w:rPr>
          <w:rFonts w:ascii="微软雅黑" w:eastAsia="微软雅黑" w:hint="eastAsia"/>
          <w:b/>
          <w:color w:val="0033CC"/>
          <w:w w:val="110"/>
          <w:sz w:val="24"/>
        </w:rPr>
        <w:t>]</w:t>
      </w:r>
    </w:p>
    <w:p>
      <w:pPr>
        <w:pStyle w:val="Heading1"/>
        <w:spacing w:line="659" w:lineRule="exact"/>
        <w:ind w:left="545"/>
        <w:rPr>
          <w:u w:val="none"/>
        </w:rPr>
      </w:pPr>
      <w:bookmarkStart w:name="_TOC_250001" w:id="41"/>
      <w:r>
        <w:rPr>
          <w:rFonts w:ascii="Times New Roman" w:eastAsia="Times New Roman"/>
          <w:color w:val="008000"/>
          <w:spacing w:val="-110"/>
          <w:w w:val="99"/>
          <w:u w:val="thick" w:color="008000"/>
        </w:rPr>
        <w:t> </w:t>
      </w:r>
      <w:bookmarkEnd w:id="41"/>
      <w:r>
        <w:rPr>
          <w:color w:val="008000"/>
          <w:u w:val="thick" w:color="008000"/>
        </w:rPr>
        <w:t>学会动态</w:t>
      </w:r>
    </w:p>
    <w:p>
      <w:pPr>
        <w:pStyle w:val="BodyText"/>
        <w:spacing w:before="5"/>
        <w:ind w:left="0"/>
        <w:rPr>
          <w:rFonts w:ascii="华文宋体"/>
          <w:b/>
          <w:sz w:val="9"/>
        </w:rPr>
      </w:pPr>
    </w:p>
    <w:p>
      <w:pPr>
        <w:pStyle w:val="Heading4"/>
        <w:spacing w:before="54"/>
        <w:ind w:left="637"/>
      </w:pPr>
      <w:bookmarkStart w:name="_TOC_250000" w:id="42"/>
      <w:bookmarkEnd w:id="42"/>
      <w:r>
        <w:rPr/>
        <w:t>【会议通知】</w:t>
      </w:r>
    </w:p>
    <w:p>
      <w:pPr>
        <w:pStyle w:val="BodyText"/>
        <w:spacing w:before="3"/>
        <w:ind w:left="0"/>
        <w:rPr>
          <w:b/>
          <w:sz w:val="33"/>
        </w:rPr>
      </w:pPr>
    </w:p>
    <w:p>
      <w:pPr>
        <w:spacing w:before="0"/>
        <w:ind w:left="637" w:right="0" w:firstLine="0"/>
        <w:jc w:val="left"/>
        <w:rPr>
          <w:b/>
          <w:sz w:val="32"/>
        </w:rPr>
      </w:pPr>
      <w:r>
        <w:rPr>
          <w:b/>
          <w:w w:val="95"/>
          <w:sz w:val="32"/>
        </w:rPr>
        <w:t>关于召开 2019 年中国药学会药学服务专业委员会学术年会的通知（第二轮）</w:t>
      </w:r>
    </w:p>
    <w:p>
      <w:pPr>
        <w:spacing w:after="0"/>
        <w:jc w:val="left"/>
        <w:rPr>
          <w:sz w:val="32"/>
        </w:rPr>
        <w:sectPr>
          <w:pgSz w:w="11910" w:h="16850"/>
          <w:pgMar w:header="906" w:footer="607" w:top="1100" w:bottom="800" w:left="640" w:right="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9"/>
        </w:rPr>
      </w:pPr>
    </w:p>
    <w:p>
      <w:pPr>
        <w:spacing w:line="1140" w:lineRule="exact" w:before="0"/>
        <w:ind w:left="0" w:right="887" w:firstLine="0"/>
        <w:jc w:val="center"/>
        <w:rPr>
          <w:sz w:val="91"/>
        </w:rPr>
      </w:pPr>
      <w:r>
        <w:rPr>
          <w:color w:val="E64F56"/>
          <w:w w:val="140"/>
          <w:sz w:val="91"/>
        </w:rPr>
        <w:t>中国药学会</w:t>
      </w:r>
    </w:p>
    <w:p>
      <w:pPr>
        <w:spacing w:before="158"/>
        <w:ind w:left="0" w:right="794" w:firstLine="0"/>
        <w:jc w:val="center"/>
        <w:rPr>
          <w:sz w:val="30"/>
        </w:rPr>
      </w:pPr>
      <w:r>
        <w:rPr>
          <w:color w:val="232323"/>
          <w:w w:val="105"/>
          <w:sz w:val="30"/>
        </w:rPr>
        <w:t>国</w:t>
      </w:r>
      <w:r>
        <w:rPr>
          <w:color w:val="484848"/>
          <w:w w:val="105"/>
          <w:sz w:val="30"/>
        </w:rPr>
        <w:t>药会 </w:t>
      </w:r>
      <w:r>
        <w:rPr>
          <w:rFonts w:ascii="Times New Roman" w:eastAsia="Times New Roman"/>
          <w:color w:val="232323"/>
          <w:w w:val="105"/>
          <w:sz w:val="31"/>
        </w:rPr>
        <w:t>( 2019 ) 91 </w:t>
      </w:r>
      <w:r>
        <w:rPr>
          <w:color w:val="484848"/>
          <w:w w:val="105"/>
          <w:sz w:val="30"/>
        </w:rPr>
        <w:t>号</w:t>
      </w:r>
    </w:p>
    <w:p>
      <w:pPr>
        <w:pStyle w:val="BodyText"/>
        <w:ind w:left="0"/>
        <w:rPr>
          <w:sz w:val="20"/>
        </w:rPr>
      </w:pPr>
    </w:p>
    <w:p>
      <w:pPr>
        <w:pStyle w:val="BodyText"/>
        <w:ind w:left="0"/>
        <w:rPr>
          <w:sz w:val="20"/>
        </w:rPr>
      </w:pPr>
    </w:p>
    <w:p>
      <w:pPr>
        <w:pStyle w:val="BodyText"/>
        <w:spacing w:before="4"/>
        <w:ind w:left="0"/>
        <w:rPr>
          <w:sz w:val="17"/>
        </w:rPr>
      </w:pPr>
      <w:r>
        <w:rPr/>
        <w:pict>
          <v:shape style="position:absolute;margin-left:48.172024pt;margin-top:13.828588pt;width:483.95pt;height:.1pt;mso-position-horizontal-relative:page;mso-position-vertical-relative:paragraph;z-index:-251653120;mso-wrap-distance-left:0;mso-wrap-distance-right:0" coordorigin="963,277" coordsize="9679,0" path="m963,277l10642,277e" filled="false" stroked="true" strokeweight="1.44308pt" strokecolor="#000000">
            <v:path arrowok="t"/>
            <v:stroke dashstyle="solid"/>
            <w10:wrap type="topAndBottom"/>
          </v:shape>
        </w:pict>
      </w:r>
    </w:p>
    <w:p>
      <w:pPr>
        <w:spacing w:before="171"/>
        <w:ind w:left="0" w:right="1322" w:firstLine="0"/>
        <w:jc w:val="center"/>
        <w:rPr>
          <w:sz w:val="42"/>
        </w:rPr>
      </w:pPr>
      <w:r>
        <w:rPr>
          <w:color w:val="232323"/>
          <w:sz w:val="42"/>
        </w:rPr>
        <w:t>关千召开 </w:t>
      </w:r>
      <w:r>
        <w:rPr>
          <w:rFonts w:ascii="Times New Roman" w:eastAsia="Times New Roman"/>
          <w:color w:val="232323"/>
          <w:sz w:val="43"/>
        </w:rPr>
        <w:t>2019 </w:t>
      </w:r>
      <w:r>
        <w:rPr>
          <w:color w:val="232323"/>
          <w:sz w:val="42"/>
        </w:rPr>
        <w:t>年中国药学会</w:t>
      </w:r>
    </w:p>
    <w:p>
      <w:pPr>
        <w:spacing w:before="154"/>
        <w:ind w:left="0" w:right="1217" w:firstLine="0"/>
        <w:jc w:val="center"/>
        <w:rPr>
          <w:sz w:val="42"/>
        </w:rPr>
      </w:pPr>
      <w:r>
        <w:rPr>
          <w:color w:val="232323"/>
          <w:w w:val="105"/>
          <w:sz w:val="42"/>
        </w:rPr>
        <w:t>药学服务专业委员会学术年会的通知</w:t>
      </w:r>
    </w:p>
    <w:p>
      <w:pPr>
        <w:spacing w:before="135"/>
        <w:ind w:left="0" w:right="1207" w:firstLine="0"/>
        <w:jc w:val="center"/>
        <w:rPr>
          <w:sz w:val="44"/>
        </w:rPr>
      </w:pPr>
      <w:r>
        <w:rPr>
          <w:color w:val="232323"/>
          <w:spacing w:val="34"/>
          <w:w w:val="105"/>
          <w:sz w:val="44"/>
        </w:rPr>
        <w:t>（</w:t>
      </w:r>
      <w:r>
        <w:rPr>
          <w:color w:val="232323"/>
          <w:spacing w:val="-36"/>
          <w:w w:val="105"/>
          <w:sz w:val="44"/>
        </w:rPr>
        <w:t>第</w:t>
      </w:r>
      <w:r>
        <w:rPr>
          <w:color w:val="484848"/>
          <w:spacing w:val="-28"/>
          <w:w w:val="105"/>
          <w:sz w:val="44"/>
        </w:rPr>
        <w:t>二</w:t>
      </w:r>
      <w:r>
        <w:rPr>
          <w:color w:val="232323"/>
          <w:spacing w:val="55"/>
          <w:w w:val="105"/>
          <w:sz w:val="44"/>
        </w:rPr>
        <w:t>轮</w:t>
      </w:r>
      <w:r>
        <w:rPr>
          <w:color w:val="232323"/>
          <w:w w:val="105"/>
          <w:sz w:val="44"/>
        </w:rPr>
        <w:t>）</w:t>
      </w:r>
    </w:p>
    <w:p>
      <w:pPr>
        <w:pStyle w:val="BodyText"/>
        <w:spacing w:before="12"/>
        <w:ind w:left="0"/>
        <w:rPr>
          <w:sz w:val="33"/>
        </w:rPr>
      </w:pPr>
    </w:p>
    <w:p>
      <w:pPr>
        <w:pStyle w:val="Heading6"/>
        <w:ind w:left="1023"/>
      </w:pPr>
      <w:r>
        <w:rPr>
          <w:color w:val="484848"/>
        </w:rPr>
        <w:t>各有关单位：</w:t>
      </w:r>
    </w:p>
    <w:p>
      <w:pPr>
        <w:spacing w:line="350" w:lineRule="auto" w:before="178"/>
        <w:ind w:left="1019" w:right="1823" w:firstLine="653"/>
        <w:jc w:val="both"/>
        <w:rPr>
          <w:sz w:val="30"/>
        </w:rPr>
      </w:pPr>
      <w:r>
        <w:rPr>
          <w:color w:val="484848"/>
          <w:spacing w:val="-4"/>
          <w:sz w:val="30"/>
        </w:rPr>
        <w:t>药学服 务是医疗机构 诊疗活动的重要内容 </w:t>
      </w:r>
      <w:r>
        <w:rPr>
          <w:color w:val="232323"/>
          <w:spacing w:val="-31"/>
          <w:w w:val="90"/>
          <w:sz w:val="30"/>
        </w:rPr>
        <w:t>， </w:t>
      </w:r>
      <w:r>
        <w:rPr>
          <w:color w:val="484848"/>
          <w:spacing w:val="4"/>
          <w:sz w:val="30"/>
        </w:rPr>
        <w:t>是促进合理</w:t>
      </w:r>
      <w:r>
        <w:rPr>
          <w:color w:val="484848"/>
          <w:spacing w:val="25"/>
          <w:sz w:val="30"/>
        </w:rPr>
        <w:t>用药</w:t>
      </w:r>
      <w:r>
        <w:rPr>
          <w:color w:val="232323"/>
          <w:spacing w:val="28"/>
          <w:sz w:val="30"/>
        </w:rPr>
        <w:t>、</w:t>
      </w:r>
      <w:r>
        <w:rPr>
          <w:color w:val="484848"/>
          <w:spacing w:val="-3"/>
          <w:sz w:val="30"/>
        </w:rPr>
        <w:t>提高医疗质量、 保证患者用药安全的重要环 节。 为落</w:t>
      </w:r>
      <w:r>
        <w:rPr>
          <w:color w:val="484848"/>
          <w:spacing w:val="-2"/>
          <w:sz w:val="30"/>
        </w:rPr>
        <w:t>实深化医药卫 生体 制改革的部署要求</w:t>
      </w:r>
      <w:r>
        <w:rPr>
          <w:color w:val="232323"/>
          <w:spacing w:val="-29"/>
          <w:w w:val="90"/>
          <w:sz w:val="30"/>
        </w:rPr>
        <w:t>， </w:t>
      </w:r>
      <w:r>
        <w:rPr>
          <w:color w:val="484848"/>
          <w:spacing w:val="4"/>
          <w:sz w:val="30"/>
        </w:rPr>
        <w:t>进一步转变药 学服务</w:t>
      </w:r>
      <w:r>
        <w:rPr>
          <w:color w:val="484848"/>
          <w:spacing w:val="20"/>
          <w:sz w:val="30"/>
        </w:rPr>
        <w:t>模式</w:t>
      </w:r>
      <w:r>
        <w:rPr>
          <w:color w:val="484848"/>
          <w:spacing w:val="-45"/>
          <w:w w:val="90"/>
          <w:sz w:val="30"/>
        </w:rPr>
        <w:t>， </w:t>
      </w:r>
      <w:r>
        <w:rPr>
          <w:color w:val="484848"/>
          <w:spacing w:val="20"/>
          <w:sz w:val="30"/>
        </w:rPr>
        <w:t>提高药学服务水平</w:t>
      </w:r>
      <w:r>
        <w:rPr>
          <w:color w:val="232323"/>
          <w:spacing w:val="-45"/>
          <w:w w:val="90"/>
          <w:sz w:val="30"/>
        </w:rPr>
        <w:t>， </w:t>
      </w:r>
      <w:r>
        <w:rPr>
          <w:color w:val="484848"/>
          <w:spacing w:val="29"/>
          <w:sz w:val="30"/>
        </w:rPr>
        <w:t>提升药师队伍素质</w:t>
      </w:r>
      <w:r>
        <w:rPr>
          <w:color w:val="232323"/>
          <w:spacing w:val="-43"/>
          <w:w w:val="90"/>
          <w:sz w:val="30"/>
        </w:rPr>
        <w:t>， </w:t>
      </w:r>
      <w:r>
        <w:rPr>
          <w:color w:val="484848"/>
          <w:spacing w:val="-9"/>
          <w:sz w:val="30"/>
        </w:rPr>
        <w:t>中国 药学会</w:t>
      </w:r>
      <w:r>
        <w:rPr>
          <w:color w:val="484848"/>
          <w:spacing w:val="11"/>
          <w:sz w:val="30"/>
        </w:rPr>
        <w:t>药学服务专业委员会将于 </w:t>
      </w:r>
      <w:r>
        <w:rPr>
          <w:rFonts w:ascii="Times New Roman" w:eastAsia="Times New Roman"/>
          <w:color w:val="232323"/>
          <w:sz w:val="31"/>
        </w:rPr>
        <w:t>2019 </w:t>
      </w:r>
      <w:r>
        <w:rPr>
          <w:color w:val="484848"/>
          <w:spacing w:val="-33"/>
          <w:sz w:val="30"/>
        </w:rPr>
        <w:t>年 </w:t>
      </w:r>
      <w:r>
        <w:rPr>
          <w:rFonts w:ascii="Times New Roman" w:eastAsia="Times New Roman"/>
          <w:color w:val="232323"/>
          <w:sz w:val="31"/>
        </w:rPr>
        <w:t>8 </w:t>
      </w:r>
      <w:r>
        <w:rPr>
          <w:color w:val="484848"/>
          <w:spacing w:val="-27"/>
          <w:sz w:val="31"/>
        </w:rPr>
        <w:t>月 </w:t>
      </w:r>
      <w:r>
        <w:rPr>
          <w:rFonts w:ascii="Times New Roman" w:eastAsia="Times New Roman"/>
          <w:color w:val="232323"/>
          <w:sz w:val="31"/>
        </w:rPr>
        <w:t>9 </w:t>
      </w:r>
      <w:r>
        <w:rPr>
          <w:color w:val="484848"/>
          <w:spacing w:val="-10"/>
          <w:sz w:val="30"/>
        </w:rPr>
        <w:t>日至 </w:t>
      </w:r>
      <w:r>
        <w:rPr>
          <w:rFonts w:ascii="Times New Roman" w:eastAsia="Times New Roman"/>
          <w:color w:val="232323"/>
          <w:sz w:val="31"/>
        </w:rPr>
        <w:t>11 </w:t>
      </w:r>
      <w:r>
        <w:rPr>
          <w:color w:val="484848"/>
          <w:spacing w:val="12"/>
          <w:sz w:val="30"/>
        </w:rPr>
        <w:t>日在北京召</w:t>
      </w:r>
      <w:r>
        <w:rPr>
          <w:color w:val="484848"/>
          <w:spacing w:val="-27"/>
          <w:sz w:val="30"/>
        </w:rPr>
        <w:t>开 </w:t>
      </w:r>
      <w:r>
        <w:rPr>
          <w:rFonts w:ascii="Times New Roman" w:eastAsia="Times New Roman"/>
          <w:color w:val="232323"/>
          <w:sz w:val="31"/>
        </w:rPr>
        <w:t>2019 </w:t>
      </w:r>
      <w:r>
        <w:rPr>
          <w:color w:val="484848"/>
          <w:spacing w:val="-1"/>
          <w:sz w:val="30"/>
        </w:rPr>
        <w:t>年中国药 学会药学服务专业委员会学术 年会。现将有</w:t>
      </w:r>
      <w:r>
        <w:rPr>
          <w:color w:val="484848"/>
          <w:spacing w:val="-8"/>
          <w:sz w:val="30"/>
        </w:rPr>
        <w:t>关事项通知如 下</w:t>
      </w:r>
      <w:r>
        <w:rPr>
          <w:color w:val="232323"/>
          <w:w w:val="90"/>
          <w:sz w:val="30"/>
        </w:rPr>
        <w:t>：</w:t>
      </w:r>
    </w:p>
    <w:p>
      <w:pPr>
        <w:spacing w:line="387" w:lineRule="exact" w:before="0"/>
        <w:ind w:left="1649" w:right="0" w:firstLine="0"/>
        <w:jc w:val="left"/>
        <w:rPr>
          <w:sz w:val="31"/>
        </w:rPr>
      </w:pPr>
      <w:r>
        <w:rPr>
          <w:color w:val="232323"/>
          <w:w w:val="105"/>
          <w:sz w:val="31"/>
        </w:rPr>
        <w:t>一、组织机构</w:t>
      </w:r>
    </w:p>
    <w:p>
      <w:pPr>
        <w:spacing w:line="350" w:lineRule="auto" w:before="190"/>
        <w:ind w:left="1662" w:right="3506" w:firstLine="4"/>
        <w:jc w:val="left"/>
        <w:rPr>
          <w:sz w:val="30"/>
        </w:rPr>
      </w:pPr>
      <w:r>
        <w:rPr/>
        <w:pict>
          <v:shape style="position:absolute;margin-left:292.631195pt;margin-top:73.51635pt;width:6.3pt;height:10.55pt;mso-position-horizontal-relative:page;mso-position-vertical-relative:paragraph;z-index:251664384" type="#_x0000_t202" filled="false" stroked="false">
            <v:textbox inset="0,0,0,0" style="layout-flow:vertical-ideographic">
              <w:txbxContent>
                <w:p>
                  <w:pPr>
                    <w:spacing w:line="120" w:lineRule="auto" w:before="0"/>
                    <w:ind w:left="20" w:right="0" w:firstLine="0"/>
                    <w:jc w:val="left"/>
                    <w:rPr>
                      <w:sz w:val="17"/>
                    </w:rPr>
                  </w:pPr>
                  <w:r>
                    <w:rPr>
                      <w:color w:val="232323"/>
                      <w:w w:val="100"/>
                      <w:sz w:val="17"/>
                    </w:rPr>
                    <w:t>1</w:t>
                  </w:r>
                </w:p>
              </w:txbxContent>
            </v:textbox>
            <w10:wrap type="none"/>
          </v:shape>
        </w:pict>
      </w:r>
      <w:r>
        <w:rPr>
          <w:color w:val="484848"/>
          <w:sz w:val="30"/>
        </w:rPr>
        <w:t>主办单位</w:t>
      </w:r>
      <w:r>
        <w:rPr>
          <w:color w:val="232323"/>
          <w:w w:val="80"/>
          <w:sz w:val="30"/>
        </w:rPr>
        <w:t>： </w:t>
      </w:r>
      <w:r>
        <w:rPr>
          <w:color w:val="484848"/>
          <w:sz w:val="30"/>
        </w:rPr>
        <w:t>中国药 学会药 学服务专业委员会承办单位</w:t>
      </w:r>
      <w:r>
        <w:rPr>
          <w:color w:val="232323"/>
          <w:w w:val="80"/>
          <w:sz w:val="30"/>
        </w:rPr>
        <w:t>： </w:t>
      </w:r>
      <w:r>
        <w:rPr>
          <w:color w:val="484848"/>
          <w:sz w:val="30"/>
        </w:rPr>
        <w:t>中国药 学会科技开发中心</w:t>
      </w:r>
    </w:p>
    <w:p>
      <w:pPr>
        <w:spacing w:after="0" w:line="350" w:lineRule="auto"/>
        <w:jc w:val="left"/>
        <w:rPr>
          <w:sz w:val="30"/>
        </w:rPr>
        <w:sectPr>
          <w:headerReference w:type="default" r:id="rId22"/>
          <w:footerReference w:type="default" r:id="rId23"/>
          <w:pgSz w:w="11910" w:h="16850"/>
          <w:pgMar w:header="0" w:footer="0" w:top="1600" w:bottom="280" w:left="640" w:right="0"/>
        </w:sectPr>
      </w:pPr>
    </w:p>
    <w:p>
      <w:pPr>
        <w:spacing w:before="42"/>
        <w:ind w:left="1632" w:right="0" w:firstLine="0"/>
        <w:jc w:val="left"/>
        <w:rPr>
          <w:sz w:val="30"/>
        </w:rPr>
      </w:pPr>
      <w:r>
        <w:rPr/>
        <w:pict>
          <v:shape style="position:absolute;margin-left:284.581024pt;margin-top:760.085083pt;width:6.3pt;height:10.55pt;mso-position-horizontal-relative:page;mso-position-vertical-relative:page;z-index:251665408" type="#_x0000_t202" filled="false" stroked="false">
            <v:textbox inset="0,0,0,0" style="layout-flow:vertical-ideographic">
              <w:txbxContent>
                <w:p>
                  <w:pPr>
                    <w:spacing w:line="120" w:lineRule="auto" w:before="0"/>
                    <w:ind w:left="20" w:right="0" w:firstLine="0"/>
                    <w:jc w:val="left"/>
                    <w:rPr>
                      <w:sz w:val="17"/>
                    </w:rPr>
                  </w:pPr>
                  <w:r>
                    <w:rPr>
                      <w:color w:val="262626"/>
                      <w:w w:val="100"/>
                      <w:sz w:val="17"/>
                    </w:rPr>
                    <w:t>2</w:t>
                  </w:r>
                </w:p>
              </w:txbxContent>
            </v:textbox>
            <w10:wrap type="none"/>
          </v:shape>
        </w:pict>
      </w:r>
      <w:r>
        <w:rPr>
          <w:color w:val="050505"/>
          <w:w w:val="105"/>
          <w:sz w:val="30"/>
        </w:rPr>
        <w:t>二、时间地点</w:t>
      </w:r>
    </w:p>
    <w:p>
      <w:pPr>
        <w:spacing w:line="331" w:lineRule="auto" w:before="173"/>
        <w:ind w:left="1622" w:right="1790" w:firstLine="21"/>
        <w:jc w:val="both"/>
        <w:rPr>
          <w:sz w:val="30"/>
        </w:rPr>
      </w:pPr>
      <w:r>
        <w:rPr>
          <w:color w:val="262626"/>
          <w:spacing w:val="6"/>
          <w:w w:val="98"/>
          <w:sz w:val="31"/>
        </w:rPr>
        <w:t>时间</w:t>
      </w:r>
      <w:r>
        <w:rPr>
          <w:color w:val="050505"/>
          <w:spacing w:val="8"/>
          <w:w w:val="50"/>
          <w:sz w:val="31"/>
        </w:rPr>
        <w:t>：</w:t>
      </w:r>
      <w:r>
        <w:rPr>
          <w:rFonts w:ascii="Times New Roman" w:eastAsia="Times New Roman"/>
          <w:color w:val="262626"/>
          <w:w w:val="108"/>
          <w:sz w:val="30"/>
        </w:rPr>
        <w:t>2019</w:t>
      </w:r>
      <w:r>
        <w:rPr>
          <w:rFonts w:ascii="Times New Roman" w:eastAsia="Times New Roman"/>
          <w:color w:val="262626"/>
          <w:spacing w:val="-3"/>
          <w:sz w:val="30"/>
        </w:rPr>
        <w:t> </w:t>
      </w:r>
      <w:r>
        <w:rPr>
          <w:color w:val="262626"/>
          <w:w w:val="97"/>
          <w:sz w:val="31"/>
        </w:rPr>
        <w:t>年</w:t>
      </w:r>
      <w:r>
        <w:rPr>
          <w:color w:val="262626"/>
          <w:spacing w:val="-79"/>
          <w:sz w:val="31"/>
        </w:rPr>
        <w:t> </w:t>
      </w:r>
      <w:r>
        <w:rPr>
          <w:rFonts w:ascii="Times New Roman" w:eastAsia="Times New Roman"/>
          <w:color w:val="262626"/>
          <w:w w:val="97"/>
          <w:sz w:val="30"/>
        </w:rPr>
        <w:t>8</w:t>
      </w:r>
      <w:r>
        <w:rPr>
          <w:rFonts w:ascii="Times New Roman" w:eastAsia="Times New Roman"/>
          <w:color w:val="262626"/>
          <w:spacing w:val="29"/>
          <w:sz w:val="30"/>
        </w:rPr>
        <w:t> </w:t>
      </w:r>
      <w:r>
        <w:rPr>
          <w:color w:val="262626"/>
          <w:w w:val="90"/>
          <w:sz w:val="32"/>
        </w:rPr>
        <w:t>月</w:t>
      </w:r>
      <w:r>
        <w:rPr>
          <w:color w:val="262626"/>
          <w:spacing w:val="-67"/>
          <w:sz w:val="32"/>
        </w:rPr>
        <w:t> </w:t>
      </w:r>
      <w:r>
        <w:rPr>
          <w:rFonts w:ascii="Times New Roman" w:eastAsia="Times New Roman"/>
          <w:color w:val="262626"/>
          <w:w w:val="90"/>
          <w:sz w:val="30"/>
        </w:rPr>
        <w:t>10</w:t>
      </w:r>
      <w:r>
        <w:rPr>
          <w:rFonts w:ascii="Times New Roman" w:eastAsia="Times New Roman"/>
          <w:color w:val="262626"/>
          <w:spacing w:val="-6"/>
          <w:sz w:val="30"/>
        </w:rPr>
        <w:t>  </w:t>
      </w:r>
      <w:r>
        <w:rPr>
          <w:color w:val="262626"/>
          <w:spacing w:val="-70"/>
          <w:w w:val="97"/>
          <w:sz w:val="31"/>
        </w:rPr>
        <w:t>日－</w:t>
      </w:r>
      <w:r>
        <w:rPr>
          <w:rFonts w:ascii="Times New Roman" w:eastAsia="Times New Roman"/>
          <w:color w:val="050505"/>
          <w:w w:val="99"/>
          <w:sz w:val="30"/>
        </w:rPr>
        <w:t>11</w:t>
      </w:r>
      <w:r>
        <w:rPr>
          <w:rFonts w:ascii="Times New Roman" w:eastAsia="Times New Roman"/>
          <w:color w:val="050505"/>
          <w:spacing w:val="-12"/>
          <w:sz w:val="30"/>
        </w:rPr>
        <w:t>  </w:t>
      </w:r>
      <w:r>
        <w:rPr>
          <w:color w:val="262626"/>
          <w:w w:val="93"/>
          <w:sz w:val="31"/>
        </w:rPr>
        <w:t>日</w:t>
      </w:r>
      <w:r>
        <w:rPr>
          <w:color w:val="262626"/>
          <w:spacing w:val="64"/>
          <w:sz w:val="31"/>
        </w:rPr>
        <w:t> </w:t>
      </w:r>
      <w:r>
        <w:rPr>
          <w:rFonts w:ascii="Times New Roman" w:eastAsia="Times New Roman"/>
          <w:color w:val="262626"/>
          <w:w w:val="93"/>
          <w:sz w:val="30"/>
        </w:rPr>
        <w:t>(9</w:t>
      </w:r>
      <w:r>
        <w:rPr>
          <w:rFonts w:ascii="Times New Roman" w:eastAsia="Times New Roman"/>
          <w:color w:val="262626"/>
          <w:spacing w:val="-9"/>
          <w:sz w:val="30"/>
        </w:rPr>
        <w:t>  </w:t>
      </w:r>
      <w:r>
        <w:rPr>
          <w:color w:val="262626"/>
          <w:w w:val="93"/>
          <w:sz w:val="31"/>
        </w:rPr>
        <w:t>日</w:t>
      </w:r>
      <w:r>
        <w:rPr>
          <w:color w:val="262626"/>
          <w:spacing w:val="-75"/>
          <w:sz w:val="31"/>
        </w:rPr>
        <w:t> </w:t>
      </w:r>
      <w:r>
        <w:rPr>
          <w:rFonts w:ascii="Times New Roman" w:eastAsia="Times New Roman"/>
          <w:color w:val="050505"/>
          <w:spacing w:val="34"/>
          <w:w w:val="93"/>
          <w:sz w:val="30"/>
        </w:rPr>
        <w:t>1</w:t>
      </w:r>
      <w:r>
        <w:rPr>
          <w:rFonts w:ascii="Times New Roman" w:eastAsia="Times New Roman"/>
          <w:color w:val="262626"/>
          <w:spacing w:val="8"/>
          <w:w w:val="105"/>
          <w:sz w:val="30"/>
        </w:rPr>
        <w:t>4</w:t>
      </w:r>
      <w:r>
        <w:rPr>
          <w:rFonts w:ascii="Times New Roman" w:eastAsia="Times New Roman"/>
          <w:color w:val="050505"/>
          <w:w w:val="105"/>
          <w:sz w:val="30"/>
        </w:rPr>
        <w:t>:</w:t>
      </w:r>
      <w:r>
        <w:rPr>
          <w:rFonts w:ascii="Times New Roman" w:eastAsia="Times New Roman"/>
          <w:color w:val="050505"/>
          <w:spacing w:val="-18"/>
          <w:sz w:val="30"/>
        </w:rPr>
        <w:t> </w:t>
      </w:r>
      <w:r>
        <w:rPr>
          <w:rFonts w:ascii="Times New Roman" w:eastAsia="Times New Roman"/>
          <w:color w:val="050505"/>
          <w:w w:val="110"/>
          <w:sz w:val="30"/>
        </w:rPr>
        <w:t>00-</w:t>
      </w:r>
      <w:r>
        <w:rPr>
          <w:rFonts w:ascii="Times New Roman" w:eastAsia="Times New Roman"/>
          <w:color w:val="050505"/>
          <w:spacing w:val="-43"/>
          <w:sz w:val="30"/>
        </w:rPr>
        <w:t> </w:t>
      </w:r>
      <w:r>
        <w:rPr>
          <w:rFonts w:ascii="Times New Roman" w:eastAsia="Times New Roman"/>
          <w:color w:val="262626"/>
          <w:w w:val="108"/>
          <w:sz w:val="30"/>
        </w:rPr>
        <w:t>2</w:t>
      </w:r>
      <w:r>
        <w:rPr>
          <w:rFonts w:ascii="Times New Roman" w:eastAsia="Times New Roman"/>
          <w:color w:val="262626"/>
          <w:spacing w:val="9"/>
          <w:w w:val="108"/>
          <w:sz w:val="30"/>
        </w:rPr>
        <w:t>2</w:t>
      </w:r>
      <w:r>
        <w:rPr>
          <w:rFonts w:ascii="Times New Roman" w:eastAsia="Times New Roman"/>
          <w:color w:val="050505"/>
          <w:w w:val="108"/>
          <w:sz w:val="30"/>
        </w:rPr>
        <w:t>:</w:t>
      </w:r>
      <w:r>
        <w:rPr>
          <w:rFonts w:ascii="Times New Roman" w:eastAsia="Times New Roman"/>
          <w:color w:val="050505"/>
          <w:spacing w:val="-28"/>
          <w:sz w:val="30"/>
        </w:rPr>
        <w:t> </w:t>
      </w:r>
      <w:r>
        <w:rPr>
          <w:rFonts w:ascii="Times New Roman" w:eastAsia="Times New Roman"/>
          <w:color w:val="050505"/>
          <w:w w:val="110"/>
          <w:sz w:val="30"/>
        </w:rPr>
        <w:t>00</w:t>
      </w:r>
      <w:r>
        <w:rPr>
          <w:rFonts w:ascii="Times New Roman" w:eastAsia="Times New Roman"/>
          <w:color w:val="050505"/>
          <w:spacing w:val="6"/>
          <w:sz w:val="30"/>
        </w:rPr>
        <w:t> </w:t>
      </w:r>
      <w:r>
        <w:rPr>
          <w:color w:val="262626"/>
          <w:w w:val="99"/>
          <w:sz w:val="31"/>
        </w:rPr>
        <w:t>报到）</w:t>
      </w:r>
      <w:r>
        <w:rPr>
          <w:color w:val="262626"/>
          <w:spacing w:val="6"/>
          <w:sz w:val="31"/>
        </w:rPr>
        <w:t>地点</w:t>
      </w:r>
      <w:r>
        <w:rPr>
          <w:color w:val="050505"/>
          <w:spacing w:val="-40"/>
          <w:w w:val="95"/>
          <w:sz w:val="31"/>
        </w:rPr>
        <w:t>： </w:t>
      </w:r>
      <w:r>
        <w:rPr>
          <w:color w:val="262626"/>
          <w:sz w:val="31"/>
        </w:rPr>
        <w:t>北京亮马河饭店（</w:t>
      </w:r>
      <w:r>
        <w:rPr>
          <w:color w:val="262626"/>
          <w:spacing w:val="-5"/>
          <w:sz w:val="31"/>
        </w:rPr>
        <w:t>北京市朝阳区东三环北路 </w:t>
      </w:r>
      <w:r>
        <w:rPr>
          <w:rFonts w:ascii="Arial" w:eastAsia="Arial"/>
          <w:color w:val="262626"/>
          <w:sz w:val="30"/>
        </w:rPr>
        <w:t>8</w:t>
      </w:r>
      <w:r>
        <w:rPr>
          <w:rFonts w:ascii="Arial" w:eastAsia="Arial"/>
          <w:color w:val="262626"/>
          <w:spacing w:val="-49"/>
          <w:sz w:val="30"/>
        </w:rPr>
        <w:t> </w:t>
      </w:r>
      <w:r>
        <w:rPr>
          <w:color w:val="262626"/>
          <w:sz w:val="32"/>
        </w:rPr>
        <w:t>号） </w:t>
      </w:r>
      <w:r>
        <w:rPr>
          <w:color w:val="050505"/>
          <w:sz w:val="30"/>
        </w:rPr>
        <w:t>三、会议内容</w:t>
      </w:r>
    </w:p>
    <w:p>
      <w:pPr>
        <w:spacing w:line="321" w:lineRule="auto" w:before="36"/>
        <w:ind w:left="977" w:right="1930" w:firstLine="465"/>
        <w:jc w:val="left"/>
        <w:rPr>
          <w:sz w:val="31"/>
        </w:rPr>
      </w:pPr>
      <w:r>
        <w:rPr>
          <w:color w:val="262626"/>
          <w:w w:val="90"/>
          <w:sz w:val="31"/>
        </w:rPr>
        <w:t>（一）会议日程安排采取主论坛＋分论坛＋培训班的模式（</w:t>
      </w:r>
      <w:r>
        <w:rPr>
          <w:color w:val="262626"/>
          <w:spacing w:val="-17"/>
          <w:w w:val="90"/>
          <w:sz w:val="31"/>
        </w:rPr>
        <w:t>请 </w:t>
      </w:r>
      <w:r>
        <w:rPr>
          <w:color w:val="262626"/>
          <w:spacing w:val="-10"/>
          <w:sz w:val="31"/>
        </w:rPr>
        <w:t>参见附件 </w:t>
      </w:r>
      <w:r>
        <w:rPr>
          <w:rFonts w:ascii="Times New Roman" w:eastAsia="Times New Roman"/>
          <w:color w:val="050505"/>
          <w:sz w:val="27"/>
        </w:rPr>
        <w:t>l</w:t>
      </w:r>
      <w:r>
        <w:rPr>
          <w:rFonts w:ascii="Times New Roman" w:eastAsia="Times New Roman"/>
          <w:color w:val="050505"/>
          <w:spacing w:val="42"/>
          <w:sz w:val="27"/>
        </w:rPr>
        <w:t> </w:t>
      </w:r>
      <w:r>
        <w:rPr>
          <w:rFonts w:ascii="Times New Roman" w:eastAsia="Times New Roman"/>
          <w:color w:val="262626"/>
          <w:spacing w:val="23"/>
          <w:sz w:val="27"/>
        </w:rPr>
        <w:t>)</w:t>
      </w:r>
      <w:r>
        <w:rPr>
          <w:color w:val="262626"/>
          <w:sz w:val="31"/>
        </w:rPr>
        <w:t>。</w:t>
      </w:r>
    </w:p>
    <w:p>
      <w:pPr>
        <w:tabs>
          <w:tab w:pos="8713" w:val="left" w:leader="none"/>
        </w:tabs>
        <w:spacing w:line="340" w:lineRule="auto" w:before="53"/>
        <w:ind w:left="967" w:right="1907" w:firstLine="460"/>
        <w:jc w:val="left"/>
        <w:rPr>
          <w:sz w:val="31"/>
        </w:rPr>
      </w:pPr>
      <w:r>
        <w:rPr>
          <w:color w:val="262626"/>
          <w:sz w:val="31"/>
        </w:rPr>
        <w:t>（二）为促进学术交流，提供药师交流平台，年会同时</w:t>
      </w:r>
      <w:r>
        <w:rPr>
          <w:color w:val="262626"/>
          <w:spacing w:val="-16"/>
          <w:sz w:val="31"/>
        </w:rPr>
        <w:t>设</w:t>
      </w:r>
      <w:r>
        <w:rPr>
          <w:color w:val="262626"/>
          <w:sz w:val="31"/>
        </w:rPr>
        <w:t>置“</w:t>
      </w:r>
      <w:r>
        <w:rPr>
          <w:color w:val="262626"/>
          <w:spacing w:val="-139"/>
          <w:sz w:val="31"/>
        </w:rPr>
        <w:t> </w:t>
      </w:r>
      <w:r>
        <w:rPr>
          <w:color w:val="262626"/>
          <w:sz w:val="31"/>
        </w:rPr>
        <w:t>科学有意</w:t>
      </w:r>
      <w:r>
        <w:rPr>
          <w:color w:val="262626"/>
          <w:spacing w:val="-74"/>
          <w:sz w:val="31"/>
        </w:rPr>
        <w:t>思</w:t>
      </w:r>
      <w:r>
        <w:rPr>
          <w:color w:val="050505"/>
          <w:sz w:val="31"/>
        </w:rPr>
        <w:t>“</w:t>
      </w:r>
      <w:r>
        <w:rPr>
          <w:color w:val="050505"/>
          <w:spacing w:val="-63"/>
          <w:sz w:val="31"/>
        </w:rPr>
        <w:t> </w:t>
      </w:r>
      <w:r>
        <w:rPr>
          <w:color w:val="262626"/>
          <w:sz w:val="31"/>
        </w:rPr>
        <w:t>现场脱口秀活动（相关说明详见附件</w:t>
        <w:tab/>
      </w:r>
      <w:r>
        <w:rPr>
          <w:rFonts w:ascii="Times New Roman" w:hAnsi="Times New Roman" w:eastAsia="Times New Roman"/>
          <w:color w:val="262626"/>
          <w:sz w:val="27"/>
        </w:rPr>
        <w:t>2</w:t>
      </w:r>
      <w:r>
        <w:rPr>
          <w:rFonts w:ascii="Times New Roman" w:hAnsi="Times New Roman" w:eastAsia="Times New Roman"/>
          <w:color w:val="262626"/>
          <w:spacing w:val="-15"/>
          <w:sz w:val="27"/>
        </w:rPr>
        <w:t> </w:t>
      </w:r>
      <w:r>
        <w:rPr>
          <w:rFonts w:ascii="Times New Roman" w:hAnsi="Times New Roman" w:eastAsia="Times New Roman"/>
          <w:color w:val="262626"/>
          <w:spacing w:val="30"/>
          <w:sz w:val="27"/>
        </w:rPr>
        <w:t>)</w:t>
      </w:r>
      <w:r>
        <w:rPr>
          <w:color w:val="262626"/>
          <w:sz w:val="31"/>
        </w:rPr>
        <w:t>。</w:t>
      </w:r>
    </w:p>
    <w:p>
      <w:pPr>
        <w:pStyle w:val="Heading6"/>
        <w:spacing w:line="377" w:lineRule="exact"/>
        <w:ind w:left="1580"/>
      </w:pPr>
      <w:r>
        <w:rPr>
          <w:color w:val="050505"/>
          <w:w w:val="105"/>
        </w:rPr>
        <w:t>四、报名方式</w:t>
      </w:r>
    </w:p>
    <w:p>
      <w:pPr>
        <w:tabs>
          <w:tab w:pos="5520" w:val="left" w:leader="none"/>
        </w:tabs>
        <w:spacing w:before="183"/>
        <w:ind w:left="1603" w:right="0" w:firstLine="0"/>
        <w:jc w:val="left"/>
        <w:rPr>
          <w:sz w:val="31"/>
        </w:rPr>
      </w:pPr>
      <w:r>
        <w:rPr>
          <w:color w:val="262626"/>
          <w:sz w:val="31"/>
        </w:rPr>
        <w:t>请将填写好的报名表发送至</w:t>
        <w:tab/>
      </w:r>
      <w:r>
        <w:rPr>
          <w:rFonts w:ascii="Times New Roman" w:eastAsia="Times New Roman"/>
          <w:color w:val="262626"/>
          <w:spacing w:val="-3"/>
          <w:sz w:val="30"/>
        </w:rPr>
        <w:t>z30@c</w:t>
      </w:r>
      <w:r>
        <w:rPr>
          <w:rFonts w:ascii="Times New Roman" w:eastAsia="Times New Roman"/>
          <w:color w:val="262626"/>
          <w:spacing w:val="14"/>
          <w:sz w:val="30"/>
        </w:rPr>
        <w:t> </w:t>
      </w:r>
      <w:r>
        <w:rPr>
          <w:rFonts w:ascii="Times New Roman" w:eastAsia="Times New Roman"/>
          <w:color w:val="262626"/>
          <w:spacing w:val="6"/>
          <w:sz w:val="30"/>
        </w:rPr>
        <w:t>pa.</w:t>
      </w:r>
      <w:r>
        <w:rPr>
          <w:rFonts w:ascii="Times New Roman" w:eastAsia="Times New Roman"/>
          <w:color w:val="262626"/>
          <w:spacing w:val="7"/>
          <w:sz w:val="30"/>
        </w:rPr>
        <w:t> </w:t>
      </w:r>
      <w:r>
        <w:rPr>
          <w:rFonts w:ascii="Times New Roman" w:eastAsia="Times New Roman"/>
          <w:color w:val="262626"/>
          <w:sz w:val="30"/>
        </w:rPr>
        <w:t>or</w:t>
      </w:r>
      <w:r>
        <w:rPr>
          <w:rFonts w:ascii="Times New Roman" w:eastAsia="Times New Roman"/>
          <w:color w:val="262626"/>
          <w:spacing w:val="-18"/>
          <w:sz w:val="30"/>
        </w:rPr>
        <w:t> </w:t>
      </w:r>
      <w:r>
        <w:rPr>
          <w:rFonts w:ascii="Times New Roman" w:eastAsia="Times New Roman"/>
          <w:color w:val="262626"/>
          <w:sz w:val="30"/>
        </w:rPr>
        <w:t>g.</w:t>
      </w:r>
      <w:r>
        <w:rPr>
          <w:rFonts w:ascii="Times New Roman" w:eastAsia="Times New Roman"/>
          <w:color w:val="262626"/>
          <w:spacing w:val="-8"/>
          <w:sz w:val="30"/>
        </w:rPr>
        <w:t> </w:t>
      </w:r>
      <w:r>
        <w:rPr>
          <w:rFonts w:ascii="Times New Roman" w:eastAsia="Times New Roman"/>
          <w:color w:val="262626"/>
          <w:spacing w:val="8"/>
          <w:sz w:val="30"/>
        </w:rPr>
        <w:t>cn</w:t>
      </w:r>
      <w:r>
        <w:rPr>
          <w:color w:val="262626"/>
          <w:sz w:val="31"/>
        </w:rPr>
        <w:t>。（附</w:t>
      </w:r>
      <w:r>
        <w:rPr>
          <w:color w:val="262626"/>
          <w:spacing w:val="-174"/>
          <w:sz w:val="31"/>
        </w:rPr>
        <w:t>件</w:t>
      </w:r>
      <w:r>
        <w:rPr>
          <w:rFonts w:ascii="Times New Roman" w:eastAsia="Times New Roman"/>
          <w:color w:val="262626"/>
          <w:sz w:val="30"/>
        </w:rPr>
        <w:t>3</w:t>
      </w:r>
      <w:r>
        <w:rPr>
          <w:rFonts w:ascii="Times New Roman" w:eastAsia="Times New Roman"/>
          <w:color w:val="262626"/>
          <w:spacing w:val="-28"/>
          <w:sz w:val="30"/>
        </w:rPr>
        <w:t> </w:t>
      </w:r>
      <w:r>
        <w:rPr>
          <w:rFonts w:ascii="Times New Roman" w:eastAsia="Times New Roman"/>
          <w:color w:val="262626"/>
          <w:spacing w:val="16"/>
          <w:sz w:val="30"/>
        </w:rPr>
        <w:t>)</w:t>
      </w:r>
      <w:r>
        <w:rPr>
          <w:color w:val="262626"/>
          <w:sz w:val="31"/>
        </w:rPr>
        <w:t>。</w:t>
      </w:r>
    </w:p>
    <w:p>
      <w:pPr>
        <w:pStyle w:val="Heading6"/>
        <w:spacing w:before="154"/>
        <w:ind w:left="1589"/>
      </w:pPr>
      <w:r>
        <w:rPr>
          <w:color w:val="050505"/>
          <w:w w:val="105"/>
        </w:rPr>
        <w:t>五、注册费用</w:t>
      </w:r>
    </w:p>
    <w:p>
      <w:pPr>
        <w:pStyle w:val="ListParagraph"/>
        <w:numPr>
          <w:ilvl w:val="1"/>
          <w:numId w:val="10"/>
        </w:numPr>
        <w:tabs>
          <w:tab w:pos="2043" w:val="left" w:leader="none"/>
          <w:tab w:pos="5200" w:val="left" w:leader="none"/>
          <w:tab w:pos="6873" w:val="left" w:leader="none"/>
        </w:tabs>
        <w:spacing w:line="333" w:lineRule="auto" w:before="197" w:after="0"/>
        <w:ind w:left="929" w:right="1966" w:firstLine="650"/>
        <w:jc w:val="left"/>
        <w:rPr>
          <w:rFonts w:ascii="Arial" w:eastAsia="Arial"/>
          <w:color w:val="151515"/>
          <w:sz w:val="31"/>
        </w:rPr>
      </w:pPr>
      <w:r>
        <w:rPr>
          <w:color w:val="151515"/>
          <w:w w:val="95"/>
          <w:sz w:val="31"/>
        </w:rPr>
        <w:t>会</w:t>
      </w:r>
      <w:r>
        <w:rPr>
          <w:color w:val="151515"/>
          <w:spacing w:val="44"/>
          <w:w w:val="95"/>
          <w:sz w:val="31"/>
        </w:rPr>
        <w:t>议</w:t>
      </w:r>
      <w:r>
        <w:rPr>
          <w:color w:val="151515"/>
          <w:w w:val="95"/>
          <w:sz w:val="31"/>
        </w:rPr>
        <w:t>注册费（包括会议资料、</w:t>
      </w:r>
      <w:r>
        <w:rPr>
          <w:color w:val="151515"/>
          <w:spacing w:val="-27"/>
          <w:w w:val="95"/>
          <w:sz w:val="31"/>
        </w:rPr>
        <w:t> </w:t>
      </w:r>
      <w:r>
        <w:rPr>
          <w:color w:val="383838"/>
          <w:w w:val="95"/>
          <w:sz w:val="31"/>
        </w:rPr>
        <w:t>会议餐</w:t>
      </w:r>
      <w:r>
        <w:rPr>
          <w:color w:val="383838"/>
          <w:spacing w:val="-45"/>
          <w:w w:val="85"/>
          <w:sz w:val="31"/>
        </w:rPr>
        <w:t>）</w:t>
      </w:r>
      <w:r>
        <w:rPr>
          <w:color w:val="050505"/>
          <w:spacing w:val="-45"/>
          <w:w w:val="85"/>
          <w:sz w:val="31"/>
        </w:rPr>
        <w:t>：</w:t>
      </w:r>
      <w:r>
        <w:rPr>
          <w:color w:val="050505"/>
          <w:spacing w:val="-36"/>
          <w:w w:val="85"/>
          <w:sz w:val="31"/>
        </w:rPr>
        <w:t> </w:t>
      </w:r>
      <w:r>
        <w:rPr>
          <w:color w:val="262626"/>
          <w:w w:val="95"/>
          <w:sz w:val="31"/>
        </w:rPr>
        <w:t>将以报名表和</w:t>
      </w:r>
      <w:r>
        <w:rPr>
          <w:color w:val="262626"/>
          <w:sz w:val="31"/>
        </w:rPr>
        <w:t>实际缴</w:t>
      </w:r>
      <w:r>
        <w:rPr>
          <w:color w:val="262626"/>
          <w:spacing w:val="22"/>
          <w:sz w:val="31"/>
        </w:rPr>
        <w:t>费</w:t>
      </w:r>
      <w:r>
        <w:rPr>
          <w:color w:val="262626"/>
          <w:sz w:val="31"/>
        </w:rPr>
        <w:t>为依据</w:t>
      </w:r>
      <w:r>
        <w:rPr>
          <w:color w:val="262626"/>
          <w:spacing w:val="7"/>
          <w:sz w:val="31"/>
        </w:rPr>
        <w:t>，</w:t>
      </w:r>
      <w:r>
        <w:rPr>
          <w:rFonts w:ascii="Times New Roman" w:eastAsia="Times New Roman"/>
          <w:color w:val="262626"/>
          <w:spacing w:val="7"/>
          <w:sz w:val="30"/>
        </w:rPr>
        <w:t>7</w:t>
      </w:r>
      <w:r>
        <w:rPr>
          <w:rFonts w:ascii="Times New Roman" w:eastAsia="Times New Roman"/>
          <w:color w:val="262626"/>
          <w:spacing w:val="-55"/>
          <w:sz w:val="30"/>
        </w:rPr>
        <w:t> </w:t>
      </w:r>
      <w:r>
        <w:rPr>
          <w:color w:val="262626"/>
          <w:sz w:val="30"/>
        </w:rPr>
        <w:t>月</w:t>
      </w:r>
      <w:r>
        <w:rPr>
          <w:color w:val="262626"/>
          <w:spacing w:val="-122"/>
          <w:sz w:val="30"/>
        </w:rPr>
        <w:t> </w:t>
      </w:r>
      <w:r>
        <w:rPr>
          <w:rFonts w:ascii="Times New Roman" w:eastAsia="Times New Roman"/>
          <w:color w:val="262626"/>
          <w:sz w:val="30"/>
        </w:rPr>
        <w:t>20</w:t>
      </w:r>
      <w:r>
        <w:rPr>
          <w:rFonts w:ascii="Times New Roman" w:eastAsia="Times New Roman"/>
          <w:color w:val="262626"/>
          <w:spacing w:val="-48"/>
          <w:sz w:val="30"/>
        </w:rPr>
        <w:t> </w:t>
      </w:r>
      <w:r>
        <w:rPr>
          <w:color w:val="262626"/>
          <w:sz w:val="31"/>
        </w:rPr>
        <w:t>日之前注册缴费的</w:t>
        <w:tab/>
        <w:t>代表享有优惠</w:t>
      </w:r>
      <w:r>
        <w:rPr>
          <w:color w:val="262626"/>
          <w:spacing w:val="-29"/>
          <w:sz w:val="31"/>
        </w:rPr>
        <w:t> </w:t>
      </w:r>
      <w:r>
        <w:rPr>
          <w:rFonts w:ascii="Times New Roman" w:eastAsia="Times New Roman"/>
          <w:color w:val="262626"/>
          <w:spacing w:val="-6"/>
          <w:sz w:val="30"/>
        </w:rPr>
        <w:t>900 </w:t>
      </w:r>
      <w:r>
        <w:rPr>
          <w:color w:val="262626"/>
          <w:w w:val="85"/>
          <w:sz w:val="31"/>
        </w:rPr>
        <w:t>元／人；</w:t>
      </w:r>
      <w:r>
        <w:rPr>
          <w:color w:val="262626"/>
          <w:spacing w:val="-57"/>
          <w:w w:val="85"/>
          <w:sz w:val="31"/>
        </w:rPr>
        <w:t> </w:t>
      </w:r>
      <w:r>
        <w:rPr>
          <w:rFonts w:ascii="Times New Roman" w:eastAsia="Times New Roman"/>
          <w:color w:val="151515"/>
          <w:sz w:val="30"/>
        </w:rPr>
        <w:t>5</w:t>
      </w:r>
      <w:r>
        <w:rPr>
          <w:rFonts w:ascii="Times New Roman" w:eastAsia="Times New Roman"/>
          <w:color w:val="151515"/>
          <w:spacing w:val="-43"/>
          <w:sz w:val="30"/>
        </w:rPr>
        <w:t> </w:t>
      </w:r>
      <w:r>
        <w:rPr>
          <w:color w:val="151515"/>
          <w:sz w:val="31"/>
        </w:rPr>
        <w:t>人以</w:t>
      </w:r>
      <w:r>
        <w:rPr>
          <w:color w:val="151515"/>
          <w:spacing w:val="36"/>
          <w:sz w:val="31"/>
        </w:rPr>
        <w:t>上</w:t>
      </w:r>
      <w:r>
        <w:rPr>
          <w:color w:val="151515"/>
          <w:sz w:val="31"/>
        </w:rPr>
        <w:t>享受团队价格</w:t>
        <w:tab/>
      </w:r>
      <w:r>
        <w:rPr>
          <w:rFonts w:ascii="Times New Roman" w:eastAsia="Times New Roman"/>
          <w:color w:val="151515"/>
          <w:spacing w:val="5"/>
          <w:sz w:val="30"/>
        </w:rPr>
        <w:t>800</w:t>
      </w:r>
      <w:r>
        <w:rPr>
          <w:rFonts w:ascii="Times New Roman" w:eastAsia="Times New Roman"/>
          <w:color w:val="151515"/>
          <w:spacing w:val="-30"/>
          <w:sz w:val="30"/>
        </w:rPr>
        <w:t> </w:t>
      </w:r>
      <w:r>
        <w:rPr>
          <w:color w:val="151515"/>
          <w:spacing w:val="-81"/>
          <w:sz w:val="31"/>
        </w:rPr>
        <w:t>元</w:t>
      </w:r>
      <w:r>
        <w:rPr>
          <w:color w:val="383838"/>
          <w:sz w:val="31"/>
        </w:rPr>
        <w:t>／</w:t>
      </w:r>
      <w:r>
        <w:rPr>
          <w:color w:val="383838"/>
          <w:spacing w:val="-44"/>
          <w:sz w:val="31"/>
        </w:rPr>
        <w:t>人</w:t>
      </w:r>
      <w:r>
        <w:rPr>
          <w:color w:val="050505"/>
          <w:w w:val="85"/>
          <w:sz w:val="31"/>
        </w:rPr>
        <w:t>；</w:t>
      </w:r>
      <w:r>
        <w:rPr>
          <w:color w:val="050505"/>
          <w:spacing w:val="-49"/>
          <w:w w:val="85"/>
          <w:sz w:val="31"/>
        </w:rPr>
        <w:t> </w:t>
      </w:r>
      <w:r>
        <w:rPr>
          <w:rFonts w:ascii="Times New Roman" w:eastAsia="Times New Roman"/>
          <w:color w:val="151515"/>
          <w:sz w:val="30"/>
        </w:rPr>
        <w:t>7</w:t>
      </w:r>
      <w:r>
        <w:rPr>
          <w:rFonts w:ascii="Times New Roman" w:eastAsia="Times New Roman"/>
          <w:color w:val="151515"/>
          <w:spacing w:val="-43"/>
          <w:sz w:val="30"/>
        </w:rPr>
        <w:t> </w:t>
      </w:r>
      <w:r>
        <w:rPr>
          <w:color w:val="151515"/>
          <w:sz w:val="30"/>
        </w:rPr>
        <w:t>月</w:t>
      </w:r>
      <w:r>
        <w:rPr>
          <w:color w:val="151515"/>
          <w:spacing w:val="-118"/>
          <w:sz w:val="30"/>
        </w:rPr>
        <w:t> </w:t>
      </w:r>
      <w:r>
        <w:rPr>
          <w:rFonts w:ascii="Times New Roman" w:eastAsia="Times New Roman"/>
          <w:color w:val="151515"/>
          <w:sz w:val="30"/>
        </w:rPr>
        <w:t>20</w:t>
      </w:r>
      <w:r>
        <w:rPr>
          <w:rFonts w:ascii="Times New Roman" w:eastAsia="Times New Roman"/>
          <w:color w:val="151515"/>
          <w:spacing w:val="-45"/>
          <w:sz w:val="30"/>
        </w:rPr>
        <w:t> </w:t>
      </w:r>
      <w:r>
        <w:rPr>
          <w:color w:val="151515"/>
          <w:sz w:val="31"/>
        </w:rPr>
        <w:t>日以后及现</w:t>
      </w:r>
      <w:r>
        <w:rPr>
          <w:color w:val="262626"/>
          <w:sz w:val="31"/>
        </w:rPr>
        <w:t>场缴</w:t>
      </w:r>
      <w:r>
        <w:rPr>
          <w:color w:val="262626"/>
          <w:spacing w:val="52"/>
          <w:sz w:val="31"/>
        </w:rPr>
        <w:t>费</w:t>
      </w:r>
      <w:r>
        <w:rPr>
          <w:color w:val="262626"/>
          <w:sz w:val="31"/>
        </w:rPr>
        <w:t>注册为</w:t>
      </w:r>
      <w:r>
        <w:rPr>
          <w:color w:val="262626"/>
          <w:spacing w:val="-92"/>
          <w:sz w:val="31"/>
        </w:rPr>
        <w:t> </w:t>
      </w:r>
      <w:r>
        <w:rPr>
          <w:rFonts w:ascii="Times New Roman" w:eastAsia="Times New Roman"/>
          <w:color w:val="262626"/>
          <w:sz w:val="30"/>
        </w:rPr>
        <w:t>1</w:t>
      </w:r>
      <w:r>
        <w:rPr>
          <w:rFonts w:ascii="Times New Roman" w:eastAsia="Times New Roman"/>
          <w:color w:val="262626"/>
          <w:spacing w:val="-58"/>
          <w:sz w:val="30"/>
        </w:rPr>
        <w:t> </w:t>
      </w:r>
      <w:r>
        <w:rPr>
          <w:rFonts w:ascii="Times New Roman" w:eastAsia="Times New Roman"/>
          <w:color w:val="050505"/>
          <w:sz w:val="30"/>
        </w:rPr>
        <w:t>000</w:t>
      </w:r>
      <w:r>
        <w:rPr>
          <w:rFonts w:ascii="Times New Roman" w:eastAsia="Times New Roman"/>
          <w:color w:val="050505"/>
          <w:spacing w:val="-19"/>
          <w:sz w:val="30"/>
        </w:rPr>
        <w:t> </w:t>
      </w:r>
      <w:r>
        <w:rPr>
          <w:color w:val="262626"/>
          <w:sz w:val="31"/>
        </w:rPr>
        <w:t>元／</w:t>
      </w:r>
      <w:r>
        <w:rPr>
          <w:color w:val="262626"/>
          <w:spacing w:val="-93"/>
          <w:sz w:val="31"/>
        </w:rPr>
        <w:t>人</w:t>
      </w:r>
      <w:r>
        <w:rPr>
          <w:color w:val="050505"/>
          <w:w w:val="85"/>
          <w:sz w:val="31"/>
        </w:rPr>
        <w:t>，</w:t>
      </w:r>
      <w:r>
        <w:rPr>
          <w:color w:val="050505"/>
          <w:spacing w:val="-79"/>
          <w:w w:val="85"/>
          <w:sz w:val="31"/>
        </w:rPr>
        <w:t> </w:t>
      </w:r>
      <w:r>
        <w:rPr>
          <w:color w:val="262626"/>
          <w:sz w:val="31"/>
        </w:rPr>
        <w:t>现</w:t>
      </w:r>
      <w:r>
        <w:rPr>
          <w:color w:val="262626"/>
          <w:spacing w:val="37"/>
          <w:sz w:val="31"/>
        </w:rPr>
        <w:t>场</w:t>
      </w:r>
      <w:r>
        <w:rPr>
          <w:color w:val="262626"/>
          <w:sz w:val="31"/>
        </w:rPr>
        <w:t>注册的团队不再享有团队优惠价</w:t>
      </w:r>
      <w:r>
        <w:rPr>
          <w:color w:val="262626"/>
          <w:spacing w:val="48"/>
          <w:sz w:val="31"/>
        </w:rPr>
        <w:t>格</w:t>
      </w:r>
      <w:r>
        <w:rPr>
          <w:color w:val="464646"/>
          <w:sz w:val="31"/>
        </w:rPr>
        <w:t>。</w:t>
      </w:r>
    </w:p>
    <w:p>
      <w:pPr>
        <w:pStyle w:val="ListParagraph"/>
        <w:numPr>
          <w:ilvl w:val="1"/>
          <w:numId w:val="10"/>
        </w:numPr>
        <w:tabs>
          <w:tab w:pos="1952" w:val="left" w:leader="none"/>
          <w:tab w:pos="1953" w:val="left" w:leader="none"/>
        </w:tabs>
        <w:spacing w:line="240" w:lineRule="auto" w:before="13" w:after="0"/>
        <w:ind w:left="1952" w:right="0" w:hanging="484"/>
        <w:jc w:val="left"/>
        <w:rPr>
          <w:rFonts w:ascii="Times New Roman" w:eastAsia="Times New Roman"/>
          <w:color w:val="151515"/>
          <w:sz w:val="32"/>
        </w:rPr>
      </w:pPr>
      <w:r>
        <w:rPr>
          <w:color w:val="151515"/>
          <w:spacing w:val="6"/>
          <w:w w:val="105"/>
          <w:sz w:val="29"/>
        </w:rPr>
        <w:t>收费标准</w:t>
      </w:r>
    </w:p>
    <w:p>
      <w:pPr>
        <w:pStyle w:val="BodyText"/>
        <w:spacing w:before="2"/>
        <w:ind w:left="0"/>
        <w:rPr>
          <w:sz w:val="23"/>
        </w:rPr>
      </w:pPr>
    </w:p>
    <w:tbl>
      <w:tblPr>
        <w:tblW w:w="0" w:type="auto"/>
        <w:jc w:val="left"/>
        <w:tblInd w:w="8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56"/>
        <w:gridCol w:w="2758"/>
        <w:gridCol w:w="3177"/>
      </w:tblGrid>
      <w:tr>
        <w:trPr>
          <w:trHeight w:val="547" w:hRule="atLeast"/>
        </w:trPr>
        <w:tc>
          <w:tcPr>
            <w:tcW w:w="2556" w:type="dxa"/>
          </w:tcPr>
          <w:p>
            <w:pPr>
              <w:pStyle w:val="TableParagraph"/>
              <w:spacing w:line="362" w:lineRule="exact" w:before="165"/>
              <w:ind w:left="659" w:right="572"/>
              <w:jc w:val="center"/>
              <w:rPr>
                <w:sz w:val="31"/>
              </w:rPr>
            </w:pPr>
            <w:r>
              <w:rPr>
                <w:color w:val="262626"/>
                <w:sz w:val="31"/>
              </w:rPr>
              <w:t>注册类型</w:t>
            </w:r>
          </w:p>
        </w:tc>
        <w:tc>
          <w:tcPr>
            <w:tcW w:w="2758" w:type="dxa"/>
          </w:tcPr>
          <w:p>
            <w:pPr>
              <w:pStyle w:val="TableParagraph"/>
              <w:spacing w:line="347" w:lineRule="exact" w:before="180"/>
              <w:ind w:left="382" w:right="326"/>
              <w:jc w:val="center"/>
              <w:rPr>
                <w:sz w:val="31"/>
              </w:rPr>
            </w:pPr>
            <w:r>
              <w:rPr>
                <w:rFonts w:ascii="Times New Roman" w:eastAsia="Times New Roman"/>
                <w:color w:val="151515"/>
                <w:sz w:val="30"/>
              </w:rPr>
              <w:t>7 </w:t>
            </w:r>
            <w:r>
              <w:rPr>
                <w:color w:val="151515"/>
                <w:sz w:val="30"/>
              </w:rPr>
              <w:t>月 </w:t>
            </w:r>
            <w:r>
              <w:rPr>
                <w:rFonts w:ascii="Times New Roman" w:eastAsia="Times New Roman"/>
                <w:color w:val="151515"/>
                <w:sz w:val="30"/>
              </w:rPr>
              <w:t>20 </w:t>
            </w:r>
            <w:r>
              <w:rPr>
                <w:color w:val="151515"/>
                <w:sz w:val="31"/>
              </w:rPr>
              <w:t>日以前</w:t>
            </w:r>
          </w:p>
        </w:tc>
        <w:tc>
          <w:tcPr>
            <w:tcW w:w="3177" w:type="dxa"/>
          </w:tcPr>
          <w:p>
            <w:pPr>
              <w:pStyle w:val="TableParagraph"/>
              <w:spacing w:line="325" w:lineRule="exact" w:before="201"/>
              <w:ind w:left="961" w:right="905"/>
              <w:jc w:val="center"/>
              <w:rPr>
                <w:sz w:val="31"/>
              </w:rPr>
            </w:pPr>
            <w:r>
              <w:rPr>
                <w:color w:val="262626"/>
                <w:sz w:val="31"/>
              </w:rPr>
              <w:t>现场缴费</w:t>
            </w:r>
          </w:p>
        </w:tc>
      </w:tr>
      <w:tr>
        <w:trPr>
          <w:trHeight w:val="547" w:hRule="atLeast"/>
        </w:trPr>
        <w:tc>
          <w:tcPr>
            <w:tcW w:w="2556" w:type="dxa"/>
          </w:tcPr>
          <w:p>
            <w:pPr>
              <w:pStyle w:val="TableParagraph"/>
              <w:spacing w:line="369" w:lineRule="exact" w:before="158"/>
              <w:ind w:left="659" w:right="578"/>
              <w:jc w:val="center"/>
              <w:rPr>
                <w:sz w:val="31"/>
              </w:rPr>
            </w:pPr>
            <w:r>
              <w:rPr>
                <w:color w:val="262626"/>
                <w:sz w:val="31"/>
              </w:rPr>
              <w:t>参会代表</w:t>
            </w:r>
          </w:p>
        </w:tc>
        <w:tc>
          <w:tcPr>
            <w:tcW w:w="2758" w:type="dxa"/>
          </w:tcPr>
          <w:p>
            <w:pPr>
              <w:pStyle w:val="TableParagraph"/>
              <w:spacing w:line="310" w:lineRule="exact" w:before="217"/>
              <w:ind w:left="382" w:right="315"/>
              <w:jc w:val="center"/>
              <w:rPr>
                <w:rFonts w:ascii="Times New Roman"/>
                <w:sz w:val="30"/>
              </w:rPr>
            </w:pPr>
            <w:r>
              <w:rPr>
                <w:rFonts w:ascii="Times New Roman"/>
                <w:color w:val="151515"/>
                <w:w w:val="110"/>
                <w:sz w:val="30"/>
              </w:rPr>
              <w:t>900</w:t>
            </w:r>
          </w:p>
        </w:tc>
        <w:tc>
          <w:tcPr>
            <w:tcW w:w="3177" w:type="dxa"/>
          </w:tcPr>
          <w:p>
            <w:pPr>
              <w:pStyle w:val="TableParagraph"/>
              <w:spacing w:line="296" w:lineRule="exact" w:before="231"/>
              <w:ind w:left="961" w:right="890"/>
              <w:jc w:val="center"/>
              <w:rPr>
                <w:rFonts w:ascii="Times New Roman"/>
                <w:sz w:val="30"/>
              </w:rPr>
            </w:pPr>
            <w:r>
              <w:rPr>
                <w:rFonts w:ascii="Times New Roman"/>
                <w:color w:val="050505"/>
                <w:w w:val="105"/>
                <w:sz w:val="30"/>
              </w:rPr>
              <w:t>1000</w:t>
            </w:r>
          </w:p>
        </w:tc>
      </w:tr>
      <w:tr>
        <w:trPr>
          <w:trHeight w:val="547" w:hRule="atLeast"/>
        </w:trPr>
        <w:tc>
          <w:tcPr>
            <w:tcW w:w="2556" w:type="dxa"/>
          </w:tcPr>
          <w:p>
            <w:pPr>
              <w:pStyle w:val="TableParagraph"/>
              <w:spacing w:line="376" w:lineRule="exact" w:before="151"/>
              <w:ind w:left="652" w:right="579"/>
              <w:jc w:val="center"/>
              <w:rPr>
                <w:sz w:val="31"/>
              </w:rPr>
            </w:pPr>
            <w:r>
              <w:rPr>
                <w:color w:val="262626"/>
                <w:sz w:val="31"/>
              </w:rPr>
              <w:t>团队代表</w:t>
            </w:r>
          </w:p>
        </w:tc>
        <w:tc>
          <w:tcPr>
            <w:tcW w:w="2758" w:type="dxa"/>
          </w:tcPr>
          <w:p>
            <w:pPr>
              <w:pStyle w:val="TableParagraph"/>
              <w:spacing w:line="317" w:lineRule="exact" w:before="210"/>
              <w:ind w:left="382" w:right="323"/>
              <w:jc w:val="center"/>
              <w:rPr>
                <w:rFonts w:ascii="Times New Roman"/>
                <w:sz w:val="30"/>
              </w:rPr>
            </w:pPr>
            <w:r>
              <w:rPr>
                <w:rFonts w:ascii="Times New Roman"/>
                <w:color w:val="151515"/>
                <w:w w:val="110"/>
                <w:sz w:val="30"/>
              </w:rPr>
              <w:t>800</w:t>
            </w:r>
          </w:p>
        </w:tc>
        <w:tc>
          <w:tcPr>
            <w:tcW w:w="3177" w:type="dxa"/>
          </w:tcPr>
          <w:p>
            <w:pPr>
              <w:pStyle w:val="TableParagraph"/>
              <w:spacing w:line="303" w:lineRule="exact" w:before="224"/>
              <w:ind w:left="961" w:right="898"/>
              <w:jc w:val="center"/>
              <w:rPr>
                <w:rFonts w:ascii="Times New Roman"/>
                <w:sz w:val="30"/>
              </w:rPr>
            </w:pPr>
            <w:r>
              <w:rPr>
                <w:rFonts w:ascii="Times New Roman"/>
                <w:color w:val="151515"/>
                <w:w w:val="105"/>
                <w:sz w:val="30"/>
              </w:rPr>
              <w:t>1000</w:t>
            </w:r>
          </w:p>
        </w:tc>
      </w:tr>
      <w:tr>
        <w:trPr>
          <w:trHeight w:val="2278" w:hRule="atLeast"/>
        </w:trPr>
        <w:tc>
          <w:tcPr>
            <w:tcW w:w="2556" w:type="dxa"/>
          </w:tcPr>
          <w:p>
            <w:pPr>
              <w:pStyle w:val="TableParagraph"/>
              <w:spacing w:line="343" w:lineRule="auto" w:before="151"/>
              <w:ind w:left="175" w:right="110" w:firstLine="26"/>
              <w:jc w:val="both"/>
              <w:rPr>
                <w:sz w:val="31"/>
              </w:rPr>
            </w:pPr>
            <w:r>
              <w:rPr>
                <w:color w:val="262626"/>
                <w:spacing w:val="-26"/>
                <w:sz w:val="31"/>
              </w:rPr>
              <w:t>学会会员 </w:t>
            </w:r>
            <w:r>
              <w:rPr>
                <w:color w:val="050505"/>
                <w:spacing w:val="-27"/>
                <w:w w:val="75"/>
                <w:sz w:val="31"/>
              </w:rPr>
              <w:t>； </w:t>
            </w:r>
            <w:r>
              <w:rPr>
                <w:color w:val="262626"/>
                <w:spacing w:val="12"/>
                <w:sz w:val="31"/>
              </w:rPr>
              <w:t>学生</w:t>
            </w:r>
            <w:r>
              <w:rPr>
                <w:color w:val="262626"/>
                <w:sz w:val="31"/>
              </w:rPr>
              <w:t>代表；贫困、新疆及西藏地区的</w:t>
            </w:r>
          </w:p>
          <w:p>
            <w:pPr>
              <w:pStyle w:val="TableParagraph"/>
              <w:spacing w:before="5"/>
              <w:ind w:left="645" w:right="579"/>
              <w:jc w:val="center"/>
              <w:rPr>
                <w:sz w:val="31"/>
              </w:rPr>
            </w:pPr>
            <w:r>
              <w:rPr>
                <w:color w:val="262626"/>
                <w:sz w:val="31"/>
              </w:rPr>
              <w:t>代表</w:t>
            </w:r>
          </w:p>
        </w:tc>
        <w:tc>
          <w:tcPr>
            <w:tcW w:w="2758" w:type="dxa"/>
          </w:tcPr>
          <w:p>
            <w:pPr>
              <w:pStyle w:val="TableParagraph"/>
              <w:rPr>
                <w:sz w:val="32"/>
              </w:rPr>
            </w:pPr>
          </w:p>
          <w:p>
            <w:pPr>
              <w:pStyle w:val="TableParagraph"/>
              <w:spacing w:before="10"/>
              <w:rPr>
                <w:sz w:val="28"/>
              </w:rPr>
            </w:pPr>
          </w:p>
          <w:p>
            <w:pPr>
              <w:pStyle w:val="TableParagraph"/>
              <w:spacing w:before="1"/>
              <w:ind w:left="378" w:right="326"/>
              <w:jc w:val="center"/>
              <w:rPr>
                <w:rFonts w:ascii="Times New Roman"/>
                <w:sz w:val="30"/>
              </w:rPr>
            </w:pPr>
            <w:r>
              <w:rPr>
                <w:rFonts w:ascii="Times New Roman"/>
                <w:color w:val="151515"/>
                <w:w w:val="110"/>
                <w:sz w:val="30"/>
              </w:rPr>
              <w:t>900</w:t>
            </w:r>
          </w:p>
        </w:tc>
        <w:tc>
          <w:tcPr>
            <w:tcW w:w="3177" w:type="dxa"/>
          </w:tcPr>
          <w:p>
            <w:pPr>
              <w:pStyle w:val="TableParagraph"/>
              <w:rPr>
                <w:sz w:val="32"/>
              </w:rPr>
            </w:pPr>
          </w:p>
          <w:p>
            <w:pPr>
              <w:pStyle w:val="TableParagraph"/>
              <w:spacing w:before="6"/>
              <w:rPr>
                <w:sz w:val="30"/>
              </w:rPr>
            </w:pPr>
          </w:p>
          <w:p>
            <w:pPr>
              <w:pStyle w:val="TableParagraph"/>
              <w:spacing w:before="1"/>
              <w:ind w:left="961" w:right="902"/>
              <w:jc w:val="center"/>
              <w:rPr>
                <w:rFonts w:ascii="Times New Roman"/>
                <w:sz w:val="30"/>
              </w:rPr>
            </w:pPr>
            <w:r>
              <w:rPr>
                <w:rFonts w:ascii="Times New Roman"/>
                <w:color w:val="151515"/>
                <w:w w:val="105"/>
                <w:sz w:val="30"/>
              </w:rPr>
              <w:t>900</w:t>
            </w:r>
          </w:p>
        </w:tc>
      </w:tr>
    </w:tbl>
    <w:p>
      <w:pPr>
        <w:spacing w:after="0"/>
        <w:jc w:val="center"/>
        <w:rPr>
          <w:rFonts w:ascii="Times New Roman"/>
          <w:sz w:val="30"/>
        </w:rPr>
        <w:sectPr>
          <w:headerReference w:type="default" r:id="rId24"/>
          <w:footerReference w:type="default" r:id="rId25"/>
          <w:pgSz w:w="11910" w:h="16850"/>
          <w:pgMar w:header="0" w:footer="0" w:top="1300" w:bottom="280" w:left="640" w:right="0"/>
        </w:sectPr>
      </w:pPr>
    </w:p>
    <w:p>
      <w:pPr>
        <w:pStyle w:val="ListParagraph"/>
        <w:numPr>
          <w:ilvl w:val="1"/>
          <w:numId w:val="10"/>
        </w:numPr>
        <w:tabs>
          <w:tab w:pos="490" w:val="left" w:leader="none"/>
          <w:tab w:pos="1891" w:val="left" w:leader="none"/>
        </w:tabs>
        <w:spacing w:line="240" w:lineRule="auto" w:before="45" w:after="0"/>
        <w:ind w:left="1890" w:right="5917" w:hanging="1891"/>
        <w:jc w:val="left"/>
        <w:rPr>
          <w:rFonts w:ascii="Times New Roman" w:eastAsia="Times New Roman"/>
          <w:color w:val="262626"/>
          <w:sz w:val="28"/>
        </w:rPr>
      </w:pPr>
      <w:r>
        <w:rPr>
          <w:color w:val="262626"/>
          <w:spacing w:val="20"/>
          <w:sz w:val="29"/>
        </w:rPr>
        <w:t>注册缴费方式</w:t>
      </w:r>
      <w:r>
        <w:rPr>
          <w:color w:val="262626"/>
          <w:w w:val="80"/>
          <w:sz w:val="29"/>
        </w:rPr>
        <w:t>：</w:t>
      </w:r>
    </w:p>
    <w:p>
      <w:pPr>
        <w:tabs>
          <w:tab w:pos="649" w:val="left" w:leader="none"/>
        </w:tabs>
        <w:spacing w:before="169"/>
        <w:ind w:left="0" w:right="5936" w:firstLine="0"/>
        <w:jc w:val="center"/>
        <w:rPr>
          <w:sz w:val="29"/>
        </w:rPr>
      </w:pPr>
      <w:r>
        <w:rPr>
          <w:rFonts w:ascii="Arial" w:eastAsia="Arial"/>
          <w:color w:val="262626"/>
          <w:spacing w:val="16"/>
          <w:w w:val="80"/>
          <w:sz w:val="26"/>
        </w:rPr>
        <w:t>( </w:t>
      </w:r>
      <w:r>
        <w:rPr>
          <w:rFonts w:ascii="Arial" w:eastAsia="Arial"/>
          <w:color w:val="262626"/>
          <w:w w:val="80"/>
          <w:sz w:val="26"/>
        </w:rPr>
        <w:t>1</w:t>
      </w:r>
      <w:r>
        <w:rPr>
          <w:rFonts w:ascii="Arial" w:eastAsia="Arial"/>
          <w:color w:val="262626"/>
          <w:spacing w:val="15"/>
          <w:w w:val="80"/>
          <w:sz w:val="26"/>
        </w:rPr>
        <w:t> )</w:t>
      </w:r>
      <w:r>
        <w:rPr>
          <w:rFonts w:ascii="Arial" w:eastAsia="Arial"/>
          <w:color w:val="262626"/>
          <w:w w:val="80"/>
          <w:sz w:val="26"/>
        </w:rPr>
        <w:tab/>
      </w:r>
      <w:r>
        <w:rPr>
          <w:color w:val="262626"/>
          <w:spacing w:val="7"/>
          <w:sz w:val="29"/>
        </w:rPr>
        <w:t>电子汇款</w:t>
      </w:r>
    </w:p>
    <w:p>
      <w:pPr>
        <w:pStyle w:val="Heading7"/>
        <w:spacing w:before="220"/>
        <w:ind w:left="1708"/>
        <w:jc w:val="both"/>
      </w:pPr>
      <w:r>
        <w:rPr>
          <w:color w:val="262626"/>
        </w:rPr>
        <w:t>户 名</w:t>
      </w:r>
      <w:r>
        <w:rPr>
          <w:color w:val="030303"/>
          <w:w w:val="80"/>
        </w:rPr>
        <w:t>： </w:t>
      </w:r>
      <w:r>
        <w:rPr>
          <w:color w:val="262626"/>
        </w:rPr>
        <w:t>中国药学会</w:t>
      </w:r>
    </w:p>
    <w:p>
      <w:pPr>
        <w:spacing w:line="362" w:lineRule="auto" w:before="191"/>
        <w:ind w:left="1698" w:right="5502" w:firstLine="17"/>
        <w:jc w:val="both"/>
        <w:rPr>
          <w:rFonts w:ascii="Times New Roman" w:eastAsia="Times New Roman"/>
          <w:sz w:val="28"/>
        </w:rPr>
      </w:pPr>
      <w:r>
        <w:rPr>
          <w:color w:val="262626"/>
          <w:w w:val="105"/>
          <w:sz w:val="29"/>
        </w:rPr>
        <w:t>开户行：中国银行总行营业部账 号 </w:t>
      </w:r>
      <w:r>
        <w:rPr>
          <w:color w:val="262626"/>
          <w:w w:val="90"/>
          <w:sz w:val="29"/>
        </w:rPr>
        <w:t>： </w:t>
      </w:r>
      <w:r>
        <w:rPr>
          <w:rFonts w:ascii="Times New Roman" w:eastAsia="Times New Roman"/>
          <w:color w:val="262626"/>
          <w:w w:val="90"/>
          <w:sz w:val="28"/>
        </w:rPr>
        <w:t>7 </w:t>
      </w:r>
      <w:r>
        <w:rPr>
          <w:rFonts w:ascii="Times New Roman" w:eastAsia="Times New Roman"/>
          <w:color w:val="262626"/>
          <w:w w:val="105"/>
          <w:sz w:val="28"/>
        </w:rPr>
        <w:t>78350009320</w:t>
      </w:r>
    </w:p>
    <w:p>
      <w:pPr>
        <w:pStyle w:val="Heading7"/>
        <w:spacing w:line="360" w:lineRule="auto"/>
        <w:ind w:left="1058" w:right="1851" w:firstLine="646"/>
        <w:jc w:val="both"/>
      </w:pPr>
      <w:r>
        <w:rPr>
          <w:color w:val="262626"/>
          <w:spacing w:val="-1"/>
        </w:rPr>
        <w:t>缴费请注明：药学服务＋参会代表姓名。电汇等方式如果  </w:t>
      </w:r>
      <w:r>
        <w:rPr>
          <w:color w:val="262626"/>
        </w:rPr>
        <w:t>无法添加附言， 请发送电子邮件至 </w:t>
      </w:r>
      <w:r>
        <w:rPr>
          <w:rFonts w:ascii="Times New Roman" w:eastAsia="Times New Roman"/>
          <w:color w:val="262626"/>
          <w:spacing w:val="8"/>
          <w:sz w:val="28"/>
        </w:rPr>
        <w:t>z30@c</w:t>
      </w:r>
      <w:r>
        <w:rPr>
          <w:rFonts w:ascii="Times New Roman" w:eastAsia="Times New Roman"/>
          <w:color w:val="262626"/>
          <w:spacing w:val="-11"/>
          <w:sz w:val="28"/>
        </w:rPr>
        <w:t> </w:t>
      </w:r>
      <w:r>
        <w:rPr>
          <w:rFonts w:ascii="Times New Roman" w:eastAsia="Times New Roman"/>
          <w:color w:val="262626"/>
          <w:sz w:val="28"/>
        </w:rPr>
        <w:t>pa</w:t>
      </w:r>
      <w:r>
        <w:rPr>
          <w:rFonts w:ascii="Times New Roman" w:eastAsia="Times New Roman"/>
          <w:color w:val="262626"/>
          <w:spacing w:val="14"/>
          <w:sz w:val="28"/>
        </w:rPr>
        <w:t> . </w:t>
      </w:r>
      <w:r>
        <w:rPr>
          <w:rFonts w:ascii="Times New Roman" w:eastAsia="Times New Roman"/>
          <w:color w:val="262626"/>
          <w:sz w:val="28"/>
        </w:rPr>
        <w:t>or</w:t>
      </w:r>
      <w:r>
        <w:rPr>
          <w:rFonts w:ascii="Times New Roman" w:eastAsia="Times New Roman"/>
          <w:color w:val="262626"/>
          <w:spacing w:val="50"/>
          <w:sz w:val="28"/>
        </w:rPr>
        <w:t> </w:t>
      </w:r>
      <w:r>
        <w:rPr>
          <w:rFonts w:ascii="Times New Roman" w:eastAsia="Times New Roman"/>
          <w:color w:val="262626"/>
          <w:sz w:val="28"/>
        </w:rPr>
        <w:t>g.</w:t>
      </w:r>
      <w:r>
        <w:rPr>
          <w:rFonts w:ascii="Times New Roman" w:eastAsia="Times New Roman"/>
          <w:color w:val="262626"/>
          <w:spacing w:val="59"/>
          <w:sz w:val="28"/>
        </w:rPr>
        <w:t> </w:t>
      </w:r>
      <w:r>
        <w:rPr>
          <w:rFonts w:ascii="Times New Roman" w:eastAsia="Times New Roman"/>
          <w:color w:val="262626"/>
          <w:sz w:val="28"/>
        </w:rPr>
        <w:t>c</w:t>
      </w:r>
      <w:r>
        <w:rPr>
          <w:rFonts w:ascii="Times New Roman" w:eastAsia="Times New Roman"/>
          <w:color w:val="262626"/>
          <w:spacing w:val="-14"/>
          <w:sz w:val="28"/>
        </w:rPr>
        <w:t> </w:t>
      </w:r>
      <w:r>
        <w:rPr>
          <w:rFonts w:ascii="Times New Roman" w:eastAsia="Times New Roman"/>
          <w:color w:val="262626"/>
          <w:sz w:val="28"/>
        </w:rPr>
        <w:t>n</w:t>
      </w:r>
      <w:r>
        <w:rPr>
          <w:rFonts w:ascii="Times New Roman" w:eastAsia="Times New Roman"/>
          <w:color w:val="262626"/>
          <w:spacing w:val="8"/>
          <w:sz w:val="28"/>
        </w:rPr>
        <w:t> , </w:t>
      </w:r>
      <w:r>
        <w:rPr>
          <w:color w:val="262626"/>
          <w:spacing w:val="6"/>
        </w:rPr>
        <w:t>告知汇款人姓名、联系电话、汇款金额、开发票单位、开发票张数    等详细情况，以便于准确开具发票。</w:t>
      </w:r>
    </w:p>
    <w:p>
      <w:pPr>
        <w:spacing w:line="364" w:lineRule="auto" w:before="6"/>
        <w:ind w:left="1044" w:right="1895" w:firstLine="581"/>
        <w:jc w:val="both"/>
        <w:rPr>
          <w:sz w:val="29"/>
        </w:rPr>
      </w:pPr>
      <w:r>
        <w:rPr/>
        <w:pict>
          <v:group style="position:absolute;margin-left:242.635803pt;margin-top:87.544365pt;width:102.2pt;height:100.75pt;mso-position-horizontal-relative:page;mso-position-vertical-relative:paragraph;z-index:-251649024;mso-wrap-distance-left:0;mso-wrap-distance-right:0" coordorigin="4853,1751" coordsize="2044,2015">
            <v:shape style="position:absolute;left:4852;top:1789;width:2044;height:1977" type="#_x0000_t75" stroked="false">
              <v:imagedata r:id="rId28" o:title=""/>
            </v:shape>
            <v:shape style="position:absolute;left:4852;top:1750;width:2044;height:2015" type="#_x0000_t202" filled="false" stroked="false">
              <v:textbox inset="0,0,0,0">
                <w:txbxContent>
                  <w:p>
                    <w:pPr>
                      <w:spacing w:line="548" w:lineRule="exact" w:before="0"/>
                      <w:ind w:left="-9" w:right="0" w:firstLine="0"/>
                      <w:jc w:val="left"/>
                      <w:rPr>
                        <w:sz w:val="48"/>
                      </w:rPr>
                    </w:pPr>
                    <w:r>
                      <w:rPr>
                        <w:color w:val="111111"/>
                        <w:w w:val="94"/>
                        <w:sz w:val="48"/>
                      </w:rPr>
                      <w:t>回</w:t>
                    </w:r>
                  </w:p>
                </w:txbxContent>
              </v:textbox>
              <w10:wrap type="none"/>
            </v:shape>
            <w10:wrap type="topAndBottom"/>
          </v:group>
        </w:pict>
      </w:r>
      <w:r>
        <w:rPr>
          <w:rFonts w:ascii="Times New Roman" w:eastAsia="Times New Roman"/>
          <w:color w:val="262626"/>
          <w:w w:val="75"/>
          <w:sz w:val="26"/>
        </w:rPr>
        <w:t>( 2 ) </w:t>
      </w:r>
      <w:r>
        <w:rPr>
          <w:color w:val="262626"/>
          <w:w w:val="105"/>
          <w:sz w:val="29"/>
        </w:rPr>
        <w:t>扫码付款</w:t>
      </w:r>
      <w:r>
        <w:rPr>
          <w:color w:val="030303"/>
          <w:w w:val="75"/>
          <w:sz w:val="29"/>
        </w:rPr>
        <w:t>： </w:t>
      </w:r>
      <w:r>
        <w:rPr>
          <w:color w:val="262626"/>
          <w:w w:val="105"/>
          <w:sz w:val="29"/>
        </w:rPr>
        <w:t>手机微信、支付宝、 银联对下方扫码完成支付，支付后将微信号、支付宝账号或银行卡号及银行卡 户名等信息以及支付页面的截图在报名表中粘贴并注明。</w:t>
      </w:r>
    </w:p>
    <w:p>
      <w:pPr>
        <w:pStyle w:val="BodyText"/>
        <w:ind w:left="0"/>
        <w:rPr>
          <w:sz w:val="20"/>
        </w:rPr>
      </w:pPr>
    </w:p>
    <w:p>
      <w:pPr>
        <w:pStyle w:val="BodyText"/>
        <w:spacing w:before="2"/>
        <w:ind w:left="0"/>
      </w:pPr>
    </w:p>
    <w:p>
      <w:pPr>
        <w:spacing w:before="60"/>
        <w:ind w:left="1515" w:right="0" w:firstLine="0"/>
        <w:jc w:val="left"/>
        <w:rPr>
          <w:sz w:val="29"/>
        </w:rPr>
      </w:pPr>
      <w:r>
        <w:rPr>
          <w:rFonts w:ascii="Times New Roman" w:eastAsia="Times New Roman"/>
          <w:color w:val="262626"/>
          <w:sz w:val="26"/>
        </w:rPr>
        <w:t>( 3 ) </w:t>
      </w:r>
      <w:r>
        <w:rPr>
          <w:color w:val="262626"/>
          <w:sz w:val="29"/>
        </w:rPr>
        <w:t>现场交费</w:t>
      </w:r>
      <w:r>
        <w:rPr>
          <w:color w:val="262626"/>
          <w:w w:val="80"/>
          <w:sz w:val="29"/>
        </w:rPr>
        <w:t>： </w:t>
      </w:r>
      <w:r>
        <w:rPr>
          <w:color w:val="262626"/>
          <w:sz w:val="29"/>
        </w:rPr>
        <w:t>支付宝、 微信或现金缴纳。</w:t>
      </w:r>
    </w:p>
    <w:p>
      <w:pPr>
        <w:pStyle w:val="Heading7"/>
        <w:tabs>
          <w:tab w:pos="2089" w:val="left" w:leader="none"/>
        </w:tabs>
        <w:spacing w:line="357" w:lineRule="auto" w:before="198"/>
        <w:ind w:right="1886" w:firstLine="416"/>
      </w:pPr>
      <w:r>
        <w:rPr>
          <w:rFonts w:ascii="Times New Roman" w:eastAsia="Times New Roman"/>
          <w:color w:val="262626"/>
          <w:spacing w:val="15"/>
          <w:w w:val="75"/>
          <w:sz w:val="26"/>
        </w:rPr>
        <w:t>(  </w:t>
      </w:r>
      <w:r>
        <w:rPr>
          <w:rFonts w:ascii="Times New Roman" w:eastAsia="Times New Roman"/>
          <w:color w:val="262626"/>
          <w:w w:val="75"/>
          <w:sz w:val="26"/>
        </w:rPr>
        <w:t>4)</w:t>
        <w:tab/>
      </w:r>
      <w:r>
        <w:rPr>
          <w:color w:val="262626"/>
          <w:spacing w:val="11"/>
        </w:rPr>
        <w:t>药学服务专业委员会委员免注册费， 食宿及交通由会</w:t>
      </w:r>
      <w:r>
        <w:rPr>
          <w:color w:val="262626"/>
        </w:rPr>
        <w:t>议承担。其他参会代表会议住宿及交通自理。</w:t>
      </w:r>
    </w:p>
    <w:p>
      <w:pPr>
        <w:spacing w:before="11"/>
        <w:ind w:left="1657" w:right="0" w:firstLine="0"/>
        <w:jc w:val="left"/>
        <w:rPr>
          <w:sz w:val="29"/>
        </w:rPr>
      </w:pPr>
      <w:r>
        <w:rPr>
          <w:color w:val="030303"/>
          <w:w w:val="110"/>
          <w:sz w:val="29"/>
        </w:rPr>
        <w:t>六、联系人及方式</w:t>
      </w:r>
    </w:p>
    <w:p>
      <w:pPr>
        <w:tabs>
          <w:tab w:pos="2287" w:val="left" w:leader="none"/>
          <w:tab w:pos="4048" w:val="left" w:leader="none"/>
        </w:tabs>
        <w:spacing w:line="362" w:lineRule="auto" w:before="205"/>
        <w:ind w:left="1654" w:right="6432" w:firstLine="4"/>
        <w:jc w:val="left"/>
        <w:rPr>
          <w:rFonts w:ascii="Times New Roman" w:eastAsia="Times New Roman"/>
          <w:sz w:val="28"/>
        </w:rPr>
      </w:pPr>
      <w:r>
        <w:rPr>
          <w:color w:val="262626"/>
          <w:sz w:val="29"/>
        </w:rPr>
        <w:t>联系人：刘王、冯莹颖电</w:t>
        <w:tab/>
      </w:r>
      <w:r>
        <w:rPr>
          <w:color w:val="262626"/>
          <w:spacing w:val="5"/>
          <w:sz w:val="29"/>
        </w:rPr>
        <w:t>话</w:t>
      </w:r>
      <w:r>
        <w:rPr>
          <w:color w:val="262626"/>
          <w:w w:val="90"/>
          <w:sz w:val="29"/>
        </w:rPr>
        <w:t>：</w:t>
      </w:r>
      <w:r>
        <w:rPr>
          <w:color w:val="262626"/>
          <w:spacing w:val="-58"/>
          <w:w w:val="90"/>
          <w:sz w:val="29"/>
        </w:rPr>
        <w:t> </w:t>
      </w:r>
      <w:r>
        <w:rPr>
          <w:rFonts w:ascii="Times New Roman" w:eastAsia="Times New Roman"/>
          <w:color w:val="262626"/>
          <w:w w:val="90"/>
          <w:sz w:val="28"/>
        </w:rPr>
        <w:t>01</w:t>
      </w:r>
      <w:r>
        <w:rPr>
          <w:rFonts w:ascii="Times New Roman" w:eastAsia="Times New Roman"/>
          <w:color w:val="262626"/>
          <w:spacing w:val="14"/>
          <w:w w:val="90"/>
          <w:sz w:val="28"/>
        </w:rPr>
        <w:t> </w:t>
      </w:r>
      <w:r>
        <w:rPr>
          <w:rFonts w:ascii="Times New Roman" w:eastAsia="Times New Roman"/>
          <w:color w:val="262626"/>
          <w:w w:val="90"/>
          <w:sz w:val="28"/>
        </w:rPr>
        <w:t>0-</w:t>
      </w:r>
      <w:r>
        <w:rPr>
          <w:rFonts w:ascii="Times New Roman" w:eastAsia="Times New Roman"/>
          <w:color w:val="262626"/>
          <w:spacing w:val="22"/>
          <w:w w:val="90"/>
          <w:sz w:val="28"/>
        </w:rPr>
        <w:t> </w:t>
      </w:r>
      <w:r>
        <w:rPr>
          <w:rFonts w:ascii="Times New Roman" w:eastAsia="Times New Roman"/>
          <w:color w:val="262626"/>
          <w:w w:val="90"/>
          <w:sz w:val="28"/>
        </w:rPr>
        <w:t>656</w:t>
        <w:tab/>
        <w:t>6</w:t>
      </w:r>
      <w:r>
        <w:rPr>
          <w:rFonts w:ascii="Times New Roman" w:eastAsia="Times New Roman"/>
          <w:color w:val="262626"/>
          <w:spacing w:val="31"/>
          <w:w w:val="90"/>
          <w:sz w:val="28"/>
        </w:rPr>
        <w:t> </w:t>
      </w:r>
      <w:r>
        <w:rPr>
          <w:rFonts w:ascii="Times New Roman" w:eastAsia="Times New Roman"/>
          <w:color w:val="262626"/>
          <w:spacing w:val="-4"/>
          <w:sz w:val="28"/>
        </w:rPr>
        <w:t>2756</w:t>
      </w:r>
    </w:p>
    <w:p>
      <w:pPr>
        <w:tabs>
          <w:tab w:pos="2292" w:val="left" w:leader="none"/>
          <w:tab w:pos="3692" w:val="left" w:leader="none"/>
        </w:tabs>
        <w:spacing w:before="18"/>
        <w:ind w:left="1652" w:right="0" w:firstLine="0"/>
        <w:jc w:val="left"/>
        <w:rPr>
          <w:rFonts w:ascii="Times New Roman" w:eastAsia="Times New Roman"/>
          <w:sz w:val="28"/>
        </w:rPr>
      </w:pPr>
      <w:r>
        <w:rPr/>
        <w:pict>
          <v:shape style="position:absolute;margin-left:289.962921pt;margin-top:49.179188pt;width:6.3pt;height:10.55pt;mso-position-horizontal-relative:page;mso-position-vertical-relative:paragraph;z-index:251668480" type="#_x0000_t202" filled="false" stroked="false">
            <v:textbox inset="0,0,0,0" style="layout-flow:vertical-ideographic">
              <w:txbxContent>
                <w:p>
                  <w:pPr>
                    <w:spacing w:line="120" w:lineRule="auto" w:before="0"/>
                    <w:ind w:left="20" w:right="0" w:firstLine="0"/>
                    <w:jc w:val="left"/>
                    <w:rPr>
                      <w:sz w:val="17"/>
                    </w:rPr>
                  </w:pPr>
                  <w:r>
                    <w:rPr>
                      <w:color w:val="262626"/>
                      <w:w w:val="100"/>
                      <w:sz w:val="17"/>
                    </w:rPr>
                    <w:t>3</w:t>
                  </w:r>
                </w:p>
              </w:txbxContent>
            </v:textbox>
            <w10:wrap type="none"/>
          </v:shape>
        </w:pict>
      </w:r>
      <w:r>
        <w:rPr>
          <w:color w:val="262626"/>
          <w:w w:val="95"/>
          <w:sz w:val="29"/>
        </w:rPr>
        <w:t>邮</w:t>
        <w:tab/>
      </w:r>
      <w:r>
        <w:rPr>
          <w:color w:val="262626"/>
          <w:spacing w:val="6"/>
          <w:w w:val="95"/>
          <w:sz w:val="29"/>
        </w:rPr>
        <w:t>箱</w:t>
      </w:r>
      <w:r>
        <w:rPr>
          <w:color w:val="262626"/>
          <w:w w:val="75"/>
          <w:sz w:val="29"/>
        </w:rPr>
        <w:t>：</w:t>
      </w:r>
      <w:r>
        <w:rPr>
          <w:color w:val="262626"/>
          <w:spacing w:val="-16"/>
          <w:w w:val="75"/>
          <w:sz w:val="29"/>
        </w:rPr>
        <w:t> </w:t>
      </w:r>
      <w:r>
        <w:rPr>
          <w:rFonts w:ascii="Times New Roman" w:eastAsia="Times New Roman"/>
          <w:color w:val="262626"/>
          <w:w w:val="75"/>
          <w:sz w:val="28"/>
        </w:rPr>
        <w:t>z</w:t>
      </w:r>
      <w:r>
        <w:rPr>
          <w:rFonts w:ascii="Times New Roman" w:eastAsia="Times New Roman"/>
          <w:color w:val="262626"/>
          <w:spacing w:val="-6"/>
          <w:w w:val="75"/>
          <w:sz w:val="28"/>
        </w:rPr>
        <w:t> </w:t>
      </w:r>
      <w:r>
        <w:rPr>
          <w:rFonts w:ascii="Times New Roman" w:eastAsia="Times New Roman"/>
          <w:color w:val="262626"/>
          <w:w w:val="75"/>
          <w:sz w:val="28"/>
        </w:rPr>
        <w:t>30@c</w:t>
        <w:tab/>
      </w:r>
      <w:r>
        <w:rPr>
          <w:color w:val="262626"/>
          <w:w w:val="75"/>
          <w:sz w:val="25"/>
        </w:rPr>
        <w:t>竖 - 江 </w:t>
      </w:r>
      <w:r>
        <w:rPr>
          <w:rFonts w:ascii="Times New Roman" w:eastAsia="Times New Roman"/>
          <w:color w:val="262626"/>
          <w:w w:val="75"/>
          <w:sz w:val="28"/>
        </w:rPr>
        <w:t>g.</w:t>
      </w:r>
      <w:r>
        <w:rPr>
          <w:rFonts w:ascii="Times New Roman" w:eastAsia="Times New Roman"/>
          <w:color w:val="262626"/>
          <w:spacing w:val="21"/>
          <w:w w:val="75"/>
          <w:sz w:val="28"/>
        </w:rPr>
        <w:t> </w:t>
      </w:r>
      <w:r>
        <w:rPr>
          <w:rFonts w:ascii="Times New Roman" w:eastAsia="Times New Roman"/>
          <w:color w:val="262626"/>
          <w:w w:val="75"/>
          <w:sz w:val="28"/>
        </w:rPr>
        <w:t>en</w:t>
      </w:r>
    </w:p>
    <w:p>
      <w:pPr>
        <w:spacing w:after="0"/>
        <w:jc w:val="left"/>
        <w:rPr>
          <w:rFonts w:ascii="Times New Roman" w:eastAsia="Times New Roman"/>
          <w:sz w:val="28"/>
        </w:rPr>
        <w:sectPr>
          <w:headerReference w:type="default" r:id="rId26"/>
          <w:footerReference w:type="default" r:id="rId27"/>
          <w:pgSz w:w="11910" w:h="16850"/>
          <w:pgMar w:header="0" w:footer="0" w:top="1300" w:bottom="280" w:left="640" w:right="0"/>
        </w:sectPr>
      </w:pPr>
    </w:p>
    <w:p>
      <w:pPr>
        <w:tabs>
          <w:tab w:pos="2985" w:val="left" w:leader="none"/>
        </w:tabs>
        <w:spacing w:line="331" w:lineRule="auto" w:before="44"/>
        <w:ind w:left="2897" w:right="2824" w:hanging="1125"/>
        <w:jc w:val="left"/>
        <w:rPr>
          <w:sz w:val="31"/>
        </w:rPr>
      </w:pPr>
      <w:r>
        <w:rPr/>
        <w:pict>
          <v:shape style="position:absolute;margin-left:292.672577pt;margin-top:766.763367pt;width:6.05pt;height:10.050pt;mso-position-horizontal-relative:page;mso-position-vertical-relative:page;z-index:251672576" type="#_x0000_t202" filled="false" stroked="false">
            <v:textbox inset="0,0,0,0" style="layout-flow:vertical-ideographic">
              <w:txbxContent>
                <w:p>
                  <w:pPr>
                    <w:spacing w:line="120" w:lineRule="auto" w:before="0"/>
                    <w:ind w:left="20" w:right="0" w:firstLine="0"/>
                    <w:jc w:val="left"/>
                    <w:rPr>
                      <w:sz w:val="16"/>
                    </w:rPr>
                  </w:pPr>
                  <w:r>
                    <w:rPr>
                      <w:color w:val="262626"/>
                      <w:w w:val="100"/>
                      <w:sz w:val="16"/>
                    </w:rPr>
                    <w:t>4</w:t>
                  </w:r>
                </w:p>
              </w:txbxContent>
            </v:textbox>
            <w10:wrap type="none"/>
          </v:shape>
        </w:pict>
      </w:r>
      <w:r>
        <w:rPr>
          <w:color w:val="262626"/>
          <w:spacing w:val="14"/>
          <w:sz w:val="29"/>
        </w:rPr>
        <w:t>附</w:t>
      </w:r>
      <w:r>
        <w:rPr>
          <w:color w:val="262626"/>
          <w:sz w:val="29"/>
        </w:rPr>
        <w:t>件</w:t>
      </w:r>
      <w:r>
        <w:rPr>
          <w:color w:val="262626"/>
          <w:spacing w:val="-44"/>
          <w:sz w:val="29"/>
        </w:rPr>
        <w:t> </w:t>
      </w:r>
      <w:r>
        <w:rPr>
          <w:rFonts w:ascii="Times New Roman" w:eastAsia="Times New Roman"/>
          <w:color w:val="262626"/>
          <w:spacing w:val="11"/>
          <w:sz w:val="30"/>
        </w:rPr>
        <w:t>1:</w:t>
        <w:tab/>
        <w:tab/>
      </w:r>
      <w:r>
        <w:rPr>
          <w:rFonts w:ascii="Times New Roman" w:eastAsia="Times New Roman"/>
          <w:color w:val="262626"/>
          <w:spacing w:val="-4"/>
          <w:w w:val="95"/>
          <w:sz w:val="30"/>
        </w:rPr>
        <w:t>20</w:t>
      </w:r>
      <w:r>
        <w:rPr>
          <w:rFonts w:ascii="Times New Roman" w:eastAsia="Times New Roman"/>
          <w:color w:val="0C0C0C"/>
          <w:spacing w:val="-4"/>
          <w:w w:val="95"/>
          <w:sz w:val="30"/>
        </w:rPr>
        <w:t>1</w:t>
      </w:r>
      <w:r>
        <w:rPr>
          <w:rFonts w:ascii="Times New Roman" w:eastAsia="Times New Roman"/>
          <w:color w:val="262626"/>
          <w:spacing w:val="-4"/>
          <w:w w:val="95"/>
          <w:sz w:val="30"/>
        </w:rPr>
        <w:t>9</w:t>
      </w:r>
      <w:r>
        <w:rPr>
          <w:rFonts w:ascii="Times New Roman" w:eastAsia="Times New Roman"/>
          <w:color w:val="262626"/>
          <w:spacing w:val="26"/>
          <w:w w:val="95"/>
          <w:sz w:val="30"/>
        </w:rPr>
        <w:t> </w:t>
      </w:r>
      <w:r>
        <w:rPr>
          <w:color w:val="262626"/>
          <w:w w:val="95"/>
          <w:sz w:val="31"/>
        </w:rPr>
        <w:t>年中国药学会药学服务专业委员会</w:t>
      </w:r>
      <w:r>
        <w:rPr>
          <w:color w:val="262626"/>
          <w:spacing w:val="-15"/>
          <w:w w:val="95"/>
          <w:sz w:val="31"/>
        </w:rPr>
        <w:t>学</w:t>
      </w:r>
      <w:r>
        <w:rPr>
          <w:color w:val="262626"/>
          <w:sz w:val="31"/>
        </w:rPr>
        <w:t>术年会日程</w:t>
      </w:r>
    </w:p>
    <w:p>
      <w:pPr>
        <w:pStyle w:val="Heading5"/>
        <w:tabs>
          <w:tab w:pos="2945" w:val="left" w:leader="none"/>
        </w:tabs>
        <w:spacing w:before="29"/>
        <w:ind w:left="1759"/>
      </w:pPr>
      <w:r>
        <w:rPr>
          <w:color w:val="262626"/>
          <w:spacing w:val="14"/>
          <w:sz w:val="29"/>
        </w:rPr>
        <w:t>附</w:t>
      </w:r>
      <w:r>
        <w:rPr>
          <w:color w:val="262626"/>
          <w:sz w:val="29"/>
        </w:rPr>
        <w:t>件</w:t>
      </w:r>
      <w:r>
        <w:rPr>
          <w:color w:val="262626"/>
          <w:spacing w:val="-43"/>
          <w:sz w:val="29"/>
        </w:rPr>
        <w:t> </w:t>
      </w:r>
      <w:r>
        <w:rPr>
          <w:rFonts w:ascii="Times New Roman" w:hAnsi="Times New Roman" w:eastAsia="Times New Roman"/>
          <w:color w:val="262626"/>
        </w:rPr>
        <w:t>2:</w:t>
        <w:tab/>
        <w:t>“</w:t>
      </w:r>
      <w:r>
        <w:rPr>
          <w:rFonts w:ascii="Times New Roman" w:hAnsi="Times New Roman" w:eastAsia="Times New Roman"/>
          <w:color w:val="262626"/>
          <w:spacing w:val="-37"/>
        </w:rPr>
        <w:t> </w:t>
      </w:r>
      <w:r>
        <w:rPr>
          <w:color w:val="262626"/>
        </w:rPr>
        <w:t>科学有意思“</w:t>
      </w:r>
      <w:r>
        <w:rPr>
          <w:color w:val="262626"/>
          <w:spacing w:val="-65"/>
        </w:rPr>
        <w:t> </w:t>
      </w:r>
      <w:r>
        <w:rPr>
          <w:color w:val="262626"/>
        </w:rPr>
        <w:t>现场脱口秀相关活动说明</w:t>
      </w:r>
    </w:p>
    <w:p>
      <w:pPr>
        <w:tabs>
          <w:tab w:pos="2970" w:val="left" w:leader="none"/>
        </w:tabs>
        <w:spacing w:before="159"/>
        <w:ind w:left="1759" w:right="0" w:firstLine="0"/>
        <w:jc w:val="left"/>
        <w:rPr>
          <w:sz w:val="31"/>
        </w:rPr>
      </w:pPr>
      <w:r>
        <w:rPr>
          <w:color w:val="262626"/>
          <w:spacing w:val="23"/>
          <w:sz w:val="29"/>
        </w:rPr>
        <w:t>附</w:t>
      </w:r>
      <w:r>
        <w:rPr>
          <w:color w:val="262626"/>
          <w:sz w:val="29"/>
        </w:rPr>
        <w:t>件</w:t>
      </w:r>
      <w:r>
        <w:rPr>
          <w:color w:val="262626"/>
          <w:spacing w:val="-46"/>
          <w:sz w:val="29"/>
        </w:rPr>
        <w:t> </w:t>
      </w:r>
      <w:r>
        <w:rPr>
          <w:rFonts w:ascii="Times New Roman" w:eastAsia="Times New Roman"/>
          <w:color w:val="262626"/>
          <w:spacing w:val="10"/>
          <w:sz w:val="31"/>
        </w:rPr>
        <w:t>3:</w:t>
        <w:tab/>
      </w:r>
      <w:r>
        <w:rPr>
          <w:color w:val="262626"/>
          <w:spacing w:val="21"/>
          <w:sz w:val="31"/>
        </w:rPr>
        <w:t>参</w:t>
      </w:r>
      <w:r>
        <w:rPr>
          <w:color w:val="262626"/>
          <w:sz w:val="31"/>
        </w:rPr>
        <w:t>会报名表</w:t>
      </w:r>
    </w:p>
    <w:p>
      <w:pPr>
        <w:pStyle w:val="BodyText"/>
        <w:ind w:left="0"/>
        <w:rPr>
          <w:sz w:val="20"/>
        </w:rPr>
      </w:pPr>
    </w:p>
    <w:p>
      <w:pPr>
        <w:pStyle w:val="BodyText"/>
        <w:ind w:left="0"/>
        <w:rPr>
          <w:sz w:val="20"/>
        </w:rPr>
      </w:pPr>
    </w:p>
    <w:p>
      <w:pPr>
        <w:pStyle w:val="BodyText"/>
        <w:spacing w:before="3"/>
        <w:ind w:left="0"/>
        <w:rPr>
          <w:sz w:val="27"/>
        </w:rPr>
      </w:pPr>
      <w:r>
        <w:rPr/>
        <w:pict>
          <v:group style="position:absolute;margin-left:363.17569pt;margin-top:19.438805pt;width:116.25pt;height:66.05pt;mso-position-horizontal-relative:page;mso-position-vertical-relative:paragraph;z-index:-251645952;mso-wrap-distance-left:0;mso-wrap-distance-right:0" coordorigin="7264,389" coordsize="2325,1321">
            <v:shape style="position:absolute;left:7263;top:388;width:2325;height:1314" type="#_x0000_t75" stroked="false">
              <v:imagedata r:id="rId31" o:title=""/>
            </v:shape>
            <v:shape style="position:absolute;left:7263;top:388;width:2325;height:1321" type="#_x0000_t202" filled="false" stroked="false">
              <v:textbox inset="0,0,0,0">
                <w:txbxContent>
                  <w:p>
                    <w:pPr>
                      <w:spacing w:line="240" w:lineRule="auto" w:before="0"/>
                      <w:rPr>
                        <w:sz w:val="30"/>
                      </w:rPr>
                    </w:pPr>
                  </w:p>
                  <w:p>
                    <w:pPr>
                      <w:spacing w:line="240" w:lineRule="auto" w:before="0"/>
                      <w:rPr>
                        <w:sz w:val="30"/>
                      </w:rPr>
                    </w:pPr>
                  </w:p>
                  <w:p>
                    <w:pPr>
                      <w:spacing w:line="354" w:lineRule="exact" w:before="198"/>
                      <w:ind w:left="261" w:right="0" w:firstLine="0"/>
                      <w:jc w:val="left"/>
                      <w:rPr>
                        <w:sz w:val="31"/>
                      </w:rPr>
                    </w:pPr>
                    <w:r>
                      <w:rPr>
                        <w:color w:val="443D3F"/>
                        <w:sz w:val="31"/>
                      </w:rPr>
                      <w:t>中</w:t>
                    </w:r>
                    <w:r>
                      <w:rPr>
                        <w:color w:val="262626"/>
                        <w:sz w:val="31"/>
                      </w:rPr>
                      <w:t>国</w:t>
                    </w:r>
                    <w:r>
                      <w:rPr>
                        <w:color w:val="443D3F"/>
                        <w:sz w:val="31"/>
                      </w:rPr>
                      <w:t>药学会</w:t>
                    </w:r>
                  </w:p>
                </w:txbxContent>
              </v:textbox>
              <w10:wrap type="none"/>
            </v:shape>
            <w10:wrap type="topAndBottom"/>
          </v:group>
        </w:pict>
      </w:r>
    </w:p>
    <w:p>
      <w:pPr>
        <w:pStyle w:val="BodyText"/>
        <w:spacing w:before="6"/>
        <w:ind w:left="0"/>
        <w:rPr>
          <w:sz w:val="9"/>
        </w:rPr>
      </w:pPr>
    </w:p>
    <w:p>
      <w:pPr>
        <w:pStyle w:val="Heading6"/>
        <w:spacing w:before="59"/>
        <w:ind w:left="6544"/>
      </w:pPr>
      <w:r>
        <w:rPr>
          <w:rFonts w:ascii="Times New Roman" w:eastAsia="Times New Roman"/>
          <w:color w:val="262626"/>
          <w:w w:val="105"/>
        </w:rPr>
        <w:t>2</w:t>
      </w:r>
      <w:r>
        <w:rPr>
          <w:rFonts w:ascii="Times New Roman" w:eastAsia="Times New Roman"/>
          <w:color w:val="443D3F"/>
          <w:w w:val="105"/>
        </w:rPr>
        <w:t>019 </w:t>
      </w:r>
      <w:r>
        <w:rPr>
          <w:color w:val="262626"/>
          <w:w w:val="105"/>
        </w:rPr>
        <w:t>年 </w:t>
      </w:r>
      <w:r>
        <w:rPr>
          <w:rFonts w:ascii="Times New Roman" w:eastAsia="Times New Roman"/>
          <w:color w:val="262626"/>
          <w:w w:val="105"/>
        </w:rPr>
        <w:t>7 </w:t>
      </w:r>
      <w:r>
        <w:rPr>
          <w:color w:val="262626"/>
          <w:spacing w:val="-51"/>
          <w:w w:val="105"/>
          <w:sz w:val="31"/>
        </w:rPr>
        <w:t>月 </w:t>
      </w:r>
      <w:r>
        <w:rPr>
          <w:rFonts w:ascii="Times New Roman" w:eastAsia="Times New Roman"/>
          <w:color w:val="262626"/>
          <w:w w:val="105"/>
        </w:rPr>
        <w:t>5 </w:t>
      </w:r>
      <w:r>
        <w:rPr>
          <w:color w:val="443D3F"/>
          <w:w w:val="105"/>
        </w:rPr>
        <w:t>日</w:t>
      </w:r>
    </w:p>
    <w:p>
      <w:pPr>
        <w:pStyle w:val="BodyText"/>
        <w:spacing w:before="4"/>
        <w:ind w:left="0"/>
        <w:rPr>
          <w:sz w:val="14"/>
        </w:rPr>
      </w:pPr>
      <w:r>
        <w:rPr/>
        <w:drawing>
          <wp:anchor distT="0" distB="0" distL="0" distR="0" allowOverlap="1" layoutInCell="1" locked="0" behindDoc="0" simplePos="0" relativeHeight="13">
            <wp:simplePos x="0" y="0"/>
            <wp:positionH relativeFrom="page">
              <wp:posOffset>4928672</wp:posOffset>
            </wp:positionH>
            <wp:positionV relativeFrom="paragraph">
              <wp:posOffset>141525</wp:posOffset>
            </wp:positionV>
            <wp:extent cx="855500" cy="201167"/>
            <wp:effectExtent l="0" t="0" r="0" b="0"/>
            <wp:wrapTopAndBottom/>
            <wp:docPr id="5" name="image6.jpeg"/>
            <wp:cNvGraphicFramePr>
              <a:graphicFrameLocks noChangeAspect="1"/>
            </wp:cNvGraphicFramePr>
            <a:graphic>
              <a:graphicData uri="http://schemas.openxmlformats.org/drawingml/2006/picture">
                <pic:pic>
                  <pic:nvPicPr>
                    <pic:cNvPr id="6" name="image6.jpeg"/>
                    <pic:cNvPicPr/>
                  </pic:nvPicPr>
                  <pic:blipFill>
                    <a:blip r:embed="rId32" cstate="print"/>
                    <a:stretch>
                      <a:fillRect/>
                    </a:stretch>
                  </pic:blipFill>
                  <pic:spPr>
                    <a:xfrm>
                      <a:off x="0" y="0"/>
                      <a:ext cx="855500" cy="201167"/>
                    </a:xfrm>
                    <a:prstGeom prst="rect">
                      <a:avLst/>
                    </a:prstGeom>
                  </pic:spPr>
                </pic:pic>
              </a:graphicData>
            </a:graphic>
          </wp:anchor>
        </w:drawing>
      </w:r>
    </w:p>
    <w:p>
      <w:pPr>
        <w:spacing w:after="0"/>
        <w:rPr>
          <w:sz w:val="14"/>
        </w:rPr>
        <w:sectPr>
          <w:headerReference w:type="default" r:id="rId29"/>
          <w:footerReference w:type="default" r:id="rId30"/>
          <w:pgSz w:w="11910" w:h="16850"/>
          <w:pgMar w:header="0" w:footer="0" w:top="1420" w:bottom="280" w:left="640" w:right="0"/>
        </w:sectPr>
      </w:pPr>
    </w:p>
    <w:p>
      <w:pPr>
        <w:spacing w:before="56"/>
        <w:ind w:left="1105" w:right="0" w:firstLine="0"/>
        <w:jc w:val="left"/>
        <w:rPr>
          <w:rFonts w:ascii="Arial" w:eastAsia="Arial"/>
          <w:sz w:val="26"/>
        </w:rPr>
      </w:pPr>
      <w:r>
        <w:rPr/>
        <w:pict>
          <v:shape style="position:absolute;margin-left:295.378906pt;margin-top:763.915894pt;width:6.3pt;height:10.55pt;mso-position-horizontal-relative:page;mso-position-vertical-relative:page;z-index:251673600" type="#_x0000_t202" filled="false" stroked="false">
            <v:textbox inset="0,0,0,0" style="layout-flow:vertical-ideographic">
              <w:txbxContent>
                <w:p>
                  <w:pPr>
                    <w:spacing w:line="120" w:lineRule="auto" w:before="0"/>
                    <w:ind w:left="20" w:right="0" w:firstLine="0"/>
                    <w:jc w:val="left"/>
                    <w:rPr>
                      <w:sz w:val="17"/>
                    </w:rPr>
                  </w:pPr>
                  <w:r>
                    <w:rPr>
                      <w:color w:val="262626"/>
                      <w:w w:val="100"/>
                      <w:sz w:val="17"/>
                    </w:rPr>
                    <w:t>5</w:t>
                  </w:r>
                </w:p>
              </w:txbxContent>
            </v:textbox>
            <w10:wrap type="none"/>
          </v:shape>
        </w:pict>
      </w:r>
      <w:r>
        <w:rPr>
          <w:color w:val="131313"/>
          <w:sz w:val="26"/>
        </w:rPr>
        <w:t>附件 </w:t>
      </w:r>
      <w:r>
        <w:rPr>
          <w:rFonts w:ascii="Arial" w:eastAsia="Arial"/>
          <w:color w:val="131313"/>
          <w:sz w:val="26"/>
        </w:rPr>
        <w:t>1</w:t>
      </w:r>
    </w:p>
    <w:p>
      <w:pPr>
        <w:spacing w:before="164"/>
        <w:ind w:left="811" w:right="0" w:firstLine="0"/>
        <w:jc w:val="left"/>
        <w:rPr>
          <w:sz w:val="34"/>
        </w:rPr>
      </w:pPr>
      <w:r>
        <w:rPr>
          <w:rFonts w:ascii="Times New Roman" w:eastAsia="Times New Roman"/>
          <w:color w:val="131313"/>
          <w:w w:val="110"/>
          <w:sz w:val="34"/>
        </w:rPr>
        <w:t>2019 </w:t>
      </w:r>
      <w:r>
        <w:rPr>
          <w:color w:val="131313"/>
          <w:w w:val="110"/>
          <w:sz w:val="34"/>
        </w:rPr>
        <w:t>年中国药学会药学服务专业委员会学术年会日程</w:t>
      </w:r>
    </w:p>
    <w:p>
      <w:pPr>
        <w:tabs>
          <w:tab w:pos="1632" w:val="left" w:leader="none"/>
          <w:tab w:pos="6666" w:val="left" w:leader="none"/>
        </w:tabs>
        <w:spacing w:before="198" w:after="43"/>
        <w:ind w:left="474" w:right="0" w:firstLine="0"/>
        <w:jc w:val="left"/>
        <w:rPr>
          <w:sz w:val="22"/>
        </w:rPr>
      </w:pPr>
      <w:r>
        <w:rPr>
          <w:color w:val="262626"/>
          <w:position w:val="1"/>
          <w:sz w:val="22"/>
        </w:rPr>
        <w:t>时</w:t>
      </w:r>
      <w:r>
        <w:rPr>
          <w:color w:val="262626"/>
          <w:spacing w:val="-44"/>
          <w:position w:val="1"/>
          <w:sz w:val="22"/>
        </w:rPr>
        <w:t>间</w:t>
      </w:r>
      <w:r>
        <w:rPr>
          <w:color w:val="262626"/>
          <w:w w:val="90"/>
          <w:position w:val="1"/>
          <w:sz w:val="22"/>
        </w:rPr>
        <w:t>：</w:t>
      </w:r>
      <w:r>
        <w:rPr>
          <w:color w:val="262626"/>
          <w:spacing w:val="-68"/>
          <w:w w:val="90"/>
          <w:position w:val="1"/>
          <w:sz w:val="22"/>
        </w:rPr>
        <w:t> </w:t>
      </w:r>
      <w:r>
        <w:rPr>
          <w:rFonts w:ascii="Times New Roman" w:eastAsia="Times New Roman"/>
          <w:color w:val="262626"/>
          <w:w w:val="90"/>
          <w:position w:val="1"/>
          <w:sz w:val="21"/>
        </w:rPr>
        <w:t>2019</w:t>
        <w:tab/>
      </w:r>
      <w:r>
        <w:rPr>
          <w:color w:val="262626"/>
          <w:spacing w:val="38"/>
          <w:position w:val="1"/>
          <w:sz w:val="22"/>
        </w:rPr>
        <w:t>年</w:t>
      </w:r>
      <w:r>
        <w:rPr>
          <w:rFonts w:ascii="Times New Roman" w:eastAsia="Times New Roman"/>
          <w:color w:val="262626"/>
          <w:position w:val="1"/>
          <w:sz w:val="21"/>
        </w:rPr>
        <w:t>8</w:t>
      </w:r>
      <w:r>
        <w:rPr>
          <w:rFonts w:ascii="Times New Roman" w:eastAsia="Times New Roman"/>
          <w:color w:val="262626"/>
          <w:spacing w:val="10"/>
          <w:position w:val="1"/>
          <w:sz w:val="21"/>
        </w:rPr>
        <w:t> </w:t>
      </w:r>
      <w:r>
        <w:rPr>
          <w:color w:val="262626"/>
          <w:position w:val="1"/>
          <w:sz w:val="23"/>
        </w:rPr>
        <w:t>月</w:t>
      </w:r>
      <w:r>
        <w:rPr>
          <w:color w:val="262626"/>
          <w:spacing w:val="-74"/>
          <w:position w:val="1"/>
          <w:sz w:val="23"/>
        </w:rPr>
        <w:t> </w:t>
      </w:r>
      <w:r>
        <w:rPr>
          <w:rFonts w:ascii="Times New Roman" w:eastAsia="Times New Roman"/>
          <w:color w:val="262626"/>
          <w:position w:val="1"/>
          <w:sz w:val="21"/>
        </w:rPr>
        <w:t>10</w:t>
      </w:r>
      <w:r>
        <w:rPr>
          <w:rFonts w:ascii="Times New Roman" w:eastAsia="Times New Roman"/>
          <w:color w:val="262626"/>
          <w:spacing w:val="46"/>
          <w:position w:val="1"/>
          <w:sz w:val="21"/>
        </w:rPr>
        <w:t> </w:t>
      </w:r>
      <w:r>
        <w:rPr>
          <w:color w:val="262626"/>
          <w:position w:val="1"/>
          <w:sz w:val="22"/>
        </w:rPr>
        <w:t>日上午</w:t>
        <w:tab/>
      </w:r>
      <w:r>
        <w:rPr>
          <w:color w:val="262626"/>
          <w:sz w:val="22"/>
        </w:rPr>
        <w:t>地</w:t>
      </w:r>
      <w:r>
        <w:rPr>
          <w:color w:val="262626"/>
          <w:spacing w:val="-29"/>
          <w:sz w:val="22"/>
        </w:rPr>
        <w:t>点</w:t>
      </w:r>
      <w:r>
        <w:rPr>
          <w:w w:val="90"/>
          <w:sz w:val="22"/>
        </w:rPr>
        <w:t>：</w:t>
      </w:r>
      <w:r>
        <w:rPr>
          <w:spacing w:val="-5"/>
          <w:w w:val="90"/>
          <w:sz w:val="22"/>
        </w:rPr>
        <w:t> </w:t>
      </w:r>
      <w:r>
        <w:rPr>
          <w:color w:val="262626"/>
          <w:sz w:val="22"/>
        </w:rPr>
        <w:t>北京亮马河饭店</w:t>
      </w:r>
    </w:p>
    <w:tbl>
      <w:tblPr>
        <w:tblW w:w="0" w:type="auto"/>
        <w:jc w:val="left"/>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1"/>
        <w:gridCol w:w="1423"/>
        <w:gridCol w:w="2550"/>
        <w:gridCol w:w="990"/>
        <w:gridCol w:w="2687"/>
        <w:gridCol w:w="983"/>
      </w:tblGrid>
      <w:tr>
        <w:trPr>
          <w:trHeight w:val="547" w:hRule="atLeast"/>
        </w:trPr>
        <w:tc>
          <w:tcPr>
            <w:tcW w:w="1271" w:type="dxa"/>
          </w:tcPr>
          <w:p>
            <w:pPr>
              <w:pStyle w:val="TableParagraph"/>
              <w:spacing w:line="353" w:lineRule="exact" w:before="174"/>
              <w:ind w:right="321"/>
              <w:jc w:val="right"/>
              <w:rPr>
                <w:sz w:val="28"/>
              </w:rPr>
            </w:pPr>
            <w:r>
              <w:rPr>
                <w:color w:val="131313"/>
                <w:w w:val="95"/>
                <w:sz w:val="28"/>
              </w:rPr>
              <w:t>日期</w:t>
            </w:r>
          </w:p>
        </w:tc>
        <w:tc>
          <w:tcPr>
            <w:tcW w:w="1423" w:type="dxa"/>
          </w:tcPr>
          <w:p>
            <w:pPr>
              <w:pStyle w:val="TableParagraph"/>
              <w:spacing w:line="346" w:lineRule="exact" w:before="181"/>
              <w:ind w:left="50" w:right="17"/>
              <w:jc w:val="center"/>
              <w:rPr>
                <w:sz w:val="28"/>
              </w:rPr>
            </w:pPr>
            <w:r>
              <w:rPr>
                <w:color w:val="131313"/>
                <w:sz w:val="28"/>
              </w:rPr>
              <w:t>时间</w:t>
            </w:r>
          </w:p>
        </w:tc>
        <w:tc>
          <w:tcPr>
            <w:tcW w:w="2550" w:type="dxa"/>
          </w:tcPr>
          <w:p>
            <w:pPr>
              <w:pStyle w:val="TableParagraph"/>
              <w:spacing w:line="346" w:lineRule="exact" w:before="181"/>
              <w:ind w:left="722"/>
              <w:rPr>
                <w:sz w:val="28"/>
              </w:rPr>
            </w:pPr>
            <w:r>
              <w:rPr>
                <w:color w:val="131313"/>
                <w:sz w:val="28"/>
              </w:rPr>
              <w:t>授课主题</w:t>
            </w:r>
          </w:p>
        </w:tc>
        <w:tc>
          <w:tcPr>
            <w:tcW w:w="990" w:type="dxa"/>
          </w:tcPr>
          <w:p>
            <w:pPr>
              <w:pStyle w:val="TableParagraph"/>
              <w:spacing w:line="326" w:lineRule="exact" w:before="201"/>
              <w:ind w:left="228"/>
              <w:rPr>
                <w:sz w:val="26"/>
              </w:rPr>
            </w:pPr>
            <w:r>
              <w:rPr>
                <w:color w:val="131313"/>
                <w:w w:val="105"/>
                <w:sz w:val="26"/>
              </w:rPr>
              <w:t>专家</w:t>
            </w:r>
          </w:p>
        </w:tc>
        <w:tc>
          <w:tcPr>
            <w:tcW w:w="2687" w:type="dxa"/>
          </w:tcPr>
          <w:p>
            <w:pPr>
              <w:pStyle w:val="TableParagraph"/>
              <w:spacing w:line="326" w:lineRule="exact" w:before="201"/>
              <w:ind w:left="1035" w:right="990"/>
              <w:jc w:val="center"/>
              <w:rPr>
                <w:sz w:val="26"/>
              </w:rPr>
            </w:pPr>
            <w:r>
              <w:rPr>
                <w:color w:val="131313"/>
                <w:w w:val="105"/>
                <w:sz w:val="26"/>
              </w:rPr>
              <w:t>单位</w:t>
            </w:r>
          </w:p>
        </w:tc>
        <w:tc>
          <w:tcPr>
            <w:tcW w:w="983" w:type="dxa"/>
          </w:tcPr>
          <w:p>
            <w:pPr>
              <w:pStyle w:val="TableParagraph"/>
              <w:spacing w:line="353" w:lineRule="exact" w:before="174"/>
              <w:ind w:left="225"/>
              <w:rPr>
                <w:sz w:val="28"/>
              </w:rPr>
            </w:pPr>
            <w:r>
              <w:rPr>
                <w:color w:val="131313"/>
                <w:sz w:val="28"/>
              </w:rPr>
              <w:t>主持</w:t>
            </w:r>
          </w:p>
        </w:tc>
      </w:tr>
      <w:tr>
        <w:trPr>
          <w:trHeight w:val="453" w:hRule="atLeast"/>
        </w:trPr>
        <w:tc>
          <w:tcPr>
            <w:tcW w:w="1271" w:type="dxa"/>
            <w:vMerge w:val="restart"/>
          </w:tcPr>
          <w:p>
            <w:pPr>
              <w:pStyle w:val="TableParagraph"/>
              <w:rPr>
                <w:sz w:val="22"/>
              </w:rPr>
            </w:pPr>
          </w:p>
          <w:p>
            <w:pPr>
              <w:pStyle w:val="TableParagraph"/>
              <w:spacing w:before="2"/>
              <w:rPr>
                <w:sz w:val="30"/>
              </w:rPr>
            </w:pPr>
          </w:p>
          <w:p>
            <w:pPr>
              <w:pStyle w:val="TableParagraph"/>
              <w:ind w:left="171"/>
              <w:rPr>
                <w:rFonts w:ascii="Times New Roman"/>
                <w:sz w:val="21"/>
              </w:rPr>
            </w:pPr>
            <w:r>
              <w:rPr>
                <w:rFonts w:ascii="Times New Roman"/>
                <w:color w:val="525252"/>
                <w:w w:val="110"/>
                <w:sz w:val="21"/>
              </w:rPr>
              <w:t>2019</w:t>
            </w:r>
            <w:r>
              <w:rPr>
                <w:rFonts w:ascii="Times New Roman"/>
                <w:color w:val="707070"/>
                <w:w w:val="110"/>
                <w:sz w:val="21"/>
              </w:rPr>
              <w:t>/ </w:t>
            </w:r>
            <w:r>
              <w:rPr>
                <w:rFonts w:ascii="Times New Roman"/>
                <w:color w:val="525252"/>
                <w:w w:val="110"/>
                <w:sz w:val="21"/>
              </w:rPr>
              <w:t>8</w:t>
            </w:r>
            <w:r>
              <w:rPr>
                <w:rFonts w:ascii="Times New Roman"/>
                <w:color w:val="707070"/>
                <w:w w:val="110"/>
                <w:sz w:val="21"/>
              </w:rPr>
              <w:t>/ </w:t>
            </w:r>
            <w:r>
              <w:rPr>
                <w:rFonts w:ascii="Times New Roman"/>
                <w:color w:val="3A3A3A"/>
                <w:w w:val="110"/>
                <w:sz w:val="21"/>
              </w:rPr>
              <w:t>10</w:t>
            </w:r>
          </w:p>
          <w:p>
            <w:pPr>
              <w:pStyle w:val="TableParagraph"/>
              <w:spacing w:before="97"/>
              <w:ind w:left="214"/>
              <w:rPr>
                <w:sz w:val="19"/>
              </w:rPr>
            </w:pPr>
            <w:r>
              <w:rPr>
                <w:color w:val="525252"/>
                <w:sz w:val="19"/>
              </w:rPr>
              <w:t>（开幕式）</w:t>
            </w:r>
          </w:p>
        </w:tc>
        <w:tc>
          <w:tcPr>
            <w:tcW w:w="1423" w:type="dxa"/>
          </w:tcPr>
          <w:p>
            <w:pPr>
              <w:pStyle w:val="TableParagraph"/>
              <w:spacing w:before="142"/>
              <w:ind w:left="36" w:right="51"/>
              <w:jc w:val="center"/>
              <w:rPr>
                <w:rFonts w:ascii="Times New Roman"/>
                <w:sz w:val="21"/>
              </w:rPr>
            </w:pPr>
            <w:r>
              <w:rPr>
                <w:rFonts w:ascii="Times New Roman"/>
                <w:color w:val="3A3A3A"/>
                <w:w w:val="110"/>
                <w:sz w:val="21"/>
              </w:rPr>
              <w:t>08:00-08:30</w:t>
            </w:r>
          </w:p>
        </w:tc>
        <w:tc>
          <w:tcPr>
            <w:tcW w:w="2550" w:type="dxa"/>
          </w:tcPr>
          <w:p>
            <w:pPr>
              <w:pStyle w:val="TableParagraph"/>
              <w:spacing w:before="148"/>
              <w:ind w:left="117"/>
              <w:rPr>
                <w:sz w:val="19"/>
              </w:rPr>
            </w:pPr>
            <w:r>
              <w:rPr>
                <w:color w:val="525252"/>
                <w:w w:val="110"/>
                <w:sz w:val="19"/>
              </w:rPr>
              <w:t>领导致辞</w:t>
            </w:r>
          </w:p>
        </w:tc>
        <w:tc>
          <w:tcPr>
            <w:tcW w:w="990" w:type="dxa"/>
          </w:tcPr>
          <w:p>
            <w:pPr>
              <w:pStyle w:val="TableParagraph"/>
              <w:rPr>
                <w:rFonts w:ascii="Times New Roman"/>
                <w:sz w:val="20"/>
              </w:rPr>
            </w:pPr>
          </w:p>
        </w:tc>
        <w:tc>
          <w:tcPr>
            <w:tcW w:w="2687" w:type="dxa"/>
          </w:tcPr>
          <w:p>
            <w:pPr>
              <w:pStyle w:val="TableParagraph"/>
              <w:rPr>
                <w:rFonts w:ascii="Times New Roman"/>
                <w:sz w:val="20"/>
              </w:rPr>
            </w:pPr>
          </w:p>
        </w:tc>
        <w:tc>
          <w:tcPr>
            <w:tcW w:w="983" w:type="dxa"/>
          </w:tcPr>
          <w:p>
            <w:pPr>
              <w:pStyle w:val="TableParagraph"/>
              <w:spacing w:before="148"/>
              <w:ind w:left="182"/>
              <w:rPr>
                <w:sz w:val="19"/>
              </w:rPr>
            </w:pPr>
            <w:r>
              <w:rPr>
                <w:color w:val="525252"/>
                <w:w w:val="110"/>
                <w:sz w:val="19"/>
              </w:rPr>
              <w:t>郭澄</w:t>
            </w:r>
          </w:p>
        </w:tc>
      </w:tr>
      <w:tr>
        <w:trPr>
          <w:trHeight w:val="431" w:hRule="atLeast"/>
        </w:trPr>
        <w:tc>
          <w:tcPr>
            <w:tcW w:w="1271" w:type="dxa"/>
            <w:vMerge/>
            <w:tcBorders>
              <w:top w:val="nil"/>
            </w:tcBorders>
          </w:tcPr>
          <w:p>
            <w:pPr>
              <w:rPr>
                <w:sz w:val="2"/>
                <w:szCs w:val="2"/>
              </w:rPr>
            </w:pPr>
          </w:p>
        </w:tc>
        <w:tc>
          <w:tcPr>
            <w:tcW w:w="1423" w:type="dxa"/>
          </w:tcPr>
          <w:p>
            <w:pPr>
              <w:pStyle w:val="TableParagraph"/>
              <w:spacing w:before="135"/>
              <w:ind w:left="36" w:right="51"/>
              <w:jc w:val="center"/>
              <w:rPr>
                <w:rFonts w:ascii="Times New Roman"/>
                <w:sz w:val="21"/>
              </w:rPr>
            </w:pPr>
            <w:r>
              <w:rPr>
                <w:rFonts w:ascii="Times New Roman"/>
                <w:color w:val="3A3A3A"/>
                <w:w w:val="110"/>
                <w:sz w:val="21"/>
              </w:rPr>
              <w:t>08:30-08:40</w:t>
            </w:r>
          </w:p>
        </w:tc>
        <w:tc>
          <w:tcPr>
            <w:tcW w:w="2550" w:type="dxa"/>
          </w:tcPr>
          <w:p>
            <w:pPr>
              <w:pStyle w:val="TableParagraph"/>
              <w:spacing w:before="141"/>
              <w:ind w:left="117"/>
              <w:rPr>
                <w:sz w:val="19"/>
              </w:rPr>
            </w:pPr>
            <w:r>
              <w:rPr>
                <w:color w:val="525252"/>
                <w:w w:val="110"/>
                <w:sz w:val="19"/>
              </w:rPr>
              <w:t>患者代表访谈</w:t>
            </w:r>
          </w:p>
        </w:tc>
        <w:tc>
          <w:tcPr>
            <w:tcW w:w="990" w:type="dxa"/>
          </w:tcPr>
          <w:p>
            <w:pPr>
              <w:pStyle w:val="TableParagraph"/>
              <w:rPr>
                <w:rFonts w:ascii="Times New Roman"/>
                <w:sz w:val="20"/>
              </w:rPr>
            </w:pPr>
          </w:p>
        </w:tc>
        <w:tc>
          <w:tcPr>
            <w:tcW w:w="2687" w:type="dxa"/>
          </w:tcPr>
          <w:p>
            <w:pPr>
              <w:pStyle w:val="TableParagraph"/>
              <w:rPr>
                <w:rFonts w:ascii="Times New Roman"/>
                <w:sz w:val="20"/>
              </w:rPr>
            </w:pPr>
          </w:p>
        </w:tc>
        <w:tc>
          <w:tcPr>
            <w:tcW w:w="983" w:type="dxa"/>
            <w:vMerge w:val="restart"/>
          </w:tcPr>
          <w:p>
            <w:pPr>
              <w:pStyle w:val="TableParagraph"/>
              <w:rPr>
                <w:sz w:val="22"/>
              </w:rPr>
            </w:pPr>
          </w:p>
          <w:p>
            <w:pPr>
              <w:pStyle w:val="TableParagraph"/>
              <w:spacing w:before="1"/>
              <w:rPr>
                <w:sz w:val="22"/>
              </w:rPr>
            </w:pPr>
          </w:p>
          <w:p>
            <w:pPr>
              <w:pStyle w:val="TableParagraph"/>
              <w:spacing w:before="1"/>
              <w:ind w:left="184"/>
              <w:rPr>
                <w:sz w:val="22"/>
              </w:rPr>
            </w:pPr>
            <w:r>
              <w:rPr>
                <w:color w:val="525252"/>
                <w:sz w:val="22"/>
              </w:rPr>
              <w:t>王子惠</w:t>
            </w:r>
          </w:p>
        </w:tc>
      </w:tr>
      <w:tr>
        <w:trPr>
          <w:trHeight w:val="489" w:hRule="atLeast"/>
        </w:trPr>
        <w:tc>
          <w:tcPr>
            <w:tcW w:w="1271" w:type="dxa"/>
            <w:vMerge/>
            <w:tcBorders>
              <w:top w:val="nil"/>
            </w:tcBorders>
          </w:tcPr>
          <w:p>
            <w:pPr>
              <w:rPr>
                <w:sz w:val="2"/>
                <w:szCs w:val="2"/>
              </w:rPr>
            </w:pPr>
          </w:p>
        </w:tc>
        <w:tc>
          <w:tcPr>
            <w:tcW w:w="1423" w:type="dxa"/>
          </w:tcPr>
          <w:p>
            <w:pPr>
              <w:pStyle w:val="TableParagraph"/>
              <w:spacing w:before="164"/>
              <w:ind w:left="36" w:right="51"/>
              <w:jc w:val="center"/>
              <w:rPr>
                <w:rFonts w:ascii="Times New Roman"/>
                <w:sz w:val="21"/>
              </w:rPr>
            </w:pPr>
            <w:r>
              <w:rPr>
                <w:rFonts w:ascii="Times New Roman"/>
                <w:color w:val="3A3A3A"/>
                <w:w w:val="110"/>
                <w:sz w:val="21"/>
              </w:rPr>
              <w:t>08:40-08:50</w:t>
            </w:r>
          </w:p>
        </w:tc>
        <w:tc>
          <w:tcPr>
            <w:tcW w:w="2550" w:type="dxa"/>
          </w:tcPr>
          <w:p>
            <w:pPr>
              <w:pStyle w:val="TableParagraph"/>
              <w:spacing w:before="10"/>
              <w:rPr>
                <w:sz w:val="13"/>
              </w:rPr>
            </w:pPr>
          </w:p>
          <w:p>
            <w:pPr>
              <w:pStyle w:val="TableParagraph"/>
              <w:ind w:left="116"/>
              <w:rPr>
                <w:sz w:val="19"/>
              </w:rPr>
            </w:pPr>
            <w:r>
              <w:rPr>
                <w:color w:val="525252"/>
                <w:w w:val="110"/>
                <w:sz w:val="19"/>
              </w:rPr>
              <w:t>点亮中国启动仪式</w:t>
            </w:r>
          </w:p>
        </w:tc>
        <w:tc>
          <w:tcPr>
            <w:tcW w:w="990" w:type="dxa"/>
          </w:tcPr>
          <w:p>
            <w:pPr>
              <w:pStyle w:val="TableParagraph"/>
              <w:rPr>
                <w:rFonts w:ascii="Times New Roman"/>
                <w:sz w:val="20"/>
              </w:rPr>
            </w:pPr>
          </w:p>
        </w:tc>
        <w:tc>
          <w:tcPr>
            <w:tcW w:w="2687" w:type="dxa"/>
          </w:tcPr>
          <w:p>
            <w:pPr>
              <w:pStyle w:val="TableParagraph"/>
              <w:rPr>
                <w:rFonts w:ascii="Times New Roman"/>
                <w:sz w:val="20"/>
              </w:rPr>
            </w:pPr>
          </w:p>
        </w:tc>
        <w:tc>
          <w:tcPr>
            <w:tcW w:w="983" w:type="dxa"/>
            <w:vMerge/>
            <w:tcBorders>
              <w:top w:val="nil"/>
            </w:tcBorders>
          </w:tcPr>
          <w:p>
            <w:pPr>
              <w:rPr>
                <w:sz w:val="2"/>
                <w:szCs w:val="2"/>
              </w:rPr>
            </w:pPr>
          </w:p>
        </w:tc>
      </w:tr>
      <w:tr>
        <w:trPr>
          <w:trHeight w:val="359" w:hRule="atLeast"/>
        </w:trPr>
        <w:tc>
          <w:tcPr>
            <w:tcW w:w="1271" w:type="dxa"/>
            <w:vMerge/>
            <w:tcBorders>
              <w:top w:val="nil"/>
            </w:tcBorders>
          </w:tcPr>
          <w:p>
            <w:pPr>
              <w:rPr>
                <w:sz w:val="2"/>
                <w:szCs w:val="2"/>
              </w:rPr>
            </w:pPr>
          </w:p>
        </w:tc>
        <w:tc>
          <w:tcPr>
            <w:tcW w:w="1423" w:type="dxa"/>
          </w:tcPr>
          <w:p>
            <w:pPr>
              <w:pStyle w:val="TableParagraph"/>
              <w:spacing w:line="240" w:lineRule="exact" w:before="99"/>
              <w:ind w:left="50" w:right="44"/>
              <w:jc w:val="center"/>
              <w:rPr>
                <w:rFonts w:ascii="Times New Roman"/>
                <w:sz w:val="21"/>
              </w:rPr>
            </w:pPr>
            <w:r>
              <w:rPr>
                <w:rFonts w:ascii="Times New Roman"/>
                <w:color w:val="3A3A3A"/>
                <w:w w:val="110"/>
                <w:sz w:val="21"/>
              </w:rPr>
              <w:t>08</w:t>
            </w:r>
            <w:r>
              <w:rPr>
                <w:rFonts w:ascii="Times New Roman"/>
                <w:color w:val="131313"/>
                <w:w w:val="110"/>
                <w:sz w:val="21"/>
              </w:rPr>
              <w:t>: </w:t>
            </w:r>
            <w:r>
              <w:rPr>
                <w:rFonts w:ascii="Times New Roman"/>
                <w:color w:val="525252"/>
                <w:w w:val="110"/>
                <w:sz w:val="21"/>
              </w:rPr>
              <w:t>50-09: 00</w:t>
            </w:r>
          </w:p>
        </w:tc>
        <w:tc>
          <w:tcPr>
            <w:tcW w:w="2550" w:type="dxa"/>
          </w:tcPr>
          <w:p>
            <w:pPr>
              <w:pStyle w:val="TableParagraph"/>
              <w:spacing w:line="227" w:lineRule="exact" w:before="112"/>
              <w:ind w:left="124"/>
              <w:rPr>
                <w:sz w:val="19"/>
              </w:rPr>
            </w:pPr>
            <w:r>
              <w:rPr>
                <w:color w:val="525252"/>
                <w:w w:val="105"/>
                <w:sz w:val="19"/>
              </w:rPr>
              <w:t>合影</w:t>
            </w:r>
          </w:p>
        </w:tc>
        <w:tc>
          <w:tcPr>
            <w:tcW w:w="990" w:type="dxa"/>
          </w:tcPr>
          <w:p>
            <w:pPr>
              <w:pStyle w:val="TableParagraph"/>
              <w:rPr>
                <w:rFonts w:ascii="Times New Roman"/>
                <w:sz w:val="20"/>
              </w:rPr>
            </w:pPr>
          </w:p>
        </w:tc>
        <w:tc>
          <w:tcPr>
            <w:tcW w:w="2687" w:type="dxa"/>
          </w:tcPr>
          <w:p>
            <w:pPr>
              <w:pStyle w:val="TableParagraph"/>
              <w:rPr>
                <w:rFonts w:ascii="Times New Roman"/>
                <w:sz w:val="20"/>
              </w:rPr>
            </w:pPr>
          </w:p>
        </w:tc>
        <w:tc>
          <w:tcPr>
            <w:tcW w:w="983" w:type="dxa"/>
            <w:vMerge/>
            <w:tcBorders>
              <w:top w:val="nil"/>
            </w:tcBorders>
          </w:tcPr>
          <w:p>
            <w:pPr>
              <w:rPr>
                <w:sz w:val="2"/>
                <w:szCs w:val="2"/>
              </w:rPr>
            </w:pPr>
          </w:p>
        </w:tc>
      </w:tr>
      <w:tr>
        <w:trPr>
          <w:trHeight w:val="648" w:hRule="atLeast"/>
        </w:trPr>
        <w:tc>
          <w:tcPr>
            <w:tcW w:w="127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20"/>
              </w:rPr>
            </w:pPr>
          </w:p>
          <w:p>
            <w:pPr>
              <w:pStyle w:val="TableParagraph"/>
              <w:ind w:left="171"/>
              <w:rPr>
                <w:rFonts w:ascii="Times New Roman"/>
                <w:sz w:val="21"/>
              </w:rPr>
            </w:pPr>
            <w:r>
              <w:rPr>
                <w:rFonts w:ascii="Times New Roman"/>
                <w:color w:val="525252"/>
                <w:w w:val="105"/>
                <w:sz w:val="21"/>
              </w:rPr>
              <w:t>20</w:t>
            </w:r>
            <w:r>
              <w:rPr>
                <w:rFonts w:ascii="Times New Roman"/>
                <w:color w:val="262626"/>
                <w:w w:val="105"/>
                <w:sz w:val="21"/>
              </w:rPr>
              <w:t>19</w:t>
            </w:r>
            <w:r>
              <w:rPr>
                <w:rFonts w:ascii="Times New Roman"/>
                <w:color w:val="525252"/>
                <w:w w:val="105"/>
                <w:sz w:val="21"/>
              </w:rPr>
              <w:t>/ 8/ </w:t>
            </w:r>
            <w:r>
              <w:rPr>
                <w:rFonts w:ascii="Times New Roman"/>
                <w:color w:val="262626"/>
                <w:w w:val="105"/>
                <w:sz w:val="21"/>
              </w:rPr>
              <w:t>10</w:t>
            </w:r>
          </w:p>
          <w:p>
            <w:pPr>
              <w:pStyle w:val="TableParagraph"/>
              <w:spacing w:before="97"/>
              <w:ind w:left="214"/>
              <w:rPr>
                <w:sz w:val="19"/>
              </w:rPr>
            </w:pPr>
            <w:r>
              <w:rPr>
                <w:color w:val="525252"/>
                <w:sz w:val="19"/>
              </w:rPr>
              <w:t>（主论坛）</w:t>
            </w:r>
          </w:p>
        </w:tc>
        <w:tc>
          <w:tcPr>
            <w:tcW w:w="1423" w:type="dxa"/>
          </w:tcPr>
          <w:p>
            <w:pPr>
              <w:pStyle w:val="TableParagraph"/>
              <w:spacing w:before="12"/>
              <w:rPr>
                <w:sz w:val="18"/>
              </w:rPr>
            </w:pPr>
          </w:p>
          <w:p>
            <w:pPr>
              <w:pStyle w:val="TableParagraph"/>
              <w:ind w:left="36" w:right="51"/>
              <w:jc w:val="center"/>
              <w:rPr>
                <w:rFonts w:ascii="Times New Roman"/>
                <w:sz w:val="21"/>
              </w:rPr>
            </w:pPr>
            <w:r>
              <w:rPr>
                <w:rFonts w:ascii="Times New Roman"/>
                <w:color w:val="3A3A3A"/>
                <w:w w:val="110"/>
                <w:sz w:val="21"/>
              </w:rPr>
              <w:t>09:00-09:30</w:t>
            </w:r>
          </w:p>
        </w:tc>
        <w:tc>
          <w:tcPr>
            <w:tcW w:w="2550" w:type="dxa"/>
          </w:tcPr>
          <w:p>
            <w:pPr>
              <w:pStyle w:val="TableParagraph"/>
              <w:spacing w:before="9"/>
              <w:rPr>
                <w:sz w:val="17"/>
              </w:rPr>
            </w:pPr>
          </w:p>
          <w:p>
            <w:pPr>
              <w:pStyle w:val="TableParagraph"/>
              <w:spacing w:before="1"/>
              <w:ind w:left="115"/>
              <w:rPr>
                <w:sz w:val="19"/>
              </w:rPr>
            </w:pPr>
            <w:r>
              <w:rPr>
                <w:color w:val="525252"/>
                <w:w w:val="110"/>
                <w:sz w:val="19"/>
              </w:rPr>
              <w:t>药政工作新任务</w:t>
            </w:r>
          </w:p>
        </w:tc>
        <w:tc>
          <w:tcPr>
            <w:tcW w:w="990" w:type="dxa"/>
          </w:tcPr>
          <w:p>
            <w:pPr>
              <w:pStyle w:val="TableParagraph"/>
              <w:rPr>
                <w:rFonts w:ascii="Times New Roman"/>
                <w:sz w:val="20"/>
              </w:rPr>
            </w:pPr>
          </w:p>
        </w:tc>
        <w:tc>
          <w:tcPr>
            <w:tcW w:w="2687" w:type="dxa"/>
          </w:tcPr>
          <w:p>
            <w:pPr>
              <w:pStyle w:val="TableParagraph"/>
              <w:spacing w:line="264" w:lineRule="auto" w:before="90"/>
              <w:ind w:left="124" w:right="271" w:hanging="5"/>
              <w:rPr>
                <w:sz w:val="19"/>
              </w:rPr>
            </w:pPr>
            <w:r>
              <w:rPr>
                <w:color w:val="525252"/>
                <w:w w:val="105"/>
                <w:sz w:val="19"/>
              </w:rPr>
              <w:t>国家卫生健康委员会药物</w:t>
            </w:r>
            <w:r>
              <w:rPr>
                <w:color w:val="525252"/>
                <w:w w:val="110"/>
                <w:sz w:val="19"/>
              </w:rPr>
              <w:t>政策与基本药物制度司</w:t>
            </w:r>
          </w:p>
        </w:tc>
        <w:tc>
          <w:tcPr>
            <w:tcW w:w="983" w:type="dxa"/>
            <w:vMerge w:val="restart"/>
          </w:tcPr>
          <w:p>
            <w:pPr>
              <w:pStyle w:val="TableParagraph"/>
              <w:rPr>
                <w:sz w:val="18"/>
              </w:rPr>
            </w:pPr>
          </w:p>
          <w:p>
            <w:pPr>
              <w:pStyle w:val="TableParagraph"/>
              <w:spacing w:before="12"/>
              <w:rPr>
                <w:sz w:val="14"/>
              </w:rPr>
            </w:pPr>
          </w:p>
          <w:p>
            <w:pPr>
              <w:pStyle w:val="TableParagraph"/>
              <w:spacing w:line="333" w:lineRule="auto"/>
              <w:ind w:left="189" w:right="98" w:firstLine="2"/>
              <w:rPr>
                <w:sz w:val="19"/>
              </w:rPr>
            </w:pPr>
            <w:r>
              <w:rPr>
                <w:color w:val="525252"/>
                <w:w w:val="110"/>
                <w:sz w:val="19"/>
              </w:rPr>
              <w:t>葛卫红郭澄</w:t>
            </w:r>
          </w:p>
        </w:tc>
      </w:tr>
      <w:tr>
        <w:trPr>
          <w:trHeight w:val="648" w:hRule="atLeast"/>
        </w:trPr>
        <w:tc>
          <w:tcPr>
            <w:tcW w:w="1271" w:type="dxa"/>
            <w:vMerge/>
            <w:tcBorders>
              <w:top w:val="nil"/>
            </w:tcBorders>
          </w:tcPr>
          <w:p>
            <w:pPr>
              <w:rPr>
                <w:sz w:val="2"/>
                <w:szCs w:val="2"/>
              </w:rPr>
            </w:pPr>
          </w:p>
        </w:tc>
        <w:tc>
          <w:tcPr>
            <w:tcW w:w="1423" w:type="dxa"/>
          </w:tcPr>
          <w:p>
            <w:pPr>
              <w:pStyle w:val="TableParagraph"/>
              <w:spacing w:before="12"/>
              <w:rPr>
                <w:sz w:val="18"/>
              </w:rPr>
            </w:pPr>
          </w:p>
          <w:p>
            <w:pPr>
              <w:pStyle w:val="TableParagraph"/>
              <w:ind w:left="50" w:right="51"/>
              <w:jc w:val="center"/>
              <w:rPr>
                <w:rFonts w:ascii="Times New Roman"/>
                <w:sz w:val="21"/>
              </w:rPr>
            </w:pPr>
            <w:r>
              <w:rPr>
                <w:rFonts w:ascii="Times New Roman"/>
                <w:color w:val="262626"/>
                <w:w w:val="110"/>
                <w:sz w:val="21"/>
              </w:rPr>
              <w:t>0</w:t>
            </w:r>
            <w:r>
              <w:rPr>
                <w:rFonts w:ascii="Times New Roman"/>
                <w:color w:val="525252"/>
                <w:w w:val="110"/>
                <w:sz w:val="21"/>
              </w:rPr>
              <w:t>9</w:t>
            </w:r>
            <w:r>
              <w:rPr>
                <w:rFonts w:ascii="Times New Roman"/>
                <w:color w:val="131313"/>
                <w:w w:val="110"/>
                <w:sz w:val="21"/>
              </w:rPr>
              <w:t>: </w:t>
            </w:r>
            <w:r>
              <w:rPr>
                <w:rFonts w:ascii="Times New Roman"/>
                <w:color w:val="525252"/>
                <w:w w:val="110"/>
                <w:sz w:val="21"/>
              </w:rPr>
              <w:t>30-10: </w:t>
            </w:r>
            <w:r>
              <w:rPr>
                <w:rFonts w:ascii="Times New Roman"/>
                <w:color w:val="3A3A3A"/>
                <w:w w:val="110"/>
                <w:sz w:val="21"/>
              </w:rPr>
              <w:t>00</w:t>
            </w:r>
          </w:p>
        </w:tc>
        <w:tc>
          <w:tcPr>
            <w:tcW w:w="2550" w:type="dxa"/>
          </w:tcPr>
          <w:p>
            <w:pPr>
              <w:pStyle w:val="TableParagraph"/>
              <w:spacing w:line="249" w:lineRule="auto" w:before="105"/>
              <w:ind w:left="116" w:right="121" w:hanging="5"/>
              <w:rPr>
                <w:sz w:val="19"/>
              </w:rPr>
            </w:pPr>
            <w:r>
              <w:rPr>
                <w:color w:val="525252"/>
                <w:w w:val="105"/>
                <w:sz w:val="19"/>
              </w:rPr>
              <w:t>公立医院改革下的药学服</w:t>
            </w:r>
            <w:r>
              <w:rPr>
                <w:color w:val="525252"/>
                <w:w w:val="110"/>
                <w:sz w:val="19"/>
              </w:rPr>
              <w:t>务</w:t>
            </w:r>
          </w:p>
        </w:tc>
        <w:tc>
          <w:tcPr>
            <w:tcW w:w="990" w:type="dxa"/>
          </w:tcPr>
          <w:p>
            <w:pPr>
              <w:pStyle w:val="TableParagraph"/>
              <w:rPr>
                <w:rFonts w:ascii="Times New Roman"/>
                <w:sz w:val="20"/>
              </w:rPr>
            </w:pPr>
          </w:p>
        </w:tc>
        <w:tc>
          <w:tcPr>
            <w:tcW w:w="2687" w:type="dxa"/>
          </w:tcPr>
          <w:p>
            <w:pPr>
              <w:pStyle w:val="TableParagraph"/>
              <w:spacing w:line="249" w:lineRule="auto" w:before="105"/>
              <w:ind w:left="124" w:right="271" w:hanging="5"/>
              <w:rPr>
                <w:sz w:val="19"/>
              </w:rPr>
            </w:pPr>
            <w:r>
              <w:rPr>
                <w:color w:val="525252"/>
                <w:w w:val="105"/>
                <w:sz w:val="19"/>
              </w:rPr>
              <w:t>国家卫生健康委员会体制</w:t>
            </w:r>
            <w:r>
              <w:rPr>
                <w:color w:val="525252"/>
                <w:w w:val="110"/>
                <w:sz w:val="19"/>
              </w:rPr>
              <w:t>改革司</w:t>
            </w:r>
          </w:p>
        </w:tc>
        <w:tc>
          <w:tcPr>
            <w:tcW w:w="983" w:type="dxa"/>
            <w:vMerge/>
            <w:tcBorders>
              <w:top w:val="nil"/>
            </w:tcBorders>
          </w:tcPr>
          <w:p>
            <w:pPr>
              <w:rPr>
                <w:sz w:val="2"/>
                <w:szCs w:val="2"/>
              </w:rPr>
            </w:pPr>
          </w:p>
        </w:tc>
      </w:tr>
      <w:tr>
        <w:trPr>
          <w:trHeight w:val="611" w:hRule="atLeast"/>
        </w:trPr>
        <w:tc>
          <w:tcPr>
            <w:tcW w:w="1271" w:type="dxa"/>
            <w:vMerge/>
            <w:tcBorders>
              <w:top w:val="nil"/>
            </w:tcBorders>
          </w:tcPr>
          <w:p>
            <w:pPr>
              <w:rPr>
                <w:sz w:val="2"/>
                <w:szCs w:val="2"/>
              </w:rPr>
            </w:pPr>
          </w:p>
        </w:tc>
        <w:tc>
          <w:tcPr>
            <w:tcW w:w="1423" w:type="dxa"/>
          </w:tcPr>
          <w:p>
            <w:pPr>
              <w:pStyle w:val="TableParagraph"/>
              <w:spacing w:before="3"/>
              <w:rPr>
                <w:sz w:val="17"/>
              </w:rPr>
            </w:pPr>
          </w:p>
          <w:p>
            <w:pPr>
              <w:pStyle w:val="TableParagraph"/>
              <w:spacing w:before="1"/>
              <w:ind w:left="41" w:right="51"/>
              <w:jc w:val="center"/>
              <w:rPr>
                <w:rFonts w:ascii="Times New Roman"/>
                <w:sz w:val="21"/>
              </w:rPr>
            </w:pPr>
            <w:r>
              <w:rPr>
                <w:rFonts w:ascii="Times New Roman"/>
                <w:color w:val="3A3A3A"/>
                <w:sz w:val="21"/>
              </w:rPr>
              <w:t>10: 00-10: </w:t>
            </w:r>
            <w:r>
              <w:rPr>
                <w:rFonts w:ascii="Times New Roman"/>
                <w:color w:val="525252"/>
                <w:sz w:val="21"/>
              </w:rPr>
              <w:t>30</w:t>
            </w:r>
          </w:p>
        </w:tc>
        <w:tc>
          <w:tcPr>
            <w:tcW w:w="2550" w:type="dxa"/>
          </w:tcPr>
          <w:p>
            <w:pPr>
              <w:pStyle w:val="TableParagraph"/>
              <w:spacing w:line="249" w:lineRule="auto" w:before="83"/>
              <w:ind w:left="115" w:right="130" w:firstLine="7"/>
              <w:rPr>
                <w:sz w:val="19"/>
              </w:rPr>
            </w:pPr>
            <w:r>
              <w:rPr>
                <w:color w:val="525252"/>
                <w:w w:val="105"/>
                <w:sz w:val="19"/>
              </w:rPr>
              <w:t>医药卫生领域国家科技重</w:t>
            </w:r>
            <w:r>
              <w:rPr>
                <w:color w:val="525252"/>
                <w:w w:val="110"/>
                <w:sz w:val="19"/>
              </w:rPr>
              <w:t>大专项进展</w:t>
            </w:r>
          </w:p>
        </w:tc>
        <w:tc>
          <w:tcPr>
            <w:tcW w:w="990" w:type="dxa"/>
          </w:tcPr>
          <w:p>
            <w:pPr>
              <w:pStyle w:val="TableParagraph"/>
              <w:rPr>
                <w:rFonts w:ascii="Times New Roman"/>
                <w:sz w:val="20"/>
              </w:rPr>
            </w:pPr>
          </w:p>
        </w:tc>
        <w:tc>
          <w:tcPr>
            <w:tcW w:w="2687" w:type="dxa"/>
          </w:tcPr>
          <w:p>
            <w:pPr>
              <w:pStyle w:val="TableParagraph"/>
              <w:spacing w:line="249" w:lineRule="auto" w:before="83"/>
              <w:ind w:left="114" w:right="271" w:firstLine="5"/>
              <w:rPr>
                <w:sz w:val="19"/>
              </w:rPr>
            </w:pPr>
            <w:r>
              <w:rPr>
                <w:color w:val="3A3A3A"/>
                <w:w w:val="105"/>
                <w:sz w:val="19"/>
              </w:rPr>
              <w:t>国家卫生健康委员会科技</w:t>
            </w:r>
            <w:r>
              <w:rPr>
                <w:color w:val="525252"/>
                <w:w w:val="110"/>
                <w:sz w:val="19"/>
              </w:rPr>
              <w:t>教育司</w:t>
            </w:r>
          </w:p>
        </w:tc>
        <w:tc>
          <w:tcPr>
            <w:tcW w:w="983" w:type="dxa"/>
            <w:vMerge w:val="restart"/>
          </w:tcPr>
          <w:p>
            <w:pPr>
              <w:pStyle w:val="TableParagraph"/>
              <w:rPr>
                <w:sz w:val="18"/>
              </w:rPr>
            </w:pPr>
          </w:p>
          <w:p>
            <w:pPr>
              <w:pStyle w:val="TableParagraph"/>
              <w:rPr>
                <w:sz w:val="18"/>
              </w:rPr>
            </w:pPr>
          </w:p>
          <w:p>
            <w:pPr>
              <w:pStyle w:val="TableParagraph"/>
              <w:rPr>
                <w:sz w:val="20"/>
              </w:rPr>
            </w:pPr>
          </w:p>
          <w:p>
            <w:pPr>
              <w:pStyle w:val="TableParagraph"/>
              <w:spacing w:line="340" w:lineRule="auto"/>
              <w:ind w:left="192" w:right="97" w:firstLine="1"/>
              <w:rPr>
                <w:sz w:val="19"/>
              </w:rPr>
            </w:pPr>
            <w:r>
              <w:rPr>
                <w:color w:val="525252"/>
                <w:w w:val="105"/>
                <w:sz w:val="19"/>
              </w:rPr>
              <w:t>李国辉</w:t>
            </w:r>
            <w:r>
              <w:rPr>
                <w:color w:val="525252"/>
                <w:w w:val="110"/>
                <w:sz w:val="19"/>
              </w:rPr>
              <w:t>曹俊岭</w:t>
            </w:r>
          </w:p>
        </w:tc>
      </w:tr>
      <w:tr>
        <w:trPr>
          <w:trHeight w:val="640" w:hRule="atLeast"/>
        </w:trPr>
        <w:tc>
          <w:tcPr>
            <w:tcW w:w="1271" w:type="dxa"/>
            <w:vMerge/>
            <w:tcBorders>
              <w:top w:val="nil"/>
            </w:tcBorders>
          </w:tcPr>
          <w:p>
            <w:pPr>
              <w:rPr>
                <w:sz w:val="2"/>
                <w:szCs w:val="2"/>
              </w:rPr>
            </w:pPr>
          </w:p>
        </w:tc>
        <w:tc>
          <w:tcPr>
            <w:tcW w:w="1423" w:type="dxa"/>
          </w:tcPr>
          <w:p>
            <w:pPr>
              <w:pStyle w:val="TableParagraph"/>
              <w:spacing w:before="5"/>
              <w:rPr>
                <w:sz w:val="18"/>
              </w:rPr>
            </w:pPr>
          </w:p>
          <w:p>
            <w:pPr>
              <w:pStyle w:val="TableParagraph"/>
              <w:ind w:left="50" w:right="51"/>
              <w:jc w:val="center"/>
              <w:rPr>
                <w:rFonts w:ascii="Times New Roman"/>
                <w:sz w:val="21"/>
              </w:rPr>
            </w:pPr>
            <w:r>
              <w:rPr>
                <w:rFonts w:ascii="Times New Roman"/>
                <w:color w:val="131313"/>
                <w:w w:val="110"/>
                <w:sz w:val="21"/>
              </w:rPr>
              <w:t>1</w:t>
            </w:r>
            <w:r>
              <w:rPr>
                <w:rFonts w:ascii="Times New Roman"/>
                <w:color w:val="3A3A3A"/>
                <w:w w:val="110"/>
                <w:sz w:val="21"/>
              </w:rPr>
              <w:t>0: 30-</w:t>
            </w:r>
            <w:r>
              <w:rPr>
                <w:rFonts w:ascii="Times New Roman"/>
                <w:color w:val="131313"/>
                <w:w w:val="110"/>
                <w:sz w:val="21"/>
              </w:rPr>
              <w:t>11</w:t>
            </w:r>
            <w:r>
              <w:rPr>
                <w:rFonts w:ascii="Times New Roman"/>
                <w:color w:val="3A3A3A"/>
                <w:w w:val="110"/>
                <w:sz w:val="21"/>
              </w:rPr>
              <w:t>: 00</w:t>
            </w:r>
          </w:p>
        </w:tc>
        <w:tc>
          <w:tcPr>
            <w:tcW w:w="2550" w:type="dxa"/>
          </w:tcPr>
          <w:p>
            <w:pPr>
              <w:pStyle w:val="TableParagraph"/>
              <w:spacing w:before="2"/>
              <w:rPr>
                <w:sz w:val="17"/>
              </w:rPr>
            </w:pPr>
          </w:p>
          <w:p>
            <w:pPr>
              <w:pStyle w:val="TableParagraph"/>
              <w:ind w:left="115"/>
              <w:rPr>
                <w:sz w:val="19"/>
              </w:rPr>
            </w:pPr>
            <w:r>
              <w:rPr>
                <w:color w:val="525252"/>
                <w:w w:val="110"/>
                <w:sz w:val="19"/>
              </w:rPr>
              <w:t>药学服务模式转型</w:t>
            </w:r>
          </w:p>
        </w:tc>
        <w:tc>
          <w:tcPr>
            <w:tcW w:w="990" w:type="dxa"/>
          </w:tcPr>
          <w:p>
            <w:pPr>
              <w:pStyle w:val="TableParagraph"/>
              <w:spacing w:before="9"/>
              <w:rPr>
                <w:sz w:val="17"/>
              </w:rPr>
            </w:pPr>
          </w:p>
          <w:p>
            <w:pPr>
              <w:pStyle w:val="TableParagraph"/>
              <w:spacing w:before="1"/>
              <w:ind w:left="197"/>
              <w:rPr>
                <w:sz w:val="19"/>
              </w:rPr>
            </w:pPr>
            <w:r>
              <w:rPr>
                <w:color w:val="525252"/>
                <w:w w:val="110"/>
                <w:sz w:val="19"/>
              </w:rPr>
              <w:t>刘丽宏</w:t>
            </w:r>
          </w:p>
        </w:tc>
        <w:tc>
          <w:tcPr>
            <w:tcW w:w="2687" w:type="dxa"/>
          </w:tcPr>
          <w:p>
            <w:pPr>
              <w:pStyle w:val="TableParagraph"/>
              <w:spacing w:line="264" w:lineRule="auto" w:before="83"/>
              <w:ind w:left="124" w:right="469" w:firstLine="3"/>
              <w:rPr>
                <w:sz w:val="19"/>
              </w:rPr>
            </w:pPr>
            <w:r>
              <w:rPr>
                <w:color w:val="3A3A3A"/>
                <w:w w:val="105"/>
                <w:sz w:val="19"/>
              </w:rPr>
              <w:t>首都医科大学附属北京</w:t>
            </w:r>
            <w:r>
              <w:rPr>
                <w:color w:val="525252"/>
                <w:w w:val="110"/>
                <w:sz w:val="19"/>
              </w:rPr>
              <w:t>朝阳医院</w:t>
            </w:r>
          </w:p>
        </w:tc>
        <w:tc>
          <w:tcPr>
            <w:tcW w:w="983" w:type="dxa"/>
            <w:vMerge/>
            <w:tcBorders>
              <w:top w:val="nil"/>
            </w:tcBorders>
          </w:tcPr>
          <w:p>
            <w:pPr>
              <w:rPr>
                <w:sz w:val="2"/>
                <w:szCs w:val="2"/>
              </w:rPr>
            </w:pPr>
          </w:p>
        </w:tc>
      </w:tr>
      <w:tr>
        <w:trPr>
          <w:trHeight w:val="626" w:hRule="atLeast"/>
        </w:trPr>
        <w:tc>
          <w:tcPr>
            <w:tcW w:w="1271" w:type="dxa"/>
            <w:vMerge/>
            <w:tcBorders>
              <w:top w:val="nil"/>
            </w:tcBorders>
          </w:tcPr>
          <w:p>
            <w:pPr>
              <w:rPr>
                <w:sz w:val="2"/>
                <w:szCs w:val="2"/>
              </w:rPr>
            </w:pPr>
          </w:p>
        </w:tc>
        <w:tc>
          <w:tcPr>
            <w:tcW w:w="1423" w:type="dxa"/>
          </w:tcPr>
          <w:p>
            <w:pPr>
              <w:pStyle w:val="TableParagraph"/>
              <w:spacing w:before="11"/>
              <w:rPr>
                <w:sz w:val="17"/>
              </w:rPr>
            </w:pPr>
          </w:p>
          <w:p>
            <w:pPr>
              <w:pStyle w:val="TableParagraph"/>
              <w:ind w:left="43" w:right="51"/>
              <w:jc w:val="center"/>
              <w:rPr>
                <w:rFonts w:ascii="Times New Roman"/>
                <w:sz w:val="21"/>
              </w:rPr>
            </w:pPr>
            <w:r>
              <w:rPr>
                <w:rFonts w:ascii="Times New Roman"/>
                <w:color w:val="3A3A3A"/>
                <w:w w:val="110"/>
                <w:sz w:val="21"/>
              </w:rPr>
              <w:t>11</w:t>
            </w:r>
            <w:r>
              <w:rPr>
                <w:rFonts w:ascii="Times New Roman"/>
                <w:color w:val="131313"/>
                <w:w w:val="110"/>
                <w:sz w:val="21"/>
              </w:rPr>
              <w:t>: </w:t>
            </w:r>
            <w:r>
              <w:rPr>
                <w:rFonts w:ascii="Times New Roman"/>
                <w:color w:val="3A3A3A"/>
                <w:w w:val="110"/>
                <w:sz w:val="21"/>
              </w:rPr>
              <w:t>00-11</w:t>
            </w:r>
            <w:r>
              <w:rPr>
                <w:rFonts w:ascii="Times New Roman"/>
                <w:color w:val="262626"/>
                <w:w w:val="110"/>
                <w:sz w:val="21"/>
              </w:rPr>
              <w:t>: </w:t>
            </w:r>
            <w:r>
              <w:rPr>
                <w:rFonts w:ascii="Times New Roman"/>
                <w:color w:val="525252"/>
                <w:w w:val="110"/>
                <w:sz w:val="21"/>
              </w:rPr>
              <w:t>3</w:t>
            </w:r>
            <w:r>
              <w:rPr>
                <w:rFonts w:ascii="Times New Roman"/>
                <w:color w:val="262626"/>
                <w:w w:val="110"/>
                <w:sz w:val="21"/>
              </w:rPr>
              <w:t>0</w:t>
            </w:r>
          </w:p>
        </w:tc>
        <w:tc>
          <w:tcPr>
            <w:tcW w:w="2550" w:type="dxa"/>
          </w:tcPr>
          <w:p>
            <w:pPr>
              <w:pStyle w:val="TableParagraph"/>
              <w:spacing w:line="249" w:lineRule="auto" w:before="83"/>
              <w:ind w:left="116" w:right="137"/>
              <w:rPr>
                <w:sz w:val="19"/>
              </w:rPr>
            </w:pPr>
            <w:r>
              <w:rPr>
                <w:color w:val="525252"/>
                <w:w w:val="105"/>
                <w:sz w:val="19"/>
              </w:rPr>
              <w:t>哇诺酮类抗菌药物临床应</w:t>
            </w:r>
            <w:r>
              <w:rPr>
                <w:color w:val="525252"/>
                <w:w w:val="110"/>
                <w:sz w:val="19"/>
              </w:rPr>
              <w:t>用再评价</w:t>
            </w:r>
          </w:p>
        </w:tc>
        <w:tc>
          <w:tcPr>
            <w:tcW w:w="990" w:type="dxa"/>
          </w:tcPr>
          <w:p>
            <w:pPr>
              <w:pStyle w:val="TableParagraph"/>
              <w:spacing w:before="183"/>
              <w:ind w:left="193"/>
              <w:rPr>
                <w:sz w:val="22"/>
              </w:rPr>
            </w:pPr>
            <w:r>
              <w:rPr>
                <w:color w:val="525252"/>
                <w:sz w:val="22"/>
              </w:rPr>
              <w:t>王明贵</w:t>
            </w:r>
          </w:p>
        </w:tc>
        <w:tc>
          <w:tcPr>
            <w:tcW w:w="2687" w:type="dxa"/>
          </w:tcPr>
          <w:p>
            <w:pPr>
              <w:pStyle w:val="TableParagraph"/>
              <w:spacing w:line="256" w:lineRule="auto" w:before="83"/>
              <w:ind w:left="123" w:right="471" w:firstLine="2"/>
              <w:rPr>
                <w:sz w:val="19"/>
              </w:rPr>
            </w:pPr>
            <w:r>
              <w:rPr>
                <w:color w:val="3A3A3A"/>
                <w:w w:val="105"/>
                <w:sz w:val="19"/>
              </w:rPr>
              <w:t>复旦大学附属华山医院</w:t>
            </w:r>
            <w:r>
              <w:rPr>
                <w:color w:val="525252"/>
                <w:w w:val="110"/>
                <w:sz w:val="19"/>
              </w:rPr>
              <w:t>抗生素研究所</w:t>
            </w:r>
          </w:p>
        </w:tc>
        <w:tc>
          <w:tcPr>
            <w:tcW w:w="983" w:type="dxa"/>
            <w:vMerge/>
            <w:tcBorders>
              <w:top w:val="nil"/>
            </w:tcBorders>
          </w:tcPr>
          <w:p>
            <w:pPr>
              <w:rPr>
                <w:sz w:val="2"/>
                <w:szCs w:val="2"/>
              </w:rPr>
            </w:pPr>
          </w:p>
        </w:tc>
      </w:tr>
      <w:tr>
        <w:trPr>
          <w:trHeight w:val="611" w:hRule="atLeast"/>
        </w:trPr>
        <w:tc>
          <w:tcPr>
            <w:tcW w:w="1271" w:type="dxa"/>
          </w:tcPr>
          <w:p>
            <w:pPr>
              <w:pStyle w:val="TableParagraph"/>
              <w:spacing w:before="202"/>
              <w:ind w:right="317"/>
              <w:jc w:val="right"/>
              <w:rPr>
                <w:sz w:val="28"/>
              </w:rPr>
            </w:pPr>
            <w:r>
              <w:rPr>
                <w:color w:val="131313"/>
                <w:w w:val="95"/>
                <w:sz w:val="28"/>
              </w:rPr>
              <w:t>日期</w:t>
            </w:r>
          </w:p>
        </w:tc>
        <w:tc>
          <w:tcPr>
            <w:tcW w:w="1423" w:type="dxa"/>
          </w:tcPr>
          <w:p>
            <w:pPr>
              <w:pStyle w:val="TableParagraph"/>
              <w:spacing w:before="202"/>
              <w:ind w:left="50" w:right="17"/>
              <w:jc w:val="center"/>
              <w:rPr>
                <w:sz w:val="28"/>
              </w:rPr>
            </w:pPr>
            <w:r>
              <w:rPr>
                <w:color w:val="131313"/>
                <w:sz w:val="28"/>
              </w:rPr>
              <w:t>时间</w:t>
            </w:r>
          </w:p>
        </w:tc>
        <w:tc>
          <w:tcPr>
            <w:tcW w:w="2550" w:type="dxa"/>
          </w:tcPr>
          <w:p>
            <w:pPr>
              <w:pStyle w:val="TableParagraph"/>
              <w:spacing w:before="202"/>
              <w:ind w:left="982" w:right="937"/>
              <w:jc w:val="center"/>
              <w:rPr>
                <w:sz w:val="28"/>
              </w:rPr>
            </w:pPr>
            <w:r>
              <w:rPr>
                <w:color w:val="131313"/>
                <w:sz w:val="28"/>
              </w:rPr>
              <w:t>主题</w:t>
            </w:r>
          </w:p>
        </w:tc>
        <w:tc>
          <w:tcPr>
            <w:tcW w:w="990" w:type="dxa"/>
          </w:tcPr>
          <w:p>
            <w:pPr>
              <w:pStyle w:val="TableParagraph"/>
              <w:spacing w:line="318" w:lineRule="exact" w:before="4"/>
              <w:ind w:left="236" w:right="112" w:hanging="6"/>
              <w:rPr>
                <w:sz w:val="26"/>
              </w:rPr>
            </w:pPr>
            <w:r>
              <w:rPr>
                <w:color w:val="131313"/>
                <w:w w:val="110"/>
                <w:sz w:val="26"/>
              </w:rPr>
              <w:t>评审专家</w:t>
            </w:r>
          </w:p>
        </w:tc>
        <w:tc>
          <w:tcPr>
            <w:tcW w:w="2687" w:type="dxa"/>
          </w:tcPr>
          <w:p>
            <w:pPr>
              <w:pStyle w:val="TableParagraph"/>
              <w:spacing w:before="222"/>
              <w:ind w:left="1054" w:right="990"/>
              <w:jc w:val="center"/>
              <w:rPr>
                <w:sz w:val="26"/>
              </w:rPr>
            </w:pPr>
            <w:r>
              <w:rPr>
                <w:color w:val="131313"/>
                <w:w w:val="110"/>
                <w:sz w:val="26"/>
              </w:rPr>
              <w:t>单位</w:t>
            </w:r>
          </w:p>
        </w:tc>
        <w:tc>
          <w:tcPr>
            <w:tcW w:w="983" w:type="dxa"/>
          </w:tcPr>
          <w:p>
            <w:pPr>
              <w:pStyle w:val="TableParagraph"/>
              <w:rPr>
                <w:rFonts w:ascii="Times New Roman"/>
                <w:sz w:val="20"/>
              </w:rPr>
            </w:pPr>
          </w:p>
        </w:tc>
      </w:tr>
      <w:tr>
        <w:trPr>
          <w:trHeight w:val="439" w:hRule="atLeast"/>
        </w:trPr>
        <w:tc>
          <w:tcPr>
            <w:tcW w:w="1271"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8"/>
              </w:rPr>
            </w:pPr>
          </w:p>
          <w:p>
            <w:pPr>
              <w:pStyle w:val="TableParagraph"/>
              <w:ind w:left="164"/>
              <w:rPr>
                <w:rFonts w:ascii="Times New Roman"/>
                <w:sz w:val="21"/>
              </w:rPr>
            </w:pPr>
            <w:r>
              <w:rPr>
                <w:rFonts w:ascii="Times New Roman"/>
                <w:color w:val="525252"/>
                <w:w w:val="110"/>
                <w:sz w:val="21"/>
              </w:rPr>
              <w:t>20</w:t>
            </w:r>
            <w:r>
              <w:rPr>
                <w:rFonts w:ascii="Times New Roman"/>
                <w:color w:val="262626"/>
                <w:w w:val="110"/>
                <w:sz w:val="21"/>
              </w:rPr>
              <w:t>1</w:t>
            </w:r>
            <w:r>
              <w:rPr>
                <w:rFonts w:ascii="Times New Roman"/>
                <w:color w:val="525252"/>
                <w:w w:val="110"/>
                <w:sz w:val="21"/>
              </w:rPr>
              <w:t>9</w:t>
            </w:r>
            <w:r>
              <w:rPr>
                <w:rFonts w:ascii="Times New Roman"/>
                <w:color w:val="707070"/>
                <w:w w:val="110"/>
                <w:sz w:val="21"/>
              </w:rPr>
              <w:t>/ </w:t>
            </w:r>
            <w:r>
              <w:rPr>
                <w:rFonts w:ascii="Times New Roman"/>
                <w:color w:val="525252"/>
                <w:w w:val="110"/>
                <w:sz w:val="21"/>
              </w:rPr>
              <w:t>8</w:t>
            </w:r>
            <w:r>
              <w:rPr>
                <w:rFonts w:ascii="Times New Roman"/>
                <w:color w:val="707070"/>
                <w:w w:val="110"/>
                <w:sz w:val="21"/>
              </w:rPr>
              <w:t>/ </w:t>
            </w:r>
            <w:r>
              <w:rPr>
                <w:rFonts w:ascii="Times New Roman"/>
                <w:color w:val="525252"/>
                <w:w w:val="110"/>
                <w:sz w:val="21"/>
              </w:rPr>
              <w:t>10</w:t>
            </w:r>
          </w:p>
          <w:p>
            <w:pPr>
              <w:pStyle w:val="TableParagraph"/>
              <w:spacing w:line="340" w:lineRule="auto" w:before="97"/>
              <w:ind w:left="434" w:right="46" w:hanging="228"/>
              <w:rPr>
                <w:sz w:val="19"/>
              </w:rPr>
            </w:pPr>
            <w:r>
              <w:rPr>
                <w:color w:val="525252"/>
                <w:sz w:val="19"/>
              </w:rPr>
              <w:t>（现场脱口秀）</w:t>
            </w:r>
          </w:p>
        </w:tc>
        <w:tc>
          <w:tcPr>
            <w:tcW w:w="142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ind w:left="108"/>
              <w:rPr>
                <w:rFonts w:ascii="Times New Roman"/>
                <w:sz w:val="21"/>
              </w:rPr>
            </w:pPr>
            <w:r>
              <w:rPr>
                <w:rFonts w:ascii="Times New Roman"/>
                <w:color w:val="131313"/>
                <w:w w:val="105"/>
                <w:sz w:val="21"/>
              </w:rPr>
              <w:t>11: </w:t>
            </w:r>
            <w:r>
              <w:rPr>
                <w:rFonts w:ascii="Times New Roman"/>
                <w:color w:val="525252"/>
                <w:w w:val="105"/>
                <w:sz w:val="21"/>
              </w:rPr>
              <w:t>30-</w:t>
            </w:r>
            <w:r>
              <w:rPr>
                <w:rFonts w:ascii="Times New Roman"/>
                <w:color w:val="131313"/>
                <w:w w:val="105"/>
                <w:sz w:val="21"/>
              </w:rPr>
              <w:t>12</w:t>
            </w:r>
            <w:r>
              <w:rPr>
                <w:rFonts w:ascii="Times New Roman"/>
                <w:color w:val="3A3A3A"/>
                <w:w w:val="105"/>
                <w:sz w:val="21"/>
              </w:rPr>
              <w:t>: </w:t>
            </w:r>
            <w:r>
              <w:rPr>
                <w:rFonts w:ascii="Times New Roman"/>
                <w:color w:val="262626"/>
                <w:w w:val="105"/>
                <w:sz w:val="21"/>
              </w:rPr>
              <w:t>10</w:t>
            </w:r>
          </w:p>
        </w:tc>
        <w:tc>
          <w:tcPr>
            <w:tcW w:w="2550" w:type="dxa"/>
            <w:vMerge w:val="restart"/>
          </w:tcPr>
          <w:p>
            <w:pPr>
              <w:pStyle w:val="TableParagraph"/>
              <w:spacing w:before="9"/>
              <w:rPr>
                <w:sz w:val="16"/>
              </w:rPr>
            </w:pPr>
          </w:p>
          <w:p>
            <w:pPr>
              <w:pStyle w:val="TableParagraph"/>
              <w:spacing w:line="256" w:lineRule="auto"/>
              <w:ind w:left="117" w:right="236" w:firstLine="5"/>
              <w:rPr>
                <w:sz w:val="19"/>
              </w:rPr>
            </w:pPr>
            <w:r>
              <w:rPr>
                <w:color w:val="525252"/>
                <w:sz w:val="19"/>
              </w:rPr>
              <w:t>药物诊疗进展（新方案、新指南）</w:t>
            </w:r>
          </w:p>
        </w:tc>
        <w:tc>
          <w:tcPr>
            <w:tcW w:w="990" w:type="dxa"/>
          </w:tcPr>
          <w:p>
            <w:pPr>
              <w:pStyle w:val="TableParagraph"/>
              <w:spacing w:before="113"/>
              <w:ind w:left="206"/>
              <w:rPr>
                <w:sz w:val="19"/>
              </w:rPr>
            </w:pPr>
            <w:r>
              <w:rPr>
                <w:color w:val="525252"/>
                <w:w w:val="110"/>
                <w:sz w:val="19"/>
              </w:rPr>
              <w:t>范国荣</w:t>
            </w:r>
          </w:p>
        </w:tc>
        <w:tc>
          <w:tcPr>
            <w:tcW w:w="2687" w:type="dxa"/>
          </w:tcPr>
          <w:p>
            <w:pPr>
              <w:pStyle w:val="TableParagraph"/>
              <w:spacing w:before="106"/>
              <w:ind w:left="122"/>
              <w:rPr>
                <w:sz w:val="19"/>
              </w:rPr>
            </w:pPr>
            <w:r>
              <w:rPr>
                <w:color w:val="525252"/>
                <w:w w:val="110"/>
                <w:sz w:val="19"/>
              </w:rPr>
              <w:t>上海市第一人民医院</w:t>
            </w:r>
          </w:p>
        </w:tc>
        <w:tc>
          <w:tcPr>
            <w:tcW w:w="983" w:type="dxa"/>
            <w:vMerge w:val="restart"/>
          </w:tcPr>
          <w:p>
            <w:pPr>
              <w:pStyle w:val="TableParagraph"/>
              <w:rPr>
                <w:rFonts w:ascii="Times New Roman"/>
                <w:sz w:val="20"/>
              </w:rPr>
            </w:pPr>
          </w:p>
        </w:tc>
      </w:tr>
      <w:tr>
        <w:trPr>
          <w:trHeight w:val="438"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tcBorders>
              <w:top w:val="nil"/>
            </w:tcBorders>
          </w:tcPr>
          <w:p>
            <w:pPr>
              <w:rPr>
                <w:sz w:val="2"/>
                <w:szCs w:val="2"/>
              </w:rPr>
            </w:pPr>
          </w:p>
        </w:tc>
        <w:tc>
          <w:tcPr>
            <w:tcW w:w="990" w:type="dxa"/>
          </w:tcPr>
          <w:p>
            <w:pPr>
              <w:pStyle w:val="TableParagraph"/>
              <w:spacing w:before="96"/>
              <w:ind w:left="193"/>
              <w:rPr>
                <w:sz w:val="22"/>
              </w:rPr>
            </w:pPr>
            <w:r>
              <w:rPr>
                <w:color w:val="525252"/>
                <w:sz w:val="22"/>
              </w:rPr>
              <w:t>王延风</w:t>
            </w:r>
          </w:p>
        </w:tc>
        <w:tc>
          <w:tcPr>
            <w:tcW w:w="2687" w:type="dxa"/>
          </w:tcPr>
          <w:p>
            <w:pPr>
              <w:pStyle w:val="TableParagraph"/>
              <w:spacing w:before="112"/>
              <w:ind w:left="127"/>
              <w:rPr>
                <w:sz w:val="19"/>
              </w:rPr>
            </w:pPr>
            <w:r>
              <w:rPr>
                <w:color w:val="525252"/>
                <w:w w:val="110"/>
                <w:sz w:val="19"/>
              </w:rPr>
              <w:t>中国医学科学院肿瘤医院</w:t>
            </w:r>
          </w:p>
        </w:tc>
        <w:tc>
          <w:tcPr>
            <w:tcW w:w="983" w:type="dxa"/>
            <w:vMerge/>
            <w:tcBorders>
              <w:top w:val="nil"/>
            </w:tcBorders>
          </w:tcPr>
          <w:p>
            <w:pPr>
              <w:rPr>
                <w:sz w:val="2"/>
                <w:szCs w:val="2"/>
              </w:rPr>
            </w:pPr>
          </w:p>
        </w:tc>
      </w:tr>
      <w:tr>
        <w:trPr>
          <w:trHeight w:val="395"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val="restart"/>
          </w:tcPr>
          <w:p>
            <w:pPr>
              <w:pStyle w:val="TableParagraph"/>
              <w:spacing w:before="3"/>
              <w:rPr>
                <w:sz w:val="13"/>
              </w:rPr>
            </w:pPr>
          </w:p>
          <w:p>
            <w:pPr>
              <w:pStyle w:val="TableParagraph"/>
              <w:spacing w:line="252" w:lineRule="auto"/>
              <w:ind w:left="121" w:right="92" w:hanging="6"/>
              <w:jc w:val="both"/>
              <w:rPr>
                <w:sz w:val="19"/>
              </w:rPr>
            </w:pPr>
            <w:r>
              <w:rPr>
                <w:color w:val="525252"/>
                <w:sz w:val="19"/>
              </w:rPr>
              <w:t>药物临床前研究（</w:t>
            </w:r>
            <w:r>
              <w:rPr>
                <w:color w:val="525252"/>
                <w:spacing w:val="-5"/>
                <w:sz w:val="19"/>
              </w:rPr>
              <w:t>药理学、</w:t>
            </w:r>
            <w:r>
              <w:rPr>
                <w:color w:val="525252"/>
                <w:sz w:val="19"/>
              </w:rPr>
              <w:t>药物基因组学、药代动力 学等）</w:t>
            </w:r>
          </w:p>
        </w:tc>
        <w:tc>
          <w:tcPr>
            <w:tcW w:w="990" w:type="dxa"/>
            <w:tcBorders>
              <w:bottom w:val="single" w:sz="4" w:space="0" w:color="000000"/>
            </w:tcBorders>
          </w:tcPr>
          <w:p>
            <w:pPr>
              <w:pStyle w:val="TableParagraph"/>
              <w:spacing w:before="9"/>
              <w:rPr>
                <w:sz w:val="12"/>
              </w:rPr>
            </w:pPr>
          </w:p>
          <w:p>
            <w:pPr>
              <w:pStyle w:val="TableParagraph"/>
              <w:spacing w:line="213" w:lineRule="exact"/>
              <w:ind w:left="197"/>
              <w:rPr>
                <w:sz w:val="19"/>
              </w:rPr>
            </w:pPr>
            <w:r>
              <w:rPr>
                <w:color w:val="525252"/>
                <w:w w:val="110"/>
                <w:sz w:val="19"/>
              </w:rPr>
              <w:t>翟光喜</w:t>
            </w:r>
          </w:p>
        </w:tc>
        <w:tc>
          <w:tcPr>
            <w:tcW w:w="2687" w:type="dxa"/>
          </w:tcPr>
          <w:p>
            <w:pPr>
              <w:pStyle w:val="TableParagraph"/>
              <w:spacing w:before="33"/>
              <w:ind w:left="128"/>
              <w:rPr>
                <w:sz w:val="19"/>
              </w:rPr>
            </w:pPr>
            <w:r>
              <w:rPr>
                <w:color w:val="525252"/>
                <w:w w:val="105"/>
                <w:sz w:val="19"/>
              </w:rPr>
              <w:t>山东大学（药学院）药物制</w:t>
            </w:r>
          </w:p>
        </w:tc>
        <w:tc>
          <w:tcPr>
            <w:tcW w:w="983" w:type="dxa"/>
            <w:vMerge w:val="restart"/>
          </w:tcPr>
          <w:p>
            <w:pPr>
              <w:pStyle w:val="TableParagraph"/>
              <w:rPr>
                <w:rFonts w:ascii="Times New Roman"/>
                <w:sz w:val="20"/>
              </w:rPr>
            </w:pPr>
          </w:p>
        </w:tc>
      </w:tr>
      <w:tr>
        <w:trPr>
          <w:trHeight w:val="619"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tcBorders>
              <w:top w:val="nil"/>
            </w:tcBorders>
          </w:tcPr>
          <w:p>
            <w:pPr>
              <w:rPr>
                <w:sz w:val="2"/>
                <w:szCs w:val="2"/>
              </w:rPr>
            </w:pPr>
          </w:p>
        </w:tc>
        <w:tc>
          <w:tcPr>
            <w:tcW w:w="990" w:type="dxa"/>
            <w:tcBorders>
              <w:top w:val="single" w:sz="4" w:space="0" w:color="000000"/>
            </w:tcBorders>
          </w:tcPr>
          <w:p>
            <w:pPr>
              <w:pStyle w:val="TableParagraph"/>
              <w:spacing w:before="9"/>
              <w:rPr>
                <w:sz w:val="21"/>
              </w:rPr>
            </w:pPr>
          </w:p>
          <w:p>
            <w:pPr>
              <w:pStyle w:val="TableParagraph"/>
              <w:ind w:left="203"/>
              <w:rPr>
                <w:sz w:val="19"/>
              </w:rPr>
            </w:pPr>
            <w:r>
              <w:rPr>
                <w:color w:val="525252"/>
                <w:w w:val="105"/>
                <w:sz w:val="19"/>
              </w:rPr>
              <w:t>栗世铀</w:t>
            </w:r>
          </w:p>
        </w:tc>
        <w:tc>
          <w:tcPr>
            <w:tcW w:w="2687" w:type="dxa"/>
          </w:tcPr>
          <w:p>
            <w:pPr>
              <w:pStyle w:val="TableParagraph"/>
              <w:spacing w:line="118" w:lineRule="exact"/>
              <w:ind w:left="122"/>
              <w:rPr>
                <w:sz w:val="19"/>
              </w:rPr>
            </w:pPr>
            <w:r>
              <w:rPr>
                <w:color w:val="525252"/>
                <w:w w:val="105"/>
                <w:sz w:val="19"/>
              </w:rPr>
              <w:t>剂研究所</w:t>
            </w:r>
          </w:p>
          <w:p>
            <w:pPr>
              <w:pStyle w:val="TableParagraph"/>
              <w:spacing w:before="160"/>
              <w:ind w:left="134"/>
              <w:rPr>
                <w:sz w:val="19"/>
              </w:rPr>
            </w:pPr>
            <w:r>
              <w:rPr>
                <w:color w:val="3A3A3A"/>
                <w:w w:val="110"/>
                <w:sz w:val="19"/>
              </w:rPr>
              <w:t>中国医学科学院基础所</w:t>
            </w:r>
          </w:p>
        </w:tc>
        <w:tc>
          <w:tcPr>
            <w:tcW w:w="983" w:type="dxa"/>
            <w:vMerge/>
            <w:tcBorders>
              <w:top w:val="nil"/>
            </w:tcBorders>
          </w:tcPr>
          <w:p>
            <w:pPr>
              <w:rPr>
                <w:sz w:val="2"/>
                <w:szCs w:val="2"/>
              </w:rPr>
            </w:pPr>
          </w:p>
        </w:tc>
      </w:tr>
      <w:tr>
        <w:trPr>
          <w:trHeight w:val="518"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val="restart"/>
            <w:tcBorders>
              <w:bottom w:val="single" w:sz="4" w:space="0" w:color="000000"/>
            </w:tcBorders>
          </w:tcPr>
          <w:p>
            <w:pPr>
              <w:pStyle w:val="TableParagraph"/>
              <w:rPr>
                <w:sz w:val="18"/>
              </w:rPr>
            </w:pPr>
          </w:p>
          <w:p>
            <w:pPr>
              <w:pStyle w:val="TableParagraph"/>
              <w:spacing w:before="5"/>
              <w:rPr>
                <w:sz w:val="14"/>
              </w:rPr>
            </w:pPr>
          </w:p>
          <w:p>
            <w:pPr>
              <w:pStyle w:val="TableParagraph"/>
              <w:ind w:left="122"/>
              <w:rPr>
                <w:sz w:val="19"/>
              </w:rPr>
            </w:pPr>
            <w:r>
              <w:rPr>
                <w:color w:val="525252"/>
                <w:w w:val="105"/>
                <w:sz w:val="19"/>
              </w:rPr>
              <w:t>药物临床研究</w:t>
            </w:r>
          </w:p>
        </w:tc>
        <w:tc>
          <w:tcPr>
            <w:tcW w:w="990" w:type="dxa"/>
          </w:tcPr>
          <w:p>
            <w:pPr>
              <w:pStyle w:val="TableParagraph"/>
              <w:spacing w:before="9"/>
              <w:rPr>
                <w:sz w:val="12"/>
              </w:rPr>
            </w:pPr>
          </w:p>
          <w:p>
            <w:pPr>
              <w:pStyle w:val="TableParagraph"/>
              <w:ind w:left="197"/>
              <w:rPr>
                <w:sz w:val="19"/>
              </w:rPr>
            </w:pPr>
            <w:r>
              <w:rPr>
                <w:color w:val="525252"/>
                <w:w w:val="110"/>
                <w:sz w:val="19"/>
              </w:rPr>
              <w:t>赵立波</w:t>
            </w:r>
          </w:p>
        </w:tc>
        <w:tc>
          <w:tcPr>
            <w:tcW w:w="2687" w:type="dxa"/>
          </w:tcPr>
          <w:p>
            <w:pPr>
              <w:pStyle w:val="TableParagraph"/>
              <w:spacing w:line="260" w:lineRule="atLeast" w:before="9"/>
              <w:ind w:left="127" w:right="461" w:firstLine="7"/>
              <w:rPr>
                <w:sz w:val="19"/>
              </w:rPr>
            </w:pPr>
            <w:r>
              <w:rPr>
                <w:color w:val="525252"/>
                <w:w w:val="105"/>
                <w:sz w:val="19"/>
              </w:rPr>
              <w:t>首都医科大学附属北京</w:t>
            </w:r>
            <w:r>
              <w:rPr>
                <w:color w:val="525252"/>
                <w:w w:val="110"/>
                <w:sz w:val="19"/>
              </w:rPr>
              <w:t>儿童医院</w:t>
            </w:r>
          </w:p>
        </w:tc>
        <w:tc>
          <w:tcPr>
            <w:tcW w:w="983" w:type="dxa"/>
            <w:vMerge w:val="restart"/>
            <w:tcBorders>
              <w:bottom w:val="single" w:sz="4" w:space="0" w:color="000000"/>
            </w:tcBorders>
          </w:tcPr>
          <w:p>
            <w:pPr>
              <w:pStyle w:val="TableParagraph"/>
              <w:rPr>
                <w:rFonts w:ascii="Times New Roman"/>
                <w:sz w:val="20"/>
              </w:rPr>
            </w:pPr>
          </w:p>
        </w:tc>
      </w:tr>
      <w:tr>
        <w:trPr>
          <w:trHeight w:val="572"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tcBorders>
              <w:top w:val="nil"/>
              <w:bottom w:val="single" w:sz="4" w:space="0" w:color="000000"/>
            </w:tcBorders>
          </w:tcPr>
          <w:p>
            <w:pPr>
              <w:rPr>
                <w:sz w:val="2"/>
                <w:szCs w:val="2"/>
              </w:rPr>
            </w:pPr>
          </w:p>
        </w:tc>
        <w:tc>
          <w:tcPr>
            <w:tcW w:w="990" w:type="dxa"/>
            <w:tcBorders>
              <w:bottom w:val="single" w:sz="4" w:space="0" w:color="000000"/>
            </w:tcBorders>
          </w:tcPr>
          <w:p>
            <w:pPr>
              <w:pStyle w:val="TableParagraph"/>
              <w:spacing w:before="137"/>
              <w:ind w:left="194"/>
              <w:rPr>
                <w:sz w:val="19"/>
              </w:rPr>
            </w:pPr>
            <w:r>
              <w:rPr>
                <w:color w:val="525252"/>
                <w:w w:val="105"/>
                <w:sz w:val="19"/>
              </w:rPr>
              <w:t>杨丽</w:t>
            </w:r>
          </w:p>
        </w:tc>
        <w:tc>
          <w:tcPr>
            <w:tcW w:w="2687" w:type="dxa"/>
            <w:tcBorders>
              <w:bottom w:val="single" w:sz="4" w:space="0" w:color="000000"/>
            </w:tcBorders>
          </w:tcPr>
          <w:p>
            <w:pPr>
              <w:pStyle w:val="TableParagraph"/>
              <w:spacing w:before="137"/>
              <w:ind w:left="127"/>
              <w:rPr>
                <w:sz w:val="19"/>
              </w:rPr>
            </w:pPr>
            <w:r>
              <w:rPr>
                <w:color w:val="525252"/>
                <w:w w:val="110"/>
                <w:sz w:val="19"/>
              </w:rPr>
              <w:t>北京大学第三医院</w:t>
            </w:r>
          </w:p>
        </w:tc>
        <w:tc>
          <w:tcPr>
            <w:tcW w:w="983" w:type="dxa"/>
            <w:vMerge/>
            <w:tcBorders>
              <w:top w:val="nil"/>
              <w:bottom w:val="single" w:sz="4" w:space="0" w:color="000000"/>
            </w:tcBorders>
          </w:tcPr>
          <w:p>
            <w:pPr>
              <w:rPr>
                <w:sz w:val="2"/>
                <w:szCs w:val="2"/>
              </w:rPr>
            </w:pPr>
          </w:p>
        </w:tc>
      </w:tr>
      <w:tr>
        <w:trPr>
          <w:trHeight w:val="388"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val="restart"/>
            <w:tcBorders>
              <w:top w:val="single" w:sz="4" w:space="0" w:color="000000"/>
            </w:tcBorders>
          </w:tcPr>
          <w:p>
            <w:pPr>
              <w:pStyle w:val="TableParagraph"/>
              <w:spacing w:before="9"/>
              <w:rPr>
                <w:sz w:val="12"/>
              </w:rPr>
            </w:pPr>
          </w:p>
          <w:p>
            <w:pPr>
              <w:pStyle w:val="TableParagraph"/>
              <w:spacing w:line="271" w:lineRule="auto"/>
              <w:ind w:left="120" w:right="131" w:firstLine="2"/>
              <w:rPr>
                <w:sz w:val="19"/>
              </w:rPr>
            </w:pPr>
            <w:r>
              <w:rPr>
                <w:color w:val="525252"/>
                <w:w w:val="105"/>
                <w:sz w:val="19"/>
              </w:rPr>
              <w:t>药物综合评价（上市后真实数据研究）</w:t>
            </w:r>
          </w:p>
        </w:tc>
        <w:tc>
          <w:tcPr>
            <w:tcW w:w="990" w:type="dxa"/>
            <w:tcBorders>
              <w:top w:val="single" w:sz="4" w:space="0" w:color="000000"/>
            </w:tcBorders>
          </w:tcPr>
          <w:p>
            <w:pPr>
              <w:pStyle w:val="TableParagraph"/>
              <w:spacing w:before="40"/>
              <w:ind w:left="197"/>
              <w:rPr>
                <w:sz w:val="19"/>
              </w:rPr>
            </w:pPr>
            <w:r>
              <w:rPr>
                <w:color w:val="525252"/>
                <w:w w:val="110"/>
                <w:sz w:val="19"/>
              </w:rPr>
              <w:t>赵飞</w:t>
            </w:r>
          </w:p>
        </w:tc>
        <w:tc>
          <w:tcPr>
            <w:tcW w:w="2687" w:type="dxa"/>
            <w:tcBorders>
              <w:top w:val="single" w:sz="4" w:space="0" w:color="000000"/>
            </w:tcBorders>
          </w:tcPr>
          <w:p>
            <w:pPr>
              <w:pStyle w:val="TableParagraph"/>
              <w:spacing w:before="40"/>
              <w:ind w:left="127"/>
              <w:rPr>
                <w:sz w:val="19"/>
              </w:rPr>
            </w:pPr>
            <w:r>
              <w:rPr>
                <w:color w:val="525252"/>
                <w:w w:val="105"/>
                <w:sz w:val="19"/>
              </w:rPr>
              <w:t>北京医院</w:t>
            </w:r>
          </w:p>
        </w:tc>
        <w:tc>
          <w:tcPr>
            <w:tcW w:w="983" w:type="dxa"/>
            <w:vMerge w:val="restart"/>
            <w:tcBorders>
              <w:top w:val="single" w:sz="4" w:space="0" w:color="000000"/>
            </w:tcBorders>
          </w:tcPr>
          <w:p>
            <w:pPr>
              <w:pStyle w:val="TableParagraph"/>
              <w:rPr>
                <w:rFonts w:ascii="Times New Roman"/>
                <w:sz w:val="20"/>
              </w:rPr>
            </w:pPr>
          </w:p>
        </w:tc>
      </w:tr>
      <w:tr>
        <w:trPr>
          <w:trHeight w:val="482"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tcBorders>
              <w:top w:val="nil"/>
            </w:tcBorders>
          </w:tcPr>
          <w:p>
            <w:pPr>
              <w:rPr>
                <w:sz w:val="2"/>
                <w:szCs w:val="2"/>
              </w:rPr>
            </w:pPr>
          </w:p>
        </w:tc>
        <w:tc>
          <w:tcPr>
            <w:tcW w:w="990" w:type="dxa"/>
          </w:tcPr>
          <w:p>
            <w:pPr>
              <w:pStyle w:val="TableParagraph"/>
              <w:spacing w:before="134"/>
              <w:ind w:left="190"/>
              <w:rPr>
                <w:sz w:val="19"/>
              </w:rPr>
            </w:pPr>
            <w:r>
              <w:rPr>
                <w:color w:val="525252"/>
                <w:sz w:val="19"/>
              </w:rPr>
              <w:t>蔡本志</w:t>
            </w:r>
          </w:p>
        </w:tc>
        <w:tc>
          <w:tcPr>
            <w:tcW w:w="2687" w:type="dxa"/>
          </w:tcPr>
          <w:p>
            <w:pPr>
              <w:pStyle w:val="TableParagraph"/>
              <w:spacing w:line="240" w:lineRule="exact"/>
              <w:ind w:left="121"/>
              <w:rPr>
                <w:sz w:val="19"/>
              </w:rPr>
            </w:pPr>
            <w:r>
              <w:rPr>
                <w:color w:val="525252"/>
                <w:w w:val="110"/>
                <w:sz w:val="19"/>
              </w:rPr>
              <w:t>哈尔滨医科大学附属</w:t>
            </w:r>
          </w:p>
          <w:p>
            <w:pPr>
              <w:pStyle w:val="TableParagraph"/>
              <w:spacing w:line="198" w:lineRule="exact" w:before="23"/>
              <w:ind w:left="138"/>
              <w:rPr>
                <w:sz w:val="19"/>
              </w:rPr>
            </w:pPr>
            <w:r>
              <w:rPr>
                <w:color w:val="525252"/>
                <w:w w:val="105"/>
                <w:sz w:val="19"/>
              </w:rPr>
              <w:t>第二医院</w:t>
            </w:r>
          </w:p>
        </w:tc>
        <w:tc>
          <w:tcPr>
            <w:tcW w:w="983" w:type="dxa"/>
            <w:vMerge/>
            <w:tcBorders>
              <w:top w:val="nil"/>
            </w:tcBorders>
          </w:tcPr>
          <w:p>
            <w:pPr>
              <w:rPr>
                <w:sz w:val="2"/>
                <w:szCs w:val="2"/>
              </w:rPr>
            </w:pPr>
          </w:p>
        </w:tc>
      </w:tr>
      <w:tr>
        <w:trPr>
          <w:trHeight w:val="424"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val="restart"/>
          </w:tcPr>
          <w:p>
            <w:pPr>
              <w:pStyle w:val="TableParagraph"/>
              <w:rPr>
                <w:sz w:val="18"/>
              </w:rPr>
            </w:pPr>
          </w:p>
          <w:p>
            <w:pPr>
              <w:pStyle w:val="TableParagraph"/>
              <w:spacing w:before="2"/>
              <w:rPr>
                <w:sz w:val="21"/>
              </w:rPr>
            </w:pPr>
          </w:p>
          <w:p>
            <w:pPr>
              <w:pStyle w:val="TableParagraph"/>
              <w:ind w:left="122"/>
              <w:rPr>
                <w:sz w:val="19"/>
              </w:rPr>
            </w:pPr>
            <w:r>
              <w:rPr>
                <w:color w:val="525252"/>
                <w:w w:val="110"/>
                <w:sz w:val="19"/>
              </w:rPr>
              <w:t>药物政策与药物经济学</w:t>
            </w:r>
          </w:p>
        </w:tc>
        <w:tc>
          <w:tcPr>
            <w:tcW w:w="990" w:type="dxa"/>
            <w:tcBorders>
              <w:bottom w:val="single" w:sz="4" w:space="0" w:color="000000"/>
            </w:tcBorders>
          </w:tcPr>
          <w:p>
            <w:pPr>
              <w:pStyle w:val="TableParagraph"/>
              <w:spacing w:line="279" w:lineRule="exact" w:before="125"/>
              <w:ind w:left="193"/>
              <w:rPr>
                <w:sz w:val="22"/>
              </w:rPr>
            </w:pPr>
            <w:r>
              <w:rPr>
                <w:color w:val="525252"/>
                <w:w w:val="105"/>
                <w:sz w:val="22"/>
              </w:rPr>
              <w:t>吴晶</w:t>
            </w:r>
          </w:p>
        </w:tc>
        <w:tc>
          <w:tcPr>
            <w:tcW w:w="2687" w:type="dxa"/>
            <w:tcBorders>
              <w:bottom w:val="single" w:sz="4" w:space="0" w:color="000000"/>
            </w:tcBorders>
          </w:tcPr>
          <w:p>
            <w:pPr>
              <w:pStyle w:val="TableParagraph"/>
              <w:spacing w:before="155"/>
              <w:ind w:left="119"/>
              <w:rPr>
                <w:sz w:val="19"/>
              </w:rPr>
            </w:pPr>
            <w:r>
              <w:rPr>
                <w:color w:val="525252"/>
                <w:w w:val="110"/>
                <w:sz w:val="19"/>
              </w:rPr>
              <w:t>天津大学</w:t>
            </w:r>
          </w:p>
        </w:tc>
        <w:tc>
          <w:tcPr>
            <w:tcW w:w="983" w:type="dxa"/>
            <w:vMerge w:val="restart"/>
          </w:tcPr>
          <w:p>
            <w:pPr>
              <w:pStyle w:val="TableParagraph"/>
              <w:rPr>
                <w:rFonts w:ascii="Times New Roman"/>
                <w:sz w:val="20"/>
              </w:rPr>
            </w:pPr>
          </w:p>
        </w:tc>
      </w:tr>
      <w:tr>
        <w:trPr>
          <w:trHeight w:val="748" w:hRule="atLeast"/>
        </w:trPr>
        <w:tc>
          <w:tcPr>
            <w:tcW w:w="1271" w:type="dxa"/>
            <w:vMerge/>
            <w:tcBorders>
              <w:top w:val="nil"/>
            </w:tcBorders>
          </w:tcPr>
          <w:p>
            <w:pPr>
              <w:rPr>
                <w:sz w:val="2"/>
                <w:szCs w:val="2"/>
              </w:rPr>
            </w:pPr>
          </w:p>
        </w:tc>
        <w:tc>
          <w:tcPr>
            <w:tcW w:w="1423" w:type="dxa"/>
            <w:vMerge/>
            <w:tcBorders>
              <w:top w:val="nil"/>
            </w:tcBorders>
          </w:tcPr>
          <w:p>
            <w:pPr>
              <w:rPr>
                <w:sz w:val="2"/>
                <w:szCs w:val="2"/>
              </w:rPr>
            </w:pPr>
          </w:p>
        </w:tc>
        <w:tc>
          <w:tcPr>
            <w:tcW w:w="2550" w:type="dxa"/>
            <w:vMerge/>
            <w:tcBorders>
              <w:top w:val="nil"/>
            </w:tcBorders>
          </w:tcPr>
          <w:p>
            <w:pPr>
              <w:rPr>
                <w:sz w:val="2"/>
                <w:szCs w:val="2"/>
              </w:rPr>
            </w:pPr>
          </w:p>
        </w:tc>
        <w:tc>
          <w:tcPr>
            <w:tcW w:w="990" w:type="dxa"/>
            <w:tcBorders>
              <w:top w:val="single" w:sz="4" w:space="0" w:color="000000"/>
            </w:tcBorders>
          </w:tcPr>
          <w:p>
            <w:pPr>
              <w:pStyle w:val="TableParagraph"/>
              <w:spacing w:before="10"/>
              <w:rPr>
                <w:sz w:val="26"/>
              </w:rPr>
            </w:pPr>
          </w:p>
          <w:p>
            <w:pPr>
              <w:pStyle w:val="TableParagraph"/>
              <w:ind w:left="197"/>
              <w:rPr>
                <w:sz w:val="19"/>
              </w:rPr>
            </w:pPr>
            <w:r>
              <w:rPr>
                <w:color w:val="525252"/>
                <w:w w:val="110"/>
                <w:sz w:val="19"/>
              </w:rPr>
              <w:t>刘国强</w:t>
            </w:r>
          </w:p>
        </w:tc>
        <w:tc>
          <w:tcPr>
            <w:tcW w:w="2687" w:type="dxa"/>
            <w:tcBorders>
              <w:top w:val="single" w:sz="4" w:space="0" w:color="000000"/>
            </w:tcBorders>
          </w:tcPr>
          <w:p>
            <w:pPr>
              <w:pStyle w:val="TableParagraph"/>
              <w:spacing w:line="340" w:lineRule="atLeast" w:before="73"/>
              <w:ind w:left="138" w:right="878" w:hanging="7"/>
              <w:rPr>
                <w:sz w:val="19"/>
              </w:rPr>
            </w:pPr>
            <w:r>
              <w:rPr>
                <w:color w:val="525252"/>
                <w:w w:val="105"/>
                <w:sz w:val="19"/>
              </w:rPr>
              <w:t>河北医科大学附属</w:t>
            </w:r>
            <w:r>
              <w:rPr>
                <w:color w:val="525252"/>
                <w:w w:val="110"/>
                <w:sz w:val="19"/>
              </w:rPr>
              <w:t>第三医院</w:t>
            </w:r>
          </w:p>
        </w:tc>
        <w:tc>
          <w:tcPr>
            <w:tcW w:w="983" w:type="dxa"/>
            <w:vMerge/>
            <w:tcBorders>
              <w:top w:val="nil"/>
            </w:tcBorders>
          </w:tcPr>
          <w:p>
            <w:pPr>
              <w:rPr>
                <w:sz w:val="2"/>
                <w:szCs w:val="2"/>
              </w:rPr>
            </w:pPr>
          </w:p>
        </w:tc>
      </w:tr>
    </w:tbl>
    <w:p>
      <w:pPr>
        <w:spacing w:after="0"/>
        <w:rPr>
          <w:sz w:val="2"/>
          <w:szCs w:val="2"/>
        </w:rPr>
        <w:sectPr>
          <w:headerReference w:type="default" r:id="rId33"/>
          <w:footerReference w:type="default" r:id="rId34"/>
          <w:pgSz w:w="11910" w:h="16850"/>
          <w:pgMar w:header="0" w:footer="0" w:top="1240" w:bottom="280" w:left="640" w:right="0"/>
        </w:sectPr>
      </w:pPr>
    </w:p>
    <w:p>
      <w:pPr>
        <w:pStyle w:val="BodyText"/>
        <w:spacing w:before="12"/>
        <w:ind w:left="0"/>
        <w:rPr>
          <w:sz w:val="19"/>
        </w:rPr>
      </w:pPr>
      <w:r>
        <w:rPr/>
        <w:pict>
          <v:shape style="position:absolute;margin-left:289.245026pt;margin-top:760.051025pt;width:6.3pt;height:10.55pt;mso-position-horizontal-relative:page;mso-position-vertical-relative:page;z-index:251674624" type="#_x0000_t202" filled="false" stroked="false">
            <v:textbox inset="0,0,0,0" style="layout-flow:vertical-ideographic">
              <w:txbxContent>
                <w:p>
                  <w:pPr>
                    <w:spacing w:line="120" w:lineRule="auto" w:before="0"/>
                    <w:ind w:left="20" w:right="0" w:firstLine="0"/>
                    <w:jc w:val="left"/>
                    <w:rPr>
                      <w:sz w:val="17"/>
                    </w:rPr>
                  </w:pPr>
                  <w:r>
                    <w:rPr>
                      <w:color w:val="1F1F1F"/>
                      <w:w w:val="100"/>
                      <w:sz w:val="17"/>
                    </w:rPr>
                    <w:t>6</w:t>
                  </w:r>
                </w:p>
              </w:txbxContent>
            </v:textbox>
            <w10:wrap type="none"/>
          </v:shape>
        </w:pict>
      </w:r>
    </w:p>
    <w:p>
      <w:pPr>
        <w:tabs>
          <w:tab w:pos="2043" w:val="left" w:leader="none"/>
          <w:tab w:pos="6572" w:val="left" w:leader="none"/>
        </w:tabs>
        <w:spacing w:before="68"/>
        <w:ind w:left="893" w:right="0" w:firstLine="0"/>
        <w:jc w:val="left"/>
        <w:rPr>
          <w:sz w:val="21"/>
        </w:rPr>
      </w:pPr>
      <w:r>
        <w:rPr>
          <w:color w:val="1F1F1F"/>
          <w:w w:val="95"/>
          <w:sz w:val="22"/>
        </w:rPr>
        <w:t>时</w:t>
      </w:r>
      <w:r>
        <w:rPr>
          <w:color w:val="1F1F1F"/>
          <w:spacing w:val="-23"/>
          <w:w w:val="95"/>
          <w:sz w:val="22"/>
        </w:rPr>
        <w:t>间</w:t>
      </w:r>
      <w:r>
        <w:rPr>
          <w:color w:val="030303"/>
          <w:w w:val="90"/>
          <w:sz w:val="22"/>
        </w:rPr>
        <w:t>：</w:t>
      </w:r>
      <w:r>
        <w:rPr>
          <w:color w:val="030303"/>
          <w:spacing w:val="-66"/>
          <w:w w:val="90"/>
          <w:sz w:val="22"/>
        </w:rPr>
        <w:t> </w:t>
      </w:r>
      <w:r>
        <w:rPr>
          <w:rFonts w:ascii="Times New Roman" w:eastAsia="Times New Roman"/>
          <w:color w:val="030303"/>
          <w:w w:val="90"/>
          <w:sz w:val="21"/>
        </w:rPr>
        <w:t>2019</w:t>
        <w:tab/>
      </w:r>
      <w:r>
        <w:rPr>
          <w:color w:val="030303"/>
          <w:spacing w:val="38"/>
          <w:sz w:val="22"/>
        </w:rPr>
        <w:t>年</w:t>
      </w:r>
      <w:r>
        <w:rPr>
          <w:rFonts w:ascii="Times New Roman" w:eastAsia="Times New Roman"/>
          <w:color w:val="030303"/>
          <w:sz w:val="21"/>
        </w:rPr>
        <w:t>8</w:t>
      </w:r>
      <w:r>
        <w:rPr>
          <w:rFonts w:ascii="Times New Roman" w:eastAsia="Times New Roman"/>
          <w:color w:val="030303"/>
          <w:spacing w:val="4"/>
          <w:sz w:val="21"/>
        </w:rPr>
        <w:t> </w:t>
      </w:r>
      <w:r>
        <w:rPr>
          <w:color w:val="030303"/>
          <w:sz w:val="23"/>
        </w:rPr>
        <w:t>月</w:t>
      </w:r>
      <w:r>
        <w:rPr>
          <w:color w:val="030303"/>
          <w:spacing w:val="-73"/>
          <w:sz w:val="23"/>
        </w:rPr>
        <w:t> </w:t>
      </w:r>
      <w:r>
        <w:rPr>
          <w:rFonts w:ascii="Times New Roman" w:eastAsia="Times New Roman"/>
          <w:color w:val="030303"/>
          <w:sz w:val="21"/>
        </w:rPr>
        <w:t>10</w:t>
      </w:r>
      <w:r>
        <w:rPr>
          <w:rFonts w:ascii="Times New Roman" w:eastAsia="Times New Roman"/>
          <w:color w:val="030303"/>
          <w:spacing w:val="19"/>
          <w:sz w:val="21"/>
        </w:rPr>
        <w:t> </w:t>
      </w:r>
      <w:r>
        <w:rPr>
          <w:color w:val="1F1F1F"/>
          <w:sz w:val="21"/>
        </w:rPr>
        <w:t>日</w:t>
      </w:r>
      <w:r>
        <w:rPr>
          <w:color w:val="1F1F1F"/>
          <w:spacing w:val="50"/>
          <w:sz w:val="21"/>
        </w:rPr>
        <w:t>下</w:t>
      </w:r>
      <w:r>
        <w:rPr>
          <w:color w:val="030303"/>
          <w:sz w:val="21"/>
        </w:rPr>
        <w:t>午</w:t>
        <w:tab/>
      </w:r>
      <w:r>
        <w:rPr>
          <w:color w:val="1F1F1F"/>
          <w:position w:val="-3"/>
          <w:sz w:val="21"/>
        </w:rPr>
        <w:t>地点：北京亮马河饭店</w:t>
      </w:r>
    </w:p>
    <w:p>
      <w:pPr>
        <w:pStyle w:val="BodyText"/>
        <w:spacing w:before="4"/>
        <w:ind w:left="0"/>
        <w:rPr>
          <w:sz w:val="8"/>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8"/>
        <w:gridCol w:w="1430"/>
        <w:gridCol w:w="2578"/>
        <w:gridCol w:w="997"/>
        <w:gridCol w:w="2701"/>
        <w:gridCol w:w="990"/>
      </w:tblGrid>
      <w:tr>
        <w:trPr>
          <w:trHeight w:val="554" w:hRule="atLeast"/>
        </w:trPr>
        <w:tc>
          <w:tcPr>
            <w:tcW w:w="1278" w:type="dxa"/>
          </w:tcPr>
          <w:p>
            <w:pPr>
              <w:pStyle w:val="TableParagraph"/>
              <w:spacing w:line="349" w:lineRule="exact" w:before="185"/>
              <w:ind w:right="243"/>
              <w:jc w:val="right"/>
              <w:rPr>
                <w:sz w:val="29"/>
              </w:rPr>
            </w:pPr>
            <w:r>
              <w:rPr>
                <w:color w:val="030303"/>
                <w:w w:val="90"/>
                <w:sz w:val="29"/>
              </w:rPr>
              <w:t>日期</w:t>
            </w:r>
          </w:p>
        </w:tc>
        <w:tc>
          <w:tcPr>
            <w:tcW w:w="1430" w:type="dxa"/>
          </w:tcPr>
          <w:p>
            <w:pPr>
              <w:pStyle w:val="TableParagraph"/>
              <w:spacing w:line="334" w:lineRule="exact" w:before="200"/>
              <w:ind w:left="527"/>
              <w:rPr>
                <w:sz w:val="29"/>
              </w:rPr>
            </w:pPr>
            <w:r>
              <w:rPr>
                <w:color w:val="030303"/>
                <w:sz w:val="29"/>
              </w:rPr>
              <w:t>时间</w:t>
            </w:r>
          </w:p>
        </w:tc>
        <w:tc>
          <w:tcPr>
            <w:tcW w:w="2578" w:type="dxa"/>
          </w:tcPr>
          <w:p>
            <w:pPr>
              <w:pStyle w:val="TableParagraph"/>
              <w:spacing w:line="320" w:lineRule="exact" w:before="214"/>
              <w:ind w:left="794"/>
              <w:rPr>
                <w:sz w:val="29"/>
              </w:rPr>
            </w:pPr>
            <w:r>
              <w:rPr>
                <w:color w:val="030303"/>
                <w:sz w:val="29"/>
              </w:rPr>
              <w:t>授课主题</w:t>
            </w:r>
          </w:p>
        </w:tc>
        <w:tc>
          <w:tcPr>
            <w:tcW w:w="997" w:type="dxa"/>
          </w:tcPr>
          <w:p>
            <w:pPr>
              <w:pStyle w:val="TableParagraph"/>
              <w:spacing w:line="298" w:lineRule="exact" w:before="236"/>
              <w:ind w:left="279"/>
              <w:rPr>
                <w:sz w:val="29"/>
              </w:rPr>
            </w:pPr>
            <w:r>
              <w:rPr>
                <w:color w:val="030303"/>
                <w:sz w:val="29"/>
              </w:rPr>
              <w:t>专家</w:t>
            </w:r>
          </w:p>
        </w:tc>
        <w:tc>
          <w:tcPr>
            <w:tcW w:w="2701" w:type="dxa"/>
          </w:tcPr>
          <w:p>
            <w:pPr>
              <w:pStyle w:val="TableParagraph"/>
              <w:spacing w:before="9"/>
              <w:rPr>
                <w:sz w:val="20"/>
              </w:rPr>
            </w:pPr>
          </w:p>
          <w:p>
            <w:pPr>
              <w:pStyle w:val="TableParagraph"/>
              <w:spacing w:line="268" w:lineRule="exact"/>
              <w:ind w:left="1081" w:right="961"/>
              <w:jc w:val="center"/>
              <w:rPr>
                <w:sz w:val="26"/>
              </w:rPr>
            </w:pPr>
            <w:r>
              <w:rPr>
                <w:color w:val="030303"/>
                <w:w w:val="105"/>
                <w:sz w:val="26"/>
              </w:rPr>
              <w:t>单位</w:t>
            </w:r>
          </w:p>
        </w:tc>
        <w:tc>
          <w:tcPr>
            <w:tcW w:w="990" w:type="dxa"/>
          </w:tcPr>
          <w:p>
            <w:pPr>
              <w:pStyle w:val="TableParagraph"/>
              <w:spacing w:line="291" w:lineRule="exact" w:before="243"/>
              <w:ind w:right="156"/>
              <w:jc w:val="right"/>
              <w:rPr>
                <w:sz w:val="29"/>
              </w:rPr>
            </w:pPr>
            <w:r>
              <w:rPr>
                <w:color w:val="030303"/>
                <w:w w:val="95"/>
                <w:sz w:val="29"/>
              </w:rPr>
              <w:t>主持</w:t>
            </w:r>
          </w:p>
        </w:tc>
      </w:tr>
      <w:tr>
        <w:trPr>
          <w:trHeight w:val="539" w:hRule="atLeast"/>
        </w:trPr>
        <w:tc>
          <w:tcPr>
            <w:tcW w:w="1278" w:type="dxa"/>
            <w:vMerge w:val="restart"/>
          </w:tcPr>
          <w:p>
            <w:pPr>
              <w:pStyle w:val="TableParagraph"/>
              <w:rPr>
                <w:sz w:val="22"/>
              </w:rPr>
            </w:pPr>
          </w:p>
          <w:p>
            <w:pPr>
              <w:pStyle w:val="TableParagraph"/>
              <w:rPr>
                <w:sz w:val="22"/>
              </w:rPr>
            </w:pPr>
          </w:p>
          <w:p>
            <w:pPr>
              <w:pStyle w:val="TableParagraph"/>
              <w:rPr>
                <w:sz w:val="22"/>
              </w:rPr>
            </w:pPr>
          </w:p>
          <w:p>
            <w:pPr>
              <w:pStyle w:val="TableParagraph"/>
              <w:spacing w:before="3"/>
              <w:rPr>
                <w:sz w:val="22"/>
              </w:rPr>
            </w:pPr>
          </w:p>
          <w:p>
            <w:pPr>
              <w:pStyle w:val="TableParagraph"/>
              <w:ind w:left="193"/>
              <w:rPr>
                <w:rFonts w:ascii="Times New Roman"/>
                <w:sz w:val="21"/>
              </w:rPr>
            </w:pPr>
            <w:r>
              <w:rPr>
                <w:rFonts w:ascii="Times New Roman"/>
                <w:color w:val="2D2D2D"/>
                <w:w w:val="105"/>
                <w:sz w:val="21"/>
              </w:rPr>
              <w:t>2019/8/ </w:t>
            </w:r>
            <w:r>
              <w:rPr>
                <w:rFonts w:ascii="Times New Roman"/>
                <w:color w:val="030303"/>
                <w:w w:val="105"/>
                <w:sz w:val="21"/>
              </w:rPr>
              <w:t>1</w:t>
            </w:r>
            <w:r>
              <w:rPr>
                <w:rFonts w:ascii="Times New Roman"/>
                <w:color w:val="2D2D2D"/>
                <w:w w:val="105"/>
                <w:sz w:val="21"/>
              </w:rPr>
              <w:t>0</w:t>
            </w:r>
          </w:p>
          <w:p>
            <w:pPr>
              <w:pStyle w:val="TableParagraph"/>
              <w:spacing w:before="93"/>
              <w:ind w:left="285"/>
              <w:rPr>
                <w:sz w:val="20"/>
              </w:rPr>
            </w:pPr>
            <w:r>
              <w:rPr>
                <w:color w:val="3D3D3D"/>
                <w:sz w:val="20"/>
              </w:rPr>
              <w:t>（专家论</w:t>
            </w:r>
          </w:p>
          <w:p>
            <w:pPr>
              <w:pStyle w:val="TableParagraph"/>
              <w:spacing w:before="73"/>
              <w:ind w:left="197"/>
              <w:rPr>
                <w:sz w:val="21"/>
              </w:rPr>
            </w:pPr>
            <w:r>
              <w:rPr>
                <w:color w:val="3D3D3D"/>
                <w:w w:val="85"/>
                <w:sz w:val="21"/>
              </w:rPr>
              <w:t>坛）</w:t>
            </w:r>
          </w:p>
        </w:tc>
        <w:tc>
          <w:tcPr>
            <w:tcW w:w="143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7"/>
              </w:rPr>
            </w:pPr>
          </w:p>
          <w:p>
            <w:pPr>
              <w:pStyle w:val="TableParagraph"/>
              <w:ind w:left="195"/>
              <w:rPr>
                <w:rFonts w:ascii="Times New Roman"/>
                <w:sz w:val="21"/>
              </w:rPr>
            </w:pPr>
            <w:r>
              <w:rPr>
                <w:rFonts w:ascii="Times New Roman"/>
                <w:color w:val="1F1F1F"/>
                <w:sz w:val="21"/>
              </w:rPr>
              <w:t>13: 30- 1</w:t>
            </w:r>
            <w:r>
              <w:rPr>
                <w:rFonts w:ascii="Times New Roman"/>
                <w:color w:val="3D3D3D"/>
                <w:sz w:val="21"/>
              </w:rPr>
              <w:t>4: </w:t>
            </w:r>
            <w:r>
              <w:rPr>
                <w:rFonts w:ascii="Times New Roman"/>
                <w:color w:val="1F1F1F"/>
                <w:sz w:val="21"/>
              </w:rPr>
              <w:t>15</w:t>
            </w:r>
          </w:p>
        </w:tc>
        <w:tc>
          <w:tcPr>
            <w:tcW w:w="257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16"/>
              </w:rPr>
            </w:pPr>
          </w:p>
          <w:p>
            <w:pPr>
              <w:pStyle w:val="TableParagraph"/>
              <w:spacing w:before="1"/>
              <w:ind w:left="173"/>
              <w:rPr>
                <w:sz w:val="20"/>
              </w:rPr>
            </w:pPr>
            <w:r>
              <w:rPr>
                <w:color w:val="3D3D3D"/>
                <w:w w:val="105"/>
                <w:sz w:val="20"/>
              </w:rPr>
              <w:t>药学服务高质量发展</w:t>
            </w:r>
          </w:p>
        </w:tc>
        <w:tc>
          <w:tcPr>
            <w:tcW w:w="997" w:type="dxa"/>
          </w:tcPr>
          <w:p>
            <w:pPr>
              <w:pStyle w:val="TableParagraph"/>
              <w:spacing w:before="11"/>
              <w:rPr>
                <w:sz w:val="17"/>
              </w:rPr>
            </w:pPr>
          </w:p>
          <w:p>
            <w:pPr>
              <w:pStyle w:val="TableParagraph"/>
              <w:ind w:left="237"/>
              <w:rPr>
                <w:sz w:val="21"/>
              </w:rPr>
            </w:pPr>
            <w:r>
              <w:rPr>
                <w:color w:val="3D3D3D"/>
                <w:sz w:val="21"/>
              </w:rPr>
              <w:t>葛卫红</w:t>
            </w:r>
          </w:p>
        </w:tc>
        <w:tc>
          <w:tcPr>
            <w:tcW w:w="2701" w:type="dxa"/>
          </w:tcPr>
          <w:p>
            <w:pPr>
              <w:pStyle w:val="TableParagraph"/>
              <w:spacing w:before="3"/>
              <w:rPr>
                <w:sz w:val="19"/>
              </w:rPr>
            </w:pPr>
          </w:p>
          <w:p>
            <w:pPr>
              <w:pStyle w:val="TableParagraph"/>
              <w:ind w:left="165"/>
              <w:rPr>
                <w:sz w:val="20"/>
              </w:rPr>
            </w:pPr>
            <w:r>
              <w:rPr>
                <w:color w:val="3D3D3D"/>
                <w:w w:val="105"/>
                <w:sz w:val="20"/>
              </w:rPr>
              <w:t>南京鼓楼医院</w:t>
            </w:r>
          </w:p>
        </w:tc>
        <w:tc>
          <w:tcPr>
            <w:tcW w:w="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9"/>
              <w:ind w:left="197"/>
              <w:rPr>
                <w:sz w:val="19"/>
              </w:rPr>
            </w:pPr>
            <w:r>
              <w:rPr>
                <w:color w:val="3D3D3D"/>
                <w:w w:val="105"/>
                <w:sz w:val="19"/>
              </w:rPr>
              <w:t>徐埏</w:t>
            </w:r>
          </w:p>
        </w:tc>
      </w:tr>
      <w:tr>
        <w:trPr>
          <w:trHeight w:val="438" w:hRule="atLeast"/>
        </w:trPr>
        <w:tc>
          <w:tcPr>
            <w:tcW w:w="1278" w:type="dxa"/>
            <w:vMerge/>
            <w:tcBorders>
              <w:top w:val="nil"/>
            </w:tcBorders>
          </w:tcPr>
          <w:p>
            <w:pPr>
              <w:rPr>
                <w:sz w:val="2"/>
                <w:szCs w:val="2"/>
              </w:rPr>
            </w:pPr>
          </w:p>
        </w:tc>
        <w:tc>
          <w:tcPr>
            <w:tcW w:w="1430" w:type="dxa"/>
            <w:vMerge/>
            <w:tcBorders>
              <w:top w:val="nil"/>
            </w:tcBorders>
          </w:tcPr>
          <w:p>
            <w:pPr>
              <w:rPr>
                <w:sz w:val="2"/>
                <w:szCs w:val="2"/>
              </w:rPr>
            </w:pPr>
          </w:p>
        </w:tc>
        <w:tc>
          <w:tcPr>
            <w:tcW w:w="2578" w:type="dxa"/>
            <w:vMerge/>
            <w:tcBorders>
              <w:top w:val="nil"/>
            </w:tcBorders>
          </w:tcPr>
          <w:p>
            <w:pPr>
              <w:rPr>
                <w:sz w:val="2"/>
                <w:szCs w:val="2"/>
              </w:rPr>
            </w:pPr>
          </w:p>
        </w:tc>
        <w:tc>
          <w:tcPr>
            <w:tcW w:w="997" w:type="dxa"/>
          </w:tcPr>
          <w:p>
            <w:pPr>
              <w:pStyle w:val="TableParagraph"/>
              <w:spacing w:before="9"/>
              <w:rPr>
                <w:sz w:val="14"/>
              </w:rPr>
            </w:pPr>
          </w:p>
          <w:p>
            <w:pPr>
              <w:pStyle w:val="TableParagraph"/>
              <w:spacing w:line="230" w:lineRule="exact"/>
              <w:ind w:left="239"/>
              <w:rPr>
                <w:sz w:val="20"/>
              </w:rPr>
            </w:pPr>
            <w:r>
              <w:rPr>
                <w:color w:val="3D3D3D"/>
                <w:sz w:val="20"/>
              </w:rPr>
              <w:t>童荣生</w:t>
            </w:r>
          </w:p>
        </w:tc>
        <w:tc>
          <w:tcPr>
            <w:tcW w:w="2701" w:type="dxa"/>
          </w:tcPr>
          <w:p>
            <w:pPr>
              <w:pStyle w:val="TableParagraph"/>
              <w:spacing w:before="9"/>
              <w:rPr>
                <w:sz w:val="14"/>
              </w:rPr>
            </w:pPr>
          </w:p>
          <w:p>
            <w:pPr>
              <w:pStyle w:val="TableParagraph"/>
              <w:spacing w:line="230" w:lineRule="exact"/>
              <w:ind w:left="163"/>
              <w:rPr>
                <w:sz w:val="20"/>
              </w:rPr>
            </w:pPr>
            <w:r>
              <w:rPr>
                <w:color w:val="3D3D3D"/>
                <w:sz w:val="20"/>
              </w:rPr>
              <w:t>四川省人民医院</w:t>
            </w:r>
          </w:p>
        </w:tc>
        <w:tc>
          <w:tcPr>
            <w:tcW w:w="990" w:type="dxa"/>
            <w:vMerge/>
            <w:tcBorders>
              <w:top w:val="nil"/>
            </w:tcBorders>
          </w:tcPr>
          <w:p>
            <w:pPr>
              <w:rPr>
                <w:sz w:val="2"/>
                <w:szCs w:val="2"/>
              </w:rPr>
            </w:pPr>
          </w:p>
        </w:tc>
      </w:tr>
      <w:tr>
        <w:trPr>
          <w:trHeight w:val="662" w:hRule="atLeast"/>
        </w:trPr>
        <w:tc>
          <w:tcPr>
            <w:tcW w:w="1278" w:type="dxa"/>
            <w:vMerge/>
            <w:tcBorders>
              <w:top w:val="nil"/>
            </w:tcBorders>
          </w:tcPr>
          <w:p>
            <w:pPr>
              <w:rPr>
                <w:sz w:val="2"/>
                <w:szCs w:val="2"/>
              </w:rPr>
            </w:pPr>
          </w:p>
        </w:tc>
        <w:tc>
          <w:tcPr>
            <w:tcW w:w="1430" w:type="dxa"/>
            <w:vMerge/>
            <w:tcBorders>
              <w:top w:val="nil"/>
            </w:tcBorders>
          </w:tcPr>
          <w:p>
            <w:pPr>
              <w:rPr>
                <w:sz w:val="2"/>
                <w:szCs w:val="2"/>
              </w:rPr>
            </w:pPr>
          </w:p>
        </w:tc>
        <w:tc>
          <w:tcPr>
            <w:tcW w:w="2578" w:type="dxa"/>
            <w:vMerge/>
            <w:tcBorders>
              <w:top w:val="nil"/>
            </w:tcBorders>
          </w:tcPr>
          <w:p>
            <w:pPr>
              <w:rPr>
                <w:sz w:val="2"/>
                <w:szCs w:val="2"/>
              </w:rPr>
            </w:pPr>
          </w:p>
        </w:tc>
        <w:tc>
          <w:tcPr>
            <w:tcW w:w="997" w:type="dxa"/>
          </w:tcPr>
          <w:p>
            <w:pPr>
              <w:pStyle w:val="TableParagraph"/>
              <w:spacing w:before="2"/>
              <w:rPr>
                <w:sz w:val="23"/>
              </w:rPr>
            </w:pPr>
          </w:p>
          <w:p>
            <w:pPr>
              <w:pStyle w:val="TableParagraph"/>
              <w:ind w:left="231"/>
              <w:rPr>
                <w:sz w:val="20"/>
              </w:rPr>
            </w:pPr>
            <w:r>
              <w:rPr>
                <w:color w:val="3D3D3D"/>
                <w:w w:val="105"/>
                <w:sz w:val="20"/>
              </w:rPr>
              <w:t>邹丽颖</w:t>
            </w:r>
          </w:p>
        </w:tc>
        <w:tc>
          <w:tcPr>
            <w:tcW w:w="2701" w:type="dxa"/>
          </w:tcPr>
          <w:p>
            <w:pPr>
              <w:pStyle w:val="TableParagraph"/>
              <w:spacing w:line="340" w:lineRule="atLeast" w:before="47"/>
              <w:ind w:left="152" w:right="458" w:firstLine="12"/>
              <w:rPr>
                <w:sz w:val="20"/>
              </w:rPr>
            </w:pPr>
            <w:r>
              <w:rPr>
                <w:color w:val="3D3D3D"/>
                <w:sz w:val="20"/>
              </w:rPr>
              <w:t>首都医科大学附属北京</w:t>
            </w:r>
            <w:r>
              <w:rPr>
                <w:color w:val="3D3D3D"/>
                <w:w w:val="105"/>
                <w:sz w:val="20"/>
              </w:rPr>
              <w:t>妇产医院</w:t>
            </w:r>
          </w:p>
        </w:tc>
        <w:tc>
          <w:tcPr>
            <w:tcW w:w="990" w:type="dxa"/>
            <w:vMerge/>
            <w:tcBorders>
              <w:top w:val="nil"/>
            </w:tcBorders>
          </w:tcPr>
          <w:p>
            <w:pPr>
              <w:rPr>
                <w:sz w:val="2"/>
                <w:szCs w:val="2"/>
              </w:rPr>
            </w:pPr>
          </w:p>
        </w:tc>
      </w:tr>
      <w:tr>
        <w:trPr>
          <w:trHeight w:val="604" w:hRule="atLeast"/>
        </w:trPr>
        <w:tc>
          <w:tcPr>
            <w:tcW w:w="1278" w:type="dxa"/>
            <w:vMerge/>
            <w:tcBorders>
              <w:top w:val="nil"/>
            </w:tcBorders>
          </w:tcPr>
          <w:p>
            <w:pPr>
              <w:rPr>
                <w:sz w:val="2"/>
                <w:szCs w:val="2"/>
              </w:rPr>
            </w:pPr>
          </w:p>
        </w:tc>
        <w:tc>
          <w:tcPr>
            <w:tcW w:w="1430" w:type="dxa"/>
            <w:vMerge/>
            <w:tcBorders>
              <w:top w:val="nil"/>
            </w:tcBorders>
          </w:tcPr>
          <w:p>
            <w:pPr>
              <w:rPr>
                <w:sz w:val="2"/>
                <w:szCs w:val="2"/>
              </w:rPr>
            </w:pPr>
          </w:p>
        </w:tc>
        <w:tc>
          <w:tcPr>
            <w:tcW w:w="2578" w:type="dxa"/>
            <w:vMerge/>
            <w:tcBorders>
              <w:top w:val="nil"/>
            </w:tcBorders>
          </w:tcPr>
          <w:p>
            <w:pPr>
              <w:rPr>
                <w:sz w:val="2"/>
                <w:szCs w:val="2"/>
              </w:rPr>
            </w:pPr>
          </w:p>
        </w:tc>
        <w:tc>
          <w:tcPr>
            <w:tcW w:w="997" w:type="dxa"/>
          </w:tcPr>
          <w:p>
            <w:pPr>
              <w:pStyle w:val="TableParagraph"/>
              <w:spacing w:before="4"/>
              <w:rPr>
                <w:sz w:val="17"/>
              </w:rPr>
            </w:pPr>
          </w:p>
          <w:p>
            <w:pPr>
              <w:pStyle w:val="TableParagraph"/>
              <w:ind w:left="228"/>
              <w:rPr>
                <w:sz w:val="21"/>
              </w:rPr>
            </w:pPr>
            <w:r>
              <w:rPr>
                <w:color w:val="3D3D3D"/>
                <w:sz w:val="21"/>
              </w:rPr>
              <w:t>管凌燕</w:t>
            </w:r>
          </w:p>
        </w:tc>
        <w:tc>
          <w:tcPr>
            <w:tcW w:w="2701" w:type="dxa"/>
          </w:tcPr>
          <w:p>
            <w:pPr>
              <w:pStyle w:val="TableParagraph"/>
              <w:spacing w:before="66"/>
              <w:ind w:left="156"/>
              <w:rPr>
                <w:sz w:val="20"/>
              </w:rPr>
            </w:pPr>
            <w:r>
              <w:rPr>
                <w:color w:val="3D3D3D"/>
                <w:sz w:val="20"/>
              </w:rPr>
              <w:t>中国医科大学附属</w:t>
            </w:r>
          </w:p>
          <w:p>
            <w:pPr>
              <w:pStyle w:val="TableParagraph"/>
              <w:spacing w:line="179" w:lineRule="exact" w:before="83"/>
              <w:ind w:left="152"/>
              <w:rPr>
                <w:sz w:val="20"/>
              </w:rPr>
            </w:pPr>
            <w:r>
              <w:rPr>
                <w:color w:val="3D3D3D"/>
                <w:sz w:val="20"/>
              </w:rPr>
              <w:t>盛京医院</w:t>
            </w:r>
          </w:p>
        </w:tc>
        <w:tc>
          <w:tcPr>
            <w:tcW w:w="990" w:type="dxa"/>
            <w:vMerge/>
            <w:tcBorders>
              <w:top w:val="nil"/>
            </w:tcBorders>
          </w:tcPr>
          <w:p>
            <w:pPr>
              <w:rPr>
                <w:sz w:val="2"/>
                <w:szCs w:val="2"/>
              </w:rPr>
            </w:pPr>
          </w:p>
        </w:tc>
      </w:tr>
      <w:tr>
        <w:trPr>
          <w:trHeight w:val="662" w:hRule="atLeast"/>
        </w:trPr>
        <w:tc>
          <w:tcPr>
            <w:tcW w:w="1278" w:type="dxa"/>
            <w:vMerge/>
            <w:tcBorders>
              <w:top w:val="nil"/>
            </w:tcBorders>
          </w:tcPr>
          <w:p>
            <w:pPr>
              <w:rPr>
                <w:sz w:val="2"/>
                <w:szCs w:val="2"/>
              </w:rPr>
            </w:pPr>
          </w:p>
        </w:tc>
        <w:tc>
          <w:tcPr>
            <w:tcW w:w="1430" w:type="dxa"/>
            <w:vMerge/>
            <w:tcBorders>
              <w:top w:val="nil"/>
            </w:tcBorders>
          </w:tcPr>
          <w:p>
            <w:pPr>
              <w:rPr>
                <w:sz w:val="2"/>
                <w:szCs w:val="2"/>
              </w:rPr>
            </w:pPr>
          </w:p>
        </w:tc>
        <w:tc>
          <w:tcPr>
            <w:tcW w:w="2578" w:type="dxa"/>
            <w:vMerge/>
            <w:tcBorders>
              <w:top w:val="nil"/>
            </w:tcBorders>
          </w:tcPr>
          <w:p>
            <w:pPr>
              <w:rPr>
                <w:sz w:val="2"/>
                <w:szCs w:val="2"/>
              </w:rPr>
            </w:pPr>
          </w:p>
        </w:tc>
        <w:tc>
          <w:tcPr>
            <w:tcW w:w="997" w:type="dxa"/>
          </w:tcPr>
          <w:p>
            <w:pPr>
              <w:pStyle w:val="TableParagraph"/>
              <w:spacing w:before="3"/>
              <w:rPr>
                <w:sz w:val="21"/>
              </w:rPr>
            </w:pPr>
          </w:p>
          <w:p>
            <w:pPr>
              <w:pStyle w:val="TableParagraph"/>
              <w:ind w:left="225"/>
              <w:rPr>
                <w:sz w:val="21"/>
              </w:rPr>
            </w:pPr>
            <w:r>
              <w:rPr>
                <w:color w:val="3D3D3D"/>
                <w:sz w:val="21"/>
              </w:rPr>
              <w:t>沈爱宗</w:t>
            </w:r>
          </w:p>
        </w:tc>
        <w:tc>
          <w:tcPr>
            <w:tcW w:w="2701" w:type="dxa"/>
          </w:tcPr>
          <w:p>
            <w:pPr>
              <w:pStyle w:val="TableParagraph"/>
              <w:spacing w:line="340" w:lineRule="atLeast" w:before="40"/>
              <w:ind w:left="146" w:right="473" w:firstLine="2"/>
              <w:rPr>
                <w:sz w:val="20"/>
              </w:rPr>
            </w:pPr>
            <w:r>
              <w:rPr>
                <w:color w:val="3D3D3D"/>
                <w:sz w:val="20"/>
              </w:rPr>
              <w:t>中国科学技术大学附属第一医院</w:t>
            </w:r>
          </w:p>
        </w:tc>
        <w:tc>
          <w:tcPr>
            <w:tcW w:w="990" w:type="dxa"/>
            <w:vMerge/>
            <w:tcBorders>
              <w:top w:val="nil"/>
            </w:tcBorders>
          </w:tcPr>
          <w:p>
            <w:pPr>
              <w:rPr>
                <w:sz w:val="2"/>
                <w:szCs w:val="2"/>
              </w:rPr>
            </w:pPr>
          </w:p>
        </w:tc>
      </w:tr>
      <w:tr>
        <w:trPr>
          <w:trHeight w:val="489" w:hRule="atLeast"/>
        </w:trPr>
        <w:tc>
          <w:tcPr>
            <w:tcW w:w="1278" w:type="dxa"/>
          </w:tcPr>
          <w:p>
            <w:pPr>
              <w:pStyle w:val="TableParagraph"/>
              <w:spacing w:line="370" w:lineRule="exact" w:before="99"/>
              <w:ind w:right="270"/>
              <w:jc w:val="right"/>
              <w:rPr>
                <w:sz w:val="29"/>
              </w:rPr>
            </w:pPr>
            <w:r>
              <w:rPr>
                <w:color w:val="030303"/>
                <w:w w:val="90"/>
                <w:sz w:val="29"/>
              </w:rPr>
              <w:t>日期</w:t>
            </w:r>
          </w:p>
        </w:tc>
        <w:tc>
          <w:tcPr>
            <w:tcW w:w="1430" w:type="dxa"/>
          </w:tcPr>
          <w:p>
            <w:pPr>
              <w:pStyle w:val="TableParagraph"/>
              <w:spacing w:line="356" w:lineRule="exact" w:before="113"/>
              <w:ind w:left="498"/>
              <w:rPr>
                <w:sz w:val="29"/>
              </w:rPr>
            </w:pPr>
            <w:r>
              <w:rPr>
                <w:color w:val="030303"/>
                <w:sz w:val="29"/>
              </w:rPr>
              <w:t>时间</w:t>
            </w:r>
          </w:p>
        </w:tc>
        <w:tc>
          <w:tcPr>
            <w:tcW w:w="2578" w:type="dxa"/>
          </w:tcPr>
          <w:p>
            <w:pPr>
              <w:pStyle w:val="TableParagraph"/>
              <w:spacing w:line="342" w:lineRule="exact" w:before="128"/>
              <w:ind w:left="765"/>
              <w:rPr>
                <w:sz w:val="29"/>
              </w:rPr>
            </w:pPr>
            <w:r>
              <w:rPr>
                <w:color w:val="030303"/>
                <w:sz w:val="29"/>
              </w:rPr>
              <w:t>授课主题</w:t>
            </w:r>
          </w:p>
        </w:tc>
        <w:tc>
          <w:tcPr>
            <w:tcW w:w="997" w:type="dxa"/>
          </w:tcPr>
          <w:p>
            <w:pPr>
              <w:pStyle w:val="TableParagraph"/>
              <w:spacing w:line="320" w:lineRule="exact" w:before="149"/>
              <w:ind w:left="257"/>
              <w:rPr>
                <w:sz w:val="29"/>
              </w:rPr>
            </w:pPr>
            <w:r>
              <w:rPr>
                <w:color w:val="030303"/>
                <w:sz w:val="29"/>
              </w:rPr>
              <w:t>专家</w:t>
            </w:r>
          </w:p>
        </w:tc>
        <w:tc>
          <w:tcPr>
            <w:tcW w:w="2701" w:type="dxa"/>
          </w:tcPr>
          <w:p>
            <w:pPr>
              <w:pStyle w:val="TableParagraph"/>
              <w:spacing w:line="283" w:lineRule="exact" w:before="186"/>
              <w:ind w:left="1059" w:right="982"/>
              <w:jc w:val="center"/>
              <w:rPr>
                <w:sz w:val="26"/>
              </w:rPr>
            </w:pPr>
            <w:r>
              <w:rPr>
                <w:color w:val="030303"/>
                <w:w w:val="105"/>
                <w:sz w:val="26"/>
              </w:rPr>
              <w:t>单位</w:t>
            </w:r>
          </w:p>
        </w:tc>
        <w:tc>
          <w:tcPr>
            <w:tcW w:w="990" w:type="dxa"/>
          </w:tcPr>
          <w:p>
            <w:pPr>
              <w:pStyle w:val="TableParagraph"/>
              <w:spacing w:line="305" w:lineRule="exact" w:before="164"/>
              <w:ind w:right="176"/>
              <w:jc w:val="right"/>
              <w:rPr>
                <w:sz w:val="29"/>
              </w:rPr>
            </w:pPr>
            <w:r>
              <w:rPr>
                <w:color w:val="030303"/>
                <w:w w:val="90"/>
                <w:sz w:val="29"/>
              </w:rPr>
              <w:t>主持</w:t>
            </w:r>
          </w:p>
        </w:tc>
      </w:tr>
      <w:tr>
        <w:trPr>
          <w:trHeight w:val="886" w:hRule="atLeast"/>
        </w:trPr>
        <w:tc>
          <w:tcPr>
            <w:tcW w:w="1278" w:type="dxa"/>
            <w:vMerge w:val="restart"/>
          </w:tcPr>
          <w:p>
            <w:pPr>
              <w:pStyle w:val="TableParagraph"/>
              <w:rPr>
                <w:sz w:val="22"/>
              </w:rPr>
            </w:pPr>
          </w:p>
          <w:p>
            <w:pPr>
              <w:pStyle w:val="TableParagraph"/>
              <w:rPr>
                <w:sz w:val="22"/>
              </w:rPr>
            </w:pPr>
          </w:p>
          <w:p>
            <w:pPr>
              <w:pStyle w:val="TableParagraph"/>
              <w:rPr>
                <w:sz w:val="22"/>
              </w:rPr>
            </w:pPr>
          </w:p>
          <w:p>
            <w:pPr>
              <w:pStyle w:val="TableParagraph"/>
              <w:spacing w:before="7"/>
              <w:rPr>
                <w:sz w:val="29"/>
              </w:rPr>
            </w:pPr>
          </w:p>
          <w:p>
            <w:pPr>
              <w:pStyle w:val="TableParagraph"/>
              <w:ind w:left="157"/>
              <w:rPr>
                <w:rFonts w:ascii="Times New Roman"/>
                <w:sz w:val="21"/>
              </w:rPr>
            </w:pPr>
            <w:r>
              <w:rPr>
                <w:rFonts w:ascii="Times New Roman"/>
                <w:color w:val="3D3D3D"/>
                <w:w w:val="110"/>
                <w:sz w:val="21"/>
              </w:rPr>
              <w:t>20</w:t>
            </w:r>
            <w:r>
              <w:rPr>
                <w:rFonts w:ascii="Times New Roman"/>
                <w:color w:val="1F1F1F"/>
                <w:w w:val="110"/>
                <w:sz w:val="21"/>
              </w:rPr>
              <w:t>19</w:t>
            </w:r>
            <w:r>
              <w:rPr>
                <w:rFonts w:ascii="Times New Roman"/>
                <w:color w:val="3D3D3D"/>
                <w:w w:val="110"/>
                <w:sz w:val="21"/>
              </w:rPr>
              <w:t>/ 8/ </w:t>
            </w:r>
            <w:r>
              <w:rPr>
                <w:rFonts w:ascii="Times New Roman"/>
                <w:color w:val="1F1F1F"/>
                <w:w w:val="110"/>
                <w:sz w:val="21"/>
              </w:rPr>
              <w:t>10</w:t>
            </w:r>
          </w:p>
          <w:p>
            <w:pPr>
              <w:pStyle w:val="TableParagraph"/>
              <w:spacing w:before="86"/>
              <w:ind w:left="256"/>
              <w:rPr>
                <w:sz w:val="20"/>
              </w:rPr>
            </w:pPr>
            <w:r>
              <w:rPr>
                <w:color w:val="3D3D3D"/>
                <w:sz w:val="20"/>
              </w:rPr>
              <w:t>（创新论</w:t>
            </w:r>
          </w:p>
          <w:p>
            <w:pPr>
              <w:pStyle w:val="TableParagraph"/>
              <w:spacing w:before="80"/>
              <w:ind w:left="168"/>
              <w:rPr>
                <w:sz w:val="21"/>
              </w:rPr>
            </w:pPr>
            <w:r>
              <w:rPr>
                <w:color w:val="2D2D2D"/>
                <w:w w:val="85"/>
                <w:sz w:val="21"/>
              </w:rPr>
              <w:t>坛）</w:t>
            </w:r>
          </w:p>
        </w:tc>
        <w:tc>
          <w:tcPr>
            <w:tcW w:w="1430" w:type="dxa"/>
            <w:tcBorders>
              <w:bottom w:val="single" w:sz="4" w:space="0" w:color="000000"/>
            </w:tcBorders>
          </w:tcPr>
          <w:p>
            <w:pPr>
              <w:pStyle w:val="TableParagraph"/>
              <w:spacing w:before="7"/>
              <w:rPr>
                <w:sz w:val="24"/>
              </w:rPr>
            </w:pPr>
          </w:p>
          <w:p>
            <w:pPr>
              <w:pStyle w:val="TableParagraph"/>
              <w:spacing w:before="1"/>
              <w:ind w:right="51"/>
              <w:jc w:val="right"/>
              <w:rPr>
                <w:rFonts w:ascii="Times New Roman"/>
                <w:sz w:val="21"/>
              </w:rPr>
            </w:pPr>
            <w:r>
              <w:rPr>
                <w:rFonts w:ascii="Times New Roman"/>
                <w:color w:val="030303"/>
                <w:w w:val="105"/>
                <w:sz w:val="21"/>
              </w:rPr>
              <w:t>1</w:t>
            </w:r>
            <w:r>
              <w:rPr>
                <w:rFonts w:ascii="Times New Roman"/>
                <w:color w:val="1F1F1F"/>
                <w:w w:val="105"/>
                <w:sz w:val="21"/>
              </w:rPr>
              <w:t>4: 15</w:t>
            </w:r>
            <w:r>
              <w:rPr>
                <w:rFonts w:ascii="Times New Roman"/>
                <w:color w:val="3D3D3D"/>
                <w:w w:val="105"/>
                <w:sz w:val="21"/>
              </w:rPr>
              <w:t>- 15</w:t>
            </w:r>
            <w:r>
              <w:rPr>
                <w:rFonts w:ascii="Times New Roman"/>
                <w:color w:val="030303"/>
                <w:w w:val="105"/>
                <w:sz w:val="21"/>
              </w:rPr>
              <w:t>: </w:t>
            </w:r>
            <w:r>
              <w:rPr>
                <w:rFonts w:ascii="Times New Roman"/>
                <w:color w:val="1F1F1F"/>
                <w:w w:val="105"/>
                <w:sz w:val="21"/>
              </w:rPr>
              <w:t>00</w:t>
            </w:r>
          </w:p>
        </w:tc>
        <w:tc>
          <w:tcPr>
            <w:tcW w:w="2578" w:type="dxa"/>
            <w:tcBorders>
              <w:bottom w:val="single" w:sz="4" w:space="0" w:color="000000"/>
            </w:tcBorders>
          </w:tcPr>
          <w:p>
            <w:pPr>
              <w:pStyle w:val="TableParagraph"/>
              <w:spacing w:line="316" w:lineRule="auto" w:before="153"/>
              <w:ind w:left="162" w:right="129" w:firstLine="4"/>
              <w:rPr>
                <w:sz w:val="20"/>
              </w:rPr>
            </w:pPr>
            <w:r>
              <w:rPr>
                <w:color w:val="3D3D3D"/>
                <w:sz w:val="20"/>
              </w:rPr>
              <w:t>药学门诊－药师的机遇与挑战</w:t>
            </w:r>
          </w:p>
        </w:tc>
        <w:tc>
          <w:tcPr>
            <w:tcW w:w="997" w:type="dxa"/>
            <w:tcBorders>
              <w:bottom w:val="single" w:sz="4" w:space="0" w:color="000000"/>
            </w:tcBorders>
          </w:tcPr>
          <w:p>
            <w:pPr>
              <w:pStyle w:val="TableParagraph"/>
              <w:spacing w:before="8"/>
              <w:rPr>
                <w:sz w:val="27"/>
              </w:rPr>
            </w:pPr>
          </w:p>
          <w:p>
            <w:pPr>
              <w:pStyle w:val="TableParagraph"/>
              <w:spacing w:before="1"/>
              <w:ind w:left="217"/>
              <w:rPr>
                <w:sz w:val="20"/>
              </w:rPr>
            </w:pPr>
            <w:r>
              <w:rPr>
                <w:color w:val="3D3D3D"/>
                <w:sz w:val="20"/>
              </w:rPr>
              <w:t>童荣生</w:t>
            </w:r>
          </w:p>
        </w:tc>
        <w:tc>
          <w:tcPr>
            <w:tcW w:w="2701" w:type="dxa"/>
            <w:tcBorders>
              <w:bottom w:val="single" w:sz="4" w:space="0" w:color="000000"/>
            </w:tcBorders>
          </w:tcPr>
          <w:p>
            <w:pPr>
              <w:pStyle w:val="TableParagraph"/>
              <w:spacing w:before="1"/>
              <w:rPr>
                <w:sz w:val="27"/>
              </w:rPr>
            </w:pPr>
          </w:p>
          <w:p>
            <w:pPr>
              <w:pStyle w:val="TableParagraph"/>
              <w:ind w:left="142"/>
              <w:rPr>
                <w:sz w:val="20"/>
              </w:rPr>
            </w:pPr>
            <w:r>
              <w:rPr>
                <w:color w:val="3D3D3D"/>
                <w:w w:val="105"/>
                <w:sz w:val="20"/>
              </w:rPr>
              <w:t>四川省人民医院</w:t>
            </w:r>
          </w:p>
        </w:tc>
        <w:tc>
          <w:tcPr>
            <w:tcW w:w="990" w:type="dxa"/>
            <w:vMerge w:val="restart"/>
          </w:tcPr>
          <w:p>
            <w:pPr>
              <w:pStyle w:val="TableParagraph"/>
              <w:rPr>
                <w:sz w:val="20"/>
              </w:rPr>
            </w:pPr>
          </w:p>
          <w:p>
            <w:pPr>
              <w:pStyle w:val="TableParagraph"/>
              <w:rPr>
                <w:sz w:val="20"/>
              </w:rPr>
            </w:pPr>
          </w:p>
          <w:p>
            <w:pPr>
              <w:pStyle w:val="TableParagraph"/>
              <w:spacing w:before="10"/>
              <w:rPr>
                <w:sz w:val="15"/>
              </w:rPr>
            </w:pPr>
          </w:p>
          <w:p>
            <w:pPr>
              <w:pStyle w:val="TableParagraph"/>
              <w:ind w:left="188"/>
              <w:rPr>
                <w:sz w:val="20"/>
              </w:rPr>
            </w:pPr>
            <w:r>
              <w:rPr>
                <w:color w:val="3D3D3D"/>
                <w:sz w:val="20"/>
              </w:rPr>
              <w:t>卞晓岚</w:t>
            </w:r>
          </w:p>
          <w:p>
            <w:pPr>
              <w:pStyle w:val="TableParagraph"/>
              <w:spacing w:before="73"/>
              <w:ind w:left="181"/>
              <w:rPr>
                <w:sz w:val="21"/>
              </w:rPr>
            </w:pPr>
            <w:r>
              <w:rPr>
                <w:color w:val="3D3D3D"/>
                <w:w w:val="95"/>
                <w:sz w:val="21"/>
              </w:rPr>
              <w:t>侯锐钢</w:t>
            </w:r>
          </w:p>
        </w:tc>
      </w:tr>
      <w:tr>
        <w:trPr>
          <w:trHeight w:val="900" w:hRule="atLeast"/>
        </w:trPr>
        <w:tc>
          <w:tcPr>
            <w:tcW w:w="1278" w:type="dxa"/>
            <w:vMerge/>
            <w:tcBorders>
              <w:top w:val="nil"/>
            </w:tcBorders>
          </w:tcPr>
          <w:p>
            <w:pPr>
              <w:rPr>
                <w:sz w:val="2"/>
                <w:szCs w:val="2"/>
              </w:rPr>
            </w:pPr>
          </w:p>
        </w:tc>
        <w:tc>
          <w:tcPr>
            <w:tcW w:w="1430" w:type="dxa"/>
            <w:tcBorders>
              <w:top w:val="single" w:sz="4" w:space="0" w:color="000000"/>
            </w:tcBorders>
          </w:tcPr>
          <w:p>
            <w:pPr>
              <w:pStyle w:val="TableParagraph"/>
              <w:spacing w:before="7"/>
              <w:rPr>
                <w:sz w:val="24"/>
              </w:rPr>
            </w:pPr>
          </w:p>
          <w:p>
            <w:pPr>
              <w:pStyle w:val="TableParagraph"/>
              <w:spacing w:before="1"/>
              <w:ind w:right="54"/>
              <w:jc w:val="right"/>
              <w:rPr>
                <w:rFonts w:ascii="Times New Roman"/>
                <w:sz w:val="21"/>
              </w:rPr>
            </w:pPr>
            <w:r>
              <w:rPr>
                <w:rFonts w:ascii="Times New Roman"/>
                <w:color w:val="1F1F1F"/>
                <w:w w:val="110"/>
                <w:sz w:val="21"/>
              </w:rPr>
              <w:t>15: 00</w:t>
            </w:r>
            <w:r>
              <w:rPr>
                <w:rFonts w:ascii="Times New Roman"/>
                <w:color w:val="3D3D3D"/>
                <w:w w:val="110"/>
                <w:sz w:val="21"/>
              </w:rPr>
              <w:t>- </w:t>
            </w:r>
            <w:r>
              <w:rPr>
                <w:rFonts w:ascii="Times New Roman"/>
                <w:color w:val="1F1F1F"/>
                <w:w w:val="110"/>
                <w:sz w:val="21"/>
              </w:rPr>
              <w:t>15: </w:t>
            </w:r>
            <w:r>
              <w:rPr>
                <w:rFonts w:ascii="Times New Roman"/>
                <w:color w:val="3D3D3D"/>
                <w:w w:val="110"/>
                <w:sz w:val="21"/>
              </w:rPr>
              <w:t>45</w:t>
            </w:r>
          </w:p>
        </w:tc>
        <w:tc>
          <w:tcPr>
            <w:tcW w:w="2578" w:type="dxa"/>
            <w:tcBorders>
              <w:top w:val="single" w:sz="4" w:space="0" w:color="000000"/>
            </w:tcBorders>
          </w:tcPr>
          <w:p>
            <w:pPr>
              <w:pStyle w:val="TableParagraph"/>
              <w:spacing w:line="309" w:lineRule="auto"/>
              <w:ind w:left="154" w:right="118" w:hanging="4"/>
              <w:rPr>
                <w:sz w:val="20"/>
              </w:rPr>
            </w:pPr>
            <w:r>
              <w:rPr>
                <w:rFonts w:ascii="Times New Roman" w:eastAsia="Times New Roman"/>
                <w:color w:val="3D3D3D"/>
                <w:spacing w:val="-6"/>
                <w:sz w:val="21"/>
              </w:rPr>
              <w:t>BMJ </w:t>
            </w:r>
            <w:r>
              <w:rPr>
                <w:color w:val="3D3D3D"/>
                <w:spacing w:val="-1"/>
                <w:sz w:val="20"/>
              </w:rPr>
              <w:t>快速临床指南</w:t>
            </w:r>
            <w:r>
              <w:rPr>
                <w:color w:val="1F1F1F"/>
                <w:spacing w:val="-25"/>
                <w:sz w:val="20"/>
              </w:rPr>
              <w:t>一一 </w:t>
            </w:r>
            <w:r>
              <w:rPr>
                <w:color w:val="3D3D3D"/>
                <w:sz w:val="20"/>
              </w:rPr>
              <w:t>应</w:t>
            </w:r>
            <w:r>
              <w:rPr>
                <w:color w:val="3D3D3D"/>
                <w:spacing w:val="-2"/>
                <w:sz w:val="20"/>
              </w:rPr>
              <w:t>激性溃疡预防用药及中国</w:t>
            </w:r>
          </w:p>
          <w:p>
            <w:pPr>
              <w:pStyle w:val="TableParagraph"/>
              <w:spacing w:line="215" w:lineRule="exact" w:before="4"/>
              <w:ind w:left="152"/>
              <w:rPr>
                <w:sz w:val="20"/>
              </w:rPr>
            </w:pPr>
            <w:r>
              <w:rPr>
                <w:color w:val="3D3D3D"/>
                <w:w w:val="105"/>
                <w:sz w:val="20"/>
              </w:rPr>
              <w:t>快速临床指南制定现状</w:t>
            </w:r>
          </w:p>
        </w:tc>
        <w:tc>
          <w:tcPr>
            <w:tcW w:w="997" w:type="dxa"/>
            <w:tcBorders>
              <w:top w:val="single" w:sz="4" w:space="0" w:color="000000"/>
            </w:tcBorders>
          </w:tcPr>
          <w:p>
            <w:pPr>
              <w:pStyle w:val="TableParagraph"/>
              <w:rPr>
                <w:sz w:val="18"/>
              </w:rPr>
            </w:pPr>
          </w:p>
          <w:p>
            <w:pPr>
              <w:pStyle w:val="TableParagraph"/>
              <w:spacing w:before="119"/>
              <w:ind w:left="200"/>
              <w:rPr>
                <w:sz w:val="19"/>
              </w:rPr>
            </w:pPr>
            <w:r>
              <w:rPr>
                <w:color w:val="3D3D3D"/>
                <w:w w:val="105"/>
                <w:sz w:val="19"/>
              </w:rPr>
              <w:t>叶志康</w:t>
            </w:r>
          </w:p>
        </w:tc>
        <w:tc>
          <w:tcPr>
            <w:tcW w:w="2701" w:type="dxa"/>
            <w:tcBorders>
              <w:top w:val="single" w:sz="4" w:space="0" w:color="000000"/>
            </w:tcBorders>
          </w:tcPr>
          <w:p>
            <w:pPr>
              <w:pStyle w:val="TableParagraph"/>
              <w:spacing w:before="5"/>
              <w:rPr>
                <w:sz w:val="27"/>
              </w:rPr>
            </w:pPr>
          </w:p>
          <w:p>
            <w:pPr>
              <w:pStyle w:val="TableParagraph"/>
              <w:tabs>
                <w:tab w:pos="1069" w:val="left" w:leader="none"/>
              </w:tabs>
              <w:ind w:left="122"/>
              <w:rPr>
                <w:rFonts w:ascii="Times New Roman"/>
                <w:sz w:val="21"/>
              </w:rPr>
            </w:pPr>
            <w:r>
              <w:rPr>
                <w:rFonts w:ascii="Times New Roman"/>
                <w:color w:val="3D3D3D"/>
                <w:w w:val="80"/>
                <w:sz w:val="21"/>
              </w:rPr>
              <w:t>McMas</w:t>
            </w:r>
            <w:r>
              <w:rPr>
                <w:rFonts w:ascii="Times New Roman"/>
                <w:color w:val="3D3D3D"/>
                <w:spacing w:val="21"/>
                <w:w w:val="80"/>
                <w:sz w:val="21"/>
              </w:rPr>
              <w:t> </w:t>
            </w:r>
            <w:r>
              <w:rPr>
                <w:rFonts w:ascii="Times New Roman"/>
                <w:color w:val="3D3D3D"/>
                <w:w w:val="80"/>
                <w:sz w:val="21"/>
              </w:rPr>
              <w:t>t</w:t>
            </w:r>
            <w:r>
              <w:rPr>
                <w:rFonts w:ascii="Times New Roman"/>
                <w:color w:val="3D3D3D"/>
                <w:spacing w:val="-24"/>
                <w:w w:val="80"/>
                <w:sz w:val="21"/>
              </w:rPr>
              <w:t> </w:t>
            </w:r>
            <w:r>
              <w:rPr>
                <w:rFonts w:ascii="Times New Roman"/>
                <w:color w:val="1F1F1F"/>
                <w:spacing w:val="-8"/>
                <w:w w:val="80"/>
                <w:sz w:val="21"/>
              </w:rPr>
              <w:t>r</w:t>
            </w:r>
            <w:r>
              <w:rPr>
                <w:rFonts w:ascii="Times New Roman"/>
                <w:color w:val="3D3D3D"/>
                <w:spacing w:val="-8"/>
                <w:w w:val="80"/>
                <w:sz w:val="21"/>
              </w:rPr>
              <w:t>e</w:t>
              <w:tab/>
            </w:r>
            <w:r>
              <w:rPr>
                <w:rFonts w:ascii="Times New Roman"/>
                <w:color w:val="3D3D3D"/>
                <w:spacing w:val="3"/>
                <w:w w:val="90"/>
                <w:sz w:val="21"/>
              </w:rPr>
              <w:t>Un</w:t>
            </w:r>
            <w:r>
              <w:rPr>
                <w:rFonts w:ascii="Times New Roman"/>
                <w:color w:val="1F1F1F"/>
                <w:spacing w:val="3"/>
                <w:w w:val="90"/>
                <w:sz w:val="21"/>
              </w:rPr>
              <w:t>i </w:t>
            </w:r>
            <w:r>
              <w:rPr>
                <w:rFonts w:ascii="Times New Roman"/>
                <w:color w:val="3D3D3D"/>
                <w:w w:val="95"/>
                <w:sz w:val="21"/>
              </w:rPr>
              <w:t>ver </w:t>
            </w:r>
            <w:r>
              <w:rPr>
                <w:rFonts w:ascii="Times New Roman"/>
                <w:color w:val="3D3D3D"/>
                <w:spacing w:val="12"/>
                <w:w w:val="95"/>
                <w:sz w:val="21"/>
              </w:rPr>
              <w:t>s</w:t>
            </w:r>
            <w:r>
              <w:rPr>
                <w:rFonts w:ascii="Times New Roman"/>
                <w:color w:val="1F1F1F"/>
                <w:spacing w:val="12"/>
                <w:w w:val="95"/>
                <w:sz w:val="21"/>
              </w:rPr>
              <w:t>i</w:t>
            </w:r>
            <w:r>
              <w:rPr>
                <w:rFonts w:ascii="Times New Roman"/>
                <w:color w:val="1F1F1F"/>
                <w:spacing w:val="-26"/>
                <w:w w:val="95"/>
                <w:sz w:val="21"/>
              </w:rPr>
              <w:t> </w:t>
            </w:r>
            <w:r>
              <w:rPr>
                <w:rFonts w:ascii="Times New Roman"/>
                <w:color w:val="3D3D3D"/>
                <w:w w:val="95"/>
                <w:sz w:val="21"/>
              </w:rPr>
              <w:t>t y</w:t>
            </w:r>
          </w:p>
        </w:tc>
        <w:tc>
          <w:tcPr>
            <w:tcW w:w="990" w:type="dxa"/>
            <w:vMerge/>
            <w:tcBorders>
              <w:top w:val="nil"/>
            </w:tcBorders>
          </w:tcPr>
          <w:p>
            <w:pPr>
              <w:rPr>
                <w:sz w:val="2"/>
                <w:szCs w:val="2"/>
              </w:rPr>
            </w:pPr>
          </w:p>
        </w:tc>
      </w:tr>
      <w:tr>
        <w:trPr>
          <w:trHeight w:val="777" w:hRule="atLeast"/>
        </w:trPr>
        <w:tc>
          <w:tcPr>
            <w:tcW w:w="1278" w:type="dxa"/>
            <w:vMerge/>
            <w:tcBorders>
              <w:top w:val="nil"/>
            </w:tcBorders>
          </w:tcPr>
          <w:p>
            <w:pPr>
              <w:rPr>
                <w:sz w:val="2"/>
                <w:szCs w:val="2"/>
              </w:rPr>
            </w:pPr>
          </w:p>
        </w:tc>
        <w:tc>
          <w:tcPr>
            <w:tcW w:w="1430" w:type="dxa"/>
          </w:tcPr>
          <w:p>
            <w:pPr>
              <w:pStyle w:val="TableParagraph"/>
              <w:spacing w:before="6"/>
              <w:rPr>
                <w:sz w:val="23"/>
              </w:rPr>
            </w:pPr>
          </w:p>
          <w:p>
            <w:pPr>
              <w:pStyle w:val="TableParagraph"/>
              <w:ind w:right="74"/>
              <w:jc w:val="right"/>
              <w:rPr>
                <w:rFonts w:ascii="Times New Roman"/>
                <w:sz w:val="21"/>
              </w:rPr>
            </w:pPr>
            <w:r>
              <w:rPr>
                <w:rFonts w:ascii="Times New Roman"/>
                <w:color w:val="1F1F1F"/>
                <w:w w:val="105"/>
                <w:sz w:val="21"/>
              </w:rPr>
              <w:t>15</w:t>
            </w:r>
            <w:r>
              <w:rPr>
                <w:rFonts w:ascii="Times New Roman"/>
                <w:color w:val="030303"/>
                <w:w w:val="105"/>
                <w:sz w:val="21"/>
              </w:rPr>
              <w:t>: </w:t>
            </w:r>
            <w:r>
              <w:rPr>
                <w:rFonts w:ascii="Times New Roman"/>
                <w:color w:val="3D3D3D"/>
                <w:w w:val="105"/>
                <w:sz w:val="21"/>
              </w:rPr>
              <w:t>4</w:t>
            </w:r>
            <w:r>
              <w:rPr>
                <w:rFonts w:ascii="Times New Roman"/>
                <w:color w:val="1F1F1F"/>
                <w:w w:val="105"/>
                <w:sz w:val="21"/>
              </w:rPr>
              <w:t>5- 16: </w:t>
            </w:r>
            <w:r>
              <w:rPr>
                <w:rFonts w:ascii="Times New Roman"/>
                <w:color w:val="3D3D3D"/>
                <w:w w:val="105"/>
                <w:sz w:val="21"/>
              </w:rPr>
              <w:t>30</w:t>
            </w:r>
          </w:p>
        </w:tc>
        <w:tc>
          <w:tcPr>
            <w:tcW w:w="2578" w:type="dxa"/>
          </w:tcPr>
          <w:p>
            <w:pPr>
              <w:pStyle w:val="TableParagraph"/>
              <w:spacing w:line="340" w:lineRule="atLeast" w:before="54"/>
              <w:ind w:left="137" w:right="122" w:firstLine="12"/>
              <w:rPr>
                <w:sz w:val="20"/>
              </w:rPr>
            </w:pPr>
            <w:r>
              <w:rPr>
                <w:color w:val="3D3D3D"/>
                <w:sz w:val="20"/>
              </w:rPr>
              <w:t>临床药师来源于药学服务</w:t>
            </w:r>
            <w:r>
              <w:rPr>
                <w:color w:val="3D3D3D"/>
                <w:w w:val="105"/>
                <w:sz w:val="20"/>
              </w:rPr>
              <w:t>的科研素质培养</w:t>
            </w:r>
          </w:p>
        </w:tc>
        <w:tc>
          <w:tcPr>
            <w:tcW w:w="997" w:type="dxa"/>
          </w:tcPr>
          <w:p>
            <w:pPr>
              <w:pStyle w:val="TableParagraph"/>
              <w:spacing w:before="5"/>
              <w:rPr>
                <w:sz w:val="25"/>
              </w:rPr>
            </w:pPr>
          </w:p>
          <w:p>
            <w:pPr>
              <w:pStyle w:val="TableParagraph"/>
              <w:ind w:left="207"/>
              <w:rPr>
                <w:sz w:val="20"/>
              </w:rPr>
            </w:pPr>
            <w:r>
              <w:rPr>
                <w:color w:val="3D3D3D"/>
                <w:w w:val="105"/>
                <w:sz w:val="20"/>
              </w:rPr>
              <w:t>范国荣</w:t>
            </w:r>
          </w:p>
        </w:tc>
        <w:tc>
          <w:tcPr>
            <w:tcW w:w="2701" w:type="dxa"/>
          </w:tcPr>
          <w:p>
            <w:pPr>
              <w:pStyle w:val="TableParagraph"/>
              <w:rPr>
                <w:sz w:val="26"/>
              </w:rPr>
            </w:pPr>
          </w:p>
          <w:p>
            <w:pPr>
              <w:pStyle w:val="TableParagraph"/>
              <w:ind w:left="123"/>
              <w:rPr>
                <w:sz w:val="20"/>
              </w:rPr>
            </w:pPr>
            <w:r>
              <w:rPr>
                <w:color w:val="3D3D3D"/>
                <w:w w:val="105"/>
                <w:sz w:val="20"/>
              </w:rPr>
              <w:t>上海市第</w:t>
            </w:r>
            <w:r>
              <w:rPr>
                <w:color w:val="1F1F1F"/>
                <w:w w:val="105"/>
                <w:sz w:val="20"/>
              </w:rPr>
              <w:t>一</w:t>
            </w:r>
            <w:r>
              <w:rPr>
                <w:color w:val="3D3D3D"/>
                <w:w w:val="105"/>
                <w:sz w:val="20"/>
              </w:rPr>
              <w:t>人民医院</w:t>
            </w:r>
          </w:p>
        </w:tc>
        <w:tc>
          <w:tcPr>
            <w:tcW w:w="990" w:type="dxa"/>
            <w:vMerge w:val="restart"/>
          </w:tcPr>
          <w:p>
            <w:pPr>
              <w:pStyle w:val="TableParagraph"/>
              <w:rPr>
                <w:sz w:val="20"/>
              </w:rPr>
            </w:pPr>
          </w:p>
          <w:p>
            <w:pPr>
              <w:pStyle w:val="TableParagraph"/>
              <w:spacing w:before="8"/>
              <w:rPr>
                <w:sz w:val="20"/>
              </w:rPr>
            </w:pPr>
          </w:p>
          <w:p>
            <w:pPr>
              <w:pStyle w:val="TableParagraph"/>
              <w:spacing w:line="331" w:lineRule="auto"/>
              <w:ind w:left="173" w:right="168" w:firstLine="2"/>
              <w:rPr>
                <w:sz w:val="20"/>
              </w:rPr>
            </w:pPr>
            <w:r>
              <w:rPr>
                <w:color w:val="3D3D3D"/>
                <w:sz w:val="20"/>
              </w:rPr>
              <w:t>黄品芳杨建华</w:t>
            </w:r>
          </w:p>
        </w:tc>
      </w:tr>
      <w:tr>
        <w:trPr>
          <w:trHeight w:val="655" w:hRule="atLeast"/>
        </w:trPr>
        <w:tc>
          <w:tcPr>
            <w:tcW w:w="1278" w:type="dxa"/>
            <w:vMerge/>
            <w:tcBorders>
              <w:top w:val="nil"/>
            </w:tcBorders>
          </w:tcPr>
          <w:p>
            <w:pPr>
              <w:rPr>
                <w:sz w:val="2"/>
                <w:szCs w:val="2"/>
              </w:rPr>
            </w:pPr>
          </w:p>
        </w:tc>
        <w:tc>
          <w:tcPr>
            <w:tcW w:w="1430" w:type="dxa"/>
          </w:tcPr>
          <w:p>
            <w:pPr>
              <w:pStyle w:val="TableParagraph"/>
              <w:spacing w:before="12"/>
              <w:rPr>
                <w:sz w:val="18"/>
              </w:rPr>
            </w:pPr>
          </w:p>
          <w:p>
            <w:pPr>
              <w:pStyle w:val="TableParagraph"/>
              <w:ind w:right="89"/>
              <w:jc w:val="right"/>
              <w:rPr>
                <w:rFonts w:ascii="Times New Roman"/>
                <w:sz w:val="21"/>
              </w:rPr>
            </w:pPr>
            <w:r>
              <w:rPr>
                <w:rFonts w:ascii="Times New Roman"/>
                <w:color w:val="2D2D2D"/>
                <w:w w:val="110"/>
                <w:sz w:val="21"/>
              </w:rPr>
              <w:t>16:30-17:15</w:t>
            </w:r>
          </w:p>
        </w:tc>
        <w:tc>
          <w:tcPr>
            <w:tcW w:w="2578" w:type="dxa"/>
          </w:tcPr>
          <w:p>
            <w:pPr>
              <w:pStyle w:val="TableParagraph"/>
              <w:spacing w:line="340" w:lineRule="exact" w:before="8"/>
              <w:ind w:left="148" w:right="128" w:hanging="4"/>
              <w:rPr>
                <w:sz w:val="20"/>
              </w:rPr>
            </w:pPr>
            <w:r>
              <w:rPr>
                <w:color w:val="3D3D3D"/>
                <w:sz w:val="20"/>
              </w:rPr>
              <w:t>建模与模拟技术在药物临</w:t>
            </w:r>
            <w:r>
              <w:rPr>
                <w:color w:val="3D3D3D"/>
                <w:w w:val="105"/>
                <w:sz w:val="20"/>
              </w:rPr>
              <w:t>床研究中的应用</w:t>
            </w:r>
          </w:p>
        </w:tc>
        <w:tc>
          <w:tcPr>
            <w:tcW w:w="997" w:type="dxa"/>
          </w:tcPr>
          <w:p>
            <w:pPr>
              <w:pStyle w:val="TableParagraph"/>
              <w:spacing w:before="6"/>
              <w:rPr>
                <w:sz w:val="21"/>
              </w:rPr>
            </w:pPr>
          </w:p>
          <w:p>
            <w:pPr>
              <w:pStyle w:val="TableParagraph"/>
              <w:ind w:left="198"/>
              <w:rPr>
                <w:sz w:val="20"/>
              </w:rPr>
            </w:pPr>
            <w:r>
              <w:rPr>
                <w:color w:val="3D3D3D"/>
                <w:w w:val="105"/>
                <w:sz w:val="20"/>
              </w:rPr>
              <w:t>赵立波</w:t>
            </w:r>
          </w:p>
        </w:tc>
        <w:tc>
          <w:tcPr>
            <w:tcW w:w="2701" w:type="dxa"/>
          </w:tcPr>
          <w:p>
            <w:pPr>
              <w:pStyle w:val="TableParagraph"/>
              <w:spacing w:line="340" w:lineRule="atLeast" w:before="18"/>
              <w:ind w:left="120" w:right="501"/>
              <w:rPr>
                <w:sz w:val="20"/>
              </w:rPr>
            </w:pPr>
            <w:r>
              <w:rPr>
                <w:color w:val="3D3D3D"/>
                <w:sz w:val="20"/>
              </w:rPr>
              <w:t>首都医科大学附属北京</w:t>
            </w:r>
            <w:r>
              <w:rPr>
                <w:color w:val="2D2D2D"/>
                <w:w w:val="105"/>
                <w:sz w:val="20"/>
              </w:rPr>
              <w:t>儿童医院</w:t>
            </w:r>
          </w:p>
        </w:tc>
        <w:tc>
          <w:tcPr>
            <w:tcW w:w="990" w:type="dxa"/>
            <w:vMerge/>
            <w:tcBorders>
              <w:top w:val="nil"/>
            </w:tcBorders>
          </w:tcPr>
          <w:p>
            <w:pPr>
              <w:rPr>
                <w:sz w:val="2"/>
                <w:szCs w:val="2"/>
              </w:rPr>
            </w:pPr>
          </w:p>
        </w:tc>
      </w:tr>
      <w:tr>
        <w:trPr>
          <w:trHeight w:val="547" w:hRule="atLeast"/>
        </w:trPr>
        <w:tc>
          <w:tcPr>
            <w:tcW w:w="1278" w:type="dxa"/>
            <w:vMerge w:val="restart"/>
          </w:tcPr>
          <w:p>
            <w:pPr>
              <w:pStyle w:val="TableParagraph"/>
              <w:rPr>
                <w:sz w:val="22"/>
              </w:rPr>
            </w:pPr>
          </w:p>
          <w:p>
            <w:pPr>
              <w:pStyle w:val="TableParagraph"/>
              <w:rPr>
                <w:sz w:val="22"/>
              </w:rPr>
            </w:pPr>
          </w:p>
          <w:p>
            <w:pPr>
              <w:pStyle w:val="TableParagraph"/>
              <w:spacing w:before="6"/>
              <w:rPr>
                <w:sz w:val="28"/>
              </w:rPr>
            </w:pPr>
          </w:p>
          <w:p>
            <w:pPr>
              <w:pStyle w:val="TableParagraph"/>
              <w:ind w:left="128" w:right="26"/>
              <w:jc w:val="center"/>
              <w:rPr>
                <w:rFonts w:ascii="Times New Roman"/>
                <w:sz w:val="21"/>
              </w:rPr>
            </w:pPr>
            <w:r>
              <w:rPr>
                <w:rFonts w:ascii="Times New Roman"/>
                <w:color w:val="1F1F1F"/>
                <w:w w:val="110"/>
                <w:sz w:val="21"/>
              </w:rPr>
              <w:t>2019</w:t>
            </w:r>
            <w:r>
              <w:rPr>
                <w:rFonts w:ascii="Times New Roman"/>
                <w:color w:val="3D3D3D"/>
                <w:w w:val="110"/>
                <w:sz w:val="21"/>
              </w:rPr>
              <w:t>/ 8/ </w:t>
            </w:r>
            <w:r>
              <w:rPr>
                <w:rFonts w:ascii="Times New Roman"/>
                <w:color w:val="030303"/>
                <w:w w:val="110"/>
                <w:sz w:val="21"/>
              </w:rPr>
              <w:t>1</w:t>
            </w:r>
            <w:r>
              <w:rPr>
                <w:rFonts w:ascii="Times New Roman"/>
                <w:color w:val="2D2D2D"/>
                <w:w w:val="110"/>
                <w:sz w:val="21"/>
              </w:rPr>
              <w:t>0</w:t>
            </w:r>
          </w:p>
          <w:p>
            <w:pPr>
              <w:pStyle w:val="TableParagraph"/>
              <w:spacing w:line="316" w:lineRule="auto" w:before="94"/>
              <w:ind w:left="135" w:right="67" w:hanging="49"/>
              <w:jc w:val="center"/>
              <w:rPr>
                <w:sz w:val="21"/>
              </w:rPr>
            </w:pPr>
            <w:r>
              <w:rPr>
                <w:color w:val="3D3D3D"/>
                <w:sz w:val="20"/>
              </w:rPr>
              <w:t>（分会场</w:t>
            </w:r>
            <w:r>
              <w:rPr>
                <w:color w:val="1F1F1F"/>
                <w:w w:val="95"/>
                <w:sz w:val="20"/>
              </w:rPr>
              <w:t>： </w:t>
            </w:r>
            <w:r>
              <w:rPr>
                <w:color w:val="3D3D3D"/>
                <w:sz w:val="20"/>
              </w:rPr>
              <w:t>处方审核论</w:t>
            </w:r>
            <w:r>
              <w:rPr>
                <w:color w:val="3D3D3D"/>
                <w:w w:val="95"/>
                <w:sz w:val="21"/>
              </w:rPr>
              <w:t>坛）</w:t>
            </w:r>
          </w:p>
        </w:tc>
        <w:tc>
          <w:tcPr>
            <w:tcW w:w="1430" w:type="dxa"/>
          </w:tcPr>
          <w:p>
            <w:pPr>
              <w:pStyle w:val="TableParagraph"/>
              <w:spacing w:before="157"/>
              <w:ind w:right="90"/>
              <w:jc w:val="right"/>
              <w:rPr>
                <w:rFonts w:ascii="Times New Roman"/>
                <w:sz w:val="21"/>
              </w:rPr>
            </w:pPr>
            <w:r>
              <w:rPr>
                <w:rFonts w:ascii="Times New Roman"/>
                <w:color w:val="1F1F1F"/>
                <w:w w:val="110"/>
                <w:sz w:val="21"/>
              </w:rPr>
              <w:t>13: 30</w:t>
            </w:r>
            <w:r>
              <w:rPr>
                <w:rFonts w:ascii="Times New Roman"/>
                <w:color w:val="3D3D3D"/>
                <w:w w:val="110"/>
                <w:sz w:val="21"/>
              </w:rPr>
              <w:t>- </w:t>
            </w:r>
            <w:r>
              <w:rPr>
                <w:rFonts w:ascii="Times New Roman"/>
                <w:color w:val="1F1F1F"/>
                <w:w w:val="110"/>
                <w:sz w:val="21"/>
              </w:rPr>
              <w:t>14: 1</w:t>
            </w:r>
            <w:r>
              <w:rPr>
                <w:rFonts w:ascii="Times New Roman"/>
                <w:color w:val="3D3D3D"/>
                <w:w w:val="110"/>
                <w:sz w:val="21"/>
              </w:rPr>
              <w:t>5</w:t>
            </w:r>
          </w:p>
        </w:tc>
        <w:tc>
          <w:tcPr>
            <w:tcW w:w="2578" w:type="dxa"/>
          </w:tcPr>
          <w:p>
            <w:pPr>
              <w:pStyle w:val="TableParagraph"/>
              <w:spacing w:before="167"/>
              <w:ind w:left="146"/>
              <w:rPr>
                <w:sz w:val="20"/>
              </w:rPr>
            </w:pPr>
            <w:r>
              <w:rPr>
                <w:color w:val="2D2D2D"/>
                <w:w w:val="105"/>
                <w:sz w:val="20"/>
              </w:rPr>
              <w:t>抗肿瘤药物专项</w:t>
            </w:r>
            <w:r>
              <w:rPr>
                <w:color w:val="4F4F4F"/>
                <w:w w:val="105"/>
                <w:sz w:val="20"/>
              </w:rPr>
              <w:t>处方评价</w:t>
            </w:r>
          </w:p>
        </w:tc>
        <w:tc>
          <w:tcPr>
            <w:tcW w:w="997" w:type="dxa"/>
          </w:tcPr>
          <w:p>
            <w:pPr>
              <w:pStyle w:val="TableParagraph"/>
              <w:spacing w:before="2"/>
              <w:rPr>
                <w:sz w:val="14"/>
              </w:rPr>
            </w:pPr>
          </w:p>
          <w:p>
            <w:pPr>
              <w:pStyle w:val="TableParagraph"/>
              <w:spacing w:before="1"/>
              <w:ind w:left="195"/>
              <w:rPr>
                <w:sz w:val="20"/>
              </w:rPr>
            </w:pPr>
            <w:r>
              <w:rPr>
                <w:color w:val="3D3D3D"/>
                <w:w w:val="105"/>
                <w:sz w:val="20"/>
              </w:rPr>
              <w:t>李国辉</w:t>
            </w:r>
          </w:p>
        </w:tc>
        <w:tc>
          <w:tcPr>
            <w:tcW w:w="2701" w:type="dxa"/>
          </w:tcPr>
          <w:p>
            <w:pPr>
              <w:pStyle w:val="TableParagraph"/>
              <w:spacing w:before="4"/>
              <w:rPr>
                <w:sz w:val="15"/>
              </w:rPr>
            </w:pPr>
          </w:p>
          <w:p>
            <w:pPr>
              <w:pStyle w:val="TableParagraph"/>
              <w:ind w:left="120"/>
              <w:rPr>
                <w:sz w:val="20"/>
              </w:rPr>
            </w:pPr>
            <w:r>
              <w:rPr>
                <w:color w:val="3D3D3D"/>
                <w:w w:val="105"/>
                <w:sz w:val="20"/>
              </w:rPr>
              <w:t>中国医学科学院肿瘤医院</w:t>
            </w:r>
          </w:p>
        </w:tc>
        <w:tc>
          <w:tcPr>
            <w:tcW w:w="990" w:type="dxa"/>
            <w:vMerge w:val="restart"/>
            <w:tcBorders>
              <w:bottom w:val="single" w:sz="4" w:space="0" w:color="000000"/>
            </w:tcBorders>
          </w:tcPr>
          <w:p>
            <w:pPr>
              <w:pStyle w:val="TableParagraph"/>
              <w:rPr>
                <w:sz w:val="20"/>
              </w:rPr>
            </w:pPr>
          </w:p>
          <w:p>
            <w:pPr>
              <w:pStyle w:val="TableParagraph"/>
              <w:rPr>
                <w:sz w:val="20"/>
              </w:rPr>
            </w:pPr>
          </w:p>
          <w:p>
            <w:pPr>
              <w:pStyle w:val="TableParagraph"/>
              <w:spacing w:before="172"/>
              <w:ind w:left="162"/>
              <w:rPr>
                <w:sz w:val="21"/>
              </w:rPr>
            </w:pPr>
            <w:r>
              <w:rPr>
                <w:color w:val="3D3D3D"/>
                <w:w w:val="105"/>
                <w:sz w:val="21"/>
              </w:rPr>
              <w:t>张峻</w:t>
            </w:r>
          </w:p>
          <w:p>
            <w:pPr>
              <w:pStyle w:val="TableParagraph"/>
              <w:spacing w:before="79"/>
              <w:ind w:left="159"/>
              <w:rPr>
                <w:sz w:val="20"/>
              </w:rPr>
            </w:pPr>
            <w:r>
              <w:rPr>
                <w:color w:val="3D3D3D"/>
                <w:w w:val="105"/>
                <w:sz w:val="20"/>
              </w:rPr>
              <w:t>杜书章</w:t>
            </w:r>
          </w:p>
        </w:tc>
      </w:tr>
      <w:tr>
        <w:trPr>
          <w:trHeight w:val="669" w:hRule="atLeast"/>
        </w:trPr>
        <w:tc>
          <w:tcPr>
            <w:tcW w:w="1278" w:type="dxa"/>
            <w:vMerge/>
            <w:tcBorders>
              <w:top w:val="nil"/>
            </w:tcBorders>
          </w:tcPr>
          <w:p>
            <w:pPr>
              <w:rPr>
                <w:sz w:val="2"/>
                <w:szCs w:val="2"/>
              </w:rPr>
            </w:pPr>
          </w:p>
        </w:tc>
        <w:tc>
          <w:tcPr>
            <w:tcW w:w="1430" w:type="dxa"/>
            <w:tcBorders>
              <w:bottom w:val="single" w:sz="4" w:space="0" w:color="000000"/>
            </w:tcBorders>
          </w:tcPr>
          <w:p>
            <w:pPr>
              <w:pStyle w:val="TableParagraph"/>
              <w:spacing w:before="193"/>
              <w:ind w:right="89"/>
              <w:jc w:val="right"/>
              <w:rPr>
                <w:rFonts w:ascii="Times New Roman"/>
                <w:sz w:val="21"/>
              </w:rPr>
            </w:pPr>
            <w:r>
              <w:rPr>
                <w:rFonts w:ascii="Times New Roman"/>
                <w:color w:val="1F1F1F"/>
                <w:w w:val="105"/>
                <w:sz w:val="21"/>
              </w:rPr>
              <w:t>14</w:t>
            </w:r>
            <w:r>
              <w:rPr>
                <w:rFonts w:ascii="Times New Roman"/>
                <w:color w:val="030303"/>
                <w:w w:val="105"/>
                <w:sz w:val="21"/>
              </w:rPr>
              <w:t>: </w:t>
            </w:r>
            <w:r>
              <w:rPr>
                <w:rFonts w:ascii="Times New Roman"/>
                <w:color w:val="1F1F1F"/>
                <w:w w:val="105"/>
                <w:sz w:val="21"/>
              </w:rPr>
              <w:t>15- 15: 00</w:t>
            </w:r>
          </w:p>
        </w:tc>
        <w:tc>
          <w:tcPr>
            <w:tcW w:w="2578" w:type="dxa"/>
            <w:tcBorders>
              <w:bottom w:val="single" w:sz="4" w:space="0" w:color="000000"/>
            </w:tcBorders>
          </w:tcPr>
          <w:p>
            <w:pPr>
              <w:pStyle w:val="TableParagraph"/>
              <w:spacing w:before="5"/>
              <w:rPr>
                <w:sz w:val="16"/>
              </w:rPr>
            </w:pPr>
          </w:p>
          <w:p>
            <w:pPr>
              <w:pStyle w:val="TableParagraph"/>
              <w:ind w:left="130"/>
              <w:rPr>
                <w:sz w:val="20"/>
              </w:rPr>
            </w:pPr>
            <w:r>
              <w:rPr>
                <w:color w:val="3D3D3D"/>
                <w:w w:val="105"/>
                <w:sz w:val="20"/>
              </w:rPr>
              <w:t>疼痛药物专项处方评价</w:t>
            </w:r>
          </w:p>
        </w:tc>
        <w:tc>
          <w:tcPr>
            <w:tcW w:w="997" w:type="dxa"/>
            <w:tcBorders>
              <w:bottom w:val="single" w:sz="4" w:space="0" w:color="000000"/>
            </w:tcBorders>
          </w:tcPr>
          <w:p>
            <w:pPr>
              <w:pStyle w:val="TableParagraph"/>
              <w:spacing w:before="7"/>
              <w:rPr>
                <w:sz w:val="17"/>
              </w:rPr>
            </w:pPr>
          </w:p>
          <w:p>
            <w:pPr>
              <w:pStyle w:val="TableParagraph"/>
              <w:ind w:left="184"/>
              <w:rPr>
                <w:sz w:val="20"/>
              </w:rPr>
            </w:pPr>
            <w:r>
              <w:rPr>
                <w:color w:val="3D3D3D"/>
                <w:w w:val="105"/>
                <w:sz w:val="20"/>
              </w:rPr>
              <w:t>郭澄</w:t>
            </w:r>
          </w:p>
        </w:tc>
        <w:tc>
          <w:tcPr>
            <w:tcW w:w="2701" w:type="dxa"/>
            <w:tcBorders>
              <w:bottom w:val="single" w:sz="4" w:space="0" w:color="000000"/>
            </w:tcBorders>
          </w:tcPr>
          <w:p>
            <w:pPr>
              <w:pStyle w:val="TableParagraph"/>
              <w:spacing w:before="1"/>
              <w:rPr>
                <w:sz w:val="18"/>
              </w:rPr>
            </w:pPr>
          </w:p>
          <w:p>
            <w:pPr>
              <w:pStyle w:val="TableParagraph"/>
              <w:ind w:left="108"/>
              <w:rPr>
                <w:sz w:val="20"/>
              </w:rPr>
            </w:pPr>
            <w:r>
              <w:rPr>
                <w:color w:val="3D3D3D"/>
                <w:w w:val="105"/>
                <w:sz w:val="20"/>
              </w:rPr>
              <w:t>上海市第六人民医院</w:t>
            </w:r>
          </w:p>
        </w:tc>
        <w:tc>
          <w:tcPr>
            <w:tcW w:w="990" w:type="dxa"/>
            <w:vMerge/>
            <w:tcBorders>
              <w:top w:val="nil"/>
              <w:bottom w:val="single" w:sz="4" w:space="0" w:color="000000"/>
            </w:tcBorders>
          </w:tcPr>
          <w:p>
            <w:pPr>
              <w:rPr>
                <w:sz w:val="2"/>
                <w:szCs w:val="2"/>
              </w:rPr>
            </w:pPr>
          </w:p>
        </w:tc>
      </w:tr>
      <w:tr>
        <w:trPr>
          <w:trHeight w:val="648" w:hRule="atLeast"/>
        </w:trPr>
        <w:tc>
          <w:tcPr>
            <w:tcW w:w="1278" w:type="dxa"/>
            <w:vMerge/>
            <w:tcBorders>
              <w:top w:val="nil"/>
            </w:tcBorders>
          </w:tcPr>
          <w:p>
            <w:pPr>
              <w:rPr>
                <w:sz w:val="2"/>
                <w:szCs w:val="2"/>
              </w:rPr>
            </w:pPr>
          </w:p>
        </w:tc>
        <w:tc>
          <w:tcPr>
            <w:tcW w:w="1430" w:type="dxa"/>
            <w:tcBorders>
              <w:top w:val="single" w:sz="4" w:space="0" w:color="000000"/>
              <w:bottom w:val="single" w:sz="4" w:space="0" w:color="000000"/>
            </w:tcBorders>
          </w:tcPr>
          <w:p>
            <w:pPr>
              <w:pStyle w:val="TableParagraph"/>
              <w:spacing w:before="149"/>
              <w:ind w:right="83"/>
              <w:jc w:val="right"/>
              <w:rPr>
                <w:rFonts w:ascii="Times New Roman"/>
                <w:sz w:val="21"/>
              </w:rPr>
            </w:pPr>
            <w:r>
              <w:rPr>
                <w:rFonts w:ascii="Times New Roman"/>
                <w:color w:val="030303"/>
                <w:sz w:val="21"/>
              </w:rPr>
              <w:t>1 </w:t>
            </w:r>
            <w:r>
              <w:rPr>
                <w:rFonts w:ascii="Times New Roman"/>
                <w:color w:val="3D3D3D"/>
                <w:sz w:val="21"/>
              </w:rPr>
              <w:t>5 </w:t>
            </w:r>
            <w:r>
              <w:rPr>
                <w:rFonts w:ascii="Times New Roman"/>
                <w:color w:val="1F1F1F"/>
                <w:sz w:val="21"/>
              </w:rPr>
              <w:t>: 00-1</w:t>
            </w:r>
            <w:r>
              <w:rPr>
                <w:rFonts w:ascii="Times New Roman"/>
                <w:color w:val="3D3D3D"/>
                <w:sz w:val="21"/>
              </w:rPr>
              <w:t>5</w:t>
            </w:r>
            <w:r>
              <w:rPr>
                <w:rFonts w:ascii="Times New Roman"/>
                <w:color w:val="1F1F1F"/>
                <w:sz w:val="21"/>
              </w:rPr>
              <w:t>: </w:t>
            </w:r>
            <w:r>
              <w:rPr>
                <w:rFonts w:ascii="Times New Roman"/>
                <w:color w:val="3D3D3D"/>
                <w:sz w:val="21"/>
              </w:rPr>
              <w:t>45</w:t>
            </w:r>
          </w:p>
        </w:tc>
        <w:tc>
          <w:tcPr>
            <w:tcW w:w="2578" w:type="dxa"/>
            <w:tcBorders>
              <w:top w:val="single" w:sz="4" w:space="0" w:color="000000"/>
              <w:bottom w:val="single" w:sz="4" w:space="0" w:color="000000"/>
            </w:tcBorders>
          </w:tcPr>
          <w:p>
            <w:pPr>
              <w:pStyle w:val="TableParagraph"/>
              <w:spacing w:before="160"/>
              <w:ind w:left="135"/>
              <w:rPr>
                <w:sz w:val="20"/>
              </w:rPr>
            </w:pPr>
            <w:r>
              <w:rPr>
                <w:color w:val="3D3D3D"/>
                <w:w w:val="105"/>
                <w:sz w:val="20"/>
              </w:rPr>
              <w:t>中成药处方评价</w:t>
            </w:r>
          </w:p>
        </w:tc>
        <w:tc>
          <w:tcPr>
            <w:tcW w:w="997" w:type="dxa"/>
            <w:tcBorders>
              <w:top w:val="single" w:sz="4" w:space="0" w:color="000000"/>
              <w:bottom w:val="single" w:sz="4" w:space="0" w:color="000000"/>
            </w:tcBorders>
          </w:tcPr>
          <w:p>
            <w:pPr>
              <w:pStyle w:val="TableParagraph"/>
              <w:spacing w:before="174"/>
              <w:ind w:left="194"/>
              <w:rPr>
                <w:sz w:val="20"/>
              </w:rPr>
            </w:pPr>
            <w:r>
              <w:rPr>
                <w:color w:val="3D3D3D"/>
                <w:sz w:val="20"/>
              </w:rPr>
              <w:t>曹俊蛉</w:t>
            </w:r>
          </w:p>
        </w:tc>
        <w:tc>
          <w:tcPr>
            <w:tcW w:w="2701" w:type="dxa"/>
            <w:tcBorders>
              <w:top w:val="single" w:sz="4" w:space="0" w:color="000000"/>
              <w:bottom w:val="single" w:sz="4" w:space="0" w:color="000000"/>
            </w:tcBorders>
          </w:tcPr>
          <w:p>
            <w:pPr>
              <w:pStyle w:val="TableParagraph"/>
              <w:spacing w:before="16"/>
              <w:ind w:left="114"/>
              <w:rPr>
                <w:sz w:val="20"/>
              </w:rPr>
            </w:pPr>
            <w:r>
              <w:rPr>
                <w:color w:val="3D3D3D"/>
                <w:sz w:val="20"/>
              </w:rPr>
              <w:t>北京中医药大学东直门</w:t>
            </w:r>
          </w:p>
          <w:p>
            <w:pPr>
              <w:pStyle w:val="TableParagraph"/>
              <w:spacing w:before="75"/>
              <w:ind w:left="115"/>
              <w:rPr>
                <w:sz w:val="20"/>
              </w:rPr>
            </w:pPr>
            <w:r>
              <w:rPr>
                <w:color w:val="3D3D3D"/>
                <w:w w:val="105"/>
                <w:sz w:val="20"/>
              </w:rPr>
              <w:t>医院</w:t>
            </w:r>
          </w:p>
        </w:tc>
        <w:tc>
          <w:tcPr>
            <w:tcW w:w="990" w:type="dxa"/>
            <w:vMerge/>
            <w:tcBorders>
              <w:top w:val="nil"/>
              <w:bottom w:val="single" w:sz="4" w:space="0" w:color="000000"/>
            </w:tcBorders>
          </w:tcPr>
          <w:p>
            <w:pPr>
              <w:rPr>
                <w:sz w:val="2"/>
                <w:szCs w:val="2"/>
              </w:rPr>
            </w:pPr>
          </w:p>
        </w:tc>
      </w:tr>
      <w:tr>
        <w:trPr>
          <w:trHeight w:val="568" w:hRule="atLeast"/>
        </w:trPr>
        <w:tc>
          <w:tcPr>
            <w:tcW w:w="1278" w:type="dxa"/>
            <w:vMerge/>
            <w:tcBorders>
              <w:top w:val="nil"/>
            </w:tcBorders>
          </w:tcPr>
          <w:p>
            <w:pPr>
              <w:rPr>
                <w:sz w:val="2"/>
                <w:szCs w:val="2"/>
              </w:rPr>
            </w:pPr>
          </w:p>
        </w:tc>
        <w:tc>
          <w:tcPr>
            <w:tcW w:w="1430" w:type="dxa"/>
            <w:tcBorders>
              <w:top w:val="single" w:sz="4" w:space="0" w:color="000000"/>
              <w:bottom w:val="single" w:sz="4" w:space="0" w:color="000000"/>
            </w:tcBorders>
          </w:tcPr>
          <w:p>
            <w:pPr>
              <w:pStyle w:val="TableParagraph"/>
              <w:spacing w:before="106"/>
              <w:ind w:right="102"/>
              <w:jc w:val="right"/>
              <w:rPr>
                <w:rFonts w:ascii="Times New Roman"/>
                <w:sz w:val="21"/>
              </w:rPr>
            </w:pPr>
            <w:r>
              <w:rPr>
                <w:rFonts w:ascii="Times New Roman"/>
                <w:color w:val="2D2D2D"/>
                <w:sz w:val="21"/>
              </w:rPr>
              <w:t>15:</w:t>
            </w:r>
            <w:r>
              <w:rPr>
                <w:rFonts w:ascii="Times New Roman"/>
                <w:color w:val="2D2D2D"/>
                <w:spacing w:val="-9"/>
                <w:sz w:val="21"/>
              </w:rPr>
              <w:t> </w:t>
            </w:r>
            <w:r>
              <w:rPr>
                <w:rFonts w:ascii="Times New Roman"/>
                <w:color w:val="2D2D2D"/>
                <w:sz w:val="21"/>
              </w:rPr>
              <w:t>45</w:t>
            </w:r>
            <w:r>
              <w:rPr>
                <w:rFonts w:ascii="Times New Roman"/>
                <w:color w:val="2D2D2D"/>
                <w:spacing w:val="-36"/>
                <w:sz w:val="21"/>
              </w:rPr>
              <w:t> </w:t>
            </w:r>
            <w:r>
              <w:rPr>
                <w:rFonts w:ascii="Times New Roman"/>
                <w:color w:val="4F4F4F"/>
                <w:sz w:val="21"/>
              </w:rPr>
              <w:t>-</w:t>
            </w:r>
            <w:r>
              <w:rPr>
                <w:rFonts w:ascii="Times New Roman"/>
                <w:color w:val="4F4F4F"/>
                <w:spacing w:val="-31"/>
                <w:sz w:val="21"/>
              </w:rPr>
              <w:t> </w:t>
            </w:r>
            <w:r>
              <w:rPr>
                <w:rFonts w:ascii="Times New Roman"/>
                <w:color w:val="030303"/>
                <w:sz w:val="21"/>
              </w:rPr>
              <w:t>1</w:t>
            </w:r>
            <w:r>
              <w:rPr>
                <w:rFonts w:ascii="Times New Roman"/>
                <w:color w:val="030303"/>
                <w:spacing w:val="-41"/>
                <w:sz w:val="21"/>
              </w:rPr>
              <w:t> </w:t>
            </w:r>
            <w:r>
              <w:rPr>
                <w:rFonts w:ascii="Times New Roman"/>
                <w:color w:val="3D3D3D"/>
                <w:sz w:val="21"/>
              </w:rPr>
              <w:t>6:</w:t>
            </w:r>
            <w:r>
              <w:rPr>
                <w:rFonts w:ascii="Times New Roman"/>
                <w:color w:val="3D3D3D"/>
                <w:spacing w:val="-19"/>
                <w:sz w:val="21"/>
              </w:rPr>
              <w:t> </w:t>
            </w:r>
            <w:r>
              <w:rPr>
                <w:rFonts w:ascii="Times New Roman"/>
                <w:color w:val="3D3D3D"/>
                <w:sz w:val="21"/>
              </w:rPr>
              <w:t>3</w:t>
            </w:r>
            <w:r>
              <w:rPr>
                <w:rFonts w:ascii="Times New Roman"/>
                <w:color w:val="3D3D3D"/>
                <w:spacing w:val="-45"/>
                <w:sz w:val="21"/>
              </w:rPr>
              <w:t> </w:t>
            </w:r>
            <w:r>
              <w:rPr>
                <w:rFonts w:ascii="Times New Roman"/>
                <w:color w:val="1F1F1F"/>
                <w:sz w:val="21"/>
              </w:rPr>
              <w:t>0</w:t>
            </w:r>
          </w:p>
        </w:tc>
        <w:tc>
          <w:tcPr>
            <w:tcW w:w="2578" w:type="dxa"/>
            <w:tcBorders>
              <w:top w:val="single" w:sz="4" w:space="0" w:color="000000"/>
              <w:bottom w:val="single" w:sz="4" w:space="0" w:color="000000"/>
            </w:tcBorders>
          </w:tcPr>
          <w:p>
            <w:pPr>
              <w:pStyle w:val="TableParagraph"/>
              <w:spacing w:before="124"/>
              <w:ind w:left="126"/>
              <w:rPr>
                <w:sz w:val="20"/>
              </w:rPr>
            </w:pPr>
            <w:r>
              <w:rPr>
                <w:color w:val="3D3D3D"/>
                <w:w w:val="105"/>
                <w:sz w:val="20"/>
              </w:rPr>
              <w:t>营养相关药物处方评价</w:t>
            </w:r>
          </w:p>
        </w:tc>
        <w:tc>
          <w:tcPr>
            <w:tcW w:w="997" w:type="dxa"/>
            <w:tcBorders>
              <w:top w:val="single" w:sz="4" w:space="0" w:color="000000"/>
              <w:bottom w:val="single" w:sz="4" w:space="0" w:color="000000"/>
              <w:right w:val="single" w:sz="4" w:space="0" w:color="000000"/>
            </w:tcBorders>
          </w:tcPr>
          <w:p>
            <w:pPr>
              <w:pStyle w:val="TableParagraph"/>
              <w:spacing w:before="138"/>
              <w:ind w:left="181"/>
              <w:rPr>
                <w:sz w:val="20"/>
              </w:rPr>
            </w:pPr>
            <w:r>
              <w:rPr>
                <w:color w:val="3D3D3D"/>
                <w:sz w:val="20"/>
              </w:rPr>
              <w:t>李晓宇</w:t>
            </w:r>
          </w:p>
        </w:tc>
        <w:tc>
          <w:tcPr>
            <w:tcW w:w="2701" w:type="dxa"/>
            <w:tcBorders>
              <w:top w:val="single" w:sz="4" w:space="0" w:color="000000"/>
              <w:left w:val="single" w:sz="4" w:space="0" w:color="000000"/>
              <w:bottom w:val="single" w:sz="4" w:space="0" w:color="000000"/>
              <w:right w:val="single" w:sz="4" w:space="0" w:color="000000"/>
            </w:tcBorders>
          </w:tcPr>
          <w:p>
            <w:pPr>
              <w:pStyle w:val="TableParagraph"/>
              <w:spacing w:before="145"/>
              <w:ind w:left="114"/>
              <w:rPr>
                <w:sz w:val="20"/>
              </w:rPr>
            </w:pPr>
            <w:r>
              <w:rPr>
                <w:color w:val="3D3D3D"/>
                <w:w w:val="105"/>
                <w:sz w:val="20"/>
              </w:rPr>
              <w:t>复旦大学附属中山医院</w:t>
            </w:r>
          </w:p>
        </w:tc>
        <w:tc>
          <w:tcPr>
            <w:tcW w:w="990" w:type="dxa"/>
            <w:vMerge w:val="restart"/>
            <w:tcBorders>
              <w:top w:val="single" w:sz="4" w:space="0" w:color="000000"/>
              <w:left w:val="single" w:sz="4" w:space="0" w:color="000000"/>
              <w:right w:val="single" w:sz="4" w:space="0" w:color="000000"/>
            </w:tcBorders>
          </w:tcPr>
          <w:p>
            <w:pPr>
              <w:pStyle w:val="TableParagraph"/>
              <w:spacing w:before="2"/>
              <w:rPr>
                <w:sz w:val="25"/>
              </w:rPr>
            </w:pPr>
          </w:p>
          <w:p>
            <w:pPr>
              <w:pStyle w:val="TableParagraph"/>
              <w:spacing w:before="1"/>
              <w:ind w:left="164"/>
              <w:rPr>
                <w:sz w:val="21"/>
              </w:rPr>
            </w:pPr>
            <w:r>
              <w:rPr>
                <w:color w:val="3D3D3D"/>
                <w:w w:val="105"/>
                <w:sz w:val="21"/>
              </w:rPr>
              <w:t>魏理</w:t>
            </w:r>
          </w:p>
          <w:p>
            <w:pPr>
              <w:pStyle w:val="TableParagraph"/>
              <w:spacing w:before="87"/>
              <w:ind w:left="170"/>
              <w:rPr>
                <w:sz w:val="20"/>
              </w:rPr>
            </w:pPr>
            <w:r>
              <w:rPr>
                <w:color w:val="3D3D3D"/>
                <w:sz w:val="20"/>
              </w:rPr>
              <w:t>欧阳华</w:t>
            </w:r>
          </w:p>
        </w:tc>
      </w:tr>
      <w:tr>
        <w:trPr>
          <w:trHeight w:val="604" w:hRule="atLeast"/>
        </w:trPr>
        <w:tc>
          <w:tcPr>
            <w:tcW w:w="1278" w:type="dxa"/>
            <w:vMerge/>
            <w:tcBorders>
              <w:top w:val="nil"/>
            </w:tcBorders>
          </w:tcPr>
          <w:p>
            <w:pPr>
              <w:rPr>
                <w:sz w:val="2"/>
                <w:szCs w:val="2"/>
              </w:rPr>
            </w:pPr>
          </w:p>
        </w:tc>
        <w:tc>
          <w:tcPr>
            <w:tcW w:w="1430" w:type="dxa"/>
            <w:tcBorders>
              <w:top w:val="single" w:sz="4" w:space="0" w:color="000000"/>
            </w:tcBorders>
          </w:tcPr>
          <w:p>
            <w:pPr>
              <w:pStyle w:val="TableParagraph"/>
              <w:spacing w:before="157"/>
              <w:ind w:right="97"/>
              <w:jc w:val="right"/>
              <w:rPr>
                <w:rFonts w:ascii="Times New Roman"/>
                <w:sz w:val="21"/>
              </w:rPr>
            </w:pPr>
            <w:r>
              <w:rPr>
                <w:rFonts w:ascii="Times New Roman"/>
                <w:color w:val="1F1F1F"/>
                <w:w w:val="110"/>
                <w:sz w:val="21"/>
              </w:rPr>
              <w:t>1</w:t>
            </w:r>
            <w:r>
              <w:rPr>
                <w:rFonts w:ascii="Times New Roman"/>
                <w:color w:val="3D3D3D"/>
                <w:w w:val="110"/>
                <w:sz w:val="21"/>
              </w:rPr>
              <w:t>6</w:t>
            </w:r>
            <w:r>
              <w:rPr>
                <w:rFonts w:ascii="Times New Roman"/>
                <w:color w:val="030303"/>
                <w:w w:val="110"/>
                <w:sz w:val="21"/>
              </w:rPr>
              <w:t>: </w:t>
            </w:r>
            <w:r>
              <w:rPr>
                <w:rFonts w:ascii="Times New Roman"/>
                <w:color w:val="3D3D3D"/>
                <w:w w:val="110"/>
                <w:sz w:val="21"/>
              </w:rPr>
              <w:t>3</w:t>
            </w:r>
            <w:r>
              <w:rPr>
                <w:rFonts w:ascii="Times New Roman"/>
                <w:color w:val="1F1F1F"/>
                <w:w w:val="110"/>
                <w:sz w:val="21"/>
              </w:rPr>
              <w:t>0</w:t>
            </w:r>
            <w:r>
              <w:rPr>
                <w:rFonts w:ascii="Times New Roman"/>
                <w:color w:val="4F4F4F"/>
                <w:w w:val="110"/>
                <w:sz w:val="21"/>
              </w:rPr>
              <w:t>- </w:t>
            </w:r>
            <w:r>
              <w:rPr>
                <w:rFonts w:ascii="Times New Roman"/>
                <w:color w:val="1F1F1F"/>
                <w:w w:val="110"/>
                <w:sz w:val="21"/>
              </w:rPr>
              <w:t>17:15</w:t>
            </w:r>
          </w:p>
        </w:tc>
        <w:tc>
          <w:tcPr>
            <w:tcW w:w="2578" w:type="dxa"/>
            <w:tcBorders>
              <w:top w:val="single" w:sz="4" w:space="0" w:color="000000"/>
            </w:tcBorders>
          </w:tcPr>
          <w:p>
            <w:pPr>
              <w:pStyle w:val="TableParagraph"/>
              <w:spacing w:before="167"/>
              <w:ind w:left="117"/>
              <w:rPr>
                <w:sz w:val="20"/>
              </w:rPr>
            </w:pPr>
            <w:r>
              <w:rPr>
                <w:color w:val="3D3D3D"/>
                <w:w w:val="105"/>
                <w:sz w:val="20"/>
              </w:rPr>
              <w:t>信息化助力智慧药房</w:t>
            </w:r>
          </w:p>
        </w:tc>
        <w:tc>
          <w:tcPr>
            <w:tcW w:w="997" w:type="dxa"/>
            <w:tcBorders>
              <w:top w:val="single" w:sz="4" w:space="0" w:color="000000"/>
            </w:tcBorders>
          </w:tcPr>
          <w:p>
            <w:pPr>
              <w:pStyle w:val="TableParagraph"/>
              <w:spacing w:before="179"/>
              <w:ind w:left="174"/>
              <w:rPr>
                <w:sz w:val="21"/>
              </w:rPr>
            </w:pPr>
            <w:r>
              <w:rPr>
                <w:color w:val="3D3D3D"/>
                <w:sz w:val="21"/>
              </w:rPr>
              <w:t>沈爱宗</w:t>
            </w:r>
          </w:p>
        </w:tc>
        <w:tc>
          <w:tcPr>
            <w:tcW w:w="2701" w:type="dxa"/>
            <w:tcBorders>
              <w:top w:val="single" w:sz="4" w:space="0" w:color="000000"/>
              <w:right w:val="single" w:sz="4" w:space="0" w:color="000000"/>
            </w:tcBorders>
          </w:tcPr>
          <w:p>
            <w:pPr>
              <w:pStyle w:val="TableParagraph"/>
              <w:spacing w:before="23"/>
              <w:ind w:left="105"/>
              <w:rPr>
                <w:sz w:val="20"/>
              </w:rPr>
            </w:pPr>
            <w:r>
              <w:rPr>
                <w:color w:val="3D3D3D"/>
                <w:w w:val="105"/>
                <w:sz w:val="20"/>
              </w:rPr>
              <w:t>中国科学技术大学附属</w:t>
            </w:r>
          </w:p>
          <w:p>
            <w:pPr>
              <w:pStyle w:val="TableParagraph"/>
              <w:spacing w:line="223" w:lineRule="exact" w:before="82"/>
              <w:ind w:left="110"/>
              <w:rPr>
                <w:sz w:val="20"/>
              </w:rPr>
            </w:pPr>
            <w:r>
              <w:rPr>
                <w:color w:val="3D3D3D"/>
                <w:sz w:val="20"/>
              </w:rPr>
              <w:t>第一医院</w:t>
            </w:r>
          </w:p>
        </w:tc>
        <w:tc>
          <w:tcPr>
            <w:tcW w:w="990" w:type="dxa"/>
            <w:vMerge/>
            <w:tcBorders>
              <w:top w:val="nil"/>
              <w:left w:val="single" w:sz="4" w:space="0" w:color="000000"/>
              <w:right w:val="single" w:sz="4" w:space="0" w:color="000000"/>
            </w:tcBorders>
          </w:tcPr>
          <w:p>
            <w:pPr>
              <w:rPr>
                <w:sz w:val="2"/>
                <w:szCs w:val="2"/>
              </w:rPr>
            </w:pPr>
          </w:p>
        </w:tc>
      </w:tr>
    </w:tbl>
    <w:p>
      <w:pPr>
        <w:spacing w:after="0"/>
        <w:rPr>
          <w:sz w:val="2"/>
          <w:szCs w:val="2"/>
        </w:rPr>
        <w:sectPr>
          <w:headerReference w:type="default" r:id="rId35"/>
          <w:footerReference w:type="default" r:id="rId36"/>
          <w:pgSz w:w="11910" w:h="16850"/>
          <w:pgMar w:header="1353" w:footer="0" w:top="2320" w:bottom="280" w:left="640" w:right="0"/>
        </w:sectPr>
      </w:pPr>
    </w:p>
    <w:p>
      <w:pPr>
        <w:pStyle w:val="BodyText"/>
        <w:ind w:left="0"/>
        <w:rPr>
          <w:sz w:val="20"/>
        </w:rPr>
      </w:pPr>
      <w:r>
        <w:rPr/>
        <w:pict>
          <v:shape style="position:absolute;margin-left:291.973083pt;margin-top:759.457642pt;width:6.05pt;height:10.050pt;mso-position-horizontal-relative:page;mso-position-vertical-relative:page;z-index:251675648" type="#_x0000_t202" filled="false" stroked="false">
            <v:textbox inset="0,0,0,0" style="layout-flow:vertical-ideographic">
              <w:txbxContent>
                <w:p>
                  <w:pPr>
                    <w:spacing w:line="120" w:lineRule="auto" w:before="0"/>
                    <w:ind w:left="20" w:right="0" w:firstLine="0"/>
                    <w:jc w:val="left"/>
                    <w:rPr>
                      <w:sz w:val="16"/>
                    </w:rPr>
                  </w:pPr>
                  <w:r>
                    <w:rPr>
                      <w:color w:val="1F1F1F"/>
                      <w:w w:val="100"/>
                      <w:sz w:val="16"/>
                    </w:rPr>
                    <w:t>7</w:t>
                  </w:r>
                </w:p>
              </w:txbxContent>
            </v:textbox>
            <w10:wrap type="none"/>
          </v:shape>
        </w:pict>
      </w:r>
    </w:p>
    <w:p>
      <w:pPr>
        <w:pStyle w:val="BodyText"/>
        <w:spacing w:before="5"/>
        <w:ind w:left="0"/>
        <w:rPr>
          <w:sz w:val="15"/>
        </w:rPr>
      </w:pPr>
    </w:p>
    <w:p>
      <w:pPr>
        <w:tabs>
          <w:tab w:pos="1451" w:val="left" w:leader="none"/>
          <w:tab w:pos="6536" w:val="left" w:leader="none"/>
        </w:tabs>
        <w:spacing w:before="64"/>
        <w:ind w:left="300" w:right="0" w:firstLine="0"/>
        <w:jc w:val="left"/>
        <w:rPr>
          <w:sz w:val="22"/>
        </w:rPr>
      </w:pPr>
      <w:r>
        <w:rPr>
          <w:color w:val="030303"/>
          <w:spacing w:val="-8"/>
          <w:w w:val="95"/>
          <w:position w:val="1"/>
          <w:sz w:val="23"/>
        </w:rPr>
        <w:t>时</w:t>
      </w:r>
      <w:r>
        <w:rPr>
          <w:color w:val="1F1F1F"/>
          <w:w w:val="95"/>
          <w:position w:val="1"/>
          <w:sz w:val="23"/>
        </w:rPr>
        <w:t>间</w:t>
      </w:r>
      <w:r>
        <w:rPr>
          <w:color w:val="030303"/>
          <w:w w:val="85"/>
          <w:position w:val="1"/>
          <w:sz w:val="23"/>
        </w:rPr>
        <w:t>：</w:t>
      </w:r>
      <w:r>
        <w:rPr>
          <w:color w:val="030303"/>
          <w:spacing w:val="-63"/>
          <w:w w:val="85"/>
          <w:position w:val="1"/>
          <w:sz w:val="23"/>
        </w:rPr>
        <w:t> </w:t>
      </w:r>
      <w:r>
        <w:rPr>
          <w:rFonts w:ascii="Times New Roman" w:eastAsia="Times New Roman"/>
          <w:color w:val="1F1F1F"/>
          <w:w w:val="85"/>
          <w:position w:val="1"/>
          <w:sz w:val="21"/>
        </w:rPr>
        <w:t>2</w:t>
      </w:r>
      <w:r>
        <w:rPr>
          <w:rFonts w:ascii="Times New Roman" w:eastAsia="Times New Roman"/>
          <w:color w:val="1F1F1F"/>
          <w:spacing w:val="-31"/>
          <w:w w:val="85"/>
          <w:position w:val="1"/>
          <w:sz w:val="21"/>
        </w:rPr>
        <w:t> </w:t>
      </w:r>
      <w:r>
        <w:rPr>
          <w:rFonts w:ascii="Times New Roman" w:eastAsia="Times New Roman"/>
          <w:color w:val="030303"/>
          <w:w w:val="85"/>
          <w:position w:val="1"/>
          <w:sz w:val="21"/>
        </w:rPr>
        <w:t>019</w:t>
        <w:tab/>
      </w:r>
      <w:r>
        <w:rPr>
          <w:color w:val="1F1F1F"/>
          <w:spacing w:val="38"/>
          <w:position w:val="1"/>
          <w:sz w:val="22"/>
        </w:rPr>
        <w:t>年</w:t>
      </w:r>
      <w:r>
        <w:rPr>
          <w:rFonts w:ascii="Times New Roman" w:eastAsia="Times New Roman"/>
          <w:color w:val="030303"/>
          <w:position w:val="1"/>
          <w:sz w:val="21"/>
        </w:rPr>
        <w:t>8</w:t>
      </w:r>
      <w:r>
        <w:rPr>
          <w:rFonts w:ascii="Times New Roman" w:eastAsia="Times New Roman"/>
          <w:color w:val="030303"/>
          <w:spacing w:val="26"/>
          <w:position w:val="1"/>
          <w:sz w:val="21"/>
        </w:rPr>
        <w:t> </w:t>
      </w:r>
      <w:r>
        <w:rPr>
          <w:color w:val="030303"/>
          <w:position w:val="1"/>
          <w:sz w:val="24"/>
        </w:rPr>
        <w:t>月</w:t>
      </w:r>
      <w:r>
        <w:rPr>
          <w:color w:val="030303"/>
          <w:spacing w:val="-61"/>
          <w:position w:val="1"/>
          <w:sz w:val="24"/>
        </w:rPr>
        <w:t> </w:t>
      </w:r>
      <w:r>
        <w:rPr>
          <w:rFonts w:ascii="Arial" w:eastAsia="Arial"/>
          <w:color w:val="030303"/>
          <w:position w:val="1"/>
          <w:sz w:val="22"/>
        </w:rPr>
        <w:t>11</w:t>
      </w:r>
      <w:r>
        <w:rPr>
          <w:rFonts w:ascii="Arial" w:eastAsia="Arial"/>
          <w:color w:val="030303"/>
          <w:spacing w:val="-31"/>
          <w:position w:val="1"/>
          <w:sz w:val="22"/>
        </w:rPr>
        <w:t> </w:t>
      </w:r>
      <w:r>
        <w:rPr>
          <w:color w:val="030303"/>
          <w:position w:val="1"/>
          <w:sz w:val="21"/>
        </w:rPr>
        <w:t>日上午</w:t>
        <w:tab/>
      </w:r>
      <w:r>
        <w:rPr>
          <w:color w:val="1F1F1F"/>
          <w:sz w:val="22"/>
        </w:rPr>
        <w:t>地</w:t>
      </w:r>
      <w:r>
        <w:rPr>
          <w:color w:val="1F1F1F"/>
          <w:spacing w:val="-12"/>
          <w:sz w:val="22"/>
        </w:rPr>
        <w:t>点</w:t>
      </w:r>
      <w:r>
        <w:rPr>
          <w:color w:val="030303"/>
          <w:w w:val="85"/>
          <w:sz w:val="22"/>
        </w:rPr>
        <w:t>：</w:t>
      </w:r>
      <w:r>
        <w:rPr>
          <w:color w:val="030303"/>
          <w:spacing w:val="1"/>
          <w:w w:val="85"/>
          <w:sz w:val="22"/>
        </w:rPr>
        <w:t> </w:t>
      </w:r>
      <w:r>
        <w:rPr>
          <w:color w:val="1F1F1F"/>
          <w:sz w:val="22"/>
        </w:rPr>
        <w:t>北京亮马河饭店</w:t>
      </w:r>
    </w:p>
    <w:p>
      <w:pPr>
        <w:pStyle w:val="BodyText"/>
        <w:spacing w:before="4" w:after="1"/>
        <w:ind w:left="0"/>
        <w:rPr>
          <w:sz w:val="12"/>
        </w:rPr>
      </w:pPr>
    </w:p>
    <w:tbl>
      <w:tblPr>
        <w:tblW w:w="0" w:type="auto"/>
        <w:jc w:val="left"/>
        <w:tblInd w:w="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85"/>
        <w:gridCol w:w="1422"/>
        <w:gridCol w:w="2556"/>
        <w:gridCol w:w="989"/>
        <w:gridCol w:w="2686"/>
        <w:gridCol w:w="975"/>
      </w:tblGrid>
      <w:tr>
        <w:trPr>
          <w:trHeight w:val="547" w:hRule="atLeast"/>
        </w:trPr>
        <w:tc>
          <w:tcPr>
            <w:tcW w:w="1285" w:type="dxa"/>
          </w:tcPr>
          <w:p>
            <w:pPr>
              <w:pStyle w:val="TableParagraph"/>
              <w:spacing w:line="363" w:lineRule="exact" w:before="164"/>
              <w:ind w:left="382"/>
              <w:rPr>
                <w:sz w:val="29"/>
              </w:rPr>
            </w:pPr>
            <w:r>
              <w:rPr>
                <w:color w:val="030303"/>
                <w:sz w:val="29"/>
              </w:rPr>
              <w:t>日期</w:t>
            </w:r>
          </w:p>
        </w:tc>
        <w:tc>
          <w:tcPr>
            <w:tcW w:w="1422" w:type="dxa"/>
          </w:tcPr>
          <w:p>
            <w:pPr>
              <w:pStyle w:val="TableParagraph"/>
              <w:spacing w:line="356" w:lineRule="exact" w:before="171"/>
              <w:ind w:left="47" w:right="11"/>
              <w:jc w:val="center"/>
              <w:rPr>
                <w:sz w:val="29"/>
              </w:rPr>
            </w:pPr>
            <w:r>
              <w:rPr>
                <w:color w:val="030303"/>
                <w:sz w:val="29"/>
              </w:rPr>
              <w:t>时间</w:t>
            </w:r>
          </w:p>
        </w:tc>
        <w:tc>
          <w:tcPr>
            <w:tcW w:w="2556" w:type="dxa"/>
          </w:tcPr>
          <w:p>
            <w:pPr>
              <w:pStyle w:val="TableParagraph"/>
              <w:spacing w:line="353" w:lineRule="exact" w:before="174"/>
              <w:ind w:left="716"/>
              <w:rPr>
                <w:sz w:val="28"/>
              </w:rPr>
            </w:pPr>
            <w:r>
              <w:rPr>
                <w:color w:val="030303"/>
                <w:sz w:val="28"/>
              </w:rPr>
              <w:t>授课主题</w:t>
            </w:r>
          </w:p>
        </w:tc>
        <w:tc>
          <w:tcPr>
            <w:tcW w:w="989" w:type="dxa"/>
          </w:tcPr>
          <w:p>
            <w:pPr>
              <w:pStyle w:val="TableParagraph"/>
              <w:spacing w:line="346" w:lineRule="exact" w:before="181"/>
              <w:ind w:left="230"/>
              <w:rPr>
                <w:sz w:val="28"/>
              </w:rPr>
            </w:pPr>
            <w:r>
              <w:rPr>
                <w:color w:val="030303"/>
                <w:sz w:val="28"/>
              </w:rPr>
              <w:t>专家</w:t>
            </w:r>
          </w:p>
        </w:tc>
        <w:tc>
          <w:tcPr>
            <w:tcW w:w="2686" w:type="dxa"/>
          </w:tcPr>
          <w:p>
            <w:pPr>
              <w:pStyle w:val="TableParagraph"/>
              <w:spacing w:line="353" w:lineRule="exact" w:before="174"/>
              <w:ind w:left="1055" w:right="1000"/>
              <w:jc w:val="center"/>
              <w:rPr>
                <w:sz w:val="28"/>
              </w:rPr>
            </w:pPr>
            <w:r>
              <w:rPr>
                <w:color w:val="030303"/>
                <w:sz w:val="28"/>
              </w:rPr>
              <w:t>单位</w:t>
            </w:r>
          </w:p>
        </w:tc>
        <w:tc>
          <w:tcPr>
            <w:tcW w:w="975" w:type="dxa"/>
          </w:tcPr>
          <w:p>
            <w:pPr>
              <w:pStyle w:val="TableParagraph"/>
              <w:spacing w:before="166"/>
              <w:ind w:left="222"/>
              <w:rPr>
                <w:sz w:val="28"/>
              </w:rPr>
            </w:pPr>
            <w:r>
              <w:rPr>
                <w:color w:val="030303"/>
                <w:sz w:val="28"/>
              </w:rPr>
              <w:t>主持</w:t>
            </w:r>
          </w:p>
        </w:tc>
      </w:tr>
      <w:tr>
        <w:trPr>
          <w:trHeight w:val="619" w:hRule="atLeast"/>
        </w:trPr>
        <w:tc>
          <w:tcPr>
            <w:tcW w:w="1285" w:type="dxa"/>
            <w:vMerge w:val="restart"/>
          </w:tcPr>
          <w:p>
            <w:pPr>
              <w:pStyle w:val="TableParagraph"/>
              <w:rPr>
                <w:sz w:val="22"/>
              </w:rPr>
            </w:pPr>
          </w:p>
          <w:p>
            <w:pPr>
              <w:pStyle w:val="TableParagraph"/>
              <w:rPr>
                <w:sz w:val="22"/>
              </w:rPr>
            </w:pPr>
          </w:p>
          <w:p>
            <w:pPr>
              <w:pStyle w:val="TableParagraph"/>
              <w:spacing w:before="8"/>
              <w:rPr>
                <w:sz w:val="25"/>
              </w:rPr>
            </w:pPr>
          </w:p>
          <w:p>
            <w:pPr>
              <w:pStyle w:val="TableParagraph"/>
              <w:ind w:left="179"/>
              <w:rPr>
                <w:rFonts w:ascii="Times New Roman"/>
                <w:sz w:val="21"/>
              </w:rPr>
            </w:pPr>
            <w:r>
              <w:rPr>
                <w:rFonts w:ascii="Times New Roman"/>
                <w:color w:val="1F1F1F"/>
                <w:w w:val="105"/>
                <w:sz w:val="21"/>
              </w:rPr>
              <w:t>201</w:t>
            </w:r>
            <w:r>
              <w:rPr>
                <w:rFonts w:ascii="Times New Roman"/>
                <w:color w:val="383838"/>
                <w:w w:val="105"/>
                <w:sz w:val="21"/>
              </w:rPr>
              <w:t>9/ 8/ </w:t>
            </w:r>
            <w:r>
              <w:rPr>
                <w:rFonts w:ascii="Times New Roman"/>
                <w:color w:val="1F1F1F"/>
                <w:w w:val="105"/>
                <w:sz w:val="21"/>
              </w:rPr>
              <w:t>11</w:t>
            </w:r>
          </w:p>
          <w:p>
            <w:pPr>
              <w:pStyle w:val="TableParagraph"/>
              <w:spacing w:line="340" w:lineRule="auto" w:before="97"/>
              <w:ind w:left="132" w:right="173" w:firstLine="6"/>
              <w:rPr>
                <w:sz w:val="19"/>
              </w:rPr>
            </w:pPr>
            <w:r>
              <w:rPr>
                <w:color w:val="383838"/>
                <w:sz w:val="19"/>
              </w:rPr>
              <w:t>（分会场</w:t>
            </w:r>
            <w:r>
              <w:rPr>
                <w:color w:val="030303"/>
                <w:w w:val="90"/>
                <w:sz w:val="19"/>
              </w:rPr>
              <w:t>： </w:t>
            </w:r>
            <w:r>
              <w:rPr>
                <w:color w:val="383838"/>
                <w:sz w:val="19"/>
              </w:rPr>
              <w:t>科研论坛）</w:t>
            </w:r>
          </w:p>
        </w:tc>
        <w:tc>
          <w:tcPr>
            <w:tcW w:w="1422" w:type="dxa"/>
          </w:tcPr>
          <w:p>
            <w:pPr>
              <w:pStyle w:val="TableParagraph"/>
              <w:spacing w:before="3"/>
              <w:rPr>
                <w:sz w:val="17"/>
              </w:rPr>
            </w:pPr>
          </w:p>
          <w:p>
            <w:pPr>
              <w:pStyle w:val="TableParagraph"/>
              <w:spacing w:before="1"/>
              <w:ind w:left="6" w:right="18"/>
              <w:jc w:val="center"/>
              <w:rPr>
                <w:rFonts w:ascii="Times New Roman"/>
                <w:sz w:val="21"/>
              </w:rPr>
            </w:pPr>
            <w:r>
              <w:rPr>
                <w:rFonts w:ascii="Times New Roman"/>
                <w:color w:val="383838"/>
                <w:w w:val="105"/>
                <w:sz w:val="21"/>
              </w:rPr>
              <w:t>08 </w:t>
            </w:r>
            <w:r>
              <w:rPr>
                <w:rFonts w:ascii="Times New Roman"/>
                <w:color w:val="1F1F1F"/>
                <w:w w:val="105"/>
                <w:sz w:val="21"/>
              </w:rPr>
              <w:t>: </w:t>
            </w:r>
            <w:r>
              <w:rPr>
                <w:rFonts w:ascii="Times New Roman"/>
                <w:color w:val="383838"/>
                <w:w w:val="105"/>
                <w:sz w:val="21"/>
              </w:rPr>
              <w:t>3</w:t>
            </w:r>
            <w:r>
              <w:rPr>
                <w:rFonts w:ascii="Times New Roman"/>
                <w:color w:val="1F1F1F"/>
                <w:w w:val="105"/>
                <w:sz w:val="21"/>
              </w:rPr>
              <w:t>0</w:t>
            </w:r>
            <w:r>
              <w:rPr>
                <w:rFonts w:ascii="Times New Roman"/>
                <w:color w:val="030303"/>
                <w:w w:val="105"/>
                <w:sz w:val="21"/>
              </w:rPr>
              <w:t>- </w:t>
            </w:r>
            <w:r>
              <w:rPr>
                <w:rFonts w:ascii="Times New Roman"/>
                <w:color w:val="383838"/>
                <w:w w:val="105"/>
                <w:sz w:val="21"/>
              </w:rPr>
              <w:t>09</w:t>
            </w:r>
            <w:r>
              <w:rPr>
                <w:rFonts w:ascii="Times New Roman"/>
                <w:color w:val="030303"/>
                <w:w w:val="105"/>
                <w:sz w:val="21"/>
              </w:rPr>
              <w:t>: </w:t>
            </w:r>
            <w:r>
              <w:rPr>
                <w:rFonts w:ascii="Times New Roman"/>
                <w:color w:val="1F1F1F"/>
                <w:w w:val="105"/>
                <w:sz w:val="21"/>
              </w:rPr>
              <w:t>1</w:t>
            </w:r>
            <w:r>
              <w:rPr>
                <w:rFonts w:ascii="Times New Roman"/>
                <w:color w:val="383838"/>
                <w:w w:val="105"/>
                <w:sz w:val="21"/>
              </w:rPr>
              <w:t>5</w:t>
            </w:r>
          </w:p>
        </w:tc>
        <w:tc>
          <w:tcPr>
            <w:tcW w:w="2556" w:type="dxa"/>
          </w:tcPr>
          <w:p>
            <w:pPr>
              <w:pStyle w:val="TableParagraph"/>
              <w:spacing w:before="9"/>
              <w:rPr>
                <w:sz w:val="17"/>
              </w:rPr>
            </w:pPr>
          </w:p>
          <w:p>
            <w:pPr>
              <w:pStyle w:val="TableParagraph"/>
              <w:spacing w:before="1"/>
              <w:ind w:left="117"/>
              <w:rPr>
                <w:sz w:val="19"/>
              </w:rPr>
            </w:pPr>
            <w:r>
              <w:rPr>
                <w:color w:val="383838"/>
                <w:w w:val="110"/>
                <w:sz w:val="19"/>
              </w:rPr>
              <w:t>药物综合评价</w:t>
            </w:r>
          </w:p>
        </w:tc>
        <w:tc>
          <w:tcPr>
            <w:tcW w:w="989" w:type="dxa"/>
          </w:tcPr>
          <w:p>
            <w:pPr>
              <w:pStyle w:val="TableParagraph"/>
              <w:spacing w:before="7"/>
              <w:rPr>
                <w:sz w:val="17"/>
              </w:rPr>
            </w:pPr>
          </w:p>
          <w:p>
            <w:pPr>
              <w:pStyle w:val="TableParagraph"/>
              <w:ind w:left="192"/>
              <w:rPr>
                <w:sz w:val="20"/>
              </w:rPr>
            </w:pPr>
            <w:r>
              <w:rPr>
                <w:color w:val="383838"/>
                <w:w w:val="105"/>
                <w:sz w:val="20"/>
              </w:rPr>
              <w:t>翟所迪</w:t>
            </w:r>
          </w:p>
        </w:tc>
        <w:tc>
          <w:tcPr>
            <w:tcW w:w="2686" w:type="dxa"/>
          </w:tcPr>
          <w:p>
            <w:pPr>
              <w:pStyle w:val="TableParagraph"/>
              <w:spacing w:before="9"/>
              <w:rPr>
                <w:sz w:val="17"/>
              </w:rPr>
            </w:pPr>
          </w:p>
          <w:p>
            <w:pPr>
              <w:pStyle w:val="TableParagraph"/>
              <w:spacing w:before="1"/>
              <w:ind w:left="124"/>
              <w:rPr>
                <w:sz w:val="19"/>
              </w:rPr>
            </w:pPr>
            <w:r>
              <w:rPr>
                <w:color w:val="383838"/>
                <w:w w:val="110"/>
                <w:sz w:val="19"/>
              </w:rPr>
              <w:t>北京大学第三医院</w:t>
            </w:r>
          </w:p>
        </w:tc>
        <w:tc>
          <w:tcPr>
            <w:tcW w:w="975" w:type="dxa"/>
            <w:vMerge w:val="restart"/>
            <w:tcBorders>
              <w:bottom w:val="single" w:sz="4" w:space="0" w:color="000000"/>
            </w:tcBorders>
          </w:tcPr>
          <w:p>
            <w:pPr>
              <w:pStyle w:val="TableParagraph"/>
              <w:spacing w:before="3"/>
              <w:rPr>
                <w:sz w:val="28"/>
              </w:rPr>
            </w:pPr>
          </w:p>
          <w:p>
            <w:pPr>
              <w:pStyle w:val="TableParagraph"/>
              <w:spacing w:line="316" w:lineRule="auto"/>
              <w:ind w:left="185" w:right="143" w:hanging="3"/>
              <w:rPr>
                <w:sz w:val="20"/>
              </w:rPr>
            </w:pPr>
            <w:r>
              <w:rPr>
                <w:color w:val="383838"/>
                <w:sz w:val="20"/>
              </w:rPr>
              <w:t>王婿雯封卫毅</w:t>
            </w:r>
          </w:p>
        </w:tc>
      </w:tr>
      <w:tr>
        <w:trPr>
          <w:trHeight w:val="510" w:hRule="atLeast"/>
        </w:trPr>
        <w:tc>
          <w:tcPr>
            <w:tcW w:w="1285" w:type="dxa"/>
            <w:vMerge/>
            <w:tcBorders>
              <w:top w:val="nil"/>
            </w:tcBorders>
          </w:tcPr>
          <w:p>
            <w:pPr>
              <w:rPr>
                <w:sz w:val="2"/>
                <w:szCs w:val="2"/>
              </w:rPr>
            </w:pPr>
          </w:p>
        </w:tc>
        <w:tc>
          <w:tcPr>
            <w:tcW w:w="1422" w:type="dxa"/>
            <w:tcBorders>
              <w:bottom w:val="single" w:sz="4" w:space="0" w:color="000000"/>
            </w:tcBorders>
          </w:tcPr>
          <w:p>
            <w:pPr>
              <w:pStyle w:val="TableParagraph"/>
              <w:spacing w:before="9"/>
              <w:rPr>
                <w:sz w:val="16"/>
              </w:rPr>
            </w:pPr>
          </w:p>
          <w:p>
            <w:pPr>
              <w:pStyle w:val="TableParagraph"/>
              <w:ind w:left="18" w:right="18"/>
              <w:jc w:val="center"/>
              <w:rPr>
                <w:rFonts w:ascii="Times New Roman"/>
                <w:sz w:val="21"/>
              </w:rPr>
            </w:pPr>
            <w:r>
              <w:rPr>
                <w:rFonts w:ascii="Times New Roman"/>
                <w:color w:val="383838"/>
                <w:w w:val="110"/>
                <w:sz w:val="21"/>
              </w:rPr>
              <w:t>09</w:t>
            </w:r>
            <w:r>
              <w:rPr>
                <w:rFonts w:ascii="Times New Roman"/>
                <w:color w:val="1F1F1F"/>
                <w:w w:val="110"/>
                <w:sz w:val="21"/>
              </w:rPr>
              <w:t>: 1</w:t>
            </w:r>
            <w:r>
              <w:rPr>
                <w:rFonts w:ascii="Times New Roman"/>
                <w:color w:val="383838"/>
                <w:w w:val="110"/>
                <w:sz w:val="21"/>
              </w:rPr>
              <w:t>5</w:t>
            </w:r>
            <w:r>
              <w:rPr>
                <w:rFonts w:ascii="Times New Roman"/>
                <w:color w:val="1F1F1F"/>
                <w:w w:val="110"/>
                <w:sz w:val="21"/>
              </w:rPr>
              <w:t>- 1</w:t>
            </w:r>
            <w:r>
              <w:rPr>
                <w:rFonts w:ascii="Times New Roman"/>
                <w:color w:val="383838"/>
                <w:w w:val="110"/>
                <w:sz w:val="21"/>
              </w:rPr>
              <w:t>0</w:t>
            </w:r>
            <w:r>
              <w:rPr>
                <w:rFonts w:ascii="Times New Roman"/>
                <w:color w:val="1F1F1F"/>
                <w:w w:val="110"/>
                <w:sz w:val="21"/>
              </w:rPr>
              <w:t>: </w:t>
            </w:r>
            <w:r>
              <w:rPr>
                <w:rFonts w:ascii="Times New Roman"/>
                <w:color w:val="383838"/>
                <w:w w:val="110"/>
                <w:sz w:val="21"/>
              </w:rPr>
              <w:t>0</w:t>
            </w:r>
            <w:r>
              <w:rPr>
                <w:rFonts w:ascii="Times New Roman"/>
                <w:color w:val="1F1F1F"/>
                <w:w w:val="110"/>
                <w:sz w:val="21"/>
              </w:rPr>
              <w:t>0</w:t>
            </w:r>
          </w:p>
        </w:tc>
        <w:tc>
          <w:tcPr>
            <w:tcW w:w="2556" w:type="dxa"/>
            <w:tcBorders>
              <w:bottom w:val="single" w:sz="4" w:space="0" w:color="000000"/>
            </w:tcBorders>
          </w:tcPr>
          <w:p>
            <w:pPr>
              <w:pStyle w:val="TableParagraph"/>
              <w:spacing w:before="2"/>
              <w:rPr>
                <w:sz w:val="17"/>
              </w:rPr>
            </w:pPr>
          </w:p>
          <w:p>
            <w:pPr>
              <w:pStyle w:val="TableParagraph"/>
              <w:ind w:left="112"/>
              <w:rPr>
                <w:sz w:val="19"/>
              </w:rPr>
            </w:pPr>
            <w:r>
              <w:rPr>
                <w:color w:val="383838"/>
                <w:w w:val="110"/>
                <w:sz w:val="19"/>
              </w:rPr>
              <w:t>抗菌药物处方评价</w:t>
            </w:r>
          </w:p>
        </w:tc>
        <w:tc>
          <w:tcPr>
            <w:tcW w:w="989" w:type="dxa"/>
            <w:tcBorders>
              <w:bottom w:val="single" w:sz="4" w:space="0" w:color="000000"/>
            </w:tcBorders>
          </w:tcPr>
          <w:p>
            <w:pPr>
              <w:pStyle w:val="TableParagraph"/>
              <w:spacing w:before="5"/>
              <w:rPr>
                <w:sz w:val="16"/>
              </w:rPr>
            </w:pPr>
          </w:p>
          <w:p>
            <w:pPr>
              <w:pStyle w:val="TableParagraph"/>
              <w:ind w:left="186"/>
              <w:rPr>
                <w:sz w:val="20"/>
              </w:rPr>
            </w:pPr>
            <w:r>
              <w:rPr>
                <w:color w:val="383838"/>
                <w:w w:val="110"/>
                <w:sz w:val="20"/>
              </w:rPr>
              <w:t>张波</w:t>
            </w:r>
          </w:p>
        </w:tc>
        <w:tc>
          <w:tcPr>
            <w:tcW w:w="2686" w:type="dxa"/>
            <w:tcBorders>
              <w:bottom w:val="single" w:sz="4" w:space="0" w:color="000000"/>
            </w:tcBorders>
          </w:tcPr>
          <w:p>
            <w:pPr>
              <w:pStyle w:val="TableParagraph"/>
              <w:spacing w:before="8"/>
              <w:rPr>
                <w:sz w:val="16"/>
              </w:rPr>
            </w:pPr>
          </w:p>
          <w:p>
            <w:pPr>
              <w:pStyle w:val="TableParagraph"/>
              <w:ind w:left="124"/>
              <w:rPr>
                <w:sz w:val="19"/>
              </w:rPr>
            </w:pPr>
            <w:r>
              <w:rPr>
                <w:color w:val="1F1F1F"/>
                <w:w w:val="105"/>
                <w:sz w:val="19"/>
              </w:rPr>
              <w:t>北</w:t>
            </w:r>
            <w:r>
              <w:rPr>
                <w:color w:val="383838"/>
                <w:w w:val="105"/>
                <w:sz w:val="19"/>
              </w:rPr>
              <w:t>京协和医院</w:t>
            </w:r>
          </w:p>
        </w:tc>
        <w:tc>
          <w:tcPr>
            <w:tcW w:w="975" w:type="dxa"/>
            <w:vMerge/>
            <w:tcBorders>
              <w:top w:val="nil"/>
              <w:bottom w:val="single" w:sz="4" w:space="0" w:color="000000"/>
            </w:tcBorders>
          </w:tcPr>
          <w:p>
            <w:pPr>
              <w:rPr>
                <w:sz w:val="2"/>
                <w:szCs w:val="2"/>
              </w:rPr>
            </w:pPr>
          </w:p>
        </w:tc>
      </w:tr>
      <w:tr>
        <w:trPr>
          <w:trHeight w:val="741" w:hRule="atLeast"/>
        </w:trPr>
        <w:tc>
          <w:tcPr>
            <w:tcW w:w="1285" w:type="dxa"/>
            <w:vMerge/>
            <w:tcBorders>
              <w:top w:val="nil"/>
            </w:tcBorders>
          </w:tcPr>
          <w:p>
            <w:pPr>
              <w:rPr>
                <w:sz w:val="2"/>
                <w:szCs w:val="2"/>
              </w:rPr>
            </w:pPr>
          </w:p>
        </w:tc>
        <w:tc>
          <w:tcPr>
            <w:tcW w:w="1422" w:type="dxa"/>
            <w:tcBorders>
              <w:top w:val="single" w:sz="4" w:space="0" w:color="000000"/>
            </w:tcBorders>
          </w:tcPr>
          <w:p>
            <w:pPr>
              <w:pStyle w:val="TableParagraph"/>
              <w:spacing w:before="9"/>
              <w:rPr>
                <w:sz w:val="25"/>
              </w:rPr>
            </w:pPr>
          </w:p>
          <w:p>
            <w:pPr>
              <w:pStyle w:val="TableParagraph"/>
              <w:ind w:left="28" w:right="18"/>
              <w:jc w:val="center"/>
              <w:rPr>
                <w:rFonts w:ascii="Times New Roman"/>
                <w:sz w:val="21"/>
              </w:rPr>
            </w:pPr>
            <w:r>
              <w:rPr>
                <w:rFonts w:ascii="Times New Roman"/>
                <w:color w:val="1F1F1F"/>
                <w:w w:val="110"/>
                <w:sz w:val="21"/>
              </w:rPr>
              <w:t>10: 0</w:t>
            </w:r>
            <w:r>
              <w:rPr>
                <w:rFonts w:ascii="Times New Roman"/>
                <w:color w:val="383838"/>
                <w:w w:val="110"/>
                <w:sz w:val="21"/>
              </w:rPr>
              <w:t>0-</w:t>
            </w:r>
            <w:r>
              <w:rPr>
                <w:rFonts w:ascii="Times New Roman"/>
                <w:color w:val="1F1F1F"/>
                <w:w w:val="110"/>
                <w:sz w:val="21"/>
              </w:rPr>
              <w:t>1</w:t>
            </w:r>
            <w:r>
              <w:rPr>
                <w:rFonts w:ascii="Times New Roman"/>
                <w:color w:val="383838"/>
                <w:w w:val="110"/>
                <w:sz w:val="21"/>
              </w:rPr>
              <w:t>0: 45</w:t>
            </w:r>
          </w:p>
        </w:tc>
        <w:tc>
          <w:tcPr>
            <w:tcW w:w="2556" w:type="dxa"/>
            <w:tcBorders>
              <w:top w:val="single" w:sz="4" w:space="0" w:color="000000"/>
            </w:tcBorders>
          </w:tcPr>
          <w:p>
            <w:pPr>
              <w:pStyle w:val="TableParagraph"/>
              <w:spacing w:line="340" w:lineRule="atLeast" w:before="66"/>
              <w:ind w:left="122" w:right="147" w:hanging="11"/>
              <w:rPr>
                <w:sz w:val="19"/>
              </w:rPr>
            </w:pPr>
            <w:r>
              <w:rPr>
                <w:color w:val="383838"/>
                <w:w w:val="105"/>
                <w:sz w:val="19"/>
              </w:rPr>
              <w:t>基于互联网的慢病管理药</w:t>
            </w:r>
            <w:r>
              <w:rPr>
                <w:color w:val="383838"/>
                <w:w w:val="110"/>
                <w:sz w:val="19"/>
              </w:rPr>
              <w:t>学服务</w:t>
            </w:r>
          </w:p>
        </w:tc>
        <w:tc>
          <w:tcPr>
            <w:tcW w:w="989" w:type="dxa"/>
            <w:tcBorders>
              <w:top w:val="single" w:sz="4" w:space="0" w:color="000000"/>
            </w:tcBorders>
          </w:tcPr>
          <w:p>
            <w:pPr>
              <w:pStyle w:val="TableParagraph"/>
              <w:spacing w:before="2"/>
              <w:rPr>
                <w:sz w:val="26"/>
              </w:rPr>
            </w:pPr>
          </w:p>
          <w:p>
            <w:pPr>
              <w:pStyle w:val="TableParagraph"/>
              <w:spacing w:before="1"/>
              <w:ind w:left="191"/>
              <w:rPr>
                <w:sz w:val="19"/>
              </w:rPr>
            </w:pPr>
            <w:r>
              <w:rPr>
                <w:color w:val="383838"/>
                <w:w w:val="110"/>
                <w:sz w:val="19"/>
              </w:rPr>
              <w:t>袁洪</w:t>
            </w:r>
          </w:p>
        </w:tc>
        <w:tc>
          <w:tcPr>
            <w:tcW w:w="2686" w:type="dxa"/>
            <w:tcBorders>
              <w:top w:val="single" w:sz="4" w:space="0" w:color="000000"/>
            </w:tcBorders>
          </w:tcPr>
          <w:p>
            <w:pPr>
              <w:pStyle w:val="TableParagraph"/>
              <w:spacing w:before="2"/>
              <w:rPr>
                <w:sz w:val="26"/>
              </w:rPr>
            </w:pPr>
          </w:p>
          <w:p>
            <w:pPr>
              <w:pStyle w:val="TableParagraph"/>
              <w:spacing w:before="1"/>
              <w:ind w:left="131"/>
              <w:rPr>
                <w:sz w:val="19"/>
              </w:rPr>
            </w:pPr>
            <w:r>
              <w:rPr>
                <w:color w:val="383838"/>
                <w:w w:val="110"/>
                <w:sz w:val="19"/>
              </w:rPr>
              <w:t>中南大学湘雅三院</w:t>
            </w:r>
          </w:p>
        </w:tc>
        <w:tc>
          <w:tcPr>
            <w:tcW w:w="975" w:type="dxa"/>
            <w:vMerge w:val="restart"/>
            <w:tcBorders>
              <w:top w:val="single" w:sz="4" w:space="0" w:color="000000"/>
            </w:tcBorders>
          </w:tcPr>
          <w:p>
            <w:pPr>
              <w:pStyle w:val="TableParagraph"/>
              <w:rPr>
                <w:sz w:val="20"/>
              </w:rPr>
            </w:pPr>
          </w:p>
          <w:p>
            <w:pPr>
              <w:pStyle w:val="TableParagraph"/>
              <w:spacing w:before="12"/>
              <w:rPr>
                <w:sz w:val="18"/>
              </w:rPr>
            </w:pPr>
          </w:p>
          <w:p>
            <w:pPr>
              <w:pStyle w:val="TableParagraph"/>
              <w:ind w:left="189"/>
              <w:rPr>
                <w:sz w:val="20"/>
              </w:rPr>
            </w:pPr>
            <w:r>
              <w:rPr>
                <w:color w:val="4D4D4D"/>
                <w:sz w:val="20"/>
              </w:rPr>
              <w:t>陆丛笑</w:t>
            </w:r>
          </w:p>
          <w:p>
            <w:pPr>
              <w:pStyle w:val="TableParagraph"/>
              <w:tabs>
                <w:tab w:pos="611" w:val="left" w:leader="none"/>
              </w:tabs>
              <w:spacing w:before="117"/>
              <w:ind w:left="185"/>
              <w:rPr>
                <w:sz w:val="9"/>
              </w:rPr>
            </w:pPr>
            <w:r>
              <w:rPr>
                <w:color w:val="383838"/>
                <w:w w:val="95"/>
                <w:sz w:val="13"/>
              </w:rPr>
              <w:t>天口</w:t>
              <w:tab/>
            </w:r>
            <w:r>
              <w:rPr>
                <w:color w:val="383838"/>
                <w:spacing w:val="-61"/>
                <w:sz w:val="9"/>
              </w:rPr>
              <w:t>日</w:t>
            </w:r>
            <w:r>
              <w:rPr>
                <w:color w:val="1F1F1F"/>
                <w:spacing w:val="-52"/>
                <w:sz w:val="9"/>
              </w:rPr>
              <w:t>曰</w:t>
            </w:r>
            <w:r>
              <w:rPr>
                <w:color w:val="383838"/>
                <w:sz w:val="9"/>
              </w:rPr>
              <w:t>日</w:t>
            </w:r>
          </w:p>
        </w:tc>
      </w:tr>
      <w:tr>
        <w:trPr>
          <w:trHeight w:val="651" w:hRule="atLeast"/>
        </w:trPr>
        <w:tc>
          <w:tcPr>
            <w:tcW w:w="1285" w:type="dxa"/>
            <w:vMerge/>
            <w:tcBorders>
              <w:top w:val="nil"/>
            </w:tcBorders>
          </w:tcPr>
          <w:p>
            <w:pPr>
              <w:rPr>
                <w:sz w:val="2"/>
                <w:szCs w:val="2"/>
              </w:rPr>
            </w:pPr>
          </w:p>
        </w:tc>
        <w:tc>
          <w:tcPr>
            <w:tcW w:w="1422" w:type="dxa"/>
          </w:tcPr>
          <w:p>
            <w:pPr>
              <w:pStyle w:val="TableParagraph"/>
              <w:spacing w:before="8"/>
              <w:rPr>
                <w:sz w:val="18"/>
              </w:rPr>
            </w:pPr>
          </w:p>
          <w:p>
            <w:pPr>
              <w:pStyle w:val="TableParagraph"/>
              <w:ind w:left="12" w:right="18"/>
              <w:jc w:val="center"/>
              <w:rPr>
                <w:rFonts w:ascii="Times New Roman"/>
                <w:sz w:val="21"/>
              </w:rPr>
            </w:pPr>
            <w:r>
              <w:rPr>
                <w:rFonts w:ascii="Times New Roman"/>
                <w:color w:val="1F1F1F"/>
                <w:w w:val="105"/>
                <w:sz w:val="21"/>
              </w:rPr>
              <w:t>10: 45</w:t>
            </w:r>
            <w:r>
              <w:rPr>
                <w:rFonts w:ascii="Times New Roman"/>
                <w:color w:val="383838"/>
                <w:w w:val="105"/>
                <w:sz w:val="21"/>
              </w:rPr>
              <w:t>- </w:t>
            </w:r>
            <w:r>
              <w:rPr>
                <w:rFonts w:ascii="Times New Roman"/>
                <w:color w:val="1F1F1F"/>
                <w:w w:val="105"/>
                <w:sz w:val="21"/>
              </w:rPr>
              <w:t>11: </w:t>
            </w:r>
            <w:r>
              <w:rPr>
                <w:rFonts w:ascii="Times New Roman"/>
                <w:color w:val="383838"/>
                <w:w w:val="105"/>
                <w:sz w:val="21"/>
              </w:rPr>
              <w:t>3</w:t>
            </w:r>
            <w:r>
              <w:rPr>
                <w:rFonts w:ascii="Times New Roman"/>
                <w:color w:val="1F1F1F"/>
                <w:w w:val="105"/>
                <w:sz w:val="21"/>
              </w:rPr>
              <w:t>0</w:t>
            </w:r>
          </w:p>
        </w:tc>
        <w:tc>
          <w:tcPr>
            <w:tcW w:w="2556" w:type="dxa"/>
          </w:tcPr>
          <w:p>
            <w:pPr>
              <w:pStyle w:val="TableParagraph"/>
              <w:spacing w:before="1"/>
              <w:rPr>
                <w:sz w:val="19"/>
              </w:rPr>
            </w:pPr>
          </w:p>
          <w:p>
            <w:pPr>
              <w:pStyle w:val="TableParagraph"/>
              <w:ind w:left="112"/>
              <w:rPr>
                <w:sz w:val="19"/>
              </w:rPr>
            </w:pPr>
            <w:r>
              <w:rPr>
                <w:color w:val="383838"/>
                <w:w w:val="110"/>
                <w:sz w:val="19"/>
              </w:rPr>
              <w:t>基于定量药理的精准给药</w:t>
            </w:r>
          </w:p>
        </w:tc>
        <w:tc>
          <w:tcPr>
            <w:tcW w:w="989" w:type="dxa"/>
          </w:tcPr>
          <w:p>
            <w:pPr>
              <w:pStyle w:val="TableParagraph"/>
              <w:spacing w:before="8"/>
              <w:rPr>
                <w:sz w:val="19"/>
              </w:rPr>
            </w:pPr>
          </w:p>
          <w:p>
            <w:pPr>
              <w:pStyle w:val="TableParagraph"/>
              <w:spacing w:before="1"/>
              <w:ind w:left="199"/>
              <w:rPr>
                <w:sz w:val="19"/>
              </w:rPr>
            </w:pPr>
            <w:r>
              <w:rPr>
                <w:color w:val="4D4D4D"/>
                <w:w w:val="110"/>
                <w:sz w:val="19"/>
              </w:rPr>
              <w:t>焦正</w:t>
            </w:r>
          </w:p>
        </w:tc>
        <w:tc>
          <w:tcPr>
            <w:tcW w:w="2686" w:type="dxa"/>
          </w:tcPr>
          <w:p>
            <w:pPr>
              <w:pStyle w:val="TableParagraph"/>
              <w:spacing w:before="72"/>
              <w:ind w:left="125"/>
              <w:rPr>
                <w:sz w:val="19"/>
              </w:rPr>
            </w:pPr>
            <w:r>
              <w:rPr>
                <w:color w:val="4D4D4D"/>
                <w:w w:val="110"/>
                <w:sz w:val="19"/>
              </w:rPr>
              <w:t>上海交通大学附属</w:t>
            </w:r>
          </w:p>
          <w:p>
            <w:pPr>
              <w:pStyle w:val="TableParagraph"/>
              <w:spacing w:line="220" w:lineRule="exact" w:before="95"/>
              <w:ind w:left="120"/>
              <w:rPr>
                <w:sz w:val="19"/>
              </w:rPr>
            </w:pPr>
            <w:r>
              <w:rPr>
                <w:color w:val="383838"/>
                <w:w w:val="110"/>
                <w:sz w:val="19"/>
              </w:rPr>
              <w:t>胸科医院</w:t>
            </w:r>
          </w:p>
        </w:tc>
        <w:tc>
          <w:tcPr>
            <w:tcW w:w="975" w:type="dxa"/>
            <w:vMerge/>
            <w:tcBorders>
              <w:top w:val="nil"/>
            </w:tcBorders>
          </w:tcPr>
          <w:p>
            <w:pPr>
              <w:rPr>
                <w:sz w:val="2"/>
                <w:szCs w:val="2"/>
              </w:rPr>
            </w:pPr>
          </w:p>
        </w:tc>
      </w:tr>
      <w:tr>
        <w:trPr>
          <w:trHeight w:val="1008" w:hRule="atLeast"/>
        </w:trPr>
        <w:tc>
          <w:tcPr>
            <w:tcW w:w="1285"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9"/>
              </w:rPr>
            </w:pPr>
          </w:p>
          <w:p>
            <w:pPr>
              <w:pStyle w:val="TableParagraph"/>
              <w:ind w:left="137" w:right="73"/>
              <w:jc w:val="center"/>
              <w:rPr>
                <w:rFonts w:ascii="Times New Roman"/>
                <w:sz w:val="21"/>
              </w:rPr>
            </w:pPr>
            <w:r>
              <w:rPr>
                <w:rFonts w:ascii="Times New Roman"/>
                <w:color w:val="1F1F1F"/>
                <w:w w:val="105"/>
                <w:sz w:val="21"/>
              </w:rPr>
              <w:t>20</w:t>
            </w:r>
            <w:r>
              <w:rPr>
                <w:rFonts w:ascii="Times New Roman"/>
                <w:color w:val="383838"/>
                <w:w w:val="105"/>
                <w:sz w:val="21"/>
              </w:rPr>
              <w:t>19/ 8/ </w:t>
            </w:r>
            <w:r>
              <w:rPr>
                <w:rFonts w:ascii="Times New Roman"/>
                <w:color w:val="1F1F1F"/>
                <w:w w:val="105"/>
                <w:sz w:val="21"/>
              </w:rPr>
              <w:t>11</w:t>
            </w:r>
          </w:p>
          <w:p>
            <w:pPr>
              <w:pStyle w:val="TableParagraph"/>
              <w:spacing w:line="340" w:lineRule="auto" w:before="97"/>
              <w:ind w:left="137" w:right="76" w:hanging="88"/>
              <w:jc w:val="center"/>
              <w:rPr>
                <w:sz w:val="19"/>
              </w:rPr>
            </w:pPr>
            <w:r>
              <w:rPr>
                <w:color w:val="383838"/>
                <w:w w:val="105"/>
                <w:sz w:val="19"/>
              </w:rPr>
              <w:t>（分会场</w:t>
            </w:r>
            <w:r>
              <w:rPr>
                <w:color w:val="030303"/>
                <w:w w:val="90"/>
                <w:sz w:val="19"/>
              </w:rPr>
              <w:t>： </w:t>
            </w:r>
            <w:r>
              <w:rPr>
                <w:color w:val="383838"/>
                <w:w w:val="105"/>
                <w:sz w:val="19"/>
              </w:rPr>
              <w:t>药物治疗案例论坛）</w:t>
            </w:r>
          </w:p>
        </w:tc>
        <w:tc>
          <w:tcPr>
            <w:tcW w:w="1422" w:type="dxa"/>
          </w:tcPr>
          <w:p>
            <w:pPr>
              <w:pStyle w:val="TableParagraph"/>
              <w:spacing w:before="6"/>
              <w:rPr>
                <w:sz w:val="32"/>
              </w:rPr>
            </w:pPr>
          </w:p>
          <w:p>
            <w:pPr>
              <w:pStyle w:val="TableParagraph"/>
              <w:ind w:left="20" w:right="7"/>
              <w:jc w:val="center"/>
              <w:rPr>
                <w:rFonts w:ascii="Times New Roman"/>
                <w:sz w:val="21"/>
              </w:rPr>
            </w:pPr>
            <w:r>
              <w:rPr>
                <w:rFonts w:ascii="Times New Roman"/>
                <w:color w:val="1F1F1F"/>
                <w:w w:val="110"/>
                <w:sz w:val="21"/>
              </w:rPr>
              <w:t>0</w:t>
            </w:r>
            <w:r>
              <w:rPr>
                <w:rFonts w:ascii="Times New Roman"/>
                <w:color w:val="383838"/>
                <w:w w:val="110"/>
                <w:sz w:val="21"/>
              </w:rPr>
              <w:t>8</w:t>
            </w:r>
            <w:r>
              <w:rPr>
                <w:rFonts w:ascii="Times New Roman"/>
                <w:color w:val="1F1F1F"/>
                <w:w w:val="110"/>
                <w:sz w:val="21"/>
              </w:rPr>
              <w:t>: </w:t>
            </w:r>
            <w:r>
              <w:rPr>
                <w:rFonts w:ascii="Times New Roman"/>
                <w:color w:val="383838"/>
                <w:w w:val="110"/>
                <w:sz w:val="21"/>
              </w:rPr>
              <w:t>30</w:t>
            </w:r>
            <w:r>
              <w:rPr>
                <w:rFonts w:ascii="Times New Roman"/>
                <w:color w:val="1F1F1F"/>
                <w:w w:val="110"/>
                <w:sz w:val="21"/>
              </w:rPr>
              <w:t>- 0</w:t>
            </w:r>
            <w:r>
              <w:rPr>
                <w:rFonts w:ascii="Times New Roman"/>
                <w:color w:val="383838"/>
                <w:w w:val="110"/>
                <w:sz w:val="21"/>
              </w:rPr>
              <w:t>9</w:t>
            </w:r>
            <w:r>
              <w:rPr>
                <w:rFonts w:ascii="Times New Roman"/>
                <w:color w:val="1F1F1F"/>
                <w:w w:val="110"/>
                <w:sz w:val="21"/>
              </w:rPr>
              <w:t>: 15</w:t>
            </w:r>
          </w:p>
        </w:tc>
        <w:tc>
          <w:tcPr>
            <w:tcW w:w="2556" w:type="dxa"/>
          </w:tcPr>
          <w:p>
            <w:pPr>
              <w:pStyle w:val="TableParagraph"/>
              <w:spacing w:before="83"/>
              <w:ind w:left="117"/>
              <w:rPr>
                <w:sz w:val="19"/>
              </w:rPr>
            </w:pPr>
            <w:r>
              <w:rPr>
                <w:color w:val="383838"/>
                <w:w w:val="110"/>
                <w:sz w:val="19"/>
              </w:rPr>
              <w:t>让抗菌药物精准用药深入</w:t>
            </w:r>
          </w:p>
          <w:p>
            <w:pPr>
              <w:pStyle w:val="TableParagraph"/>
              <w:spacing w:line="340" w:lineRule="atLeast" w:before="6"/>
              <w:ind w:left="116" w:right="142" w:firstLine="1"/>
              <w:rPr>
                <w:sz w:val="19"/>
              </w:rPr>
            </w:pPr>
            <w:r>
              <w:rPr>
                <w:color w:val="383838"/>
                <w:w w:val="105"/>
                <w:sz w:val="19"/>
              </w:rPr>
              <w:t>人心一万古篡素药学服务</w:t>
            </w:r>
            <w:r>
              <w:rPr>
                <w:color w:val="383838"/>
                <w:w w:val="110"/>
                <w:sz w:val="19"/>
              </w:rPr>
              <w:t>前移案例分享</w:t>
            </w:r>
          </w:p>
        </w:tc>
        <w:tc>
          <w:tcPr>
            <w:tcW w:w="989" w:type="dxa"/>
          </w:tcPr>
          <w:p>
            <w:pPr>
              <w:pStyle w:val="TableParagraph"/>
              <w:rPr>
                <w:sz w:val="18"/>
              </w:rPr>
            </w:pPr>
          </w:p>
          <w:p>
            <w:pPr>
              <w:pStyle w:val="TableParagraph"/>
              <w:spacing w:before="12"/>
              <w:rPr>
                <w:sz w:val="14"/>
              </w:rPr>
            </w:pPr>
          </w:p>
          <w:p>
            <w:pPr>
              <w:pStyle w:val="TableParagraph"/>
              <w:ind w:left="201"/>
              <w:rPr>
                <w:sz w:val="19"/>
              </w:rPr>
            </w:pPr>
            <w:r>
              <w:rPr>
                <w:color w:val="383838"/>
                <w:w w:val="110"/>
                <w:sz w:val="19"/>
              </w:rPr>
              <w:t>肖桂荣</w:t>
            </w:r>
          </w:p>
        </w:tc>
        <w:tc>
          <w:tcPr>
            <w:tcW w:w="2686" w:type="dxa"/>
          </w:tcPr>
          <w:p>
            <w:pPr>
              <w:pStyle w:val="TableParagraph"/>
              <w:rPr>
                <w:sz w:val="18"/>
              </w:rPr>
            </w:pPr>
          </w:p>
          <w:p>
            <w:pPr>
              <w:pStyle w:val="TableParagraph"/>
              <w:spacing w:before="12"/>
              <w:rPr>
                <w:sz w:val="14"/>
              </w:rPr>
            </w:pPr>
          </w:p>
          <w:p>
            <w:pPr>
              <w:pStyle w:val="TableParagraph"/>
              <w:ind w:left="131"/>
              <w:rPr>
                <w:sz w:val="19"/>
              </w:rPr>
            </w:pPr>
            <w:r>
              <w:rPr>
                <w:color w:val="383838"/>
                <w:w w:val="110"/>
                <w:sz w:val="19"/>
              </w:rPr>
              <w:t>四川大学华西医院</w:t>
            </w:r>
          </w:p>
        </w:tc>
        <w:tc>
          <w:tcPr>
            <w:tcW w:w="975" w:type="dxa"/>
            <w:vMerge w:val="restart"/>
            <w:tcBorders>
              <w:bottom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15"/>
              </w:rPr>
            </w:pPr>
          </w:p>
          <w:p>
            <w:pPr>
              <w:pStyle w:val="TableParagraph"/>
              <w:ind w:left="199"/>
              <w:rPr>
                <w:sz w:val="19"/>
              </w:rPr>
            </w:pPr>
            <w:r>
              <w:rPr>
                <w:color w:val="383838"/>
                <w:w w:val="105"/>
                <w:sz w:val="19"/>
              </w:rPr>
              <w:t>方睛霞</w:t>
            </w:r>
          </w:p>
          <w:p>
            <w:pPr>
              <w:pStyle w:val="TableParagraph"/>
              <w:spacing w:before="86"/>
              <w:ind w:left="191"/>
              <w:rPr>
                <w:sz w:val="20"/>
              </w:rPr>
            </w:pPr>
            <w:r>
              <w:rPr>
                <w:color w:val="4D4D4D"/>
                <w:sz w:val="20"/>
              </w:rPr>
              <w:t>沈承武</w:t>
            </w:r>
          </w:p>
        </w:tc>
      </w:tr>
      <w:tr>
        <w:trPr>
          <w:trHeight w:val="658" w:hRule="atLeast"/>
        </w:trPr>
        <w:tc>
          <w:tcPr>
            <w:tcW w:w="1285" w:type="dxa"/>
            <w:vMerge/>
            <w:tcBorders>
              <w:top w:val="nil"/>
            </w:tcBorders>
          </w:tcPr>
          <w:p>
            <w:pPr>
              <w:rPr>
                <w:sz w:val="2"/>
                <w:szCs w:val="2"/>
              </w:rPr>
            </w:pPr>
          </w:p>
        </w:tc>
        <w:tc>
          <w:tcPr>
            <w:tcW w:w="1422" w:type="dxa"/>
          </w:tcPr>
          <w:p>
            <w:pPr>
              <w:pStyle w:val="TableParagraph"/>
              <w:spacing w:before="10"/>
              <w:rPr>
                <w:sz w:val="19"/>
              </w:rPr>
            </w:pPr>
          </w:p>
          <w:p>
            <w:pPr>
              <w:pStyle w:val="TableParagraph"/>
              <w:ind w:left="17" w:right="18"/>
              <w:jc w:val="center"/>
              <w:rPr>
                <w:rFonts w:ascii="Times New Roman"/>
                <w:sz w:val="21"/>
              </w:rPr>
            </w:pPr>
            <w:r>
              <w:rPr>
                <w:rFonts w:ascii="Times New Roman"/>
                <w:color w:val="383838"/>
                <w:w w:val="105"/>
                <w:sz w:val="21"/>
              </w:rPr>
              <w:t>09</w:t>
            </w:r>
            <w:r>
              <w:rPr>
                <w:rFonts w:ascii="Times New Roman"/>
                <w:color w:val="1F1F1F"/>
                <w:w w:val="105"/>
                <w:sz w:val="21"/>
              </w:rPr>
              <w:t>: 1</w:t>
            </w:r>
            <w:r>
              <w:rPr>
                <w:rFonts w:ascii="Times New Roman"/>
                <w:color w:val="383838"/>
                <w:w w:val="105"/>
                <w:sz w:val="21"/>
              </w:rPr>
              <w:t>5-</w:t>
            </w:r>
            <w:r>
              <w:rPr>
                <w:rFonts w:ascii="Times New Roman"/>
                <w:color w:val="1F1F1F"/>
                <w:w w:val="105"/>
                <w:sz w:val="21"/>
              </w:rPr>
              <w:t>10: 00</w:t>
            </w:r>
          </w:p>
        </w:tc>
        <w:tc>
          <w:tcPr>
            <w:tcW w:w="2556" w:type="dxa"/>
          </w:tcPr>
          <w:p>
            <w:pPr>
              <w:pStyle w:val="TableParagraph"/>
              <w:spacing w:before="3"/>
              <w:rPr>
                <w:sz w:val="20"/>
              </w:rPr>
            </w:pPr>
          </w:p>
          <w:p>
            <w:pPr>
              <w:pStyle w:val="TableParagraph"/>
              <w:ind w:left="117"/>
              <w:rPr>
                <w:sz w:val="19"/>
              </w:rPr>
            </w:pPr>
            <w:r>
              <w:rPr>
                <w:color w:val="383838"/>
                <w:w w:val="110"/>
                <w:sz w:val="19"/>
              </w:rPr>
              <w:t>药物治疗经典案例分享</w:t>
            </w:r>
          </w:p>
        </w:tc>
        <w:tc>
          <w:tcPr>
            <w:tcW w:w="989" w:type="dxa"/>
          </w:tcPr>
          <w:p>
            <w:pPr>
              <w:pStyle w:val="TableParagraph"/>
              <w:spacing w:before="6"/>
              <w:rPr>
                <w:sz w:val="19"/>
              </w:rPr>
            </w:pPr>
          </w:p>
          <w:p>
            <w:pPr>
              <w:pStyle w:val="TableParagraph"/>
              <w:ind w:left="202"/>
              <w:rPr>
                <w:sz w:val="20"/>
              </w:rPr>
            </w:pPr>
            <w:r>
              <w:rPr>
                <w:color w:val="383838"/>
                <w:w w:val="110"/>
                <w:sz w:val="20"/>
              </w:rPr>
              <w:t>关月</w:t>
            </w:r>
          </w:p>
        </w:tc>
        <w:tc>
          <w:tcPr>
            <w:tcW w:w="2686" w:type="dxa"/>
          </w:tcPr>
          <w:p>
            <w:pPr>
              <w:pStyle w:val="TableParagraph"/>
              <w:spacing w:before="79"/>
              <w:ind w:left="128"/>
              <w:rPr>
                <w:sz w:val="19"/>
              </w:rPr>
            </w:pPr>
            <w:r>
              <w:rPr>
                <w:color w:val="383838"/>
                <w:w w:val="110"/>
                <w:sz w:val="19"/>
              </w:rPr>
              <w:t>空军军医大学第一附属</w:t>
            </w:r>
          </w:p>
          <w:p>
            <w:pPr>
              <w:pStyle w:val="TableParagraph"/>
              <w:spacing w:line="213" w:lineRule="exact" w:before="103"/>
              <w:ind w:left="132"/>
              <w:rPr>
                <w:sz w:val="19"/>
              </w:rPr>
            </w:pPr>
            <w:r>
              <w:rPr>
                <w:color w:val="4D4D4D"/>
                <w:w w:val="110"/>
                <w:sz w:val="19"/>
              </w:rPr>
              <w:t>医院</w:t>
            </w:r>
          </w:p>
        </w:tc>
        <w:tc>
          <w:tcPr>
            <w:tcW w:w="975" w:type="dxa"/>
            <w:vMerge/>
            <w:tcBorders>
              <w:top w:val="nil"/>
              <w:bottom w:val="single" w:sz="4" w:space="0" w:color="000000"/>
            </w:tcBorders>
          </w:tcPr>
          <w:p>
            <w:pPr>
              <w:rPr>
                <w:sz w:val="2"/>
                <w:szCs w:val="2"/>
              </w:rPr>
            </w:pPr>
          </w:p>
        </w:tc>
      </w:tr>
      <w:tr>
        <w:trPr>
          <w:trHeight w:val="1102" w:hRule="atLeast"/>
        </w:trPr>
        <w:tc>
          <w:tcPr>
            <w:tcW w:w="1285" w:type="dxa"/>
            <w:vMerge/>
            <w:tcBorders>
              <w:top w:val="nil"/>
            </w:tcBorders>
          </w:tcPr>
          <w:p>
            <w:pPr>
              <w:rPr>
                <w:sz w:val="2"/>
                <w:szCs w:val="2"/>
              </w:rPr>
            </w:pPr>
          </w:p>
        </w:tc>
        <w:tc>
          <w:tcPr>
            <w:tcW w:w="1422" w:type="dxa"/>
            <w:tcBorders>
              <w:bottom w:val="single" w:sz="4" w:space="0" w:color="000000"/>
            </w:tcBorders>
          </w:tcPr>
          <w:p>
            <w:pPr>
              <w:pStyle w:val="TableParagraph"/>
              <w:spacing w:before="12"/>
              <w:rPr>
                <w:sz w:val="31"/>
              </w:rPr>
            </w:pPr>
          </w:p>
          <w:p>
            <w:pPr>
              <w:pStyle w:val="TableParagraph"/>
              <w:ind w:left="22" w:right="18"/>
              <w:jc w:val="center"/>
              <w:rPr>
                <w:rFonts w:ascii="Times New Roman"/>
                <w:sz w:val="21"/>
              </w:rPr>
            </w:pPr>
            <w:r>
              <w:rPr>
                <w:rFonts w:ascii="Times New Roman"/>
                <w:color w:val="1F1F1F"/>
                <w:w w:val="90"/>
                <w:sz w:val="21"/>
              </w:rPr>
              <w:t>10: </w:t>
            </w:r>
            <w:r>
              <w:rPr>
                <w:rFonts w:ascii="Times New Roman"/>
                <w:color w:val="1F1F1F"/>
                <w:sz w:val="21"/>
              </w:rPr>
              <w:t>00-10: </w:t>
            </w:r>
            <w:r>
              <w:rPr>
                <w:rFonts w:ascii="Times New Roman"/>
                <w:color w:val="383838"/>
                <w:sz w:val="21"/>
              </w:rPr>
              <w:t>4</w:t>
            </w:r>
            <w:r>
              <w:rPr>
                <w:rFonts w:ascii="Times New Roman"/>
                <w:color w:val="1F1F1F"/>
                <w:sz w:val="21"/>
              </w:rPr>
              <w:t>5</w:t>
            </w:r>
          </w:p>
        </w:tc>
        <w:tc>
          <w:tcPr>
            <w:tcW w:w="2556" w:type="dxa"/>
            <w:tcBorders>
              <w:bottom w:val="single" w:sz="4" w:space="0" w:color="000000"/>
            </w:tcBorders>
          </w:tcPr>
          <w:p>
            <w:pPr>
              <w:pStyle w:val="TableParagraph"/>
              <w:spacing w:line="340" w:lineRule="exact" w:before="1"/>
              <w:ind w:left="117" w:right="94" w:firstLine="1"/>
              <w:jc w:val="both"/>
              <w:rPr>
                <w:sz w:val="19"/>
              </w:rPr>
            </w:pPr>
            <w:r>
              <w:rPr>
                <w:color w:val="383838"/>
                <w:w w:val="105"/>
                <w:sz w:val="19"/>
              </w:rPr>
              <w:t>他汀七宗罪</w:t>
            </w:r>
            <w:r>
              <w:rPr>
                <w:color w:val="1F1F1F"/>
                <w:w w:val="90"/>
                <w:sz w:val="19"/>
              </w:rPr>
              <w:t>： </w:t>
            </w:r>
            <w:r>
              <w:rPr>
                <w:color w:val="383838"/>
                <w:w w:val="105"/>
                <w:sz w:val="19"/>
              </w:rPr>
              <w:t>老年病多药联用致多器官功能障碍的案例汇报</w:t>
            </w:r>
          </w:p>
        </w:tc>
        <w:tc>
          <w:tcPr>
            <w:tcW w:w="989" w:type="dxa"/>
            <w:tcBorders>
              <w:bottom w:val="single" w:sz="4" w:space="0" w:color="000000"/>
            </w:tcBorders>
          </w:tcPr>
          <w:p>
            <w:pPr>
              <w:pStyle w:val="TableParagraph"/>
              <w:spacing w:before="5"/>
              <w:rPr>
                <w:sz w:val="19"/>
              </w:rPr>
            </w:pPr>
          </w:p>
          <w:p>
            <w:pPr>
              <w:pStyle w:val="TableParagraph"/>
              <w:spacing w:line="340" w:lineRule="auto" w:before="1"/>
              <w:ind w:left="204" w:right="91" w:hanging="16"/>
              <w:rPr>
                <w:sz w:val="19"/>
              </w:rPr>
            </w:pPr>
            <w:r>
              <w:rPr>
                <w:color w:val="383838"/>
                <w:w w:val="110"/>
                <w:sz w:val="19"/>
              </w:rPr>
              <w:t>何 娟 车在前</w:t>
            </w:r>
          </w:p>
        </w:tc>
        <w:tc>
          <w:tcPr>
            <w:tcW w:w="2686" w:type="dxa"/>
            <w:tcBorders>
              <w:bottom w:val="single" w:sz="4" w:space="0" w:color="000000"/>
            </w:tcBorders>
          </w:tcPr>
          <w:p>
            <w:pPr>
              <w:pStyle w:val="TableParagraph"/>
              <w:spacing w:before="5"/>
              <w:rPr>
                <w:sz w:val="19"/>
              </w:rPr>
            </w:pPr>
          </w:p>
          <w:p>
            <w:pPr>
              <w:pStyle w:val="TableParagraph"/>
              <w:spacing w:line="340" w:lineRule="auto" w:before="1"/>
              <w:ind w:left="127" w:right="881" w:hanging="2"/>
              <w:rPr>
                <w:sz w:val="19"/>
              </w:rPr>
            </w:pPr>
            <w:r>
              <w:rPr>
                <w:color w:val="383838"/>
                <w:w w:val="105"/>
                <w:sz w:val="19"/>
              </w:rPr>
              <w:t>上海交通大学附属</w:t>
            </w:r>
            <w:r>
              <w:rPr>
                <w:color w:val="383838"/>
                <w:w w:val="110"/>
                <w:sz w:val="19"/>
              </w:rPr>
              <w:t>瑞金医院</w:t>
            </w:r>
          </w:p>
        </w:tc>
        <w:tc>
          <w:tcPr>
            <w:tcW w:w="975" w:type="dxa"/>
            <w:vMerge/>
            <w:tcBorders>
              <w:top w:val="nil"/>
              <w:bottom w:val="single" w:sz="4" w:space="0" w:color="000000"/>
            </w:tcBorders>
          </w:tcPr>
          <w:p>
            <w:pPr>
              <w:rPr>
                <w:sz w:val="2"/>
                <w:szCs w:val="2"/>
              </w:rPr>
            </w:pPr>
          </w:p>
        </w:tc>
      </w:tr>
      <w:tr>
        <w:trPr>
          <w:trHeight w:val="1001" w:hRule="atLeast"/>
        </w:trPr>
        <w:tc>
          <w:tcPr>
            <w:tcW w:w="1285" w:type="dxa"/>
            <w:vMerge/>
            <w:tcBorders>
              <w:top w:val="nil"/>
            </w:tcBorders>
          </w:tcPr>
          <w:p>
            <w:pPr>
              <w:rPr>
                <w:sz w:val="2"/>
                <w:szCs w:val="2"/>
              </w:rPr>
            </w:pPr>
          </w:p>
        </w:tc>
        <w:tc>
          <w:tcPr>
            <w:tcW w:w="1422" w:type="dxa"/>
            <w:tcBorders>
              <w:top w:val="single" w:sz="4" w:space="0" w:color="000000"/>
              <w:bottom w:val="single" w:sz="4" w:space="0" w:color="000000"/>
            </w:tcBorders>
          </w:tcPr>
          <w:p>
            <w:pPr>
              <w:pStyle w:val="TableParagraph"/>
              <w:spacing w:before="2"/>
              <w:rPr>
                <w:sz w:val="25"/>
              </w:rPr>
            </w:pPr>
          </w:p>
          <w:p>
            <w:pPr>
              <w:pStyle w:val="TableParagraph"/>
              <w:ind w:left="11" w:right="18"/>
              <w:jc w:val="center"/>
              <w:rPr>
                <w:rFonts w:ascii="Times New Roman"/>
                <w:sz w:val="21"/>
              </w:rPr>
            </w:pPr>
            <w:r>
              <w:rPr>
                <w:rFonts w:ascii="Times New Roman"/>
                <w:color w:val="1F1F1F"/>
                <w:w w:val="110"/>
                <w:sz w:val="21"/>
              </w:rPr>
              <w:t>10</w:t>
            </w:r>
            <w:r>
              <w:rPr>
                <w:rFonts w:ascii="Times New Roman"/>
                <w:color w:val="030303"/>
                <w:w w:val="110"/>
                <w:sz w:val="21"/>
              </w:rPr>
              <w:t>: </w:t>
            </w:r>
            <w:r>
              <w:rPr>
                <w:rFonts w:ascii="Times New Roman"/>
                <w:color w:val="383838"/>
                <w:w w:val="110"/>
                <w:sz w:val="21"/>
              </w:rPr>
              <w:t>4</w:t>
            </w:r>
            <w:r>
              <w:rPr>
                <w:rFonts w:ascii="Times New Roman"/>
                <w:color w:val="1F1F1F"/>
                <w:w w:val="110"/>
                <w:sz w:val="21"/>
              </w:rPr>
              <w:t>5</w:t>
            </w:r>
            <w:r>
              <w:rPr>
                <w:rFonts w:ascii="Times New Roman"/>
                <w:color w:val="4D4D4D"/>
                <w:w w:val="110"/>
                <w:sz w:val="21"/>
              </w:rPr>
              <w:t>- </w:t>
            </w:r>
            <w:r>
              <w:rPr>
                <w:rFonts w:ascii="Times New Roman"/>
                <w:color w:val="1F1F1F"/>
                <w:w w:val="110"/>
                <w:sz w:val="21"/>
              </w:rPr>
              <w:t>11: </w:t>
            </w:r>
            <w:r>
              <w:rPr>
                <w:rFonts w:ascii="Times New Roman"/>
                <w:color w:val="383838"/>
                <w:w w:val="110"/>
                <w:sz w:val="21"/>
              </w:rPr>
              <w:t>3</w:t>
            </w:r>
            <w:r>
              <w:rPr>
                <w:rFonts w:ascii="Times New Roman"/>
                <w:color w:val="1F1F1F"/>
                <w:w w:val="110"/>
                <w:sz w:val="21"/>
              </w:rPr>
              <w:t>0</w:t>
            </w:r>
          </w:p>
        </w:tc>
        <w:tc>
          <w:tcPr>
            <w:tcW w:w="2556" w:type="dxa"/>
            <w:tcBorders>
              <w:top w:val="single" w:sz="4" w:space="0" w:color="000000"/>
              <w:bottom w:val="single" w:sz="4" w:space="0" w:color="000000"/>
            </w:tcBorders>
          </w:tcPr>
          <w:p>
            <w:pPr>
              <w:pStyle w:val="TableParagraph"/>
              <w:spacing w:line="226" w:lineRule="exact"/>
              <w:ind w:left="123"/>
              <w:rPr>
                <w:sz w:val="19"/>
              </w:rPr>
            </w:pPr>
            <w:r>
              <w:rPr>
                <w:color w:val="1F1F1F"/>
                <w:w w:val="110"/>
                <w:sz w:val="19"/>
              </w:rPr>
              <w:t>一</w:t>
            </w:r>
            <w:r>
              <w:rPr>
                <w:color w:val="383838"/>
                <w:w w:val="110"/>
                <w:sz w:val="19"/>
              </w:rPr>
              <w:t>例肾移植术后发生高渗</w:t>
            </w:r>
          </w:p>
          <w:p>
            <w:pPr>
              <w:pStyle w:val="TableParagraph"/>
              <w:spacing w:line="340" w:lineRule="atLeast" w:before="6"/>
              <w:ind w:left="125" w:right="135" w:hanging="1"/>
              <w:rPr>
                <w:sz w:val="19"/>
              </w:rPr>
            </w:pPr>
            <w:r>
              <w:rPr>
                <w:color w:val="4D4D4D"/>
                <w:w w:val="105"/>
                <w:sz w:val="19"/>
              </w:rPr>
              <w:t>性高血糖综合征患者治疗</w:t>
            </w:r>
            <w:r>
              <w:rPr>
                <w:color w:val="383838"/>
                <w:w w:val="110"/>
                <w:sz w:val="19"/>
              </w:rPr>
              <w:t>方案的调整与思考</w:t>
            </w:r>
          </w:p>
        </w:tc>
        <w:tc>
          <w:tcPr>
            <w:tcW w:w="989" w:type="dxa"/>
            <w:tcBorders>
              <w:top w:val="single" w:sz="4" w:space="0" w:color="000000"/>
              <w:bottom w:val="single" w:sz="4" w:space="0" w:color="000000"/>
            </w:tcBorders>
          </w:tcPr>
          <w:p>
            <w:pPr>
              <w:pStyle w:val="TableParagraph"/>
              <w:spacing w:before="8"/>
              <w:rPr>
                <w:sz w:val="25"/>
              </w:rPr>
            </w:pPr>
          </w:p>
          <w:p>
            <w:pPr>
              <w:pStyle w:val="TableParagraph"/>
              <w:ind w:left="197"/>
              <w:rPr>
                <w:sz w:val="19"/>
              </w:rPr>
            </w:pPr>
            <w:r>
              <w:rPr>
                <w:color w:val="383838"/>
                <w:w w:val="110"/>
                <w:sz w:val="19"/>
              </w:rPr>
              <w:t>杨辉</w:t>
            </w:r>
          </w:p>
        </w:tc>
        <w:tc>
          <w:tcPr>
            <w:tcW w:w="2686" w:type="dxa"/>
            <w:tcBorders>
              <w:top w:val="single" w:sz="4" w:space="0" w:color="000000"/>
              <w:bottom w:val="single" w:sz="4" w:space="0" w:color="000000"/>
            </w:tcBorders>
          </w:tcPr>
          <w:p>
            <w:pPr>
              <w:pStyle w:val="TableParagraph"/>
              <w:spacing w:line="333" w:lineRule="auto" w:before="155"/>
              <w:ind w:left="131" w:right="876"/>
              <w:rPr>
                <w:sz w:val="19"/>
              </w:rPr>
            </w:pPr>
            <w:r>
              <w:rPr>
                <w:color w:val="383838"/>
                <w:w w:val="105"/>
                <w:sz w:val="19"/>
              </w:rPr>
              <w:t>首都医科大学附属</w:t>
            </w:r>
            <w:r>
              <w:rPr>
                <w:color w:val="4D4D4D"/>
                <w:w w:val="110"/>
                <w:sz w:val="19"/>
              </w:rPr>
              <w:t>北京朝阳医院</w:t>
            </w:r>
          </w:p>
        </w:tc>
        <w:tc>
          <w:tcPr>
            <w:tcW w:w="975" w:type="dxa"/>
            <w:vMerge w:val="restart"/>
            <w:tcBorders>
              <w:top w:val="single" w:sz="4" w:space="0" w:color="000000"/>
            </w:tcBorders>
          </w:tcPr>
          <w:p>
            <w:pPr>
              <w:pStyle w:val="TableParagraph"/>
              <w:rPr>
                <w:sz w:val="20"/>
              </w:rPr>
            </w:pPr>
          </w:p>
          <w:p>
            <w:pPr>
              <w:pStyle w:val="TableParagraph"/>
              <w:rPr>
                <w:sz w:val="20"/>
              </w:rPr>
            </w:pPr>
          </w:p>
          <w:p>
            <w:pPr>
              <w:pStyle w:val="TableParagraph"/>
              <w:spacing w:before="6"/>
              <w:rPr>
                <w:sz w:val="21"/>
              </w:rPr>
            </w:pPr>
          </w:p>
          <w:p>
            <w:pPr>
              <w:pStyle w:val="TableParagraph"/>
              <w:spacing w:line="324" w:lineRule="auto"/>
              <w:ind w:left="192" w:right="131" w:firstLine="4"/>
              <w:rPr>
                <w:sz w:val="20"/>
              </w:rPr>
            </w:pPr>
            <w:r>
              <w:rPr>
                <w:color w:val="383838"/>
                <w:sz w:val="20"/>
              </w:rPr>
              <w:t>李冬梅赵环宇</w:t>
            </w:r>
          </w:p>
        </w:tc>
      </w:tr>
      <w:tr>
        <w:trPr>
          <w:trHeight w:val="1167" w:hRule="atLeast"/>
        </w:trPr>
        <w:tc>
          <w:tcPr>
            <w:tcW w:w="1285" w:type="dxa"/>
            <w:vMerge/>
            <w:tcBorders>
              <w:top w:val="nil"/>
            </w:tcBorders>
          </w:tcPr>
          <w:p>
            <w:pPr>
              <w:rPr>
                <w:sz w:val="2"/>
                <w:szCs w:val="2"/>
              </w:rPr>
            </w:pPr>
          </w:p>
        </w:tc>
        <w:tc>
          <w:tcPr>
            <w:tcW w:w="1422" w:type="dxa"/>
            <w:tcBorders>
              <w:top w:val="single" w:sz="4" w:space="0" w:color="000000"/>
            </w:tcBorders>
          </w:tcPr>
          <w:p>
            <w:pPr>
              <w:pStyle w:val="TableParagraph"/>
              <w:rPr>
                <w:sz w:val="22"/>
              </w:rPr>
            </w:pPr>
          </w:p>
          <w:p>
            <w:pPr>
              <w:pStyle w:val="TableParagraph"/>
              <w:spacing w:before="170"/>
              <w:ind w:left="22" w:right="18"/>
              <w:jc w:val="center"/>
              <w:rPr>
                <w:rFonts w:ascii="Times New Roman"/>
                <w:sz w:val="21"/>
              </w:rPr>
            </w:pPr>
            <w:r>
              <w:rPr>
                <w:rFonts w:ascii="Times New Roman"/>
                <w:color w:val="030303"/>
                <w:w w:val="110"/>
                <w:sz w:val="21"/>
              </w:rPr>
              <w:t>11: </w:t>
            </w:r>
            <w:r>
              <w:rPr>
                <w:rFonts w:ascii="Times New Roman"/>
                <w:color w:val="383838"/>
                <w:w w:val="110"/>
                <w:sz w:val="21"/>
              </w:rPr>
              <w:t>30-12</w:t>
            </w:r>
            <w:r>
              <w:rPr>
                <w:rFonts w:ascii="Times New Roman"/>
                <w:color w:val="030303"/>
                <w:w w:val="110"/>
                <w:sz w:val="21"/>
              </w:rPr>
              <w:t>: </w:t>
            </w:r>
            <w:r>
              <w:rPr>
                <w:rFonts w:ascii="Times New Roman"/>
                <w:color w:val="383838"/>
                <w:w w:val="110"/>
                <w:sz w:val="21"/>
              </w:rPr>
              <w:t>15</w:t>
            </w:r>
          </w:p>
        </w:tc>
        <w:tc>
          <w:tcPr>
            <w:tcW w:w="2556" w:type="dxa"/>
            <w:tcBorders>
              <w:top w:val="single" w:sz="4" w:space="0" w:color="000000"/>
            </w:tcBorders>
          </w:tcPr>
          <w:p>
            <w:pPr>
              <w:pStyle w:val="TableParagraph"/>
              <w:spacing w:line="212" w:lineRule="exact"/>
              <w:ind w:left="123"/>
              <w:rPr>
                <w:sz w:val="19"/>
              </w:rPr>
            </w:pPr>
            <w:r>
              <w:rPr>
                <w:color w:val="383838"/>
                <w:w w:val="110"/>
                <w:sz w:val="19"/>
              </w:rPr>
              <w:t>临床药师参与的一例成人</w:t>
            </w:r>
          </w:p>
          <w:p>
            <w:pPr>
              <w:pStyle w:val="TableParagraph"/>
              <w:spacing w:line="304" w:lineRule="auto" w:before="47"/>
              <w:ind w:left="118" w:right="65" w:firstLine="38"/>
              <w:rPr>
                <w:sz w:val="19"/>
              </w:rPr>
            </w:pPr>
            <w:r>
              <w:rPr>
                <w:rFonts w:ascii="Times New Roman" w:eastAsia="Times New Roman"/>
                <w:color w:val="1F1F1F"/>
                <w:w w:val="105"/>
                <w:sz w:val="24"/>
              </w:rPr>
              <w:t>II</w:t>
            </w:r>
            <w:r>
              <w:rPr>
                <w:rFonts w:ascii="Times New Roman" w:eastAsia="Times New Roman"/>
                <w:color w:val="1F1F1F"/>
                <w:spacing w:val="-30"/>
                <w:w w:val="105"/>
                <w:sz w:val="24"/>
              </w:rPr>
              <w:t> </w:t>
            </w:r>
            <w:r>
              <w:rPr>
                <w:color w:val="383838"/>
                <w:spacing w:val="-4"/>
                <w:w w:val="105"/>
                <w:sz w:val="19"/>
              </w:rPr>
              <w:t>型 谷氨酸血症患者肝移</w:t>
            </w:r>
            <w:r>
              <w:rPr>
                <w:color w:val="383838"/>
                <w:w w:val="105"/>
                <w:sz w:val="19"/>
              </w:rPr>
              <w:t>植围手术期营养支持治疗</w:t>
            </w:r>
          </w:p>
          <w:p>
            <w:pPr>
              <w:pStyle w:val="TableParagraph"/>
              <w:spacing w:line="213" w:lineRule="exact" w:before="15"/>
              <w:ind w:left="117"/>
              <w:rPr>
                <w:sz w:val="19"/>
              </w:rPr>
            </w:pPr>
            <w:r>
              <w:rPr>
                <w:color w:val="383838"/>
                <w:w w:val="110"/>
                <w:sz w:val="19"/>
              </w:rPr>
              <w:t>案例分析</w:t>
            </w:r>
          </w:p>
        </w:tc>
        <w:tc>
          <w:tcPr>
            <w:tcW w:w="989" w:type="dxa"/>
            <w:tcBorders>
              <w:top w:val="single" w:sz="4" w:space="0" w:color="000000"/>
            </w:tcBorders>
          </w:tcPr>
          <w:p>
            <w:pPr>
              <w:pStyle w:val="TableParagraph"/>
              <w:rPr>
                <w:sz w:val="18"/>
              </w:rPr>
            </w:pPr>
          </w:p>
          <w:p>
            <w:pPr>
              <w:pStyle w:val="TableParagraph"/>
              <w:spacing w:before="8"/>
              <w:rPr>
                <w:sz w:val="16"/>
              </w:rPr>
            </w:pPr>
          </w:p>
          <w:p>
            <w:pPr>
              <w:pStyle w:val="TableParagraph"/>
              <w:ind w:left="205"/>
              <w:rPr>
                <w:sz w:val="19"/>
              </w:rPr>
            </w:pPr>
            <w:r>
              <w:rPr>
                <w:color w:val="383838"/>
                <w:sz w:val="19"/>
              </w:rPr>
              <w:t>杜 </w:t>
            </w:r>
            <w:r>
              <w:rPr>
                <w:color w:val="939393"/>
                <w:w w:val="80"/>
                <w:sz w:val="19"/>
              </w:rPr>
              <w:t>，</w:t>
            </w:r>
            <w:r>
              <w:rPr>
                <w:color w:val="383838"/>
                <w:w w:val="80"/>
                <w:sz w:val="19"/>
              </w:rPr>
              <w:t>瑶</w:t>
            </w:r>
          </w:p>
        </w:tc>
        <w:tc>
          <w:tcPr>
            <w:tcW w:w="2686" w:type="dxa"/>
            <w:tcBorders>
              <w:top w:val="single" w:sz="4" w:space="0" w:color="000000"/>
            </w:tcBorders>
          </w:tcPr>
          <w:p>
            <w:pPr>
              <w:pStyle w:val="TableParagraph"/>
              <w:rPr>
                <w:sz w:val="18"/>
              </w:rPr>
            </w:pPr>
          </w:p>
          <w:p>
            <w:pPr>
              <w:pStyle w:val="TableParagraph"/>
              <w:spacing w:before="10"/>
              <w:rPr>
                <w:sz w:val="17"/>
              </w:rPr>
            </w:pPr>
          </w:p>
          <w:p>
            <w:pPr>
              <w:pStyle w:val="TableParagraph"/>
              <w:ind w:left="139"/>
              <w:rPr>
                <w:sz w:val="19"/>
              </w:rPr>
            </w:pPr>
            <w:r>
              <w:rPr>
                <w:color w:val="383838"/>
                <w:w w:val="110"/>
                <w:sz w:val="19"/>
              </w:rPr>
              <w:t>南京鼓楼医院</w:t>
            </w:r>
          </w:p>
        </w:tc>
        <w:tc>
          <w:tcPr>
            <w:tcW w:w="975" w:type="dxa"/>
            <w:vMerge/>
            <w:tcBorders>
              <w:top w:val="nil"/>
            </w:tcBorders>
          </w:tcPr>
          <w:p>
            <w:pPr>
              <w:rPr>
                <w:sz w:val="2"/>
                <w:szCs w:val="2"/>
              </w:rPr>
            </w:pPr>
          </w:p>
        </w:tc>
      </w:tr>
      <w:tr>
        <w:trPr>
          <w:trHeight w:val="1340" w:hRule="atLeast"/>
        </w:trPr>
        <w:tc>
          <w:tcPr>
            <w:tcW w:w="1285" w:type="dxa"/>
          </w:tcPr>
          <w:p>
            <w:pPr>
              <w:pStyle w:val="TableParagraph"/>
              <w:spacing w:before="84"/>
              <w:ind w:left="133" w:right="73"/>
              <w:jc w:val="center"/>
              <w:rPr>
                <w:rFonts w:ascii="Times New Roman"/>
                <w:sz w:val="21"/>
              </w:rPr>
            </w:pPr>
            <w:r>
              <w:rPr>
                <w:rFonts w:ascii="Times New Roman"/>
                <w:color w:val="383838"/>
                <w:spacing w:val="-3"/>
                <w:w w:val="105"/>
                <w:sz w:val="21"/>
              </w:rPr>
              <w:t>2</w:t>
            </w:r>
            <w:r>
              <w:rPr>
                <w:rFonts w:ascii="Times New Roman"/>
                <w:color w:val="1F1F1F"/>
                <w:spacing w:val="-3"/>
                <w:w w:val="105"/>
                <w:sz w:val="21"/>
              </w:rPr>
              <w:t>019</w:t>
            </w:r>
            <w:r>
              <w:rPr>
                <w:rFonts w:ascii="Times New Roman"/>
                <w:color w:val="4D4D4D"/>
                <w:spacing w:val="-3"/>
                <w:w w:val="105"/>
                <w:sz w:val="21"/>
              </w:rPr>
              <w:t>/ </w:t>
            </w:r>
            <w:r>
              <w:rPr>
                <w:rFonts w:ascii="Times New Roman"/>
                <w:color w:val="4D4D4D"/>
                <w:w w:val="105"/>
                <w:sz w:val="21"/>
              </w:rPr>
              <w:t>8/</w:t>
            </w:r>
            <w:r>
              <w:rPr>
                <w:rFonts w:ascii="Times New Roman"/>
                <w:color w:val="4D4D4D"/>
                <w:spacing w:val="-32"/>
                <w:w w:val="105"/>
                <w:sz w:val="21"/>
              </w:rPr>
              <w:t> </w:t>
            </w:r>
            <w:r>
              <w:rPr>
                <w:rFonts w:ascii="Times New Roman"/>
                <w:color w:val="1F1F1F"/>
                <w:w w:val="105"/>
                <w:sz w:val="21"/>
              </w:rPr>
              <w:t>1</w:t>
            </w:r>
            <w:r>
              <w:rPr>
                <w:rFonts w:ascii="Times New Roman"/>
                <w:color w:val="030303"/>
                <w:w w:val="105"/>
                <w:sz w:val="21"/>
              </w:rPr>
              <w:t>1</w:t>
            </w:r>
          </w:p>
          <w:p>
            <w:pPr>
              <w:pStyle w:val="TableParagraph"/>
              <w:spacing w:line="333" w:lineRule="auto" w:before="97"/>
              <w:ind w:left="132" w:right="81" w:hanging="59"/>
              <w:jc w:val="center"/>
              <w:rPr>
                <w:sz w:val="19"/>
              </w:rPr>
            </w:pPr>
            <w:r>
              <w:rPr>
                <w:color w:val="383838"/>
                <w:w w:val="105"/>
                <w:sz w:val="19"/>
              </w:rPr>
              <w:t>（</w:t>
            </w:r>
            <w:r>
              <w:rPr>
                <w:color w:val="383838"/>
                <w:spacing w:val="4"/>
                <w:w w:val="105"/>
                <w:sz w:val="19"/>
              </w:rPr>
              <w:t>闭门会</w:t>
            </w:r>
            <w:r>
              <w:rPr>
                <w:color w:val="1F1F1F"/>
                <w:sz w:val="19"/>
              </w:rPr>
              <w:t>： </w:t>
            </w:r>
            <w:r>
              <w:rPr>
                <w:color w:val="383838"/>
                <w:spacing w:val="-4"/>
                <w:w w:val="105"/>
                <w:sz w:val="19"/>
              </w:rPr>
              <w:t>科普书审稿</w:t>
            </w:r>
          </w:p>
          <w:p>
            <w:pPr>
              <w:pStyle w:val="TableParagraph"/>
              <w:spacing w:line="213" w:lineRule="exact" w:before="8"/>
              <w:ind w:left="47" w:right="73"/>
              <w:jc w:val="center"/>
              <w:rPr>
                <w:sz w:val="19"/>
              </w:rPr>
            </w:pPr>
            <w:r>
              <w:rPr>
                <w:color w:val="383838"/>
                <w:w w:val="95"/>
                <w:sz w:val="19"/>
              </w:rPr>
              <w:t>会）</w:t>
            </w:r>
          </w:p>
        </w:tc>
        <w:tc>
          <w:tcPr>
            <w:tcW w:w="1422" w:type="dxa"/>
          </w:tcPr>
          <w:p>
            <w:pPr>
              <w:pStyle w:val="TableParagraph"/>
              <w:rPr>
                <w:sz w:val="22"/>
              </w:rPr>
            </w:pPr>
          </w:p>
          <w:p>
            <w:pPr>
              <w:pStyle w:val="TableParagraph"/>
              <w:spacing w:before="7"/>
              <w:rPr>
                <w:sz w:val="24"/>
              </w:rPr>
            </w:pPr>
          </w:p>
          <w:p>
            <w:pPr>
              <w:pStyle w:val="TableParagraph"/>
              <w:ind w:left="47" w:right="1"/>
              <w:jc w:val="center"/>
              <w:rPr>
                <w:rFonts w:ascii="Times New Roman"/>
                <w:sz w:val="21"/>
              </w:rPr>
            </w:pPr>
            <w:r>
              <w:rPr>
                <w:rFonts w:ascii="Times New Roman"/>
                <w:color w:val="1F1F1F"/>
                <w:w w:val="110"/>
                <w:sz w:val="21"/>
              </w:rPr>
              <w:t>0</w:t>
            </w:r>
            <w:r>
              <w:rPr>
                <w:rFonts w:ascii="Times New Roman"/>
                <w:color w:val="383838"/>
                <w:w w:val="110"/>
                <w:sz w:val="21"/>
              </w:rPr>
              <w:t>8: </w:t>
            </w:r>
            <w:r>
              <w:rPr>
                <w:rFonts w:ascii="Times New Roman"/>
                <w:color w:val="1F1F1F"/>
                <w:w w:val="110"/>
                <w:sz w:val="21"/>
              </w:rPr>
              <w:t>30</w:t>
            </w:r>
            <w:r>
              <w:rPr>
                <w:rFonts w:ascii="Times New Roman"/>
                <w:color w:val="4D4D4D"/>
                <w:w w:val="110"/>
                <w:sz w:val="21"/>
              </w:rPr>
              <w:t>- </w:t>
            </w:r>
            <w:r>
              <w:rPr>
                <w:rFonts w:ascii="Times New Roman"/>
                <w:color w:val="1F1F1F"/>
                <w:w w:val="110"/>
                <w:sz w:val="21"/>
              </w:rPr>
              <w:t>12: 1</w:t>
            </w:r>
            <w:r>
              <w:rPr>
                <w:rFonts w:ascii="Times New Roman"/>
                <w:color w:val="383838"/>
                <w:w w:val="110"/>
                <w:sz w:val="21"/>
              </w:rPr>
              <w:t>5</w:t>
            </w:r>
          </w:p>
        </w:tc>
        <w:tc>
          <w:tcPr>
            <w:tcW w:w="2556" w:type="dxa"/>
          </w:tcPr>
          <w:p>
            <w:pPr>
              <w:pStyle w:val="TableParagraph"/>
              <w:rPr>
                <w:sz w:val="20"/>
              </w:rPr>
            </w:pPr>
          </w:p>
          <w:p>
            <w:pPr>
              <w:pStyle w:val="TableParagraph"/>
              <w:spacing w:line="333" w:lineRule="auto"/>
              <w:ind w:left="140" w:right="98" w:hanging="21"/>
              <w:jc w:val="center"/>
              <w:rPr>
                <w:sz w:val="19"/>
              </w:rPr>
            </w:pPr>
            <w:r>
              <w:rPr>
                <w:color w:val="383838"/>
                <w:w w:val="110"/>
                <w:sz w:val="19"/>
              </w:rPr>
              <w:t>大型药学科普读物</w:t>
            </w:r>
            <w:r>
              <w:rPr>
                <w:color w:val="1F1F1F"/>
                <w:w w:val="110"/>
                <w:sz w:val="19"/>
              </w:rPr>
              <w:t>一</w:t>
            </w:r>
            <w:r>
              <w:rPr>
                <w:color w:val="030303"/>
                <w:w w:val="110"/>
                <w:sz w:val="19"/>
              </w:rPr>
              <w:t>—</w:t>
            </w:r>
            <w:r>
              <w:rPr>
                <w:color w:val="383838"/>
                <w:w w:val="110"/>
                <w:sz w:val="19"/>
              </w:rPr>
              <w:t> </w:t>
            </w:r>
            <w:r>
              <w:rPr>
                <w:color w:val="383838"/>
                <w:w w:val="105"/>
                <w:sz w:val="19"/>
              </w:rPr>
              <w:t>开启药学服务之旅第一次</w:t>
            </w:r>
            <w:r>
              <w:rPr>
                <w:color w:val="383838"/>
                <w:w w:val="110"/>
                <w:sz w:val="19"/>
              </w:rPr>
              <w:t>审稿会</w:t>
            </w:r>
          </w:p>
        </w:tc>
        <w:tc>
          <w:tcPr>
            <w:tcW w:w="989" w:type="dxa"/>
          </w:tcPr>
          <w:p>
            <w:pPr>
              <w:pStyle w:val="TableParagraph"/>
              <w:rPr>
                <w:rFonts w:ascii="Times New Roman"/>
                <w:sz w:val="20"/>
              </w:rPr>
            </w:pPr>
          </w:p>
        </w:tc>
        <w:tc>
          <w:tcPr>
            <w:tcW w:w="2686" w:type="dxa"/>
          </w:tcPr>
          <w:p>
            <w:pPr>
              <w:pStyle w:val="TableParagraph"/>
              <w:rPr>
                <w:rFonts w:ascii="Times New Roman"/>
                <w:sz w:val="20"/>
              </w:rPr>
            </w:pPr>
          </w:p>
        </w:tc>
        <w:tc>
          <w:tcPr>
            <w:tcW w:w="975" w:type="dxa"/>
          </w:tcPr>
          <w:p>
            <w:pPr>
              <w:pStyle w:val="TableParagraph"/>
              <w:rPr>
                <w:sz w:val="20"/>
              </w:rPr>
            </w:pPr>
          </w:p>
          <w:p>
            <w:pPr>
              <w:pStyle w:val="TableParagraph"/>
              <w:spacing w:before="9"/>
              <w:rPr>
                <w:sz w:val="25"/>
              </w:rPr>
            </w:pPr>
          </w:p>
          <w:p>
            <w:pPr>
              <w:pStyle w:val="TableParagraph"/>
              <w:ind w:left="195"/>
              <w:rPr>
                <w:sz w:val="20"/>
              </w:rPr>
            </w:pPr>
            <w:r>
              <w:rPr>
                <w:color w:val="383838"/>
                <w:w w:val="110"/>
                <w:sz w:val="20"/>
              </w:rPr>
              <w:t>陈慧</w:t>
            </w:r>
          </w:p>
        </w:tc>
      </w:tr>
      <w:tr>
        <w:trPr>
          <w:trHeight w:val="748" w:hRule="atLeast"/>
        </w:trPr>
        <w:tc>
          <w:tcPr>
            <w:tcW w:w="9913" w:type="dxa"/>
            <w:gridSpan w:val="6"/>
          </w:tcPr>
          <w:p>
            <w:pPr>
              <w:pStyle w:val="TableParagraph"/>
              <w:spacing w:before="12"/>
              <w:rPr>
                <w:sz w:val="23"/>
              </w:rPr>
            </w:pPr>
          </w:p>
          <w:p>
            <w:pPr>
              <w:pStyle w:val="TableParagraph"/>
              <w:ind w:left="4547" w:right="4459"/>
              <w:jc w:val="center"/>
              <w:rPr>
                <w:sz w:val="19"/>
              </w:rPr>
            </w:pPr>
            <w:r>
              <w:rPr>
                <w:color w:val="383838"/>
                <w:w w:val="110"/>
                <w:sz w:val="19"/>
              </w:rPr>
              <w:t>领取学分</w:t>
            </w:r>
          </w:p>
        </w:tc>
      </w:tr>
    </w:tbl>
    <w:p>
      <w:pPr>
        <w:spacing w:after="0"/>
        <w:jc w:val="center"/>
        <w:rPr>
          <w:sz w:val="19"/>
        </w:rPr>
        <w:sectPr>
          <w:headerReference w:type="default" r:id="rId37"/>
          <w:footerReference w:type="default" r:id="rId38"/>
          <w:pgSz w:w="11910" w:h="16850"/>
          <w:pgMar w:header="1552" w:footer="0" w:top="2500" w:bottom="280" w:left="640" w:right="0"/>
        </w:sectPr>
      </w:pPr>
    </w:p>
    <w:p>
      <w:pPr>
        <w:spacing w:before="55"/>
        <w:ind w:left="1012" w:right="0" w:firstLine="0"/>
        <w:jc w:val="left"/>
        <w:rPr>
          <w:rFonts w:ascii="Arial" w:eastAsia="Arial"/>
          <w:sz w:val="25"/>
        </w:rPr>
      </w:pPr>
      <w:r>
        <w:rPr>
          <w:color w:val="0A0A0A"/>
          <w:spacing w:val="-27"/>
          <w:w w:val="110"/>
          <w:sz w:val="26"/>
        </w:rPr>
        <w:t>附件 </w:t>
      </w:r>
      <w:r>
        <w:rPr>
          <w:rFonts w:ascii="Arial" w:eastAsia="Arial"/>
          <w:color w:val="0A0A0A"/>
          <w:spacing w:val="-19"/>
          <w:w w:val="110"/>
          <w:sz w:val="25"/>
        </w:rPr>
        <w:t>2</w:t>
      </w:r>
    </w:p>
    <w:p>
      <w:pPr>
        <w:pStyle w:val="BodyText"/>
        <w:spacing w:before="4"/>
        <w:ind w:left="0"/>
        <w:rPr>
          <w:rFonts w:ascii="Arial"/>
          <w:sz w:val="40"/>
        </w:rPr>
      </w:pPr>
      <w:r>
        <w:rPr/>
        <w:br w:type="column"/>
      </w:r>
      <w:r>
        <w:rPr>
          <w:rFonts w:ascii="Arial"/>
          <w:sz w:val="40"/>
        </w:rPr>
      </w:r>
    </w:p>
    <w:p>
      <w:pPr>
        <w:pStyle w:val="Heading3"/>
        <w:ind w:left="241"/>
        <w:jc w:val="left"/>
      </w:pPr>
      <w:r>
        <w:rPr>
          <w:color w:val="0A0A0A"/>
          <w:w w:val="105"/>
        </w:rPr>
        <w:t>中国药学会药学服务专业委员会</w:t>
      </w:r>
    </w:p>
    <w:p>
      <w:pPr>
        <w:spacing w:after="0"/>
        <w:jc w:val="left"/>
        <w:sectPr>
          <w:headerReference w:type="default" r:id="rId39"/>
          <w:footerReference w:type="default" r:id="rId40"/>
          <w:pgSz w:w="11910" w:h="16850"/>
          <w:pgMar w:header="0" w:footer="0" w:top="1140" w:bottom="280" w:left="640" w:right="0"/>
          <w:cols w:num="2" w:equalWidth="0">
            <w:col w:w="1803" w:space="40"/>
            <w:col w:w="9427"/>
          </w:cols>
        </w:sectPr>
      </w:pPr>
    </w:p>
    <w:p>
      <w:pPr>
        <w:spacing w:before="60"/>
        <w:ind w:left="0" w:right="815" w:firstLine="0"/>
        <w:jc w:val="center"/>
        <w:rPr>
          <w:sz w:val="42"/>
        </w:rPr>
      </w:pPr>
      <w:r>
        <w:rPr>
          <w:color w:val="262626"/>
          <w:w w:val="110"/>
          <w:sz w:val="42"/>
        </w:rPr>
        <w:t>“</w:t>
      </w:r>
      <w:r>
        <w:rPr>
          <w:color w:val="0A0A0A"/>
          <w:w w:val="110"/>
          <w:sz w:val="42"/>
        </w:rPr>
        <w:t>科学有意思“现场脱口秀相关活动说明</w:t>
      </w:r>
    </w:p>
    <w:p>
      <w:pPr>
        <w:pStyle w:val="BodyText"/>
        <w:spacing w:before="7"/>
        <w:ind w:left="0"/>
        <w:rPr>
          <w:sz w:val="46"/>
        </w:rPr>
      </w:pPr>
    </w:p>
    <w:p>
      <w:pPr>
        <w:pStyle w:val="Heading5"/>
        <w:spacing w:line="300" w:lineRule="auto"/>
        <w:ind w:left="1014" w:right="1902" w:firstLine="972"/>
        <w:jc w:val="both"/>
      </w:pPr>
      <w:r>
        <w:rPr>
          <w:color w:val="262626"/>
        </w:rPr>
        <w:t>为促进学术交流，体现药师风采，中国药学会药学服</w:t>
      </w:r>
      <w:r>
        <w:rPr>
          <w:color w:val="262626"/>
          <w:spacing w:val="-13"/>
          <w:w w:val="105"/>
        </w:rPr>
        <w:t>务专业委员会于 </w:t>
      </w:r>
      <w:r>
        <w:rPr>
          <w:rFonts w:ascii="Times New Roman" w:hAnsi="Times New Roman" w:eastAsia="Times New Roman"/>
          <w:color w:val="262626"/>
          <w:spacing w:val="6"/>
          <w:w w:val="105"/>
          <w:sz w:val="29"/>
        </w:rPr>
        <w:t>2</w:t>
      </w:r>
      <w:r>
        <w:rPr>
          <w:rFonts w:ascii="Times New Roman" w:hAnsi="Times New Roman" w:eastAsia="Times New Roman"/>
          <w:color w:val="0A0A0A"/>
          <w:spacing w:val="6"/>
          <w:w w:val="105"/>
          <w:sz w:val="29"/>
        </w:rPr>
        <w:t>01</w:t>
      </w:r>
      <w:r>
        <w:rPr>
          <w:rFonts w:ascii="Times New Roman" w:hAnsi="Times New Roman" w:eastAsia="Times New Roman"/>
          <w:color w:val="262626"/>
          <w:spacing w:val="6"/>
          <w:w w:val="105"/>
          <w:sz w:val="29"/>
        </w:rPr>
        <w:t>9</w:t>
      </w:r>
      <w:r>
        <w:rPr>
          <w:rFonts w:ascii="Times New Roman" w:hAnsi="Times New Roman" w:eastAsia="Times New Roman"/>
          <w:color w:val="262626"/>
          <w:spacing w:val="-25"/>
          <w:w w:val="105"/>
          <w:sz w:val="29"/>
        </w:rPr>
        <w:t> </w:t>
      </w:r>
      <w:r>
        <w:rPr>
          <w:color w:val="262626"/>
          <w:spacing w:val="-58"/>
          <w:w w:val="105"/>
          <w:sz w:val="30"/>
        </w:rPr>
        <w:t>年 </w:t>
      </w:r>
      <w:r>
        <w:rPr>
          <w:rFonts w:ascii="Times New Roman" w:hAnsi="Times New Roman" w:eastAsia="Times New Roman"/>
          <w:color w:val="262626"/>
          <w:w w:val="105"/>
          <w:sz w:val="29"/>
        </w:rPr>
        <w:t>8</w:t>
      </w:r>
      <w:r>
        <w:rPr>
          <w:rFonts w:ascii="Times New Roman" w:hAnsi="Times New Roman" w:eastAsia="Times New Roman"/>
          <w:color w:val="262626"/>
          <w:spacing w:val="-12"/>
          <w:w w:val="105"/>
          <w:sz w:val="29"/>
        </w:rPr>
        <w:t> </w:t>
      </w:r>
      <w:r>
        <w:rPr>
          <w:color w:val="262626"/>
          <w:spacing w:val="-54"/>
          <w:w w:val="105"/>
        </w:rPr>
        <w:t>月 </w:t>
      </w:r>
      <w:r>
        <w:rPr>
          <w:rFonts w:ascii="Times New Roman" w:hAnsi="Times New Roman" w:eastAsia="Times New Roman"/>
          <w:color w:val="0A0A0A"/>
          <w:w w:val="105"/>
          <w:sz w:val="29"/>
        </w:rPr>
        <w:t>1</w:t>
      </w:r>
      <w:r>
        <w:rPr>
          <w:rFonts w:ascii="Times New Roman" w:hAnsi="Times New Roman" w:eastAsia="Times New Roman"/>
          <w:color w:val="0A0A0A"/>
          <w:spacing w:val="-57"/>
          <w:w w:val="105"/>
          <w:sz w:val="29"/>
        </w:rPr>
        <w:t> </w:t>
      </w:r>
      <w:r>
        <w:rPr>
          <w:rFonts w:ascii="Times New Roman" w:hAnsi="Times New Roman" w:eastAsia="Times New Roman"/>
          <w:color w:val="0A0A0A"/>
          <w:w w:val="105"/>
          <w:sz w:val="29"/>
        </w:rPr>
        <w:t>0</w:t>
      </w:r>
      <w:r>
        <w:rPr>
          <w:rFonts w:ascii="Times New Roman" w:hAnsi="Times New Roman" w:eastAsia="Times New Roman"/>
          <w:color w:val="0A0A0A"/>
          <w:spacing w:val="-11"/>
          <w:w w:val="105"/>
          <w:sz w:val="29"/>
        </w:rPr>
        <w:t> </w:t>
      </w:r>
      <w:r>
        <w:rPr>
          <w:color w:val="262626"/>
          <w:spacing w:val="-21"/>
          <w:w w:val="105"/>
        </w:rPr>
        <w:t>日召开“ 科学有意思“ 现场脱口秀活动。</w:t>
      </w:r>
    </w:p>
    <w:p>
      <w:pPr>
        <w:spacing w:line="304" w:lineRule="auto" w:before="3"/>
        <w:ind w:left="1021" w:right="1883" w:firstLine="646"/>
        <w:jc w:val="both"/>
        <w:rPr>
          <w:sz w:val="31"/>
        </w:rPr>
      </w:pPr>
      <w:r>
        <w:rPr>
          <w:color w:val="262626"/>
          <w:sz w:val="31"/>
        </w:rPr>
        <w:t>一、现场秀共分为五组 </w:t>
      </w:r>
      <w:r>
        <w:rPr>
          <w:color w:val="0A0A0A"/>
          <w:w w:val="80"/>
          <w:sz w:val="31"/>
        </w:rPr>
        <w:t>， </w:t>
      </w:r>
      <w:r>
        <w:rPr>
          <w:color w:val="262626"/>
          <w:sz w:val="31"/>
        </w:rPr>
        <w:t>分别聚焦五个方向</w:t>
      </w:r>
      <w:r>
        <w:rPr>
          <w:color w:val="0A0A0A"/>
          <w:w w:val="80"/>
          <w:sz w:val="31"/>
        </w:rPr>
        <w:t>： </w:t>
      </w:r>
      <w:r>
        <w:rPr>
          <w:color w:val="262626"/>
          <w:sz w:val="31"/>
        </w:rPr>
        <w:t>药物诊疗</w:t>
      </w:r>
      <w:r>
        <w:rPr>
          <w:color w:val="262626"/>
          <w:w w:val="95"/>
          <w:sz w:val="31"/>
        </w:rPr>
        <w:t>进展（新方案、新指南等）、药物临床前研究（药理学、药物 基因组学、药代动力学等）、药物临床研究、药物综合评价（上</w:t>
      </w:r>
      <w:r>
        <w:rPr>
          <w:color w:val="262626"/>
          <w:sz w:val="31"/>
        </w:rPr>
        <w:t>市后真实数据研究等）及药物政策与药物经济学。</w:t>
      </w:r>
    </w:p>
    <w:p>
      <w:pPr>
        <w:tabs>
          <w:tab w:pos="4895" w:val="left" w:leader="none"/>
        </w:tabs>
        <w:spacing w:line="304" w:lineRule="auto" w:before="0"/>
        <w:ind w:left="1018" w:right="1717" w:firstLine="490"/>
        <w:jc w:val="left"/>
        <w:rPr>
          <w:sz w:val="31"/>
        </w:rPr>
      </w:pPr>
      <w:r>
        <w:rPr>
          <w:color w:val="262626"/>
          <w:sz w:val="31"/>
        </w:rPr>
        <w:t>二、每个</w:t>
      </w:r>
      <w:r>
        <w:rPr>
          <w:color w:val="262626"/>
          <w:spacing w:val="41"/>
          <w:sz w:val="31"/>
        </w:rPr>
        <w:t>小</w:t>
      </w:r>
      <w:r>
        <w:rPr>
          <w:color w:val="262626"/>
          <w:sz w:val="31"/>
        </w:rPr>
        <w:t>组最多征集</w:t>
      </w:r>
      <w:r>
        <w:rPr>
          <w:color w:val="262626"/>
          <w:spacing w:val="-95"/>
          <w:sz w:val="31"/>
        </w:rPr>
        <w:t> </w:t>
      </w:r>
      <w:r>
        <w:rPr>
          <w:rFonts w:ascii="Arial" w:hAnsi="Arial" w:eastAsia="Arial"/>
          <w:color w:val="262626"/>
          <w:sz w:val="30"/>
        </w:rPr>
        <w:t>8</w:t>
      </w:r>
      <w:r>
        <w:rPr>
          <w:rFonts w:ascii="Arial" w:hAnsi="Arial" w:eastAsia="Arial"/>
          <w:color w:val="262626"/>
          <w:spacing w:val="-51"/>
          <w:sz w:val="30"/>
        </w:rPr>
        <w:t> </w:t>
      </w:r>
      <w:r>
        <w:rPr>
          <w:color w:val="262626"/>
          <w:sz w:val="31"/>
        </w:rPr>
        <w:t>个项目，请将汇报人姓名、单位</w:t>
      </w:r>
      <w:r>
        <w:rPr>
          <w:color w:val="262626"/>
          <w:spacing w:val="-15"/>
          <w:sz w:val="31"/>
        </w:rPr>
        <w:t>、</w:t>
      </w:r>
      <w:r>
        <w:rPr>
          <w:color w:val="262626"/>
          <w:w w:val="95"/>
          <w:sz w:val="31"/>
        </w:rPr>
        <w:t>汇报主题和题目邮件发送至</w:t>
        <w:tab/>
      </w:r>
      <w:r>
        <w:rPr>
          <w:rFonts w:ascii="Times New Roman" w:hAnsi="Times New Roman" w:eastAsia="Times New Roman"/>
          <w:color w:val="262626"/>
          <w:spacing w:val="3"/>
          <w:sz w:val="29"/>
        </w:rPr>
        <w:t>z3</w:t>
      </w:r>
      <w:r>
        <w:rPr>
          <w:rFonts w:ascii="Times New Roman" w:hAnsi="Times New Roman" w:eastAsia="Times New Roman"/>
          <w:color w:val="0A0A0A"/>
          <w:spacing w:val="3"/>
          <w:sz w:val="29"/>
        </w:rPr>
        <w:t>0</w:t>
      </w:r>
      <w:r>
        <w:rPr>
          <w:rFonts w:ascii="Times New Roman" w:hAnsi="Times New Roman" w:eastAsia="Times New Roman"/>
          <w:color w:val="262626"/>
          <w:spacing w:val="3"/>
          <w:sz w:val="29"/>
        </w:rPr>
        <w:t>@c</w:t>
      </w:r>
      <w:r>
        <w:rPr>
          <w:rFonts w:ascii="Times New Roman" w:hAnsi="Times New Roman" w:eastAsia="Times New Roman"/>
          <w:color w:val="262626"/>
          <w:spacing w:val="-37"/>
          <w:sz w:val="29"/>
        </w:rPr>
        <w:t> </w:t>
      </w:r>
      <w:r>
        <w:rPr>
          <w:rFonts w:ascii="Times New Roman" w:hAnsi="Times New Roman" w:eastAsia="Times New Roman"/>
          <w:color w:val="262626"/>
          <w:w w:val="90"/>
          <w:sz w:val="29"/>
        </w:rPr>
        <w:t>pa</w:t>
      </w:r>
      <w:r>
        <w:rPr>
          <w:rFonts w:ascii="Times New Roman" w:hAnsi="Times New Roman" w:eastAsia="Times New Roman"/>
          <w:color w:val="262626"/>
          <w:spacing w:val="2"/>
          <w:w w:val="90"/>
          <w:sz w:val="29"/>
        </w:rPr>
        <w:t> </w:t>
      </w:r>
      <w:r>
        <w:rPr>
          <w:rFonts w:ascii="Times New Roman" w:hAnsi="Times New Roman" w:eastAsia="Times New Roman"/>
          <w:color w:val="262626"/>
          <w:w w:val="90"/>
          <w:sz w:val="29"/>
        </w:rPr>
        <w:t>.</w:t>
      </w:r>
      <w:r>
        <w:rPr>
          <w:rFonts w:ascii="Times New Roman" w:hAnsi="Times New Roman" w:eastAsia="Times New Roman"/>
          <w:color w:val="262626"/>
          <w:spacing w:val="-17"/>
          <w:w w:val="90"/>
          <w:sz w:val="29"/>
        </w:rPr>
        <w:t> </w:t>
      </w:r>
      <w:r>
        <w:rPr>
          <w:rFonts w:ascii="Times New Roman" w:hAnsi="Times New Roman" w:eastAsia="Times New Roman"/>
          <w:color w:val="262626"/>
          <w:w w:val="90"/>
          <w:sz w:val="29"/>
        </w:rPr>
        <w:t>o</w:t>
      </w:r>
      <w:r>
        <w:rPr>
          <w:rFonts w:ascii="Times New Roman" w:hAnsi="Times New Roman" w:eastAsia="Times New Roman"/>
          <w:color w:val="262626"/>
          <w:spacing w:val="-27"/>
          <w:w w:val="90"/>
          <w:sz w:val="29"/>
        </w:rPr>
        <w:t> </w:t>
      </w:r>
      <w:r>
        <w:rPr>
          <w:rFonts w:ascii="Times New Roman" w:hAnsi="Times New Roman" w:eastAsia="Times New Roman"/>
          <w:color w:val="262626"/>
          <w:w w:val="90"/>
          <w:sz w:val="29"/>
        </w:rPr>
        <w:t>r</w:t>
      </w:r>
      <w:r>
        <w:rPr>
          <w:rFonts w:ascii="Times New Roman" w:hAnsi="Times New Roman" w:eastAsia="Times New Roman"/>
          <w:color w:val="262626"/>
          <w:spacing w:val="-21"/>
          <w:w w:val="90"/>
          <w:sz w:val="29"/>
        </w:rPr>
        <w:t> </w:t>
      </w:r>
      <w:r>
        <w:rPr>
          <w:rFonts w:ascii="Times New Roman" w:hAnsi="Times New Roman" w:eastAsia="Times New Roman"/>
          <w:color w:val="262626"/>
          <w:sz w:val="29"/>
        </w:rPr>
        <w:t>g</w:t>
      </w:r>
      <w:r>
        <w:rPr>
          <w:rFonts w:ascii="Times New Roman" w:hAnsi="Times New Roman" w:eastAsia="Times New Roman"/>
          <w:color w:val="0A0A0A"/>
          <w:sz w:val="29"/>
        </w:rPr>
        <w:t>.</w:t>
      </w:r>
      <w:r>
        <w:rPr>
          <w:rFonts w:ascii="Times New Roman" w:hAnsi="Times New Roman" w:eastAsia="Times New Roman"/>
          <w:color w:val="0A0A0A"/>
          <w:spacing w:val="-37"/>
          <w:sz w:val="29"/>
        </w:rPr>
        <w:t> </w:t>
      </w:r>
      <w:r>
        <w:rPr>
          <w:rFonts w:ascii="Times New Roman" w:hAnsi="Times New Roman" w:eastAsia="Times New Roman"/>
          <w:color w:val="262626"/>
          <w:spacing w:val="-19"/>
          <w:sz w:val="29"/>
        </w:rPr>
        <w:t>c</w:t>
      </w:r>
      <w:r>
        <w:rPr>
          <w:rFonts w:ascii="Times New Roman" w:hAnsi="Times New Roman" w:eastAsia="Times New Roman"/>
          <w:color w:val="0A0A0A"/>
          <w:spacing w:val="-19"/>
          <w:sz w:val="29"/>
        </w:rPr>
        <w:t>n</w:t>
      </w:r>
      <w:r>
        <w:rPr>
          <w:color w:val="0A0A0A"/>
          <w:spacing w:val="-19"/>
          <w:sz w:val="31"/>
        </w:rPr>
        <w:t>，</w:t>
      </w:r>
      <w:r>
        <w:rPr>
          <w:color w:val="262626"/>
          <w:sz w:val="31"/>
        </w:rPr>
        <w:t>邮件主题为</w:t>
      </w:r>
      <w:r>
        <w:rPr>
          <w:color w:val="262626"/>
          <w:spacing w:val="26"/>
          <w:sz w:val="31"/>
        </w:rPr>
        <w:t>“</w:t>
      </w:r>
      <w:r>
        <w:rPr>
          <w:color w:val="262626"/>
          <w:sz w:val="31"/>
        </w:rPr>
        <w:t>现场</w:t>
      </w:r>
      <w:r>
        <w:rPr>
          <w:color w:val="262626"/>
          <w:spacing w:val="29"/>
          <w:sz w:val="31"/>
        </w:rPr>
        <w:t>秀</w:t>
      </w:r>
      <w:r>
        <w:rPr>
          <w:color w:val="0A0A0A"/>
          <w:spacing w:val="-4"/>
          <w:w w:val="90"/>
          <w:sz w:val="31"/>
        </w:rPr>
        <w:t>”，</w:t>
      </w:r>
      <w:r>
        <w:rPr>
          <w:color w:val="0A0A0A"/>
          <w:spacing w:val="-120"/>
          <w:w w:val="90"/>
          <w:sz w:val="31"/>
        </w:rPr>
        <w:t> </w:t>
      </w:r>
      <w:r>
        <w:rPr>
          <w:color w:val="262626"/>
          <w:sz w:val="31"/>
        </w:rPr>
        <w:t>报名截</w:t>
      </w:r>
      <w:r>
        <w:rPr>
          <w:color w:val="262626"/>
          <w:spacing w:val="63"/>
          <w:sz w:val="31"/>
        </w:rPr>
        <w:t>止</w:t>
      </w:r>
      <w:r>
        <w:rPr>
          <w:color w:val="262626"/>
          <w:sz w:val="31"/>
        </w:rPr>
        <w:t>日期</w:t>
      </w:r>
      <w:r>
        <w:rPr>
          <w:color w:val="262626"/>
          <w:spacing w:val="-72"/>
          <w:sz w:val="31"/>
        </w:rPr>
        <w:t> </w:t>
      </w:r>
      <w:r>
        <w:rPr>
          <w:rFonts w:ascii="Times New Roman" w:hAnsi="Times New Roman" w:eastAsia="Times New Roman"/>
          <w:color w:val="262626"/>
          <w:spacing w:val="10"/>
          <w:sz w:val="29"/>
        </w:rPr>
        <w:t>2</w:t>
      </w:r>
      <w:r>
        <w:rPr>
          <w:rFonts w:ascii="Times New Roman" w:hAnsi="Times New Roman" w:eastAsia="Times New Roman"/>
          <w:color w:val="0A0A0A"/>
          <w:spacing w:val="10"/>
          <w:sz w:val="29"/>
        </w:rPr>
        <w:t>01</w:t>
      </w:r>
      <w:r>
        <w:rPr>
          <w:rFonts w:ascii="Times New Roman" w:hAnsi="Times New Roman" w:eastAsia="Times New Roman"/>
          <w:color w:val="262626"/>
          <w:spacing w:val="10"/>
          <w:sz w:val="29"/>
        </w:rPr>
        <w:t>9</w:t>
      </w:r>
      <w:r>
        <w:rPr>
          <w:rFonts w:ascii="Times New Roman" w:hAnsi="Times New Roman" w:eastAsia="Times New Roman"/>
          <w:color w:val="262626"/>
          <w:spacing w:val="6"/>
          <w:sz w:val="29"/>
        </w:rPr>
        <w:t> </w:t>
      </w:r>
      <w:r>
        <w:rPr>
          <w:color w:val="262626"/>
          <w:sz w:val="30"/>
        </w:rPr>
        <w:t>年</w:t>
      </w:r>
      <w:r>
        <w:rPr>
          <w:color w:val="262626"/>
          <w:spacing w:val="-84"/>
          <w:sz w:val="30"/>
        </w:rPr>
        <w:t> </w:t>
      </w:r>
      <w:r>
        <w:rPr>
          <w:rFonts w:ascii="Times New Roman" w:hAnsi="Times New Roman" w:eastAsia="Times New Roman"/>
          <w:color w:val="262626"/>
          <w:sz w:val="29"/>
        </w:rPr>
        <w:t>7</w:t>
      </w:r>
      <w:r>
        <w:rPr>
          <w:rFonts w:ascii="Times New Roman" w:hAnsi="Times New Roman" w:eastAsia="Times New Roman"/>
          <w:color w:val="262626"/>
          <w:spacing w:val="1"/>
          <w:sz w:val="29"/>
        </w:rPr>
        <w:t> </w:t>
      </w:r>
      <w:r>
        <w:rPr>
          <w:color w:val="262626"/>
          <w:sz w:val="31"/>
        </w:rPr>
        <w:t>月</w:t>
      </w:r>
      <w:r>
        <w:rPr>
          <w:color w:val="262626"/>
          <w:spacing w:val="-92"/>
          <w:sz w:val="31"/>
        </w:rPr>
        <w:t> </w:t>
      </w:r>
      <w:r>
        <w:rPr>
          <w:rFonts w:ascii="Times New Roman" w:hAnsi="Times New Roman" w:eastAsia="Times New Roman"/>
          <w:color w:val="0A0A0A"/>
          <w:sz w:val="29"/>
        </w:rPr>
        <w:t>1</w:t>
      </w:r>
      <w:r>
        <w:rPr>
          <w:rFonts w:ascii="Times New Roman" w:hAnsi="Times New Roman" w:eastAsia="Times New Roman"/>
          <w:color w:val="0A0A0A"/>
          <w:spacing w:val="-48"/>
          <w:sz w:val="29"/>
        </w:rPr>
        <w:t> </w:t>
      </w:r>
      <w:r>
        <w:rPr>
          <w:rFonts w:ascii="Times New Roman" w:hAnsi="Times New Roman" w:eastAsia="Times New Roman"/>
          <w:color w:val="262626"/>
          <w:sz w:val="29"/>
        </w:rPr>
        <w:t>2</w:t>
      </w:r>
      <w:r>
        <w:rPr>
          <w:rFonts w:ascii="Times New Roman" w:hAnsi="Times New Roman" w:eastAsia="Times New Roman"/>
          <w:color w:val="262626"/>
          <w:spacing w:val="-7"/>
          <w:sz w:val="29"/>
        </w:rPr>
        <w:t> </w:t>
      </w:r>
      <w:r>
        <w:rPr>
          <w:color w:val="262626"/>
          <w:sz w:val="31"/>
        </w:rPr>
        <w:t>日。每组取前</w:t>
      </w:r>
      <w:r>
        <w:rPr>
          <w:color w:val="262626"/>
          <w:spacing w:val="-36"/>
          <w:sz w:val="31"/>
        </w:rPr>
        <w:t> </w:t>
      </w:r>
      <w:r>
        <w:rPr>
          <w:rFonts w:ascii="Times New Roman" w:hAnsi="Times New Roman" w:eastAsia="Times New Roman"/>
          <w:color w:val="262626"/>
          <w:sz w:val="29"/>
        </w:rPr>
        <w:t>8 </w:t>
      </w:r>
      <w:r>
        <w:rPr>
          <w:color w:val="262626"/>
          <w:sz w:val="31"/>
        </w:rPr>
        <w:t>位有效报名，报名是否成功请依据会务组邮件回复。</w:t>
      </w:r>
    </w:p>
    <w:p>
      <w:pPr>
        <w:tabs>
          <w:tab w:pos="4625" w:val="left" w:leader="none"/>
        </w:tabs>
        <w:spacing w:line="385" w:lineRule="exact" w:before="0"/>
        <w:ind w:left="1673" w:right="0" w:firstLine="0"/>
        <w:jc w:val="left"/>
        <w:rPr>
          <w:sz w:val="31"/>
        </w:rPr>
      </w:pPr>
      <w:r>
        <w:rPr>
          <w:color w:val="262626"/>
          <w:w w:val="95"/>
          <w:sz w:val="31"/>
        </w:rPr>
        <w:t>三、报名成功后请于</w:t>
        <w:tab/>
      </w:r>
      <w:r>
        <w:rPr>
          <w:rFonts w:ascii="Times New Roman" w:eastAsia="Times New Roman"/>
          <w:color w:val="262626"/>
          <w:sz w:val="29"/>
        </w:rPr>
        <w:t>2</w:t>
      </w:r>
      <w:r>
        <w:rPr>
          <w:rFonts w:ascii="Times New Roman" w:eastAsia="Times New Roman"/>
          <w:color w:val="0A0A0A"/>
          <w:sz w:val="29"/>
        </w:rPr>
        <w:t>01</w:t>
      </w:r>
      <w:r>
        <w:rPr>
          <w:rFonts w:ascii="Times New Roman" w:eastAsia="Times New Roman"/>
          <w:color w:val="262626"/>
          <w:sz w:val="29"/>
        </w:rPr>
        <w:t>9</w:t>
      </w:r>
      <w:r>
        <w:rPr>
          <w:rFonts w:ascii="Times New Roman" w:eastAsia="Times New Roman"/>
          <w:color w:val="262626"/>
          <w:spacing w:val="38"/>
          <w:sz w:val="29"/>
        </w:rPr>
        <w:t> </w:t>
      </w:r>
      <w:r>
        <w:rPr>
          <w:color w:val="262626"/>
          <w:sz w:val="30"/>
        </w:rPr>
        <w:t>年</w:t>
      </w:r>
      <w:r>
        <w:rPr>
          <w:color w:val="262626"/>
          <w:spacing w:val="-58"/>
          <w:sz w:val="30"/>
        </w:rPr>
        <w:t> </w:t>
      </w:r>
      <w:r>
        <w:rPr>
          <w:rFonts w:ascii="Times New Roman" w:eastAsia="Times New Roman"/>
          <w:color w:val="0A0A0A"/>
          <w:sz w:val="31"/>
        </w:rPr>
        <w:t>7</w:t>
      </w:r>
      <w:r>
        <w:rPr>
          <w:rFonts w:ascii="Times New Roman" w:eastAsia="Times New Roman"/>
          <w:color w:val="0A0A0A"/>
          <w:spacing w:val="6"/>
          <w:sz w:val="31"/>
        </w:rPr>
        <w:t> </w:t>
      </w:r>
      <w:r>
        <w:rPr>
          <w:color w:val="262626"/>
          <w:sz w:val="31"/>
        </w:rPr>
        <w:t>月</w:t>
      </w:r>
      <w:r>
        <w:rPr>
          <w:color w:val="262626"/>
          <w:spacing w:val="-53"/>
          <w:sz w:val="31"/>
        </w:rPr>
        <w:t> </w:t>
      </w:r>
      <w:r>
        <w:rPr>
          <w:rFonts w:ascii="Times New Roman" w:eastAsia="Times New Roman"/>
          <w:color w:val="262626"/>
          <w:spacing w:val="7"/>
          <w:sz w:val="29"/>
        </w:rPr>
        <w:t>3</w:t>
      </w:r>
      <w:r>
        <w:rPr>
          <w:rFonts w:ascii="Times New Roman" w:eastAsia="Times New Roman"/>
          <w:color w:val="0A0A0A"/>
          <w:spacing w:val="7"/>
          <w:sz w:val="29"/>
        </w:rPr>
        <w:t>1</w:t>
      </w:r>
      <w:r>
        <w:rPr>
          <w:rFonts w:ascii="Times New Roman" w:eastAsia="Times New Roman"/>
          <w:color w:val="0A0A0A"/>
          <w:spacing w:val="56"/>
          <w:sz w:val="29"/>
        </w:rPr>
        <w:t> </w:t>
      </w:r>
      <w:r>
        <w:rPr>
          <w:color w:val="262626"/>
          <w:sz w:val="31"/>
        </w:rPr>
        <w:t>日之前上交汇报海</w:t>
      </w:r>
    </w:p>
    <w:p>
      <w:pPr>
        <w:pStyle w:val="Heading5"/>
        <w:spacing w:before="103"/>
      </w:pPr>
      <w:r>
        <w:rPr>
          <w:color w:val="262626"/>
          <w:w w:val="85"/>
        </w:rPr>
        <w:t>报。</w:t>
      </w:r>
    </w:p>
    <w:p>
      <w:pPr>
        <w:spacing w:before="100"/>
        <w:ind w:left="1675" w:right="0" w:firstLine="0"/>
        <w:jc w:val="left"/>
        <w:rPr>
          <w:sz w:val="31"/>
        </w:rPr>
      </w:pPr>
      <w:r>
        <w:rPr>
          <w:rFonts w:ascii="Times New Roman" w:eastAsia="Times New Roman"/>
          <w:color w:val="262626"/>
          <w:sz w:val="31"/>
        </w:rPr>
        <w:t>l </w:t>
      </w:r>
      <w:r>
        <w:rPr>
          <w:color w:val="262626"/>
          <w:sz w:val="31"/>
        </w:rPr>
        <w:t>、汇报者需要自行设计海报样式</w:t>
      </w:r>
    </w:p>
    <w:p>
      <w:pPr>
        <w:spacing w:before="115"/>
        <w:ind w:left="1659" w:right="0" w:firstLine="0"/>
        <w:jc w:val="left"/>
        <w:rPr>
          <w:sz w:val="31"/>
        </w:rPr>
      </w:pPr>
      <w:r>
        <w:rPr>
          <w:color w:val="262626"/>
          <w:w w:val="95"/>
          <w:sz w:val="31"/>
        </w:rPr>
        <w:t>尺寸要求</w:t>
      </w:r>
      <w:r>
        <w:rPr>
          <w:color w:val="262626"/>
          <w:w w:val="90"/>
          <w:sz w:val="31"/>
        </w:rPr>
        <w:t>： </w:t>
      </w:r>
      <w:r>
        <w:rPr>
          <w:rFonts w:ascii="Times New Roman" w:eastAsia="Times New Roman"/>
          <w:color w:val="262626"/>
          <w:w w:val="90"/>
          <w:sz w:val="29"/>
        </w:rPr>
        <w:t>8 </w:t>
      </w:r>
      <w:r>
        <w:rPr>
          <w:rFonts w:ascii="Times New Roman" w:eastAsia="Times New Roman"/>
          <w:color w:val="0A0A0A"/>
          <w:w w:val="90"/>
          <w:sz w:val="29"/>
        </w:rPr>
        <w:t>0 </w:t>
      </w:r>
      <w:r>
        <w:rPr>
          <w:rFonts w:ascii="Times New Roman" w:eastAsia="Times New Roman"/>
          <w:color w:val="262626"/>
          <w:w w:val="90"/>
          <w:sz w:val="29"/>
        </w:rPr>
        <w:t>c </w:t>
      </w:r>
      <w:r>
        <w:rPr>
          <w:rFonts w:ascii="Times New Roman" w:eastAsia="Times New Roman"/>
          <w:color w:val="0A0A0A"/>
          <w:w w:val="95"/>
          <w:sz w:val="29"/>
        </w:rPr>
        <w:t>m </w:t>
      </w:r>
      <w:r>
        <w:rPr>
          <w:rFonts w:ascii="Times New Roman" w:eastAsia="Times New Roman"/>
          <w:color w:val="262626"/>
          <w:w w:val="95"/>
          <w:sz w:val="29"/>
        </w:rPr>
        <w:t>X </w:t>
      </w:r>
      <w:r>
        <w:rPr>
          <w:rFonts w:ascii="Times New Roman" w:eastAsia="Times New Roman"/>
          <w:color w:val="0A0A0A"/>
          <w:w w:val="95"/>
          <w:sz w:val="29"/>
        </w:rPr>
        <w:t>1</w:t>
      </w:r>
      <w:r>
        <w:rPr>
          <w:rFonts w:ascii="Times New Roman" w:eastAsia="Times New Roman"/>
          <w:color w:val="262626"/>
          <w:w w:val="95"/>
          <w:sz w:val="29"/>
        </w:rPr>
        <w:t>2</w:t>
      </w:r>
      <w:r>
        <w:rPr>
          <w:rFonts w:ascii="Times New Roman" w:eastAsia="Times New Roman"/>
          <w:color w:val="0A0A0A"/>
          <w:w w:val="95"/>
          <w:sz w:val="29"/>
        </w:rPr>
        <w:t>0</w:t>
      </w:r>
      <w:r>
        <w:rPr>
          <w:rFonts w:ascii="Times New Roman" w:eastAsia="Times New Roman"/>
          <w:color w:val="262626"/>
          <w:w w:val="95"/>
          <w:sz w:val="29"/>
        </w:rPr>
        <w:t>cm</w:t>
      </w:r>
      <w:r>
        <w:rPr>
          <w:color w:val="262626"/>
          <w:w w:val="95"/>
          <w:sz w:val="31"/>
        </w:rPr>
        <w:t>（ 宽</w:t>
      </w:r>
      <w:r>
        <w:rPr>
          <w:rFonts w:ascii="Times New Roman" w:eastAsia="Times New Roman"/>
          <w:color w:val="262626"/>
          <w:w w:val="95"/>
          <w:sz w:val="29"/>
        </w:rPr>
        <w:t>X </w:t>
      </w:r>
      <w:r>
        <w:rPr>
          <w:color w:val="262626"/>
          <w:w w:val="95"/>
          <w:sz w:val="31"/>
        </w:rPr>
        <w:t>高）。颜色模式</w:t>
      </w:r>
      <w:r>
        <w:rPr>
          <w:color w:val="0A0A0A"/>
          <w:w w:val="90"/>
          <w:sz w:val="31"/>
        </w:rPr>
        <w:t>： </w:t>
      </w:r>
      <w:r>
        <w:rPr>
          <w:rFonts w:ascii="Arial" w:eastAsia="Arial"/>
          <w:color w:val="262626"/>
          <w:w w:val="95"/>
          <w:sz w:val="30"/>
        </w:rPr>
        <w:t>CMYK</w:t>
      </w:r>
      <w:r>
        <w:rPr>
          <w:color w:val="262626"/>
          <w:w w:val="95"/>
          <w:sz w:val="31"/>
        </w:rPr>
        <w:t>。</w:t>
      </w:r>
    </w:p>
    <w:p>
      <w:pPr>
        <w:pStyle w:val="Heading5"/>
        <w:tabs>
          <w:tab w:pos="6367" w:val="left" w:leader="none"/>
        </w:tabs>
        <w:spacing w:line="300" w:lineRule="auto" w:before="93"/>
        <w:ind w:left="1029" w:right="1912" w:hanging="10"/>
      </w:pPr>
      <w:r>
        <w:rPr>
          <w:color w:val="262626"/>
          <w:w w:val="95"/>
        </w:rPr>
        <w:t>分辨</w:t>
      </w:r>
      <w:r>
        <w:rPr>
          <w:color w:val="262626"/>
          <w:spacing w:val="7"/>
          <w:w w:val="95"/>
        </w:rPr>
        <w:t>率</w:t>
      </w:r>
      <w:r>
        <w:rPr>
          <w:color w:val="262626"/>
          <w:w w:val="80"/>
        </w:rPr>
        <w:t>：</w:t>
      </w:r>
      <w:r>
        <w:rPr>
          <w:color w:val="262626"/>
          <w:spacing w:val="-56"/>
          <w:w w:val="80"/>
        </w:rPr>
        <w:t> </w:t>
      </w:r>
      <w:r>
        <w:rPr>
          <w:rFonts w:ascii="Times New Roman" w:eastAsia="Times New Roman"/>
          <w:color w:val="262626"/>
          <w:w w:val="80"/>
          <w:sz w:val="29"/>
        </w:rPr>
        <w:t>8</w:t>
      </w:r>
      <w:r>
        <w:rPr>
          <w:rFonts w:ascii="Times New Roman" w:eastAsia="Times New Roman"/>
          <w:color w:val="262626"/>
          <w:spacing w:val="-10"/>
          <w:w w:val="80"/>
          <w:sz w:val="29"/>
        </w:rPr>
        <w:t> </w:t>
      </w:r>
      <w:r>
        <w:rPr>
          <w:rFonts w:ascii="Times New Roman" w:eastAsia="Times New Roman"/>
          <w:color w:val="0A0A0A"/>
          <w:w w:val="80"/>
          <w:sz w:val="29"/>
        </w:rPr>
        <w:t>0</w:t>
      </w:r>
      <w:r>
        <w:rPr>
          <w:rFonts w:ascii="Times New Roman" w:eastAsia="Times New Roman"/>
          <w:color w:val="0A0A0A"/>
          <w:spacing w:val="28"/>
          <w:w w:val="80"/>
          <w:sz w:val="29"/>
        </w:rPr>
        <w:t> </w:t>
      </w:r>
      <w:r>
        <w:rPr>
          <w:color w:val="262626"/>
          <w:spacing w:val="18"/>
          <w:w w:val="95"/>
        </w:rPr>
        <w:t>像</w:t>
      </w:r>
      <w:r>
        <w:rPr>
          <w:color w:val="262626"/>
          <w:w w:val="95"/>
        </w:rPr>
        <w:t>素／英寸。文件存储格式</w:t>
        <w:tab/>
      </w:r>
      <w:r>
        <w:rPr>
          <w:color w:val="0A0A0A"/>
          <w:w w:val="80"/>
        </w:rPr>
        <w:t>：</w:t>
      </w:r>
      <w:r>
        <w:rPr>
          <w:color w:val="0A0A0A"/>
          <w:spacing w:val="-33"/>
          <w:w w:val="80"/>
        </w:rPr>
        <w:t> </w:t>
      </w:r>
      <w:r>
        <w:rPr>
          <w:rFonts w:ascii="Times New Roman" w:eastAsia="Times New Roman"/>
          <w:color w:val="262626"/>
          <w:w w:val="80"/>
          <w:sz w:val="29"/>
        </w:rPr>
        <w:t>J</w:t>
      </w:r>
      <w:r>
        <w:rPr>
          <w:rFonts w:ascii="Times New Roman" w:eastAsia="Times New Roman"/>
          <w:color w:val="262626"/>
          <w:spacing w:val="-8"/>
          <w:w w:val="80"/>
          <w:sz w:val="29"/>
        </w:rPr>
        <w:t> </w:t>
      </w:r>
      <w:r>
        <w:rPr>
          <w:rFonts w:ascii="Times New Roman" w:eastAsia="Times New Roman"/>
          <w:color w:val="262626"/>
          <w:spacing w:val="-3"/>
          <w:w w:val="95"/>
          <w:sz w:val="29"/>
        </w:rPr>
        <w:t>PG</w:t>
      </w:r>
      <w:r>
        <w:rPr>
          <w:color w:val="262626"/>
          <w:w w:val="95"/>
        </w:rPr>
        <w:t>。</w:t>
      </w:r>
      <w:r>
        <w:rPr>
          <w:color w:val="262626"/>
          <w:spacing w:val="-103"/>
          <w:w w:val="95"/>
        </w:rPr>
        <w:t> </w:t>
      </w:r>
      <w:r>
        <w:rPr>
          <w:color w:val="262626"/>
          <w:w w:val="95"/>
        </w:rPr>
        <w:t>导出质</w:t>
      </w:r>
      <w:r>
        <w:rPr>
          <w:color w:val="262626"/>
          <w:spacing w:val="11"/>
          <w:w w:val="95"/>
        </w:rPr>
        <w:t>量</w:t>
      </w:r>
      <w:r>
        <w:rPr>
          <w:color w:val="0A0A0A"/>
          <w:w w:val="80"/>
        </w:rPr>
        <w:t>：</w:t>
      </w:r>
      <w:r>
        <w:rPr>
          <w:color w:val="0A0A0A"/>
          <w:spacing w:val="-27"/>
          <w:w w:val="80"/>
        </w:rPr>
        <w:t> </w:t>
      </w:r>
      <w:r>
        <w:rPr>
          <w:color w:val="262626"/>
          <w:spacing w:val="-15"/>
          <w:w w:val="95"/>
        </w:rPr>
        <w:t>品</w:t>
      </w:r>
      <w:r>
        <w:rPr>
          <w:color w:val="262626"/>
          <w:w w:val="95"/>
        </w:rPr>
        <w:t>质最佳。</w:t>
      </w:r>
    </w:p>
    <w:p>
      <w:pPr>
        <w:spacing w:before="17"/>
        <w:ind w:left="1657" w:right="0" w:firstLine="0"/>
        <w:jc w:val="left"/>
        <w:rPr>
          <w:sz w:val="31"/>
        </w:rPr>
      </w:pPr>
      <w:r>
        <w:rPr>
          <w:rFonts w:ascii="Times New Roman" w:eastAsia="Times New Roman"/>
          <w:color w:val="262626"/>
          <w:sz w:val="31"/>
        </w:rPr>
        <w:t>2</w:t>
      </w:r>
      <w:r>
        <w:rPr>
          <w:color w:val="0A0A0A"/>
          <w:sz w:val="31"/>
        </w:rPr>
        <w:t>、</w:t>
      </w:r>
      <w:r>
        <w:rPr>
          <w:color w:val="262626"/>
          <w:sz w:val="31"/>
        </w:rPr>
        <w:t>海报内容 要求如下</w:t>
      </w:r>
      <w:r>
        <w:rPr>
          <w:color w:val="262626"/>
          <w:w w:val="80"/>
          <w:sz w:val="31"/>
        </w:rPr>
        <w:t>：</w:t>
      </w:r>
    </w:p>
    <w:p>
      <w:pPr>
        <w:tabs>
          <w:tab w:pos="2302" w:val="left" w:leader="none"/>
        </w:tabs>
        <w:spacing w:before="94"/>
        <w:ind w:left="1659" w:right="0" w:firstLine="0"/>
        <w:jc w:val="left"/>
        <w:rPr>
          <w:sz w:val="31"/>
        </w:rPr>
      </w:pPr>
      <w:r>
        <w:rPr>
          <w:rFonts w:ascii="Times New Roman" w:eastAsia="Times New Roman"/>
          <w:color w:val="262626"/>
          <w:w w:val="80"/>
          <w:sz w:val="27"/>
        </w:rPr>
        <w:t>(  l  )</w:t>
        <w:tab/>
      </w:r>
      <w:r>
        <w:rPr>
          <w:color w:val="262626"/>
          <w:sz w:val="31"/>
        </w:rPr>
        <w:t>诲报左上角显示 汇报人近期头像。</w:t>
      </w:r>
    </w:p>
    <w:p>
      <w:pPr>
        <w:pStyle w:val="Heading5"/>
        <w:spacing w:line="314" w:lineRule="auto" w:before="107"/>
        <w:ind w:right="1905" w:firstLine="634"/>
      </w:pPr>
      <w:r>
        <w:rPr>
          <w:rFonts w:ascii="Times New Roman" w:eastAsia="Times New Roman"/>
          <w:color w:val="262626"/>
          <w:spacing w:val="-12"/>
          <w:sz w:val="27"/>
        </w:rPr>
        <w:t>( </w:t>
      </w:r>
      <w:r>
        <w:rPr>
          <w:rFonts w:ascii="Times New Roman" w:eastAsia="Times New Roman"/>
          <w:color w:val="262626"/>
          <w:sz w:val="27"/>
        </w:rPr>
        <w:t>2</w:t>
      </w:r>
      <w:r>
        <w:rPr>
          <w:rFonts w:ascii="Times New Roman" w:eastAsia="Times New Roman"/>
          <w:color w:val="262626"/>
          <w:spacing w:val="6"/>
          <w:sz w:val="27"/>
        </w:rPr>
        <w:t> ) </w:t>
      </w:r>
      <w:r>
        <w:rPr>
          <w:color w:val="262626"/>
          <w:spacing w:val="-7"/>
        </w:rPr>
        <w:t>海报顶部居 中第一行标 注汇报主题</w:t>
      </w:r>
      <w:r>
        <w:rPr>
          <w:color w:val="0A0A0A"/>
          <w:spacing w:val="-36"/>
          <w:w w:val="95"/>
        </w:rPr>
        <w:t>， </w:t>
      </w:r>
      <w:r>
        <w:rPr>
          <w:color w:val="262626"/>
          <w:spacing w:val="-18"/>
        </w:rPr>
        <w:t>第二行标 注汇</w:t>
      </w:r>
      <w:r>
        <w:rPr>
          <w:color w:val="262626"/>
        </w:rPr>
        <w:t>报题目，第三行标注汇报人姓名及所在单位。</w:t>
      </w:r>
    </w:p>
    <w:p>
      <w:pPr>
        <w:tabs>
          <w:tab w:pos="2309" w:val="left" w:leader="none"/>
        </w:tabs>
        <w:spacing w:line="381" w:lineRule="exact" w:before="0"/>
        <w:ind w:left="1659" w:right="0" w:firstLine="0"/>
        <w:jc w:val="left"/>
        <w:rPr>
          <w:sz w:val="31"/>
        </w:rPr>
      </w:pPr>
      <w:r>
        <w:rPr>
          <w:rFonts w:ascii="Times New Roman" w:eastAsia="Times New Roman"/>
          <w:color w:val="262626"/>
          <w:sz w:val="27"/>
        </w:rPr>
        <w:t>( 3</w:t>
      </w:r>
      <w:r>
        <w:rPr>
          <w:rFonts w:ascii="Times New Roman" w:eastAsia="Times New Roman"/>
          <w:color w:val="262626"/>
          <w:spacing w:val="-6"/>
          <w:sz w:val="27"/>
        </w:rPr>
        <w:t> )</w:t>
      </w:r>
      <w:r>
        <w:rPr>
          <w:rFonts w:ascii="Times New Roman" w:eastAsia="Times New Roman"/>
          <w:color w:val="262626"/>
          <w:sz w:val="27"/>
        </w:rPr>
        <w:tab/>
      </w:r>
      <w:r>
        <w:rPr>
          <w:color w:val="262626"/>
          <w:spacing w:val="-12"/>
          <w:sz w:val="31"/>
        </w:rPr>
        <w:t>海报内容需 包含摘要等文 字内容 </w:t>
      </w:r>
      <w:r>
        <w:rPr>
          <w:color w:val="262626"/>
          <w:spacing w:val="-24"/>
          <w:w w:val="95"/>
          <w:sz w:val="31"/>
        </w:rPr>
        <w:t>， </w:t>
      </w:r>
      <w:r>
        <w:rPr>
          <w:color w:val="262626"/>
          <w:spacing w:val="-11"/>
          <w:sz w:val="31"/>
        </w:rPr>
        <w:t>参考文献标 注在</w:t>
      </w:r>
    </w:p>
    <w:p>
      <w:pPr>
        <w:spacing w:before="108"/>
        <w:ind w:left="1017" w:right="0" w:firstLine="0"/>
        <w:jc w:val="left"/>
        <w:rPr>
          <w:sz w:val="31"/>
        </w:rPr>
      </w:pPr>
      <w:r>
        <w:rPr/>
        <w:pict>
          <v:shape style="position:absolute;margin-left:290.740509pt;margin-top:45.66309pt;width:6.3pt;height:10.55pt;mso-position-horizontal-relative:page;mso-position-vertical-relative:paragraph;z-index:251676672" type="#_x0000_t202" filled="false" stroked="false">
            <v:textbox inset="0,0,0,0" style="layout-flow:vertical-ideographic">
              <w:txbxContent>
                <w:p>
                  <w:pPr>
                    <w:spacing w:line="120" w:lineRule="auto" w:before="0"/>
                    <w:ind w:left="20" w:right="0" w:firstLine="0"/>
                    <w:jc w:val="left"/>
                    <w:rPr>
                      <w:sz w:val="17"/>
                    </w:rPr>
                  </w:pPr>
                  <w:r>
                    <w:rPr>
                      <w:color w:val="262626"/>
                      <w:w w:val="100"/>
                      <w:sz w:val="17"/>
                    </w:rPr>
                    <w:t>8</w:t>
                  </w:r>
                </w:p>
              </w:txbxContent>
            </v:textbox>
            <w10:wrap type="none"/>
          </v:shape>
        </w:pict>
      </w:r>
      <w:r>
        <w:rPr>
          <w:color w:val="262626"/>
          <w:sz w:val="31"/>
        </w:rPr>
        <w:t>海报底部居中。</w:t>
      </w:r>
    </w:p>
    <w:p>
      <w:pPr>
        <w:spacing w:after="0"/>
        <w:jc w:val="left"/>
        <w:rPr>
          <w:sz w:val="31"/>
        </w:rPr>
        <w:sectPr>
          <w:type w:val="continuous"/>
          <w:pgSz w:w="11910" w:h="16850"/>
          <w:pgMar w:top="1100" w:bottom="1020" w:left="640" w:right="0"/>
        </w:sectPr>
      </w:pPr>
    </w:p>
    <w:p>
      <w:pPr>
        <w:spacing w:before="42"/>
        <w:ind w:left="1572" w:right="0" w:firstLine="0"/>
        <w:jc w:val="left"/>
        <w:rPr>
          <w:sz w:val="31"/>
        </w:rPr>
      </w:pPr>
      <w:r>
        <w:rPr/>
        <w:pict>
          <v:shape style="position:absolute;margin-left:286.878143pt;margin-top:759.105652pt;width:6.55pt;height:11.05pt;mso-position-horizontal-relative:page;mso-position-vertical-relative:page;z-index:251679744" type="#_x0000_t202" filled="false" stroked="false">
            <v:textbox inset="0,0,0,0" style="layout-flow:vertical-ideographic">
              <w:txbxContent>
                <w:p>
                  <w:pPr>
                    <w:spacing w:line="120" w:lineRule="auto" w:before="0"/>
                    <w:ind w:left="20" w:right="0" w:firstLine="0"/>
                    <w:jc w:val="left"/>
                    <w:rPr>
                      <w:sz w:val="18"/>
                    </w:rPr>
                  </w:pPr>
                  <w:r>
                    <w:rPr>
                      <w:color w:val="282828"/>
                      <w:w w:val="100"/>
                      <w:sz w:val="18"/>
                    </w:rPr>
                    <w:t>9</w:t>
                  </w:r>
                </w:p>
              </w:txbxContent>
            </v:textbox>
            <w10:wrap type="none"/>
          </v:shape>
        </w:pict>
      </w:r>
      <w:r>
        <w:rPr>
          <w:rFonts w:ascii="Times New Roman" w:eastAsia="Times New Roman"/>
          <w:color w:val="131313"/>
          <w:sz w:val="29"/>
        </w:rPr>
        <w:t>3 </w:t>
      </w:r>
      <w:r>
        <w:rPr>
          <w:color w:val="131313"/>
          <w:sz w:val="31"/>
        </w:rPr>
        <w:t>、海报格式不限</w:t>
      </w:r>
      <w:r>
        <w:rPr>
          <w:color w:val="131313"/>
          <w:w w:val="80"/>
          <w:sz w:val="31"/>
        </w:rPr>
        <w:t>， </w:t>
      </w:r>
      <w:r>
        <w:rPr>
          <w:color w:val="131313"/>
          <w:sz w:val="31"/>
        </w:rPr>
        <w:t>文件命名要求为</w:t>
      </w:r>
      <w:r>
        <w:rPr>
          <w:color w:val="131313"/>
          <w:w w:val="80"/>
          <w:sz w:val="31"/>
        </w:rPr>
        <w:t>： </w:t>
      </w:r>
      <w:r>
        <w:rPr>
          <w:color w:val="131313"/>
          <w:sz w:val="31"/>
        </w:rPr>
        <w:t>姓名</w:t>
      </w:r>
      <w:r>
        <w:rPr>
          <w:color w:val="131313"/>
          <w:w w:val="80"/>
          <w:sz w:val="31"/>
        </w:rPr>
        <w:t>＋</w:t>
      </w:r>
      <w:r>
        <w:rPr>
          <w:color w:val="131313"/>
          <w:sz w:val="31"/>
        </w:rPr>
        <w:t>汇报题目</w:t>
      </w:r>
    </w:p>
    <w:p>
      <w:pPr>
        <w:tabs>
          <w:tab w:pos="7210" w:val="left" w:leader="none"/>
        </w:tabs>
        <w:spacing w:before="100"/>
        <w:ind w:left="1571" w:right="0" w:firstLine="0"/>
        <w:jc w:val="left"/>
        <w:rPr>
          <w:sz w:val="31"/>
        </w:rPr>
      </w:pPr>
      <w:r>
        <w:rPr>
          <w:rFonts w:ascii="Times New Roman" w:eastAsia="Times New Roman"/>
          <w:color w:val="282828"/>
          <w:sz w:val="31"/>
        </w:rPr>
        <w:t>4</w:t>
      </w:r>
      <w:r>
        <w:rPr>
          <w:rFonts w:ascii="Times New Roman" w:eastAsia="Times New Roman"/>
          <w:color w:val="282828"/>
          <w:spacing w:val="-49"/>
          <w:sz w:val="31"/>
        </w:rPr>
        <w:t> </w:t>
      </w:r>
      <w:r>
        <w:rPr>
          <w:color w:val="282828"/>
          <w:sz w:val="31"/>
        </w:rPr>
        <w:t>、</w:t>
      </w:r>
      <w:r>
        <w:rPr>
          <w:color w:val="282828"/>
          <w:spacing w:val="-104"/>
          <w:sz w:val="31"/>
        </w:rPr>
        <w:t> </w:t>
      </w:r>
      <w:r>
        <w:rPr>
          <w:color w:val="282828"/>
          <w:spacing w:val="56"/>
          <w:sz w:val="31"/>
        </w:rPr>
        <w:t>海</w:t>
      </w:r>
      <w:r>
        <w:rPr>
          <w:color w:val="282828"/>
          <w:spacing w:val="38"/>
          <w:sz w:val="31"/>
        </w:rPr>
        <w:t>报</w:t>
      </w:r>
      <w:r>
        <w:rPr>
          <w:color w:val="282828"/>
          <w:spacing w:val="63"/>
          <w:sz w:val="31"/>
        </w:rPr>
        <w:t>发</w:t>
      </w:r>
      <w:r>
        <w:rPr>
          <w:color w:val="282828"/>
          <w:spacing w:val="67"/>
          <w:sz w:val="31"/>
        </w:rPr>
        <w:t>送</w:t>
      </w:r>
      <w:r>
        <w:rPr>
          <w:color w:val="282828"/>
          <w:spacing w:val="58"/>
          <w:sz w:val="31"/>
        </w:rPr>
        <w:t>至</w:t>
      </w:r>
      <w:r>
        <w:rPr>
          <w:color w:val="282828"/>
          <w:spacing w:val="61"/>
          <w:sz w:val="31"/>
        </w:rPr>
        <w:t>邮</w:t>
      </w:r>
      <w:r>
        <w:rPr>
          <w:color w:val="282828"/>
          <w:sz w:val="31"/>
        </w:rPr>
        <w:t>箱</w:t>
      </w:r>
      <w:r>
        <w:rPr>
          <w:color w:val="282828"/>
          <w:spacing w:val="-4"/>
          <w:sz w:val="31"/>
        </w:rPr>
        <w:t> </w:t>
      </w:r>
      <w:r>
        <w:rPr>
          <w:rFonts w:ascii="Times New Roman" w:eastAsia="Times New Roman"/>
          <w:color w:val="282828"/>
          <w:spacing w:val="-3"/>
          <w:sz w:val="31"/>
        </w:rPr>
        <w:t>z30@c</w:t>
      </w:r>
      <w:r>
        <w:rPr>
          <w:rFonts w:ascii="Times New Roman" w:eastAsia="Times New Roman"/>
          <w:color w:val="282828"/>
          <w:spacing w:val="-6"/>
          <w:sz w:val="31"/>
        </w:rPr>
        <w:t> </w:t>
      </w:r>
      <w:r>
        <w:rPr>
          <w:rFonts w:ascii="Times New Roman" w:eastAsia="Times New Roman"/>
          <w:color w:val="282828"/>
          <w:spacing w:val="3"/>
          <w:sz w:val="31"/>
        </w:rPr>
        <w:t>pa.</w:t>
      </w:r>
      <w:r>
        <w:rPr>
          <w:rFonts w:ascii="Times New Roman" w:eastAsia="Times New Roman"/>
          <w:color w:val="282828"/>
          <w:spacing w:val="-14"/>
          <w:sz w:val="31"/>
        </w:rPr>
        <w:t> </w:t>
      </w:r>
      <w:r>
        <w:rPr>
          <w:rFonts w:ascii="Times New Roman" w:eastAsia="Times New Roman"/>
          <w:color w:val="282828"/>
          <w:sz w:val="31"/>
        </w:rPr>
        <w:t>or</w:t>
      </w:r>
      <w:r>
        <w:rPr>
          <w:rFonts w:ascii="Times New Roman" w:eastAsia="Times New Roman"/>
          <w:color w:val="282828"/>
          <w:spacing w:val="-32"/>
          <w:sz w:val="31"/>
        </w:rPr>
        <w:t> </w:t>
      </w:r>
      <w:r>
        <w:rPr>
          <w:rFonts w:ascii="Times New Roman" w:eastAsia="Times New Roman"/>
          <w:color w:val="282828"/>
          <w:sz w:val="31"/>
        </w:rPr>
        <w:t>g.</w:t>
      </w:r>
      <w:r>
        <w:rPr>
          <w:rFonts w:ascii="Times New Roman" w:eastAsia="Times New Roman"/>
          <w:color w:val="282828"/>
          <w:spacing w:val="-26"/>
          <w:sz w:val="31"/>
        </w:rPr>
        <w:t> </w:t>
      </w:r>
      <w:r>
        <w:rPr>
          <w:rFonts w:ascii="Times New Roman" w:eastAsia="Times New Roman"/>
          <w:color w:val="282828"/>
          <w:spacing w:val="7"/>
          <w:sz w:val="31"/>
        </w:rPr>
        <w:t>en</w:t>
        <w:tab/>
      </w:r>
      <w:r>
        <w:rPr>
          <w:color w:val="282828"/>
          <w:spacing w:val="39"/>
          <w:sz w:val="31"/>
        </w:rPr>
        <w:t>联</w:t>
      </w:r>
      <w:r>
        <w:rPr>
          <w:color w:val="282828"/>
          <w:spacing w:val="50"/>
          <w:sz w:val="31"/>
        </w:rPr>
        <w:t>系</w:t>
      </w:r>
      <w:r>
        <w:rPr>
          <w:color w:val="282828"/>
          <w:spacing w:val="29"/>
          <w:sz w:val="31"/>
        </w:rPr>
        <w:t>人</w:t>
      </w:r>
      <w:r>
        <w:rPr>
          <w:color w:val="282828"/>
          <w:w w:val="95"/>
          <w:sz w:val="31"/>
        </w:rPr>
        <w:t>：</w:t>
      </w:r>
      <w:r>
        <w:rPr>
          <w:color w:val="282828"/>
          <w:spacing w:val="35"/>
          <w:w w:val="95"/>
          <w:sz w:val="31"/>
        </w:rPr>
        <w:t> </w:t>
      </w:r>
      <w:r>
        <w:rPr>
          <w:color w:val="282828"/>
          <w:spacing w:val="34"/>
          <w:sz w:val="31"/>
        </w:rPr>
        <w:t>张</w:t>
      </w:r>
      <w:r>
        <w:rPr>
          <w:color w:val="282828"/>
          <w:sz w:val="31"/>
        </w:rPr>
        <w:t>文</w:t>
      </w:r>
    </w:p>
    <w:p>
      <w:pPr>
        <w:spacing w:before="129"/>
        <w:ind w:left="937" w:right="0" w:firstLine="0"/>
        <w:jc w:val="left"/>
        <w:rPr>
          <w:rFonts w:ascii="Times New Roman"/>
          <w:sz w:val="31"/>
        </w:rPr>
      </w:pPr>
      <w:r>
        <w:rPr>
          <w:rFonts w:ascii="Times New Roman"/>
          <w:color w:val="131313"/>
          <w:w w:val="105"/>
          <w:sz w:val="31"/>
        </w:rPr>
        <w:t>010-85231465</w:t>
      </w:r>
    </w:p>
    <w:p>
      <w:pPr>
        <w:spacing w:before="135"/>
        <w:ind w:left="1729" w:right="0" w:firstLine="0"/>
        <w:jc w:val="left"/>
        <w:rPr>
          <w:sz w:val="31"/>
        </w:rPr>
      </w:pPr>
      <w:r>
        <w:rPr>
          <w:rFonts w:ascii="Times New Roman" w:eastAsia="Times New Roman"/>
          <w:color w:val="131313"/>
          <w:w w:val="105"/>
          <w:sz w:val="29"/>
        </w:rPr>
        <w:t>5</w:t>
      </w:r>
      <w:r>
        <w:rPr>
          <w:color w:val="131313"/>
          <w:w w:val="105"/>
          <w:sz w:val="31"/>
        </w:rPr>
        <w:t>、海报印刷由专委会负责。</w:t>
      </w:r>
    </w:p>
    <w:p>
      <w:pPr>
        <w:spacing w:line="304" w:lineRule="auto" w:before="100"/>
        <w:ind w:left="942" w:right="1999" w:firstLine="636"/>
        <w:jc w:val="left"/>
        <w:rPr>
          <w:sz w:val="31"/>
        </w:rPr>
      </w:pPr>
      <w:r>
        <w:rPr>
          <w:color w:val="131313"/>
          <w:sz w:val="31"/>
        </w:rPr>
        <w:t>四、现场采取脱口秀模式，不设置幻灯，演讲时间需控</w:t>
      </w:r>
      <w:r>
        <w:rPr>
          <w:color w:val="282828"/>
          <w:w w:val="105"/>
          <w:sz w:val="31"/>
        </w:rPr>
        <w:t>制在 </w:t>
      </w:r>
      <w:r>
        <w:rPr>
          <w:rFonts w:ascii="Times New Roman" w:eastAsia="Times New Roman"/>
          <w:color w:val="282828"/>
          <w:w w:val="105"/>
          <w:sz w:val="31"/>
        </w:rPr>
        <w:t>5 </w:t>
      </w:r>
      <w:r>
        <w:rPr>
          <w:color w:val="282828"/>
          <w:w w:val="105"/>
          <w:sz w:val="31"/>
        </w:rPr>
        <w:t>分钟以内。</w:t>
      </w:r>
    </w:p>
    <w:p>
      <w:pPr>
        <w:spacing w:line="391" w:lineRule="exact" w:before="0"/>
        <w:ind w:left="1574" w:right="0" w:firstLine="0"/>
        <w:jc w:val="left"/>
        <w:rPr>
          <w:sz w:val="31"/>
        </w:rPr>
      </w:pPr>
      <w:r>
        <w:rPr>
          <w:color w:val="131313"/>
          <w:sz w:val="31"/>
        </w:rPr>
        <w:t>五、每组评选出一篇优秀报告，评分标准如下：</w:t>
      </w:r>
    </w:p>
    <w:p>
      <w:pPr>
        <w:tabs>
          <w:tab w:pos="5498" w:val="left" w:leader="none"/>
        </w:tabs>
        <w:spacing w:line="300" w:lineRule="auto" w:before="101"/>
        <w:ind w:left="941" w:right="1919" w:firstLine="658"/>
        <w:jc w:val="left"/>
        <w:rPr>
          <w:sz w:val="31"/>
        </w:rPr>
      </w:pPr>
      <w:r>
        <w:rPr>
          <w:rFonts w:ascii="Times New Roman" w:eastAsia="Times New Roman"/>
          <w:color w:val="131313"/>
          <w:sz w:val="32"/>
        </w:rPr>
        <w:t>L</w:t>
      </w:r>
      <w:r>
        <w:rPr>
          <w:rFonts w:ascii="Times New Roman" w:eastAsia="Times New Roman"/>
          <w:color w:val="131313"/>
          <w:spacing w:val="-21"/>
          <w:sz w:val="32"/>
        </w:rPr>
        <w:t> </w:t>
      </w:r>
      <w:r>
        <w:rPr>
          <w:color w:val="131313"/>
          <w:sz w:val="31"/>
        </w:rPr>
        <w:t>专家评</w:t>
      </w:r>
      <w:r>
        <w:rPr>
          <w:color w:val="131313"/>
          <w:spacing w:val="53"/>
          <w:sz w:val="31"/>
        </w:rPr>
        <w:t>分</w:t>
      </w:r>
      <w:r>
        <w:rPr>
          <w:color w:val="131313"/>
          <w:w w:val="90"/>
          <w:sz w:val="31"/>
        </w:rPr>
        <w:t>：</w:t>
      </w:r>
      <w:r>
        <w:rPr>
          <w:color w:val="131313"/>
          <w:spacing w:val="-121"/>
          <w:w w:val="90"/>
          <w:sz w:val="31"/>
        </w:rPr>
        <w:t> </w:t>
      </w:r>
      <w:r>
        <w:rPr>
          <w:color w:val="131313"/>
          <w:sz w:val="31"/>
        </w:rPr>
        <w:t>每组</w:t>
      </w:r>
      <w:r>
        <w:rPr>
          <w:color w:val="131313"/>
          <w:spacing w:val="-105"/>
          <w:sz w:val="31"/>
        </w:rPr>
        <w:t> </w:t>
      </w:r>
      <w:r>
        <w:rPr>
          <w:rFonts w:ascii="Times New Roman" w:eastAsia="Times New Roman"/>
          <w:color w:val="131313"/>
          <w:sz w:val="32"/>
        </w:rPr>
        <w:t>2</w:t>
      </w:r>
      <w:r>
        <w:rPr>
          <w:rFonts w:ascii="Times New Roman" w:eastAsia="Times New Roman"/>
          <w:color w:val="131313"/>
          <w:spacing w:val="-40"/>
          <w:sz w:val="32"/>
        </w:rPr>
        <w:t> </w:t>
      </w:r>
      <w:r>
        <w:rPr>
          <w:color w:val="131313"/>
          <w:sz w:val="31"/>
        </w:rPr>
        <w:t>位评审专家依评分表给汇报者打分</w:t>
      </w:r>
      <w:r>
        <w:rPr>
          <w:color w:val="131313"/>
          <w:spacing w:val="-74"/>
          <w:sz w:val="31"/>
        </w:rPr>
        <w:t> </w:t>
      </w:r>
      <w:r>
        <w:rPr>
          <w:color w:val="131313"/>
          <w:spacing w:val="-15"/>
          <w:sz w:val="31"/>
        </w:rPr>
        <w:t>， </w:t>
      </w:r>
      <w:r>
        <w:rPr>
          <w:color w:val="282828"/>
          <w:sz w:val="31"/>
        </w:rPr>
        <w:t>求得的平均分占汇报者最后得分</w:t>
        <w:tab/>
      </w:r>
      <w:r>
        <w:rPr>
          <w:rFonts w:ascii="Arial" w:eastAsia="Arial"/>
          <w:color w:val="282828"/>
          <w:spacing w:val="-5"/>
          <w:sz w:val="30"/>
        </w:rPr>
        <w:t>70%</w:t>
      </w:r>
      <w:r>
        <w:rPr>
          <w:color w:val="282828"/>
          <w:sz w:val="31"/>
        </w:rPr>
        <w:t>。</w:t>
      </w:r>
    </w:p>
    <w:p>
      <w:pPr>
        <w:spacing w:before="9"/>
        <w:ind w:left="1570" w:right="0" w:firstLine="0"/>
        <w:jc w:val="left"/>
        <w:rPr>
          <w:sz w:val="31"/>
        </w:rPr>
      </w:pPr>
      <w:r>
        <w:rPr>
          <w:rFonts w:ascii="Times New Roman" w:eastAsia="Times New Roman"/>
          <w:color w:val="131313"/>
          <w:sz w:val="32"/>
        </w:rPr>
        <w:t>2</w:t>
      </w:r>
      <w:r>
        <w:rPr>
          <w:color w:val="131313"/>
          <w:sz w:val="31"/>
        </w:rPr>
        <w:t>、大众评分</w:t>
      </w:r>
      <w:r>
        <w:rPr>
          <w:color w:val="131313"/>
          <w:w w:val="80"/>
          <w:sz w:val="31"/>
        </w:rPr>
        <w:t>： </w:t>
      </w:r>
      <w:r>
        <w:rPr>
          <w:color w:val="131313"/>
          <w:sz w:val="31"/>
        </w:rPr>
        <w:t>每位学员资料袋中会提供一个打分贴纸供</w:t>
      </w:r>
    </w:p>
    <w:p>
      <w:pPr>
        <w:tabs>
          <w:tab w:pos="3571" w:val="left" w:leader="none"/>
          <w:tab w:pos="6637" w:val="left" w:leader="none"/>
          <w:tab w:pos="7070" w:val="left" w:leader="none"/>
        </w:tabs>
        <w:spacing w:line="288" w:lineRule="auto" w:before="101"/>
        <w:ind w:left="943" w:right="1919" w:firstLine="1"/>
        <w:jc w:val="left"/>
        <w:rPr>
          <w:sz w:val="31"/>
        </w:rPr>
      </w:pPr>
      <w:r>
        <w:rPr>
          <w:color w:val="282828"/>
          <w:w w:val="95"/>
          <w:sz w:val="31"/>
        </w:rPr>
        <w:t>学员打分</w:t>
      </w:r>
      <w:r>
        <w:rPr>
          <w:color w:val="282828"/>
          <w:spacing w:val="-75"/>
          <w:w w:val="95"/>
          <w:sz w:val="31"/>
        </w:rPr>
        <w:t> </w:t>
      </w:r>
      <w:r>
        <w:rPr>
          <w:color w:val="282828"/>
          <w:w w:val="95"/>
          <w:sz w:val="31"/>
        </w:rPr>
        <w:t>，</w:t>
      </w:r>
      <w:r>
        <w:rPr>
          <w:color w:val="282828"/>
          <w:spacing w:val="-111"/>
          <w:w w:val="95"/>
          <w:sz w:val="31"/>
        </w:rPr>
        <w:t> </w:t>
      </w:r>
      <w:r>
        <w:rPr>
          <w:color w:val="282828"/>
          <w:w w:val="95"/>
          <w:sz w:val="31"/>
        </w:rPr>
        <w:t>汇报结束后计数所得贴纸数量</w:t>
        <w:tab/>
      </w:r>
      <w:r>
        <w:rPr>
          <w:color w:val="282828"/>
          <w:sz w:val="31"/>
        </w:rPr>
        <w:t>，</w:t>
      </w:r>
      <w:r>
        <w:rPr>
          <w:color w:val="282828"/>
          <w:spacing w:val="-145"/>
          <w:sz w:val="31"/>
        </w:rPr>
        <w:t> </w:t>
      </w:r>
      <w:r>
        <w:rPr>
          <w:color w:val="282828"/>
          <w:sz w:val="31"/>
        </w:rPr>
        <w:t>一张贴纸计</w:t>
      </w:r>
      <w:r>
        <w:rPr>
          <w:color w:val="282828"/>
          <w:spacing w:val="-117"/>
          <w:sz w:val="31"/>
        </w:rPr>
        <w:t> </w:t>
      </w:r>
      <w:r>
        <w:rPr>
          <w:rFonts w:ascii="Times New Roman" w:eastAsia="Times New Roman"/>
          <w:color w:val="282828"/>
          <w:sz w:val="31"/>
        </w:rPr>
        <w:t>1</w:t>
      </w:r>
      <w:r>
        <w:rPr>
          <w:rFonts w:ascii="Times New Roman" w:eastAsia="Times New Roman"/>
          <w:color w:val="282828"/>
          <w:spacing w:val="-45"/>
          <w:sz w:val="31"/>
        </w:rPr>
        <w:t> </w:t>
      </w:r>
      <w:r>
        <w:rPr>
          <w:color w:val="484848"/>
          <w:spacing w:val="4"/>
          <w:sz w:val="31"/>
        </w:rPr>
        <w:t>分</w:t>
      </w:r>
      <w:r>
        <w:rPr>
          <w:color w:val="131313"/>
          <w:spacing w:val="-14"/>
          <w:sz w:val="31"/>
        </w:rPr>
        <w:t>， </w:t>
      </w:r>
      <w:r>
        <w:rPr>
          <w:color w:val="282828"/>
          <w:w w:val="95"/>
          <w:sz w:val="31"/>
        </w:rPr>
        <w:t>占汇报者最后得分</w:t>
        <w:tab/>
      </w:r>
      <w:r>
        <w:rPr>
          <w:rFonts w:ascii="Arial" w:eastAsia="Arial"/>
          <w:color w:val="282828"/>
          <w:spacing w:val="-8"/>
          <w:w w:val="95"/>
          <w:sz w:val="30"/>
        </w:rPr>
        <w:t>30%</w:t>
      </w:r>
      <w:r>
        <w:rPr>
          <w:color w:val="282828"/>
          <w:w w:val="95"/>
          <w:sz w:val="31"/>
        </w:rPr>
        <w:t>。</w:t>
        <w:tab/>
        <w:tab/>
      </w:r>
      <w:r>
        <w:rPr>
          <w:color w:val="5B5B5B"/>
          <w:w w:val="75"/>
          <w:sz w:val="31"/>
        </w:rPr>
        <w:t>,</w:t>
      </w:r>
    </w:p>
    <w:p>
      <w:pPr>
        <w:pStyle w:val="BodyText"/>
        <w:spacing w:before="10"/>
        <w:ind w:left="0"/>
        <w:rPr>
          <w:sz w:val="43"/>
        </w:rPr>
      </w:pPr>
    </w:p>
    <w:p>
      <w:pPr>
        <w:spacing w:before="0"/>
        <w:ind w:left="1403" w:right="0" w:firstLine="0"/>
        <w:jc w:val="left"/>
        <w:rPr>
          <w:sz w:val="31"/>
        </w:rPr>
      </w:pPr>
      <w:r>
        <w:rPr>
          <w:color w:val="282828"/>
          <w:sz w:val="31"/>
        </w:rPr>
        <w:t>附：现场秀布置预览图</w:t>
      </w:r>
    </w:p>
    <w:p>
      <w:pPr>
        <w:pStyle w:val="BodyText"/>
        <w:ind w:left="0"/>
        <w:rPr>
          <w:sz w:val="11"/>
        </w:rPr>
      </w:pPr>
      <w:r>
        <w:rPr/>
        <w:pict>
          <v:group style="position:absolute;margin-left:77.990082pt;margin-top:9.009432pt;width:416.35pt;height:218.55pt;mso-position-horizontal-relative:page;mso-position-vertical-relative:paragraph;z-index:-251637760;mso-wrap-distance-left:0;mso-wrap-distance-right:0" coordorigin="1560,180" coordsize="8327,4371">
            <v:shape style="position:absolute;left:1559;top:180;width:8327;height:4371" type="#_x0000_t75" stroked="false">
              <v:imagedata r:id="rId43" o:title=""/>
            </v:shape>
            <v:line style="position:absolute" from="6235,1475" to="6235,1922" stroked="true" strokeweight=".72213pt" strokecolor="#dbdbdb">
              <v:stroke dashstyle="solid"/>
            </v:line>
            <v:shape style="position:absolute;left:1559;top:180;width:8327;height:4371" type="#_x0000_t202" filled="false" stroked="false">
              <v:textbox inset="0,0,0,0">
                <w:txbxContent>
                  <w:p>
                    <w:pPr>
                      <w:tabs>
                        <w:tab w:pos="1930" w:val="left" w:leader="none"/>
                      </w:tabs>
                      <w:spacing w:before="667"/>
                      <w:ind w:left="467" w:right="0" w:firstLine="0"/>
                      <w:jc w:val="left"/>
                      <w:rPr>
                        <w:sz w:val="30"/>
                      </w:rPr>
                    </w:pPr>
                    <w:r>
                      <w:rPr>
                        <w:rFonts w:ascii="Times New Roman" w:eastAsia="Times New Roman"/>
                        <w:color w:val="5B5B5B"/>
                        <w:spacing w:val="-10"/>
                        <w:w w:val="13"/>
                        <w:sz w:val="34"/>
                      </w:rPr>
                      <w:t>I</w:t>
                    </w:r>
                    <w:r>
                      <w:rPr>
                        <w:rFonts w:ascii="Times New Roman" w:eastAsia="Times New Roman"/>
                        <w:color w:val="5B5B5B"/>
                        <w:spacing w:val="-9"/>
                        <w:w w:val="62"/>
                        <w:sz w:val="34"/>
                      </w:rPr>
                      <w:t>O</w:t>
                    </w:r>
                    <w:r>
                      <w:rPr>
                        <w:rFonts w:ascii="Times New Roman" w:eastAsia="Times New Roman"/>
                        <w:color w:val="5B5B5B"/>
                        <w:spacing w:val="-1"/>
                        <w:w w:val="46"/>
                        <w:sz w:val="34"/>
                      </w:rPr>
                      <w:t>STE</w:t>
                    </w:r>
                    <w:r>
                      <w:rPr>
                        <w:rFonts w:ascii="Times New Roman" w:eastAsia="Times New Roman"/>
                        <w:color w:val="5B5B5B"/>
                        <w:w w:val="46"/>
                        <w:sz w:val="34"/>
                      </w:rPr>
                      <w:t>,</w:t>
                    </w:r>
                    <w:r>
                      <w:rPr>
                        <w:rFonts w:ascii="Times New Roman" w:eastAsia="Times New Roman"/>
                        <w:color w:val="5B5B5B"/>
                        <w:spacing w:val="8"/>
                        <w:sz w:val="34"/>
                      </w:rPr>
                      <w:t>  </w:t>
                    </w:r>
                    <w:r>
                      <w:rPr>
                        <w:rFonts w:ascii="Times New Roman" w:eastAsia="Times New Roman"/>
                        <w:color w:val="5B5B5B"/>
                        <w:w w:val="50"/>
                        <w:sz w:val="34"/>
                      </w:rPr>
                      <w:t>00$TEn:</w:t>
                    </w:r>
                    <w:r>
                      <w:rPr>
                        <w:rFonts w:ascii="Times New Roman" w:eastAsia="Times New Roman"/>
                        <w:color w:val="5B5B5B"/>
                        <w:sz w:val="34"/>
                      </w:rPr>
                      <w:tab/>
                    </w:r>
                    <w:r>
                      <w:rPr>
                        <w:color w:val="5B5B5B"/>
                        <w:spacing w:val="-87"/>
                        <w:w w:val="100"/>
                        <w:sz w:val="15"/>
                      </w:rPr>
                      <w:t>｝</w:t>
                    </w:r>
                    <w:r>
                      <w:rPr>
                        <w:rFonts w:ascii="Times New Roman" w:eastAsia="Times New Roman"/>
                        <w:color w:val="5B5B5B"/>
                        <w:spacing w:val="-15"/>
                        <w:w w:val="69"/>
                        <w:sz w:val="34"/>
                      </w:rPr>
                      <w:t>P</w:t>
                    </w:r>
                    <w:r>
                      <w:rPr>
                        <w:rFonts w:ascii="Times New Roman" w:eastAsia="Times New Roman"/>
                        <w:color w:val="5B5B5B"/>
                        <w:spacing w:val="-17"/>
                        <w:w w:val="50"/>
                        <w:sz w:val="34"/>
                      </w:rPr>
                      <w:t>O</w:t>
                    </w:r>
                    <w:r>
                      <w:rPr>
                        <w:rFonts w:ascii="Times New Roman" w:eastAsia="Times New Roman"/>
                        <w:color w:val="5B5B5B"/>
                        <w:spacing w:val="-32"/>
                        <w:w w:val="70"/>
                        <w:sz w:val="34"/>
                      </w:rPr>
                      <w:t>S</w:t>
                    </w:r>
                    <w:r>
                      <w:rPr>
                        <w:color w:val="5B5B5B"/>
                        <w:spacing w:val="8"/>
                        <w:w w:val="70"/>
                        <w:sz w:val="20"/>
                      </w:rPr>
                      <w:t>兀</w:t>
                    </w:r>
                    <w:r>
                      <w:rPr>
                        <w:rFonts w:ascii="Arial" w:eastAsia="Arial"/>
                        <w:color w:val="5B5B5B"/>
                        <w:spacing w:val="-84"/>
                        <w:w w:val="55"/>
                        <w:sz w:val="23"/>
                      </w:rPr>
                      <w:t>R</w:t>
                    </w:r>
                    <w:r>
                      <w:rPr>
                        <w:color w:val="5B5B5B"/>
                        <w:spacing w:val="-176"/>
                        <w:w w:val="60"/>
                        <w:sz w:val="97"/>
                      </w:rPr>
                      <w:t>』</w:t>
                    </w:r>
                    <w:r>
                      <w:rPr>
                        <w:rFonts w:ascii="Times New Roman" w:eastAsia="Times New Roman"/>
                        <w:color w:val="5B5B5B"/>
                        <w:spacing w:val="-1"/>
                        <w:w w:val="49"/>
                        <w:sz w:val="34"/>
                      </w:rPr>
                      <w:t>O</w:t>
                    </w:r>
                    <w:r>
                      <w:rPr>
                        <w:rFonts w:ascii="Times New Roman" w:eastAsia="Times New Roman"/>
                        <w:color w:val="5B5B5B"/>
                        <w:spacing w:val="-42"/>
                        <w:w w:val="49"/>
                        <w:sz w:val="34"/>
                      </w:rPr>
                      <w:t>O</w:t>
                    </w:r>
                    <w:r>
                      <w:rPr>
                        <w:rFonts w:ascii="Times New Roman" w:eastAsia="Times New Roman"/>
                        <w:color w:val="5B5B5B"/>
                        <w:spacing w:val="-1"/>
                        <w:w w:val="65"/>
                        <w:sz w:val="34"/>
                      </w:rPr>
                      <w:t>S</w:t>
                    </w:r>
                    <w:r>
                      <w:rPr>
                        <w:rFonts w:ascii="Times New Roman" w:eastAsia="Times New Roman"/>
                        <w:color w:val="5B5B5B"/>
                        <w:spacing w:val="-133"/>
                        <w:w w:val="65"/>
                        <w:sz w:val="34"/>
                      </w:rPr>
                      <w:t>T</w:t>
                    </w:r>
                    <w:r>
                      <w:rPr>
                        <w:color w:val="5B5B5B"/>
                        <w:spacing w:val="-421"/>
                        <w:w w:val="81"/>
                        <w:sz w:val="68"/>
                      </w:rPr>
                      <w:t>［</w:t>
                    </w:r>
                    <w:r>
                      <w:rPr>
                        <w:rFonts w:ascii="Times New Roman" w:eastAsia="Times New Roman"/>
                        <w:color w:val="5B5B5B"/>
                        <w:spacing w:val="-76"/>
                        <w:w w:val="65"/>
                        <w:sz w:val="34"/>
                      </w:rPr>
                      <w:t>E</w:t>
                    </w:r>
                    <w:r>
                      <w:rPr>
                        <w:rFonts w:ascii="Times New Roman" w:eastAsia="Times New Roman"/>
                        <w:color w:val="5B5B5B"/>
                        <w:spacing w:val="-1"/>
                        <w:w w:val="48"/>
                        <w:sz w:val="34"/>
                      </w:rPr>
                      <w:t>R</w:t>
                    </w:r>
                    <w:r>
                      <w:rPr>
                        <w:rFonts w:ascii="Times New Roman" w:eastAsia="Times New Roman"/>
                        <w:color w:val="5B5B5B"/>
                        <w:w w:val="48"/>
                        <w:sz w:val="34"/>
                      </w:rPr>
                      <w:t>J</w:t>
                    </w:r>
                    <w:r>
                      <w:rPr>
                        <w:rFonts w:ascii="Times New Roman" w:eastAsia="Times New Roman"/>
                        <w:color w:val="5B5B5B"/>
                        <w:spacing w:val="8"/>
                        <w:sz w:val="34"/>
                      </w:rPr>
                      <w:t>  </w:t>
                    </w:r>
                    <w:r>
                      <w:rPr>
                        <w:color w:val="5B5B5B"/>
                        <w:spacing w:val="44"/>
                        <w:w w:val="81"/>
                        <w:sz w:val="68"/>
                      </w:rPr>
                      <w:t>三</w:t>
                    </w:r>
                    <w:r>
                      <w:rPr>
                        <w:color w:val="5B5B5B"/>
                        <w:spacing w:val="99"/>
                        <w:w w:val="18"/>
                        <w:sz w:val="68"/>
                      </w:rPr>
                      <w:t>厂</w:t>
                    </w:r>
                    <w:r>
                      <w:rPr>
                        <w:rFonts w:ascii="Times New Roman" w:eastAsia="Times New Roman"/>
                        <w:color w:val="5B5B5B"/>
                        <w:spacing w:val="-23"/>
                        <w:w w:val="47"/>
                        <w:sz w:val="34"/>
                      </w:rPr>
                      <w:t>l</w:t>
                    </w:r>
                    <w:r>
                      <w:rPr>
                        <w:rFonts w:ascii="Times New Roman" w:eastAsia="Times New Roman"/>
                        <w:color w:val="5B5B5B"/>
                        <w:spacing w:val="-40"/>
                        <w:w w:val="110"/>
                        <w:sz w:val="34"/>
                      </w:rPr>
                      <w:t>l</w:t>
                    </w:r>
                    <w:r>
                      <w:rPr>
                        <w:rFonts w:ascii="Times New Roman" w:eastAsia="Times New Roman"/>
                        <w:color w:val="A5A5A5"/>
                        <w:spacing w:val="-21"/>
                        <w:w w:val="44"/>
                        <w:sz w:val="34"/>
                      </w:rPr>
                      <w:t>,</w:t>
                    </w:r>
                    <w:r>
                      <w:rPr>
                        <w:rFonts w:ascii="Times New Roman" w:eastAsia="Times New Roman"/>
                        <w:color w:val="5B5B5B"/>
                        <w:w w:val="37"/>
                        <w:sz w:val="34"/>
                      </w:rPr>
                      <w:t>I</w:t>
                    </w:r>
                    <w:r>
                      <w:rPr>
                        <w:rFonts w:ascii="Times New Roman" w:eastAsia="Times New Roman"/>
                        <w:color w:val="5B5B5B"/>
                        <w:spacing w:val="27"/>
                        <w:w w:val="37"/>
                        <w:sz w:val="34"/>
                      </w:rPr>
                      <w:t>5</w:t>
                    </w:r>
                    <w:r>
                      <w:rPr>
                        <w:rFonts w:ascii="Times New Roman" w:eastAsia="Times New Roman"/>
                        <w:color w:val="5B5B5B"/>
                        <w:spacing w:val="-1"/>
                        <w:w w:val="61"/>
                        <w:sz w:val="34"/>
                      </w:rPr>
                      <w:t>POST</w:t>
                    </w:r>
                    <w:r>
                      <w:rPr>
                        <w:rFonts w:ascii="Times New Roman" w:eastAsia="Times New Roman"/>
                        <w:color w:val="5B5B5B"/>
                        <w:spacing w:val="-8"/>
                        <w:w w:val="61"/>
                        <w:sz w:val="34"/>
                      </w:rPr>
                      <w:t>E</w:t>
                    </w:r>
                    <w:r>
                      <w:rPr>
                        <w:rFonts w:ascii="Times New Roman" w:eastAsia="Times New Roman"/>
                        <w:color w:val="282828"/>
                        <w:spacing w:val="-2"/>
                        <w:w w:val="12"/>
                        <w:sz w:val="34"/>
                      </w:rPr>
                      <w:t>|</w:t>
                    </w:r>
                    <w:r>
                      <w:rPr>
                        <w:rFonts w:ascii="Times New Roman" w:eastAsia="Times New Roman"/>
                        <w:color w:val="5B5B5B"/>
                        <w:spacing w:val="-22"/>
                        <w:w w:val="61"/>
                        <w:sz w:val="34"/>
                      </w:rPr>
                      <w:t>R</w:t>
                    </w:r>
                    <w:r>
                      <w:rPr>
                        <w:rFonts w:ascii="Times New Roman" w:eastAsia="Times New Roman"/>
                        <w:color w:val="5B5B5B"/>
                        <w:spacing w:val="-29"/>
                        <w:w w:val="91"/>
                        <w:sz w:val="34"/>
                      </w:rPr>
                      <w:t>l</w:t>
                    </w:r>
                    <w:r>
                      <w:rPr>
                        <w:rFonts w:ascii="Times New Roman" w:eastAsia="Times New Roman"/>
                        <w:color w:val="5B5B5B"/>
                        <w:spacing w:val="-1"/>
                        <w:w w:val="63"/>
                        <w:sz w:val="34"/>
                      </w:rPr>
                      <w:t>l</w:t>
                    </w:r>
                    <w:r>
                      <w:rPr>
                        <w:rFonts w:ascii="Times New Roman" w:eastAsia="Times New Roman"/>
                        <w:color w:val="5B5B5B"/>
                        <w:spacing w:val="-44"/>
                        <w:w w:val="63"/>
                        <w:sz w:val="34"/>
                      </w:rPr>
                      <w:t>P</w:t>
                    </w:r>
                    <w:r>
                      <w:rPr>
                        <w:rFonts w:ascii="Times New Roman" w:eastAsia="Times New Roman"/>
                        <w:color w:val="5B5B5B"/>
                        <w:spacing w:val="-1"/>
                        <w:w w:val="42"/>
                        <w:sz w:val="34"/>
                      </w:rPr>
                      <w:t>OS</w:t>
                    </w:r>
                    <w:r>
                      <w:rPr>
                        <w:rFonts w:ascii="Times New Roman" w:eastAsia="Times New Roman"/>
                        <w:color w:val="5B5B5B"/>
                        <w:spacing w:val="23"/>
                        <w:w w:val="42"/>
                        <w:sz w:val="34"/>
                      </w:rPr>
                      <w:t>T</w:t>
                    </w:r>
                    <w:r>
                      <w:rPr>
                        <w:rFonts w:ascii="Times New Roman" w:eastAsia="Times New Roman"/>
                        <w:color w:val="5B5B5B"/>
                        <w:spacing w:val="-1"/>
                        <w:w w:val="61"/>
                        <w:sz w:val="34"/>
                      </w:rPr>
                      <w:t>ERllOOST</w:t>
                    </w:r>
                    <w:r>
                      <w:rPr>
                        <w:rFonts w:ascii="Times New Roman" w:eastAsia="Times New Roman"/>
                        <w:color w:val="5B5B5B"/>
                        <w:spacing w:val="-13"/>
                        <w:w w:val="61"/>
                        <w:sz w:val="34"/>
                      </w:rPr>
                      <w:t>E</w:t>
                    </w:r>
                    <w:r>
                      <w:rPr>
                        <w:rFonts w:ascii="Times New Roman" w:eastAsia="Times New Roman"/>
                        <w:color w:val="131313"/>
                        <w:spacing w:val="-31"/>
                        <w:w w:val="37"/>
                        <w:sz w:val="34"/>
                      </w:rPr>
                      <w:t>I</w:t>
                    </w:r>
                    <w:r>
                      <w:rPr>
                        <w:rFonts w:ascii="Times New Roman" w:eastAsia="Times New Roman"/>
                        <w:color w:val="5B5B5B"/>
                        <w:spacing w:val="-124"/>
                        <w:w w:val="61"/>
                        <w:sz w:val="34"/>
                      </w:rPr>
                      <w:t>R</w:t>
                    </w:r>
                    <w:r>
                      <w:rPr>
                        <w:rFonts w:ascii="Times New Roman" w:eastAsia="Times New Roman"/>
                        <w:color w:val="5B5B5B"/>
                        <w:spacing w:val="-1"/>
                        <w:w w:val="50"/>
                        <w:sz w:val="34"/>
                      </w:rPr>
                      <w:t>l</w:t>
                    </w:r>
                    <w:r>
                      <w:rPr>
                        <w:rFonts w:ascii="Times New Roman" w:eastAsia="Times New Roman"/>
                        <w:color w:val="5B5B5B"/>
                        <w:w w:val="50"/>
                        <w:sz w:val="34"/>
                      </w:rPr>
                      <w:t>l</w:t>
                    </w:r>
                    <w:r>
                      <w:rPr>
                        <w:rFonts w:ascii="Times New Roman" w:eastAsia="Times New Roman"/>
                        <w:color w:val="5B5B5B"/>
                        <w:spacing w:val="17"/>
                        <w:sz w:val="34"/>
                      </w:rPr>
                      <w:t> </w:t>
                    </w:r>
                    <w:r>
                      <w:rPr>
                        <w:color w:val="5B5B5B"/>
                        <w:w w:val="69"/>
                        <w:sz w:val="30"/>
                      </w:rPr>
                      <w:t>蜀</w:t>
                    </w:r>
                  </w:p>
                </w:txbxContent>
              </v:textbox>
              <w10:wrap type="none"/>
            </v:shape>
            <w10:wrap type="topAndBottom"/>
          </v:group>
        </w:pict>
      </w:r>
    </w:p>
    <w:p>
      <w:pPr>
        <w:spacing w:after="0"/>
        <w:rPr>
          <w:sz w:val="11"/>
        </w:rPr>
        <w:sectPr>
          <w:headerReference w:type="default" r:id="rId41"/>
          <w:footerReference w:type="default" r:id="rId42"/>
          <w:pgSz w:w="11910" w:h="16850"/>
          <w:pgMar w:header="0" w:footer="0" w:top="1240" w:bottom="280" w:left="640" w:right="0"/>
        </w:sectPr>
      </w:pPr>
    </w:p>
    <w:p>
      <w:pPr>
        <w:pStyle w:val="BodyText"/>
        <w:spacing w:before="4"/>
        <w:ind w:left="0"/>
        <w:rPr>
          <w:sz w:val="2"/>
        </w:rPr>
      </w:pPr>
    </w:p>
    <w:p>
      <w:pPr>
        <w:pStyle w:val="BodyText"/>
        <w:spacing w:line="20" w:lineRule="exact"/>
        <w:ind w:left="600"/>
        <w:rPr>
          <w:sz w:val="2"/>
        </w:rPr>
      </w:pPr>
      <w:r>
        <w:rPr>
          <w:sz w:val="2"/>
        </w:rPr>
        <w:pict>
          <v:group style="width:477.8pt;height:.75pt;mso-position-horizontal-relative:char;mso-position-vertical-relative:line" coordorigin="0,0" coordsize="9556,15">
            <v:line style="position:absolute" from="0,7" to="9556,7" stroked="true" strokeweight=".72pt" strokecolor="#000000">
              <v:stroke dashstyle="solid"/>
            </v:line>
          </v:group>
        </w:pict>
      </w:r>
      <w:r>
        <w:rPr>
          <w:sz w:val="2"/>
        </w:rPr>
      </w:r>
    </w:p>
    <w:p>
      <w:pPr>
        <w:spacing w:before="0"/>
        <w:ind w:left="637" w:right="0" w:firstLine="0"/>
        <w:jc w:val="left"/>
        <w:rPr>
          <w:rFonts w:ascii="黑体" w:eastAsia="黑体" w:hint="eastAsia"/>
          <w:sz w:val="28"/>
        </w:rPr>
      </w:pPr>
      <w:r>
        <w:rPr>
          <w:rFonts w:ascii="黑体" w:eastAsia="黑体" w:hint="eastAsia"/>
          <w:sz w:val="28"/>
        </w:rPr>
        <w:t>附件 3</w:t>
      </w:r>
    </w:p>
    <w:p>
      <w:pPr>
        <w:pStyle w:val="BodyText"/>
        <w:ind w:left="0"/>
        <w:rPr>
          <w:rFonts w:ascii="黑体"/>
          <w:sz w:val="20"/>
        </w:rPr>
      </w:pPr>
    </w:p>
    <w:p>
      <w:pPr>
        <w:pStyle w:val="BodyText"/>
        <w:ind w:left="0"/>
        <w:rPr>
          <w:rFonts w:ascii="黑体"/>
          <w:sz w:val="20"/>
        </w:rPr>
      </w:pPr>
    </w:p>
    <w:p>
      <w:pPr>
        <w:pStyle w:val="BodyText"/>
        <w:spacing w:before="1"/>
        <w:ind w:left="0"/>
        <w:rPr>
          <w:rFonts w:ascii="黑体"/>
          <w:sz w:val="20"/>
        </w:rPr>
      </w:pPr>
      <w:r>
        <w:rPr/>
        <w:pict>
          <v:group style="position:absolute;margin-left:111.379997pt;margin-top:14.857473pt;width:401.85pt;height:26.2pt;mso-position-horizontal-relative:page;mso-position-vertical-relative:paragraph;z-index:-251634688;mso-wrap-distance-left:0;mso-wrap-distance-right:0" coordorigin="2228,297" coordsize="8037,524">
            <v:shape style="position:absolute;left:2227;top:297;width:1242;height:524" type="#_x0000_t75" stroked="false">
              <v:imagedata r:id="rId46" o:title=""/>
            </v:shape>
            <v:shape style="position:absolute;left:3221;top:297;width:879;height:524" type="#_x0000_t75" stroked="false">
              <v:imagedata r:id="rId47" o:title=""/>
            </v:shape>
            <v:shape style="position:absolute;left:3661;top:297;width:4399;height:524" type="#_x0000_t75" stroked="false">
              <v:imagedata r:id="rId48" o:title=""/>
            </v:shape>
            <v:shape style="position:absolute;left:7619;top:297;width:1322;height:524" type="#_x0000_t75" stroked="false">
              <v:imagedata r:id="rId49" o:title=""/>
            </v:shape>
            <v:shape style="position:absolute;left:8500;top:297;width:1764;height:524" type="#_x0000_t75" stroked="false">
              <v:imagedata r:id="rId50" o:title=""/>
            </v:shape>
            <w10:wrap type="topAndBottom"/>
          </v:group>
        </w:pict>
      </w:r>
      <w:r>
        <w:rPr/>
        <w:pict>
          <v:group style="position:absolute;margin-left:202.25pt;margin-top:49.777473pt;width:220.05pt;height:26.2pt;mso-position-horizontal-relative:page;mso-position-vertical-relative:paragraph;z-index:-251633664;mso-wrap-distance-left:0;mso-wrap-distance-right:0" coordorigin="4045,996" coordsize="4401,524">
            <v:shape style="position:absolute;left:4045;top:995;width:2200;height:524" type="#_x0000_t75" stroked="false">
              <v:imagedata r:id="rId51" o:title=""/>
            </v:shape>
            <v:shape style="position:absolute;left:5804;top:995;width:2642;height:524" type="#_x0000_t75" stroked="false">
              <v:imagedata r:id="rId52" o:title=""/>
            </v:shape>
            <w10:wrap type="topAndBottom"/>
          </v:group>
        </w:pict>
      </w:r>
    </w:p>
    <w:p>
      <w:pPr>
        <w:pStyle w:val="BodyText"/>
        <w:spacing w:before="4"/>
        <w:ind w:left="0"/>
        <w:rPr>
          <w:rFonts w:ascii="黑体"/>
          <w:sz w:val="8"/>
        </w:rPr>
      </w:pPr>
    </w:p>
    <w:p>
      <w:pPr>
        <w:pStyle w:val="BodyText"/>
        <w:ind w:left="0"/>
        <w:rPr>
          <w:rFonts w:ascii="黑体"/>
          <w:sz w:val="20"/>
        </w:rPr>
      </w:pPr>
    </w:p>
    <w:p>
      <w:pPr>
        <w:pStyle w:val="BodyText"/>
        <w:spacing w:before="7"/>
        <w:ind w:left="0"/>
        <w:rPr>
          <w:rFonts w:ascii="黑体"/>
          <w:sz w:val="27"/>
        </w:rPr>
      </w:pPr>
    </w:p>
    <w:tbl>
      <w:tblPr>
        <w:tblW w:w="0" w:type="auto"/>
        <w:jc w:val="lef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551"/>
        <w:gridCol w:w="1843"/>
        <w:gridCol w:w="2460"/>
      </w:tblGrid>
      <w:tr>
        <w:trPr>
          <w:trHeight w:val="965" w:hRule="atLeast"/>
        </w:trPr>
        <w:tc>
          <w:tcPr>
            <w:tcW w:w="1668" w:type="dxa"/>
          </w:tcPr>
          <w:p>
            <w:pPr>
              <w:pStyle w:val="TableParagraph"/>
              <w:spacing w:before="10"/>
              <w:rPr>
                <w:rFonts w:ascii="黑体"/>
                <w:sz w:val="25"/>
              </w:rPr>
            </w:pPr>
          </w:p>
          <w:p>
            <w:pPr>
              <w:pStyle w:val="TableParagraph"/>
              <w:ind w:left="491" w:right="483"/>
              <w:jc w:val="center"/>
              <w:rPr>
                <w:rFonts w:ascii="仿宋" w:eastAsia="仿宋" w:hint="eastAsia"/>
                <w:b/>
                <w:sz w:val="32"/>
              </w:rPr>
            </w:pPr>
            <w:r>
              <w:rPr>
                <w:rFonts w:ascii="仿宋" w:eastAsia="仿宋" w:hint="eastAsia"/>
                <w:b/>
                <w:sz w:val="32"/>
              </w:rPr>
              <w:t>单位</w:t>
            </w:r>
          </w:p>
        </w:tc>
        <w:tc>
          <w:tcPr>
            <w:tcW w:w="6854" w:type="dxa"/>
            <w:gridSpan w:val="3"/>
          </w:tcPr>
          <w:p>
            <w:pPr>
              <w:pStyle w:val="TableParagraph"/>
              <w:rPr>
                <w:rFonts w:ascii="Times New Roman"/>
                <w:sz w:val="30"/>
              </w:rPr>
            </w:pPr>
          </w:p>
        </w:tc>
      </w:tr>
      <w:tr>
        <w:trPr>
          <w:trHeight w:val="964" w:hRule="atLeast"/>
        </w:trPr>
        <w:tc>
          <w:tcPr>
            <w:tcW w:w="1668" w:type="dxa"/>
          </w:tcPr>
          <w:p>
            <w:pPr>
              <w:pStyle w:val="TableParagraph"/>
              <w:spacing w:before="9"/>
              <w:rPr>
                <w:rFonts w:ascii="黑体"/>
                <w:sz w:val="25"/>
              </w:rPr>
            </w:pPr>
          </w:p>
          <w:p>
            <w:pPr>
              <w:pStyle w:val="TableParagraph"/>
              <w:spacing w:before="1"/>
              <w:ind w:left="491" w:right="483"/>
              <w:jc w:val="center"/>
              <w:rPr>
                <w:rFonts w:ascii="仿宋" w:eastAsia="仿宋" w:hint="eastAsia"/>
                <w:b/>
                <w:sz w:val="32"/>
              </w:rPr>
            </w:pPr>
            <w:r>
              <w:rPr>
                <w:rFonts w:ascii="仿宋" w:eastAsia="仿宋" w:hint="eastAsia"/>
                <w:b/>
                <w:sz w:val="32"/>
              </w:rPr>
              <w:t>姓名</w:t>
            </w:r>
          </w:p>
        </w:tc>
        <w:tc>
          <w:tcPr>
            <w:tcW w:w="2551" w:type="dxa"/>
          </w:tcPr>
          <w:p>
            <w:pPr>
              <w:pStyle w:val="TableParagraph"/>
              <w:rPr>
                <w:rFonts w:ascii="Times New Roman"/>
                <w:sz w:val="30"/>
              </w:rPr>
            </w:pPr>
          </w:p>
        </w:tc>
        <w:tc>
          <w:tcPr>
            <w:tcW w:w="1843" w:type="dxa"/>
          </w:tcPr>
          <w:p>
            <w:pPr>
              <w:pStyle w:val="TableParagraph"/>
              <w:spacing w:before="9"/>
              <w:rPr>
                <w:rFonts w:ascii="黑体"/>
                <w:sz w:val="25"/>
              </w:rPr>
            </w:pPr>
          </w:p>
          <w:p>
            <w:pPr>
              <w:pStyle w:val="TableParagraph"/>
              <w:spacing w:before="1"/>
              <w:ind w:left="178" w:right="166"/>
              <w:jc w:val="center"/>
              <w:rPr>
                <w:rFonts w:ascii="仿宋" w:eastAsia="仿宋" w:hint="eastAsia"/>
                <w:b/>
                <w:sz w:val="32"/>
              </w:rPr>
            </w:pPr>
            <w:r>
              <w:rPr>
                <w:rFonts w:ascii="仿宋" w:eastAsia="仿宋" w:hint="eastAsia"/>
                <w:b/>
                <w:sz w:val="32"/>
              </w:rPr>
              <w:t>性别</w:t>
            </w:r>
          </w:p>
        </w:tc>
        <w:tc>
          <w:tcPr>
            <w:tcW w:w="2460" w:type="dxa"/>
          </w:tcPr>
          <w:p>
            <w:pPr>
              <w:pStyle w:val="TableParagraph"/>
              <w:rPr>
                <w:rFonts w:ascii="Times New Roman"/>
                <w:sz w:val="30"/>
              </w:rPr>
            </w:pPr>
          </w:p>
        </w:tc>
      </w:tr>
      <w:tr>
        <w:trPr>
          <w:trHeight w:val="964" w:hRule="atLeast"/>
        </w:trPr>
        <w:tc>
          <w:tcPr>
            <w:tcW w:w="1668" w:type="dxa"/>
          </w:tcPr>
          <w:p>
            <w:pPr>
              <w:pStyle w:val="TableParagraph"/>
              <w:spacing w:before="9"/>
              <w:rPr>
                <w:rFonts w:ascii="黑体"/>
                <w:sz w:val="25"/>
              </w:rPr>
            </w:pPr>
          </w:p>
          <w:p>
            <w:pPr>
              <w:pStyle w:val="TableParagraph"/>
              <w:spacing w:before="1"/>
              <w:ind w:left="491" w:right="483"/>
              <w:jc w:val="center"/>
              <w:rPr>
                <w:rFonts w:ascii="仿宋" w:eastAsia="仿宋" w:hint="eastAsia"/>
                <w:b/>
                <w:sz w:val="32"/>
              </w:rPr>
            </w:pPr>
            <w:r>
              <w:rPr>
                <w:rFonts w:ascii="仿宋" w:eastAsia="仿宋" w:hint="eastAsia"/>
                <w:b/>
                <w:sz w:val="32"/>
              </w:rPr>
              <w:t>民族</w:t>
            </w:r>
          </w:p>
        </w:tc>
        <w:tc>
          <w:tcPr>
            <w:tcW w:w="2551" w:type="dxa"/>
          </w:tcPr>
          <w:p>
            <w:pPr>
              <w:pStyle w:val="TableParagraph"/>
              <w:rPr>
                <w:rFonts w:ascii="Times New Roman"/>
                <w:sz w:val="30"/>
              </w:rPr>
            </w:pPr>
          </w:p>
        </w:tc>
        <w:tc>
          <w:tcPr>
            <w:tcW w:w="1843" w:type="dxa"/>
          </w:tcPr>
          <w:p>
            <w:pPr>
              <w:pStyle w:val="TableParagraph"/>
              <w:spacing w:before="9"/>
              <w:rPr>
                <w:rFonts w:ascii="黑体"/>
                <w:sz w:val="25"/>
              </w:rPr>
            </w:pPr>
          </w:p>
          <w:p>
            <w:pPr>
              <w:pStyle w:val="TableParagraph"/>
              <w:spacing w:before="1"/>
              <w:ind w:left="178" w:right="168"/>
              <w:jc w:val="center"/>
              <w:rPr>
                <w:rFonts w:ascii="仿宋" w:eastAsia="仿宋" w:hint="eastAsia"/>
                <w:b/>
                <w:sz w:val="32"/>
              </w:rPr>
            </w:pPr>
            <w:r>
              <w:rPr>
                <w:rFonts w:ascii="仿宋" w:eastAsia="仿宋" w:hint="eastAsia"/>
                <w:b/>
                <w:sz w:val="32"/>
              </w:rPr>
              <w:t>职务/职称</w:t>
            </w:r>
          </w:p>
        </w:tc>
        <w:tc>
          <w:tcPr>
            <w:tcW w:w="2460" w:type="dxa"/>
          </w:tcPr>
          <w:p>
            <w:pPr>
              <w:pStyle w:val="TableParagraph"/>
              <w:rPr>
                <w:rFonts w:ascii="Times New Roman"/>
                <w:sz w:val="30"/>
              </w:rPr>
            </w:pPr>
          </w:p>
        </w:tc>
      </w:tr>
      <w:tr>
        <w:trPr>
          <w:trHeight w:val="962" w:hRule="atLeast"/>
        </w:trPr>
        <w:tc>
          <w:tcPr>
            <w:tcW w:w="1668" w:type="dxa"/>
          </w:tcPr>
          <w:p>
            <w:pPr>
              <w:pStyle w:val="TableParagraph"/>
              <w:spacing w:before="9"/>
              <w:rPr>
                <w:rFonts w:ascii="黑体"/>
                <w:sz w:val="25"/>
              </w:rPr>
            </w:pPr>
          </w:p>
          <w:p>
            <w:pPr>
              <w:pStyle w:val="TableParagraph"/>
              <w:spacing w:before="1"/>
              <w:ind w:left="491" w:right="483"/>
              <w:jc w:val="center"/>
              <w:rPr>
                <w:rFonts w:ascii="仿宋" w:eastAsia="仿宋" w:hint="eastAsia"/>
                <w:b/>
                <w:sz w:val="32"/>
              </w:rPr>
            </w:pPr>
            <w:r>
              <w:rPr>
                <w:rFonts w:ascii="仿宋" w:eastAsia="仿宋" w:hint="eastAsia"/>
                <w:b/>
                <w:sz w:val="32"/>
              </w:rPr>
              <w:t>手机</w:t>
            </w:r>
          </w:p>
        </w:tc>
        <w:tc>
          <w:tcPr>
            <w:tcW w:w="2551" w:type="dxa"/>
          </w:tcPr>
          <w:p>
            <w:pPr>
              <w:pStyle w:val="TableParagraph"/>
              <w:rPr>
                <w:rFonts w:ascii="Times New Roman"/>
                <w:sz w:val="30"/>
              </w:rPr>
            </w:pPr>
          </w:p>
        </w:tc>
        <w:tc>
          <w:tcPr>
            <w:tcW w:w="1843" w:type="dxa"/>
          </w:tcPr>
          <w:p>
            <w:pPr>
              <w:pStyle w:val="TableParagraph"/>
              <w:spacing w:before="9"/>
              <w:rPr>
                <w:rFonts w:ascii="黑体"/>
                <w:sz w:val="25"/>
              </w:rPr>
            </w:pPr>
          </w:p>
          <w:p>
            <w:pPr>
              <w:pStyle w:val="TableParagraph"/>
              <w:spacing w:before="1"/>
              <w:ind w:left="178" w:right="166"/>
              <w:jc w:val="center"/>
              <w:rPr>
                <w:rFonts w:ascii="仿宋" w:eastAsia="仿宋" w:hint="eastAsia"/>
                <w:b/>
                <w:sz w:val="32"/>
              </w:rPr>
            </w:pPr>
            <w:r>
              <w:rPr>
                <w:rFonts w:ascii="仿宋" w:eastAsia="仿宋" w:hint="eastAsia"/>
                <w:b/>
                <w:sz w:val="32"/>
              </w:rPr>
              <w:t>邮箱</w:t>
            </w:r>
          </w:p>
        </w:tc>
        <w:tc>
          <w:tcPr>
            <w:tcW w:w="2460" w:type="dxa"/>
          </w:tcPr>
          <w:p>
            <w:pPr>
              <w:pStyle w:val="TableParagraph"/>
              <w:rPr>
                <w:rFonts w:ascii="Times New Roman"/>
                <w:sz w:val="30"/>
              </w:rPr>
            </w:pPr>
          </w:p>
        </w:tc>
      </w:tr>
      <w:tr>
        <w:trPr>
          <w:trHeight w:val="964" w:hRule="atLeast"/>
        </w:trPr>
        <w:tc>
          <w:tcPr>
            <w:tcW w:w="1668" w:type="dxa"/>
          </w:tcPr>
          <w:p>
            <w:pPr>
              <w:pStyle w:val="TableParagraph"/>
              <w:spacing w:before="12"/>
              <w:rPr>
                <w:rFonts w:ascii="黑体"/>
                <w:sz w:val="25"/>
              </w:rPr>
            </w:pPr>
          </w:p>
          <w:p>
            <w:pPr>
              <w:pStyle w:val="TableParagraph"/>
              <w:ind w:left="491" w:right="483"/>
              <w:jc w:val="center"/>
              <w:rPr>
                <w:rFonts w:ascii="仿宋" w:eastAsia="仿宋" w:hint="eastAsia"/>
                <w:b/>
                <w:sz w:val="32"/>
              </w:rPr>
            </w:pPr>
            <w:r>
              <w:rPr>
                <w:rFonts w:ascii="仿宋" w:eastAsia="仿宋" w:hint="eastAsia"/>
                <w:b/>
                <w:sz w:val="32"/>
              </w:rPr>
              <w:t>备注</w:t>
            </w:r>
          </w:p>
        </w:tc>
        <w:tc>
          <w:tcPr>
            <w:tcW w:w="6854" w:type="dxa"/>
            <w:gridSpan w:val="3"/>
          </w:tcPr>
          <w:p>
            <w:pPr>
              <w:pStyle w:val="TableParagraph"/>
              <w:rPr>
                <w:rFonts w:ascii="Times New Roman"/>
                <w:sz w:val="30"/>
              </w:rPr>
            </w:pPr>
          </w:p>
        </w:tc>
      </w:tr>
    </w:tbl>
    <w:p>
      <w:pPr>
        <w:pStyle w:val="BodyText"/>
        <w:spacing w:before="10"/>
        <w:ind w:left="0"/>
        <w:rPr>
          <w:rFonts w:ascii="黑体"/>
          <w:sz w:val="5"/>
        </w:rPr>
      </w:pPr>
    </w:p>
    <w:p>
      <w:pPr>
        <w:spacing w:line="328" w:lineRule="auto" w:before="54"/>
        <w:ind w:left="637" w:right="1126" w:firstLine="0"/>
        <w:jc w:val="left"/>
        <w:rPr>
          <w:rFonts w:ascii="微软雅黑" w:eastAsia="微软雅黑" w:hint="eastAsia"/>
          <w:b/>
          <w:sz w:val="24"/>
        </w:rPr>
      </w:pPr>
      <w:r>
        <w:rPr>
          <w:rFonts w:ascii="仿宋" w:eastAsia="仿宋" w:hint="eastAsia"/>
          <w:spacing w:val="-6"/>
          <w:sz w:val="32"/>
        </w:rPr>
        <w:t>注：请参会人员填写报名表并于 </w:t>
      </w:r>
      <w:r>
        <w:rPr>
          <w:rFonts w:ascii="仿宋" w:eastAsia="仿宋" w:hint="eastAsia"/>
          <w:sz w:val="32"/>
        </w:rPr>
        <w:t>2019</w:t>
      </w:r>
      <w:r>
        <w:rPr>
          <w:rFonts w:ascii="仿宋" w:eastAsia="仿宋" w:hint="eastAsia"/>
          <w:spacing w:val="-54"/>
          <w:sz w:val="32"/>
        </w:rPr>
        <w:t> 年 </w:t>
      </w:r>
      <w:r>
        <w:rPr>
          <w:rFonts w:ascii="仿宋" w:eastAsia="仿宋" w:hint="eastAsia"/>
          <w:sz w:val="32"/>
        </w:rPr>
        <w:t>7</w:t>
      </w:r>
      <w:r>
        <w:rPr>
          <w:rFonts w:ascii="仿宋" w:eastAsia="仿宋" w:hint="eastAsia"/>
          <w:spacing w:val="-54"/>
          <w:sz w:val="32"/>
        </w:rPr>
        <w:t> 月 </w:t>
      </w:r>
      <w:r>
        <w:rPr>
          <w:rFonts w:ascii="仿宋" w:eastAsia="仿宋" w:hint="eastAsia"/>
          <w:sz w:val="32"/>
        </w:rPr>
        <w:t>20</w:t>
      </w:r>
      <w:r>
        <w:rPr>
          <w:rFonts w:ascii="仿宋" w:eastAsia="仿宋" w:hint="eastAsia"/>
          <w:spacing w:val="-25"/>
          <w:sz w:val="32"/>
        </w:rPr>
        <w:t> 日前将汇款凭证</w:t>
      </w:r>
      <w:r>
        <w:rPr>
          <w:rFonts w:ascii="仿宋" w:eastAsia="仿宋" w:hint="eastAsia"/>
          <w:sz w:val="32"/>
        </w:rPr>
        <w:t>（</w:t>
      </w:r>
      <w:r>
        <w:rPr>
          <w:rFonts w:ascii="仿宋" w:eastAsia="仿宋" w:hint="eastAsia"/>
          <w:spacing w:val="-9"/>
          <w:sz w:val="32"/>
        </w:rPr>
        <w:t>照</w:t>
      </w:r>
      <w:r>
        <w:rPr>
          <w:rFonts w:ascii="仿宋" w:eastAsia="仿宋" w:hint="eastAsia"/>
          <w:sz w:val="32"/>
        </w:rPr>
        <w:t>片、截图等）</w:t>
      </w:r>
      <w:r>
        <w:rPr>
          <w:rFonts w:ascii="仿宋" w:eastAsia="仿宋" w:hint="eastAsia"/>
          <w:spacing w:val="-9"/>
          <w:sz w:val="32"/>
        </w:rPr>
        <w:t>及报名表一起发送至 </w:t>
      </w:r>
      <w:hyperlink r:id="rId53">
        <w:r>
          <w:rPr>
            <w:rFonts w:ascii="仿宋" w:eastAsia="仿宋" w:hint="eastAsia"/>
            <w:sz w:val="32"/>
          </w:rPr>
          <w:t>z30@cpa.org.cn</w:t>
        </w:r>
      </w:hyperlink>
      <w:r>
        <w:rPr>
          <w:rFonts w:ascii="仿宋" w:eastAsia="仿宋" w:hint="eastAsia"/>
          <w:sz w:val="32"/>
        </w:rPr>
        <w:t>，并提供开发票的准确信息：单位名称（发票抬头）+纳税人识别号或统一社会信用代码。</w:t>
      </w:r>
      <w:r>
        <w:rPr>
          <w:rFonts w:ascii="微软雅黑" w:eastAsia="微软雅黑" w:hint="eastAsia"/>
          <w:b/>
          <w:color w:val="0033CC"/>
          <w:sz w:val="24"/>
        </w:rPr>
        <w:t>[</w:t>
      </w:r>
      <w:r>
        <w:rPr>
          <w:rFonts w:ascii="Microsoft JhengHei" w:eastAsia="Microsoft JhengHei" w:hint="eastAsia"/>
          <w:b/>
          <w:color w:val="0033CC"/>
          <w:sz w:val="24"/>
        </w:rPr>
        <w:t>返回目次</w:t>
      </w:r>
      <w:r>
        <w:rPr>
          <w:rFonts w:ascii="微软雅黑" w:eastAsia="微软雅黑" w:hint="eastAsia"/>
          <w:b/>
          <w:color w:val="0033CC"/>
          <w:sz w:val="24"/>
        </w:rPr>
        <w:t>]</w:t>
      </w: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ind w:left="0"/>
        <w:rPr>
          <w:rFonts w:ascii="微软雅黑"/>
          <w:b/>
          <w:sz w:val="20"/>
        </w:rPr>
      </w:pPr>
    </w:p>
    <w:p>
      <w:pPr>
        <w:pStyle w:val="BodyText"/>
        <w:spacing w:before="7"/>
        <w:ind w:left="0"/>
        <w:rPr>
          <w:rFonts w:ascii="微软雅黑"/>
          <w:b/>
        </w:rPr>
      </w:pPr>
    </w:p>
    <w:p>
      <w:pPr>
        <w:spacing w:before="64"/>
        <w:ind w:left="637" w:right="0" w:firstLine="0"/>
        <w:jc w:val="left"/>
        <w:rPr>
          <w:rFonts w:ascii="Calibri"/>
          <w:sz w:val="18"/>
        </w:rPr>
      </w:pPr>
      <w:r>
        <w:rPr>
          <w:rFonts w:ascii="Calibri"/>
          <w:sz w:val="18"/>
        </w:rPr>
        <w:t>51</w:t>
      </w:r>
    </w:p>
    <w:sectPr>
      <w:headerReference w:type="default" r:id="rId44"/>
      <w:footerReference w:type="default" r:id="rId45"/>
      <w:pgSz w:w="11910" w:h="16850"/>
      <w:pgMar w:header="0" w:footer="0" w:top="1060" w:bottom="280" w:left="6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隶书">
    <w:altName w:val="隶书"/>
    <w:charset w:val="86"/>
    <w:family w:val="modern"/>
    <w:pitch w:val="fixed"/>
  </w:font>
  <w:font w:name="华文宋体">
    <w:altName w:val="华文宋体"/>
    <w:charset w:val="86"/>
    <w:family w:val="auto"/>
    <w:pitch w:val="variable"/>
  </w:font>
  <w:font w:name="宋体">
    <w:altName w:val="宋体"/>
    <w:charset w:val="86"/>
    <w:family w:val="auto"/>
    <w:pitch w:val="variable"/>
  </w:font>
  <w:font w:name="Microsoft JhengHei">
    <w:altName w:val="Microsoft JhengHei"/>
    <w:charset w:val="0"/>
    <w:family w:val="swiss"/>
    <w:pitch w:val="variable"/>
  </w:font>
  <w:font w:name="微软雅黑">
    <w:altName w:val="微软雅黑"/>
    <w:charset w:val="86"/>
    <w:family w:val="swiss"/>
    <w:pitch w:val="variable"/>
  </w:font>
  <w:font w:name="Arial">
    <w:altName w:val="Arial"/>
    <w:charset w:val="0"/>
    <w:family w:val="swiss"/>
    <w:pitch w:val="variable"/>
  </w:font>
  <w:font w:name="华文楷体">
    <w:altName w:val="华文楷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443635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970001pt;margin-top:789.769958pt;width:10.6pt;height:11pt;mso-position-horizontal-relative:page;mso-position-vertical-relative:page;z-index:-25443430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0.6pt;height:11pt;mso-position-horizontal-relative:page;mso-position-vertical-relative:page;z-index:-25443225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0.6pt;height:11pt;mso-position-horizontal-relative:page;mso-position-vertical-relative:page;z-index:-25443123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42918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42816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35</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42611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36</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435328" from="62.424pt,54.959976pt" to="540.214pt,54.959976pt" stroked="true" strokeweight=".72pt" strokecolor="#000000">
          <v:stroke dashstyle="solid"/>
          <w10:wrap type="non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406681pt;margin-top:66.659050pt;width:41.15pt;height:16.3pt;mso-position-horizontal-relative:page;mso-position-vertical-relative:page;z-index:-254425088" type="#_x0000_t202" filled="false" stroked="false">
          <v:textbox inset="0,0,0,0">
            <w:txbxContent>
              <w:p>
                <w:pPr>
                  <w:spacing w:line="326" w:lineRule="exact" w:before="0"/>
                  <w:ind w:left="20" w:right="0" w:firstLine="0"/>
                  <w:jc w:val="left"/>
                  <w:rPr>
                    <w:rFonts w:ascii="Arial" w:eastAsia="Arial"/>
                    <w:sz w:val="25"/>
                  </w:rPr>
                </w:pPr>
                <w:r>
                  <w:rPr>
                    <w:color w:val="030303"/>
                    <w:spacing w:val="-26"/>
                    <w:w w:val="105"/>
                    <w:sz w:val="27"/>
                  </w:rPr>
                  <w:t>附件 </w:t>
                </w:r>
                <w:r>
                  <w:rPr>
                    <w:rFonts w:ascii="Arial" w:eastAsia="Arial"/>
                    <w:color w:val="030303"/>
                    <w:w w:val="105"/>
                    <w:sz w:val="25"/>
                  </w:rPr>
                  <w:t>1</w:t>
                </w:r>
              </w:p>
            </w:txbxContent>
          </v:textbox>
          <w10:wrap type="none"/>
        </v:shape>
      </w:pict>
    </w:r>
    <w:r>
      <w:rPr/>
      <w:pict>
        <v:shape style="position:absolute;margin-left:51.35746pt;margin-top:96.644974pt;width:477.15pt;height:20.9pt;mso-position-horizontal-relative:page;mso-position-vertical-relative:page;z-index:-254424064" type="#_x0000_t202" filled="false" stroked="false">
          <v:textbox inset="0,0,0,0">
            <w:txbxContent>
              <w:p>
                <w:pPr>
                  <w:spacing w:line="417" w:lineRule="exact" w:before="0"/>
                  <w:ind w:left="20" w:right="0" w:firstLine="0"/>
                  <w:jc w:val="left"/>
                  <w:rPr>
                    <w:sz w:val="35"/>
                  </w:rPr>
                </w:pPr>
                <w:r>
                  <w:rPr>
                    <w:rFonts w:ascii="Times New Roman" w:eastAsia="Times New Roman"/>
                    <w:color w:val="030303"/>
                    <w:w w:val="105"/>
                    <w:sz w:val="34"/>
                  </w:rPr>
                  <w:t>2019 </w:t>
                </w:r>
                <w:r>
                  <w:rPr>
                    <w:color w:val="030303"/>
                    <w:spacing w:val="-24"/>
                    <w:w w:val="105"/>
                    <w:sz w:val="35"/>
                  </w:rPr>
                  <w:t>年中</w:t>
                </w:r>
                <w:r>
                  <w:rPr>
                    <w:color w:val="1F1F1F"/>
                    <w:spacing w:val="-7"/>
                    <w:w w:val="105"/>
                    <w:sz w:val="35"/>
                  </w:rPr>
                  <w:t>国</w:t>
                </w:r>
                <w:r>
                  <w:rPr>
                    <w:color w:val="030303"/>
                    <w:spacing w:val="-18"/>
                    <w:w w:val="105"/>
                    <w:sz w:val="35"/>
                  </w:rPr>
                  <w:t>药</w:t>
                </w:r>
                <w:r>
                  <w:rPr>
                    <w:color w:val="1F1F1F"/>
                    <w:spacing w:val="-14"/>
                    <w:w w:val="105"/>
                    <w:sz w:val="35"/>
                  </w:rPr>
                  <w:t>学</w:t>
                </w:r>
                <w:r>
                  <w:rPr>
                    <w:color w:val="030303"/>
                    <w:spacing w:val="-19"/>
                    <w:w w:val="105"/>
                    <w:sz w:val="35"/>
                  </w:rPr>
                  <w:t>会药</w:t>
                </w:r>
                <w:r>
                  <w:rPr>
                    <w:color w:val="1F1F1F"/>
                    <w:spacing w:val="-15"/>
                    <w:w w:val="105"/>
                    <w:sz w:val="35"/>
                  </w:rPr>
                  <w:t>学</w:t>
                </w:r>
                <w:r>
                  <w:rPr>
                    <w:color w:val="030303"/>
                    <w:spacing w:val="-18"/>
                    <w:w w:val="105"/>
                    <w:sz w:val="35"/>
                  </w:rPr>
                  <w:t>服务专业委员会</w:t>
                </w:r>
                <w:r>
                  <w:rPr>
                    <w:color w:val="1F1F1F"/>
                    <w:spacing w:val="-29"/>
                    <w:w w:val="105"/>
                    <w:sz w:val="35"/>
                  </w:rPr>
                  <w:t>学</w:t>
                </w:r>
                <w:r>
                  <w:rPr>
                    <w:color w:val="030303"/>
                    <w:w w:val="105"/>
                    <w:sz w:val="35"/>
                  </w:rPr>
                  <w:t>术年会日程</w:t>
                </w:r>
                <w:r>
                  <w:rPr>
                    <w:color w:val="030303"/>
                    <w:spacing w:val="-160"/>
                    <w:w w:val="105"/>
                    <w:sz w:val="35"/>
                  </w:rPr>
                  <w:t>（</w:t>
                </w:r>
                <w:r>
                  <w:rPr>
                    <w:color w:val="030303"/>
                    <w:spacing w:val="38"/>
                    <w:w w:val="105"/>
                    <w:sz w:val="35"/>
                  </w:rPr>
                  <w:t>续</w:t>
                </w:r>
                <w:r>
                  <w:rPr>
                    <w:color w:val="030303"/>
                    <w:w w:val="105"/>
                    <w:sz w:val="35"/>
                  </w:rPr>
                  <w: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51815pt;margin-top:76.589661pt;width:41.1pt;height:16.55pt;mso-position-horizontal-relative:page;mso-position-vertical-relative:page;z-index:-254423040" type="#_x0000_t202" filled="false" stroked="false">
          <v:textbox inset="0,0,0,0">
            <w:txbxContent>
              <w:p>
                <w:pPr>
                  <w:spacing w:line="331" w:lineRule="exact" w:before="0"/>
                  <w:ind w:left="20" w:right="0" w:firstLine="0"/>
                  <w:jc w:val="left"/>
                  <w:rPr>
                    <w:rFonts w:ascii="Arial" w:eastAsia="Arial"/>
                    <w:sz w:val="26"/>
                  </w:rPr>
                </w:pPr>
                <w:r>
                  <w:rPr>
                    <w:color w:val="030303"/>
                    <w:spacing w:val="-15"/>
                    <w:sz w:val="27"/>
                  </w:rPr>
                  <w:t>附件 </w:t>
                </w:r>
                <w:r>
                  <w:rPr>
                    <w:rFonts w:ascii="Arial" w:eastAsia="Arial"/>
                    <w:color w:val="030303"/>
                    <w:sz w:val="26"/>
                  </w:rPr>
                  <w:t>1</w:t>
                </w:r>
              </w:p>
            </w:txbxContent>
          </v:textbox>
          <w10:wrap type="none"/>
        </v:shape>
      </w:pict>
    </w:r>
    <w:r>
      <w:rPr/>
      <w:pict>
        <v:shape style="position:absolute;margin-left:51.346931pt;margin-top:104.854019pt;width:477.5pt;height:21.45pt;mso-position-horizontal-relative:page;mso-position-vertical-relative:page;z-index:-254422016" type="#_x0000_t202" filled="false" stroked="false">
          <v:textbox inset="0,0,0,0">
            <w:txbxContent>
              <w:p>
                <w:pPr>
                  <w:spacing w:line="428" w:lineRule="exact" w:before="0"/>
                  <w:ind w:left="20" w:right="0" w:firstLine="0"/>
                  <w:jc w:val="left"/>
                  <w:rPr>
                    <w:sz w:val="35"/>
                  </w:rPr>
                </w:pPr>
                <w:r>
                  <w:rPr>
                    <w:rFonts w:ascii="Times New Roman" w:eastAsia="Times New Roman"/>
                    <w:color w:val="030303"/>
                    <w:w w:val="105"/>
                    <w:sz w:val="35"/>
                  </w:rPr>
                  <w:t>2019 </w:t>
                </w:r>
                <w:r>
                  <w:rPr>
                    <w:color w:val="030303"/>
                    <w:spacing w:val="-28"/>
                    <w:w w:val="105"/>
                    <w:sz w:val="35"/>
                  </w:rPr>
                  <w:t>年中</w:t>
                </w:r>
                <w:r>
                  <w:rPr>
                    <w:color w:val="1F1F1F"/>
                    <w:spacing w:val="-16"/>
                    <w:w w:val="105"/>
                    <w:sz w:val="35"/>
                  </w:rPr>
                  <w:t>国药学会</w:t>
                </w:r>
                <w:r>
                  <w:rPr>
                    <w:color w:val="030303"/>
                    <w:spacing w:val="-28"/>
                    <w:w w:val="105"/>
                    <w:sz w:val="35"/>
                  </w:rPr>
                  <w:t>药</w:t>
                </w:r>
                <w:r>
                  <w:rPr>
                    <w:color w:val="1F1F1F"/>
                    <w:spacing w:val="-26"/>
                    <w:w w:val="105"/>
                    <w:sz w:val="35"/>
                  </w:rPr>
                  <w:t>学</w:t>
                </w:r>
                <w:r>
                  <w:rPr>
                    <w:color w:val="030303"/>
                    <w:spacing w:val="-27"/>
                    <w:w w:val="105"/>
                    <w:sz w:val="35"/>
                  </w:rPr>
                  <w:t>服务专业委员会</w:t>
                </w:r>
                <w:r>
                  <w:rPr>
                    <w:color w:val="1F1F1F"/>
                    <w:spacing w:val="-18"/>
                    <w:w w:val="105"/>
                    <w:sz w:val="35"/>
                  </w:rPr>
                  <w:t>学</w:t>
                </w:r>
                <w:r>
                  <w:rPr>
                    <w:color w:val="030303"/>
                    <w:w w:val="105"/>
                    <w:sz w:val="35"/>
                  </w:rPr>
                  <w:t>术年会日程</w:t>
                </w:r>
                <w:r>
                  <w:rPr>
                    <w:color w:val="030303"/>
                    <w:spacing w:val="-96"/>
                    <w:w w:val="105"/>
                    <w:sz w:val="35"/>
                  </w:rPr>
                  <w:t>（</w:t>
                </w:r>
                <w:r>
                  <w:rPr>
                    <w:color w:val="030303"/>
                    <w:spacing w:val="31"/>
                    <w:w w:val="105"/>
                    <w:sz w:val="35"/>
                  </w:rPr>
                  <w:t>续</w:t>
                </w:r>
                <w:r>
                  <w:rPr>
                    <w:color w:val="030303"/>
                    <w:w w:val="105"/>
                    <w:sz w:val="35"/>
                  </w:rPr>
                  <w: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433280" from="62.424pt,54.959976pt" to="540.214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430208" from="62.424pt,54.959976pt" to="540.214pt,54.959976pt" stroked="true" strokeweight=".72pt" strokecolor="#000000">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427136" from="62.424pt,54.959976pt" to="540.214pt,54.959976pt" stroked="true" strokeweight=".72pt" strokecolor="#000000">
          <v:stroke dashstyle="solid"/>
          <w10:wrap type="non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477"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2458" w:hanging="360"/>
      </w:pPr>
      <w:rPr>
        <w:rFonts w:hint="default"/>
        <w:lang w:val="zh-cn" w:eastAsia="zh-cn" w:bidi="zh-cn"/>
      </w:rPr>
    </w:lvl>
    <w:lvl w:ilvl="2">
      <w:start w:val="0"/>
      <w:numFmt w:val="bullet"/>
      <w:lvlText w:val="•"/>
      <w:lvlJc w:val="left"/>
      <w:pPr>
        <w:ind w:left="3437" w:hanging="360"/>
      </w:pPr>
      <w:rPr>
        <w:rFonts w:hint="default"/>
        <w:lang w:val="zh-cn" w:eastAsia="zh-cn" w:bidi="zh-cn"/>
      </w:rPr>
    </w:lvl>
    <w:lvl w:ilvl="3">
      <w:start w:val="0"/>
      <w:numFmt w:val="bullet"/>
      <w:lvlText w:val="•"/>
      <w:lvlJc w:val="left"/>
      <w:pPr>
        <w:ind w:left="4415" w:hanging="360"/>
      </w:pPr>
      <w:rPr>
        <w:rFonts w:hint="default"/>
        <w:lang w:val="zh-cn" w:eastAsia="zh-cn" w:bidi="zh-cn"/>
      </w:rPr>
    </w:lvl>
    <w:lvl w:ilvl="4">
      <w:start w:val="0"/>
      <w:numFmt w:val="bullet"/>
      <w:lvlText w:val="•"/>
      <w:lvlJc w:val="left"/>
      <w:pPr>
        <w:ind w:left="5394" w:hanging="360"/>
      </w:pPr>
      <w:rPr>
        <w:rFonts w:hint="default"/>
        <w:lang w:val="zh-cn" w:eastAsia="zh-cn" w:bidi="zh-cn"/>
      </w:rPr>
    </w:lvl>
    <w:lvl w:ilvl="5">
      <w:start w:val="0"/>
      <w:numFmt w:val="bullet"/>
      <w:lvlText w:val="•"/>
      <w:lvlJc w:val="left"/>
      <w:pPr>
        <w:ind w:left="6373" w:hanging="360"/>
      </w:pPr>
      <w:rPr>
        <w:rFonts w:hint="default"/>
        <w:lang w:val="zh-cn" w:eastAsia="zh-cn" w:bidi="zh-cn"/>
      </w:rPr>
    </w:lvl>
    <w:lvl w:ilvl="6">
      <w:start w:val="0"/>
      <w:numFmt w:val="bullet"/>
      <w:lvlText w:val="•"/>
      <w:lvlJc w:val="left"/>
      <w:pPr>
        <w:ind w:left="7351" w:hanging="360"/>
      </w:pPr>
      <w:rPr>
        <w:rFonts w:hint="default"/>
        <w:lang w:val="zh-cn" w:eastAsia="zh-cn" w:bidi="zh-cn"/>
      </w:rPr>
    </w:lvl>
    <w:lvl w:ilvl="7">
      <w:start w:val="0"/>
      <w:numFmt w:val="bullet"/>
      <w:lvlText w:val="•"/>
      <w:lvlJc w:val="left"/>
      <w:pPr>
        <w:ind w:left="8330" w:hanging="360"/>
      </w:pPr>
      <w:rPr>
        <w:rFonts w:hint="default"/>
        <w:lang w:val="zh-cn" w:eastAsia="zh-cn" w:bidi="zh-cn"/>
      </w:rPr>
    </w:lvl>
    <w:lvl w:ilvl="8">
      <w:start w:val="0"/>
      <w:numFmt w:val="bullet"/>
      <w:lvlText w:val="•"/>
      <w:lvlJc w:val="left"/>
      <w:pPr>
        <w:ind w:left="9309" w:hanging="360"/>
      </w:pPr>
      <w:rPr>
        <w:rFonts w:hint="default"/>
        <w:lang w:val="zh-cn" w:eastAsia="zh-cn" w:bidi="zh-cn"/>
      </w:rPr>
    </w:lvl>
  </w:abstractNum>
  <w:abstractNum w:abstractNumId="9">
    <w:multiLevelType w:val="hybridMultilevel"/>
    <w:lvl w:ilvl="0">
      <w:start w:val="1"/>
      <w:numFmt w:val="decimal"/>
      <w:lvlText w:val="（%1）"/>
      <w:lvlJc w:val="left"/>
      <w:pPr>
        <w:ind w:left="637" w:hanging="601"/>
        <w:jc w:val="left"/>
      </w:pPr>
      <w:rPr>
        <w:rFonts w:hint="default" w:ascii="宋体" w:hAnsi="宋体" w:eastAsia="宋体" w:cs="宋体"/>
        <w:spacing w:val="-34"/>
        <w:w w:val="100"/>
        <w:sz w:val="22"/>
        <w:szCs w:val="22"/>
        <w:lang w:val="zh-cn" w:eastAsia="zh-cn" w:bidi="zh-cn"/>
      </w:rPr>
    </w:lvl>
    <w:lvl w:ilvl="1">
      <w:start w:val="1"/>
      <w:numFmt w:val="decimal"/>
      <w:lvlText w:val="%2."/>
      <w:lvlJc w:val="left"/>
      <w:pPr>
        <w:ind w:left="929" w:hanging="464"/>
        <w:jc w:val="right"/>
      </w:pPr>
      <w:rPr>
        <w:rFonts w:hint="default"/>
        <w:spacing w:val="-1"/>
        <w:w w:val="105"/>
        <w:lang w:val="zh-cn" w:eastAsia="zh-cn" w:bidi="zh-cn"/>
      </w:rPr>
    </w:lvl>
    <w:lvl w:ilvl="2">
      <w:start w:val="0"/>
      <w:numFmt w:val="bullet"/>
      <w:lvlText w:val="•"/>
      <w:lvlJc w:val="left"/>
      <w:pPr>
        <w:ind w:left="2069" w:hanging="464"/>
      </w:pPr>
      <w:rPr>
        <w:rFonts w:hint="default"/>
        <w:lang w:val="zh-cn" w:eastAsia="zh-cn" w:bidi="zh-cn"/>
      </w:rPr>
    </w:lvl>
    <w:lvl w:ilvl="3">
      <w:start w:val="0"/>
      <w:numFmt w:val="bullet"/>
      <w:lvlText w:val="•"/>
      <w:lvlJc w:val="left"/>
      <w:pPr>
        <w:ind w:left="3219" w:hanging="464"/>
      </w:pPr>
      <w:rPr>
        <w:rFonts w:hint="default"/>
        <w:lang w:val="zh-cn" w:eastAsia="zh-cn" w:bidi="zh-cn"/>
      </w:rPr>
    </w:lvl>
    <w:lvl w:ilvl="4">
      <w:start w:val="0"/>
      <w:numFmt w:val="bullet"/>
      <w:lvlText w:val="•"/>
      <w:lvlJc w:val="left"/>
      <w:pPr>
        <w:ind w:left="4368" w:hanging="464"/>
      </w:pPr>
      <w:rPr>
        <w:rFonts w:hint="default"/>
        <w:lang w:val="zh-cn" w:eastAsia="zh-cn" w:bidi="zh-cn"/>
      </w:rPr>
    </w:lvl>
    <w:lvl w:ilvl="5">
      <w:start w:val="0"/>
      <w:numFmt w:val="bullet"/>
      <w:lvlText w:val="•"/>
      <w:lvlJc w:val="left"/>
      <w:pPr>
        <w:ind w:left="5518" w:hanging="464"/>
      </w:pPr>
      <w:rPr>
        <w:rFonts w:hint="default"/>
        <w:lang w:val="zh-cn" w:eastAsia="zh-cn" w:bidi="zh-cn"/>
      </w:rPr>
    </w:lvl>
    <w:lvl w:ilvl="6">
      <w:start w:val="0"/>
      <w:numFmt w:val="bullet"/>
      <w:lvlText w:val="•"/>
      <w:lvlJc w:val="left"/>
      <w:pPr>
        <w:ind w:left="6668" w:hanging="464"/>
      </w:pPr>
      <w:rPr>
        <w:rFonts w:hint="default"/>
        <w:lang w:val="zh-cn" w:eastAsia="zh-cn" w:bidi="zh-cn"/>
      </w:rPr>
    </w:lvl>
    <w:lvl w:ilvl="7">
      <w:start w:val="0"/>
      <w:numFmt w:val="bullet"/>
      <w:lvlText w:val="•"/>
      <w:lvlJc w:val="left"/>
      <w:pPr>
        <w:ind w:left="7817" w:hanging="464"/>
      </w:pPr>
      <w:rPr>
        <w:rFonts w:hint="default"/>
        <w:lang w:val="zh-cn" w:eastAsia="zh-cn" w:bidi="zh-cn"/>
      </w:rPr>
    </w:lvl>
    <w:lvl w:ilvl="8">
      <w:start w:val="0"/>
      <w:numFmt w:val="bullet"/>
      <w:lvlText w:val="•"/>
      <w:lvlJc w:val="left"/>
      <w:pPr>
        <w:ind w:left="8967" w:hanging="464"/>
      </w:pPr>
      <w:rPr>
        <w:rFonts w:hint="default"/>
        <w:lang w:val="zh-cn" w:eastAsia="zh-cn" w:bidi="zh-cn"/>
      </w:rPr>
    </w:lvl>
  </w:abstractNum>
  <w:abstractNum w:abstractNumId="8">
    <w:multiLevelType w:val="hybridMultilevel"/>
    <w:lvl w:ilvl="0">
      <w:start w:val="1"/>
      <w:numFmt w:val="decimal"/>
      <w:lvlText w:val="（%1）"/>
      <w:lvlJc w:val="left"/>
      <w:pPr>
        <w:ind w:left="637" w:hanging="601"/>
        <w:jc w:val="left"/>
      </w:pPr>
      <w:rPr>
        <w:rFonts w:hint="default" w:ascii="宋体" w:hAnsi="宋体" w:eastAsia="宋体" w:cs="宋体"/>
        <w:spacing w:val="-22"/>
        <w:w w:val="100"/>
        <w:sz w:val="22"/>
        <w:szCs w:val="22"/>
        <w:lang w:val="zh-cn" w:eastAsia="zh-cn" w:bidi="zh-cn"/>
      </w:rPr>
    </w:lvl>
    <w:lvl w:ilvl="1">
      <w:start w:val="0"/>
      <w:numFmt w:val="bullet"/>
      <w:lvlText w:val="•"/>
      <w:lvlJc w:val="left"/>
      <w:pPr>
        <w:ind w:left="1702" w:hanging="601"/>
      </w:pPr>
      <w:rPr>
        <w:rFonts w:hint="default"/>
        <w:lang w:val="zh-cn" w:eastAsia="zh-cn" w:bidi="zh-cn"/>
      </w:rPr>
    </w:lvl>
    <w:lvl w:ilvl="2">
      <w:start w:val="0"/>
      <w:numFmt w:val="bullet"/>
      <w:lvlText w:val="•"/>
      <w:lvlJc w:val="left"/>
      <w:pPr>
        <w:ind w:left="2765" w:hanging="601"/>
      </w:pPr>
      <w:rPr>
        <w:rFonts w:hint="default"/>
        <w:lang w:val="zh-cn" w:eastAsia="zh-cn" w:bidi="zh-cn"/>
      </w:rPr>
    </w:lvl>
    <w:lvl w:ilvl="3">
      <w:start w:val="0"/>
      <w:numFmt w:val="bullet"/>
      <w:lvlText w:val="•"/>
      <w:lvlJc w:val="left"/>
      <w:pPr>
        <w:ind w:left="3827" w:hanging="601"/>
      </w:pPr>
      <w:rPr>
        <w:rFonts w:hint="default"/>
        <w:lang w:val="zh-cn" w:eastAsia="zh-cn" w:bidi="zh-cn"/>
      </w:rPr>
    </w:lvl>
    <w:lvl w:ilvl="4">
      <w:start w:val="0"/>
      <w:numFmt w:val="bullet"/>
      <w:lvlText w:val="•"/>
      <w:lvlJc w:val="left"/>
      <w:pPr>
        <w:ind w:left="4890" w:hanging="601"/>
      </w:pPr>
      <w:rPr>
        <w:rFonts w:hint="default"/>
        <w:lang w:val="zh-cn" w:eastAsia="zh-cn" w:bidi="zh-cn"/>
      </w:rPr>
    </w:lvl>
    <w:lvl w:ilvl="5">
      <w:start w:val="0"/>
      <w:numFmt w:val="bullet"/>
      <w:lvlText w:val="•"/>
      <w:lvlJc w:val="left"/>
      <w:pPr>
        <w:ind w:left="5953" w:hanging="601"/>
      </w:pPr>
      <w:rPr>
        <w:rFonts w:hint="default"/>
        <w:lang w:val="zh-cn" w:eastAsia="zh-cn" w:bidi="zh-cn"/>
      </w:rPr>
    </w:lvl>
    <w:lvl w:ilvl="6">
      <w:start w:val="0"/>
      <w:numFmt w:val="bullet"/>
      <w:lvlText w:val="•"/>
      <w:lvlJc w:val="left"/>
      <w:pPr>
        <w:ind w:left="7015" w:hanging="601"/>
      </w:pPr>
      <w:rPr>
        <w:rFonts w:hint="default"/>
        <w:lang w:val="zh-cn" w:eastAsia="zh-cn" w:bidi="zh-cn"/>
      </w:rPr>
    </w:lvl>
    <w:lvl w:ilvl="7">
      <w:start w:val="0"/>
      <w:numFmt w:val="bullet"/>
      <w:lvlText w:val="•"/>
      <w:lvlJc w:val="left"/>
      <w:pPr>
        <w:ind w:left="8078" w:hanging="601"/>
      </w:pPr>
      <w:rPr>
        <w:rFonts w:hint="default"/>
        <w:lang w:val="zh-cn" w:eastAsia="zh-cn" w:bidi="zh-cn"/>
      </w:rPr>
    </w:lvl>
    <w:lvl w:ilvl="8">
      <w:start w:val="0"/>
      <w:numFmt w:val="bullet"/>
      <w:lvlText w:val="•"/>
      <w:lvlJc w:val="left"/>
      <w:pPr>
        <w:ind w:left="9141" w:hanging="601"/>
      </w:pPr>
      <w:rPr>
        <w:rFonts w:hint="default"/>
        <w:lang w:val="zh-cn" w:eastAsia="zh-cn" w:bidi="zh-cn"/>
      </w:rPr>
    </w:lvl>
  </w:abstractNum>
  <w:abstractNum w:abstractNumId="7">
    <w:multiLevelType w:val="hybridMultilevel"/>
    <w:lvl w:ilvl="0">
      <w:start w:val="1"/>
      <w:numFmt w:val="decimal"/>
      <w:lvlText w:val="%1."/>
      <w:lvlJc w:val="left"/>
      <w:pPr>
        <w:ind w:left="637" w:hanging="360"/>
        <w:jc w:val="left"/>
      </w:pPr>
      <w:rPr>
        <w:rFonts w:hint="default" w:ascii="宋体" w:hAnsi="宋体" w:eastAsia="宋体" w:cs="宋体"/>
        <w:w w:val="100"/>
        <w:sz w:val="24"/>
        <w:szCs w:val="24"/>
        <w:lang w:val="zh-cn" w:eastAsia="zh-cn" w:bidi="zh-cn"/>
      </w:rPr>
    </w:lvl>
    <w:lvl w:ilvl="1">
      <w:start w:val="0"/>
      <w:numFmt w:val="bullet"/>
      <w:lvlText w:val="•"/>
      <w:lvlJc w:val="left"/>
      <w:pPr>
        <w:ind w:left="1702" w:hanging="360"/>
      </w:pPr>
      <w:rPr>
        <w:rFonts w:hint="default"/>
        <w:lang w:val="zh-cn" w:eastAsia="zh-cn" w:bidi="zh-cn"/>
      </w:rPr>
    </w:lvl>
    <w:lvl w:ilvl="2">
      <w:start w:val="0"/>
      <w:numFmt w:val="bullet"/>
      <w:lvlText w:val="•"/>
      <w:lvlJc w:val="left"/>
      <w:pPr>
        <w:ind w:left="2765" w:hanging="360"/>
      </w:pPr>
      <w:rPr>
        <w:rFonts w:hint="default"/>
        <w:lang w:val="zh-cn" w:eastAsia="zh-cn" w:bidi="zh-cn"/>
      </w:rPr>
    </w:lvl>
    <w:lvl w:ilvl="3">
      <w:start w:val="0"/>
      <w:numFmt w:val="bullet"/>
      <w:lvlText w:val="•"/>
      <w:lvlJc w:val="left"/>
      <w:pPr>
        <w:ind w:left="3827" w:hanging="360"/>
      </w:pPr>
      <w:rPr>
        <w:rFonts w:hint="default"/>
        <w:lang w:val="zh-cn" w:eastAsia="zh-cn" w:bidi="zh-cn"/>
      </w:rPr>
    </w:lvl>
    <w:lvl w:ilvl="4">
      <w:start w:val="0"/>
      <w:numFmt w:val="bullet"/>
      <w:lvlText w:val="•"/>
      <w:lvlJc w:val="left"/>
      <w:pPr>
        <w:ind w:left="4890" w:hanging="360"/>
      </w:pPr>
      <w:rPr>
        <w:rFonts w:hint="default"/>
        <w:lang w:val="zh-cn" w:eastAsia="zh-cn" w:bidi="zh-cn"/>
      </w:rPr>
    </w:lvl>
    <w:lvl w:ilvl="5">
      <w:start w:val="0"/>
      <w:numFmt w:val="bullet"/>
      <w:lvlText w:val="•"/>
      <w:lvlJc w:val="left"/>
      <w:pPr>
        <w:ind w:left="5953" w:hanging="360"/>
      </w:pPr>
      <w:rPr>
        <w:rFonts w:hint="default"/>
        <w:lang w:val="zh-cn" w:eastAsia="zh-cn" w:bidi="zh-cn"/>
      </w:rPr>
    </w:lvl>
    <w:lvl w:ilvl="6">
      <w:start w:val="0"/>
      <w:numFmt w:val="bullet"/>
      <w:lvlText w:val="•"/>
      <w:lvlJc w:val="left"/>
      <w:pPr>
        <w:ind w:left="7015" w:hanging="360"/>
      </w:pPr>
      <w:rPr>
        <w:rFonts w:hint="default"/>
        <w:lang w:val="zh-cn" w:eastAsia="zh-cn" w:bidi="zh-cn"/>
      </w:rPr>
    </w:lvl>
    <w:lvl w:ilvl="7">
      <w:start w:val="0"/>
      <w:numFmt w:val="bullet"/>
      <w:lvlText w:val="•"/>
      <w:lvlJc w:val="left"/>
      <w:pPr>
        <w:ind w:left="8078" w:hanging="360"/>
      </w:pPr>
      <w:rPr>
        <w:rFonts w:hint="default"/>
        <w:lang w:val="zh-cn" w:eastAsia="zh-cn" w:bidi="zh-cn"/>
      </w:rPr>
    </w:lvl>
    <w:lvl w:ilvl="8">
      <w:start w:val="0"/>
      <w:numFmt w:val="bullet"/>
      <w:lvlText w:val="•"/>
      <w:lvlJc w:val="left"/>
      <w:pPr>
        <w:ind w:left="9141" w:hanging="360"/>
      </w:pPr>
      <w:rPr>
        <w:rFonts w:hint="default"/>
        <w:lang w:val="zh-cn" w:eastAsia="zh-cn" w:bidi="zh-cn"/>
      </w:rPr>
    </w:lvl>
  </w:abstractNum>
  <w:abstractNum w:abstractNumId="5">
    <w:multiLevelType w:val="hybridMultilevel"/>
    <w:lvl w:ilvl="0">
      <w:start w:val="5"/>
      <w:numFmt w:val="decimal"/>
      <w:lvlText w:val="%1-"/>
      <w:lvlJc w:val="left"/>
      <w:pPr>
        <w:ind w:left="891" w:hanging="255"/>
        <w:jc w:val="left"/>
      </w:pPr>
      <w:rPr>
        <w:rFonts w:hint="default" w:ascii="宋体" w:hAnsi="宋体" w:eastAsia="宋体" w:cs="宋体"/>
        <w:spacing w:val="7"/>
        <w:w w:val="100"/>
        <w:position w:val="2"/>
        <w:sz w:val="22"/>
        <w:szCs w:val="22"/>
        <w:lang w:val="zh-cn" w:eastAsia="zh-cn" w:bidi="zh-cn"/>
      </w:rPr>
    </w:lvl>
    <w:lvl w:ilvl="1">
      <w:start w:val="1"/>
      <w:numFmt w:val="decimal"/>
      <w:lvlText w:val="%2."/>
      <w:lvlJc w:val="left"/>
      <w:pPr>
        <w:ind w:left="637" w:hanging="241"/>
        <w:jc w:val="left"/>
      </w:pPr>
      <w:rPr>
        <w:rFonts w:hint="default" w:ascii="宋体" w:hAnsi="宋体" w:eastAsia="宋体" w:cs="宋体"/>
        <w:spacing w:val="-22"/>
        <w:w w:val="100"/>
        <w:sz w:val="22"/>
        <w:szCs w:val="22"/>
        <w:lang w:val="zh-cn" w:eastAsia="zh-cn" w:bidi="zh-cn"/>
      </w:rPr>
    </w:lvl>
    <w:lvl w:ilvl="2">
      <w:start w:val="0"/>
      <w:numFmt w:val="bullet"/>
      <w:lvlText w:val="•"/>
      <w:lvlJc w:val="left"/>
      <w:pPr>
        <w:ind w:left="2051" w:hanging="241"/>
      </w:pPr>
      <w:rPr>
        <w:rFonts w:hint="default"/>
        <w:lang w:val="zh-cn" w:eastAsia="zh-cn" w:bidi="zh-cn"/>
      </w:rPr>
    </w:lvl>
    <w:lvl w:ilvl="3">
      <w:start w:val="0"/>
      <w:numFmt w:val="bullet"/>
      <w:lvlText w:val="•"/>
      <w:lvlJc w:val="left"/>
      <w:pPr>
        <w:ind w:left="3203" w:hanging="241"/>
      </w:pPr>
      <w:rPr>
        <w:rFonts w:hint="default"/>
        <w:lang w:val="zh-cn" w:eastAsia="zh-cn" w:bidi="zh-cn"/>
      </w:rPr>
    </w:lvl>
    <w:lvl w:ilvl="4">
      <w:start w:val="0"/>
      <w:numFmt w:val="bullet"/>
      <w:lvlText w:val="•"/>
      <w:lvlJc w:val="left"/>
      <w:pPr>
        <w:ind w:left="4355" w:hanging="241"/>
      </w:pPr>
      <w:rPr>
        <w:rFonts w:hint="default"/>
        <w:lang w:val="zh-cn" w:eastAsia="zh-cn" w:bidi="zh-cn"/>
      </w:rPr>
    </w:lvl>
    <w:lvl w:ilvl="5">
      <w:start w:val="0"/>
      <w:numFmt w:val="bullet"/>
      <w:lvlText w:val="•"/>
      <w:lvlJc w:val="left"/>
      <w:pPr>
        <w:ind w:left="5507" w:hanging="241"/>
      </w:pPr>
      <w:rPr>
        <w:rFonts w:hint="default"/>
        <w:lang w:val="zh-cn" w:eastAsia="zh-cn" w:bidi="zh-cn"/>
      </w:rPr>
    </w:lvl>
    <w:lvl w:ilvl="6">
      <w:start w:val="0"/>
      <w:numFmt w:val="bullet"/>
      <w:lvlText w:val="•"/>
      <w:lvlJc w:val="left"/>
      <w:pPr>
        <w:ind w:left="6659" w:hanging="241"/>
      </w:pPr>
      <w:rPr>
        <w:rFonts w:hint="default"/>
        <w:lang w:val="zh-cn" w:eastAsia="zh-cn" w:bidi="zh-cn"/>
      </w:rPr>
    </w:lvl>
    <w:lvl w:ilvl="7">
      <w:start w:val="0"/>
      <w:numFmt w:val="bullet"/>
      <w:lvlText w:val="•"/>
      <w:lvlJc w:val="left"/>
      <w:pPr>
        <w:ind w:left="7810" w:hanging="241"/>
      </w:pPr>
      <w:rPr>
        <w:rFonts w:hint="default"/>
        <w:lang w:val="zh-cn" w:eastAsia="zh-cn" w:bidi="zh-cn"/>
      </w:rPr>
    </w:lvl>
    <w:lvl w:ilvl="8">
      <w:start w:val="0"/>
      <w:numFmt w:val="bullet"/>
      <w:lvlText w:val="•"/>
      <w:lvlJc w:val="left"/>
      <w:pPr>
        <w:ind w:left="8962" w:hanging="241"/>
      </w:pPr>
      <w:rPr>
        <w:rFonts w:hint="default"/>
        <w:lang w:val="zh-cn" w:eastAsia="zh-cn" w:bidi="zh-cn"/>
      </w:rPr>
    </w:lvl>
  </w:abstractNum>
  <w:abstractNum w:abstractNumId="4">
    <w:multiLevelType w:val="hybridMultilevel"/>
    <w:lvl w:ilvl="0">
      <w:start w:val="1"/>
      <w:numFmt w:val="decimal"/>
      <w:lvlText w:val="%1."/>
      <w:lvlJc w:val="left"/>
      <w:pPr>
        <w:ind w:left="1371" w:hanging="252"/>
        <w:jc w:val="left"/>
      </w:pPr>
      <w:rPr>
        <w:rFonts w:hint="default"/>
        <w:spacing w:val="4"/>
        <w:w w:val="100"/>
        <w:position w:val="2"/>
        <w:lang w:val="zh-cn" w:eastAsia="zh-cn" w:bidi="zh-cn"/>
      </w:rPr>
    </w:lvl>
    <w:lvl w:ilvl="1">
      <w:start w:val="0"/>
      <w:numFmt w:val="bullet"/>
      <w:lvlText w:val="•"/>
      <w:lvlJc w:val="left"/>
      <w:pPr>
        <w:ind w:left="2368" w:hanging="252"/>
      </w:pPr>
      <w:rPr>
        <w:rFonts w:hint="default"/>
        <w:lang w:val="zh-cn" w:eastAsia="zh-cn" w:bidi="zh-cn"/>
      </w:rPr>
    </w:lvl>
    <w:lvl w:ilvl="2">
      <w:start w:val="0"/>
      <w:numFmt w:val="bullet"/>
      <w:lvlText w:val="•"/>
      <w:lvlJc w:val="left"/>
      <w:pPr>
        <w:ind w:left="3357" w:hanging="252"/>
      </w:pPr>
      <w:rPr>
        <w:rFonts w:hint="default"/>
        <w:lang w:val="zh-cn" w:eastAsia="zh-cn" w:bidi="zh-cn"/>
      </w:rPr>
    </w:lvl>
    <w:lvl w:ilvl="3">
      <w:start w:val="0"/>
      <w:numFmt w:val="bullet"/>
      <w:lvlText w:val="•"/>
      <w:lvlJc w:val="left"/>
      <w:pPr>
        <w:ind w:left="4345" w:hanging="252"/>
      </w:pPr>
      <w:rPr>
        <w:rFonts w:hint="default"/>
        <w:lang w:val="zh-cn" w:eastAsia="zh-cn" w:bidi="zh-cn"/>
      </w:rPr>
    </w:lvl>
    <w:lvl w:ilvl="4">
      <w:start w:val="0"/>
      <w:numFmt w:val="bullet"/>
      <w:lvlText w:val="•"/>
      <w:lvlJc w:val="left"/>
      <w:pPr>
        <w:ind w:left="5334" w:hanging="252"/>
      </w:pPr>
      <w:rPr>
        <w:rFonts w:hint="default"/>
        <w:lang w:val="zh-cn" w:eastAsia="zh-cn" w:bidi="zh-cn"/>
      </w:rPr>
    </w:lvl>
    <w:lvl w:ilvl="5">
      <w:start w:val="0"/>
      <w:numFmt w:val="bullet"/>
      <w:lvlText w:val="•"/>
      <w:lvlJc w:val="left"/>
      <w:pPr>
        <w:ind w:left="6323" w:hanging="252"/>
      </w:pPr>
      <w:rPr>
        <w:rFonts w:hint="default"/>
        <w:lang w:val="zh-cn" w:eastAsia="zh-cn" w:bidi="zh-cn"/>
      </w:rPr>
    </w:lvl>
    <w:lvl w:ilvl="6">
      <w:start w:val="0"/>
      <w:numFmt w:val="bullet"/>
      <w:lvlText w:val="•"/>
      <w:lvlJc w:val="left"/>
      <w:pPr>
        <w:ind w:left="7311" w:hanging="252"/>
      </w:pPr>
      <w:rPr>
        <w:rFonts w:hint="default"/>
        <w:lang w:val="zh-cn" w:eastAsia="zh-cn" w:bidi="zh-cn"/>
      </w:rPr>
    </w:lvl>
    <w:lvl w:ilvl="7">
      <w:start w:val="0"/>
      <w:numFmt w:val="bullet"/>
      <w:lvlText w:val="•"/>
      <w:lvlJc w:val="left"/>
      <w:pPr>
        <w:ind w:left="8300" w:hanging="252"/>
      </w:pPr>
      <w:rPr>
        <w:rFonts w:hint="default"/>
        <w:lang w:val="zh-cn" w:eastAsia="zh-cn" w:bidi="zh-cn"/>
      </w:rPr>
    </w:lvl>
    <w:lvl w:ilvl="8">
      <w:start w:val="0"/>
      <w:numFmt w:val="bullet"/>
      <w:lvlText w:val="•"/>
      <w:lvlJc w:val="left"/>
      <w:pPr>
        <w:ind w:left="9289" w:hanging="252"/>
      </w:pPr>
      <w:rPr>
        <w:rFonts w:hint="default"/>
        <w:lang w:val="zh-cn" w:eastAsia="zh-cn" w:bidi="zh-cn"/>
      </w:rPr>
    </w:lvl>
  </w:abstractNum>
  <w:abstractNum w:abstractNumId="3">
    <w:multiLevelType w:val="hybridMultilevel"/>
    <w:lvl w:ilvl="0">
      <w:start w:val="1"/>
      <w:numFmt w:val="decimal"/>
      <w:lvlText w:val="%1."/>
      <w:lvlJc w:val="left"/>
      <w:pPr>
        <w:ind w:left="1363" w:hanging="244"/>
        <w:jc w:val="left"/>
      </w:pPr>
      <w:rPr>
        <w:rFonts w:hint="default" w:ascii="宋体" w:hAnsi="宋体" w:eastAsia="宋体" w:cs="宋体"/>
        <w:b/>
        <w:bCs/>
        <w:spacing w:val="-1"/>
        <w:w w:val="99"/>
        <w:sz w:val="22"/>
        <w:szCs w:val="22"/>
        <w:lang w:val="zh-cn" w:eastAsia="zh-cn" w:bidi="zh-cn"/>
      </w:rPr>
    </w:lvl>
    <w:lvl w:ilvl="1">
      <w:start w:val="0"/>
      <w:numFmt w:val="bullet"/>
      <w:lvlText w:val="•"/>
      <w:lvlJc w:val="left"/>
      <w:pPr>
        <w:ind w:left="2350" w:hanging="244"/>
      </w:pPr>
      <w:rPr>
        <w:rFonts w:hint="default"/>
        <w:lang w:val="zh-cn" w:eastAsia="zh-cn" w:bidi="zh-cn"/>
      </w:rPr>
    </w:lvl>
    <w:lvl w:ilvl="2">
      <w:start w:val="0"/>
      <w:numFmt w:val="bullet"/>
      <w:lvlText w:val="•"/>
      <w:lvlJc w:val="left"/>
      <w:pPr>
        <w:ind w:left="3341" w:hanging="244"/>
      </w:pPr>
      <w:rPr>
        <w:rFonts w:hint="default"/>
        <w:lang w:val="zh-cn" w:eastAsia="zh-cn" w:bidi="zh-cn"/>
      </w:rPr>
    </w:lvl>
    <w:lvl w:ilvl="3">
      <w:start w:val="0"/>
      <w:numFmt w:val="bullet"/>
      <w:lvlText w:val="•"/>
      <w:lvlJc w:val="left"/>
      <w:pPr>
        <w:ind w:left="4331" w:hanging="244"/>
      </w:pPr>
      <w:rPr>
        <w:rFonts w:hint="default"/>
        <w:lang w:val="zh-cn" w:eastAsia="zh-cn" w:bidi="zh-cn"/>
      </w:rPr>
    </w:lvl>
    <w:lvl w:ilvl="4">
      <w:start w:val="0"/>
      <w:numFmt w:val="bullet"/>
      <w:lvlText w:val="•"/>
      <w:lvlJc w:val="left"/>
      <w:pPr>
        <w:ind w:left="5322" w:hanging="244"/>
      </w:pPr>
      <w:rPr>
        <w:rFonts w:hint="default"/>
        <w:lang w:val="zh-cn" w:eastAsia="zh-cn" w:bidi="zh-cn"/>
      </w:rPr>
    </w:lvl>
    <w:lvl w:ilvl="5">
      <w:start w:val="0"/>
      <w:numFmt w:val="bullet"/>
      <w:lvlText w:val="•"/>
      <w:lvlJc w:val="left"/>
      <w:pPr>
        <w:ind w:left="6313" w:hanging="244"/>
      </w:pPr>
      <w:rPr>
        <w:rFonts w:hint="default"/>
        <w:lang w:val="zh-cn" w:eastAsia="zh-cn" w:bidi="zh-cn"/>
      </w:rPr>
    </w:lvl>
    <w:lvl w:ilvl="6">
      <w:start w:val="0"/>
      <w:numFmt w:val="bullet"/>
      <w:lvlText w:val="•"/>
      <w:lvlJc w:val="left"/>
      <w:pPr>
        <w:ind w:left="7303" w:hanging="244"/>
      </w:pPr>
      <w:rPr>
        <w:rFonts w:hint="default"/>
        <w:lang w:val="zh-cn" w:eastAsia="zh-cn" w:bidi="zh-cn"/>
      </w:rPr>
    </w:lvl>
    <w:lvl w:ilvl="7">
      <w:start w:val="0"/>
      <w:numFmt w:val="bullet"/>
      <w:lvlText w:val="•"/>
      <w:lvlJc w:val="left"/>
      <w:pPr>
        <w:ind w:left="8294" w:hanging="244"/>
      </w:pPr>
      <w:rPr>
        <w:rFonts w:hint="default"/>
        <w:lang w:val="zh-cn" w:eastAsia="zh-cn" w:bidi="zh-cn"/>
      </w:rPr>
    </w:lvl>
    <w:lvl w:ilvl="8">
      <w:start w:val="0"/>
      <w:numFmt w:val="bullet"/>
      <w:lvlText w:val="•"/>
      <w:lvlJc w:val="left"/>
      <w:pPr>
        <w:ind w:left="9285" w:hanging="244"/>
      </w:pPr>
      <w:rPr>
        <w:rFonts w:hint="default"/>
        <w:lang w:val="zh-cn" w:eastAsia="zh-cn" w:bidi="zh-cn"/>
      </w:rPr>
    </w:lvl>
  </w:abstractNum>
  <w:abstractNum w:abstractNumId="2">
    <w:multiLevelType w:val="hybridMultilevel"/>
    <w:lvl w:ilvl="0">
      <w:start w:val="2"/>
      <w:numFmt w:val="decimal"/>
      <w:lvlText w:val="%1."/>
      <w:lvlJc w:val="left"/>
      <w:pPr>
        <w:ind w:left="1363" w:hanging="244"/>
        <w:jc w:val="left"/>
      </w:pPr>
      <w:rPr>
        <w:rFonts w:hint="default" w:ascii="宋体" w:hAnsi="宋体" w:eastAsia="宋体" w:cs="宋体"/>
        <w:b/>
        <w:bCs/>
        <w:spacing w:val="-1"/>
        <w:w w:val="99"/>
        <w:sz w:val="22"/>
        <w:szCs w:val="22"/>
        <w:lang w:val="zh-cn" w:eastAsia="zh-cn" w:bidi="zh-cn"/>
      </w:rPr>
    </w:lvl>
    <w:lvl w:ilvl="1">
      <w:start w:val="0"/>
      <w:numFmt w:val="bullet"/>
      <w:lvlText w:val="•"/>
      <w:lvlJc w:val="left"/>
      <w:pPr>
        <w:ind w:left="2350" w:hanging="244"/>
      </w:pPr>
      <w:rPr>
        <w:rFonts w:hint="default"/>
        <w:lang w:val="zh-cn" w:eastAsia="zh-cn" w:bidi="zh-cn"/>
      </w:rPr>
    </w:lvl>
    <w:lvl w:ilvl="2">
      <w:start w:val="0"/>
      <w:numFmt w:val="bullet"/>
      <w:lvlText w:val="•"/>
      <w:lvlJc w:val="left"/>
      <w:pPr>
        <w:ind w:left="3341" w:hanging="244"/>
      </w:pPr>
      <w:rPr>
        <w:rFonts w:hint="default"/>
        <w:lang w:val="zh-cn" w:eastAsia="zh-cn" w:bidi="zh-cn"/>
      </w:rPr>
    </w:lvl>
    <w:lvl w:ilvl="3">
      <w:start w:val="0"/>
      <w:numFmt w:val="bullet"/>
      <w:lvlText w:val="•"/>
      <w:lvlJc w:val="left"/>
      <w:pPr>
        <w:ind w:left="4331" w:hanging="244"/>
      </w:pPr>
      <w:rPr>
        <w:rFonts w:hint="default"/>
        <w:lang w:val="zh-cn" w:eastAsia="zh-cn" w:bidi="zh-cn"/>
      </w:rPr>
    </w:lvl>
    <w:lvl w:ilvl="4">
      <w:start w:val="0"/>
      <w:numFmt w:val="bullet"/>
      <w:lvlText w:val="•"/>
      <w:lvlJc w:val="left"/>
      <w:pPr>
        <w:ind w:left="5322" w:hanging="244"/>
      </w:pPr>
      <w:rPr>
        <w:rFonts w:hint="default"/>
        <w:lang w:val="zh-cn" w:eastAsia="zh-cn" w:bidi="zh-cn"/>
      </w:rPr>
    </w:lvl>
    <w:lvl w:ilvl="5">
      <w:start w:val="0"/>
      <w:numFmt w:val="bullet"/>
      <w:lvlText w:val="•"/>
      <w:lvlJc w:val="left"/>
      <w:pPr>
        <w:ind w:left="6313" w:hanging="244"/>
      </w:pPr>
      <w:rPr>
        <w:rFonts w:hint="default"/>
        <w:lang w:val="zh-cn" w:eastAsia="zh-cn" w:bidi="zh-cn"/>
      </w:rPr>
    </w:lvl>
    <w:lvl w:ilvl="6">
      <w:start w:val="0"/>
      <w:numFmt w:val="bullet"/>
      <w:lvlText w:val="•"/>
      <w:lvlJc w:val="left"/>
      <w:pPr>
        <w:ind w:left="7303" w:hanging="244"/>
      </w:pPr>
      <w:rPr>
        <w:rFonts w:hint="default"/>
        <w:lang w:val="zh-cn" w:eastAsia="zh-cn" w:bidi="zh-cn"/>
      </w:rPr>
    </w:lvl>
    <w:lvl w:ilvl="7">
      <w:start w:val="0"/>
      <w:numFmt w:val="bullet"/>
      <w:lvlText w:val="•"/>
      <w:lvlJc w:val="left"/>
      <w:pPr>
        <w:ind w:left="8294" w:hanging="244"/>
      </w:pPr>
      <w:rPr>
        <w:rFonts w:hint="default"/>
        <w:lang w:val="zh-cn" w:eastAsia="zh-cn" w:bidi="zh-cn"/>
      </w:rPr>
    </w:lvl>
    <w:lvl w:ilvl="8">
      <w:start w:val="0"/>
      <w:numFmt w:val="bullet"/>
      <w:lvlText w:val="•"/>
      <w:lvlJc w:val="left"/>
      <w:pPr>
        <w:ind w:left="9285" w:hanging="244"/>
      </w:pPr>
      <w:rPr>
        <w:rFonts w:hint="default"/>
        <w:lang w:val="zh-cn" w:eastAsia="zh-cn" w:bidi="zh-cn"/>
      </w:rPr>
    </w:lvl>
  </w:abstractNum>
  <w:abstractNum w:abstractNumId="1">
    <w:multiLevelType w:val="hybridMultilevel"/>
    <w:lvl w:ilvl="0">
      <w:start w:val="7"/>
      <w:numFmt w:val="decimal"/>
      <w:lvlText w:val="%1."/>
      <w:lvlJc w:val="left"/>
      <w:pPr>
        <w:ind w:left="1363" w:hanging="244"/>
        <w:jc w:val="left"/>
      </w:pPr>
      <w:rPr>
        <w:rFonts w:hint="default" w:ascii="宋体" w:hAnsi="宋体" w:eastAsia="宋体" w:cs="宋体"/>
        <w:b/>
        <w:bCs/>
        <w:spacing w:val="-1"/>
        <w:w w:val="99"/>
        <w:sz w:val="22"/>
        <w:szCs w:val="22"/>
        <w:lang w:val="zh-cn" w:eastAsia="zh-cn" w:bidi="zh-cn"/>
      </w:rPr>
    </w:lvl>
    <w:lvl w:ilvl="1">
      <w:start w:val="0"/>
      <w:numFmt w:val="bullet"/>
      <w:lvlText w:val="•"/>
      <w:lvlJc w:val="left"/>
      <w:pPr>
        <w:ind w:left="2350" w:hanging="244"/>
      </w:pPr>
      <w:rPr>
        <w:rFonts w:hint="default"/>
        <w:lang w:val="zh-cn" w:eastAsia="zh-cn" w:bidi="zh-cn"/>
      </w:rPr>
    </w:lvl>
    <w:lvl w:ilvl="2">
      <w:start w:val="0"/>
      <w:numFmt w:val="bullet"/>
      <w:lvlText w:val="•"/>
      <w:lvlJc w:val="left"/>
      <w:pPr>
        <w:ind w:left="3341" w:hanging="244"/>
      </w:pPr>
      <w:rPr>
        <w:rFonts w:hint="default"/>
        <w:lang w:val="zh-cn" w:eastAsia="zh-cn" w:bidi="zh-cn"/>
      </w:rPr>
    </w:lvl>
    <w:lvl w:ilvl="3">
      <w:start w:val="0"/>
      <w:numFmt w:val="bullet"/>
      <w:lvlText w:val="•"/>
      <w:lvlJc w:val="left"/>
      <w:pPr>
        <w:ind w:left="4331" w:hanging="244"/>
      </w:pPr>
      <w:rPr>
        <w:rFonts w:hint="default"/>
        <w:lang w:val="zh-cn" w:eastAsia="zh-cn" w:bidi="zh-cn"/>
      </w:rPr>
    </w:lvl>
    <w:lvl w:ilvl="4">
      <w:start w:val="0"/>
      <w:numFmt w:val="bullet"/>
      <w:lvlText w:val="•"/>
      <w:lvlJc w:val="left"/>
      <w:pPr>
        <w:ind w:left="5322" w:hanging="244"/>
      </w:pPr>
      <w:rPr>
        <w:rFonts w:hint="default"/>
        <w:lang w:val="zh-cn" w:eastAsia="zh-cn" w:bidi="zh-cn"/>
      </w:rPr>
    </w:lvl>
    <w:lvl w:ilvl="5">
      <w:start w:val="0"/>
      <w:numFmt w:val="bullet"/>
      <w:lvlText w:val="•"/>
      <w:lvlJc w:val="left"/>
      <w:pPr>
        <w:ind w:left="6313" w:hanging="244"/>
      </w:pPr>
      <w:rPr>
        <w:rFonts w:hint="default"/>
        <w:lang w:val="zh-cn" w:eastAsia="zh-cn" w:bidi="zh-cn"/>
      </w:rPr>
    </w:lvl>
    <w:lvl w:ilvl="6">
      <w:start w:val="0"/>
      <w:numFmt w:val="bullet"/>
      <w:lvlText w:val="•"/>
      <w:lvlJc w:val="left"/>
      <w:pPr>
        <w:ind w:left="7303" w:hanging="244"/>
      </w:pPr>
      <w:rPr>
        <w:rFonts w:hint="default"/>
        <w:lang w:val="zh-cn" w:eastAsia="zh-cn" w:bidi="zh-cn"/>
      </w:rPr>
    </w:lvl>
    <w:lvl w:ilvl="7">
      <w:start w:val="0"/>
      <w:numFmt w:val="bullet"/>
      <w:lvlText w:val="•"/>
      <w:lvlJc w:val="left"/>
      <w:pPr>
        <w:ind w:left="8294" w:hanging="244"/>
      </w:pPr>
      <w:rPr>
        <w:rFonts w:hint="default"/>
        <w:lang w:val="zh-cn" w:eastAsia="zh-cn" w:bidi="zh-cn"/>
      </w:rPr>
    </w:lvl>
    <w:lvl w:ilvl="8">
      <w:start w:val="0"/>
      <w:numFmt w:val="bullet"/>
      <w:lvlText w:val="•"/>
      <w:lvlJc w:val="left"/>
      <w:pPr>
        <w:ind w:left="9285" w:hanging="244"/>
      </w:pPr>
      <w:rPr>
        <w:rFonts w:hint="default"/>
        <w:lang w:val="zh-cn" w:eastAsia="zh-cn" w:bidi="zh-cn"/>
      </w:rPr>
    </w:lvl>
  </w:abstractNum>
  <w:abstractNum w:abstractNumId="0">
    <w:multiLevelType w:val="hybridMultilevel"/>
    <w:lvl w:ilvl="0">
      <w:start w:val="1"/>
      <w:numFmt w:val="decimal"/>
      <w:lvlText w:val="%1."/>
      <w:lvlJc w:val="left"/>
      <w:pPr>
        <w:ind w:left="1363" w:hanging="244"/>
        <w:jc w:val="left"/>
      </w:pPr>
      <w:rPr>
        <w:rFonts w:hint="default" w:ascii="宋体" w:hAnsi="宋体" w:eastAsia="宋体" w:cs="宋体"/>
        <w:b/>
        <w:bCs/>
        <w:spacing w:val="-1"/>
        <w:w w:val="99"/>
        <w:sz w:val="22"/>
        <w:szCs w:val="22"/>
        <w:lang w:val="zh-cn" w:eastAsia="zh-cn" w:bidi="zh-cn"/>
      </w:rPr>
    </w:lvl>
    <w:lvl w:ilvl="1">
      <w:start w:val="0"/>
      <w:numFmt w:val="bullet"/>
      <w:lvlText w:val="•"/>
      <w:lvlJc w:val="left"/>
      <w:pPr>
        <w:ind w:left="2350" w:hanging="244"/>
      </w:pPr>
      <w:rPr>
        <w:rFonts w:hint="default"/>
        <w:lang w:val="zh-cn" w:eastAsia="zh-cn" w:bidi="zh-cn"/>
      </w:rPr>
    </w:lvl>
    <w:lvl w:ilvl="2">
      <w:start w:val="0"/>
      <w:numFmt w:val="bullet"/>
      <w:lvlText w:val="•"/>
      <w:lvlJc w:val="left"/>
      <w:pPr>
        <w:ind w:left="3341" w:hanging="244"/>
      </w:pPr>
      <w:rPr>
        <w:rFonts w:hint="default"/>
        <w:lang w:val="zh-cn" w:eastAsia="zh-cn" w:bidi="zh-cn"/>
      </w:rPr>
    </w:lvl>
    <w:lvl w:ilvl="3">
      <w:start w:val="0"/>
      <w:numFmt w:val="bullet"/>
      <w:lvlText w:val="•"/>
      <w:lvlJc w:val="left"/>
      <w:pPr>
        <w:ind w:left="4331" w:hanging="244"/>
      </w:pPr>
      <w:rPr>
        <w:rFonts w:hint="default"/>
        <w:lang w:val="zh-cn" w:eastAsia="zh-cn" w:bidi="zh-cn"/>
      </w:rPr>
    </w:lvl>
    <w:lvl w:ilvl="4">
      <w:start w:val="0"/>
      <w:numFmt w:val="bullet"/>
      <w:lvlText w:val="•"/>
      <w:lvlJc w:val="left"/>
      <w:pPr>
        <w:ind w:left="5322" w:hanging="244"/>
      </w:pPr>
      <w:rPr>
        <w:rFonts w:hint="default"/>
        <w:lang w:val="zh-cn" w:eastAsia="zh-cn" w:bidi="zh-cn"/>
      </w:rPr>
    </w:lvl>
    <w:lvl w:ilvl="5">
      <w:start w:val="0"/>
      <w:numFmt w:val="bullet"/>
      <w:lvlText w:val="•"/>
      <w:lvlJc w:val="left"/>
      <w:pPr>
        <w:ind w:left="6313" w:hanging="244"/>
      </w:pPr>
      <w:rPr>
        <w:rFonts w:hint="default"/>
        <w:lang w:val="zh-cn" w:eastAsia="zh-cn" w:bidi="zh-cn"/>
      </w:rPr>
    </w:lvl>
    <w:lvl w:ilvl="6">
      <w:start w:val="0"/>
      <w:numFmt w:val="bullet"/>
      <w:lvlText w:val="•"/>
      <w:lvlJc w:val="left"/>
      <w:pPr>
        <w:ind w:left="7303" w:hanging="244"/>
      </w:pPr>
      <w:rPr>
        <w:rFonts w:hint="default"/>
        <w:lang w:val="zh-cn" w:eastAsia="zh-cn" w:bidi="zh-cn"/>
      </w:rPr>
    </w:lvl>
    <w:lvl w:ilvl="7">
      <w:start w:val="0"/>
      <w:numFmt w:val="bullet"/>
      <w:lvlText w:val="•"/>
      <w:lvlJc w:val="left"/>
      <w:pPr>
        <w:ind w:left="8294" w:hanging="244"/>
      </w:pPr>
      <w:rPr>
        <w:rFonts w:hint="default"/>
        <w:lang w:val="zh-cn" w:eastAsia="zh-cn" w:bidi="zh-cn"/>
      </w:rPr>
    </w:lvl>
    <w:lvl w:ilvl="8">
      <w:start w:val="0"/>
      <w:numFmt w:val="bullet"/>
      <w:lvlText w:val="•"/>
      <w:lvlJc w:val="left"/>
      <w:pPr>
        <w:ind w:left="9285" w:hanging="244"/>
      </w:pPr>
      <w:rPr>
        <w:rFonts w:hint="default"/>
        <w:lang w:val="zh-cn" w:eastAsia="zh-cn" w:bidi="zh-cn"/>
      </w:rPr>
    </w:lvl>
  </w:abstractNum>
  <w:num w:numId="7">
    <w:abstractNumId w:val="6"/>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0"/>
      <w:ind w:right="49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241"/>
      <w:ind w:left="848"/>
    </w:pPr>
    <w:rPr>
      <w:rFonts w:ascii="楷体" w:hAnsi="楷体" w:eastAsia="楷体" w:cs="楷体"/>
      <w:b/>
      <w:bCs/>
      <w:sz w:val="28"/>
      <w:szCs w:val="28"/>
      <w:lang w:val="zh-cn" w:eastAsia="zh-cn" w:bidi="zh-cn"/>
    </w:rPr>
  </w:style>
  <w:style w:styleId="TOC3" w:type="paragraph">
    <w:name w:val="TOC 3"/>
    <w:basedOn w:val="Normal"/>
    <w:uiPriority w:val="1"/>
    <w:qFormat/>
    <w:pPr>
      <w:spacing w:before="241"/>
      <w:ind w:left="848"/>
    </w:pPr>
    <w:rPr>
      <w:rFonts w:ascii="楷体" w:hAnsi="楷体" w:eastAsia="楷体" w:cs="楷体"/>
      <w:sz w:val="28"/>
      <w:szCs w:val="28"/>
      <w:lang w:val="zh-cn" w:eastAsia="zh-cn" w:bidi="zh-cn"/>
    </w:rPr>
  </w:style>
  <w:style w:styleId="TOC4" w:type="paragraph">
    <w:name w:val="TOC 4"/>
    <w:basedOn w:val="Normal"/>
    <w:uiPriority w:val="1"/>
    <w:qFormat/>
    <w:pPr>
      <w:spacing w:before="241"/>
      <w:ind w:left="848"/>
    </w:pPr>
    <w:rPr>
      <w:rFonts w:ascii="楷体" w:hAnsi="楷体" w:eastAsia="楷体" w:cs="楷体"/>
      <w:b/>
      <w:bCs/>
      <w:i/>
      <w:lang w:val="zh-cn" w:eastAsia="zh-cn" w:bidi="zh-cn"/>
    </w:rPr>
  </w:style>
  <w:style w:styleId="BodyText" w:type="paragraph">
    <w:name w:val="Body Text"/>
    <w:basedOn w:val="Normal"/>
    <w:uiPriority w:val="1"/>
    <w:qFormat/>
    <w:pPr>
      <w:ind w:left="637"/>
    </w:pPr>
    <w:rPr>
      <w:rFonts w:ascii="宋体" w:hAnsi="宋体" w:eastAsia="宋体" w:cs="宋体"/>
      <w:sz w:val="24"/>
      <w:szCs w:val="24"/>
      <w:lang w:val="zh-cn" w:eastAsia="zh-cn" w:bidi="zh-cn"/>
    </w:rPr>
  </w:style>
  <w:style w:styleId="Heading1" w:type="paragraph">
    <w:name w:val="Heading 1"/>
    <w:basedOn w:val="Normal"/>
    <w:uiPriority w:val="1"/>
    <w:qFormat/>
    <w:pPr>
      <w:ind w:left="637"/>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right="492"/>
      <w:jc w:val="center"/>
      <w:outlineLvl w:val="2"/>
    </w:pPr>
    <w:rPr>
      <w:rFonts w:ascii="宋体" w:hAnsi="宋体" w:eastAsia="宋体" w:cs="宋体"/>
      <w:sz w:val="44"/>
      <w:szCs w:val="44"/>
      <w:lang w:val="zh-cn" w:eastAsia="zh-cn" w:bidi="zh-cn"/>
    </w:rPr>
  </w:style>
  <w:style w:styleId="Heading3" w:type="paragraph">
    <w:name w:val="Heading 3"/>
    <w:basedOn w:val="Normal"/>
    <w:uiPriority w:val="1"/>
    <w:qFormat/>
    <w:pPr>
      <w:spacing w:before="1"/>
      <w:jc w:val="center"/>
      <w:outlineLvl w:val="3"/>
    </w:pPr>
    <w:rPr>
      <w:rFonts w:ascii="宋体" w:hAnsi="宋体" w:eastAsia="宋体" w:cs="宋体"/>
      <w:sz w:val="42"/>
      <w:szCs w:val="42"/>
      <w:lang w:val="zh-cn" w:eastAsia="zh-cn" w:bidi="zh-cn"/>
    </w:rPr>
  </w:style>
  <w:style w:styleId="Heading4" w:type="paragraph">
    <w:name w:val="Heading 4"/>
    <w:basedOn w:val="Normal"/>
    <w:uiPriority w:val="1"/>
    <w:qFormat/>
    <w:pPr>
      <w:outlineLvl w:val="4"/>
    </w:pPr>
    <w:rPr>
      <w:rFonts w:ascii="宋体" w:hAnsi="宋体" w:eastAsia="宋体" w:cs="宋体"/>
      <w:b/>
      <w:bCs/>
      <w:sz w:val="32"/>
      <w:szCs w:val="32"/>
      <w:lang w:val="zh-cn" w:eastAsia="zh-cn" w:bidi="zh-cn"/>
    </w:rPr>
  </w:style>
  <w:style w:styleId="Heading5" w:type="paragraph">
    <w:name w:val="Heading 5"/>
    <w:basedOn w:val="Normal"/>
    <w:uiPriority w:val="1"/>
    <w:qFormat/>
    <w:pPr>
      <w:ind w:left="1025"/>
      <w:outlineLvl w:val="5"/>
    </w:pPr>
    <w:rPr>
      <w:rFonts w:ascii="宋体" w:hAnsi="宋体" w:eastAsia="宋体" w:cs="宋体"/>
      <w:sz w:val="31"/>
      <w:szCs w:val="31"/>
      <w:lang w:val="zh-cn" w:eastAsia="zh-cn" w:bidi="zh-cn"/>
    </w:rPr>
  </w:style>
  <w:style w:styleId="Heading6" w:type="paragraph">
    <w:name w:val="Heading 6"/>
    <w:basedOn w:val="Normal"/>
    <w:uiPriority w:val="1"/>
    <w:qFormat/>
    <w:pPr>
      <w:ind w:left="1019"/>
      <w:outlineLvl w:val="6"/>
    </w:pPr>
    <w:rPr>
      <w:rFonts w:ascii="宋体" w:hAnsi="宋体" w:eastAsia="宋体" w:cs="宋体"/>
      <w:sz w:val="30"/>
      <w:szCs w:val="30"/>
      <w:lang w:val="zh-cn" w:eastAsia="zh-cn" w:bidi="zh-cn"/>
    </w:rPr>
  </w:style>
  <w:style w:styleId="Heading7" w:type="paragraph">
    <w:name w:val="Heading 7"/>
    <w:basedOn w:val="Normal"/>
    <w:uiPriority w:val="1"/>
    <w:qFormat/>
    <w:pPr>
      <w:spacing w:before="11"/>
      <w:ind w:left="1021"/>
      <w:outlineLvl w:val="7"/>
    </w:pPr>
    <w:rPr>
      <w:rFonts w:ascii="宋体" w:hAnsi="宋体" w:eastAsia="宋体" w:cs="宋体"/>
      <w:sz w:val="29"/>
      <w:szCs w:val="29"/>
      <w:lang w:val="zh-cn" w:eastAsia="zh-cn" w:bidi="zh-cn"/>
    </w:rPr>
  </w:style>
  <w:style w:styleId="Heading8" w:type="paragraph">
    <w:name w:val="Heading 8"/>
    <w:basedOn w:val="Normal"/>
    <w:uiPriority w:val="1"/>
    <w:qFormat/>
    <w:pPr>
      <w:ind w:left="1117"/>
      <w:outlineLvl w:val="8"/>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637"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yperlink" Target="http://www.gov.cn/zhengce/content/2019-07/15/content_5409492.htm" TargetMode="Externa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header" Target="header5.xml"/><Relationship Id="rId19" Type="http://schemas.openxmlformats.org/officeDocument/2006/relationships/footer" Target="footer6.xml"/><Relationship Id="rId20" Type="http://schemas.openxmlformats.org/officeDocument/2006/relationships/header" Target="header6.xml"/><Relationship Id="rId21" Type="http://schemas.openxmlformats.org/officeDocument/2006/relationships/footer" Target="footer7.xml"/><Relationship Id="rId22" Type="http://schemas.openxmlformats.org/officeDocument/2006/relationships/header" Target="header7.xml"/><Relationship Id="rId23" Type="http://schemas.openxmlformats.org/officeDocument/2006/relationships/footer" Target="footer8.xml"/><Relationship Id="rId24" Type="http://schemas.openxmlformats.org/officeDocument/2006/relationships/header" Target="header8.xml"/><Relationship Id="rId25" Type="http://schemas.openxmlformats.org/officeDocument/2006/relationships/footer" Target="footer9.xml"/><Relationship Id="rId26" Type="http://schemas.openxmlformats.org/officeDocument/2006/relationships/header" Target="header9.xml"/><Relationship Id="rId27" Type="http://schemas.openxmlformats.org/officeDocument/2006/relationships/footer" Target="footer10.xml"/><Relationship Id="rId28" Type="http://schemas.openxmlformats.org/officeDocument/2006/relationships/image" Target="media/image4.png"/><Relationship Id="rId29" Type="http://schemas.openxmlformats.org/officeDocument/2006/relationships/header" Target="header10.xml"/><Relationship Id="rId30" Type="http://schemas.openxmlformats.org/officeDocument/2006/relationships/footer" Target="footer11.xml"/><Relationship Id="rId31" Type="http://schemas.openxmlformats.org/officeDocument/2006/relationships/image" Target="media/image5.jpeg"/><Relationship Id="rId32" Type="http://schemas.openxmlformats.org/officeDocument/2006/relationships/image" Target="media/image6.jpeg"/><Relationship Id="rId33" Type="http://schemas.openxmlformats.org/officeDocument/2006/relationships/header" Target="header11.xml"/><Relationship Id="rId34" Type="http://schemas.openxmlformats.org/officeDocument/2006/relationships/footer" Target="footer12.xml"/><Relationship Id="rId35" Type="http://schemas.openxmlformats.org/officeDocument/2006/relationships/header" Target="header12.xml"/><Relationship Id="rId36" Type="http://schemas.openxmlformats.org/officeDocument/2006/relationships/footer" Target="footer13.xml"/><Relationship Id="rId37" Type="http://schemas.openxmlformats.org/officeDocument/2006/relationships/header" Target="header13.xml"/><Relationship Id="rId38" Type="http://schemas.openxmlformats.org/officeDocument/2006/relationships/footer" Target="footer14.xml"/><Relationship Id="rId39" Type="http://schemas.openxmlformats.org/officeDocument/2006/relationships/header" Target="header14.xml"/><Relationship Id="rId40" Type="http://schemas.openxmlformats.org/officeDocument/2006/relationships/footer" Target="footer15.xml"/><Relationship Id="rId41" Type="http://schemas.openxmlformats.org/officeDocument/2006/relationships/header" Target="header15.xml"/><Relationship Id="rId42" Type="http://schemas.openxmlformats.org/officeDocument/2006/relationships/footer" Target="footer16.xml"/><Relationship Id="rId43" Type="http://schemas.openxmlformats.org/officeDocument/2006/relationships/image" Target="media/image7.png"/><Relationship Id="rId44" Type="http://schemas.openxmlformats.org/officeDocument/2006/relationships/header" Target="header16.xml"/><Relationship Id="rId45" Type="http://schemas.openxmlformats.org/officeDocument/2006/relationships/footer" Target="footer17.xml"/><Relationship Id="rId46" Type="http://schemas.openxmlformats.org/officeDocument/2006/relationships/image" Target="media/image8.png"/><Relationship Id="rId47" Type="http://schemas.openxmlformats.org/officeDocument/2006/relationships/image" Target="media/image9.png"/><Relationship Id="rId48" Type="http://schemas.openxmlformats.org/officeDocument/2006/relationships/image" Target="media/image10.png"/><Relationship Id="rId49" Type="http://schemas.openxmlformats.org/officeDocument/2006/relationships/image" Target="media/image11.png"/><Relationship Id="rId50" Type="http://schemas.openxmlformats.org/officeDocument/2006/relationships/image" Target="media/image12.png"/><Relationship Id="rId51" Type="http://schemas.openxmlformats.org/officeDocument/2006/relationships/image" Target="media/image13.png"/><Relationship Id="rId52" Type="http://schemas.openxmlformats.org/officeDocument/2006/relationships/image" Target="media/image14.png"/><Relationship Id="rId53" Type="http://schemas.openxmlformats.org/officeDocument/2006/relationships/hyperlink" Target="mailto:z30@cpa.org.cn" TargetMode="External"/><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2019-10-23T03:34:29Z</dcterms:created>
  <dcterms:modified xsi:type="dcterms:W3CDTF">2019-10-23T03:34:29Z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Office Word 2007</vt:lpwstr>
  </property>
  <property fmtid="{D5CDD505-2E9C-101B-9397-08002B2CF9AE}" pid="4" name="LastSaved">
    <vt:filetime>2019-10-23T00:00:00Z</vt:filetime>
  </property>
</Properties>
</file>