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Default Extension="png" ContentType="image/png"/>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32.400002pt;margin-top:54.599979pt;width:540.6pt;height:161.3pt;mso-position-horizontal-relative:page;mso-position-vertical-relative:page;z-index:-255160320" coordorigin="648,1092" coordsize="10812,3226">
            <v:line style="position:absolute" from="1248,1099" to="10805,1099" stroked="true" strokeweight=".72pt" strokecolor="#000000">
              <v:stroke dashstyle="solid"/>
            </v:line>
            <v:shape style="position:absolute;left:648;top:1099;width:10812;height:3219" type="#_x0000_t75" stroked="false">
              <v:imagedata r:id="rId6" o:titl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rPr>
      </w:pPr>
    </w:p>
    <w:p>
      <w:pPr>
        <w:pStyle w:val="Heading2"/>
        <w:tabs>
          <w:tab w:pos="3420" w:val="left" w:leader="none"/>
        </w:tabs>
        <w:spacing w:before="55"/>
        <w:jc w:val="center"/>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11</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209</w:t>
      </w:r>
      <w:r>
        <w:rPr>
          <w:rFonts w:ascii="黑体" w:eastAsia="黑体" w:hint="eastAsia"/>
          <w:spacing w:val="-81"/>
        </w:rPr>
        <w:t> </w:t>
      </w:r>
      <w:r>
        <w:rPr>
          <w:rFonts w:ascii="黑体" w:eastAsia="黑体" w:hint="eastAsia"/>
        </w:rPr>
        <w:t>期</w:t>
      </w:r>
    </w:p>
    <w:p>
      <w:pPr>
        <w:tabs>
          <w:tab w:pos="7519" w:val="left" w:leader="none"/>
        </w:tabs>
        <w:spacing w:before="231"/>
        <w:ind w:left="488" w:right="0" w:firstLine="0"/>
        <w:jc w:val="left"/>
        <w:rPr>
          <w:rFonts w:ascii="楷体" w:eastAsia="楷体" w:hint="eastAsia"/>
          <w:b/>
          <w:sz w:val="28"/>
        </w:rPr>
      </w:pPr>
      <w:r>
        <w:rPr/>
        <w:pict>
          <v:shape style="position:absolute;margin-left:55pt;margin-top:36.329994pt;width:491.25pt;height:.1pt;mso-position-horizontal-relative:page;mso-position-vertical-relative:paragraph;z-index:-251658240;mso-wrap-distance-left:0;mso-wrap-distance-right:0" coordorigin="1100,727" coordsize="9825,0" path="m1100,727l10925,727e" filled="false" stroked="true" strokeweight="2.25pt" strokecolor="#ff0000">
            <v:path arrowok="t"/>
            <v:stroke dashstyle="solid"/>
            <w10:wrap type="topAndBottom"/>
          </v:shape>
        </w:pict>
      </w:r>
      <w:r>
        <w:rPr>
          <w:rFonts w:ascii="楷体" w:eastAsia="楷体" w:hint="eastAsia"/>
          <w:b/>
          <w:sz w:val="28"/>
        </w:rPr>
        <w:t>中国药学会科技开发中心 组织联络部</w:t>
        <w:tab/>
        <w:t>2019</w:t>
      </w:r>
      <w:r>
        <w:rPr>
          <w:rFonts w:ascii="楷体" w:eastAsia="楷体" w:hint="eastAsia"/>
          <w:b/>
          <w:spacing w:val="-71"/>
          <w:sz w:val="28"/>
        </w:rPr>
        <w:t> </w:t>
      </w:r>
      <w:r>
        <w:rPr>
          <w:rFonts w:ascii="楷体" w:eastAsia="楷体" w:hint="eastAsia"/>
          <w:b/>
          <w:sz w:val="28"/>
        </w:rPr>
        <w:t>年</w:t>
      </w:r>
      <w:r>
        <w:rPr>
          <w:rFonts w:ascii="楷体" w:eastAsia="楷体" w:hint="eastAsia"/>
          <w:b/>
          <w:spacing w:val="-70"/>
          <w:sz w:val="28"/>
        </w:rPr>
        <w:t> </w:t>
      </w:r>
      <w:r>
        <w:rPr>
          <w:rFonts w:ascii="楷体" w:eastAsia="楷体" w:hint="eastAsia"/>
          <w:b/>
          <w:sz w:val="28"/>
        </w:rPr>
        <w:t>7</w:t>
      </w:r>
      <w:r>
        <w:rPr>
          <w:rFonts w:ascii="楷体" w:eastAsia="楷体" w:hint="eastAsia"/>
          <w:b/>
          <w:spacing w:val="-73"/>
          <w:sz w:val="28"/>
        </w:rPr>
        <w:t> </w:t>
      </w:r>
      <w:r>
        <w:rPr>
          <w:rFonts w:ascii="楷体" w:eastAsia="楷体" w:hint="eastAsia"/>
          <w:b/>
          <w:sz w:val="28"/>
        </w:rPr>
        <w:t>月</w:t>
      </w:r>
      <w:r>
        <w:rPr>
          <w:rFonts w:ascii="楷体" w:eastAsia="楷体" w:hint="eastAsia"/>
          <w:b/>
          <w:spacing w:val="-69"/>
          <w:sz w:val="28"/>
        </w:rPr>
        <w:t> </w:t>
      </w:r>
      <w:r>
        <w:rPr>
          <w:rFonts w:ascii="楷体" w:eastAsia="楷体" w:hint="eastAsia"/>
          <w:b/>
          <w:sz w:val="28"/>
        </w:rPr>
        <w:t>1</w:t>
      </w:r>
      <w:r>
        <w:rPr>
          <w:rFonts w:ascii="楷体" w:eastAsia="楷体" w:hint="eastAsia"/>
          <w:b/>
          <w:spacing w:val="-72"/>
          <w:sz w:val="28"/>
        </w:rPr>
        <w:t> </w:t>
      </w:r>
      <w:r>
        <w:rPr>
          <w:rFonts w:ascii="楷体" w:eastAsia="楷体" w:hint="eastAsia"/>
          <w:b/>
          <w:sz w:val="28"/>
        </w:rPr>
        <w:t>日</w:t>
      </w:r>
    </w:p>
    <w:p>
      <w:pPr>
        <w:pStyle w:val="BodyText"/>
        <w:spacing w:before="8"/>
        <w:ind w:left="0"/>
        <w:rPr>
          <w:rFonts w:ascii="楷体"/>
          <w:b/>
          <w:sz w:val="29"/>
        </w:rPr>
      </w:pPr>
    </w:p>
    <w:p>
      <w:pPr>
        <w:pStyle w:val="Heading1"/>
        <w:spacing w:line="560" w:lineRule="exact"/>
        <w:ind w:left="122" w:right="238"/>
        <w:rPr>
          <w:rFonts w:ascii="黑体" w:eastAsia="黑体" w:hint="eastAsia"/>
          <w:u w:val="none"/>
        </w:rPr>
      </w:pPr>
      <w:r>
        <w:rPr>
          <w:rFonts w:ascii="黑体" w:eastAsia="黑体" w:hint="eastAsia"/>
          <w:color w:val="008000"/>
          <w:u w:val="none"/>
        </w:rPr>
        <w:t>目 次</w:t>
      </w:r>
    </w:p>
    <w:p>
      <w:pPr>
        <w:spacing w:line="560" w:lineRule="exact" w:before="0"/>
        <w:ind w:left="122" w:right="234" w:firstLine="0"/>
        <w:jc w:val="center"/>
        <w:rPr>
          <w:rFonts w:ascii="隶书" w:eastAsia="隶书" w:hint="eastAsia"/>
          <w:sz w:val="44"/>
        </w:rPr>
      </w:pPr>
      <w:r>
        <w:rPr>
          <w:rFonts w:ascii="隶书" w:eastAsia="隶书" w:hint="eastAsia"/>
          <w:color w:val="1A5220"/>
          <w:sz w:val="44"/>
        </w:rPr>
        <w:t>政策导览</w:t>
      </w:r>
    </w:p>
    <w:p>
      <w:pPr>
        <w:pStyle w:val="Heading3"/>
        <w:tabs>
          <w:tab w:pos="9562" w:val="right" w:leader="dot"/>
        </w:tabs>
        <w:spacing w:before="114"/>
        <w:ind w:left="488"/>
        <w:rPr>
          <w:rFonts w:ascii="楷体" w:eastAsia="楷体" w:hint="eastAsia"/>
          <w:b w:val="0"/>
        </w:rPr>
      </w:pPr>
      <w:r>
        <w:rPr>
          <w:rFonts w:ascii="楷体" w:eastAsia="楷体" w:hint="eastAsia"/>
        </w:rPr>
        <w:t>【政府要闻】</w:t>
        <w:tab/>
      </w:r>
      <w:r>
        <w:rPr>
          <w:rFonts w:ascii="楷体" w:eastAsia="楷体" w:hint="eastAsia"/>
          <w:b w:val="0"/>
        </w:rPr>
        <w:t>1</w:t>
      </w:r>
    </w:p>
    <w:p>
      <w:pPr>
        <w:pStyle w:val="BodyText"/>
        <w:tabs>
          <w:tab w:pos="9562" w:val="right" w:leader="dot"/>
        </w:tabs>
        <w:spacing w:before="153"/>
        <w:ind w:left="488"/>
        <w:rPr>
          <w:rFonts w:ascii="楷体" w:eastAsia="楷体" w:hint="eastAsia"/>
        </w:rPr>
      </w:pPr>
      <w:r>
        <w:rPr>
          <w:rFonts w:ascii="楷体" w:eastAsia="楷体" w:hint="eastAsia"/>
        </w:rPr>
        <w:t>《疫苗管理法》正式公布</w:t>
        <w:tab/>
        <w:t>1</w:t>
      </w:r>
    </w:p>
    <w:p>
      <w:pPr>
        <w:pStyle w:val="BodyText"/>
        <w:tabs>
          <w:tab w:pos="9562" w:val="right" w:leader="dot"/>
        </w:tabs>
        <w:spacing w:before="154"/>
        <w:ind w:left="488"/>
        <w:rPr>
          <w:rFonts w:ascii="楷体" w:eastAsia="楷体" w:hint="eastAsia"/>
        </w:rPr>
      </w:pPr>
      <w:r>
        <w:rPr>
          <w:rFonts w:ascii="楷体" w:eastAsia="楷体" w:hint="eastAsia"/>
        </w:rPr>
        <w:t>第一批鼓励仿制药品目录建议清单发布</w:t>
        <w:tab/>
        <w:t>1</w:t>
      </w:r>
    </w:p>
    <w:p>
      <w:pPr>
        <w:pStyle w:val="BodyText"/>
        <w:tabs>
          <w:tab w:pos="9562" w:val="right" w:leader="dot"/>
        </w:tabs>
        <w:spacing w:before="150"/>
        <w:ind w:left="488"/>
        <w:rPr>
          <w:rFonts w:ascii="楷体" w:hAnsi="楷体" w:eastAsia="楷体" w:hint="eastAsia"/>
        </w:rPr>
      </w:pPr>
      <w:r>
        <w:rPr>
          <w:rFonts w:ascii="楷体" w:hAnsi="楷体" w:eastAsia="楷体" w:hint="eastAsia"/>
        </w:rPr>
        <w:t>县域医共体建设要在“共”字上做文章</w:t>
        <w:tab/>
        <w:t>3</w:t>
      </w:r>
    </w:p>
    <w:p>
      <w:pPr>
        <w:pStyle w:val="Heading3"/>
        <w:tabs>
          <w:tab w:pos="9562" w:val="right" w:leader="dot"/>
        </w:tabs>
        <w:spacing w:before="154"/>
        <w:ind w:left="488"/>
        <w:rPr>
          <w:rFonts w:ascii="楷体" w:eastAsia="楷体" w:hint="eastAsia"/>
          <w:b w:val="0"/>
        </w:rPr>
      </w:pPr>
      <w:r>
        <w:rPr>
          <w:rFonts w:ascii="楷体" w:eastAsia="楷体" w:hint="eastAsia"/>
        </w:rPr>
        <w:t>【医保动态】</w:t>
        <w:tab/>
      </w:r>
      <w:r>
        <w:rPr>
          <w:rFonts w:ascii="楷体" w:eastAsia="楷体" w:hint="eastAsia"/>
          <w:b w:val="0"/>
        </w:rPr>
        <w:t>3</w:t>
      </w:r>
    </w:p>
    <w:p>
      <w:pPr>
        <w:pStyle w:val="BodyText"/>
        <w:tabs>
          <w:tab w:pos="9562" w:val="right" w:leader="dot"/>
        </w:tabs>
        <w:spacing w:before="153"/>
        <w:ind w:left="488"/>
        <w:rPr>
          <w:rFonts w:ascii="楷体" w:hAnsi="楷体" w:eastAsia="楷体" w:hint="eastAsia"/>
        </w:rPr>
      </w:pPr>
      <w:r>
        <w:rPr>
          <w:rFonts w:ascii="楷体" w:hAnsi="楷体" w:eastAsia="楷体" w:hint="eastAsia"/>
        </w:rPr>
        <w:t>医保“通用语言”正在编制</w:t>
        <w:tab/>
        <w:t>3</w:t>
      </w:r>
    </w:p>
    <w:p>
      <w:pPr>
        <w:pStyle w:val="Heading3"/>
        <w:tabs>
          <w:tab w:pos="9562" w:val="right" w:leader="dot"/>
        </w:tabs>
        <w:spacing w:before="151"/>
        <w:ind w:left="488"/>
        <w:rPr>
          <w:rFonts w:ascii="楷体" w:eastAsia="楷体" w:hint="eastAsia"/>
          <w:b w:val="0"/>
        </w:rPr>
      </w:pPr>
      <w:r>
        <w:rPr>
          <w:rFonts w:ascii="楷体" w:eastAsia="楷体" w:hint="eastAsia"/>
        </w:rPr>
        <w:t>【药监动态】</w:t>
        <w:tab/>
      </w:r>
      <w:r>
        <w:rPr>
          <w:rFonts w:ascii="楷体" w:eastAsia="楷体" w:hint="eastAsia"/>
          <w:b w:val="0"/>
        </w:rPr>
        <w:t>4</w:t>
      </w:r>
    </w:p>
    <w:p>
      <w:pPr>
        <w:pStyle w:val="BodyText"/>
        <w:tabs>
          <w:tab w:pos="9562" w:val="right" w:leader="dot"/>
        </w:tabs>
        <w:spacing w:before="153"/>
        <w:ind w:left="488"/>
        <w:rPr>
          <w:rFonts w:ascii="楷体" w:eastAsia="楷体" w:hint="eastAsia"/>
        </w:rPr>
      </w:pPr>
      <w:r>
        <w:rPr>
          <w:rFonts w:ascii="楷体" w:eastAsia="楷体" w:hint="eastAsia"/>
        </w:rPr>
        <w:t>上市药品临床安全性文献评价指导原则（试行）发布</w:t>
        <w:tab/>
        <w:t>4</w:t>
      </w:r>
    </w:p>
    <w:p>
      <w:pPr>
        <w:pStyle w:val="BodyText"/>
        <w:tabs>
          <w:tab w:pos="9562" w:val="right" w:leader="dot"/>
        </w:tabs>
        <w:spacing w:before="154"/>
        <w:ind w:left="488"/>
        <w:rPr>
          <w:rFonts w:ascii="楷体" w:eastAsia="楷体" w:hint="eastAsia"/>
        </w:rPr>
      </w:pPr>
      <w:r>
        <w:rPr>
          <w:rFonts w:ascii="楷体" w:eastAsia="楷体" w:hint="eastAsia"/>
        </w:rPr>
        <w:t>人用基因治疗制品总论草案公示</w:t>
        <w:tab/>
        <w:t>5</w:t>
      </w:r>
    </w:p>
    <w:p>
      <w:pPr>
        <w:spacing w:before="33"/>
        <w:ind w:left="122" w:right="234" w:firstLine="0"/>
        <w:jc w:val="center"/>
        <w:rPr>
          <w:rFonts w:ascii="隶书" w:eastAsia="隶书" w:hint="eastAsia"/>
          <w:sz w:val="44"/>
        </w:rPr>
      </w:pPr>
      <w:r>
        <w:rPr>
          <w:rFonts w:ascii="隶书" w:eastAsia="隶书" w:hint="eastAsia"/>
          <w:color w:val="1A5220"/>
          <w:sz w:val="44"/>
        </w:rPr>
        <w:t>行业资讯</w:t>
      </w:r>
    </w:p>
    <w:p>
      <w:pPr>
        <w:pStyle w:val="Heading3"/>
        <w:tabs>
          <w:tab w:pos="9562" w:val="right" w:leader="dot"/>
        </w:tabs>
        <w:spacing w:before="116"/>
        <w:ind w:left="488"/>
        <w:rPr>
          <w:rFonts w:ascii="楷体" w:eastAsia="楷体" w:hint="eastAsia"/>
          <w:b w:val="0"/>
        </w:rPr>
      </w:pPr>
      <w:r>
        <w:rPr>
          <w:rFonts w:ascii="楷体" w:eastAsia="楷体" w:hint="eastAsia"/>
        </w:rPr>
        <w:t>【热点聚焦】</w:t>
        <w:tab/>
      </w:r>
      <w:r>
        <w:rPr>
          <w:rFonts w:ascii="楷体" w:eastAsia="楷体" w:hint="eastAsia"/>
          <w:b w:val="0"/>
        </w:rPr>
        <w:t>5</w:t>
      </w:r>
    </w:p>
    <w:p>
      <w:pPr>
        <w:pStyle w:val="BodyText"/>
        <w:tabs>
          <w:tab w:pos="9562" w:val="right" w:leader="dot"/>
        </w:tabs>
        <w:spacing w:before="151"/>
        <w:ind w:left="488"/>
        <w:rPr>
          <w:rFonts w:ascii="楷体" w:eastAsia="楷体" w:hint="eastAsia"/>
        </w:rPr>
      </w:pPr>
      <w:r>
        <w:rPr>
          <w:rFonts w:ascii="楷体" w:eastAsia="楷体" w:hint="eastAsia"/>
        </w:rPr>
        <w:t>2019</w:t>
      </w:r>
      <w:r>
        <w:rPr>
          <w:rFonts w:ascii="楷体" w:eastAsia="楷体" w:hint="eastAsia"/>
          <w:spacing w:val="-61"/>
        </w:rPr>
        <w:t> </w:t>
      </w:r>
      <w:r>
        <w:rPr>
          <w:rFonts w:ascii="楷体" w:eastAsia="楷体" w:hint="eastAsia"/>
        </w:rPr>
        <w:t>年度最值得关注的药物（下）</w:t>
        <w:tab/>
        <w:t>5</w:t>
      </w:r>
    </w:p>
    <w:p>
      <w:pPr>
        <w:pStyle w:val="BodyText"/>
        <w:tabs>
          <w:tab w:pos="9562" w:val="right" w:leader="dot"/>
        </w:tabs>
        <w:spacing w:before="153"/>
        <w:ind w:left="488"/>
        <w:rPr>
          <w:rFonts w:ascii="楷体" w:eastAsia="楷体" w:hint="eastAsia"/>
        </w:rPr>
      </w:pPr>
      <w:r>
        <w:rPr>
          <w:rFonts w:ascii="楷体" w:eastAsia="楷体" w:hint="eastAsia"/>
        </w:rPr>
        <w:t>药用辅料在仿制药一致性评价中的作用</w:t>
        <w:tab/>
        <w:t>8</w:t>
      </w:r>
    </w:p>
    <w:p>
      <w:pPr>
        <w:tabs>
          <w:tab w:pos="9562" w:val="right" w:leader="dot"/>
        </w:tabs>
        <w:spacing w:before="153"/>
        <w:ind w:left="488" w:right="0" w:firstLine="0"/>
        <w:jc w:val="left"/>
        <w:rPr>
          <w:rFonts w:ascii="楷体" w:eastAsia="楷体" w:hint="eastAsia"/>
          <w:sz w:val="24"/>
        </w:rPr>
      </w:pPr>
      <w:r>
        <w:rPr>
          <w:rFonts w:ascii="楷体" w:eastAsia="楷体" w:hint="eastAsia"/>
          <w:b/>
          <w:sz w:val="24"/>
        </w:rPr>
        <w:t>【数据公报】</w:t>
        <w:tab/>
      </w:r>
      <w:r>
        <w:rPr>
          <w:rFonts w:ascii="楷体" w:eastAsia="楷体" w:hint="eastAsia"/>
          <w:sz w:val="24"/>
        </w:rPr>
        <w:t>10</w:t>
      </w:r>
    </w:p>
    <w:p>
      <w:pPr>
        <w:pStyle w:val="BodyText"/>
        <w:tabs>
          <w:tab w:pos="9562" w:val="right" w:leader="dot"/>
        </w:tabs>
        <w:spacing w:before="151"/>
        <w:ind w:left="488"/>
        <w:rPr>
          <w:rFonts w:ascii="楷体" w:eastAsia="楷体" w:hint="eastAsia"/>
        </w:rPr>
      </w:pPr>
      <w:r>
        <w:rPr>
          <w:rFonts w:ascii="楷体" w:eastAsia="楷体" w:hint="eastAsia"/>
        </w:rPr>
        <w:t>本土企业增长乏力 县域市场成就跨国药企</w:t>
        <w:tab/>
        <w:t>10</w:t>
      </w:r>
    </w:p>
    <w:p>
      <w:pPr>
        <w:spacing w:before="35"/>
        <w:ind w:left="122" w:right="234" w:firstLine="0"/>
        <w:jc w:val="center"/>
        <w:rPr>
          <w:rFonts w:ascii="隶书" w:eastAsia="隶书" w:hint="eastAsia"/>
          <w:sz w:val="44"/>
        </w:rPr>
      </w:pPr>
      <w:r>
        <w:rPr>
          <w:rFonts w:ascii="隶书" w:eastAsia="隶书" w:hint="eastAsia"/>
          <w:color w:val="1A5220"/>
          <w:sz w:val="44"/>
        </w:rPr>
        <w:t>医药前沿</w:t>
      </w:r>
    </w:p>
    <w:p>
      <w:pPr>
        <w:tabs>
          <w:tab w:pos="9562" w:val="right" w:leader="dot"/>
        </w:tabs>
        <w:spacing w:before="114"/>
        <w:ind w:left="488" w:right="0" w:firstLine="0"/>
        <w:jc w:val="left"/>
        <w:rPr>
          <w:rFonts w:ascii="楷体" w:eastAsia="楷体" w:hint="eastAsia"/>
          <w:sz w:val="24"/>
        </w:rPr>
      </w:pPr>
      <w:r>
        <w:rPr>
          <w:rFonts w:ascii="楷体" w:eastAsia="楷体" w:hint="eastAsia"/>
          <w:b/>
          <w:sz w:val="24"/>
        </w:rPr>
        <w:t>【研究进展】</w:t>
        <w:tab/>
      </w:r>
      <w:r>
        <w:rPr>
          <w:rFonts w:ascii="楷体" w:eastAsia="楷体" w:hint="eastAsia"/>
          <w:sz w:val="24"/>
        </w:rPr>
        <w:t>13</w:t>
      </w:r>
    </w:p>
    <w:p>
      <w:pPr>
        <w:pStyle w:val="BodyText"/>
        <w:tabs>
          <w:tab w:pos="9562" w:val="right" w:leader="dot"/>
        </w:tabs>
        <w:spacing w:before="154"/>
        <w:ind w:left="488"/>
        <w:rPr>
          <w:rFonts w:ascii="楷体" w:hAnsi="楷体" w:eastAsia="楷体" w:hint="eastAsia"/>
        </w:rPr>
      </w:pPr>
      <w:r>
        <w:rPr>
          <w:rFonts w:ascii="楷体" w:hAnsi="楷体" w:eastAsia="楷体" w:hint="eastAsia"/>
        </w:rPr>
        <w:t>“老药”雷帕霉素有望治疗红斑狼疮</w:t>
        <w:tab/>
        <w:t>13</w:t>
      </w:r>
    </w:p>
    <w:p>
      <w:pPr>
        <w:spacing w:after="0"/>
        <w:rPr>
          <w:rFonts w:ascii="楷体" w:hAnsi="楷体" w:eastAsia="楷体" w:hint="eastAsia"/>
        </w:rPr>
        <w:sectPr>
          <w:footerReference w:type="default" r:id="rId5"/>
          <w:type w:val="continuous"/>
          <w:pgSz w:w="11910" w:h="16850"/>
          <w:pgMar w:footer="825" w:top="1100" w:bottom="1020" w:left="1000" w:right="740"/>
          <w:pgNumType w:start="1"/>
        </w:sectPr>
      </w:pPr>
    </w:p>
    <w:sdt>
      <w:sdtPr>
        <w:docPartObj>
          <w:docPartGallery w:val="Table of Contents"/>
          <w:docPartUnique/>
        </w:docPartObj>
      </w:sdtPr>
      <w:sdtEndPr/>
      <w:sdtContent>
        <w:p>
          <w:pPr>
            <w:pStyle w:val="TOC3"/>
            <w:tabs>
              <w:tab w:pos="9562" w:val="right" w:leader="dot"/>
            </w:tabs>
            <w:spacing w:before="297"/>
          </w:pPr>
          <w:hyperlink w:history="true" w:anchor="_TOC_250024">
            <w:r>
              <w:rPr/>
              <w:t>慢性肾脏病抗炎治疗有新靶点</w:t>
              <w:tab/>
              <w:t>14</w:t>
            </w:r>
          </w:hyperlink>
        </w:p>
        <w:p>
          <w:pPr>
            <w:pStyle w:val="TOC3"/>
            <w:tabs>
              <w:tab w:pos="9562" w:val="right" w:leader="dot"/>
            </w:tabs>
            <w:spacing w:before="152"/>
          </w:pPr>
          <w:hyperlink w:history="true" w:anchor="_TOC_250023">
            <w:r>
              <w:rPr/>
              <w:t>青少年特发性脊柱侧凸重要致病机制锁定</w:t>
              <w:tab/>
              <w:t>14</w:t>
            </w:r>
          </w:hyperlink>
        </w:p>
        <w:p>
          <w:pPr>
            <w:pStyle w:val="TOC3"/>
            <w:tabs>
              <w:tab w:pos="9562" w:val="right" w:leader="dot"/>
            </w:tabs>
          </w:pPr>
          <w:hyperlink w:history="true" w:anchor="_TOC_250022">
            <w:r>
              <w:rPr/>
              <w:t>合胞病毒疫苗研究有突破</w:t>
              <w:tab/>
              <w:t>15</w:t>
            </w:r>
          </w:hyperlink>
        </w:p>
        <w:p>
          <w:pPr>
            <w:pStyle w:val="TOC1"/>
          </w:pPr>
          <w:hyperlink w:history="true" w:anchor="_TOC_250021">
            <w:r>
              <w:rPr>
                <w:color w:val="1A5220"/>
              </w:rPr>
              <w:t>合理用药</w:t>
            </w:r>
          </w:hyperlink>
        </w:p>
        <w:p>
          <w:pPr>
            <w:pStyle w:val="TOC4"/>
            <w:tabs>
              <w:tab w:pos="9562" w:val="right" w:leader="dot"/>
            </w:tabs>
            <w:spacing w:before="114"/>
            <w:rPr>
              <w:b w:val="0"/>
              <w:i w:val="0"/>
              <w:sz w:val="24"/>
            </w:rPr>
          </w:pPr>
          <w:r>
            <w:rPr>
              <w:i w:val="0"/>
              <w:sz w:val="24"/>
            </w:rPr>
            <w:t>【临床药师】</w:t>
            <w:tab/>
          </w:r>
          <w:r>
            <w:rPr>
              <w:b w:val="0"/>
              <w:i w:val="0"/>
              <w:sz w:val="24"/>
            </w:rPr>
            <w:t>15</w:t>
          </w:r>
        </w:p>
        <w:p>
          <w:pPr>
            <w:pStyle w:val="TOC3"/>
            <w:tabs>
              <w:tab w:pos="9562" w:val="right" w:leader="dot"/>
            </w:tabs>
          </w:pPr>
          <w:hyperlink w:history="true" w:anchor="_TOC_250020">
            <w:r>
              <w:rPr/>
              <w:t>药师处方权认知度和支持度的初步调查</w:t>
              <w:tab/>
              <w:t>15</w:t>
            </w:r>
          </w:hyperlink>
        </w:p>
        <w:p>
          <w:pPr>
            <w:pStyle w:val="TOC3"/>
            <w:tabs>
              <w:tab w:pos="9562" w:val="right" w:leader="dot"/>
            </w:tabs>
            <w:spacing w:before="151"/>
          </w:pPr>
          <w:hyperlink w:history="true" w:anchor="_TOC_250019">
            <w:r>
              <w:rPr/>
              <w:t>替加环素对</w:t>
            </w:r>
            <w:r>
              <w:rPr>
                <w:spacing w:val="-61"/>
              </w:rPr>
              <w:t> </w:t>
            </w:r>
            <w:r>
              <w:rPr/>
              <w:t>ICU</w:t>
            </w:r>
            <w:r>
              <w:rPr>
                <w:spacing w:val="-60"/>
              </w:rPr>
              <w:t> </w:t>
            </w:r>
            <w:r>
              <w:rPr/>
              <w:t>多重耐药菌感染患者免疫功能的影响及疗效分析</w:t>
              <w:tab/>
              <w:t>20</w:t>
            </w:r>
          </w:hyperlink>
        </w:p>
        <w:p>
          <w:pPr>
            <w:pStyle w:val="TOC3"/>
            <w:tabs>
              <w:tab w:pos="9562" w:val="right" w:leader="dot"/>
            </w:tabs>
            <w:spacing w:before="154"/>
          </w:pPr>
          <w:hyperlink w:history="true" w:anchor="_TOC_250018">
            <w:r>
              <w:rPr/>
              <w:t>部分儿童适宜药品在五项权威资料中的适宜年龄段分析</w:t>
              <w:tab/>
              <w:t>24</w:t>
            </w:r>
          </w:hyperlink>
        </w:p>
        <w:p>
          <w:pPr>
            <w:pStyle w:val="TOC4"/>
            <w:tabs>
              <w:tab w:pos="9562" w:val="right" w:leader="dot"/>
            </w:tabs>
            <w:rPr>
              <w:b w:val="0"/>
              <w:i w:val="0"/>
              <w:sz w:val="24"/>
            </w:rPr>
          </w:pPr>
          <w:hyperlink w:history="true" w:anchor="_TOC_250017">
            <w:r>
              <w:rPr>
                <w:i w:val="0"/>
                <w:sz w:val="24"/>
              </w:rPr>
              <w:t>【专家观点】</w:t>
              <w:tab/>
            </w:r>
            <w:r>
              <w:rPr>
                <w:b w:val="0"/>
                <w:i w:val="0"/>
                <w:sz w:val="24"/>
              </w:rPr>
              <w:t>29</w:t>
            </w:r>
          </w:hyperlink>
        </w:p>
        <w:p>
          <w:pPr>
            <w:pStyle w:val="TOC3"/>
            <w:tabs>
              <w:tab w:pos="9562" w:val="right" w:leader="dot"/>
            </w:tabs>
            <w:spacing w:before="151"/>
          </w:pPr>
          <w:hyperlink w:history="true" w:anchor="_TOC_250016">
            <w:r>
              <w:rPr/>
              <w:t>从研究参与者的角度解读达可替尼</w:t>
            </w:r>
            <w:r>
              <w:rPr>
                <w:spacing w:val="-60"/>
              </w:rPr>
              <w:t> </w:t>
            </w:r>
            <w:r>
              <w:rPr/>
              <w:t>ARCHER 1050</w:t>
            </w:r>
            <w:r>
              <w:rPr>
                <w:spacing w:val="-60"/>
              </w:rPr>
              <w:t> </w:t>
            </w:r>
            <w:r>
              <w:rPr/>
              <w:t>研究</w:t>
              <w:tab/>
              <w:t>29</w:t>
            </w:r>
          </w:hyperlink>
        </w:p>
        <w:p>
          <w:pPr>
            <w:pStyle w:val="TOC4"/>
            <w:tabs>
              <w:tab w:pos="9562" w:val="right" w:leader="dot"/>
            </w:tabs>
            <w:rPr>
              <w:b w:val="0"/>
              <w:i w:val="0"/>
              <w:sz w:val="24"/>
            </w:rPr>
          </w:pPr>
          <w:hyperlink w:history="true" w:anchor="_TOC_250015">
            <w:r>
              <w:rPr>
                <w:i w:val="0"/>
                <w:sz w:val="24"/>
              </w:rPr>
              <w:t>【科普知识】</w:t>
              <w:tab/>
            </w:r>
            <w:r>
              <w:rPr>
                <w:b w:val="0"/>
                <w:i w:val="0"/>
                <w:sz w:val="24"/>
              </w:rPr>
              <w:t>31</w:t>
            </w:r>
          </w:hyperlink>
        </w:p>
        <w:p>
          <w:pPr>
            <w:pStyle w:val="TOC3"/>
            <w:tabs>
              <w:tab w:pos="9562" w:val="right" w:leader="dot"/>
            </w:tabs>
            <w:spacing w:before="154"/>
          </w:pPr>
          <w:hyperlink w:history="true" w:anchor="_TOC_250014">
            <w:r>
              <w:rPr/>
              <w:t>高传染性腺病毒已致数名儿童死亡！宝宝出现这些症状，警惕腺病毒感染！</w:t>
              <w:tab/>
              <w:t>31</w:t>
            </w:r>
          </w:hyperlink>
        </w:p>
        <w:p>
          <w:pPr>
            <w:pStyle w:val="TOC3"/>
            <w:tabs>
              <w:tab w:pos="9562" w:val="right" w:leader="dot"/>
            </w:tabs>
            <w:spacing w:before="150"/>
          </w:pPr>
          <w:hyperlink w:history="true" w:anchor="_TOC_250013">
            <w:r>
              <w:rPr/>
              <w:t>基因和干细胞</w:t>
            </w:r>
            <w:r>
              <w:rPr>
                <w:spacing w:val="-1"/>
              </w:rPr>
              <w:t> </w:t>
            </w:r>
            <w:r>
              <w:rPr/>
              <w:t>作用大不同</w:t>
              <w:tab/>
              <w:t>32</w:t>
            </w:r>
          </w:hyperlink>
        </w:p>
        <w:p>
          <w:pPr>
            <w:pStyle w:val="TOC1"/>
          </w:pPr>
          <w:hyperlink w:history="true" w:anchor="_TOC_250012">
            <w:r>
              <w:rPr>
                <w:color w:val="1A5220"/>
              </w:rPr>
              <w:t>学会动态</w:t>
            </w:r>
          </w:hyperlink>
        </w:p>
        <w:p>
          <w:pPr>
            <w:pStyle w:val="TOC4"/>
            <w:tabs>
              <w:tab w:pos="9562" w:val="right" w:leader="dot"/>
            </w:tabs>
            <w:spacing w:before="115"/>
            <w:rPr>
              <w:b w:val="0"/>
              <w:i w:val="0"/>
              <w:sz w:val="24"/>
            </w:rPr>
          </w:pPr>
          <w:hyperlink w:history="true" w:anchor="_TOC_250011">
            <w:r>
              <w:rPr>
                <w:i w:val="0"/>
                <w:sz w:val="24"/>
              </w:rPr>
              <w:t>【学会之窗】</w:t>
              <w:tab/>
            </w:r>
            <w:r>
              <w:rPr>
                <w:b w:val="0"/>
                <w:i w:val="0"/>
                <w:sz w:val="24"/>
              </w:rPr>
              <w:t>34</w:t>
            </w:r>
          </w:hyperlink>
        </w:p>
        <w:p>
          <w:pPr>
            <w:pStyle w:val="TOC3"/>
            <w:tabs>
              <w:tab w:pos="9562" w:val="right" w:leader="dot"/>
            </w:tabs>
          </w:pPr>
          <w:hyperlink w:history="true" w:anchor="_TOC_250010">
            <w:r>
              <w:rPr/>
              <w:t>中国药学会医院药学专业委员会发布中国高警示药品推荐目录（2019</w:t>
            </w:r>
            <w:r>
              <w:rPr>
                <w:spacing w:val="-60"/>
              </w:rPr>
              <w:t> </w:t>
            </w:r>
            <w:r>
              <w:rPr/>
              <w:t>版）</w:t>
              <w:tab/>
              <w:t>34</w:t>
            </w:r>
          </w:hyperlink>
        </w:p>
        <w:p>
          <w:pPr>
            <w:pStyle w:val="TOC4"/>
            <w:tabs>
              <w:tab w:pos="9562" w:val="right" w:leader="dot"/>
            </w:tabs>
            <w:rPr>
              <w:b w:val="0"/>
              <w:i w:val="0"/>
              <w:sz w:val="24"/>
            </w:rPr>
          </w:pPr>
          <w:hyperlink w:history="true" w:anchor="_TOC_250009">
            <w:r>
              <w:rPr>
                <w:i w:val="0"/>
                <w:sz w:val="24"/>
              </w:rPr>
              <w:t>【会议通知】</w:t>
              <w:tab/>
            </w:r>
            <w:r>
              <w:rPr>
                <w:b w:val="0"/>
                <w:i w:val="0"/>
                <w:sz w:val="24"/>
              </w:rPr>
              <w:t>37</w:t>
            </w:r>
          </w:hyperlink>
        </w:p>
        <w:p>
          <w:pPr>
            <w:pStyle w:val="TOC3"/>
            <w:tabs>
              <w:tab w:pos="9562" w:val="right" w:leader="dot"/>
            </w:tabs>
            <w:spacing w:before="151"/>
          </w:pPr>
          <w:hyperlink w:history="true" w:anchor="_TOC_250008">
            <w:r>
              <w:rPr/>
              <w:t>关于召开中国药学会药学服务专业委员会学术年会的通知</w:t>
              <w:tab/>
              <w:t>37</w:t>
            </w:r>
          </w:hyperlink>
        </w:p>
        <w:p>
          <w:pPr>
            <w:pStyle w:val="TOC1"/>
          </w:pPr>
          <w:hyperlink w:history="true" w:anchor="_TOC_250007">
            <w:r>
              <w:rPr>
                <w:color w:val="1A5220"/>
              </w:rPr>
              <w:t>交流园地</w:t>
            </w:r>
          </w:hyperlink>
        </w:p>
        <w:p>
          <w:pPr>
            <w:pStyle w:val="TOC4"/>
            <w:tabs>
              <w:tab w:pos="9562" w:val="right" w:leader="dot"/>
            </w:tabs>
            <w:spacing w:before="114"/>
            <w:rPr>
              <w:b w:val="0"/>
              <w:i w:val="0"/>
              <w:sz w:val="24"/>
            </w:rPr>
          </w:pPr>
          <w:r>
            <w:rPr>
              <w:i w:val="0"/>
              <w:sz w:val="24"/>
            </w:rPr>
            <w:t>【药师风采】</w:t>
            <w:tab/>
          </w:r>
          <w:r>
            <w:rPr>
              <w:b w:val="0"/>
              <w:i w:val="0"/>
              <w:sz w:val="24"/>
            </w:rPr>
            <w:t>39</w:t>
          </w:r>
        </w:p>
        <w:p>
          <w:pPr>
            <w:pStyle w:val="TOC3"/>
            <w:tabs>
              <w:tab w:pos="9562" w:val="right" w:leader="dot"/>
            </w:tabs>
          </w:pPr>
          <w:hyperlink w:history="true" w:anchor="_TOC_250006">
            <w:r>
              <w:rPr/>
              <w:t>云南省中医医院——李松梅</w:t>
              <w:tab/>
              <w:t>39</w:t>
            </w:r>
          </w:hyperlink>
        </w:p>
        <w:p>
          <w:pPr>
            <w:pStyle w:val="TOC3"/>
            <w:tabs>
              <w:tab w:pos="9562" w:val="right" w:leader="dot"/>
            </w:tabs>
            <w:spacing w:before="154"/>
          </w:pPr>
          <w:hyperlink w:history="true" w:anchor="_TOC_250005">
            <w:r>
              <w:rPr/>
              <w:t>成都军区昆明总医院——余巍</w:t>
              <w:tab/>
              <w:t>39</w:t>
            </w:r>
          </w:hyperlink>
        </w:p>
        <w:p>
          <w:pPr>
            <w:pStyle w:val="TOC3"/>
            <w:tabs>
              <w:tab w:pos="9562" w:val="right" w:leader="dot"/>
            </w:tabs>
            <w:spacing w:before="151"/>
          </w:pPr>
          <w:hyperlink w:history="true" w:anchor="_TOC_250004">
            <w:r>
              <w:rPr/>
              <w:t>西藏自治区第二人民医院——琼次仁</w:t>
              <w:tab/>
              <w:t>40</w:t>
            </w:r>
          </w:hyperlink>
        </w:p>
        <w:p>
          <w:pPr>
            <w:pStyle w:val="TOC3"/>
            <w:tabs>
              <w:tab w:pos="9562" w:val="right" w:leader="dot"/>
            </w:tabs>
          </w:pPr>
          <w:hyperlink w:history="true" w:anchor="_TOC_250003">
            <w:r>
              <w:rPr/>
              <w:t>西安交通大学第二附属医院——刘娜</w:t>
              <w:tab/>
              <w:t>41</w:t>
            </w:r>
          </w:hyperlink>
        </w:p>
        <w:p>
          <w:pPr>
            <w:pStyle w:val="TOC2"/>
            <w:tabs>
              <w:tab w:pos="9562" w:val="right" w:leader="dot"/>
            </w:tabs>
            <w:rPr>
              <w:b w:val="0"/>
            </w:rPr>
          </w:pPr>
          <w:hyperlink w:history="true" w:anchor="_TOC_250002">
            <w:r>
              <w:rPr/>
              <w:t>【优秀药师经验分享】</w:t>
              <w:tab/>
            </w:r>
            <w:r>
              <w:rPr>
                <w:b w:val="0"/>
              </w:rPr>
              <w:t>41</w:t>
            </w:r>
          </w:hyperlink>
        </w:p>
        <w:p>
          <w:pPr>
            <w:pStyle w:val="TOC3"/>
            <w:tabs>
              <w:tab w:pos="9562" w:val="right" w:leader="dot"/>
            </w:tabs>
            <w:spacing w:before="150"/>
          </w:pPr>
          <w:hyperlink w:history="true" w:anchor="_TOC_250001">
            <w:r>
              <w:rPr/>
              <w:t>高水平的药学科研有什么特点？临床是根本！</w:t>
              <w:tab/>
              <w:t>41</w:t>
            </w:r>
          </w:hyperlink>
        </w:p>
        <w:p>
          <w:pPr>
            <w:pStyle w:val="TOC3"/>
            <w:tabs>
              <w:tab w:pos="9562" w:val="right" w:leader="dot"/>
            </w:tabs>
            <w:spacing w:before="154"/>
          </w:pPr>
          <w:hyperlink w:history="true" w:anchor="_TOC_250000">
            <w:r>
              <w:rPr/>
              <w:t>以信任铸造药师之魂，把希望送到患者身边</w:t>
              <w:tab/>
              <w:t>43</w:t>
            </w:r>
          </w:hyperlink>
        </w:p>
      </w:sdtContent>
    </w:sdt>
    <w:p>
      <w:pPr>
        <w:spacing w:after="0"/>
        <w:sectPr>
          <w:headerReference w:type="default" r:id="rId7"/>
          <w:footerReference w:type="default" r:id="rId8"/>
          <w:pgSz w:w="11910" w:h="16850"/>
          <w:pgMar w:header="906" w:footer="825" w:top="1100" w:bottom="1020" w:left="1000" w:right="740"/>
          <w:pgNumType w:start="2"/>
        </w:sectPr>
      </w:pPr>
    </w:p>
    <w:p>
      <w:pPr>
        <w:pStyle w:val="Heading2"/>
        <w:spacing w:before="993"/>
        <w:ind w:left="277"/>
      </w:pPr>
      <w:r>
        <w:rPr/>
        <w:t>【政府要闻】</w:t>
      </w:r>
    </w:p>
    <w:p>
      <w:pPr>
        <w:spacing w:before="122"/>
        <w:ind w:left="27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9"/>
          <w:footerReference w:type="default" r:id="rId10"/>
          <w:pgSz w:w="11910" w:h="16850"/>
          <w:pgMar w:header="906" w:footer="607" w:top="1100" w:bottom="800" w:left="1000" w:right="740"/>
          <w:pgNumType w:start="1"/>
          <w:cols w:num="2" w:equalWidth="0">
            <w:col w:w="2247" w:space="1620"/>
            <w:col w:w="6303"/>
          </w:cols>
        </w:sectPr>
      </w:pPr>
    </w:p>
    <w:p>
      <w:pPr>
        <w:pStyle w:val="BodyText"/>
        <w:spacing w:before="14"/>
        <w:ind w:left="0"/>
        <w:rPr>
          <w:rFonts w:ascii="华文宋体"/>
          <w:b/>
          <w:sz w:val="17"/>
        </w:rPr>
      </w:pPr>
    </w:p>
    <w:p>
      <w:pPr>
        <w:spacing w:before="0"/>
        <w:ind w:left="122" w:right="236" w:firstLine="0"/>
        <w:jc w:val="center"/>
        <w:rPr>
          <w:b/>
          <w:sz w:val="32"/>
        </w:rPr>
      </w:pPr>
      <w:r>
        <w:rPr>
          <w:b/>
          <w:sz w:val="32"/>
        </w:rPr>
        <w:t>《疫苗管理法》正式公布</w:t>
      </w:r>
    </w:p>
    <w:p>
      <w:pPr>
        <w:spacing w:before="79"/>
        <w:ind w:left="122" w:right="233" w:firstLine="0"/>
        <w:jc w:val="center"/>
        <w:rPr>
          <w:sz w:val="21"/>
        </w:rPr>
      </w:pPr>
      <w:r>
        <w:rPr>
          <w:sz w:val="21"/>
        </w:rPr>
        <w:t>将于今年十二月一日起施行</w:t>
      </w:r>
    </w:p>
    <w:p>
      <w:pPr>
        <w:pStyle w:val="Heading3"/>
        <w:spacing w:before="179"/>
        <w:ind w:left="7366"/>
        <w:rPr>
          <w:rFonts w:ascii="楷体" w:eastAsia="楷体" w:hint="eastAsia"/>
        </w:rPr>
      </w:pPr>
      <w:r>
        <w:rPr>
          <w:rFonts w:ascii="楷体" w:eastAsia="楷体" w:hint="eastAsia"/>
          <w:color w:val="FF0000"/>
          <w:w w:val="95"/>
        </w:rPr>
        <w:t>（来源：中国医药报）</w:t>
      </w:r>
    </w:p>
    <w:p>
      <w:pPr>
        <w:pStyle w:val="BodyText"/>
        <w:spacing w:before="79"/>
        <w:ind w:left="759"/>
        <w:jc w:val="both"/>
      </w:pPr>
      <w:r>
        <w:rPr>
          <w:spacing w:val="-2"/>
        </w:rPr>
        <w:t>历经最高立法机关三次审议，十三届全国人大常委会第十一次会议 </w:t>
      </w:r>
      <w:r>
        <w:rPr/>
        <w:t>6</w:t>
      </w:r>
      <w:r>
        <w:rPr>
          <w:spacing w:val="-40"/>
        </w:rPr>
        <w:t> 月 </w:t>
      </w:r>
      <w:r>
        <w:rPr/>
        <w:t>29</w:t>
      </w:r>
      <w:r>
        <w:rPr>
          <w:spacing w:val="-10"/>
        </w:rPr>
        <w:t> 日表决通过</w:t>
      </w:r>
    </w:p>
    <w:p>
      <w:pPr>
        <w:pStyle w:val="BodyText"/>
        <w:spacing w:before="52"/>
        <w:jc w:val="both"/>
      </w:pPr>
      <w:r>
        <w:rPr>
          <w:spacing w:val="-15"/>
        </w:rPr>
        <w:t>了《中华人民共和国疫苗管理法》。《疫苗管理法》共十一章 </w:t>
      </w:r>
      <w:r>
        <w:rPr/>
        <w:t>100</w:t>
      </w:r>
      <w:r>
        <w:rPr>
          <w:spacing w:val="-12"/>
        </w:rPr>
        <w:t> 条，对疫苗的研制、生产、</w:t>
      </w:r>
    </w:p>
    <w:p>
      <w:pPr>
        <w:pStyle w:val="BodyText"/>
        <w:spacing w:line="280" w:lineRule="auto" w:before="54"/>
        <w:ind w:right="386"/>
        <w:jc w:val="both"/>
      </w:pPr>
      <w:r>
        <w:rPr>
          <w:spacing w:val="-11"/>
        </w:rPr>
        <w:t>流通、预防接种等各环节均作出了明确规定，该法自 </w:t>
      </w:r>
      <w:r>
        <w:rPr/>
        <w:t>2019</w:t>
      </w:r>
      <w:r>
        <w:rPr>
          <w:spacing w:val="-40"/>
        </w:rPr>
        <w:t> 年 </w:t>
      </w:r>
      <w:r>
        <w:rPr/>
        <w:t>12</w:t>
      </w:r>
      <w:r>
        <w:rPr>
          <w:spacing w:val="-40"/>
        </w:rPr>
        <w:t> 月 </w:t>
      </w:r>
      <w:r>
        <w:rPr/>
        <w:t>1</w:t>
      </w:r>
      <w:r>
        <w:rPr>
          <w:spacing w:val="-12"/>
        </w:rPr>
        <w:t> 日起施行。这是我国对</w:t>
      </w:r>
      <w:r>
        <w:rPr>
          <w:spacing w:val="-6"/>
        </w:rPr>
        <w:t>疫苗管理进行的专门立法，将对疫苗实行最严格的管理制度，坚持安全第一、风险管理、全程管控、科学监管、社会共治。</w:t>
      </w:r>
    </w:p>
    <w:p>
      <w:pPr>
        <w:pStyle w:val="BodyText"/>
        <w:spacing w:line="280" w:lineRule="auto"/>
        <w:ind w:right="392" w:firstLine="482"/>
      </w:pPr>
      <w:r>
        <w:rPr>
          <w:spacing w:val="-10"/>
        </w:rPr>
        <w:t>专家指出，这部疫苗管理的专门法律，回应了人民群众的期待，解决疫苗管理中存在的</w:t>
      </w:r>
      <w:r>
        <w:rPr/>
        <w:t>突出问题，在制度设计中充分体现了药品领域“四个最严”的要求。</w:t>
      </w:r>
    </w:p>
    <w:p>
      <w:pPr>
        <w:pStyle w:val="BodyText"/>
        <w:spacing w:line="280" w:lineRule="auto" w:before="1"/>
        <w:ind w:right="266" w:firstLine="482"/>
      </w:pPr>
      <w:r>
        <w:rPr>
          <w:spacing w:val="-13"/>
        </w:rPr>
        <w:t>作为管理法，法律的“牙齿”很重要。从 </w:t>
      </w:r>
      <w:r>
        <w:rPr/>
        <w:t>2018</w:t>
      </w:r>
      <w:r>
        <w:rPr>
          <w:spacing w:val="-40"/>
        </w:rPr>
        <w:t> 年 </w:t>
      </w:r>
      <w:r>
        <w:rPr/>
        <w:t>12</w:t>
      </w:r>
      <w:r>
        <w:rPr>
          <w:spacing w:val="-8"/>
        </w:rPr>
        <w:t> 月底全国人大常委会第一次审议到</w:t>
      </w:r>
      <w:r>
        <w:rPr>
          <w:spacing w:val="-13"/>
        </w:rPr>
        <w:t>近日的第三次审议，有关疫苗违法犯罪行为的法律责任一直在“加码”。《疫苗管理法》明</w:t>
      </w:r>
      <w:r>
        <w:rPr>
          <w:spacing w:val="-10"/>
        </w:rPr>
        <w:t>确，疫苗犯罪行为依法从重追究刑事责任；对违法生产销售假劣疫苗，违反生产、储存、运</w:t>
      </w:r>
      <w:r>
        <w:rPr>
          <w:spacing w:val="-20"/>
        </w:rPr>
        <w:t>输相关质量管理规范要求等情形的，设置了比一般药品更高的处罚；落实“处罚到人”要求， </w:t>
      </w:r>
      <w:r>
        <w:rPr/>
        <w:t>依法实行罚款、行政拘留、从业禁止直至终身禁业等。</w:t>
      </w:r>
    </w:p>
    <w:p>
      <w:pPr>
        <w:pStyle w:val="BodyText"/>
        <w:spacing w:line="280" w:lineRule="auto" w:before="1"/>
        <w:ind w:right="387" w:firstLine="482"/>
        <w:jc w:val="both"/>
      </w:pPr>
      <w:r>
        <w:rPr>
          <w:spacing w:val="-9"/>
        </w:rPr>
        <w:t>《疫苗管理法》还为疫苗管理的全链条、各环节、各主体都设定了严格的责任。有些是</w:t>
      </w:r>
      <w:r>
        <w:rPr>
          <w:spacing w:val="-10"/>
        </w:rPr>
        <w:t>制度上的创新，比如国家将实行疫苗全程电子追溯制度、预防接种异常反应补偿制度和疫苗</w:t>
      </w:r>
      <w:r>
        <w:rPr/>
        <w:t>责任强制保险制度等。</w:t>
      </w:r>
    </w:p>
    <w:p>
      <w:pPr>
        <w:pStyle w:val="BodyText"/>
        <w:spacing w:line="280" w:lineRule="auto" w:before="1"/>
        <w:ind w:right="287" w:firstLine="482"/>
      </w:pPr>
      <w:r>
        <w:rPr>
          <w:spacing w:val="-6"/>
        </w:rPr>
        <w:t>有些是对原有措施的“升级”。在生产环节，《疫苗管理法》提出，国家对疫苗生产实</w:t>
      </w:r>
      <w:r>
        <w:rPr>
          <w:spacing w:val="-7"/>
        </w:rPr>
        <w:t>行严格准入制度。从事疫苗生产活动，要在《药品管理法》规定的从事药品生产条件之外， </w:t>
      </w:r>
      <w:r>
        <w:rPr/>
        <w:t>满足更加严格的条件。</w:t>
      </w:r>
    </w:p>
    <w:p>
      <w:pPr>
        <w:pStyle w:val="BodyText"/>
        <w:spacing w:line="280" w:lineRule="auto" w:before="1"/>
        <w:ind w:right="268" w:firstLine="482"/>
        <w:jc w:val="both"/>
      </w:pPr>
      <w:r>
        <w:rPr>
          <w:spacing w:val="-18"/>
        </w:rPr>
        <w:t>在流通环节，《疫苗管理法》明确，疫苗储存、运输的全过程应当处于规定的温度环境， </w:t>
      </w:r>
      <w:r>
        <w:rPr/>
        <w:t>冷链储存、运输应当符合要求，并定时监测、记录温度。对于违反上述要求的单位和个人， 将给予没收所得、罚款等惩罚。</w:t>
      </w:r>
    </w:p>
    <w:p>
      <w:pPr>
        <w:pStyle w:val="BodyText"/>
        <w:spacing w:line="280" w:lineRule="auto" w:before="1"/>
        <w:ind w:right="284" w:firstLine="482"/>
      </w:pPr>
      <w:r>
        <w:rPr>
          <w:spacing w:val="-1"/>
        </w:rPr>
        <w:t>在预防接种环节，《疫苗管理法》对接种单位的设置、人员资质及冷链作出严格规定， </w:t>
      </w:r>
      <w:r>
        <w:rPr>
          <w:spacing w:val="-6"/>
        </w:rPr>
        <w:t>并要求医疗卫生人员在接种前、接种时、接种后严格按照要求提供预防接种服务，比如接种时要“三查七对”，接种后发现不良反应要及时救治等。</w:t>
      </w:r>
    </w:p>
    <w:p>
      <w:pPr>
        <w:pStyle w:val="BodyText"/>
        <w:spacing w:line="264" w:lineRule="auto"/>
        <w:ind w:right="387" w:firstLine="482"/>
        <w:jc w:val="both"/>
        <w:rPr>
          <w:rFonts w:ascii="Meiryo" w:eastAsia="Meiryo" w:hint="eastAsia"/>
          <w:b/>
        </w:rPr>
      </w:pPr>
      <w:r>
        <w:rPr>
          <w:spacing w:val="-11"/>
        </w:rPr>
        <w:t>在监督管理环节，《疫苗管理法》提出，国家建设中央和省级两级职业化、专业化药品</w:t>
      </w:r>
      <w:r>
        <w:rPr>
          <w:spacing w:val="-10"/>
        </w:rPr>
        <w:t>检查员队伍；疫苗管理部门要建立质量、预防接种等信息共享机制；实行疫苗安全信息统一</w:t>
      </w:r>
      <w:r>
        <w:rPr/>
        <w:t>公布制度等。</w:t>
      </w:r>
      <w:r>
        <w:rPr>
          <w:rFonts w:ascii="Meiryo" w:eastAsia="Meiryo" w:hint="eastAsia"/>
          <w:b/>
          <w:color w:val="0033CC"/>
        </w:rPr>
        <w:t>[返回目次]</w:t>
      </w:r>
    </w:p>
    <w:p>
      <w:pPr>
        <w:pStyle w:val="Heading2"/>
        <w:spacing w:before="141"/>
        <w:ind w:right="242"/>
        <w:jc w:val="center"/>
      </w:pPr>
      <w:r>
        <w:rPr/>
        <w:t>第一批鼓励仿制药品目录建议清单发布</w:t>
      </w:r>
    </w:p>
    <w:p>
      <w:pPr>
        <w:pStyle w:val="Heading3"/>
        <w:spacing w:before="145"/>
        <w:ind w:left="7366"/>
        <w:rPr>
          <w:rFonts w:ascii="楷体" w:eastAsia="楷体" w:hint="eastAsia"/>
        </w:rPr>
      </w:pPr>
      <w:r>
        <w:rPr>
          <w:rFonts w:ascii="楷体" w:eastAsia="楷体" w:hint="eastAsia"/>
          <w:color w:val="FF0000"/>
        </w:rPr>
        <w:t>（来源：中国青年报）</w:t>
      </w:r>
    </w:p>
    <w:p>
      <w:pPr>
        <w:pStyle w:val="BodyText"/>
        <w:spacing w:line="280" w:lineRule="auto" w:before="82"/>
        <w:ind w:right="523" w:firstLine="482"/>
      </w:pPr>
      <w:r>
        <w:rPr/>
        <w:t>国家卫健委近日公示了《第一批鼓励仿制药品目录建议清单》（见附件），清单内共34 种药物，包括艾滋病治疗药物利匹韦林、阿巴卡韦和白血病治疗药物硫唑嘌呤。</w:t>
      </w:r>
    </w:p>
    <w:p>
      <w:pPr>
        <w:spacing w:after="0" w:line="280" w:lineRule="auto"/>
        <w:sectPr>
          <w:type w:val="continuous"/>
          <w:pgSz w:w="11910" w:h="16850"/>
          <w:pgMar w:top="1100" w:bottom="1020" w:left="1000" w:right="740"/>
        </w:sectPr>
      </w:pPr>
    </w:p>
    <w:p>
      <w:pPr>
        <w:pStyle w:val="BodyText"/>
        <w:spacing w:line="280" w:lineRule="auto" w:before="48"/>
        <w:ind w:right="270" w:firstLine="482"/>
      </w:pPr>
      <w:r>
        <w:rPr>
          <w:spacing w:val="-4"/>
        </w:rPr>
        <w:t>此前国家卫健委、国家发改委等 </w:t>
      </w:r>
      <w:r>
        <w:rPr/>
        <w:t>12</w:t>
      </w:r>
      <w:r>
        <w:rPr>
          <w:spacing w:val="-8"/>
        </w:rPr>
        <w:t> 部门联合发布的《关于加快落实仿制药供应保障及使用政策工作方案》要求，2019</w:t>
      </w:r>
      <w:r>
        <w:rPr>
          <w:spacing w:val="-40"/>
        </w:rPr>
        <w:t> 年 </w:t>
      </w:r>
      <w:r>
        <w:rPr/>
        <w:t>6</w:t>
      </w:r>
      <w:r>
        <w:rPr>
          <w:spacing w:val="-8"/>
        </w:rPr>
        <w:t> 月底前，发布第一批鼓励仿制的药品目录，引导企业研发、注册和生产。此外根据临床用药需求，2020 年起，每年年底前发布鼓励仿制的药品</w:t>
      </w:r>
      <w:r>
        <w:rPr>
          <w:spacing w:val="-17"/>
        </w:rPr>
        <w:t>目录。在使用政策方面，指出要促进仿制药替代使用，全面落实按通用名编制药品采购目录。</w:t>
      </w:r>
      <w:r>
        <w:rPr/>
        <w:t>药品集中采购优先选用通过一致性评价的品种。</w:t>
      </w:r>
    </w:p>
    <w:p>
      <w:pPr>
        <w:pStyle w:val="BodyText"/>
        <w:spacing w:line="280" w:lineRule="auto" w:before="1"/>
        <w:ind w:right="388" w:firstLine="482"/>
        <w:jc w:val="both"/>
      </w:pPr>
      <w:r>
        <w:rPr>
          <w:spacing w:val="-9"/>
        </w:rPr>
        <w:t>关于清单中的 </w:t>
      </w:r>
      <w:r>
        <w:rPr/>
        <w:t>34</w:t>
      </w:r>
      <w:r>
        <w:rPr>
          <w:spacing w:val="-8"/>
        </w:rPr>
        <w:t> 种药物，《关于第一批鼓励仿制药品目录建议清单的公示》指出，是</w:t>
      </w:r>
      <w:r>
        <w:rPr>
          <w:spacing w:val="-15"/>
        </w:rPr>
        <w:t>由国家卫健委联合科技部、工业和信息化部、国家药监局、知识产权局等部门组织专家对国</w:t>
      </w:r>
      <w:r>
        <w:rPr>
          <w:spacing w:val="-4"/>
        </w:rPr>
        <w:t>内专利到期和专利即将到期尚没有提出注册申请、临床供应短缺</w:t>
      </w:r>
      <w:r>
        <w:rPr/>
        <w:t>（</w:t>
      </w:r>
      <w:r>
        <w:rPr>
          <w:spacing w:val="-2"/>
        </w:rPr>
        <w:t>竞争不充分</w:t>
      </w:r>
      <w:r>
        <w:rPr>
          <w:spacing w:val="-34"/>
        </w:rPr>
        <w:t>）</w:t>
      </w:r>
      <w:r>
        <w:rPr>
          <w:spacing w:val="-3"/>
        </w:rPr>
        <w:t>以及企业主</w:t>
      </w:r>
      <w:r>
        <w:rPr/>
        <w:t>动申报的药品进行遴选论证后提出。</w:t>
      </w:r>
    </w:p>
    <w:p>
      <w:pPr>
        <w:pStyle w:val="BodyText"/>
        <w:spacing w:line="280" w:lineRule="auto" w:before="1"/>
        <w:ind w:right="387" w:firstLine="482"/>
        <w:jc w:val="both"/>
      </w:pPr>
      <w:r>
        <w:rPr>
          <w:spacing w:val="-4"/>
        </w:rPr>
        <w:t>“临床必需、疗效确切、供应短缺”。在 </w:t>
      </w:r>
      <w:r>
        <w:rPr/>
        <w:t>2018</w:t>
      </w:r>
      <w:r>
        <w:rPr>
          <w:spacing w:val="-40"/>
        </w:rPr>
        <w:t> 年 </w:t>
      </w:r>
      <w:r>
        <w:rPr/>
        <w:t>4</w:t>
      </w:r>
      <w:r>
        <w:rPr>
          <w:spacing w:val="-8"/>
        </w:rPr>
        <w:t> 月国务院办公厅印发的《关于改革</w:t>
      </w:r>
      <w:r>
        <w:rPr>
          <w:spacing w:val="-14"/>
        </w:rPr>
        <w:t>完善仿制药供应保障及使用政策的意见》中明确提出促进此类仿制药研发，鼓励仿制重大传</w:t>
      </w:r>
      <w:r>
        <w:rPr>
          <w:spacing w:val="-7"/>
        </w:rPr>
        <w:t>染病防治和罕见病治疗所需药品、处置突发公共卫生事件所需药品、儿童使用药品以及专利</w:t>
      </w:r>
      <w:r>
        <w:rPr>
          <w:spacing w:val="-6"/>
        </w:rPr>
        <w:t>到期前一年尚没有提出注册申请的药品。以推动医药产业供给侧结构性改革，提高药品供应</w:t>
      </w:r>
      <w:r>
        <w:rPr/>
        <w:t>保障能力，降低全社会药品费用负担，保障广大人民群众用药需求。</w:t>
      </w:r>
    </w:p>
    <w:p>
      <w:pPr>
        <w:spacing w:before="32"/>
        <w:ind w:left="759" w:right="0" w:firstLine="0"/>
        <w:jc w:val="left"/>
        <w:rPr>
          <w:sz w:val="21"/>
        </w:rPr>
      </w:pPr>
      <w:r>
        <w:rPr>
          <w:sz w:val="21"/>
        </w:rPr>
        <w:t>附件：</w:t>
      </w:r>
    </w:p>
    <w:p>
      <w:pPr>
        <w:spacing w:before="51" w:after="43"/>
        <w:ind w:left="122" w:right="237" w:firstLine="0"/>
        <w:jc w:val="center"/>
        <w:rPr>
          <w:b/>
          <w:sz w:val="18"/>
        </w:rPr>
      </w:pPr>
      <w:r>
        <w:rPr>
          <w:b/>
          <w:sz w:val="18"/>
        </w:rPr>
        <w:t>第一批鼓励仿制药品目录建议清单</w:t>
      </w: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2264"/>
        <w:gridCol w:w="1985"/>
        <w:gridCol w:w="4681"/>
      </w:tblGrid>
      <w:tr>
        <w:trPr>
          <w:trHeight w:val="361" w:hRule="atLeast"/>
        </w:trPr>
        <w:tc>
          <w:tcPr>
            <w:tcW w:w="598" w:type="dxa"/>
          </w:tcPr>
          <w:p>
            <w:pPr>
              <w:pStyle w:val="TableParagraph"/>
              <w:spacing w:before="67"/>
              <w:ind w:left="98" w:right="87"/>
              <w:jc w:val="center"/>
              <w:rPr>
                <w:b/>
                <w:sz w:val="18"/>
              </w:rPr>
            </w:pPr>
            <w:r>
              <w:rPr>
                <w:b/>
                <w:sz w:val="18"/>
              </w:rPr>
              <w:t>编号</w:t>
            </w:r>
          </w:p>
        </w:tc>
        <w:tc>
          <w:tcPr>
            <w:tcW w:w="2264" w:type="dxa"/>
          </w:tcPr>
          <w:p>
            <w:pPr>
              <w:pStyle w:val="TableParagraph"/>
              <w:spacing w:before="67"/>
              <w:ind w:left="389" w:right="384"/>
              <w:jc w:val="center"/>
              <w:rPr>
                <w:b/>
                <w:sz w:val="18"/>
              </w:rPr>
            </w:pPr>
            <w:r>
              <w:rPr>
                <w:b/>
                <w:sz w:val="18"/>
              </w:rPr>
              <w:t>药品通用名</w:t>
            </w:r>
          </w:p>
        </w:tc>
        <w:tc>
          <w:tcPr>
            <w:tcW w:w="1985" w:type="dxa"/>
          </w:tcPr>
          <w:p>
            <w:pPr>
              <w:pStyle w:val="TableParagraph"/>
              <w:spacing w:before="67"/>
              <w:ind w:left="791" w:right="781"/>
              <w:jc w:val="center"/>
              <w:rPr>
                <w:b/>
                <w:sz w:val="18"/>
              </w:rPr>
            </w:pPr>
            <w:r>
              <w:rPr>
                <w:b/>
                <w:sz w:val="18"/>
              </w:rPr>
              <w:t>剂型</w:t>
            </w:r>
          </w:p>
        </w:tc>
        <w:tc>
          <w:tcPr>
            <w:tcW w:w="4681" w:type="dxa"/>
          </w:tcPr>
          <w:p>
            <w:pPr>
              <w:pStyle w:val="TableParagraph"/>
              <w:spacing w:before="67"/>
              <w:ind w:left="2138" w:right="2130"/>
              <w:jc w:val="center"/>
              <w:rPr>
                <w:b/>
                <w:sz w:val="18"/>
              </w:rPr>
            </w:pPr>
            <w:r>
              <w:rPr>
                <w:b/>
                <w:sz w:val="18"/>
              </w:rPr>
              <w:t>规格</w:t>
            </w:r>
          </w:p>
        </w:tc>
      </w:tr>
      <w:tr>
        <w:trPr>
          <w:trHeight w:val="345" w:hRule="atLeast"/>
        </w:trPr>
        <w:tc>
          <w:tcPr>
            <w:tcW w:w="598" w:type="dxa"/>
          </w:tcPr>
          <w:p>
            <w:pPr>
              <w:pStyle w:val="TableParagraph"/>
              <w:spacing w:before="67"/>
              <w:ind w:left="5"/>
              <w:jc w:val="center"/>
              <w:rPr>
                <w:rFonts w:ascii="Times New Roman"/>
                <w:sz w:val="18"/>
              </w:rPr>
            </w:pPr>
            <w:r>
              <w:rPr>
                <w:rFonts w:ascii="Times New Roman"/>
                <w:sz w:val="18"/>
              </w:rPr>
              <w:t>1</w:t>
            </w:r>
          </w:p>
        </w:tc>
        <w:tc>
          <w:tcPr>
            <w:tcW w:w="2264" w:type="dxa"/>
          </w:tcPr>
          <w:p>
            <w:pPr>
              <w:pStyle w:val="TableParagraph"/>
              <w:spacing w:before="60"/>
              <w:ind w:left="389" w:right="384"/>
              <w:jc w:val="center"/>
              <w:rPr>
                <w:sz w:val="18"/>
              </w:rPr>
            </w:pPr>
            <w:r>
              <w:rPr>
                <w:sz w:val="18"/>
              </w:rPr>
              <w:t>尼替西农</w:t>
            </w:r>
          </w:p>
        </w:tc>
        <w:tc>
          <w:tcPr>
            <w:tcW w:w="1985" w:type="dxa"/>
          </w:tcPr>
          <w:p>
            <w:pPr>
              <w:pStyle w:val="TableParagraph"/>
              <w:spacing w:before="60"/>
              <w:ind w:left="13"/>
              <w:rPr>
                <w:sz w:val="18"/>
              </w:rPr>
            </w:pPr>
            <w:r>
              <w:rPr>
                <w:sz w:val="18"/>
              </w:rPr>
              <w:t>胶囊</w:t>
            </w:r>
          </w:p>
        </w:tc>
        <w:tc>
          <w:tcPr>
            <w:tcW w:w="4681" w:type="dxa"/>
          </w:tcPr>
          <w:p>
            <w:pPr>
              <w:pStyle w:val="TableParagraph"/>
              <w:spacing w:before="67"/>
              <w:ind w:left="13"/>
              <w:rPr>
                <w:rFonts w:ascii="Times New Roman"/>
                <w:sz w:val="18"/>
              </w:rPr>
            </w:pPr>
            <w:r>
              <w:rPr>
                <w:rFonts w:ascii="Times New Roman"/>
                <w:sz w:val="18"/>
              </w:rPr>
              <w:t>20mg</w:t>
            </w:r>
          </w:p>
        </w:tc>
      </w:tr>
      <w:tr>
        <w:trPr>
          <w:trHeight w:val="345" w:hRule="atLeast"/>
        </w:trPr>
        <w:tc>
          <w:tcPr>
            <w:tcW w:w="598" w:type="dxa"/>
          </w:tcPr>
          <w:p>
            <w:pPr>
              <w:pStyle w:val="TableParagraph"/>
              <w:spacing w:before="67"/>
              <w:ind w:left="5"/>
              <w:jc w:val="center"/>
              <w:rPr>
                <w:rFonts w:ascii="Times New Roman"/>
                <w:sz w:val="18"/>
              </w:rPr>
            </w:pPr>
            <w:r>
              <w:rPr>
                <w:rFonts w:ascii="Times New Roman"/>
                <w:sz w:val="18"/>
              </w:rPr>
              <w:t>2</w:t>
            </w:r>
          </w:p>
        </w:tc>
        <w:tc>
          <w:tcPr>
            <w:tcW w:w="2264" w:type="dxa"/>
          </w:tcPr>
          <w:p>
            <w:pPr>
              <w:pStyle w:val="TableParagraph"/>
              <w:spacing w:before="59"/>
              <w:ind w:left="389" w:right="382"/>
              <w:jc w:val="center"/>
              <w:rPr>
                <w:sz w:val="18"/>
              </w:rPr>
            </w:pPr>
            <w:r>
              <w:rPr>
                <w:sz w:val="18"/>
              </w:rPr>
              <w:t>富马酸福莫特罗</w:t>
            </w:r>
          </w:p>
        </w:tc>
        <w:tc>
          <w:tcPr>
            <w:tcW w:w="1985" w:type="dxa"/>
          </w:tcPr>
          <w:p>
            <w:pPr>
              <w:pStyle w:val="TableParagraph"/>
              <w:spacing w:before="59"/>
              <w:ind w:left="13"/>
              <w:rPr>
                <w:sz w:val="18"/>
              </w:rPr>
            </w:pPr>
            <w:r>
              <w:rPr>
                <w:sz w:val="18"/>
              </w:rPr>
              <w:t>吸入溶液剂</w:t>
            </w:r>
          </w:p>
        </w:tc>
        <w:tc>
          <w:tcPr>
            <w:tcW w:w="4681" w:type="dxa"/>
          </w:tcPr>
          <w:p>
            <w:pPr>
              <w:pStyle w:val="TableParagraph"/>
              <w:spacing w:before="67"/>
              <w:ind w:left="13"/>
              <w:rPr>
                <w:rFonts w:ascii="Times New Roman"/>
                <w:sz w:val="18"/>
              </w:rPr>
            </w:pPr>
            <w:r>
              <w:rPr>
                <w:rFonts w:ascii="Times New Roman"/>
                <w:sz w:val="18"/>
              </w:rPr>
              <w:t>0.02mg/2ml</w:t>
            </w:r>
          </w:p>
        </w:tc>
      </w:tr>
      <w:tr>
        <w:trPr>
          <w:trHeight w:val="369" w:hRule="atLeast"/>
        </w:trPr>
        <w:tc>
          <w:tcPr>
            <w:tcW w:w="598" w:type="dxa"/>
            <w:vMerge w:val="restart"/>
          </w:tcPr>
          <w:p>
            <w:pPr>
              <w:pStyle w:val="TableParagraph"/>
              <w:spacing w:before="12"/>
              <w:rPr>
                <w:b/>
                <w:sz w:val="20"/>
              </w:rPr>
            </w:pPr>
          </w:p>
          <w:p>
            <w:pPr>
              <w:pStyle w:val="TableParagraph"/>
              <w:ind w:left="5"/>
              <w:jc w:val="center"/>
              <w:rPr>
                <w:rFonts w:ascii="Times New Roman"/>
                <w:sz w:val="18"/>
              </w:rPr>
            </w:pPr>
            <w:r>
              <w:rPr>
                <w:rFonts w:ascii="Times New Roman"/>
                <w:sz w:val="18"/>
              </w:rPr>
              <w:t>3</w:t>
            </w:r>
          </w:p>
        </w:tc>
        <w:tc>
          <w:tcPr>
            <w:tcW w:w="2264" w:type="dxa"/>
            <w:vMerge w:val="restart"/>
          </w:tcPr>
          <w:p>
            <w:pPr>
              <w:pStyle w:val="TableParagraph"/>
              <w:spacing w:before="5"/>
              <w:rPr>
                <w:b/>
                <w:sz w:val="20"/>
              </w:rPr>
            </w:pPr>
          </w:p>
          <w:p>
            <w:pPr>
              <w:pStyle w:val="TableParagraph"/>
              <w:ind w:left="389" w:right="384"/>
              <w:jc w:val="center"/>
              <w:rPr>
                <w:sz w:val="18"/>
              </w:rPr>
            </w:pPr>
            <w:r>
              <w:rPr>
                <w:sz w:val="18"/>
              </w:rPr>
              <w:t>泊沙康唑</w:t>
            </w:r>
          </w:p>
        </w:tc>
        <w:tc>
          <w:tcPr>
            <w:tcW w:w="1985" w:type="dxa"/>
          </w:tcPr>
          <w:p>
            <w:pPr>
              <w:pStyle w:val="TableParagraph"/>
              <w:spacing w:before="71"/>
              <w:ind w:left="13"/>
              <w:rPr>
                <w:sz w:val="18"/>
              </w:rPr>
            </w:pPr>
            <w:r>
              <w:rPr>
                <w:sz w:val="18"/>
              </w:rPr>
              <w:t>注射液</w:t>
            </w:r>
          </w:p>
        </w:tc>
        <w:tc>
          <w:tcPr>
            <w:tcW w:w="4681" w:type="dxa"/>
          </w:tcPr>
          <w:p>
            <w:pPr>
              <w:pStyle w:val="TableParagraph"/>
              <w:spacing w:before="71"/>
              <w:ind w:left="13"/>
              <w:rPr>
                <w:sz w:val="18"/>
              </w:rPr>
            </w:pPr>
            <w:r>
              <w:rPr>
                <w:rFonts w:ascii="Times New Roman" w:eastAsia="Times New Roman"/>
                <w:sz w:val="18"/>
              </w:rPr>
              <w:t>300mg/16.7ml</w:t>
            </w:r>
            <w:r>
              <w:rPr>
                <w:sz w:val="18"/>
              </w:rPr>
              <w:t>（</w:t>
            </w:r>
            <w:r>
              <w:rPr>
                <w:rFonts w:ascii="Times New Roman" w:eastAsia="Times New Roman"/>
                <w:sz w:val="18"/>
              </w:rPr>
              <w:t>18mg/ml</w:t>
            </w:r>
            <w:r>
              <w:rPr>
                <w:sz w:val="18"/>
              </w:rPr>
              <w:t>）</w:t>
            </w:r>
          </w:p>
        </w:tc>
      </w:tr>
      <w:tr>
        <w:trPr>
          <w:trHeight w:val="371" w:hRule="atLeast"/>
        </w:trPr>
        <w:tc>
          <w:tcPr>
            <w:tcW w:w="598" w:type="dxa"/>
            <w:vMerge/>
            <w:tcBorders>
              <w:top w:val="nil"/>
            </w:tcBorders>
          </w:tcPr>
          <w:p>
            <w:pPr>
              <w:rPr>
                <w:sz w:val="2"/>
                <w:szCs w:val="2"/>
              </w:rPr>
            </w:pPr>
          </w:p>
        </w:tc>
        <w:tc>
          <w:tcPr>
            <w:tcW w:w="2264" w:type="dxa"/>
            <w:vMerge/>
            <w:tcBorders>
              <w:top w:val="nil"/>
            </w:tcBorders>
          </w:tcPr>
          <w:p>
            <w:pPr>
              <w:rPr>
                <w:sz w:val="2"/>
                <w:szCs w:val="2"/>
              </w:rPr>
            </w:pPr>
          </w:p>
        </w:tc>
        <w:tc>
          <w:tcPr>
            <w:tcW w:w="1985" w:type="dxa"/>
          </w:tcPr>
          <w:p>
            <w:pPr>
              <w:pStyle w:val="TableParagraph"/>
              <w:spacing w:before="71"/>
              <w:ind w:left="13"/>
              <w:rPr>
                <w:sz w:val="18"/>
              </w:rPr>
            </w:pPr>
            <w:r>
              <w:rPr>
                <w:sz w:val="18"/>
              </w:rPr>
              <w:t>肠溶片</w:t>
            </w:r>
          </w:p>
        </w:tc>
        <w:tc>
          <w:tcPr>
            <w:tcW w:w="4681" w:type="dxa"/>
          </w:tcPr>
          <w:p>
            <w:pPr>
              <w:pStyle w:val="TableParagraph"/>
              <w:spacing w:before="79"/>
              <w:ind w:left="13"/>
              <w:rPr>
                <w:rFonts w:ascii="Times New Roman"/>
                <w:sz w:val="18"/>
              </w:rPr>
            </w:pPr>
            <w:r>
              <w:rPr>
                <w:rFonts w:ascii="Times New Roman"/>
                <w:sz w:val="18"/>
              </w:rPr>
              <w:t>100mg</w:t>
            </w:r>
          </w:p>
        </w:tc>
      </w:tr>
      <w:tr>
        <w:trPr>
          <w:trHeight w:val="369" w:hRule="atLeast"/>
        </w:trPr>
        <w:tc>
          <w:tcPr>
            <w:tcW w:w="598" w:type="dxa"/>
          </w:tcPr>
          <w:p>
            <w:pPr>
              <w:pStyle w:val="TableParagraph"/>
              <w:spacing w:before="76"/>
              <w:ind w:left="5"/>
              <w:jc w:val="center"/>
              <w:rPr>
                <w:rFonts w:ascii="Times New Roman"/>
                <w:sz w:val="18"/>
              </w:rPr>
            </w:pPr>
            <w:r>
              <w:rPr>
                <w:rFonts w:ascii="Times New Roman"/>
                <w:sz w:val="18"/>
              </w:rPr>
              <w:t>4</w:t>
            </w:r>
          </w:p>
        </w:tc>
        <w:tc>
          <w:tcPr>
            <w:tcW w:w="2264" w:type="dxa"/>
          </w:tcPr>
          <w:p>
            <w:pPr>
              <w:pStyle w:val="TableParagraph"/>
              <w:spacing w:before="69"/>
              <w:ind w:left="389" w:right="382"/>
              <w:jc w:val="center"/>
              <w:rPr>
                <w:sz w:val="18"/>
              </w:rPr>
            </w:pPr>
            <w:r>
              <w:rPr>
                <w:sz w:val="18"/>
              </w:rPr>
              <w:t>氨苯砜</w:t>
            </w:r>
          </w:p>
        </w:tc>
        <w:tc>
          <w:tcPr>
            <w:tcW w:w="1985" w:type="dxa"/>
          </w:tcPr>
          <w:p>
            <w:pPr>
              <w:pStyle w:val="TableParagraph"/>
              <w:spacing w:before="69"/>
              <w:ind w:left="13"/>
              <w:rPr>
                <w:sz w:val="18"/>
              </w:rPr>
            </w:pPr>
            <w:r>
              <w:rPr>
                <w:sz w:val="18"/>
              </w:rPr>
              <w:t>片剂</w:t>
            </w:r>
          </w:p>
        </w:tc>
        <w:tc>
          <w:tcPr>
            <w:tcW w:w="4681" w:type="dxa"/>
          </w:tcPr>
          <w:p>
            <w:pPr>
              <w:pStyle w:val="TableParagraph"/>
              <w:spacing w:before="69"/>
              <w:ind w:left="13"/>
              <w:rPr>
                <w:rFonts w:ascii="Times New Roman" w:eastAsia="Times New Roman"/>
                <w:sz w:val="18"/>
              </w:rPr>
            </w:pPr>
            <w:r>
              <w:rPr>
                <w:rFonts w:ascii="Times New Roman" w:eastAsia="Times New Roman"/>
                <w:sz w:val="18"/>
              </w:rPr>
              <w:t>50mg</w:t>
            </w:r>
            <w:r>
              <w:rPr>
                <w:sz w:val="18"/>
              </w:rPr>
              <w:t>、</w:t>
            </w:r>
            <w:r>
              <w:rPr>
                <w:rFonts w:ascii="Times New Roman" w:eastAsia="Times New Roman"/>
                <w:sz w:val="18"/>
              </w:rPr>
              <w:t>100mg</w:t>
            </w:r>
          </w:p>
        </w:tc>
      </w:tr>
      <w:tr>
        <w:trPr>
          <w:trHeight w:val="369" w:hRule="atLeast"/>
        </w:trPr>
        <w:tc>
          <w:tcPr>
            <w:tcW w:w="598" w:type="dxa"/>
            <w:vMerge w:val="restart"/>
          </w:tcPr>
          <w:p>
            <w:pPr>
              <w:pStyle w:val="TableParagraph"/>
              <w:spacing w:before="12"/>
              <w:rPr>
                <w:b/>
                <w:sz w:val="20"/>
              </w:rPr>
            </w:pPr>
          </w:p>
          <w:p>
            <w:pPr>
              <w:pStyle w:val="TableParagraph"/>
              <w:ind w:left="5"/>
              <w:jc w:val="center"/>
              <w:rPr>
                <w:rFonts w:ascii="Times New Roman"/>
                <w:sz w:val="18"/>
              </w:rPr>
            </w:pPr>
            <w:r>
              <w:rPr>
                <w:rFonts w:ascii="Times New Roman"/>
                <w:sz w:val="18"/>
              </w:rPr>
              <w:t>5</w:t>
            </w:r>
          </w:p>
        </w:tc>
        <w:tc>
          <w:tcPr>
            <w:tcW w:w="2264" w:type="dxa"/>
            <w:vMerge w:val="restart"/>
          </w:tcPr>
          <w:p>
            <w:pPr>
              <w:pStyle w:val="TableParagraph"/>
              <w:spacing w:before="5"/>
              <w:rPr>
                <w:b/>
                <w:sz w:val="20"/>
              </w:rPr>
            </w:pPr>
          </w:p>
          <w:p>
            <w:pPr>
              <w:pStyle w:val="TableParagraph"/>
              <w:ind w:left="680"/>
              <w:rPr>
                <w:sz w:val="18"/>
              </w:rPr>
            </w:pPr>
            <w:r>
              <w:rPr>
                <w:sz w:val="18"/>
              </w:rPr>
              <w:t>缬更昔洛韦</w:t>
            </w:r>
          </w:p>
        </w:tc>
        <w:tc>
          <w:tcPr>
            <w:tcW w:w="1985" w:type="dxa"/>
          </w:tcPr>
          <w:p>
            <w:pPr>
              <w:pStyle w:val="TableParagraph"/>
              <w:spacing w:before="71"/>
              <w:ind w:left="13"/>
              <w:rPr>
                <w:sz w:val="18"/>
              </w:rPr>
            </w:pPr>
            <w:r>
              <w:rPr>
                <w:sz w:val="18"/>
              </w:rPr>
              <w:t>口服溶液剂</w:t>
            </w:r>
          </w:p>
        </w:tc>
        <w:tc>
          <w:tcPr>
            <w:tcW w:w="4681" w:type="dxa"/>
          </w:tcPr>
          <w:p>
            <w:pPr>
              <w:pStyle w:val="TableParagraph"/>
              <w:spacing w:before="79"/>
              <w:ind w:left="13"/>
              <w:rPr>
                <w:rFonts w:ascii="Times New Roman"/>
                <w:sz w:val="18"/>
              </w:rPr>
            </w:pPr>
            <w:r>
              <w:rPr>
                <w:rFonts w:ascii="Times New Roman"/>
                <w:sz w:val="18"/>
              </w:rPr>
              <w:t>50mg/ml</w:t>
            </w:r>
          </w:p>
        </w:tc>
      </w:tr>
      <w:tr>
        <w:trPr>
          <w:trHeight w:val="371" w:hRule="atLeast"/>
        </w:trPr>
        <w:tc>
          <w:tcPr>
            <w:tcW w:w="598" w:type="dxa"/>
            <w:vMerge/>
            <w:tcBorders>
              <w:top w:val="nil"/>
            </w:tcBorders>
          </w:tcPr>
          <w:p>
            <w:pPr>
              <w:rPr>
                <w:sz w:val="2"/>
                <w:szCs w:val="2"/>
              </w:rPr>
            </w:pPr>
          </w:p>
        </w:tc>
        <w:tc>
          <w:tcPr>
            <w:tcW w:w="2264" w:type="dxa"/>
            <w:vMerge/>
            <w:tcBorders>
              <w:top w:val="nil"/>
            </w:tcBorders>
          </w:tcPr>
          <w:p>
            <w:pPr>
              <w:rPr>
                <w:sz w:val="2"/>
                <w:szCs w:val="2"/>
              </w:rPr>
            </w:pPr>
          </w:p>
        </w:tc>
        <w:tc>
          <w:tcPr>
            <w:tcW w:w="1985" w:type="dxa"/>
          </w:tcPr>
          <w:p>
            <w:pPr>
              <w:pStyle w:val="TableParagraph"/>
              <w:spacing w:before="71"/>
              <w:ind w:left="13"/>
              <w:rPr>
                <w:sz w:val="18"/>
              </w:rPr>
            </w:pPr>
            <w:r>
              <w:rPr>
                <w:sz w:val="18"/>
              </w:rPr>
              <w:t>片剂</w:t>
            </w:r>
          </w:p>
        </w:tc>
        <w:tc>
          <w:tcPr>
            <w:tcW w:w="4681" w:type="dxa"/>
          </w:tcPr>
          <w:p>
            <w:pPr>
              <w:pStyle w:val="TableParagraph"/>
              <w:spacing w:before="79"/>
              <w:ind w:left="13"/>
              <w:rPr>
                <w:rFonts w:ascii="Times New Roman"/>
                <w:sz w:val="18"/>
              </w:rPr>
            </w:pPr>
            <w:r>
              <w:rPr>
                <w:rFonts w:ascii="Times New Roman"/>
                <w:sz w:val="18"/>
              </w:rPr>
              <w:t>450mg</w:t>
            </w:r>
          </w:p>
        </w:tc>
      </w:tr>
      <w:tr>
        <w:trPr>
          <w:trHeight w:val="369" w:hRule="atLeast"/>
        </w:trPr>
        <w:tc>
          <w:tcPr>
            <w:tcW w:w="598" w:type="dxa"/>
          </w:tcPr>
          <w:p>
            <w:pPr>
              <w:pStyle w:val="TableParagraph"/>
              <w:spacing w:before="76"/>
              <w:ind w:left="5"/>
              <w:jc w:val="center"/>
              <w:rPr>
                <w:rFonts w:ascii="Times New Roman"/>
                <w:sz w:val="18"/>
              </w:rPr>
            </w:pPr>
            <w:r>
              <w:rPr>
                <w:rFonts w:ascii="Times New Roman"/>
                <w:sz w:val="18"/>
              </w:rPr>
              <w:t>6</w:t>
            </w:r>
          </w:p>
        </w:tc>
        <w:tc>
          <w:tcPr>
            <w:tcW w:w="2264" w:type="dxa"/>
          </w:tcPr>
          <w:p>
            <w:pPr>
              <w:pStyle w:val="TableParagraph"/>
              <w:spacing w:before="69"/>
              <w:ind w:left="389" w:right="384"/>
              <w:jc w:val="center"/>
              <w:rPr>
                <w:sz w:val="18"/>
              </w:rPr>
            </w:pPr>
            <w:r>
              <w:rPr>
                <w:sz w:val="18"/>
              </w:rPr>
              <w:t>利匹韦林</w:t>
            </w:r>
          </w:p>
        </w:tc>
        <w:tc>
          <w:tcPr>
            <w:tcW w:w="1985" w:type="dxa"/>
          </w:tcPr>
          <w:p>
            <w:pPr>
              <w:pStyle w:val="TableParagraph"/>
              <w:spacing w:before="69"/>
              <w:ind w:left="13"/>
              <w:rPr>
                <w:sz w:val="18"/>
              </w:rPr>
            </w:pPr>
            <w:r>
              <w:rPr>
                <w:sz w:val="18"/>
              </w:rPr>
              <w:t>片剂</w:t>
            </w:r>
          </w:p>
        </w:tc>
        <w:tc>
          <w:tcPr>
            <w:tcW w:w="4681" w:type="dxa"/>
          </w:tcPr>
          <w:p>
            <w:pPr>
              <w:pStyle w:val="TableParagraph"/>
              <w:spacing w:before="76"/>
              <w:ind w:left="13"/>
              <w:rPr>
                <w:rFonts w:ascii="Times New Roman"/>
                <w:sz w:val="18"/>
              </w:rPr>
            </w:pPr>
            <w:r>
              <w:rPr>
                <w:rFonts w:ascii="Times New Roman"/>
                <w:sz w:val="18"/>
              </w:rPr>
              <w:t>25mg</w:t>
            </w:r>
          </w:p>
        </w:tc>
      </w:tr>
      <w:tr>
        <w:trPr>
          <w:trHeight w:val="369" w:hRule="atLeast"/>
        </w:trPr>
        <w:tc>
          <w:tcPr>
            <w:tcW w:w="598" w:type="dxa"/>
            <w:vMerge w:val="restart"/>
          </w:tcPr>
          <w:p>
            <w:pPr>
              <w:pStyle w:val="TableParagraph"/>
              <w:spacing w:before="12"/>
              <w:rPr>
                <w:b/>
                <w:sz w:val="20"/>
              </w:rPr>
            </w:pPr>
          </w:p>
          <w:p>
            <w:pPr>
              <w:pStyle w:val="TableParagraph"/>
              <w:ind w:left="5"/>
              <w:jc w:val="center"/>
              <w:rPr>
                <w:rFonts w:ascii="Times New Roman"/>
                <w:sz w:val="18"/>
              </w:rPr>
            </w:pPr>
            <w:r>
              <w:rPr>
                <w:rFonts w:ascii="Times New Roman"/>
                <w:sz w:val="18"/>
              </w:rPr>
              <w:t>7</w:t>
            </w:r>
          </w:p>
        </w:tc>
        <w:tc>
          <w:tcPr>
            <w:tcW w:w="2264" w:type="dxa"/>
            <w:vMerge w:val="restart"/>
          </w:tcPr>
          <w:p>
            <w:pPr>
              <w:pStyle w:val="TableParagraph"/>
              <w:spacing w:before="5"/>
              <w:rPr>
                <w:b/>
                <w:sz w:val="20"/>
              </w:rPr>
            </w:pPr>
          </w:p>
          <w:p>
            <w:pPr>
              <w:pStyle w:val="TableParagraph"/>
              <w:ind w:left="389" w:right="384"/>
              <w:jc w:val="center"/>
              <w:rPr>
                <w:sz w:val="18"/>
              </w:rPr>
            </w:pPr>
            <w:r>
              <w:rPr>
                <w:sz w:val="18"/>
              </w:rPr>
              <w:t>阿巴卡韦</w:t>
            </w:r>
          </w:p>
        </w:tc>
        <w:tc>
          <w:tcPr>
            <w:tcW w:w="1985" w:type="dxa"/>
          </w:tcPr>
          <w:p>
            <w:pPr>
              <w:pStyle w:val="TableParagraph"/>
              <w:spacing w:before="71"/>
              <w:ind w:left="13"/>
              <w:rPr>
                <w:sz w:val="18"/>
              </w:rPr>
            </w:pPr>
            <w:r>
              <w:rPr>
                <w:sz w:val="18"/>
              </w:rPr>
              <w:t>口服溶液剂</w:t>
            </w:r>
          </w:p>
        </w:tc>
        <w:tc>
          <w:tcPr>
            <w:tcW w:w="4681" w:type="dxa"/>
          </w:tcPr>
          <w:p>
            <w:pPr>
              <w:pStyle w:val="TableParagraph"/>
              <w:spacing w:before="79"/>
              <w:ind w:left="13"/>
              <w:rPr>
                <w:rFonts w:ascii="Times New Roman"/>
                <w:sz w:val="18"/>
              </w:rPr>
            </w:pPr>
            <w:r>
              <w:rPr>
                <w:rFonts w:ascii="Times New Roman"/>
                <w:sz w:val="18"/>
              </w:rPr>
              <w:t>20mg/ml</w:t>
            </w:r>
          </w:p>
        </w:tc>
      </w:tr>
      <w:tr>
        <w:trPr>
          <w:trHeight w:val="371" w:hRule="atLeast"/>
        </w:trPr>
        <w:tc>
          <w:tcPr>
            <w:tcW w:w="598" w:type="dxa"/>
            <w:vMerge/>
            <w:tcBorders>
              <w:top w:val="nil"/>
            </w:tcBorders>
          </w:tcPr>
          <w:p>
            <w:pPr>
              <w:rPr>
                <w:sz w:val="2"/>
                <w:szCs w:val="2"/>
              </w:rPr>
            </w:pPr>
          </w:p>
        </w:tc>
        <w:tc>
          <w:tcPr>
            <w:tcW w:w="2264" w:type="dxa"/>
            <w:vMerge/>
            <w:tcBorders>
              <w:top w:val="nil"/>
            </w:tcBorders>
          </w:tcPr>
          <w:p>
            <w:pPr>
              <w:rPr>
                <w:sz w:val="2"/>
                <w:szCs w:val="2"/>
              </w:rPr>
            </w:pPr>
          </w:p>
        </w:tc>
        <w:tc>
          <w:tcPr>
            <w:tcW w:w="1985" w:type="dxa"/>
          </w:tcPr>
          <w:p>
            <w:pPr>
              <w:pStyle w:val="TableParagraph"/>
              <w:spacing w:before="71"/>
              <w:ind w:left="13"/>
              <w:rPr>
                <w:sz w:val="18"/>
              </w:rPr>
            </w:pPr>
            <w:r>
              <w:rPr>
                <w:sz w:val="18"/>
              </w:rPr>
              <w:t>片剂</w:t>
            </w:r>
          </w:p>
        </w:tc>
        <w:tc>
          <w:tcPr>
            <w:tcW w:w="4681" w:type="dxa"/>
          </w:tcPr>
          <w:p>
            <w:pPr>
              <w:pStyle w:val="TableParagraph"/>
              <w:spacing w:before="79"/>
              <w:ind w:left="13"/>
              <w:rPr>
                <w:rFonts w:ascii="Times New Roman"/>
                <w:sz w:val="18"/>
              </w:rPr>
            </w:pPr>
            <w:r>
              <w:rPr>
                <w:rFonts w:ascii="Times New Roman"/>
                <w:sz w:val="18"/>
              </w:rPr>
              <w:t>300mg</w:t>
            </w:r>
          </w:p>
        </w:tc>
      </w:tr>
      <w:tr>
        <w:trPr>
          <w:trHeight w:val="369" w:hRule="atLeast"/>
        </w:trPr>
        <w:tc>
          <w:tcPr>
            <w:tcW w:w="598" w:type="dxa"/>
          </w:tcPr>
          <w:p>
            <w:pPr>
              <w:pStyle w:val="TableParagraph"/>
              <w:spacing w:before="76"/>
              <w:ind w:left="5"/>
              <w:jc w:val="center"/>
              <w:rPr>
                <w:rFonts w:ascii="Times New Roman"/>
                <w:sz w:val="18"/>
              </w:rPr>
            </w:pPr>
            <w:r>
              <w:rPr>
                <w:rFonts w:ascii="Times New Roman"/>
                <w:sz w:val="18"/>
              </w:rPr>
              <w:t>8</w:t>
            </w:r>
          </w:p>
        </w:tc>
        <w:tc>
          <w:tcPr>
            <w:tcW w:w="2264" w:type="dxa"/>
          </w:tcPr>
          <w:p>
            <w:pPr>
              <w:pStyle w:val="TableParagraph"/>
              <w:spacing w:before="69"/>
              <w:ind w:left="389" w:right="384"/>
              <w:jc w:val="center"/>
              <w:rPr>
                <w:sz w:val="18"/>
              </w:rPr>
            </w:pPr>
            <w:r>
              <w:rPr>
                <w:sz w:val="18"/>
              </w:rPr>
              <w:t>厄他培南</w:t>
            </w:r>
          </w:p>
        </w:tc>
        <w:tc>
          <w:tcPr>
            <w:tcW w:w="1985" w:type="dxa"/>
          </w:tcPr>
          <w:p>
            <w:pPr>
              <w:pStyle w:val="TableParagraph"/>
              <w:spacing w:before="69"/>
              <w:ind w:left="13"/>
              <w:rPr>
                <w:sz w:val="18"/>
              </w:rPr>
            </w:pPr>
            <w:r>
              <w:rPr>
                <w:sz w:val="18"/>
              </w:rPr>
              <w:t>注射用无菌粉末</w:t>
            </w:r>
          </w:p>
        </w:tc>
        <w:tc>
          <w:tcPr>
            <w:tcW w:w="4681" w:type="dxa"/>
          </w:tcPr>
          <w:p>
            <w:pPr>
              <w:pStyle w:val="TableParagraph"/>
              <w:spacing w:before="76"/>
              <w:ind w:left="13"/>
              <w:rPr>
                <w:rFonts w:ascii="Times New Roman"/>
                <w:sz w:val="18"/>
              </w:rPr>
            </w:pPr>
            <w:r>
              <w:rPr>
                <w:rFonts w:ascii="Times New Roman"/>
                <w:sz w:val="18"/>
              </w:rPr>
              <w:t>1.0g</w:t>
            </w:r>
          </w:p>
        </w:tc>
      </w:tr>
      <w:tr>
        <w:trPr>
          <w:trHeight w:val="369" w:hRule="atLeast"/>
        </w:trPr>
        <w:tc>
          <w:tcPr>
            <w:tcW w:w="598" w:type="dxa"/>
          </w:tcPr>
          <w:p>
            <w:pPr>
              <w:pStyle w:val="TableParagraph"/>
              <w:spacing w:before="79"/>
              <w:ind w:left="5"/>
              <w:jc w:val="center"/>
              <w:rPr>
                <w:rFonts w:ascii="Times New Roman"/>
                <w:sz w:val="18"/>
              </w:rPr>
            </w:pPr>
            <w:r>
              <w:rPr>
                <w:rFonts w:ascii="Times New Roman"/>
                <w:sz w:val="18"/>
              </w:rPr>
              <w:t>9</w:t>
            </w:r>
          </w:p>
        </w:tc>
        <w:tc>
          <w:tcPr>
            <w:tcW w:w="2264" w:type="dxa"/>
          </w:tcPr>
          <w:p>
            <w:pPr>
              <w:pStyle w:val="TableParagraph"/>
              <w:spacing w:before="72"/>
              <w:ind w:left="389" w:right="384"/>
              <w:jc w:val="center"/>
              <w:rPr>
                <w:sz w:val="18"/>
              </w:rPr>
            </w:pPr>
            <w:r>
              <w:rPr>
                <w:sz w:val="18"/>
              </w:rPr>
              <w:t>阿托伐醌</w:t>
            </w:r>
          </w:p>
        </w:tc>
        <w:tc>
          <w:tcPr>
            <w:tcW w:w="1985" w:type="dxa"/>
          </w:tcPr>
          <w:p>
            <w:pPr>
              <w:pStyle w:val="TableParagraph"/>
              <w:spacing w:before="72"/>
              <w:ind w:left="13"/>
              <w:rPr>
                <w:sz w:val="18"/>
              </w:rPr>
            </w:pPr>
            <w:r>
              <w:rPr>
                <w:sz w:val="18"/>
              </w:rPr>
              <w:t>混悬液</w:t>
            </w:r>
          </w:p>
        </w:tc>
        <w:tc>
          <w:tcPr>
            <w:tcW w:w="4681" w:type="dxa"/>
          </w:tcPr>
          <w:p>
            <w:pPr>
              <w:pStyle w:val="TableParagraph"/>
              <w:spacing w:before="79"/>
              <w:ind w:left="13"/>
              <w:rPr>
                <w:rFonts w:ascii="Times New Roman"/>
                <w:sz w:val="18"/>
              </w:rPr>
            </w:pPr>
            <w:r>
              <w:rPr>
                <w:rFonts w:ascii="Times New Roman"/>
                <w:sz w:val="18"/>
              </w:rPr>
              <w:t>750mg/5ml</w:t>
            </w:r>
          </w:p>
        </w:tc>
      </w:tr>
      <w:tr>
        <w:trPr>
          <w:trHeight w:val="371" w:hRule="atLeast"/>
        </w:trPr>
        <w:tc>
          <w:tcPr>
            <w:tcW w:w="598" w:type="dxa"/>
          </w:tcPr>
          <w:p>
            <w:pPr>
              <w:pStyle w:val="TableParagraph"/>
              <w:spacing w:before="79"/>
              <w:ind w:left="98" w:right="87"/>
              <w:jc w:val="center"/>
              <w:rPr>
                <w:rFonts w:ascii="Times New Roman"/>
                <w:sz w:val="18"/>
              </w:rPr>
            </w:pPr>
            <w:r>
              <w:rPr>
                <w:rFonts w:ascii="Times New Roman"/>
                <w:sz w:val="18"/>
              </w:rPr>
              <w:t>10</w:t>
            </w:r>
          </w:p>
        </w:tc>
        <w:tc>
          <w:tcPr>
            <w:tcW w:w="2264" w:type="dxa"/>
          </w:tcPr>
          <w:p>
            <w:pPr>
              <w:pStyle w:val="TableParagraph"/>
              <w:spacing w:before="71"/>
              <w:ind w:left="389" w:right="384"/>
              <w:jc w:val="center"/>
              <w:rPr>
                <w:sz w:val="18"/>
              </w:rPr>
            </w:pPr>
            <w:r>
              <w:rPr>
                <w:sz w:val="18"/>
              </w:rPr>
              <w:t>伊沙匹隆</w:t>
            </w:r>
          </w:p>
        </w:tc>
        <w:tc>
          <w:tcPr>
            <w:tcW w:w="1985" w:type="dxa"/>
          </w:tcPr>
          <w:p>
            <w:pPr>
              <w:pStyle w:val="TableParagraph"/>
              <w:spacing w:before="71"/>
              <w:ind w:left="13"/>
              <w:rPr>
                <w:sz w:val="18"/>
              </w:rPr>
            </w:pPr>
            <w:r>
              <w:rPr>
                <w:sz w:val="18"/>
              </w:rPr>
              <w:t>注射用无菌粉末</w:t>
            </w:r>
          </w:p>
        </w:tc>
        <w:tc>
          <w:tcPr>
            <w:tcW w:w="4681" w:type="dxa"/>
          </w:tcPr>
          <w:p>
            <w:pPr>
              <w:pStyle w:val="TableParagraph"/>
              <w:spacing w:before="71"/>
              <w:ind w:left="13"/>
              <w:rPr>
                <w:rFonts w:ascii="Times New Roman" w:eastAsia="Times New Roman"/>
                <w:sz w:val="18"/>
              </w:rPr>
            </w:pPr>
            <w:r>
              <w:rPr>
                <w:rFonts w:ascii="Times New Roman" w:eastAsia="Times New Roman"/>
                <w:sz w:val="18"/>
              </w:rPr>
              <w:t>15mg</w:t>
            </w:r>
            <w:r>
              <w:rPr>
                <w:sz w:val="18"/>
              </w:rPr>
              <w:t>、</w:t>
            </w:r>
            <w:r>
              <w:rPr>
                <w:rFonts w:ascii="Times New Roman" w:eastAsia="Times New Roman"/>
                <w:sz w:val="18"/>
              </w:rPr>
              <w:t>45mg</w:t>
            </w:r>
          </w:p>
        </w:tc>
      </w:tr>
      <w:tr>
        <w:trPr>
          <w:trHeight w:val="369" w:hRule="atLeast"/>
        </w:trPr>
        <w:tc>
          <w:tcPr>
            <w:tcW w:w="598" w:type="dxa"/>
          </w:tcPr>
          <w:p>
            <w:pPr>
              <w:pStyle w:val="TableParagraph"/>
              <w:spacing w:before="76"/>
              <w:ind w:left="98" w:right="87"/>
              <w:jc w:val="center"/>
              <w:rPr>
                <w:rFonts w:ascii="Times New Roman"/>
                <w:sz w:val="18"/>
              </w:rPr>
            </w:pPr>
            <w:r>
              <w:rPr>
                <w:rFonts w:ascii="Times New Roman"/>
                <w:sz w:val="18"/>
              </w:rPr>
              <w:t>11</w:t>
            </w:r>
          </w:p>
        </w:tc>
        <w:tc>
          <w:tcPr>
            <w:tcW w:w="2264" w:type="dxa"/>
          </w:tcPr>
          <w:p>
            <w:pPr>
              <w:pStyle w:val="TableParagraph"/>
              <w:spacing w:before="69"/>
              <w:ind w:left="389" w:right="384"/>
              <w:jc w:val="center"/>
              <w:rPr>
                <w:sz w:val="18"/>
              </w:rPr>
            </w:pPr>
            <w:r>
              <w:rPr>
                <w:sz w:val="18"/>
              </w:rPr>
              <w:t>氟维司群</w:t>
            </w:r>
          </w:p>
        </w:tc>
        <w:tc>
          <w:tcPr>
            <w:tcW w:w="1985" w:type="dxa"/>
          </w:tcPr>
          <w:p>
            <w:pPr>
              <w:pStyle w:val="TableParagraph"/>
              <w:spacing w:before="69"/>
              <w:ind w:left="13"/>
              <w:rPr>
                <w:sz w:val="18"/>
              </w:rPr>
            </w:pPr>
            <w:r>
              <w:rPr>
                <w:sz w:val="18"/>
              </w:rPr>
              <w:t>注射液</w:t>
            </w:r>
          </w:p>
        </w:tc>
        <w:tc>
          <w:tcPr>
            <w:tcW w:w="4681" w:type="dxa"/>
          </w:tcPr>
          <w:p>
            <w:pPr>
              <w:pStyle w:val="TableParagraph"/>
              <w:spacing w:before="76"/>
              <w:ind w:left="13"/>
              <w:rPr>
                <w:rFonts w:ascii="Times New Roman"/>
                <w:sz w:val="18"/>
              </w:rPr>
            </w:pPr>
            <w:r>
              <w:rPr>
                <w:rFonts w:ascii="Times New Roman"/>
                <w:sz w:val="18"/>
              </w:rPr>
              <w:t>5ml: 0.25g</w:t>
            </w:r>
          </w:p>
        </w:tc>
      </w:tr>
      <w:tr>
        <w:trPr>
          <w:trHeight w:val="369" w:hRule="atLeast"/>
        </w:trPr>
        <w:tc>
          <w:tcPr>
            <w:tcW w:w="598" w:type="dxa"/>
          </w:tcPr>
          <w:p>
            <w:pPr>
              <w:pStyle w:val="TableParagraph"/>
              <w:spacing w:before="79"/>
              <w:ind w:left="98" w:right="87"/>
              <w:jc w:val="center"/>
              <w:rPr>
                <w:rFonts w:ascii="Times New Roman"/>
                <w:sz w:val="18"/>
              </w:rPr>
            </w:pPr>
            <w:r>
              <w:rPr>
                <w:rFonts w:ascii="Times New Roman"/>
                <w:sz w:val="18"/>
              </w:rPr>
              <w:t>12</w:t>
            </w:r>
          </w:p>
        </w:tc>
        <w:tc>
          <w:tcPr>
            <w:tcW w:w="2264" w:type="dxa"/>
          </w:tcPr>
          <w:p>
            <w:pPr>
              <w:pStyle w:val="TableParagraph"/>
              <w:spacing w:before="72"/>
              <w:ind w:left="389" w:right="382"/>
              <w:jc w:val="center"/>
              <w:rPr>
                <w:sz w:val="18"/>
              </w:rPr>
            </w:pPr>
            <w:r>
              <w:rPr>
                <w:sz w:val="18"/>
              </w:rPr>
              <w:t>巯嘌呤</w:t>
            </w:r>
          </w:p>
        </w:tc>
        <w:tc>
          <w:tcPr>
            <w:tcW w:w="1985" w:type="dxa"/>
          </w:tcPr>
          <w:p>
            <w:pPr>
              <w:pStyle w:val="TableParagraph"/>
              <w:spacing w:before="72"/>
              <w:ind w:left="13"/>
              <w:rPr>
                <w:sz w:val="18"/>
              </w:rPr>
            </w:pPr>
            <w:r>
              <w:rPr>
                <w:sz w:val="18"/>
              </w:rPr>
              <w:t>片剂</w:t>
            </w:r>
          </w:p>
        </w:tc>
        <w:tc>
          <w:tcPr>
            <w:tcW w:w="4681" w:type="dxa"/>
          </w:tcPr>
          <w:p>
            <w:pPr>
              <w:pStyle w:val="TableParagraph"/>
              <w:spacing w:before="72"/>
              <w:ind w:left="13"/>
              <w:rPr>
                <w:rFonts w:ascii="Times New Roman" w:eastAsia="Times New Roman"/>
                <w:sz w:val="18"/>
              </w:rPr>
            </w:pPr>
            <w:r>
              <w:rPr>
                <w:rFonts w:ascii="Times New Roman" w:eastAsia="Times New Roman"/>
                <w:sz w:val="18"/>
              </w:rPr>
              <w:t>25mg</w:t>
            </w:r>
            <w:r>
              <w:rPr>
                <w:sz w:val="18"/>
              </w:rPr>
              <w:t>、</w:t>
            </w:r>
            <w:r>
              <w:rPr>
                <w:rFonts w:ascii="Times New Roman" w:eastAsia="Times New Roman"/>
                <w:sz w:val="18"/>
              </w:rPr>
              <w:t>50mg</w:t>
            </w:r>
          </w:p>
        </w:tc>
      </w:tr>
      <w:tr>
        <w:trPr>
          <w:trHeight w:val="371" w:hRule="atLeast"/>
        </w:trPr>
        <w:tc>
          <w:tcPr>
            <w:tcW w:w="598" w:type="dxa"/>
          </w:tcPr>
          <w:p>
            <w:pPr>
              <w:pStyle w:val="TableParagraph"/>
              <w:spacing w:before="79"/>
              <w:ind w:left="98" w:right="87"/>
              <w:jc w:val="center"/>
              <w:rPr>
                <w:rFonts w:ascii="Times New Roman"/>
                <w:sz w:val="18"/>
              </w:rPr>
            </w:pPr>
            <w:r>
              <w:rPr>
                <w:rFonts w:ascii="Times New Roman"/>
                <w:sz w:val="18"/>
              </w:rPr>
              <w:t>13</w:t>
            </w:r>
          </w:p>
        </w:tc>
        <w:tc>
          <w:tcPr>
            <w:tcW w:w="2264" w:type="dxa"/>
          </w:tcPr>
          <w:p>
            <w:pPr>
              <w:pStyle w:val="TableParagraph"/>
              <w:spacing w:before="71"/>
              <w:ind w:left="389" w:right="384"/>
              <w:jc w:val="center"/>
              <w:rPr>
                <w:sz w:val="18"/>
              </w:rPr>
            </w:pPr>
            <w:r>
              <w:rPr>
                <w:sz w:val="18"/>
              </w:rPr>
              <w:t>甲氨蝶呤</w:t>
            </w:r>
          </w:p>
        </w:tc>
        <w:tc>
          <w:tcPr>
            <w:tcW w:w="1985" w:type="dxa"/>
          </w:tcPr>
          <w:p>
            <w:pPr>
              <w:pStyle w:val="TableParagraph"/>
              <w:spacing w:before="71"/>
              <w:ind w:left="13"/>
              <w:rPr>
                <w:sz w:val="18"/>
              </w:rPr>
            </w:pPr>
            <w:r>
              <w:rPr>
                <w:sz w:val="18"/>
              </w:rPr>
              <w:t>片剂</w:t>
            </w:r>
          </w:p>
        </w:tc>
        <w:tc>
          <w:tcPr>
            <w:tcW w:w="4681" w:type="dxa"/>
          </w:tcPr>
          <w:p>
            <w:pPr>
              <w:pStyle w:val="TableParagraph"/>
              <w:spacing w:before="79"/>
              <w:ind w:left="13"/>
              <w:rPr>
                <w:rFonts w:ascii="Times New Roman"/>
                <w:sz w:val="18"/>
              </w:rPr>
            </w:pPr>
            <w:r>
              <w:rPr>
                <w:rFonts w:ascii="Times New Roman"/>
                <w:sz w:val="18"/>
              </w:rPr>
              <w:t>2.5mg</w:t>
            </w:r>
          </w:p>
        </w:tc>
      </w:tr>
      <w:tr>
        <w:trPr>
          <w:trHeight w:val="369" w:hRule="atLeast"/>
        </w:trPr>
        <w:tc>
          <w:tcPr>
            <w:tcW w:w="598" w:type="dxa"/>
          </w:tcPr>
          <w:p>
            <w:pPr>
              <w:pStyle w:val="TableParagraph"/>
              <w:spacing w:before="76"/>
              <w:ind w:left="98" w:right="87"/>
              <w:jc w:val="center"/>
              <w:rPr>
                <w:rFonts w:ascii="Times New Roman"/>
                <w:sz w:val="18"/>
              </w:rPr>
            </w:pPr>
            <w:r>
              <w:rPr>
                <w:rFonts w:ascii="Times New Roman"/>
                <w:sz w:val="18"/>
              </w:rPr>
              <w:t>14</w:t>
            </w:r>
          </w:p>
        </w:tc>
        <w:tc>
          <w:tcPr>
            <w:tcW w:w="2264" w:type="dxa"/>
          </w:tcPr>
          <w:p>
            <w:pPr>
              <w:pStyle w:val="TableParagraph"/>
              <w:spacing w:before="69"/>
              <w:ind w:left="389" w:right="384"/>
              <w:jc w:val="center"/>
              <w:rPr>
                <w:sz w:val="18"/>
              </w:rPr>
            </w:pPr>
            <w:r>
              <w:rPr>
                <w:sz w:val="18"/>
              </w:rPr>
              <w:t>环磷酰胺</w:t>
            </w:r>
          </w:p>
        </w:tc>
        <w:tc>
          <w:tcPr>
            <w:tcW w:w="1985" w:type="dxa"/>
          </w:tcPr>
          <w:p>
            <w:pPr>
              <w:pStyle w:val="TableParagraph"/>
              <w:spacing w:before="69"/>
              <w:ind w:left="13"/>
              <w:rPr>
                <w:sz w:val="18"/>
              </w:rPr>
            </w:pPr>
            <w:r>
              <w:rPr>
                <w:sz w:val="18"/>
              </w:rPr>
              <w:t>片剂</w:t>
            </w:r>
          </w:p>
        </w:tc>
        <w:tc>
          <w:tcPr>
            <w:tcW w:w="4681" w:type="dxa"/>
          </w:tcPr>
          <w:p>
            <w:pPr>
              <w:pStyle w:val="TableParagraph"/>
              <w:spacing w:before="76"/>
              <w:ind w:left="13"/>
              <w:rPr>
                <w:rFonts w:ascii="Times New Roman"/>
                <w:sz w:val="18"/>
              </w:rPr>
            </w:pPr>
            <w:r>
              <w:rPr>
                <w:rFonts w:ascii="Times New Roman"/>
                <w:sz w:val="18"/>
              </w:rPr>
              <w:t>50mg</w:t>
            </w:r>
          </w:p>
        </w:tc>
      </w:tr>
      <w:tr>
        <w:trPr>
          <w:trHeight w:val="369" w:hRule="atLeast"/>
        </w:trPr>
        <w:tc>
          <w:tcPr>
            <w:tcW w:w="598" w:type="dxa"/>
          </w:tcPr>
          <w:p>
            <w:pPr>
              <w:pStyle w:val="TableParagraph"/>
              <w:spacing w:before="79"/>
              <w:ind w:left="98" w:right="87"/>
              <w:jc w:val="center"/>
              <w:rPr>
                <w:rFonts w:ascii="Times New Roman"/>
                <w:sz w:val="18"/>
              </w:rPr>
            </w:pPr>
            <w:r>
              <w:rPr>
                <w:rFonts w:ascii="Times New Roman"/>
                <w:sz w:val="18"/>
              </w:rPr>
              <w:t>15</w:t>
            </w:r>
          </w:p>
        </w:tc>
        <w:tc>
          <w:tcPr>
            <w:tcW w:w="2264" w:type="dxa"/>
          </w:tcPr>
          <w:p>
            <w:pPr>
              <w:pStyle w:val="TableParagraph"/>
              <w:spacing w:before="72"/>
              <w:ind w:left="389" w:right="384"/>
              <w:jc w:val="center"/>
              <w:rPr>
                <w:sz w:val="18"/>
              </w:rPr>
            </w:pPr>
            <w:r>
              <w:rPr>
                <w:sz w:val="18"/>
              </w:rPr>
              <w:t>维 </w:t>
            </w:r>
            <w:r>
              <w:rPr>
                <w:rFonts w:ascii="Times New Roman" w:eastAsia="Times New Roman"/>
                <w:sz w:val="18"/>
              </w:rPr>
              <w:t>A </w:t>
            </w:r>
            <w:r>
              <w:rPr>
                <w:sz w:val="18"/>
              </w:rPr>
              <w:t>酸</w:t>
            </w:r>
          </w:p>
        </w:tc>
        <w:tc>
          <w:tcPr>
            <w:tcW w:w="1985" w:type="dxa"/>
          </w:tcPr>
          <w:p>
            <w:pPr>
              <w:pStyle w:val="TableParagraph"/>
              <w:spacing w:before="72"/>
              <w:ind w:left="13"/>
              <w:rPr>
                <w:sz w:val="18"/>
              </w:rPr>
            </w:pPr>
            <w:r>
              <w:rPr>
                <w:sz w:val="18"/>
              </w:rPr>
              <w:t>片剂</w:t>
            </w:r>
          </w:p>
        </w:tc>
        <w:tc>
          <w:tcPr>
            <w:tcW w:w="4681" w:type="dxa"/>
          </w:tcPr>
          <w:p>
            <w:pPr>
              <w:pStyle w:val="TableParagraph"/>
              <w:spacing w:before="79"/>
              <w:ind w:left="13"/>
              <w:rPr>
                <w:rFonts w:ascii="Times New Roman"/>
                <w:sz w:val="18"/>
              </w:rPr>
            </w:pPr>
            <w:r>
              <w:rPr>
                <w:rFonts w:ascii="Times New Roman"/>
                <w:sz w:val="18"/>
              </w:rPr>
              <w:t>10mg</w:t>
            </w:r>
          </w:p>
        </w:tc>
      </w:tr>
      <w:tr>
        <w:trPr>
          <w:trHeight w:val="371" w:hRule="atLeast"/>
        </w:trPr>
        <w:tc>
          <w:tcPr>
            <w:tcW w:w="598" w:type="dxa"/>
          </w:tcPr>
          <w:p>
            <w:pPr>
              <w:pStyle w:val="TableParagraph"/>
              <w:spacing w:before="79"/>
              <w:ind w:left="98" w:right="87"/>
              <w:jc w:val="center"/>
              <w:rPr>
                <w:rFonts w:ascii="Times New Roman"/>
                <w:sz w:val="18"/>
              </w:rPr>
            </w:pPr>
            <w:r>
              <w:rPr>
                <w:rFonts w:ascii="Times New Roman"/>
                <w:sz w:val="18"/>
              </w:rPr>
              <w:t>16</w:t>
            </w:r>
          </w:p>
        </w:tc>
        <w:tc>
          <w:tcPr>
            <w:tcW w:w="2264" w:type="dxa"/>
          </w:tcPr>
          <w:p>
            <w:pPr>
              <w:pStyle w:val="TableParagraph"/>
              <w:spacing w:before="71"/>
              <w:ind w:left="389" w:right="384"/>
              <w:jc w:val="center"/>
              <w:rPr>
                <w:sz w:val="18"/>
              </w:rPr>
            </w:pPr>
            <w:r>
              <w:rPr>
                <w:sz w:val="18"/>
              </w:rPr>
              <w:t>非索罗定</w:t>
            </w:r>
          </w:p>
        </w:tc>
        <w:tc>
          <w:tcPr>
            <w:tcW w:w="1985" w:type="dxa"/>
          </w:tcPr>
          <w:p>
            <w:pPr>
              <w:pStyle w:val="TableParagraph"/>
              <w:spacing w:before="71"/>
              <w:ind w:left="13"/>
              <w:rPr>
                <w:sz w:val="18"/>
              </w:rPr>
            </w:pPr>
            <w:r>
              <w:rPr>
                <w:sz w:val="18"/>
              </w:rPr>
              <w:t>缓释片</w:t>
            </w:r>
          </w:p>
        </w:tc>
        <w:tc>
          <w:tcPr>
            <w:tcW w:w="4681" w:type="dxa"/>
          </w:tcPr>
          <w:p>
            <w:pPr>
              <w:pStyle w:val="TableParagraph"/>
              <w:spacing w:before="71"/>
              <w:ind w:left="13"/>
              <w:rPr>
                <w:rFonts w:ascii="Times New Roman" w:eastAsia="Times New Roman"/>
                <w:sz w:val="18"/>
              </w:rPr>
            </w:pPr>
            <w:r>
              <w:rPr>
                <w:rFonts w:ascii="Times New Roman" w:eastAsia="Times New Roman"/>
                <w:sz w:val="18"/>
              </w:rPr>
              <w:t>4mg</w:t>
            </w:r>
            <w:r>
              <w:rPr>
                <w:sz w:val="18"/>
              </w:rPr>
              <w:t>、</w:t>
            </w:r>
            <w:r>
              <w:rPr>
                <w:rFonts w:ascii="Times New Roman" w:eastAsia="Times New Roman"/>
                <w:sz w:val="18"/>
              </w:rPr>
              <w:t>8mg</w:t>
            </w:r>
          </w:p>
        </w:tc>
      </w:tr>
      <w:tr>
        <w:trPr>
          <w:trHeight w:val="369" w:hRule="atLeast"/>
        </w:trPr>
        <w:tc>
          <w:tcPr>
            <w:tcW w:w="598" w:type="dxa"/>
          </w:tcPr>
          <w:p>
            <w:pPr>
              <w:pStyle w:val="TableParagraph"/>
              <w:spacing w:before="76"/>
              <w:ind w:left="98" w:right="87"/>
              <w:jc w:val="center"/>
              <w:rPr>
                <w:rFonts w:ascii="Times New Roman"/>
                <w:sz w:val="18"/>
              </w:rPr>
            </w:pPr>
            <w:r>
              <w:rPr>
                <w:rFonts w:ascii="Times New Roman"/>
                <w:sz w:val="18"/>
              </w:rPr>
              <w:t>17</w:t>
            </w:r>
          </w:p>
        </w:tc>
        <w:tc>
          <w:tcPr>
            <w:tcW w:w="2264" w:type="dxa"/>
          </w:tcPr>
          <w:p>
            <w:pPr>
              <w:pStyle w:val="TableParagraph"/>
              <w:spacing w:before="69"/>
              <w:ind w:left="389" w:right="384"/>
              <w:jc w:val="center"/>
              <w:rPr>
                <w:sz w:val="18"/>
              </w:rPr>
            </w:pPr>
            <w:r>
              <w:rPr>
                <w:sz w:val="18"/>
              </w:rPr>
              <w:t>格拉替雷</w:t>
            </w:r>
          </w:p>
        </w:tc>
        <w:tc>
          <w:tcPr>
            <w:tcW w:w="1985" w:type="dxa"/>
          </w:tcPr>
          <w:p>
            <w:pPr>
              <w:pStyle w:val="TableParagraph"/>
              <w:spacing w:before="69"/>
              <w:ind w:left="13"/>
              <w:rPr>
                <w:sz w:val="18"/>
              </w:rPr>
            </w:pPr>
            <w:r>
              <w:rPr>
                <w:sz w:val="18"/>
              </w:rPr>
              <w:t>注射液</w:t>
            </w:r>
          </w:p>
        </w:tc>
        <w:tc>
          <w:tcPr>
            <w:tcW w:w="4681" w:type="dxa"/>
          </w:tcPr>
          <w:p>
            <w:pPr>
              <w:pStyle w:val="TableParagraph"/>
              <w:spacing w:before="69"/>
              <w:ind w:left="13"/>
              <w:rPr>
                <w:rFonts w:ascii="Times New Roman" w:eastAsia="Times New Roman"/>
                <w:sz w:val="18"/>
              </w:rPr>
            </w:pPr>
            <w:r>
              <w:rPr>
                <w:rFonts w:ascii="Times New Roman" w:eastAsia="Times New Roman"/>
                <w:sz w:val="18"/>
              </w:rPr>
              <w:t>20mg/ml</w:t>
            </w:r>
            <w:r>
              <w:rPr>
                <w:sz w:val="18"/>
              </w:rPr>
              <w:t>、</w:t>
            </w:r>
            <w:r>
              <w:rPr>
                <w:rFonts w:ascii="Times New Roman" w:eastAsia="Times New Roman"/>
                <w:sz w:val="18"/>
              </w:rPr>
              <w:t>40mg/ml</w:t>
            </w:r>
          </w:p>
        </w:tc>
      </w:tr>
      <w:tr>
        <w:trPr>
          <w:trHeight w:val="369" w:hRule="atLeast"/>
        </w:trPr>
        <w:tc>
          <w:tcPr>
            <w:tcW w:w="598" w:type="dxa"/>
          </w:tcPr>
          <w:p>
            <w:pPr>
              <w:pStyle w:val="TableParagraph"/>
              <w:spacing w:before="79"/>
              <w:ind w:left="98" w:right="87"/>
              <w:jc w:val="center"/>
              <w:rPr>
                <w:rFonts w:ascii="Times New Roman"/>
                <w:sz w:val="18"/>
              </w:rPr>
            </w:pPr>
            <w:r>
              <w:rPr>
                <w:rFonts w:ascii="Times New Roman"/>
                <w:sz w:val="18"/>
              </w:rPr>
              <w:t>18</w:t>
            </w:r>
          </w:p>
        </w:tc>
        <w:tc>
          <w:tcPr>
            <w:tcW w:w="2264" w:type="dxa"/>
          </w:tcPr>
          <w:p>
            <w:pPr>
              <w:pStyle w:val="TableParagraph"/>
              <w:spacing w:before="72"/>
              <w:ind w:left="389" w:right="384"/>
              <w:jc w:val="center"/>
              <w:rPr>
                <w:sz w:val="18"/>
              </w:rPr>
            </w:pPr>
            <w:r>
              <w:rPr>
                <w:sz w:val="18"/>
              </w:rPr>
              <w:t>硫唑嘌呤</w:t>
            </w:r>
          </w:p>
        </w:tc>
        <w:tc>
          <w:tcPr>
            <w:tcW w:w="1985" w:type="dxa"/>
          </w:tcPr>
          <w:p>
            <w:pPr>
              <w:pStyle w:val="TableParagraph"/>
              <w:spacing w:before="72"/>
              <w:ind w:left="13"/>
              <w:rPr>
                <w:sz w:val="18"/>
              </w:rPr>
            </w:pPr>
            <w:r>
              <w:rPr>
                <w:sz w:val="18"/>
              </w:rPr>
              <w:t>片剂</w:t>
            </w:r>
          </w:p>
        </w:tc>
        <w:tc>
          <w:tcPr>
            <w:tcW w:w="4681" w:type="dxa"/>
          </w:tcPr>
          <w:p>
            <w:pPr>
              <w:pStyle w:val="TableParagraph"/>
              <w:spacing w:before="72"/>
              <w:ind w:left="13"/>
              <w:rPr>
                <w:rFonts w:ascii="Times New Roman" w:eastAsia="Times New Roman"/>
                <w:sz w:val="18"/>
              </w:rPr>
            </w:pPr>
            <w:r>
              <w:rPr>
                <w:rFonts w:ascii="Times New Roman" w:eastAsia="Times New Roman"/>
                <w:sz w:val="18"/>
              </w:rPr>
              <w:t>50mg</w:t>
            </w:r>
            <w:r>
              <w:rPr>
                <w:sz w:val="18"/>
              </w:rPr>
              <w:t>、</w:t>
            </w:r>
            <w:r>
              <w:rPr>
                <w:rFonts w:ascii="Times New Roman" w:eastAsia="Times New Roman"/>
                <w:sz w:val="18"/>
              </w:rPr>
              <w:t>100mg</w:t>
            </w:r>
          </w:p>
        </w:tc>
      </w:tr>
      <w:tr>
        <w:trPr>
          <w:trHeight w:val="371" w:hRule="atLeast"/>
        </w:trPr>
        <w:tc>
          <w:tcPr>
            <w:tcW w:w="598" w:type="dxa"/>
          </w:tcPr>
          <w:p>
            <w:pPr>
              <w:pStyle w:val="TableParagraph"/>
              <w:spacing w:before="79"/>
              <w:ind w:left="98" w:right="87"/>
              <w:jc w:val="center"/>
              <w:rPr>
                <w:rFonts w:ascii="Times New Roman"/>
                <w:sz w:val="18"/>
              </w:rPr>
            </w:pPr>
            <w:r>
              <w:rPr>
                <w:rFonts w:ascii="Times New Roman"/>
                <w:sz w:val="18"/>
              </w:rPr>
              <w:t>19</w:t>
            </w:r>
          </w:p>
        </w:tc>
        <w:tc>
          <w:tcPr>
            <w:tcW w:w="2264" w:type="dxa"/>
          </w:tcPr>
          <w:p>
            <w:pPr>
              <w:pStyle w:val="TableParagraph"/>
              <w:spacing w:before="72"/>
              <w:ind w:left="389" w:right="384"/>
              <w:jc w:val="center"/>
              <w:rPr>
                <w:sz w:val="18"/>
              </w:rPr>
            </w:pPr>
            <w:r>
              <w:rPr>
                <w:sz w:val="18"/>
              </w:rPr>
              <w:t>雷洛昔芬</w:t>
            </w:r>
          </w:p>
        </w:tc>
        <w:tc>
          <w:tcPr>
            <w:tcW w:w="1985" w:type="dxa"/>
          </w:tcPr>
          <w:p>
            <w:pPr>
              <w:pStyle w:val="TableParagraph"/>
              <w:spacing w:before="72"/>
              <w:ind w:left="13"/>
              <w:rPr>
                <w:sz w:val="18"/>
              </w:rPr>
            </w:pPr>
            <w:r>
              <w:rPr>
                <w:sz w:val="18"/>
              </w:rPr>
              <w:t>片剂</w:t>
            </w:r>
          </w:p>
        </w:tc>
        <w:tc>
          <w:tcPr>
            <w:tcW w:w="4681" w:type="dxa"/>
          </w:tcPr>
          <w:p>
            <w:pPr>
              <w:pStyle w:val="TableParagraph"/>
              <w:spacing w:before="79"/>
              <w:ind w:left="13"/>
              <w:rPr>
                <w:rFonts w:ascii="Times New Roman"/>
                <w:sz w:val="18"/>
              </w:rPr>
            </w:pPr>
            <w:r>
              <w:rPr>
                <w:rFonts w:ascii="Times New Roman"/>
                <w:sz w:val="18"/>
              </w:rPr>
              <w:t>60mg</w:t>
            </w:r>
          </w:p>
        </w:tc>
      </w:tr>
    </w:tbl>
    <w:p>
      <w:pPr>
        <w:spacing w:after="0"/>
        <w:rPr>
          <w:rFonts w:ascii="Times New Roman"/>
          <w:sz w:val="18"/>
        </w:rPr>
        <w:sectPr>
          <w:pgSz w:w="11910" w:h="16850"/>
          <w:pgMar w:header="906" w:footer="607" w:top="1100" w:bottom="800" w:left="1000" w:right="740"/>
        </w:sectPr>
      </w:pPr>
    </w:p>
    <w:tbl>
      <w:tblPr>
        <w:tblW w:w="0" w:type="auto"/>
        <w:jc w:val="left"/>
        <w:tblInd w:w="2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98"/>
        <w:gridCol w:w="2264"/>
        <w:gridCol w:w="1985"/>
        <w:gridCol w:w="4681"/>
      </w:tblGrid>
      <w:tr>
        <w:trPr>
          <w:trHeight w:val="366" w:hRule="atLeast"/>
        </w:trPr>
        <w:tc>
          <w:tcPr>
            <w:tcW w:w="598" w:type="dxa"/>
            <w:tcBorders>
              <w:left w:val="single" w:sz="4" w:space="0" w:color="000000"/>
              <w:bottom w:val="single" w:sz="4" w:space="0" w:color="000000"/>
              <w:right w:val="single" w:sz="4" w:space="0" w:color="000000"/>
            </w:tcBorders>
          </w:tcPr>
          <w:p>
            <w:pPr>
              <w:pStyle w:val="TableParagraph"/>
              <w:spacing w:before="65"/>
              <w:ind w:left="98" w:right="87"/>
              <w:jc w:val="center"/>
              <w:rPr>
                <w:rFonts w:ascii="Times New Roman"/>
                <w:sz w:val="18"/>
              </w:rPr>
            </w:pPr>
            <w:r>
              <w:rPr>
                <w:rFonts w:ascii="Times New Roman"/>
                <w:sz w:val="18"/>
              </w:rPr>
              <w:t>20</w:t>
            </w:r>
          </w:p>
        </w:tc>
        <w:tc>
          <w:tcPr>
            <w:tcW w:w="2264" w:type="dxa"/>
            <w:tcBorders>
              <w:left w:val="single" w:sz="4" w:space="0" w:color="000000"/>
              <w:bottom w:val="single" w:sz="4" w:space="0" w:color="000000"/>
              <w:right w:val="single" w:sz="4" w:space="0" w:color="000000"/>
            </w:tcBorders>
          </w:tcPr>
          <w:p>
            <w:pPr>
              <w:pStyle w:val="TableParagraph"/>
              <w:spacing w:before="57"/>
              <w:ind w:left="389" w:right="384"/>
              <w:jc w:val="center"/>
              <w:rPr>
                <w:sz w:val="18"/>
              </w:rPr>
            </w:pPr>
            <w:r>
              <w:rPr>
                <w:sz w:val="18"/>
              </w:rPr>
              <w:t>左甲状腺素钠</w:t>
            </w:r>
          </w:p>
        </w:tc>
        <w:tc>
          <w:tcPr>
            <w:tcW w:w="1985" w:type="dxa"/>
            <w:tcBorders>
              <w:left w:val="single" w:sz="4" w:space="0" w:color="000000"/>
              <w:bottom w:val="single" w:sz="4" w:space="0" w:color="000000"/>
              <w:right w:val="single" w:sz="4" w:space="0" w:color="000000"/>
            </w:tcBorders>
          </w:tcPr>
          <w:p>
            <w:pPr>
              <w:pStyle w:val="TableParagraph"/>
              <w:spacing w:before="57"/>
              <w:ind w:left="13"/>
              <w:rPr>
                <w:sz w:val="18"/>
              </w:rPr>
            </w:pPr>
            <w:r>
              <w:rPr>
                <w:sz w:val="18"/>
              </w:rPr>
              <w:t>片剂</w:t>
            </w:r>
          </w:p>
        </w:tc>
        <w:tc>
          <w:tcPr>
            <w:tcW w:w="4681" w:type="dxa"/>
            <w:tcBorders>
              <w:left w:val="single" w:sz="4" w:space="0" w:color="000000"/>
              <w:bottom w:val="single" w:sz="4" w:space="0" w:color="000000"/>
              <w:right w:val="single" w:sz="4" w:space="0" w:color="000000"/>
            </w:tcBorders>
          </w:tcPr>
          <w:p>
            <w:pPr>
              <w:pStyle w:val="TableParagraph"/>
              <w:spacing w:before="65"/>
              <w:ind w:left="13"/>
              <w:rPr>
                <w:rFonts w:ascii="Times New Roman" w:hAnsi="Times New Roman"/>
                <w:sz w:val="18"/>
              </w:rPr>
            </w:pPr>
            <w:r>
              <w:rPr>
                <w:rFonts w:ascii="Times New Roman" w:hAnsi="Times New Roman"/>
                <w:sz w:val="18"/>
              </w:rPr>
              <w:t>50μg</w:t>
            </w:r>
          </w:p>
        </w:tc>
      </w:tr>
      <w:tr>
        <w:trPr>
          <w:trHeight w:val="369"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0"/>
              <w:ind w:left="98" w:right="87"/>
              <w:jc w:val="center"/>
              <w:rPr>
                <w:rFonts w:ascii="Times New Roman"/>
                <w:sz w:val="18"/>
              </w:rPr>
            </w:pPr>
            <w:r>
              <w:rPr>
                <w:rFonts w:ascii="Times New Roman"/>
                <w:sz w:val="18"/>
              </w:rPr>
              <w:t>21</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3"/>
              <w:ind w:left="389" w:right="382"/>
              <w:jc w:val="center"/>
              <w:rPr>
                <w:sz w:val="18"/>
              </w:rPr>
            </w:pPr>
            <w:r>
              <w:rPr>
                <w:sz w:val="18"/>
              </w:rPr>
              <w:t>依来曲普坦</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片剂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rFonts w:ascii="Times New Roman" w:eastAsia="Times New Roman"/>
                <w:sz w:val="18"/>
              </w:rPr>
            </w:pPr>
            <w:r>
              <w:rPr>
                <w:rFonts w:ascii="Times New Roman" w:eastAsia="Times New Roman"/>
                <w:sz w:val="18"/>
              </w:rPr>
              <w:t>20mg</w:t>
            </w:r>
            <w:r>
              <w:rPr>
                <w:sz w:val="18"/>
              </w:rPr>
              <w:t>、</w:t>
            </w:r>
            <w:r>
              <w:rPr>
                <w:rFonts w:ascii="Times New Roman" w:eastAsia="Times New Roman"/>
                <w:sz w:val="18"/>
              </w:rPr>
              <w:t>40mg</w:t>
            </w:r>
          </w:p>
        </w:tc>
      </w:tr>
      <w:tr>
        <w:trPr>
          <w:trHeight w:val="371" w:hRule="atLeast"/>
        </w:trPr>
        <w:tc>
          <w:tcPr>
            <w:tcW w:w="59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
              <w:rPr>
                <w:b/>
                <w:sz w:val="20"/>
              </w:rPr>
            </w:pPr>
          </w:p>
          <w:p>
            <w:pPr>
              <w:pStyle w:val="TableParagraph"/>
              <w:ind w:left="98" w:right="87"/>
              <w:jc w:val="center"/>
              <w:rPr>
                <w:rFonts w:ascii="Times New Roman"/>
                <w:sz w:val="18"/>
              </w:rPr>
            </w:pPr>
            <w:r>
              <w:rPr>
                <w:rFonts w:ascii="Times New Roman"/>
                <w:sz w:val="18"/>
              </w:rPr>
              <w:t>22</w:t>
            </w:r>
          </w:p>
        </w:tc>
        <w:tc>
          <w:tcPr>
            <w:tcW w:w="226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
              <w:rPr>
                <w:b/>
                <w:sz w:val="19"/>
              </w:rPr>
            </w:pPr>
          </w:p>
          <w:p>
            <w:pPr>
              <w:pStyle w:val="TableParagraph"/>
              <w:ind w:left="680"/>
              <w:rPr>
                <w:sz w:val="18"/>
              </w:rPr>
            </w:pPr>
            <w:r>
              <w:rPr>
                <w:sz w:val="18"/>
              </w:rPr>
              <w:t>溴吡斯的明</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片剂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70"/>
              <w:ind w:left="13"/>
              <w:rPr>
                <w:rFonts w:ascii="Times New Roman"/>
                <w:sz w:val="18"/>
              </w:rPr>
            </w:pPr>
            <w:r>
              <w:rPr>
                <w:rFonts w:ascii="Times New Roman"/>
                <w:sz w:val="18"/>
              </w:rPr>
              <w:t>60mg</w:t>
            </w:r>
          </w:p>
        </w:tc>
      </w:tr>
      <w:tr>
        <w:trPr>
          <w:trHeight w:val="369" w:hRule="atLeast"/>
        </w:trPr>
        <w:tc>
          <w:tcPr>
            <w:tcW w:w="598" w:type="dxa"/>
            <w:vMerge/>
            <w:tcBorders>
              <w:top w:val="nil"/>
              <w:left w:val="single" w:sz="4" w:space="0" w:color="000000"/>
              <w:bottom w:val="single" w:sz="4" w:space="0" w:color="000000"/>
              <w:right w:val="single" w:sz="4" w:space="0" w:color="000000"/>
            </w:tcBorders>
          </w:tcPr>
          <w:p>
            <w:pPr>
              <w:rPr>
                <w:sz w:val="2"/>
                <w:szCs w:val="2"/>
              </w:rPr>
            </w:pPr>
          </w:p>
        </w:tc>
        <w:tc>
          <w:tcPr>
            <w:tcW w:w="2264" w:type="dxa"/>
            <w:vMerge/>
            <w:tcBorders>
              <w:top w:val="nil"/>
              <w:left w:val="single" w:sz="4" w:space="0" w:color="000000"/>
              <w:bottom w:val="single" w:sz="4" w:space="0" w:color="000000"/>
              <w:right w:val="single" w:sz="4" w:space="0" w:color="000000"/>
            </w:tcBorders>
          </w:tcPr>
          <w:p>
            <w:pPr>
              <w:rPr>
                <w:sz w:val="2"/>
                <w:szCs w:val="2"/>
              </w:rPr>
            </w:pP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0"/>
              <w:ind w:left="13"/>
              <w:rPr>
                <w:sz w:val="18"/>
              </w:rPr>
            </w:pPr>
            <w:r>
              <w:rPr>
                <w:sz w:val="18"/>
              </w:rPr>
              <w:t>缓释片</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7"/>
              <w:ind w:left="13"/>
              <w:rPr>
                <w:rFonts w:ascii="Times New Roman"/>
                <w:sz w:val="18"/>
              </w:rPr>
            </w:pPr>
            <w:r>
              <w:rPr>
                <w:rFonts w:ascii="Times New Roman"/>
                <w:sz w:val="18"/>
              </w:rPr>
              <w:t>180mg</w:t>
            </w:r>
          </w:p>
        </w:tc>
      </w:tr>
      <w:tr>
        <w:trPr>
          <w:trHeight w:val="930"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27"/>
              </w:rPr>
            </w:pPr>
          </w:p>
          <w:p>
            <w:pPr>
              <w:pStyle w:val="TableParagraph"/>
              <w:ind w:left="98" w:right="87"/>
              <w:jc w:val="center"/>
              <w:rPr>
                <w:rFonts w:ascii="Times New Roman"/>
                <w:sz w:val="18"/>
              </w:rPr>
            </w:pPr>
            <w:r>
              <w:rPr>
                <w:rFonts w:ascii="Times New Roman"/>
                <w:sz w:val="18"/>
              </w:rPr>
              <w:t>23</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26"/>
              </w:rPr>
            </w:pPr>
          </w:p>
          <w:p>
            <w:pPr>
              <w:pStyle w:val="TableParagraph"/>
              <w:ind w:left="389" w:right="384"/>
              <w:jc w:val="center"/>
              <w:rPr>
                <w:sz w:val="18"/>
              </w:rPr>
            </w:pPr>
            <w:r>
              <w:rPr>
                <w:sz w:val="18"/>
              </w:rPr>
              <w:t>多巴丝肼</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26"/>
              </w:rPr>
            </w:pPr>
          </w:p>
          <w:p>
            <w:pPr>
              <w:pStyle w:val="TableParagraph"/>
              <w:ind w:left="13"/>
              <w:rPr>
                <w:sz w:val="18"/>
              </w:rPr>
            </w:pPr>
            <w:r>
              <w:rPr>
                <w:sz w:val="18"/>
              </w:rPr>
              <w:t>片剂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48"/>
              <w:ind w:left="13"/>
              <w:rPr>
                <w:rFonts w:ascii="Times New Roman"/>
                <w:sz w:val="18"/>
              </w:rPr>
            </w:pPr>
            <w:r>
              <w:rPr>
                <w:rFonts w:ascii="Times New Roman"/>
                <w:sz w:val="18"/>
              </w:rPr>
              <w:t>0.25g</w:t>
            </w:r>
          </w:p>
          <w:p>
            <w:pPr>
              <w:pStyle w:val="TableParagraph"/>
              <w:spacing w:before="86"/>
              <w:ind w:left="13"/>
              <w:rPr>
                <w:sz w:val="18"/>
              </w:rPr>
            </w:pPr>
            <w:r>
              <w:rPr>
                <w:sz w:val="18"/>
              </w:rPr>
              <w:t>（</w:t>
            </w:r>
            <w:r>
              <w:rPr>
                <w:rFonts w:ascii="Times New Roman" w:eastAsia="Times New Roman"/>
                <w:sz w:val="18"/>
              </w:rPr>
              <w:t>0.2g:0.05g</w:t>
            </w:r>
            <w:r>
              <w:rPr>
                <w:sz w:val="18"/>
              </w:rPr>
              <w:t>）</w:t>
            </w:r>
          </w:p>
          <w:p>
            <w:pPr>
              <w:pStyle w:val="TableParagraph"/>
              <w:spacing w:before="69"/>
              <w:ind w:left="13"/>
              <w:rPr>
                <w:sz w:val="18"/>
              </w:rPr>
            </w:pPr>
            <w:r>
              <w:rPr>
                <w:sz w:val="18"/>
              </w:rPr>
              <w:t>（左旋多巴：苄丝肼）</w:t>
            </w:r>
          </w:p>
        </w:tc>
      </w:tr>
      <w:tr>
        <w:trPr>
          <w:trHeight w:val="369"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67"/>
              <w:ind w:left="98" w:right="87"/>
              <w:jc w:val="center"/>
              <w:rPr>
                <w:rFonts w:ascii="Times New Roman"/>
                <w:sz w:val="18"/>
              </w:rPr>
            </w:pPr>
            <w:r>
              <w:rPr>
                <w:rFonts w:ascii="Times New Roman"/>
                <w:sz w:val="18"/>
              </w:rPr>
              <w:t>24</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0"/>
              <w:ind w:left="389" w:right="384"/>
              <w:jc w:val="center"/>
              <w:rPr>
                <w:sz w:val="18"/>
              </w:rPr>
            </w:pPr>
            <w:r>
              <w:rPr>
                <w:sz w:val="18"/>
              </w:rPr>
              <w:t>布瓦西坦</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0"/>
              <w:ind w:left="13"/>
              <w:rPr>
                <w:sz w:val="18"/>
              </w:rPr>
            </w:pPr>
            <w:r>
              <w:rPr>
                <w:sz w:val="18"/>
              </w:rPr>
              <w:t>片剂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0"/>
              <w:ind w:left="13"/>
              <w:rPr>
                <w:rFonts w:ascii="Times New Roman" w:eastAsia="Times New Roman"/>
                <w:sz w:val="18"/>
              </w:rPr>
            </w:pPr>
            <w:r>
              <w:rPr>
                <w:rFonts w:ascii="Times New Roman" w:eastAsia="Times New Roman"/>
                <w:sz w:val="18"/>
              </w:rPr>
              <w:t>10mg</w:t>
            </w:r>
            <w:r>
              <w:rPr>
                <w:sz w:val="18"/>
              </w:rPr>
              <w:t>、</w:t>
            </w:r>
            <w:r>
              <w:rPr>
                <w:rFonts w:ascii="Times New Roman" w:eastAsia="Times New Roman"/>
                <w:sz w:val="18"/>
              </w:rPr>
              <w:t>25mg</w:t>
            </w:r>
            <w:r>
              <w:rPr>
                <w:sz w:val="18"/>
              </w:rPr>
              <w:t>、</w:t>
            </w:r>
            <w:r>
              <w:rPr>
                <w:rFonts w:ascii="Times New Roman" w:eastAsia="Times New Roman"/>
                <w:sz w:val="18"/>
              </w:rPr>
              <w:t>50mg</w:t>
            </w:r>
            <w:r>
              <w:rPr>
                <w:sz w:val="18"/>
              </w:rPr>
              <w:t>、</w:t>
            </w:r>
            <w:r>
              <w:rPr>
                <w:rFonts w:ascii="Times New Roman" w:eastAsia="Times New Roman"/>
                <w:sz w:val="18"/>
              </w:rPr>
              <w:t>75mg</w:t>
            </w:r>
            <w:r>
              <w:rPr>
                <w:sz w:val="18"/>
              </w:rPr>
              <w:t>、</w:t>
            </w:r>
            <w:r>
              <w:rPr>
                <w:rFonts w:ascii="Times New Roman" w:eastAsia="Times New Roman"/>
                <w:sz w:val="18"/>
              </w:rPr>
              <w:t>100mg</w:t>
            </w:r>
          </w:p>
        </w:tc>
      </w:tr>
      <w:tr>
        <w:trPr>
          <w:trHeight w:val="369"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0"/>
              <w:ind w:left="98" w:right="87"/>
              <w:jc w:val="center"/>
              <w:rPr>
                <w:rFonts w:ascii="Times New Roman"/>
                <w:sz w:val="18"/>
              </w:rPr>
            </w:pPr>
            <w:r>
              <w:rPr>
                <w:rFonts w:ascii="Times New Roman"/>
                <w:sz w:val="18"/>
              </w:rPr>
              <w:t>25</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3"/>
              <w:ind w:left="389" w:right="384"/>
              <w:jc w:val="center"/>
              <w:rPr>
                <w:sz w:val="18"/>
              </w:rPr>
            </w:pPr>
            <w:r>
              <w:rPr>
                <w:sz w:val="18"/>
              </w:rPr>
              <w:t>福沙吡坦二甲葡胺</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注射用无菌粉末</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70"/>
              <w:ind w:left="13"/>
              <w:rPr>
                <w:rFonts w:ascii="Times New Roman"/>
                <w:sz w:val="18"/>
              </w:rPr>
            </w:pPr>
            <w:r>
              <w:rPr>
                <w:rFonts w:ascii="Times New Roman"/>
                <w:sz w:val="18"/>
              </w:rPr>
              <w:t>150mg</w:t>
            </w:r>
          </w:p>
        </w:tc>
      </w:tr>
      <w:tr>
        <w:trPr>
          <w:trHeight w:val="371"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0"/>
              <w:ind w:left="98" w:right="87"/>
              <w:jc w:val="center"/>
              <w:rPr>
                <w:rFonts w:ascii="Times New Roman"/>
                <w:sz w:val="18"/>
              </w:rPr>
            </w:pPr>
            <w:r>
              <w:rPr>
                <w:rFonts w:ascii="Times New Roman"/>
                <w:sz w:val="18"/>
              </w:rPr>
              <w:t>26</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3"/>
              <w:ind w:left="389" w:right="382"/>
              <w:jc w:val="center"/>
              <w:rPr>
                <w:sz w:val="18"/>
              </w:rPr>
            </w:pPr>
            <w:r>
              <w:rPr>
                <w:sz w:val="18"/>
              </w:rPr>
              <w:t>曲前列尼尔</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注射液</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rFonts w:ascii="Times New Roman" w:eastAsia="Times New Roman"/>
                <w:sz w:val="18"/>
              </w:rPr>
            </w:pPr>
            <w:r>
              <w:rPr>
                <w:rFonts w:ascii="Times New Roman" w:eastAsia="Times New Roman"/>
                <w:sz w:val="18"/>
              </w:rPr>
              <w:t>1mg/ml</w:t>
            </w:r>
            <w:r>
              <w:rPr>
                <w:sz w:val="18"/>
              </w:rPr>
              <w:t>、</w:t>
            </w:r>
            <w:r>
              <w:rPr>
                <w:rFonts w:ascii="Times New Roman" w:eastAsia="Times New Roman"/>
                <w:sz w:val="18"/>
              </w:rPr>
              <w:t>2.5mg/ml</w:t>
            </w:r>
            <w:r>
              <w:rPr>
                <w:sz w:val="18"/>
              </w:rPr>
              <w:t>、</w:t>
            </w:r>
            <w:r>
              <w:rPr>
                <w:rFonts w:ascii="Times New Roman" w:eastAsia="Times New Roman"/>
                <w:sz w:val="18"/>
              </w:rPr>
              <w:t>5mg/ml</w:t>
            </w:r>
            <w:r>
              <w:rPr>
                <w:sz w:val="18"/>
              </w:rPr>
              <w:t>、</w:t>
            </w:r>
            <w:r>
              <w:rPr>
                <w:rFonts w:ascii="Times New Roman" w:eastAsia="Times New Roman"/>
                <w:sz w:val="18"/>
              </w:rPr>
              <w:t>10mg/ml</w:t>
            </w:r>
          </w:p>
        </w:tc>
      </w:tr>
      <w:tr>
        <w:trPr>
          <w:trHeight w:val="369"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67"/>
              <w:ind w:left="98" w:right="87"/>
              <w:jc w:val="center"/>
              <w:rPr>
                <w:rFonts w:ascii="Times New Roman"/>
                <w:sz w:val="18"/>
              </w:rPr>
            </w:pPr>
            <w:r>
              <w:rPr>
                <w:rFonts w:ascii="Times New Roman"/>
                <w:sz w:val="18"/>
              </w:rPr>
              <w:t>27</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1"/>
              <w:ind w:left="389" w:right="382"/>
              <w:jc w:val="center"/>
              <w:rPr>
                <w:sz w:val="18"/>
              </w:rPr>
            </w:pPr>
            <w:r>
              <w:rPr>
                <w:sz w:val="18"/>
              </w:rPr>
              <w:t>波生坦</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1"/>
              <w:ind w:left="13"/>
              <w:rPr>
                <w:sz w:val="18"/>
              </w:rPr>
            </w:pPr>
            <w:r>
              <w:rPr>
                <w:sz w:val="18"/>
              </w:rPr>
              <w:t>片剂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1"/>
              <w:ind w:left="13"/>
              <w:rPr>
                <w:rFonts w:ascii="Times New Roman" w:eastAsia="Times New Roman"/>
                <w:sz w:val="18"/>
              </w:rPr>
            </w:pPr>
            <w:r>
              <w:rPr>
                <w:rFonts w:ascii="Times New Roman" w:eastAsia="Times New Roman"/>
                <w:position w:val="1"/>
                <w:sz w:val="18"/>
              </w:rPr>
              <w:t>62.5mg</w:t>
            </w:r>
            <w:r>
              <w:rPr>
                <w:sz w:val="18"/>
              </w:rPr>
              <w:t>、</w:t>
            </w:r>
            <w:r>
              <w:rPr>
                <w:rFonts w:ascii="Times New Roman" w:eastAsia="Times New Roman"/>
                <w:position w:val="1"/>
                <w:sz w:val="18"/>
              </w:rPr>
              <w:t>125mg</w:t>
            </w:r>
          </w:p>
        </w:tc>
      </w:tr>
      <w:tr>
        <w:trPr>
          <w:trHeight w:val="369"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0"/>
              <w:ind w:left="98" w:right="87"/>
              <w:jc w:val="center"/>
              <w:rPr>
                <w:rFonts w:ascii="Times New Roman"/>
                <w:sz w:val="18"/>
              </w:rPr>
            </w:pPr>
            <w:r>
              <w:rPr>
                <w:rFonts w:ascii="Times New Roman"/>
                <w:sz w:val="18"/>
              </w:rPr>
              <w:t>28</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3"/>
              <w:ind w:left="389" w:right="383"/>
              <w:jc w:val="center"/>
              <w:rPr>
                <w:sz w:val="18"/>
              </w:rPr>
            </w:pPr>
            <w:r>
              <w:rPr>
                <w:sz w:val="18"/>
              </w:rPr>
              <w:t>盐酸考来维仑</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片剂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70"/>
              <w:ind w:left="13"/>
              <w:rPr>
                <w:rFonts w:ascii="Times New Roman"/>
                <w:sz w:val="18"/>
              </w:rPr>
            </w:pPr>
            <w:r>
              <w:rPr>
                <w:rFonts w:ascii="Times New Roman"/>
                <w:sz w:val="18"/>
              </w:rPr>
              <w:t>625mg</w:t>
            </w:r>
          </w:p>
        </w:tc>
      </w:tr>
      <w:tr>
        <w:trPr>
          <w:trHeight w:val="371"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0"/>
              <w:ind w:left="98" w:right="87"/>
              <w:jc w:val="center"/>
              <w:rPr>
                <w:rFonts w:ascii="Times New Roman"/>
                <w:sz w:val="18"/>
              </w:rPr>
            </w:pPr>
            <w:r>
              <w:rPr>
                <w:rFonts w:ascii="Times New Roman"/>
                <w:sz w:val="18"/>
              </w:rPr>
              <w:t>29</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3"/>
              <w:ind w:left="389" w:right="384"/>
              <w:jc w:val="center"/>
              <w:rPr>
                <w:sz w:val="18"/>
              </w:rPr>
            </w:pPr>
            <w:r>
              <w:rPr>
                <w:sz w:val="18"/>
              </w:rPr>
              <w:t>多非利特</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胶囊</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rFonts w:ascii="Times New Roman" w:eastAsia="Times New Roman"/>
                <w:sz w:val="18"/>
              </w:rPr>
            </w:pPr>
            <w:r>
              <w:rPr>
                <w:rFonts w:ascii="Times New Roman" w:eastAsia="Times New Roman"/>
                <w:sz w:val="18"/>
              </w:rPr>
              <w:t>0.125mg</w:t>
            </w:r>
            <w:r>
              <w:rPr>
                <w:sz w:val="18"/>
              </w:rPr>
              <w:t>、</w:t>
            </w:r>
            <w:r>
              <w:rPr>
                <w:rFonts w:ascii="Times New Roman" w:eastAsia="Times New Roman"/>
                <w:sz w:val="18"/>
              </w:rPr>
              <w:t>0.25mg</w:t>
            </w:r>
            <w:r>
              <w:rPr>
                <w:sz w:val="18"/>
              </w:rPr>
              <w:t>、</w:t>
            </w:r>
            <w:r>
              <w:rPr>
                <w:rFonts w:ascii="Times New Roman" w:eastAsia="Times New Roman"/>
                <w:sz w:val="18"/>
              </w:rPr>
              <w:t>0.5mg</w:t>
            </w:r>
          </w:p>
        </w:tc>
      </w:tr>
      <w:tr>
        <w:trPr>
          <w:trHeight w:val="369"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67"/>
              <w:ind w:left="98" w:right="87"/>
              <w:jc w:val="center"/>
              <w:rPr>
                <w:rFonts w:ascii="Times New Roman"/>
                <w:sz w:val="18"/>
              </w:rPr>
            </w:pPr>
            <w:r>
              <w:rPr>
                <w:rFonts w:ascii="Times New Roman"/>
                <w:sz w:val="18"/>
              </w:rPr>
              <w:t>30</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0"/>
              <w:ind w:left="389" w:right="384"/>
              <w:jc w:val="center"/>
              <w:rPr>
                <w:sz w:val="18"/>
              </w:rPr>
            </w:pPr>
            <w:r>
              <w:rPr>
                <w:sz w:val="18"/>
              </w:rPr>
              <w:t>艾替班特</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0"/>
              <w:ind w:left="13"/>
              <w:rPr>
                <w:sz w:val="18"/>
              </w:rPr>
            </w:pPr>
            <w:r>
              <w:rPr>
                <w:sz w:val="18"/>
              </w:rPr>
              <w:t>注射液</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0"/>
              <w:ind w:left="13"/>
              <w:rPr>
                <w:sz w:val="18"/>
              </w:rPr>
            </w:pPr>
            <w:r>
              <w:rPr>
                <w:rFonts w:ascii="Times New Roman" w:eastAsia="Times New Roman"/>
                <w:sz w:val="18"/>
              </w:rPr>
              <w:t>30mg/3ml</w:t>
            </w:r>
            <w:r>
              <w:rPr>
                <w:sz w:val="18"/>
              </w:rPr>
              <w:t>（</w:t>
            </w:r>
            <w:r>
              <w:rPr>
                <w:rFonts w:ascii="Times New Roman" w:eastAsia="Times New Roman"/>
                <w:sz w:val="18"/>
              </w:rPr>
              <w:t>10mg/ml</w:t>
            </w:r>
            <w:r>
              <w:rPr>
                <w:sz w:val="18"/>
              </w:rPr>
              <w:t>）</w:t>
            </w:r>
          </w:p>
        </w:tc>
      </w:tr>
      <w:tr>
        <w:trPr>
          <w:trHeight w:val="369"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0"/>
              <w:ind w:left="98" w:right="87"/>
              <w:jc w:val="center"/>
              <w:rPr>
                <w:rFonts w:ascii="Times New Roman"/>
                <w:sz w:val="18"/>
              </w:rPr>
            </w:pPr>
            <w:r>
              <w:rPr>
                <w:rFonts w:ascii="Times New Roman"/>
                <w:sz w:val="18"/>
              </w:rPr>
              <w:t>31</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3"/>
              <w:ind w:left="389" w:right="384"/>
              <w:jc w:val="center"/>
              <w:rPr>
                <w:sz w:val="18"/>
              </w:rPr>
            </w:pPr>
            <w:r>
              <w:rPr>
                <w:sz w:val="18"/>
              </w:rPr>
              <w:t>地拉罗司</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分散片</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rFonts w:ascii="Times New Roman" w:eastAsia="Times New Roman"/>
                <w:sz w:val="18"/>
              </w:rPr>
            </w:pPr>
            <w:r>
              <w:rPr>
                <w:rFonts w:ascii="Times New Roman" w:eastAsia="Times New Roman"/>
                <w:sz w:val="18"/>
              </w:rPr>
              <w:t>0.125g</w:t>
            </w:r>
            <w:r>
              <w:rPr>
                <w:sz w:val="18"/>
              </w:rPr>
              <w:t>、</w:t>
            </w:r>
            <w:r>
              <w:rPr>
                <w:rFonts w:ascii="Times New Roman" w:eastAsia="Times New Roman"/>
                <w:sz w:val="18"/>
              </w:rPr>
              <w:t>0.25g</w:t>
            </w:r>
            <w:r>
              <w:rPr>
                <w:sz w:val="18"/>
              </w:rPr>
              <w:t>、</w:t>
            </w:r>
            <w:r>
              <w:rPr>
                <w:rFonts w:ascii="Times New Roman" w:eastAsia="Times New Roman"/>
                <w:sz w:val="18"/>
              </w:rPr>
              <w:t>0.5g</w:t>
            </w:r>
          </w:p>
        </w:tc>
      </w:tr>
      <w:tr>
        <w:trPr>
          <w:trHeight w:val="371"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0"/>
              <w:ind w:left="98" w:right="87"/>
              <w:jc w:val="center"/>
              <w:rPr>
                <w:rFonts w:ascii="Times New Roman"/>
                <w:sz w:val="18"/>
              </w:rPr>
            </w:pPr>
            <w:r>
              <w:rPr>
                <w:rFonts w:ascii="Times New Roman"/>
                <w:sz w:val="18"/>
              </w:rPr>
              <w:t>32</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3"/>
              <w:ind w:left="389" w:right="384"/>
              <w:jc w:val="center"/>
              <w:rPr>
                <w:sz w:val="18"/>
              </w:rPr>
            </w:pPr>
            <w:r>
              <w:rPr>
                <w:sz w:val="18"/>
              </w:rPr>
              <w:t>阿卡他定</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滴眼剂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70"/>
              <w:ind w:left="13"/>
              <w:rPr>
                <w:rFonts w:ascii="Times New Roman"/>
                <w:sz w:val="18"/>
              </w:rPr>
            </w:pPr>
            <w:r>
              <w:rPr>
                <w:rFonts w:ascii="Times New Roman"/>
                <w:sz w:val="18"/>
              </w:rPr>
              <w:t>0.25%</w:t>
            </w:r>
          </w:p>
        </w:tc>
      </w:tr>
      <w:tr>
        <w:trPr>
          <w:trHeight w:val="369"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67"/>
              <w:ind w:left="98" w:right="87"/>
              <w:jc w:val="center"/>
              <w:rPr>
                <w:rFonts w:ascii="Times New Roman"/>
                <w:sz w:val="18"/>
              </w:rPr>
            </w:pPr>
            <w:r>
              <w:rPr>
                <w:rFonts w:ascii="Times New Roman"/>
                <w:sz w:val="18"/>
              </w:rPr>
              <w:t>33</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0"/>
              <w:ind w:left="389" w:right="382"/>
              <w:jc w:val="center"/>
              <w:rPr>
                <w:sz w:val="18"/>
              </w:rPr>
            </w:pPr>
            <w:r>
              <w:rPr>
                <w:sz w:val="18"/>
              </w:rPr>
              <w:t>他氟前列素</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0"/>
              <w:ind w:left="13"/>
              <w:rPr>
                <w:sz w:val="18"/>
              </w:rPr>
            </w:pPr>
            <w:r>
              <w:rPr>
                <w:sz w:val="18"/>
              </w:rPr>
              <w:t>滴眼剂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67"/>
              <w:ind w:left="13"/>
              <w:rPr>
                <w:rFonts w:ascii="Times New Roman"/>
                <w:sz w:val="18"/>
              </w:rPr>
            </w:pPr>
            <w:r>
              <w:rPr>
                <w:rFonts w:ascii="Times New Roman"/>
                <w:sz w:val="18"/>
              </w:rPr>
              <w:t>0.0015%</w:t>
            </w:r>
          </w:p>
        </w:tc>
      </w:tr>
      <w:tr>
        <w:trPr>
          <w:trHeight w:val="371" w:hRule="atLeast"/>
        </w:trPr>
        <w:tc>
          <w:tcPr>
            <w:tcW w:w="598" w:type="dxa"/>
            <w:tcBorders>
              <w:top w:val="single" w:sz="4" w:space="0" w:color="000000"/>
              <w:left w:val="single" w:sz="4" w:space="0" w:color="000000"/>
              <w:bottom w:val="single" w:sz="4" w:space="0" w:color="000000"/>
              <w:right w:val="single" w:sz="4" w:space="0" w:color="000000"/>
            </w:tcBorders>
          </w:tcPr>
          <w:p>
            <w:pPr>
              <w:pStyle w:val="TableParagraph"/>
              <w:spacing w:before="70"/>
              <w:ind w:left="98" w:right="87"/>
              <w:jc w:val="center"/>
              <w:rPr>
                <w:rFonts w:ascii="Times New Roman"/>
                <w:sz w:val="18"/>
              </w:rPr>
            </w:pPr>
            <w:r>
              <w:rPr>
                <w:rFonts w:ascii="Times New Roman"/>
                <w:sz w:val="18"/>
              </w:rPr>
              <w:t>34</w:t>
            </w:r>
          </w:p>
        </w:tc>
        <w:tc>
          <w:tcPr>
            <w:tcW w:w="2264" w:type="dxa"/>
            <w:tcBorders>
              <w:top w:val="single" w:sz="4" w:space="0" w:color="000000"/>
              <w:left w:val="single" w:sz="4" w:space="0" w:color="000000"/>
              <w:bottom w:val="single" w:sz="4" w:space="0" w:color="000000"/>
              <w:right w:val="single" w:sz="4" w:space="0" w:color="000000"/>
            </w:tcBorders>
          </w:tcPr>
          <w:p>
            <w:pPr>
              <w:pStyle w:val="TableParagraph"/>
              <w:spacing w:before="63"/>
              <w:ind w:left="389" w:right="384"/>
              <w:jc w:val="center"/>
              <w:rPr>
                <w:sz w:val="18"/>
              </w:rPr>
            </w:pPr>
            <w:r>
              <w:rPr>
                <w:sz w:val="18"/>
              </w:rPr>
              <w:t>氨己烯酸</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spacing w:before="63"/>
              <w:ind w:left="13"/>
              <w:rPr>
                <w:sz w:val="18"/>
              </w:rPr>
            </w:pPr>
            <w:r>
              <w:rPr>
                <w:sz w:val="18"/>
              </w:rPr>
              <w:t>片剂</w:t>
            </w:r>
          </w:p>
        </w:tc>
        <w:tc>
          <w:tcPr>
            <w:tcW w:w="4681" w:type="dxa"/>
            <w:tcBorders>
              <w:top w:val="single" w:sz="4" w:space="0" w:color="000000"/>
              <w:left w:val="single" w:sz="4" w:space="0" w:color="000000"/>
              <w:bottom w:val="single" w:sz="4" w:space="0" w:color="000000"/>
              <w:right w:val="single" w:sz="4" w:space="0" w:color="000000"/>
            </w:tcBorders>
          </w:tcPr>
          <w:p>
            <w:pPr>
              <w:pStyle w:val="TableParagraph"/>
              <w:spacing w:before="70"/>
              <w:ind w:left="13"/>
              <w:rPr>
                <w:rFonts w:ascii="Times New Roman"/>
                <w:sz w:val="18"/>
              </w:rPr>
            </w:pPr>
            <w:r>
              <w:rPr>
                <w:rFonts w:ascii="Times New Roman"/>
                <w:sz w:val="18"/>
              </w:rPr>
              <w:t>500mg</w:t>
            </w:r>
          </w:p>
        </w:tc>
      </w:tr>
    </w:tbl>
    <w:p>
      <w:pPr>
        <w:pStyle w:val="Heading3"/>
        <w:spacing w:line="411" w:lineRule="exact"/>
        <w:ind w:left="277"/>
        <w:rPr>
          <w:rFonts w:ascii="Meiryo" w:eastAsia="Meiryo" w:hint="eastAsia"/>
        </w:rPr>
      </w:pPr>
      <w:r>
        <w:rPr>
          <w:rFonts w:ascii="Meiryo" w:eastAsia="Meiryo" w:hint="eastAsia"/>
          <w:color w:val="0033CC"/>
        </w:rPr>
        <w:t>[返回目次]</w:t>
      </w:r>
    </w:p>
    <w:p>
      <w:pPr>
        <w:pStyle w:val="BodyText"/>
        <w:spacing w:before="7"/>
        <w:ind w:left="0"/>
        <w:rPr>
          <w:rFonts w:ascii="Meiryo"/>
          <w:b/>
          <w:sz w:val="6"/>
        </w:rPr>
      </w:pPr>
    </w:p>
    <w:p>
      <w:pPr>
        <w:spacing w:after="0"/>
        <w:rPr>
          <w:rFonts w:ascii="Meiryo"/>
          <w:sz w:val="6"/>
        </w:rPr>
        <w:sectPr>
          <w:headerReference w:type="default" r:id="rId11"/>
          <w:footerReference w:type="default" r:id="rId12"/>
          <w:pgSz w:w="11910" w:h="16850"/>
          <w:pgMar w:header="0" w:footer="607" w:top="1100" w:bottom="800" w:left="1000" w:right="740"/>
          <w:pgNumType w:start="3"/>
        </w:sectPr>
      </w:pPr>
    </w:p>
    <w:p>
      <w:pPr>
        <w:spacing w:before="54"/>
        <w:ind w:left="2293" w:right="0" w:firstLine="0"/>
        <w:jc w:val="left"/>
        <w:rPr>
          <w:b/>
          <w:sz w:val="32"/>
        </w:rPr>
      </w:pPr>
      <w:r>
        <w:rPr>
          <w:b/>
          <w:spacing w:val="-1"/>
          <w:sz w:val="32"/>
        </w:rPr>
        <w:t>县域医共体建设要在“共”字上做文章</w:t>
      </w:r>
    </w:p>
    <w:p>
      <w:pPr>
        <w:pStyle w:val="BodyText"/>
        <w:ind w:left="0"/>
        <w:rPr>
          <w:b/>
        </w:rPr>
      </w:pPr>
      <w:r>
        <w:rPr/>
        <w:br w:type="column"/>
      </w:r>
      <w:r>
        <w:rPr>
          <w:b/>
        </w:rPr>
      </w:r>
    </w:p>
    <w:p>
      <w:pPr>
        <w:pStyle w:val="BodyText"/>
        <w:spacing w:before="7"/>
        <w:ind w:left="0"/>
        <w:rPr>
          <w:b/>
          <w:sz w:val="23"/>
        </w:rPr>
      </w:pPr>
    </w:p>
    <w:p>
      <w:pPr>
        <w:spacing w:before="0"/>
        <w:ind w:left="57"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type w:val="continuous"/>
          <w:pgSz w:w="11910" w:h="16850"/>
          <w:pgMar w:top="1100" w:bottom="1020" w:left="1000" w:right="740"/>
          <w:cols w:num="2" w:equalWidth="0">
            <w:col w:w="7751" w:space="40"/>
            <w:col w:w="2379"/>
          </w:cols>
        </w:sectPr>
      </w:pPr>
    </w:p>
    <w:p>
      <w:pPr>
        <w:pStyle w:val="BodyText"/>
        <w:spacing w:line="297" w:lineRule="auto" w:before="96"/>
        <w:ind w:right="387" w:firstLine="480"/>
      </w:pPr>
      <w:r>
        <w:rPr/>
        <w:t>6</w:t>
      </w:r>
      <w:r>
        <w:rPr>
          <w:spacing w:val="-41"/>
        </w:rPr>
        <w:t> 月 </w:t>
      </w:r>
      <w:r>
        <w:rPr/>
        <w:t>17</w:t>
      </w:r>
      <w:r>
        <w:rPr>
          <w:spacing w:val="-8"/>
        </w:rPr>
        <w:t> 日，国家卫生健康委、国家中医药管理局召开推进紧密型县域医疗卫生共同体</w:t>
      </w:r>
      <w:r>
        <w:rPr>
          <w:spacing w:val="-14"/>
        </w:rPr>
        <w:t>建设视频会议。国家卫生健康委副主任王贺胜在会上指出，县域医共体建设是以人民为中心</w:t>
      </w:r>
      <w:r>
        <w:rPr>
          <w:spacing w:val="-10"/>
        </w:rPr>
        <w:t>理念的具体体现，是建立优质高效医疗卫生服务体系的必然要求，是推动分级诊疗制度建设</w:t>
      </w:r>
      <w:r>
        <w:rPr>
          <w:spacing w:val="-9"/>
        </w:rPr>
        <w:t>的重要举措，是提高基层服务能力的有力抓手。各地要紧紧围绕强基层、惠群众的目标，重</w:t>
      </w:r>
      <w:r>
        <w:rPr>
          <w:spacing w:val="-22"/>
        </w:rPr>
        <w:t>点抓好 </w:t>
      </w:r>
      <w:r>
        <w:rPr/>
        <w:t>5</w:t>
      </w:r>
      <w:r>
        <w:rPr>
          <w:spacing w:val="-9"/>
        </w:rPr>
        <w:t> 个关键环节。</w:t>
      </w:r>
    </w:p>
    <w:p>
      <w:pPr>
        <w:pStyle w:val="BodyText"/>
        <w:spacing w:line="297" w:lineRule="auto"/>
        <w:ind w:right="270" w:firstLine="480"/>
      </w:pPr>
      <w:r>
        <w:rPr>
          <w:spacing w:val="-10"/>
        </w:rPr>
        <w:t>王贺胜说，一要做好“共”字文章，逐步形成服务、责任、利益、管理的共同体，坚持</w:t>
      </w:r>
      <w:r>
        <w:rPr>
          <w:spacing w:val="-13"/>
        </w:rPr>
        <w:t>政府主导、资源下沉、群众受益，确保医共体建设方向正确；二要推进资源整合，持续完善</w:t>
      </w:r>
      <w:r>
        <w:rPr>
          <w:spacing w:val="-20"/>
        </w:rPr>
        <w:t>县域医疗卫生服务体系；三要深化综合改革，保障医共体建设顺利推进；四要强化医防结合， </w:t>
      </w:r>
      <w:r>
        <w:rPr/>
        <w:t>不断提升基层医疗卫生服务能力；五要加强政策联动，形成推进医共体建设的合力。</w:t>
      </w:r>
    </w:p>
    <w:p>
      <w:pPr>
        <w:pStyle w:val="Heading3"/>
        <w:spacing w:line="414" w:lineRule="exact"/>
        <w:rPr>
          <w:rFonts w:ascii="Meiryo" w:eastAsia="Meiryo" w:hint="eastAsia"/>
        </w:rPr>
      </w:pPr>
      <w:r>
        <w:rPr>
          <w:rFonts w:ascii="Meiryo" w:eastAsia="Meiryo" w:hint="eastAsia"/>
          <w:color w:val="0033CC"/>
        </w:rPr>
        <w:t>[返回目次]</w:t>
      </w:r>
    </w:p>
    <w:p>
      <w:pPr>
        <w:spacing w:before="61"/>
        <w:ind w:left="277" w:right="0" w:firstLine="0"/>
        <w:jc w:val="left"/>
        <w:rPr>
          <w:b/>
          <w:sz w:val="32"/>
        </w:rPr>
      </w:pPr>
      <w:r>
        <w:rPr>
          <w:b/>
          <w:sz w:val="32"/>
        </w:rPr>
        <w:t>【医保动态】</w:t>
      </w:r>
    </w:p>
    <w:p>
      <w:pPr>
        <w:spacing w:before="41"/>
        <w:ind w:left="122" w:right="238" w:firstLine="0"/>
        <w:jc w:val="center"/>
        <w:rPr>
          <w:b/>
          <w:sz w:val="32"/>
        </w:rPr>
      </w:pPr>
      <w:r>
        <w:rPr>
          <w:b/>
          <w:sz w:val="32"/>
        </w:rPr>
        <w:t>医保“通用语言”正在编制</w:t>
      </w:r>
    </w:p>
    <w:p>
      <w:pPr>
        <w:spacing w:before="148"/>
        <w:ind w:left="0" w:right="388" w:firstLine="0"/>
        <w:jc w:val="right"/>
        <w:rPr>
          <w:rFonts w:ascii="楷体" w:eastAsia="楷体" w:hint="eastAsia"/>
          <w:b/>
          <w:sz w:val="24"/>
        </w:rPr>
      </w:pPr>
      <w:r>
        <w:rPr>
          <w:rFonts w:ascii="楷体" w:eastAsia="楷体" w:hint="eastAsia"/>
          <w:b/>
          <w:color w:val="FF0000"/>
          <w:w w:val="95"/>
          <w:sz w:val="24"/>
        </w:rPr>
        <w:t>（来源：国家卫健委网站）</w:t>
      </w:r>
    </w:p>
    <w:p>
      <w:pPr>
        <w:pStyle w:val="BodyText"/>
        <w:spacing w:line="297" w:lineRule="auto" w:before="95"/>
        <w:ind w:right="392" w:firstLine="480"/>
        <w:jc w:val="both"/>
      </w:pPr>
      <w:r>
        <w:rPr/>
        <w:t>6</w:t>
      </w:r>
      <w:r>
        <w:rPr>
          <w:spacing w:val="-41"/>
        </w:rPr>
        <w:t> 月 </w:t>
      </w:r>
      <w:r>
        <w:rPr/>
        <w:t>27</w:t>
      </w:r>
      <w:r>
        <w:rPr>
          <w:spacing w:val="-8"/>
        </w:rPr>
        <w:t> 日，国家医保局对外发布《医疗保障标准化工作指导意见》提出，统一规划、</w:t>
      </w:r>
      <w:r>
        <w:rPr>
          <w:spacing w:val="-14"/>
        </w:rPr>
        <w:t>统一分类、统一发布、统一管理，制定各项医疗保障标准，推动标准实施，形成全国统一的</w:t>
      </w:r>
      <w:r>
        <w:rPr/>
        <w:t>医疗保障标准化体系。</w:t>
      </w:r>
    </w:p>
    <w:p>
      <w:pPr>
        <w:spacing w:after="0" w:line="297" w:lineRule="auto"/>
        <w:jc w:val="both"/>
        <w:sectPr>
          <w:type w:val="continuous"/>
          <w:pgSz w:w="11910" w:h="16850"/>
          <w:pgMar w:top="1100" w:bottom="1020" w:left="1000" w:right="740"/>
        </w:sectPr>
      </w:pPr>
    </w:p>
    <w:p>
      <w:pPr>
        <w:pStyle w:val="BodyText"/>
        <w:spacing w:line="295" w:lineRule="auto" w:before="65"/>
        <w:ind w:right="270" w:firstLine="480"/>
      </w:pPr>
      <w:r>
        <w:rPr>
          <w:spacing w:val="-4"/>
        </w:rPr>
        <w:t>据了解，我国医疗保障制度建立运行 </w:t>
      </w:r>
      <w:r>
        <w:rPr/>
        <w:t>20</w:t>
      </w:r>
      <w:r>
        <w:rPr>
          <w:spacing w:val="-8"/>
        </w:rPr>
        <w:t> 多年，尚未形成统一的标准化体系，难以适应</w:t>
      </w:r>
      <w:r>
        <w:rPr>
          <w:spacing w:val="-19"/>
        </w:rPr>
        <w:t>医疗保障治理现代化要求。根据《意见》，我国将建立国家医疗保障局主导、相关部门认同、</w:t>
      </w:r>
      <w:r>
        <w:rPr>
          <w:spacing w:val="-2"/>
        </w:rPr>
        <w:t>各地协同推进的标准化工作机制，形成与医疗保障改革发展相适应的标准化体系；到 </w:t>
      </w:r>
      <w:r>
        <w:rPr/>
        <w:t>2020</w:t>
      </w:r>
    </w:p>
    <w:p>
      <w:pPr>
        <w:pStyle w:val="BodyText"/>
        <w:spacing w:line="295" w:lineRule="auto" w:before="5"/>
        <w:ind w:right="405"/>
      </w:pPr>
      <w:r>
        <w:rPr>
          <w:spacing w:val="-2"/>
        </w:rPr>
        <w:t>年，在全国统一医疗保障信息系统建设的基础上，逐步实现疾病诊断和手术操作等 </w:t>
      </w:r>
      <w:r>
        <w:rPr/>
        <w:t>15</w:t>
      </w:r>
      <w:r>
        <w:rPr>
          <w:spacing w:val="-26"/>
        </w:rPr>
        <w:t> 项信</w:t>
      </w:r>
      <w:r>
        <w:rPr/>
        <w:t>息业务编码标准的落地使用。</w:t>
      </w:r>
    </w:p>
    <w:p>
      <w:pPr>
        <w:pStyle w:val="BodyText"/>
        <w:spacing w:line="297" w:lineRule="auto" w:before="2"/>
        <w:ind w:right="286" w:firstLine="480"/>
      </w:pPr>
      <w:r>
        <w:rPr>
          <w:spacing w:val="-10"/>
        </w:rPr>
        <w:t>《意见》提出，建立全国统一的医疗保障基础共性标准，形成全国医疗保障系统共建共</w:t>
      </w:r>
      <w:r>
        <w:rPr>
          <w:spacing w:val="-11"/>
        </w:rPr>
        <w:t>享、相关部门单位衔接交换的“通用语言”，包括医疗保障信息业务编码标准、统一标识、</w:t>
      </w:r>
      <w:r>
        <w:rPr>
          <w:spacing w:val="-8"/>
        </w:rPr>
        <w:t>档案管理规范等，以及医疗保障信息化建设涉及的网络安全、数据交换、运行维护等技术标</w:t>
      </w:r>
      <w:r>
        <w:rPr>
          <w:spacing w:val="-10"/>
        </w:rPr>
        <w:t>准；完善覆盖医疗保障基金管理、业务经办管理、医药价格和招标采购管理等工作规范，包</w:t>
      </w:r>
      <w:r>
        <w:rPr>
          <w:spacing w:val="-12"/>
        </w:rPr>
        <w:t>括审核结算支付、转移接续等基金管理和经办业务规范，经办机构建设、经办人员行为等经</w:t>
      </w:r>
      <w:r>
        <w:rPr>
          <w:spacing w:val="-14"/>
        </w:rPr>
        <w:t>办体系建设规范，医疗服务项目与价格以及药品、医用耗材的招标采购管理规范等；优化快</w:t>
      </w:r>
      <w:r>
        <w:rPr>
          <w:spacing w:val="-12"/>
        </w:rPr>
        <w:t>捷高效、方便实用的医疗保障公共服务标准，包括基本医疗保险参保登记、信息披露等公共</w:t>
      </w:r>
      <w:r>
        <w:rPr>
          <w:spacing w:val="-13"/>
        </w:rPr>
        <w:t>服务规范，医疗保障经办部门与定点医药机构等第三方机构的协议管理规范，长期护理保险</w:t>
      </w:r>
      <w:r>
        <w:rPr>
          <w:spacing w:val="-14"/>
        </w:rPr>
        <w:t>失能评估标准、服务项目标准等；建立医疗保障绩效考核和服务评价标准，包括对参保人、</w:t>
      </w:r>
      <w:r>
        <w:rPr/>
        <w:t>参保单位、定点医药机构及其工作人员的信用评价标准等。</w:t>
      </w:r>
    </w:p>
    <w:p>
      <w:pPr>
        <w:pStyle w:val="BodyText"/>
        <w:spacing w:line="278" w:lineRule="auto"/>
        <w:ind w:right="388" w:firstLine="480"/>
        <w:jc w:val="both"/>
        <w:rPr>
          <w:rFonts w:ascii="Meiryo" w:eastAsia="Meiryo" w:hint="eastAsia"/>
          <w:b/>
        </w:rPr>
      </w:pPr>
      <w:r>
        <w:rPr>
          <w:spacing w:val="-12"/>
        </w:rPr>
        <w:t>《意见》明确，按照先试点完善、再推广普及的方式，稳妥推进各类医疗保障标准的贯</w:t>
      </w:r>
      <w:r>
        <w:rPr>
          <w:spacing w:val="-10"/>
        </w:rPr>
        <w:t>彻实施。前期重点开展医保疾病诊断和手术操作、医疗服务项目、药品、医用耗材 </w:t>
      </w:r>
      <w:r>
        <w:rPr/>
        <w:t>4</w:t>
      </w:r>
      <w:r>
        <w:rPr>
          <w:spacing w:val="-19"/>
        </w:rPr>
        <w:t> 项信息</w:t>
      </w:r>
      <w:r>
        <w:rPr/>
        <w:t>业务编码标准的测试使用。</w:t>
      </w:r>
      <w:r>
        <w:rPr>
          <w:rFonts w:ascii="Meiryo" w:eastAsia="Meiryo" w:hint="eastAsia"/>
          <w:b/>
          <w:color w:val="0033CC"/>
        </w:rPr>
        <w:t>[返回目次]</w:t>
      </w:r>
    </w:p>
    <w:p>
      <w:pPr>
        <w:pStyle w:val="Heading2"/>
        <w:spacing w:line="402" w:lineRule="exact"/>
        <w:ind w:left="277"/>
      </w:pPr>
      <w:r>
        <w:rPr/>
        <w:t>【药监动态】</w:t>
      </w:r>
    </w:p>
    <w:p>
      <w:pPr>
        <w:pStyle w:val="BodyText"/>
        <w:spacing w:before="269"/>
        <w:ind w:left="122" w:right="236"/>
        <w:jc w:val="center"/>
      </w:pPr>
      <w:r>
        <w:rPr/>
        <w:t>推进落实持有人药品安全主体责任</w:t>
      </w:r>
    </w:p>
    <w:p>
      <w:pPr>
        <w:pStyle w:val="Heading2"/>
        <w:spacing w:before="85"/>
        <w:ind w:right="240"/>
        <w:jc w:val="center"/>
      </w:pPr>
      <w:r>
        <w:rPr/>
        <w:t>上市药品临床安全性文献评价指导原则（试行）发布</w:t>
      </w:r>
    </w:p>
    <w:p>
      <w:pPr>
        <w:pStyle w:val="Heading3"/>
        <w:spacing w:before="145"/>
        <w:ind w:left="0" w:right="388"/>
        <w:jc w:val="right"/>
        <w:rPr>
          <w:rFonts w:ascii="楷体" w:eastAsia="楷体" w:hint="eastAsia"/>
        </w:rPr>
      </w:pPr>
      <w:r>
        <w:rPr>
          <w:rFonts w:ascii="楷体" w:eastAsia="楷体" w:hint="eastAsia"/>
          <w:color w:val="FF0000"/>
          <w:w w:val="95"/>
        </w:rPr>
        <w:t>（来源：中国医药报）</w:t>
      </w:r>
    </w:p>
    <w:p>
      <w:pPr>
        <w:pStyle w:val="BodyText"/>
        <w:spacing w:before="96"/>
        <w:ind w:left="757"/>
        <w:jc w:val="both"/>
      </w:pPr>
      <w:r>
        <w:rPr/>
        <w:t>6 月 18 日，国家药品监管局发布通告，发布《上市药品临床安全性文献评价指导原则</w:t>
      </w:r>
    </w:p>
    <w:p>
      <w:pPr>
        <w:pStyle w:val="BodyText"/>
        <w:spacing w:line="295" w:lineRule="auto" w:before="74"/>
        <w:ind w:right="387"/>
        <w:jc w:val="both"/>
      </w:pPr>
      <w:r>
        <w:rPr/>
        <w:t>（试行</w:t>
      </w:r>
      <w:r>
        <w:rPr>
          <w:spacing w:val="-12"/>
        </w:rPr>
        <w:t>）</w:t>
      </w:r>
      <w:r>
        <w:rPr>
          <w:spacing w:val="-24"/>
        </w:rPr>
        <w:t>》</w:t>
      </w:r>
      <w:r>
        <w:rPr/>
        <w:t>（</w:t>
      </w:r>
      <w:r>
        <w:rPr>
          <w:spacing w:val="-5"/>
        </w:rPr>
        <w:t>以下简称《指导原则》</w:t>
      </w:r>
      <w:r>
        <w:rPr>
          <w:spacing w:val="-12"/>
        </w:rPr>
        <w:t>），</w:t>
      </w:r>
      <w:r>
        <w:rPr>
          <w:spacing w:val="-3"/>
        </w:rPr>
        <w:t>旨在进一步落实药品上市许可持有人</w:t>
      </w:r>
      <w:r>
        <w:rPr/>
        <w:t>（</w:t>
      </w:r>
      <w:r>
        <w:rPr>
          <w:spacing w:val="-4"/>
        </w:rPr>
        <w:t>包括持有药</w:t>
      </w:r>
      <w:r>
        <w:rPr>
          <w:spacing w:val="-3"/>
        </w:rPr>
        <w:t>品批准证明文件的生产企业，以下简称持有人</w:t>
      </w:r>
      <w:r>
        <w:rPr>
          <w:spacing w:val="-34"/>
        </w:rPr>
        <w:t>）</w:t>
      </w:r>
      <w:r>
        <w:rPr>
          <w:spacing w:val="-5"/>
        </w:rPr>
        <w:t>药品安全主体责任，指导持有人规范开展临</w:t>
      </w:r>
      <w:r>
        <w:rPr/>
        <w:t>床安全性文献的系统评价。</w:t>
      </w:r>
    </w:p>
    <w:p>
      <w:pPr>
        <w:pStyle w:val="BodyText"/>
        <w:spacing w:line="297" w:lineRule="auto" w:before="6"/>
        <w:ind w:right="387" w:firstLine="480"/>
        <w:jc w:val="both"/>
      </w:pPr>
      <w:r>
        <w:rPr>
          <w:spacing w:val="-11"/>
        </w:rPr>
        <w:t>通告显示，国家药监局《关于药品上市许可持有人直接报告不良反应事宜的公告》第四</w:t>
      </w:r>
      <w:r>
        <w:rPr>
          <w:spacing w:val="-9"/>
        </w:rPr>
        <w:t>款规定，持有人应当定期对药品不良反应监测数据、临床研究、文献等资料进行评价。上市</w:t>
      </w:r>
      <w:r>
        <w:rPr>
          <w:spacing w:val="-5"/>
        </w:rPr>
        <w:t>药品临床安全性文献评价是药品上市后临床研究的主要方法之一，其基本要素包括文献评价</w:t>
      </w:r>
      <w:r>
        <w:rPr/>
        <w:t>的一般流程、方法学要点及评价报告撰写规范。</w:t>
      </w:r>
    </w:p>
    <w:p>
      <w:pPr>
        <w:pStyle w:val="BodyText"/>
        <w:spacing w:line="297" w:lineRule="auto"/>
        <w:ind w:right="267" w:firstLine="480"/>
      </w:pPr>
      <w:r>
        <w:rPr>
          <w:spacing w:val="-7"/>
        </w:rPr>
        <w:t>为指导持有人开展相关工作，《指导原则》从概述、方法学要点、报告撰写规范、指导原则所依据的参考文献和附录五个方面进行了细化要求。其中，方法学要点包括一般流程、</w:t>
      </w:r>
      <w:r>
        <w:rPr>
          <w:spacing w:val="-19"/>
        </w:rPr>
        <w:t>安全性文献评价注意事项、质量控制注意事项；报告撰写规范包括背景及目的、方法、结果、</w:t>
      </w:r>
      <w:r>
        <w:rPr/>
        <w:t>讨论等。</w:t>
      </w:r>
    </w:p>
    <w:p>
      <w:pPr>
        <w:pStyle w:val="BodyText"/>
        <w:spacing w:line="297" w:lineRule="auto"/>
        <w:ind w:right="390" w:firstLine="480"/>
      </w:pPr>
      <w:r>
        <w:rPr>
          <w:spacing w:val="-12"/>
        </w:rPr>
        <w:t>据悉，《指导原则》借鉴了循证医学证据分类、分级、严格评价和不断更新的理念和方</w:t>
      </w:r>
      <w:r>
        <w:rPr>
          <w:spacing w:val="-2"/>
        </w:rPr>
        <w:t>法，参考了卫生技术评估综合评价卫生技术的指标与形式，引进了 </w:t>
      </w:r>
      <w:r>
        <w:rPr/>
        <w:t>Cochrane</w:t>
      </w:r>
      <w:r>
        <w:rPr>
          <w:spacing w:val="-9"/>
        </w:rPr>
        <w:t> 系统评价规范</w:t>
      </w:r>
    </w:p>
    <w:p>
      <w:pPr>
        <w:spacing w:after="0" w:line="297" w:lineRule="auto"/>
        <w:sectPr>
          <w:headerReference w:type="default" r:id="rId13"/>
          <w:footerReference w:type="default" r:id="rId14"/>
          <w:pgSz w:w="11910" w:h="16850"/>
          <w:pgMar w:header="906" w:footer="527" w:top="1100" w:bottom="720" w:left="1000" w:right="740"/>
          <w:pgNumType w:start="4"/>
        </w:sectPr>
      </w:pPr>
    </w:p>
    <w:p>
      <w:pPr>
        <w:pStyle w:val="BodyText"/>
        <w:spacing w:line="259" w:lineRule="auto" w:before="65"/>
        <w:ind w:right="387"/>
        <w:rPr>
          <w:rFonts w:ascii="Meiryo" w:eastAsia="Meiryo" w:hint="eastAsia"/>
          <w:b/>
        </w:rPr>
      </w:pPr>
      <w:r>
        <w:rPr>
          <w:spacing w:val="-5"/>
        </w:rPr>
        <w:t>化操作流程和全程质量控制的方法，能为持有人开展上市药品</w:t>
      </w:r>
      <w:r>
        <w:rPr/>
        <w:t>（</w:t>
      </w:r>
      <w:r>
        <w:rPr>
          <w:spacing w:val="-7"/>
        </w:rPr>
        <w:t>包括中药、化学药和生物制</w:t>
      </w:r>
      <w:r>
        <w:rPr/>
        <w:t>品）的临床安全性文献评价和撰写文献评价报告提供指导。</w:t>
      </w:r>
      <w:r>
        <w:rPr>
          <w:rFonts w:ascii="Meiryo" w:eastAsia="Meiryo" w:hint="eastAsia"/>
          <w:b/>
          <w:color w:val="0033CC"/>
        </w:rPr>
        <w:t>[返回目次]</w:t>
      </w:r>
    </w:p>
    <w:p>
      <w:pPr>
        <w:pStyle w:val="BodyText"/>
        <w:spacing w:before="4"/>
        <w:ind w:left="0"/>
        <w:rPr>
          <w:rFonts w:ascii="Meiryo"/>
          <w:b/>
          <w:sz w:val="5"/>
        </w:rPr>
      </w:pPr>
    </w:p>
    <w:p>
      <w:pPr>
        <w:spacing w:after="0"/>
        <w:rPr>
          <w:rFonts w:ascii="Meiryo"/>
          <w:sz w:val="5"/>
        </w:rPr>
        <w:sectPr>
          <w:pgSz w:w="11910" w:h="16850"/>
          <w:pgMar w:header="906" w:footer="527" w:top="1100" w:bottom="800" w:left="1000" w:right="740"/>
        </w:sectPr>
      </w:pPr>
    </w:p>
    <w:p>
      <w:pPr>
        <w:pStyle w:val="Heading2"/>
        <w:spacing w:before="54"/>
        <w:ind w:left="2776"/>
      </w:pPr>
      <w:r>
        <w:rPr>
          <w:spacing w:val="-2"/>
        </w:rPr>
        <w:t>人用基因治疗制品总论草案公示</w:t>
      </w:r>
    </w:p>
    <w:p>
      <w:pPr>
        <w:pStyle w:val="BodyText"/>
        <w:ind w:left="0"/>
        <w:rPr>
          <w:b/>
        </w:rPr>
      </w:pPr>
      <w:r>
        <w:rPr/>
        <w:br w:type="column"/>
      </w:r>
      <w:r>
        <w:rPr>
          <w:b/>
        </w:rPr>
      </w:r>
    </w:p>
    <w:p>
      <w:pPr>
        <w:pStyle w:val="BodyText"/>
        <w:spacing w:before="10"/>
        <w:ind w:left="0"/>
        <w:rPr>
          <w:b/>
          <w:sz w:val="23"/>
        </w:rPr>
      </w:pPr>
    </w:p>
    <w:p>
      <w:pPr>
        <w:pStyle w:val="Heading3"/>
        <w:ind w:left="54"/>
        <w:rPr>
          <w:rFonts w:ascii="楷体" w:eastAsia="楷体" w:hint="eastAsia"/>
        </w:rPr>
      </w:pPr>
      <w:r>
        <w:rPr>
          <w:rFonts w:ascii="楷体" w:eastAsia="楷体" w:hint="eastAsia"/>
          <w:color w:val="FF0000"/>
        </w:rPr>
        <w:t>（来源：中国医药报）</w:t>
      </w:r>
    </w:p>
    <w:p>
      <w:pPr>
        <w:spacing w:after="0"/>
        <w:rPr>
          <w:rFonts w:ascii="楷体" w:eastAsia="楷体" w:hint="eastAsia"/>
        </w:rPr>
        <w:sectPr>
          <w:type w:val="continuous"/>
          <w:pgSz w:w="11910" w:h="16850"/>
          <w:pgMar w:top="1100" w:bottom="1020" w:left="1000" w:right="740"/>
          <w:cols w:num="2" w:equalWidth="0">
            <w:col w:w="7272" w:space="40"/>
            <w:col w:w="2858"/>
          </w:cols>
        </w:sectPr>
      </w:pPr>
    </w:p>
    <w:p>
      <w:pPr>
        <w:pStyle w:val="BodyText"/>
        <w:spacing w:line="280" w:lineRule="auto" w:before="79"/>
        <w:ind w:right="387" w:firstLine="482"/>
      </w:pPr>
      <w:r>
        <w:rPr>
          <w:spacing w:val="-7"/>
        </w:rPr>
        <w:t>近日，国家药典委员会发布《人用基因治疗制品总论</w:t>
      </w:r>
      <w:r>
        <w:rPr/>
        <w:t>（公示稿</w:t>
      </w:r>
      <w:r>
        <w:rPr>
          <w:spacing w:val="-17"/>
        </w:rPr>
        <w:t>）</w:t>
      </w:r>
      <w:r>
        <w:rPr>
          <w:spacing w:val="-7"/>
        </w:rPr>
        <w:t>》，向社会各界征求意</w:t>
      </w:r>
      <w:r>
        <w:rPr>
          <w:spacing w:val="-9"/>
        </w:rPr>
        <w:t>见，公示期为 </w:t>
      </w:r>
      <w:r>
        <w:rPr/>
        <w:t>3</w:t>
      </w:r>
      <w:r>
        <w:rPr>
          <w:spacing w:val="-15"/>
        </w:rPr>
        <w:t> 个月。</w:t>
      </w:r>
    </w:p>
    <w:p>
      <w:pPr>
        <w:pStyle w:val="BodyText"/>
        <w:spacing w:line="280" w:lineRule="auto"/>
        <w:ind w:right="269" w:firstLine="482"/>
      </w:pPr>
      <w:r>
        <w:rPr/>
        <w:t>基因治疗制品通常由含有工程化基因构建体的载体或递送系统组成，其活性成分可为DNA</w:t>
      </w:r>
      <w:r>
        <w:rPr>
          <w:spacing w:val="-36"/>
        </w:rPr>
        <w:t>、</w:t>
      </w:r>
      <w:r>
        <w:rPr/>
        <w:t>RNA</w:t>
      </w:r>
      <w:r>
        <w:rPr>
          <w:spacing w:val="-15"/>
        </w:rPr>
        <w:t>、基因改造的病毒、细菌或细胞，通过将外源基因导入靶细胞或组织，替代、补偿、</w:t>
      </w:r>
      <w:r>
        <w:rPr/>
        <w:t>阻断、修正特定基因，以达到治疗疾病的目的。</w:t>
      </w:r>
    </w:p>
    <w:p>
      <w:pPr>
        <w:pStyle w:val="BodyText"/>
        <w:spacing w:line="280" w:lineRule="auto" w:before="1"/>
        <w:ind w:right="388" w:firstLine="482"/>
        <w:jc w:val="both"/>
      </w:pPr>
      <w:r>
        <w:rPr>
          <w:spacing w:val="-8"/>
        </w:rPr>
        <w:t>近年来，基因治疗研究的迅速发展推动了基因治疗制品的研发。按照《中国药典》</w:t>
      </w:r>
      <w:r>
        <w:rPr>
          <w:spacing w:val="-4"/>
        </w:rPr>
        <w:t>2020 年版编制大纲规划，国家药典委员会于 </w:t>
      </w:r>
      <w:r>
        <w:rPr/>
        <w:t>2017</w:t>
      </w:r>
      <w:r>
        <w:rPr>
          <w:spacing w:val="-8"/>
        </w:rPr>
        <w:t> 年立项开展相关研究工作，拟建立人用基因治疗制品总论，现已完成相关起草复核工作，向社会各界公开征求意见。</w:t>
      </w:r>
    </w:p>
    <w:p>
      <w:pPr>
        <w:pStyle w:val="BodyText"/>
        <w:spacing w:line="280" w:lineRule="auto" w:before="1"/>
        <w:ind w:right="386" w:firstLine="482"/>
        <w:jc w:val="both"/>
      </w:pPr>
      <w:r>
        <w:rPr>
          <w:spacing w:val="-11"/>
        </w:rPr>
        <w:t>依据载体不同，基因治疗制品可分为以病毒为载体的基因治疗制品，以质粒 </w:t>
      </w:r>
      <w:r>
        <w:rPr/>
        <w:t>DNA</w:t>
      </w:r>
      <w:r>
        <w:rPr>
          <w:spacing w:val="-19"/>
        </w:rPr>
        <w:t> 为载体</w:t>
      </w:r>
      <w:r>
        <w:rPr>
          <w:spacing w:val="-11"/>
        </w:rPr>
        <w:t>的基因治疗制品，及以细菌为载体的基因治疗制品，其中以病毒和质粒 </w:t>
      </w:r>
      <w:r>
        <w:rPr/>
        <w:t>DNA</w:t>
      </w:r>
      <w:r>
        <w:rPr>
          <w:spacing w:val="-10"/>
        </w:rPr>
        <w:t> 为载体的基因治</w:t>
      </w:r>
      <w:r>
        <w:rPr/>
        <w:t>疗制品为常见。</w:t>
      </w:r>
    </w:p>
    <w:p>
      <w:pPr>
        <w:pStyle w:val="BodyText"/>
        <w:spacing w:line="268" w:lineRule="auto" w:before="1"/>
        <w:ind w:right="388" w:firstLine="482"/>
        <w:jc w:val="both"/>
        <w:rPr>
          <w:rFonts w:ascii="Meiryo" w:eastAsia="Meiryo" w:hint="eastAsia"/>
          <w:b/>
        </w:rPr>
      </w:pPr>
      <w:r>
        <w:rPr>
          <w:spacing w:val="-4"/>
        </w:rPr>
        <w:t>《人用基因治疗制品总论</w:t>
      </w:r>
      <w:r>
        <w:rPr/>
        <w:t>（公示稿</w:t>
      </w:r>
      <w:r>
        <w:rPr>
          <w:spacing w:val="-36"/>
        </w:rPr>
        <w:t>）</w:t>
      </w:r>
      <w:r>
        <w:rPr>
          <w:spacing w:val="-7"/>
        </w:rPr>
        <w:t>》是对基因治疗制品生产和质量控制的通用性技术要求，包括制造、特性分析、标准品</w:t>
      </w:r>
      <w:r>
        <w:rPr/>
        <w:t>/参比品/</w:t>
      </w:r>
      <w:r>
        <w:rPr>
          <w:spacing w:val="-8"/>
        </w:rPr>
        <w:t>对照品、制品检定、贮存、有效期和标签等内</w:t>
      </w:r>
      <w:r>
        <w:rPr>
          <w:spacing w:val="-9"/>
        </w:rPr>
        <w:t>容。《人用基因治疗制品总论</w:t>
      </w:r>
      <w:r>
        <w:rPr/>
        <w:t>（公示稿</w:t>
      </w:r>
      <w:r>
        <w:rPr>
          <w:spacing w:val="-22"/>
        </w:rPr>
        <w:t>）</w:t>
      </w:r>
      <w:r>
        <w:rPr>
          <w:spacing w:val="-10"/>
        </w:rPr>
        <w:t>》重点针对以病毒和质粒 </w:t>
      </w:r>
      <w:r>
        <w:rPr/>
        <w:t>DNA</w:t>
      </w:r>
      <w:r>
        <w:rPr>
          <w:spacing w:val="-9"/>
        </w:rPr>
        <w:t> 为载体的基因治疗制</w:t>
      </w:r>
      <w:r>
        <w:rPr/>
        <w:t>品，也适用于用于基因修饰细胞的载体。</w:t>
      </w:r>
      <w:r>
        <w:rPr>
          <w:rFonts w:ascii="Meiryo" w:eastAsia="Meiryo" w:hint="eastAsia"/>
          <w:b/>
          <w:color w:val="0033CC"/>
        </w:rPr>
        <w:t>[返回目次]</w:t>
      </w:r>
    </w:p>
    <w:p>
      <w:pPr>
        <w:pStyle w:val="Heading1"/>
        <w:spacing w:line="650" w:lineRule="exact"/>
        <w:ind w:left="0" w:right="113"/>
        <w:rPr>
          <w:u w:val="none"/>
        </w:rPr>
      </w:pPr>
      <w:r>
        <w:rPr>
          <w:rFonts w:ascii="Times New Roman" w:eastAsia="Times New Roman"/>
          <w:color w:val="008000"/>
          <w:spacing w:val="-110"/>
          <w:w w:val="99"/>
          <w:u w:val="thick" w:color="008000"/>
        </w:rPr>
        <w:t> </w:t>
      </w:r>
      <w:r>
        <w:rPr>
          <w:color w:val="008000"/>
          <w:u w:val="thick" w:color="008000"/>
        </w:rPr>
        <w:t>行业资讯</w:t>
      </w:r>
    </w:p>
    <w:p>
      <w:pPr>
        <w:pStyle w:val="Heading2"/>
        <w:spacing w:before="142"/>
        <w:ind w:left="277"/>
      </w:pPr>
      <w:r>
        <w:rPr/>
        <w:t>【热点聚焦】</w:t>
      </w:r>
    </w:p>
    <w:p>
      <w:pPr>
        <w:pStyle w:val="BodyText"/>
        <w:spacing w:before="8"/>
        <w:ind w:left="0"/>
        <w:rPr>
          <w:b/>
          <w:sz w:val="18"/>
        </w:rPr>
      </w:pPr>
    </w:p>
    <w:p>
      <w:pPr>
        <w:spacing w:before="55"/>
        <w:ind w:left="122" w:right="238" w:firstLine="0"/>
        <w:jc w:val="center"/>
        <w:rPr>
          <w:b/>
          <w:sz w:val="32"/>
        </w:rPr>
      </w:pPr>
      <w:r>
        <w:rPr>
          <w:b/>
          <w:sz w:val="32"/>
        </w:rPr>
        <w:t>2019 年度最值得关注的药物（下）</w:t>
      </w:r>
    </w:p>
    <w:p>
      <w:pPr>
        <w:pStyle w:val="Heading3"/>
        <w:spacing w:before="145"/>
        <w:ind w:left="0" w:right="388"/>
        <w:jc w:val="right"/>
        <w:rPr>
          <w:rFonts w:ascii="楷体" w:eastAsia="楷体" w:hint="eastAsia"/>
        </w:rPr>
      </w:pPr>
      <w:r>
        <w:rPr>
          <w:rFonts w:ascii="楷体" w:eastAsia="楷体" w:hint="eastAsia"/>
          <w:color w:val="FF0000"/>
          <w:w w:val="95"/>
        </w:rPr>
        <w:t>（来源：中国医药报）</w:t>
      </w:r>
    </w:p>
    <w:p>
      <w:pPr>
        <w:pStyle w:val="ListParagraph"/>
        <w:numPr>
          <w:ilvl w:val="0"/>
          <w:numId w:val="1"/>
        </w:numPr>
        <w:tabs>
          <w:tab w:pos="521" w:val="left" w:leader="none"/>
        </w:tabs>
        <w:spacing w:line="240" w:lineRule="auto" w:before="96" w:after="0"/>
        <w:ind w:left="520" w:right="0" w:hanging="244"/>
        <w:jc w:val="left"/>
        <w:rPr>
          <w:b/>
          <w:sz w:val="24"/>
        </w:rPr>
      </w:pPr>
      <w:r>
        <w:rPr>
          <w:b/>
          <w:sz w:val="24"/>
        </w:rPr>
        <w:t>阵发性睡眠性血红蛋白尿症新药：Ultomiris</w:t>
      </w:r>
    </w:p>
    <w:p>
      <w:pPr>
        <w:pStyle w:val="BodyText"/>
        <w:spacing w:line="295" w:lineRule="auto" w:before="74"/>
        <w:ind w:right="287" w:firstLine="468"/>
      </w:pPr>
      <w:r>
        <w:rPr/>
        <w:t>阵发性睡眠性血红蛋白尿症（PNH）是一种罕见的后天性血液疾病，每百万人中有 1~5 人发病。由于遗传缺陷，患者的红细胞容易被一种称为补体的物质破坏，导致血栓的形成， 进而导致死亡或器官损害。</w:t>
      </w:r>
    </w:p>
    <w:p>
      <w:pPr>
        <w:pStyle w:val="BodyText"/>
        <w:spacing w:line="295" w:lineRule="auto" w:before="6"/>
        <w:ind w:right="388" w:firstLine="480"/>
      </w:pPr>
      <w:r>
        <w:rPr/>
        <w:t>Alexion</w:t>
      </w:r>
      <w:r>
        <w:rPr>
          <w:spacing w:val="-30"/>
        </w:rPr>
        <w:t> 的</w:t>
      </w:r>
      <w:r>
        <w:rPr/>
        <w:t>Ultomiris</w:t>
      </w:r>
      <w:r>
        <w:rPr>
          <w:spacing w:val="-30"/>
        </w:rPr>
        <w:t> 是</w:t>
      </w:r>
      <w:r>
        <w:rPr/>
        <w:t>PNH</w:t>
      </w:r>
      <w:r>
        <w:rPr>
          <w:spacing w:val="-9"/>
        </w:rPr>
        <w:t> 领域“重磅炸弹”产品</w:t>
      </w:r>
      <w:r>
        <w:rPr/>
        <w:t>Soliris</w:t>
      </w:r>
      <w:r>
        <w:rPr>
          <w:spacing w:val="-9"/>
        </w:rPr>
        <w:t> 的下一代产品，与</w:t>
      </w:r>
      <w:r>
        <w:rPr/>
        <w:t>Soliris </w:t>
      </w:r>
      <w:r>
        <w:rPr>
          <w:spacing w:val="-11"/>
        </w:rPr>
        <w:t>每两周给药 </w:t>
      </w:r>
      <w:r>
        <w:rPr/>
        <w:t>1</w:t>
      </w:r>
      <w:r>
        <w:rPr>
          <w:spacing w:val="-15"/>
        </w:rPr>
        <w:t> 次相比</w:t>
      </w:r>
      <w:r>
        <w:rPr/>
        <w:t>，Ultomiris</w:t>
      </w:r>
      <w:r>
        <w:rPr>
          <w:spacing w:val="-40"/>
        </w:rPr>
        <w:t> 每 </w:t>
      </w:r>
      <w:r>
        <w:rPr/>
        <w:t>8</w:t>
      </w:r>
      <w:r>
        <w:rPr>
          <w:spacing w:val="-24"/>
        </w:rPr>
        <w:t> 周给药 </w:t>
      </w:r>
      <w:r>
        <w:rPr/>
        <w:t>1</w:t>
      </w:r>
      <w:r>
        <w:rPr>
          <w:spacing w:val="-8"/>
        </w:rPr>
        <w:t> 次，顺应性有了很大提高。</w:t>
      </w:r>
    </w:p>
    <w:p>
      <w:pPr>
        <w:pStyle w:val="BodyText"/>
        <w:spacing w:line="297" w:lineRule="auto" w:before="2"/>
        <w:ind w:right="388" w:firstLine="468"/>
        <w:jc w:val="both"/>
      </w:pPr>
      <w:r>
        <w:rPr/>
        <w:t>2018</w:t>
      </w:r>
      <w:r>
        <w:rPr>
          <w:spacing w:val="-41"/>
        </w:rPr>
        <w:t> 年 </w:t>
      </w:r>
      <w:r>
        <w:rPr/>
        <w:t>12</w:t>
      </w:r>
      <w:r>
        <w:rPr>
          <w:spacing w:val="-24"/>
        </w:rPr>
        <w:t> 月，美国 </w:t>
      </w:r>
      <w:r>
        <w:rPr/>
        <w:t>FDA</w:t>
      </w:r>
      <w:r>
        <w:rPr>
          <w:spacing w:val="-30"/>
        </w:rPr>
        <w:t> 批准 </w:t>
      </w:r>
      <w:r>
        <w:rPr/>
        <w:t>Ultomiris</w:t>
      </w:r>
      <w:r>
        <w:rPr>
          <w:spacing w:val="-20"/>
        </w:rPr>
        <w:t> 用于成年 </w:t>
      </w:r>
      <w:r>
        <w:rPr/>
        <w:t>PNH</w:t>
      </w:r>
      <w:r>
        <w:rPr>
          <w:spacing w:val="-10"/>
        </w:rPr>
        <w:t> 患者的治疗。从提交上市申请到</w:t>
      </w:r>
      <w:r>
        <w:rPr/>
        <w:t>获批，Ultomiris</w:t>
      </w:r>
      <w:r>
        <w:rPr>
          <w:spacing w:val="-26"/>
        </w:rPr>
        <w:t> 仅用了 </w:t>
      </w:r>
      <w:r>
        <w:rPr/>
        <w:t>6</w:t>
      </w:r>
      <w:r>
        <w:rPr>
          <w:spacing w:val="-24"/>
        </w:rPr>
        <w:t> 个月，比 </w:t>
      </w:r>
      <w:r>
        <w:rPr/>
        <w:t>FDA</w:t>
      </w:r>
      <w:r>
        <w:rPr>
          <w:spacing w:val="-12"/>
        </w:rPr>
        <w:t> 完成优先审评的目标时间提前了 </w:t>
      </w:r>
      <w:r>
        <w:rPr/>
        <w:t>2</w:t>
      </w:r>
      <w:r>
        <w:rPr>
          <w:spacing w:val="-20"/>
        </w:rPr>
        <w:t> 个月。</w:t>
      </w:r>
      <w:r>
        <w:rPr/>
        <w:t>2019</w:t>
      </w:r>
      <w:r>
        <w:rPr>
          <w:spacing w:val="-41"/>
        </w:rPr>
        <w:t> 年 </w:t>
      </w:r>
      <w:r>
        <w:rPr>
          <w:spacing w:val="-14"/>
        </w:rPr>
        <w:t>1 </w:t>
      </w:r>
      <w:r>
        <w:rPr/>
        <w:t>月，该药已经在美国上市。</w:t>
      </w:r>
    </w:p>
    <w:p>
      <w:pPr>
        <w:pStyle w:val="BodyText"/>
        <w:spacing w:line="297" w:lineRule="auto"/>
        <w:ind w:right="386" w:firstLine="480"/>
        <w:jc w:val="both"/>
      </w:pPr>
      <w:r>
        <w:rPr/>
        <w:t>2007</w:t>
      </w:r>
      <w:r>
        <w:rPr>
          <w:spacing w:val="-24"/>
        </w:rPr>
        <w:t> 年，</w:t>
      </w:r>
      <w:r>
        <w:rPr>
          <w:spacing w:val="-9"/>
        </w:rPr>
        <w:t>FDA</w:t>
      </w:r>
      <w:r>
        <w:rPr>
          <w:spacing w:val="-30"/>
        </w:rPr>
        <w:t> 批准 </w:t>
      </w:r>
      <w:r>
        <w:rPr/>
        <w:t>Soliris</w:t>
      </w:r>
      <w:r>
        <w:rPr>
          <w:spacing w:val="-30"/>
        </w:rPr>
        <w:t> 用于 </w:t>
      </w:r>
      <w:r>
        <w:rPr/>
        <w:t>PNH</w:t>
      </w:r>
      <w:r>
        <w:rPr>
          <w:spacing w:val="-14"/>
        </w:rPr>
        <w:t> 的治疗，该药是第一个用于 </w:t>
      </w:r>
      <w:r>
        <w:rPr/>
        <w:t>PNH</w:t>
      </w:r>
      <w:r>
        <w:rPr>
          <w:spacing w:val="-14"/>
        </w:rPr>
        <w:t> 治疗的药物。尽管</w:t>
      </w:r>
      <w:r>
        <w:rPr/>
        <w:t>PNH</w:t>
      </w:r>
      <w:r>
        <w:rPr>
          <w:spacing w:val="-15"/>
        </w:rPr>
        <w:t> 是一种非常罕见的疾病，但 </w:t>
      </w:r>
      <w:r>
        <w:rPr/>
        <w:t>Soliris</w:t>
      </w:r>
      <w:r>
        <w:rPr>
          <w:spacing w:val="-9"/>
        </w:rPr>
        <w:t> 利用“孤儿药”的定价优势成就了其“重磅炸弹” </w:t>
      </w:r>
      <w:r>
        <w:rPr>
          <w:spacing w:val="-3"/>
        </w:rPr>
        <w:t>的身份。</w:t>
      </w:r>
      <w:r>
        <w:rPr/>
        <w:t>2017</w:t>
      </w:r>
      <w:r>
        <w:rPr>
          <w:spacing w:val="-21"/>
        </w:rPr>
        <w:t> 年，</w:t>
      </w:r>
      <w:r>
        <w:rPr/>
        <w:t>Soliris</w:t>
      </w:r>
      <w:r>
        <w:rPr>
          <w:spacing w:val="-17"/>
        </w:rPr>
        <w:t> 的销售额高达 </w:t>
      </w:r>
      <w:r>
        <w:rPr/>
        <w:t>31.4</w:t>
      </w:r>
      <w:r>
        <w:rPr>
          <w:spacing w:val="-15"/>
        </w:rPr>
        <w:t> 亿美元。</w:t>
      </w:r>
      <w:r>
        <w:rPr/>
        <w:t>Cortellis</w:t>
      </w:r>
      <w:r>
        <w:rPr>
          <w:spacing w:val="-17"/>
        </w:rPr>
        <w:t> 团队预测，该药 </w:t>
      </w:r>
      <w:r>
        <w:rPr/>
        <w:t>2023</w:t>
      </w:r>
      <w:r>
        <w:rPr>
          <w:spacing w:val="-38"/>
        </w:rPr>
        <w:t> 年</w:t>
      </w:r>
    </w:p>
    <w:p>
      <w:pPr>
        <w:spacing w:after="0" w:line="297" w:lineRule="auto"/>
        <w:jc w:val="both"/>
        <w:sectPr>
          <w:type w:val="continuous"/>
          <w:pgSz w:w="11910" w:h="16850"/>
          <w:pgMar w:top="1100" w:bottom="1020" w:left="1000" w:right="740"/>
        </w:sectPr>
      </w:pPr>
    </w:p>
    <w:p>
      <w:pPr>
        <w:pStyle w:val="BodyText"/>
        <w:spacing w:line="295" w:lineRule="auto" w:before="65"/>
        <w:ind w:right="285"/>
      </w:pPr>
      <w:r>
        <w:rPr>
          <w:spacing w:val="-8"/>
        </w:rPr>
        <w:t>的销售额将突破 </w:t>
      </w:r>
      <w:r>
        <w:rPr/>
        <w:t>37.8</w:t>
      </w:r>
      <w:r>
        <w:rPr>
          <w:spacing w:val="-12"/>
        </w:rPr>
        <w:t> 亿美元。</w:t>
      </w:r>
      <w:r>
        <w:rPr/>
        <w:t>Soliris</w:t>
      </w:r>
      <w:r>
        <w:rPr>
          <w:spacing w:val="-16"/>
        </w:rPr>
        <w:t> 的下一代产品 </w:t>
      </w:r>
      <w:r>
        <w:rPr/>
        <w:t>Ultomiris，</w:t>
      </w:r>
      <w:r>
        <w:rPr>
          <w:spacing w:val="-2"/>
        </w:rPr>
        <w:t>市场占有率将更有优势。</w:t>
      </w:r>
      <w:r>
        <w:rPr/>
        <w:t>Cortellis</w:t>
      </w:r>
      <w:r>
        <w:rPr>
          <w:spacing w:val="-13"/>
        </w:rPr>
        <w:t> 团队预测</w:t>
      </w:r>
      <w:r>
        <w:rPr/>
        <w:t>，Ultomiris2023</w:t>
      </w:r>
      <w:r>
        <w:rPr>
          <w:spacing w:val="-14"/>
        </w:rPr>
        <w:t> 年的销售额将达到 </w:t>
      </w:r>
      <w:r>
        <w:rPr/>
        <w:t>19.3</w:t>
      </w:r>
      <w:r>
        <w:rPr>
          <w:spacing w:val="-12"/>
        </w:rPr>
        <w:t> 亿美元。</w:t>
      </w:r>
    </w:p>
    <w:p>
      <w:pPr>
        <w:pStyle w:val="BodyText"/>
        <w:spacing w:before="11"/>
        <w:ind w:left="0"/>
        <w:rPr>
          <w:sz w:val="7"/>
        </w:rPr>
      </w:pPr>
      <w:r>
        <w:rPr/>
        <w:drawing>
          <wp:anchor distT="0" distB="0" distL="0" distR="0" allowOverlap="1" layoutInCell="1" locked="0" behindDoc="0" simplePos="0" relativeHeight="2">
            <wp:simplePos x="0" y="0"/>
            <wp:positionH relativeFrom="page">
              <wp:posOffset>814069</wp:posOffset>
            </wp:positionH>
            <wp:positionV relativeFrom="paragraph">
              <wp:posOffset>88995</wp:posOffset>
            </wp:positionV>
            <wp:extent cx="5854609" cy="4040504"/>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15" cstate="print"/>
                    <a:stretch>
                      <a:fillRect/>
                    </a:stretch>
                  </pic:blipFill>
                  <pic:spPr>
                    <a:xfrm>
                      <a:off x="0" y="0"/>
                      <a:ext cx="5854609" cy="4040504"/>
                    </a:xfrm>
                    <a:prstGeom prst="rect">
                      <a:avLst/>
                    </a:prstGeom>
                  </pic:spPr>
                </pic:pic>
              </a:graphicData>
            </a:graphic>
          </wp:anchor>
        </w:drawing>
      </w:r>
    </w:p>
    <w:p>
      <w:pPr>
        <w:pStyle w:val="BodyText"/>
        <w:spacing w:line="280" w:lineRule="auto" w:before="28"/>
        <w:ind w:right="774" w:firstLine="470"/>
        <w:jc w:val="both"/>
      </w:pPr>
      <w:r>
        <w:rPr/>
        <w:t>Ultomiris</w:t>
      </w:r>
      <w:r>
        <w:rPr>
          <w:spacing w:val="-11"/>
        </w:rPr>
        <w:t> 的竞争主要来自临床后期的其他补体抑制剂，比如 </w:t>
      </w:r>
      <w:r>
        <w:rPr/>
        <w:t>Akari</w:t>
      </w:r>
      <w:r>
        <w:rPr>
          <w:spacing w:val="-40"/>
        </w:rPr>
        <w:t> 的 </w:t>
      </w:r>
      <w:r>
        <w:rPr/>
        <w:t>Coversin</w:t>
      </w:r>
      <w:r>
        <w:rPr>
          <w:spacing w:val="-15"/>
        </w:rPr>
        <w:t>、</w:t>
      </w:r>
      <w:r>
        <w:rPr/>
        <w:t>Apellis</w:t>
      </w:r>
      <w:r>
        <w:rPr>
          <w:spacing w:val="-41"/>
        </w:rPr>
        <w:t> 的 </w:t>
      </w:r>
      <w:r>
        <w:rPr/>
        <w:t>APL-2、Achilion</w:t>
      </w:r>
      <w:r>
        <w:rPr>
          <w:spacing w:val="-40"/>
        </w:rPr>
        <w:t> 的 </w:t>
      </w:r>
      <w:r>
        <w:rPr/>
        <w:t>Danicopan，</w:t>
      </w:r>
      <w:r>
        <w:rPr>
          <w:spacing w:val="-20"/>
        </w:rPr>
        <w:t>以及 </w:t>
      </w:r>
      <w:r>
        <w:rPr/>
        <w:t>Ra</w:t>
      </w:r>
      <w:r>
        <w:rPr>
          <w:spacing w:val="-24"/>
        </w:rPr>
        <w:t> 制药的 </w:t>
      </w:r>
      <w:r>
        <w:rPr/>
        <w:t>Zilucoplan。</w:t>
      </w:r>
    </w:p>
    <w:p>
      <w:pPr>
        <w:pStyle w:val="BodyText"/>
        <w:spacing w:line="280" w:lineRule="auto"/>
        <w:ind w:right="386" w:firstLine="470"/>
        <w:jc w:val="both"/>
      </w:pPr>
      <w:r>
        <w:rPr/>
        <w:t>2017</w:t>
      </w:r>
      <w:r>
        <w:rPr>
          <w:spacing w:val="-41"/>
        </w:rPr>
        <w:t> 年 </w:t>
      </w:r>
      <w:r>
        <w:rPr/>
        <w:t>3</w:t>
      </w:r>
      <w:r>
        <w:rPr>
          <w:spacing w:val="-30"/>
        </w:rPr>
        <w:t> 月</w:t>
      </w:r>
      <w:r>
        <w:rPr/>
        <w:t>，Coversin</w:t>
      </w:r>
      <w:r>
        <w:rPr>
          <w:spacing w:val="-30"/>
        </w:rPr>
        <w:t> 进入 </w:t>
      </w:r>
      <w:r>
        <w:rPr/>
        <w:t>PNH</w:t>
      </w:r>
      <w:r>
        <w:rPr>
          <w:spacing w:val="-8"/>
        </w:rPr>
        <w:t> 的三期临床试验</w:t>
      </w:r>
      <w:r>
        <w:rPr/>
        <w:t>；2018</w:t>
      </w:r>
      <w:r>
        <w:rPr>
          <w:spacing w:val="-40"/>
        </w:rPr>
        <w:t> 年 </w:t>
      </w:r>
      <w:r>
        <w:rPr/>
        <w:t>6</w:t>
      </w:r>
      <w:r>
        <w:rPr>
          <w:spacing w:val="-30"/>
        </w:rPr>
        <w:t> 月</w:t>
      </w:r>
      <w:r>
        <w:rPr/>
        <w:t>，APL-2</w:t>
      </w:r>
      <w:r>
        <w:rPr>
          <w:spacing w:val="-30"/>
        </w:rPr>
        <w:t> 进入 </w:t>
      </w:r>
      <w:r>
        <w:rPr/>
        <w:t>PNH</w:t>
      </w:r>
      <w:r>
        <w:rPr>
          <w:spacing w:val="-20"/>
        </w:rPr>
        <w:t> 的三</w:t>
      </w:r>
      <w:r>
        <w:rPr>
          <w:spacing w:val="-23"/>
        </w:rPr>
        <w:t>期临床试验。</w:t>
      </w:r>
      <w:r>
        <w:rPr/>
        <w:t>Cortellis</w:t>
      </w:r>
      <w:r>
        <w:rPr>
          <w:spacing w:val="-14"/>
        </w:rPr>
        <w:t> 团队预测，以上两种药物将在 </w:t>
      </w:r>
      <w:r>
        <w:rPr/>
        <w:t>2021</w:t>
      </w:r>
      <w:r>
        <w:rPr>
          <w:spacing w:val="-14"/>
        </w:rPr>
        <w:t> 年获批，获批成功率分别为 </w:t>
      </w:r>
      <w:r>
        <w:rPr>
          <w:spacing w:val="-6"/>
        </w:rPr>
        <w:t>86% </w:t>
      </w:r>
      <w:r>
        <w:rPr>
          <w:spacing w:val="-30"/>
        </w:rPr>
        <w:t>和 </w:t>
      </w:r>
      <w:r>
        <w:rPr/>
        <w:t>81%。</w:t>
      </w:r>
    </w:p>
    <w:p>
      <w:pPr>
        <w:pStyle w:val="BodyText"/>
        <w:spacing w:line="280" w:lineRule="auto" w:before="1"/>
        <w:ind w:right="266" w:firstLine="470"/>
      </w:pPr>
      <w:r>
        <w:rPr/>
        <w:t>Danicopan</w:t>
      </w:r>
      <w:r>
        <w:rPr>
          <w:spacing w:val="-42"/>
        </w:rPr>
        <w:t> 和 </w:t>
      </w:r>
      <w:r>
        <w:rPr/>
        <w:t>Zilucoplan</w:t>
      </w:r>
      <w:r>
        <w:rPr>
          <w:spacing w:val="-14"/>
        </w:rPr>
        <w:t> 目前处于二期临床试验。据 </w:t>
      </w:r>
      <w:r>
        <w:rPr/>
        <w:t>Cortellis</w:t>
      </w:r>
      <w:r>
        <w:rPr>
          <w:spacing w:val="-11"/>
        </w:rPr>
        <w:t> 团队预测，</w:t>
      </w:r>
      <w:r>
        <w:rPr/>
        <w:t>Danicopan </w:t>
      </w:r>
      <w:r>
        <w:rPr>
          <w:spacing w:val="-5"/>
        </w:rPr>
        <w:t>在美国和欧盟的获批时间均为 </w:t>
      </w:r>
      <w:r>
        <w:rPr/>
        <w:t>2022</w:t>
      </w:r>
      <w:r>
        <w:rPr>
          <w:spacing w:val="-14"/>
        </w:rPr>
        <w:t> 年，获批成功率均为 </w:t>
      </w:r>
      <w:r>
        <w:rPr>
          <w:spacing w:val="-4"/>
        </w:rPr>
        <w:t>54%</w:t>
      </w:r>
      <w:r>
        <w:rPr>
          <w:spacing w:val="-10"/>
        </w:rPr>
        <w:t>；市场方面，预计该药 </w:t>
      </w:r>
      <w:r>
        <w:rPr/>
        <w:t>2023</w:t>
      </w:r>
      <w:r>
        <w:rPr>
          <w:spacing w:val="-30"/>
        </w:rPr>
        <w:t> 年</w:t>
      </w:r>
      <w:r>
        <w:rPr>
          <w:spacing w:val="-36"/>
        </w:rPr>
        <w:t>的销售额为 </w:t>
      </w:r>
      <w:r>
        <w:rPr/>
        <w:t>6.09</w:t>
      </w:r>
      <w:r>
        <w:rPr>
          <w:spacing w:val="-34"/>
        </w:rPr>
        <w:t> 亿美元。</w:t>
      </w:r>
      <w:r>
        <w:rPr/>
        <w:t>Zilucoplan</w:t>
      </w:r>
      <w:r>
        <w:rPr>
          <w:spacing w:val="-12"/>
        </w:rPr>
        <w:t> 在美国获批的时间同样为 </w:t>
      </w:r>
      <w:r>
        <w:rPr/>
        <w:t>2022</w:t>
      </w:r>
      <w:r>
        <w:rPr>
          <w:spacing w:val="-25"/>
        </w:rPr>
        <w:t> 年，获批成功率为 </w:t>
      </w:r>
      <w:r>
        <w:rPr>
          <w:spacing w:val="-4"/>
        </w:rPr>
        <w:t>56%， </w:t>
      </w:r>
      <w:r>
        <w:rPr>
          <w:spacing w:val="-6"/>
        </w:rPr>
        <w:t>在欧盟的获批时间为 </w:t>
      </w:r>
      <w:r>
        <w:rPr/>
        <w:t>2023</w:t>
      </w:r>
      <w:r>
        <w:rPr>
          <w:spacing w:val="-14"/>
        </w:rPr>
        <w:t> 年，获批成功率为 </w:t>
      </w:r>
      <w:r>
        <w:rPr/>
        <w:t>62%，</w:t>
      </w:r>
      <w:r>
        <w:rPr>
          <w:spacing w:val="-20"/>
        </w:rPr>
        <w:t>预计 </w:t>
      </w:r>
      <w:r>
        <w:rPr/>
        <w:t>2023</w:t>
      </w:r>
      <w:r>
        <w:rPr>
          <w:spacing w:val="-40"/>
        </w:rPr>
        <w:t> 年 </w:t>
      </w:r>
      <w:r>
        <w:rPr/>
        <w:t>Zilucoplan</w:t>
      </w:r>
      <w:r>
        <w:rPr>
          <w:spacing w:val="-9"/>
        </w:rPr>
        <w:t> 的销售额将突</w:t>
      </w:r>
      <w:r>
        <w:rPr>
          <w:spacing w:val="-35"/>
        </w:rPr>
        <w:t>破 </w:t>
      </w:r>
      <w:r>
        <w:rPr/>
        <w:t>1.54</w:t>
      </w:r>
      <w:r>
        <w:rPr>
          <w:spacing w:val="-13"/>
        </w:rPr>
        <w:t> 亿美元。</w:t>
      </w:r>
    </w:p>
    <w:p>
      <w:pPr>
        <w:pStyle w:val="Heading3"/>
        <w:numPr>
          <w:ilvl w:val="0"/>
          <w:numId w:val="1"/>
        </w:numPr>
        <w:tabs>
          <w:tab w:pos="992" w:val="left" w:leader="none"/>
        </w:tabs>
        <w:spacing w:line="240" w:lineRule="auto" w:before="1" w:after="0"/>
        <w:ind w:left="991" w:right="0" w:hanging="245"/>
        <w:jc w:val="left"/>
      </w:pPr>
      <w:r>
        <w:rPr/>
        <w:t>银屑病新药：Risankizumab</w:t>
      </w:r>
    </w:p>
    <w:p>
      <w:pPr>
        <w:pStyle w:val="BodyText"/>
        <w:spacing w:line="280" w:lineRule="auto" w:before="53"/>
        <w:ind w:right="387" w:firstLine="470"/>
        <w:jc w:val="both"/>
      </w:pPr>
      <w:r>
        <w:rPr>
          <w:spacing w:val="-10"/>
        </w:rPr>
        <w:t>银屑病是一种慢性炎症性皮肤病，由免疫系统中的 </w:t>
      </w:r>
      <w:r>
        <w:rPr/>
        <w:t>T</w:t>
      </w:r>
      <w:r>
        <w:rPr>
          <w:spacing w:val="-9"/>
        </w:rPr>
        <w:t> 淋巴细胞和中性粒细胞攻击健康的</w:t>
      </w:r>
      <w:r>
        <w:rPr>
          <w:spacing w:val="-10"/>
        </w:rPr>
        <w:t>皮肤细胞引发，深层次的作用机制目前尚不明确。该疾病的发病率在全球范围内存在较大差</w:t>
      </w:r>
      <w:r>
        <w:rPr>
          <w:spacing w:val="-4"/>
        </w:rPr>
        <w:t>异，在大多数发达国家和地区，发病率在 </w:t>
      </w:r>
      <w:r>
        <w:rPr/>
        <w:t>1.5%~5%之间。</w:t>
      </w:r>
    </w:p>
    <w:p>
      <w:pPr>
        <w:pStyle w:val="BodyText"/>
        <w:spacing w:line="280" w:lineRule="auto" w:before="1"/>
        <w:ind w:right="345" w:firstLine="470"/>
      </w:pPr>
      <w:r>
        <w:rPr/>
        <w:t>Risankizumab</w:t>
      </w:r>
      <w:r>
        <w:rPr>
          <w:spacing w:val="-8"/>
        </w:rPr>
        <w:t> 是由勃林格殷格翰和艾伯维联合开发的一种单克隆抗体，通过抑制促炎</w:t>
      </w:r>
      <w:r>
        <w:rPr>
          <w:spacing w:val="-19"/>
        </w:rPr>
        <w:t>细胞因子 </w:t>
      </w:r>
      <w:r>
        <w:rPr/>
        <w:t>IL-23</w:t>
      </w:r>
      <w:r>
        <w:rPr>
          <w:spacing w:val="-21"/>
        </w:rPr>
        <w:t> 起效。</w:t>
      </w:r>
      <w:r>
        <w:rPr/>
        <w:t>Risankizumab</w:t>
      </w:r>
      <w:r>
        <w:rPr>
          <w:spacing w:val="-14"/>
        </w:rPr>
        <w:t> 的持有者分别于 </w:t>
      </w:r>
      <w:r>
        <w:rPr/>
        <w:t>2018</w:t>
      </w:r>
      <w:r>
        <w:rPr>
          <w:spacing w:val="-40"/>
        </w:rPr>
        <w:t> 年 </w:t>
      </w:r>
      <w:r>
        <w:rPr/>
        <w:t>4</w:t>
      </w:r>
      <w:r>
        <w:rPr>
          <w:spacing w:val="-30"/>
        </w:rPr>
        <w:t> 月和 </w:t>
      </w:r>
      <w:r>
        <w:rPr/>
        <w:t>5</w:t>
      </w:r>
      <w:r>
        <w:rPr>
          <w:spacing w:val="-9"/>
        </w:rPr>
        <w:t> 月向美国和欧盟、日</w:t>
      </w:r>
      <w:r>
        <w:rPr>
          <w:spacing w:val="-13"/>
        </w:rPr>
        <w:t>本递交了该药用于中度至重度斑块型银屑病的上市申请，在日本还递交了该药用于斑块型银屑病、银屑病关节炎、脓疱性银屑病和红皮病型银屑病的上市申请。Cortellis 团队预测， </w:t>
      </w:r>
      <w:r>
        <w:rPr>
          <w:spacing w:val="-4"/>
        </w:rPr>
        <w:t>该药在以上国家和地区获批的成功率均为 </w:t>
      </w:r>
      <w:r>
        <w:rPr>
          <w:spacing w:val="-11"/>
        </w:rPr>
        <w:t>95%</w:t>
      </w:r>
      <w:r>
        <w:rPr>
          <w:spacing w:val="-18"/>
        </w:rPr>
        <w:t>，预计 </w:t>
      </w:r>
      <w:r>
        <w:rPr/>
        <w:t>2023</w:t>
      </w:r>
      <w:r>
        <w:rPr>
          <w:spacing w:val="-40"/>
        </w:rPr>
        <w:t> 年 </w:t>
      </w:r>
      <w:r>
        <w:rPr/>
        <w:t>Risankizumab</w:t>
      </w:r>
      <w:r>
        <w:rPr>
          <w:spacing w:val="-8"/>
        </w:rPr>
        <w:t> 的销售额将突破</w:t>
      </w:r>
    </w:p>
    <w:p>
      <w:pPr>
        <w:pStyle w:val="BodyText"/>
        <w:spacing w:before="1"/>
      </w:pPr>
      <w:r>
        <w:rPr/>
        <w:t>17.4 亿美元。</w:t>
      </w:r>
    </w:p>
    <w:p>
      <w:pPr>
        <w:spacing w:after="0"/>
        <w:sectPr>
          <w:pgSz w:w="11910" w:h="16850"/>
          <w:pgMar w:header="906" w:footer="527" w:top="1100" w:bottom="800" w:left="1000" w:right="740"/>
        </w:sectPr>
      </w:pPr>
    </w:p>
    <w:p>
      <w:pPr>
        <w:pStyle w:val="BodyText"/>
        <w:spacing w:line="280" w:lineRule="auto" w:before="48"/>
        <w:ind w:right="267" w:firstLine="470"/>
      </w:pPr>
      <w:r>
        <w:rPr>
          <w:spacing w:val="-15"/>
        </w:rPr>
        <w:t>临床上，银屑病有多种治疗方式，如局部治疗、光疗法、系统药物治疗等。非处方药中， </w:t>
      </w:r>
      <w:r>
        <w:rPr>
          <w:spacing w:val="-20"/>
        </w:rPr>
        <w:t>常见的有水杨酸、煤焦油等，这些药物具有悠久的银屑病治疗历史；处方药中，皮质类固醇、</w:t>
      </w:r>
      <w:r>
        <w:rPr>
          <w:spacing w:val="-8"/>
        </w:rPr>
        <w:t>维甲酸和维生素 </w:t>
      </w:r>
      <w:r>
        <w:rPr/>
        <w:t>D</w:t>
      </w:r>
      <w:r>
        <w:rPr>
          <w:spacing w:val="-13"/>
        </w:rPr>
        <w:t> 类似物等均为常用外用药。除此之外，光疗法因具有较好的安全性、有效</w:t>
      </w:r>
      <w:r>
        <w:rPr>
          <w:spacing w:val="-10"/>
        </w:rPr>
        <w:t>性、成本效益和较低的系统毒性和免疫抑制作用，目前也已成为治疗银屑病的重要手段。系</w:t>
      </w:r>
      <w:r>
        <w:rPr>
          <w:spacing w:val="-13"/>
        </w:rPr>
        <w:t>统药物治疗方面，甲氨蝶呤因价格低廉，已经成为全球中度至重度银屑病的常用药，而最近</w:t>
      </w:r>
      <w:r>
        <w:rPr>
          <w:spacing w:val="-15"/>
        </w:rPr>
        <w:t>几年才进入市场的阿普斯特，在治疗轻度至中度银屑病的疗效方面也开始崭露头角，其疗效甚至优于生物药。</w:t>
      </w:r>
    </w:p>
    <w:p>
      <w:pPr>
        <w:pStyle w:val="BodyText"/>
        <w:spacing w:line="280" w:lineRule="auto" w:before="2"/>
        <w:ind w:right="287" w:firstLine="470"/>
      </w:pPr>
      <w:r>
        <w:rPr>
          <w:spacing w:val="-1"/>
        </w:rPr>
        <w:t>在银屑病生物药治疗领域，</w:t>
      </w:r>
      <w:r>
        <w:rPr>
          <w:spacing w:val="-5"/>
        </w:rPr>
        <w:t>TNF</w:t>
      </w:r>
      <w:r>
        <w:rPr>
          <w:spacing w:val="-18"/>
        </w:rPr>
        <w:t> 抑制剂中的 </w:t>
      </w:r>
      <w:r>
        <w:rPr/>
        <w:t>Humira</w:t>
      </w:r>
      <w:r>
        <w:rPr>
          <w:spacing w:val="-40"/>
        </w:rPr>
        <w:t> 及 </w:t>
      </w:r>
      <w:r>
        <w:rPr/>
        <w:t>Enbrel</w:t>
      </w:r>
      <w:r>
        <w:rPr>
          <w:spacing w:val="-9"/>
        </w:rPr>
        <w:t> 占绝对主导地位，但由于</w:t>
      </w:r>
      <w:r>
        <w:rPr>
          <w:spacing w:val="-10"/>
        </w:rPr>
        <w:t>以上两个药物的生物类似物已经上市，其较低的价格对品牌药市场可能会造成不小的冲击； </w:t>
      </w:r>
      <w:r>
        <w:rPr/>
        <w:t>IL-23</w:t>
      </w:r>
      <w:r>
        <w:rPr>
          <w:spacing w:val="-11"/>
        </w:rPr>
        <w:t> 抑制剂家族也是该领域不可忽视的竞争者。其中 </w:t>
      </w:r>
      <w:r>
        <w:rPr/>
        <w:t>IL-12/IL-23</w:t>
      </w:r>
      <w:r>
        <w:rPr>
          <w:spacing w:val="-12"/>
        </w:rPr>
        <w:t> 抑制剂的</w:t>
      </w:r>
    </w:p>
    <w:p>
      <w:pPr>
        <w:pStyle w:val="BodyText"/>
        <w:spacing w:line="280" w:lineRule="auto" w:before="1"/>
        <w:ind w:right="465"/>
      </w:pPr>
      <w:r>
        <w:rPr/>
        <w:t>First-in-Class</w:t>
      </w:r>
      <w:r>
        <w:rPr>
          <w:spacing w:val="-31"/>
        </w:rPr>
        <w:t> 药物 </w:t>
      </w:r>
      <w:r>
        <w:rPr/>
        <w:t>Stelara、IL-23</w:t>
      </w:r>
      <w:r>
        <w:rPr>
          <w:spacing w:val="-24"/>
        </w:rPr>
        <w:t> 抑制剂 </w:t>
      </w:r>
      <w:r>
        <w:rPr/>
        <w:t>Ilumya</w:t>
      </w:r>
      <w:r>
        <w:rPr>
          <w:spacing w:val="-40"/>
        </w:rPr>
        <w:t> 和 </w:t>
      </w:r>
      <w:r>
        <w:rPr/>
        <w:t>Tremfya</w:t>
      </w:r>
      <w:r>
        <w:rPr>
          <w:spacing w:val="-9"/>
        </w:rPr>
        <w:t> 都是典型代表。值得强调</w:t>
      </w:r>
      <w:r>
        <w:rPr/>
        <w:t>的是，IL-17</w:t>
      </w:r>
      <w:r>
        <w:rPr>
          <w:spacing w:val="-8"/>
        </w:rPr>
        <w:t> 抑制剂也是银屑病治疗领域的后起之秀。</w:t>
      </w:r>
    </w:p>
    <w:p>
      <w:pPr>
        <w:pStyle w:val="Heading3"/>
        <w:numPr>
          <w:ilvl w:val="0"/>
          <w:numId w:val="1"/>
        </w:numPr>
        <w:tabs>
          <w:tab w:pos="992" w:val="left" w:leader="none"/>
        </w:tabs>
        <w:spacing w:line="240" w:lineRule="auto" w:before="0" w:after="0"/>
        <w:ind w:left="991" w:right="0" w:hanging="245"/>
        <w:jc w:val="left"/>
      </w:pPr>
      <w:r>
        <w:rPr/>
        <w:t>花生过敏新药：AR-101</w:t>
      </w:r>
    </w:p>
    <w:p>
      <w:pPr>
        <w:pStyle w:val="BodyText"/>
        <w:spacing w:line="280" w:lineRule="auto" w:before="53"/>
        <w:ind w:right="387" w:firstLine="470"/>
        <w:jc w:val="both"/>
      </w:pPr>
      <w:r>
        <w:rPr>
          <w:spacing w:val="-7"/>
        </w:rPr>
        <w:t>花生过敏是最常见可能危及生命的食物过敏之一，仅在美国和欧洲就有大约 </w:t>
      </w:r>
      <w:r>
        <w:rPr/>
        <w:t>600</w:t>
      </w:r>
      <w:r>
        <w:rPr>
          <w:spacing w:val="-19"/>
        </w:rPr>
        <w:t> 万人受</w:t>
      </w:r>
      <w:r>
        <w:rPr>
          <w:spacing w:val="-11"/>
        </w:rPr>
        <w:t>影响。目前临床上还没有针对花生过敏的治疗性药物，易发人群能做的是尽可能避免接触花</w:t>
      </w:r>
      <w:r>
        <w:rPr/>
        <w:t>生，如不小心产生了过敏反应，需及时注射肾上腺素。</w:t>
      </w:r>
    </w:p>
    <w:p>
      <w:pPr>
        <w:pStyle w:val="BodyText"/>
        <w:spacing w:line="280" w:lineRule="auto" w:before="1"/>
        <w:ind w:right="387" w:firstLine="470"/>
      </w:pPr>
      <w:r>
        <w:rPr/>
        <w:t>Aimmune</w:t>
      </w:r>
      <w:r>
        <w:rPr>
          <w:spacing w:val="-25"/>
        </w:rPr>
        <w:t> 公司的 </w:t>
      </w:r>
      <w:r>
        <w:rPr/>
        <w:t>AR-101</w:t>
      </w:r>
      <w:r>
        <w:rPr>
          <w:spacing w:val="-8"/>
        </w:rPr>
        <w:t> 是一种口服药物，含有一定数量的花生蛋白。为使患者对花生</w:t>
      </w:r>
      <w:r>
        <w:rPr>
          <w:spacing w:val="-13"/>
        </w:rPr>
        <w:t>蛋白脱敏，诱导患者提高对花生的耐受性，该药的给药剂量在前几个月内需逐渐递增，当剂</w:t>
      </w:r>
      <w:r>
        <w:rPr/>
        <w:t>量达到一定程度之后维持用药，保持对花生的耐受性。</w:t>
      </w:r>
    </w:p>
    <w:p>
      <w:pPr>
        <w:pStyle w:val="BodyText"/>
        <w:spacing w:line="280" w:lineRule="auto"/>
        <w:ind w:right="386" w:firstLine="470"/>
        <w:jc w:val="both"/>
      </w:pPr>
      <w:r>
        <w:rPr/>
        <w:t>2018</w:t>
      </w:r>
      <w:r>
        <w:rPr>
          <w:spacing w:val="-41"/>
        </w:rPr>
        <w:t> 年 </w:t>
      </w:r>
      <w:r>
        <w:rPr/>
        <w:t>12</w:t>
      </w:r>
      <w:r>
        <w:rPr>
          <w:spacing w:val="-30"/>
        </w:rPr>
        <w:t> 月</w:t>
      </w:r>
      <w:r>
        <w:rPr/>
        <w:t>，Aimmune</w:t>
      </w:r>
      <w:r>
        <w:rPr>
          <w:spacing w:val="-40"/>
        </w:rPr>
        <w:t> 向 </w:t>
      </w:r>
      <w:r>
        <w:rPr/>
        <w:t>FDA</w:t>
      </w:r>
      <w:r>
        <w:rPr>
          <w:spacing w:val="-24"/>
        </w:rPr>
        <w:t> 递交了 </w:t>
      </w:r>
      <w:r>
        <w:rPr/>
        <w:t>AR-101</w:t>
      </w:r>
      <w:r>
        <w:rPr>
          <w:spacing w:val="-20"/>
        </w:rPr>
        <w:t> 用于缓解 </w:t>
      </w:r>
      <w:r>
        <w:rPr/>
        <w:t>4~17</w:t>
      </w:r>
      <w:r>
        <w:rPr>
          <w:spacing w:val="-8"/>
        </w:rPr>
        <w:t> 岁儿童和青少年花生过敏</w:t>
      </w:r>
      <w:r>
        <w:rPr>
          <w:spacing w:val="-4"/>
        </w:rPr>
        <w:t>的上市申请，并申请了“优先审评”。 </w:t>
      </w:r>
      <w:r>
        <w:rPr/>
        <w:t>Cortellis</w:t>
      </w:r>
      <w:r>
        <w:rPr>
          <w:spacing w:val="-11"/>
        </w:rPr>
        <w:t> 团队预测，</w:t>
      </w:r>
      <w:r>
        <w:rPr>
          <w:spacing w:val="-5"/>
        </w:rPr>
        <w:t>AR-101</w:t>
      </w:r>
      <w:r>
        <w:rPr>
          <w:spacing w:val="-9"/>
        </w:rPr>
        <w:t> 在美国的获批时间为</w:t>
      </w:r>
      <w:r>
        <w:rPr/>
        <w:t>2019</w:t>
      </w:r>
      <w:r>
        <w:rPr>
          <w:spacing w:val="-41"/>
        </w:rPr>
        <w:t> 年 </w:t>
      </w:r>
      <w:r>
        <w:rPr/>
        <w:t>11</w:t>
      </w:r>
      <w:r>
        <w:rPr>
          <w:spacing w:val="-14"/>
        </w:rPr>
        <w:t> 月，获批成功率为 </w:t>
      </w:r>
      <w:r>
        <w:rPr/>
        <w:t>95%。</w:t>
      </w:r>
    </w:p>
    <w:p>
      <w:pPr>
        <w:pStyle w:val="BodyText"/>
        <w:spacing w:line="280" w:lineRule="auto" w:before="1"/>
        <w:ind w:right="392" w:firstLine="470"/>
      </w:pPr>
      <w:r>
        <w:rPr>
          <w:spacing w:val="-7"/>
        </w:rPr>
        <w:t>尽管近年来的一些研究表明，口服免疫疗法可诱导人体对食物过敏的耐受性，但即将成</w:t>
      </w:r>
      <w:r>
        <w:rPr>
          <w:spacing w:val="-13"/>
        </w:rPr>
        <w:t>为该领域 </w:t>
      </w:r>
      <w:r>
        <w:rPr/>
        <w:t>First-in-Class</w:t>
      </w:r>
      <w:r>
        <w:rPr>
          <w:spacing w:val="-40"/>
        </w:rPr>
        <w:t> 的 </w:t>
      </w:r>
      <w:r>
        <w:rPr/>
        <w:t>AR-101，市场潜力不容小觑。Cortellis</w:t>
      </w:r>
      <w:r>
        <w:rPr>
          <w:spacing w:val="-12"/>
        </w:rPr>
        <w:t> 团队预测</w:t>
      </w:r>
      <w:r>
        <w:rPr/>
        <w:t>，2023</w:t>
      </w:r>
      <w:r>
        <w:rPr>
          <w:spacing w:val="-30"/>
        </w:rPr>
        <w:t> 年AR-101</w:t>
      </w:r>
      <w:r>
        <w:rPr>
          <w:spacing w:val="-15"/>
        </w:rPr>
        <w:t> 的销售额将突破 </w:t>
      </w:r>
      <w:r>
        <w:rPr/>
        <w:t>11.7</w:t>
      </w:r>
      <w:r>
        <w:rPr>
          <w:spacing w:val="-12"/>
        </w:rPr>
        <w:t> 亿美元。</w:t>
      </w:r>
    </w:p>
    <w:p>
      <w:pPr>
        <w:pStyle w:val="BodyText"/>
        <w:tabs>
          <w:tab w:pos="2557" w:val="left" w:leader="none"/>
          <w:tab w:pos="5618" w:val="left" w:leader="none"/>
        </w:tabs>
        <w:spacing w:line="280" w:lineRule="auto" w:before="1"/>
        <w:ind w:right="268" w:firstLine="470"/>
      </w:pPr>
      <w:r>
        <w:rPr/>
        <w:t>AR-101</w:t>
      </w:r>
      <w:r>
        <w:rPr>
          <w:spacing w:val="-60"/>
        </w:rPr>
        <w:t> </w:t>
      </w:r>
      <w:r>
        <w:rPr/>
        <w:t>的竞争主要来源于两方面</w:t>
      </w:r>
      <w:r>
        <w:rPr>
          <w:spacing w:val="-108"/>
        </w:rPr>
        <w:t>：</w:t>
      </w:r>
      <w:r>
        <w:rPr/>
        <w:t>一方面</w:t>
      </w:r>
      <w:r>
        <w:rPr>
          <w:spacing w:val="-108"/>
        </w:rPr>
        <w:t>，</w:t>
      </w:r>
      <w:r>
        <w:rPr/>
        <w:t>其他处于研发阶段的花生脱敏疗法是</w:t>
      </w:r>
      <w:r>
        <w:rPr>
          <w:spacing w:val="-58"/>
        </w:rPr>
        <w:t> </w:t>
      </w:r>
      <w:r>
        <w:rPr/>
        <w:t>AR-101 的必然竞争者。其中，DBV</w:t>
      </w:r>
      <w:r>
        <w:rPr>
          <w:spacing w:val="-60"/>
        </w:rPr>
        <w:t> </w:t>
      </w:r>
      <w:r>
        <w:rPr/>
        <w:t>科技公司的“Viaskin</w:t>
        <w:tab/>
        <w:t>Peanut</w:t>
      </w:r>
      <w:r>
        <w:rPr>
          <w:spacing w:val="-60"/>
        </w:rPr>
        <w:t> </w:t>
      </w:r>
      <w:r>
        <w:rPr/>
        <w:t>透皮疗法”是这类药物的典型代表</w:t>
      </w:r>
      <w:r>
        <w:rPr>
          <w:spacing w:val="-51"/>
        </w:rPr>
        <w:t>。</w:t>
      </w:r>
      <w:r>
        <w:rPr/>
        <w:t>2018</w:t>
      </w:r>
      <w:r>
        <w:rPr>
          <w:spacing w:val="-61"/>
        </w:rPr>
        <w:t> </w:t>
      </w:r>
      <w:r>
        <w:rPr/>
        <w:t>年</w:t>
      </w:r>
      <w:r>
        <w:rPr>
          <w:spacing w:val="-60"/>
        </w:rPr>
        <w:t> </w:t>
      </w:r>
      <w:r>
        <w:rPr/>
        <w:t>10</w:t>
      </w:r>
      <w:r>
        <w:rPr>
          <w:spacing w:val="-60"/>
        </w:rPr>
        <w:t> </w:t>
      </w:r>
      <w:r>
        <w:rPr/>
        <w:t>月</w:t>
      </w:r>
      <w:r>
        <w:rPr>
          <w:spacing w:val="-13"/>
        </w:rPr>
        <w:t>，DBV</w:t>
      </w:r>
      <w:r>
        <w:rPr>
          <w:spacing w:val="-62"/>
        </w:rPr>
        <w:t> </w:t>
      </w:r>
      <w:r>
        <w:rPr/>
        <w:t>科技公司向</w:t>
      </w:r>
      <w:r>
        <w:rPr>
          <w:spacing w:val="-60"/>
        </w:rPr>
        <w:t> </w:t>
      </w:r>
      <w:r>
        <w:rPr/>
        <w:t>FDA</w:t>
      </w:r>
      <w:r>
        <w:rPr>
          <w:spacing w:val="-60"/>
        </w:rPr>
        <w:t> </w:t>
      </w:r>
      <w:r>
        <w:rPr/>
        <w:t>提交了该疗法用于治疗</w:t>
      </w:r>
      <w:r>
        <w:rPr>
          <w:spacing w:val="-59"/>
        </w:rPr>
        <w:t> </w:t>
      </w:r>
      <w:r>
        <w:rPr/>
        <w:t>4~11</w:t>
      </w:r>
      <w:r>
        <w:rPr>
          <w:spacing w:val="-60"/>
        </w:rPr>
        <w:t> </w:t>
      </w:r>
      <w:r>
        <w:rPr/>
        <w:t>岁儿童花生过敏的上市申请</w:t>
      </w:r>
      <w:r>
        <w:rPr>
          <w:spacing w:val="-75"/>
        </w:rPr>
        <w:t>。</w:t>
      </w:r>
      <w:r>
        <w:rPr/>
        <w:t>但</w:t>
      </w:r>
      <w:r>
        <w:rPr>
          <w:spacing w:val="-61"/>
        </w:rPr>
        <w:t> </w:t>
      </w:r>
      <w:r>
        <w:rPr/>
        <w:t>FDA</w:t>
      </w:r>
      <w:r>
        <w:rPr>
          <w:spacing w:val="-60"/>
        </w:rPr>
        <w:t> </w:t>
      </w:r>
      <w:r>
        <w:rPr/>
        <w:t>认为该公司递交的资料中</w:t>
      </w:r>
      <w:r>
        <w:rPr>
          <w:spacing w:val="-75"/>
        </w:rPr>
        <w:t>，</w:t>
      </w:r>
      <w:r>
        <w:rPr/>
        <w:t>生产工艺和质量控制数据不足</w:t>
      </w:r>
      <w:r>
        <w:rPr>
          <w:spacing w:val="-75"/>
        </w:rPr>
        <w:t>。</w:t>
      </w:r>
      <w:r>
        <w:rPr/>
        <w:t>在与</w:t>
      </w:r>
      <w:r>
        <w:rPr>
          <w:spacing w:val="-59"/>
        </w:rPr>
        <w:t> </w:t>
      </w:r>
      <w:r>
        <w:rPr/>
        <w:t>FDA</w:t>
      </w:r>
      <w:r>
        <w:rPr>
          <w:spacing w:val="-60"/>
        </w:rPr>
        <w:t> </w:t>
      </w:r>
      <w:r>
        <w:rPr/>
        <w:t>讨论之后</w:t>
      </w:r>
      <w:r>
        <w:rPr>
          <w:spacing w:val="-14"/>
        </w:rPr>
        <w:t>， </w:t>
      </w:r>
      <w:r>
        <w:rPr/>
        <w:t>该公司于</w:t>
      </w:r>
      <w:r>
        <w:rPr>
          <w:spacing w:val="-61"/>
        </w:rPr>
        <w:t> </w:t>
      </w:r>
      <w:r>
        <w:rPr/>
        <w:t>2018</w:t>
      </w:r>
      <w:r>
        <w:rPr>
          <w:spacing w:val="-60"/>
        </w:rPr>
        <w:t> </w:t>
      </w:r>
      <w:r>
        <w:rPr/>
        <w:t>年</w:t>
      </w:r>
      <w:r>
        <w:rPr>
          <w:spacing w:val="-60"/>
        </w:rPr>
        <w:t> </w:t>
      </w:r>
      <w:r>
        <w:rPr/>
        <w:t>12</w:t>
      </w:r>
      <w:r>
        <w:rPr>
          <w:spacing w:val="-60"/>
        </w:rPr>
        <w:t> </w:t>
      </w:r>
      <w:r>
        <w:rPr/>
        <w:t>月撤回了该上市申请，并启动了重新递交程序的准备工作。Cortellis 团队预测，Viaskin</w:t>
        <w:tab/>
        <w:t>Peanut</w:t>
      </w:r>
      <w:r>
        <w:rPr>
          <w:spacing w:val="-60"/>
        </w:rPr>
        <w:t> </w:t>
      </w:r>
      <w:r>
        <w:rPr/>
        <w:t>获批成功率为</w:t>
      </w:r>
      <w:r>
        <w:rPr>
          <w:spacing w:val="-60"/>
        </w:rPr>
        <w:t> </w:t>
      </w:r>
      <w:r>
        <w:rPr/>
        <w:t>26%。</w:t>
      </w:r>
    </w:p>
    <w:p>
      <w:pPr>
        <w:pStyle w:val="BodyText"/>
        <w:spacing w:line="280" w:lineRule="auto" w:before="2"/>
        <w:ind w:right="285" w:firstLine="470"/>
      </w:pPr>
      <w:r>
        <w:rPr>
          <w:spacing w:val="-5"/>
        </w:rPr>
        <w:t>另一方面，口服免疫疗法也是 </w:t>
      </w:r>
      <w:r>
        <w:rPr/>
        <w:t>AR-101</w:t>
      </w:r>
      <w:r>
        <w:rPr>
          <w:spacing w:val="-11"/>
        </w:rPr>
        <w:t> 的潜在竞争对手，其中比较知名的有 </w:t>
      </w:r>
      <w:r>
        <w:rPr/>
        <w:t>ProTA</w:t>
      </w:r>
      <w:r>
        <w:rPr>
          <w:spacing w:val="-20"/>
        </w:rPr>
        <w:t> 公司的益生菌和花生口服免疫疗法(PPOIT)</w:t>
      </w:r>
      <w:r>
        <w:rPr>
          <w:spacing w:val="-36"/>
        </w:rPr>
        <w:t>以及 </w:t>
      </w:r>
      <w:r>
        <w:rPr/>
        <w:t>Camallergy</w:t>
      </w:r>
      <w:r>
        <w:rPr>
          <w:spacing w:val="-9"/>
        </w:rPr>
        <w:t> 公司的口服花生免疫疗法</w:t>
      </w:r>
      <w:r>
        <w:rPr/>
        <w:t>(CA-002)， 截至目前，这两种疗法均处于三期临床试验准备阶段。</w:t>
      </w:r>
    </w:p>
    <w:p>
      <w:pPr>
        <w:pStyle w:val="Heading3"/>
        <w:numPr>
          <w:ilvl w:val="0"/>
          <w:numId w:val="1"/>
        </w:numPr>
        <w:tabs>
          <w:tab w:pos="992" w:val="left" w:leader="none"/>
        </w:tabs>
        <w:spacing w:line="240" w:lineRule="auto" w:before="1" w:after="0"/>
        <w:ind w:left="991" w:right="0" w:hanging="245"/>
        <w:jc w:val="both"/>
      </w:pPr>
      <w:r>
        <w:rPr>
          <w:rFonts w:ascii="Arial" w:hAnsi="Arial" w:eastAsia="Arial"/>
        </w:rPr>
        <w:t>β</w:t>
      </w:r>
      <w:r>
        <w:rPr>
          <w:rFonts w:ascii="Arial" w:hAnsi="Arial" w:eastAsia="Arial"/>
          <w:spacing w:val="21"/>
        </w:rPr>
        <w:t> </w:t>
      </w:r>
      <w:r>
        <w:rPr/>
        <w:t>地中海贫血新药：LentiGlobin</w:t>
      </w:r>
    </w:p>
    <w:p>
      <w:pPr>
        <w:pStyle w:val="BodyText"/>
        <w:spacing w:line="280" w:lineRule="auto" w:before="52"/>
        <w:ind w:right="389" w:firstLine="470"/>
        <w:jc w:val="both"/>
      </w:pPr>
      <w:r>
        <w:rPr>
          <w:rFonts w:ascii="Arial" w:hAnsi="Arial" w:eastAsia="Arial"/>
        </w:rPr>
        <w:t>β </w:t>
      </w:r>
      <w:r>
        <w:rPr>
          <w:spacing w:val="-7"/>
        </w:rPr>
        <w:t>地中海贫血是一种遗传性疾病，它是由 </w:t>
      </w:r>
      <w:r>
        <w:rPr>
          <w:rFonts w:ascii="Arial" w:hAnsi="Arial" w:eastAsia="Arial"/>
        </w:rPr>
        <w:t>β </w:t>
      </w:r>
      <w:r>
        <w:rPr>
          <w:spacing w:val="-8"/>
        </w:rPr>
        <w:t>-珠蛋白</w:t>
      </w:r>
      <w:r>
        <w:rPr/>
        <w:t>（血红蛋白复合体的一半</w:t>
      </w:r>
      <w:r>
        <w:rPr>
          <w:spacing w:val="-32"/>
        </w:rPr>
        <w:t>）</w:t>
      </w:r>
      <w:r>
        <w:rPr>
          <w:spacing w:val="-5"/>
        </w:rPr>
        <w:t>减少或</w:t>
      </w:r>
      <w:r>
        <w:rPr>
          <w:spacing w:val="-4"/>
        </w:rPr>
        <w:t>缺乏导致的威胁生命的贫血。严重的 </w:t>
      </w:r>
      <w:r>
        <w:rPr>
          <w:rFonts w:ascii="Arial" w:hAnsi="Arial" w:eastAsia="Arial"/>
        </w:rPr>
        <w:t>β </w:t>
      </w:r>
      <w:r>
        <w:rPr/>
        <w:t>地中海贫血患者可能需终生定期输血，但患者反复</w:t>
      </w:r>
      <w:r>
        <w:rPr>
          <w:spacing w:val="-9"/>
        </w:rPr>
        <w:t>输血会导致铁超载，进一步导致广泛的器官损害。因此，临床上定期输血的患者又必须进一</w:t>
      </w:r>
      <w:r>
        <w:rPr>
          <w:spacing w:val="-2"/>
        </w:rPr>
        <w:t>步使用铁螯合疗法。该疾病的发病率在世界各地相差较大，每年大约有 </w:t>
      </w:r>
      <w:r>
        <w:rPr/>
        <w:t>6</w:t>
      </w:r>
      <w:r>
        <w:rPr>
          <w:spacing w:val="-8"/>
        </w:rPr>
        <w:t> 万名患儿出生。</w:t>
      </w:r>
    </w:p>
    <w:p>
      <w:pPr>
        <w:spacing w:after="0" w:line="280" w:lineRule="auto"/>
        <w:jc w:val="both"/>
        <w:sectPr>
          <w:pgSz w:w="11910" w:h="16850"/>
          <w:pgMar w:header="906" w:footer="527" w:top="1100" w:bottom="800" w:left="1000" w:right="740"/>
        </w:sectPr>
      </w:pPr>
    </w:p>
    <w:p>
      <w:pPr>
        <w:pStyle w:val="BodyText"/>
        <w:spacing w:line="280" w:lineRule="auto" w:before="48"/>
        <w:ind w:right="389" w:firstLine="470"/>
        <w:jc w:val="both"/>
      </w:pPr>
      <w:r>
        <w:rPr/>
        <w:t>异基因造血干细胞(HSC)</w:t>
      </w:r>
      <w:r>
        <w:rPr>
          <w:spacing w:val="-6"/>
        </w:rPr>
        <w:t>移植是治疗输血依赖型 </w:t>
      </w:r>
      <w:r>
        <w:rPr>
          <w:rFonts w:ascii="Arial" w:hAnsi="Arial" w:eastAsia="Arial"/>
        </w:rPr>
        <w:t>β </w:t>
      </w:r>
      <w:r>
        <w:rPr>
          <w:spacing w:val="-9"/>
        </w:rPr>
        <w:t>地中海贫血的主要治疗手段。由于异</w:t>
      </w:r>
      <w:r>
        <w:rPr>
          <w:spacing w:val="-11"/>
        </w:rPr>
        <w:t>基因的导入，该治疗手段风险巨大。临床上，该治疗手段通常需要捐献者的干细胞与患者的</w:t>
      </w:r>
      <w:r>
        <w:rPr/>
        <w:t>基因及组织具有高度匹配性（一般需供体来源于兄弟姐妹）。</w:t>
      </w:r>
    </w:p>
    <w:p>
      <w:pPr>
        <w:pStyle w:val="BodyText"/>
        <w:spacing w:line="280" w:lineRule="auto" w:before="1"/>
        <w:ind w:right="389" w:firstLine="470"/>
        <w:jc w:val="both"/>
      </w:pPr>
      <w:r>
        <w:rPr>
          <w:spacing w:val="-8"/>
        </w:rPr>
        <w:t>蓝鸟生物公司的 </w:t>
      </w:r>
      <w:r>
        <w:rPr/>
        <w:t>LentiGlobin</w:t>
      </w:r>
      <w:r>
        <w:rPr>
          <w:spacing w:val="-15"/>
        </w:rPr>
        <w:t> 为该疾病的治疗提供了另一种选择。该疗法首先获取患者</w:t>
      </w:r>
      <w:r>
        <w:rPr>
          <w:spacing w:val="-7"/>
        </w:rPr>
        <w:t>的自身细胞，经基因改造后，使其能产生功能性 </w:t>
      </w:r>
      <w:r>
        <w:rPr>
          <w:rFonts w:ascii="Arial" w:hAnsi="Arial" w:eastAsia="Arial"/>
        </w:rPr>
        <w:t>β </w:t>
      </w:r>
      <w:r>
        <w:rPr>
          <w:spacing w:val="-4"/>
        </w:rPr>
        <w:t>-珠蛋白，然后再将经过改造的细胞重新</w:t>
      </w:r>
      <w:r>
        <w:rPr/>
        <w:t>导入患者体内。</w:t>
      </w:r>
    </w:p>
    <w:p>
      <w:pPr>
        <w:pStyle w:val="BodyText"/>
        <w:spacing w:line="280" w:lineRule="auto"/>
        <w:ind w:right="419" w:firstLine="470"/>
        <w:jc w:val="both"/>
      </w:pPr>
      <w:r>
        <w:rPr>
          <w:rFonts w:ascii="Arial" w:hAnsi="Arial" w:eastAsia="Arial"/>
        </w:rPr>
        <w:t>β </w:t>
      </w:r>
      <w:r>
        <w:rPr>
          <w:spacing w:val="-8"/>
        </w:rPr>
        <w:t>-珠蛋白基因有许多潜在的突变。其中，使 </w:t>
      </w:r>
      <w:r>
        <w:rPr>
          <w:rFonts w:ascii="Arial" w:hAnsi="Arial" w:eastAsia="Arial"/>
        </w:rPr>
        <w:t>β </w:t>
      </w:r>
      <w:r>
        <w:rPr>
          <w:spacing w:val="-4"/>
        </w:rPr>
        <w:t>-珠蛋白产生减少的突变被称为 </w:t>
      </w:r>
      <w:r>
        <w:rPr>
          <w:rFonts w:ascii="Arial" w:hAnsi="Arial" w:eastAsia="Arial"/>
        </w:rPr>
        <w:t>β </w:t>
      </w:r>
      <w:r>
        <w:rPr>
          <w:spacing w:val="-25"/>
        </w:rPr>
        <w:t>+，阻</w:t>
      </w:r>
      <w:r>
        <w:rPr>
          <w:spacing w:val="-11"/>
        </w:rPr>
        <w:t>止基因产生 </w:t>
      </w:r>
      <w:r>
        <w:rPr>
          <w:rFonts w:ascii="Arial" w:hAnsi="Arial" w:eastAsia="Arial"/>
        </w:rPr>
        <w:t>β </w:t>
      </w:r>
      <w:r>
        <w:rPr>
          <w:spacing w:val="-6"/>
        </w:rPr>
        <w:t>-珠蛋白的突变被称为 </w:t>
      </w:r>
      <w:r>
        <w:rPr>
          <w:rFonts w:ascii="Arial" w:hAnsi="Arial" w:eastAsia="Arial"/>
        </w:rPr>
        <w:t>β </w:t>
      </w:r>
      <w:r>
        <w:rPr/>
        <w:t>0</w:t>
      </w:r>
      <w:r>
        <w:rPr>
          <w:spacing w:val="-6"/>
        </w:rPr>
        <w:t>。患者如果是完全的 </w:t>
      </w:r>
      <w:r>
        <w:rPr>
          <w:rFonts w:ascii="Arial" w:hAnsi="Arial" w:eastAsia="Arial"/>
        </w:rPr>
        <w:t>β </w:t>
      </w:r>
      <w:r>
        <w:rPr/>
        <w:t>0</w:t>
      </w:r>
      <w:r>
        <w:rPr>
          <w:spacing w:val="-20"/>
        </w:rPr>
        <w:t> 突变</w:t>
      </w:r>
      <w:r>
        <w:rPr/>
        <w:t>（</w:t>
      </w:r>
      <w:r>
        <w:rPr>
          <w:spacing w:val="-15"/>
        </w:rPr>
        <w:t>纯合子 </w:t>
      </w:r>
      <w:r>
        <w:rPr>
          <w:rFonts w:ascii="Arial" w:hAnsi="Arial" w:eastAsia="Arial"/>
        </w:rPr>
        <w:t>β </w:t>
      </w:r>
      <w:r>
        <w:rPr/>
        <w:t>0：</w:t>
      </w:r>
    </w:p>
    <w:p>
      <w:pPr>
        <w:pStyle w:val="BodyText"/>
        <w:spacing w:before="1"/>
        <w:jc w:val="both"/>
      </w:pPr>
      <w:r>
        <w:rPr/>
        <w:t>“</w:t>
      </w:r>
      <w:r>
        <w:rPr>
          <w:rFonts w:ascii="Arial" w:hAnsi="Arial" w:eastAsia="Arial"/>
        </w:rPr>
        <w:t>β </w:t>
      </w:r>
      <w:r>
        <w:rPr/>
        <w:t>0/</w:t>
      </w:r>
      <w:r>
        <w:rPr>
          <w:rFonts w:ascii="Arial" w:hAnsi="Arial" w:eastAsia="Arial"/>
        </w:rPr>
        <w:t>β </w:t>
      </w:r>
      <w:r>
        <w:rPr/>
        <w:t>0”），则体内无法产生 </w:t>
      </w:r>
      <w:r>
        <w:rPr>
          <w:rFonts w:ascii="Arial" w:hAnsi="Arial" w:eastAsia="Arial"/>
        </w:rPr>
        <w:t>β </w:t>
      </w:r>
      <w:r>
        <w:rPr/>
        <w:t>-珠蛋白。</w:t>
      </w:r>
    </w:p>
    <w:p>
      <w:pPr>
        <w:pStyle w:val="BodyText"/>
        <w:spacing w:line="280" w:lineRule="auto" w:before="52"/>
        <w:ind w:right="388" w:firstLine="470"/>
        <w:jc w:val="both"/>
      </w:pPr>
      <w:r>
        <w:rPr>
          <w:spacing w:val="-8"/>
        </w:rPr>
        <w:t>针对输血依赖型 </w:t>
      </w:r>
      <w:r>
        <w:rPr>
          <w:rFonts w:ascii="Arial" w:hAnsi="Arial" w:eastAsia="Arial"/>
        </w:rPr>
        <w:t>β </w:t>
      </w:r>
      <w:r>
        <w:rPr>
          <w:spacing w:val="-1"/>
        </w:rPr>
        <w:t>地中海贫血患者，</w:t>
      </w:r>
      <w:r>
        <w:rPr>
          <w:spacing w:val="-8"/>
        </w:rPr>
        <w:t>LentiGlobin</w:t>
      </w:r>
      <w:r>
        <w:rPr>
          <w:spacing w:val="-13"/>
        </w:rPr>
        <w:t> 的上市策略是以“非 </w:t>
      </w:r>
      <w:r>
        <w:rPr>
          <w:rFonts w:ascii="Arial" w:hAnsi="Arial" w:eastAsia="Arial"/>
        </w:rPr>
        <w:t>β </w:t>
      </w:r>
      <w:r>
        <w:rPr/>
        <w:t>0/</w:t>
      </w:r>
      <w:r>
        <w:rPr>
          <w:rFonts w:ascii="Arial" w:hAnsi="Arial" w:eastAsia="Arial"/>
        </w:rPr>
        <w:t>β </w:t>
      </w:r>
      <w:r>
        <w:rPr/>
        <w:t>0”</w:t>
      </w:r>
      <w:r>
        <w:rPr>
          <w:spacing w:val="-7"/>
        </w:rPr>
        <w:t>基因</w:t>
      </w:r>
      <w:r>
        <w:rPr/>
        <w:t>型为突破口（</w:t>
      </w:r>
      <w:r>
        <w:rPr>
          <w:spacing w:val="-12"/>
        </w:rPr>
        <w:t>即有一些 </w:t>
      </w:r>
      <w:r>
        <w:rPr>
          <w:rFonts w:ascii="Arial" w:hAnsi="Arial" w:eastAsia="Arial"/>
        </w:rPr>
        <w:t>β</w:t>
      </w:r>
      <w:r>
        <w:rPr>
          <w:rFonts w:ascii="Arial" w:hAnsi="Arial" w:eastAsia="Arial"/>
          <w:spacing w:val="14"/>
        </w:rPr>
        <w:t>  </w:t>
      </w:r>
      <w:r>
        <w:rPr/>
        <w:t>珠蛋白残留的患者）。2018</w:t>
      </w:r>
      <w:r>
        <w:rPr>
          <w:spacing w:val="-40"/>
        </w:rPr>
        <w:t> 年 </w:t>
      </w:r>
      <w:r>
        <w:rPr/>
        <w:t>10</w:t>
      </w:r>
      <w:r>
        <w:rPr>
          <w:spacing w:val="-8"/>
        </w:rPr>
        <w:t> 月，欧盟接受了该药用于“非</w:t>
      </w:r>
      <w:r>
        <w:rPr>
          <w:rFonts w:ascii="Arial" w:hAnsi="Arial" w:eastAsia="Arial"/>
          <w:spacing w:val="-8"/>
        </w:rPr>
        <w:t>β</w:t>
      </w:r>
      <w:r>
        <w:rPr>
          <w:rFonts w:ascii="Arial" w:hAnsi="Arial" w:eastAsia="Arial"/>
          <w:spacing w:val="34"/>
        </w:rPr>
        <w:t> </w:t>
      </w:r>
      <w:r>
        <w:rPr/>
        <w:t>0/</w:t>
      </w:r>
      <w:r>
        <w:rPr>
          <w:rFonts w:ascii="Arial" w:hAnsi="Arial" w:eastAsia="Arial"/>
        </w:rPr>
        <w:t>β </w:t>
      </w:r>
      <w:r>
        <w:rPr/>
        <w:t>0”青少年和成人治疗的注册资料。</w:t>
      </w:r>
    </w:p>
    <w:p>
      <w:pPr>
        <w:pStyle w:val="BodyText"/>
        <w:spacing w:line="280" w:lineRule="auto" w:before="2"/>
        <w:ind w:right="268" w:firstLine="470"/>
        <w:jc w:val="both"/>
      </w:pPr>
      <w:r>
        <w:rPr/>
        <w:t>Cortellis</w:t>
      </w:r>
      <w:r>
        <w:rPr>
          <w:spacing w:val="-12"/>
        </w:rPr>
        <w:t> 团队预测，</w:t>
      </w:r>
      <w:r>
        <w:rPr/>
        <w:t>LentiGlobin</w:t>
      </w:r>
      <w:r>
        <w:rPr>
          <w:spacing w:val="-19"/>
        </w:rPr>
        <w:t> 在欧盟预计 </w:t>
      </w:r>
      <w:r>
        <w:rPr/>
        <w:t>2019</w:t>
      </w:r>
      <w:r>
        <w:rPr>
          <w:spacing w:val="-42"/>
        </w:rPr>
        <w:t> 年 </w:t>
      </w:r>
      <w:r>
        <w:rPr/>
        <w:t>11</w:t>
      </w:r>
      <w:r>
        <w:rPr>
          <w:spacing w:val="-15"/>
        </w:rPr>
        <w:t> 月获批，获批成功率为 </w:t>
      </w:r>
      <w:r>
        <w:rPr/>
        <w:t>88%</w:t>
      </w:r>
      <w:r>
        <w:rPr>
          <w:spacing w:val="-14"/>
        </w:rPr>
        <w:t>。</w:t>
      </w:r>
      <w:r>
        <w:rPr>
          <w:spacing w:val="-21"/>
        </w:rPr>
        <w:t>在美国，该药预计 </w:t>
      </w:r>
      <w:r>
        <w:rPr/>
        <w:t>2021</w:t>
      </w:r>
      <w:r>
        <w:rPr>
          <w:spacing w:val="-40"/>
        </w:rPr>
        <w:t> 年 </w:t>
      </w:r>
      <w:r>
        <w:rPr/>
        <w:t>2</w:t>
      </w:r>
      <w:r>
        <w:rPr>
          <w:spacing w:val="-22"/>
        </w:rPr>
        <w:t> 月获批，获批成功率为 </w:t>
      </w:r>
      <w:r>
        <w:rPr/>
        <w:t>70%</w:t>
      </w:r>
      <w:r>
        <w:rPr>
          <w:spacing w:val="-35"/>
        </w:rPr>
        <w:t>。市场方面，预计 </w:t>
      </w:r>
      <w:r>
        <w:rPr/>
        <w:t>2023</w:t>
      </w:r>
      <w:r>
        <w:rPr>
          <w:spacing w:val="-40"/>
        </w:rPr>
        <w:t> 年 </w:t>
      </w:r>
      <w:r>
        <w:rPr/>
        <w:t>LentiGlobin</w:t>
      </w:r>
    </w:p>
    <w:p>
      <w:pPr>
        <w:pStyle w:val="BodyText"/>
        <w:jc w:val="both"/>
      </w:pPr>
      <w:r>
        <w:rPr/>
        <w:t>的销售额将突破 11.2 亿美元。</w:t>
      </w:r>
    </w:p>
    <w:p>
      <w:pPr>
        <w:pStyle w:val="BodyText"/>
        <w:spacing w:line="280" w:lineRule="auto" w:before="53"/>
        <w:ind w:right="402" w:firstLine="470"/>
        <w:jc w:val="both"/>
      </w:pPr>
      <w:r>
        <w:rPr>
          <w:spacing w:val="-9"/>
        </w:rPr>
        <w:t>市场竞争方面，与 </w:t>
      </w:r>
      <w:r>
        <w:rPr/>
        <w:t>LentiGlobin</w:t>
      </w:r>
      <w:r>
        <w:rPr>
          <w:spacing w:val="-12"/>
        </w:rPr>
        <w:t> 作用机制相同的药物，目前均落后于 </w:t>
      </w:r>
      <w:r>
        <w:rPr/>
        <w:t>LentiGlobin</w:t>
      </w:r>
      <w:r>
        <w:rPr>
          <w:spacing w:val="-20"/>
        </w:rPr>
        <w:t>。其</w:t>
      </w:r>
      <w:r>
        <w:rPr>
          <w:spacing w:val="-8"/>
        </w:rPr>
        <w:t>中最著名的当属 </w:t>
      </w:r>
      <w:r>
        <w:rPr/>
        <w:t>Orchard</w:t>
      </w:r>
      <w:r>
        <w:rPr>
          <w:spacing w:val="-40"/>
        </w:rPr>
        <w:t> 的 </w:t>
      </w:r>
      <w:r>
        <w:rPr/>
        <w:t>OTL-300，该药目前处于二期临床试验。Cortellis</w:t>
      </w:r>
      <w:r>
        <w:rPr>
          <w:spacing w:val="-13"/>
        </w:rPr>
        <w:t> 团队预测， </w:t>
      </w:r>
      <w:r>
        <w:rPr/>
        <w:t>OTL-300</w:t>
      </w:r>
      <w:r>
        <w:rPr>
          <w:spacing w:val="-31"/>
        </w:rPr>
        <w:t> 预计 </w:t>
      </w:r>
      <w:r>
        <w:rPr/>
        <w:t>2023</w:t>
      </w:r>
      <w:r>
        <w:rPr>
          <w:spacing w:val="-12"/>
        </w:rPr>
        <w:t> 年在欧盟获批，获批成功率为 </w:t>
      </w:r>
      <w:r>
        <w:rPr/>
        <w:t>70%。</w:t>
      </w:r>
    </w:p>
    <w:p>
      <w:pPr>
        <w:pStyle w:val="BodyText"/>
        <w:spacing w:line="280" w:lineRule="auto"/>
        <w:ind w:right="268" w:firstLine="470"/>
      </w:pPr>
      <w:r>
        <w:rPr/>
        <w:t>除“</w:t>
      </w:r>
      <w:r>
        <w:rPr>
          <w:rFonts w:ascii="Arial" w:hAnsi="Arial" w:eastAsia="Arial"/>
        </w:rPr>
        <w:t>β </w:t>
      </w:r>
      <w:r>
        <w:rPr>
          <w:spacing w:val="-3"/>
        </w:rPr>
        <w:t>-珠蛋白基因修复”外，其他作用机制的转基因干细胞疗法也是 </w:t>
      </w:r>
      <w:r>
        <w:rPr/>
        <w:t>LentiGlobin</w:t>
      </w:r>
      <w:r>
        <w:rPr>
          <w:spacing w:val="-30"/>
        </w:rPr>
        <w:t> 的</w:t>
      </w:r>
      <w:r>
        <w:rPr>
          <w:spacing w:val="-31"/>
        </w:rPr>
        <w:t>潜在竞争对手。比如</w:t>
      </w:r>
      <w:r>
        <w:rPr/>
        <w:t>“BCL11A</w:t>
      </w:r>
      <w:r>
        <w:rPr>
          <w:spacing w:val="-16"/>
        </w:rPr>
        <w:t> 基因改造”，通过改造该基因使 </w:t>
      </w:r>
      <w:r>
        <w:rPr/>
        <w:t>BCL11A</w:t>
      </w:r>
      <w:r>
        <w:rPr>
          <w:spacing w:val="-9"/>
        </w:rPr>
        <w:t> 基因抑制作用解除后， </w:t>
      </w:r>
      <w:r>
        <w:rPr>
          <w:rFonts w:ascii="Arial" w:hAnsi="Arial" w:eastAsia="Arial"/>
        </w:rPr>
        <w:t>β</w:t>
      </w:r>
      <w:r>
        <w:rPr>
          <w:rFonts w:ascii="Arial" w:hAnsi="Arial" w:eastAsia="Arial"/>
          <w:spacing w:val="56"/>
        </w:rPr>
        <w:t> </w:t>
      </w:r>
      <w:r>
        <w:rPr/>
        <w:t>地中海贫血或者镰状细胞贫血患者就能够自主生成足够的血红蛋白。Vertex</w:t>
      </w:r>
      <w:r>
        <w:rPr>
          <w:spacing w:val="-22"/>
        </w:rPr>
        <w:t> 和 </w:t>
      </w:r>
      <w:r>
        <w:rPr/>
        <w:t>CRISPR </w:t>
      </w:r>
      <w:r>
        <w:rPr>
          <w:spacing w:val="-11"/>
        </w:rPr>
        <w:t>联合开发的 </w:t>
      </w:r>
      <w:r>
        <w:rPr/>
        <w:t>CTX-001</w:t>
      </w:r>
      <w:r>
        <w:rPr>
          <w:spacing w:val="-8"/>
        </w:rPr>
        <w:t> 就是典型代表，该药目前开展的临床试验主要集中在两个适应证上： “</w:t>
      </w:r>
      <w:r>
        <w:rPr>
          <w:rFonts w:ascii="Arial" w:hAnsi="Arial" w:eastAsia="Arial"/>
          <w:spacing w:val="-8"/>
        </w:rPr>
        <w:t>β</w:t>
      </w:r>
      <w:r>
        <w:rPr>
          <w:rFonts w:ascii="Arial" w:hAnsi="Arial" w:eastAsia="Arial"/>
          <w:spacing w:val="28"/>
        </w:rPr>
        <w:t> </w:t>
      </w:r>
      <w:r>
        <w:rPr/>
        <w:t>地中海贫血”和“镰状细胞病”，目前两个试验均处于一/二期临床。无独有偶， Sangamo</w:t>
      </w:r>
      <w:r>
        <w:rPr>
          <w:spacing w:val="-41"/>
        </w:rPr>
        <w:t> 和 </w:t>
      </w:r>
      <w:r>
        <w:rPr/>
        <w:t>Bioverativ</w:t>
      </w:r>
      <w:r>
        <w:rPr>
          <w:spacing w:val="-40"/>
        </w:rPr>
        <w:t> 的 </w:t>
      </w:r>
      <w:r>
        <w:rPr/>
        <w:t>ST-400</w:t>
      </w:r>
      <w:r>
        <w:rPr>
          <w:spacing w:val="-20"/>
        </w:rPr>
        <w:t> 也已经于 </w:t>
      </w:r>
      <w:r>
        <w:rPr/>
        <w:t>2018</w:t>
      </w:r>
      <w:r>
        <w:rPr>
          <w:spacing w:val="-40"/>
        </w:rPr>
        <w:t> 年 </w:t>
      </w:r>
      <w:r>
        <w:rPr/>
        <w:t>5</w:t>
      </w:r>
      <w:r>
        <w:rPr>
          <w:spacing w:val="-24"/>
        </w:rPr>
        <w:t> 月进入 </w:t>
      </w:r>
      <w:r>
        <w:rPr>
          <w:rFonts w:ascii="Arial" w:hAnsi="Arial" w:eastAsia="Arial"/>
        </w:rPr>
        <w:t>β </w:t>
      </w:r>
      <w:r>
        <w:rPr/>
        <w:t>地中海贫血的一/二期临床</w:t>
      </w:r>
    </w:p>
    <w:p>
      <w:pPr>
        <w:spacing w:line="421" w:lineRule="exact" w:before="0"/>
        <w:ind w:left="277" w:right="0" w:firstLine="0"/>
        <w:jc w:val="left"/>
        <w:rPr>
          <w:rFonts w:ascii="Meiryo" w:eastAsia="Meiryo" w:hint="eastAsia"/>
          <w:b/>
          <w:sz w:val="24"/>
        </w:rPr>
      </w:pPr>
      <w:r>
        <w:rPr>
          <w:sz w:val="24"/>
        </w:rPr>
        <w:t>试验。</w:t>
      </w:r>
      <w:r>
        <w:rPr>
          <w:rFonts w:ascii="Meiryo" w:eastAsia="Meiryo" w:hint="eastAsia"/>
          <w:b/>
          <w:color w:val="0033CC"/>
          <w:sz w:val="24"/>
        </w:rPr>
        <w:t>[返回目次]</w:t>
      </w:r>
    </w:p>
    <w:p>
      <w:pPr>
        <w:pStyle w:val="Heading2"/>
        <w:spacing w:before="190"/>
        <w:ind w:right="242"/>
        <w:jc w:val="center"/>
      </w:pPr>
      <w:r>
        <w:rPr/>
        <w:t>药用辅料在仿制药一致性评价中的作用</w:t>
      </w:r>
    </w:p>
    <w:p>
      <w:pPr>
        <w:pStyle w:val="Heading3"/>
        <w:spacing w:before="145"/>
        <w:ind w:left="0" w:right="388"/>
        <w:jc w:val="right"/>
        <w:rPr>
          <w:rFonts w:ascii="楷体" w:eastAsia="楷体" w:hint="eastAsia"/>
        </w:rPr>
      </w:pPr>
      <w:r>
        <w:rPr>
          <w:rFonts w:ascii="楷体" w:eastAsia="楷体" w:hint="eastAsia"/>
          <w:color w:val="FF0000"/>
          <w:w w:val="95"/>
        </w:rPr>
        <w:t>（来源：中国医药报）</w:t>
      </w:r>
    </w:p>
    <w:p>
      <w:pPr>
        <w:pStyle w:val="BodyText"/>
        <w:spacing w:line="280" w:lineRule="auto" w:before="79"/>
        <w:ind w:right="390" w:firstLine="482"/>
      </w:pPr>
      <w:r>
        <w:rPr>
          <w:spacing w:val="-6"/>
        </w:rPr>
        <w:t>开展仿制药质量和疗效一致性评价对提高仿制药质量、减轻社会医疗负担、提高中国药</w:t>
      </w:r>
      <w:r>
        <w:rPr/>
        <w:t>企国际竞争力、促进医药产业供给侧结构性改革等方面均具有重要意义。</w:t>
      </w:r>
    </w:p>
    <w:p>
      <w:pPr>
        <w:pStyle w:val="BodyText"/>
        <w:spacing w:line="280" w:lineRule="auto" w:before="1"/>
        <w:ind w:right="287" w:firstLine="482"/>
      </w:pPr>
      <w:r>
        <w:rPr>
          <w:spacing w:val="-5"/>
        </w:rPr>
        <w:t>仿制药一致性评价研究的核心是药物制剂的处方和工艺，而辅料是药物制剂处方的重要</w:t>
      </w:r>
      <w:r>
        <w:rPr>
          <w:spacing w:val="-6"/>
        </w:rPr>
        <w:t>组成部分。尽管辅料本身一般无生理活性，但是辅料会与药物发生相互作用产生配伍禁忌， 而且辅料的质量会直接影响制剂的质量、稳定性和疗效。因此，辅料的选择在仿制药一致性评价研究中具有特殊意义。</w:t>
      </w:r>
    </w:p>
    <w:p>
      <w:pPr>
        <w:pStyle w:val="Heading3"/>
        <w:spacing w:before="1"/>
        <w:ind w:left="759"/>
      </w:pPr>
      <w:r>
        <w:rPr>
          <w:w w:val="95"/>
        </w:rPr>
        <w:t>辅料的选择和配伍禁忌</w:t>
      </w:r>
    </w:p>
    <w:p>
      <w:pPr>
        <w:pStyle w:val="BodyText"/>
        <w:spacing w:line="280" w:lineRule="auto" w:before="52"/>
        <w:ind w:right="392" w:firstLine="482"/>
      </w:pPr>
      <w:r>
        <w:rPr>
          <w:spacing w:val="-10"/>
        </w:rPr>
        <w:t>通常认为，辅料是药理非活性物质，但是辅料可能会与药物发生相互作用，导致制剂外</w:t>
      </w:r>
      <w:r>
        <w:rPr/>
        <w:t>观性状改变、有关物质增加、有效成分含量降低，甚至疗效降低。</w:t>
      </w:r>
    </w:p>
    <w:p>
      <w:pPr>
        <w:pStyle w:val="BodyText"/>
        <w:tabs>
          <w:tab w:pos="877" w:val="left" w:leader="none"/>
        </w:tabs>
        <w:spacing w:line="280" w:lineRule="auto" w:before="1"/>
        <w:ind w:right="392" w:firstLine="482"/>
      </w:pPr>
      <w:r>
        <w:rPr/>
        <w:t>例如</w:t>
      </w:r>
      <w:r>
        <w:rPr>
          <w:spacing w:val="-36"/>
        </w:rPr>
        <w:t>，</w:t>
      </w:r>
      <w:r>
        <w:rPr/>
        <w:t>乳糖是固体制剂中常用的填充剂之一</w:t>
      </w:r>
      <w:r>
        <w:rPr>
          <w:spacing w:val="-36"/>
        </w:rPr>
        <w:t>，</w:t>
      </w:r>
      <w:r>
        <w:rPr/>
        <w:t>也是一种还原性糖</w:t>
      </w:r>
      <w:r>
        <w:rPr>
          <w:spacing w:val="-36"/>
        </w:rPr>
        <w:t>，</w:t>
      </w:r>
      <w:r>
        <w:rPr/>
        <w:t>处方中如有强氧化</w:t>
      </w:r>
      <w:r>
        <w:rPr>
          <w:spacing w:val="-17"/>
        </w:rPr>
        <w:t>药</w:t>
      </w:r>
      <w:r>
        <w:rPr/>
        <w:t>物/</w:t>
        <w:tab/>
        <w:t>辅料，则需要规避乳糖；另外，在高湿条件下，乳糖可以与含有伯胺或仲胺的化合物</w:t>
      </w:r>
    </w:p>
    <w:p>
      <w:pPr>
        <w:pStyle w:val="BodyText"/>
      </w:pPr>
      <w:r>
        <w:rPr/>
        <w:t>（</w:t>
      </w:r>
      <w:r>
        <w:rPr>
          <w:spacing w:val="-6"/>
        </w:rPr>
        <w:t>异烟肼、醋氯芬酸、赖诺普利等</w:t>
      </w:r>
      <w:r>
        <w:rPr>
          <w:spacing w:val="-17"/>
        </w:rPr>
        <w:t>）</w:t>
      </w:r>
      <w:r>
        <w:rPr>
          <w:spacing w:val="-4"/>
        </w:rPr>
        <w:t>发生复杂的美拉德反应，导致产品表面变色。相反，同</w:t>
      </w:r>
    </w:p>
    <w:p>
      <w:pPr>
        <w:spacing w:after="0"/>
        <w:sectPr>
          <w:pgSz w:w="11910" w:h="16850"/>
          <w:pgMar w:header="906" w:footer="527" w:top="1100" w:bottom="800" w:left="1000" w:right="740"/>
        </w:sectPr>
      </w:pPr>
    </w:p>
    <w:p>
      <w:pPr>
        <w:pStyle w:val="BodyText"/>
        <w:spacing w:line="280" w:lineRule="auto" w:before="48"/>
        <w:ind w:right="387"/>
        <w:jc w:val="both"/>
      </w:pPr>
      <w:r>
        <w:rPr>
          <w:spacing w:val="-6"/>
        </w:rPr>
        <w:t>为填充剂的淀粉与这类化合物的相容性更好。二氧化硅是一种路易斯酸，可以在无水条件下</w:t>
      </w:r>
      <w:r>
        <w:rPr>
          <w:spacing w:val="-10"/>
        </w:rPr>
        <w:t>接受电子对，继而引发脱水、水解、环化、酯交换反应等。有报道称，二氧化硅可以催化己</w:t>
      </w:r>
      <w:r>
        <w:rPr>
          <w:spacing w:val="-6"/>
        </w:rPr>
        <w:t>烯雌酚氧化为过氧化物和共轭苯醌的降解产物。阿司匹林结构中酯键容易水解断裂，金属离</w:t>
      </w:r>
      <w:r>
        <w:rPr/>
        <w:t>子会加速这一过程，所以处方中不能使用硬脂酸镁作为润滑剂。</w:t>
      </w:r>
    </w:p>
    <w:p>
      <w:pPr>
        <w:pStyle w:val="Heading3"/>
        <w:spacing w:before="1"/>
        <w:ind w:left="759"/>
      </w:pPr>
      <w:r>
        <w:rPr/>
        <w:t>辅料的组成影响药物制剂质量</w:t>
      </w:r>
    </w:p>
    <w:p>
      <w:pPr>
        <w:pStyle w:val="BodyText"/>
        <w:spacing w:line="280" w:lineRule="auto" w:before="53"/>
        <w:ind w:right="272" w:firstLine="482"/>
      </w:pPr>
      <w:r>
        <w:rPr>
          <w:spacing w:val="-7"/>
        </w:rPr>
        <w:t>大部分药用辅料是高分子聚合物材料，其平均分子量、分子量分布均会影响其物理性质</w:t>
      </w:r>
      <w:r>
        <w:rPr>
          <w:spacing w:val="-17"/>
        </w:rPr>
        <w:t>与加工性能。通常，不同规格的同一种辅料，分子量、分子量分布不同，会导致其物理性能、</w:t>
      </w:r>
      <w:r>
        <w:rPr/>
        <w:t>加工性能不同，在制剂中的应用也不尽相同。如低分子量的羟丙基甲基纤维素常作黏合剂， 也可用作薄膜包衣材料；而高分子量的羟丙基甲基纤维素则主要用作缓释制剂的骨架材料。</w:t>
      </w:r>
      <w:r>
        <w:rPr>
          <w:spacing w:val="-4"/>
        </w:rPr>
        <w:t>高分子聚合物也常用来维持难溶性药物固体分散体的超饱和状态、抑制药物结晶生长。有报</w:t>
      </w:r>
      <w:r>
        <w:rPr>
          <w:spacing w:val="-9"/>
        </w:rPr>
        <w:t>道称，不同分子量的聚合物抑制药物结晶的能力也不尽相同。另外，即便是同一厂家同一规</w:t>
      </w:r>
      <w:r>
        <w:rPr>
          <w:spacing w:val="-13"/>
        </w:rPr>
        <w:t>格的不同批次辅料，其分子量和分子量分布也可能不同，可能会造成物理性能和加工性能上的差异。</w:t>
      </w:r>
    </w:p>
    <w:p>
      <w:pPr>
        <w:pStyle w:val="BodyText"/>
        <w:spacing w:line="280" w:lineRule="auto" w:before="2"/>
        <w:ind w:right="268" w:firstLine="482"/>
      </w:pPr>
      <w:r>
        <w:rPr>
          <w:spacing w:val="-5"/>
        </w:rPr>
        <w:t>药用辅料中一部分是以其中某种主要化合物命名的混合物。如具有表面活性作用的辅料</w:t>
      </w:r>
      <w:r>
        <w:rPr>
          <w:spacing w:val="-9"/>
        </w:rPr>
        <w:t>十二烷基硫酸钠是以十二烷基硫酸钠为主的烷基硫酸钠混合物；液体制剂中常用的抑菌剂苯</w:t>
      </w:r>
      <w:r>
        <w:rPr>
          <w:spacing w:val="-13"/>
        </w:rPr>
        <w:t>扎氯铵是氯化二甲基苄基羟铵的混合物；而苯扎溴铵则是溴化二甲基苄基羟铵的混合物；可</w:t>
      </w:r>
      <w:r>
        <w:rPr>
          <w:spacing w:val="-15"/>
        </w:rPr>
        <w:t>压性蔗糖是由蔗糖与其他辅料</w:t>
      </w:r>
      <w:r>
        <w:rPr/>
        <w:t>（如麦芽糊精</w:t>
      </w:r>
      <w:r>
        <w:rPr>
          <w:spacing w:val="-36"/>
        </w:rPr>
        <w:t>）</w:t>
      </w:r>
      <w:r>
        <w:rPr>
          <w:spacing w:val="-6"/>
        </w:rPr>
        <w:t>共结晶制得。这类辅料组成的改变会影响药物</w:t>
      </w:r>
      <w:r>
        <w:rPr>
          <w:spacing w:val="-10"/>
        </w:rPr>
        <w:t>制剂的质量。药用辅料硬脂酸镁是固体制剂中常用的润滑剂，虽然称为硬脂酸镁，但实质上</w:t>
      </w:r>
      <w:r>
        <w:rPr>
          <w:spacing w:val="-15"/>
        </w:rPr>
        <w:t>是硬脂酸镁和棕榈酸镁的混合物。不同厂家的润滑剂硬脂酸镁中，硬脂酸镁与棕榈酸镁的相</w:t>
      </w:r>
      <w:r>
        <w:rPr>
          <w:spacing w:val="-21"/>
        </w:rPr>
        <w:t>对含量不同，相差 </w:t>
      </w:r>
      <w:r>
        <w:rPr/>
        <w:t>20%有余。所以，不同厂家生产的润滑剂硬脂酸镁的质量属性势必不同。</w:t>
      </w:r>
      <w:r>
        <w:rPr>
          <w:spacing w:val="-1"/>
        </w:rPr>
        <w:t>油酸钠是液体制剂中常用的乳化剂，</w:t>
      </w:r>
      <w:r>
        <w:rPr>
          <w:spacing w:val="-3"/>
        </w:rPr>
        <w:t>2015</w:t>
      </w:r>
      <w:r>
        <w:rPr>
          <w:spacing w:val="-11"/>
        </w:rPr>
        <w:t> 年版《中国药典》对油酸钠其他脂肪酸的要求为： </w:t>
      </w:r>
      <w:r>
        <w:rPr>
          <w:spacing w:val="-6"/>
        </w:rPr>
        <w:t>以峰面积归一化法计算，含癸酸不得过 </w:t>
      </w:r>
      <w:r>
        <w:rPr/>
        <w:t>1.0%</w:t>
      </w:r>
      <w:r>
        <w:rPr>
          <w:spacing w:val="-11"/>
        </w:rPr>
        <w:t>、月桂酸不得过 </w:t>
      </w:r>
      <w:r>
        <w:rPr/>
        <w:t>5.0%</w:t>
      </w:r>
      <w:r>
        <w:rPr>
          <w:spacing w:val="-11"/>
        </w:rPr>
        <w:t>、肉豆蔻酸不得过 </w:t>
      </w:r>
      <w:r>
        <w:rPr/>
        <w:t>20.0%</w:t>
      </w:r>
      <w:r>
        <w:rPr>
          <w:spacing w:val="-14"/>
        </w:rPr>
        <w:t>、</w:t>
      </w:r>
      <w:r>
        <w:rPr>
          <w:spacing w:val="-9"/>
        </w:rPr>
        <w:t>棕榈酸不得过 </w:t>
      </w:r>
      <w:r>
        <w:rPr/>
        <w:t>20.0%</w:t>
      </w:r>
      <w:r>
        <w:rPr>
          <w:spacing w:val="-7"/>
        </w:rPr>
        <w:t>、棕榈油酸不得过 </w:t>
      </w:r>
      <w:r>
        <w:rPr/>
        <w:t>0.5%</w:t>
      </w:r>
      <w:r>
        <w:rPr>
          <w:spacing w:val="-8"/>
        </w:rPr>
        <w:t>、硬脂酸不得过 </w:t>
      </w:r>
      <w:r>
        <w:rPr/>
        <w:t>20.0%</w:t>
      </w:r>
      <w:r>
        <w:rPr>
          <w:spacing w:val="-8"/>
        </w:rPr>
        <w:t>、亚油酸不得过 </w:t>
      </w:r>
      <w:r>
        <w:rPr/>
        <w:t>15.0%、</w:t>
      </w:r>
      <w:r>
        <w:rPr>
          <w:spacing w:val="-9"/>
        </w:rPr>
        <w:t>亚麻酸不得过 </w:t>
      </w:r>
      <w:r>
        <w:rPr/>
        <w:t>1.0%</w:t>
      </w:r>
      <w:r>
        <w:rPr>
          <w:spacing w:val="-8"/>
        </w:rPr>
        <w:t>。由此可见，该辅料是由不同有机酸组成的混合物，即便符合药典规定， </w:t>
      </w:r>
      <w:r>
        <w:rPr>
          <w:spacing w:val="-4"/>
        </w:rPr>
        <w:t>辅料中有机酸比例的不同也会对最后辅料的功能性产生影响。综上，需要对药用辅料的组成密切监控。</w:t>
      </w:r>
    </w:p>
    <w:p>
      <w:pPr>
        <w:pStyle w:val="Heading3"/>
        <w:spacing w:before="3"/>
        <w:ind w:left="759"/>
      </w:pPr>
      <w:r>
        <w:rPr/>
        <w:t>辅料的功能性指标影响药物制剂质量</w:t>
      </w:r>
    </w:p>
    <w:p>
      <w:pPr>
        <w:pStyle w:val="BodyText"/>
        <w:spacing w:line="280" w:lineRule="auto" w:before="53"/>
        <w:ind w:right="387" w:firstLine="482"/>
      </w:pPr>
      <w:r>
        <w:rPr>
          <w:spacing w:val="-6"/>
        </w:rPr>
        <w:t>制剂工作的任务之一是赋予药物制剂功能性，以提高药物制剂的有效性和安全性。制剂</w:t>
      </w:r>
      <w:r>
        <w:rPr/>
        <w:t>功能性实现的载体是辅料，仿制药一致性评价研究选择辅料的依据便是辅料的功能。2015 </w:t>
      </w:r>
      <w:r>
        <w:rPr>
          <w:spacing w:val="-12"/>
        </w:rPr>
        <w:t>年版《中国药典》新增了“药用辅料性能指标研究指导原则”，对稀释剂等十一大类辅料功</w:t>
      </w:r>
      <w:r>
        <w:rPr>
          <w:spacing w:val="-8"/>
        </w:rPr>
        <w:t>能性指标的建立作出指导。辅料的功能性指标是针对特定用途制定的，是反映辅料使用功能</w:t>
      </w:r>
      <w:r>
        <w:rPr/>
        <w:t>的关键参数，是辅料质量的核心。</w:t>
      </w:r>
    </w:p>
    <w:p>
      <w:pPr>
        <w:pStyle w:val="BodyText"/>
        <w:spacing w:line="280" w:lineRule="auto" w:before="1"/>
        <w:ind w:right="390" w:firstLine="482"/>
        <w:jc w:val="both"/>
      </w:pPr>
      <w:r>
        <w:rPr>
          <w:spacing w:val="-4"/>
        </w:rPr>
        <w:t>崩解剂是促使固体制剂在胃肠道中迅速崩解成小单元并使药物更快溶出的一种辅料，其</w:t>
      </w:r>
      <w:r>
        <w:rPr>
          <w:spacing w:val="-9"/>
        </w:rPr>
        <w:t>作用机制包括膨胀、变形、毛细管作用和排斥作用。常用的崩解剂包括羧甲淀粉钠、低取代</w:t>
      </w:r>
      <w:r>
        <w:rPr>
          <w:spacing w:val="-10"/>
        </w:rPr>
        <w:t>羟丙纤维素、交联聚维酮、交联羧甲基纤维素钠等。其功能性指标包括粒度与粒度分布，水</w:t>
      </w:r>
      <w:r>
        <w:rPr/>
        <w:t>吸收率，膨胀率或膨胀指数，粉体流动性、泡腾量等。</w:t>
      </w:r>
    </w:p>
    <w:p>
      <w:pPr>
        <w:pStyle w:val="Heading3"/>
        <w:spacing w:before="1"/>
        <w:ind w:left="759"/>
      </w:pPr>
      <w:r>
        <w:rPr/>
        <w:t>预混合辅料和共处理辅料</w:t>
      </w:r>
    </w:p>
    <w:p>
      <w:pPr>
        <w:pStyle w:val="BodyText"/>
        <w:spacing w:line="280" w:lineRule="auto" w:before="53"/>
        <w:ind w:right="387" w:firstLine="482"/>
        <w:jc w:val="both"/>
      </w:pPr>
      <w:r>
        <w:rPr>
          <w:spacing w:val="-7"/>
        </w:rPr>
        <w:t>随着固体制剂生产工艺的发展，制药行业对能够改良物料流动性、可压性等性质的功能</w:t>
      </w:r>
      <w:r>
        <w:rPr>
          <w:spacing w:val="-8"/>
        </w:rPr>
        <w:t>性辅料的需要愈发迫切。辅料的功能性改良可以促进固体制剂质量的提升。改良药用辅料的</w:t>
      </w:r>
      <w:r>
        <w:rPr>
          <w:spacing w:val="-9"/>
        </w:rPr>
        <w:t>方法包括合成新辅料、在现有辅料的基础上开发新规格、将现有几种辅料进行预混合或共处</w:t>
      </w:r>
    </w:p>
    <w:p>
      <w:pPr>
        <w:spacing w:after="0" w:line="280" w:lineRule="auto"/>
        <w:jc w:val="both"/>
        <w:sectPr>
          <w:pgSz w:w="11910" w:h="16850"/>
          <w:pgMar w:header="906" w:footer="527" w:top="1100" w:bottom="800" w:left="1000" w:right="740"/>
        </w:sectPr>
      </w:pPr>
    </w:p>
    <w:p>
      <w:pPr>
        <w:pStyle w:val="BodyText"/>
        <w:spacing w:line="280" w:lineRule="auto" w:before="48"/>
        <w:ind w:right="287"/>
      </w:pPr>
      <w:r>
        <w:rPr/>
        <w:t>理。但是，开发新辅料成本高、风险大、周期长，开发新规格对辅料性能的提升十分有限。相反，对现有的不同辅料进行预混合或共处理可以提升辅料的功能性。</w:t>
      </w:r>
    </w:p>
    <w:p>
      <w:pPr>
        <w:pStyle w:val="BodyText"/>
        <w:spacing w:line="280" w:lineRule="auto" w:before="1"/>
        <w:ind w:right="388" w:firstLine="482"/>
        <w:jc w:val="both"/>
      </w:pPr>
      <w:r>
        <w:rPr>
          <w:spacing w:val="-5"/>
        </w:rPr>
        <w:t>预混合辅料是将多种单一辅料按照一定的配方比例预先混合均匀；共处理辅料是通过共</w:t>
      </w:r>
      <w:r>
        <w:rPr>
          <w:spacing w:val="-10"/>
        </w:rPr>
        <w:t>沉淀、共结晶和共干燥等特殊物理混合法，将两种或多种辅料在颗粒水平上相结合，进而提升辅料的功能性。预混合和共处理的辅料可以实现不同辅料之间的优势互补，并且可以降低</w:t>
      </w:r>
      <w:r>
        <w:rPr/>
        <w:t>辅料用量。</w:t>
      </w:r>
    </w:p>
    <w:p>
      <w:pPr>
        <w:pStyle w:val="Heading3"/>
        <w:ind w:left="122" w:right="7802"/>
        <w:jc w:val="center"/>
      </w:pPr>
      <w:r>
        <w:rPr/>
        <w:t>其他辅料</w:t>
      </w:r>
    </w:p>
    <w:p>
      <w:pPr>
        <w:pStyle w:val="BodyText"/>
        <w:spacing w:line="280" w:lineRule="auto" w:before="53"/>
        <w:ind w:right="387" w:firstLine="482"/>
        <w:jc w:val="both"/>
      </w:pPr>
      <w:r>
        <w:rPr>
          <w:spacing w:val="-7"/>
        </w:rPr>
        <w:t>淀粉分为直链淀粉和支链淀粉，直链淀粉具有良好的崩解性能；支链淀粉具有良好的黏</w:t>
      </w:r>
      <w:r>
        <w:rPr/>
        <w:t>合性能。预胶化淀粉由淀粉胶化而来，根据组分中直链/支链淀粉的量，预胶化淀粉可分为</w:t>
      </w:r>
      <w:r>
        <w:rPr>
          <w:spacing w:val="-7"/>
        </w:rPr>
        <w:t>部分预胶化淀粉和全部预胶化淀粉；部分预胶化淀粉也可以根据预胶化程度的不同，分为不同预胶化度的部分预胶化淀粉。预胶化度不同，预胶化淀粉的性质和功能也不相同，其质量</w:t>
      </w:r>
      <w:r>
        <w:rPr>
          <w:spacing w:val="-10"/>
        </w:rPr>
        <w:t>有非常大的差异。如全部预胶化淀粉是良好的黏合剂，而部分预胶化淀粉则在具有良好黏合</w:t>
      </w:r>
      <w:r>
        <w:rPr>
          <w:spacing w:val="-11"/>
        </w:rPr>
        <w:t>作用的同时，具有一定的崩解效果。因此，严格控制这类辅料的预胶化程度，对于提高基于</w:t>
      </w:r>
      <w:r>
        <w:rPr/>
        <w:t>这类辅料的药物制剂质量具有重要意义。</w:t>
      </w:r>
    </w:p>
    <w:p>
      <w:pPr>
        <w:pStyle w:val="BodyText"/>
        <w:spacing w:line="268" w:lineRule="auto" w:before="2"/>
        <w:ind w:right="270" w:firstLine="482"/>
        <w:rPr>
          <w:rFonts w:ascii="Meiryo" w:eastAsia="Meiryo" w:hint="eastAsia"/>
          <w:b/>
        </w:rPr>
      </w:pPr>
      <w:r>
        <w:rPr>
          <w:spacing w:val="-5"/>
        </w:rPr>
        <w:t>仿制药一致性评价研究的核心是药物制剂处方、工艺的再研究；药物制剂处方研究的关</w:t>
      </w:r>
      <w:r>
        <w:rPr>
          <w:spacing w:val="-18"/>
        </w:rPr>
        <w:t>键是选择合适的药用辅料。在选择辅料时，不应只注重成本，更应注意辅料与药物的相容性、</w:t>
      </w:r>
      <w:r>
        <w:rPr>
          <w:spacing w:val="-9"/>
        </w:rPr>
        <w:t>辅料的组成、功能性指标等关键性能，只有这样，才能确保我国仿制药质量的提高，才能提高我国民族医药产业水平。</w:t>
      </w:r>
      <w:r>
        <w:rPr>
          <w:rFonts w:ascii="Meiryo" w:eastAsia="Meiryo" w:hint="eastAsia"/>
          <w:b/>
          <w:color w:val="0033CC"/>
          <w:spacing w:val="-9"/>
        </w:rPr>
        <w:t>[返回目次]</w:t>
      </w:r>
    </w:p>
    <w:p>
      <w:pPr>
        <w:pStyle w:val="Heading2"/>
        <w:spacing w:before="7"/>
        <w:ind w:right="7802"/>
        <w:jc w:val="center"/>
      </w:pPr>
      <w:r>
        <w:rPr/>
        <w:t>【数据公报】</w:t>
      </w:r>
    </w:p>
    <w:p>
      <w:pPr>
        <w:pStyle w:val="BodyText"/>
        <w:spacing w:before="12"/>
        <w:ind w:left="0"/>
        <w:rPr>
          <w:b/>
          <w:sz w:val="22"/>
        </w:rPr>
      </w:pPr>
    </w:p>
    <w:p>
      <w:pPr>
        <w:spacing w:before="0"/>
        <w:ind w:left="122" w:right="237" w:firstLine="0"/>
        <w:jc w:val="center"/>
        <w:rPr>
          <w:b/>
          <w:sz w:val="32"/>
        </w:rPr>
      </w:pPr>
      <w:r>
        <w:rPr>
          <w:b/>
          <w:sz w:val="32"/>
        </w:rPr>
        <w:t>本土企业增长乏力 县域市场成就跨国药企</w:t>
      </w:r>
    </w:p>
    <w:p>
      <w:pPr>
        <w:pStyle w:val="BodyText"/>
        <w:spacing w:before="49"/>
        <w:ind w:left="122" w:right="234"/>
        <w:jc w:val="center"/>
      </w:pPr>
      <w:r>
        <w:rPr>
          <w:rFonts w:ascii="Calibri" w:hAnsi="Calibri" w:eastAsia="Calibri"/>
        </w:rPr>
        <w:t>——2018 </w:t>
      </w:r>
      <w:r>
        <w:rPr/>
        <w:t>年中国医院药品市场概览</w:t>
      </w:r>
    </w:p>
    <w:p>
      <w:pPr>
        <w:pStyle w:val="BodyText"/>
        <w:spacing w:before="12"/>
        <w:ind w:left="0"/>
        <w:rPr>
          <w:sz w:val="7"/>
        </w:rPr>
      </w:pPr>
    </w:p>
    <w:p>
      <w:pPr>
        <w:pStyle w:val="Heading3"/>
        <w:spacing w:before="66"/>
        <w:ind w:left="0" w:right="388"/>
        <w:jc w:val="right"/>
        <w:rPr>
          <w:rFonts w:ascii="楷体" w:eastAsia="楷体" w:hint="eastAsia"/>
        </w:rPr>
      </w:pPr>
      <w:r>
        <w:rPr>
          <w:rFonts w:ascii="楷体" w:eastAsia="楷体" w:hint="eastAsia"/>
          <w:color w:val="FF0000"/>
          <w:w w:val="95"/>
        </w:rPr>
        <w:t>（来源：中国医药报）</w:t>
      </w:r>
    </w:p>
    <w:p>
      <w:pPr>
        <w:pStyle w:val="BodyText"/>
        <w:spacing w:before="3"/>
        <w:ind w:left="0"/>
        <w:rPr>
          <w:rFonts w:ascii="楷体"/>
          <w:b/>
          <w:sz w:val="9"/>
        </w:rPr>
      </w:pPr>
      <w:r>
        <w:rPr/>
        <w:drawing>
          <wp:anchor distT="0" distB="0" distL="0" distR="0" allowOverlap="1" layoutInCell="1" locked="0" behindDoc="0" simplePos="0" relativeHeight="3">
            <wp:simplePos x="0" y="0"/>
            <wp:positionH relativeFrom="page">
              <wp:posOffset>1027430</wp:posOffset>
            </wp:positionH>
            <wp:positionV relativeFrom="paragraph">
              <wp:posOffset>100206</wp:posOffset>
            </wp:positionV>
            <wp:extent cx="5657808" cy="3845052"/>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16" cstate="print"/>
                    <a:stretch>
                      <a:fillRect/>
                    </a:stretch>
                  </pic:blipFill>
                  <pic:spPr>
                    <a:xfrm>
                      <a:off x="0" y="0"/>
                      <a:ext cx="5657808" cy="3845052"/>
                    </a:xfrm>
                    <a:prstGeom prst="rect">
                      <a:avLst/>
                    </a:prstGeom>
                  </pic:spPr>
                </pic:pic>
              </a:graphicData>
            </a:graphic>
          </wp:anchor>
        </w:drawing>
      </w:r>
    </w:p>
    <w:p>
      <w:pPr>
        <w:spacing w:after="0"/>
        <w:rPr>
          <w:rFonts w:ascii="楷体"/>
          <w:sz w:val="9"/>
        </w:rPr>
        <w:sectPr>
          <w:pgSz w:w="11910" w:h="16850"/>
          <w:pgMar w:header="906" w:footer="527" w:top="1100" w:bottom="800" w:left="1000" w:right="740"/>
        </w:sectPr>
      </w:pPr>
    </w:p>
    <w:p>
      <w:pPr>
        <w:pStyle w:val="BodyText"/>
        <w:spacing w:before="4"/>
        <w:ind w:left="0"/>
        <w:rPr>
          <w:rFonts w:ascii="楷体"/>
          <w:b/>
          <w:sz w:val="13"/>
        </w:rPr>
      </w:pPr>
    </w:p>
    <w:p>
      <w:pPr>
        <w:pStyle w:val="BodyText"/>
        <w:ind w:left="373"/>
        <w:rPr>
          <w:rFonts w:ascii="楷体"/>
          <w:sz w:val="20"/>
        </w:rPr>
      </w:pPr>
      <w:r>
        <w:rPr>
          <w:rFonts w:ascii="楷体"/>
          <w:sz w:val="20"/>
        </w:rPr>
        <w:drawing>
          <wp:inline distT="0" distB="0" distL="0" distR="0">
            <wp:extent cx="5877298" cy="3956304"/>
            <wp:effectExtent l="0" t="0" r="0" b="0"/>
            <wp:docPr id="5" name="image4.jpeg"/>
            <wp:cNvGraphicFramePr>
              <a:graphicFrameLocks noChangeAspect="1"/>
            </wp:cNvGraphicFramePr>
            <a:graphic>
              <a:graphicData uri="http://schemas.openxmlformats.org/drawingml/2006/picture">
                <pic:pic>
                  <pic:nvPicPr>
                    <pic:cNvPr id="6" name="image4.jpeg"/>
                    <pic:cNvPicPr/>
                  </pic:nvPicPr>
                  <pic:blipFill>
                    <a:blip r:embed="rId17" cstate="print"/>
                    <a:stretch>
                      <a:fillRect/>
                    </a:stretch>
                  </pic:blipFill>
                  <pic:spPr>
                    <a:xfrm>
                      <a:off x="0" y="0"/>
                      <a:ext cx="5877298" cy="3956304"/>
                    </a:xfrm>
                    <a:prstGeom prst="rect">
                      <a:avLst/>
                    </a:prstGeom>
                  </pic:spPr>
                </pic:pic>
              </a:graphicData>
            </a:graphic>
          </wp:inline>
        </w:drawing>
      </w:r>
      <w:r>
        <w:rPr>
          <w:rFonts w:ascii="楷体"/>
          <w:sz w:val="20"/>
        </w:rPr>
      </w:r>
    </w:p>
    <w:p>
      <w:pPr>
        <w:pStyle w:val="BodyText"/>
        <w:spacing w:before="5"/>
        <w:ind w:left="0"/>
        <w:rPr>
          <w:rFonts w:ascii="楷体"/>
          <w:b/>
          <w:sz w:val="27"/>
        </w:rPr>
      </w:pPr>
      <w:r>
        <w:rPr/>
        <w:drawing>
          <wp:anchor distT="0" distB="0" distL="0" distR="0" allowOverlap="1" layoutInCell="1" locked="0" behindDoc="0" simplePos="0" relativeHeight="4">
            <wp:simplePos x="0" y="0"/>
            <wp:positionH relativeFrom="page">
              <wp:posOffset>811072</wp:posOffset>
            </wp:positionH>
            <wp:positionV relativeFrom="paragraph">
              <wp:posOffset>247650</wp:posOffset>
            </wp:positionV>
            <wp:extent cx="6015450" cy="3264407"/>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18" cstate="print"/>
                    <a:stretch>
                      <a:fillRect/>
                    </a:stretch>
                  </pic:blipFill>
                  <pic:spPr>
                    <a:xfrm>
                      <a:off x="0" y="0"/>
                      <a:ext cx="6015450" cy="3264407"/>
                    </a:xfrm>
                    <a:prstGeom prst="rect">
                      <a:avLst/>
                    </a:prstGeom>
                  </pic:spPr>
                </pic:pic>
              </a:graphicData>
            </a:graphic>
          </wp:anchor>
        </w:drawing>
      </w:r>
    </w:p>
    <w:p>
      <w:pPr>
        <w:spacing w:after="0"/>
        <w:rPr>
          <w:rFonts w:ascii="楷体"/>
          <w:sz w:val="27"/>
        </w:rPr>
        <w:sectPr>
          <w:pgSz w:w="11910" w:h="16850"/>
          <w:pgMar w:header="906" w:footer="527" w:top="1100" w:bottom="720" w:left="1000" w:right="740"/>
        </w:sectPr>
      </w:pPr>
    </w:p>
    <w:p>
      <w:pPr>
        <w:pStyle w:val="BodyText"/>
        <w:spacing w:before="1" w:after="1"/>
        <w:ind w:left="0"/>
        <w:rPr>
          <w:rFonts w:ascii="楷体"/>
          <w:b/>
          <w:sz w:val="12"/>
        </w:rPr>
      </w:pPr>
    </w:p>
    <w:p>
      <w:pPr>
        <w:pStyle w:val="BodyText"/>
        <w:ind w:left="373"/>
        <w:rPr>
          <w:rFonts w:ascii="楷体"/>
          <w:sz w:val="20"/>
        </w:rPr>
      </w:pPr>
      <w:r>
        <w:rPr>
          <w:rFonts w:ascii="楷体"/>
          <w:sz w:val="20"/>
        </w:rPr>
        <w:drawing>
          <wp:inline distT="0" distB="0" distL="0" distR="0">
            <wp:extent cx="5945520" cy="3393186"/>
            <wp:effectExtent l="0" t="0" r="0" b="0"/>
            <wp:docPr id="9" name="image6.jpeg"/>
            <wp:cNvGraphicFramePr>
              <a:graphicFrameLocks noChangeAspect="1"/>
            </wp:cNvGraphicFramePr>
            <a:graphic>
              <a:graphicData uri="http://schemas.openxmlformats.org/drawingml/2006/picture">
                <pic:pic>
                  <pic:nvPicPr>
                    <pic:cNvPr id="10" name="image6.jpeg"/>
                    <pic:cNvPicPr/>
                  </pic:nvPicPr>
                  <pic:blipFill>
                    <a:blip r:embed="rId19" cstate="print"/>
                    <a:stretch>
                      <a:fillRect/>
                    </a:stretch>
                  </pic:blipFill>
                  <pic:spPr>
                    <a:xfrm>
                      <a:off x="0" y="0"/>
                      <a:ext cx="5945520" cy="3393186"/>
                    </a:xfrm>
                    <a:prstGeom prst="rect">
                      <a:avLst/>
                    </a:prstGeom>
                  </pic:spPr>
                </pic:pic>
              </a:graphicData>
            </a:graphic>
          </wp:inline>
        </w:drawing>
      </w:r>
      <w:r>
        <w:rPr>
          <w:rFonts w:ascii="楷体"/>
          <w:sz w:val="20"/>
        </w:rPr>
      </w:r>
    </w:p>
    <w:p>
      <w:pPr>
        <w:pStyle w:val="BodyText"/>
        <w:spacing w:before="12"/>
        <w:ind w:left="0"/>
        <w:rPr>
          <w:rFonts w:ascii="楷体"/>
          <w:b/>
          <w:sz w:val="15"/>
        </w:rPr>
      </w:pPr>
    </w:p>
    <w:p>
      <w:pPr>
        <w:pStyle w:val="BodyText"/>
        <w:spacing w:line="297" w:lineRule="auto" w:before="67"/>
        <w:ind w:right="386" w:firstLine="480"/>
        <w:jc w:val="both"/>
      </w:pPr>
      <w:r>
        <w:rPr/>
        <w:t>2018</w:t>
      </w:r>
      <w:r>
        <w:rPr>
          <w:spacing w:val="-10"/>
        </w:rPr>
        <w:t> 年，中国医院药品市场总销售额</w:t>
      </w:r>
      <w:r>
        <w:rPr/>
        <w:t>（医院药房采购金额</w:t>
      </w:r>
      <w:r>
        <w:rPr>
          <w:spacing w:val="-10"/>
        </w:rPr>
        <w:t>）</w:t>
      </w:r>
      <w:r>
        <w:rPr>
          <w:spacing w:val="-30"/>
        </w:rPr>
        <w:t>达 </w:t>
      </w:r>
      <w:r>
        <w:rPr/>
        <w:t>7718</w:t>
      </w:r>
      <w:r>
        <w:rPr>
          <w:spacing w:val="-12"/>
        </w:rPr>
        <w:t> 亿元，全年增长率</w:t>
      </w:r>
      <w:r>
        <w:rPr>
          <w:spacing w:val="-30"/>
        </w:rPr>
        <w:t>为 </w:t>
      </w:r>
      <w:r>
        <w:rPr/>
        <w:t>3.3%，增速与上年持平。</w:t>
      </w:r>
    </w:p>
    <w:p>
      <w:pPr>
        <w:pStyle w:val="BodyText"/>
        <w:spacing w:line="297" w:lineRule="auto"/>
        <w:ind w:right="390" w:firstLine="480"/>
        <w:jc w:val="both"/>
      </w:pPr>
      <w:r>
        <w:rPr>
          <w:spacing w:val="-31"/>
        </w:rPr>
        <w:t>自 </w:t>
      </w:r>
      <w:r>
        <w:rPr/>
        <w:t>2017</w:t>
      </w:r>
      <w:r>
        <w:rPr>
          <w:spacing w:val="-8"/>
        </w:rPr>
        <w:t> 年以来，受到限制用药和控费趋严、医保支付改革、药占比控制等一系列政策</w:t>
      </w:r>
      <w:r>
        <w:rPr>
          <w:spacing w:val="-14"/>
        </w:rPr>
        <w:t>因素的影响，医院药品市场增长乏力。其中，本土企业受到较大影响，近年来在医院药品市</w:t>
      </w:r>
      <w:r>
        <w:rPr>
          <w:spacing w:val="-4"/>
        </w:rPr>
        <w:t>场的销售额增长率持续下降，从 </w:t>
      </w:r>
      <w:r>
        <w:rPr/>
        <w:t>2016</w:t>
      </w:r>
      <w:r>
        <w:rPr>
          <w:spacing w:val="-30"/>
        </w:rPr>
        <w:t> 年的 </w:t>
      </w:r>
      <w:r>
        <w:rPr/>
        <w:t>9.2%</w:t>
      </w:r>
      <w:r>
        <w:rPr>
          <w:spacing w:val="-15"/>
        </w:rPr>
        <w:t>下降到 </w:t>
      </w:r>
      <w:r>
        <w:rPr/>
        <w:t>2018</w:t>
      </w:r>
      <w:r>
        <w:rPr>
          <w:spacing w:val="-30"/>
        </w:rPr>
        <w:t> 年的 </w:t>
      </w:r>
      <w:r>
        <w:rPr/>
        <w:t>0.8%；跨国企业的增速仍保持平稳上升，2018</w:t>
      </w:r>
      <w:r>
        <w:rPr>
          <w:spacing w:val="-31"/>
        </w:rPr>
        <w:t> 年达 </w:t>
      </w:r>
      <w:r>
        <w:rPr/>
        <w:t>10.9%（</w:t>
      </w:r>
      <w:r>
        <w:rPr>
          <w:spacing w:val="-20"/>
        </w:rPr>
        <w:t>见图 </w:t>
      </w:r>
      <w:r>
        <w:rPr/>
        <w:t>1），县域医院药品市场成就了跨国企业。</w:t>
      </w:r>
    </w:p>
    <w:p>
      <w:pPr>
        <w:pStyle w:val="Heading3"/>
        <w:spacing w:line="302" w:lineRule="exact"/>
      </w:pPr>
      <w:r>
        <w:rPr/>
        <w:t>市场集中度增加</w:t>
      </w:r>
    </w:p>
    <w:p>
      <w:pPr>
        <w:pStyle w:val="BodyText"/>
        <w:spacing w:before="72"/>
        <w:ind w:left="757"/>
      </w:pPr>
      <w:r>
        <w:rPr/>
        <w:t>2018 年，招标采购、高价药品谈判等政策多管齐下，跨国企业和本土企业全年销售额</w:t>
      </w:r>
    </w:p>
    <w:p>
      <w:pPr>
        <w:pStyle w:val="BodyText"/>
        <w:spacing w:line="297" w:lineRule="auto" w:before="72"/>
        <w:ind w:right="387"/>
        <w:jc w:val="both"/>
      </w:pPr>
      <w:r>
        <w:rPr>
          <w:spacing w:val="-16"/>
        </w:rPr>
        <w:t>分别为 </w:t>
      </w:r>
      <w:r>
        <w:rPr/>
        <w:t>2084</w:t>
      </w:r>
      <w:r>
        <w:rPr>
          <w:spacing w:val="-24"/>
        </w:rPr>
        <w:t> 亿元和 </w:t>
      </w:r>
      <w:r>
        <w:rPr/>
        <w:t>5634</w:t>
      </w:r>
      <w:r>
        <w:rPr>
          <w:spacing w:val="-15"/>
        </w:rPr>
        <w:t> 亿元。在药品集中招标采购以及高价药谈判的影响下，价格对跨国</w:t>
      </w:r>
      <w:r>
        <w:rPr>
          <w:spacing w:val="-6"/>
        </w:rPr>
        <w:t>企业和本土企业药品的市场销售额增长都呈现负向影响，而销售量依然是主要的市场增长动</w:t>
      </w:r>
      <w:r>
        <w:rPr/>
        <w:t>力。</w:t>
      </w:r>
    </w:p>
    <w:p>
      <w:pPr>
        <w:pStyle w:val="BodyText"/>
        <w:spacing w:line="297" w:lineRule="auto"/>
        <w:ind w:right="386" w:firstLine="480"/>
        <w:jc w:val="both"/>
      </w:pPr>
      <w:r>
        <w:rPr>
          <w:spacing w:val="-6"/>
        </w:rPr>
        <w:t>由于一系列公司的并购行为，中国医药市场变得更加集中，超大型药企集团</w:t>
      </w:r>
      <w:r>
        <w:rPr/>
        <w:t>（</w:t>
      </w:r>
      <w:r>
        <w:rPr>
          <w:spacing w:val="-4"/>
        </w:rPr>
        <w:t>年销售额</w:t>
      </w:r>
      <w:r>
        <w:rPr>
          <w:spacing w:val="-20"/>
        </w:rPr>
        <w:t>超过 </w:t>
      </w:r>
      <w:r>
        <w:rPr/>
        <w:t>100</w:t>
      </w:r>
      <w:r>
        <w:rPr>
          <w:spacing w:val="-21"/>
        </w:rPr>
        <w:t> 亿元</w:t>
      </w:r>
      <w:r>
        <w:rPr>
          <w:spacing w:val="-34"/>
        </w:rPr>
        <w:t>）</w:t>
      </w:r>
      <w:r>
        <w:rPr>
          <w:spacing w:val="-15"/>
        </w:rPr>
        <w:t>占据了 </w:t>
      </w:r>
      <w:r>
        <w:rPr/>
        <w:t>23%</w:t>
      </w:r>
      <w:r>
        <w:rPr>
          <w:spacing w:val="-9"/>
        </w:rPr>
        <w:t>的销售总额，其同比销售额增长率达到 </w:t>
      </w:r>
      <w:r>
        <w:rPr/>
        <w:t>10%</w:t>
      </w:r>
      <w:r>
        <w:rPr>
          <w:spacing w:val="-20"/>
        </w:rPr>
        <w:t>。排名前 </w:t>
      </w:r>
      <w:r>
        <w:rPr/>
        <w:t>20</w:t>
      </w:r>
      <w:r>
        <w:rPr>
          <w:spacing w:val="-15"/>
        </w:rPr>
        <w:t> 的药品集</w:t>
      </w:r>
      <w:r>
        <w:rPr>
          <w:spacing w:val="-13"/>
        </w:rPr>
        <w:t>团占据近 </w:t>
      </w:r>
      <w:r>
        <w:rPr/>
        <w:t>32%</w:t>
      </w:r>
      <w:r>
        <w:rPr>
          <w:spacing w:val="-7"/>
        </w:rPr>
        <w:t>的市场份额，其中跨国药企占到 </w:t>
      </w:r>
      <w:r>
        <w:rPr/>
        <w:t>8</w:t>
      </w:r>
      <w:r>
        <w:rPr>
          <w:spacing w:val="-11"/>
        </w:rPr>
        <w:t> 席，且其市场增速明显高于平均增速。本土</w:t>
      </w:r>
      <w:r>
        <w:rPr>
          <w:spacing w:val="-3"/>
        </w:rPr>
        <w:t>企业中，龙头企业的增长超过平均值，其中恒瑞医药的增速超过 </w:t>
      </w:r>
      <w:r>
        <w:rPr/>
        <w:t>20%（</w:t>
      </w:r>
      <w:r>
        <w:rPr>
          <w:spacing w:val="-20"/>
        </w:rPr>
        <w:t>见表 </w:t>
      </w:r>
      <w:r>
        <w:rPr/>
        <w:t>1）。</w:t>
      </w:r>
    </w:p>
    <w:p>
      <w:pPr>
        <w:pStyle w:val="Heading3"/>
        <w:spacing w:line="302" w:lineRule="exact"/>
      </w:pPr>
      <w:r>
        <w:rPr/>
        <w:t>中成药增速下降</w:t>
      </w:r>
    </w:p>
    <w:p>
      <w:pPr>
        <w:pStyle w:val="BodyText"/>
        <w:spacing w:line="297" w:lineRule="auto" w:before="70"/>
        <w:ind w:right="388" w:firstLine="480"/>
        <w:jc w:val="both"/>
      </w:pPr>
      <w:r>
        <w:rPr/>
        <w:t>从治疗领域来看，2018</w:t>
      </w:r>
      <w:r>
        <w:rPr>
          <w:spacing w:val="-10"/>
        </w:rPr>
        <w:t> 年，中成药在医院的用药占比位列第一，但是增速为</w:t>
      </w:r>
      <w:r>
        <w:rPr/>
        <w:t>-4.9%</w:t>
      </w:r>
      <w:r>
        <w:rPr>
          <w:spacing w:val="-6"/>
        </w:rPr>
        <w:t>，其</w:t>
      </w:r>
      <w:r>
        <w:rPr>
          <w:spacing w:val="-4"/>
        </w:rPr>
        <w:t>中注射类中成药市场规模降幅超过 </w:t>
      </w:r>
      <w:r>
        <w:rPr>
          <w:spacing w:val="-6"/>
        </w:rPr>
        <w:t>10%；全身性抗感染药、消化道和新陈代谢药物分别位列</w:t>
      </w:r>
      <w:r>
        <w:rPr>
          <w:spacing w:val="-7"/>
        </w:rPr>
        <w:t>第二和第三。血液和造血器官、抗肿瘤药及免疫调节剂的增长贡献率最高，分别达到 </w:t>
      </w:r>
      <w:r>
        <w:rPr>
          <w:spacing w:val="-3"/>
        </w:rPr>
        <w:t>13.1% </w:t>
      </w:r>
      <w:r>
        <w:rPr>
          <w:spacing w:val="-31"/>
        </w:rPr>
        <w:t>和 </w:t>
      </w:r>
      <w:r>
        <w:rPr/>
        <w:t>12.0%。受政策影响，医用溶液领域持续负增长（</w:t>
      </w:r>
      <w:r>
        <w:rPr>
          <w:spacing w:val="-20"/>
        </w:rPr>
        <w:t>见表 </w:t>
      </w:r>
      <w:r>
        <w:rPr/>
        <w:t>2）。</w:t>
      </w:r>
    </w:p>
    <w:p>
      <w:pPr>
        <w:pStyle w:val="BodyText"/>
        <w:spacing w:line="297" w:lineRule="auto"/>
        <w:ind w:right="383" w:firstLine="480"/>
        <w:jc w:val="both"/>
      </w:pPr>
      <w:r>
        <w:rPr>
          <w:spacing w:val="-9"/>
        </w:rPr>
        <w:t>从产品排名来看，立普妥、加罗宁、波立维分别摘得医院市场销售额前三。其中辉瑞制</w:t>
      </w:r>
      <w:r>
        <w:rPr>
          <w:spacing w:val="-12"/>
        </w:rPr>
        <w:t>药的立普妥不仅销售额稳居第一，而且全年同比增长率上涨 </w:t>
      </w:r>
      <w:r>
        <w:rPr/>
        <w:t>15.7%（</w:t>
      </w:r>
      <w:r>
        <w:rPr>
          <w:spacing w:val="-21"/>
        </w:rPr>
        <w:t>见表 </w:t>
      </w:r>
      <w:r>
        <w:rPr>
          <w:spacing w:val="-5"/>
        </w:rPr>
        <w:t>3）</w:t>
      </w:r>
      <w:r>
        <w:rPr>
          <w:spacing w:val="-13"/>
        </w:rPr>
        <w:t>。在排名前 </w:t>
      </w:r>
      <w:r>
        <w:rPr>
          <w:spacing w:val="-8"/>
        </w:rPr>
        <w:t>20 </w:t>
      </w:r>
      <w:r>
        <w:rPr/>
        <w:t>的产品中，罗氏的赫赛汀、石药集团的恩必普、绿叶制药的力朴素，居全年增长率前</w:t>
      </w:r>
    </w:p>
    <w:p>
      <w:pPr>
        <w:spacing w:after="0" w:line="297" w:lineRule="auto"/>
        <w:jc w:val="both"/>
        <w:sectPr>
          <w:pgSz w:w="11910" w:h="16850"/>
          <w:pgMar w:header="906" w:footer="527" w:top="1100" w:bottom="720" w:left="1000" w:right="740"/>
        </w:sectPr>
      </w:pPr>
    </w:p>
    <w:p>
      <w:pPr>
        <w:pStyle w:val="Heading3"/>
        <w:spacing w:before="65"/>
      </w:pPr>
      <w:r>
        <w:rPr/>
        <w:t>县域医院成跨国药企新增长点</w:t>
      </w:r>
    </w:p>
    <w:p>
      <w:pPr>
        <w:pStyle w:val="BodyText"/>
        <w:spacing w:line="297" w:lineRule="auto" w:before="72"/>
        <w:ind w:right="267" w:firstLine="480"/>
      </w:pPr>
      <w:r>
        <w:rPr>
          <w:spacing w:val="-9"/>
        </w:rPr>
        <w:t>从地域上看，跨国企业在不断加大下沉力度，在二线和三线城市，跨国企业的增速分别</w:t>
      </w:r>
      <w:r>
        <w:rPr>
          <w:spacing w:val="-27"/>
        </w:rPr>
        <w:t>达到 </w:t>
      </w:r>
      <w:r>
        <w:rPr/>
        <w:t>10.9</w:t>
      </w:r>
      <w:r>
        <w:rPr>
          <w:spacing w:val="-20"/>
        </w:rPr>
        <w:t>%和 </w:t>
      </w:r>
      <w:r>
        <w:rPr/>
        <w:t>11.9%</w:t>
      </w:r>
      <w:r>
        <w:rPr>
          <w:spacing w:val="-12"/>
        </w:rPr>
        <w:t>。但本土企业在各线城市均表现不佳，在二三线城市仅取得微弱的增长， </w:t>
      </w:r>
      <w:r>
        <w:rPr>
          <w:spacing w:val="-2"/>
        </w:rPr>
        <w:t>在一线城市下降最为明显，达到</w:t>
      </w:r>
      <w:r>
        <w:rPr/>
        <w:t>-5.2%</w:t>
      </w:r>
      <w:r>
        <w:rPr>
          <w:spacing w:val="-15"/>
        </w:rPr>
        <w:t>。</w:t>
      </w:r>
      <w:r>
        <w:rPr/>
        <w:t>2018</w:t>
      </w:r>
      <w:r>
        <w:rPr>
          <w:spacing w:val="-12"/>
        </w:rPr>
        <w:t> 年，中国县域医院药品市场规模达 </w:t>
      </w:r>
      <w:r>
        <w:rPr/>
        <w:t>1931</w:t>
      </w:r>
      <w:r>
        <w:rPr>
          <w:spacing w:val="-19"/>
        </w:rPr>
        <w:t> 亿元， </w:t>
      </w:r>
      <w:r>
        <w:rPr>
          <w:spacing w:val="-13"/>
        </w:rPr>
        <w:t>同比增长 </w:t>
      </w:r>
      <w:r>
        <w:rPr/>
        <w:t>4.4%，增速高于城市医院。</w:t>
      </w:r>
    </w:p>
    <w:p>
      <w:pPr>
        <w:pStyle w:val="BodyText"/>
        <w:spacing w:line="261" w:lineRule="auto"/>
        <w:ind w:right="387" w:firstLine="480"/>
        <w:rPr>
          <w:rFonts w:ascii="Meiryo" w:eastAsia="Meiryo" w:hint="eastAsia"/>
          <w:b/>
        </w:rPr>
      </w:pPr>
      <w:r>
        <w:rPr>
          <w:spacing w:val="-7"/>
        </w:rPr>
        <w:t>县域医院成为跨国企业新的增长点，尤其是县域医院慢病药物市场，增长率明显高于整</w:t>
      </w:r>
      <w:r>
        <w:rPr>
          <w:spacing w:val="-3"/>
        </w:rPr>
        <w:t>体，如糖尿病用药、高血压用药，其增速分别达到 </w:t>
      </w:r>
      <w:r>
        <w:rPr/>
        <w:t>14.4%</w:t>
      </w:r>
      <w:r>
        <w:rPr>
          <w:spacing w:val="-30"/>
        </w:rPr>
        <w:t>和 </w:t>
      </w:r>
      <w:r>
        <w:rPr/>
        <w:t>18.0%。</w:t>
      </w:r>
      <w:r>
        <w:rPr>
          <w:rFonts w:ascii="Meiryo" w:eastAsia="Meiryo" w:hint="eastAsia"/>
          <w:b/>
          <w:color w:val="0033CC"/>
        </w:rPr>
        <w:t>[返回目次]</w:t>
      </w:r>
    </w:p>
    <w:p>
      <w:pPr>
        <w:pStyle w:val="Heading1"/>
        <w:spacing w:line="665" w:lineRule="exact"/>
        <w:ind w:left="925"/>
        <w:rPr>
          <w:u w:val="none"/>
        </w:rPr>
      </w:pPr>
      <w:r>
        <w:rPr>
          <w:rFonts w:ascii="Times New Roman" w:eastAsia="Times New Roman"/>
          <w:color w:val="008000"/>
          <w:spacing w:val="-110"/>
          <w:w w:val="99"/>
          <w:u w:val="thick" w:color="008000"/>
        </w:rPr>
        <w:t> </w:t>
      </w:r>
      <w:r>
        <w:rPr>
          <w:color w:val="008000"/>
          <w:u w:val="thick" w:color="008000"/>
        </w:rPr>
        <w:t>医药前沿</w:t>
      </w:r>
    </w:p>
    <w:p>
      <w:pPr>
        <w:pStyle w:val="Heading2"/>
        <w:spacing w:before="137"/>
        <w:ind w:left="277"/>
      </w:pPr>
      <w:r>
        <w:rPr/>
        <w:t>【研究进展】</w:t>
      </w:r>
    </w:p>
    <w:p>
      <w:pPr>
        <w:pStyle w:val="BodyText"/>
        <w:spacing w:before="8"/>
        <w:ind w:left="0"/>
        <w:rPr>
          <w:b/>
          <w:sz w:val="18"/>
        </w:rPr>
      </w:pPr>
    </w:p>
    <w:p>
      <w:pPr>
        <w:spacing w:after="0"/>
        <w:rPr>
          <w:sz w:val="18"/>
        </w:rPr>
        <w:sectPr>
          <w:pgSz w:w="11910" w:h="16850"/>
          <w:pgMar w:header="906" w:footer="527" w:top="1100" w:bottom="800" w:left="1000" w:right="740"/>
        </w:sectPr>
      </w:pPr>
    </w:p>
    <w:p>
      <w:pPr>
        <w:spacing w:before="54"/>
        <w:ind w:left="2454" w:right="0" w:firstLine="0"/>
        <w:jc w:val="left"/>
        <w:rPr>
          <w:b/>
          <w:sz w:val="32"/>
        </w:rPr>
      </w:pPr>
      <w:r>
        <w:rPr>
          <w:b/>
          <w:spacing w:val="-2"/>
          <w:sz w:val="32"/>
        </w:rPr>
        <w:t>“老药”雷帕霉素有望治疗红斑狼疮</w:t>
      </w:r>
    </w:p>
    <w:p>
      <w:pPr>
        <w:pStyle w:val="BodyText"/>
        <w:ind w:left="0"/>
        <w:rPr>
          <w:b/>
        </w:rPr>
      </w:pPr>
      <w:r>
        <w:rPr/>
        <w:br w:type="column"/>
      </w:r>
      <w:r>
        <w:rPr>
          <w:b/>
        </w:rPr>
      </w:r>
    </w:p>
    <w:p>
      <w:pPr>
        <w:pStyle w:val="BodyText"/>
        <w:spacing w:before="7"/>
        <w:ind w:left="0"/>
        <w:rPr>
          <w:b/>
          <w:sz w:val="23"/>
        </w:rPr>
      </w:pPr>
    </w:p>
    <w:p>
      <w:pPr>
        <w:pStyle w:val="Heading3"/>
        <w:ind w:left="2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00" w:right="740"/>
          <w:cols w:num="2" w:equalWidth="0">
            <w:col w:w="7591" w:space="40"/>
            <w:col w:w="2539"/>
          </w:cols>
        </w:sectPr>
      </w:pPr>
    </w:p>
    <w:p>
      <w:pPr>
        <w:pStyle w:val="BodyText"/>
        <w:spacing w:line="297" w:lineRule="auto" w:before="96"/>
        <w:ind w:right="387" w:firstLine="480"/>
        <w:jc w:val="both"/>
      </w:pPr>
      <w:r>
        <w:rPr>
          <w:spacing w:val="-12"/>
        </w:rPr>
        <w:t>近期，上海交通大学医学院附属仁济医院风湿科主任医师鲍春德与上海巴斯德所研究员张晓明，联合在《风湿病年鉴》上在线发表研究论文。研究发现，系统性红斑狼疮患者体内</w:t>
      </w:r>
      <w:r>
        <w:rPr>
          <w:spacing w:val="-5"/>
        </w:rPr>
        <w:t>存在高比例的非典型记忆性 </w:t>
      </w:r>
      <w:r>
        <w:rPr/>
        <w:t>B</w:t>
      </w:r>
      <w:r>
        <w:rPr>
          <w:spacing w:val="-16"/>
        </w:rPr>
        <w:t> 细胞，与狼疮的疾病活动密切相关，提示雷帕霉素可能是系统</w:t>
      </w:r>
      <w:r>
        <w:rPr/>
        <w:t>性红斑狼疮新的潜在有效治疗药物。</w:t>
      </w:r>
    </w:p>
    <w:p>
      <w:pPr>
        <w:pStyle w:val="BodyText"/>
        <w:spacing w:line="295" w:lineRule="auto"/>
        <w:ind w:right="387" w:firstLine="480"/>
        <w:jc w:val="both"/>
      </w:pPr>
      <w:r>
        <w:rPr>
          <w:spacing w:val="-10"/>
        </w:rPr>
        <w:t>众所周知，人体的免疫系统担负着免疫防御、免疫监视和免疫调控等作用，其中正确识</w:t>
      </w:r>
      <w:r>
        <w:rPr>
          <w:spacing w:val="-8"/>
        </w:rPr>
        <w:t>别“自我”和“非我”，是免疫系统发挥正常功能的关键特征。如果免疫调节功能紊乱，机</w:t>
      </w:r>
      <w:r>
        <w:rPr/>
        <w:t>体针对“自身”的成分产生异常的免疫反应和炎症，就会患上自身免疫性疾病。</w:t>
      </w:r>
    </w:p>
    <w:p>
      <w:pPr>
        <w:pStyle w:val="BodyText"/>
        <w:spacing w:line="295" w:lineRule="auto" w:before="2"/>
        <w:ind w:right="386" w:firstLine="480"/>
        <w:jc w:val="both"/>
      </w:pPr>
      <w:r>
        <w:rPr/>
        <w:t>鲍春德介绍，系统性红斑狼疮（SLE）常发生在育龄期女性身上，该病病因复杂，具体</w:t>
      </w:r>
      <w:r>
        <w:rPr>
          <w:spacing w:val="-10"/>
        </w:rPr>
        <w:t>发病机制尚未明确，导致目前临床上治疗手段有限。来源于哺乳动物骨髓的 </w:t>
      </w:r>
      <w:r>
        <w:rPr/>
        <w:t>B</w:t>
      </w:r>
      <w:r>
        <w:rPr>
          <w:spacing w:val="-11"/>
        </w:rPr>
        <w:t> 淋巴细胞是一类重要的免疫细胞，疾病条件下可以产生自身抗体，在 </w:t>
      </w:r>
      <w:r>
        <w:rPr/>
        <w:t>SLE</w:t>
      </w:r>
      <w:r>
        <w:rPr>
          <w:spacing w:val="-9"/>
        </w:rPr>
        <w:t> 发生发展中发挥了非常重要的作</w:t>
      </w:r>
      <w:r>
        <w:rPr>
          <w:spacing w:val="-24"/>
        </w:rPr>
        <w:t>用。针对 </w:t>
      </w:r>
      <w:r>
        <w:rPr/>
        <w:t>B</w:t>
      </w:r>
      <w:r>
        <w:rPr>
          <w:spacing w:val="-13"/>
        </w:rPr>
        <w:t> 细胞的靶向药物可用于 </w:t>
      </w:r>
      <w:r>
        <w:rPr/>
        <w:t>SLE</w:t>
      </w:r>
      <w:r>
        <w:rPr>
          <w:spacing w:val="-15"/>
        </w:rPr>
        <w:t> 的治疗，然而不加区分地全面清除 </w:t>
      </w:r>
      <w:r>
        <w:rPr/>
        <w:t>B</w:t>
      </w:r>
      <w:r>
        <w:rPr>
          <w:spacing w:val="-10"/>
        </w:rPr>
        <w:t> 细胞也可能带来</w:t>
      </w:r>
      <w:r>
        <w:rPr>
          <w:spacing w:val="-13"/>
        </w:rPr>
        <w:t>严重的副作用。因此，寻找 </w:t>
      </w:r>
      <w:r>
        <w:rPr/>
        <w:t>B</w:t>
      </w:r>
      <w:r>
        <w:rPr>
          <w:spacing w:val="-11"/>
        </w:rPr>
        <w:t> 细胞中与疾病相关的特定亚群，并研究他们的功能和致病作用</w:t>
      </w:r>
      <w:r>
        <w:rPr/>
        <w:t>对于精准治疗极为重要。</w:t>
      </w:r>
    </w:p>
    <w:p>
      <w:pPr>
        <w:pStyle w:val="BodyText"/>
        <w:spacing w:line="297" w:lineRule="auto" w:before="11"/>
        <w:ind w:right="268" w:firstLine="480"/>
        <w:jc w:val="both"/>
      </w:pPr>
      <w:r>
        <w:rPr>
          <w:spacing w:val="-4"/>
        </w:rPr>
        <w:t>鲍春德团队联合张晓明课题组利用复杂流式细胞技术和多色免疫组化技术，发现新发未</w:t>
      </w:r>
      <w:r>
        <w:rPr>
          <w:spacing w:val="-19"/>
        </w:rPr>
        <w:t>治疗的 </w:t>
      </w:r>
      <w:r>
        <w:rPr/>
        <w:t>SLE</w:t>
      </w:r>
      <w:r>
        <w:rPr>
          <w:spacing w:val="-11"/>
        </w:rPr>
        <w:t> 患者外周血中存在一群非典型记忆性 </w:t>
      </w:r>
      <w:r>
        <w:rPr/>
        <w:t>B</w:t>
      </w:r>
      <w:r>
        <w:rPr>
          <w:spacing w:val="-20"/>
        </w:rPr>
        <w:t> 细胞</w:t>
      </w:r>
      <w:r>
        <w:rPr/>
        <w:t>（AtMs)比例上升的现象。这群细胞</w:t>
      </w:r>
      <w:r>
        <w:rPr>
          <w:spacing w:val="-9"/>
        </w:rPr>
        <w:t>具有独特的细胞表型、分子和功能特征，与 </w:t>
      </w:r>
      <w:r>
        <w:rPr/>
        <w:t>SLE</w:t>
      </w:r>
      <w:r>
        <w:rPr>
          <w:spacing w:val="-11"/>
        </w:rPr>
        <w:t> 疾病活动高度正相关，并在狼疮肾炎患者肾</w:t>
      </w:r>
      <w:r>
        <w:rPr>
          <w:spacing w:val="-16"/>
        </w:rPr>
        <w:t>组织中高度浸润，提示 </w:t>
      </w:r>
      <w:r>
        <w:rPr/>
        <w:t>AtMs</w:t>
      </w:r>
      <w:r>
        <w:rPr>
          <w:spacing w:val="-11"/>
        </w:rPr>
        <w:t> 是一群具有致病特征的狼疮特异性 </w:t>
      </w:r>
      <w:r>
        <w:rPr/>
        <w:t>B</w:t>
      </w:r>
      <w:r>
        <w:rPr>
          <w:spacing w:val="-8"/>
        </w:rPr>
        <w:t> 细胞。应用高通量测序技</w:t>
      </w:r>
      <w:r>
        <w:rPr>
          <w:spacing w:val="-9"/>
        </w:rPr>
        <w:t>术进行深入研究后发现，</w:t>
      </w:r>
      <w:r>
        <w:rPr>
          <w:spacing w:val="-15"/>
        </w:rPr>
        <w:t>AtMs</w:t>
      </w:r>
      <w:r>
        <w:rPr>
          <w:spacing w:val="-12"/>
        </w:rPr>
        <w:t> 中存在雷帕霉素靶蛋白复合物 </w:t>
      </w:r>
      <w:r>
        <w:rPr>
          <w:spacing w:val="-17"/>
        </w:rPr>
        <w:t>1（mTORC1）</w:t>
      </w:r>
      <w:r>
        <w:rPr>
          <w:spacing w:val="-2"/>
        </w:rPr>
        <w:t>信号通路高度活化。</w:t>
      </w:r>
    </w:p>
    <w:p>
      <w:pPr>
        <w:pStyle w:val="BodyText"/>
        <w:spacing w:line="297" w:lineRule="auto"/>
        <w:ind w:right="386" w:firstLine="480"/>
        <w:jc w:val="both"/>
      </w:pPr>
      <w:r>
        <w:rPr>
          <w:spacing w:val="-2"/>
        </w:rPr>
        <w:t>雷帕霉素是智利复活岛土壤中发现的一种由土壤链霉菌分泌的代谢物，是 </w:t>
      </w:r>
      <w:r>
        <w:rPr/>
        <w:t>mTORC1</w:t>
      </w:r>
      <w:r>
        <w:rPr>
          <w:spacing w:val="-20"/>
        </w:rPr>
        <w:t> 特异</w:t>
      </w:r>
      <w:r>
        <w:rPr>
          <w:spacing w:val="-15"/>
        </w:rPr>
        <w:t>性抑制剂，目前在临床上主要用于器官移植后的抗排斥反应。既往研究发现，对一些传统治</w:t>
      </w:r>
      <w:r>
        <w:rPr>
          <w:spacing w:val="-6"/>
        </w:rPr>
        <w:t>疗效果不佳的活动性 </w:t>
      </w:r>
      <w:r>
        <w:rPr/>
        <w:t>SLE</w:t>
      </w:r>
      <w:r>
        <w:rPr>
          <w:spacing w:val="-15"/>
        </w:rPr>
        <w:t> 患者，雷帕霉素可通过影响外周血中 </w:t>
      </w:r>
      <w:r>
        <w:rPr/>
        <w:t>T</w:t>
      </w:r>
      <w:r>
        <w:rPr>
          <w:spacing w:val="-12"/>
        </w:rPr>
        <w:t> 细胞不同亚群的比例，降低</w:t>
      </w:r>
      <w:r>
        <w:rPr>
          <w:spacing w:val="-2"/>
        </w:rPr>
        <w:t>患者疾病活动度，改善疾病病情。本研究发现，应用雷帕霉素可有效阻断 </w:t>
      </w:r>
      <w:r>
        <w:rPr/>
        <w:t>AtMs</w:t>
      </w:r>
      <w:r>
        <w:rPr>
          <w:spacing w:val="-10"/>
        </w:rPr>
        <w:t> 生成，并可</w:t>
      </w:r>
    </w:p>
    <w:p>
      <w:pPr>
        <w:pStyle w:val="BodyText"/>
        <w:spacing w:line="259" w:lineRule="auto"/>
        <w:ind w:right="386"/>
        <w:jc w:val="both"/>
        <w:rPr>
          <w:rFonts w:ascii="Meiryo" w:eastAsia="Meiryo" w:hint="eastAsia"/>
          <w:b/>
        </w:rPr>
      </w:pPr>
      <w:r>
        <w:rPr>
          <w:spacing w:val="-13"/>
        </w:rPr>
        <w:t>有效抑制 </w:t>
      </w:r>
      <w:r>
        <w:rPr/>
        <w:t>AtMs</w:t>
      </w:r>
      <w:r>
        <w:rPr>
          <w:spacing w:val="-17"/>
        </w:rPr>
        <w:t> 分化形成浆细胞和分泌自身抗体，表明阻断 </w:t>
      </w:r>
      <w:r>
        <w:rPr/>
        <w:t>mTORC1</w:t>
      </w:r>
      <w:r>
        <w:rPr>
          <w:spacing w:val="-9"/>
        </w:rPr>
        <w:t> 通路是有效清除体内致病</w:t>
      </w:r>
      <w:r>
        <w:rPr>
          <w:spacing w:val="43"/>
        </w:rPr>
        <w:t>性</w:t>
      </w:r>
      <w:r>
        <w:rPr/>
        <w:t>B</w:t>
      </w:r>
      <w:r>
        <w:rPr>
          <w:spacing w:val="-39"/>
        </w:rPr>
        <w:t> 细胞 </w:t>
      </w:r>
      <w:r>
        <w:rPr/>
        <w:t>AtMs</w:t>
      </w:r>
      <w:r>
        <w:rPr>
          <w:spacing w:val="-18"/>
        </w:rPr>
        <w:t> 的重要可行策略，进一步提示雷帕霉素可能是 </w:t>
      </w:r>
      <w:r>
        <w:rPr/>
        <w:t>SLE</w:t>
      </w:r>
      <w:r>
        <w:rPr>
          <w:spacing w:val="-19"/>
        </w:rPr>
        <w:t> 新的潜在有效治疗药物。</w:t>
      </w:r>
      <w:r>
        <w:rPr>
          <w:rFonts w:ascii="Meiryo" w:eastAsia="Meiryo" w:hint="eastAsia"/>
          <w:b/>
          <w:color w:val="0033CC"/>
          <w:spacing w:val="-8"/>
        </w:rPr>
        <w:t>[返</w:t>
      </w:r>
    </w:p>
    <w:p>
      <w:pPr>
        <w:pStyle w:val="Heading3"/>
        <w:spacing w:line="343" w:lineRule="exact"/>
        <w:ind w:left="277"/>
        <w:rPr>
          <w:rFonts w:ascii="Meiryo" w:eastAsia="Meiryo" w:hint="eastAsia"/>
        </w:rPr>
      </w:pPr>
      <w:r>
        <w:rPr>
          <w:rFonts w:ascii="Meiryo" w:eastAsia="Meiryo" w:hint="eastAsia"/>
          <w:color w:val="0033CC"/>
        </w:rPr>
        <w:t>回目次]</w:t>
      </w:r>
    </w:p>
    <w:p>
      <w:pPr>
        <w:spacing w:after="0" w:line="343" w:lineRule="exact"/>
        <w:rPr>
          <w:rFonts w:ascii="Meiryo" w:eastAsia="Meiryo" w:hint="eastAsia"/>
        </w:rPr>
        <w:sectPr>
          <w:type w:val="continuous"/>
          <w:pgSz w:w="11910" w:h="16850"/>
          <w:pgMar w:top="1100" w:bottom="1020" w:left="1000" w:right="740"/>
        </w:sectPr>
      </w:pPr>
    </w:p>
    <w:p>
      <w:pPr>
        <w:pStyle w:val="Heading2"/>
        <w:spacing w:line="395" w:lineRule="exact"/>
        <w:ind w:left="2937"/>
      </w:pPr>
      <w:bookmarkStart w:name="_TOC_250024" w:id="1"/>
      <w:bookmarkEnd w:id="1"/>
      <w:r>
        <w:rPr>
          <w:spacing w:val="-2"/>
        </w:rPr>
        <w:t>慢性肾脏病抗炎治疗有新靶点</w:t>
      </w:r>
    </w:p>
    <w:p>
      <w:pPr>
        <w:pStyle w:val="BodyText"/>
        <w:ind w:left="0"/>
        <w:rPr>
          <w:b/>
        </w:rPr>
      </w:pPr>
      <w:r>
        <w:rPr/>
        <w:br w:type="column"/>
      </w:r>
      <w:r>
        <w:rPr>
          <w:b/>
        </w:rPr>
      </w:r>
    </w:p>
    <w:p>
      <w:pPr>
        <w:pStyle w:val="BodyText"/>
        <w:spacing w:before="2"/>
        <w:ind w:left="0"/>
        <w:rPr>
          <w:b/>
          <w:sz w:val="18"/>
        </w:rPr>
      </w:pPr>
    </w:p>
    <w:p>
      <w:pPr>
        <w:spacing w:before="0"/>
        <w:ind w:left="697"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pgSz w:w="11910" w:h="16850"/>
          <w:pgMar w:header="906" w:footer="527" w:top="1100" w:bottom="800" w:left="1000" w:right="740"/>
          <w:cols w:num="2" w:equalWidth="0">
            <w:col w:w="7112" w:space="40"/>
            <w:col w:w="3018"/>
          </w:cols>
        </w:sectPr>
      </w:pPr>
    </w:p>
    <w:p>
      <w:pPr>
        <w:pStyle w:val="BodyText"/>
        <w:spacing w:line="297" w:lineRule="auto" w:before="96"/>
        <w:ind w:right="387" w:firstLine="480"/>
        <w:jc w:val="both"/>
      </w:pPr>
      <w:r>
        <w:rPr>
          <w:spacing w:val="-12"/>
        </w:rPr>
        <w:t>近日，《自然》旗下期刊《细胞死亡与分化》在线发表了东南大学肾脏病研究所、东南</w:t>
      </w:r>
      <w:r>
        <w:rPr>
          <w:spacing w:val="-6"/>
        </w:rPr>
        <w:t>大学附属中大医院肾脏病学专家刘必成、吕林莉教授课题组的一项研究成果。该研究揭示了</w:t>
      </w:r>
      <w:r>
        <w:rPr/>
        <w:t>肾小管间质炎症形成的新机制。</w:t>
      </w:r>
    </w:p>
    <w:p>
      <w:pPr>
        <w:pStyle w:val="BodyText"/>
        <w:spacing w:line="297" w:lineRule="auto"/>
        <w:ind w:right="387" w:firstLine="480"/>
        <w:jc w:val="both"/>
      </w:pPr>
      <w:r>
        <w:rPr>
          <w:spacing w:val="-11"/>
        </w:rPr>
        <w:t>据介绍，肾小管间质炎症是各种原因引起的急慢性肾脏病常见的病理改变，其病变程度</w:t>
      </w:r>
      <w:r>
        <w:rPr>
          <w:spacing w:val="-9"/>
        </w:rPr>
        <w:t>直接影响肾脏病进展速度。既往研究表明，肾小管上皮细胞受损后可能通过复杂的机制进行</w:t>
      </w:r>
      <w:r>
        <w:rPr/>
        <w:t>细胞间信号传递，从而启动和放大炎症过程，但是其确切机制仍不十分清楚。</w:t>
      </w:r>
    </w:p>
    <w:p>
      <w:pPr>
        <w:pStyle w:val="BodyText"/>
        <w:spacing w:line="297" w:lineRule="auto"/>
        <w:ind w:right="388" w:firstLine="480"/>
      </w:pPr>
      <w:r>
        <w:rPr>
          <w:spacing w:val="-3"/>
        </w:rPr>
        <w:t>在该项研究中，课题组首次通过对肾脏损伤模型的外泌体进行 </w:t>
      </w:r>
      <w:r>
        <w:rPr/>
        <w:t>miRNA</w:t>
      </w:r>
      <w:r>
        <w:rPr>
          <w:spacing w:val="-8"/>
        </w:rPr>
        <w:t> 芯片筛查，发现miRNA-19b-3p 在损伤小管上皮细胞分泌的外泌体中装配显著增加。进一步研究揭示，小管</w:t>
      </w:r>
      <w:r>
        <w:rPr>
          <w:spacing w:val="-19"/>
        </w:rPr>
        <w:t>上皮细胞 </w:t>
      </w:r>
      <w:r>
        <w:rPr/>
        <w:t>miRNA-19b-3p</w:t>
      </w:r>
      <w:r>
        <w:rPr>
          <w:spacing w:val="-17"/>
        </w:rPr>
        <w:t> 可以被间质巨噬细胞摄取，通过靶向抑制 </w:t>
      </w:r>
      <w:r>
        <w:rPr/>
        <w:t>NF-</w:t>
      </w:r>
      <w:r>
        <w:rPr>
          <w:rFonts w:ascii="Arial" w:hAnsi="Arial" w:eastAsia="Arial"/>
        </w:rPr>
        <w:t>κ</w:t>
      </w:r>
      <w:r>
        <w:rPr>
          <w:rFonts w:ascii="Arial" w:hAnsi="Arial" w:eastAsia="Arial"/>
          <w:spacing w:val="52"/>
        </w:rPr>
        <w:t> </w:t>
      </w:r>
      <w:r>
        <w:rPr/>
        <w:t>B</w:t>
      </w:r>
      <w:r>
        <w:rPr>
          <w:spacing w:val="-9"/>
        </w:rPr>
        <w:t> 信号通路的抑制蛋</w:t>
      </w:r>
      <w:r>
        <w:rPr>
          <w:spacing w:val="-31"/>
        </w:rPr>
        <w:t>白 </w:t>
      </w:r>
      <w:r>
        <w:rPr/>
        <w:t>SOCS-1，促进巨噬细胞炎症表型的转化及小管间质炎症的发生。在临床转化研究中，他</w:t>
      </w:r>
      <w:r>
        <w:rPr>
          <w:spacing w:val="-2"/>
        </w:rPr>
        <w:t>们分离临床糖尿病肾病患者尿液, 发现尿液中来自小管上皮细胞的外泌体 </w:t>
      </w:r>
      <w:r>
        <w:rPr/>
        <w:t>miRNA-19b-3p</w:t>
      </w:r>
      <w:r>
        <w:rPr>
          <w:spacing w:val="-30"/>
        </w:rPr>
        <w:t> 装配显著增加，并与肾脏间质炎症密切相关。</w:t>
      </w:r>
    </w:p>
    <w:p>
      <w:pPr>
        <w:pStyle w:val="BodyText"/>
        <w:spacing w:line="278" w:lineRule="auto"/>
        <w:ind w:right="390" w:firstLine="480"/>
        <w:jc w:val="both"/>
        <w:rPr>
          <w:rFonts w:ascii="Meiryo" w:eastAsia="Meiryo" w:hint="eastAsia"/>
          <w:b/>
        </w:rPr>
      </w:pPr>
      <w:r>
        <w:rPr>
          <w:spacing w:val="-2"/>
        </w:rPr>
        <w:t>该研究从细胞、动物、临床病例多层面，首次发现小管上皮细胞外泌体 </w:t>
      </w:r>
      <w:r>
        <w:rPr/>
        <w:t>miR-19b-3p</w:t>
      </w:r>
      <w:r>
        <w:rPr>
          <w:spacing w:val="-30"/>
        </w:rPr>
        <w:t> 通</w:t>
      </w:r>
      <w:r>
        <w:rPr>
          <w:spacing w:val="-28"/>
        </w:rPr>
        <w:t>过介导巨噬细胞表型转化而发挥关键的致炎作用，为临床慢性肾脏病抗炎治疗提供了新的治</w:t>
      </w:r>
      <w:r>
        <w:rPr/>
        <w:t>疗靶点。</w:t>
      </w:r>
      <w:r>
        <w:rPr>
          <w:rFonts w:ascii="Meiryo" w:eastAsia="Meiryo" w:hint="eastAsia"/>
          <w:b/>
          <w:color w:val="0033CC"/>
        </w:rPr>
        <w:t>[返回目次]</w:t>
      </w:r>
    </w:p>
    <w:p>
      <w:pPr>
        <w:pStyle w:val="Heading2"/>
        <w:spacing w:before="104"/>
        <w:ind w:right="237"/>
        <w:jc w:val="center"/>
      </w:pPr>
      <w:bookmarkStart w:name="_TOC_250023" w:id="2"/>
      <w:bookmarkEnd w:id="2"/>
      <w:r>
        <w:rPr/>
        <w:t>青少年特发性脊柱侧凸重要致病机制锁定</w:t>
      </w:r>
    </w:p>
    <w:p>
      <w:pPr>
        <w:pStyle w:val="Heading3"/>
        <w:spacing w:before="147"/>
        <w:ind w:left="0" w:right="388"/>
        <w:jc w:val="right"/>
        <w:rPr>
          <w:rFonts w:ascii="楷体" w:eastAsia="楷体" w:hint="eastAsia"/>
        </w:rPr>
      </w:pPr>
      <w:r>
        <w:rPr>
          <w:rFonts w:ascii="楷体" w:eastAsia="楷体" w:hint="eastAsia"/>
          <w:color w:val="FF0000"/>
          <w:w w:val="95"/>
        </w:rPr>
        <w:t>（来源：健康报）</w:t>
      </w:r>
    </w:p>
    <w:p>
      <w:pPr>
        <w:pStyle w:val="BodyText"/>
        <w:spacing w:line="297" w:lineRule="auto" w:before="96"/>
        <w:ind w:right="406" w:firstLine="480"/>
      </w:pPr>
      <w:r>
        <w:rPr>
          <w:spacing w:val="-4"/>
        </w:rPr>
        <w:t>北京协和医院骨科庄乾宇团队通过 </w:t>
      </w:r>
      <w:r>
        <w:rPr/>
        <w:t>12</w:t>
      </w:r>
      <w:r>
        <w:rPr>
          <w:spacing w:val="-9"/>
        </w:rPr>
        <w:t> 年系列研究，提出并证实青少年特发性脊柱侧凸</w:t>
      </w:r>
      <w:r>
        <w:rPr/>
        <w:t>患者骨髓间充质干细胞异常可能是疾病发生的核心机制，锁定长链非编码RNA——“LncAIS”</w:t>
      </w:r>
      <w:r>
        <w:rPr>
          <w:spacing w:val="-1"/>
        </w:rPr>
        <w:t>在该疾病发生发展中的作用，有望为青少年特发性脊柱侧凸的早期诊断</w:t>
      </w:r>
      <w:r>
        <w:rPr/>
        <w:t>及遗传咨询等提供理论依据。</w:t>
      </w:r>
    </w:p>
    <w:p>
      <w:pPr>
        <w:pStyle w:val="BodyText"/>
        <w:spacing w:line="297" w:lineRule="auto"/>
        <w:ind w:right="387" w:firstLine="480"/>
        <w:jc w:val="both"/>
      </w:pPr>
      <w:r>
        <w:rPr>
          <w:spacing w:val="-6"/>
        </w:rPr>
        <w:t>青少年特发性脊柱侧凸，英文简称 </w:t>
      </w:r>
      <w:r>
        <w:rPr>
          <w:spacing w:val="-4"/>
        </w:rPr>
        <w:t>AIS</w:t>
      </w:r>
      <w:r>
        <w:rPr>
          <w:spacing w:val="-8"/>
        </w:rPr>
        <w:t>，发病率约占青少年的 </w:t>
      </w:r>
      <w:r>
        <w:rPr/>
        <w:t>2%～3%</w:t>
      </w:r>
      <w:r>
        <w:rPr>
          <w:spacing w:val="-15"/>
        </w:rPr>
        <w:t>。</w:t>
      </w:r>
      <w:r>
        <w:rPr/>
        <w:t>AIS</w:t>
      </w:r>
      <w:r>
        <w:rPr>
          <w:spacing w:val="-13"/>
        </w:rPr>
        <w:t> 患者脊柱的</w:t>
      </w:r>
      <w:r>
        <w:rPr>
          <w:spacing w:val="-7"/>
        </w:rPr>
        <w:t>每一个单独椎体都发育正常，但拼装起来脊柱就呈现出神秘的螺旋样排列方式，严重危害青</w:t>
      </w:r>
      <w:r>
        <w:rPr/>
        <w:t>少年的身心健康。</w:t>
      </w:r>
    </w:p>
    <w:p>
      <w:pPr>
        <w:pStyle w:val="BodyText"/>
        <w:spacing w:line="297" w:lineRule="auto"/>
        <w:ind w:right="387" w:firstLine="480"/>
      </w:pPr>
      <w:r>
        <w:rPr>
          <w:spacing w:val="-5"/>
        </w:rPr>
        <w:t>骨髓间充质干细胞是哺乳动物骨髓基质中的一种具有分化成骨、成软骨、成脂肪作用的细胞亚群。</w:t>
      </w:r>
      <w:r>
        <w:rPr/>
        <w:t>AIS</w:t>
      </w:r>
      <w:r>
        <w:rPr>
          <w:spacing w:val="-10"/>
        </w:rPr>
        <w:t> 患者的骨量减低、生长发育异常等特点符合骨髓间充质干细胞功能异常导致</w:t>
      </w:r>
      <w:r>
        <w:rPr/>
        <w:t>骨骼发育不平衡的表现。协和骨科团队结合多年临床经验，提出骨髓间充质干细胞异常是AIS</w:t>
      </w:r>
      <w:r>
        <w:rPr>
          <w:spacing w:val="-8"/>
        </w:rPr>
        <w:t> 疾病发生发展及伴发骨量减低临床现象的重要机制这一假说。</w:t>
      </w:r>
    </w:p>
    <w:p>
      <w:pPr>
        <w:pStyle w:val="BodyText"/>
        <w:spacing w:line="297" w:lineRule="auto"/>
        <w:ind w:right="387" w:firstLine="480"/>
        <w:jc w:val="both"/>
      </w:pPr>
      <w:r>
        <w:rPr>
          <w:spacing w:val="-31"/>
        </w:rPr>
        <w:t>自 </w:t>
      </w:r>
      <w:r>
        <w:rPr/>
        <w:t>2006</w:t>
      </w:r>
      <w:r>
        <w:rPr>
          <w:spacing w:val="-12"/>
        </w:rPr>
        <w:t> 年开始，研究团队通过对 </w:t>
      </w:r>
      <w:r>
        <w:rPr/>
        <w:t>AIS</w:t>
      </w:r>
      <w:r>
        <w:rPr>
          <w:spacing w:val="-8"/>
        </w:rPr>
        <w:t> 患者与健康人在不同层面的对比研究，在国际上</w:t>
      </w:r>
      <w:r>
        <w:rPr>
          <w:spacing w:val="-17"/>
        </w:rPr>
        <w:t>首次构建出 </w:t>
      </w:r>
      <w:r>
        <w:rPr/>
        <w:t>AIS</w:t>
      </w:r>
      <w:r>
        <w:rPr>
          <w:spacing w:val="-17"/>
        </w:rPr>
        <w:t> 干细胞的差异蛋白谱，并提出某些关键蛋白对 </w:t>
      </w:r>
      <w:r>
        <w:rPr/>
        <w:t>AIS</w:t>
      </w:r>
      <w:r>
        <w:rPr>
          <w:spacing w:val="-9"/>
        </w:rPr>
        <w:t> 的发生发展可能起到重要</w:t>
      </w:r>
      <w:r>
        <w:rPr>
          <w:spacing w:val="-10"/>
        </w:rPr>
        <w:t>作用。通过进一步全面整合多维度证据，与中国科学院范祖森教授实验室广泛深入合作，在</w:t>
      </w:r>
      <w:r>
        <w:rPr/>
        <w:t>AIS</w:t>
      </w:r>
      <w:r>
        <w:rPr>
          <w:spacing w:val="-11"/>
        </w:rPr>
        <w:t> 患者差异数据的核心位置锁定一条新的长链非编码 </w:t>
      </w:r>
      <w:r>
        <w:rPr/>
        <w:t>RNA(ENST00000453347)</w:t>
      </w:r>
      <w:r>
        <w:rPr>
          <w:spacing w:val="-21"/>
        </w:rPr>
        <w:t>，并最终证实</w:t>
      </w:r>
      <w:r>
        <w:rPr>
          <w:spacing w:val="-9"/>
        </w:rPr>
        <w:t>该长链非编码 </w:t>
      </w:r>
      <w:r>
        <w:rPr/>
        <w:t>RNA</w:t>
      </w:r>
      <w:r>
        <w:rPr>
          <w:spacing w:val="-40"/>
        </w:rPr>
        <w:t> 在 </w:t>
      </w:r>
      <w:r>
        <w:rPr/>
        <w:t>AIS</w:t>
      </w:r>
      <w:r>
        <w:rPr>
          <w:spacing w:val="-14"/>
        </w:rPr>
        <w:t> 患者的骨髓间充质干细胞表达显著下降，从而导致其不能正常进行成骨分化。这一关键通路的确定解释了 </w:t>
      </w:r>
      <w:r>
        <w:rPr/>
        <w:t>AIS</w:t>
      </w:r>
      <w:r>
        <w:rPr>
          <w:spacing w:val="-9"/>
        </w:rPr>
        <w:t> 患者普遍伴发的骨密度下降和骨骼发育不平衡现</w:t>
      </w:r>
      <w:r>
        <w:rPr>
          <w:spacing w:val="-5"/>
        </w:rPr>
        <w:t>象，并可能作为重要因素参与 </w:t>
      </w:r>
      <w:r>
        <w:rPr/>
        <w:t>AIS</w:t>
      </w:r>
      <w:r>
        <w:rPr>
          <w:spacing w:val="-8"/>
        </w:rPr>
        <w:t> 疾病的发生与发展。</w:t>
      </w:r>
    </w:p>
    <w:p>
      <w:pPr>
        <w:spacing w:after="0" w:line="297" w:lineRule="auto"/>
        <w:jc w:val="both"/>
        <w:sectPr>
          <w:type w:val="continuous"/>
          <w:pgSz w:w="11910" w:h="16850"/>
          <w:pgMar w:top="1100" w:bottom="1020" w:left="1000" w:right="740"/>
        </w:sectPr>
      </w:pPr>
    </w:p>
    <w:p>
      <w:pPr>
        <w:pStyle w:val="BodyText"/>
        <w:spacing w:line="278" w:lineRule="auto" w:before="65"/>
        <w:ind w:right="405" w:firstLine="480"/>
        <w:jc w:val="both"/>
        <w:rPr>
          <w:rFonts w:ascii="Meiryo" w:eastAsia="Meiryo" w:hint="eastAsia"/>
          <w:b/>
        </w:rPr>
      </w:pPr>
      <w:r>
        <w:rPr>
          <w:spacing w:val="-3"/>
        </w:rPr>
        <w:t>骨科团队在国际上首次公开以疾病名称命名这条长链非编码 </w:t>
      </w:r>
      <w:r>
        <w:rPr/>
        <w:t>RNA</w:t>
      </w:r>
      <w:r>
        <w:rPr>
          <w:spacing w:val="-40"/>
        </w:rPr>
        <w:t> 为 </w:t>
      </w:r>
      <w:r>
        <w:rPr/>
        <w:t>LncAIS，研究系列</w:t>
      </w:r>
      <w:r>
        <w:rPr>
          <w:spacing w:val="-8"/>
        </w:rPr>
        <w:t>成果先后发表在 </w:t>
      </w:r>
      <w:r>
        <w:rPr/>
        <w:t>Cell Death and Differentiation、Spine、The Spine Journal</w:t>
      </w:r>
      <w:r>
        <w:rPr>
          <w:spacing w:val="-16"/>
        </w:rPr>
        <w:t> 等杂志。</w:t>
      </w:r>
      <w:r>
        <w:rPr>
          <w:spacing w:val="-8"/>
        </w:rPr>
        <w:t>这一发现有望为 </w:t>
      </w:r>
      <w:r>
        <w:rPr/>
        <w:t>AIS</w:t>
      </w:r>
      <w:r>
        <w:rPr>
          <w:spacing w:val="-8"/>
        </w:rPr>
        <w:t> 的早期诊断和治疗提供新的标志物和干预靶点。</w:t>
      </w:r>
      <w:r>
        <w:rPr>
          <w:rFonts w:ascii="Meiryo" w:eastAsia="Meiryo" w:hint="eastAsia"/>
          <w:b/>
          <w:color w:val="0033CC"/>
        </w:rPr>
        <w:t>[返回目次]</w:t>
      </w:r>
    </w:p>
    <w:p>
      <w:pPr>
        <w:spacing w:after="0" w:line="278" w:lineRule="auto"/>
        <w:jc w:val="both"/>
        <w:rPr>
          <w:rFonts w:ascii="Meiryo" w:eastAsia="Meiryo" w:hint="eastAsia"/>
        </w:rPr>
        <w:sectPr>
          <w:pgSz w:w="11910" w:h="16850"/>
          <w:pgMar w:header="906" w:footer="527" w:top="1100" w:bottom="800" w:left="1000" w:right="740"/>
        </w:sectPr>
      </w:pPr>
    </w:p>
    <w:p>
      <w:pPr>
        <w:pStyle w:val="Heading2"/>
        <w:spacing w:before="118"/>
        <w:ind w:left="3258"/>
      </w:pPr>
      <w:bookmarkStart w:name="_TOC_250022" w:id="3"/>
      <w:bookmarkEnd w:id="3"/>
      <w:r>
        <w:rPr>
          <w:spacing w:val="-2"/>
        </w:rPr>
        <w:t>合胞病毒疫苗研究有突破</w:t>
      </w:r>
    </w:p>
    <w:p>
      <w:pPr>
        <w:pStyle w:val="BodyText"/>
        <w:ind w:left="0"/>
        <w:rPr>
          <w:b/>
        </w:rPr>
      </w:pPr>
      <w:r>
        <w:rPr/>
        <w:br w:type="column"/>
      </w:r>
      <w:r>
        <w:rPr>
          <w:b/>
        </w:rPr>
      </w:r>
    </w:p>
    <w:p>
      <w:pPr>
        <w:pStyle w:val="BodyText"/>
        <w:spacing w:before="7"/>
        <w:ind w:left="0"/>
        <w:rPr>
          <w:b/>
          <w:sz w:val="28"/>
        </w:rPr>
      </w:pPr>
    </w:p>
    <w:p>
      <w:pPr>
        <w:pStyle w:val="Heading3"/>
        <w:ind w:left="1018"/>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00" w:right="740"/>
          <w:cols w:num="2" w:equalWidth="0">
            <w:col w:w="6790" w:space="40"/>
            <w:col w:w="3340"/>
          </w:cols>
        </w:sectPr>
      </w:pPr>
    </w:p>
    <w:p>
      <w:pPr>
        <w:pStyle w:val="BodyText"/>
        <w:spacing w:line="297" w:lineRule="auto" w:before="96"/>
        <w:ind w:right="387" w:firstLine="480"/>
        <w:jc w:val="both"/>
      </w:pPr>
      <w:r>
        <w:rPr/>
        <w:t>近日从中国科学院武汉分院获悉，中科院武汉病毒研究所/病毒学国家重点实验室肖庚</w:t>
      </w:r>
      <w:r>
        <w:rPr>
          <w:spacing w:val="-11"/>
        </w:rPr>
        <w:t>富研究组，在呼吸道合胞病毒疫苗研究方面取得重要进展。研究论文近日发表在国际学术期</w:t>
      </w:r>
      <w:r>
        <w:rPr/>
        <w:t>刊《抗病毒研究》上。</w:t>
      </w:r>
    </w:p>
    <w:p>
      <w:pPr>
        <w:pStyle w:val="BodyText"/>
        <w:spacing w:line="297" w:lineRule="auto"/>
        <w:ind w:right="387" w:firstLine="480"/>
        <w:jc w:val="both"/>
      </w:pPr>
      <w:r>
        <w:rPr>
          <w:spacing w:val="-2"/>
        </w:rPr>
        <w:t>呼吸道合胞病毒是婴幼儿肺炎和支气管炎的首要病毒病因。资料显示，</w:t>
      </w:r>
      <w:r>
        <w:rPr>
          <w:spacing w:val="-11"/>
        </w:rPr>
        <w:t>3 岁以内几乎所</w:t>
      </w:r>
      <w:r>
        <w:rPr>
          <w:spacing w:val="-6"/>
        </w:rPr>
        <w:t>有儿童都罹患过至少一次呼吸道合胞病毒感染，该病毒具有高度传染性，可在人与人之间传</w:t>
      </w:r>
      <w:r>
        <w:rPr>
          <w:spacing w:val="-11"/>
        </w:rPr>
        <w:t>播。潜伏期 </w:t>
      </w:r>
      <w:r>
        <w:rPr/>
        <w:t>2</w:t>
      </w:r>
      <w:r>
        <w:rPr>
          <w:spacing w:val="-30"/>
        </w:rPr>
        <w:t> 天</w:t>
      </w:r>
      <w:r>
        <w:rPr/>
        <w:t>～8</w:t>
      </w:r>
      <w:r>
        <w:rPr>
          <w:spacing w:val="-14"/>
        </w:rPr>
        <w:t> 天，通常感染病毒 </w:t>
      </w:r>
      <w:r>
        <w:rPr/>
        <w:t>4</w:t>
      </w:r>
      <w:r>
        <w:rPr>
          <w:spacing w:val="-30"/>
        </w:rPr>
        <w:t> 天</w:t>
      </w:r>
      <w:r>
        <w:rPr/>
        <w:t>～6</w:t>
      </w:r>
      <w:r>
        <w:rPr>
          <w:spacing w:val="-8"/>
        </w:rPr>
        <w:t> 天后出现症状。研究人员介绍，常规福尔马</w:t>
      </w:r>
      <w:r>
        <w:rPr>
          <w:spacing w:val="-16"/>
        </w:rPr>
        <w:t>林灭活疫苗在 </w:t>
      </w:r>
      <w:r>
        <w:rPr/>
        <w:t>2</w:t>
      </w:r>
      <w:r>
        <w:rPr>
          <w:spacing w:val="-30"/>
        </w:rPr>
        <w:t> 月</w:t>
      </w:r>
      <w:r>
        <w:rPr/>
        <w:t>～7</w:t>
      </w:r>
      <w:r>
        <w:rPr>
          <w:spacing w:val="-12"/>
        </w:rPr>
        <w:t> 月龄婴儿引起疫苗依赖的感染增强，被认为是由于灭活疫苗诱发的中</w:t>
      </w:r>
      <w:r>
        <w:rPr>
          <w:spacing w:val="-7"/>
        </w:rPr>
        <w:t>和性抗体活性过低、诱发过激的 </w:t>
      </w:r>
      <w:r>
        <w:rPr/>
        <w:t>Th2</w:t>
      </w:r>
      <w:r>
        <w:rPr>
          <w:spacing w:val="-9"/>
        </w:rPr>
        <w:t> 型细胞因子造成免疫损伤。</w:t>
      </w:r>
      <w:r>
        <w:rPr/>
        <w:t>F</w:t>
      </w:r>
      <w:r>
        <w:rPr>
          <w:spacing w:val="-9"/>
        </w:rPr>
        <w:t> 蛋白是呼吸道合胞病毒囊</w:t>
      </w:r>
      <w:r>
        <w:rPr>
          <w:spacing w:val="-10"/>
        </w:rPr>
        <w:t>膜蛋白之一，在病毒感染过程中发挥膜融合作用，是最有希望的呼吸道合胞病毒抗原。它存</w:t>
      </w:r>
      <w:r>
        <w:rPr/>
        <w:t>在融合前和融合后两种构象。</w:t>
      </w:r>
    </w:p>
    <w:p>
      <w:pPr>
        <w:pStyle w:val="BodyText"/>
        <w:spacing w:line="295" w:lineRule="auto"/>
        <w:ind w:right="390" w:firstLine="480"/>
        <w:jc w:val="both"/>
      </w:pPr>
      <w:r>
        <w:rPr>
          <w:spacing w:val="-3"/>
        </w:rPr>
        <w:t>在本项研究中，肖庚富研究组将呼吸道合胞病毒 </w:t>
      </w:r>
      <w:r>
        <w:rPr/>
        <w:t>F</w:t>
      </w:r>
      <w:r>
        <w:rPr>
          <w:spacing w:val="-14"/>
        </w:rPr>
        <w:t> 蛋白基因与小鼠 </w:t>
      </w:r>
      <w:r>
        <w:rPr/>
        <w:t>IgG2a</w:t>
      </w:r>
      <w:r>
        <w:rPr>
          <w:spacing w:val="-30"/>
        </w:rPr>
        <w:t> 抗体 </w:t>
      </w:r>
      <w:r>
        <w:rPr/>
        <w:t>Fc</w:t>
      </w:r>
      <w:r>
        <w:rPr>
          <w:spacing w:val="-20"/>
        </w:rPr>
        <w:t> 段基</w:t>
      </w:r>
      <w:r>
        <w:rPr>
          <w:spacing w:val="-22"/>
        </w:rPr>
        <w:t>因融合，并在哺乳动物细胞中表达，其产物 </w:t>
      </w:r>
      <w:r>
        <w:rPr/>
        <w:t>F-Fc</w:t>
      </w:r>
      <w:r>
        <w:rPr>
          <w:spacing w:val="-8"/>
        </w:rPr>
        <w:t> 为六聚体形式。攻毒保护试验证实，</w:t>
      </w:r>
      <w:r>
        <w:rPr/>
        <w:t>F-Fc </w:t>
      </w:r>
      <w:r>
        <w:rPr>
          <w:spacing w:val="-7"/>
        </w:rPr>
        <w:t>免疫显著降低小鼠肺部病理损伤并清除病毒，为最终研制抗呼吸道合胞病毒疫苗并防控婴幼</w:t>
      </w:r>
    </w:p>
    <w:p>
      <w:pPr>
        <w:spacing w:line="348" w:lineRule="exact" w:before="0"/>
        <w:ind w:left="277" w:right="0" w:firstLine="0"/>
        <w:jc w:val="left"/>
        <w:rPr>
          <w:rFonts w:ascii="Meiryo" w:eastAsia="Meiryo" w:hint="eastAsia"/>
          <w:b/>
          <w:sz w:val="24"/>
        </w:rPr>
      </w:pPr>
      <w:r>
        <w:rPr>
          <w:sz w:val="24"/>
        </w:rPr>
        <w:t>儿肺炎等提供了新的思路。</w:t>
      </w:r>
      <w:r>
        <w:rPr>
          <w:rFonts w:ascii="Meiryo" w:eastAsia="Meiryo" w:hint="eastAsia"/>
          <w:b/>
          <w:color w:val="0033CC"/>
          <w:sz w:val="24"/>
        </w:rPr>
        <w:t>[返回目次]</w:t>
      </w:r>
    </w:p>
    <w:p>
      <w:pPr>
        <w:spacing w:after="0" w:line="348" w:lineRule="exact"/>
        <w:jc w:val="left"/>
        <w:rPr>
          <w:rFonts w:ascii="Meiryo" w:eastAsia="Meiryo" w:hint="eastAsia"/>
          <w:sz w:val="24"/>
        </w:rPr>
        <w:sectPr>
          <w:type w:val="continuous"/>
          <w:pgSz w:w="11910" w:h="16850"/>
          <w:pgMar w:top="1100" w:bottom="1020" w:left="1000" w:right="740"/>
        </w:sectPr>
      </w:pPr>
    </w:p>
    <w:p>
      <w:pPr>
        <w:pStyle w:val="BodyText"/>
        <w:spacing w:before="7"/>
        <w:ind w:left="0"/>
        <w:rPr>
          <w:rFonts w:ascii="Meiryo"/>
          <w:b/>
          <w:sz w:val="34"/>
        </w:rPr>
      </w:pPr>
    </w:p>
    <w:p>
      <w:pPr>
        <w:pStyle w:val="Heading2"/>
        <w:ind w:left="277"/>
      </w:pPr>
      <w:r>
        <w:rPr/>
        <w:t>【临床药师】</w:t>
      </w:r>
    </w:p>
    <w:p>
      <w:pPr>
        <w:pStyle w:val="Heading1"/>
        <w:spacing w:line="651" w:lineRule="exact"/>
        <w:jc w:val="left"/>
        <w:rPr>
          <w:u w:val="none"/>
        </w:rPr>
      </w:pPr>
      <w:bookmarkStart w:name="_TOC_250021" w:id="4"/>
      <w:r>
        <w:rPr>
          <w:b w:val="0"/>
          <w:u w:val="none"/>
        </w:rPr>
        <w:br w:type="column"/>
      </w:r>
      <w:r>
        <w:rPr>
          <w:rFonts w:ascii="Times New Roman" w:eastAsia="Times New Roman"/>
          <w:color w:val="008000"/>
          <w:spacing w:val="-110"/>
          <w:w w:val="99"/>
          <w:u w:val="thick" w:color="008000"/>
        </w:rPr>
        <w:t> </w:t>
      </w:r>
      <w:bookmarkEnd w:id="4"/>
      <w:r>
        <w:rPr>
          <w:color w:val="008000"/>
          <w:u w:val="thick" w:color="008000"/>
        </w:rPr>
        <w:t>合理用药</w:t>
      </w:r>
    </w:p>
    <w:p>
      <w:pPr>
        <w:spacing w:after="0" w:line="651" w:lineRule="exact"/>
        <w:jc w:val="left"/>
        <w:sectPr>
          <w:type w:val="continuous"/>
          <w:pgSz w:w="11910" w:h="16850"/>
          <w:pgMar w:top="1100" w:bottom="1020" w:left="1000" w:right="740"/>
          <w:cols w:num="2" w:equalWidth="0">
            <w:col w:w="2247" w:space="2141"/>
            <w:col w:w="5782"/>
          </w:cols>
        </w:sectPr>
      </w:pPr>
    </w:p>
    <w:p>
      <w:pPr>
        <w:pStyle w:val="BodyText"/>
        <w:spacing w:before="9"/>
        <w:ind w:left="0"/>
        <w:rPr>
          <w:rFonts w:ascii="华文宋体"/>
          <w:b/>
          <w:sz w:val="14"/>
        </w:rPr>
      </w:pPr>
    </w:p>
    <w:p>
      <w:pPr>
        <w:pStyle w:val="Heading2"/>
        <w:spacing w:before="54"/>
        <w:ind w:right="242"/>
        <w:jc w:val="center"/>
      </w:pPr>
      <w:bookmarkStart w:name="_TOC_250020" w:id="5"/>
      <w:bookmarkEnd w:id="5"/>
      <w:r>
        <w:rPr/>
        <w:t>药师处方权认知度和支持度的初步调查</w:t>
      </w:r>
    </w:p>
    <w:p>
      <w:pPr>
        <w:pStyle w:val="BodyText"/>
        <w:spacing w:line="302" w:lineRule="auto" w:before="148"/>
        <w:ind w:right="266" w:firstLine="4373"/>
        <w:rPr>
          <w:rFonts w:ascii="楷体" w:eastAsia="楷体" w:hint="eastAsia"/>
        </w:rPr>
      </w:pPr>
      <w:r>
        <w:rPr>
          <w:rFonts w:ascii="楷体" w:eastAsia="楷体" w:hint="eastAsia"/>
          <w:b/>
          <w:color w:val="FF0000"/>
        </w:rPr>
        <w:t>（来源：《中国医院药学杂志》2019</w:t>
      </w:r>
      <w:r>
        <w:rPr>
          <w:rFonts w:ascii="楷体" w:eastAsia="楷体" w:hint="eastAsia"/>
          <w:b/>
          <w:color w:val="FF0000"/>
          <w:spacing w:val="-30"/>
        </w:rPr>
        <w:t> 年第 </w:t>
      </w:r>
      <w:r>
        <w:rPr>
          <w:rFonts w:ascii="楷体" w:eastAsia="楷体" w:hint="eastAsia"/>
          <w:b/>
          <w:color w:val="FF0000"/>
        </w:rPr>
        <w:t>6</w:t>
      </w:r>
      <w:r>
        <w:rPr>
          <w:rFonts w:ascii="楷体" w:eastAsia="楷体" w:hint="eastAsia"/>
          <w:b/>
          <w:color w:val="FF0000"/>
          <w:spacing w:val="-31"/>
        </w:rPr>
        <w:t> 期</w:t>
      </w:r>
      <w:r>
        <w:rPr>
          <w:rFonts w:ascii="楷体" w:eastAsia="楷体" w:hint="eastAsia"/>
          <w:b/>
          <w:color w:val="FF0000"/>
        </w:rPr>
        <w:t>） </w:t>
      </w:r>
      <w:r>
        <w:rPr>
          <w:rFonts w:ascii="楷体" w:eastAsia="楷体" w:hint="eastAsia"/>
          <w:spacing w:val="-16"/>
        </w:rPr>
        <w:t>谢晓慧 </w:t>
      </w:r>
      <w:r>
        <w:rPr>
          <w:rFonts w:ascii="楷体" w:eastAsia="楷体" w:hint="eastAsia"/>
          <w:spacing w:val="-4"/>
        </w:rPr>
        <w:t>1</w:t>
      </w:r>
      <w:r>
        <w:rPr>
          <w:rFonts w:ascii="楷体" w:eastAsia="楷体" w:hint="eastAsia"/>
          <w:spacing w:val="-14"/>
        </w:rPr>
        <w:t>，吴一波 </w:t>
      </w:r>
      <w:r>
        <w:rPr>
          <w:rFonts w:ascii="楷体" w:eastAsia="楷体" w:hint="eastAsia"/>
          <w:spacing w:val="-3"/>
        </w:rPr>
        <w:t>1</w:t>
      </w:r>
      <w:r>
        <w:rPr>
          <w:rFonts w:ascii="楷体" w:eastAsia="楷体" w:hint="eastAsia"/>
          <w:spacing w:val="-14"/>
        </w:rPr>
        <w:t>，王利群 </w:t>
      </w:r>
      <w:r>
        <w:rPr>
          <w:rFonts w:ascii="楷体" w:eastAsia="楷体" w:hint="eastAsia"/>
          <w:spacing w:val="-4"/>
        </w:rPr>
        <w:t>1</w:t>
      </w:r>
      <w:r>
        <w:rPr>
          <w:rFonts w:ascii="楷体" w:eastAsia="楷体" w:hint="eastAsia"/>
          <w:spacing w:val="-14"/>
        </w:rPr>
        <w:t>，赵志刚 </w:t>
      </w:r>
      <w:r>
        <w:rPr>
          <w:rFonts w:ascii="楷体" w:eastAsia="楷体" w:hint="eastAsia"/>
          <w:spacing w:val="-3"/>
        </w:rPr>
        <w:t>2</w:t>
      </w:r>
      <w:r>
        <w:rPr>
          <w:rFonts w:ascii="楷体" w:eastAsia="楷体" w:hint="eastAsia"/>
          <w:spacing w:val="-17"/>
        </w:rPr>
        <w:t>，田月 </w:t>
      </w:r>
      <w:r>
        <w:rPr>
          <w:rFonts w:ascii="楷体" w:eastAsia="楷体" w:hint="eastAsia"/>
          <w:spacing w:val="-4"/>
        </w:rPr>
        <w:t>2</w:t>
      </w:r>
      <w:r>
        <w:rPr>
          <w:rFonts w:ascii="楷体" w:eastAsia="楷体" w:hint="eastAsia"/>
          <w:spacing w:val="-17"/>
        </w:rPr>
        <w:t>，乔宇 </w:t>
      </w:r>
      <w:r>
        <w:rPr>
          <w:rFonts w:ascii="楷体" w:eastAsia="楷体" w:hint="eastAsia"/>
          <w:spacing w:val="-4"/>
        </w:rPr>
        <w:t>2</w:t>
      </w:r>
      <w:r>
        <w:rPr>
          <w:rFonts w:ascii="楷体" w:eastAsia="楷体" w:hint="eastAsia"/>
          <w:spacing w:val="-14"/>
        </w:rPr>
        <w:t>，黄少军 </w:t>
      </w:r>
      <w:r>
        <w:rPr>
          <w:rFonts w:ascii="楷体" w:eastAsia="楷体" w:hint="eastAsia"/>
        </w:rPr>
        <w:t>3（1.北京大学药学院， 北京 </w:t>
      </w:r>
      <w:r>
        <w:rPr>
          <w:rFonts w:ascii="楷体" w:eastAsia="楷体" w:hint="eastAsia"/>
          <w:spacing w:val="-10"/>
        </w:rPr>
        <w:t>100191；2.</w:t>
      </w:r>
      <w:r>
        <w:rPr>
          <w:rFonts w:ascii="楷体" w:eastAsia="楷体" w:hint="eastAsia"/>
          <w:spacing w:val="-6"/>
        </w:rPr>
        <w:t>首都医科大学附属北京天坛医院， 北京 </w:t>
      </w:r>
      <w:r>
        <w:rPr>
          <w:rFonts w:ascii="楷体" w:eastAsia="楷体" w:hint="eastAsia"/>
          <w:spacing w:val="-10"/>
        </w:rPr>
        <w:t>100050；3</w:t>
      </w:r>
      <w:r>
        <w:rPr>
          <w:rFonts w:ascii="楷体" w:eastAsia="楷体" w:hint="eastAsia"/>
          <w:spacing w:val="-11"/>
        </w:rPr>
        <w:t>.内蒙古林业总医院， 内</w:t>
      </w:r>
      <w:r>
        <w:rPr>
          <w:rFonts w:ascii="楷体" w:eastAsia="楷体" w:hint="eastAsia"/>
          <w:spacing w:val="-10"/>
        </w:rPr>
        <w:t>蒙古 牙克石 </w:t>
      </w:r>
      <w:r>
        <w:rPr>
          <w:rFonts w:ascii="楷体" w:eastAsia="楷体" w:hint="eastAsia"/>
        </w:rPr>
        <w:t>022150）</w:t>
      </w:r>
    </w:p>
    <w:p>
      <w:pPr>
        <w:pStyle w:val="BodyText"/>
        <w:spacing w:line="297" w:lineRule="auto"/>
        <w:ind w:right="266"/>
        <w:rPr>
          <w:rFonts w:ascii="楷体" w:hAnsi="楷体" w:eastAsia="楷体" w:hint="eastAsia"/>
        </w:rPr>
      </w:pPr>
      <w:r>
        <w:rPr>
          <w:rFonts w:ascii="黑体" w:hAnsi="黑体" w:eastAsia="黑体" w:hint="eastAsia"/>
        </w:rPr>
        <w:t>［摘要</w:t>
      </w:r>
      <w:r>
        <w:rPr>
          <w:rFonts w:ascii="黑体" w:hAnsi="黑体" w:eastAsia="黑体" w:hint="eastAsia"/>
          <w:spacing w:val="-36"/>
        </w:rPr>
        <w:t>］</w:t>
      </w:r>
      <w:r>
        <w:rPr>
          <w:rFonts w:ascii="黑体" w:hAnsi="黑体" w:eastAsia="黑体" w:hint="eastAsia"/>
          <w:spacing w:val="-13"/>
        </w:rPr>
        <w:t>目的：</w:t>
      </w:r>
      <w:r>
        <w:rPr>
          <w:rFonts w:ascii="楷体" w:hAnsi="楷体" w:eastAsia="楷体" w:hint="eastAsia"/>
          <w:spacing w:val="-11"/>
        </w:rPr>
        <w:t>了解医护人员、药师和公众对药师“部分”处方权的认知度和支持度。</w:t>
      </w:r>
      <w:r>
        <w:rPr>
          <w:rFonts w:ascii="黑体" w:hAnsi="黑体" w:eastAsia="黑体" w:hint="eastAsia"/>
          <w:spacing w:val="-6"/>
        </w:rPr>
        <w:t>方法： </w:t>
      </w:r>
      <w:r>
        <w:rPr>
          <w:rFonts w:ascii="楷体" w:hAnsi="楷体" w:eastAsia="楷体" w:hint="eastAsia"/>
        </w:rPr>
        <w:t>对医护人员、药师以及公众进行问卷调查。 </w:t>
      </w:r>
      <w:r>
        <w:rPr>
          <w:rFonts w:ascii="黑体" w:hAnsi="黑体" w:eastAsia="黑体" w:hint="eastAsia"/>
        </w:rPr>
        <w:t>结果：</w:t>
      </w:r>
      <w:r>
        <w:rPr>
          <w:rFonts w:ascii="楷体" w:hAnsi="楷体" w:eastAsia="楷体" w:hint="eastAsia"/>
        </w:rPr>
        <w:t>医生、护士和公众对药师“部分”处方</w:t>
      </w:r>
      <w:r>
        <w:rPr>
          <w:rFonts w:ascii="楷体" w:hAnsi="楷体" w:eastAsia="楷体" w:hint="eastAsia"/>
          <w:spacing w:val="-4"/>
        </w:rPr>
        <w:t>权非常清楚或比较清楚的分别占 </w:t>
      </w:r>
      <w:r>
        <w:rPr>
          <w:rFonts w:ascii="楷体" w:hAnsi="楷体" w:eastAsia="楷体" w:hint="eastAsia"/>
        </w:rPr>
        <w:t>35.70%、36.24%、33.44%，</w:t>
      </w:r>
      <w:r>
        <w:rPr>
          <w:rFonts w:ascii="楷体" w:hAnsi="楷体" w:eastAsia="楷体" w:hint="eastAsia"/>
          <w:spacing w:val="-15"/>
        </w:rPr>
        <w:t>药师占 </w:t>
      </w:r>
      <w:r>
        <w:rPr>
          <w:rFonts w:ascii="楷体" w:hAnsi="楷体" w:eastAsia="楷体" w:hint="eastAsia"/>
        </w:rPr>
        <w:t>57.05%，医生、护士和</w:t>
      </w:r>
      <w:r>
        <w:rPr>
          <w:rFonts w:ascii="楷体" w:hAnsi="楷体" w:eastAsia="楷体" w:hint="eastAsia"/>
          <w:spacing w:val="-3"/>
        </w:rPr>
        <w:t>公众对赋予药师“部分”处方权完全同意或同意的分别占 </w:t>
      </w:r>
      <w:r>
        <w:rPr>
          <w:rFonts w:ascii="楷体" w:hAnsi="楷体" w:eastAsia="楷体" w:hint="eastAsia"/>
        </w:rPr>
        <w:t>82.01%、76.74%、83.12%，药师</w:t>
      </w:r>
      <w:r>
        <w:rPr>
          <w:rFonts w:ascii="楷体" w:hAnsi="楷体" w:eastAsia="楷体" w:hint="eastAsia"/>
          <w:spacing w:val="-31"/>
        </w:rPr>
        <w:t>占 </w:t>
      </w:r>
      <w:r>
        <w:rPr>
          <w:rFonts w:ascii="楷体" w:hAnsi="楷体" w:eastAsia="楷体" w:hint="eastAsia"/>
        </w:rPr>
        <w:t>94.82</w:t>
      </w:r>
      <w:r>
        <w:rPr>
          <w:rFonts w:ascii="楷体" w:hAnsi="楷体" w:eastAsia="楷体" w:hint="eastAsia"/>
          <w:spacing w:val="-5"/>
        </w:rPr>
        <w:t>%，而且认知度与支持度在 </w:t>
      </w:r>
      <w:r>
        <w:rPr>
          <w:rFonts w:ascii="楷体" w:hAnsi="楷体" w:eastAsia="楷体" w:hint="eastAsia"/>
        </w:rPr>
        <w:t>0.01</w:t>
      </w:r>
      <w:r>
        <w:rPr>
          <w:rFonts w:ascii="楷体" w:hAnsi="楷体" w:eastAsia="楷体" w:hint="eastAsia"/>
          <w:spacing w:val="-8"/>
        </w:rPr>
        <w:t> 水平上显著相关，不同年龄、学历、职业、职称、医院级别等的支持度有统计学意义。 </w:t>
      </w:r>
      <w:r>
        <w:rPr>
          <w:rFonts w:ascii="黑体" w:hAnsi="黑体" w:eastAsia="黑体" w:hint="eastAsia"/>
          <w:spacing w:val="-8"/>
        </w:rPr>
        <w:t>结论：</w:t>
      </w:r>
      <w:r>
        <w:rPr>
          <w:rFonts w:ascii="楷体" w:hAnsi="楷体" w:eastAsia="楷体" w:hint="eastAsia"/>
          <w:spacing w:val="-8"/>
        </w:rPr>
        <w:t>医护人员、药师和公众对于药师“部分”处方</w:t>
      </w:r>
      <w:r>
        <w:rPr>
          <w:rFonts w:ascii="楷体" w:hAnsi="楷体" w:eastAsia="楷体" w:hint="eastAsia"/>
          <w:spacing w:val="-12"/>
        </w:rPr>
        <w:t>权的概念、资格准入等内容认知不足，但认可赋予药师“部分”处方权的好处，并且对赋予</w:t>
      </w:r>
      <w:r>
        <w:rPr>
          <w:rFonts w:ascii="楷体" w:hAnsi="楷体" w:eastAsia="楷体" w:hint="eastAsia"/>
          <w:spacing w:val="-11"/>
        </w:rPr>
        <w:t>药师“部分”处方权持积极态度，认知情况越好支持度越高；医护人员、药师和公众对于赋</w:t>
      </w:r>
    </w:p>
    <w:p>
      <w:pPr>
        <w:spacing w:after="0" w:line="297" w:lineRule="auto"/>
        <w:rPr>
          <w:rFonts w:ascii="楷体" w:hAnsi="楷体" w:eastAsia="楷体" w:hint="eastAsia"/>
        </w:rPr>
        <w:sectPr>
          <w:type w:val="continuous"/>
          <w:pgSz w:w="11910" w:h="16850"/>
          <w:pgMar w:top="1100" w:bottom="1020" w:left="1000" w:right="740"/>
        </w:sectPr>
      </w:pPr>
    </w:p>
    <w:p>
      <w:pPr>
        <w:pStyle w:val="BodyText"/>
        <w:spacing w:line="295" w:lineRule="auto" w:before="65"/>
        <w:ind w:right="387"/>
        <w:rPr>
          <w:rFonts w:ascii="楷体" w:hAnsi="楷体" w:eastAsia="楷体" w:hint="eastAsia"/>
        </w:rPr>
      </w:pPr>
      <w:r>
        <w:rPr>
          <w:rFonts w:ascii="楷体" w:hAnsi="楷体" w:eastAsia="楷体" w:hint="eastAsia"/>
          <w:spacing w:val="-11"/>
        </w:rPr>
        <w:t>予药师“部分”处方权的支持度，存在“老年高于青年，高职称高于低职称，高级别医院高</w:t>
      </w:r>
      <w:r>
        <w:rPr>
          <w:rFonts w:ascii="楷体" w:hAnsi="楷体" w:eastAsia="楷体" w:hint="eastAsia"/>
        </w:rPr>
        <w:t>于低级别医院，学历差异较大”等现象。</w:t>
      </w:r>
    </w:p>
    <w:p>
      <w:pPr>
        <w:pStyle w:val="BodyText"/>
        <w:spacing w:before="2"/>
        <w:rPr>
          <w:rFonts w:ascii="楷体" w:eastAsia="楷体" w:hint="eastAsia"/>
        </w:rPr>
      </w:pPr>
      <w:r>
        <w:rPr>
          <w:rFonts w:ascii="黑体" w:eastAsia="黑体" w:hint="eastAsia"/>
        </w:rPr>
        <w:t>［关键词］</w:t>
      </w:r>
      <w:r>
        <w:rPr>
          <w:rFonts w:ascii="楷体" w:eastAsia="楷体" w:hint="eastAsia"/>
        </w:rPr>
        <w:t>药师；处方权；认知度；支持度</w:t>
      </w:r>
    </w:p>
    <w:p>
      <w:pPr>
        <w:pStyle w:val="BodyText"/>
        <w:spacing w:line="297" w:lineRule="auto" w:before="74"/>
        <w:ind w:right="270" w:firstLine="480"/>
      </w:pPr>
      <w:r>
        <w:rPr>
          <w:spacing w:val="-17"/>
        </w:rPr>
        <w:t>近年来，医疗改革进入深水区，给药师提出了更高的要求，也带来了更多的机遇和挑战， </w:t>
      </w:r>
      <w:r>
        <w:rPr>
          <w:spacing w:val="-10"/>
        </w:rPr>
        <w:t>明确药师的责、权、利势在必行。药师处方权是药师权力的一部分，很多国家的药师在不同</w:t>
      </w:r>
      <w:r>
        <w:rPr>
          <w:spacing w:val="-13"/>
        </w:rPr>
        <w:t>程度上获得了“部分”处方权。有关药师处方权的定义见表 </w:t>
      </w:r>
      <w:r>
        <w:rPr/>
        <w:t>1</w:t>
      </w:r>
      <w:r>
        <w:rPr>
          <w:spacing w:val="-11"/>
        </w:rPr>
        <w:t> 注释。相关研究表明，赋予药</w:t>
      </w:r>
      <w:r>
        <w:rPr>
          <w:spacing w:val="-14"/>
        </w:rPr>
        <w:t>师一定的处方权，可以保证药物治疗的安全、有效和经济。然而，在我国目前的法律法规体</w:t>
      </w:r>
      <w:r>
        <w:rPr>
          <w:spacing w:val="-12"/>
        </w:rPr>
        <w:t>系内，仅有医生拥有处方权，而药师作为药学专业人员，尚未取得任何形式的处方权，相关</w:t>
      </w:r>
      <w:r>
        <w:rPr>
          <w:spacing w:val="-15"/>
        </w:rPr>
        <w:t>研究处于空白。为此，我们将进行医护人员、药师及公众对药师处方权的认知度和支持度的</w:t>
      </w:r>
      <w:r>
        <w:rPr>
          <w:spacing w:val="-14"/>
        </w:rPr>
        <w:t>初步调查研究，从而推动和药师责、权、利相关的药师法律法规的建立和实施，使药师更好地为公众的健康服务。</w:t>
      </w:r>
    </w:p>
    <w:p>
      <w:pPr>
        <w:pStyle w:val="Heading3"/>
        <w:numPr>
          <w:ilvl w:val="0"/>
          <w:numId w:val="2"/>
        </w:numPr>
        <w:tabs>
          <w:tab w:pos="1001" w:val="left" w:leader="none"/>
        </w:tabs>
        <w:spacing w:line="296" w:lineRule="exact" w:before="0" w:after="0"/>
        <w:ind w:left="1000" w:right="0" w:hanging="244"/>
        <w:jc w:val="left"/>
      </w:pPr>
      <w:r>
        <w:rPr/>
        <w:t>对象与方法</w:t>
      </w:r>
    </w:p>
    <w:p>
      <w:pPr>
        <w:pStyle w:val="ListParagraph"/>
        <w:numPr>
          <w:ilvl w:val="1"/>
          <w:numId w:val="2"/>
        </w:numPr>
        <w:tabs>
          <w:tab w:pos="1238" w:val="left" w:leader="none"/>
        </w:tabs>
        <w:spacing w:line="240" w:lineRule="auto" w:before="74" w:after="0"/>
        <w:ind w:left="1237" w:right="0" w:hanging="481"/>
        <w:jc w:val="left"/>
        <w:rPr>
          <w:sz w:val="24"/>
        </w:rPr>
      </w:pPr>
      <w:r>
        <w:rPr>
          <w:sz w:val="24"/>
        </w:rPr>
        <w:t>调查对象来自全国不同省、自治区和直辖市的医生、护士、药师和公众。</w:t>
      </w:r>
    </w:p>
    <w:p>
      <w:pPr>
        <w:pStyle w:val="ListParagraph"/>
        <w:numPr>
          <w:ilvl w:val="1"/>
          <w:numId w:val="2"/>
        </w:numPr>
        <w:tabs>
          <w:tab w:pos="1238" w:val="left" w:leader="none"/>
        </w:tabs>
        <w:spacing w:line="240" w:lineRule="auto" w:before="72" w:after="0"/>
        <w:ind w:left="1237" w:right="0" w:hanging="481"/>
        <w:jc w:val="left"/>
        <w:rPr>
          <w:sz w:val="24"/>
        </w:rPr>
      </w:pPr>
      <w:r>
        <w:rPr>
          <w:sz w:val="24"/>
        </w:rPr>
        <w:t>调查方法</w:t>
      </w:r>
    </w:p>
    <w:p>
      <w:pPr>
        <w:pStyle w:val="ListParagraph"/>
        <w:numPr>
          <w:ilvl w:val="2"/>
          <w:numId w:val="2"/>
        </w:numPr>
        <w:tabs>
          <w:tab w:pos="1418" w:val="left" w:leader="none"/>
        </w:tabs>
        <w:spacing w:line="297" w:lineRule="auto" w:before="71" w:after="0"/>
        <w:ind w:left="277" w:right="268" w:firstLine="480"/>
        <w:jc w:val="left"/>
        <w:rPr>
          <w:sz w:val="24"/>
        </w:rPr>
      </w:pPr>
      <w:r>
        <w:rPr>
          <w:spacing w:val="-1"/>
          <w:sz w:val="24"/>
        </w:rPr>
        <w:t>调查问卷的设计各人群问卷内容均分为三个部分：</w:t>
      </w:r>
      <w:r>
        <w:rPr>
          <w:spacing w:val="-11"/>
          <w:sz w:val="24"/>
        </w:rPr>
        <w:t>（1）</w:t>
      </w:r>
      <w:r>
        <w:rPr>
          <w:spacing w:val="-2"/>
          <w:sz w:val="24"/>
        </w:rPr>
        <w:t>被调研人群的基本信息， </w:t>
      </w:r>
      <w:r>
        <w:rPr>
          <w:sz w:val="24"/>
        </w:rPr>
        <w:t>包括性别，年龄，学历，职业，职称，所在地等；（2）被调研人群对药师“部分”处方权的认知情况调研；（3）被调研人群对赋予药师“部分”处方权的支持度调研。</w:t>
      </w:r>
    </w:p>
    <w:p>
      <w:pPr>
        <w:pStyle w:val="ListParagraph"/>
        <w:numPr>
          <w:ilvl w:val="2"/>
          <w:numId w:val="2"/>
        </w:numPr>
        <w:tabs>
          <w:tab w:pos="1478" w:val="left" w:leader="none"/>
        </w:tabs>
        <w:spacing w:line="297" w:lineRule="auto" w:before="0" w:after="0"/>
        <w:ind w:left="277" w:right="272" w:firstLine="480"/>
        <w:jc w:val="left"/>
        <w:rPr>
          <w:sz w:val="24"/>
        </w:rPr>
      </w:pPr>
      <w:r>
        <w:rPr>
          <w:spacing w:val="-8"/>
          <w:sz w:val="24"/>
        </w:rPr>
        <w:t>问卷信效度评价除“被调研人群的基本信息”子问卷之外，“被调研人群对药师</w:t>
      </w:r>
      <w:r>
        <w:rPr>
          <w:spacing w:val="-18"/>
          <w:sz w:val="24"/>
        </w:rPr>
        <w:t>‘部分’处方权的认知情况调研”和“被调研人群对赋予药师‘部分’处方权的支持度调研” </w:t>
      </w:r>
      <w:r>
        <w:rPr>
          <w:sz w:val="24"/>
        </w:rPr>
        <w:t>子问卷的</w:t>
      </w:r>
      <w:r>
        <w:rPr>
          <w:rFonts w:ascii="Arial" w:hAnsi="Arial" w:eastAsia="Arial"/>
          <w:sz w:val="24"/>
        </w:rPr>
        <w:t>α</w:t>
      </w:r>
      <w:r>
        <w:rPr>
          <w:rFonts w:ascii="Arial" w:hAnsi="Arial" w:eastAsia="Arial"/>
          <w:spacing w:val="33"/>
          <w:sz w:val="24"/>
        </w:rPr>
        <w:t> </w:t>
      </w:r>
      <w:r>
        <w:rPr>
          <w:spacing w:val="-7"/>
          <w:sz w:val="24"/>
        </w:rPr>
        <w:t>系数分别为医生卷 </w:t>
      </w:r>
      <w:r>
        <w:rPr>
          <w:sz w:val="24"/>
        </w:rPr>
        <w:t>0.893</w:t>
      </w:r>
      <w:r>
        <w:rPr>
          <w:spacing w:val="-40"/>
          <w:sz w:val="24"/>
        </w:rPr>
        <w:t> 和 </w:t>
      </w:r>
      <w:r>
        <w:rPr>
          <w:sz w:val="24"/>
        </w:rPr>
        <w:t>0.965，</w:t>
      </w:r>
      <w:r>
        <w:rPr>
          <w:spacing w:val="-15"/>
          <w:sz w:val="24"/>
        </w:rPr>
        <w:t>护士卷 </w:t>
      </w:r>
      <w:r>
        <w:rPr>
          <w:sz w:val="24"/>
        </w:rPr>
        <w:t>0.847</w:t>
      </w:r>
      <w:r>
        <w:rPr>
          <w:spacing w:val="-40"/>
          <w:sz w:val="24"/>
        </w:rPr>
        <w:t> 和 </w:t>
      </w:r>
      <w:r>
        <w:rPr>
          <w:sz w:val="24"/>
        </w:rPr>
        <w:t>0.937，</w:t>
      </w:r>
      <w:r>
        <w:rPr>
          <w:spacing w:val="-15"/>
          <w:sz w:val="24"/>
        </w:rPr>
        <w:t>药师卷 </w:t>
      </w:r>
      <w:r>
        <w:rPr>
          <w:sz w:val="24"/>
        </w:rPr>
        <w:t>0.844</w:t>
      </w:r>
      <w:r>
        <w:rPr>
          <w:spacing w:val="-30"/>
          <w:sz w:val="24"/>
        </w:rPr>
        <w:t> 和0.961</w:t>
      </w:r>
      <w:r>
        <w:rPr>
          <w:spacing w:val="-37"/>
          <w:sz w:val="24"/>
        </w:rPr>
        <w:t>，公众卷 </w:t>
      </w:r>
      <w:r>
        <w:rPr>
          <w:sz w:val="24"/>
        </w:rPr>
        <w:t>0.890</w:t>
      </w:r>
      <w:r>
        <w:rPr>
          <w:spacing w:val="-43"/>
          <w:sz w:val="24"/>
        </w:rPr>
        <w:t> 和 </w:t>
      </w:r>
      <w:r>
        <w:rPr>
          <w:sz w:val="24"/>
        </w:rPr>
        <w:t>0.966</w:t>
      </w:r>
      <w:r>
        <w:rPr>
          <w:spacing w:val="-2"/>
          <w:sz w:val="24"/>
        </w:rPr>
        <w:t>，信度评价极好</w:t>
      </w:r>
      <w:r>
        <w:rPr>
          <w:sz w:val="24"/>
        </w:rPr>
        <w:t>（均</w:t>
      </w:r>
      <w:r>
        <w:rPr>
          <w:rFonts w:ascii="Cambria Math" w:hAnsi="Cambria Math" w:eastAsia="Cambria Math"/>
          <w:spacing w:val="-14"/>
          <w:sz w:val="24"/>
        </w:rPr>
        <w:t>≫ </w:t>
      </w:r>
      <w:r>
        <w:rPr>
          <w:spacing w:val="-3"/>
          <w:sz w:val="24"/>
        </w:rPr>
        <w:t>0.7）。所有问卷的设计均有可靠的参</w:t>
      </w:r>
      <w:r>
        <w:rPr>
          <w:spacing w:val="-10"/>
          <w:sz w:val="24"/>
        </w:rPr>
        <w:t>考文献支持，经过预测试并对题目进行过修正处理，因此具有良好的内容效度；除“被调研</w:t>
      </w:r>
      <w:r>
        <w:rPr>
          <w:spacing w:val="-12"/>
          <w:sz w:val="24"/>
        </w:rPr>
        <w:t>公众的基本信息”子问卷之外，所有题目的因子载荷系数值均高于 </w:t>
      </w:r>
      <w:r>
        <w:rPr>
          <w:sz w:val="24"/>
        </w:rPr>
        <w:t>0.6，KMO</w:t>
      </w:r>
      <w:r>
        <w:rPr>
          <w:spacing w:val="-10"/>
          <w:sz w:val="24"/>
        </w:rPr>
        <w:t> 值为医生卷0.954，</w:t>
      </w:r>
      <w:r>
        <w:rPr>
          <w:spacing w:val="-23"/>
          <w:sz w:val="24"/>
        </w:rPr>
        <w:t>护士卷 </w:t>
      </w:r>
      <w:r>
        <w:rPr>
          <w:sz w:val="24"/>
        </w:rPr>
        <w:t>0.955，</w:t>
      </w:r>
      <w:r>
        <w:rPr>
          <w:spacing w:val="-15"/>
          <w:sz w:val="24"/>
        </w:rPr>
        <w:t>药师卷 </w:t>
      </w:r>
      <w:r>
        <w:rPr>
          <w:sz w:val="24"/>
        </w:rPr>
        <w:t>0.954，</w:t>
      </w:r>
      <w:r>
        <w:rPr>
          <w:spacing w:val="-15"/>
          <w:sz w:val="24"/>
        </w:rPr>
        <w:t>公众卷 </w:t>
      </w:r>
      <w:r>
        <w:rPr>
          <w:sz w:val="24"/>
        </w:rPr>
        <w:t>0.969，Bartlett</w:t>
      </w:r>
      <w:r>
        <w:rPr>
          <w:spacing w:val="-14"/>
          <w:sz w:val="24"/>
        </w:rPr>
        <w:t> 球形检验对应的 </w:t>
      </w:r>
      <w:r>
        <w:rPr>
          <w:sz w:val="24"/>
        </w:rPr>
        <w:t>P</w:t>
      </w:r>
      <w:r>
        <w:rPr>
          <w:spacing w:val="-15"/>
          <w:sz w:val="24"/>
        </w:rPr>
        <w:t> 值均为0.000，具有良好的结构效度。综上所述，问卷设计合理，信效度评价良好。</w:t>
      </w:r>
    </w:p>
    <w:p>
      <w:pPr>
        <w:pStyle w:val="ListParagraph"/>
        <w:numPr>
          <w:ilvl w:val="2"/>
          <w:numId w:val="2"/>
        </w:numPr>
        <w:tabs>
          <w:tab w:pos="1478" w:val="left" w:leader="none"/>
        </w:tabs>
        <w:spacing w:line="297" w:lineRule="auto" w:before="0" w:after="0"/>
        <w:ind w:left="277" w:right="266" w:firstLine="480"/>
        <w:jc w:val="left"/>
        <w:rPr>
          <w:sz w:val="24"/>
        </w:rPr>
      </w:pPr>
      <w:r>
        <w:rPr>
          <w:spacing w:val="-5"/>
          <w:sz w:val="24"/>
        </w:rPr>
        <w:t>调查方法本调查的时间为 </w:t>
      </w:r>
      <w:r>
        <w:rPr>
          <w:sz w:val="24"/>
        </w:rPr>
        <w:t>2018</w:t>
      </w:r>
      <w:r>
        <w:rPr>
          <w:spacing w:val="-40"/>
          <w:sz w:val="24"/>
        </w:rPr>
        <w:t> 年 </w:t>
      </w:r>
      <w:r>
        <w:rPr>
          <w:sz w:val="24"/>
        </w:rPr>
        <w:t>4</w:t>
      </w:r>
      <w:r>
        <w:rPr>
          <w:spacing w:val="-40"/>
          <w:sz w:val="24"/>
        </w:rPr>
        <w:t> 月 </w:t>
      </w:r>
      <w:r>
        <w:rPr>
          <w:sz w:val="24"/>
        </w:rPr>
        <w:t>11</w:t>
      </w:r>
      <w:r>
        <w:rPr>
          <w:spacing w:val="-30"/>
          <w:sz w:val="24"/>
        </w:rPr>
        <w:t> 日至 </w:t>
      </w:r>
      <w:r>
        <w:rPr>
          <w:sz w:val="24"/>
        </w:rPr>
        <w:t>2018</w:t>
      </w:r>
      <w:r>
        <w:rPr>
          <w:spacing w:val="-40"/>
          <w:sz w:val="24"/>
        </w:rPr>
        <w:t> 年 </w:t>
      </w:r>
      <w:r>
        <w:rPr>
          <w:sz w:val="24"/>
        </w:rPr>
        <w:t>6</w:t>
      </w:r>
      <w:r>
        <w:rPr>
          <w:spacing w:val="-40"/>
          <w:sz w:val="24"/>
        </w:rPr>
        <w:t> 月 </w:t>
      </w:r>
      <w:r>
        <w:rPr>
          <w:sz w:val="24"/>
        </w:rPr>
        <w:t>15</w:t>
      </w:r>
      <w:r>
        <w:rPr>
          <w:spacing w:val="-32"/>
          <w:sz w:val="24"/>
        </w:rPr>
        <w:t> 日，采取“问卷星” </w:t>
      </w:r>
      <w:r>
        <w:rPr>
          <w:spacing w:val="-14"/>
          <w:sz w:val="24"/>
        </w:rPr>
        <w:t>的形式发放问卷，问卷通过全国 </w:t>
      </w:r>
      <w:r>
        <w:rPr>
          <w:sz w:val="24"/>
        </w:rPr>
        <w:t>13</w:t>
      </w:r>
      <w:r>
        <w:rPr>
          <w:spacing w:val="-14"/>
          <w:sz w:val="24"/>
        </w:rPr>
        <w:t> 个省和直辖市的 </w:t>
      </w:r>
      <w:r>
        <w:rPr>
          <w:sz w:val="24"/>
        </w:rPr>
        <w:t>20</w:t>
      </w:r>
      <w:r>
        <w:rPr>
          <w:spacing w:val="-8"/>
          <w:sz w:val="24"/>
        </w:rPr>
        <w:t> 家医院或直接通过网络微信进行发放并回收。</w:t>
      </w:r>
    </w:p>
    <w:p>
      <w:pPr>
        <w:pStyle w:val="ListParagraph"/>
        <w:numPr>
          <w:ilvl w:val="2"/>
          <w:numId w:val="2"/>
        </w:numPr>
        <w:tabs>
          <w:tab w:pos="1478" w:val="left" w:leader="none"/>
        </w:tabs>
        <w:spacing w:line="297" w:lineRule="auto" w:before="0" w:after="0"/>
        <w:ind w:left="277" w:right="390" w:firstLine="480"/>
        <w:jc w:val="both"/>
        <w:rPr>
          <w:sz w:val="24"/>
        </w:rPr>
      </w:pPr>
      <w:r>
        <w:rPr>
          <w:spacing w:val="-3"/>
          <w:sz w:val="24"/>
        </w:rPr>
        <w:t>统计学方法 通过问卷星生成并导出数据，采用 </w:t>
      </w:r>
      <w:r>
        <w:rPr>
          <w:sz w:val="24"/>
        </w:rPr>
        <w:t>SPSS19.0</w:t>
      </w:r>
      <w:r>
        <w:rPr>
          <w:spacing w:val="-8"/>
          <w:sz w:val="24"/>
        </w:rPr>
        <w:t> 对结果进行统计、分</w:t>
      </w:r>
      <w:r>
        <w:rPr>
          <w:spacing w:val="-11"/>
          <w:sz w:val="24"/>
        </w:rPr>
        <w:t>析。采取描述统计分析被调研人群基本信息、对药师“部分”处方权的认知和支持度，采取</w:t>
      </w:r>
      <w:r>
        <w:rPr>
          <w:sz w:val="24"/>
        </w:rPr>
        <w:t>Pearson</w:t>
      </w:r>
      <w:r>
        <w:rPr>
          <w:spacing w:val="-11"/>
          <w:sz w:val="24"/>
        </w:rPr>
        <w:t> 相关系数法分析被调研人群“对国外药师‘部分’处方权认知情况”与“对药师赋</w:t>
      </w:r>
      <w:r>
        <w:rPr>
          <w:spacing w:val="-12"/>
          <w:sz w:val="24"/>
        </w:rPr>
        <w:t>予‘部分’处方权支持情况”相关性，使用单因素方差分析个人信息对支持度的影响，并进</w:t>
      </w:r>
      <w:r>
        <w:rPr>
          <w:sz w:val="24"/>
        </w:rPr>
        <w:t>一步采取“LSD”方法对数据进行事后检验。</w:t>
      </w:r>
    </w:p>
    <w:p>
      <w:pPr>
        <w:pStyle w:val="Heading3"/>
        <w:numPr>
          <w:ilvl w:val="0"/>
          <w:numId w:val="2"/>
        </w:numPr>
        <w:tabs>
          <w:tab w:pos="1001" w:val="left" w:leader="none"/>
        </w:tabs>
        <w:spacing w:line="302" w:lineRule="exact" w:before="0" w:after="0"/>
        <w:ind w:left="1000" w:right="0" w:hanging="244"/>
        <w:jc w:val="left"/>
      </w:pPr>
      <w:r>
        <w:rPr/>
        <w:t>结果</w:t>
      </w:r>
    </w:p>
    <w:p>
      <w:pPr>
        <w:pStyle w:val="ListParagraph"/>
        <w:numPr>
          <w:ilvl w:val="1"/>
          <w:numId w:val="2"/>
        </w:numPr>
        <w:tabs>
          <w:tab w:pos="1178" w:val="left" w:leader="none"/>
        </w:tabs>
        <w:spacing w:line="240" w:lineRule="auto" w:before="56" w:after="0"/>
        <w:ind w:left="1177" w:right="0" w:hanging="421"/>
        <w:jc w:val="left"/>
        <w:rPr>
          <w:sz w:val="24"/>
        </w:rPr>
      </w:pPr>
      <w:r>
        <w:rPr>
          <w:sz w:val="24"/>
        </w:rPr>
        <w:t>组内描述统计分析</w:t>
      </w:r>
    </w:p>
    <w:p>
      <w:pPr>
        <w:pStyle w:val="ListParagraph"/>
        <w:numPr>
          <w:ilvl w:val="2"/>
          <w:numId w:val="2"/>
        </w:numPr>
        <w:tabs>
          <w:tab w:pos="1478" w:val="left" w:leader="none"/>
          <w:tab w:pos="4117" w:val="left" w:leader="none"/>
        </w:tabs>
        <w:spacing w:line="297" w:lineRule="auto" w:before="71" w:after="0"/>
        <w:ind w:left="277" w:right="585" w:firstLine="480"/>
        <w:jc w:val="left"/>
        <w:rPr>
          <w:sz w:val="24"/>
        </w:rPr>
      </w:pPr>
      <w:r>
        <w:rPr>
          <w:sz w:val="24"/>
        </w:rPr>
        <w:t>被调研人群的基本信息</w:t>
        <w:tab/>
        <w:t>各类问卷回收情况分别为：医生</w:t>
      </w:r>
      <w:r>
        <w:rPr>
          <w:spacing w:val="-59"/>
          <w:sz w:val="24"/>
        </w:rPr>
        <w:t> </w:t>
      </w:r>
      <w:r>
        <w:rPr>
          <w:sz w:val="24"/>
        </w:rPr>
        <w:t>3151</w:t>
      </w:r>
      <w:r>
        <w:rPr>
          <w:spacing w:val="-59"/>
          <w:sz w:val="24"/>
        </w:rPr>
        <w:t> </w:t>
      </w:r>
      <w:r>
        <w:rPr>
          <w:sz w:val="24"/>
        </w:rPr>
        <w:t>份；护士</w:t>
      </w:r>
      <w:r>
        <w:rPr>
          <w:spacing w:val="-59"/>
          <w:sz w:val="24"/>
        </w:rPr>
        <w:t> </w:t>
      </w:r>
      <w:r>
        <w:rPr>
          <w:spacing w:val="-5"/>
          <w:sz w:val="24"/>
        </w:rPr>
        <w:t>6059 </w:t>
      </w:r>
      <w:r>
        <w:rPr>
          <w:sz w:val="24"/>
        </w:rPr>
        <w:t>份；药师</w:t>
      </w:r>
      <w:r>
        <w:rPr>
          <w:spacing w:val="-61"/>
          <w:sz w:val="24"/>
        </w:rPr>
        <w:t> </w:t>
      </w:r>
      <w:r>
        <w:rPr>
          <w:sz w:val="24"/>
        </w:rPr>
        <w:t>8943</w:t>
      </w:r>
      <w:r>
        <w:rPr>
          <w:spacing w:val="-60"/>
          <w:sz w:val="24"/>
        </w:rPr>
        <w:t> </w:t>
      </w:r>
      <w:r>
        <w:rPr>
          <w:sz w:val="24"/>
        </w:rPr>
        <w:t>份；公众</w:t>
      </w:r>
      <w:r>
        <w:rPr>
          <w:spacing w:val="-60"/>
          <w:sz w:val="24"/>
        </w:rPr>
        <w:t> </w:t>
      </w:r>
      <w:r>
        <w:rPr>
          <w:sz w:val="24"/>
        </w:rPr>
        <w:t>3822</w:t>
      </w:r>
      <w:r>
        <w:rPr>
          <w:spacing w:val="-60"/>
          <w:sz w:val="24"/>
        </w:rPr>
        <w:t> </w:t>
      </w:r>
      <w:r>
        <w:rPr>
          <w:sz w:val="24"/>
        </w:rPr>
        <w:t>份。</w:t>
      </w:r>
    </w:p>
    <w:p>
      <w:pPr>
        <w:spacing w:after="0" w:line="297" w:lineRule="auto"/>
        <w:jc w:val="left"/>
        <w:rPr>
          <w:sz w:val="24"/>
        </w:rPr>
        <w:sectPr>
          <w:pgSz w:w="11910" w:h="16850"/>
          <w:pgMar w:header="906" w:footer="527" w:top="1100" w:bottom="800" w:left="1000" w:right="740"/>
        </w:sectPr>
      </w:pPr>
    </w:p>
    <w:p>
      <w:pPr>
        <w:pStyle w:val="ListParagraph"/>
        <w:numPr>
          <w:ilvl w:val="2"/>
          <w:numId w:val="2"/>
        </w:numPr>
        <w:tabs>
          <w:tab w:pos="1478" w:val="left" w:leader="none"/>
          <w:tab w:pos="8198" w:val="left" w:leader="none"/>
        </w:tabs>
        <w:spacing w:line="297" w:lineRule="auto" w:before="65" w:after="0"/>
        <w:ind w:left="277" w:right="285" w:firstLine="480"/>
        <w:jc w:val="left"/>
        <w:rPr>
          <w:sz w:val="24"/>
        </w:rPr>
      </w:pPr>
      <w:r>
        <w:rPr>
          <w:sz w:val="24"/>
        </w:rPr>
        <w:t>医护人员、药师和公众对药师“部分”处方权的认知情况调研</w:t>
        <w:tab/>
        <w:t>将</w:t>
      </w:r>
      <w:r>
        <w:rPr>
          <w:spacing w:val="-60"/>
          <w:sz w:val="24"/>
        </w:rPr>
        <w:t> </w:t>
      </w:r>
      <w:r>
        <w:rPr>
          <w:sz w:val="24"/>
        </w:rPr>
        <w:t>Likert</w:t>
      </w:r>
      <w:r>
        <w:rPr>
          <w:spacing w:val="-60"/>
          <w:sz w:val="24"/>
        </w:rPr>
        <w:t> </w:t>
      </w:r>
      <w:r>
        <w:rPr>
          <w:sz w:val="24"/>
        </w:rPr>
        <w:t>量表中“非常清楚、比较清楚、了解一点、不太清楚、完全不知道”分别赋值为“5、4、3、2</w:t>
      </w:r>
      <w:r>
        <w:rPr>
          <w:spacing w:val="-17"/>
          <w:sz w:val="24"/>
        </w:rPr>
        <w:t>、</w:t>
      </w:r>
      <w:r>
        <w:rPr>
          <w:sz w:val="24"/>
        </w:rPr>
        <w:t>1”，并求算平均值得出平均量化赋值（五级评分赋值法）。被调研人群对药师“部分”处方权的认知情况的问题，认知情况及平均量化赋值详见表</w:t>
      </w:r>
      <w:r>
        <w:rPr>
          <w:spacing w:val="-60"/>
          <w:sz w:val="24"/>
        </w:rPr>
        <w:t> </w:t>
      </w:r>
      <w:r>
        <w:rPr>
          <w:sz w:val="24"/>
        </w:rPr>
        <w:t>1。</w:t>
      </w:r>
    </w:p>
    <w:p>
      <w:pPr>
        <w:pStyle w:val="BodyText"/>
        <w:spacing w:line="237" w:lineRule="exact" w:after="4"/>
        <w:rPr>
          <w:rFonts w:ascii="楷体" w:hAnsi="楷体" w:eastAsia="楷体" w:hint="eastAsia"/>
        </w:rPr>
      </w:pPr>
      <w:r>
        <w:rPr>
          <w:rFonts w:ascii="楷体" w:hAnsi="楷体" w:eastAsia="楷体" w:hint="eastAsia"/>
        </w:rPr>
        <w:t>表 1 医护人员、药师和公众对药师“部分”处方权的认知情况</w:t>
      </w:r>
    </w:p>
    <w:tbl>
      <w:tblPr>
        <w:tblW w:w="0" w:type="auto"/>
        <w:jc w:val="left"/>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2"/>
        <w:gridCol w:w="1213"/>
        <w:gridCol w:w="1278"/>
        <w:gridCol w:w="1153"/>
        <w:gridCol w:w="1026"/>
        <w:gridCol w:w="1233"/>
        <w:gridCol w:w="1211"/>
        <w:gridCol w:w="1215"/>
      </w:tblGrid>
      <w:tr>
        <w:trPr>
          <w:trHeight w:val="342" w:hRule="atLeast"/>
        </w:trPr>
        <w:tc>
          <w:tcPr>
            <w:tcW w:w="962" w:type="dxa"/>
            <w:tcBorders>
              <w:top w:val="single" w:sz="12" w:space="0" w:color="000000"/>
              <w:bottom w:val="single" w:sz="6" w:space="0" w:color="000000"/>
            </w:tcBorders>
          </w:tcPr>
          <w:p>
            <w:pPr>
              <w:pStyle w:val="TableParagraph"/>
              <w:spacing w:before="75"/>
              <w:ind w:left="44" w:right="48"/>
              <w:jc w:val="center"/>
              <w:rPr>
                <w:sz w:val="15"/>
              </w:rPr>
            </w:pPr>
            <w:r>
              <w:rPr>
                <w:sz w:val="15"/>
              </w:rPr>
              <w:t>分类</w:t>
            </w:r>
          </w:p>
        </w:tc>
        <w:tc>
          <w:tcPr>
            <w:tcW w:w="1213" w:type="dxa"/>
            <w:tcBorders>
              <w:top w:val="single" w:sz="12" w:space="0" w:color="000000"/>
              <w:bottom w:val="single" w:sz="6" w:space="0" w:color="000000"/>
            </w:tcBorders>
          </w:tcPr>
          <w:p>
            <w:pPr>
              <w:pStyle w:val="TableParagraph"/>
              <w:spacing w:before="75"/>
              <w:ind w:left="51" w:right="71"/>
              <w:jc w:val="center"/>
              <w:rPr>
                <w:sz w:val="15"/>
              </w:rPr>
            </w:pPr>
            <w:r>
              <w:rPr>
                <w:sz w:val="15"/>
              </w:rPr>
              <w:t>非常清楚</w:t>
            </w:r>
          </w:p>
        </w:tc>
        <w:tc>
          <w:tcPr>
            <w:tcW w:w="1278" w:type="dxa"/>
            <w:tcBorders>
              <w:top w:val="single" w:sz="12" w:space="0" w:color="000000"/>
              <w:bottom w:val="single" w:sz="6" w:space="0" w:color="000000"/>
            </w:tcBorders>
          </w:tcPr>
          <w:p>
            <w:pPr>
              <w:pStyle w:val="TableParagraph"/>
              <w:spacing w:before="75"/>
              <w:ind w:left="72" w:right="115"/>
              <w:jc w:val="center"/>
              <w:rPr>
                <w:sz w:val="15"/>
              </w:rPr>
            </w:pPr>
            <w:r>
              <w:rPr>
                <w:sz w:val="15"/>
              </w:rPr>
              <w:t>比较清楚</w:t>
            </w:r>
          </w:p>
        </w:tc>
        <w:tc>
          <w:tcPr>
            <w:tcW w:w="1153" w:type="dxa"/>
            <w:tcBorders>
              <w:top w:val="single" w:sz="12" w:space="0" w:color="000000"/>
              <w:bottom w:val="single" w:sz="6" w:space="0" w:color="000000"/>
            </w:tcBorders>
          </w:tcPr>
          <w:p>
            <w:pPr>
              <w:pStyle w:val="TableParagraph"/>
              <w:spacing w:before="75"/>
              <w:ind w:left="115" w:right="98"/>
              <w:jc w:val="center"/>
              <w:rPr>
                <w:sz w:val="15"/>
              </w:rPr>
            </w:pPr>
            <w:r>
              <w:rPr>
                <w:sz w:val="15"/>
              </w:rPr>
              <w:t>平均量化赋值</w:t>
            </w:r>
          </w:p>
        </w:tc>
        <w:tc>
          <w:tcPr>
            <w:tcW w:w="1026" w:type="dxa"/>
            <w:tcBorders>
              <w:top w:val="single" w:sz="12" w:space="0" w:color="000000"/>
              <w:bottom w:val="single" w:sz="6" w:space="0" w:color="000000"/>
            </w:tcBorders>
          </w:tcPr>
          <w:p>
            <w:pPr>
              <w:pStyle w:val="TableParagraph"/>
              <w:rPr>
                <w:rFonts w:ascii="Times New Roman"/>
                <w:sz w:val="18"/>
              </w:rPr>
            </w:pPr>
          </w:p>
        </w:tc>
        <w:tc>
          <w:tcPr>
            <w:tcW w:w="1233" w:type="dxa"/>
            <w:tcBorders>
              <w:top w:val="single" w:sz="12" w:space="0" w:color="000000"/>
              <w:bottom w:val="single" w:sz="6" w:space="0" w:color="000000"/>
            </w:tcBorders>
          </w:tcPr>
          <w:p>
            <w:pPr>
              <w:pStyle w:val="TableParagraph"/>
              <w:spacing w:before="75"/>
              <w:ind w:left="65" w:right="78"/>
              <w:jc w:val="center"/>
              <w:rPr>
                <w:sz w:val="15"/>
              </w:rPr>
            </w:pPr>
            <w:r>
              <w:rPr>
                <w:sz w:val="15"/>
              </w:rPr>
              <w:t>非常清楚</w:t>
            </w:r>
          </w:p>
        </w:tc>
        <w:tc>
          <w:tcPr>
            <w:tcW w:w="1211" w:type="dxa"/>
            <w:tcBorders>
              <w:top w:val="single" w:sz="12" w:space="0" w:color="000000"/>
              <w:bottom w:val="single" w:sz="6" w:space="0" w:color="000000"/>
            </w:tcBorders>
          </w:tcPr>
          <w:p>
            <w:pPr>
              <w:pStyle w:val="TableParagraph"/>
              <w:spacing w:before="75"/>
              <w:ind w:left="79" w:right="116"/>
              <w:jc w:val="center"/>
              <w:rPr>
                <w:sz w:val="15"/>
              </w:rPr>
            </w:pPr>
            <w:r>
              <w:rPr>
                <w:sz w:val="15"/>
              </w:rPr>
              <w:t>比较清楚</w:t>
            </w:r>
          </w:p>
        </w:tc>
        <w:tc>
          <w:tcPr>
            <w:tcW w:w="1215" w:type="dxa"/>
            <w:tcBorders>
              <w:top w:val="single" w:sz="12" w:space="0" w:color="000000"/>
              <w:bottom w:val="single" w:sz="6" w:space="0" w:color="000000"/>
            </w:tcBorders>
          </w:tcPr>
          <w:p>
            <w:pPr>
              <w:pStyle w:val="TableParagraph"/>
              <w:spacing w:before="75"/>
              <w:ind w:left="118" w:right="156"/>
              <w:jc w:val="center"/>
              <w:rPr>
                <w:sz w:val="15"/>
              </w:rPr>
            </w:pPr>
            <w:r>
              <w:rPr>
                <w:sz w:val="15"/>
              </w:rPr>
              <w:t>平均量化赋值</w:t>
            </w:r>
          </w:p>
        </w:tc>
      </w:tr>
      <w:tr>
        <w:trPr>
          <w:trHeight w:val="341" w:hRule="atLeast"/>
        </w:trPr>
        <w:tc>
          <w:tcPr>
            <w:tcW w:w="962" w:type="dxa"/>
            <w:tcBorders>
              <w:top w:val="single" w:sz="6" w:space="0" w:color="000000"/>
            </w:tcBorders>
          </w:tcPr>
          <w:p>
            <w:pPr>
              <w:pStyle w:val="TableParagraph"/>
              <w:spacing w:before="75"/>
              <w:ind w:left="48" w:right="48"/>
              <w:jc w:val="center"/>
              <w:rPr>
                <w:sz w:val="15"/>
              </w:rPr>
            </w:pPr>
            <w:r>
              <w:rPr>
                <w:sz w:val="15"/>
              </w:rPr>
              <w:t>T10（护士）</w:t>
            </w:r>
          </w:p>
        </w:tc>
        <w:tc>
          <w:tcPr>
            <w:tcW w:w="1213" w:type="dxa"/>
            <w:tcBorders>
              <w:top w:val="single" w:sz="6" w:space="0" w:color="000000"/>
            </w:tcBorders>
          </w:tcPr>
          <w:p>
            <w:pPr>
              <w:pStyle w:val="TableParagraph"/>
              <w:spacing w:before="75"/>
              <w:ind w:left="52" w:right="71"/>
              <w:jc w:val="center"/>
              <w:rPr>
                <w:sz w:val="15"/>
              </w:rPr>
            </w:pPr>
            <w:r>
              <w:rPr>
                <w:sz w:val="15"/>
              </w:rPr>
              <w:t>2960（48.85%）</w:t>
            </w:r>
          </w:p>
        </w:tc>
        <w:tc>
          <w:tcPr>
            <w:tcW w:w="1278" w:type="dxa"/>
            <w:tcBorders>
              <w:top w:val="single" w:sz="6" w:space="0" w:color="000000"/>
            </w:tcBorders>
          </w:tcPr>
          <w:p>
            <w:pPr>
              <w:pStyle w:val="TableParagraph"/>
              <w:spacing w:before="75"/>
              <w:ind w:left="72" w:right="115"/>
              <w:jc w:val="center"/>
              <w:rPr>
                <w:sz w:val="15"/>
              </w:rPr>
            </w:pPr>
            <w:r>
              <w:rPr>
                <w:sz w:val="15"/>
              </w:rPr>
              <w:t>1503（24.81%）</w:t>
            </w:r>
          </w:p>
        </w:tc>
        <w:tc>
          <w:tcPr>
            <w:tcW w:w="1153" w:type="dxa"/>
            <w:tcBorders>
              <w:top w:val="single" w:sz="6" w:space="0" w:color="000000"/>
            </w:tcBorders>
          </w:tcPr>
          <w:p>
            <w:pPr>
              <w:pStyle w:val="TableParagraph"/>
              <w:spacing w:before="75"/>
              <w:ind w:left="111" w:right="98"/>
              <w:jc w:val="center"/>
              <w:rPr>
                <w:sz w:val="15"/>
              </w:rPr>
            </w:pPr>
            <w:r>
              <w:rPr>
                <w:sz w:val="15"/>
              </w:rPr>
              <w:t>4.1481</w:t>
            </w:r>
          </w:p>
        </w:tc>
        <w:tc>
          <w:tcPr>
            <w:tcW w:w="1026" w:type="dxa"/>
            <w:tcBorders>
              <w:top w:val="single" w:sz="6" w:space="0" w:color="000000"/>
            </w:tcBorders>
          </w:tcPr>
          <w:p>
            <w:pPr>
              <w:pStyle w:val="TableParagraph"/>
              <w:spacing w:before="75"/>
              <w:ind w:left="98" w:right="63"/>
              <w:jc w:val="center"/>
              <w:rPr>
                <w:sz w:val="15"/>
              </w:rPr>
            </w:pPr>
            <w:r>
              <w:rPr>
                <w:sz w:val="15"/>
              </w:rPr>
              <w:t>T10（公众）</w:t>
            </w:r>
          </w:p>
        </w:tc>
        <w:tc>
          <w:tcPr>
            <w:tcW w:w="1233" w:type="dxa"/>
            <w:tcBorders>
              <w:top w:val="single" w:sz="6" w:space="0" w:color="000000"/>
            </w:tcBorders>
          </w:tcPr>
          <w:p>
            <w:pPr>
              <w:pStyle w:val="TableParagraph"/>
              <w:spacing w:before="75"/>
              <w:ind w:left="65" w:right="78"/>
              <w:jc w:val="center"/>
              <w:rPr>
                <w:sz w:val="15"/>
              </w:rPr>
            </w:pPr>
            <w:r>
              <w:rPr>
                <w:sz w:val="15"/>
              </w:rPr>
              <w:t>1445（37.81%）</w:t>
            </w:r>
          </w:p>
        </w:tc>
        <w:tc>
          <w:tcPr>
            <w:tcW w:w="1211" w:type="dxa"/>
            <w:tcBorders>
              <w:top w:val="single" w:sz="6" w:space="0" w:color="000000"/>
            </w:tcBorders>
          </w:tcPr>
          <w:p>
            <w:pPr>
              <w:pStyle w:val="TableParagraph"/>
              <w:spacing w:before="75"/>
              <w:ind w:left="79" w:right="116"/>
              <w:jc w:val="center"/>
              <w:rPr>
                <w:sz w:val="15"/>
              </w:rPr>
            </w:pPr>
            <w:r>
              <w:rPr>
                <w:sz w:val="15"/>
              </w:rPr>
              <w:t>943（24.67%）</w:t>
            </w:r>
          </w:p>
        </w:tc>
        <w:tc>
          <w:tcPr>
            <w:tcW w:w="1215" w:type="dxa"/>
            <w:tcBorders>
              <w:top w:val="single" w:sz="6" w:space="0" w:color="000000"/>
            </w:tcBorders>
          </w:tcPr>
          <w:p>
            <w:pPr>
              <w:pStyle w:val="TableParagraph"/>
              <w:spacing w:before="75"/>
              <w:ind w:left="118" w:right="154"/>
              <w:jc w:val="center"/>
              <w:rPr>
                <w:sz w:val="15"/>
              </w:rPr>
            </w:pPr>
            <w:r>
              <w:rPr>
                <w:sz w:val="15"/>
              </w:rPr>
              <w:t>3.8219</w:t>
            </w:r>
          </w:p>
        </w:tc>
      </w:tr>
      <w:tr>
        <w:trPr>
          <w:trHeight w:val="342" w:hRule="atLeast"/>
        </w:trPr>
        <w:tc>
          <w:tcPr>
            <w:tcW w:w="962" w:type="dxa"/>
          </w:tcPr>
          <w:p>
            <w:pPr>
              <w:pStyle w:val="TableParagraph"/>
              <w:spacing w:before="74"/>
              <w:ind w:left="48" w:right="48"/>
              <w:jc w:val="center"/>
              <w:rPr>
                <w:sz w:val="15"/>
              </w:rPr>
            </w:pPr>
            <w:r>
              <w:rPr>
                <w:sz w:val="15"/>
              </w:rPr>
              <w:t>T11（护士）</w:t>
            </w:r>
          </w:p>
        </w:tc>
        <w:tc>
          <w:tcPr>
            <w:tcW w:w="1213" w:type="dxa"/>
          </w:tcPr>
          <w:p>
            <w:pPr>
              <w:pStyle w:val="TableParagraph"/>
              <w:spacing w:before="74"/>
              <w:ind w:left="52" w:right="71"/>
              <w:jc w:val="center"/>
              <w:rPr>
                <w:sz w:val="15"/>
              </w:rPr>
            </w:pPr>
            <w:r>
              <w:rPr>
                <w:sz w:val="15"/>
              </w:rPr>
              <w:t>1092（18.02%）</w:t>
            </w:r>
          </w:p>
        </w:tc>
        <w:tc>
          <w:tcPr>
            <w:tcW w:w="1278" w:type="dxa"/>
          </w:tcPr>
          <w:p>
            <w:pPr>
              <w:pStyle w:val="TableParagraph"/>
              <w:spacing w:before="74"/>
              <w:ind w:left="72" w:right="115"/>
              <w:jc w:val="center"/>
              <w:rPr>
                <w:sz w:val="15"/>
              </w:rPr>
            </w:pPr>
            <w:r>
              <w:rPr>
                <w:sz w:val="15"/>
              </w:rPr>
              <w:t>1104（18.22%）</w:t>
            </w:r>
          </w:p>
        </w:tc>
        <w:tc>
          <w:tcPr>
            <w:tcW w:w="1153" w:type="dxa"/>
          </w:tcPr>
          <w:p>
            <w:pPr>
              <w:pStyle w:val="TableParagraph"/>
              <w:spacing w:before="74"/>
              <w:ind w:left="111" w:right="98"/>
              <w:jc w:val="center"/>
              <w:rPr>
                <w:sz w:val="15"/>
              </w:rPr>
            </w:pPr>
            <w:r>
              <w:rPr>
                <w:sz w:val="15"/>
              </w:rPr>
              <w:t>3.2357</w:t>
            </w:r>
          </w:p>
        </w:tc>
        <w:tc>
          <w:tcPr>
            <w:tcW w:w="1026" w:type="dxa"/>
          </w:tcPr>
          <w:p>
            <w:pPr>
              <w:pStyle w:val="TableParagraph"/>
              <w:spacing w:before="74"/>
              <w:ind w:left="98" w:right="63"/>
              <w:jc w:val="center"/>
              <w:rPr>
                <w:sz w:val="15"/>
              </w:rPr>
            </w:pPr>
            <w:r>
              <w:rPr>
                <w:sz w:val="15"/>
              </w:rPr>
              <w:t>T11（公众）</w:t>
            </w:r>
          </w:p>
        </w:tc>
        <w:tc>
          <w:tcPr>
            <w:tcW w:w="1233" w:type="dxa"/>
          </w:tcPr>
          <w:p>
            <w:pPr>
              <w:pStyle w:val="TableParagraph"/>
              <w:spacing w:before="74"/>
              <w:ind w:left="65" w:right="78"/>
              <w:jc w:val="center"/>
              <w:rPr>
                <w:sz w:val="15"/>
              </w:rPr>
            </w:pPr>
            <w:r>
              <w:rPr>
                <w:sz w:val="15"/>
              </w:rPr>
              <w:t>547（14.31%）</w:t>
            </w:r>
          </w:p>
        </w:tc>
        <w:tc>
          <w:tcPr>
            <w:tcW w:w="1211" w:type="dxa"/>
          </w:tcPr>
          <w:p>
            <w:pPr>
              <w:pStyle w:val="TableParagraph"/>
              <w:spacing w:before="74"/>
              <w:ind w:left="79" w:right="116"/>
              <w:jc w:val="center"/>
              <w:rPr>
                <w:sz w:val="15"/>
              </w:rPr>
            </w:pPr>
            <w:r>
              <w:rPr>
                <w:sz w:val="15"/>
              </w:rPr>
              <w:t>731（19.13%）</w:t>
            </w:r>
          </w:p>
        </w:tc>
        <w:tc>
          <w:tcPr>
            <w:tcW w:w="1215" w:type="dxa"/>
          </w:tcPr>
          <w:p>
            <w:pPr>
              <w:pStyle w:val="TableParagraph"/>
              <w:spacing w:before="74"/>
              <w:ind w:left="118" w:right="154"/>
              <w:jc w:val="center"/>
              <w:rPr>
                <w:sz w:val="15"/>
              </w:rPr>
            </w:pPr>
            <w:r>
              <w:rPr>
                <w:sz w:val="15"/>
              </w:rPr>
              <w:t>3.0819</w:t>
            </w:r>
          </w:p>
        </w:tc>
      </w:tr>
      <w:tr>
        <w:trPr>
          <w:trHeight w:val="342" w:hRule="atLeast"/>
        </w:trPr>
        <w:tc>
          <w:tcPr>
            <w:tcW w:w="962" w:type="dxa"/>
          </w:tcPr>
          <w:p>
            <w:pPr>
              <w:pStyle w:val="TableParagraph"/>
              <w:spacing w:before="76"/>
              <w:ind w:left="48" w:right="48"/>
              <w:jc w:val="center"/>
              <w:rPr>
                <w:sz w:val="15"/>
              </w:rPr>
            </w:pPr>
            <w:r>
              <w:rPr>
                <w:sz w:val="15"/>
              </w:rPr>
              <w:t>T12（护士）</w:t>
            </w:r>
          </w:p>
        </w:tc>
        <w:tc>
          <w:tcPr>
            <w:tcW w:w="1213" w:type="dxa"/>
          </w:tcPr>
          <w:p>
            <w:pPr>
              <w:pStyle w:val="TableParagraph"/>
              <w:spacing w:before="76"/>
              <w:ind w:left="52" w:right="71"/>
              <w:jc w:val="center"/>
              <w:rPr>
                <w:sz w:val="15"/>
              </w:rPr>
            </w:pPr>
            <w:r>
              <w:rPr>
                <w:sz w:val="15"/>
              </w:rPr>
              <w:t>1571（25.93%）</w:t>
            </w:r>
          </w:p>
        </w:tc>
        <w:tc>
          <w:tcPr>
            <w:tcW w:w="1278" w:type="dxa"/>
          </w:tcPr>
          <w:p>
            <w:pPr>
              <w:pStyle w:val="TableParagraph"/>
              <w:spacing w:before="76"/>
              <w:ind w:left="72" w:right="115"/>
              <w:jc w:val="center"/>
              <w:rPr>
                <w:sz w:val="15"/>
              </w:rPr>
            </w:pPr>
            <w:r>
              <w:rPr>
                <w:sz w:val="15"/>
              </w:rPr>
              <w:t>1299（21.44%）</w:t>
            </w:r>
          </w:p>
        </w:tc>
        <w:tc>
          <w:tcPr>
            <w:tcW w:w="1153" w:type="dxa"/>
          </w:tcPr>
          <w:p>
            <w:pPr>
              <w:pStyle w:val="TableParagraph"/>
              <w:spacing w:before="76"/>
              <w:ind w:left="111" w:right="98"/>
              <w:jc w:val="center"/>
              <w:rPr>
                <w:sz w:val="15"/>
              </w:rPr>
            </w:pPr>
            <w:r>
              <w:rPr>
                <w:sz w:val="15"/>
              </w:rPr>
              <w:t>3.4861</w:t>
            </w:r>
          </w:p>
        </w:tc>
        <w:tc>
          <w:tcPr>
            <w:tcW w:w="1026" w:type="dxa"/>
          </w:tcPr>
          <w:p>
            <w:pPr>
              <w:pStyle w:val="TableParagraph"/>
              <w:spacing w:before="76"/>
              <w:ind w:left="98" w:right="63"/>
              <w:jc w:val="center"/>
              <w:rPr>
                <w:sz w:val="15"/>
              </w:rPr>
            </w:pPr>
            <w:r>
              <w:rPr>
                <w:sz w:val="15"/>
              </w:rPr>
              <w:t>T12（公众）</w:t>
            </w:r>
          </w:p>
        </w:tc>
        <w:tc>
          <w:tcPr>
            <w:tcW w:w="1233" w:type="dxa"/>
          </w:tcPr>
          <w:p>
            <w:pPr>
              <w:pStyle w:val="TableParagraph"/>
              <w:spacing w:before="76"/>
              <w:ind w:left="65" w:right="78"/>
              <w:jc w:val="center"/>
              <w:rPr>
                <w:sz w:val="15"/>
              </w:rPr>
            </w:pPr>
            <w:r>
              <w:rPr>
                <w:sz w:val="15"/>
              </w:rPr>
              <w:t>724（18.94%）</w:t>
            </w:r>
          </w:p>
        </w:tc>
        <w:tc>
          <w:tcPr>
            <w:tcW w:w="1211" w:type="dxa"/>
          </w:tcPr>
          <w:p>
            <w:pPr>
              <w:pStyle w:val="TableParagraph"/>
              <w:spacing w:before="76"/>
              <w:ind w:left="79" w:right="116"/>
              <w:jc w:val="center"/>
              <w:rPr>
                <w:sz w:val="15"/>
              </w:rPr>
            </w:pPr>
            <w:r>
              <w:rPr>
                <w:sz w:val="15"/>
              </w:rPr>
              <w:t>808（21.14%）</w:t>
            </w:r>
          </w:p>
        </w:tc>
        <w:tc>
          <w:tcPr>
            <w:tcW w:w="1215" w:type="dxa"/>
          </w:tcPr>
          <w:p>
            <w:pPr>
              <w:pStyle w:val="TableParagraph"/>
              <w:spacing w:before="76"/>
              <w:ind w:left="118" w:right="154"/>
              <w:jc w:val="center"/>
              <w:rPr>
                <w:sz w:val="15"/>
              </w:rPr>
            </w:pPr>
            <w:r>
              <w:rPr>
                <w:sz w:val="15"/>
              </w:rPr>
              <w:t>3.2202</w:t>
            </w:r>
          </w:p>
        </w:tc>
      </w:tr>
      <w:tr>
        <w:trPr>
          <w:trHeight w:val="342" w:hRule="atLeast"/>
        </w:trPr>
        <w:tc>
          <w:tcPr>
            <w:tcW w:w="962" w:type="dxa"/>
          </w:tcPr>
          <w:p>
            <w:pPr>
              <w:pStyle w:val="TableParagraph"/>
              <w:spacing w:before="74"/>
              <w:ind w:left="48" w:right="48"/>
              <w:jc w:val="center"/>
              <w:rPr>
                <w:sz w:val="15"/>
              </w:rPr>
            </w:pPr>
            <w:r>
              <w:rPr>
                <w:sz w:val="15"/>
              </w:rPr>
              <w:t>T13（护士）</w:t>
            </w:r>
          </w:p>
        </w:tc>
        <w:tc>
          <w:tcPr>
            <w:tcW w:w="1213" w:type="dxa"/>
          </w:tcPr>
          <w:p>
            <w:pPr>
              <w:pStyle w:val="TableParagraph"/>
              <w:spacing w:before="74"/>
              <w:ind w:left="51" w:right="71"/>
              <w:jc w:val="center"/>
              <w:rPr>
                <w:sz w:val="15"/>
              </w:rPr>
            </w:pPr>
            <w:r>
              <w:rPr>
                <w:sz w:val="15"/>
              </w:rPr>
              <w:t>773（12.76%）</w:t>
            </w:r>
          </w:p>
        </w:tc>
        <w:tc>
          <w:tcPr>
            <w:tcW w:w="1278" w:type="dxa"/>
          </w:tcPr>
          <w:p>
            <w:pPr>
              <w:pStyle w:val="TableParagraph"/>
              <w:spacing w:before="74"/>
              <w:ind w:left="72" w:right="115"/>
              <w:jc w:val="center"/>
              <w:rPr>
                <w:sz w:val="15"/>
              </w:rPr>
            </w:pPr>
            <w:r>
              <w:rPr>
                <w:sz w:val="15"/>
              </w:rPr>
              <w:t>752（12.41%）</w:t>
            </w:r>
          </w:p>
        </w:tc>
        <w:tc>
          <w:tcPr>
            <w:tcW w:w="1153" w:type="dxa"/>
          </w:tcPr>
          <w:p>
            <w:pPr>
              <w:pStyle w:val="TableParagraph"/>
              <w:spacing w:before="74"/>
              <w:ind w:left="111" w:right="98"/>
              <w:jc w:val="center"/>
              <w:rPr>
                <w:sz w:val="15"/>
              </w:rPr>
            </w:pPr>
            <w:r>
              <w:rPr>
                <w:sz w:val="15"/>
              </w:rPr>
              <w:t>2.8947</w:t>
            </w:r>
          </w:p>
        </w:tc>
        <w:tc>
          <w:tcPr>
            <w:tcW w:w="1026" w:type="dxa"/>
          </w:tcPr>
          <w:p>
            <w:pPr>
              <w:pStyle w:val="TableParagraph"/>
              <w:spacing w:before="74"/>
              <w:ind w:left="98" w:right="63"/>
              <w:jc w:val="center"/>
              <w:rPr>
                <w:sz w:val="15"/>
              </w:rPr>
            </w:pPr>
            <w:r>
              <w:rPr>
                <w:sz w:val="15"/>
              </w:rPr>
              <w:t>T13（公众）</w:t>
            </w:r>
          </w:p>
        </w:tc>
        <w:tc>
          <w:tcPr>
            <w:tcW w:w="1233" w:type="dxa"/>
          </w:tcPr>
          <w:p>
            <w:pPr>
              <w:pStyle w:val="TableParagraph"/>
              <w:spacing w:before="74"/>
              <w:ind w:left="63" w:right="78"/>
              <w:jc w:val="center"/>
              <w:rPr>
                <w:sz w:val="15"/>
              </w:rPr>
            </w:pPr>
            <w:r>
              <w:rPr>
                <w:sz w:val="15"/>
              </w:rPr>
              <w:t>376（9.84%）</w:t>
            </w:r>
          </w:p>
        </w:tc>
        <w:tc>
          <w:tcPr>
            <w:tcW w:w="1211" w:type="dxa"/>
          </w:tcPr>
          <w:p>
            <w:pPr>
              <w:pStyle w:val="TableParagraph"/>
              <w:spacing w:before="74"/>
              <w:ind w:left="79" w:right="116"/>
              <w:jc w:val="center"/>
              <w:rPr>
                <w:sz w:val="15"/>
              </w:rPr>
            </w:pPr>
            <w:r>
              <w:rPr>
                <w:sz w:val="15"/>
              </w:rPr>
              <w:t>521（13.63%）</w:t>
            </w:r>
          </w:p>
        </w:tc>
        <w:tc>
          <w:tcPr>
            <w:tcW w:w="1215" w:type="dxa"/>
          </w:tcPr>
          <w:p>
            <w:pPr>
              <w:pStyle w:val="TableParagraph"/>
              <w:spacing w:before="74"/>
              <w:ind w:left="118" w:right="154"/>
              <w:jc w:val="center"/>
              <w:rPr>
                <w:sz w:val="15"/>
              </w:rPr>
            </w:pPr>
            <w:r>
              <w:rPr>
                <w:sz w:val="15"/>
              </w:rPr>
              <w:t>2.7703</w:t>
            </w:r>
          </w:p>
        </w:tc>
      </w:tr>
      <w:tr>
        <w:trPr>
          <w:trHeight w:val="343" w:hRule="atLeast"/>
        </w:trPr>
        <w:tc>
          <w:tcPr>
            <w:tcW w:w="962" w:type="dxa"/>
            <w:tcBorders>
              <w:bottom w:val="single" w:sz="6" w:space="0" w:color="000000"/>
            </w:tcBorders>
          </w:tcPr>
          <w:p>
            <w:pPr>
              <w:pStyle w:val="TableParagraph"/>
              <w:spacing w:before="76"/>
              <w:ind w:left="48" w:right="48"/>
              <w:jc w:val="center"/>
              <w:rPr>
                <w:sz w:val="15"/>
              </w:rPr>
            </w:pPr>
            <w:r>
              <w:rPr>
                <w:sz w:val="15"/>
              </w:rPr>
              <w:t>T14（护士）</w:t>
            </w:r>
          </w:p>
        </w:tc>
        <w:tc>
          <w:tcPr>
            <w:tcW w:w="1213" w:type="dxa"/>
            <w:tcBorders>
              <w:bottom w:val="single" w:sz="6" w:space="0" w:color="000000"/>
            </w:tcBorders>
          </w:tcPr>
          <w:p>
            <w:pPr>
              <w:pStyle w:val="TableParagraph"/>
              <w:spacing w:before="76"/>
              <w:ind w:left="49" w:right="71"/>
              <w:jc w:val="center"/>
              <w:rPr>
                <w:sz w:val="15"/>
              </w:rPr>
            </w:pPr>
            <w:r>
              <w:rPr>
                <w:sz w:val="15"/>
              </w:rPr>
              <w:t>703（11.6%）</w:t>
            </w:r>
          </w:p>
        </w:tc>
        <w:tc>
          <w:tcPr>
            <w:tcW w:w="1278" w:type="dxa"/>
            <w:tcBorders>
              <w:bottom w:val="single" w:sz="6" w:space="0" w:color="000000"/>
            </w:tcBorders>
          </w:tcPr>
          <w:p>
            <w:pPr>
              <w:pStyle w:val="TableParagraph"/>
              <w:spacing w:before="76"/>
              <w:ind w:left="72" w:right="115"/>
              <w:jc w:val="center"/>
              <w:rPr>
                <w:sz w:val="15"/>
              </w:rPr>
            </w:pPr>
            <w:r>
              <w:rPr>
                <w:sz w:val="15"/>
              </w:rPr>
              <w:t>640（10.56%）</w:t>
            </w:r>
          </w:p>
        </w:tc>
        <w:tc>
          <w:tcPr>
            <w:tcW w:w="1153" w:type="dxa"/>
            <w:tcBorders>
              <w:bottom w:val="single" w:sz="6" w:space="0" w:color="000000"/>
            </w:tcBorders>
          </w:tcPr>
          <w:p>
            <w:pPr>
              <w:pStyle w:val="TableParagraph"/>
              <w:spacing w:before="76"/>
              <w:ind w:left="111" w:right="98"/>
              <w:jc w:val="center"/>
              <w:rPr>
                <w:sz w:val="15"/>
              </w:rPr>
            </w:pPr>
            <w:r>
              <w:rPr>
                <w:sz w:val="15"/>
              </w:rPr>
              <w:t>2.7584</w:t>
            </w:r>
          </w:p>
        </w:tc>
        <w:tc>
          <w:tcPr>
            <w:tcW w:w="1026" w:type="dxa"/>
            <w:tcBorders>
              <w:bottom w:val="single" w:sz="6" w:space="0" w:color="000000"/>
            </w:tcBorders>
          </w:tcPr>
          <w:p>
            <w:pPr>
              <w:pStyle w:val="TableParagraph"/>
              <w:spacing w:before="76"/>
              <w:ind w:left="98" w:right="63"/>
              <w:jc w:val="center"/>
              <w:rPr>
                <w:sz w:val="15"/>
              </w:rPr>
            </w:pPr>
            <w:r>
              <w:rPr>
                <w:sz w:val="15"/>
              </w:rPr>
              <w:t>T14（公众）</w:t>
            </w:r>
          </w:p>
        </w:tc>
        <w:tc>
          <w:tcPr>
            <w:tcW w:w="1233" w:type="dxa"/>
            <w:tcBorders>
              <w:bottom w:val="single" w:sz="6" w:space="0" w:color="000000"/>
            </w:tcBorders>
          </w:tcPr>
          <w:p>
            <w:pPr>
              <w:pStyle w:val="TableParagraph"/>
              <w:spacing w:before="76"/>
              <w:ind w:left="63" w:right="78"/>
              <w:jc w:val="center"/>
              <w:rPr>
                <w:sz w:val="15"/>
              </w:rPr>
            </w:pPr>
            <w:r>
              <w:rPr>
                <w:sz w:val="15"/>
              </w:rPr>
              <w:t>295（7.72%）</w:t>
            </w:r>
          </w:p>
        </w:tc>
        <w:tc>
          <w:tcPr>
            <w:tcW w:w="1211" w:type="dxa"/>
            <w:tcBorders>
              <w:bottom w:val="single" w:sz="6" w:space="0" w:color="000000"/>
            </w:tcBorders>
          </w:tcPr>
          <w:p>
            <w:pPr>
              <w:pStyle w:val="TableParagraph"/>
              <w:spacing w:before="76"/>
              <w:ind w:left="79" w:right="113"/>
              <w:jc w:val="center"/>
              <w:rPr>
                <w:sz w:val="15"/>
              </w:rPr>
            </w:pPr>
            <w:r>
              <w:rPr>
                <w:sz w:val="15"/>
              </w:rPr>
              <w:t>356（9.31%）</w:t>
            </w:r>
          </w:p>
        </w:tc>
        <w:tc>
          <w:tcPr>
            <w:tcW w:w="1215" w:type="dxa"/>
            <w:tcBorders>
              <w:bottom w:val="single" w:sz="6" w:space="0" w:color="000000"/>
            </w:tcBorders>
          </w:tcPr>
          <w:p>
            <w:pPr>
              <w:pStyle w:val="TableParagraph"/>
              <w:spacing w:before="76"/>
              <w:ind w:left="118" w:right="154"/>
              <w:jc w:val="center"/>
              <w:rPr>
                <w:sz w:val="15"/>
              </w:rPr>
            </w:pPr>
            <w:r>
              <w:rPr>
                <w:sz w:val="15"/>
              </w:rPr>
              <w:t>2.4872</w:t>
            </w:r>
          </w:p>
        </w:tc>
      </w:tr>
      <w:tr>
        <w:trPr>
          <w:trHeight w:val="340" w:hRule="atLeast"/>
        </w:trPr>
        <w:tc>
          <w:tcPr>
            <w:tcW w:w="962" w:type="dxa"/>
            <w:tcBorders>
              <w:top w:val="single" w:sz="6" w:space="0" w:color="000000"/>
            </w:tcBorders>
          </w:tcPr>
          <w:p>
            <w:pPr>
              <w:pStyle w:val="TableParagraph"/>
              <w:spacing w:before="73"/>
              <w:ind w:left="48" w:right="48"/>
              <w:jc w:val="center"/>
              <w:rPr>
                <w:sz w:val="15"/>
              </w:rPr>
            </w:pPr>
            <w:r>
              <w:rPr>
                <w:sz w:val="15"/>
              </w:rPr>
              <w:t>T10（药师）</w:t>
            </w:r>
          </w:p>
        </w:tc>
        <w:tc>
          <w:tcPr>
            <w:tcW w:w="1213" w:type="dxa"/>
            <w:tcBorders>
              <w:top w:val="single" w:sz="6" w:space="0" w:color="000000"/>
            </w:tcBorders>
          </w:tcPr>
          <w:p>
            <w:pPr>
              <w:pStyle w:val="TableParagraph"/>
              <w:spacing w:before="73"/>
              <w:ind w:left="52" w:right="71"/>
              <w:jc w:val="center"/>
              <w:rPr>
                <w:sz w:val="15"/>
              </w:rPr>
            </w:pPr>
            <w:r>
              <w:rPr>
                <w:sz w:val="15"/>
              </w:rPr>
              <w:t>6793（75.96%）</w:t>
            </w:r>
          </w:p>
        </w:tc>
        <w:tc>
          <w:tcPr>
            <w:tcW w:w="1278" w:type="dxa"/>
            <w:tcBorders>
              <w:top w:val="single" w:sz="6" w:space="0" w:color="000000"/>
            </w:tcBorders>
          </w:tcPr>
          <w:p>
            <w:pPr>
              <w:pStyle w:val="TableParagraph"/>
              <w:spacing w:before="73"/>
              <w:ind w:left="72" w:right="115"/>
              <w:jc w:val="center"/>
              <w:rPr>
                <w:sz w:val="15"/>
              </w:rPr>
            </w:pPr>
            <w:r>
              <w:rPr>
                <w:sz w:val="15"/>
              </w:rPr>
              <w:t>1600（17.89%）</w:t>
            </w:r>
          </w:p>
        </w:tc>
        <w:tc>
          <w:tcPr>
            <w:tcW w:w="1153" w:type="dxa"/>
            <w:tcBorders>
              <w:top w:val="single" w:sz="6" w:space="0" w:color="000000"/>
            </w:tcBorders>
          </w:tcPr>
          <w:p>
            <w:pPr>
              <w:pStyle w:val="TableParagraph"/>
              <w:spacing w:before="73"/>
              <w:ind w:left="111" w:right="98"/>
              <w:jc w:val="center"/>
              <w:rPr>
                <w:sz w:val="15"/>
              </w:rPr>
            </w:pPr>
            <w:r>
              <w:rPr>
                <w:sz w:val="15"/>
              </w:rPr>
              <w:t>4.6827</w:t>
            </w:r>
          </w:p>
        </w:tc>
        <w:tc>
          <w:tcPr>
            <w:tcW w:w="1026" w:type="dxa"/>
            <w:tcBorders>
              <w:top w:val="single" w:sz="6" w:space="0" w:color="000000"/>
            </w:tcBorders>
          </w:tcPr>
          <w:p>
            <w:pPr>
              <w:pStyle w:val="TableParagraph"/>
              <w:spacing w:before="73"/>
              <w:ind w:left="98" w:right="63"/>
              <w:jc w:val="center"/>
              <w:rPr>
                <w:sz w:val="15"/>
              </w:rPr>
            </w:pPr>
            <w:r>
              <w:rPr>
                <w:sz w:val="15"/>
              </w:rPr>
              <w:t>T10（医生）</w:t>
            </w:r>
          </w:p>
        </w:tc>
        <w:tc>
          <w:tcPr>
            <w:tcW w:w="1233" w:type="dxa"/>
            <w:tcBorders>
              <w:top w:val="single" w:sz="6" w:space="0" w:color="000000"/>
            </w:tcBorders>
          </w:tcPr>
          <w:p>
            <w:pPr>
              <w:pStyle w:val="TableParagraph"/>
              <w:spacing w:before="73"/>
              <w:ind w:left="65" w:right="78"/>
              <w:jc w:val="center"/>
              <w:rPr>
                <w:sz w:val="15"/>
              </w:rPr>
            </w:pPr>
            <w:r>
              <w:rPr>
                <w:sz w:val="15"/>
              </w:rPr>
              <w:t>454（14.41%）</w:t>
            </w:r>
          </w:p>
        </w:tc>
        <w:tc>
          <w:tcPr>
            <w:tcW w:w="1211" w:type="dxa"/>
            <w:tcBorders>
              <w:top w:val="single" w:sz="6" w:space="0" w:color="000000"/>
            </w:tcBorders>
          </w:tcPr>
          <w:p>
            <w:pPr>
              <w:pStyle w:val="TableParagraph"/>
              <w:spacing w:before="73"/>
              <w:ind w:left="79" w:right="116"/>
              <w:jc w:val="center"/>
              <w:rPr>
                <w:sz w:val="15"/>
              </w:rPr>
            </w:pPr>
            <w:r>
              <w:rPr>
                <w:sz w:val="15"/>
              </w:rPr>
              <w:t>671（21.29%）</w:t>
            </w:r>
          </w:p>
        </w:tc>
        <w:tc>
          <w:tcPr>
            <w:tcW w:w="1215" w:type="dxa"/>
            <w:tcBorders>
              <w:top w:val="single" w:sz="6" w:space="0" w:color="000000"/>
            </w:tcBorders>
          </w:tcPr>
          <w:p>
            <w:pPr>
              <w:pStyle w:val="TableParagraph"/>
              <w:spacing w:before="73"/>
              <w:ind w:left="118" w:right="154"/>
              <w:jc w:val="center"/>
              <w:rPr>
                <w:sz w:val="15"/>
              </w:rPr>
            </w:pPr>
            <w:r>
              <w:rPr>
                <w:sz w:val="15"/>
              </w:rPr>
              <w:t>3.1581</w:t>
            </w:r>
          </w:p>
        </w:tc>
      </w:tr>
      <w:tr>
        <w:trPr>
          <w:trHeight w:val="342" w:hRule="atLeast"/>
        </w:trPr>
        <w:tc>
          <w:tcPr>
            <w:tcW w:w="962" w:type="dxa"/>
          </w:tcPr>
          <w:p>
            <w:pPr>
              <w:pStyle w:val="TableParagraph"/>
              <w:spacing w:before="76"/>
              <w:ind w:left="48" w:right="48"/>
              <w:jc w:val="center"/>
              <w:rPr>
                <w:sz w:val="15"/>
              </w:rPr>
            </w:pPr>
            <w:r>
              <w:rPr>
                <w:sz w:val="15"/>
              </w:rPr>
              <w:t>T11（药师）</w:t>
            </w:r>
          </w:p>
        </w:tc>
        <w:tc>
          <w:tcPr>
            <w:tcW w:w="1213" w:type="dxa"/>
          </w:tcPr>
          <w:p>
            <w:pPr>
              <w:pStyle w:val="TableParagraph"/>
              <w:spacing w:before="76"/>
              <w:ind w:left="52" w:right="71"/>
              <w:jc w:val="center"/>
              <w:rPr>
                <w:sz w:val="15"/>
              </w:rPr>
            </w:pPr>
            <w:r>
              <w:rPr>
                <w:sz w:val="15"/>
              </w:rPr>
              <w:t>2577（28.82%）</w:t>
            </w:r>
          </w:p>
        </w:tc>
        <w:tc>
          <w:tcPr>
            <w:tcW w:w="1278" w:type="dxa"/>
          </w:tcPr>
          <w:p>
            <w:pPr>
              <w:pStyle w:val="TableParagraph"/>
              <w:spacing w:before="76"/>
              <w:ind w:left="72" w:right="115"/>
              <w:jc w:val="center"/>
              <w:rPr>
                <w:sz w:val="15"/>
              </w:rPr>
            </w:pPr>
            <w:r>
              <w:rPr>
                <w:sz w:val="15"/>
              </w:rPr>
              <w:t>2525（28.23%）</w:t>
            </w:r>
          </w:p>
        </w:tc>
        <w:tc>
          <w:tcPr>
            <w:tcW w:w="1153" w:type="dxa"/>
          </w:tcPr>
          <w:p>
            <w:pPr>
              <w:pStyle w:val="TableParagraph"/>
              <w:spacing w:before="76"/>
              <w:ind w:left="111" w:right="98"/>
              <w:jc w:val="center"/>
              <w:rPr>
                <w:sz w:val="15"/>
              </w:rPr>
            </w:pPr>
            <w:r>
              <w:rPr>
                <w:sz w:val="15"/>
              </w:rPr>
              <w:t>3.7109</w:t>
            </w:r>
          </w:p>
        </w:tc>
        <w:tc>
          <w:tcPr>
            <w:tcW w:w="1026" w:type="dxa"/>
          </w:tcPr>
          <w:p>
            <w:pPr>
              <w:pStyle w:val="TableParagraph"/>
              <w:spacing w:before="76"/>
              <w:ind w:left="98" w:right="63"/>
              <w:jc w:val="center"/>
              <w:rPr>
                <w:sz w:val="15"/>
              </w:rPr>
            </w:pPr>
            <w:r>
              <w:rPr>
                <w:sz w:val="15"/>
              </w:rPr>
              <w:t>T11（医生）</w:t>
            </w:r>
          </w:p>
        </w:tc>
        <w:tc>
          <w:tcPr>
            <w:tcW w:w="1233" w:type="dxa"/>
          </w:tcPr>
          <w:p>
            <w:pPr>
              <w:pStyle w:val="TableParagraph"/>
              <w:spacing w:before="76"/>
              <w:ind w:left="65" w:right="78"/>
              <w:jc w:val="center"/>
              <w:rPr>
                <w:sz w:val="15"/>
              </w:rPr>
            </w:pPr>
            <w:r>
              <w:rPr>
                <w:sz w:val="15"/>
              </w:rPr>
              <w:t>704（22.34%）</w:t>
            </w:r>
          </w:p>
        </w:tc>
        <w:tc>
          <w:tcPr>
            <w:tcW w:w="1211" w:type="dxa"/>
          </w:tcPr>
          <w:p>
            <w:pPr>
              <w:pStyle w:val="TableParagraph"/>
              <w:spacing w:before="76"/>
              <w:ind w:left="79" w:right="116"/>
              <w:jc w:val="center"/>
              <w:rPr>
                <w:sz w:val="15"/>
              </w:rPr>
            </w:pPr>
            <w:r>
              <w:rPr>
                <w:sz w:val="15"/>
              </w:rPr>
              <w:t>720（22.85%）</w:t>
            </w:r>
          </w:p>
        </w:tc>
        <w:tc>
          <w:tcPr>
            <w:tcW w:w="1215" w:type="dxa"/>
          </w:tcPr>
          <w:p>
            <w:pPr>
              <w:pStyle w:val="TableParagraph"/>
              <w:spacing w:before="76"/>
              <w:ind w:left="118" w:right="154"/>
              <w:jc w:val="center"/>
              <w:rPr>
                <w:sz w:val="15"/>
              </w:rPr>
            </w:pPr>
            <w:r>
              <w:rPr>
                <w:sz w:val="15"/>
              </w:rPr>
              <w:t>3.3661</w:t>
            </w:r>
          </w:p>
        </w:tc>
      </w:tr>
      <w:tr>
        <w:trPr>
          <w:trHeight w:val="342" w:hRule="atLeast"/>
        </w:trPr>
        <w:tc>
          <w:tcPr>
            <w:tcW w:w="962" w:type="dxa"/>
          </w:tcPr>
          <w:p>
            <w:pPr>
              <w:pStyle w:val="TableParagraph"/>
              <w:spacing w:before="74"/>
              <w:ind w:left="48" w:right="48"/>
              <w:jc w:val="center"/>
              <w:rPr>
                <w:sz w:val="15"/>
              </w:rPr>
            </w:pPr>
            <w:r>
              <w:rPr>
                <w:sz w:val="15"/>
              </w:rPr>
              <w:t>T12（药师）</w:t>
            </w:r>
          </w:p>
        </w:tc>
        <w:tc>
          <w:tcPr>
            <w:tcW w:w="1213" w:type="dxa"/>
          </w:tcPr>
          <w:p>
            <w:pPr>
              <w:pStyle w:val="TableParagraph"/>
              <w:spacing w:before="74"/>
              <w:ind w:left="52" w:right="71"/>
              <w:jc w:val="center"/>
              <w:rPr>
                <w:sz w:val="15"/>
              </w:rPr>
            </w:pPr>
            <w:r>
              <w:rPr>
                <w:sz w:val="15"/>
              </w:rPr>
              <w:t>3253（36.37%）</w:t>
            </w:r>
          </w:p>
        </w:tc>
        <w:tc>
          <w:tcPr>
            <w:tcW w:w="1278" w:type="dxa"/>
          </w:tcPr>
          <w:p>
            <w:pPr>
              <w:pStyle w:val="TableParagraph"/>
              <w:spacing w:before="74"/>
              <w:ind w:left="72" w:right="115"/>
              <w:jc w:val="center"/>
              <w:rPr>
                <w:sz w:val="15"/>
              </w:rPr>
            </w:pPr>
            <w:r>
              <w:rPr>
                <w:sz w:val="15"/>
              </w:rPr>
              <w:t>2342（26.19%）</w:t>
            </w:r>
          </w:p>
        </w:tc>
        <w:tc>
          <w:tcPr>
            <w:tcW w:w="1153" w:type="dxa"/>
          </w:tcPr>
          <w:p>
            <w:pPr>
              <w:pStyle w:val="TableParagraph"/>
              <w:spacing w:before="74"/>
              <w:ind w:left="111" w:right="98"/>
              <w:jc w:val="center"/>
              <w:rPr>
                <w:sz w:val="15"/>
              </w:rPr>
            </w:pPr>
            <w:r>
              <w:rPr>
                <w:sz w:val="15"/>
              </w:rPr>
              <w:t>3.8231</w:t>
            </w:r>
          </w:p>
        </w:tc>
        <w:tc>
          <w:tcPr>
            <w:tcW w:w="1026" w:type="dxa"/>
          </w:tcPr>
          <w:p>
            <w:pPr>
              <w:pStyle w:val="TableParagraph"/>
              <w:spacing w:before="74"/>
              <w:ind w:left="98" w:right="63"/>
              <w:jc w:val="center"/>
              <w:rPr>
                <w:sz w:val="15"/>
              </w:rPr>
            </w:pPr>
            <w:r>
              <w:rPr>
                <w:sz w:val="15"/>
              </w:rPr>
              <w:t>T12（医生）</w:t>
            </w:r>
          </w:p>
        </w:tc>
        <w:tc>
          <w:tcPr>
            <w:tcW w:w="1233" w:type="dxa"/>
          </w:tcPr>
          <w:p>
            <w:pPr>
              <w:pStyle w:val="TableParagraph"/>
              <w:spacing w:before="74"/>
              <w:ind w:left="65" w:right="78"/>
              <w:jc w:val="center"/>
              <w:rPr>
                <w:sz w:val="15"/>
              </w:rPr>
            </w:pPr>
            <w:r>
              <w:rPr>
                <w:sz w:val="15"/>
              </w:rPr>
              <w:t>354（11.23%）</w:t>
            </w:r>
          </w:p>
        </w:tc>
        <w:tc>
          <w:tcPr>
            <w:tcW w:w="1211" w:type="dxa"/>
          </w:tcPr>
          <w:p>
            <w:pPr>
              <w:pStyle w:val="TableParagraph"/>
              <w:spacing w:before="74"/>
              <w:ind w:left="79" w:right="116"/>
              <w:jc w:val="center"/>
              <w:rPr>
                <w:sz w:val="15"/>
              </w:rPr>
            </w:pPr>
            <w:r>
              <w:rPr>
                <w:sz w:val="15"/>
              </w:rPr>
              <w:t>477（15.14%）</w:t>
            </w:r>
          </w:p>
        </w:tc>
        <w:tc>
          <w:tcPr>
            <w:tcW w:w="1215" w:type="dxa"/>
          </w:tcPr>
          <w:p>
            <w:pPr>
              <w:pStyle w:val="TableParagraph"/>
              <w:spacing w:before="74"/>
              <w:ind w:left="118" w:right="153"/>
              <w:jc w:val="center"/>
              <w:rPr>
                <w:sz w:val="15"/>
              </w:rPr>
            </w:pPr>
            <w:r>
              <w:rPr>
                <w:sz w:val="15"/>
              </w:rPr>
              <w:t>2.861</w:t>
            </w:r>
          </w:p>
        </w:tc>
      </w:tr>
      <w:tr>
        <w:trPr>
          <w:trHeight w:val="342" w:hRule="atLeast"/>
        </w:trPr>
        <w:tc>
          <w:tcPr>
            <w:tcW w:w="962" w:type="dxa"/>
          </w:tcPr>
          <w:p>
            <w:pPr>
              <w:pStyle w:val="TableParagraph"/>
              <w:spacing w:before="76"/>
              <w:ind w:left="48" w:right="48"/>
              <w:jc w:val="center"/>
              <w:rPr>
                <w:sz w:val="15"/>
              </w:rPr>
            </w:pPr>
            <w:r>
              <w:rPr>
                <w:sz w:val="15"/>
              </w:rPr>
              <w:t>T13（药师）</w:t>
            </w:r>
          </w:p>
        </w:tc>
        <w:tc>
          <w:tcPr>
            <w:tcW w:w="1213" w:type="dxa"/>
          </w:tcPr>
          <w:p>
            <w:pPr>
              <w:pStyle w:val="TableParagraph"/>
              <w:spacing w:before="76"/>
              <w:ind w:left="52" w:right="71"/>
              <w:jc w:val="center"/>
              <w:rPr>
                <w:sz w:val="15"/>
              </w:rPr>
            </w:pPr>
            <w:r>
              <w:rPr>
                <w:sz w:val="15"/>
              </w:rPr>
              <w:t>1861（20.81%）</w:t>
            </w:r>
          </w:p>
        </w:tc>
        <w:tc>
          <w:tcPr>
            <w:tcW w:w="1278" w:type="dxa"/>
          </w:tcPr>
          <w:p>
            <w:pPr>
              <w:pStyle w:val="TableParagraph"/>
              <w:spacing w:before="76"/>
              <w:ind w:left="72" w:right="115"/>
              <w:jc w:val="center"/>
              <w:rPr>
                <w:sz w:val="15"/>
              </w:rPr>
            </w:pPr>
            <w:r>
              <w:rPr>
                <w:sz w:val="15"/>
              </w:rPr>
              <w:t>1927（21.55%）</w:t>
            </w:r>
          </w:p>
        </w:tc>
        <w:tc>
          <w:tcPr>
            <w:tcW w:w="1153" w:type="dxa"/>
          </w:tcPr>
          <w:p>
            <w:pPr>
              <w:pStyle w:val="TableParagraph"/>
              <w:spacing w:before="76"/>
              <w:ind w:left="111" w:right="98"/>
              <w:jc w:val="center"/>
              <w:rPr>
                <w:sz w:val="15"/>
              </w:rPr>
            </w:pPr>
            <w:r>
              <w:rPr>
                <w:sz w:val="15"/>
              </w:rPr>
              <w:t>3.3499</w:t>
            </w:r>
          </w:p>
        </w:tc>
        <w:tc>
          <w:tcPr>
            <w:tcW w:w="1026" w:type="dxa"/>
          </w:tcPr>
          <w:p>
            <w:pPr>
              <w:pStyle w:val="TableParagraph"/>
              <w:spacing w:before="76"/>
              <w:ind w:left="98" w:right="63"/>
              <w:jc w:val="center"/>
              <w:rPr>
                <w:sz w:val="15"/>
              </w:rPr>
            </w:pPr>
            <w:r>
              <w:rPr>
                <w:sz w:val="15"/>
              </w:rPr>
              <w:t>T13（医生）</w:t>
            </w:r>
          </w:p>
        </w:tc>
        <w:tc>
          <w:tcPr>
            <w:tcW w:w="1233" w:type="dxa"/>
          </w:tcPr>
          <w:p>
            <w:pPr>
              <w:pStyle w:val="TableParagraph"/>
              <w:spacing w:before="76"/>
              <w:ind w:left="63" w:right="78"/>
              <w:jc w:val="center"/>
              <w:rPr>
                <w:sz w:val="15"/>
              </w:rPr>
            </w:pPr>
            <w:r>
              <w:rPr>
                <w:sz w:val="15"/>
              </w:rPr>
              <w:t>298（9.46%）</w:t>
            </w:r>
          </w:p>
        </w:tc>
        <w:tc>
          <w:tcPr>
            <w:tcW w:w="1211" w:type="dxa"/>
          </w:tcPr>
          <w:p>
            <w:pPr>
              <w:pStyle w:val="TableParagraph"/>
              <w:spacing w:before="76"/>
              <w:ind w:left="79" w:right="113"/>
              <w:jc w:val="center"/>
              <w:rPr>
                <w:sz w:val="15"/>
              </w:rPr>
            </w:pPr>
            <w:r>
              <w:rPr>
                <w:sz w:val="15"/>
              </w:rPr>
              <w:t>314（9.97%）</w:t>
            </w:r>
          </w:p>
        </w:tc>
        <w:tc>
          <w:tcPr>
            <w:tcW w:w="1215" w:type="dxa"/>
          </w:tcPr>
          <w:p>
            <w:pPr>
              <w:pStyle w:val="TableParagraph"/>
              <w:spacing w:before="76"/>
              <w:ind w:left="118" w:right="154"/>
              <w:jc w:val="center"/>
              <w:rPr>
                <w:sz w:val="15"/>
              </w:rPr>
            </w:pPr>
            <w:r>
              <w:rPr>
                <w:sz w:val="15"/>
              </w:rPr>
              <w:t>2.5998</w:t>
            </w:r>
          </w:p>
        </w:tc>
      </w:tr>
      <w:tr>
        <w:trPr>
          <w:trHeight w:val="344" w:hRule="atLeast"/>
        </w:trPr>
        <w:tc>
          <w:tcPr>
            <w:tcW w:w="962" w:type="dxa"/>
            <w:tcBorders>
              <w:bottom w:val="single" w:sz="12" w:space="0" w:color="000000"/>
            </w:tcBorders>
          </w:tcPr>
          <w:p>
            <w:pPr>
              <w:pStyle w:val="TableParagraph"/>
              <w:spacing w:before="74"/>
              <w:ind w:left="48" w:right="48"/>
              <w:jc w:val="center"/>
              <w:rPr>
                <w:sz w:val="15"/>
              </w:rPr>
            </w:pPr>
            <w:r>
              <w:rPr>
                <w:sz w:val="15"/>
              </w:rPr>
              <w:t>T14（药师）</w:t>
            </w:r>
          </w:p>
        </w:tc>
        <w:tc>
          <w:tcPr>
            <w:tcW w:w="1213" w:type="dxa"/>
            <w:tcBorders>
              <w:bottom w:val="single" w:sz="12" w:space="0" w:color="000000"/>
            </w:tcBorders>
          </w:tcPr>
          <w:p>
            <w:pPr>
              <w:pStyle w:val="TableParagraph"/>
              <w:spacing w:before="74"/>
              <w:ind w:left="52" w:right="71"/>
              <w:jc w:val="center"/>
              <w:rPr>
                <w:sz w:val="15"/>
              </w:rPr>
            </w:pPr>
            <w:r>
              <w:rPr>
                <w:sz w:val="15"/>
              </w:rPr>
              <w:t>1257（14.06%）</w:t>
            </w:r>
          </w:p>
        </w:tc>
        <w:tc>
          <w:tcPr>
            <w:tcW w:w="1278" w:type="dxa"/>
            <w:tcBorders>
              <w:bottom w:val="single" w:sz="12" w:space="0" w:color="000000"/>
            </w:tcBorders>
          </w:tcPr>
          <w:p>
            <w:pPr>
              <w:pStyle w:val="TableParagraph"/>
              <w:spacing w:before="74"/>
              <w:ind w:left="72" w:right="115"/>
              <w:jc w:val="center"/>
              <w:rPr>
                <w:sz w:val="15"/>
              </w:rPr>
            </w:pPr>
            <w:r>
              <w:rPr>
                <w:sz w:val="15"/>
              </w:rPr>
              <w:t>1207（13.50%）</w:t>
            </w:r>
          </w:p>
        </w:tc>
        <w:tc>
          <w:tcPr>
            <w:tcW w:w="1153" w:type="dxa"/>
            <w:tcBorders>
              <w:bottom w:val="single" w:sz="12" w:space="0" w:color="000000"/>
            </w:tcBorders>
          </w:tcPr>
          <w:p>
            <w:pPr>
              <w:pStyle w:val="TableParagraph"/>
              <w:spacing w:before="74"/>
              <w:ind w:left="111" w:right="98"/>
              <w:jc w:val="center"/>
              <w:rPr>
                <w:sz w:val="15"/>
              </w:rPr>
            </w:pPr>
            <w:r>
              <w:rPr>
                <w:sz w:val="15"/>
              </w:rPr>
              <w:t>2.837</w:t>
            </w:r>
          </w:p>
        </w:tc>
        <w:tc>
          <w:tcPr>
            <w:tcW w:w="1026" w:type="dxa"/>
            <w:tcBorders>
              <w:bottom w:val="single" w:sz="12" w:space="0" w:color="000000"/>
            </w:tcBorders>
          </w:tcPr>
          <w:p>
            <w:pPr>
              <w:pStyle w:val="TableParagraph"/>
              <w:rPr>
                <w:rFonts w:ascii="Times New Roman"/>
                <w:sz w:val="18"/>
              </w:rPr>
            </w:pPr>
          </w:p>
        </w:tc>
        <w:tc>
          <w:tcPr>
            <w:tcW w:w="1233" w:type="dxa"/>
            <w:tcBorders>
              <w:bottom w:val="single" w:sz="12" w:space="0" w:color="000000"/>
            </w:tcBorders>
          </w:tcPr>
          <w:p>
            <w:pPr>
              <w:pStyle w:val="TableParagraph"/>
              <w:rPr>
                <w:rFonts w:ascii="Times New Roman"/>
                <w:sz w:val="18"/>
              </w:rPr>
            </w:pPr>
          </w:p>
        </w:tc>
        <w:tc>
          <w:tcPr>
            <w:tcW w:w="1211" w:type="dxa"/>
            <w:tcBorders>
              <w:bottom w:val="single" w:sz="12" w:space="0" w:color="000000"/>
            </w:tcBorders>
          </w:tcPr>
          <w:p>
            <w:pPr>
              <w:pStyle w:val="TableParagraph"/>
              <w:rPr>
                <w:rFonts w:ascii="Times New Roman"/>
                <w:sz w:val="18"/>
              </w:rPr>
            </w:pPr>
          </w:p>
        </w:tc>
        <w:tc>
          <w:tcPr>
            <w:tcW w:w="1215" w:type="dxa"/>
            <w:tcBorders>
              <w:bottom w:val="single" w:sz="12" w:space="0" w:color="000000"/>
            </w:tcBorders>
          </w:tcPr>
          <w:p>
            <w:pPr>
              <w:pStyle w:val="TableParagraph"/>
              <w:rPr>
                <w:rFonts w:ascii="Times New Roman"/>
                <w:sz w:val="18"/>
              </w:rPr>
            </w:pPr>
          </w:p>
        </w:tc>
      </w:tr>
    </w:tbl>
    <w:p>
      <w:pPr>
        <w:pStyle w:val="BodyText"/>
        <w:spacing w:line="249" w:lineRule="auto" w:before="16"/>
        <w:ind w:right="285"/>
        <w:rPr>
          <w:rFonts w:ascii="楷体" w:hAnsi="楷体" w:eastAsia="楷体" w:hint="eastAsia"/>
        </w:rPr>
      </w:pPr>
      <w:r>
        <w:rPr>
          <w:rFonts w:ascii="楷体" w:hAnsi="楷体" w:eastAsia="楷体" w:hint="eastAsia"/>
        </w:rPr>
        <w:t>注：T10（护士、药师、公众）：处方权是指具有开具药品处方的权力，我国规定目前只有注册的执业医师和执业助理医师可以开具处方。T10（医生）、T11（护士、药师、公众</w:t>
      </w:r>
      <w:r>
        <w:rPr>
          <w:rFonts w:ascii="楷体" w:hAnsi="楷体" w:eastAsia="楷体" w:hint="eastAsia"/>
          <w:spacing w:val="-8"/>
        </w:rPr>
        <w:t>）： </w:t>
      </w:r>
      <w:r>
        <w:rPr>
          <w:rFonts w:ascii="楷体" w:hAnsi="楷体" w:eastAsia="楷体" w:hint="eastAsia"/>
          <w:spacing w:val="-7"/>
        </w:rPr>
        <w:t>一些国家和地区的药师赋予“部分”处方权。药师“部分”处方权与医生处方权不同，是在</w:t>
      </w:r>
      <w:r>
        <w:rPr>
          <w:rFonts w:ascii="楷体" w:hAnsi="楷体" w:eastAsia="楷体" w:hint="eastAsia"/>
          <w:spacing w:val="-12"/>
        </w:rPr>
        <w:t>和医院或医生达成一致协议的前提下，特别是对一些病情比较稳定的，需要长期服药的慢性</w:t>
      </w:r>
      <w:r>
        <w:rPr>
          <w:rFonts w:ascii="楷体" w:hAnsi="楷体" w:eastAsia="楷体" w:hint="eastAsia"/>
          <w:spacing w:val="-11"/>
        </w:rPr>
        <w:t>病，可以给患者开药、调整药物剂量或开与用药相关的检查。例如在美国的抗凝门诊中，药</w:t>
      </w:r>
      <w:r>
        <w:rPr>
          <w:rFonts w:ascii="楷体" w:hAnsi="楷体" w:eastAsia="楷体" w:hint="eastAsia"/>
          <w:spacing w:val="-17"/>
        </w:rPr>
        <w:t>师赋予开具抗凝药物处方的权利；在英国，药师可以开具处方集中规定的 </w:t>
      </w:r>
      <w:r>
        <w:rPr>
          <w:rFonts w:ascii="楷体" w:hAnsi="楷体" w:eastAsia="楷体" w:hint="eastAsia"/>
        </w:rPr>
        <w:t>150</w:t>
      </w:r>
      <w:r>
        <w:rPr>
          <w:rFonts w:ascii="楷体" w:hAnsi="楷体" w:eastAsia="楷体" w:hint="eastAsia"/>
          <w:spacing w:val="-14"/>
        </w:rPr>
        <w:t> 种药物。患者</w:t>
      </w:r>
      <w:r>
        <w:rPr>
          <w:rFonts w:ascii="楷体" w:hAnsi="楷体" w:eastAsia="楷体" w:hint="eastAsia"/>
          <w:spacing w:val="-17"/>
        </w:rPr>
        <w:t>可以直接通过药师开具的处方购买需要长期服用的某种药品，不必每次都去找医生开药，这</w:t>
      </w:r>
      <w:r>
        <w:rPr>
          <w:rFonts w:ascii="楷体" w:hAnsi="楷体" w:eastAsia="楷体" w:hint="eastAsia"/>
          <w:spacing w:val="-20"/>
        </w:rPr>
        <w:t>样既可以节省患者看医生的时间及费用，也可以节约医生的宝贵时间，使医生有更多的时间投入到患者的整体治疗以及疑难病患者的诊治。T11（医生）、T12（护士、药师、公众</w:t>
      </w:r>
      <w:r>
        <w:rPr>
          <w:rFonts w:ascii="楷体" w:hAnsi="楷体" w:eastAsia="楷体" w:hint="eastAsia"/>
          <w:spacing w:val="-8"/>
        </w:rPr>
        <w:t>）： </w:t>
      </w:r>
      <w:r>
        <w:rPr>
          <w:rFonts w:ascii="楷体" w:hAnsi="楷体" w:eastAsia="楷体" w:hint="eastAsia"/>
        </w:rPr>
        <w:t>药师</w:t>
      </w:r>
      <w:r>
        <w:rPr>
          <w:rFonts w:ascii="楷体" w:hAnsi="楷体" w:eastAsia="楷体" w:hint="eastAsia"/>
          <w:spacing w:val="-17"/>
        </w:rPr>
        <w:t>）</w:t>
      </w:r>
      <w:r>
        <w:rPr>
          <w:rFonts w:ascii="楷体" w:hAnsi="楷体" w:eastAsia="楷体" w:hint="eastAsia"/>
          <w:spacing w:val="-9"/>
        </w:rPr>
        <w:t>赋予“部分”处方权的国家和地区，都有规定：药师需要经过相关的培训和考核，合</w:t>
      </w:r>
      <w:r>
        <w:rPr>
          <w:rFonts w:ascii="楷体" w:hAnsi="楷体" w:eastAsia="楷体" w:hint="eastAsia"/>
          <w:spacing w:val="-12"/>
        </w:rPr>
        <w:t>格后才可以开具处方。</w:t>
      </w:r>
      <w:r>
        <w:rPr>
          <w:rFonts w:ascii="楷体" w:hAnsi="楷体" w:eastAsia="楷体" w:hint="eastAsia"/>
          <w:spacing w:val="-9"/>
        </w:rPr>
        <w:t>T12（</w:t>
      </w:r>
      <w:r>
        <w:rPr>
          <w:rFonts w:ascii="楷体" w:hAnsi="楷体" w:eastAsia="楷体" w:hint="eastAsia"/>
        </w:rPr>
        <w:t>医生</w:t>
      </w:r>
      <w:r>
        <w:rPr>
          <w:rFonts w:ascii="楷体" w:hAnsi="楷体" w:eastAsia="楷体" w:hint="eastAsia"/>
          <w:spacing w:val="-34"/>
        </w:rPr>
        <w:t>）、</w:t>
      </w:r>
      <w:r>
        <w:rPr>
          <w:rFonts w:ascii="楷体" w:hAnsi="楷体" w:eastAsia="楷体" w:hint="eastAsia"/>
          <w:spacing w:val="-9"/>
        </w:rPr>
        <w:t>T13（</w:t>
      </w:r>
      <w:r>
        <w:rPr>
          <w:rFonts w:ascii="楷体" w:hAnsi="楷体" w:eastAsia="楷体" w:hint="eastAsia"/>
          <w:spacing w:val="-11"/>
        </w:rPr>
        <w:t>护士、药师、公众</w:t>
      </w:r>
      <w:r>
        <w:rPr>
          <w:rFonts w:ascii="楷体" w:hAnsi="楷体" w:eastAsia="楷体" w:hint="eastAsia"/>
          <w:spacing w:val="-34"/>
        </w:rPr>
        <w:t>）：</w:t>
      </w:r>
      <w:r>
        <w:rPr>
          <w:rFonts w:ascii="楷体" w:hAnsi="楷体" w:eastAsia="楷体" w:hint="eastAsia"/>
          <w:spacing w:val="-6"/>
        </w:rPr>
        <w:t>国外仅有少数药师赋予“部</w:t>
      </w:r>
      <w:r>
        <w:rPr>
          <w:rFonts w:ascii="楷体" w:hAnsi="楷体" w:eastAsia="楷体" w:hint="eastAsia"/>
          <w:spacing w:val="-5"/>
        </w:rPr>
        <w:t>分”处方权。</w:t>
      </w:r>
      <w:r>
        <w:rPr>
          <w:rFonts w:ascii="楷体" w:hAnsi="楷体" w:eastAsia="楷体" w:hint="eastAsia"/>
          <w:spacing w:val="-3"/>
        </w:rPr>
        <w:t>T13（</w:t>
      </w:r>
      <w:r>
        <w:rPr>
          <w:rFonts w:ascii="楷体" w:hAnsi="楷体" w:eastAsia="楷体" w:hint="eastAsia"/>
        </w:rPr>
        <w:t>医生</w:t>
      </w:r>
      <w:r>
        <w:rPr>
          <w:rFonts w:ascii="楷体" w:hAnsi="楷体" w:eastAsia="楷体" w:hint="eastAsia"/>
          <w:spacing w:val="-10"/>
        </w:rPr>
        <w:t>）</w:t>
      </w:r>
      <w:r>
        <w:rPr>
          <w:rFonts w:ascii="楷体" w:hAnsi="楷体" w:eastAsia="楷体" w:hint="eastAsia"/>
          <w:spacing w:val="-9"/>
        </w:rPr>
        <w:t>、</w:t>
      </w:r>
      <w:r>
        <w:rPr>
          <w:rFonts w:ascii="楷体" w:hAnsi="楷体" w:eastAsia="楷体" w:hint="eastAsia"/>
          <w:spacing w:val="-3"/>
        </w:rPr>
        <w:t>T14（</w:t>
      </w:r>
      <w:r>
        <w:rPr>
          <w:rFonts w:ascii="楷体" w:hAnsi="楷体" w:eastAsia="楷体" w:hint="eastAsia"/>
          <w:spacing w:val="-5"/>
        </w:rPr>
        <w:t>护士、药师、公众</w:t>
      </w:r>
      <w:r>
        <w:rPr>
          <w:rFonts w:ascii="楷体" w:hAnsi="楷体" w:eastAsia="楷体" w:hint="eastAsia"/>
          <w:spacing w:val="-10"/>
        </w:rPr>
        <w:t>）：</w:t>
      </w:r>
      <w:r>
        <w:rPr>
          <w:rFonts w:ascii="楷体" w:hAnsi="楷体" w:eastAsia="楷体" w:hint="eastAsia"/>
          <w:spacing w:val="-1"/>
        </w:rPr>
        <w:t>国外除了医生有处方权，少数护士也有“部分”处方权。</w:t>
      </w:r>
    </w:p>
    <w:p>
      <w:pPr>
        <w:pStyle w:val="ListParagraph"/>
        <w:numPr>
          <w:ilvl w:val="2"/>
          <w:numId w:val="2"/>
        </w:numPr>
        <w:tabs>
          <w:tab w:pos="1478" w:val="left" w:leader="none"/>
          <w:tab w:pos="8337" w:val="left" w:leader="none"/>
        </w:tabs>
        <w:spacing w:line="297" w:lineRule="auto" w:before="51" w:after="0"/>
        <w:ind w:left="277" w:right="386" w:firstLine="480"/>
        <w:jc w:val="left"/>
        <w:rPr>
          <w:sz w:val="24"/>
        </w:rPr>
      </w:pPr>
      <w:r>
        <w:rPr>
          <w:sz w:val="24"/>
        </w:rPr>
        <w:t>医护人员</w:t>
      </w:r>
      <w:r>
        <w:rPr>
          <w:spacing w:val="-33"/>
          <w:sz w:val="24"/>
        </w:rPr>
        <w:t>、</w:t>
      </w:r>
      <w:r>
        <w:rPr>
          <w:sz w:val="24"/>
        </w:rPr>
        <w:t>药师和公众对赋予药</w:t>
      </w:r>
      <w:r>
        <w:rPr>
          <w:spacing w:val="-34"/>
          <w:sz w:val="24"/>
        </w:rPr>
        <w:t>师</w:t>
      </w:r>
      <w:r>
        <w:rPr>
          <w:sz w:val="24"/>
        </w:rPr>
        <w:t>“部分</w:t>
      </w:r>
      <w:r>
        <w:rPr>
          <w:spacing w:val="-34"/>
          <w:sz w:val="24"/>
        </w:rPr>
        <w:t>”</w:t>
      </w:r>
      <w:r>
        <w:rPr>
          <w:sz w:val="24"/>
        </w:rPr>
        <w:t>处方权的支持度调研</w:t>
        <w:tab/>
        <w:t>采取五级评</w:t>
      </w:r>
      <w:r>
        <w:rPr>
          <w:spacing w:val="-17"/>
          <w:sz w:val="24"/>
        </w:rPr>
        <w:t>分</w:t>
      </w:r>
      <w:r>
        <w:rPr>
          <w:sz w:val="24"/>
        </w:rPr>
        <w:t>赋值法进行量化，具体人数、比例及平均量化赋值见表</w:t>
      </w:r>
      <w:r>
        <w:rPr>
          <w:spacing w:val="-60"/>
          <w:sz w:val="24"/>
        </w:rPr>
        <w:t> </w:t>
      </w:r>
      <w:r>
        <w:rPr>
          <w:sz w:val="24"/>
        </w:rPr>
        <w:t>2。</w:t>
      </w:r>
    </w:p>
    <w:p>
      <w:pPr>
        <w:pStyle w:val="BodyText"/>
        <w:spacing w:line="242" w:lineRule="exact" w:after="4"/>
        <w:rPr>
          <w:rFonts w:ascii="楷体" w:hAnsi="楷体" w:eastAsia="楷体" w:hint="eastAsia"/>
        </w:rPr>
      </w:pPr>
      <w:r>
        <w:rPr>
          <w:rFonts w:ascii="楷体" w:hAnsi="楷体" w:eastAsia="楷体" w:hint="eastAsia"/>
        </w:rPr>
        <w:t>表 2 医护人员、药师和公众对赋予药师“部分”处方权的支持度</w:t>
      </w:r>
    </w:p>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6"/>
        <w:gridCol w:w="1235"/>
        <w:gridCol w:w="1282"/>
        <w:gridCol w:w="1154"/>
        <w:gridCol w:w="1141"/>
        <w:gridCol w:w="1159"/>
        <w:gridCol w:w="1213"/>
        <w:gridCol w:w="1278"/>
      </w:tblGrid>
      <w:tr>
        <w:trPr>
          <w:trHeight w:val="315" w:hRule="atLeast"/>
        </w:trPr>
        <w:tc>
          <w:tcPr>
            <w:tcW w:w="1076" w:type="dxa"/>
            <w:tcBorders>
              <w:top w:val="single" w:sz="12" w:space="0" w:color="000000"/>
              <w:bottom w:val="single" w:sz="6" w:space="0" w:color="000000"/>
            </w:tcBorders>
          </w:tcPr>
          <w:p>
            <w:pPr>
              <w:pStyle w:val="TableParagraph"/>
              <w:spacing w:before="63"/>
              <w:ind w:left="70" w:right="64"/>
              <w:jc w:val="center"/>
              <w:rPr>
                <w:sz w:val="15"/>
              </w:rPr>
            </w:pPr>
            <w:r>
              <w:rPr>
                <w:sz w:val="15"/>
              </w:rPr>
              <w:t>题目\选项</w:t>
            </w:r>
          </w:p>
        </w:tc>
        <w:tc>
          <w:tcPr>
            <w:tcW w:w="1235" w:type="dxa"/>
            <w:tcBorders>
              <w:top w:val="single" w:sz="12" w:space="0" w:color="000000"/>
              <w:bottom w:val="single" w:sz="6" w:space="0" w:color="000000"/>
            </w:tcBorders>
          </w:tcPr>
          <w:p>
            <w:pPr>
              <w:pStyle w:val="TableParagraph"/>
              <w:spacing w:before="63"/>
              <w:ind w:left="65" w:right="78"/>
              <w:jc w:val="center"/>
              <w:rPr>
                <w:sz w:val="15"/>
              </w:rPr>
            </w:pPr>
            <w:r>
              <w:rPr>
                <w:sz w:val="15"/>
              </w:rPr>
              <w:t>完全同意</w:t>
            </w:r>
          </w:p>
        </w:tc>
        <w:tc>
          <w:tcPr>
            <w:tcW w:w="1282" w:type="dxa"/>
            <w:tcBorders>
              <w:top w:val="single" w:sz="12" w:space="0" w:color="000000"/>
              <w:bottom w:val="single" w:sz="6" w:space="0" w:color="000000"/>
            </w:tcBorders>
          </w:tcPr>
          <w:p>
            <w:pPr>
              <w:pStyle w:val="TableParagraph"/>
              <w:spacing w:before="63"/>
              <w:ind w:left="80" w:right="110"/>
              <w:jc w:val="center"/>
              <w:rPr>
                <w:sz w:val="15"/>
              </w:rPr>
            </w:pPr>
            <w:r>
              <w:rPr>
                <w:sz w:val="15"/>
              </w:rPr>
              <w:t>同意</w:t>
            </w:r>
          </w:p>
        </w:tc>
        <w:tc>
          <w:tcPr>
            <w:tcW w:w="1154" w:type="dxa"/>
            <w:tcBorders>
              <w:top w:val="single" w:sz="12" w:space="0" w:color="000000"/>
              <w:bottom w:val="single" w:sz="6" w:space="0" w:color="000000"/>
            </w:tcBorders>
          </w:tcPr>
          <w:p>
            <w:pPr>
              <w:pStyle w:val="TableParagraph"/>
              <w:spacing w:before="63"/>
              <w:ind w:left="113" w:right="100"/>
              <w:jc w:val="center"/>
              <w:rPr>
                <w:sz w:val="15"/>
              </w:rPr>
            </w:pPr>
            <w:r>
              <w:rPr>
                <w:sz w:val="15"/>
              </w:rPr>
              <w:t>平均量化赋值</w:t>
            </w:r>
          </w:p>
        </w:tc>
        <w:tc>
          <w:tcPr>
            <w:tcW w:w="1141" w:type="dxa"/>
            <w:tcBorders>
              <w:top w:val="single" w:sz="12" w:space="0" w:color="000000"/>
              <w:bottom w:val="single" w:sz="6" w:space="0" w:color="000000"/>
            </w:tcBorders>
          </w:tcPr>
          <w:p>
            <w:pPr>
              <w:pStyle w:val="TableParagraph"/>
              <w:spacing w:before="63"/>
              <w:ind w:left="102" w:right="96"/>
              <w:jc w:val="center"/>
              <w:rPr>
                <w:sz w:val="15"/>
              </w:rPr>
            </w:pPr>
            <w:r>
              <w:rPr>
                <w:sz w:val="15"/>
              </w:rPr>
              <w:t>题目\选项</w:t>
            </w:r>
          </w:p>
        </w:tc>
        <w:tc>
          <w:tcPr>
            <w:tcW w:w="1159" w:type="dxa"/>
            <w:tcBorders>
              <w:top w:val="single" w:sz="12" w:space="0" w:color="000000"/>
              <w:bottom w:val="single" w:sz="6" w:space="0" w:color="000000"/>
            </w:tcBorders>
          </w:tcPr>
          <w:p>
            <w:pPr>
              <w:pStyle w:val="TableParagraph"/>
              <w:spacing w:before="63"/>
              <w:ind w:left="101" w:right="117"/>
              <w:jc w:val="center"/>
              <w:rPr>
                <w:sz w:val="15"/>
              </w:rPr>
            </w:pPr>
            <w:r>
              <w:rPr>
                <w:sz w:val="15"/>
              </w:rPr>
              <w:t>完全同意</w:t>
            </w:r>
          </w:p>
        </w:tc>
        <w:tc>
          <w:tcPr>
            <w:tcW w:w="1213" w:type="dxa"/>
            <w:tcBorders>
              <w:top w:val="single" w:sz="12" w:space="0" w:color="000000"/>
              <w:bottom w:val="single" w:sz="6" w:space="0" w:color="000000"/>
            </w:tcBorders>
          </w:tcPr>
          <w:p>
            <w:pPr>
              <w:pStyle w:val="TableParagraph"/>
              <w:spacing w:before="63"/>
              <w:ind w:left="52" w:right="70"/>
              <w:jc w:val="center"/>
              <w:rPr>
                <w:sz w:val="15"/>
              </w:rPr>
            </w:pPr>
            <w:r>
              <w:rPr>
                <w:sz w:val="15"/>
              </w:rPr>
              <w:t>同意</w:t>
            </w:r>
          </w:p>
        </w:tc>
        <w:tc>
          <w:tcPr>
            <w:tcW w:w="1278" w:type="dxa"/>
            <w:tcBorders>
              <w:top w:val="single" w:sz="12" w:space="0" w:color="000000"/>
              <w:bottom w:val="single" w:sz="6" w:space="0" w:color="000000"/>
            </w:tcBorders>
          </w:tcPr>
          <w:p>
            <w:pPr>
              <w:pStyle w:val="TableParagraph"/>
              <w:spacing w:before="63"/>
              <w:ind w:left="72" w:right="95"/>
              <w:jc w:val="center"/>
              <w:rPr>
                <w:sz w:val="15"/>
              </w:rPr>
            </w:pPr>
            <w:r>
              <w:rPr>
                <w:sz w:val="15"/>
              </w:rPr>
              <w:t>平均量化赋值</w:t>
            </w:r>
          </w:p>
        </w:tc>
      </w:tr>
      <w:tr>
        <w:trPr>
          <w:trHeight w:val="316" w:hRule="atLeast"/>
        </w:trPr>
        <w:tc>
          <w:tcPr>
            <w:tcW w:w="1076" w:type="dxa"/>
            <w:tcBorders>
              <w:top w:val="single" w:sz="6" w:space="0" w:color="000000"/>
            </w:tcBorders>
          </w:tcPr>
          <w:p>
            <w:pPr>
              <w:pStyle w:val="TableParagraph"/>
              <w:spacing w:before="63"/>
              <w:ind w:left="72" w:right="64"/>
              <w:jc w:val="center"/>
              <w:rPr>
                <w:sz w:val="15"/>
              </w:rPr>
            </w:pPr>
            <w:r>
              <w:rPr>
                <w:sz w:val="15"/>
              </w:rPr>
              <w:t>T16a（公众）</w:t>
            </w:r>
          </w:p>
        </w:tc>
        <w:tc>
          <w:tcPr>
            <w:tcW w:w="1235" w:type="dxa"/>
            <w:tcBorders>
              <w:top w:val="single" w:sz="6" w:space="0" w:color="000000"/>
            </w:tcBorders>
          </w:tcPr>
          <w:p>
            <w:pPr>
              <w:pStyle w:val="TableParagraph"/>
              <w:spacing w:before="63"/>
              <w:ind w:left="66" w:right="78"/>
              <w:jc w:val="center"/>
              <w:rPr>
                <w:sz w:val="15"/>
              </w:rPr>
            </w:pPr>
            <w:r>
              <w:rPr>
                <w:sz w:val="15"/>
              </w:rPr>
              <w:t>1297(33.94%)</w:t>
            </w:r>
          </w:p>
        </w:tc>
        <w:tc>
          <w:tcPr>
            <w:tcW w:w="1282" w:type="dxa"/>
            <w:tcBorders>
              <w:top w:val="single" w:sz="6" w:space="0" w:color="000000"/>
            </w:tcBorders>
          </w:tcPr>
          <w:p>
            <w:pPr>
              <w:pStyle w:val="TableParagraph"/>
              <w:spacing w:before="63"/>
              <w:ind w:left="78" w:right="110"/>
              <w:jc w:val="center"/>
              <w:rPr>
                <w:sz w:val="15"/>
              </w:rPr>
            </w:pPr>
            <w:r>
              <w:rPr>
                <w:sz w:val="15"/>
              </w:rPr>
              <w:t>1755(45.92%)</w:t>
            </w:r>
          </w:p>
        </w:tc>
        <w:tc>
          <w:tcPr>
            <w:tcW w:w="1154" w:type="dxa"/>
            <w:tcBorders>
              <w:top w:val="single" w:sz="6" w:space="0" w:color="000000"/>
            </w:tcBorders>
          </w:tcPr>
          <w:p>
            <w:pPr>
              <w:pStyle w:val="TableParagraph"/>
              <w:spacing w:before="63"/>
              <w:ind w:left="109" w:right="100"/>
              <w:jc w:val="center"/>
              <w:rPr>
                <w:sz w:val="15"/>
              </w:rPr>
            </w:pPr>
            <w:r>
              <w:rPr>
                <w:sz w:val="15"/>
              </w:rPr>
              <w:t>4.0816</w:t>
            </w:r>
          </w:p>
        </w:tc>
        <w:tc>
          <w:tcPr>
            <w:tcW w:w="1141" w:type="dxa"/>
            <w:tcBorders>
              <w:top w:val="single" w:sz="6" w:space="0" w:color="000000"/>
            </w:tcBorders>
          </w:tcPr>
          <w:p>
            <w:pPr>
              <w:pStyle w:val="TableParagraph"/>
              <w:spacing w:before="63"/>
              <w:ind w:left="104" w:right="96"/>
              <w:jc w:val="center"/>
              <w:rPr>
                <w:sz w:val="15"/>
              </w:rPr>
            </w:pPr>
            <w:r>
              <w:rPr>
                <w:sz w:val="15"/>
              </w:rPr>
              <w:t>T16a（护士）</w:t>
            </w:r>
          </w:p>
        </w:tc>
        <w:tc>
          <w:tcPr>
            <w:tcW w:w="1159" w:type="dxa"/>
            <w:tcBorders>
              <w:top w:val="single" w:sz="6" w:space="0" w:color="000000"/>
            </w:tcBorders>
          </w:tcPr>
          <w:p>
            <w:pPr>
              <w:pStyle w:val="TableParagraph"/>
              <w:spacing w:before="63"/>
              <w:ind w:left="101" w:right="117"/>
              <w:jc w:val="center"/>
              <w:rPr>
                <w:sz w:val="15"/>
              </w:rPr>
            </w:pPr>
            <w:r>
              <w:rPr>
                <w:sz w:val="15"/>
              </w:rPr>
              <w:t>1651(27.25%)</w:t>
            </w:r>
          </w:p>
        </w:tc>
        <w:tc>
          <w:tcPr>
            <w:tcW w:w="1213" w:type="dxa"/>
            <w:tcBorders>
              <w:top w:val="single" w:sz="6" w:space="0" w:color="000000"/>
            </w:tcBorders>
          </w:tcPr>
          <w:p>
            <w:pPr>
              <w:pStyle w:val="TableParagraph"/>
              <w:spacing w:before="63"/>
              <w:ind w:left="52" w:right="70"/>
              <w:jc w:val="center"/>
              <w:rPr>
                <w:sz w:val="15"/>
              </w:rPr>
            </w:pPr>
            <w:r>
              <w:rPr>
                <w:sz w:val="15"/>
              </w:rPr>
              <w:t>3054(50.4%)</w:t>
            </w:r>
          </w:p>
        </w:tc>
        <w:tc>
          <w:tcPr>
            <w:tcW w:w="1278" w:type="dxa"/>
            <w:tcBorders>
              <w:top w:val="single" w:sz="6" w:space="0" w:color="000000"/>
            </w:tcBorders>
          </w:tcPr>
          <w:p>
            <w:pPr>
              <w:pStyle w:val="TableParagraph"/>
              <w:spacing w:before="63"/>
              <w:ind w:left="72" w:right="99"/>
              <w:jc w:val="center"/>
              <w:rPr>
                <w:sz w:val="15"/>
              </w:rPr>
            </w:pPr>
            <w:r>
              <w:rPr>
                <w:sz w:val="15"/>
              </w:rPr>
              <w:t>4.0007</w:t>
            </w:r>
          </w:p>
        </w:tc>
      </w:tr>
      <w:tr>
        <w:trPr>
          <w:trHeight w:val="315" w:hRule="atLeast"/>
        </w:trPr>
        <w:tc>
          <w:tcPr>
            <w:tcW w:w="1076" w:type="dxa"/>
          </w:tcPr>
          <w:p>
            <w:pPr>
              <w:pStyle w:val="TableParagraph"/>
              <w:spacing w:before="61"/>
              <w:ind w:left="72" w:right="64"/>
              <w:jc w:val="center"/>
              <w:rPr>
                <w:sz w:val="15"/>
              </w:rPr>
            </w:pPr>
            <w:r>
              <w:rPr>
                <w:sz w:val="15"/>
              </w:rPr>
              <w:t>T16b（公众）</w:t>
            </w:r>
          </w:p>
        </w:tc>
        <w:tc>
          <w:tcPr>
            <w:tcW w:w="1235" w:type="dxa"/>
          </w:tcPr>
          <w:p>
            <w:pPr>
              <w:pStyle w:val="TableParagraph"/>
              <w:spacing w:before="61"/>
              <w:ind w:left="66" w:right="78"/>
              <w:jc w:val="center"/>
              <w:rPr>
                <w:sz w:val="15"/>
              </w:rPr>
            </w:pPr>
            <w:r>
              <w:rPr>
                <w:sz w:val="15"/>
              </w:rPr>
              <w:t>1486(38.88%)</w:t>
            </w:r>
          </w:p>
        </w:tc>
        <w:tc>
          <w:tcPr>
            <w:tcW w:w="1282" w:type="dxa"/>
          </w:tcPr>
          <w:p>
            <w:pPr>
              <w:pStyle w:val="TableParagraph"/>
              <w:spacing w:before="61"/>
              <w:ind w:left="78" w:right="110"/>
              <w:jc w:val="center"/>
              <w:rPr>
                <w:sz w:val="15"/>
              </w:rPr>
            </w:pPr>
            <w:r>
              <w:rPr>
                <w:sz w:val="15"/>
              </w:rPr>
              <w:t>1866(48.82%)</w:t>
            </w:r>
          </w:p>
        </w:tc>
        <w:tc>
          <w:tcPr>
            <w:tcW w:w="1154" w:type="dxa"/>
          </w:tcPr>
          <w:p>
            <w:pPr>
              <w:pStyle w:val="TableParagraph"/>
              <w:spacing w:before="61"/>
              <w:ind w:left="109" w:right="100"/>
              <w:jc w:val="center"/>
              <w:rPr>
                <w:sz w:val="15"/>
              </w:rPr>
            </w:pPr>
            <w:r>
              <w:rPr>
                <w:sz w:val="15"/>
              </w:rPr>
              <w:t>4.2269</w:t>
            </w:r>
          </w:p>
        </w:tc>
        <w:tc>
          <w:tcPr>
            <w:tcW w:w="1141" w:type="dxa"/>
          </w:tcPr>
          <w:p>
            <w:pPr>
              <w:pStyle w:val="TableParagraph"/>
              <w:spacing w:before="61"/>
              <w:ind w:left="104" w:right="96"/>
              <w:jc w:val="center"/>
              <w:rPr>
                <w:sz w:val="15"/>
              </w:rPr>
            </w:pPr>
            <w:r>
              <w:rPr>
                <w:sz w:val="15"/>
              </w:rPr>
              <w:t>T16b（护士）</w:t>
            </w:r>
          </w:p>
        </w:tc>
        <w:tc>
          <w:tcPr>
            <w:tcW w:w="1159" w:type="dxa"/>
          </w:tcPr>
          <w:p>
            <w:pPr>
              <w:pStyle w:val="TableParagraph"/>
              <w:spacing w:before="61"/>
              <w:ind w:left="101" w:right="117"/>
              <w:jc w:val="center"/>
              <w:rPr>
                <w:sz w:val="15"/>
              </w:rPr>
            </w:pPr>
            <w:r>
              <w:rPr>
                <w:sz w:val="15"/>
              </w:rPr>
              <w:t>2031(33.52%)</w:t>
            </w:r>
          </w:p>
        </w:tc>
        <w:tc>
          <w:tcPr>
            <w:tcW w:w="1213" w:type="dxa"/>
          </w:tcPr>
          <w:p>
            <w:pPr>
              <w:pStyle w:val="TableParagraph"/>
              <w:spacing w:before="61"/>
              <w:ind w:left="51" w:right="71"/>
              <w:jc w:val="center"/>
              <w:rPr>
                <w:sz w:val="15"/>
              </w:rPr>
            </w:pPr>
            <w:r>
              <w:rPr>
                <w:sz w:val="15"/>
              </w:rPr>
              <w:t>3328(54.93%)</w:t>
            </w:r>
          </w:p>
        </w:tc>
        <w:tc>
          <w:tcPr>
            <w:tcW w:w="1278" w:type="dxa"/>
          </w:tcPr>
          <w:p>
            <w:pPr>
              <w:pStyle w:val="TableParagraph"/>
              <w:spacing w:before="61"/>
              <w:ind w:left="72" w:right="99"/>
              <w:jc w:val="center"/>
              <w:rPr>
                <w:sz w:val="15"/>
              </w:rPr>
            </w:pPr>
            <w:r>
              <w:rPr>
                <w:sz w:val="15"/>
              </w:rPr>
              <w:t>4.1969</w:t>
            </w:r>
          </w:p>
        </w:tc>
      </w:tr>
      <w:tr>
        <w:trPr>
          <w:trHeight w:val="316" w:hRule="atLeast"/>
        </w:trPr>
        <w:tc>
          <w:tcPr>
            <w:tcW w:w="1076" w:type="dxa"/>
          </w:tcPr>
          <w:p>
            <w:pPr>
              <w:pStyle w:val="TableParagraph"/>
              <w:spacing w:before="62"/>
              <w:ind w:left="72" w:right="64"/>
              <w:jc w:val="center"/>
              <w:rPr>
                <w:sz w:val="15"/>
              </w:rPr>
            </w:pPr>
            <w:r>
              <w:rPr>
                <w:sz w:val="15"/>
              </w:rPr>
              <w:t>T16c（公众）</w:t>
            </w:r>
          </w:p>
        </w:tc>
        <w:tc>
          <w:tcPr>
            <w:tcW w:w="1235" w:type="dxa"/>
          </w:tcPr>
          <w:p>
            <w:pPr>
              <w:pStyle w:val="TableParagraph"/>
              <w:spacing w:before="62"/>
              <w:ind w:left="64" w:right="78"/>
              <w:jc w:val="center"/>
              <w:rPr>
                <w:sz w:val="15"/>
              </w:rPr>
            </w:pPr>
            <w:r>
              <w:rPr>
                <w:sz w:val="15"/>
              </w:rPr>
              <w:t>1506(39.4%)</w:t>
            </w:r>
          </w:p>
        </w:tc>
        <w:tc>
          <w:tcPr>
            <w:tcW w:w="1282" w:type="dxa"/>
          </w:tcPr>
          <w:p>
            <w:pPr>
              <w:pStyle w:val="TableParagraph"/>
              <w:spacing w:before="62"/>
              <w:ind w:left="78" w:right="110"/>
              <w:jc w:val="center"/>
              <w:rPr>
                <w:sz w:val="15"/>
              </w:rPr>
            </w:pPr>
            <w:r>
              <w:rPr>
                <w:sz w:val="15"/>
              </w:rPr>
              <w:t>1849(48.38%)</w:t>
            </w:r>
          </w:p>
        </w:tc>
        <w:tc>
          <w:tcPr>
            <w:tcW w:w="1154" w:type="dxa"/>
          </w:tcPr>
          <w:p>
            <w:pPr>
              <w:pStyle w:val="TableParagraph"/>
              <w:spacing w:before="62"/>
              <w:ind w:left="109" w:right="100"/>
              <w:jc w:val="center"/>
              <w:rPr>
                <w:sz w:val="15"/>
              </w:rPr>
            </w:pPr>
            <w:r>
              <w:rPr>
                <w:sz w:val="15"/>
              </w:rPr>
              <w:t>4.2354</w:t>
            </w:r>
          </w:p>
        </w:tc>
        <w:tc>
          <w:tcPr>
            <w:tcW w:w="1141" w:type="dxa"/>
          </w:tcPr>
          <w:p>
            <w:pPr>
              <w:pStyle w:val="TableParagraph"/>
              <w:spacing w:before="62"/>
              <w:ind w:left="104" w:right="96"/>
              <w:jc w:val="center"/>
              <w:rPr>
                <w:sz w:val="15"/>
              </w:rPr>
            </w:pPr>
            <w:r>
              <w:rPr>
                <w:sz w:val="15"/>
              </w:rPr>
              <w:t>T16c（护士）</w:t>
            </w:r>
          </w:p>
        </w:tc>
        <w:tc>
          <w:tcPr>
            <w:tcW w:w="1159" w:type="dxa"/>
          </w:tcPr>
          <w:p>
            <w:pPr>
              <w:pStyle w:val="TableParagraph"/>
              <w:spacing w:before="62"/>
              <w:ind w:left="101" w:right="117"/>
              <w:jc w:val="center"/>
              <w:rPr>
                <w:sz w:val="15"/>
              </w:rPr>
            </w:pPr>
            <w:r>
              <w:rPr>
                <w:sz w:val="15"/>
              </w:rPr>
              <w:t>2123(35.04%)</w:t>
            </w:r>
          </w:p>
        </w:tc>
        <w:tc>
          <w:tcPr>
            <w:tcW w:w="1213" w:type="dxa"/>
          </w:tcPr>
          <w:p>
            <w:pPr>
              <w:pStyle w:val="TableParagraph"/>
              <w:spacing w:before="62"/>
              <w:ind w:left="51" w:right="71"/>
              <w:jc w:val="center"/>
              <w:rPr>
                <w:sz w:val="15"/>
              </w:rPr>
            </w:pPr>
            <w:r>
              <w:rPr>
                <w:sz w:val="15"/>
              </w:rPr>
              <w:t>3288(54.27%)</w:t>
            </w:r>
          </w:p>
        </w:tc>
        <w:tc>
          <w:tcPr>
            <w:tcW w:w="1278" w:type="dxa"/>
          </w:tcPr>
          <w:p>
            <w:pPr>
              <w:pStyle w:val="TableParagraph"/>
              <w:spacing w:before="62"/>
              <w:ind w:left="72" w:right="99"/>
              <w:jc w:val="center"/>
              <w:rPr>
                <w:sz w:val="15"/>
              </w:rPr>
            </w:pPr>
            <w:r>
              <w:rPr>
                <w:sz w:val="15"/>
              </w:rPr>
              <w:t>4.2241</w:t>
            </w:r>
          </w:p>
        </w:tc>
      </w:tr>
      <w:tr>
        <w:trPr>
          <w:trHeight w:val="315" w:hRule="atLeast"/>
        </w:trPr>
        <w:tc>
          <w:tcPr>
            <w:tcW w:w="1076" w:type="dxa"/>
          </w:tcPr>
          <w:p>
            <w:pPr>
              <w:pStyle w:val="TableParagraph"/>
              <w:spacing w:before="62"/>
              <w:ind w:left="72" w:right="64"/>
              <w:jc w:val="center"/>
              <w:rPr>
                <w:sz w:val="15"/>
              </w:rPr>
            </w:pPr>
            <w:r>
              <w:rPr>
                <w:sz w:val="15"/>
              </w:rPr>
              <w:t>T16d（公众）</w:t>
            </w:r>
          </w:p>
        </w:tc>
        <w:tc>
          <w:tcPr>
            <w:tcW w:w="1235" w:type="dxa"/>
          </w:tcPr>
          <w:p>
            <w:pPr>
              <w:pStyle w:val="TableParagraph"/>
              <w:spacing w:before="62"/>
              <w:ind w:left="66" w:right="78"/>
              <w:jc w:val="center"/>
              <w:rPr>
                <w:sz w:val="15"/>
              </w:rPr>
            </w:pPr>
            <w:r>
              <w:rPr>
                <w:sz w:val="15"/>
              </w:rPr>
              <w:t>1542(40.35%)</w:t>
            </w:r>
          </w:p>
        </w:tc>
        <w:tc>
          <w:tcPr>
            <w:tcW w:w="1282" w:type="dxa"/>
          </w:tcPr>
          <w:p>
            <w:pPr>
              <w:pStyle w:val="TableParagraph"/>
              <w:spacing w:before="62"/>
              <w:ind w:left="78" w:right="110"/>
              <w:jc w:val="center"/>
              <w:rPr>
                <w:sz w:val="15"/>
              </w:rPr>
            </w:pPr>
            <w:r>
              <w:rPr>
                <w:sz w:val="15"/>
              </w:rPr>
              <w:t>1770(46.31%)</w:t>
            </w:r>
          </w:p>
        </w:tc>
        <w:tc>
          <w:tcPr>
            <w:tcW w:w="1154" w:type="dxa"/>
          </w:tcPr>
          <w:p>
            <w:pPr>
              <w:pStyle w:val="TableParagraph"/>
              <w:spacing w:before="62"/>
              <w:ind w:left="109" w:right="100"/>
              <w:jc w:val="center"/>
              <w:rPr>
                <w:sz w:val="15"/>
              </w:rPr>
            </w:pPr>
            <w:r>
              <w:rPr>
                <w:sz w:val="15"/>
              </w:rPr>
              <w:t>4.2311</w:t>
            </w:r>
          </w:p>
        </w:tc>
        <w:tc>
          <w:tcPr>
            <w:tcW w:w="1141" w:type="dxa"/>
          </w:tcPr>
          <w:p>
            <w:pPr>
              <w:pStyle w:val="TableParagraph"/>
              <w:spacing w:before="62"/>
              <w:ind w:left="104" w:right="96"/>
              <w:jc w:val="center"/>
              <w:rPr>
                <w:sz w:val="15"/>
              </w:rPr>
            </w:pPr>
            <w:r>
              <w:rPr>
                <w:sz w:val="15"/>
              </w:rPr>
              <w:t>T16d（护士）</w:t>
            </w:r>
          </w:p>
        </w:tc>
        <w:tc>
          <w:tcPr>
            <w:tcW w:w="1159" w:type="dxa"/>
          </w:tcPr>
          <w:p>
            <w:pPr>
              <w:pStyle w:val="TableParagraph"/>
              <w:spacing w:before="62"/>
              <w:ind w:left="99" w:right="117"/>
              <w:jc w:val="center"/>
              <w:rPr>
                <w:sz w:val="15"/>
              </w:rPr>
            </w:pPr>
            <w:r>
              <w:rPr>
                <w:sz w:val="15"/>
              </w:rPr>
              <w:t>2078(34.3%)</w:t>
            </w:r>
          </w:p>
        </w:tc>
        <w:tc>
          <w:tcPr>
            <w:tcW w:w="1213" w:type="dxa"/>
          </w:tcPr>
          <w:p>
            <w:pPr>
              <w:pStyle w:val="TableParagraph"/>
              <w:spacing w:before="62"/>
              <w:ind w:left="51" w:right="71"/>
              <w:jc w:val="center"/>
              <w:rPr>
                <w:sz w:val="15"/>
              </w:rPr>
            </w:pPr>
            <w:r>
              <w:rPr>
                <w:sz w:val="15"/>
              </w:rPr>
              <w:t>3211(53%)</w:t>
            </w:r>
          </w:p>
        </w:tc>
        <w:tc>
          <w:tcPr>
            <w:tcW w:w="1278" w:type="dxa"/>
          </w:tcPr>
          <w:p>
            <w:pPr>
              <w:pStyle w:val="TableParagraph"/>
              <w:spacing w:before="62"/>
              <w:ind w:left="72" w:right="99"/>
              <w:jc w:val="center"/>
              <w:rPr>
                <w:sz w:val="15"/>
              </w:rPr>
            </w:pPr>
            <w:r>
              <w:rPr>
                <w:sz w:val="15"/>
              </w:rPr>
              <w:t>4.1923</w:t>
            </w:r>
          </w:p>
        </w:tc>
      </w:tr>
      <w:tr>
        <w:trPr>
          <w:trHeight w:val="315" w:hRule="atLeast"/>
        </w:trPr>
        <w:tc>
          <w:tcPr>
            <w:tcW w:w="1076" w:type="dxa"/>
          </w:tcPr>
          <w:p>
            <w:pPr>
              <w:pStyle w:val="TableParagraph"/>
              <w:spacing w:before="61"/>
              <w:ind w:left="72" w:right="64"/>
              <w:jc w:val="center"/>
              <w:rPr>
                <w:sz w:val="15"/>
              </w:rPr>
            </w:pPr>
            <w:r>
              <w:rPr>
                <w:sz w:val="15"/>
              </w:rPr>
              <w:t>T16e（公众）</w:t>
            </w:r>
          </w:p>
        </w:tc>
        <w:tc>
          <w:tcPr>
            <w:tcW w:w="1235" w:type="dxa"/>
          </w:tcPr>
          <w:p>
            <w:pPr>
              <w:pStyle w:val="TableParagraph"/>
              <w:spacing w:before="61"/>
              <w:ind w:left="66" w:right="78"/>
              <w:jc w:val="center"/>
              <w:rPr>
                <w:sz w:val="15"/>
              </w:rPr>
            </w:pPr>
            <w:r>
              <w:rPr>
                <w:sz w:val="15"/>
              </w:rPr>
              <w:t>1523(39.85%)</w:t>
            </w:r>
          </w:p>
        </w:tc>
        <w:tc>
          <w:tcPr>
            <w:tcW w:w="1282" w:type="dxa"/>
          </w:tcPr>
          <w:p>
            <w:pPr>
              <w:pStyle w:val="TableParagraph"/>
              <w:spacing w:before="61"/>
              <w:ind w:left="78" w:right="110"/>
              <w:jc w:val="center"/>
              <w:rPr>
                <w:sz w:val="15"/>
              </w:rPr>
            </w:pPr>
            <w:r>
              <w:rPr>
                <w:sz w:val="15"/>
              </w:rPr>
              <w:t>1756(45.94%)</w:t>
            </w:r>
          </w:p>
        </w:tc>
        <w:tc>
          <w:tcPr>
            <w:tcW w:w="1154" w:type="dxa"/>
          </w:tcPr>
          <w:p>
            <w:pPr>
              <w:pStyle w:val="TableParagraph"/>
              <w:spacing w:before="61"/>
              <w:ind w:left="109" w:right="100"/>
              <w:jc w:val="center"/>
              <w:rPr>
                <w:sz w:val="15"/>
              </w:rPr>
            </w:pPr>
            <w:r>
              <w:rPr>
                <w:sz w:val="15"/>
              </w:rPr>
              <w:t>4.2182</w:t>
            </w:r>
          </w:p>
        </w:tc>
        <w:tc>
          <w:tcPr>
            <w:tcW w:w="1141" w:type="dxa"/>
          </w:tcPr>
          <w:p>
            <w:pPr>
              <w:pStyle w:val="TableParagraph"/>
              <w:spacing w:before="61"/>
              <w:ind w:left="104" w:right="96"/>
              <w:jc w:val="center"/>
              <w:rPr>
                <w:sz w:val="15"/>
              </w:rPr>
            </w:pPr>
            <w:r>
              <w:rPr>
                <w:sz w:val="15"/>
              </w:rPr>
              <w:t>T16e（护士）</w:t>
            </w:r>
          </w:p>
        </w:tc>
        <w:tc>
          <w:tcPr>
            <w:tcW w:w="1159" w:type="dxa"/>
          </w:tcPr>
          <w:p>
            <w:pPr>
              <w:pStyle w:val="TableParagraph"/>
              <w:spacing w:before="61"/>
              <w:ind w:left="101" w:right="117"/>
              <w:jc w:val="center"/>
              <w:rPr>
                <w:sz w:val="15"/>
              </w:rPr>
            </w:pPr>
            <w:r>
              <w:rPr>
                <w:sz w:val="15"/>
              </w:rPr>
              <w:t>2074(34.23%)</w:t>
            </w:r>
          </w:p>
        </w:tc>
        <w:tc>
          <w:tcPr>
            <w:tcW w:w="1213" w:type="dxa"/>
          </w:tcPr>
          <w:p>
            <w:pPr>
              <w:pStyle w:val="TableParagraph"/>
              <w:spacing w:before="61"/>
              <w:ind w:left="51" w:right="71"/>
              <w:jc w:val="center"/>
              <w:rPr>
                <w:sz w:val="15"/>
              </w:rPr>
            </w:pPr>
            <w:r>
              <w:rPr>
                <w:sz w:val="15"/>
              </w:rPr>
              <w:t>3152(52.02%)</w:t>
            </w:r>
          </w:p>
        </w:tc>
        <w:tc>
          <w:tcPr>
            <w:tcW w:w="1278" w:type="dxa"/>
          </w:tcPr>
          <w:p>
            <w:pPr>
              <w:pStyle w:val="TableParagraph"/>
              <w:spacing w:before="61"/>
              <w:ind w:left="72" w:right="99"/>
              <w:jc w:val="center"/>
              <w:rPr>
                <w:sz w:val="15"/>
              </w:rPr>
            </w:pPr>
            <w:r>
              <w:rPr>
                <w:sz w:val="15"/>
              </w:rPr>
              <w:t>4.1812</w:t>
            </w:r>
          </w:p>
        </w:tc>
      </w:tr>
      <w:tr>
        <w:trPr>
          <w:trHeight w:val="316" w:hRule="atLeast"/>
        </w:trPr>
        <w:tc>
          <w:tcPr>
            <w:tcW w:w="1076" w:type="dxa"/>
          </w:tcPr>
          <w:p>
            <w:pPr>
              <w:pStyle w:val="TableParagraph"/>
              <w:spacing w:before="62"/>
              <w:ind w:left="72" w:right="64"/>
              <w:jc w:val="center"/>
              <w:rPr>
                <w:sz w:val="15"/>
              </w:rPr>
            </w:pPr>
            <w:r>
              <w:rPr>
                <w:sz w:val="15"/>
              </w:rPr>
              <w:t>T16f（公众）</w:t>
            </w:r>
          </w:p>
        </w:tc>
        <w:tc>
          <w:tcPr>
            <w:tcW w:w="1235" w:type="dxa"/>
          </w:tcPr>
          <w:p>
            <w:pPr>
              <w:pStyle w:val="TableParagraph"/>
              <w:spacing w:before="62"/>
              <w:ind w:left="66" w:right="78"/>
              <w:jc w:val="center"/>
              <w:rPr>
                <w:sz w:val="15"/>
              </w:rPr>
            </w:pPr>
            <w:r>
              <w:rPr>
                <w:sz w:val="15"/>
              </w:rPr>
              <w:t>1466(38.36%)</w:t>
            </w:r>
          </w:p>
        </w:tc>
        <w:tc>
          <w:tcPr>
            <w:tcW w:w="1282" w:type="dxa"/>
          </w:tcPr>
          <w:p>
            <w:pPr>
              <w:pStyle w:val="TableParagraph"/>
              <w:spacing w:before="62"/>
              <w:ind w:left="78" w:right="110"/>
              <w:jc w:val="center"/>
              <w:rPr>
                <w:sz w:val="15"/>
              </w:rPr>
            </w:pPr>
            <w:r>
              <w:rPr>
                <w:sz w:val="15"/>
              </w:rPr>
              <w:t>1733(45.34%)</w:t>
            </w:r>
          </w:p>
        </w:tc>
        <w:tc>
          <w:tcPr>
            <w:tcW w:w="1154" w:type="dxa"/>
          </w:tcPr>
          <w:p>
            <w:pPr>
              <w:pStyle w:val="TableParagraph"/>
              <w:spacing w:before="62"/>
              <w:ind w:left="109" w:right="100"/>
              <w:jc w:val="center"/>
              <w:rPr>
                <w:sz w:val="15"/>
              </w:rPr>
            </w:pPr>
            <w:r>
              <w:rPr>
                <w:sz w:val="15"/>
              </w:rPr>
              <w:t>4.1717</w:t>
            </w:r>
          </w:p>
        </w:tc>
        <w:tc>
          <w:tcPr>
            <w:tcW w:w="1141" w:type="dxa"/>
          </w:tcPr>
          <w:p>
            <w:pPr>
              <w:pStyle w:val="TableParagraph"/>
              <w:spacing w:before="62"/>
              <w:ind w:left="104" w:right="96"/>
              <w:jc w:val="center"/>
              <w:rPr>
                <w:sz w:val="15"/>
              </w:rPr>
            </w:pPr>
            <w:r>
              <w:rPr>
                <w:sz w:val="15"/>
              </w:rPr>
              <w:t>T16f（护士）</w:t>
            </w:r>
          </w:p>
        </w:tc>
        <w:tc>
          <w:tcPr>
            <w:tcW w:w="1159" w:type="dxa"/>
          </w:tcPr>
          <w:p>
            <w:pPr>
              <w:pStyle w:val="TableParagraph"/>
              <w:spacing w:before="62"/>
              <w:ind w:left="101" w:right="117"/>
              <w:jc w:val="center"/>
              <w:rPr>
                <w:sz w:val="15"/>
              </w:rPr>
            </w:pPr>
            <w:r>
              <w:rPr>
                <w:sz w:val="15"/>
              </w:rPr>
              <w:t>1987(32.79%)</w:t>
            </w:r>
          </w:p>
        </w:tc>
        <w:tc>
          <w:tcPr>
            <w:tcW w:w="1213" w:type="dxa"/>
          </w:tcPr>
          <w:p>
            <w:pPr>
              <w:pStyle w:val="TableParagraph"/>
              <w:spacing w:before="62"/>
              <w:ind w:left="51" w:right="71"/>
              <w:jc w:val="center"/>
              <w:rPr>
                <w:sz w:val="15"/>
              </w:rPr>
            </w:pPr>
            <w:r>
              <w:rPr>
                <w:sz w:val="15"/>
              </w:rPr>
              <w:t>3028(49.98%)</w:t>
            </w:r>
          </w:p>
        </w:tc>
        <w:tc>
          <w:tcPr>
            <w:tcW w:w="1278" w:type="dxa"/>
          </w:tcPr>
          <w:p>
            <w:pPr>
              <w:pStyle w:val="TableParagraph"/>
              <w:spacing w:before="62"/>
              <w:ind w:left="72" w:right="99"/>
              <w:jc w:val="center"/>
              <w:rPr>
                <w:sz w:val="15"/>
              </w:rPr>
            </w:pPr>
            <w:r>
              <w:rPr>
                <w:sz w:val="15"/>
              </w:rPr>
              <w:t>4.1181</w:t>
            </w:r>
          </w:p>
        </w:tc>
      </w:tr>
      <w:tr>
        <w:trPr>
          <w:trHeight w:val="315" w:hRule="atLeast"/>
        </w:trPr>
        <w:tc>
          <w:tcPr>
            <w:tcW w:w="1076" w:type="dxa"/>
            <w:tcBorders>
              <w:bottom w:val="single" w:sz="6" w:space="0" w:color="000000"/>
            </w:tcBorders>
          </w:tcPr>
          <w:p>
            <w:pPr>
              <w:pStyle w:val="TableParagraph"/>
              <w:spacing w:before="62"/>
              <w:ind w:left="72" w:right="64"/>
              <w:jc w:val="center"/>
              <w:rPr>
                <w:sz w:val="15"/>
              </w:rPr>
            </w:pPr>
            <w:r>
              <w:rPr>
                <w:sz w:val="15"/>
              </w:rPr>
              <w:t>T16g（公众）</w:t>
            </w:r>
          </w:p>
        </w:tc>
        <w:tc>
          <w:tcPr>
            <w:tcW w:w="1235" w:type="dxa"/>
            <w:tcBorders>
              <w:bottom w:val="single" w:sz="6" w:space="0" w:color="000000"/>
            </w:tcBorders>
          </w:tcPr>
          <w:p>
            <w:pPr>
              <w:pStyle w:val="TableParagraph"/>
              <w:spacing w:before="62"/>
              <w:ind w:left="64" w:right="78"/>
              <w:jc w:val="center"/>
              <w:rPr>
                <w:sz w:val="15"/>
              </w:rPr>
            </w:pPr>
            <w:r>
              <w:rPr>
                <w:sz w:val="15"/>
              </w:rPr>
              <w:t>1418(37.1%)</w:t>
            </w:r>
          </w:p>
        </w:tc>
        <w:tc>
          <w:tcPr>
            <w:tcW w:w="1282" w:type="dxa"/>
            <w:tcBorders>
              <w:bottom w:val="single" w:sz="6" w:space="0" w:color="000000"/>
            </w:tcBorders>
          </w:tcPr>
          <w:p>
            <w:pPr>
              <w:pStyle w:val="TableParagraph"/>
              <w:spacing w:before="62"/>
              <w:ind w:left="78" w:right="110"/>
              <w:jc w:val="center"/>
              <w:rPr>
                <w:sz w:val="15"/>
              </w:rPr>
            </w:pPr>
            <w:r>
              <w:rPr>
                <w:sz w:val="15"/>
              </w:rPr>
              <w:t>1759(46.02%)</w:t>
            </w:r>
          </w:p>
        </w:tc>
        <w:tc>
          <w:tcPr>
            <w:tcW w:w="1154" w:type="dxa"/>
            <w:tcBorders>
              <w:bottom w:val="single" w:sz="6" w:space="0" w:color="000000"/>
            </w:tcBorders>
          </w:tcPr>
          <w:p>
            <w:pPr>
              <w:pStyle w:val="TableParagraph"/>
              <w:spacing w:before="62"/>
              <w:ind w:left="109" w:right="100"/>
              <w:jc w:val="center"/>
              <w:rPr>
                <w:sz w:val="15"/>
              </w:rPr>
            </w:pPr>
            <w:r>
              <w:rPr>
                <w:sz w:val="15"/>
              </w:rPr>
              <w:t>4.154</w:t>
            </w:r>
          </w:p>
        </w:tc>
        <w:tc>
          <w:tcPr>
            <w:tcW w:w="1141" w:type="dxa"/>
            <w:tcBorders>
              <w:bottom w:val="single" w:sz="6" w:space="0" w:color="000000"/>
            </w:tcBorders>
          </w:tcPr>
          <w:p>
            <w:pPr>
              <w:pStyle w:val="TableParagraph"/>
              <w:spacing w:before="62"/>
              <w:ind w:left="104" w:right="94"/>
              <w:jc w:val="center"/>
              <w:rPr>
                <w:sz w:val="15"/>
              </w:rPr>
            </w:pPr>
            <w:r>
              <w:rPr>
                <w:sz w:val="15"/>
              </w:rPr>
              <w:t>T17（护士）</w:t>
            </w:r>
          </w:p>
        </w:tc>
        <w:tc>
          <w:tcPr>
            <w:tcW w:w="1159" w:type="dxa"/>
            <w:tcBorders>
              <w:bottom w:val="single" w:sz="6" w:space="0" w:color="000000"/>
            </w:tcBorders>
          </w:tcPr>
          <w:p>
            <w:pPr>
              <w:pStyle w:val="TableParagraph"/>
              <w:spacing w:before="62"/>
              <w:ind w:left="101" w:right="117"/>
              <w:jc w:val="center"/>
              <w:rPr>
                <w:sz w:val="15"/>
              </w:rPr>
            </w:pPr>
            <w:r>
              <w:rPr>
                <w:sz w:val="15"/>
              </w:rPr>
              <w:t>1864(30.76%)</w:t>
            </w:r>
          </w:p>
        </w:tc>
        <w:tc>
          <w:tcPr>
            <w:tcW w:w="1213" w:type="dxa"/>
            <w:tcBorders>
              <w:bottom w:val="single" w:sz="6" w:space="0" w:color="000000"/>
            </w:tcBorders>
          </w:tcPr>
          <w:p>
            <w:pPr>
              <w:pStyle w:val="TableParagraph"/>
              <w:spacing w:before="62"/>
              <w:ind w:left="51" w:right="71"/>
              <w:jc w:val="center"/>
              <w:rPr>
                <w:sz w:val="15"/>
              </w:rPr>
            </w:pPr>
            <w:r>
              <w:rPr>
                <w:sz w:val="15"/>
              </w:rPr>
              <w:t>2786(45.98%)</w:t>
            </w:r>
          </w:p>
        </w:tc>
        <w:tc>
          <w:tcPr>
            <w:tcW w:w="1278" w:type="dxa"/>
            <w:tcBorders>
              <w:bottom w:val="single" w:sz="6" w:space="0" w:color="000000"/>
            </w:tcBorders>
          </w:tcPr>
          <w:p>
            <w:pPr>
              <w:pStyle w:val="TableParagraph"/>
              <w:spacing w:before="62"/>
              <w:ind w:left="72" w:right="99"/>
              <w:jc w:val="center"/>
              <w:rPr>
                <w:sz w:val="15"/>
              </w:rPr>
            </w:pPr>
            <w:r>
              <w:rPr>
                <w:sz w:val="15"/>
              </w:rPr>
              <w:t>4.0097</w:t>
            </w:r>
          </w:p>
        </w:tc>
      </w:tr>
      <w:tr>
        <w:trPr>
          <w:trHeight w:val="316" w:hRule="atLeast"/>
        </w:trPr>
        <w:tc>
          <w:tcPr>
            <w:tcW w:w="1076" w:type="dxa"/>
            <w:tcBorders>
              <w:top w:val="single" w:sz="6" w:space="0" w:color="000000"/>
            </w:tcBorders>
          </w:tcPr>
          <w:p>
            <w:pPr>
              <w:pStyle w:val="TableParagraph"/>
              <w:spacing w:before="63"/>
              <w:ind w:left="72" w:right="64"/>
              <w:jc w:val="center"/>
              <w:rPr>
                <w:sz w:val="15"/>
              </w:rPr>
            </w:pPr>
            <w:r>
              <w:rPr>
                <w:sz w:val="15"/>
              </w:rPr>
              <w:t>T16a（药师）</w:t>
            </w:r>
          </w:p>
        </w:tc>
        <w:tc>
          <w:tcPr>
            <w:tcW w:w="1235" w:type="dxa"/>
            <w:tcBorders>
              <w:top w:val="single" w:sz="6" w:space="0" w:color="000000"/>
            </w:tcBorders>
          </w:tcPr>
          <w:p>
            <w:pPr>
              <w:pStyle w:val="TableParagraph"/>
              <w:spacing w:before="63"/>
              <w:ind w:left="66" w:right="78"/>
              <w:jc w:val="center"/>
              <w:rPr>
                <w:sz w:val="15"/>
              </w:rPr>
            </w:pPr>
            <w:r>
              <w:rPr>
                <w:sz w:val="15"/>
              </w:rPr>
              <w:t>4874（54.50%）</w:t>
            </w:r>
          </w:p>
        </w:tc>
        <w:tc>
          <w:tcPr>
            <w:tcW w:w="1282" w:type="dxa"/>
            <w:tcBorders>
              <w:top w:val="single" w:sz="6" w:space="0" w:color="000000"/>
            </w:tcBorders>
          </w:tcPr>
          <w:p>
            <w:pPr>
              <w:pStyle w:val="TableParagraph"/>
              <w:spacing w:before="63"/>
              <w:ind w:left="82" w:right="110"/>
              <w:jc w:val="center"/>
              <w:rPr>
                <w:sz w:val="15"/>
              </w:rPr>
            </w:pPr>
            <w:r>
              <w:rPr>
                <w:sz w:val="15"/>
              </w:rPr>
              <w:t>3372（37.71%）</w:t>
            </w:r>
          </w:p>
        </w:tc>
        <w:tc>
          <w:tcPr>
            <w:tcW w:w="1154" w:type="dxa"/>
            <w:tcBorders>
              <w:top w:val="single" w:sz="6" w:space="0" w:color="000000"/>
            </w:tcBorders>
          </w:tcPr>
          <w:p>
            <w:pPr>
              <w:pStyle w:val="TableParagraph"/>
              <w:spacing w:before="63"/>
              <w:ind w:left="109" w:right="100"/>
              <w:jc w:val="center"/>
              <w:rPr>
                <w:sz w:val="15"/>
              </w:rPr>
            </w:pPr>
            <w:r>
              <w:rPr>
                <w:sz w:val="15"/>
              </w:rPr>
              <w:t>4.4504</w:t>
            </w:r>
          </w:p>
        </w:tc>
        <w:tc>
          <w:tcPr>
            <w:tcW w:w="1141" w:type="dxa"/>
            <w:tcBorders>
              <w:top w:val="single" w:sz="6" w:space="0" w:color="000000"/>
            </w:tcBorders>
          </w:tcPr>
          <w:p>
            <w:pPr>
              <w:pStyle w:val="TableParagraph"/>
              <w:spacing w:before="63"/>
              <w:ind w:left="104" w:right="96"/>
              <w:jc w:val="center"/>
              <w:rPr>
                <w:sz w:val="15"/>
              </w:rPr>
            </w:pPr>
            <w:r>
              <w:rPr>
                <w:sz w:val="15"/>
              </w:rPr>
              <w:t>T15a（医生）</w:t>
            </w:r>
          </w:p>
        </w:tc>
        <w:tc>
          <w:tcPr>
            <w:tcW w:w="1159" w:type="dxa"/>
            <w:tcBorders>
              <w:top w:val="single" w:sz="6" w:space="0" w:color="000000"/>
            </w:tcBorders>
          </w:tcPr>
          <w:p>
            <w:pPr>
              <w:pStyle w:val="TableParagraph"/>
              <w:spacing w:before="63"/>
              <w:ind w:left="99" w:right="117"/>
              <w:jc w:val="center"/>
              <w:rPr>
                <w:sz w:val="15"/>
              </w:rPr>
            </w:pPr>
            <w:r>
              <w:rPr>
                <w:sz w:val="15"/>
              </w:rPr>
              <w:t>965(30.63%)</w:t>
            </w:r>
          </w:p>
        </w:tc>
        <w:tc>
          <w:tcPr>
            <w:tcW w:w="1213" w:type="dxa"/>
            <w:tcBorders>
              <w:top w:val="single" w:sz="6" w:space="0" w:color="000000"/>
            </w:tcBorders>
          </w:tcPr>
          <w:p>
            <w:pPr>
              <w:pStyle w:val="TableParagraph"/>
              <w:spacing w:before="63"/>
              <w:ind w:left="51" w:right="71"/>
              <w:jc w:val="center"/>
              <w:rPr>
                <w:sz w:val="15"/>
              </w:rPr>
            </w:pPr>
            <w:r>
              <w:rPr>
                <w:sz w:val="15"/>
              </w:rPr>
              <w:t>1527(48.46%)</w:t>
            </w:r>
          </w:p>
        </w:tc>
        <w:tc>
          <w:tcPr>
            <w:tcW w:w="1278" w:type="dxa"/>
            <w:tcBorders>
              <w:top w:val="single" w:sz="6" w:space="0" w:color="000000"/>
            </w:tcBorders>
          </w:tcPr>
          <w:p>
            <w:pPr>
              <w:pStyle w:val="TableParagraph"/>
              <w:spacing w:before="63"/>
              <w:ind w:left="72" w:right="99"/>
              <w:jc w:val="center"/>
              <w:rPr>
                <w:sz w:val="15"/>
              </w:rPr>
            </w:pPr>
            <w:r>
              <w:rPr>
                <w:sz w:val="15"/>
              </w:rPr>
              <w:t>4.0299</w:t>
            </w:r>
          </w:p>
        </w:tc>
      </w:tr>
      <w:tr>
        <w:trPr>
          <w:trHeight w:val="315" w:hRule="atLeast"/>
        </w:trPr>
        <w:tc>
          <w:tcPr>
            <w:tcW w:w="1076" w:type="dxa"/>
          </w:tcPr>
          <w:p>
            <w:pPr>
              <w:pStyle w:val="TableParagraph"/>
              <w:spacing w:before="61"/>
              <w:ind w:left="72" w:right="64"/>
              <w:jc w:val="center"/>
              <w:rPr>
                <w:sz w:val="15"/>
              </w:rPr>
            </w:pPr>
            <w:r>
              <w:rPr>
                <w:sz w:val="15"/>
              </w:rPr>
              <w:t>T16b（药师）</w:t>
            </w:r>
          </w:p>
        </w:tc>
        <w:tc>
          <w:tcPr>
            <w:tcW w:w="1235" w:type="dxa"/>
          </w:tcPr>
          <w:p>
            <w:pPr>
              <w:pStyle w:val="TableParagraph"/>
              <w:spacing w:before="61"/>
              <w:ind w:left="66" w:right="78"/>
              <w:jc w:val="center"/>
              <w:rPr>
                <w:sz w:val="15"/>
              </w:rPr>
            </w:pPr>
            <w:r>
              <w:rPr>
                <w:sz w:val="15"/>
              </w:rPr>
              <w:t>5409（60.48%）</w:t>
            </w:r>
          </w:p>
        </w:tc>
        <w:tc>
          <w:tcPr>
            <w:tcW w:w="1282" w:type="dxa"/>
          </w:tcPr>
          <w:p>
            <w:pPr>
              <w:pStyle w:val="TableParagraph"/>
              <w:spacing w:before="61"/>
              <w:ind w:left="82" w:right="110"/>
              <w:jc w:val="center"/>
              <w:rPr>
                <w:sz w:val="15"/>
              </w:rPr>
            </w:pPr>
            <w:r>
              <w:rPr>
                <w:sz w:val="15"/>
              </w:rPr>
              <w:t>3309（37.00%）</w:t>
            </w:r>
          </w:p>
        </w:tc>
        <w:tc>
          <w:tcPr>
            <w:tcW w:w="1154" w:type="dxa"/>
          </w:tcPr>
          <w:p>
            <w:pPr>
              <w:pStyle w:val="TableParagraph"/>
              <w:spacing w:before="61"/>
              <w:ind w:left="109" w:right="100"/>
              <w:jc w:val="center"/>
              <w:rPr>
                <w:sz w:val="15"/>
              </w:rPr>
            </w:pPr>
            <w:r>
              <w:rPr>
                <w:sz w:val="15"/>
              </w:rPr>
              <w:t>4.573</w:t>
            </w:r>
          </w:p>
        </w:tc>
        <w:tc>
          <w:tcPr>
            <w:tcW w:w="1141" w:type="dxa"/>
          </w:tcPr>
          <w:p>
            <w:pPr>
              <w:pStyle w:val="TableParagraph"/>
              <w:spacing w:before="61"/>
              <w:ind w:left="104" w:right="96"/>
              <w:jc w:val="center"/>
              <w:rPr>
                <w:sz w:val="15"/>
              </w:rPr>
            </w:pPr>
            <w:r>
              <w:rPr>
                <w:sz w:val="15"/>
              </w:rPr>
              <w:t>T15b（医生）</w:t>
            </w:r>
          </w:p>
        </w:tc>
        <w:tc>
          <w:tcPr>
            <w:tcW w:w="1159" w:type="dxa"/>
          </w:tcPr>
          <w:p>
            <w:pPr>
              <w:pStyle w:val="TableParagraph"/>
              <w:spacing w:before="61"/>
              <w:ind w:left="101" w:right="117"/>
              <w:jc w:val="center"/>
              <w:rPr>
                <w:sz w:val="15"/>
              </w:rPr>
            </w:pPr>
            <w:r>
              <w:rPr>
                <w:sz w:val="15"/>
              </w:rPr>
              <w:t>1027(32.59%)</w:t>
            </w:r>
          </w:p>
        </w:tc>
        <w:tc>
          <w:tcPr>
            <w:tcW w:w="1213" w:type="dxa"/>
          </w:tcPr>
          <w:p>
            <w:pPr>
              <w:pStyle w:val="TableParagraph"/>
              <w:spacing w:before="61"/>
              <w:ind w:left="51" w:right="71"/>
              <w:jc w:val="center"/>
              <w:rPr>
                <w:sz w:val="15"/>
              </w:rPr>
            </w:pPr>
            <w:r>
              <w:rPr>
                <w:sz w:val="15"/>
              </w:rPr>
              <w:t>1568(49.76%)</w:t>
            </w:r>
          </w:p>
        </w:tc>
        <w:tc>
          <w:tcPr>
            <w:tcW w:w="1278" w:type="dxa"/>
          </w:tcPr>
          <w:p>
            <w:pPr>
              <w:pStyle w:val="TableParagraph"/>
              <w:spacing w:before="61"/>
              <w:ind w:left="72" w:right="99"/>
              <w:jc w:val="center"/>
              <w:rPr>
                <w:sz w:val="15"/>
              </w:rPr>
            </w:pPr>
            <w:r>
              <w:rPr>
                <w:sz w:val="15"/>
              </w:rPr>
              <w:t>4.0967</w:t>
            </w:r>
          </w:p>
        </w:tc>
      </w:tr>
      <w:tr>
        <w:trPr>
          <w:trHeight w:val="317" w:hRule="atLeast"/>
        </w:trPr>
        <w:tc>
          <w:tcPr>
            <w:tcW w:w="1076" w:type="dxa"/>
            <w:tcBorders>
              <w:bottom w:val="single" w:sz="12" w:space="0" w:color="000000"/>
            </w:tcBorders>
          </w:tcPr>
          <w:p>
            <w:pPr>
              <w:pStyle w:val="TableParagraph"/>
              <w:spacing w:before="62"/>
              <w:ind w:left="72" w:right="64"/>
              <w:jc w:val="center"/>
              <w:rPr>
                <w:sz w:val="15"/>
              </w:rPr>
            </w:pPr>
            <w:r>
              <w:rPr>
                <w:sz w:val="15"/>
              </w:rPr>
              <w:t>T16c（药师）</w:t>
            </w:r>
          </w:p>
        </w:tc>
        <w:tc>
          <w:tcPr>
            <w:tcW w:w="1235" w:type="dxa"/>
            <w:tcBorders>
              <w:bottom w:val="single" w:sz="12" w:space="0" w:color="000000"/>
            </w:tcBorders>
          </w:tcPr>
          <w:p>
            <w:pPr>
              <w:pStyle w:val="TableParagraph"/>
              <w:spacing w:before="62"/>
              <w:ind w:left="66" w:right="78"/>
              <w:jc w:val="center"/>
              <w:rPr>
                <w:sz w:val="15"/>
              </w:rPr>
            </w:pPr>
            <w:r>
              <w:rPr>
                <w:sz w:val="15"/>
              </w:rPr>
              <w:t>5449（60.93%）</w:t>
            </w:r>
          </w:p>
        </w:tc>
        <w:tc>
          <w:tcPr>
            <w:tcW w:w="1282" w:type="dxa"/>
            <w:tcBorders>
              <w:bottom w:val="single" w:sz="12" w:space="0" w:color="000000"/>
            </w:tcBorders>
          </w:tcPr>
          <w:p>
            <w:pPr>
              <w:pStyle w:val="TableParagraph"/>
              <w:spacing w:before="62"/>
              <w:ind w:left="82" w:right="110"/>
              <w:jc w:val="center"/>
              <w:rPr>
                <w:sz w:val="15"/>
              </w:rPr>
            </w:pPr>
            <w:r>
              <w:rPr>
                <w:sz w:val="15"/>
              </w:rPr>
              <w:t>3145（35.17%）</w:t>
            </w:r>
          </w:p>
        </w:tc>
        <w:tc>
          <w:tcPr>
            <w:tcW w:w="1154" w:type="dxa"/>
            <w:tcBorders>
              <w:bottom w:val="single" w:sz="12" w:space="0" w:color="000000"/>
            </w:tcBorders>
          </w:tcPr>
          <w:p>
            <w:pPr>
              <w:pStyle w:val="TableParagraph"/>
              <w:spacing w:before="62"/>
              <w:ind w:left="109" w:right="100"/>
              <w:jc w:val="center"/>
              <w:rPr>
                <w:sz w:val="15"/>
              </w:rPr>
            </w:pPr>
            <w:r>
              <w:rPr>
                <w:sz w:val="15"/>
              </w:rPr>
              <w:t>4.5636</w:t>
            </w:r>
          </w:p>
        </w:tc>
        <w:tc>
          <w:tcPr>
            <w:tcW w:w="1141" w:type="dxa"/>
            <w:tcBorders>
              <w:bottom w:val="single" w:sz="12" w:space="0" w:color="000000"/>
            </w:tcBorders>
          </w:tcPr>
          <w:p>
            <w:pPr>
              <w:pStyle w:val="TableParagraph"/>
              <w:spacing w:before="62"/>
              <w:ind w:left="104" w:right="96"/>
              <w:jc w:val="center"/>
              <w:rPr>
                <w:sz w:val="15"/>
              </w:rPr>
            </w:pPr>
            <w:r>
              <w:rPr>
                <w:sz w:val="15"/>
              </w:rPr>
              <w:t>T15c（医生）</w:t>
            </w:r>
          </w:p>
        </w:tc>
        <w:tc>
          <w:tcPr>
            <w:tcW w:w="1159" w:type="dxa"/>
            <w:tcBorders>
              <w:bottom w:val="single" w:sz="12" w:space="0" w:color="000000"/>
            </w:tcBorders>
          </w:tcPr>
          <w:p>
            <w:pPr>
              <w:pStyle w:val="TableParagraph"/>
              <w:spacing w:before="62"/>
              <w:ind w:left="101" w:right="117"/>
              <w:jc w:val="center"/>
              <w:rPr>
                <w:sz w:val="15"/>
              </w:rPr>
            </w:pPr>
            <w:r>
              <w:rPr>
                <w:sz w:val="15"/>
              </w:rPr>
              <w:t>1073(34.05%)</w:t>
            </w:r>
          </w:p>
        </w:tc>
        <w:tc>
          <w:tcPr>
            <w:tcW w:w="1213" w:type="dxa"/>
            <w:tcBorders>
              <w:bottom w:val="single" w:sz="12" w:space="0" w:color="000000"/>
            </w:tcBorders>
          </w:tcPr>
          <w:p>
            <w:pPr>
              <w:pStyle w:val="TableParagraph"/>
              <w:spacing w:before="62"/>
              <w:ind w:left="51" w:right="71"/>
              <w:jc w:val="center"/>
              <w:rPr>
                <w:sz w:val="15"/>
              </w:rPr>
            </w:pPr>
            <w:r>
              <w:rPr>
                <w:sz w:val="15"/>
              </w:rPr>
              <w:t>1725(54.74%)</w:t>
            </w:r>
          </w:p>
        </w:tc>
        <w:tc>
          <w:tcPr>
            <w:tcW w:w="1278" w:type="dxa"/>
            <w:tcBorders>
              <w:bottom w:val="single" w:sz="12" w:space="0" w:color="000000"/>
            </w:tcBorders>
          </w:tcPr>
          <w:p>
            <w:pPr>
              <w:pStyle w:val="TableParagraph"/>
              <w:spacing w:before="62"/>
              <w:ind w:left="72" w:right="99"/>
              <w:jc w:val="center"/>
              <w:rPr>
                <w:sz w:val="15"/>
              </w:rPr>
            </w:pPr>
            <w:r>
              <w:rPr>
                <w:sz w:val="15"/>
              </w:rPr>
              <w:t>4.1934</w:t>
            </w:r>
          </w:p>
        </w:tc>
      </w:tr>
    </w:tbl>
    <w:p>
      <w:pPr>
        <w:spacing w:after="0"/>
        <w:jc w:val="center"/>
        <w:rPr>
          <w:sz w:val="15"/>
        </w:rPr>
        <w:sectPr>
          <w:pgSz w:w="11910" w:h="16850"/>
          <w:pgMar w:header="906" w:footer="527" w:top="1100" w:bottom="800" w:left="1000" w:right="740"/>
        </w:sectPr>
      </w:pPr>
    </w:p>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6"/>
        <w:gridCol w:w="1235"/>
        <w:gridCol w:w="1394"/>
        <w:gridCol w:w="929"/>
        <w:gridCol w:w="1254"/>
        <w:gridCol w:w="1159"/>
        <w:gridCol w:w="1324"/>
        <w:gridCol w:w="1173"/>
      </w:tblGrid>
      <w:tr>
        <w:trPr>
          <w:trHeight w:val="314" w:hRule="atLeast"/>
        </w:trPr>
        <w:tc>
          <w:tcPr>
            <w:tcW w:w="1076" w:type="dxa"/>
            <w:tcBorders>
              <w:top w:val="single" w:sz="6" w:space="0" w:color="000000"/>
            </w:tcBorders>
          </w:tcPr>
          <w:p>
            <w:pPr>
              <w:pStyle w:val="TableParagraph"/>
              <w:spacing w:before="52"/>
              <w:ind w:left="72" w:right="64"/>
              <w:jc w:val="center"/>
              <w:rPr>
                <w:sz w:val="15"/>
              </w:rPr>
            </w:pPr>
            <w:r>
              <w:rPr>
                <w:sz w:val="15"/>
              </w:rPr>
              <w:t>T16d（药师）</w:t>
            </w:r>
          </w:p>
        </w:tc>
        <w:tc>
          <w:tcPr>
            <w:tcW w:w="1235" w:type="dxa"/>
            <w:tcBorders>
              <w:top w:val="single" w:sz="6" w:space="0" w:color="000000"/>
            </w:tcBorders>
          </w:tcPr>
          <w:p>
            <w:pPr>
              <w:pStyle w:val="TableParagraph"/>
              <w:spacing w:before="52"/>
              <w:ind w:left="83"/>
              <w:rPr>
                <w:sz w:val="15"/>
              </w:rPr>
            </w:pPr>
            <w:r>
              <w:rPr>
                <w:sz w:val="15"/>
              </w:rPr>
              <w:t>5532（61.86%）</w:t>
            </w:r>
          </w:p>
        </w:tc>
        <w:tc>
          <w:tcPr>
            <w:tcW w:w="1394" w:type="dxa"/>
            <w:tcBorders>
              <w:top w:val="single" w:sz="6" w:space="0" w:color="000000"/>
            </w:tcBorders>
          </w:tcPr>
          <w:p>
            <w:pPr>
              <w:pStyle w:val="TableParagraph"/>
              <w:spacing w:before="52"/>
              <w:ind w:left="99"/>
              <w:rPr>
                <w:sz w:val="15"/>
              </w:rPr>
            </w:pPr>
            <w:r>
              <w:rPr>
                <w:sz w:val="15"/>
              </w:rPr>
              <w:t>3190（35.67%）</w:t>
            </w:r>
          </w:p>
        </w:tc>
        <w:tc>
          <w:tcPr>
            <w:tcW w:w="929" w:type="dxa"/>
            <w:tcBorders>
              <w:top w:val="single" w:sz="6" w:space="0" w:color="000000"/>
            </w:tcBorders>
          </w:tcPr>
          <w:p>
            <w:pPr>
              <w:pStyle w:val="TableParagraph"/>
              <w:spacing w:before="52"/>
              <w:ind w:left="224" w:right="214"/>
              <w:jc w:val="center"/>
              <w:rPr>
                <w:sz w:val="15"/>
              </w:rPr>
            </w:pPr>
            <w:r>
              <w:rPr>
                <w:sz w:val="15"/>
              </w:rPr>
              <w:t>4.5883</w:t>
            </w:r>
          </w:p>
        </w:tc>
        <w:tc>
          <w:tcPr>
            <w:tcW w:w="1254" w:type="dxa"/>
            <w:tcBorders>
              <w:top w:val="single" w:sz="6" w:space="0" w:color="000000"/>
            </w:tcBorders>
          </w:tcPr>
          <w:p>
            <w:pPr>
              <w:pStyle w:val="TableParagraph"/>
              <w:spacing w:before="52"/>
              <w:ind w:right="113"/>
              <w:jc w:val="right"/>
              <w:rPr>
                <w:sz w:val="15"/>
              </w:rPr>
            </w:pPr>
            <w:r>
              <w:rPr>
                <w:sz w:val="15"/>
              </w:rPr>
              <w:t>T15d（医生）</w:t>
            </w:r>
          </w:p>
        </w:tc>
        <w:tc>
          <w:tcPr>
            <w:tcW w:w="1159" w:type="dxa"/>
            <w:tcBorders>
              <w:top w:val="single" w:sz="6" w:space="0" w:color="000000"/>
            </w:tcBorders>
          </w:tcPr>
          <w:p>
            <w:pPr>
              <w:pStyle w:val="TableParagraph"/>
              <w:spacing w:before="52"/>
              <w:ind w:left="101" w:right="116"/>
              <w:jc w:val="center"/>
              <w:rPr>
                <w:sz w:val="15"/>
              </w:rPr>
            </w:pPr>
            <w:r>
              <w:rPr>
                <w:sz w:val="15"/>
              </w:rPr>
              <w:t>1091(34.62%)</w:t>
            </w:r>
          </w:p>
        </w:tc>
        <w:tc>
          <w:tcPr>
            <w:tcW w:w="1324" w:type="dxa"/>
            <w:tcBorders>
              <w:top w:val="single" w:sz="6" w:space="0" w:color="000000"/>
            </w:tcBorders>
          </w:tcPr>
          <w:p>
            <w:pPr>
              <w:pStyle w:val="TableParagraph"/>
              <w:spacing w:before="52"/>
              <w:ind w:left="144"/>
              <w:rPr>
                <w:sz w:val="15"/>
              </w:rPr>
            </w:pPr>
            <w:r>
              <w:rPr>
                <w:sz w:val="15"/>
              </w:rPr>
              <w:t>1702(54.01%)</w:t>
            </w:r>
          </w:p>
        </w:tc>
        <w:tc>
          <w:tcPr>
            <w:tcW w:w="1173" w:type="dxa"/>
            <w:tcBorders>
              <w:top w:val="single" w:sz="6" w:space="0" w:color="000000"/>
            </w:tcBorders>
          </w:tcPr>
          <w:p>
            <w:pPr>
              <w:pStyle w:val="TableParagraph"/>
              <w:spacing w:before="52"/>
              <w:ind w:right="431"/>
              <w:jc w:val="right"/>
              <w:rPr>
                <w:sz w:val="15"/>
              </w:rPr>
            </w:pPr>
            <w:r>
              <w:rPr>
                <w:sz w:val="15"/>
              </w:rPr>
              <w:t>4.1991</w:t>
            </w:r>
          </w:p>
        </w:tc>
      </w:tr>
      <w:tr>
        <w:trPr>
          <w:trHeight w:val="315" w:hRule="atLeast"/>
        </w:trPr>
        <w:tc>
          <w:tcPr>
            <w:tcW w:w="1076" w:type="dxa"/>
          </w:tcPr>
          <w:p>
            <w:pPr>
              <w:pStyle w:val="TableParagraph"/>
              <w:spacing w:before="54"/>
              <w:ind w:left="72" w:right="64"/>
              <w:jc w:val="center"/>
              <w:rPr>
                <w:sz w:val="15"/>
              </w:rPr>
            </w:pPr>
            <w:r>
              <w:rPr>
                <w:sz w:val="15"/>
              </w:rPr>
              <w:t>T16e（药师）</w:t>
            </w:r>
          </w:p>
        </w:tc>
        <w:tc>
          <w:tcPr>
            <w:tcW w:w="1235" w:type="dxa"/>
          </w:tcPr>
          <w:p>
            <w:pPr>
              <w:pStyle w:val="TableParagraph"/>
              <w:spacing w:before="54"/>
              <w:ind w:left="83"/>
              <w:rPr>
                <w:sz w:val="15"/>
              </w:rPr>
            </w:pPr>
            <w:r>
              <w:rPr>
                <w:sz w:val="15"/>
              </w:rPr>
              <w:t>5426（60.67%）</w:t>
            </w:r>
          </w:p>
        </w:tc>
        <w:tc>
          <w:tcPr>
            <w:tcW w:w="1394" w:type="dxa"/>
          </w:tcPr>
          <w:p>
            <w:pPr>
              <w:pStyle w:val="TableParagraph"/>
              <w:spacing w:before="54"/>
              <w:ind w:left="99"/>
              <w:rPr>
                <w:sz w:val="15"/>
              </w:rPr>
            </w:pPr>
            <w:r>
              <w:rPr>
                <w:sz w:val="15"/>
              </w:rPr>
              <w:t>3061（34.23%）</w:t>
            </w:r>
          </w:p>
        </w:tc>
        <w:tc>
          <w:tcPr>
            <w:tcW w:w="929" w:type="dxa"/>
          </w:tcPr>
          <w:p>
            <w:pPr>
              <w:pStyle w:val="TableParagraph"/>
              <w:spacing w:before="54"/>
              <w:ind w:left="224" w:right="214"/>
              <w:jc w:val="center"/>
              <w:rPr>
                <w:sz w:val="15"/>
              </w:rPr>
            </w:pPr>
            <w:r>
              <w:rPr>
                <w:sz w:val="15"/>
              </w:rPr>
              <w:t>4.5472</w:t>
            </w:r>
          </w:p>
        </w:tc>
        <w:tc>
          <w:tcPr>
            <w:tcW w:w="1254" w:type="dxa"/>
          </w:tcPr>
          <w:p>
            <w:pPr>
              <w:pStyle w:val="TableParagraph"/>
              <w:spacing w:before="54"/>
              <w:ind w:right="113"/>
              <w:jc w:val="right"/>
              <w:rPr>
                <w:sz w:val="15"/>
              </w:rPr>
            </w:pPr>
            <w:r>
              <w:rPr>
                <w:sz w:val="15"/>
              </w:rPr>
              <w:t>T15e（医生）</w:t>
            </w:r>
          </w:p>
        </w:tc>
        <w:tc>
          <w:tcPr>
            <w:tcW w:w="1159" w:type="dxa"/>
          </w:tcPr>
          <w:p>
            <w:pPr>
              <w:pStyle w:val="TableParagraph"/>
              <w:spacing w:before="54"/>
              <w:ind w:left="101" w:right="117"/>
              <w:jc w:val="center"/>
              <w:rPr>
                <w:sz w:val="15"/>
              </w:rPr>
            </w:pPr>
            <w:r>
              <w:rPr>
                <w:sz w:val="15"/>
              </w:rPr>
              <w:t>1082(34.34%)</w:t>
            </w:r>
          </w:p>
        </w:tc>
        <w:tc>
          <w:tcPr>
            <w:tcW w:w="1324" w:type="dxa"/>
          </w:tcPr>
          <w:p>
            <w:pPr>
              <w:pStyle w:val="TableParagraph"/>
              <w:spacing w:before="54"/>
              <w:ind w:left="144"/>
              <w:rPr>
                <w:sz w:val="15"/>
              </w:rPr>
            </w:pPr>
            <w:r>
              <w:rPr>
                <w:sz w:val="15"/>
              </w:rPr>
              <w:t>1615(51.25%)</w:t>
            </w:r>
          </w:p>
        </w:tc>
        <w:tc>
          <w:tcPr>
            <w:tcW w:w="1173" w:type="dxa"/>
          </w:tcPr>
          <w:p>
            <w:pPr>
              <w:pStyle w:val="TableParagraph"/>
              <w:spacing w:before="54"/>
              <w:ind w:right="431"/>
              <w:jc w:val="right"/>
              <w:rPr>
                <w:sz w:val="15"/>
              </w:rPr>
            </w:pPr>
            <w:r>
              <w:rPr>
                <w:sz w:val="15"/>
              </w:rPr>
              <w:t>4.1636</w:t>
            </w:r>
          </w:p>
        </w:tc>
      </w:tr>
      <w:tr>
        <w:trPr>
          <w:trHeight w:val="315" w:hRule="atLeast"/>
        </w:trPr>
        <w:tc>
          <w:tcPr>
            <w:tcW w:w="1076" w:type="dxa"/>
          </w:tcPr>
          <w:p>
            <w:pPr>
              <w:pStyle w:val="TableParagraph"/>
              <w:spacing w:before="53"/>
              <w:ind w:left="72" w:right="64"/>
              <w:jc w:val="center"/>
              <w:rPr>
                <w:sz w:val="15"/>
              </w:rPr>
            </w:pPr>
            <w:r>
              <w:rPr>
                <w:sz w:val="15"/>
              </w:rPr>
              <w:t>T16f（药师）</w:t>
            </w:r>
          </w:p>
        </w:tc>
        <w:tc>
          <w:tcPr>
            <w:tcW w:w="1235" w:type="dxa"/>
          </w:tcPr>
          <w:p>
            <w:pPr>
              <w:pStyle w:val="TableParagraph"/>
              <w:spacing w:before="53"/>
              <w:ind w:left="83"/>
              <w:rPr>
                <w:sz w:val="15"/>
              </w:rPr>
            </w:pPr>
            <w:r>
              <w:rPr>
                <w:sz w:val="15"/>
              </w:rPr>
              <w:t>5268（58.91%）</w:t>
            </w:r>
          </w:p>
        </w:tc>
        <w:tc>
          <w:tcPr>
            <w:tcW w:w="1394" w:type="dxa"/>
          </w:tcPr>
          <w:p>
            <w:pPr>
              <w:pStyle w:val="TableParagraph"/>
              <w:spacing w:before="53"/>
              <w:ind w:left="99"/>
              <w:rPr>
                <w:sz w:val="15"/>
              </w:rPr>
            </w:pPr>
            <w:r>
              <w:rPr>
                <w:sz w:val="15"/>
              </w:rPr>
              <w:t>3076（34.40%）</w:t>
            </w:r>
          </w:p>
        </w:tc>
        <w:tc>
          <w:tcPr>
            <w:tcW w:w="929" w:type="dxa"/>
          </w:tcPr>
          <w:p>
            <w:pPr>
              <w:pStyle w:val="TableParagraph"/>
              <w:spacing w:before="53"/>
              <w:ind w:left="224" w:right="214"/>
              <w:jc w:val="center"/>
              <w:rPr>
                <w:sz w:val="15"/>
              </w:rPr>
            </w:pPr>
            <w:r>
              <w:rPr>
                <w:sz w:val="15"/>
              </w:rPr>
              <w:t>4.5043</w:t>
            </w:r>
          </w:p>
        </w:tc>
        <w:tc>
          <w:tcPr>
            <w:tcW w:w="1254" w:type="dxa"/>
          </w:tcPr>
          <w:p>
            <w:pPr>
              <w:pStyle w:val="TableParagraph"/>
              <w:spacing w:before="53"/>
              <w:ind w:right="113"/>
              <w:jc w:val="right"/>
              <w:rPr>
                <w:sz w:val="15"/>
              </w:rPr>
            </w:pPr>
            <w:r>
              <w:rPr>
                <w:sz w:val="15"/>
              </w:rPr>
              <w:t>T15f（医生）</w:t>
            </w:r>
          </w:p>
        </w:tc>
        <w:tc>
          <w:tcPr>
            <w:tcW w:w="1159" w:type="dxa"/>
          </w:tcPr>
          <w:p>
            <w:pPr>
              <w:pStyle w:val="TableParagraph"/>
              <w:spacing w:before="53"/>
              <w:ind w:left="101" w:right="117"/>
              <w:jc w:val="center"/>
              <w:rPr>
                <w:sz w:val="15"/>
              </w:rPr>
            </w:pPr>
            <w:r>
              <w:rPr>
                <w:sz w:val="15"/>
              </w:rPr>
              <w:t>1061(33.67%)</w:t>
            </w:r>
          </w:p>
        </w:tc>
        <w:tc>
          <w:tcPr>
            <w:tcW w:w="1324" w:type="dxa"/>
          </w:tcPr>
          <w:p>
            <w:pPr>
              <w:pStyle w:val="TableParagraph"/>
              <w:spacing w:before="53"/>
              <w:ind w:left="144"/>
              <w:rPr>
                <w:sz w:val="15"/>
              </w:rPr>
            </w:pPr>
            <w:r>
              <w:rPr>
                <w:sz w:val="15"/>
              </w:rPr>
              <w:t>1587(50.36%)</w:t>
            </w:r>
          </w:p>
        </w:tc>
        <w:tc>
          <w:tcPr>
            <w:tcW w:w="1173" w:type="dxa"/>
          </w:tcPr>
          <w:p>
            <w:pPr>
              <w:pStyle w:val="TableParagraph"/>
              <w:spacing w:before="53"/>
              <w:ind w:right="431"/>
              <w:jc w:val="right"/>
              <w:rPr>
                <w:sz w:val="15"/>
              </w:rPr>
            </w:pPr>
            <w:r>
              <w:rPr>
                <w:sz w:val="15"/>
              </w:rPr>
              <w:t>4.1373</w:t>
            </w:r>
          </w:p>
        </w:tc>
      </w:tr>
      <w:tr>
        <w:trPr>
          <w:trHeight w:val="316" w:hRule="atLeast"/>
        </w:trPr>
        <w:tc>
          <w:tcPr>
            <w:tcW w:w="1076" w:type="dxa"/>
          </w:tcPr>
          <w:p>
            <w:pPr>
              <w:pStyle w:val="TableParagraph"/>
              <w:spacing w:before="54"/>
              <w:ind w:left="72" w:right="64"/>
              <w:jc w:val="center"/>
              <w:rPr>
                <w:sz w:val="15"/>
              </w:rPr>
            </w:pPr>
            <w:r>
              <w:rPr>
                <w:sz w:val="15"/>
              </w:rPr>
              <w:t>T16g（药师）</w:t>
            </w:r>
          </w:p>
        </w:tc>
        <w:tc>
          <w:tcPr>
            <w:tcW w:w="1235" w:type="dxa"/>
          </w:tcPr>
          <w:p>
            <w:pPr>
              <w:pStyle w:val="TableParagraph"/>
              <w:spacing w:before="54"/>
              <w:ind w:left="83"/>
              <w:rPr>
                <w:sz w:val="15"/>
              </w:rPr>
            </w:pPr>
            <w:r>
              <w:rPr>
                <w:sz w:val="15"/>
              </w:rPr>
              <w:t>5685（63.57%）</w:t>
            </w:r>
          </w:p>
        </w:tc>
        <w:tc>
          <w:tcPr>
            <w:tcW w:w="1394" w:type="dxa"/>
          </w:tcPr>
          <w:p>
            <w:pPr>
              <w:pStyle w:val="TableParagraph"/>
              <w:spacing w:before="54"/>
              <w:ind w:left="99"/>
              <w:rPr>
                <w:sz w:val="15"/>
              </w:rPr>
            </w:pPr>
            <w:r>
              <w:rPr>
                <w:sz w:val="15"/>
              </w:rPr>
              <w:t>3038（33.97%）</w:t>
            </w:r>
          </w:p>
        </w:tc>
        <w:tc>
          <w:tcPr>
            <w:tcW w:w="929" w:type="dxa"/>
          </w:tcPr>
          <w:p>
            <w:pPr>
              <w:pStyle w:val="TableParagraph"/>
              <w:spacing w:before="54"/>
              <w:ind w:left="224" w:right="214"/>
              <w:jc w:val="center"/>
              <w:rPr>
                <w:sz w:val="15"/>
              </w:rPr>
            </w:pPr>
            <w:r>
              <w:rPr>
                <w:sz w:val="15"/>
              </w:rPr>
              <w:t>4.6047</w:t>
            </w:r>
          </w:p>
        </w:tc>
        <w:tc>
          <w:tcPr>
            <w:tcW w:w="1254" w:type="dxa"/>
          </w:tcPr>
          <w:p>
            <w:pPr>
              <w:pStyle w:val="TableParagraph"/>
              <w:spacing w:before="54"/>
              <w:ind w:right="113"/>
              <w:jc w:val="right"/>
              <w:rPr>
                <w:sz w:val="15"/>
              </w:rPr>
            </w:pPr>
            <w:r>
              <w:rPr>
                <w:sz w:val="15"/>
              </w:rPr>
              <w:t>T15g（医生）</w:t>
            </w:r>
          </w:p>
        </w:tc>
        <w:tc>
          <w:tcPr>
            <w:tcW w:w="1159" w:type="dxa"/>
          </w:tcPr>
          <w:p>
            <w:pPr>
              <w:pStyle w:val="TableParagraph"/>
              <w:spacing w:before="54"/>
              <w:ind w:left="101" w:right="116"/>
              <w:jc w:val="center"/>
              <w:rPr>
                <w:sz w:val="15"/>
              </w:rPr>
            </w:pPr>
            <w:r>
              <w:rPr>
                <w:sz w:val="15"/>
              </w:rPr>
              <w:t>1018(32.31%)</w:t>
            </w:r>
          </w:p>
        </w:tc>
        <w:tc>
          <w:tcPr>
            <w:tcW w:w="1324" w:type="dxa"/>
          </w:tcPr>
          <w:p>
            <w:pPr>
              <w:pStyle w:val="TableParagraph"/>
              <w:spacing w:before="54"/>
              <w:ind w:left="144"/>
              <w:rPr>
                <w:sz w:val="15"/>
              </w:rPr>
            </w:pPr>
            <w:r>
              <w:rPr>
                <w:sz w:val="15"/>
              </w:rPr>
              <w:t>1556(49.38%)</w:t>
            </w:r>
          </w:p>
        </w:tc>
        <w:tc>
          <w:tcPr>
            <w:tcW w:w="1173" w:type="dxa"/>
          </w:tcPr>
          <w:p>
            <w:pPr>
              <w:pStyle w:val="TableParagraph"/>
              <w:spacing w:before="54"/>
              <w:ind w:right="431"/>
              <w:jc w:val="right"/>
              <w:rPr>
                <w:sz w:val="15"/>
              </w:rPr>
            </w:pPr>
            <w:r>
              <w:rPr>
                <w:sz w:val="15"/>
              </w:rPr>
              <w:t>4.0848</w:t>
            </w:r>
          </w:p>
        </w:tc>
      </w:tr>
      <w:tr>
        <w:trPr>
          <w:trHeight w:val="315" w:hRule="atLeast"/>
        </w:trPr>
        <w:tc>
          <w:tcPr>
            <w:tcW w:w="1076" w:type="dxa"/>
          </w:tcPr>
          <w:p>
            <w:pPr>
              <w:pStyle w:val="TableParagraph"/>
              <w:spacing w:before="54"/>
              <w:ind w:left="72" w:right="64"/>
              <w:jc w:val="center"/>
              <w:rPr>
                <w:sz w:val="15"/>
              </w:rPr>
            </w:pPr>
            <w:r>
              <w:rPr>
                <w:sz w:val="15"/>
              </w:rPr>
              <w:t>T16h（药师）</w:t>
            </w:r>
          </w:p>
        </w:tc>
        <w:tc>
          <w:tcPr>
            <w:tcW w:w="1235" w:type="dxa"/>
          </w:tcPr>
          <w:p>
            <w:pPr>
              <w:pStyle w:val="TableParagraph"/>
              <w:spacing w:before="54"/>
              <w:ind w:left="83"/>
              <w:rPr>
                <w:sz w:val="15"/>
              </w:rPr>
            </w:pPr>
            <w:r>
              <w:rPr>
                <w:sz w:val="15"/>
              </w:rPr>
              <w:t>6088（68.08%）</w:t>
            </w:r>
          </w:p>
        </w:tc>
        <w:tc>
          <w:tcPr>
            <w:tcW w:w="1394" w:type="dxa"/>
          </w:tcPr>
          <w:p>
            <w:pPr>
              <w:pStyle w:val="TableParagraph"/>
              <w:spacing w:before="54"/>
              <w:ind w:left="99"/>
              <w:rPr>
                <w:sz w:val="15"/>
              </w:rPr>
            </w:pPr>
            <w:r>
              <w:rPr>
                <w:sz w:val="15"/>
              </w:rPr>
              <w:t>2632（29.43%）</w:t>
            </w:r>
          </w:p>
        </w:tc>
        <w:tc>
          <w:tcPr>
            <w:tcW w:w="929" w:type="dxa"/>
          </w:tcPr>
          <w:p>
            <w:pPr>
              <w:pStyle w:val="TableParagraph"/>
              <w:spacing w:before="54"/>
              <w:ind w:left="224" w:right="214"/>
              <w:jc w:val="center"/>
              <w:rPr>
                <w:sz w:val="15"/>
              </w:rPr>
            </w:pPr>
            <w:r>
              <w:rPr>
                <w:sz w:val="15"/>
              </w:rPr>
              <w:t>4.6493</w:t>
            </w:r>
          </w:p>
        </w:tc>
        <w:tc>
          <w:tcPr>
            <w:tcW w:w="1254" w:type="dxa"/>
          </w:tcPr>
          <w:p>
            <w:pPr>
              <w:pStyle w:val="TableParagraph"/>
              <w:spacing w:before="54"/>
              <w:ind w:right="113"/>
              <w:jc w:val="right"/>
              <w:rPr>
                <w:sz w:val="15"/>
              </w:rPr>
            </w:pPr>
            <w:r>
              <w:rPr>
                <w:sz w:val="15"/>
              </w:rPr>
              <w:t>T15h（医生）</w:t>
            </w:r>
          </w:p>
        </w:tc>
        <w:tc>
          <w:tcPr>
            <w:tcW w:w="1159" w:type="dxa"/>
          </w:tcPr>
          <w:p>
            <w:pPr>
              <w:pStyle w:val="TableParagraph"/>
              <w:spacing w:before="54"/>
              <w:ind w:left="101" w:right="117"/>
              <w:jc w:val="center"/>
              <w:rPr>
                <w:sz w:val="15"/>
              </w:rPr>
            </w:pPr>
            <w:r>
              <w:rPr>
                <w:sz w:val="15"/>
              </w:rPr>
              <w:t>1012(32.12%)</w:t>
            </w:r>
          </w:p>
        </w:tc>
        <w:tc>
          <w:tcPr>
            <w:tcW w:w="1324" w:type="dxa"/>
          </w:tcPr>
          <w:p>
            <w:pPr>
              <w:pStyle w:val="TableParagraph"/>
              <w:spacing w:before="54"/>
              <w:ind w:left="144"/>
              <w:rPr>
                <w:sz w:val="15"/>
              </w:rPr>
            </w:pPr>
            <w:r>
              <w:rPr>
                <w:sz w:val="15"/>
              </w:rPr>
              <w:t>1572(49.89%)</w:t>
            </w:r>
          </w:p>
        </w:tc>
        <w:tc>
          <w:tcPr>
            <w:tcW w:w="1173" w:type="dxa"/>
          </w:tcPr>
          <w:p>
            <w:pPr>
              <w:pStyle w:val="TableParagraph"/>
              <w:spacing w:before="54"/>
              <w:ind w:right="505"/>
              <w:jc w:val="right"/>
              <w:rPr>
                <w:sz w:val="15"/>
              </w:rPr>
            </w:pPr>
            <w:r>
              <w:rPr>
                <w:sz w:val="15"/>
              </w:rPr>
              <w:t>4.08</w:t>
            </w:r>
          </w:p>
        </w:tc>
      </w:tr>
      <w:tr>
        <w:trPr>
          <w:trHeight w:val="316" w:hRule="atLeast"/>
        </w:trPr>
        <w:tc>
          <w:tcPr>
            <w:tcW w:w="1076" w:type="dxa"/>
            <w:tcBorders>
              <w:bottom w:val="single" w:sz="12" w:space="0" w:color="000000"/>
            </w:tcBorders>
          </w:tcPr>
          <w:p>
            <w:pPr>
              <w:pStyle w:val="TableParagraph"/>
              <w:spacing w:before="52"/>
              <w:ind w:left="72" w:right="64"/>
              <w:jc w:val="center"/>
              <w:rPr>
                <w:sz w:val="15"/>
              </w:rPr>
            </w:pPr>
            <w:r>
              <w:rPr>
                <w:sz w:val="15"/>
              </w:rPr>
              <w:t>T16i（药师）</w:t>
            </w:r>
          </w:p>
        </w:tc>
        <w:tc>
          <w:tcPr>
            <w:tcW w:w="1235" w:type="dxa"/>
            <w:tcBorders>
              <w:bottom w:val="single" w:sz="12" w:space="0" w:color="000000"/>
            </w:tcBorders>
          </w:tcPr>
          <w:p>
            <w:pPr>
              <w:pStyle w:val="TableParagraph"/>
              <w:spacing w:before="52"/>
              <w:ind w:left="83"/>
              <w:rPr>
                <w:sz w:val="15"/>
              </w:rPr>
            </w:pPr>
            <w:r>
              <w:rPr>
                <w:sz w:val="15"/>
              </w:rPr>
              <w:t>5486（61.34%）</w:t>
            </w:r>
          </w:p>
        </w:tc>
        <w:tc>
          <w:tcPr>
            <w:tcW w:w="1394" w:type="dxa"/>
            <w:tcBorders>
              <w:bottom w:val="single" w:sz="12" w:space="0" w:color="000000"/>
            </w:tcBorders>
          </w:tcPr>
          <w:p>
            <w:pPr>
              <w:pStyle w:val="TableParagraph"/>
              <w:spacing w:before="52"/>
              <w:ind w:left="99"/>
              <w:rPr>
                <w:sz w:val="15"/>
              </w:rPr>
            </w:pPr>
            <w:r>
              <w:rPr>
                <w:sz w:val="15"/>
              </w:rPr>
              <w:t>2994（33.48%）</w:t>
            </w:r>
          </w:p>
        </w:tc>
        <w:tc>
          <w:tcPr>
            <w:tcW w:w="929" w:type="dxa"/>
            <w:tcBorders>
              <w:bottom w:val="single" w:sz="12" w:space="0" w:color="000000"/>
            </w:tcBorders>
          </w:tcPr>
          <w:p>
            <w:pPr>
              <w:pStyle w:val="TableParagraph"/>
              <w:spacing w:before="52"/>
              <w:ind w:left="224" w:right="214"/>
              <w:jc w:val="center"/>
              <w:rPr>
                <w:sz w:val="15"/>
              </w:rPr>
            </w:pPr>
            <w:r>
              <w:rPr>
                <w:sz w:val="15"/>
              </w:rPr>
              <w:t>4.5505</w:t>
            </w:r>
          </w:p>
        </w:tc>
        <w:tc>
          <w:tcPr>
            <w:tcW w:w="1254" w:type="dxa"/>
            <w:tcBorders>
              <w:bottom w:val="single" w:sz="12" w:space="0" w:color="000000"/>
            </w:tcBorders>
          </w:tcPr>
          <w:p>
            <w:pPr>
              <w:pStyle w:val="TableParagraph"/>
              <w:rPr>
                <w:rFonts w:ascii="Times New Roman"/>
                <w:sz w:val="20"/>
              </w:rPr>
            </w:pPr>
          </w:p>
        </w:tc>
        <w:tc>
          <w:tcPr>
            <w:tcW w:w="1159" w:type="dxa"/>
            <w:tcBorders>
              <w:bottom w:val="single" w:sz="12" w:space="0" w:color="000000"/>
            </w:tcBorders>
          </w:tcPr>
          <w:p>
            <w:pPr>
              <w:pStyle w:val="TableParagraph"/>
              <w:rPr>
                <w:rFonts w:ascii="Times New Roman"/>
                <w:sz w:val="20"/>
              </w:rPr>
            </w:pPr>
          </w:p>
        </w:tc>
        <w:tc>
          <w:tcPr>
            <w:tcW w:w="1324" w:type="dxa"/>
            <w:tcBorders>
              <w:bottom w:val="single" w:sz="12" w:space="0" w:color="000000"/>
            </w:tcBorders>
          </w:tcPr>
          <w:p>
            <w:pPr>
              <w:pStyle w:val="TableParagraph"/>
              <w:rPr>
                <w:rFonts w:ascii="Times New Roman"/>
                <w:sz w:val="20"/>
              </w:rPr>
            </w:pPr>
          </w:p>
        </w:tc>
        <w:tc>
          <w:tcPr>
            <w:tcW w:w="1173" w:type="dxa"/>
            <w:tcBorders>
              <w:bottom w:val="single" w:sz="12" w:space="0" w:color="000000"/>
            </w:tcBorders>
          </w:tcPr>
          <w:p>
            <w:pPr>
              <w:pStyle w:val="TableParagraph"/>
              <w:rPr>
                <w:rFonts w:ascii="Times New Roman"/>
                <w:sz w:val="20"/>
              </w:rPr>
            </w:pPr>
          </w:p>
        </w:tc>
      </w:tr>
    </w:tbl>
    <w:p>
      <w:pPr>
        <w:pStyle w:val="BodyText"/>
        <w:spacing w:before="8"/>
        <w:rPr>
          <w:rFonts w:ascii="楷体" w:eastAsia="楷体" w:hint="eastAsia"/>
        </w:rPr>
      </w:pPr>
      <w:r>
        <w:rPr>
          <w:rFonts w:ascii="楷体" w:eastAsia="楷体" w:hint="eastAsia"/>
        </w:rPr>
        <w:t>注：T15a（医生）：可以适当减轻医生工作量，缓解医生工作压力；T15b（医生）、T16a</w:t>
      </w:r>
    </w:p>
    <w:p>
      <w:pPr>
        <w:pStyle w:val="BodyText"/>
        <w:spacing w:line="249" w:lineRule="auto" w:before="14"/>
        <w:ind w:right="264"/>
        <w:rPr>
          <w:rFonts w:ascii="楷体" w:eastAsia="楷体" w:hint="eastAsia"/>
        </w:rPr>
      </w:pPr>
      <w:r>
        <w:rPr>
          <w:rFonts w:ascii="楷体" w:eastAsia="楷体" w:hint="eastAsia"/>
        </w:rPr>
        <w:t>（护士）、T16a（药师）、T16a（公众）：有助于医生将有限的时间投入到患者的诊治中， </w:t>
      </w:r>
      <w:r>
        <w:rPr>
          <w:rFonts w:ascii="楷体" w:eastAsia="楷体" w:hint="eastAsia"/>
          <w:spacing w:val="-1"/>
        </w:rPr>
        <w:t>特别是疑难病；</w:t>
      </w:r>
      <w:r>
        <w:rPr>
          <w:rFonts w:ascii="楷体" w:eastAsia="楷体" w:hint="eastAsia"/>
          <w:spacing w:val="-3"/>
        </w:rPr>
        <w:t>T15c（</w:t>
      </w:r>
      <w:r>
        <w:rPr>
          <w:rFonts w:ascii="楷体" w:eastAsia="楷体" w:hint="eastAsia"/>
        </w:rPr>
        <w:t>医生</w:t>
      </w:r>
      <w:r>
        <w:rPr>
          <w:rFonts w:ascii="楷体" w:eastAsia="楷体" w:hint="eastAsia"/>
          <w:spacing w:val="-8"/>
        </w:rPr>
        <w:t>）、</w:t>
      </w:r>
      <w:r>
        <w:rPr>
          <w:rFonts w:ascii="楷体" w:eastAsia="楷体" w:hint="eastAsia"/>
        </w:rPr>
        <w:t>T16b（护士</w:t>
      </w:r>
      <w:r>
        <w:rPr>
          <w:rFonts w:ascii="楷体" w:eastAsia="楷体" w:hint="eastAsia"/>
          <w:spacing w:val="-10"/>
        </w:rPr>
        <w:t>）</w:t>
      </w:r>
      <w:r>
        <w:rPr>
          <w:rFonts w:ascii="楷体" w:eastAsia="楷体" w:hint="eastAsia"/>
          <w:spacing w:val="-7"/>
        </w:rPr>
        <w:t>、</w:t>
      </w:r>
      <w:r>
        <w:rPr>
          <w:rFonts w:ascii="楷体" w:eastAsia="楷体" w:hint="eastAsia"/>
        </w:rPr>
        <w:t>T16b（药师</w:t>
      </w:r>
      <w:r>
        <w:rPr>
          <w:rFonts w:ascii="楷体" w:eastAsia="楷体" w:hint="eastAsia"/>
          <w:spacing w:val="-8"/>
        </w:rPr>
        <w:t>）</w:t>
      </w:r>
      <w:r>
        <w:rPr>
          <w:rFonts w:ascii="楷体" w:eastAsia="楷体" w:hint="eastAsia"/>
          <w:spacing w:val="-7"/>
        </w:rPr>
        <w:t>、</w:t>
      </w:r>
      <w:r>
        <w:rPr>
          <w:rFonts w:ascii="楷体" w:eastAsia="楷体" w:hint="eastAsia"/>
        </w:rPr>
        <w:t>T16b（公众</w:t>
      </w:r>
      <w:r>
        <w:rPr>
          <w:rFonts w:ascii="楷体" w:eastAsia="楷体" w:hint="eastAsia"/>
          <w:spacing w:val="-8"/>
        </w:rPr>
        <w:t>）：</w:t>
      </w:r>
      <w:r>
        <w:rPr>
          <w:rFonts w:ascii="楷体" w:eastAsia="楷体" w:hint="eastAsia"/>
        </w:rPr>
        <w:t>增强药师与</w:t>
      </w:r>
      <w:r>
        <w:rPr>
          <w:rFonts w:ascii="楷体" w:eastAsia="楷体" w:hint="eastAsia"/>
          <w:spacing w:val="-7"/>
        </w:rPr>
        <w:t>患者的沟通交流，增强患者对治疗药物的理解；</w:t>
      </w:r>
      <w:r>
        <w:rPr>
          <w:rFonts w:ascii="楷体" w:eastAsia="楷体" w:hint="eastAsia"/>
          <w:spacing w:val="-16"/>
        </w:rPr>
        <w:t>T15d（</w:t>
      </w:r>
      <w:r>
        <w:rPr>
          <w:rFonts w:ascii="楷体" w:eastAsia="楷体" w:hint="eastAsia"/>
        </w:rPr>
        <w:t>医生</w:t>
      </w:r>
      <w:r>
        <w:rPr>
          <w:rFonts w:ascii="楷体" w:eastAsia="楷体" w:hint="eastAsia"/>
          <w:spacing w:val="-46"/>
        </w:rPr>
        <w:t>）</w:t>
      </w:r>
      <w:r>
        <w:rPr>
          <w:rFonts w:ascii="楷体" w:eastAsia="楷体" w:hint="eastAsia"/>
          <w:spacing w:val="-45"/>
        </w:rPr>
        <w:t>、</w:t>
      </w:r>
      <w:r>
        <w:rPr>
          <w:rFonts w:ascii="楷体" w:eastAsia="楷体" w:hint="eastAsia"/>
          <w:spacing w:val="-10"/>
        </w:rPr>
        <w:t>T16c（</w:t>
      </w:r>
      <w:r>
        <w:rPr>
          <w:rFonts w:ascii="楷体" w:eastAsia="楷体" w:hint="eastAsia"/>
        </w:rPr>
        <w:t>护士</w:t>
      </w:r>
      <w:r>
        <w:rPr>
          <w:rFonts w:ascii="楷体" w:eastAsia="楷体" w:hint="eastAsia"/>
          <w:spacing w:val="-46"/>
        </w:rPr>
        <w:t>）、</w:t>
      </w:r>
      <w:r>
        <w:rPr>
          <w:rFonts w:ascii="楷体" w:eastAsia="楷体" w:hint="eastAsia"/>
          <w:spacing w:val="-10"/>
        </w:rPr>
        <w:t>T16c（</w:t>
      </w:r>
      <w:r>
        <w:rPr>
          <w:rFonts w:ascii="楷体" w:eastAsia="楷体" w:hint="eastAsia"/>
        </w:rPr>
        <w:t>药师</w:t>
      </w:r>
      <w:r>
        <w:rPr>
          <w:rFonts w:ascii="楷体" w:eastAsia="楷体" w:hint="eastAsia"/>
          <w:spacing w:val="-46"/>
        </w:rPr>
        <w:t>）</w:t>
      </w:r>
      <w:r>
        <w:rPr>
          <w:rFonts w:ascii="楷体" w:eastAsia="楷体" w:hint="eastAsia"/>
          <w:spacing w:val="-14"/>
        </w:rPr>
        <w:t>、</w:t>
      </w:r>
      <w:r>
        <w:rPr>
          <w:rFonts w:ascii="楷体" w:eastAsia="楷体" w:hint="eastAsia"/>
          <w:spacing w:val="-6"/>
        </w:rPr>
        <w:t>T16c（</w:t>
      </w:r>
      <w:r>
        <w:rPr>
          <w:rFonts w:ascii="楷体" w:eastAsia="楷体" w:hint="eastAsia"/>
        </w:rPr>
        <w:t>公众</w:t>
      </w:r>
      <w:r>
        <w:rPr>
          <w:rFonts w:ascii="楷体" w:eastAsia="楷体" w:hint="eastAsia"/>
          <w:spacing w:val="-27"/>
        </w:rPr>
        <w:t>）：</w:t>
      </w:r>
      <w:r>
        <w:rPr>
          <w:rFonts w:ascii="楷体" w:eastAsia="楷体" w:hint="eastAsia"/>
          <w:spacing w:val="-2"/>
        </w:rPr>
        <w:t>可以让药师更加深入地参与到临床医疗活动中，让患者享受更加全面的医疗</w:t>
      </w:r>
      <w:r>
        <w:rPr>
          <w:rFonts w:ascii="楷体" w:eastAsia="楷体" w:hint="eastAsia"/>
          <w:spacing w:val="-3"/>
        </w:rPr>
        <w:t>服务；T15e（</w:t>
      </w:r>
      <w:r>
        <w:rPr>
          <w:rFonts w:ascii="楷体" w:eastAsia="楷体" w:hint="eastAsia"/>
        </w:rPr>
        <w:t>医生</w:t>
      </w:r>
      <w:r>
        <w:rPr>
          <w:rFonts w:ascii="楷体" w:eastAsia="楷体" w:hint="eastAsia"/>
          <w:spacing w:val="-8"/>
        </w:rPr>
        <w:t>）</w:t>
      </w:r>
      <w:r>
        <w:rPr>
          <w:rFonts w:ascii="楷体" w:eastAsia="楷体" w:hint="eastAsia"/>
          <w:spacing w:val="-9"/>
        </w:rPr>
        <w:t>、</w:t>
      </w:r>
      <w:r>
        <w:rPr>
          <w:rFonts w:ascii="楷体" w:eastAsia="楷体" w:hint="eastAsia"/>
        </w:rPr>
        <w:t>T16d（护士</w:t>
      </w:r>
      <w:r>
        <w:rPr>
          <w:rFonts w:ascii="楷体" w:eastAsia="楷体" w:hint="eastAsia"/>
          <w:spacing w:val="-8"/>
        </w:rPr>
        <w:t>）、</w:t>
      </w:r>
      <w:r>
        <w:rPr>
          <w:rFonts w:ascii="楷体" w:eastAsia="楷体" w:hint="eastAsia"/>
        </w:rPr>
        <w:t>T16d（药师</w:t>
      </w:r>
      <w:r>
        <w:rPr>
          <w:rFonts w:ascii="楷体" w:eastAsia="楷体" w:hint="eastAsia"/>
          <w:spacing w:val="-8"/>
        </w:rPr>
        <w:t>）、</w:t>
      </w:r>
      <w:r>
        <w:rPr>
          <w:rFonts w:ascii="楷体" w:eastAsia="楷体" w:hint="eastAsia"/>
        </w:rPr>
        <w:t>T16d（公众</w:t>
      </w:r>
      <w:r>
        <w:rPr>
          <w:rFonts w:ascii="楷体" w:eastAsia="楷体" w:hint="eastAsia"/>
          <w:spacing w:val="-9"/>
        </w:rPr>
        <w:t>）</w:t>
      </w:r>
      <w:r>
        <w:rPr>
          <w:rFonts w:ascii="楷体" w:eastAsia="楷体" w:hint="eastAsia"/>
          <w:spacing w:val="-3"/>
        </w:rPr>
        <w:t>：药师能够及时地优化</w:t>
      </w:r>
      <w:r>
        <w:rPr>
          <w:rFonts w:ascii="楷体" w:eastAsia="楷体" w:hint="eastAsia"/>
          <w:spacing w:val="-5"/>
        </w:rPr>
        <w:t>患者的处方，以达到更佳的治疗效果；</w:t>
      </w:r>
      <w:r>
        <w:rPr>
          <w:rFonts w:ascii="楷体" w:eastAsia="楷体" w:hint="eastAsia"/>
          <w:spacing w:val="-4"/>
        </w:rPr>
        <w:t>T15f（</w:t>
      </w:r>
      <w:r>
        <w:rPr>
          <w:rFonts w:ascii="楷体" w:eastAsia="楷体" w:hint="eastAsia"/>
        </w:rPr>
        <w:t>医生</w:t>
      </w:r>
      <w:r>
        <w:rPr>
          <w:rFonts w:ascii="楷体" w:eastAsia="楷体" w:hint="eastAsia"/>
          <w:spacing w:val="-10"/>
        </w:rPr>
        <w:t>）、</w:t>
      </w:r>
      <w:r>
        <w:rPr>
          <w:rFonts w:ascii="楷体" w:eastAsia="楷体" w:hint="eastAsia"/>
        </w:rPr>
        <w:t>T16e（护士</w:t>
      </w:r>
      <w:r>
        <w:rPr>
          <w:rFonts w:ascii="楷体" w:eastAsia="楷体" w:hint="eastAsia"/>
          <w:spacing w:val="-10"/>
        </w:rPr>
        <w:t>）</w:t>
      </w:r>
      <w:r>
        <w:rPr>
          <w:rFonts w:ascii="楷体" w:eastAsia="楷体" w:hint="eastAsia"/>
          <w:spacing w:val="-9"/>
        </w:rPr>
        <w:t>、</w:t>
      </w:r>
      <w:r>
        <w:rPr>
          <w:rFonts w:ascii="楷体" w:eastAsia="楷体" w:hint="eastAsia"/>
        </w:rPr>
        <w:t>T16e（药师</w:t>
      </w:r>
      <w:r>
        <w:rPr>
          <w:rFonts w:ascii="楷体" w:eastAsia="楷体" w:hint="eastAsia"/>
          <w:spacing w:val="-10"/>
        </w:rPr>
        <w:t>）、</w:t>
      </w:r>
      <w:r>
        <w:rPr>
          <w:rFonts w:ascii="楷体" w:eastAsia="楷体" w:hint="eastAsia"/>
        </w:rPr>
        <w:t>T16e</w:t>
      </w:r>
    </w:p>
    <w:p>
      <w:pPr>
        <w:pStyle w:val="BodyText"/>
        <w:spacing w:before="2"/>
        <w:rPr>
          <w:rFonts w:ascii="楷体" w:eastAsia="楷体" w:hint="eastAsia"/>
        </w:rPr>
      </w:pPr>
      <w:r>
        <w:rPr>
          <w:rFonts w:ascii="楷体" w:eastAsia="楷体" w:hint="eastAsia"/>
          <w:spacing w:val="-1"/>
        </w:rPr>
        <w:t>（公众</w:t>
      </w:r>
      <w:r>
        <w:rPr>
          <w:rFonts w:ascii="楷体" w:eastAsia="楷体" w:hint="eastAsia"/>
          <w:spacing w:val="-10"/>
        </w:rPr>
        <w:t>）：</w:t>
      </w:r>
      <w:r>
        <w:rPr>
          <w:rFonts w:ascii="楷体" w:eastAsia="楷体" w:hint="eastAsia"/>
          <w:spacing w:val="-4"/>
        </w:rPr>
        <w:t>药师通过优化处方，能够为患者节省费用；T15g（</w:t>
      </w:r>
      <w:r>
        <w:rPr>
          <w:rFonts w:ascii="楷体" w:eastAsia="楷体" w:hint="eastAsia"/>
        </w:rPr>
        <w:t>医生</w:t>
      </w:r>
      <w:r>
        <w:rPr>
          <w:rFonts w:ascii="楷体" w:eastAsia="楷体" w:hint="eastAsia"/>
          <w:spacing w:val="-12"/>
        </w:rPr>
        <w:t>）</w:t>
      </w:r>
      <w:r>
        <w:rPr>
          <w:rFonts w:ascii="楷体" w:eastAsia="楷体" w:hint="eastAsia"/>
          <w:spacing w:val="-9"/>
        </w:rPr>
        <w:t>、</w:t>
      </w:r>
      <w:r>
        <w:rPr>
          <w:rFonts w:ascii="楷体" w:eastAsia="楷体" w:hint="eastAsia"/>
        </w:rPr>
        <w:t>T16f（护士</w:t>
      </w:r>
      <w:r>
        <w:rPr>
          <w:rFonts w:ascii="楷体" w:eastAsia="楷体" w:hint="eastAsia"/>
          <w:spacing w:val="-10"/>
        </w:rPr>
        <w:t>）、</w:t>
      </w:r>
      <w:r>
        <w:rPr>
          <w:rFonts w:ascii="楷体" w:eastAsia="楷体" w:hint="eastAsia"/>
        </w:rPr>
        <w:t>T16f</w:t>
      </w:r>
    </w:p>
    <w:p>
      <w:pPr>
        <w:pStyle w:val="BodyText"/>
        <w:spacing w:line="249" w:lineRule="auto" w:before="11"/>
        <w:ind w:right="270"/>
        <w:rPr>
          <w:rFonts w:ascii="楷体" w:eastAsia="楷体" w:hint="eastAsia"/>
        </w:rPr>
      </w:pPr>
      <w:r>
        <w:rPr>
          <w:rFonts w:ascii="楷体" w:eastAsia="楷体" w:hint="eastAsia"/>
        </w:rPr>
        <w:t>（药师</w:t>
      </w:r>
      <w:r>
        <w:rPr>
          <w:rFonts w:ascii="楷体" w:eastAsia="楷体" w:hint="eastAsia"/>
          <w:spacing w:val="-17"/>
        </w:rPr>
        <w:t>）、</w:t>
      </w:r>
      <w:r>
        <w:rPr>
          <w:rFonts w:ascii="楷体" w:eastAsia="楷体" w:hint="eastAsia"/>
          <w:spacing w:val="-4"/>
        </w:rPr>
        <w:t>T16f（</w:t>
      </w:r>
      <w:r>
        <w:rPr>
          <w:rFonts w:ascii="楷体" w:eastAsia="楷体" w:hint="eastAsia"/>
        </w:rPr>
        <w:t>公众</w:t>
      </w:r>
      <w:r>
        <w:rPr>
          <w:rFonts w:ascii="楷体" w:eastAsia="楷体" w:hint="eastAsia"/>
          <w:spacing w:val="-17"/>
        </w:rPr>
        <w:t>）：</w:t>
      </w:r>
      <w:r>
        <w:rPr>
          <w:rFonts w:ascii="楷体" w:eastAsia="楷体" w:hint="eastAsia"/>
          <w:spacing w:val="-1"/>
        </w:rPr>
        <w:t>药师直接为病情比较稳定的患者开具处方，可以节省患者就医时</w:t>
      </w:r>
      <w:r>
        <w:rPr>
          <w:rFonts w:ascii="楷体" w:eastAsia="楷体" w:hint="eastAsia"/>
          <w:spacing w:val="-6"/>
        </w:rPr>
        <w:t>间，减少就医费用；T16g（</w:t>
      </w:r>
      <w:r>
        <w:rPr>
          <w:rFonts w:ascii="楷体" w:eastAsia="楷体" w:hint="eastAsia"/>
        </w:rPr>
        <w:t>药师</w:t>
      </w:r>
      <w:r>
        <w:rPr>
          <w:rFonts w:ascii="楷体" w:eastAsia="楷体" w:hint="eastAsia"/>
          <w:spacing w:val="-17"/>
        </w:rPr>
        <w:t>）：</w:t>
      </w:r>
      <w:r>
        <w:rPr>
          <w:rFonts w:ascii="楷体" w:eastAsia="楷体" w:hint="eastAsia"/>
          <w:spacing w:val="-2"/>
        </w:rPr>
        <w:t>能够更加充分地发挥药师专业特长，体现药师的职业价值；T16h（药师）：您会积极参加取得药师处方权的培训或考核；T17（护士）：在我国目</w:t>
      </w:r>
      <w:r>
        <w:rPr>
          <w:rFonts w:ascii="楷体" w:eastAsia="楷体" w:hint="eastAsia"/>
          <w:spacing w:val="-9"/>
        </w:rPr>
        <w:t>前的法律法规体系内，只有注册的执业医师和执业助理医师赋予处方权，而在国外不仅是医</w:t>
      </w:r>
      <w:r>
        <w:rPr>
          <w:rFonts w:ascii="楷体" w:eastAsia="楷体" w:hint="eastAsia"/>
          <w:spacing w:val="-17"/>
        </w:rPr>
        <w:t>生，部分药师和护士也赋予处方权，理论和实践的证据均表明他们赋予处方权对医生、药师、</w:t>
      </w:r>
      <w:r>
        <w:rPr>
          <w:rFonts w:ascii="楷体" w:eastAsia="楷体" w:hint="eastAsia"/>
          <w:spacing w:val="-7"/>
        </w:rPr>
        <w:t>护士和患者均可获益。基于上述您对药师工作、药师部分处方权以及您个人职业的理解，如果我国药师和护士赋予处方权您是否同意？T15h（医生</w:t>
      </w:r>
      <w:r>
        <w:rPr>
          <w:rFonts w:ascii="楷体" w:eastAsia="楷体" w:hint="eastAsia"/>
          <w:spacing w:val="-12"/>
        </w:rPr>
        <w:t>）、</w:t>
      </w:r>
      <w:r>
        <w:rPr>
          <w:rFonts w:ascii="楷体" w:eastAsia="楷体" w:hint="eastAsia"/>
          <w:spacing w:val="-3"/>
        </w:rPr>
        <w:t>T16i（</w:t>
      </w:r>
      <w:r>
        <w:rPr>
          <w:rFonts w:ascii="楷体" w:eastAsia="楷体" w:hint="eastAsia"/>
          <w:spacing w:val="-2"/>
        </w:rPr>
        <w:t>药师</w:t>
      </w:r>
      <w:r>
        <w:rPr>
          <w:rFonts w:ascii="楷体" w:eastAsia="楷体" w:hint="eastAsia"/>
          <w:spacing w:val="-4"/>
        </w:rPr>
        <w:t>）T16g（</w:t>
      </w:r>
      <w:r>
        <w:rPr>
          <w:rFonts w:ascii="楷体" w:eastAsia="楷体" w:hint="eastAsia"/>
        </w:rPr>
        <w:t>公众</w:t>
      </w:r>
      <w:r>
        <w:rPr>
          <w:rFonts w:ascii="楷体" w:eastAsia="楷体" w:hint="eastAsia"/>
          <w:spacing w:val="-12"/>
        </w:rPr>
        <w:t>）：</w:t>
      </w:r>
      <w:r>
        <w:rPr>
          <w:rFonts w:ascii="楷体" w:eastAsia="楷体" w:hint="eastAsia"/>
        </w:rPr>
        <w:t>药师作为用药专家，应当赋予一定的处方权</w:t>
      </w:r>
    </w:p>
    <w:p>
      <w:pPr>
        <w:pStyle w:val="ListParagraph"/>
        <w:numPr>
          <w:ilvl w:val="1"/>
          <w:numId w:val="2"/>
        </w:numPr>
        <w:tabs>
          <w:tab w:pos="1238" w:val="left" w:leader="none"/>
          <w:tab w:pos="3397" w:val="left" w:leader="none"/>
        </w:tabs>
        <w:spacing w:line="295" w:lineRule="auto" w:before="51" w:after="0"/>
        <w:ind w:left="277" w:right="389" w:firstLine="480"/>
        <w:jc w:val="left"/>
        <w:rPr>
          <w:sz w:val="24"/>
        </w:rPr>
      </w:pPr>
      <w:r>
        <w:rPr>
          <w:sz w:val="24"/>
        </w:rPr>
        <w:t>组内影响因素分析</w:t>
        <w:tab/>
        <w:t>为方便进行影响因素分析</w:t>
      </w:r>
      <w:r>
        <w:rPr>
          <w:spacing w:val="-34"/>
          <w:sz w:val="24"/>
        </w:rPr>
        <w:t>，</w:t>
      </w:r>
      <w:r>
        <w:rPr>
          <w:sz w:val="24"/>
        </w:rPr>
        <w:t>本课题将医生</w:t>
      </w:r>
      <w:r>
        <w:rPr>
          <w:spacing w:val="-36"/>
          <w:sz w:val="24"/>
        </w:rPr>
        <w:t>、</w:t>
      </w:r>
      <w:r>
        <w:rPr>
          <w:sz w:val="24"/>
        </w:rPr>
        <w:t>护士</w:t>
      </w:r>
      <w:r>
        <w:rPr>
          <w:spacing w:val="-34"/>
          <w:sz w:val="24"/>
        </w:rPr>
        <w:t>、</w:t>
      </w:r>
      <w:r>
        <w:rPr>
          <w:sz w:val="24"/>
        </w:rPr>
        <w:t>药师和公</w:t>
      </w:r>
      <w:r>
        <w:rPr>
          <w:spacing w:val="-16"/>
          <w:sz w:val="24"/>
        </w:rPr>
        <w:t>众</w:t>
      </w:r>
      <w:r>
        <w:rPr>
          <w:sz w:val="24"/>
        </w:rPr>
        <w:t>T10—T14</w:t>
      </w:r>
      <w:r>
        <w:rPr>
          <w:spacing w:val="-61"/>
          <w:sz w:val="24"/>
        </w:rPr>
        <w:t> </w:t>
      </w:r>
      <w:r>
        <w:rPr>
          <w:sz w:val="24"/>
        </w:rPr>
        <w:t>合并为“对国外药师‘部分’处方权认知情况”，将医生</w:t>
      </w:r>
      <w:r>
        <w:rPr>
          <w:spacing w:val="-59"/>
          <w:sz w:val="24"/>
        </w:rPr>
        <w:t> </w:t>
      </w:r>
      <w:r>
        <w:rPr>
          <w:sz w:val="24"/>
        </w:rPr>
        <w:t>T15，药师和公众</w:t>
      </w:r>
      <w:r>
        <w:rPr>
          <w:spacing w:val="-60"/>
          <w:sz w:val="24"/>
        </w:rPr>
        <w:t> </w:t>
      </w:r>
      <w:r>
        <w:rPr>
          <w:sz w:val="24"/>
        </w:rPr>
        <w:t>T16 以及护士</w:t>
      </w:r>
      <w:r>
        <w:rPr>
          <w:spacing w:val="-61"/>
          <w:sz w:val="24"/>
        </w:rPr>
        <w:t> </w:t>
      </w:r>
      <w:r>
        <w:rPr>
          <w:sz w:val="24"/>
        </w:rPr>
        <w:t>T16、T17</w:t>
      </w:r>
      <w:r>
        <w:rPr>
          <w:spacing w:val="-60"/>
          <w:sz w:val="24"/>
        </w:rPr>
        <w:t> </w:t>
      </w:r>
      <w:r>
        <w:rPr>
          <w:sz w:val="24"/>
        </w:rPr>
        <w:t>中的各问题合并为“对药师赋予‘部分’处方权支持情况”。</w:t>
      </w:r>
    </w:p>
    <w:p>
      <w:pPr>
        <w:pStyle w:val="ListParagraph"/>
        <w:numPr>
          <w:ilvl w:val="2"/>
          <w:numId w:val="2"/>
        </w:numPr>
        <w:tabs>
          <w:tab w:pos="1418" w:val="left" w:leader="none"/>
        </w:tabs>
        <w:spacing w:line="297" w:lineRule="auto" w:before="5" w:after="0"/>
        <w:ind w:left="277" w:right="388" w:firstLine="480"/>
        <w:jc w:val="both"/>
        <w:rPr>
          <w:sz w:val="24"/>
        </w:rPr>
      </w:pPr>
      <w:r>
        <w:rPr>
          <w:spacing w:val="-7"/>
          <w:sz w:val="24"/>
        </w:rPr>
        <w:t>医护人员、药师和公众“对国外药师‘部分’处方权认知情况”与“对药师赋予</w:t>
      </w:r>
      <w:r>
        <w:rPr>
          <w:spacing w:val="-15"/>
          <w:sz w:val="24"/>
        </w:rPr>
        <w:t>‘部分’处方权支持情况”相关性分析 运用 </w:t>
      </w:r>
      <w:r>
        <w:rPr>
          <w:sz w:val="24"/>
        </w:rPr>
        <w:t>Pearson</w:t>
      </w:r>
      <w:r>
        <w:rPr>
          <w:spacing w:val="-9"/>
          <w:sz w:val="24"/>
        </w:rPr>
        <w:t> 相关系数法分析相关系数值是否呈现</w:t>
      </w:r>
      <w:r>
        <w:rPr>
          <w:spacing w:val="-12"/>
          <w:sz w:val="24"/>
        </w:rPr>
        <w:t>出显著性。“对国外药师‘部分’处方权认知情况”与“对药师赋予‘部分’处方权支持情</w:t>
      </w:r>
      <w:r>
        <w:rPr>
          <w:spacing w:val="-2"/>
          <w:sz w:val="24"/>
        </w:rPr>
        <w:t>况”</w:t>
      </w:r>
      <w:r>
        <w:rPr>
          <w:spacing w:val="-3"/>
          <w:sz w:val="24"/>
        </w:rPr>
        <w:t>Pearson</w:t>
      </w:r>
      <w:r>
        <w:rPr>
          <w:spacing w:val="-16"/>
          <w:sz w:val="24"/>
        </w:rPr>
        <w:t> 系数医生卷为 </w:t>
      </w:r>
      <w:r>
        <w:rPr>
          <w:spacing w:val="-4"/>
          <w:sz w:val="24"/>
        </w:rPr>
        <w:t>0.398</w:t>
      </w:r>
      <w:r>
        <w:rPr>
          <w:spacing w:val="-14"/>
          <w:sz w:val="24"/>
        </w:rPr>
        <w:t>，护士卷 </w:t>
      </w:r>
      <w:r>
        <w:rPr>
          <w:spacing w:val="-4"/>
          <w:sz w:val="24"/>
        </w:rPr>
        <w:t>0.464</w:t>
      </w:r>
      <w:r>
        <w:rPr>
          <w:spacing w:val="-14"/>
          <w:sz w:val="24"/>
        </w:rPr>
        <w:t>，药师卷 </w:t>
      </w:r>
      <w:r>
        <w:rPr>
          <w:spacing w:val="-4"/>
          <w:sz w:val="24"/>
        </w:rPr>
        <w:t>0.378</w:t>
      </w:r>
      <w:r>
        <w:rPr>
          <w:spacing w:val="-14"/>
          <w:sz w:val="24"/>
        </w:rPr>
        <w:t>，公众卷 </w:t>
      </w:r>
      <w:r>
        <w:rPr>
          <w:spacing w:val="-4"/>
          <w:sz w:val="24"/>
        </w:rPr>
        <w:t>0.354</w:t>
      </w:r>
      <w:r>
        <w:rPr>
          <w:spacing w:val="-16"/>
          <w:sz w:val="24"/>
        </w:rPr>
        <w:t>，均在 </w:t>
      </w:r>
      <w:r>
        <w:rPr>
          <w:sz w:val="24"/>
        </w:rPr>
        <w:t>0.01 水平（双侧）上显著相关。</w:t>
      </w:r>
    </w:p>
    <w:p>
      <w:pPr>
        <w:pStyle w:val="ListParagraph"/>
        <w:numPr>
          <w:ilvl w:val="2"/>
          <w:numId w:val="2"/>
        </w:numPr>
        <w:tabs>
          <w:tab w:pos="1418" w:val="left" w:leader="none"/>
        </w:tabs>
        <w:spacing w:line="297" w:lineRule="auto" w:before="0" w:after="0"/>
        <w:ind w:left="277" w:right="586" w:firstLine="480"/>
        <w:jc w:val="both"/>
        <w:rPr>
          <w:sz w:val="24"/>
        </w:rPr>
      </w:pPr>
      <w:r>
        <w:rPr>
          <w:spacing w:val="-1"/>
          <w:sz w:val="24"/>
        </w:rPr>
        <w:t>个人基本信息对支持度的影响 使用单因素方差分析研究个人信息对支持度的</w:t>
      </w:r>
      <w:r>
        <w:rPr>
          <w:spacing w:val="-8"/>
          <w:sz w:val="24"/>
        </w:rPr>
        <w:t>影响，结果见表 </w:t>
      </w:r>
      <w:r>
        <w:rPr>
          <w:sz w:val="24"/>
        </w:rPr>
        <w:t>3。</w:t>
      </w:r>
    </w:p>
    <w:p>
      <w:pPr>
        <w:pStyle w:val="BodyText"/>
        <w:spacing w:line="242" w:lineRule="exact"/>
        <w:rPr>
          <w:rFonts w:ascii="楷体" w:eastAsia="楷体" w:hint="eastAsia"/>
        </w:rPr>
      </w:pPr>
      <w:r>
        <w:rPr>
          <w:rFonts w:ascii="楷体" w:eastAsia="楷体" w:hint="eastAsia"/>
        </w:rPr>
        <w:t>表 3 单因素方差分析（组内）</w:t>
      </w:r>
    </w:p>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0"/>
        <w:gridCol w:w="1184"/>
        <w:gridCol w:w="1202"/>
        <w:gridCol w:w="1202"/>
        <w:gridCol w:w="1202"/>
        <w:gridCol w:w="1167"/>
        <w:gridCol w:w="1270"/>
        <w:gridCol w:w="1152"/>
      </w:tblGrid>
      <w:tr>
        <w:trPr>
          <w:trHeight w:val="224" w:hRule="atLeast"/>
        </w:trPr>
        <w:tc>
          <w:tcPr>
            <w:tcW w:w="1160" w:type="dxa"/>
            <w:tcBorders>
              <w:top w:val="single" w:sz="12" w:space="0" w:color="000000"/>
              <w:bottom w:val="single" w:sz="6" w:space="0" w:color="000000"/>
            </w:tcBorders>
          </w:tcPr>
          <w:p>
            <w:pPr>
              <w:pStyle w:val="TableParagraph"/>
              <w:spacing w:line="190" w:lineRule="exact" w:before="14"/>
              <w:ind w:left="180"/>
              <w:rPr>
                <w:sz w:val="15"/>
              </w:rPr>
            </w:pPr>
            <w:r>
              <w:rPr>
                <w:sz w:val="15"/>
              </w:rPr>
              <w:t>分类</w:t>
            </w:r>
          </w:p>
        </w:tc>
        <w:tc>
          <w:tcPr>
            <w:tcW w:w="1184" w:type="dxa"/>
            <w:tcBorders>
              <w:top w:val="single" w:sz="12" w:space="0" w:color="000000"/>
              <w:bottom w:val="single" w:sz="6" w:space="0" w:color="000000"/>
            </w:tcBorders>
          </w:tcPr>
          <w:p>
            <w:pPr>
              <w:pStyle w:val="TableParagraph"/>
              <w:spacing w:line="190" w:lineRule="exact" w:before="14"/>
              <w:ind w:left="337" w:right="349"/>
              <w:jc w:val="center"/>
              <w:rPr>
                <w:sz w:val="15"/>
              </w:rPr>
            </w:pPr>
            <w:r>
              <w:rPr>
                <w:sz w:val="15"/>
              </w:rPr>
              <w:t>性别</w:t>
            </w:r>
          </w:p>
        </w:tc>
        <w:tc>
          <w:tcPr>
            <w:tcW w:w="1202" w:type="dxa"/>
            <w:tcBorders>
              <w:top w:val="single" w:sz="12" w:space="0" w:color="000000"/>
              <w:bottom w:val="single" w:sz="6" w:space="0" w:color="000000"/>
            </w:tcBorders>
          </w:tcPr>
          <w:p>
            <w:pPr>
              <w:pStyle w:val="TableParagraph"/>
              <w:spacing w:line="190" w:lineRule="exact" w:before="14"/>
              <w:ind w:left="351" w:right="351"/>
              <w:jc w:val="center"/>
              <w:rPr>
                <w:sz w:val="15"/>
              </w:rPr>
            </w:pPr>
            <w:r>
              <w:rPr>
                <w:sz w:val="15"/>
              </w:rPr>
              <w:t>年龄</w:t>
            </w:r>
          </w:p>
        </w:tc>
        <w:tc>
          <w:tcPr>
            <w:tcW w:w="1202" w:type="dxa"/>
            <w:tcBorders>
              <w:top w:val="single" w:sz="12" w:space="0" w:color="000000"/>
              <w:bottom w:val="single" w:sz="6" w:space="0" w:color="000000"/>
            </w:tcBorders>
          </w:tcPr>
          <w:p>
            <w:pPr>
              <w:pStyle w:val="TableParagraph"/>
              <w:spacing w:line="190" w:lineRule="exact" w:before="14"/>
              <w:ind w:left="352" w:right="351"/>
              <w:jc w:val="center"/>
              <w:rPr>
                <w:sz w:val="15"/>
              </w:rPr>
            </w:pPr>
            <w:r>
              <w:rPr>
                <w:sz w:val="15"/>
              </w:rPr>
              <w:t>学历</w:t>
            </w:r>
          </w:p>
        </w:tc>
        <w:tc>
          <w:tcPr>
            <w:tcW w:w="1202" w:type="dxa"/>
            <w:tcBorders>
              <w:top w:val="single" w:sz="12" w:space="0" w:color="000000"/>
              <w:bottom w:val="single" w:sz="6" w:space="0" w:color="000000"/>
            </w:tcBorders>
          </w:tcPr>
          <w:p>
            <w:pPr>
              <w:pStyle w:val="TableParagraph"/>
              <w:spacing w:line="190" w:lineRule="exact" w:before="14"/>
              <w:ind w:left="354" w:right="351"/>
              <w:jc w:val="center"/>
              <w:rPr>
                <w:sz w:val="15"/>
              </w:rPr>
            </w:pPr>
            <w:r>
              <w:rPr>
                <w:sz w:val="15"/>
              </w:rPr>
              <w:t>职业</w:t>
            </w:r>
          </w:p>
        </w:tc>
        <w:tc>
          <w:tcPr>
            <w:tcW w:w="1167" w:type="dxa"/>
            <w:tcBorders>
              <w:top w:val="single" w:sz="12" w:space="0" w:color="000000"/>
              <w:bottom w:val="single" w:sz="6" w:space="0" w:color="000000"/>
            </w:tcBorders>
          </w:tcPr>
          <w:p>
            <w:pPr>
              <w:pStyle w:val="TableParagraph"/>
              <w:spacing w:line="190" w:lineRule="exact" w:before="14"/>
              <w:ind w:left="353" w:right="315"/>
              <w:jc w:val="center"/>
              <w:rPr>
                <w:sz w:val="15"/>
              </w:rPr>
            </w:pPr>
            <w:r>
              <w:rPr>
                <w:sz w:val="15"/>
              </w:rPr>
              <w:t>职称</w:t>
            </w:r>
          </w:p>
        </w:tc>
        <w:tc>
          <w:tcPr>
            <w:tcW w:w="1270" w:type="dxa"/>
            <w:tcBorders>
              <w:top w:val="single" w:sz="12" w:space="0" w:color="000000"/>
              <w:bottom w:val="single" w:sz="6" w:space="0" w:color="000000"/>
            </w:tcBorders>
          </w:tcPr>
          <w:p>
            <w:pPr>
              <w:pStyle w:val="TableParagraph"/>
              <w:spacing w:line="190" w:lineRule="exact" w:before="14"/>
              <w:ind w:left="320" w:right="310"/>
              <w:jc w:val="center"/>
              <w:rPr>
                <w:sz w:val="15"/>
              </w:rPr>
            </w:pPr>
            <w:r>
              <w:rPr>
                <w:sz w:val="15"/>
              </w:rPr>
              <w:t>医院级别</w:t>
            </w:r>
          </w:p>
        </w:tc>
        <w:tc>
          <w:tcPr>
            <w:tcW w:w="1152" w:type="dxa"/>
            <w:tcBorders>
              <w:top w:val="single" w:sz="12" w:space="0" w:color="000000"/>
              <w:bottom w:val="single" w:sz="6" w:space="0" w:color="000000"/>
            </w:tcBorders>
          </w:tcPr>
          <w:p>
            <w:pPr>
              <w:pStyle w:val="TableParagraph"/>
              <w:spacing w:line="190" w:lineRule="exact" w:before="14"/>
              <w:ind w:left="317" w:right="337"/>
              <w:jc w:val="center"/>
              <w:rPr>
                <w:sz w:val="15"/>
              </w:rPr>
            </w:pPr>
            <w:r>
              <w:rPr>
                <w:sz w:val="15"/>
              </w:rPr>
              <w:t>岗位</w:t>
            </w:r>
          </w:p>
        </w:tc>
      </w:tr>
      <w:tr>
        <w:trPr>
          <w:trHeight w:val="225" w:hRule="atLeast"/>
        </w:trPr>
        <w:tc>
          <w:tcPr>
            <w:tcW w:w="1160" w:type="dxa"/>
            <w:tcBorders>
              <w:top w:val="single" w:sz="6" w:space="0" w:color="000000"/>
              <w:bottom w:val="single" w:sz="6" w:space="0" w:color="000000"/>
            </w:tcBorders>
          </w:tcPr>
          <w:p>
            <w:pPr>
              <w:pStyle w:val="TableParagraph"/>
              <w:spacing w:before="12"/>
              <w:ind w:right="351"/>
              <w:jc w:val="right"/>
              <w:rPr>
                <w:sz w:val="15"/>
              </w:rPr>
            </w:pPr>
            <w:r>
              <w:rPr>
                <w:sz w:val="15"/>
              </w:rPr>
              <w:t>医生卷</w:t>
            </w:r>
          </w:p>
        </w:tc>
        <w:tc>
          <w:tcPr>
            <w:tcW w:w="1184" w:type="dxa"/>
            <w:tcBorders>
              <w:top w:val="single" w:sz="6" w:space="0" w:color="000000"/>
              <w:bottom w:val="single" w:sz="6" w:space="0" w:color="000000"/>
            </w:tcBorders>
          </w:tcPr>
          <w:p>
            <w:pPr>
              <w:pStyle w:val="TableParagraph"/>
              <w:spacing w:before="12"/>
              <w:ind w:left="335" w:right="351"/>
              <w:jc w:val="center"/>
              <w:rPr>
                <w:sz w:val="15"/>
              </w:rPr>
            </w:pPr>
            <w:r>
              <w:rPr>
                <w:sz w:val="15"/>
              </w:rPr>
              <w:t>0.135</w:t>
            </w:r>
          </w:p>
        </w:tc>
        <w:tc>
          <w:tcPr>
            <w:tcW w:w="1202" w:type="dxa"/>
            <w:tcBorders>
              <w:top w:val="single" w:sz="6" w:space="0" w:color="000000"/>
              <w:bottom w:val="single" w:sz="6" w:space="0" w:color="000000"/>
            </w:tcBorders>
          </w:tcPr>
          <w:p>
            <w:pPr>
              <w:pStyle w:val="TableParagraph"/>
              <w:spacing w:line="205" w:lineRule="exact"/>
              <w:ind w:left="354" w:right="351"/>
              <w:jc w:val="center"/>
              <w:rPr>
                <w:sz w:val="8"/>
              </w:rPr>
            </w:pPr>
            <w:r>
              <w:rPr>
                <w:sz w:val="15"/>
              </w:rPr>
              <w:t>0.009</w:t>
            </w:r>
            <w:r>
              <w:rPr>
                <w:position w:val="9"/>
                <w:sz w:val="8"/>
              </w:rPr>
              <w:t>**</w:t>
            </w:r>
          </w:p>
        </w:tc>
        <w:tc>
          <w:tcPr>
            <w:tcW w:w="1202" w:type="dxa"/>
            <w:tcBorders>
              <w:top w:val="single" w:sz="6" w:space="0" w:color="000000"/>
              <w:bottom w:val="single" w:sz="6" w:space="0" w:color="000000"/>
            </w:tcBorders>
          </w:tcPr>
          <w:p>
            <w:pPr>
              <w:pStyle w:val="TableParagraph"/>
              <w:spacing w:line="205" w:lineRule="exact"/>
              <w:ind w:left="351" w:right="351"/>
              <w:jc w:val="center"/>
              <w:rPr>
                <w:sz w:val="8"/>
              </w:rPr>
            </w:pPr>
            <w:r>
              <w:rPr>
                <w:sz w:val="15"/>
              </w:rPr>
              <w:t>0.024</w:t>
            </w:r>
            <w:r>
              <w:rPr>
                <w:position w:val="9"/>
                <w:sz w:val="8"/>
              </w:rPr>
              <w:t>*</w:t>
            </w:r>
          </w:p>
        </w:tc>
        <w:tc>
          <w:tcPr>
            <w:tcW w:w="1202" w:type="dxa"/>
            <w:tcBorders>
              <w:top w:val="single" w:sz="6" w:space="0" w:color="000000"/>
              <w:bottom w:val="single" w:sz="6" w:space="0" w:color="000000"/>
            </w:tcBorders>
          </w:tcPr>
          <w:p>
            <w:pPr>
              <w:pStyle w:val="TableParagraph"/>
              <w:spacing w:before="12"/>
              <w:ind w:left="1"/>
              <w:jc w:val="center"/>
              <w:rPr>
                <w:sz w:val="15"/>
              </w:rPr>
            </w:pPr>
            <w:r>
              <w:rPr>
                <w:w w:val="100"/>
                <w:sz w:val="15"/>
              </w:rPr>
              <w:t>-</w:t>
            </w:r>
          </w:p>
        </w:tc>
        <w:tc>
          <w:tcPr>
            <w:tcW w:w="1167" w:type="dxa"/>
            <w:tcBorders>
              <w:top w:val="single" w:sz="6" w:space="0" w:color="000000"/>
              <w:bottom w:val="single" w:sz="6" w:space="0" w:color="000000"/>
            </w:tcBorders>
          </w:tcPr>
          <w:p>
            <w:pPr>
              <w:pStyle w:val="TableParagraph"/>
              <w:spacing w:line="205" w:lineRule="exact"/>
              <w:ind w:left="353" w:right="315"/>
              <w:jc w:val="center"/>
              <w:rPr>
                <w:sz w:val="8"/>
              </w:rPr>
            </w:pPr>
            <w:r>
              <w:rPr>
                <w:sz w:val="15"/>
              </w:rPr>
              <w:t>0.036</w:t>
            </w:r>
            <w:r>
              <w:rPr>
                <w:position w:val="9"/>
                <w:sz w:val="8"/>
              </w:rPr>
              <w:t>*</w:t>
            </w:r>
          </w:p>
        </w:tc>
        <w:tc>
          <w:tcPr>
            <w:tcW w:w="1270" w:type="dxa"/>
            <w:tcBorders>
              <w:top w:val="single" w:sz="6" w:space="0" w:color="000000"/>
              <w:bottom w:val="single" w:sz="6" w:space="0" w:color="000000"/>
            </w:tcBorders>
          </w:tcPr>
          <w:p>
            <w:pPr>
              <w:pStyle w:val="TableParagraph"/>
              <w:spacing w:line="205" w:lineRule="exact"/>
              <w:ind w:left="316" w:right="310"/>
              <w:jc w:val="center"/>
              <w:rPr>
                <w:sz w:val="8"/>
              </w:rPr>
            </w:pPr>
            <w:r>
              <w:rPr>
                <w:sz w:val="15"/>
              </w:rPr>
              <w:t>0.018</w:t>
            </w:r>
            <w:r>
              <w:rPr>
                <w:position w:val="9"/>
                <w:sz w:val="8"/>
              </w:rPr>
              <w:t>*</w:t>
            </w:r>
          </w:p>
        </w:tc>
        <w:tc>
          <w:tcPr>
            <w:tcW w:w="1152" w:type="dxa"/>
            <w:tcBorders>
              <w:top w:val="single" w:sz="6" w:space="0" w:color="000000"/>
              <w:bottom w:val="single" w:sz="6" w:space="0" w:color="000000"/>
            </w:tcBorders>
          </w:tcPr>
          <w:p>
            <w:pPr>
              <w:pStyle w:val="TableParagraph"/>
              <w:spacing w:before="12"/>
              <w:ind w:right="22"/>
              <w:jc w:val="center"/>
              <w:rPr>
                <w:sz w:val="15"/>
              </w:rPr>
            </w:pPr>
            <w:r>
              <w:rPr>
                <w:w w:val="100"/>
                <w:sz w:val="15"/>
              </w:rPr>
              <w:t>-</w:t>
            </w:r>
          </w:p>
        </w:tc>
      </w:tr>
      <w:tr>
        <w:trPr>
          <w:trHeight w:val="225" w:hRule="atLeast"/>
        </w:trPr>
        <w:tc>
          <w:tcPr>
            <w:tcW w:w="1160" w:type="dxa"/>
            <w:tcBorders>
              <w:top w:val="single" w:sz="6" w:space="0" w:color="000000"/>
              <w:bottom w:val="single" w:sz="6" w:space="0" w:color="000000"/>
            </w:tcBorders>
          </w:tcPr>
          <w:p>
            <w:pPr>
              <w:pStyle w:val="TableParagraph"/>
              <w:spacing w:before="12"/>
              <w:ind w:right="351"/>
              <w:jc w:val="right"/>
              <w:rPr>
                <w:sz w:val="15"/>
              </w:rPr>
            </w:pPr>
            <w:r>
              <w:rPr>
                <w:sz w:val="15"/>
              </w:rPr>
              <w:t>护士卷</w:t>
            </w:r>
          </w:p>
        </w:tc>
        <w:tc>
          <w:tcPr>
            <w:tcW w:w="1184" w:type="dxa"/>
            <w:tcBorders>
              <w:top w:val="single" w:sz="6" w:space="0" w:color="000000"/>
              <w:bottom w:val="single" w:sz="6" w:space="0" w:color="000000"/>
            </w:tcBorders>
          </w:tcPr>
          <w:p>
            <w:pPr>
              <w:pStyle w:val="TableParagraph"/>
              <w:spacing w:line="205" w:lineRule="exact"/>
              <w:ind w:left="337" w:right="350"/>
              <w:jc w:val="center"/>
              <w:rPr>
                <w:sz w:val="8"/>
              </w:rPr>
            </w:pPr>
            <w:r>
              <w:rPr>
                <w:sz w:val="15"/>
              </w:rPr>
              <w:t>0.019</w:t>
            </w:r>
            <w:r>
              <w:rPr>
                <w:position w:val="9"/>
                <w:sz w:val="8"/>
              </w:rPr>
              <w:t>*</w:t>
            </w:r>
          </w:p>
        </w:tc>
        <w:tc>
          <w:tcPr>
            <w:tcW w:w="1202" w:type="dxa"/>
            <w:tcBorders>
              <w:top w:val="single" w:sz="6" w:space="0" w:color="000000"/>
              <w:bottom w:val="single" w:sz="6" w:space="0" w:color="000000"/>
            </w:tcBorders>
          </w:tcPr>
          <w:p>
            <w:pPr>
              <w:pStyle w:val="TableParagraph"/>
              <w:spacing w:line="205" w:lineRule="exact"/>
              <w:ind w:left="354" w:right="351"/>
              <w:jc w:val="center"/>
              <w:rPr>
                <w:sz w:val="8"/>
              </w:rPr>
            </w:pPr>
            <w:r>
              <w:rPr>
                <w:sz w:val="15"/>
              </w:rPr>
              <w:t>0.000</w:t>
            </w:r>
            <w:r>
              <w:rPr>
                <w:position w:val="9"/>
                <w:sz w:val="8"/>
              </w:rPr>
              <w:t>**</w:t>
            </w:r>
          </w:p>
        </w:tc>
        <w:tc>
          <w:tcPr>
            <w:tcW w:w="1202" w:type="dxa"/>
            <w:tcBorders>
              <w:top w:val="single" w:sz="6" w:space="0" w:color="000000"/>
              <w:bottom w:val="single" w:sz="6" w:space="0" w:color="000000"/>
            </w:tcBorders>
          </w:tcPr>
          <w:p>
            <w:pPr>
              <w:pStyle w:val="TableParagraph"/>
              <w:spacing w:line="205" w:lineRule="exact"/>
              <w:ind w:left="355" w:right="351"/>
              <w:jc w:val="center"/>
              <w:rPr>
                <w:sz w:val="8"/>
              </w:rPr>
            </w:pPr>
            <w:r>
              <w:rPr>
                <w:sz w:val="15"/>
              </w:rPr>
              <w:t>0.000</w:t>
            </w:r>
            <w:r>
              <w:rPr>
                <w:position w:val="9"/>
                <w:sz w:val="8"/>
              </w:rPr>
              <w:t>**</w:t>
            </w:r>
          </w:p>
        </w:tc>
        <w:tc>
          <w:tcPr>
            <w:tcW w:w="1202" w:type="dxa"/>
            <w:tcBorders>
              <w:top w:val="single" w:sz="6" w:space="0" w:color="000000"/>
              <w:bottom w:val="single" w:sz="6" w:space="0" w:color="000000"/>
            </w:tcBorders>
          </w:tcPr>
          <w:p>
            <w:pPr>
              <w:pStyle w:val="TableParagraph"/>
              <w:spacing w:before="12"/>
              <w:ind w:left="1"/>
              <w:jc w:val="center"/>
              <w:rPr>
                <w:sz w:val="15"/>
              </w:rPr>
            </w:pPr>
            <w:r>
              <w:rPr>
                <w:w w:val="100"/>
                <w:sz w:val="15"/>
              </w:rPr>
              <w:t>-</w:t>
            </w:r>
          </w:p>
        </w:tc>
        <w:tc>
          <w:tcPr>
            <w:tcW w:w="1167" w:type="dxa"/>
            <w:tcBorders>
              <w:top w:val="single" w:sz="6" w:space="0" w:color="000000"/>
              <w:bottom w:val="single" w:sz="6" w:space="0" w:color="000000"/>
            </w:tcBorders>
          </w:tcPr>
          <w:p>
            <w:pPr>
              <w:pStyle w:val="TableParagraph"/>
              <w:spacing w:line="205" w:lineRule="exact"/>
              <w:ind w:left="356" w:right="315"/>
              <w:jc w:val="center"/>
              <w:rPr>
                <w:sz w:val="8"/>
              </w:rPr>
            </w:pPr>
            <w:r>
              <w:rPr>
                <w:sz w:val="15"/>
              </w:rPr>
              <w:t>0.000</w:t>
            </w:r>
            <w:r>
              <w:rPr>
                <w:position w:val="9"/>
                <w:sz w:val="8"/>
              </w:rPr>
              <w:t>**</w:t>
            </w:r>
          </w:p>
        </w:tc>
        <w:tc>
          <w:tcPr>
            <w:tcW w:w="1270" w:type="dxa"/>
            <w:tcBorders>
              <w:top w:val="single" w:sz="6" w:space="0" w:color="000000"/>
              <w:bottom w:val="single" w:sz="6" w:space="0" w:color="000000"/>
            </w:tcBorders>
          </w:tcPr>
          <w:p>
            <w:pPr>
              <w:pStyle w:val="TableParagraph"/>
              <w:spacing w:line="205" w:lineRule="exact"/>
              <w:ind w:left="320" w:right="310"/>
              <w:jc w:val="center"/>
              <w:rPr>
                <w:sz w:val="8"/>
              </w:rPr>
            </w:pPr>
            <w:r>
              <w:rPr>
                <w:sz w:val="15"/>
              </w:rPr>
              <w:t>0.000</w:t>
            </w:r>
            <w:r>
              <w:rPr>
                <w:position w:val="9"/>
                <w:sz w:val="8"/>
              </w:rPr>
              <w:t>**</w:t>
            </w:r>
          </w:p>
        </w:tc>
        <w:tc>
          <w:tcPr>
            <w:tcW w:w="1152" w:type="dxa"/>
            <w:tcBorders>
              <w:top w:val="single" w:sz="6" w:space="0" w:color="000000"/>
              <w:bottom w:val="single" w:sz="6" w:space="0" w:color="000000"/>
            </w:tcBorders>
          </w:tcPr>
          <w:p>
            <w:pPr>
              <w:pStyle w:val="TableParagraph"/>
              <w:spacing w:before="12"/>
              <w:ind w:right="22"/>
              <w:jc w:val="center"/>
              <w:rPr>
                <w:sz w:val="15"/>
              </w:rPr>
            </w:pPr>
            <w:r>
              <w:rPr>
                <w:w w:val="100"/>
                <w:sz w:val="15"/>
              </w:rPr>
              <w:t>-</w:t>
            </w:r>
          </w:p>
        </w:tc>
      </w:tr>
      <w:tr>
        <w:trPr>
          <w:trHeight w:val="222" w:hRule="atLeast"/>
        </w:trPr>
        <w:tc>
          <w:tcPr>
            <w:tcW w:w="1160" w:type="dxa"/>
            <w:tcBorders>
              <w:top w:val="single" w:sz="6" w:space="0" w:color="000000"/>
              <w:bottom w:val="single" w:sz="6" w:space="0" w:color="000000"/>
            </w:tcBorders>
          </w:tcPr>
          <w:p>
            <w:pPr>
              <w:pStyle w:val="TableParagraph"/>
              <w:spacing w:line="190" w:lineRule="exact" w:before="12"/>
              <w:ind w:right="351"/>
              <w:jc w:val="right"/>
              <w:rPr>
                <w:sz w:val="15"/>
              </w:rPr>
            </w:pPr>
            <w:r>
              <w:rPr>
                <w:sz w:val="15"/>
              </w:rPr>
              <w:t>药师卷</w:t>
            </w:r>
          </w:p>
        </w:tc>
        <w:tc>
          <w:tcPr>
            <w:tcW w:w="1184" w:type="dxa"/>
            <w:tcBorders>
              <w:top w:val="single" w:sz="6" w:space="0" w:color="000000"/>
              <w:bottom w:val="single" w:sz="6" w:space="0" w:color="000000"/>
            </w:tcBorders>
          </w:tcPr>
          <w:p>
            <w:pPr>
              <w:pStyle w:val="TableParagraph"/>
              <w:spacing w:line="203" w:lineRule="exact"/>
              <w:ind w:left="337" w:right="351"/>
              <w:jc w:val="center"/>
              <w:rPr>
                <w:sz w:val="8"/>
              </w:rPr>
            </w:pPr>
            <w:r>
              <w:rPr>
                <w:sz w:val="15"/>
              </w:rPr>
              <w:t>0.000</w:t>
            </w:r>
            <w:r>
              <w:rPr>
                <w:position w:val="9"/>
                <w:sz w:val="8"/>
              </w:rPr>
              <w:t>**</w:t>
            </w:r>
          </w:p>
        </w:tc>
        <w:tc>
          <w:tcPr>
            <w:tcW w:w="1202" w:type="dxa"/>
            <w:tcBorders>
              <w:top w:val="single" w:sz="6" w:space="0" w:color="000000"/>
              <w:bottom w:val="single" w:sz="6" w:space="0" w:color="000000"/>
            </w:tcBorders>
          </w:tcPr>
          <w:p>
            <w:pPr>
              <w:pStyle w:val="TableParagraph"/>
              <w:spacing w:line="203" w:lineRule="exact"/>
              <w:ind w:left="354" w:right="351"/>
              <w:jc w:val="center"/>
              <w:rPr>
                <w:sz w:val="8"/>
              </w:rPr>
            </w:pPr>
            <w:r>
              <w:rPr>
                <w:sz w:val="15"/>
              </w:rPr>
              <w:t>0.000</w:t>
            </w:r>
            <w:r>
              <w:rPr>
                <w:position w:val="9"/>
                <w:sz w:val="8"/>
              </w:rPr>
              <w:t>**</w:t>
            </w:r>
          </w:p>
        </w:tc>
        <w:tc>
          <w:tcPr>
            <w:tcW w:w="1202" w:type="dxa"/>
            <w:tcBorders>
              <w:top w:val="single" w:sz="6" w:space="0" w:color="000000"/>
              <w:bottom w:val="single" w:sz="6" w:space="0" w:color="000000"/>
            </w:tcBorders>
          </w:tcPr>
          <w:p>
            <w:pPr>
              <w:pStyle w:val="TableParagraph"/>
              <w:spacing w:line="203" w:lineRule="exact"/>
              <w:ind w:left="355" w:right="351"/>
              <w:jc w:val="center"/>
              <w:rPr>
                <w:sz w:val="8"/>
              </w:rPr>
            </w:pPr>
            <w:r>
              <w:rPr>
                <w:sz w:val="15"/>
              </w:rPr>
              <w:t>0.000</w:t>
            </w:r>
            <w:r>
              <w:rPr>
                <w:position w:val="9"/>
                <w:sz w:val="8"/>
              </w:rPr>
              <w:t>**</w:t>
            </w:r>
          </w:p>
        </w:tc>
        <w:tc>
          <w:tcPr>
            <w:tcW w:w="1202" w:type="dxa"/>
            <w:tcBorders>
              <w:top w:val="single" w:sz="6" w:space="0" w:color="000000"/>
              <w:bottom w:val="single" w:sz="6" w:space="0" w:color="000000"/>
            </w:tcBorders>
          </w:tcPr>
          <w:p>
            <w:pPr>
              <w:pStyle w:val="TableParagraph"/>
              <w:spacing w:line="190" w:lineRule="exact" w:before="12"/>
              <w:ind w:left="1"/>
              <w:jc w:val="center"/>
              <w:rPr>
                <w:sz w:val="15"/>
              </w:rPr>
            </w:pPr>
            <w:r>
              <w:rPr>
                <w:w w:val="100"/>
                <w:sz w:val="15"/>
              </w:rPr>
              <w:t>-</w:t>
            </w:r>
          </w:p>
        </w:tc>
        <w:tc>
          <w:tcPr>
            <w:tcW w:w="1167" w:type="dxa"/>
            <w:tcBorders>
              <w:top w:val="single" w:sz="6" w:space="0" w:color="000000"/>
              <w:bottom w:val="single" w:sz="6" w:space="0" w:color="000000"/>
            </w:tcBorders>
          </w:tcPr>
          <w:p>
            <w:pPr>
              <w:pStyle w:val="TableParagraph"/>
              <w:spacing w:line="203" w:lineRule="exact"/>
              <w:ind w:left="356" w:right="315"/>
              <w:jc w:val="center"/>
              <w:rPr>
                <w:sz w:val="8"/>
              </w:rPr>
            </w:pPr>
            <w:r>
              <w:rPr>
                <w:sz w:val="15"/>
              </w:rPr>
              <w:t>0.000</w:t>
            </w:r>
            <w:r>
              <w:rPr>
                <w:position w:val="9"/>
                <w:sz w:val="8"/>
              </w:rPr>
              <w:t>**</w:t>
            </w:r>
          </w:p>
        </w:tc>
        <w:tc>
          <w:tcPr>
            <w:tcW w:w="1270" w:type="dxa"/>
            <w:tcBorders>
              <w:top w:val="single" w:sz="6" w:space="0" w:color="000000"/>
              <w:bottom w:val="single" w:sz="6" w:space="0" w:color="000000"/>
            </w:tcBorders>
          </w:tcPr>
          <w:p>
            <w:pPr>
              <w:pStyle w:val="TableParagraph"/>
              <w:spacing w:line="203" w:lineRule="exact"/>
              <w:ind w:left="320" w:right="310"/>
              <w:jc w:val="center"/>
              <w:rPr>
                <w:sz w:val="8"/>
              </w:rPr>
            </w:pPr>
            <w:r>
              <w:rPr>
                <w:sz w:val="15"/>
              </w:rPr>
              <w:t>0.000</w:t>
            </w:r>
            <w:r>
              <w:rPr>
                <w:position w:val="9"/>
                <w:sz w:val="8"/>
              </w:rPr>
              <w:t>**</w:t>
            </w:r>
          </w:p>
        </w:tc>
        <w:tc>
          <w:tcPr>
            <w:tcW w:w="1152" w:type="dxa"/>
            <w:tcBorders>
              <w:top w:val="single" w:sz="6" w:space="0" w:color="000000"/>
              <w:bottom w:val="single" w:sz="6" w:space="0" w:color="000000"/>
            </w:tcBorders>
          </w:tcPr>
          <w:p>
            <w:pPr>
              <w:pStyle w:val="TableParagraph"/>
              <w:spacing w:line="203" w:lineRule="exact"/>
              <w:ind w:left="317" w:right="340"/>
              <w:jc w:val="center"/>
              <w:rPr>
                <w:sz w:val="8"/>
              </w:rPr>
            </w:pPr>
            <w:r>
              <w:rPr>
                <w:sz w:val="15"/>
              </w:rPr>
              <w:t>0.000</w:t>
            </w:r>
            <w:r>
              <w:rPr>
                <w:position w:val="9"/>
                <w:sz w:val="8"/>
              </w:rPr>
              <w:t>**</w:t>
            </w:r>
          </w:p>
        </w:tc>
      </w:tr>
      <w:tr>
        <w:trPr>
          <w:trHeight w:val="227" w:hRule="atLeast"/>
        </w:trPr>
        <w:tc>
          <w:tcPr>
            <w:tcW w:w="1160" w:type="dxa"/>
            <w:tcBorders>
              <w:top w:val="single" w:sz="6" w:space="0" w:color="000000"/>
              <w:bottom w:val="single" w:sz="12" w:space="0" w:color="000000"/>
            </w:tcBorders>
          </w:tcPr>
          <w:p>
            <w:pPr>
              <w:pStyle w:val="TableParagraph"/>
              <w:spacing w:before="15"/>
              <w:ind w:right="351"/>
              <w:jc w:val="right"/>
              <w:rPr>
                <w:sz w:val="15"/>
              </w:rPr>
            </w:pPr>
            <w:r>
              <w:rPr>
                <w:sz w:val="15"/>
              </w:rPr>
              <w:t>公众卷</w:t>
            </w:r>
          </w:p>
        </w:tc>
        <w:tc>
          <w:tcPr>
            <w:tcW w:w="1184" w:type="dxa"/>
            <w:tcBorders>
              <w:top w:val="single" w:sz="6" w:space="0" w:color="000000"/>
              <w:bottom w:val="single" w:sz="12" w:space="0" w:color="000000"/>
            </w:tcBorders>
          </w:tcPr>
          <w:p>
            <w:pPr>
              <w:pStyle w:val="TableParagraph"/>
              <w:spacing w:before="15"/>
              <w:ind w:left="335" w:right="351"/>
              <w:jc w:val="center"/>
              <w:rPr>
                <w:sz w:val="15"/>
              </w:rPr>
            </w:pPr>
            <w:r>
              <w:rPr>
                <w:sz w:val="15"/>
              </w:rPr>
              <w:t>0.634</w:t>
            </w:r>
          </w:p>
        </w:tc>
        <w:tc>
          <w:tcPr>
            <w:tcW w:w="1202" w:type="dxa"/>
            <w:tcBorders>
              <w:top w:val="single" w:sz="6" w:space="0" w:color="000000"/>
              <w:bottom w:val="single" w:sz="12" w:space="0" w:color="000000"/>
            </w:tcBorders>
          </w:tcPr>
          <w:p>
            <w:pPr>
              <w:pStyle w:val="TableParagraph"/>
              <w:spacing w:line="207" w:lineRule="exact"/>
              <w:ind w:left="354" w:right="351"/>
              <w:jc w:val="center"/>
              <w:rPr>
                <w:sz w:val="8"/>
              </w:rPr>
            </w:pPr>
            <w:r>
              <w:rPr>
                <w:sz w:val="15"/>
              </w:rPr>
              <w:t>0.001</w:t>
            </w:r>
            <w:r>
              <w:rPr>
                <w:position w:val="9"/>
                <w:sz w:val="8"/>
              </w:rPr>
              <w:t>**</w:t>
            </w:r>
          </w:p>
        </w:tc>
        <w:tc>
          <w:tcPr>
            <w:tcW w:w="1202" w:type="dxa"/>
            <w:tcBorders>
              <w:top w:val="single" w:sz="6" w:space="0" w:color="000000"/>
              <w:bottom w:val="single" w:sz="12" w:space="0" w:color="000000"/>
            </w:tcBorders>
          </w:tcPr>
          <w:p>
            <w:pPr>
              <w:pStyle w:val="TableParagraph"/>
              <w:spacing w:line="207" w:lineRule="exact"/>
              <w:ind w:left="355" w:right="351"/>
              <w:jc w:val="center"/>
              <w:rPr>
                <w:sz w:val="8"/>
              </w:rPr>
            </w:pPr>
            <w:r>
              <w:rPr>
                <w:sz w:val="15"/>
              </w:rPr>
              <w:t>0.000</w:t>
            </w:r>
            <w:r>
              <w:rPr>
                <w:position w:val="9"/>
                <w:sz w:val="8"/>
              </w:rPr>
              <w:t>**</w:t>
            </w:r>
          </w:p>
        </w:tc>
        <w:tc>
          <w:tcPr>
            <w:tcW w:w="1202" w:type="dxa"/>
            <w:tcBorders>
              <w:top w:val="single" w:sz="6" w:space="0" w:color="000000"/>
              <w:bottom w:val="single" w:sz="12" w:space="0" w:color="000000"/>
            </w:tcBorders>
          </w:tcPr>
          <w:p>
            <w:pPr>
              <w:pStyle w:val="TableParagraph"/>
              <w:spacing w:line="207" w:lineRule="exact"/>
              <w:ind w:left="355" w:right="350"/>
              <w:jc w:val="center"/>
              <w:rPr>
                <w:sz w:val="8"/>
              </w:rPr>
            </w:pPr>
            <w:r>
              <w:rPr>
                <w:sz w:val="15"/>
              </w:rPr>
              <w:t>0.000</w:t>
            </w:r>
            <w:r>
              <w:rPr>
                <w:position w:val="9"/>
                <w:sz w:val="8"/>
              </w:rPr>
              <w:t>**</w:t>
            </w:r>
          </w:p>
        </w:tc>
        <w:tc>
          <w:tcPr>
            <w:tcW w:w="1167" w:type="dxa"/>
            <w:tcBorders>
              <w:top w:val="single" w:sz="6" w:space="0" w:color="000000"/>
              <w:bottom w:val="single" w:sz="12" w:space="0" w:color="000000"/>
            </w:tcBorders>
          </w:tcPr>
          <w:p>
            <w:pPr>
              <w:pStyle w:val="TableParagraph"/>
              <w:spacing w:line="207" w:lineRule="exact"/>
              <w:ind w:left="356" w:right="315"/>
              <w:jc w:val="center"/>
              <w:rPr>
                <w:sz w:val="8"/>
              </w:rPr>
            </w:pPr>
            <w:r>
              <w:rPr>
                <w:sz w:val="15"/>
              </w:rPr>
              <w:t>0.000</w:t>
            </w:r>
            <w:r>
              <w:rPr>
                <w:position w:val="9"/>
                <w:sz w:val="8"/>
              </w:rPr>
              <w:t>**</w:t>
            </w:r>
          </w:p>
        </w:tc>
        <w:tc>
          <w:tcPr>
            <w:tcW w:w="1270" w:type="dxa"/>
            <w:tcBorders>
              <w:top w:val="single" w:sz="6" w:space="0" w:color="000000"/>
              <w:bottom w:val="single" w:sz="12" w:space="0" w:color="000000"/>
            </w:tcBorders>
          </w:tcPr>
          <w:p>
            <w:pPr>
              <w:pStyle w:val="TableParagraph"/>
              <w:spacing w:before="15"/>
              <w:ind w:left="6"/>
              <w:jc w:val="center"/>
              <w:rPr>
                <w:sz w:val="15"/>
              </w:rPr>
            </w:pPr>
            <w:r>
              <w:rPr>
                <w:w w:val="100"/>
                <w:sz w:val="15"/>
              </w:rPr>
              <w:t>-</w:t>
            </w:r>
          </w:p>
        </w:tc>
        <w:tc>
          <w:tcPr>
            <w:tcW w:w="1152" w:type="dxa"/>
            <w:tcBorders>
              <w:top w:val="single" w:sz="6" w:space="0" w:color="000000"/>
              <w:bottom w:val="single" w:sz="12" w:space="0" w:color="000000"/>
            </w:tcBorders>
          </w:tcPr>
          <w:p>
            <w:pPr>
              <w:pStyle w:val="TableParagraph"/>
              <w:spacing w:before="15"/>
              <w:ind w:right="22"/>
              <w:jc w:val="center"/>
              <w:rPr>
                <w:sz w:val="15"/>
              </w:rPr>
            </w:pPr>
            <w:r>
              <w:rPr>
                <w:w w:val="100"/>
                <w:sz w:val="15"/>
              </w:rPr>
              <w:t>-</w:t>
            </w:r>
          </w:p>
        </w:tc>
      </w:tr>
    </w:tbl>
    <w:p>
      <w:pPr>
        <w:pStyle w:val="BodyText"/>
        <w:spacing w:line="249" w:lineRule="auto" w:before="14"/>
        <w:ind w:right="386"/>
        <w:rPr>
          <w:rFonts w:ascii="楷体" w:eastAsia="楷体" w:hint="eastAsia"/>
        </w:rPr>
      </w:pPr>
      <w:r>
        <w:rPr>
          <w:rFonts w:ascii="楷体" w:eastAsia="楷体" w:hint="eastAsia"/>
          <w:spacing w:val="-4"/>
        </w:rPr>
        <w:t>注：</w:t>
      </w:r>
      <w:r>
        <w:rPr>
          <w:rFonts w:ascii="楷体" w:eastAsia="楷体" w:hint="eastAsia"/>
          <w:spacing w:val="-8"/>
        </w:rPr>
        <w:t>*</w:t>
      </w:r>
      <w:r>
        <w:rPr>
          <w:rFonts w:ascii="楷体" w:eastAsia="楷体" w:hint="eastAsia"/>
          <w:spacing w:val="-3"/>
        </w:rPr>
        <w:t>表示统计学差异（P＜0.05）；**</w:t>
      </w:r>
      <w:r>
        <w:rPr>
          <w:rFonts w:ascii="楷体" w:eastAsia="楷体" w:hint="eastAsia"/>
          <w:spacing w:val="-2"/>
        </w:rPr>
        <w:t>表示显著的统计学差异</w:t>
      </w:r>
      <w:r>
        <w:rPr>
          <w:rFonts w:ascii="楷体" w:eastAsia="楷体" w:hint="eastAsia"/>
          <w:spacing w:val="-3"/>
        </w:rPr>
        <w:t>（P＜0.01）；</w:t>
      </w:r>
      <w:r>
        <w:rPr>
          <w:rFonts w:ascii="楷体" w:eastAsia="楷体" w:hint="eastAsia"/>
          <w:spacing w:val="-4"/>
        </w:rPr>
        <w:t>-表示问卷中未</w:t>
      </w:r>
      <w:r>
        <w:rPr>
          <w:rFonts w:ascii="楷体" w:eastAsia="楷体" w:hint="eastAsia"/>
        </w:rPr>
        <w:t>涉及相关问题</w:t>
      </w:r>
    </w:p>
    <w:p>
      <w:pPr>
        <w:pStyle w:val="BodyText"/>
        <w:spacing w:line="297" w:lineRule="auto" w:before="46"/>
        <w:ind w:right="270" w:firstLine="480"/>
      </w:pPr>
      <w:r>
        <w:rPr>
          <w:spacing w:val="-16"/>
        </w:rPr>
        <w:t>由于年龄、学历、职业和职称等划分均多于两个选项，为进一步了解选项间的差异情况， </w:t>
      </w:r>
      <w:r>
        <w:rPr/>
        <w:t>即组内的显著性差异是由于哪些选项所导致的，进一步采取“LSD”方法对数据进行事后检</w:t>
      </w:r>
      <w:r>
        <w:rPr>
          <w:spacing w:val="-17"/>
        </w:rPr>
        <w:t>验。由于“职称”中，至少一个组中选择某些选项的人数少于两个，因此无法执行事后检验。</w:t>
      </w:r>
    </w:p>
    <w:p>
      <w:pPr>
        <w:spacing w:after="0" w:line="297" w:lineRule="auto"/>
        <w:sectPr>
          <w:headerReference w:type="default" r:id="rId20"/>
          <w:footerReference w:type="default" r:id="rId21"/>
          <w:pgSz w:w="11910" w:h="16850"/>
          <w:pgMar w:header="0" w:footer="607" w:top="1100" w:bottom="800" w:left="1000" w:right="740"/>
          <w:pgNumType w:start="18"/>
        </w:sectPr>
      </w:pPr>
    </w:p>
    <w:p>
      <w:pPr>
        <w:pStyle w:val="BodyText"/>
        <w:spacing w:line="295" w:lineRule="auto" w:before="65"/>
        <w:ind w:right="268"/>
      </w:pPr>
      <w:r>
        <w:rPr>
          <w:spacing w:val="-7"/>
        </w:rPr>
        <w:t>为了清晰地看出性别、年龄、学历和职称等对支持度的影响，本课题进行了描述统计，量化</w:t>
      </w:r>
      <w:r>
        <w:rPr>
          <w:spacing w:val="-18"/>
        </w:rPr>
        <w:t>方法采取五级评分赋值法，分析个人信息对支持度的影响。事后检验与描述统计结果见表 </w:t>
      </w:r>
      <w:r>
        <w:rPr/>
        <w:t>4</w:t>
      </w:r>
      <w:r>
        <w:rPr>
          <w:spacing w:val="-16"/>
        </w:rPr>
        <w:t>。</w:t>
      </w:r>
    </w:p>
    <w:p>
      <w:pPr>
        <w:pStyle w:val="BodyText"/>
        <w:spacing w:line="245" w:lineRule="exact" w:after="4"/>
        <w:rPr>
          <w:rFonts w:ascii="楷体" w:eastAsia="楷体" w:hint="eastAsia"/>
        </w:rPr>
      </w:pPr>
      <w:r>
        <w:rPr>
          <w:rFonts w:ascii="楷体" w:eastAsia="楷体" w:hint="eastAsia"/>
        </w:rPr>
        <w:t>表 4 个人信息对支持度影响的描述统计（医生卷）</w:t>
      </w: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5"/>
        <w:gridCol w:w="8844"/>
      </w:tblGrid>
      <w:tr>
        <w:trPr>
          <w:trHeight w:val="224" w:hRule="atLeast"/>
        </w:trPr>
        <w:tc>
          <w:tcPr>
            <w:tcW w:w="955" w:type="dxa"/>
            <w:tcBorders>
              <w:top w:val="single" w:sz="12" w:space="0" w:color="000000"/>
              <w:bottom w:val="single" w:sz="6" w:space="0" w:color="000000"/>
            </w:tcBorders>
          </w:tcPr>
          <w:p>
            <w:pPr>
              <w:pStyle w:val="TableParagraph"/>
              <w:spacing w:line="187" w:lineRule="exact" w:before="17"/>
              <w:ind w:left="213" w:right="98"/>
              <w:jc w:val="center"/>
              <w:rPr>
                <w:sz w:val="15"/>
              </w:rPr>
            </w:pPr>
            <w:r>
              <w:rPr>
                <w:sz w:val="15"/>
              </w:rPr>
              <w:t>类别</w:t>
            </w:r>
          </w:p>
        </w:tc>
        <w:tc>
          <w:tcPr>
            <w:tcW w:w="8844" w:type="dxa"/>
            <w:tcBorders>
              <w:top w:val="single" w:sz="12" w:space="0" w:color="000000"/>
              <w:bottom w:val="single" w:sz="6" w:space="0" w:color="000000"/>
            </w:tcBorders>
          </w:tcPr>
          <w:p>
            <w:pPr>
              <w:pStyle w:val="TableParagraph"/>
              <w:spacing w:line="187" w:lineRule="exact" w:before="17"/>
              <w:ind w:left="26" w:right="182"/>
              <w:jc w:val="center"/>
              <w:rPr>
                <w:sz w:val="15"/>
              </w:rPr>
            </w:pPr>
            <w:r>
              <w:rPr>
                <w:sz w:val="15"/>
              </w:rPr>
              <w:t>选项</w:t>
            </w:r>
          </w:p>
        </w:tc>
      </w:tr>
      <w:tr>
        <w:trPr>
          <w:trHeight w:val="242" w:hRule="atLeast"/>
        </w:trPr>
        <w:tc>
          <w:tcPr>
            <w:tcW w:w="955" w:type="dxa"/>
            <w:tcBorders>
              <w:top w:val="single" w:sz="6" w:space="0" w:color="000000"/>
            </w:tcBorders>
          </w:tcPr>
          <w:p>
            <w:pPr>
              <w:pStyle w:val="TableParagraph"/>
              <w:spacing w:line="190" w:lineRule="exact" w:before="32"/>
              <w:ind w:left="213" w:right="98"/>
              <w:jc w:val="center"/>
              <w:rPr>
                <w:sz w:val="15"/>
              </w:rPr>
            </w:pPr>
            <w:r>
              <w:rPr>
                <w:sz w:val="15"/>
              </w:rPr>
              <w:t>性别</w:t>
            </w:r>
          </w:p>
        </w:tc>
        <w:tc>
          <w:tcPr>
            <w:tcW w:w="8844" w:type="dxa"/>
            <w:tcBorders>
              <w:top w:val="single" w:sz="6" w:space="0" w:color="000000"/>
            </w:tcBorders>
          </w:tcPr>
          <w:p>
            <w:pPr>
              <w:pStyle w:val="TableParagraph"/>
              <w:spacing w:line="190" w:lineRule="exact" w:before="32"/>
              <w:ind w:left="26" w:right="180"/>
              <w:jc w:val="center"/>
              <w:rPr>
                <w:sz w:val="15"/>
              </w:rPr>
            </w:pPr>
            <w:r>
              <w:rPr>
                <w:sz w:val="15"/>
              </w:rPr>
              <w:t>女（</w:t>
            </w:r>
            <w:r>
              <w:rPr>
                <w:rFonts w:ascii="Times New Roman" w:eastAsia="Times New Roman"/>
                <w:sz w:val="15"/>
              </w:rPr>
              <w:t>4.14</w:t>
            </w:r>
            <w:r>
              <w:rPr>
                <w:sz w:val="15"/>
              </w:rPr>
              <w:t>）＞男（</w:t>
            </w:r>
            <w:r>
              <w:rPr>
                <w:rFonts w:ascii="Times New Roman" w:eastAsia="Times New Roman"/>
                <w:sz w:val="15"/>
              </w:rPr>
              <w:t>4.10</w:t>
            </w:r>
            <w:r>
              <w:rPr>
                <w:sz w:val="15"/>
              </w:rPr>
              <w:t>）</w:t>
            </w:r>
          </w:p>
        </w:tc>
      </w:tr>
      <w:tr>
        <w:trPr>
          <w:trHeight w:val="254" w:hRule="atLeast"/>
        </w:trPr>
        <w:tc>
          <w:tcPr>
            <w:tcW w:w="955" w:type="dxa"/>
          </w:tcPr>
          <w:p>
            <w:pPr>
              <w:pStyle w:val="TableParagraph"/>
              <w:spacing w:line="190" w:lineRule="exact" w:before="44"/>
              <w:ind w:left="213" w:right="100"/>
              <w:jc w:val="center"/>
              <w:rPr>
                <w:sz w:val="15"/>
              </w:rPr>
            </w:pPr>
            <w:r>
              <w:rPr>
                <w:sz w:val="15"/>
              </w:rPr>
              <w:t>年龄段</w:t>
            </w:r>
          </w:p>
        </w:tc>
        <w:tc>
          <w:tcPr>
            <w:tcW w:w="8844" w:type="dxa"/>
          </w:tcPr>
          <w:p>
            <w:pPr>
              <w:pStyle w:val="TableParagraph"/>
              <w:spacing w:line="190" w:lineRule="exact" w:before="44"/>
              <w:ind w:left="26" w:right="182"/>
              <w:jc w:val="center"/>
              <w:rPr>
                <w:sz w:val="15"/>
              </w:rPr>
            </w:pPr>
            <w:r>
              <w:rPr>
                <w:rFonts w:ascii="Times New Roman" w:eastAsia="Times New Roman"/>
                <w:sz w:val="15"/>
              </w:rPr>
              <w:t>60 </w:t>
            </w:r>
            <w:r>
              <w:rPr>
                <w:sz w:val="15"/>
              </w:rPr>
              <w:t>以上（</w:t>
            </w:r>
            <w:r>
              <w:rPr>
                <w:rFonts w:ascii="Times New Roman" w:eastAsia="Times New Roman"/>
                <w:sz w:val="15"/>
              </w:rPr>
              <w:t>4.20</w:t>
            </w:r>
            <w:r>
              <w:rPr>
                <w:sz w:val="15"/>
              </w:rPr>
              <w:t>）＞</w:t>
            </w:r>
            <w:r>
              <w:rPr>
                <w:rFonts w:ascii="Times New Roman" w:eastAsia="Times New Roman"/>
                <w:sz w:val="15"/>
              </w:rPr>
              <w:t>41~50</w:t>
            </w:r>
            <w:r>
              <w:rPr>
                <w:rFonts w:ascii="Times New Roman" w:eastAsia="Times New Roman"/>
                <w:sz w:val="15"/>
                <w:vertAlign w:val="superscript"/>
              </w:rPr>
              <w:t>1</w:t>
            </w:r>
            <w:r>
              <w:rPr>
                <w:sz w:val="15"/>
                <w:vertAlign w:val="baseline"/>
              </w:rPr>
              <w:t>（</w:t>
            </w:r>
            <w:r>
              <w:rPr>
                <w:rFonts w:ascii="Times New Roman" w:eastAsia="Times New Roman"/>
                <w:sz w:val="15"/>
                <w:vertAlign w:val="baseline"/>
              </w:rPr>
              <w:t>4.19</w:t>
            </w:r>
            <w:r>
              <w:rPr>
                <w:sz w:val="15"/>
                <w:vertAlign w:val="baseline"/>
              </w:rPr>
              <w:t>）＞</w:t>
            </w:r>
            <w:r>
              <w:rPr>
                <w:rFonts w:ascii="Times New Roman" w:eastAsia="Times New Roman"/>
                <w:sz w:val="15"/>
                <w:vertAlign w:val="baseline"/>
              </w:rPr>
              <w:t>51~60</w:t>
            </w:r>
            <w:r>
              <w:rPr>
                <w:sz w:val="15"/>
                <w:vertAlign w:val="baseline"/>
              </w:rPr>
              <w:t>（</w:t>
            </w:r>
            <w:r>
              <w:rPr>
                <w:rFonts w:ascii="Times New Roman" w:eastAsia="Times New Roman"/>
                <w:sz w:val="15"/>
                <w:vertAlign w:val="baseline"/>
              </w:rPr>
              <w:t>4.15</w:t>
            </w:r>
            <w:r>
              <w:rPr>
                <w:sz w:val="15"/>
                <w:vertAlign w:val="baseline"/>
              </w:rPr>
              <w:t>）＞</w:t>
            </w:r>
            <w:r>
              <w:rPr>
                <w:rFonts w:ascii="Times New Roman" w:eastAsia="Times New Roman"/>
                <w:sz w:val="15"/>
                <w:vertAlign w:val="baseline"/>
              </w:rPr>
              <w:t>31~40</w:t>
            </w:r>
            <w:r>
              <w:rPr>
                <w:rFonts w:ascii="Times New Roman" w:eastAsia="Times New Roman"/>
                <w:sz w:val="15"/>
                <w:vertAlign w:val="superscript"/>
              </w:rPr>
              <w:t>2</w:t>
            </w:r>
            <w:r>
              <w:rPr>
                <w:sz w:val="15"/>
                <w:vertAlign w:val="baseline"/>
              </w:rPr>
              <w:t>（</w:t>
            </w:r>
            <w:r>
              <w:rPr>
                <w:rFonts w:ascii="Times New Roman" w:eastAsia="Times New Roman"/>
                <w:sz w:val="15"/>
                <w:vertAlign w:val="baseline"/>
              </w:rPr>
              <w:t>4.13</w:t>
            </w:r>
            <w:r>
              <w:rPr>
                <w:sz w:val="15"/>
                <w:vertAlign w:val="baseline"/>
              </w:rPr>
              <w:t>）＞</w:t>
            </w:r>
            <w:r>
              <w:rPr>
                <w:rFonts w:ascii="Times New Roman" w:eastAsia="Times New Roman"/>
                <w:sz w:val="15"/>
                <w:vertAlign w:val="baseline"/>
              </w:rPr>
              <w:t>18~30</w:t>
            </w:r>
            <w:r>
              <w:rPr>
                <w:rFonts w:ascii="Times New Roman" w:eastAsia="Times New Roman"/>
                <w:sz w:val="15"/>
                <w:vertAlign w:val="superscript"/>
              </w:rPr>
              <w:t>1/2</w:t>
            </w:r>
            <w:r>
              <w:rPr>
                <w:sz w:val="15"/>
                <w:vertAlign w:val="baseline"/>
              </w:rPr>
              <w:t>（</w:t>
            </w:r>
            <w:r>
              <w:rPr>
                <w:rFonts w:ascii="Times New Roman" w:eastAsia="Times New Roman"/>
                <w:sz w:val="15"/>
                <w:vertAlign w:val="baseline"/>
              </w:rPr>
              <w:t>4.06</w:t>
            </w:r>
            <w:r>
              <w:rPr>
                <w:sz w:val="15"/>
                <w:vertAlign w:val="baseline"/>
              </w:rPr>
              <w:t>）</w:t>
            </w:r>
          </w:p>
        </w:tc>
      </w:tr>
      <w:tr>
        <w:trPr>
          <w:trHeight w:val="254" w:hRule="atLeast"/>
        </w:trPr>
        <w:tc>
          <w:tcPr>
            <w:tcW w:w="955" w:type="dxa"/>
          </w:tcPr>
          <w:p>
            <w:pPr>
              <w:pStyle w:val="TableParagraph"/>
              <w:spacing w:line="190" w:lineRule="exact" w:before="44"/>
              <w:ind w:left="213" w:right="101"/>
              <w:jc w:val="center"/>
              <w:rPr>
                <w:sz w:val="15"/>
              </w:rPr>
            </w:pPr>
            <w:r>
              <w:rPr>
                <w:sz w:val="15"/>
              </w:rPr>
              <w:t>最高学历</w:t>
            </w:r>
          </w:p>
        </w:tc>
        <w:tc>
          <w:tcPr>
            <w:tcW w:w="8844" w:type="dxa"/>
          </w:tcPr>
          <w:p>
            <w:pPr>
              <w:pStyle w:val="TableParagraph"/>
              <w:spacing w:line="190" w:lineRule="exact" w:before="44"/>
              <w:ind w:left="26" w:right="179"/>
              <w:jc w:val="center"/>
              <w:rPr>
                <w:sz w:val="15"/>
              </w:rPr>
            </w:pPr>
            <w:r>
              <w:rPr>
                <w:sz w:val="15"/>
              </w:rPr>
              <w:t>大学本科 </w:t>
            </w:r>
            <w:r>
              <w:rPr>
                <w:rFonts w:ascii="Times New Roman" w:eastAsia="Times New Roman"/>
                <w:sz w:val="15"/>
                <w:vertAlign w:val="superscript"/>
              </w:rPr>
              <w:t>1/2</w:t>
            </w:r>
            <w:r>
              <w:rPr>
                <w:sz w:val="15"/>
                <w:vertAlign w:val="baseline"/>
              </w:rPr>
              <w:t>（</w:t>
            </w:r>
            <w:r>
              <w:rPr>
                <w:rFonts w:ascii="Times New Roman" w:eastAsia="Times New Roman"/>
                <w:sz w:val="15"/>
                <w:vertAlign w:val="baseline"/>
              </w:rPr>
              <w:t>4.16</w:t>
            </w:r>
            <w:r>
              <w:rPr>
                <w:sz w:val="15"/>
                <w:vertAlign w:val="baseline"/>
              </w:rPr>
              <w:t>）＞硕士研究生（</w:t>
            </w:r>
            <w:r>
              <w:rPr>
                <w:rFonts w:ascii="Times New Roman" w:eastAsia="Times New Roman"/>
                <w:sz w:val="15"/>
                <w:vertAlign w:val="baseline"/>
              </w:rPr>
              <w:t>4.11</w:t>
            </w:r>
            <w:r>
              <w:rPr>
                <w:sz w:val="15"/>
                <w:vertAlign w:val="baseline"/>
              </w:rPr>
              <w:t>）＞大专 </w:t>
            </w:r>
            <w:r>
              <w:rPr>
                <w:rFonts w:ascii="Times New Roman" w:eastAsia="Times New Roman"/>
                <w:sz w:val="15"/>
                <w:vertAlign w:val="superscript"/>
              </w:rPr>
              <w:t>1</w:t>
            </w:r>
            <w:r>
              <w:rPr>
                <w:sz w:val="15"/>
                <w:vertAlign w:val="baseline"/>
              </w:rPr>
              <w:t>（</w:t>
            </w:r>
            <w:r>
              <w:rPr>
                <w:rFonts w:ascii="Times New Roman" w:eastAsia="Times New Roman"/>
                <w:sz w:val="15"/>
                <w:vertAlign w:val="baseline"/>
              </w:rPr>
              <w:t>4.07</w:t>
            </w:r>
            <w:r>
              <w:rPr>
                <w:sz w:val="15"/>
                <w:vertAlign w:val="baseline"/>
              </w:rPr>
              <w:t>）＞博士研究生 </w:t>
            </w:r>
            <w:r>
              <w:rPr>
                <w:rFonts w:ascii="Times New Roman" w:eastAsia="Times New Roman"/>
                <w:sz w:val="15"/>
                <w:vertAlign w:val="superscript"/>
              </w:rPr>
              <w:t>2</w:t>
            </w:r>
            <w:r>
              <w:rPr>
                <w:sz w:val="15"/>
                <w:vertAlign w:val="baseline"/>
              </w:rPr>
              <w:t>（</w:t>
            </w:r>
            <w:r>
              <w:rPr>
                <w:rFonts w:ascii="Times New Roman" w:eastAsia="Times New Roman"/>
                <w:sz w:val="15"/>
                <w:vertAlign w:val="baseline"/>
              </w:rPr>
              <w:t>4.02</w:t>
            </w:r>
            <w:r>
              <w:rPr>
                <w:sz w:val="15"/>
                <w:vertAlign w:val="baseline"/>
              </w:rPr>
              <w:t>）</w:t>
            </w:r>
          </w:p>
        </w:tc>
      </w:tr>
      <w:tr>
        <w:trPr>
          <w:trHeight w:val="245" w:hRule="atLeast"/>
        </w:trPr>
        <w:tc>
          <w:tcPr>
            <w:tcW w:w="955" w:type="dxa"/>
          </w:tcPr>
          <w:p>
            <w:pPr>
              <w:pStyle w:val="TableParagraph"/>
              <w:spacing w:line="182" w:lineRule="exact" w:before="44"/>
              <w:ind w:left="213" w:right="98"/>
              <w:jc w:val="center"/>
              <w:rPr>
                <w:sz w:val="15"/>
              </w:rPr>
            </w:pPr>
            <w:r>
              <w:rPr>
                <w:sz w:val="15"/>
              </w:rPr>
              <w:t>职称</w:t>
            </w:r>
          </w:p>
        </w:tc>
        <w:tc>
          <w:tcPr>
            <w:tcW w:w="8844" w:type="dxa"/>
          </w:tcPr>
          <w:p>
            <w:pPr>
              <w:pStyle w:val="TableParagraph"/>
              <w:spacing w:line="182" w:lineRule="exact" w:before="44"/>
              <w:ind w:left="26" w:right="182"/>
              <w:jc w:val="center"/>
              <w:rPr>
                <w:sz w:val="15"/>
              </w:rPr>
            </w:pPr>
            <w:r>
              <w:rPr>
                <w:sz w:val="15"/>
              </w:rPr>
              <w:t>高级 </w:t>
            </w:r>
            <w:r>
              <w:rPr>
                <w:rFonts w:ascii="Times New Roman" w:eastAsia="Times New Roman"/>
                <w:sz w:val="15"/>
                <w:vertAlign w:val="superscript"/>
              </w:rPr>
              <w:t>1</w:t>
            </w:r>
            <w:r>
              <w:rPr>
                <w:sz w:val="15"/>
                <w:vertAlign w:val="baseline"/>
              </w:rPr>
              <w:t>（</w:t>
            </w:r>
            <w:r>
              <w:rPr>
                <w:rFonts w:ascii="Times New Roman" w:eastAsia="Times New Roman"/>
                <w:sz w:val="15"/>
                <w:vertAlign w:val="baseline"/>
              </w:rPr>
              <w:t>4.22</w:t>
            </w:r>
            <w:r>
              <w:rPr>
                <w:sz w:val="15"/>
                <w:vertAlign w:val="baseline"/>
              </w:rPr>
              <w:t>）＞副高（</w:t>
            </w:r>
            <w:r>
              <w:rPr>
                <w:rFonts w:ascii="Times New Roman" w:eastAsia="Times New Roman"/>
                <w:sz w:val="15"/>
                <w:vertAlign w:val="baseline"/>
              </w:rPr>
              <w:t>4.15</w:t>
            </w:r>
            <w:r>
              <w:rPr>
                <w:sz w:val="15"/>
                <w:vertAlign w:val="baseline"/>
              </w:rPr>
              <w:t>）＞中级 </w:t>
            </w:r>
            <w:r>
              <w:rPr>
                <w:rFonts w:ascii="Times New Roman" w:eastAsia="Times New Roman"/>
                <w:sz w:val="15"/>
                <w:vertAlign w:val="superscript"/>
              </w:rPr>
              <w:t>2</w:t>
            </w:r>
            <w:r>
              <w:rPr>
                <w:sz w:val="15"/>
                <w:vertAlign w:val="baseline"/>
              </w:rPr>
              <w:t>（</w:t>
            </w:r>
            <w:r>
              <w:rPr>
                <w:rFonts w:ascii="Times New Roman" w:eastAsia="Times New Roman"/>
                <w:sz w:val="15"/>
                <w:vertAlign w:val="baseline"/>
              </w:rPr>
              <w:t>4.14</w:t>
            </w:r>
            <w:r>
              <w:rPr>
                <w:sz w:val="15"/>
                <w:vertAlign w:val="baseline"/>
              </w:rPr>
              <w:t>）＞初级 </w:t>
            </w:r>
            <w:r>
              <w:rPr>
                <w:rFonts w:ascii="Times New Roman" w:eastAsia="Times New Roman"/>
                <w:sz w:val="15"/>
                <w:vertAlign w:val="superscript"/>
              </w:rPr>
              <w:t>1/2</w:t>
            </w:r>
            <w:r>
              <w:rPr>
                <w:sz w:val="15"/>
                <w:vertAlign w:val="baseline"/>
              </w:rPr>
              <w:t>（</w:t>
            </w:r>
            <w:r>
              <w:rPr>
                <w:rFonts w:ascii="Times New Roman" w:eastAsia="Times New Roman"/>
                <w:sz w:val="15"/>
                <w:vertAlign w:val="baseline"/>
              </w:rPr>
              <w:t>4.08</w:t>
            </w:r>
            <w:r>
              <w:rPr>
                <w:sz w:val="15"/>
                <w:vertAlign w:val="baseline"/>
              </w:rPr>
              <w:t>）</w:t>
            </w:r>
          </w:p>
        </w:tc>
      </w:tr>
      <w:tr>
        <w:trPr>
          <w:trHeight w:val="439" w:hRule="atLeast"/>
        </w:trPr>
        <w:tc>
          <w:tcPr>
            <w:tcW w:w="955" w:type="dxa"/>
            <w:tcBorders>
              <w:bottom w:val="single" w:sz="12" w:space="0" w:color="000000"/>
            </w:tcBorders>
          </w:tcPr>
          <w:p>
            <w:pPr>
              <w:pStyle w:val="TableParagraph"/>
              <w:spacing w:before="6"/>
              <w:rPr>
                <w:rFonts w:ascii="楷体"/>
                <w:sz w:val="10"/>
              </w:rPr>
            </w:pPr>
          </w:p>
          <w:p>
            <w:pPr>
              <w:pStyle w:val="TableParagraph"/>
              <w:ind w:left="213" w:right="101"/>
              <w:jc w:val="center"/>
              <w:rPr>
                <w:sz w:val="15"/>
              </w:rPr>
            </w:pPr>
            <w:r>
              <w:rPr>
                <w:sz w:val="15"/>
              </w:rPr>
              <w:t>医院级别</w:t>
            </w:r>
          </w:p>
        </w:tc>
        <w:tc>
          <w:tcPr>
            <w:tcW w:w="8844" w:type="dxa"/>
            <w:tcBorders>
              <w:bottom w:val="single" w:sz="12" w:space="0" w:color="000000"/>
            </w:tcBorders>
          </w:tcPr>
          <w:p>
            <w:pPr>
              <w:pStyle w:val="TableParagraph"/>
              <w:spacing w:before="35"/>
              <w:ind w:left="26" w:right="103"/>
              <w:jc w:val="center"/>
              <w:rPr>
                <w:sz w:val="15"/>
              </w:rPr>
            </w:pPr>
            <w:r>
              <w:rPr>
                <w:sz w:val="15"/>
              </w:rPr>
              <w:t>三级乙等 </w:t>
            </w:r>
            <w:r>
              <w:rPr>
                <w:rFonts w:ascii="Times New Roman" w:eastAsia="Times New Roman"/>
                <w:sz w:val="15"/>
                <w:vertAlign w:val="superscript"/>
              </w:rPr>
              <w:t>3/4/8</w:t>
            </w:r>
            <w:r>
              <w:rPr>
                <w:sz w:val="15"/>
                <w:vertAlign w:val="baseline"/>
              </w:rPr>
              <w:t>（</w:t>
            </w:r>
            <w:r>
              <w:rPr>
                <w:rFonts w:ascii="Times New Roman" w:eastAsia="Times New Roman"/>
                <w:sz w:val="15"/>
                <w:vertAlign w:val="baseline"/>
              </w:rPr>
              <w:t>4.19</w:t>
            </w:r>
            <w:r>
              <w:rPr>
                <w:sz w:val="15"/>
                <w:vertAlign w:val="baseline"/>
              </w:rPr>
              <w:t>）＞二级甲等 </w:t>
            </w:r>
            <w:r>
              <w:rPr>
                <w:rFonts w:ascii="Times New Roman" w:eastAsia="Times New Roman"/>
                <w:sz w:val="15"/>
                <w:vertAlign w:val="superscript"/>
              </w:rPr>
              <w:t>1/4/6</w:t>
            </w:r>
            <w:r>
              <w:rPr>
                <w:sz w:val="15"/>
                <w:vertAlign w:val="baseline"/>
              </w:rPr>
              <w:t>（</w:t>
            </w:r>
            <w:r>
              <w:rPr>
                <w:rFonts w:ascii="Times New Roman" w:eastAsia="Times New Roman"/>
                <w:sz w:val="15"/>
                <w:vertAlign w:val="baseline"/>
              </w:rPr>
              <w:t>4.17</w:t>
            </w:r>
            <w:r>
              <w:rPr>
                <w:sz w:val="15"/>
                <w:vertAlign w:val="baseline"/>
              </w:rPr>
              <w:t>）＞三级丙等（</w:t>
            </w:r>
            <w:r>
              <w:rPr>
                <w:rFonts w:ascii="Times New Roman" w:eastAsia="Times New Roman"/>
                <w:sz w:val="15"/>
                <w:vertAlign w:val="baseline"/>
              </w:rPr>
              <w:t>4.14</w:t>
            </w:r>
            <w:r>
              <w:rPr>
                <w:sz w:val="15"/>
                <w:vertAlign w:val="baseline"/>
              </w:rPr>
              <w:t>）＞三级甲等 </w:t>
            </w:r>
            <w:r>
              <w:rPr>
                <w:rFonts w:ascii="Times New Roman" w:eastAsia="Times New Roman"/>
                <w:sz w:val="15"/>
                <w:vertAlign w:val="superscript"/>
              </w:rPr>
              <w:t>2/7</w:t>
            </w:r>
            <w:r>
              <w:rPr>
                <w:sz w:val="15"/>
                <w:vertAlign w:val="baseline"/>
              </w:rPr>
              <w:t>（</w:t>
            </w:r>
            <w:r>
              <w:rPr>
                <w:rFonts w:ascii="Times New Roman" w:eastAsia="Times New Roman"/>
                <w:sz w:val="15"/>
                <w:vertAlign w:val="baseline"/>
              </w:rPr>
              <w:t>4.13</w:t>
            </w:r>
            <w:r>
              <w:rPr>
                <w:sz w:val="15"/>
                <w:vertAlign w:val="baseline"/>
              </w:rPr>
              <w:t>）＞二级乙等（</w:t>
            </w:r>
            <w:r>
              <w:rPr>
                <w:rFonts w:ascii="Times New Roman" w:eastAsia="Times New Roman"/>
                <w:sz w:val="15"/>
                <w:vertAlign w:val="baseline"/>
              </w:rPr>
              <w:t>4.08</w:t>
            </w:r>
            <w:r>
              <w:rPr>
                <w:sz w:val="15"/>
                <w:vertAlign w:val="baseline"/>
              </w:rPr>
              <w:t>）＞一级甲等 </w:t>
            </w:r>
            <w:r>
              <w:rPr>
                <w:rFonts w:ascii="Times New Roman" w:eastAsia="Times New Roman"/>
                <w:sz w:val="15"/>
                <w:vertAlign w:val="superscript"/>
              </w:rPr>
              <w:t>4/5</w:t>
            </w:r>
            <w:r>
              <w:rPr>
                <w:sz w:val="15"/>
                <w:vertAlign w:val="baseline"/>
              </w:rPr>
              <w:t>（</w:t>
            </w:r>
            <w:r>
              <w:rPr>
                <w:rFonts w:ascii="Times New Roman" w:eastAsia="Times New Roman"/>
                <w:sz w:val="15"/>
                <w:vertAlign w:val="baseline"/>
              </w:rPr>
              <w:t>4.06</w:t>
            </w:r>
            <w:r>
              <w:rPr>
                <w:sz w:val="15"/>
                <w:vertAlign w:val="baseline"/>
              </w:rPr>
              <w:t>）</w:t>
            </w:r>
          </w:p>
          <w:p>
            <w:pPr>
              <w:pStyle w:val="TableParagraph"/>
              <w:spacing w:line="189" w:lineRule="exact" w:before="3"/>
              <w:ind w:left="26" w:right="182"/>
              <w:jc w:val="center"/>
              <w:rPr>
                <w:sz w:val="15"/>
              </w:rPr>
            </w:pPr>
            <w:r>
              <w:rPr>
                <w:sz w:val="15"/>
              </w:rPr>
              <w:t>＞二级丙等（</w:t>
            </w:r>
            <w:r>
              <w:rPr>
                <w:rFonts w:ascii="Times New Roman" w:eastAsia="Times New Roman"/>
                <w:sz w:val="15"/>
              </w:rPr>
              <w:t>4.00</w:t>
            </w:r>
            <w:r>
              <w:rPr>
                <w:sz w:val="15"/>
              </w:rPr>
              <w:t>）＞社区诊所 </w:t>
            </w:r>
            <w:r>
              <w:rPr>
                <w:rFonts w:ascii="Times New Roman" w:eastAsia="Times New Roman"/>
                <w:sz w:val="15"/>
                <w:vertAlign w:val="superscript"/>
              </w:rPr>
              <w:t>1/2/3</w:t>
            </w:r>
            <w:r>
              <w:rPr>
                <w:sz w:val="15"/>
                <w:vertAlign w:val="baseline"/>
              </w:rPr>
              <w:t>（</w:t>
            </w:r>
            <w:r>
              <w:rPr>
                <w:rFonts w:ascii="Times New Roman" w:eastAsia="Times New Roman"/>
                <w:sz w:val="15"/>
                <w:vertAlign w:val="baseline"/>
              </w:rPr>
              <w:t>3.95</w:t>
            </w:r>
            <w:r>
              <w:rPr>
                <w:sz w:val="15"/>
                <w:vertAlign w:val="baseline"/>
              </w:rPr>
              <w:t>）＞一级丙等（</w:t>
            </w:r>
            <w:r>
              <w:rPr>
                <w:rFonts w:ascii="Times New Roman" w:eastAsia="Times New Roman"/>
                <w:sz w:val="15"/>
                <w:vertAlign w:val="baseline"/>
              </w:rPr>
              <w:t>3.90</w:t>
            </w:r>
            <w:r>
              <w:rPr>
                <w:sz w:val="15"/>
                <w:vertAlign w:val="baseline"/>
              </w:rPr>
              <w:t>）＞一级乙等 </w:t>
            </w:r>
            <w:r>
              <w:rPr>
                <w:rFonts w:ascii="Times New Roman" w:eastAsia="Times New Roman"/>
                <w:sz w:val="15"/>
                <w:vertAlign w:val="superscript"/>
              </w:rPr>
              <w:t>6/7/8</w:t>
            </w:r>
            <w:r>
              <w:rPr>
                <w:sz w:val="15"/>
                <w:vertAlign w:val="baseline"/>
              </w:rPr>
              <w:t>（</w:t>
            </w:r>
            <w:r>
              <w:rPr>
                <w:rFonts w:ascii="Times New Roman" w:eastAsia="Times New Roman"/>
                <w:sz w:val="15"/>
                <w:vertAlign w:val="baseline"/>
              </w:rPr>
              <w:t>3.86 </w:t>
            </w:r>
            <w:r>
              <w:rPr>
                <w:sz w:val="15"/>
                <w:vertAlign w:val="baseline"/>
              </w:rPr>
              <w:t>）</w:t>
            </w:r>
          </w:p>
        </w:tc>
      </w:tr>
    </w:tbl>
    <w:p>
      <w:pPr>
        <w:pStyle w:val="BodyText"/>
        <w:spacing w:line="249" w:lineRule="auto" w:before="16"/>
        <w:ind w:right="390"/>
        <w:rPr>
          <w:rFonts w:ascii="楷体" w:hAnsi="楷体" w:eastAsia="楷体" w:hint="eastAsia"/>
        </w:rPr>
      </w:pPr>
      <w:r>
        <w:rPr>
          <w:rFonts w:ascii="楷体" w:hAnsi="楷体" w:eastAsia="楷体" w:hint="eastAsia"/>
          <w:spacing w:val="-12"/>
        </w:rPr>
        <w:t>注：①由于篇幅限制，本表格仅截取医生卷；②括号内代表支持度的平均量化赋值，上标数</w:t>
      </w:r>
      <w:r>
        <w:rPr>
          <w:rFonts w:ascii="楷体" w:hAnsi="楷体" w:eastAsia="楷体" w:hint="eastAsia"/>
        </w:rPr>
        <w:t>字相同表示二者具有显著性差异</w:t>
      </w:r>
    </w:p>
    <w:p>
      <w:pPr>
        <w:pStyle w:val="Heading3"/>
        <w:numPr>
          <w:ilvl w:val="0"/>
          <w:numId w:val="2"/>
        </w:numPr>
        <w:tabs>
          <w:tab w:pos="1001" w:val="left" w:leader="none"/>
        </w:tabs>
        <w:spacing w:line="240" w:lineRule="auto" w:before="50" w:after="0"/>
        <w:ind w:left="1000" w:right="0" w:hanging="244"/>
        <w:jc w:val="left"/>
      </w:pPr>
      <w:r>
        <w:rPr/>
        <w:t>结论与讨论</w:t>
      </w:r>
    </w:p>
    <w:p>
      <w:pPr>
        <w:pStyle w:val="ListParagraph"/>
        <w:numPr>
          <w:ilvl w:val="1"/>
          <w:numId w:val="2"/>
        </w:numPr>
        <w:tabs>
          <w:tab w:pos="1238" w:val="left" w:leader="none"/>
          <w:tab w:pos="3844" w:val="left" w:leader="none"/>
        </w:tabs>
        <w:spacing w:line="297" w:lineRule="auto" w:before="72" w:after="0"/>
        <w:ind w:left="277" w:right="269" w:firstLine="480"/>
        <w:jc w:val="left"/>
        <w:rPr>
          <w:sz w:val="24"/>
        </w:rPr>
      </w:pPr>
      <w:r>
        <w:rPr>
          <w:sz w:val="24"/>
        </w:rPr>
        <w:t>医护人员</w:t>
      </w:r>
      <w:r>
        <w:rPr>
          <w:spacing w:val="-56"/>
          <w:sz w:val="24"/>
        </w:rPr>
        <w:t>、</w:t>
      </w:r>
      <w:r>
        <w:rPr>
          <w:sz w:val="24"/>
        </w:rPr>
        <w:t>药师和公众对于医师处方权较为了解</w:t>
      </w:r>
      <w:r>
        <w:rPr>
          <w:spacing w:val="-56"/>
          <w:sz w:val="24"/>
        </w:rPr>
        <w:t>；</w:t>
      </w:r>
      <w:r>
        <w:rPr>
          <w:sz w:val="24"/>
        </w:rPr>
        <w:t>对于药</w:t>
      </w:r>
      <w:r>
        <w:rPr>
          <w:spacing w:val="-56"/>
          <w:sz w:val="24"/>
        </w:rPr>
        <w:t>师</w:t>
      </w:r>
      <w:r>
        <w:rPr>
          <w:sz w:val="24"/>
        </w:rPr>
        <w:t>“部分</w:t>
      </w:r>
      <w:r>
        <w:rPr>
          <w:spacing w:val="-56"/>
          <w:sz w:val="24"/>
        </w:rPr>
        <w:t>”</w:t>
      </w:r>
      <w:r>
        <w:rPr>
          <w:sz w:val="24"/>
        </w:rPr>
        <w:t>处方权的概念</w:t>
      </w:r>
      <w:r>
        <w:rPr>
          <w:spacing w:val="-15"/>
          <w:sz w:val="24"/>
        </w:rPr>
        <w:t>、</w:t>
      </w:r>
      <w:r>
        <w:rPr>
          <w:sz w:val="24"/>
        </w:rPr>
        <w:t>内涵</w:t>
      </w:r>
      <w:r>
        <w:rPr>
          <w:spacing w:val="-34"/>
          <w:sz w:val="24"/>
        </w:rPr>
        <w:t>、</w:t>
      </w:r>
      <w:r>
        <w:rPr>
          <w:sz w:val="24"/>
        </w:rPr>
        <w:t>资格准入等内容认知不足</w:t>
        <w:tab/>
        <w:t>被调研人群对药</w:t>
      </w:r>
      <w:r>
        <w:rPr>
          <w:spacing w:val="-34"/>
          <w:sz w:val="24"/>
        </w:rPr>
        <w:t>师</w:t>
      </w:r>
      <w:r>
        <w:rPr>
          <w:sz w:val="24"/>
        </w:rPr>
        <w:t>“部分</w:t>
      </w:r>
      <w:r>
        <w:rPr>
          <w:spacing w:val="-34"/>
          <w:sz w:val="24"/>
        </w:rPr>
        <w:t>”</w:t>
      </w:r>
      <w:r>
        <w:rPr>
          <w:sz w:val="24"/>
        </w:rPr>
        <w:t>处方</w:t>
      </w:r>
      <w:r>
        <w:rPr>
          <w:spacing w:val="-3"/>
          <w:sz w:val="24"/>
        </w:rPr>
        <w:t>权</w:t>
      </w:r>
      <w:r>
        <w:rPr>
          <w:sz w:val="24"/>
        </w:rPr>
        <w:t>的了解情况不如医师处方权</w:t>
      </w:r>
      <w:r>
        <w:rPr>
          <w:spacing w:val="-17"/>
          <w:sz w:val="24"/>
        </w:rPr>
        <w:t>，</w:t>
      </w:r>
      <w:r>
        <w:rPr>
          <w:sz w:val="24"/>
        </w:rPr>
        <w:t>不了解药</w:t>
      </w:r>
      <w:r>
        <w:rPr>
          <w:spacing w:val="-17"/>
          <w:sz w:val="24"/>
        </w:rPr>
        <w:t>师</w:t>
      </w:r>
      <w:r>
        <w:rPr>
          <w:sz w:val="24"/>
        </w:rPr>
        <w:t>“部分</w:t>
      </w:r>
      <w:r>
        <w:rPr>
          <w:spacing w:val="-17"/>
          <w:sz w:val="24"/>
        </w:rPr>
        <w:t>”</w:t>
      </w:r>
      <w:r>
        <w:rPr>
          <w:sz w:val="24"/>
        </w:rPr>
        <w:t>处方权的概念</w:t>
      </w:r>
      <w:r>
        <w:rPr>
          <w:spacing w:val="-17"/>
          <w:sz w:val="24"/>
        </w:rPr>
        <w:t>、</w:t>
      </w:r>
      <w:r>
        <w:rPr>
          <w:sz w:val="24"/>
        </w:rPr>
        <w:t>内涵</w:t>
      </w:r>
      <w:r>
        <w:rPr>
          <w:spacing w:val="-17"/>
          <w:sz w:val="24"/>
        </w:rPr>
        <w:t>、</w:t>
      </w:r>
      <w:r>
        <w:rPr>
          <w:sz w:val="24"/>
        </w:rPr>
        <w:t>资格准入等内容</w:t>
      </w:r>
      <w:r>
        <w:rPr>
          <w:spacing w:val="-17"/>
          <w:sz w:val="24"/>
        </w:rPr>
        <w:t>。</w:t>
      </w:r>
      <w:r>
        <w:rPr>
          <w:sz w:val="24"/>
        </w:rPr>
        <w:t>这是因为认知程度与自身经历紧密相关</w:t>
      </w:r>
      <w:r>
        <w:rPr>
          <w:spacing w:val="-27"/>
          <w:sz w:val="24"/>
        </w:rPr>
        <w:t>，</w:t>
      </w:r>
      <w:r>
        <w:rPr>
          <w:sz w:val="24"/>
        </w:rPr>
        <w:t>药师仅在国外部分国家被赋</w:t>
      </w:r>
      <w:r>
        <w:rPr>
          <w:spacing w:val="-27"/>
          <w:sz w:val="24"/>
        </w:rPr>
        <w:t>予</w:t>
      </w:r>
      <w:r>
        <w:rPr>
          <w:sz w:val="24"/>
        </w:rPr>
        <w:t>“部分</w:t>
      </w:r>
      <w:r>
        <w:rPr>
          <w:spacing w:val="-27"/>
          <w:sz w:val="24"/>
        </w:rPr>
        <w:t>”</w:t>
      </w:r>
      <w:r>
        <w:rPr>
          <w:sz w:val="24"/>
        </w:rPr>
        <w:t>处方权</w:t>
      </w:r>
      <w:r>
        <w:rPr>
          <w:spacing w:val="-27"/>
          <w:sz w:val="24"/>
        </w:rPr>
        <w:t>，</w:t>
      </w:r>
      <w:r>
        <w:rPr>
          <w:sz w:val="24"/>
        </w:rPr>
        <w:t>我国目前仅医生拥有处方权</w:t>
      </w:r>
      <w:r>
        <w:rPr>
          <w:spacing w:val="-15"/>
          <w:sz w:val="24"/>
        </w:rPr>
        <w:t>，</w:t>
      </w:r>
      <w:r>
        <w:rPr>
          <w:sz w:val="24"/>
        </w:rPr>
        <w:t>尚无药师</w:t>
      </w:r>
      <w:r>
        <w:rPr>
          <w:spacing w:val="-15"/>
          <w:sz w:val="24"/>
        </w:rPr>
        <w:t>的</w:t>
      </w:r>
      <w:r>
        <w:rPr>
          <w:sz w:val="24"/>
        </w:rPr>
        <w:t>“部分</w:t>
      </w:r>
      <w:r>
        <w:rPr>
          <w:spacing w:val="-15"/>
          <w:sz w:val="24"/>
        </w:rPr>
        <w:t>”</w:t>
      </w:r>
      <w:r>
        <w:rPr>
          <w:sz w:val="24"/>
        </w:rPr>
        <w:t>处方权</w:t>
      </w:r>
      <w:r>
        <w:rPr>
          <w:spacing w:val="-15"/>
          <w:sz w:val="24"/>
        </w:rPr>
        <w:t>。</w:t>
      </w:r>
      <w:r>
        <w:rPr>
          <w:sz w:val="24"/>
        </w:rPr>
        <w:t>被调研人群自身没有相关经历</w:t>
      </w:r>
      <w:r>
        <w:rPr>
          <w:spacing w:val="-15"/>
          <w:sz w:val="24"/>
        </w:rPr>
        <w:t>，</w:t>
      </w:r>
      <w:r>
        <w:rPr>
          <w:sz w:val="24"/>
        </w:rPr>
        <w:t>对其概念</w:t>
      </w:r>
      <w:r>
        <w:rPr>
          <w:spacing w:val="-15"/>
          <w:sz w:val="24"/>
        </w:rPr>
        <w:t>、</w:t>
      </w:r>
      <w:r>
        <w:rPr>
          <w:sz w:val="24"/>
        </w:rPr>
        <w:t>内涵</w:t>
      </w:r>
      <w:r>
        <w:rPr>
          <w:spacing w:val="-15"/>
          <w:sz w:val="24"/>
        </w:rPr>
        <w:t>、</w:t>
      </w:r>
      <w:r>
        <w:rPr>
          <w:sz w:val="24"/>
        </w:rPr>
        <w:t>资格准入等内容的认知程度自然较低。</w:t>
      </w:r>
    </w:p>
    <w:p>
      <w:pPr>
        <w:pStyle w:val="ListParagraph"/>
        <w:numPr>
          <w:ilvl w:val="1"/>
          <w:numId w:val="2"/>
        </w:numPr>
        <w:tabs>
          <w:tab w:pos="1238" w:val="left" w:leader="none"/>
        </w:tabs>
        <w:spacing w:line="297" w:lineRule="auto" w:before="0" w:after="0"/>
        <w:ind w:left="277" w:right="387" w:firstLine="480"/>
        <w:jc w:val="both"/>
        <w:rPr>
          <w:sz w:val="24"/>
        </w:rPr>
      </w:pPr>
      <w:r>
        <w:rPr>
          <w:spacing w:val="-10"/>
          <w:sz w:val="24"/>
        </w:rPr>
        <w:t>医护人员、药师和公众认可赋予药师“部分”处方权的好处，并且对赋予药师“部</w:t>
      </w:r>
      <w:r>
        <w:rPr>
          <w:spacing w:val="-11"/>
          <w:sz w:val="24"/>
        </w:rPr>
        <w:t>分”处方权持积极态度 这一方面可能是由于大多数医护人员、药师和公众逐渐认可了药师</w:t>
      </w:r>
      <w:r>
        <w:rPr>
          <w:spacing w:val="-8"/>
          <w:sz w:val="24"/>
        </w:rPr>
        <w:t>所提供的药学服务，同时对于国外药师“部分”处方权有一定的了解；另一方面也可能是由</w:t>
      </w:r>
      <w:r>
        <w:rPr>
          <w:spacing w:val="-13"/>
          <w:sz w:val="24"/>
        </w:rPr>
        <w:t>于在该题目之前的题干中，涉及到了有关药师“部分”处方权的知识，故不排除有一定的记</w:t>
      </w:r>
      <w:r>
        <w:rPr>
          <w:sz w:val="24"/>
        </w:rPr>
        <w:t>忆效应存在。故大多数医护人员、药师和公众支持赋予药师“部分”处方权。</w:t>
      </w:r>
    </w:p>
    <w:p>
      <w:pPr>
        <w:pStyle w:val="ListParagraph"/>
        <w:numPr>
          <w:ilvl w:val="1"/>
          <w:numId w:val="2"/>
        </w:numPr>
        <w:tabs>
          <w:tab w:pos="1238" w:val="left" w:leader="none"/>
        </w:tabs>
        <w:spacing w:line="297" w:lineRule="auto" w:before="0" w:after="0"/>
        <w:ind w:left="277" w:right="388" w:firstLine="480"/>
        <w:jc w:val="both"/>
        <w:rPr>
          <w:sz w:val="24"/>
        </w:rPr>
      </w:pPr>
      <w:r>
        <w:rPr>
          <w:spacing w:val="-21"/>
          <w:sz w:val="24"/>
        </w:rPr>
        <w:t>医护人员、药师和公众“对国外药师‘部分’处方权认知情况”和“对药师赋予‘部</w:t>
      </w:r>
      <w:r>
        <w:rPr>
          <w:spacing w:val="-20"/>
          <w:sz w:val="24"/>
        </w:rPr>
        <w:t>分’处方权支持情况”均呈正相关，认知情况越好支持度越高 这可能是由于对国外药师“部</w:t>
      </w:r>
      <w:r>
        <w:rPr>
          <w:spacing w:val="-11"/>
          <w:sz w:val="24"/>
        </w:rPr>
        <w:t>分”处方权认知情况越好的人对于药师职业一般也越了解，越能够理解药师在医疗队伍中所</w:t>
      </w:r>
      <w:r>
        <w:rPr>
          <w:sz w:val="24"/>
        </w:rPr>
        <w:t>起的重要作用，也就越支持对药师赋予“部分”处方权。</w:t>
      </w:r>
    </w:p>
    <w:p>
      <w:pPr>
        <w:pStyle w:val="ListParagraph"/>
        <w:numPr>
          <w:ilvl w:val="1"/>
          <w:numId w:val="2"/>
        </w:numPr>
        <w:tabs>
          <w:tab w:pos="1238" w:val="left" w:leader="none"/>
        </w:tabs>
        <w:spacing w:line="297" w:lineRule="auto" w:before="0" w:after="0"/>
        <w:ind w:left="277" w:right="387" w:firstLine="480"/>
        <w:jc w:val="both"/>
        <w:rPr>
          <w:sz w:val="24"/>
        </w:rPr>
      </w:pPr>
      <w:r>
        <w:rPr>
          <w:spacing w:val="-10"/>
          <w:sz w:val="24"/>
        </w:rPr>
        <w:t>医护人员、药师和公众对于赋予药师“部分”处方权的支持度，存在“老年高于青年，高职称高于低职称，所在医院级别支持度三级＞二级＞一级，甲等＞乙等＞丙等”的现象，药师卷和护士卷存在“男性高于女性”的现象 （1）年龄越大支持度越高，这可能是</w:t>
      </w:r>
      <w:r>
        <w:rPr>
          <w:spacing w:val="-14"/>
          <w:sz w:val="24"/>
        </w:rPr>
        <w:t>由于年龄越大，对于医疗领域的了解越深入，也就越能够理解药师在医疗服务团队中所起到</w:t>
      </w:r>
      <w:r>
        <w:rPr>
          <w:sz w:val="24"/>
        </w:rPr>
        <w:t>的重要作用；（2）对于不同职称的人来说，职称越高对于赋予药师处方权的支持度越高， 这可能是由于职称越高，视野越开阔，对医疗领域，尤其是药师的认识也就越多；（3）所</w:t>
      </w:r>
      <w:r>
        <w:rPr>
          <w:spacing w:val="-6"/>
          <w:sz w:val="24"/>
        </w:rPr>
        <w:t>在医院级别越高支持度越高，这可能是由于医院的级别与其所工作的平台，视野，机会等因</w:t>
      </w:r>
      <w:r>
        <w:rPr>
          <w:spacing w:val="-20"/>
          <w:sz w:val="24"/>
        </w:rPr>
        <w:t>素显著相关，因此在越高级别的医院工作，对于药师职业的理解可能会越高，对赋予药师“部</w:t>
      </w:r>
      <w:r>
        <w:rPr>
          <w:spacing w:val="-10"/>
          <w:sz w:val="24"/>
        </w:rPr>
        <w:t>分”处方权的接受度也就越高。药师卷和护士卷男性的支持度要比女性高，其原因有待进一</w:t>
      </w:r>
      <w:r>
        <w:rPr>
          <w:sz w:val="24"/>
        </w:rPr>
        <w:t>步研究。</w:t>
      </w:r>
    </w:p>
    <w:p>
      <w:pPr>
        <w:pStyle w:val="ListParagraph"/>
        <w:numPr>
          <w:ilvl w:val="1"/>
          <w:numId w:val="2"/>
        </w:numPr>
        <w:tabs>
          <w:tab w:pos="1238" w:val="left" w:leader="none"/>
          <w:tab w:pos="4002" w:val="left" w:leader="none"/>
        </w:tabs>
        <w:spacing w:line="297" w:lineRule="auto" w:before="0" w:after="0"/>
        <w:ind w:left="277" w:right="267" w:firstLine="480"/>
        <w:jc w:val="left"/>
        <w:rPr>
          <w:sz w:val="24"/>
        </w:rPr>
      </w:pPr>
      <w:r>
        <w:rPr>
          <w:sz w:val="24"/>
        </w:rPr>
        <w:t>医护人员</w:t>
      </w:r>
      <w:r>
        <w:rPr>
          <w:spacing w:val="-56"/>
          <w:sz w:val="24"/>
        </w:rPr>
        <w:t>、</w:t>
      </w:r>
      <w:r>
        <w:rPr>
          <w:sz w:val="24"/>
        </w:rPr>
        <w:t>药师和公众对于赋予药</w:t>
      </w:r>
      <w:r>
        <w:rPr>
          <w:spacing w:val="-56"/>
          <w:sz w:val="24"/>
        </w:rPr>
        <w:t>师</w:t>
      </w:r>
      <w:r>
        <w:rPr>
          <w:sz w:val="24"/>
        </w:rPr>
        <w:t>“部分</w:t>
      </w:r>
      <w:r>
        <w:rPr>
          <w:spacing w:val="-56"/>
          <w:sz w:val="24"/>
        </w:rPr>
        <w:t>”</w:t>
      </w:r>
      <w:r>
        <w:rPr>
          <w:sz w:val="24"/>
        </w:rPr>
        <w:t>处方权的支持度存</w:t>
      </w:r>
      <w:r>
        <w:rPr>
          <w:spacing w:val="-56"/>
          <w:sz w:val="24"/>
        </w:rPr>
        <w:t>在</w:t>
      </w:r>
      <w:r>
        <w:rPr>
          <w:sz w:val="24"/>
        </w:rPr>
        <w:t>“学历差异较大</w:t>
      </w:r>
      <w:r>
        <w:rPr>
          <w:spacing w:val="-13"/>
          <w:sz w:val="24"/>
        </w:rPr>
        <w:t>” </w:t>
      </w:r>
      <w:r>
        <w:rPr>
          <w:sz w:val="24"/>
        </w:rPr>
        <w:t>的问题</w:t>
      </w:r>
      <w:r>
        <w:rPr>
          <w:spacing w:val="-22"/>
          <w:sz w:val="24"/>
        </w:rPr>
        <w:t>；</w:t>
      </w:r>
      <w:r>
        <w:rPr>
          <w:sz w:val="24"/>
        </w:rPr>
        <w:t>药师卷</w:t>
      </w:r>
      <w:r>
        <w:rPr>
          <w:spacing w:val="-22"/>
          <w:sz w:val="24"/>
        </w:rPr>
        <w:t>有</w:t>
      </w:r>
      <w:r>
        <w:rPr>
          <w:sz w:val="24"/>
        </w:rPr>
        <w:t>“高技术含量岗位支持度高于低技术含量</w:t>
      </w:r>
      <w:r>
        <w:rPr>
          <w:spacing w:val="-22"/>
          <w:sz w:val="24"/>
        </w:rPr>
        <w:t>”</w:t>
      </w:r>
      <w:r>
        <w:rPr>
          <w:sz w:val="24"/>
        </w:rPr>
        <w:t>的现象</w:t>
      </w:r>
      <w:r>
        <w:rPr>
          <w:spacing w:val="-22"/>
          <w:sz w:val="24"/>
        </w:rPr>
        <w:t>；</w:t>
      </w:r>
      <w:r>
        <w:rPr>
          <w:sz w:val="24"/>
        </w:rPr>
        <w:t>公众卷</w:t>
      </w:r>
      <w:r>
        <w:rPr>
          <w:spacing w:val="-22"/>
          <w:sz w:val="24"/>
        </w:rPr>
        <w:t>有</w:t>
      </w:r>
      <w:r>
        <w:rPr>
          <w:sz w:val="24"/>
        </w:rPr>
        <w:t>“脑力劳动者支持度高于体力劳动者</w:t>
      </w:r>
      <w:r>
        <w:rPr>
          <w:spacing w:val="-116"/>
          <w:sz w:val="24"/>
        </w:rPr>
        <w:t>”</w:t>
      </w:r>
      <w:r>
        <w:rPr>
          <w:sz w:val="24"/>
        </w:rPr>
        <w:t>的现象</w:t>
        <w:tab/>
        <w:t>就学历与支持度的关系来说</w:t>
      </w:r>
      <w:r>
        <w:rPr>
          <w:spacing w:val="-116"/>
          <w:sz w:val="24"/>
        </w:rPr>
        <w:t>，</w:t>
      </w:r>
      <w:r>
        <w:rPr>
          <w:sz w:val="24"/>
        </w:rPr>
        <w:t>医生卷</w:t>
      </w:r>
      <w:r>
        <w:rPr>
          <w:spacing w:val="-116"/>
          <w:sz w:val="24"/>
        </w:rPr>
        <w:t>为</w:t>
      </w:r>
      <w:r>
        <w:rPr>
          <w:sz w:val="24"/>
        </w:rPr>
        <w:t>“两极低中间高</w:t>
      </w:r>
      <w:r>
        <w:rPr>
          <w:spacing w:val="-124"/>
          <w:sz w:val="24"/>
        </w:rPr>
        <w:t>”</w:t>
      </w:r>
      <w:r>
        <w:rPr>
          <w:spacing w:val="-8"/>
          <w:sz w:val="24"/>
        </w:rPr>
        <w:t>，</w:t>
      </w:r>
    </w:p>
    <w:p>
      <w:pPr>
        <w:spacing w:after="0" w:line="297" w:lineRule="auto"/>
        <w:jc w:val="left"/>
        <w:rPr>
          <w:sz w:val="24"/>
        </w:rPr>
        <w:sectPr>
          <w:headerReference w:type="default" r:id="rId22"/>
          <w:footerReference w:type="default" r:id="rId23"/>
          <w:pgSz w:w="11910" w:h="16850"/>
          <w:pgMar w:header="906" w:footer="607" w:top="1100" w:bottom="800" w:left="1000" w:right="740"/>
          <w:pgNumType w:start="19"/>
        </w:sectPr>
      </w:pPr>
    </w:p>
    <w:p>
      <w:pPr>
        <w:pStyle w:val="BodyText"/>
        <w:spacing w:line="295" w:lineRule="auto" w:before="65"/>
        <w:ind w:right="386"/>
        <w:jc w:val="both"/>
      </w:pPr>
      <w:r>
        <w:rPr>
          <w:spacing w:val="-10"/>
        </w:rPr>
        <w:t>护士卷、药师卷和公众卷均为“高学历者支持度高于低学历者”。护士、药师和公众中的高</w:t>
      </w:r>
      <w:r>
        <w:rPr>
          <w:spacing w:val="-15"/>
        </w:rPr>
        <w:t>学历者支持度高于低学历者，可能是由于高学历者能够更深刻地认识到药师所起到的重要作</w:t>
      </w:r>
      <w:r>
        <w:rPr>
          <w:spacing w:val="-11"/>
        </w:rPr>
        <w:t>用，因此支持度更高，而高学历医生的支持度反而下降，这有待进一步研究。药师卷中高技</w:t>
      </w:r>
      <w:r>
        <w:rPr>
          <w:spacing w:val="-6"/>
        </w:rPr>
        <w:t>术含量岗位的药师普遍拥有更高的学历，也就更能够理解药学服务的内涵，故其支持度要更</w:t>
      </w:r>
      <w:r>
        <w:rPr>
          <w:spacing w:val="-11"/>
        </w:rPr>
        <w:t>高。公众卷脑力劳动者的支持度要高于体力劳动者，可能是因为学历越高越有可能从事脑力</w:t>
      </w:r>
      <w:r>
        <w:rPr/>
        <w:t>劳动，也就越能够理解和接受赋予药师“部分”处方权。</w:t>
      </w:r>
    </w:p>
    <w:p>
      <w:pPr>
        <w:pStyle w:val="Heading3"/>
        <w:numPr>
          <w:ilvl w:val="0"/>
          <w:numId w:val="2"/>
        </w:numPr>
        <w:tabs>
          <w:tab w:pos="1001" w:val="left" w:leader="none"/>
        </w:tabs>
        <w:spacing w:line="240" w:lineRule="auto" w:before="11" w:after="0"/>
        <w:ind w:left="1000" w:right="0" w:hanging="244"/>
        <w:jc w:val="left"/>
      </w:pPr>
      <w:r>
        <w:rPr/>
        <w:t>本研究的局限性及可能原因</w:t>
      </w:r>
    </w:p>
    <w:p>
      <w:pPr>
        <w:pStyle w:val="BodyText"/>
        <w:spacing w:line="295" w:lineRule="auto" w:before="71"/>
        <w:ind w:right="268" w:firstLine="480"/>
      </w:pPr>
      <w:r>
        <w:rPr>
          <w:spacing w:val="-7"/>
        </w:rPr>
        <w:t>本研究样本分布不均，存在“女性多男性少，中青年多两极少，大学本科学历多其余学</w:t>
      </w:r>
      <w:r>
        <w:rPr>
          <w:spacing w:val="-17"/>
        </w:rPr>
        <w:t>历少，三甲医院多其余医院少，初中级职称多其它职称少，河南省份多其余省份少”的现象。</w:t>
      </w:r>
    </w:p>
    <w:p>
      <w:pPr>
        <w:pStyle w:val="BodyText"/>
        <w:spacing w:line="297" w:lineRule="auto" w:before="5"/>
        <w:ind w:right="270" w:firstLine="480"/>
      </w:pPr>
      <w:r>
        <w:rPr>
          <w:spacing w:val="-2"/>
        </w:rPr>
        <w:t>这可能有以下几方面的原因：</w:t>
      </w:r>
      <w:r>
        <w:rPr>
          <w:spacing w:val="-20"/>
        </w:rPr>
        <w:t>（1）</w:t>
      </w:r>
      <w:r>
        <w:rPr>
          <w:spacing w:val="-3"/>
        </w:rPr>
        <w:t>问卷的发放模式是以三甲医院为中心的“中心扩散” </w:t>
      </w:r>
      <w:r>
        <w:rPr>
          <w:spacing w:val="-16"/>
        </w:rPr>
        <w:t>模型，问卷填写者大多为三甲医院的医护人员、药师和公众，所以造成了三甲医院样本较多；</w:t>
      </w:r>
    </w:p>
    <w:p>
      <w:pPr>
        <w:pStyle w:val="BodyText"/>
        <w:spacing w:line="297" w:lineRule="auto"/>
        <w:ind w:right="387"/>
        <w:jc w:val="both"/>
      </w:pPr>
      <w:r>
        <w:rPr/>
        <w:t>（2）一部分问卷是通过网络“问卷星”系统发放的，而中青年医生使用手机的频率要高于其他人群，所以造成了问卷分布不够平均的现象；（3）相对老年人而言，中青年人更容易</w:t>
      </w:r>
      <w:r>
        <w:rPr>
          <w:spacing w:val="-9"/>
        </w:rPr>
        <w:t>进行沟通，更愿意协助填写调查问卷，所以造成了三甲医院、中青年、大学本科、初级中级职称人群填写了更多的问卷的现象；（4）河南省的调研课题小组自身的影响力和对于项目的重视程度更大，造成了省份的分布不均；（5）一方面，可能是由于调剂岗位的人群在药</w:t>
      </w:r>
      <w:r>
        <w:rPr>
          <w:spacing w:val="-14"/>
        </w:rPr>
        <w:t>师群体中占大多数，另一方面，可能是由于调查时样本选择造成的偏倚，所以造成了填写问</w:t>
      </w:r>
      <w:r>
        <w:rPr/>
        <w:t>卷的药师群体中“调剂岗位多其余岗位少”的情况；（6）可能是由于问卷是通过三甲医院</w:t>
      </w:r>
      <w:r>
        <w:rPr>
          <w:spacing w:val="-8"/>
        </w:rPr>
        <w:t>的药师进行发放的，故填写问卷的公众中，药师的朋友占有较高比例，这类人群普遍与发放</w:t>
      </w:r>
    </w:p>
    <w:p>
      <w:pPr>
        <w:spacing w:line="259" w:lineRule="auto" w:before="0"/>
        <w:ind w:left="277" w:right="390" w:firstLine="0"/>
        <w:jc w:val="both"/>
        <w:rPr>
          <w:rFonts w:ascii="仿宋" w:hAnsi="仿宋" w:eastAsia="仿宋" w:hint="eastAsia"/>
          <w:b/>
          <w:sz w:val="24"/>
        </w:rPr>
      </w:pPr>
      <w:r>
        <w:rPr>
          <w:spacing w:val="-8"/>
          <w:sz w:val="24"/>
        </w:rPr>
        <w:t>问卷的药师具有相同的年龄、学历等，故造成了公众卷中“脑力劳动者多体力劳动者少”的</w:t>
      </w:r>
      <w:r>
        <w:rPr>
          <w:sz w:val="24"/>
        </w:rPr>
        <w:t>现象。</w:t>
      </w:r>
      <w:r>
        <w:rPr>
          <w:rFonts w:ascii="Meiryo" w:hAnsi="Meiryo" w:eastAsia="Meiryo" w:hint="eastAsia"/>
          <w:b/>
          <w:color w:val="0033CC"/>
          <w:spacing w:val="6"/>
          <w:sz w:val="24"/>
        </w:rPr>
        <w:t>[返回目次] </w:t>
      </w:r>
      <w:r>
        <w:rPr>
          <w:rFonts w:ascii="仿宋" w:hAnsi="仿宋" w:eastAsia="仿宋" w:hint="eastAsia"/>
          <w:b/>
          <w:color w:val="006FC0"/>
          <w:sz w:val="24"/>
        </w:rPr>
        <w:t>（以上文章以实际发刊内容为准）</w:t>
      </w:r>
    </w:p>
    <w:p>
      <w:pPr>
        <w:pStyle w:val="Heading2"/>
        <w:spacing w:before="145"/>
        <w:ind w:left="526"/>
      </w:pPr>
      <w:bookmarkStart w:name="_TOC_250019" w:id="6"/>
      <w:bookmarkEnd w:id="6"/>
      <w:r>
        <w:rPr/>
        <w:t>替加环素对 ICU 多重耐药菌感染患者免疫功能的影响及疗效分析</w:t>
      </w:r>
    </w:p>
    <w:p>
      <w:pPr>
        <w:spacing w:line="307" w:lineRule="auto" w:before="145"/>
        <w:ind w:left="277" w:right="386" w:firstLine="4373"/>
        <w:jc w:val="both"/>
        <w:rPr>
          <w:rFonts w:ascii="楷体" w:eastAsia="楷体" w:hint="eastAsia"/>
          <w:sz w:val="24"/>
        </w:rPr>
      </w:pPr>
      <w:r>
        <w:rPr>
          <w:rFonts w:ascii="楷体" w:eastAsia="楷体" w:hint="eastAsia"/>
          <w:b/>
          <w:color w:val="FF0000"/>
          <w:sz w:val="24"/>
        </w:rPr>
        <w:t>（来源：《中国医院药学杂志》2019</w:t>
      </w:r>
      <w:r>
        <w:rPr>
          <w:rFonts w:ascii="楷体" w:eastAsia="楷体" w:hint="eastAsia"/>
          <w:b/>
          <w:color w:val="FF0000"/>
          <w:spacing w:val="-30"/>
          <w:sz w:val="24"/>
        </w:rPr>
        <w:t> 年第 </w:t>
      </w:r>
      <w:r>
        <w:rPr>
          <w:rFonts w:ascii="楷体" w:eastAsia="楷体" w:hint="eastAsia"/>
          <w:b/>
          <w:color w:val="FF0000"/>
          <w:sz w:val="24"/>
        </w:rPr>
        <w:t>6</w:t>
      </w:r>
      <w:r>
        <w:rPr>
          <w:rFonts w:ascii="楷体" w:eastAsia="楷体" w:hint="eastAsia"/>
          <w:b/>
          <w:color w:val="FF0000"/>
          <w:spacing w:val="-31"/>
          <w:sz w:val="24"/>
        </w:rPr>
        <w:t> 期</w:t>
      </w:r>
      <w:r>
        <w:rPr>
          <w:rFonts w:ascii="楷体" w:eastAsia="楷体" w:hint="eastAsia"/>
          <w:b/>
          <w:color w:val="FF0000"/>
          <w:spacing w:val="-12"/>
          <w:sz w:val="24"/>
        </w:rPr>
        <w:t>） </w:t>
      </w:r>
      <w:r>
        <w:rPr>
          <w:rFonts w:ascii="楷体" w:eastAsia="楷体" w:hint="eastAsia"/>
          <w:spacing w:val="-16"/>
          <w:sz w:val="24"/>
        </w:rPr>
        <w:t>张红伟 </w:t>
      </w:r>
      <w:r>
        <w:rPr>
          <w:rFonts w:ascii="楷体" w:eastAsia="楷体" w:hint="eastAsia"/>
          <w:sz w:val="24"/>
        </w:rPr>
        <w:t>1，</w:t>
      </w:r>
      <w:r>
        <w:rPr>
          <w:rFonts w:ascii="楷体" w:eastAsia="楷体" w:hint="eastAsia"/>
          <w:spacing w:val="-20"/>
          <w:sz w:val="24"/>
        </w:rPr>
        <w:t>崔娜 </w:t>
      </w:r>
      <w:r>
        <w:rPr>
          <w:rFonts w:ascii="楷体" w:eastAsia="楷体" w:hint="eastAsia"/>
          <w:sz w:val="24"/>
        </w:rPr>
        <w:t>1，</w:t>
      </w:r>
      <w:r>
        <w:rPr>
          <w:rFonts w:ascii="楷体" w:eastAsia="楷体" w:hint="eastAsia"/>
          <w:spacing w:val="-20"/>
          <w:sz w:val="24"/>
        </w:rPr>
        <w:t>陈治 </w:t>
      </w:r>
      <w:r>
        <w:rPr>
          <w:rFonts w:ascii="楷体" w:eastAsia="楷体" w:hint="eastAsia"/>
          <w:sz w:val="24"/>
        </w:rPr>
        <w:t>2，</w:t>
      </w:r>
      <w:r>
        <w:rPr>
          <w:rFonts w:ascii="楷体" w:eastAsia="楷体" w:hint="eastAsia"/>
          <w:spacing w:val="-15"/>
          <w:sz w:val="24"/>
        </w:rPr>
        <w:t>董谞楣 </w:t>
      </w:r>
      <w:r>
        <w:rPr>
          <w:rFonts w:ascii="楷体" w:eastAsia="楷体" w:hint="eastAsia"/>
          <w:sz w:val="24"/>
        </w:rPr>
        <w:t>1，</w:t>
      </w:r>
      <w:r>
        <w:rPr>
          <w:rFonts w:ascii="楷体" w:eastAsia="楷体" w:hint="eastAsia"/>
          <w:spacing w:val="-15"/>
          <w:sz w:val="24"/>
        </w:rPr>
        <w:t>于占彪 </w:t>
      </w:r>
      <w:r>
        <w:rPr>
          <w:rFonts w:ascii="楷体" w:eastAsia="楷体" w:hint="eastAsia"/>
          <w:sz w:val="24"/>
        </w:rPr>
        <w:t>1，</w:t>
      </w:r>
      <w:r>
        <w:rPr>
          <w:rFonts w:ascii="楷体" w:eastAsia="楷体" w:hint="eastAsia"/>
          <w:spacing w:val="-15"/>
          <w:sz w:val="24"/>
        </w:rPr>
        <w:t>王生海 </w:t>
      </w:r>
      <w:r>
        <w:rPr>
          <w:rFonts w:ascii="楷体" w:eastAsia="楷体" w:hint="eastAsia"/>
          <w:sz w:val="24"/>
        </w:rPr>
        <w:t>1 （河北大学附属医院,1.重症医学科；2</w:t>
      </w:r>
      <w:r>
        <w:rPr>
          <w:rFonts w:ascii="楷体" w:eastAsia="楷体" w:hint="eastAsia"/>
          <w:spacing w:val="-1"/>
          <w:sz w:val="24"/>
        </w:rPr>
        <w:t>.肝胆外科，河北 保定 </w:t>
      </w:r>
      <w:r>
        <w:rPr>
          <w:rFonts w:ascii="楷体" w:eastAsia="楷体" w:hint="eastAsia"/>
          <w:sz w:val="24"/>
        </w:rPr>
        <w:t>071000）</w:t>
      </w:r>
    </w:p>
    <w:p>
      <w:pPr>
        <w:pStyle w:val="BodyText"/>
        <w:spacing w:line="291" w:lineRule="exact"/>
        <w:rPr>
          <w:rFonts w:ascii="楷体" w:eastAsia="楷体" w:hint="eastAsia"/>
        </w:rPr>
      </w:pPr>
      <w:r>
        <w:rPr>
          <w:rFonts w:ascii="黑体" w:eastAsia="黑体" w:hint="eastAsia"/>
        </w:rPr>
        <w:t>［摘要</w:t>
      </w:r>
      <w:r>
        <w:rPr>
          <w:rFonts w:ascii="黑体" w:eastAsia="黑体" w:hint="eastAsia"/>
          <w:spacing w:val="-111"/>
        </w:rPr>
        <w:t>］</w:t>
      </w:r>
      <w:r>
        <w:rPr>
          <w:rFonts w:ascii="黑体" w:eastAsia="黑体" w:hint="eastAsia"/>
          <w:spacing w:val="-37"/>
        </w:rPr>
        <w:t>目的：</w:t>
      </w:r>
      <w:r>
        <w:rPr>
          <w:rFonts w:ascii="楷体" w:eastAsia="楷体" w:hint="eastAsia"/>
          <w:spacing w:val="-9"/>
        </w:rPr>
        <w:t>探讨替加环素对 </w:t>
      </w:r>
      <w:r>
        <w:rPr>
          <w:rFonts w:ascii="楷体" w:eastAsia="楷体" w:hint="eastAsia"/>
        </w:rPr>
        <w:t>ICU</w:t>
      </w:r>
      <w:r>
        <w:rPr>
          <w:rFonts w:ascii="楷体" w:eastAsia="楷体" w:hint="eastAsia"/>
          <w:spacing w:val="-8"/>
        </w:rPr>
        <w:t> 多重耐药菌感染患者免疫功能的影响并分析其临床疗效。</w:t>
      </w:r>
    </w:p>
    <w:p>
      <w:pPr>
        <w:pStyle w:val="BodyText"/>
        <w:spacing w:before="72"/>
        <w:rPr>
          <w:rFonts w:ascii="楷体" w:hAnsi="楷体" w:eastAsia="楷体" w:hint="eastAsia"/>
        </w:rPr>
      </w:pPr>
      <w:r>
        <w:rPr>
          <w:rFonts w:ascii="黑体" w:hAnsi="黑体" w:eastAsia="黑体" w:hint="eastAsia"/>
          <w:spacing w:val="-15"/>
        </w:rPr>
        <w:t>方法：</w:t>
      </w:r>
      <w:r>
        <w:rPr>
          <w:rFonts w:ascii="楷体" w:hAnsi="楷体" w:eastAsia="楷体" w:hint="eastAsia"/>
          <w:spacing w:val="-8"/>
        </w:rPr>
        <w:t>回顾性分析某院 </w:t>
      </w:r>
      <w:r>
        <w:rPr>
          <w:rFonts w:ascii="楷体" w:hAnsi="楷体" w:eastAsia="楷体" w:hint="eastAsia"/>
        </w:rPr>
        <w:t>2016</w:t>
      </w:r>
      <w:r>
        <w:rPr>
          <w:rFonts w:ascii="楷体" w:hAnsi="楷体" w:eastAsia="楷体" w:hint="eastAsia"/>
          <w:spacing w:val="-40"/>
        </w:rPr>
        <w:t> 年 </w:t>
      </w:r>
      <w:r>
        <w:rPr>
          <w:rFonts w:ascii="楷体" w:hAnsi="楷体" w:eastAsia="楷体" w:hint="eastAsia"/>
        </w:rPr>
        <w:t>5</w:t>
      </w:r>
      <w:r>
        <w:rPr>
          <w:rFonts w:ascii="楷体" w:hAnsi="楷体" w:eastAsia="楷体" w:hint="eastAsia"/>
          <w:spacing w:val="-30"/>
        </w:rPr>
        <w:t> 月</w:t>
      </w:r>
      <w:r>
        <w:rPr>
          <w:rFonts w:ascii="楷体" w:hAnsi="楷体" w:eastAsia="楷体" w:hint="eastAsia"/>
        </w:rPr>
        <w:t>–2017</w:t>
      </w:r>
      <w:r>
        <w:rPr>
          <w:rFonts w:ascii="楷体" w:hAnsi="楷体" w:eastAsia="楷体" w:hint="eastAsia"/>
          <w:spacing w:val="-40"/>
        </w:rPr>
        <w:t> 年 </w:t>
      </w:r>
      <w:r>
        <w:rPr>
          <w:rFonts w:ascii="楷体" w:hAnsi="楷体" w:eastAsia="楷体" w:hint="eastAsia"/>
        </w:rPr>
        <w:t>10</w:t>
      </w:r>
      <w:r>
        <w:rPr>
          <w:rFonts w:ascii="楷体" w:hAnsi="楷体" w:eastAsia="楷体" w:hint="eastAsia"/>
          <w:spacing w:val="-20"/>
        </w:rPr>
        <w:t> 月收治的 </w:t>
      </w:r>
      <w:r>
        <w:rPr>
          <w:rFonts w:ascii="楷体" w:hAnsi="楷体" w:eastAsia="楷体" w:hint="eastAsia"/>
        </w:rPr>
        <w:t>60</w:t>
      </w:r>
      <w:r>
        <w:rPr>
          <w:rFonts w:ascii="楷体" w:hAnsi="楷体" w:eastAsia="楷体" w:hint="eastAsia"/>
          <w:spacing w:val="-40"/>
        </w:rPr>
        <w:t> 例 </w:t>
      </w:r>
      <w:r>
        <w:rPr>
          <w:rFonts w:ascii="楷体" w:hAnsi="楷体" w:eastAsia="楷体" w:hint="eastAsia"/>
        </w:rPr>
        <w:t>ICU</w:t>
      </w:r>
      <w:r>
        <w:rPr>
          <w:rFonts w:ascii="楷体" w:hAnsi="楷体" w:eastAsia="楷体" w:hint="eastAsia"/>
          <w:spacing w:val="-8"/>
        </w:rPr>
        <w:t> 多重耐药菌感染患者临</w:t>
      </w:r>
    </w:p>
    <w:p>
      <w:pPr>
        <w:pStyle w:val="BodyText"/>
        <w:spacing w:before="74"/>
        <w:rPr>
          <w:rFonts w:ascii="楷体" w:eastAsia="楷体" w:hint="eastAsia"/>
        </w:rPr>
      </w:pPr>
      <w:r>
        <w:rPr>
          <w:rFonts w:ascii="楷体" w:eastAsia="楷体" w:hint="eastAsia"/>
          <w:spacing w:val="-3"/>
        </w:rPr>
        <w:t>床资料，依据治疗方法分为研究组和对照组，各 </w:t>
      </w:r>
      <w:r>
        <w:rPr>
          <w:rFonts w:ascii="楷体" w:eastAsia="楷体" w:hint="eastAsia"/>
        </w:rPr>
        <w:t>30</w:t>
      </w:r>
      <w:r>
        <w:rPr>
          <w:rFonts w:ascii="楷体" w:eastAsia="楷体" w:hint="eastAsia"/>
          <w:spacing w:val="-8"/>
        </w:rPr>
        <w:t> 例。研究组采用替加环素联合头孢哌酮</w:t>
      </w:r>
    </w:p>
    <w:p>
      <w:pPr>
        <w:pStyle w:val="BodyText"/>
        <w:spacing w:line="290" w:lineRule="auto" w:before="72"/>
        <w:ind w:right="270"/>
        <w:rPr>
          <w:rFonts w:ascii="楷体" w:eastAsia="楷体" w:hint="eastAsia"/>
        </w:rPr>
      </w:pPr>
      <w:r>
        <w:rPr>
          <w:rFonts w:ascii="楷体" w:eastAsia="楷体" w:hint="eastAsia"/>
          <w:spacing w:val="-10"/>
        </w:rPr>
        <w:t>舒巴坦治疗，对照组单纯采用头孢哌酮舒巴坦治疗。比较 </w:t>
      </w:r>
      <w:r>
        <w:rPr>
          <w:rFonts w:ascii="楷体" w:eastAsia="楷体" w:hint="eastAsia"/>
        </w:rPr>
        <w:t>2</w:t>
      </w:r>
      <w:r>
        <w:rPr>
          <w:rFonts w:ascii="楷体" w:eastAsia="楷体" w:hint="eastAsia"/>
          <w:spacing w:val="-11"/>
        </w:rPr>
        <w:t> 组患者免疫功能的变化、细菌清</w:t>
      </w:r>
      <w:r>
        <w:rPr>
          <w:rFonts w:ascii="楷体" w:eastAsia="楷体" w:hint="eastAsia"/>
          <w:spacing w:val="-8"/>
        </w:rPr>
        <w:t>除情况、临床疗效及预后，分析影响预后的因素。</w:t>
      </w:r>
      <w:r>
        <w:rPr>
          <w:rFonts w:ascii="黑体" w:eastAsia="黑体" w:hint="eastAsia"/>
          <w:spacing w:val="-2"/>
        </w:rPr>
        <w:t>结果：</w:t>
      </w:r>
      <w:r>
        <w:rPr>
          <w:rFonts w:ascii="楷体" w:eastAsia="楷体" w:hint="eastAsia"/>
          <w:spacing w:val="-4"/>
        </w:rPr>
        <w:t>2</w:t>
      </w:r>
      <w:r>
        <w:rPr>
          <w:rFonts w:ascii="楷体" w:eastAsia="楷体" w:hint="eastAsia"/>
          <w:spacing w:val="-16"/>
        </w:rPr>
        <w:t> 组患者治疗前 </w:t>
      </w:r>
      <w:r>
        <w:rPr>
          <w:rFonts w:ascii="楷体" w:eastAsia="楷体" w:hint="eastAsia"/>
        </w:rPr>
        <w:t>IgA</w:t>
      </w:r>
      <w:r>
        <w:rPr>
          <w:rFonts w:ascii="楷体" w:eastAsia="楷体" w:hint="eastAsia"/>
          <w:spacing w:val="-8"/>
        </w:rPr>
        <w:t>、</w:t>
      </w:r>
      <w:r>
        <w:rPr>
          <w:rFonts w:ascii="楷体" w:eastAsia="楷体" w:hint="eastAsia"/>
        </w:rPr>
        <w:t>IgM</w:t>
      </w:r>
      <w:r>
        <w:rPr>
          <w:rFonts w:ascii="楷体" w:eastAsia="楷体" w:hint="eastAsia"/>
          <w:spacing w:val="-7"/>
        </w:rPr>
        <w:t>、</w:t>
      </w:r>
      <w:r>
        <w:rPr>
          <w:rFonts w:ascii="楷体" w:eastAsia="楷体" w:hint="eastAsia"/>
        </w:rPr>
        <w:t>IgG</w:t>
      </w:r>
      <w:r>
        <w:rPr>
          <w:rFonts w:ascii="楷体" w:eastAsia="楷体" w:hint="eastAsia"/>
          <w:spacing w:val="-30"/>
        </w:rPr>
        <w:t> 和NK</w:t>
      </w:r>
      <w:r>
        <w:rPr>
          <w:rFonts w:ascii="楷体" w:eastAsia="楷体" w:hint="eastAsia"/>
          <w:spacing w:val="-10"/>
        </w:rPr>
        <w:t> 细胞比较差异无显著性</w:t>
      </w:r>
      <w:r>
        <w:rPr>
          <w:rFonts w:ascii="楷体" w:eastAsia="楷体" w:hint="eastAsia"/>
          <w:spacing w:val="-3"/>
        </w:rPr>
        <w:t>（</w:t>
      </w:r>
      <w:r>
        <w:rPr>
          <w:rFonts w:ascii="楷体" w:eastAsia="楷体" w:hint="eastAsia"/>
          <w:i/>
          <w:spacing w:val="-3"/>
          <w:sz w:val="25"/>
        </w:rPr>
        <w:t>P</w:t>
      </w:r>
      <w:r>
        <w:rPr>
          <w:rFonts w:ascii="楷体" w:eastAsia="楷体" w:hint="eastAsia"/>
          <w:spacing w:val="-3"/>
        </w:rPr>
        <w:t>&gt;0.05）</w:t>
      </w:r>
      <w:r>
        <w:rPr>
          <w:rFonts w:ascii="楷体" w:eastAsia="楷体" w:hint="eastAsia"/>
          <w:spacing w:val="-6"/>
        </w:rPr>
        <w:t>。与治疗前比较，</w:t>
      </w:r>
      <w:r>
        <w:rPr>
          <w:rFonts w:ascii="楷体" w:eastAsia="楷体" w:hint="eastAsia"/>
          <w:spacing w:val="-11"/>
        </w:rPr>
        <w:t>2</w:t>
      </w:r>
      <w:r>
        <w:rPr>
          <w:rFonts w:ascii="楷体" w:eastAsia="楷体" w:hint="eastAsia"/>
          <w:spacing w:val="-16"/>
        </w:rPr>
        <w:t> 组患者治疗后 </w:t>
      </w:r>
      <w:r>
        <w:rPr>
          <w:rFonts w:ascii="楷体" w:eastAsia="楷体" w:hint="eastAsia"/>
        </w:rPr>
        <w:t>IgA</w:t>
      </w:r>
      <w:r>
        <w:rPr>
          <w:rFonts w:ascii="楷体" w:eastAsia="楷体" w:hint="eastAsia"/>
          <w:spacing w:val="-11"/>
        </w:rPr>
        <w:t> 水平降低，</w:t>
      </w:r>
      <w:r>
        <w:rPr>
          <w:rFonts w:ascii="楷体" w:eastAsia="楷体" w:hint="eastAsia"/>
          <w:spacing w:val="-6"/>
        </w:rPr>
        <w:t>IgM</w:t>
      </w:r>
      <w:r>
        <w:rPr>
          <w:rFonts w:ascii="楷体" w:eastAsia="楷体" w:hint="eastAsia"/>
          <w:spacing w:val="-14"/>
        </w:rPr>
        <w:t>、</w:t>
      </w:r>
      <w:r>
        <w:rPr>
          <w:rFonts w:ascii="楷体" w:eastAsia="楷体" w:hint="eastAsia"/>
        </w:rPr>
        <w:t>IgG</w:t>
      </w:r>
      <w:r>
        <w:rPr>
          <w:rFonts w:ascii="楷体" w:eastAsia="楷体" w:hint="eastAsia"/>
          <w:spacing w:val="-68"/>
        </w:rPr>
        <w:t>、</w:t>
      </w:r>
      <w:r>
        <w:rPr>
          <w:rFonts w:ascii="楷体" w:eastAsia="楷体" w:hint="eastAsia"/>
        </w:rPr>
        <w:t>NK</w:t>
      </w:r>
      <w:r>
        <w:rPr>
          <w:rFonts w:ascii="楷体" w:eastAsia="楷体" w:hint="eastAsia"/>
          <w:spacing w:val="-19"/>
        </w:rPr>
        <w:t> 细胞升高，且研究组 </w:t>
      </w:r>
      <w:r>
        <w:rPr>
          <w:rFonts w:ascii="楷体" w:eastAsia="楷体" w:hint="eastAsia"/>
        </w:rPr>
        <w:t>IgA</w:t>
      </w:r>
      <w:r>
        <w:rPr>
          <w:rFonts w:ascii="楷体" w:eastAsia="楷体" w:hint="eastAsia"/>
          <w:spacing w:val="-9"/>
        </w:rPr>
        <w:t> 水平低于对照组，</w:t>
      </w:r>
      <w:r>
        <w:rPr>
          <w:rFonts w:ascii="楷体" w:eastAsia="楷体" w:hint="eastAsia"/>
          <w:spacing w:val="-17"/>
        </w:rPr>
        <w:t>IgM</w:t>
      </w:r>
      <w:r>
        <w:rPr>
          <w:rFonts w:ascii="楷体" w:eastAsia="楷体" w:hint="eastAsia"/>
          <w:spacing w:val="-68"/>
        </w:rPr>
        <w:t>、</w:t>
      </w:r>
      <w:r>
        <w:rPr>
          <w:rFonts w:ascii="楷体" w:eastAsia="楷体" w:hint="eastAsia"/>
        </w:rPr>
        <w:t>IgG</w:t>
      </w:r>
      <w:r>
        <w:rPr>
          <w:rFonts w:ascii="楷体" w:eastAsia="楷体" w:hint="eastAsia"/>
          <w:spacing w:val="-68"/>
        </w:rPr>
        <w:t>、</w:t>
      </w:r>
      <w:r>
        <w:rPr>
          <w:rFonts w:ascii="楷体" w:eastAsia="楷体" w:hint="eastAsia"/>
        </w:rPr>
        <w:t>NK</w:t>
      </w:r>
      <w:r>
        <w:rPr>
          <w:rFonts w:ascii="楷体" w:eastAsia="楷体" w:hint="eastAsia"/>
          <w:spacing w:val="-17"/>
        </w:rPr>
        <w:t> 细胞高于对照组</w:t>
      </w:r>
      <w:r>
        <w:rPr>
          <w:rFonts w:ascii="楷体" w:eastAsia="楷体" w:hint="eastAsia"/>
          <w:spacing w:val="-9"/>
        </w:rPr>
        <w:t>（</w:t>
      </w:r>
      <w:r>
        <w:rPr>
          <w:rFonts w:ascii="楷体" w:eastAsia="楷体" w:hint="eastAsia"/>
          <w:i/>
          <w:spacing w:val="-9"/>
          <w:sz w:val="25"/>
        </w:rPr>
        <w:t>P</w:t>
      </w:r>
      <w:r>
        <w:rPr>
          <w:rFonts w:ascii="楷体" w:eastAsia="楷体" w:hint="eastAsia"/>
          <w:spacing w:val="-9"/>
        </w:rPr>
        <w:t>&lt;0.05）</w:t>
      </w:r>
      <w:r>
        <w:rPr>
          <w:rFonts w:ascii="楷体" w:eastAsia="楷体" w:hint="eastAsia"/>
          <w:spacing w:val="-68"/>
        </w:rPr>
        <w:t>。</w:t>
      </w:r>
      <w:r>
        <w:rPr>
          <w:rFonts w:ascii="楷体" w:eastAsia="楷体" w:hint="eastAsia"/>
          <w:spacing w:val="-6"/>
        </w:rPr>
        <w:t>研究组细菌清除率为 </w:t>
      </w:r>
      <w:r>
        <w:rPr>
          <w:rFonts w:ascii="楷体" w:eastAsia="楷体" w:hint="eastAsia"/>
        </w:rPr>
        <w:t>90.00%</w:t>
      </w:r>
      <w:r>
        <w:rPr>
          <w:rFonts w:ascii="楷体" w:eastAsia="楷体" w:hint="eastAsia"/>
          <w:spacing w:val="-3"/>
        </w:rPr>
        <w:t>明显高于对照组，细菌再感染率和细菌替换率分别为 </w:t>
      </w:r>
      <w:r>
        <w:rPr>
          <w:rFonts w:ascii="楷体" w:eastAsia="楷体" w:hint="eastAsia"/>
        </w:rPr>
        <w:t>6.67%和3.33%明显低于对照组（</w:t>
      </w:r>
      <w:r>
        <w:rPr>
          <w:rFonts w:ascii="楷体" w:eastAsia="楷体" w:hint="eastAsia"/>
          <w:i/>
          <w:sz w:val="25"/>
        </w:rPr>
        <w:t>P</w:t>
      </w:r>
      <w:r>
        <w:rPr>
          <w:rFonts w:ascii="楷体" w:eastAsia="楷体" w:hint="eastAsia"/>
        </w:rPr>
        <w:t>&lt;0.05）</w:t>
      </w:r>
      <w:r>
        <w:rPr>
          <w:rFonts w:ascii="楷体" w:eastAsia="楷体" w:hint="eastAsia"/>
          <w:spacing w:val="-7"/>
        </w:rPr>
        <w:t>。研究组总有效率为 </w:t>
      </w:r>
      <w:r>
        <w:rPr>
          <w:rFonts w:ascii="楷体" w:eastAsia="楷体" w:hint="eastAsia"/>
        </w:rPr>
        <w:t>80.00%，</w:t>
      </w:r>
      <w:r>
        <w:rPr>
          <w:rFonts w:ascii="楷体" w:eastAsia="楷体" w:hint="eastAsia"/>
          <w:spacing w:val="-7"/>
        </w:rPr>
        <w:t>对照组总有效率为 </w:t>
      </w:r>
      <w:r>
        <w:rPr>
          <w:rFonts w:ascii="楷体" w:eastAsia="楷体" w:hint="eastAsia"/>
        </w:rPr>
        <w:t>53.33%，</w:t>
      </w:r>
    </w:p>
    <w:p>
      <w:pPr>
        <w:pStyle w:val="BodyText"/>
        <w:spacing w:line="285" w:lineRule="auto"/>
        <w:ind w:right="386"/>
        <w:rPr>
          <w:rFonts w:ascii="楷体" w:hAnsi="楷体" w:eastAsia="楷体" w:hint="eastAsia"/>
        </w:rPr>
      </w:pPr>
      <w:r>
        <w:rPr>
          <w:rFonts w:ascii="楷体" w:hAnsi="楷体" w:eastAsia="楷体" w:hint="eastAsia"/>
        </w:rPr>
        <w:t>2</w:t>
      </w:r>
      <w:r>
        <w:rPr>
          <w:rFonts w:ascii="楷体" w:hAnsi="楷体" w:eastAsia="楷体" w:hint="eastAsia"/>
          <w:spacing w:val="-8"/>
        </w:rPr>
        <w:t> 组间比较差异具有显著性</w:t>
      </w:r>
      <w:r>
        <w:rPr>
          <w:rFonts w:ascii="楷体" w:hAnsi="楷体" w:eastAsia="楷体" w:hint="eastAsia"/>
        </w:rPr>
        <w:t>（</w:t>
      </w:r>
      <w:r>
        <w:rPr>
          <w:rFonts w:ascii="楷体" w:hAnsi="楷体" w:eastAsia="楷体" w:hint="eastAsia"/>
          <w:i/>
          <w:sz w:val="25"/>
        </w:rPr>
        <w:t>P</w:t>
      </w:r>
      <w:r>
        <w:rPr>
          <w:rFonts w:ascii="楷体" w:hAnsi="楷体" w:eastAsia="楷体" w:hint="eastAsia"/>
        </w:rPr>
        <w:t>&lt;0.05）</w:t>
      </w:r>
      <w:r>
        <w:rPr>
          <w:rFonts w:ascii="楷体" w:hAnsi="楷体" w:eastAsia="楷体" w:hint="eastAsia"/>
          <w:spacing w:val="-9"/>
        </w:rPr>
        <w:t>。研究组患者 </w:t>
      </w:r>
      <w:r>
        <w:rPr>
          <w:rFonts w:ascii="楷体" w:hAnsi="楷体" w:eastAsia="楷体" w:hint="eastAsia"/>
        </w:rPr>
        <w:t>30 d</w:t>
      </w:r>
      <w:r>
        <w:rPr>
          <w:rFonts w:ascii="楷体" w:hAnsi="楷体" w:eastAsia="楷体" w:hint="eastAsia"/>
          <w:spacing w:val="-18"/>
        </w:rPr>
        <w:t> 总病死率为 </w:t>
      </w:r>
      <w:r>
        <w:rPr>
          <w:rFonts w:ascii="楷体" w:hAnsi="楷体" w:eastAsia="楷体" w:hint="eastAsia"/>
        </w:rPr>
        <w:t>20.00%低于对照组， </w:t>
      </w:r>
      <w:r>
        <w:rPr>
          <w:rFonts w:ascii="楷体" w:hAnsi="楷体" w:eastAsia="楷体" w:hint="eastAsia"/>
          <w:spacing w:val="-3"/>
          <w:w w:val="95"/>
        </w:rPr>
        <w:t>但无显著性</w:t>
      </w:r>
      <w:r>
        <w:rPr>
          <w:rFonts w:ascii="楷体" w:hAnsi="楷体" w:eastAsia="楷体" w:hint="eastAsia"/>
          <w:w w:val="95"/>
        </w:rPr>
        <w:t>（</w:t>
      </w:r>
      <w:r>
        <w:rPr>
          <w:rFonts w:ascii="楷体" w:hAnsi="楷体" w:eastAsia="楷体" w:hint="eastAsia"/>
          <w:i/>
          <w:w w:val="95"/>
          <w:sz w:val="25"/>
        </w:rPr>
        <w:t>P</w:t>
      </w:r>
      <w:r>
        <w:rPr>
          <w:rFonts w:ascii="楷体" w:hAnsi="楷体" w:eastAsia="楷体" w:hint="eastAsia"/>
          <w:w w:val="95"/>
        </w:rPr>
        <w:t>&gt;0.05）</w:t>
      </w:r>
      <w:r>
        <w:rPr>
          <w:rFonts w:ascii="楷体" w:hAnsi="楷体" w:eastAsia="楷体" w:hint="eastAsia"/>
          <w:spacing w:val="-15"/>
          <w:w w:val="95"/>
        </w:rPr>
        <w:t>。</w:t>
      </w:r>
      <w:r>
        <w:rPr>
          <w:rFonts w:ascii="楷体" w:hAnsi="楷体" w:eastAsia="楷体" w:hint="eastAsia"/>
          <w:w w:val="95"/>
        </w:rPr>
        <w:t>APACHEⅡ</w:t>
      </w:r>
      <w:r>
        <w:rPr>
          <w:rFonts w:ascii="楷体" w:hAnsi="楷体" w:eastAsia="楷体" w:hint="eastAsia"/>
          <w:spacing w:val="-5"/>
          <w:w w:val="95"/>
        </w:rPr>
        <w:t>分数、机械通气天数均会影响预后</w:t>
      </w:r>
      <w:r>
        <w:rPr>
          <w:rFonts w:ascii="楷体" w:hAnsi="楷体" w:eastAsia="楷体" w:hint="eastAsia"/>
          <w:spacing w:val="-4"/>
          <w:w w:val="95"/>
        </w:rPr>
        <w:t>（</w:t>
      </w:r>
      <w:r>
        <w:rPr>
          <w:rFonts w:ascii="楷体" w:hAnsi="楷体" w:eastAsia="楷体" w:hint="eastAsia"/>
          <w:i/>
          <w:spacing w:val="-4"/>
          <w:w w:val="95"/>
          <w:sz w:val="25"/>
        </w:rPr>
        <w:t>P</w:t>
      </w:r>
      <w:r>
        <w:rPr>
          <w:rFonts w:ascii="楷体" w:hAnsi="楷体" w:eastAsia="楷体" w:hint="eastAsia"/>
          <w:spacing w:val="-4"/>
          <w:w w:val="95"/>
        </w:rPr>
        <w:t>&lt;0.05）</w:t>
      </w:r>
      <w:r>
        <w:rPr>
          <w:rFonts w:ascii="楷体" w:hAnsi="楷体" w:eastAsia="楷体" w:hint="eastAsia"/>
          <w:spacing w:val="-5"/>
          <w:w w:val="95"/>
        </w:rPr>
        <w:t>，合并基础</w:t>
      </w:r>
    </w:p>
    <w:p>
      <w:pPr>
        <w:spacing w:after="0" w:line="285" w:lineRule="auto"/>
        <w:rPr>
          <w:rFonts w:ascii="楷体" w:hAnsi="楷体" w:eastAsia="楷体" w:hint="eastAsia"/>
        </w:rPr>
        <w:sectPr>
          <w:pgSz w:w="11910" w:h="16850"/>
          <w:pgMar w:header="906" w:footer="607" w:top="1100" w:bottom="800" w:left="1000" w:right="740"/>
        </w:sectPr>
      </w:pPr>
    </w:p>
    <w:p>
      <w:pPr>
        <w:pStyle w:val="BodyText"/>
        <w:spacing w:line="292" w:lineRule="auto" w:before="55"/>
        <w:ind w:right="390"/>
        <w:rPr>
          <w:rFonts w:ascii="楷体" w:eastAsia="楷体" w:hint="eastAsia"/>
        </w:rPr>
      </w:pPr>
      <w:r>
        <w:rPr>
          <w:rFonts w:ascii="楷体" w:eastAsia="楷体" w:hint="eastAsia"/>
          <w:spacing w:val="-7"/>
        </w:rPr>
        <w:t>性疾病、年龄均不影响预后</w:t>
      </w:r>
      <w:r>
        <w:rPr>
          <w:rFonts w:ascii="楷体" w:eastAsia="楷体" w:hint="eastAsia"/>
          <w:spacing w:val="-3"/>
        </w:rPr>
        <w:t>（</w:t>
      </w:r>
      <w:r>
        <w:rPr>
          <w:rFonts w:ascii="楷体" w:eastAsia="楷体" w:hint="eastAsia"/>
          <w:i/>
          <w:spacing w:val="-3"/>
          <w:sz w:val="25"/>
        </w:rPr>
        <w:t>P</w:t>
      </w:r>
      <w:r>
        <w:rPr>
          <w:rFonts w:ascii="楷体" w:eastAsia="楷体" w:hint="eastAsia"/>
          <w:spacing w:val="-3"/>
        </w:rPr>
        <w:t>&gt;0.05）</w:t>
      </w:r>
      <w:r>
        <w:rPr>
          <w:rFonts w:ascii="楷体" w:eastAsia="楷体" w:hint="eastAsia"/>
          <w:spacing w:val="-22"/>
        </w:rPr>
        <w:t>。</w:t>
      </w:r>
      <w:r>
        <w:rPr>
          <w:rFonts w:ascii="黑体" w:eastAsia="黑体" w:hint="eastAsia"/>
          <w:spacing w:val="-7"/>
        </w:rPr>
        <w:t>结论：</w:t>
      </w:r>
      <w:r>
        <w:rPr>
          <w:rFonts w:ascii="楷体" w:eastAsia="楷体" w:hint="eastAsia"/>
          <w:spacing w:val="-5"/>
        </w:rPr>
        <w:t>替加环素联合头孢哌酮舒巴坦对 </w:t>
      </w:r>
      <w:r>
        <w:rPr>
          <w:rFonts w:ascii="楷体" w:eastAsia="楷体" w:hint="eastAsia"/>
        </w:rPr>
        <w:t>ICU</w:t>
      </w:r>
      <w:r>
        <w:rPr>
          <w:rFonts w:ascii="楷体" w:eastAsia="楷体" w:hint="eastAsia"/>
          <w:spacing w:val="-19"/>
        </w:rPr>
        <w:t> 多重耐</w:t>
      </w:r>
      <w:r>
        <w:rPr>
          <w:rFonts w:ascii="楷体" w:eastAsia="楷体" w:hint="eastAsia"/>
        </w:rPr>
        <w:t>药菌感染患者疗效显著，提高免疫功能，值得临床推广。</w:t>
      </w:r>
    </w:p>
    <w:p>
      <w:pPr>
        <w:pStyle w:val="BodyText"/>
        <w:tabs>
          <w:tab w:pos="1719" w:val="left" w:leader="none"/>
        </w:tabs>
        <w:spacing w:before="2"/>
        <w:rPr>
          <w:rFonts w:ascii="楷体" w:eastAsia="楷体" w:hint="eastAsia"/>
        </w:rPr>
      </w:pPr>
      <w:r>
        <w:rPr>
          <w:rFonts w:ascii="黑体" w:eastAsia="黑体" w:hint="eastAsia"/>
        </w:rPr>
        <w:t>［关键词］</w:t>
        <w:tab/>
      </w:r>
      <w:r>
        <w:rPr>
          <w:rFonts w:ascii="楷体" w:eastAsia="楷体" w:hint="eastAsia"/>
        </w:rPr>
        <w:t>替加环</w:t>
      </w:r>
      <w:r>
        <w:rPr>
          <w:rFonts w:ascii="楷体" w:eastAsia="楷体" w:hint="eastAsia"/>
          <w:spacing w:val="-3"/>
        </w:rPr>
        <w:t>素</w:t>
      </w:r>
      <w:r>
        <w:rPr>
          <w:rFonts w:ascii="楷体" w:eastAsia="楷体" w:hint="eastAsia"/>
        </w:rPr>
        <w:t>；ICU</w:t>
      </w:r>
      <w:r>
        <w:rPr>
          <w:rFonts w:ascii="楷体" w:eastAsia="楷体" w:hint="eastAsia"/>
          <w:spacing w:val="-60"/>
        </w:rPr>
        <w:t> </w:t>
      </w:r>
      <w:r>
        <w:rPr>
          <w:rFonts w:ascii="楷体" w:eastAsia="楷体" w:hint="eastAsia"/>
        </w:rPr>
        <w:t>多重耐药菌感染；免疫功能；疗效；预后</w:t>
      </w:r>
    </w:p>
    <w:p>
      <w:pPr>
        <w:pStyle w:val="BodyText"/>
        <w:spacing w:line="297" w:lineRule="auto" w:before="74"/>
        <w:ind w:right="386" w:firstLine="480"/>
      </w:pPr>
      <w:r>
        <w:rPr/>
        <w:t>重症医学科（Intensive</w:t>
      </w:r>
      <w:r>
        <w:rPr>
          <w:spacing w:val="-52"/>
        </w:rPr>
        <w:t> </w:t>
      </w:r>
      <w:r>
        <w:rPr/>
        <w:t>care</w:t>
      </w:r>
      <w:r>
        <w:rPr>
          <w:spacing w:val="-51"/>
        </w:rPr>
        <w:t> </w:t>
      </w:r>
      <w:r>
        <w:rPr/>
        <w:t>unit，ICU）</w:t>
      </w:r>
      <w:r>
        <w:rPr>
          <w:spacing w:val="-3"/>
        </w:rPr>
        <w:t>老年患者由于自身身体素质较差，且合并多</w:t>
      </w:r>
      <w:r>
        <w:rPr/>
        <w:t>种疾病，易发生多重耐药菌感染。研究发现，ICU</w:t>
      </w:r>
      <w:r>
        <w:rPr>
          <w:spacing w:val="-8"/>
        </w:rPr>
        <w:t> 多重耐药菌感染患者发病率逐年上升， </w:t>
      </w:r>
      <w:r>
        <w:rPr>
          <w:spacing w:val="-20"/>
        </w:rPr>
        <w:t>已成为 </w:t>
      </w:r>
      <w:r>
        <w:rPr/>
        <w:t>ICU</w:t>
      </w:r>
      <w:r>
        <w:rPr>
          <w:spacing w:val="-10"/>
        </w:rPr>
        <w:t> 患者死亡的主要原因。替加环素</w:t>
      </w:r>
      <w:r>
        <w:rPr>
          <w:spacing w:val="-4"/>
        </w:rPr>
        <w:t>（tigecycline，TGC）</w:t>
      </w:r>
      <w:r>
        <w:rPr>
          <w:spacing w:val="-3"/>
        </w:rPr>
        <w:t>是一类新型抗菌药物，具</w:t>
      </w:r>
      <w:r>
        <w:rPr>
          <w:spacing w:val="-7"/>
        </w:rPr>
        <w:t>有抗菌谱广、抗耐药的优点，已在临床上推广应用。研究发现，</w:t>
      </w:r>
      <w:r>
        <w:rPr>
          <w:spacing w:val="-3"/>
        </w:rPr>
        <w:t>TGC</w:t>
      </w:r>
      <w:r>
        <w:rPr>
          <w:spacing w:val="-9"/>
        </w:rPr>
        <w:t> 治疗复杂性腹腔感染患</w:t>
      </w:r>
      <w:r>
        <w:rPr>
          <w:spacing w:val="-11"/>
        </w:rPr>
        <w:t>者疗效显著，可降低外周血 </w:t>
      </w:r>
      <w:r>
        <w:rPr/>
        <w:t>IgA</w:t>
      </w:r>
      <w:r>
        <w:rPr>
          <w:spacing w:val="-24"/>
        </w:rPr>
        <w:t> 水平，提高 </w:t>
      </w:r>
      <w:r>
        <w:rPr/>
        <w:t>IgM</w:t>
      </w:r>
      <w:r>
        <w:rPr>
          <w:spacing w:val="-40"/>
        </w:rPr>
        <w:t> 和 </w:t>
      </w:r>
      <w:r>
        <w:rPr/>
        <w:t>IgG</w:t>
      </w:r>
      <w:r>
        <w:rPr>
          <w:spacing w:val="-20"/>
        </w:rPr>
        <w:t> 水平。本研究以 </w:t>
      </w:r>
      <w:r>
        <w:rPr/>
        <w:t>ICU</w:t>
      </w:r>
      <w:r>
        <w:rPr>
          <w:spacing w:val="-10"/>
        </w:rPr>
        <w:t> 多重耐药菌感染患者为研究对象，观察 </w:t>
      </w:r>
      <w:r>
        <w:rPr/>
        <w:t>TGC</w:t>
      </w:r>
      <w:r>
        <w:rPr>
          <w:spacing w:val="-12"/>
        </w:rPr>
        <w:t> 对其免疫功能的影响并分析疗效，以期指导临床用药，现报道如</w:t>
      </w:r>
      <w:r>
        <w:rPr/>
        <w:t>下。</w:t>
      </w:r>
    </w:p>
    <w:p>
      <w:pPr>
        <w:pStyle w:val="Heading3"/>
        <w:numPr>
          <w:ilvl w:val="0"/>
          <w:numId w:val="3"/>
        </w:numPr>
        <w:tabs>
          <w:tab w:pos="1001" w:val="left" w:leader="none"/>
        </w:tabs>
        <w:spacing w:line="298" w:lineRule="exact" w:before="0" w:after="0"/>
        <w:ind w:left="1000" w:right="0" w:hanging="244"/>
        <w:jc w:val="left"/>
      </w:pPr>
      <w:r>
        <w:rPr/>
        <w:t>资料与方法</w:t>
      </w:r>
    </w:p>
    <w:p>
      <w:pPr>
        <w:pStyle w:val="ListParagraph"/>
        <w:numPr>
          <w:ilvl w:val="1"/>
          <w:numId w:val="3"/>
        </w:numPr>
        <w:tabs>
          <w:tab w:pos="1178" w:val="left" w:leader="none"/>
          <w:tab w:pos="2377" w:val="left" w:leader="none"/>
        </w:tabs>
        <w:spacing w:line="297" w:lineRule="auto" w:before="72" w:after="0"/>
        <w:ind w:left="277" w:right="266" w:firstLine="480"/>
        <w:jc w:val="left"/>
        <w:rPr>
          <w:sz w:val="24"/>
        </w:rPr>
      </w:pPr>
      <w:r>
        <w:rPr>
          <w:sz w:val="24"/>
        </w:rPr>
        <w:t>临床资料</w:t>
        <w:tab/>
        <w:t>回顾性分析我院</w:t>
      </w:r>
      <w:r>
        <w:rPr>
          <w:spacing w:val="-60"/>
          <w:sz w:val="24"/>
        </w:rPr>
        <w:t> </w:t>
      </w:r>
      <w:r>
        <w:rPr>
          <w:sz w:val="24"/>
        </w:rPr>
        <w:t>2016</w:t>
      </w:r>
      <w:r>
        <w:rPr>
          <w:spacing w:val="-60"/>
          <w:sz w:val="24"/>
        </w:rPr>
        <w:t> </w:t>
      </w:r>
      <w:r>
        <w:rPr>
          <w:sz w:val="24"/>
        </w:rPr>
        <w:t>年</w:t>
      </w:r>
      <w:r>
        <w:rPr>
          <w:spacing w:val="-60"/>
          <w:sz w:val="24"/>
        </w:rPr>
        <w:t> </w:t>
      </w:r>
      <w:r>
        <w:rPr>
          <w:sz w:val="24"/>
        </w:rPr>
        <w:t>5</w:t>
      </w:r>
      <w:r>
        <w:rPr>
          <w:spacing w:val="-60"/>
          <w:sz w:val="24"/>
        </w:rPr>
        <w:t> </w:t>
      </w:r>
      <w:r>
        <w:rPr>
          <w:sz w:val="24"/>
        </w:rPr>
        <w:t>月–2017</w:t>
      </w:r>
      <w:r>
        <w:rPr>
          <w:spacing w:val="-60"/>
          <w:sz w:val="24"/>
        </w:rPr>
        <w:t> </w:t>
      </w:r>
      <w:r>
        <w:rPr>
          <w:sz w:val="24"/>
        </w:rPr>
        <w:t>年</w:t>
      </w:r>
      <w:r>
        <w:rPr>
          <w:spacing w:val="-60"/>
          <w:sz w:val="24"/>
        </w:rPr>
        <w:t> </w:t>
      </w:r>
      <w:r>
        <w:rPr>
          <w:sz w:val="24"/>
        </w:rPr>
        <w:t>10</w:t>
      </w:r>
      <w:r>
        <w:rPr>
          <w:spacing w:val="-60"/>
          <w:sz w:val="24"/>
        </w:rPr>
        <w:t> </w:t>
      </w:r>
      <w:r>
        <w:rPr>
          <w:sz w:val="24"/>
        </w:rPr>
        <w:t>月收治的</w:t>
      </w:r>
      <w:r>
        <w:rPr>
          <w:spacing w:val="-60"/>
          <w:sz w:val="24"/>
        </w:rPr>
        <w:t> </w:t>
      </w:r>
      <w:r>
        <w:rPr>
          <w:sz w:val="24"/>
        </w:rPr>
        <w:t>60</w:t>
      </w:r>
      <w:r>
        <w:rPr>
          <w:spacing w:val="-60"/>
          <w:sz w:val="24"/>
        </w:rPr>
        <w:t> </w:t>
      </w:r>
      <w:r>
        <w:rPr>
          <w:sz w:val="24"/>
        </w:rPr>
        <w:t>例</w:t>
      </w:r>
      <w:r>
        <w:rPr>
          <w:spacing w:val="-60"/>
          <w:sz w:val="24"/>
        </w:rPr>
        <w:t> </w:t>
      </w:r>
      <w:r>
        <w:rPr>
          <w:sz w:val="24"/>
        </w:rPr>
        <w:t>ICU</w:t>
      </w:r>
      <w:r>
        <w:rPr>
          <w:spacing w:val="-60"/>
          <w:sz w:val="24"/>
        </w:rPr>
        <w:t> </w:t>
      </w:r>
      <w:r>
        <w:rPr>
          <w:sz w:val="24"/>
        </w:rPr>
        <w:t>多重耐药菌感染患者临床资料，纳入标准：（1）符合《多重耐药菌医院感染预防与控制中国专家共识</w:t>
      </w:r>
      <w:r>
        <w:rPr>
          <w:spacing w:val="-60"/>
          <w:sz w:val="24"/>
        </w:rPr>
        <w:t> </w:t>
      </w:r>
      <w:r>
        <w:rPr>
          <w:sz w:val="24"/>
        </w:rPr>
        <w:t>2015》多重耐药的相关标准，并经多次病原菌标本结果及影像学确诊，并具有典型的临床症状和体征</w:t>
      </w:r>
      <w:r>
        <w:rPr>
          <w:spacing w:val="-3"/>
          <w:sz w:val="24"/>
        </w:rPr>
        <w:t>；（2）</w:t>
      </w:r>
      <w:r>
        <w:rPr>
          <w:sz w:val="24"/>
        </w:rPr>
        <w:t>均入住</w:t>
      </w:r>
      <w:r>
        <w:rPr>
          <w:spacing w:val="-58"/>
          <w:sz w:val="24"/>
        </w:rPr>
        <w:t> </w:t>
      </w:r>
      <w:r>
        <w:rPr>
          <w:spacing w:val="-3"/>
          <w:sz w:val="24"/>
        </w:rPr>
        <w:t>ICU；（3）</w:t>
      </w:r>
      <w:r>
        <w:rPr>
          <w:sz w:val="24"/>
        </w:rPr>
        <w:t>年龄大于</w:t>
      </w:r>
      <w:r>
        <w:rPr>
          <w:spacing w:val="-58"/>
          <w:sz w:val="24"/>
        </w:rPr>
        <w:t> </w:t>
      </w:r>
      <w:r>
        <w:rPr>
          <w:sz w:val="24"/>
        </w:rPr>
        <w:t>70</w:t>
      </w:r>
      <w:r>
        <w:rPr>
          <w:spacing w:val="-57"/>
          <w:sz w:val="24"/>
        </w:rPr>
        <w:t> </w:t>
      </w:r>
      <w:r>
        <w:rPr>
          <w:sz w:val="24"/>
        </w:rPr>
        <w:t>岁</w:t>
      </w:r>
      <w:r>
        <w:rPr>
          <w:spacing w:val="-4"/>
          <w:sz w:val="24"/>
        </w:rPr>
        <w:t>；（4）</w:t>
      </w:r>
      <w:r>
        <w:rPr>
          <w:sz w:val="24"/>
        </w:rPr>
        <w:t>均为呼吸道感染</w:t>
      </w:r>
      <w:r>
        <w:rPr>
          <w:spacing w:val="-5"/>
          <w:sz w:val="24"/>
        </w:rPr>
        <w:t>，</w:t>
      </w:r>
      <w:r>
        <w:rPr>
          <w:sz w:val="24"/>
        </w:rPr>
        <w:t>标本均为痰液标本</w:t>
      </w:r>
      <w:r>
        <w:rPr>
          <w:spacing w:val="-13"/>
          <w:sz w:val="24"/>
        </w:rPr>
        <w:t>；（5）</w:t>
      </w:r>
      <w:r>
        <w:rPr>
          <w:sz w:val="24"/>
        </w:rPr>
        <w:t>均为感染导致死亡</w:t>
      </w:r>
      <w:r>
        <w:rPr>
          <w:spacing w:val="-17"/>
          <w:sz w:val="24"/>
        </w:rPr>
        <w:t>。</w:t>
      </w:r>
      <w:r>
        <w:rPr>
          <w:sz w:val="24"/>
        </w:rPr>
        <w:t>依据治疗方法分为研究组和对照组</w:t>
      </w:r>
      <w:r>
        <w:rPr>
          <w:spacing w:val="-17"/>
          <w:sz w:val="24"/>
        </w:rPr>
        <w:t>，</w:t>
      </w:r>
      <w:r>
        <w:rPr>
          <w:sz w:val="24"/>
        </w:rPr>
        <w:t>各</w:t>
      </w:r>
      <w:r>
        <w:rPr>
          <w:spacing w:val="-59"/>
          <w:sz w:val="24"/>
        </w:rPr>
        <w:t> </w:t>
      </w:r>
      <w:r>
        <w:rPr>
          <w:sz w:val="24"/>
        </w:rPr>
        <w:t>30</w:t>
      </w:r>
      <w:r>
        <w:rPr>
          <w:spacing w:val="-60"/>
          <w:sz w:val="24"/>
        </w:rPr>
        <w:t> </w:t>
      </w:r>
      <w:r>
        <w:rPr>
          <w:sz w:val="24"/>
        </w:rPr>
        <w:t>例</w:t>
      </w:r>
      <w:r>
        <w:rPr>
          <w:spacing w:val="-17"/>
          <w:sz w:val="24"/>
        </w:rPr>
        <w:t>。</w:t>
      </w:r>
      <w:r>
        <w:rPr>
          <w:sz w:val="24"/>
        </w:rPr>
        <w:t>研究组男</w:t>
      </w:r>
      <w:r>
        <w:rPr>
          <w:spacing w:val="-60"/>
          <w:sz w:val="24"/>
        </w:rPr>
        <w:t> </w:t>
      </w:r>
      <w:r>
        <w:rPr>
          <w:sz w:val="24"/>
        </w:rPr>
        <w:t>17</w:t>
      </w:r>
      <w:r>
        <w:rPr>
          <w:spacing w:val="-60"/>
          <w:sz w:val="24"/>
        </w:rPr>
        <w:t> </w:t>
      </w:r>
      <w:r>
        <w:rPr>
          <w:sz w:val="24"/>
        </w:rPr>
        <w:t>例</w:t>
      </w:r>
      <w:r>
        <w:rPr>
          <w:spacing w:val="-8"/>
          <w:sz w:val="24"/>
        </w:rPr>
        <w:t>，</w:t>
      </w:r>
      <w:r>
        <w:rPr>
          <w:sz w:val="24"/>
        </w:rPr>
        <w:t>女</w:t>
      </w:r>
      <w:r>
        <w:rPr>
          <w:spacing w:val="-61"/>
          <w:sz w:val="24"/>
        </w:rPr>
        <w:t> </w:t>
      </w:r>
      <w:r>
        <w:rPr>
          <w:sz w:val="24"/>
        </w:rPr>
        <w:t>13</w:t>
      </w:r>
      <w:r>
        <w:rPr>
          <w:spacing w:val="-60"/>
          <w:sz w:val="24"/>
        </w:rPr>
        <w:t> </w:t>
      </w:r>
      <w:r>
        <w:rPr>
          <w:sz w:val="24"/>
        </w:rPr>
        <w:t>例</w:t>
      </w:r>
      <w:r>
        <w:rPr>
          <w:spacing w:val="-8"/>
          <w:sz w:val="24"/>
        </w:rPr>
        <w:t>，</w:t>
      </w:r>
      <w:r>
        <w:rPr>
          <w:sz w:val="24"/>
        </w:rPr>
        <w:t>年龄</w:t>
      </w:r>
      <w:r>
        <w:rPr>
          <w:spacing w:val="-60"/>
          <w:sz w:val="24"/>
        </w:rPr>
        <w:t> </w:t>
      </w:r>
      <w:r>
        <w:rPr>
          <w:sz w:val="24"/>
        </w:rPr>
        <w:t>70～85</w:t>
      </w:r>
      <w:r>
        <w:rPr>
          <w:spacing w:val="-59"/>
          <w:sz w:val="24"/>
        </w:rPr>
        <w:t> </w:t>
      </w:r>
      <w:r>
        <w:rPr>
          <w:sz w:val="24"/>
        </w:rPr>
        <w:t>岁</w:t>
      </w:r>
      <w:r>
        <w:rPr>
          <w:spacing w:val="-8"/>
          <w:sz w:val="24"/>
        </w:rPr>
        <w:t>，</w:t>
      </w:r>
      <w:r>
        <w:rPr>
          <w:sz w:val="24"/>
        </w:rPr>
        <w:t>平均年</w:t>
      </w:r>
      <w:r>
        <w:rPr>
          <w:spacing w:val="-8"/>
          <w:sz w:val="24"/>
        </w:rPr>
        <w:t>龄</w:t>
      </w:r>
      <w:r>
        <w:rPr>
          <w:sz w:val="24"/>
        </w:rPr>
        <w:t>（75.36±7.56）岁</w:t>
      </w:r>
      <w:r>
        <w:rPr>
          <w:spacing w:val="-8"/>
          <w:sz w:val="24"/>
        </w:rPr>
        <w:t>；</w:t>
      </w:r>
      <w:r>
        <w:rPr>
          <w:sz w:val="24"/>
        </w:rPr>
        <w:t>对照组男</w:t>
      </w:r>
      <w:r>
        <w:rPr>
          <w:spacing w:val="-60"/>
          <w:sz w:val="24"/>
        </w:rPr>
        <w:t> </w:t>
      </w:r>
      <w:r>
        <w:rPr>
          <w:sz w:val="24"/>
        </w:rPr>
        <w:t>16</w:t>
      </w:r>
      <w:r>
        <w:rPr>
          <w:spacing w:val="-60"/>
          <w:sz w:val="24"/>
        </w:rPr>
        <w:t> </w:t>
      </w:r>
      <w:r>
        <w:rPr>
          <w:sz w:val="24"/>
        </w:rPr>
        <w:t>例</w:t>
      </w:r>
      <w:r>
        <w:rPr>
          <w:spacing w:val="-8"/>
          <w:sz w:val="24"/>
        </w:rPr>
        <w:t>，</w:t>
      </w:r>
      <w:r>
        <w:rPr>
          <w:sz w:val="24"/>
        </w:rPr>
        <w:t>女</w:t>
      </w:r>
      <w:r>
        <w:rPr>
          <w:spacing w:val="-60"/>
          <w:sz w:val="24"/>
        </w:rPr>
        <w:t> </w:t>
      </w:r>
      <w:r>
        <w:rPr>
          <w:sz w:val="24"/>
        </w:rPr>
        <w:t>14 例，年龄</w:t>
      </w:r>
      <w:r>
        <w:rPr>
          <w:spacing w:val="-61"/>
          <w:sz w:val="24"/>
        </w:rPr>
        <w:t> </w:t>
      </w:r>
      <w:r>
        <w:rPr>
          <w:sz w:val="24"/>
        </w:rPr>
        <w:t>71~84</w:t>
      </w:r>
      <w:r>
        <w:rPr>
          <w:spacing w:val="-60"/>
          <w:sz w:val="24"/>
        </w:rPr>
        <w:t> </w:t>
      </w:r>
      <w:r>
        <w:rPr>
          <w:sz w:val="24"/>
        </w:rPr>
        <w:t>岁，平均年龄（74.91±7.32）岁。2</w:t>
      </w:r>
      <w:r>
        <w:rPr>
          <w:spacing w:val="-60"/>
          <w:sz w:val="24"/>
        </w:rPr>
        <w:t> </w:t>
      </w:r>
      <w:r>
        <w:rPr>
          <w:sz w:val="24"/>
        </w:rPr>
        <w:t>组患者性别、年龄等一般资料比较差异无显著</w:t>
      </w:r>
      <w:r>
        <w:rPr>
          <w:spacing w:val="-8"/>
          <w:sz w:val="24"/>
        </w:rPr>
        <w:t>性</w:t>
      </w:r>
      <w:r>
        <w:rPr>
          <w:sz w:val="24"/>
        </w:rPr>
        <w:t>（P&lt;0.05）</w:t>
      </w:r>
      <w:r>
        <w:rPr>
          <w:spacing w:val="-8"/>
          <w:sz w:val="24"/>
        </w:rPr>
        <w:t>。</w:t>
      </w:r>
      <w:r>
        <w:rPr>
          <w:sz w:val="24"/>
        </w:rPr>
        <w:t>根据预后将患者分为</w:t>
      </w:r>
      <w:r>
        <w:rPr>
          <w:spacing w:val="-62"/>
          <w:sz w:val="24"/>
        </w:rPr>
        <w:t> </w:t>
      </w:r>
      <w:r>
        <w:rPr>
          <w:sz w:val="24"/>
        </w:rPr>
        <w:t>2</w:t>
      </w:r>
      <w:r>
        <w:rPr>
          <w:spacing w:val="-61"/>
          <w:sz w:val="24"/>
        </w:rPr>
        <w:t> </w:t>
      </w:r>
      <w:r>
        <w:rPr>
          <w:sz w:val="24"/>
        </w:rPr>
        <w:t>组</w:t>
      </w:r>
      <w:r>
        <w:rPr>
          <w:spacing w:val="-8"/>
          <w:sz w:val="24"/>
        </w:rPr>
        <w:t>，</w:t>
      </w:r>
      <w:r>
        <w:rPr>
          <w:sz w:val="24"/>
        </w:rPr>
        <w:t>死亡组和存活组</w:t>
      </w:r>
      <w:r>
        <w:rPr>
          <w:spacing w:val="-8"/>
          <w:sz w:val="24"/>
        </w:rPr>
        <w:t>。</w:t>
      </w:r>
      <w:r>
        <w:rPr>
          <w:sz w:val="24"/>
        </w:rPr>
        <w:t>死亡组</w:t>
      </w:r>
      <w:r>
        <w:rPr>
          <w:spacing w:val="-61"/>
          <w:sz w:val="24"/>
        </w:rPr>
        <w:t> </w:t>
      </w:r>
      <w:r>
        <w:rPr>
          <w:sz w:val="24"/>
        </w:rPr>
        <w:t>17</w:t>
      </w:r>
      <w:r>
        <w:rPr>
          <w:spacing w:val="-61"/>
          <w:sz w:val="24"/>
        </w:rPr>
        <w:t> </w:t>
      </w:r>
      <w:r>
        <w:rPr>
          <w:sz w:val="24"/>
        </w:rPr>
        <w:t>例</w:t>
      </w:r>
      <w:r>
        <w:rPr>
          <w:spacing w:val="-8"/>
          <w:sz w:val="24"/>
        </w:rPr>
        <w:t>，</w:t>
      </w:r>
      <w:r>
        <w:rPr>
          <w:sz w:val="24"/>
        </w:rPr>
        <w:t>男</w:t>
      </w:r>
      <w:r>
        <w:rPr>
          <w:spacing w:val="-61"/>
          <w:sz w:val="24"/>
        </w:rPr>
        <w:t> </w:t>
      </w:r>
      <w:r>
        <w:rPr>
          <w:sz w:val="24"/>
        </w:rPr>
        <w:t>10 例，女</w:t>
      </w:r>
      <w:r>
        <w:rPr>
          <w:spacing w:val="-61"/>
          <w:sz w:val="24"/>
        </w:rPr>
        <w:t> </w:t>
      </w:r>
      <w:r>
        <w:rPr>
          <w:sz w:val="24"/>
        </w:rPr>
        <w:t>7</w:t>
      </w:r>
      <w:r>
        <w:rPr>
          <w:spacing w:val="-60"/>
          <w:sz w:val="24"/>
        </w:rPr>
        <w:t> </w:t>
      </w:r>
      <w:r>
        <w:rPr>
          <w:sz w:val="24"/>
        </w:rPr>
        <w:t>例，存活组</w:t>
      </w:r>
      <w:r>
        <w:rPr>
          <w:spacing w:val="-60"/>
          <w:sz w:val="24"/>
        </w:rPr>
        <w:t> </w:t>
      </w:r>
      <w:r>
        <w:rPr>
          <w:sz w:val="24"/>
        </w:rPr>
        <w:t>43</w:t>
      </w:r>
      <w:r>
        <w:rPr>
          <w:spacing w:val="-60"/>
          <w:sz w:val="24"/>
        </w:rPr>
        <w:t> </w:t>
      </w:r>
      <w:r>
        <w:rPr>
          <w:sz w:val="24"/>
        </w:rPr>
        <w:t>例，男</w:t>
      </w:r>
      <w:r>
        <w:rPr>
          <w:spacing w:val="-60"/>
          <w:sz w:val="24"/>
        </w:rPr>
        <w:t> </w:t>
      </w:r>
      <w:r>
        <w:rPr>
          <w:sz w:val="24"/>
        </w:rPr>
        <w:t>23</w:t>
      </w:r>
      <w:r>
        <w:rPr>
          <w:spacing w:val="-60"/>
          <w:sz w:val="24"/>
        </w:rPr>
        <w:t> </w:t>
      </w:r>
      <w:r>
        <w:rPr>
          <w:sz w:val="24"/>
        </w:rPr>
        <w:t>例，女</w:t>
      </w:r>
      <w:r>
        <w:rPr>
          <w:spacing w:val="-60"/>
          <w:sz w:val="24"/>
        </w:rPr>
        <w:t> </w:t>
      </w:r>
      <w:r>
        <w:rPr>
          <w:sz w:val="24"/>
        </w:rPr>
        <w:t>20</w:t>
      </w:r>
      <w:r>
        <w:rPr>
          <w:spacing w:val="-60"/>
          <w:sz w:val="24"/>
        </w:rPr>
        <w:t> </w:t>
      </w:r>
      <w:r>
        <w:rPr>
          <w:sz w:val="24"/>
        </w:rPr>
        <w:t>例，2</w:t>
      </w:r>
      <w:r>
        <w:rPr>
          <w:spacing w:val="-60"/>
          <w:sz w:val="24"/>
        </w:rPr>
        <w:t> </w:t>
      </w:r>
      <w:r>
        <w:rPr>
          <w:sz w:val="24"/>
        </w:rPr>
        <w:t>组患者性别无显著性，具有可比性。排除标准</w:t>
      </w:r>
      <w:r>
        <w:rPr>
          <w:spacing w:val="-10"/>
          <w:sz w:val="24"/>
        </w:rPr>
        <w:t>：（1）</w:t>
      </w:r>
      <w:r>
        <w:rPr>
          <w:sz w:val="24"/>
        </w:rPr>
        <w:t>对本</w:t>
      </w:r>
      <w:r>
        <w:rPr>
          <w:spacing w:val="-3"/>
          <w:sz w:val="24"/>
        </w:rPr>
        <w:t>次</w:t>
      </w:r>
      <w:r>
        <w:rPr>
          <w:sz w:val="24"/>
        </w:rPr>
        <w:t>药物头孢哌酮舒巴坦和</w:t>
      </w:r>
      <w:r>
        <w:rPr>
          <w:spacing w:val="-57"/>
          <w:sz w:val="24"/>
        </w:rPr>
        <w:t> </w:t>
      </w:r>
      <w:r>
        <w:rPr>
          <w:sz w:val="24"/>
        </w:rPr>
        <w:t>TGC</w:t>
      </w:r>
      <w:r>
        <w:rPr>
          <w:spacing w:val="-58"/>
          <w:sz w:val="24"/>
        </w:rPr>
        <w:t> </w:t>
      </w:r>
      <w:r>
        <w:rPr>
          <w:sz w:val="24"/>
        </w:rPr>
        <w:t>过敏者</w:t>
      </w:r>
      <w:r>
        <w:rPr>
          <w:spacing w:val="-10"/>
          <w:sz w:val="24"/>
        </w:rPr>
        <w:t>；（2）</w:t>
      </w:r>
      <w:r>
        <w:rPr>
          <w:sz w:val="24"/>
        </w:rPr>
        <w:t>肝肾器官严重病变者</w:t>
      </w:r>
      <w:r>
        <w:rPr>
          <w:spacing w:val="-10"/>
          <w:sz w:val="24"/>
        </w:rPr>
        <w:t>；（3） </w:t>
      </w:r>
      <w:r>
        <w:rPr>
          <w:sz w:val="24"/>
        </w:rPr>
        <w:t>复合菌多重感染患者；（4）合并基础性疾病患者；（5）调整免疫功能的药物患者；（6） 合并糖尿病、低蛋白质血症、电解质紊乱者。</w:t>
      </w:r>
    </w:p>
    <w:p>
      <w:pPr>
        <w:pStyle w:val="ListParagraph"/>
        <w:numPr>
          <w:ilvl w:val="1"/>
          <w:numId w:val="3"/>
        </w:numPr>
        <w:tabs>
          <w:tab w:pos="1238" w:val="left" w:leader="none"/>
          <w:tab w:pos="2437" w:val="left" w:leader="none"/>
        </w:tabs>
        <w:spacing w:line="292" w:lineRule="exact" w:before="0" w:after="0"/>
        <w:ind w:left="1237" w:right="0" w:hanging="481"/>
        <w:jc w:val="left"/>
        <w:rPr>
          <w:sz w:val="24"/>
        </w:rPr>
      </w:pPr>
      <w:r>
        <w:rPr>
          <w:sz w:val="24"/>
        </w:rPr>
        <w:t>研究方法</w:t>
        <w:tab/>
        <w:t>对照组给予头孢哌酮舒巴</w:t>
      </w:r>
      <w:r>
        <w:rPr>
          <w:spacing w:val="-82"/>
          <w:sz w:val="24"/>
        </w:rPr>
        <w:t>坦</w:t>
      </w:r>
      <w:r>
        <w:rPr>
          <w:sz w:val="24"/>
        </w:rPr>
        <w:t>（辉瑞制药有限公司</w:t>
      </w:r>
      <w:r>
        <w:rPr>
          <w:spacing w:val="-82"/>
          <w:sz w:val="24"/>
        </w:rPr>
        <w:t>，</w:t>
      </w:r>
      <w:r>
        <w:rPr>
          <w:sz w:val="24"/>
        </w:rPr>
        <w:t>国药准字</w:t>
      </w:r>
      <w:r>
        <w:rPr>
          <w:spacing w:val="-59"/>
          <w:sz w:val="24"/>
        </w:rPr>
        <w:t> </w:t>
      </w:r>
      <w:r>
        <w:rPr>
          <w:sz w:val="24"/>
        </w:rPr>
        <w:t>H20020597，</w:t>
      </w:r>
    </w:p>
    <w:p>
      <w:pPr>
        <w:pStyle w:val="BodyText"/>
        <w:spacing w:line="297" w:lineRule="auto" w:before="74"/>
        <w:ind w:right="269"/>
      </w:pPr>
      <w:r>
        <w:rPr/>
        <w:t>1.5 g/瓶，生产批号：T17348）</w:t>
      </w:r>
      <w:r>
        <w:rPr>
          <w:spacing w:val="-10"/>
        </w:rPr>
        <w:t>治疗，每次 </w:t>
      </w:r>
      <w:r>
        <w:rPr/>
        <w:t>3 g，</w:t>
      </w:r>
      <w:r>
        <w:rPr>
          <w:spacing w:val="-30"/>
        </w:rPr>
        <w:t>用 </w:t>
      </w:r>
      <w:r>
        <w:rPr/>
        <w:t>250 mL</w:t>
      </w:r>
      <w:r>
        <w:rPr>
          <w:spacing w:val="-9"/>
        </w:rPr>
        <w:t> 生理盐水将其溶解，静脉滴注， </w:t>
      </w:r>
      <w:r>
        <w:rPr/>
        <w:t>tid</w:t>
      </w:r>
      <w:r>
        <w:rPr>
          <w:spacing w:val="-4"/>
        </w:rPr>
        <w:t>。研究组给予头孢哌酮舒巴坦联合 </w:t>
      </w:r>
      <w:r>
        <w:rPr/>
        <w:t>TGC（江苏奥赛康药业股份有限公司，国药准字国药</w:t>
      </w:r>
      <w:r>
        <w:rPr>
          <w:spacing w:val="-21"/>
        </w:rPr>
        <w:t>准字 </w:t>
      </w:r>
      <w:r>
        <w:rPr/>
        <w:t>H20133167，50 mg/瓶，生产批号：20161221）治疗。头孢哌酮舒巴坦用法如对照组， TGC</w:t>
      </w:r>
      <w:r>
        <w:rPr>
          <w:spacing w:val="-21"/>
        </w:rPr>
        <w:t> 首次剂量 </w:t>
      </w:r>
      <w:r>
        <w:rPr/>
        <w:t>100 mg·d-1，</w:t>
      </w:r>
      <w:r>
        <w:rPr>
          <w:spacing w:val="-12"/>
        </w:rPr>
        <w:t>维持剂量 </w:t>
      </w:r>
      <w:r>
        <w:rPr/>
        <w:t>50 mg·d-1，</w:t>
      </w:r>
      <w:r>
        <w:rPr>
          <w:spacing w:val="-20"/>
        </w:rPr>
        <w:t>使用 </w:t>
      </w:r>
      <w:r>
        <w:rPr/>
        <w:t>250 mL</w:t>
      </w:r>
      <w:r>
        <w:rPr>
          <w:spacing w:val="-8"/>
        </w:rPr>
        <w:t> 生理盐水将其溶解，静脉滴注。2</w:t>
      </w:r>
      <w:r>
        <w:rPr>
          <w:spacing w:val="-15"/>
        </w:rPr>
        <w:t> 组治疗时间均为 </w:t>
      </w:r>
      <w:r>
        <w:rPr/>
        <w:t>14 d。</w:t>
      </w:r>
    </w:p>
    <w:p>
      <w:pPr>
        <w:pStyle w:val="ListParagraph"/>
        <w:numPr>
          <w:ilvl w:val="1"/>
          <w:numId w:val="4"/>
        </w:numPr>
        <w:tabs>
          <w:tab w:pos="1238" w:val="left" w:leader="none"/>
          <w:tab w:pos="2437" w:val="left" w:leader="none"/>
        </w:tabs>
        <w:spacing w:line="297" w:lineRule="auto" w:before="0" w:after="0"/>
        <w:ind w:left="277" w:right="388" w:firstLine="480"/>
        <w:jc w:val="left"/>
        <w:rPr>
          <w:sz w:val="24"/>
        </w:rPr>
      </w:pPr>
      <w:r>
        <w:rPr>
          <w:sz w:val="24"/>
        </w:rPr>
        <w:t>观察指标</w:t>
        <w:tab/>
        <w:t>(1)免疫功能指标的检测</w:t>
      </w:r>
      <w:r>
        <w:rPr>
          <w:spacing w:val="-44"/>
          <w:sz w:val="24"/>
        </w:rPr>
        <w:t>：</w:t>
      </w:r>
      <w:r>
        <w:rPr>
          <w:sz w:val="24"/>
        </w:rPr>
        <w:t>分别于治疗前及治疗</w:t>
      </w:r>
      <w:r>
        <w:rPr>
          <w:spacing w:val="-59"/>
          <w:sz w:val="24"/>
        </w:rPr>
        <w:t> </w:t>
      </w:r>
      <w:r>
        <w:rPr>
          <w:sz w:val="24"/>
        </w:rPr>
        <w:t>14</w:t>
      </w:r>
      <w:r>
        <w:rPr>
          <w:spacing w:val="-60"/>
          <w:sz w:val="24"/>
        </w:rPr>
        <w:t> </w:t>
      </w:r>
      <w:r>
        <w:rPr>
          <w:sz w:val="24"/>
        </w:rPr>
        <w:t>d</w:t>
      </w:r>
      <w:r>
        <w:rPr>
          <w:spacing w:val="-60"/>
          <w:sz w:val="24"/>
        </w:rPr>
        <w:t> </w:t>
      </w:r>
      <w:r>
        <w:rPr>
          <w:sz w:val="24"/>
        </w:rPr>
        <w:t>后采集两组患者</w:t>
      </w:r>
      <w:r>
        <w:rPr>
          <w:spacing w:val="-16"/>
          <w:sz w:val="24"/>
        </w:rPr>
        <w:t>空</w:t>
      </w:r>
      <w:r>
        <w:rPr>
          <w:sz w:val="24"/>
        </w:rPr>
        <w:t>腹静脉血</w:t>
      </w:r>
      <w:r>
        <w:rPr>
          <w:spacing w:val="-61"/>
          <w:sz w:val="24"/>
        </w:rPr>
        <w:t> </w:t>
      </w:r>
      <w:r>
        <w:rPr>
          <w:sz w:val="24"/>
        </w:rPr>
        <w:t>2 mL，3 000 r·min-1</w:t>
      </w:r>
      <w:r>
        <w:rPr>
          <w:spacing w:val="-60"/>
          <w:sz w:val="24"/>
        </w:rPr>
        <w:t> </w:t>
      </w:r>
      <w:r>
        <w:rPr>
          <w:sz w:val="24"/>
        </w:rPr>
        <w:t>离心</w:t>
      </w:r>
      <w:r>
        <w:rPr>
          <w:spacing w:val="-60"/>
          <w:sz w:val="24"/>
        </w:rPr>
        <w:t> </w:t>
      </w:r>
      <w:r>
        <w:rPr>
          <w:sz w:val="24"/>
        </w:rPr>
        <w:t>5 min</w:t>
      </w:r>
      <w:r>
        <w:rPr>
          <w:spacing w:val="-60"/>
          <w:sz w:val="24"/>
        </w:rPr>
        <w:t> </w:t>
      </w:r>
      <w:r>
        <w:rPr>
          <w:sz w:val="24"/>
        </w:rPr>
        <w:t>后取上层血清，运用免疫浊度法检测血清免疫球蛋白</w:t>
      </w:r>
      <w:r>
        <w:rPr>
          <w:spacing w:val="-61"/>
          <w:sz w:val="24"/>
        </w:rPr>
        <w:t> </w:t>
      </w:r>
      <w:r>
        <w:rPr>
          <w:sz w:val="24"/>
        </w:rPr>
        <w:t>A（Immunoglobulin A，IgA）、免疫球蛋白</w:t>
      </w:r>
      <w:r>
        <w:rPr>
          <w:spacing w:val="-60"/>
          <w:sz w:val="24"/>
        </w:rPr>
        <w:t> </w:t>
      </w:r>
      <w:r>
        <w:rPr>
          <w:sz w:val="24"/>
        </w:rPr>
        <w:t>G（Immunoglobulin G，IgG）和免疫球蛋白</w:t>
      </w:r>
      <w:r>
        <w:rPr>
          <w:spacing w:val="-61"/>
          <w:sz w:val="24"/>
        </w:rPr>
        <w:t> </w:t>
      </w:r>
      <w:r>
        <w:rPr>
          <w:sz w:val="24"/>
        </w:rPr>
        <w:t>M（Immunoglobulin M，IgM）水平，以上试剂盒均购自麦莎生物有限公司。采集</w:t>
      </w:r>
      <w:r>
        <w:rPr>
          <w:spacing w:val="-59"/>
          <w:sz w:val="24"/>
        </w:rPr>
        <w:t> </w:t>
      </w:r>
      <w:r>
        <w:rPr>
          <w:sz w:val="24"/>
        </w:rPr>
        <w:t>2</w:t>
      </w:r>
      <w:r>
        <w:rPr>
          <w:spacing w:val="-60"/>
          <w:sz w:val="24"/>
        </w:rPr>
        <w:t> </w:t>
      </w:r>
      <w:r>
        <w:rPr>
          <w:sz w:val="24"/>
        </w:rPr>
        <w:t>组患者空腹静脉血</w:t>
      </w:r>
      <w:r>
        <w:rPr>
          <w:spacing w:val="-61"/>
          <w:sz w:val="24"/>
        </w:rPr>
        <w:t> </w:t>
      </w:r>
      <w:r>
        <w:rPr>
          <w:sz w:val="24"/>
        </w:rPr>
        <w:t>1 mL，使用流式细胞仪（购自杭州浅海科技有限责任公司）检测自然杀伤细胞（natural</w:t>
      </w:r>
      <w:r>
        <w:rPr>
          <w:spacing w:val="-51"/>
          <w:sz w:val="24"/>
        </w:rPr>
        <w:t> </w:t>
      </w:r>
      <w:r>
        <w:rPr>
          <w:sz w:val="24"/>
        </w:rPr>
        <w:t>killer</w:t>
      </w:r>
      <w:r>
        <w:rPr>
          <w:spacing w:val="-53"/>
          <w:sz w:val="24"/>
        </w:rPr>
        <w:t> </w:t>
      </w:r>
      <w:r>
        <w:rPr>
          <w:sz w:val="24"/>
        </w:rPr>
        <w:t>cell，NK）水平；(2)细菌清除情况：记录</w:t>
      </w:r>
      <w:r>
        <w:rPr>
          <w:spacing w:val="-60"/>
          <w:sz w:val="24"/>
        </w:rPr>
        <w:t> </w:t>
      </w:r>
      <w:r>
        <w:rPr>
          <w:sz w:val="24"/>
        </w:rPr>
        <w:t>2</w:t>
      </w:r>
      <w:r>
        <w:rPr>
          <w:spacing w:val="-60"/>
          <w:sz w:val="24"/>
        </w:rPr>
        <w:t> </w:t>
      </w:r>
      <w:r>
        <w:rPr>
          <w:sz w:val="24"/>
        </w:rPr>
        <w:t>组患者细菌清除、替</w:t>
      </w:r>
      <w:r>
        <w:rPr>
          <w:spacing w:val="-15"/>
          <w:sz w:val="24"/>
        </w:rPr>
        <w:t>换</w:t>
      </w:r>
      <w:r>
        <w:rPr>
          <w:sz w:val="24"/>
        </w:rPr>
        <w:t>及再感染例数</w:t>
      </w:r>
      <w:r>
        <w:rPr>
          <w:spacing w:val="-22"/>
          <w:sz w:val="24"/>
        </w:rPr>
        <w:t>，</w:t>
      </w:r>
      <w:r>
        <w:rPr>
          <w:sz w:val="24"/>
        </w:rPr>
        <w:t>计算发生率</w:t>
      </w:r>
      <w:r>
        <w:rPr>
          <w:spacing w:val="-22"/>
          <w:sz w:val="24"/>
        </w:rPr>
        <w:t>。</w:t>
      </w:r>
      <w:r>
        <w:rPr>
          <w:sz w:val="24"/>
        </w:rPr>
        <w:t>清除</w:t>
      </w:r>
      <w:r>
        <w:rPr>
          <w:spacing w:val="-22"/>
          <w:sz w:val="24"/>
        </w:rPr>
        <w:t>：</w:t>
      </w:r>
      <w:r>
        <w:rPr>
          <w:sz w:val="24"/>
        </w:rPr>
        <w:t>连续</w:t>
      </w:r>
      <w:r>
        <w:rPr>
          <w:spacing w:val="-59"/>
          <w:sz w:val="24"/>
        </w:rPr>
        <w:t> </w:t>
      </w:r>
      <w:r>
        <w:rPr>
          <w:sz w:val="24"/>
        </w:rPr>
        <w:t>2</w:t>
      </w:r>
      <w:r>
        <w:rPr>
          <w:spacing w:val="-59"/>
          <w:sz w:val="24"/>
        </w:rPr>
        <w:t> </w:t>
      </w:r>
      <w:r>
        <w:rPr>
          <w:sz w:val="24"/>
        </w:rPr>
        <w:t>次细菌培养结果为阴性</w:t>
      </w:r>
      <w:r>
        <w:rPr>
          <w:spacing w:val="-22"/>
          <w:sz w:val="24"/>
        </w:rPr>
        <w:t>；</w:t>
      </w:r>
      <w:r>
        <w:rPr>
          <w:sz w:val="24"/>
        </w:rPr>
        <w:t>替换</w:t>
      </w:r>
      <w:r>
        <w:rPr>
          <w:spacing w:val="-22"/>
          <w:sz w:val="24"/>
        </w:rPr>
        <w:t>：</w:t>
      </w:r>
      <w:r>
        <w:rPr>
          <w:sz w:val="24"/>
        </w:rPr>
        <w:t>细菌培养结果</w:t>
      </w:r>
      <w:r>
        <w:rPr>
          <w:spacing w:val="-11"/>
          <w:sz w:val="24"/>
        </w:rPr>
        <w:t>中</w:t>
      </w:r>
      <w:r>
        <w:rPr>
          <w:sz w:val="24"/>
        </w:rPr>
        <w:t>原有细菌被清除后检测其他细菌但不需要治疗</w:t>
      </w:r>
      <w:r>
        <w:rPr>
          <w:spacing w:val="-51"/>
          <w:sz w:val="24"/>
        </w:rPr>
        <w:t>；</w:t>
      </w:r>
      <w:r>
        <w:rPr>
          <w:sz w:val="24"/>
        </w:rPr>
        <w:t>再感染</w:t>
      </w:r>
      <w:r>
        <w:rPr>
          <w:spacing w:val="-51"/>
          <w:sz w:val="24"/>
        </w:rPr>
        <w:t>：</w:t>
      </w:r>
      <w:r>
        <w:rPr>
          <w:sz w:val="24"/>
        </w:rPr>
        <w:t>细菌培养</w:t>
      </w:r>
      <w:r>
        <w:rPr>
          <w:spacing w:val="-3"/>
          <w:sz w:val="24"/>
        </w:rPr>
        <w:t>结</w:t>
      </w:r>
      <w:r>
        <w:rPr>
          <w:sz w:val="24"/>
        </w:rPr>
        <w:t>果中原有细菌被清除</w:t>
      </w:r>
      <w:r>
        <w:rPr>
          <w:spacing w:val="-14"/>
          <w:sz w:val="24"/>
        </w:rPr>
        <w:t>后</w:t>
      </w:r>
      <w:r>
        <w:rPr>
          <w:sz w:val="24"/>
        </w:rPr>
        <w:t>检测其他细菌且需要治疗；(3)疗效评价：显效：临床症状、体征及实验指标均显著改善。</w:t>
      </w:r>
    </w:p>
    <w:p>
      <w:pPr>
        <w:spacing w:after="0" w:line="297" w:lineRule="auto"/>
        <w:jc w:val="left"/>
        <w:rPr>
          <w:sz w:val="24"/>
        </w:rPr>
        <w:sectPr>
          <w:pgSz w:w="11910" w:h="16850"/>
          <w:pgMar w:header="906" w:footer="607" w:top="1100" w:bottom="800" w:left="1000" w:right="740"/>
        </w:sectPr>
      </w:pPr>
    </w:p>
    <w:p>
      <w:pPr>
        <w:pStyle w:val="BodyText"/>
        <w:spacing w:line="295" w:lineRule="auto" w:before="65"/>
        <w:ind w:right="389"/>
        <w:jc w:val="both"/>
      </w:pPr>
      <w:r>
        <w:rPr>
          <w:spacing w:val="-12"/>
        </w:rPr>
        <w:t>有效：临床症状、体征及实验指标有所改善。无效：临床症状、体征及实验指标未改善甚至</w:t>
      </w:r>
      <w:r>
        <w:rPr/>
        <w:t>恶化；总有效率=（显效例数+有效例数）/总例数×100%；(4）</w:t>
      </w:r>
      <w:r>
        <w:rPr>
          <w:spacing w:val="-6"/>
        </w:rPr>
        <w:t>预后比较：观察两组 </w:t>
      </w:r>
      <w:r>
        <w:rPr/>
        <w:t>2</w:t>
      </w:r>
      <w:r>
        <w:rPr>
          <w:spacing w:val="-20"/>
        </w:rPr>
        <w:t> 者干</w:t>
      </w:r>
      <w:r>
        <w:rPr>
          <w:spacing w:val="-34"/>
        </w:rPr>
        <w:t>预后 </w:t>
      </w:r>
      <w:r>
        <w:rPr/>
        <w:t>30 d</w:t>
      </w:r>
      <w:r>
        <w:rPr>
          <w:spacing w:val="-9"/>
        </w:rPr>
        <w:t> 内死亡情况。</w:t>
      </w:r>
    </w:p>
    <w:p>
      <w:pPr>
        <w:pStyle w:val="ListParagraph"/>
        <w:numPr>
          <w:ilvl w:val="1"/>
          <w:numId w:val="4"/>
        </w:numPr>
        <w:tabs>
          <w:tab w:pos="1238" w:val="left" w:leader="none"/>
        </w:tabs>
        <w:spacing w:line="276" w:lineRule="auto" w:before="5" w:after="0"/>
        <w:ind w:left="277" w:right="285" w:firstLine="480"/>
        <w:jc w:val="both"/>
        <w:rPr>
          <w:sz w:val="24"/>
        </w:rPr>
      </w:pPr>
      <w:r>
        <w:rPr/>
        <w:pict>
          <v:line style="position:absolute;mso-position-horizontal-relative:page;mso-position-vertical-relative:paragraph;z-index:-255155200" from="299.196625pt,20.846874pt" to="305.12702pt,20.846874pt" stroked="true" strokeweight=".554724pt" strokecolor="#000000">
            <v:stroke dashstyle="solid"/>
            <w10:wrap type="none"/>
          </v:line>
        </w:pict>
      </w:r>
      <w:r>
        <w:rPr>
          <w:spacing w:val="-7"/>
          <w:sz w:val="24"/>
        </w:rPr>
        <w:t>统计学方法 采用 </w:t>
      </w:r>
      <w:r>
        <w:rPr>
          <w:sz w:val="24"/>
        </w:rPr>
        <w:t>SPSS 18.0</w:t>
      </w:r>
      <w:r>
        <w:rPr>
          <w:spacing w:val="-8"/>
          <w:sz w:val="24"/>
        </w:rPr>
        <w:t> 统计学软件对本研究数据进行分析，</w:t>
      </w:r>
      <w:r>
        <w:rPr>
          <w:sz w:val="24"/>
        </w:rPr>
        <w:t>IgA、IgM、IgG </w:t>
      </w:r>
      <w:r>
        <w:rPr>
          <w:spacing w:val="-29"/>
          <w:sz w:val="24"/>
        </w:rPr>
        <w:t>和 </w:t>
      </w:r>
      <w:r>
        <w:rPr>
          <w:sz w:val="24"/>
        </w:rPr>
        <w:t>NK</w:t>
      </w:r>
      <w:r>
        <w:rPr>
          <w:spacing w:val="-13"/>
          <w:sz w:val="24"/>
        </w:rPr>
        <w:t> 细胞等指标经验证符合正态分布，采用 </w:t>
      </w:r>
      <w:r>
        <w:rPr>
          <w:rFonts w:ascii="Times New Roman" w:hAnsi="Times New Roman" w:eastAsia="Times New Roman"/>
          <w:i/>
          <w:position w:val="6"/>
          <w:sz w:val="23"/>
        </w:rPr>
        <w:t>x</w:t>
      </w:r>
      <w:r>
        <w:rPr>
          <w:rFonts w:ascii="Times New Roman" w:hAnsi="Times New Roman" w:eastAsia="Times New Roman"/>
          <w:i/>
          <w:spacing w:val="2"/>
          <w:position w:val="6"/>
          <w:sz w:val="23"/>
        </w:rPr>
        <w:t> </w:t>
      </w:r>
      <w:r>
        <w:rPr>
          <w:rFonts w:ascii="Symbol" w:hAnsi="Symbol" w:eastAsia="Symbol"/>
          <w:position w:val="6"/>
          <w:sz w:val="23"/>
        </w:rPr>
        <w:t></w:t>
      </w:r>
      <w:r>
        <w:rPr>
          <w:rFonts w:ascii="Times New Roman" w:hAnsi="Times New Roman" w:eastAsia="Times New Roman"/>
          <w:spacing w:val="-13"/>
          <w:position w:val="6"/>
          <w:sz w:val="23"/>
        </w:rPr>
        <w:t> </w:t>
      </w:r>
      <w:r>
        <w:rPr>
          <w:rFonts w:ascii="Times New Roman" w:hAnsi="Times New Roman" w:eastAsia="Times New Roman"/>
          <w:i/>
          <w:position w:val="6"/>
          <w:sz w:val="23"/>
        </w:rPr>
        <w:t>s</w:t>
      </w:r>
      <w:r>
        <w:rPr>
          <w:rFonts w:ascii="Times New Roman" w:hAnsi="Times New Roman" w:eastAsia="Times New Roman"/>
          <w:i/>
          <w:spacing w:val="-5"/>
          <w:position w:val="6"/>
          <w:sz w:val="23"/>
        </w:rPr>
        <w:t> </w:t>
      </w:r>
      <w:r>
        <w:rPr>
          <w:spacing w:val="-14"/>
          <w:sz w:val="24"/>
        </w:rPr>
        <w:t>表示，组间 </w:t>
      </w:r>
      <w:r>
        <w:rPr>
          <w:sz w:val="24"/>
        </w:rPr>
        <w:t>IgA</w:t>
      </w:r>
      <w:r>
        <w:rPr>
          <w:spacing w:val="-8"/>
          <w:sz w:val="24"/>
        </w:rPr>
        <w:t> 等指标水平比较采用独立t</w:t>
      </w:r>
      <w:r>
        <w:rPr>
          <w:spacing w:val="-12"/>
          <w:sz w:val="24"/>
        </w:rPr>
        <w:t> 检验，组内比较采用配对 </w:t>
      </w:r>
      <w:r>
        <w:rPr>
          <w:sz w:val="24"/>
        </w:rPr>
        <w:t>t</w:t>
      </w:r>
      <w:r>
        <w:rPr>
          <w:spacing w:val="-8"/>
          <w:sz w:val="24"/>
        </w:rPr>
        <w:t> 检验。计数资料采用卡方检验</w:t>
      </w:r>
      <w:r>
        <w:rPr>
          <w:sz w:val="24"/>
        </w:rPr>
        <w:t>，P&lt;0.05</w:t>
      </w:r>
      <w:r>
        <w:rPr>
          <w:spacing w:val="-9"/>
          <w:sz w:val="24"/>
        </w:rPr>
        <w:t> 表示差异具有显著性。</w:t>
      </w:r>
    </w:p>
    <w:p>
      <w:pPr>
        <w:pStyle w:val="Heading3"/>
        <w:numPr>
          <w:ilvl w:val="0"/>
          <w:numId w:val="3"/>
        </w:numPr>
        <w:tabs>
          <w:tab w:pos="1001" w:val="left" w:leader="none"/>
        </w:tabs>
        <w:spacing w:line="240" w:lineRule="auto" w:before="28" w:after="0"/>
        <w:ind w:left="1000" w:right="0" w:hanging="244"/>
        <w:jc w:val="left"/>
      </w:pPr>
      <w:r>
        <w:rPr/>
        <w:t>结果</w:t>
      </w:r>
    </w:p>
    <w:p>
      <w:pPr>
        <w:pStyle w:val="ListParagraph"/>
        <w:numPr>
          <w:ilvl w:val="1"/>
          <w:numId w:val="3"/>
        </w:numPr>
        <w:tabs>
          <w:tab w:pos="1178" w:val="left" w:leader="none"/>
        </w:tabs>
        <w:spacing w:line="297" w:lineRule="auto" w:before="72" w:after="0"/>
        <w:ind w:left="277" w:right="386" w:firstLine="480"/>
        <w:jc w:val="both"/>
        <w:rPr>
          <w:sz w:val="24"/>
        </w:rPr>
      </w:pPr>
      <w:r>
        <w:rPr>
          <w:sz w:val="24"/>
        </w:rPr>
        <w:t>2</w:t>
      </w:r>
      <w:r>
        <w:rPr>
          <w:spacing w:val="-8"/>
          <w:sz w:val="24"/>
        </w:rPr>
        <w:t> 组患者免疫功能的比较 </w:t>
      </w:r>
      <w:r>
        <w:rPr>
          <w:sz w:val="24"/>
        </w:rPr>
        <w:t>2</w:t>
      </w:r>
      <w:r>
        <w:rPr>
          <w:spacing w:val="-16"/>
          <w:sz w:val="24"/>
        </w:rPr>
        <w:t> 组患者治疗前 </w:t>
      </w:r>
      <w:r>
        <w:rPr>
          <w:sz w:val="24"/>
        </w:rPr>
        <w:t>IgA</w:t>
      </w:r>
      <w:r>
        <w:rPr>
          <w:spacing w:val="-22"/>
          <w:sz w:val="24"/>
        </w:rPr>
        <w:t>、</w:t>
      </w:r>
      <w:r>
        <w:rPr>
          <w:sz w:val="24"/>
        </w:rPr>
        <w:t>IgM</w:t>
      </w:r>
      <w:r>
        <w:rPr>
          <w:spacing w:val="-21"/>
          <w:sz w:val="24"/>
        </w:rPr>
        <w:t>、</w:t>
      </w:r>
      <w:r>
        <w:rPr>
          <w:sz w:val="24"/>
        </w:rPr>
        <w:t>IgG</w:t>
      </w:r>
      <w:r>
        <w:rPr>
          <w:spacing w:val="-40"/>
          <w:sz w:val="24"/>
        </w:rPr>
        <w:t> 和 </w:t>
      </w:r>
      <w:r>
        <w:rPr>
          <w:sz w:val="24"/>
        </w:rPr>
        <w:t>NK</w:t>
      </w:r>
      <w:r>
        <w:rPr>
          <w:spacing w:val="-9"/>
          <w:sz w:val="24"/>
        </w:rPr>
        <w:t> 细胞比较差异均无</w:t>
      </w:r>
      <w:r>
        <w:rPr>
          <w:spacing w:val="-4"/>
          <w:sz w:val="24"/>
        </w:rPr>
        <w:t>统显著性</w:t>
      </w:r>
      <w:r>
        <w:rPr>
          <w:sz w:val="24"/>
        </w:rPr>
        <w:t>（P&gt;0.05）</w:t>
      </w:r>
      <w:r>
        <w:rPr>
          <w:spacing w:val="-5"/>
          <w:sz w:val="24"/>
        </w:rPr>
        <w:t>。与治疗前比较，</w:t>
      </w:r>
      <w:r>
        <w:rPr>
          <w:spacing w:val="-7"/>
          <w:sz w:val="24"/>
        </w:rPr>
        <w:t>2</w:t>
      </w:r>
      <w:r>
        <w:rPr>
          <w:spacing w:val="-18"/>
          <w:sz w:val="24"/>
        </w:rPr>
        <w:t> 组患者治疗后 </w:t>
      </w:r>
      <w:r>
        <w:rPr>
          <w:sz w:val="24"/>
        </w:rPr>
        <w:t>IgA</w:t>
      </w:r>
      <w:r>
        <w:rPr>
          <w:spacing w:val="-13"/>
          <w:sz w:val="24"/>
        </w:rPr>
        <w:t> 水平降低，</w:t>
      </w:r>
      <w:r>
        <w:rPr>
          <w:spacing w:val="-4"/>
          <w:sz w:val="24"/>
        </w:rPr>
        <w:t>IgM</w:t>
      </w:r>
      <w:r>
        <w:rPr>
          <w:spacing w:val="-15"/>
          <w:sz w:val="24"/>
        </w:rPr>
        <w:t>、</w:t>
      </w:r>
      <w:r>
        <w:rPr>
          <w:sz w:val="24"/>
        </w:rPr>
        <w:t>IgG</w:t>
      </w:r>
      <w:r>
        <w:rPr>
          <w:spacing w:val="-15"/>
          <w:sz w:val="24"/>
        </w:rPr>
        <w:t>、</w:t>
      </w:r>
      <w:r>
        <w:rPr>
          <w:sz w:val="24"/>
        </w:rPr>
        <w:t>NK</w:t>
      </w:r>
      <w:r>
        <w:rPr>
          <w:spacing w:val="-20"/>
          <w:sz w:val="24"/>
        </w:rPr>
        <w:t> 细胞升</w:t>
      </w:r>
      <w:r>
        <w:rPr>
          <w:spacing w:val="-9"/>
          <w:sz w:val="24"/>
        </w:rPr>
        <w:t>高，且研究组 </w:t>
      </w:r>
      <w:r>
        <w:rPr>
          <w:sz w:val="24"/>
        </w:rPr>
        <w:t>IgA</w:t>
      </w:r>
      <w:r>
        <w:rPr>
          <w:spacing w:val="-8"/>
          <w:sz w:val="24"/>
        </w:rPr>
        <w:t> 水平低于对照组</w:t>
      </w:r>
      <w:r>
        <w:rPr>
          <w:sz w:val="24"/>
        </w:rPr>
        <w:t>，IgM、IgG、NK</w:t>
      </w:r>
      <w:r>
        <w:rPr>
          <w:spacing w:val="-8"/>
          <w:sz w:val="24"/>
        </w:rPr>
        <w:t> 细胞高于对照组</w:t>
      </w:r>
      <w:r>
        <w:rPr>
          <w:sz w:val="24"/>
        </w:rPr>
        <w:t>（P&lt;0.05），</w:t>
      </w:r>
      <w:r>
        <w:rPr>
          <w:spacing w:val="-20"/>
          <w:sz w:val="24"/>
        </w:rPr>
        <w:t>见表 </w:t>
      </w:r>
      <w:r>
        <w:rPr>
          <w:sz w:val="24"/>
        </w:rPr>
        <w:t>1。</w:t>
      </w:r>
    </w:p>
    <w:p>
      <w:pPr>
        <w:pStyle w:val="BodyText"/>
        <w:tabs>
          <w:tab w:pos="1417" w:val="left" w:leader="none"/>
        </w:tabs>
        <w:spacing w:line="239" w:lineRule="exact" w:after="5"/>
        <w:ind w:left="757"/>
        <w:rPr>
          <w:rFonts w:ascii="楷体" w:hAnsi="楷体" w:eastAsia="楷体" w:hint="eastAsia"/>
        </w:rPr>
      </w:pPr>
      <w:r>
        <w:rPr>
          <w:rFonts w:ascii="楷体" w:hAnsi="楷体" w:eastAsia="楷体" w:hint="eastAsia"/>
        </w:rPr>
        <w:t>表</w:t>
      </w:r>
      <w:r>
        <w:rPr>
          <w:rFonts w:ascii="楷体" w:hAnsi="楷体" w:eastAsia="楷体" w:hint="eastAsia"/>
          <w:spacing w:val="-61"/>
        </w:rPr>
        <w:t> </w:t>
      </w:r>
      <w:r>
        <w:rPr>
          <w:rFonts w:ascii="楷体" w:hAnsi="楷体" w:eastAsia="楷体" w:hint="eastAsia"/>
        </w:rPr>
        <w:t>1</w:t>
        <w:tab/>
        <w:t>2</w:t>
      </w:r>
      <w:r>
        <w:rPr>
          <w:rFonts w:ascii="楷体" w:hAnsi="楷体" w:eastAsia="楷体" w:hint="eastAsia"/>
          <w:spacing w:val="-60"/>
        </w:rPr>
        <w:t> </w:t>
      </w:r>
      <w:r>
        <w:rPr>
          <w:rFonts w:ascii="楷体" w:hAnsi="楷体" w:eastAsia="楷体" w:hint="eastAsia"/>
        </w:rPr>
        <w:t>组患者免疫功能的比较（g·L-1,n=30）</w:t>
      </w: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6"/>
        <w:gridCol w:w="1190"/>
        <w:gridCol w:w="1464"/>
        <w:gridCol w:w="1523"/>
        <w:gridCol w:w="1561"/>
        <w:gridCol w:w="1926"/>
      </w:tblGrid>
      <w:tr>
        <w:trPr>
          <w:trHeight w:val="241" w:hRule="atLeast"/>
        </w:trPr>
        <w:tc>
          <w:tcPr>
            <w:tcW w:w="946" w:type="dxa"/>
            <w:tcBorders>
              <w:top w:val="single" w:sz="12" w:space="0" w:color="000000"/>
              <w:bottom w:val="single" w:sz="4" w:space="0" w:color="000000"/>
            </w:tcBorders>
          </w:tcPr>
          <w:p>
            <w:pPr>
              <w:pStyle w:val="TableParagraph"/>
              <w:spacing w:line="178" w:lineRule="exact" w:before="43"/>
              <w:ind w:left="114"/>
              <w:rPr>
                <w:sz w:val="15"/>
              </w:rPr>
            </w:pPr>
            <w:r>
              <w:rPr>
                <w:sz w:val="15"/>
              </w:rPr>
              <w:t>组别</w:t>
            </w:r>
          </w:p>
        </w:tc>
        <w:tc>
          <w:tcPr>
            <w:tcW w:w="1190" w:type="dxa"/>
            <w:tcBorders>
              <w:top w:val="single" w:sz="12" w:space="0" w:color="000000"/>
              <w:bottom w:val="single" w:sz="4" w:space="0" w:color="000000"/>
            </w:tcBorders>
          </w:tcPr>
          <w:p>
            <w:pPr>
              <w:pStyle w:val="TableParagraph"/>
              <w:spacing w:line="178" w:lineRule="exact" w:before="43"/>
              <w:ind w:left="378"/>
              <w:rPr>
                <w:sz w:val="15"/>
              </w:rPr>
            </w:pPr>
            <w:r>
              <w:rPr>
                <w:sz w:val="15"/>
              </w:rPr>
              <w:t>时间</w:t>
            </w:r>
          </w:p>
        </w:tc>
        <w:tc>
          <w:tcPr>
            <w:tcW w:w="1464" w:type="dxa"/>
            <w:tcBorders>
              <w:top w:val="single" w:sz="12" w:space="0" w:color="000000"/>
              <w:bottom w:val="single" w:sz="4" w:space="0" w:color="000000"/>
            </w:tcBorders>
          </w:tcPr>
          <w:p>
            <w:pPr>
              <w:pStyle w:val="TableParagraph"/>
              <w:spacing w:line="168" w:lineRule="exact" w:before="53"/>
              <w:ind w:left="359"/>
              <w:rPr>
                <w:rFonts w:ascii="Times New Roman"/>
                <w:sz w:val="15"/>
              </w:rPr>
            </w:pPr>
            <w:r>
              <w:rPr>
                <w:rFonts w:ascii="Times New Roman"/>
                <w:sz w:val="15"/>
              </w:rPr>
              <w:t>IgA</w:t>
            </w:r>
          </w:p>
        </w:tc>
        <w:tc>
          <w:tcPr>
            <w:tcW w:w="1523" w:type="dxa"/>
            <w:tcBorders>
              <w:top w:val="single" w:sz="12" w:space="0" w:color="000000"/>
              <w:bottom w:val="single" w:sz="4" w:space="0" w:color="000000"/>
            </w:tcBorders>
          </w:tcPr>
          <w:p>
            <w:pPr>
              <w:pStyle w:val="TableParagraph"/>
              <w:spacing w:line="168" w:lineRule="exact" w:before="53"/>
              <w:ind w:left="396"/>
              <w:rPr>
                <w:rFonts w:ascii="Times New Roman"/>
                <w:sz w:val="15"/>
              </w:rPr>
            </w:pPr>
            <w:r>
              <w:rPr>
                <w:rFonts w:ascii="Times New Roman"/>
                <w:sz w:val="15"/>
              </w:rPr>
              <w:t>IgM</w:t>
            </w:r>
          </w:p>
        </w:tc>
        <w:tc>
          <w:tcPr>
            <w:tcW w:w="1561" w:type="dxa"/>
            <w:tcBorders>
              <w:top w:val="single" w:sz="12" w:space="0" w:color="000000"/>
              <w:bottom w:val="single" w:sz="4" w:space="0" w:color="000000"/>
            </w:tcBorders>
          </w:tcPr>
          <w:p>
            <w:pPr>
              <w:pStyle w:val="TableParagraph"/>
              <w:spacing w:line="168" w:lineRule="exact" w:before="53"/>
              <w:ind w:left="418"/>
              <w:rPr>
                <w:rFonts w:ascii="Times New Roman"/>
                <w:sz w:val="15"/>
              </w:rPr>
            </w:pPr>
            <w:r>
              <w:rPr>
                <w:rFonts w:ascii="Times New Roman"/>
                <w:sz w:val="15"/>
              </w:rPr>
              <w:t>IgG</w:t>
            </w:r>
          </w:p>
        </w:tc>
        <w:tc>
          <w:tcPr>
            <w:tcW w:w="1926" w:type="dxa"/>
            <w:tcBorders>
              <w:top w:val="single" w:sz="12" w:space="0" w:color="000000"/>
              <w:bottom w:val="single" w:sz="4" w:space="0" w:color="000000"/>
            </w:tcBorders>
          </w:tcPr>
          <w:p>
            <w:pPr>
              <w:pStyle w:val="TableParagraph"/>
              <w:spacing w:line="178" w:lineRule="exact" w:before="43"/>
              <w:ind w:left="358"/>
              <w:rPr>
                <w:rFonts w:ascii="Times New Roman" w:eastAsia="Times New Roman"/>
                <w:sz w:val="15"/>
              </w:rPr>
            </w:pPr>
            <w:r>
              <w:rPr>
                <w:rFonts w:ascii="Times New Roman" w:eastAsia="Times New Roman"/>
                <w:sz w:val="15"/>
              </w:rPr>
              <w:t>NK </w:t>
            </w:r>
            <w:r>
              <w:rPr>
                <w:sz w:val="15"/>
              </w:rPr>
              <w:t>细胞</w:t>
            </w:r>
            <w:r>
              <w:rPr>
                <w:rFonts w:ascii="Times New Roman" w:eastAsia="Times New Roman"/>
                <w:sz w:val="15"/>
              </w:rPr>
              <w:t>(%)</w:t>
            </w:r>
          </w:p>
        </w:tc>
      </w:tr>
      <w:tr>
        <w:trPr>
          <w:trHeight w:val="248" w:hRule="atLeast"/>
        </w:trPr>
        <w:tc>
          <w:tcPr>
            <w:tcW w:w="946" w:type="dxa"/>
            <w:tcBorders>
              <w:top w:val="single" w:sz="4" w:space="0" w:color="000000"/>
            </w:tcBorders>
          </w:tcPr>
          <w:p>
            <w:pPr>
              <w:pStyle w:val="TableParagraph"/>
              <w:spacing w:line="187" w:lineRule="exact" w:before="42"/>
              <w:ind w:left="114"/>
              <w:rPr>
                <w:sz w:val="15"/>
              </w:rPr>
            </w:pPr>
            <w:r>
              <w:rPr>
                <w:sz w:val="15"/>
              </w:rPr>
              <w:t>对照组</w:t>
            </w:r>
          </w:p>
        </w:tc>
        <w:tc>
          <w:tcPr>
            <w:tcW w:w="1190" w:type="dxa"/>
            <w:tcBorders>
              <w:top w:val="single" w:sz="4" w:space="0" w:color="000000"/>
            </w:tcBorders>
          </w:tcPr>
          <w:p>
            <w:pPr>
              <w:pStyle w:val="TableParagraph"/>
              <w:spacing w:line="187" w:lineRule="exact" w:before="42"/>
              <w:ind w:left="378"/>
              <w:rPr>
                <w:sz w:val="15"/>
              </w:rPr>
            </w:pPr>
            <w:r>
              <w:rPr>
                <w:sz w:val="15"/>
              </w:rPr>
              <w:t>治疗前</w:t>
            </w:r>
          </w:p>
        </w:tc>
        <w:tc>
          <w:tcPr>
            <w:tcW w:w="1464" w:type="dxa"/>
            <w:tcBorders>
              <w:top w:val="single" w:sz="4" w:space="0" w:color="000000"/>
            </w:tcBorders>
          </w:tcPr>
          <w:p>
            <w:pPr>
              <w:pStyle w:val="TableParagraph"/>
              <w:spacing w:before="51"/>
              <w:ind w:left="359"/>
              <w:rPr>
                <w:rFonts w:ascii="Times New Roman" w:hAnsi="Times New Roman"/>
                <w:sz w:val="15"/>
              </w:rPr>
            </w:pPr>
            <w:r>
              <w:rPr>
                <w:rFonts w:ascii="Times New Roman" w:hAnsi="Times New Roman"/>
                <w:sz w:val="15"/>
              </w:rPr>
              <w:t>2.43±0.24</w:t>
            </w:r>
          </w:p>
        </w:tc>
        <w:tc>
          <w:tcPr>
            <w:tcW w:w="1523" w:type="dxa"/>
            <w:tcBorders>
              <w:top w:val="single" w:sz="4" w:space="0" w:color="000000"/>
            </w:tcBorders>
          </w:tcPr>
          <w:p>
            <w:pPr>
              <w:pStyle w:val="TableParagraph"/>
              <w:spacing w:before="51"/>
              <w:ind w:left="396"/>
              <w:rPr>
                <w:rFonts w:ascii="Times New Roman" w:hAnsi="Times New Roman"/>
                <w:sz w:val="15"/>
              </w:rPr>
            </w:pPr>
            <w:r>
              <w:rPr>
                <w:rFonts w:ascii="Times New Roman" w:hAnsi="Times New Roman"/>
                <w:sz w:val="15"/>
              </w:rPr>
              <w:t>0.78±0.08</w:t>
            </w:r>
          </w:p>
        </w:tc>
        <w:tc>
          <w:tcPr>
            <w:tcW w:w="1561" w:type="dxa"/>
            <w:tcBorders>
              <w:top w:val="single" w:sz="4" w:space="0" w:color="000000"/>
            </w:tcBorders>
          </w:tcPr>
          <w:p>
            <w:pPr>
              <w:pStyle w:val="TableParagraph"/>
              <w:spacing w:before="51"/>
              <w:ind w:left="418"/>
              <w:rPr>
                <w:rFonts w:ascii="Times New Roman" w:hAnsi="Times New Roman"/>
                <w:sz w:val="15"/>
              </w:rPr>
            </w:pPr>
            <w:r>
              <w:rPr>
                <w:rFonts w:ascii="Times New Roman" w:hAnsi="Times New Roman"/>
                <w:sz w:val="15"/>
              </w:rPr>
              <w:t>9.85±0.96</w:t>
            </w:r>
          </w:p>
        </w:tc>
        <w:tc>
          <w:tcPr>
            <w:tcW w:w="1926" w:type="dxa"/>
            <w:tcBorders>
              <w:top w:val="single" w:sz="4" w:space="0" w:color="000000"/>
            </w:tcBorders>
          </w:tcPr>
          <w:p>
            <w:pPr>
              <w:pStyle w:val="TableParagraph"/>
              <w:spacing w:before="51"/>
              <w:ind w:left="358"/>
              <w:rPr>
                <w:rFonts w:ascii="Times New Roman" w:hAnsi="Times New Roman"/>
                <w:sz w:val="15"/>
              </w:rPr>
            </w:pPr>
            <w:r>
              <w:rPr>
                <w:rFonts w:ascii="Times New Roman" w:hAnsi="Times New Roman"/>
                <w:sz w:val="15"/>
              </w:rPr>
              <w:t>14.13±0.14</w:t>
            </w:r>
          </w:p>
        </w:tc>
      </w:tr>
      <w:tr>
        <w:trPr>
          <w:trHeight w:val="252" w:hRule="atLeast"/>
        </w:trPr>
        <w:tc>
          <w:tcPr>
            <w:tcW w:w="946" w:type="dxa"/>
          </w:tcPr>
          <w:p>
            <w:pPr>
              <w:pStyle w:val="TableParagraph"/>
              <w:rPr>
                <w:rFonts w:ascii="Times New Roman"/>
                <w:sz w:val="18"/>
              </w:rPr>
            </w:pPr>
          </w:p>
        </w:tc>
        <w:tc>
          <w:tcPr>
            <w:tcW w:w="1190" w:type="dxa"/>
          </w:tcPr>
          <w:p>
            <w:pPr>
              <w:pStyle w:val="TableParagraph"/>
              <w:spacing w:before="33"/>
              <w:ind w:left="378"/>
              <w:rPr>
                <w:sz w:val="15"/>
              </w:rPr>
            </w:pPr>
            <w:r>
              <w:rPr>
                <w:sz w:val="15"/>
              </w:rPr>
              <w:t>治疗后</w:t>
            </w:r>
          </w:p>
        </w:tc>
        <w:tc>
          <w:tcPr>
            <w:tcW w:w="1464" w:type="dxa"/>
          </w:tcPr>
          <w:p>
            <w:pPr>
              <w:pStyle w:val="TableParagraph"/>
              <w:spacing w:before="43"/>
              <w:ind w:left="359"/>
              <w:rPr>
                <w:rFonts w:ascii="Times New Roman" w:hAnsi="Times New Roman"/>
                <w:i/>
                <w:sz w:val="15"/>
              </w:rPr>
            </w:pPr>
            <w:r>
              <w:rPr>
                <w:rFonts w:ascii="Times New Roman" w:hAnsi="Times New Roman"/>
                <w:sz w:val="15"/>
              </w:rPr>
              <w:t>2.28±0.23 </w:t>
            </w:r>
            <w:r>
              <w:rPr>
                <w:rFonts w:ascii="Times New Roman" w:hAnsi="Times New Roman"/>
                <w:i/>
                <w:sz w:val="15"/>
                <w:vertAlign w:val="superscript"/>
              </w:rPr>
              <w:t>*</w:t>
            </w:r>
          </w:p>
        </w:tc>
        <w:tc>
          <w:tcPr>
            <w:tcW w:w="1523" w:type="dxa"/>
          </w:tcPr>
          <w:p>
            <w:pPr>
              <w:pStyle w:val="TableParagraph"/>
              <w:spacing w:before="43"/>
              <w:ind w:left="396"/>
              <w:rPr>
                <w:rFonts w:ascii="Times New Roman" w:hAnsi="Times New Roman"/>
                <w:i/>
                <w:sz w:val="15"/>
              </w:rPr>
            </w:pPr>
            <w:r>
              <w:rPr>
                <w:rFonts w:ascii="Times New Roman" w:hAnsi="Times New Roman"/>
                <w:sz w:val="15"/>
              </w:rPr>
              <w:t>1.06±0.11 </w:t>
            </w:r>
            <w:r>
              <w:rPr>
                <w:rFonts w:ascii="Times New Roman" w:hAnsi="Times New Roman"/>
                <w:i/>
                <w:sz w:val="15"/>
                <w:vertAlign w:val="superscript"/>
              </w:rPr>
              <w:t>*</w:t>
            </w:r>
          </w:p>
        </w:tc>
        <w:tc>
          <w:tcPr>
            <w:tcW w:w="1561" w:type="dxa"/>
          </w:tcPr>
          <w:p>
            <w:pPr>
              <w:pStyle w:val="TableParagraph"/>
              <w:spacing w:before="43"/>
              <w:ind w:left="418"/>
              <w:rPr>
                <w:rFonts w:ascii="Times New Roman" w:hAnsi="Times New Roman"/>
                <w:i/>
                <w:sz w:val="15"/>
              </w:rPr>
            </w:pPr>
            <w:r>
              <w:rPr>
                <w:rFonts w:ascii="Times New Roman" w:hAnsi="Times New Roman"/>
                <w:sz w:val="15"/>
              </w:rPr>
              <w:t>10.97±1.11 </w:t>
            </w:r>
            <w:r>
              <w:rPr>
                <w:rFonts w:ascii="Times New Roman" w:hAnsi="Times New Roman"/>
                <w:i/>
                <w:sz w:val="15"/>
                <w:vertAlign w:val="superscript"/>
              </w:rPr>
              <w:t>*</w:t>
            </w:r>
          </w:p>
        </w:tc>
        <w:tc>
          <w:tcPr>
            <w:tcW w:w="1926" w:type="dxa"/>
          </w:tcPr>
          <w:p>
            <w:pPr>
              <w:pStyle w:val="TableParagraph"/>
              <w:spacing w:before="43"/>
              <w:ind w:left="358"/>
              <w:rPr>
                <w:rFonts w:ascii="Times New Roman" w:hAnsi="Times New Roman"/>
                <w:i/>
                <w:sz w:val="15"/>
              </w:rPr>
            </w:pPr>
            <w:r>
              <w:rPr>
                <w:rFonts w:ascii="Times New Roman" w:hAnsi="Times New Roman"/>
                <w:sz w:val="15"/>
              </w:rPr>
              <w:t>15.69±0.16 </w:t>
            </w:r>
            <w:r>
              <w:rPr>
                <w:rFonts w:ascii="Times New Roman" w:hAnsi="Times New Roman"/>
                <w:i/>
                <w:sz w:val="15"/>
                <w:vertAlign w:val="superscript"/>
              </w:rPr>
              <w:t>*</w:t>
            </w:r>
          </w:p>
        </w:tc>
      </w:tr>
      <w:tr>
        <w:trPr>
          <w:trHeight w:val="227" w:hRule="atLeast"/>
        </w:trPr>
        <w:tc>
          <w:tcPr>
            <w:tcW w:w="946" w:type="dxa"/>
          </w:tcPr>
          <w:p>
            <w:pPr>
              <w:pStyle w:val="TableParagraph"/>
              <w:spacing w:line="187" w:lineRule="exact" w:before="21"/>
              <w:ind w:left="114"/>
              <w:rPr>
                <w:sz w:val="15"/>
              </w:rPr>
            </w:pPr>
            <w:r>
              <w:rPr>
                <w:sz w:val="15"/>
              </w:rPr>
              <w:t>研究组</w:t>
            </w:r>
          </w:p>
        </w:tc>
        <w:tc>
          <w:tcPr>
            <w:tcW w:w="1190" w:type="dxa"/>
          </w:tcPr>
          <w:p>
            <w:pPr>
              <w:pStyle w:val="TableParagraph"/>
              <w:spacing w:line="187" w:lineRule="exact" w:before="21"/>
              <w:ind w:left="378"/>
              <w:rPr>
                <w:sz w:val="15"/>
              </w:rPr>
            </w:pPr>
            <w:r>
              <w:rPr>
                <w:sz w:val="15"/>
              </w:rPr>
              <w:t>治疗前</w:t>
            </w:r>
          </w:p>
        </w:tc>
        <w:tc>
          <w:tcPr>
            <w:tcW w:w="1464" w:type="dxa"/>
          </w:tcPr>
          <w:p>
            <w:pPr>
              <w:pStyle w:val="TableParagraph"/>
              <w:spacing w:before="31"/>
              <w:ind w:left="359"/>
              <w:rPr>
                <w:rFonts w:ascii="Times New Roman" w:hAnsi="Times New Roman"/>
                <w:sz w:val="15"/>
              </w:rPr>
            </w:pPr>
            <w:r>
              <w:rPr>
                <w:rFonts w:ascii="Times New Roman" w:hAnsi="Times New Roman"/>
                <w:sz w:val="15"/>
              </w:rPr>
              <w:t>2.45±0.23</w:t>
            </w:r>
          </w:p>
        </w:tc>
        <w:tc>
          <w:tcPr>
            <w:tcW w:w="1523" w:type="dxa"/>
          </w:tcPr>
          <w:p>
            <w:pPr>
              <w:pStyle w:val="TableParagraph"/>
              <w:spacing w:before="31"/>
              <w:ind w:left="396"/>
              <w:rPr>
                <w:rFonts w:ascii="Times New Roman" w:hAnsi="Times New Roman"/>
                <w:sz w:val="15"/>
              </w:rPr>
            </w:pPr>
            <w:r>
              <w:rPr>
                <w:rFonts w:ascii="Times New Roman" w:hAnsi="Times New Roman"/>
                <w:sz w:val="15"/>
              </w:rPr>
              <w:t>0.75±0.07</w:t>
            </w:r>
          </w:p>
        </w:tc>
        <w:tc>
          <w:tcPr>
            <w:tcW w:w="1561" w:type="dxa"/>
          </w:tcPr>
          <w:p>
            <w:pPr>
              <w:pStyle w:val="TableParagraph"/>
              <w:spacing w:before="31"/>
              <w:ind w:left="418"/>
              <w:rPr>
                <w:rFonts w:ascii="Times New Roman" w:hAnsi="Times New Roman"/>
                <w:sz w:val="15"/>
              </w:rPr>
            </w:pPr>
            <w:r>
              <w:rPr>
                <w:rFonts w:ascii="Times New Roman" w:hAnsi="Times New Roman"/>
                <w:sz w:val="15"/>
              </w:rPr>
              <w:t>9.93±0.93</w:t>
            </w:r>
          </w:p>
        </w:tc>
        <w:tc>
          <w:tcPr>
            <w:tcW w:w="1926" w:type="dxa"/>
          </w:tcPr>
          <w:p>
            <w:pPr>
              <w:pStyle w:val="TableParagraph"/>
              <w:spacing w:before="31"/>
              <w:ind w:left="358"/>
              <w:rPr>
                <w:rFonts w:ascii="Times New Roman" w:hAnsi="Times New Roman"/>
                <w:sz w:val="15"/>
              </w:rPr>
            </w:pPr>
            <w:r>
              <w:rPr>
                <w:rFonts w:ascii="Times New Roman" w:hAnsi="Times New Roman"/>
                <w:sz w:val="15"/>
              </w:rPr>
              <w:t>14.26±0.14</w:t>
            </w:r>
          </w:p>
        </w:tc>
      </w:tr>
      <w:tr>
        <w:trPr>
          <w:trHeight w:val="230" w:hRule="atLeast"/>
        </w:trPr>
        <w:tc>
          <w:tcPr>
            <w:tcW w:w="946" w:type="dxa"/>
            <w:tcBorders>
              <w:bottom w:val="single" w:sz="12" w:space="0" w:color="000000"/>
            </w:tcBorders>
          </w:tcPr>
          <w:p>
            <w:pPr>
              <w:pStyle w:val="TableParagraph"/>
              <w:rPr>
                <w:rFonts w:ascii="Times New Roman"/>
                <w:sz w:val="16"/>
              </w:rPr>
            </w:pPr>
          </w:p>
        </w:tc>
        <w:tc>
          <w:tcPr>
            <w:tcW w:w="1190" w:type="dxa"/>
            <w:tcBorders>
              <w:bottom w:val="single" w:sz="12" w:space="0" w:color="000000"/>
            </w:tcBorders>
          </w:tcPr>
          <w:p>
            <w:pPr>
              <w:pStyle w:val="TableParagraph"/>
              <w:spacing w:line="177" w:lineRule="exact" w:before="33"/>
              <w:ind w:left="378"/>
              <w:rPr>
                <w:sz w:val="15"/>
              </w:rPr>
            </w:pPr>
            <w:r>
              <w:rPr>
                <w:sz w:val="15"/>
              </w:rPr>
              <w:t>治疗后</w:t>
            </w:r>
          </w:p>
        </w:tc>
        <w:tc>
          <w:tcPr>
            <w:tcW w:w="1464" w:type="dxa"/>
            <w:tcBorders>
              <w:bottom w:val="single" w:sz="12" w:space="0" w:color="000000"/>
            </w:tcBorders>
          </w:tcPr>
          <w:p>
            <w:pPr>
              <w:pStyle w:val="TableParagraph"/>
              <w:spacing w:line="167" w:lineRule="exact" w:before="43"/>
              <w:ind w:left="359"/>
              <w:rPr>
                <w:rFonts w:ascii="Times New Roman" w:hAnsi="Times New Roman"/>
                <w:i/>
                <w:sz w:val="15"/>
              </w:rPr>
            </w:pPr>
            <w:r>
              <w:rPr>
                <w:rFonts w:ascii="Times New Roman" w:hAnsi="Times New Roman"/>
                <w:sz w:val="15"/>
              </w:rPr>
              <w:t>2.09±0.21 </w:t>
            </w:r>
            <w:r>
              <w:rPr>
                <w:rFonts w:ascii="Times New Roman" w:hAnsi="Times New Roman"/>
                <w:i/>
                <w:sz w:val="15"/>
                <w:vertAlign w:val="superscript"/>
              </w:rPr>
              <w:t>*#</w:t>
            </w:r>
          </w:p>
        </w:tc>
        <w:tc>
          <w:tcPr>
            <w:tcW w:w="1523" w:type="dxa"/>
            <w:tcBorders>
              <w:bottom w:val="single" w:sz="12" w:space="0" w:color="000000"/>
            </w:tcBorders>
          </w:tcPr>
          <w:p>
            <w:pPr>
              <w:pStyle w:val="TableParagraph"/>
              <w:spacing w:line="167" w:lineRule="exact" w:before="43"/>
              <w:ind w:left="396"/>
              <w:rPr>
                <w:rFonts w:ascii="Times New Roman" w:hAnsi="Times New Roman"/>
                <w:i/>
                <w:sz w:val="15"/>
              </w:rPr>
            </w:pPr>
            <w:r>
              <w:rPr>
                <w:rFonts w:ascii="Times New Roman" w:hAnsi="Times New Roman"/>
                <w:sz w:val="15"/>
              </w:rPr>
              <w:t>1.18±0.12 </w:t>
            </w:r>
            <w:r>
              <w:rPr>
                <w:rFonts w:ascii="Times New Roman" w:hAnsi="Times New Roman"/>
                <w:i/>
                <w:sz w:val="15"/>
                <w:vertAlign w:val="superscript"/>
              </w:rPr>
              <w:t>*#</w:t>
            </w:r>
          </w:p>
        </w:tc>
        <w:tc>
          <w:tcPr>
            <w:tcW w:w="1561" w:type="dxa"/>
            <w:tcBorders>
              <w:bottom w:val="single" w:sz="12" w:space="0" w:color="000000"/>
            </w:tcBorders>
          </w:tcPr>
          <w:p>
            <w:pPr>
              <w:pStyle w:val="TableParagraph"/>
              <w:spacing w:line="167" w:lineRule="exact" w:before="43"/>
              <w:ind w:left="418"/>
              <w:rPr>
                <w:rFonts w:ascii="Times New Roman" w:hAnsi="Times New Roman"/>
                <w:i/>
                <w:sz w:val="15"/>
              </w:rPr>
            </w:pPr>
            <w:r>
              <w:rPr>
                <w:rFonts w:ascii="Times New Roman" w:hAnsi="Times New Roman"/>
                <w:sz w:val="15"/>
              </w:rPr>
              <w:t>12.59±1.26 </w:t>
            </w:r>
            <w:r>
              <w:rPr>
                <w:rFonts w:ascii="Times New Roman" w:hAnsi="Times New Roman"/>
                <w:i/>
                <w:sz w:val="15"/>
                <w:vertAlign w:val="superscript"/>
              </w:rPr>
              <w:t>*#</w:t>
            </w:r>
          </w:p>
        </w:tc>
        <w:tc>
          <w:tcPr>
            <w:tcW w:w="1926" w:type="dxa"/>
            <w:tcBorders>
              <w:bottom w:val="single" w:sz="12" w:space="0" w:color="000000"/>
            </w:tcBorders>
          </w:tcPr>
          <w:p>
            <w:pPr>
              <w:pStyle w:val="TableParagraph"/>
              <w:spacing w:line="167" w:lineRule="exact" w:before="43"/>
              <w:ind w:left="358"/>
              <w:rPr>
                <w:rFonts w:ascii="Times New Roman" w:hAnsi="Times New Roman"/>
                <w:i/>
                <w:sz w:val="15"/>
              </w:rPr>
            </w:pPr>
            <w:r>
              <w:rPr>
                <w:rFonts w:ascii="Times New Roman" w:hAnsi="Times New Roman"/>
                <w:sz w:val="15"/>
              </w:rPr>
              <w:t>18.27±0.19 </w:t>
            </w:r>
            <w:r>
              <w:rPr>
                <w:rFonts w:ascii="Times New Roman" w:hAnsi="Times New Roman"/>
                <w:i/>
                <w:sz w:val="15"/>
                <w:vertAlign w:val="superscript"/>
              </w:rPr>
              <w:t>*#</w:t>
            </w:r>
          </w:p>
        </w:tc>
      </w:tr>
    </w:tbl>
    <w:p>
      <w:pPr>
        <w:pStyle w:val="BodyText"/>
        <w:ind w:left="757"/>
        <w:rPr>
          <w:rFonts w:ascii="楷体" w:eastAsia="楷体" w:hint="eastAsia"/>
        </w:rPr>
      </w:pPr>
      <w:r>
        <w:rPr>
          <w:rFonts w:ascii="楷体" w:eastAsia="楷体" w:hint="eastAsia"/>
        </w:rPr>
        <w:t>注：与治疗前比较，*P&lt;0. 05；与对照组治疗后比较，#P&lt;0. 05</w:t>
      </w:r>
    </w:p>
    <w:p>
      <w:pPr>
        <w:pStyle w:val="ListParagraph"/>
        <w:numPr>
          <w:ilvl w:val="1"/>
          <w:numId w:val="3"/>
        </w:numPr>
        <w:tabs>
          <w:tab w:pos="1178" w:val="left" w:leader="none"/>
        </w:tabs>
        <w:spacing w:line="297" w:lineRule="auto" w:before="69" w:after="0"/>
        <w:ind w:left="277" w:right="388" w:firstLine="480"/>
        <w:jc w:val="both"/>
        <w:rPr>
          <w:sz w:val="24"/>
        </w:rPr>
      </w:pPr>
      <w:r>
        <w:rPr>
          <w:sz w:val="24"/>
        </w:rPr>
        <w:t>2</w:t>
      </w:r>
      <w:r>
        <w:rPr>
          <w:spacing w:val="-11"/>
          <w:sz w:val="24"/>
        </w:rPr>
        <w:t> 组患者细菌清除情况比较 研究组细菌清除率为 </w:t>
      </w:r>
      <w:r>
        <w:rPr>
          <w:sz w:val="24"/>
        </w:rPr>
        <w:t>90.00%</w:t>
      </w:r>
      <w:r>
        <w:rPr>
          <w:spacing w:val="-7"/>
          <w:sz w:val="24"/>
        </w:rPr>
        <w:t>明显高于对照组，细菌再</w:t>
      </w:r>
      <w:r>
        <w:rPr>
          <w:spacing w:val="-5"/>
          <w:sz w:val="24"/>
        </w:rPr>
        <w:t>感染率和细菌替换率分别为 </w:t>
      </w:r>
      <w:r>
        <w:rPr>
          <w:sz w:val="24"/>
        </w:rPr>
        <w:t>6.67%</w:t>
      </w:r>
      <w:r>
        <w:rPr>
          <w:spacing w:val="-30"/>
          <w:sz w:val="24"/>
        </w:rPr>
        <w:t>和 </w:t>
      </w:r>
      <w:r>
        <w:rPr>
          <w:sz w:val="24"/>
        </w:rPr>
        <w:t>3.33%明显低于对照组（P&lt;0.05），</w:t>
      </w:r>
      <w:r>
        <w:rPr>
          <w:spacing w:val="-12"/>
          <w:sz w:val="24"/>
        </w:rPr>
        <w:t>结果见表 </w:t>
      </w:r>
      <w:r>
        <w:rPr>
          <w:sz w:val="24"/>
        </w:rPr>
        <w:t>2。</w:t>
      </w:r>
    </w:p>
    <w:p>
      <w:pPr>
        <w:pStyle w:val="BodyText"/>
        <w:tabs>
          <w:tab w:pos="1417" w:val="left" w:leader="none"/>
        </w:tabs>
        <w:spacing w:line="306" w:lineRule="exact" w:after="7"/>
        <w:ind w:left="757"/>
        <w:rPr>
          <w:rFonts w:ascii="楷体" w:eastAsia="楷体" w:hint="eastAsia"/>
        </w:rPr>
      </w:pPr>
      <w:r>
        <w:rPr>
          <w:rFonts w:ascii="楷体" w:eastAsia="楷体" w:hint="eastAsia"/>
        </w:rPr>
        <w:t>表</w:t>
      </w:r>
      <w:r>
        <w:rPr>
          <w:rFonts w:ascii="楷体" w:eastAsia="楷体" w:hint="eastAsia"/>
          <w:spacing w:val="-61"/>
        </w:rPr>
        <w:t> </w:t>
      </w:r>
      <w:r>
        <w:rPr>
          <w:rFonts w:ascii="楷体" w:eastAsia="楷体" w:hint="eastAsia"/>
        </w:rPr>
        <w:t>2</w:t>
        <w:tab/>
        <w:t>2</w:t>
      </w:r>
      <w:r>
        <w:rPr>
          <w:rFonts w:ascii="楷体" w:eastAsia="楷体" w:hint="eastAsia"/>
          <w:spacing w:val="-60"/>
        </w:rPr>
        <w:t> </w:t>
      </w:r>
      <w:r>
        <w:rPr>
          <w:rFonts w:ascii="楷体" w:eastAsia="楷体" w:hint="eastAsia"/>
        </w:rPr>
        <w:t>组患者细菌清除情况比较[例(%)]</w:t>
      </w: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1"/>
        <w:gridCol w:w="1256"/>
        <w:gridCol w:w="1867"/>
        <w:gridCol w:w="2127"/>
        <w:gridCol w:w="3360"/>
      </w:tblGrid>
      <w:tr>
        <w:trPr>
          <w:trHeight w:val="241" w:hRule="atLeast"/>
        </w:trPr>
        <w:tc>
          <w:tcPr>
            <w:tcW w:w="1121" w:type="dxa"/>
            <w:tcBorders>
              <w:top w:val="single" w:sz="12" w:space="0" w:color="000000"/>
              <w:bottom w:val="single" w:sz="4" w:space="0" w:color="000000"/>
            </w:tcBorders>
          </w:tcPr>
          <w:p>
            <w:pPr>
              <w:pStyle w:val="TableParagraph"/>
              <w:spacing w:line="178" w:lineRule="exact" w:before="44"/>
              <w:ind w:left="122"/>
              <w:rPr>
                <w:sz w:val="15"/>
              </w:rPr>
            </w:pPr>
            <w:r>
              <w:rPr>
                <w:sz w:val="15"/>
              </w:rPr>
              <w:t>组别</w:t>
            </w:r>
          </w:p>
        </w:tc>
        <w:tc>
          <w:tcPr>
            <w:tcW w:w="1256" w:type="dxa"/>
            <w:tcBorders>
              <w:top w:val="single" w:sz="12" w:space="0" w:color="000000"/>
              <w:bottom w:val="single" w:sz="4" w:space="0" w:color="000000"/>
            </w:tcBorders>
          </w:tcPr>
          <w:p>
            <w:pPr>
              <w:pStyle w:val="TableParagraph"/>
              <w:spacing w:line="178" w:lineRule="exact" w:before="44"/>
              <w:ind w:left="544"/>
              <w:rPr>
                <w:sz w:val="15"/>
              </w:rPr>
            </w:pPr>
            <w:r>
              <w:rPr>
                <w:sz w:val="15"/>
              </w:rPr>
              <w:t>例数</w:t>
            </w:r>
          </w:p>
        </w:tc>
        <w:tc>
          <w:tcPr>
            <w:tcW w:w="1867" w:type="dxa"/>
            <w:tcBorders>
              <w:top w:val="single" w:sz="12" w:space="0" w:color="000000"/>
              <w:bottom w:val="single" w:sz="4" w:space="0" w:color="000000"/>
            </w:tcBorders>
          </w:tcPr>
          <w:p>
            <w:pPr>
              <w:pStyle w:val="TableParagraph"/>
              <w:spacing w:line="178" w:lineRule="exact" w:before="44"/>
              <w:ind w:left="407"/>
              <w:rPr>
                <w:sz w:val="15"/>
              </w:rPr>
            </w:pPr>
            <w:r>
              <w:rPr>
                <w:sz w:val="15"/>
              </w:rPr>
              <w:t>细菌清除率</w:t>
            </w:r>
          </w:p>
        </w:tc>
        <w:tc>
          <w:tcPr>
            <w:tcW w:w="2127" w:type="dxa"/>
            <w:tcBorders>
              <w:top w:val="single" w:sz="12" w:space="0" w:color="000000"/>
              <w:bottom w:val="single" w:sz="4" w:space="0" w:color="000000"/>
            </w:tcBorders>
          </w:tcPr>
          <w:p>
            <w:pPr>
              <w:pStyle w:val="TableParagraph"/>
              <w:spacing w:line="178" w:lineRule="exact" w:before="44"/>
              <w:ind w:left="667"/>
              <w:rPr>
                <w:sz w:val="15"/>
              </w:rPr>
            </w:pPr>
            <w:r>
              <w:rPr>
                <w:sz w:val="15"/>
              </w:rPr>
              <w:t>细菌替换率</w:t>
            </w:r>
          </w:p>
        </w:tc>
        <w:tc>
          <w:tcPr>
            <w:tcW w:w="3360" w:type="dxa"/>
            <w:tcBorders>
              <w:top w:val="single" w:sz="12" w:space="0" w:color="000000"/>
              <w:bottom w:val="single" w:sz="4" w:space="0" w:color="000000"/>
            </w:tcBorders>
          </w:tcPr>
          <w:p>
            <w:pPr>
              <w:pStyle w:val="TableParagraph"/>
              <w:spacing w:line="178" w:lineRule="exact" w:before="44"/>
              <w:ind w:left="667"/>
              <w:rPr>
                <w:sz w:val="15"/>
              </w:rPr>
            </w:pPr>
            <w:r>
              <w:rPr>
                <w:sz w:val="15"/>
              </w:rPr>
              <w:t>细菌再感染率</w:t>
            </w:r>
          </w:p>
        </w:tc>
      </w:tr>
      <w:tr>
        <w:trPr>
          <w:trHeight w:val="261" w:hRule="atLeast"/>
        </w:trPr>
        <w:tc>
          <w:tcPr>
            <w:tcW w:w="1121" w:type="dxa"/>
            <w:tcBorders>
              <w:top w:val="single" w:sz="4" w:space="0" w:color="000000"/>
            </w:tcBorders>
          </w:tcPr>
          <w:p>
            <w:pPr>
              <w:pStyle w:val="TableParagraph"/>
              <w:spacing w:before="42"/>
              <w:ind w:left="122"/>
              <w:rPr>
                <w:sz w:val="15"/>
              </w:rPr>
            </w:pPr>
            <w:r>
              <w:rPr>
                <w:sz w:val="15"/>
              </w:rPr>
              <w:t>对照组</w:t>
            </w:r>
          </w:p>
        </w:tc>
        <w:tc>
          <w:tcPr>
            <w:tcW w:w="1256" w:type="dxa"/>
            <w:tcBorders>
              <w:top w:val="single" w:sz="4" w:space="0" w:color="000000"/>
            </w:tcBorders>
          </w:tcPr>
          <w:p>
            <w:pPr>
              <w:pStyle w:val="TableParagraph"/>
              <w:spacing w:before="52"/>
              <w:ind w:left="544"/>
              <w:rPr>
                <w:rFonts w:ascii="Times New Roman"/>
                <w:sz w:val="15"/>
              </w:rPr>
            </w:pPr>
            <w:r>
              <w:rPr>
                <w:rFonts w:ascii="Times New Roman"/>
                <w:sz w:val="15"/>
              </w:rPr>
              <w:t>30</w:t>
            </w:r>
          </w:p>
        </w:tc>
        <w:tc>
          <w:tcPr>
            <w:tcW w:w="1867" w:type="dxa"/>
            <w:tcBorders>
              <w:top w:val="single" w:sz="4" w:space="0" w:color="000000"/>
            </w:tcBorders>
          </w:tcPr>
          <w:p>
            <w:pPr>
              <w:pStyle w:val="TableParagraph"/>
              <w:spacing w:before="42"/>
              <w:ind w:left="407"/>
              <w:rPr>
                <w:sz w:val="15"/>
              </w:rPr>
            </w:pPr>
            <w:r>
              <w:rPr>
                <w:rFonts w:ascii="Times New Roman" w:eastAsia="Times New Roman"/>
                <w:sz w:val="15"/>
              </w:rPr>
              <w:t>19</w:t>
            </w:r>
            <w:r>
              <w:rPr>
                <w:sz w:val="15"/>
              </w:rPr>
              <w:t>（</w:t>
            </w:r>
            <w:r>
              <w:rPr>
                <w:rFonts w:ascii="Times New Roman" w:eastAsia="Times New Roman"/>
                <w:sz w:val="15"/>
              </w:rPr>
              <w:t>63.33</w:t>
            </w:r>
            <w:r>
              <w:rPr>
                <w:sz w:val="15"/>
              </w:rPr>
              <w:t>）</w:t>
            </w:r>
          </w:p>
        </w:tc>
        <w:tc>
          <w:tcPr>
            <w:tcW w:w="2127" w:type="dxa"/>
            <w:tcBorders>
              <w:top w:val="single" w:sz="4" w:space="0" w:color="000000"/>
            </w:tcBorders>
          </w:tcPr>
          <w:p>
            <w:pPr>
              <w:pStyle w:val="TableParagraph"/>
              <w:spacing w:before="42"/>
              <w:ind w:left="667"/>
              <w:rPr>
                <w:sz w:val="15"/>
              </w:rPr>
            </w:pPr>
            <w:r>
              <w:rPr>
                <w:rFonts w:ascii="Times New Roman" w:eastAsia="Times New Roman"/>
                <w:sz w:val="15"/>
              </w:rPr>
              <w:t>11</w:t>
            </w:r>
            <w:r>
              <w:rPr>
                <w:sz w:val="15"/>
              </w:rPr>
              <w:t>（</w:t>
            </w:r>
            <w:r>
              <w:rPr>
                <w:rFonts w:ascii="Times New Roman" w:eastAsia="Times New Roman"/>
                <w:sz w:val="15"/>
              </w:rPr>
              <w:t>36.67</w:t>
            </w:r>
            <w:r>
              <w:rPr>
                <w:sz w:val="15"/>
              </w:rPr>
              <w:t>）</w:t>
            </w:r>
          </w:p>
        </w:tc>
        <w:tc>
          <w:tcPr>
            <w:tcW w:w="3360" w:type="dxa"/>
            <w:tcBorders>
              <w:top w:val="single" w:sz="4" w:space="0" w:color="000000"/>
            </w:tcBorders>
          </w:tcPr>
          <w:p>
            <w:pPr>
              <w:pStyle w:val="TableParagraph"/>
              <w:spacing w:before="42"/>
              <w:ind w:left="667"/>
              <w:rPr>
                <w:sz w:val="15"/>
              </w:rPr>
            </w:pPr>
            <w:r>
              <w:rPr>
                <w:rFonts w:ascii="Times New Roman" w:eastAsia="Times New Roman"/>
                <w:sz w:val="15"/>
              </w:rPr>
              <w:t>6</w:t>
            </w:r>
            <w:r>
              <w:rPr>
                <w:sz w:val="15"/>
              </w:rPr>
              <w:t>（</w:t>
            </w:r>
            <w:r>
              <w:rPr>
                <w:rFonts w:ascii="Times New Roman" w:eastAsia="Times New Roman"/>
                <w:sz w:val="15"/>
              </w:rPr>
              <w:t>20.00</w:t>
            </w:r>
            <w:r>
              <w:rPr>
                <w:sz w:val="15"/>
              </w:rPr>
              <w:t>）</w:t>
            </w:r>
          </w:p>
        </w:tc>
      </w:tr>
      <w:tr>
        <w:trPr>
          <w:trHeight w:val="227" w:hRule="atLeast"/>
        </w:trPr>
        <w:tc>
          <w:tcPr>
            <w:tcW w:w="1121" w:type="dxa"/>
          </w:tcPr>
          <w:p>
            <w:pPr>
              <w:pStyle w:val="TableParagraph"/>
              <w:spacing w:line="187" w:lineRule="exact" w:before="21"/>
              <w:ind w:left="122"/>
              <w:rPr>
                <w:sz w:val="15"/>
              </w:rPr>
            </w:pPr>
            <w:r>
              <w:rPr>
                <w:sz w:val="15"/>
              </w:rPr>
              <w:t>研究组</w:t>
            </w:r>
          </w:p>
        </w:tc>
        <w:tc>
          <w:tcPr>
            <w:tcW w:w="1256" w:type="dxa"/>
          </w:tcPr>
          <w:p>
            <w:pPr>
              <w:pStyle w:val="TableParagraph"/>
              <w:spacing w:before="31"/>
              <w:ind w:left="544"/>
              <w:rPr>
                <w:rFonts w:ascii="Times New Roman"/>
                <w:sz w:val="15"/>
              </w:rPr>
            </w:pPr>
            <w:r>
              <w:rPr>
                <w:rFonts w:ascii="Times New Roman"/>
                <w:sz w:val="15"/>
              </w:rPr>
              <w:t>30</w:t>
            </w:r>
          </w:p>
        </w:tc>
        <w:tc>
          <w:tcPr>
            <w:tcW w:w="1867" w:type="dxa"/>
          </w:tcPr>
          <w:p>
            <w:pPr>
              <w:pStyle w:val="TableParagraph"/>
              <w:spacing w:line="187" w:lineRule="exact" w:before="21"/>
              <w:ind w:left="407"/>
              <w:rPr>
                <w:sz w:val="15"/>
              </w:rPr>
            </w:pPr>
            <w:r>
              <w:rPr>
                <w:rFonts w:ascii="Times New Roman" w:eastAsia="Times New Roman"/>
                <w:sz w:val="15"/>
              </w:rPr>
              <w:t>27</w:t>
            </w:r>
            <w:r>
              <w:rPr>
                <w:sz w:val="15"/>
              </w:rPr>
              <w:t>（</w:t>
            </w:r>
            <w:r>
              <w:rPr>
                <w:rFonts w:ascii="Times New Roman" w:eastAsia="Times New Roman"/>
                <w:sz w:val="15"/>
              </w:rPr>
              <w:t>90.00</w:t>
            </w:r>
            <w:r>
              <w:rPr>
                <w:sz w:val="15"/>
              </w:rPr>
              <w:t>）</w:t>
            </w:r>
          </w:p>
        </w:tc>
        <w:tc>
          <w:tcPr>
            <w:tcW w:w="2127" w:type="dxa"/>
          </w:tcPr>
          <w:p>
            <w:pPr>
              <w:pStyle w:val="TableParagraph"/>
              <w:spacing w:line="187" w:lineRule="exact" w:before="21"/>
              <w:ind w:left="667"/>
              <w:rPr>
                <w:sz w:val="15"/>
              </w:rPr>
            </w:pPr>
            <w:r>
              <w:rPr>
                <w:rFonts w:ascii="Times New Roman" w:eastAsia="Times New Roman"/>
                <w:sz w:val="15"/>
              </w:rPr>
              <w:t>2</w:t>
            </w:r>
            <w:r>
              <w:rPr>
                <w:sz w:val="15"/>
              </w:rPr>
              <w:t>（</w:t>
            </w:r>
            <w:r>
              <w:rPr>
                <w:rFonts w:ascii="Times New Roman" w:eastAsia="Times New Roman"/>
                <w:sz w:val="15"/>
              </w:rPr>
              <w:t>6.67</w:t>
            </w:r>
            <w:r>
              <w:rPr>
                <w:sz w:val="15"/>
              </w:rPr>
              <w:t>）</w:t>
            </w:r>
          </w:p>
        </w:tc>
        <w:tc>
          <w:tcPr>
            <w:tcW w:w="3360" w:type="dxa"/>
          </w:tcPr>
          <w:p>
            <w:pPr>
              <w:pStyle w:val="TableParagraph"/>
              <w:spacing w:line="187" w:lineRule="exact" w:before="21"/>
              <w:ind w:left="667"/>
              <w:rPr>
                <w:sz w:val="15"/>
              </w:rPr>
            </w:pPr>
            <w:r>
              <w:rPr>
                <w:rFonts w:ascii="Times New Roman" w:eastAsia="Times New Roman"/>
                <w:sz w:val="15"/>
              </w:rPr>
              <w:t>1</w:t>
            </w:r>
            <w:r>
              <w:rPr>
                <w:sz w:val="15"/>
              </w:rPr>
              <w:t>（</w:t>
            </w:r>
            <w:r>
              <w:rPr>
                <w:rFonts w:ascii="Times New Roman" w:eastAsia="Times New Roman"/>
                <w:sz w:val="15"/>
              </w:rPr>
              <w:t>3.33</w:t>
            </w:r>
            <w:r>
              <w:rPr>
                <w:sz w:val="15"/>
              </w:rPr>
              <w:t>）</w:t>
            </w:r>
          </w:p>
        </w:tc>
      </w:tr>
      <w:tr>
        <w:trPr>
          <w:trHeight w:val="252" w:hRule="atLeast"/>
        </w:trPr>
        <w:tc>
          <w:tcPr>
            <w:tcW w:w="1121" w:type="dxa"/>
          </w:tcPr>
          <w:p>
            <w:pPr>
              <w:pStyle w:val="TableParagraph"/>
              <w:spacing w:before="20"/>
              <w:ind w:left="122"/>
              <w:rPr>
                <w:rFonts w:ascii="Times New Roman" w:hAnsi="Times New Roman"/>
                <w:sz w:val="10"/>
              </w:rPr>
            </w:pPr>
            <w:r>
              <w:rPr>
                <w:rFonts w:ascii="Times New Roman" w:hAnsi="Times New Roman"/>
                <w:position w:val="-6"/>
                <w:sz w:val="15"/>
              </w:rPr>
              <w:t>χ</w:t>
            </w:r>
            <w:r>
              <w:rPr>
                <w:rFonts w:ascii="Times New Roman" w:hAnsi="Times New Roman"/>
                <w:sz w:val="10"/>
              </w:rPr>
              <w:t>2</w:t>
            </w:r>
          </w:p>
        </w:tc>
        <w:tc>
          <w:tcPr>
            <w:tcW w:w="1256" w:type="dxa"/>
          </w:tcPr>
          <w:p>
            <w:pPr>
              <w:pStyle w:val="TableParagraph"/>
              <w:rPr>
                <w:rFonts w:ascii="Times New Roman"/>
                <w:sz w:val="18"/>
              </w:rPr>
            </w:pPr>
          </w:p>
        </w:tc>
        <w:tc>
          <w:tcPr>
            <w:tcW w:w="1867" w:type="dxa"/>
          </w:tcPr>
          <w:p>
            <w:pPr>
              <w:pStyle w:val="TableParagraph"/>
              <w:spacing w:before="43"/>
              <w:ind w:left="407"/>
              <w:rPr>
                <w:rFonts w:ascii="Times New Roman"/>
                <w:sz w:val="15"/>
              </w:rPr>
            </w:pPr>
            <w:r>
              <w:rPr>
                <w:rFonts w:ascii="Times New Roman"/>
                <w:sz w:val="15"/>
              </w:rPr>
              <w:t>5.963</w:t>
            </w:r>
          </w:p>
        </w:tc>
        <w:tc>
          <w:tcPr>
            <w:tcW w:w="2127" w:type="dxa"/>
          </w:tcPr>
          <w:p>
            <w:pPr>
              <w:pStyle w:val="TableParagraph"/>
              <w:spacing w:before="43"/>
              <w:ind w:left="667"/>
              <w:rPr>
                <w:rFonts w:ascii="Times New Roman"/>
                <w:sz w:val="15"/>
              </w:rPr>
            </w:pPr>
            <w:r>
              <w:rPr>
                <w:rFonts w:ascii="Times New Roman"/>
                <w:sz w:val="15"/>
              </w:rPr>
              <w:t>6.661</w:t>
            </w:r>
          </w:p>
        </w:tc>
        <w:tc>
          <w:tcPr>
            <w:tcW w:w="3360" w:type="dxa"/>
          </w:tcPr>
          <w:p>
            <w:pPr>
              <w:pStyle w:val="TableParagraph"/>
              <w:spacing w:before="43"/>
              <w:ind w:left="667"/>
              <w:rPr>
                <w:rFonts w:ascii="Times New Roman"/>
                <w:sz w:val="15"/>
              </w:rPr>
            </w:pPr>
            <w:r>
              <w:rPr>
                <w:rFonts w:ascii="Times New Roman"/>
                <w:sz w:val="15"/>
              </w:rPr>
              <w:t>5.192</w:t>
            </w:r>
          </w:p>
        </w:tc>
      </w:tr>
      <w:tr>
        <w:trPr>
          <w:trHeight w:val="218" w:hRule="atLeast"/>
        </w:trPr>
        <w:tc>
          <w:tcPr>
            <w:tcW w:w="1121" w:type="dxa"/>
            <w:tcBorders>
              <w:bottom w:val="single" w:sz="12" w:space="0" w:color="000000"/>
            </w:tcBorders>
          </w:tcPr>
          <w:p>
            <w:pPr>
              <w:pStyle w:val="TableParagraph"/>
              <w:spacing w:line="167" w:lineRule="exact" w:before="31"/>
              <w:ind w:left="122"/>
              <w:rPr>
                <w:rFonts w:ascii="Times New Roman"/>
                <w:i/>
                <w:sz w:val="15"/>
              </w:rPr>
            </w:pPr>
            <w:r>
              <w:rPr>
                <w:rFonts w:ascii="Times New Roman"/>
                <w:i/>
                <w:w w:val="100"/>
                <w:sz w:val="15"/>
              </w:rPr>
              <w:t>P</w:t>
            </w:r>
          </w:p>
        </w:tc>
        <w:tc>
          <w:tcPr>
            <w:tcW w:w="1256" w:type="dxa"/>
            <w:tcBorders>
              <w:bottom w:val="single" w:sz="12" w:space="0" w:color="000000"/>
            </w:tcBorders>
          </w:tcPr>
          <w:p>
            <w:pPr>
              <w:pStyle w:val="TableParagraph"/>
              <w:rPr>
                <w:rFonts w:ascii="Times New Roman"/>
                <w:sz w:val="14"/>
              </w:rPr>
            </w:pPr>
          </w:p>
        </w:tc>
        <w:tc>
          <w:tcPr>
            <w:tcW w:w="1867" w:type="dxa"/>
            <w:tcBorders>
              <w:bottom w:val="single" w:sz="12" w:space="0" w:color="000000"/>
            </w:tcBorders>
          </w:tcPr>
          <w:p>
            <w:pPr>
              <w:pStyle w:val="TableParagraph"/>
              <w:spacing w:line="167" w:lineRule="exact" w:before="31"/>
              <w:ind w:left="407"/>
              <w:rPr>
                <w:rFonts w:ascii="Times New Roman"/>
                <w:sz w:val="15"/>
              </w:rPr>
            </w:pPr>
            <w:r>
              <w:rPr>
                <w:rFonts w:ascii="Times New Roman"/>
                <w:sz w:val="15"/>
              </w:rPr>
              <w:t>0.031</w:t>
            </w:r>
          </w:p>
        </w:tc>
        <w:tc>
          <w:tcPr>
            <w:tcW w:w="2127" w:type="dxa"/>
            <w:tcBorders>
              <w:bottom w:val="single" w:sz="12" w:space="0" w:color="000000"/>
            </w:tcBorders>
          </w:tcPr>
          <w:p>
            <w:pPr>
              <w:pStyle w:val="TableParagraph"/>
              <w:spacing w:line="167" w:lineRule="exact" w:before="31"/>
              <w:ind w:left="667"/>
              <w:rPr>
                <w:rFonts w:ascii="Times New Roman"/>
                <w:sz w:val="15"/>
              </w:rPr>
            </w:pPr>
            <w:r>
              <w:rPr>
                <w:rFonts w:ascii="Times New Roman"/>
                <w:sz w:val="15"/>
              </w:rPr>
              <w:t>0.021</w:t>
            </w:r>
          </w:p>
        </w:tc>
        <w:tc>
          <w:tcPr>
            <w:tcW w:w="3360" w:type="dxa"/>
            <w:tcBorders>
              <w:bottom w:val="single" w:sz="12" w:space="0" w:color="000000"/>
            </w:tcBorders>
          </w:tcPr>
          <w:p>
            <w:pPr>
              <w:pStyle w:val="TableParagraph"/>
              <w:spacing w:line="167" w:lineRule="exact" w:before="31"/>
              <w:ind w:left="667"/>
              <w:rPr>
                <w:rFonts w:ascii="Times New Roman"/>
                <w:sz w:val="15"/>
              </w:rPr>
            </w:pPr>
            <w:r>
              <w:rPr>
                <w:rFonts w:ascii="Times New Roman"/>
                <w:sz w:val="15"/>
              </w:rPr>
              <w:t>0.046</w:t>
            </w:r>
          </w:p>
        </w:tc>
      </w:tr>
    </w:tbl>
    <w:p>
      <w:pPr>
        <w:pStyle w:val="ListParagraph"/>
        <w:numPr>
          <w:ilvl w:val="1"/>
          <w:numId w:val="3"/>
        </w:numPr>
        <w:tabs>
          <w:tab w:pos="1358" w:val="left" w:leader="none"/>
        </w:tabs>
        <w:spacing w:line="297" w:lineRule="auto" w:before="64" w:after="0"/>
        <w:ind w:left="277" w:right="388" w:firstLine="480"/>
        <w:jc w:val="both"/>
        <w:rPr>
          <w:sz w:val="24"/>
        </w:rPr>
      </w:pPr>
      <w:r>
        <w:rPr>
          <w:sz w:val="24"/>
        </w:rPr>
        <w:t>2</w:t>
      </w:r>
      <w:r>
        <w:rPr>
          <w:spacing w:val="-10"/>
          <w:sz w:val="24"/>
        </w:rPr>
        <w:t> 组患者疗效比较 研究组总有效例数为 </w:t>
      </w:r>
      <w:r>
        <w:rPr>
          <w:sz w:val="24"/>
        </w:rPr>
        <w:t>24</w:t>
      </w:r>
      <w:r>
        <w:rPr>
          <w:spacing w:val="-37"/>
          <w:sz w:val="24"/>
        </w:rPr>
        <w:t> 例</w:t>
      </w:r>
      <w:r>
        <w:rPr>
          <w:spacing w:val="-4"/>
          <w:sz w:val="24"/>
        </w:rPr>
        <w:t>（80.00%），高于对照组总有效例</w:t>
      </w:r>
      <w:r>
        <w:rPr>
          <w:spacing w:val="-31"/>
          <w:sz w:val="24"/>
        </w:rPr>
        <w:t>数 </w:t>
      </w:r>
      <w:r>
        <w:rPr>
          <w:sz w:val="24"/>
        </w:rPr>
        <w:t>16</w:t>
      </w:r>
      <w:r>
        <w:rPr>
          <w:spacing w:val="-30"/>
          <w:sz w:val="24"/>
        </w:rPr>
        <w:t> 例</w:t>
      </w:r>
      <w:r>
        <w:rPr>
          <w:sz w:val="24"/>
        </w:rPr>
        <w:t>（53.33%），2</w:t>
      </w:r>
      <w:r>
        <w:rPr>
          <w:spacing w:val="-8"/>
          <w:sz w:val="24"/>
        </w:rPr>
        <w:t> 组间比较差异显著</w:t>
      </w:r>
      <w:r>
        <w:rPr>
          <w:sz w:val="24"/>
        </w:rPr>
        <w:t>（P&lt;0.05），</w:t>
      </w:r>
      <w:r>
        <w:rPr>
          <w:spacing w:val="-12"/>
          <w:sz w:val="24"/>
        </w:rPr>
        <w:t>结果见表 </w:t>
      </w:r>
      <w:r>
        <w:rPr>
          <w:sz w:val="24"/>
        </w:rPr>
        <w:t>3。</w:t>
      </w:r>
    </w:p>
    <w:p>
      <w:pPr>
        <w:pStyle w:val="BodyText"/>
        <w:tabs>
          <w:tab w:pos="1417" w:val="left" w:leader="none"/>
        </w:tabs>
        <w:spacing w:line="241" w:lineRule="exact" w:after="5"/>
        <w:ind w:left="757"/>
        <w:rPr>
          <w:rFonts w:ascii="楷体" w:eastAsia="楷体" w:hint="eastAsia"/>
        </w:rPr>
      </w:pPr>
      <w:r>
        <w:rPr>
          <w:rFonts w:ascii="楷体" w:eastAsia="楷体" w:hint="eastAsia"/>
        </w:rPr>
        <w:t>表</w:t>
      </w:r>
      <w:r>
        <w:rPr>
          <w:rFonts w:ascii="楷体" w:eastAsia="楷体" w:hint="eastAsia"/>
          <w:spacing w:val="-61"/>
        </w:rPr>
        <w:t> </w:t>
      </w:r>
      <w:r>
        <w:rPr>
          <w:rFonts w:ascii="楷体" w:eastAsia="楷体" w:hint="eastAsia"/>
        </w:rPr>
        <w:t>3</w:t>
        <w:tab/>
        <w:t>2</w:t>
      </w:r>
      <w:r>
        <w:rPr>
          <w:rFonts w:ascii="楷体" w:eastAsia="楷体" w:hint="eastAsia"/>
          <w:spacing w:val="-60"/>
        </w:rPr>
        <w:t> </w:t>
      </w:r>
      <w:r>
        <w:rPr>
          <w:rFonts w:ascii="楷体" w:eastAsia="楷体" w:hint="eastAsia"/>
        </w:rPr>
        <w:t>组患者疗效比较（n）</w:t>
      </w: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3"/>
        <w:gridCol w:w="1244"/>
        <w:gridCol w:w="1250"/>
        <w:gridCol w:w="1456"/>
        <w:gridCol w:w="1563"/>
        <w:gridCol w:w="3118"/>
      </w:tblGrid>
      <w:tr>
        <w:trPr>
          <w:trHeight w:val="241" w:hRule="atLeast"/>
        </w:trPr>
        <w:tc>
          <w:tcPr>
            <w:tcW w:w="1093" w:type="dxa"/>
            <w:tcBorders>
              <w:top w:val="single" w:sz="12" w:space="0" w:color="000000"/>
              <w:bottom w:val="single" w:sz="4" w:space="0" w:color="000000"/>
            </w:tcBorders>
          </w:tcPr>
          <w:p>
            <w:pPr>
              <w:pStyle w:val="TableParagraph"/>
              <w:spacing w:line="178" w:lineRule="exact" w:before="43"/>
              <w:ind w:left="122"/>
              <w:rPr>
                <w:sz w:val="15"/>
              </w:rPr>
            </w:pPr>
            <w:r>
              <w:rPr>
                <w:sz w:val="15"/>
              </w:rPr>
              <w:t>组别</w:t>
            </w:r>
          </w:p>
        </w:tc>
        <w:tc>
          <w:tcPr>
            <w:tcW w:w="1244" w:type="dxa"/>
            <w:tcBorders>
              <w:top w:val="single" w:sz="12" w:space="0" w:color="000000"/>
              <w:bottom w:val="single" w:sz="4" w:space="0" w:color="000000"/>
            </w:tcBorders>
          </w:tcPr>
          <w:p>
            <w:pPr>
              <w:pStyle w:val="TableParagraph"/>
              <w:spacing w:line="178" w:lineRule="exact" w:before="43"/>
              <w:ind w:left="517"/>
              <w:rPr>
                <w:sz w:val="15"/>
              </w:rPr>
            </w:pPr>
            <w:r>
              <w:rPr>
                <w:sz w:val="15"/>
              </w:rPr>
              <w:t>例数</w:t>
            </w:r>
          </w:p>
        </w:tc>
        <w:tc>
          <w:tcPr>
            <w:tcW w:w="1250" w:type="dxa"/>
            <w:tcBorders>
              <w:top w:val="single" w:sz="12" w:space="0" w:color="000000"/>
              <w:bottom w:val="single" w:sz="4" w:space="0" w:color="000000"/>
            </w:tcBorders>
          </w:tcPr>
          <w:p>
            <w:pPr>
              <w:pStyle w:val="TableParagraph"/>
              <w:spacing w:line="178" w:lineRule="exact" w:before="43"/>
              <w:ind w:left="425"/>
              <w:rPr>
                <w:sz w:val="15"/>
              </w:rPr>
            </w:pPr>
            <w:r>
              <w:rPr>
                <w:sz w:val="15"/>
              </w:rPr>
              <w:t>显效</w:t>
            </w:r>
          </w:p>
        </w:tc>
        <w:tc>
          <w:tcPr>
            <w:tcW w:w="1456" w:type="dxa"/>
            <w:tcBorders>
              <w:top w:val="single" w:sz="12" w:space="0" w:color="000000"/>
              <w:bottom w:val="single" w:sz="4" w:space="0" w:color="000000"/>
            </w:tcBorders>
          </w:tcPr>
          <w:p>
            <w:pPr>
              <w:pStyle w:val="TableParagraph"/>
              <w:spacing w:line="178" w:lineRule="exact" w:before="43"/>
              <w:ind w:left="524"/>
              <w:rPr>
                <w:sz w:val="15"/>
              </w:rPr>
            </w:pPr>
            <w:r>
              <w:rPr>
                <w:sz w:val="15"/>
              </w:rPr>
              <w:t>有效</w:t>
            </w:r>
          </w:p>
        </w:tc>
        <w:tc>
          <w:tcPr>
            <w:tcW w:w="1563" w:type="dxa"/>
            <w:tcBorders>
              <w:top w:val="single" w:sz="12" w:space="0" w:color="000000"/>
              <w:bottom w:val="single" w:sz="4" w:space="0" w:color="000000"/>
            </w:tcBorders>
          </w:tcPr>
          <w:p>
            <w:pPr>
              <w:pStyle w:val="TableParagraph"/>
              <w:spacing w:line="178" w:lineRule="exact" w:before="43"/>
              <w:ind w:left="633"/>
              <w:rPr>
                <w:sz w:val="15"/>
              </w:rPr>
            </w:pPr>
            <w:r>
              <w:rPr>
                <w:sz w:val="15"/>
              </w:rPr>
              <w:t>无效</w:t>
            </w:r>
          </w:p>
        </w:tc>
        <w:tc>
          <w:tcPr>
            <w:tcW w:w="3118" w:type="dxa"/>
            <w:tcBorders>
              <w:top w:val="single" w:sz="12" w:space="0" w:color="000000"/>
              <w:bottom w:val="single" w:sz="4" w:space="0" w:color="000000"/>
            </w:tcBorders>
          </w:tcPr>
          <w:p>
            <w:pPr>
              <w:pStyle w:val="TableParagraph"/>
              <w:spacing w:line="178" w:lineRule="exact" w:before="43"/>
              <w:ind w:left="633"/>
              <w:rPr>
                <w:sz w:val="15"/>
              </w:rPr>
            </w:pPr>
            <w:r>
              <w:rPr>
                <w:sz w:val="15"/>
              </w:rPr>
              <w:t>总有效率</w:t>
            </w:r>
          </w:p>
        </w:tc>
      </w:tr>
      <w:tr>
        <w:trPr>
          <w:trHeight w:val="260" w:hRule="atLeast"/>
        </w:trPr>
        <w:tc>
          <w:tcPr>
            <w:tcW w:w="1093" w:type="dxa"/>
            <w:tcBorders>
              <w:top w:val="single" w:sz="4" w:space="0" w:color="000000"/>
            </w:tcBorders>
          </w:tcPr>
          <w:p>
            <w:pPr>
              <w:pStyle w:val="TableParagraph"/>
              <w:spacing w:before="42"/>
              <w:ind w:left="122"/>
              <w:rPr>
                <w:sz w:val="15"/>
              </w:rPr>
            </w:pPr>
            <w:r>
              <w:rPr>
                <w:sz w:val="15"/>
              </w:rPr>
              <w:t>研究组</w:t>
            </w:r>
          </w:p>
        </w:tc>
        <w:tc>
          <w:tcPr>
            <w:tcW w:w="1244" w:type="dxa"/>
            <w:tcBorders>
              <w:top w:val="single" w:sz="4" w:space="0" w:color="000000"/>
            </w:tcBorders>
          </w:tcPr>
          <w:p>
            <w:pPr>
              <w:pStyle w:val="TableParagraph"/>
              <w:spacing w:before="51"/>
              <w:ind w:left="517"/>
              <w:rPr>
                <w:rFonts w:ascii="Times New Roman"/>
                <w:sz w:val="15"/>
              </w:rPr>
            </w:pPr>
            <w:r>
              <w:rPr>
                <w:rFonts w:ascii="Times New Roman"/>
                <w:sz w:val="15"/>
              </w:rPr>
              <w:t>30</w:t>
            </w:r>
          </w:p>
        </w:tc>
        <w:tc>
          <w:tcPr>
            <w:tcW w:w="1250" w:type="dxa"/>
            <w:tcBorders>
              <w:top w:val="single" w:sz="4" w:space="0" w:color="000000"/>
            </w:tcBorders>
          </w:tcPr>
          <w:p>
            <w:pPr>
              <w:pStyle w:val="TableParagraph"/>
              <w:spacing w:before="51"/>
              <w:ind w:left="425"/>
              <w:rPr>
                <w:rFonts w:ascii="Times New Roman"/>
                <w:sz w:val="15"/>
              </w:rPr>
            </w:pPr>
            <w:r>
              <w:rPr>
                <w:rFonts w:ascii="Times New Roman"/>
                <w:sz w:val="15"/>
              </w:rPr>
              <w:t>18</w:t>
            </w:r>
          </w:p>
        </w:tc>
        <w:tc>
          <w:tcPr>
            <w:tcW w:w="1456" w:type="dxa"/>
            <w:tcBorders>
              <w:top w:val="single" w:sz="4" w:space="0" w:color="000000"/>
            </w:tcBorders>
          </w:tcPr>
          <w:p>
            <w:pPr>
              <w:pStyle w:val="TableParagraph"/>
              <w:spacing w:before="51"/>
              <w:ind w:left="524"/>
              <w:rPr>
                <w:rFonts w:ascii="Times New Roman"/>
                <w:sz w:val="15"/>
              </w:rPr>
            </w:pPr>
            <w:r>
              <w:rPr>
                <w:rFonts w:ascii="Times New Roman"/>
                <w:w w:val="100"/>
                <w:sz w:val="15"/>
              </w:rPr>
              <w:t>6</w:t>
            </w:r>
          </w:p>
        </w:tc>
        <w:tc>
          <w:tcPr>
            <w:tcW w:w="1563" w:type="dxa"/>
            <w:tcBorders>
              <w:top w:val="single" w:sz="4" w:space="0" w:color="000000"/>
            </w:tcBorders>
          </w:tcPr>
          <w:p>
            <w:pPr>
              <w:pStyle w:val="TableParagraph"/>
              <w:spacing w:before="51"/>
              <w:ind w:left="633"/>
              <w:rPr>
                <w:rFonts w:ascii="Times New Roman"/>
                <w:sz w:val="15"/>
              </w:rPr>
            </w:pPr>
            <w:r>
              <w:rPr>
                <w:rFonts w:ascii="Times New Roman"/>
                <w:w w:val="100"/>
                <w:sz w:val="15"/>
              </w:rPr>
              <w:t>6</w:t>
            </w:r>
          </w:p>
        </w:tc>
        <w:tc>
          <w:tcPr>
            <w:tcW w:w="3118" w:type="dxa"/>
            <w:tcBorders>
              <w:top w:val="single" w:sz="4" w:space="0" w:color="000000"/>
            </w:tcBorders>
          </w:tcPr>
          <w:p>
            <w:pPr>
              <w:pStyle w:val="TableParagraph"/>
              <w:spacing w:before="42"/>
              <w:ind w:left="633"/>
              <w:rPr>
                <w:sz w:val="15"/>
              </w:rPr>
            </w:pPr>
            <w:r>
              <w:rPr>
                <w:rFonts w:ascii="Times New Roman" w:eastAsia="Times New Roman"/>
                <w:sz w:val="15"/>
              </w:rPr>
              <w:t>24</w:t>
            </w:r>
            <w:r>
              <w:rPr>
                <w:sz w:val="15"/>
              </w:rPr>
              <w:t>（</w:t>
            </w:r>
            <w:r>
              <w:rPr>
                <w:rFonts w:ascii="Times New Roman" w:eastAsia="Times New Roman"/>
                <w:sz w:val="15"/>
              </w:rPr>
              <w:t>80.00%</w:t>
            </w:r>
            <w:r>
              <w:rPr>
                <w:sz w:val="15"/>
              </w:rPr>
              <w:t>）</w:t>
            </w:r>
          </w:p>
        </w:tc>
      </w:tr>
      <w:tr>
        <w:trPr>
          <w:trHeight w:val="227" w:hRule="atLeast"/>
        </w:trPr>
        <w:tc>
          <w:tcPr>
            <w:tcW w:w="1093" w:type="dxa"/>
          </w:tcPr>
          <w:p>
            <w:pPr>
              <w:pStyle w:val="TableParagraph"/>
              <w:spacing w:line="187" w:lineRule="exact" w:before="21"/>
              <w:ind w:left="122"/>
              <w:rPr>
                <w:sz w:val="15"/>
              </w:rPr>
            </w:pPr>
            <w:r>
              <w:rPr>
                <w:sz w:val="15"/>
              </w:rPr>
              <w:t>对照组</w:t>
            </w:r>
          </w:p>
        </w:tc>
        <w:tc>
          <w:tcPr>
            <w:tcW w:w="1244" w:type="dxa"/>
          </w:tcPr>
          <w:p>
            <w:pPr>
              <w:pStyle w:val="TableParagraph"/>
              <w:spacing w:before="31"/>
              <w:ind w:left="517"/>
              <w:rPr>
                <w:rFonts w:ascii="Times New Roman"/>
                <w:sz w:val="15"/>
              </w:rPr>
            </w:pPr>
            <w:r>
              <w:rPr>
                <w:rFonts w:ascii="Times New Roman"/>
                <w:sz w:val="15"/>
              </w:rPr>
              <w:t>30</w:t>
            </w:r>
          </w:p>
        </w:tc>
        <w:tc>
          <w:tcPr>
            <w:tcW w:w="1250" w:type="dxa"/>
          </w:tcPr>
          <w:p>
            <w:pPr>
              <w:pStyle w:val="TableParagraph"/>
              <w:spacing w:before="31"/>
              <w:ind w:left="425"/>
              <w:rPr>
                <w:rFonts w:ascii="Times New Roman"/>
                <w:sz w:val="15"/>
              </w:rPr>
            </w:pPr>
            <w:r>
              <w:rPr>
                <w:rFonts w:ascii="Times New Roman"/>
                <w:sz w:val="15"/>
              </w:rPr>
              <w:t>10</w:t>
            </w:r>
          </w:p>
        </w:tc>
        <w:tc>
          <w:tcPr>
            <w:tcW w:w="1456" w:type="dxa"/>
          </w:tcPr>
          <w:p>
            <w:pPr>
              <w:pStyle w:val="TableParagraph"/>
              <w:spacing w:before="31"/>
              <w:ind w:left="524"/>
              <w:rPr>
                <w:rFonts w:ascii="Times New Roman"/>
                <w:sz w:val="15"/>
              </w:rPr>
            </w:pPr>
            <w:r>
              <w:rPr>
                <w:rFonts w:ascii="Times New Roman"/>
                <w:w w:val="100"/>
                <w:sz w:val="15"/>
              </w:rPr>
              <w:t>6</w:t>
            </w:r>
          </w:p>
        </w:tc>
        <w:tc>
          <w:tcPr>
            <w:tcW w:w="1563" w:type="dxa"/>
          </w:tcPr>
          <w:p>
            <w:pPr>
              <w:pStyle w:val="TableParagraph"/>
              <w:spacing w:before="31"/>
              <w:ind w:left="633"/>
              <w:rPr>
                <w:rFonts w:ascii="Times New Roman"/>
                <w:sz w:val="15"/>
              </w:rPr>
            </w:pPr>
            <w:r>
              <w:rPr>
                <w:rFonts w:ascii="Times New Roman"/>
                <w:sz w:val="15"/>
              </w:rPr>
              <w:t>14</w:t>
            </w:r>
          </w:p>
        </w:tc>
        <w:tc>
          <w:tcPr>
            <w:tcW w:w="3118" w:type="dxa"/>
          </w:tcPr>
          <w:p>
            <w:pPr>
              <w:pStyle w:val="TableParagraph"/>
              <w:spacing w:line="187" w:lineRule="exact" w:before="21"/>
              <w:ind w:left="633"/>
              <w:rPr>
                <w:sz w:val="15"/>
              </w:rPr>
            </w:pPr>
            <w:r>
              <w:rPr>
                <w:rFonts w:ascii="Times New Roman" w:eastAsia="Times New Roman"/>
                <w:sz w:val="15"/>
              </w:rPr>
              <w:t>16</w:t>
            </w:r>
            <w:r>
              <w:rPr>
                <w:sz w:val="15"/>
              </w:rPr>
              <w:t>（</w:t>
            </w:r>
            <w:r>
              <w:rPr>
                <w:rFonts w:ascii="Times New Roman" w:eastAsia="Times New Roman"/>
                <w:sz w:val="15"/>
              </w:rPr>
              <w:t>53.33%</w:t>
            </w:r>
            <w:r>
              <w:rPr>
                <w:sz w:val="15"/>
              </w:rPr>
              <w:t>）</w:t>
            </w:r>
          </w:p>
        </w:tc>
      </w:tr>
      <w:tr>
        <w:trPr>
          <w:trHeight w:val="252" w:hRule="atLeast"/>
        </w:trPr>
        <w:tc>
          <w:tcPr>
            <w:tcW w:w="1093" w:type="dxa"/>
          </w:tcPr>
          <w:p>
            <w:pPr>
              <w:pStyle w:val="TableParagraph"/>
              <w:spacing w:before="20"/>
              <w:ind w:left="122"/>
              <w:rPr>
                <w:rFonts w:ascii="Times New Roman" w:hAnsi="Times New Roman"/>
                <w:sz w:val="10"/>
              </w:rPr>
            </w:pPr>
            <w:r>
              <w:rPr>
                <w:rFonts w:ascii="Times New Roman" w:hAnsi="Times New Roman"/>
                <w:position w:val="-6"/>
                <w:sz w:val="15"/>
              </w:rPr>
              <w:t>χ</w:t>
            </w:r>
            <w:r>
              <w:rPr>
                <w:rFonts w:ascii="Times New Roman" w:hAnsi="Times New Roman"/>
                <w:sz w:val="10"/>
              </w:rPr>
              <w:t>2</w:t>
            </w:r>
          </w:p>
        </w:tc>
        <w:tc>
          <w:tcPr>
            <w:tcW w:w="1244" w:type="dxa"/>
          </w:tcPr>
          <w:p>
            <w:pPr>
              <w:pStyle w:val="TableParagraph"/>
              <w:rPr>
                <w:rFonts w:ascii="Times New Roman"/>
                <w:sz w:val="18"/>
              </w:rPr>
            </w:pPr>
          </w:p>
        </w:tc>
        <w:tc>
          <w:tcPr>
            <w:tcW w:w="1250" w:type="dxa"/>
          </w:tcPr>
          <w:p>
            <w:pPr>
              <w:pStyle w:val="TableParagraph"/>
              <w:rPr>
                <w:rFonts w:ascii="Times New Roman"/>
                <w:sz w:val="18"/>
              </w:rPr>
            </w:pPr>
          </w:p>
        </w:tc>
        <w:tc>
          <w:tcPr>
            <w:tcW w:w="1456" w:type="dxa"/>
          </w:tcPr>
          <w:p>
            <w:pPr>
              <w:pStyle w:val="TableParagraph"/>
              <w:rPr>
                <w:rFonts w:ascii="Times New Roman"/>
                <w:sz w:val="18"/>
              </w:rPr>
            </w:pPr>
          </w:p>
        </w:tc>
        <w:tc>
          <w:tcPr>
            <w:tcW w:w="1563" w:type="dxa"/>
          </w:tcPr>
          <w:p>
            <w:pPr>
              <w:pStyle w:val="TableParagraph"/>
              <w:rPr>
                <w:rFonts w:ascii="Times New Roman"/>
                <w:sz w:val="18"/>
              </w:rPr>
            </w:pPr>
          </w:p>
        </w:tc>
        <w:tc>
          <w:tcPr>
            <w:tcW w:w="3118" w:type="dxa"/>
          </w:tcPr>
          <w:p>
            <w:pPr>
              <w:pStyle w:val="TableParagraph"/>
              <w:spacing w:before="43"/>
              <w:ind w:left="633"/>
              <w:rPr>
                <w:rFonts w:ascii="Times New Roman"/>
                <w:sz w:val="15"/>
              </w:rPr>
            </w:pPr>
            <w:r>
              <w:rPr>
                <w:rFonts w:ascii="Times New Roman"/>
                <w:sz w:val="15"/>
              </w:rPr>
              <w:t>5.133</w:t>
            </w:r>
          </w:p>
        </w:tc>
      </w:tr>
      <w:tr>
        <w:trPr>
          <w:trHeight w:val="218" w:hRule="atLeast"/>
        </w:trPr>
        <w:tc>
          <w:tcPr>
            <w:tcW w:w="1093" w:type="dxa"/>
            <w:tcBorders>
              <w:bottom w:val="single" w:sz="12" w:space="0" w:color="000000"/>
            </w:tcBorders>
          </w:tcPr>
          <w:p>
            <w:pPr>
              <w:pStyle w:val="TableParagraph"/>
              <w:spacing w:line="167" w:lineRule="exact" w:before="31"/>
              <w:ind w:left="122"/>
              <w:rPr>
                <w:rFonts w:ascii="Times New Roman"/>
                <w:i/>
                <w:sz w:val="15"/>
              </w:rPr>
            </w:pPr>
            <w:r>
              <w:rPr>
                <w:rFonts w:ascii="Times New Roman"/>
                <w:i/>
                <w:w w:val="100"/>
                <w:sz w:val="15"/>
              </w:rPr>
              <w:t>P</w:t>
            </w:r>
          </w:p>
        </w:tc>
        <w:tc>
          <w:tcPr>
            <w:tcW w:w="1244" w:type="dxa"/>
            <w:tcBorders>
              <w:bottom w:val="single" w:sz="12" w:space="0" w:color="000000"/>
            </w:tcBorders>
          </w:tcPr>
          <w:p>
            <w:pPr>
              <w:pStyle w:val="TableParagraph"/>
              <w:rPr>
                <w:rFonts w:ascii="Times New Roman"/>
                <w:sz w:val="14"/>
              </w:rPr>
            </w:pPr>
          </w:p>
        </w:tc>
        <w:tc>
          <w:tcPr>
            <w:tcW w:w="1250" w:type="dxa"/>
            <w:tcBorders>
              <w:bottom w:val="single" w:sz="12" w:space="0" w:color="000000"/>
            </w:tcBorders>
          </w:tcPr>
          <w:p>
            <w:pPr>
              <w:pStyle w:val="TableParagraph"/>
              <w:rPr>
                <w:rFonts w:ascii="Times New Roman"/>
                <w:sz w:val="14"/>
              </w:rPr>
            </w:pPr>
          </w:p>
        </w:tc>
        <w:tc>
          <w:tcPr>
            <w:tcW w:w="1456" w:type="dxa"/>
            <w:tcBorders>
              <w:bottom w:val="single" w:sz="12" w:space="0" w:color="000000"/>
            </w:tcBorders>
          </w:tcPr>
          <w:p>
            <w:pPr>
              <w:pStyle w:val="TableParagraph"/>
              <w:rPr>
                <w:rFonts w:ascii="Times New Roman"/>
                <w:sz w:val="14"/>
              </w:rPr>
            </w:pPr>
          </w:p>
        </w:tc>
        <w:tc>
          <w:tcPr>
            <w:tcW w:w="1563" w:type="dxa"/>
            <w:tcBorders>
              <w:bottom w:val="single" w:sz="12" w:space="0" w:color="000000"/>
            </w:tcBorders>
          </w:tcPr>
          <w:p>
            <w:pPr>
              <w:pStyle w:val="TableParagraph"/>
              <w:rPr>
                <w:rFonts w:ascii="Times New Roman"/>
                <w:sz w:val="14"/>
              </w:rPr>
            </w:pPr>
          </w:p>
        </w:tc>
        <w:tc>
          <w:tcPr>
            <w:tcW w:w="3118" w:type="dxa"/>
            <w:tcBorders>
              <w:bottom w:val="single" w:sz="12" w:space="0" w:color="000000"/>
            </w:tcBorders>
          </w:tcPr>
          <w:p>
            <w:pPr>
              <w:pStyle w:val="TableParagraph"/>
              <w:spacing w:line="167" w:lineRule="exact" w:before="31"/>
              <w:ind w:left="633"/>
              <w:rPr>
                <w:rFonts w:ascii="Times New Roman"/>
                <w:sz w:val="15"/>
              </w:rPr>
            </w:pPr>
            <w:r>
              <w:rPr>
                <w:rFonts w:ascii="Times New Roman"/>
                <w:sz w:val="15"/>
              </w:rPr>
              <w:t>0.047</w:t>
            </w:r>
          </w:p>
        </w:tc>
      </w:tr>
    </w:tbl>
    <w:p>
      <w:pPr>
        <w:pStyle w:val="ListParagraph"/>
        <w:numPr>
          <w:ilvl w:val="1"/>
          <w:numId w:val="3"/>
        </w:numPr>
        <w:tabs>
          <w:tab w:pos="1357" w:val="left" w:leader="none"/>
          <w:tab w:pos="1358" w:val="left" w:leader="none"/>
          <w:tab w:pos="3457" w:val="left" w:leader="none"/>
        </w:tabs>
        <w:spacing w:line="297" w:lineRule="auto" w:before="65" w:after="0"/>
        <w:ind w:left="277" w:right="306" w:firstLine="480"/>
        <w:jc w:val="left"/>
        <w:rPr>
          <w:sz w:val="24"/>
        </w:rPr>
      </w:pPr>
      <w:r>
        <w:rPr>
          <w:sz w:val="24"/>
        </w:rPr>
        <w:t>2</w:t>
      </w:r>
      <w:r>
        <w:rPr>
          <w:spacing w:val="-60"/>
          <w:sz w:val="24"/>
        </w:rPr>
        <w:t> </w:t>
      </w:r>
      <w:r>
        <w:rPr>
          <w:sz w:val="24"/>
        </w:rPr>
        <w:t>组患者预后比较</w:t>
        <w:tab/>
        <w:t>研究组患者在治疗期间死亡</w:t>
      </w:r>
      <w:r>
        <w:rPr>
          <w:spacing w:val="-60"/>
          <w:sz w:val="24"/>
        </w:rPr>
        <w:t> </w:t>
      </w:r>
      <w:r>
        <w:rPr>
          <w:sz w:val="24"/>
        </w:rPr>
        <w:t>6</w:t>
      </w:r>
      <w:r>
        <w:rPr>
          <w:spacing w:val="-60"/>
          <w:sz w:val="24"/>
        </w:rPr>
        <w:t> </w:t>
      </w:r>
      <w:r>
        <w:rPr>
          <w:sz w:val="24"/>
        </w:rPr>
        <w:t>例</w:t>
      </w:r>
      <w:r>
        <w:rPr>
          <w:spacing w:val="-22"/>
          <w:sz w:val="24"/>
        </w:rPr>
        <w:t>，</w:t>
      </w:r>
      <w:r>
        <w:rPr>
          <w:sz w:val="24"/>
        </w:rPr>
        <w:t>存活例数</w:t>
      </w:r>
      <w:r>
        <w:rPr>
          <w:spacing w:val="-60"/>
          <w:sz w:val="24"/>
        </w:rPr>
        <w:t> </w:t>
      </w:r>
      <w:r>
        <w:rPr>
          <w:sz w:val="24"/>
        </w:rPr>
        <w:t>24</w:t>
      </w:r>
      <w:r>
        <w:rPr>
          <w:spacing w:val="-59"/>
          <w:sz w:val="24"/>
        </w:rPr>
        <w:t> </w:t>
      </w:r>
      <w:r>
        <w:rPr>
          <w:sz w:val="24"/>
        </w:rPr>
        <w:t>例</w:t>
      </w:r>
      <w:r>
        <w:rPr>
          <w:spacing w:val="-8"/>
          <w:sz w:val="24"/>
        </w:rPr>
        <w:t>，30</w:t>
      </w:r>
      <w:r>
        <w:rPr>
          <w:spacing w:val="-60"/>
          <w:sz w:val="24"/>
        </w:rPr>
        <w:t> </w:t>
      </w:r>
      <w:r>
        <w:rPr>
          <w:sz w:val="24"/>
        </w:rPr>
        <w:t>d</w:t>
      </w:r>
      <w:r>
        <w:rPr>
          <w:spacing w:val="-60"/>
          <w:sz w:val="24"/>
        </w:rPr>
        <w:t> </w:t>
      </w:r>
      <w:r>
        <w:rPr>
          <w:sz w:val="24"/>
        </w:rPr>
        <w:t>总病死率为</w:t>
      </w:r>
      <w:r>
        <w:rPr>
          <w:spacing w:val="-59"/>
          <w:sz w:val="24"/>
        </w:rPr>
        <w:t> </w:t>
      </w:r>
      <w:r>
        <w:rPr>
          <w:spacing w:val="-5"/>
          <w:sz w:val="24"/>
        </w:rPr>
        <w:t>20.00%，</w:t>
      </w:r>
      <w:r>
        <w:rPr>
          <w:sz w:val="24"/>
        </w:rPr>
        <w:t>对照组死亡</w:t>
      </w:r>
      <w:r>
        <w:rPr>
          <w:spacing w:val="-58"/>
          <w:sz w:val="24"/>
        </w:rPr>
        <w:t> </w:t>
      </w:r>
      <w:r>
        <w:rPr>
          <w:sz w:val="24"/>
        </w:rPr>
        <w:t>11</w:t>
      </w:r>
      <w:r>
        <w:rPr>
          <w:spacing w:val="-58"/>
          <w:sz w:val="24"/>
        </w:rPr>
        <w:t> </w:t>
      </w:r>
      <w:r>
        <w:rPr>
          <w:sz w:val="24"/>
        </w:rPr>
        <w:t>例</w:t>
      </w:r>
      <w:r>
        <w:rPr>
          <w:spacing w:val="-12"/>
          <w:sz w:val="24"/>
        </w:rPr>
        <w:t>，30</w:t>
      </w:r>
      <w:r>
        <w:rPr>
          <w:spacing w:val="-58"/>
          <w:sz w:val="24"/>
        </w:rPr>
        <w:t> </w:t>
      </w:r>
      <w:r>
        <w:rPr>
          <w:sz w:val="24"/>
        </w:rPr>
        <w:t>d</w:t>
      </w:r>
      <w:r>
        <w:rPr>
          <w:spacing w:val="-58"/>
          <w:sz w:val="24"/>
        </w:rPr>
        <w:t> </w:t>
      </w:r>
      <w:r>
        <w:rPr>
          <w:sz w:val="24"/>
        </w:rPr>
        <w:t>总病死率为</w:t>
      </w:r>
      <w:r>
        <w:rPr>
          <w:spacing w:val="-58"/>
          <w:sz w:val="24"/>
        </w:rPr>
        <w:t> </w:t>
      </w:r>
      <w:r>
        <w:rPr>
          <w:spacing w:val="-5"/>
          <w:sz w:val="24"/>
        </w:rPr>
        <w:t>36.67%，2</w:t>
      </w:r>
      <w:r>
        <w:rPr>
          <w:spacing w:val="-58"/>
          <w:sz w:val="24"/>
        </w:rPr>
        <w:t> </w:t>
      </w:r>
      <w:r>
        <w:rPr>
          <w:sz w:val="24"/>
        </w:rPr>
        <w:t>组比较差异具</w:t>
      </w:r>
      <w:r>
        <w:rPr>
          <w:spacing w:val="-34"/>
          <w:sz w:val="24"/>
        </w:rPr>
        <w:t>有</w:t>
      </w:r>
      <w:r>
        <w:rPr>
          <w:spacing w:val="-5"/>
          <w:sz w:val="24"/>
        </w:rPr>
        <w:t>（P&gt;0.05）</w:t>
      </w:r>
      <w:r>
        <w:rPr>
          <w:spacing w:val="-46"/>
          <w:sz w:val="24"/>
        </w:rPr>
        <w:t>。</w:t>
      </w:r>
      <w:r>
        <w:rPr>
          <w:sz w:val="24"/>
        </w:rPr>
        <w:t>结果见图</w:t>
      </w:r>
      <w:r>
        <w:rPr>
          <w:spacing w:val="-61"/>
          <w:sz w:val="24"/>
        </w:rPr>
        <w:t> </w:t>
      </w:r>
      <w:r>
        <w:rPr>
          <w:sz w:val="24"/>
        </w:rPr>
        <w:t>1。</w:t>
      </w:r>
    </w:p>
    <w:p>
      <w:pPr>
        <w:pStyle w:val="BodyText"/>
        <w:ind w:left="0"/>
        <w:rPr>
          <w:sz w:val="20"/>
        </w:rPr>
      </w:pPr>
    </w:p>
    <w:p>
      <w:pPr>
        <w:pStyle w:val="BodyText"/>
        <w:spacing w:before="10"/>
        <w:ind w:left="0"/>
        <w:rPr>
          <w:sz w:val="15"/>
        </w:rPr>
      </w:pPr>
      <w:r>
        <w:rPr/>
        <w:drawing>
          <wp:anchor distT="0" distB="0" distL="0" distR="0" allowOverlap="1" layoutInCell="1" locked="0" behindDoc="0" simplePos="0" relativeHeight="5">
            <wp:simplePos x="0" y="0"/>
            <wp:positionH relativeFrom="page">
              <wp:posOffset>902170</wp:posOffset>
            </wp:positionH>
            <wp:positionV relativeFrom="paragraph">
              <wp:posOffset>153572</wp:posOffset>
            </wp:positionV>
            <wp:extent cx="2538098" cy="1470183"/>
            <wp:effectExtent l="0" t="0" r="0" b="0"/>
            <wp:wrapTopAndBottom/>
            <wp:docPr id="11" name="image7.png"/>
            <wp:cNvGraphicFramePr>
              <a:graphicFrameLocks noChangeAspect="1"/>
            </wp:cNvGraphicFramePr>
            <a:graphic>
              <a:graphicData uri="http://schemas.openxmlformats.org/drawingml/2006/picture">
                <pic:pic>
                  <pic:nvPicPr>
                    <pic:cNvPr id="12" name="image7.png"/>
                    <pic:cNvPicPr/>
                  </pic:nvPicPr>
                  <pic:blipFill>
                    <a:blip r:embed="rId24" cstate="print"/>
                    <a:stretch>
                      <a:fillRect/>
                    </a:stretch>
                  </pic:blipFill>
                  <pic:spPr>
                    <a:xfrm>
                      <a:off x="0" y="0"/>
                      <a:ext cx="2538098" cy="1470183"/>
                    </a:xfrm>
                    <a:prstGeom prst="rect">
                      <a:avLst/>
                    </a:prstGeom>
                  </pic:spPr>
                </pic:pic>
              </a:graphicData>
            </a:graphic>
          </wp:anchor>
        </w:drawing>
      </w:r>
    </w:p>
    <w:p>
      <w:pPr>
        <w:spacing w:after="0"/>
        <w:rPr>
          <w:sz w:val="15"/>
        </w:rPr>
        <w:sectPr>
          <w:pgSz w:w="11910" w:h="16850"/>
          <w:pgMar w:header="906" w:footer="607" w:top="1100" w:bottom="800" w:left="1000" w:right="740"/>
        </w:sectPr>
      </w:pPr>
    </w:p>
    <w:p>
      <w:pPr>
        <w:pStyle w:val="BodyText"/>
        <w:tabs>
          <w:tab w:pos="1417" w:val="left" w:leader="none"/>
        </w:tabs>
        <w:ind w:left="757"/>
        <w:rPr>
          <w:rFonts w:ascii="楷体" w:eastAsia="楷体" w:hint="eastAsia"/>
        </w:rPr>
      </w:pPr>
      <w:r>
        <w:rPr>
          <w:rFonts w:ascii="楷体" w:eastAsia="楷体" w:hint="eastAsia"/>
        </w:rPr>
        <w:t>图</w:t>
      </w:r>
      <w:r>
        <w:rPr>
          <w:rFonts w:ascii="楷体" w:eastAsia="楷体" w:hint="eastAsia"/>
          <w:spacing w:val="-61"/>
        </w:rPr>
        <w:t> </w:t>
      </w:r>
      <w:r>
        <w:rPr>
          <w:rFonts w:ascii="楷体" w:eastAsia="楷体" w:hint="eastAsia"/>
        </w:rPr>
        <w:t>1</w:t>
        <w:tab/>
        <w:t>2</w:t>
      </w:r>
      <w:r>
        <w:rPr>
          <w:rFonts w:ascii="楷体" w:eastAsia="楷体" w:hint="eastAsia"/>
          <w:spacing w:val="-60"/>
        </w:rPr>
        <w:t> </w:t>
      </w:r>
      <w:r>
        <w:rPr>
          <w:rFonts w:ascii="楷体" w:eastAsia="楷体" w:hint="eastAsia"/>
        </w:rPr>
        <w:t>组患者预后比较</w:t>
      </w:r>
    </w:p>
    <w:p>
      <w:pPr>
        <w:pStyle w:val="ListParagraph"/>
        <w:numPr>
          <w:ilvl w:val="1"/>
          <w:numId w:val="3"/>
        </w:numPr>
        <w:tabs>
          <w:tab w:pos="1357" w:val="left" w:leader="none"/>
          <w:tab w:pos="1358" w:val="left" w:leader="none"/>
          <w:tab w:pos="3757" w:val="left" w:leader="none"/>
        </w:tabs>
        <w:spacing w:line="295" w:lineRule="auto" w:before="69" w:after="0"/>
        <w:ind w:left="277" w:right="392" w:firstLine="480"/>
        <w:jc w:val="left"/>
        <w:rPr>
          <w:sz w:val="24"/>
        </w:rPr>
      </w:pPr>
      <w:r>
        <w:rPr>
          <w:sz w:val="24"/>
        </w:rPr>
        <w:t>预后的影响因素分析</w:t>
        <w:tab/>
        <w:t>根据预后将患者分为两组，死亡组和存活组，发现APACHEⅡ分数</w:t>
      </w:r>
      <w:r>
        <w:rPr>
          <w:spacing w:val="-22"/>
          <w:sz w:val="24"/>
        </w:rPr>
        <w:t>、</w:t>
      </w:r>
      <w:r>
        <w:rPr>
          <w:sz w:val="24"/>
        </w:rPr>
        <w:t>机械通气天数均影响预</w:t>
      </w:r>
      <w:r>
        <w:rPr>
          <w:spacing w:val="-22"/>
          <w:sz w:val="24"/>
        </w:rPr>
        <w:t>后</w:t>
      </w:r>
      <w:r>
        <w:rPr>
          <w:spacing w:val="-5"/>
          <w:sz w:val="24"/>
        </w:rPr>
        <w:t>（P&lt;0.05），</w:t>
      </w:r>
      <w:r>
        <w:rPr>
          <w:sz w:val="24"/>
        </w:rPr>
        <w:t>合并基础性疾病</w:t>
      </w:r>
      <w:r>
        <w:rPr>
          <w:spacing w:val="-22"/>
          <w:sz w:val="24"/>
        </w:rPr>
        <w:t>、</w:t>
      </w:r>
      <w:r>
        <w:rPr>
          <w:sz w:val="24"/>
        </w:rPr>
        <w:t>年龄均不影响预</w:t>
      </w:r>
      <w:r>
        <w:rPr>
          <w:spacing w:val="-15"/>
          <w:sz w:val="24"/>
        </w:rPr>
        <w:t>后</w:t>
      </w:r>
    </w:p>
    <w:p>
      <w:pPr>
        <w:pStyle w:val="BodyText"/>
        <w:spacing w:before="2"/>
      </w:pPr>
      <w:r>
        <w:rPr/>
        <w:t>（P&gt;0.05）。结果见表 4。</w:t>
      </w:r>
    </w:p>
    <w:p>
      <w:pPr>
        <w:pStyle w:val="BodyText"/>
        <w:tabs>
          <w:tab w:pos="1417" w:val="left" w:leader="none"/>
        </w:tabs>
        <w:spacing w:before="10" w:after="4"/>
        <w:ind w:left="757"/>
        <w:rPr>
          <w:rFonts w:ascii="楷体" w:eastAsia="楷体" w:hint="eastAsia"/>
        </w:rPr>
      </w:pPr>
      <w:r>
        <w:rPr>
          <w:rFonts w:ascii="楷体" w:eastAsia="楷体" w:hint="eastAsia"/>
        </w:rPr>
        <w:t>表</w:t>
      </w:r>
      <w:r>
        <w:rPr>
          <w:rFonts w:ascii="楷体" w:eastAsia="楷体" w:hint="eastAsia"/>
          <w:spacing w:val="-61"/>
        </w:rPr>
        <w:t> </w:t>
      </w:r>
      <w:r>
        <w:rPr>
          <w:rFonts w:ascii="楷体" w:eastAsia="楷体" w:hint="eastAsia"/>
        </w:rPr>
        <w:t>4</w:t>
        <w:tab/>
        <w:t>预后的影响因素分析</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0"/>
        <w:gridCol w:w="1067"/>
        <w:gridCol w:w="1476"/>
        <w:gridCol w:w="1817"/>
        <w:gridCol w:w="2021"/>
        <w:gridCol w:w="2423"/>
      </w:tblGrid>
      <w:tr>
        <w:trPr>
          <w:trHeight w:val="241" w:hRule="atLeast"/>
        </w:trPr>
        <w:tc>
          <w:tcPr>
            <w:tcW w:w="920" w:type="dxa"/>
            <w:tcBorders>
              <w:top w:val="single" w:sz="12" w:space="0" w:color="000000"/>
              <w:bottom w:val="single" w:sz="4" w:space="0" w:color="000000"/>
            </w:tcBorders>
          </w:tcPr>
          <w:p>
            <w:pPr>
              <w:pStyle w:val="TableParagraph"/>
              <w:spacing w:line="178" w:lineRule="exact" w:before="43"/>
              <w:ind w:left="117"/>
              <w:rPr>
                <w:sz w:val="15"/>
              </w:rPr>
            </w:pPr>
            <w:r>
              <w:rPr>
                <w:sz w:val="15"/>
              </w:rPr>
              <w:t>组别</w:t>
            </w:r>
          </w:p>
        </w:tc>
        <w:tc>
          <w:tcPr>
            <w:tcW w:w="1067" w:type="dxa"/>
            <w:tcBorders>
              <w:top w:val="single" w:sz="12" w:space="0" w:color="000000"/>
              <w:bottom w:val="single" w:sz="4" w:space="0" w:color="000000"/>
            </w:tcBorders>
          </w:tcPr>
          <w:p>
            <w:pPr>
              <w:pStyle w:val="TableParagraph"/>
              <w:spacing w:line="178" w:lineRule="exact" w:before="43"/>
              <w:ind w:left="348"/>
              <w:rPr>
                <w:sz w:val="15"/>
              </w:rPr>
            </w:pPr>
            <w:r>
              <w:rPr>
                <w:sz w:val="15"/>
              </w:rPr>
              <w:t>例数</w:t>
            </w:r>
          </w:p>
        </w:tc>
        <w:tc>
          <w:tcPr>
            <w:tcW w:w="1476" w:type="dxa"/>
            <w:tcBorders>
              <w:top w:val="single" w:sz="12" w:space="0" w:color="000000"/>
              <w:bottom w:val="single" w:sz="4" w:space="0" w:color="000000"/>
            </w:tcBorders>
          </w:tcPr>
          <w:p>
            <w:pPr>
              <w:pStyle w:val="TableParagraph"/>
              <w:spacing w:line="178" w:lineRule="exact" w:before="43"/>
              <w:ind w:left="415"/>
              <w:rPr>
                <w:sz w:val="15"/>
              </w:rPr>
            </w:pPr>
            <w:r>
              <w:rPr>
                <w:sz w:val="15"/>
              </w:rPr>
              <w:t>年龄</w:t>
            </w:r>
            <w:r>
              <w:rPr>
                <w:rFonts w:ascii="Times New Roman" w:eastAsia="Times New Roman"/>
                <w:sz w:val="15"/>
              </w:rPr>
              <w:t>/</w:t>
            </w:r>
            <w:r>
              <w:rPr>
                <w:sz w:val="15"/>
              </w:rPr>
              <w:t>岁</w:t>
            </w:r>
          </w:p>
        </w:tc>
        <w:tc>
          <w:tcPr>
            <w:tcW w:w="1817" w:type="dxa"/>
            <w:tcBorders>
              <w:top w:val="single" w:sz="12" w:space="0" w:color="000000"/>
              <w:bottom w:val="single" w:sz="4" w:space="0" w:color="000000"/>
            </w:tcBorders>
          </w:tcPr>
          <w:p>
            <w:pPr>
              <w:pStyle w:val="TableParagraph"/>
              <w:spacing w:line="178" w:lineRule="exact" w:before="43"/>
              <w:ind w:left="396"/>
              <w:rPr>
                <w:sz w:val="15"/>
              </w:rPr>
            </w:pPr>
            <w:r>
              <w:rPr>
                <w:rFonts w:ascii="Times New Roman" w:hAnsi="Times New Roman" w:eastAsia="Times New Roman"/>
                <w:sz w:val="15"/>
              </w:rPr>
              <w:t>APACHE</w:t>
            </w:r>
            <w:r>
              <w:rPr>
                <w:sz w:val="15"/>
              </w:rPr>
              <w:t>Ⅱ</w:t>
            </w:r>
            <w:r>
              <w:rPr>
                <w:rFonts w:ascii="Times New Roman" w:hAnsi="Times New Roman" w:eastAsia="Times New Roman"/>
                <w:sz w:val="15"/>
              </w:rPr>
              <w:t>/</w:t>
            </w:r>
            <w:r>
              <w:rPr>
                <w:sz w:val="15"/>
              </w:rPr>
              <w:t>分</w:t>
            </w:r>
          </w:p>
        </w:tc>
        <w:tc>
          <w:tcPr>
            <w:tcW w:w="2021" w:type="dxa"/>
            <w:tcBorders>
              <w:top w:val="single" w:sz="12" w:space="0" w:color="000000"/>
              <w:bottom w:val="single" w:sz="4" w:space="0" w:color="000000"/>
            </w:tcBorders>
          </w:tcPr>
          <w:p>
            <w:pPr>
              <w:pStyle w:val="TableParagraph"/>
              <w:spacing w:line="178" w:lineRule="exact" w:before="43"/>
              <w:ind w:left="477"/>
              <w:rPr>
                <w:rFonts w:ascii="Times New Roman" w:eastAsia="Times New Roman"/>
                <w:sz w:val="15"/>
              </w:rPr>
            </w:pPr>
            <w:r>
              <w:rPr>
                <w:sz w:val="15"/>
              </w:rPr>
              <w:t>机械通气天数</w:t>
            </w:r>
            <w:r>
              <w:rPr>
                <w:rFonts w:ascii="Times New Roman" w:eastAsia="Times New Roman"/>
                <w:sz w:val="15"/>
              </w:rPr>
              <w:t>/d</w:t>
            </w:r>
          </w:p>
        </w:tc>
        <w:tc>
          <w:tcPr>
            <w:tcW w:w="2423" w:type="dxa"/>
            <w:tcBorders>
              <w:top w:val="single" w:sz="12" w:space="0" w:color="000000"/>
              <w:bottom w:val="single" w:sz="4" w:space="0" w:color="000000"/>
            </w:tcBorders>
          </w:tcPr>
          <w:p>
            <w:pPr>
              <w:pStyle w:val="TableParagraph"/>
              <w:spacing w:line="178" w:lineRule="exact" w:before="43"/>
              <w:ind w:left="523"/>
              <w:rPr>
                <w:sz w:val="15"/>
              </w:rPr>
            </w:pPr>
            <w:r>
              <w:rPr>
                <w:sz w:val="15"/>
              </w:rPr>
              <w:t>合并基础性疾病</w:t>
            </w:r>
          </w:p>
        </w:tc>
      </w:tr>
      <w:tr>
        <w:trPr>
          <w:trHeight w:val="269" w:hRule="atLeast"/>
        </w:trPr>
        <w:tc>
          <w:tcPr>
            <w:tcW w:w="920" w:type="dxa"/>
            <w:tcBorders>
              <w:top w:val="single" w:sz="4" w:space="0" w:color="000000"/>
            </w:tcBorders>
          </w:tcPr>
          <w:p>
            <w:pPr>
              <w:pStyle w:val="TableParagraph"/>
              <w:spacing w:before="46"/>
              <w:ind w:left="117"/>
              <w:rPr>
                <w:sz w:val="15"/>
              </w:rPr>
            </w:pPr>
            <w:r>
              <w:rPr>
                <w:sz w:val="15"/>
              </w:rPr>
              <w:t>存活组</w:t>
            </w:r>
          </w:p>
        </w:tc>
        <w:tc>
          <w:tcPr>
            <w:tcW w:w="1067" w:type="dxa"/>
            <w:tcBorders>
              <w:top w:val="single" w:sz="4" w:space="0" w:color="000000"/>
            </w:tcBorders>
          </w:tcPr>
          <w:p>
            <w:pPr>
              <w:pStyle w:val="TableParagraph"/>
              <w:spacing w:before="56"/>
              <w:ind w:left="348"/>
              <w:rPr>
                <w:rFonts w:ascii="Times New Roman"/>
                <w:sz w:val="15"/>
              </w:rPr>
            </w:pPr>
            <w:r>
              <w:rPr>
                <w:rFonts w:ascii="Times New Roman"/>
                <w:sz w:val="15"/>
              </w:rPr>
              <w:t>43</w:t>
            </w:r>
          </w:p>
        </w:tc>
        <w:tc>
          <w:tcPr>
            <w:tcW w:w="1476" w:type="dxa"/>
            <w:tcBorders>
              <w:top w:val="single" w:sz="4" w:space="0" w:color="000000"/>
            </w:tcBorders>
          </w:tcPr>
          <w:p>
            <w:pPr>
              <w:pStyle w:val="TableParagraph"/>
              <w:spacing w:before="56"/>
              <w:ind w:left="415"/>
              <w:rPr>
                <w:rFonts w:ascii="Times New Roman" w:hAnsi="Times New Roman"/>
                <w:sz w:val="15"/>
              </w:rPr>
            </w:pPr>
            <w:r>
              <w:rPr>
                <w:rFonts w:ascii="Times New Roman" w:hAnsi="Times New Roman"/>
                <w:sz w:val="15"/>
              </w:rPr>
              <w:t>74.81±7.33</w:t>
            </w:r>
          </w:p>
        </w:tc>
        <w:tc>
          <w:tcPr>
            <w:tcW w:w="1817" w:type="dxa"/>
            <w:tcBorders>
              <w:top w:val="single" w:sz="4" w:space="0" w:color="000000"/>
            </w:tcBorders>
          </w:tcPr>
          <w:p>
            <w:pPr>
              <w:pStyle w:val="TableParagraph"/>
              <w:spacing w:before="56"/>
              <w:ind w:left="396"/>
              <w:rPr>
                <w:rFonts w:ascii="Times New Roman" w:hAnsi="Times New Roman"/>
                <w:sz w:val="15"/>
              </w:rPr>
            </w:pPr>
            <w:r>
              <w:rPr>
                <w:rFonts w:ascii="Times New Roman" w:hAnsi="Times New Roman"/>
                <w:sz w:val="15"/>
              </w:rPr>
              <w:t>20.34±2.04</w:t>
            </w:r>
          </w:p>
        </w:tc>
        <w:tc>
          <w:tcPr>
            <w:tcW w:w="2021" w:type="dxa"/>
            <w:tcBorders>
              <w:top w:val="single" w:sz="4" w:space="0" w:color="000000"/>
            </w:tcBorders>
          </w:tcPr>
          <w:p>
            <w:pPr>
              <w:pStyle w:val="TableParagraph"/>
              <w:spacing w:before="56"/>
              <w:ind w:left="477"/>
              <w:rPr>
                <w:rFonts w:ascii="Times New Roman" w:hAnsi="Times New Roman"/>
                <w:sz w:val="15"/>
              </w:rPr>
            </w:pPr>
            <w:r>
              <w:rPr>
                <w:rFonts w:ascii="Times New Roman" w:hAnsi="Times New Roman"/>
                <w:sz w:val="15"/>
              </w:rPr>
              <w:t>7.31±0.73</w:t>
            </w:r>
          </w:p>
        </w:tc>
        <w:tc>
          <w:tcPr>
            <w:tcW w:w="2423" w:type="dxa"/>
            <w:tcBorders>
              <w:top w:val="single" w:sz="4" w:space="0" w:color="000000"/>
            </w:tcBorders>
          </w:tcPr>
          <w:p>
            <w:pPr>
              <w:pStyle w:val="TableParagraph"/>
              <w:spacing w:before="46"/>
              <w:ind w:left="523"/>
              <w:rPr>
                <w:sz w:val="15"/>
              </w:rPr>
            </w:pPr>
            <w:r>
              <w:rPr>
                <w:rFonts w:ascii="Times New Roman" w:eastAsia="Times New Roman"/>
                <w:sz w:val="15"/>
              </w:rPr>
              <w:t>23</w:t>
            </w:r>
            <w:r>
              <w:rPr>
                <w:sz w:val="15"/>
              </w:rPr>
              <w:t>（</w:t>
            </w:r>
            <w:r>
              <w:rPr>
                <w:rFonts w:ascii="Times New Roman" w:eastAsia="Times New Roman"/>
                <w:sz w:val="15"/>
              </w:rPr>
              <w:t>53.48%</w:t>
            </w:r>
            <w:r>
              <w:rPr>
                <w:sz w:val="15"/>
              </w:rPr>
              <w:t>）</w:t>
            </w:r>
          </w:p>
        </w:tc>
      </w:tr>
      <w:tr>
        <w:trPr>
          <w:trHeight w:val="233" w:hRule="atLeast"/>
        </w:trPr>
        <w:tc>
          <w:tcPr>
            <w:tcW w:w="920" w:type="dxa"/>
          </w:tcPr>
          <w:p>
            <w:pPr>
              <w:pStyle w:val="TableParagraph"/>
              <w:spacing w:line="189" w:lineRule="exact" w:before="24"/>
              <w:ind w:left="117"/>
              <w:rPr>
                <w:sz w:val="15"/>
              </w:rPr>
            </w:pPr>
            <w:r>
              <w:rPr>
                <w:sz w:val="15"/>
              </w:rPr>
              <w:t>死亡组</w:t>
            </w:r>
          </w:p>
        </w:tc>
        <w:tc>
          <w:tcPr>
            <w:tcW w:w="1067" w:type="dxa"/>
          </w:tcPr>
          <w:p>
            <w:pPr>
              <w:pStyle w:val="TableParagraph"/>
              <w:spacing w:before="34"/>
              <w:ind w:left="348"/>
              <w:rPr>
                <w:rFonts w:ascii="Times New Roman"/>
                <w:sz w:val="15"/>
              </w:rPr>
            </w:pPr>
            <w:r>
              <w:rPr>
                <w:rFonts w:ascii="Times New Roman"/>
                <w:sz w:val="15"/>
              </w:rPr>
              <w:t>17</w:t>
            </w:r>
          </w:p>
        </w:tc>
        <w:tc>
          <w:tcPr>
            <w:tcW w:w="1476" w:type="dxa"/>
          </w:tcPr>
          <w:p>
            <w:pPr>
              <w:pStyle w:val="TableParagraph"/>
              <w:spacing w:before="34"/>
              <w:ind w:left="415"/>
              <w:rPr>
                <w:rFonts w:ascii="Times New Roman" w:hAnsi="Times New Roman"/>
                <w:sz w:val="15"/>
              </w:rPr>
            </w:pPr>
            <w:r>
              <w:rPr>
                <w:rFonts w:ascii="Times New Roman" w:hAnsi="Times New Roman"/>
                <w:sz w:val="15"/>
              </w:rPr>
              <w:t>75.36±7.54</w:t>
            </w:r>
          </w:p>
        </w:tc>
        <w:tc>
          <w:tcPr>
            <w:tcW w:w="1817" w:type="dxa"/>
          </w:tcPr>
          <w:p>
            <w:pPr>
              <w:pStyle w:val="TableParagraph"/>
              <w:spacing w:before="34"/>
              <w:ind w:left="396"/>
              <w:rPr>
                <w:rFonts w:ascii="Times New Roman" w:hAnsi="Times New Roman"/>
                <w:sz w:val="15"/>
              </w:rPr>
            </w:pPr>
            <w:r>
              <w:rPr>
                <w:rFonts w:ascii="Times New Roman" w:hAnsi="Times New Roman"/>
                <w:sz w:val="15"/>
              </w:rPr>
              <w:t>22.19±2.21</w:t>
            </w:r>
          </w:p>
        </w:tc>
        <w:tc>
          <w:tcPr>
            <w:tcW w:w="2021" w:type="dxa"/>
          </w:tcPr>
          <w:p>
            <w:pPr>
              <w:pStyle w:val="TableParagraph"/>
              <w:spacing w:before="34"/>
              <w:ind w:left="477"/>
              <w:rPr>
                <w:rFonts w:ascii="Times New Roman" w:hAnsi="Times New Roman"/>
                <w:sz w:val="15"/>
              </w:rPr>
            </w:pPr>
            <w:r>
              <w:rPr>
                <w:rFonts w:ascii="Times New Roman" w:hAnsi="Times New Roman"/>
                <w:sz w:val="15"/>
              </w:rPr>
              <w:t>5.82±0.58</w:t>
            </w:r>
          </w:p>
        </w:tc>
        <w:tc>
          <w:tcPr>
            <w:tcW w:w="2423" w:type="dxa"/>
          </w:tcPr>
          <w:p>
            <w:pPr>
              <w:pStyle w:val="TableParagraph"/>
              <w:spacing w:line="189" w:lineRule="exact" w:before="24"/>
              <w:ind w:left="523"/>
              <w:rPr>
                <w:sz w:val="15"/>
              </w:rPr>
            </w:pPr>
            <w:r>
              <w:rPr>
                <w:rFonts w:ascii="Times New Roman" w:eastAsia="Times New Roman"/>
                <w:sz w:val="15"/>
              </w:rPr>
              <w:t>7</w:t>
            </w:r>
            <w:r>
              <w:rPr>
                <w:sz w:val="15"/>
              </w:rPr>
              <w:t>（</w:t>
            </w:r>
            <w:r>
              <w:rPr>
                <w:rFonts w:ascii="Times New Roman" w:eastAsia="Times New Roman"/>
                <w:sz w:val="15"/>
              </w:rPr>
              <w:t>41.18%</w:t>
            </w:r>
            <w:r>
              <w:rPr>
                <w:sz w:val="15"/>
              </w:rPr>
              <w:t>）</w:t>
            </w:r>
          </w:p>
        </w:tc>
      </w:tr>
      <w:tr>
        <w:trPr>
          <w:trHeight w:val="257" w:hRule="atLeast"/>
        </w:trPr>
        <w:tc>
          <w:tcPr>
            <w:tcW w:w="920" w:type="dxa"/>
          </w:tcPr>
          <w:p>
            <w:pPr>
              <w:pStyle w:val="TableParagraph"/>
              <w:spacing w:before="45"/>
              <w:ind w:left="117"/>
              <w:rPr>
                <w:rFonts w:ascii="Times New Roman" w:hAnsi="Times New Roman"/>
                <w:sz w:val="15"/>
              </w:rPr>
            </w:pPr>
            <w:r>
              <w:rPr>
                <w:rFonts w:ascii="Times New Roman" w:hAnsi="Times New Roman"/>
                <w:i/>
                <w:sz w:val="15"/>
              </w:rPr>
              <w:t>t/</w:t>
            </w:r>
            <w:r>
              <w:rPr>
                <w:rFonts w:ascii="Times New Roman" w:hAnsi="Times New Roman"/>
                <w:sz w:val="15"/>
              </w:rPr>
              <w:t>χ</w:t>
            </w:r>
            <w:r>
              <w:rPr>
                <w:rFonts w:ascii="Times New Roman" w:hAnsi="Times New Roman"/>
                <w:sz w:val="15"/>
                <w:vertAlign w:val="superscript"/>
              </w:rPr>
              <w:t>2</w:t>
            </w:r>
          </w:p>
        </w:tc>
        <w:tc>
          <w:tcPr>
            <w:tcW w:w="1067" w:type="dxa"/>
          </w:tcPr>
          <w:p>
            <w:pPr>
              <w:pStyle w:val="TableParagraph"/>
              <w:rPr>
                <w:rFonts w:ascii="Times New Roman"/>
                <w:sz w:val="18"/>
              </w:rPr>
            </w:pPr>
          </w:p>
        </w:tc>
        <w:tc>
          <w:tcPr>
            <w:tcW w:w="1476" w:type="dxa"/>
          </w:tcPr>
          <w:p>
            <w:pPr>
              <w:pStyle w:val="TableParagraph"/>
              <w:spacing w:before="45"/>
              <w:ind w:left="415"/>
              <w:rPr>
                <w:rFonts w:ascii="Times New Roman"/>
                <w:sz w:val="15"/>
              </w:rPr>
            </w:pPr>
            <w:r>
              <w:rPr>
                <w:rFonts w:ascii="Times New Roman"/>
                <w:sz w:val="15"/>
              </w:rPr>
              <w:t>0.258</w:t>
            </w:r>
          </w:p>
        </w:tc>
        <w:tc>
          <w:tcPr>
            <w:tcW w:w="1817" w:type="dxa"/>
          </w:tcPr>
          <w:p>
            <w:pPr>
              <w:pStyle w:val="TableParagraph"/>
              <w:spacing w:before="45"/>
              <w:ind w:left="396"/>
              <w:rPr>
                <w:rFonts w:ascii="Times New Roman"/>
                <w:sz w:val="15"/>
              </w:rPr>
            </w:pPr>
            <w:r>
              <w:rPr>
                <w:rFonts w:ascii="Times New Roman"/>
                <w:sz w:val="15"/>
              </w:rPr>
              <w:t>5.691</w:t>
            </w:r>
          </w:p>
        </w:tc>
        <w:tc>
          <w:tcPr>
            <w:tcW w:w="2021" w:type="dxa"/>
          </w:tcPr>
          <w:p>
            <w:pPr>
              <w:pStyle w:val="TableParagraph"/>
              <w:spacing w:before="45"/>
              <w:ind w:left="477"/>
              <w:rPr>
                <w:rFonts w:ascii="Times New Roman"/>
                <w:sz w:val="15"/>
              </w:rPr>
            </w:pPr>
            <w:r>
              <w:rPr>
                <w:rFonts w:ascii="Times New Roman"/>
                <w:sz w:val="15"/>
              </w:rPr>
              <w:t>12.884</w:t>
            </w:r>
          </w:p>
        </w:tc>
        <w:tc>
          <w:tcPr>
            <w:tcW w:w="2423" w:type="dxa"/>
          </w:tcPr>
          <w:p>
            <w:pPr>
              <w:pStyle w:val="TableParagraph"/>
              <w:spacing w:before="45"/>
              <w:ind w:left="523"/>
              <w:rPr>
                <w:rFonts w:ascii="Times New Roman"/>
                <w:sz w:val="15"/>
              </w:rPr>
            </w:pPr>
            <w:r>
              <w:rPr>
                <w:rFonts w:ascii="Times New Roman"/>
                <w:sz w:val="15"/>
              </w:rPr>
              <w:t>0.567</w:t>
            </w:r>
          </w:p>
        </w:tc>
      </w:tr>
      <w:tr>
        <w:trPr>
          <w:trHeight w:val="228" w:hRule="atLeast"/>
        </w:trPr>
        <w:tc>
          <w:tcPr>
            <w:tcW w:w="920" w:type="dxa"/>
            <w:tcBorders>
              <w:bottom w:val="single" w:sz="12" w:space="0" w:color="000000"/>
            </w:tcBorders>
          </w:tcPr>
          <w:p>
            <w:pPr>
              <w:pStyle w:val="TableParagraph"/>
              <w:spacing w:before="33"/>
              <w:ind w:left="117"/>
              <w:rPr>
                <w:rFonts w:ascii="Times New Roman"/>
                <w:i/>
                <w:sz w:val="15"/>
              </w:rPr>
            </w:pPr>
            <w:r>
              <w:rPr>
                <w:rFonts w:ascii="Times New Roman"/>
                <w:i/>
                <w:w w:val="100"/>
                <w:sz w:val="15"/>
              </w:rPr>
              <w:t>P</w:t>
            </w:r>
          </w:p>
        </w:tc>
        <w:tc>
          <w:tcPr>
            <w:tcW w:w="1067" w:type="dxa"/>
            <w:tcBorders>
              <w:bottom w:val="single" w:sz="12" w:space="0" w:color="000000"/>
            </w:tcBorders>
          </w:tcPr>
          <w:p>
            <w:pPr>
              <w:pStyle w:val="TableParagraph"/>
              <w:rPr>
                <w:rFonts w:ascii="Times New Roman"/>
                <w:sz w:val="16"/>
              </w:rPr>
            </w:pPr>
          </w:p>
        </w:tc>
        <w:tc>
          <w:tcPr>
            <w:tcW w:w="1476" w:type="dxa"/>
            <w:tcBorders>
              <w:bottom w:val="single" w:sz="12" w:space="0" w:color="000000"/>
            </w:tcBorders>
          </w:tcPr>
          <w:p>
            <w:pPr>
              <w:pStyle w:val="TableParagraph"/>
              <w:spacing w:before="33"/>
              <w:ind w:left="415"/>
              <w:rPr>
                <w:rFonts w:ascii="Times New Roman"/>
                <w:sz w:val="15"/>
              </w:rPr>
            </w:pPr>
            <w:r>
              <w:rPr>
                <w:rFonts w:ascii="Times New Roman"/>
                <w:sz w:val="15"/>
              </w:rPr>
              <w:t>0.797</w:t>
            </w:r>
          </w:p>
        </w:tc>
        <w:tc>
          <w:tcPr>
            <w:tcW w:w="1817" w:type="dxa"/>
            <w:tcBorders>
              <w:bottom w:val="single" w:sz="12" w:space="0" w:color="000000"/>
            </w:tcBorders>
          </w:tcPr>
          <w:p>
            <w:pPr>
              <w:pStyle w:val="TableParagraph"/>
              <w:spacing w:before="33"/>
              <w:ind w:left="396"/>
              <w:rPr>
                <w:rFonts w:ascii="Times New Roman"/>
                <w:sz w:val="15"/>
              </w:rPr>
            </w:pPr>
            <w:r>
              <w:rPr>
                <w:rFonts w:ascii="Times New Roman"/>
                <w:sz w:val="15"/>
              </w:rPr>
              <w:t>0.000</w:t>
            </w:r>
          </w:p>
        </w:tc>
        <w:tc>
          <w:tcPr>
            <w:tcW w:w="2021" w:type="dxa"/>
            <w:tcBorders>
              <w:bottom w:val="single" w:sz="12" w:space="0" w:color="000000"/>
            </w:tcBorders>
          </w:tcPr>
          <w:p>
            <w:pPr>
              <w:pStyle w:val="TableParagraph"/>
              <w:spacing w:before="33"/>
              <w:ind w:left="477"/>
              <w:rPr>
                <w:rFonts w:ascii="Times New Roman"/>
                <w:sz w:val="15"/>
              </w:rPr>
            </w:pPr>
            <w:r>
              <w:rPr>
                <w:rFonts w:ascii="Times New Roman"/>
                <w:sz w:val="15"/>
              </w:rPr>
              <w:t>0.000</w:t>
            </w:r>
          </w:p>
        </w:tc>
        <w:tc>
          <w:tcPr>
            <w:tcW w:w="2423" w:type="dxa"/>
            <w:tcBorders>
              <w:bottom w:val="single" w:sz="12" w:space="0" w:color="000000"/>
            </w:tcBorders>
          </w:tcPr>
          <w:p>
            <w:pPr>
              <w:pStyle w:val="TableParagraph"/>
              <w:spacing w:before="33"/>
              <w:ind w:left="523"/>
              <w:rPr>
                <w:rFonts w:ascii="Times New Roman"/>
                <w:sz w:val="15"/>
              </w:rPr>
            </w:pPr>
            <w:r>
              <w:rPr>
                <w:rFonts w:ascii="Times New Roman"/>
                <w:sz w:val="15"/>
              </w:rPr>
              <w:t>0.283</w:t>
            </w:r>
          </w:p>
        </w:tc>
      </w:tr>
    </w:tbl>
    <w:p>
      <w:pPr>
        <w:pStyle w:val="Heading3"/>
        <w:numPr>
          <w:ilvl w:val="0"/>
          <w:numId w:val="3"/>
        </w:numPr>
        <w:tabs>
          <w:tab w:pos="1001" w:val="left" w:leader="none"/>
        </w:tabs>
        <w:spacing w:line="240" w:lineRule="auto" w:before="64" w:after="0"/>
        <w:ind w:left="1000" w:right="0" w:hanging="244"/>
        <w:jc w:val="left"/>
      </w:pPr>
      <w:r>
        <w:rPr/>
        <w:t>讨论</w:t>
      </w:r>
    </w:p>
    <w:p>
      <w:pPr>
        <w:pStyle w:val="BodyText"/>
        <w:spacing w:line="297" w:lineRule="auto" w:before="72"/>
        <w:ind w:right="386" w:firstLine="480"/>
        <w:jc w:val="both"/>
      </w:pPr>
      <w:r>
        <w:rPr/>
        <w:t>ICU</w:t>
      </w:r>
      <w:r>
        <w:rPr>
          <w:spacing w:val="-11"/>
        </w:rPr>
        <w:t> 患者中以老年患者为主，住院次数较多，身体素质水平较低，免疫功能薄弱，合并</w:t>
      </w:r>
      <w:r>
        <w:rPr>
          <w:spacing w:val="-16"/>
        </w:rPr>
        <w:t>多种疾病，因此 </w:t>
      </w:r>
      <w:r>
        <w:rPr/>
        <w:t>ICU</w:t>
      </w:r>
      <w:r>
        <w:rPr>
          <w:spacing w:val="-14"/>
        </w:rPr>
        <w:t> 患者是多重耐药感染疾病的易感人群。近些年来 </w:t>
      </w:r>
      <w:r>
        <w:rPr/>
        <w:t>ICU</w:t>
      </w:r>
      <w:r>
        <w:rPr>
          <w:spacing w:val="-9"/>
        </w:rPr>
        <w:t> 多重耐药感染者逐</w:t>
      </w:r>
      <w:r>
        <w:rPr>
          <w:spacing w:val="-10"/>
        </w:rPr>
        <w:t>年上升，不仅严重威胁患者生命安全，且给家庭带来沉重的经济负担，因此治疗是目前临床</w:t>
      </w:r>
      <w:r>
        <w:rPr>
          <w:spacing w:val="-2"/>
        </w:rPr>
        <w:t>上的难点和重点。</w:t>
      </w:r>
      <w:r>
        <w:rPr/>
        <w:t>TGC</w:t>
      </w:r>
      <w:r>
        <w:rPr>
          <w:spacing w:val="-11"/>
        </w:rPr>
        <w:t> 是一类广谱抗菌药物，抑菌效果强，特别是对拟杆菌引起的感染具有</w:t>
      </w:r>
      <w:r>
        <w:rPr>
          <w:spacing w:val="-10"/>
        </w:rPr>
        <w:t>较好的效果。头孢哌酮舒巴坦是头孢哌酮和舒巴坦的复合制剂，对阴性杆菌具有显著的协同</w:t>
      </w:r>
      <w:r>
        <w:rPr>
          <w:spacing w:val="-5"/>
        </w:rPr>
        <w:t>抗菌活性，耐药性高。国内外多项研究表明，</w:t>
      </w:r>
      <w:r>
        <w:rPr>
          <w:spacing w:val="-4"/>
        </w:rPr>
        <w:t>TGC</w:t>
      </w:r>
      <w:r>
        <w:rPr>
          <w:spacing w:val="-24"/>
        </w:rPr>
        <w:t> 在治疗 </w:t>
      </w:r>
      <w:r>
        <w:rPr/>
        <w:t>ICU</w:t>
      </w:r>
      <w:r>
        <w:rPr>
          <w:spacing w:val="-9"/>
        </w:rPr>
        <w:t> 多重耐药感染者方面取得了较</w:t>
      </w:r>
      <w:r>
        <w:rPr>
          <w:spacing w:val="-12"/>
        </w:rPr>
        <w:t>好的疗效，但对于患者免疫功能及预后的影响报道较少。本研究通过探讨 </w:t>
      </w:r>
      <w:r>
        <w:rPr/>
        <w:t>TGC</w:t>
      </w:r>
      <w:r>
        <w:rPr>
          <w:spacing w:val="-11"/>
        </w:rPr>
        <w:t> 联合头孢哌酮</w:t>
      </w:r>
      <w:r>
        <w:rPr>
          <w:spacing w:val="-9"/>
        </w:rPr>
        <w:t>舒巴坦治疗对 </w:t>
      </w:r>
      <w:r>
        <w:rPr/>
        <w:t>ICU</w:t>
      </w:r>
      <w:r>
        <w:rPr>
          <w:spacing w:val="-8"/>
        </w:rPr>
        <w:t> 多重耐药感染者免疫功能、预后的影响，为临床提供依据及参考。</w:t>
      </w:r>
    </w:p>
    <w:p>
      <w:pPr>
        <w:pStyle w:val="BodyText"/>
        <w:spacing w:line="297" w:lineRule="auto"/>
        <w:ind w:right="287" w:firstLine="480"/>
      </w:pPr>
      <w:r>
        <w:rPr>
          <w:spacing w:val="-6"/>
        </w:rPr>
        <w:t>肺炎患者免疫球蛋白和 </w:t>
      </w:r>
      <w:r>
        <w:rPr/>
        <w:t>NK</w:t>
      </w:r>
      <w:r>
        <w:rPr>
          <w:spacing w:val="-8"/>
        </w:rPr>
        <w:t> 细胞水平即可体现机体的体液免疫状态。研究发现，</w:t>
      </w:r>
      <w:r>
        <w:rPr/>
        <w:t>TGC</w:t>
      </w:r>
      <w:r>
        <w:rPr>
          <w:spacing w:val="-30"/>
        </w:rPr>
        <w:t> 可</w:t>
      </w:r>
      <w:r>
        <w:rPr>
          <w:spacing w:val="-20"/>
        </w:rPr>
        <w:t>有效清除病原菌，减少病原菌对机体的损伤，抑制机体炎症反应，提高免疫功能。本次研究</w:t>
      </w:r>
      <w:r>
        <w:rPr>
          <w:spacing w:val="-22"/>
        </w:rPr>
        <w:t>结果发现，两组患者治疗前免疫功能指标比较差异不显著。治疗后免疫球蛋白 </w:t>
      </w:r>
      <w:r>
        <w:rPr/>
        <w:t>IgM、IgG</w:t>
      </w:r>
      <w:r>
        <w:rPr>
          <w:spacing w:val="-30"/>
        </w:rPr>
        <w:t> 水</w:t>
      </w:r>
      <w:r>
        <w:rPr>
          <w:spacing w:val="-40"/>
        </w:rPr>
        <w:t>平和 </w:t>
      </w:r>
      <w:r>
        <w:rPr/>
        <w:t>NK</w:t>
      </w:r>
      <w:r>
        <w:rPr>
          <w:spacing w:val="-11"/>
        </w:rPr>
        <w:t> 细胞百分比指标升高，且研究组免疫球蛋白 </w:t>
      </w:r>
      <w:r>
        <w:rPr/>
        <w:t>IgM、IgG</w:t>
      </w:r>
      <w:r>
        <w:rPr>
          <w:spacing w:val="-24"/>
        </w:rPr>
        <w:t> 水平和 </w:t>
      </w:r>
      <w:r>
        <w:rPr/>
        <w:t>NK</w:t>
      </w:r>
      <w:r>
        <w:rPr>
          <w:spacing w:val="-8"/>
        </w:rPr>
        <w:t> 细胞百分比高于对</w:t>
      </w:r>
      <w:r>
        <w:rPr>
          <w:spacing w:val="-23"/>
        </w:rPr>
        <w:t>照组。说明 </w:t>
      </w:r>
      <w:r>
        <w:rPr/>
        <w:t>TGC</w:t>
      </w:r>
      <w:r>
        <w:rPr>
          <w:spacing w:val="-10"/>
        </w:rPr>
        <w:t> 联合头孢哌酮舒巴坦能降低多重耐药感染者的免疫球蛋白含量，改善免疫抑</w:t>
      </w:r>
      <w:r>
        <w:rPr>
          <w:spacing w:val="-11"/>
        </w:rPr>
        <w:t>制状态，提高细菌清除能力，提高治疗效果并改善预后，与以往研究一致。临床研究发现， </w:t>
      </w:r>
      <w:r>
        <w:rPr/>
        <w:t>TGC</w:t>
      </w:r>
      <w:r>
        <w:rPr>
          <w:spacing w:val="-8"/>
        </w:rPr>
        <w:t> 抗生素效用强于其他同类药物，所以</w:t>
      </w:r>
      <w:r>
        <w:rPr/>
        <w:t>，TGC</w:t>
      </w:r>
      <w:r>
        <w:rPr>
          <w:spacing w:val="-8"/>
        </w:rPr>
        <w:t> 清除感染细菌能力较强。本次研究发现研究组细菌清除率明显高于对照组，细菌再感染率和细菌替换率低于对照组，结果提示了 </w:t>
      </w:r>
      <w:r>
        <w:rPr/>
        <w:t>TGC 细菌清除力较强，与以往报道一致。</w:t>
      </w:r>
    </w:p>
    <w:p>
      <w:pPr>
        <w:pStyle w:val="BodyText"/>
        <w:spacing w:line="297" w:lineRule="auto"/>
        <w:ind w:right="345" w:firstLine="480"/>
      </w:pPr>
      <w:r>
        <w:rPr/>
        <w:t>TGC</w:t>
      </w:r>
      <w:r>
        <w:rPr>
          <w:spacing w:val="-9"/>
        </w:rPr>
        <w:t> 具高效、菌谱广的特点，不仅对革兰阴性菌、革兰阳性菌、需氧菌、厌氧菌，且对除铜绿假单胞菌外的其它菌包括金葡萄球菌和耐万古霉素肠球菌等的大部分耐药菌株抑菌</w:t>
      </w:r>
      <w:r>
        <w:rPr>
          <w:spacing w:val="-11"/>
        </w:rPr>
        <w:t>效果显著，特别是对于多重耐药菌混合感染的治疗有较好的抗菌效果。研究还发现采用 </w:t>
      </w:r>
      <w:r>
        <w:rPr/>
        <w:t>TGC </w:t>
      </w:r>
      <w:r>
        <w:rPr>
          <w:spacing w:val="-6"/>
        </w:rPr>
        <w:t>治疗可有效提高治疗效果，并可减少并发症的发生率。本次研究发现，联合用药疗效优于单用头孢哌酮舒巴坦治疗，推测其原因有：（1）TGC</w:t>
      </w:r>
      <w:r>
        <w:rPr>
          <w:spacing w:val="-8"/>
        </w:rPr>
        <w:t> 抑菌效果较强，组织分布浓度高；</w:t>
      </w:r>
      <w:r>
        <w:rPr>
          <w:spacing w:val="-5"/>
        </w:rPr>
        <w:t>（2） </w:t>
      </w:r>
      <w:r>
        <w:rPr/>
        <w:t>TGC</w:t>
      </w:r>
      <w:r>
        <w:rPr>
          <w:spacing w:val="-10"/>
        </w:rPr>
        <w:t> 是以阳离子-四环素类的形式进入细胞内，并与核糖体 </w:t>
      </w:r>
      <w:r>
        <w:rPr/>
        <w:t>30S</w:t>
      </w:r>
      <w:r>
        <w:rPr>
          <w:spacing w:val="-8"/>
        </w:rPr>
        <w:t> 亚基结合后阻断肽链延长， </w:t>
      </w:r>
      <w:r>
        <w:rPr>
          <w:spacing w:val="-9"/>
        </w:rPr>
        <w:t>从抑制细菌蛋白的合成；</w:t>
      </w:r>
      <w:r>
        <w:rPr>
          <w:spacing w:val="-11"/>
        </w:rPr>
        <w:t>（3）</w:t>
      </w:r>
      <w:r>
        <w:rPr>
          <w:spacing w:val="-3"/>
        </w:rPr>
        <w:t>联合用药覆盖多种病原菌，提高疗效；</w:t>
      </w:r>
      <w:r>
        <w:rPr>
          <w:spacing w:val="-11"/>
        </w:rPr>
        <w:t>（4）</w:t>
      </w:r>
      <w:r>
        <w:rPr/>
        <w:t>联合应用药具有</w:t>
      </w:r>
      <w:r>
        <w:rPr>
          <w:spacing w:val="-4"/>
        </w:rPr>
        <w:t>协同抗菌作用，并可减少某种药物的不良反应。值得注意的是，TGC</w:t>
      </w:r>
      <w:r>
        <w:rPr>
          <w:spacing w:val="-8"/>
        </w:rPr>
        <w:t> 治疗后可能会引起一些</w:t>
      </w:r>
      <w:r>
        <w:rPr>
          <w:spacing w:val="-13"/>
        </w:rPr>
        <w:t>不良反应，例如胃肠道反应，肝功能损伤，甚至加重感染。本研究中不良反应较轻，停药后</w:t>
      </w:r>
      <w:r>
        <w:rPr>
          <w:spacing w:val="-19"/>
        </w:rPr>
        <w:t>可消失，提醒应用 </w:t>
      </w:r>
      <w:r>
        <w:rPr/>
        <w:t>TGC</w:t>
      </w:r>
      <w:r>
        <w:rPr>
          <w:spacing w:val="-8"/>
        </w:rPr>
        <w:t> 治疗时应关注不良反应，及时采取治疗措施。</w:t>
      </w:r>
    </w:p>
    <w:p>
      <w:pPr>
        <w:pStyle w:val="BodyText"/>
        <w:spacing w:line="295" w:lineRule="auto"/>
        <w:ind w:right="388" w:firstLine="480"/>
      </w:pPr>
      <w:r>
        <w:rPr>
          <w:spacing w:val="-10"/>
        </w:rPr>
        <w:t>本研究还发现，研究组患者在治疗期间死亡</w:t>
      </w:r>
      <w:r>
        <w:rPr/>
        <w:t>6</w:t>
      </w:r>
      <w:r>
        <w:rPr>
          <w:spacing w:val="-26"/>
        </w:rPr>
        <w:t> 例，存活例数</w:t>
      </w:r>
      <w:r>
        <w:rPr/>
        <w:t>24</w:t>
      </w:r>
      <w:r>
        <w:rPr>
          <w:spacing w:val="-70"/>
        </w:rPr>
        <w:t> 例，</w:t>
      </w:r>
      <w:r>
        <w:rPr/>
        <w:t>30</w:t>
      </w:r>
      <w:r>
        <w:rPr>
          <w:spacing w:val="-60"/>
        </w:rPr>
        <w:t> </w:t>
      </w:r>
      <w:r>
        <w:rPr/>
        <w:t>d</w:t>
      </w:r>
      <w:r>
        <w:rPr>
          <w:spacing w:val="-11"/>
        </w:rPr>
        <w:t> 总病死率为</w:t>
      </w:r>
      <w:r>
        <w:rPr>
          <w:spacing w:val="-3"/>
        </w:rPr>
        <w:t>20.00%</w:t>
      </w:r>
      <w:r>
        <w:rPr>
          <w:spacing w:val="-3"/>
        </w:rPr>
        <w:t>高于对照组，但无统计学意义。进一步分析其影响因素，发现 </w:t>
      </w:r>
      <w:r>
        <w:rPr/>
        <w:t>APACHEⅡ分数、机械通气天</w:t>
      </w:r>
    </w:p>
    <w:p>
      <w:pPr>
        <w:spacing w:after="0" w:line="295" w:lineRule="auto"/>
        <w:sectPr>
          <w:pgSz w:w="11910" w:h="16850"/>
          <w:pgMar w:header="906" w:footer="607" w:top="1100" w:bottom="800" w:left="1000" w:right="740"/>
        </w:sectPr>
      </w:pPr>
    </w:p>
    <w:p>
      <w:pPr>
        <w:pStyle w:val="BodyText"/>
        <w:spacing w:line="297" w:lineRule="auto" w:before="65"/>
        <w:ind w:right="386"/>
        <w:jc w:val="both"/>
      </w:pPr>
      <w:r>
        <w:rPr>
          <w:spacing w:val="-11"/>
        </w:rPr>
        <w:t>数均影响预后，合并基础性疾病、年龄均不影响预后。结果提示了 </w:t>
      </w:r>
      <w:r>
        <w:rPr/>
        <w:t>TGC</w:t>
      </w:r>
      <w:r>
        <w:rPr>
          <w:spacing w:val="-9"/>
        </w:rPr>
        <w:t> 联合头孢哌酮舒巴坦</w:t>
      </w:r>
      <w:r>
        <w:rPr/>
        <w:t>治疗可提高患者存活率。推测其原因是：（1）APACHEⅡ评分与患者疾病严重程度有关，可作为评估重症患者病情及预后；（2）</w:t>
      </w:r>
      <w:r>
        <w:rPr>
          <w:spacing w:val="-3"/>
        </w:rPr>
        <w:t>侵入性操作增多可增加患者的感染概率，加之 </w:t>
      </w:r>
      <w:r>
        <w:rPr/>
        <w:t>ICU</w:t>
      </w:r>
      <w:r>
        <w:rPr>
          <w:spacing w:val="-30"/>
        </w:rPr>
        <w:t> 患</w:t>
      </w:r>
      <w:r>
        <w:rPr>
          <w:spacing w:val="-17"/>
        </w:rPr>
        <w:t>者病情较重，免疫功能较低，易导致患者死亡。针对上述危险因素应积极采取措施，严格执行无菌操作，减少病原菌传播，减少机械通气时间，积极治疗基础性疾病。</w:t>
      </w:r>
    </w:p>
    <w:p>
      <w:pPr>
        <w:pStyle w:val="BodyText"/>
        <w:spacing w:line="297" w:lineRule="auto"/>
        <w:ind w:right="387" w:firstLine="480"/>
        <w:jc w:val="both"/>
      </w:pPr>
      <w:r>
        <w:rPr>
          <w:spacing w:val="-2"/>
        </w:rPr>
        <w:t>综上所述，</w:t>
      </w:r>
      <w:r>
        <w:rPr>
          <w:spacing w:val="-6"/>
        </w:rPr>
        <w:t>TGC</w:t>
      </w:r>
      <w:r>
        <w:rPr>
          <w:spacing w:val="-13"/>
        </w:rPr>
        <w:t> 联合头孢哌酮舒巴坦对 </w:t>
      </w:r>
      <w:r>
        <w:rPr/>
        <w:t>ICU</w:t>
      </w:r>
      <w:r>
        <w:rPr>
          <w:spacing w:val="-10"/>
        </w:rPr>
        <w:t> 多重耐药菌感染患者疗效显著，且能提高患</w:t>
      </w:r>
      <w:r>
        <w:rPr>
          <w:spacing w:val="-8"/>
        </w:rPr>
        <w:t>者免疫功能和细菌清除力，值得临床推广。本研究中纳入样本量小，且为回顾性研究，一定</w:t>
      </w:r>
    </w:p>
    <w:p>
      <w:pPr>
        <w:spacing w:line="259" w:lineRule="auto" w:before="0"/>
        <w:ind w:left="277" w:right="387" w:firstLine="0"/>
        <w:jc w:val="both"/>
        <w:rPr>
          <w:rFonts w:ascii="仿宋" w:eastAsia="仿宋" w:hint="eastAsia"/>
          <w:b/>
          <w:sz w:val="24"/>
        </w:rPr>
      </w:pPr>
      <w:r>
        <w:rPr>
          <w:spacing w:val="-8"/>
          <w:sz w:val="24"/>
        </w:rPr>
        <w:t>程度上影响结果的可信度。下一步研究将纳入大样本量并采用多中心随机研究，以期为临床</w:t>
      </w:r>
      <w:r>
        <w:rPr>
          <w:sz w:val="24"/>
        </w:rPr>
        <w:t>用药提供更多参考依据。</w:t>
      </w:r>
      <w:r>
        <w:rPr>
          <w:rFonts w:ascii="Meiryo" w:eastAsia="Meiryo" w:hint="eastAsia"/>
          <w:b/>
          <w:color w:val="0033CC"/>
          <w:spacing w:val="6"/>
          <w:sz w:val="24"/>
        </w:rPr>
        <w:t>[返回目次] </w:t>
      </w:r>
      <w:r>
        <w:rPr>
          <w:rFonts w:ascii="仿宋" w:eastAsia="仿宋" w:hint="eastAsia"/>
          <w:b/>
          <w:color w:val="006FC0"/>
          <w:sz w:val="24"/>
        </w:rPr>
        <w:t>（以上文章以实际发刊内容为准）</w:t>
      </w:r>
    </w:p>
    <w:p>
      <w:pPr>
        <w:pStyle w:val="Heading2"/>
        <w:spacing w:before="148"/>
        <w:ind w:right="240"/>
        <w:jc w:val="center"/>
      </w:pPr>
      <w:bookmarkStart w:name="_TOC_250018" w:id="7"/>
      <w:bookmarkEnd w:id="7"/>
      <w:r>
        <w:rPr/>
        <w:t>部分儿童适宜药品在五项权威资料中的适宜年龄段分析</w:t>
      </w:r>
    </w:p>
    <w:p>
      <w:pPr>
        <w:spacing w:line="307" w:lineRule="auto" w:before="146"/>
        <w:ind w:left="277" w:right="386" w:firstLine="4373"/>
        <w:jc w:val="both"/>
        <w:rPr>
          <w:rFonts w:ascii="楷体" w:eastAsia="楷体" w:hint="eastAsia"/>
          <w:sz w:val="24"/>
        </w:rPr>
      </w:pPr>
      <w:r>
        <w:rPr>
          <w:rFonts w:ascii="楷体" w:eastAsia="楷体" w:hint="eastAsia"/>
          <w:b/>
          <w:color w:val="FF0000"/>
          <w:sz w:val="24"/>
        </w:rPr>
        <w:t>（来源：《中国医院药学杂志》2019</w:t>
      </w:r>
      <w:r>
        <w:rPr>
          <w:rFonts w:ascii="楷体" w:eastAsia="楷体" w:hint="eastAsia"/>
          <w:b/>
          <w:color w:val="FF0000"/>
          <w:spacing w:val="-30"/>
          <w:sz w:val="24"/>
        </w:rPr>
        <w:t> 年第 </w:t>
      </w:r>
      <w:r>
        <w:rPr>
          <w:rFonts w:ascii="楷体" w:eastAsia="楷体" w:hint="eastAsia"/>
          <w:b/>
          <w:color w:val="FF0000"/>
          <w:sz w:val="24"/>
        </w:rPr>
        <w:t>6</w:t>
      </w:r>
      <w:r>
        <w:rPr>
          <w:rFonts w:ascii="楷体" w:eastAsia="楷体" w:hint="eastAsia"/>
          <w:b/>
          <w:color w:val="FF0000"/>
          <w:spacing w:val="-31"/>
          <w:sz w:val="24"/>
        </w:rPr>
        <w:t> 期</w:t>
      </w:r>
      <w:r>
        <w:rPr>
          <w:rFonts w:ascii="楷体" w:eastAsia="楷体" w:hint="eastAsia"/>
          <w:b/>
          <w:color w:val="FF0000"/>
          <w:spacing w:val="-12"/>
          <w:sz w:val="24"/>
        </w:rPr>
        <w:t>） </w:t>
      </w:r>
      <w:r>
        <w:rPr>
          <w:rFonts w:ascii="楷体" w:eastAsia="楷体" w:hint="eastAsia"/>
          <w:spacing w:val="-16"/>
          <w:sz w:val="24"/>
        </w:rPr>
        <w:t>周瑞瑞 </w:t>
      </w:r>
      <w:r>
        <w:rPr>
          <w:rFonts w:ascii="楷体" w:eastAsia="楷体" w:hint="eastAsia"/>
          <w:spacing w:val="-5"/>
          <w:sz w:val="24"/>
        </w:rPr>
        <w:t>1</w:t>
      </w:r>
      <w:r>
        <w:rPr>
          <w:rFonts w:ascii="楷体" w:eastAsia="楷体" w:hint="eastAsia"/>
          <w:spacing w:val="-14"/>
          <w:sz w:val="24"/>
        </w:rPr>
        <w:t>，王晓玲 </w:t>
      </w:r>
      <w:r>
        <w:rPr>
          <w:rFonts w:ascii="楷体" w:eastAsia="楷体" w:hint="eastAsia"/>
          <w:sz w:val="24"/>
        </w:rPr>
        <w:t>2,</w:t>
      </w:r>
      <w:r>
        <w:rPr>
          <w:rFonts w:ascii="楷体" w:eastAsia="楷体" w:hint="eastAsia"/>
          <w:spacing w:val="-21"/>
          <w:sz w:val="24"/>
        </w:rPr>
        <w:t>陈哲 </w:t>
      </w:r>
      <w:r>
        <w:rPr>
          <w:rFonts w:ascii="楷体" w:eastAsia="楷体" w:hint="eastAsia"/>
          <w:spacing w:val="-5"/>
          <w:sz w:val="24"/>
        </w:rPr>
        <w:t>3</w:t>
      </w:r>
      <w:r>
        <w:rPr>
          <w:rFonts w:ascii="楷体" w:eastAsia="楷体" w:hint="eastAsia"/>
          <w:spacing w:val="-17"/>
          <w:sz w:val="24"/>
        </w:rPr>
        <w:t>，张萌 </w:t>
      </w:r>
      <w:r>
        <w:rPr>
          <w:rFonts w:ascii="楷体" w:eastAsia="楷体" w:hint="eastAsia"/>
          <w:sz w:val="24"/>
        </w:rPr>
        <w:t>2,</w:t>
      </w:r>
      <w:r>
        <w:rPr>
          <w:rFonts w:ascii="楷体" w:eastAsia="楷体" w:hint="eastAsia"/>
          <w:spacing w:val="-16"/>
          <w:sz w:val="24"/>
        </w:rPr>
        <w:t>谢晓慧 </w:t>
      </w:r>
      <w:r>
        <w:rPr>
          <w:rFonts w:ascii="楷体" w:eastAsia="楷体" w:hint="eastAsia"/>
          <w:sz w:val="24"/>
        </w:rPr>
        <w:t>1</w:t>
      </w:r>
      <w:r>
        <w:rPr>
          <w:rFonts w:ascii="楷体" w:eastAsia="楷体" w:hint="eastAsia"/>
          <w:spacing w:val="-61"/>
          <w:sz w:val="24"/>
        </w:rPr>
        <w:t> </w:t>
      </w:r>
      <w:r>
        <w:rPr>
          <w:rFonts w:ascii="楷体" w:eastAsia="楷体" w:hint="eastAsia"/>
          <w:sz w:val="24"/>
        </w:rPr>
        <w:t>(1.</w:t>
      </w:r>
      <w:r>
        <w:rPr>
          <w:rFonts w:ascii="楷体" w:eastAsia="楷体" w:hint="eastAsia"/>
          <w:spacing w:val="-8"/>
          <w:sz w:val="24"/>
        </w:rPr>
        <w:t>北京大学药学院，北京 </w:t>
      </w:r>
      <w:r>
        <w:rPr>
          <w:rFonts w:ascii="楷体" w:eastAsia="楷体" w:hint="eastAsia"/>
          <w:sz w:val="24"/>
        </w:rPr>
        <w:t>100191；2.</w:t>
      </w:r>
      <w:r>
        <w:rPr>
          <w:rFonts w:ascii="楷体" w:eastAsia="楷体" w:hint="eastAsia"/>
          <w:spacing w:val="-6"/>
          <w:sz w:val="24"/>
        </w:rPr>
        <w:t>首都医</w:t>
      </w:r>
      <w:r>
        <w:rPr>
          <w:rFonts w:ascii="楷体" w:eastAsia="楷体" w:hint="eastAsia"/>
          <w:spacing w:val="-4"/>
          <w:sz w:val="24"/>
        </w:rPr>
        <w:t>科大学附属北京儿童医院，北京 </w:t>
      </w:r>
      <w:r>
        <w:rPr>
          <w:rFonts w:ascii="楷体" w:eastAsia="楷体" w:hint="eastAsia"/>
          <w:sz w:val="24"/>
        </w:rPr>
        <w:t>100045；3.郑州大学第一附属医院，河南 郑州 450052)</w:t>
      </w:r>
    </w:p>
    <w:p>
      <w:pPr>
        <w:pStyle w:val="BodyText"/>
        <w:spacing w:line="291" w:lineRule="exact"/>
        <w:rPr>
          <w:rFonts w:ascii="楷体" w:eastAsia="楷体" w:hint="eastAsia"/>
        </w:rPr>
      </w:pPr>
      <w:r>
        <w:rPr>
          <w:rFonts w:ascii="黑体" w:eastAsia="黑体" w:hint="eastAsia"/>
        </w:rPr>
        <w:t>［摘要］目的：</w:t>
      </w:r>
      <w:r>
        <w:rPr>
          <w:rFonts w:ascii="楷体" w:eastAsia="楷体" w:hint="eastAsia"/>
        </w:rPr>
        <w:t>调研并分析部分儿童适宜药品在五项权威资料中的适宜年龄段，以期为我国</w:t>
      </w:r>
    </w:p>
    <w:p>
      <w:pPr>
        <w:pStyle w:val="BodyText"/>
        <w:spacing w:line="297" w:lineRule="auto" w:before="71"/>
        <w:ind w:right="266"/>
        <w:rPr>
          <w:rFonts w:ascii="楷体" w:hAnsi="楷体" w:eastAsia="楷体" w:hint="eastAsia"/>
        </w:rPr>
      </w:pPr>
      <w:r>
        <w:rPr>
          <w:rFonts w:ascii="楷体" w:hAnsi="楷体" w:eastAsia="楷体" w:hint="eastAsia"/>
          <w:spacing w:val="-3"/>
        </w:rPr>
        <w:t>儿童临床合理用药提供参考。</w:t>
      </w:r>
      <w:r>
        <w:rPr>
          <w:rFonts w:ascii="黑体" w:hAnsi="黑体" w:eastAsia="黑体" w:hint="eastAsia"/>
          <w:spacing w:val="-11"/>
        </w:rPr>
        <w:t>方法：</w:t>
      </w:r>
      <w:r>
        <w:rPr>
          <w:rFonts w:ascii="楷体" w:hAnsi="楷体" w:eastAsia="楷体" w:hint="eastAsia"/>
          <w:spacing w:val="-6"/>
        </w:rPr>
        <w:t>调研药品说明书、中国国家处方集</w:t>
      </w:r>
      <w:r>
        <w:rPr>
          <w:rFonts w:ascii="楷体" w:hAnsi="楷体" w:eastAsia="楷体" w:hint="eastAsia"/>
        </w:rPr>
        <w:t>（儿童版</w:t>
      </w:r>
      <w:r>
        <w:rPr>
          <w:rFonts w:ascii="楷体" w:hAnsi="楷体" w:eastAsia="楷体" w:hint="eastAsia"/>
          <w:spacing w:val="-14"/>
        </w:rPr>
        <w:t>）（CNFc）</w:t>
      </w:r>
      <w:r>
        <w:rPr>
          <w:rFonts w:ascii="楷体" w:hAnsi="楷体" w:eastAsia="楷体" w:hint="eastAsia"/>
          <w:spacing w:val="-32"/>
        </w:rPr>
        <w:t>、</w:t>
      </w:r>
      <w:r>
        <w:rPr>
          <w:rFonts w:ascii="楷体" w:hAnsi="楷体" w:eastAsia="楷体" w:hint="eastAsia"/>
          <w:spacing w:val="-2"/>
        </w:rPr>
        <w:t>英国国家处方集</w:t>
      </w:r>
      <w:r>
        <w:rPr>
          <w:rFonts w:ascii="楷体" w:hAnsi="楷体" w:eastAsia="楷体" w:hint="eastAsia"/>
        </w:rPr>
        <w:t>（儿童卷</w:t>
      </w:r>
      <w:r>
        <w:rPr>
          <w:rFonts w:ascii="楷体" w:hAnsi="楷体" w:eastAsia="楷体" w:hint="eastAsia"/>
          <w:spacing w:val="-10"/>
        </w:rPr>
        <w:t>）、</w:t>
      </w:r>
      <w:r>
        <w:rPr>
          <w:rFonts w:ascii="楷体" w:hAnsi="楷体" w:eastAsia="楷体" w:hint="eastAsia"/>
        </w:rPr>
        <w:t>WHO</w:t>
      </w:r>
      <w:r>
        <w:rPr>
          <w:rFonts w:ascii="楷体" w:hAnsi="楷体" w:eastAsia="楷体" w:hint="eastAsia"/>
          <w:spacing w:val="-10"/>
        </w:rPr>
        <w:t> 儿童标准处方集、</w:t>
      </w:r>
      <w:r>
        <w:rPr>
          <w:rFonts w:ascii="楷体" w:hAnsi="楷体" w:eastAsia="楷体" w:hint="eastAsia"/>
        </w:rPr>
        <w:t>WHO</w:t>
      </w:r>
      <w:r>
        <w:rPr>
          <w:rFonts w:ascii="楷体" w:hAnsi="楷体" w:eastAsia="楷体" w:hint="eastAsia"/>
          <w:spacing w:val="-8"/>
        </w:rPr>
        <w:t> 儿童基本药物标准清单</w:t>
      </w:r>
      <w:r>
        <w:rPr>
          <w:rFonts w:ascii="楷体" w:hAnsi="楷体" w:eastAsia="楷体" w:hint="eastAsia"/>
        </w:rPr>
        <w:t>(WHO</w:t>
      </w:r>
      <w:r>
        <w:rPr>
          <w:rFonts w:ascii="楷体" w:hAnsi="楷体" w:eastAsia="楷体" w:hint="eastAsia"/>
          <w:spacing w:val="-59"/>
        </w:rPr>
        <w:t> </w:t>
      </w:r>
      <w:r>
        <w:rPr>
          <w:rFonts w:ascii="楷体" w:hAnsi="楷体" w:eastAsia="楷体" w:hint="eastAsia"/>
          <w:spacing w:val="-3"/>
        </w:rPr>
        <w:t>EMLc)， </w:t>
      </w:r>
      <w:r>
        <w:rPr>
          <w:rFonts w:ascii="楷体" w:hAnsi="楷体" w:eastAsia="楷体" w:hint="eastAsia"/>
        </w:rPr>
        <w:t>将结果进行统计分析。</w:t>
      </w:r>
      <w:r>
        <w:rPr/>
        <w:t>结果：</w:t>
      </w:r>
      <w:r>
        <w:rPr>
          <w:rFonts w:ascii="楷体" w:hAnsi="楷体" w:eastAsia="楷体" w:hint="eastAsia"/>
          <w:spacing w:val="-3"/>
        </w:rPr>
        <w:t>调研品种在五项权威资料中收录的比例差异较大，在 </w:t>
      </w:r>
      <w:r>
        <w:rPr>
          <w:rFonts w:ascii="楷体" w:hAnsi="楷体" w:eastAsia="楷体" w:hint="eastAsia"/>
        </w:rPr>
        <w:t>CNFc</w:t>
      </w:r>
      <w:r>
        <w:rPr>
          <w:rFonts w:ascii="楷体" w:hAnsi="楷体" w:eastAsia="楷体" w:hint="eastAsia"/>
          <w:spacing w:val="-30"/>
        </w:rPr>
        <w:t> 中</w:t>
      </w:r>
      <w:r>
        <w:rPr>
          <w:rFonts w:ascii="楷体" w:hAnsi="楷体" w:eastAsia="楷体" w:hint="eastAsia"/>
          <w:spacing w:val="-41"/>
        </w:rPr>
        <w:t>接近 </w:t>
      </w:r>
      <w:r>
        <w:rPr>
          <w:rFonts w:ascii="楷体" w:hAnsi="楷体" w:eastAsia="楷体" w:hint="eastAsia"/>
        </w:rPr>
        <w:t>80</w:t>
      </w:r>
      <w:r>
        <w:rPr>
          <w:rFonts w:ascii="楷体" w:hAnsi="楷体" w:eastAsia="楷体" w:hint="eastAsia"/>
          <w:spacing w:val="-13"/>
        </w:rPr>
        <w:t>%，而在 </w:t>
      </w:r>
      <w:r>
        <w:rPr>
          <w:rFonts w:ascii="楷体" w:hAnsi="楷体" w:eastAsia="楷体" w:hint="eastAsia"/>
        </w:rPr>
        <w:t>WHO</w:t>
      </w:r>
      <w:r>
        <w:rPr>
          <w:rFonts w:ascii="楷体" w:hAnsi="楷体" w:eastAsia="楷体" w:hint="eastAsia"/>
          <w:spacing w:val="-62"/>
        </w:rPr>
        <w:t> </w:t>
      </w:r>
      <w:r>
        <w:rPr>
          <w:rFonts w:ascii="楷体" w:hAnsi="楷体" w:eastAsia="楷体" w:hint="eastAsia"/>
        </w:rPr>
        <w:t>EMLc</w:t>
      </w:r>
      <w:r>
        <w:rPr>
          <w:rFonts w:ascii="楷体" w:hAnsi="楷体" w:eastAsia="楷体" w:hint="eastAsia"/>
          <w:spacing w:val="-23"/>
        </w:rPr>
        <w:t> 中，仅为 </w:t>
      </w:r>
      <w:r>
        <w:rPr>
          <w:rFonts w:ascii="楷体" w:hAnsi="楷体" w:eastAsia="楷体" w:hint="eastAsia"/>
        </w:rPr>
        <w:t>49.3%</w:t>
      </w:r>
      <w:r>
        <w:rPr>
          <w:rFonts w:ascii="楷体" w:hAnsi="楷体" w:eastAsia="楷体" w:hint="eastAsia"/>
          <w:spacing w:val="-3"/>
        </w:rPr>
        <w:t>；儿童用药剂量计算方法有“按年龄”、“按体质</w:t>
      </w:r>
      <w:r>
        <w:rPr>
          <w:rFonts w:ascii="楷体" w:hAnsi="楷体" w:eastAsia="楷体" w:hint="eastAsia"/>
          <w:spacing w:val="-8"/>
        </w:rPr>
        <w:t>量”、“按体表面积”等 </w:t>
      </w:r>
      <w:r>
        <w:rPr>
          <w:rFonts w:ascii="楷体" w:hAnsi="楷体" w:eastAsia="楷体" w:hint="eastAsia"/>
        </w:rPr>
        <w:t>6</w:t>
      </w:r>
      <w:r>
        <w:rPr>
          <w:rFonts w:ascii="楷体" w:hAnsi="楷体" w:eastAsia="楷体" w:hint="eastAsia"/>
          <w:spacing w:val="-8"/>
        </w:rPr>
        <w:t> 种，但均以“按年龄”为主；说明书和其他四项资料两两比较， </w:t>
      </w:r>
      <w:r>
        <w:rPr>
          <w:rFonts w:ascii="楷体" w:hAnsi="楷体" w:eastAsia="楷体" w:hint="eastAsia"/>
          <w:spacing w:val="-12"/>
        </w:rPr>
        <w:t>适宜年龄段一致的品种最高仅为 </w:t>
      </w:r>
      <w:r>
        <w:rPr>
          <w:rFonts w:ascii="楷体" w:hAnsi="楷体" w:eastAsia="楷体" w:hint="eastAsia"/>
        </w:rPr>
        <w:t>31%；</w:t>
      </w:r>
      <w:r>
        <w:rPr>
          <w:rFonts w:ascii="楷体" w:hAnsi="楷体" w:eastAsia="楷体" w:hint="eastAsia"/>
          <w:spacing w:val="-3"/>
        </w:rPr>
        <w:t>五项参考资料适宜年龄段均一致的品种仅有 </w:t>
      </w:r>
      <w:r>
        <w:rPr>
          <w:rFonts w:ascii="楷体" w:hAnsi="楷体" w:eastAsia="楷体" w:hint="eastAsia"/>
        </w:rPr>
        <w:t>14</w:t>
      </w:r>
      <w:r>
        <w:rPr>
          <w:rFonts w:ascii="楷体" w:hAnsi="楷体" w:eastAsia="楷体" w:hint="eastAsia"/>
          <w:spacing w:val="-20"/>
        </w:rPr>
        <w:t> 个， </w:t>
      </w:r>
      <w:r>
        <w:rPr>
          <w:rFonts w:ascii="楷体" w:hAnsi="楷体" w:eastAsia="楷体" w:hint="eastAsia"/>
          <w:spacing w:val="-23"/>
        </w:rPr>
        <w:t>部分资料适宜年龄段一致的品种也仅有 </w:t>
      </w:r>
      <w:r>
        <w:rPr>
          <w:rFonts w:ascii="楷体" w:hAnsi="楷体" w:eastAsia="楷体" w:hint="eastAsia"/>
        </w:rPr>
        <w:t>129</w:t>
      </w:r>
      <w:r>
        <w:rPr>
          <w:rFonts w:ascii="楷体" w:hAnsi="楷体" w:eastAsia="楷体" w:hint="eastAsia"/>
          <w:spacing w:val="-8"/>
        </w:rPr>
        <w:t> 个；全部或部分适宜年龄段一致的品种中，有51%的品种适用于新生儿。</w:t>
      </w:r>
      <w:r>
        <w:rPr>
          <w:rFonts w:ascii="黑体" w:hAnsi="黑体" w:eastAsia="黑体" w:hint="eastAsia"/>
          <w:spacing w:val="-8"/>
        </w:rPr>
        <w:t>结论：</w:t>
      </w:r>
      <w:r>
        <w:rPr>
          <w:rFonts w:ascii="楷体" w:hAnsi="楷体" w:eastAsia="楷体" w:hint="eastAsia"/>
          <w:spacing w:val="-8"/>
        </w:rPr>
        <w:t>五项参考资料收录的活性成分和品种、儿童用药剂量计算</w:t>
      </w:r>
      <w:r>
        <w:rPr>
          <w:rFonts w:ascii="楷体" w:hAnsi="楷体" w:eastAsia="楷体" w:hint="eastAsia"/>
          <w:spacing w:val="-11"/>
        </w:rPr>
        <w:t>方法、品种的适宜年龄段等方面存在较大差异；对于适宜年龄段一致的品种，临床使用时可</w:t>
      </w:r>
      <w:r>
        <w:rPr>
          <w:rFonts w:ascii="楷体" w:hAnsi="楷体" w:eastAsia="楷体" w:hint="eastAsia"/>
          <w:spacing w:val="-12"/>
        </w:rPr>
        <w:t>直接参考；对于适宜年龄段不一致的品种，建议将五项资料的优先级进行排序，笔者建议的顺序为：药品说明书、中国国家处方集（儿童卷）、WHO</w:t>
      </w:r>
      <w:r>
        <w:rPr>
          <w:rFonts w:ascii="楷体" w:hAnsi="楷体" w:eastAsia="楷体" w:hint="eastAsia"/>
          <w:spacing w:val="-8"/>
        </w:rPr>
        <w:t> 儿童标准处方集、</w:t>
      </w:r>
      <w:r>
        <w:rPr>
          <w:rFonts w:ascii="楷体" w:hAnsi="楷体" w:eastAsia="楷体" w:hint="eastAsia"/>
        </w:rPr>
        <w:t>WHO</w:t>
      </w:r>
      <w:r>
        <w:rPr>
          <w:rFonts w:ascii="楷体" w:hAnsi="楷体" w:eastAsia="楷体" w:hint="eastAsia"/>
          <w:spacing w:val="-10"/>
        </w:rPr>
        <w:t> 儿童基本药物标准清单、英国国家处方集（儿童卷）。</w:t>
      </w:r>
    </w:p>
    <w:p>
      <w:pPr>
        <w:pStyle w:val="BodyText"/>
        <w:spacing w:line="293" w:lineRule="exact"/>
        <w:rPr>
          <w:rFonts w:ascii="楷体" w:eastAsia="楷体" w:hint="eastAsia"/>
        </w:rPr>
      </w:pPr>
      <w:r>
        <w:rPr>
          <w:rFonts w:ascii="黑体" w:eastAsia="黑体" w:hint="eastAsia"/>
        </w:rPr>
        <w:t>［关键词］</w:t>
      </w:r>
      <w:r>
        <w:rPr>
          <w:rFonts w:ascii="楷体" w:eastAsia="楷体" w:hint="eastAsia"/>
        </w:rPr>
        <w:t>儿童；药品；适宜；年龄段</w:t>
      </w:r>
    </w:p>
    <w:p>
      <w:pPr>
        <w:pStyle w:val="BodyText"/>
        <w:spacing w:line="312" w:lineRule="auto" w:before="89"/>
        <w:ind w:right="287" w:firstLine="482"/>
      </w:pPr>
      <w:r>
        <w:rPr>
          <w:spacing w:val="-31"/>
        </w:rPr>
        <w:t>自 </w:t>
      </w:r>
      <w:r>
        <w:rPr/>
        <w:t>2016</w:t>
      </w:r>
      <w:r>
        <w:rPr>
          <w:spacing w:val="-12"/>
        </w:rPr>
        <w:t> 年全面二胎政策实施后，我国新生儿数量逐渐增长，</w:t>
      </w:r>
      <w:r>
        <w:rPr>
          <w:spacing w:val="-11"/>
        </w:rPr>
        <w:t>2016</w:t>
      </w:r>
      <w:r>
        <w:rPr>
          <w:spacing w:val="-30"/>
        </w:rPr>
        <w:t> 年比 </w:t>
      </w:r>
      <w:r>
        <w:rPr/>
        <w:t>2015</w:t>
      </w:r>
      <w:r>
        <w:rPr>
          <w:spacing w:val="-24"/>
        </w:rPr>
        <w:t> 年增加 </w:t>
      </w:r>
      <w:r>
        <w:rPr/>
        <w:t>340 万人；根据权威数据统计，2015</w:t>
      </w:r>
      <w:r>
        <w:rPr>
          <w:spacing w:val="-11"/>
        </w:rPr>
        <w:t> 年我国儿科门急诊人数占全国总门急诊人数的 </w:t>
      </w:r>
      <w:r>
        <w:rPr/>
        <w:t>9.6%，患病</w:t>
      </w:r>
      <w:r>
        <w:rPr>
          <w:spacing w:val="-5"/>
        </w:rPr>
        <w:t>儿童人口占我国总患病人口的 </w:t>
      </w:r>
      <w:r>
        <w:rPr/>
        <w:t>19.25%。可见我国儿童就诊数量多，儿童用药需求量大。儿</w:t>
      </w:r>
      <w:r>
        <w:rPr>
          <w:spacing w:val="-6"/>
        </w:rPr>
        <w:t>童按年龄大致可划分为新生儿期、婴幼儿期、学龄前期、学龄期和青少年期五个阶段，不同</w:t>
      </w:r>
      <w:r>
        <w:rPr>
          <w:spacing w:val="-7"/>
        </w:rPr>
        <w:t>时期儿童的组织器官、内脏功能等差别很大，影响药物在体内的吸收、分布、代谢和排泄。</w:t>
      </w:r>
      <w:r>
        <w:rPr>
          <w:spacing w:val="-5"/>
        </w:rPr>
        <w:t>有些药物并不适宜特定年龄段的儿童，尤其是低龄儿童，将儿童药品用法用量区分年龄段有助于促进儿童精准、安全用药。</w:t>
      </w:r>
    </w:p>
    <w:p>
      <w:pPr>
        <w:pStyle w:val="BodyText"/>
        <w:spacing w:line="312" w:lineRule="auto"/>
        <w:ind w:right="266" w:firstLine="482"/>
      </w:pPr>
      <w:r>
        <w:rPr>
          <w:spacing w:val="-8"/>
        </w:rPr>
        <w:t>为保障儿童用药，全球多国及 </w:t>
      </w:r>
      <w:r>
        <w:rPr/>
        <w:t>WHO</w:t>
      </w:r>
      <w:r>
        <w:rPr>
          <w:spacing w:val="-9"/>
        </w:rPr>
        <w:t> 均相继制定了儿童用药相关处方集或指南。</w:t>
      </w:r>
      <w:r>
        <w:rPr/>
        <w:t>2005</w:t>
      </w:r>
      <w:r>
        <w:rPr>
          <w:spacing w:val="-26"/>
        </w:rPr>
        <w:t> 年， </w:t>
      </w:r>
      <w:r>
        <w:rPr>
          <w:spacing w:val="-9"/>
        </w:rPr>
        <w:t>英国出版了第 </w:t>
      </w:r>
      <w:r>
        <w:rPr/>
        <w:t>1</w:t>
      </w:r>
      <w:r>
        <w:rPr>
          <w:spacing w:val="-8"/>
        </w:rPr>
        <w:t> 版《英国国家处方集</w:t>
      </w:r>
      <w:r>
        <w:rPr/>
        <w:t>（儿童卷）》（</w:t>
      </w:r>
      <w:r>
        <w:rPr>
          <w:spacing w:val="-12"/>
        </w:rPr>
        <w:t>以下简称 </w:t>
      </w:r>
      <w:r>
        <w:rPr/>
        <w:t>BNFc）；2007</w:t>
      </w:r>
      <w:r>
        <w:rPr>
          <w:spacing w:val="-30"/>
        </w:rPr>
        <w:t> 年</w:t>
      </w:r>
      <w:r>
        <w:rPr/>
        <w:t>，WHO</w:t>
      </w:r>
      <w:r>
        <w:rPr>
          <w:spacing w:val="-20"/>
        </w:rPr>
        <w:t> 公布</w:t>
      </w:r>
      <w:r>
        <w:rPr>
          <w:spacing w:val="-34"/>
        </w:rPr>
        <w:t>了第 </w:t>
      </w:r>
      <w:r>
        <w:rPr/>
        <w:t>1</w:t>
      </w:r>
      <w:r>
        <w:rPr>
          <w:spacing w:val="-23"/>
        </w:rPr>
        <w:t> 版《</w:t>
      </w:r>
      <w:r>
        <w:rPr/>
        <w:t>WHO</w:t>
      </w:r>
      <w:r>
        <w:rPr>
          <w:spacing w:val="-9"/>
        </w:rPr>
        <w:t> 儿童基本药物标准清单》</w:t>
      </w:r>
      <w:r>
        <w:rPr/>
        <w:t>（</w:t>
      </w:r>
      <w:r>
        <w:rPr>
          <w:spacing w:val="-12"/>
        </w:rPr>
        <w:t>以下简称 </w:t>
      </w:r>
      <w:r>
        <w:rPr/>
        <w:t>WHO</w:t>
      </w:r>
      <w:r>
        <w:rPr>
          <w:spacing w:val="-60"/>
        </w:rPr>
        <w:t> </w:t>
      </w:r>
      <w:r>
        <w:rPr>
          <w:spacing w:val="-3"/>
        </w:rPr>
        <w:t>EMLc），</w:t>
      </w:r>
      <w:r>
        <w:rPr>
          <w:spacing w:val="-20"/>
        </w:rPr>
        <w:t>并于 </w:t>
      </w:r>
      <w:r>
        <w:rPr/>
        <w:t>2010</w:t>
      </w:r>
      <w:r>
        <w:rPr>
          <w:spacing w:val="-12"/>
        </w:rPr>
        <w:t> 年发布了《</w:t>
      </w:r>
      <w:r>
        <w:rPr/>
        <w:t>WHO</w:t>
      </w:r>
    </w:p>
    <w:p>
      <w:pPr>
        <w:spacing w:after="0" w:line="312" w:lineRule="auto"/>
        <w:sectPr>
          <w:pgSz w:w="11910" w:h="16850"/>
          <w:pgMar w:header="906" w:footer="607" w:top="1100" w:bottom="800" w:left="1000" w:right="740"/>
        </w:sectPr>
      </w:pPr>
    </w:p>
    <w:p>
      <w:pPr>
        <w:pStyle w:val="BodyText"/>
        <w:spacing w:line="312" w:lineRule="auto" w:before="79"/>
        <w:ind w:right="391"/>
        <w:jc w:val="both"/>
      </w:pPr>
      <w:r>
        <w:rPr>
          <w:spacing w:val="-9"/>
        </w:rPr>
        <w:t>儿童标准处方集》；我国政府历来重视儿童合理用药，</w:t>
      </w:r>
      <w:r>
        <w:rPr>
          <w:spacing w:val="-7"/>
        </w:rPr>
        <w:t>2013</w:t>
      </w:r>
      <w:r>
        <w:rPr>
          <w:spacing w:val="-12"/>
        </w:rPr>
        <w:t> 年出版了《中国国家处方集</w:t>
      </w:r>
      <w:r>
        <w:rPr/>
        <w:t>（</w:t>
      </w:r>
      <w:r>
        <w:rPr>
          <w:spacing w:val="-15"/>
        </w:rPr>
        <w:t>化</w:t>
      </w:r>
      <w:r>
        <w:rPr/>
        <w:t>学药品与生物制品卷·儿童版）》（</w:t>
      </w:r>
      <w:r>
        <w:rPr>
          <w:spacing w:val="-12"/>
        </w:rPr>
        <w:t>以下简称 </w:t>
      </w:r>
      <w:r>
        <w:rPr/>
        <w:t>CNFc）。这些权威资料为儿科临床用药提供了重要依据。</w:t>
      </w:r>
    </w:p>
    <w:p>
      <w:pPr>
        <w:pStyle w:val="BodyText"/>
        <w:spacing w:line="312" w:lineRule="auto" w:before="1"/>
        <w:ind w:right="386" w:firstLine="482"/>
        <w:jc w:val="both"/>
      </w:pPr>
      <w:r>
        <w:rPr>
          <w:spacing w:val="-7"/>
        </w:rPr>
        <w:t>我国目前尚未出台儿童基本药物清单，但在国家卫生健康委员会的大力支持下，其儿童</w:t>
      </w:r>
      <w:r>
        <w:rPr>
          <w:spacing w:val="-5"/>
        </w:rPr>
        <w:t>用药专家委员会的专家尝试遴选了基本保障我国儿童基本卫生需求的药物，本文把这些药物</w:t>
      </w:r>
      <w:r>
        <w:rPr>
          <w:spacing w:val="-12"/>
        </w:rPr>
        <w:t>列表称为“清单”。该清单纳入了 </w:t>
      </w:r>
      <w:r>
        <w:rPr/>
        <w:t>24</w:t>
      </w:r>
      <w:r>
        <w:rPr>
          <w:spacing w:val="-11"/>
        </w:rPr>
        <w:t> 个作用类别、</w:t>
      </w:r>
      <w:r>
        <w:rPr/>
        <w:t>359</w:t>
      </w:r>
      <w:r>
        <w:rPr>
          <w:spacing w:val="-11"/>
        </w:rPr>
        <w:t> 个活性成分、</w:t>
      </w:r>
      <w:r>
        <w:rPr/>
        <w:t>525</w:t>
      </w:r>
      <w:r>
        <w:rPr>
          <w:spacing w:val="-12"/>
        </w:rPr>
        <w:t> 个品种。但不同活</w:t>
      </w:r>
      <w:r>
        <w:rPr>
          <w:spacing w:val="-7"/>
        </w:rPr>
        <w:t>性成分和品种的适宜年龄段缺乏系统的统计，小样本调研显示部分活性成分和品种在不同权</w:t>
      </w:r>
      <w:r>
        <w:rPr>
          <w:spacing w:val="-8"/>
        </w:rPr>
        <w:t>威资料中适宜年龄段存在差异，基于此，本研究旨在系统、全面地分析清单中的活性成分及</w:t>
      </w:r>
      <w:r>
        <w:rPr>
          <w:spacing w:val="-6"/>
        </w:rPr>
        <w:t>品种在几项权威资料中的适宜年龄段，以期为儿童临床合理用药提供依据和建议，保障儿童</w:t>
      </w:r>
      <w:r>
        <w:rPr/>
        <w:t>更加精准合理的选择药物。</w:t>
      </w:r>
    </w:p>
    <w:p>
      <w:pPr>
        <w:pStyle w:val="Heading3"/>
        <w:numPr>
          <w:ilvl w:val="0"/>
          <w:numId w:val="5"/>
        </w:numPr>
        <w:tabs>
          <w:tab w:pos="1004" w:val="left" w:leader="none"/>
        </w:tabs>
        <w:spacing w:line="240" w:lineRule="auto" w:before="1" w:after="0"/>
        <w:ind w:left="1003" w:right="0" w:hanging="245"/>
        <w:jc w:val="left"/>
      </w:pPr>
      <w:r>
        <w:rPr/>
        <w:t>五项权威资料中儿童用药信息分析</w:t>
      </w:r>
    </w:p>
    <w:p>
      <w:pPr>
        <w:pStyle w:val="ListParagraph"/>
        <w:numPr>
          <w:ilvl w:val="1"/>
          <w:numId w:val="5"/>
        </w:numPr>
        <w:tabs>
          <w:tab w:pos="1180" w:val="left" w:leader="none"/>
        </w:tabs>
        <w:spacing w:line="312" w:lineRule="auto" w:before="93" w:after="0"/>
        <w:ind w:left="277" w:right="389" w:firstLine="482"/>
        <w:jc w:val="both"/>
        <w:rPr>
          <w:sz w:val="24"/>
        </w:rPr>
      </w:pPr>
      <w:r>
        <w:rPr>
          <w:spacing w:val="-3"/>
          <w:sz w:val="24"/>
        </w:rPr>
        <w:t>五项权威资料中儿童用药剂量计算方法五项参考资料中，最多的用药剂量计算方法</w:t>
      </w:r>
      <w:r>
        <w:rPr>
          <w:spacing w:val="-6"/>
          <w:sz w:val="24"/>
        </w:rPr>
        <w:t>均为按年龄给药。其中 </w:t>
      </w:r>
      <w:r>
        <w:rPr>
          <w:sz w:val="24"/>
        </w:rPr>
        <w:t>BNFc、WHO</w:t>
      </w:r>
      <w:r>
        <w:rPr>
          <w:spacing w:val="-8"/>
          <w:sz w:val="24"/>
        </w:rPr>
        <w:t> 儿童标准处方集、</w:t>
      </w:r>
      <w:r>
        <w:rPr>
          <w:sz w:val="24"/>
        </w:rPr>
        <w:t>WHO EMLc</w:t>
      </w:r>
      <w:r>
        <w:rPr>
          <w:spacing w:val="-8"/>
          <w:sz w:val="24"/>
        </w:rPr>
        <w:t> 几乎均为按年龄给药，说明</w:t>
      </w:r>
      <w:r>
        <w:rPr>
          <w:spacing w:val="-26"/>
          <w:sz w:val="24"/>
        </w:rPr>
        <w:t>书和 </w:t>
      </w:r>
      <w:r>
        <w:rPr>
          <w:sz w:val="24"/>
        </w:rPr>
        <w:t>CNFc</w:t>
      </w:r>
      <w:r>
        <w:rPr>
          <w:spacing w:val="-41"/>
          <w:sz w:val="24"/>
        </w:rPr>
        <w:t> 中 </w:t>
      </w:r>
      <w:r>
        <w:rPr>
          <w:sz w:val="24"/>
        </w:rPr>
        <w:t>6</w:t>
      </w:r>
      <w:r>
        <w:rPr>
          <w:spacing w:val="-8"/>
          <w:sz w:val="24"/>
        </w:rPr>
        <w:t> 种用药剂量计算方法</w:t>
      </w:r>
      <w:r>
        <w:rPr>
          <w:sz w:val="24"/>
        </w:rPr>
        <w:t>（</w:t>
      </w:r>
      <w:r>
        <w:rPr>
          <w:spacing w:val="-15"/>
          <w:sz w:val="24"/>
        </w:rPr>
        <w:t>详见表 </w:t>
      </w:r>
      <w:r>
        <w:rPr>
          <w:sz w:val="24"/>
        </w:rPr>
        <w:t>1）均有涉及，但仍以按年龄给药为主，按体质量（XXmg/kg）给药次之。WHO</w:t>
      </w:r>
      <w:r>
        <w:rPr>
          <w:spacing w:val="-45"/>
          <w:sz w:val="24"/>
        </w:rPr>
        <w:t> </w:t>
      </w:r>
      <w:r>
        <w:rPr>
          <w:sz w:val="24"/>
        </w:rPr>
        <w:t>EMLc</w:t>
      </w:r>
      <w:r>
        <w:rPr>
          <w:spacing w:val="-9"/>
          <w:sz w:val="24"/>
        </w:rPr>
        <w:t> 中除了特别标记的有明确年龄或体质量禁忌的活性成</w:t>
      </w:r>
      <w:r>
        <w:rPr>
          <w:spacing w:val="-5"/>
          <w:sz w:val="24"/>
        </w:rPr>
        <w:t>分外，其余的活性成分均为 </w:t>
      </w:r>
      <w:r>
        <w:rPr>
          <w:sz w:val="24"/>
        </w:rPr>
        <w:t>12</w:t>
      </w:r>
      <w:r>
        <w:rPr>
          <w:spacing w:val="-8"/>
          <w:sz w:val="24"/>
        </w:rPr>
        <w:t> 岁以下儿童可用，故未按上述儿童用药剂量计算方法进行统计。6</w:t>
      </w:r>
      <w:r>
        <w:rPr>
          <w:spacing w:val="-12"/>
          <w:sz w:val="24"/>
        </w:rPr>
        <w:t> 种剂量计算方法的含义及举例见表 </w:t>
      </w:r>
      <w:r>
        <w:rPr>
          <w:sz w:val="24"/>
        </w:rPr>
        <w:t>2。</w:t>
      </w:r>
    </w:p>
    <w:p>
      <w:pPr>
        <w:pStyle w:val="BodyText"/>
        <w:spacing w:line="295" w:lineRule="exact" w:after="8"/>
        <w:ind w:left="757"/>
        <w:rPr>
          <w:rFonts w:ascii="楷体" w:eastAsia="楷体" w:hint="eastAsia"/>
        </w:rPr>
      </w:pPr>
      <w:r>
        <w:rPr>
          <w:rFonts w:ascii="楷体" w:eastAsia="楷体" w:hint="eastAsia"/>
        </w:rPr>
        <w:t>表 1 五项权威资料中儿童用药剂量计算方法（品种数及其比例）</w:t>
      </w:r>
    </w:p>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9"/>
        <w:gridCol w:w="1166"/>
        <w:gridCol w:w="1035"/>
        <w:gridCol w:w="1274"/>
        <w:gridCol w:w="1471"/>
        <w:gridCol w:w="1002"/>
        <w:gridCol w:w="1468"/>
        <w:gridCol w:w="1108"/>
      </w:tblGrid>
      <w:tr>
        <w:trPr>
          <w:trHeight w:val="464" w:hRule="atLeast"/>
        </w:trPr>
        <w:tc>
          <w:tcPr>
            <w:tcW w:w="9593" w:type="dxa"/>
            <w:gridSpan w:val="8"/>
            <w:tcBorders>
              <w:top w:val="single" w:sz="4" w:space="0" w:color="000000"/>
            </w:tcBorders>
          </w:tcPr>
          <w:p>
            <w:pPr>
              <w:pStyle w:val="TableParagraph"/>
              <w:spacing w:before="12"/>
              <w:rPr>
                <w:rFonts w:ascii="楷体"/>
                <w:sz w:val="10"/>
              </w:rPr>
            </w:pPr>
          </w:p>
          <w:p>
            <w:pPr>
              <w:pStyle w:val="TableParagraph"/>
              <w:ind w:left="5157"/>
              <w:rPr>
                <w:sz w:val="15"/>
              </w:rPr>
            </w:pPr>
            <w:r>
              <w:rPr>
                <w:sz w:val="15"/>
              </w:rPr>
              <w:t>儿童用药剂量计算方法</w:t>
            </w:r>
          </w:p>
        </w:tc>
      </w:tr>
      <w:tr>
        <w:trPr>
          <w:trHeight w:val="150" w:hRule="atLeast"/>
        </w:trPr>
        <w:tc>
          <w:tcPr>
            <w:tcW w:w="1069" w:type="dxa"/>
          </w:tcPr>
          <w:p>
            <w:pPr>
              <w:pStyle w:val="TableParagraph"/>
              <w:rPr>
                <w:rFonts w:ascii="Times New Roman"/>
                <w:sz w:val="8"/>
              </w:rPr>
            </w:pPr>
          </w:p>
        </w:tc>
        <w:tc>
          <w:tcPr>
            <w:tcW w:w="1166" w:type="dxa"/>
          </w:tcPr>
          <w:p>
            <w:pPr>
              <w:pStyle w:val="TableParagraph"/>
              <w:spacing w:line="131" w:lineRule="exact"/>
              <w:ind w:left="166"/>
              <w:rPr>
                <w:sz w:val="15"/>
              </w:rPr>
            </w:pPr>
            <w:r>
              <w:rPr>
                <w:sz w:val="15"/>
              </w:rPr>
              <w:t>纳入的品种数</w:t>
            </w:r>
          </w:p>
        </w:tc>
        <w:tc>
          <w:tcPr>
            <w:tcW w:w="7358" w:type="dxa"/>
            <w:gridSpan w:val="6"/>
            <w:tcBorders>
              <w:top w:val="single" w:sz="6" w:space="0" w:color="000000"/>
            </w:tcBorders>
          </w:tcPr>
          <w:p>
            <w:pPr>
              <w:pStyle w:val="TableParagraph"/>
              <w:rPr>
                <w:rFonts w:ascii="Times New Roman"/>
                <w:sz w:val="8"/>
              </w:rPr>
            </w:pPr>
          </w:p>
        </w:tc>
      </w:tr>
      <w:tr>
        <w:trPr>
          <w:trHeight w:val="153" w:hRule="atLeast"/>
        </w:trPr>
        <w:tc>
          <w:tcPr>
            <w:tcW w:w="1069" w:type="dxa"/>
          </w:tcPr>
          <w:p>
            <w:pPr>
              <w:pStyle w:val="TableParagraph"/>
              <w:rPr>
                <w:rFonts w:ascii="Times New Roman"/>
                <w:sz w:val="8"/>
              </w:rPr>
            </w:pPr>
          </w:p>
        </w:tc>
        <w:tc>
          <w:tcPr>
            <w:tcW w:w="1166" w:type="dxa"/>
          </w:tcPr>
          <w:p>
            <w:pPr>
              <w:pStyle w:val="TableParagraph"/>
              <w:rPr>
                <w:rFonts w:ascii="Times New Roman"/>
                <w:sz w:val="8"/>
              </w:rPr>
            </w:pPr>
          </w:p>
        </w:tc>
        <w:tc>
          <w:tcPr>
            <w:tcW w:w="1035" w:type="dxa"/>
          </w:tcPr>
          <w:p>
            <w:pPr>
              <w:pStyle w:val="TableParagraph"/>
              <w:rPr>
                <w:rFonts w:ascii="Times New Roman"/>
                <w:sz w:val="8"/>
              </w:rPr>
            </w:pPr>
          </w:p>
        </w:tc>
        <w:tc>
          <w:tcPr>
            <w:tcW w:w="1274" w:type="dxa"/>
            <w:vMerge w:val="restart"/>
            <w:tcBorders>
              <w:bottom w:val="single" w:sz="6" w:space="0" w:color="000000"/>
            </w:tcBorders>
          </w:tcPr>
          <w:p>
            <w:pPr>
              <w:pStyle w:val="TableParagraph"/>
              <w:spacing w:line="184" w:lineRule="exact"/>
              <w:ind w:left="200" w:right="193"/>
              <w:jc w:val="center"/>
              <w:rPr>
                <w:sz w:val="15"/>
              </w:rPr>
            </w:pPr>
            <w:r>
              <w:rPr>
                <w:sz w:val="15"/>
              </w:rPr>
              <w:t>按体质量</w:t>
            </w:r>
          </w:p>
          <w:p>
            <w:pPr>
              <w:pStyle w:val="TableParagraph"/>
              <w:spacing w:before="120"/>
              <w:ind w:left="202" w:right="193"/>
              <w:jc w:val="center"/>
              <w:rPr>
                <w:sz w:val="15"/>
              </w:rPr>
            </w:pPr>
            <w:r>
              <w:rPr>
                <w:rFonts w:ascii="Times New Roman" w:eastAsia="Times New Roman"/>
                <w:sz w:val="15"/>
              </w:rPr>
              <w:t>(XX mg/kg</w:t>
            </w:r>
            <w:r>
              <w:rPr>
                <w:sz w:val="15"/>
              </w:rPr>
              <w:t>）</w:t>
            </w:r>
          </w:p>
        </w:tc>
        <w:tc>
          <w:tcPr>
            <w:tcW w:w="1471" w:type="dxa"/>
          </w:tcPr>
          <w:p>
            <w:pPr>
              <w:pStyle w:val="TableParagraph"/>
              <w:spacing w:line="134" w:lineRule="exact"/>
              <w:ind w:left="188" w:right="151"/>
              <w:jc w:val="center"/>
              <w:rPr>
                <w:rFonts w:ascii="Times New Roman" w:eastAsia="Times New Roman"/>
                <w:sz w:val="15"/>
              </w:rPr>
            </w:pPr>
            <w:r>
              <w:rPr>
                <w:sz w:val="15"/>
              </w:rPr>
              <w:t>按体质量范围</w:t>
            </w:r>
            <w:r>
              <w:rPr>
                <w:rFonts w:ascii="Times New Roman" w:eastAsia="Times New Roman"/>
                <w:sz w:val="15"/>
              </w:rPr>
              <w:t>/kg</w:t>
            </w:r>
          </w:p>
        </w:tc>
        <w:tc>
          <w:tcPr>
            <w:tcW w:w="1002" w:type="dxa"/>
          </w:tcPr>
          <w:p>
            <w:pPr>
              <w:pStyle w:val="TableParagraph"/>
              <w:spacing w:line="134" w:lineRule="exact"/>
              <w:ind w:left="147" w:right="65"/>
              <w:jc w:val="center"/>
              <w:rPr>
                <w:sz w:val="15"/>
              </w:rPr>
            </w:pPr>
            <w:r>
              <w:rPr>
                <w:sz w:val="15"/>
              </w:rPr>
              <w:t>按体表面积</w:t>
            </w:r>
          </w:p>
        </w:tc>
        <w:tc>
          <w:tcPr>
            <w:tcW w:w="1468" w:type="dxa"/>
            <w:vMerge w:val="restart"/>
            <w:tcBorders>
              <w:bottom w:val="single" w:sz="6" w:space="0" w:color="000000"/>
            </w:tcBorders>
          </w:tcPr>
          <w:p>
            <w:pPr>
              <w:pStyle w:val="TableParagraph"/>
              <w:spacing w:line="184" w:lineRule="exact"/>
              <w:ind w:left="57" w:right="20"/>
              <w:jc w:val="center"/>
              <w:rPr>
                <w:sz w:val="15"/>
              </w:rPr>
            </w:pPr>
            <w:r>
              <w:rPr>
                <w:sz w:val="15"/>
              </w:rPr>
              <w:t>同时按体质量或体表</w:t>
            </w:r>
          </w:p>
          <w:p>
            <w:pPr>
              <w:pStyle w:val="TableParagraph"/>
              <w:spacing w:before="120"/>
              <w:ind w:left="57" w:right="20"/>
              <w:jc w:val="center"/>
              <w:rPr>
                <w:sz w:val="15"/>
              </w:rPr>
            </w:pPr>
            <w:r>
              <w:rPr>
                <w:sz w:val="15"/>
              </w:rPr>
              <w:t>面积</w:t>
            </w:r>
          </w:p>
        </w:tc>
        <w:tc>
          <w:tcPr>
            <w:tcW w:w="1108" w:type="dxa"/>
            <w:vMerge w:val="restart"/>
            <w:tcBorders>
              <w:bottom w:val="single" w:sz="6" w:space="0" w:color="000000"/>
            </w:tcBorders>
          </w:tcPr>
          <w:p>
            <w:pPr>
              <w:pStyle w:val="TableParagraph"/>
              <w:spacing w:line="184" w:lineRule="exact"/>
              <w:ind w:left="10" w:right="7"/>
              <w:jc w:val="center"/>
              <w:rPr>
                <w:sz w:val="15"/>
              </w:rPr>
            </w:pPr>
            <w:r>
              <w:rPr>
                <w:sz w:val="15"/>
              </w:rPr>
              <w:t>提供具体剂量范</w:t>
            </w:r>
          </w:p>
          <w:p>
            <w:pPr>
              <w:pStyle w:val="TableParagraph"/>
              <w:spacing w:before="120"/>
              <w:ind w:left="3"/>
              <w:jc w:val="center"/>
              <w:rPr>
                <w:sz w:val="15"/>
              </w:rPr>
            </w:pPr>
            <w:r>
              <w:rPr>
                <w:w w:val="100"/>
                <w:sz w:val="15"/>
              </w:rPr>
              <w:t>围</w:t>
            </w:r>
          </w:p>
        </w:tc>
      </w:tr>
      <w:tr>
        <w:trPr>
          <w:trHeight w:val="463" w:hRule="atLeast"/>
        </w:trPr>
        <w:tc>
          <w:tcPr>
            <w:tcW w:w="1069" w:type="dxa"/>
            <w:tcBorders>
              <w:bottom w:val="single" w:sz="6" w:space="0" w:color="000000"/>
            </w:tcBorders>
          </w:tcPr>
          <w:p>
            <w:pPr>
              <w:pStyle w:val="TableParagraph"/>
              <w:spacing w:line="157" w:lineRule="exact"/>
              <w:ind w:right="191"/>
              <w:jc w:val="right"/>
              <w:rPr>
                <w:sz w:val="15"/>
              </w:rPr>
            </w:pPr>
            <w:r>
              <w:rPr>
                <w:sz w:val="15"/>
              </w:rPr>
              <w:t>权威资料</w:t>
            </w:r>
          </w:p>
        </w:tc>
        <w:tc>
          <w:tcPr>
            <w:tcW w:w="1166" w:type="dxa"/>
            <w:tcBorders>
              <w:bottom w:val="single" w:sz="6" w:space="0" w:color="000000"/>
            </w:tcBorders>
          </w:tcPr>
          <w:p>
            <w:pPr>
              <w:pStyle w:val="TableParagraph"/>
              <w:rPr>
                <w:rFonts w:ascii="Times New Roman"/>
                <w:sz w:val="20"/>
              </w:rPr>
            </w:pPr>
          </w:p>
        </w:tc>
        <w:tc>
          <w:tcPr>
            <w:tcW w:w="1035" w:type="dxa"/>
            <w:tcBorders>
              <w:bottom w:val="single" w:sz="6" w:space="0" w:color="000000"/>
            </w:tcBorders>
          </w:tcPr>
          <w:p>
            <w:pPr>
              <w:pStyle w:val="TableParagraph"/>
              <w:spacing w:line="171" w:lineRule="exact"/>
              <w:ind w:left="227" w:right="205"/>
              <w:jc w:val="center"/>
              <w:rPr>
                <w:sz w:val="15"/>
              </w:rPr>
            </w:pPr>
            <w:r>
              <w:rPr>
                <w:sz w:val="15"/>
              </w:rPr>
              <w:t>按年龄</w:t>
            </w:r>
          </w:p>
        </w:tc>
        <w:tc>
          <w:tcPr>
            <w:tcW w:w="1274" w:type="dxa"/>
            <w:vMerge/>
            <w:tcBorders>
              <w:top w:val="nil"/>
              <w:bottom w:val="single" w:sz="6" w:space="0" w:color="000000"/>
            </w:tcBorders>
          </w:tcPr>
          <w:p>
            <w:pPr>
              <w:rPr>
                <w:sz w:val="2"/>
                <w:szCs w:val="2"/>
              </w:rPr>
            </w:pPr>
          </w:p>
        </w:tc>
        <w:tc>
          <w:tcPr>
            <w:tcW w:w="1471" w:type="dxa"/>
            <w:tcBorders>
              <w:bottom w:val="single" w:sz="6" w:space="0" w:color="000000"/>
            </w:tcBorders>
          </w:tcPr>
          <w:p>
            <w:pPr>
              <w:pStyle w:val="TableParagraph"/>
              <w:rPr>
                <w:rFonts w:ascii="Times New Roman"/>
                <w:sz w:val="20"/>
              </w:rPr>
            </w:pPr>
          </w:p>
        </w:tc>
        <w:tc>
          <w:tcPr>
            <w:tcW w:w="1002" w:type="dxa"/>
            <w:tcBorders>
              <w:bottom w:val="single" w:sz="6" w:space="0" w:color="000000"/>
            </w:tcBorders>
          </w:tcPr>
          <w:p>
            <w:pPr>
              <w:pStyle w:val="TableParagraph"/>
              <w:rPr>
                <w:rFonts w:ascii="Times New Roman"/>
                <w:sz w:val="20"/>
              </w:rPr>
            </w:pPr>
          </w:p>
        </w:tc>
        <w:tc>
          <w:tcPr>
            <w:tcW w:w="1468" w:type="dxa"/>
            <w:vMerge/>
            <w:tcBorders>
              <w:top w:val="nil"/>
              <w:bottom w:val="single" w:sz="6" w:space="0" w:color="000000"/>
            </w:tcBorders>
          </w:tcPr>
          <w:p>
            <w:pPr>
              <w:rPr>
                <w:sz w:val="2"/>
                <w:szCs w:val="2"/>
              </w:rPr>
            </w:pPr>
          </w:p>
        </w:tc>
        <w:tc>
          <w:tcPr>
            <w:tcW w:w="1108" w:type="dxa"/>
            <w:vMerge/>
            <w:tcBorders>
              <w:top w:val="nil"/>
              <w:bottom w:val="single" w:sz="6" w:space="0" w:color="000000"/>
            </w:tcBorders>
          </w:tcPr>
          <w:p>
            <w:pPr>
              <w:rPr>
                <w:sz w:val="2"/>
                <w:szCs w:val="2"/>
              </w:rPr>
            </w:pPr>
          </w:p>
        </w:tc>
      </w:tr>
      <w:tr>
        <w:trPr>
          <w:trHeight w:val="785" w:hRule="atLeast"/>
        </w:trPr>
        <w:tc>
          <w:tcPr>
            <w:tcW w:w="1069" w:type="dxa"/>
            <w:tcBorders>
              <w:top w:val="single" w:sz="6" w:space="0" w:color="000000"/>
            </w:tcBorders>
          </w:tcPr>
          <w:p>
            <w:pPr>
              <w:pStyle w:val="TableParagraph"/>
              <w:rPr>
                <w:rFonts w:ascii="楷体"/>
                <w:sz w:val="14"/>
              </w:rPr>
            </w:pPr>
          </w:p>
          <w:p>
            <w:pPr>
              <w:pStyle w:val="TableParagraph"/>
              <w:rPr>
                <w:rFonts w:ascii="楷体"/>
                <w:sz w:val="14"/>
              </w:rPr>
            </w:pPr>
          </w:p>
          <w:p>
            <w:pPr>
              <w:pStyle w:val="TableParagraph"/>
              <w:spacing w:before="92"/>
              <w:ind w:left="347"/>
              <w:rPr>
                <w:sz w:val="15"/>
              </w:rPr>
            </w:pPr>
            <w:r>
              <w:rPr>
                <w:sz w:val="15"/>
              </w:rPr>
              <w:t>说明书</w:t>
            </w:r>
          </w:p>
        </w:tc>
        <w:tc>
          <w:tcPr>
            <w:tcW w:w="1166" w:type="dxa"/>
            <w:tcBorders>
              <w:top w:val="single" w:sz="6" w:space="0" w:color="000000"/>
            </w:tcBorders>
          </w:tcPr>
          <w:p>
            <w:pPr>
              <w:pStyle w:val="TableParagraph"/>
              <w:spacing w:before="7"/>
              <w:rPr>
                <w:rFonts w:ascii="楷体"/>
                <w:sz w:val="11"/>
              </w:rPr>
            </w:pPr>
          </w:p>
          <w:p>
            <w:pPr>
              <w:pStyle w:val="TableParagraph"/>
              <w:spacing w:before="1"/>
              <w:ind w:left="70"/>
              <w:rPr>
                <w:rFonts w:ascii="Times New Roman"/>
                <w:sz w:val="15"/>
              </w:rPr>
            </w:pPr>
            <w:r>
              <w:rPr>
                <w:rFonts w:ascii="Times New Roman"/>
                <w:sz w:val="15"/>
              </w:rPr>
              <w:t>525</w:t>
            </w:r>
          </w:p>
          <w:p>
            <w:pPr>
              <w:pStyle w:val="TableParagraph"/>
              <w:spacing w:before="129"/>
              <w:ind w:left="70"/>
              <w:rPr>
                <w:sz w:val="15"/>
              </w:rPr>
            </w:pPr>
            <w:r>
              <w:rPr>
                <w:sz w:val="15"/>
              </w:rPr>
              <w:t>（</w:t>
            </w:r>
            <w:r>
              <w:rPr>
                <w:rFonts w:ascii="Times New Roman" w:eastAsia="Times New Roman"/>
                <w:sz w:val="15"/>
              </w:rPr>
              <w:t>100</w:t>
            </w:r>
            <w:r>
              <w:rPr>
                <w:sz w:val="15"/>
              </w:rPr>
              <w:t>）</w:t>
            </w:r>
          </w:p>
        </w:tc>
        <w:tc>
          <w:tcPr>
            <w:tcW w:w="1035" w:type="dxa"/>
            <w:tcBorders>
              <w:top w:val="single" w:sz="6" w:space="0" w:color="000000"/>
            </w:tcBorders>
          </w:tcPr>
          <w:p>
            <w:pPr>
              <w:pStyle w:val="TableParagraph"/>
              <w:spacing w:before="7"/>
              <w:rPr>
                <w:rFonts w:ascii="楷体"/>
                <w:sz w:val="11"/>
              </w:rPr>
            </w:pPr>
          </w:p>
          <w:p>
            <w:pPr>
              <w:pStyle w:val="TableParagraph"/>
              <w:spacing w:before="1"/>
              <w:ind w:left="225" w:right="205"/>
              <w:jc w:val="center"/>
              <w:rPr>
                <w:rFonts w:ascii="Times New Roman"/>
                <w:sz w:val="15"/>
              </w:rPr>
            </w:pPr>
            <w:r>
              <w:rPr>
                <w:rFonts w:ascii="Times New Roman"/>
                <w:sz w:val="15"/>
              </w:rPr>
              <w:t>196</w:t>
            </w:r>
          </w:p>
          <w:p>
            <w:pPr>
              <w:pStyle w:val="TableParagraph"/>
              <w:spacing w:before="129"/>
              <w:ind w:left="227" w:right="205"/>
              <w:jc w:val="center"/>
              <w:rPr>
                <w:sz w:val="15"/>
              </w:rPr>
            </w:pPr>
            <w:r>
              <w:rPr>
                <w:sz w:val="15"/>
              </w:rPr>
              <w:t>（</w:t>
            </w:r>
            <w:r>
              <w:rPr>
                <w:rFonts w:ascii="Times New Roman" w:eastAsia="Times New Roman"/>
                <w:sz w:val="15"/>
              </w:rPr>
              <w:t>37.3</w:t>
            </w:r>
            <w:r>
              <w:rPr>
                <w:sz w:val="15"/>
              </w:rPr>
              <w:t>）</w:t>
            </w:r>
          </w:p>
        </w:tc>
        <w:tc>
          <w:tcPr>
            <w:tcW w:w="1274" w:type="dxa"/>
            <w:tcBorders>
              <w:top w:val="single" w:sz="6" w:space="0" w:color="000000"/>
            </w:tcBorders>
          </w:tcPr>
          <w:p>
            <w:pPr>
              <w:pStyle w:val="TableParagraph"/>
              <w:spacing w:before="7"/>
              <w:rPr>
                <w:rFonts w:ascii="楷体"/>
                <w:sz w:val="11"/>
              </w:rPr>
            </w:pPr>
          </w:p>
          <w:p>
            <w:pPr>
              <w:pStyle w:val="TableParagraph"/>
              <w:spacing w:before="1"/>
              <w:ind w:left="199" w:right="193"/>
              <w:jc w:val="center"/>
              <w:rPr>
                <w:rFonts w:ascii="Times New Roman"/>
                <w:sz w:val="15"/>
              </w:rPr>
            </w:pPr>
            <w:r>
              <w:rPr>
                <w:rFonts w:ascii="Times New Roman"/>
                <w:sz w:val="15"/>
              </w:rPr>
              <w:t>112</w:t>
            </w:r>
          </w:p>
          <w:p>
            <w:pPr>
              <w:pStyle w:val="TableParagraph"/>
              <w:spacing w:before="129"/>
              <w:ind w:left="200" w:right="193"/>
              <w:jc w:val="center"/>
              <w:rPr>
                <w:sz w:val="15"/>
              </w:rPr>
            </w:pPr>
            <w:r>
              <w:rPr>
                <w:sz w:val="15"/>
              </w:rPr>
              <w:t>（</w:t>
            </w:r>
            <w:r>
              <w:rPr>
                <w:rFonts w:ascii="Times New Roman" w:eastAsia="Times New Roman"/>
                <w:sz w:val="15"/>
              </w:rPr>
              <w:t>21.4</w:t>
            </w:r>
            <w:r>
              <w:rPr>
                <w:sz w:val="15"/>
              </w:rPr>
              <w:t>）</w:t>
            </w:r>
          </w:p>
        </w:tc>
        <w:tc>
          <w:tcPr>
            <w:tcW w:w="1471" w:type="dxa"/>
            <w:tcBorders>
              <w:top w:val="single" w:sz="6" w:space="0" w:color="000000"/>
            </w:tcBorders>
          </w:tcPr>
          <w:p>
            <w:pPr>
              <w:pStyle w:val="TableParagraph"/>
              <w:spacing w:before="7"/>
              <w:rPr>
                <w:rFonts w:ascii="楷体"/>
                <w:sz w:val="11"/>
              </w:rPr>
            </w:pPr>
          </w:p>
          <w:p>
            <w:pPr>
              <w:pStyle w:val="TableParagraph"/>
              <w:spacing w:before="1"/>
              <w:ind w:left="188" w:right="148"/>
              <w:jc w:val="center"/>
              <w:rPr>
                <w:rFonts w:ascii="Times New Roman"/>
                <w:sz w:val="15"/>
              </w:rPr>
            </w:pPr>
            <w:r>
              <w:rPr>
                <w:rFonts w:ascii="Times New Roman"/>
                <w:sz w:val="15"/>
              </w:rPr>
              <w:t>18</w:t>
            </w:r>
          </w:p>
          <w:p>
            <w:pPr>
              <w:pStyle w:val="TableParagraph"/>
              <w:spacing w:before="129"/>
              <w:ind w:left="188" w:right="148"/>
              <w:jc w:val="center"/>
              <w:rPr>
                <w:sz w:val="15"/>
              </w:rPr>
            </w:pPr>
            <w:r>
              <w:rPr>
                <w:sz w:val="15"/>
              </w:rPr>
              <w:t>（</w:t>
            </w:r>
            <w:r>
              <w:rPr>
                <w:rFonts w:ascii="Times New Roman" w:eastAsia="Times New Roman"/>
                <w:sz w:val="15"/>
              </w:rPr>
              <w:t>3.4</w:t>
            </w:r>
            <w:r>
              <w:rPr>
                <w:sz w:val="15"/>
              </w:rPr>
              <w:t>）</w:t>
            </w:r>
          </w:p>
        </w:tc>
        <w:tc>
          <w:tcPr>
            <w:tcW w:w="1002" w:type="dxa"/>
            <w:tcBorders>
              <w:top w:val="single" w:sz="6" w:space="0" w:color="000000"/>
            </w:tcBorders>
          </w:tcPr>
          <w:p>
            <w:pPr>
              <w:pStyle w:val="TableParagraph"/>
              <w:spacing w:before="7"/>
              <w:rPr>
                <w:rFonts w:ascii="楷体"/>
                <w:sz w:val="11"/>
              </w:rPr>
            </w:pPr>
          </w:p>
          <w:p>
            <w:pPr>
              <w:pStyle w:val="TableParagraph"/>
              <w:spacing w:before="1"/>
              <w:ind w:left="81"/>
              <w:jc w:val="center"/>
              <w:rPr>
                <w:rFonts w:ascii="Times New Roman"/>
                <w:sz w:val="15"/>
              </w:rPr>
            </w:pPr>
            <w:r>
              <w:rPr>
                <w:rFonts w:ascii="Times New Roman"/>
                <w:w w:val="100"/>
                <w:sz w:val="15"/>
              </w:rPr>
              <w:t>9</w:t>
            </w:r>
          </w:p>
          <w:p>
            <w:pPr>
              <w:pStyle w:val="TableParagraph"/>
              <w:spacing w:before="129"/>
              <w:ind w:left="147" w:right="65"/>
              <w:jc w:val="center"/>
              <w:rPr>
                <w:sz w:val="15"/>
              </w:rPr>
            </w:pPr>
            <w:r>
              <w:rPr>
                <w:sz w:val="15"/>
              </w:rPr>
              <w:t>（</w:t>
            </w:r>
            <w:r>
              <w:rPr>
                <w:rFonts w:ascii="Times New Roman" w:eastAsia="Times New Roman"/>
                <w:sz w:val="15"/>
              </w:rPr>
              <w:t>1.7</w:t>
            </w:r>
            <w:r>
              <w:rPr>
                <w:sz w:val="15"/>
              </w:rPr>
              <w:t>）</w:t>
            </w:r>
          </w:p>
        </w:tc>
        <w:tc>
          <w:tcPr>
            <w:tcW w:w="1468" w:type="dxa"/>
            <w:tcBorders>
              <w:top w:val="single" w:sz="6" w:space="0" w:color="000000"/>
            </w:tcBorders>
          </w:tcPr>
          <w:p>
            <w:pPr>
              <w:pStyle w:val="TableParagraph"/>
              <w:spacing w:before="7"/>
              <w:rPr>
                <w:rFonts w:ascii="楷体"/>
                <w:sz w:val="11"/>
              </w:rPr>
            </w:pPr>
          </w:p>
          <w:p>
            <w:pPr>
              <w:pStyle w:val="TableParagraph"/>
              <w:spacing w:before="1"/>
              <w:ind w:left="36"/>
              <w:jc w:val="center"/>
              <w:rPr>
                <w:rFonts w:ascii="Times New Roman"/>
                <w:sz w:val="15"/>
              </w:rPr>
            </w:pPr>
            <w:r>
              <w:rPr>
                <w:rFonts w:ascii="Times New Roman"/>
                <w:w w:val="100"/>
                <w:sz w:val="15"/>
              </w:rPr>
              <w:t>7</w:t>
            </w:r>
          </w:p>
          <w:p>
            <w:pPr>
              <w:pStyle w:val="TableParagraph"/>
              <w:spacing w:before="129"/>
              <w:ind w:left="57" w:right="20"/>
              <w:jc w:val="center"/>
              <w:rPr>
                <w:sz w:val="15"/>
              </w:rPr>
            </w:pPr>
            <w:r>
              <w:rPr>
                <w:sz w:val="15"/>
              </w:rPr>
              <w:t>（</w:t>
            </w:r>
            <w:r>
              <w:rPr>
                <w:rFonts w:ascii="Times New Roman" w:eastAsia="Times New Roman"/>
                <w:sz w:val="15"/>
              </w:rPr>
              <w:t>1.3</w:t>
            </w:r>
            <w:r>
              <w:rPr>
                <w:sz w:val="15"/>
              </w:rPr>
              <w:t>）</w:t>
            </w:r>
          </w:p>
        </w:tc>
        <w:tc>
          <w:tcPr>
            <w:tcW w:w="1108" w:type="dxa"/>
            <w:tcBorders>
              <w:top w:val="single" w:sz="6" w:space="0" w:color="000000"/>
            </w:tcBorders>
          </w:tcPr>
          <w:p>
            <w:pPr>
              <w:pStyle w:val="TableParagraph"/>
              <w:spacing w:before="7"/>
              <w:rPr>
                <w:rFonts w:ascii="楷体"/>
                <w:sz w:val="11"/>
              </w:rPr>
            </w:pPr>
          </w:p>
          <w:p>
            <w:pPr>
              <w:pStyle w:val="TableParagraph"/>
              <w:spacing w:before="1"/>
              <w:ind w:left="10" w:right="4"/>
              <w:jc w:val="center"/>
              <w:rPr>
                <w:rFonts w:ascii="Times New Roman"/>
                <w:sz w:val="15"/>
              </w:rPr>
            </w:pPr>
            <w:r>
              <w:rPr>
                <w:rFonts w:ascii="Times New Roman"/>
                <w:sz w:val="15"/>
              </w:rPr>
              <w:t>26</w:t>
            </w:r>
          </w:p>
          <w:p>
            <w:pPr>
              <w:pStyle w:val="TableParagraph"/>
              <w:spacing w:before="129"/>
              <w:ind w:left="10" w:right="4"/>
              <w:jc w:val="center"/>
              <w:rPr>
                <w:sz w:val="15"/>
              </w:rPr>
            </w:pPr>
            <w:r>
              <w:rPr>
                <w:sz w:val="15"/>
              </w:rPr>
              <w:t>（</w:t>
            </w:r>
            <w:r>
              <w:rPr>
                <w:rFonts w:ascii="Times New Roman" w:eastAsia="Times New Roman"/>
                <w:sz w:val="15"/>
              </w:rPr>
              <w:t>5.0</w:t>
            </w:r>
            <w:r>
              <w:rPr>
                <w:sz w:val="15"/>
              </w:rPr>
              <w:t>）</w:t>
            </w:r>
          </w:p>
        </w:tc>
      </w:tr>
      <w:tr>
        <w:trPr>
          <w:trHeight w:val="783" w:hRule="atLeast"/>
        </w:trPr>
        <w:tc>
          <w:tcPr>
            <w:tcW w:w="1069" w:type="dxa"/>
          </w:tcPr>
          <w:p>
            <w:pPr>
              <w:pStyle w:val="TableParagraph"/>
              <w:rPr>
                <w:rFonts w:ascii="楷体"/>
                <w:sz w:val="16"/>
              </w:rPr>
            </w:pPr>
          </w:p>
          <w:p>
            <w:pPr>
              <w:pStyle w:val="TableParagraph"/>
              <w:spacing w:before="9"/>
              <w:rPr>
                <w:rFonts w:ascii="楷体"/>
                <w:sz w:val="19"/>
              </w:rPr>
            </w:pPr>
          </w:p>
          <w:p>
            <w:pPr>
              <w:pStyle w:val="TableParagraph"/>
              <w:ind w:left="395"/>
              <w:rPr>
                <w:rFonts w:ascii="Times New Roman"/>
                <w:sz w:val="15"/>
              </w:rPr>
            </w:pPr>
            <w:r>
              <w:rPr>
                <w:rFonts w:ascii="Times New Roman"/>
                <w:sz w:val="15"/>
              </w:rPr>
              <w:t>CNFc</w:t>
            </w:r>
          </w:p>
        </w:tc>
        <w:tc>
          <w:tcPr>
            <w:tcW w:w="1166" w:type="dxa"/>
          </w:tcPr>
          <w:p>
            <w:pPr>
              <w:pStyle w:val="TableParagraph"/>
              <w:spacing w:before="5"/>
              <w:rPr>
                <w:rFonts w:ascii="楷体"/>
                <w:sz w:val="11"/>
              </w:rPr>
            </w:pPr>
          </w:p>
          <w:p>
            <w:pPr>
              <w:pStyle w:val="TableParagraph"/>
              <w:ind w:left="70"/>
              <w:rPr>
                <w:rFonts w:ascii="Times New Roman"/>
                <w:sz w:val="15"/>
              </w:rPr>
            </w:pPr>
            <w:r>
              <w:rPr>
                <w:rFonts w:ascii="Times New Roman"/>
                <w:sz w:val="15"/>
              </w:rPr>
              <w:t>417</w:t>
            </w:r>
          </w:p>
          <w:p>
            <w:pPr>
              <w:pStyle w:val="TableParagraph"/>
              <w:spacing w:before="129"/>
              <w:ind w:left="70"/>
              <w:rPr>
                <w:sz w:val="15"/>
              </w:rPr>
            </w:pPr>
            <w:r>
              <w:rPr>
                <w:sz w:val="15"/>
              </w:rPr>
              <w:t>（</w:t>
            </w:r>
            <w:r>
              <w:rPr>
                <w:rFonts w:ascii="Times New Roman" w:eastAsia="Times New Roman"/>
                <w:sz w:val="15"/>
              </w:rPr>
              <w:t>79.4</w:t>
            </w:r>
            <w:r>
              <w:rPr>
                <w:sz w:val="15"/>
              </w:rPr>
              <w:t>）</w:t>
            </w:r>
          </w:p>
        </w:tc>
        <w:tc>
          <w:tcPr>
            <w:tcW w:w="1035" w:type="dxa"/>
          </w:tcPr>
          <w:p>
            <w:pPr>
              <w:pStyle w:val="TableParagraph"/>
              <w:spacing w:before="5"/>
              <w:rPr>
                <w:rFonts w:ascii="楷体"/>
                <w:sz w:val="11"/>
              </w:rPr>
            </w:pPr>
          </w:p>
          <w:p>
            <w:pPr>
              <w:pStyle w:val="TableParagraph"/>
              <w:ind w:left="225" w:right="205"/>
              <w:jc w:val="center"/>
              <w:rPr>
                <w:rFonts w:ascii="Times New Roman"/>
                <w:sz w:val="15"/>
              </w:rPr>
            </w:pPr>
            <w:r>
              <w:rPr>
                <w:rFonts w:ascii="Times New Roman"/>
                <w:sz w:val="15"/>
              </w:rPr>
              <w:t>229</w:t>
            </w:r>
          </w:p>
          <w:p>
            <w:pPr>
              <w:pStyle w:val="TableParagraph"/>
              <w:spacing w:before="129"/>
              <w:ind w:left="227" w:right="205"/>
              <w:jc w:val="center"/>
              <w:rPr>
                <w:sz w:val="15"/>
              </w:rPr>
            </w:pPr>
            <w:r>
              <w:rPr>
                <w:sz w:val="15"/>
              </w:rPr>
              <w:t>（</w:t>
            </w:r>
            <w:r>
              <w:rPr>
                <w:rFonts w:ascii="Times New Roman" w:eastAsia="Times New Roman"/>
                <w:sz w:val="15"/>
              </w:rPr>
              <w:t>54.9</w:t>
            </w:r>
            <w:r>
              <w:rPr>
                <w:sz w:val="15"/>
              </w:rPr>
              <w:t>）</w:t>
            </w:r>
          </w:p>
        </w:tc>
        <w:tc>
          <w:tcPr>
            <w:tcW w:w="1274" w:type="dxa"/>
          </w:tcPr>
          <w:p>
            <w:pPr>
              <w:pStyle w:val="TableParagraph"/>
              <w:spacing w:before="5"/>
              <w:rPr>
                <w:rFonts w:ascii="楷体"/>
                <w:sz w:val="11"/>
              </w:rPr>
            </w:pPr>
          </w:p>
          <w:p>
            <w:pPr>
              <w:pStyle w:val="TableParagraph"/>
              <w:ind w:left="202" w:right="193"/>
              <w:jc w:val="center"/>
              <w:rPr>
                <w:rFonts w:ascii="Times New Roman"/>
                <w:sz w:val="15"/>
              </w:rPr>
            </w:pPr>
            <w:r>
              <w:rPr>
                <w:rFonts w:ascii="Times New Roman"/>
                <w:sz w:val="15"/>
              </w:rPr>
              <w:t>92</w:t>
            </w:r>
          </w:p>
          <w:p>
            <w:pPr>
              <w:pStyle w:val="TableParagraph"/>
              <w:spacing w:before="129"/>
              <w:ind w:left="200" w:right="193"/>
              <w:jc w:val="center"/>
              <w:rPr>
                <w:sz w:val="15"/>
              </w:rPr>
            </w:pPr>
            <w:r>
              <w:rPr>
                <w:sz w:val="15"/>
              </w:rPr>
              <w:t>（</w:t>
            </w:r>
            <w:r>
              <w:rPr>
                <w:rFonts w:ascii="Times New Roman" w:eastAsia="Times New Roman"/>
                <w:sz w:val="15"/>
              </w:rPr>
              <w:t>22.1</w:t>
            </w:r>
            <w:r>
              <w:rPr>
                <w:sz w:val="15"/>
              </w:rPr>
              <w:t>）</w:t>
            </w:r>
          </w:p>
        </w:tc>
        <w:tc>
          <w:tcPr>
            <w:tcW w:w="1471" w:type="dxa"/>
          </w:tcPr>
          <w:p>
            <w:pPr>
              <w:pStyle w:val="TableParagraph"/>
              <w:spacing w:before="5"/>
              <w:rPr>
                <w:rFonts w:ascii="楷体"/>
                <w:sz w:val="11"/>
              </w:rPr>
            </w:pPr>
          </w:p>
          <w:p>
            <w:pPr>
              <w:pStyle w:val="TableParagraph"/>
              <w:ind w:left="38"/>
              <w:jc w:val="center"/>
              <w:rPr>
                <w:rFonts w:ascii="Times New Roman"/>
                <w:sz w:val="15"/>
              </w:rPr>
            </w:pPr>
            <w:r>
              <w:rPr>
                <w:rFonts w:ascii="Times New Roman"/>
                <w:w w:val="100"/>
                <w:sz w:val="15"/>
              </w:rPr>
              <w:t>4</w:t>
            </w:r>
          </w:p>
          <w:p>
            <w:pPr>
              <w:pStyle w:val="TableParagraph"/>
              <w:spacing w:before="129"/>
              <w:ind w:left="188" w:right="148"/>
              <w:jc w:val="center"/>
              <w:rPr>
                <w:sz w:val="15"/>
              </w:rPr>
            </w:pPr>
            <w:r>
              <w:rPr>
                <w:sz w:val="15"/>
              </w:rPr>
              <w:t>（</w:t>
            </w:r>
            <w:r>
              <w:rPr>
                <w:rFonts w:ascii="Times New Roman" w:eastAsia="Times New Roman"/>
                <w:sz w:val="15"/>
              </w:rPr>
              <w:t>1.0</w:t>
            </w:r>
            <w:r>
              <w:rPr>
                <w:sz w:val="15"/>
              </w:rPr>
              <w:t>）</w:t>
            </w:r>
          </w:p>
        </w:tc>
        <w:tc>
          <w:tcPr>
            <w:tcW w:w="1002" w:type="dxa"/>
          </w:tcPr>
          <w:p>
            <w:pPr>
              <w:pStyle w:val="TableParagraph"/>
              <w:spacing w:before="5"/>
              <w:rPr>
                <w:rFonts w:ascii="楷体"/>
                <w:sz w:val="11"/>
              </w:rPr>
            </w:pPr>
          </w:p>
          <w:p>
            <w:pPr>
              <w:pStyle w:val="TableParagraph"/>
              <w:ind w:left="147" w:right="65"/>
              <w:jc w:val="center"/>
              <w:rPr>
                <w:rFonts w:ascii="Times New Roman"/>
                <w:sz w:val="15"/>
              </w:rPr>
            </w:pPr>
            <w:r>
              <w:rPr>
                <w:rFonts w:ascii="Times New Roman"/>
                <w:sz w:val="15"/>
              </w:rPr>
              <w:t>13</w:t>
            </w:r>
          </w:p>
          <w:p>
            <w:pPr>
              <w:pStyle w:val="TableParagraph"/>
              <w:spacing w:before="129"/>
              <w:ind w:left="147" w:right="65"/>
              <w:jc w:val="center"/>
              <w:rPr>
                <w:sz w:val="15"/>
              </w:rPr>
            </w:pPr>
            <w:r>
              <w:rPr>
                <w:sz w:val="15"/>
              </w:rPr>
              <w:t>（</w:t>
            </w:r>
            <w:r>
              <w:rPr>
                <w:rFonts w:ascii="Times New Roman" w:eastAsia="Times New Roman"/>
                <w:sz w:val="15"/>
              </w:rPr>
              <w:t>3.1</w:t>
            </w:r>
            <w:r>
              <w:rPr>
                <w:sz w:val="15"/>
              </w:rPr>
              <w:t>）</w:t>
            </w:r>
          </w:p>
        </w:tc>
        <w:tc>
          <w:tcPr>
            <w:tcW w:w="1468" w:type="dxa"/>
          </w:tcPr>
          <w:p>
            <w:pPr>
              <w:pStyle w:val="TableParagraph"/>
              <w:spacing w:before="5"/>
              <w:rPr>
                <w:rFonts w:ascii="楷体"/>
                <w:sz w:val="11"/>
              </w:rPr>
            </w:pPr>
          </w:p>
          <w:p>
            <w:pPr>
              <w:pStyle w:val="TableParagraph"/>
              <w:ind w:left="57" w:right="20"/>
              <w:jc w:val="center"/>
              <w:rPr>
                <w:rFonts w:ascii="Times New Roman"/>
                <w:sz w:val="15"/>
              </w:rPr>
            </w:pPr>
            <w:r>
              <w:rPr>
                <w:rFonts w:ascii="Times New Roman"/>
                <w:sz w:val="15"/>
              </w:rPr>
              <w:t>14</w:t>
            </w:r>
          </w:p>
          <w:p>
            <w:pPr>
              <w:pStyle w:val="TableParagraph"/>
              <w:spacing w:before="129"/>
              <w:ind w:left="57" w:right="20"/>
              <w:jc w:val="center"/>
              <w:rPr>
                <w:sz w:val="15"/>
              </w:rPr>
            </w:pPr>
            <w:r>
              <w:rPr>
                <w:sz w:val="15"/>
              </w:rPr>
              <w:t>（</w:t>
            </w:r>
            <w:r>
              <w:rPr>
                <w:rFonts w:ascii="Times New Roman" w:eastAsia="Times New Roman"/>
                <w:sz w:val="15"/>
              </w:rPr>
              <w:t>3.4</w:t>
            </w:r>
            <w:r>
              <w:rPr>
                <w:sz w:val="15"/>
              </w:rPr>
              <w:t>）</w:t>
            </w:r>
          </w:p>
        </w:tc>
        <w:tc>
          <w:tcPr>
            <w:tcW w:w="1108" w:type="dxa"/>
          </w:tcPr>
          <w:p>
            <w:pPr>
              <w:pStyle w:val="TableParagraph"/>
              <w:spacing w:before="5"/>
              <w:rPr>
                <w:rFonts w:ascii="楷体"/>
                <w:sz w:val="11"/>
              </w:rPr>
            </w:pPr>
          </w:p>
          <w:p>
            <w:pPr>
              <w:pStyle w:val="TableParagraph"/>
              <w:ind w:left="10" w:right="4"/>
              <w:jc w:val="center"/>
              <w:rPr>
                <w:rFonts w:ascii="Times New Roman"/>
                <w:sz w:val="15"/>
              </w:rPr>
            </w:pPr>
            <w:r>
              <w:rPr>
                <w:rFonts w:ascii="Times New Roman"/>
                <w:sz w:val="15"/>
              </w:rPr>
              <w:t>55</w:t>
            </w:r>
          </w:p>
          <w:p>
            <w:pPr>
              <w:pStyle w:val="TableParagraph"/>
              <w:spacing w:before="129"/>
              <w:ind w:left="10" w:right="7"/>
              <w:jc w:val="center"/>
              <w:rPr>
                <w:sz w:val="15"/>
              </w:rPr>
            </w:pPr>
            <w:r>
              <w:rPr>
                <w:sz w:val="15"/>
              </w:rPr>
              <w:t>（</w:t>
            </w:r>
            <w:r>
              <w:rPr>
                <w:rFonts w:ascii="Times New Roman" w:eastAsia="Times New Roman"/>
                <w:sz w:val="15"/>
              </w:rPr>
              <w:t>13.2</w:t>
            </w:r>
            <w:r>
              <w:rPr>
                <w:sz w:val="15"/>
              </w:rPr>
              <w:t>）</w:t>
            </w:r>
          </w:p>
        </w:tc>
      </w:tr>
      <w:tr>
        <w:trPr>
          <w:trHeight w:val="471" w:hRule="atLeast"/>
        </w:trPr>
        <w:tc>
          <w:tcPr>
            <w:tcW w:w="1069" w:type="dxa"/>
          </w:tcPr>
          <w:p>
            <w:pPr>
              <w:pStyle w:val="TableParagraph"/>
              <w:rPr>
                <w:rFonts w:ascii="Times New Roman"/>
                <w:sz w:val="20"/>
              </w:rPr>
            </w:pPr>
          </w:p>
        </w:tc>
        <w:tc>
          <w:tcPr>
            <w:tcW w:w="1166" w:type="dxa"/>
            <w:vMerge w:val="restart"/>
          </w:tcPr>
          <w:p>
            <w:pPr>
              <w:pStyle w:val="TableParagraph"/>
              <w:spacing w:before="6"/>
              <w:rPr>
                <w:rFonts w:ascii="楷体"/>
                <w:sz w:val="11"/>
              </w:rPr>
            </w:pPr>
          </w:p>
          <w:p>
            <w:pPr>
              <w:pStyle w:val="TableParagraph"/>
              <w:ind w:left="17" w:right="511"/>
              <w:jc w:val="center"/>
              <w:rPr>
                <w:rFonts w:ascii="Times New Roman"/>
                <w:sz w:val="15"/>
              </w:rPr>
            </w:pPr>
            <w:r>
              <w:rPr>
                <w:rFonts w:ascii="Times New Roman"/>
                <w:sz w:val="15"/>
              </w:rPr>
              <w:t>326</w:t>
            </w:r>
          </w:p>
          <w:p>
            <w:pPr>
              <w:pStyle w:val="TableParagraph"/>
              <w:spacing w:before="130"/>
              <w:ind w:left="52" w:right="511"/>
              <w:jc w:val="center"/>
              <w:rPr>
                <w:sz w:val="15"/>
              </w:rPr>
            </w:pPr>
            <w:r>
              <w:rPr>
                <w:sz w:val="15"/>
              </w:rPr>
              <w:t>（</w:t>
            </w:r>
            <w:r>
              <w:rPr>
                <w:rFonts w:ascii="Times New Roman" w:eastAsia="Times New Roman"/>
                <w:sz w:val="15"/>
              </w:rPr>
              <w:t>62.1</w:t>
            </w:r>
            <w:r>
              <w:rPr>
                <w:sz w:val="15"/>
              </w:rPr>
              <w:t>）</w:t>
            </w:r>
          </w:p>
        </w:tc>
        <w:tc>
          <w:tcPr>
            <w:tcW w:w="1035" w:type="dxa"/>
            <w:vMerge w:val="restart"/>
          </w:tcPr>
          <w:p>
            <w:pPr>
              <w:pStyle w:val="TableParagraph"/>
              <w:spacing w:before="6"/>
              <w:rPr>
                <w:rFonts w:ascii="楷体"/>
                <w:sz w:val="11"/>
              </w:rPr>
            </w:pPr>
          </w:p>
          <w:p>
            <w:pPr>
              <w:pStyle w:val="TableParagraph"/>
              <w:ind w:left="225" w:right="205"/>
              <w:jc w:val="center"/>
              <w:rPr>
                <w:rFonts w:ascii="Times New Roman"/>
                <w:sz w:val="15"/>
              </w:rPr>
            </w:pPr>
            <w:r>
              <w:rPr>
                <w:rFonts w:ascii="Times New Roman"/>
                <w:sz w:val="15"/>
              </w:rPr>
              <w:t>322</w:t>
            </w:r>
          </w:p>
          <w:p>
            <w:pPr>
              <w:pStyle w:val="TableParagraph"/>
              <w:spacing w:before="130"/>
              <w:ind w:left="227" w:right="205"/>
              <w:jc w:val="center"/>
              <w:rPr>
                <w:sz w:val="15"/>
              </w:rPr>
            </w:pPr>
            <w:r>
              <w:rPr>
                <w:sz w:val="15"/>
              </w:rPr>
              <w:t>（</w:t>
            </w:r>
            <w:r>
              <w:rPr>
                <w:rFonts w:ascii="Times New Roman" w:eastAsia="Times New Roman"/>
                <w:sz w:val="15"/>
              </w:rPr>
              <w:t>98.8</w:t>
            </w:r>
            <w:r>
              <w:rPr>
                <w:sz w:val="15"/>
              </w:rPr>
              <w:t>）</w:t>
            </w:r>
          </w:p>
        </w:tc>
        <w:tc>
          <w:tcPr>
            <w:tcW w:w="1274" w:type="dxa"/>
          </w:tcPr>
          <w:p>
            <w:pPr>
              <w:pStyle w:val="TableParagraph"/>
              <w:spacing w:before="9"/>
              <w:rPr>
                <w:rFonts w:ascii="楷体"/>
                <w:sz w:val="23"/>
              </w:rPr>
            </w:pPr>
          </w:p>
          <w:p>
            <w:pPr>
              <w:pStyle w:val="TableParagraph"/>
              <w:spacing w:line="147" w:lineRule="exact"/>
              <w:ind w:left="8"/>
              <w:jc w:val="center"/>
              <w:rPr>
                <w:rFonts w:ascii="Times New Roman"/>
                <w:sz w:val="15"/>
              </w:rPr>
            </w:pPr>
            <w:r>
              <w:rPr>
                <w:rFonts w:ascii="Times New Roman"/>
                <w:w w:val="100"/>
                <w:sz w:val="15"/>
              </w:rPr>
              <w:t>0</w:t>
            </w:r>
          </w:p>
        </w:tc>
        <w:tc>
          <w:tcPr>
            <w:tcW w:w="1471" w:type="dxa"/>
            <w:vMerge w:val="restart"/>
          </w:tcPr>
          <w:p>
            <w:pPr>
              <w:pStyle w:val="TableParagraph"/>
              <w:spacing w:before="6"/>
              <w:rPr>
                <w:rFonts w:ascii="楷体"/>
                <w:sz w:val="11"/>
              </w:rPr>
            </w:pPr>
          </w:p>
          <w:p>
            <w:pPr>
              <w:pStyle w:val="TableParagraph"/>
              <w:ind w:left="38"/>
              <w:jc w:val="center"/>
              <w:rPr>
                <w:rFonts w:ascii="Times New Roman"/>
                <w:sz w:val="15"/>
              </w:rPr>
            </w:pPr>
            <w:r>
              <w:rPr>
                <w:rFonts w:ascii="Times New Roman"/>
                <w:w w:val="100"/>
                <w:sz w:val="15"/>
              </w:rPr>
              <w:t>4</w:t>
            </w:r>
          </w:p>
          <w:p>
            <w:pPr>
              <w:pStyle w:val="TableParagraph"/>
              <w:spacing w:before="130"/>
              <w:ind w:left="188" w:right="148"/>
              <w:jc w:val="center"/>
              <w:rPr>
                <w:sz w:val="15"/>
              </w:rPr>
            </w:pPr>
            <w:r>
              <w:rPr>
                <w:sz w:val="15"/>
              </w:rPr>
              <w:t>（</w:t>
            </w:r>
            <w:r>
              <w:rPr>
                <w:rFonts w:ascii="Times New Roman" w:eastAsia="Times New Roman"/>
                <w:sz w:val="15"/>
              </w:rPr>
              <w:t>1.2</w:t>
            </w:r>
            <w:r>
              <w:rPr>
                <w:sz w:val="15"/>
              </w:rPr>
              <w:t>）</w:t>
            </w:r>
          </w:p>
        </w:tc>
        <w:tc>
          <w:tcPr>
            <w:tcW w:w="1002" w:type="dxa"/>
          </w:tcPr>
          <w:p>
            <w:pPr>
              <w:pStyle w:val="TableParagraph"/>
              <w:spacing w:before="9"/>
              <w:rPr>
                <w:rFonts w:ascii="楷体"/>
                <w:sz w:val="23"/>
              </w:rPr>
            </w:pPr>
          </w:p>
          <w:p>
            <w:pPr>
              <w:pStyle w:val="TableParagraph"/>
              <w:spacing w:line="147" w:lineRule="exact"/>
              <w:ind w:left="81"/>
              <w:jc w:val="center"/>
              <w:rPr>
                <w:rFonts w:ascii="Times New Roman"/>
                <w:sz w:val="15"/>
              </w:rPr>
            </w:pPr>
            <w:r>
              <w:rPr>
                <w:rFonts w:ascii="Times New Roman"/>
                <w:w w:val="100"/>
                <w:sz w:val="15"/>
              </w:rPr>
              <w:t>0</w:t>
            </w:r>
          </w:p>
        </w:tc>
        <w:tc>
          <w:tcPr>
            <w:tcW w:w="1468" w:type="dxa"/>
          </w:tcPr>
          <w:p>
            <w:pPr>
              <w:pStyle w:val="TableParagraph"/>
              <w:spacing w:before="9"/>
              <w:rPr>
                <w:rFonts w:ascii="楷体"/>
                <w:sz w:val="23"/>
              </w:rPr>
            </w:pPr>
          </w:p>
          <w:p>
            <w:pPr>
              <w:pStyle w:val="TableParagraph"/>
              <w:spacing w:line="147" w:lineRule="exact"/>
              <w:ind w:left="36"/>
              <w:jc w:val="center"/>
              <w:rPr>
                <w:rFonts w:ascii="Times New Roman"/>
                <w:sz w:val="15"/>
              </w:rPr>
            </w:pPr>
            <w:r>
              <w:rPr>
                <w:rFonts w:ascii="Times New Roman"/>
                <w:w w:val="100"/>
                <w:sz w:val="15"/>
              </w:rPr>
              <w:t>0</w:t>
            </w:r>
          </w:p>
        </w:tc>
        <w:tc>
          <w:tcPr>
            <w:tcW w:w="1108" w:type="dxa"/>
          </w:tcPr>
          <w:p>
            <w:pPr>
              <w:pStyle w:val="TableParagraph"/>
              <w:spacing w:before="9"/>
              <w:rPr>
                <w:rFonts w:ascii="楷体"/>
                <w:sz w:val="23"/>
              </w:rPr>
            </w:pPr>
          </w:p>
          <w:p>
            <w:pPr>
              <w:pStyle w:val="TableParagraph"/>
              <w:spacing w:line="147" w:lineRule="exact"/>
              <w:ind w:left="5"/>
              <w:jc w:val="center"/>
              <w:rPr>
                <w:rFonts w:ascii="Times New Roman"/>
                <w:sz w:val="15"/>
              </w:rPr>
            </w:pPr>
            <w:r>
              <w:rPr>
                <w:rFonts w:ascii="Times New Roman"/>
                <w:w w:val="100"/>
                <w:sz w:val="15"/>
              </w:rPr>
              <w:t>0</w:t>
            </w:r>
          </w:p>
        </w:tc>
      </w:tr>
      <w:tr>
        <w:trPr>
          <w:trHeight w:val="392" w:hRule="atLeast"/>
        </w:trPr>
        <w:tc>
          <w:tcPr>
            <w:tcW w:w="1069" w:type="dxa"/>
          </w:tcPr>
          <w:p>
            <w:pPr>
              <w:pStyle w:val="TableParagraph"/>
              <w:spacing w:line="161" w:lineRule="exact"/>
              <w:ind w:left="395"/>
              <w:rPr>
                <w:rFonts w:ascii="Times New Roman"/>
                <w:sz w:val="15"/>
              </w:rPr>
            </w:pPr>
            <w:r>
              <w:rPr>
                <w:rFonts w:ascii="Times New Roman"/>
                <w:sz w:val="15"/>
              </w:rPr>
              <w:t>BNFc</w:t>
            </w:r>
          </w:p>
        </w:tc>
        <w:tc>
          <w:tcPr>
            <w:tcW w:w="1166" w:type="dxa"/>
            <w:vMerge/>
            <w:tcBorders>
              <w:top w:val="nil"/>
            </w:tcBorders>
          </w:tcPr>
          <w:p>
            <w:pPr>
              <w:rPr>
                <w:sz w:val="2"/>
                <w:szCs w:val="2"/>
              </w:rPr>
            </w:pPr>
          </w:p>
        </w:tc>
        <w:tc>
          <w:tcPr>
            <w:tcW w:w="1035" w:type="dxa"/>
            <w:vMerge/>
            <w:tcBorders>
              <w:top w:val="nil"/>
            </w:tcBorders>
          </w:tcPr>
          <w:p>
            <w:pPr>
              <w:rPr>
                <w:sz w:val="2"/>
                <w:szCs w:val="2"/>
              </w:rPr>
            </w:pPr>
          </w:p>
        </w:tc>
        <w:tc>
          <w:tcPr>
            <w:tcW w:w="1274" w:type="dxa"/>
          </w:tcPr>
          <w:p>
            <w:pPr>
              <w:pStyle w:val="TableParagraph"/>
              <w:rPr>
                <w:rFonts w:ascii="Times New Roman"/>
                <w:sz w:val="20"/>
              </w:rPr>
            </w:pPr>
          </w:p>
        </w:tc>
        <w:tc>
          <w:tcPr>
            <w:tcW w:w="1471" w:type="dxa"/>
            <w:vMerge/>
            <w:tcBorders>
              <w:top w:val="nil"/>
            </w:tcBorders>
          </w:tcPr>
          <w:p>
            <w:pPr>
              <w:rPr>
                <w:sz w:val="2"/>
                <w:szCs w:val="2"/>
              </w:rPr>
            </w:pPr>
          </w:p>
        </w:tc>
        <w:tc>
          <w:tcPr>
            <w:tcW w:w="1002" w:type="dxa"/>
          </w:tcPr>
          <w:p>
            <w:pPr>
              <w:pStyle w:val="TableParagraph"/>
              <w:rPr>
                <w:rFonts w:ascii="Times New Roman"/>
                <w:sz w:val="20"/>
              </w:rPr>
            </w:pPr>
          </w:p>
        </w:tc>
        <w:tc>
          <w:tcPr>
            <w:tcW w:w="1468" w:type="dxa"/>
          </w:tcPr>
          <w:p>
            <w:pPr>
              <w:pStyle w:val="TableParagraph"/>
              <w:rPr>
                <w:rFonts w:ascii="Times New Roman"/>
                <w:sz w:val="20"/>
              </w:rPr>
            </w:pPr>
          </w:p>
        </w:tc>
        <w:tc>
          <w:tcPr>
            <w:tcW w:w="1108" w:type="dxa"/>
          </w:tcPr>
          <w:p>
            <w:pPr>
              <w:pStyle w:val="TableParagraph"/>
              <w:rPr>
                <w:rFonts w:ascii="Times New Roman"/>
                <w:sz w:val="20"/>
              </w:rPr>
            </w:pPr>
          </w:p>
        </w:tc>
      </w:tr>
      <w:tr>
        <w:trPr>
          <w:trHeight w:val="1011" w:hRule="atLeast"/>
        </w:trPr>
        <w:tc>
          <w:tcPr>
            <w:tcW w:w="1069" w:type="dxa"/>
          </w:tcPr>
          <w:p>
            <w:pPr>
              <w:pStyle w:val="TableParagraph"/>
              <w:spacing w:before="10"/>
              <w:rPr>
                <w:rFonts w:ascii="楷体"/>
                <w:sz w:val="19"/>
              </w:rPr>
            </w:pPr>
          </w:p>
          <w:p>
            <w:pPr>
              <w:pStyle w:val="TableParagraph"/>
              <w:spacing w:line="310" w:lineRule="atLeast"/>
              <w:ind w:left="272" w:right="69" w:hanging="123"/>
              <w:rPr>
                <w:sz w:val="15"/>
              </w:rPr>
            </w:pPr>
            <w:r>
              <w:rPr>
                <w:rFonts w:ascii="Times New Roman" w:eastAsia="Times New Roman"/>
                <w:sz w:val="15"/>
              </w:rPr>
              <w:t>WHO </w:t>
            </w:r>
            <w:r>
              <w:rPr>
                <w:sz w:val="15"/>
              </w:rPr>
              <w:t>儿童标准处方集</w:t>
            </w:r>
          </w:p>
        </w:tc>
        <w:tc>
          <w:tcPr>
            <w:tcW w:w="1166" w:type="dxa"/>
          </w:tcPr>
          <w:p>
            <w:pPr>
              <w:pStyle w:val="TableParagraph"/>
              <w:spacing w:before="7"/>
              <w:rPr>
                <w:rFonts w:ascii="楷体"/>
                <w:sz w:val="17"/>
              </w:rPr>
            </w:pPr>
          </w:p>
          <w:p>
            <w:pPr>
              <w:pStyle w:val="TableParagraph"/>
              <w:ind w:left="17" w:right="511"/>
              <w:jc w:val="center"/>
              <w:rPr>
                <w:rFonts w:ascii="Times New Roman"/>
                <w:sz w:val="15"/>
              </w:rPr>
            </w:pPr>
            <w:r>
              <w:rPr>
                <w:rFonts w:ascii="Times New Roman"/>
                <w:sz w:val="15"/>
              </w:rPr>
              <w:t>238</w:t>
            </w:r>
          </w:p>
          <w:p>
            <w:pPr>
              <w:pStyle w:val="TableParagraph"/>
              <w:spacing w:before="130"/>
              <w:ind w:left="52" w:right="511"/>
              <w:jc w:val="center"/>
              <w:rPr>
                <w:sz w:val="15"/>
              </w:rPr>
            </w:pPr>
            <w:r>
              <w:rPr>
                <w:sz w:val="15"/>
              </w:rPr>
              <w:t>（</w:t>
            </w:r>
            <w:r>
              <w:rPr>
                <w:rFonts w:ascii="Times New Roman" w:eastAsia="Times New Roman"/>
                <w:sz w:val="15"/>
              </w:rPr>
              <w:t>45.3</w:t>
            </w:r>
            <w:r>
              <w:rPr>
                <w:sz w:val="15"/>
              </w:rPr>
              <w:t>）</w:t>
            </w:r>
          </w:p>
        </w:tc>
        <w:tc>
          <w:tcPr>
            <w:tcW w:w="1035" w:type="dxa"/>
          </w:tcPr>
          <w:p>
            <w:pPr>
              <w:pStyle w:val="TableParagraph"/>
              <w:spacing w:before="7"/>
              <w:rPr>
                <w:rFonts w:ascii="楷体"/>
                <w:sz w:val="17"/>
              </w:rPr>
            </w:pPr>
          </w:p>
          <w:p>
            <w:pPr>
              <w:pStyle w:val="TableParagraph"/>
              <w:ind w:left="225" w:right="205"/>
              <w:jc w:val="center"/>
              <w:rPr>
                <w:rFonts w:ascii="Times New Roman"/>
                <w:sz w:val="15"/>
              </w:rPr>
            </w:pPr>
            <w:r>
              <w:rPr>
                <w:rFonts w:ascii="Times New Roman"/>
                <w:sz w:val="15"/>
              </w:rPr>
              <w:t>211</w:t>
            </w:r>
          </w:p>
          <w:p>
            <w:pPr>
              <w:pStyle w:val="TableParagraph"/>
              <w:spacing w:before="130"/>
              <w:ind w:left="227" w:right="205"/>
              <w:jc w:val="center"/>
              <w:rPr>
                <w:sz w:val="15"/>
              </w:rPr>
            </w:pPr>
            <w:r>
              <w:rPr>
                <w:sz w:val="15"/>
              </w:rPr>
              <w:t>（</w:t>
            </w:r>
            <w:r>
              <w:rPr>
                <w:rFonts w:ascii="Times New Roman" w:eastAsia="Times New Roman"/>
                <w:sz w:val="15"/>
              </w:rPr>
              <w:t>88.7</w:t>
            </w:r>
            <w:r>
              <w:rPr>
                <w:sz w:val="15"/>
              </w:rPr>
              <w:t>）</w:t>
            </w:r>
          </w:p>
        </w:tc>
        <w:tc>
          <w:tcPr>
            <w:tcW w:w="1274" w:type="dxa"/>
          </w:tcPr>
          <w:p>
            <w:pPr>
              <w:pStyle w:val="TableParagraph"/>
              <w:spacing w:before="7"/>
              <w:rPr>
                <w:rFonts w:ascii="楷体"/>
                <w:sz w:val="17"/>
              </w:rPr>
            </w:pPr>
          </w:p>
          <w:p>
            <w:pPr>
              <w:pStyle w:val="TableParagraph"/>
              <w:ind w:left="8"/>
              <w:jc w:val="center"/>
              <w:rPr>
                <w:rFonts w:ascii="Times New Roman"/>
                <w:sz w:val="15"/>
              </w:rPr>
            </w:pPr>
            <w:r>
              <w:rPr>
                <w:rFonts w:ascii="Times New Roman"/>
                <w:w w:val="100"/>
                <w:sz w:val="15"/>
              </w:rPr>
              <w:t>2</w:t>
            </w:r>
          </w:p>
          <w:p>
            <w:pPr>
              <w:pStyle w:val="TableParagraph"/>
              <w:spacing w:before="130"/>
              <w:ind w:left="202" w:right="193"/>
              <w:jc w:val="center"/>
              <w:rPr>
                <w:sz w:val="15"/>
              </w:rPr>
            </w:pPr>
            <w:r>
              <w:rPr>
                <w:sz w:val="15"/>
              </w:rPr>
              <w:t>（</w:t>
            </w:r>
            <w:r>
              <w:rPr>
                <w:rFonts w:ascii="Times New Roman" w:eastAsia="Times New Roman"/>
                <w:sz w:val="15"/>
              </w:rPr>
              <w:t>0.8</w:t>
            </w:r>
            <w:r>
              <w:rPr>
                <w:sz w:val="15"/>
              </w:rPr>
              <w:t>）</w:t>
            </w:r>
          </w:p>
        </w:tc>
        <w:tc>
          <w:tcPr>
            <w:tcW w:w="1471" w:type="dxa"/>
          </w:tcPr>
          <w:p>
            <w:pPr>
              <w:pStyle w:val="TableParagraph"/>
              <w:spacing w:before="7"/>
              <w:rPr>
                <w:rFonts w:ascii="楷体"/>
                <w:sz w:val="17"/>
              </w:rPr>
            </w:pPr>
          </w:p>
          <w:p>
            <w:pPr>
              <w:pStyle w:val="TableParagraph"/>
              <w:ind w:left="38"/>
              <w:jc w:val="center"/>
              <w:rPr>
                <w:rFonts w:ascii="Times New Roman"/>
                <w:sz w:val="15"/>
              </w:rPr>
            </w:pPr>
            <w:r>
              <w:rPr>
                <w:rFonts w:ascii="Times New Roman"/>
                <w:w w:val="100"/>
                <w:sz w:val="15"/>
              </w:rPr>
              <w:t>5</w:t>
            </w:r>
          </w:p>
          <w:p>
            <w:pPr>
              <w:pStyle w:val="TableParagraph"/>
              <w:spacing w:before="130"/>
              <w:ind w:left="188" w:right="148"/>
              <w:jc w:val="center"/>
              <w:rPr>
                <w:sz w:val="15"/>
              </w:rPr>
            </w:pPr>
            <w:r>
              <w:rPr>
                <w:sz w:val="15"/>
              </w:rPr>
              <w:t>（</w:t>
            </w:r>
            <w:r>
              <w:rPr>
                <w:rFonts w:ascii="Times New Roman" w:eastAsia="Times New Roman"/>
                <w:sz w:val="15"/>
              </w:rPr>
              <w:t>2.1</w:t>
            </w:r>
            <w:r>
              <w:rPr>
                <w:sz w:val="15"/>
              </w:rPr>
              <w:t>）</w:t>
            </w:r>
          </w:p>
        </w:tc>
        <w:tc>
          <w:tcPr>
            <w:tcW w:w="1002" w:type="dxa"/>
          </w:tcPr>
          <w:p>
            <w:pPr>
              <w:pStyle w:val="TableParagraph"/>
              <w:rPr>
                <w:rFonts w:ascii="楷体"/>
                <w:sz w:val="16"/>
              </w:rPr>
            </w:pPr>
          </w:p>
          <w:p>
            <w:pPr>
              <w:pStyle w:val="TableParagraph"/>
              <w:spacing w:before="9"/>
              <w:rPr>
                <w:rFonts w:ascii="楷体"/>
                <w:sz w:val="13"/>
              </w:rPr>
            </w:pPr>
          </w:p>
          <w:p>
            <w:pPr>
              <w:pStyle w:val="TableParagraph"/>
              <w:spacing w:before="1"/>
              <w:ind w:left="81"/>
              <w:jc w:val="center"/>
              <w:rPr>
                <w:rFonts w:ascii="Times New Roman"/>
                <w:sz w:val="15"/>
              </w:rPr>
            </w:pPr>
            <w:r>
              <w:rPr>
                <w:rFonts w:ascii="Times New Roman"/>
                <w:w w:val="100"/>
                <w:sz w:val="15"/>
              </w:rPr>
              <w:t>0</w:t>
            </w:r>
          </w:p>
        </w:tc>
        <w:tc>
          <w:tcPr>
            <w:tcW w:w="1468" w:type="dxa"/>
          </w:tcPr>
          <w:p>
            <w:pPr>
              <w:pStyle w:val="TableParagraph"/>
              <w:rPr>
                <w:rFonts w:ascii="楷体"/>
                <w:sz w:val="16"/>
              </w:rPr>
            </w:pPr>
          </w:p>
          <w:p>
            <w:pPr>
              <w:pStyle w:val="TableParagraph"/>
              <w:spacing w:before="9"/>
              <w:rPr>
                <w:rFonts w:ascii="楷体"/>
                <w:sz w:val="13"/>
              </w:rPr>
            </w:pPr>
          </w:p>
          <w:p>
            <w:pPr>
              <w:pStyle w:val="TableParagraph"/>
              <w:spacing w:before="1"/>
              <w:ind w:left="36"/>
              <w:jc w:val="center"/>
              <w:rPr>
                <w:rFonts w:ascii="Times New Roman"/>
                <w:sz w:val="15"/>
              </w:rPr>
            </w:pPr>
            <w:r>
              <w:rPr>
                <w:rFonts w:ascii="Times New Roman"/>
                <w:w w:val="100"/>
                <w:sz w:val="15"/>
              </w:rPr>
              <w:t>0</w:t>
            </w:r>
          </w:p>
        </w:tc>
        <w:tc>
          <w:tcPr>
            <w:tcW w:w="1108" w:type="dxa"/>
          </w:tcPr>
          <w:p>
            <w:pPr>
              <w:pStyle w:val="TableParagraph"/>
              <w:rPr>
                <w:rFonts w:ascii="楷体"/>
                <w:sz w:val="16"/>
              </w:rPr>
            </w:pPr>
          </w:p>
          <w:p>
            <w:pPr>
              <w:pStyle w:val="TableParagraph"/>
              <w:spacing w:before="9"/>
              <w:rPr>
                <w:rFonts w:ascii="楷体"/>
                <w:sz w:val="13"/>
              </w:rPr>
            </w:pPr>
          </w:p>
          <w:p>
            <w:pPr>
              <w:pStyle w:val="TableParagraph"/>
              <w:spacing w:before="1"/>
              <w:ind w:left="5"/>
              <w:jc w:val="center"/>
              <w:rPr>
                <w:rFonts w:ascii="Times New Roman"/>
                <w:sz w:val="15"/>
              </w:rPr>
            </w:pPr>
            <w:r>
              <w:rPr>
                <w:rFonts w:ascii="Times New Roman"/>
                <w:w w:val="100"/>
                <w:sz w:val="15"/>
              </w:rPr>
              <w:t>0</w:t>
            </w:r>
          </w:p>
        </w:tc>
      </w:tr>
      <w:tr>
        <w:trPr>
          <w:trHeight w:val="311" w:hRule="atLeast"/>
        </w:trPr>
        <w:tc>
          <w:tcPr>
            <w:tcW w:w="1069" w:type="dxa"/>
          </w:tcPr>
          <w:p>
            <w:pPr>
              <w:pStyle w:val="TableParagraph"/>
              <w:spacing w:before="10"/>
              <w:rPr>
                <w:rFonts w:ascii="楷体"/>
                <w:sz w:val="11"/>
              </w:rPr>
            </w:pPr>
          </w:p>
          <w:p>
            <w:pPr>
              <w:pStyle w:val="TableParagraph"/>
              <w:spacing w:line="140" w:lineRule="exact" w:before="1"/>
              <w:ind w:right="201"/>
              <w:jc w:val="right"/>
              <w:rPr>
                <w:rFonts w:ascii="Times New Roman"/>
                <w:sz w:val="15"/>
              </w:rPr>
            </w:pPr>
            <w:r>
              <w:rPr>
                <w:rFonts w:ascii="Times New Roman"/>
                <w:sz w:val="15"/>
              </w:rPr>
              <w:t>WHO EMLc</w:t>
            </w:r>
          </w:p>
        </w:tc>
        <w:tc>
          <w:tcPr>
            <w:tcW w:w="1166" w:type="dxa"/>
            <w:vMerge w:val="restart"/>
            <w:tcBorders>
              <w:bottom w:val="single" w:sz="6" w:space="0" w:color="000000"/>
            </w:tcBorders>
          </w:tcPr>
          <w:p>
            <w:pPr>
              <w:pStyle w:val="TableParagraph"/>
              <w:spacing w:before="10"/>
              <w:rPr>
                <w:rFonts w:ascii="楷体"/>
                <w:sz w:val="11"/>
              </w:rPr>
            </w:pPr>
          </w:p>
          <w:p>
            <w:pPr>
              <w:pStyle w:val="TableParagraph"/>
              <w:spacing w:before="1"/>
              <w:ind w:left="52" w:right="488"/>
              <w:jc w:val="center"/>
              <w:rPr>
                <w:rFonts w:ascii="Times New Roman"/>
                <w:sz w:val="15"/>
              </w:rPr>
            </w:pPr>
            <w:r>
              <w:rPr>
                <w:rFonts w:ascii="Times New Roman"/>
                <w:sz w:val="15"/>
              </w:rPr>
              <w:t>266</w:t>
            </w:r>
          </w:p>
          <w:p>
            <w:pPr>
              <w:pStyle w:val="TableParagraph"/>
              <w:spacing w:before="129"/>
              <w:ind w:left="52" w:right="511"/>
              <w:jc w:val="center"/>
              <w:rPr>
                <w:sz w:val="15"/>
              </w:rPr>
            </w:pPr>
            <w:r>
              <w:rPr>
                <w:sz w:val="15"/>
              </w:rPr>
              <w:t>（</w:t>
            </w:r>
            <w:r>
              <w:rPr>
                <w:rFonts w:ascii="Times New Roman" w:eastAsia="Times New Roman"/>
                <w:sz w:val="15"/>
              </w:rPr>
              <w:t>50.7</w:t>
            </w:r>
            <w:r>
              <w:rPr>
                <w:sz w:val="15"/>
              </w:rPr>
              <w:t>）</w:t>
            </w:r>
          </w:p>
        </w:tc>
        <w:tc>
          <w:tcPr>
            <w:tcW w:w="1035" w:type="dxa"/>
          </w:tcPr>
          <w:p>
            <w:pPr>
              <w:pStyle w:val="TableParagraph"/>
              <w:rPr>
                <w:rFonts w:ascii="Times New Roman"/>
                <w:sz w:val="20"/>
              </w:rPr>
            </w:pPr>
          </w:p>
        </w:tc>
        <w:tc>
          <w:tcPr>
            <w:tcW w:w="1274" w:type="dxa"/>
          </w:tcPr>
          <w:p>
            <w:pPr>
              <w:pStyle w:val="TableParagraph"/>
              <w:rPr>
                <w:rFonts w:ascii="Times New Roman"/>
                <w:sz w:val="20"/>
              </w:rPr>
            </w:pPr>
          </w:p>
        </w:tc>
        <w:tc>
          <w:tcPr>
            <w:tcW w:w="1471" w:type="dxa"/>
          </w:tcPr>
          <w:p>
            <w:pPr>
              <w:pStyle w:val="TableParagraph"/>
              <w:rPr>
                <w:rFonts w:ascii="Times New Roman"/>
                <w:sz w:val="20"/>
              </w:rPr>
            </w:pPr>
          </w:p>
        </w:tc>
        <w:tc>
          <w:tcPr>
            <w:tcW w:w="1002" w:type="dxa"/>
          </w:tcPr>
          <w:p>
            <w:pPr>
              <w:pStyle w:val="TableParagraph"/>
              <w:rPr>
                <w:rFonts w:ascii="Times New Roman"/>
                <w:sz w:val="20"/>
              </w:rPr>
            </w:pPr>
          </w:p>
        </w:tc>
        <w:tc>
          <w:tcPr>
            <w:tcW w:w="1468" w:type="dxa"/>
          </w:tcPr>
          <w:p>
            <w:pPr>
              <w:pStyle w:val="TableParagraph"/>
              <w:rPr>
                <w:rFonts w:ascii="Times New Roman"/>
                <w:sz w:val="20"/>
              </w:rPr>
            </w:pPr>
          </w:p>
        </w:tc>
        <w:tc>
          <w:tcPr>
            <w:tcW w:w="1108" w:type="dxa"/>
          </w:tcPr>
          <w:p>
            <w:pPr>
              <w:pStyle w:val="TableParagraph"/>
              <w:rPr>
                <w:rFonts w:ascii="Times New Roman"/>
                <w:sz w:val="20"/>
              </w:rPr>
            </w:pPr>
          </w:p>
        </w:tc>
      </w:tr>
      <w:tr>
        <w:trPr>
          <w:trHeight w:val="458" w:hRule="atLeast"/>
        </w:trPr>
        <w:tc>
          <w:tcPr>
            <w:tcW w:w="1069" w:type="dxa"/>
            <w:tcBorders>
              <w:bottom w:val="single" w:sz="6" w:space="0" w:color="000000"/>
            </w:tcBorders>
          </w:tcPr>
          <w:p>
            <w:pPr>
              <w:pStyle w:val="TableParagraph"/>
              <w:rPr>
                <w:rFonts w:ascii="Times New Roman"/>
                <w:sz w:val="20"/>
              </w:rPr>
            </w:pPr>
          </w:p>
        </w:tc>
        <w:tc>
          <w:tcPr>
            <w:tcW w:w="1166" w:type="dxa"/>
            <w:vMerge/>
            <w:tcBorders>
              <w:top w:val="nil"/>
              <w:bottom w:val="single" w:sz="6" w:space="0" w:color="000000"/>
            </w:tcBorders>
          </w:tcPr>
          <w:p>
            <w:pPr>
              <w:rPr>
                <w:sz w:val="2"/>
                <w:szCs w:val="2"/>
              </w:rPr>
            </w:pPr>
          </w:p>
        </w:tc>
        <w:tc>
          <w:tcPr>
            <w:tcW w:w="1035" w:type="dxa"/>
            <w:tcBorders>
              <w:bottom w:val="single" w:sz="6" w:space="0" w:color="000000"/>
            </w:tcBorders>
          </w:tcPr>
          <w:p>
            <w:pPr>
              <w:pStyle w:val="TableParagraph"/>
              <w:spacing w:line="154" w:lineRule="exact"/>
              <w:ind w:left="224" w:right="205"/>
              <w:jc w:val="center"/>
              <w:rPr>
                <w:rFonts w:ascii="Times New Roman"/>
                <w:sz w:val="15"/>
              </w:rPr>
            </w:pPr>
            <w:r>
              <w:rPr>
                <w:rFonts w:ascii="Times New Roman"/>
                <w:sz w:val="15"/>
              </w:rPr>
              <w:t>NA</w:t>
            </w:r>
          </w:p>
        </w:tc>
        <w:tc>
          <w:tcPr>
            <w:tcW w:w="1274" w:type="dxa"/>
            <w:tcBorders>
              <w:bottom w:val="single" w:sz="6" w:space="0" w:color="000000"/>
            </w:tcBorders>
          </w:tcPr>
          <w:p>
            <w:pPr>
              <w:pStyle w:val="TableParagraph"/>
              <w:spacing w:line="154" w:lineRule="exact"/>
              <w:ind w:left="198" w:right="193"/>
              <w:jc w:val="center"/>
              <w:rPr>
                <w:rFonts w:ascii="Times New Roman"/>
                <w:sz w:val="15"/>
              </w:rPr>
            </w:pPr>
            <w:r>
              <w:rPr>
                <w:rFonts w:ascii="Times New Roman"/>
                <w:sz w:val="15"/>
              </w:rPr>
              <w:t>NA</w:t>
            </w:r>
          </w:p>
        </w:tc>
        <w:tc>
          <w:tcPr>
            <w:tcW w:w="1471" w:type="dxa"/>
            <w:tcBorders>
              <w:bottom w:val="single" w:sz="6" w:space="0" w:color="000000"/>
            </w:tcBorders>
          </w:tcPr>
          <w:p>
            <w:pPr>
              <w:pStyle w:val="TableParagraph"/>
              <w:spacing w:line="154" w:lineRule="exact"/>
              <w:ind w:left="186" w:right="151"/>
              <w:jc w:val="center"/>
              <w:rPr>
                <w:rFonts w:ascii="Times New Roman"/>
                <w:sz w:val="15"/>
              </w:rPr>
            </w:pPr>
            <w:r>
              <w:rPr>
                <w:rFonts w:ascii="Times New Roman"/>
                <w:sz w:val="15"/>
              </w:rPr>
              <w:t>NA</w:t>
            </w:r>
          </w:p>
        </w:tc>
        <w:tc>
          <w:tcPr>
            <w:tcW w:w="1002" w:type="dxa"/>
            <w:tcBorders>
              <w:bottom w:val="single" w:sz="6" w:space="0" w:color="000000"/>
            </w:tcBorders>
          </w:tcPr>
          <w:p>
            <w:pPr>
              <w:pStyle w:val="TableParagraph"/>
              <w:spacing w:line="154" w:lineRule="exact"/>
              <w:ind w:left="142" w:right="65"/>
              <w:jc w:val="center"/>
              <w:rPr>
                <w:rFonts w:ascii="Times New Roman"/>
                <w:sz w:val="15"/>
              </w:rPr>
            </w:pPr>
            <w:r>
              <w:rPr>
                <w:rFonts w:ascii="Times New Roman"/>
                <w:sz w:val="15"/>
              </w:rPr>
              <w:t>NA</w:t>
            </w:r>
          </w:p>
        </w:tc>
        <w:tc>
          <w:tcPr>
            <w:tcW w:w="1468" w:type="dxa"/>
            <w:tcBorders>
              <w:bottom w:val="single" w:sz="6" w:space="0" w:color="000000"/>
            </w:tcBorders>
          </w:tcPr>
          <w:p>
            <w:pPr>
              <w:pStyle w:val="TableParagraph"/>
              <w:spacing w:line="154" w:lineRule="exact"/>
              <w:ind w:left="52" w:right="20"/>
              <w:jc w:val="center"/>
              <w:rPr>
                <w:rFonts w:ascii="Times New Roman"/>
                <w:sz w:val="15"/>
              </w:rPr>
            </w:pPr>
            <w:r>
              <w:rPr>
                <w:rFonts w:ascii="Times New Roman"/>
                <w:sz w:val="15"/>
              </w:rPr>
              <w:t>NA</w:t>
            </w:r>
          </w:p>
        </w:tc>
        <w:tc>
          <w:tcPr>
            <w:tcW w:w="1108" w:type="dxa"/>
            <w:tcBorders>
              <w:bottom w:val="single" w:sz="6" w:space="0" w:color="000000"/>
            </w:tcBorders>
          </w:tcPr>
          <w:p>
            <w:pPr>
              <w:pStyle w:val="TableParagraph"/>
              <w:spacing w:line="154" w:lineRule="exact"/>
              <w:ind w:left="8" w:right="7"/>
              <w:jc w:val="center"/>
              <w:rPr>
                <w:rFonts w:ascii="Times New Roman"/>
                <w:sz w:val="15"/>
              </w:rPr>
            </w:pPr>
            <w:r>
              <w:rPr>
                <w:rFonts w:ascii="Times New Roman"/>
                <w:sz w:val="15"/>
              </w:rPr>
              <w:t>NA</w:t>
            </w:r>
          </w:p>
        </w:tc>
      </w:tr>
    </w:tbl>
    <w:p>
      <w:pPr>
        <w:pStyle w:val="BodyText"/>
        <w:spacing w:before="5"/>
        <w:ind w:left="0"/>
        <w:rPr>
          <w:rFonts w:ascii="楷体"/>
          <w:sz w:val="29"/>
        </w:rPr>
      </w:pPr>
    </w:p>
    <w:p>
      <w:pPr>
        <w:pStyle w:val="BodyText"/>
        <w:tabs>
          <w:tab w:pos="1417" w:val="left" w:leader="none"/>
        </w:tabs>
        <w:spacing w:after="7"/>
        <w:ind w:left="757"/>
        <w:rPr>
          <w:rFonts w:ascii="楷体" w:eastAsia="楷体" w:hint="eastAsia"/>
        </w:rPr>
      </w:pPr>
      <w:r>
        <w:rPr>
          <w:rFonts w:ascii="楷体" w:eastAsia="楷体" w:hint="eastAsia"/>
        </w:rPr>
        <w:t>表</w:t>
      </w:r>
      <w:r>
        <w:rPr>
          <w:rFonts w:ascii="楷体" w:eastAsia="楷体" w:hint="eastAsia"/>
          <w:spacing w:val="-61"/>
        </w:rPr>
        <w:t> </w:t>
      </w:r>
      <w:r>
        <w:rPr>
          <w:rFonts w:ascii="楷体" w:eastAsia="楷体" w:hint="eastAsia"/>
        </w:rPr>
        <w:t>2</w:t>
        <w:tab/>
        <w:t>五项权威参考资料中儿童用药剂量计算方法描述</w:t>
      </w: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3"/>
        <w:gridCol w:w="7034"/>
      </w:tblGrid>
      <w:tr>
        <w:trPr>
          <w:trHeight w:val="310" w:hRule="atLeast"/>
        </w:trPr>
        <w:tc>
          <w:tcPr>
            <w:tcW w:w="2043" w:type="dxa"/>
            <w:tcBorders>
              <w:top w:val="single" w:sz="4" w:space="0" w:color="000000"/>
            </w:tcBorders>
          </w:tcPr>
          <w:p>
            <w:pPr>
              <w:pStyle w:val="TableParagraph"/>
              <w:spacing w:before="58"/>
              <w:ind w:left="1039" w:right="663"/>
              <w:jc w:val="center"/>
              <w:rPr>
                <w:sz w:val="15"/>
              </w:rPr>
            </w:pPr>
            <w:r>
              <w:rPr>
                <w:sz w:val="15"/>
              </w:rPr>
              <w:t>项目</w:t>
            </w:r>
          </w:p>
        </w:tc>
        <w:tc>
          <w:tcPr>
            <w:tcW w:w="7034" w:type="dxa"/>
            <w:tcBorders>
              <w:top w:val="single" w:sz="4" w:space="0" w:color="000000"/>
            </w:tcBorders>
          </w:tcPr>
          <w:p>
            <w:pPr>
              <w:pStyle w:val="TableParagraph"/>
              <w:spacing w:before="58"/>
              <w:ind w:left="2051"/>
              <w:rPr>
                <w:sz w:val="15"/>
              </w:rPr>
            </w:pPr>
            <w:r>
              <w:rPr>
                <w:sz w:val="15"/>
              </w:rPr>
              <w:t>举例</w:t>
            </w:r>
          </w:p>
        </w:tc>
      </w:tr>
      <w:tr>
        <w:trPr>
          <w:trHeight w:val="320" w:hRule="atLeast"/>
        </w:trPr>
        <w:tc>
          <w:tcPr>
            <w:tcW w:w="2043" w:type="dxa"/>
          </w:tcPr>
          <w:p>
            <w:pPr>
              <w:pStyle w:val="TableParagraph"/>
              <w:spacing w:before="60"/>
              <w:ind w:left="115"/>
              <w:rPr>
                <w:sz w:val="15"/>
              </w:rPr>
            </w:pPr>
            <w:r>
              <w:rPr>
                <w:sz w:val="15"/>
              </w:rPr>
              <w:t>按年龄</w:t>
            </w:r>
          </w:p>
        </w:tc>
        <w:tc>
          <w:tcPr>
            <w:tcW w:w="7034" w:type="dxa"/>
          </w:tcPr>
          <w:p>
            <w:pPr>
              <w:pStyle w:val="TableParagraph"/>
              <w:spacing w:before="60"/>
              <w:ind w:left="477"/>
              <w:rPr>
                <w:sz w:val="15"/>
              </w:rPr>
            </w:pPr>
            <w:r>
              <w:rPr>
                <w:sz w:val="15"/>
              </w:rPr>
              <w:t>孟鲁司特咀嚼片：</w:t>
            </w:r>
            <w:r>
              <w:rPr>
                <w:rFonts w:ascii="Calibri" w:eastAsia="Calibri"/>
                <w:sz w:val="15"/>
              </w:rPr>
              <w:t>2~5 </w:t>
            </w:r>
            <w:r>
              <w:rPr>
                <w:sz w:val="15"/>
              </w:rPr>
              <w:t>岁：每日 </w:t>
            </w:r>
            <w:r>
              <w:rPr>
                <w:rFonts w:ascii="Calibri" w:eastAsia="Calibri"/>
                <w:sz w:val="15"/>
              </w:rPr>
              <w:t>1 </w:t>
            </w:r>
            <w:r>
              <w:rPr>
                <w:sz w:val="15"/>
              </w:rPr>
              <w:t>次，每次 </w:t>
            </w:r>
            <w:r>
              <w:rPr>
                <w:rFonts w:ascii="Calibri" w:eastAsia="Calibri"/>
                <w:sz w:val="15"/>
              </w:rPr>
              <w:t>4mg</w:t>
            </w:r>
            <w:r>
              <w:rPr>
                <w:sz w:val="15"/>
              </w:rPr>
              <w:t>；</w:t>
            </w:r>
            <w:r>
              <w:rPr>
                <w:rFonts w:ascii="Calibri" w:eastAsia="Calibri"/>
                <w:sz w:val="15"/>
              </w:rPr>
              <w:t>6~14 </w:t>
            </w:r>
            <w:r>
              <w:rPr>
                <w:sz w:val="15"/>
              </w:rPr>
              <w:t>岁：每日 </w:t>
            </w:r>
            <w:r>
              <w:rPr>
                <w:rFonts w:ascii="Calibri" w:eastAsia="Calibri"/>
                <w:sz w:val="15"/>
              </w:rPr>
              <w:t>1 </w:t>
            </w:r>
            <w:r>
              <w:rPr>
                <w:sz w:val="15"/>
              </w:rPr>
              <w:t>次，每次 </w:t>
            </w:r>
            <w:r>
              <w:rPr>
                <w:rFonts w:ascii="Calibri" w:eastAsia="Calibri"/>
                <w:sz w:val="15"/>
              </w:rPr>
              <w:t>5mg</w:t>
            </w:r>
            <w:r>
              <w:rPr>
                <w:sz w:val="15"/>
              </w:rPr>
              <w:t>。</w:t>
            </w:r>
          </w:p>
        </w:tc>
      </w:tr>
      <w:tr>
        <w:trPr>
          <w:trHeight w:val="311" w:hRule="atLeast"/>
        </w:trPr>
        <w:tc>
          <w:tcPr>
            <w:tcW w:w="2043" w:type="dxa"/>
          </w:tcPr>
          <w:p>
            <w:pPr>
              <w:pStyle w:val="TableParagraph"/>
              <w:spacing w:before="52"/>
              <w:ind w:left="115"/>
              <w:rPr>
                <w:sz w:val="15"/>
              </w:rPr>
            </w:pPr>
            <w:r>
              <w:rPr>
                <w:sz w:val="15"/>
              </w:rPr>
              <w:t>按体质量 </w:t>
            </w:r>
            <w:r>
              <w:rPr>
                <w:rFonts w:ascii="Calibri" w:eastAsia="Calibri"/>
                <w:sz w:val="15"/>
              </w:rPr>
              <w:t>(XX mg/kg</w:t>
            </w:r>
            <w:r>
              <w:rPr>
                <w:sz w:val="15"/>
              </w:rPr>
              <w:t>）</w:t>
            </w:r>
          </w:p>
        </w:tc>
        <w:tc>
          <w:tcPr>
            <w:tcW w:w="7034" w:type="dxa"/>
          </w:tcPr>
          <w:p>
            <w:pPr>
              <w:pStyle w:val="TableParagraph"/>
              <w:spacing w:before="52"/>
              <w:ind w:left="477"/>
              <w:rPr>
                <w:sz w:val="15"/>
              </w:rPr>
            </w:pPr>
            <w:r>
              <w:rPr>
                <w:sz w:val="15"/>
              </w:rPr>
              <w:t>氨茶碱片：小儿每次按体质量 </w:t>
            </w:r>
            <w:r>
              <w:rPr>
                <w:rFonts w:ascii="Calibri" w:eastAsia="Calibri"/>
                <w:sz w:val="15"/>
              </w:rPr>
              <w:t>3~5mg/kg</w:t>
            </w:r>
            <w:r>
              <w:rPr>
                <w:sz w:val="15"/>
              </w:rPr>
              <w:t>，一日 </w:t>
            </w:r>
            <w:r>
              <w:rPr>
                <w:rFonts w:ascii="Calibri" w:eastAsia="Calibri"/>
                <w:sz w:val="15"/>
              </w:rPr>
              <w:t>3 </w:t>
            </w:r>
            <w:r>
              <w:rPr>
                <w:sz w:val="15"/>
              </w:rPr>
              <w:t>次。</w:t>
            </w:r>
          </w:p>
        </w:tc>
      </w:tr>
      <w:tr>
        <w:trPr>
          <w:trHeight w:val="305" w:hRule="atLeast"/>
        </w:trPr>
        <w:tc>
          <w:tcPr>
            <w:tcW w:w="2043" w:type="dxa"/>
            <w:tcBorders>
              <w:bottom w:val="single" w:sz="4" w:space="0" w:color="000000"/>
            </w:tcBorders>
          </w:tcPr>
          <w:p>
            <w:pPr>
              <w:pStyle w:val="TableParagraph"/>
              <w:spacing w:before="52"/>
              <w:ind w:left="115"/>
              <w:rPr>
                <w:sz w:val="15"/>
              </w:rPr>
            </w:pPr>
            <w:r>
              <w:rPr>
                <w:sz w:val="15"/>
              </w:rPr>
              <w:t>按体质量范围（</w:t>
            </w:r>
            <w:r>
              <w:rPr>
                <w:rFonts w:ascii="Calibri" w:eastAsia="Calibri"/>
                <w:sz w:val="15"/>
              </w:rPr>
              <w:t>kg</w:t>
            </w:r>
            <w:r>
              <w:rPr>
                <w:sz w:val="15"/>
              </w:rPr>
              <w:t>）</w:t>
            </w:r>
          </w:p>
        </w:tc>
        <w:tc>
          <w:tcPr>
            <w:tcW w:w="7034" w:type="dxa"/>
            <w:tcBorders>
              <w:bottom w:val="single" w:sz="4" w:space="0" w:color="000000"/>
            </w:tcBorders>
          </w:tcPr>
          <w:p>
            <w:pPr>
              <w:pStyle w:val="TableParagraph"/>
              <w:spacing w:before="52"/>
              <w:ind w:left="477"/>
              <w:rPr>
                <w:rFonts w:ascii="Calibri" w:eastAsia="Calibri"/>
                <w:sz w:val="15"/>
              </w:rPr>
            </w:pPr>
            <w:r>
              <w:rPr>
                <w:spacing w:val="-15"/>
                <w:sz w:val="15"/>
              </w:rPr>
              <w:t>阿托品注射液：麻醉前用药：体质量 </w:t>
            </w:r>
            <w:r>
              <w:rPr>
                <w:rFonts w:ascii="Calibri" w:eastAsia="Calibri"/>
                <w:sz w:val="15"/>
              </w:rPr>
              <w:t>3kg </w:t>
            </w:r>
            <w:r>
              <w:rPr>
                <w:spacing w:val="-9"/>
                <w:sz w:val="15"/>
              </w:rPr>
              <w:t>以下者为 </w:t>
            </w:r>
            <w:r>
              <w:rPr>
                <w:rFonts w:ascii="Calibri" w:eastAsia="Calibri"/>
                <w:spacing w:val="-7"/>
                <w:sz w:val="15"/>
              </w:rPr>
              <w:t>0.1mg</w:t>
            </w:r>
            <w:r>
              <w:rPr>
                <w:spacing w:val="-7"/>
                <w:sz w:val="15"/>
              </w:rPr>
              <w:t>，</w:t>
            </w:r>
            <w:r>
              <w:rPr>
                <w:rFonts w:ascii="Calibri" w:eastAsia="Calibri"/>
                <w:spacing w:val="-7"/>
                <w:sz w:val="15"/>
              </w:rPr>
              <w:t>7~9kg </w:t>
            </w:r>
            <w:r>
              <w:rPr>
                <w:spacing w:val="-16"/>
                <w:sz w:val="15"/>
              </w:rPr>
              <w:t>为 </w:t>
            </w:r>
            <w:r>
              <w:rPr>
                <w:rFonts w:ascii="Calibri" w:eastAsia="Calibri"/>
                <w:spacing w:val="-7"/>
                <w:sz w:val="15"/>
              </w:rPr>
              <w:t>0.2mg</w:t>
            </w:r>
            <w:r>
              <w:rPr>
                <w:spacing w:val="-7"/>
                <w:sz w:val="15"/>
              </w:rPr>
              <w:t>，</w:t>
            </w:r>
            <w:r>
              <w:rPr>
                <w:rFonts w:ascii="Calibri" w:eastAsia="Calibri"/>
                <w:spacing w:val="-7"/>
                <w:sz w:val="15"/>
              </w:rPr>
              <w:t>12~16kg </w:t>
            </w:r>
            <w:r>
              <w:rPr>
                <w:spacing w:val="-16"/>
                <w:sz w:val="15"/>
              </w:rPr>
              <w:t>为 </w:t>
            </w:r>
            <w:r>
              <w:rPr>
                <w:rFonts w:ascii="Calibri" w:eastAsia="Calibri"/>
                <w:spacing w:val="-6"/>
                <w:sz w:val="15"/>
              </w:rPr>
              <w:t>0.3mg</w:t>
            </w:r>
            <w:r>
              <w:rPr>
                <w:spacing w:val="-6"/>
                <w:sz w:val="15"/>
              </w:rPr>
              <w:t>，</w:t>
            </w:r>
            <w:r>
              <w:rPr>
                <w:rFonts w:ascii="Calibri" w:eastAsia="Calibri"/>
                <w:spacing w:val="-6"/>
                <w:sz w:val="15"/>
              </w:rPr>
              <w:t>20~27kg</w:t>
            </w:r>
          </w:p>
        </w:tc>
      </w:tr>
    </w:tbl>
    <w:p>
      <w:pPr>
        <w:spacing w:after="0"/>
        <w:rPr>
          <w:rFonts w:ascii="Calibri" w:eastAsia="Calibri"/>
          <w:sz w:val="15"/>
        </w:rPr>
        <w:sectPr>
          <w:pgSz w:w="11910" w:h="16850"/>
          <w:pgMar w:header="906" w:footer="607" w:top="1100" w:bottom="800" w:left="1000" w:right="740"/>
        </w:sect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8"/>
        <w:gridCol w:w="7498"/>
      </w:tblGrid>
      <w:tr>
        <w:trPr>
          <w:trHeight w:val="311" w:hRule="atLeast"/>
        </w:trPr>
        <w:tc>
          <w:tcPr>
            <w:tcW w:w="2148" w:type="dxa"/>
            <w:tcBorders>
              <w:top w:val="single" w:sz="12" w:space="0" w:color="000000"/>
            </w:tcBorders>
          </w:tcPr>
          <w:p>
            <w:pPr>
              <w:pStyle w:val="TableParagraph"/>
              <w:rPr>
                <w:rFonts w:ascii="Times New Roman"/>
                <w:sz w:val="18"/>
              </w:rPr>
            </w:pPr>
          </w:p>
        </w:tc>
        <w:tc>
          <w:tcPr>
            <w:tcW w:w="7498" w:type="dxa"/>
            <w:tcBorders>
              <w:top w:val="single" w:sz="12" w:space="0" w:color="000000"/>
            </w:tcBorders>
          </w:tcPr>
          <w:p>
            <w:pPr>
              <w:pStyle w:val="TableParagraph"/>
              <w:spacing w:before="47"/>
              <w:ind w:left="376"/>
              <w:rPr>
                <w:sz w:val="15"/>
              </w:rPr>
            </w:pPr>
            <w:r>
              <w:rPr>
                <w:sz w:val="15"/>
              </w:rPr>
              <w:t>为 </w:t>
            </w:r>
            <w:r>
              <w:rPr>
                <w:rFonts w:ascii="Calibri" w:eastAsia="Calibri"/>
                <w:sz w:val="15"/>
              </w:rPr>
              <w:t>0.4mg</w:t>
            </w:r>
            <w:r>
              <w:rPr>
                <w:sz w:val="15"/>
              </w:rPr>
              <w:t>，</w:t>
            </w:r>
            <w:r>
              <w:rPr>
                <w:rFonts w:ascii="Calibri" w:eastAsia="Calibri"/>
                <w:sz w:val="15"/>
              </w:rPr>
              <w:t>32kg </w:t>
            </w:r>
            <w:r>
              <w:rPr>
                <w:sz w:val="15"/>
              </w:rPr>
              <w:t>以上为 </w:t>
            </w:r>
            <w:r>
              <w:rPr>
                <w:rFonts w:ascii="Calibri" w:eastAsia="Calibri"/>
                <w:sz w:val="15"/>
              </w:rPr>
              <w:t>0.5mg</w:t>
            </w:r>
            <w:r>
              <w:rPr>
                <w:sz w:val="15"/>
              </w:rPr>
              <w:t>。</w:t>
            </w:r>
          </w:p>
        </w:tc>
      </w:tr>
      <w:tr>
        <w:trPr>
          <w:trHeight w:val="310" w:hRule="atLeast"/>
        </w:trPr>
        <w:tc>
          <w:tcPr>
            <w:tcW w:w="2148" w:type="dxa"/>
          </w:tcPr>
          <w:p>
            <w:pPr>
              <w:pStyle w:val="TableParagraph"/>
              <w:spacing w:before="47"/>
              <w:ind w:left="118"/>
              <w:rPr>
                <w:sz w:val="15"/>
              </w:rPr>
            </w:pPr>
            <w:r>
              <w:rPr>
                <w:sz w:val="15"/>
              </w:rPr>
              <w:t>按体表面积</w:t>
            </w:r>
          </w:p>
        </w:tc>
        <w:tc>
          <w:tcPr>
            <w:tcW w:w="7498" w:type="dxa"/>
          </w:tcPr>
          <w:p>
            <w:pPr>
              <w:pStyle w:val="TableParagraph"/>
              <w:spacing w:before="45"/>
              <w:ind w:left="376"/>
              <w:rPr>
                <w:sz w:val="15"/>
              </w:rPr>
            </w:pPr>
            <w:r>
              <w:rPr>
                <w:sz w:val="15"/>
              </w:rPr>
              <w:t>氢化可的松片：小儿的治疗剂量为按体表面积每日 </w:t>
            </w:r>
            <w:r>
              <w:rPr>
                <w:rFonts w:ascii="Calibri" w:eastAsia="Calibri"/>
                <w:sz w:val="15"/>
              </w:rPr>
              <w:t>20~25/m</w:t>
            </w:r>
            <w:r>
              <w:rPr>
                <w:rFonts w:ascii="Calibri" w:eastAsia="Calibri"/>
                <w:sz w:val="15"/>
                <w:vertAlign w:val="superscript"/>
              </w:rPr>
              <w:t>2</w:t>
            </w:r>
            <w:r>
              <w:rPr>
                <w:sz w:val="15"/>
                <w:vertAlign w:val="baseline"/>
              </w:rPr>
              <w:t>，分 </w:t>
            </w:r>
            <w:r>
              <w:rPr>
                <w:rFonts w:ascii="Calibri" w:eastAsia="Calibri"/>
                <w:sz w:val="15"/>
                <w:vertAlign w:val="baseline"/>
              </w:rPr>
              <w:t>3 </w:t>
            </w:r>
            <w:r>
              <w:rPr>
                <w:sz w:val="15"/>
                <w:vertAlign w:val="baseline"/>
              </w:rPr>
              <w:t>次。</w:t>
            </w:r>
          </w:p>
        </w:tc>
      </w:tr>
      <w:tr>
        <w:trPr>
          <w:trHeight w:val="316" w:hRule="atLeast"/>
        </w:trPr>
        <w:tc>
          <w:tcPr>
            <w:tcW w:w="2148" w:type="dxa"/>
          </w:tcPr>
          <w:p>
            <w:pPr>
              <w:pStyle w:val="TableParagraph"/>
              <w:spacing w:before="48"/>
              <w:ind w:left="118"/>
              <w:rPr>
                <w:sz w:val="15"/>
              </w:rPr>
            </w:pPr>
            <w:r>
              <w:rPr>
                <w:sz w:val="15"/>
              </w:rPr>
              <w:t>同时按体质量或体表面积</w:t>
            </w:r>
          </w:p>
        </w:tc>
        <w:tc>
          <w:tcPr>
            <w:tcW w:w="7498" w:type="dxa"/>
          </w:tcPr>
          <w:p>
            <w:pPr>
              <w:pStyle w:val="TableParagraph"/>
              <w:spacing w:before="46"/>
              <w:ind w:left="376"/>
              <w:rPr>
                <w:sz w:val="15"/>
              </w:rPr>
            </w:pPr>
            <w:r>
              <w:rPr>
                <w:sz w:val="15"/>
              </w:rPr>
              <w:t>长春新碱注射液：儿童 </w:t>
            </w:r>
            <w:r>
              <w:rPr>
                <w:rFonts w:ascii="Calibri" w:hAnsi="Calibri" w:eastAsia="Calibri"/>
                <w:sz w:val="15"/>
              </w:rPr>
              <w:t>75μg/kg/</w:t>
            </w:r>
            <w:r>
              <w:rPr>
                <w:sz w:val="15"/>
              </w:rPr>
              <w:t>次或 </w:t>
            </w:r>
            <w:r>
              <w:rPr>
                <w:rFonts w:ascii="Calibri" w:hAnsi="Calibri" w:eastAsia="Calibri"/>
                <w:sz w:val="15"/>
              </w:rPr>
              <w:t>2.0mg/m</w:t>
            </w:r>
            <w:r>
              <w:rPr>
                <w:rFonts w:ascii="Calibri" w:hAnsi="Calibri" w:eastAsia="Calibri"/>
                <w:sz w:val="15"/>
                <w:vertAlign w:val="superscript"/>
              </w:rPr>
              <w:t>2</w:t>
            </w:r>
            <w:r>
              <w:rPr>
                <w:rFonts w:ascii="Calibri" w:hAnsi="Calibri" w:eastAsia="Calibri"/>
                <w:sz w:val="15"/>
                <w:vertAlign w:val="baseline"/>
              </w:rPr>
              <w:t>/</w:t>
            </w:r>
            <w:r>
              <w:rPr>
                <w:sz w:val="15"/>
                <w:vertAlign w:val="baseline"/>
              </w:rPr>
              <w:t>次。</w:t>
            </w:r>
          </w:p>
        </w:tc>
      </w:tr>
      <w:tr>
        <w:trPr>
          <w:trHeight w:val="306" w:hRule="atLeast"/>
        </w:trPr>
        <w:tc>
          <w:tcPr>
            <w:tcW w:w="2148" w:type="dxa"/>
            <w:tcBorders>
              <w:bottom w:val="single" w:sz="4" w:space="0" w:color="000000"/>
            </w:tcBorders>
          </w:tcPr>
          <w:p>
            <w:pPr>
              <w:pStyle w:val="TableParagraph"/>
              <w:spacing w:before="44"/>
              <w:ind w:left="118"/>
              <w:rPr>
                <w:sz w:val="15"/>
              </w:rPr>
            </w:pPr>
            <w:r>
              <w:rPr>
                <w:sz w:val="15"/>
              </w:rPr>
              <w:t>提供具体剂量范围</w:t>
            </w:r>
          </w:p>
        </w:tc>
        <w:tc>
          <w:tcPr>
            <w:tcW w:w="7498" w:type="dxa"/>
            <w:tcBorders>
              <w:bottom w:val="single" w:sz="4" w:space="0" w:color="000000"/>
            </w:tcBorders>
          </w:tcPr>
          <w:p>
            <w:pPr>
              <w:pStyle w:val="TableParagraph"/>
              <w:spacing w:before="44"/>
              <w:ind w:left="376"/>
              <w:rPr>
                <w:sz w:val="15"/>
              </w:rPr>
            </w:pPr>
            <w:r>
              <w:rPr>
                <w:sz w:val="15"/>
              </w:rPr>
              <w:t>葡萄糖酸钙锌口服液：婴幼儿一日 </w:t>
            </w:r>
            <w:r>
              <w:rPr>
                <w:rFonts w:ascii="Calibri" w:eastAsia="Calibri"/>
                <w:sz w:val="15"/>
              </w:rPr>
              <w:t>5-10 </w:t>
            </w:r>
            <w:r>
              <w:rPr>
                <w:sz w:val="15"/>
              </w:rPr>
              <w:t>毫升，分 </w:t>
            </w:r>
            <w:r>
              <w:rPr>
                <w:rFonts w:ascii="Calibri" w:eastAsia="Calibri"/>
                <w:sz w:val="15"/>
              </w:rPr>
              <w:t>2-3 </w:t>
            </w:r>
            <w:r>
              <w:rPr>
                <w:sz w:val="15"/>
              </w:rPr>
              <w:t>次。</w:t>
            </w:r>
          </w:p>
        </w:tc>
      </w:tr>
    </w:tbl>
    <w:p>
      <w:pPr>
        <w:pStyle w:val="ListParagraph"/>
        <w:numPr>
          <w:ilvl w:val="1"/>
          <w:numId w:val="5"/>
        </w:numPr>
        <w:tabs>
          <w:tab w:pos="1240" w:val="left" w:leader="none"/>
        </w:tabs>
        <w:spacing w:line="312" w:lineRule="auto" w:before="70" w:after="0"/>
        <w:ind w:left="277" w:right="388" w:firstLine="482"/>
        <w:jc w:val="both"/>
        <w:rPr>
          <w:sz w:val="24"/>
        </w:rPr>
      </w:pPr>
      <w:r>
        <w:rPr>
          <w:spacing w:val="-3"/>
          <w:sz w:val="24"/>
        </w:rPr>
        <w:t>说明书和其他四项参考资料的对比分析该清单的 </w:t>
      </w:r>
      <w:r>
        <w:rPr>
          <w:sz w:val="24"/>
        </w:rPr>
        <w:t>525</w:t>
      </w:r>
      <w:r>
        <w:rPr>
          <w:spacing w:val="-15"/>
          <w:sz w:val="24"/>
        </w:rPr>
        <w:t> 个品种中，说明书中无适宜年</w:t>
      </w:r>
      <w:r>
        <w:rPr>
          <w:spacing w:val="-11"/>
          <w:sz w:val="24"/>
        </w:rPr>
        <w:t>龄段的共计 </w:t>
      </w:r>
      <w:r>
        <w:rPr>
          <w:sz w:val="24"/>
        </w:rPr>
        <w:t>311</w:t>
      </w:r>
      <w:r>
        <w:rPr>
          <w:spacing w:val="-27"/>
          <w:sz w:val="24"/>
        </w:rPr>
        <w:t> 个，分别统计该 </w:t>
      </w:r>
      <w:r>
        <w:rPr>
          <w:sz w:val="24"/>
        </w:rPr>
        <w:t>311</w:t>
      </w:r>
      <w:r>
        <w:rPr>
          <w:spacing w:val="-9"/>
          <w:sz w:val="24"/>
        </w:rPr>
        <w:t> 个品种在其他四项参考资料中可以查到适宜年龄段的品</w:t>
      </w:r>
      <w:r>
        <w:rPr>
          <w:spacing w:val="-8"/>
          <w:sz w:val="24"/>
        </w:rPr>
        <w:t>种数。具体见图 </w:t>
      </w:r>
      <w:r>
        <w:rPr>
          <w:sz w:val="24"/>
        </w:rPr>
        <w:t>1。</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1"/>
        </w:rPr>
      </w:pPr>
    </w:p>
    <w:p>
      <w:pPr>
        <w:tabs>
          <w:tab w:pos="2981" w:val="left" w:leader="none"/>
        </w:tabs>
        <w:spacing w:before="95"/>
        <w:ind w:left="2096" w:right="0" w:firstLine="0"/>
        <w:jc w:val="left"/>
        <w:rPr>
          <w:rFonts w:ascii="Times New Roman"/>
          <w:sz w:val="15"/>
        </w:rPr>
      </w:pPr>
      <w:r>
        <w:rPr/>
        <w:pict>
          <v:group style="position:absolute;margin-left:66.074997pt;margin-top:-64.483055pt;width:89.1pt;height:93.6pt;mso-position-horizontal-relative:page;mso-position-vertical-relative:paragraph;z-index:251667456" coordorigin="1321,-1290" coordsize="1782,1872">
            <v:shape style="position:absolute;left:1329;top:-1283;width:1767;height:1857" coordorigin="1329,-1282" coordsize="1767,1857" path="m1464,-1282l1431,-1276,1405,-1258,1387,-1231,1380,-1198,1380,-722,1387,-690,1405,-663,1431,-645,1464,-638,3005,-638,3038,-645,3064,-663,3082,-690,3089,-722,3089,-1198,3082,-1231,3064,-1258,3038,-1276,3005,-1282,1464,-1282xm1438,-78l1395,-70,1361,-46,1338,-12,1329,31,1329,466,1338,508,1361,543,1395,566,1438,575,2987,575,3030,566,3064,543,3087,508,3096,466,3096,31,3087,-12,3064,-46,3030,-70,2987,-78,1438,-78xe" filled="false" stroked="true" strokeweight=".75pt" strokecolor="#000000">
              <v:path arrowok="t"/>
              <v:stroke dashstyle="solid"/>
            </v:shape>
            <v:shape style="position:absolute;left:2098;top:-617;width:163;height:518" coordorigin="2099,-616" coordsize="163,518" path="m2186,-108l2174,-108,2180,-98,2186,-108xm2174,-108l2174,-108,2174,-108,2174,-108xm2170,-155l2170,-116,2174,-108,2174,-108,2186,-108,2186,-108,2190,-116,2190,-123,2171,-123,2180,-138,2170,-155xm2186,-108l2186,-108,2186,-108,2186,-108xm2190,-116l2186,-108,2190,-113,2190,-116xm2170,-116l2170,-113,2174,-108,2170,-116xm2110,-250l2100,-244,2099,-238,2170,-116,2170,-155,2116,-248,2110,-250xm2250,-250l2244,-248,2190,-155,2190,-116,2261,-238,2260,-244,2250,-250xm2180,-138l2171,-123,2189,-123,2180,-138xm2190,-155l2180,-138,2189,-123,2190,-123,2190,-155xm2186,-616l2174,-616,2170,-612,2170,-155,2180,-138,2190,-155,2190,-612,2186,-616xe" filled="true" fillcolor="#000000" stroked="false">
              <v:path arrowok="t"/>
              <v:fill type="solid"/>
            </v:shape>
            <v:shape style="position:absolute;left:1858;top:-1106;width:774;height:152" type="#_x0000_t202" filled="false" stroked="false">
              <v:textbox inset="0,0,0,0">
                <w:txbxContent>
                  <w:p>
                    <w:pPr>
                      <w:spacing w:line="151" w:lineRule="exact" w:before="0"/>
                      <w:ind w:left="0" w:right="0" w:firstLine="0"/>
                      <w:jc w:val="left"/>
                      <w:rPr>
                        <w:sz w:val="15"/>
                      </w:rPr>
                    </w:pPr>
                    <w:r>
                      <w:rPr>
                        <w:sz w:val="15"/>
                      </w:rPr>
                      <w:t>药品说明书</w:t>
                    </w:r>
                  </w:p>
                </w:txbxContent>
              </v:textbox>
              <w10:wrap type="none"/>
            </v:shape>
            <v:shape style="position:absolute;left:1855;top:105;width:736;height:152" type="#_x0000_t202" filled="false" stroked="false">
              <v:textbox inset="0,0,0,0">
                <w:txbxContent>
                  <w:p>
                    <w:pPr>
                      <w:spacing w:line="151" w:lineRule="exact" w:before="0"/>
                      <w:ind w:left="0" w:right="0" w:firstLine="0"/>
                      <w:jc w:val="left"/>
                      <w:rPr>
                        <w:sz w:val="15"/>
                      </w:rPr>
                    </w:pPr>
                    <w:r>
                      <w:rPr>
                        <w:sz w:val="15"/>
                      </w:rPr>
                      <w:t>311</w:t>
                    </w:r>
                    <w:r>
                      <w:rPr>
                        <w:spacing w:val="-11"/>
                        <w:sz w:val="15"/>
                      </w:rPr>
                      <w:t> 个品种</w:t>
                    </w:r>
                  </w:p>
                </w:txbxContent>
              </v:textbox>
              <w10:wrap type="none"/>
            </v:shape>
            <w10:wrap type="none"/>
          </v:group>
        </w:pict>
      </w:r>
      <w:r>
        <w:rPr/>
        <w:pict>
          <v:group style="position:absolute;margin-left:247.125pt;margin-top:-62.883053pt;width:135pt;height:140.35pt;mso-position-horizontal-relative:page;mso-position-vertical-relative:paragraph;z-index:251672576" coordorigin="4943,-1258" coordsize="2700,2807">
            <v:shape style="position:absolute;left:4950;top:-1251;width:2685;height:2792" coordorigin="4950,-1250" coordsize="2685,2792" path="m5049,-1250l5016,-1244,4990,-1226,4972,-1199,4965,-1166,4965,-690,4972,-658,4990,-631,5016,-613,5049,-606,7520,-606,7553,-613,7579,-631,7597,-658,7604,-690,7604,-1166,7597,-1199,7579,-1226,7553,-1244,7520,-1250,5049,-1250xm5034,-569l5001,-563,4975,-545,4957,-518,4950,-485,4950,-9,4957,23,4975,50,5001,68,5034,75,7504,75,7537,68,7563,50,7581,23,7588,-9,7588,-485,7581,-518,7563,-545,7537,-563,7504,-569,5034,-569xm5082,82l5042,90,5010,112,4988,144,4980,184,4980,760,4988,800,5010,832,5042,854,5082,862,7518,862,7558,854,7590,832,7612,800,7620,760,7620,184,7612,144,7590,112,7558,90,7518,82,5082,82xm5079,897l5047,903,5020,922,5002,948,4995,981,4995,1457,5002,1490,5020,1517,5047,1535,5079,1542,7551,1542,7583,1535,7610,1517,7628,1490,7635,1457,7635,981,7628,948,7610,922,7583,903,7551,897,5079,897xe" filled="false" stroked="true" strokeweight=".75pt" strokecolor="#000000">
              <v:path arrowok="t"/>
              <v:stroke dashstyle="solid"/>
            </v:shape>
            <v:shape style="position:absolute;left:5122;top:-395;width:1245;height:168" type="#_x0000_t202" filled="false" stroked="false">
              <v:textbox inset="0,0,0,0">
                <w:txbxContent>
                  <w:p>
                    <w:pPr>
                      <w:spacing w:line="167" w:lineRule="exact" w:before="0"/>
                      <w:ind w:left="0" w:right="0" w:firstLine="0"/>
                      <w:jc w:val="left"/>
                      <w:rPr>
                        <w:sz w:val="15"/>
                      </w:rPr>
                    </w:pPr>
                    <w:r>
                      <w:rPr>
                        <w:rFonts w:ascii="Times New Roman" w:eastAsia="Times New Roman"/>
                        <w:sz w:val="15"/>
                      </w:rPr>
                      <w:t>BNFc</w:t>
                    </w:r>
                    <w:r>
                      <w:rPr>
                        <w:sz w:val="15"/>
                      </w:rPr>
                      <w:t>：</w:t>
                    </w:r>
                    <w:r>
                      <w:rPr>
                        <w:rFonts w:ascii="Times New Roman" w:eastAsia="Times New Roman"/>
                        <w:sz w:val="15"/>
                      </w:rPr>
                      <w:t>183 </w:t>
                    </w:r>
                    <w:r>
                      <w:rPr>
                        <w:sz w:val="15"/>
                      </w:rPr>
                      <w:t>个品种</w:t>
                    </w:r>
                  </w:p>
                </w:txbxContent>
              </v:textbox>
              <w10:wrap type="none"/>
            </v:shape>
            <v:shape style="position:absolute;left:5156;top:261;width:1619;height:480" type="#_x0000_t202" filled="false" stroked="false">
              <v:textbox inset="0,0,0,0">
                <w:txbxContent>
                  <w:p>
                    <w:pPr>
                      <w:spacing w:line="177" w:lineRule="exact" w:before="0"/>
                      <w:ind w:left="0" w:right="0" w:firstLine="0"/>
                      <w:jc w:val="left"/>
                      <w:rPr>
                        <w:sz w:val="15"/>
                      </w:rPr>
                    </w:pPr>
                    <w:r>
                      <w:rPr>
                        <w:rFonts w:ascii="Times New Roman" w:eastAsia="Times New Roman"/>
                        <w:sz w:val="15"/>
                      </w:rPr>
                      <w:t>WHO </w:t>
                    </w:r>
                    <w:r>
                      <w:rPr>
                        <w:sz w:val="15"/>
                      </w:rPr>
                      <w:t>儿童标准处方集：</w:t>
                    </w:r>
                  </w:p>
                  <w:p>
                    <w:pPr>
                      <w:spacing w:line="183" w:lineRule="exact" w:before="120"/>
                      <w:ind w:left="300" w:right="0" w:firstLine="0"/>
                      <w:jc w:val="left"/>
                      <w:rPr>
                        <w:sz w:val="15"/>
                      </w:rPr>
                    </w:pPr>
                    <w:r>
                      <w:rPr>
                        <w:rFonts w:ascii="Times New Roman" w:eastAsia="Times New Roman"/>
                        <w:sz w:val="15"/>
                      </w:rPr>
                      <w:t>116 </w:t>
                    </w:r>
                    <w:r>
                      <w:rPr>
                        <w:sz w:val="15"/>
                      </w:rPr>
                      <w:t>个品种</w:t>
                    </w:r>
                  </w:p>
                </w:txbxContent>
              </v:textbox>
              <w10:wrap type="none"/>
            </v:shape>
            <v:shape style="position:absolute;left:4968;top:-1235;width:2616;height:631" type="#_x0000_t202" filled="false" stroked="false">
              <v:textbox inset="0,0,0,0">
                <w:txbxContent>
                  <w:p>
                    <w:pPr>
                      <w:spacing w:before="142"/>
                      <w:ind w:left="168" w:right="0" w:firstLine="0"/>
                      <w:jc w:val="left"/>
                      <w:rPr>
                        <w:sz w:val="15"/>
                      </w:rPr>
                    </w:pPr>
                    <w:r>
                      <w:rPr>
                        <w:rFonts w:ascii="Times New Roman" w:eastAsia="Times New Roman"/>
                        <w:sz w:val="15"/>
                      </w:rPr>
                      <w:t>CNFc</w:t>
                    </w:r>
                    <w:r>
                      <w:rPr>
                        <w:sz w:val="15"/>
                      </w:rPr>
                      <w:t>：</w:t>
                    </w:r>
                    <w:r>
                      <w:rPr>
                        <w:rFonts w:ascii="Times New Roman" w:eastAsia="Times New Roman"/>
                        <w:sz w:val="15"/>
                      </w:rPr>
                      <w:t>107 </w:t>
                    </w:r>
                    <w:r>
                      <w:rPr>
                        <w:sz w:val="15"/>
                      </w:rPr>
                      <w:t>个品种</w:t>
                    </w:r>
                  </w:p>
                </w:txbxContent>
              </v:textbox>
              <w10:wrap type="none"/>
            </v:shape>
            <v:shape style="position:absolute;left:5014;top:912;width:2601;height:613" type="#_x0000_t202" filled="false" stroked="false">
              <v:textbox inset="0,0,0,0">
                <w:txbxContent>
                  <w:p>
                    <w:pPr>
                      <w:spacing w:before="141"/>
                      <w:ind w:left="153" w:right="0" w:firstLine="0"/>
                      <w:jc w:val="left"/>
                      <w:rPr>
                        <w:sz w:val="15"/>
                      </w:rPr>
                    </w:pPr>
                    <w:r>
                      <w:rPr>
                        <w:rFonts w:ascii="Times New Roman" w:eastAsia="Times New Roman"/>
                        <w:sz w:val="15"/>
                      </w:rPr>
                      <w:t>WHO EMLc</w:t>
                    </w:r>
                    <w:r>
                      <w:rPr>
                        <w:sz w:val="15"/>
                      </w:rPr>
                      <w:t>：</w:t>
                    </w:r>
                    <w:r>
                      <w:rPr>
                        <w:rFonts w:ascii="Times New Roman" w:eastAsia="Times New Roman"/>
                        <w:sz w:val="15"/>
                      </w:rPr>
                      <w:t>153 </w:t>
                    </w:r>
                    <w:r>
                      <w:rPr>
                        <w:sz w:val="15"/>
                      </w:rPr>
                      <w:t>个品种</w:t>
                    </w:r>
                  </w:p>
                </w:txbxContent>
              </v:textbox>
              <w10:wrap type="none"/>
            </v:shape>
            <w10:wrap type="none"/>
          </v:group>
        </w:pict>
      </w:r>
      <w:r>
        <w:rPr/>
        <w:pict>
          <v:group style="position:absolute;margin-left:199pt;margin-top:-55.508053pt;width:38.15pt;height:122.05pt;mso-position-horizontal-relative:page;mso-position-vertical-relative:paragraph;z-index:251673600" coordorigin="3980,-1110" coordsize="763,2441">
            <v:line style="position:absolute" from="3990,-1030" to="3994,1255" stroked="true" strokeweight=".75pt" strokecolor="#000000">
              <v:stroke dashstyle="solid"/>
            </v:line>
            <v:shape style="position:absolute;left:3980;top:-1111;width:763;height:2441" coordorigin="3980,-1110" coordsize="763,2441" path="m4724,-1030l4713,-1036,4709,-1040,4707,-1040,4588,-1107,4584,-1110,4577,-1108,4575,-1104,4572,-1099,4574,-1093,4578,-1090,4667,-1039,3990,-1033,3984,-1033,3980,-1029,3980,-1018,3985,-1013,3990,-1013,4667,-1019,4580,-967,4575,-964,4573,-958,4579,-949,4585,-947,4590,-950,4707,-1020,4710,-1020,4713,-1024,4724,-1030m4739,1248l4728,1242,4724,1238,4722,1238,4603,1171,4599,1168,4592,1170,4590,1174,4587,1179,4589,1185,4593,1188,4682,1239,3990,1245,3984,1245,3980,1249,3980,1260,3985,1265,3990,1265,4682,1259,4595,1311,4590,1313,4588,1320,4594,1329,4600,1331,4605,1328,4722,1258,4725,1258,4728,1254,4739,1248m4739,-123l4728,-129,4724,-133,4722,-133,4603,-200,4599,-203,4592,-201,4590,-197,4587,-192,4589,-186,4593,-183,4682,-132,3990,-126,3984,-126,3980,-122,3980,-111,3985,-106,3990,-106,4682,-112,4595,-60,4590,-58,4588,-51,4594,-42,4600,-40,4605,-43,4722,-113,4725,-113,4728,-117,4739,-123m4743,670l4732,664,4728,660,4726,660,4607,593,4603,590,4596,592,4594,596,4591,601,4593,607,4597,610,4686,661,3994,667,3988,667,3984,671,3984,682,3989,687,3994,687,4686,681,4599,733,4594,735,4592,742,4598,751,4604,753,4609,750,4726,680,4729,680,4732,676,4743,670e" filled="true" fillcolor="#000000" stroked="false">
              <v:path arrowok="t"/>
              <v:fill type="solid"/>
            </v:shape>
            <w10:wrap type="none"/>
          </v:group>
        </w:pict>
      </w:r>
      <w:r>
        <w:rPr>
          <w:rFonts w:ascii="Times New Roman"/>
          <w:w w:val="100"/>
          <w:sz w:val="15"/>
          <w:u w:val="single"/>
        </w:rPr>
        <w:t> </w:t>
      </w:r>
      <w:r>
        <w:rPr>
          <w:rFonts w:ascii="Times New Roman"/>
          <w:sz w:val="15"/>
          <w:u w:val="single"/>
        </w:rPr>
        <w:tab/>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tabs>
          <w:tab w:pos="1537" w:val="left" w:leader="none"/>
        </w:tabs>
        <w:spacing w:before="209"/>
        <w:ind w:left="757"/>
        <w:rPr>
          <w:rFonts w:ascii="楷体" w:eastAsia="楷体" w:hint="eastAsia"/>
        </w:rPr>
      </w:pPr>
      <w:r>
        <w:rPr>
          <w:rFonts w:ascii="楷体" w:eastAsia="楷体" w:hint="eastAsia"/>
        </w:rPr>
        <w:t>图</w:t>
      </w:r>
      <w:r>
        <w:rPr>
          <w:rFonts w:ascii="楷体" w:eastAsia="楷体" w:hint="eastAsia"/>
          <w:spacing w:val="-61"/>
        </w:rPr>
        <w:t> </w:t>
      </w:r>
      <w:r>
        <w:rPr>
          <w:rFonts w:ascii="楷体" w:eastAsia="楷体" w:hint="eastAsia"/>
        </w:rPr>
        <w:t>1</w:t>
        <w:tab/>
        <w:t>311</w:t>
      </w:r>
      <w:r>
        <w:rPr>
          <w:rFonts w:ascii="楷体" w:eastAsia="楷体" w:hint="eastAsia"/>
          <w:spacing w:val="-60"/>
        </w:rPr>
        <w:t> </w:t>
      </w:r>
      <w:r>
        <w:rPr>
          <w:rFonts w:ascii="楷体" w:eastAsia="楷体" w:hint="eastAsia"/>
        </w:rPr>
        <w:t>个品种在其他四项参考资料中有适宜年龄段的品种数</w:t>
      </w:r>
    </w:p>
    <w:p>
      <w:pPr>
        <w:pStyle w:val="BodyText"/>
        <w:spacing w:line="297" w:lineRule="auto" w:before="72" w:after="47"/>
        <w:ind w:right="387" w:firstLine="480"/>
      </w:pPr>
      <w:r>
        <w:rPr>
          <w:spacing w:val="-10"/>
        </w:rPr>
        <w:t>以说明书为基准，分别和其他四项参考资料两两比较。将每对参考资料均有用药剂量计</w:t>
      </w:r>
      <w:r>
        <w:rPr/>
        <w:t>算方法的活性成分和品种的数量统计如下，并统计适宜年龄段一致的品种数量。具体见表 3。</w:t>
      </w: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1431"/>
        <w:gridCol w:w="1293"/>
        <w:gridCol w:w="3711"/>
      </w:tblGrid>
      <w:tr>
        <w:trPr>
          <w:trHeight w:val="314" w:hRule="atLeast"/>
        </w:trPr>
        <w:tc>
          <w:tcPr>
            <w:tcW w:w="3294" w:type="dxa"/>
            <w:tcBorders>
              <w:top w:val="single" w:sz="4" w:space="0" w:color="000000"/>
              <w:bottom w:val="single" w:sz="4" w:space="0" w:color="000000"/>
            </w:tcBorders>
          </w:tcPr>
          <w:p>
            <w:pPr>
              <w:pStyle w:val="TableParagraph"/>
              <w:spacing w:before="61"/>
              <w:ind w:left="712" w:right="493"/>
              <w:jc w:val="center"/>
              <w:rPr>
                <w:b/>
                <w:sz w:val="15"/>
              </w:rPr>
            </w:pPr>
            <w:r>
              <w:rPr>
                <w:b/>
                <w:sz w:val="15"/>
              </w:rPr>
              <w:t>参考资料</w:t>
            </w:r>
          </w:p>
        </w:tc>
        <w:tc>
          <w:tcPr>
            <w:tcW w:w="1431" w:type="dxa"/>
            <w:tcBorders>
              <w:top w:val="single" w:sz="4" w:space="0" w:color="000000"/>
              <w:bottom w:val="single" w:sz="4" w:space="0" w:color="000000"/>
            </w:tcBorders>
          </w:tcPr>
          <w:p>
            <w:pPr>
              <w:pStyle w:val="TableParagraph"/>
              <w:spacing w:before="61"/>
              <w:ind w:left="493" w:right="294"/>
              <w:jc w:val="center"/>
              <w:rPr>
                <w:b/>
                <w:sz w:val="15"/>
              </w:rPr>
            </w:pPr>
            <w:r>
              <w:rPr>
                <w:b/>
                <w:sz w:val="15"/>
              </w:rPr>
              <w:t>活性成分</w:t>
            </w:r>
          </w:p>
        </w:tc>
        <w:tc>
          <w:tcPr>
            <w:tcW w:w="1293" w:type="dxa"/>
            <w:tcBorders>
              <w:top w:val="single" w:sz="4" w:space="0" w:color="000000"/>
              <w:bottom w:val="single" w:sz="4" w:space="0" w:color="000000"/>
            </w:tcBorders>
          </w:tcPr>
          <w:p>
            <w:pPr>
              <w:pStyle w:val="TableParagraph"/>
              <w:spacing w:before="61"/>
              <w:ind w:left="313"/>
              <w:rPr>
                <w:b/>
                <w:sz w:val="15"/>
              </w:rPr>
            </w:pPr>
            <w:r>
              <w:rPr>
                <w:b/>
                <w:sz w:val="15"/>
              </w:rPr>
              <w:t>品种</w:t>
            </w:r>
          </w:p>
        </w:tc>
        <w:tc>
          <w:tcPr>
            <w:tcW w:w="3711" w:type="dxa"/>
            <w:tcBorders>
              <w:top w:val="single" w:sz="4" w:space="0" w:color="000000"/>
              <w:bottom w:val="single" w:sz="4" w:space="0" w:color="000000"/>
            </w:tcBorders>
          </w:tcPr>
          <w:p>
            <w:pPr>
              <w:pStyle w:val="TableParagraph"/>
              <w:spacing w:before="61"/>
              <w:ind w:left="677"/>
              <w:rPr>
                <w:rFonts w:ascii="Times New Roman" w:eastAsia="Times New Roman"/>
                <w:b/>
                <w:sz w:val="15"/>
              </w:rPr>
            </w:pPr>
            <w:r>
              <w:rPr>
                <w:b/>
                <w:sz w:val="15"/>
              </w:rPr>
              <w:t>适宜年龄段一致的品种数量</w:t>
            </w:r>
            <w:r>
              <w:rPr>
                <w:rFonts w:ascii="Times New Roman" w:eastAsia="Times New Roman"/>
                <w:b/>
                <w:sz w:val="15"/>
              </w:rPr>
              <w:t>/%</w:t>
            </w:r>
          </w:p>
        </w:tc>
      </w:tr>
      <w:tr>
        <w:trPr>
          <w:trHeight w:val="313" w:hRule="atLeast"/>
        </w:trPr>
        <w:tc>
          <w:tcPr>
            <w:tcW w:w="3294" w:type="dxa"/>
            <w:tcBorders>
              <w:top w:val="single" w:sz="4" w:space="0" w:color="000000"/>
            </w:tcBorders>
          </w:tcPr>
          <w:p>
            <w:pPr>
              <w:pStyle w:val="TableParagraph"/>
              <w:spacing w:before="58"/>
              <w:ind w:left="712" w:right="493"/>
              <w:jc w:val="center"/>
              <w:rPr>
                <w:rFonts w:ascii="Times New Roman" w:hAnsi="Times New Roman" w:eastAsia="Times New Roman"/>
                <w:sz w:val="15"/>
              </w:rPr>
            </w:pPr>
            <w:r>
              <w:rPr>
                <w:sz w:val="15"/>
              </w:rPr>
              <w:t>说明书</w:t>
            </w:r>
            <w:r>
              <w:rPr>
                <w:rFonts w:ascii="Times New Roman" w:hAnsi="Times New Roman" w:eastAsia="Times New Roman"/>
                <w:sz w:val="15"/>
              </w:rPr>
              <w:t>—CNFc</w:t>
            </w:r>
          </w:p>
        </w:tc>
        <w:tc>
          <w:tcPr>
            <w:tcW w:w="1431" w:type="dxa"/>
            <w:tcBorders>
              <w:top w:val="single" w:sz="4" w:space="0" w:color="000000"/>
            </w:tcBorders>
          </w:tcPr>
          <w:p>
            <w:pPr>
              <w:pStyle w:val="TableParagraph"/>
              <w:spacing w:before="68"/>
              <w:ind w:left="489" w:right="294"/>
              <w:jc w:val="center"/>
              <w:rPr>
                <w:rFonts w:ascii="Times New Roman"/>
                <w:sz w:val="15"/>
              </w:rPr>
            </w:pPr>
            <w:r>
              <w:rPr>
                <w:rFonts w:ascii="Times New Roman"/>
                <w:sz w:val="15"/>
              </w:rPr>
              <w:t>247</w:t>
            </w:r>
          </w:p>
        </w:tc>
        <w:tc>
          <w:tcPr>
            <w:tcW w:w="1293" w:type="dxa"/>
            <w:tcBorders>
              <w:top w:val="single" w:sz="4" w:space="0" w:color="000000"/>
            </w:tcBorders>
          </w:tcPr>
          <w:p>
            <w:pPr>
              <w:pStyle w:val="TableParagraph"/>
              <w:spacing w:before="68"/>
              <w:ind w:left="351"/>
              <w:rPr>
                <w:rFonts w:ascii="Times New Roman"/>
                <w:sz w:val="15"/>
              </w:rPr>
            </w:pPr>
            <w:r>
              <w:rPr>
                <w:rFonts w:ascii="Times New Roman"/>
                <w:sz w:val="15"/>
              </w:rPr>
              <w:t>331</w:t>
            </w:r>
          </w:p>
        </w:tc>
        <w:tc>
          <w:tcPr>
            <w:tcW w:w="3711" w:type="dxa"/>
            <w:tcBorders>
              <w:top w:val="single" w:sz="4" w:space="0" w:color="000000"/>
            </w:tcBorders>
          </w:tcPr>
          <w:p>
            <w:pPr>
              <w:pStyle w:val="TableParagraph"/>
              <w:spacing w:before="58"/>
              <w:ind w:left="1025"/>
              <w:rPr>
                <w:sz w:val="15"/>
              </w:rPr>
            </w:pPr>
            <w:r>
              <w:rPr>
                <w:rFonts w:ascii="Times New Roman" w:eastAsia="Times New Roman"/>
                <w:sz w:val="15"/>
              </w:rPr>
              <w:t>104</w:t>
            </w:r>
            <w:r>
              <w:rPr>
                <w:sz w:val="15"/>
              </w:rPr>
              <w:t>（</w:t>
            </w:r>
            <w:r>
              <w:rPr>
                <w:rFonts w:ascii="Times New Roman" w:eastAsia="Times New Roman"/>
                <w:sz w:val="15"/>
              </w:rPr>
              <w:t>31.4</w:t>
            </w:r>
            <w:r>
              <w:rPr>
                <w:sz w:val="15"/>
              </w:rPr>
              <w:t>）</w:t>
            </w:r>
          </w:p>
        </w:tc>
      </w:tr>
      <w:tr>
        <w:trPr>
          <w:trHeight w:val="311" w:hRule="atLeast"/>
        </w:trPr>
        <w:tc>
          <w:tcPr>
            <w:tcW w:w="3294" w:type="dxa"/>
          </w:tcPr>
          <w:p>
            <w:pPr>
              <w:pStyle w:val="TableParagraph"/>
              <w:spacing w:before="57"/>
              <w:ind w:left="712" w:right="493"/>
              <w:jc w:val="center"/>
              <w:rPr>
                <w:rFonts w:ascii="Times New Roman" w:hAnsi="Times New Roman" w:eastAsia="Times New Roman"/>
                <w:sz w:val="15"/>
              </w:rPr>
            </w:pPr>
            <w:r>
              <w:rPr>
                <w:sz w:val="15"/>
              </w:rPr>
              <w:t>说明书</w:t>
            </w:r>
            <w:r>
              <w:rPr>
                <w:rFonts w:ascii="Times New Roman" w:hAnsi="Times New Roman" w:eastAsia="Times New Roman"/>
                <w:sz w:val="15"/>
              </w:rPr>
              <w:t>—CNFc</w:t>
            </w:r>
          </w:p>
        </w:tc>
        <w:tc>
          <w:tcPr>
            <w:tcW w:w="1431" w:type="dxa"/>
          </w:tcPr>
          <w:p>
            <w:pPr>
              <w:pStyle w:val="TableParagraph"/>
              <w:spacing w:before="67"/>
              <w:ind w:left="489" w:right="294"/>
              <w:jc w:val="center"/>
              <w:rPr>
                <w:rFonts w:ascii="Times New Roman"/>
                <w:sz w:val="15"/>
              </w:rPr>
            </w:pPr>
            <w:r>
              <w:rPr>
                <w:rFonts w:ascii="Times New Roman"/>
                <w:sz w:val="15"/>
              </w:rPr>
              <w:t>214</w:t>
            </w:r>
          </w:p>
        </w:tc>
        <w:tc>
          <w:tcPr>
            <w:tcW w:w="1293" w:type="dxa"/>
          </w:tcPr>
          <w:p>
            <w:pPr>
              <w:pStyle w:val="TableParagraph"/>
              <w:spacing w:before="67"/>
              <w:ind w:left="351"/>
              <w:rPr>
                <w:rFonts w:ascii="Times New Roman"/>
                <w:sz w:val="15"/>
              </w:rPr>
            </w:pPr>
            <w:r>
              <w:rPr>
                <w:rFonts w:ascii="Times New Roman"/>
                <w:sz w:val="15"/>
              </w:rPr>
              <w:t>270</w:t>
            </w:r>
          </w:p>
        </w:tc>
        <w:tc>
          <w:tcPr>
            <w:tcW w:w="3711" w:type="dxa"/>
          </w:tcPr>
          <w:p>
            <w:pPr>
              <w:pStyle w:val="TableParagraph"/>
              <w:spacing w:before="57"/>
              <w:ind w:left="1302" w:right="1655"/>
              <w:jc w:val="center"/>
              <w:rPr>
                <w:sz w:val="15"/>
              </w:rPr>
            </w:pPr>
            <w:r>
              <w:rPr>
                <w:rFonts w:ascii="Times New Roman" w:eastAsia="Times New Roman"/>
                <w:sz w:val="15"/>
              </w:rPr>
              <w:t>61</w:t>
            </w:r>
            <w:r>
              <w:rPr>
                <w:sz w:val="15"/>
              </w:rPr>
              <w:t>（</w:t>
            </w:r>
            <w:r>
              <w:rPr>
                <w:rFonts w:ascii="Times New Roman" w:eastAsia="Times New Roman"/>
                <w:sz w:val="15"/>
              </w:rPr>
              <w:t>22.6</w:t>
            </w:r>
            <w:r>
              <w:rPr>
                <w:sz w:val="15"/>
              </w:rPr>
              <w:t>）</w:t>
            </w:r>
          </w:p>
        </w:tc>
      </w:tr>
      <w:tr>
        <w:trPr>
          <w:trHeight w:val="312" w:hRule="atLeast"/>
        </w:trPr>
        <w:tc>
          <w:tcPr>
            <w:tcW w:w="3294" w:type="dxa"/>
          </w:tcPr>
          <w:p>
            <w:pPr>
              <w:pStyle w:val="TableParagraph"/>
              <w:spacing w:before="57"/>
              <w:ind w:left="714" w:right="493"/>
              <w:jc w:val="center"/>
              <w:rPr>
                <w:sz w:val="15"/>
              </w:rPr>
            </w:pPr>
            <w:r>
              <w:rPr>
                <w:sz w:val="15"/>
              </w:rPr>
              <w:t>说明书</w:t>
            </w:r>
            <w:r>
              <w:rPr>
                <w:rFonts w:ascii="Times New Roman" w:hAnsi="Times New Roman" w:eastAsia="Times New Roman"/>
                <w:sz w:val="15"/>
              </w:rPr>
              <w:t>—WHO </w:t>
            </w:r>
            <w:r>
              <w:rPr>
                <w:sz w:val="15"/>
              </w:rPr>
              <w:t>儿童标准处方集</w:t>
            </w:r>
          </w:p>
        </w:tc>
        <w:tc>
          <w:tcPr>
            <w:tcW w:w="1431" w:type="dxa"/>
          </w:tcPr>
          <w:p>
            <w:pPr>
              <w:pStyle w:val="TableParagraph"/>
              <w:spacing w:before="67"/>
              <w:ind w:left="489" w:right="294"/>
              <w:jc w:val="center"/>
              <w:rPr>
                <w:rFonts w:ascii="Times New Roman"/>
                <w:sz w:val="15"/>
              </w:rPr>
            </w:pPr>
            <w:r>
              <w:rPr>
                <w:rFonts w:ascii="Times New Roman"/>
                <w:sz w:val="15"/>
              </w:rPr>
              <w:t>152</w:t>
            </w:r>
          </w:p>
        </w:tc>
        <w:tc>
          <w:tcPr>
            <w:tcW w:w="1293" w:type="dxa"/>
          </w:tcPr>
          <w:p>
            <w:pPr>
              <w:pStyle w:val="TableParagraph"/>
              <w:spacing w:before="67"/>
              <w:ind w:left="351"/>
              <w:rPr>
                <w:rFonts w:ascii="Times New Roman"/>
                <w:sz w:val="15"/>
              </w:rPr>
            </w:pPr>
            <w:r>
              <w:rPr>
                <w:rFonts w:ascii="Times New Roman"/>
                <w:sz w:val="15"/>
              </w:rPr>
              <w:t>186</w:t>
            </w:r>
          </w:p>
        </w:tc>
        <w:tc>
          <w:tcPr>
            <w:tcW w:w="3711" w:type="dxa"/>
          </w:tcPr>
          <w:p>
            <w:pPr>
              <w:pStyle w:val="TableParagraph"/>
              <w:spacing w:before="57"/>
              <w:ind w:left="1302" w:right="1655"/>
              <w:jc w:val="center"/>
              <w:rPr>
                <w:sz w:val="15"/>
              </w:rPr>
            </w:pPr>
            <w:r>
              <w:rPr>
                <w:rFonts w:ascii="Times New Roman" w:eastAsia="Times New Roman"/>
                <w:sz w:val="15"/>
              </w:rPr>
              <w:t>39</w:t>
            </w:r>
            <w:r>
              <w:rPr>
                <w:sz w:val="15"/>
              </w:rPr>
              <w:t>（</w:t>
            </w:r>
            <w:r>
              <w:rPr>
                <w:rFonts w:ascii="Times New Roman" w:eastAsia="Times New Roman"/>
                <w:sz w:val="15"/>
              </w:rPr>
              <w:t>21.0</w:t>
            </w:r>
            <w:r>
              <w:rPr>
                <w:sz w:val="15"/>
              </w:rPr>
              <w:t>）</w:t>
            </w:r>
          </w:p>
        </w:tc>
      </w:tr>
      <w:tr>
        <w:trPr>
          <w:trHeight w:val="310" w:hRule="atLeast"/>
        </w:trPr>
        <w:tc>
          <w:tcPr>
            <w:tcW w:w="3294" w:type="dxa"/>
            <w:tcBorders>
              <w:bottom w:val="single" w:sz="4" w:space="0" w:color="000000"/>
            </w:tcBorders>
          </w:tcPr>
          <w:p>
            <w:pPr>
              <w:pStyle w:val="TableParagraph"/>
              <w:spacing w:before="57"/>
              <w:ind w:left="709" w:right="493"/>
              <w:jc w:val="center"/>
              <w:rPr>
                <w:rFonts w:ascii="Times New Roman" w:hAnsi="Times New Roman" w:eastAsia="Times New Roman"/>
                <w:sz w:val="15"/>
              </w:rPr>
            </w:pPr>
            <w:r>
              <w:rPr>
                <w:sz w:val="15"/>
              </w:rPr>
              <w:t>说明书</w:t>
            </w:r>
            <w:r>
              <w:rPr>
                <w:rFonts w:ascii="Times New Roman" w:hAnsi="Times New Roman" w:eastAsia="Times New Roman"/>
                <w:sz w:val="15"/>
              </w:rPr>
              <w:t>—WHO EMLc</w:t>
            </w:r>
          </w:p>
        </w:tc>
        <w:tc>
          <w:tcPr>
            <w:tcW w:w="1431" w:type="dxa"/>
            <w:tcBorders>
              <w:bottom w:val="single" w:sz="4" w:space="0" w:color="000000"/>
            </w:tcBorders>
          </w:tcPr>
          <w:p>
            <w:pPr>
              <w:pStyle w:val="TableParagraph"/>
              <w:spacing w:before="67"/>
              <w:ind w:left="489" w:right="294"/>
              <w:jc w:val="center"/>
              <w:rPr>
                <w:rFonts w:ascii="Times New Roman"/>
                <w:sz w:val="15"/>
              </w:rPr>
            </w:pPr>
            <w:r>
              <w:rPr>
                <w:rFonts w:ascii="Times New Roman"/>
                <w:sz w:val="15"/>
              </w:rPr>
              <w:t>179</w:t>
            </w:r>
          </w:p>
        </w:tc>
        <w:tc>
          <w:tcPr>
            <w:tcW w:w="1293" w:type="dxa"/>
            <w:tcBorders>
              <w:bottom w:val="single" w:sz="4" w:space="0" w:color="000000"/>
            </w:tcBorders>
          </w:tcPr>
          <w:p>
            <w:pPr>
              <w:pStyle w:val="TableParagraph"/>
              <w:spacing w:before="67"/>
              <w:ind w:left="351"/>
              <w:rPr>
                <w:rFonts w:ascii="Times New Roman"/>
                <w:sz w:val="15"/>
              </w:rPr>
            </w:pPr>
            <w:r>
              <w:rPr>
                <w:rFonts w:ascii="Times New Roman"/>
                <w:sz w:val="15"/>
              </w:rPr>
              <w:t>218</w:t>
            </w:r>
          </w:p>
        </w:tc>
        <w:tc>
          <w:tcPr>
            <w:tcW w:w="3711" w:type="dxa"/>
            <w:tcBorders>
              <w:bottom w:val="single" w:sz="4" w:space="0" w:color="000000"/>
            </w:tcBorders>
          </w:tcPr>
          <w:p>
            <w:pPr>
              <w:pStyle w:val="TableParagraph"/>
              <w:spacing w:before="57"/>
              <w:ind w:left="1302" w:right="1655"/>
              <w:jc w:val="center"/>
              <w:rPr>
                <w:sz w:val="15"/>
              </w:rPr>
            </w:pPr>
            <w:r>
              <w:rPr>
                <w:rFonts w:ascii="Times New Roman" w:eastAsia="Times New Roman"/>
                <w:sz w:val="15"/>
              </w:rPr>
              <w:t>52</w:t>
            </w:r>
            <w:r>
              <w:rPr>
                <w:sz w:val="15"/>
              </w:rPr>
              <w:t>（</w:t>
            </w:r>
            <w:r>
              <w:rPr>
                <w:rFonts w:ascii="Times New Roman" w:eastAsia="Times New Roman"/>
                <w:sz w:val="15"/>
              </w:rPr>
              <w:t>23.8</w:t>
            </w:r>
            <w:r>
              <w:rPr>
                <w:sz w:val="15"/>
              </w:rPr>
              <w:t>）</w:t>
            </w:r>
          </w:p>
        </w:tc>
      </w:tr>
    </w:tbl>
    <w:p>
      <w:pPr>
        <w:pStyle w:val="BodyText"/>
        <w:tabs>
          <w:tab w:pos="1035" w:val="left" w:leader="none"/>
        </w:tabs>
        <w:spacing w:line="242" w:lineRule="auto"/>
        <w:ind w:left="4245" w:right="488" w:hanging="3870"/>
        <w:rPr>
          <w:rFonts w:ascii="楷体" w:eastAsia="楷体" w:hint="eastAsia"/>
        </w:rPr>
      </w:pPr>
      <w:r>
        <w:rPr>
          <w:rFonts w:ascii="楷体" w:eastAsia="楷体" w:hint="eastAsia"/>
        </w:rPr>
        <w:t>表</w:t>
      </w:r>
      <w:r>
        <w:rPr>
          <w:rFonts w:ascii="楷体" w:eastAsia="楷体" w:hint="eastAsia"/>
          <w:spacing w:val="-60"/>
        </w:rPr>
        <w:t> </w:t>
      </w:r>
      <w:r>
        <w:rPr>
          <w:rFonts w:ascii="楷体" w:eastAsia="楷体" w:hint="eastAsia"/>
        </w:rPr>
        <w:t>3</w:t>
        <w:tab/>
        <w:t>每对参考资料均有用药剂量计算方法的活性成分和品种的数量及适宜年龄段一致</w:t>
      </w:r>
      <w:r>
        <w:rPr>
          <w:rFonts w:ascii="楷体" w:eastAsia="楷体" w:hint="eastAsia"/>
          <w:spacing w:val="-17"/>
        </w:rPr>
        <w:t>的</w:t>
      </w:r>
      <w:r>
        <w:rPr>
          <w:rFonts w:ascii="楷体" w:eastAsia="楷体" w:hint="eastAsia"/>
        </w:rPr>
        <w:t>品种数量（%）</w:t>
      </w:r>
    </w:p>
    <w:p>
      <w:pPr>
        <w:pStyle w:val="ListParagraph"/>
        <w:numPr>
          <w:ilvl w:val="1"/>
          <w:numId w:val="5"/>
        </w:numPr>
        <w:tabs>
          <w:tab w:pos="1238" w:val="left" w:leader="none"/>
        </w:tabs>
        <w:spacing w:line="240" w:lineRule="auto" w:before="82" w:after="0"/>
        <w:ind w:left="1237" w:right="0" w:hanging="481"/>
        <w:jc w:val="both"/>
        <w:rPr>
          <w:sz w:val="24"/>
        </w:rPr>
      </w:pPr>
      <w:r>
        <w:rPr>
          <w:sz w:val="24"/>
        </w:rPr>
        <w:t>五项参考资料中儿童用药适宜年龄段分析</w:t>
      </w:r>
    </w:p>
    <w:p>
      <w:pPr>
        <w:pStyle w:val="ListParagraph"/>
        <w:numPr>
          <w:ilvl w:val="2"/>
          <w:numId w:val="5"/>
        </w:numPr>
        <w:tabs>
          <w:tab w:pos="1478" w:val="left" w:leader="none"/>
        </w:tabs>
        <w:spacing w:line="312" w:lineRule="auto" w:before="93" w:after="0"/>
        <w:ind w:left="277" w:right="465" w:firstLine="480"/>
        <w:jc w:val="both"/>
        <w:rPr>
          <w:sz w:val="24"/>
        </w:rPr>
      </w:pPr>
      <w:r>
        <w:rPr>
          <w:sz w:val="24"/>
        </w:rPr>
        <w:t>五项权威资料中儿童用药适宜年龄段均一致的活性成分和品种五项权威资料中</w:t>
      </w:r>
      <w:r>
        <w:rPr>
          <w:spacing w:val="-5"/>
          <w:sz w:val="24"/>
        </w:rPr>
        <w:t>均提供适宜年龄段的共计 </w:t>
      </w:r>
      <w:r>
        <w:rPr>
          <w:sz w:val="24"/>
        </w:rPr>
        <w:t>52</w:t>
      </w:r>
      <w:r>
        <w:rPr>
          <w:spacing w:val="-30"/>
          <w:sz w:val="24"/>
        </w:rPr>
        <w:t> 个</w:t>
      </w:r>
      <w:r>
        <w:rPr>
          <w:sz w:val="24"/>
        </w:rPr>
        <w:t>（14.48%）活性成分、63</w:t>
      </w:r>
      <w:r>
        <w:rPr>
          <w:spacing w:val="-30"/>
          <w:sz w:val="24"/>
        </w:rPr>
        <w:t> 个</w:t>
      </w:r>
      <w:r>
        <w:rPr>
          <w:sz w:val="24"/>
        </w:rPr>
        <w:t>（12%）</w:t>
      </w:r>
      <w:r>
        <w:rPr>
          <w:spacing w:val="-2"/>
          <w:sz w:val="24"/>
        </w:rPr>
        <w:t>品种。其中适宜年龄段</w:t>
      </w:r>
      <w:r>
        <w:rPr>
          <w:spacing w:val="-7"/>
          <w:sz w:val="24"/>
        </w:rPr>
        <w:t>均一致的活性成分有 </w:t>
      </w:r>
      <w:r>
        <w:rPr>
          <w:sz w:val="24"/>
        </w:rPr>
        <w:t>12</w:t>
      </w:r>
      <w:r>
        <w:rPr>
          <w:spacing w:val="-30"/>
          <w:sz w:val="24"/>
        </w:rPr>
        <w:t> 个</w:t>
      </w:r>
      <w:r>
        <w:rPr>
          <w:sz w:val="24"/>
        </w:rPr>
        <w:t>（3.34%），</w:t>
      </w:r>
      <w:r>
        <w:rPr>
          <w:spacing w:val="-15"/>
          <w:sz w:val="24"/>
        </w:rPr>
        <w:t>品种有 </w:t>
      </w:r>
      <w:r>
        <w:rPr>
          <w:sz w:val="24"/>
        </w:rPr>
        <w:t>14</w:t>
      </w:r>
      <w:r>
        <w:rPr>
          <w:spacing w:val="-30"/>
          <w:sz w:val="24"/>
        </w:rPr>
        <w:t> 个</w:t>
      </w:r>
      <w:r>
        <w:rPr>
          <w:sz w:val="24"/>
        </w:rPr>
        <w:t>（2.67%）</w:t>
      </w:r>
      <w:r>
        <w:rPr>
          <w:spacing w:val="-10"/>
          <w:sz w:val="24"/>
        </w:rPr>
        <w:t>。具体见表 </w:t>
      </w:r>
      <w:r>
        <w:rPr>
          <w:sz w:val="24"/>
        </w:rPr>
        <w:t>4。</w:t>
      </w:r>
    </w:p>
    <w:p>
      <w:pPr>
        <w:pStyle w:val="BodyText"/>
        <w:spacing w:before="1" w:after="12"/>
        <w:rPr>
          <w:rFonts w:ascii="楷体" w:eastAsia="楷体" w:hint="eastAsia"/>
        </w:rPr>
      </w:pPr>
      <w:r>
        <w:rPr>
          <w:rFonts w:ascii="楷体" w:eastAsia="楷体" w:hint="eastAsia"/>
        </w:rPr>
        <w:t>表 4 五项权威资料中儿童用药适宜年龄段均一致的品种</w:t>
      </w: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27"/>
        <w:gridCol w:w="3945"/>
        <w:gridCol w:w="3405"/>
      </w:tblGrid>
      <w:tr>
        <w:trPr>
          <w:trHeight w:val="468" w:hRule="atLeast"/>
        </w:trPr>
        <w:tc>
          <w:tcPr>
            <w:tcW w:w="2227" w:type="dxa"/>
            <w:tcBorders>
              <w:top w:val="single" w:sz="4" w:space="0" w:color="000000"/>
              <w:bottom w:val="single" w:sz="6" w:space="0" w:color="000000"/>
            </w:tcBorders>
          </w:tcPr>
          <w:p>
            <w:pPr>
              <w:pStyle w:val="TableParagraph"/>
              <w:spacing w:before="12"/>
              <w:rPr>
                <w:rFonts w:ascii="楷体"/>
                <w:sz w:val="10"/>
              </w:rPr>
            </w:pPr>
          </w:p>
          <w:p>
            <w:pPr>
              <w:pStyle w:val="TableParagraph"/>
              <w:ind w:left="764" w:right="371"/>
              <w:jc w:val="center"/>
              <w:rPr>
                <w:b/>
                <w:sz w:val="15"/>
              </w:rPr>
            </w:pPr>
            <w:r>
              <w:rPr>
                <w:b/>
                <w:sz w:val="15"/>
              </w:rPr>
              <w:t>作用类别</w:t>
            </w:r>
          </w:p>
        </w:tc>
        <w:tc>
          <w:tcPr>
            <w:tcW w:w="3945" w:type="dxa"/>
            <w:tcBorders>
              <w:top w:val="single" w:sz="4" w:space="0" w:color="000000"/>
              <w:bottom w:val="single" w:sz="6" w:space="0" w:color="000000"/>
            </w:tcBorders>
          </w:tcPr>
          <w:p>
            <w:pPr>
              <w:pStyle w:val="TableParagraph"/>
              <w:spacing w:before="12"/>
              <w:rPr>
                <w:rFonts w:ascii="楷体"/>
                <w:sz w:val="10"/>
              </w:rPr>
            </w:pPr>
          </w:p>
          <w:p>
            <w:pPr>
              <w:pStyle w:val="TableParagraph"/>
              <w:ind w:left="2184" w:right="1418"/>
              <w:jc w:val="center"/>
              <w:rPr>
                <w:b/>
                <w:sz w:val="15"/>
              </w:rPr>
            </w:pPr>
            <w:r>
              <w:rPr>
                <w:b/>
                <w:sz w:val="15"/>
              </w:rPr>
              <w:t>品种</w:t>
            </w:r>
          </w:p>
        </w:tc>
        <w:tc>
          <w:tcPr>
            <w:tcW w:w="3405" w:type="dxa"/>
            <w:tcBorders>
              <w:top w:val="single" w:sz="4" w:space="0" w:color="000000"/>
              <w:bottom w:val="single" w:sz="6" w:space="0" w:color="000000"/>
            </w:tcBorders>
          </w:tcPr>
          <w:p>
            <w:pPr>
              <w:pStyle w:val="TableParagraph"/>
              <w:spacing w:before="12"/>
              <w:rPr>
                <w:rFonts w:ascii="楷体"/>
                <w:sz w:val="10"/>
              </w:rPr>
            </w:pPr>
          </w:p>
          <w:p>
            <w:pPr>
              <w:pStyle w:val="TableParagraph"/>
              <w:ind w:right="1135"/>
              <w:jc w:val="right"/>
              <w:rPr>
                <w:b/>
                <w:sz w:val="15"/>
              </w:rPr>
            </w:pPr>
            <w:r>
              <w:rPr>
                <w:b/>
                <w:sz w:val="15"/>
              </w:rPr>
              <w:t>适宜年龄段</w:t>
            </w:r>
          </w:p>
        </w:tc>
      </w:tr>
      <w:tr>
        <w:trPr>
          <w:trHeight w:val="469" w:hRule="atLeast"/>
        </w:trPr>
        <w:tc>
          <w:tcPr>
            <w:tcW w:w="2227" w:type="dxa"/>
            <w:tcBorders>
              <w:top w:val="single" w:sz="6" w:space="0" w:color="000000"/>
            </w:tcBorders>
          </w:tcPr>
          <w:p>
            <w:pPr>
              <w:pStyle w:val="TableParagraph"/>
              <w:spacing w:before="10"/>
              <w:rPr>
                <w:rFonts w:ascii="楷体"/>
                <w:sz w:val="10"/>
              </w:rPr>
            </w:pPr>
          </w:p>
          <w:p>
            <w:pPr>
              <w:pStyle w:val="TableParagraph"/>
              <w:ind w:left="764" w:right="373"/>
              <w:jc w:val="center"/>
              <w:rPr>
                <w:sz w:val="15"/>
              </w:rPr>
            </w:pPr>
            <w:r>
              <w:rPr>
                <w:sz w:val="15"/>
              </w:rPr>
              <w:t>麻醉药</w:t>
            </w:r>
          </w:p>
        </w:tc>
        <w:tc>
          <w:tcPr>
            <w:tcW w:w="3945" w:type="dxa"/>
            <w:tcBorders>
              <w:top w:val="single" w:sz="6" w:space="0" w:color="000000"/>
            </w:tcBorders>
          </w:tcPr>
          <w:p>
            <w:pPr>
              <w:pStyle w:val="TableParagraph"/>
              <w:spacing w:before="10"/>
              <w:rPr>
                <w:rFonts w:ascii="楷体"/>
                <w:sz w:val="10"/>
              </w:rPr>
            </w:pPr>
          </w:p>
          <w:p>
            <w:pPr>
              <w:pStyle w:val="TableParagraph"/>
              <w:ind w:left="391"/>
              <w:rPr>
                <w:sz w:val="15"/>
              </w:rPr>
            </w:pPr>
            <w:r>
              <w:rPr>
                <w:sz w:val="15"/>
              </w:rPr>
              <w:t>氟烷（吸入溶液剂）</w:t>
            </w:r>
          </w:p>
        </w:tc>
        <w:tc>
          <w:tcPr>
            <w:tcW w:w="3405" w:type="dxa"/>
            <w:tcBorders>
              <w:top w:val="single" w:sz="6" w:space="0" w:color="000000"/>
            </w:tcBorders>
          </w:tcPr>
          <w:p>
            <w:pPr>
              <w:pStyle w:val="TableParagraph"/>
              <w:spacing w:before="10"/>
              <w:rPr>
                <w:rFonts w:ascii="楷体"/>
                <w:sz w:val="10"/>
              </w:rPr>
            </w:pPr>
          </w:p>
          <w:p>
            <w:pPr>
              <w:pStyle w:val="TableParagraph"/>
              <w:ind w:right="1060"/>
              <w:jc w:val="right"/>
              <w:rPr>
                <w:sz w:val="15"/>
              </w:rPr>
            </w:pPr>
            <w:r>
              <w:rPr>
                <w:sz w:val="15"/>
              </w:rPr>
              <w:t>新生儿及以上</w:t>
            </w:r>
          </w:p>
        </w:tc>
      </w:tr>
      <w:tr>
        <w:trPr>
          <w:trHeight w:val="471" w:hRule="atLeast"/>
        </w:trPr>
        <w:tc>
          <w:tcPr>
            <w:tcW w:w="2227" w:type="dxa"/>
          </w:tcPr>
          <w:p>
            <w:pPr>
              <w:pStyle w:val="TableParagraph"/>
              <w:rPr>
                <w:rFonts w:ascii="Times New Roman"/>
                <w:sz w:val="18"/>
              </w:rPr>
            </w:pPr>
          </w:p>
        </w:tc>
        <w:tc>
          <w:tcPr>
            <w:tcW w:w="3945" w:type="dxa"/>
          </w:tcPr>
          <w:p>
            <w:pPr>
              <w:pStyle w:val="TableParagraph"/>
              <w:spacing w:before="11"/>
              <w:rPr>
                <w:rFonts w:ascii="楷体"/>
                <w:sz w:val="10"/>
              </w:rPr>
            </w:pPr>
          </w:p>
          <w:p>
            <w:pPr>
              <w:pStyle w:val="TableParagraph"/>
              <w:ind w:left="471"/>
              <w:rPr>
                <w:sz w:val="15"/>
              </w:rPr>
            </w:pPr>
            <w:r>
              <w:rPr>
                <w:sz w:val="15"/>
              </w:rPr>
              <w:t>维库溴铵（注射液）</w:t>
            </w:r>
          </w:p>
        </w:tc>
        <w:tc>
          <w:tcPr>
            <w:tcW w:w="3405" w:type="dxa"/>
          </w:tcPr>
          <w:p>
            <w:pPr>
              <w:pStyle w:val="TableParagraph"/>
              <w:spacing w:before="11"/>
              <w:rPr>
                <w:rFonts w:ascii="楷体"/>
                <w:sz w:val="10"/>
              </w:rPr>
            </w:pPr>
          </w:p>
          <w:p>
            <w:pPr>
              <w:pStyle w:val="TableParagraph"/>
              <w:ind w:right="1060"/>
              <w:jc w:val="right"/>
              <w:rPr>
                <w:sz w:val="15"/>
              </w:rPr>
            </w:pPr>
            <w:r>
              <w:rPr>
                <w:sz w:val="15"/>
              </w:rPr>
              <w:t>新生儿及以上</w:t>
            </w:r>
          </w:p>
        </w:tc>
      </w:tr>
      <w:tr>
        <w:trPr>
          <w:trHeight w:val="470" w:hRule="atLeast"/>
        </w:trPr>
        <w:tc>
          <w:tcPr>
            <w:tcW w:w="2227" w:type="dxa"/>
          </w:tcPr>
          <w:p>
            <w:pPr>
              <w:pStyle w:val="TableParagraph"/>
              <w:spacing w:before="12"/>
              <w:rPr>
                <w:rFonts w:ascii="楷体"/>
                <w:sz w:val="10"/>
              </w:rPr>
            </w:pPr>
          </w:p>
          <w:p>
            <w:pPr>
              <w:pStyle w:val="TableParagraph"/>
              <w:ind w:left="764" w:right="373"/>
              <w:jc w:val="center"/>
              <w:rPr>
                <w:sz w:val="15"/>
              </w:rPr>
            </w:pPr>
            <w:r>
              <w:rPr>
                <w:sz w:val="15"/>
              </w:rPr>
              <w:t>心血管系统用药</w:t>
            </w:r>
          </w:p>
        </w:tc>
        <w:tc>
          <w:tcPr>
            <w:tcW w:w="3945" w:type="dxa"/>
          </w:tcPr>
          <w:p>
            <w:pPr>
              <w:pStyle w:val="TableParagraph"/>
              <w:spacing w:before="12"/>
              <w:rPr>
                <w:rFonts w:ascii="楷体"/>
                <w:sz w:val="10"/>
              </w:rPr>
            </w:pPr>
          </w:p>
          <w:p>
            <w:pPr>
              <w:pStyle w:val="TableParagraph"/>
              <w:ind w:left="391"/>
              <w:rPr>
                <w:sz w:val="15"/>
              </w:rPr>
            </w:pPr>
            <w:r>
              <w:rPr>
                <w:sz w:val="15"/>
              </w:rPr>
              <w:t>地高辛（片剂、口服剂）</w:t>
            </w:r>
          </w:p>
        </w:tc>
        <w:tc>
          <w:tcPr>
            <w:tcW w:w="3405" w:type="dxa"/>
          </w:tcPr>
          <w:p>
            <w:pPr>
              <w:pStyle w:val="TableParagraph"/>
              <w:spacing w:before="12"/>
              <w:rPr>
                <w:rFonts w:ascii="楷体"/>
                <w:sz w:val="10"/>
              </w:rPr>
            </w:pPr>
          </w:p>
          <w:p>
            <w:pPr>
              <w:pStyle w:val="TableParagraph"/>
              <w:ind w:right="1060"/>
              <w:jc w:val="right"/>
              <w:rPr>
                <w:sz w:val="15"/>
              </w:rPr>
            </w:pPr>
            <w:r>
              <w:rPr>
                <w:sz w:val="15"/>
              </w:rPr>
              <w:t>新生儿及以上</w:t>
            </w:r>
          </w:p>
        </w:tc>
      </w:tr>
      <w:tr>
        <w:trPr>
          <w:trHeight w:val="479" w:hRule="atLeast"/>
        </w:trPr>
        <w:tc>
          <w:tcPr>
            <w:tcW w:w="2227" w:type="dxa"/>
          </w:tcPr>
          <w:p>
            <w:pPr>
              <w:pStyle w:val="TableParagraph"/>
              <w:spacing w:before="2"/>
              <w:rPr>
                <w:rFonts w:ascii="楷体"/>
                <w:sz w:val="11"/>
              </w:rPr>
            </w:pPr>
          </w:p>
          <w:p>
            <w:pPr>
              <w:pStyle w:val="TableParagraph"/>
              <w:ind w:left="764" w:right="371"/>
              <w:jc w:val="center"/>
              <w:rPr>
                <w:sz w:val="15"/>
              </w:rPr>
            </w:pPr>
            <w:r>
              <w:rPr>
                <w:sz w:val="15"/>
              </w:rPr>
              <w:t>血液系统用药</w:t>
            </w:r>
          </w:p>
        </w:tc>
        <w:tc>
          <w:tcPr>
            <w:tcW w:w="3945" w:type="dxa"/>
          </w:tcPr>
          <w:p>
            <w:pPr>
              <w:pStyle w:val="TableParagraph"/>
              <w:spacing w:before="143"/>
              <w:ind w:left="391"/>
              <w:rPr>
                <w:sz w:val="15"/>
              </w:rPr>
            </w:pPr>
            <w:r>
              <w:rPr>
                <w:sz w:val="15"/>
              </w:rPr>
              <w:t>维生素 </w:t>
            </w:r>
            <w:r>
              <w:rPr>
                <w:rFonts w:ascii="Times New Roman" w:eastAsia="Times New Roman"/>
                <w:sz w:val="15"/>
              </w:rPr>
              <w:t>K1</w:t>
            </w:r>
            <w:r>
              <w:rPr>
                <w:sz w:val="15"/>
              </w:rPr>
              <w:t>（注射液）</w:t>
            </w:r>
          </w:p>
        </w:tc>
        <w:tc>
          <w:tcPr>
            <w:tcW w:w="3405" w:type="dxa"/>
          </w:tcPr>
          <w:p>
            <w:pPr>
              <w:pStyle w:val="TableParagraph"/>
              <w:spacing w:before="2"/>
              <w:rPr>
                <w:rFonts w:ascii="楷体"/>
                <w:sz w:val="11"/>
              </w:rPr>
            </w:pPr>
          </w:p>
          <w:p>
            <w:pPr>
              <w:pStyle w:val="TableParagraph"/>
              <w:ind w:right="1060"/>
              <w:jc w:val="right"/>
              <w:rPr>
                <w:sz w:val="15"/>
              </w:rPr>
            </w:pPr>
            <w:r>
              <w:rPr>
                <w:sz w:val="15"/>
              </w:rPr>
              <w:t>新生儿及以上</w:t>
            </w:r>
          </w:p>
        </w:tc>
      </w:tr>
      <w:tr>
        <w:trPr>
          <w:trHeight w:val="466" w:hRule="atLeast"/>
        </w:trPr>
        <w:tc>
          <w:tcPr>
            <w:tcW w:w="2227" w:type="dxa"/>
          </w:tcPr>
          <w:p>
            <w:pPr>
              <w:pStyle w:val="TableParagraph"/>
              <w:spacing w:before="5"/>
              <w:rPr>
                <w:rFonts w:ascii="楷体"/>
                <w:sz w:val="10"/>
              </w:rPr>
            </w:pPr>
          </w:p>
          <w:p>
            <w:pPr>
              <w:pStyle w:val="TableParagraph"/>
              <w:spacing w:before="1"/>
              <w:ind w:left="764" w:right="371"/>
              <w:jc w:val="center"/>
              <w:rPr>
                <w:sz w:val="15"/>
              </w:rPr>
            </w:pPr>
            <w:r>
              <w:rPr>
                <w:sz w:val="15"/>
              </w:rPr>
              <w:t>抗微生物药</w:t>
            </w:r>
          </w:p>
        </w:tc>
        <w:tc>
          <w:tcPr>
            <w:tcW w:w="3945" w:type="dxa"/>
          </w:tcPr>
          <w:p>
            <w:pPr>
              <w:pStyle w:val="TableParagraph"/>
              <w:spacing w:before="5"/>
              <w:rPr>
                <w:rFonts w:ascii="楷体"/>
                <w:sz w:val="10"/>
              </w:rPr>
            </w:pPr>
          </w:p>
          <w:p>
            <w:pPr>
              <w:pStyle w:val="TableParagraph"/>
              <w:spacing w:before="1"/>
              <w:ind w:left="391"/>
              <w:rPr>
                <w:sz w:val="15"/>
              </w:rPr>
            </w:pPr>
            <w:r>
              <w:rPr>
                <w:sz w:val="15"/>
              </w:rPr>
              <w:t>阿莫西林（颗粒剂）</w:t>
            </w:r>
          </w:p>
        </w:tc>
        <w:tc>
          <w:tcPr>
            <w:tcW w:w="3405" w:type="dxa"/>
          </w:tcPr>
          <w:p>
            <w:pPr>
              <w:pStyle w:val="TableParagraph"/>
              <w:spacing w:before="5"/>
              <w:rPr>
                <w:rFonts w:ascii="楷体"/>
                <w:sz w:val="10"/>
              </w:rPr>
            </w:pPr>
          </w:p>
          <w:p>
            <w:pPr>
              <w:pStyle w:val="TableParagraph"/>
              <w:spacing w:before="1"/>
              <w:ind w:right="1060"/>
              <w:jc w:val="right"/>
              <w:rPr>
                <w:sz w:val="15"/>
              </w:rPr>
            </w:pPr>
            <w:r>
              <w:rPr>
                <w:sz w:val="15"/>
              </w:rPr>
              <w:t>新生儿及以上</w:t>
            </w:r>
          </w:p>
        </w:tc>
      </w:tr>
      <w:tr>
        <w:trPr>
          <w:trHeight w:val="311" w:hRule="atLeast"/>
        </w:trPr>
        <w:tc>
          <w:tcPr>
            <w:tcW w:w="2227" w:type="dxa"/>
          </w:tcPr>
          <w:p>
            <w:pPr>
              <w:pStyle w:val="TableParagraph"/>
              <w:rPr>
                <w:rFonts w:ascii="Times New Roman"/>
                <w:sz w:val="18"/>
              </w:rPr>
            </w:pPr>
          </w:p>
        </w:tc>
        <w:tc>
          <w:tcPr>
            <w:tcW w:w="3945" w:type="dxa"/>
          </w:tcPr>
          <w:p>
            <w:pPr>
              <w:pStyle w:val="TableParagraph"/>
              <w:spacing w:before="12"/>
              <w:rPr>
                <w:rFonts w:ascii="楷体"/>
                <w:sz w:val="10"/>
              </w:rPr>
            </w:pPr>
          </w:p>
          <w:p>
            <w:pPr>
              <w:pStyle w:val="TableParagraph"/>
              <w:spacing w:line="151" w:lineRule="exact"/>
              <w:ind w:left="471"/>
              <w:rPr>
                <w:sz w:val="15"/>
              </w:rPr>
            </w:pPr>
            <w:r>
              <w:rPr>
                <w:sz w:val="15"/>
              </w:rPr>
              <w:t>氨苄西林（注射用无菌粉末）</w:t>
            </w:r>
          </w:p>
        </w:tc>
        <w:tc>
          <w:tcPr>
            <w:tcW w:w="3405" w:type="dxa"/>
          </w:tcPr>
          <w:p>
            <w:pPr>
              <w:pStyle w:val="TableParagraph"/>
              <w:spacing w:before="12"/>
              <w:rPr>
                <w:rFonts w:ascii="楷体"/>
                <w:sz w:val="10"/>
              </w:rPr>
            </w:pPr>
          </w:p>
          <w:p>
            <w:pPr>
              <w:pStyle w:val="TableParagraph"/>
              <w:spacing w:line="151" w:lineRule="exact"/>
              <w:ind w:right="1060"/>
              <w:jc w:val="right"/>
              <w:rPr>
                <w:sz w:val="15"/>
              </w:rPr>
            </w:pPr>
            <w:r>
              <w:rPr>
                <w:sz w:val="15"/>
              </w:rPr>
              <w:t>新生儿及以上</w:t>
            </w:r>
          </w:p>
        </w:tc>
      </w:tr>
    </w:tbl>
    <w:p>
      <w:pPr>
        <w:spacing w:after="0" w:line="151" w:lineRule="exact"/>
        <w:jc w:val="right"/>
        <w:rPr>
          <w:sz w:val="15"/>
        </w:rPr>
        <w:sectPr>
          <w:headerReference w:type="default" r:id="rId25"/>
          <w:footerReference w:type="default" r:id="rId26"/>
          <w:pgSz w:w="11910" w:h="16850"/>
          <w:pgMar w:header="0" w:footer="607" w:top="1100" w:bottom="800" w:left="1000" w:right="740"/>
          <w:pgNumType w:start="26"/>
        </w:sectPr>
      </w:pPr>
    </w:p>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2"/>
        <w:gridCol w:w="3979"/>
        <w:gridCol w:w="3536"/>
      </w:tblGrid>
      <w:tr>
        <w:trPr>
          <w:trHeight w:val="475" w:hRule="atLeast"/>
        </w:trPr>
        <w:tc>
          <w:tcPr>
            <w:tcW w:w="2092" w:type="dxa"/>
            <w:tcBorders>
              <w:top w:val="single" w:sz="6" w:space="0" w:color="000000"/>
            </w:tcBorders>
          </w:tcPr>
          <w:p>
            <w:pPr>
              <w:pStyle w:val="TableParagraph"/>
              <w:rPr>
                <w:rFonts w:ascii="Times New Roman"/>
                <w:sz w:val="20"/>
              </w:rPr>
            </w:pPr>
          </w:p>
        </w:tc>
        <w:tc>
          <w:tcPr>
            <w:tcW w:w="3979" w:type="dxa"/>
            <w:tcBorders>
              <w:top w:val="single" w:sz="6" w:space="0" w:color="000000"/>
            </w:tcBorders>
          </w:tcPr>
          <w:p>
            <w:pPr>
              <w:pStyle w:val="TableParagraph"/>
              <w:spacing w:before="129"/>
              <w:ind w:left="620"/>
              <w:rPr>
                <w:sz w:val="15"/>
              </w:rPr>
            </w:pPr>
            <w:r>
              <w:rPr>
                <w:sz w:val="15"/>
              </w:rPr>
              <w:t>青霉素</w:t>
            </w:r>
            <w:r>
              <w:rPr>
                <w:rFonts w:ascii="Times New Roman" w:eastAsia="Times New Roman"/>
                <w:sz w:val="15"/>
              </w:rPr>
              <w:t>G</w:t>
            </w:r>
            <w:r>
              <w:rPr>
                <w:sz w:val="15"/>
              </w:rPr>
              <w:t>（注射液）</w:t>
            </w:r>
          </w:p>
        </w:tc>
        <w:tc>
          <w:tcPr>
            <w:tcW w:w="3536" w:type="dxa"/>
            <w:tcBorders>
              <w:top w:val="single" w:sz="6" w:space="0" w:color="000000"/>
            </w:tcBorders>
          </w:tcPr>
          <w:p>
            <w:pPr>
              <w:pStyle w:val="TableParagraph"/>
              <w:rPr>
                <w:rFonts w:ascii="楷体"/>
                <w:sz w:val="10"/>
              </w:rPr>
            </w:pPr>
          </w:p>
          <w:p>
            <w:pPr>
              <w:pStyle w:val="TableParagraph"/>
              <w:ind w:right="1076"/>
              <w:jc w:val="right"/>
              <w:rPr>
                <w:sz w:val="15"/>
              </w:rPr>
            </w:pPr>
            <w:r>
              <w:rPr>
                <w:sz w:val="15"/>
              </w:rPr>
              <w:t>新生儿及以上</w:t>
            </w:r>
          </w:p>
        </w:tc>
      </w:tr>
      <w:tr>
        <w:trPr>
          <w:trHeight w:val="466" w:hRule="atLeast"/>
        </w:trPr>
        <w:tc>
          <w:tcPr>
            <w:tcW w:w="2092" w:type="dxa"/>
          </w:tcPr>
          <w:p>
            <w:pPr>
              <w:pStyle w:val="TableParagraph"/>
              <w:rPr>
                <w:rFonts w:ascii="Times New Roman"/>
                <w:sz w:val="20"/>
              </w:rPr>
            </w:pPr>
          </w:p>
        </w:tc>
        <w:tc>
          <w:tcPr>
            <w:tcW w:w="3979" w:type="dxa"/>
          </w:tcPr>
          <w:p>
            <w:pPr>
              <w:pStyle w:val="TableParagraph"/>
              <w:spacing w:before="11"/>
              <w:rPr>
                <w:rFonts w:ascii="楷体"/>
                <w:sz w:val="9"/>
              </w:rPr>
            </w:pPr>
          </w:p>
          <w:p>
            <w:pPr>
              <w:pStyle w:val="TableParagraph"/>
              <w:ind w:left="620"/>
              <w:rPr>
                <w:sz w:val="15"/>
              </w:rPr>
            </w:pPr>
            <w:r>
              <w:rPr>
                <w:sz w:val="15"/>
              </w:rPr>
              <w:t>头孢噻肟（注射液）</w:t>
            </w:r>
          </w:p>
        </w:tc>
        <w:tc>
          <w:tcPr>
            <w:tcW w:w="3536" w:type="dxa"/>
          </w:tcPr>
          <w:p>
            <w:pPr>
              <w:pStyle w:val="TableParagraph"/>
              <w:spacing w:before="11"/>
              <w:rPr>
                <w:rFonts w:ascii="楷体"/>
                <w:sz w:val="9"/>
              </w:rPr>
            </w:pPr>
          </w:p>
          <w:p>
            <w:pPr>
              <w:pStyle w:val="TableParagraph"/>
              <w:ind w:right="1076"/>
              <w:jc w:val="right"/>
              <w:rPr>
                <w:sz w:val="15"/>
              </w:rPr>
            </w:pPr>
            <w:r>
              <w:rPr>
                <w:sz w:val="15"/>
              </w:rPr>
              <w:t>新生儿及以上</w:t>
            </w:r>
          </w:p>
        </w:tc>
      </w:tr>
      <w:tr>
        <w:trPr>
          <w:trHeight w:val="471" w:hRule="atLeast"/>
        </w:trPr>
        <w:tc>
          <w:tcPr>
            <w:tcW w:w="2092" w:type="dxa"/>
          </w:tcPr>
          <w:p>
            <w:pPr>
              <w:pStyle w:val="TableParagraph"/>
              <w:rPr>
                <w:rFonts w:ascii="Times New Roman"/>
                <w:sz w:val="20"/>
              </w:rPr>
            </w:pPr>
          </w:p>
        </w:tc>
        <w:tc>
          <w:tcPr>
            <w:tcW w:w="3979" w:type="dxa"/>
          </w:tcPr>
          <w:p>
            <w:pPr>
              <w:pStyle w:val="TableParagraph"/>
              <w:spacing w:before="2"/>
              <w:rPr>
                <w:rFonts w:ascii="楷体"/>
                <w:sz w:val="10"/>
              </w:rPr>
            </w:pPr>
          </w:p>
          <w:p>
            <w:pPr>
              <w:pStyle w:val="TableParagraph"/>
              <w:ind w:left="620"/>
              <w:rPr>
                <w:sz w:val="15"/>
              </w:rPr>
            </w:pPr>
            <w:r>
              <w:rPr>
                <w:sz w:val="15"/>
              </w:rPr>
              <w:t>阿昔洛韦（注射液）</w:t>
            </w:r>
          </w:p>
        </w:tc>
        <w:tc>
          <w:tcPr>
            <w:tcW w:w="3536" w:type="dxa"/>
          </w:tcPr>
          <w:p>
            <w:pPr>
              <w:pStyle w:val="TableParagraph"/>
              <w:spacing w:before="2"/>
              <w:rPr>
                <w:rFonts w:ascii="楷体"/>
                <w:sz w:val="10"/>
              </w:rPr>
            </w:pPr>
          </w:p>
          <w:p>
            <w:pPr>
              <w:pStyle w:val="TableParagraph"/>
              <w:ind w:right="1076"/>
              <w:jc w:val="right"/>
              <w:rPr>
                <w:sz w:val="15"/>
              </w:rPr>
            </w:pPr>
            <w:r>
              <w:rPr>
                <w:sz w:val="15"/>
              </w:rPr>
              <w:t>新生儿及以上</w:t>
            </w:r>
          </w:p>
        </w:tc>
      </w:tr>
      <w:tr>
        <w:trPr>
          <w:trHeight w:val="472" w:hRule="atLeast"/>
        </w:trPr>
        <w:tc>
          <w:tcPr>
            <w:tcW w:w="2092" w:type="dxa"/>
          </w:tcPr>
          <w:p>
            <w:pPr>
              <w:pStyle w:val="TableParagraph"/>
              <w:rPr>
                <w:rFonts w:ascii="Times New Roman"/>
                <w:sz w:val="20"/>
              </w:rPr>
            </w:pPr>
          </w:p>
        </w:tc>
        <w:tc>
          <w:tcPr>
            <w:tcW w:w="3979" w:type="dxa"/>
          </w:tcPr>
          <w:p>
            <w:pPr>
              <w:pStyle w:val="TableParagraph"/>
              <w:spacing w:before="3"/>
              <w:rPr>
                <w:rFonts w:ascii="楷体"/>
                <w:sz w:val="10"/>
              </w:rPr>
            </w:pPr>
          </w:p>
          <w:p>
            <w:pPr>
              <w:pStyle w:val="TableParagraph"/>
              <w:spacing w:before="1"/>
              <w:ind w:left="620"/>
              <w:rPr>
                <w:sz w:val="15"/>
              </w:rPr>
            </w:pPr>
            <w:r>
              <w:rPr>
                <w:sz w:val="15"/>
              </w:rPr>
              <w:t>氟康唑（胶囊剂、注射剂）</w:t>
            </w:r>
          </w:p>
        </w:tc>
        <w:tc>
          <w:tcPr>
            <w:tcW w:w="3536" w:type="dxa"/>
          </w:tcPr>
          <w:p>
            <w:pPr>
              <w:pStyle w:val="TableParagraph"/>
              <w:spacing w:before="3"/>
              <w:rPr>
                <w:rFonts w:ascii="楷体"/>
                <w:sz w:val="10"/>
              </w:rPr>
            </w:pPr>
          </w:p>
          <w:p>
            <w:pPr>
              <w:pStyle w:val="TableParagraph"/>
              <w:spacing w:before="1"/>
              <w:ind w:right="1076"/>
              <w:jc w:val="right"/>
              <w:rPr>
                <w:sz w:val="15"/>
              </w:rPr>
            </w:pPr>
            <w:r>
              <w:rPr>
                <w:sz w:val="15"/>
              </w:rPr>
              <w:t>新生儿及以上</w:t>
            </w:r>
          </w:p>
        </w:tc>
      </w:tr>
      <w:tr>
        <w:trPr>
          <w:trHeight w:val="471" w:hRule="atLeast"/>
        </w:trPr>
        <w:tc>
          <w:tcPr>
            <w:tcW w:w="2092" w:type="dxa"/>
          </w:tcPr>
          <w:p>
            <w:pPr>
              <w:pStyle w:val="TableParagraph"/>
              <w:rPr>
                <w:rFonts w:ascii="Times New Roman"/>
                <w:sz w:val="20"/>
              </w:rPr>
            </w:pPr>
          </w:p>
        </w:tc>
        <w:tc>
          <w:tcPr>
            <w:tcW w:w="3979" w:type="dxa"/>
          </w:tcPr>
          <w:p>
            <w:pPr>
              <w:pStyle w:val="TableParagraph"/>
              <w:spacing w:before="3"/>
              <w:rPr>
                <w:rFonts w:ascii="楷体"/>
                <w:sz w:val="10"/>
              </w:rPr>
            </w:pPr>
          </w:p>
          <w:p>
            <w:pPr>
              <w:pStyle w:val="TableParagraph"/>
              <w:spacing w:before="1"/>
              <w:ind w:left="620"/>
              <w:rPr>
                <w:sz w:val="15"/>
              </w:rPr>
            </w:pPr>
            <w:r>
              <w:rPr>
                <w:sz w:val="15"/>
              </w:rPr>
              <w:t>万古霉素（注射液）</w:t>
            </w:r>
          </w:p>
        </w:tc>
        <w:tc>
          <w:tcPr>
            <w:tcW w:w="3536" w:type="dxa"/>
          </w:tcPr>
          <w:p>
            <w:pPr>
              <w:pStyle w:val="TableParagraph"/>
              <w:spacing w:before="3"/>
              <w:rPr>
                <w:rFonts w:ascii="楷体"/>
                <w:sz w:val="10"/>
              </w:rPr>
            </w:pPr>
          </w:p>
          <w:p>
            <w:pPr>
              <w:pStyle w:val="TableParagraph"/>
              <w:spacing w:before="1"/>
              <w:ind w:right="1076"/>
              <w:jc w:val="right"/>
              <w:rPr>
                <w:sz w:val="15"/>
              </w:rPr>
            </w:pPr>
            <w:r>
              <w:rPr>
                <w:sz w:val="15"/>
              </w:rPr>
              <w:t>新生儿及以上</w:t>
            </w:r>
          </w:p>
        </w:tc>
      </w:tr>
      <w:tr>
        <w:trPr>
          <w:trHeight w:val="470" w:hRule="atLeast"/>
        </w:trPr>
        <w:tc>
          <w:tcPr>
            <w:tcW w:w="2092" w:type="dxa"/>
            <w:tcBorders>
              <w:bottom w:val="single" w:sz="6" w:space="0" w:color="000000"/>
            </w:tcBorders>
          </w:tcPr>
          <w:p>
            <w:pPr>
              <w:pStyle w:val="TableParagraph"/>
              <w:spacing w:before="2"/>
              <w:rPr>
                <w:rFonts w:ascii="楷体"/>
                <w:sz w:val="10"/>
              </w:rPr>
            </w:pPr>
          </w:p>
          <w:p>
            <w:pPr>
              <w:pStyle w:val="TableParagraph"/>
              <w:ind w:left="1096"/>
              <w:rPr>
                <w:sz w:val="15"/>
              </w:rPr>
            </w:pPr>
            <w:r>
              <w:rPr>
                <w:sz w:val="15"/>
              </w:rPr>
              <w:t>解毒剂</w:t>
            </w:r>
          </w:p>
        </w:tc>
        <w:tc>
          <w:tcPr>
            <w:tcW w:w="3979" w:type="dxa"/>
            <w:tcBorders>
              <w:bottom w:val="single" w:sz="6" w:space="0" w:color="000000"/>
            </w:tcBorders>
          </w:tcPr>
          <w:p>
            <w:pPr>
              <w:pStyle w:val="TableParagraph"/>
              <w:spacing w:before="2"/>
              <w:rPr>
                <w:rFonts w:ascii="楷体"/>
                <w:sz w:val="10"/>
              </w:rPr>
            </w:pPr>
          </w:p>
          <w:p>
            <w:pPr>
              <w:pStyle w:val="TableParagraph"/>
              <w:ind w:left="541"/>
              <w:rPr>
                <w:sz w:val="15"/>
              </w:rPr>
            </w:pPr>
            <w:r>
              <w:rPr>
                <w:sz w:val="15"/>
              </w:rPr>
              <w:t>纳洛酮（注射液）</w:t>
            </w:r>
          </w:p>
        </w:tc>
        <w:tc>
          <w:tcPr>
            <w:tcW w:w="3536" w:type="dxa"/>
            <w:tcBorders>
              <w:bottom w:val="single" w:sz="6" w:space="0" w:color="000000"/>
            </w:tcBorders>
          </w:tcPr>
          <w:p>
            <w:pPr>
              <w:pStyle w:val="TableParagraph"/>
              <w:spacing w:before="2"/>
              <w:rPr>
                <w:rFonts w:ascii="楷体"/>
                <w:sz w:val="10"/>
              </w:rPr>
            </w:pPr>
          </w:p>
          <w:p>
            <w:pPr>
              <w:pStyle w:val="TableParagraph"/>
              <w:ind w:right="1076"/>
              <w:jc w:val="right"/>
              <w:rPr>
                <w:sz w:val="15"/>
              </w:rPr>
            </w:pPr>
            <w:r>
              <w:rPr>
                <w:sz w:val="15"/>
              </w:rPr>
              <w:t>新生儿及以上</w:t>
            </w:r>
          </w:p>
        </w:tc>
      </w:tr>
    </w:tbl>
    <w:p>
      <w:pPr>
        <w:pStyle w:val="ListParagraph"/>
        <w:numPr>
          <w:ilvl w:val="2"/>
          <w:numId w:val="5"/>
        </w:numPr>
        <w:tabs>
          <w:tab w:pos="1420" w:val="left" w:leader="none"/>
        </w:tabs>
        <w:spacing w:line="312" w:lineRule="auto" w:before="70" w:after="0"/>
        <w:ind w:left="277" w:right="287" w:firstLine="482"/>
        <w:jc w:val="left"/>
        <w:rPr>
          <w:sz w:val="24"/>
        </w:rPr>
      </w:pPr>
      <w:r>
        <w:rPr>
          <w:sz w:val="24"/>
        </w:rPr>
        <w:t>五项权威资料中儿童用药适宜年龄段部分一致或仅有一个权威资料提及适宜年 </w:t>
      </w:r>
      <w:r>
        <w:rPr>
          <w:spacing w:val="-1"/>
          <w:sz w:val="24"/>
        </w:rPr>
        <w:t>龄段的活性成分和品种笔者在调研过程中统计了以下三种情况无法提供儿童用药计算方法： </w:t>
      </w:r>
      <w:r>
        <w:rPr>
          <w:spacing w:val="-7"/>
          <w:sz w:val="24"/>
        </w:rPr>
        <w:t>未收录该活性成分或品种；收录了该活性成分或品种但未提供儿童用药信息；儿童用药信息</w:t>
      </w:r>
      <w:r>
        <w:rPr>
          <w:spacing w:val="-12"/>
          <w:sz w:val="24"/>
        </w:rPr>
        <w:t>不明确，主要描述为：对儿童服药的安全性、有效性尚未明确、尚未进行该项试验、儿童慎用、遵医嘱、遵专家意见等。故不考虑无儿童用药剂量计算方法的权威资料，结果显示适宜</w:t>
      </w:r>
      <w:r>
        <w:rPr>
          <w:spacing w:val="-14"/>
          <w:sz w:val="24"/>
        </w:rPr>
        <w:t>年龄段一致的以及仅有一个权威资料提及适宜年龄段的活性成分有 </w:t>
      </w:r>
      <w:r>
        <w:rPr>
          <w:sz w:val="24"/>
        </w:rPr>
        <w:t>109</w:t>
      </w:r>
      <w:r>
        <w:rPr>
          <w:spacing w:val="-47"/>
          <w:sz w:val="24"/>
        </w:rPr>
        <w:t> 个</w:t>
      </w:r>
      <w:r>
        <w:rPr>
          <w:spacing w:val="-8"/>
          <w:sz w:val="24"/>
        </w:rPr>
        <w:t>（30.36%），</w:t>
      </w:r>
      <w:r>
        <w:rPr>
          <w:sz w:val="24"/>
        </w:rPr>
        <w:t>品种</w:t>
      </w:r>
      <w:r>
        <w:rPr>
          <w:spacing w:val="-30"/>
          <w:sz w:val="24"/>
        </w:rPr>
        <w:t>有 </w:t>
      </w:r>
      <w:r>
        <w:rPr>
          <w:sz w:val="24"/>
        </w:rPr>
        <w:t>129</w:t>
      </w:r>
      <w:r>
        <w:rPr>
          <w:spacing w:val="-31"/>
          <w:sz w:val="24"/>
        </w:rPr>
        <w:t> 个</w:t>
      </w:r>
      <w:r>
        <w:rPr>
          <w:sz w:val="24"/>
        </w:rPr>
        <w:t>（24.57%）。</w:t>
      </w:r>
    </w:p>
    <w:p>
      <w:pPr>
        <w:pStyle w:val="ListParagraph"/>
        <w:numPr>
          <w:ilvl w:val="2"/>
          <w:numId w:val="5"/>
        </w:numPr>
        <w:tabs>
          <w:tab w:pos="1599" w:val="left" w:leader="none"/>
          <w:tab w:pos="1600" w:val="left" w:leader="none"/>
        </w:tabs>
        <w:spacing w:line="312" w:lineRule="auto" w:before="3" w:after="0"/>
        <w:ind w:left="277" w:right="267" w:firstLine="482"/>
        <w:jc w:val="left"/>
        <w:rPr>
          <w:sz w:val="24"/>
        </w:rPr>
      </w:pPr>
      <w:r>
        <w:rPr>
          <w:spacing w:val="-4"/>
          <w:sz w:val="24"/>
        </w:rPr>
        <w:t>部分品种的儿童用药适宜年龄段在 </w:t>
      </w:r>
      <w:r>
        <w:rPr>
          <w:sz w:val="24"/>
        </w:rPr>
        <w:t>Micromedex</w:t>
      </w:r>
      <w:r>
        <w:rPr>
          <w:spacing w:val="-8"/>
          <w:sz w:val="24"/>
        </w:rPr>
        <w:t> 数据库中的调研结果该清单中， </w:t>
      </w:r>
      <w:r>
        <w:rPr>
          <w:spacing w:val="-34"/>
          <w:sz w:val="24"/>
        </w:rPr>
        <w:t>有 </w:t>
      </w:r>
      <w:r>
        <w:rPr>
          <w:sz w:val="24"/>
        </w:rPr>
        <w:t>65</w:t>
      </w:r>
      <w:r>
        <w:rPr>
          <w:spacing w:val="-11"/>
          <w:sz w:val="24"/>
        </w:rPr>
        <w:t> 个活性成分，</w:t>
      </w:r>
      <w:r>
        <w:rPr>
          <w:spacing w:val="-17"/>
          <w:sz w:val="24"/>
        </w:rPr>
        <w:t>74</w:t>
      </w:r>
      <w:r>
        <w:rPr>
          <w:spacing w:val="-12"/>
          <w:sz w:val="24"/>
        </w:rPr>
        <w:t> 个品种在五项权威资料中均无儿童适宜年龄段，笔者通过 </w:t>
      </w:r>
      <w:r>
        <w:rPr>
          <w:sz w:val="24"/>
        </w:rPr>
        <w:t>Micromedex </w:t>
      </w:r>
      <w:r>
        <w:rPr>
          <w:spacing w:val="-5"/>
          <w:sz w:val="24"/>
        </w:rPr>
        <w:t>数据库进一步检索上述品种的用药信息，查到了其中 </w:t>
      </w:r>
      <w:r>
        <w:rPr>
          <w:sz w:val="24"/>
        </w:rPr>
        <w:t>21</w:t>
      </w:r>
      <w:r>
        <w:rPr>
          <w:spacing w:val="-10"/>
          <w:sz w:val="24"/>
        </w:rPr>
        <w:t> 个活性成分，</w:t>
      </w:r>
      <w:r>
        <w:rPr>
          <w:spacing w:val="-7"/>
          <w:sz w:val="24"/>
        </w:rPr>
        <w:t>26</w:t>
      </w:r>
      <w:r>
        <w:rPr>
          <w:spacing w:val="-8"/>
          <w:sz w:val="24"/>
        </w:rPr>
        <w:t> 个品种的适宜年龄</w:t>
      </w:r>
      <w:r>
        <w:rPr>
          <w:spacing w:val="-16"/>
          <w:sz w:val="24"/>
        </w:rPr>
        <w:t>段。如酮替芬鼻喷雾剂适宜 </w:t>
      </w:r>
      <w:r>
        <w:rPr>
          <w:sz w:val="24"/>
        </w:rPr>
        <w:t>3</w:t>
      </w:r>
      <w:r>
        <w:rPr>
          <w:spacing w:val="-15"/>
          <w:sz w:val="24"/>
        </w:rPr>
        <w:t> 岁及以上的儿童使用；甲硝唑注射液适用于新生儿及以上儿童； </w:t>
      </w:r>
      <w:r>
        <w:rPr>
          <w:spacing w:val="-6"/>
          <w:sz w:val="24"/>
        </w:rPr>
        <w:t>妥布霉素眼膏适用于 </w:t>
      </w:r>
      <w:r>
        <w:rPr>
          <w:sz w:val="24"/>
        </w:rPr>
        <w:t>2</w:t>
      </w:r>
      <w:r>
        <w:rPr>
          <w:spacing w:val="-8"/>
          <w:sz w:val="24"/>
        </w:rPr>
        <w:t> 月及以上儿童。</w:t>
      </w:r>
    </w:p>
    <w:p>
      <w:pPr>
        <w:pStyle w:val="ListParagraph"/>
        <w:numPr>
          <w:ilvl w:val="1"/>
          <w:numId w:val="5"/>
        </w:numPr>
        <w:tabs>
          <w:tab w:pos="1359" w:val="left" w:leader="none"/>
          <w:tab w:pos="1360" w:val="left" w:leader="none"/>
        </w:tabs>
        <w:spacing w:line="240" w:lineRule="auto" w:before="1" w:after="0"/>
        <w:ind w:left="1359" w:right="0" w:hanging="601"/>
        <w:jc w:val="left"/>
        <w:rPr>
          <w:sz w:val="24"/>
        </w:rPr>
      </w:pPr>
      <w:r>
        <w:rPr>
          <w:sz w:val="24"/>
        </w:rPr>
        <w:t>适宜年龄段一致的以及仅有一个权威资料提及适宜年龄段的品种在不同年龄段的</w:t>
      </w:r>
    </w:p>
    <w:p>
      <w:pPr>
        <w:pStyle w:val="BodyText"/>
        <w:spacing w:before="93"/>
      </w:pPr>
      <w:r>
        <w:rPr/>
        <w:t>划分</w:t>
      </w:r>
    </w:p>
    <w:p>
      <w:pPr>
        <w:pStyle w:val="BodyText"/>
        <w:spacing w:before="91"/>
        <w:ind w:left="759"/>
      </w:pPr>
      <w:r>
        <w:rPr/>
        <w:t>将所有儿童用药适宜年龄段一致的以及仅有一个权威资料提及适宜年龄段的共计 109</w:t>
      </w:r>
    </w:p>
    <w:p>
      <w:pPr>
        <w:pStyle w:val="BodyText"/>
        <w:spacing w:before="94"/>
      </w:pPr>
      <w:r>
        <w:rPr/>
        <w:t>个活性成分和 129 个品种的适宜年龄统计如下。具体见表 5。</w:t>
      </w:r>
    </w:p>
    <w:p>
      <w:pPr>
        <w:pStyle w:val="BodyText"/>
        <w:spacing w:before="14" w:after="5"/>
        <w:rPr>
          <w:rFonts w:ascii="楷体" w:eastAsia="楷体" w:hint="eastAsia"/>
        </w:rPr>
      </w:pPr>
      <w:r>
        <w:rPr>
          <w:rFonts w:ascii="楷体" w:eastAsia="楷体" w:hint="eastAsia"/>
        </w:rPr>
        <w:t>表 5129 个品种在不同年龄段的适宜性划分（品种数及比例）</w:t>
      </w:r>
    </w:p>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3"/>
        <w:gridCol w:w="2650"/>
        <w:gridCol w:w="1794"/>
        <w:gridCol w:w="3004"/>
      </w:tblGrid>
      <w:tr>
        <w:trPr>
          <w:trHeight w:val="466" w:hRule="atLeast"/>
        </w:trPr>
        <w:tc>
          <w:tcPr>
            <w:tcW w:w="2143" w:type="dxa"/>
            <w:tcBorders>
              <w:top w:val="single" w:sz="4" w:space="0" w:color="000000"/>
              <w:bottom w:val="single" w:sz="6" w:space="0" w:color="000000"/>
            </w:tcBorders>
          </w:tcPr>
          <w:p>
            <w:pPr>
              <w:pStyle w:val="TableParagraph"/>
              <w:spacing w:before="9"/>
              <w:rPr>
                <w:rFonts w:ascii="楷体"/>
                <w:sz w:val="10"/>
              </w:rPr>
            </w:pPr>
          </w:p>
          <w:p>
            <w:pPr>
              <w:pStyle w:val="TableParagraph"/>
              <w:ind w:left="93"/>
              <w:rPr>
                <w:sz w:val="15"/>
              </w:rPr>
            </w:pPr>
            <w:r>
              <w:rPr>
                <w:sz w:val="15"/>
              </w:rPr>
              <w:t>适宜年龄段</w:t>
            </w:r>
          </w:p>
        </w:tc>
        <w:tc>
          <w:tcPr>
            <w:tcW w:w="2650" w:type="dxa"/>
            <w:tcBorders>
              <w:top w:val="single" w:sz="4" w:space="0" w:color="000000"/>
              <w:bottom w:val="single" w:sz="6" w:space="0" w:color="000000"/>
              <w:right w:val="single" w:sz="4" w:space="0" w:color="000000"/>
            </w:tcBorders>
          </w:tcPr>
          <w:p>
            <w:pPr>
              <w:pStyle w:val="TableParagraph"/>
              <w:spacing w:before="138"/>
              <w:ind w:left="459"/>
              <w:rPr>
                <w:sz w:val="15"/>
              </w:rPr>
            </w:pPr>
            <w:r>
              <w:rPr>
                <w:sz w:val="15"/>
              </w:rPr>
              <w:t>品种数（</w:t>
            </w:r>
            <w:r>
              <w:rPr>
                <w:rFonts w:ascii="Times New Roman" w:eastAsia="Times New Roman"/>
                <w:sz w:val="15"/>
              </w:rPr>
              <w:t>%</w:t>
            </w:r>
            <w:r>
              <w:rPr>
                <w:sz w:val="15"/>
              </w:rPr>
              <w:t>）</w:t>
            </w:r>
          </w:p>
        </w:tc>
        <w:tc>
          <w:tcPr>
            <w:tcW w:w="1794" w:type="dxa"/>
            <w:tcBorders>
              <w:top w:val="single" w:sz="4" w:space="0" w:color="000000"/>
              <w:left w:val="single" w:sz="4" w:space="0" w:color="000000"/>
              <w:bottom w:val="single" w:sz="6" w:space="0" w:color="000000"/>
            </w:tcBorders>
          </w:tcPr>
          <w:p>
            <w:pPr>
              <w:pStyle w:val="TableParagraph"/>
              <w:spacing w:before="9"/>
              <w:rPr>
                <w:rFonts w:ascii="楷体"/>
                <w:sz w:val="10"/>
              </w:rPr>
            </w:pPr>
          </w:p>
          <w:p>
            <w:pPr>
              <w:pStyle w:val="TableParagraph"/>
              <w:rPr>
                <w:sz w:val="15"/>
              </w:rPr>
            </w:pPr>
            <w:r>
              <w:rPr>
                <w:sz w:val="15"/>
              </w:rPr>
              <w:t>适宜年龄</w:t>
            </w:r>
          </w:p>
        </w:tc>
        <w:tc>
          <w:tcPr>
            <w:tcW w:w="3004" w:type="dxa"/>
            <w:tcBorders>
              <w:top w:val="single" w:sz="4" w:space="0" w:color="000000"/>
              <w:bottom w:val="single" w:sz="6" w:space="0" w:color="000000"/>
            </w:tcBorders>
          </w:tcPr>
          <w:p>
            <w:pPr>
              <w:pStyle w:val="TableParagraph"/>
              <w:spacing w:before="138"/>
              <w:ind w:left="321"/>
              <w:rPr>
                <w:sz w:val="15"/>
              </w:rPr>
            </w:pPr>
            <w:r>
              <w:rPr>
                <w:sz w:val="15"/>
              </w:rPr>
              <w:t>品种数（</w:t>
            </w:r>
            <w:r>
              <w:rPr>
                <w:rFonts w:ascii="Times New Roman" w:eastAsia="Times New Roman"/>
                <w:sz w:val="15"/>
              </w:rPr>
              <w:t>%</w:t>
            </w:r>
            <w:r>
              <w:rPr>
                <w:sz w:val="15"/>
              </w:rPr>
              <w:t>）</w:t>
            </w:r>
          </w:p>
        </w:tc>
      </w:tr>
      <w:tr>
        <w:trPr>
          <w:trHeight w:val="474" w:hRule="atLeast"/>
        </w:trPr>
        <w:tc>
          <w:tcPr>
            <w:tcW w:w="2143" w:type="dxa"/>
            <w:tcBorders>
              <w:top w:val="single" w:sz="6" w:space="0" w:color="000000"/>
            </w:tcBorders>
          </w:tcPr>
          <w:p>
            <w:pPr>
              <w:pStyle w:val="TableParagraph"/>
              <w:spacing w:before="139"/>
              <w:ind w:right="549"/>
              <w:jc w:val="right"/>
              <w:rPr>
                <w:rFonts w:ascii="Times New Roman" w:eastAsia="Times New Roman"/>
                <w:sz w:val="15"/>
              </w:rPr>
            </w:pPr>
            <w:r>
              <w:rPr>
                <w:rFonts w:ascii="Times New Roman" w:eastAsia="Times New Roman"/>
                <w:sz w:val="15"/>
              </w:rPr>
              <w:t>[0-28 </w:t>
            </w:r>
            <w:r>
              <w:rPr>
                <w:sz w:val="15"/>
              </w:rPr>
              <w:t>天</w:t>
            </w:r>
            <w:r>
              <w:rPr>
                <w:rFonts w:ascii="Times New Roman" w:eastAsia="Times New Roman"/>
                <w:sz w:val="15"/>
              </w:rPr>
              <w:t>)</w:t>
            </w:r>
          </w:p>
        </w:tc>
        <w:tc>
          <w:tcPr>
            <w:tcW w:w="2650" w:type="dxa"/>
            <w:tcBorders>
              <w:top w:val="single" w:sz="6" w:space="0" w:color="000000"/>
              <w:right w:val="single" w:sz="4" w:space="0" w:color="000000"/>
            </w:tcBorders>
          </w:tcPr>
          <w:p>
            <w:pPr>
              <w:pStyle w:val="TableParagraph"/>
              <w:spacing w:before="139"/>
              <w:ind w:right="695"/>
              <w:jc w:val="right"/>
              <w:rPr>
                <w:sz w:val="15"/>
              </w:rPr>
            </w:pPr>
            <w:r>
              <w:rPr>
                <w:rFonts w:ascii="Times New Roman" w:eastAsia="Times New Roman"/>
                <w:sz w:val="15"/>
              </w:rPr>
              <w:t>66</w:t>
            </w:r>
            <w:r>
              <w:rPr>
                <w:sz w:val="15"/>
              </w:rPr>
              <w:t>（</w:t>
            </w:r>
            <w:r>
              <w:rPr>
                <w:rFonts w:ascii="Times New Roman" w:eastAsia="Times New Roman"/>
                <w:sz w:val="15"/>
              </w:rPr>
              <w:t>51.16</w:t>
            </w:r>
            <w:r>
              <w:rPr>
                <w:sz w:val="15"/>
              </w:rPr>
              <w:t>）</w:t>
            </w:r>
          </w:p>
        </w:tc>
        <w:tc>
          <w:tcPr>
            <w:tcW w:w="1794" w:type="dxa"/>
            <w:tcBorders>
              <w:top w:val="single" w:sz="6" w:space="0" w:color="000000"/>
              <w:left w:val="single" w:sz="4" w:space="0" w:color="000000"/>
            </w:tcBorders>
          </w:tcPr>
          <w:p>
            <w:pPr>
              <w:pStyle w:val="TableParagraph"/>
              <w:spacing w:before="139"/>
              <w:ind w:left="718"/>
              <w:rPr>
                <w:rFonts w:ascii="Times New Roman" w:eastAsia="Times New Roman"/>
                <w:sz w:val="15"/>
              </w:rPr>
            </w:pPr>
            <w:r>
              <w:rPr>
                <w:rFonts w:ascii="Times New Roman" w:eastAsia="Times New Roman"/>
                <w:sz w:val="15"/>
              </w:rPr>
              <w:t>[1 </w:t>
            </w:r>
            <w:r>
              <w:rPr>
                <w:sz w:val="15"/>
              </w:rPr>
              <w:t>岁</w:t>
            </w:r>
            <w:r>
              <w:rPr>
                <w:rFonts w:ascii="Times New Roman" w:eastAsia="Times New Roman"/>
                <w:sz w:val="15"/>
              </w:rPr>
              <w:t>-3 </w:t>
            </w:r>
            <w:r>
              <w:rPr>
                <w:sz w:val="15"/>
              </w:rPr>
              <w:t>岁</w:t>
            </w:r>
            <w:r>
              <w:rPr>
                <w:rFonts w:ascii="Times New Roman" w:eastAsia="Times New Roman"/>
                <w:sz w:val="15"/>
              </w:rPr>
              <w:t>)</w:t>
            </w:r>
          </w:p>
        </w:tc>
        <w:tc>
          <w:tcPr>
            <w:tcW w:w="3004" w:type="dxa"/>
            <w:tcBorders>
              <w:top w:val="single" w:sz="6" w:space="0" w:color="000000"/>
            </w:tcBorders>
          </w:tcPr>
          <w:p>
            <w:pPr>
              <w:pStyle w:val="TableParagraph"/>
              <w:spacing w:before="139"/>
              <w:ind w:right="906"/>
              <w:jc w:val="right"/>
              <w:rPr>
                <w:sz w:val="15"/>
              </w:rPr>
            </w:pPr>
            <w:r>
              <w:rPr>
                <w:rFonts w:ascii="Times New Roman" w:eastAsia="Times New Roman"/>
                <w:sz w:val="15"/>
              </w:rPr>
              <w:t>111</w:t>
            </w:r>
            <w:r>
              <w:rPr>
                <w:sz w:val="15"/>
              </w:rPr>
              <w:t>（</w:t>
            </w:r>
            <w:r>
              <w:rPr>
                <w:rFonts w:ascii="Times New Roman" w:eastAsia="Times New Roman"/>
                <w:sz w:val="15"/>
              </w:rPr>
              <w:t>86.05</w:t>
            </w:r>
            <w:r>
              <w:rPr>
                <w:sz w:val="15"/>
              </w:rPr>
              <w:t>）</w:t>
            </w:r>
          </w:p>
        </w:tc>
      </w:tr>
      <w:tr>
        <w:trPr>
          <w:trHeight w:val="471" w:hRule="atLeast"/>
        </w:trPr>
        <w:tc>
          <w:tcPr>
            <w:tcW w:w="2143" w:type="dxa"/>
          </w:tcPr>
          <w:p>
            <w:pPr>
              <w:pStyle w:val="TableParagraph"/>
              <w:spacing w:before="137"/>
              <w:ind w:right="456"/>
              <w:jc w:val="right"/>
              <w:rPr>
                <w:rFonts w:ascii="Times New Roman" w:eastAsia="Times New Roman"/>
                <w:sz w:val="15"/>
              </w:rPr>
            </w:pPr>
            <w:r>
              <w:rPr>
                <w:rFonts w:ascii="Times New Roman" w:eastAsia="Times New Roman"/>
                <w:sz w:val="15"/>
              </w:rPr>
              <w:t>[28 </w:t>
            </w:r>
            <w:r>
              <w:rPr>
                <w:sz w:val="15"/>
              </w:rPr>
              <w:t>天</w:t>
            </w:r>
            <w:r>
              <w:rPr>
                <w:rFonts w:ascii="Times New Roman" w:eastAsia="Times New Roman"/>
                <w:sz w:val="15"/>
              </w:rPr>
              <w:t>-2 </w:t>
            </w:r>
            <w:r>
              <w:rPr>
                <w:sz w:val="15"/>
              </w:rPr>
              <w:t>月</w:t>
            </w:r>
            <w:r>
              <w:rPr>
                <w:rFonts w:ascii="Times New Roman" w:eastAsia="Times New Roman"/>
                <w:sz w:val="15"/>
              </w:rPr>
              <w:t>)</w:t>
            </w:r>
          </w:p>
        </w:tc>
        <w:tc>
          <w:tcPr>
            <w:tcW w:w="2650" w:type="dxa"/>
            <w:tcBorders>
              <w:right w:val="single" w:sz="4" w:space="0" w:color="000000"/>
            </w:tcBorders>
          </w:tcPr>
          <w:p>
            <w:pPr>
              <w:pStyle w:val="TableParagraph"/>
              <w:spacing w:before="137"/>
              <w:ind w:right="695"/>
              <w:jc w:val="right"/>
              <w:rPr>
                <w:sz w:val="15"/>
              </w:rPr>
            </w:pPr>
            <w:r>
              <w:rPr>
                <w:rFonts w:ascii="Times New Roman" w:eastAsia="Times New Roman"/>
                <w:sz w:val="15"/>
              </w:rPr>
              <w:t>85</w:t>
            </w:r>
            <w:r>
              <w:rPr>
                <w:sz w:val="15"/>
              </w:rPr>
              <w:t>（</w:t>
            </w:r>
            <w:r>
              <w:rPr>
                <w:rFonts w:ascii="Times New Roman" w:eastAsia="Times New Roman"/>
                <w:sz w:val="15"/>
              </w:rPr>
              <w:t>65.89</w:t>
            </w:r>
            <w:r>
              <w:rPr>
                <w:sz w:val="15"/>
              </w:rPr>
              <w:t>）</w:t>
            </w:r>
          </w:p>
        </w:tc>
        <w:tc>
          <w:tcPr>
            <w:tcW w:w="1794" w:type="dxa"/>
            <w:tcBorders>
              <w:left w:val="single" w:sz="4" w:space="0" w:color="000000"/>
            </w:tcBorders>
          </w:tcPr>
          <w:p>
            <w:pPr>
              <w:pStyle w:val="TableParagraph"/>
              <w:spacing w:before="137"/>
              <w:ind w:left="718"/>
              <w:rPr>
                <w:rFonts w:ascii="Times New Roman" w:eastAsia="Times New Roman"/>
                <w:sz w:val="15"/>
              </w:rPr>
            </w:pPr>
            <w:r>
              <w:rPr>
                <w:rFonts w:ascii="Times New Roman" w:eastAsia="Times New Roman"/>
                <w:sz w:val="15"/>
              </w:rPr>
              <w:t>[3 </w:t>
            </w:r>
            <w:r>
              <w:rPr>
                <w:sz w:val="15"/>
              </w:rPr>
              <w:t>岁</w:t>
            </w:r>
            <w:r>
              <w:rPr>
                <w:rFonts w:ascii="Times New Roman" w:eastAsia="Times New Roman"/>
                <w:sz w:val="15"/>
              </w:rPr>
              <w:t>-6 </w:t>
            </w:r>
            <w:r>
              <w:rPr>
                <w:sz w:val="15"/>
              </w:rPr>
              <w:t>岁</w:t>
            </w:r>
            <w:r>
              <w:rPr>
                <w:rFonts w:ascii="Times New Roman" w:eastAsia="Times New Roman"/>
                <w:sz w:val="15"/>
              </w:rPr>
              <w:t>)</w:t>
            </w:r>
          </w:p>
        </w:tc>
        <w:tc>
          <w:tcPr>
            <w:tcW w:w="3004" w:type="dxa"/>
          </w:tcPr>
          <w:p>
            <w:pPr>
              <w:pStyle w:val="TableParagraph"/>
              <w:spacing w:before="137"/>
              <w:ind w:right="906"/>
              <w:jc w:val="right"/>
              <w:rPr>
                <w:sz w:val="15"/>
              </w:rPr>
            </w:pPr>
            <w:r>
              <w:rPr>
                <w:rFonts w:ascii="Times New Roman" w:eastAsia="Times New Roman"/>
                <w:sz w:val="15"/>
              </w:rPr>
              <w:t>121</w:t>
            </w:r>
            <w:r>
              <w:rPr>
                <w:sz w:val="15"/>
              </w:rPr>
              <w:t>（</w:t>
            </w:r>
            <w:r>
              <w:rPr>
                <w:rFonts w:ascii="Times New Roman" w:eastAsia="Times New Roman"/>
                <w:sz w:val="15"/>
              </w:rPr>
              <w:t>93.80</w:t>
            </w:r>
            <w:r>
              <w:rPr>
                <w:sz w:val="15"/>
              </w:rPr>
              <w:t>）</w:t>
            </w:r>
          </w:p>
        </w:tc>
      </w:tr>
      <w:tr>
        <w:trPr>
          <w:trHeight w:val="471" w:hRule="atLeast"/>
        </w:trPr>
        <w:tc>
          <w:tcPr>
            <w:tcW w:w="2143" w:type="dxa"/>
          </w:tcPr>
          <w:p>
            <w:pPr>
              <w:pStyle w:val="TableParagraph"/>
              <w:spacing w:before="136"/>
              <w:ind w:right="494"/>
              <w:jc w:val="right"/>
              <w:rPr>
                <w:rFonts w:ascii="Times New Roman" w:eastAsia="Times New Roman"/>
                <w:sz w:val="15"/>
              </w:rPr>
            </w:pPr>
            <w:r>
              <w:rPr>
                <w:rFonts w:ascii="Times New Roman" w:eastAsia="Times New Roman"/>
                <w:sz w:val="15"/>
              </w:rPr>
              <w:t>[2 </w:t>
            </w:r>
            <w:r>
              <w:rPr>
                <w:sz w:val="15"/>
              </w:rPr>
              <w:t>月</w:t>
            </w:r>
            <w:r>
              <w:rPr>
                <w:rFonts w:ascii="Times New Roman" w:eastAsia="Times New Roman"/>
                <w:sz w:val="15"/>
              </w:rPr>
              <w:t>-6 </w:t>
            </w:r>
            <w:r>
              <w:rPr>
                <w:sz w:val="15"/>
              </w:rPr>
              <w:t>月</w:t>
            </w:r>
            <w:r>
              <w:rPr>
                <w:rFonts w:ascii="Times New Roman" w:eastAsia="Times New Roman"/>
                <w:sz w:val="15"/>
              </w:rPr>
              <w:t>)</w:t>
            </w:r>
          </w:p>
        </w:tc>
        <w:tc>
          <w:tcPr>
            <w:tcW w:w="2650" w:type="dxa"/>
            <w:tcBorders>
              <w:right w:val="single" w:sz="4" w:space="0" w:color="000000"/>
            </w:tcBorders>
          </w:tcPr>
          <w:p>
            <w:pPr>
              <w:pStyle w:val="TableParagraph"/>
              <w:spacing w:before="136"/>
              <w:ind w:right="695"/>
              <w:jc w:val="right"/>
              <w:rPr>
                <w:sz w:val="15"/>
              </w:rPr>
            </w:pPr>
            <w:r>
              <w:rPr>
                <w:rFonts w:ascii="Times New Roman" w:eastAsia="Times New Roman"/>
                <w:sz w:val="15"/>
              </w:rPr>
              <w:t>92</w:t>
            </w:r>
            <w:r>
              <w:rPr>
                <w:sz w:val="15"/>
              </w:rPr>
              <w:t>（</w:t>
            </w:r>
            <w:r>
              <w:rPr>
                <w:rFonts w:ascii="Times New Roman" w:eastAsia="Times New Roman"/>
                <w:sz w:val="15"/>
              </w:rPr>
              <w:t>71.32</w:t>
            </w:r>
            <w:r>
              <w:rPr>
                <w:sz w:val="15"/>
              </w:rPr>
              <w:t>）</w:t>
            </w:r>
          </w:p>
        </w:tc>
        <w:tc>
          <w:tcPr>
            <w:tcW w:w="1794" w:type="dxa"/>
            <w:tcBorders>
              <w:left w:val="single" w:sz="4" w:space="0" w:color="000000"/>
            </w:tcBorders>
          </w:tcPr>
          <w:p>
            <w:pPr>
              <w:pStyle w:val="TableParagraph"/>
              <w:spacing w:before="136"/>
              <w:ind w:left="679"/>
              <w:rPr>
                <w:rFonts w:ascii="Times New Roman" w:eastAsia="Times New Roman"/>
                <w:sz w:val="15"/>
              </w:rPr>
            </w:pPr>
            <w:r>
              <w:rPr>
                <w:rFonts w:ascii="Times New Roman" w:eastAsia="Times New Roman"/>
                <w:sz w:val="15"/>
              </w:rPr>
              <w:t>[6 </w:t>
            </w:r>
            <w:r>
              <w:rPr>
                <w:sz w:val="15"/>
              </w:rPr>
              <w:t>岁</w:t>
            </w:r>
            <w:r>
              <w:rPr>
                <w:rFonts w:ascii="Times New Roman" w:eastAsia="Times New Roman"/>
                <w:sz w:val="15"/>
              </w:rPr>
              <w:t>-12 </w:t>
            </w:r>
            <w:r>
              <w:rPr>
                <w:sz w:val="15"/>
              </w:rPr>
              <w:t>岁</w:t>
            </w:r>
            <w:r>
              <w:rPr>
                <w:rFonts w:ascii="Times New Roman" w:eastAsia="Times New Roman"/>
                <w:sz w:val="15"/>
              </w:rPr>
              <w:t>)</w:t>
            </w:r>
          </w:p>
        </w:tc>
        <w:tc>
          <w:tcPr>
            <w:tcW w:w="3004" w:type="dxa"/>
          </w:tcPr>
          <w:p>
            <w:pPr>
              <w:pStyle w:val="TableParagraph"/>
              <w:spacing w:before="136"/>
              <w:ind w:right="906"/>
              <w:jc w:val="right"/>
              <w:rPr>
                <w:sz w:val="15"/>
              </w:rPr>
            </w:pPr>
            <w:r>
              <w:rPr>
                <w:rFonts w:ascii="Times New Roman" w:eastAsia="Times New Roman"/>
                <w:sz w:val="15"/>
              </w:rPr>
              <w:t>127</w:t>
            </w:r>
            <w:r>
              <w:rPr>
                <w:sz w:val="15"/>
              </w:rPr>
              <w:t>（</w:t>
            </w:r>
            <w:r>
              <w:rPr>
                <w:rFonts w:ascii="Times New Roman" w:eastAsia="Times New Roman"/>
                <w:sz w:val="15"/>
              </w:rPr>
              <w:t>98.45</w:t>
            </w:r>
            <w:r>
              <w:rPr>
                <w:sz w:val="15"/>
              </w:rPr>
              <w:t>）</w:t>
            </w:r>
          </w:p>
        </w:tc>
      </w:tr>
      <w:tr>
        <w:trPr>
          <w:trHeight w:val="465" w:hRule="atLeast"/>
        </w:trPr>
        <w:tc>
          <w:tcPr>
            <w:tcW w:w="2143" w:type="dxa"/>
            <w:tcBorders>
              <w:bottom w:val="single" w:sz="6" w:space="0" w:color="000000"/>
            </w:tcBorders>
          </w:tcPr>
          <w:p>
            <w:pPr>
              <w:pStyle w:val="TableParagraph"/>
              <w:spacing w:before="137"/>
              <w:ind w:right="494"/>
              <w:jc w:val="right"/>
              <w:rPr>
                <w:rFonts w:ascii="Times New Roman" w:eastAsia="Times New Roman"/>
                <w:sz w:val="15"/>
              </w:rPr>
            </w:pPr>
            <w:r>
              <w:rPr>
                <w:rFonts w:ascii="Times New Roman" w:eastAsia="Times New Roman"/>
                <w:sz w:val="15"/>
              </w:rPr>
              <w:t>[6 </w:t>
            </w:r>
            <w:r>
              <w:rPr>
                <w:sz w:val="15"/>
              </w:rPr>
              <w:t>月</w:t>
            </w:r>
            <w:r>
              <w:rPr>
                <w:rFonts w:ascii="Times New Roman" w:eastAsia="Times New Roman"/>
                <w:sz w:val="15"/>
              </w:rPr>
              <w:t>-1 </w:t>
            </w:r>
            <w:r>
              <w:rPr>
                <w:sz w:val="15"/>
              </w:rPr>
              <w:t>岁</w:t>
            </w:r>
            <w:r>
              <w:rPr>
                <w:rFonts w:ascii="Times New Roman" w:eastAsia="Times New Roman"/>
                <w:sz w:val="15"/>
              </w:rPr>
              <w:t>)</w:t>
            </w:r>
          </w:p>
        </w:tc>
        <w:tc>
          <w:tcPr>
            <w:tcW w:w="2650" w:type="dxa"/>
            <w:tcBorders>
              <w:bottom w:val="single" w:sz="6" w:space="0" w:color="000000"/>
              <w:right w:val="single" w:sz="4" w:space="0" w:color="000000"/>
            </w:tcBorders>
          </w:tcPr>
          <w:p>
            <w:pPr>
              <w:pStyle w:val="TableParagraph"/>
              <w:spacing w:before="137"/>
              <w:ind w:right="695"/>
              <w:jc w:val="right"/>
              <w:rPr>
                <w:sz w:val="15"/>
              </w:rPr>
            </w:pPr>
            <w:r>
              <w:rPr>
                <w:rFonts w:ascii="Times New Roman" w:eastAsia="Times New Roman"/>
                <w:sz w:val="15"/>
              </w:rPr>
              <w:t>93</w:t>
            </w:r>
            <w:r>
              <w:rPr>
                <w:sz w:val="15"/>
              </w:rPr>
              <w:t>（</w:t>
            </w:r>
            <w:r>
              <w:rPr>
                <w:rFonts w:ascii="Times New Roman" w:eastAsia="Times New Roman"/>
                <w:sz w:val="15"/>
              </w:rPr>
              <w:t>72.09</w:t>
            </w:r>
            <w:r>
              <w:rPr>
                <w:sz w:val="15"/>
              </w:rPr>
              <w:t>）</w:t>
            </w:r>
          </w:p>
        </w:tc>
        <w:tc>
          <w:tcPr>
            <w:tcW w:w="1794" w:type="dxa"/>
            <w:tcBorders>
              <w:left w:val="single" w:sz="4" w:space="0" w:color="000000"/>
              <w:bottom w:val="single" w:sz="6" w:space="0" w:color="000000"/>
            </w:tcBorders>
          </w:tcPr>
          <w:p>
            <w:pPr>
              <w:pStyle w:val="TableParagraph"/>
              <w:spacing w:before="137"/>
              <w:ind w:left="641"/>
              <w:rPr>
                <w:rFonts w:ascii="Times New Roman" w:eastAsia="Times New Roman"/>
                <w:sz w:val="15"/>
              </w:rPr>
            </w:pPr>
            <w:r>
              <w:rPr>
                <w:rFonts w:ascii="Times New Roman" w:eastAsia="Times New Roman"/>
                <w:sz w:val="15"/>
              </w:rPr>
              <w:t>[12 </w:t>
            </w:r>
            <w:r>
              <w:rPr>
                <w:sz w:val="15"/>
              </w:rPr>
              <w:t>岁</w:t>
            </w:r>
            <w:r>
              <w:rPr>
                <w:rFonts w:ascii="Times New Roman" w:eastAsia="Times New Roman"/>
                <w:sz w:val="15"/>
              </w:rPr>
              <w:t>-18 </w:t>
            </w:r>
            <w:r>
              <w:rPr>
                <w:sz w:val="15"/>
              </w:rPr>
              <w:t>岁</w:t>
            </w:r>
            <w:r>
              <w:rPr>
                <w:rFonts w:ascii="Times New Roman" w:eastAsia="Times New Roman"/>
                <w:sz w:val="15"/>
              </w:rPr>
              <w:t>)</w:t>
            </w:r>
          </w:p>
        </w:tc>
        <w:tc>
          <w:tcPr>
            <w:tcW w:w="3004" w:type="dxa"/>
            <w:tcBorders>
              <w:bottom w:val="single" w:sz="6" w:space="0" w:color="000000"/>
            </w:tcBorders>
          </w:tcPr>
          <w:p>
            <w:pPr>
              <w:pStyle w:val="TableParagraph"/>
              <w:spacing w:before="137"/>
              <w:ind w:right="961"/>
              <w:jc w:val="right"/>
              <w:rPr>
                <w:sz w:val="15"/>
              </w:rPr>
            </w:pPr>
            <w:r>
              <w:rPr>
                <w:rFonts w:ascii="Times New Roman" w:eastAsia="Times New Roman"/>
                <w:sz w:val="15"/>
              </w:rPr>
              <w:t>129</w:t>
            </w:r>
            <w:r>
              <w:rPr>
                <w:sz w:val="15"/>
              </w:rPr>
              <w:t>（</w:t>
            </w:r>
            <w:r>
              <w:rPr>
                <w:rFonts w:ascii="Times New Roman" w:eastAsia="Times New Roman"/>
                <w:sz w:val="15"/>
              </w:rPr>
              <w:t>100</w:t>
            </w:r>
            <w:r>
              <w:rPr>
                <w:sz w:val="15"/>
              </w:rPr>
              <w:t>）</w:t>
            </w:r>
          </w:p>
        </w:tc>
      </w:tr>
    </w:tbl>
    <w:p>
      <w:pPr>
        <w:pStyle w:val="Heading3"/>
        <w:numPr>
          <w:ilvl w:val="0"/>
          <w:numId w:val="5"/>
        </w:numPr>
        <w:tabs>
          <w:tab w:pos="1001" w:val="left" w:leader="none"/>
        </w:tabs>
        <w:spacing w:line="240" w:lineRule="auto" w:before="65" w:after="0"/>
        <w:ind w:left="1000" w:right="0" w:hanging="244"/>
        <w:jc w:val="left"/>
      </w:pPr>
      <w:r>
        <w:rPr/>
        <w:t>结论与讨论</w:t>
      </w:r>
    </w:p>
    <w:p>
      <w:pPr>
        <w:pStyle w:val="ListParagraph"/>
        <w:numPr>
          <w:ilvl w:val="1"/>
          <w:numId w:val="5"/>
        </w:numPr>
        <w:tabs>
          <w:tab w:pos="1238" w:val="left" w:leader="none"/>
        </w:tabs>
        <w:spacing w:line="240" w:lineRule="auto" w:before="74" w:after="0"/>
        <w:ind w:left="1237" w:right="0" w:hanging="481"/>
        <w:jc w:val="left"/>
        <w:rPr>
          <w:sz w:val="24"/>
        </w:rPr>
      </w:pPr>
      <w:r>
        <w:rPr>
          <w:sz w:val="24"/>
        </w:rPr>
        <w:t>结论</w:t>
      </w:r>
    </w:p>
    <w:p>
      <w:pPr>
        <w:pStyle w:val="ListParagraph"/>
        <w:numPr>
          <w:ilvl w:val="2"/>
          <w:numId w:val="5"/>
        </w:numPr>
        <w:tabs>
          <w:tab w:pos="1418" w:val="left" w:leader="none"/>
        </w:tabs>
        <w:spacing w:line="297" w:lineRule="auto" w:before="71" w:after="0"/>
        <w:ind w:left="277" w:right="387" w:firstLine="480"/>
        <w:jc w:val="left"/>
        <w:rPr>
          <w:sz w:val="24"/>
        </w:rPr>
      </w:pPr>
      <w:r>
        <w:rPr>
          <w:sz w:val="24"/>
        </w:rPr>
        <w:t>各权威资料收录的活性成分和品种存在较大差异该清单中的活性成分和品种均</w:t>
      </w:r>
      <w:r>
        <w:rPr>
          <w:spacing w:val="-8"/>
          <w:sz w:val="24"/>
        </w:rPr>
        <w:t>可以找到相应的药品说明书。除了药品说明书，活性成分和品种在其余四项权威资料中的收</w:t>
      </w:r>
      <w:r>
        <w:rPr>
          <w:spacing w:val="-6"/>
          <w:sz w:val="24"/>
        </w:rPr>
        <w:t>录情况存在差异。从表 </w:t>
      </w:r>
      <w:r>
        <w:rPr>
          <w:sz w:val="24"/>
        </w:rPr>
        <w:t>1</w:t>
      </w:r>
      <w:r>
        <w:rPr>
          <w:spacing w:val="-12"/>
          <w:sz w:val="24"/>
        </w:rPr>
        <w:t> 可以看出</w:t>
      </w:r>
      <w:r>
        <w:rPr>
          <w:sz w:val="24"/>
        </w:rPr>
        <w:t>，CNFc</w:t>
      </w:r>
      <w:r>
        <w:rPr>
          <w:spacing w:val="-13"/>
          <w:sz w:val="24"/>
        </w:rPr>
        <w:t> 中纳入的品种数接近 </w:t>
      </w:r>
      <w:r>
        <w:rPr>
          <w:sz w:val="24"/>
        </w:rPr>
        <w:t>80%，</w:t>
      </w:r>
      <w:r>
        <w:rPr>
          <w:spacing w:val="-20"/>
          <w:sz w:val="24"/>
        </w:rPr>
        <w:t>而在 </w:t>
      </w:r>
      <w:r>
        <w:rPr>
          <w:sz w:val="24"/>
        </w:rPr>
        <w:t>WHO EMLc</w:t>
      </w:r>
      <w:r>
        <w:rPr>
          <w:spacing w:val="-15"/>
          <w:sz w:val="24"/>
        </w:rPr>
        <w:t> 中，该</w:t>
      </w:r>
      <w:r>
        <w:rPr>
          <w:spacing w:val="-25"/>
          <w:sz w:val="24"/>
        </w:rPr>
        <w:t>比例仅为 </w:t>
      </w:r>
      <w:r>
        <w:rPr>
          <w:sz w:val="24"/>
        </w:rPr>
        <w:t>49.3%。</w:t>
      </w:r>
    </w:p>
    <w:p>
      <w:pPr>
        <w:spacing w:after="0" w:line="297" w:lineRule="auto"/>
        <w:jc w:val="left"/>
        <w:rPr>
          <w:sz w:val="24"/>
        </w:rPr>
        <w:sectPr>
          <w:headerReference w:type="default" r:id="rId27"/>
          <w:footerReference w:type="default" r:id="rId28"/>
          <w:pgSz w:w="11910" w:h="16850"/>
          <w:pgMar w:header="0" w:footer="607" w:top="1100" w:bottom="800" w:left="1000" w:right="740"/>
          <w:pgNumType w:start="27"/>
        </w:sectPr>
      </w:pPr>
    </w:p>
    <w:p>
      <w:pPr>
        <w:pStyle w:val="ListParagraph"/>
        <w:numPr>
          <w:ilvl w:val="2"/>
          <w:numId w:val="5"/>
        </w:numPr>
        <w:tabs>
          <w:tab w:pos="1478" w:val="left" w:leader="none"/>
        </w:tabs>
        <w:spacing w:line="240" w:lineRule="auto" w:before="65" w:after="0"/>
        <w:ind w:left="1477" w:right="0" w:hanging="721"/>
        <w:jc w:val="left"/>
        <w:rPr>
          <w:sz w:val="24"/>
        </w:rPr>
      </w:pPr>
      <w:r>
        <w:rPr>
          <w:spacing w:val="-6"/>
          <w:sz w:val="24"/>
        </w:rPr>
        <w:t>儿童用药剂量计算方法多样，但仍以“按年龄”为主，部分权威资料之间存在差</w:t>
      </w:r>
    </w:p>
    <w:p>
      <w:pPr>
        <w:pStyle w:val="BodyText"/>
        <w:spacing w:before="72"/>
      </w:pPr>
      <w:r>
        <w:rPr/>
        <w:t>异</w:t>
      </w:r>
    </w:p>
    <w:p>
      <w:pPr>
        <w:pStyle w:val="BodyText"/>
        <w:spacing w:before="71"/>
        <w:ind w:left="757"/>
      </w:pPr>
      <w:r>
        <w:rPr/>
        <w:t>五项权威资料中，儿童用药剂量计算方法占比最高的均为“按年龄”。但中国的参考资</w:t>
      </w:r>
    </w:p>
    <w:p>
      <w:pPr>
        <w:pStyle w:val="BodyText"/>
        <w:spacing w:line="295" w:lineRule="auto" w:before="74"/>
        <w:ind w:right="387"/>
        <w:jc w:val="both"/>
      </w:pPr>
      <w:r>
        <w:rPr>
          <w:spacing w:val="-8"/>
        </w:rPr>
        <w:t>料药品说明书和 </w:t>
      </w:r>
      <w:r>
        <w:rPr/>
        <w:t>CNFc</w:t>
      </w:r>
      <w:r>
        <w:rPr>
          <w:spacing w:val="-8"/>
        </w:rPr>
        <w:t> 中还有相当一部分是“按体质量</w:t>
      </w:r>
      <w:r>
        <w:rPr/>
        <w:t>（mg·kg-1）”。没有明确年龄段， </w:t>
      </w:r>
      <w:r>
        <w:rPr>
          <w:spacing w:val="-6"/>
        </w:rPr>
        <w:t>只笼统地概括为小儿按体质量或按体表面积等信息，体现不出年龄的适宜性，给临床用药带</w:t>
      </w:r>
      <w:r>
        <w:rPr/>
        <w:t>来困惑，可操作性不强。</w:t>
      </w:r>
    </w:p>
    <w:p>
      <w:pPr>
        <w:pStyle w:val="ListParagraph"/>
        <w:numPr>
          <w:ilvl w:val="2"/>
          <w:numId w:val="5"/>
        </w:numPr>
        <w:tabs>
          <w:tab w:pos="1478" w:val="left" w:leader="none"/>
        </w:tabs>
        <w:spacing w:line="297" w:lineRule="auto" w:before="6" w:after="0"/>
        <w:ind w:left="277" w:right="387" w:firstLine="480"/>
        <w:jc w:val="both"/>
        <w:rPr>
          <w:sz w:val="24"/>
        </w:rPr>
      </w:pPr>
      <w:r>
        <w:rPr>
          <w:spacing w:val="-7"/>
          <w:sz w:val="24"/>
        </w:rPr>
        <w:t>说明书分别和其他四项参考资料两两比较，适宜年龄段一致的品种比例较低以具有法律效益的药品说明书为基准，和其他四项参考资料两两比较，统计适宜年龄段一致的品</w:t>
      </w:r>
      <w:r>
        <w:rPr>
          <w:spacing w:val="-3"/>
          <w:sz w:val="24"/>
        </w:rPr>
        <w:t>种，结果显示，适宜年龄段一致的品种比例较低。说明和 </w:t>
      </w:r>
      <w:r>
        <w:rPr>
          <w:sz w:val="24"/>
        </w:rPr>
        <w:t>CNFc</w:t>
      </w:r>
      <w:r>
        <w:rPr>
          <w:spacing w:val="-8"/>
          <w:sz w:val="24"/>
        </w:rPr>
        <w:t> 适宜年龄段一致的品种比例</w:t>
      </w:r>
      <w:r>
        <w:rPr>
          <w:spacing w:val="-15"/>
          <w:sz w:val="24"/>
        </w:rPr>
        <w:t>最高，但也仅为 </w:t>
      </w:r>
      <w:r>
        <w:rPr>
          <w:sz w:val="24"/>
        </w:rPr>
        <w:t>104</w:t>
      </w:r>
      <w:r>
        <w:rPr>
          <w:spacing w:val="-11"/>
          <w:sz w:val="24"/>
        </w:rPr>
        <w:t> 个品种，占均有用药计算方法的品种的 </w:t>
      </w:r>
      <w:r>
        <w:rPr>
          <w:sz w:val="24"/>
        </w:rPr>
        <w:t>31%。</w:t>
      </w:r>
    </w:p>
    <w:p>
      <w:pPr>
        <w:pStyle w:val="ListParagraph"/>
        <w:numPr>
          <w:ilvl w:val="2"/>
          <w:numId w:val="5"/>
        </w:numPr>
        <w:tabs>
          <w:tab w:pos="1418" w:val="left" w:leader="none"/>
        </w:tabs>
        <w:spacing w:line="295" w:lineRule="auto" w:before="0" w:after="0"/>
        <w:ind w:left="277" w:right="405" w:firstLine="480"/>
        <w:jc w:val="both"/>
        <w:rPr>
          <w:sz w:val="24"/>
        </w:rPr>
      </w:pPr>
      <w:r>
        <w:rPr>
          <w:sz w:val="24"/>
        </w:rPr>
        <w:t>权威资料中儿童用药适宜年龄段一致的活性成分和品种数量较少五项权威资料</w:t>
      </w:r>
      <w:r>
        <w:rPr>
          <w:spacing w:val="-5"/>
          <w:sz w:val="24"/>
        </w:rPr>
        <w:t>适宜年龄段均一致的品种仅有 </w:t>
      </w:r>
      <w:r>
        <w:rPr>
          <w:sz w:val="24"/>
        </w:rPr>
        <w:t>14</w:t>
      </w:r>
      <w:r>
        <w:rPr>
          <w:spacing w:val="-13"/>
          <w:sz w:val="24"/>
        </w:rPr>
        <w:t> 个，部分一致的也仅有 </w:t>
      </w:r>
      <w:r>
        <w:rPr>
          <w:sz w:val="24"/>
        </w:rPr>
        <w:t>129</w:t>
      </w:r>
      <w:r>
        <w:rPr>
          <w:spacing w:val="-30"/>
          <w:sz w:val="24"/>
        </w:rPr>
        <w:t> 个</w:t>
      </w:r>
      <w:r>
        <w:rPr>
          <w:sz w:val="24"/>
        </w:rPr>
        <w:t>（24.57%），</w:t>
      </w:r>
      <w:r>
        <w:rPr>
          <w:spacing w:val="-3"/>
          <w:sz w:val="24"/>
        </w:rPr>
        <w:t>比例仍较低。</w:t>
      </w:r>
    </w:p>
    <w:p>
      <w:pPr>
        <w:pStyle w:val="ListParagraph"/>
        <w:numPr>
          <w:ilvl w:val="2"/>
          <w:numId w:val="5"/>
        </w:numPr>
        <w:tabs>
          <w:tab w:pos="1418" w:val="left" w:leader="none"/>
        </w:tabs>
        <w:spacing w:line="295" w:lineRule="auto" w:before="0" w:after="0"/>
        <w:ind w:left="277" w:right="270" w:firstLine="480"/>
        <w:jc w:val="left"/>
        <w:rPr>
          <w:sz w:val="24"/>
        </w:rPr>
      </w:pPr>
      <w:r>
        <w:rPr>
          <w:spacing w:val="-4"/>
          <w:sz w:val="24"/>
        </w:rPr>
        <w:t>适宜年龄段一致的品种中，新生儿适宜的比例较高，且随着年龄的增长，适宜品</w:t>
      </w:r>
      <w:r>
        <w:rPr>
          <w:spacing w:val="-13"/>
          <w:sz w:val="24"/>
        </w:rPr>
        <w:t>种的数量递增 </w:t>
      </w:r>
      <w:r>
        <w:rPr>
          <w:sz w:val="24"/>
        </w:rPr>
        <w:t>129</w:t>
      </w:r>
      <w:r>
        <w:rPr>
          <w:spacing w:val="-20"/>
          <w:sz w:val="24"/>
        </w:rPr>
        <w:t> 种适宜年龄段一致的品种中，有一半可用于新生儿，且随着年龄段的增长， </w:t>
      </w:r>
      <w:r>
        <w:rPr>
          <w:sz w:val="24"/>
        </w:rPr>
        <w:t>适用品种的数量逐渐增加。</w:t>
      </w:r>
    </w:p>
    <w:p>
      <w:pPr>
        <w:pStyle w:val="ListParagraph"/>
        <w:numPr>
          <w:ilvl w:val="1"/>
          <w:numId w:val="5"/>
        </w:numPr>
        <w:tabs>
          <w:tab w:pos="1178" w:val="left" w:leader="none"/>
        </w:tabs>
        <w:spacing w:line="295" w:lineRule="auto" w:before="4" w:after="0"/>
        <w:ind w:left="277" w:right="388" w:firstLine="480"/>
        <w:jc w:val="left"/>
        <w:rPr>
          <w:sz w:val="24"/>
        </w:rPr>
      </w:pPr>
      <w:r>
        <w:rPr>
          <w:spacing w:val="-6"/>
          <w:sz w:val="24"/>
        </w:rPr>
        <w:t>讨论综上所述，五项权威资料在收录的活性成分及品种数量、儿童用药剂量计算方</w:t>
      </w:r>
      <w:r>
        <w:rPr>
          <w:sz w:val="24"/>
        </w:rPr>
        <w:t>法、儿童适宜年龄等方面均存在一定的差异，分析可能原因如下：</w:t>
      </w:r>
    </w:p>
    <w:p>
      <w:pPr>
        <w:pStyle w:val="BodyText"/>
        <w:spacing w:line="297" w:lineRule="auto" w:before="2"/>
        <w:ind w:right="387" w:firstLine="480"/>
        <w:jc w:val="both"/>
      </w:pPr>
      <w:r>
        <w:rPr/>
        <w:t>（1）</w:t>
      </w:r>
      <w:r>
        <w:rPr>
          <w:spacing w:val="-3"/>
        </w:rPr>
        <w:t>不同国家或组织制定的权威资料要考虑自身情况。如 </w:t>
      </w:r>
      <w:r>
        <w:rPr/>
        <w:t>WHO</w:t>
      </w:r>
      <w:r>
        <w:rPr>
          <w:spacing w:val="-8"/>
        </w:rPr>
        <w:t> 制定权威资料需考虑全</w:t>
      </w:r>
      <w:r>
        <w:rPr>
          <w:spacing w:val="-13"/>
        </w:rPr>
        <w:t>球疾病负担、全球药品的可及性等，而中国、英国可能更多针对本国国情和现状，优先满足</w:t>
      </w:r>
      <w:r>
        <w:rPr/>
        <w:t>本国儿童用药需求。（2）药品说明书自身的特点和局限性。除药品说明书外的四项资料为</w:t>
      </w:r>
      <w:r>
        <w:rPr>
          <w:spacing w:val="-9"/>
        </w:rPr>
        <w:t>儿童专业参考资料，制定过程中会考虑到按年龄段划分的重要性，而药品说明书并非主要针对儿童，儿童用药只是药品说明书的一部分。此外，儿童临床试验开展相对困难，儿童用药数据相对缺乏，儿童专用药较少。（3）循证证据来源的差异。不同的权威资料儿童用药信息来源均需要循证证据的支持，而不同权威资料采纳的循证证据可能存在差异。</w:t>
      </w:r>
    </w:p>
    <w:p>
      <w:pPr>
        <w:pStyle w:val="Heading3"/>
        <w:numPr>
          <w:ilvl w:val="0"/>
          <w:numId w:val="5"/>
        </w:numPr>
        <w:tabs>
          <w:tab w:pos="1001" w:val="left" w:leader="none"/>
        </w:tabs>
        <w:spacing w:line="300" w:lineRule="exact" w:before="0" w:after="0"/>
        <w:ind w:left="1000" w:right="0" w:hanging="244"/>
        <w:jc w:val="left"/>
      </w:pPr>
      <w:r>
        <w:rPr/>
        <w:t>对儿童临床用药的建议</w:t>
      </w:r>
    </w:p>
    <w:p>
      <w:pPr>
        <w:pStyle w:val="ListParagraph"/>
        <w:numPr>
          <w:ilvl w:val="1"/>
          <w:numId w:val="5"/>
        </w:numPr>
        <w:tabs>
          <w:tab w:pos="1238" w:val="left" w:leader="none"/>
        </w:tabs>
        <w:spacing w:line="240" w:lineRule="auto" w:before="72" w:after="0"/>
        <w:ind w:left="1237" w:right="0" w:hanging="481"/>
        <w:jc w:val="left"/>
        <w:rPr>
          <w:sz w:val="24"/>
        </w:rPr>
      </w:pPr>
      <w:r>
        <w:rPr>
          <w:sz w:val="24"/>
        </w:rPr>
        <w:t>对于仅有一项权威资料提供了适宜年龄段的品种，儿童给药时可以直接参考；</w:t>
      </w:r>
    </w:p>
    <w:p>
      <w:pPr>
        <w:pStyle w:val="ListParagraph"/>
        <w:numPr>
          <w:ilvl w:val="1"/>
          <w:numId w:val="5"/>
        </w:numPr>
        <w:tabs>
          <w:tab w:pos="1178" w:val="left" w:leader="none"/>
        </w:tabs>
        <w:spacing w:line="240" w:lineRule="auto" w:before="71" w:after="0"/>
        <w:ind w:left="1177" w:right="0" w:hanging="421"/>
        <w:jc w:val="left"/>
        <w:rPr>
          <w:sz w:val="24"/>
        </w:rPr>
      </w:pPr>
      <w:r>
        <w:rPr>
          <w:sz w:val="24"/>
        </w:rPr>
        <w:t>对于全部或部分参考资料适宜年龄段均一致的品种，儿童给药时也可直接参考；</w:t>
      </w:r>
    </w:p>
    <w:p>
      <w:pPr>
        <w:pStyle w:val="ListParagraph"/>
        <w:numPr>
          <w:ilvl w:val="1"/>
          <w:numId w:val="5"/>
        </w:numPr>
        <w:tabs>
          <w:tab w:pos="1178" w:val="left" w:leader="none"/>
        </w:tabs>
        <w:spacing w:line="295" w:lineRule="auto" w:before="75" w:after="0"/>
        <w:ind w:left="277" w:right="1307" w:firstLine="480"/>
        <w:jc w:val="left"/>
        <w:rPr>
          <w:sz w:val="24"/>
        </w:rPr>
      </w:pPr>
      <w:r>
        <w:rPr>
          <w:spacing w:val="-1"/>
          <w:sz w:val="24"/>
        </w:rPr>
        <w:t>对于均无权威资料提及儿童用药适宜年龄段的活性成分和品种，可以参考</w:t>
      </w:r>
      <w:r>
        <w:rPr>
          <w:sz w:val="24"/>
        </w:rPr>
        <w:t>micromedex</w:t>
      </w:r>
      <w:r>
        <w:rPr>
          <w:spacing w:val="-8"/>
          <w:sz w:val="24"/>
        </w:rPr>
        <w:t> 等数据库或根据临床用药经验；</w:t>
      </w:r>
    </w:p>
    <w:p>
      <w:pPr>
        <w:pStyle w:val="ListParagraph"/>
        <w:numPr>
          <w:ilvl w:val="1"/>
          <w:numId w:val="5"/>
        </w:numPr>
        <w:tabs>
          <w:tab w:pos="1178" w:val="left" w:leader="none"/>
        </w:tabs>
        <w:spacing w:line="297" w:lineRule="auto" w:before="2" w:after="0"/>
        <w:ind w:left="277" w:right="390" w:firstLine="480"/>
        <w:jc w:val="left"/>
        <w:rPr>
          <w:sz w:val="24"/>
        </w:rPr>
      </w:pPr>
      <w:r>
        <w:rPr>
          <w:spacing w:val="-3"/>
          <w:sz w:val="24"/>
        </w:rPr>
        <w:t>对于全部或者部分权威资料适宜年龄段不一致的品种，笔者提出了如下建议，并有</w:t>
      </w:r>
      <w:r>
        <w:rPr>
          <w:sz w:val="24"/>
        </w:rPr>
        <w:t>待进一步研究：</w:t>
      </w:r>
    </w:p>
    <w:p>
      <w:pPr>
        <w:pStyle w:val="ListParagraph"/>
        <w:numPr>
          <w:ilvl w:val="0"/>
          <w:numId w:val="6"/>
        </w:numPr>
        <w:tabs>
          <w:tab w:pos="1359" w:val="left" w:leader="none"/>
        </w:tabs>
        <w:spacing w:line="297" w:lineRule="auto" w:before="0" w:after="0"/>
        <w:ind w:left="277" w:right="285" w:firstLine="480"/>
        <w:jc w:val="left"/>
        <w:rPr>
          <w:sz w:val="24"/>
        </w:rPr>
      </w:pPr>
      <w:r>
        <w:rPr>
          <w:spacing w:val="-3"/>
          <w:sz w:val="24"/>
        </w:rPr>
        <w:t>用药年龄可放宽至最低:如二甲双胍片剂，药品说明书推荐 </w:t>
      </w:r>
      <w:r>
        <w:rPr>
          <w:sz w:val="24"/>
        </w:rPr>
        <w:t>10</w:t>
      </w:r>
      <w:r>
        <w:rPr>
          <w:spacing w:val="-8"/>
          <w:sz w:val="24"/>
        </w:rPr>
        <w:t> 岁以上儿童使用； CNFc</w:t>
      </w:r>
      <w:r>
        <w:rPr>
          <w:spacing w:val="-41"/>
          <w:sz w:val="24"/>
        </w:rPr>
        <w:t> 和 </w:t>
      </w:r>
      <w:r>
        <w:rPr>
          <w:sz w:val="24"/>
        </w:rPr>
        <w:t>BNFc</w:t>
      </w:r>
      <w:r>
        <w:rPr>
          <w:spacing w:val="-24"/>
          <w:sz w:val="24"/>
        </w:rPr>
        <w:t> 提供了 </w:t>
      </w:r>
      <w:r>
        <w:rPr>
          <w:sz w:val="24"/>
        </w:rPr>
        <w:t>8</w:t>
      </w:r>
      <w:r>
        <w:rPr>
          <w:spacing w:val="-11"/>
          <w:sz w:val="24"/>
        </w:rPr>
        <w:t> 岁以上儿童的用法用量，但均注明了 </w:t>
      </w:r>
      <w:r>
        <w:rPr>
          <w:sz w:val="24"/>
        </w:rPr>
        <w:t>10</w:t>
      </w:r>
      <w:r>
        <w:rPr>
          <w:spacing w:val="-8"/>
          <w:sz w:val="24"/>
        </w:rPr>
        <w:t> 岁以下儿童循证资料较少， 不建议使用；WHO</w:t>
      </w:r>
      <w:r>
        <w:rPr>
          <w:spacing w:val="-14"/>
          <w:sz w:val="24"/>
        </w:rPr>
        <w:t> 标准处方集提供了 </w:t>
      </w:r>
      <w:r>
        <w:rPr>
          <w:sz w:val="24"/>
        </w:rPr>
        <w:t>8</w:t>
      </w:r>
      <w:r>
        <w:rPr>
          <w:spacing w:val="-8"/>
          <w:sz w:val="24"/>
        </w:rPr>
        <w:t> 岁以上儿童的用法用量；</w:t>
      </w:r>
      <w:r>
        <w:rPr>
          <w:sz w:val="24"/>
        </w:rPr>
        <w:t>WHO EMLc</w:t>
      </w:r>
      <w:r>
        <w:rPr>
          <w:spacing w:val="-9"/>
          <w:sz w:val="24"/>
        </w:rPr>
        <w:t> 未说明禁忌年龄， </w:t>
      </w:r>
      <w:r>
        <w:rPr>
          <w:spacing w:val="-6"/>
          <w:sz w:val="24"/>
        </w:rPr>
        <w:t>但注明了该清单适用于 </w:t>
      </w:r>
      <w:r>
        <w:rPr>
          <w:sz w:val="24"/>
        </w:rPr>
        <w:t>12</w:t>
      </w:r>
      <w:r>
        <w:rPr>
          <w:spacing w:val="-8"/>
          <w:sz w:val="24"/>
        </w:rPr>
        <w:t> 岁以下儿童。当出现类似的情况，建议将适宜年龄放宽至最低。</w:t>
      </w:r>
    </w:p>
    <w:p>
      <w:pPr>
        <w:pStyle w:val="ListParagraph"/>
        <w:numPr>
          <w:ilvl w:val="0"/>
          <w:numId w:val="6"/>
        </w:numPr>
        <w:tabs>
          <w:tab w:pos="1359" w:val="left" w:leader="none"/>
        </w:tabs>
        <w:spacing w:line="297" w:lineRule="auto" w:before="0" w:after="0"/>
        <w:ind w:left="277" w:right="386" w:firstLine="480"/>
        <w:jc w:val="both"/>
        <w:rPr>
          <w:sz w:val="24"/>
        </w:rPr>
      </w:pPr>
      <w:r>
        <w:rPr>
          <w:sz w:val="24"/>
        </w:rPr>
        <w:t>五项参考资料的优先级问题：五项参考资料在儿童临床用药领域的重要性和参考</w:t>
      </w:r>
      <w:r>
        <w:rPr>
          <w:spacing w:val="-9"/>
          <w:sz w:val="24"/>
        </w:rPr>
        <w:t>价值已经不言而喻，但当它们之间存在一定的差异或差异较大时，无法简单的用“正确性与</w:t>
      </w:r>
      <w:r>
        <w:rPr>
          <w:sz w:val="24"/>
        </w:rPr>
        <w:t>否”来判断每个参考资料的用药信息。故有必要对五项参考资料的优先级进行排序。</w:t>
      </w:r>
    </w:p>
    <w:p>
      <w:pPr>
        <w:spacing w:after="0" w:line="297" w:lineRule="auto"/>
        <w:jc w:val="both"/>
        <w:rPr>
          <w:sz w:val="24"/>
        </w:rPr>
        <w:sectPr>
          <w:headerReference w:type="default" r:id="rId29"/>
          <w:footerReference w:type="default" r:id="rId30"/>
          <w:pgSz w:w="11910" w:h="16850"/>
          <w:pgMar w:header="906" w:footer="607" w:top="1100" w:bottom="800" w:left="1000" w:right="740"/>
          <w:pgNumType w:start="28"/>
        </w:sectPr>
      </w:pPr>
    </w:p>
    <w:p>
      <w:pPr>
        <w:pStyle w:val="BodyText"/>
        <w:spacing w:line="297" w:lineRule="auto" w:before="65"/>
        <w:ind w:right="346" w:firstLine="480"/>
      </w:pPr>
      <w:r>
        <w:rPr>
          <w:spacing w:val="-5"/>
        </w:rPr>
        <w:t>笔者认为五项参考资料的优先级排序为：药品说明书、</w:t>
      </w:r>
      <w:r>
        <w:rPr/>
        <w:t>CNFc</w:t>
      </w:r>
      <w:r>
        <w:rPr>
          <w:spacing w:val="-41"/>
        </w:rPr>
        <w:t>、</w:t>
      </w:r>
      <w:r>
        <w:rPr/>
        <w:t>WHO</w:t>
      </w:r>
      <w:r>
        <w:rPr>
          <w:spacing w:val="-12"/>
        </w:rPr>
        <w:t> 儿童标准处方集、</w:t>
      </w:r>
      <w:r>
        <w:rPr/>
        <w:t>WHO EMLc</w:t>
      </w:r>
      <w:r>
        <w:rPr>
          <w:spacing w:val="-27"/>
        </w:rPr>
        <w:t>、</w:t>
      </w:r>
      <w:r>
        <w:rPr/>
        <w:t>BNFc</w:t>
      </w:r>
      <w:r>
        <w:rPr>
          <w:spacing w:val="-9"/>
        </w:rPr>
        <w:t>。首先，即便药品说明书存在自身局限性，但其仍然是临床用药最主要的参考依</w:t>
      </w:r>
      <w:r>
        <w:rPr>
          <w:spacing w:val="-11"/>
        </w:rPr>
        <w:t>据，且其具备法律效益。其次，中国的参考资料在制定过程中，首先考虑了中国的国情，故</w:t>
      </w:r>
      <w:r>
        <w:rPr>
          <w:spacing w:val="-28"/>
        </w:rPr>
        <w:t>认为 </w:t>
      </w:r>
      <w:r>
        <w:rPr/>
        <w:t>CNFc</w:t>
      </w:r>
      <w:r>
        <w:rPr>
          <w:spacing w:val="-8"/>
        </w:rPr>
        <w:t> 的参考价值较国外的更大。</w:t>
      </w:r>
      <w:r>
        <w:rPr/>
        <w:t>WHO</w:t>
      </w:r>
      <w:r>
        <w:rPr>
          <w:spacing w:val="-8"/>
        </w:rPr>
        <w:t> 制定的两项参考资料，虽然不是只针对中国或者</w:t>
      </w:r>
      <w:r>
        <w:rPr>
          <w:spacing w:val="-14"/>
        </w:rPr>
        <w:t>亚洲儿童，但考虑的是全球疾病负担，故同样具备参考价值，又因为 </w:t>
      </w:r>
      <w:r>
        <w:rPr/>
        <w:t>WHO</w:t>
      </w:r>
      <w:r>
        <w:rPr>
          <w:spacing w:val="-8"/>
        </w:rPr>
        <w:t> 儿童标准处方集是</w:t>
      </w:r>
      <w:r>
        <w:rPr>
          <w:spacing w:val="-26"/>
        </w:rPr>
        <w:t>针对 </w:t>
      </w:r>
      <w:r>
        <w:rPr/>
        <w:t>WHO</w:t>
      </w:r>
      <w:r>
        <w:rPr>
          <w:spacing w:val="-51"/>
        </w:rPr>
        <w:t> </w:t>
      </w:r>
      <w:r>
        <w:rPr/>
        <w:t>EMLc</w:t>
      </w:r>
      <w:r>
        <w:rPr>
          <w:spacing w:val="-12"/>
        </w:rPr>
        <w:t> 的具体描述，其用药信息比 </w:t>
      </w:r>
      <w:r>
        <w:rPr/>
        <w:t>WHO</w:t>
      </w:r>
      <w:r>
        <w:rPr>
          <w:spacing w:val="-51"/>
        </w:rPr>
        <w:t> </w:t>
      </w:r>
      <w:r>
        <w:rPr/>
        <w:t>EMLc</w:t>
      </w:r>
      <w:r>
        <w:rPr>
          <w:spacing w:val="-14"/>
        </w:rPr>
        <w:t> 更加全面，故将 </w:t>
      </w:r>
      <w:r>
        <w:rPr/>
        <w:t>WHO</w:t>
      </w:r>
      <w:r>
        <w:rPr>
          <w:spacing w:val="-8"/>
        </w:rPr>
        <w:t> 儿童标准处方集的</w:t>
      </w:r>
      <w:r>
        <w:rPr>
          <w:spacing w:val="-17"/>
        </w:rPr>
        <w:t>优先级排在 </w:t>
      </w:r>
      <w:r>
        <w:rPr/>
        <w:t>WHO EMLc</w:t>
      </w:r>
      <w:r>
        <w:rPr>
          <w:spacing w:val="-15"/>
        </w:rPr>
        <w:t> 之前。</w:t>
      </w:r>
      <w:r>
        <w:rPr/>
        <w:t>BNFc</w:t>
      </w:r>
      <w:r>
        <w:rPr>
          <w:spacing w:val="-9"/>
        </w:rPr>
        <w:t> 临床应用较广，但其制定过程更多地考虑了英国的国情， </w:t>
      </w:r>
      <w:r>
        <w:rPr/>
        <w:t>故将其排在最后。</w:t>
      </w:r>
    </w:p>
    <w:p>
      <w:pPr>
        <w:pStyle w:val="BodyText"/>
        <w:spacing w:line="296" w:lineRule="exact"/>
        <w:ind w:firstLine="480"/>
      </w:pPr>
      <w:r>
        <w:rPr/>
        <w:t>本研究只涉及到这五项权威资料，并适当参考了 Micromedex 数据库，但是在世界范围</w:t>
      </w:r>
    </w:p>
    <w:p>
      <w:pPr>
        <w:pStyle w:val="BodyText"/>
        <w:spacing w:line="261" w:lineRule="auto" w:before="74"/>
        <w:ind w:right="387"/>
        <w:rPr>
          <w:rFonts w:ascii="Meiryo" w:eastAsia="Meiryo" w:hint="eastAsia"/>
          <w:b/>
        </w:rPr>
      </w:pPr>
      <w:r>
        <w:rPr>
          <w:spacing w:val="-6"/>
        </w:rPr>
        <w:t>内仍有很多其他的权威资料供儿童临床用药参考，本研究不作分析与讨论。在临床给药时遇</w:t>
      </w:r>
      <w:r>
        <w:rPr/>
        <w:t>到无法明确年龄段的药物仍建议多方面、全方位地参考。</w:t>
      </w:r>
      <w:r>
        <w:rPr>
          <w:rFonts w:ascii="Meiryo" w:eastAsia="Meiryo" w:hint="eastAsia"/>
          <w:b/>
          <w:color w:val="0033CC"/>
        </w:rPr>
        <w:t>[返回目次]</w:t>
      </w:r>
    </w:p>
    <w:p>
      <w:pPr>
        <w:pStyle w:val="Heading3"/>
        <w:spacing w:line="224" w:lineRule="exact"/>
        <w:rPr>
          <w:rFonts w:ascii="仿宋" w:eastAsia="仿宋" w:hint="eastAsia"/>
        </w:rPr>
      </w:pPr>
      <w:r>
        <w:rPr>
          <w:rFonts w:ascii="仿宋" w:eastAsia="仿宋" w:hint="eastAsia"/>
          <w:color w:val="006FC0"/>
        </w:rPr>
        <w:t>（以上文章以实际发刊内容为准）</w:t>
      </w:r>
    </w:p>
    <w:p>
      <w:pPr>
        <w:pStyle w:val="Heading2"/>
        <w:spacing w:before="178"/>
        <w:ind w:left="277"/>
      </w:pPr>
      <w:bookmarkStart w:name="_TOC_250017" w:id="8"/>
      <w:bookmarkEnd w:id="8"/>
      <w:r>
        <w:rPr/>
        <w:t>【专家观点】</w:t>
      </w:r>
    </w:p>
    <w:p>
      <w:pPr>
        <w:pStyle w:val="BodyText"/>
        <w:spacing w:before="12"/>
        <w:ind w:left="0"/>
        <w:rPr>
          <w:b/>
          <w:sz w:val="22"/>
        </w:rPr>
      </w:pPr>
    </w:p>
    <w:p>
      <w:pPr>
        <w:pStyle w:val="Heading2"/>
        <w:ind w:right="236"/>
        <w:jc w:val="center"/>
      </w:pPr>
      <w:bookmarkStart w:name="_TOC_250016" w:id="9"/>
      <w:bookmarkEnd w:id="9"/>
      <w:r>
        <w:rPr/>
        <w:t>从研究参与者的角度解读达可替尼 ARCHER 1050 研究</w:t>
      </w:r>
    </w:p>
    <w:p>
      <w:pPr>
        <w:spacing w:before="145"/>
        <w:ind w:left="0" w:right="388" w:firstLine="0"/>
        <w:jc w:val="right"/>
        <w:rPr>
          <w:rFonts w:ascii="楷体" w:eastAsia="楷体" w:hint="eastAsia"/>
          <w:b/>
          <w:sz w:val="24"/>
        </w:rPr>
      </w:pPr>
      <w:r>
        <w:rPr>
          <w:rFonts w:ascii="楷体" w:eastAsia="楷体" w:hint="eastAsia"/>
          <w:b/>
          <w:color w:val="FF0000"/>
          <w:w w:val="95"/>
          <w:sz w:val="24"/>
        </w:rPr>
        <w:t>（来源：中国医学论坛报）</w:t>
      </w:r>
    </w:p>
    <w:p>
      <w:pPr>
        <w:pStyle w:val="BodyText"/>
        <w:spacing w:line="297" w:lineRule="auto" w:before="96"/>
        <w:ind w:right="266" w:firstLine="480"/>
      </w:pPr>
      <w:r>
        <w:rPr/>
        <w:t>2019</w:t>
      </w:r>
      <w:r>
        <w:rPr>
          <w:spacing w:val="-41"/>
        </w:rPr>
        <w:t> 年 </w:t>
      </w:r>
      <w:r>
        <w:rPr/>
        <w:t>5</w:t>
      </w:r>
      <w:r>
        <w:rPr>
          <w:spacing w:val="-40"/>
        </w:rPr>
        <w:t> 月 </w:t>
      </w:r>
      <w:r>
        <w:rPr/>
        <w:t>15</w:t>
      </w:r>
      <w:r>
        <w:rPr>
          <w:spacing w:val="-27"/>
        </w:rPr>
        <w:t> 日，基于 </w:t>
      </w:r>
      <w:r>
        <w:rPr/>
        <w:t>ARCHER</w:t>
      </w:r>
      <w:r>
        <w:rPr>
          <w:spacing w:val="-60"/>
        </w:rPr>
        <w:t> </w:t>
      </w:r>
      <w:r>
        <w:rPr/>
        <w:t>1050</w:t>
      </w:r>
      <w:r>
        <w:rPr>
          <w:spacing w:val="-13"/>
        </w:rPr>
        <w:t> 研究，达可替尼获得国家药品监督管理局</w:t>
      </w:r>
      <w:r>
        <w:rPr>
          <w:spacing w:val="-3"/>
        </w:rPr>
        <w:t>（NMPA） </w:t>
      </w:r>
      <w:r>
        <w:rPr>
          <w:spacing w:val="-5"/>
        </w:rPr>
        <w:t>批准，可单药用于表皮生长因子受体</w:t>
      </w:r>
      <w:r>
        <w:rPr/>
        <w:t>（EGFR）19</w:t>
      </w:r>
      <w:r>
        <w:rPr>
          <w:spacing w:val="-14"/>
        </w:rPr>
        <w:t> 号外显子缺失突变或 </w:t>
      </w:r>
      <w:r>
        <w:rPr/>
        <w:t>21</w:t>
      </w:r>
      <w:r>
        <w:rPr>
          <w:spacing w:val="-22"/>
        </w:rPr>
        <w:t> 号外显子 </w:t>
      </w:r>
      <w:r>
        <w:rPr/>
        <w:t>L858R</w:t>
      </w:r>
      <w:r>
        <w:rPr>
          <w:spacing w:val="-31"/>
        </w:rPr>
        <w:t> 置换突变的局部晚期或转移性非小细胞肺癌（NSCLC）</w:t>
      </w:r>
      <w:r>
        <w:rPr>
          <w:spacing w:val="-28"/>
        </w:rPr>
        <w:t>患者的一线治疗，这也是首个为 </w:t>
      </w:r>
      <w:r>
        <w:rPr/>
        <w:t>EGFR </w:t>
      </w:r>
      <w:r>
        <w:rPr>
          <w:spacing w:val="-20"/>
        </w:rPr>
        <w:t>突变 </w:t>
      </w:r>
      <w:r>
        <w:rPr/>
        <w:t>NSCLC</w:t>
      </w:r>
      <w:r>
        <w:rPr>
          <w:spacing w:val="-8"/>
        </w:rPr>
        <w:t> 患者提供临床意义总生存期</w:t>
      </w:r>
      <w:r>
        <w:rPr/>
        <w:t>（OS）</w:t>
      </w:r>
      <w:r>
        <w:rPr>
          <w:spacing w:val="-15"/>
        </w:rPr>
        <w:t>改善的 </w:t>
      </w:r>
      <w:r>
        <w:rPr/>
        <w:t>EGFR-酪氨酸激酶抑制剂（TKI）。</w:t>
      </w:r>
    </w:p>
    <w:p>
      <w:pPr>
        <w:pStyle w:val="BodyText"/>
        <w:spacing w:line="295" w:lineRule="auto"/>
        <w:ind w:right="388" w:firstLine="480"/>
      </w:pPr>
      <w:r>
        <w:rPr>
          <w:spacing w:val="-21"/>
        </w:rPr>
        <w:t>目前 </w:t>
      </w:r>
      <w:r>
        <w:rPr/>
        <w:t>EGFR-TKI“群雄逐鹿”，面对多种用药选择，临床医生该如何制定合理的全程管</w:t>
      </w:r>
      <w:r>
        <w:rPr>
          <w:spacing w:val="-9"/>
        </w:rPr>
        <w:t>理策略，从而获得最理想的生存获益？吉林省肿瘤医院作为参与 </w:t>
      </w:r>
      <w:r>
        <w:rPr/>
        <w:t>ARCHER</w:t>
      </w:r>
      <w:r>
        <w:rPr>
          <w:spacing w:val="-60"/>
        </w:rPr>
        <w:t> </w:t>
      </w:r>
      <w:r>
        <w:rPr/>
        <w:t>1050</w:t>
      </w:r>
      <w:r>
        <w:rPr>
          <w:spacing w:val="-11"/>
        </w:rPr>
        <w:t> 研究的中心之</w:t>
      </w:r>
      <w:r>
        <w:rPr/>
        <w:t>一，又有哪些宝贵的实际用药经验？听程颖教授为我们一一道来。</w:t>
      </w:r>
    </w:p>
    <w:p>
      <w:pPr>
        <w:pStyle w:val="Heading3"/>
        <w:spacing w:before="2"/>
      </w:pPr>
      <w:r>
        <w:rPr/>
        <w:t>最合理的全程管理模式，未来可期</w:t>
      </w:r>
    </w:p>
    <w:p>
      <w:pPr>
        <w:pStyle w:val="BodyText"/>
        <w:spacing w:line="297" w:lineRule="auto" w:before="72"/>
        <w:ind w:right="392" w:firstLine="480"/>
        <w:jc w:val="both"/>
      </w:pPr>
      <w:r>
        <w:rPr>
          <w:spacing w:val="-6"/>
        </w:rPr>
        <w:t>随着时代的发展，针对 </w:t>
      </w:r>
      <w:r>
        <w:rPr/>
        <w:t>EGFR</w:t>
      </w:r>
      <w:r>
        <w:rPr>
          <w:spacing w:val="-8"/>
        </w:rPr>
        <w:t> 突变的药物已经从一代发展到了二代和三代，那么对这些</w:t>
      </w:r>
      <w:r>
        <w:rPr>
          <w:spacing w:val="-10"/>
        </w:rPr>
        <w:t>药物如何排兵布阵，全程管理是医生亟需面对的现实问题。针对 </w:t>
      </w:r>
      <w:r>
        <w:rPr/>
        <w:t>EGFR</w:t>
      </w:r>
      <w:r>
        <w:rPr>
          <w:spacing w:val="-30"/>
        </w:rPr>
        <w:t> 突变 </w:t>
      </w:r>
      <w:r>
        <w:rPr/>
        <w:t>NSCLC</w:t>
      </w:r>
      <w:r>
        <w:rPr>
          <w:spacing w:val="-12"/>
        </w:rPr>
        <w:t> 患者的全</w:t>
      </w:r>
      <w:r>
        <w:rPr>
          <w:spacing w:val="-13"/>
        </w:rPr>
        <w:t>程管理，应综合考虑患者的身体状态、药物疗效、毒副反应、经济和可及性等问题，其中药</w:t>
      </w:r>
      <w:r>
        <w:rPr/>
        <w:t>物的疗效是重中之重。</w:t>
      </w:r>
    </w:p>
    <w:p>
      <w:pPr>
        <w:pStyle w:val="BodyText"/>
        <w:spacing w:line="297" w:lineRule="auto"/>
        <w:ind w:right="285" w:firstLine="480"/>
      </w:pPr>
      <w:r>
        <w:rPr>
          <w:spacing w:val="-3"/>
        </w:rPr>
        <w:t>既往多项临床研究告诉我们，在一线治疗中，一代 </w:t>
      </w:r>
      <w:r>
        <w:rPr/>
        <w:t>EGFR-TKI</w:t>
      </w:r>
      <w:r>
        <w:rPr>
          <w:spacing w:val="-24"/>
        </w:rPr>
        <w:t> 的中位 </w:t>
      </w:r>
      <w:r>
        <w:rPr/>
        <w:t>PFS</w:t>
      </w:r>
      <w:r>
        <w:rPr>
          <w:spacing w:val="-40"/>
        </w:rPr>
        <w:t> 为 </w:t>
      </w:r>
      <w:r>
        <w:rPr/>
        <w:t>8-13</w:t>
      </w:r>
      <w:r>
        <w:rPr>
          <w:spacing w:val="-19"/>
        </w:rPr>
        <w:t> 个月， </w:t>
      </w:r>
      <w:r>
        <w:rPr>
          <w:spacing w:val="-5"/>
        </w:rPr>
        <w:t>二代药物阿法替尼为 </w:t>
      </w:r>
      <w:r>
        <w:rPr/>
        <w:t>11</w:t>
      </w:r>
      <w:r>
        <w:rPr>
          <w:spacing w:val="-11"/>
        </w:rPr>
        <w:t> 个月左右，达可替尼为 </w:t>
      </w:r>
      <w:r>
        <w:rPr/>
        <w:t>14.7</w:t>
      </w:r>
      <w:r>
        <w:rPr>
          <w:spacing w:val="-10"/>
        </w:rPr>
        <w:t> 个月，三代药物奥希替尼的中位 </w:t>
      </w:r>
      <w:r>
        <w:rPr/>
        <w:t>PFS </w:t>
      </w:r>
      <w:r>
        <w:rPr>
          <w:spacing w:val="-11"/>
        </w:rPr>
        <w:t>已经达到了 </w:t>
      </w:r>
      <w:r>
        <w:rPr/>
        <w:t>18.9</w:t>
      </w:r>
      <w:r>
        <w:rPr>
          <w:spacing w:val="-11"/>
        </w:rPr>
        <w:t> 个月。如果仅从数值上看，一线使用三代 </w:t>
      </w:r>
      <w:r>
        <w:rPr/>
        <w:t>EGFR-TKI</w:t>
      </w:r>
      <w:r>
        <w:rPr>
          <w:spacing w:val="-14"/>
        </w:rPr>
        <w:t> 可以获得较长的 </w:t>
      </w:r>
      <w:r>
        <w:rPr/>
        <w:t>PFS， </w:t>
      </w:r>
      <w:r>
        <w:rPr>
          <w:spacing w:val="-20"/>
        </w:rPr>
        <w:t>但是 </w:t>
      </w:r>
      <w:r>
        <w:rPr/>
        <w:t>PFS</w:t>
      </w:r>
      <w:r>
        <w:rPr>
          <w:spacing w:val="-18"/>
        </w:rPr>
        <w:t> 能否转化为 </w:t>
      </w:r>
      <w:r>
        <w:rPr/>
        <w:t>OS</w:t>
      </w:r>
      <w:r>
        <w:rPr>
          <w:spacing w:val="-8"/>
        </w:rPr>
        <w:t> 获益尚不得而知。</w:t>
      </w:r>
    </w:p>
    <w:p>
      <w:pPr>
        <w:pStyle w:val="BodyText"/>
        <w:spacing w:line="297" w:lineRule="auto"/>
        <w:ind w:right="386" w:firstLine="480"/>
        <w:jc w:val="both"/>
      </w:pPr>
      <w:r>
        <w:rPr>
          <w:spacing w:val="-5"/>
        </w:rPr>
        <w:t>同时，我们也应该关注到 </w:t>
      </w:r>
      <w:r>
        <w:rPr/>
        <w:t>TKI</w:t>
      </w:r>
      <w:r>
        <w:rPr>
          <w:spacing w:val="-12"/>
        </w:rPr>
        <w:t> 耐药后的治疗策略，不同代 </w:t>
      </w:r>
      <w:r>
        <w:rPr/>
        <w:t>EGFR-TKI</w:t>
      </w:r>
      <w:r>
        <w:rPr>
          <w:spacing w:val="-8"/>
        </w:rPr>
        <w:t> 类药物的耐药机制</w:t>
      </w:r>
      <w:r>
        <w:rPr>
          <w:spacing w:val="-13"/>
        </w:rPr>
        <w:t>差别很大，尤其是三代 </w:t>
      </w:r>
      <w:r>
        <w:rPr/>
        <w:t>EGFR-TKI</w:t>
      </w:r>
      <w:r>
        <w:rPr>
          <w:spacing w:val="-8"/>
        </w:rPr>
        <w:t> 耐药的机制复杂，患者耐药后多数只能选择化疗方案，而</w:t>
      </w:r>
      <w:r>
        <w:rPr>
          <w:spacing w:val="-17"/>
        </w:rPr>
        <w:t>一代和二代 </w:t>
      </w:r>
      <w:r>
        <w:rPr/>
        <w:t>TKI</w:t>
      </w:r>
      <w:r>
        <w:rPr>
          <w:spacing w:val="-14"/>
        </w:rPr>
        <w:t> 治疗后耐药的患者，有一半的患者可能会出现 </w:t>
      </w:r>
      <w:r>
        <w:rPr/>
        <w:t>T790M</w:t>
      </w:r>
      <w:r>
        <w:rPr>
          <w:spacing w:val="-15"/>
        </w:rPr>
        <w:t> 突变，这样的患者后续</w:t>
      </w:r>
      <w:r>
        <w:rPr/>
        <w:t>可以使用奥希替尼进行治疗。</w:t>
      </w:r>
    </w:p>
    <w:p>
      <w:pPr>
        <w:pStyle w:val="BodyText"/>
        <w:spacing w:line="295" w:lineRule="auto"/>
        <w:ind w:right="465" w:firstLine="480"/>
        <w:jc w:val="both"/>
      </w:pPr>
      <w:r>
        <w:rPr>
          <w:spacing w:val="-8"/>
        </w:rPr>
        <w:t>总体上看，一代 </w:t>
      </w:r>
      <w:r>
        <w:rPr/>
        <w:t>EGFR-TKI</w:t>
      </w:r>
      <w:r>
        <w:rPr>
          <w:spacing w:val="-15"/>
        </w:rPr>
        <w:t> 中位 </w:t>
      </w:r>
      <w:r>
        <w:rPr/>
        <w:t>OS</w:t>
      </w:r>
      <w:r>
        <w:rPr>
          <w:spacing w:val="-40"/>
        </w:rPr>
        <w:t> 为 </w:t>
      </w:r>
      <w:r>
        <w:rPr/>
        <w:t>22-28</w:t>
      </w:r>
      <w:r>
        <w:rPr>
          <w:spacing w:val="-12"/>
        </w:rPr>
        <w:t> 个月，二代药物阿法替尼为 </w:t>
      </w:r>
      <w:r>
        <w:rPr/>
        <w:t>23-28</w:t>
      </w:r>
      <w:r>
        <w:rPr>
          <w:spacing w:val="-19"/>
        </w:rPr>
        <w:t> 个月， </w:t>
      </w:r>
      <w:r>
        <w:rPr>
          <w:spacing w:val="-13"/>
        </w:rPr>
        <w:t>达可替尼 </w:t>
      </w:r>
      <w:r>
        <w:rPr/>
        <w:t>OS</w:t>
      </w:r>
      <w:r>
        <w:rPr>
          <w:spacing w:val="-30"/>
        </w:rPr>
        <w:t> 达到 </w:t>
      </w:r>
      <w:r>
        <w:rPr/>
        <w:t>34.1</w:t>
      </w:r>
      <w:r>
        <w:rPr>
          <w:spacing w:val="-20"/>
        </w:rPr>
        <w:t> 个月，而 </w:t>
      </w:r>
      <w:r>
        <w:rPr/>
        <w:t>FLAURA</w:t>
      </w:r>
      <w:r>
        <w:rPr>
          <w:spacing w:val="-40"/>
        </w:rPr>
        <w:t> 的 </w:t>
      </w:r>
      <w:r>
        <w:rPr/>
        <w:t>OS</w:t>
      </w:r>
      <w:r>
        <w:rPr>
          <w:spacing w:val="-12"/>
        </w:rPr>
        <w:t> 结果暂未公布。那么未来到底是 </w:t>
      </w:r>
      <w:r>
        <w:rPr/>
        <w:t>1+3、</w:t>
      </w:r>
      <w:r>
        <w:rPr>
          <w:spacing w:val="-4"/>
        </w:rPr>
        <w:t>2+3，</w:t>
      </w:r>
    </w:p>
    <w:p>
      <w:pPr>
        <w:spacing w:after="0" w:line="295" w:lineRule="auto"/>
        <w:jc w:val="both"/>
        <w:sectPr>
          <w:pgSz w:w="11910" w:h="16850"/>
          <w:pgMar w:header="906" w:footer="607" w:top="1100" w:bottom="800" w:left="1000" w:right="740"/>
        </w:sectPr>
      </w:pPr>
    </w:p>
    <w:p>
      <w:pPr>
        <w:pStyle w:val="BodyText"/>
        <w:spacing w:line="295" w:lineRule="auto" w:before="65"/>
        <w:ind w:right="390"/>
      </w:pPr>
      <w:r>
        <w:rPr>
          <w:spacing w:val="-20"/>
        </w:rPr>
        <w:t>还是 </w:t>
      </w:r>
      <w:r>
        <w:rPr>
          <w:spacing w:val="-4"/>
        </w:rPr>
        <w:t>3+X</w:t>
      </w:r>
      <w:r>
        <w:rPr>
          <w:spacing w:val="-5"/>
        </w:rPr>
        <w:t>，究竟哪一种模式可以使患者更加受益，除考虑患者的基因突变、身体和经济状态</w:t>
      </w:r>
      <w:r>
        <w:rPr/>
        <w:t>等因素外，还需要更多的循证医学证据来给我们提供答案。</w:t>
      </w:r>
    </w:p>
    <w:p>
      <w:pPr>
        <w:pStyle w:val="Heading3"/>
        <w:spacing w:before="2"/>
      </w:pPr>
      <w:r>
        <w:rPr/>
        <w:t>达可替尼减量不减效</w:t>
      </w:r>
    </w:p>
    <w:p>
      <w:pPr>
        <w:pStyle w:val="BodyText"/>
        <w:spacing w:line="295" w:lineRule="auto" w:before="74"/>
        <w:ind w:right="268" w:firstLine="480"/>
      </w:pPr>
      <w:r>
        <w:rPr>
          <w:spacing w:val="-11"/>
        </w:rPr>
        <w:t>达可替尼药物在使用的过程中，毒性反应也是我们关注的重点。在 </w:t>
      </w:r>
      <w:r>
        <w:rPr/>
        <w:t>ARCHER</w:t>
      </w:r>
      <w:r>
        <w:rPr>
          <w:spacing w:val="-60"/>
        </w:rPr>
        <w:t> </w:t>
      </w:r>
      <w:r>
        <w:rPr/>
        <w:t>1050</w:t>
      </w:r>
      <w:r>
        <w:rPr>
          <w:spacing w:val="-16"/>
        </w:rPr>
        <w:t> 研究中， </w:t>
      </w:r>
      <w:r>
        <w:rPr>
          <w:spacing w:val="-9"/>
        </w:rPr>
        <w:t>达可替尼组约 </w:t>
      </w:r>
      <w:r>
        <w:rPr/>
        <w:t>2/3</w:t>
      </w:r>
      <w:r>
        <w:rPr>
          <w:spacing w:val="-14"/>
        </w:rPr>
        <w:t> 的患者进行一次减量，此后还有近 </w:t>
      </w:r>
      <w:r>
        <w:rPr/>
        <w:t>1/3</w:t>
      </w:r>
      <w:r>
        <w:rPr>
          <w:spacing w:val="-11"/>
        </w:rPr>
        <w:t> 的患者需要二次减量，由于达可替</w:t>
      </w:r>
      <w:r>
        <w:rPr>
          <w:spacing w:val="-13"/>
        </w:rPr>
        <w:t>尼所致的皮疹、腹泻和甲沟炎的发生率非常高，这就需要临床医生正确认识该药物的不良反</w:t>
      </w:r>
      <w:r>
        <w:rPr>
          <w:spacing w:val="-11"/>
        </w:rPr>
        <w:t>应，并对患者进行宣教，一旦出现不良反应，及时咨询主治医师，由医生判断不良反应与药</w:t>
      </w:r>
      <w:r>
        <w:rPr>
          <w:spacing w:val="-12"/>
        </w:rPr>
        <w:t>物的相关性，并按严重程度判断是否需进行药物减量，并进行不良反应处理，避免因不良反应给患者的生活质量造成较大影响。</w:t>
      </w:r>
    </w:p>
    <w:p>
      <w:pPr>
        <w:pStyle w:val="BodyText"/>
        <w:spacing w:before="11"/>
        <w:ind w:left="757"/>
      </w:pPr>
      <w:r>
        <w:rPr>
          <w:spacing w:val="-11"/>
        </w:rPr>
        <w:t>令人欣慰的是，根据后续的分析结果我们可以看到，虽然达可替尼的起始剂量为 </w:t>
      </w:r>
      <w:r>
        <w:rPr/>
        <w:t>45</w:t>
      </w:r>
      <w:r>
        <w:rPr>
          <w:spacing w:val="-60"/>
        </w:rPr>
        <w:t> </w:t>
      </w:r>
      <w:r>
        <w:rPr/>
        <w:t>mg，</w:t>
      </w:r>
    </w:p>
    <w:p>
      <w:pPr>
        <w:pStyle w:val="BodyText"/>
        <w:spacing w:line="297" w:lineRule="auto" w:before="72"/>
        <w:ind w:right="387"/>
      </w:pPr>
      <w:r>
        <w:rPr>
          <w:spacing w:val="-8"/>
        </w:rPr>
        <w:t>部分患者减量至 </w:t>
      </w:r>
      <w:r>
        <w:rPr/>
        <w:t>30 mg，</w:t>
      </w:r>
      <w:r>
        <w:rPr>
          <w:spacing w:val="-20"/>
        </w:rPr>
        <w:t>甚至 </w:t>
      </w:r>
      <w:r>
        <w:rPr/>
        <w:t>15 mg，</w:t>
      </w:r>
      <w:r>
        <w:rPr>
          <w:spacing w:val="-4"/>
        </w:rPr>
        <w:t>但患者的疗效未受影响；并且剂量减到 </w:t>
      </w:r>
      <w:r>
        <w:rPr/>
        <w:t>30 mg</w:t>
      </w:r>
      <w:r>
        <w:rPr>
          <w:spacing w:val="-30"/>
        </w:rPr>
        <w:t> 后</w:t>
      </w:r>
      <w:r>
        <w:rPr/>
        <w:t>，3 </w:t>
      </w:r>
      <w:r>
        <w:rPr>
          <w:spacing w:val="-13"/>
        </w:rPr>
        <w:t>级以上的 </w:t>
      </w:r>
      <w:r>
        <w:rPr/>
        <w:t>AE</w:t>
      </w:r>
      <w:r>
        <w:rPr>
          <w:spacing w:val="-12"/>
        </w:rPr>
        <w:t> 发生率明显减低，特别是 </w:t>
      </w:r>
      <w:r>
        <w:rPr/>
        <w:t>3</w:t>
      </w:r>
      <w:r>
        <w:rPr>
          <w:spacing w:val="-8"/>
        </w:rPr>
        <w:t> 级以上的腹泻几乎消失，药物安全性明显改善。但</w:t>
      </w:r>
      <w:r>
        <w:rPr>
          <w:spacing w:val="-13"/>
        </w:rPr>
        <w:t>这一亚组分析结果不能证明起始就使用较低剂量，起始就用较低剂量的疗效如何，目前尚没</w:t>
      </w:r>
      <w:r>
        <w:rPr/>
        <w:t>有证据能回答这个问题。</w:t>
      </w:r>
    </w:p>
    <w:p>
      <w:pPr>
        <w:pStyle w:val="BodyText"/>
        <w:spacing w:line="297" w:lineRule="auto"/>
        <w:ind w:right="387" w:firstLine="480"/>
      </w:pPr>
      <w:r>
        <w:rPr>
          <w:spacing w:val="-3"/>
        </w:rPr>
        <w:t>达可替尼正确的使用方法是，初始标准剂量 </w:t>
      </w:r>
      <w:r>
        <w:rPr/>
        <w:t>45 mg/天，后续根据患者耐受性进行剂量</w:t>
      </w:r>
      <w:r>
        <w:rPr>
          <w:spacing w:val="-13"/>
        </w:rPr>
        <w:t>调整，这样才对疗效没有影响。但究竟起始就使用较低剂量的达可替尼对临床疗效究竟有没</w:t>
      </w:r>
      <w:r>
        <w:rPr/>
        <w:t>有影响，还需要前瞻性的临床研究设计来回答这个问题。</w:t>
      </w:r>
    </w:p>
    <w:p>
      <w:pPr>
        <w:pStyle w:val="Heading3"/>
        <w:spacing w:line="304" w:lineRule="exact"/>
      </w:pPr>
      <w:r>
        <w:rPr/>
        <w:t>达可替尼在研究中显示出理想的疗效</w:t>
      </w:r>
    </w:p>
    <w:p>
      <w:pPr>
        <w:pStyle w:val="BodyText"/>
        <w:spacing w:before="68"/>
        <w:ind w:left="757"/>
      </w:pPr>
      <w:r>
        <w:rPr>
          <w:spacing w:val="-21"/>
        </w:rPr>
        <w:t>我院 </w:t>
      </w:r>
      <w:r>
        <w:rPr/>
        <w:t>ARCHER 1050</w:t>
      </w:r>
      <w:r>
        <w:rPr>
          <w:spacing w:val="-24"/>
        </w:rPr>
        <w:t> 研究于 </w:t>
      </w:r>
      <w:r>
        <w:rPr/>
        <w:t>2014</w:t>
      </w:r>
      <w:r>
        <w:rPr>
          <w:spacing w:val="-40"/>
        </w:rPr>
        <w:t> 年 </w:t>
      </w:r>
      <w:r>
        <w:rPr/>
        <w:t>3</w:t>
      </w:r>
      <w:r>
        <w:rPr>
          <w:spacing w:val="-40"/>
        </w:rPr>
        <w:t> 月 </w:t>
      </w:r>
      <w:r>
        <w:rPr/>
        <w:t>13</w:t>
      </w:r>
      <w:r>
        <w:rPr>
          <w:spacing w:val="-12"/>
        </w:rPr>
        <w:t> 日开始入组，总共筛选了 </w:t>
      </w:r>
      <w:r>
        <w:rPr/>
        <w:t>51</w:t>
      </w:r>
      <w:r>
        <w:rPr>
          <w:spacing w:val="-8"/>
        </w:rPr>
        <w:t> 例患者，成功入</w:t>
      </w:r>
    </w:p>
    <w:p>
      <w:pPr>
        <w:pStyle w:val="BodyText"/>
        <w:spacing w:line="297" w:lineRule="auto" w:before="72"/>
        <w:ind w:right="389"/>
        <w:jc w:val="both"/>
      </w:pPr>
      <w:r>
        <w:rPr>
          <w:spacing w:val="-30"/>
        </w:rPr>
        <w:t>组 </w:t>
      </w:r>
      <w:r>
        <w:rPr/>
        <w:t>26</w:t>
      </w:r>
      <w:r>
        <w:rPr>
          <w:spacing w:val="-14"/>
        </w:rPr>
        <w:t> 例，而全国筛选 </w:t>
      </w:r>
      <w:r>
        <w:rPr/>
        <w:t>458</w:t>
      </w:r>
      <w:r>
        <w:rPr>
          <w:spacing w:val="-20"/>
        </w:rPr>
        <w:t> 例，入组 </w:t>
      </w:r>
      <w:r>
        <w:rPr/>
        <w:t>231</w:t>
      </w:r>
      <w:r>
        <w:rPr>
          <w:spacing w:val="-8"/>
        </w:rPr>
        <w:t> 例，我院入组例数在全国乃至全球均居第一位，并</w:t>
      </w:r>
      <w:r>
        <w:rPr>
          <w:spacing w:val="-31"/>
        </w:rPr>
        <w:t>且在 </w:t>
      </w:r>
      <w:r>
        <w:rPr/>
        <w:t>2018</w:t>
      </w:r>
      <w:r>
        <w:rPr>
          <w:spacing w:val="-39"/>
        </w:rPr>
        <w:t> 年和 </w:t>
      </w:r>
      <w:r>
        <w:rPr/>
        <w:t>2019</w:t>
      </w:r>
      <w:r>
        <w:rPr>
          <w:spacing w:val="-17"/>
        </w:rPr>
        <w:t> 年先后顺利通过美国 </w:t>
      </w:r>
      <w:r>
        <w:rPr/>
        <w:t>FDA</w:t>
      </w:r>
      <w:r>
        <w:rPr>
          <w:spacing w:val="-10"/>
        </w:rPr>
        <w:t> 和国家药监局审核查验中心的现场核查，难能</w:t>
      </w:r>
      <w:r>
        <w:rPr/>
        <w:t>可贵的是，FDA</w:t>
      </w:r>
      <w:r>
        <w:rPr>
          <w:spacing w:val="-8"/>
        </w:rPr>
        <w:t> 核查人员多次强调本次“</w:t>
      </w:r>
      <w:r>
        <w:rPr/>
        <w:t>inspection is no finding”。</w:t>
      </w:r>
    </w:p>
    <w:p>
      <w:pPr>
        <w:pStyle w:val="BodyText"/>
        <w:spacing w:line="304" w:lineRule="exact"/>
        <w:ind w:left="757"/>
        <w:jc w:val="both"/>
      </w:pPr>
      <w:r>
        <w:rPr>
          <w:spacing w:val="-3"/>
        </w:rPr>
        <w:t>我院入组患者中，吉非替尼和达可替尼组各 </w:t>
      </w:r>
      <w:r>
        <w:rPr/>
        <w:t>13</w:t>
      </w:r>
      <w:r>
        <w:rPr>
          <w:spacing w:val="-8"/>
        </w:rPr>
        <w:t> 例患者，达可替尼组治疗后最佳疗效为</w:t>
      </w:r>
    </w:p>
    <w:p>
      <w:pPr>
        <w:pStyle w:val="BodyText"/>
        <w:spacing w:before="72"/>
      </w:pPr>
      <w:r>
        <w:rPr>
          <w:spacing w:val="-4"/>
        </w:rPr>
        <w:t>部分缓解（PR）</w:t>
      </w:r>
      <w:r>
        <w:rPr>
          <w:spacing w:val="-30"/>
        </w:rPr>
        <w:t>有 </w:t>
      </w:r>
      <w:r>
        <w:rPr/>
        <w:t>9</w:t>
      </w:r>
      <w:r>
        <w:rPr>
          <w:spacing w:val="-15"/>
        </w:rPr>
        <w:t> 例，病情稳定</w:t>
      </w:r>
      <w:r>
        <w:rPr>
          <w:spacing w:val="-4"/>
        </w:rPr>
        <w:t>（SD）</w:t>
      </w:r>
      <w:r>
        <w:rPr>
          <w:spacing w:val="-30"/>
        </w:rPr>
        <w:t>有 </w:t>
      </w:r>
      <w:r>
        <w:rPr/>
        <w:t>4</w:t>
      </w:r>
      <w:r>
        <w:rPr>
          <w:spacing w:val="-28"/>
        </w:rPr>
        <w:t> 例，仅 </w:t>
      </w:r>
      <w:r>
        <w:rPr/>
        <w:t>2</w:t>
      </w:r>
      <w:r>
        <w:rPr>
          <w:spacing w:val="-9"/>
        </w:rPr>
        <w:t> 名患者因皮疹降低一个剂量等级，患</w:t>
      </w:r>
    </w:p>
    <w:p>
      <w:pPr>
        <w:pStyle w:val="BodyText"/>
        <w:spacing w:before="74"/>
      </w:pPr>
      <w:r>
        <w:rPr>
          <w:spacing w:val="-3"/>
        </w:rPr>
        <w:t>者耐受性良好；目前仍有一例患者接受治疗，该例患者于 </w:t>
      </w:r>
      <w:r>
        <w:rPr/>
        <w:t>2014</w:t>
      </w:r>
      <w:r>
        <w:rPr>
          <w:spacing w:val="-40"/>
        </w:rPr>
        <w:t> 年 </w:t>
      </w:r>
      <w:r>
        <w:rPr/>
        <w:t>7</w:t>
      </w:r>
      <w:r>
        <w:rPr>
          <w:spacing w:val="-8"/>
        </w:rPr>
        <w:t> 月入组，治疗过程中因</w:t>
      </w:r>
    </w:p>
    <w:p>
      <w:pPr>
        <w:pStyle w:val="BodyText"/>
        <w:spacing w:before="72"/>
      </w:pPr>
      <w:r>
        <w:rPr>
          <w:spacing w:val="-2"/>
        </w:rPr>
        <w:t>皮疹降低一个剂量等级，目前仍在达可替尼治疗过程中，应用剂量为 </w:t>
      </w:r>
      <w:r>
        <w:rPr/>
        <w:t>30</w:t>
      </w:r>
      <w:r>
        <w:rPr>
          <w:spacing w:val="-44"/>
        </w:rPr>
        <w:t> </w:t>
      </w:r>
      <w:r>
        <w:rPr/>
        <w:t>mg，用药时间接近</w:t>
      </w:r>
    </w:p>
    <w:p>
      <w:pPr>
        <w:pStyle w:val="BodyText"/>
        <w:spacing w:line="297" w:lineRule="auto" w:before="71"/>
        <w:ind w:right="389"/>
        <w:jc w:val="both"/>
      </w:pPr>
      <w:r>
        <w:rPr/>
        <w:t>5</w:t>
      </w:r>
      <w:r>
        <w:rPr>
          <w:spacing w:val="-24"/>
        </w:rPr>
        <w:t> 年；另有 </w:t>
      </w:r>
      <w:r>
        <w:rPr/>
        <w:t>2</w:t>
      </w:r>
      <w:r>
        <w:rPr>
          <w:spacing w:val="-20"/>
        </w:rPr>
        <w:t> 例患者的 </w:t>
      </w:r>
      <w:r>
        <w:rPr/>
        <w:t>PFS</w:t>
      </w:r>
      <w:r>
        <w:rPr>
          <w:spacing w:val="-20"/>
        </w:rPr>
        <w:t> 也达到了 </w:t>
      </w:r>
      <w:r>
        <w:rPr/>
        <w:t>2</w:t>
      </w:r>
      <w:r>
        <w:rPr>
          <w:spacing w:val="-11"/>
        </w:rPr>
        <w:t> 年半。从这些患者的使用经验上来看，虽然这不能代</w:t>
      </w:r>
      <w:r>
        <w:rPr>
          <w:spacing w:val="-3"/>
        </w:rPr>
        <w:t>表所有的患者，但是我们看到了达可替尼组患者的 </w:t>
      </w:r>
      <w:r>
        <w:rPr/>
        <w:t>PFS</w:t>
      </w:r>
      <w:r>
        <w:rPr>
          <w:spacing w:val="-18"/>
        </w:rPr>
        <w:t> 较长，二代 </w:t>
      </w:r>
      <w:r>
        <w:rPr/>
        <w:t>EGFR-TKI</w:t>
      </w:r>
      <w:r>
        <w:rPr>
          <w:spacing w:val="-9"/>
        </w:rPr>
        <w:t> 显示出了强大的疗效。</w:t>
      </w:r>
    </w:p>
    <w:p>
      <w:pPr>
        <w:pStyle w:val="BodyText"/>
        <w:spacing w:line="297" w:lineRule="auto"/>
        <w:ind w:right="266" w:firstLine="480"/>
      </w:pPr>
      <w:r>
        <w:rPr>
          <w:spacing w:val="-9"/>
        </w:rPr>
        <w:t>不同于其他的 </w:t>
      </w:r>
      <w:r>
        <w:rPr>
          <w:spacing w:val="-4"/>
        </w:rPr>
        <w:t>EGFR-TKI</w:t>
      </w:r>
      <w:r>
        <w:rPr>
          <w:spacing w:val="-8"/>
        </w:rPr>
        <w:t>，达可替尼的分子结构以喹唑啉环为主体，侧链双键，与 </w:t>
      </w:r>
      <w:r>
        <w:rPr/>
        <w:t>EGFR</w:t>
      </w:r>
      <w:r>
        <w:rPr>
          <w:spacing w:val="-15"/>
        </w:rPr>
        <w:t>、</w:t>
      </w:r>
      <w:r>
        <w:rPr/>
        <w:t>ErbB2</w:t>
      </w:r>
      <w:r>
        <w:rPr>
          <w:spacing w:val="-41"/>
        </w:rPr>
        <w:t> 和 </w:t>
      </w:r>
      <w:r>
        <w:rPr/>
        <w:t>ErbB4</w:t>
      </w:r>
      <w:r>
        <w:rPr>
          <w:spacing w:val="-11"/>
        </w:rPr>
        <w:t> 不可逆性共价结合，作用时间较长，这也决定了其半衰期也较长，可关闭肿</w:t>
      </w:r>
      <w:r>
        <w:rPr>
          <w:spacing w:val="-14"/>
        </w:rPr>
        <w:t>瘤细胞信号传导通路，从而达到抑制肿瘤细胞生长的目的；此外，达可替尼的生物利用度更高，而且不受轻中度肝肾功能损伤和进食等的影响。</w:t>
      </w:r>
    </w:p>
    <w:p>
      <w:pPr>
        <w:pStyle w:val="BodyText"/>
        <w:spacing w:line="297" w:lineRule="auto"/>
        <w:ind w:right="268" w:firstLine="480"/>
      </w:pPr>
      <w:r>
        <w:rPr/>
        <w:t>全球多中心、III</w:t>
      </w:r>
      <w:r>
        <w:rPr>
          <w:spacing w:val="-18"/>
        </w:rPr>
        <w:t> 期临床研究 </w:t>
      </w:r>
      <w:r>
        <w:rPr/>
        <w:t>ARCHER 1050</w:t>
      </w:r>
      <w:r>
        <w:rPr>
          <w:spacing w:val="-14"/>
        </w:rPr>
        <w:t> 已经证实，与一代 </w:t>
      </w:r>
      <w:r>
        <w:rPr/>
        <w:t>EGFR-TKI</w:t>
      </w:r>
      <w:r>
        <w:rPr>
          <w:spacing w:val="-10"/>
        </w:rPr>
        <w:t> 吉非替尼相比， </w:t>
      </w:r>
      <w:r>
        <w:rPr>
          <w:spacing w:val="-5"/>
        </w:rPr>
        <w:t>达可替尼可使患者的中位 </w:t>
      </w:r>
      <w:r>
        <w:rPr/>
        <w:t>PFS</w:t>
      </w:r>
      <w:r>
        <w:rPr>
          <w:spacing w:val="-30"/>
        </w:rPr>
        <w:t> 延长 </w:t>
      </w:r>
      <w:r>
        <w:rPr/>
        <w:t>5.5</w:t>
      </w:r>
      <w:r>
        <w:rPr>
          <w:spacing w:val="-22"/>
        </w:rPr>
        <w:t> 个月，达到 </w:t>
      </w:r>
      <w:r>
        <w:rPr/>
        <w:t>14.7</w:t>
      </w:r>
      <w:r>
        <w:rPr>
          <w:spacing w:val="-28"/>
        </w:rPr>
        <w:t> 个月</w:t>
      </w:r>
      <w:r>
        <w:rPr>
          <w:spacing w:val="-4"/>
        </w:rPr>
        <w:t>（p＜0.0001）；</w:t>
      </w:r>
      <w:r>
        <w:rPr>
          <w:spacing w:val="-5"/>
        </w:rPr>
        <w:t>其中，中国人</w:t>
      </w:r>
      <w:r>
        <w:rPr>
          <w:spacing w:val="-19"/>
        </w:rPr>
        <w:t>群中位 </w:t>
      </w:r>
      <w:r>
        <w:rPr/>
        <w:t>PFS</w:t>
      </w:r>
      <w:r>
        <w:rPr>
          <w:spacing w:val="-18"/>
        </w:rPr>
        <w:t> 甚至达到了 </w:t>
      </w:r>
      <w:r>
        <w:rPr/>
        <w:t>18.4</w:t>
      </w:r>
      <w:r>
        <w:rPr>
          <w:spacing w:val="-18"/>
        </w:rPr>
        <w:t> 个月；中位 </w:t>
      </w:r>
      <w:r>
        <w:rPr/>
        <w:t>OS</w:t>
      </w:r>
      <w:r>
        <w:rPr>
          <w:spacing w:val="-30"/>
        </w:rPr>
        <w:t> 延长 </w:t>
      </w:r>
      <w:r>
        <w:rPr/>
        <w:t>7</w:t>
      </w:r>
      <w:r>
        <w:rPr>
          <w:spacing w:val="-18"/>
        </w:rPr>
        <w:t> 个月余，达 </w:t>
      </w:r>
      <w:r>
        <w:rPr/>
        <w:t>34.1</w:t>
      </w:r>
      <w:r>
        <w:rPr>
          <w:spacing w:val="-20"/>
        </w:rPr>
        <w:t> 个月</w:t>
      </w:r>
      <w:r>
        <w:rPr/>
        <w:t>（p=0.0438）。因</w:t>
      </w:r>
      <w:r>
        <w:rPr>
          <w:spacing w:val="-12"/>
        </w:rPr>
        <w:t>此，达可替尼一线治疗晚期 </w:t>
      </w:r>
      <w:r>
        <w:rPr/>
        <w:t>EGFR</w:t>
      </w:r>
      <w:r>
        <w:rPr>
          <w:spacing w:val="-18"/>
        </w:rPr>
        <w:t> 敏感突变的 </w:t>
      </w:r>
      <w:r>
        <w:rPr/>
        <w:t>NSCLC</w:t>
      </w:r>
      <w:r>
        <w:rPr>
          <w:spacing w:val="-13"/>
        </w:rPr>
        <w:t> 显著延长了患者的生存期，且毒性可控。</w:t>
      </w:r>
    </w:p>
    <w:p>
      <w:pPr>
        <w:spacing w:after="0" w:line="297" w:lineRule="auto"/>
        <w:sectPr>
          <w:pgSz w:w="11910" w:h="16850"/>
          <w:pgMar w:header="906" w:footer="607" w:top="1100" w:bottom="800" w:left="1000" w:right="740"/>
        </w:sectPr>
      </w:pPr>
    </w:p>
    <w:p>
      <w:pPr>
        <w:pStyle w:val="BodyText"/>
        <w:spacing w:line="295" w:lineRule="auto" w:before="65"/>
        <w:ind w:right="585"/>
      </w:pPr>
      <w:r>
        <w:rPr>
          <w:spacing w:val="-4"/>
        </w:rPr>
        <w:t>基于该临床研究结果，达可替尼于 </w:t>
      </w:r>
      <w:r>
        <w:rPr/>
        <w:t>2018</w:t>
      </w:r>
      <w:r>
        <w:rPr>
          <w:spacing w:val="-40"/>
        </w:rPr>
        <w:t> 年 </w:t>
      </w:r>
      <w:r>
        <w:rPr/>
        <w:t>9</w:t>
      </w:r>
      <w:r>
        <w:rPr>
          <w:spacing w:val="-40"/>
        </w:rPr>
        <w:t> 月 </w:t>
      </w:r>
      <w:r>
        <w:rPr/>
        <w:t>27</w:t>
      </w:r>
      <w:r>
        <w:rPr>
          <w:spacing w:val="-30"/>
        </w:rPr>
        <w:t> 日和 </w:t>
      </w:r>
      <w:r>
        <w:rPr/>
        <w:t>2019</w:t>
      </w:r>
      <w:r>
        <w:rPr>
          <w:spacing w:val="-40"/>
        </w:rPr>
        <w:t> 年 </w:t>
      </w:r>
      <w:r>
        <w:rPr/>
        <w:t>5</w:t>
      </w:r>
      <w:r>
        <w:rPr>
          <w:spacing w:val="-40"/>
        </w:rPr>
        <w:t> 月 </w:t>
      </w:r>
      <w:r>
        <w:rPr/>
        <w:t>15</w:t>
      </w:r>
      <w:r>
        <w:rPr>
          <w:spacing w:val="-16"/>
        </w:rPr>
        <w:t> 日分别被美国 </w:t>
      </w:r>
      <w:r>
        <w:rPr>
          <w:spacing w:val="-6"/>
        </w:rPr>
        <w:t>FDA </w:t>
      </w:r>
      <w:r>
        <w:rPr>
          <w:spacing w:val="-16"/>
        </w:rPr>
        <w:t>和中国 </w:t>
      </w:r>
      <w:r>
        <w:rPr/>
        <w:t>NMPA</w:t>
      </w:r>
      <w:r>
        <w:rPr>
          <w:spacing w:val="-10"/>
        </w:rPr>
        <w:t> 批准上市。</w:t>
      </w:r>
    </w:p>
    <w:p>
      <w:pPr>
        <w:spacing w:line="208" w:lineRule="auto" w:before="0"/>
        <w:ind w:left="277" w:right="383" w:firstLine="482"/>
        <w:jc w:val="left"/>
        <w:rPr>
          <w:rFonts w:ascii="Meiryo" w:eastAsia="Meiryo" w:hint="eastAsia"/>
          <w:b/>
          <w:sz w:val="24"/>
        </w:rPr>
      </w:pPr>
      <w:r>
        <w:rPr>
          <w:rFonts w:ascii="楷体" w:eastAsia="楷体" w:hint="eastAsia"/>
          <w:spacing w:val="-5"/>
          <w:sz w:val="21"/>
        </w:rPr>
        <w:t>作者：程颖，二级教授，吉林省肿瘤医院院长，吉林省肿瘤研究所所长，吉林省癌症中心主任，吉</w:t>
      </w:r>
      <w:r>
        <w:rPr>
          <w:rFonts w:ascii="楷体" w:eastAsia="楷体" w:hint="eastAsia"/>
          <w:spacing w:val="-4"/>
          <w:sz w:val="21"/>
        </w:rPr>
        <w:t>林省抗癌协会理事会理事长，吉林省肺癌诊疗中心主任，中国临床肿瘤学会</w:t>
      </w:r>
      <w:r>
        <w:rPr>
          <w:rFonts w:ascii="楷体" w:eastAsia="楷体" w:hint="eastAsia"/>
          <w:sz w:val="21"/>
        </w:rPr>
        <w:t>（CSCO）</w:t>
      </w:r>
      <w:r>
        <w:rPr>
          <w:rFonts w:ascii="楷体" w:eastAsia="楷体" w:hint="eastAsia"/>
          <w:spacing w:val="-3"/>
          <w:sz w:val="21"/>
        </w:rPr>
        <w:t>副理事长。</w:t>
      </w:r>
      <w:r>
        <w:rPr>
          <w:rFonts w:ascii="Meiryo" w:eastAsia="Meiryo" w:hint="eastAsia"/>
          <w:b/>
          <w:color w:val="0033CC"/>
          <w:sz w:val="24"/>
        </w:rPr>
        <w:t>[返回</w:t>
      </w:r>
    </w:p>
    <w:p>
      <w:pPr>
        <w:pStyle w:val="Heading3"/>
        <w:spacing w:line="323" w:lineRule="exact"/>
        <w:ind w:left="277"/>
        <w:rPr>
          <w:rFonts w:ascii="Meiryo" w:eastAsia="Meiryo" w:hint="eastAsia"/>
        </w:rPr>
      </w:pPr>
      <w:r>
        <w:rPr>
          <w:rFonts w:ascii="Meiryo" w:eastAsia="Meiryo" w:hint="eastAsia"/>
          <w:color w:val="0033CC"/>
        </w:rPr>
        <w:t>目次]</w:t>
      </w:r>
    </w:p>
    <w:p>
      <w:pPr>
        <w:pStyle w:val="Heading2"/>
        <w:spacing w:before="186"/>
        <w:ind w:left="277"/>
      </w:pPr>
      <w:bookmarkStart w:name="_TOC_250015" w:id="10"/>
      <w:bookmarkEnd w:id="10"/>
      <w:r>
        <w:rPr/>
        <w:t>【科普知识】</w:t>
      </w:r>
    </w:p>
    <w:p>
      <w:pPr>
        <w:pStyle w:val="BodyText"/>
        <w:spacing w:before="6"/>
        <w:ind w:left="0"/>
        <w:rPr>
          <w:b/>
          <w:sz w:val="22"/>
        </w:rPr>
      </w:pPr>
    </w:p>
    <w:p>
      <w:pPr>
        <w:pStyle w:val="Heading2"/>
        <w:spacing w:before="1"/>
        <w:ind w:left="505"/>
      </w:pPr>
      <w:bookmarkStart w:name="_TOC_250014" w:id="11"/>
      <w:bookmarkEnd w:id="11"/>
      <w:r>
        <w:rPr>
          <w:w w:val="85"/>
        </w:rPr>
        <w:t>高传染性腺病毒已致数名儿童死亡！宝宝出现这些症状，警惕腺病毒感染！</w:t>
      </w:r>
    </w:p>
    <w:p>
      <w:pPr>
        <w:spacing w:before="145"/>
        <w:ind w:left="6400" w:right="0" w:firstLine="0"/>
        <w:jc w:val="left"/>
        <w:rPr>
          <w:rFonts w:ascii="楷体" w:eastAsia="楷体" w:hint="eastAsia"/>
          <w:b/>
          <w:sz w:val="24"/>
        </w:rPr>
      </w:pPr>
      <w:r>
        <w:rPr>
          <w:rFonts w:ascii="楷体" w:eastAsia="楷体" w:hint="eastAsia"/>
          <w:b/>
          <w:color w:val="FF0000"/>
          <w:sz w:val="24"/>
        </w:rPr>
        <w:t>（来源：药葫芦娃微信公众号）</w:t>
      </w:r>
    </w:p>
    <w:p>
      <w:pPr>
        <w:pStyle w:val="BodyText"/>
        <w:spacing w:line="295" w:lineRule="auto" w:before="98"/>
        <w:ind w:left="1237" w:right="3167" w:hanging="480"/>
      </w:pPr>
      <w:r>
        <w:rPr>
          <w:spacing w:val="-2"/>
        </w:rPr>
        <w:t>近日，腺病毒致数名儿童死亡的事件在朋友圈持续发酵„„ </w:t>
      </w:r>
      <w:r>
        <w:rPr>
          <w:w w:val="105"/>
        </w:rPr>
        <w:t>腺病毒？新病毒？并不是！</w:t>
      </w:r>
    </w:p>
    <w:p>
      <w:pPr>
        <w:pStyle w:val="BodyText"/>
        <w:spacing w:line="297" w:lineRule="auto" w:before="2"/>
        <w:ind w:right="388" w:firstLine="480"/>
      </w:pPr>
      <w:r>
        <w:rPr/>
        <w:t>2018</w:t>
      </w:r>
      <w:r>
        <w:rPr>
          <w:spacing w:val="-41"/>
        </w:rPr>
        <w:t> 年 </w:t>
      </w:r>
      <w:r>
        <w:rPr/>
        <w:t>11</w:t>
      </w:r>
      <w:r>
        <w:rPr>
          <w:spacing w:val="-40"/>
        </w:rPr>
        <w:t> 月 </w:t>
      </w:r>
      <w:r>
        <w:rPr/>
        <w:t>16</w:t>
      </w:r>
      <w:r>
        <w:rPr>
          <w:spacing w:val="-13"/>
        </w:rPr>
        <w:t> 日，美国新泽西州一家卫生保健机构发生腺病毒暴发，最终导致 </w:t>
      </w:r>
      <w:r>
        <w:rPr/>
        <w:t>11</w:t>
      </w:r>
      <w:r>
        <w:rPr>
          <w:spacing w:val="-38"/>
        </w:rPr>
        <w:t> 名</w:t>
      </w:r>
      <w:r>
        <w:rPr/>
        <w:t>儿童死亡„„</w:t>
      </w:r>
    </w:p>
    <w:p>
      <w:pPr>
        <w:pStyle w:val="Heading3"/>
        <w:spacing w:line="306" w:lineRule="exact"/>
      </w:pPr>
      <w:r>
        <w:rPr/>
        <w:t>腺病毒到底是啥？</w:t>
      </w:r>
    </w:p>
    <w:p>
      <w:pPr>
        <w:pStyle w:val="BodyText"/>
        <w:spacing w:line="297" w:lineRule="auto" w:before="72"/>
        <w:ind w:left="757" w:right="267"/>
      </w:pPr>
      <w:r>
        <w:rPr>
          <w:spacing w:val="-14"/>
        </w:rPr>
        <w:t>腺病毒在自然界分布很广，宿主涉及哺乳类、禽类、两栖类、爬行类和鱼类等多个物种。</w:t>
      </w:r>
      <w:r>
        <w:rPr/>
        <w:t>腺病毒感染可常年流行，冬春季节更容易暴发流行。</w:t>
      </w:r>
    </w:p>
    <w:p>
      <w:pPr>
        <w:pStyle w:val="BodyText"/>
        <w:spacing w:line="295" w:lineRule="auto"/>
        <w:ind w:right="387" w:firstLine="480"/>
      </w:pPr>
      <w:r>
        <w:rPr>
          <w:spacing w:val="-10"/>
        </w:rPr>
        <w:t>但在夏季，腺病毒可污染游泳池的水，引起游泳者咽结膜热，所以腺病毒感染也被称为</w:t>
      </w:r>
      <w:r>
        <w:rPr/>
        <w:t>“游泳池热”。</w:t>
      </w:r>
    </w:p>
    <w:p>
      <w:pPr>
        <w:pStyle w:val="Heading3"/>
        <w:spacing w:before="3"/>
      </w:pPr>
      <w:r>
        <w:rPr/>
        <w:t>腺病毒更“偏爱”儿童！</w:t>
      </w:r>
    </w:p>
    <w:p>
      <w:pPr>
        <w:pStyle w:val="BodyText"/>
        <w:spacing w:before="72"/>
        <w:ind w:left="757"/>
      </w:pPr>
      <w:r>
        <w:rPr/>
        <w:t>各年龄段人群均可感染腺病毒，但多见于儿童。</w:t>
      </w:r>
    </w:p>
    <w:p>
      <w:pPr>
        <w:pStyle w:val="BodyText"/>
        <w:spacing w:line="297" w:lineRule="auto" w:before="71"/>
        <w:ind w:right="387" w:firstLine="480"/>
      </w:pPr>
      <w:r>
        <w:rPr>
          <w:spacing w:val="-10"/>
        </w:rPr>
        <w:t>免疫力低下人群，如如艾滋病、器官移植或患有慢性呼吸系统疾病、心脏病等疾病的患</w:t>
      </w:r>
      <w:r>
        <w:rPr/>
        <w:t>者感染后引发严重疾病的风险较高。</w:t>
      </w:r>
    </w:p>
    <w:p>
      <w:pPr>
        <w:pStyle w:val="Heading3"/>
        <w:spacing w:line="306" w:lineRule="exact"/>
      </w:pPr>
      <w:r>
        <w:rPr/>
        <w:t>感染腺病毒危害多！</w:t>
      </w:r>
    </w:p>
    <w:p>
      <w:pPr>
        <w:pStyle w:val="BodyText"/>
        <w:spacing w:line="297" w:lineRule="auto" w:before="72"/>
        <w:ind w:left="757" w:right="1967"/>
      </w:pPr>
      <w:r>
        <w:rPr/>
        <w:t>腺病毒可造成呼吸道、胃肠道、泌尿系统以及眼结膜等多种组织感染。1.呼吸道感染</w:t>
      </w:r>
    </w:p>
    <w:p>
      <w:pPr>
        <w:pStyle w:val="BodyText"/>
        <w:spacing w:line="295" w:lineRule="auto"/>
        <w:ind w:right="387" w:firstLine="480"/>
      </w:pPr>
      <w:r>
        <w:rPr>
          <w:spacing w:val="-7"/>
        </w:rPr>
        <w:t>呼吸道感染的典型症状是咳嗽、鼻塞和咽炎，同时伴有发热、寒战、头痛和肌肉腺病毒</w:t>
      </w:r>
      <w:r>
        <w:rPr/>
        <w:t>痛等。对于儿童来说，腺病毒肺炎是婴幼儿肺炎中最严重的类型之一，严重可致命。</w:t>
      </w:r>
    </w:p>
    <w:p>
      <w:pPr>
        <w:pStyle w:val="BodyText"/>
        <w:spacing w:before="3"/>
        <w:ind w:left="757"/>
      </w:pPr>
      <w:r>
        <w:rPr/>
        <w:t>2.眼部感染</w:t>
      </w:r>
    </w:p>
    <w:p>
      <w:pPr>
        <w:pStyle w:val="BodyText"/>
        <w:spacing w:line="295" w:lineRule="auto" w:before="72"/>
        <w:ind w:left="757" w:right="3407"/>
      </w:pPr>
      <w:r>
        <w:rPr/>
        <w:t>腺病毒致轻型眼部感染是呼吸道感染和咽喉炎的并发症。3.胃肠炎</w:t>
      </w:r>
    </w:p>
    <w:p>
      <w:pPr>
        <w:pStyle w:val="BodyText"/>
        <w:spacing w:line="295" w:lineRule="auto" w:before="4"/>
        <w:ind w:right="388" w:firstLine="480"/>
      </w:pPr>
      <w:r>
        <w:rPr>
          <w:spacing w:val="-8"/>
        </w:rPr>
        <w:t>许多腺病毒在肠道细胞中复制，随粪便排出，部分血清型腺病毒可引起婴幼儿与年少(4 </w:t>
      </w:r>
      <w:r>
        <w:rPr/>
        <w:t>岁以下)儿童的胃肠炎，致腹痛、腹泻。</w:t>
      </w:r>
    </w:p>
    <w:p>
      <w:pPr>
        <w:pStyle w:val="BodyText"/>
        <w:spacing w:before="2"/>
        <w:ind w:left="757"/>
      </w:pPr>
      <w:r>
        <w:rPr/>
        <w:t>4.其他</w:t>
      </w:r>
    </w:p>
    <w:p>
      <w:pPr>
        <w:pStyle w:val="ListParagraph"/>
        <w:numPr>
          <w:ilvl w:val="0"/>
          <w:numId w:val="7"/>
        </w:numPr>
        <w:tabs>
          <w:tab w:pos="1119" w:val="left" w:leader="none"/>
        </w:tabs>
        <w:spacing w:line="240" w:lineRule="auto" w:before="74" w:after="0"/>
        <w:ind w:left="1118" w:right="0" w:hanging="362"/>
        <w:jc w:val="left"/>
        <w:rPr>
          <w:sz w:val="24"/>
        </w:rPr>
      </w:pPr>
      <w:r>
        <w:rPr>
          <w:sz w:val="24"/>
        </w:rPr>
        <w:t>急性出血性膀胱炎，尿中出现病毒；</w:t>
      </w:r>
    </w:p>
    <w:p>
      <w:pPr>
        <w:pStyle w:val="ListParagraph"/>
        <w:numPr>
          <w:ilvl w:val="0"/>
          <w:numId w:val="7"/>
        </w:numPr>
        <w:tabs>
          <w:tab w:pos="1119" w:val="left" w:leader="none"/>
        </w:tabs>
        <w:spacing w:line="240" w:lineRule="auto" w:before="72" w:after="0"/>
        <w:ind w:left="1118" w:right="0" w:hanging="362"/>
        <w:jc w:val="left"/>
        <w:rPr>
          <w:sz w:val="24"/>
        </w:rPr>
      </w:pPr>
      <w:r>
        <w:rPr>
          <w:sz w:val="24"/>
        </w:rPr>
        <w:t>女性宫颈炎和男性尿道炎，常由性传播感染；</w:t>
      </w:r>
    </w:p>
    <w:p>
      <w:pPr>
        <w:pStyle w:val="ListParagraph"/>
        <w:numPr>
          <w:ilvl w:val="0"/>
          <w:numId w:val="7"/>
        </w:numPr>
        <w:tabs>
          <w:tab w:pos="1119" w:val="left" w:leader="none"/>
        </w:tabs>
        <w:spacing w:line="297" w:lineRule="auto" w:before="72" w:after="0"/>
        <w:ind w:left="277" w:right="407" w:firstLine="480"/>
        <w:jc w:val="left"/>
        <w:rPr>
          <w:sz w:val="24"/>
        </w:rPr>
      </w:pPr>
      <w:r>
        <w:rPr>
          <w:spacing w:val="-1"/>
          <w:sz w:val="24"/>
        </w:rPr>
        <w:t>免疫功能低下者可引起偶发或严重的病毒感染，尤其在器官移植患者中可发生严重</w:t>
      </w:r>
      <w:r>
        <w:rPr>
          <w:sz w:val="24"/>
        </w:rPr>
        <w:t>呼吸道感染和病毒性肝炎；</w:t>
      </w:r>
    </w:p>
    <w:p>
      <w:pPr>
        <w:pStyle w:val="ListParagraph"/>
        <w:numPr>
          <w:ilvl w:val="0"/>
          <w:numId w:val="7"/>
        </w:numPr>
        <w:tabs>
          <w:tab w:pos="1119" w:val="left" w:leader="none"/>
        </w:tabs>
        <w:spacing w:line="306" w:lineRule="exact" w:before="0" w:after="0"/>
        <w:ind w:left="1118" w:right="0" w:hanging="362"/>
        <w:jc w:val="left"/>
        <w:rPr>
          <w:sz w:val="24"/>
        </w:rPr>
      </w:pPr>
      <w:r>
        <w:rPr>
          <w:sz w:val="24"/>
        </w:rPr>
        <w:t>部分艾滋病患者发生病毒性腹泻常由腺病毒所引起。</w:t>
      </w:r>
    </w:p>
    <w:p>
      <w:pPr>
        <w:spacing w:after="0" w:line="306" w:lineRule="exact"/>
        <w:jc w:val="left"/>
        <w:rPr>
          <w:sz w:val="24"/>
        </w:rPr>
        <w:sectPr>
          <w:pgSz w:w="11910" w:h="16850"/>
          <w:pgMar w:header="906" w:footer="607" w:top="1100" w:bottom="800" w:left="1000" w:right="740"/>
        </w:sectPr>
      </w:pPr>
    </w:p>
    <w:p>
      <w:pPr>
        <w:pStyle w:val="Heading3"/>
        <w:spacing w:before="65"/>
      </w:pPr>
      <w:r>
        <w:rPr/>
        <w:t>不幸感染腺病毒肿么办？</w:t>
      </w:r>
    </w:p>
    <w:p>
      <w:pPr>
        <w:pStyle w:val="BodyText"/>
        <w:spacing w:line="295" w:lineRule="auto" w:before="72"/>
        <w:ind w:left="757" w:right="2207"/>
      </w:pPr>
      <w:r>
        <w:rPr/>
        <w:t>截至目前，没有针对腺病毒的特效药，没有可以预防腺病毒的疫苗。更糟糕的是腺病毒传染性超强，常可引起暴发流行。</w:t>
      </w:r>
    </w:p>
    <w:p>
      <w:pPr>
        <w:pStyle w:val="BodyText"/>
        <w:spacing w:line="295" w:lineRule="auto" w:before="4"/>
        <w:ind w:right="392" w:firstLine="480"/>
      </w:pPr>
      <w:r>
        <w:rPr>
          <w:spacing w:val="-9"/>
        </w:rPr>
        <w:t>针对腺病毒感染，临床上主要采用对症治疗，如退热等；防治继发感染，对于重症者则</w:t>
      </w:r>
      <w:r>
        <w:rPr/>
        <w:t>应用干扰素治疗。</w:t>
      </w:r>
    </w:p>
    <w:p>
      <w:pPr>
        <w:spacing w:line="297" w:lineRule="auto" w:before="2"/>
        <w:ind w:left="757" w:right="5313" w:firstLine="0"/>
        <w:jc w:val="left"/>
        <w:rPr>
          <w:sz w:val="24"/>
        </w:rPr>
      </w:pPr>
      <w:r>
        <w:rPr>
          <w:b/>
          <w:sz w:val="24"/>
        </w:rPr>
        <w:t>针对腺病毒，最好的办法是做好预防！ </w:t>
      </w:r>
      <w:r>
        <w:rPr>
          <w:sz w:val="24"/>
        </w:rPr>
        <w:t>1.注意个人卫生</w:t>
      </w:r>
    </w:p>
    <w:p>
      <w:pPr>
        <w:pStyle w:val="BodyText"/>
        <w:spacing w:line="295" w:lineRule="auto"/>
        <w:ind w:left="757" w:right="767"/>
      </w:pPr>
      <w:r>
        <w:rPr/>
        <w:t>做到勤洗手、勤消毒，减少腺病毒在身体表面的附着；尽量避免抠鼻子、揉眼睛。2.保持良好的生活习惯</w:t>
      </w:r>
    </w:p>
    <w:p>
      <w:pPr>
        <w:pStyle w:val="BodyText"/>
        <w:spacing w:line="297" w:lineRule="auto" w:before="2"/>
        <w:ind w:left="757" w:right="3647"/>
      </w:pPr>
      <w:r>
        <w:rPr/>
        <w:t>饮食要清淡，多饮水，保证充足睡眠，注意锻炼身体。3.室内注意通风</w:t>
      </w:r>
    </w:p>
    <w:p>
      <w:pPr>
        <w:pStyle w:val="BodyText"/>
        <w:spacing w:line="297" w:lineRule="auto"/>
        <w:ind w:left="757" w:right="6047"/>
      </w:pPr>
      <w:r>
        <w:rPr/>
        <w:t>室内要勤通风，保持空气新鲜。4.少去人多的公共场所</w:t>
      </w:r>
    </w:p>
    <w:p>
      <w:pPr>
        <w:pStyle w:val="BodyText"/>
        <w:spacing w:line="295" w:lineRule="auto"/>
        <w:ind w:left="757" w:right="766"/>
        <w:rPr>
          <w:b/>
        </w:rPr>
      </w:pPr>
      <w:r>
        <w:rPr/>
        <w:t>尽可能避免带宝宝到人多拥挤、空气流通不佳的公共场所，外出时注意佩戴口罩。</w:t>
      </w:r>
      <w:r>
        <w:rPr>
          <w:b/>
        </w:rPr>
        <w:t>药娃温馨提示：</w:t>
      </w:r>
    </w:p>
    <w:p>
      <w:pPr>
        <w:pStyle w:val="BodyText"/>
        <w:spacing w:line="295" w:lineRule="auto"/>
        <w:ind w:left="757" w:right="5327"/>
      </w:pPr>
      <w:r>
        <w:rPr/>
        <w:t>宝宝出现这些症状，警惕腺病毒感染！ 1.发热</w:t>
      </w:r>
    </w:p>
    <w:p>
      <w:pPr>
        <w:pStyle w:val="BodyText"/>
        <w:spacing w:line="297" w:lineRule="auto" w:before="1"/>
        <w:ind w:left="757" w:right="5806"/>
      </w:pPr>
      <w:r>
        <w:rPr>
          <w:spacing w:val="-6"/>
        </w:rPr>
        <w:t>宝宝突然高热，可持续 </w:t>
      </w:r>
      <w:r>
        <w:rPr/>
        <w:t>7～10</w:t>
      </w:r>
      <w:r>
        <w:rPr>
          <w:spacing w:val="-26"/>
        </w:rPr>
        <w:t> 天。</w:t>
      </w:r>
      <w:r>
        <w:rPr/>
        <w:t>2.眼部症状</w:t>
      </w:r>
    </w:p>
    <w:p>
      <w:pPr>
        <w:pStyle w:val="BodyText"/>
        <w:spacing w:line="295" w:lineRule="auto"/>
        <w:ind w:left="757" w:right="527"/>
      </w:pPr>
      <w:r>
        <w:rPr/>
        <w:t>宝宝眼刺激症状和分泌物增多，眼部充血明显，可引发滤泡性结膜炎或急性结膜炎。3.咳嗽</w:t>
      </w:r>
    </w:p>
    <w:p>
      <w:pPr>
        <w:pStyle w:val="BodyText"/>
        <w:spacing w:line="295" w:lineRule="auto" w:before="3"/>
        <w:ind w:left="757" w:right="2447"/>
      </w:pPr>
      <w:r>
        <w:rPr/>
        <w:t>常为刺激性干咳，严重者可出现呼吸急促、鼻翼煽动等重症体征。4.胃肠道症状</w:t>
      </w:r>
    </w:p>
    <w:p>
      <w:pPr>
        <w:pStyle w:val="BodyText"/>
        <w:spacing w:line="297" w:lineRule="auto" w:before="2"/>
        <w:ind w:left="757" w:right="4367"/>
      </w:pPr>
      <w:r>
        <w:rPr/>
        <w:t>宝宝出现腹痛、腹泻、呕吐、食欲下降等症状。5.泌尿系统症状</w:t>
      </w:r>
    </w:p>
    <w:p>
      <w:pPr>
        <w:pStyle w:val="BodyText"/>
        <w:spacing w:line="306" w:lineRule="exact"/>
        <w:ind w:left="757"/>
      </w:pPr>
      <w:r>
        <w:rPr/>
        <w:t>宝宝出现血尿、尿频尿急、排尿困难等症状。</w:t>
      </w:r>
    </w:p>
    <w:p>
      <w:pPr>
        <w:pStyle w:val="BodyText"/>
        <w:spacing w:before="72"/>
        <w:ind w:left="757"/>
      </w:pPr>
      <w:r>
        <w:rPr/>
        <w:t>对免疫功能正常的人来说，感染腺病毒后大多病情较轻，少有后遗症。</w:t>
      </w:r>
    </w:p>
    <w:p>
      <w:pPr>
        <w:pStyle w:val="BodyText"/>
        <w:spacing w:line="259" w:lineRule="auto" w:before="75"/>
        <w:ind w:right="387" w:firstLine="480"/>
        <w:rPr>
          <w:rFonts w:ascii="Meiryo" w:eastAsia="Meiryo" w:hint="eastAsia"/>
          <w:b/>
        </w:rPr>
      </w:pPr>
      <w:r>
        <w:rPr>
          <w:spacing w:val="-7"/>
        </w:rPr>
        <w:t>但婴幼儿免疫系统尚未发育成熟，一旦感染腺病毒，容易导致重症感染甚至死亡，所以</w:t>
      </w:r>
      <w:r>
        <w:rPr/>
        <w:t>发现宝宝有上述症状，应尽快带宝宝就医。</w:t>
      </w:r>
      <w:r>
        <w:rPr>
          <w:rFonts w:ascii="Meiryo" w:eastAsia="Meiryo" w:hint="eastAsia"/>
          <w:b/>
          <w:color w:val="0033CC"/>
        </w:rPr>
        <w:t>[返回目次]</w:t>
      </w:r>
    </w:p>
    <w:p>
      <w:pPr>
        <w:pStyle w:val="BodyText"/>
        <w:spacing w:before="4"/>
        <w:ind w:left="0"/>
        <w:rPr>
          <w:rFonts w:ascii="Meiryo"/>
          <w:b/>
          <w:sz w:val="5"/>
        </w:rPr>
      </w:pPr>
    </w:p>
    <w:p>
      <w:pPr>
        <w:spacing w:after="0"/>
        <w:rPr>
          <w:rFonts w:ascii="Meiryo"/>
          <w:sz w:val="5"/>
        </w:rPr>
        <w:sectPr>
          <w:pgSz w:w="11910" w:h="16850"/>
          <w:pgMar w:header="906" w:footer="607" w:top="1100" w:bottom="800" w:left="1000" w:right="740"/>
        </w:sectPr>
      </w:pPr>
    </w:p>
    <w:p>
      <w:pPr>
        <w:pStyle w:val="Heading2"/>
        <w:spacing w:before="54"/>
        <w:ind w:left="3179"/>
      </w:pPr>
      <w:bookmarkStart w:name="_TOC_250013" w:id="12"/>
      <w:bookmarkEnd w:id="12"/>
      <w:r>
        <w:rPr>
          <w:spacing w:val="-3"/>
        </w:rPr>
        <w:t>基因和干细胞 作用大不同</w:t>
      </w:r>
    </w:p>
    <w:p>
      <w:pPr>
        <w:pStyle w:val="BodyText"/>
        <w:ind w:left="0"/>
        <w:rPr>
          <w:b/>
        </w:rPr>
      </w:pPr>
      <w:r>
        <w:rPr/>
        <w:br w:type="column"/>
      </w:r>
      <w:r>
        <w:rPr>
          <w:b/>
        </w:rPr>
      </w:r>
    </w:p>
    <w:p>
      <w:pPr>
        <w:pStyle w:val="BodyText"/>
        <w:spacing w:before="9"/>
        <w:ind w:left="0"/>
        <w:rPr>
          <w:b/>
          <w:sz w:val="23"/>
        </w:rPr>
      </w:pPr>
    </w:p>
    <w:p>
      <w:pPr>
        <w:pStyle w:val="Heading3"/>
        <w:spacing w:before="1"/>
        <w:ind w:left="935"/>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000" w:right="740"/>
          <w:cols w:num="2" w:equalWidth="0">
            <w:col w:w="6873" w:space="40"/>
            <w:col w:w="3257"/>
          </w:cols>
        </w:sectPr>
      </w:pPr>
    </w:p>
    <w:p>
      <w:pPr>
        <w:pStyle w:val="BodyText"/>
        <w:spacing w:line="295" w:lineRule="auto" w:before="95"/>
        <w:ind w:right="527" w:firstLine="480"/>
      </w:pPr>
      <w:r>
        <w:rPr/>
        <w:t>什么是基因？什么是干细胞？如今，很多医院或机构都开展了基因或干细胞储存的项目。为什么要储存基因或干细胞？都要存吗？还是只要储存其中一种？</w:t>
      </w:r>
    </w:p>
    <w:p>
      <w:pPr>
        <w:pStyle w:val="Heading3"/>
        <w:spacing w:before="5"/>
      </w:pPr>
      <w:r>
        <w:rPr/>
        <w:t>基因和干细胞有什么不同</w:t>
      </w:r>
    </w:p>
    <w:p>
      <w:pPr>
        <w:pStyle w:val="BodyText"/>
        <w:spacing w:line="295" w:lineRule="auto" w:before="71"/>
        <w:ind w:right="389" w:firstLine="480"/>
      </w:pPr>
      <w:r>
        <w:rPr>
          <w:spacing w:val="-7"/>
        </w:rPr>
        <w:t>基因是遗传的物质基础，是 </w:t>
      </w:r>
      <w:r>
        <w:rPr>
          <w:spacing w:val="-4"/>
        </w:rPr>
        <w:t>DNA（</w:t>
      </w:r>
      <w:r>
        <w:rPr/>
        <w:t>脱氧核糖核酸</w:t>
      </w:r>
      <w:r>
        <w:rPr>
          <w:spacing w:val="-15"/>
        </w:rPr>
        <w:t>）</w:t>
      </w:r>
      <w:r>
        <w:rPr>
          <w:spacing w:val="-1"/>
        </w:rPr>
        <w:t>分子上具有遗传信息的特定核苷酸系</w:t>
      </w:r>
      <w:r>
        <w:rPr/>
        <w:t>列的总称。基因通过复制把遗传性性状传递给下一代，使后代出现与亲代相似的性状。</w:t>
      </w:r>
    </w:p>
    <w:p>
      <w:pPr>
        <w:spacing w:after="0" w:line="295" w:lineRule="auto"/>
        <w:sectPr>
          <w:type w:val="continuous"/>
          <w:pgSz w:w="11910" w:h="16850"/>
          <w:pgMar w:top="1100" w:bottom="1020" w:left="1000" w:right="740"/>
        </w:sectPr>
      </w:pPr>
    </w:p>
    <w:p>
      <w:pPr>
        <w:pStyle w:val="BodyText"/>
        <w:spacing w:line="297" w:lineRule="auto" w:before="65"/>
        <w:ind w:right="387" w:firstLine="480"/>
        <w:jc w:val="both"/>
      </w:pPr>
      <w:r>
        <w:rPr>
          <w:spacing w:val="-8"/>
        </w:rPr>
        <w:t>而干细胞则是一类未充分分化、尚不成熟的细胞，具有再生各种组织器官和人体的潜在</w:t>
      </w:r>
      <w:r>
        <w:rPr/>
        <w:t>功能。干细胞主要有胚胎干细胞、iPS（诱导多能干细胞）、造血干细胞、间充质干细胞。</w:t>
      </w:r>
      <w:r>
        <w:rPr>
          <w:spacing w:val="-7"/>
        </w:rPr>
        <w:t>前两者主要用于临床基础性研究，造血干细胞主要应用于血液疾病，而间充质干细胞组织修</w:t>
      </w:r>
      <w:r>
        <w:rPr/>
        <w:t>复再生方面的研究和应用较为广泛。</w:t>
      </w:r>
    </w:p>
    <w:p>
      <w:pPr>
        <w:pStyle w:val="BodyText"/>
        <w:spacing w:line="297" w:lineRule="auto"/>
        <w:ind w:right="387" w:firstLine="480"/>
        <w:jc w:val="both"/>
      </w:pPr>
      <w:r>
        <w:rPr>
          <w:spacing w:val="-9"/>
        </w:rPr>
        <w:t>基因决定性状，每个人的基因都遗传自父母。人与人至少存在千分之一的基因差异，约</w:t>
      </w:r>
      <w:r>
        <w:rPr/>
        <w:t>300</w:t>
      </w:r>
      <w:r>
        <w:rPr>
          <w:spacing w:val="-12"/>
        </w:rPr>
        <w:t> 万个碱基对差异形成了每人独一无二的“生命资料”。同时，基因具有可变性，细胞分</w:t>
      </w:r>
      <w:r>
        <w:rPr/>
        <w:t>裂会导致基因发生变异，环境变化等会加快人体基因变异。</w:t>
      </w:r>
    </w:p>
    <w:p>
      <w:pPr>
        <w:pStyle w:val="BodyText"/>
        <w:spacing w:line="297" w:lineRule="auto"/>
        <w:ind w:right="387" w:firstLine="480"/>
        <w:jc w:val="both"/>
      </w:pPr>
      <w:r>
        <w:rPr>
          <w:spacing w:val="-9"/>
        </w:rPr>
        <w:t>干细胞作为一类种子细胞，具有自我复制能力。它能够进行多次连续的自我更新式的细</w:t>
      </w:r>
      <w:r>
        <w:rPr>
          <w:spacing w:val="-11"/>
        </w:rPr>
        <w:t>胞分裂，能够维持群体稳定。另外，干细胞能够分化形成各个组织器官所需的细胞，胚胎干</w:t>
      </w:r>
      <w:r>
        <w:rPr/>
        <w:t>细胞的全能性使它有可能成功发育成完整的人体。</w:t>
      </w:r>
    </w:p>
    <w:p>
      <w:pPr>
        <w:pStyle w:val="Heading3"/>
        <w:spacing w:line="304" w:lineRule="exact"/>
      </w:pPr>
      <w:r>
        <w:rPr/>
        <w:t>什么是基因或干细胞储存</w:t>
      </w:r>
    </w:p>
    <w:p>
      <w:pPr>
        <w:pStyle w:val="BodyText"/>
        <w:spacing w:line="297" w:lineRule="auto" w:before="62"/>
        <w:ind w:right="387" w:firstLine="480"/>
        <w:jc w:val="both"/>
      </w:pPr>
      <w:r>
        <w:rPr>
          <w:spacing w:val="-8"/>
        </w:rPr>
        <w:t>不管是基因还是干细胞，储存下来后目的是相同的，就是为将来存一份保障。基因更多应用在疾病的风险预测上，为预防和治疗干预提供科学依据；干细胞可作为治疗疾病的原材</w:t>
      </w:r>
      <w:r>
        <w:rPr/>
        <w:t>料或基因干预的载体。</w:t>
      </w:r>
    </w:p>
    <w:p>
      <w:pPr>
        <w:pStyle w:val="BodyText"/>
        <w:spacing w:line="297" w:lineRule="auto"/>
        <w:ind w:right="345" w:firstLine="480"/>
        <w:jc w:val="both"/>
      </w:pPr>
      <w:r>
        <w:rPr>
          <w:spacing w:val="-2"/>
        </w:rPr>
        <w:t>用于保存的基因是从口腔黏膜、血液毛发等材料中分离、提取、纯化的细胞核中 </w:t>
      </w:r>
      <w:r>
        <w:rPr>
          <w:spacing w:val="-5"/>
        </w:rPr>
        <w:t>DNA， </w:t>
      </w:r>
      <w:r>
        <w:rPr>
          <w:spacing w:val="-7"/>
        </w:rPr>
        <w:t>经过生物技术处理，采用特殊的介质和方法进行长期保存。需要使用时，可将基因样本送至专业应用机构开瓶，专业技术人员会提取样品进行相应的检测，提供相应的遗传信息。</w:t>
      </w:r>
    </w:p>
    <w:p>
      <w:pPr>
        <w:pStyle w:val="BodyText"/>
        <w:spacing w:line="297" w:lineRule="auto"/>
        <w:ind w:right="267" w:firstLine="480"/>
        <w:jc w:val="both"/>
      </w:pPr>
      <w:r>
        <w:rPr>
          <w:spacing w:val="-7"/>
        </w:rPr>
        <w:t>而干细胞是将来源于脐带、胎盘、乳牙等处的干细胞从组织中分离培养出来后，再经过</w:t>
      </w:r>
      <w:r>
        <w:rPr>
          <w:spacing w:val="-9"/>
        </w:rPr>
        <w:t>检测鉴定，然后将其作为种子细胞冻存于</w:t>
      </w:r>
      <w:r>
        <w:rPr/>
        <w:t>-196℃</w:t>
      </w:r>
      <w:r>
        <w:rPr>
          <w:spacing w:val="-6"/>
        </w:rPr>
        <w:t>的深低温液氮罐中，需要时将种子干细胞复</w:t>
      </w:r>
      <w:r>
        <w:rPr>
          <w:spacing w:val="-16"/>
        </w:rPr>
        <w:t>苏。其中，间充质干细胞可通过扩增技术增加细胞数量，输注到人体，达到治疗疾病的目的。</w:t>
      </w:r>
    </w:p>
    <w:p>
      <w:pPr>
        <w:pStyle w:val="BodyText"/>
        <w:spacing w:line="297" w:lineRule="auto"/>
        <w:ind w:right="387" w:firstLine="480"/>
        <w:jc w:val="both"/>
      </w:pPr>
      <w:r>
        <w:rPr>
          <w:spacing w:val="-8"/>
        </w:rPr>
        <w:t>保存新生儿的基因，可用于预测疾病风险，对人类基因测序的发展有很重大的意义。目</w:t>
      </w:r>
      <w:r>
        <w:rPr>
          <w:spacing w:val="-4"/>
        </w:rPr>
        <w:t>前提到的基因疗法只是对体细胞的 </w:t>
      </w:r>
      <w:r>
        <w:rPr/>
        <w:t>DNA</w:t>
      </w:r>
      <w:r>
        <w:rPr>
          <w:spacing w:val="-15"/>
        </w:rPr>
        <w:t> 做出修改，不直接用于疾病治疗。而储存新生儿的干</w:t>
      </w:r>
      <w:r>
        <w:rPr>
          <w:spacing w:val="-10"/>
        </w:rPr>
        <w:t>细胞，则是为家人和孩子的健康提供一份保障，在将来可能发生难治性疾病时，为个性化治</w:t>
      </w:r>
      <w:r>
        <w:rPr/>
        <w:t>疗提供细胞来源。</w:t>
      </w:r>
    </w:p>
    <w:p>
      <w:pPr>
        <w:pStyle w:val="Heading3"/>
        <w:spacing w:line="304" w:lineRule="exact"/>
      </w:pPr>
      <w:r>
        <w:rPr/>
        <w:t>二者对健康均有大意义</w:t>
      </w:r>
    </w:p>
    <w:p>
      <w:pPr>
        <w:pStyle w:val="BodyText"/>
        <w:spacing w:line="297" w:lineRule="auto" w:before="60"/>
        <w:ind w:right="387" w:firstLine="480"/>
        <w:jc w:val="both"/>
      </w:pPr>
      <w:r>
        <w:rPr>
          <w:spacing w:val="-5"/>
        </w:rPr>
        <w:t>保存新生儿的基因对于未来疾病的治愈和人类未来发展有重大意义。新生儿基因存储采</w:t>
      </w:r>
      <w:r>
        <w:rPr>
          <w:spacing w:val="-8"/>
        </w:rPr>
        <w:t>集自口腔黏膜上皮细胞，临床上主要应用于亲子鉴定，遗传疾病患病风险评估与筛查，检测</w:t>
      </w:r>
      <w:r>
        <w:rPr/>
        <w:t>药物相关生物标志物，筛选靶向药物的作用靶点指导用药等。</w:t>
      </w:r>
    </w:p>
    <w:p>
      <w:pPr>
        <w:pStyle w:val="BodyText"/>
        <w:spacing w:line="297" w:lineRule="auto"/>
        <w:ind w:right="387" w:firstLine="480"/>
        <w:jc w:val="both"/>
      </w:pPr>
      <w:r>
        <w:rPr>
          <w:spacing w:val="-10"/>
        </w:rPr>
        <w:t>在中国市场上，提供这类面向普通消费者的基因检测公司已有百余家。但基因检测技术</w:t>
      </w:r>
      <w:r>
        <w:rPr>
          <w:spacing w:val="-8"/>
        </w:rPr>
        <w:t>在国内尚处于起步阶段，技术标准、市场准入标准等都有待补充完善。中国还未有官方资质</w:t>
      </w:r>
      <w:r>
        <w:rPr>
          <w:spacing w:val="-11"/>
        </w:rPr>
        <w:t>认证和培训的机构。其中很多机构都是将血液或唾液样本委托给第三方基因检测机构进行检</w:t>
      </w:r>
      <w:r>
        <w:rPr/>
        <w:t>测。</w:t>
      </w:r>
    </w:p>
    <w:p>
      <w:pPr>
        <w:pStyle w:val="BodyText"/>
        <w:spacing w:line="297" w:lineRule="auto"/>
        <w:ind w:right="267" w:firstLine="480"/>
      </w:pPr>
      <w:r>
        <w:rPr>
          <w:spacing w:val="-4"/>
        </w:rPr>
        <w:t>而在干细胞方面，国家目前批准了 </w:t>
      </w:r>
      <w:r>
        <w:rPr/>
        <w:t>115</w:t>
      </w:r>
      <w:r>
        <w:rPr>
          <w:spacing w:val="-11"/>
        </w:rPr>
        <w:t> 家干细胞临床治疗研究机构，备案项目增至 </w:t>
      </w:r>
      <w:r>
        <w:rPr/>
        <w:t>37 </w:t>
      </w:r>
      <w:r>
        <w:rPr>
          <w:spacing w:val="-15"/>
        </w:rPr>
        <w:t>个。干细胞临床治疗研究疾病涉及全身各大系统，涉及疾病包括：急性心梗、小儿脑性瘫痪、</w:t>
      </w:r>
      <w:r>
        <w:rPr>
          <w:spacing w:val="-10"/>
        </w:rPr>
        <w:t>卵巢早衰、银屑病、间质性肺病、膝骨关节炎、帕金森病、视网膜色素变性、年龄相关性黄斑变性、溃疡性结肠炎、骨修复等。</w:t>
      </w:r>
    </w:p>
    <w:p>
      <w:pPr>
        <w:spacing w:after="0" w:line="297" w:lineRule="auto"/>
        <w:sectPr>
          <w:pgSz w:w="11910" w:h="16850"/>
          <w:pgMar w:header="906" w:footer="607" w:top="1100" w:bottom="800" w:left="1000" w:right="740"/>
        </w:sectPr>
      </w:pPr>
    </w:p>
    <w:p>
      <w:pPr>
        <w:pStyle w:val="BodyText"/>
        <w:spacing w:line="295" w:lineRule="auto" w:before="65"/>
        <w:ind w:right="387" w:firstLine="480"/>
        <w:jc w:val="both"/>
      </w:pPr>
      <w:r>
        <w:rPr>
          <w:spacing w:val="-6"/>
        </w:rPr>
        <w:t>虽然各个临床研究项目所使用的干细胞种类不尽相同，但间充质干细胞几乎撑起了干细</w:t>
      </w:r>
      <w:r>
        <w:rPr>
          <w:spacing w:val="-8"/>
        </w:rPr>
        <w:t>胞临床研究的半边天。储存一位宝宝的干细胞，可以保障孩子和家人的健康，对改变人类生</w:t>
      </w:r>
      <w:r>
        <w:rPr/>
        <w:t>存状态具有不可估量的医学价值。</w:t>
      </w:r>
    </w:p>
    <w:p>
      <w:pPr>
        <w:pStyle w:val="BodyText"/>
        <w:spacing w:line="418" w:lineRule="exact"/>
        <w:ind w:left="757"/>
        <w:jc w:val="both"/>
        <w:rPr>
          <w:rFonts w:ascii="Meiryo" w:eastAsia="Meiryo" w:hint="eastAsia"/>
          <w:b/>
        </w:rPr>
      </w:pPr>
      <w:r>
        <w:rPr/>
        <w:t>作者: 浙江大学湖州医院精准医学临床研究中心主任医师 戴利成 </w:t>
      </w:r>
      <w:r>
        <w:rPr>
          <w:rFonts w:ascii="Meiryo" w:eastAsia="Meiryo" w:hint="eastAsia"/>
          <w:b/>
          <w:color w:val="0033CC"/>
        </w:rPr>
        <w:t>[返回目次]</w:t>
      </w:r>
    </w:p>
    <w:p>
      <w:pPr>
        <w:pStyle w:val="Heading1"/>
        <w:spacing w:line="714" w:lineRule="exact"/>
        <w:ind w:left="925"/>
        <w:rPr>
          <w:u w:val="none"/>
        </w:rPr>
      </w:pPr>
      <w:bookmarkStart w:name="_TOC_250012" w:id="13"/>
      <w:r>
        <w:rPr>
          <w:rFonts w:ascii="Times New Roman" w:eastAsia="Times New Roman"/>
          <w:color w:val="008000"/>
          <w:spacing w:val="-110"/>
          <w:w w:val="99"/>
          <w:u w:val="thick" w:color="008000"/>
        </w:rPr>
        <w:t> </w:t>
      </w:r>
      <w:bookmarkEnd w:id="13"/>
      <w:r>
        <w:rPr>
          <w:color w:val="008000"/>
          <w:u w:val="thick" w:color="008000"/>
        </w:rPr>
        <w:t>学会动态</w:t>
      </w:r>
    </w:p>
    <w:p>
      <w:pPr>
        <w:pStyle w:val="BodyText"/>
        <w:spacing w:before="7"/>
        <w:ind w:left="0"/>
        <w:rPr>
          <w:rFonts w:ascii="华文宋体"/>
          <w:b/>
          <w:sz w:val="9"/>
        </w:rPr>
      </w:pPr>
    </w:p>
    <w:p>
      <w:pPr>
        <w:pStyle w:val="Heading2"/>
        <w:spacing w:before="55"/>
        <w:ind w:left="277"/>
      </w:pPr>
      <w:bookmarkStart w:name="_TOC_250011" w:id="14"/>
      <w:bookmarkEnd w:id="14"/>
      <w:r>
        <w:rPr/>
        <w:t>【学会之窗】</w:t>
      </w:r>
    </w:p>
    <w:p>
      <w:pPr>
        <w:pStyle w:val="BodyText"/>
        <w:spacing w:before="10"/>
        <w:ind w:left="0"/>
        <w:rPr>
          <w:b/>
          <w:sz w:val="23"/>
        </w:rPr>
      </w:pPr>
    </w:p>
    <w:p>
      <w:pPr>
        <w:pStyle w:val="Heading2"/>
        <w:ind w:left="608"/>
      </w:pPr>
      <w:bookmarkStart w:name="_TOC_250010" w:id="15"/>
      <w:r>
        <w:rPr>
          <w:w w:val="90"/>
        </w:rPr>
        <w:t>中国药学会医院药学专业委员会发布中国高警示药品推荐目录（2019</w:t>
      </w:r>
      <w:r>
        <w:rPr>
          <w:spacing w:val="-61"/>
          <w:w w:val="90"/>
        </w:rPr>
        <w:t> 版</w:t>
      </w:r>
      <w:bookmarkEnd w:id="15"/>
      <w:r>
        <w:rPr>
          <w:w w:val="90"/>
        </w:rPr>
        <w:t>）</w:t>
      </w:r>
    </w:p>
    <w:p>
      <w:pPr>
        <w:pStyle w:val="BodyText"/>
        <w:spacing w:line="307" w:lineRule="auto" w:before="146"/>
        <w:ind w:left="757" w:right="388" w:firstLine="6848"/>
        <w:jc w:val="both"/>
      </w:pPr>
      <w:r>
        <w:rPr>
          <w:rFonts w:ascii="楷体" w:eastAsia="楷体" w:hint="eastAsia"/>
          <w:b/>
          <w:color w:val="FF0000"/>
        </w:rPr>
        <w:t>（来源：腾讯网站</w:t>
      </w:r>
      <w:r>
        <w:rPr>
          <w:rFonts w:ascii="楷体" w:eastAsia="楷体" w:hint="eastAsia"/>
          <w:b/>
          <w:color w:val="FF0000"/>
          <w:spacing w:val="-16"/>
        </w:rPr>
        <w:t>） </w:t>
      </w:r>
      <w:r>
        <w:rPr/>
        <w:t>近日，中国药学会医院药学专业委员会发布了中国高警示药品推荐目录（2019</w:t>
      </w:r>
      <w:r>
        <w:rPr>
          <w:spacing w:val="-30"/>
        </w:rPr>
        <w:t> 版</w:t>
      </w:r>
      <w:r>
        <w:rPr/>
        <w:t>）。</w:t>
      </w:r>
      <w:r>
        <w:rPr>
          <w:spacing w:val="-3"/>
        </w:rPr>
        <w:t>据悉，此前，中国药学会医院药学专业委员会用药安全专家组 </w:t>
      </w:r>
      <w:r>
        <w:rPr/>
        <w:t>2015</w:t>
      </w:r>
      <w:r>
        <w:rPr>
          <w:spacing w:val="-8"/>
        </w:rPr>
        <w:t> 年发布了《我国高</w:t>
      </w:r>
    </w:p>
    <w:p>
      <w:pPr>
        <w:pStyle w:val="BodyText"/>
        <w:spacing w:line="291" w:lineRule="exact"/>
        <w:jc w:val="both"/>
      </w:pPr>
      <w:r>
        <w:rPr/>
        <w:t>警示药品推荐目录 2015 版》，该目录借鉴了美国用药安全研究所（Institute for Safe</w:t>
      </w:r>
    </w:p>
    <w:p>
      <w:pPr>
        <w:pStyle w:val="BodyText"/>
        <w:spacing w:before="74"/>
        <w:jc w:val="both"/>
      </w:pPr>
      <w:r>
        <w:rPr/>
        <w:t>Medication Practices，ISMP）高警示药品目录。</w:t>
      </w:r>
    </w:p>
    <w:p>
      <w:pPr>
        <w:pStyle w:val="BodyText"/>
        <w:spacing w:line="297" w:lineRule="auto" w:before="72"/>
        <w:ind w:right="389" w:firstLine="480"/>
        <w:jc w:val="both"/>
      </w:pPr>
      <w:r>
        <w:rPr>
          <w:spacing w:val="-21"/>
        </w:rPr>
        <w:t>美国 </w:t>
      </w:r>
      <w:r>
        <w:rPr/>
        <w:t>ISMP</w:t>
      </w:r>
      <w:r>
        <w:rPr>
          <w:spacing w:val="-8"/>
        </w:rPr>
        <w:t> 高警示药品目录是最早制订，并被全世界所公认的高警示药品目录。该目录</w:t>
      </w:r>
      <w:r>
        <w:rPr>
          <w:spacing w:val="-16"/>
        </w:rPr>
        <w:t>的制定是基于 </w:t>
      </w:r>
      <w:r>
        <w:rPr/>
        <w:t>ISMP</w:t>
      </w:r>
      <w:r>
        <w:rPr>
          <w:spacing w:val="-4"/>
        </w:rPr>
        <w:t> 国家用药错误报告系统中的报告、文献中报告的用药错误以及医务人员</w:t>
      </w:r>
      <w:r>
        <w:rPr/>
        <w:t>的认知。</w:t>
      </w:r>
    </w:p>
    <w:p>
      <w:pPr>
        <w:pStyle w:val="BodyText"/>
        <w:spacing w:line="295" w:lineRule="auto"/>
        <w:ind w:right="467" w:firstLine="480"/>
        <w:jc w:val="both"/>
      </w:pPr>
      <w:r>
        <w:rPr/>
        <w:drawing>
          <wp:anchor distT="0" distB="0" distL="0" distR="0" allowOverlap="1" layoutInCell="1" locked="0" behindDoc="0" simplePos="0" relativeHeight="16">
            <wp:simplePos x="0" y="0"/>
            <wp:positionH relativeFrom="page">
              <wp:posOffset>926464</wp:posOffset>
            </wp:positionH>
            <wp:positionV relativeFrom="paragraph">
              <wp:posOffset>519810</wp:posOffset>
            </wp:positionV>
            <wp:extent cx="6003750" cy="3306413"/>
            <wp:effectExtent l="0" t="0" r="0" b="0"/>
            <wp:wrapTopAndBottom/>
            <wp:docPr id="13" name="image8.jpeg"/>
            <wp:cNvGraphicFramePr>
              <a:graphicFrameLocks noChangeAspect="1"/>
            </wp:cNvGraphicFramePr>
            <a:graphic>
              <a:graphicData uri="http://schemas.openxmlformats.org/drawingml/2006/picture">
                <pic:pic>
                  <pic:nvPicPr>
                    <pic:cNvPr id="14" name="image8.jpeg"/>
                    <pic:cNvPicPr/>
                  </pic:nvPicPr>
                  <pic:blipFill>
                    <a:blip r:embed="rId31" cstate="print"/>
                    <a:stretch>
                      <a:fillRect/>
                    </a:stretch>
                  </pic:blipFill>
                  <pic:spPr>
                    <a:xfrm>
                      <a:off x="0" y="0"/>
                      <a:ext cx="6003750" cy="3306413"/>
                    </a:xfrm>
                    <a:prstGeom prst="rect">
                      <a:avLst/>
                    </a:prstGeom>
                  </pic:spPr>
                </pic:pic>
              </a:graphicData>
            </a:graphic>
          </wp:anchor>
        </w:drawing>
      </w:r>
      <w:r>
        <w:rPr/>
        <w:t>2018</w:t>
      </w:r>
      <w:r>
        <w:rPr>
          <w:spacing w:val="-9"/>
        </w:rPr>
        <w:t> 年起，用药安全专家组根据所收到的反馈意见，结合中国用药错误报告情况，准</w:t>
      </w:r>
      <w:r>
        <w:rPr/>
        <w:t>备了拟删除/修订的药品清单。</w:t>
      </w:r>
    </w:p>
    <w:p>
      <w:pPr>
        <w:pStyle w:val="BodyText"/>
        <w:spacing w:line="295" w:lineRule="auto"/>
        <w:ind w:right="405" w:firstLine="480"/>
        <w:jc w:val="both"/>
      </w:pPr>
      <w:r>
        <w:rPr/>
        <w:t>根据清单上药品所涉及的专业方向，进行医务人员调查，并据此确定删除/修订目录清单，在 2019 年初形成新版目录。</w:t>
      </w:r>
    </w:p>
    <w:p>
      <w:pPr>
        <w:pStyle w:val="BodyText"/>
        <w:spacing w:line="295" w:lineRule="auto" w:before="4"/>
        <w:ind w:right="407" w:firstLine="480"/>
        <w:jc w:val="both"/>
      </w:pPr>
      <w:r>
        <w:rPr>
          <w:spacing w:val="-31"/>
        </w:rPr>
        <w:t>和 </w:t>
      </w:r>
      <w:r>
        <w:rPr/>
        <w:t>2015</w:t>
      </w:r>
      <w:r>
        <w:rPr>
          <w:spacing w:val="-9"/>
        </w:rPr>
        <w:t> 版目录相比，本次更新删除了腹膜和血液透析液、心脏停博液和依前列醇，加</w:t>
      </w:r>
      <w:r>
        <w:rPr/>
        <w:t>注了硫酸阿托品注射液的规格，并将加压素骨内注射的给药途径规范为骨髓腔内注射。</w:t>
      </w:r>
    </w:p>
    <w:p>
      <w:pPr>
        <w:spacing w:after="0" w:line="295" w:lineRule="auto"/>
        <w:jc w:val="both"/>
        <w:sectPr>
          <w:pgSz w:w="11910" w:h="16850"/>
          <w:pgMar w:header="906" w:footer="607" w:top="1100" w:bottom="800" w:left="1000" w:right="740"/>
        </w:sectPr>
      </w:pPr>
    </w:p>
    <w:p>
      <w:pPr>
        <w:pStyle w:val="Heading3"/>
        <w:spacing w:before="65"/>
      </w:pPr>
      <w:r>
        <w:rPr/>
        <w:t>多种药品使用不当，存严重风险</w:t>
      </w:r>
    </w:p>
    <w:p>
      <w:pPr>
        <w:pStyle w:val="BodyText"/>
        <w:spacing w:line="295" w:lineRule="auto" w:before="72"/>
        <w:ind w:right="526" w:firstLine="480"/>
      </w:pPr>
      <w:r>
        <w:rPr/>
        <w:t>高警示药品(high-alert medication) 是指若使用不当会对患者造成严重伤害或死亡的药物。</w:t>
      </w:r>
    </w:p>
    <w:p>
      <w:pPr>
        <w:pStyle w:val="BodyText"/>
        <w:spacing w:line="295" w:lineRule="auto" w:before="4"/>
        <w:ind w:right="390" w:firstLine="480"/>
      </w:pPr>
      <w:r>
        <w:rPr>
          <w:spacing w:val="-8"/>
        </w:rPr>
        <w:t>建立高警示药品目录的方法，主要是对医生、药师、护士在内的医务人员进行调查。此</w:t>
      </w:r>
      <w:r>
        <w:rPr/>
        <w:t>外，从严重用药错误报告中提取高警示药品也是目录建立的常用方法。</w:t>
      </w:r>
    </w:p>
    <w:p>
      <w:pPr>
        <w:pStyle w:val="BodyText"/>
        <w:spacing w:line="297" w:lineRule="auto" w:before="2"/>
        <w:ind w:right="387" w:firstLine="480"/>
        <w:jc w:val="both"/>
      </w:pPr>
      <w:r>
        <w:rPr>
          <w:spacing w:val="-5"/>
        </w:rPr>
        <w:t>由于高警示药品是近些年才逐渐从国外引入并引起关注的概念。目前我国高警示药品的</w:t>
      </w:r>
      <w:r>
        <w:rPr>
          <w:spacing w:val="-6"/>
        </w:rPr>
        <w:t>管理存在医务人员认知程度有待提高、不同医疗机构管理水平参差不齐、管理模式亟待统一</w:t>
      </w:r>
      <w:r>
        <w:rPr/>
        <w:t>等问题。</w:t>
      </w:r>
    </w:p>
    <w:p>
      <w:pPr>
        <w:pStyle w:val="BodyText"/>
        <w:spacing w:line="297" w:lineRule="auto"/>
        <w:ind w:right="390" w:firstLine="480"/>
      </w:pPr>
      <w:r>
        <w:rPr>
          <w:spacing w:val="-8"/>
        </w:rPr>
        <w:t>在高警示药品管理的持续改进过程中，首先应解决的就是明确哪些药品应纳入高警示药</w:t>
      </w:r>
      <w:r>
        <w:rPr/>
        <w:t>品管理。</w:t>
      </w:r>
    </w:p>
    <w:p>
      <w:pPr>
        <w:pStyle w:val="Heading3"/>
        <w:spacing w:line="306" w:lineRule="exact"/>
      </w:pPr>
      <w:r>
        <w:rPr/>
        <w:t>22 个药品种类被列入</w:t>
      </w:r>
    </w:p>
    <w:p>
      <w:pPr>
        <w:pStyle w:val="BodyText"/>
        <w:spacing w:line="297" w:lineRule="auto" w:before="68" w:after="23"/>
        <w:ind w:right="391" w:firstLine="480"/>
      </w:pPr>
      <w:r>
        <w:rPr>
          <w:spacing w:val="-1"/>
        </w:rPr>
        <w:t>中国高警示药品推荐目录</w:t>
      </w:r>
      <w:r>
        <w:rPr/>
        <w:t>（2019</w:t>
      </w:r>
      <w:r>
        <w:rPr>
          <w:spacing w:val="-30"/>
        </w:rPr>
        <w:t> 版</w:t>
      </w:r>
      <w:r>
        <w:rPr>
          <w:spacing w:val="-10"/>
        </w:rPr>
        <w:t>），</w:t>
      </w:r>
      <w:r>
        <w:rPr>
          <w:spacing w:val="-30"/>
        </w:rPr>
        <w:t>将 </w:t>
      </w:r>
      <w:r>
        <w:rPr/>
        <w:t>22</w:t>
      </w:r>
      <w:r>
        <w:rPr>
          <w:spacing w:val="-11"/>
        </w:rPr>
        <w:t> 个药品种类列入，包括口服降糖药、抗血</w:t>
      </w:r>
      <w:r>
        <w:rPr/>
        <w:t>栓药、氯化钠注射液、镇痛药/阿片类药物等。</w:t>
      </w:r>
    </w:p>
    <w:p>
      <w:pPr>
        <w:pStyle w:val="BodyText"/>
        <w:ind w:left="119"/>
        <w:rPr>
          <w:sz w:val="20"/>
        </w:rPr>
      </w:pPr>
      <w:r>
        <w:rPr>
          <w:sz w:val="20"/>
        </w:rPr>
        <w:drawing>
          <wp:inline distT="0" distB="0" distL="0" distR="0">
            <wp:extent cx="6298675" cy="5448395"/>
            <wp:effectExtent l="0" t="0" r="0" b="0"/>
            <wp:docPr id="15" name="image9.jpeg"/>
            <wp:cNvGraphicFramePr>
              <a:graphicFrameLocks noChangeAspect="1"/>
            </wp:cNvGraphicFramePr>
            <a:graphic>
              <a:graphicData uri="http://schemas.openxmlformats.org/drawingml/2006/picture">
                <pic:pic>
                  <pic:nvPicPr>
                    <pic:cNvPr id="16" name="image9.jpeg"/>
                    <pic:cNvPicPr/>
                  </pic:nvPicPr>
                  <pic:blipFill>
                    <a:blip r:embed="rId32" cstate="print"/>
                    <a:stretch>
                      <a:fillRect/>
                    </a:stretch>
                  </pic:blipFill>
                  <pic:spPr>
                    <a:xfrm>
                      <a:off x="0" y="0"/>
                      <a:ext cx="6298675" cy="5448395"/>
                    </a:xfrm>
                    <a:prstGeom prst="rect">
                      <a:avLst/>
                    </a:prstGeom>
                  </pic:spPr>
                </pic:pic>
              </a:graphicData>
            </a:graphic>
          </wp:inline>
        </w:drawing>
      </w:r>
      <w:r>
        <w:rPr>
          <w:sz w:val="20"/>
        </w:rPr>
      </w:r>
    </w:p>
    <w:p>
      <w:pPr>
        <w:pStyle w:val="Heading3"/>
        <w:spacing w:before="67"/>
        <w:ind w:left="759"/>
      </w:pPr>
      <w:r>
        <w:rPr/>
        <w:t>生殖毒性药品</w:t>
      </w:r>
    </w:p>
    <w:p>
      <w:pPr>
        <w:spacing w:after="0"/>
        <w:sectPr>
          <w:pgSz w:w="11910" w:h="16850"/>
          <w:pgMar w:header="906" w:footer="607" w:top="1100" w:bottom="800" w:left="1000" w:right="740"/>
        </w:sectPr>
      </w:pPr>
    </w:p>
    <w:p>
      <w:pPr>
        <w:pStyle w:val="BodyText"/>
        <w:spacing w:line="297" w:lineRule="auto" w:before="65"/>
        <w:ind w:right="389" w:firstLine="480"/>
        <w:jc w:val="both"/>
      </w:pPr>
      <w:r>
        <w:rPr>
          <w:spacing w:val="-5"/>
        </w:rPr>
        <w:t>生殖毒性药品是指可对雌性和雄性生殖系统和生殖过程造成损害的药品。美国食品与药</w:t>
      </w:r>
      <w:r>
        <w:rPr>
          <w:spacing w:val="-6"/>
        </w:rPr>
        <w:t>物管理局药品妊娠安全 </w:t>
      </w:r>
      <w:r>
        <w:rPr/>
        <w:t>A ～ X</w:t>
      </w:r>
      <w:r>
        <w:rPr>
          <w:spacing w:val="-2"/>
        </w:rPr>
        <w:t> 分级中，</w:t>
      </w:r>
      <w:r>
        <w:rPr>
          <w:spacing w:val="-7"/>
        </w:rPr>
        <w:t>D</w:t>
      </w:r>
      <w:r>
        <w:rPr>
          <w:spacing w:val="-15"/>
        </w:rPr>
        <w:t> 级和 </w:t>
      </w:r>
      <w:r>
        <w:rPr/>
        <w:t>X</w:t>
      </w:r>
      <w:r>
        <w:rPr>
          <w:spacing w:val="-6"/>
        </w:rPr>
        <w:t> 级均具有生殖毒性，如沙利度胺、异维 </w:t>
      </w:r>
      <w:r>
        <w:rPr>
          <w:spacing w:val="-17"/>
        </w:rPr>
        <w:t>A </w:t>
      </w:r>
      <w:r>
        <w:rPr>
          <w:spacing w:val="-14"/>
        </w:rPr>
        <w:t>酸、阿维 </w:t>
      </w:r>
      <w:r>
        <w:rPr/>
        <w:t>A</w:t>
      </w:r>
      <w:r>
        <w:rPr>
          <w:spacing w:val="-6"/>
        </w:rPr>
        <w:t>、来氟米特、维胺酯、甲氨蝶呤、利巴韦林、化疗药物、镇静催眠药物、他汀类</w:t>
      </w:r>
      <w:r>
        <w:rPr/>
        <w:t>药物等。</w:t>
      </w:r>
    </w:p>
    <w:p>
      <w:pPr>
        <w:pStyle w:val="BodyText"/>
        <w:spacing w:line="297" w:lineRule="auto"/>
        <w:ind w:right="387" w:firstLine="480"/>
        <w:jc w:val="both"/>
      </w:pPr>
      <w:r>
        <w:rPr>
          <w:spacing w:val="-8"/>
        </w:rPr>
        <w:t>应用这些药品期间，甚至有些品种在停药之后，均应避免妊娠。国外对于一些生殖毒性</w:t>
      </w:r>
      <w:r>
        <w:rPr>
          <w:spacing w:val="-6"/>
        </w:rPr>
        <w:t>药品通过风险最小化计划以控制其风险，例如沙利度胺妊娠防范计划，但目前我国缺乏类似</w:t>
      </w:r>
      <w:r>
        <w:rPr/>
        <w:t>管理策略。</w:t>
      </w:r>
    </w:p>
    <w:p>
      <w:pPr>
        <w:pStyle w:val="BodyText"/>
        <w:spacing w:line="295" w:lineRule="auto"/>
        <w:ind w:right="387" w:firstLine="480"/>
      </w:pPr>
      <w:r>
        <w:rPr>
          <w:spacing w:val="-7"/>
        </w:rPr>
        <w:t>这类药品纳入高警示药品目录，可增强医务人员的认识，促进医疗机构采取措施防范其</w:t>
      </w:r>
      <w:r>
        <w:rPr/>
        <w:t>用药错误。</w:t>
      </w:r>
    </w:p>
    <w:p>
      <w:pPr>
        <w:pStyle w:val="Heading3"/>
      </w:pPr>
      <w:r>
        <w:rPr/>
        <w:t>静脉途径给药的茶碱类</w:t>
      </w:r>
    </w:p>
    <w:p>
      <w:pPr>
        <w:pStyle w:val="BodyText"/>
        <w:spacing w:line="297" w:lineRule="auto" w:before="67"/>
        <w:ind w:right="286" w:firstLine="480"/>
      </w:pPr>
      <w:r>
        <w:rPr>
          <w:spacing w:val="-6"/>
        </w:rPr>
        <w:t>静脉途径给药的茶碱类包括茶碱、氨茶碱、二羟丙茶碱、多索茶碱等，主要用于急性哮</w:t>
      </w:r>
      <w:r>
        <w:rPr>
          <w:spacing w:val="-7"/>
        </w:rPr>
        <w:t>喘、慢性阻塞性肺病急性发作及心源性哮喘的平喘治疗，但因其不良反应较多，治疗窗窄， </w:t>
      </w:r>
      <w:r>
        <w:rPr/>
        <w:t>在国内外的相关疾病诊治指南中，均不作为一线推荐。</w:t>
      </w:r>
    </w:p>
    <w:p>
      <w:pPr>
        <w:pStyle w:val="BodyText"/>
        <w:spacing w:line="295" w:lineRule="auto"/>
        <w:ind w:left="757" w:right="767"/>
        <w:rPr>
          <w:b/>
        </w:rPr>
      </w:pPr>
      <w:r>
        <w:rPr/>
        <w:t>静脉茶碱类国外应用较少，国内由于价格相对便宜，在一些基层医院仍应用较多。</w:t>
      </w:r>
      <w:r>
        <w:rPr>
          <w:b/>
        </w:rPr>
        <w:t>阿托品注射液</w:t>
      </w:r>
    </w:p>
    <w:p>
      <w:pPr>
        <w:pStyle w:val="BodyText"/>
        <w:spacing w:line="295" w:lineRule="auto"/>
        <w:ind w:right="285" w:firstLine="480"/>
      </w:pPr>
      <w:r>
        <w:rPr>
          <w:spacing w:val="-3"/>
        </w:rPr>
        <w:t>我国阿托品注射液存在多种规格，较常用的有 </w:t>
      </w:r>
      <w:r>
        <w:rPr/>
        <w:t>1 mL: 0. 5 mg /</w:t>
      </w:r>
      <w:r>
        <w:rPr>
          <w:spacing w:val="-20"/>
        </w:rPr>
        <w:t>支和 </w:t>
      </w:r>
      <w:r>
        <w:rPr/>
        <w:t>1 mL: 5 mg /</w:t>
      </w:r>
      <w:r>
        <w:rPr>
          <w:spacing w:val="-8"/>
        </w:rPr>
        <w:t>支。</w:t>
      </w:r>
      <w:r>
        <w:rPr/>
        <w:t>其中前者主要用于抗休克、抗心律失常、麻醉前给药等，后者主要用于有机磷中毒解救。</w:t>
      </w:r>
    </w:p>
    <w:p>
      <w:pPr>
        <w:pStyle w:val="BodyText"/>
        <w:spacing w:line="297" w:lineRule="auto" w:before="2"/>
        <w:ind w:right="405" w:firstLine="480"/>
      </w:pPr>
      <w:r>
        <w:rPr/>
        <w:t>多规格，多适应证是造成用药错误的主要原因之一，5mg·mL － 1 高剂量一旦用错， 导致患者伤害的风险较大。我国有该药误用的文献报道。</w:t>
      </w:r>
    </w:p>
    <w:p>
      <w:pPr>
        <w:pStyle w:val="Heading3"/>
        <w:spacing w:line="306" w:lineRule="exact"/>
      </w:pPr>
      <w:r>
        <w:rPr/>
        <w:t>高锰酸钾</w:t>
      </w:r>
    </w:p>
    <w:p>
      <w:pPr>
        <w:pStyle w:val="BodyText"/>
        <w:spacing w:line="297" w:lineRule="auto" w:before="72"/>
        <w:ind w:right="390" w:firstLine="480"/>
        <w:jc w:val="both"/>
      </w:pPr>
      <w:r>
        <w:rPr>
          <w:spacing w:val="-9"/>
        </w:rPr>
        <w:t>高锰酸钾为强氧化剂，外用于皮肤黏膜的清洗、消毒。国内外均有将外用高锰酸钾口服</w:t>
      </w:r>
      <w:r>
        <w:rPr>
          <w:spacing w:val="-10"/>
        </w:rPr>
        <w:t>的案例。我国市售高锰酸钾外用制剂为片剂，包装、外形极易令人误解为口服药。该药一旦</w:t>
      </w:r>
      <w:r>
        <w:rPr/>
        <w:t>口服，可能造成不可逆的组织损伤。</w:t>
      </w:r>
    </w:p>
    <w:p>
      <w:pPr>
        <w:pStyle w:val="Heading3"/>
        <w:spacing w:line="304" w:lineRule="exact"/>
      </w:pPr>
      <w:r>
        <w:rPr/>
        <w:t>凝血酶冻干粉</w:t>
      </w:r>
    </w:p>
    <w:p>
      <w:pPr>
        <w:pStyle w:val="BodyText"/>
        <w:spacing w:line="297" w:lineRule="auto" w:before="74"/>
        <w:ind w:right="287" w:firstLine="480"/>
      </w:pPr>
      <w:r>
        <w:rPr>
          <w:spacing w:val="-1"/>
        </w:rPr>
        <w:t>凝血酶冻干粉局部给药用于手术中不易结扎的小血管止血、消化道出血及外伤出血等。</w:t>
      </w:r>
      <w:r>
        <w:rPr>
          <w:spacing w:val="-5"/>
        </w:rPr>
        <w:t>我国上市药品中尚有另外一种静脉给药的药品，通用名为“注射用血凝酶”，两种药品名称</w:t>
      </w:r>
      <w:r>
        <w:rPr>
          <w:spacing w:val="-12"/>
        </w:rPr>
        <w:t>相近，均为止血药，给药途径却大相径庭。国内也出现多起误将凝血酶冻干粉静脉注射的案例。</w:t>
      </w:r>
    </w:p>
    <w:p>
      <w:pPr>
        <w:pStyle w:val="Heading3"/>
        <w:spacing w:line="302" w:lineRule="exact"/>
      </w:pPr>
      <w:r>
        <w:rPr/>
        <w:t>注射用三氧化二砷</w:t>
      </w:r>
    </w:p>
    <w:p>
      <w:pPr>
        <w:pStyle w:val="BodyText"/>
        <w:spacing w:line="297" w:lineRule="auto" w:before="72"/>
        <w:ind w:right="389" w:firstLine="480"/>
      </w:pPr>
      <w:r>
        <w:rPr>
          <w:spacing w:val="-5"/>
        </w:rPr>
        <w:t>注射用三氧化二砷是我国学者研发的治疗急性早幼粒细胞白血病的药物。三氧化二砷俗</w:t>
      </w:r>
      <w:r>
        <w:rPr/>
        <w:t>称砒霜，是传统中药之一，有急性毒性作用，长期接触还有致癌、致畸作用。</w:t>
      </w:r>
    </w:p>
    <w:p>
      <w:pPr>
        <w:pStyle w:val="BodyText"/>
        <w:spacing w:line="295" w:lineRule="auto"/>
        <w:ind w:left="757" w:right="1247"/>
        <w:rPr>
          <w:b/>
        </w:rPr>
      </w:pPr>
      <w:r>
        <w:rPr/>
        <w:t>作为高警示药品管理有助于保证其用药安全，从而更有利于发挥其治疗作用。</w:t>
      </w:r>
      <w:r>
        <w:rPr>
          <w:b/>
        </w:rPr>
        <w:t>关注中药安全性</w:t>
      </w:r>
    </w:p>
    <w:p>
      <w:pPr>
        <w:pStyle w:val="BodyText"/>
        <w:spacing w:line="295" w:lineRule="auto" w:before="2"/>
        <w:ind w:right="390" w:firstLine="480"/>
      </w:pPr>
      <w:r>
        <w:rPr>
          <w:spacing w:val="-12"/>
        </w:rPr>
        <w:t>最后，有专家提出，中药的安全性也是值得关注的话题，中药中是否存在符合高警示药</w:t>
      </w:r>
      <w:r>
        <w:rPr/>
        <w:t>品特点的药物，是否有必要建立中药高警示药品目录，也需要进一步探讨。</w:t>
      </w:r>
    </w:p>
    <w:p>
      <w:pPr>
        <w:pStyle w:val="BodyText"/>
        <w:spacing w:line="297" w:lineRule="auto" w:before="2"/>
        <w:ind w:right="387" w:firstLine="480"/>
      </w:pPr>
      <w:r>
        <w:rPr/>
        <w:t>另外，中国高警示药品推荐目录（2019</w:t>
      </w:r>
      <w:r>
        <w:rPr>
          <w:spacing w:val="-30"/>
        </w:rPr>
        <w:t> 版</w:t>
      </w:r>
      <w:r>
        <w:rPr/>
        <w:t>）包含的很多药品是社区医院所没有的，而</w:t>
      </w:r>
      <w:r>
        <w:rPr>
          <w:spacing w:val="-6"/>
        </w:rPr>
        <w:t>社区医院用药错误及其危害又有其特点，因此为提高社区人群用药安全，也应制订高警示药</w:t>
      </w:r>
      <w:r>
        <w:rPr/>
        <w:t>品目录社区版。</w:t>
      </w:r>
    </w:p>
    <w:p>
      <w:pPr>
        <w:spacing w:after="0" w:line="297" w:lineRule="auto"/>
        <w:sectPr>
          <w:pgSz w:w="11910" w:h="16850"/>
          <w:pgMar w:header="906" w:footer="607" w:top="1100" w:bottom="800" w:left="1000" w:right="740"/>
        </w:sectPr>
      </w:pPr>
    </w:p>
    <w:p>
      <w:pPr>
        <w:pStyle w:val="BodyText"/>
        <w:spacing w:line="278" w:lineRule="auto" w:before="65"/>
        <w:ind w:right="387" w:firstLine="480"/>
        <w:jc w:val="both"/>
        <w:rPr>
          <w:rFonts w:ascii="Meiryo" w:eastAsia="Meiryo" w:hint="eastAsia"/>
          <w:b/>
        </w:rPr>
      </w:pPr>
      <w:r>
        <w:rPr>
          <w:spacing w:val="-10"/>
        </w:rPr>
        <w:t>此外，目录中将抗肿瘤药作为一个大类列出，但临床应用中，不同种类的抗肿瘤药其用</w:t>
      </w:r>
      <w:r>
        <w:rPr>
          <w:spacing w:val="-7"/>
        </w:rPr>
        <w:t>药错误的风险和造成的危害也不尽相同，因此，应制订专门针对抗肿瘤药的高警示药品分级</w:t>
      </w:r>
      <w:r>
        <w:rPr/>
        <w:t>目录。</w:t>
      </w:r>
      <w:r>
        <w:rPr>
          <w:rFonts w:ascii="Meiryo" w:eastAsia="Meiryo" w:hint="eastAsia"/>
          <w:b/>
          <w:color w:val="0033CC"/>
        </w:rPr>
        <w:t>[返回目次]</w:t>
      </w:r>
    </w:p>
    <w:p>
      <w:pPr>
        <w:pStyle w:val="Heading2"/>
        <w:spacing w:before="58"/>
        <w:ind w:left="277"/>
      </w:pPr>
      <w:bookmarkStart w:name="_TOC_250009" w:id="16"/>
      <w:bookmarkEnd w:id="16"/>
      <w:r>
        <w:rPr>
          <w:w w:val="95"/>
        </w:rPr>
        <w:t>【会议通知】</w:t>
      </w:r>
    </w:p>
    <w:p>
      <w:pPr>
        <w:pStyle w:val="BodyText"/>
        <w:spacing w:before="11"/>
        <w:ind w:left="0"/>
        <w:rPr>
          <w:b/>
          <w:sz w:val="23"/>
        </w:rPr>
      </w:pPr>
    </w:p>
    <w:p>
      <w:pPr>
        <w:pStyle w:val="Heading2"/>
        <w:ind w:left="1009"/>
      </w:pPr>
      <w:bookmarkStart w:name="_TOC_250008" w:id="17"/>
      <w:bookmarkEnd w:id="17"/>
      <w:r>
        <w:rPr/>
        <w:t>关于召开中国药学会药学服务专业委员会学术年会的通知</w:t>
      </w:r>
    </w:p>
    <w:p>
      <w:pPr>
        <w:pStyle w:val="Heading3"/>
        <w:spacing w:before="145"/>
        <w:ind w:left="0" w:right="388"/>
        <w:jc w:val="right"/>
        <w:rPr>
          <w:rFonts w:ascii="楷体" w:eastAsia="楷体" w:hint="eastAsia"/>
        </w:rPr>
      </w:pPr>
      <w:r>
        <w:rPr>
          <w:rFonts w:ascii="楷体" w:eastAsia="楷体" w:hint="eastAsia"/>
          <w:color w:val="FF0000"/>
          <w:w w:val="95"/>
        </w:rPr>
        <w:t>（来源：中国药学会网站）</w:t>
      </w:r>
    </w:p>
    <w:p>
      <w:pPr>
        <w:pStyle w:val="BodyText"/>
        <w:spacing w:before="98"/>
        <w:ind w:left="757"/>
      </w:pPr>
      <w:r>
        <w:rPr/>
        <w:t>各有关单位：</w:t>
      </w:r>
    </w:p>
    <w:p>
      <w:pPr>
        <w:pStyle w:val="BodyText"/>
        <w:spacing w:line="297" w:lineRule="auto" w:before="72"/>
        <w:ind w:right="266" w:firstLine="480"/>
      </w:pPr>
      <w:r>
        <w:rPr>
          <w:spacing w:val="-5"/>
        </w:rPr>
        <w:t>药学服务是医疗机构诊疗活动的重要内容，是促进合理用药、提高医疗质量、保证患者</w:t>
      </w:r>
      <w:r>
        <w:rPr>
          <w:spacing w:val="-17"/>
        </w:rPr>
        <w:t>用药安全的重要环节。为落实深化医药卫生体制改革的部署要求，进一步转变药学服务模式， </w:t>
      </w:r>
      <w:r>
        <w:rPr>
          <w:spacing w:val="-8"/>
        </w:rPr>
        <w:t>提高药学服务水平，培养造就一支高素质的药师队伍，由中国药学会药学服务专业委员会主</w:t>
      </w:r>
      <w:r>
        <w:rPr>
          <w:spacing w:val="-17"/>
        </w:rPr>
        <w:t>办的中国药学会药学服务专业委员会学术年会，拟定于 </w:t>
      </w:r>
      <w:r>
        <w:rPr/>
        <w:t>2019</w:t>
      </w:r>
      <w:r>
        <w:rPr>
          <w:spacing w:val="-48"/>
        </w:rPr>
        <w:t> 年 </w:t>
      </w:r>
      <w:r>
        <w:rPr/>
        <w:t>8</w:t>
      </w:r>
      <w:r>
        <w:rPr>
          <w:spacing w:val="-50"/>
        </w:rPr>
        <w:t> 月 </w:t>
      </w:r>
      <w:r>
        <w:rPr/>
        <w:t>9</w:t>
      </w:r>
      <w:r>
        <w:rPr>
          <w:spacing w:val="-38"/>
        </w:rPr>
        <w:t> 日至 </w:t>
      </w:r>
      <w:r>
        <w:rPr/>
        <w:t>11</w:t>
      </w:r>
      <w:r>
        <w:rPr>
          <w:spacing w:val="-13"/>
        </w:rPr>
        <w:t> 日在北京举办。</w:t>
      </w:r>
      <w:r>
        <w:rPr/>
        <w:t>现将有关事项通知如下：</w:t>
      </w:r>
    </w:p>
    <w:p>
      <w:pPr>
        <w:pStyle w:val="Heading3"/>
        <w:spacing w:line="302" w:lineRule="exact"/>
      </w:pPr>
      <w:r>
        <w:rPr/>
        <w:t>一、组织机构</w:t>
      </w:r>
    </w:p>
    <w:p>
      <w:pPr>
        <w:pStyle w:val="BodyText"/>
        <w:spacing w:line="295" w:lineRule="auto" w:before="72"/>
        <w:ind w:left="757" w:right="4847"/>
      </w:pPr>
      <w:r>
        <w:rPr/>
        <w:t>主办单位：中国药学会药学服务专业委员会承办单位：中国药学会科技开发中心</w:t>
      </w:r>
    </w:p>
    <w:p>
      <w:pPr>
        <w:pStyle w:val="Heading3"/>
        <w:spacing w:before="4"/>
      </w:pPr>
      <w:r>
        <w:rPr/>
        <w:t>二、时间地点</w:t>
      </w:r>
    </w:p>
    <w:p>
      <w:pPr>
        <w:pStyle w:val="BodyText"/>
        <w:spacing w:before="72"/>
        <w:ind w:left="757"/>
      </w:pPr>
      <w:r>
        <w:rPr/>
        <w:t>时间：2019 年 8 月 10 日-11 日（9 日全天报到）</w:t>
      </w:r>
    </w:p>
    <w:p>
      <w:pPr>
        <w:pStyle w:val="BodyText"/>
        <w:spacing w:line="297" w:lineRule="auto" w:before="72"/>
        <w:ind w:left="757" w:right="3406"/>
        <w:rPr>
          <w:b/>
        </w:rPr>
      </w:pPr>
      <w:r>
        <w:rPr/>
        <w:t>地点：北京亮马河饭店（</w:t>
      </w:r>
      <w:r>
        <w:rPr>
          <w:spacing w:val="-5"/>
        </w:rPr>
        <w:t>北京市朝阳区东三环北路 </w:t>
      </w:r>
      <w:r>
        <w:rPr/>
        <w:t>8</w:t>
      </w:r>
      <w:r>
        <w:rPr>
          <w:spacing w:val="-30"/>
        </w:rPr>
        <w:t> 号</w:t>
      </w:r>
      <w:r>
        <w:rPr>
          <w:spacing w:val="-17"/>
        </w:rPr>
        <w:t>） </w:t>
      </w:r>
      <w:r>
        <w:rPr>
          <w:b/>
        </w:rPr>
        <w:t>三、会议内容</w:t>
      </w:r>
    </w:p>
    <w:p>
      <w:pPr>
        <w:pStyle w:val="Heading3"/>
        <w:spacing w:line="306" w:lineRule="exact"/>
      </w:pPr>
      <w:r>
        <w:rPr/>
        <w:t>（一）中国药学会药学服务专业委员会学术年会开幕式</w:t>
      </w:r>
    </w:p>
    <w:p>
      <w:pPr>
        <w:spacing w:line="297" w:lineRule="auto" w:before="71"/>
        <w:ind w:left="757" w:right="7487" w:firstLine="0"/>
        <w:jc w:val="left"/>
        <w:rPr>
          <w:sz w:val="24"/>
        </w:rPr>
      </w:pPr>
      <w:r>
        <w:rPr>
          <w:b/>
          <w:sz w:val="24"/>
        </w:rPr>
        <w:t>（二）大会报告</w:t>
      </w:r>
      <w:r>
        <w:rPr>
          <w:sz w:val="24"/>
        </w:rPr>
        <w:t>1.药政工作新任务</w:t>
      </w:r>
    </w:p>
    <w:p>
      <w:pPr>
        <w:pStyle w:val="ListParagraph"/>
        <w:numPr>
          <w:ilvl w:val="0"/>
          <w:numId w:val="8"/>
        </w:numPr>
        <w:tabs>
          <w:tab w:pos="999" w:val="left" w:leader="none"/>
        </w:tabs>
        <w:spacing w:line="306" w:lineRule="exact" w:before="0" w:after="0"/>
        <w:ind w:left="998" w:right="0" w:hanging="242"/>
        <w:jc w:val="left"/>
        <w:rPr>
          <w:sz w:val="24"/>
        </w:rPr>
      </w:pPr>
      <w:r>
        <w:rPr>
          <w:sz w:val="24"/>
        </w:rPr>
        <w:t>医药卫生领域国家科技重大专项进展</w:t>
      </w:r>
    </w:p>
    <w:p>
      <w:pPr>
        <w:pStyle w:val="ListParagraph"/>
        <w:numPr>
          <w:ilvl w:val="0"/>
          <w:numId w:val="8"/>
        </w:numPr>
        <w:tabs>
          <w:tab w:pos="999" w:val="left" w:leader="none"/>
        </w:tabs>
        <w:spacing w:line="240" w:lineRule="auto" w:before="72" w:after="0"/>
        <w:ind w:left="998" w:right="0" w:hanging="242"/>
        <w:jc w:val="left"/>
        <w:rPr>
          <w:sz w:val="24"/>
        </w:rPr>
      </w:pPr>
      <w:r>
        <w:rPr>
          <w:sz w:val="24"/>
        </w:rPr>
        <w:t>公立医院改革下的药学服务</w:t>
      </w:r>
    </w:p>
    <w:p>
      <w:pPr>
        <w:pStyle w:val="ListParagraph"/>
        <w:numPr>
          <w:ilvl w:val="0"/>
          <w:numId w:val="8"/>
        </w:numPr>
        <w:tabs>
          <w:tab w:pos="999" w:val="left" w:leader="none"/>
        </w:tabs>
        <w:spacing w:line="240" w:lineRule="auto" w:before="74" w:after="0"/>
        <w:ind w:left="998" w:right="0" w:hanging="242"/>
        <w:jc w:val="left"/>
        <w:rPr>
          <w:sz w:val="24"/>
        </w:rPr>
      </w:pPr>
      <w:r>
        <w:rPr>
          <w:sz w:val="24"/>
        </w:rPr>
        <w:t>药学服务模式转型</w:t>
      </w:r>
    </w:p>
    <w:p>
      <w:pPr>
        <w:pStyle w:val="Heading3"/>
        <w:spacing w:before="73"/>
      </w:pPr>
      <w:r>
        <w:rPr/>
        <w:t>（三）药学服务高质量发展专家论坛</w:t>
      </w:r>
    </w:p>
    <w:p>
      <w:pPr>
        <w:spacing w:line="297" w:lineRule="auto" w:before="71"/>
        <w:ind w:left="757" w:right="6758" w:firstLine="0"/>
        <w:jc w:val="left"/>
        <w:rPr>
          <w:sz w:val="24"/>
        </w:rPr>
      </w:pPr>
      <w:r>
        <w:rPr>
          <w:b/>
          <w:sz w:val="24"/>
        </w:rPr>
        <w:t>（四）药学服务创新论坛</w:t>
      </w:r>
      <w:r>
        <w:rPr>
          <w:sz w:val="24"/>
        </w:rPr>
        <w:t>1.临床路径</w:t>
      </w:r>
    </w:p>
    <w:p>
      <w:pPr>
        <w:pStyle w:val="ListParagraph"/>
        <w:numPr>
          <w:ilvl w:val="0"/>
          <w:numId w:val="9"/>
        </w:numPr>
        <w:tabs>
          <w:tab w:pos="999" w:val="left" w:leader="none"/>
        </w:tabs>
        <w:spacing w:line="306" w:lineRule="exact" w:before="0" w:after="0"/>
        <w:ind w:left="998" w:right="0" w:hanging="242"/>
        <w:jc w:val="left"/>
        <w:rPr>
          <w:sz w:val="24"/>
        </w:rPr>
      </w:pPr>
      <w:r>
        <w:rPr>
          <w:sz w:val="24"/>
        </w:rPr>
        <w:t>药学门诊－药师的机遇与挑战</w:t>
      </w:r>
    </w:p>
    <w:p>
      <w:pPr>
        <w:pStyle w:val="ListParagraph"/>
        <w:numPr>
          <w:ilvl w:val="0"/>
          <w:numId w:val="9"/>
        </w:numPr>
        <w:tabs>
          <w:tab w:pos="999" w:val="left" w:leader="none"/>
        </w:tabs>
        <w:spacing w:line="240" w:lineRule="auto" w:before="72" w:after="0"/>
        <w:ind w:left="998" w:right="0" w:hanging="242"/>
        <w:jc w:val="left"/>
        <w:rPr>
          <w:sz w:val="24"/>
        </w:rPr>
      </w:pPr>
      <w:r>
        <w:rPr>
          <w:sz w:val="24"/>
        </w:rPr>
        <w:t>慢病管理中的药师作用与价值</w:t>
      </w:r>
    </w:p>
    <w:p>
      <w:pPr>
        <w:pStyle w:val="ListParagraph"/>
        <w:numPr>
          <w:ilvl w:val="0"/>
          <w:numId w:val="9"/>
        </w:numPr>
        <w:tabs>
          <w:tab w:pos="999" w:val="left" w:leader="none"/>
        </w:tabs>
        <w:spacing w:line="240" w:lineRule="auto" w:before="74" w:after="0"/>
        <w:ind w:left="998" w:right="0" w:hanging="242"/>
        <w:jc w:val="left"/>
        <w:rPr>
          <w:sz w:val="24"/>
        </w:rPr>
      </w:pPr>
      <w:r>
        <w:rPr>
          <w:sz w:val="24"/>
        </w:rPr>
        <w:t>智慧药房</w:t>
      </w:r>
    </w:p>
    <w:p>
      <w:pPr>
        <w:pStyle w:val="Heading3"/>
        <w:spacing w:before="72"/>
      </w:pPr>
      <w:r>
        <w:rPr/>
        <w:t>（五）医院药学实践技能培训班</w:t>
      </w:r>
    </w:p>
    <w:p>
      <w:pPr>
        <w:pStyle w:val="ListParagraph"/>
        <w:numPr>
          <w:ilvl w:val="0"/>
          <w:numId w:val="10"/>
        </w:numPr>
        <w:tabs>
          <w:tab w:pos="999" w:val="left" w:leader="none"/>
        </w:tabs>
        <w:spacing w:line="240" w:lineRule="auto" w:before="71" w:after="0"/>
        <w:ind w:left="998" w:right="0" w:hanging="242"/>
        <w:jc w:val="left"/>
        <w:rPr>
          <w:sz w:val="24"/>
        </w:rPr>
      </w:pPr>
      <w:r>
        <w:rPr>
          <w:sz w:val="24"/>
        </w:rPr>
        <w:t>处方评价专题（抗菌药物、抗肿瘤药物、中成药等）</w:t>
      </w:r>
    </w:p>
    <w:p>
      <w:pPr>
        <w:pStyle w:val="ListParagraph"/>
        <w:numPr>
          <w:ilvl w:val="0"/>
          <w:numId w:val="10"/>
        </w:numPr>
        <w:tabs>
          <w:tab w:pos="999" w:val="left" w:leader="none"/>
        </w:tabs>
        <w:spacing w:line="240" w:lineRule="auto" w:before="75" w:after="0"/>
        <w:ind w:left="998" w:right="0" w:hanging="242"/>
        <w:jc w:val="left"/>
        <w:rPr>
          <w:sz w:val="24"/>
        </w:rPr>
      </w:pPr>
      <w:r>
        <w:rPr>
          <w:sz w:val="24"/>
        </w:rPr>
        <w:t>药物治疗经典案例专题</w:t>
      </w:r>
    </w:p>
    <w:p>
      <w:pPr>
        <w:spacing w:line="295" w:lineRule="auto" w:before="72"/>
        <w:ind w:left="757" w:right="6758" w:firstLine="0"/>
        <w:jc w:val="left"/>
        <w:rPr>
          <w:sz w:val="24"/>
        </w:rPr>
      </w:pPr>
      <w:r>
        <w:rPr>
          <w:b/>
          <w:sz w:val="24"/>
        </w:rPr>
        <w:t>（六）药学服务科研论坛</w:t>
      </w:r>
      <w:r>
        <w:rPr>
          <w:sz w:val="24"/>
        </w:rPr>
        <w:t>1.药物综合评价</w:t>
      </w:r>
    </w:p>
    <w:p>
      <w:pPr>
        <w:spacing w:after="0" w:line="295" w:lineRule="auto"/>
        <w:jc w:val="left"/>
        <w:rPr>
          <w:sz w:val="24"/>
        </w:rPr>
        <w:sectPr>
          <w:pgSz w:w="11910" w:h="16850"/>
          <w:pgMar w:header="906" w:footer="607" w:top="1100" w:bottom="800" w:left="1000" w:right="740"/>
        </w:sectPr>
      </w:pPr>
    </w:p>
    <w:p>
      <w:pPr>
        <w:pStyle w:val="ListParagraph"/>
        <w:numPr>
          <w:ilvl w:val="0"/>
          <w:numId w:val="11"/>
        </w:numPr>
        <w:tabs>
          <w:tab w:pos="999" w:val="left" w:leader="none"/>
        </w:tabs>
        <w:spacing w:line="240" w:lineRule="auto" w:before="65" w:after="0"/>
        <w:ind w:left="998" w:right="0" w:hanging="242"/>
        <w:jc w:val="left"/>
        <w:rPr>
          <w:sz w:val="24"/>
        </w:rPr>
      </w:pPr>
      <w:r>
        <w:rPr>
          <w:sz w:val="24"/>
        </w:rPr>
        <w:t>药物经济学</w:t>
      </w:r>
    </w:p>
    <w:p>
      <w:pPr>
        <w:pStyle w:val="ListParagraph"/>
        <w:numPr>
          <w:ilvl w:val="0"/>
          <w:numId w:val="11"/>
        </w:numPr>
        <w:tabs>
          <w:tab w:pos="999" w:val="left" w:leader="none"/>
        </w:tabs>
        <w:spacing w:line="240" w:lineRule="auto" w:before="72" w:after="0"/>
        <w:ind w:left="998" w:right="0" w:hanging="242"/>
        <w:jc w:val="left"/>
        <w:rPr>
          <w:sz w:val="24"/>
        </w:rPr>
      </w:pPr>
      <w:r>
        <w:rPr>
          <w:sz w:val="24"/>
        </w:rPr>
        <w:t>群体药代动力学</w:t>
      </w:r>
    </w:p>
    <w:p>
      <w:pPr>
        <w:pStyle w:val="ListParagraph"/>
        <w:numPr>
          <w:ilvl w:val="0"/>
          <w:numId w:val="11"/>
        </w:numPr>
        <w:tabs>
          <w:tab w:pos="999" w:val="left" w:leader="none"/>
        </w:tabs>
        <w:spacing w:line="240" w:lineRule="auto" w:before="71" w:after="0"/>
        <w:ind w:left="998" w:right="0" w:hanging="242"/>
        <w:jc w:val="left"/>
        <w:rPr>
          <w:sz w:val="24"/>
        </w:rPr>
      </w:pPr>
      <w:r>
        <w:rPr>
          <w:sz w:val="24"/>
        </w:rPr>
        <w:t>药学科研文章撰写</w:t>
      </w:r>
    </w:p>
    <w:p>
      <w:pPr>
        <w:pStyle w:val="Heading3"/>
        <w:spacing w:line="295" w:lineRule="auto" w:before="74"/>
        <w:ind w:right="5794"/>
      </w:pPr>
      <w:r>
        <w:rPr>
          <w:b w:val="0"/>
        </w:rPr>
        <w:t>（</w:t>
      </w:r>
      <w:r>
        <w:rPr/>
        <w:t>七）</w:t>
      </w:r>
      <w:r>
        <w:rPr>
          <w:spacing w:val="-2"/>
        </w:rPr>
        <w:t>专委会科普丛书中期审稿会</w:t>
      </w:r>
      <w:r>
        <w:rPr/>
        <w:t>四、报名方式</w:t>
      </w:r>
    </w:p>
    <w:p>
      <w:pPr>
        <w:spacing w:line="297" w:lineRule="auto" w:before="2"/>
        <w:ind w:left="757" w:right="4607" w:firstLine="0"/>
        <w:jc w:val="left"/>
        <w:rPr>
          <w:b/>
          <w:sz w:val="24"/>
        </w:rPr>
      </w:pPr>
      <w:r>
        <w:rPr>
          <w:spacing w:val="-1"/>
          <w:sz w:val="24"/>
        </w:rPr>
        <w:t>邮件发送方式，以收到回执为最终确认报名。</w:t>
      </w:r>
      <w:r>
        <w:rPr>
          <w:b/>
          <w:sz w:val="24"/>
        </w:rPr>
        <w:t>五、注册费用</w:t>
      </w:r>
    </w:p>
    <w:p>
      <w:pPr>
        <w:pStyle w:val="ListParagraph"/>
        <w:numPr>
          <w:ilvl w:val="0"/>
          <w:numId w:val="12"/>
        </w:numPr>
        <w:tabs>
          <w:tab w:pos="1119" w:val="left" w:leader="none"/>
        </w:tabs>
        <w:spacing w:line="306" w:lineRule="exact" w:before="0" w:after="0"/>
        <w:ind w:left="1118" w:right="0" w:hanging="362"/>
        <w:jc w:val="left"/>
        <w:rPr>
          <w:sz w:val="24"/>
        </w:rPr>
      </w:pPr>
      <w:r>
        <w:rPr>
          <w:spacing w:val="-9"/>
          <w:sz w:val="24"/>
        </w:rPr>
        <w:t>会议费</w:t>
      </w:r>
      <w:r>
        <w:rPr>
          <w:sz w:val="24"/>
        </w:rPr>
        <w:t>（</w:t>
      </w:r>
      <w:r>
        <w:rPr>
          <w:spacing w:val="-4"/>
          <w:sz w:val="24"/>
        </w:rPr>
        <w:t>包括会议资料、会议期间午餐</w:t>
      </w:r>
      <w:r>
        <w:rPr>
          <w:spacing w:val="-8"/>
          <w:sz w:val="24"/>
        </w:rPr>
        <w:t>）:7</w:t>
      </w:r>
      <w:r>
        <w:rPr>
          <w:spacing w:val="-40"/>
          <w:sz w:val="24"/>
        </w:rPr>
        <w:t> 月 </w:t>
      </w:r>
      <w:r>
        <w:rPr>
          <w:sz w:val="24"/>
        </w:rPr>
        <w:t>20</w:t>
      </w:r>
      <w:r>
        <w:rPr>
          <w:spacing w:val="-12"/>
          <w:sz w:val="24"/>
        </w:rPr>
        <w:t> 日之前注册缴费的代表优惠至 </w:t>
      </w:r>
      <w:r>
        <w:rPr>
          <w:sz w:val="24"/>
        </w:rPr>
        <w:t>900</w:t>
      </w:r>
    </w:p>
    <w:p>
      <w:pPr>
        <w:pStyle w:val="BodyText"/>
        <w:spacing w:line="297" w:lineRule="auto" w:before="72"/>
        <w:ind w:right="388"/>
      </w:pPr>
      <w:r>
        <w:rPr/>
        <w:pict>
          <v:shape style="position:absolute;margin-left:59.004002pt;margin-top:39.419979pt;width:484.9pt;height:64pt;mso-position-horizontal-relative:page;mso-position-vertical-relative:paragraph;z-index:251675648" type="#_x0000_t202" filled="false" stroked="false">
            <v:textbox inset="0,0,0,0">
              <w:txbxContent>
                <w:tbl>
                  <w:tblPr>
                    <w:tblW w:w="0" w:type="auto"/>
                    <w:jc w:val="left"/>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846"/>
                    <w:gridCol w:w="3882"/>
                    <w:gridCol w:w="2956"/>
                  </w:tblGrid>
                  <w:tr>
                    <w:trPr>
                      <w:trHeight w:val="392" w:hRule="atLeast"/>
                    </w:trPr>
                    <w:tc>
                      <w:tcPr>
                        <w:tcW w:w="2846" w:type="dxa"/>
                        <w:tcBorders>
                          <w:bottom w:val="single" w:sz="4" w:space="0" w:color="000000"/>
                          <w:right w:val="single" w:sz="4" w:space="0" w:color="000000"/>
                        </w:tcBorders>
                      </w:tcPr>
                      <w:p>
                        <w:pPr>
                          <w:pStyle w:val="TableParagraph"/>
                          <w:spacing w:line="297" w:lineRule="exact" w:before="75"/>
                          <w:ind w:left="562"/>
                          <w:rPr>
                            <w:sz w:val="24"/>
                          </w:rPr>
                        </w:pPr>
                        <w:r>
                          <w:rPr>
                            <w:sz w:val="24"/>
                          </w:rPr>
                          <w:t>注册类型</w:t>
                        </w:r>
                      </w:p>
                    </w:tc>
                    <w:tc>
                      <w:tcPr>
                        <w:tcW w:w="3882" w:type="dxa"/>
                        <w:tcBorders>
                          <w:left w:val="single" w:sz="4" w:space="0" w:color="000000"/>
                          <w:bottom w:val="single" w:sz="4" w:space="0" w:color="000000"/>
                          <w:right w:val="single" w:sz="4" w:space="0" w:color="000000"/>
                        </w:tcBorders>
                      </w:tcPr>
                      <w:p>
                        <w:pPr>
                          <w:pStyle w:val="TableParagraph"/>
                          <w:spacing w:line="297" w:lineRule="exact" w:before="75"/>
                          <w:ind w:left="585"/>
                          <w:rPr>
                            <w:sz w:val="24"/>
                          </w:rPr>
                        </w:pPr>
                        <w:r>
                          <w:rPr>
                            <w:sz w:val="24"/>
                          </w:rPr>
                          <w:t>7 月 20 日以前</w:t>
                        </w:r>
                      </w:p>
                    </w:tc>
                    <w:tc>
                      <w:tcPr>
                        <w:tcW w:w="2956" w:type="dxa"/>
                        <w:tcBorders>
                          <w:left w:val="single" w:sz="4" w:space="0" w:color="000000"/>
                          <w:bottom w:val="single" w:sz="4" w:space="0" w:color="000000"/>
                        </w:tcBorders>
                      </w:tcPr>
                      <w:p>
                        <w:pPr>
                          <w:pStyle w:val="TableParagraph"/>
                          <w:spacing w:line="297" w:lineRule="exact" w:before="75"/>
                          <w:ind w:left="584"/>
                          <w:rPr>
                            <w:sz w:val="24"/>
                          </w:rPr>
                        </w:pPr>
                        <w:r>
                          <w:rPr>
                            <w:sz w:val="24"/>
                          </w:rPr>
                          <w:t>现场缴费</w:t>
                        </w:r>
                      </w:p>
                    </w:tc>
                  </w:tr>
                  <w:tr>
                    <w:trPr>
                      <w:trHeight w:val="410" w:hRule="atLeast"/>
                    </w:trPr>
                    <w:tc>
                      <w:tcPr>
                        <w:tcW w:w="2846" w:type="dxa"/>
                        <w:tcBorders>
                          <w:top w:val="single" w:sz="4" w:space="0" w:color="000000"/>
                          <w:bottom w:val="single" w:sz="4" w:space="0" w:color="000000"/>
                          <w:right w:val="single" w:sz="4" w:space="0" w:color="000000"/>
                        </w:tcBorders>
                      </w:tcPr>
                      <w:p>
                        <w:pPr>
                          <w:pStyle w:val="TableParagraph"/>
                          <w:spacing w:line="297" w:lineRule="exact" w:before="93"/>
                          <w:ind w:left="562"/>
                          <w:rPr>
                            <w:sz w:val="24"/>
                          </w:rPr>
                        </w:pPr>
                        <w:r>
                          <w:rPr>
                            <w:sz w:val="24"/>
                          </w:rPr>
                          <w:t>参会代表</w:t>
                        </w:r>
                      </w:p>
                    </w:tc>
                    <w:tc>
                      <w:tcPr>
                        <w:tcW w:w="3882" w:type="dxa"/>
                        <w:tcBorders>
                          <w:top w:val="single" w:sz="4" w:space="0" w:color="000000"/>
                          <w:left w:val="single" w:sz="4" w:space="0" w:color="000000"/>
                          <w:bottom w:val="single" w:sz="4" w:space="0" w:color="000000"/>
                          <w:right w:val="single" w:sz="4" w:space="0" w:color="000000"/>
                        </w:tcBorders>
                      </w:tcPr>
                      <w:p>
                        <w:pPr>
                          <w:pStyle w:val="TableParagraph"/>
                          <w:spacing w:line="297" w:lineRule="exact" w:before="93"/>
                          <w:ind w:left="585"/>
                          <w:rPr>
                            <w:sz w:val="24"/>
                          </w:rPr>
                        </w:pPr>
                        <w:r>
                          <w:rPr>
                            <w:sz w:val="24"/>
                          </w:rPr>
                          <w:t>900 元</w:t>
                        </w:r>
                      </w:p>
                    </w:tc>
                    <w:tc>
                      <w:tcPr>
                        <w:tcW w:w="2956" w:type="dxa"/>
                        <w:tcBorders>
                          <w:top w:val="single" w:sz="4" w:space="0" w:color="000000"/>
                          <w:left w:val="single" w:sz="4" w:space="0" w:color="000000"/>
                          <w:bottom w:val="single" w:sz="4" w:space="0" w:color="000000"/>
                        </w:tcBorders>
                      </w:tcPr>
                      <w:p>
                        <w:pPr>
                          <w:pStyle w:val="TableParagraph"/>
                          <w:spacing w:line="297" w:lineRule="exact" w:before="93"/>
                          <w:ind w:left="584"/>
                          <w:rPr>
                            <w:sz w:val="24"/>
                          </w:rPr>
                        </w:pPr>
                        <w:r>
                          <w:rPr>
                            <w:sz w:val="24"/>
                          </w:rPr>
                          <w:t>1000 元</w:t>
                        </w:r>
                      </w:p>
                    </w:tc>
                  </w:tr>
                  <w:tr>
                    <w:trPr>
                      <w:trHeight w:val="417" w:hRule="atLeast"/>
                    </w:trPr>
                    <w:tc>
                      <w:tcPr>
                        <w:tcW w:w="2846" w:type="dxa"/>
                        <w:tcBorders>
                          <w:top w:val="single" w:sz="4" w:space="0" w:color="000000"/>
                          <w:right w:val="single" w:sz="4" w:space="0" w:color="000000"/>
                        </w:tcBorders>
                      </w:tcPr>
                      <w:p>
                        <w:pPr>
                          <w:pStyle w:val="TableParagraph"/>
                          <w:spacing w:line="305" w:lineRule="exact" w:before="93"/>
                          <w:ind w:left="562"/>
                          <w:rPr>
                            <w:sz w:val="24"/>
                          </w:rPr>
                        </w:pPr>
                        <w:r>
                          <w:rPr>
                            <w:sz w:val="24"/>
                          </w:rPr>
                          <w:t>团队代表</w:t>
                        </w:r>
                      </w:p>
                    </w:tc>
                    <w:tc>
                      <w:tcPr>
                        <w:tcW w:w="3882" w:type="dxa"/>
                        <w:tcBorders>
                          <w:top w:val="single" w:sz="4" w:space="0" w:color="000000"/>
                          <w:left w:val="single" w:sz="4" w:space="0" w:color="000000"/>
                          <w:right w:val="single" w:sz="4" w:space="0" w:color="000000"/>
                        </w:tcBorders>
                      </w:tcPr>
                      <w:p>
                        <w:pPr>
                          <w:pStyle w:val="TableParagraph"/>
                          <w:spacing w:line="305" w:lineRule="exact" w:before="93"/>
                          <w:ind w:left="585"/>
                          <w:rPr>
                            <w:sz w:val="24"/>
                          </w:rPr>
                        </w:pPr>
                        <w:r>
                          <w:rPr>
                            <w:sz w:val="24"/>
                          </w:rPr>
                          <w:t>800 元</w:t>
                        </w:r>
                      </w:p>
                    </w:tc>
                    <w:tc>
                      <w:tcPr>
                        <w:tcW w:w="2956" w:type="dxa"/>
                        <w:tcBorders>
                          <w:top w:val="single" w:sz="4" w:space="0" w:color="000000"/>
                          <w:left w:val="single" w:sz="4" w:space="0" w:color="000000"/>
                        </w:tcBorders>
                      </w:tcPr>
                      <w:p>
                        <w:pPr>
                          <w:pStyle w:val="TableParagraph"/>
                          <w:spacing w:line="305" w:lineRule="exact" w:before="93"/>
                          <w:ind w:left="584"/>
                          <w:rPr>
                            <w:sz w:val="24"/>
                          </w:rPr>
                        </w:pPr>
                        <w:r>
                          <w:rPr>
                            <w:sz w:val="24"/>
                          </w:rPr>
                          <w:t>1000 元</w:t>
                        </w:r>
                      </w:p>
                    </w:tc>
                  </w:tr>
                </w:tbl>
                <w:p>
                  <w:pPr>
                    <w:pStyle w:val="BodyText"/>
                    <w:ind w:left="0"/>
                  </w:pPr>
                </w:p>
              </w:txbxContent>
            </v:textbox>
            <w10:wrap type="none"/>
          </v:shape>
        </w:pict>
      </w:r>
      <w:r>
        <w:rPr/>
        <w:t>元/人;5</w:t>
      </w:r>
      <w:r>
        <w:rPr>
          <w:spacing w:val="-13"/>
        </w:rPr>
        <w:t> 人以上享受团队价格 </w:t>
      </w:r>
      <w:r>
        <w:rPr/>
        <w:t>800</w:t>
      </w:r>
      <w:r>
        <w:rPr>
          <w:spacing w:val="-30"/>
        </w:rPr>
        <w:t> 元</w:t>
      </w:r>
      <w:r>
        <w:rPr/>
        <w:t>/人;7</w:t>
      </w:r>
      <w:r>
        <w:rPr>
          <w:spacing w:val="-40"/>
        </w:rPr>
        <w:t> 月 </w:t>
      </w:r>
      <w:r>
        <w:rPr/>
        <w:t>20</w:t>
      </w:r>
      <w:r>
        <w:rPr>
          <w:spacing w:val="-12"/>
        </w:rPr>
        <w:t> 日之后及现场缴费注册为 </w:t>
      </w:r>
      <w:r>
        <w:rPr/>
        <w:t>1000</w:t>
      </w:r>
      <w:r>
        <w:rPr>
          <w:spacing w:val="-30"/>
        </w:rPr>
        <w:t> 元</w:t>
      </w:r>
      <w:r>
        <w:rPr/>
        <w:t>/</w:t>
      </w:r>
      <w:r>
        <w:rPr>
          <w:spacing w:val="-30"/>
        </w:rPr>
        <w:t>人，注册</w:t>
      </w:r>
      <w:r>
        <w:rPr/>
        <w:t>团队不再享有团队优惠价格。</w:t>
      </w:r>
    </w:p>
    <w:p>
      <w:pPr>
        <w:pStyle w:val="BodyText"/>
        <w:ind w:left="0"/>
      </w:pPr>
    </w:p>
    <w:p>
      <w:pPr>
        <w:pStyle w:val="BodyText"/>
        <w:ind w:left="0"/>
      </w:pPr>
    </w:p>
    <w:p>
      <w:pPr>
        <w:pStyle w:val="BodyText"/>
        <w:ind w:left="0"/>
      </w:pPr>
    </w:p>
    <w:p>
      <w:pPr>
        <w:pStyle w:val="BodyText"/>
        <w:spacing w:before="12"/>
        <w:ind w:left="0"/>
        <w:rPr>
          <w:sz w:val="30"/>
        </w:rPr>
      </w:pPr>
    </w:p>
    <w:p>
      <w:pPr>
        <w:pStyle w:val="ListParagraph"/>
        <w:numPr>
          <w:ilvl w:val="0"/>
          <w:numId w:val="12"/>
        </w:numPr>
        <w:tabs>
          <w:tab w:pos="999" w:val="left" w:leader="none"/>
        </w:tabs>
        <w:spacing w:line="295" w:lineRule="auto" w:before="0" w:after="0"/>
        <w:ind w:left="277" w:right="386" w:firstLine="480"/>
        <w:jc w:val="left"/>
        <w:rPr>
          <w:sz w:val="24"/>
        </w:rPr>
      </w:pPr>
      <w:r>
        <w:rPr>
          <w:spacing w:val="-8"/>
          <w:sz w:val="24"/>
        </w:rPr>
        <w:t>药学服务专业委员会委员免注册费，食宿及交通由会议承担，每位委员可有 </w:t>
      </w:r>
      <w:r>
        <w:rPr>
          <w:sz w:val="24"/>
        </w:rPr>
        <w:t>2</w:t>
      </w:r>
      <w:r>
        <w:rPr>
          <w:spacing w:val="-19"/>
          <w:sz w:val="24"/>
        </w:rPr>
        <w:t> 名免费</w:t>
      </w:r>
      <w:r>
        <w:rPr>
          <w:sz w:val="24"/>
        </w:rPr>
        <w:t>参会代表名额，免注册费，食宿及交通自理。</w:t>
      </w:r>
    </w:p>
    <w:p>
      <w:pPr>
        <w:pStyle w:val="ListParagraph"/>
        <w:numPr>
          <w:ilvl w:val="0"/>
          <w:numId w:val="12"/>
        </w:numPr>
        <w:tabs>
          <w:tab w:pos="999" w:val="left" w:leader="none"/>
        </w:tabs>
        <w:spacing w:line="295" w:lineRule="auto" w:before="4" w:after="0"/>
        <w:ind w:left="277" w:right="388" w:firstLine="480"/>
        <w:jc w:val="left"/>
        <w:rPr>
          <w:sz w:val="24"/>
        </w:rPr>
      </w:pPr>
      <w:r>
        <w:rPr>
          <w:spacing w:val="-9"/>
          <w:sz w:val="24"/>
        </w:rPr>
        <w:t>已缴纳注册费的参会代表因故不能参加会议，请务必于 </w:t>
      </w:r>
      <w:r>
        <w:rPr>
          <w:sz w:val="24"/>
        </w:rPr>
        <w:t>2019</w:t>
      </w:r>
      <w:r>
        <w:rPr>
          <w:spacing w:val="-40"/>
          <w:sz w:val="24"/>
        </w:rPr>
        <w:t> 年 </w:t>
      </w:r>
      <w:r>
        <w:rPr>
          <w:sz w:val="24"/>
        </w:rPr>
        <w:t>7</w:t>
      </w:r>
      <w:r>
        <w:rPr>
          <w:spacing w:val="-40"/>
          <w:sz w:val="24"/>
        </w:rPr>
        <w:t> 月 </w:t>
      </w:r>
      <w:r>
        <w:rPr>
          <w:sz w:val="24"/>
        </w:rPr>
        <w:t>30</w:t>
      </w:r>
      <w:r>
        <w:rPr>
          <w:spacing w:val="-11"/>
          <w:sz w:val="24"/>
        </w:rPr>
        <w:t> 日前电话联系</w:t>
      </w:r>
      <w:r>
        <w:rPr>
          <w:spacing w:val="-5"/>
          <w:sz w:val="24"/>
        </w:rPr>
        <w:t>会务组，可退还注册费的 </w:t>
      </w:r>
      <w:r>
        <w:rPr>
          <w:sz w:val="24"/>
        </w:rPr>
        <w:t>80%。7</w:t>
      </w:r>
      <w:r>
        <w:rPr>
          <w:spacing w:val="-40"/>
          <w:sz w:val="24"/>
        </w:rPr>
        <w:t> 月 </w:t>
      </w:r>
      <w:r>
        <w:rPr>
          <w:sz w:val="24"/>
        </w:rPr>
        <w:t>30</w:t>
      </w:r>
      <w:r>
        <w:rPr>
          <w:spacing w:val="-8"/>
          <w:sz w:val="24"/>
        </w:rPr>
        <w:t> 日以后因故不能参会的代表，注册费不退款。</w:t>
      </w:r>
    </w:p>
    <w:p>
      <w:pPr>
        <w:pStyle w:val="ListParagraph"/>
        <w:numPr>
          <w:ilvl w:val="0"/>
          <w:numId w:val="12"/>
        </w:numPr>
        <w:tabs>
          <w:tab w:pos="999" w:val="left" w:leader="none"/>
        </w:tabs>
        <w:spacing w:line="297" w:lineRule="auto" w:before="2" w:after="0"/>
        <w:ind w:left="277" w:right="527" w:firstLine="480"/>
        <w:jc w:val="left"/>
        <w:rPr>
          <w:sz w:val="24"/>
        </w:rPr>
      </w:pPr>
      <w:r>
        <w:rPr>
          <w:sz w:val="24"/>
        </w:rPr>
        <w:t>注册费由中国药学会收取并开具相应金额的增值税普通发票（</w:t>
      </w:r>
      <w:r>
        <w:rPr>
          <w:spacing w:val="-2"/>
          <w:sz w:val="24"/>
        </w:rPr>
        <w:t>发票内容：会议注册</w:t>
      </w:r>
      <w:r>
        <w:rPr>
          <w:sz w:val="24"/>
        </w:rPr>
        <w:t>费）。</w:t>
      </w:r>
    </w:p>
    <w:p>
      <w:pPr>
        <w:pStyle w:val="Heading3"/>
        <w:spacing w:line="306" w:lineRule="exact"/>
      </w:pPr>
      <w:r>
        <w:rPr/>
        <w:t>银行汇款缴费：</w:t>
      </w:r>
    </w:p>
    <w:p>
      <w:pPr>
        <w:pStyle w:val="BodyText"/>
        <w:tabs>
          <w:tab w:pos="1357" w:val="left" w:leader="none"/>
        </w:tabs>
        <w:spacing w:before="72"/>
        <w:ind w:left="757"/>
      </w:pPr>
      <w:r>
        <w:rPr/>
        <w:t>户</w:t>
        <w:tab/>
        <w:t>名：中国药学会</w:t>
      </w:r>
    </w:p>
    <w:p>
      <w:pPr>
        <w:pStyle w:val="BodyText"/>
        <w:tabs>
          <w:tab w:pos="1357" w:val="left" w:leader="none"/>
        </w:tabs>
        <w:spacing w:line="295" w:lineRule="auto" w:before="74"/>
        <w:ind w:left="757" w:right="6287"/>
      </w:pPr>
      <w:r>
        <w:rPr/>
        <w:t>开户行：中国银行总行营业</w:t>
      </w:r>
      <w:r>
        <w:rPr>
          <w:spacing w:val="-18"/>
        </w:rPr>
        <w:t>部</w:t>
      </w:r>
      <w:r>
        <w:rPr/>
        <w:t>帐</w:t>
        <w:tab/>
        <w:t>号：778350009320</w:t>
      </w:r>
    </w:p>
    <w:p>
      <w:pPr>
        <w:pStyle w:val="BodyText"/>
        <w:spacing w:before="2"/>
        <w:ind w:left="757"/>
      </w:pPr>
      <w:r>
        <w:rPr/>
        <w:t>现场缴费：</w:t>
      </w:r>
    </w:p>
    <w:p>
      <w:pPr>
        <w:spacing w:line="295" w:lineRule="auto" w:before="74"/>
        <w:ind w:left="757" w:right="4367" w:firstLine="0"/>
        <w:jc w:val="left"/>
        <w:rPr>
          <w:b/>
          <w:sz w:val="24"/>
        </w:rPr>
      </w:pPr>
      <w:r>
        <w:rPr>
          <w:sz w:val="24"/>
        </w:rPr>
        <w:t>支票、现金支付，不支持任何形式的刷卡缴费。</w:t>
      </w:r>
      <w:r>
        <w:rPr>
          <w:b/>
          <w:sz w:val="24"/>
        </w:rPr>
        <w:t>六、住宿及交通</w:t>
      </w:r>
    </w:p>
    <w:p>
      <w:pPr>
        <w:pStyle w:val="BodyText"/>
        <w:spacing w:line="297" w:lineRule="auto" w:before="2"/>
        <w:ind w:right="390" w:firstLine="480"/>
      </w:pPr>
      <w:r>
        <w:rPr>
          <w:spacing w:val="-6"/>
        </w:rPr>
        <w:t>会议住宿及交通由参会代表自理。免费代表会务组将按职级、地区、单位、性别进行拼</w:t>
      </w:r>
      <w:r>
        <w:rPr/>
        <w:t>房，如有特殊需求请提前告知。</w:t>
      </w:r>
    </w:p>
    <w:p>
      <w:pPr>
        <w:pStyle w:val="Heading3"/>
        <w:spacing w:line="306" w:lineRule="exact"/>
      </w:pPr>
      <w:r>
        <w:rPr/>
        <w:t>七、联系人和联系方式</w:t>
      </w:r>
    </w:p>
    <w:p>
      <w:pPr>
        <w:pStyle w:val="BodyText"/>
        <w:tabs>
          <w:tab w:pos="1357" w:val="left" w:leader="none"/>
        </w:tabs>
        <w:spacing w:line="297" w:lineRule="auto" w:before="72"/>
        <w:ind w:left="757" w:right="6287"/>
      </w:pPr>
      <w:r>
        <w:rPr/>
        <w:t>联系人：刘玉、冯莹颖、陈</w:t>
      </w:r>
      <w:r>
        <w:rPr>
          <w:spacing w:val="-18"/>
        </w:rPr>
        <w:t>慧</w:t>
      </w:r>
      <w:r>
        <w:rPr/>
        <w:t>电</w:t>
        <w:tab/>
        <w:t>话：010-65662756</w:t>
      </w:r>
    </w:p>
    <w:p>
      <w:pPr>
        <w:pStyle w:val="BodyText"/>
        <w:tabs>
          <w:tab w:pos="1357" w:val="left" w:leader="none"/>
        </w:tabs>
        <w:spacing w:line="306" w:lineRule="exact"/>
        <w:ind w:left="757"/>
      </w:pPr>
      <w:r>
        <w:rPr/>
        <w:t>邮</w:t>
        <w:tab/>
      </w:r>
      <w:hyperlink r:id="rId33">
        <w:r>
          <w:rPr/>
          <w:t>箱：z30@cpa.org.cn</w:t>
        </w:r>
      </w:hyperlink>
    </w:p>
    <w:p>
      <w:pPr>
        <w:pStyle w:val="BodyText"/>
        <w:spacing w:line="297" w:lineRule="auto" w:before="71"/>
        <w:ind w:left="1477" w:right="3647" w:hanging="720"/>
      </w:pPr>
      <w:r>
        <w:rPr/>
        <w:t>附件：</w:t>
      </w:r>
      <w:hyperlink r:id="rId34">
        <w:r>
          <w:rPr/>
          <w:t>中国药学会药学服务专业委员会学术年会报名表</w:t>
        </w:r>
      </w:hyperlink>
      <w:hyperlink r:id="rId35">
        <w:r>
          <w:rPr/>
          <w:t>红头文件</w:t>
        </w:r>
      </w:hyperlink>
    </w:p>
    <w:p>
      <w:pPr>
        <w:pStyle w:val="BodyText"/>
        <w:spacing w:line="306" w:lineRule="exact"/>
        <w:ind w:left="757"/>
      </w:pPr>
      <w:r>
        <w:rPr/>
        <w:t>（附件下载请链接：</w:t>
      </w:r>
      <w:hyperlink r:id="rId36">
        <w:r>
          <w:rPr>
            <w:color w:val="0000FF"/>
            <w:u w:val="single" w:color="0000FF"/>
          </w:rPr>
          <w:t>www.cpa.org.cn/?do=info&amp;cid=75007</w:t>
        </w:r>
      </w:hyperlink>
      <w:r>
        <w:rPr/>
        <w:t>）</w:t>
      </w:r>
    </w:p>
    <w:p>
      <w:pPr>
        <w:spacing w:before="26"/>
        <w:ind w:left="4117" w:right="0" w:firstLine="0"/>
        <w:jc w:val="left"/>
        <w:rPr>
          <w:rFonts w:ascii="Meiryo" w:eastAsia="Meiryo" w:hint="eastAsia"/>
          <w:b/>
          <w:sz w:val="24"/>
        </w:rPr>
      </w:pPr>
      <w:r>
        <w:rPr>
          <w:sz w:val="24"/>
        </w:rPr>
        <w:t>中国药学会 2019 年 6 月 4 日</w:t>
      </w:r>
      <w:r>
        <w:rPr>
          <w:rFonts w:ascii="Meiryo" w:eastAsia="Meiryo" w:hint="eastAsia"/>
          <w:b/>
          <w:color w:val="0033CC"/>
          <w:sz w:val="24"/>
        </w:rPr>
        <w:t>[返回目次]</w:t>
      </w:r>
    </w:p>
    <w:p>
      <w:pPr>
        <w:spacing w:after="0"/>
        <w:jc w:val="left"/>
        <w:rPr>
          <w:rFonts w:ascii="Meiryo" w:eastAsia="Meiryo" w:hint="eastAsia"/>
          <w:sz w:val="24"/>
        </w:rPr>
        <w:sectPr>
          <w:pgSz w:w="11910" w:h="16850"/>
          <w:pgMar w:header="906" w:footer="607" w:top="1100" w:bottom="800" w:left="1000" w:right="740"/>
        </w:sectPr>
      </w:pPr>
    </w:p>
    <w:p>
      <w:pPr>
        <w:pStyle w:val="BodyText"/>
        <w:spacing w:before="6"/>
        <w:ind w:left="0"/>
        <w:rPr>
          <w:rFonts w:ascii="Meiryo"/>
          <w:b/>
          <w:sz w:val="46"/>
        </w:rPr>
      </w:pPr>
    </w:p>
    <w:p>
      <w:pPr>
        <w:pStyle w:val="Heading2"/>
        <w:ind w:left="277"/>
      </w:pPr>
      <w:r>
        <w:rPr/>
        <w:pict>
          <v:line style="position:absolute;mso-position-horizontal-relative:page;mso-position-vertical-relative:paragraph;z-index:-255142912" from="62.424pt,-35.020004pt" to="540.244pt,-35.020004pt" stroked="true" strokeweight=".72pt" strokecolor="#000000">
            <v:stroke dashstyle="solid"/>
            <w10:wrap type="none"/>
          </v:line>
        </w:pict>
      </w:r>
      <w:r>
        <w:rPr/>
        <w:t>【药师风采】</w:t>
      </w:r>
    </w:p>
    <w:p>
      <w:pPr>
        <w:pStyle w:val="Heading1"/>
        <w:spacing w:before="17"/>
        <w:jc w:val="left"/>
        <w:rPr>
          <w:u w:val="none"/>
        </w:rPr>
      </w:pPr>
      <w:bookmarkStart w:name="_TOC_250007" w:id="18"/>
      <w:r>
        <w:rPr>
          <w:b w:val="0"/>
          <w:u w:val="none"/>
        </w:rPr>
        <w:br w:type="column"/>
      </w:r>
      <w:r>
        <w:rPr>
          <w:rFonts w:ascii="Times New Roman" w:eastAsia="Times New Roman"/>
          <w:color w:val="008000"/>
          <w:spacing w:val="-110"/>
          <w:w w:val="99"/>
          <w:u w:val="thick" w:color="008000"/>
        </w:rPr>
        <w:t> </w:t>
      </w:r>
      <w:bookmarkEnd w:id="18"/>
      <w:r>
        <w:rPr>
          <w:color w:val="008000"/>
          <w:u w:val="thick" w:color="008000"/>
        </w:rPr>
        <w:t>交流园地</w:t>
      </w:r>
    </w:p>
    <w:p>
      <w:pPr>
        <w:spacing w:after="0"/>
        <w:jc w:val="left"/>
        <w:sectPr>
          <w:headerReference w:type="default" r:id="rId37"/>
          <w:footerReference w:type="default" r:id="rId38"/>
          <w:pgSz w:w="11910" w:h="16850"/>
          <w:pgMar w:header="0" w:footer="607" w:top="900" w:bottom="800" w:left="1000" w:right="740"/>
          <w:pgNumType w:start="39"/>
          <w:cols w:num="2" w:equalWidth="0">
            <w:col w:w="2247" w:space="2141"/>
            <w:col w:w="5782"/>
          </w:cols>
        </w:sectPr>
      </w:pPr>
    </w:p>
    <w:p>
      <w:pPr>
        <w:pStyle w:val="BodyText"/>
        <w:spacing w:before="2"/>
        <w:ind w:left="0"/>
        <w:rPr>
          <w:rFonts w:ascii="华文宋体"/>
          <w:b/>
          <w:sz w:val="14"/>
        </w:rPr>
      </w:pPr>
    </w:p>
    <w:p>
      <w:pPr>
        <w:pStyle w:val="Heading2"/>
        <w:spacing w:before="55"/>
        <w:ind w:right="233"/>
        <w:jc w:val="center"/>
      </w:pPr>
      <w:bookmarkStart w:name="_TOC_250006" w:id="19"/>
      <w:bookmarkEnd w:id="19"/>
      <w:r>
        <w:rPr/>
        <w:t>云南省中医医院——李松梅</w:t>
      </w:r>
    </w:p>
    <w:p>
      <w:pPr>
        <w:pStyle w:val="Heading3"/>
        <w:spacing w:before="219"/>
        <w:ind w:left="122" w:right="238"/>
        <w:jc w:val="center"/>
        <w:rPr>
          <w:rFonts w:ascii="楷体" w:eastAsia="楷体" w:hint="eastAsia"/>
        </w:rPr>
      </w:pPr>
      <w:r>
        <w:rPr>
          <w:rFonts w:ascii="楷体" w:eastAsia="楷体" w:hint="eastAsia"/>
        </w:rPr>
        <w:t>励志寄语：真正的优秀，未必高瞻远瞩纵横世界，而是擦地板都比别人擦的快和亮！</w:t>
      </w:r>
    </w:p>
    <w:p>
      <w:pPr>
        <w:pStyle w:val="BodyText"/>
        <w:spacing w:line="312" w:lineRule="auto" w:before="185"/>
        <w:ind w:right="392" w:firstLine="480"/>
        <w:jc w:val="both"/>
      </w:pPr>
      <w:r>
        <w:rPr>
          <w:spacing w:val="-10"/>
        </w:rPr>
        <w:t>李松梅，现任云南省中医医院药学部副主任，制剂中心主任，第四党总支书记，药学部</w:t>
      </w:r>
      <w:r>
        <w:rPr>
          <w:spacing w:val="-4"/>
        </w:rPr>
        <w:t>党支部书记，主管中药师，从事药学工作 </w:t>
      </w:r>
      <w:r>
        <w:rPr/>
        <w:t>12</w:t>
      </w:r>
      <w:r>
        <w:rPr>
          <w:spacing w:val="-8"/>
        </w:rPr>
        <w:t> 年。始终坚持“以药品质量为第一要求”开展</w:t>
      </w:r>
    </w:p>
    <w:p>
      <w:pPr>
        <w:pStyle w:val="BodyText"/>
        <w:spacing w:line="312" w:lineRule="auto" w:before="2"/>
        <w:ind w:right="388"/>
        <w:jc w:val="both"/>
      </w:pPr>
      <w:r>
        <w:rPr>
          <w:spacing w:val="-2"/>
        </w:rPr>
        <w:t>工作，积极组织修订和完善医院药事管理相关制度及应急救援预案 </w:t>
      </w:r>
      <w:r>
        <w:rPr/>
        <w:t>40</w:t>
      </w:r>
      <w:r>
        <w:rPr>
          <w:spacing w:val="-8"/>
        </w:rPr>
        <w:t> 余个，有效地规范医</w:t>
      </w:r>
      <w:r>
        <w:rPr>
          <w:spacing w:val="-13"/>
        </w:rPr>
        <w:t>院药事管理工作；加强药品质量监督管理，确保药品质量。在 </w:t>
      </w:r>
      <w:r>
        <w:rPr/>
        <w:t>2012</w:t>
      </w:r>
      <w:r>
        <w:rPr>
          <w:spacing w:val="-28"/>
        </w:rPr>
        <w:t> 年、</w:t>
      </w:r>
      <w:r>
        <w:rPr/>
        <w:t>2016</w:t>
      </w:r>
      <w:r>
        <w:rPr>
          <w:spacing w:val="-28"/>
        </w:rPr>
        <w:t> 年、</w:t>
      </w:r>
      <w:r>
        <w:rPr/>
        <w:t>2017</w:t>
      </w:r>
      <w:r>
        <w:rPr>
          <w:spacing w:val="-24"/>
        </w:rPr>
        <w:t> 年接</w:t>
      </w:r>
      <w:r>
        <w:rPr/>
        <w:t>受等级医院复审、国家级中药饮片管理等大型检查均顺利通过。</w:t>
      </w:r>
    </w:p>
    <w:p>
      <w:pPr>
        <w:pStyle w:val="BodyText"/>
        <w:spacing w:line="312" w:lineRule="auto" w:before="1"/>
        <w:ind w:right="386" w:firstLine="480"/>
        <w:jc w:val="both"/>
      </w:pPr>
      <w:r>
        <w:rPr>
          <w:spacing w:val="-6"/>
        </w:rPr>
        <w:t>严格执行药品集中招标采购工作程序，顺利完成医院中药饮片院内招标采购，定期业务</w:t>
      </w:r>
      <w:r>
        <w:rPr>
          <w:spacing w:val="-10"/>
        </w:rPr>
        <w:t>查房，及时发布药品信息通讯；做实药品信息、价格、医保维护等相关工作，确保患者用药</w:t>
      </w:r>
      <w:r>
        <w:rPr>
          <w:spacing w:val="-14"/>
        </w:rPr>
        <w:t>精准到位；成立药品质量管理领导小组，加强对药品含麻醉精神药品临床使用与管理的日常</w:t>
      </w:r>
      <w:r>
        <w:rPr/>
        <w:t>督导，责任明确，确保药品安全有效。</w:t>
      </w:r>
    </w:p>
    <w:p>
      <w:pPr>
        <w:pStyle w:val="BodyText"/>
        <w:spacing w:line="312" w:lineRule="auto"/>
        <w:ind w:right="387" w:firstLine="480"/>
        <w:jc w:val="both"/>
      </w:pPr>
      <w:r>
        <w:rPr>
          <w:spacing w:val="-7"/>
        </w:rPr>
        <w:t>积极探索和开展临床药学工作，严格按照抗菌药物管理相关规定，加强医院抗菌药物分</w:t>
      </w:r>
      <w:r>
        <w:rPr>
          <w:spacing w:val="-13"/>
        </w:rPr>
        <w:t>级管理力度，每月组织一次处方点评工作，每年点评处方数达 </w:t>
      </w:r>
      <w:r>
        <w:rPr/>
        <w:t>20</w:t>
      </w:r>
      <w:r>
        <w:rPr>
          <w:spacing w:val="-17"/>
        </w:rPr>
        <w:t> 余万张，参与病历点评 </w:t>
      </w:r>
      <w:r>
        <w:rPr/>
        <w:t>300 余份。按照“可疑必报”的原则，及时上报药品不良反应。</w:t>
      </w:r>
    </w:p>
    <w:p>
      <w:pPr>
        <w:pStyle w:val="BodyText"/>
        <w:spacing w:before="1"/>
        <w:ind w:left="0" w:right="388"/>
        <w:jc w:val="right"/>
      </w:pPr>
      <w:r>
        <w:rPr>
          <w:spacing w:val="-10"/>
        </w:rPr>
        <w:t>承担医院见习、实习生及进修人员的教学任务，完成 </w:t>
      </w:r>
      <w:r>
        <w:rPr/>
        <w:t>100</w:t>
      </w:r>
      <w:r>
        <w:rPr>
          <w:spacing w:val="-10"/>
        </w:rPr>
        <w:t> 余人次的临床实习、进修带教</w:t>
      </w:r>
    </w:p>
    <w:p>
      <w:pPr>
        <w:pStyle w:val="BodyText"/>
        <w:spacing w:before="93"/>
        <w:ind w:left="0" w:right="389"/>
        <w:jc w:val="right"/>
      </w:pPr>
      <w:r>
        <w:rPr>
          <w:spacing w:val="-8"/>
        </w:rPr>
        <w:t>任务，组织开展省级继续教育培训项目 </w:t>
      </w:r>
      <w:r>
        <w:rPr/>
        <w:t>4</w:t>
      </w:r>
      <w:r>
        <w:rPr>
          <w:spacing w:val="-21"/>
        </w:rPr>
        <w:t> 个；</w:t>
      </w:r>
      <w:r>
        <w:rPr>
          <w:spacing w:val="-3"/>
        </w:rPr>
        <w:t>2012</w:t>
      </w:r>
      <w:r>
        <w:rPr>
          <w:spacing w:val="-40"/>
        </w:rPr>
        <w:t> 年 </w:t>
      </w:r>
      <w:r>
        <w:rPr/>
        <w:t>10</w:t>
      </w:r>
      <w:r>
        <w:rPr>
          <w:spacing w:val="-9"/>
        </w:rPr>
        <w:t> 月起，定期或不定期到昆明电台进</w:t>
      </w:r>
    </w:p>
    <w:p>
      <w:pPr>
        <w:pStyle w:val="BodyText"/>
        <w:spacing w:before="93"/>
      </w:pPr>
      <w:r>
        <w:rPr/>
        <w:t>行药物健康知识讲座，共计 50 余次，扩大医院影响，树立良好形象。</w:t>
      </w:r>
    </w:p>
    <w:p>
      <w:pPr>
        <w:pStyle w:val="BodyText"/>
        <w:spacing w:line="312" w:lineRule="auto" w:before="91"/>
        <w:ind w:right="287" w:firstLine="480"/>
      </w:pPr>
      <w:r>
        <w:rPr>
          <w:spacing w:val="-10"/>
        </w:rPr>
        <w:t>先后主持、参与多项国家级、省级、厅级及院级中医药科研课题研究。作为编委，参与</w:t>
      </w:r>
      <w:r>
        <w:rPr>
          <w:spacing w:val="-11"/>
        </w:rPr>
        <w:t>编写《中医病历及处方书写规范手册》、《中医心病学》、《中药药理学》等中医药著作， </w:t>
      </w:r>
      <w:r>
        <w:rPr/>
        <w:t>发表论文多篇。</w:t>
      </w:r>
    </w:p>
    <w:p>
      <w:pPr>
        <w:pStyle w:val="BodyText"/>
        <w:spacing w:line="312" w:lineRule="auto" w:before="1"/>
        <w:ind w:right="272" w:firstLine="480"/>
      </w:pPr>
      <w:r>
        <w:rPr/>
        <w:t>2018</w:t>
      </w:r>
      <w:r>
        <w:rPr>
          <w:spacing w:val="-11"/>
        </w:rPr>
        <w:t> 年被云南省药学会评为“云南省优秀药师”，多次被医院评为“优秀共产党员”、</w:t>
      </w:r>
      <w:r>
        <w:rPr/>
        <w:t>“先进工作者”、“优秀女职工”，获得“医德医风奖”、“健康教育工作奖”。</w:t>
      </w:r>
    </w:p>
    <w:p>
      <w:pPr>
        <w:pStyle w:val="BodyText"/>
        <w:spacing w:line="312" w:lineRule="auto" w:before="3"/>
        <w:ind w:right="386" w:firstLine="480"/>
        <w:jc w:val="both"/>
      </w:pPr>
      <w:r>
        <w:rPr>
          <w:spacing w:val="-6"/>
        </w:rPr>
        <w:t>兼任中华中医药学会医院药学分会青年委员会委员，云南省药学会医院药学专业委员会</w:t>
      </w:r>
      <w:r>
        <w:rPr>
          <w:spacing w:val="-11"/>
        </w:rPr>
        <w:t>委员，云南省中医药学会中药临床评价与医院药事管理专业委员会常务副主任委员、中医临</w:t>
      </w:r>
      <w:r>
        <w:rPr>
          <w:spacing w:val="-7"/>
        </w:rPr>
        <w:t>床药学专业委员会常务委员，云南省药理学会临床药学专业委员会副主任委员，云南省民族民间医药学会民族药制剂专业委员会委员，云南省药事管理及临床药学质量控制中心治疗药</w:t>
      </w:r>
    </w:p>
    <w:p>
      <w:pPr>
        <w:pStyle w:val="BodyText"/>
        <w:spacing w:line="419" w:lineRule="exact"/>
        <w:rPr>
          <w:rFonts w:ascii="Meiryo" w:eastAsia="Meiryo" w:hint="eastAsia"/>
          <w:b/>
        </w:rPr>
      </w:pPr>
      <w:r>
        <w:rPr/>
        <w:t>物检测（TDM）学组委员、静脉用药调培中心（PIVAS）学组委员。</w:t>
      </w:r>
      <w:r>
        <w:rPr>
          <w:rFonts w:ascii="Meiryo" w:eastAsia="Meiryo" w:hint="eastAsia"/>
          <w:b/>
          <w:color w:val="0033CC"/>
        </w:rPr>
        <w:t>[返回目次]</w:t>
      </w:r>
    </w:p>
    <w:p>
      <w:pPr>
        <w:pStyle w:val="Heading2"/>
        <w:spacing w:before="198"/>
        <w:ind w:right="233"/>
        <w:jc w:val="center"/>
      </w:pPr>
      <w:bookmarkStart w:name="_TOC_250005" w:id="20"/>
      <w:bookmarkEnd w:id="20"/>
      <w:r>
        <w:rPr/>
        <w:t>成都军区昆明总医院——余巍</w:t>
      </w:r>
    </w:p>
    <w:p>
      <w:pPr>
        <w:pStyle w:val="Heading3"/>
        <w:spacing w:before="220"/>
        <w:ind w:left="122" w:right="240"/>
        <w:jc w:val="center"/>
        <w:rPr>
          <w:rFonts w:ascii="楷体" w:eastAsia="楷体" w:hint="eastAsia"/>
        </w:rPr>
      </w:pPr>
      <w:r>
        <w:rPr>
          <w:rFonts w:ascii="楷体" w:eastAsia="楷体" w:hint="eastAsia"/>
        </w:rPr>
        <w:t>励志寄语：征服世界，并不伟大，一个人能征服自己，才是世界上最伟大的人。</w:t>
      </w:r>
    </w:p>
    <w:p>
      <w:pPr>
        <w:pStyle w:val="BodyText"/>
        <w:spacing w:line="312" w:lineRule="auto" w:before="187"/>
        <w:ind w:right="387" w:firstLine="480"/>
      </w:pPr>
      <w:r>
        <w:rPr>
          <w:spacing w:val="-2"/>
        </w:rPr>
        <w:t>余巍，现任成都军区昆明总医院药学部主管药师，医学博士，从事药学工作 </w:t>
      </w:r>
      <w:r>
        <w:rPr/>
        <w:t>15</w:t>
      </w:r>
      <w:r>
        <w:rPr>
          <w:spacing w:val="-15"/>
        </w:rPr>
        <w:t> 年。主</w:t>
      </w:r>
      <w:r>
        <w:rPr>
          <w:spacing w:val="-16"/>
        </w:rPr>
        <w:t>要从事药学科研、教学和临床药师工作。以党的十九大精神和习近平新时代中国特色社会主</w:t>
      </w:r>
    </w:p>
    <w:p>
      <w:pPr>
        <w:spacing w:after="0" w:line="312" w:lineRule="auto"/>
        <w:sectPr>
          <w:type w:val="continuous"/>
          <w:pgSz w:w="11910" w:h="16850"/>
          <w:pgMar w:top="1100" w:bottom="1020" w:left="1000" w:right="740"/>
        </w:sectPr>
      </w:pPr>
    </w:p>
    <w:p>
      <w:pPr>
        <w:pStyle w:val="BodyText"/>
        <w:spacing w:line="312" w:lineRule="auto" w:before="79"/>
        <w:ind w:right="287"/>
      </w:pPr>
      <w:r>
        <w:rPr>
          <w:spacing w:val="-7"/>
        </w:rPr>
        <w:t>义理论作为行动指南，严守政治纪律和政治规矩，不断提高党性修养。掌握临床医学和临床</w:t>
      </w:r>
      <w:r>
        <w:rPr>
          <w:spacing w:val="-8"/>
        </w:rPr>
        <w:t>药学理论知识、常见感染性疾病的药物治疗，熟悉常见感染病原菌特征与耐药菌治疗策略。</w:t>
      </w:r>
      <w:r>
        <w:rPr>
          <w:spacing w:val="-9"/>
        </w:rPr>
        <w:t>将医、药学知识与临床用药相结合，在临床治疗中评估患者的药物治疗方案的安全性、有效性。作为临床药师服务科室主要有医院急诊科、重症监护病房、消化内科。每年承担多名昆明医科大学、大理大学、海源医学院及遵义医学院本科生实习生论文指导工作。</w:t>
      </w:r>
    </w:p>
    <w:p>
      <w:pPr>
        <w:pStyle w:val="BodyText"/>
        <w:spacing w:line="312" w:lineRule="auto" w:before="1"/>
        <w:ind w:right="271" w:firstLine="480"/>
      </w:pPr>
      <w:r>
        <w:rPr/>
        <w:t>2015</w:t>
      </w:r>
      <w:r>
        <w:rPr>
          <w:spacing w:val="-41"/>
        </w:rPr>
        <w:t> 年 </w:t>
      </w:r>
      <w:r>
        <w:rPr/>
        <w:t>5</w:t>
      </w:r>
      <w:r>
        <w:rPr>
          <w:spacing w:val="-30"/>
        </w:rPr>
        <w:t> 月至 </w:t>
      </w:r>
      <w:r>
        <w:rPr/>
        <w:t>2016</w:t>
      </w:r>
      <w:r>
        <w:rPr>
          <w:spacing w:val="-40"/>
        </w:rPr>
        <w:t> 年 </w:t>
      </w:r>
      <w:r>
        <w:rPr/>
        <w:t>5</w:t>
      </w:r>
      <w:r>
        <w:rPr>
          <w:spacing w:val="-10"/>
        </w:rPr>
        <w:t> 月作为药师参加中国第十三批赴黎巴嫩维和医疗队。维和期间</w:t>
      </w:r>
      <w:r>
        <w:rPr>
          <w:spacing w:val="-15"/>
        </w:rPr>
        <w:t>根据联合国与中国政府签署的谅解备忘录，详细分析维和任务区疾病谱及有可能发生的突发</w:t>
      </w:r>
      <w:r>
        <w:rPr>
          <w:spacing w:val="-17"/>
        </w:rPr>
        <w:t>情况，制定药品清单，按国内二级甲等医院的标准筹备药品，共计采购药品 </w:t>
      </w:r>
      <w:r>
        <w:rPr/>
        <w:t>400</w:t>
      </w:r>
      <w:r>
        <w:rPr>
          <w:spacing w:val="-24"/>
        </w:rPr>
        <w:t> 多种约 </w:t>
      </w:r>
      <w:r>
        <w:rPr/>
        <w:t>40 </w:t>
      </w:r>
      <w:r>
        <w:rPr>
          <w:spacing w:val="-7"/>
        </w:rPr>
        <w:t>多万元运送到黎巴嫩；在任务区担当药房卫生员、调剂员、药库保管员等各项职能，负责麻</w:t>
      </w:r>
      <w:r>
        <w:rPr>
          <w:spacing w:val="-11"/>
        </w:rPr>
        <w:t>醉药品、精神药品的管理及统计，时刻保持药品在可提供状态。由于医疗分队只设一名药师</w:t>
      </w:r>
      <w:r>
        <w:rPr>
          <w:spacing w:val="-28"/>
        </w:rPr>
        <w:t>需要 </w:t>
      </w:r>
      <w:r>
        <w:rPr/>
        <w:t>24</w:t>
      </w:r>
      <w:r>
        <w:rPr>
          <w:spacing w:val="-8"/>
        </w:rPr>
        <w:t> 小时在岗，在一年的任务期间急诊取药达上百次。除常规窗口工作外，在遵守联合</w:t>
      </w:r>
      <w:r>
        <w:rPr>
          <w:spacing w:val="-14"/>
        </w:rPr>
        <w:t>国相关政策法规的前提下，突破语言障碍，积极开展以患者为中心的合理用药工作，通过深</w:t>
      </w:r>
      <w:r>
        <w:rPr>
          <w:spacing w:val="-15"/>
        </w:rPr>
        <w:t>入临床，提高药物治疗水平。一年的“援外”任务期中，</w:t>
      </w:r>
      <w:r>
        <w:rPr>
          <w:spacing w:val="-17"/>
        </w:rPr>
        <w:t>5</w:t>
      </w:r>
      <w:r>
        <w:rPr>
          <w:spacing w:val="-9"/>
        </w:rPr>
        <w:t> 次完成联合国装备药品核查工作， </w:t>
      </w:r>
      <w:r>
        <w:rPr/>
        <w:t>圆满完成了任务，得到了任务区多个国家维和官兵的好评。</w:t>
      </w:r>
    </w:p>
    <w:p>
      <w:pPr>
        <w:pStyle w:val="BodyText"/>
        <w:spacing w:line="312" w:lineRule="auto" w:before="3"/>
        <w:ind w:right="386" w:firstLine="480"/>
      </w:pPr>
      <w:r>
        <w:rPr/>
        <w:t>2016</w:t>
      </w:r>
      <w:r>
        <w:rPr>
          <w:spacing w:val="-14"/>
        </w:rPr>
        <w:t> 年以来发表学术论文多篇，其中 </w:t>
      </w:r>
      <w:r>
        <w:rPr/>
        <w:t>SCl</w:t>
      </w:r>
      <w:r>
        <w:rPr>
          <w:spacing w:val="-30"/>
        </w:rPr>
        <w:t> 文章 </w:t>
      </w:r>
      <w:r>
        <w:rPr/>
        <w:t>2</w:t>
      </w:r>
      <w:r>
        <w:rPr>
          <w:spacing w:val="-15"/>
        </w:rPr>
        <w:t> 篇，中文核心期刊多篇，获发明专利 </w:t>
      </w:r>
      <w:r>
        <w:rPr>
          <w:spacing w:val="-16"/>
        </w:rPr>
        <w:t>1 </w:t>
      </w:r>
      <w:r>
        <w:rPr/>
        <w:t>项，2013</w:t>
      </w:r>
      <w:r>
        <w:rPr>
          <w:spacing w:val="-12"/>
        </w:rPr>
        <w:t> 年获得云南省科技进步二等奖 </w:t>
      </w:r>
      <w:r>
        <w:rPr/>
        <w:t>1</w:t>
      </w:r>
      <w:r>
        <w:rPr>
          <w:spacing w:val="-20"/>
        </w:rPr>
        <w:t> 项。</w:t>
      </w:r>
    </w:p>
    <w:p>
      <w:pPr>
        <w:pStyle w:val="BodyText"/>
        <w:spacing w:line="312" w:lineRule="auto"/>
        <w:ind w:left="757" w:right="390"/>
      </w:pPr>
      <w:r>
        <w:rPr/>
        <w:t>2016 年荣获联合国颁发的和平荣誉勋章，中国人民解放军颁发的和平使命纪念章。兼任全军药学专业委员会生化与生物技术专业分委会委员，云南省药学会药学信息专业</w:t>
      </w:r>
    </w:p>
    <w:p>
      <w:pPr>
        <w:spacing w:line="422" w:lineRule="exact" w:before="0"/>
        <w:ind w:left="277" w:right="0" w:firstLine="0"/>
        <w:jc w:val="left"/>
        <w:rPr>
          <w:rFonts w:ascii="Meiryo" w:eastAsia="Meiryo" w:hint="eastAsia"/>
          <w:b/>
          <w:sz w:val="24"/>
        </w:rPr>
      </w:pPr>
      <w:r>
        <w:rPr>
          <w:sz w:val="24"/>
        </w:rPr>
        <w:t>委员会秘书长，云南省医学会临床药学分会委员。</w:t>
      </w:r>
      <w:r>
        <w:rPr>
          <w:rFonts w:ascii="Meiryo" w:eastAsia="Meiryo" w:hint="eastAsia"/>
          <w:b/>
          <w:color w:val="0033CC"/>
          <w:sz w:val="24"/>
        </w:rPr>
        <w:t>[返回目次]</w:t>
      </w:r>
    </w:p>
    <w:p>
      <w:pPr>
        <w:pStyle w:val="Heading2"/>
        <w:spacing w:before="196"/>
        <w:ind w:right="238"/>
        <w:jc w:val="center"/>
      </w:pPr>
      <w:bookmarkStart w:name="_TOC_250004" w:id="21"/>
      <w:bookmarkEnd w:id="21"/>
      <w:r>
        <w:rPr>
          <w:w w:val="95"/>
        </w:rPr>
        <w:t>西藏自治区第二人民医院——琼次仁</w:t>
      </w:r>
    </w:p>
    <w:p>
      <w:pPr>
        <w:pStyle w:val="Heading3"/>
        <w:spacing w:before="222"/>
        <w:ind w:left="122" w:right="238"/>
        <w:jc w:val="center"/>
        <w:rPr>
          <w:rFonts w:ascii="楷体" w:eastAsia="楷体" w:hint="eastAsia"/>
        </w:rPr>
      </w:pPr>
      <w:r>
        <w:rPr>
          <w:rFonts w:ascii="楷体" w:eastAsia="楷体" w:hint="eastAsia"/>
          <w:w w:val="95"/>
        </w:rPr>
        <w:t>励志寄语：不让一位患者受到用药带来的危害！</w:t>
      </w:r>
    </w:p>
    <w:p>
      <w:pPr>
        <w:pStyle w:val="BodyText"/>
        <w:spacing w:line="312" w:lineRule="auto" w:before="184"/>
        <w:ind w:right="389" w:firstLine="480"/>
        <w:jc w:val="both"/>
      </w:pPr>
      <w:r>
        <w:rPr>
          <w:spacing w:val="-9"/>
        </w:rPr>
        <w:t>琼次仁，现任西藏自治区第二人民医院药剂科主任，医教处副主任，副主任药师，从事</w:t>
      </w:r>
      <w:r>
        <w:rPr>
          <w:spacing w:val="-13"/>
        </w:rPr>
        <w:t>药学工作 </w:t>
      </w:r>
      <w:r>
        <w:rPr/>
        <w:t>16</w:t>
      </w:r>
      <w:r>
        <w:rPr>
          <w:spacing w:val="-8"/>
        </w:rPr>
        <w:t> 年。政治思想合格，立场坚定，反对分裂，维护祖国统一，作为一名医务工作者和党务工作者，严格要求自己，廉洁自律，奉公守法，坚决依法依规执业。</w:t>
      </w:r>
    </w:p>
    <w:p>
      <w:pPr>
        <w:pStyle w:val="BodyText"/>
        <w:spacing w:line="312" w:lineRule="auto" w:before="1"/>
        <w:ind w:right="387" w:firstLine="480"/>
        <w:jc w:val="both"/>
      </w:pPr>
      <w:r>
        <w:rPr>
          <w:spacing w:val="-3"/>
        </w:rPr>
        <w:t>为规范药事服务，补充完善医院药事相关制度 </w:t>
      </w:r>
      <w:r>
        <w:rPr/>
        <w:t>11</w:t>
      </w:r>
      <w:r>
        <w:rPr>
          <w:spacing w:val="-8"/>
        </w:rPr>
        <w:t> 项，做到有规可依，有章可查。任现</w:t>
      </w:r>
      <w:r>
        <w:rPr>
          <w:spacing w:val="-12"/>
        </w:rPr>
        <w:t>职以来，在院领导和职能部门的支持下，不断加强学习，努力将最新的理论知识应用于实际</w:t>
      </w:r>
      <w:r>
        <w:rPr>
          <w:spacing w:val="-9"/>
        </w:rPr>
        <w:t>工作中，逐步培养和组建具有较高素质的药学团队。参与处方点评工作，通过点评、药讯等</w:t>
      </w:r>
      <w:r>
        <w:rPr>
          <w:spacing w:val="-10"/>
        </w:rPr>
        <w:t>形式，提高全院整体的处方合格率，降低抗菌药使用率，促进了合理用药；加强特殊管理药</w:t>
      </w:r>
      <w:r>
        <w:rPr>
          <w:spacing w:val="-15"/>
        </w:rPr>
        <w:t>品</w:t>
      </w:r>
      <w:r>
        <w:rPr/>
        <w:t>（</w:t>
      </w:r>
      <w:r>
        <w:rPr>
          <w:spacing w:val="-6"/>
        </w:rPr>
        <w:t>高危、麻精、专科药</w:t>
      </w:r>
      <w:r>
        <w:rPr>
          <w:spacing w:val="-15"/>
        </w:rPr>
        <w:t>）</w:t>
      </w:r>
      <w:r>
        <w:rPr>
          <w:spacing w:val="-7"/>
        </w:rPr>
        <w:t>管理，做好高危药品标志，杜绝不良事件发生。通过药讯及时通</w:t>
      </w:r>
      <w:r>
        <w:rPr>
          <w:spacing w:val="-4"/>
        </w:rPr>
        <w:t>报国家药品不良反应信息，提高大家对 </w:t>
      </w:r>
      <w:r>
        <w:rPr/>
        <w:t>ADR</w:t>
      </w:r>
      <w:r>
        <w:rPr>
          <w:spacing w:val="-15"/>
        </w:rPr>
        <w:t> 认识。</w:t>
      </w:r>
    </w:p>
    <w:p>
      <w:pPr>
        <w:pStyle w:val="BodyText"/>
        <w:spacing w:before="2"/>
        <w:ind w:left="757"/>
        <w:jc w:val="both"/>
      </w:pPr>
      <w:r>
        <w:rPr/>
        <w:t>2015 年以来先后发表了 5 篇论文，其中以第一作者，发表省级论文 2 篇，以第二作者</w:t>
      </w:r>
    </w:p>
    <w:p>
      <w:pPr>
        <w:pStyle w:val="BodyText"/>
        <w:spacing w:before="93"/>
      </w:pPr>
      <w:r>
        <w:rPr>
          <w:spacing w:val="-9"/>
        </w:rPr>
        <w:t>发表省级论文 </w:t>
      </w:r>
      <w:r>
        <w:rPr/>
        <w:t>2</w:t>
      </w:r>
      <w:r>
        <w:rPr>
          <w:spacing w:val="-17"/>
        </w:rPr>
        <w:t> 篇、国家级学术论文 </w:t>
      </w:r>
      <w:r>
        <w:rPr/>
        <w:t>1</w:t>
      </w:r>
      <w:r>
        <w:rPr>
          <w:spacing w:val="-21"/>
        </w:rPr>
        <w:t> 篇。参与制定 </w:t>
      </w:r>
      <w:r>
        <w:rPr/>
        <w:t>2015</w:t>
      </w:r>
      <w:r>
        <w:rPr>
          <w:spacing w:val="-11"/>
        </w:rPr>
        <w:t> 年版《西藏自治区基本药物目录》</w:t>
      </w:r>
    </w:p>
    <w:p>
      <w:pPr>
        <w:pStyle w:val="BodyText"/>
        <w:spacing w:line="312" w:lineRule="auto" w:before="91"/>
        <w:ind w:right="387"/>
      </w:pPr>
      <w:r>
        <w:rPr/>
        <w:t>（增补版</w:t>
      </w:r>
      <w:r>
        <w:rPr>
          <w:spacing w:val="-12"/>
        </w:rPr>
        <w:t>），</w:t>
      </w:r>
      <w:r>
        <w:rPr>
          <w:spacing w:val="-5"/>
        </w:rPr>
        <w:t>负责完成《西藏自治区基本药物目录</w:t>
      </w:r>
      <w:r>
        <w:rPr/>
        <w:t>（增补版</w:t>
      </w:r>
      <w:r>
        <w:rPr>
          <w:spacing w:val="-12"/>
        </w:rPr>
        <w:t>）</w:t>
      </w:r>
      <w:r>
        <w:rPr>
          <w:spacing w:val="-7"/>
        </w:rPr>
        <w:t>处方集》、《西藏自治区基本</w:t>
      </w:r>
      <w:r>
        <w:rPr/>
        <w:t>药物目录（增补版）临床应用指南》等。</w:t>
      </w:r>
    </w:p>
    <w:p>
      <w:pPr>
        <w:pStyle w:val="BodyText"/>
        <w:spacing w:before="3"/>
        <w:ind w:left="757"/>
      </w:pPr>
      <w:r>
        <w:rPr/>
        <w:t>先后 4 次荣获医院“优秀党务工作者”和“优秀驻村工作队员”称号。</w:t>
      </w:r>
    </w:p>
    <w:p>
      <w:pPr>
        <w:spacing w:after="0"/>
        <w:sectPr>
          <w:headerReference w:type="default" r:id="rId39"/>
          <w:footerReference w:type="default" r:id="rId40"/>
          <w:pgSz w:w="11910" w:h="16850"/>
          <w:pgMar w:header="906" w:footer="607" w:top="1100" w:bottom="800" w:left="1000" w:right="740"/>
          <w:pgNumType w:start="40"/>
        </w:sectPr>
      </w:pPr>
    </w:p>
    <w:p>
      <w:pPr>
        <w:pStyle w:val="BodyText"/>
        <w:spacing w:line="295" w:lineRule="auto" w:before="79"/>
        <w:ind w:right="387" w:firstLine="480"/>
        <w:rPr>
          <w:rFonts w:ascii="Meiryo" w:eastAsia="Meiryo" w:hint="eastAsia"/>
          <w:b/>
        </w:rPr>
      </w:pPr>
      <w:r>
        <w:rPr/>
        <w:t>兼任中国心胸血管麻醉学会心血管药学分会委员，西藏医学会医院药学分会副主任委</w:t>
      </w:r>
      <w:r>
        <w:rPr>
          <w:spacing w:val="-10"/>
        </w:rPr>
        <w:t>员，自治区基本药物目录编委成员，自治区医保目录药学组评审员，自治区综合医院评审委</w:t>
      </w:r>
      <w:r>
        <w:rPr/>
        <w:t>员会评审员，自治区大型综合医院巡查员，自治区集中招标采购专家库成员。</w:t>
      </w:r>
      <w:r>
        <w:rPr>
          <w:rFonts w:ascii="Meiryo" w:eastAsia="Meiryo" w:hint="eastAsia"/>
          <w:b/>
          <w:color w:val="0033CC"/>
        </w:rPr>
        <w:t>[返回目次]</w:t>
      </w:r>
    </w:p>
    <w:p>
      <w:pPr>
        <w:pStyle w:val="Heading2"/>
        <w:spacing w:before="89"/>
        <w:ind w:right="235"/>
        <w:jc w:val="center"/>
      </w:pPr>
      <w:bookmarkStart w:name="_TOC_250003" w:id="22"/>
      <w:bookmarkEnd w:id="22"/>
      <w:r>
        <w:rPr/>
        <w:t>西安交通大学第二附属医院——刘娜</w:t>
      </w:r>
    </w:p>
    <w:p>
      <w:pPr>
        <w:pStyle w:val="Heading3"/>
        <w:spacing w:line="312" w:lineRule="auto" w:before="219"/>
        <w:ind w:left="325" w:right="444"/>
        <w:jc w:val="center"/>
        <w:rPr>
          <w:rFonts w:ascii="楷体" w:eastAsia="楷体" w:hint="eastAsia"/>
        </w:rPr>
      </w:pPr>
      <w:r>
        <w:rPr>
          <w:rFonts w:ascii="楷体" w:eastAsia="楷体" w:hint="eastAsia"/>
        </w:rPr>
        <w:t>励志寄语：一以贯之增强药学服务意识，防范用药风险。一以贯之追求博学而笃志，切问而近思。一以贯之洞悉生命的意义，认清真实的自我。</w:t>
      </w:r>
    </w:p>
    <w:p>
      <w:pPr>
        <w:pStyle w:val="BodyText"/>
        <w:spacing w:line="312" w:lineRule="auto" w:before="94"/>
        <w:ind w:right="287" w:firstLine="480"/>
      </w:pPr>
      <w:r>
        <w:rPr>
          <w:spacing w:val="-1"/>
        </w:rPr>
        <w:t>刘娜，现任西安交通大学第二附属医院副主任药师，原国家卫计委临床药师规培师资， </w:t>
      </w:r>
      <w:r>
        <w:rPr>
          <w:spacing w:val="-5"/>
        </w:rPr>
        <w:t>硕士生导师，从事药学工作 </w:t>
      </w:r>
      <w:r>
        <w:rPr/>
        <w:t>10</w:t>
      </w:r>
      <w:r>
        <w:rPr>
          <w:spacing w:val="-8"/>
        </w:rPr>
        <w:t> 年。擅长心血管慢病管理、抗凝治疗监护、药物基因组学与个体化用药，是心血管内科临床药师，抗凝专科咨询及会诊药师。</w:t>
      </w:r>
    </w:p>
    <w:p>
      <w:pPr>
        <w:pStyle w:val="BodyText"/>
        <w:spacing w:line="312" w:lineRule="auto" w:before="1"/>
        <w:ind w:right="285" w:firstLine="480"/>
      </w:pPr>
      <w:r>
        <w:rPr>
          <w:spacing w:val="-10"/>
        </w:rPr>
        <w:t>建立医、药、护多学科诊疗模式，通过药学会诊、药物治疗方案制定及药学监护，提高</w:t>
      </w:r>
      <w:r>
        <w:rPr>
          <w:spacing w:val="-13"/>
        </w:rPr>
        <w:t>用药质量。制定药学问诊、药学监护、抗凝审方细则和药物治疗管理等工作表，规范临床药</w:t>
      </w:r>
      <w:r>
        <w:rPr>
          <w:spacing w:val="-15"/>
        </w:rPr>
        <w:t>学及其带教工作模式。通过血药浓度监测、基因检测指导用药，提供药学技术支撑，推动精</w:t>
      </w:r>
      <w:r>
        <w:rPr>
          <w:spacing w:val="-12"/>
        </w:rPr>
        <w:t>准用药。为门诊患者和住院患者提供用药咨询、长期随访及全程监护，提升患者满意度。开</w:t>
      </w:r>
      <w:r>
        <w:rPr>
          <w:spacing w:val="-13"/>
        </w:rPr>
        <w:t>设抗凝专科用药咨询门诊，提供个性化药学服务，做到专病专项诊治。通过药学信息服务、</w:t>
      </w:r>
      <w:r>
        <w:rPr/>
        <w:t>药讯、不良反应监测上报等，保障用药安全。</w:t>
      </w:r>
    </w:p>
    <w:p>
      <w:pPr>
        <w:pStyle w:val="BodyText"/>
        <w:spacing w:line="312" w:lineRule="auto" w:before="2"/>
        <w:ind w:right="386" w:firstLine="480"/>
        <w:jc w:val="both"/>
      </w:pPr>
      <w:r>
        <w:rPr>
          <w:spacing w:val="-8"/>
        </w:rPr>
        <w:t>注重学科建设与人才培养，每年指导本科生毕业设计 </w:t>
      </w:r>
      <w:r>
        <w:rPr/>
        <w:t>10-20</w:t>
      </w:r>
      <w:r>
        <w:rPr>
          <w:spacing w:val="-13"/>
        </w:rPr>
        <w:t> 人，原国家卫计委临床药师</w:t>
      </w:r>
      <w:r>
        <w:rPr>
          <w:spacing w:val="-9"/>
        </w:rPr>
        <w:t>规培基地开设抗感染、消化、心血管、抗凝、疼痛、小儿内科、通科等专业，培训及在培全</w:t>
      </w:r>
      <w:r>
        <w:rPr>
          <w:spacing w:val="-16"/>
        </w:rPr>
        <w:t>国学员 </w:t>
      </w:r>
      <w:r>
        <w:rPr/>
        <w:t>70</w:t>
      </w:r>
      <w:r>
        <w:rPr>
          <w:spacing w:val="-15"/>
        </w:rPr>
        <w:t> 余名。</w:t>
      </w:r>
    </w:p>
    <w:p>
      <w:pPr>
        <w:pStyle w:val="BodyText"/>
        <w:spacing w:line="312" w:lineRule="auto" w:before="1"/>
        <w:ind w:right="465" w:firstLine="480"/>
        <w:jc w:val="both"/>
      </w:pPr>
      <w:r>
        <w:rPr>
          <w:spacing w:val="-4"/>
        </w:rPr>
        <w:t>主持国家级、省级及医院科研课题 </w:t>
      </w:r>
      <w:r>
        <w:rPr/>
        <w:t>5</w:t>
      </w:r>
      <w:r>
        <w:rPr>
          <w:spacing w:val="-12"/>
        </w:rPr>
        <w:t> 项，参与国家自然科学基金 </w:t>
      </w:r>
      <w:r>
        <w:rPr/>
        <w:t>2</w:t>
      </w:r>
      <w:r>
        <w:rPr>
          <w:spacing w:val="-14"/>
        </w:rPr>
        <w:t> 项，共发表论文 </w:t>
      </w:r>
      <w:r>
        <w:rPr>
          <w:spacing w:val="-8"/>
        </w:rPr>
        <w:t>40 </w:t>
      </w:r>
      <w:r>
        <w:rPr/>
        <w:t>余篇，SCI</w:t>
      </w:r>
      <w:r>
        <w:rPr>
          <w:spacing w:val="-31"/>
        </w:rPr>
        <w:t> 收录 </w:t>
      </w:r>
      <w:r>
        <w:rPr/>
        <w:t>15</w:t>
      </w:r>
      <w:r>
        <w:rPr>
          <w:spacing w:val="-20"/>
        </w:rPr>
        <w:t> 篇(一作 </w:t>
      </w:r>
      <w:r>
        <w:rPr/>
        <w:t>SCI</w:t>
      </w:r>
      <w:r>
        <w:rPr>
          <w:spacing w:val="-30"/>
        </w:rPr>
        <w:t> 论文 </w:t>
      </w:r>
      <w:r>
        <w:rPr/>
        <w:t>7</w:t>
      </w:r>
      <w:r>
        <w:rPr>
          <w:spacing w:val="-15"/>
        </w:rPr>
        <w:t> 篇)。</w:t>
      </w:r>
    </w:p>
    <w:p>
      <w:pPr>
        <w:pStyle w:val="BodyText"/>
        <w:spacing w:line="312" w:lineRule="auto"/>
        <w:ind w:right="386" w:firstLine="480"/>
        <w:jc w:val="both"/>
      </w:pPr>
      <w:r>
        <w:rPr>
          <w:spacing w:val="-5"/>
        </w:rPr>
        <w:t>荣获陕西省科学技术一等奖 </w:t>
      </w:r>
      <w:r>
        <w:rPr/>
        <w:t>1</w:t>
      </w:r>
      <w:r>
        <w:rPr>
          <w:spacing w:val="-16"/>
        </w:rPr>
        <w:t> 项，军队科学技术进步三等奖 </w:t>
      </w:r>
      <w:r>
        <w:rPr/>
        <w:t>1</w:t>
      </w:r>
      <w:r>
        <w:rPr>
          <w:spacing w:val="-14"/>
        </w:rPr>
        <w:t> 项，陕西省青年科技新星</w:t>
      </w:r>
      <w:r>
        <w:rPr/>
        <w:t>等荣誉。</w:t>
      </w:r>
    </w:p>
    <w:p>
      <w:pPr>
        <w:pStyle w:val="BodyText"/>
        <w:spacing w:line="312" w:lineRule="auto" w:before="1"/>
        <w:ind w:right="387" w:firstLine="480"/>
        <w:jc w:val="both"/>
      </w:pPr>
      <w:r>
        <w:rPr>
          <w:spacing w:val="-6"/>
        </w:rPr>
        <w:t>兼任中国心胸血管麻醉学会心血管药学分会全国委员，陕西省药理学会临床药理学专业</w:t>
      </w:r>
      <w:r>
        <w:rPr>
          <w:spacing w:val="-9"/>
        </w:rPr>
        <w:t>委员会常务委员、个体化用药专业委员会委员、药学监护专业委员会委员，陕西省整合营养学会理事，西安市药械安全监测评价工作专家库专家，西安医学会临床药学分会委员，《医</w:t>
      </w:r>
      <w:r>
        <w:rPr/>
        <w:t>药导报》及《中国医院药学》杂志编委。</w:t>
      </w:r>
    </w:p>
    <w:p>
      <w:pPr>
        <w:pStyle w:val="Heading3"/>
        <w:spacing w:line="419" w:lineRule="exact"/>
        <w:rPr>
          <w:rFonts w:ascii="Meiryo" w:eastAsia="Meiryo" w:hint="eastAsia"/>
        </w:rPr>
      </w:pPr>
      <w:r>
        <w:rPr>
          <w:rFonts w:ascii="华文楷体" w:eastAsia="华文楷体" w:hint="eastAsia"/>
          <w:color w:val="006FC0"/>
        </w:rPr>
        <w:t>以上药师荣获 2018 年中国药学会优秀药师</w:t>
      </w:r>
      <w:r>
        <w:rPr>
          <w:rFonts w:ascii="Meiryo" w:eastAsia="Meiryo" w:hint="eastAsia"/>
          <w:color w:val="0033CC"/>
        </w:rPr>
        <w:t>[返回目次]</w:t>
      </w:r>
    </w:p>
    <w:p>
      <w:pPr>
        <w:pStyle w:val="Heading2"/>
        <w:spacing w:before="214"/>
        <w:ind w:left="277"/>
      </w:pPr>
      <w:bookmarkStart w:name="_TOC_250002" w:id="23"/>
      <w:bookmarkEnd w:id="23"/>
      <w:r>
        <w:rPr/>
        <w:t>【优秀药师经验分享】</w:t>
      </w:r>
    </w:p>
    <w:p>
      <w:pPr>
        <w:pStyle w:val="BodyText"/>
        <w:spacing w:before="6"/>
        <w:ind w:left="0"/>
        <w:rPr>
          <w:b/>
          <w:sz w:val="22"/>
        </w:rPr>
      </w:pPr>
    </w:p>
    <w:p>
      <w:pPr>
        <w:pStyle w:val="Heading2"/>
        <w:ind w:right="238"/>
        <w:jc w:val="center"/>
      </w:pPr>
      <w:bookmarkStart w:name="_TOC_250001" w:id="24"/>
      <w:bookmarkEnd w:id="24"/>
      <w:r>
        <w:rPr/>
        <w:t>高水平的药学科研有什么特点？临床是根本！</w:t>
      </w:r>
    </w:p>
    <w:p>
      <w:pPr>
        <w:pStyle w:val="BodyText"/>
        <w:spacing w:before="7"/>
        <w:ind w:left="0"/>
        <w:rPr>
          <w:b/>
          <w:sz w:val="23"/>
        </w:rPr>
      </w:pPr>
    </w:p>
    <w:p>
      <w:pPr>
        <w:tabs>
          <w:tab w:pos="3088" w:val="left" w:leader="none"/>
          <w:tab w:pos="6282" w:val="left" w:leader="none"/>
        </w:tabs>
        <w:spacing w:line="326" w:lineRule="auto" w:before="0"/>
        <w:ind w:left="759" w:right="388" w:firstLine="3956"/>
        <w:jc w:val="left"/>
        <w:rPr>
          <w:rFonts w:ascii="楷体" w:eastAsia="楷体" w:hint="eastAsia"/>
          <w:b/>
          <w:sz w:val="24"/>
        </w:rPr>
      </w:pPr>
      <w:r>
        <w:rPr>
          <w:rFonts w:ascii="楷体" w:eastAsia="楷体" w:hint="eastAsia"/>
          <w:b/>
          <w:color w:val="FF0000"/>
          <w:sz w:val="24"/>
        </w:rPr>
        <w:t>（来源：中国药学会科技开发中心微信公众号</w:t>
      </w:r>
      <w:r>
        <w:rPr>
          <w:rFonts w:ascii="楷体" w:eastAsia="楷体" w:hint="eastAsia"/>
          <w:b/>
          <w:color w:val="FF0000"/>
          <w:spacing w:val="-15"/>
          <w:sz w:val="24"/>
        </w:rPr>
        <w:t>） </w:t>
      </w:r>
      <w:r>
        <w:rPr>
          <w:rFonts w:ascii="楷体" w:eastAsia="楷体" w:hint="eastAsia"/>
          <w:b/>
          <w:sz w:val="24"/>
        </w:rPr>
        <w:t>访谈人物：</w:t>
      </w:r>
      <w:r>
        <w:rPr>
          <w:rFonts w:ascii="楷体" w:eastAsia="楷体" w:hint="eastAsia"/>
          <w:b/>
          <w:spacing w:val="38"/>
          <w:sz w:val="24"/>
        </w:rPr>
        <w:t> </w:t>
      </w:r>
      <w:r>
        <w:rPr>
          <w:rFonts w:ascii="楷体" w:eastAsia="楷体" w:hint="eastAsia"/>
          <w:b/>
          <w:sz w:val="24"/>
        </w:rPr>
        <w:t>方晴霞</w:t>
        <w:tab/>
        <w:t>2018</w:t>
      </w:r>
      <w:r>
        <w:rPr>
          <w:rFonts w:ascii="楷体" w:eastAsia="楷体" w:hint="eastAsia"/>
          <w:b/>
          <w:spacing w:val="-61"/>
          <w:sz w:val="24"/>
        </w:rPr>
        <w:t> </w:t>
      </w:r>
      <w:r>
        <w:rPr>
          <w:rFonts w:ascii="楷体" w:eastAsia="楷体" w:hint="eastAsia"/>
          <w:b/>
          <w:sz w:val="24"/>
        </w:rPr>
        <w:t>年中国药学会优秀药师</w:t>
        <w:tab/>
        <w:t>浙江省人民医院药学部主任</w:t>
      </w:r>
      <w:r>
        <w:rPr>
          <w:rFonts w:ascii="楷体" w:eastAsia="楷体" w:hint="eastAsia"/>
          <w:b/>
          <w:spacing w:val="-1"/>
          <w:sz w:val="24"/>
        </w:rPr>
        <w:t> </w:t>
      </w:r>
      <w:r>
        <w:rPr>
          <w:rFonts w:ascii="楷体" w:eastAsia="楷体" w:hint="eastAsia"/>
          <w:b/>
          <w:sz w:val="24"/>
        </w:rPr>
        <w:t>主</w:t>
      </w:r>
      <w:r>
        <w:rPr>
          <w:rFonts w:ascii="楷体" w:eastAsia="楷体" w:hint="eastAsia"/>
          <w:b/>
          <w:spacing w:val="-16"/>
          <w:sz w:val="24"/>
        </w:rPr>
        <w:t>任</w:t>
      </w:r>
    </w:p>
    <w:p>
      <w:pPr>
        <w:spacing w:before="49"/>
        <w:ind w:left="277" w:right="0" w:firstLine="0"/>
        <w:jc w:val="left"/>
        <w:rPr>
          <w:rFonts w:ascii="楷体" w:eastAsia="楷体" w:hint="eastAsia"/>
          <w:b/>
          <w:sz w:val="24"/>
        </w:rPr>
      </w:pPr>
      <w:r>
        <w:rPr>
          <w:rFonts w:ascii="楷体" w:eastAsia="楷体" w:hint="eastAsia"/>
          <w:b/>
          <w:sz w:val="24"/>
        </w:rPr>
        <w:t>药师</w:t>
      </w:r>
    </w:p>
    <w:p>
      <w:pPr>
        <w:spacing w:before="161"/>
        <w:ind w:left="759" w:right="0" w:firstLine="0"/>
        <w:jc w:val="left"/>
        <w:rPr>
          <w:b/>
          <w:sz w:val="24"/>
        </w:rPr>
      </w:pPr>
      <w:r>
        <w:rPr>
          <w:b/>
          <w:sz w:val="24"/>
        </w:rPr>
        <w:t>新医改背景下如何提高医院药事管理的水平？</w:t>
      </w:r>
    </w:p>
    <w:p>
      <w:pPr>
        <w:spacing w:after="0"/>
        <w:jc w:val="left"/>
        <w:rPr>
          <w:sz w:val="24"/>
        </w:rPr>
        <w:sectPr>
          <w:pgSz w:w="11910" w:h="16850"/>
          <w:pgMar w:header="906" w:footer="607" w:top="1100" w:bottom="800" w:left="1000" w:right="740"/>
        </w:sectPr>
      </w:pPr>
    </w:p>
    <w:p>
      <w:pPr>
        <w:pStyle w:val="BodyText"/>
        <w:spacing w:line="312" w:lineRule="auto" w:before="79"/>
        <w:ind w:right="287" w:firstLine="480"/>
      </w:pPr>
      <w:r>
        <w:rPr>
          <w:spacing w:val="-7"/>
        </w:rPr>
        <w:t>随着医改的不断深入，药学学科发展面临着机遇与危机，如能主动调整转型，重新审视</w:t>
      </w:r>
      <w:r>
        <w:rPr>
          <w:spacing w:val="-8"/>
        </w:rPr>
        <w:t>学科内涵，重拾专业技术，适应和服务“新医改”的需要，便可为药学学科发展赢得胜机。</w:t>
      </w:r>
    </w:p>
    <w:p>
      <w:pPr>
        <w:pStyle w:val="BodyText"/>
        <w:spacing w:line="312" w:lineRule="auto"/>
        <w:ind w:right="387" w:firstLine="480"/>
      </w:pPr>
      <w:r>
        <w:rPr>
          <w:spacing w:val="-11"/>
        </w:rPr>
        <w:t>近几年，我们医院从人员管理、质量管理两条线着手，逐渐形成了一套以患者为中心的</w:t>
      </w:r>
      <w:r>
        <w:rPr/>
        <w:t>药事管理模式。</w:t>
      </w:r>
    </w:p>
    <w:p>
      <w:pPr>
        <w:pStyle w:val="BodyText"/>
        <w:spacing w:line="312" w:lineRule="auto"/>
        <w:ind w:right="270" w:firstLine="480"/>
      </w:pPr>
      <w:r>
        <w:rPr>
          <w:spacing w:val="-16"/>
        </w:rPr>
        <w:t>在人员管理方面，建立多元化多层次人力结构建设，调动员工积极性，增加岗位危机感， </w:t>
      </w:r>
      <w:r>
        <w:rPr>
          <w:spacing w:val="-8"/>
        </w:rPr>
        <w:t>提升自身的核心竞争力。我们构建了“四结合”人员体系，将多层次人才与多样化队伍相结</w:t>
      </w:r>
      <w:r>
        <w:rPr>
          <w:spacing w:val="-10"/>
        </w:rPr>
        <w:t>合，医院药师再教育与药学技工培养相结合，岗位竞聘与岗位述职相结合，岗前培训与资格认定相结合，提升核心竞争力。</w:t>
      </w:r>
    </w:p>
    <w:p>
      <w:pPr>
        <w:pStyle w:val="BodyText"/>
        <w:spacing w:line="312" w:lineRule="auto" w:before="1"/>
        <w:ind w:right="387" w:firstLine="480"/>
        <w:jc w:val="both"/>
      </w:pPr>
      <w:r>
        <w:rPr/>
        <w:t>此外，建立高素质的以患者为中心的临床药学团队，在“互联网+”的信息化建设中， </w:t>
      </w:r>
      <w:r>
        <w:rPr>
          <w:spacing w:val="-11"/>
        </w:rPr>
        <w:t>创新“主动前置，事后闭环”的学科体系，构建信息化平台服务体系，提升临床药学“主动</w:t>
      </w:r>
      <w:r>
        <w:rPr/>
        <w:t>服务”的能力。</w:t>
      </w:r>
    </w:p>
    <w:p>
      <w:pPr>
        <w:pStyle w:val="BodyText"/>
        <w:spacing w:line="312" w:lineRule="auto" w:before="2"/>
        <w:ind w:right="390" w:firstLine="480"/>
        <w:jc w:val="both"/>
      </w:pPr>
      <w:r>
        <w:rPr>
          <w:spacing w:val="-8"/>
        </w:rPr>
        <w:t>在质量管理方面，建立医疗联合体内的药学服务标准或规范；探索建立“纵横交错、重</w:t>
      </w:r>
      <w:r>
        <w:rPr>
          <w:spacing w:val="-11"/>
        </w:rPr>
        <w:t>点监控”的质控体系；构建规范化、同质化的药学服务体系，推进医疗联合体和分级诊疗建</w:t>
      </w:r>
      <w:r>
        <w:rPr/>
        <w:t>设。</w:t>
      </w:r>
    </w:p>
    <w:p>
      <w:pPr>
        <w:pStyle w:val="Heading3"/>
        <w:spacing w:before="1"/>
        <w:ind w:left="759"/>
      </w:pPr>
      <w:r>
        <w:rPr/>
        <w:t>如何利用药学信息化建设推动药学工作？</w:t>
      </w:r>
    </w:p>
    <w:p>
      <w:pPr>
        <w:pStyle w:val="BodyText"/>
        <w:spacing w:line="312" w:lineRule="auto" w:before="93"/>
        <w:ind w:right="387" w:firstLine="480"/>
      </w:pPr>
      <w:r>
        <w:rPr>
          <w:spacing w:val="-10"/>
        </w:rPr>
        <w:t>长期以来，我国医院药学以窗口配发为起点，以保证供给为终点的被动模式，严重地制</w:t>
      </w:r>
      <w:r>
        <w:rPr/>
        <w:t>约了医院药学的发展。</w:t>
      </w:r>
    </w:p>
    <w:p>
      <w:pPr>
        <w:pStyle w:val="BodyText"/>
        <w:spacing w:line="312" w:lineRule="auto"/>
        <w:ind w:right="287" w:firstLine="480"/>
      </w:pPr>
      <w:r>
        <w:rPr>
          <w:spacing w:val="-5"/>
        </w:rPr>
        <w:t>随着医改的不断深入和科学技术的进步，新时期医院药学工作的重心应从“以药品为中</w:t>
      </w:r>
      <w:r>
        <w:rPr>
          <w:spacing w:val="-6"/>
        </w:rPr>
        <w:t>心”向“以患者为中心”“以合理用药为核心”转变。因此，加强医院药学的信息化管理， </w:t>
      </w:r>
      <w:r>
        <w:rPr/>
        <w:t>对医院药事管理乃至整个医院的发展都具有深远的意义。</w:t>
      </w:r>
    </w:p>
    <w:p>
      <w:pPr>
        <w:pStyle w:val="BodyText"/>
        <w:spacing w:line="312" w:lineRule="auto" w:before="1"/>
        <w:ind w:right="388" w:firstLine="480"/>
      </w:pPr>
      <w:r>
        <w:rPr>
          <w:spacing w:val="-7"/>
        </w:rPr>
        <w:t>医院药学信息化管理应涵盖药品供应、管理、配发、监护等方面，并且其数据挖掘功能</w:t>
      </w:r>
      <w:r>
        <w:rPr/>
        <w:t>要为管理者提供决策支持。</w:t>
      </w:r>
    </w:p>
    <w:p>
      <w:pPr>
        <w:pStyle w:val="BodyText"/>
        <w:spacing w:line="312" w:lineRule="auto"/>
        <w:ind w:right="390" w:firstLine="480"/>
        <w:jc w:val="both"/>
      </w:pPr>
      <w:r>
        <w:rPr>
          <w:spacing w:val="-9"/>
        </w:rPr>
        <w:t>我们医院早在 </w:t>
      </w:r>
      <w:r>
        <w:rPr/>
        <w:t>2008</w:t>
      </w:r>
      <w:r>
        <w:rPr>
          <w:spacing w:val="-8"/>
        </w:rPr>
        <w:t> 年就陆续引进了单剂量自动分包机、门诊自动发药机、药品物流配</w:t>
      </w:r>
      <w:r>
        <w:rPr>
          <w:spacing w:val="-13"/>
        </w:rPr>
        <w:t>送系统和“三流合一”药品采购平台，不仅大大提高了药品调剂的准确性和高效性，更将大</w:t>
      </w:r>
      <w:r>
        <w:rPr/>
        <w:t>量的药师从日常繁琐的工作中脱离出来，为药师床边服务做好人才储备。</w:t>
      </w:r>
    </w:p>
    <w:p>
      <w:pPr>
        <w:pStyle w:val="BodyText"/>
        <w:spacing w:line="312" w:lineRule="auto"/>
        <w:ind w:right="387" w:firstLine="480"/>
        <w:jc w:val="both"/>
      </w:pPr>
      <w:r>
        <w:rPr>
          <w:spacing w:val="-10"/>
        </w:rPr>
        <w:t>近几年，我们更是大力研发智能处方审核系统、临床药师工作站、合理用药系统等。保</w:t>
      </w:r>
      <w:r>
        <w:rPr>
          <w:spacing w:val="-7"/>
        </w:rPr>
        <w:t>证每一张处方都有药师事先审核，每一个疑难病人都有药师参与会诊，极大地提高了医院药</w:t>
      </w:r>
      <w:r>
        <w:rPr/>
        <w:t>学服务能力。</w:t>
      </w:r>
    </w:p>
    <w:p>
      <w:pPr>
        <w:pStyle w:val="BodyText"/>
        <w:spacing w:line="312" w:lineRule="auto" w:before="2"/>
        <w:ind w:right="387" w:firstLine="480"/>
        <w:jc w:val="both"/>
      </w:pPr>
      <w:r>
        <w:rPr>
          <w:spacing w:val="-6"/>
        </w:rPr>
        <w:t>当然随着人工智能和信息化发展的日新月异，医院信息化建设也面临着多重挑战，但我</w:t>
      </w:r>
      <w:r>
        <w:rPr>
          <w:spacing w:val="-8"/>
        </w:rPr>
        <w:t>们乐于接受这样的挑战，因为这将极大地提升整个药学工作发展的高度，提升医院药学服务</w:t>
      </w:r>
      <w:r>
        <w:rPr/>
        <w:t>在整个医疗服务体系中的地位。</w:t>
      </w:r>
    </w:p>
    <w:p>
      <w:pPr>
        <w:spacing w:line="312" w:lineRule="auto" w:before="0"/>
        <w:ind w:left="757" w:right="5551" w:firstLine="2"/>
        <w:jc w:val="left"/>
        <w:rPr>
          <w:sz w:val="24"/>
        </w:rPr>
      </w:pPr>
      <w:r>
        <w:rPr>
          <w:b/>
          <w:sz w:val="24"/>
        </w:rPr>
        <w:t>优秀药师应具备的职业素养有哪些？ </w:t>
      </w:r>
      <w:r>
        <w:rPr>
          <w:sz w:val="24"/>
        </w:rPr>
        <w:t>1.职业梦想</w:t>
      </w:r>
    </w:p>
    <w:p>
      <w:pPr>
        <w:pStyle w:val="BodyText"/>
        <w:spacing w:line="312" w:lineRule="auto" w:before="2"/>
        <w:ind w:right="387" w:firstLine="480"/>
      </w:pPr>
      <w:r>
        <w:rPr>
          <w:spacing w:val="-6"/>
        </w:rPr>
        <w:t>药师的职业素质首先体现为对职业梦想的追求，把患者的用药安全放在首位，充分发挥</w:t>
      </w:r>
      <w:r>
        <w:rPr/>
        <w:t>药学技能，与医疗团队紧密合作，提供优质高效的药学服务。</w:t>
      </w:r>
    </w:p>
    <w:p>
      <w:pPr>
        <w:pStyle w:val="ListParagraph"/>
        <w:numPr>
          <w:ilvl w:val="0"/>
          <w:numId w:val="13"/>
        </w:numPr>
        <w:tabs>
          <w:tab w:pos="999" w:val="left" w:leader="none"/>
        </w:tabs>
        <w:spacing w:line="240" w:lineRule="auto" w:before="0" w:after="0"/>
        <w:ind w:left="998" w:right="0" w:hanging="242"/>
        <w:jc w:val="left"/>
        <w:rPr>
          <w:sz w:val="24"/>
        </w:rPr>
      </w:pPr>
      <w:r>
        <w:rPr>
          <w:sz w:val="24"/>
        </w:rPr>
        <w:t>职业态度</w:t>
      </w:r>
    </w:p>
    <w:p>
      <w:pPr>
        <w:spacing w:after="0" w:line="240" w:lineRule="auto"/>
        <w:jc w:val="left"/>
        <w:rPr>
          <w:sz w:val="24"/>
        </w:rPr>
        <w:sectPr>
          <w:pgSz w:w="11910" w:h="16850"/>
          <w:pgMar w:header="906" w:footer="607" w:top="1100" w:bottom="800" w:left="1000" w:right="740"/>
        </w:sectPr>
      </w:pPr>
    </w:p>
    <w:p>
      <w:pPr>
        <w:pStyle w:val="BodyText"/>
        <w:spacing w:line="312" w:lineRule="auto" w:before="79"/>
        <w:ind w:right="387" w:firstLine="480"/>
      </w:pPr>
      <w:r>
        <w:rPr>
          <w:spacing w:val="-7"/>
        </w:rPr>
        <w:t>职业态度是实现职业梦想的动力。正确的职业态度可以促进药师工作的积极性，是做好</w:t>
      </w:r>
      <w:r>
        <w:rPr/>
        <w:t>药学服务的源泉和动力。</w:t>
      </w:r>
    </w:p>
    <w:p>
      <w:pPr>
        <w:pStyle w:val="ListParagraph"/>
        <w:numPr>
          <w:ilvl w:val="0"/>
          <w:numId w:val="13"/>
        </w:numPr>
        <w:tabs>
          <w:tab w:pos="999" w:val="left" w:leader="none"/>
        </w:tabs>
        <w:spacing w:line="240" w:lineRule="auto" w:before="0" w:after="0"/>
        <w:ind w:left="998" w:right="0" w:hanging="242"/>
        <w:jc w:val="left"/>
        <w:rPr>
          <w:sz w:val="24"/>
        </w:rPr>
      </w:pPr>
      <w:r>
        <w:rPr>
          <w:sz w:val="24"/>
        </w:rPr>
        <w:t>职业责任</w:t>
      </w:r>
    </w:p>
    <w:p>
      <w:pPr>
        <w:pStyle w:val="BodyText"/>
        <w:spacing w:line="312" w:lineRule="auto" w:before="93"/>
        <w:ind w:right="287" w:firstLine="480"/>
      </w:pPr>
      <w:r>
        <w:rPr/>
        <w:t>职业责任是实现职业梦想的必要保障。责任意识可以引领药师在工作中自觉履行义务， 想患者之所想，将患者的利益放在第一位。</w:t>
      </w:r>
    </w:p>
    <w:p>
      <w:pPr>
        <w:pStyle w:val="ListParagraph"/>
        <w:numPr>
          <w:ilvl w:val="0"/>
          <w:numId w:val="13"/>
        </w:numPr>
        <w:tabs>
          <w:tab w:pos="999" w:val="left" w:leader="none"/>
        </w:tabs>
        <w:spacing w:line="307" w:lineRule="exact" w:before="0" w:after="0"/>
        <w:ind w:left="998" w:right="0" w:hanging="242"/>
        <w:jc w:val="left"/>
        <w:rPr>
          <w:sz w:val="24"/>
        </w:rPr>
      </w:pPr>
      <w:r>
        <w:rPr>
          <w:sz w:val="24"/>
        </w:rPr>
        <w:t>职业技能</w:t>
      </w:r>
    </w:p>
    <w:p>
      <w:pPr>
        <w:pStyle w:val="BodyText"/>
        <w:spacing w:line="312" w:lineRule="auto" w:before="94"/>
        <w:ind w:right="387" w:firstLine="480"/>
      </w:pPr>
      <w:r>
        <w:rPr>
          <w:spacing w:val="-6"/>
        </w:rPr>
        <w:t>职业技能是实现职业梦想的必备条件。优秀的药师有扎实的专业技能，能通过自身丰富</w:t>
      </w:r>
      <w:r>
        <w:rPr/>
        <w:t>的药学知识开展药学监护、药学干预、药物治疗方案制定、慢病管理等药学特色服务。</w:t>
      </w:r>
    </w:p>
    <w:p>
      <w:pPr>
        <w:pStyle w:val="ListParagraph"/>
        <w:numPr>
          <w:ilvl w:val="0"/>
          <w:numId w:val="13"/>
        </w:numPr>
        <w:tabs>
          <w:tab w:pos="999" w:val="left" w:leader="none"/>
        </w:tabs>
        <w:spacing w:line="307" w:lineRule="exact" w:before="0" w:after="0"/>
        <w:ind w:left="998" w:right="0" w:hanging="242"/>
        <w:jc w:val="left"/>
        <w:rPr>
          <w:sz w:val="24"/>
        </w:rPr>
      </w:pPr>
      <w:r>
        <w:rPr>
          <w:sz w:val="24"/>
        </w:rPr>
        <w:t>职业创新</w:t>
      </w:r>
    </w:p>
    <w:p>
      <w:pPr>
        <w:pStyle w:val="BodyText"/>
        <w:spacing w:line="312" w:lineRule="auto" w:before="94"/>
        <w:ind w:right="269" w:firstLine="480"/>
      </w:pPr>
      <w:r>
        <w:rPr>
          <w:spacing w:val="-11"/>
        </w:rPr>
        <w:t>职业创新是实现职业梦想的灵魂。药师应传承优良药学传统，创新工作模式，与时俱进， </w:t>
      </w:r>
      <w:r>
        <w:rPr/>
        <w:t>积极交流互鉴，共筑药师的职业梦想。</w:t>
      </w:r>
    </w:p>
    <w:p>
      <w:pPr>
        <w:pStyle w:val="Heading3"/>
        <w:spacing w:line="307" w:lineRule="exact"/>
        <w:ind w:left="759"/>
      </w:pPr>
      <w:r>
        <w:rPr>
          <w:w w:val="95"/>
        </w:rPr>
        <w:t>药师开展科研项目着力点有哪些？</w:t>
      </w:r>
    </w:p>
    <w:p>
      <w:pPr>
        <w:pStyle w:val="BodyText"/>
        <w:spacing w:line="312" w:lineRule="auto" w:before="93"/>
        <w:ind w:right="386" w:firstLine="480"/>
        <w:jc w:val="both"/>
      </w:pPr>
      <w:r>
        <w:rPr>
          <w:spacing w:val="-6"/>
        </w:rPr>
        <w:t>医疗机构药学科研的工作特点就是与临床结合紧密。相对于科研院所，医疗机构药学科</w:t>
      </w:r>
      <w:r>
        <w:rPr>
          <w:spacing w:val="-7"/>
        </w:rPr>
        <w:t>研的最大优势就是贴近临床，拥有丰富的临床信息与资源，可以借助“源于临床-证于实验- </w:t>
      </w:r>
      <w:r>
        <w:rPr>
          <w:spacing w:val="-10"/>
        </w:rPr>
        <w:t>归于临床”的科研发展思路来设计高水平的药学科研项目，赢得学术独创性与学科品牌。因</w:t>
      </w:r>
      <w:r>
        <w:rPr/>
        <w:t>此，要结合临床实际工作需要开展药学科研项目设计，做到有的放矢，突出针对性。</w:t>
      </w:r>
    </w:p>
    <w:p>
      <w:pPr>
        <w:pStyle w:val="BodyText"/>
        <w:spacing w:line="312" w:lineRule="auto"/>
        <w:ind w:right="387" w:firstLine="480"/>
        <w:jc w:val="both"/>
      </w:pPr>
      <w:r>
        <w:rPr>
          <w:spacing w:val="-6"/>
        </w:rPr>
        <w:t>医疗机构药学科研应在临床实践中寻找突破点，在临床实践中寻找与药学相关的科研项</w:t>
      </w:r>
      <w:r>
        <w:rPr>
          <w:spacing w:val="-12"/>
        </w:rPr>
        <w:t>目，从实际出发，扬长避短，才有可能取得较好的科研成果。例如开展适合于中国人群的药</w:t>
      </w:r>
      <w:r>
        <w:rPr>
          <w:spacing w:val="-11"/>
        </w:rPr>
        <w:t>物剂量、有效性等前瞻性研究；针对国际上争议较大、不良反应报道较多或带有人群特征的</w:t>
      </w:r>
      <w:r>
        <w:rPr>
          <w:spacing w:val="-9"/>
        </w:rPr>
        <w:t>药物，开展临床随机对照试验；针对传统中医药与现代西医药，开展临床病例对照研究；针对患者人群，开展特殊用药的药动学和药效学研究等。</w:t>
      </w:r>
    </w:p>
    <w:p>
      <w:pPr>
        <w:pStyle w:val="BodyText"/>
        <w:spacing w:line="312" w:lineRule="auto" w:before="2"/>
        <w:ind w:right="387" w:firstLine="480"/>
        <w:jc w:val="both"/>
      </w:pPr>
      <w:r>
        <w:rPr>
          <w:spacing w:val="-7"/>
        </w:rPr>
        <w:t>基于临床实践进行药学科研，既有利于彰显临床特色与优势，更有利于产生高质量的科</w:t>
      </w:r>
      <w:r>
        <w:rPr>
          <w:spacing w:val="-8"/>
        </w:rPr>
        <w:t>研成果与高水平学术论文，甚至还有可能改变临床用药指南，充分体现医改背景下的临床药</w:t>
      </w:r>
      <w:r>
        <w:rPr/>
        <w:t>师新专业水准与临床参与度。</w:t>
      </w:r>
    </w:p>
    <w:p>
      <w:pPr>
        <w:pStyle w:val="BodyText"/>
        <w:spacing w:before="1"/>
        <w:ind w:left="757"/>
      </w:pPr>
      <w:r>
        <w:rPr/>
        <w:t>总之，在医疗机构药学科研中要坚持“以临床为基础，以患者为中心，以合理用药为导</w:t>
      </w:r>
    </w:p>
    <w:p>
      <w:pPr>
        <w:pStyle w:val="BodyText"/>
        <w:spacing w:line="206" w:lineRule="auto" w:before="85"/>
        <w:ind w:right="400"/>
        <w:rPr>
          <w:rFonts w:ascii="Meiryo" w:hAnsi="Meiryo" w:eastAsia="Meiryo" w:hint="eastAsia"/>
          <w:b/>
        </w:rPr>
      </w:pPr>
      <w:r>
        <w:rPr/>
        <w:t>向”的现代医疗机构药学科研，做到科研思路来自于临床，科研成果服务于临床！</w:t>
      </w:r>
      <w:r>
        <w:rPr>
          <w:rFonts w:ascii="Meiryo" w:hAnsi="Meiryo" w:eastAsia="Meiryo" w:hint="eastAsia"/>
          <w:b/>
          <w:color w:val="0033CC"/>
        </w:rPr>
        <w:t>[返回目次]</w:t>
      </w:r>
    </w:p>
    <w:p>
      <w:pPr>
        <w:pStyle w:val="BodyText"/>
        <w:spacing w:before="12"/>
        <w:ind w:left="0"/>
        <w:rPr>
          <w:rFonts w:ascii="Meiryo"/>
          <w:b/>
          <w:sz w:val="11"/>
        </w:rPr>
      </w:pPr>
    </w:p>
    <w:p>
      <w:pPr>
        <w:pStyle w:val="Heading2"/>
        <w:ind w:right="237"/>
        <w:jc w:val="center"/>
      </w:pPr>
      <w:bookmarkStart w:name="_TOC_250000" w:id="25"/>
      <w:bookmarkEnd w:id="25"/>
      <w:r>
        <w:rPr/>
        <w:t>以信任铸造药师之魂，把希望送到患者身边</w:t>
      </w:r>
    </w:p>
    <w:p>
      <w:pPr>
        <w:pStyle w:val="BodyText"/>
        <w:spacing w:before="6"/>
        <w:ind w:left="0"/>
        <w:rPr>
          <w:b/>
          <w:sz w:val="23"/>
        </w:rPr>
      </w:pPr>
    </w:p>
    <w:p>
      <w:pPr>
        <w:pStyle w:val="Heading3"/>
        <w:tabs>
          <w:tab w:pos="2206" w:val="left" w:leader="none"/>
          <w:tab w:pos="3169" w:val="left" w:leader="none"/>
          <w:tab w:pos="6364" w:val="left" w:leader="none"/>
        </w:tabs>
        <w:spacing w:line="326" w:lineRule="auto"/>
        <w:ind w:left="759" w:right="388" w:firstLine="3956"/>
        <w:rPr>
          <w:rFonts w:ascii="楷体" w:eastAsia="楷体" w:hint="eastAsia"/>
        </w:rPr>
      </w:pPr>
      <w:r>
        <w:rPr>
          <w:rFonts w:ascii="楷体" w:eastAsia="楷体" w:hint="eastAsia"/>
          <w:color w:val="FF0000"/>
        </w:rPr>
        <w:t>（来源：中国药学会科技开发中心微信公众号</w:t>
      </w:r>
      <w:r>
        <w:rPr>
          <w:rFonts w:ascii="楷体" w:eastAsia="楷体" w:hint="eastAsia"/>
          <w:color w:val="FF0000"/>
          <w:spacing w:val="-15"/>
        </w:rPr>
        <w:t>） </w:t>
      </w:r>
      <w:r>
        <w:rPr>
          <w:rFonts w:ascii="楷体" w:eastAsia="楷体" w:hint="eastAsia"/>
        </w:rPr>
        <w:t>访谈人物：</w:t>
        <w:tab/>
        <w:t>刘美欣</w:t>
        <w:tab/>
        <w:t>2018</w:t>
      </w:r>
      <w:r>
        <w:rPr>
          <w:rFonts w:ascii="楷体" w:eastAsia="楷体" w:hint="eastAsia"/>
          <w:spacing w:val="-62"/>
        </w:rPr>
        <w:t> </w:t>
      </w:r>
      <w:r>
        <w:rPr>
          <w:rFonts w:ascii="楷体" w:eastAsia="楷体" w:hint="eastAsia"/>
        </w:rPr>
        <w:t>年中国药学会优秀药师</w:t>
        <w:tab/>
        <w:t>天津市眼科医院药剂科主任，药</w:t>
      </w:r>
    </w:p>
    <w:p>
      <w:pPr>
        <w:spacing w:before="49"/>
        <w:ind w:left="277" w:right="0" w:firstLine="0"/>
        <w:jc w:val="left"/>
        <w:rPr>
          <w:rFonts w:ascii="楷体" w:eastAsia="楷体" w:hint="eastAsia"/>
          <w:b/>
          <w:sz w:val="24"/>
        </w:rPr>
      </w:pPr>
      <w:r>
        <w:rPr>
          <w:rFonts w:ascii="楷体" w:eastAsia="楷体" w:hint="eastAsia"/>
          <w:b/>
          <w:sz w:val="24"/>
        </w:rPr>
        <w:t>物临床试验机构办公室主任，副主任药师</w:t>
      </w:r>
    </w:p>
    <w:p>
      <w:pPr>
        <w:spacing w:before="161"/>
        <w:ind w:left="759" w:right="0" w:firstLine="0"/>
        <w:jc w:val="left"/>
        <w:rPr>
          <w:b/>
          <w:sz w:val="24"/>
        </w:rPr>
      </w:pPr>
      <w:r>
        <w:rPr>
          <w:b/>
          <w:sz w:val="24"/>
        </w:rPr>
        <w:t>药学工作给您最深刻的体会和影响是什么？</w:t>
      </w:r>
    </w:p>
    <w:p>
      <w:pPr>
        <w:pStyle w:val="BodyText"/>
        <w:spacing w:line="312" w:lineRule="auto" w:before="94"/>
        <w:ind w:right="267" w:firstLine="480"/>
      </w:pPr>
      <w:r>
        <w:rPr/>
        <w:t>我在门诊药房窗口工作时，曾看到一位女性患者从窗口取完眼药水就马上躲到一个角 落，像用洗眼液一样一直往眼睛里灌注，几瓶眼药水一会儿的功夫已经用光，回头再挂号， </w:t>
      </w:r>
      <w:r>
        <w:rPr>
          <w:spacing w:val="-17"/>
        </w:rPr>
        <w:t>取眼药水。在她到窗口取药的时候，我问她为什么这样做，她回答我</w:t>
      </w:r>
      <w:r>
        <w:rPr>
          <w:spacing w:val="-24"/>
        </w:rPr>
        <w:t>：“这样觉得眼睛舒服。”</w:t>
      </w:r>
    </w:p>
    <w:p>
      <w:pPr>
        <w:spacing w:after="0" w:line="312" w:lineRule="auto"/>
        <w:sectPr>
          <w:pgSz w:w="11910" w:h="16850"/>
          <w:pgMar w:header="906" w:footer="607" w:top="1100" w:bottom="800" w:left="1000" w:right="740"/>
        </w:sectPr>
      </w:pPr>
    </w:p>
    <w:p>
      <w:pPr>
        <w:pStyle w:val="BodyText"/>
        <w:spacing w:line="312" w:lineRule="auto" w:before="79"/>
        <w:ind w:right="405" w:firstLine="480"/>
      </w:pPr>
      <w:r>
        <w:rPr>
          <w:spacing w:val="-5"/>
        </w:rPr>
        <w:t>这件事虽然已经过去将近 </w:t>
      </w:r>
      <w:r>
        <w:rPr/>
        <w:t>30</w:t>
      </w:r>
      <w:r>
        <w:rPr>
          <w:spacing w:val="-9"/>
        </w:rPr>
        <w:t> 年，但在我的脑海里深深打下了烙印——即使是眼科这样</w:t>
      </w:r>
      <w:r>
        <w:rPr/>
        <w:t>的小专科，患者也存在药物滥用的误区，也需要药师的专业指导。</w:t>
      </w:r>
    </w:p>
    <w:p>
      <w:pPr>
        <w:pStyle w:val="BodyText"/>
        <w:spacing w:line="312" w:lineRule="auto"/>
        <w:ind w:right="287" w:firstLine="480"/>
      </w:pPr>
      <w:r>
        <w:rPr>
          <w:spacing w:val="-1"/>
        </w:rPr>
        <w:t>从那时起，我就利用发药工作的间隙来学习，不仅学习药学知识，也学习眼科学知识， </w:t>
      </w:r>
      <w:r>
        <w:rPr>
          <w:spacing w:val="-6"/>
        </w:rPr>
        <w:t>立志成为一名眼科的临床药师。为了向临床医生宣传用药的法律法规及用药的合理性、安全</w:t>
      </w:r>
      <w:r>
        <w:rPr>
          <w:spacing w:val="-7"/>
        </w:rPr>
        <w:t>性，率先在医院里定期办起了《药学简讯》。同时，在医院网站发布安全用药的各种知识， </w:t>
      </w:r>
      <w:r>
        <w:rPr/>
        <w:t>利用纸媒、电台、电视向公众宣传眼科药物的安全使用知识，传播安全用药的理念。</w:t>
      </w:r>
    </w:p>
    <w:p>
      <w:pPr>
        <w:pStyle w:val="Heading3"/>
        <w:spacing w:before="2"/>
        <w:ind w:left="759"/>
      </w:pPr>
      <w:r>
        <w:rPr/>
        <w:t>对合理用药知识的科学普及有何建议？</w:t>
      </w:r>
    </w:p>
    <w:p>
      <w:pPr>
        <w:pStyle w:val="BodyText"/>
        <w:spacing w:line="312" w:lineRule="auto" w:before="91"/>
        <w:ind w:right="387" w:firstLine="480"/>
      </w:pPr>
      <w:r>
        <w:rPr>
          <w:spacing w:val="-10"/>
        </w:rPr>
        <w:t>以眼科为例，临床药师们在临床及药学咨询窗口的服务中，已经搜集了关于眼科药学的</w:t>
      </w:r>
      <w:r>
        <w:rPr/>
        <w:t>各种问题。这些从患者角度提出的问题，表达了他们对眼科用药知识的无限渴望。</w:t>
      </w:r>
    </w:p>
    <w:p>
      <w:pPr>
        <w:pStyle w:val="BodyText"/>
        <w:spacing w:line="312" w:lineRule="auto" w:before="2"/>
        <w:ind w:right="387" w:firstLine="480"/>
        <w:jc w:val="both"/>
      </w:pPr>
      <w:r>
        <w:rPr>
          <w:spacing w:val="-7"/>
        </w:rPr>
        <w:t>只是在解答患者问题的时候，由于存在自身知识、信息检索范围等差异，各地药师对同</w:t>
      </w:r>
      <w:r>
        <w:rPr>
          <w:spacing w:val="-9"/>
        </w:rPr>
        <w:t>一问题有不同回答，导致患者产生疑惑或对药师的不信任。这就需要将全国眼科药学的问题</w:t>
      </w:r>
      <w:r>
        <w:rPr/>
        <w:t>进行汇总，给出一个统一的、全面的回复。</w:t>
      </w:r>
    </w:p>
    <w:p>
      <w:pPr>
        <w:pStyle w:val="BodyText"/>
        <w:spacing w:before="1"/>
        <w:ind w:left="757"/>
      </w:pPr>
      <w:r>
        <w:rPr/>
        <w:t>中国药学会医院药学专业委员会眼科药学学组在唐细兰主委的领导下，已经着手编写</w:t>
      </w:r>
    </w:p>
    <w:p>
      <w:pPr>
        <w:pStyle w:val="BodyText"/>
        <w:spacing w:line="312" w:lineRule="auto" w:before="91"/>
        <w:ind w:right="390"/>
      </w:pPr>
      <w:r>
        <w:rPr>
          <w:spacing w:val="-11"/>
        </w:rPr>
        <w:t>《眼科用药 </w:t>
      </w:r>
      <w:r>
        <w:rPr/>
        <w:t>300</w:t>
      </w:r>
      <w:r>
        <w:rPr>
          <w:spacing w:val="-14"/>
        </w:rPr>
        <w:t> 问》，预计今年第三季度由人民卫生出版社出版，这将是眼科药学工作者对</w:t>
      </w:r>
      <w:r>
        <w:rPr/>
        <w:t>眼科患者做的一件实事。</w:t>
      </w:r>
    </w:p>
    <w:p>
      <w:pPr>
        <w:pStyle w:val="Heading3"/>
        <w:spacing w:before="2"/>
        <w:ind w:left="759"/>
      </w:pPr>
      <w:r>
        <w:rPr/>
        <w:t>优秀药师应具备的职业素养有哪些？</w:t>
      </w:r>
    </w:p>
    <w:p>
      <w:pPr>
        <w:pStyle w:val="BodyText"/>
        <w:spacing w:line="312" w:lineRule="auto" w:before="91"/>
        <w:ind w:right="389" w:firstLine="480"/>
        <w:jc w:val="both"/>
      </w:pPr>
      <w:r>
        <w:rPr>
          <w:spacing w:val="-13"/>
        </w:rPr>
        <w:t>作为医药行业的一员，最能唤起我职业责任感的是 </w:t>
      </w:r>
      <w:r>
        <w:rPr/>
        <w:t>180</w:t>
      </w:r>
      <w:r>
        <w:rPr>
          <w:spacing w:val="-9"/>
        </w:rPr>
        <w:t> 多年前美国医生特鲁多的那句名</w:t>
      </w:r>
      <w:r>
        <w:rPr>
          <w:spacing w:val="-8"/>
        </w:rPr>
        <w:t>言：“有时治愈，常常帮助，总是安慰</w:t>
      </w:r>
      <w:r>
        <w:rPr/>
        <w:t>（To</w:t>
      </w:r>
      <w:r>
        <w:rPr>
          <w:spacing w:val="-59"/>
        </w:rPr>
        <w:t> </w:t>
      </w:r>
      <w:r>
        <w:rPr/>
        <w:t>Cure</w:t>
      </w:r>
      <w:r>
        <w:rPr>
          <w:spacing w:val="-58"/>
        </w:rPr>
        <w:t> </w:t>
      </w:r>
      <w:r>
        <w:rPr/>
        <w:t>Sometimes,</w:t>
      </w:r>
      <w:r>
        <w:rPr>
          <w:spacing w:val="-59"/>
        </w:rPr>
        <w:t> </w:t>
      </w:r>
      <w:r>
        <w:rPr/>
        <w:t>To</w:t>
      </w:r>
      <w:r>
        <w:rPr>
          <w:spacing w:val="-58"/>
        </w:rPr>
        <w:t> </w:t>
      </w:r>
      <w:r>
        <w:rPr/>
        <w:t>Relieve</w:t>
      </w:r>
      <w:r>
        <w:rPr>
          <w:spacing w:val="-59"/>
        </w:rPr>
        <w:t> </w:t>
      </w:r>
      <w:r>
        <w:rPr/>
        <w:t>Often,</w:t>
      </w:r>
      <w:r>
        <w:rPr>
          <w:spacing w:val="-58"/>
        </w:rPr>
        <w:t> </w:t>
      </w:r>
      <w:r>
        <w:rPr/>
        <w:t>To</w:t>
      </w:r>
      <w:r>
        <w:rPr>
          <w:spacing w:val="-59"/>
        </w:rPr>
        <w:t> </w:t>
      </w:r>
      <w:r>
        <w:rPr>
          <w:spacing w:val="-3"/>
        </w:rPr>
        <w:t>Comfort </w:t>
      </w:r>
      <w:r>
        <w:rPr/>
        <w:t>Always）。”</w:t>
      </w:r>
    </w:p>
    <w:p>
      <w:pPr>
        <w:pStyle w:val="BodyText"/>
        <w:spacing w:line="312" w:lineRule="auto" w:before="1"/>
        <w:ind w:right="267" w:firstLine="480"/>
      </w:pPr>
      <w:r>
        <w:rPr>
          <w:spacing w:val="-17"/>
        </w:rPr>
        <w:t>在不考虑专业知识、专业技能的前提下，药师这一职业首先要求从业者有强烈的同理心， </w:t>
      </w:r>
      <w:r>
        <w:rPr/>
        <w:t>要让患者感受到：虽然我不能保证完全治好你的病，但我们一起面对，我就在您的身边。</w:t>
      </w:r>
    </w:p>
    <w:p>
      <w:pPr>
        <w:pStyle w:val="BodyText"/>
        <w:spacing w:line="312" w:lineRule="auto" w:before="2"/>
        <w:ind w:right="390" w:firstLine="480"/>
      </w:pPr>
      <w:r>
        <w:rPr>
          <w:spacing w:val="-9"/>
        </w:rPr>
        <w:t>如果我是患者，能听到治疗我的疾病的医生这样说，就有了安全感，有了战胜疾病的勇</w:t>
      </w:r>
      <w:r>
        <w:rPr/>
        <w:t>气，对医者充满了信任。</w:t>
      </w:r>
    </w:p>
    <w:p>
      <w:pPr>
        <w:pStyle w:val="BodyText"/>
        <w:spacing w:line="276" w:lineRule="auto"/>
        <w:ind w:right="406" w:firstLine="480"/>
        <w:rPr>
          <w:rFonts w:ascii="Meiryo" w:eastAsia="Meiryo" w:hint="eastAsia"/>
          <w:b/>
        </w:rPr>
      </w:pPr>
      <w:r>
        <w:rPr/>
        <w:t>一个优秀的药师要让患者感到，他可以被依靠,可以被信任，并能够给予患者专业的帮助。只有被患者需要和信任，我们的职业才是重要且无可替代的。</w:t>
      </w:r>
      <w:r>
        <w:rPr>
          <w:rFonts w:ascii="Meiryo" w:eastAsia="Meiryo" w:hint="eastAsia"/>
          <w:b/>
          <w:color w:val="0033CC"/>
        </w:rPr>
        <w:t>[返回目次]</w:t>
      </w:r>
    </w:p>
    <w:sectPr>
      <w:pgSz w:w="11910" w:h="16850"/>
      <w:pgMar w:header="906" w:footer="607" w:top="1100" w:bottom="800" w:left="10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楷体">
    <w:altName w:val="楷体"/>
    <w:charset w:val="86"/>
    <w:family w:val="modern"/>
    <w:pitch w:val="fixed"/>
  </w:font>
  <w:font w:name="Calibri">
    <w:altName w:val="Calibri"/>
    <w:charset w:val="0"/>
    <w:family w:val="swiss"/>
    <w:pitch w:val="variable"/>
  </w:font>
  <w:font w:name="华文楷体">
    <w:altName w:val="华文楷体"/>
    <w:charset w:val="86"/>
    <w:family w:val="auto"/>
    <w:pitch w:val="variable"/>
  </w:font>
  <w:font w:name="隶书">
    <w:altName w:val="隶书"/>
    <w:charset w:val="86"/>
    <w:family w:val="modern"/>
    <w:pitch w:val="fixed"/>
  </w:font>
  <w:font w:name="华文宋体">
    <w:altName w:val="华文宋体"/>
    <w:charset w:val="86"/>
    <w:family w:val="auto"/>
    <w:pitch w:val="variable"/>
  </w:font>
  <w:font w:name="宋体">
    <w:altName w:val="宋体"/>
    <w:charset w:val="86"/>
    <w:family w:val="auto"/>
    <w:pitch w:val="variable"/>
  </w:font>
  <w:font w:name="Meiryo">
    <w:altName w:val="Meiryo"/>
    <w:charset w:val="0"/>
    <w:family w:val="swiss"/>
    <w:pitch w:val="variable"/>
  </w:font>
  <w:font w:name="Cambria Math">
    <w:altName w:val="Cambria Math"/>
    <w:charset w:val="0"/>
    <w:family w:val="roman"/>
    <w:pitch w:val="variable"/>
  </w:font>
  <w:font w:name="Arial">
    <w:altName w:val="Arial"/>
    <w:charset w:val="0"/>
    <w:family w:val="swiss"/>
    <w:pitch w:val="variable"/>
  </w:font>
  <w:font w:name="仿宋">
    <w:altName w:val="仿宋"/>
    <w:charset w:val="86"/>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989990pt;margin-top:789.769958pt;width:10.6pt;height:11pt;mso-position-horizontal-relative:page;mso-position-vertical-relative:page;z-index:-25516134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514700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28</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514598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39</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514393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40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5.989990pt;margin-top:789.769958pt;width:10.6pt;height:11pt;mso-position-horizontal-relative:page;mso-position-vertical-relative:page;z-index:-25515929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0.6pt;height:11pt;mso-position-horizontal-relative:page;mso-position-vertical-relative:page;z-index:-25515724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0.6pt;height:11pt;mso-position-horizontal-relative:page;mso-position-vertical-relative:page;z-index:-25515622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60.863998pt;margin-top:800.690002pt;width:15.15pt;height:11pt;mso-position-horizontal-relative:page;mso-position-vertical-relative:page;z-index:-25515417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515315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18</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515110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19</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515008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26</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514905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5160320" from="62.424pt,54.959976pt" to="540.244pt,54.959976pt" stroked="true" strokeweight=".72pt" strokecolor="#000000">
          <v:stroke dashstyle="solid"/>
          <w10:wrap type="non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5144960" from="62.424pt,54.959976pt" to="540.244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5158272" from="62.424pt,54.959976pt" to="540.244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5155200" from="62.424pt,54.959976pt" to="540.244pt,54.959976pt" stroked="true" strokeweight=".72pt" strokecolor="#000000">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5152128" from="62.424pt,54.959976pt" to="540.244pt,54.959976pt" stroked="true" strokeweight=".72pt" strokecolor="#000000">
          <v:stroke dashstyle="solid"/>
          <w10:wrap type="none"/>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5148032" from="62.424pt,54.959976pt" to="540.244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00" w:hanging="244"/>
        <w:jc w:val="left"/>
      </w:pPr>
      <w:rPr>
        <w:rFonts w:hint="default" w:ascii="宋体" w:hAnsi="宋体" w:eastAsia="宋体" w:cs="宋体"/>
        <w:b/>
        <w:bCs/>
        <w:spacing w:val="0"/>
        <w:w w:val="99"/>
        <w:sz w:val="22"/>
        <w:szCs w:val="22"/>
        <w:lang w:val="zh-cn" w:eastAsia="zh-cn" w:bidi="zh-cn"/>
      </w:rPr>
    </w:lvl>
    <w:lvl w:ilvl="1">
      <w:start w:val="1"/>
      <w:numFmt w:val="decimal"/>
      <w:lvlText w:val="%1.%2"/>
      <w:lvlJc w:val="left"/>
      <w:pPr>
        <w:ind w:left="277" w:hanging="420"/>
        <w:jc w:val="left"/>
      </w:pPr>
      <w:rPr>
        <w:rFonts w:hint="default" w:ascii="宋体" w:hAnsi="宋体" w:eastAsia="宋体" w:cs="宋体"/>
        <w:w w:val="100"/>
        <w:sz w:val="24"/>
        <w:szCs w:val="24"/>
        <w:lang w:val="zh-cn" w:eastAsia="zh-cn" w:bidi="zh-cn"/>
      </w:rPr>
    </w:lvl>
    <w:lvl w:ilvl="2">
      <w:start w:val="0"/>
      <w:numFmt w:val="bullet"/>
      <w:lvlText w:val="•"/>
      <w:lvlJc w:val="left"/>
      <w:pPr>
        <w:ind w:left="2018" w:hanging="420"/>
      </w:pPr>
      <w:rPr>
        <w:rFonts w:hint="default"/>
        <w:lang w:val="zh-cn" w:eastAsia="zh-cn" w:bidi="zh-cn"/>
      </w:rPr>
    </w:lvl>
    <w:lvl w:ilvl="3">
      <w:start w:val="0"/>
      <w:numFmt w:val="bullet"/>
      <w:lvlText w:val="•"/>
      <w:lvlJc w:val="left"/>
      <w:pPr>
        <w:ind w:left="3036" w:hanging="420"/>
      </w:pPr>
      <w:rPr>
        <w:rFonts w:hint="default"/>
        <w:lang w:val="zh-cn" w:eastAsia="zh-cn" w:bidi="zh-cn"/>
      </w:rPr>
    </w:lvl>
    <w:lvl w:ilvl="4">
      <w:start w:val="0"/>
      <w:numFmt w:val="bullet"/>
      <w:lvlText w:val="•"/>
      <w:lvlJc w:val="left"/>
      <w:pPr>
        <w:ind w:left="4055" w:hanging="420"/>
      </w:pPr>
      <w:rPr>
        <w:rFonts w:hint="default"/>
        <w:lang w:val="zh-cn" w:eastAsia="zh-cn" w:bidi="zh-cn"/>
      </w:rPr>
    </w:lvl>
    <w:lvl w:ilvl="5">
      <w:start w:val="0"/>
      <w:numFmt w:val="bullet"/>
      <w:lvlText w:val="•"/>
      <w:lvlJc w:val="left"/>
      <w:pPr>
        <w:ind w:left="5073" w:hanging="420"/>
      </w:pPr>
      <w:rPr>
        <w:rFonts w:hint="default"/>
        <w:lang w:val="zh-cn" w:eastAsia="zh-cn" w:bidi="zh-cn"/>
      </w:rPr>
    </w:lvl>
    <w:lvl w:ilvl="6">
      <w:start w:val="0"/>
      <w:numFmt w:val="bullet"/>
      <w:lvlText w:val="•"/>
      <w:lvlJc w:val="left"/>
      <w:pPr>
        <w:ind w:left="6092" w:hanging="420"/>
      </w:pPr>
      <w:rPr>
        <w:rFonts w:hint="default"/>
        <w:lang w:val="zh-cn" w:eastAsia="zh-cn" w:bidi="zh-cn"/>
      </w:rPr>
    </w:lvl>
    <w:lvl w:ilvl="7">
      <w:start w:val="0"/>
      <w:numFmt w:val="bullet"/>
      <w:lvlText w:val="•"/>
      <w:lvlJc w:val="left"/>
      <w:pPr>
        <w:ind w:left="7110" w:hanging="420"/>
      </w:pPr>
      <w:rPr>
        <w:rFonts w:hint="default"/>
        <w:lang w:val="zh-cn" w:eastAsia="zh-cn" w:bidi="zh-cn"/>
      </w:rPr>
    </w:lvl>
    <w:lvl w:ilvl="8">
      <w:start w:val="0"/>
      <w:numFmt w:val="bullet"/>
      <w:lvlText w:val="•"/>
      <w:lvlJc w:val="left"/>
      <w:pPr>
        <w:ind w:left="8129" w:hanging="420"/>
      </w:pPr>
      <w:rPr>
        <w:rFonts w:hint="default"/>
        <w:lang w:val="zh-cn" w:eastAsia="zh-cn" w:bidi="zh-cn"/>
      </w:rPr>
    </w:lvl>
  </w:abstractNum>
  <w:abstractNum w:abstractNumId="12">
    <w:multiLevelType w:val="hybridMultilevel"/>
    <w:lvl w:ilvl="0">
      <w:start w:val="2"/>
      <w:numFmt w:val="decimal"/>
      <w:lvlText w:val="%1."/>
      <w:lvlJc w:val="left"/>
      <w:pPr>
        <w:ind w:left="99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16" w:hanging="241"/>
      </w:pPr>
      <w:rPr>
        <w:rFonts w:hint="default"/>
        <w:lang w:val="zh-cn" w:eastAsia="zh-cn" w:bidi="zh-cn"/>
      </w:rPr>
    </w:lvl>
    <w:lvl w:ilvl="2">
      <w:start w:val="0"/>
      <w:numFmt w:val="bullet"/>
      <w:lvlText w:val="•"/>
      <w:lvlJc w:val="left"/>
      <w:pPr>
        <w:ind w:left="2833" w:hanging="241"/>
      </w:pPr>
      <w:rPr>
        <w:rFonts w:hint="default"/>
        <w:lang w:val="zh-cn" w:eastAsia="zh-cn" w:bidi="zh-cn"/>
      </w:rPr>
    </w:lvl>
    <w:lvl w:ilvl="3">
      <w:start w:val="0"/>
      <w:numFmt w:val="bullet"/>
      <w:lvlText w:val="•"/>
      <w:lvlJc w:val="left"/>
      <w:pPr>
        <w:ind w:left="3749" w:hanging="241"/>
      </w:pPr>
      <w:rPr>
        <w:rFonts w:hint="default"/>
        <w:lang w:val="zh-cn" w:eastAsia="zh-cn" w:bidi="zh-cn"/>
      </w:rPr>
    </w:lvl>
    <w:lvl w:ilvl="4">
      <w:start w:val="0"/>
      <w:numFmt w:val="bullet"/>
      <w:lvlText w:val="•"/>
      <w:lvlJc w:val="left"/>
      <w:pPr>
        <w:ind w:left="4666" w:hanging="241"/>
      </w:pPr>
      <w:rPr>
        <w:rFonts w:hint="default"/>
        <w:lang w:val="zh-cn" w:eastAsia="zh-cn" w:bidi="zh-cn"/>
      </w:rPr>
    </w:lvl>
    <w:lvl w:ilvl="5">
      <w:start w:val="0"/>
      <w:numFmt w:val="bullet"/>
      <w:lvlText w:val="•"/>
      <w:lvlJc w:val="left"/>
      <w:pPr>
        <w:ind w:left="5583" w:hanging="241"/>
      </w:pPr>
      <w:rPr>
        <w:rFonts w:hint="default"/>
        <w:lang w:val="zh-cn" w:eastAsia="zh-cn" w:bidi="zh-cn"/>
      </w:rPr>
    </w:lvl>
    <w:lvl w:ilvl="6">
      <w:start w:val="0"/>
      <w:numFmt w:val="bullet"/>
      <w:lvlText w:val="•"/>
      <w:lvlJc w:val="left"/>
      <w:pPr>
        <w:ind w:left="6499" w:hanging="241"/>
      </w:pPr>
      <w:rPr>
        <w:rFonts w:hint="default"/>
        <w:lang w:val="zh-cn" w:eastAsia="zh-cn" w:bidi="zh-cn"/>
      </w:rPr>
    </w:lvl>
    <w:lvl w:ilvl="7">
      <w:start w:val="0"/>
      <w:numFmt w:val="bullet"/>
      <w:lvlText w:val="•"/>
      <w:lvlJc w:val="left"/>
      <w:pPr>
        <w:ind w:left="7416" w:hanging="241"/>
      </w:pPr>
      <w:rPr>
        <w:rFonts w:hint="default"/>
        <w:lang w:val="zh-cn" w:eastAsia="zh-cn" w:bidi="zh-cn"/>
      </w:rPr>
    </w:lvl>
    <w:lvl w:ilvl="8">
      <w:start w:val="0"/>
      <w:numFmt w:val="bullet"/>
      <w:lvlText w:val="•"/>
      <w:lvlJc w:val="left"/>
      <w:pPr>
        <w:ind w:left="8333" w:hanging="241"/>
      </w:pPr>
      <w:rPr>
        <w:rFonts w:hint="default"/>
        <w:lang w:val="zh-cn" w:eastAsia="zh-cn" w:bidi="zh-cn"/>
      </w:rPr>
    </w:lvl>
  </w:abstractNum>
  <w:abstractNum w:abstractNumId="11">
    <w:multiLevelType w:val="hybridMultilevel"/>
    <w:lvl w:ilvl="0">
      <w:start w:val="1"/>
      <w:numFmt w:val="decimal"/>
      <w:lvlText w:val="%1."/>
      <w:lvlJc w:val="left"/>
      <w:pPr>
        <w:ind w:left="1118" w:hanging="361"/>
        <w:jc w:val="left"/>
      </w:pPr>
      <w:rPr>
        <w:rFonts w:hint="default" w:ascii="宋体" w:hAnsi="宋体" w:eastAsia="宋体" w:cs="宋体"/>
        <w:spacing w:val="-27"/>
        <w:w w:val="100"/>
        <w:sz w:val="22"/>
        <w:szCs w:val="22"/>
        <w:lang w:val="zh-cn" w:eastAsia="zh-cn" w:bidi="zh-cn"/>
      </w:rPr>
    </w:lvl>
    <w:lvl w:ilvl="1">
      <w:start w:val="0"/>
      <w:numFmt w:val="bullet"/>
      <w:lvlText w:val="•"/>
      <w:lvlJc w:val="left"/>
      <w:pPr>
        <w:ind w:left="2024" w:hanging="361"/>
      </w:pPr>
      <w:rPr>
        <w:rFonts w:hint="default"/>
        <w:lang w:val="zh-cn" w:eastAsia="zh-cn" w:bidi="zh-cn"/>
      </w:rPr>
    </w:lvl>
    <w:lvl w:ilvl="2">
      <w:start w:val="0"/>
      <w:numFmt w:val="bullet"/>
      <w:lvlText w:val="•"/>
      <w:lvlJc w:val="left"/>
      <w:pPr>
        <w:ind w:left="2929" w:hanging="361"/>
      </w:pPr>
      <w:rPr>
        <w:rFonts w:hint="default"/>
        <w:lang w:val="zh-cn" w:eastAsia="zh-cn" w:bidi="zh-cn"/>
      </w:rPr>
    </w:lvl>
    <w:lvl w:ilvl="3">
      <w:start w:val="0"/>
      <w:numFmt w:val="bullet"/>
      <w:lvlText w:val="•"/>
      <w:lvlJc w:val="left"/>
      <w:pPr>
        <w:ind w:left="3833" w:hanging="361"/>
      </w:pPr>
      <w:rPr>
        <w:rFonts w:hint="default"/>
        <w:lang w:val="zh-cn" w:eastAsia="zh-cn" w:bidi="zh-cn"/>
      </w:rPr>
    </w:lvl>
    <w:lvl w:ilvl="4">
      <w:start w:val="0"/>
      <w:numFmt w:val="bullet"/>
      <w:lvlText w:val="•"/>
      <w:lvlJc w:val="left"/>
      <w:pPr>
        <w:ind w:left="4738" w:hanging="361"/>
      </w:pPr>
      <w:rPr>
        <w:rFonts w:hint="default"/>
        <w:lang w:val="zh-cn" w:eastAsia="zh-cn" w:bidi="zh-cn"/>
      </w:rPr>
    </w:lvl>
    <w:lvl w:ilvl="5">
      <w:start w:val="0"/>
      <w:numFmt w:val="bullet"/>
      <w:lvlText w:val="•"/>
      <w:lvlJc w:val="left"/>
      <w:pPr>
        <w:ind w:left="5643" w:hanging="361"/>
      </w:pPr>
      <w:rPr>
        <w:rFonts w:hint="default"/>
        <w:lang w:val="zh-cn" w:eastAsia="zh-cn" w:bidi="zh-cn"/>
      </w:rPr>
    </w:lvl>
    <w:lvl w:ilvl="6">
      <w:start w:val="0"/>
      <w:numFmt w:val="bullet"/>
      <w:lvlText w:val="•"/>
      <w:lvlJc w:val="left"/>
      <w:pPr>
        <w:ind w:left="6547" w:hanging="361"/>
      </w:pPr>
      <w:rPr>
        <w:rFonts w:hint="default"/>
        <w:lang w:val="zh-cn" w:eastAsia="zh-cn" w:bidi="zh-cn"/>
      </w:rPr>
    </w:lvl>
    <w:lvl w:ilvl="7">
      <w:start w:val="0"/>
      <w:numFmt w:val="bullet"/>
      <w:lvlText w:val="•"/>
      <w:lvlJc w:val="left"/>
      <w:pPr>
        <w:ind w:left="7452" w:hanging="361"/>
      </w:pPr>
      <w:rPr>
        <w:rFonts w:hint="default"/>
        <w:lang w:val="zh-cn" w:eastAsia="zh-cn" w:bidi="zh-cn"/>
      </w:rPr>
    </w:lvl>
    <w:lvl w:ilvl="8">
      <w:start w:val="0"/>
      <w:numFmt w:val="bullet"/>
      <w:lvlText w:val="•"/>
      <w:lvlJc w:val="left"/>
      <w:pPr>
        <w:ind w:left="8357" w:hanging="361"/>
      </w:pPr>
      <w:rPr>
        <w:rFonts w:hint="default"/>
        <w:lang w:val="zh-cn" w:eastAsia="zh-cn" w:bidi="zh-cn"/>
      </w:rPr>
    </w:lvl>
  </w:abstractNum>
  <w:abstractNum w:abstractNumId="10">
    <w:multiLevelType w:val="hybridMultilevel"/>
    <w:lvl w:ilvl="0">
      <w:start w:val="2"/>
      <w:numFmt w:val="decimal"/>
      <w:lvlText w:val="%1."/>
      <w:lvlJc w:val="left"/>
      <w:pPr>
        <w:ind w:left="99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16" w:hanging="241"/>
      </w:pPr>
      <w:rPr>
        <w:rFonts w:hint="default"/>
        <w:lang w:val="zh-cn" w:eastAsia="zh-cn" w:bidi="zh-cn"/>
      </w:rPr>
    </w:lvl>
    <w:lvl w:ilvl="2">
      <w:start w:val="0"/>
      <w:numFmt w:val="bullet"/>
      <w:lvlText w:val="•"/>
      <w:lvlJc w:val="left"/>
      <w:pPr>
        <w:ind w:left="2833" w:hanging="241"/>
      </w:pPr>
      <w:rPr>
        <w:rFonts w:hint="default"/>
        <w:lang w:val="zh-cn" w:eastAsia="zh-cn" w:bidi="zh-cn"/>
      </w:rPr>
    </w:lvl>
    <w:lvl w:ilvl="3">
      <w:start w:val="0"/>
      <w:numFmt w:val="bullet"/>
      <w:lvlText w:val="•"/>
      <w:lvlJc w:val="left"/>
      <w:pPr>
        <w:ind w:left="3749" w:hanging="241"/>
      </w:pPr>
      <w:rPr>
        <w:rFonts w:hint="default"/>
        <w:lang w:val="zh-cn" w:eastAsia="zh-cn" w:bidi="zh-cn"/>
      </w:rPr>
    </w:lvl>
    <w:lvl w:ilvl="4">
      <w:start w:val="0"/>
      <w:numFmt w:val="bullet"/>
      <w:lvlText w:val="•"/>
      <w:lvlJc w:val="left"/>
      <w:pPr>
        <w:ind w:left="4666" w:hanging="241"/>
      </w:pPr>
      <w:rPr>
        <w:rFonts w:hint="default"/>
        <w:lang w:val="zh-cn" w:eastAsia="zh-cn" w:bidi="zh-cn"/>
      </w:rPr>
    </w:lvl>
    <w:lvl w:ilvl="5">
      <w:start w:val="0"/>
      <w:numFmt w:val="bullet"/>
      <w:lvlText w:val="•"/>
      <w:lvlJc w:val="left"/>
      <w:pPr>
        <w:ind w:left="5583" w:hanging="241"/>
      </w:pPr>
      <w:rPr>
        <w:rFonts w:hint="default"/>
        <w:lang w:val="zh-cn" w:eastAsia="zh-cn" w:bidi="zh-cn"/>
      </w:rPr>
    </w:lvl>
    <w:lvl w:ilvl="6">
      <w:start w:val="0"/>
      <w:numFmt w:val="bullet"/>
      <w:lvlText w:val="•"/>
      <w:lvlJc w:val="left"/>
      <w:pPr>
        <w:ind w:left="6499" w:hanging="241"/>
      </w:pPr>
      <w:rPr>
        <w:rFonts w:hint="default"/>
        <w:lang w:val="zh-cn" w:eastAsia="zh-cn" w:bidi="zh-cn"/>
      </w:rPr>
    </w:lvl>
    <w:lvl w:ilvl="7">
      <w:start w:val="0"/>
      <w:numFmt w:val="bullet"/>
      <w:lvlText w:val="•"/>
      <w:lvlJc w:val="left"/>
      <w:pPr>
        <w:ind w:left="7416" w:hanging="241"/>
      </w:pPr>
      <w:rPr>
        <w:rFonts w:hint="default"/>
        <w:lang w:val="zh-cn" w:eastAsia="zh-cn" w:bidi="zh-cn"/>
      </w:rPr>
    </w:lvl>
    <w:lvl w:ilvl="8">
      <w:start w:val="0"/>
      <w:numFmt w:val="bullet"/>
      <w:lvlText w:val="•"/>
      <w:lvlJc w:val="left"/>
      <w:pPr>
        <w:ind w:left="8333" w:hanging="241"/>
      </w:pPr>
      <w:rPr>
        <w:rFonts w:hint="default"/>
        <w:lang w:val="zh-cn" w:eastAsia="zh-cn" w:bidi="zh-cn"/>
      </w:rPr>
    </w:lvl>
  </w:abstractNum>
  <w:abstractNum w:abstractNumId="9">
    <w:multiLevelType w:val="hybridMultilevel"/>
    <w:lvl w:ilvl="0">
      <w:start w:val="1"/>
      <w:numFmt w:val="decimal"/>
      <w:lvlText w:val="%1."/>
      <w:lvlJc w:val="left"/>
      <w:pPr>
        <w:ind w:left="99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16" w:hanging="241"/>
      </w:pPr>
      <w:rPr>
        <w:rFonts w:hint="default"/>
        <w:lang w:val="zh-cn" w:eastAsia="zh-cn" w:bidi="zh-cn"/>
      </w:rPr>
    </w:lvl>
    <w:lvl w:ilvl="2">
      <w:start w:val="0"/>
      <w:numFmt w:val="bullet"/>
      <w:lvlText w:val="•"/>
      <w:lvlJc w:val="left"/>
      <w:pPr>
        <w:ind w:left="2833" w:hanging="241"/>
      </w:pPr>
      <w:rPr>
        <w:rFonts w:hint="default"/>
        <w:lang w:val="zh-cn" w:eastAsia="zh-cn" w:bidi="zh-cn"/>
      </w:rPr>
    </w:lvl>
    <w:lvl w:ilvl="3">
      <w:start w:val="0"/>
      <w:numFmt w:val="bullet"/>
      <w:lvlText w:val="•"/>
      <w:lvlJc w:val="left"/>
      <w:pPr>
        <w:ind w:left="3749" w:hanging="241"/>
      </w:pPr>
      <w:rPr>
        <w:rFonts w:hint="default"/>
        <w:lang w:val="zh-cn" w:eastAsia="zh-cn" w:bidi="zh-cn"/>
      </w:rPr>
    </w:lvl>
    <w:lvl w:ilvl="4">
      <w:start w:val="0"/>
      <w:numFmt w:val="bullet"/>
      <w:lvlText w:val="•"/>
      <w:lvlJc w:val="left"/>
      <w:pPr>
        <w:ind w:left="4666" w:hanging="241"/>
      </w:pPr>
      <w:rPr>
        <w:rFonts w:hint="default"/>
        <w:lang w:val="zh-cn" w:eastAsia="zh-cn" w:bidi="zh-cn"/>
      </w:rPr>
    </w:lvl>
    <w:lvl w:ilvl="5">
      <w:start w:val="0"/>
      <w:numFmt w:val="bullet"/>
      <w:lvlText w:val="•"/>
      <w:lvlJc w:val="left"/>
      <w:pPr>
        <w:ind w:left="5583" w:hanging="241"/>
      </w:pPr>
      <w:rPr>
        <w:rFonts w:hint="default"/>
        <w:lang w:val="zh-cn" w:eastAsia="zh-cn" w:bidi="zh-cn"/>
      </w:rPr>
    </w:lvl>
    <w:lvl w:ilvl="6">
      <w:start w:val="0"/>
      <w:numFmt w:val="bullet"/>
      <w:lvlText w:val="•"/>
      <w:lvlJc w:val="left"/>
      <w:pPr>
        <w:ind w:left="6499" w:hanging="241"/>
      </w:pPr>
      <w:rPr>
        <w:rFonts w:hint="default"/>
        <w:lang w:val="zh-cn" w:eastAsia="zh-cn" w:bidi="zh-cn"/>
      </w:rPr>
    </w:lvl>
    <w:lvl w:ilvl="7">
      <w:start w:val="0"/>
      <w:numFmt w:val="bullet"/>
      <w:lvlText w:val="•"/>
      <w:lvlJc w:val="left"/>
      <w:pPr>
        <w:ind w:left="7416" w:hanging="241"/>
      </w:pPr>
      <w:rPr>
        <w:rFonts w:hint="default"/>
        <w:lang w:val="zh-cn" w:eastAsia="zh-cn" w:bidi="zh-cn"/>
      </w:rPr>
    </w:lvl>
    <w:lvl w:ilvl="8">
      <w:start w:val="0"/>
      <w:numFmt w:val="bullet"/>
      <w:lvlText w:val="•"/>
      <w:lvlJc w:val="left"/>
      <w:pPr>
        <w:ind w:left="8333" w:hanging="241"/>
      </w:pPr>
      <w:rPr>
        <w:rFonts w:hint="default"/>
        <w:lang w:val="zh-cn" w:eastAsia="zh-cn" w:bidi="zh-cn"/>
      </w:rPr>
    </w:lvl>
  </w:abstractNum>
  <w:abstractNum w:abstractNumId="8">
    <w:multiLevelType w:val="hybridMultilevel"/>
    <w:lvl w:ilvl="0">
      <w:start w:val="2"/>
      <w:numFmt w:val="decimal"/>
      <w:lvlText w:val="%1."/>
      <w:lvlJc w:val="left"/>
      <w:pPr>
        <w:ind w:left="99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16" w:hanging="241"/>
      </w:pPr>
      <w:rPr>
        <w:rFonts w:hint="default"/>
        <w:lang w:val="zh-cn" w:eastAsia="zh-cn" w:bidi="zh-cn"/>
      </w:rPr>
    </w:lvl>
    <w:lvl w:ilvl="2">
      <w:start w:val="0"/>
      <w:numFmt w:val="bullet"/>
      <w:lvlText w:val="•"/>
      <w:lvlJc w:val="left"/>
      <w:pPr>
        <w:ind w:left="2833" w:hanging="241"/>
      </w:pPr>
      <w:rPr>
        <w:rFonts w:hint="default"/>
        <w:lang w:val="zh-cn" w:eastAsia="zh-cn" w:bidi="zh-cn"/>
      </w:rPr>
    </w:lvl>
    <w:lvl w:ilvl="3">
      <w:start w:val="0"/>
      <w:numFmt w:val="bullet"/>
      <w:lvlText w:val="•"/>
      <w:lvlJc w:val="left"/>
      <w:pPr>
        <w:ind w:left="3749" w:hanging="241"/>
      </w:pPr>
      <w:rPr>
        <w:rFonts w:hint="default"/>
        <w:lang w:val="zh-cn" w:eastAsia="zh-cn" w:bidi="zh-cn"/>
      </w:rPr>
    </w:lvl>
    <w:lvl w:ilvl="4">
      <w:start w:val="0"/>
      <w:numFmt w:val="bullet"/>
      <w:lvlText w:val="•"/>
      <w:lvlJc w:val="left"/>
      <w:pPr>
        <w:ind w:left="4666" w:hanging="241"/>
      </w:pPr>
      <w:rPr>
        <w:rFonts w:hint="default"/>
        <w:lang w:val="zh-cn" w:eastAsia="zh-cn" w:bidi="zh-cn"/>
      </w:rPr>
    </w:lvl>
    <w:lvl w:ilvl="5">
      <w:start w:val="0"/>
      <w:numFmt w:val="bullet"/>
      <w:lvlText w:val="•"/>
      <w:lvlJc w:val="left"/>
      <w:pPr>
        <w:ind w:left="5583" w:hanging="241"/>
      </w:pPr>
      <w:rPr>
        <w:rFonts w:hint="default"/>
        <w:lang w:val="zh-cn" w:eastAsia="zh-cn" w:bidi="zh-cn"/>
      </w:rPr>
    </w:lvl>
    <w:lvl w:ilvl="6">
      <w:start w:val="0"/>
      <w:numFmt w:val="bullet"/>
      <w:lvlText w:val="•"/>
      <w:lvlJc w:val="left"/>
      <w:pPr>
        <w:ind w:left="6499" w:hanging="241"/>
      </w:pPr>
      <w:rPr>
        <w:rFonts w:hint="default"/>
        <w:lang w:val="zh-cn" w:eastAsia="zh-cn" w:bidi="zh-cn"/>
      </w:rPr>
    </w:lvl>
    <w:lvl w:ilvl="7">
      <w:start w:val="0"/>
      <w:numFmt w:val="bullet"/>
      <w:lvlText w:val="•"/>
      <w:lvlJc w:val="left"/>
      <w:pPr>
        <w:ind w:left="7416" w:hanging="241"/>
      </w:pPr>
      <w:rPr>
        <w:rFonts w:hint="default"/>
        <w:lang w:val="zh-cn" w:eastAsia="zh-cn" w:bidi="zh-cn"/>
      </w:rPr>
    </w:lvl>
    <w:lvl w:ilvl="8">
      <w:start w:val="0"/>
      <w:numFmt w:val="bullet"/>
      <w:lvlText w:val="•"/>
      <w:lvlJc w:val="left"/>
      <w:pPr>
        <w:ind w:left="8333" w:hanging="241"/>
      </w:pPr>
      <w:rPr>
        <w:rFonts w:hint="default"/>
        <w:lang w:val="zh-cn" w:eastAsia="zh-cn" w:bidi="zh-cn"/>
      </w:rPr>
    </w:lvl>
  </w:abstractNum>
  <w:abstractNum w:abstractNumId="7">
    <w:multiLevelType w:val="hybridMultilevel"/>
    <w:lvl w:ilvl="0">
      <w:start w:val="2"/>
      <w:numFmt w:val="decimal"/>
      <w:lvlText w:val="%1."/>
      <w:lvlJc w:val="left"/>
      <w:pPr>
        <w:ind w:left="99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16" w:hanging="241"/>
      </w:pPr>
      <w:rPr>
        <w:rFonts w:hint="default"/>
        <w:lang w:val="zh-cn" w:eastAsia="zh-cn" w:bidi="zh-cn"/>
      </w:rPr>
    </w:lvl>
    <w:lvl w:ilvl="2">
      <w:start w:val="0"/>
      <w:numFmt w:val="bullet"/>
      <w:lvlText w:val="•"/>
      <w:lvlJc w:val="left"/>
      <w:pPr>
        <w:ind w:left="2833" w:hanging="241"/>
      </w:pPr>
      <w:rPr>
        <w:rFonts w:hint="default"/>
        <w:lang w:val="zh-cn" w:eastAsia="zh-cn" w:bidi="zh-cn"/>
      </w:rPr>
    </w:lvl>
    <w:lvl w:ilvl="3">
      <w:start w:val="0"/>
      <w:numFmt w:val="bullet"/>
      <w:lvlText w:val="•"/>
      <w:lvlJc w:val="left"/>
      <w:pPr>
        <w:ind w:left="3749" w:hanging="241"/>
      </w:pPr>
      <w:rPr>
        <w:rFonts w:hint="default"/>
        <w:lang w:val="zh-cn" w:eastAsia="zh-cn" w:bidi="zh-cn"/>
      </w:rPr>
    </w:lvl>
    <w:lvl w:ilvl="4">
      <w:start w:val="0"/>
      <w:numFmt w:val="bullet"/>
      <w:lvlText w:val="•"/>
      <w:lvlJc w:val="left"/>
      <w:pPr>
        <w:ind w:left="4666" w:hanging="241"/>
      </w:pPr>
      <w:rPr>
        <w:rFonts w:hint="default"/>
        <w:lang w:val="zh-cn" w:eastAsia="zh-cn" w:bidi="zh-cn"/>
      </w:rPr>
    </w:lvl>
    <w:lvl w:ilvl="5">
      <w:start w:val="0"/>
      <w:numFmt w:val="bullet"/>
      <w:lvlText w:val="•"/>
      <w:lvlJc w:val="left"/>
      <w:pPr>
        <w:ind w:left="5583" w:hanging="241"/>
      </w:pPr>
      <w:rPr>
        <w:rFonts w:hint="default"/>
        <w:lang w:val="zh-cn" w:eastAsia="zh-cn" w:bidi="zh-cn"/>
      </w:rPr>
    </w:lvl>
    <w:lvl w:ilvl="6">
      <w:start w:val="0"/>
      <w:numFmt w:val="bullet"/>
      <w:lvlText w:val="•"/>
      <w:lvlJc w:val="left"/>
      <w:pPr>
        <w:ind w:left="6499" w:hanging="241"/>
      </w:pPr>
      <w:rPr>
        <w:rFonts w:hint="default"/>
        <w:lang w:val="zh-cn" w:eastAsia="zh-cn" w:bidi="zh-cn"/>
      </w:rPr>
    </w:lvl>
    <w:lvl w:ilvl="7">
      <w:start w:val="0"/>
      <w:numFmt w:val="bullet"/>
      <w:lvlText w:val="•"/>
      <w:lvlJc w:val="left"/>
      <w:pPr>
        <w:ind w:left="7416" w:hanging="241"/>
      </w:pPr>
      <w:rPr>
        <w:rFonts w:hint="default"/>
        <w:lang w:val="zh-cn" w:eastAsia="zh-cn" w:bidi="zh-cn"/>
      </w:rPr>
    </w:lvl>
    <w:lvl w:ilvl="8">
      <w:start w:val="0"/>
      <w:numFmt w:val="bullet"/>
      <w:lvlText w:val="•"/>
      <w:lvlJc w:val="left"/>
      <w:pPr>
        <w:ind w:left="8333" w:hanging="241"/>
      </w:pPr>
      <w:rPr>
        <w:rFonts w:hint="default"/>
        <w:lang w:val="zh-cn" w:eastAsia="zh-cn" w:bidi="zh-cn"/>
      </w:rPr>
    </w:lvl>
  </w:abstractNum>
  <w:abstractNum w:abstractNumId="6">
    <w:multiLevelType w:val="hybridMultilevel"/>
    <w:lvl w:ilvl="0">
      <w:start w:val="1"/>
      <w:numFmt w:val="decimal"/>
      <w:lvlText w:val="(%1)"/>
      <w:lvlJc w:val="left"/>
      <w:pPr>
        <w:ind w:left="1118" w:hanging="36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024" w:hanging="361"/>
      </w:pPr>
      <w:rPr>
        <w:rFonts w:hint="default"/>
        <w:lang w:val="zh-cn" w:eastAsia="zh-cn" w:bidi="zh-cn"/>
      </w:rPr>
    </w:lvl>
    <w:lvl w:ilvl="2">
      <w:start w:val="0"/>
      <w:numFmt w:val="bullet"/>
      <w:lvlText w:val="•"/>
      <w:lvlJc w:val="left"/>
      <w:pPr>
        <w:ind w:left="2929" w:hanging="361"/>
      </w:pPr>
      <w:rPr>
        <w:rFonts w:hint="default"/>
        <w:lang w:val="zh-cn" w:eastAsia="zh-cn" w:bidi="zh-cn"/>
      </w:rPr>
    </w:lvl>
    <w:lvl w:ilvl="3">
      <w:start w:val="0"/>
      <w:numFmt w:val="bullet"/>
      <w:lvlText w:val="•"/>
      <w:lvlJc w:val="left"/>
      <w:pPr>
        <w:ind w:left="3833" w:hanging="361"/>
      </w:pPr>
      <w:rPr>
        <w:rFonts w:hint="default"/>
        <w:lang w:val="zh-cn" w:eastAsia="zh-cn" w:bidi="zh-cn"/>
      </w:rPr>
    </w:lvl>
    <w:lvl w:ilvl="4">
      <w:start w:val="0"/>
      <w:numFmt w:val="bullet"/>
      <w:lvlText w:val="•"/>
      <w:lvlJc w:val="left"/>
      <w:pPr>
        <w:ind w:left="4738" w:hanging="361"/>
      </w:pPr>
      <w:rPr>
        <w:rFonts w:hint="default"/>
        <w:lang w:val="zh-cn" w:eastAsia="zh-cn" w:bidi="zh-cn"/>
      </w:rPr>
    </w:lvl>
    <w:lvl w:ilvl="5">
      <w:start w:val="0"/>
      <w:numFmt w:val="bullet"/>
      <w:lvlText w:val="•"/>
      <w:lvlJc w:val="left"/>
      <w:pPr>
        <w:ind w:left="5643" w:hanging="361"/>
      </w:pPr>
      <w:rPr>
        <w:rFonts w:hint="default"/>
        <w:lang w:val="zh-cn" w:eastAsia="zh-cn" w:bidi="zh-cn"/>
      </w:rPr>
    </w:lvl>
    <w:lvl w:ilvl="6">
      <w:start w:val="0"/>
      <w:numFmt w:val="bullet"/>
      <w:lvlText w:val="•"/>
      <w:lvlJc w:val="left"/>
      <w:pPr>
        <w:ind w:left="6547" w:hanging="361"/>
      </w:pPr>
      <w:rPr>
        <w:rFonts w:hint="default"/>
        <w:lang w:val="zh-cn" w:eastAsia="zh-cn" w:bidi="zh-cn"/>
      </w:rPr>
    </w:lvl>
    <w:lvl w:ilvl="7">
      <w:start w:val="0"/>
      <w:numFmt w:val="bullet"/>
      <w:lvlText w:val="•"/>
      <w:lvlJc w:val="left"/>
      <w:pPr>
        <w:ind w:left="7452" w:hanging="361"/>
      </w:pPr>
      <w:rPr>
        <w:rFonts w:hint="default"/>
        <w:lang w:val="zh-cn" w:eastAsia="zh-cn" w:bidi="zh-cn"/>
      </w:rPr>
    </w:lvl>
    <w:lvl w:ilvl="8">
      <w:start w:val="0"/>
      <w:numFmt w:val="bullet"/>
      <w:lvlText w:val="•"/>
      <w:lvlJc w:val="left"/>
      <w:pPr>
        <w:ind w:left="8357" w:hanging="361"/>
      </w:pPr>
      <w:rPr>
        <w:rFonts w:hint="default"/>
        <w:lang w:val="zh-cn" w:eastAsia="zh-cn" w:bidi="zh-cn"/>
      </w:rPr>
    </w:lvl>
  </w:abstractNum>
  <w:abstractNum w:abstractNumId="5">
    <w:multiLevelType w:val="hybridMultilevel"/>
    <w:lvl w:ilvl="0">
      <w:start w:val="1"/>
      <w:numFmt w:val="decimal"/>
      <w:lvlText w:val="（%1）"/>
      <w:lvlJc w:val="left"/>
      <w:pPr>
        <w:ind w:left="277" w:hanging="601"/>
        <w:jc w:val="left"/>
      </w:pPr>
      <w:rPr>
        <w:rFonts w:hint="default" w:ascii="宋体" w:hAnsi="宋体" w:eastAsia="宋体" w:cs="宋体"/>
        <w:spacing w:val="-61"/>
        <w:w w:val="100"/>
        <w:sz w:val="22"/>
        <w:szCs w:val="22"/>
        <w:lang w:val="zh-cn" w:eastAsia="zh-cn" w:bidi="zh-cn"/>
      </w:rPr>
    </w:lvl>
    <w:lvl w:ilvl="1">
      <w:start w:val="0"/>
      <w:numFmt w:val="bullet"/>
      <w:lvlText w:val="•"/>
      <w:lvlJc w:val="left"/>
      <w:pPr>
        <w:ind w:left="1268" w:hanging="601"/>
      </w:pPr>
      <w:rPr>
        <w:rFonts w:hint="default"/>
        <w:lang w:val="zh-cn" w:eastAsia="zh-cn" w:bidi="zh-cn"/>
      </w:rPr>
    </w:lvl>
    <w:lvl w:ilvl="2">
      <w:start w:val="0"/>
      <w:numFmt w:val="bullet"/>
      <w:lvlText w:val="•"/>
      <w:lvlJc w:val="left"/>
      <w:pPr>
        <w:ind w:left="2257" w:hanging="601"/>
      </w:pPr>
      <w:rPr>
        <w:rFonts w:hint="default"/>
        <w:lang w:val="zh-cn" w:eastAsia="zh-cn" w:bidi="zh-cn"/>
      </w:rPr>
    </w:lvl>
    <w:lvl w:ilvl="3">
      <w:start w:val="0"/>
      <w:numFmt w:val="bullet"/>
      <w:lvlText w:val="•"/>
      <w:lvlJc w:val="left"/>
      <w:pPr>
        <w:ind w:left="3245" w:hanging="601"/>
      </w:pPr>
      <w:rPr>
        <w:rFonts w:hint="default"/>
        <w:lang w:val="zh-cn" w:eastAsia="zh-cn" w:bidi="zh-cn"/>
      </w:rPr>
    </w:lvl>
    <w:lvl w:ilvl="4">
      <w:start w:val="0"/>
      <w:numFmt w:val="bullet"/>
      <w:lvlText w:val="•"/>
      <w:lvlJc w:val="left"/>
      <w:pPr>
        <w:ind w:left="4234" w:hanging="601"/>
      </w:pPr>
      <w:rPr>
        <w:rFonts w:hint="default"/>
        <w:lang w:val="zh-cn" w:eastAsia="zh-cn" w:bidi="zh-cn"/>
      </w:rPr>
    </w:lvl>
    <w:lvl w:ilvl="5">
      <w:start w:val="0"/>
      <w:numFmt w:val="bullet"/>
      <w:lvlText w:val="•"/>
      <w:lvlJc w:val="left"/>
      <w:pPr>
        <w:ind w:left="5223" w:hanging="601"/>
      </w:pPr>
      <w:rPr>
        <w:rFonts w:hint="default"/>
        <w:lang w:val="zh-cn" w:eastAsia="zh-cn" w:bidi="zh-cn"/>
      </w:rPr>
    </w:lvl>
    <w:lvl w:ilvl="6">
      <w:start w:val="0"/>
      <w:numFmt w:val="bullet"/>
      <w:lvlText w:val="•"/>
      <w:lvlJc w:val="left"/>
      <w:pPr>
        <w:ind w:left="6211" w:hanging="601"/>
      </w:pPr>
      <w:rPr>
        <w:rFonts w:hint="default"/>
        <w:lang w:val="zh-cn" w:eastAsia="zh-cn" w:bidi="zh-cn"/>
      </w:rPr>
    </w:lvl>
    <w:lvl w:ilvl="7">
      <w:start w:val="0"/>
      <w:numFmt w:val="bullet"/>
      <w:lvlText w:val="•"/>
      <w:lvlJc w:val="left"/>
      <w:pPr>
        <w:ind w:left="7200" w:hanging="601"/>
      </w:pPr>
      <w:rPr>
        <w:rFonts w:hint="default"/>
        <w:lang w:val="zh-cn" w:eastAsia="zh-cn" w:bidi="zh-cn"/>
      </w:rPr>
    </w:lvl>
    <w:lvl w:ilvl="8">
      <w:start w:val="0"/>
      <w:numFmt w:val="bullet"/>
      <w:lvlText w:val="•"/>
      <w:lvlJc w:val="left"/>
      <w:pPr>
        <w:ind w:left="8189" w:hanging="601"/>
      </w:pPr>
      <w:rPr>
        <w:rFonts w:hint="default"/>
        <w:lang w:val="zh-cn" w:eastAsia="zh-cn" w:bidi="zh-cn"/>
      </w:rPr>
    </w:lvl>
  </w:abstractNum>
  <w:abstractNum w:abstractNumId="4">
    <w:multiLevelType w:val="hybridMultilevel"/>
    <w:lvl w:ilvl="0">
      <w:start w:val="1"/>
      <w:numFmt w:val="decimal"/>
      <w:lvlText w:val="%1."/>
      <w:lvlJc w:val="left"/>
      <w:pPr>
        <w:ind w:left="1003" w:hanging="244"/>
        <w:jc w:val="left"/>
      </w:pPr>
      <w:rPr>
        <w:rFonts w:hint="default" w:ascii="宋体" w:hAnsi="宋体" w:eastAsia="宋体" w:cs="宋体"/>
        <w:b/>
        <w:bCs/>
        <w:spacing w:val="-1"/>
        <w:w w:val="99"/>
        <w:sz w:val="22"/>
        <w:szCs w:val="22"/>
        <w:lang w:val="zh-cn" w:eastAsia="zh-cn" w:bidi="zh-cn"/>
      </w:rPr>
    </w:lvl>
    <w:lvl w:ilvl="1">
      <w:start w:val="1"/>
      <w:numFmt w:val="decimal"/>
      <w:lvlText w:val="%1.%2"/>
      <w:lvlJc w:val="left"/>
      <w:pPr>
        <w:ind w:left="277" w:hanging="420"/>
        <w:jc w:val="left"/>
      </w:pPr>
      <w:rPr>
        <w:rFonts w:hint="default" w:ascii="宋体" w:hAnsi="宋体" w:eastAsia="宋体" w:cs="宋体"/>
        <w:w w:val="100"/>
        <w:sz w:val="24"/>
        <w:szCs w:val="24"/>
        <w:lang w:val="zh-cn" w:eastAsia="zh-cn" w:bidi="zh-cn"/>
      </w:rPr>
    </w:lvl>
    <w:lvl w:ilvl="2">
      <w:start w:val="1"/>
      <w:numFmt w:val="decimal"/>
      <w:lvlText w:val="%1.%2.%3"/>
      <w:lvlJc w:val="left"/>
      <w:pPr>
        <w:ind w:left="277" w:hanging="720"/>
        <w:jc w:val="left"/>
      </w:pPr>
      <w:rPr>
        <w:rFonts w:hint="default" w:ascii="宋体" w:hAnsi="宋体" w:eastAsia="宋体" w:cs="宋体"/>
        <w:w w:val="100"/>
        <w:sz w:val="24"/>
        <w:szCs w:val="24"/>
        <w:lang w:val="zh-cn" w:eastAsia="zh-cn" w:bidi="zh-cn"/>
      </w:rPr>
    </w:lvl>
    <w:lvl w:ilvl="3">
      <w:start w:val="0"/>
      <w:numFmt w:val="bullet"/>
      <w:lvlText w:val="•"/>
      <w:lvlJc w:val="left"/>
      <w:pPr>
        <w:ind w:left="2355" w:hanging="720"/>
      </w:pPr>
      <w:rPr>
        <w:rFonts w:hint="default"/>
        <w:lang w:val="zh-cn" w:eastAsia="zh-cn" w:bidi="zh-cn"/>
      </w:rPr>
    </w:lvl>
    <w:lvl w:ilvl="4">
      <w:start w:val="0"/>
      <w:numFmt w:val="bullet"/>
      <w:lvlText w:val="•"/>
      <w:lvlJc w:val="left"/>
      <w:pPr>
        <w:ind w:left="3471" w:hanging="720"/>
      </w:pPr>
      <w:rPr>
        <w:rFonts w:hint="default"/>
        <w:lang w:val="zh-cn" w:eastAsia="zh-cn" w:bidi="zh-cn"/>
      </w:rPr>
    </w:lvl>
    <w:lvl w:ilvl="5">
      <w:start w:val="0"/>
      <w:numFmt w:val="bullet"/>
      <w:lvlText w:val="•"/>
      <w:lvlJc w:val="left"/>
      <w:pPr>
        <w:ind w:left="4587" w:hanging="720"/>
      </w:pPr>
      <w:rPr>
        <w:rFonts w:hint="default"/>
        <w:lang w:val="zh-cn" w:eastAsia="zh-cn" w:bidi="zh-cn"/>
      </w:rPr>
    </w:lvl>
    <w:lvl w:ilvl="6">
      <w:start w:val="0"/>
      <w:numFmt w:val="bullet"/>
      <w:lvlText w:val="•"/>
      <w:lvlJc w:val="left"/>
      <w:pPr>
        <w:ind w:left="5703" w:hanging="720"/>
      </w:pPr>
      <w:rPr>
        <w:rFonts w:hint="default"/>
        <w:lang w:val="zh-cn" w:eastAsia="zh-cn" w:bidi="zh-cn"/>
      </w:rPr>
    </w:lvl>
    <w:lvl w:ilvl="7">
      <w:start w:val="0"/>
      <w:numFmt w:val="bullet"/>
      <w:lvlText w:val="•"/>
      <w:lvlJc w:val="left"/>
      <w:pPr>
        <w:ind w:left="6819" w:hanging="720"/>
      </w:pPr>
      <w:rPr>
        <w:rFonts w:hint="default"/>
        <w:lang w:val="zh-cn" w:eastAsia="zh-cn" w:bidi="zh-cn"/>
      </w:rPr>
    </w:lvl>
    <w:lvl w:ilvl="8">
      <w:start w:val="0"/>
      <w:numFmt w:val="bullet"/>
      <w:lvlText w:val="•"/>
      <w:lvlJc w:val="left"/>
      <w:pPr>
        <w:ind w:left="7934" w:hanging="720"/>
      </w:pPr>
      <w:rPr>
        <w:rFonts w:hint="default"/>
        <w:lang w:val="zh-cn" w:eastAsia="zh-cn" w:bidi="zh-cn"/>
      </w:rPr>
    </w:lvl>
  </w:abstractNum>
  <w:abstractNum w:abstractNumId="3">
    <w:multiLevelType w:val="hybridMultilevel"/>
    <w:lvl w:ilvl="0">
      <w:start w:val="1"/>
      <w:numFmt w:val="decimal"/>
      <w:lvlText w:val="%1"/>
      <w:lvlJc w:val="left"/>
      <w:pPr>
        <w:ind w:left="277" w:hanging="480"/>
        <w:jc w:val="left"/>
      </w:pPr>
      <w:rPr>
        <w:rFonts w:hint="default"/>
        <w:lang w:val="zh-cn" w:eastAsia="zh-cn" w:bidi="zh-cn"/>
      </w:rPr>
    </w:lvl>
    <w:lvl w:ilvl="1">
      <w:start w:val="3"/>
      <w:numFmt w:val="decimal"/>
      <w:lvlText w:val="%1.%2"/>
      <w:lvlJc w:val="left"/>
      <w:pPr>
        <w:ind w:left="277"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257" w:hanging="480"/>
      </w:pPr>
      <w:rPr>
        <w:rFonts w:hint="default"/>
        <w:lang w:val="zh-cn" w:eastAsia="zh-cn" w:bidi="zh-cn"/>
      </w:rPr>
    </w:lvl>
    <w:lvl w:ilvl="3">
      <w:start w:val="0"/>
      <w:numFmt w:val="bullet"/>
      <w:lvlText w:val="•"/>
      <w:lvlJc w:val="left"/>
      <w:pPr>
        <w:ind w:left="3245" w:hanging="480"/>
      </w:pPr>
      <w:rPr>
        <w:rFonts w:hint="default"/>
        <w:lang w:val="zh-cn" w:eastAsia="zh-cn" w:bidi="zh-cn"/>
      </w:rPr>
    </w:lvl>
    <w:lvl w:ilvl="4">
      <w:start w:val="0"/>
      <w:numFmt w:val="bullet"/>
      <w:lvlText w:val="•"/>
      <w:lvlJc w:val="left"/>
      <w:pPr>
        <w:ind w:left="4234" w:hanging="480"/>
      </w:pPr>
      <w:rPr>
        <w:rFonts w:hint="default"/>
        <w:lang w:val="zh-cn" w:eastAsia="zh-cn" w:bidi="zh-cn"/>
      </w:rPr>
    </w:lvl>
    <w:lvl w:ilvl="5">
      <w:start w:val="0"/>
      <w:numFmt w:val="bullet"/>
      <w:lvlText w:val="•"/>
      <w:lvlJc w:val="left"/>
      <w:pPr>
        <w:ind w:left="5223" w:hanging="480"/>
      </w:pPr>
      <w:rPr>
        <w:rFonts w:hint="default"/>
        <w:lang w:val="zh-cn" w:eastAsia="zh-cn" w:bidi="zh-cn"/>
      </w:rPr>
    </w:lvl>
    <w:lvl w:ilvl="6">
      <w:start w:val="0"/>
      <w:numFmt w:val="bullet"/>
      <w:lvlText w:val="•"/>
      <w:lvlJc w:val="left"/>
      <w:pPr>
        <w:ind w:left="6211" w:hanging="480"/>
      </w:pPr>
      <w:rPr>
        <w:rFonts w:hint="default"/>
        <w:lang w:val="zh-cn" w:eastAsia="zh-cn" w:bidi="zh-cn"/>
      </w:rPr>
    </w:lvl>
    <w:lvl w:ilvl="7">
      <w:start w:val="0"/>
      <w:numFmt w:val="bullet"/>
      <w:lvlText w:val="•"/>
      <w:lvlJc w:val="left"/>
      <w:pPr>
        <w:ind w:left="7200" w:hanging="480"/>
      </w:pPr>
      <w:rPr>
        <w:rFonts w:hint="default"/>
        <w:lang w:val="zh-cn" w:eastAsia="zh-cn" w:bidi="zh-cn"/>
      </w:rPr>
    </w:lvl>
    <w:lvl w:ilvl="8">
      <w:start w:val="0"/>
      <w:numFmt w:val="bullet"/>
      <w:lvlText w:val="•"/>
      <w:lvlJc w:val="left"/>
      <w:pPr>
        <w:ind w:left="8189" w:hanging="480"/>
      </w:pPr>
      <w:rPr>
        <w:rFonts w:hint="default"/>
        <w:lang w:val="zh-cn" w:eastAsia="zh-cn" w:bidi="zh-cn"/>
      </w:rPr>
    </w:lvl>
  </w:abstractNum>
  <w:abstractNum w:abstractNumId="1">
    <w:multiLevelType w:val="hybridMultilevel"/>
    <w:lvl w:ilvl="0">
      <w:start w:val="1"/>
      <w:numFmt w:val="decimal"/>
      <w:lvlText w:val="%1."/>
      <w:lvlJc w:val="left"/>
      <w:pPr>
        <w:ind w:left="1000" w:hanging="244"/>
        <w:jc w:val="left"/>
      </w:pPr>
      <w:rPr>
        <w:rFonts w:hint="default" w:ascii="宋体" w:hAnsi="宋体" w:eastAsia="宋体" w:cs="宋体"/>
        <w:b/>
        <w:bCs/>
        <w:spacing w:val="0"/>
        <w:w w:val="99"/>
        <w:sz w:val="22"/>
        <w:szCs w:val="22"/>
        <w:lang w:val="zh-cn" w:eastAsia="zh-cn" w:bidi="zh-cn"/>
      </w:rPr>
    </w:lvl>
    <w:lvl w:ilvl="1">
      <w:start w:val="1"/>
      <w:numFmt w:val="decimal"/>
      <w:lvlText w:val="%1.%2"/>
      <w:lvlJc w:val="left"/>
      <w:pPr>
        <w:ind w:left="1237" w:hanging="480"/>
        <w:jc w:val="left"/>
      </w:pPr>
      <w:rPr>
        <w:rFonts w:hint="default" w:ascii="宋体" w:hAnsi="宋体" w:eastAsia="宋体" w:cs="宋体"/>
        <w:w w:val="100"/>
        <w:sz w:val="24"/>
        <w:szCs w:val="24"/>
        <w:lang w:val="zh-cn" w:eastAsia="zh-cn" w:bidi="zh-cn"/>
      </w:rPr>
    </w:lvl>
    <w:lvl w:ilvl="2">
      <w:start w:val="1"/>
      <w:numFmt w:val="decimal"/>
      <w:lvlText w:val="%1.%2.%3"/>
      <w:lvlJc w:val="left"/>
      <w:pPr>
        <w:ind w:left="277" w:hanging="660"/>
        <w:jc w:val="left"/>
      </w:pPr>
      <w:rPr>
        <w:rFonts w:hint="default" w:ascii="宋体" w:hAnsi="宋体" w:eastAsia="宋体" w:cs="宋体"/>
        <w:w w:val="100"/>
        <w:sz w:val="24"/>
        <w:szCs w:val="24"/>
        <w:lang w:val="zh-cn" w:eastAsia="zh-cn" w:bidi="zh-cn"/>
      </w:rPr>
    </w:lvl>
    <w:lvl w:ilvl="3">
      <w:start w:val="0"/>
      <w:numFmt w:val="bullet"/>
      <w:lvlText w:val="•"/>
      <w:lvlJc w:val="left"/>
      <w:pPr>
        <w:ind w:left="1240" w:hanging="660"/>
      </w:pPr>
      <w:rPr>
        <w:rFonts w:hint="default"/>
        <w:lang w:val="zh-cn" w:eastAsia="zh-cn" w:bidi="zh-cn"/>
      </w:rPr>
    </w:lvl>
    <w:lvl w:ilvl="4">
      <w:start w:val="0"/>
      <w:numFmt w:val="bullet"/>
      <w:lvlText w:val="•"/>
      <w:lvlJc w:val="left"/>
      <w:pPr>
        <w:ind w:left="2515" w:hanging="660"/>
      </w:pPr>
      <w:rPr>
        <w:rFonts w:hint="default"/>
        <w:lang w:val="zh-cn" w:eastAsia="zh-cn" w:bidi="zh-cn"/>
      </w:rPr>
    </w:lvl>
    <w:lvl w:ilvl="5">
      <w:start w:val="0"/>
      <w:numFmt w:val="bullet"/>
      <w:lvlText w:val="•"/>
      <w:lvlJc w:val="left"/>
      <w:pPr>
        <w:ind w:left="3790" w:hanging="660"/>
      </w:pPr>
      <w:rPr>
        <w:rFonts w:hint="default"/>
        <w:lang w:val="zh-cn" w:eastAsia="zh-cn" w:bidi="zh-cn"/>
      </w:rPr>
    </w:lvl>
    <w:lvl w:ilvl="6">
      <w:start w:val="0"/>
      <w:numFmt w:val="bullet"/>
      <w:lvlText w:val="•"/>
      <w:lvlJc w:val="left"/>
      <w:pPr>
        <w:ind w:left="5065" w:hanging="660"/>
      </w:pPr>
      <w:rPr>
        <w:rFonts w:hint="default"/>
        <w:lang w:val="zh-cn" w:eastAsia="zh-cn" w:bidi="zh-cn"/>
      </w:rPr>
    </w:lvl>
    <w:lvl w:ilvl="7">
      <w:start w:val="0"/>
      <w:numFmt w:val="bullet"/>
      <w:lvlText w:val="•"/>
      <w:lvlJc w:val="left"/>
      <w:pPr>
        <w:ind w:left="6340" w:hanging="660"/>
      </w:pPr>
      <w:rPr>
        <w:rFonts w:hint="default"/>
        <w:lang w:val="zh-cn" w:eastAsia="zh-cn" w:bidi="zh-cn"/>
      </w:rPr>
    </w:lvl>
    <w:lvl w:ilvl="8">
      <w:start w:val="0"/>
      <w:numFmt w:val="bullet"/>
      <w:lvlText w:val="•"/>
      <w:lvlJc w:val="left"/>
      <w:pPr>
        <w:ind w:left="7616" w:hanging="660"/>
      </w:pPr>
      <w:rPr>
        <w:rFonts w:hint="default"/>
        <w:lang w:val="zh-cn" w:eastAsia="zh-cn" w:bidi="zh-cn"/>
      </w:rPr>
    </w:lvl>
  </w:abstractNum>
  <w:abstractNum w:abstractNumId="0">
    <w:multiLevelType w:val="hybridMultilevel"/>
    <w:lvl w:ilvl="0">
      <w:start w:val="4"/>
      <w:numFmt w:val="decimal"/>
      <w:lvlText w:val="%1."/>
      <w:lvlJc w:val="left"/>
      <w:pPr>
        <w:ind w:left="520" w:hanging="244"/>
        <w:jc w:val="righ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1484" w:hanging="244"/>
      </w:pPr>
      <w:rPr>
        <w:rFonts w:hint="default"/>
        <w:lang w:val="zh-cn" w:eastAsia="zh-cn" w:bidi="zh-cn"/>
      </w:rPr>
    </w:lvl>
    <w:lvl w:ilvl="2">
      <w:start w:val="0"/>
      <w:numFmt w:val="bullet"/>
      <w:lvlText w:val="•"/>
      <w:lvlJc w:val="left"/>
      <w:pPr>
        <w:ind w:left="2449" w:hanging="244"/>
      </w:pPr>
      <w:rPr>
        <w:rFonts w:hint="default"/>
        <w:lang w:val="zh-cn" w:eastAsia="zh-cn" w:bidi="zh-cn"/>
      </w:rPr>
    </w:lvl>
    <w:lvl w:ilvl="3">
      <w:start w:val="0"/>
      <w:numFmt w:val="bullet"/>
      <w:lvlText w:val="•"/>
      <w:lvlJc w:val="left"/>
      <w:pPr>
        <w:ind w:left="3413" w:hanging="244"/>
      </w:pPr>
      <w:rPr>
        <w:rFonts w:hint="default"/>
        <w:lang w:val="zh-cn" w:eastAsia="zh-cn" w:bidi="zh-cn"/>
      </w:rPr>
    </w:lvl>
    <w:lvl w:ilvl="4">
      <w:start w:val="0"/>
      <w:numFmt w:val="bullet"/>
      <w:lvlText w:val="•"/>
      <w:lvlJc w:val="left"/>
      <w:pPr>
        <w:ind w:left="4378" w:hanging="244"/>
      </w:pPr>
      <w:rPr>
        <w:rFonts w:hint="default"/>
        <w:lang w:val="zh-cn" w:eastAsia="zh-cn" w:bidi="zh-cn"/>
      </w:rPr>
    </w:lvl>
    <w:lvl w:ilvl="5">
      <w:start w:val="0"/>
      <w:numFmt w:val="bullet"/>
      <w:lvlText w:val="•"/>
      <w:lvlJc w:val="left"/>
      <w:pPr>
        <w:ind w:left="5343" w:hanging="244"/>
      </w:pPr>
      <w:rPr>
        <w:rFonts w:hint="default"/>
        <w:lang w:val="zh-cn" w:eastAsia="zh-cn" w:bidi="zh-cn"/>
      </w:rPr>
    </w:lvl>
    <w:lvl w:ilvl="6">
      <w:start w:val="0"/>
      <w:numFmt w:val="bullet"/>
      <w:lvlText w:val="•"/>
      <w:lvlJc w:val="left"/>
      <w:pPr>
        <w:ind w:left="6307" w:hanging="244"/>
      </w:pPr>
      <w:rPr>
        <w:rFonts w:hint="default"/>
        <w:lang w:val="zh-cn" w:eastAsia="zh-cn" w:bidi="zh-cn"/>
      </w:rPr>
    </w:lvl>
    <w:lvl w:ilvl="7">
      <w:start w:val="0"/>
      <w:numFmt w:val="bullet"/>
      <w:lvlText w:val="•"/>
      <w:lvlJc w:val="left"/>
      <w:pPr>
        <w:ind w:left="7272" w:hanging="244"/>
      </w:pPr>
      <w:rPr>
        <w:rFonts w:hint="default"/>
        <w:lang w:val="zh-cn" w:eastAsia="zh-cn" w:bidi="zh-cn"/>
      </w:rPr>
    </w:lvl>
    <w:lvl w:ilvl="8">
      <w:start w:val="0"/>
      <w:numFmt w:val="bullet"/>
      <w:lvlText w:val="•"/>
      <w:lvlJc w:val="left"/>
      <w:pPr>
        <w:ind w:left="8237" w:hanging="244"/>
      </w:pPr>
      <w:rPr>
        <w:rFonts w:hint="default"/>
        <w:lang w:val="zh-cn" w:eastAsia="zh-cn" w:bidi="zh-cn"/>
      </w:rPr>
    </w:lvl>
  </w:abstractNum>
  <w:num w:numId="3">
    <w:abstractNumId w:val="2"/>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35"/>
      <w:ind w:left="122" w:right="234"/>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154"/>
      <w:ind w:left="488"/>
    </w:pPr>
    <w:rPr>
      <w:rFonts w:ascii="楷体" w:hAnsi="楷体" w:eastAsia="楷体" w:cs="楷体"/>
      <w:b/>
      <w:bCs/>
      <w:sz w:val="24"/>
      <w:szCs w:val="24"/>
      <w:lang w:val="zh-cn" w:eastAsia="zh-cn" w:bidi="zh-cn"/>
    </w:rPr>
  </w:style>
  <w:style w:styleId="TOC3" w:type="paragraph">
    <w:name w:val="TOC 3"/>
    <w:basedOn w:val="Normal"/>
    <w:uiPriority w:val="1"/>
    <w:qFormat/>
    <w:pPr>
      <w:spacing w:before="153"/>
      <w:ind w:left="488"/>
    </w:pPr>
    <w:rPr>
      <w:rFonts w:ascii="楷体" w:hAnsi="楷体" w:eastAsia="楷体" w:cs="楷体"/>
      <w:sz w:val="24"/>
      <w:szCs w:val="24"/>
      <w:lang w:val="zh-cn" w:eastAsia="zh-cn" w:bidi="zh-cn"/>
    </w:rPr>
  </w:style>
  <w:style w:styleId="TOC4" w:type="paragraph">
    <w:name w:val="TOC 4"/>
    <w:basedOn w:val="Normal"/>
    <w:uiPriority w:val="1"/>
    <w:qFormat/>
    <w:pPr>
      <w:spacing w:before="153"/>
      <w:ind w:left="488"/>
    </w:pPr>
    <w:rPr>
      <w:rFonts w:ascii="楷体" w:hAnsi="楷体" w:eastAsia="楷体" w:cs="楷体"/>
      <w:b/>
      <w:bCs/>
      <w:i/>
      <w:lang w:val="zh-cn" w:eastAsia="zh-cn" w:bidi="zh-cn"/>
    </w:rPr>
  </w:style>
  <w:style w:styleId="BodyText" w:type="paragraph">
    <w:name w:val="Body Text"/>
    <w:basedOn w:val="Normal"/>
    <w:uiPriority w:val="1"/>
    <w:qFormat/>
    <w:pPr>
      <w:ind w:left="277"/>
    </w:pPr>
    <w:rPr>
      <w:rFonts w:ascii="宋体" w:hAnsi="宋体" w:eastAsia="宋体" w:cs="宋体"/>
      <w:sz w:val="24"/>
      <w:szCs w:val="24"/>
      <w:lang w:val="zh-cn" w:eastAsia="zh-cn" w:bidi="zh-cn"/>
    </w:rPr>
  </w:style>
  <w:style w:styleId="Heading1" w:type="paragraph">
    <w:name w:val="Heading 1"/>
    <w:basedOn w:val="Normal"/>
    <w:uiPriority w:val="1"/>
    <w:qFormat/>
    <w:pPr>
      <w:ind w:left="277"/>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122"/>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757"/>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277" w:firstLine="48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jpeg"/><Relationship Id="rId20" Type="http://schemas.openxmlformats.org/officeDocument/2006/relationships/header" Target="header5.xml"/><Relationship Id="rId21" Type="http://schemas.openxmlformats.org/officeDocument/2006/relationships/footer" Target="footer6.xml"/><Relationship Id="rId22" Type="http://schemas.openxmlformats.org/officeDocument/2006/relationships/header" Target="header6.xml"/><Relationship Id="rId23" Type="http://schemas.openxmlformats.org/officeDocument/2006/relationships/footer" Target="footer7.xml"/><Relationship Id="rId24" Type="http://schemas.openxmlformats.org/officeDocument/2006/relationships/image" Target="media/image7.png"/><Relationship Id="rId25" Type="http://schemas.openxmlformats.org/officeDocument/2006/relationships/header" Target="header7.xml"/><Relationship Id="rId26" Type="http://schemas.openxmlformats.org/officeDocument/2006/relationships/footer" Target="footer8.xml"/><Relationship Id="rId27" Type="http://schemas.openxmlformats.org/officeDocument/2006/relationships/header" Target="header8.xml"/><Relationship Id="rId28" Type="http://schemas.openxmlformats.org/officeDocument/2006/relationships/footer" Target="footer9.xml"/><Relationship Id="rId29" Type="http://schemas.openxmlformats.org/officeDocument/2006/relationships/header" Target="header9.xml"/><Relationship Id="rId30" Type="http://schemas.openxmlformats.org/officeDocument/2006/relationships/footer" Target="footer10.xml"/><Relationship Id="rId31" Type="http://schemas.openxmlformats.org/officeDocument/2006/relationships/image" Target="media/image8.jpeg"/><Relationship Id="rId32" Type="http://schemas.openxmlformats.org/officeDocument/2006/relationships/image" Target="media/image9.jpeg"/><Relationship Id="rId33" Type="http://schemas.openxmlformats.org/officeDocument/2006/relationships/hyperlink" Target="mailto:z30@cpa.org.cn" TargetMode="External"/><Relationship Id="rId34" Type="http://schemas.openxmlformats.org/officeDocument/2006/relationships/hyperlink" Target="http://www.cpa.org.cn/cpadmn/attached/file/20190626/1561540387130906.doc" TargetMode="External"/><Relationship Id="rId35" Type="http://schemas.openxmlformats.org/officeDocument/2006/relationships/hyperlink" Target="http://www.cpa.org.cn/cpadmn/attached/file/20190626/1561540460118625.pdf" TargetMode="External"/><Relationship Id="rId36" Type="http://schemas.openxmlformats.org/officeDocument/2006/relationships/hyperlink" Target="http://www.cpa.org.cn/?do=info&amp;cid=75007" TargetMode="External"/><Relationship Id="rId37" Type="http://schemas.openxmlformats.org/officeDocument/2006/relationships/header" Target="header10.xml"/><Relationship Id="rId38" Type="http://schemas.openxmlformats.org/officeDocument/2006/relationships/footer" Target="footer11.xml"/><Relationship Id="rId39" Type="http://schemas.openxmlformats.org/officeDocument/2006/relationships/header" Target="header11.xml"/><Relationship Id="rId40" Type="http://schemas.openxmlformats.org/officeDocument/2006/relationships/footer" Target="footer12.xml"/><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2019-10-23T03:33:17Z</dcterms:created>
  <dcterms:modified xsi:type="dcterms:W3CDTF">2019-10-23T03:33:17Z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Office Word 2007</vt:lpwstr>
  </property>
  <property fmtid="{D5CDD505-2E9C-101B-9397-08002B2CF9AE}" pid="4" name="LastSaved">
    <vt:filetime>2019-10-23T00:00:00Z</vt:filetime>
  </property>
</Properties>
</file>