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Default Extension="png" ContentType="image/png"/>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group style="position:absolute;margin-left:32.400002pt;margin-top:54.599979pt;width:540.6pt;height:161.3pt;mso-position-horizontal-relative:page;mso-position-vertical-relative:page;z-index:-253355008"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rPr>
      </w:pPr>
    </w:p>
    <w:p>
      <w:pPr>
        <w:pStyle w:val="Heading2"/>
        <w:tabs>
          <w:tab w:pos="3719" w:val="left" w:leader="none"/>
        </w:tabs>
        <w:spacing w:before="55"/>
        <w:ind w:left="420"/>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10</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208</w:t>
      </w:r>
      <w:r>
        <w:rPr>
          <w:rFonts w:ascii="黑体" w:eastAsia="黑体" w:hint="eastAsia"/>
          <w:spacing w:val="-81"/>
        </w:rPr>
        <w:t> </w:t>
      </w:r>
      <w:r>
        <w:rPr>
          <w:rFonts w:ascii="黑体" w:eastAsia="黑体" w:hint="eastAsia"/>
        </w:rPr>
        <w:t>期</w:t>
      </w:r>
    </w:p>
    <w:p>
      <w:pPr>
        <w:tabs>
          <w:tab w:pos="7589" w:val="left" w:leader="none"/>
        </w:tabs>
        <w:spacing w:before="230"/>
        <w:ind w:left="558" w:right="0" w:firstLine="0"/>
        <w:jc w:val="left"/>
        <w:rPr>
          <w:rFonts w:ascii="楷体" w:eastAsia="楷体" w:hint="eastAsia"/>
          <w:b/>
          <w:sz w:val="28"/>
        </w:rPr>
      </w:pPr>
      <w:r>
        <w:rPr/>
        <w:pict>
          <v:shape style="position:absolute;margin-left:55pt;margin-top:36.279995pt;width:491.25pt;height:.1pt;mso-position-horizontal-relative:page;mso-position-vertical-relative:paragraph;z-index:-251658240;mso-wrap-distance-left:0;mso-wrap-distance-right:0" coordorigin="1100,726" coordsize="9825,0" path="m1100,726l10925,726e" filled="false" stroked="true" strokeweight="2.25pt" strokecolor="#ff0000">
            <v:path arrowok="t"/>
            <v:stroke dashstyle="solid"/>
            <w10:wrap type="topAndBottom"/>
          </v:shape>
        </w:pict>
      </w:r>
      <w:r>
        <w:rPr>
          <w:rFonts w:ascii="楷体" w:eastAsia="楷体" w:hint="eastAsia"/>
          <w:b/>
          <w:sz w:val="28"/>
        </w:rPr>
        <w:t>中国药学会科技开发中心 组织联络部</w:t>
        <w:tab/>
        <w:t>2019</w:t>
      </w:r>
      <w:r>
        <w:rPr>
          <w:rFonts w:ascii="楷体" w:eastAsia="楷体" w:hint="eastAsia"/>
          <w:b/>
          <w:spacing w:val="-70"/>
          <w:sz w:val="28"/>
        </w:rPr>
        <w:t> </w:t>
      </w:r>
      <w:r>
        <w:rPr>
          <w:rFonts w:ascii="楷体" w:eastAsia="楷体" w:hint="eastAsia"/>
          <w:b/>
          <w:sz w:val="28"/>
        </w:rPr>
        <w:t>年</w:t>
      </w:r>
      <w:r>
        <w:rPr>
          <w:rFonts w:ascii="楷体" w:eastAsia="楷体" w:hint="eastAsia"/>
          <w:b/>
          <w:spacing w:val="-70"/>
          <w:sz w:val="28"/>
        </w:rPr>
        <w:t> </w:t>
      </w:r>
      <w:r>
        <w:rPr>
          <w:rFonts w:ascii="楷体" w:eastAsia="楷体" w:hint="eastAsia"/>
          <w:b/>
          <w:sz w:val="28"/>
        </w:rPr>
        <w:t>6</w:t>
      </w:r>
      <w:r>
        <w:rPr>
          <w:rFonts w:ascii="楷体" w:eastAsia="楷体" w:hint="eastAsia"/>
          <w:b/>
          <w:spacing w:val="-73"/>
          <w:sz w:val="28"/>
        </w:rPr>
        <w:t> </w:t>
      </w:r>
      <w:r>
        <w:rPr>
          <w:rFonts w:ascii="楷体" w:eastAsia="楷体" w:hint="eastAsia"/>
          <w:b/>
          <w:sz w:val="28"/>
        </w:rPr>
        <w:t>月</w:t>
      </w:r>
      <w:r>
        <w:rPr>
          <w:rFonts w:ascii="楷体" w:eastAsia="楷体" w:hint="eastAsia"/>
          <w:b/>
          <w:spacing w:val="-70"/>
          <w:sz w:val="28"/>
        </w:rPr>
        <w:t> </w:t>
      </w:r>
      <w:r>
        <w:rPr>
          <w:rFonts w:ascii="楷体" w:eastAsia="楷体" w:hint="eastAsia"/>
          <w:b/>
          <w:sz w:val="28"/>
        </w:rPr>
        <w:t>18</w:t>
      </w:r>
      <w:r>
        <w:rPr>
          <w:rFonts w:ascii="楷体" w:eastAsia="楷体" w:hint="eastAsia"/>
          <w:b/>
          <w:spacing w:val="-74"/>
          <w:sz w:val="28"/>
        </w:rPr>
        <w:t> </w:t>
      </w:r>
      <w:r>
        <w:rPr>
          <w:rFonts w:ascii="楷体" w:eastAsia="楷体" w:hint="eastAsia"/>
          <w:b/>
          <w:sz w:val="28"/>
        </w:rPr>
        <w:t>日</w:t>
      </w:r>
    </w:p>
    <w:p>
      <w:pPr>
        <w:pStyle w:val="BodyText"/>
        <w:spacing w:before="8"/>
        <w:ind w:left="0" w:firstLine="0"/>
        <w:rPr>
          <w:rFonts w:ascii="楷体"/>
          <w:b/>
          <w:sz w:val="29"/>
        </w:rPr>
      </w:pPr>
    </w:p>
    <w:p>
      <w:pPr>
        <w:spacing w:line="560" w:lineRule="exact" w:before="0"/>
        <w:ind w:left="181" w:right="0" w:firstLine="0"/>
        <w:jc w:val="center"/>
        <w:rPr>
          <w:rFonts w:ascii="黑体" w:eastAsia="黑体" w:hint="eastAsia"/>
          <w:b/>
          <w:sz w:val="44"/>
        </w:rPr>
      </w:pPr>
      <w:r>
        <w:rPr>
          <w:rFonts w:ascii="黑体" w:eastAsia="黑体" w:hint="eastAsia"/>
          <w:b/>
          <w:color w:val="008000"/>
          <w:sz w:val="44"/>
        </w:rPr>
        <w:t>目 次</w:t>
      </w:r>
    </w:p>
    <w:p>
      <w:pPr>
        <w:spacing w:line="560" w:lineRule="exact" w:before="0"/>
        <w:ind w:left="185" w:right="0" w:firstLine="0"/>
        <w:jc w:val="center"/>
        <w:rPr>
          <w:rFonts w:ascii="隶书" w:eastAsia="隶书" w:hint="eastAsia"/>
          <w:sz w:val="44"/>
        </w:rPr>
      </w:pPr>
      <w:r>
        <w:rPr>
          <w:rFonts w:ascii="隶书" w:eastAsia="隶书" w:hint="eastAsia"/>
          <w:color w:val="1A5220"/>
          <w:sz w:val="44"/>
        </w:rPr>
        <w:t>政策导览</w:t>
      </w:r>
    </w:p>
    <w:p>
      <w:pPr>
        <w:pStyle w:val="Heading3"/>
        <w:tabs>
          <w:tab w:pos="9701" w:val="right" w:leader="dot"/>
        </w:tabs>
        <w:spacing w:before="147"/>
        <w:ind w:left="628"/>
        <w:rPr>
          <w:rFonts w:ascii="楷体" w:eastAsia="楷体" w:hint="eastAsia"/>
          <w:b w:val="0"/>
        </w:rPr>
      </w:pPr>
      <w:r>
        <w:rPr>
          <w:rFonts w:ascii="楷体" w:eastAsia="楷体" w:hint="eastAsia"/>
        </w:rPr>
        <w:t>【政府要闻】</w:t>
        <w:tab/>
      </w:r>
      <w:r>
        <w:rPr>
          <w:rFonts w:ascii="楷体" w:eastAsia="楷体" w:hint="eastAsia"/>
          <w:b w:val="0"/>
        </w:rPr>
        <w:t>1</w:t>
      </w:r>
    </w:p>
    <w:p>
      <w:pPr>
        <w:pStyle w:val="BodyText"/>
        <w:tabs>
          <w:tab w:pos="9701" w:val="right" w:leader="dot"/>
        </w:tabs>
        <w:spacing w:before="195"/>
        <w:ind w:left="628" w:firstLine="0"/>
        <w:rPr>
          <w:rFonts w:ascii="楷体" w:eastAsia="楷体" w:hint="eastAsia"/>
        </w:rPr>
      </w:pPr>
      <w:r>
        <w:rPr>
          <w:rFonts w:ascii="楷体" w:eastAsia="楷体" w:hint="eastAsia"/>
        </w:rPr>
        <w:t>要做好常用药、急救药保供稳价决不能断货，决不能任性涨价</w:t>
        <w:tab/>
        <w:t>1</w:t>
      </w:r>
    </w:p>
    <w:p>
      <w:pPr>
        <w:pStyle w:val="BodyText"/>
        <w:tabs>
          <w:tab w:pos="9701" w:val="right" w:leader="dot"/>
        </w:tabs>
        <w:spacing w:before="191"/>
        <w:ind w:left="628" w:firstLine="0"/>
        <w:rPr>
          <w:rFonts w:ascii="楷体" w:eastAsia="楷体" w:hint="eastAsia"/>
        </w:rPr>
      </w:pPr>
      <w:r>
        <w:rPr>
          <w:rFonts w:ascii="楷体" w:eastAsia="楷体" w:hint="eastAsia"/>
        </w:rPr>
        <w:t>人类遗传资源管理条例出台</w:t>
        <w:tab/>
        <w:t>1</w:t>
      </w:r>
    </w:p>
    <w:p>
      <w:pPr>
        <w:pStyle w:val="BodyText"/>
        <w:tabs>
          <w:tab w:pos="9701" w:val="right" w:leader="dot"/>
        </w:tabs>
        <w:spacing w:before="192"/>
        <w:ind w:left="628" w:firstLine="0"/>
        <w:rPr>
          <w:rFonts w:ascii="楷体" w:eastAsia="楷体" w:hint="eastAsia"/>
        </w:rPr>
      </w:pPr>
      <w:r>
        <w:rPr>
          <w:rFonts w:ascii="楷体" w:eastAsia="楷体" w:hint="eastAsia"/>
        </w:rPr>
        <w:t>今年</w:t>
      </w:r>
      <w:r>
        <w:rPr>
          <w:rFonts w:ascii="楷体" w:eastAsia="楷体" w:hint="eastAsia"/>
          <w:spacing w:val="-61"/>
        </w:rPr>
        <w:t> </w:t>
      </w:r>
      <w:r>
        <w:rPr>
          <w:rFonts w:ascii="楷体" w:eastAsia="楷体" w:hint="eastAsia"/>
        </w:rPr>
        <w:t>36</w:t>
      </w:r>
      <w:r>
        <w:rPr>
          <w:rFonts w:ascii="楷体" w:eastAsia="楷体" w:hint="eastAsia"/>
          <w:spacing w:val="-60"/>
        </w:rPr>
        <w:t> </w:t>
      </w:r>
      <w:r>
        <w:rPr>
          <w:rFonts w:ascii="楷体" w:eastAsia="楷体" w:hint="eastAsia"/>
        </w:rPr>
        <w:t>项医改重点任务公布</w:t>
        <w:tab/>
        <w:t>2</w:t>
      </w:r>
    </w:p>
    <w:p>
      <w:pPr>
        <w:pStyle w:val="BodyText"/>
        <w:tabs>
          <w:tab w:pos="9701" w:val="right" w:leader="dot"/>
        </w:tabs>
        <w:spacing w:before="194"/>
        <w:ind w:left="628" w:firstLine="0"/>
        <w:rPr>
          <w:rFonts w:ascii="楷体" w:eastAsia="楷体" w:hint="eastAsia"/>
        </w:rPr>
      </w:pPr>
      <w:r>
        <w:rPr>
          <w:rFonts w:ascii="楷体" w:eastAsia="楷体" w:hint="eastAsia"/>
        </w:rPr>
        <w:t>科技资源共享平台名单发布</w:t>
        <w:tab/>
        <w:t>3</w:t>
      </w:r>
    </w:p>
    <w:p>
      <w:pPr>
        <w:pStyle w:val="BodyText"/>
        <w:tabs>
          <w:tab w:pos="9701" w:val="right" w:leader="dot"/>
        </w:tabs>
        <w:spacing w:before="192"/>
        <w:ind w:left="628" w:firstLine="0"/>
        <w:rPr>
          <w:rFonts w:ascii="楷体" w:eastAsia="楷体" w:hint="eastAsia"/>
        </w:rPr>
      </w:pPr>
      <w:r>
        <w:rPr>
          <w:rFonts w:ascii="楷体" w:eastAsia="楷体" w:hint="eastAsia"/>
        </w:rPr>
        <w:t>19</w:t>
      </w:r>
      <w:r>
        <w:rPr>
          <w:rFonts w:ascii="楷体" w:eastAsia="楷体" w:hint="eastAsia"/>
          <w:spacing w:val="-60"/>
        </w:rPr>
        <w:t> </w:t>
      </w:r>
      <w:r>
        <w:rPr>
          <w:rFonts w:ascii="楷体" w:eastAsia="楷体" w:hint="eastAsia"/>
        </w:rPr>
        <w:t>项措施给基层松绑减负</w:t>
        <w:tab/>
        <w:t>3</w:t>
      </w:r>
    </w:p>
    <w:p>
      <w:pPr>
        <w:pStyle w:val="BodyText"/>
        <w:tabs>
          <w:tab w:pos="9701" w:val="right" w:leader="dot"/>
        </w:tabs>
        <w:spacing w:before="192"/>
        <w:ind w:left="628" w:firstLine="0"/>
        <w:rPr>
          <w:rFonts w:ascii="楷体" w:eastAsia="楷体" w:hint="eastAsia"/>
        </w:rPr>
      </w:pPr>
      <w:r>
        <w:rPr>
          <w:rFonts w:ascii="楷体" w:eastAsia="楷体" w:hint="eastAsia"/>
        </w:rPr>
        <w:t>22</w:t>
      </w:r>
      <w:r>
        <w:rPr>
          <w:rFonts w:ascii="楷体" w:eastAsia="楷体" w:hint="eastAsia"/>
          <w:spacing w:val="-60"/>
        </w:rPr>
        <w:t> </w:t>
      </w:r>
      <w:r>
        <w:rPr>
          <w:rFonts w:ascii="楷体" w:eastAsia="楷体" w:hint="eastAsia"/>
        </w:rPr>
        <w:t>项政策助推社会办医</w:t>
        <w:tab/>
        <w:t>4</w:t>
      </w:r>
    </w:p>
    <w:p>
      <w:pPr>
        <w:pStyle w:val="BodyText"/>
        <w:tabs>
          <w:tab w:pos="9701" w:val="right" w:leader="dot"/>
        </w:tabs>
        <w:spacing w:before="194"/>
        <w:ind w:left="628" w:firstLine="0"/>
        <w:rPr>
          <w:rFonts w:ascii="楷体" w:eastAsia="楷体" w:hint="eastAsia"/>
        </w:rPr>
      </w:pPr>
      <w:r>
        <w:rPr>
          <w:rFonts w:ascii="楷体" w:eastAsia="楷体" w:hint="eastAsia"/>
        </w:rPr>
        <w:t>穿透式监管利于药价正本清源</w:t>
        <w:tab/>
        <w:t>4</w:t>
      </w:r>
    </w:p>
    <w:p>
      <w:pPr>
        <w:pStyle w:val="BodyText"/>
        <w:tabs>
          <w:tab w:pos="9701" w:val="right" w:leader="dot"/>
        </w:tabs>
        <w:spacing w:before="192"/>
        <w:ind w:left="628" w:firstLine="0"/>
        <w:rPr>
          <w:rFonts w:ascii="楷体" w:hAnsi="楷体" w:eastAsia="楷体" w:hint="eastAsia"/>
        </w:rPr>
      </w:pPr>
      <w:r>
        <w:rPr>
          <w:rFonts w:ascii="楷体" w:hAnsi="楷体" w:eastAsia="楷体" w:hint="eastAsia"/>
        </w:rPr>
        <w:t>DRG</w:t>
      </w:r>
      <w:r>
        <w:rPr>
          <w:rFonts w:ascii="楷体" w:hAnsi="楷体" w:eastAsia="楷体" w:hint="eastAsia"/>
          <w:spacing w:val="-60"/>
        </w:rPr>
        <w:t> </w:t>
      </w:r>
      <w:r>
        <w:rPr>
          <w:rFonts w:ascii="楷体" w:hAnsi="楷体" w:eastAsia="楷体" w:hint="eastAsia"/>
        </w:rPr>
        <w:t>国家试点明确“三步走”</w:t>
        <w:tab/>
        <w:t>5</w:t>
      </w:r>
    </w:p>
    <w:p>
      <w:pPr>
        <w:pStyle w:val="BodyText"/>
        <w:tabs>
          <w:tab w:pos="9701" w:val="right" w:leader="dot"/>
        </w:tabs>
        <w:spacing w:before="192"/>
        <w:ind w:left="628" w:firstLine="0"/>
        <w:rPr>
          <w:rFonts w:ascii="楷体" w:eastAsia="楷体" w:hint="eastAsia"/>
        </w:rPr>
      </w:pPr>
      <w:r>
        <w:rPr>
          <w:rFonts w:ascii="楷体" w:eastAsia="楷体" w:hint="eastAsia"/>
        </w:rPr>
        <w:t>关于第三批鼓励研发申报儿童药品建议清单的公示</w:t>
        <w:tab/>
        <w:t>5</w:t>
      </w:r>
    </w:p>
    <w:p>
      <w:pPr>
        <w:pStyle w:val="Heading3"/>
        <w:tabs>
          <w:tab w:pos="9701" w:val="right" w:leader="dot"/>
        </w:tabs>
        <w:spacing w:before="194"/>
        <w:ind w:left="628"/>
        <w:rPr>
          <w:rFonts w:ascii="楷体" w:eastAsia="楷体" w:hint="eastAsia"/>
          <w:b w:val="0"/>
        </w:rPr>
      </w:pPr>
      <w:r>
        <w:rPr>
          <w:rFonts w:ascii="楷体" w:eastAsia="楷体" w:hint="eastAsia"/>
        </w:rPr>
        <w:t>【医改新政】</w:t>
        <w:tab/>
      </w:r>
      <w:r>
        <w:rPr>
          <w:rFonts w:ascii="楷体" w:eastAsia="楷体" w:hint="eastAsia"/>
          <w:b w:val="0"/>
        </w:rPr>
        <w:t>7</w:t>
      </w:r>
    </w:p>
    <w:p>
      <w:pPr>
        <w:pStyle w:val="BodyText"/>
        <w:tabs>
          <w:tab w:pos="9701" w:val="right" w:leader="dot"/>
        </w:tabs>
        <w:spacing w:before="191"/>
        <w:ind w:left="628" w:firstLine="0"/>
        <w:rPr>
          <w:rFonts w:ascii="楷体" w:eastAsia="楷体" w:hint="eastAsia"/>
        </w:rPr>
      </w:pPr>
      <w:r>
        <w:rPr>
          <w:rFonts w:ascii="楷体" w:eastAsia="楷体" w:hint="eastAsia"/>
        </w:rPr>
        <w:t>深化医改重点抓两条</w:t>
        <w:tab/>
        <w:t>7</w:t>
      </w:r>
    </w:p>
    <w:p>
      <w:pPr>
        <w:pStyle w:val="BodyText"/>
        <w:tabs>
          <w:tab w:pos="9701" w:val="right" w:leader="dot"/>
        </w:tabs>
        <w:spacing w:before="192"/>
        <w:ind w:left="628" w:firstLine="0"/>
        <w:rPr>
          <w:rFonts w:ascii="楷体" w:hAnsi="楷体" w:eastAsia="楷体" w:hint="eastAsia"/>
        </w:rPr>
      </w:pPr>
      <w:r>
        <w:rPr>
          <w:rFonts w:ascii="楷体" w:hAnsi="楷体" w:eastAsia="楷体" w:hint="eastAsia"/>
        </w:rPr>
        <w:t>医师药师联合门诊对血栓说“不”</w:t>
        <w:tab/>
        <w:t>8</w:t>
      </w:r>
    </w:p>
    <w:p>
      <w:pPr>
        <w:pStyle w:val="Heading3"/>
        <w:tabs>
          <w:tab w:pos="9701" w:val="right" w:leader="dot"/>
        </w:tabs>
        <w:spacing w:before="195"/>
        <w:ind w:left="628"/>
        <w:rPr>
          <w:rFonts w:ascii="楷体" w:eastAsia="楷体" w:hint="eastAsia"/>
          <w:b w:val="0"/>
        </w:rPr>
      </w:pPr>
      <w:r>
        <w:rPr>
          <w:rFonts w:ascii="楷体" w:eastAsia="楷体" w:hint="eastAsia"/>
        </w:rPr>
        <w:t>【医保动态】</w:t>
        <w:tab/>
      </w:r>
      <w:r>
        <w:rPr>
          <w:rFonts w:ascii="楷体" w:eastAsia="楷体" w:hint="eastAsia"/>
          <w:b w:val="0"/>
        </w:rPr>
        <w:t>8</w:t>
      </w:r>
    </w:p>
    <w:p>
      <w:pPr>
        <w:pStyle w:val="BodyText"/>
        <w:tabs>
          <w:tab w:pos="9701" w:val="right" w:leader="dot"/>
        </w:tabs>
        <w:spacing w:before="191"/>
        <w:ind w:left="628" w:firstLine="0"/>
        <w:rPr>
          <w:rFonts w:ascii="楷体" w:hAnsi="楷体" w:eastAsia="楷体" w:hint="eastAsia"/>
        </w:rPr>
      </w:pPr>
      <w:r>
        <w:rPr>
          <w:rFonts w:ascii="楷体" w:hAnsi="楷体" w:eastAsia="楷体" w:hint="eastAsia"/>
        </w:rPr>
        <w:t>降低药费今年出“两招”</w:t>
        <w:tab/>
        <w:t>8</w:t>
      </w:r>
    </w:p>
    <w:p>
      <w:pPr>
        <w:pStyle w:val="BodyText"/>
        <w:tabs>
          <w:tab w:pos="9701" w:val="right" w:leader="dot"/>
        </w:tabs>
        <w:spacing w:before="192"/>
        <w:ind w:left="628" w:firstLine="0"/>
        <w:rPr>
          <w:rFonts w:ascii="楷体" w:eastAsia="楷体" w:hint="eastAsia"/>
        </w:rPr>
      </w:pPr>
      <w:r>
        <w:rPr>
          <w:rFonts w:ascii="楷体" w:eastAsia="楷体" w:hint="eastAsia"/>
        </w:rPr>
        <w:t>国家异地就医结算系统再扩容</w:t>
        <w:tab/>
        <w:t>8</w:t>
      </w:r>
    </w:p>
    <w:p>
      <w:pPr>
        <w:pStyle w:val="BodyText"/>
        <w:tabs>
          <w:tab w:pos="9701" w:val="right" w:leader="dot"/>
        </w:tabs>
        <w:spacing w:before="194"/>
        <w:ind w:left="628" w:firstLine="0"/>
        <w:rPr>
          <w:rFonts w:ascii="楷体" w:eastAsia="楷体" w:hint="eastAsia"/>
        </w:rPr>
      </w:pPr>
      <w:r>
        <w:rPr>
          <w:rFonts w:ascii="楷体" w:eastAsia="楷体" w:hint="eastAsia"/>
        </w:rPr>
        <w:t>医保个人账户取消不影响待遇</w:t>
        <w:tab/>
        <w:t>9</w:t>
      </w:r>
    </w:p>
    <w:p>
      <w:pPr>
        <w:spacing w:after="0"/>
        <w:rPr>
          <w:rFonts w:ascii="楷体" w:eastAsia="楷体" w:hint="eastAsia"/>
        </w:rPr>
        <w:sectPr>
          <w:footerReference w:type="default" r:id="rId5"/>
          <w:type w:val="continuous"/>
          <w:pgSz w:w="11910" w:h="16850"/>
          <w:pgMar w:footer="825" w:top="1100" w:bottom="1020" w:left="860" w:right="900"/>
          <w:pgNumType w:start="1"/>
        </w:sectPr>
      </w:pPr>
    </w:p>
    <w:sdt>
      <w:sdtPr>
        <w:docPartObj>
          <w:docPartGallery w:val="Table of Contents"/>
          <w:docPartUnique/>
        </w:docPartObj>
      </w:sdtPr>
      <w:sdtEndPr/>
      <w:sdtContent>
        <w:p>
          <w:pPr>
            <w:pStyle w:val="TOC2"/>
            <w:tabs>
              <w:tab w:pos="9701" w:val="right" w:leader="dot"/>
            </w:tabs>
            <w:spacing w:before="331"/>
            <w:rPr>
              <w:b w:val="0"/>
            </w:rPr>
          </w:pPr>
          <w:hyperlink w:history="true" w:anchor="_TOC_250051">
            <w:r>
              <w:rPr/>
              <w:t>【药监动态】</w:t>
              <w:tab/>
            </w:r>
            <w:r>
              <w:rPr>
                <w:b w:val="0"/>
              </w:rPr>
              <w:t>9</w:t>
            </w:r>
          </w:hyperlink>
        </w:p>
        <w:p>
          <w:pPr>
            <w:pStyle w:val="TOC3"/>
            <w:tabs>
              <w:tab w:pos="9701" w:val="right" w:leader="dot"/>
            </w:tabs>
          </w:pPr>
          <w:hyperlink w:history="true" w:anchor="_TOC_250050">
            <w:r>
              <w:rPr/>
              <w:t>国家药监局调整临床研究用生物制品进口政策</w:t>
              <w:tab/>
              <w:t>9</w:t>
            </w:r>
          </w:hyperlink>
        </w:p>
        <w:p>
          <w:pPr>
            <w:pStyle w:val="TOC3"/>
            <w:tabs>
              <w:tab w:pos="9701" w:val="right" w:leader="dot"/>
            </w:tabs>
          </w:pPr>
          <w:hyperlink w:history="true" w:anchor="_TOC_250049">
            <w:r>
              <w:rPr/>
              <w:t>国家药监局就</w:t>
            </w:r>
            <w:r>
              <w:rPr>
                <w:spacing w:val="-61"/>
              </w:rPr>
              <w:t> </w:t>
            </w:r>
            <w:r>
              <w:rPr/>
              <w:t>ICH E2B（R3）实施指南公开征求意见</w:t>
              <w:tab/>
              <w:t>10</w:t>
            </w:r>
          </w:hyperlink>
        </w:p>
        <w:p>
          <w:pPr>
            <w:pStyle w:val="TOC3"/>
            <w:tabs>
              <w:tab w:pos="9701" w:val="right" w:leader="dot"/>
            </w:tabs>
            <w:spacing w:before="194"/>
          </w:pPr>
          <w:hyperlink w:history="true" w:anchor="_TOC_250048">
            <w:r>
              <w:rPr/>
              <w:t>注射剂仿制药一致性评价有望加速</w:t>
              <w:tab/>
              <w:t>10</w:t>
            </w:r>
          </w:hyperlink>
        </w:p>
        <w:p>
          <w:pPr>
            <w:pStyle w:val="TOC3"/>
            <w:tabs>
              <w:tab w:pos="9701" w:val="right" w:leader="dot"/>
            </w:tabs>
          </w:pPr>
          <w:hyperlink w:history="true" w:anchor="_TOC_250047">
            <w:r>
              <w:rPr/>
              <w:t>血友病治疗药物临床试验有了细化要求</w:t>
              <w:tab/>
              <w:t>11</w:t>
            </w:r>
          </w:hyperlink>
        </w:p>
        <w:p>
          <w:pPr>
            <w:pStyle w:val="TOC1"/>
          </w:pPr>
          <w:hyperlink w:history="true" w:anchor="_TOC_250046">
            <w:r>
              <w:rPr>
                <w:color w:val="1A5220"/>
              </w:rPr>
              <w:t>行业资讯</w:t>
            </w:r>
          </w:hyperlink>
        </w:p>
        <w:p>
          <w:pPr>
            <w:pStyle w:val="TOC4"/>
            <w:tabs>
              <w:tab w:pos="9701" w:val="right" w:leader="dot"/>
            </w:tabs>
            <w:spacing w:before="151"/>
            <w:rPr>
              <w:b w:val="0"/>
              <w:i w:val="0"/>
              <w:sz w:val="24"/>
            </w:rPr>
          </w:pPr>
          <w:hyperlink w:history="true" w:anchor="_TOC_250045">
            <w:r>
              <w:rPr>
                <w:i w:val="0"/>
                <w:sz w:val="24"/>
              </w:rPr>
              <w:t>【热点聚焦】</w:t>
              <w:tab/>
            </w:r>
            <w:r>
              <w:rPr>
                <w:b w:val="0"/>
                <w:i w:val="0"/>
                <w:sz w:val="24"/>
              </w:rPr>
              <w:t>12</w:t>
            </w:r>
          </w:hyperlink>
        </w:p>
        <w:p>
          <w:pPr>
            <w:pStyle w:val="TOC3"/>
            <w:tabs>
              <w:tab w:pos="9701" w:val="right" w:leader="dot"/>
            </w:tabs>
            <w:spacing w:before="191"/>
          </w:pPr>
          <w:hyperlink w:history="true" w:anchor="_TOC_250044">
            <w:r>
              <w:rPr/>
              <w:t>发展仿制药，原料药的关键作用不可忽视</w:t>
              <w:tab/>
              <w:t>12</w:t>
            </w:r>
          </w:hyperlink>
        </w:p>
        <w:p>
          <w:pPr>
            <w:pStyle w:val="TOC3"/>
            <w:tabs>
              <w:tab w:pos="9701" w:val="right" w:leader="dot"/>
            </w:tabs>
          </w:pPr>
          <w:hyperlink w:history="true" w:anchor="_TOC_250043">
            <w:r>
              <w:rPr/>
              <w:t>2019</w:t>
            </w:r>
            <w:r>
              <w:rPr>
                <w:spacing w:val="-61"/>
              </w:rPr>
              <w:t> </w:t>
            </w:r>
            <w:r>
              <w:rPr/>
              <w:t>年度最值得关注的药物（上）</w:t>
              <w:tab/>
              <w:t>15</w:t>
            </w:r>
          </w:hyperlink>
        </w:p>
        <w:p>
          <w:pPr>
            <w:pStyle w:val="TOC4"/>
            <w:tabs>
              <w:tab w:pos="9701" w:val="right" w:leader="dot"/>
            </w:tabs>
            <w:rPr>
              <w:b w:val="0"/>
              <w:i w:val="0"/>
              <w:sz w:val="24"/>
            </w:rPr>
          </w:pPr>
          <w:hyperlink w:history="true" w:anchor="_TOC_250042">
            <w:r>
              <w:rPr>
                <w:i w:val="0"/>
                <w:sz w:val="24"/>
              </w:rPr>
              <w:t>【数据公报】</w:t>
              <w:tab/>
            </w:r>
            <w:r>
              <w:rPr>
                <w:b w:val="0"/>
                <w:i w:val="0"/>
                <w:sz w:val="24"/>
              </w:rPr>
              <w:t>17</w:t>
            </w:r>
          </w:hyperlink>
        </w:p>
        <w:p>
          <w:pPr>
            <w:pStyle w:val="TOC3"/>
            <w:tabs>
              <w:tab w:pos="9701" w:val="right" w:leader="dot"/>
            </w:tabs>
          </w:pPr>
          <w:hyperlink w:history="true" w:anchor="_TOC_250041">
            <w:r>
              <w:rPr/>
              <w:t>全国</w:t>
            </w:r>
            <w:r>
              <w:rPr>
                <w:spacing w:val="-61"/>
              </w:rPr>
              <w:t> </w:t>
            </w:r>
            <w:r>
              <w:rPr/>
              <w:t>338</w:t>
            </w:r>
            <w:r>
              <w:rPr>
                <w:spacing w:val="-60"/>
              </w:rPr>
              <w:t> </w:t>
            </w:r>
            <w:r>
              <w:rPr/>
              <w:t>个城市</w:t>
            </w:r>
            <w:r>
              <w:rPr>
                <w:spacing w:val="-60"/>
              </w:rPr>
              <w:t> </w:t>
            </w:r>
            <w:r>
              <w:rPr/>
              <w:t>PM2.5</w:t>
            </w:r>
            <w:r>
              <w:rPr>
                <w:spacing w:val="-60"/>
              </w:rPr>
              <w:t> </w:t>
            </w:r>
            <w:r>
              <w:rPr/>
              <w:t>下降</w:t>
            </w:r>
            <w:r>
              <w:rPr>
                <w:spacing w:val="-60"/>
              </w:rPr>
              <w:t> </w:t>
            </w:r>
            <w:r>
              <w:rPr/>
              <w:t>9.3%</w:t>
              <w:tab/>
              <w:t>17</w:t>
            </w:r>
          </w:hyperlink>
        </w:p>
        <w:p>
          <w:pPr>
            <w:pStyle w:val="TOC1"/>
            <w:spacing w:before="40"/>
          </w:pPr>
          <w:hyperlink w:history="true" w:anchor="_TOC_250040">
            <w:r>
              <w:rPr>
                <w:color w:val="1A5220"/>
              </w:rPr>
              <w:t>医药前沿</w:t>
            </w:r>
          </w:hyperlink>
        </w:p>
        <w:p>
          <w:pPr>
            <w:pStyle w:val="TOC4"/>
            <w:tabs>
              <w:tab w:pos="9701" w:val="right" w:leader="dot"/>
            </w:tabs>
            <w:spacing w:before="150"/>
            <w:rPr>
              <w:b w:val="0"/>
              <w:i w:val="0"/>
              <w:sz w:val="24"/>
            </w:rPr>
          </w:pPr>
          <w:hyperlink w:history="true" w:anchor="_TOC_250039">
            <w:r>
              <w:rPr>
                <w:i w:val="0"/>
                <w:sz w:val="24"/>
              </w:rPr>
              <w:t>【前沿速览】</w:t>
              <w:tab/>
            </w:r>
            <w:r>
              <w:rPr>
                <w:b w:val="0"/>
                <w:i w:val="0"/>
                <w:sz w:val="24"/>
              </w:rPr>
              <w:t>18</w:t>
            </w:r>
          </w:hyperlink>
        </w:p>
        <w:p>
          <w:pPr>
            <w:pStyle w:val="TOC3"/>
            <w:tabs>
              <w:tab w:pos="9701" w:val="right" w:leader="dot"/>
            </w:tabs>
            <w:spacing w:before="191"/>
          </w:pPr>
          <w:hyperlink w:history="true" w:anchor="_TOC_250038">
            <w:r>
              <w:rPr/>
              <w:t>新药有望延缓</w:t>
            </w:r>
            <w:r>
              <w:rPr>
                <w:spacing w:val="-61"/>
              </w:rPr>
              <w:t> </w:t>
            </w:r>
            <w:r>
              <w:rPr/>
              <w:t>1</w:t>
            </w:r>
            <w:r>
              <w:rPr>
                <w:spacing w:val="-60"/>
              </w:rPr>
              <w:t> </w:t>
            </w:r>
            <w:r>
              <w:rPr/>
              <w:t>型糖尿病发病</w:t>
              <w:tab/>
              <w:t>18</w:t>
            </w:r>
          </w:hyperlink>
        </w:p>
        <w:p>
          <w:pPr>
            <w:pStyle w:val="TOC3"/>
            <w:tabs>
              <w:tab w:pos="9701" w:val="right" w:leader="dot"/>
            </w:tabs>
          </w:pPr>
          <w:hyperlink w:history="true" w:anchor="_TOC_250037">
            <w:r>
              <w:rPr/>
              <w:t>全球抗抑郁症用药研发进展概览</w:t>
              <w:tab/>
              <w:t>19</w:t>
            </w:r>
          </w:hyperlink>
        </w:p>
        <w:p>
          <w:pPr>
            <w:pStyle w:val="TOC4"/>
            <w:tabs>
              <w:tab w:pos="9701" w:val="right" w:leader="dot"/>
            </w:tabs>
            <w:rPr>
              <w:b w:val="0"/>
              <w:i w:val="0"/>
              <w:sz w:val="24"/>
            </w:rPr>
          </w:pPr>
          <w:hyperlink w:history="true" w:anchor="_TOC_250036">
            <w:r>
              <w:rPr>
                <w:i w:val="0"/>
                <w:sz w:val="24"/>
              </w:rPr>
              <w:t>【研究进展】</w:t>
              <w:tab/>
            </w:r>
            <w:r>
              <w:rPr>
                <w:b w:val="0"/>
                <w:i w:val="0"/>
                <w:sz w:val="24"/>
              </w:rPr>
              <w:t>21</w:t>
            </w:r>
          </w:hyperlink>
        </w:p>
        <w:p>
          <w:pPr>
            <w:pStyle w:val="TOC3"/>
            <w:tabs>
              <w:tab w:pos="9701" w:val="right" w:leader="dot"/>
            </w:tabs>
          </w:pPr>
          <w:hyperlink w:history="true" w:anchor="_TOC_250035">
            <w:r>
              <w:rPr/>
              <w:t>p53</w:t>
            </w:r>
            <w:r>
              <w:rPr>
                <w:spacing w:val="-60"/>
              </w:rPr>
              <w:t> </w:t>
            </w:r>
            <w:r>
              <w:rPr/>
              <w:t>靶向药物将进入临床试验</w:t>
              <w:tab/>
              <w:t>21</w:t>
            </w:r>
          </w:hyperlink>
        </w:p>
        <w:p>
          <w:pPr>
            <w:pStyle w:val="TOC3"/>
            <w:tabs>
              <w:tab w:pos="9701" w:val="right" w:leader="dot"/>
            </w:tabs>
          </w:pPr>
          <w:hyperlink w:history="true" w:anchor="_TOC_250034">
            <w:r>
              <w:rPr/>
              <w:t>抗流感病毒设计有望找到新靶点</w:t>
              <w:tab/>
              <w:t>21</w:t>
            </w:r>
          </w:hyperlink>
        </w:p>
        <w:p>
          <w:pPr>
            <w:pStyle w:val="TOC3"/>
            <w:tabs>
              <w:tab w:pos="9701" w:val="right" w:leader="dot"/>
            </w:tabs>
            <w:spacing w:before="194"/>
          </w:pPr>
          <w:hyperlink w:history="true" w:anchor="_TOC_250033">
            <w:r>
              <w:rPr/>
              <w:t>脑卒中早期筛查或有新标记物</w:t>
              <w:tab/>
              <w:t>22</w:t>
            </w:r>
          </w:hyperlink>
        </w:p>
        <w:p>
          <w:pPr>
            <w:pStyle w:val="TOC3"/>
            <w:tabs>
              <w:tab w:pos="9701" w:val="right" w:leader="dot"/>
            </w:tabs>
          </w:pPr>
          <w:hyperlink w:history="true" w:anchor="_TOC_250032">
            <w:r>
              <w:rPr/>
              <w:t>晚期鼻咽癌有更优治疗方案</w:t>
              <w:tab/>
              <w:t>22</w:t>
            </w:r>
          </w:hyperlink>
        </w:p>
        <w:p>
          <w:pPr>
            <w:pStyle w:val="TOC3"/>
            <w:tabs>
              <w:tab w:pos="9701" w:val="right" w:leader="dot"/>
            </w:tabs>
          </w:pPr>
          <w:hyperlink w:history="true" w:anchor="_TOC_250031">
            <w:r>
              <w:rPr/>
              <w:t>晚期头颈部鳞癌或有创新疗法</w:t>
              <w:tab/>
              <w:t>23</w:t>
            </w:r>
          </w:hyperlink>
        </w:p>
        <w:p>
          <w:pPr>
            <w:pStyle w:val="TOC4"/>
            <w:tabs>
              <w:tab w:pos="9701" w:val="right" w:leader="dot"/>
            </w:tabs>
            <w:rPr>
              <w:b w:val="0"/>
              <w:i w:val="0"/>
              <w:sz w:val="24"/>
            </w:rPr>
          </w:pPr>
          <w:hyperlink w:history="true" w:anchor="_TOC_250030">
            <w:r>
              <w:rPr>
                <w:i w:val="0"/>
                <w:sz w:val="24"/>
              </w:rPr>
              <w:t>【新药看台】</w:t>
              <w:tab/>
            </w:r>
            <w:r>
              <w:rPr>
                <w:b w:val="0"/>
                <w:i w:val="0"/>
                <w:sz w:val="24"/>
              </w:rPr>
              <w:t>24</w:t>
            </w:r>
          </w:hyperlink>
        </w:p>
        <w:p>
          <w:pPr>
            <w:pStyle w:val="TOC3"/>
            <w:tabs>
              <w:tab w:pos="9701" w:val="right" w:leader="dot"/>
            </w:tabs>
          </w:pPr>
          <w:hyperlink w:history="true" w:anchor="_TOC_250029">
            <w:r>
              <w:rPr/>
              <w:t>国产</w:t>
            </w:r>
            <w:r>
              <w:rPr>
                <w:spacing w:val="-61"/>
              </w:rPr>
              <w:t> </w:t>
            </w:r>
            <w:r>
              <w:rPr/>
              <w:t>1</w:t>
            </w:r>
            <w:r>
              <w:rPr>
                <w:spacing w:val="-60"/>
              </w:rPr>
              <w:t> </w:t>
            </w:r>
            <w:r>
              <w:rPr/>
              <w:t>类创新药本维莫德乳膏获批上市</w:t>
              <w:tab/>
              <w:t>24</w:t>
            </w:r>
          </w:hyperlink>
        </w:p>
        <w:p>
          <w:pPr>
            <w:pStyle w:val="TOC1"/>
          </w:pPr>
          <w:hyperlink w:history="true" w:anchor="_TOC_250028">
            <w:r>
              <w:rPr>
                <w:color w:val="1A5220"/>
              </w:rPr>
              <w:t>合理用药</w:t>
            </w:r>
          </w:hyperlink>
        </w:p>
        <w:p>
          <w:pPr>
            <w:pStyle w:val="TOC4"/>
            <w:tabs>
              <w:tab w:pos="9701" w:val="right" w:leader="dot"/>
            </w:tabs>
            <w:spacing w:before="150"/>
            <w:rPr>
              <w:b w:val="0"/>
              <w:i w:val="0"/>
              <w:sz w:val="24"/>
            </w:rPr>
          </w:pPr>
          <w:r>
            <w:rPr>
              <w:i w:val="0"/>
              <w:sz w:val="24"/>
            </w:rPr>
            <w:t>【临床药师】</w:t>
            <w:tab/>
          </w:r>
          <w:r>
            <w:rPr>
              <w:b w:val="0"/>
              <w:i w:val="0"/>
              <w:sz w:val="24"/>
            </w:rPr>
            <w:t>24</w:t>
          </w:r>
        </w:p>
        <w:p>
          <w:pPr>
            <w:pStyle w:val="TOC3"/>
            <w:tabs>
              <w:tab w:pos="9701" w:val="right" w:leader="dot"/>
            </w:tabs>
          </w:pPr>
          <w:hyperlink w:history="true" w:anchor="_TOC_250027">
            <w:r>
              <w:rPr/>
              <w:t>EGFR-TKI</w:t>
            </w:r>
            <w:r>
              <w:rPr>
                <w:spacing w:val="-61"/>
              </w:rPr>
              <w:t> </w:t>
            </w:r>
            <w:r>
              <w:rPr/>
              <w:t>的选择不断增加，为全程管理方案的制定带来新思考</w:t>
              <w:tab/>
              <w:t>24</w:t>
            </w:r>
          </w:hyperlink>
        </w:p>
        <w:p>
          <w:pPr>
            <w:pStyle w:val="TOC4"/>
            <w:tabs>
              <w:tab w:pos="9701" w:val="right" w:leader="dot"/>
            </w:tabs>
            <w:spacing w:before="192"/>
            <w:rPr>
              <w:b w:val="0"/>
              <w:i w:val="0"/>
              <w:sz w:val="24"/>
            </w:rPr>
          </w:pPr>
          <w:hyperlink w:history="true" w:anchor="_TOC_250026">
            <w:r>
              <w:rPr>
                <w:i w:val="0"/>
                <w:sz w:val="24"/>
              </w:rPr>
              <w:t>【专家观点】</w:t>
              <w:tab/>
            </w:r>
            <w:r>
              <w:rPr>
                <w:b w:val="0"/>
                <w:i w:val="0"/>
                <w:sz w:val="24"/>
              </w:rPr>
              <w:t>25</w:t>
            </w:r>
          </w:hyperlink>
        </w:p>
        <w:p>
          <w:pPr>
            <w:pStyle w:val="TOC3"/>
            <w:tabs>
              <w:tab w:pos="9701" w:val="right" w:leader="dot"/>
            </w:tabs>
            <w:spacing w:before="194" w:after="20"/>
          </w:pPr>
          <w:hyperlink w:history="true" w:anchor="_TOC_250025">
            <w:r>
              <w:rPr/>
              <w:t>科学认知乙肝药物</w:t>
            </w:r>
            <w:r>
              <w:rPr>
                <w:spacing w:val="-1"/>
              </w:rPr>
              <w:t> </w:t>
            </w:r>
            <w:r>
              <w:rPr/>
              <w:t>积极推动乙肝治疗</w:t>
              <w:tab/>
              <w:t>25</w:t>
            </w:r>
          </w:hyperlink>
        </w:p>
        <w:p>
          <w:pPr>
            <w:pStyle w:val="TOC4"/>
            <w:tabs>
              <w:tab w:pos="9701" w:val="right" w:leader="dot"/>
            </w:tabs>
            <w:spacing w:before="331"/>
            <w:rPr>
              <w:b w:val="0"/>
              <w:i w:val="0"/>
              <w:sz w:val="24"/>
            </w:rPr>
          </w:pPr>
          <w:hyperlink w:history="true" w:anchor="_TOC_250024">
            <w:r>
              <w:rPr>
                <w:i w:val="0"/>
                <w:sz w:val="24"/>
              </w:rPr>
              <w:t>【药物警戒】</w:t>
              <w:tab/>
            </w:r>
            <w:r>
              <w:rPr>
                <w:b w:val="0"/>
                <w:i w:val="0"/>
                <w:sz w:val="24"/>
              </w:rPr>
              <w:t>27</w:t>
            </w:r>
          </w:hyperlink>
        </w:p>
        <w:p>
          <w:pPr>
            <w:pStyle w:val="TOC3"/>
            <w:tabs>
              <w:tab w:pos="9701" w:val="right" w:leader="dot"/>
            </w:tabs>
          </w:pPr>
          <w:hyperlink w:history="true" w:anchor="_TOC_250023">
            <w:r>
              <w:rPr/>
              <w:t>注射用甲泼尼龙琥珀酸钠说明书修订</w:t>
              <w:tab/>
              <w:t>27</w:t>
            </w:r>
          </w:hyperlink>
        </w:p>
        <w:p>
          <w:pPr>
            <w:pStyle w:val="TOC4"/>
            <w:tabs>
              <w:tab w:pos="9701" w:val="right" w:leader="dot"/>
            </w:tabs>
            <w:spacing w:before="192"/>
            <w:rPr>
              <w:b w:val="0"/>
              <w:i w:val="0"/>
              <w:sz w:val="24"/>
            </w:rPr>
          </w:pPr>
          <w:hyperlink w:history="true" w:anchor="_TOC_250022">
            <w:r>
              <w:rPr>
                <w:i w:val="0"/>
                <w:sz w:val="24"/>
              </w:rPr>
              <w:t>【中医中药】</w:t>
              <w:tab/>
            </w:r>
            <w:r>
              <w:rPr>
                <w:b w:val="0"/>
                <w:i w:val="0"/>
                <w:sz w:val="24"/>
              </w:rPr>
              <w:t>28</w:t>
            </w:r>
          </w:hyperlink>
        </w:p>
        <w:p>
          <w:pPr>
            <w:pStyle w:val="TOC3"/>
            <w:tabs>
              <w:tab w:pos="9701" w:val="right" w:leader="dot"/>
            </w:tabs>
            <w:spacing w:before="194"/>
          </w:pPr>
          <w:hyperlink w:history="true" w:anchor="_TOC_250021">
            <w:r>
              <w:rPr/>
              <w:t>中成药不能随意开</w:t>
              <w:tab/>
              <w:t>28</w:t>
            </w:r>
          </w:hyperlink>
        </w:p>
        <w:p>
          <w:pPr>
            <w:pStyle w:val="TOC3"/>
            <w:tabs>
              <w:tab w:pos="9701" w:val="right" w:leader="dot"/>
            </w:tabs>
          </w:pPr>
          <w:hyperlink w:history="true" w:anchor="_TOC_250020">
            <w:r>
              <w:rPr/>
              <w:t>中药胃癌癌前病变研究引欧洲关注</w:t>
              <w:tab/>
              <w:t>28</w:t>
            </w:r>
          </w:hyperlink>
        </w:p>
        <w:p>
          <w:pPr>
            <w:pStyle w:val="TOC4"/>
            <w:tabs>
              <w:tab w:pos="9701" w:val="right" w:leader="dot"/>
            </w:tabs>
            <w:spacing w:before="191"/>
            <w:rPr>
              <w:b w:val="0"/>
              <w:i w:val="0"/>
              <w:sz w:val="24"/>
            </w:rPr>
          </w:pPr>
          <w:hyperlink w:history="true" w:anchor="_TOC_250019">
            <w:r>
              <w:rPr>
                <w:i w:val="0"/>
                <w:sz w:val="24"/>
              </w:rPr>
              <w:t>【科普知识】</w:t>
              <w:tab/>
            </w:r>
            <w:r>
              <w:rPr>
                <w:b w:val="0"/>
                <w:i w:val="0"/>
                <w:sz w:val="24"/>
              </w:rPr>
              <w:t>29</w:t>
            </w:r>
          </w:hyperlink>
        </w:p>
        <w:p>
          <w:pPr>
            <w:pStyle w:val="TOC3"/>
            <w:tabs>
              <w:tab w:pos="9701" w:val="right" w:leader="dot"/>
            </w:tabs>
            <w:spacing w:before="195"/>
          </w:pPr>
          <w:hyperlink w:history="true" w:anchor="_TOC_250018">
            <w:r>
              <w:rPr/>
              <w:t>使用眼药水应“缓慢停药”</w:t>
              <w:tab/>
              <w:t>29</w:t>
            </w:r>
          </w:hyperlink>
        </w:p>
        <w:p>
          <w:pPr>
            <w:pStyle w:val="TOC3"/>
            <w:tabs>
              <w:tab w:pos="9701" w:val="right" w:leader="dot"/>
            </w:tabs>
          </w:pPr>
          <w:hyperlink w:history="true" w:anchor="_TOC_250017">
            <w:r>
              <w:rPr/>
              <w:t>一文读懂全身麻醉</w:t>
              <w:tab/>
              <w:t>30</w:t>
            </w:r>
          </w:hyperlink>
        </w:p>
        <w:p>
          <w:pPr>
            <w:pStyle w:val="TOC3"/>
            <w:tabs>
              <w:tab w:pos="9701" w:val="right" w:leader="dot"/>
            </w:tabs>
            <w:spacing w:before="191"/>
          </w:pPr>
          <w:hyperlink w:history="true" w:anchor="_TOC_250016">
            <w:r>
              <w:rPr>
                <w:w w:val="95"/>
              </w:rPr>
              <w:t>准妈妈喝冰箱的牛奶致胎死腹中</w:t>
            </w:r>
            <w:r>
              <w:rPr>
                <w:spacing w:val="-59"/>
                <w:w w:val="95"/>
              </w:rPr>
              <w:t> </w:t>
            </w:r>
            <w:r>
              <w:rPr>
                <w:w w:val="95"/>
              </w:rPr>
              <w:t>，罪魁祸首竟是李斯特菌这个“不怕冷的危险分子”！</w:t>
              <w:tab/>
              <w:t>31</w:t>
            </w:r>
          </w:hyperlink>
        </w:p>
        <w:p>
          <w:pPr>
            <w:pStyle w:val="TOC1"/>
            <w:spacing w:before="42"/>
          </w:pPr>
          <w:hyperlink w:history="true" w:anchor="_TOC_250015">
            <w:r>
              <w:rPr>
                <w:color w:val="1A5220"/>
              </w:rPr>
              <w:t>学会动态</w:t>
            </w:r>
          </w:hyperlink>
        </w:p>
        <w:p>
          <w:pPr>
            <w:pStyle w:val="TOC4"/>
            <w:tabs>
              <w:tab w:pos="9701" w:val="right" w:leader="dot"/>
            </w:tabs>
            <w:spacing w:before="148"/>
            <w:rPr>
              <w:b w:val="0"/>
              <w:i w:val="0"/>
              <w:sz w:val="24"/>
            </w:rPr>
          </w:pPr>
          <w:hyperlink w:history="true" w:anchor="_TOC_250014">
            <w:r>
              <w:rPr>
                <w:i w:val="0"/>
                <w:sz w:val="24"/>
              </w:rPr>
              <w:t>【学会之窗】</w:t>
              <w:tab/>
            </w:r>
            <w:r>
              <w:rPr>
                <w:b w:val="0"/>
                <w:i w:val="0"/>
                <w:sz w:val="24"/>
              </w:rPr>
              <w:t>33</w:t>
            </w:r>
          </w:hyperlink>
        </w:p>
        <w:p>
          <w:pPr>
            <w:pStyle w:val="TOC3"/>
            <w:tabs>
              <w:tab w:pos="9701" w:val="right" w:leader="dot"/>
            </w:tabs>
          </w:pPr>
          <w:hyperlink w:history="true" w:anchor="_TOC_250013">
            <w:r>
              <w:rPr/>
              <w:t>中国药学会</w:t>
            </w:r>
            <w:r>
              <w:rPr>
                <w:spacing w:val="-61"/>
              </w:rPr>
              <w:t> </w:t>
            </w:r>
            <w:r>
              <w:rPr/>
              <w:t>2019</w:t>
            </w:r>
            <w:r>
              <w:rPr>
                <w:spacing w:val="-60"/>
              </w:rPr>
              <w:t> </w:t>
            </w:r>
            <w:r>
              <w:rPr/>
              <w:t>年“全国科技工作者日”主题活动在京举办</w:t>
              <w:tab/>
              <w:t>33</w:t>
            </w:r>
          </w:hyperlink>
        </w:p>
        <w:p>
          <w:pPr>
            <w:pStyle w:val="TOC1"/>
            <w:spacing w:before="42"/>
          </w:pPr>
          <w:hyperlink w:history="true" w:anchor="_TOC_250012">
            <w:r>
              <w:rPr>
                <w:color w:val="1A5220"/>
              </w:rPr>
              <w:t>交流园地</w:t>
            </w:r>
          </w:hyperlink>
        </w:p>
        <w:p>
          <w:pPr>
            <w:pStyle w:val="TOC4"/>
            <w:tabs>
              <w:tab w:pos="9701" w:val="right" w:leader="dot"/>
            </w:tabs>
            <w:spacing w:before="147"/>
            <w:rPr>
              <w:b w:val="0"/>
              <w:i w:val="0"/>
              <w:sz w:val="24"/>
            </w:rPr>
          </w:pPr>
          <w:hyperlink w:history="true" w:anchor="_TOC_250011">
            <w:r>
              <w:rPr>
                <w:i w:val="0"/>
                <w:sz w:val="24"/>
              </w:rPr>
              <w:t>【交流平台】</w:t>
              <w:tab/>
            </w:r>
            <w:r>
              <w:rPr>
                <w:b w:val="0"/>
                <w:i w:val="0"/>
                <w:sz w:val="24"/>
              </w:rPr>
              <w:t>34</w:t>
            </w:r>
          </w:hyperlink>
        </w:p>
        <w:p>
          <w:pPr>
            <w:pStyle w:val="TOC3"/>
            <w:tabs>
              <w:tab w:pos="9701" w:val="right" w:leader="dot"/>
            </w:tabs>
          </w:pPr>
          <w:hyperlink w:history="true" w:anchor="_TOC_250010">
            <w:r>
              <w:rPr/>
              <w:t>靶向药品进医保之后</w:t>
              <w:tab/>
              <w:t>34</w:t>
            </w:r>
          </w:hyperlink>
        </w:p>
        <w:p>
          <w:pPr>
            <w:pStyle w:val="TOC4"/>
            <w:tabs>
              <w:tab w:pos="9701" w:val="right" w:leader="dot"/>
            </w:tabs>
            <w:rPr>
              <w:b w:val="0"/>
              <w:i w:val="0"/>
              <w:sz w:val="24"/>
            </w:rPr>
          </w:pPr>
          <w:hyperlink w:history="true" w:anchor="_TOC_250009">
            <w:r>
              <w:rPr>
                <w:i w:val="0"/>
                <w:sz w:val="24"/>
              </w:rPr>
              <w:t>【学习园地】</w:t>
              <w:tab/>
            </w:r>
            <w:r>
              <w:rPr>
                <w:b w:val="0"/>
                <w:i w:val="0"/>
                <w:sz w:val="24"/>
              </w:rPr>
              <w:t>35</w:t>
            </w:r>
          </w:hyperlink>
        </w:p>
        <w:p>
          <w:pPr>
            <w:pStyle w:val="TOC3"/>
            <w:tabs>
              <w:tab w:pos="9701" w:val="right" w:leader="dot"/>
            </w:tabs>
          </w:pPr>
          <w:hyperlink w:history="true" w:anchor="_TOC_250008">
            <w:r>
              <w:rPr/>
              <w:t>阿片类药物防滥用技术创新成果简介</w:t>
              <w:tab/>
              <w:t>35</w:t>
            </w:r>
          </w:hyperlink>
        </w:p>
        <w:p>
          <w:pPr>
            <w:pStyle w:val="TOC3"/>
            <w:tabs>
              <w:tab w:pos="3988" w:val="left" w:leader="none"/>
              <w:tab w:pos="9701" w:val="right" w:leader="dot"/>
            </w:tabs>
          </w:pPr>
          <w:hyperlink w:history="true" w:anchor="_TOC_250007">
            <w:r>
              <w:rPr/>
              <w:t>多肽类药物：来自“老毒物”</w:t>
              <w:tab/>
              <w:t>却是“黄药师”</w:t>
              <w:tab/>
              <w:t>38</w:t>
            </w:r>
          </w:hyperlink>
        </w:p>
        <w:p>
          <w:pPr>
            <w:pStyle w:val="TOC4"/>
            <w:tabs>
              <w:tab w:pos="9701" w:val="right" w:leader="dot"/>
            </w:tabs>
            <w:rPr>
              <w:b w:val="0"/>
              <w:i w:val="0"/>
              <w:sz w:val="24"/>
            </w:rPr>
          </w:pPr>
          <w:hyperlink w:history="true" w:anchor="_TOC_250006">
            <w:r>
              <w:rPr>
                <w:i w:val="0"/>
                <w:sz w:val="24"/>
              </w:rPr>
              <w:t>【药师风采】</w:t>
              <w:tab/>
            </w:r>
            <w:r>
              <w:rPr>
                <w:b w:val="0"/>
                <w:i w:val="0"/>
                <w:sz w:val="24"/>
              </w:rPr>
              <w:t>40</w:t>
            </w:r>
          </w:hyperlink>
        </w:p>
        <w:p>
          <w:pPr>
            <w:pStyle w:val="TOC3"/>
            <w:tabs>
              <w:tab w:pos="9701" w:val="right" w:leader="dot"/>
            </w:tabs>
          </w:pPr>
          <w:hyperlink w:history="true" w:anchor="_TOC_250005">
            <w:r>
              <w:rPr/>
              <w:t>四川省医学科学院·四川省人民医院——杨勇</w:t>
              <w:tab/>
              <w:t>40</w:t>
            </w:r>
          </w:hyperlink>
        </w:p>
        <w:p>
          <w:pPr>
            <w:pStyle w:val="TOC3"/>
            <w:tabs>
              <w:tab w:pos="9701" w:val="right" w:leader="dot"/>
            </w:tabs>
          </w:pPr>
          <w:hyperlink w:history="true" w:anchor="_TOC_250004">
            <w:r>
              <w:rPr/>
              <w:t>邛崃市医疗中心医院——曾明辉</w:t>
              <w:tab/>
              <w:t>41</w:t>
            </w:r>
          </w:hyperlink>
        </w:p>
        <w:p>
          <w:pPr>
            <w:pStyle w:val="TOC3"/>
            <w:tabs>
              <w:tab w:pos="9701" w:val="right" w:leader="dot"/>
            </w:tabs>
            <w:spacing w:before="194"/>
          </w:pPr>
          <w:hyperlink w:history="true" w:anchor="_TOC_250003">
            <w:r>
              <w:rPr/>
              <w:t>贵州医科大学附属医院——杨继红</w:t>
              <w:tab/>
              <w:t>42</w:t>
            </w:r>
          </w:hyperlink>
        </w:p>
        <w:p>
          <w:pPr>
            <w:pStyle w:val="TOC3"/>
            <w:tabs>
              <w:tab w:pos="9701" w:val="right" w:leader="dot"/>
            </w:tabs>
          </w:pPr>
          <w:hyperlink w:history="true" w:anchor="_TOC_250002">
            <w:r>
              <w:rPr/>
              <w:t>黔西南布依族苗族自治州人民医院——黄容</w:t>
              <w:tab/>
              <w:t>42</w:t>
            </w:r>
          </w:hyperlink>
        </w:p>
        <w:p>
          <w:pPr>
            <w:pStyle w:val="TOC2"/>
            <w:tabs>
              <w:tab w:pos="9701" w:val="right" w:leader="dot"/>
            </w:tabs>
            <w:rPr>
              <w:b w:val="0"/>
            </w:rPr>
          </w:pPr>
          <w:hyperlink w:history="true" w:anchor="_TOC_250001">
            <w:r>
              <w:rPr/>
              <w:t>【优秀药师经验分享】</w:t>
              <w:tab/>
            </w:r>
            <w:r>
              <w:rPr>
                <w:b w:val="0"/>
              </w:rPr>
              <w:t>43</w:t>
            </w:r>
          </w:hyperlink>
        </w:p>
        <w:p>
          <w:pPr>
            <w:pStyle w:val="TOC3"/>
            <w:tabs>
              <w:tab w:pos="9701" w:val="right" w:leader="dot"/>
            </w:tabs>
            <w:spacing w:before="194"/>
          </w:pPr>
          <w:hyperlink w:history="true" w:anchor="_TOC_250000">
            <w:r>
              <w:rPr/>
              <w:t>从人工转向智能，让药学信息化</w:t>
            </w:r>
            <w:r>
              <w:rPr>
                <w:rFonts w:ascii="宋体" w:hAnsi="宋体" w:eastAsia="宋体" w:hint="eastAsia"/>
              </w:rPr>
              <w:t>“</w:t>
            </w:r>
            <w:r>
              <w:rPr/>
              <w:t>触手可及</w:t>
            </w:r>
            <w:r>
              <w:rPr>
                <w:rFonts w:ascii="宋体" w:hAnsi="宋体" w:eastAsia="宋体" w:hint="eastAsia"/>
              </w:rPr>
              <w:t>”</w:t>
              <w:tab/>
            </w:r>
            <w:r>
              <w:rPr/>
              <w:t>43</w:t>
            </w:r>
          </w:hyperlink>
        </w:p>
      </w:sdtContent>
    </w:sdt>
    <w:p>
      <w:pPr>
        <w:spacing w:after="0"/>
        <w:sectPr>
          <w:headerReference w:type="default" r:id="rId7"/>
          <w:footerReference w:type="default" r:id="rId8"/>
          <w:pgSz w:w="11910" w:h="16850"/>
          <w:pgMar w:header="906" w:footer="825" w:top="1116" w:bottom="1393" w:left="860" w:right="900"/>
          <w:pgNumType w:start="2"/>
        </w:sectPr>
      </w:pPr>
    </w:p>
    <w:p>
      <w:pPr>
        <w:pStyle w:val="Heading2"/>
        <w:spacing w:before="993"/>
      </w:pPr>
      <w:r>
        <w:rPr/>
        <w:t>【政府要闻】</w:t>
      </w:r>
    </w:p>
    <w:p>
      <w:pPr>
        <w:spacing w:before="122"/>
        <w:ind w:left="41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860" w:right="900"/>
          <w:pgNumType w:start="1"/>
          <w:cols w:num="2" w:equalWidth="0">
            <w:col w:w="2387" w:space="1480"/>
            <w:col w:w="6283"/>
          </w:cols>
        </w:sectPr>
      </w:pPr>
    </w:p>
    <w:p>
      <w:pPr>
        <w:pStyle w:val="BodyText"/>
        <w:spacing w:before="9"/>
        <w:ind w:left="0" w:firstLine="0"/>
        <w:rPr>
          <w:rFonts w:ascii="华文宋体"/>
          <w:b/>
        </w:rPr>
      </w:pPr>
    </w:p>
    <w:p>
      <w:pPr>
        <w:spacing w:before="0"/>
        <w:ind w:left="186" w:right="0" w:firstLine="0"/>
        <w:jc w:val="center"/>
        <w:rPr>
          <w:sz w:val="21"/>
        </w:rPr>
      </w:pPr>
      <w:r>
        <w:rPr>
          <w:sz w:val="21"/>
        </w:rPr>
        <w:t>李克强在浙江杭州考察时强调</w:t>
      </w:r>
    </w:p>
    <w:p>
      <w:pPr>
        <w:pStyle w:val="Heading2"/>
        <w:spacing w:before="157"/>
        <w:ind w:left="178"/>
        <w:jc w:val="center"/>
      </w:pPr>
      <w:r>
        <w:rPr/>
        <w:t>要做好常用药、急救药保供稳价决不能断货，决不能任性涨价</w:t>
      </w:r>
    </w:p>
    <w:p>
      <w:pPr>
        <w:pStyle w:val="Heading3"/>
        <w:spacing w:before="147"/>
        <w:ind w:left="0" w:right="228"/>
        <w:jc w:val="right"/>
        <w:rPr>
          <w:rFonts w:ascii="楷体" w:eastAsia="楷体" w:hint="eastAsia"/>
        </w:rPr>
      </w:pPr>
      <w:r>
        <w:rPr>
          <w:rFonts w:ascii="楷体" w:eastAsia="楷体" w:hint="eastAsia"/>
          <w:color w:val="FF0000"/>
          <w:w w:val="95"/>
        </w:rPr>
        <w:t>（来源：新华社）</w:t>
      </w:r>
    </w:p>
    <w:p>
      <w:pPr>
        <w:pStyle w:val="BodyText"/>
        <w:spacing w:before="96"/>
        <w:ind w:left="897" w:firstLine="0"/>
      </w:pPr>
      <w:r>
        <w:rPr/>
        <w:t>6 月 12～13 日，中共中央政治局常委、国务院总理李克强在浙江杭州考察。</w:t>
      </w:r>
    </w:p>
    <w:p>
      <w:pPr>
        <w:pStyle w:val="BodyText"/>
        <w:spacing w:line="297" w:lineRule="auto" w:before="72"/>
        <w:ind w:right="127"/>
      </w:pPr>
      <w:r>
        <w:rPr>
          <w:spacing w:val="-6"/>
        </w:rPr>
        <w:t>李克强来到拱墅区和睦新村，走进居民家中关切询问老人照护、幼儿入托等情况，在社</w:t>
      </w:r>
      <w:r>
        <w:rPr>
          <w:spacing w:val="-12"/>
        </w:rPr>
        <w:t>区考察居家养老服务项目。他说，居家和社区养老服务需求巨大，要大力引入社会力量增加供给，政府要加大支持，让老人过上舒适安康、快乐幸福的生活，这也让年轻人对未来充满信心。民生选项有很多，还要大力发展社区托幼、家政、助医等服务。正在休闲的老人们告诉总理，这里实施了老旧小区改造，生活环境好多了，但还希望为老楼房加装电梯。李克强</w:t>
      </w:r>
      <w:r>
        <w:rPr>
          <w:spacing w:val="-13"/>
        </w:rPr>
        <w:t>说，建设宜居城市首先要建设宜居小区。改造老旧小区、发展社区服务，不仅是民生工程， </w:t>
      </w:r>
      <w:r>
        <w:rPr>
          <w:spacing w:val="-5"/>
        </w:rPr>
        <w:t>也可成为培育国内市场拓展内需的重要抓手，既能拉动有效投资，又能促进消费，带动大量就业，发展空间广阔，要做好这篇大文章。</w:t>
      </w:r>
    </w:p>
    <w:p>
      <w:pPr>
        <w:pStyle w:val="BodyText"/>
        <w:spacing w:line="297" w:lineRule="auto"/>
        <w:ind w:right="227"/>
        <w:jc w:val="both"/>
      </w:pPr>
      <w:r>
        <w:rPr>
          <w:spacing w:val="-8"/>
        </w:rPr>
        <w:t>李克强走进小区边药店，询问药品尤其是儿童用药、急救药价格和供应情况。店员反映</w:t>
      </w:r>
      <w:r>
        <w:rPr>
          <w:spacing w:val="-7"/>
        </w:rPr>
        <w:t>个别国产急救药断货，而同类进口药价格高，李克强叮嘱随行同志，这是重要民生问题，要做好常用药、急救药保供稳价工作，决不能断货，决不能任性涨价。</w:t>
      </w:r>
    </w:p>
    <w:p>
      <w:pPr>
        <w:pStyle w:val="BodyText"/>
        <w:spacing w:line="297" w:lineRule="auto"/>
        <w:ind w:right="227"/>
        <w:jc w:val="both"/>
      </w:pPr>
      <w:r>
        <w:rPr>
          <w:spacing w:val="-10"/>
        </w:rPr>
        <w:t>在梦想小镇，李克强听取杭州市“双创”情况汇报。得知全国各地上万名创客来小镇创</w:t>
      </w:r>
      <w:r>
        <w:rPr>
          <w:spacing w:val="-11"/>
        </w:rPr>
        <w:t>业，他十分高兴。他走进创业大街，察看人工智能、无人机医疗配送、水上遥控救援设备等</w:t>
      </w:r>
      <w:r>
        <w:rPr>
          <w:spacing w:val="-14"/>
        </w:rPr>
        <w:t>创新成果。他说，小镇发展每个数据背后都有精彩的创业故事，“双创”让古老小镇变成了</w:t>
      </w:r>
      <w:r>
        <w:rPr/>
        <w:t>创业创新新平台，希望全国涌现更多这样的小镇，更多带动就业、推进创新。</w:t>
      </w:r>
    </w:p>
    <w:p>
      <w:pPr>
        <w:pStyle w:val="BodyText"/>
        <w:spacing w:line="297" w:lineRule="auto"/>
        <w:ind w:right="126"/>
      </w:pPr>
      <w:r>
        <w:rPr>
          <w:spacing w:val="-1"/>
        </w:rPr>
        <w:t>李克强来到市行政服务中心，了解“最多跑一次”改革给企业和群众办事带来的变化， </w:t>
      </w:r>
      <w:r>
        <w:rPr>
          <w:spacing w:val="-6"/>
        </w:rPr>
        <w:t>并询问前来办事群众的实际感受。李克强说，这项改革便企便民，让服务对象有更多精力和</w:t>
      </w:r>
      <w:r>
        <w:rPr>
          <w:spacing w:val="-22"/>
        </w:rPr>
        <w:t>时间创造财富、享受生活，下一步还要发展好“一网通办”，使办事由“手动”上网代替“脚动”跑路。李克强还听取浙江省公共信用信息平台情况介绍，他说，市场经济是信用经济，</w:t>
      </w:r>
    </w:p>
    <w:p>
      <w:pPr>
        <w:pStyle w:val="BodyText"/>
        <w:spacing w:line="259" w:lineRule="auto"/>
        <w:ind w:right="227" w:firstLine="0"/>
        <w:rPr>
          <w:rFonts w:ascii="Meiryo" w:eastAsia="Meiryo" w:hint="eastAsia"/>
          <w:b/>
        </w:rPr>
      </w:pPr>
      <w:r>
        <w:rPr>
          <w:spacing w:val="-7"/>
        </w:rPr>
        <w:t>要把企业信用作为政府完善监管、市场交易合作的重要参考，让诚信者便利经营，让失信者</w:t>
      </w:r>
      <w:r>
        <w:rPr/>
        <w:t>寸步难行，该退出市场就退出市场。</w:t>
      </w:r>
      <w:r>
        <w:rPr>
          <w:rFonts w:ascii="Meiryo" w:eastAsia="Meiryo" w:hint="eastAsia"/>
          <w:b/>
          <w:color w:val="0033CC"/>
        </w:rPr>
        <w:t>[返回目次]</w:t>
      </w:r>
    </w:p>
    <w:p>
      <w:pPr>
        <w:spacing w:after="0" w:line="259" w:lineRule="auto"/>
        <w:rPr>
          <w:rFonts w:ascii="Meiryo" w:eastAsia="Meiryo" w:hint="eastAsia"/>
        </w:rPr>
        <w:sectPr>
          <w:type w:val="continuous"/>
          <w:pgSz w:w="11910" w:h="16850"/>
          <w:pgMar w:top="1100" w:bottom="1020" w:left="860" w:right="900"/>
        </w:sectPr>
      </w:pPr>
    </w:p>
    <w:p>
      <w:pPr>
        <w:pStyle w:val="Heading2"/>
        <w:spacing w:before="134"/>
        <w:ind w:left="3237"/>
      </w:pPr>
      <w:r>
        <w:rPr>
          <w:spacing w:val="-2"/>
        </w:rPr>
        <w:t>人类遗传资源管理条例出台</w:t>
      </w:r>
    </w:p>
    <w:p>
      <w:pPr>
        <w:pStyle w:val="BodyText"/>
        <w:ind w:left="0" w:firstLine="0"/>
        <w:rPr>
          <w:b/>
        </w:rPr>
      </w:pPr>
      <w:r>
        <w:rPr/>
        <w:br w:type="column"/>
      </w:r>
      <w:r>
        <w:rPr>
          <w:b/>
        </w:rPr>
      </w:r>
    </w:p>
    <w:p>
      <w:pPr>
        <w:pStyle w:val="BodyText"/>
        <w:spacing w:before="12"/>
        <w:ind w:left="0" w:firstLine="0"/>
        <w:rPr>
          <w:b/>
          <w:sz w:val="29"/>
        </w:rPr>
      </w:pPr>
    </w:p>
    <w:p>
      <w:pPr>
        <w:pStyle w:val="Heading3"/>
        <w:ind w:left="374"/>
        <w:rPr>
          <w:rFonts w:ascii="楷体" w:eastAsia="楷体" w:hint="eastAsia"/>
        </w:rPr>
      </w:pPr>
      <w:r>
        <w:rPr>
          <w:rFonts w:ascii="楷体" w:eastAsia="楷体" w:hint="eastAsia"/>
          <w:color w:val="FF0000"/>
        </w:rPr>
        <w:t>（来源：中国政府网）</w:t>
      </w:r>
    </w:p>
    <w:p>
      <w:pPr>
        <w:spacing w:after="0"/>
        <w:rPr>
          <w:rFonts w:ascii="楷体" w:eastAsia="楷体" w:hint="eastAsia"/>
        </w:rPr>
        <w:sectPr>
          <w:type w:val="continuous"/>
          <w:pgSz w:w="11910" w:h="16850"/>
          <w:pgMar w:top="1100" w:bottom="1020" w:left="860" w:right="900"/>
          <w:cols w:num="2" w:equalWidth="0">
            <w:col w:w="7091" w:space="40"/>
            <w:col w:w="3019"/>
          </w:cols>
        </w:sectPr>
      </w:pPr>
    </w:p>
    <w:p>
      <w:pPr>
        <w:pStyle w:val="BodyText"/>
        <w:spacing w:line="297" w:lineRule="auto" w:before="96"/>
        <w:ind w:right="127"/>
      </w:pPr>
      <w:r>
        <w:rPr/>
        <w:t>国务院总理李克强于近日签署国务院令，公布《中华人民共和国人类遗传资源管理条 </w:t>
      </w:r>
      <w:r>
        <w:rPr>
          <w:spacing w:val="-1"/>
        </w:rPr>
        <w:t>例》。《条例》明确，国家加大对我国人类遗传资源的保护力度，开展人类遗传资源调查， </w:t>
      </w:r>
      <w:r>
        <w:rPr>
          <w:spacing w:val="-4"/>
        </w:rPr>
        <w:t>对重要遗传家系和特定地区人类遗传资源实行申报登记制度。外国组织、个人及其设立或实</w:t>
      </w:r>
      <w:r>
        <w:rPr>
          <w:spacing w:val="-8"/>
        </w:rPr>
        <w:t>际控制的机构需要利用我国人类遗传资源开展科学研究活动的，采取与我国科研机构、高等</w:t>
      </w:r>
      <w:r>
        <w:rPr>
          <w:spacing w:val="-11"/>
        </w:rPr>
        <w:t>学校、医疗机构、企业合作的方式进行。将人类遗传资源信息向外国组织、个人及机构提供</w:t>
      </w:r>
    </w:p>
    <w:p>
      <w:pPr>
        <w:spacing w:after="0" w:line="297" w:lineRule="auto"/>
        <w:sectPr>
          <w:type w:val="continuous"/>
          <w:pgSz w:w="11910" w:h="16850"/>
          <w:pgMar w:top="1100" w:bottom="1020" w:left="860" w:right="900"/>
        </w:sectPr>
      </w:pPr>
    </w:p>
    <w:p>
      <w:pPr>
        <w:pStyle w:val="BodyText"/>
        <w:spacing w:line="295" w:lineRule="auto" w:before="65"/>
        <w:ind w:right="227" w:firstLine="0"/>
      </w:pPr>
      <w:r>
        <w:rPr>
          <w:spacing w:val="-9"/>
        </w:rPr>
        <w:t>或开放使用的，应当实行备案并提交信息备份；可能影响我国公众健康、国家安全和社会公</w:t>
      </w:r>
      <w:r>
        <w:rPr/>
        <w:t>共利益的，应通过国务院科学技术行政部门组织的安全审查。</w:t>
      </w:r>
    </w:p>
    <w:p>
      <w:pPr>
        <w:pStyle w:val="BodyText"/>
        <w:spacing w:line="297" w:lineRule="auto" w:before="2"/>
        <w:ind w:right="230"/>
        <w:jc w:val="both"/>
      </w:pPr>
      <w:r>
        <w:rPr>
          <w:spacing w:val="-11"/>
        </w:rPr>
        <w:t>《条例》指出，人类遗传资源包括人类遗传资源材料和人类遗传资源信息。人类遗传资</w:t>
      </w:r>
      <w:r>
        <w:rPr>
          <w:spacing w:val="-7"/>
        </w:rPr>
        <w:t>源材料是指含有人体基因组、基因等遗传物质的器官、组织、细胞等遗传材料，人类遗传资</w:t>
      </w:r>
      <w:r>
        <w:rPr/>
        <w:t>源信息是指利用人类遗传资源材料产生的数据等信息资料。</w:t>
      </w:r>
    </w:p>
    <w:p>
      <w:pPr>
        <w:pStyle w:val="BodyText"/>
        <w:spacing w:line="297" w:lineRule="auto"/>
        <w:ind w:right="110"/>
      </w:pPr>
      <w:r>
        <w:rPr>
          <w:spacing w:val="-6"/>
        </w:rPr>
        <w:t>为促进合理利用我国人类遗传资源，《条例》规定，国家支持合理利用人类遗传资源开</w:t>
      </w:r>
      <w:r>
        <w:rPr>
          <w:spacing w:val="-18"/>
        </w:rPr>
        <w:t>展科学研究、发展生物医药产业、提高诊疗技术。国家人类遗传资源保藏基础平台和数据库， </w:t>
      </w:r>
      <w:r>
        <w:rPr>
          <w:spacing w:val="-6"/>
        </w:rPr>
        <w:t>应依照国家有关规定向有关科研机构、高等学校、医疗机构、企业开放。鼓励科研机构、高</w:t>
      </w:r>
      <w:r>
        <w:rPr>
          <w:spacing w:val="-11"/>
        </w:rPr>
        <w:t>等学校、医疗机构、企业利用人类遗传资源开展研究开发活动，对其研究开发活动及成果产</w:t>
      </w:r>
      <w:r>
        <w:rPr>
          <w:spacing w:val="-12"/>
        </w:rPr>
        <w:t>业化，依照法律、行政法规和国家有关规定予以支持；鼓励利用我国人类遗传资源开展国际合作科学研究。</w:t>
      </w:r>
    </w:p>
    <w:p>
      <w:pPr>
        <w:pStyle w:val="BodyText"/>
        <w:spacing w:line="297" w:lineRule="auto"/>
        <w:ind w:right="227"/>
        <w:jc w:val="both"/>
      </w:pPr>
      <w:r>
        <w:rPr>
          <w:spacing w:val="-12"/>
        </w:rPr>
        <w:t>《条例》规定，采集、保藏、利用、对外提供我国人类遗传资源，不得危害我国公众健</w:t>
      </w:r>
      <w:r>
        <w:rPr>
          <w:spacing w:val="-10"/>
        </w:rPr>
        <w:t>康、国家安全和社会公共利益，要符合伦理原则，保护资源提供者的合法权益，遵守相应的</w:t>
      </w:r>
      <w:r>
        <w:rPr>
          <w:spacing w:val="-14"/>
        </w:rPr>
        <w:t>技术规范。禁止买卖人类遗传资源，为科学研究依法提供或使用人类遗传资源并支付或者收</w:t>
      </w:r>
      <w:r>
        <w:rPr>
          <w:spacing w:val="-10"/>
        </w:rPr>
        <w:t>取合理成本费用，不视为买卖。开展生物技术研究开发活动或临床试验的，应遵守有关生物</w:t>
      </w:r>
    </w:p>
    <w:p>
      <w:pPr>
        <w:spacing w:line="416" w:lineRule="exact" w:before="0"/>
        <w:ind w:left="417" w:right="0" w:firstLine="0"/>
        <w:jc w:val="left"/>
        <w:rPr>
          <w:rFonts w:ascii="Meiryo" w:eastAsia="Meiryo" w:hint="eastAsia"/>
          <w:b/>
          <w:sz w:val="24"/>
        </w:rPr>
      </w:pPr>
      <w:r>
        <w:rPr>
          <w:sz w:val="24"/>
        </w:rPr>
        <w:t>技术研究、临床应用管理法律法规和国家有关规定。</w:t>
      </w:r>
      <w:r>
        <w:rPr>
          <w:rFonts w:ascii="Meiryo" w:eastAsia="Meiryo" w:hint="eastAsia"/>
          <w:b/>
          <w:color w:val="0033CC"/>
          <w:sz w:val="24"/>
        </w:rPr>
        <w:t>[返回目次]</w:t>
      </w:r>
    </w:p>
    <w:p>
      <w:pPr>
        <w:pStyle w:val="Heading2"/>
        <w:spacing w:before="181"/>
        <w:ind w:left="182"/>
        <w:jc w:val="center"/>
      </w:pPr>
      <w:r>
        <w:rPr>
          <w:spacing w:val="-29"/>
        </w:rPr>
        <w:t>今年 </w:t>
      </w:r>
      <w:r>
        <w:rPr/>
        <w:t>36</w:t>
      </w:r>
      <w:r>
        <w:rPr>
          <w:spacing w:val="-10"/>
        </w:rPr>
        <w:t> 项医改重点任务公布</w:t>
      </w:r>
    </w:p>
    <w:p>
      <w:pPr>
        <w:spacing w:before="79"/>
        <w:ind w:left="188" w:right="0" w:firstLine="0"/>
        <w:jc w:val="center"/>
        <w:rPr>
          <w:sz w:val="21"/>
        </w:rPr>
      </w:pPr>
      <w:r>
        <w:rPr>
          <w:sz w:val="21"/>
        </w:rPr>
        <w:t>制定 15 个相关文件，落实 21 项重点工作</w:t>
      </w:r>
    </w:p>
    <w:p>
      <w:pPr>
        <w:pStyle w:val="Heading3"/>
        <w:spacing w:before="179"/>
        <w:ind w:left="0" w:right="228"/>
        <w:jc w:val="right"/>
        <w:rPr>
          <w:rFonts w:ascii="楷体" w:eastAsia="楷体" w:hint="eastAsia"/>
        </w:rPr>
      </w:pPr>
      <w:r>
        <w:rPr>
          <w:rFonts w:ascii="楷体" w:eastAsia="楷体" w:hint="eastAsia"/>
          <w:color w:val="FF0000"/>
          <w:w w:val="95"/>
        </w:rPr>
        <w:t>（来源：健康报）</w:t>
      </w:r>
    </w:p>
    <w:p>
      <w:pPr>
        <w:pStyle w:val="BodyText"/>
        <w:spacing w:line="297" w:lineRule="auto" w:before="95"/>
        <w:ind w:right="127"/>
      </w:pPr>
      <w:r>
        <w:rPr/>
        <w:t>6</w:t>
      </w:r>
      <w:r>
        <w:rPr>
          <w:spacing w:val="-41"/>
        </w:rPr>
        <w:t> 月 </w:t>
      </w:r>
      <w:r>
        <w:rPr/>
        <w:t>4</w:t>
      </w:r>
      <w:r>
        <w:rPr>
          <w:spacing w:val="-11"/>
        </w:rPr>
        <w:t> 日，国务院公布《深化医药卫生体制改革 </w:t>
      </w:r>
      <w:r>
        <w:rPr/>
        <w:t>2019</w:t>
      </w:r>
      <w:r>
        <w:rPr>
          <w:spacing w:val="-8"/>
        </w:rPr>
        <w:t> 年重点工作任务》。《任务》指</w:t>
      </w:r>
      <w:r>
        <w:rPr>
          <w:spacing w:val="-9"/>
        </w:rPr>
        <w:t>出，认真落实党中央、国务院关于实施健康中国战略和深化医药卫生体制改革的决策部署， </w:t>
      </w:r>
      <w:r>
        <w:rPr>
          <w:spacing w:val="-8"/>
        </w:rPr>
        <w:t>坚持以人民健康为中心，坚持保基本、强基层、建机制，紧紧围绕把以治病为中心转变为以</w:t>
      </w:r>
      <w:r>
        <w:rPr>
          <w:spacing w:val="-13"/>
        </w:rPr>
        <w:t>人民健康为中心，落实预防为主，加强疾病预防和健康促进，紧紧围绕解决看病难、看病贵问题，深化医疗、医保、医药联动改革，坚定不移推动医改落地见效、惠及人民群众。</w:t>
      </w:r>
    </w:p>
    <w:p>
      <w:pPr>
        <w:pStyle w:val="BodyText"/>
        <w:spacing w:line="297" w:lineRule="auto"/>
        <w:ind w:right="226"/>
        <w:jc w:val="both"/>
      </w:pPr>
      <w:r>
        <w:rPr>
          <w:spacing w:val="-3"/>
        </w:rPr>
        <w:t>《任务》明确了两方面重点工作内容。一方面，要制定 </w:t>
      </w:r>
      <w:r>
        <w:rPr/>
        <w:t>15</w:t>
      </w:r>
      <w:r>
        <w:rPr>
          <w:spacing w:val="-8"/>
        </w:rPr>
        <w:t> 个相关文件，涉及领域包括</w:t>
      </w:r>
      <w:r>
        <w:rPr>
          <w:spacing w:val="-12"/>
        </w:rPr>
        <w:t>健康中国行动、促进社会办医健康规范发展、鼓励仿制的药品目录、规范医用耗材使用、以</w:t>
      </w:r>
      <w:r>
        <w:rPr>
          <w:spacing w:val="-16"/>
        </w:rPr>
        <w:t>药品集中采购和使用为突破口进一步深化医改、医疗机构用药管理、互联网诊疗收费和医保</w:t>
      </w:r>
      <w:r>
        <w:rPr>
          <w:spacing w:val="-10"/>
        </w:rPr>
        <w:t>支付、卫生专业技术人员职称制度改革、建立完善老年健康服务体系、二级及以下公立医疗</w:t>
      </w:r>
      <w:r>
        <w:rPr>
          <w:spacing w:val="-8"/>
        </w:rPr>
        <w:t>机构绩效考核、加强医生队伍管理、医联体管理、公立医院薪酬制度改革、改进职工医保个</w:t>
      </w:r>
      <w:r>
        <w:rPr>
          <w:spacing w:val="-12"/>
        </w:rPr>
        <w:t>人账户、医疗保障基金使用监管等。另一方面，要围绕解决看病难、看病贵问题和加强医院</w:t>
      </w:r>
      <w:r>
        <w:rPr>
          <w:spacing w:val="-7"/>
        </w:rPr>
        <w:t>管理等方面，落实 </w:t>
      </w:r>
      <w:r>
        <w:rPr/>
        <w:t>21</w:t>
      </w:r>
      <w:r>
        <w:rPr>
          <w:spacing w:val="-8"/>
        </w:rPr>
        <w:t> 项具体工作。其中，解决看病难方面，要推进国家医学中心和区域医</w:t>
      </w:r>
      <w:r>
        <w:rPr>
          <w:spacing w:val="-13"/>
        </w:rPr>
        <w:t>疗中心建设、有序发展医联体促进分级诊疗、深化“放管服”改革支持社会办医、促进“互</w:t>
      </w:r>
      <w:r>
        <w:rPr/>
        <w:t>联网+医疗健康”发展、统筹推进县域综合医改、实施健康中国行动、加强癌症等重大疾病</w:t>
      </w:r>
      <w:r>
        <w:rPr>
          <w:spacing w:val="-11"/>
        </w:rPr>
        <w:t>防治等；解决看病贵方面，要推进国家组织药品集中采购和使用试点、推进高值医用耗材改</w:t>
      </w:r>
      <w:r>
        <w:rPr>
          <w:spacing w:val="-10"/>
        </w:rPr>
        <w:t>革、巩固完善国家基本药物制度、推进医保支付方式改革、完善公立医院补偿机制、深化公</w:t>
      </w:r>
      <w:r>
        <w:rPr>
          <w:spacing w:val="-14"/>
        </w:rPr>
        <w:t>立医院综合改革、深入实施健康扶贫等重点工作；加强医院管理方面，要开展公立医院绩效</w:t>
      </w:r>
      <w:r>
        <w:rPr/>
        <w:t>考核、进一步改善医疗服务等。</w:t>
      </w:r>
    </w:p>
    <w:p>
      <w:pPr>
        <w:spacing w:after="0" w:line="297" w:lineRule="auto"/>
        <w:jc w:val="both"/>
        <w:sectPr>
          <w:pgSz w:w="11910" w:h="16850"/>
          <w:pgMar w:header="906" w:footer="607" w:top="1100" w:bottom="800" w:left="860" w:right="900"/>
        </w:sectPr>
      </w:pPr>
    </w:p>
    <w:p>
      <w:pPr>
        <w:pStyle w:val="BodyText"/>
        <w:spacing w:line="380" w:lineRule="exact" w:before="1"/>
        <w:ind w:right="107"/>
        <w:jc w:val="both"/>
        <w:rPr>
          <w:rFonts w:ascii="Meiryo" w:eastAsia="Meiryo" w:hint="eastAsia"/>
          <w:b/>
        </w:rPr>
      </w:pPr>
      <w:r>
        <w:rPr>
          <w:spacing w:val="-17"/>
        </w:rPr>
        <w:t>《任务》明确，扎实推进国家组织药品集中采购和使用试点工作，加强对中标药品质量、</w:t>
      </w:r>
      <w:r>
        <w:rPr>
          <w:spacing w:val="-11"/>
        </w:rPr>
        <w:t>试点地区公立医疗机构优先使用和药款结算、中标药品及原料药生产的监测，做好保证使用、</w:t>
      </w:r>
      <w:r>
        <w:rPr/>
        <w:t>确保质量、稳定供应、及时回款等。开展好试点评估，认真总结经验，及时全面推开。</w:t>
      </w:r>
      <w:r>
        <w:rPr>
          <w:rFonts w:ascii="Meiryo" w:eastAsia="Meiryo" w:hint="eastAsia"/>
          <w:b/>
          <w:color w:val="0033CC"/>
        </w:rPr>
        <w:t>[返</w:t>
      </w:r>
    </w:p>
    <w:p>
      <w:pPr>
        <w:pStyle w:val="Heading3"/>
        <w:spacing w:before="18"/>
        <w:ind w:left="417"/>
        <w:rPr>
          <w:rFonts w:ascii="Meiryo" w:eastAsia="Meiryo" w:hint="eastAsia"/>
        </w:rPr>
      </w:pPr>
      <w:r>
        <w:rPr>
          <w:rFonts w:ascii="Meiryo" w:eastAsia="Meiryo" w:hint="eastAsia"/>
          <w:color w:val="0033CC"/>
        </w:rPr>
        <w:t>回目次]</w:t>
      </w:r>
    </w:p>
    <w:p>
      <w:pPr>
        <w:pStyle w:val="BodyText"/>
        <w:spacing w:before="1"/>
        <w:ind w:left="0" w:firstLine="0"/>
        <w:rPr>
          <w:rFonts w:ascii="Meiryo"/>
          <w:b/>
          <w:sz w:val="7"/>
        </w:rPr>
      </w:pPr>
    </w:p>
    <w:p>
      <w:pPr>
        <w:spacing w:after="0"/>
        <w:rPr>
          <w:rFonts w:ascii="Meiryo"/>
          <w:sz w:val="7"/>
        </w:rPr>
        <w:sectPr>
          <w:pgSz w:w="11910" w:h="16850"/>
          <w:pgMar w:header="906" w:footer="607" w:top="1100" w:bottom="800" w:left="860" w:right="900"/>
        </w:sectPr>
      </w:pPr>
    </w:p>
    <w:p>
      <w:pPr>
        <w:spacing w:before="55"/>
        <w:ind w:left="3237" w:right="0" w:firstLine="0"/>
        <w:jc w:val="left"/>
        <w:rPr>
          <w:b/>
          <w:sz w:val="32"/>
        </w:rPr>
      </w:pPr>
      <w:r>
        <w:rPr>
          <w:b/>
          <w:spacing w:val="-2"/>
          <w:sz w:val="32"/>
        </w:rPr>
        <w:t>科技资源共享平台名单发布</w:t>
      </w:r>
    </w:p>
    <w:p>
      <w:pPr>
        <w:pStyle w:val="BodyText"/>
        <w:ind w:left="0" w:firstLine="0"/>
        <w:rPr>
          <w:b/>
        </w:rPr>
      </w:pPr>
      <w:r>
        <w:rPr/>
        <w:br w:type="column"/>
      </w:r>
      <w:r>
        <w:rPr>
          <w:b/>
        </w:rPr>
      </w:r>
    </w:p>
    <w:p>
      <w:pPr>
        <w:pStyle w:val="BodyText"/>
        <w:spacing w:before="8"/>
        <w:ind w:left="0" w:firstLine="0"/>
        <w:rPr>
          <w:b/>
          <w:sz w:val="23"/>
        </w:rPr>
      </w:pPr>
    </w:p>
    <w:p>
      <w:pPr>
        <w:spacing w:before="0"/>
        <w:ind w:left="857"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860" w:right="900"/>
          <w:cols w:num="2" w:equalWidth="0">
            <w:col w:w="7091" w:space="40"/>
            <w:col w:w="3019"/>
          </w:cols>
        </w:sectPr>
      </w:pPr>
    </w:p>
    <w:p>
      <w:pPr>
        <w:pStyle w:val="BodyText"/>
        <w:spacing w:before="98"/>
        <w:ind w:left="897" w:firstLine="0"/>
        <w:jc w:val="both"/>
      </w:pPr>
      <w:r>
        <w:rPr/>
        <w:t>6</w:t>
      </w:r>
      <w:r>
        <w:rPr>
          <w:spacing w:val="-41"/>
        </w:rPr>
        <w:t> 月 </w:t>
      </w:r>
      <w:r>
        <w:rPr/>
        <w:t>10</w:t>
      </w:r>
      <w:r>
        <w:rPr>
          <w:spacing w:val="-13"/>
        </w:rPr>
        <w:t> 日，科技部官网发布了国家科技资源共享服务平台名单。名单中共包含 </w:t>
      </w:r>
      <w:r>
        <w:rPr/>
        <w:t>50</w:t>
      </w:r>
      <w:r>
        <w:rPr>
          <w:spacing w:val="-20"/>
        </w:rPr>
        <w:t> 个国</w:t>
      </w:r>
    </w:p>
    <w:p>
      <w:pPr>
        <w:pStyle w:val="BodyText"/>
        <w:spacing w:line="297" w:lineRule="auto" w:before="72"/>
        <w:ind w:right="227" w:firstLine="0"/>
        <w:jc w:val="both"/>
      </w:pPr>
      <w:r>
        <w:rPr>
          <w:spacing w:val="-13"/>
        </w:rPr>
        <w:t>家科技资源共享服务平台，并分为 </w:t>
      </w:r>
      <w:r>
        <w:rPr/>
        <w:t>20</w:t>
      </w:r>
      <w:r>
        <w:rPr>
          <w:spacing w:val="-13"/>
        </w:rPr>
        <w:t> 个国家科学数据中心和 </w:t>
      </w:r>
      <w:r>
        <w:rPr/>
        <w:t>30</w:t>
      </w:r>
      <w:r>
        <w:rPr>
          <w:spacing w:val="-9"/>
        </w:rPr>
        <w:t> 个国家生物种质与实验材料</w:t>
      </w:r>
      <w:r>
        <w:rPr>
          <w:spacing w:val="-13"/>
        </w:rPr>
        <w:t>资源库。其中超过 </w:t>
      </w:r>
      <w:r>
        <w:rPr/>
        <w:t>1/3</w:t>
      </w:r>
      <w:r>
        <w:rPr>
          <w:spacing w:val="-12"/>
        </w:rPr>
        <w:t> 的平台与健康和生命科学相关。如国家人口健康科学数据中心、国家</w:t>
      </w:r>
      <w:r>
        <w:rPr>
          <w:spacing w:val="-8"/>
        </w:rPr>
        <w:t>病原微生物资源库、国家病毒资源库、国家人类生殖和健康资源库、国家微生物科学数据中</w:t>
      </w:r>
      <w:r>
        <w:rPr/>
        <w:t>心、国家干细胞资源库等。</w:t>
      </w:r>
    </w:p>
    <w:p>
      <w:pPr>
        <w:pStyle w:val="BodyText"/>
        <w:spacing w:line="297" w:lineRule="auto"/>
        <w:ind w:right="110"/>
      </w:pPr>
      <w:r>
        <w:rPr>
          <w:spacing w:val="-17"/>
        </w:rPr>
        <w:t>据悉，科技部、财政部对原有国家平台开展了优化调整工作，通过部门推荐和专家咨询， </w:t>
      </w:r>
      <w:r>
        <w:rPr>
          <w:spacing w:val="-8"/>
        </w:rPr>
        <w:t>研究形成并发布该名单，并要求平台依托单位制订国家平台 </w:t>
      </w:r>
      <w:r>
        <w:rPr/>
        <w:t>5</w:t>
      </w:r>
      <w:r>
        <w:rPr>
          <w:spacing w:val="-11"/>
        </w:rPr>
        <w:t> 年建设运行实施方案，以规范</w:t>
      </w:r>
    </w:p>
    <w:p>
      <w:pPr>
        <w:pStyle w:val="BodyText"/>
        <w:spacing w:line="259" w:lineRule="auto"/>
        <w:ind w:right="227" w:firstLine="0"/>
        <w:rPr>
          <w:rFonts w:ascii="Meiryo" w:eastAsia="Meiryo" w:hint="eastAsia"/>
          <w:b/>
        </w:rPr>
      </w:pPr>
      <w:r>
        <w:rPr>
          <w:spacing w:val="-7"/>
        </w:rPr>
        <w:t>管理国家科技资源共享服务平台，完善科技资源共享服务体系，推动科技资源向社会开放共</w:t>
      </w:r>
      <w:r>
        <w:rPr/>
        <w:t>享。</w:t>
      </w:r>
      <w:r>
        <w:rPr>
          <w:rFonts w:ascii="Meiryo" w:eastAsia="Meiryo" w:hint="eastAsia"/>
          <w:b/>
          <w:color w:val="0033CC"/>
        </w:rPr>
        <w:t>[返回目次]</w:t>
      </w:r>
    </w:p>
    <w:p>
      <w:pPr>
        <w:spacing w:after="0" w:line="259" w:lineRule="auto"/>
        <w:rPr>
          <w:rFonts w:ascii="Meiryo" w:eastAsia="Meiryo" w:hint="eastAsia"/>
        </w:rPr>
        <w:sectPr>
          <w:type w:val="continuous"/>
          <w:pgSz w:w="11910" w:h="16850"/>
          <w:pgMar w:top="1100" w:bottom="1020" w:left="860" w:right="900"/>
        </w:sectPr>
      </w:pPr>
    </w:p>
    <w:p>
      <w:pPr>
        <w:pStyle w:val="Heading2"/>
        <w:spacing w:before="151"/>
        <w:ind w:left="3357"/>
      </w:pPr>
      <w:r>
        <w:rPr/>
        <w:t>19</w:t>
      </w:r>
      <w:r>
        <w:rPr>
          <w:spacing w:val="-11"/>
        </w:rPr>
        <w:t> 项措施给基层松绑减负</w:t>
      </w:r>
    </w:p>
    <w:p>
      <w:pPr>
        <w:pStyle w:val="BodyText"/>
        <w:ind w:left="0" w:firstLine="0"/>
        <w:rPr>
          <w:b/>
        </w:rPr>
      </w:pPr>
      <w:r>
        <w:rPr/>
        <w:br w:type="column"/>
      </w:r>
      <w:r>
        <w:rPr>
          <w:b/>
        </w:rPr>
      </w:r>
    </w:p>
    <w:p>
      <w:pPr>
        <w:pStyle w:val="BodyText"/>
        <w:spacing w:before="1"/>
        <w:ind w:left="0" w:firstLine="0"/>
        <w:rPr>
          <w:b/>
          <w:sz w:val="31"/>
        </w:rPr>
      </w:pPr>
    </w:p>
    <w:p>
      <w:pPr>
        <w:pStyle w:val="Heading3"/>
        <w:ind w:left="97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6972" w:space="40"/>
            <w:col w:w="3138"/>
          </w:cols>
        </w:sectPr>
      </w:pPr>
    </w:p>
    <w:p>
      <w:pPr>
        <w:pStyle w:val="BodyText"/>
        <w:spacing w:line="297" w:lineRule="auto" w:before="96"/>
        <w:ind w:right="108"/>
      </w:pPr>
      <w:r>
        <w:rPr/>
        <w:t>6</w:t>
      </w:r>
      <w:r>
        <w:rPr>
          <w:spacing w:val="-41"/>
        </w:rPr>
        <w:t> 月 </w:t>
      </w:r>
      <w:r>
        <w:rPr/>
        <w:t>11</w:t>
      </w:r>
      <w:r>
        <w:rPr>
          <w:spacing w:val="-8"/>
        </w:rPr>
        <w:t> 日，国家卫生健康委印发《卫生健康系统解决形式主义突出问题为基层减负的</w:t>
      </w:r>
      <w:r>
        <w:rPr>
          <w:spacing w:val="-17"/>
        </w:rPr>
        <w:t>措施》，从规范督查检查考核调研等活动、统筹材料收取、加强信息化管理、精简会议文件、</w:t>
      </w:r>
      <w:r>
        <w:rPr>
          <w:spacing w:val="-7"/>
        </w:rPr>
        <w:t>切实为医务人员减负 </w:t>
      </w:r>
      <w:r>
        <w:rPr/>
        <w:t>5</w:t>
      </w:r>
      <w:r>
        <w:rPr>
          <w:spacing w:val="-16"/>
        </w:rPr>
        <w:t> 个方面，制定了解决形式主义突出问题为基层减负的 </w:t>
      </w:r>
      <w:r>
        <w:rPr/>
        <w:t>19</w:t>
      </w:r>
      <w:r>
        <w:rPr>
          <w:spacing w:val="-11"/>
        </w:rPr>
        <w:t> 项具体措施。</w:t>
      </w:r>
      <w:r>
        <w:rPr>
          <w:spacing w:val="-9"/>
        </w:rPr>
        <w:t>通知要求，各地各单位要深入开展调查研究，对形式主义突出问题进行大排查，建立问题台</w:t>
      </w:r>
      <w:r>
        <w:rPr>
          <w:spacing w:val="-11"/>
        </w:rPr>
        <w:t>账，逐一对照、逐条落实，年底“清账”；通过整治，切实给基层松绑减负，让基层干部腾出更多时间精力干实事、抓落实。</w:t>
      </w:r>
    </w:p>
    <w:p>
      <w:pPr>
        <w:pStyle w:val="BodyText"/>
        <w:spacing w:line="297" w:lineRule="auto"/>
        <w:ind w:right="107"/>
      </w:pPr>
      <w:r>
        <w:rPr>
          <w:spacing w:val="-11"/>
        </w:rPr>
        <w:t>通知指出，实行督查检查考核计划管理，每年严格按照中央和国家机关督查检查考核计</w:t>
      </w:r>
      <w:r>
        <w:rPr>
          <w:spacing w:val="-12"/>
        </w:rPr>
        <w:t>划实施，不得自行设置以地方党委和政府为对象的督查检查考核项目。检查考核评价医疗卫</w:t>
      </w:r>
      <w:r>
        <w:rPr>
          <w:spacing w:val="-13"/>
        </w:rPr>
        <w:t>生机构时，不准预发通知，应直接查看常态化工作；充分运用现代医院管理工具和信息化手</w:t>
      </w:r>
      <w:r>
        <w:rPr>
          <w:spacing w:val="-16"/>
        </w:rPr>
        <w:t>段，客观真实抓取医疗机构现有信息系统数据，增加随机抽查病历、现场查看等方式。同时， </w:t>
      </w:r>
      <w:r>
        <w:rPr>
          <w:spacing w:val="-6"/>
        </w:rPr>
        <w:t>要充分考虑基层承受能力，不提不切实际的高指标，合理确定工作完成时限。到基层开展调</w:t>
      </w:r>
      <w:r>
        <w:rPr>
          <w:spacing w:val="-12"/>
        </w:rPr>
        <w:t>查研究要加强调研统筹，避免集中或轮番到一个点、一条线路调研，多开展“蹲点式”“暗访式”调研。</w:t>
      </w:r>
    </w:p>
    <w:p>
      <w:pPr>
        <w:pStyle w:val="BodyText"/>
        <w:spacing w:line="295" w:lineRule="auto"/>
        <w:ind w:right="106"/>
      </w:pPr>
      <w:r>
        <w:rPr>
          <w:spacing w:val="-16"/>
        </w:rPr>
        <w:t>通知要求，要简化基层填报的表格、报送的材料，对相似表格进行整合，避免多头填表、</w:t>
      </w:r>
      <w:r>
        <w:rPr>
          <w:spacing w:val="-9"/>
        </w:rPr>
        <w:t>重复填表；多部门需要同类事项表格、数据和材料的，应由事项牵头部门统一收取。要强化</w:t>
      </w:r>
      <w:r>
        <w:rPr>
          <w:spacing w:val="-13"/>
        </w:rPr>
        <w:t>信息系统整合共享，建立信息化项目建设投资和运维经费协商会签机制，对不符合整合共享</w:t>
      </w:r>
      <w:r>
        <w:rPr>
          <w:spacing w:val="-24"/>
        </w:rPr>
        <w:t>要求的信息系统不予安排运维经费；提倡合并开会、套开会议、开片会，确保会议减少 </w:t>
      </w:r>
      <w:r>
        <w:rPr/>
        <w:t>30%～ 50%；</w:t>
      </w:r>
      <w:r>
        <w:rPr>
          <w:spacing w:val="-4"/>
        </w:rPr>
        <w:t>大幅精简文件，确保规范性文件减少 </w:t>
      </w:r>
      <w:r>
        <w:rPr/>
        <w:t>30%～50%，</w:t>
      </w:r>
      <w:r>
        <w:rPr>
          <w:spacing w:val="-8"/>
        </w:rPr>
        <w:t>文件一般不超过 </w:t>
      </w:r>
      <w:r>
        <w:rPr/>
        <w:t>3000</w:t>
      </w:r>
      <w:r>
        <w:rPr>
          <w:spacing w:val="-9"/>
        </w:rPr>
        <w:t> 字，能合并的合并。</w:t>
      </w:r>
    </w:p>
    <w:p>
      <w:pPr>
        <w:spacing w:after="0" w:line="295" w:lineRule="auto"/>
        <w:sectPr>
          <w:type w:val="continuous"/>
          <w:pgSz w:w="11910" w:h="16850"/>
          <w:pgMar w:top="1100" w:bottom="1020" w:left="860" w:right="900"/>
        </w:sectPr>
      </w:pPr>
    </w:p>
    <w:p>
      <w:pPr>
        <w:pStyle w:val="BodyText"/>
        <w:spacing w:line="295" w:lineRule="auto" w:before="65"/>
        <w:ind w:right="107"/>
      </w:pPr>
      <w:r>
        <w:rPr>
          <w:spacing w:val="-7"/>
        </w:rPr>
        <w:t>在切实为医务人员减负方面，通知要求，对于医务人员必须填报的月报、季报、科研评价等报表，由医疗机构指定专门部门通过信息化手段共享有关内容。不得将职称外语成绩、</w:t>
      </w:r>
      <w:r>
        <w:rPr>
          <w:spacing w:val="-16"/>
        </w:rPr>
        <w:t>论文、科研作为基层卫生专业技术人员晋升职称的申报条件。除国家规定相应的培训项目外， </w:t>
      </w:r>
      <w:r>
        <w:rPr>
          <w:spacing w:val="-4"/>
        </w:rPr>
        <w:t>不得要求医务人员在指定的远程继续医学教育机构获取学分，医务人员根据需求自主选择学</w:t>
      </w:r>
      <w:r>
        <w:rPr>
          <w:spacing w:val="-10"/>
        </w:rPr>
        <w:t>习平台，所获学分省域间互认；医务人员参加不同类别继续医学教育项目取得的学分，在全</w:t>
      </w:r>
      <w:r>
        <w:rPr>
          <w:spacing w:val="-14"/>
        </w:rPr>
        <w:t>国范围内当年度有效。家庭医生签约服务年度工作目标由各地结合本地实际确定，不得设置</w:t>
      </w:r>
    </w:p>
    <w:p>
      <w:pPr>
        <w:pStyle w:val="BodyText"/>
        <w:spacing w:line="431" w:lineRule="exact"/>
        <w:ind w:firstLine="0"/>
        <w:rPr>
          <w:rFonts w:ascii="Meiryo" w:eastAsia="Meiryo" w:hint="eastAsia"/>
          <w:b/>
        </w:rPr>
      </w:pPr>
      <w:r>
        <w:rPr/>
        <w:t>超越实际的指标要求，任务目标确定后，不得层层加码。</w:t>
      </w:r>
      <w:r>
        <w:rPr>
          <w:rFonts w:ascii="Meiryo" w:eastAsia="Meiryo" w:hint="eastAsia"/>
          <w:b/>
          <w:color w:val="0033CC"/>
        </w:rPr>
        <w:t>[返回目次]</w:t>
      </w:r>
    </w:p>
    <w:p>
      <w:pPr>
        <w:pStyle w:val="Heading2"/>
        <w:spacing w:before="40"/>
        <w:ind w:left="182"/>
        <w:jc w:val="center"/>
      </w:pPr>
      <w:r>
        <w:rPr/>
        <w:t>22 项政策助推社会办医</w:t>
      </w:r>
    </w:p>
    <w:p>
      <w:pPr>
        <w:pStyle w:val="Heading3"/>
        <w:spacing w:before="148"/>
        <w:ind w:left="0" w:right="228"/>
        <w:jc w:val="right"/>
        <w:rPr>
          <w:rFonts w:ascii="楷体" w:eastAsia="楷体" w:hint="eastAsia"/>
        </w:rPr>
      </w:pPr>
      <w:r>
        <w:rPr>
          <w:rFonts w:ascii="楷体" w:eastAsia="楷体" w:hint="eastAsia"/>
          <w:color w:val="FF0000"/>
          <w:w w:val="95"/>
        </w:rPr>
        <w:t>（来源：健康报）</w:t>
      </w:r>
    </w:p>
    <w:p>
      <w:pPr>
        <w:pStyle w:val="BodyText"/>
        <w:spacing w:line="280" w:lineRule="auto" w:before="79"/>
        <w:ind w:right="106" w:firstLine="482"/>
        <w:jc w:val="both"/>
      </w:pPr>
      <w:r>
        <w:rPr/>
        <w:t>6</w:t>
      </w:r>
      <w:r>
        <w:rPr>
          <w:spacing w:val="-41"/>
        </w:rPr>
        <w:t> 月 </w:t>
      </w:r>
      <w:r>
        <w:rPr/>
        <w:t>12</w:t>
      </w:r>
      <w:r>
        <w:rPr>
          <w:spacing w:val="-14"/>
        </w:rPr>
        <w:t> 日，国家卫生健康委、国家发展改革委、财政部、国家医保局等 </w:t>
      </w:r>
      <w:r>
        <w:rPr/>
        <w:t>10</w:t>
      </w:r>
      <w:r>
        <w:rPr>
          <w:spacing w:val="-10"/>
        </w:rPr>
        <w:t> 部门联合发</w:t>
      </w:r>
      <w:r>
        <w:rPr>
          <w:spacing w:val="-9"/>
        </w:rPr>
        <w:t>布《关于印发促进社会办医持续健康规范发展意见的通知》。《通知》强调，政府对社会办</w:t>
      </w:r>
      <w:r>
        <w:rPr>
          <w:spacing w:val="-14"/>
        </w:rPr>
        <w:t>医区域总量和空间布局不作规划限制，乙类大型医用设备配置实行告知承诺制，取消床位规模要求。文件从加大政府支持力度、简化审批服务等 </w:t>
      </w:r>
      <w:r>
        <w:rPr/>
        <w:t>6</w:t>
      </w:r>
      <w:r>
        <w:rPr>
          <w:spacing w:val="-16"/>
        </w:rPr>
        <w:t> 个方面入手，提出了 </w:t>
      </w:r>
      <w:r>
        <w:rPr/>
        <w:t>22</w:t>
      </w:r>
      <w:r>
        <w:rPr>
          <w:spacing w:val="-11"/>
        </w:rPr>
        <w:t> 项政策措施。</w:t>
      </w:r>
    </w:p>
    <w:p>
      <w:pPr>
        <w:pStyle w:val="BodyText"/>
        <w:spacing w:line="280" w:lineRule="auto" w:before="1"/>
        <w:ind w:right="125" w:firstLine="482"/>
      </w:pPr>
      <w:r>
        <w:rPr/>
        <w:t>《通知》明确，2019</w:t>
      </w:r>
      <w:r>
        <w:rPr>
          <w:spacing w:val="-41"/>
        </w:rPr>
        <w:t> 年 </w:t>
      </w:r>
      <w:r>
        <w:rPr/>
        <w:t>9</w:t>
      </w:r>
      <w:r>
        <w:rPr>
          <w:spacing w:val="-8"/>
        </w:rPr>
        <w:t> 月底前，制定出台互联网诊疗收费政策和医保支付政策，形</w:t>
      </w:r>
      <w:r>
        <w:rPr>
          <w:spacing w:val="-9"/>
        </w:rPr>
        <w:t>成合理的利益分配机制。同时，基本医疗保险等社会保障的定点医疗机构实行动态化管理， </w:t>
      </w:r>
      <w:r>
        <w:rPr>
          <w:spacing w:val="-7"/>
        </w:rPr>
        <w:t>社会办医正式运营 </w:t>
      </w:r>
      <w:r>
        <w:rPr/>
        <w:t>3</w:t>
      </w:r>
      <w:r>
        <w:rPr>
          <w:spacing w:val="-10"/>
        </w:rPr>
        <w:t> 个月后即可提出定点申请，定点评估完成时限不得超过 </w:t>
      </w:r>
      <w:r>
        <w:rPr/>
        <w:t>3</w:t>
      </w:r>
      <w:r>
        <w:rPr>
          <w:spacing w:val="-11"/>
        </w:rPr>
        <w:t> 个月。另外， </w:t>
      </w:r>
      <w:r>
        <w:rPr>
          <w:spacing w:val="-6"/>
        </w:rPr>
        <w:t>鼓励商业保险机构投资社会办医；鼓励商业保险机构与社会办医联合开发多样化、个性化健</w:t>
      </w:r>
      <w:r>
        <w:rPr>
          <w:spacing w:val="-10"/>
        </w:rPr>
        <w:t>康保险产品；鼓励医保定点社会办医在省级药品集中采购平台带量采购药品，自主议价，医保部门按不高于集中采购平台价格制定支付标准进行支付。</w:t>
      </w:r>
    </w:p>
    <w:p>
      <w:pPr>
        <w:pStyle w:val="BodyText"/>
        <w:spacing w:line="280" w:lineRule="auto" w:before="2"/>
        <w:ind w:right="127" w:firstLine="482"/>
      </w:pPr>
      <w:r>
        <w:rPr/>
        <w:t>《通知》要求，2019</w:t>
      </w:r>
      <w:r>
        <w:rPr>
          <w:spacing w:val="-8"/>
        </w:rPr>
        <w:t> 年年底前，各地制定政府购买医疗卫生服务实施办法，明确购买</w:t>
      </w:r>
      <w:r>
        <w:rPr>
          <w:spacing w:val="-9"/>
        </w:rPr>
        <w:t>服务的主体、内容、方式、程序和监督管理等细则。支持向社会办基层医疗机构购买服务， 通过开展养老照护、家庭病床、上门诊疗等服务方便居民。支持三级公立医院与社会办医共</w:t>
      </w:r>
      <w:r>
        <w:rPr>
          <w:spacing w:val="-13"/>
        </w:rPr>
        <w:t>享医学影像、医学检验、病理诊断等服务，形成全社会医疗合作管理体系，有关服务协议可</w:t>
      </w:r>
      <w:r>
        <w:rPr>
          <w:spacing w:val="-17"/>
        </w:rPr>
        <w:t>以作为社会办医相关诊疗科目登记依据。同时，允许符合条件的在职、停薪留职医务人员申请设置医疗机构。</w:t>
      </w:r>
    </w:p>
    <w:p>
      <w:pPr>
        <w:pStyle w:val="BodyText"/>
        <w:spacing w:line="280" w:lineRule="auto" w:before="2"/>
        <w:ind w:right="125" w:firstLine="482"/>
      </w:pPr>
      <w:r>
        <w:rPr>
          <w:spacing w:val="-9"/>
        </w:rPr>
        <w:t>《通知》还给出了包括优化校验服务、优化职称评审、提升临床服务和学术水平、加大</w:t>
      </w:r>
      <w:r>
        <w:rPr>
          <w:spacing w:val="-20"/>
        </w:rPr>
        <w:t>培训力度 </w:t>
      </w:r>
      <w:r>
        <w:rPr/>
        <w:t>4</w:t>
      </w:r>
      <w:r>
        <w:rPr>
          <w:spacing w:val="-14"/>
        </w:rPr>
        <w:t> 项措施。《通知》指出，卫生健康行政部门要依法依规校验医疗机构，重点审查</w:t>
      </w:r>
      <w:r>
        <w:rPr>
          <w:spacing w:val="-16"/>
        </w:rPr>
        <w:t>医疗服务能力和医疗质量。鼓励有条件的地方探索实行三级医院分阶段执业登记，并制定具</w:t>
      </w:r>
      <w:r>
        <w:rPr>
          <w:spacing w:val="-14"/>
        </w:rPr>
        <w:t>体实施办法，在医疗机构设置批准书有效期内，允许先行登记不少于基本标准 </w:t>
      </w:r>
      <w:r>
        <w:rPr/>
        <w:t>60%的床位并</w:t>
      </w:r>
      <w:r>
        <w:rPr>
          <w:spacing w:val="-1"/>
        </w:rPr>
        <w:t>执业运行。另外，社会办医专业技术人员与公立医疗机构专业技术人员同等参与职称评审， </w:t>
      </w:r>
      <w:r>
        <w:rPr>
          <w:spacing w:val="-8"/>
        </w:rPr>
        <w:t>且不受岗位比例限制。医学类科研项目承担单位的选择，一律不得对拟作为项目承担单位医</w:t>
      </w:r>
      <w:r>
        <w:rPr>
          <w:spacing w:val="-14"/>
        </w:rPr>
        <w:t>疗机构的性质进行限制。同时，各地政府使用财政性资金开展或以各级卫生健康行政部门名</w:t>
      </w:r>
    </w:p>
    <w:p>
      <w:pPr>
        <w:pStyle w:val="BodyText"/>
        <w:spacing w:line="421" w:lineRule="exact"/>
        <w:ind w:firstLine="0"/>
        <w:rPr>
          <w:rFonts w:ascii="Meiryo" w:eastAsia="Meiryo" w:hint="eastAsia"/>
          <w:b/>
        </w:rPr>
      </w:pPr>
      <w:r>
        <w:rPr/>
        <w:t>义组织的相关业务和人才培训，要为符合条件的各类医疗机构平等提供名额。</w:t>
      </w:r>
      <w:r>
        <w:rPr>
          <w:rFonts w:ascii="Meiryo" w:eastAsia="Meiryo" w:hint="eastAsia"/>
          <w:b/>
          <w:color w:val="0033CC"/>
        </w:rPr>
        <w:t>[返回目次]</w:t>
      </w:r>
    </w:p>
    <w:p>
      <w:pPr>
        <w:pStyle w:val="BodyText"/>
        <w:spacing w:before="19"/>
        <w:ind w:left="0" w:firstLine="0"/>
        <w:rPr>
          <w:rFonts w:ascii="Meiryo"/>
          <w:b/>
          <w:sz w:val="6"/>
        </w:rPr>
      </w:pPr>
    </w:p>
    <w:p>
      <w:pPr>
        <w:spacing w:after="0"/>
        <w:rPr>
          <w:rFonts w:ascii="Meiryo"/>
          <w:sz w:val="6"/>
        </w:rPr>
        <w:sectPr>
          <w:pgSz w:w="11910" w:h="16850"/>
          <w:pgMar w:header="906" w:footer="607" w:top="1100" w:bottom="800" w:left="860" w:right="900"/>
        </w:sectPr>
      </w:pPr>
    </w:p>
    <w:p>
      <w:pPr>
        <w:pStyle w:val="Heading2"/>
        <w:spacing w:before="54"/>
        <w:ind w:left="3077"/>
      </w:pPr>
      <w:r>
        <w:rPr>
          <w:spacing w:val="-2"/>
        </w:rPr>
        <w:t>穿透式监管利于药价正本清源</w:t>
      </w:r>
    </w:p>
    <w:p>
      <w:pPr>
        <w:pStyle w:val="BodyText"/>
        <w:ind w:left="0" w:firstLine="0"/>
        <w:rPr>
          <w:b/>
        </w:rPr>
      </w:pPr>
      <w:r>
        <w:rPr/>
        <w:br w:type="column"/>
      </w:r>
      <w:r>
        <w:rPr>
          <w:b/>
        </w:rPr>
      </w:r>
    </w:p>
    <w:p>
      <w:pPr>
        <w:pStyle w:val="BodyText"/>
        <w:spacing w:before="9"/>
        <w:ind w:left="0" w:firstLine="0"/>
        <w:rPr>
          <w:b/>
          <w:sz w:val="23"/>
        </w:rPr>
      </w:pP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52" w:space="40"/>
            <w:col w:w="2858"/>
          </w:cols>
        </w:sectPr>
      </w:pPr>
    </w:p>
    <w:p>
      <w:pPr>
        <w:pStyle w:val="BodyText"/>
        <w:spacing w:before="96"/>
        <w:ind w:left="897" w:firstLine="0"/>
      </w:pPr>
      <w:r>
        <w:rPr/>
        <w:t>据报道,财政部将组织部分监管局和各地财政部门开展医药行业会计信息质量检查工</w:t>
      </w:r>
    </w:p>
    <w:p>
      <w:pPr>
        <w:pStyle w:val="BodyText"/>
        <w:spacing w:before="72"/>
        <w:ind w:firstLine="0"/>
      </w:pPr>
      <w:r>
        <w:rPr/>
        <w:t>作，通过对医药销售环节开展穿透式监管，对医药企业费用的真实性、合规性开展大检查。</w:t>
      </w:r>
    </w:p>
    <w:p>
      <w:pPr>
        <w:spacing w:after="0"/>
        <w:sectPr>
          <w:type w:val="continuous"/>
          <w:pgSz w:w="11910" w:h="16850"/>
          <w:pgMar w:top="1100" w:bottom="1020" w:left="860" w:right="900"/>
        </w:sectPr>
      </w:pPr>
    </w:p>
    <w:p>
      <w:pPr>
        <w:pStyle w:val="BodyText"/>
        <w:spacing w:line="295" w:lineRule="auto" w:before="65"/>
        <w:ind w:right="110" w:firstLine="0"/>
      </w:pPr>
      <w:r>
        <w:rPr>
          <w:spacing w:val="-11"/>
        </w:rPr>
        <w:t>剖析药品从生产到销售各个环节的成本利润构成，揭示药价形成机制，为综合治理药价虚高、</w:t>
      </w:r>
      <w:r>
        <w:rPr/>
        <w:t>解决人民群众看病贵问题提供一手资料。</w:t>
      </w:r>
    </w:p>
    <w:p>
      <w:pPr>
        <w:pStyle w:val="BodyText"/>
        <w:spacing w:line="297" w:lineRule="auto" w:before="2"/>
        <w:ind w:right="126"/>
      </w:pPr>
      <w:r>
        <w:rPr>
          <w:spacing w:val="-6"/>
        </w:rPr>
        <w:t>药企销售费用畸高的问题被诟病已久。治病治根，对症开方。作为监管部门，必须有过</w:t>
      </w:r>
      <w:r>
        <w:rPr>
          <w:spacing w:val="-12"/>
        </w:rPr>
        <w:t>硬监管举措。一方面，利用大数据监管原料药商，对他们的生产、出货进行全程监控，坚决</w:t>
      </w:r>
      <w:r>
        <w:rPr>
          <w:spacing w:val="-13"/>
        </w:rPr>
        <w:t>打击“囤积居奇，串通垄断”。另一方面，对于药品推销的中间环节，实施全员监管机制， </w:t>
      </w:r>
      <w:r>
        <w:rPr/>
        <w:t>减少药品销售的“灰色地带”，确保药价回到合理水平。</w:t>
      </w:r>
    </w:p>
    <w:p>
      <w:pPr>
        <w:pStyle w:val="BodyText"/>
        <w:spacing w:line="297" w:lineRule="auto"/>
        <w:ind w:right="110"/>
        <w:jc w:val="both"/>
      </w:pPr>
      <w:r>
        <w:rPr>
          <w:spacing w:val="-5"/>
        </w:rPr>
        <w:t>此次财政部联合国家医保局检查主流药企，目的是核实医药行业费用、成本、收入等方</w:t>
      </w:r>
      <w:r>
        <w:rPr>
          <w:spacing w:val="-11"/>
        </w:rPr>
        <w:t>面的真实性。例如一些销售费用是否真实发生并有充分依据，是否存在从同一机构大量取得</w:t>
      </w:r>
      <w:r>
        <w:rPr>
          <w:spacing w:val="-12"/>
        </w:rPr>
        <w:t>发票，会议等费用是否真实。同时，还将对是否存在按照采购药品数量给医疗机构或个人返点，通过专家咨询费、研发费、宣传费等方式给予回扣重点检查。此举是国家应对药品价格</w:t>
      </w:r>
      <w:r>
        <w:rPr>
          <w:spacing w:val="-18"/>
        </w:rPr>
        <w:t>虚高的有力举措，有助于规范经营，推动创新型药企的健康发展和医药产业整合，实现多赢。</w:t>
      </w:r>
    </w:p>
    <w:p>
      <w:pPr>
        <w:pStyle w:val="Heading3"/>
        <w:spacing w:line="412" w:lineRule="exact"/>
        <w:ind w:left="417"/>
        <w:rPr>
          <w:rFonts w:ascii="Meiryo" w:eastAsia="Meiryo" w:hint="eastAsia"/>
        </w:rPr>
      </w:pPr>
      <w:r>
        <w:rPr>
          <w:rFonts w:ascii="Meiryo" w:eastAsia="Meiryo" w:hint="eastAsia"/>
          <w:color w:val="0033CC"/>
        </w:rPr>
        <w:t>[返回目次]</w:t>
      </w:r>
    </w:p>
    <w:p>
      <w:pPr>
        <w:pStyle w:val="BodyText"/>
        <w:ind w:left="0" w:firstLine="0"/>
        <w:rPr>
          <w:rFonts w:ascii="Meiryo"/>
          <w:b/>
          <w:sz w:val="7"/>
        </w:rPr>
      </w:pPr>
    </w:p>
    <w:p>
      <w:pPr>
        <w:spacing w:after="0"/>
        <w:rPr>
          <w:rFonts w:ascii="Meiryo"/>
          <w:sz w:val="7"/>
        </w:rPr>
        <w:sectPr>
          <w:pgSz w:w="11910" w:h="16850"/>
          <w:pgMar w:header="906" w:footer="607" w:top="1100" w:bottom="800" w:left="860" w:right="900"/>
        </w:sectPr>
      </w:pPr>
    </w:p>
    <w:p>
      <w:pPr>
        <w:spacing w:before="55"/>
        <w:ind w:left="3117" w:right="0" w:firstLine="0"/>
        <w:jc w:val="left"/>
        <w:rPr>
          <w:b/>
          <w:sz w:val="32"/>
        </w:rPr>
      </w:pPr>
      <w:r>
        <w:rPr>
          <w:b/>
          <w:sz w:val="32"/>
        </w:rPr>
        <w:t>DRG</w:t>
      </w:r>
      <w:r>
        <w:rPr>
          <w:b/>
          <w:spacing w:val="-11"/>
          <w:sz w:val="32"/>
        </w:rPr>
        <w:t> 国家试点明确“三步走”</w:t>
      </w:r>
    </w:p>
    <w:p>
      <w:pPr>
        <w:pStyle w:val="BodyText"/>
        <w:ind w:left="0" w:firstLine="0"/>
        <w:rPr>
          <w:b/>
        </w:rPr>
      </w:pPr>
      <w:r>
        <w:rPr/>
        <w:br w:type="column"/>
      </w:r>
      <w:r>
        <w:rPr>
          <w:b/>
        </w:rPr>
      </w:r>
    </w:p>
    <w:p>
      <w:pPr>
        <w:pStyle w:val="BodyText"/>
        <w:spacing w:before="7"/>
        <w:ind w:left="0" w:firstLine="0"/>
        <w:rPr>
          <w:b/>
          <w:sz w:val="23"/>
        </w:rPr>
      </w:pPr>
    </w:p>
    <w:p>
      <w:pPr>
        <w:spacing w:before="1"/>
        <w:ind w:left="734"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860" w:right="900"/>
          <w:cols w:num="2" w:equalWidth="0">
            <w:col w:w="7214" w:space="40"/>
            <w:col w:w="2896"/>
          </w:cols>
        </w:sectPr>
      </w:pPr>
    </w:p>
    <w:p>
      <w:pPr>
        <w:pStyle w:val="BodyText"/>
        <w:spacing w:before="95"/>
        <w:ind w:left="897" w:firstLine="0"/>
        <w:jc w:val="both"/>
      </w:pPr>
      <w:r>
        <w:rPr/>
        <w:t>6</w:t>
      </w:r>
      <w:r>
        <w:rPr>
          <w:spacing w:val="-40"/>
        </w:rPr>
        <w:t> 月 </w:t>
      </w:r>
      <w:r>
        <w:rPr/>
        <w:t>5</w:t>
      </w:r>
      <w:r>
        <w:rPr>
          <w:spacing w:val="-10"/>
        </w:rPr>
        <w:t> 日，国家医保局、财政部、国家卫生健康委、国家中医药管理局发出《关于印发</w:t>
      </w:r>
    </w:p>
    <w:p>
      <w:pPr>
        <w:pStyle w:val="BodyText"/>
        <w:spacing w:line="295" w:lineRule="auto" w:before="74"/>
        <w:ind w:right="227" w:firstLine="0"/>
        <w:jc w:val="both"/>
      </w:pPr>
      <w:r>
        <w:rPr>
          <w:spacing w:val="-2"/>
        </w:rPr>
        <w:t>按疾病诊断相关分组付费国家试点城市名单的通知》，北京、上海、西安等 </w:t>
      </w:r>
      <w:r>
        <w:rPr/>
        <w:t>30</w:t>
      </w:r>
      <w:r>
        <w:rPr>
          <w:spacing w:val="-10"/>
        </w:rPr>
        <w:t> 个城市成为</w:t>
      </w:r>
      <w:r>
        <w:rPr>
          <w:spacing w:val="-16"/>
        </w:rPr>
        <w:t>国家试点城市。《通知》要求，各试点城市及所在省份要在国家 </w:t>
      </w:r>
      <w:r>
        <w:rPr/>
        <w:t>DRG</w:t>
      </w:r>
      <w:r>
        <w:rPr>
          <w:spacing w:val="-9"/>
        </w:rPr>
        <w:t> 付费试点工作组的统一</w:t>
      </w:r>
      <w:r>
        <w:rPr>
          <w:spacing w:val="-2"/>
        </w:rPr>
        <w:t>领导下，按照“顶层设计、模拟测试、实际付费”三步走的思路，确保 </w:t>
      </w:r>
      <w:r>
        <w:rPr/>
        <w:t>2020</w:t>
      </w:r>
      <w:r>
        <w:rPr>
          <w:spacing w:val="-9"/>
        </w:rPr>
        <w:t> 年模拟运行，</w:t>
      </w:r>
    </w:p>
    <w:p>
      <w:pPr>
        <w:pStyle w:val="BodyText"/>
        <w:spacing w:before="6"/>
        <w:ind w:firstLine="0"/>
        <w:jc w:val="both"/>
      </w:pPr>
      <w:r>
        <w:rPr/>
        <w:t>2021 年启动实际付费。</w:t>
      </w:r>
    </w:p>
    <w:p>
      <w:pPr>
        <w:pStyle w:val="BodyText"/>
        <w:spacing w:line="297" w:lineRule="auto" w:before="72"/>
        <w:ind w:right="104"/>
      </w:pPr>
      <w:r>
        <w:rPr>
          <w:spacing w:val="-11"/>
        </w:rPr>
        <w:t>《通知》要求，各试点城市要完善医保付费信息系统，确保试点医疗机构与医保支付系</w:t>
      </w:r>
      <w:r>
        <w:rPr>
          <w:spacing w:val="-13"/>
        </w:rPr>
        <w:t>统的顺畅对接；按照国家制定的 </w:t>
      </w:r>
      <w:r>
        <w:rPr/>
        <w:t>DRG</w:t>
      </w:r>
      <w:r>
        <w:rPr>
          <w:spacing w:val="-14"/>
        </w:rPr>
        <w:t> 分组技术规范的要求，在核心 </w:t>
      </w:r>
      <w:r>
        <w:rPr/>
        <w:t>DRG（A-DRG）</w:t>
      </w:r>
      <w:r>
        <w:rPr>
          <w:spacing w:val="-3"/>
        </w:rPr>
        <w:t>的基础上， </w:t>
      </w:r>
      <w:r>
        <w:rPr>
          <w:spacing w:val="-13"/>
        </w:rPr>
        <w:t>制定地方 </w:t>
      </w:r>
      <w:r>
        <w:rPr/>
        <w:t>DRG</w:t>
      </w:r>
      <w:r>
        <w:rPr>
          <w:spacing w:val="-16"/>
        </w:rPr>
        <w:t> 分组体系和费率权重测算等技术标准，实现医保支付使用的 </w:t>
      </w:r>
      <w:r>
        <w:rPr/>
        <w:t>DRG</w:t>
      </w:r>
      <w:r>
        <w:rPr>
          <w:spacing w:val="-9"/>
        </w:rPr>
        <w:t> 分组框架全国</w:t>
      </w:r>
      <w:r>
        <w:rPr>
          <w:spacing w:val="-18"/>
        </w:rPr>
        <w:t>基本统一；统一 </w:t>
      </w:r>
      <w:r>
        <w:rPr/>
        <w:t>DRG</w:t>
      </w:r>
      <w:r>
        <w:rPr>
          <w:spacing w:val="-15"/>
        </w:rPr>
        <w:t> 医保信息采集，并统一报送；指导参与 </w:t>
      </w:r>
      <w:r>
        <w:rPr/>
        <w:t>DRG</w:t>
      </w:r>
      <w:r>
        <w:rPr>
          <w:spacing w:val="-8"/>
        </w:rPr>
        <w:t> 试点的医疗机构完善内部医</w:t>
      </w:r>
      <w:r>
        <w:rPr>
          <w:spacing w:val="-13"/>
        </w:rPr>
        <w:t>疗管理制度，健全以保证质量、控制成本、规范诊疗、提高医务人员积极性为核心的管理机制。</w:t>
      </w:r>
    </w:p>
    <w:p>
      <w:pPr>
        <w:pStyle w:val="BodyText"/>
        <w:spacing w:line="278" w:lineRule="auto"/>
        <w:ind w:right="230"/>
        <w:jc w:val="both"/>
        <w:rPr>
          <w:rFonts w:ascii="Meiryo" w:eastAsia="Meiryo" w:hint="eastAsia"/>
          <w:b/>
        </w:rPr>
      </w:pPr>
      <w:r>
        <w:rPr>
          <w:spacing w:val="-11"/>
        </w:rPr>
        <w:t>《通知》明确，各省级医保部门要会同财政、卫生健康、中医药管理部门成立试点工作指导组，同步建立专家团队。各试点城市要成立由医保、财政、卫生健康、中医药管理等部</w:t>
      </w:r>
      <w:r>
        <w:rPr/>
        <w:t>门组成的试点领导机构。</w:t>
      </w:r>
      <w:r>
        <w:rPr>
          <w:rFonts w:ascii="Meiryo" w:eastAsia="Meiryo" w:hint="eastAsia"/>
          <w:b/>
          <w:color w:val="0033CC"/>
        </w:rPr>
        <w:t>[返回目次]</w:t>
      </w:r>
    </w:p>
    <w:p>
      <w:pPr>
        <w:pStyle w:val="Heading2"/>
        <w:spacing w:before="111"/>
        <w:ind w:left="179"/>
        <w:jc w:val="center"/>
      </w:pPr>
      <w:r>
        <w:rPr/>
        <w:t>关于第三批鼓励研发申报儿童药品建议清单的公示</w:t>
      </w:r>
    </w:p>
    <w:p>
      <w:pPr>
        <w:pStyle w:val="Heading3"/>
        <w:spacing w:before="145"/>
        <w:ind w:left="4130"/>
        <w:rPr>
          <w:rFonts w:ascii="楷体" w:eastAsia="楷体" w:hint="eastAsia"/>
        </w:rPr>
      </w:pPr>
      <w:r>
        <w:rPr>
          <w:rFonts w:ascii="楷体" w:eastAsia="楷体" w:hint="eastAsia"/>
          <w:color w:val="FF0000"/>
        </w:rPr>
        <w:t>（来源：国家卫健委药物政策与基本药物制度司网站）</w:t>
      </w:r>
    </w:p>
    <w:p>
      <w:pPr>
        <w:pStyle w:val="BodyText"/>
        <w:spacing w:line="295" w:lineRule="auto" w:before="98"/>
        <w:ind w:right="125"/>
      </w:pPr>
      <w:r>
        <w:rPr>
          <w:spacing w:val="-4"/>
        </w:rPr>
        <w:t>为进一步落实国家卫生计生委等 </w:t>
      </w:r>
      <w:r>
        <w:rPr/>
        <w:t>6</w:t>
      </w:r>
      <w:r>
        <w:rPr>
          <w:spacing w:val="-14"/>
        </w:rPr>
        <w:t> 部门《关于保障儿童用药的若干意见》要求，丰富儿童适用药品的品种、剂型和规格，满足儿科临床用药需求，2019</w:t>
      </w:r>
      <w:r>
        <w:rPr>
          <w:spacing w:val="-8"/>
        </w:rPr>
        <w:t> 年，国家卫生健康委、工</w:t>
      </w:r>
      <w:r>
        <w:rPr>
          <w:spacing w:val="-9"/>
        </w:rPr>
        <w:t>业和信息化部、国家药品监管局继续紧密围绕我国儿童疾病谱以及相关企业研发生产能力， </w:t>
      </w:r>
      <w:r>
        <w:rPr/>
        <w:t>组织国家卫生健康委儿童用药专家委员会等有关专家结合中国大陆境内尚未注册上市且临 床急需的儿童用药现状，基于循证原则筛选论证，并充分听取了相关专业学（协）</w:t>
      </w:r>
      <w:r>
        <w:rPr>
          <w:spacing w:val="-4"/>
        </w:rPr>
        <w:t>会意见， </w:t>
      </w:r>
      <w:r>
        <w:rPr>
          <w:spacing w:val="-2"/>
        </w:rPr>
        <w:t>提出了《第三批鼓励研发申报儿童药品建议清单》。现予以公示，公示期 </w:t>
      </w:r>
      <w:r>
        <w:rPr/>
        <w:t>5</w:t>
      </w:r>
      <w:r>
        <w:rPr>
          <w:spacing w:val="-10"/>
        </w:rPr>
        <w:t> 日。如有异议，</w:t>
      </w:r>
    </w:p>
    <w:p>
      <w:pPr>
        <w:spacing w:after="0" w:line="295" w:lineRule="auto"/>
        <w:sectPr>
          <w:type w:val="continuous"/>
          <w:pgSz w:w="11910" w:h="16850"/>
          <w:pgMar w:top="1100" w:bottom="1020" w:left="860" w:right="900"/>
        </w:sectPr>
      </w:pPr>
    </w:p>
    <w:p>
      <w:pPr>
        <w:pStyle w:val="BodyText"/>
        <w:spacing w:line="295" w:lineRule="auto" w:before="65"/>
        <w:ind w:left="897" w:right="38" w:hanging="480"/>
      </w:pPr>
      <w:r>
        <w:rPr/>
        <w:t>可通过国家卫生计生委儿童用药专家委员会办公室反映。电话：（010）68797753</w:t>
      </w:r>
    </w:p>
    <w:p>
      <w:pPr>
        <w:pStyle w:val="BodyText"/>
        <w:spacing w:before="2"/>
        <w:ind w:left="897" w:firstLine="0"/>
      </w:pPr>
      <w:r>
        <w:rPr/>
        <w:t>邮箱：</w:t>
      </w:r>
      <w:hyperlink r:id="rId11">
        <w:r>
          <w:rPr/>
          <w:t>ertongyongyao@126.com</w:t>
        </w:r>
      </w:hyperlink>
    </w:p>
    <w:p>
      <w:pPr>
        <w:pStyle w:val="BodyText"/>
        <w:spacing w:before="2"/>
        <w:ind w:left="0" w:firstLine="0"/>
        <w:rPr>
          <w:sz w:val="35"/>
        </w:rPr>
      </w:pPr>
    </w:p>
    <w:p>
      <w:pPr>
        <w:pStyle w:val="BodyText"/>
        <w:ind w:left="897" w:firstLine="0"/>
      </w:pPr>
      <w:r>
        <w:rPr>
          <w:spacing w:val="-1"/>
        </w:rPr>
        <w:t>附</w:t>
      </w:r>
      <w:r>
        <w:rPr/>
        <w:t>件：</w:t>
      </w:r>
      <w:r>
        <w:rPr>
          <w:spacing w:val="-1"/>
        </w:rPr>
        <w:drawing>
          <wp:inline distT="0" distB="0" distL="0" distR="0">
            <wp:extent cx="153669" cy="153670"/>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12" cstate="print"/>
                    <a:stretch>
                      <a:fillRect/>
                    </a:stretch>
                  </pic:blipFill>
                  <pic:spPr>
                    <a:xfrm>
                      <a:off x="0" y="0"/>
                      <a:ext cx="153669" cy="153670"/>
                    </a:xfrm>
                    <a:prstGeom prst="rect">
                      <a:avLst/>
                    </a:prstGeom>
                  </pic:spPr>
                </pic:pic>
              </a:graphicData>
            </a:graphic>
          </wp:inline>
        </w:drawing>
      </w:r>
      <w:r>
        <w:rPr>
          <w:spacing w:val="-1"/>
        </w:rPr>
      </w:r>
      <w:hyperlink r:id="rId13">
        <w:r>
          <w:rPr/>
          <w:t>第三批鼓励研发申报儿童药品建议清单</w:t>
        </w:r>
      </w:hyperlink>
    </w:p>
    <w:p>
      <w:pPr>
        <w:pStyle w:val="BodyText"/>
        <w:ind w:left="0" w:firstLine="0"/>
      </w:pPr>
      <w:r>
        <w:rPr/>
        <w:br w:type="column"/>
      </w:r>
      <w:r>
        <w:rPr/>
      </w:r>
    </w:p>
    <w:p>
      <w:pPr>
        <w:pStyle w:val="BodyText"/>
        <w:ind w:left="0" w:firstLine="0"/>
      </w:pPr>
    </w:p>
    <w:p>
      <w:pPr>
        <w:pStyle w:val="BodyText"/>
        <w:ind w:left="0" w:firstLine="0"/>
      </w:pPr>
    </w:p>
    <w:p>
      <w:pPr>
        <w:pStyle w:val="BodyText"/>
        <w:ind w:left="0" w:firstLine="0"/>
        <w:rPr>
          <w:sz w:val="22"/>
        </w:rPr>
      </w:pPr>
    </w:p>
    <w:p>
      <w:pPr>
        <w:pStyle w:val="BodyText"/>
        <w:spacing w:before="1"/>
        <w:ind w:firstLine="0"/>
      </w:pPr>
      <w:r>
        <w:rPr/>
        <w:t>2019 年 5 月 31 日</w:t>
      </w:r>
    </w:p>
    <w:p>
      <w:pPr>
        <w:spacing w:after="0"/>
        <w:sectPr>
          <w:pgSz w:w="11910" w:h="16850"/>
          <w:pgMar w:header="906" w:footer="607" w:top="1100" w:bottom="800" w:left="860" w:right="900"/>
          <w:cols w:num="2" w:equalWidth="0">
            <w:col w:w="6458" w:space="863"/>
            <w:col w:w="2829"/>
          </w:cols>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2694"/>
        <w:gridCol w:w="2293"/>
        <w:gridCol w:w="3287"/>
      </w:tblGrid>
      <w:tr>
        <w:trPr>
          <w:trHeight w:val="498" w:hRule="atLeast"/>
        </w:trPr>
        <w:tc>
          <w:tcPr>
            <w:tcW w:w="1256" w:type="dxa"/>
            <w:shd w:val="clear" w:color="auto" w:fill="C6ECCC"/>
          </w:tcPr>
          <w:p>
            <w:pPr>
              <w:pStyle w:val="TableParagraph"/>
              <w:spacing w:before="95"/>
              <w:ind w:left="366" w:right="359"/>
              <w:jc w:val="center"/>
              <w:rPr>
                <w:sz w:val="24"/>
              </w:rPr>
            </w:pPr>
            <w:r>
              <w:rPr>
                <w:sz w:val="24"/>
              </w:rPr>
              <w:t>序号</w:t>
            </w:r>
          </w:p>
        </w:tc>
        <w:tc>
          <w:tcPr>
            <w:tcW w:w="2694" w:type="dxa"/>
            <w:shd w:val="clear" w:color="auto" w:fill="C6ECCC"/>
          </w:tcPr>
          <w:p>
            <w:pPr>
              <w:pStyle w:val="TableParagraph"/>
              <w:spacing w:before="95"/>
              <w:ind w:left="745"/>
              <w:rPr>
                <w:sz w:val="24"/>
              </w:rPr>
            </w:pPr>
            <w:r>
              <w:rPr>
                <w:sz w:val="24"/>
              </w:rPr>
              <w:t>药品通用名</w:t>
            </w:r>
          </w:p>
        </w:tc>
        <w:tc>
          <w:tcPr>
            <w:tcW w:w="2293" w:type="dxa"/>
            <w:shd w:val="clear" w:color="auto" w:fill="C6ECCC"/>
          </w:tcPr>
          <w:p>
            <w:pPr>
              <w:pStyle w:val="TableParagraph"/>
              <w:spacing w:before="95"/>
              <w:ind w:left="883" w:right="879"/>
              <w:jc w:val="center"/>
              <w:rPr>
                <w:sz w:val="24"/>
              </w:rPr>
            </w:pPr>
            <w:r>
              <w:rPr>
                <w:sz w:val="24"/>
              </w:rPr>
              <w:t>剂型</w:t>
            </w:r>
          </w:p>
        </w:tc>
        <w:tc>
          <w:tcPr>
            <w:tcW w:w="3287" w:type="dxa"/>
            <w:shd w:val="clear" w:color="auto" w:fill="C6ECCC"/>
          </w:tcPr>
          <w:p>
            <w:pPr>
              <w:pStyle w:val="TableParagraph"/>
              <w:spacing w:before="95"/>
              <w:ind w:left="1380" w:right="1377"/>
              <w:jc w:val="center"/>
              <w:rPr>
                <w:sz w:val="24"/>
              </w:rPr>
            </w:pPr>
            <w:r>
              <w:rPr>
                <w:sz w:val="24"/>
              </w:rPr>
              <w:t>规格</w:t>
            </w:r>
          </w:p>
        </w:tc>
      </w:tr>
      <w:tr>
        <w:trPr>
          <w:trHeight w:val="498" w:hRule="atLeast"/>
        </w:trPr>
        <w:tc>
          <w:tcPr>
            <w:tcW w:w="1256" w:type="dxa"/>
            <w:shd w:val="clear" w:color="auto" w:fill="C6ECCC"/>
          </w:tcPr>
          <w:p>
            <w:pPr>
              <w:pStyle w:val="TableParagraph"/>
              <w:ind w:left="7"/>
              <w:jc w:val="center"/>
              <w:rPr>
                <w:sz w:val="24"/>
              </w:rPr>
            </w:pPr>
            <w:r>
              <w:rPr>
                <w:sz w:val="24"/>
              </w:rPr>
              <w:t>1</w:t>
            </w:r>
          </w:p>
        </w:tc>
        <w:tc>
          <w:tcPr>
            <w:tcW w:w="2694" w:type="dxa"/>
            <w:shd w:val="clear" w:color="auto" w:fill="C6ECCC"/>
          </w:tcPr>
          <w:p>
            <w:pPr>
              <w:pStyle w:val="TableParagraph"/>
              <w:rPr>
                <w:sz w:val="24"/>
              </w:rPr>
            </w:pPr>
            <w:r>
              <w:rPr>
                <w:sz w:val="24"/>
              </w:rPr>
              <w:t>地西泮</w:t>
            </w:r>
          </w:p>
        </w:tc>
        <w:tc>
          <w:tcPr>
            <w:tcW w:w="2293" w:type="dxa"/>
            <w:shd w:val="clear" w:color="auto" w:fill="C6ECCC"/>
          </w:tcPr>
          <w:p>
            <w:pPr>
              <w:pStyle w:val="TableParagraph"/>
              <w:rPr>
                <w:sz w:val="24"/>
              </w:rPr>
            </w:pPr>
            <w:r>
              <w:rPr>
                <w:sz w:val="24"/>
              </w:rPr>
              <w:t>口服液</w:t>
            </w:r>
          </w:p>
        </w:tc>
        <w:tc>
          <w:tcPr>
            <w:tcW w:w="3287" w:type="dxa"/>
            <w:shd w:val="clear" w:color="auto" w:fill="C6ECCC"/>
          </w:tcPr>
          <w:p>
            <w:pPr>
              <w:pStyle w:val="TableParagraph"/>
              <w:ind w:left="12"/>
              <w:rPr>
                <w:sz w:val="24"/>
              </w:rPr>
            </w:pPr>
            <w:r>
              <w:rPr>
                <w:sz w:val="24"/>
              </w:rPr>
              <w:t>1mg/ml, 100ml</w:t>
            </w:r>
          </w:p>
        </w:tc>
      </w:tr>
      <w:tr>
        <w:trPr>
          <w:trHeight w:val="496" w:hRule="atLeast"/>
        </w:trPr>
        <w:tc>
          <w:tcPr>
            <w:tcW w:w="1256" w:type="dxa"/>
            <w:shd w:val="clear" w:color="auto" w:fill="C6ECCC"/>
          </w:tcPr>
          <w:p>
            <w:pPr>
              <w:pStyle w:val="TableParagraph"/>
              <w:ind w:left="7"/>
              <w:jc w:val="center"/>
              <w:rPr>
                <w:sz w:val="24"/>
              </w:rPr>
            </w:pPr>
            <w:r>
              <w:rPr>
                <w:sz w:val="24"/>
              </w:rPr>
              <w:t>2</w:t>
            </w:r>
          </w:p>
        </w:tc>
        <w:tc>
          <w:tcPr>
            <w:tcW w:w="2694" w:type="dxa"/>
            <w:shd w:val="clear" w:color="auto" w:fill="C6ECCC"/>
          </w:tcPr>
          <w:p>
            <w:pPr>
              <w:pStyle w:val="TableParagraph"/>
              <w:rPr>
                <w:sz w:val="24"/>
              </w:rPr>
            </w:pPr>
            <w:r>
              <w:rPr>
                <w:sz w:val="24"/>
              </w:rPr>
              <w:t>利多卡因</w:t>
            </w:r>
          </w:p>
        </w:tc>
        <w:tc>
          <w:tcPr>
            <w:tcW w:w="2293" w:type="dxa"/>
            <w:shd w:val="clear" w:color="auto" w:fill="C6ECCC"/>
          </w:tcPr>
          <w:p>
            <w:pPr>
              <w:pStyle w:val="TableParagraph"/>
              <w:rPr>
                <w:sz w:val="24"/>
              </w:rPr>
            </w:pPr>
            <w:r>
              <w:rPr>
                <w:sz w:val="24"/>
              </w:rPr>
              <w:t>喷雾剂</w:t>
            </w:r>
          </w:p>
        </w:tc>
        <w:tc>
          <w:tcPr>
            <w:tcW w:w="3287" w:type="dxa"/>
            <w:shd w:val="clear" w:color="auto" w:fill="C6ECCC"/>
          </w:tcPr>
          <w:p>
            <w:pPr>
              <w:pStyle w:val="TableParagraph"/>
              <w:ind w:left="12"/>
              <w:rPr>
                <w:sz w:val="24"/>
              </w:rPr>
            </w:pPr>
            <w:r>
              <w:rPr>
                <w:sz w:val="24"/>
              </w:rPr>
              <w:t>10mg/喷, 50ml</w:t>
            </w:r>
          </w:p>
        </w:tc>
      </w:tr>
      <w:tr>
        <w:trPr>
          <w:trHeight w:val="499" w:hRule="atLeast"/>
        </w:trPr>
        <w:tc>
          <w:tcPr>
            <w:tcW w:w="1256" w:type="dxa"/>
            <w:shd w:val="clear" w:color="auto" w:fill="C6ECCC"/>
          </w:tcPr>
          <w:p>
            <w:pPr>
              <w:pStyle w:val="TableParagraph"/>
              <w:spacing w:before="96"/>
              <w:ind w:left="7"/>
              <w:jc w:val="center"/>
              <w:rPr>
                <w:sz w:val="24"/>
              </w:rPr>
            </w:pPr>
            <w:r>
              <w:rPr>
                <w:sz w:val="24"/>
              </w:rPr>
              <w:t>3</w:t>
            </w:r>
          </w:p>
        </w:tc>
        <w:tc>
          <w:tcPr>
            <w:tcW w:w="2694" w:type="dxa"/>
            <w:shd w:val="clear" w:color="auto" w:fill="C6ECCC"/>
          </w:tcPr>
          <w:p>
            <w:pPr>
              <w:pStyle w:val="TableParagraph"/>
              <w:spacing w:before="96"/>
              <w:rPr>
                <w:sz w:val="24"/>
              </w:rPr>
            </w:pPr>
            <w:r>
              <w:rPr>
                <w:sz w:val="24"/>
              </w:rPr>
              <w:t>螺内酯</w:t>
            </w:r>
          </w:p>
        </w:tc>
        <w:tc>
          <w:tcPr>
            <w:tcW w:w="2293" w:type="dxa"/>
            <w:shd w:val="clear" w:color="auto" w:fill="C6ECCC"/>
          </w:tcPr>
          <w:p>
            <w:pPr>
              <w:pStyle w:val="TableParagraph"/>
              <w:spacing w:before="96"/>
              <w:rPr>
                <w:sz w:val="24"/>
              </w:rPr>
            </w:pPr>
            <w:r>
              <w:rPr>
                <w:sz w:val="24"/>
              </w:rPr>
              <w:t>口服液</w:t>
            </w:r>
          </w:p>
        </w:tc>
        <w:tc>
          <w:tcPr>
            <w:tcW w:w="3287" w:type="dxa"/>
            <w:shd w:val="clear" w:color="auto" w:fill="C6ECCC"/>
          </w:tcPr>
          <w:p>
            <w:pPr>
              <w:pStyle w:val="TableParagraph"/>
              <w:spacing w:before="96"/>
              <w:ind w:left="12"/>
              <w:rPr>
                <w:sz w:val="24"/>
              </w:rPr>
            </w:pPr>
            <w:r>
              <w:rPr>
                <w:sz w:val="24"/>
              </w:rPr>
              <w:t>1mg/ml, 5ml</w:t>
            </w:r>
          </w:p>
        </w:tc>
      </w:tr>
      <w:tr>
        <w:trPr>
          <w:trHeight w:val="498" w:hRule="atLeast"/>
        </w:trPr>
        <w:tc>
          <w:tcPr>
            <w:tcW w:w="1256" w:type="dxa"/>
            <w:shd w:val="clear" w:color="auto" w:fill="C6ECCC"/>
          </w:tcPr>
          <w:p>
            <w:pPr>
              <w:pStyle w:val="TableParagraph"/>
              <w:ind w:left="7"/>
              <w:jc w:val="center"/>
              <w:rPr>
                <w:sz w:val="24"/>
              </w:rPr>
            </w:pPr>
            <w:r>
              <w:rPr>
                <w:sz w:val="24"/>
              </w:rPr>
              <w:t>4</w:t>
            </w:r>
          </w:p>
        </w:tc>
        <w:tc>
          <w:tcPr>
            <w:tcW w:w="2694" w:type="dxa"/>
            <w:shd w:val="clear" w:color="auto" w:fill="C6ECCC"/>
          </w:tcPr>
          <w:p>
            <w:pPr>
              <w:pStyle w:val="TableParagraph"/>
              <w:rPr>
                <w:sz w:val="24"/>
              </w:rPr>
            </w:pPr>
            <w:r>
              <w:rPr>
                <w:sz w:val="24"/>
              </w:rPr>
              <w:t>西地那非</w:t>
            </w:r>
          </w:p>
        </w:tc>
        <w:tc>
          <w:tcPr>
            <w:tcW w:w="2293" w:type="dxa"/>
            <w:shd w:val="clear" w:color="auto" w:fill="C6ECCC"/>
          </w:tcPr>
          <w:p>
            <w:pPr>
              <w:pStyle w:val="TableParagraph"/>
              <w:rPr>
                <w:sz w:val="24"/>
              </w:rPr>
            </w:pPr>
            <w:r>
              <w:rPr>
                <w:sz w:val="24"/>
              </w:rPr>
              <w:t>口服混悬剂</w:t>
            </w:r>
          </w:p>
        </w:tc>
        <w:tc>
          <w:tcPr>
            <w:tcW w:w="3287" w:type="dxa"/>
            <w:shd w:val="clear" w:color="auto" w:fill="C6ECCC"/>
          </w:tcPr>
          <w:p>
            <w:pPr>
              <w:pStyle w:val="TableParagraph"/>
              <w:ind w:left="12"/>
              <w:rPr>
                <w:sz w:val="24"/>
              </w:rPr>
            </w:pPr>
            <w:r>
              <w:rPr>
                <w:sz w:val="24"/>
              </w:rPr>
              <w:t>10mg/ml, 112ml</w:t>
            </w:r>
          </w:p>
        </w:tc>
      </w:tr>
      <w:tr>
        <w:trPr>
          <w:trHeight w:val="496" w:hRule="atLeast"/>
        </w:trPr>
        <w:tc>
          <w:tcPr>
            <w:tcW w:w="1256" w:type="dxa"/>
            <w:shd w:val="clear" w:color="auto" w:fill="C6ECCC"/>
          </w:tcPr>
          <w:p>
            <w:pPr>
              <w:pStyle w:val="TableParagraph"/>
              <w:ind w:left="7"/>
              <w:jc w:val="center"/>
              <w:rPr>
                <w:sz w:val="24"/>
              </w:rPr>
            </w:pPr>
            <w:r>
              <w:rPr>
                <w:sz w:val="24"/>
              </w:rPr>
              <w:t>5</w:t>
            </w:r>
          </w:p>
        </w:tc>
        <w:tc>
          <w:tcPr>
            <w:tcW w:w="2694" w:type="dxa"/>
            <w:shd w:val="clear" w:color="auto" w:fill="C6ECCC"/>
          </w:tcPr>
          <w:p>
            <w:pPr>
              <w:pStyle w:val="TableParagraph"/>
              <w:rPr>
                <w:sz w:val="24"/>
              </w:rPr>
            </w:pPr>
            <w:r>
              <w:rPr>
                <w:sz w:val="24"/>
              </w:rPr>
              <w:t>依那普利</w:t>
            </w:r>
          </w:p>
        </w:tc>
        <w:tc>
          <w:tcPr>
            <w:tcW w:w="2293" w:type="dxa"/>
            <w:shd w:val="clear" w:color="auto" w:fill="C6ECCC"/>
          </w:tcPr>
          <w:p>
            <w:pPr>
              <w:pStyle w:val="TableParagraph"/>
              <w:rPr>
                <w:sz w:val="24"/>
              </w:rPr>
            </w:pPr>
            <w:r>
              <w:rPr>
                <w:sz w:val="24"/>
              </w:rPr>
              <w:t>口服液</w:t>
            </w:r>
          </w:p>
        </w:tc>
        <w:tc>
          <w:tcPr>
            <w:tcW w:w="3287" w:type="dxa"/>
            <w:shd w:val="clear" w:color="auto" w:fill="C6ECCC"/>
          </w:tcPr>
          <w:p>
            <w:pPr>
              <w:pStyle w:val="TableParagraph"/>
              <w:ind w:left="12"/>
              <w:rPr>
                <w:sz w:val="24"/>
              </w:rPr>
            </w:pPr>
            <w:r>
              <w:rPr>
                <w:sz w:val="24"/>
              </w:rPr>
              <w:t>1mg/ml, 150ml</w:t>
            </w:r>
          </w:p>
        </w:tc>
      </w:tr>
      <w:tr>
        <w:trPr>
          <w:trHeight w:val="498" w:hRule="atLeast"/>
        </w:trPr>
        <w:tc>
          <w:tcPr>
            <w:tcW w:w="1256" w:type="dxa"/>
            <w:shd w:val="clear" w:color="auto" w:fill="C6ECCC"/>
          </w:tcPr>
          <w:p>
            <w:pPr>
              <w:pStyle w:val="TableParagraph"/>
              <w:spacing w:before="95"/>
              <w:ind w:left="7"/>
              <w:jc w:val="center"/>
              <w:rPr>
                <w:sz w:val="24"/>
              </w:rPr>
            </w:pPr>
            <w:r>
              <w:rPr>
                <w:sz w:val="24"/>
              </w:rPr>
              <w:t>6</w:t>
            </w:r>
          </w:p>
        </w:tc>
        <w:tc>
          <w:tcPr>
            <w:tcW w:w="2694" w:type="dxa"/>
            <w:shd w:val="clear" w:color="auto" w:fill="C6ECCC"/>
          </w:tcPr>
          <w:p>
            <w:pPr>
              <w:pStyle w:val="TableParagraph"/>
              <w:spacing w:before="95"/>
              <w:rPr>
                <w:sz w:val="24"/>
              </w:rPr>
            </w:pPr>
            <w:r>
              <w:rPr>
                <w:sz w:val="24"/>
              </w:rPr>
              <w:t>索他洛尔</w:t>
            </w:r>
          </w:p>
        </w:tc>
        <w:tc>
          <w:tcPr>
            <w:tcW w:w="2293" w:type="dxa"/>
            <w:shd w:val="clear" w:color="auto" w:fill="C6ECCC"/>
          </w:tcPr>
          <w:p>
            <w:pPr>
              <w:pStyle w:val="TableParagraph"/>
              <w:spacing w:before="95"/>
              <w:rPr>
                <w:sz w:val="24"/>
              </w:rPr>
            </w:pPr>
            <w:r>
              <w:rPr>
                <w:sz w:val="24"/>
              </w:rPr>
              <w:t>口服液</w:t>
            </w:r>
          </w:p>
        </w:tc>
        <w:tc>
          <w:tcPr>
            <w:tcW w:w="3287" w:type="dxa"/>
            <w:shd w:val="clear" w:color="auto" w:fill="C6ECCC"/>
          </w:tcPr>
          <w:p>
            <w:pPr>
              <w:pStyle w:val="TableParagraph"/>
              <w:spacing w:before="95"/>
              <w:ind w:left="12"/>
              <w:rPr>
                <w:sz w:val="24"/>
              </w:rPr>
            </w:pPr>
            <w:r>
              <w:rPr>
                <w:sz w:val="24"/>
              </w:rPr>
              <w:t>1mg/ml</w:t>
            </w:r>
          </w:p>
        </w:tc>
      </w:tr>
      <w:tr>
        <w:trPr>
          <w:trHeight w:val="498" w:hRule="atLeast"/>
        </w:trPr>
        <w:tc>
          <w:tcPr>
            <w:tcW w:w="1256" w:type="dxa"/>
            <w:shd w:val="clear" w:color="auto" w:fill="C6ECCC"/>
          </w:tcPr>
          <w:p>
            <w:pPr>
              <w:pStyle w:val="TableParagraph"/>
              <w:ind w:left="7"/>
              <w:jc w:val="center"/>
              <w:rPr>
                <w:sz w:val="24"/>
              </w:rPr>
            </w:pPr>
            <w:r>
              <w:rPr>
                <w:sz w:val="24"/>
              </w:rPr>
              <w:t>7</w:t>
            </w:r>
          </w:p>
        </w:tc>
        <w:tc>
          <w:tcPr>
            <w:tcW w:w="2694" w:type="dxa"/>
            <w:shd w:val="clear" w:color="auto" w:fill="C6ECCC"/>
          </w:tcPr>
          <w:p>
            <w:pPr>
              <w:pStyle w:val="TableParagraph"/>
              <w:rPr>
                <w:sz w:val="24"/>
              </w:rPr>
            </w:pPr>
            <w:r>
              <w:rPr>
                <w:sz w:val="24"/>
              </w:rPr>
              <w:t>双嘧达莫</w:t>
            </w:r>
          </w:p>
        </w:tc>
        <w:tc>
          <w:tcPr>
            <w:tcW w:w="2293" w:type="dxa"/>
            <w:shd w:val="clear" w:color="auto" w:fill="C6ECCC"/>
          </w:tcPr>
          <w:p>
            <w:pPr>
              <w:pStyle w:val="TableParagraph"/>
              <w:rPr>
                <w:sz w:val="24"/>
              </w:rPr>
            </w:pPr>
            <w:r>
              <w:rPr>
                <w:sz w:val="24"/>
              </w:rPr>
              <w:t>口服混悬液</w:t>
            </w:r>
          </w:p>
        </w:tc>
        <w:tc>
          <w:tcPr>
            <w:tcW w:w="3287" w:type="dxa"/>
            <w:shd w:val="clear" w:color="auto" w:fill="C6ECCC"/>
          </w:tcPr>
          <w:p>
            <w:pPr>
              <w:pStyle w:val="TableParagraph"/>
              <w:ind w:left="12"/>
              <w:rPr>
                <w:sz w:val="24"/>
              </w:rPr>
            </w:pPr>
            <w:r>
              <w:rPr>
                <w:sz w:val="24"/>
              </w:rPr>
              <w:t>10mg/ml</w:t>
            </w:r>
          </w:p>
        </w:tc>
      </w:tr>
      <w:tr>
        <w:trPr>
          <w:trHeight w:val="496" w:hRule="atLeast"/>
        </w:trPr>
        <w:tc>
          <w:tcPr>
            <w:tcW w:w="1256" w:type="dxa"/>
            <w:shd w:val="clear" w:color="auto" w:fill="C6ECCC"/>
          </w:tcPr>
          <w:p>
            <w:pPr>
              <w:pStyle w:val="TableParagraph"/>
              <w:ind w:left="7"/>
              <w:jc w:val="center"/>
              <w:rPr>
                <w:sz w:val="24"/>
              </w:rPr>
            </w:pPr>
            <w:r>
              <w:rPr>
                <w:sz w:val="24"/>
              </w:rPr>
              <w:t>8</w:t>
            </w:r>
          </w:p>
        </w:tc>
        <w:tc>
          <w:tcPr>
            <w:tcW w:w="2694" w:type="dxa"/>
            <w:shd w:val="clear" w:color="auto" w:fill="C6ECCC"/>
          </w:tcPr>
          <w:p>
            <w:pPr>
              <w:pStyle w:val="TableParagraph"/>
              <w:spacing w:before="113"/>
              <w:rPr>
                <w:sz w:val="21"/>
              </w:rPr>
            </w:pPr>
            <w:r>
              <w:rPr>
                <w:sz w:val="21"/>
              </w:rPr>
              <w:t>蛋白 C</w:t>
            </w:r>
          </w:p>
        </w:tc>
        <w:tc>
          <w:tcPr>
            <w:tcW w:w="2293" w:type="dxa"/>
            <w:shd w:val="clear" w:color="auto" w:fill="C6ECCC"/>
          </w:tcPr>
          <w:p>
            <w:pPr>
              <w:pStyle w:val="TableParagraph"/>
              <w:rPr>
                <w:sz w:val="24"/>
              </w:rPr>
            </w:pPr>
            <w:r>
              <w:rPr>
                <w:sz w:val="24"/>
              </w:rPr>
              <w:t>注射剂</w:t>
            </w:r>
          </w:p>
        </w:tc>
        <w:tc>
          <w:tcPr>
            <w:tcW w:w="3287" w:type="dxa"/>
            <w:shd w:val="clear" w:color="auto" w:fill="C6ECCC"/>
          </w:tcPr>
          <w:p>
            <w:pPr>
              <w:pStyle w:val="TableParagraph"/>
              <w:ind w:left="12"/>
              <w:rPr>
                <w:sz w:val="24"/>
              </w:rPr>
            </w:pPr>
            <w:r>
              <w:rPr>
                <w:sz w:val="24"/>
              </w:rPr>
              <w:t>500 IU</w:t>
            </w:r>
          </w:p>
        </w:tc>
      </w:tr>
      <w:tr>
        <w:trPr>
          <w:trHeight w:val="499" w:hRule="atLeast"/>
        </w:trPr>
        <w:tc>
          <w:tcPr>
            <w:tcW w:w="1256" w:type="dxa"/>
            <w:shd w:val="clear" w:color="auto" w:fill="C6ECCC"/>
          </w:tcPr>
          <w:p>
            <w:pPr>
              <w:pStyle w:val="TableParagraph"/>
              <w:spacing w:before="96"/>
              <w:ind w:left="7"/>
              <w:jc w:val="center"/>
              <w:rPr>
                <w:sz w:val="24"/>
              </w:rPr>
            </w:pPr>
            <w:r>
              <w:rPr>
                <w:sz w:val="24"/>
              </w:rPr>
              <w:t>9</w:t>
            </w:r>
          </w:p>
        </w:tc>
        <w:tc>
          <w:tcPr>
            <w:tcW w:w="2694" w:type="dxa"/>
            <w:shd w:val="clear" w:color="auto" w:fill="C6ECCC"/>
          </w:tcPr>
          <w:p>
            <w:pPr>
              <w:pStyle w:val="TableParagraph"/>
              <w:spacing w:before="96"/>
              <w:rPr>
                <w:sz w:val="24"/>
              </w:rPr>
            </w:pPr>
            <w:r>
              <w:rPr>
                <w:sz w:val="24"/>
              </w:rPr>
              <w:t>氯吡格雷</w:t>
            </w:r>
          </w:p>
        </w:tc>
        <w:tc>
          <w:tcPr>
            <w:tcW w:w="2293" w:type="dxa"/>
            <w:shd w:val="clear" w:color="auto" w:fill="C6ECCC"/>
          </w:tcPr>
          <w:p>
            <w:pPr>
              <w:pStyle w:val="TableParagraph"/>
              <w:spacing w:before="96"/>
              <w:rPr>
                <w:sz w:val="24"/>
              </w:rPr>
            </w:pPr>
            <w:r>
              <w:rPr>
                <w:sz w:val="24"/>
              </w:rPr>
              <w:t>混悬液</w:t>
            </w:r>
          </w:p>
        </w:tc>
        <w:tc>
          <w:tcPr>
            <w:tcW w:w="3287" w:type="dxa"/>
            <w:shd w:val="clear" w:color="auto" w:fill="C6ECCC"/>
          </w:tcPr>
          <w:p>
            <w:pPr>
              <w:pStyle w:val="TableParagraph"/>
              <w:spacing w:before="96"/>
              <w:ind w:left="12"/>
              <w:rPr>
                <w:sz w:val="24"/>
              </w:rPr>
            </w:pPr>
            <w:r>
              <w:rPr>
                <w:sz w:val="24"/>
              </w:rPr>
              <w:t>1mg/ml, 50ml</w:t>
            </w:r>
          </w:p>
        </w:tc>
      </w:tr>
      <w:tr>
        <w:trPr>
          <w:trHeight w:val="498" w:hRule="atLeast"/>
        </w:trPr>
        <w:tc>
          <w:tcPr>
            <w:tcW w:w="1256" w:type="dxa"/>
            <w:shd w:val="clear" w:color="auto" w:fill="C6ECCC"/>
          </w:tcPr>
          <w:p>
            <w:pPr>
              <w:pStyle w:val="TableParagraph"/>
              <w:ind w:left="366" w:right="359"/>
              <w:jc w:val="center"/>
              <w:rPr>
                <w:sz w:val="24"/>
              </w:rPr>
            </w:pPr>
            <w:r>
              <w:rPr>
                <w:sz w:val="24"/>
              </w:rPr>
              <w:t>10</w:t>
            </w:r>
          </w:p>
        </w:tc>
        <w:tc>
          <w:tcPr>
            <w:tcW w:w="2694" w:type="dxa"/>
            <w:shd w:val="clear" w:color="auto" w:fill="C6ECCC"/>
          </w:tcPr>
          <w:p>
            <w:pPr>
              <w:pStyle w:val="TableParagraph"/>
              <w:rPr>
                <w:sz w:val="24"/>
              </w:rPr>
            </w:pPr>
            <w:r>
              <w:rPr>
                <w:sz w:val="24"/>
              </w:rPr>
              <w:t>XIII 因子</w:t>
            </w:r>
          </w:p>
        </w:tc>
        <w:tc>
          <w:tcPr>
            <w:tcW w:w="2293" w:type="dxa"/>
            <w:shd w:val="clear" w:color="auto" w:fill="C6ECCC"/>
          </w:tcPr>
          <w:p>
            <w:pPr>
              <w:pStyle w:val="TableParagraph"/>
              <w:rPr>
                <w:sz w:val="24"/>
              </w:rPr>
            </w:pPr>
            <w:r>
              <w:rPr>
                <w:sz w:val="24"/>
              </w:rPr>
              <w:t>注射剂</w:t>
            </w:r>
          </w:p>
        </w:tc>
        <w:tc>
          <w:tcPr>
            <w:tcW w:w="3287" w:type="dxa"/>
            <w:shd w:val="clear" w:color="auto" w:fill="C6ECCC"/>
          </w:tcPr>
          <w:p>
            <w:pPr>
              <w:pStyle w:val="TableParagraph"/>
              <w:ind w:left="12"/>
              <w:rPr>
                <w:sz w:val="24"/>
              </w:rPr>
            </w:pPr>
            <w:r>
              <w:rPr>
                <w:sz w:val="24"/>
              </w:rPr>
              <w:t>250 IU</w:t>
            </w:r>
          </w:p>
        </w:tc>
      </w:tr>
      <w:tr>
        <w:trPr>
          <w:trHeight w:val="496" w:hRule="atLeast"/>
        </w:trPr>
        <w:tc>
          <w:tcPr>
            <w:tcW w:w="1256" w:type="dxa"/>
            <w:shd w:val="clear" w:color="auto" w:fill="C6ECCC"/>
          </w:tcPr>
          <w:p>
            <w:pPr>
              <w:pStyle w:val="TableParagraph"/>
              <w:ind w:left="366" w:right="359"/>
              <w:jc w:val="center"/>
              <w:rPr>
                <w:sz w:val="24"/>
              </w:rPr>
            </w:pPr>
            <w:r>
              <w:rPr>
                <w:sz w:val="24"/>
              </w:rPr>
              <w:t>11</w:t>
            </w:r>
          </w:p>
        </w:tc>
        <w:tc>
          <w:tcPr>
            <w:tcW w:w="2694" w:type="dxa"/>
            <w:shd w:val="clear" w:color="auto" w:fill="C6ECCC"/>
          </w:tcPr>
          <w:p>
            <w:pPr>
              <w:pStyle w:val="TableParagraph"/>
              <w:rPr>
                <w:sz w:val="24"/>
              </w:rPr>
            </w:pPr>
            <w:r>
              <w:rPr>
                <w:sz w:val="24"/>
              </w:rPr>
              <w:t>四氢生物蝶呤</w:t>
            </w:r>
          </w:p>
        </w:tc>
        <w:tc>
          <w:tcPr>
            <w:tcW w:w="2293" w:type="dxa"/>
            <w:shd w:val="clear" w:color="auto" w:fill="C6ECCC"/>
          </w:tcPr>
          <w:p>
            <w:pPr>
              <w:pStyle w:val="TableParagraph"/>
              <w:rPr>
                <w:sz w:val="24"/>
              </w:rPr>
            </w:pPr>
            <w:r>
              <w:rPr>
                <w:sz w:val="24"/>
              </w:rPr>
              <w:t>片剂</w:t>
            </w:r>
          </w:p>
        </w:tc>
        <w:tc>
          <w:tcPr>
            <w:tcW w:w="3287" w:type="dxa"/>
            <w:shd w:val="clear" w:color="auto" w:fill="C6ECCC"/>
          </w:tcPr>
          <w:p>
            <w:pPr>
              <w:pStyle w:val="TableParagraph"/>
              <w:spacing w:before="113"/>
              <w:ind w:left="12"/>
              <w:rPr>
                <w:sz w:val="21"/>
              </w:rPr>
            </w:pPr>
            <w:r>
              <w:rPr>
                <w:sz w:val="21"/>
              </w:rPr>
              <w:t>20mg、100mg</w:t>
            </w:r>
          </w:p>
        </w:tc>
      </w:tr>
      <w:tr>
        <w:trPr>
          <w:trHeight w:val="498" w:hRule="atLeast"/>
        </w:trPr>
        <w:tc>
          <w:tcPr>
            <w:tcW w:w="1256" w:type="dxa"/>
            <w:shd w:val="clear" w:color="auto" w:fill="C6ECCC"/>
          </w:tcPr>
          <w:p>
            <w:pPr>
              <w:pStyle w:val="TableParagraph"/>
              <w:spacing w:before="96"/>
              <w:ind w:left="366" w:right="359"/>
              <w:jc w:val="center"/>
              <w:rPr>
                <w:sz w:val="24"/>
              </w:rPr>
            </w:pPr>
            <w:r>
              <w:rPr>
                <w:sz w:val="24"/>
              </w:rPr>
              <w:t>12</w:t>
            </w:r>
          </w:p>
        </w:tc>
        <w:tc>
          <w:tcPr>
            <w:tcW w:w="2694" w:type="dxa"/>
            <w:shd w:val="clear" w:color="auto" w:fill="C6ECCC"/>
          </w:tcPr>
          <w:p>
            <w:pPr>
              <w:pStyle w:val="TableParagraph"/>
              <w:spacing w:before="96"/>
              <w:rPr>
                <w:sz w:val="24"/>
              </w:rPr>
            </w:pPr>
            <w:r>
              <w:rPr>
                <w:sz w:val="24"/>
              </w:rPr>
              <w:t>西多福韦</w:t>
            </w:r>
          </w:p>
        </w:tc>
        <w:tc>
          <w:tcPr>
            <w:tcW w:w="2293" w:type="dxa"/>
            <w:shd w:val="clear" w:color="auto" w:fill="C6ECCC"/>
          </w:tcPr>
          <w:p>
            <w:pPr>
              <w:pStyle w:val="TableParagraph"/>
              <w:spacing w:before="96"/>
              <w:rPr>
                <w:sz w:val="24"/>
              </w:rPr>
            </w:pPr>
            <w:r>
              <w:rPr>
                <w:sz w:val="24"/>
              </w:rPr>
              <w:t>注射液</w:t>
            </w:r>
          </w:p>
        </w:tc>
        <w:tc>
          <w:tcPr>
            <w:tcW w:w="3287" w:type="dxa"/>
            <w:shd w:val="clear" w:color="auto" w:fill="C6ECCC"/>
          </w:tcPr>
          <w:p>
            <w:pPr>
              <w:pStyle w:val="TableParagraph"/>
              <w:spacing w:before="96"/>
              <w:ind w:left="12"/>
              <w:rPr>
                <w:sz w:val="24"/>
              </w:rPr>
            </w:pPr>
            <w:r>
              <w:rPr>
                <w:sz w:val="24"/>
              </w:rPr>
              <w:t>75mg/ml,5ml</w:t>
            </w:r>
          </w:p>
        </w:tc>
      </w:tr>
      <w:tr>
        <w:trPr>
          <w:trHeight w:val="685" w:hRule="atLeast"/>
        </w:trPr>
        <w:tc>
          <w:tcPr>
            <w:tcW w:w="1256" w:type="dxa"/>
            <w:shd w:val="clear" w:color="auto" w:fill="C6ECCC"/>
          </w:tcPr>
          <w:p>
            <w:pPr>
              <w:pStyle w:val="TableParagraph"/>
              <w:spacing w:before="189"/>
              <w:ind w:left="366" w:right="359"/>
              <w:jc w:val="center"/>
              <w:rPr>
                <w:sz w:val="24"/>
              </w:rPr>
            </w:pPr>
            <w:r>
              <w:rPr>
                <w:sz w:val="24"/>
              </w:rPr>
              <w:t>13</w:t>
            </w:r>
          </w:p>
        </w:tc>
        <w:tc>
          <w:tcPr>
            <w:tcW w:w="2694" w:type="dxa"/>
            <w:shd w:val="clear" w:color="auto" w:fill="C6ECCC"/>
          </w:tcPr>
          <w:p>
            <w:pPr>
              <w:pStyle w:val="TableParagraph"/>
              <w:spacing w:before="4"/>
              <w:ind w:left="0"/>
              <w:rPr>
                <w:rFonts w:ascii="宋体"/>
                <w:sz w:val="16"/>
              </w:rPr>
            </w:pPr>
          </w:p>
          <w:p>
            <w:pPr>
              <w:pStyle w:val="TableParagraph"/>
              <w:spacing w:before="0"/>
              <w:rPr>
                <w:sz w:val="21"/>
              </w:rPr>
            </w:pPr>
            <w:r>
              <w:rPr>
                <w:sz w:val="21"/>
              </w:rPr>
              <w:t>无水甜菜碱</w:t>
            </w:r>
          </w:p>
        </w:tc>
        <w:tc>
          <w:tcPr>
            <w:tcW w:w="2293" w:type="dxa"/>
            <w:shd w:val="clear" w:color="auto" w:fill="C6ECCC"/>
          </w:tcPr>
          <w:p>
            <w:pPr>
              <w:pStyle w:val="TableParagraph"/>
              <w:spacing w:before="189"/>
              <w:rPr>
                <w:sz w:val="24"/>
              </w:rPr>
            </w:pPr>
            <w:r>
              <w:rPr>
                <w:sz w:val="24"/>
              </w:rPr>
              <w:t>散剂</w:t>
            </w:r>
          </w:p>
        </w:tc>
        <w:tc>
          <w:tcPr>
            <w:tcW w:w="3287" w:type="dxa"/>
            <w:shd w:val="clear" w:color="auto" w:fill="C6ECCC"/>
          </w:tcPr>
          <w:p>
            <w:pPr>
              <w:pStyle w:val="TableParagraph"/>
              <w:spacing w:before="189"/>
              <w:ind w:left="12"/>
              <w:rPr>
                <w:sz w:val="24"/>
              </w:rPr>
            </w:pPr>
            <w:r>
              <w:rPr>
                <w:sz w:val="24"/>
              </w:rPr>
              <w:t>180g</w:t>
            </w:r>
          </w:p>
        </w:tc>
      </w:tr>
      <w:tr>
        <w:trPr>
          <w:trHeight w:val="498" w:hRule="atLeast"/>
        </w:trPr>
        <w:tc>
          <w:tcPr>
            <w:tcW w:w="1256" w:type="dxa"/>
            <w:shd w:val="clear" w:color="auto" w:fill="C6ECCC"/>
          </w:tcPr>
          <w:p>
            <w:pPr>
              <w:pStyle w:val="TableParagraph"/>
              <w:ind w:left="366" w:right="359"/>
              <w:jc w:val="center"/>
              <w:rPr>
                <w:sz w:val="24"/>
              </w:rPr>
            </w:pPr>
            <w:r>
              <w:rPr>
                <w:sz w:val="24"/>
              </w:rPr>
              <w:t>14</w:t>
            </w:r>
          </w:p>
        </w:tc>
        <w:tc>
          <w:tcPr>
            <w:tcW w:w="2694" w:type="dxa"/>
            <w:shd w:val="clear" w:color="auto" w:fill="C6ECCC"/>
          </w:tcPr>
          <w:p>
            <w:pPr>
              <w:pStyle w:val="TableParagraph"/>
              <w:rPr>
                <w:sz w:val="24"/>
              </w:rPr>
            </w:pPr>
            <w:r>
              <w:rPr>
                <w:sz w:val="24"/>
              </w:rPr>
              <w:t>他克莫司</w:t>
            </w:r>
          </w:p>
        </w:tc>
        <w:tc>
          <w:tcPr>
            <w:tcW w:w="2293" w:type="dxa"/>
            <w:shd w:val="clear" w:color="auto" w:fill="C6ECCC"/>
          </w:tcPr>
          <w:p>
            <w:pPr>
              <w:pStyle w:val="TableParagraph"/>
              <w:rPr>
                <w:sz w:val="24"/>
              </w:rPr>
            </w:pPr>
            <w:r>
              <w:rPr>
                <w:sz w:val="24"/>
              </w:rPr>
              <w:t>颗粒剂</w:t>
            </w:r>
          </w:p>
        </w:tc>
        <w:tc>
          <w:tcPr>
            <w:tcW w:w="3287" w:type="dxa"/>
            <w:shd w:val="clear" w:color="auto" w:fill="C6ECCC"/>
          </w:tcPr>
          <w:p>
            <w:pPr>
              <w:pStyle w:val="TableParagraph"/>
              <w:ind w:left="12"/>
              <w:rPr>
                <w:sz w:val="24"/>
              </w:rPr>
            </w:pPr>
            <w:r>
              <w:rPr>
                <w:sz w:val="24"/>
              </w:rPr>
              <w:t>1mg</w:t>
            </w:r>
          </w:p>
        </w:tc>
      </w:tr>
      <w:tr>
        <w:trPr>
          <w:trHeight w:val="496" w:hRule="atLeast"/>
        </w:trPr>
        <w:tc>
          <w:tcPr>
            <w:tcW w:w="1256" w:type="dxa"/>
            <w:shd w:val="clear" w:color="auto" w:fill="C6ECCC"/>
          </w:tcPr>
          <w:p>
            <w:pPr>
              <w:pStyle w:val="TableParagraph"/>
              <w:spacing w:before="94"/>
              <w:ind w:left="366" w:right="359"/>
              <w:jc w:val="center"/>
              <w:rPr>
                <w:sz w:val="24"/>
              </w:rPr>
            </w:pPr>
            <w:r>
              <w:rPr>
                <w:sz w:val="24"/>
              </w:rPr>
              <w:t>15</w:t>
            </w:r>
          </w:p>
        </w:tc>
        <w:tc>
          <w:tcPr>
            <w:tcW w:w="2694" w:type="dxa"/>
            <w:shd w:val="clear" w:color="auto" w:fill="C6ECCC"/>
          </w:tcPr>
          <w:p>
            <w:pPr>
              <w:pStyle w:val="TableParagraph"/>
              <w:spacing w:before="94"/>
              <w:rPr>
                <w:sz w:val="24"/>
              </w:rPr>
            </w:pPr>
            <w:r>
              <w:rPr>
                <w:sz w:val="24"/>
              </w:rPr>
              <w:t>阿那白滞素</w:t>
            </w:r>
          </w:p>
        </w:tc>
        <w:tc>
          <w:tcPr>
            <w:tcW w:w="2293" w:type="dxa"/>
            <w:shd w:val="clear" w:color="auto" w:fill="C6ECCC"/>
          </w:tcPr>
          <w:p>
            <w:pPr>
              <w:pStyle w:val="TableParagraph"/>
              <w:spacing w:before="94"/>
              <w:rPr>
                <w:sz w:val="24"/>
              </w:rPr>
            </w:pPr>
            <w:r>
              <w:rPr>
                <w:sz w:val="24"/>
              </w:rPr>
              <w:t>皮下注射液</w:t>
            </w:r>
          </w:p>
        </w:tc>
        <w:tc>
          <w:tcPr>
            <w:tcW w:w="3287" w:type="dxa"/>
            <w:shd w:val="clear" w:color="auto" w:fill="C6ECCC"/>
          </w:tcPr>
          <w:p>
            <w:pPr>
              <w:pStyle w:val="TableParagraph"/>
              <w:spacing w:before="94"/>
              <w:ind w:left="12"/>
              <w:rPr>
                <w:sz w:val="24"/>
              </w:rPr>
            </w:pPr>
            <w:r>
              <w:rPr>
                <w:sz w:val="24"/>
              </w:rPr>
              <w:t>100mg/0.67ml</w:t>
            </w:r>
          </w:p>
        </w:tc>
      </w:tr>
      <w:tr>
        <w:trPr>
          <w:trHeight w:val="498" w:hRule="atLeast"/>
        </w:trPr>
        <w:tc>
          <w:tcPr>
            <w:tcW w:w="1256" w:type="dxa"/>
            <w:shd w:val="clear" w:color="auto" w:fill="C6ECCC"/>
          </w:tcPr>
          <w:p>
            <w:pPr>
              <w:pStyle w:val="TableParagraph"/>
              <w:spacing w:before="96"/>
              <w:ind w:left="366" w:right="359"/>
              <w:jc w:val="center"/>
              <w:rPr>
                <w:sz w:val="24"/>
              </w:rPr>
            </w:pPr>
            <w:r>
              <w:rPr>
                <w:sz w:val="24"/>
              </w:rPr>
              <w:t>16</w:t>
            </w:r>
          </w:p>
        </w:tc>
        <w:tc>
          <w:tcPr>
            <w:tcW w:w="2694" w:type="dxa"/>
            <w:shd w:val="clear" w:color="auto" w:fill="C6ECCC"/>
          </w:tcPr>
          <w:p>
            <w:pPr>
              <w:pStyle w:val="TableParagraph"/>
              <w:spacing w:before="96"/>
              <w:rPr>
                <w:sz w:val="24"/>
              </w:rPr>
            </w:pPr>
            <w:r>
              <w:rPr>
                <w:sz w:val="24"/>
              </w:rPr>
              <w:t>噻吗洛尔</w:t>
            </w:r>
          </w:p>
        </w:tc>
        <w:tc>
          <w:tcPr>
            <w:tcW w:w="2293" w:type="dxa"/>
            <w:shd w:val="clear" w:color="auto" w:fill="C6ECCC"/>
          </w:tcPr>
          <w:p>
            <w:pPr>
              <w:pStyle w:val="TableParagraph"/>
              <w:spacing w:before="96"/>
              <w:rPr>
                <w:sz w:val="24"/>
              </w:rPr>
            </w:pPr>
            <w:r>
              <w:rPr>
                <w:sz w:val="24"/>
              </w:rPr>
              <w:t>凝胶</w:t>
            </w:r>
          </w:p>
        </w:tc>
        <w:tc>
          <w:tcPr>
            <w:tcW w:w="3287" w:type="dxa"/>
            <w:shd w:val="clear" w:color="auto" w:fill="C6ECCC"/>
          </w:tcPr>
          <w:p>
            <w:pPr>
              <w:pStyle w:val="TableParagraph"/>
              <w:spacing w:before="96"/>
              <w:ind w:left="12"/>
              <w:rPr>
                <w:sz w:val="24"/>
              </w:rPr>
            </w:pPr>
            <w:r>
              <w:rPr>
                <w:sz w:val="24"/>
              </w:rPr>
              <w:t>2%</w:t>
            </w:r>
          </w:p>
        </w:tc>
      </w:tr>
      <w:tr>
        <w:trPr>
          <w:trHeight w:val="498" w:hRule="atLeast"/>
        </w:trPr>
        <w:tc>
          <w:tcPr>
            <w:tcW w:w="1256" w:type="dxa"/>
            <w:shd w:val="clear" w:color="auto" w:fill="C6ECCC"/>
          </w:tcPr>
          <w:p>
            <w:pPr>
              <w:pStyle w:val="TableParagraph"/>
              <w:ind w:left="366" w:right="359"/>
              <w:jc w:val="center"/>
              <w:rPr>
                <w:sz w:val="24"/>
              </w:rPr>
            </w:pPr>
            <w:r>
              <w:rPr>
                <w:sz w:val="24"/>
              </w:rPr>
              <w:t>17</w:t>
            </w:r>
          </w:p>
        </w:tc>
        <w:tc>
          <w:tcPr>
            <w:tcW w:w="2694" w:type="dxa"/>
            <w:shd w:val="clear" w:color="auto" w:fill="C6ECCC"/>
          </w:tcPr>
          <w:p>
            <w:pPr>
              <w:pStyle w:val="TableParagraph"/>
              <w:rPr>
                <w:sz w:val="24"/>
              </w:rPr>
            </w:pPr>
            <w:r>
              <w:rPr>
                <w:sz w:val="24"/>
              </w:rPr>
              <w:t>乙琥胺</w:t>
            </w:r>
          </w:p>
        </w:tc>
        <w:tc>
          <w:tcPr>
            <w:tcW w:w="2293" w:type="dxa"/>
            <w:shd w:val="clear" w:color="auto" w:fill="C6ECCC"/>
          </w:tcPr>
          <w:p>
            <w:pPr>
              <w:pStyle w:val="TableParagraph"/>
              <w:rPr>
                <w:sz w:val="24"/>
              </w:rPr>
            </w:pPr>
            <w:r>
              <w:rPr>
                <w:sz w:val="24"/>
              </w:rPr>
              <w:t>糖浆</w:t>
            </w:r>
          </w:p>
        </w:tc>
        <w:tc>
          <w:tcPr>
            <w:tcW w:w="3287" w:type="dxa"/>
            <w:shd w:val="clear" w:color="auto" w:fill="C6ECCC"/>
          </w:tcPr>
          <w:p>
            <w:pPr>
              <w:pStyle w:val="TableParagraph"/>
              <w:ind w:left="12"/>
              <w:rPr>
                <w:sz w:val="24"/>
              </w:rPr>
            </w:pPr>
            <w:r>
              <w:rPr>
                <w:sz w:val="24"/>
              </w:rPr>
              <w:t>100ml:5g</w:t>
            </w:r>
          </w:p>
        </w:tc>
      </w:tr>
      <w:tr>
        <w:trPr>
          <w:trHeight w:val="496" w:hRule="atLeast"/>
        </w:trPr>
        <w:tc>
          <w:tcPr>
            <w:tcW w:w="1256" w:type="dxa"/>
            <w:shd w:val="clear" w:color="auto" w:fill="C6ECCC"/>
          </w:tcPr>
          <w:p>
            <w:pPr>
              <w:pStyle w:val="TableParagraph"/>
              <w:ind w:left="366" w:right="359"/>
              <w:jc w:val="center"/>
              <w:rPr>
                <w:sz w:val="24"/>
              </w:rPr>
            </w:pPr>
            <w:r>
              <w:rPr>
                <w:sz w:val="24"/>
              </w:rPr>
              <w:t>18</w:t>
            </w:r>
          </w:p>
        </w:tc>
        <w:tc>
          <w:tcPr>
            <w:tcW w:w="2694" w:type="dxa"/>
            <w:shd w:val="clear" w:color="auto" w:fill="C6ECCC"/>
          </w:tcPr>
          <w:p>
            <w:pPr>
              <w:pStyle w:val="TableParagraph"/>
              <w:rPr>
                <w:sz w:val="24"/>
              </w:rPr>
            </w:pPr>
            <w:r>
              <w:rPr>
                <w:sz w:val="24"/>
              </w:rPr>
              <w:t>舒噻嗪</w:t>
            </w:r>
          </w:p>
        </w:tc>
        <w:tc>
          <w:tcPr>
            <w:tcW w:w="2293" w:type="dxa"/>
            <w:shd w:val="clear" w:color="auto" w:fill="C6ECCC"/>
          </w:tcPr>
          <w:p>
            <w:pPr>
              <w:pStyle w:val="TableParagraph"/>
              <w:rPr>
                <w:sz w:val="24"/>
              </w:rPr>
            </w:pPr>
            <w:r>
              <w:rPr>
                <w:sz w:val="24"/>
              </w:rPr>
              <w:t>片剂</w:t>
            </w:r>
          </w:p>
        </w:tc>
        <w:tc>
          <w:tcPr>
            <w:tcW w:w="3287" w:type="dxa"/>
            <w:shd w:val="clear" w:color="auto" w:fill="C6ECCC"/>
          </w:tcPr>
          <w:p>
            <w:pPr>
              <w:pStyle w:val="TableParagraph"/>
              <w:ind w:left="12"/>
              <w:rPr>
                <w:sz w:val="24"/>
              </w:rPr>
            </w:pPr>
            <w:r>
              <w:rPr>
                <w:sz w:val="24"/>
              </w:rPr>
              <w:t>100mg</w:t>
            </w:r>
          </w:p>
        </w:tc>
      </w:tr>
      <w:tr>
        <w:trPr>
          <w:trHeight w:val="498" w:hRule="atLeast"/>
        </w:trPr>
        <w:tc>
          <w:tcPr>
            <w:tcW w:w="1256" w:type="dxa"/>
            <w:shd w:val="clear" w:color="auto" w:fill="C6ECCC"/>
          </w:tcPr>
          <w:p>
            <w:pPr>
              <w:pStyle w:val="TableParagraph"/>
              <w:spacing w:before="95"/>
              <w:ind w:left="366" w:right="359"/>
              <w:jc w:val="center"/>
              <w:rPr>
                <w:sz w:val="24"/>
              </w:rPr>
            </w:pPr>
            <w:r>
              <w:rPr>
                <w:sz w:val="24"/>
              </w:rPr>
              <w:t>19</w:t>
            </w:r>
          </w:p>
        </w:tc>
        <w:tc>
          <w:tcPr>
            <w:tcW w:w="2694" w:type="dxa"/>
            <w:shd w:val="clear" w:color="auto" w:fill="C6ECCC"/>
          </w:tcPr>
          <w:p>
            <w:pPr>
              <w:pStyle w:val="TableParagraph"/>
              <w:spacing w:before="95"/>
              <w:rPr>
                <w:sz w:val="24"/>
              </w:rPr>
            </w:pPr>
            <w:r>
              <w:rPr>
                <w:sz w:val="24"/>
              </w:rPr>
              <w:t>盐酸右美托咪定</w:t>
            </w:r>
          </w:p>
        </w:tc>
        <w:tc>
          <w:tcPr>
            <w:tcW w:w="2293" w:type="dxa"/>
            <w:shd w:val="clear" w:color="auto" w:fill="C6ECCC"/>
          </w:tcPr>
          <w:p>
            <w:pPr>
              <w:pStyle w:val="TableParagraph"/>
              <w:spacing w:before="95"/>
              <w:rPr>
                <w:sz w:val="24"/>
              </w:rPr>
            </w:pPr>
            <w:r>
              <w:rPr>
                <w:sz w:val="24"/>
              </w:rPr>
              <w:t>鼻喷剂</w:t>
            </w:r>
          </w:p>
        </w:tc>
        <w:tc>
          <w:tcPr>
            <w:tcW w:w="3287" w:type="dxa"/>
            <w:shd w:val="clear" w:color="auto" w:fill="C6ECCC"/>
          </w:tcPr>
          <w:p>
            <w:pPr>
              <w:pStyle w:val="TableParagraph"/>
              <w:spacing w:before="95"/>
              <w:ind w:left="12"/>
              <w:rPr>
                <w:sz w:val="24"/>
              </w:rPr>
            </w:pPr>
            <w:r>
              <w:rPr>
                <w:sz w:val="24"/>
              </w:rPr>
              <w:t>1.0g:200μg</w:t>
            </w:r>
          </w:p>
        </w:tc>
      </w:tr>
      <w:tr>
        <w:trPr>
          <w:trHeight w:val="498" w:hRule="atLeast"/>
        </w:trPr>
        <w:tc>
          <w:tcPr>
            <w:tcW w:w="1256" w:type="dxa"/>
            <w:shd w:val="clear" w:color="auto" w:fill="C6ECCC"/>
          </w:tcPr>
          <w:p>
            <w:pPr>
              <w:pStyle w:val="TableParagraph"/>
              <w:ind w:left="366" w:right="359"/>
              <w:jc w:val="center"/>
              <w:rPr>
                <w:sz w:val="24"/>
              </w:rPr>
            </w:pPr>
            <w:r>
              <w:rPr>
                <w:sz w:val="24"/>
              </w:rPr>
              <w:t>20</w:t>
            </w:r>
          </w:p>
        </w:tc>
        <w:tc>
          <w:tcPr>
            <w:tcW w:w="2694" w:type="dxa"/>
            <w:shd w:val="clear" w:color="auto" w:fill="C6ECCC"/>
          </w:tcPr>
          <w:p>
            <w:pPr>
              <w:pStyle w:val="TableParagraph"/>
              <w:rPr>
                <w:sz w:val="24"/>
              </w:rPr>
            </w:pPr>
            <w:r>
              <w:rPr>
                <w:sz w:val="24"/>
              </w:rPr>
              <w:t>阿司匹林</w:t>
            </w:r>
          </w:p>
        </w:tc>
        <w:tc>
          <w:tcPr>
            <w:tcW w:w="2293" w:type="dxa"/>
            <w:shd w:val="clear" w:color="auto" w:fill="C6ECCC"/>
          </w:tcPr>
          <w:p>
            <w:pPr>
              <w:pStyle w:val="TableParagraph"/>
              <w:rPr>
                <w:sz w:val="24"/>
              </w:rPr>
            </w:pPr>
            <w:r>
              <w:rPr>
                <w:sz w:val="24"/>
              </w:rPr>
              <w:t>口服液</w:t>
            </w:r>
          </w:p>
        </w:tc>
        <w:tc>
          <w:tcPr>
            <w:tcW w:w="3287" w:type="dxa"/>
            <w:shd w:val="clear" w:color="auto" w:fill="C6ECCC"/>
          </w:tcPr>
          <w:p>
            <w:pPr>
              <w:pStyle w:val="TableParagraph"/>
              <w:ind w:left="12"/>
              <w:rPr>
                <w:sz w:val="24"/>
              </w:rPr>
            </w:pPr>
            <w:r>
              <w:rPr>
                <w:sz w:val="24"/>
              </w:rPr>
              <w:t>5mg/ml</w:t>
            </w:r>
          </w:p>
        </w:tc>
      </w:tr>
      <w:tr>
        <w:trPr>
          <w:trHeight w:val="496" w:hRule="atLeast"/>
        </w:trPr>
        <w:tc>
          <w:tcPr>
            <w:tcW w:w="1256" w:type="dxa"/>
            <w:shd w:val="clear" w:color="auto" w:fill="C6ECCC"/>
          </w:tcPr>
          <w:p>
            <w:pPr>
              <w:pStyle w:val="TableParagraph"/>
              <w:ind w:left="366" w:right="359"/>
              <w:jc w:val="center"/>
              <w:rPr>
                <w:sz w:val="24"/>
              </w:rPr>
            </w:pPr>
            <w:r>
              <w:rPr>
                <w:sz w:val="24"/>
              </w:rPr>
              <w:t>21</w:t>
            </w:r>
          </w:p>
        </w:tc>
        <w:tc>
          <w:tcPr>
            <w:tcW w:w="2694" w:type="dxa"/>
            <w:shd w:val="clear" w:color="auto" w:fill="C6ECCC"/>
          </w:tcPr>
          <w:p>
            <w:pPr>
              <w:pStyle w:val="TableParagraph"/>
              <w:rPr>
                <w:sz w:val="24"/>
              </w:rPr>
            </w:pPr>
            <w:r>
              <w:rPr>
                <w:sz w:val="24"/>
              </w:rPr>
              <w:t>后叶加压素</w:t>
            </w:r>
          </w:p>
        </w:tc>
        <w:tc>
          <w:tcPr>
            <w:tcW w:w="2293" w:type="dxa"/>
            <w:shd w:val="clear" w:color="auto" w:fill="C6ECCC"/>
          </w:tcPr>
          <w:p>
            <w:pPr>
              <w:pStyle w:val="TableParagraph"/>
              <w:rPr>
                <w:sz w:val="24"/>
              </w:rPr>
            </w:pPr>
            <w:r>
              <w:rPr>
                <w:sz w:val="24"/>
              </w:rPr>
              <w:t>注射剂</w:t>
            </w:r>
          </w:p>
        </w:tc>
        <w:tc>
          <w:tcPr>
            <w:tcW w:w="3287" w:type="dxa"/>
            <w:shd w:val="clear" w:color="auto" w:fill="C6ECCC"/>
          </w:tcPr>
          <w:p>
            <w:pPr>
              <w:pStyle w:val="TableParagraph"/>
              <w:ind w:left="12"/>
              <w:rPr>
                <w:sz w:val="24"/>
              </w:rPr>
            </w:pPr>
            <w:r>
              <w:rPr>
                <w:sz w:val="24"/>
              </w:rPr>
              <w:t>20IU/ml</w:t>
            </w:r>
          </w:p>
        </w:tc>
      </w:tr>
      <w:tr>
        <w:trPr>
          <w:trHeight w:val="498" w:hRule="atLeast"/>
        </w:trPr>
        <w:tc>
          <w:tcPr>
            <w:tcW w:w="1256" w:type="dxa"/>
            <w:shd w:val="clear" w:color="auto" w:fill="C6ECCC"/>
          </w:tcPr>
          <w:p>
            <w:pPr>
              <w:pStyle w:val="TableParagraph"/>
              <w:spacing w:before="95"/>
              <w:ind w:left="366" w:right="359"/>
              <w:jc w:val="center"/>
              <w:rPr>
                <w:sz w:val="24"/>
              </w:rPr>
            </w:pPr>
            <w:r>
              <w:rPr>
                <w:sz w:val="24"/>
              </w:rPr>
              <w:t>22</w:t>
            </w:r>
          </w:p>
        </w:tc>
        <w:tc>
          <w:tcPr>
            <w:tcW w:w="2694" w:type="dxa"/>
            <w:shd w:val="clear" w:color="auto" w:fill="C6ECCC"/>
          </w:tcPr>
          <w:p>
            <w:pPr>
              <w:pStyle w:val="TableParagraph"/>
              <w:spacing w:before="95"/>
              <w:rPr>
                <w:sz w:val="24"/>
              </w:rPr>
            </w:pPr>
            <w:r>
              <w:rPr>
                <w:sz w:val="24"/>
              </w:rPr>
              <w:t>Ataluren</w:t>
            </w:r>
          </w:p>
        </w:tc>
        <w:tc>
          <w:tcPr>
            <w:tcW w:w="2293" w:type="dxa"/>
            <w:shd w:val="clear" w:color="auto" w:fill="C6ECCC"/>
          </w:tcPr>
          <w:p>
            <w:pPr>
              <w:pStyle w:val="TableParagraph"/>
              <w:spacing w:before="95"/>
              <w:rPr>
                <w:sz w:val="24"/>
              </w:rPr>
            </w:pPr>
            <w:r>
              <w:rPr>
                <w:sz w:val="24"/>
              </w:rPr>
              <w:t>颗粒剂</w:t>
            </w:r>
          </w:p>
        </w:tc>
        <w:tc>
          <w:tcPr>
            <w:tcW w:w="3287" w:type="dxa"/>
            <w:shd w:val="clear" w:color="auto" w:fill="C6ECCC"/>
          </w:tcPr>
          <w:p>
            <w:pPr>
              <w:pStyle w:val="TableParagraph"/>
              <w:spacing w:before="95"/>
              <w:ind w:left="12"/>
              <w:rPr>
                <w:sz w:val="24"/>
              </w:rPr>
            </w:pPr>
            <w:r>
              <w:rPr>
                <w:sz w:val="24"/>
              </w:rPr>
              <w:t>125mg</w:t>
            </w:r>
          </w:p>
        </w:tc>
      </w:tr>
      <w:tr>
        <w:trPr>
          <w:trHeight w:val="498" w:hRule="atLeast"/>
        </w:trPr>
        <w:tc>
          <w:tcPr>
            <w:tcW w:w="1256" w:type="dxa"/>
            <w:shd w:val="clear" w:color="auto" w:fill="C6ECCC"/>
          </w:tcPr>
          <w:p>
            <w:pPr>
              <w:pStyle w:val="TableParagraph"/>
              <w:ind w:left="366" w:right="359"/>
              <w:jc w:val="center"/>
              <w:rPr>
                <w:sz w:val="24"/>
              </w:rPr>
            </w:pPr>
            <w:r>
              <w:rPr>
                <w:sz w:val="24"/>
              </w:rPr>
              <w:t>23</w:t>
            </w:r>
          </w:p>
        </w:tc>
        <w:tc>
          <w:tcPr>
            <w:tcW w:w="2694" w:type="dxa"/>
            <w:shd w:val="clear" w:color="auto" w:fill="C6ECCC"/>
          </w:tcPr>
          <w:p>
            <w:pPr>
              <w:pStyle w:val="TableParagraph"/>
              <w:rPr>
                <w:sz w:val="24"/>
              </w:rPr>
            </w:pPr>
            <w:r>
              <w:rPr>
                <w:sz w:val="24"/>
              </w:rPr>
              <w:t>睾酮</w:t>
            </w:r>
          </w:p>
        </w:tc>
        <w:tc>
          <w:tcPr>
            <w:tcW w:w="2293" w:type="dxa"/>
            <w:shd w:val="clear" w:color="auto" w:fill="C6ECCC"/>
          </w:tcPr>
          <w:p>
            <w:pPr>
              <w:pStyle w:val="TableParagraph"/>
              <w:rPr>
                <w:sz w:val="24"/>
              </w:rPr>
            </w:pPr>
            <w:r>
              <w:rPr>
                <w:sz w:val="24"/>
              </w:rPr>
              <w:t>注射剂</w:t>
            </w:r>
          </w:p>
        </w:tc>
        <w:tc>
          <w:tcPr>
            <w:tcW w:w="3287" w:type="dxa"/>
            <w:shd w:val="clear" w:color="auto" w:fill="C6ECCC"/>
          </w:tcPr>
          <w:p>
            <w:pPr>
              <w:pStyle w:val="TableParagraph"/>
              <w:ind w:left="12"/>
              <w:rPr>
                <w:sz w:val="24"/>
              </w:rPr>
            </w:pPr>
            <w:r>
              <w:rPr>
                <w:sz w:val="24"/>
              </w:rPr>
              <w:t>100mg/ml,10ml</w:t>
            </w:r>
          </w:p>
        </w:tc>
      </w:tr>
    </w:tbl>
    <w:p>
      <w:pPr>
        <w:spacing w:after="0"/>
        <w:rPr>
          <w:sz w:val="24"/>
        </w:rPr>
        <w:sectPr>
          <w:type w:val="continuous"/>
          <w:pgSz w:w="11910" w:h="16850"/>
          <w:pgMar w:top="1100" w:bottom="1020" w:left="860" w:right="900"/>
        </w:sectPr>
      </w:pPr>
    </w:p>
    <w:tbl>
      <w:tblPr>
        <w:tblW w:w="0" w:type="auto"/>
        <w:jc w:val="left"/>
        <w:tblInd w:w="4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56"/>
        <w:gridCol w:w="2694"/>
        <w:gridCol w:w="2293"/>
        <w:gridCol w:w="3287"/>
      </w:tblGrid>
      <w:tr>
        <w:trPr>
          <w:trHeight w:val="494" w:hRule="atLeast"/>
        </w:trPr>
        <w:tc>
          <w:tcPr>
            <w:tcW w:w="1256" w:type="dxa"/>
            <w:tcBorders>
              <w:left w:val="single" w:sz="4" w:space="0" w:color="000000"/>
              <w:bottom w:val="single" w:sz="4" w:space="0" w:color="000000"/>
              <w:right w:val="single" w:sz="4" w:space="0" w:color="000000"/>
            </w:tcBorders>
            <w:shd w:val="clear" w:color="auto" w:fill="C6ECCC"/>
          </w:tcPr>
          <w:p>
            <w:pPr>
              <w:pStyle w:val="TableParagraph"/>
              <w:spacing w:before="82"/>
              <w:ind w:left="366" w:right="359"/>
              <w:jc w:val="center"/>
              <w:rPr>
                <w:sz w:val="24"/>
              </w:rPr>
            </w:pPr>
            <w:r>
              <w:rPr>
                <w:sz w:val="24"/>
              </w:rPr>
              <w:t>24</w:t>
            </w:r>
          </w:p>
        </w:tc>
        <w:tc>
          <w:tcPr>
            <w:tcW w:w="2694" w:type="dxa"/>
            <w:tcBorders>
              <w:left w:val="single" w:sz="4" w:space="0" w:color="000000"/>
              <w:bottom w:val="single" w:sz="4" w:space="0" w:color="000000"/>
              <w:right w:val="single" w:sz="4" w:space="0" w:color="000000"/>
            </w:tcBorders>
            <w:shd w:val="clear" w:color="auto" w:fill="C6ECCC"/>
          </w:tcPr>
          <w:p>
            <w:pPr>
              <w:pStyle w:val="TableParagraph"/>
              <w:spacing w:before="82"/>
              <w:rPr>
                <w:sz w:val="24"/>
              </w:rPr>
            </w:pPr>
            <w:r>
              <w:rPr>
                <w:sz w:val="24"/>
              </w:rPr>
              <w:t>伏立康唑</w:t>
            </w:r>
          </w:p>
        </w:tc>
        <w:tc>
          <w:tcPr>
            <w:tcW w:w="2293" w:type="dxa"/>
            <w:tcBorders>
              <w:left w:val="single" w:sz="4" w:space="0" w:color="000000"/>
              <w:bottom w:val="single" w:sz="4" w:space="0" w:color="000000"/>
              <w:right w:val="single" w:sz="4" w:space="0" w:color="000000"/>
            </w:tcBorders>
            <w:shd w:val="clear" w:color="auto" w:fill="C6ECCC"/>
          </w:tcPr>
          <w:p>
            <w:pPr>
              <w:pStyle w:val="TableParagraph"/>
              <w:spacing w:before="82"/>
              <w:rPr>
                <w:sz w:val="24"/>
              </w:rPr>
            </w:pPr>
            <w:r>
              <w:rPr>
                <w:sz w:val="24"/>
              </w:rPr>
              <w:t>口服混悬液</w:t>
            </w:r>
          </w:p>
        </w:tc>
        <w:tc>
          <w:tcPr>
            <w:tcW w:w="3287" w:type="dxa"/>
            <w:tcBorders>
              <w:left w:val="single" w:sz="4" w:space="0" w:color="000000"/>
              <w:bottom w:val="single" w:sz="4" w:space="0" w:color="000000"/>
              <w:right w:val="single" w:sz="4" w:space="0" w:color="000000"/>
            </w:tcBorders>
            <w:shd w:val="clear" w:color="auto" w:fill="C6ECCC"/>
          </w:tcPr>
          <w:p>
            <w:pPr>
              <w:pStyle w:val="TableParagraph"/>
              <w:spacing w:before="82"/>
              <w:ind w:left="12"/>
              <w:rPr>
                <w:sz w:val="24"/>
              </w:rPr>
            </w:pPr>
            <w:r>
              <w:rPr>
                <w:sz w:val="24"/>
              </w:rPr>
              <w:t>40mg/ml</w:t>
            </w:r>
          </w:p>
        </w:tc>
      </w:tr>
      <w:tr>
        <w:trPr>
          <w:trHeight w:val="966"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12"/>
              <w:ind w:left="0"/>
              <w:rPr>
                <w:rFonts w:ascii="宋体"/>
                <w:sz w:val="24"/>
              </w:rPr>
            </w:pPr>
          </w:p>
          <w:p>
            <w:pPr>
              <w:pStyle w:val="TableParagraph"/>
              <w:spacing w:before="0"/>
              <w:ind w:left="366" w:right="359"/>
              <w:jc w:val="center"/>
              <w:rPr>
                <w:sz w:val="24"/>
              </w:rPr>
            </w:pPr>
            <w:r>
              <w:rPr>
                <w:sz w:val="24"/>
              </w:rPr>
              <w:t>25</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7"/>
              <w:ind w:left="0"/>
              <w:rPr>
                <w:rFonts w:ascii="宋体"/>
                <w:sz w:val="26"/>
              </w:rPr>
            </w:pPr>
          </w:p>
          <w:p>
            <w:pPr>
              <w:pStyle w:val="TableParagraph"/>
              <w:spacing w:before="0"/>
              <w:rPr>
                <w:sz w:val="21"/>
              </w:rPr>
            </w:pPr>
            <w:r>
              <w:rPr>
                <w:sz w:val="21"/>
              </w:rPr>
              <w:t>磺胺甲恶唑+甲氧苄啶</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12"/>
              <w:ind w:left="0"/>
              <w:rPr>
                <w:rFonts w:ascii="宋体"/>
                <w:sz w:val="24"/>
              </w:rPr>
            </w:pPr>
          </w:p>
          <w:p>
            <w:pPr>
              <w:pStyle w:val="TableParagraph"/>
              <w:spacing w:before="0"/>
              <w:rPr>
                <w:sz w:val="24"/>
              </w:rPr>
            </w:pPr>
            <w:r>
              <w:rPr>
                <w:sz w:val="24"/>
              </w:rPr>
              <w:t>混悬液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107"/>
              <w:ind w:left="12"/>
              <w:rPr>
                <w:sz w:val="21"/>
              </w:rPr>
            </w:pPr>
            <w:r>
              <w:rPr>
                <w:sz w:val="21"/>
              </w:rPr>
              <w:t>200mg/ml （磺胺甲恶唑）;40mg/ml</w:t>
            </w:r>
          </w:p>
          <w:p>
            <w:pPr>
              <w:pStyle w:val="TableParagraph"/>
              <w:spacing w:before="7"/>
              <w:ind w:left="0"/>
              <w:rPr>
                <w:rFonts w:ascii="宋体"/>
                <w:sz w:val="15"/>
              </w:rPr>
            </w:pPr>
          </w:p>
          <w:p>
            <w:pPr>
              <w:pStyle w:val="TableParagraph"/>
              <w:spacing w:before="0"/>
              <w:ind w:left="12"/>
              <w:rPr>
                <w:sz w:val="21"/>
              </w:rPr>
            </w:pPr>
            <w:r>
              <w:rPr>
                <w:sz w:val="21"/>
              </w:rPr>
              <w:t>（甲氧苄啶）,5ml</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26</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吗替麦考酚酯</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口服混悬剂</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200mg/ml, 175ml</w:t>
            </w:r>
          </w:p>
        </w:tc>
      </w:tr>
      <w:tr>
        <w:trPr>
          <w:trHeight w:val="496"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27</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西罗莫司</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软膏</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0.50%</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366" w:right="359"/>
              <w:jc w:val="center"/>
              <w:rPr>
                <w:sz w:val="24"/>
              </w:rPr>
            </w:pPr>
            <w:r>
              <w:rPr>
                <w:sz w:val="24"/>
              </w:rPr>
              <w:t>28</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盐酸曲恩汀</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胶囊</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12"/>
              <w:rPr>
                <w:sz w:val="24"/>
              </w:rPr>
            </w:pPr>
            <w:r>
              <w:rPr>
                <w:sz w:val="24"/>
              </w:rPr>
              <w:t>250mg</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29</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吡斯的明</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注射液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1mg/ml</w:t>
            </w:r>
          </w:p>
        </w:tc>
      </w:tr>
      <w:tr>
        <w:trPr>
          <w:trHeight w:val="497"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ind w:left="366" w:right="359"/>
              <w:jc w:val="center"/>
              <w:rPr>
                <w:sz w:val="24"/>
              </w:rPr>
            </w:pPr>
            <w:r>
              <w:rPr>
                <w:sz w:val="24"/>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rPr>
                <w:sz w:val="24"/>
              </w:rPr>
            </w:pPr>
            <w:r>
              <w:rPr>
                <w:sz w:val="24"/>
              </w:rPr>
              <w:t>缬沙坦</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rPr>
                <w:sz w:val="24"/>
              </w:rPr>
            </w:pPr>
            <w:r>
              <w:rPr>
                <w:sz w:val="24"/>
              </w:rPr>
              <w:t>口服溶液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ind w:left="12"/>
              <w:rPr>
                <w:sz w:val="24"/>
              </w:rPr>
            </w:pPr>
            <w:r>
              <w:rPr>
                <w:sz w:val="24"/>
              </w:rPr>
              <w:t>3mg/ml, 160ml</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366" w:right="359"/>
              <w:jc w:val="center"/>
              <w:rPr>
                <w:sz w:val="24"/>
              </w:rPr>
            </w:pPr>
            <w:r>
              <w:rPr>
                <w:sz w:val="24"/>
              </w:rPr>
              <w:t>31</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奎尼丁</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口服液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12"/>
              <w:rPr>
                <w:sz w:val="24"/>
              </w:rPr>
            </w:pPr>
            <w:r>
              <w:rPr>
                <w:sz w:val="24"/>
              </w:rPr>
              <w:t>1mg/ml</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32</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苯丁酸钠</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片剂</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500mg</w:t>
            </w:r>
          </w:p>
        </w:tc>
      </w:tr>
      <w:tr>
        <w:trPr>
          <w:trHeight w:val="496"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33</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甲硝唑</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口服液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40mg/ml, 5ml</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366" w:right="359"/>
              <w:jc w:val="center"/>
              <w:rPr>
                <w:sz w:val="24"/>
              </w:rPr>
            </w:pPr>
            <w:r>
              <w:rPr>
                <w:sz w:val="24"/>
              </w:rPr>
              <w:t>34</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胺碘酮</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混悬液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12"/>
              <w:rPr>
                <w:sz w:val="24"/>
              </w:rPr>
            </w:pPr>
            <w:r>
              <w:rPr>
                <w:sz w:val="24"/>
              </w:rPr>
              <w:t>1mg/ml, 100ml</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366" w:right="359"/>
              <w:jc w:val="center"/>
              <w:rPr>
                <w:sz w:val="24"/>
              </w:rPr>
            </w:pPr>
            <w:r>
              <w:rPr>
                <w:sz w:val="24"/>
              </w:rPr>
              <w:t>35</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苯乙酸钠+苯甲酸钠</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rPr>
                <w:sz w:val="24"/>
              </w:rPr>
            </w:pPr>
            <w:r>
              <w:rPr>
                <w:sz w:val="24"/>
              </w:rPr>
              <w:t>注射液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4"/>
              <w:ind w:left="12"/>
              <w:rPr>
                <w:sz w:val="24"/>
              </w:rPr>
            </w:pPr>
            <w:r>
              <w:rPr>
                <w:sz w:val="24"/>
              </w:rPr>
              <w:t>50ml</w:t>
            </w:r>
          </w:p>
        </w:tc>
      </w:tr>
      <w:tr>
        <w:trPr>
          <w:trHeight w:val="496"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ind w:left="366" w:right="359"/>
              <w:jc w:val="center"/>
              <w:rPr>
                <w:sz w:val="24"/>
              </w:rPr>
            </w:pPr>
            <w:r>
              <w:rPr>
                <w:sz w:val="24"/>
              </w:rPr>
              <w:t>36</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rPr>
                <w:sz w:val="24"/>
              </w:rPr>
            </w:pPr>
            <w:r>
              <w:rPr>
                <w:sz w:val="24"/>
              </w:rPr>
              <w:t>曲普瑞林</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rPr>
                <w:sz w:val="24"/>
              </w:rPr>
            </w:pPr>
            <w:r>
              <w:rPr>
                <w:sz w:val="24"/>
              </w:rPr>
              <w:t>注射剂</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5"/>
              <w:ind w:left="12"/>
              <w:rPr>
                <w:sz w:val="24"/>
              </w:rPr>
            </w:pPr>
            <w:r>
              <w:rPr>
                <w:sz w:val="24"/>
              </w:rPr>
              <w:t>11.25mg</w:t>
            </w:r>
          </w:p>
        </w:tc>
      </w:tr>
      <w:tr>
        <w:trPr>
          <w:trHeight w:val="498" w:hRule="atLeast"/>
        </w:trPr>
        <w:tc>
          <w:tcPr>
            <w:tcW w:w="1256"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366" w:right="359"/>
              <w:jc w:val="center"/>
              <w:rPr>
                <w:sz w:val="24"/>
              </w:rPr>
            </w:pPr>
            <w:r>
              <w:rPr>
                <w:sz w:val="24"/>
              </w:rPr>
              <w:t>37</w:t>
            </w:r>
          </w:p>
        </w:tc>
        <w:tc>
          <w:tcPr>
            <w:tcW w:w="2694"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奈拉滨</w:t>
            </w:r>
          </w:p>
        </w:tc>
        <w:tc>
          <w:tcPr>
            <w:tcW w:w="2293"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rPr>
                <w:sz w:val="24"/>
              </w:rPr>
            </w:pPr>
            <w:r>
              <w:rPr>
                <w:sz w:val="24"/>
              </w:rPr>
              <w:t>注射液</w:t>
            </w:r>
          </w:p>
        </w:tc>
        <w:tc>
          <w:tcPr>
            <w:tcW w:w="3287" w:type="dxa"/>
            <w:tcBorders>
              <w:top w:val="single" w:sz="4" w:space="0" w:color="000000"/>
              <w:left w:val="single" w:sz="4" w:space="0" w:color="000000"/>
              <w:bottom w:val="single" w:sz="4" w:space="0" w:color="000000"/>
              <w:right w:val="single" w:sz="4" w:space="0" w:color="000000"/>
            </w:tcBorders>
            <w:shd w:val="clear" w:color="auto" w:fill="C6ECCC"/>
          </w:tcPr>
          <w:p>
            <w:pPr>
              <w:pStyle w:val="TableParagraph"/>
              <w:spacing w:before="87"/>
              <w:ind w:left="12"/>
              <w:rPr>
                <w:sz w:val="24"/>
              </w:rPr>
            </w:pPr>
            <w:r>
              <w:rPr>
                <w:sz w:val="24"/>
              </w:rPr>
              <w:t>250mg/支</w:t>
            </w:r>
          </w:p>
        </w:tc>
      </w:tr>
    </w:tbl>
    <w:p>
      <w:pPr>
        <w:pStyle w:val="Heading3"/>
        <w:spacing w:before="10"/>
        <w:rPr>
          <w:rFonts w:ascii="Meiryo" w:eastAsia="Meiryo" w:hint="eastAsia"/>
        </w:rPr>
      </w:pPr>
      <w:r>
        <w:rPr>
          <w:rFonts w:ascii="Meiryo" w:eastAsia="Meiryo" w:hint="eastAsia"/>
          <w:color w:val="0033CC"/>
        </w:rPr>
        <w:t>[返回目次]</w:t>
      </w:r>
    </w:p>
    <w:p>
      <w:pPr>
        <w:pStyle w:val="BodyText"/>
        <w:spacing w:before="2"/>
        <w:ind w:left="0" w:firstLine="0"/>
        <w:rPr>
          <w:rFonts w:ascii="Meiryo"/>
          <w:b/>
          <w:sz w:val="33"/>
        </w:rPr>
      </w:pPr>
    </w:p>
    <w:p>
      <w:pPr>
        <w:spacing w:before="0"/>
        <w:ind w:left="417" w:right="0" w:firstLine="0"/>
        <w:jc w:val="left"/>
        <w:rPr>
          <w:b/>
          <w:sz w:val="32"/>
        </w:rPr>
      </w:pPr>
      <w:r>
        <w:rPr>
          <w:b/>
          <w:sz w:val="32"/>
        </w:rPr>
        <w:t>【医改新政】</w:t>
      </w:r>
    </w:p>
    <w:p>
      <w:pPr>
        <w:pStyle w:val="BodyText"/>
        <w:spacing w:before="7"/>
        <w:ind w:left="0" w:firstLine="0"/>
        <w:rPr>
          <w:b/>
          <w:sz w:val="18"/>
        </w:rPr>
      </w:pPr>
    </w:p>
    <w:p>
      <w:pPr>
        <w:spacing w:after="0"/>
        <w:rPr>
          <w:sz w:val="18"/>
        </w:rPr>
        <w:sectPr>
          <w:headerReference w:type="default" r:id="rId14"/>
          <w:footerReference w:type="default" r:id="rId15"/>
          <w:pgSz w:w="11910" w:h="16850"/>
          <w:pgMar w:header="0" w:footer="607" w:top="1100" w:bottom="800" w:left="860" w:right="900"/>
          <w:pgNumType w:start="7"/>
        </w:sectPr>
      </w:pPr>
    </w:p>
    <w:p>
      <w:pPr>
        <w:spacing w:before="54"/>
        <w:ind w:left="3720" w:right="0" w:firstLine="0"/>
        <w:jc w:val="left"/>
        <w:rPr>
          <w:b/>
          <w:sz w:val="32"/>
        </w:rPr>
      </w:pPr>
      <w:r>
        <w:rPr>
          <w:b/>
          <w:spacing w:val="-3"/>
          <w:sz w:val="32"/>
        </w:rPr>
        <w:t>深化医改重点抓两条</w:t>
      </w:r>
    </w:p>
    <w:p>
      <w:pPr>
        <w:pStyle w:val="BodyText"/>
        <w:ind w:left="0" w:firstLine="0"/>
        <w:rPr>
          <w:b/>
        </w:rPr>
      </w:pPr>
      <w:r>
        <w:rPr/>
        <w:br w:type="column"/>
      </w:r>
      <w:r>
        <w:rPr>
          <w:b/>
        </w:rPr>
      </w:r>
    </w:p>
    <w:p>
      <w:pPr>
        <w:pStyle w:val="BodyText"/>
        <w:spacing w:before="9"/>
        <w:ind w:left="0" w:firstLine="0"/>
        <w:rPr>
          <w:b/>
          <w:sz w:val="23"/>
        </w:rPr>
      </w:pPr>
    </w:p>
    <w:p>
      <w:pPr>
        <w:spacing w:before="1"/>
        <w:ind w:left="1339"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860" w:right="900"/>
          <w:cols w:num="2" w:equalWidth="0">
            <w:col w:w="6609" w:space="40"/>
            <w:col w:w="3501"/>
          </w:cols>
        </w:sectPr>
      </w:pPr>
    </w:p>
    <w:p>
      <w:pPr>
        <w:pStyle w:val="BodyText"/>
        <w:spacing w:before="95"/>
        <w:ind w:left="897" w:firstLine="0"/>
      </w:pPr>
      <w:r>
        <w:rPr/>
        <w:t>6 月 10 日，国务院新闻办公室举行国务院政策例行吹风会。国家卫生健康委副主任、</w:t>
      </w:r>
    </w:p>
    <w:p>
      <w:pPr>
        <w:pStyle w:val="BodyText"/>
        <w:spacing w:line="297" w:lineRule="auto" w:before="74"/>
        <w:ind w:right="127" w:firstLine="0"/>
      </w:pPr>
      <w:r>
        <w:rPr>
          <w:spacing w:val="-2"/>
        </w:rPr>
        <w:t>国务院医改领导小组秘书处副主任王贺胜表示，近日，国务院办公厅印发深化医改 </w:t>
      </w:r>
      <w:r>
        <w:rPr/>
        <w:t>2019</w:t>
      </w:r>
      <w:r>
        <w:rPr>
          <w:spacing w:val="-30"/>
        </w:rPr>
        <w:t> 年</w:t>
      </w:r>
      <w:r>
        <w:rPr>
          <w:spacing w:val="-18"/>
        </w:rPr>
        <w:t>重点工作任务，紧紧围绕把以治病为中心转变为以人民健康为中心，落实预防为主，加强疾病预防和健康促进；紧紧围绕解决看病难、看病贵问题，深化医疗、医保、医药联动改革， </w:t>
      </w:r>
      <w:r>
        <w:rPr/>
        <w:t>坚定不移推动医改落地见效、惠及人民群众。</w:t>
      </w:r>
    </w:p>
    <w:p>
      <w:pPr>
        <w:pStyle w:val="BodyText"/>
        <w:spacing w:line="297" w:lineRule="auto"/>
        <w:ind w:right="226"/>
        <w:jc w:val="both"/>
      </w:pPr>
      <w:r>
        <w:rPr>
          <w:spacing w:val="-10"/>
        </w:rPr>
        <w:t>王贺胜指出，公立医院综合改革已经进入了新阶段，持续深化公立医院综合改革重点要</w:t>
      </w:r>
      <w:r>
        <w:rPr>
          <w:spacing w:val="-8"/>
        </w:rPr>
        <w:t>抓好两方面的工作。一是按照党中央、国务院确定的顶层设计，持之以恒推进“三医联动” </w:t>
      </w:r>
      <w:r>
        <w:rPr>
          <w:spacing w:val="-9"/>
        </w:rPr>
        <w:t>改革。二是开展建立健全现代医院管理制度的试点。下一步，将全面贯彻落实党中央、国务</w:t>
      </w:r>
      <w:r>
        <w:rPr>
          <w:spacing w:val="-7"/>
        </w:rPr>
        <w:t>院医改决策部署，把年度改革任务全部纳入台账，按季度通报，强化责任落实。同时，加强</w:t>
      </w:r>
      <w:r>
        <w:rPr>
          <w:spacing w:val="-14"/>
        </w:rPr>
        <w:t>改革谋划和宣传引导，凝聚改革共识，推动医改取得更大成效，以优异成绩庆祝新中国成立</w:t>
      </w:r>
    </w:p>
    <w:p>
      <w:pPr>
        <w:spacing w:line="414" w:lineRule="exact" w:before="0"/>
        <w:ind w:left="417" w:right="0" w:firstLine="0"/>
        <w:jc w:val="left"/>
        <w:rPr>
          <w:rFonts w:ascii="Meiryo" w:eastAsia="Meiryo" w:hint="eastAsia"/>
          <w:b/>
          <w:sz w:val="24"/>
        </w:rPr>
      </w:pPr>
      <w:r>
        <w:rPr>
          <w:sz w:val="24"/>
        </w:rPr>
        <w:t>70 周年。</w:t>
      </w:r>
      <w:r>
        <w:rPr>
          <w:rFonts w:ascii="Meiryo" w:eastAsia="Meiryo" w:hint="eastAsia"/>
          <w:b/>
          <w:color w:val="0033CC"/>
          <w:sz w:val="24"/>
        </w:rPr>
        <w:t>[返回目次]</w:t>
      </w:r>
    </w:p>
    <w:p>
      <w:pPr>
        <w:spacing w:after="0" w:line="414" w:lineRule="exact"/>
        <w:jc w:val="left"/>
        <w:rPr>
          <w:rFonts w:ascii="Meiryo" w:eastAsia="Meiryo" w:hint="eastAsia"/>
          <w:sz w:val="24"/>
        </w:rPr>
        <w:sectPr>
          <w:type w:val="continuous"/>
          <w:pgSz w:w="11910" w:h="16850"/>
          <w:pgMar w:top="1100" w:bottom="1020" w:left="860" w:right="900"/>
        </w:sectPr>
      </w:pPr>
    </w:p>
    <w:p>
      <w:pPr>
        <w:pStyle w:val="Heading2"/>
        <w:spacing w:line="395" w:lineRule="exact"/>
        <w:ind w:left="2754"/>
      </w:pPr>
      <w:r>
        <w:rPr>
          <w:spacing w:val="-2"/>
        </w:rPr>
        <w:t>医师药师联合门诊对血栓说“不”</w:t>
      </w:r>
    </w:p>
    <w:p>
      <w:pPr>
        <w:pStyle w:val="BodyText"/>
        <w:ind w:left="0" w:firstLine="0"/>
        <w:rPr>
          <w:b/>
        </w:rPr>
      </w:pPr>
      <w:r>
        <w:rPr/>
        <w:br w:type="column"/>
      </w:r>
      <w:r>
        <w:rPr>
          <w:b/>
        </w:rPr>
      </w:r>
    </w:p>
    <w:p>
      <w:pPr>
        <w:pStyle w:val="BodyText"/>
        <w:spacing w:before="2"/>
        <w:ind w:left="0" w:firstLine="0"/>
        <w:rPr>
          <w:b/>
          <w:sz w:val="18"/>
        </w:rPr>
      </w:pPr>
    </w:p>
    <w:p>
      <w:pPr>
        <w:pStyle w:val="Heading3"/>
        <w:ind w:left="378"/>
        <w:rPr>
          <w:rFonts w:ascii="楷体" w:eastAsia="楷体" w:hint="eastAsia"/>
        </w:rPr>
      </w:pPr>
      <w:r>
        <w:rPr>
          <w:rFonts w:ascii="楷体" w:eastAsia="楷体" w:hint="eastAsia"/>
          <w:color w:val="FF0000"/>
        </w:rPr>
        <w:t>（来源：健康报）</w:t>
      </w:r>
    </w:p>
    <w:p>
      <w:pPr>
        <w:spacing w:after="0"/>
        <w:rPr>
          <w:rFonts w:ascii="楷体" w:eastAsia="楷体" w:hint="eastAsia"/>
        </w:rPr>
        <w:sectPr>
          <w:headerReference w:type="default" r:id="rId16"/>
          <w:footerReference w:type="default" r:id="rId17"/>
          <w:pgSz w:w="11910" w:h="16850"/>
          <w:pgMar w:header="906" w:footer="607" w:top="1100" w:bottom="800" w:left="860" w:right="900"/>
          <w:pgNumType w:start="8"/>
          <w:cols w:num="2" w:equalWidth="0">
            <w:col w:w="7570" w:space="40"/>
            <w:col w:w="2540"/>
          </w:cols>
        </w:sectPr>
      </w:pPr>
    </w:p>
    <w:p>
      <w:pPr>
        <w:pStyle w:val="BodyText"/>
        <w:spacing w:line="297" w:lineRule="auto" w:before="96"/>
        <w:ind w:right="107"/>
      </w:pPr>
      <w:r>
        <w:rPr>
          <w:spacing w:val="-10"/>
        </w:rPr>
        <w:t>日前，河南省首家医师药师联合抗栓门诊在河南省人民医院开诊。该门诊由血管外科与</w:t>
      </w:r>
      <w:r>
        <w:rPr>
          <w:spacing w:val="-18"/>
        </w:rPr>
        <w:t>药学部联合开设，旨在为长期抗栓治疗患者提供规范化的管理和指导，减少相关并发症发生， </w:t>
      </w:r>
      <w:r>
        <w:rPr/>
        <w:t>有效提升抗栓治疗效果和患者生活质量。</w:t>
      </w:r>
    </w:p>
    <w:p>
      <w:pPr>
        <w:pStyle w:val="BodyText"/>
        <w:spacing w:line="297" w:lineRule="auto"/>
        <w:ind w:right="108"/>
        <w:jc w:val="both"/>
      </w:pPr>
      <w:r>
        <w:rPr>
          <w:spacing w:val="-5"/>
        </w:rPr>
        <w:t>据河南省人民医院血管外科主任翟水亭介绍，在抗栓治疗过程中，抗栓药物扮演着重要</w:t>
      </w:r>
      <w:r>
        <w:rPr>
          <w:spacing w:val="-10"/>
        </w:rPr>
        <w:t>角色，很多疾病如心脏瓣膜置换术后、深静脉血栓、肺栓塞、房颤等，都需要进行针对性抗</w:t>
      </w:r>
      <w:r>
        <w:rPr>
          <w:spacing w:val="-13"/>
        </w:rPr>
        <w:t>栓药物治疗，有些患者需终身服药。然而，多数患者缺乏抗栓管理意识和常识，治疗不规范</w:t>
      </w:r>
      <w:r>
        <w:rPr>
          <w:spacing w:val="-19"/>
        </w:rPr>
        <w:t>影响着治疗效果。医师药师联合抗栓门诊的成立，有助于为患者提供系统、规范的抗栓治疗。</w:t>
      </w:r>
    </w:p>
    <w:p>
      <w:pPr>
        <w:pStyle w:val="Heading3"/>
        <w:spacing w:line="416" w:lineRule="exact"/>
        <w:ind w:left="417"/>
        <w:rPr>
          <w:rFonts w:ascii="Meiryo" w:eastAsia="Meiryo" w:hint="eastAsia"/>
        </w:rPr>
      </w:pPr>
      <w:r>
        <w:rPr>
          <w:rFonts w:ascii="Meiryo" w:eastAsia="Meiryo" w:hint="eastAsia"/>
          <w:color w:val="0033CC"/>
        </w:rPr>
        <w:t>[返回目次]</w:t>
      </w:r>
    </w:p>
    <w:p>
      <w:pPr>
        <w:spacing w:before="60"/>
        <w:ind w:left="417" w:right="0" w:firstLine="0"/>
        <w:jc w:val="left"/>
        <w:rPr>
          <w:b/>
          <w:sz w:val="32"/>
        </w:rPr>
      </w:pPr>
      <w:r>
        <w:rPr>
          <w:b/>
          <w:sz w:val="32"/>
        </w:rPr>
        <w:t>【医保动态】</w:t>
      </w:r>
    </w:p>
    <w:p>
      <w:pPr>
        <w:pStyle w:val="BodyText"/>
        <w:spacing w:before="8"/>
        <w:ind w:left="0" w:firstLine="0"/>
        <w:rPr>
          <w:b/>
          <w:sz w:val="18"/>
        </w:rPr>
      </w:pPr>
    </w:p>
    <w:p>
      <w:pPr>
        <w:spacing w:after="0"/>
        <w:rPr>
          <w:sz w:val="18"/>
        </w:rPr>
        <w:sectPr>
          <w:type w:val="continuous"/>
          <w:pgSz w:w="11910" w:h="16850"/>
          <w:pgMar w:top="1100" w:bottom="1020" w:left="860" w:right="900"/>
        </w:sectPr>
      </w:pPr>
    </w:p>
    <w:p>
      <w:pPr>
        <w:spacing w:before="55"/>
        <w:ind w:left="3398" w:right="0" w:firstLine="0"/>
        <w:jc w:val="left"/>
        <w:rPr>
          <w:b/>
          <w:sz w:val="32"/>
        </w:rPr>
      </w:pPr>
      <w:r>
        <w:rPr>
          <w:b/>
          <w:spacing w:val="-2"/>
          <w:sz w:val="32"/>
        </w:rPr>
        <w:t>降低药费今年出“两招”</w:t>
      </w:r>
    </w:p>
    <w:p>
      <w:pPr>
        <w:pStyle w:val="BodyText"/>
        <w:ind w:left="0" w:firstLine="0"/>
        <w:rPr>
          <w:b/>
        </w:rPr>
      </w:pPr>
      <w:r>
        <w:rPr/>
        <w:br w:type="column"/>
      </w:r>
      <w:r>
        <w:rPr>
          <w:b/>
        </w:rPr>
      </w:r>
    </w:p>
    <w:p>
      <w:pPr>
        <w:pStyle w:val="BodyText"/>
        <w:spacing w:before="8"/>
        <w:ind w:left="0" w:firstLine="0"/>
        <w:rPr>
          <w:b/>
          <w:sz w:val="23"/>
        </w:rPr>
      </w:pPr>
    </w:p>
    <w:p>
      <w:pPr>
        <w:spacing w:before="0"/>
        <w:ind w:left="1017"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860" w:right="900"/>
          <w:cols w:num="2" w:equalWidth="0">
            <w:col w:w="6930" w:space="40"/>
            <w:col w:w="3180"/>
          </w:cols>
        </w:sectPr>
      </w:pPr>
    </w:p>
    <w:p>
      <w:pPr>
        <w:pStyle w:val="BodyText"/>
        <w:spacing w:line="295" w:lineRule="auto" w:before="98"/>
        <w:ind w:right="246"/>
      </w:pPr>
      <w:r>
        <w:rPr>
          <w:spacing w:val="-6"/>
        </w:rPr>
        <w:t>在国务院新闻办公室 </w:t>
      </w:r>
      <w:r>
        <w:rPr/>
        <w:t>6</w:t>
      </w:r>
      <w:r>
        <w:rPr>
          <w:spacing w:val="-40"/>
        </w:rPr>
        <w:t> 月 </w:t>
      </w:r>
      <w:r>
        <w:rPr/>
        <w:t>10</w:t>
      </w:r>
      <w:r>
        <w:rPr>
          <w:spacing w:val="-9"/>
        </w:rPr>
        <w:t> 日举行的国务院政策例行吹风会上，国家医保局医药服务</w:t>
      </w:r>
      <w:r>
        <w:rPr/>
        <w:t>管理司司长熊先军表示，今年，国家医保局将在降低药品费用方面主要做好两方面工作。</w:t>
      </w:r>
    </w:p>
    <w:p>
      <w:pPr>
        <w:pStyle w:val="BodyText"/>
        <w:spacing w:line="297" w:lineRule="auto" w:before="2"/>
        <w:ind w:right="110"/>
      </w:pPr>
      <w:r>
        <w:rPr>
          <w:spacing w:val="-13"/>
        </w:rPr>
        <w:t>一是开展 </w:t>
      </w:r>
      <w:r>
        <w:rPr/>
        <w:t>2019</w:t>
      </w:r>
      <w:r>
        <w:rPr>
          <w:spacing w:val="-8"/>
        </w:rPr>
        <w:t> 年国家医保药品目录调整工作，把更多临床价值高、药物经济性好的药</w:t>
      </w:r>
      <w:r>
        <w:rPr>
          <w:spacing w:val="-17"/>
        </w:rPr>
        <w:t>品纳入目录，更好地满足广大参保人员合理的临床用药需求，有效降低患者用药负担。同时， </w:t>
      </w:r>
      <w:r>
        <w:rPr/>
        <w:t>开展药品目录的准入谈判，通过以市场换价的方式切实降低药品价格。</w:t>
      </w:r>
    </w:p>
    <w:p>
      <w:pPr>
        <w:pStyle w:val="BodyText"/>
        <w:spacing w:line="297" w:lineRule="auto"/>
        <w:ind w:right="232"/>
      </w:pPr>
      <w:r>
        <w:rPr/>
        <w:t>二是进一步扩大集中采购规模。通过开展国家组织药品集中采购和使用试点的评估工</w:t>
      </w:r>
      <w:r>
        <w:rPr>
          <w:spacing w:val="-11"/>
        </w:rPr>
        <w:t>作，继续加强试点情况的监测和指导，启动试点评估，总结试点经验，优化完善药品集中采</w:t>
      </w:r>
      <w:r>
        <w:rPr>
          <w:spacing w:val="-10"/>
        </w:rPr>
        <w:t>购制度，研究部署扩大试点工作，进一步让更多的地区、更多的药品参加到集中采购中，从</w:t>
      </w:r>
      <w:r>
        <w:rPr/>
        <w:t>而让更多患者享受到集中采购的政策福利。</w:t>
      </w:r>
    </w:p>
    <w:p>
      <w:pPr>
        <w:pStyle w:val="BodyText"/>
        <w:spacing w:line="304" w:lineRule="exact"/>
        <w:ind w:left="897" w:firstLine="0"/>
      </w:pPr>
      <w:r>
        <w:rPr>
          <w:spacing w:val="-8"/>
        </w:rPr>
        <w:t>熊先军表示，将 </w:t>
      </w:r>
      <w:r>
        <w:rPr/>
        <w:t>17</w:t>
      </w:r>
      <w:r>
        <w:rPr>
          <w:spacing w:val="-8"/>
        </w:rPr>
        <w:t> 种抗癌药纳入医保目录以来，国家医保局加强调度，督促各省按月</w:t>
      </w:r>
    </w:p>
    <w:p>
      <w:pPr>
        <w:pStyle w:val="BodyText"/>
        <w:spacing w:before="69"/>
        <w:ind w:firstLine="0"/>
      </w:pPr>
      <w:r>
        <w:rPr>
          <w:spacing w:val="-9"/>
        </w:rPr>
        <w:t>上报进展情况，从目前各地上报的情况来看，此项工作进展比较顺利。截至今年 </w:t>
      </w:r>
      <w:r>
        <w:rPr/>
        <w:t>3</w:t>
      </w:r>
      <w:r>
        <w:rPr>
          <w:spacing w:val="-18"/>
        </w:rPr>
        <w:t> 月底，累</w:t>
      </w:r>
    </w:p>
    <w:p>
      <w:pPr>
        <w:pStyle w:val="BodyText"/>
        <w:spacing w:before="25"/>
        <w:ind w:firstLine="0"/>
        <w:rPr>
          <w:rFonts w:ascii="Meiryo" w:eastAsia="Meiryo" w:hint="eastAsia"/>
          <w:b/>
        </w:rPr>
      </w:pPr>
      <w:r>
        <w:rPr/>
        <w:t>计报销人次达到了 20.94 万人次，报销金额达到 10.58 亿元。</w:t>
      </w:r>
      <w:r>
        <w:rPr>
          <w:rFonts w:ascii="Meiryo" w:eastAsia="Meiryo" w:hint="eastAsia"/>
          <w:b/>
          <w:color w:val="0033CC"/>
        </w:rPr>
        <w:t>[返回目次]</w:t>
      </w:r>
    </w:p>
    <w:p>
      <w:pPr>
        <w:pStyle w:val="BodyText"/>
        <w:spacing w:before="4"/>
        <w:ind w:left="0" w:firstLine="0"/>
        <w:rPr>
          <w:rFonts w:ascii="Meiryo"/>
          <w:b/>
          <w:sz w:val="7"/>
        </w:rPr>
      </w:pPr>
    </w:p>
    <w:p>
      <w:pPr>
        <w:spacing w:after="0"/>
        <w:rPr>
          <w:rFonts w:ascii="Meiryo"/>
          <w:sz w:val="7"/>
        </w:rPr>
        <w:sectPr>
          <w:type w:val="continuous"/>
          <w:pgSz w:w="11910" w:h="16850"/>
          <w:pgMar w:top="1100" w:bottom="1020" w:left="860" w:right="900"/>
        </w:sectPr>
      </w:pPr>
    </w:p>
    <w:p>
      <w:pPr>
        <w:pStyle w:val="Heading2"/>
        <w:spacing w:before="55"/>
        <w:ind w:left="3077"/>
      </w:pPr>
      <w:r>
        <w:rPr>
          <w:spacing w:val="-2"/>
        </w:rPr>
        <w:t>国家异地就医结算系统再扩容</w:t>
      </w:r>
    </w:p>
    <w:p>
      <w:pPr>
        <w:pStyle w:val="BodyText"/>
        <w:ind w:left="0" w:firstLine="0"/>
        <w:rPr>
          <w:b/>
        </w:rPr>
      </w:pPr>
      <w:r>
        <w:rPr/>
        <w:br w:type="column"/>
      </w:r>
      <w:r>
        <w:rPr>
          <w:b/>
        </w:rPr>
      </w:r>
    </w:p>
    <w:p>
      <w:pPr>
        <w:pStyle w:val="BodyText"/>
        <w:spacing w:before="7"/>
        <w:ind w:left="0" w:firstLine="0"/>
        <w:rPr>
          <w:b/>
          <w:sz w:val="23"/>
        </w:rPr>
      </w:pPr>
    </w:p>
    <w:p>
      <w:pPr>
        <w:pStyle w:val="Heading3"/>
        <w:spacing w:before="1"/>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52" w:space="40"/>
            <w:col w:w="2858"/>
          </w:cols>
        </w:sectPr>
      </w:pPr>
    </w:p>
    <w:p>
      <w:pPr>
        <w:pStyle w:val="BodyText"/>
        <w:spacing w:line="297" w:lineRule="auto" w:before="95"/>
        <w:ind w:right="245"/>
      </w:pPr>
      <w:r>
        <w:rPr/>
        <w:t>6</w:t>
      </w:r>
      <w:r>
        <w:rPr>
          <w:spacing w:val="-41"/>
        </w:rPr>
        <w:t> 月 </w:t>
      </w:r>
      <w:r>
        <w:rPr/>
        <w:t>6</w:t>
      </w:r>
      <w:r>
        <w:rPr>
          <w:spacing w:val="-11"/>
        </w:rPr>
        <w:t> 日，国家医保局、财政部联合发出《关于切实做好 </w:t>
      </w:r>
      <w:r>
        <w:rPr/>
        <w:t>2019</w:t>
      </w:r>
      <w:r>
        <w:rPr>
          <w:spacing w:val="-8"/>
        </w:rPr>
        <w:t> 年跨省异地就医住院费用直接结算工作的通知》。《通知》明确，2019</w:t>
      </w:r>
      <w:r>
        <w:rPr>
          <w:spacing w:val="-13"/>
        </w:rPr>
        <w:t> 年年底前，力争将全国 </w:t>
      </w:r>
      <w:r>
        <w:rPr/>
        <w:t>85％</w:t>
      </w:r>
      <w:r>
        <w:rPr>
          <w:spacing w:val="-3"/>
        </w:rPr>
        <w:t>以上三级定点</w:t>
      </w:r>
      <w:r>
        <w:rPr/>
        <w:t>医院、50％以上二级定点医院、10％以上其他定点医院接入国家异地就医结算系统；2020 年年底前，基本实现符合条件的跨省异地就医患者在所有定点医院住院能直接结算。</w:t>
      </w:r>
    </w:p>
    <w:p>
      <w:pPr>
        <w:pStyle w:val="BodyText"/>
        <w:spacing w:line="297" w:lineRule="auto"/>
        <w:ind w:right="227"/>
        <w:jc w:val="both"/>
      </w:pPr>
      <w:r>
        <w:rPr>
          <w:spacing w:val="-11"/>
        </w:rPr>
        <w:t>《通知》要求，各统筹地区医保部门稳步扩大跨省定点医院覆盖范围。要全面梳理在确</w:t>
      </w:r>
      <w:r>
        <w:rPr>
          <w:spacing w:val="-6"/>
        </w:rPr>
        <w:t>定跨省定点医疗机构方面是否存在歧视性规定，将不同投资主体、经营性质的医保定点医疗机构一视同仁纳入跨省定点医疗机构覆盖范围。对主动要求接入系统的定点医疗机构，按当</w:t>
      </w:r>
      <w:r>
        <w:rPr/>
        <w:t>地政策和时限要求，经过系统改造后接入国家异地就医结算系统。</w:t>
      </w:r>
    </w:p>
    <w:p>
      <w:pPr>
        <w:spacing w:after="0" w:line="297" w:lineRule="auto"/>
        <w:jc w:val="both"/>
        <w:sectPr>
          <w:type w:val="continuous"/>
          <w:pgSz w:w="11910" w:h="16850"/>
          <w:pgMar w:top="1100" w:bottom="1020" w:left="860" w:right="900"/>
        </w:sectPr>
      </w:pPr>
    </w:p>
    <w:p>
      <w:pPr>
        <w:pStyle w:val="BodyText"/>
        <w:spacing w:line="278" w:lineRule="auto" w:before="65"/>
        <w:ind w:right="110"/>
        <w:rPr>
          <w:rFonts w:ascii="Meiryo" w:hAnsi="Meiryo" w:eastAsia="Meiryo" w:hint="eastAsia"/>
          <w:b/>
        </w:rPr>
      </w:pPr>
      <w:r>
        <w:rPr>
          <w:spacing w:val="-17"/>
        </w:rPr>
        <w:t>《通知》提出，省级医保部门要以流动人口和随迁老人需求为重点，优化简化备案程序。</w:t>
      </w:r>
      <w:r>
        <w:rPr>
          <w:spacing w:val="-6"/>
        </w:rPr>
        <w:t>鼓励全省统一异地住院备案政策。鼓励省级医保部门探索建立统一的省级备案渠道。鼓励各统筹地区学习推广部分地区备案工作“零跑腿”“不见面”做法的经验。</w:t>
      </w:r>
      <w:r>
        <w:rPr>
          <w:rFonts w:ascii="Meiryo" w:hAnsi="Meiryo" w:eastAsia="Meiryo" w:hint="eastAsia"/>
          <w:b/>
          <w:color w:val="0033CC"/>
          <w:spacing w:val="-6"/>
        </w:rPr>
        <w:t>[返回目次]</w:t>
      </w:r>
    </w:p>
    <w:p>
      <w:pPr>
        <w:spacing w:after="0" w:line="278" w:lineRule="auto"/>
        <w:rPr>
          <w:rFonts w:ascii="Meiryo" w:hAnsi="Meiryo" w:eastAsia="Meiryo" w:hint="eastAsia"/>
        </w:rPr>
        <w:sectPr>
          <w:pgSz w:w="11910" w:h="16850"/>
          <w:pgMar w:header="906" w:footer="607" w:top="1100" w:bottom="800" w:left="860" w:right="900"/>
        </w:sectPr>
      </w:pPr>
    </w:p>
    <w:p>
      <w:pPr>
        <w:pStyle w:val="Heading2"/>
        <w:spacing w:before="118"/>
        <w:ind w:left="3077"/>
      </w:pPr>
      <w:r>
        <w:rPr>
          <w:spacing w:val="-2"/>
        </w:rPr>
        <w:t>医保个人账户取消不影响待遇</w:t>
      </w:r>
    </w:p>
    <w:p>
      <w:pPr>
        <w:pStyle w:val="BodyText"/>
        <w:ind w:left="0" w:firstLine="0"/>
        <w:rPr>
          <w:b/>
        </w:rPr>
      </w:pPr>
      <w:r>
        <w:rPr/>
        <w:br w:type="column"/>
      </w:r>
      <w:r>
        <w:rPr>
          <w:b/>
        </w:rPr>
      </w:r>
    </w:p>
    <w:p>
      <w:pPr>
        <w:pStyle w:val="BodyText"/>
        <w:spacing w:before="7"/>
        <w:ind w:left="0" w:firstLine="0"/>
        <w:rPr>
          <w:b/>
          <w:sz w:val="28"/>
        </w:rPr>
      </w:pP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52" w:space="40"/>
            <w:col w:w="2858"/>
          </w:cols>
        </w:sectPr>
      </w:pPr>
    </w:p>
    <w:p>
      <w:pPr>
        <w:pStyle w:val="BodyText"/>
        <w:spacing w:line="297" w:lineRule="auto" w:before="96"/>
        <w:ind w:right="228"/>
        <w:jc w:val="both"/>
      </w:pPr>
      <w:r>
        <w:rPr/>
        <w:t>6</w:t>
      </w:r>
      <w:r>
        <w:rPr>
          <w:spacing w:val="-41"/>
        </w:rPr>
        <w:t> 月 </w:t>
      </w:r>
      <w:r>
        <w:rPr/>
        <w:t>4</w:t>
      </w:r>
      <w:r>
        <w:rPr>
          <w:spacing w:val="-12"/>
        </w:rPr>
        <w:t> 日，国家医保局官方微信公众号发布消息，对城乡居民基本医疗保险门诊保障政</w:t>
      </w:r>
      <w:r>
        <w:rPr>
          <w:spacing w:val="-7"/>
        </w:rPr>
        <w:t>策进行解读。该消息指出，社会上有观点对“取消个人</w:t>
      </w:r>
      <w:r>
        <w:rPr/>
        <w:t>（家庭</w:t>
      </w:r>
      <w:r>
        <w:rPr>
          <w:spacing w:val="-22"/>
        </w:rPr>
        <w:t>）</w:t>
      </w:r>
      <w:r>
        <w:rPr>
          <w:spacing w:val="-3"/>
        </w:rPr>
        <w:t>账户”的理解并不准确，给</w:t>
      </w:r>
      <w:r>
        <w:rPr>
          <w:spacing w:val="-6"/>
        </w:rPr>
        <w:t>参保人员带来一些困惑。事实上，城乡居民医保个人</w:t>
      </w:r>
      <w:r>
        <w:rPr/>
        <w:t>（家庭</w:t>
      </w:r>
      <w:r>
        <w:rPr>
          <w:spacing w:val="-27"/>
        </w:rPr>
        <w:t>）</w:t>
      </w:r>
      <w:r>
        <w:rPr>
          <w:spacing w:val="-2"/>
        </w:rPr>
        <w:t>账户取消并不会降低居民的医</w:t>
      </w:r>
      <w:r>
        <w:rPr/>
        <w:t>保待遇，而是通过推进门诊统筹进行替代实现的。</w:t>
      </w:r>
    </w:p>
    <w:p>
      <w:pPr>
        <w:pStyle w:val="BodyText"/>
        <w:spacing w:line="297" w:lineRule="auto"/>
        <w:ind w:right="127"/>
      </w:pPr>
      <w:r>
        <w:rPr>
          <w:spacing w:val="-6"/>
        </w:rPr>
        <w:t>国家医保局表示，居民医保个人</w:t>
      </w:r>
      <w:r>
        <w:rPr/>
        <w:t>（家庭</w:t>
      </w:r>
      <w:r>
        <w:rPr>
          <w:spacing w:val="-27"/>
        </w:rPr>
        <w:t>）</w:t>
      </w:r>
      <w:r>
        <w:rPr>
          <w:spacing w:val="-5"/>
        </w:rPr>
        <w:t>账户，主要用于支付参保人在门诊发生的医疗</w:t>
      </w:r>
      <w:r>
        <w:rPr>
          <w:spacing w:val="-10"/>
        </w:rPr>
        <w:t>费用，在制度建立初期对培育个人参保意识、促进个人参保缴费、迅速扩大参保覆盖面等发</w:t>
      </w:r>
      <w:r>
        <w:rPr>
          <w:spacing w:val="-13"/>
        </w:rPr>
        <w:t>挥了积极作用。但这一方式存在一定局限性，而且随着居民医保筹资标准提高和保障能力增</w:t>
      </w:r>
      <w:r>
        <w:rPr>
          <w:spacing w:val="-14"/>
        </w:rPr>
        <w:t>强，实践中其弊端逐步显现。一是额度很小，保障不足，实际上难以起到门诊保障的作用。</w:t>
      </w:r>
      <w:r>
        <w:rPr>
          <w:spacing w:val="-8"/>
        </w:rPr>
        <w:t>二是共济能力差，仅限于个人或家庭使用，还削弱基金整体保障能力。三是易诱发滥用。居</w:t>
      </w:r>
      <w:r>
        <w:rPr>
          <w:spacing w:val="-11"/>
        </w:rPr>
        <w:t>民医保门诊保障向门诊统筹过渡和转换，相较于原有的个人</w:t>
      </w:r>
      <w:r>
        <w:rPr/>
        <w:t>（家庭</w:t>
      </w:r>
      <w:r>
        <w:rPr>
          <w:spacing w:val="-24"/>
        </w:rPr>
        <w:t>）</w:t>
      </w:r>
      <w:r>
        <w:rPr>
          <w:spacing w:val="-5"/>
        </w:rPr>
        <w:t>账户，可以在全体参保</w:t>
      </w:r>
      <w:r>
        <w:rPr>
          <w:spacing w:val="-12"/>
        </w:rPr>
        <w:t>人中实现互助共济，有利于为参保人提供更加公平的医保待遇，为解决上述弊端提供了实现</w:t>
      </w:r>
    </w:p>
    <w:p>
      <w:pPr>
        <w:spacing w:line="410" w:lineRule="exact" w:before="0"/>
        <w:ind w:left="417" w:right="0" w:firstLine="0"/>
        <w:jc w:val="left"/>
        <w:rPr>
          <w:rFonts w:ascii="Meiryo" w:eastAsia="Meiryo" w:hint="eastAsia"/>
          <w:b/>
          <w:sz w:val="24"/>
        </w:rPr>
      </w:pPr>
      <w:r>
        <w:rPr>
          <w:sz w:val="24"/>
        </w:rPr>
        <w:t>途径。</w:t>
      </w:r>
      <w:r>
        <w:rPr>
          <w:rFonts w:ascii="Meiryo" w:eastAsia="Meiryo" w:hint="eastAsia"/>
          <w:b/>
          <w:color w:val="0033CC"/>
          <w:sz w:val="24"/>
        </w:rPr>
        <w:t>[返回目次]</w:t>
      </w:r>
    </w:p>
    <w:p>
      <w:pPr>
        <w:pStyle w:val="Heading2"/>
        <w:spacing w:before="62"/>
      </w:pPr>
      <w:bookmarkStart w:name="_TOC_250051" w:id="1"/>
      <w:bookmarkEnd w:id="1"/>
      <w:r>
        <w:rPr>
          <w:w w:val="95"/>
        </w:rPr>
        <w:t>【药监动态】</w:t>
      </w:r>
    </w:p>
    <w:p>
      <w:pPr>
        <w:pStyle w:val="BodyText"/>
        <w:spacing w:before="11"/>
        <w:ind w:left="0" w:firstLine="0"/>
        <w:rPr>
          <w:b/>
          <w:sz w:val="22"/>
        </w:rPr>
      </w:pPr>
    </w:p>
    <w:p>
      <w:pPr>
        <w:pStyle w:val="Heading2"/>
        <w:ind w:left="181"/>
        <w:jc w:val="center"/>
      </w:pPr>
      <w:bookmarkStart w:name="_TOC_250050" w:id="2"/>
      <w:bookmarkEnd w:id="2"/>
      <w:r>
        <w:rPr/>
        <w:t>国家药监局调整临床研究用生物制品进口政策</w:t>
      </w:r>
    </w:p>
    <w:p>
      <w:pPr>
        <w:spacing w:before="81"/>
        <w:ind w:left="186" w:right="0" w:firstLine="0"/>
        <w:jc w:val="center"/>
        <w:rPr>
          <w:sz w:val="21"/>
        </w:rPr>
      </w:pPr>
      <w:r>
        <w:rPr>
          <w:color w:val="333333"/>
          <w:sz w:val="21"/>
        </w:rPr>
        <w:t>解决企业购买参照药品时遇到的实际困难</w:t>
      </w:r>
    </w:p>
    <w:p>
      <w:pPr>
        <w:pStyle w:val="BodyText"/>
        <w:spacing w:before="8"/>
        <w:ind w:left="0" w:firstLine="0"/>
        <w:rPr>
          <w:sz w:val="8"/>
        </w:rPr>
      </w:pPr>
    </w:p>
    <w:p>
      <w:pPr>
        <w:pStyle w:val="Heading3"/>
        <w:spacing w:before="66"/>
        <w:ind w:left="0" w:right="228"/>
        <w:jc w:val="right"/>
        <w:rPr>
          <w:rFonts w:ascii="楷体" w:eastAsia="楷体" w:hint="eastAsia"/>
        </w:rPr>
      </w:pPr>
      <w:r>
        <w:rPr>
          <w:rFonts w:ascii="楷体" w:eastAsia="楷体" w:hint="eastAsia"/>
          <w:color w:val="FF0000"/>
          <w:w w:val="95"/>
        </w:rPr>
        <w:t>（来源：中国医药报）</w:t>
      </w:r>
    </w:p>
    <w:p>
      <w:pPr>
        <w:pStyle w:val="BodyText"/>
        <w:spacing w:line="280" w:lineRule="auto" w:before="79"/>
        <w:ind w:right="111" w:firstLine="482"/>
        <w:jc w:val="both"/>
      </w:pPr>
      <w:r>
        <w:rPr/>
        <w:t>为支持和鼓励生物类似药的研发，更好地满足公众用药需求，5</w:t>
      </w:r>
      <w:r>
        <w:rPr>
          <w:spacing w:val="-40"/>
        </w:rPr>
        <w:t> 月 </w:t>
      </w:r>
      <w:r>
        <w:rPr/>
        <w:t>28</w:t>
      </w:r>
      <w:r>
        <w:rPr>
          <w:spacing w:val="-8"/>
        </w:rPr>
        <w:t> 日，国家药品监</w:t>
      </w:r>
      <w:r>
        <w:rPr>
          <w:spacing w:val="-13"/>
        </w:rPr>
        <w:t>管局发布《关于生物类似药临床研究用原研参照药进口有关事宜的公告》</w:t>
      </w:r>
      <w:r>
        <w:rPr/>
        <w:t>（2019</w:t>
      </w:r>
      <w:r>
        <w:rPr>
          <w:spacing w:val="-30"/>
        </w:rPr>
        <w:t> 年第 </w:t>
      </w:r>
      <w:r>
        <w:rPr/>
        <w:t>44</w:t>
      </w:r>
      <w:r>
        <w:rPr>
          <w:spacing w:val="-30"/>
        </w:rPr>
        <w:t> 号</w:t>
      </w:r>
      <w:r>
        <w:rPr>
          <w:spacing w:val="-16"/>
        </w:rPr>
        <w:t>）</w:t>
      </w:r>
    </w:p>
    <w:p>
      <w:pPr>
        <w:pStyle w:val="BodyText"/>
        <w:spacing w:line="280" w:lineRule="auto" w:before="1"/>
        <w:ind w:right="230" w:firstLine="0"/>
        <w:jc w:val="both"/>
      </w:pPr>
      <w:r>
        <w:rPr/>
        <w:t>（</w:t>
      </w:r>
      <w:r>
        <w:rPr>
          <w:spacing w:val="-8"/>
        </w:rPr>
        <w:t>以下简称《公告》</w:t>
      </w:r>
      <w:r>
        <w:rPr>
          <w:spacing w:val="-21"/>
        </w:rPr>
        <w:t>）</w:t>
      </w:r>
      <w:r>
        <w:rPr>
          <w:spacing w:val="-7"/>
        </w:rPr>
        <w:t>，根据国内企业对生物类似药研发工作的实际需求，决定对与在我国</w:t>
      </w:r>
      <w:r>
        <w:rPr>
          <w:spacing w:val="-5"/>
        </w:rPr>
        <w:t>获批进口注册或临床试验的原研药品产地不一致的同一企业的原研药品，可作为生物类似药</w:t>
      </w:r>
      <w:r>
        <w:rPr/>
        <w:t>临床研究用参照药予以一次性进口。</w:t>
      </w:r>
    </w:p>
    <w:p>
      <w:pPr>
        <w:pStyle w:val="BodyText"/>
        <w:spacing w:line="280" w:lineRule="auto" w:before="1"/>
        <w:ind w:right="227" w:firstLine="482"/>
        <w:jc w:val="both"/>
      </w:pPr>
      <w:r>
        <w:rPr>
          <w:spacing w:val="-12"/>
        </w:rPr>
        <w:t>《公告》要求，申请人应尽可能选择已在我国获批进口注册或临床试验的原研药作为生</w:t>
      </w:r>
      <w:r>
        <w:rPr>
          <w:spacing w:val="-8"/>
        </w:rPr>
        <w:t>物类似药临床试验用参照药。为保护受试者安全，申请人如果想选择与上述原研药同一企业</w:t>
      </w:r>
      <w:r>
        <w:rPr>
          <w:spacing w:val="-6"/>
        </w:rPr>
        <w:t>但产地不一致的原研药品作为参照药，在临床试验开始前，应提供不同产地原研药之间可比</w:t>
      </w:r>
      <w:r>
        <w:rPr>
          <w:spacing w:val="-11"/>
        </w:rPr>
        <w:t>的证据；或按照我国药监部门关于生物类似药研究与评价的相关技术指导原则要求，开展不</w:t>
      </w:r>
      <w:r>
        <w:rPr>
          <w:spacing w:val="-8"/>
        </w:rPr>
        <w:t>同产地原研药品的比对。在研究并证明二者可比后，申请人可以补充申请方式提交国家药监</w:t>
      </w:r>
      <w:r>
        <w:rPr>
          <w:spacing w:val="-11"/>
        </w:rPr>
        <w:t>局药品审评中心，药品审评中心审评认可后，申请人方可将未获批产地的原研药用于临床试</w:t>
      </w:r>
      <w:r>
        <w:rPr>
          <w:spacing w:val="-12"/>
        </w:rPr>
        <w:t>验。《公告》同时要求，申请人在研发各个阶段开展相似性比较研究所选择的参照药，应为同一产地产品。</w:t>
      </w:r>
    </w:p>
    <w:p>
      <w:pPr>
        <w:pStyle w:val="BodyText"/>
        <w:spacing w:line="280" w:lineRule="auto" w:before="2"/>
        <w:ind w:right="229" w:firstLine="482"/>
        <w:jc w:val="both"/>
      </w:pPr>
      <w:r>
        <w:rPr/>
        <w:t>2018</w:t>
      </w:r>
      <w:r>
        <w:rPr>
          <w:spacing w:val="-41"/>
        </w:rPr>
        <w:t> 年 </w:t>
      </w:r>
      <w:r>
        <w:rPr/>
        <w:t>11</w:t>
      </w:r>
      <w:r>
        <w:rPr>
          <w:spacing w:val="-40"/>
        </w:rPr>
        <w:t> 月 </w:t>
      </w:r>
      <w:r>
        <w:rPr/>
        <w:t>30</w:t>
      </w:r>
      <w:r>
        <w:rPr>
          <w:spacing w:val="-8"/>
        </w:rPr>
        <w:t> 日，国家药监局已发布《关于临床试验用生物制品参照药品一次性进</w:t>
      </w:r>
      <w:r>
        <w:rPr>
          <w:spacing w:val="-10"/>
        </w:rPr>
        <w:t>口有关事宜的公告》</w:t>
      </w:r>
      <w:r>
        <w:rPr/>
        <w:t>（2018</w:t>
      </w:r>
      <w:r>
        <w:rPr>
          <w:spacing w:val="-31"/>
        </w:rPr>
        <w:t> 年第 </w:t>
      </w:r>
      <w:r>
        <w:rPr/>
        <w:t>94</w:t>
      </w:r>
      <w:r>
        <w:rPr>
          <w:spacing w:val="-31"/>
        </w:rPr>
        <w:t> 号</w:t>
      </w:r>
      <w:r>
        <w:rPr>
          <w:spacing w:val="-10"/>
        </w:rPr>
        <w:t>），</w:t>
      </w:r>
      <w:r>
        <w:rPr>
          <w:spacing w:val="-3"/>
        </w:rPr>
        <w:t>明确申请人可对符合一定条件的原研药申请一次</w:t>
      </w:r>
    </w:p>
    <w:p>
      <w:pPr>
        <w:spacing w:after="0" w:line="280" w:lineRule="auto"/>
        <w:jc w:val="both"/>
        <w:sectPr>
          <w:type w:val="continuous"/>
          <w:pgSz w:w="11910" w:h="16850"/>
          <w:pgMar w:top="1100" w:bottom="1020" w:left="860" w:right="900"/>
        </w:sectPr>
      </w:pPr>
    </w:p>
    <w:p>
      <w:pPr>
        <w:pStyle w:val="BodyText"/>
        <w:spacing w:line="280" w:lineRule="auto" w:before="48"/>
        <w:ind w:right="227" w:firstLine="0"/>
        <w:jc w:val="both"/>
      </w:pPr>
      <w:r>
        <w:rPr>
          <w:spacing w:val="-10"/>
        </w:rPr>
        <w:t>性进口，以用于临床试验的参照药。可以申请一次性进口的生物制品范围包括：国内已经批</w:t>
      </w:r>
      <w:r>
        <w:rPr>
          <w:spacing w:val="-11"/>
        </w:rPr>
        <w:t>准注册，但药品研发机构或者生产企业无法及时从国内市场获得的原研生物制品；以及国外</w:t>
      </w:r>
      <w:r>
        <w:rPr/>
        <w:t>已上市、国内尚未批准注册但已获批开展临床试验的原研生物制品。</w:t>
      </w:r>
    </w:p>
    <w:p>
      <w:pPr>
        <w:pStyle w:val="BodyText"/>
        <w:spacing w:line="184" w:lineRule="auto" w:before="20"/>
        <w:ind w:right="228" w:firstLine="482"/>
        <w:rPr>
          <w:rFonts w:ascii="Meiryo" w:eastAsia="Meiryo" w:hint="eastAsia"/>
          <w:b/>
        </w:rPr>
      </w:pPr>
      <w:r>
        <w:rPr>
          <w:spacing w:val="-17"/>
        </w:rPr>
        <w:t>据了解，此次《公告》的发布旨在为部分企业解决购买参照药品时遇到的实际困难。</w:t>
      </w:r>
      <w:r>
        <w:rPr>
          <w:rFonts w:ascii="Meiryo" w:eastAsia="Meiryo" w:hint="eastAsia"/>
          <w:b/>
          <w:color w:val="0033CC"/>
          <w:spacing w:val="-7"/>
        </w:rPr>
        <w:t>[返</w:t>
      </w:r>
      <w:r>
        <w:rPr>
          <w:rFonts w:ascii="Meiryo" w:eastAsia="Meiryo" w:hint="eastAsia"/>
          <w:b/>
          <w:color w:val="0033CC"/>
        </w:rPr>
        <w:t>回目次]</w:t>
      </w:r>
    </w:p>
    <w:p>
      <w:pPr>
        <w:pStyle w:val="BodyText"/>
        <w:ind w:left="0" w:firstLine="0"/>
        <w:rPr>
          <w:rFonts w:ascii="Meiryo"/>
          <w:b/>
          <w:sz w:val="12"/>
        </w:rPr>
      </w:pPr>
    </w:p>
    <w:p>
      <w:pPr>
        <w:pStyle w:val="Heading2"/>
        <w:ind w:left="179"/>
        <w:jc w:val="center"/>
      </w:pPr>
      <w:bookmarkStart w:name="_TOC_250049" w:id="3"/>
      <w:bookmarkEnd w:id="3"/>
      <w:r>
        <w:rPr/>
        <w:t>国家药监局就 ICH E2B（R3）实施指南公开征求意见</w:t>
      </w:r>
    </w:p>
    <w:p>
      <w:pPr>
        <w:spacing w:before="79"/>
        <w:ind w:left="186" w:right="0" w:firstLine="0"/>
        <w:jc w:val="center"/>
        <w:rPr>
          <w:sz w:val="21"/>
        </w:rPr>
      </w:pPr>
      <w:r>
        <w:rPr>
          <w:color w:val="333333"/>
          <w:sz w:val="21"/>
        </w:rPr>
        <w:t>推进持有人递交药品上市后安全性报告</w:t>
      </w:r>
    </w:p>
    <w:p>
      <w:pPr>
        <w:pStyle w:val="BodyText"/>
        <w:spacing w:before="7"/>
        <w:ind w:left="0" w:firstLine="0"/>
        <w:rPr>
          <w:sz w:val="8"/>
        </w:rPr>
      </w:pPr>
    </w:p>
    <w:p>
      <w:pPr>
        <w:pStyle w:val="Heading3"/>
        <w:spacing w:before="67"/>
        <w:ind w:left="7505"/>
        <w:rPr>
          <w:rFonts w:ascii="楷体" w:eastAsia="楷体" w:hint="eastAsia"/>
        </w:rPr>
      </w:pPr>
      <w:r>
        <w:rPr>
          <w:rFonts w:ascii="楷体" w:eastAsia="楷体" w:hint="eastAsia"/>
          <w:color w:val="FF0000"/>
        </w:rPr>
        <w:t>（来源：中国医药报）</w:t>
      </w:r>
    </w:p>
    <w:p>
      <w:pPr>
        <w:pStyle w:val="ListParagraph"/>
        <w:numPr>
          <w:ilvl w:val="0"/>
          <w:numId w:val="1"/>
        </w:numPr>
        <w:tabs>
          <w:tab w:pos="1078" w:val="left" w:leader="none"/>
        </w:tabs>
        <w:spacing w:line="297" w:lineRule="auto" w:before="98" w:after="0"/>
        <w:ind w:left="417" w:right="108" w:firstLine="480"/>
        <w:jc w:val="left"/>
        <w:rPr>
          <w:sz w:val="24"/>
        </w:rPr>
      </w:pPr>
      <w:r>
        <w:rPr>
          <w:spacing w:val="-28"/>
          <w:sz w:val="24"/>
        </w:rPr>
        <w:t>月 </w:t>
      </w:r>
      <w:r>
        <w:rPr>
          <w:sz w:val="24"/>
        </w:rPr>
        <w:t>28</w:t>
      </w:r>
      <w:r>
        <w:rPr>
          <w:spacing w:val="-8"/>
          <w:sz w:val="24"/>
        </w:rPr>
        <w:t> 日，国家药品监管局发布通知，就《上市后个例安全性报告</w:t>
      </w:r>
      <w:r>
        <w:rPr>
          <w:spacing w:val="-3"/>
          <w:sz w:val="24"/>
        </w:rPr>
        <w:t>（ICSRs）E2B（R3） </w:t>
      </w:r>
      <w:r>
        <w:rPr>
          <w:spacing w:val="-6"/>
          <w:sz w:val="24"/>
        </w:rPr>
        <w:t>实施指南》及《上市后个例安全性报告</w:t>
      </w:r>
      <w:r>
        <w:rPr>
          <w:spacing w:val="-4"/>
          <w:sz w:val="24"/>
        </w:rPr>
        <w:t>（ICSRs）E2B（R3）</w:t>
      </w:r>
      <w:r>
        <w:rPr>
          <w:spacing w:val="-2"/>
          <w:sz w:val="24"/>
        </w:rPr>
        <w:t>实施指南问答文件》向社会公开</w:t>
      </w:r>
      <w:r>
        <w:rPr>
          <w:spacing w:val="-11"/>
          <w:sz w:val="24"/>
        </w:rPr>
        <w:t>征求意见。通知显示，公众可将意见反馈至国家药监局药品评价中心，意见反馈截止日期为</w:t>
      </w:r>
      <w:r>
        <w:rPr>
          <w:spacing w:val="-20"/>
          <w:sz w:val="24"/>
        </w:rPr>
        <w:t>２０１９年 </w:t>
      </w:r>
      <w:r>
        <w:rPr>
          <w:sz w:val="24"/>
        </w:rPr>
        <w:t>6</w:t>
      </w:r>
      <w:r>
        <w:rPr>
          <w:spacing w:val="-40"/>
          <w:sz w:val="24"/>
        </w:rPr>
        <w:t> 月 </w:t>
      </w:r>
      <w:r>
        <w:rPr>
          <w:sz w:val="24"/>
        </w:rPr>
        <w:t>27</w:t>
      </w:r>
      <w:r>
        <w:rPr>
          <w:spacing w:val="-20"/>
          <w:sz w:val="24"/>
        </w:rPr>
        <w:t> 日。</w:t>
      </w:r>
    </w:p>
    <w:p>
      <w:pPr>
        <w:pStyle w:val="BodyText"/>
        <w:spacing w:line="297" w:lineRule="auto"/>
        <w:ind w:right="229" w:firstLine="720"/>
        <w:jc w:val="both"/>
      </w:pPr>
      <w:r>
        <w:rPr/>
        <w:t>E2B（R3）</w:t>
      </w:r>
      <w:r>
        <w:rPr>
          <w:spacing w:val="-6"/>
        </w:rPr>
        <w:t>是我国药品监管机构加入 </w:t>
      </w:r>
      <w:r>
        <w:rPr/>
        <w:t>ICH</w:t>
      </w:r>
      <w:r>
        <w:rPr>
          <w:spacing w:val="-16"/>
        </w:rPr>
        <w:t> 后决定适用的 </w:t>
      </w:r>
      <w:r>
        <w:rPr/>
        <w:t>5</w:t>
      </w:r>
      <w:r>
        <w:rPr>
          <w:spacing w:val="-40"/>
        </w:rPr>
        <w:t> 个 </w:t>
      </w:r>
      <w:r>
        <w:rPr/>
        <w:t>ICH</w:t>
      </w:r>
      <w:r>
        <w:rPr>
          <w:spacing w:val="-8"/>
        </w:rPr>
        <w:t> 二级指导原则之一， </w:t>
      </w:r>
      <w:r>
        <w:rPr>
          <w:spacing w:val="-12"/>
        </w:rPr>
        <w:t>用于推进持有人向国家药品不良反应监测技术机构递交药品上市后个例安全性报告。上述指</w:t>
      </w:r>
      <w:r>
        <w:rPr>
          <w:spacing w:val="-10"/>
        </w:rPr>
        <w:t>南文件依据 </w:t>
      </w:r>
      <w:r>
        <w:rPr>
          <w:spacing w:val="-5"/>
        </w:rPr>
        <w:t>E2B（R3）</w:t>
      </w:r>
      <w:r>
        <w:rPr>
          <w:spacing w:val="-3"/>
        </w:rPr>
        <w:t>指南和中国药品监管要求编制，描述了个例安全性报告电子传输中数</w:t>
      </w:r>
      <w:r>
        <w:rPr>
          <w:spacing w:val="-10"/>
        </w:rPr>
        <w:t>据元素项目、元素编码规则、元素间逻辑校验关系，以及传输标准等内容，促进上市后个例</w:t>
      </w:r>
      <w:r>
        <w:rPr>
          <w:spacing w:val="-4"/>
        </w:rPr>
        <w:t>安全性报告在不同机构之间共享和交换，以指导持有人以 </w:t>
      </w:r>
      <w:r>
        <w:rPr>
          <w:spacing w:val="-5"/>
        </w:rPr>
        <w:t>E2B（R3）</w:t>
      </w:r>
      <w:r>
        <w:rPr>
          <w:spacing w:val="-2"/>
        </w:rPr>
        <w:t>格式递交个例安全性报</w:t>
      </w:r>
      <w:r>
        <w:rPr/>
        <w:t>告，增强持有人等机构与监管机构在信息传输方面的协调性和一致性。</w:t>
      </w:r>
    </w:p>
    <w:p>
      <w:pPr>
        <w:pStyle w:val="BodyText"/>
        <w:spacing w:line="297" w:lineRule="auto"/>
        <w:ind w:right="226"/>
        <w:jc w:val="both"/>
      </w:pPr>
      <w:r>
        <w:rPr>
          <w:spacing w:val="-2"/>
        </w:rPr>
        <w:t>据了解，</w:t>
      </w:r>
      <w:r>
        <w:rPr>
          <w:spacing w:val="-6"/>
        </w:rPr>
        <w:t>2017</w:t>
      </w:r>
      <w:r>
        <w:rPr>
          <w:spacing w:val="-40"/>
        </w:rPr>
        <w:t> 年 </w:t>
      </w:r>
      <w:r>
        <w:rPr/>
        <w:t>6</w:t>
      </w:r>
      <w:r>
        <w:rPr>
          <w:spacing w:val="-14"/>
        </w:rPr>
        <w:t> 月，我国药监部门正式加入 </w:t>
      </w:r>
      <w:r>
        <w:rPr>
          <w:spacing w:val="-4"/>
        </w:rPr>
        <w:t>ICH，2018</w:t>
      </w:r>
      <w:r>
        <w:rPr>
          <w:spacing w:val="-39"/>
        </w:rPr>
        <w:t> 年 </w:t>
      </w:r>
      <w:r>
        <w:rPr/>
        <w:t>6</w:t>
      </w:r>
      <w:r>
        <w:rPr>
          <w:spacing w:val="-15"/>
        </w:rPr>
        <w:t> 月，国家药监局成为 </w:t>
      </w:r>
      <w:r>
        <w:rPr>
          <w:spacing w:val="-6"/>
        </w:rPr>
        <w:t>ICH </w:t>
      </w:r>
      <w:r>
        <w:rPr>
          <w:spacing w:val="-13"/>
        </w:rPr>
        <w:t>管委会成员。按照 </w:t>
      </w:r>
      <w:r>
        <w:rPr/>
        <w:t>ICH</w:t>
      </w:r>
      <w:r>
        <w:rPr>
          <w:spacing w:val="-24"/>
        </w:rPr>
        <w:t> 规定，实施 </w:t>
      </w:r>
      <w:r>
        <w:rPr/>
        <w:t>3</w:t>
      </w:r>
      <w:r>
        <w:rPr>
          <w:spacing w:val="-13"/>
        </w:rPr>
        <w:t> 个一级指导原则是成为 </w:t>
      </w:r>
      <w:r>
        <w:rPr/>
        <w:t>ICH</w:t>
      </w:r>
      <w:r>
        <w:rPr>
          <w:spacing w:val="-11"/>
        </w:rPr>
        <w:t> 成员的必要条件；完全实施</w:t>
      </w:r>
      <w:r>
        <w:rPr/>
        <w:t>1</w:t>
      </w:r>
      <w:r>
        <w:rPr>
          <w:spacing w:val="-16"/>
        </w:rPr>
        <w:t> 个、部分实施 </w:t>
      </w:r>
      <w:r>
        <w:rPr/>
        <w:t>4</w:t>
      </w:r>
      <w:r>
        <w:rPr>
          <w:spacing w:val="-8"/>
        </w:rPr>
        <w:t> 个二级指导原则是成为管委会成员的条件。</w:t>
      </w:r>
    </w:p>
    <w:p>
      <w:pPr>
        <w:pStyle w:val="BodyText"/>
        <w:spacing w:line="297" w:lineRule="auto"/>
        <w:ind w:right="186"/>
      </w:pPr>
      <w:r>
        <w:rPr>
          <w:spacing w:val="-21"/>
        </w:rPr>
        <w:t>加入 </w:t>
      </w:r>
      <w:r>
        <w:rPr/>
        <w:t>ICH</w:t>
      </w:r>
      <w:r>
        <w:rPr>
          <w:spacing w:val="-13"/>
        </w:rPr>
        <w:t> 后，国家药监部门于 </w:t>
      </w:r>
      <w:r>
        <w:rPr/>
        <w:t>2018</w:t>
      </w:r>
      <w:r>
        <w:rPr>
          <w:spacing w:val="-40"/>
        </w:rPr>
        <w:t> 年 </w:t>
      </w:r>
      <w:r>
        <w:rPr/>
        <w:t>1</w:t>
      </w:r>
      <w:r>
        <w:rPr>
          <w:spacing w:val="-8"/>
        </w:rPr>
        <w:t> 月发布了《关于适用国际人用药品注册技术协调会二级指导原则的公告》（2018</w:t>
      </w:r>
      <w:r>
        <w:rPr>
          <w:spacing w:val="-30"/>
        </w:rPr>
        <w:t> 年第 </w:t>
      </w:r>
      <w:r>
        <w:rPr/>
        <w:t>10</w:t>
      </w:r>
      <w:r>
        <w:rPr>
          <w:spacing w:val="-30"/>
        </w:rPr>
        <w:t> 号</w:t>
      </w:r>
      <w:r>
        <w:rPr/>
        <w:t>），</w:t>
      </w:r>
      <w:r>
        <w:rPr>
          <w:spacing w:val="-12"/>
        </w:rPr>
        <w:t>决定适用 </w:t>
      </w:r>
      <w:r>
        <w:rPr/>
        <w:t>5</w:t>
      </w:r>
      <w:r>
        <w:rPr>
          <w:spacing w:val="-40"/>
        </w:rPr>
        <w:t> 个 </w:t>
      </w:r>
      <w:r>
        <w:rPr/>
        <w:t>ICH</w:t>
      </w:r>
      <w:r>
        <w:rPr>
          <w:spacing w:val="-9"/>
        </w:rPr>
        <w:t> 二级指导原则。其中， </w:t>
      </w:r>
      <w:r>
        <w:rPr>
          <w:spacing w:val="-6"/>
        </w:rPr>
        <w:t>药品不良反应监测适用 </w:t>
      </w:r>
      <w:r>
        <w:rPr/>
        <w:t>E2A、E2D、M1</w:t>
      </w:r>
      <w:r>
        <w:rPr>
          <w:spacing w:val="-40"/>
        </w:rPr>
        <w:t> 及 </w:t>
      </w:r>
      <w:r>
        <w:rPr/>
        <w:t>E2B（R3）指导原则，分为三个阶段实施，以逐步提高我国药品生产企业全生命周期管理水平。2018</w:t>
      </w:r>
      <w:r>
        <w:rPr>
          <w:spacing w:val="-40"/>
        </w:rPr>
        <w:t> 年 </w:t>
      </w:r>
      <w:r>
        <w:rPr/>
        <w:t>5</w:t>
      </w:r>
      <w:r>
        <w:rPr>
          <w:spacing w:val="-40"/>
        </w:rPr>
        <w:t> 月 </w:t>
      </w:r>
      <w:r>
        <w:rPr/>
        <w:t>1</w:t>
      </w:r>
      <w:r>
        <w:rPr>
          <w:spacing w:val="-8"/>
        </w:rPr>
        <w:t> 日起，药物临床研究期间报告</w:t>
      </w:r>
      <w:r>
        <w:rPr>
          <w:spacing w:val="-12"/>
        </w:rPr>
        <w:t>严重且非预期的药品不良反应适用 </w:t>
      </w:r>
      <w:r>
        <w:rPr/>
        <w:t>E2A</w:t>
      </w:r>
      <w:r>
        <w:rPr>
          <w:spacing w:val="-34"/>
        </w:rPr>
        <w:t>、</w:t>
      </w:r>
      <w:r>
        <w:rPr/>
        <w:t>M1</w:t>
      </w:r>
      <w:r>
        <w:rPr>
          <w:spacing w:val="-40"/>
        </w:rPr>
        <w:t> 及 </w:t>
      </w:r>
      <w:r>
        <w:rPr>
          <w:spacing w:val="-5"/>
        </w:rPr>
        <w:t>E2B；2018</w:t>
      </w:r>
      <w:r>
        <w:rPr>
          <w:spacing w:val="-40"/>
        </w:rPr>
        <w:t> 年 </w:t>
      </w:r>
      <w:r>
        <w:rPr/>
        <w:t>7</w:t>
      </w:r>
      <w:r>
        <w:rPr>
          <w:spacing w:val="-40"/>
        </w:rPr>
        <w:t> 月 </w:t>
      </w:r>
      <w:r>
        <w:rPr/>
        <w:t>1</w:t>
      </w:r>
      <w:r>
        <w:rPr>
          <w:spacing w:val="-11"/>
        </w:rPr>
        <w:t> 日起，报告上市后药品不</w:t>
      </w:r>
      <w:r>
        <w:rPr>
          <w:spacing w:val="-20"/>
        </w:rPr>
        <w:t>良反应适用 </w:t>
      </w:r>
      <w:r>
        <w:rPr/>
        <w:t>E2D；2019</w:t>
      </w:r>
      <w:r>
        <w:rPr>
          <w:spacing w:val="-40"/>
        </w:rPr>
        <w:t> 年 </w:t>
      </w:r>
      <w:r>
        <w:rPr/>
        <w:t>7</w:t>
      </w:r>
      <w:r>
        <w:rPr>
          <w:spacing w:val="-40"/>
        </w:rPr>
        <w:t> 月 </w:t>
      </w:r>
      <w:r>
        <w:rPr/>
        <w:t>1</w:t>
      </w:r>
      <w:r>
        <w:rPr>
          <w:spacing w:val="-11"/>
        </w:rPr>
        <w:t> 日起，报告上市后药品不良反应可适用 </w:t>
      </w:r>
      <w:r>
        <w:rPr/>
        <w:t>M1</w:t>
      </w:r>
      <w:r>
        <w:rPr>
          <w:spacing w:val="-40"/>
        </w:rPr>
        <w:t> 及 </w:t>
      </w:r>
      <w:r>
        <w:rPr/>
        <w:t>E2B（R3）； 2022</w:t>
      </w:r>
      <w:r>
        <w:rPr>
          <w:spacing w:val="-41"/>
        </w:rPr>
        <w:t> 年 </w:t>
      </w:r>
      <w:r>
        <w:rPr/>
        <w:t>7</w:t>
      </w:r>
      <w:r>
        <w:rPr>
          <w:spacing w:val="-40"/>
        </w:rPr>
        <w:t> 月 </w:t>
      </w:r>
      <w:r>
        <w:rPr/>
        <w:t>1</w:t>
      </w:r>
      <w:r>
        <w:rPr>
          <w:spacing w:val="-8"/>
        </w:rPr>
        <w:t> 日起，报告上市后药品不良反应适用以上技术指导原则。</w:t>
      </w:r>
    </w:p>
    <w:p>
      <w:pPr>
        <w:pStyle w:val="BodyText"/>
        <w:spacing w:line="297" w:lineRule="auto"/>
        <w:ind w:right="228"/>
      </w:pPr>
      <w:r>
        <w:rPr>
          <w:spacing w:val="-5"/>
        </w:rPr>
        <w:t>目前，国家药监局已于今年 </w:t>
      </w:r>
      <w:r>
        <w:rPr/>
        <w:t>4</w:t>
      </w:r>
      <w:r>
        <w:rPr>
          <w:spacing w:val="-18"/>
        </w:rPr>
        <w:t> 月正式发布 </w:t>
      </w:r>
      <w:r>
        <w:rPr/>
        <w:t>M4</w:t>
      </w:r>
      <w:r>
        <w:rPr>
          <w:spacing w:val="-8"/>
        </w:rPr>
        <w:t> 模块一文件：行政文件和药品信息，要求</w:t>
      </w:r>
      <w:r>
        <w:rPr>
          <w:spacing w:val="-22"/>
        </w:rPr>
        <w:t>自今年 </w:t>
      </w:r>
      <w:r>
        <w:rPr/>
        <w:t>7</w:t>
      </w:r>
      <w:r>
        <w:rPr>
          <w:spacing w:val="-40"/>
        </w:rPr>
        <w:t> 月 </w:t>
      </w:r>
      <w:r>
        <w:rPr/>
        <w:t>1</w:t>
      </w:r>
      <w:r>
        <w:rPr>
          <w:spacing w:val="-20"/>
        </w:rPr>
        <w:t> 日起，对 </w:t>
      </w:r>
      <w:r>
        <w:rPr/>
        <w:t>2018</w:t>
      </w:r>
      <w:r>
        <w:rPr>
          <w:spacing w:val="-30"/>
        </w:rPr>
        <w:t> 年第 </w:t>
      </w:r>
      <w:r>
        <w:rPr/>
        <w:t>10</w:t>
      </w:r>
      <w:r>
        <w:rPr>
          <w:spacing w:val="-11"/>
        </w:rPr>
        <w:t> 号公告规定情形的药品注册申请，申请人应按照 </w:t>
      </w:r>
      <w:r>
        <w:rPr/>
        <w:t>M4</w:t>
      </w:r>
      <w:r>
        <w:rPr>
          <w:spacing w:val="-30"/>
        </w:rPr>
        <w:t> 模</w:t>
      </w:r>
    </w:p>
    <w:p>
      <w:pPr>
        <w:pStyle w:val="BodyText"/>
        <w:spacing w:line="259" w:lineRule="auto"/>
        <w:ind w:right="228" w:firstLine="0"/>
        <w:rPr>
          <w:rFonts w:ascii="Meiryo" w:eastAsia="Meiryo" w:hint="eastAsia"/>
          <w:b/>
        </w:rPr>
      </w:pPr>
      <w:r>
        <w:rPr>
          <w:spacing w:val="-3"/>
        </w:rPr>
        <w:t>块一文件要求提交资料。此外，记者了解到，E2A</w:t>
      </w:r>
      <w:r>
        <w:rPr>
          <w:spacing w:val="-40"/>
        </w:rPr>
        <w:t> 和 </w:t>
      </w:r>
      <w:r>
        <w:rPr/>
        <w:t>E2D</w:t>
      </w:r>
      <w:r>
        <w:rPr>
          <w:spacing w:val="-10"/>
        </w:rPr>
        <w:t> 也已正式实施，其中文翻译稿正在</w:t>
      </w:r>
      <w:r>
        <w:rPr/>
        <w:t>征求意见中。</w:t>
      </w:r>
      <w:r>
        <w:rPr>
          <w:rFonts w:ascii="Meiryo" w:eastAsia="Meiryo" w:hint="eastAsia"/>
          <w:b/>
          <w:color w:val="0033CC"/>
        </w:rPr>
        <w:t>[返回目次]</w:t>
      </w:r>
    </w:p>
    <w:p>
      <w:pPr>
        <w:spacing w:line="225" w:lineRule="exact" w:before="0"/>
        <w:ind w:left="2776" w:right="0" w:firstLine="0"/>
        <w:jc w:val="left"/>
        <w:rPr>
          <w:sz w:val="21"/>
        </w:rPr>
      </w:pPr>
      <w:r>
        <w:rPr>
          <w:color w:val="333333"/>
          <w:spacing w:val="-3"/>
          <w:sz w:val="21"/>
        </w:rPr>
        <w:t>最新一批参比制剂公示</w:t>
      </w:r>
      <w:r>
        <w:rPr>
          <w:color w:val="333333"/>
          <w:sz w:val="21"/>
        </w:rPr>
        <w:t>，495</w:t>
      </w:r>
      <w:r>
        <w:rPr>
          <w:color w:val="333333"/>
          <w:spacing w:val="-7"/>
          <w:sz w:val="21"/>
        </w:rPr>
        <w:t> 个产品中注射剂近一半</w:t>
      </w:r>
    </w:p>
    <w:p>
      <w:pPr>
        <w:pStyle w:val="Heading2"/>
        <w:spacing w:before="128"/>
        <w:ind w:left="2754"/>
      </w:pPr>
      <w:bookmarkStart w:name="_TOC_250048" w:id="4"/>
      <w:bookmarkEnd w:id="4"/>
      <w:r>
        <w:rPr>
          <w:w w:val="95"/>
        </w:rPr>
        <w:t>注射剂仿制药一致性评价有望加速</w:t>
      </w:r>
    </w:p>
    <w:p>
      <w:pPr>
        <w:pStyle w:val="Heading3"/>
        <w:spacing w:before="146"/>
        <w:ind w:left="7505"/>
        <w:rPr>
          <w:rFonts w:ascii="楷体" w:eastAsia="楷体" w:hint="eastAsia"/>
        </w:rPr>
      </w:pPr>
      <w:r>
        <w:rPr>
          <w:rFonts w:ascii="楷体" w:eastAsia="楷体" w:hint="eastAsia"/>
          <w:color w:val="FF0000"/>
        </w:rPr>
        <w:t>（来源：中国医药报）</w:t>
      </w:r>
    </w:p>
    <w:p>
      <w:pPr>
        <w:pStyle w:val="ListParagraph"/>
        <w:numPr>
          <w:ilvl w:val="0"/>
          <w:numId w:val="1"/>
        </w:numPr>
        <w:tabs>
          <w:tab w:pos="1078" w:val="left" w:leader="none"/>
        </w:tabs>
        <w:spacing w:line="240" w:lineRule="auto" w:before="98" w:after="0"/>
        <w:ind w:left="1077" w:right="0" w:hanging="181"/>
        <w:jc w:val="left"/>
        <w:rPr>
          <w:sz w:val="24"/>
        </w:rPr>
      </w:pPr>
      <w:r>
        <w:rPr>
          <w:spacing w:val="-31"/>
          <w:sz w:val="24"/>
        </w:rPr>
        <w:t>月 </w:t>
      </w:r>
      <w:r>
        <w:rPr>
          <w:sz w:val="24"/>
        </w:rPr>
        <w:t>3</w:t>
      </w:r>
      <w:r>
        <w:rPr>
          <w:spacing w:val="-10"/>
          <w:sz w:val="24"/>
        </w:rPr>
        <w:t> 日，国家药品监管局药品审评中心</w:t>
      </w:r>
      <w:r>
        <w:rPr>
          <w:sz w:val="24"/>
        </w:rPr>
        <w:t>（</w:t>
      </w:r>
      <w:r>
        <w:rPr>
          <w:spacing w:val="-1"/>
          <w:sz w:val="24"/>
        </w:rPr>
        <w:t>以下简称“药审中心”</w:t>
      </w:r>
      <w:r>
        <w:rPr>
          <w:spacing w:val="-5"/>
          <w:sz w:val="24"/>
        </w:rPr>
        <w:t>）</w:t>
      </w:r>
      <w:r>
        <w:rPr>
          <w:spacing w:val="-3"/>
          <w:sz w:val="24"/>
        </w:rPr>
        <w:t>公示《化学仿制药</w:t>
      </w:r>
    </w:p>
    <w:p>
      <w:pPr>
        <w:pStyle w:val="BodyText"/>
        <w:spacing w:before="71"/>
        <w:ind w:firstLine="0"/>
      </w:pPr>
      <w:r>
        <w:rPr/>
        <w:t>参比制剂目录（第二十二批）》。此次公示的 495 个参比制剂中，注射剂参比制剂为 231</w:t>
      </w:r>
    </w:p>
    <w:p>
      <w:pPr>
        <w:spacing w:after="0"/>
        <w:sectPr>
          <w:pgSz w:w="11910" w:h="16850"/>
          <w:pgMar w:header="906" w:footer="607" w:top="1100" w:bottom="800" w:left="860" w:right="900"/>
        </w:sectPr>
      </w:pPr>
    </w:p>
    <w:p>
      <w:pPr>
        <w:pStyle w:val="BodyText"/>
        <w:spacing w:line="295" w:lineRule="auto" w:before="65"/>
        <w:ind w:right="230" w:firstLine="0"/>
        <w:jc w:val="both"/>
      </w:pPr>
      <w:r>
        <w:rPr>
          <w:spacing w:val="-13"/>
        </w:rPr>
        <w:t>个，占比约 </w:t>
      </w:r>
      <w:r>
        <w:rPr/>
        <w:t>47%</w:t>
      </w:r>
      <w:r>
        <w:rPr>
          <w:spacing w:val="-5"/>
        </w:rPr>
        <w:t>。这也是药审中心继《化学仿制药参比制剂目录</w:t>
      </w:r>
      <w:r>
        <w:rPr/>
        <w:t>（第二十一批</w:t>
      </w:r>
      <w:r>
        <w:rPr>
          <w:spacing w:val="-8"/>
        </w:rPr>
        <w:t>）</w:t>
      </w:r>
      <w:r>
        <w:rPr>
          <w:spacing w:val="-5"/>
        </w:rPr>
        <w:t>》首次公示</w:t>
      </w:r>
      <w:r>
        <w:rPr>
          <w:spacing w:val="-7"/>
        </w:rPr>
        <w:t>注射剂参比制剂之后，第二次公布大批量的注射剂参比制剂目录。资料显示，《化学仿制药</w:t>
      </w:r>
      <w:r>
        <w:rPr/>
        <w:t>参比制剂目录（第二十一批）</w:t>
      </w:r>
      <w:r>
        <w:rPr>
          <w:spacing w:val="-12"/>
        </w:rPr>
        <w:t>》公示的 </w:t>
      </w:r>
      <w:r>
        <w:rPr/>
        <w:t>327</w:t>
      </w:r>
      <w:r>
        <w:rPr>
          <w:spacing w:val="-8"/>
        </w:rPr>
        <w:t> 个化学仿制药参比制剂中，注射剂参比制剂为</w:t>
      </w:r>
    </w:p>
    <w:p>
      <w:pPr>
        <w:pStyle w:val="BodyText"/>
        <w:spacing w:before="5"/>
        <w:ind w:firstLine="0"/>
        <w:jc w:val="both"/>
      </w:pPr>
      <w:r>
        <w:rPr/>
        <w:t>236 个。</w:t>
      </w:r>
    </w:p>
    <w:p>
      <w:pPr>
        <w:pStyle w:val="BodyText"/>
        <w:spacing w:line="297" w:lineRule="auto" w:before="72"/>
        <w:ind w:right="227"/>
      </w:pPr>
      <w:r>
        <w:rPr>
          <w:spacing w:val="-10"/>
        </w:rPr>
        <w:t>相关人士指出，参比制剂目录公布旨在规范仿制药审评和一致性评价工作，优化工作程</w:t>
      </w:r>
      <w:r>
        <w:rPr>
          <w:spacing w:val="-12"/>
        </w:rPr>
        <w:t>序，强化服务指导，避免企业在仿制药一致性评价过程中选错参比制剂。记者了解到，上述</w:t>
      </w:r>
      <w:r>
        <w:rPr>
          <w:spacing w:val="-4"/>
        </w:rPr>
        <w:t>参比制剂目录中产品均来自国家药监部门仿制药一致性评价备案平台及在审品种。注射剂参</w:t>
      </w:r>
      <w:r>
        <w:rPr/>
        <w:t>比制剂在目录中大量出现，不仅意味着大量注射剂品种已被企业主动申报仿制药一致性评价，还意味着在目录指导下，我国注射剂仿制药一致性评价工作将进一步加速。</w:t>
      </w:r>
    </w:p>
    <w:p>
      <w:pPr>
        <w:pStyle w:val="BodyText"/>
        <w:spacing w:line="302" w:lineRule="exact"/>
        <w:ind w:left="897" w:firstLine="0"/>
      </w:pPr>
      <w:r>
        <w:rPr>
          <w:spacing w:val="-11"/>
        </w:rPr>
        <w:t>值得注意的是，在此次公示的 </w:t>
      </w:r>
      <w:r>
        <w:rPr/>
        <w:t>495</w:t>
      </w:r>
      <w:r>
        <w:rPr>
          <w:spacing w:val="-19"/>
        </w:rPr>
        <w:t> 个参比制剂中，有 </w:t>
      </w:r>
      <w:r>
        <w:rPr/>
        <w:t>299</w:t>
      </w:r>
      <w:r>
        <w:rPr>
          <w:spacing w:val="-8"/>
        </w:rPr>
        <w:t> 个参比制剂显示“未进口原研</w:t>
      </w:r>
    </w:p>
    <w:p>
      <w:pPr>
        <w:pStyle w:val="BodyText"/>
        <w:spacing w:before="72"/>
        <w:ind w:firstLine="0"/>
      </w:pPr>
      <w:r>
        <w:rPr/>
        <w:t>药品”字样。其中注射剂参比制剂“未进口原研药品”数量达 139 个。</w:t>
      </w:r>
    </w:p>
    <w:p>
      <w:pPr>
        <w:pStyle w:val="BodyText"/>
        <w:spacing w:line="297" w:lineRule="auto" w:before="71"/>
        <w:ind w:right="109"/>
      </w:pPr>
      <w:r>
        <w:rPr>
          <w:spacing w:val="-21"/>
        </w:rPr>
        <w:t>根据 </w:t>
      </w:r>
      <w:r>
        <w:rPr/>
        <w:t>3</w:t>
      </w:r>
      <w:r>
        <w:rPr>
          <w:spacing w:val="-40"/>
        </w:rPr>
        <w:t> 月 </w:t>
      </w:r>
      <w:r>
        <w:rPr/>
        <w:t>28</w:t>
      </w:r>
      <w:r>
        <w:rPr>
          <w:spacing w:val="-8"/>
        </w:rPr>
        <w:t> 日国家药监局发布的《关于发布化学仿制药参比制剂遴选与确定程序的公</w:t>
      </w:r>
      <w:r>
        <w:rPr>
          <w:spacing w:val="-16"/>
        </w:rPr>
        <w:t>告》，化学仿制药参比制剂遴选应以为公众提供高质量的仿制药品为目标，按以下顺序选择： </w:t>
      </w:r>
      <w:r>
        <w:rPr>
          <w:spacing w:val="-9"/>
        </w:rPr>
        <w:t>首选原研药品，选择顺序依次为国内上市的原研药品、经审核确定的国外原研企业在中国境</w:t>
      </w:r>
      <w:r>
        <w:rPr>
          <w:spacing w:val="-14"/>
        </w:rPr>
        <w:t>内生产或经技术转移生产的药品、未进口原研药品；在原研药品停止生产或因质量等原因所</w:t>
      </w:r>
      <w:r>
        <w:rPr>
          <w:spacing w:val="-18"/>
        </w:rPr>
        <w:t>致原研药品不适合作为参比制剂的情况下，可选择在美国、日本或欧盟等管理规范的国家或</w:t>
      </w:r>
      <w:r>
        <w:rPr>
          <w:spacing w:val="-20"/>
        </w:rPr>
        <w:t>地区获准上市的国际公认的同种药品、经审核确定的在中国境内生产或经技术转移生产的国</w:t>
      </w:r>
      <w:r>
        <w:rPr>
          <w:spacing w:val="-17"/>
        </w:rPr>
        <w:t>际公认的同种药品；最后是“其他经国家药品监督管理局评估确定具有安全性、有效性和质量可控性的药品”。</w:t>
      </w:r>
    </w:p>
    <w:p>
      <w:pPr>
        <w:pStyle w:val="BodyText"/>
        <w:spacing w:line="259" w:lineRule="auto"/>
        <w:ind w:right="227"/>
        <w:rPr>
          <w:rFonts w:ascii="Meiryo" w:hAnsi="Meiryo" w:eastAsia="Meiryo" w:hint="eastAsia"/>
          <w:b/>
        </w:rPr>
      </w:pPr>
      <w:r>
        <w:rPr>
          <w:spacing w:val="-7"/>
        </w:rPr>
        <w:t>大量参比制剂为“未进口原研药品”，意味着这些参比制剂尚未在我国境内上市，企业</w:t>
      </w:r>
      <w:r>
        <w:rPr/>
        <w:t>在进行仿制药一致性评价时，需要参照国外橙皮书或者到国外购买。</w:t>
      </w:r>
      <w:r>
        <w:rPr>
          <w:rFonts w:ascii="Meiryo" w:hAnsi="Meiryo" w:eastAsia="Meiryo" w:hint="eastAsia"/>
          <w:b/>
          <w:color w:val="0033CC"/>
        </w:rPr>
        <w:t>[返回目次]</w:t>
      </w:r>
    </w:p>
    <w:p>
      <w:pPr>
        <w:spacing w:before="103"/>
        <w:ind w:left="2644" w:right="0" w:firstLine="0"/>
        <w:jc w:val="left"/>
        <w:rPr>
          <w:sz w:val="21"/>
        </w:rPr>
      </w:pPr>
      <w:r>
        <w:rPr>
          <w:color w:val="333333"/>
          <w:sz w:val="21"/>
        </w:rPr>
        <w:t>重组人凝血因子Ⅷ和凝血因子Ⅸ临床试验指导原则发布</w:t>
      </w:r>
    </w:p>
    <w:p>
      <w:pPr>
        <w:pStyle w:val="Heading2"/>
        <w:spacing w:before="156"/>
        <w:ind w:left="177"/>
        <w:jc w:val="center"/>
      </w:pPr>
      <w:bookmarkStart w:name="_TOC_250047" w:id="5"/>
      <w:bookmarkEnd w:id="5"/>
      <w:r>
        <w:rPr/>
        <w:t>血友病治疗药物临床试验有了细化要求</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line="295" w:lineRule="auto" w:before="99"/>
        <w:ind w:right="227"/>
      </w:pPr>
      <w:r>
        <w:rPr/>
        <w:t>6</w:t>
      </w:r>
      <w:r>
        <w:rPr>
          <w:spacing w:val="-41"/>
        </w:rPr>
        <w:t> 月 </w:t>
      </w:r>
      <w:r>
        <w:rPr/>
        <w:t>11</w:t>
      </w:r>
      <w:r>
        <w:rPr>
          <w:spacing w:val="-8"/>
        </w:rPr>
        <w:t> 日，国家药品监管局发布通知，发布了《重组人凝血因子Ⅷ临床试验技术指导</w:t>
      </w:r>
      <w:r>
        <w:rPr>
          <w:spacing w:val="-12"/>
        </w:rPr>
        <w:t>原则》和《重组人凝血因子Ⅸ临床试验技术指导原则》，这是我国针对相关制品临床试验首</w:t>
      </w:r>
      <w:r>
        <w:rPr/>
        <w:t>次发布指导原则。</w:t>
      </w:r>
    </w:p>
    <w:p>
      <w:pPr>
        <w:pStyle w:val="BodyText"/>
        <w:spacing w:line="295" w:lineRule="auto" w:before="5"/>
        <w:ind w:right="226"/>
        <w:jc w:val="both"/>
      </w:pPr>
      <w:r>
        <w:rPr>
          <w:spacing w:val="-7"/>
        </w:rPr>
        <w:t>《重组人凝血因子Ⅷ临床试验技术指导原则》《重组人凝血因子Ⅸ临床试验技术指导原</w:t>
      </w:r>
      <w:r>
        <w:rPr>
          <w:spacing w:val="-12"/>
        </w:rPr>
        <w:t>则》分别适用于治疗和预防血友病 </w:t>
      </w:r>
      <w:r>
        <w:rPr/>
        <w:t>A</w:t>
      </w:r>
      <w:r>
        <w:rPr>
          <w:spacing w:val="-14"/>
        </w:rPr>
        <w:t> 患者出血症状的重组人凝血因子Ⅷ制品、血友病 </w:t>
      </w:r>
      <w:r>
        <w:rPr/>
        <w:t>B</w:t>
      </w:r>
      <w:r>
        <w:rPr>
          <w:spacing w:val="-25"/>
        </w:rPr>
        <w:t> 患者</w:t>
      </w:r>
      <w:r>
        <w:rPr/>
        <w:t>出血症状的重组人凝血因子Ⅸ制品上市前和上市后进行的临床试验。</w:t>
      </w:r>
    </w:p>
    <w:p>
      <w:pPr>
        <w:pStyle w:val="BodyText"/>
        <w:spacing w:line="297" w:lineRule="auto" w:before="6"/>
        <w:ind w:right="227"/>
        <w:jc w:val="both"/>
      </w:pPr>
      <w:r>
        <w:rPr>
          <w:spacing w:val="-11"/>
        </w:rPr>
        <w:t>通告显示，目前治疗血友病的主要手段为相应凝血因子的替代治疗，已上市产品主要是</w:t>
      </w:r>
      <w:r>
        <w:rPr>
          <w:spacing w:val="-6"/>
        </w:rPr>
        <w:t>血源性凝血因子和基因重组类凝血因子。随着更多血友病患者趋向选择预防性治疗，对重组凝血因子Ⅷ和重组凝血因子Ⅸ制品的需求量也相应增加。目前国内多家企业正积极进行重组</w:t>
      </w:r>
      <w:r>
        <w:rPr>
          <w:spacing w:val="-8"/>
        </w:rPr>
        <w:t>人凝血因子Ⅷ制品的研发和申报，同时国外多家企业也申报了重组人凝血因子Ⅷ和凝血因子</w:t>
      </w:r>
      <w:r>
        <w:rPr/>
        <w:t>Ⅸ制品的进口注册。在此之前国内尚无相关指导原则进行规范指导。</w:t>
      </w:r>
    </w:p>
    <w:p>
      <w:pPr>
        <w:pStyle w:val="BodyText"/>
        <w:spacing w:line="297" w:lineRule="auto"/>
        <w:ind w:right="227"/>
      </w:pPr>
      <w:r>
        <w:rPr>
          <w:spacing w:val="-12"/>
        </w:rPr>
        <w:t>针对这一现状，上述两个指导原则根据国内外重组人凝血因子Ⅷ和重组人凝血因子Ⅸ的</w:t>
      </w:r>
      <w:r>
        <w:rPr>
          <w:spacing w:val="-9"/>
        </w:rPr>
        <w:t>临床研究经验，提出相关制品临床研究建议和注意事项。两个指导原则均分为前言、适用范</w:t>
      </w:r>
    </w:p>
    <w:p>
      <w:pPr>
        <w:spacing w:after="0" w:line="297" w:lineRule="auto"/>
        <w:sectPr>
          <w:pgSz w:w="11910" w:h="16850"/>
          <w:pgMar w:header="906" w:footer="607" w:top="1100" w:bottom="800" w:left="860" w:right="900"/>
        </w:sectPr>
      </w:pPr>
    </w:p>
    <w:p>
      <w:pPr>
        <w:pStyle w:val="BodyText"/>
        <w:spacing w:line="295" w:lineRule="auto" w:before="65"/>
        <w:ind w:right="228" w:firstLine="0"/>
      </w:pPr>
      <w:r>
        <w:rPr>
          <w:spacing w:val="-12"/>
        </w:rPr>
        <w:t>围、研究概述、上市前研究、上市后研究、生产工艺变更制品的研究和风险管理计划七个方</w:t>
      </w:r>
      <w:r>
        <w:rPr/>
        <w:t>面。</w:t>
      </w:r>
    </w:p>
    <w:p>
      <w:pPr>
        <w:pStyle w:val="BodyText"/>
        <w:spacing w:line="297" w:lineRule="auto" w:before="2"/>
        <w:ind w:right="227"/>
        <w:jc w:val="both"/>
      </w:pPr>
      <w:r>
        <w:rPr>
          <w:spacing w:val="-5"/>
        </w:rPr>
        <w:t>重组人凝血因子Ⅷ和重组人凝血因子Ⅸ的临床试验均应遵循《药品临床试验质量管理规</w:t>
      </w:r>
      <w:r>
        <w:rPr/>
        <w:t>范》（GCP）</w:t>
      </w:r>
      <w:r>
        <w:rPr>
          <w:spacing w:val="-7"/>
        </w:rPr>
        <w:t>的要求。由于血友病 </w:t>
      </w:r>
      <w:r>
        <w:rPr/>
        <w:t>A</w:t>
      </w:r>
      <w:r>
        <w:rPr>
          <w:spacing w:val="-12"/>
        </w:rPr>
        <w:t>、血友病 </w:t>
      </w:r>
      <w:r>
        <w:rPr/>
        <w:t>B</w:t>
      </w:r>
      <w:r>
        <w:rPr>
          <w:spacing w:val="-8"/>
        </w:rPr>
        <w:t> 发病率较低，上市前研究的数据可能不足以</w:t>
      </w:r>
      <w:r>
        <w:rPr>
          <w:spacing w:val="-11"/>
        </w:rPr>
        <w:t>全面评估重组人凝血因子Ⅷ制品和重组人凝血因子Ⅸ制品的有效性和安全性</w:t>
      </w:r>
      <w:r>
        <w:rPr/>
        <w:t>（</w:t>
      </w:r>
      <w:r>
        <w:rPr>
          <w:spacing w:val="-3"/>
        </w:rPr>
        <w:t>特别是免疫原</w:t>
      </w:r>
      <w:r>
        <w:rPr/>
        <w:t>性</w:t>
      </w:r>
      <w:r>
        <w:rPr>
          <w:spacing w:val="-27"/>
        </w:rPr>
        <w:t>）</w:t>
      </w:r>
      <w:r>
        <w:rPr>
          <w:spacing w:val="-10"/>
        </w:rPr>
        <w:t>。因此，为全面评估产品的有效性和安全性，并考察上市后常规用药与上市前临床试验</w:t>
      </w:r>
      <w:r>
        <w:rPr>
          <w:spacing w:val="-8"/>
        </w:rPr>
        <w:t>结果的长期一致性，需开展上市后临床研究。上述两个指导原则均要求，临床试验中纳入的</w:t>
      </w:r>
      <w:r>
        <w:rPr/>
        <w:t>患者应涵盖不同年龄段人群，包括成人和青少年（≥12</w:t>
      </w:r>
      <w:r>
        <w:rPr>
          <w:spacing w:val="-30"/>
        </w:rPr>
        <w:t> 岁</w:t>
      </w:r>
      <w:r>
        <w:rPr/>
        <w:t>）以及儿童（＜12</w:t>
      </w:r>
      <w:r>
        <w:rPr>
          <w:spacing w:val="-30"/>
        </w:rPr>
        <w:t> 岁</w:t>
      </w:r>
      <w:r>
        <w:rPr/>
        <w:t>）。通知明</w:t>
      </w:r>
      <w:r>
        <w:rPr>
          <w:spacing w:val="-11"/>
        </w:rPr>
        <w:t>确，已获批产品发生重要生产工艺改变以至于可能影响产品有效性和安全性，需要进行临床</w:t>
      </w:r>
      <w:r>
        <w:rPr/>
        <w:t>试验时，指导原则同样适用。</w:t>
      </w:r>
    </w:p>
    <w:p>
      <w:pPr>
        <w:pStyle w:val="BodyText"/>
        <w:spacing w:line="299" w:lineRule="exact"/>
        <w:ind w:left="897" w:firstLine="0"/>
        <w:jc w:val="both"/>
      </w:pPr>
      <w:r>
        <w:rPr>
          <w:spacing w:val="-15"/>
        </w:rPr>
        <w:t>据悉，上述两个指导原则曾于 </w:t>
      </w:r>
      <w:r>
        <w:rPr/>
        <w:t>2018</w:t>
      </w:r>
      <w:r>
        <w:rPr>
          <w:spacing w:val="-40"/>
        </w:rPr>
        <w:t> 年 </w:t>
      </w:r>
      <w:r>
        <w:rPr/>
        <w:t>4</w:t>
      </w:r>
      <w:r>
        <w:rPr>
          <w:spacing w:val="-40"/>
        </w:rPr>
        <w:t> 月 </w:t>
      </w:r>
      <w:r>
        <w:rPr/>
        <w:t>19</w:t>
      </w:r>
      <w:r>
        <w:rPr>
          <w:spacing w:val="-30"/>
        </w:rPr>
        <w:t> 日至 </w:t>
      </w:r>
      <w:r>
        <w:rPr/>
        <w:t>2018</w:t>
      </w:r>
      <w:r>
        <w:rPr>
          <w:spacing w:val="-40"/>
        </w:rPr>
        <w:t> 年 </w:t>
      </w:r>
      <w:r>
        <w:rPr/>
        <w:t>5</w:t>
      </w:r>
      <w:r>
        <w:rPr>
          <w:spacing w:val="-40"/>
        </w:rPr>
        <w:t> 月 </w:t>
      </w:r>
      <w:r>
        <w:rPr/>
        <w:t>18</w:t>
      </w:r>
      <w:r>
        <w:rPr>
          <w:spacing w:val="-8"/>
        </w:rPr>
        <w:t> 日在药审中心网站征</w:t>
      </w:r>
    </w:p>
    <w:p>
      <w:pPr>
        <w:pStyle w:val="BodyText"/>
        <w:spacing w:before="72"/>
        <w:ind w:firstLine="0"/>
        <w:jc w:val="both"/>
      </w:pPr>
      <w:r>
        <w:rPr>
          <w:spacing w:val="-10"/>
        </w:rPr>
        <w:t>求意见，共收到有效反馈意见 </w:t>
      </w:r>
      <w:r>
        <w:rPr/>
        <w:t>89</w:t>
      </w:r>
      <w:r>
        <w:rPr>
          <w:spacing w:val="-14"/>
        </w:rPr>
        <w:t> 条，其中涉及重组人凝血因子Ⅷ指导原则意见 </w:t>
      </w:r>
      <w:r>
        <w:rPr/>
        <w:t>63</w:t>
      </w:r>
      <w:r>
        <w:rPr>
          <w:spacing w:val="-20"/>
        </w:rPr>
        <w:t> 条，涉及</w:t>
      </w:r>
    </w:p>
    <w:p>
      <w:pPr>
        <w:spacing w:line="458" w:lineRule="exact" w:before="28"/>
        <w:ind w:left="417" w:right="0" w:firstLine="0"/>
        <w:jc w:val="both"/>
        <w:rPr>
          <w:rFonts w:ascii="Meiryo" w:hAnsi="Meiryo" w:eastAsia="Meiryo" w:hint="eastAsia"/>
          <w:b/>
          <w:sz w:val="24"/>
        </w:rPr>
      </w:pPr>
      <w:r>
        <w:rPr>
          <w:sz w:val="24"/>
        </w:rPr>
        <w:t>重组人凝血因子Ⅸ指导原则意见 26 条。</w:t>
      </w:r>
      <w:r>
        <w:rPr>
          <w:rFonts w:ascii="Meiryo" w:hAnsi="Meiryo" w:eastAsia="Meiryo" w:hint="eastAsia"/>
          <w:b/>
          <w:color w:val="0033CC"/>
          <w:sz w:val="24"/>
        </w:rPr>
        <w:t>[返回目次]</w:t>
      </w:r>
    </w:p>
    <w:p>
      <w:pPr>
        <w:pStyle w:val="Heading1"/>
        <w:spacing w:line="714" w:lineRule="exact"/>
        <w:ind w:left="184"/>
        <w:rPr>
          <w:u w:val="none"/>
        </w:rPr>
      </w:pPr>
      <w:bookmarkStart w:name="_TOC_250046" w:id="6"/>
      <w:r>
        <w:rPr>
          <w:rFonts w:ascii="Times New Roman" w:eastAsia="Times New Roman"/>
          <w:color w:val="008000"/>
          <w:spacing w:val="-110"/>
          <w:w w:val="99"/>
          <w:u w:val="thick" w:color="008000"/>
        </w:rPr>
        <w:t> </w:t>
      </w:r>
      <w:bookmarkEnd w:id="6"/>
      <w:r>
        <w:rPr>
          <w:color w:val="008000"/>
          <w:u w:val="thick" w:color="008000"/>
        </w:rPr>
        <w:t>行业资讯</w:t>
      </w:r>
    </w:p>
    <w:p>
      <w:pPr>
        <w:pStyle w:val="Heading2"/>
        <w:spacing w:before="142"/>
      </w:pPr>
      <w:bookmarkStart w:name="_TOC_250045" w:id="7"/>
      <w:bookmarkEnd w:id="7"/>
      <w:r>
        <w:rPr/>
        <w:t>【热点聚焦】</w:t>
      </w:r>
    </w:p>
    <w:p>
      <w:pPr>
        <w:pStyle w:val="BodyText"/>
        <w:spacing w:before="11"/>
        <w:ind w:left="0" w:firstLine="0"/>
        <w:rPr>
          <w:b/>
          <w:sz w:val="22"/>
        </w:rPr>
      </w:pPr>
    </w:p>
    <w:p>
      <w:pPr>
        <w:pStyle w:val="Heading2"/>
        <w:spacing w:before="1"/>
        <w:ind w:left="182"/>
        <w:jc w:val="center"/>
      </w:pPr>
      <w:bookmarkStart w:name="_TOC_250044" w:id="8"/>
      <w:bookmarkEnd w:id="8"/>
      <w:r>
        <w:rPr/>
        <w:t>发展仿制药，原料药的关键作用不可忽视</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227" w:firstLine="621"/>
        <w:jc w:val="both"/>
      </w:pPr>
      <w:r>
        <w:rPr>
          <w:spacing w:val="-3"/>
        </w:rPr>
        <w:t>我国是原料药生产和出口大国。近年来，在促进医药产业转型升级、加强环保治理的</w:t>
      </w:r>
      <w:r>
        <w:rPr>
          <w:spacing w:val="-10"/>
        </w:rPr>
        <w:t>大环境下，业内开始弥漫一种观念，认为处于上游、门槛较低、能耗较大、产能过剩、科技</w:t>
      </w:r>
      <w:r>
        <w:rPr>
          <w:spacing w:val="-5"/>
        </w:rPr>
        <w:t>含量和附加值较低的原料药是我们可以放弃或转移出去的低端领域。本土原料药生产真的不</w:t>
      </w:r>
      <w:r>
        <w:rPr/>
        <w:t>再重要吗？</w:t>
      </w:r>
    </w:p>
    <w:p>
      <w:pPr>
        <w:pStyle w:val="BodyText"/>
        <w:spacing w:line="295" w:lineRule="auto"/>
        <w:ind w:right="227"/>
        <w:jc w:val="both"/>
      </w:pPr>
      <w:r>
        <w:rPr>
          <w:spacing w:val="-11"/>
        </w:rPr>
        <w:t>实际上，我国原料药产业的集约化优势不是一朝一夕形成的，目前面临的一些困难与瓶</w:t>
      </w:r>
      <w:r>
        <w:rPr>
          <w:spacing w:val="-8"/>
        </w:rPr>
        <w:t>颈也是发展中必然要经历的蜕变。长期来看，原料药在我国医药产业链中的重要地位不仅不</w:t>
      </w:r>
      <w:r>
        <w:rPr/>
        <w:t>会衰落，反而愈发凸显。</w:t>
      </w:r>
    </w:p>
    <w:p>
      <w:pPr>
        <w:pStyle w:val="Heading3"/>
        <w:spacing w:before="2"/>
        <w:jc w:val="both"/>
      </w:pPr>
      <w:r>
        <w:rPr/>
        <w:t>成本王牌 带量采购要求仿制药企业对制剂生产成本有更强控制力</w:t>
      </w:r>
    </w:p>
    <w:p>
      <w:pPr>
        <w:pStyle w:val="BodyText"/>
        <w:spacing w:line="295" w:lineRule="auto" w:before="72"/>
        <w:ind w:right="227"/>
      </w:pPr>
      <w:r>
        <w:rPr>
          <w:spacing w:val="-6"/>
        </w:rPr>
        <w:t>我国仿制药开始进入价格与国际接轨时代。如何在保证优质低价的同时保持盈利，使企</w:t>
      </w:r>
      <w:r>
        <w:rPr/>
        <w:t>业有可持续发展的动力，是所有仿制药企业都要面对的问题。</w:t>
      </w:r>
    </w:p>
    <w:p>
      <w:pPr>
        <w:pStyle w:val="BodyText"/>
        <w:spacing w:line="297" w:lineRule="auto" w:before="4"/>
        <w:ind w:right="227"/>
      </w:pPr>
      <w:r>
        <w:rPr>
          <w:spacing w:val="-6"/>
        </w:rPr>
        <w:t>原料药作为仿制药生产过程中成本占比最大的一环，是仿制药企业参与集中采购进行价</w:t>
      </w:r>
      <w:r>
        <w:rPr>
          <w:spacing w:val="-7"/>
        </w:rPr>
        <w:t>格竞争必须考虑的关键因素。在一致性评价对仿制药工艺和质量要求趋于一致的情况下，原</w:t>
      </w:r>
      <w:r>
        <w:rPr/>
        <w:t>料自供和规模化生产是企业控制成本应该优先考虑的方向。如果仿制药企业拥有原料药优</w:t>
      </w:r>
      <w:r>
        <w:rPr>
          <w:spacing w:val="-10"/>
        </w:rPr>
        <w:t>势，就意味着有了一张竞争的王牌，能够在采购议价中让出更多利润空间，以获得更多采购量和市场份额。而制剂销量的增加既能提升企业制剂生产线的开工率，又能间接提升原料药</w:t>
      </w:r>
      <w:r>
        <w:rPr>
          <w:spacing w:val="-9"/>
        </w:rPr>
        <w:t>生产线的使用效率，进而摊低原料药和仿制药生产的固定成本。成本的降低又能反向增加产</w:t>
      </w:r>
      <w:r>
        <w:rPr/>
        <w:t>品的利润空间，使企业让出的盈利得到一定回补。</w:t>
      </w:r>
    </w:p>
    <w:p>
      <w:pPr>
        <w:pStyle w:val="BodyText"/>
        <w:spacing w:line="295" w:lineRule="auto"/>
        <w:ind w:right="227"/>
      </w:pPr>
      <w:r>
        <w:rPr>
          <w:spacing w:val="-5"/>
        </w:rPr>
        <w:t>例如成都倍特药业中标的富马酸替诺福韦二吡呋酯片和头孢呋辛酯片，原料药由其子公</w:t>
      </w:r>
      <w:r>
        <w:rPr>
          <w:spacing w:val="-9"/>
        </w:rPr>
        <w:t>司四川仁安药业生产；正大天晴药业集团虽然有不少原料药来自采购，但其中标的恩替卡韦</w:t>
      </w:r>
    </w:p>
    <w:p>
      <w:pPr>
        <w:spacing w:after="0" w:line="295" w:lineRule="auto"/>
        <w:sectPr>
          <w:pgSz w:w="11910" w:h="16850"/>
          <w:pgMar w:header="906" w:footer="607" w:top="1100" w:bottom="800" w:left="860" w:right="900"/>
        </w:sectPr>
      </w:pPr>
    </w:p>
    <w:p>
      <w:pPr>
        <w:pStyle w:val="BodyText"/>
        <w:spacing w:line="295" w:lineRule="auto" w:before="65"/>
        <w:ind w:right="227" w:firstLine="0"/>
      </w:pPr>
      <w:r>
        <w:rPr>
          <w:spacing w:val="-9"/>
        </w:rPr>
        <w:t>分散片所用的原料药，则是由其全资子公司润众药业保障供应的；其他在带量采购中中标的</w:t>
      </w:r>
      <w:r>
        <w:rPr/>
        <w:t>企业也大都有自己的原料药生产基地。</w:t>
      </w:r>
    </w:p>
    <w:p>
      <w:pPr>
        <w:pStyle w:val="Heading3"/>
        <w:tabs>
          <w:tab w:pos="2101" w:val="left" w:leader="none"/>
        </w:tabs>
        <w:spacing w:before="2"/>
      </w:pPr>
      <w:r>
        <w:rPr/>
        <w:t>安全要求</w:t>
        <w:tab/>
        <w:t>关联审评将原料药与成药制剂进行捆绑管理</w:t>
      </w:r>
    </w:p>
    <w:p>
      <w:pPr>
        <w:pStyle w:val="BodyText"/>
        <w:spacing w:before="74"/>
        <w:ind w:left="897" w:firstLine="0"/>
      </w:pPr>
      <w:r>
        <w:rPr/>
        <w:t>2017</w:t>
      </w:r>
      <w:r>
        <w:rPr>
          <w:spacing w:val="-10"/>
        </w:rPr>
        <w:t> 年底，我国开始实行原料药、药用辅料、药包材与制剂一并审评审批。截至 </w:t>
      </w:r>
      <w:r>
        <w:rPr/>
        <w:t>2019</w:t>
      </w:r>
    </w:p>
    <w:p>
      <w:pPr>
        <w:pStyle w:val="BodyText"/>
        <w:spacing w:before="72"/>
        <w:ind w:firstLine="0"/>
      </w:pPr>
      <w:r>
        <w:rPr>
          <w:spacing w:val="-30"/>
        </w:rPr>
        <w:t>年 </w:t>
      </w:r>
      <w:r>
        <w:rPr/>
        <w:t>3</w:t>
      </w:r>
      <w:r>
        <w:rPr>
          <w:spacing w:val="-41"/>
        </w:rPr>
        <w:t> 月 </w:t>
      </w:r>
      <w:r>
        <w:rPr/>
        <w:t>5</w:t>
      </w:r>
      <w:r>
        <w:rPr>
          <w:spacing w:val="-11"/>
        </w:rPr>
        <w:t> 日，国家药监局药品审评中心官网公布的 </w:t>
      </w:r>
      <w:r>
        <w:rPr/>
        <w:t>2929</w:t>
      </w:r>
      <w:r>
        <w:rPr>
          <w:spacing w:val="-12"/>
        </w:rPr>
        <w:t> 个原料药登记信息中，有 </w:t>
      </w:r>
      <w:r>
        <w:rPr/>
        <w:t>180</w:t>
      </w:r>
      <w:r>
        <w:rPr>
          <w:spacing w:val="-20"/>
        </w:rPr>
        <w:t> 个被</w:t>
      </w:r>
    </w:p>
    <w:p>
      <w:pPr>
        <w:pStyle w:val="BodyText"/>
        <w:spacing w:before="71"/>
        <w:ind w:firstLine="0"/>
      </w:pPr>
      <w:r>
        <w:rPr/>
        <w:t>已上市成药制剂所关联，其中包含 58 个进口原料药，关联审评工作取得了一定进展。</w:t>
      </w:r>
    </w:p>
    <w:p>
      <w:pPr>
        <w:pStyle w:val="BodyText"/>
        <w:spacing w:line="297" w:lineRule="auto" w:before="74"/>
        <w:ind w:right="110"/>
      </w:pPr>
      <w:r>
        <w:rPr>
          <w:spacing w:val="-8"/>
        </w:rPr>
        <w:t>实际上，关联审评的目的除了加快我国药品监管与国际接轨步伐、节省审评资源、降低</w:t>
      </w:r>
      <w:r>
        <w:rPr>
          <w:spacing w:val="-13"/>
        </w:rPr>
        <w:t>对制药行业的行政限制、加强技术要求以外，最重要的是强调原、辅、包企业与制剂企业应</w:t>
      </w:r>
      <w:r>
        <w:rPr>
          <w:spacing w:val="-16"/>
        </w:rPr>
        <w:t>在药品生产中相互依存，互相监管，并在医药产业链中勇于承担各自的责任，推动行业健康</w:t>
      </w:r>
      <w:r>
        <w:rPr>
          <w:spacing w:val="-12"/>
        </w:rPr>
        <w:t>发展。制剂企业需要上游原料药厂商的授权使用、质量保障和持续稳定供应，原料药企业也</w:t>
      </w:r>
      <w:r>
        <w:rPr>
          <w:spacing w:val="-16"/>
        </w:rPr>
        <w:t>需要与下游制剂厂商合作进行申报并获得采购订单，原料药企业和制剂企业有一定程度的绑</w:t>
      </w:r>
      <w:r>
        <w:rPr>
          <w:spacing w:val="-17"/>
        </w:rPr>
        <w:t>定，原料药企业对于终端制剂的质量也负有责任。当然，原料药企业可以供应多个制剂厂商， </w:t>
      </w:r>
      <w:r>
        <w:rPr>
          <w:spacing w:val="-5"/>
        </w:rPr>
        <w:t>制剂企业也可以关联多个原料药供应商，原料药企业在供应链市场不再缺乏话语权，而是有</w:t>
      </w:r>
      <w:r>
        <w:rPr>
          <w:spacing w:val="-12"/>
        </w:rPr>
        <w:t>了较大的选择权。近年来国内市场出现的原料药垄断控销现象对下游制剂厂商造成了较大打</w:t>
      </w:r>
      <w:r>
        <w:rPr>
          <w:spacing w:val="-10"/>
        </w:rPr>
        <w:t>击，关联审评能使原料药和制剂企业在事前互相遴选，建立牢固的、长期的合作关系，一定</w:t>
      </w:r>
      <w:r>
        <w:rPr>
          <w:spacing w:val="-15"/>
        </w:rPr>
        <w:t>程度上规避原料药企业单方面违约行为。对于自建原料药生产线的制剂企业，则可以直接关联审评，而不必对原料药进行登记，减少了一些程序。</w:t>
      </w:r>
    </w:p>
    <w:p>
      <w:pPr>
        <w:pStyle w:val="Heading3"/>
        <w:tabs>
          <w:tab w:pos="2101" w:val="left" w:leader="none"/>
        </w:tabs>
        <w:spacing w:line="293" w:lineRule="exact"/>
      </w:pPr>
      <w:r>
        <w:rPr/>
        <w:t>质量关键</w:t>
        <w:tab/>
        <w:t>一致性评价和</w:t>
      </w:r>
      <w:r>
        <w:rPr>
          <w:spacing w:val="-59"/>
        </w:rPr>
        <w:t> </w:t>
      </w:r>
      <w:r>
        <w:rPr/>
        <w:t>MAH</w:t>
      </w:r>
      <w:r>
        <w:rPr>
          <w:spacing w:val="-61"/>
        </w:rPr>
        <w:t> </w:t>
      </w:r>
      <w:r>
        <w:rPr/>
        <w:t>制度对原料药质控提出更高要求</w:t>
      </w:r>
    </w:p>
    <w:p>
      <w:pPr>
        <w:pStyle w:val="BodyText"/>
        <w:spacing w:line="297" w:lineRule="auto" w:before="75"/>
        <w:ind w:right="226"/>
        <w:jc w:val="both"/>
      </w:pPr>
      <w:r>
        <w:rPr>
          <w:spacing w:val="-5"/>
        </w:rPr>
        <w:t>我国仿制药质量和疗效一致性评价工作的目标直指原研药替代，但进度仍较慢。细究仿</w:t>
      </w:r>
      <w:r>
        <w:rPr>
          <w:spacing w:val="-7"/>
        </w:rPr>
        <w:t>制药难以通过一致性评价的原因，关键在于原料质量和处方工艺是否符合要求。原料药则是</w:t>
      </w:r>
      <w:r>
        <w:rPr>
          <w:spacing w:val="-8"/>
        </w:rPr>
        <w:t>所有制药原料中的重中之重，原料药的纯度、杂质、稳定性、手性、晶型、粒径等都会影响</w:t>
      </w:r>
      <w:r>
        <w:rPr>
          <w:spacing w:val="-9"/>
        </w:rPr>
        <w:t>最终仿制药的质量。所以，寻求通过一致性评价的制剂厂商都会精心甄选原料药供应商，一</w:t>
      </w:r>
      <w:r>
        <w:rPr>
          <w:spacing w:val="-11"/>
        </w:rPr>
        <w:t>旦选定，将会是长期的、稳定的合作关系。通过一致性评价后，新增或变更原料药供应商对</w:t>
      </w:r>
      <w:r>
        <w:rPr>
          <w:spacing w:val="-4"/>
        </w:rPr>
        <w:t>制剂厂商而言或许是一种“灾难”——口服固体制剂很可能需要重做生物等效性试验，注射</w:t>
      </w:r>
      <w:r>
        <w:rPr>
          <w:spacing w:val="-6"/>
        </w:rPr>
        <w:t>粉针类制剂受原料药影响很大，变更原料药来源几乎意味着要重做一致性评价。当然，原料</w:t>
      </w:r>
      <w:r>
        <w:rPr>
          <w:spacing w:val="-7"/>
        </w:rPr>
        <w:t>药企业也面临着机遇与挑战，提高原料药质量、做好原料药质控，是获得制剂厂商采购订单</w:t>
      </w:r>
      <w:r>
        <w:rPr/>
        <w:t>的前提。</w:t>
      </w:r>
    </w:p>
    <w:p>
      <w:pPr>
        <w:pStyle w:val="BodyText"/>
        <w:spacing w:line="295" w:lineRule="auto"/>
        <w:ind w:right="107"/>
      </w:pPr>
      <w:r>
        <w:rPr/>
        <w:t>药品上市许可持有人（MAH）制度今年结束试点后有望在全国推行。该制度虽然将药品上市与生产作了分离，但许可持有人的责任是全面的，即须对药品临床前研究、临床试验、</w:t>
      </w:r>
      <w:r>
        <w:rPr>
          <w:spacing w:val="-10"/>
        </w:rPr>
        <w:t>生产制造、销售配送、不良反应报告等药品全生命周期承担全部法律责任，其中也包括对生产制剂所选用的原料药质量负责。上市许可持有人要把控质量规避风险，得先从上游入手， </w:t>
      </w:r>
      <w:r>
        <w:rPr>
          <w:spacing w:val="-19"/>
        </w:rPr>
        <w:t>遴选合格的原料药供应商，再委托给制剂代工厂进行生产，并对该过程进行持续的监督管理。</w:t>
      </w:r>
      <w:r>
        <w:rPr/>
        <w:t>原料药企业应遵守供货合同约定，提供质量合格的原料药。</w:t>
      </w:r>
    </w:p>
    <w:p>
      <w:pPr>
        <w:pStyle w:val="Heading3"/>
        <w:jc w:val="both"/>
      </w:pPr>
      <w:r>
        <w:rPr/>
        <w:t>原料药进口 并非制剂企业面对上游的终极解决方案</w:t>
      </w:r>
    </w:p>
    <w:p>
      <w:pPr>
        <w:pStyle w:val="BodyText"/>
        <w:spacing w:line="297" w:lineRule="auto" w:before="71"/>
        <w:ind w:right="227"/>
        <w:jc w:val="both"/>
      </w:pPr>
      <w:r>
        <w:rPr>
          <w:spacing w:val="-6"/>
        </w:rPr>
        <w:t>国内药品监管趋严提升了对进口优质原料药的需求，原料药供应不稳定导致制剂企业寻</w:t>
      </w:r>
      <w:r>
        <w:rPr>
          <w:spacing w:val="-9"/>
        </w:rPr>
        <w:t>求原料药进口替代，多项政策出台降低了原料药的进口门槛，多重因素导致关注国外原料药</w:t>
      </w:r>
      <w:r>
        <w:rPr>
          <w:spacing w:val="-8"/>
        </w:rPr>
        <w:t>的制剂企业越来越多，尤其是来自印度的原料药，受到我国很多制剂企业的青睐。据中国医</w:t>
      </w:r>
      <w:r>
        <w:rPr/>
        <w:t>药保健品进出口商会统计，2018</w:t>
      </w:r>
      <w:r>
        <w:rPr>
          <w:spacing w:val="-18"/>
        </w:rPr>
        <w:t> 年我国共有 </w:t>
      </w:r>
      <w:r>
        <w:rPr/>
        <w:t>6616</w:t>
      </w:r>
      <w:r>
        <w:rPr>
          <w:spacing w:val="-12"/>
        </w:rPr>
        <w:t> 家企业经营有原料药进口业务，比 </w:t>
      </w:r>
      <w:r>
        <w:rPr/>
        <w:t>2017</w:t>
      </w:r>
    </w:p>
    <w:p>
      <w:pPr>
        <w:spacing w:after="0" w:line="297" w:lineRule="auto"/>
        <w:jc w:val="both"/>
        <w:sectPr>
          <w:pgSz w:w="11910" w:h="16850"/>
          <w:pgMar w:header="906" w:footer="607" w:top="1100" w:bottom="800" w:left="860" w:right="900"/>
        </w:sectPr>
      </w:pPr>
    </w:p>
    <w:p>
      <w:pPr>
        <w:pStyle w:val="BodyText"/>
        <w:spacing w:line="295" w:lineRule="auto" w:before="65"/>
        <w:ind w:right="305" w:firstLine="0"/>
        <w:jc w:val="both"/>
      </w:pPr>
      <w:r>
        <w:rPr>
          <w:spacing w:val="-16"/>
        </w:rPr>
        <w:t>年增加 </w:t>
      </w:r>
      <w:r>
        <w:rPr/>
        <w:t>147</w:t>
      </w:r>
      <w:r>
        <w:rPr>
          <w:spacing w:val="-24"/>
        </w:rPr>
        <w:t> 家，比 </w:t>
      </w:r>
      <w:r>
        <w:rPr/>
        <w:t>2016</w:t>
      </w:r>
      <w:r>
        <w:rPr>
          <w:spacing w:val="-24"/>
        </w:rPr>
        <w:t> 年增加 </w:t>
      </w:r>
      <w:r>
        <w:rPr/>
        <w:t>319</w:t>
      </w:r>
      <w:r>
        <w:rPr>
          <w:spacing w:val="-30"/>
        </w:rPr>
        <w:t> 家</w:t>
      </w:r>
      <w:r>
        <w:rPr/>
        <w:t>；2018</w:t>
      </w:r>
      <w:r>
        <w:rPr>
          <w:spacing w:val="-11"/>
        </w:rPr>
        <w:t> 年我国从印度进口的原料药金额达到 </w:t>
      </w:r>
      <w:r>
        <w:rPr/>
        <w:t>5.62</w:t>
      </w:r>
      <w:r>
        <w:rPr>
          <w:spacing w:val="-38"/>
        </w:rPr>
        <w:t> 亿</w:t>
      </w:r>
      <w:r>
        <w:rPr>
          <w:spacing w:val="-8"/>
        </w:rPr>
        <w:t>美元，同比增长 </w:t>
      </w:r>
      <w:r>
        <w:rPr/>
        <w:t>10.85%，</w:t>
      </w:r>
      <w:r>
        <w:rPr>
          <w:spacing w:val="-30"/>
        </w:rPr>
        <w:t>比 </w:t>
      </w:r>
      <w:r>
        <w:rPr/>
        <w:t>2016</w:t>
      </w:r>
      <w:r>
        <w:rPr>
          <w:spacing w:val="-24"/>
        </w:rPr>
        <w:t> 年增长 </w:t>
      </w:r>
      <w:r>
        <w:rPr/>
        <w:t>39.45%。</w:t>
      </w:r>
    </w:p>
    <w:p>
      <w:pPr>
        <w:pStyle w:val="BodyText"/>
        <w:spacing w:line="297" w:lineRule="auto" w:before="2"/>
        <w:ind w:right="227"/>
        <w:jc w:val="both"/>
      </w:pPr>
      <w:r>
        <w:rPr>
          <w:spacing w:val="-11"/>
        </w:rPr>
        <w:t>不可否认，相比我国，印度原料药有些独特的竞争优势，例如法律法规体系与西方更接</w:t>
      </w:r>
      <w:r>
        <w:rPr>
          <w:spacing w:val="-10"/>
        </w:rPr>
        <w:t>轨、环保成本相对较低、政府扶持力度较大等。此外，印度医药行业协会话语权较大，政府</w:t>
      </w:r>
      <w:r>
        <w:rPr>
          <w:spacing w:val="-16"/>
        </w:rPr>
        <w:t>不能随便让原料药工厂停产，供应相对稳定。近年来，“印度制造”计划在原料药领域有所</w:t>
      </w:r>
      <w:r>
        <w:rPr>
          <w:spacing w:val="-11"/>
        </w:rPr>
        <w:t>体现，印度越来越多的药企开始将产业链向原料药和医药中间体延伸，这一方面是成本和监</w:t>
      </w:r>
      <w:r>
        <w:rPr>
          <w:spacing w:val="-10"/>
        </w:rPr>
        <w:t>管前移的要求，另一方面则是为了减轻对我国原料药的依赖。印度正在缩小与我国在原料药</w:t>
      </w:r>
      <w:r>
        <w:rPr/>
        <w:t>领域的差距，我国生产原料药的综合成本比较优势在逐渐减弱。</w:t>
      </w:r>
    </w:p>
    <w:p>
      <w:pPr>
        <w:pStyle w:val="BodyText"/>
        <w:spacing w:line="297" w:lineRule="auto"/>
        <w:ind w:right="107"/>
      </w:pPr>
      <w:r>
        <w:rPr>
          <w:spacing w:val="-6"/>
        </w:rPr>
        <w:t>我国制剂企业考虑使用印度原料药，大都不是因为印度原料药质量更优，而更多是出于</w:t>
      </w:r>
      <w:r>
        <w:rPr>
          <w:spacing w:val="-10"/>
        </w:rPr>
        <w:t>无奈。我国原料药拥有上下游产业链优势，上有强大的基础化工和精细化工产业打基础，下</w:t>
      </w:r>
      <w:r>
        <w:rPr>
          <w:spacing w:val="-13"/>
        </w:rPr>
        <w:t>有众多的终端制剂企业保需求；国内 </w:t>
      </w:r>
      <w:r>
        <w:rPr/>
        <w:t>CDMO（合同研发生产服务）公司很多，培养了大批技</w:t>
      </w:r>
      <w:r>
        <w:rPr>
          <w:spacing w:val="-9"/>
        </w:rPr>
        <w:t>术人才，可以定制种类繁多的原料药，能满足新药研发的需求；国内市场透明度较高，审计</w:t>
      </w:r>
      <w:r>
        <w:rPr>
          <w:spacing w:val="-12"/>
        </w:rPr>
        <w:t>成本较低，上下游沟通更便利。但是，由于近年来政策调整、市场变化等因素造成部分原料</w:t>
      </w:r>
      <w:r>
        <w:rPr>
          <w:spacing w:val="-20"/>
        </w:rPr>
        <w:t>药产能优势丧失，垄断控销导致市场形势莫测，监管趋严导致有些原料药品质不能满足要求， </w:t>
      </w:r>
      <w:r>
        <w:rPr/>
        <w:t>制剂企业不得不将部分原料药采购视线转向境外，印度就成了一个重要的采购来源地。</w:t>
      </w:r>
    </w:p>
    <w:p>
      <w:pPr>
        <w:pStyle w:val="BodyText"/>
        <w:spacing w:line="297" w:lineRule="auto"/>
        <w:ind w:right="227"/>
        <w:jc w:val="both"/>
      </w:pPr>
      <w:r>
        <w:rPr>
          <w:spacing w:val="-8"/>
        </w:rPr>
        <w:t>从供应安全角度来说，完全依赖进口存在较大风险。一旦出现供应商提价、货物质量问</w:t>
      </w:r>
      <w:r>
        <w:rPr>
          <w:spacing w:val="-10"/>
        </w:rPr>
        <w:t>题、供应国政局变动、贸易政策变化等情况，原料药进口过程很容易受到影响。因此，依赖</w:t>
      </w:r>
      <w:r>
        <w:rPr>
          <w:spacing w:val="-15"/>
        </w:rPr>
        <w:t>进口并不是制剂企业解决上游原料药供应问题的终极方案，境外原料药供应商更适合作为第</w:t>
      </w:r>
      <w:r>
        <w:rPr>
          <w:spacing w:val="-8"/>
        </w:rPr>
        <w:t>二或第三供应来源，首选来源还是应该在国内。只有需求量小、国内缺乏供应或质量不能满</w:t>
      </w:r>
      <w:r>
        <w:rPr/>
        <w:t>足要求的原料药，短时间内可以依赖进口，长期来看还是要在国内想办法。</w:t>
      </w:r>
    </w:p>
    <w:p>
      <w:pPr>
        <w:pStyle w:val="Heading3"/>
        <w:spacing w:line="300" w:lineRule="exact"/>
        <w:jc w:val="both"/>
      </w:pPr>
      <w:r>
        <w:rPr/>
        <w:t>发展趋势 制剂企业纷纷布局原料药生产</w:t>
      </w:r>
    </w:p>
    <w:p>
      <w:pPr>
        <w:pStyle w:val="BodyText"/>
        <w:spacing w:line="297" w:lineRule="auto" w:before="59"/>
        <w:ind w:right="127"/>
      </w:pPr>
      <w:r>
        <w:rPr>
          <w:spacing w:val="-1"/>
        </w:rPr>
        <w:t>在医药产业转型升级不断深化的背景下，很多企业将产业链从原料药延伸到制剂领域， </w:t>
      </w:r>
      <w:r>
        <w:rPr>
          <w:spacing w:val="-6"/>
        </w:rPr>
        <w:t>例如已经成功转型的海正药业、石药集团，正在转型路上的天药药业、江北药业等。也有不</w:t>
      </w:r>
      <w:r>
        <w:rPr>
          <w:spacing w:val="-11"/>
        </w:rPr>
        <w:t>少制剂企业更重视上游供应链安全和维持竞争力，纷纷布局原料药生产，积极抢占产业链要</w:t>
      </w:r>
      <w:r>
        <w:rPr>
          <w:spacing w:val="-10"/>
        </w:rPr>
        <w:t>素。有的自建原料药生产基地，例如北京嘉林在其首仿药阿乐上市多年后，在天津武清开发</w:t>
      </w:r>
      <w:r>
        <w:rPr>
          <w:spacing w:val="-12"/>
        </w:rPr>
        <w:t>区兴建了阿托伐他汀钙原料药生产基地；复星医药控股子公司重庆药友拟投资 </w:t>
      </w:r>
      <w:r>
        <w:rPr/>
        <w:t>10</w:t>
      </w:r>
      <w:r>
        <w:rPr>
          <w:spacing w:val="-12"/>
        </w:rPr>
        <w:t> 亿元在湖</w:t>
      </w:r>
      <w:r>
        <w:rPr>
          <w:spacing w:val="-17"/>
        </w:rPr>
        <w:t>南常德打造原料药国际化产业基地，为药友及复星医药供应高品质原料药；悦康药业早在多</w:t>
      </w:r>
      <w:r>
        <w:rPr>
          <w:spacing w:val="-18"/>
        </w:rPr>
        <w:t>年前就开始布局原料药，其在安徽太和和河南项城有两家原料药生产基地，以解决集团的部</w:t>
      </w:r>
      <w:r>
        <w:rPr>
          <w:spacing w:val="-17"/>
        </w:rPr>
        <w:t>分原料药供应问题。有的通过投资收购获得并提升原料药生产能力，如亚宝药业收购清松制</w:t>
      </w:r>
      <w:r>
        <w:rPr>
          <w:spacing w:val="-39"/>
        </w:rPr>
        <w:t>药 </w:t>
      </w:r>
      <w:r>
        <w:rPr/>
        <w:t>75%</w:t>
      </w:r>
      <w:r>
        <w:rPr>
          <w:spacing w:val="-6"/>
        </w:rPr>
        <w:t>股权，获得了其原料药和中间体的研发和生产能力，确保公司产业链上下游发挥协同</w:t>
      </w:r>
      <w:r>
        <w:rPr>
          <w:spacing w:val="-9"/>
        </w:rPr>
        <w:t>作用；东诚药业收购中泰生物制品有限公司 </w:t>
      </w:r>
      <w:r>
        <w:rPr/>
        <w:t>70%</w:t>
      </w:r>
      <w:r>
        <w:rPr>
          <w:spacing w:val="-5"/>
        </w:rPr>
        <w:t>股权，实现原料药的低成本采购和全球化协同。</w:t>
      </w:r>
    </w:p>
    <w:p>
      <w:pPr>
        <w:pStyle w:val="BodyText"/>
        <w:spacing w:line="292" w:lineRule="exact"/>
        <w:ind w:left="897" w:firstLine="0"/>
      </w:pPr>
      <w:r>
        <w:rPr/>
        <w:t>转型升级不能简单地理解为将低端产业转移出去，将多余产能淘汰掉，上游企业全往下</w:t>
      </w:r>
    </w:p>
    <w:p>
      <w:pPr>
        <w:pStyle w:val="BodyText"/>
        <w:spacing w:line="297" w:lineRule="auto" w:before="75"/>
        <w:ind w:right="110" w:firstLine="0"/>
      </w:pPr>
      <w:r>
        <w:rPr>
          <w:spacing w:val="-17"/>
        </w:rPr>
        <w:t>游发展。无论是从上游发展到下游，还是从下游反控上游，甚至一直在上游行业中精耕细作， </w:t>
      </w:r>
      <w:r>
        <w:rPr>
          <w:spacing w:val="-7"/>
        </w:rPr>
        <w:t>都可以实现转型升级。对于原料药企业而言，不断研发扩展产品线，积极投入技术创新与工艺改造，提高产品科技含量与附加值，使生产过程更加绿色环保，增强在细分领域话语权， 同样能够实现转型升级，并在医药产业链和市场竞争中占有一席之地。</w:t>
      </w:r>
    </w:p>
    <w:p>
      <w:pPr>
        <w:spacing w:line="413" w:lineRule="exact" w:before="0"/>
        <w:ind w:left="897" w:right="0" w:firstLine="0"/>
        <w:jc w:val="left"/>
        <w:rPr>
          <w:rFonts w:ascii="Meiryo" w:eastAsia="Meiryo" w:hint="eastAsia"/>
          <w:b/>
          <w:sz w:val="24"/>
        </w:rPr>
      </w:pPr>
      <w:r>
        <w:rPr>
          <w:rFonts w:ascii="楷体" w:eastAsia="楷体" w:hint="eastAsia"/>
          <w:sz w:val="21"/>
        </w:rPr>
        <w:t>作者单位：中国医药保健品进出口商会</w:t>
      </w:r>
      <w:r>
        <w:rPr>
          <w:rFonts w:ascii="Meiryo" w:eastAsia="Meiryo" w:hint="eastAsia"/>
          <w:b/>
          <w:color w:val="0033CC"/>
          <w:sz w:val="24"/>
        </w:rPr>
        <w:t>[返回目次]</w:t>
      </w:r>
    </w:p>
    <w:p>
      <w:pPr>
        <w:spacing w:after="0" w:line="413" w:lineRule="exact"/>
        <w:jc w:val="left"/>
        <w:rPr>
          <w:rFonts w:ascii="Meiryo" w:eastAsia="Meiryo" w:hint="eastAsia"/>
          <w:sz w:val="24"/>
        </w:rPr>
        <w:sectPr>
          <w:pgSz w:w="11910" w:h="16850"/>
          <w:pgMar w:header="906" w:footer="607" w:top="1100" w:bottom="800" w:left="860" w:right="900"/>
        </w:sectPr>
      </w:pPr>
    </w:p>
    <w:p>
      <w:pPr>
        <w:pStyle w:val="Heading2"/>
        <w:spacing w:line="395" w:lineRule="exact"/>
        <w:ind w:left="181"/>
        <w:jc w:val="center"/>
      </w:pPr>
      <w:bookmarkStart w:name="_TOC_250043" w:id="9"/>
      <w:bookmarkEnd w:id="9"/>
      <w:r>
        <w:rPr/>
        <w:t>2019 年度最值得关注的药物（上）</w:t>
      </w:r>
    </w:p>
    <w:p>
      <w:pPr>
        <w:pStyle w:val="Heading3"/>
        <w:spacing w:before="145"/>
        <w:ind w:left="0" w:right="183"/>
        <w:jc w:val="right"/>
        <w:rPr>
          <w:rFonts w:ascii="楷体" w:eastAsia="楷体" w:hint="eastAsia"/>
        </w:rPr>
      </w:pPr>
      <w:r>
        <w:rPr/>
        <w:drawing>
          <wp:anchor distT="0" distB="0" distL="0" distR="0" allowOverlap="1" layoutInCell="1" locked="0" behindDoc="0" simplePos="0" relativeHeight="251660288">
            <wp:simplePos x="0" y="0"/>
            <wp:positionH relativeFrom="page">
              <wp:posOffset>619759</wp:posOffset>
            </wp:positionH>
            <wp:positionV relativeFrom="paragraph">
              <wp:posOffset>73152</wp:posOffset>
            </wp:positionV>
            <wp:extent cx="4301490" cy="2800985"/>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8" cstate="print"/>
                    <a:stretch>
                      <a:fillRect/>
                    </a:stretch>
                  </pic:blipFill>
                  <pic:spPr>
                    <a:xfrm>
                      <a:off x="0" y="0"/>
                      <a:ext cx="4301490" cy="2800985"/>
                    </a:xfrm>
                    <a:prstGeom prst="rect">
                      <a:avLst/>
                    </a:prstGeom>
                  </pic:spPr>
                </pic:pic>
              </a:graphicData>
            </a:graphic>
          </wp:anchor>
        </w:drawing>
      </w:r>
      <w:r>
        <w:rPr>
          <w:rFonts w:ascii="楷体" w:eastAsia="楷体" w:hint="eastAsia"/>
          <w:color w:val="FF0000"/>
          <w:w w:val="95"/>
        </w:rPr>
        <w:t>（来源：中国医药报）</w:t>
      </w:r>
    </w:p>
    <w:p>
      <w:pPr>
        <w:pStyle w:val="BodyText"/>
        <w:spacing w:line="297" w:lineRule="auto" w:before="187"/>
        <w:ind w:left="7071" w:right="185"/>
      </w:pPr>
      <w:r>
        <w:rPr/>
        <w:t>科睿唯安的 Cortellis 团队日前发布报告，预测2019 年度最值得关注的药</w:t>
      </w:r>
    </w:p>
    <w:p>
      <w:pPr>
        <w:pStyle w:val="BodyText"/>
        <w:spacing w:line="304" w:lineRule="exact"/>
        <w:ind w:left="7071" w:firstLine="0"/>
        <w:jc w:val="both"/>
      </w:pPr>
      <w:r>
        <w:rPr/>
        <w:t>物有 7 个（见表），它们上</w:t>
      </w:r>
    </w:p>
    <w:p>
      <w:pPr>
        <w:pStyle w:val="BodyText"/>
        <w:spacing w:line="297" w:lineRule="auto" w:before="72"/>
        <w:ind w:left="7071" w:right="228" w:firstLine="0"/>
        <w:jc w:val="both"/>
      </w:pPr>
      <w:r>
        <w:rPr>
          <w:spacing w:val="20"/>
        </w:rPr>
        <w:t>市后</w:t>
      </w:r>
      <w:r>
        <w:rPr/>
        <w:t>5</w:t>
      </w:r>
      <w:r>
        <w:rPr>
          <w:spacing w:val="-12"/>
        </w:rPr>
        <w:t> 年内的销售额有望达</w:t>
      </w:r>
      <w:r>
        <w:rPr>
          <w:spacing w:val="-4"/>
        </w:rPr>
        <w:t>到“重磅炸弹”级别</w:t>
      </w:r>
      <w:r>
        <w:rPr/>
        <w:t>（</w:t>
      </w:r>
      <w:r>
        <w:rPr>
          <w:spacing w:val="-9"/>
        </w:rPr>
        <w:t>达到</w:t>
      </w:r>
      <w:r>
        <w:rPr>
          <w:spacing w:val="-15"/>
        </w:rPr>
        <w:t>或超过 </w:t>
      </w:r>
      <w:r>
        <w:rPr/>
        <w:t>10</w:t>
      </w:r>
      <w:r>
        <w:rPr>
          <w:spacing w:val="-15"/>
        </w:rPr>
        <w:t> 亿美元</w:t>
      </w:r>
      <w:r>
        <w:rPr/>
        <w:t>）</w:t>
      </w:r>
      <w:r>
        <w:rPr>
          <w:spacing w:val="-20"/>
        </w:rPr>
        <w:t>。这 </w:t>
      </w:r>
      <w:r>
        <w:rPr/>
        <w:t>7</w:t>
      </w:r>
    </w:p>
    <w:p>
      <w:pPr>
        <w:pStyle w:val="BodyText"/>
        <w:spacing w:line="297" w:lineRule="auto"/>
        <w:ind w:left="7071" w:right="228" w:firstLine="0"/>
      </w:pPr>
      <w:r>
        <w:rPr>
          <w:spacing w:val="-10"/>
        </w:rPr>
        <w:t>个药物具有 </w:t>
      </w:r>
      <w:r>
        <w:rPr/>
        <w:t>3</w:t>
      </w:r>
      <w:r>
        <w:rPr>
          <w:spacing w:val="-17"/>
        </w:rPr>
        <w:t> 个共同点：首</w:t>
      </w:r>
      <w:r>
        <w:rPr>
          <w:spacing w:val="-6"/>
        </w:rPr>
        <w:t>先是面临多样化的竞争；其</w:t>
      </w:r>
      <w:r>
        <w:rPr/>
        <w:t>次是疾病领域高度集中，7 个药物的治疗领域几乎全</w:t>
      </w:r>
    </w:p>
    <w:p>
      <w:pPr>
        <w:pStyle w:val="BodyText"/>
        <w:tabs>
          <w:tab w:pos="5217" w:val="left" w:leader="none"/>
        </w:tabs>
        <w:spacing w:line="295" w:lineRule="auto"/>
        <w:ind w:right="107" w:firstLine="0"/>
      </w:pPr>
      <w:r>
        <w:rPr/>
        <w:t>部集中在以“遗传疾病”和“过度免疫反</w:t>
      </w:r>
      <w:r>
        <w:rPr>
          <w:spacing w:val="-34"/>
        </w:rPr>
        <w:t>应</w:t>
      </w:r>
      <w:r>
        <w:rPr/>
        <w:t>（包括自身免疫</w:t>
      </w:r>
      <w:r>
        <w:rPr>
          <w:spacing w:val="-17"/>
        </w:rPr>
        <w:t>）”</w:t>
      </w:r>
      <w:r>
        <w:rPr/>
        <w:t>为特征的疾病领域</w:t>
      </w:r>
      <w:r>
        <w:rPr>
          <w:spacing w:val="-34"/>
        </w:rPr>
        <w:t>；</w:t>
      </w:r>
      <w:r>
        <w:rPr/>
        <w:t>第三是同质化药物与利基药物形成鲜明对比</w:t>
      </w:r>
      <w:r>
        <w:rPr>
          <w:spacing w:val="-51"/>
        </w:rPr>
        <w:t>。</w:t>
      </w:r>
      <w:r>
        <w:rPr/>
        <w:t>与竞争激烈的快速跟进药物开发模式相比</w:t>
      </w:r>
      <w:r>
        <w:rPr>
          <w:spacing w:val="-51"/>
        </w:rPr>
        <w:t>，</w:t>
      </w:r>
      <w:r>
        <w:rPr/>
        <w:t>利基药物的开发吸引了更多的投资</w:t>
      </w:r>
      <w:r>
        <w:rPr>
          <w:spacing w:val="-104"/>
        </w:rPr>
        <w:t>。</w:t>
      </w:r>
      <w:r>
        <w:rPr/>
        <w:t>这类药物的突破点主要集中在“罕见病用药”“未满足的临床需求”“安全性、有效性、顺应性存在缺陷”</w:t>
        <w:tab/>
        <w:t>等方面。2019</w:t>
      </w:r>
      <w:r>
        <w:rPr>
          <w:spacing w:val="-60"/>
        </w:rPr>
        <w:t> </w:t>
      </w:r>
      <w:r>
        <w:rPr/>
        <w:t>年值得关注的</w:t>
      </w:r>
      <w:r>
        <w:rPr>
          <w:spacing w:val="-60"/>
        </w:rPr>
        <w:t> </w:t>
      </w:r>
      <w:r>
        <w:rPr/>
        <w:t>7</w:t>
      </w:r>
      <w:r>
        <w:rPr>
          <w:spacing w:val="-60"/>
        </w:rPr>
        <w:t> </w:t>
      </w:r>
      <w:r>
        <w:rPr/>
        <w:t>个药物中有很大一部分是利基药物</w:t>
      </w:r>
      <w:r>
        <w:rPr>
          <w:spacing w:val="-111"/>
        </w:rPr>
        <w:t>，</w:t>
      </w:r>
      <w:r>
        <w:rPr/>
        <w:t>且这些药物大都获得了优先审评</w:t>
      </w:r>
      <w:r>
        <w:rPr>
          <w:spacing w:val="-111"/>
        </w:rPr>
        <w:t>、</w:t>
      </w:r>
      <w:r>
        <w:rPr/>
        <w:t>突破性疗法或快速通道等审评认定</w:t>
      </w:r>
      <w:r>
        <w:rPr>
          <w:spacing w:val="-16"/>
        </w:rPr>
        <w:t>。</w:t>
      </w:r>
      <w:r>
        <w:rPr/>
        <w:t>这</w:t>
      </w:r>
      <w:r>
        <w:rPr>
          <w:spacing w:val="-60"/>
        </w:rPr>
        <w:t> </w:t>
      </w:r>
      <w:r>
        <w:rPr/>
        <w:t>7</w:t>
      </w:r>
      <w:r>
        <w:rPr>
          <w:spacing w:val="-60"/>
        </w:rPr>
        <w:t> </w:t>
      </w:r>
      <w:r>
        <w:rPr/>
        <w:t>个药物具体包括：</w:t>
      </w:r>
    </w:p>
    <w:p>
      <w:pPr>
        <w:pStyle w:val="Heading3"/>
        <w:numPr>
          <w:ilvl w:val="0"/>
          <w:numId w:val="2"/>
        </w:numPr>
        <w:tabs>
          <w:tab w:pos="1141" w:val="left" w:leader="none"/>
        </w:tabs>
        <w:spacing w:line="240" w:lineRule="auto" w:before="4" w:after="0"/>
        <w:ind w:left="1140" w:right="0" w:hanging="244"/>
        <w:jc w:val="left"/>
      </w:pPr>
      <w:r>
        <w:rPr/>
        <w:t>类风湿性关节炎新药：Upadacitinib</w:t>
      </w:r>
    </w:p>
    <w:p>
      <w:pPr>
        <w:pStyle w:val="BodyText"/>
        <w:spacing w:line="297" w:lineRule="auto" w:before="72"/>
        <w:ind w:right="227"/>
        <w:jc w:val="both"/>
      </w:pPr>
      <w:r>
        <w:rPr>
          <w:spacing w:val="-7"/>
        </w:rPr>
        <w:t>类风湿性关节炎是一种慢性、进行性、侵蚀性的自身免疫性疾病，其发病原因目前尚不</w:t>
      </w:r>
      <w:r>
        <w:rPr>
          <w:spacing w:val="-10"/>
        </w:rPr>
        <w:t>明确，临床上也没有治愈方法。药物治疗主要以减轻症状和推后疾病发作时间为目的。从发</w:t>
      </w:r>
      <w:r>
        <w:rPr>
          <w:spacing w:val="-3"/>
        </w:rPr>
        <w:t>病率来看，类风湿性关节炎影响全球人口的 </w:t>
      </w:r>
      <w:r>
        <w:rPr/>
        <w:t>0.3%～1%。</w:t>
      </w:r>
    </w:p>
    <w:p>
      <w:pPr>
        <w:pStyle w:val="BodyText"/>
        <w:spacing w:line="297" w:lineRule="auto"/>
        <w:ind w:right="229"/>
        <w:jc w:val="both"/>
      </w:pPr>
      <w:r>
        <w:rPr/>
        <w:t>Upadacitinib</w:t>
      </w:r>
      <w:r>
        <w:rPr>
          <w:spacing w:val="-12"/>
        </w:rPr>
        <w:t> 是由艾伯维研发的一种口服 </w:t>
      </w:r>
      <w:r>
        <w:rPr/>
        <w:t>JAK1</w:t>
      </w:r>
      <w:r>
        <w:rPr>
          <w:spacing w:val="-12"/>
        </w:rPr>
        <w:t> 抑制剂。</w:t>
      </w:r>
      <w:r>
        <w:rPr/>
        <w:t>JAK</w:t>
      </w:r>
      <w:r>
        <w:rPr>
          <w:spacing w:val="-8"/>
        </w:rPr>
        <w:t> 家族分子调控功能的紊乱</w:t>
      </w:r>
      <w:r>
        <w:rPr>
          <w:spacing w:val="-14"/>
        </w:rPr>
        <w:t>与类风湿性关节炎发病机制中促炎介质的生产有关，因此，抑制 </w:t>
      </w:r>
      <w:r>
        <w:rPr/>
        <w:t>JAK</w:t>
      </w:r>
      <w:r>
        <w:rPr>
          <w:spacing w:val="-10"/>
        </w:rPr>
        <w:t> 蛋白可以有效地控制类</w:t>
      </w:r>
      <w:r>
        <w:rPr/>
        <w:t>风湿性关节炎。</w:t>
      </w:r>
    </w:p>
    <w:p>
      <w:pPr>
        <w:pStyle w:val="BodyText"/>
        <w:spacing w:line="297" w:lineRule="auto"/>
        <w:ind w:right="226"/>
      </w:pPr>
      <w:r>
        <w:rPr/>
        <w:t>2018</w:t>
      </w:r>
      <w:r>
        <w:rPr>
          <w:spacing w:val="-41"/>
        </w:rPr>
        <w:t> 年 </w:t>
      </w:r>
      <w:r>
        <w:rPr/>
        <w:t>12</w:t>
      </w:r>
      <w:r>
        <w:rPr>
          <w:spacing w:val="-11"/>
        </w:rPr>
        <w:t> 月，艾伯维分别向美国和欧盟递交了 </w:t>
      </w:r>
      <w:r>
        <w:rPr/>
        <w:t>Upadacitinib</w:t>
      </w:r>
      <w:r>
        <w:rPr>
          <w:spacing w:val="-8"/>
        </w:rPr>
        <w:t> 的新药申请资料。Cortellis</w:t>
      </w:r>
      <w:r>
        <w:rPr>
          <w:spacing w:val="-11"/>
        </w:rPr>
        <w:t> 团队预测，该药在美国和欧盟获批成功率均为 </w:t>
      </w:r>
      <w:r>
        <w:rPr/>
        <w:t>95%。从时间来看，该药在美国的</w:t>
      </w:r>
      <w:r>
        <w:rPr>
          <w:spacing w:val="-11"/>
        </w:rPr>
        <w:t>上市时间为 </w:t>
      </w:r>
      <w:r>
        <w:rPr/>
        <w:t>2019</w:t>
      </w:r>
      <w:r>
        <w:rPr>
          <w:spacing w:val="-40"/>
        </w:rPr>
        <w:t> 年 </w:t>
      </w:r>
      <w:r>
        <w:rPr/>
        <w:t>9</w:t>
      </w:r>
      <w:r>
        <w:rPr>
          <w:spacing w:val="-20"/>
        </w:rPr>
        <w:t> 月，在欧盟的上市时间为 </w:t>
      </w:r>
      <w:r>
        <w:rPr/>
        <w:t>2019</w:t>
      </w:r>
      <w:r>
        <w:rPr>
          <w:spacing w:val="-40"/>
        </w:rPr>
        <w:t> 年 </w:t>
      </w:r>
      <w:r>
        <w:rPr/>
        <w:t>10</w:t>
      </w:r>
      <w:r>
        <w:rPr>
          <w:spacing w:val="-24"/>
        </w:rPr>
        <w:t> 月。从市场预测来看，该药到 </w:t>
      </w:r>
      <w:r>
        <w:rPr>
          <w:spacing w:val="-4"/>
        </w:rPr>
        <w:t>2023</w:t>
      </w:r>
    </w:p>
    <w:p>
      <w:pPr>
        <w:pStyle w:val="BodyText"/>
        <w:spacing w:line="304" w:lineRule="exact"/>
        <w:ind w:firstLine="0"/>
      </w:pPr>
      <w:r>
        <w:rPr/>
        <w:t>年的销售额将突破 22 亿美元。</w:t>
      </w:r>
    </w:p>
    <w:p>
      <w:pPr>
        <w:pStyle w:val="BodyText"/>
        <w:spacing w:line="297" w:lineRule="auto" w:before="64"/>
        <w:ind w:right="305"/>
        <w:jc w:val="both"/>
      </w:pPr>
      <w:r>
        <w:rPr/>
        <w:t>除类风湿性关节炎外，Upadacitinib</w:t>
      </w:r>
      <w:r>
        <w:rPr>
          <w:spacing w:val="-9"/>
        </w:rPr>
        <w:t> 治疗溃疡性结肠炎、银屑病关节炎、克罗恩病和</w:t>
      </w:r>
      <w:r>
        <w:rPr/>
        <w:t>异位性皮炎的三期临床试验正在进行中；治疗强直性脊柱炎的临床试验也已经进行到了二期；治疗巨细胞动脉炎的临床试验计划也已启动。</w:t>
      </w:r>
    </w:p>
    <w:p>
      <w:pPr>
        <w:pStyle w:val="BodyText"/>
        <w:spacing w:line="297" w:lineRule="auto"/>
        <w:ind w:right="228"/>
        <w:jc w:val="both"/>
      </w:pPr>
      <w:r>
        <w:rPr>
          <w:spacing w:val="-21"/>
        </w:rPr>
        <w:t>如果 </w:t>
      </w:r>
      <w:r>
        <w:rPr/>
        <w:t>Upadacitinib</w:t>
      </w:r>
      <w:r>
        <w:rPr>
          <w:spacing w:val="-18"/>
        </w:rPr>
        <w:t> 顺利获批，预计将在 </w:t>
      </w:r>
      <w:r>
        <w:rPr/>
        <w:t>2019</w:t>
      </w:r>
      <w:r>
        <w:rPr>
          <w:spacing w:val="-13"/>
        </w:rPr>
        <w:t> 年上市。但该药上市后将面临同类药物的</w:t>
      </w:r>
      <w:r>
        <w:rPr/>
        <w:t>激烈竞争（尤其生物药），而且这些生物药大多都是临床上使用多年的推荐药物。</w:t>
      </w:r>
    </w:p>
    <w:p>
      <w:pPr>
        <w:pStyle w:val="BodyText"/>
        <w:spacing w:line="297" w:lineRule="auto"/>
        <w:ind w:right="227"/>
        <w:jc w:val="both"/>
      </w:pPr>
      <w:r>
        <w:rPr>
          <w:spacing w:val="-3"/>
        </w:rPr>
        <w:t>生物药作为该领域的市场霸主，大部分产品的作用机制为 </w:t>
      </w:r>
      <w:r>
        <w:rPr/>
        <w:t>TNF</w:t>
      </w:r>
      <w:r>
        <w:rPr>
          <w:spacing w:val="-18"/>
        </w:rPr>
        <w:t> 抑制剂，如 </w:t>
      </w:r>
      <w:r>
        <w:rPr/>
        <w:t>Humira（修美乐</w:t>
      </w:r>
      <w:r>
        <w:rPr>
          <w:spacing w:val="-12"/>
        </w:rPr>
        <w:t>）</w:t>
      </w:r>
      <w:r>
        <w:rPr/>
        <w:t>、Enbrel（</w:t>
      </w:r>
      <w:r>
        <w:rPr>
          <w:spacing w:val="-2"/>
        </w:rPr>
        <w:t>恩利</w:t>
      </w:r>
      <w:r>
        <w:rPr>
          <w:spacing w:val="-12"/>
        </w:rPr>
        <w:t>）</w:t>
      </w:r>
      <w:r>
        <w:rPr>
          <w:spacing w:val="52"/>
        </w:rPr>
        <w:t>、 </w:t>
      </w:r>
      <w:r>
        <w:rPr/>
        <w:t>Simponi（</w:t>
      </w:r>
      <w:r>
        <w:rPr>
          <w:spacing w:val="-2"/>
        </w:rPr>
        <w:t>欣普尼</w:t>
      </w:r>
      <w:r>
        <w:rPr>
          <w:spacing w:val="-12"/>
        </w:rPr>
        <w:t>）</w:t>
      </w:r>
      <w:r>
        <w:rPr>
          <w:spacing w:val="53"/>
        </w:rPr>
        <w:t>、 </w:t>
      </w:r>
      <w:r>
        <w:rPr/>
        <w:t>Remicade（</w:t>
      </w:r>
      <w:r>
        <w:rPr>
          <w:spacing w:val="-2"/>
        </w:rPr>
        <w:t>类克</w:t>
      </w:r>
      <w:r>
        <w:rPr>
          <w:spacing w:val="-12"/>
        </w:rPr>
        <w:t>）</w:t>
      </w:r>
      <w:r>
        <w:rPr>
          <w:spacing w:val="-32"/>
        </w:rPr>
        <w:t>和 </w:t>
      </w:r>
      <w:r>
        <w:rPr/>
        <w:t>Cimzia</w:t>
      </w:r>
      <w:r>
        <w:rPr>
          <w:spacing w:val="-18"/>
        </w:rPr>
        <w:t> 等。《美</w:t>
      </w:r>
      <w:r>
        <w:rPr>
          <w:spacing w:val="-6"/>
        </w:rPr>
        <w:t>国风湿病学会类风湿关节炎的治疗指南》推荐这些药物作为抗风湿病的二线治疗药物。除品</w:t>
      </w:r>
    </w:p>
    <w:p>
      <w:pPr>
        <w:spacing w:after="0" w:line="297" w:lineRule="auto"/>
        <w:jc w:val="both"/>
        <w:sectPr>
          <w:pgSz w:w="11910" w:h="16850"/>
          <w:pgMar w:header="906" w:footer="607" w:top="1100" w:bottom="800" w:left="860" w:right="900"/>
        </w:sectPr>
      </w:pPr>
    </w:p>
    <w:p>
      <w:pPr>
        <w:pStyle w:val="BodyText"/>
        <w:spacing w:line="295" w:lineRule="auto" w:before="65"/>
        <w:ind w:right="245" w:firstLine="0"/>
        <w:jc w:val="both"/>
      </w:pPr>
      <w:r>
        <w:rPr/>
        <w:t>牌生物药之外，生物类似物的上市进一步增加了该领域的竞争程度。比如，Humira（2017 </w:t>
      </w:r>
      <w:r>
        <w:rPr>
          <w:spacing w:val="-11"/>
        </w:rPr>
        <w:t>年销售额为 </w:t>
      </w:r>
      <w:r>
        <w:rPr/>
        <w:t>187.7</w:t>
      </w:r>
      <w:r>
        <w:rPr>
          <w:spacing w:val="-15"/>
        </w:rPr>
        <w:t> 亿美元</w:t>
      </w:r>
      <w:r>
        <w:rPr/>
        <w:t>）</w:t>
      </w:r>
      <w:r>
        <w:rPr>
          <w:spacing w:val="-3"/>
        </w:rPr>
        <w:t>吸引了很多仿制药公司的青睐，其生物类似物已经于 </w:t>
      </w:r>
      <w:r>
        <w:rPr/>
        <w:t>2018</w:t>
      </w:r>
      <w:r>
        <w:rPr>
          <w:spacing w:val="-26"/>
        </w:rPr>
        <w:t> 年进</w:t>
      </w:r>
    </w:p>
    <w:p>
      <w:pPr>
        <w:pStyle w:val="BodyText"/>
        <w:spacing w:before="2"/>
        <w:ind w:firstLine="0"/>
        <w:jc w:val="both"/>
      </w:pPr>
      <w:r>
        <w:rPr/>
        <w:t>入欧盟市场，并将于 2023 年在美国上市。</w:t>
      </w:r>
    </w:p>
    <w:p>
      <w:pPr>
        <w:pStyle w:val="BodyText"/>
        <w:spacing w:line="297" w:lineRule="auto" w:before="74"/>
        <w:ind w:right="228"/>
        <w:jc w:val="both"/>
      </w:pPr>
      <w:r>
        <w:rPr>
          <w:spacing w:val="-31"/>
        </w:rPr>
        <w:t>除 </w:t>
      </w:r>
      <w:r>
        <w:rPr/>
        <w:t>TNF</w:t>
      </w:r>
      <w:r>
        <w:rPr>
          <w:spacing w:val="-12"/>
        </w:rPr>
        <w:t> 抑制剂被推荐作为抗风湿病二线治疗用药外，在使用最新的药物之前，“非 </w:t>
      </w:r>
      <w:r>
        <w:rPr>
          <w:spacing w:val="-6"/>
        </w:rPr>
        <w:t>TNF </w:t>
      </w:r>
      <w:r>
        <w:rPr>
          <w:spacing w:val="-5"/>
        </w:rPr>
        <w:t>抑制剂生物药” 在临床上也通常被推荐为二线用药。如 </w:t>
      </w:r>
      <w:r>
        <w:rPr>
          <w:spacing w:val="-4"/>
        </w:rPr>
        <w:t>Actemra（</w:t>
      </w:r>
      <w:r>
        <w:rPr/>
        <w:t>雅美罗</w:t>
      </w:r>
      <w:r>
        <w:rPr>
          <w:spacing w:val="-34"/>
        </w:rPr>
        <w:t>）</w:t>
      </w:r>
      <w:r>
        <w:rPr>
          <w:spacing w:val="-33"/>
        </w:rPr>
        <w:t>、</w:t>
      </w:r>
      <w:r>
        <w:rPr>
          <w:spacing w:val="-5"/>
        </w:rPr>
        <w:t>Orencia（</w:t>
      </w:r>
      <w:r>
        <w:rPr>
          <w:spacing w:val="-12"/>
        </w:rPr>
        <w:t>阿</w:t>
      </w:r>
      <w:r>
        <w:rPr/>
        <w:t>巴西普）、Rituxan（美罗华）</w:t>
      </w:r>
      <w:r>
        <w:rPr>
          <w:spacing w:val="-6"/>
        </w:rPr>
        <w:t>等，它们的临床定位为 </w:t>
      </w:r>
      <w:r>
        <w:rPr/>
        <w:t>TNF</w:t>
      </w:r>
      <w:r>
        <w:rPr>
          <w:spacing w:val="-13"/>
        </w:rPr>
        <w:t> 生物药的替代产品或 </w:t>
      </w:r>
      <w:r>
        <w:rPr/>
        <w:t>TNF</w:t>
      </w:r>
      <w:r>
        <w:rPr>
          <w:spacing w:val="-15"/>
        </w:rPr>
        <w:t> 抑制剂治疗失败后的二线用药。</w:t>
      </w:r>
    </w:p>
    <w:p>
      <w:pPr>
        <w:pStyle w:val="BodyText"/>
        <w:spacing w:line="297" w:lineRule="auto"/>
        <w:ind w:right="228"/>
      </w:pPr>
      <w:r>
        <w:rPr/>
        <w:t>除生物药外，Upadacitinib</w:t>
      </w:r>
      <w:r>
        <w:rPr>
          <w:spacing w:val="-14"/>
        </w:rPr>
        <w:t> 也将面临来自其他 </w:t>
      </w:r>
      <w:r>
        <w:rPr/>
        <w:t>JAK</w:t>
      </w:r>
      <w:r>
        <w:rPr>
          <w:spacing w:val="-8"/>
        </w:rPr>
        <w:t> 抑制剂的直接竞争。该领域的First-in-Class</w:t>
      </w:r>
      <w:r>
        <w:rPr>
          <w:spacing w:val="-30"/>
        </w:rPr>
        <w:t> 药物 </w:t>
      </w:r>
      <w:r>
        <w:rPr>
          <w:spacing w:val="-5"/>
        </w:rPr>
        <w:t>Xeljanz（</w:t>
      </w:r>
      <w:r>
        <w:rPr/>
        <w:t>尚杰</w:t>
      </w:r>
      <w:r>
        <w:rPr>
          <w:spacing w:val="-34"/>
        </w:rPr>
        <w:t>）</w:t>
      </w:r>
      <w:r>
        <w:rPr>
          <w:spacing w:val="-11"/>
        </w:rPr>
        <w:t>是一种广谱 </w:t>
      </w:r>
      <w:r>
        <w:rPr/>
        <w:t>JAK</w:t>
      </w:r>
      <w:r>
        <w:rPr>
          <w:spacing w:val="-11"/>
        </w:rPr>
        <w:t> 抑制剂。美国风湿病学会建议其作为</w:t>
      </w:r>
      <w:r>
        <w:rPr>
          <w:spacing w:val="-3"/>
        </w:rPr>
        <w:t>生物药治疗失败的二线用药。</w:t>
      </w:r>
      <w:r>
        <w:rPr/>
        <w:t>2017</w:t>
      </w:r>
      <w:r>
        <w:rPr>
          <w:spacing w:val="-22"/>
        </w:rPr>
        <w:t> 年，</w:t>
      </w:r>
      <w:r>
        <w:rPr>
          <w:spacing w:val="-5"/>
        </w:rPr>
        <w:t>Xeljanz</w:t>
      </w:r>
      <w:r>
        <w:rPr>
          <w:spacing w:val="-18"/>
        </w:rPr>
        <w:t> 的销售额为 </w:t>
      </w:r>
      <w:r>
        <w:rPr/>
        <w:t>13.5</w:t>
      </w:r>
      <w:r>
        <w:rPr>
          <w:spacing w:val="-20"/>
        </w:rPr>
        <w:t> 亿美元，预计 </w:t>
      </w:r>
      <w:r>
        <w:rPr/>
        <w:t>2023</w:t>
      </w:r>
      <w:r>
        <w:rPr>
          <w:spacing w:val="-19"/>
        </w:rPr>
        <w:t> 年将增</w:t>
      </w:r>
      <w:r>
        <w:rPr>
          <w:spacing w:val="-30"/>
        </w:rPr>
        <w:t>至 </w:t>
      </w:r>
      <w:r>
        <w:rPr/>
        <w:t>31.9</w:t>
      </w:r>
      <w:r>
        <w:rPr>
          <w:spacing w:val="-13"/>
        </w:rPr>
        <w:t> 亿美元。</w:t>
      </w:r>
    </w:p>
    <w:p>
      <w:pPr>
        <w:pStyle w:val="BodyText"/>
        <w:spacing w:line="297" w:lineRule="auto"/>
        <w:ind w:right="126"/>
      </w:pPr>
      <w:r>
        <w:rPr>
          <w:spacing w:val="-11"/>
        </w:rPr>
        <w:t>礼来公司的 </w:t>
      </w:r>
      <w:r>
        <w:rPr/>
        <w:t>Olumiant</w:t>
      </w:r>
      <w:r>
        <w:rPr>
          <w:spacing w:val="-40"/>
        </w:rPr>
        <w:t> 为 </w:t>
      </w:r>
      <w:r>
        <w:rPr/>
        <w:t>JAK1/JAK2</w:t>
      </w:r>
      <w:r>
        <w:rPr>
          <w:spacing w:val="-13"/>
        </w:rPr>
        <w:t> 的选择性抑制剂，于 </w:t>
      </w:r>
      <w:r>
        <w:rPr/>
        <w:t>2017</w:t>
      </w:r>
      <w:r>
        <w:rPr>
          <w:spacing w:val="-9"/>
        </w:rPr>
        <w:t> 年进入欧盟和日本市场， </w:t>
      </w:r>
      <w:r>
        <w:rPr/>
        <w:t>2018</w:t>
      </w:r>
      <w:r>
        <w:rPr>
          <w:spacing w:val="-10"/>
        </w:rPr>
        <w:t> 年进入美国市场。</w:t>
      </w:r>
      <w:r>
        <w:rPr/>
        <w:t>2017</w:t>
      </w:r>
      <w:r>
        <w:rPr>
          <w:spacing w:val="-21"/>
        </w:rPr>
        <w:t> 年，</w:t>
      </w:r>
      <w:r>
        <w:rPr/>
        <w:t>Olumiant</w:t>
      </w:r>
      <w:r>
        <w:rPr>
          <w:spacing w:val="-19"/>
        </w:rPr>
        <w:t> 的销售额为 </w:t>
      </w:r>
      <w:r>
        <w:rPr/>
        <w:t>4500</w:t>
      </w:r>
      <w:r>
        <w:rPr>
          <w:spacing w:val="-19"/>
        </w:rPr>
        <w:t> 万美元，预计 </w:t>
      </w:r>
      <w:r>
        <w:rPr/>
        <w:t>2023</w:t>
      </w:r>
      <w:r>
        <w:rPr>
          <w:spacing w:val="-11"/>
        </w:rPr>
        <w:t> 年的销售额</w:t>
      </w:r>
      <w:r>
        <w:rPr>
          <w:spacing w:val="-24"/>
        </w:rPr>
        <w:t>将突破 </w:t>
      </w:r>
      <w:r>
        <w:rPr/>
        <w:t>10.6</w:t>
      </w:r>
      <w:r>
        <w:rPr>
          <w:spacing w:val="-15"/>
        </w:rPr>
        <w:t> 亿美元</w:t>
      </w:r>
      <w:r>
        <w:rPr/>
        <w:t>（</w:t>
      </w:r>
      <w:r>
        <w:rPr>
          <w:spacing w:val="-20"/>
        </w:rPr>
        <w:t>约为 </w:t>
      </w:r>
      <w:r>
        <w:rPr/>
        <w:t>Upadacitinib</w:t>
      </w:r>
      <w:r>
        <w:rPr>
          <w:spacing w:val="-15"/>
        </w:rPr>
        <w:t> 的一半</w:t>
      </w:r>
      <w:r>
        <w:rPr/>
        <w:t>）。Olumiant</w:t>
      </w:r>
      <w:r>
        <w:rPr>
          <w:spacing w:val="-8"/>
        </w:rPr>
        <w:t> 同样也面临诸多挑战，比如</w:t>
      </w:r>
      <w:r>
        <w:rPr>
          <w:spacing w:val="-13"/>
        </w:rPr>
        <w:t>其标签上的黑框警告比 </w:t>
      </w:r>
      <w:r>
        <w:rPr/>
        <w:t>Xeljanz</w:t>
      </w:r>
      <w:r>
        <w:rPr>
          <w:spacing w:val="-10"/>
        </w:rPr>
        <w:t> 的更广泛。</w:t>
      </w:r>
    </w:p>
    <w:p>
      <w:pPr>
        <w:pStyle w:val="Heading3"/>
        <w:numPr>
          <w:ilvl w:val="0"/>
          <w:numId w:val="2"/>
        </w:numPr>
        <w:tabs>
          <w:tab w:pos="1141" w:val="left" w:leader="none"/>
        </w:tabs>
        <w:spacing w:line="304" w:lineRule="exact" w:before="0" w:after="0"/>
        <w:ind w:left="1140" w:right="0" w:hanging="244"/>
        <w:jc w:val="left"/>
      </w:pPr>
      <w:r>
        <w:rPr/>
        <w:t>脊髓性肌萎缩症新药：Zolgensma</w:t>
      </w:r>
    </w:p>
    <w:p>
      <w:pPr>
        <w:pStyle w:val="BodyText"/>
        <w:spacing w:line="295" w:lineRule="auto" w:before="60"/>
        <w:ind w:right="246"/>
      </w:pPr>
      <w:r>
        <w:rPr/>
        <w:t>脊髓性肌萎缩症（SMA）是一种表现为肌肉消瘦的疾病，主要影响婴儿和儿童，且年龄越小致死率越高。</w:t>
      </w:r>
    </w:p>
    <w:p>
      <w:pPr>
        <w:pStyle w:val="BodyText"/>
        <w:spacing w:line="297" w:lineRule="auto" w:before="5"/>
        <w:ind w:right="226"/>
      </w:pPr>
      <w:r>
        <w:rPr/>
        <w:t>Zolgensma</w:t>
      </w:r>
      <w:r>
        <w:rPr>
          <w:spacing w:val="-41"/>
        </w:rPr>
        <w:t> 由 </w:t>
      </w:r>
      <w:r>
        <w:rPr/>
        <w:t>AveXis</w:t>
      </w:r>
      <w:r>
        <w:rPr>
          <w:spacing w:val="-8"/>
        </w:rPr>
        <w:t> 与诺华联合开发，为一种通过注射给药的基因治疗药物。</w:t>
      </w:r>
      <w:r>
        <w:rPr/>
        <w:t>2018</w:t>
      </w:r>
      <w:r>
        <w:rPr>
          <w:spacing w:val="-30"/>
        </w:rPr>
        <w:t> 年第三季度，AveXis</w:t>
      </w:r>
      <w:r>
        <w:rPr>
          <w:spacing w:val="-12"/>
        </w:rPr>
        <w:t> 向美国、欧盟和日本提交了 </w:t>
      </w:r>
      <w:r>
        <w:rPr/>
        <w:t>Zolgensma</w:t>
      </w:r>
      <w:r>
        <w:rPr>
          <w:spacing w:val="-8"/>
        </w:rPr>
        <w:t> 用于治疗Ⅰ型脊髓性肌萎缩症的</w:t>
      </w:r>
      <w:r>
        <w:rPr>
          <w:spacing w:val="-16"/>
        </w:rPr>
        <w:t>上市申请。据 </w:t>
      </w:r>
      <w:r>
        <w:rPr/>
        <w:t>Cortellis</w:t>
      </w:r>
      <w:r>
        <w:rPr>
          <w:spacing w:val="-12"/>
        </w:rPr>
        <w:t> 团队预测，该药在美国、欧盟和日本的获批成功率均为 </w:t>
      </w:r>
      <w:r>
        <w:rPr/>
        <w:t>95%</w:t>
      </w:r>
      <w:r>
        <w:rPr>
          <w:spacing w:val="-10"/>
        </w:rPr>
        <w:t>。预计</w:t>
      </w:r>
      <w:r>
        <w:rPr/>
        <w:t>Zolgensma</w:t>
      </w:r>
      <w:r>
        <w:rPr>
          <w:spacing w:val="-13"/>
        </w:rPr>
        <w:t> 今年的销售额将达到 </w:t>
      </w:r>
      <w:r>
        <w:rPr/>
        <w:t>7.6</w:t>
      </w:r>
      <w:r>
        <w:rPr>
          <w:spacing w:val="-15"/>
        </w:rPr>
        <w:t> 亿美元</w:t>
      </w:r>
      <w:r>
        <w:rPr/>
        <w:t>，2020</w:t>
      </w:r>
      <w:r>
        <w:rPr>
          <w:spacing w:val="-24"/>
        </w:rPr>
        <w:t> 年增至 </w:t>
      </w:r>
      <w:r>
        <w:rPr/>
        <w:t>12.7</w:t>
      </w:r>
      <w:r>
        <w:rPr>
          <w:spacing w:val="-15"/>
        </w:rPr>
        <w:t> 亿美元</w:t>
      </w:r>
      <w:r>
        <w:rPr/>
        <w:t>，2023</w:t>
      </w:r>
      <w:r>
        <w:rPr>
          <w:spacing w:val="-20"/>
        </w:rPr>
        <w:t> 年将突破 </w:t>
      </w:r>
      <w:r>
        <w:rPr/>
        <w:t>22 亿美元。</w:t>
      </w:r>
    </w:p>
    <w:p>
      <w:pPr>
        <w:pStyle w:val="BodyText"/>
        <w:spacing w:line="297" w:lineRule="auto"/>
        <w:ind w:right="126"/>
      </w:pPr>
      <w:r>
        <w:rPr/>
        <w:t>2016</w:t>
      </w:r>
      <w:r>
        <w:rPr>
          <w:spacing w:val="-17"/>
        </w:rPr>
        <w:t> 年，该领域的 </w:t>
      </w:r>
      <w:r>
        <w:rPr/>
        <w:t>First-in-Class</w:t>
      </w:r>
      <w:r>
        <w:rPr>
          <w:spacing w:val="-30"/>
        </w:rPr>
        <w:t> 药物 </w:t>
      </w:r>
      <w:r>
        <w:rPr/>
        <w:t>Spinraza</w:t>
      </w:r>
      <w:r>
        <w:rPr>
          <w:spacing w:val="-10"/>
        </w:rPr>
        <w:t> 在美国上市</w:t>
      </w:r>
      <w:r>
        <w:rPr/>
        <w:t>，2017</w:t>
      </w:r>
      <w:r>
        <w:rPr>
          <w:spacing w:val="-8"/>
        </w:rPr>
        <w:t> 年在欧盟上市， </w:t>
      </w:r>
      <w:r>
        <w:rPr>
          <w:spacing w:val="-11"/>
        </w:rPr>
        <w:t>该药曾获孤儿药物与突破疗法资格。如果 </w:t>
      </w:r>
      <w:r>
        <w:rPr/>
        <w:t>Zolgensma</w:t>
      </w:r>
      <w:r>
        <w:rPr>
          <w:spacing w:val="-9"/>
        </w:rPr>
        <w:t> 成功获批，也将面临激烈的市场竞争。</w:t>
      </w:r>
    </w:p>
    <w:p>
      <w:pPr>
        <w:pStyle w:val="BodyText"/>
        <w:spacing w:line="297" w:lineRule="auto"/>
        <w:ind w:right="227"/>
      </w:pPr>
      <w:r>
        <w:rPr/>
        <w:t>Ionis</w:t>
      </w:r>
      <w:r>
        <w:rPr>
          <w:spacing w:val="-25"/>
        </w:rPr>
        <w:t> 制药和 </w:t>
      </w:r>
      <w:r>
        <w:rPr/>
        <w:t>Biogen</w:t>
      </w:r>
      <w:r>
        <w:rPr>
          <w:spacing w:val="-18"/>
        </w:rPr>
        <w:t> 联合开发的 </w:t>
      </w:r>
      <w:r>
        <w:rPr/>
        <w:t>Spinraza，2016</w:t>
      </w:r>
      <w:r>
        <w:rPr>
          <w:spacing w:val="-40"/>
        </w:rPr>
        <w:t> 年 </w:t>
      </w:r>
      <w:r>
        <w:rPr/>
        <w:t>12</w:t>
      </w:r>
      <w:r>
        <w:rPr>
          <w:spacing w:val="-8"/>
        </w:rPr>
        <w:t> 月在美国获批，成为美国第一</w:t>
      </w:r>
      <w:r>
        <w:rPr>
          <w:spacing w:val="-22"/>
        </w:rPr>
        <w:t>个用于 </w:t>
      </w:r>
      <w:r>
        <w:rPr/>
        <w:t>SMA</w:t>
      </w:r>
      <w:r>
        <w:rPr>
          <w:spacing w:val="-11"/>
        </w:rPr>
        <w:t> 治疗的药物。</w:t>
      </w:r>
      <w:r>
        <w:rPr/>
        <w:t>2017</w:t>
      </w:r>
      <w:r>
        <w:rPr>
          <w:spacing w:val="-41"/>
        </w:rPr>
        <w:t> 年 </w:t>
      </w:r>
      <w:r>
        <w:rPr/>
        <w:t>6</w:t>
      </w:r>
      <w:r>
        <w:rPr>
          <w:spacing w:val="-21"/>
        </w:rPr>
        <w:t> 月，</w:t>
      </w:r>
      <w:r>
        <w:rPr/>
        <w:t>Spinraza</w:t>
      </w:r>
      <w:r>
        <w:rPr>
          <w:spacing w:val="-10"/>
        </w:rPr>
        <w:t> 又在欧盟获批。</w:t>
      </w:r>
      <w:r>
        <w:rPr/>
        <w:t>2017</w:t>
      </w:r>
      <w:r>
        <w:rPr>
          <w:spacing w:val="-11"/>
        </w:rPr>
        <w:t> 年，该药实现全球销</w:t>
      </w:r>
      <w:r>
        <w:rPr>
          <w:spacing w:val="-16"/>
        </w:rPr>
        <w:t>售收入 </w:t>
      </w:r>
      <w:r>
        <w:rPr/>
        <w:t>8.83</w:t>
      </w:r>
      <w:r>
        <w:rPr>
          <w:spacing w:val="-15"/>
        </w:rPr>
        <w:t> 亿美元</w:t>
      </w:r>
      <w:r>
        <w:rPr/>
        <w:t>，Cortellis</w:t>
      </w:r>
      <w:r>
        <w:rPr>
          <w:spacing w:val="-20"/>
        </w:rPr>
        <w:t> 团队预测 </w:t>
      </w:r>
      <w:r>
        <w:rPr/>
        <w:t>2023</w:t>
      </w:r>
      <w:r>
        <w:rPr>
          <w:spacing w:val="-13"/>
        </w:rPr>
        <w:t> 年该药销售额将突破 </w:t>
      </w:r>
      <w:r>
        <w:rPr/>
        <w:t>22.7</w:t>
      </w:r>
      <w:r>
        <w:rPr>
          <w:spacing w:val="-12"/>
        </w:rPr>
        <w:t> 亿美元。</w:t>
      </w:r>
    </w:p>
    <w:p>
      <w:pPr>
        <w:pStyle w:val="BodyText"/>
        <w:spacing w:line="297" w:lineRule="auto"/>
        <w:ind w:right="228"/>
      </w:pPr>
      <w:r>
        <w:rPr>
          <w:spacing w:val="-6"/>
        </w:rPr>
        <w:t>从获批范围来看，与 </w:t>
      </w:r>
      <w:r>
        <w:rPr/>
        <w:t>Spinraza</w:t>
      </w:r>
      <w:r>
        <w:rPr>
          <w:spacing w:val="-13"/>
        </w:rPr>
        <w:t> 被批准用于所有类型的 </w:t>
      </w:r>
      <w:r>
        <w:rPr/>
        <w:t>SMA</w:t>
      </w:r>
      <w:r>
        <w:rPr>
          <w:spacing w:val="-20"/>
        </w:rPr>
        <w:t> 相比</w:t>
      </w:r>
      <w:r>
        <w:rPr/>
        <w:t>，Zolgensma</w:t>
      </w:r>
      <w:r>
        <w:rPr>
          <w:spacing w:val="-12"/>
        </w:rPr>
        <w:t> 目前只获</w:t>
      </w:r>
      <w:r>
        <w:rPr>
          <w:spacing w:val="-21"/>
        </w:rPr>
        <w:t>批用于Ⅰ型 </w:t>
      </w:r>
      <w:r>
        <w:rPr/>
        <w:t>SMA</w:t>
      </w:r>
      <w:r>
        <w:rPr>
          <w:spacing w:val="-10"/>
        </w:rPr>
        <w:t> 的治疗，似乎不占有优势。然而，从顺应性的角度，</w:t>
      </w:r>
      <w:r>
        <w:rPr/>
        <w:t>Zolgensma</w:t>
      </w:r>
      <w:r>
        <w:rPr>
          <w:spacing w:val="-14"/>
        </w:rPr>
        <w:t> 通过静脉注</w:t>
      </w:r>
      <w:r>
        <w:rPr>
          <w:spacing w:val="-6"/>
        </w:rPr>
        <w:t>射一次性完成给药，而 </w:t>
      </w:r>
      <w:r>
        <w:rPr/>
        <w:t>Spinraza</w:t>
      </w:r>
      <w:r>
        <w:rPr>
          <w:spacing w:val="-24"/>
        </w:rPr>
        <w:t> 必须每 </w:t>
      </w:r>
      <w:r>
        <w:rPr/>
        <w:t>4</w:t>
      </w:r>
      <w:r>
        <w:rPr>
          <w:spacing w:val="-9"/>
        </w:rPr>
        <w:t> 个月通过腰穿</w:t>
      </w:r>
      <w:r>
        <w:rPr/>
        <w:t>（鞘内）注入脑脊液，Zolgensma 更胜一筹。</w:t>
      </w:r>
    </w:p>
    <w:p>
      <w:pPr>
        <w:pStyle w:val="BodyText"/>
        <w:spacing w:line="297" w:lineRule="auto"/>
        <w:ind w:right="227"/>
      </w:pPr>
      <w:r>
        <w:rPr>
          <w:spacing w:val="-8"/>
        </w:rPr>
        <w:t>当然，为了弥补 </w:t>
      </w:r>
      <w:r>
        <w:rPr/>
        <w:t>Zolgensma</w:t>
      </w:r>
      <w:r>
        <w:rPr>
          <w:spacing w:val="-8"/>
        </w:rPr>
        <w:t> 在适应证获批范围上的不足</w:t>
      </w:r>
      <w:r>
        <w:rPr/>
        <w:t>，AveXis</w:t>
      </w:r>
      <w:r>
        <w:rPr>
          <w:spacing w:val="-8"/>
        </w:rPr>
        <w:t> 正在积极开展相关临</w:t>
      </w:r>
      <w:r>
        <w:rPr>
          <w:spacing w:val="-29"/>
        </w:rPr>
        <w:t>床试验，以期将 </w:t>
      </w:r>
      <w:r>
        <w:rPr/>
        <w:t>Zolgensma</w:t>
      </w:r>
      <w:r>
        <w:rPr>
          <w:spacing w:val="-14"/>
        </w:rPr>
        <w:t> 的使用范围扩大到其他类型 </w:t>
      </w:r>
      <w:r>
        <w:rPr/>
        <w:t>SMA</w:t>
      </w:r>
      <w:r>
        <w:rPr>
          <w:spacing w:val="-30"/>
        </w:rPr>
        <w:t>。与此同时，在顺应性方面，</w:t>
      </w:r>
      <w:r>
        <w:rPr>
          <w:spacing w:val="-3"/>
        </w:rPr>
        <w:t>AveXis</w:t>
      </w:r>
      <w:r>
        <w:rPr>
          <w:spacing w:val="-7"/>
        </w:rPr>
        <w:t>也尝试了顺应性较差的鞘内给药，但给药频率仍然是一次性给药，这一点较常规的持续性给</w:t>
      </w:r>
      <w:r>
        <w:rPr/>
        <w:t>药更有优势。Cortellis</w:t>
      </w:r>
      <w:r>
        <w:rPr>
          <w:spacing w:val="-13"/>
        </w:rPr>
        <w:t> 团队预测</w:t>
      </w:r>
      <w:r>
        <w:rPr/>
        <w:t>，2019</w:t>
      </w:r>
      <w:r>
        <w:rPr>
          <w:spacing w:val="-12"/>
        </w:rPr>
        <w:t> 年下半年</w:t>
      </w:r>
      <w:r>
        <w:rPr/>
        <w:t>，AveXis</w:t>
      </w:r>
      <w:r>
        <w:rPr>
          <w:spacing w:val="-24"/>
        </w:rPr>
        <w:t> 将提交 </w:t>
      </w:r>
      <w:r>
        <w:rPr/>
        <w:t>Zolgensma</w:t>
      </w:r>
      <w:r>
        <w:rPr>
          <w:spacing w:val="-10"/>
        </w:rPr>
        <w:t> 用于治疗Ⅱ </w:t>
      </w:r>
      <w:r>
        <w:rPr>
          <w:spacing w:val="-21"/>
        </w:rPr>
        <w:t>型和Ⅲ型 </w:t>
      </w:r>
      <w:r>
        <w:rPr/>
        <w:t>SMA</w:t>
      </w:r>
      <w:r>
        <w:rPr>
          <w:spacing w:val="-9"/>
        </w:rPr>
        <w:t> 的上市申请。</w:t>
      </w:r>
    </w:p>
    <w:p>
      <w:pPr>
        <w:spacing w:after="0" w:line="297" w:lineRule="auto"/>
        <w:sectPr>
          <w:pgSz w:w="11910" w:h="16850"/>
          <w:pgMar w:header="906" w:footer="607" w:top="1100" w:bottom="800" w:left="860" w:right="900"/>
        </w:sectPr>
      </w:pPr>
    </w:p>
    <w:p>
      <w:pPr>
        <w:pStyle w:val="BodyText"/>
        <w:spacing w:line="295" w:lineRule="auto" w:before="65"/>
        <w:ind w:right="228"/>
        <w:jc w:val="both"/>
      </w:pPr>
      <w:r>
        <w:rPr>
          <w:spacing w:val="-31"/>
        </w:rPr>
        <w:t>除 </w:t>
      </w:r>
      <w:r>
        <w:rPr/>
        <w:t>Spinraza</w:t>
      </w:r>
      <w:r>
        <w:rPr>
          <w:spacing w:val="-12"/>
        </w:rPr>
        <w:t> 外，处于研发阶段并能在未来与 </w:t>
      </w:r>
      <w:r>
        <w:rPr/>
        <w:t>Zolgensma</w:t>
      </w:r>
      <w:r>
        <w:rPr>
          <w:spacing w:val="-8"/>
        </w:rPr>
        <w:t> 形成正面竞争的药物不多，其</w:t>
      </w:r>
      <w:r>
        <w:rPr>
          <w:spacing w:val="-13"/>
        </w:rPr>
        <w:t>中比较有潜力的是罗氏的 </w:t>
      </w:r>
      <w:r>
        <w:rPr/>
        <w:t>Risdiwam</w:t>
      </w:r>
      <w:r>
        <w:rPr>
          <w:spacing w:val="-23"/>
        </w:rPr>
        <w:t> 和诺华的 </w:t>
      </w:r>
      <w:r>
        <w:rPr>
          <w:spacing w:val="-3"/>
        </w:rPr>
        <w:t>Branaplam</w:t>
      </w:r>
      <w:r>
        <w:rPr>
          <w:spacing w:val="-2"/>
        </w:rPr>
        <w:t>，此外，</w:t>
      </w:r>
      <w:r>
        <w:rPr/>
        <w:t>Cytokinetics</w:t>
      </w:r>
      <w:r>
        <w:rPr>
          <w:spacing w:val="-44"/>
        </w:rPr>
        <w:t> 和 </w:t>
      </w:r>
      <w:r>
        <w:rPr/>
        <w:t>Astellas </w:t>
      </w:r>
      <w:r>
        <w:rPr>
          <w:spacing w:val="-11"/>
        </w:rPr>
        <w:t>联合开发的 </w:t>
      </w:r>
      <w:r>
        <w:rPr/>
        <w:t>Reldesemtiv</w:t>
      </w:r>
      <w:r>
        <w:rPr>
          <w:spacing w:val="-8"/>
        </w:rPr>
        <w:t> 也是该领域的重要竞争者。</w:t>
      </w:r>
    </w:p>
    <w:p>
      <w:pPr>
        <w:pStyle w:val="Heading3"/>
        <w:numPr>
          <w:ilvl w:val="0"/>
          <w:numId w:val="2"/>
        </w:numPr>
        <w:tabs>
          <w:tab w:pos="1141" w:val="left" w:leader="none"/>
        </w:tabs>
        <w:spacing w:line="240" w:lineRule="auto" w:before="5" w:after="0"/>
        <w:ind w:left="1140" w:right="0" w:hanging="244"/>
        <w:jc w:val="left"/>
      </w:pPr>
      <w:r>
        <w:rPr/>
        <w:t>慢性肾病贫血新药：Roxadustat</w:t>
      </w:r>
    </w:p>
    <w:p>
      <w:pPr>
        <w:pStyle w:val="BodyText"/>
        <w:spacing w:line="295" w:lineRule="auto" w:before="72"/>
        <w:ind w:right="125"/>
      </w:pPr>
      <w:r>
        <w:rPr>
          <w:spacing w:val="-7"/>
        </w:rPr>
        <w:t>在慢性肾病患者中，贫血为常见的并发症，且随着肾病的进展而逐步恶化，大多数慢性</w:t>
      </w:r>
      <w:r>
        <w:rPr>
          <w:spacing w:val="-9"/>
        </w:rPr>
        <w:t>肾病进展为肾功能衰竭的患者都伴有贫血。从全球发病人数来看，慢性肾病影响到 </w:t>
      </w:r>
      <w:r>
        <w:rPr/>
        <w:t>2</w:t>
      </w:r>
      <w:r>
        <w:rPr>
          <w:spacing w:val="-20"/>
        </w:rPr>
        <w:t> 亿人。</w:t>
      </w:r>
    </w:p>
    <w:p>
      <w:pPr>
        <w:pStyle w:val="BodyText"/>
        <w:spacing w:line="295" w:lineRule="auto" w:before="4"/>
        <w:ind w:right="229"/>
      </w:pPr>
      <w:r>
        <w:rPr/>
        <w:t>Roxadustat（罗沙司他</w:t>
      </w:r>
      <w:r>
        <w:rPr>
          <w:spacing w:val="-22"/>
        </w:rPr>
        <w:t>）</w:t>
      </w:r>
      <w:r>
        <w:rPr/>
        <w:t>是由阿斯利康、FibroGen、Astella</w:t>
      </w:r>
      <w:r>
        <w:rPr>
          <w:spacing w:val="-10"/>
        </w:rPr>
        <w:t> 三家公司联合开发的用于</w:t>
      </w:r>
      <w:r>
        <w:rPr/>
        <w:t>慢性肾病贫血的治疗药物，为缺氧诱导因子-脯氨酸羟化酶（HIF-PH）抑制剂的</w:t>
      </w:r>
    </w:p>
    <w:p>
      <w:pPr>
        <w:pStyle w:val="BodyText"/>
        <w:spacing w:line="297" w:lineRule="auto" w:before="2"/>
        <w:ind w:right="228" w:firstLine="0"/>
      </w:pPr>
      <w:r>
        <w:rPr/>
        <w:t>First-in-Class</w:t>
      </w:r>
      <w:r>
        <w:rPr>
          <w:spacing w:val="-9"/>
        </w:rPr>
        <w:t>。从作用机制来看，脯氨酸羟化酶是一种分解缺氧诱导因子的酶，后者参与</w:t>
      </w:r>
      <w:r>
        <w:rPr>
          <w:spacing w:val="-2"/>
        </w:rPr>
        <w:t>促红细胞生成素</w:t>
      </w:r>
      <w:r>
        <w:rPr>
          <w:spacing w:val="-3"/>
        </w:rPr>
        <w:t>（EPO）</w:t>
      </w:r>
      <w:r>
        <w:rPr>
          <w:spacing w:val="-2"/>
        </w:rPr>
        <w:t>和铁的生成。</w:t>
      </w:r>
      <w:r>
        <w:rPr/>
        <w:t>Roxadustat</w:t>
      </w:r>
      <w:r>
        <w:rPr>
          <w:spacing w:val="-10"/>
        </w:rPr>
        <w:t> 通过抑制脯氨酸羟化酶，保护缺氧诱导因</w:t>
      </w:r>
      <w:r>
        <w:rPr>
          <w:spacing w:val="-13"/>
        </w:rPr>
        <w:t>子，刺激 </w:t>
      </w:r>
      <w:r>
        <w:rPr/>
        <w:t>EPO</w:t>
      </w:r>
      <w:r>
        <w:rPr>
          <w:spacing w:val="-8"/>
        </w:rPr>
        <w:t> 和铁的生成，进而促进红细胞的产生。</w:t>
      </w:r>
      <w:r>
        <w:rPr/>
        <w:t>Cortellis</w:t>
      </w:r>
      <w:r>
        <w:rPr>
          <w:spacing w:val="-14"/>
        </w:rPr>
        <w:t> 团队预测，该药 </w:t>
      </w:r>
      <w:r>
        <w:rPr/>
        <w:t>2023</w:t>
      </w:r>
      <w:r>
        <w:rPr>
          <w:spacing w:val="-20"/>
        </w:rPr>
        <w:t> 年的</w:t>
      </w:r>
      <w:r>
        <w:rPr>
          <w:spacing w:val="-26"/>
        </w:rPr>
        <w:t>销售额将达到 </w:t>
      </w:r>
      <w:r>
        <w:rPr/>
        <w:t>19.7</w:t>
      </w:r>
      <w:r>
        <w:rPr>
          <w:spacing w:val="-12"/>
        </w:rPr>
        <w:t> 亿美元。</w:t>
      </w:r>
    </w:p>
    <w:p>
      <w:pPr>
        <w:pStyle w:val="BodyText"/>
        <w:spacing w:line="304" w:lineRule="exact"/>
        <w:ind w:left="897" w:firstLine="0"/>
        <w:jc w:val="both"/>
      </w:pPr>
      <w:r>
        <w:rPr/>
        <w:t>2018 年 12 月，该药在中国被批准用于治疗“肾透析依赖型慢性肾病贫血”，预计将于</w:t>
      </w:r>
    </w:p>
    <w:p>
      <w:pPr>
        <w:pStyle w:val="BodyText"/>
        <w:spacing w:line="295" w:lineRule="auto" w:before="72"/>
        <w:ind w:right="306" w:firstLine="0"/>
        <w:jc w:val="both"/>
      </w:pPr>
      <w:r>
        <w:rPr/>
        <w:t>2019</w:t>
      </w:r>
      <w:r>
        <w:rPr>
          <w:spacing w:val="-9"/>
        </w:rPr>
        <w:t> 年下半年上市。此外，该药用于“非肾透析依赖型慢性肾病贫血”的上市申请也已经</w:t>
      </w:r>
      <w:r>
        <w:rPr/>
        <w:t>递交到中国药品监管部门。</w:t>
      </w:r>
    </w:p>
    <w:p>
      <w:pPr>
        <w:pStyle w:val="BodyText"/>
        <w:spacing w:line="295" w:lineRule="auto" w:before="4"/>
        <w:ind w:right="245"/>
        <w:jc w:val="both"/>
      </w:pPr>
      <w:r>
        <w:rPr/>
        <w:t>市场竞争方面，GSK（葛兰素史克）、Akebia、三菱田边、大冢等公司均是该领域的参赛者，尤其是 GSK 的 Daprodustat 和 Akebia 的 Vadustat。</w:t>
      </w:r>
    </w:p>
    <w:p>
      <w:pPr>
        <w:pStyle w:val="BodyText"/>
        <w:spacing w:line="297" w:lineRule="auto" w:before="3"/>
        <w:ind w:right="226"/>
        <w:jc w:val="both"/>
      </w:pPr>
      <w:r>
        <w:rPr/>
        <w:t>2016</w:t>
      </w:r>
      <w:r>
        <w:rPr>
          <w:spacing w:val="-31"/>
        </w:rPr>
        <w:t> 年</w:t>
      </w:r>
      <w:r>
        <w:rPr/>
        <w:t>，GSK</w:t>
      </w:r>
      <w:r>
        <w:rPr>
          <w:spacing w:val="-8"/>
        </w:rPr>
        <w:t> 启动了不同类型的慢性肾病贫血的三期临床试验。</w:t>
      </w:r>
      <w:r>
        <w:rPr/>
        <w:t>2018</w:t>
      </w:r>
      <w:r>
        <w:rPr>
          <w:spacing w:val="-8"/>
        </w:rPr>
        <w:t> 年公布了阳性数据后，GSK</w:t>
      </w:r>
      <w:r>
        <w:rPr>
          <w:spacing w:val="-25"/>
        </w:rPr>
        <w:t> 计划于 </w:t>
      </w:r>
      <w:r>
        <w:rPr/>
        <w:t>2019</w:t>
      </w:r>
      <w:r>
        <w:rPr>
          <w:spacing w:val="-8"/>
        </w:rPr>
        <w:t> 年在日本递交上市申请。</w:t>
      </w:r>
      <w:r>
        <w:rPr/>
        <w:t>Cortellis</w:t>
      </w:r>
      <w:r>
        <w:rPr>
          <w:spacing w:val="-13"/>
        </w:rPr>
        <w:t> 团队预测，该药将于 </w:t>
      </w:r>
      <w:r>
        <w:rPr/>
        <w:t>2020</w:t>
      </w:r>
      <w:r>
        <w:rPr>
          <w:spacing w:val="-20"/>
        </w:rPr>
        <w:t> 年在</w:t>
      </w:r>
      <w:r>
        <w:rPr>
          <w:spacing w:val="-21"/>
        </w:rPr>
        <w:t>日本获批，获批成功率 </w:t>
      </w:r>
      <w:r>
        <w:rPr/>
        <w:t>90%</w:t>
      </w:r>
      <w:r>
        <w:rPr>
          <w:spacing w:val="-12"/>
        </w:rPr>
        <w:t>。在美国和欧洲，</w:t>
      </w:r>
      <w:r>
        <w:rPr>
          <w:spacing w:val="-7"/>
        </w:rPr>
        <w:t>Daprodustat</w:t>
      </w:r>
      <w:r>
        <w:rPr>
          <w:spacing w:val="-16"/>
        </w:rPr>
        <w:t> 目前处于三期临床试验，预计 </w:t>
      </w:r>
      <w:r>
        <w:rPr>
          <w:spacing w:val="-4"/>
        </w:rPr>
        <w:t>2020 </w:t>
      </w:r>
      <w:r>
        <w:rPr>
          <w:spacing w:val="-9"/>
        </w:rPr>
        <w:t>年完成。</w:t>
      </w:r>
      <w:r>
        <w:rPr/>
        <w:t>Cortellis</w:t>
      </w:r>
      <w:r>
        <w:rPr>
          <w:spacing w:val="-11"/>
        </w:rPr>
        <w:t> 团队预测，</w:t>
      </w:r>
      <w:r>
        <w:rPr>
          <w:spacing w:val="-3"/>
        </w:rPr>
        <w:t>Daprodustat</w:t>
      </w:r>
      <w:r>
        <w:rPr>
          <w:spacing w:val="-30"/>
        </w:rPr>
        <w:t> 将在 </w:t>
      </w:r>
      <w:r>
        <w:rPr/>
        <w:t>2021</w:t>
      </w:r>
      <w:r>
        <w:rPr>
          <w:spacing w:val="-12"/>
        </w:rPr>
        <w:t> 年获美国和欧盟批准，获批成功率均</w:t>
      </w:r>
      <w:r>
        <w:rPr>
          <w:spacing w:val="-30"/>
        </w:rPr>
        <w:t>为 </w:t>
      </w:r>
      <w:r>
        <w:rPr/>
        <w:t>86%</w:t>
      </w:r>
      <w:r>
        <w:rPr>
          <w:spacing w:val="-6"/>
        </w:rPr>
        <w:t>。市场方面，预计到 </w:t>
      </w:r>
      <w:r>
        <w:rPr/>
        <w:t>2023</w:t>
      </w:r>
      <w:r>
        <w:rPr>
          <w:spacing w:val="-30"/>
        </w:rPr>
        <w:t> 年</w:t>
      </w:r>
      <w:r>
        <w:rPr/>
        <w:t>，Daprodustat</w:t>
      </w:r>
      <w:r>
        <w:rPr>
          <w:spacing w:val="-14"/>
        </w:rPr>
        <w:t> 的销售额将突破 </w:t>
      </w:r>
      <w:r>
        <w:rPr/>
        <w:t>2.17</w:t>
      </w:r>
      <w:r>
        <w:rPr>
          <w:spacing w:val="-12"/>
        </w:rPr>
        <w:t> 亿美元。</w:t>
      </w:r>
    </w:p>
    <w:p>
      <w:pPr>
        <w:pStyle w:val="BodyText"/>
        <w:spacing w:line="297" w:lineRule="auto"/>
        <w:ind w:right="226"/>
      </w:pPr>
      <w:r>
        <w:rPr/>
        <w:t>Akebia</w:t>
      </w:r>
      <w:r>
        <w:rPr>
          <w:spacing w:val="-45"/>
        </w:rPr>
        <w:t> 的 </w:t>
      </w:r>
      <w:r>
        <w:rPr/>
        <w:t>Vadadustat</w:t>
      </w:r>
      <w:r>
        <w:rPr>
          <w:spacing w:val="-15"/>
        </w:rPr>
        <w:t> 在美国和欧盟分别于 </w:t>
      </w:r>
      <w:r>
        <w:rPr/>
        <w:t>2015</w:t>
      </w:r>
      <w:r>
        <w:rPr>
          <w:spacing w:val="-34"/>
        </w:rPr>
        <w:t> 年和 </w:t>
      </w:r>
      <w:r>
        <w:rPr/>
        <w:t>2016</w:t>
      </w:r>
      <w:r>
        <w:rPr>
          <w:spacing w:val="-9"/>
        </w:rPr>
        <w:t> 年进入了“非肾透析依赖型</w:t>
      </w:r>
      <w:r>
        <w:rPr>
          <w:spacing w:val="-11"/>
        </w:rPr>
        <w:t>慢性肾病贫血”和“肾透析依赖型慢性肾病贫血”的临床试验阶段，预计 </w:t>
      </w:r>
      <w:r>
        <w:rPr/>
        <w:t>2019</w:t>
      </w:r>
      <w:r>
        <w:rPr>
          <w:spacing w:val="-40"/>
        </w:rPr>
        <w:t> 年 </w:t>
      </w:r>
      <w:r>
        <w:rPr/>
        <w:t>Akebia 将在这些地区提交上市申请。Cortellis</w:t>
      </w:r>
      <w:r>
        <w:rPr>
          <w:spacing w:val="-13"/>
        </w:rPr>
        <w:t> 团队预测，该药将于 </w:t>
      </w:r>
      <w:r>
        <w:rPr/>
        <w:t>2021</w:t>
      </w:r>
      <w:r>
        <w:rPr>
          <w:spacing w:val="-8"/>
        </w:rPr>
        <w:t> 年在美国和欧盟获批， </w:t>
      </w:r>
      <w:r>
        <w:rPr>
          <w:spacing w:val="-16"/>
        </w:rPr>
        <w:t>获批成功率为 </w:t>
      </w:r>
      <w:r>
        <w:rPr/>
        <w:t>85%</w:t>
      </w:r>
      <w:r>
        <w:rPr>
          <w:spacing w:val="-13"/>
        </w:rPr>
        <w:t>。在日本，</w:t>
      </w:r>
      <w:r>
        <w:rPr>
          <w:spacing w:val="-5"/>
        </w:rPr>
        <w:t>Vadadustat</w:t>
      </w:r>
      <w:r>
        <w:rPr>
          <w:spacing w:val="-9"/>
        </w:rPr>
        <w:t> 对“非肾透析依赖型慢性肾病贫血”和“肾透析依</w:t>
      </w:r>
      <w:r>
        <w:rPr>
          <w:spacing w:val="-4"/>
        </w:rPr>
        <w:t>赖型慢性肾病贫血”的三期临床试验分别于 </w:t>
      </w:r>
      <w:r>
        <w:rPr/>
        <w:t>2017</w:t>
      </w:r>
      <w:r>
        <w:rPr>
          <w:spacing w:val="-30"/>
        </w:rPr>
        <w:t> 年和 </w:t>
      </w:r>
      <w:r>
        <w:rPr/>
        <w:t>2018</w:t>
      </w:r>
      <w:r>
        <w:rPr>
          <w:spacing w:val="-12"/>
        </w:rPr>
        <w:t> 年启动。</w:t>
      </w:r>
      <w:r>
        <w:rPr/>
        <w:t>Cortellis</w:t>
      </w:r>
      <w:r>
        <w:rPr>
          <w:spacing w:val="-12"/>
        </w:rPr>
        <w:t> 团队预计</w:t>
      </w:r>
    </w:p>
    <w:p>
      <w:pPr>
        <w:pStyle w:val="BodyText"/>
        <w:spacing w:line="259" w:lineRule="auto"/>
        <w:ind w:right="228" w:firstLine="0"/>
        <w:rPr>
          <w:rFonts w:ascii="Meiryo" w:eastAsia="Meiryo" w:hint="eastAsia"/>
          <w:b/>
        </w:rPr>
      </w:pPr>
      <w:r>
        <w:rPr/>
        <w:t>Vadadustat</w:t>
      </w:r>
      <w:r>
        <w:rPr>
          <w:spacing w:val="-33"/>
        </w:rPr>
        <w:t> 将于 </w:t>
      </w:r>
      <w:r>
        <w:rPr/>
        <w:t>2021</w:t>
      </w:r>
      <w:r>
        <w:rPr>
          <w:spacing w:val="-14"/>
        </w:rPr>
        <w:t> 年在日本获批，获批成功率为 </w:t>
      </w:r>
      <w:r>
        <w:rPr/>
        <w:t>86%</w:t>
      </w:r>
      <w:r>
        <w:rPr>
          <w:spacing w:val="-4"/>
        </w:rPr>
        <w:t>。市场方面，</w:t>
      </w:r>
      <w:r>
        <w:rPr/>
        <w:t>Vadadustat</w:t>
      </w:r>
      <w:r>
        <w:rPr>
          <w:spacing w:val="-17"/>
        </w:rPr>
        <w:t> 的销售额</w:t>
      </w:r>
      <w:r>
        <w:rPr>
          <w:spacing w:val="-16"/>
        </w:rPr>
        <w:t>预计在 </w:t>
      </w:r>
      <w:r>
        <w:rPr/>
        <w:t>2023</w:t>
      </w:r>
      <w:r>
        <w:rPr>
          <w:spacing w:val="-20"/>
        </w:rPr>
        <w:t> 年将达到 </w:t>
      </w:r>
      <w:r>
        <w:rPr/>
        <w:t>8.5</w:t>
      </w:r>
      <w:r>
        <w:rPr>
          <w:spacing w:val="-15"/>
        </w:rPr>
        <w:t> 亿美元</w:t>
      </w:r>
      <w:r>
        <w:rPr/>
        <w:t>（未完待续）。</w:t>
      </w:r>
      <w:r>
        <w:rPr>
          <w:rFonts w:ascii="Meiryo" w:eastAsia="Meiryo" w:hint="eastAsia"/>
          <w:b/>
          <w:color w:val="0033CC"/>
        </w:rPr>
        <w:t>[返回目次]</w:t>
      </w:r>
    </w:p>
    <w:p>
      <w:pPr>
        <w:pStyle w:val="Heading2"/>
        <w:spacing w:before="17"/>
      </w:pPr>
      <w:bookmarkStart w:name="_TOC_250042" w:id="10"/>
      <w:bookmarkEnd w:id="10"/>
      <w:r>
        <w:rPr/>
        <w:t>【数据公报】</w:t>
      </w:r>
    </w:p>
    <w:p>
      <w:pPr>
        <w:pStyle w:val="BodyText"/>
        <w:spacing w:before="8"/>
        <w:ind w:left="0" w:firstLine="0"/>
        <w:rPr>
          <w:b/>
          <w:sz w:val="18"/>
        </w:rPr>
      </w:pPr>
    </w:p>
    <w:p>
      <w:pPr>
        <w:spacing w:after="0"/>
        <w:rPr>
          <w:sz w:val="18"/>
        </w:rPr>
        <w:sectPr>
          <w:pgSz w:w="11910" w:h="16850"/>
          <w:pgMar w:header="906" w:footer="607" w:top="1100" w:bottom="800" w:left="860" w:right="900"/>
        </w:sectPr>
      </w:pPr>
    </w:p>
    <w:p>
      <w:pPr>
        <w:pStyle w:val="Heading2"/>
        <w:spacing w:before="55"/>
        <w:ind w:left="2872"/>
      </w:pPr>
      <w:bookmarkStart w:name="_TOC_250041" w:id="11"/>
      <w:r>
        <w:rPr>
          <w:spacing w:val="-29"/>
        </w:rPr>
        <w:t>全国 </w:t>
      </w:r>
      <w:r>
        <w:rPr/>
        <w:t>338</w:t>
      </w:r>
      <w:r>
        <w:rPr>
          <w:spacing w:val="-2"/>
        </w:rPr>
        <w:t> 个城市</w:t>
      </w:r>
      <w:r>
        <w:rPr/>
        <w:t>PM2.5</w:t>
      </w:r>
      <w:r>
        <w:rPr>
          <w:spacing w:val="-43"/>
        </w:rPr>
        <w:t> 下降 </w:t>
      </w:r>
      <w:bookmarkEnd w:id="11"/>
      <w:r>
        <w:rPr/>
        <w:t>9.3%</w:t>
      </w:r>
    </w:p>
    <w:p>
      <w:pPr>
        <w:pStyle w:val="BodyText"/>
        <w:ind w:left="0" w:firstLine="0"/>
        <w:rPr>
          <w:b/>
        </w:rPr>
      </w:pPr>
      <w:r>
        <w:rPr/>
        <w:br w:type="column"/>
      </w:r>
      <w:r>
        <w:rPr>
          <w:b/>
        </w:rPr>
      </w:r>
    </w:p>
    <w:p>
      <w:pPr>
        <w:pStyle w:val="BodyText"/>
        <w:spacing w:before="10"/>
        <w:ind w:left="0" w:firstLine="0"/>
        <w:rPr>
          <w:b/>
          <w:sz w:val="23"/>
        </w:rPr>
      </w:pPr>
    </w:p>
    <w:p>
      <w:pPr>
        <w:pStyle w:val="Heading3"/>
        <w:ind w:left="490"/>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458" w:space="40"/>
            <w:col w:w="2652"/>
          </w:cols>
        </w:sectPr>
      </w:pPr>
    </w:p>
    <w:p>
      <w:pPr>
        <w:pStyle w:val="BodyText"/>
        <w:spacing w:line="312" w:lineRule="auto" w:before="111"/>
        <w:ind w:right="232" w:firstLine="482"/>
        <w:jc w:val="right"/>
      </w:pPr>
      <w:r>
        <w:rPr>
          <w:spacing w:val="-7"/>
        </w:rPr>
        <w:t>生态环境部近日举行例行新闻发布会，发布由生态环境部、国家卫生健康委、国家发改</w:t>
      </w:r>
      <w:r>
        <w:rPr>
          <w:spacing w:val="-20"/>
        </w:rPr>
        <w:t>委等 </w:t>
      </w:r>
      <w:r>
        <w:rPr/>
        <w:t>12</w:t>
      </w:r>
      <w:r>
        <w:rPr>
          <w:spacing w:val="-11"/>
        </w:rPr>
        <w:t> 个部门共同编制的《中国生态环境状况公报 </w:t>
      </w:r>
      <w:r>
        <w:rPr/>
        <w:t>2018</w:t>
      </w:r>
      <w:r>
        <w:rPr>
          <w:spacing w:val="-6"/>
        </w:rPr>
        <w:t>》。《公报》涵盖了 </w:t>
      </w:r>
      <w:r>
        <w:rPr/>
        <w:t>2018</w:t>
      </w:r>
      <w:r>
        <w:rPr>
          <w:spacing w:val="-15"/>
        </w:rPr>
        <w:t> 年我国</w:t>
      </w:r>
    </w:p>
    <w:p>
      <w:pPr>
        <w:pStyle w:val="BodyText"/>
        <w:spacing w:line="307" w:lineRule="exact"/>
        <w:ind w:left="0" w:right="231" w:firstLine="0"/>
        <w:jc w:val="right"/>
      </w:pPr>
      <w:r>
        <w:rPr>
          <w:spacing w:val="-13"/>
        </w:rPr>
        <w:t>大气、淡水、海洋、土地等生态环境的状况。其中，全国 </w:t>
      </w:r>
      <w:r>
        <w:rPr/>
        <w:t>338</w:t>
      </w:r>
      <w:r>
        <w:rPr>
          <w:spacing w:val="-8"/>
        </w:rPr>
        <w:t> 个地级及以上城市空气质量平</w:t>
      </w:r>
    </w:p>
    <w:p>
      <w:pPr>
        <w:spacing w:after="0" w:line="307" w:lineRule="exact"/>
        <w:jc w:val="right"/>
        <w:sectPr>
          <w:type w:val="continuous"/>
          <w:pgSz w:w="11910" w:h="16850"/>
          <w:pgMar w:top="1100" w:bottom="1020" w:left="860" w:right="900"/>
        </w:sectPr>
      </w:pPr>
    </w:p>
    <w:p>
      <w:pPr>
        <w:pStyle w:val="BodyText"/>
        <w:spacing w:line="312" w:lineRule="auto" w:before="79"/>
        <w:ind w:right="227" w:firstLine="0"/>
        <w:jc w:val="both"/>
      </w:pPr>
      <w:r>
        <w:rPr>
          <w:spacing w:val="-5"/>
        </w:rPr>
        <w:t>均优良天数比例同比上升 </w:t>
      </w:r>
      <w:r>
        <w:rPr/>
        <w:t>1.3</w:t>
      </w:r>
      <w:r>
        <w:rPr>
          <w:spacing w:val="-12"/>
        </w:rPr>
        <w:t> 个百分点，</w:t>
      </w:r>
      <w:r>
        <w:rPr>
          <w:spacing w:val="-9"/>
        </w:rPr>
        <w:t>PM2.5</w:t>
      </w:r>
      <w:r>
        <w:rPr>
          <w:spacing w:val="-16"/>
        </w:rPr>
        <w:t> 浓度同比下降 </w:t>
      </w:r>
      <w:r>
        <w:rPr/>
        <w:t>9.3%</w:t>
      </w:r>
      <w:r>
        <w:rPr>
          <w:spacing w:val="-9"/>
        </w:rPr>
        <w:t>。这也是生态环境部成立</w:t>
      </w:r>
      <w:r>
        <w:rPr/>
        <w:t>后发布的首个生态环境状况公报。</w:t>
      </w:r>
    </w:p>
    <w:p>
      <w:pPr>
        <w:pStyle w:val="BodyText"/>
        <w:ind w:left="899" w:firstLine="0"/>
        <w:jc w:val="both"/>
      </w:pPr>
      <w:r>
        <w:rPr/>
        <w:t>《公报》显示，2018 年，京津冀及周边地区“2+26”城市平均优良天数比例同比上升</w:t>
      </w:r>
    </w:p>
    <w:p>
      <w:pPr>
        <w:pStyle w:val="BodyText"/>
        <w:spacing w:line="312" w:lineRule="auto" w:before="93"/>
        <w:ind w:right="108" w:firstLine="0"/>
        <w:jc w:val="both"/>
      </w:pPr>
      <w:r>
        <w:rPr/>
        <w:t>1.2</w:t>
      </w:r>
      <w:r>
        <w:rPr>
          <w:spacing w:val="-13"/>
        </w:rPr>
        <w:t> 个百分点；PM2.5</w:t>
      </w:r>
      <w:r>
        <w:rPr>
          <w:spacing w:val="-24"/>
        </w:rPr>
        <w:t> 浓度为 </w:t>
      </w:r>
      <w:r>
        <w:rPr/>
        <w:t>60</w:t>
      </w:r>
      <w:r>
        <w:rPr>
          <w:spacing w:val="-20"/>
        </w:rPr>
        <w:t> 微克</w:t>
      </w:r>
      <w:r>
        <w:rPr/>
        <w:t>/</w:t>
      </w:r>
      <w:r>
        <w:rPr>
          <w:spacing w:val="-17"/>
        </w:rPr>
        <w:t>立方米，同比下降 </w:t>
      </w:r>
      <w:r>
        <w:rPr>
          <w:spacing w:val="-13"/>
        </w:rPr>
        <w:t>11.8%</w:t>
      </w:r>
      <w:r>
        <w:rPr>
          <w:spacing w:val="-9"/>
        </w:rPr>
        <w:t>；北京优良天数比例为 </w:t>
      </w:r>
      <w:r>
        <w:rPr>
          <w:spacing w:val="-3"/>
        </w:rPr>
        <w:t>62.2%， </w:t>
      </w:r>
      <w:r>
        <w:rPr>
          <w:spacing w:val="-13"/>
        </w:rPr>
        <w:t>同比上升 </w:t>
      </w:r>
      <w:r>
        <w:rPr/>
        <w:t>0.3</w:t>
      </w:r>
      <w:r>
        <w:rPr>
          <w:spacing w:val="-12"/>
        </w:rPr>
        <w:t> 个百分点</w:t>
      </w:r>
      <w:r>
        <w:rPr/>
        <w:t>；PM2.5</w:t>
      </w:r>
      <w:r>
        <w:rPr>
          <w:spacing w:val="-24"/>
        </w:rPr>
        <w:t> 浓度为 </w:t>
      </w:r>
      <w:r>
        <w:rPr/>
        <w:t>51</w:t>
      </w:r>
      <w:r>
        <w:rPr>
          <w:spacing w:val="-20"/>
        </w:rPr>
        <w:t> 微克</w:t>
      </w:r>
      <w:r>
        <w:rPr/>
        <w:t>/</w:t>
      </w:r>
      <w:r>
        <w:rPr>
          <w:spacing w:val="-7"/>
        </w:rPr>
        <w:t>立方米，同比下降 </w:t>
      </w:r>
      <w:r>
        <w:rPr/>
        <w:t>12.1%。</w:t>
      </w:r>
    </w:p>
    <w:p>
      <w:pPr>
        <w:pStyle w:val="BodyText"/>
        <w:spacing w:line="312" w:lineRule="auto"/>
        <w:ind w:right="303" w:firstLine="482"/>
        <w:jc w:val="both"/>
      </w:pPr>
      <w:r>
        <w:rPr>
          <w:spacing w:val="-7"/>
        </w:rPr>
        <w:t>此外，长三角地区 </w:t>
      </w:r>
      <w:r>
        <w:rPr/>
        <w:t>41</w:t>
      </w:r>
      <w:r>
        <w:rPr>
          <w:spacing w:val="-12"/>
        </w:rPr>
        <w:t> 个城市平均优良天数同比上升 </w:t>
      </w:r>
      <w:r>
        <w:rPr/>
        <w:t>2.5</w:t>
      </w:r>
      <w:r>
        <w:rPr>
          <w:spacing w:val="-12"/>
        </w:rPr>
        <w:t> 个百分点</w:t>
      </w:r>
      <w:r>
        <w:rPr/>
        <w:t>，PM2.5</w:t>
      </w:r>
      <w:r>
        <w:rPr>
          <w:spacing w:val="-13"/>
        </w:rPr>
        <w:t> 浓度同比下</w:t>
      </w:r>
      <w:r>
        <w:rPr>
          <w:spacing w:val="-31"/>
        </w:rPr>
        <w:t>降 </w:t>
      </w:r>
      <w:r>
        <w:rPr/>
        <w:t>10.2</w:t>
      </w:r>
      <w:r>
        <w:rPr>
          <w:spacing w:val="-9"/>
        </w:rPr>
        <w:t>%；汾渭平原 </w:t>
      </w:r>
      <w:r>
        <w:rPr/>
        <w:t>11</w:t>
      </w:r>
      <w:r>
        <w:rPr>
          <w:spacing w:val="-12"/>
        </w:rPr>
        <w:t> 个城市平均优良天数同比上升 </w:t>
      </w:r>
      <w:r>
        <w:rPr/>
        <w:t>2.2</w:t>
      </w:r>
      <w:r>
        <w:rPr>
          <w:spacing w:val="-12"/>
        </w:rPr>
        <w:t> 个百分点</w:t>
      </w:r>
      <w:r>
        <w:rPr/>
        <w:t>，PM2.5</w:t>
      </w:r>
      <w:r>
        <w:rPr>
          <w:spacing w:val="-9"/>
        </w:rPr>
        <w:t> 浓度同比下降10.8%。</w:t>
      </w:r>
    </w:p>
    <w:p>
      <w:pPr>
        <w:pStyle w:val="BodyText"/>
        <w:spacing w:line="295" w:lineRule="auto" w:before="1"/>
        <w:ind w:right="123" w:firstLine="482"/>
        <w:rPr>
          <w:rFonts w:ascii="Meiryo" w:hAnsi="Meiryo" w:eastAsia="Meiryo" w:hint="eastAsia"/>
          <w:b/>
        </w:rPr>
      </w:pPr>
      <w:r>
        <w:rPr>
          <w:spacing w:val="-3"/>
        </w:rPr>
        <w:t>对于公众关心的饮用水状况，《公报》显示，全国 </w:t>
      </w:r>
      <w:r>
        <w:rPr/>
        <w:t>871</w:t>
      </w:r>
      <w:r>
        <w:rPr>
          <w:spacing w:val="-9"/>
        </w:rPr>
        <w:t> 个集中式生活饮用水水源地中， </w:t>
      </w:r>
      <w:r>
        <w:rPr>
          <w:spacing w:val="-7"/>
        </w:rPr>
        <w:t>达标水源地比例为 </w:t>
      </w:r>
      <w:r>
        <w:rPr/>
        <w:t>90.9%</w:t>
      </w:r>
      <w:r>
        <w:rPr>
          <w:spacing w:val="-19"/>
        </w:rPr>
        <w:t>。但另一方面，全国 </w:t>
      </w:r>
      <w:r>
        <w:rPr/>
        <w:t>2833</w:t>
      </w:r>
      <w:r>
        <w:rPr>
          <w:spacing w:val="-9"/>
        </w:rPr>
        <w:t> 处浅层地下水监测井水质总体较差，</w:t>
      </w:r>
      <w:r>
        <w:rPr>
          <w:spacing w:val="-19"/>
        </w:rPr>
        <w:t>Ⅰ～ </w:t>
      </w:r>
      <w:r>
        <w:rPr>
          <w:spacing w:val="-7"/>
        </w:rPr>
        <w:t>Ⅲ类水质监测井占 </w:t>
      </w:r>
      <w:r>
        <w:rPr/>
        <w:t>23.9%，Ⅳ</w:t>
      </w:r>
      <w:r>
        <w:rPr>
          <w:spacing w:val="-20"/>
        </w:rPr>
        <w:t>类占 </w:t>
      </w:r>
      <w:r>
        <w:rPr/>
        <w:t>29.2%，Ⅴ</w:t>
      </w:r>
      <w:r>
        <w:rPr>
          <w:spacing w:val="-20"/>
        </w:rPr>
        <w:t>类占 </w:t>
      </w:r>
      <w:r>
        <w:rPr/>
        <w:t>46.9%。</w:t>
      </w:r>
      <w:r>
        <w:rPr>
          <w:rFonts w:ascii="Meiryo" w:hAnsi="Meiryo" w:eastAsia="Meiryo" w:hint="eastAsia"/>
          <w:b/>
          <w:color w:val="0033CC"/>
        </w:rPr>
        <w:t>[返回目次]</w:t>
      </w:r>
    </w:p>
    <w:p>
      <w:pPr>
        <w:pStyle w:val="Heading1"/>
        <w:spacing w:line="604" w:lineRule="exact"/>
        <w:rPr>
          <w:u w:val="none"/>
        </w:rPr>
      </w:pPr>
      <w:bookmarkStart w:name="_TOC_250040" w:id="12"/>
      <w:r>
        <w:rPr>
          <w:rFonts w:ascii="Times New Roman" w:eastAsia="Times New Roman"/>
          <w:color w:val="008000"/>
          <w:spacing w:val="-110"/>
          <w:w w:val="99"/>
          <w:u w:val="thick" w:color="008000"/>
        </w:rPr>
        <w:t> </w:t>
      </w:r>
      <w:bookmarkEnd w:id="12"/>
      <w:r>
        <w:rPr>
          <w:color w:val="008000"/>
          <w:u w:val="thick" w:color="008000"/>
        </w:rPr>
        <w:t>医药前沿</w:t>
      </w:r>
    </w:p>
    <w:p>
      <w:pPr>
        <w:pStyle w:val="Heading2"/>
        <w:spacing w:before="142"/>
      </w:pPr>
      <w:bookmarkStart w:name="_TOC_250039" w:id="13"/>
      <w:bookmarkEnd w:id="13"/>
      <w:r>
        <w:rPr/>
        <w:t>【前沿速览】</w:t>
      </w:r>
    </w:p>
    <w:p>
      <w:pPr>
        <w:pStyle w:val="BodyText"/>
        <w:spacing w:before="8"/>
        <w:ind w:left="0" w:firstLine="0"/>
        <w:rPr>
          <w:b/>
          <w:sz w:val="18"/>
        </w:rPr>
      </w:pPr>
    </w:p>
    <w:p>
      <w:pPr>
        <w:spacing w:after="0"/>
        <w:rPr>
          <w:sz w:val="18"/>
        </w:rPr>
        <w:sectPr>
          <w:pgSz w:w="11910" w:h="16850"/>
          <w:pgMar w:header="906" w:footer="607" w:top="1100" w:bottom="800" w:left="860" w:right="900"/>
        </w:sectPr>
      </w:pPr>
    </w:p>
    <w:p>
      <w:pPr>
        <w:pStyle w:val="Heading2"/>
        <w:spacing w:before="55"/>
        <w:ind w:left="3077"/>
      </w:pPr>
      <w:bookmarkStart w:name="_TOC_250038" w:id="14"/>
      <w:r>
        <w:rPr>
          <w:spacing w:val="-12"/>
        </w:rPr>
        <w:t>新药有望延缓 </w:t>
      </w:r>
      <w:r>
        <w:rPr/>
        <w:t>1</w:t>
      </w:r>
      <w:bookmarkEnd w:id="14"/>
      <w:r>
        <w:rPr>
          <w:spacing w:val="-15"/>
        </w:rPr>
        <w:t> 型糖尿病发病</w:t>
      </w:r>
    </w:p>
    <w:p>
      <w:pPr>
        <w:pStyle w:val="BodyText"/>
        <w:ind w:left="0" w:firstLine="0"/>
        <w:rPr>
          <w:b/>
        </w:rPr>
      </w:pPr>
      <w:r>
        <w:rPr/>
        <w:br w:type="column"/>
      </w:r>
      <w:r>
        <w:rPr>
          <w:b/>
        </w:rPr>
      </w:r>
    </w:p>
    <w:p>
      <w:pPr>
        <w:pStyle w:val="BodyText"/>
        <w:spacing w:before="8"/>
        <w:ind w:left="0" w:firstLine="0"/>
        <w:rPr>
          <w:b/>
          <w:sz w:val="23"/>
        </w:rPr>
      </w:pPr>
    </w:p>
    <w:p>
      <w:pPr>
        <w:pStyle w:val="Heading3"/>
        <w:ind w:left="692"/>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100" w:bottom="1020" w:left="860" w:right="900"/>
          <w:cols w:num="2" w:equalWidth="0">
            <w:col w:w="7256" w:space="40"/>
            <w:col w:w="2854"/>
          </w:cols>
        </w:sectPr>
      </w:pPr>
    </w:p>
    <w:p>
      <w:pPr>
        <w:pStyle w:val="BodyText"/>
        <w:spacing w:line="297" w:lineRule="auto" w:before="96"/>
        <w:ind w:right="227"/>
      </w:pPr>
      <w:r>
        <w:rPr>
          <w:spacing w:val="-6"/>
        </w:rPr>
        <w:t>美国国家卫生研究院日前发布公报说，该机构资助的一项临床试验显示，一种实验性药</w:t>
      </w:r>
      <w:r>
        <w:rPr>
          <w:spacing w:val="-13"/>
        </w:rPr>
        <w:t>物可以使 </w:t>
      </w:r>
      <w:r>
        <w:rPr/>
        <w:t>1</w:t>
      </w:r>
      <w:r>
        <w:rPr>
          <w:spacing w:val="-11"/>
        </w:rPr>
        <w:t> 型糖尿病高危人群的发病年龄推迟约 </w:t>
      </w:r>
      <w:r>
        <w:rPr/>
        <w:t>2</w:t>
      </w:r>
      <w:r>
        <w:rPr>
          <w:spacing w:val="-20"/>
        </w:rPr>
        <w:t> 年。</w:t>
      </w:r>
    </w:p>
    <w:p>
      <w:pPr>
        <w:pStyle w:val="BodyText"/>
        <w:spacing w:line="295" w:lineRule="auto"/>
        <w:ind w:right="125"/>
      </w:pPr>
      <w:r>
        <w:rPr>
          <w:spacing w:val="-9"/>
        </w:rPr>
        <w:t>这种药物名为 </w:t>
      </w:r>
      <w:r>
        <w:rPr/>
        <w:t>teplizumab，临床试验由国际合作组织“1</w:t>
      </w:r>
      <w:r>
        <w:rPr>
          <w:spacing w:val="-8"/>
        </w:rPr>
        <w:t> 型糖尿病临床试验网络”开展</w:t>
      </w:r>
      <w:r>
        <w:rPr>
          <w:spacing w:val="-14"/>
        </w:rPr>
        <w:t>。研究人员招募了 </w:t>
      </w:r>
      <w:r>
        <w:rPr/>
        <w:t>76</w:t>
      </w:r>
      <w:r>
        <w:rPr>
          <w:spacing w:val="-12"/>
        </w:rPr>
        <w:t> 名受试者，他们的年龄在 </w:t>
      </w:r>
      <w:r>
        <w:rPr/>
        <w:t>8</w:t>
      </w:r>
      <w:r>
        <w:rPr>
          <w:spacing w:val="-30"/>
        </w:rPr>
        <w:t> 岁到 </w:t>
      </w:r>
      <w:r>
        <w:rPr/>
        <w:t>49</w:t>
      </w:r>
      <w:r>
        <w:rPr>
          <w:spacing w:val="-14"/>
        </w:rPr>
        <w:t> 岁间，都有亲属患 </w:t>
      </w:r>
      <w:r>
        <w:rPr/>
        <w:t>1</w:t>
      </w:r>
      <w:r>
        <w:rPr>
          <w:spacing w:val="-13"/>
        </w:rPr>
        <w:t> 型糖尿病，</w:t>
      </w:r>
    </w:p>
    <w:p>
      <w:pPr>
        <w:pStyle w:val="BodyText"/>
        <w:spacing w:before="2"/>
        <w:ind w:firstLine="0"/>
      </w:pPr>
      <w:r>
        <w:rPr>
          <w:spacing w:val="-5"/>
        </w:rPr>
        <w:t>且体检也显示出具有较高的 </w:t>
      </w:r>
      <w:r>
        <w:rPr/>
        <w:t>1</w:t>
      </w:r>
      <w:r>
        <w:rPr>
          <w:spacing w:val="-8"/>
        </w:rPr>
        <w:t> 型糖尿病患病风险。</w:t>
      </w:r>
    </w:p>
    <w:p>
      <w:pPr>
        <w:pStyle w:val="BodyText"/>
        <w:spacing w:line="297" w:lineRule="auto" w:before="72"/>
        <w:ind w:right="245"/>
        <w:jc w:val="both"/>
      </w:pPr>
      <w:r>
        <w:rPr>
          <w:spacing w:val="-4"/>
        </w:rPr>
        <w:t>受试者被随机分为两组，治疗组接受 </w:t>
      </w:r>
      <w:r>
        <w:rPr/>
        <w:t>14</w:t>
      </w:r>
      <w:r>
        <w:rPr>
          <w:spacing w:val="-9"/>
        </w:rPr>
        <w:t> 天的药物注射，对照组则注射安慰剂。结果发</w:t>
      </w:r>
      <w:r>
        <w:rPr>
          <w:spacing w:val="-6"/>
        </w:rPr>
        <w:t>现，试验期间，对照组 </w:t>
      </w:r>
      <w:r>
        <w:rPr/>
        <w:t>72%</w:t>
      </w:r>
      <w:r>
        <w:rPr>
          <w:spacing w:val="-12"/>
        </w:rPr>
        <w:t>的人患上 </w:t>
      </w:r>
      <w:r>
        <w:rPr/>
        <w:t>1</w:t>
      </w:r>
      <w:r>
        <w:rPr>
          <w:spacing w:val="-11"/>
        </w:rPr>
        <w:t> 型糖尿病，而这一比例在治疗组仅为 </w:t>
      </w:r>
      <w:r>
        <w:rPr/>
        <w:t>43%</w:t>
      </w:r>
      <w:r>
        <w:rPr>
          <w:spacing w:val="-4"/>
        </w:rPr>
        <w:t>。对照组被</w:t>
      </w:r>
      <w:r>
        <w:rPr>
          <w:spacing w:val="-5"/>
        </w:rPr>
        <w:t>确诊患病的时间中位数为 </w:t>
      </w:r>
      <w:r>
        <w:rPr/>
        <w:t>2</w:t>
      </w:r>
      <w:r>
        <w:rPr>
          <w:spacing w:val="-14"/>
        </w:rPr>
        <w:t> 年，治疗组则为 </w:t>
      </w:r>
      <w:r>
        <w:rPr/>
        <w:t>4</w:t>
      </w:r>
      <w:r>
        <w:rPr>
          <w:spacing w:val="-20"/>
        </w:rPr>
        <w:t> 年。</w:t>
      </w:r>
    </w:p>
    <w:p>
      <w:pPr>
        <w:pStyle w:val="BodyText"/>
        <w:spacing w:line="297" w:lineRule="auto"/>
        <w:ind w:right="226"/>
        <w:jc w:val="both"/>
      </w:pPr>
      <w:r>
        <w:rPr>
          <w:spacing w:val="-6"/>
        </w:rPr>
        <w:t>“这是我们首次看到 </w:t>
      </w:r>
      <w:r>
        <w:rPr/>
        <w:t>1</w:t>
      </w:r>
      <w:r>
        <w:rPr>
          <w:spacing w:val="-13"/>
        </w:rPr>
        <w:t> 型糖尿病可以通过早期预防性治疗而延缓发病的证据。”美国国</w:t>
      </w:r>
      <w:r>
        <w:rPr>
          <w:spacing w:val="-5"/>
        </w:rPr>
        <w:t>家卫生研究院国家糖尿病、消化系统疾病和肾病研究所项目研究人员莉萨</w:t>
      </w:r>
      <w:r>
        <w:rPr/>
        <w:t>·</w:t>
      </w:r>
      <w:r>
        <w:rPr>
          <w:spacing w:val="-11"/>
        </w:rPr>
        <w:t>斯佩恩说，“这</w:t>
      </w:r>
      <w:r>
        <w:rPr>
          <w:spacing w:val="-3"/>
        </w:rPr>
        <w:t>些结果特别是对那些有亲属患这种疾病的年轻人具有重要意义，因为这些人可能</w:t>
      </w:r>
      <w:r>
        <w:rPr/>
        <w:t>（患病</w:t>
      </w:r>
      <w:r>
        <w:rPr>
          <w:spacing w:val="-34"/>
        </w:rPr>
        <w:t>）</w:t>
      </w:r>
      <w:r>
        <w:rPr>
          <w:spacing w:val="-15"/>
        </w:rPr>
        <w:t>风</w:t>
      </w:r>
      <w:r>
        <w:rPr/>
        <w:t>险较高，且能够从早期筛查和治疗中获益。”</w:t>
      </w:r>
    </w:p>
    <w:p>
      <w:pPr>
        <w:pStyle w:val="BodyText"/>
        <w:spacing w:line="297" w:lineRule="auto"/>
        <w:ind w:right="246"/>
        <w:jc w:val="both"/>
      </w:pPr>
      <w:r>
        <w:rPr/>
        <w:t>1</w:t>
      </w:r>
      <w:r>
        <w:rPr>
          <w:spacing w:val="-8"/>
        </w:rPr>
        <w:t> 型糖尿病是一种自体免疫性疾病。目前</w:t>
      </w:r>
      <w:r>
        <w:rPr/>
        <w:t>，1</w:t>
      </w:r>
      <w:r>
        <w:rPr>
          <w:spacing w:val="-9"/>
        </w:rPr>
        <w:t> 型糖尿病尚无治愈方法，患者须终身依赖</w:t>
      </w:r>
      <w:r>
        <w:rPr/>
        <w:t>胰岛素治疗。</w:t>
      </w:r>
    </w:p>
    <w:p>
      <w:pPr>
        <w:pStyle w:val="BodyText"/>
        <w:spacing w:line="295" w:lineRule="auto"/>
        <w:ind w:right="246"/>
        <w:jc w:val="both"/>
      </w:pPr>
      <w:r>
        <w:rPr>
          <w:spacing w:val="-11"/>
        </w:rPr>
        <w:t>实验性药物 </w:t>
      </w:r>
      <w:r>
        <w:rPr/>
        <w:t>teplizumab</w:t>
      </w:r>
      <w:r>
        <w:rPr>
          <w:spacing w:val="-9"/>
        </w:rPr>
        <w:t> 主要通过抑制免疫系统破坏贝塔细胞来发挥作用。先前研究显</w:t>
      </w:r>
      <w:r>
        <w:rPr>
          <w:spacing w:val="-7"/>
        </w:rPr>
        <w:t>示，对于刚确诊的 </w:t>
      </w:r>
      <w:r>
        <w:rPr/>
        <w:t>1</w:t>
      </w:r>
      <w:r>
        <w:rPr>
          <w:spacing w:val="-8"/>
        </w:rPr>
        <w:t> 型糖尿病患者，这种药物可有效减缓贝塔细胞损失。</w:t>
      </w:r>
    </w:p>
    <w:p>
      <w:pPr>
        <w:pStyle w:val="BodyText"/>
        <w:spacing w:line="259" w:lineRule="auto"/>
        <w:ind w:right="229"/>
        <w:rPr>
          <w:rFonts w:ascii="Meiryo" w:eastAsia="Meiryo" w:hint="eastAsia"/>
          <w:b/>
        </w:rPr>
      </w:pPr>
      <w:r>
        <w:rPr>
          <w:spacing w:val="-10"/>
        </w:rPr>
        <w:t>不过，研究人员坦言，最新研究仍存在一定局限性，如受试者数量少等，还需更多研究</w:t>
      </w:r>
      <w:r>
        <w:rPr/>
        <w:t>来验证药物的有效性和安全性。相关成果已发表在美国《新英格兰医学杂志》上。</w:t>
      </w:r>
      <w:r>
        <w:rPr>
          <w:rFonts w:ascii="Meiryo" w:eastAsia="Meiryo" w:hint="eastAsia"/>
          <w:b/>
          <w:color w:val="0033CC"/>
        </w:rPr>
        <w:t>[返回目</w:t>
      </w:r>
    </w:p>
    <w:p>
      <w:pPr>
        <w:pStyle w:val="Heading3"/>
        <w:spacing w:line="343" w:lineRule="exact"/>
        <w:ind w:left="417"/>
        <w:rPr>
          <w:rFonts w:ascii="Meiryo" w:eastAsia="Meiryo" w:hint="eastAsia"/>
        </w:rPr>
      </w:pPr>
      <w:r>
        <w:rPr>
          <w:rFonts w:ascii="Meiryo" w:eastAsia="Meiryo" w:hint="eastAsia"/>
          <w:color w:val="0033CC"/>
        </w:rPr>
        <w:t>次]</w:t>
      </w:r>
    </w:p>
    <w:p>
      <w:pPr>
        <w:spacing w:after="0" w:line="343" w:lineRule="exact"/>
        <w:rPr>
          <w:rFonts w:ascii="Meiryo" w:eastAsia="Meiryo" w:hint="eastAsia"/>
        </w:rPr>
        <w:sectPr>
          <w:type w:val="continuous"/>
          <w:pgSz w:w="11910" w:h="16850"/>
          <w:pgMar w:top="1100" w:bottom="1020" w:left="860" w:right="900"/>
        </w:sectPr>
      </w:pPr>
    </w:p>
    <w:p>
      <w:pPr>
        <w:pStyle w:val="Heading2"/>
        <w:spacing w:line="395" w:lineRule="exact"/>
        <w:ind w:left="2915"/>
      </w:pPr>
      <w:bookmarkStart w:name="_TOC_250037" w:id="15"/>
      <w:bookmarkEnd w:id="15"/>
      <w:r>
        <w:rPr>
          <w:spacing w:val="-2"/>
        </w:rPr>
        <w:t>全球抗抑郁症用药研发进展概览</w:t>
      </w:r>
    </w:p>
    <w:p>
      <w:pPr>
        <w:pStyle w:val="BodyText"/>
        <w:ind w:left="0" w:firstLine="0"/>
        <w:rPr>
          <w:b/>
        </w:rPr>
      </w:pPr>
      <w:r>
        <w:rPr/>
        <w:br w:type="column"/>
      </w:r>
      <w:r>
        <w:rPr>
          <w:b/>
        </w:rPr>
      </w:r>
    </w:p>
    <w:p>
      <w:pPr>
        <w:pStyle w:val="BodyText"/>
        <w:spacing w:before="2"/>
        <w:ind w:left="0" w:firstLine="0"/>
        <w:rPr>
          <w:b/>
          <w:sz w:val="18"/>
        </w:rPr>
      </w:pPr>
    </w:p>
    <w:p>
      <w:pPr>
        <w:spacing w:before="0"/>
        <w:ind w:left="54" w:right="0" w:firstLine="0"/>
        <w:jc w:val="left"/>
        <w:rPr>
          <w:rFonts w:ascii="楷体" w:eastAsia="楷体" w:hint="eastAsia"/>
          <w:b/>
          <w:sz w:val="24"/>
        </w:rPr>
      </w:pPr>
      <w:r>
        <w:rPr>
          <w:rFonts w:ascii="楷体" w:eastAsia="楷体" w:hint="eastAsia"/>
          <w:b/>
          <w:color w:val="FF0000"/>
          <w:sz w:val="24"/>
        </w:rPr>
        <w:t>（来源：中国医药报）</w:t>
      </w:r>
    </w:p>
    <w:p>
      <w:pPr>
        <w:spacing w:after="0"/>
        <w:jc w:val="left"/>
        <w:rPr>
          <w:rFonts w:ascii="楷体" w:eastAsia="楷体" w:hint="eastAsia"/>
          <w:sz w:val="24"/>
        </w:rPr>
        <w:sectPr>
          <w:pgSz w:w="11910" w:h="16850"/>
          <w:pgMar w:header="906" w:footer="607" w:top="1100" w:bottom="800" w:left="860" w:right="900"/>
          <w:cols w:num="2" w:equalWidth="0">
            <w:col w:w="7412" w:space="40"/>
            <w:col w:w="2698"/>
          </w:cols>
        </w:sectPr>
      </w:pPr>
    </w:p>
    <w:p>
      <w:pPr>
        <w:pStyle w:val="BodyText"/>
        <w:spacing w:line="297" w:lineRule="auto" w:before="96"/>
        <w:ind w:right="228"/>
        <w:jc w:val="both"/>
      </w:pPr>
      <w:r>
        <w:rPr>
          <w:spacing w:val="-4"/>
        </w:rPr>
        <w:t>抑郁症作为全球第四大疾病，有 </w:t>
      </w:r>
      <w:r>
        <w:rPr/>
        <w:t>3.5</w:t>
      </w:r>
      <w:r>
        <w:rPr>
          <w:spacing w:val="-12"/>
        </w:rPr>
        <w:t> 亿患者饱受该病的折磨。据 </w:t>
      </w:r>
      <w:r>
        <w:rPr/>
        <w:t>IQIVA</w:t>
      </w:r>
      <w:r>
        <w:rPr>
          <w:spacing w:val="-20"/>
        </w:rPr>
        <w:t> 统计</w:t>
      </w:r>
      <w:r>
        <w:rPr/>
        <w:t>，2017</w:t>
      </w:r>
      <w:r>
        <w:rPr>
          <w:spacing w:val="-30"/>
        </w:rPr>
        <w:t> 年</w:t>
      </w:r>
      <w:r>
        <w:rPr>
          <w:spacing w:val="-32"/>
        </w:rPr>
        <w:t>美国和欧洲的抗抑郁药市场规模分别达到 </w:t>
      </w:r>
      <w:r>
        <w:rPr/>
        <w:t>56.2</w:t>
      </w:r>
      <w:r>
        <w:rPr>
          <w:spacing w:val="-20"/>
        </w:rPr>
        <w:t> 亿美元和 </w:t>
      </w:r>
      <w:r>
        <w:rPr/>
        <w:t>30</w:t>
      </w:r>
      <w:r>
        <w:rPr>
          <w:spacing w:val="-15"/>
        </w:rPr>
        <w:t> 亿美元。我国抗抑郁药市场方兴</w:t>
      </w:r>
      <w:r>
        <w:rPr>
          <w:spacing w:val="-11"/>
        </w:rPr>
        <w:t>未艾。相关数据显示，</w:t>
      </w:r>
      <w:r>
        <w:rPr>
          <w:spacing w:val="-9"/>
        </w:rPr>
        <w:t>2015～2017</w:t>
      </w:r>
      <w:r>
        <w:rPr>
          <w:spacing w:val="-19"/>
        </w:rPr>
        <w:t> 年，我国抗抑郁药市场以 </w:t>
      </w:r>
      <w:r>
        <w:rPr/>
        <w:t>12.9%</w:t>
      </w:r>
      <w:r>
        <w:rPr>
          <w:spacing w:val="-3"/>
        </w:rPr>
        <w:t>的年复合增长率上升，</w:t>
      </w:r>
      <w:r>
        <w:rPr>
          <w:spacing w:val="-21"/>
        </w:rPr>
        <w:t>2017 </w:t>
      </w:r>
      <w:r>
        <w:rPr>
          <w:spacing w:val="-8"/>
        </w:rPr>
        <w:t>年市场规模达到 </w:t>
      </w:r>
      <w:r>
        <w:rPr/>
        <w:t>46.4</w:t>
      </w:r>
      <w:r>
        <w:rPr>
          <w:spacing w:val="-15"/>
        </w:rPr>
        <w:t> 亿元。</w:t>
      </w:r>
    </w:p>
    <w:p>
      <w:pPr>
        <w:pStyle w:val="BodyText"/>
        <w:spacing w:line="295" w:lineRule="auto"/>
        <w:ind w:right="111"/>
      </w:pPr>
      <w:r>
        <w:rPr>
          <w:spacing w:val="-12"/>
        </w:rPr>
        <w:t>目前，全球至少有 </w:t>
      </w:r>
      <w:r>
        <w:rPr/>
        <w:t>68</w:t>
      </w:r>
      <w:r>
        <w:rPr>
          <w:spacing w:val="-13"/>
        </w:rPr>
        <w:t> 个抗抑郁症药物上市，其中最畅销的 </w:t>
      </w:r>
      <w:r>
        <w:rPr/>
        <w:t>8</w:t>
      </w:r>
      <w:r>
        <w:rPr>
          <w:spacing w:val="-12"/>
        </w:rPr>
        <w:t> 个为：氟西汀、帕罗西汀、</w:t>
      </w:r>
      <w:r>
        <w:rPr>
          <w:spacing w:val="-11"/>
        </w:rPr>
        <w:t>舍曲林、氟伏沙明、文拉法辛、米氮平、度洛西汀和阿米替林，总销售额超过全球抗抑郁药</w:t>
      </w:r>
      <w:r>
        <w:rPr>
          <w:spacing w:val="-24"/>
        </w:rPr>
        <w:t>市场的 </w:t>
      </w:r>
      <w:r>
        <w:rPr/>
        <w:t>80%。</w:t>
      </w:r>
    </w:p>
    <w:p>
      <w:pPr>
        <w:pStyle w:val="Heading3"/>
        <w:spacing w:before="2"/>
      </w:pPr>
      <w:r>
        <w:rPr/>
        <w:t>新药研发进展缓慢</w:t>
      </w:r>
    </w:p>
    <w:p>
      <w:pPr>
        <w:pStyle w:val="BodyText"/>
        <w:spacing w:line="297" w:lineRule="auto" w:before="72"/>
        <w:ind w:right="107"/>
      </w:pPr>
      <w:r>
        <w:rPr>
          <w:spacing w:val="-9"/>
        </w:rPr>
        <w:t>当前，由于重磅抗抑郁症药物的专利到期，全球抗抑郁症药物市场严重萎缩，造成新药</w:t>
      </w:r>
      <w:r>
        <w:rPr>
          <w:spacing w:val="-14"/>
        </w:rPr>
        <w:t>研发进展比较缓慢。究其原因主要有两点：一是受制于人类对自身神经系统和情绪调控系统</w:t>
      </w:r>
      <w:r>
        <w:rPr>
          <w:spacing w:val="-19"/>
        </w:rPr>
        <w:t>的了解不深入，新上市的药物在机制上没有突破性创新；二是现有药物对难治性抑郁症无效， </w:t>
      </w:r>
      <w:r>
        <w:rPr>
          <w:spacing w:val="-6"/>
        </w:rPr>
        <w:t>长期服用存在较大的副作用，从而提高了新药的审批门槛，促使该领域新药研发的投入和风险不断加大。</w:t>
      </w:r>
    </w:p>
    <w:p>
      <w:pPr>
        <w:pStyle w:val="BodyText"/>
        <w:spacing w:line="297" w:lineRule="auto"/>
        <w:ind w:right="109"/>
      </w:pPr>
      <w:r>
        <w:rPr>
          <w:spacing w:val="-8"/>
        </w:rPr>
        <w:t>现阶段，抗抑郁症药物研发方向以开发新的适应证和开拓新的作用靶点为主。其中，现</w:t>
      </w:r>
      <w:r>
        <w:rPr>
          <w:spacing w:val="-13"/>
        </w:rPr>
        <w:t>有抗抑郁症药物增加的适应证包括：强迫症和强迫谱系障碍、惊恐障碍及其他神经症与心因</w:t>
      </w:r>
      <w:r>
        <w:rPr>
          <w:spacing w:val="-14"/>
        </w:rPr>
        <w:t>性精神障碍，以及神经性厌食症与神经性贪食症等；而研发的新型抗抑郁药要求不良反应更</w:t>
      </w:r>
      <w:r>
        <w:rPr>
          <w:spacing w:val="-16"/>
        </w:rPr>
        <w:t>小，治疗效果更强，最理想的抗抑郁药是能够同时作用于 </w:t>
      </w:r>
      <w:r>
        <w:rPr/>
        <w:t>NE</w:t>
      </w:r>
      <w:r>
        <w:rPr>
          <w:spacing w:val="-75"/>
        </w:rPr>
        <w:t>、</w:t>
      </w:r>
      <w:r>
        <w:rPr/>
        <w:t>5-HT</w:t>
      </w:r>
      <w:r>
        <w:rPr>
          <w:spacing w:val="-40"/>
        </w:rPr>
        <w:t> 和 </w:t>
      </w:r>
      <w:r>
        <w:rPr/>
        <w:t>DA</w:t>
      </w:r>
      <w:r>
        <w:rPr>
          <w:spacing w:val="-9"/>
        </w:rPr>
        <w:t> 多个特定作用位点， </w:t>
      </w:r>
      <w:r>
        <w:rPr/>
        <w:t>抑制它们再摄取而发挥抗抑郁作用，但又不作用于引起不良反应的作用位点。</w:t>
      </w:r>
    </w:p>
    <w:p>
      <w:pPr>
        <w:pStyle w:val="Heading3"/>
        <w:spacing w:line="300" w:lineRule="exact"/>
      </w:pPr>
      <w:r>
        <w:rPr/>
        <w:t>近年上市的 6 种新药</w:t>
      </w:r>
    </w:p>
    <w:p>
      <w:pPr>
        <w:pStyle w:val="BodyText"/>
        <w:spacing w:line="295" w:lineRule="auto" w:before="68"/>
        <w:ind w:right="227"/>
      </w:pPr>
      <w:r>
        <w:rPr>
          <w:spacing w:val="-6"/>
        </w:rPr>
        <w:t>虽然研发抗抑郁症药物面临诸多困难，但仍有多家制药公司在不断努力，陆续有新产品</w:t>
      </w:r>
      <w:r>
        <w:rPr/>
        <w:t>获批上市。</w:t>
      </w:r>
    </w:p>
    <w:p>
      <w:pPr>
        <w:pStyle w:val="BodyText"/>
        <w:spacing w:line="297" w:lineRule="auto" w:before="2"/>
        <w:ind w:right="228"/>
        <w:jc w:val="both"/>
      </w:pPr>
      <w:r>
        <w:rPr>
          <w:spacing w:val="-7"/>
        </w:rPr>
        <w:t>别孕烯醇酮于今年 </w:t>
      </w:r>
      <w:r>
        <w:rPr/>
        <w:t>3</w:t>
      </w:r>
      <w:r>
        <w:rPr>
          <w:spacing w:val="-40"/>
        </w:rPr>
        <w:t> 月 </w:t>
      </w:r>
      <w:r>
        <w:rPr/>
        <w:t>19</w:t>
      </w:r>
      <w:r>
        <w:rPr>
          <w:spacing w:val="-20"/>
        </w:rPr>
        <w:t> 日获美国 </w:t>
      </w:r>
      <w:r>
        <w:rPr/>
        <w:t>FDA</w:t>
      </w:r>
      <w:r>
        <w:rPr>
          <w:spacing w:val="-14"/>
        </w:rPr>
        <w:t> 批准上市，商品名为 </w:t>
      </w:r>
      <w:r>
        <w:rPr>
          <w:spacing w:val="-3"/>
        </w:rPr>
        <w:t>Zulresso</w:t>
      </w:r>
      <w:r>
        <w:rPr>
          <w:spacing w:val="-4"/>
        </w:rPr>
        <w:t>，剂型为静脉注射剂。该药作为一种治疗癫痫和抑郁症的 </w:t>
      </w:r>
      <w:r>
        <w:rPr>
          <w:rFonts w:ascii="Arial" w:hAnsi="Arial" w:eastAsia="Arial"/>
        </w:rPr>
        <w:t>γ</w:t>
      </w:r>
      <w:r>
        <w:rPr>
          <w:rFonts w:ascii="Arial" w:hAnsi="Arial" w:eastAsia="Arial"/>
          <w:spacing w:val="52"/>
        </w:rPr>
        <w:t> </w:t>
      </w:r>
      <w:r>
        <w:rPr>
          <w:spacing w:val="-10"/>
        </w:rPr>
        <w:t>-氨基丁酸 </w:t>
      </w:r>
      <w:r>
        <w:rPr/>
        <w:t>A</w:t>
      </w:r>
      <w:r>
        <w:rPr>
          <w:spacing w:val="-13"/>
        </w:rPr>
        <w:t> 型受体调节剂，最初由 </w:t>
      </w:r>
      <w:r>
        <w:rPr/>
        <w:t>Ligand</w:t>
      </w:r>
      <w:r>
        <w:rPr>
          <w:spacing w:val="-30"/>
        </w:rPr>
        <w:t> 公</w:t>
      </w:r>
      <w:r>
        <w:rPr>
          <w:spacing w:val="-24"/>
        </w:rPr>
        <w:t>司研发，</w:t>
      </w:r>
      <w:r>
        <w:rPr>
          <w:spacing w:val="-3"/>
        </w:rPr>
        <w:t>2011</w:t>
      </w:r>
      <w:r>
        <w:rPr>
          <w:spacing w:val="-20"/>
        </w:rPr>
        <w:t> 年授权给 </w:t>
      </w:r>
      <w:r>
        <w:rPr/>
        <w:t>Sage Therapeutics</w:t>
      </w:r>
      <w:r>
        <w:rPr>
          <w:spacing w:val="-11"/>
        </w:rPr>
        <w:t> 公司，用于治疗产后抑郁症。别孕烯醇酮是第</w:t>
      </w:r>
      <w:r>
        <w:rPr>
          <w:spacing w:val="-16"/>
        </w:rPr>
        <w:t>一个获 </w:t>
      </w:r>
      <w:r>
        <w:rPr/>
        <w:t>FDA</w:t>
      </w:r>
      <w:r>
        <w:rPr>
          <w:spacing w:val="-8"/>
        </w:rPr>
        <w:t> 批准的产后抑郁症治疗药物。</w:t>
      </w:r>
    </w:p>
    <w:p>
      <w:pPr>
        <w:pStyle w:val="BodyText"/>
        <w:spacing w:line="297" w:lineRule="auto"/>
        <w:ind w:right="127"/>
      </w:pPr>
      <w:r>
        <w:rPr/>
        <w:t>艾氯胺酮作为一种非竞争性和亚型非选择性活动依赖性 N-甲基-D-天冬氨酸受体拮抗</w:t>
      </w:r>
      <w:r>
        <w:rPr>
          <w:spacing w:val="-1"/>
        </w:rPr>
        <w:t>剂，具有一种全新的独特作用机制，其作用原理与目前市面上其他治疗抑郁症的药物不同。</w:t>
      </w:r>
      <w:r>
        <w:rPr>
          <w:spacing w:val="-20"/>
        </w:rPr>
        <w:t>今年 </w:t>
      </w:r>
      <w:r>
        <w:rPr/>
        <w:t>3</w:t>
      </w:r>
      <w:r>
        <w:rPr>
          <w:spacing w:val="-41"/>
        </w:rPr>
        <w:t> 月 </w:t>
      </w:r>
      <w:r>
        <w:rPr/>
        <w:t>5</w:t>
      </w:r>
      <w:r>
        <w:rPr>
          <w:spacing w:val="-14"/>
        </w:rPr>
        <w:t> 日，艾氯胺酮获 </w:t>
      </w:r>
      <w:r>
        <w:rPr/>
        <w:t>FDA</w:t>
      </w:r>
      <w:r>
        <w:rPr>
          <w:spacing w:val="-13"/>
        </w:rPr>
        <w:t> 批准上市，商品名为 </w:t>
      </w:r>
      <w:r>
        <w:rPr/>
        <w:t>Spravato，剂型为鼻喷剂。此次批准</w:t>
      </w:r>
      <w:r>
        <w:rPr>
          <w:spacing w:val="-11"/>
        </w:rPr>
        <w:t>是基于一项 </w:t>
      </w:r>
      <w:r>
        <w:rPr/>
        <w:t>1700</w:t>
      </w:r>
      <w:r>
        <w:rPr>
          <w:spacing w:val="-14"/>
        </w:rPr>
        <w:t> 多例难治性抑郁症成人患者参与的三期临床试验的结果，使 </w:t>
      </w:r>
      <w:r>
        <w:rPr/>
        <w:t>Spravato</w:t>
      </w:r>
      <w:r>
        <w:rPr>
          <w:spacing w:val="-20"/>
        </w:rPr>
        <w:t> 成为</w:t>
      </w:r>
      <w:r>
        <w:rPr>
          <w:spacing w:val="-34"/>
        </w:rPr>
        <w:t>过去 </w:t>
      </w:r>
      <w:r>
        <w:rPr/>
        <w:t>30</w:t>
      </w:r>
      <w:r>
        <w:rPr>
          <w:spacing w:val="-8"/>
        </w:rPr>
        <w:t> 多年来首个具有新作用机制的抗抑郁症药物。但由于该药为氯胺酮的异构体，其是</w:t>
      </w:r>
      <w:r>
        <w:rPr>
          <w:spacing w:val="-14"/>
        </w:rPr>
        <w:t>在争议中获批的，有人持反对态度，担心艾氯胺酮是否会被滥用以及是否会出现意想不到的副作用。</w:t>
      </w:r>
    </w:p>
    <w:p>
      <w:pPr>
        <w:pStyle w:val="BodyText"/>
        <w:spacing w:line="297" w:lineRule="auto"/>
        <w:ind w:right="230"/>
        <w:jc w:val="both"/>
      </w:pPr>
      <w:r>
        <w:rPr>
          <w:spacing w:val="-11"/>
        </w:rPr>
        <w:t>布瑞哌唑于 </w:t>
      </w:r>
      <w:r>
        <w:rPr/>
        <w:t>2015</w:t>
      </w:r>
      <w:r>
        <w:rPr>
          <w:spacing w:val="-40"/>
        </w:rPr>
        <w:t> 年 </w:t>
      </w:r>
      <w:r>
        <w:rPr/>
        <w:t>7</w:t>
      </w:r>
      <w:r>
        <w:rPr>
          <w:spacing w:val="-30"/>
        </w:rPr>
        <w:t> 月获 </w:t>
      </w:r>
      <w:r>
        <w:rPr/>
        <w:t>FDA</w:t>
      </w:r>
      <w:r>
        <w:rPr>
          <w:spacing w:val="-12"/>
        </w:rPr>
        <w:t> 批准上市，是一种多巴胺 </w:t>
      </w:r>
      <w:r>
        <w:rPr/>
        <w:t>D2（DRD2）受体/5-HT1A</w:t>
      </w:r>
      <w:r>
        <w:rPr>
          <w:spacing w:val="-20"/>
        </w:rPr>
        <w:t> 受体</w:t>
      </w:r>
      <w:r>
        <w:rPr>
          <w:spacing w:val="-29"/>
        </w:rPr>
        <w:t>激动剂和 </w:t>
      </w:r>
      <w:r>
        <w:rPr/>
        <w:t>5-HT2A</w:t>
      </w:r>
      <w:r>
        <w:rPr>
          <w:spacing w:val="-8"/>
        </w:rPr>
        <w:t> 受体拮抗剂，由大冢制药和灵北制药联合开发，适用于治疗成人精神分裂</w:t>
      </w:r>
      <w:r>
        <w:rPr>
          <w:spacing w:val="-10"/>
        </w:rPr>
        <w:t>症，并且联合抗抑郁药辅助治疗成人重度抑郁症。据悉，重度抑郁症是一种复发性疾病，并</w:t>
      </w:r>
    </w:p>
    <w:p>
      <w:pPr>
        <w:spacing w:after="0" w:line="297" w:lineRule="auto"/>
        <w:jc w:val="both"/>
        <w:sectPr>
          <w:type w:val="continuous"/>
          <w:pgSz w:w="11910" w:h="16850"/>
          <w:pgMar w:top="1100" w:bottom="1020" w:left="860" w:right="900"/>
        </w:sectPr>
      </w:pPr>
    </w:p>
    <w:p>
      <w:pPr>
        <w:pStyle w:val="BodyText"/>
        <w:spacing w:line="295" w:lineRule="auto" w:before="65"/>
        <w:ind w:right="246" w:firstLine="0"/>
        <w:jc w:val="right"/>
      </w:pPr>
      <w:r>
        <w:rPr>
          <w:spacing w:val="-9"/>
        </w:rPr>
        <w:t>且致命，约有 </w:t>
      </w:r>
      <w:r>
        <w:rPr/>
        <w:t>15%</w:t>
      </w:r>
      <w:r>
        <w:rPr>
          <w:spacing w:val="-3"/>
        </w:rPr>
        <w:t>的患者选择自杀结束生命。据统计，美国目前约有 </w:t>
      </w:r>
      <w:r>
        <w:rPr/>
        <w:t>1600</w:t>
      </w:r>
      <w:r>
        <w:rPr>
          <w:spacing w:val="-8"/>
        </w:rPr>
        <w:t> 万例重度抑郁症</w:t>
      </w:r>
      <w:r>
        <w:rPr>
          <w:spacing w:val="-13"/>
        </w:rPr>
        <w:t>患者，每年发生自杀事件 </w:t>
      </w:r>
      <w:r>
        <w:rPr/>
        <w:t>4.1</w:t>
      </w:r>
      <w:r>
        <w:rPr>
          <w:spacing w:val="-8"/>
        </w:rPr>
        <w:t> 万余例，其中许多是因抑郁症未得到治疗或治疗不良所致。</w:t>
      </w:r>
      <w:r>
        <w:rPr>
          <w:spacing w:val="-17"/>
        </w:rPr>
        <w:t>沃替西汀于 </w:t>
      </w:r>
      <w:r>
        <w:rPr/>
        <w:t>2013</w:t>
      </w:r>
      <w:r>
        <w:rPr>
          <w:spacing w:val="-40"/>
        </w:rPr>
        <w:t> 年 </w:t>
      </w:r>
      <w:r>
        <w:rPr/>
        <w:t>9</w:t>
      </w:r>
      <w:r>
        <w:rPr>
          <w:spacing w:val="-30"/>
        </w:rPr>
        <w:t> 月获 </w:t>
      </w:r>
      <w:r>
        <w:rPr/>
        <w:t>FDA</w:t>
      </w:r>
      <w:r>
        <w:rPr>
          <w:spacing w:val="-8"/>
        </w:rPr>
        <w:t> 批准，由日本武田和灵北制药合作开发，用于重度抑郁</w:t>
      </w:r>
    </w:p>
    <w:p>
      <w:pPr>
        <w:pStyle w:val="BodyText"/>
        <w:spacing w:line="297" w:lineRule="auto" w:before="5"/>
        <w:ind w:right="227" w:firstLine="0"/>
      </w:pPr>
      <w:r>
        <w:rPr>
          <w:spacing w:val="-5"/>
        </w:rPr>
        <w:t>症成人患者的治疗。该药是一种 </w:t>
      </w:r>
      <w:r>
        <w:rPr/>
        <w:t>5-</w:t>
      </w:r>
      <w:r>
        <w:rPr>
          <w:spacing w:val="-4"/>
        </w:rPr>
        <w:t>羟色胺再摄取抑制剂，同时也是 </w:t>
      </w:r>
      <w:r>
        <w:rPr/>
        <w:t>5-HT1A</w:t>
      </w:r>
      <w:r>
        <w:rPr>
          <w:spacing w:val="-9"/>
        </w:rPr>
        <w:t> 受体激动剂、5-HT1B</w:t>
      </w:r>
      <w:r>
        <w:rPr>
          <w:spacing w:val="-14"/>
        </w:rPr>
        <w:t> 受体部分激动剂，以及 </w:t>
      </w:r>
      <w:r>
        <w:rPr/>
        <w:t>5-HT3</w:t>
      </w:r>
      <w:r>
        <w:rPr>
          <w:spacing w:val="-10"/>
        </w:rPr>
        <w:t>、</w:t>
      </w:r>
      <w:r>
        <w:rPr/>
        <w:t>5-HT1D</w:t>
      </w:r>
      <w:r>
        <w:rPr>
          <w:spacing w:val="-10"/>
        </w:rPr>
        <w:t>、</w:t>
      </w:r>
      <w:r>
        <w:rPr/>
        <w:t>5-HT7</w:t>
      </w:r>
      <w:r>
        <w:rPr>
          <w:spacing w:val="-10"/>
        </w:rPr>
        <w:t> 受体拮抗剂。沃替西汀被认为是第一</w:t>
      </w:r>
      <w:r>
        <w:rPr>
          <w:spacing w:val="-6"/>
        </w:rPr>
        <w:t>个和唯一一个与药效学活性相结合的化合物。该药适用于治疗重度抑郁症，是美国市场中增</w:t>
      </w:r>
      <w:r>
        <w:rPr/>
        <w:t>长最快的新型抗抑郁症药物。</w:t>
      </w:r>
    </w:p>
    <w:p>
      <w:pPr>
        <w:pStyle w:val="BodyText"/>
        <w:spacing w:line="297" w:lineRule="auto"/>
        <w:ind w:right="228"/>
        <w:jc w:val="both"/>
      </w:pPr>
      <w:r>
        <w:rPr>
          <w:spacing w:val="-8"/>
        </w:rPr>
        <w:t>左旋米那普仑于 </w:t>
      </w:r>
      <w:r>
        <w:rPr/>
        <w:t>2013</w:t>
      </w:r>
      <w:r>
        <w:rPr>
          <w:spacing w:val="-40"/>
        </w:rPr>
        <w:t> 年 </w:t>
      </w:r>
      <w:r>
        <w:rPr/>
        <w:t>7</w:t>
      </w:r>
      <w:r>
        <w:rPr>
          <w:spacing w:val="-30"/>
        </w:rPr>
        <w:t> 月获 </w:t>
      </w:r>
      <w:r>
        <w:rPr/>
        <w:t>FDA</w:t>
      </w:r>
      <w:r>
        <w:rPr>
          <w:spacing w:val="-13"/>
        </w:rPr>
        <w:t> 批准上市，是一种强效的、选择性的 </w:t>
      </w:r>
      <w:r>
        <w:rPr/>
        <w:t>5-</w:t>
      </w:r>
      <w:r>
        <w:rPr>
          <w:spacing w:val="-3"/>
        </w:rPr>
        <w:t>羟色胺和去</w:t>
      </w:r>
      <w:r>
        <w:rPr>
          <w:spacing w:val="-4"/>
        </w:rPr>
        <w:t>甲肾上腺素再摄取抑制剂，由森林制药</w:t>
      </w:r>
      <w:r>
        <w:rPr>
          <w:spacing w:val="-3"/>
        </w:rPr>
        <w:t>（Forest）</w:t>
      </w:r>
      <w:r>
        <w:rPr>
          <w:spacing w:val="-8"/>
        </w:rPr>
        <w:t>开发，剂型为口服缓释胶囊，用于治疗重</w:t>
      </w:r>
      <w:r>
        <w:rPr/>
        <w:t>度抑郁症。</w:t>
      </w:r>
    </w:p>
    <w:p>
      <w:pPr>
        <w:pStyle w:val="BodyText"/>
        <w:spacing w:line="297" w:lineRule="auto"/>
        <w:ind w:right="228"/>
        <w:jc w:val="both"/>
      </w:pPr>
      <w:r>
        <w:rPr>
          <w:spacing w:val="-8"/>
        </w:rPr>
        <w:t>盐酸维拉佐酮于 </w:t>
      </w:r>
      <w:r>
        <w:rPr/>
        <w:t>2011</w:t>
      </w:r>
      <w:r>
        <w:rPr>
          <w:spacing w:val="-40"/>
        </w:rPr>
        <w:t> 年 </w:t>
      </w:r>
      <w:r>
        <w:rPr/>
        <w:t>1</w:t>
      </w:r>
      <w:r>
        <w:rPr>
          <w:spacing w:val="-30"/>
        </w:rPr>
        <w:t> 月获 </w:t>
      </w:r>
      <w:r>
        <w:rPr/>
        <w:t>FDA</w:t>
      </w:r>
      <w:r>
        <w:rPr>
          <w:spacing w:val="-18"/>
        </w:rPr>
        <w:t> 批准上市，由美国 </w:t>
      </w:r>
      <w:r>
        <w:rPr/>
        <w:t>Trovis Pharmaceuticals</w:t>
      </w:r>
      <w:r>
        <w:rPr>
          <w:spacing w:val="1"/>
        </w:rPr>
        <w:t> </w:t>
      </w:r>
      <w:r>
        <w:rPr>
          <w:spacing w:val="-5"/>
        </w:rPr>
        <w:t>LLC </w:t>
      </w:r>
      <w:r>
        <w:rPr>
          <w:spacing w:val="-7"/>
        </w:rPr>
        <w:t>公司开发，用于治疗成人重度抑郁症，商品名为 </w:t>
      </w:r>
      <w:r>
        <w:rPr/>
        <w:t>Viibryd</w:t>
      </w:r>
      <w:r>
        <w:rPr>
          <w:spacing w:val="-5"/>
        </w:rPr>
        <w:t>。该药是第一个吲哚烷基胺类抗抑郁症药物，具有选择性的 </w:t>
      </w:r>
      <w:r>
        <w:rPr/>
        <w:t>5-</w:t>
      </w:r>
      <w:r>
        <w:rPr>
          <w:spacing w:val="-6"/>
        </w:rPr>
        <w:t>羟色胺再摄取抑制剂和 </w:t>
      </w:r>
      <w:r>
        <w:rPr/>
        <w:t>5-HT1A</w:t>
      </w:r>
      <w:r>
        <w:rPr>
          <w:spacing w:val="-8"/>
        </w:rPr>
        <w:t> 受体激动剂双重作用。</w:t>
      </w:r>
    </w:p>
    <w:p>
      <w:pPr>
        <w:pStyle w:val="Heading3"/>
        <w:spacing w:line="304" w:lineRule="exact"/>
      </w:pPr>
      <w:r>
        <w:rPr/>
        <w:t>处在新药申请/临床试验阶段的产品</w:t>
      </w:r>
    </w:p>
    <w:p>
      <w:pPr>
        <w:pStyle w:val="BodyText"/>
        <w:spacing w:line="297" w:lineRule="auto" w:before="63"/>
        <w:ind w:right="229"/>
      </w:pPr>
      <w:r>
        <w:rPr>
          <w:spacing w:val="-7"/>
        </w:rPr>
        <w:t>除了上述近年来获 </w:t>
      </w:r>
      <w:r>
        <w:rPr/>
        <w:t>FDA</w:t>
      </w:r>
      <w:r>
        <w:rPr>
          <w:spacing w:val="-15"/>
        </w:rPr>
        <w:t> 批准上市的抗抑郁症药物外，还有一部分产品正处在新药申请和</w:t>
      </w:r>
      <w:r>
        <w:rPr>
          <w:spacing w:val="-5"/>
        </w:rPr>
        <w:t>临床试验阶段。本文主要介绍 </w:t>
      </w:r>
      <w:r>
        <w:rPr/>
        <w:t>2</w:t>
      </w:r>
      <w:r>
        <w:rPr>
          <w:spacing w:val="-8"/>
        </w:rPr>
        <w:t> 个处在新药申请、</w:t>
      </w:r>
      <w:r>
        <w:rPr/>
        <w:t>6</w:t>
      </w:r>
      <w:r>
        <w:rPr>
          <w:spacing w:val="-8"/>
        </w:rPr>
        <w:t> 个处在临床试验阶段的产品。</w:t>
      </w:r>
    </w:p>
    <w:p>
      <w:pPr>
        <w:pStyle w:val="BodyText"/>
        <w:spacing w:line="297" w:lineRule="auto"/>
        <w:ind w:right="228"/>
      </w:pPr>
      <w:r>
        <w:rPr/>
        <w:t>Lumateperone（ITI-007）</w:t>
      </w:r>
      <w:r>
        <w:rPr>
          <w:spacing w:val="-9"/>
        </w:rPr>
        <w:t>是一种多巴胺 </w:t>
      </w:r>
      <w:r>
        <w:rPr/>
        <w:t>D2</w:t>
      </w:r>
      <w:r>
        <w:rPr>
          <w:spacing w:val="-16"/>
        </w:rPr>
        <w:t> 受体调节剂和 </w:t>
      </w:r>
      <w:r>
        <w:rPr/>
        <w:t>5-HT2A</w:t>
      </w:r>
      <w:r>
        <w:rPr>
          <w:spacing w:val="-8"/>
        </w:rPr>
        <w:t> 受体拮抗剂，用于治</w:t>
      </w:r>
      <w:r>
        <w:rPr>
          <w:spacing w:val="-9"/>
        </w:rPr>
        <w:t>疗精神分裂症、双相型抑郁症和行为紊乱。</w:t>
      </w:r>
      <w:r>
        <w:rPr/>
        <w:t>Lumateperone</w:t>
      </w:r>
      <w:r>
        <w:rPr>
          <w:spacing w:val="-14"/>
        </w:rPr>
        <w:t> 的作用机制新颖，其与 </w:t>
      </w:r>
      <w:r>
        <w:rPr/>
        <w:t>5-HT2A</w:t>
      </w:r>
      <w:r>
        <w:rPr>
          <w:spacing w:val="-37"/>
        </w:rPr>
        <w:t> 受</w:t>
      </w:r>
      <w:r>
        <w:rPr>
          <w:spacing w:val="-6"/>
        </w:rPr>
        <w:t>体的亲和力达到多巴胺 </w:t>
      </w:r>
      <w:r>
        <w:rPr/>
        <w:t>D2</w:t>
      </w:r>
      <w:r>
        <w:rPr>
          <w:spacing w:val="-16"/>
        </w:rPr>
        <w:t> 受体亲和力的 </w:t>
      </w:r>
      <w:r>
        <w:rPr/>
        <w:t>60</w:t>
      </w:r>
      <w:r>
        <w:rPr>
          <w:spacing w:val="-14"/>
        </w:rPr>
        <w:t> 倍，这一数字远远高于目前市面上几乎所有的非</w:t>
      </w:r>
      <w:r>
        <w:rPr/>
        <w:t>典型抗精神病药。有观点认为，这一机制可有效减少副作用。目前，Lumateperone</w:t>
      </w:r>
      <w:r>
        <w:rPr>
          <w:spacing w:val="-15"/>
        </w:rPr>
        <w:t> 已经在美国提交新药申请，用于治疗精神分裂症。此外，Lumateperone</w:t>
      </w:r>
      <w:r>
        <w:rPr>
          <w:spacing w:val="-8"/>
        </w:rPr>
        <w:t> 还在进行治疗精神分裂症及双相型抑郁症的三期临床试验和治疗阿尔茨海默病的二期临床试验。</w:t>
      </w:r>
    </w:p>
    <w:p>
      <w:pPr>
        <w:pStyle w:val="BodyText"/>
        <w:spacing w:line="297" w:lineRule="auto"/>
        <w:ind w:right="126"/>
        <w:jc w:val="both"/>
      </w:pPr>
      <w:r>
        <w:rPr/>
        <w:t>Samidorphan/Buprenorphine</w:t>
      </w:r>
      <w:r>
        <w:rPr>
          <w:spacing w:val="-11"/>
        </w:rPr>
        <w:t> 是一种新型的阿片类药物调节剂，它结合了 </w:t>
      </w:r>
      <w:r>
        <w:rPr>
          <w:rFonts w:ascii="Arial" w:hAnsi="Arial" w:eastAsia="Arial"/>
        </w:rPr>
        <w:t>μ </w:t>
      </w:r>
      <w:r>
        <w:rPr/>
        <w:t>-阿片受体拮抗剂和阿片受体部分激动剂来平衡难治性抑郁症患者的大脑功能。2017</w:t>
      </w:r>
      <w:r>
        <w:rPr>
          <w:spacing w:val="-30"/>
        </w:rPr>
        <w:t> 年</w:t>
      </w:r>
      <w:r>
        <w:rPr/>
        <w:t>，Alkermes</w:t>
      </w:r>
      <w:r>
        <w:rPr>
          <w:spacing w:val="-30"/>
        </w:rPr>
        <w:t> 公司在美国提交了新药申请。2018</w:t>
      </w:r>
      <w:r>
        <w:rPr>
          <w:spacing w:val="-40"/>
        </w:rPr>
        <w:t> 年 </w:t>
      </w:r>
      <w:r>
        <w:rPr/>
        <w:t>4</w:t>
      </w:r>
      <w:r>
        <w:rPr>
          <w:spacing w:val="-30"/>
        </w:rPr>
        <w:t> 月</w:t>
      </w:r>
      <w:r>
        <w:rPr/>
        <w:t>，FDA</w:t>
      </w:r>
      <w:r>
        <w:rPr>
          <w:spacing w:val="-9"/>
        </w:rPr>
        <w:t> 接受其用于辅助治疗重度抑郁症的新药申请。</w:t>
      </w:r>
    </w:p>
    <w:p>
      <w:pPr>
        <w:pStyle w:val="BodyText"/>
        <w:spacing w:line="295" w:lineRule="auto"/>
        <w:ind w:right="226"/>
        <w:jc w:val="both"/>
      </w:pPr>
      <w:r>
        <w:rPr>
          <w:spacing w:val="-13"/>
        </w:rPr>
        <w:t>据统计，目前共有 </w:t>
      </w:r>
      <w:r>
        <w:rPr/>
        <w:t>33</w:t>
      </w:r>
      <w:r>
        <w:rPr>
          <w:spacing w:val="-12"/>
        </w:rPr>
        <w:t> 个抗抑郁症相关项目处于三期临床试验阶段，其中仅 </w:t>
      </w:r>
      <w:r>
        <w:rPr/>
        <w:t>6</w:t>
      </w:r>
      <w:r>
        <w:rPr>
          <w:spacing w:val="-19"/>
        </w:rPr>
        <w:t> 个在研、</w:t>
      </w:r>
      <w:r>
        <w:rPr>
          <w:spacing w:val="-15"/>
        </w:rPr>
        <w:t>5 </w:t>
      </w:r>
      <w:r>
        <w:rPr/>
        <w:t>个无进展、22</w:t>
      </w:r>
      <w:r>
        <w:rPr>
          <w:spacing w:val="-10"/>
        </w:rPr>
        <w:t> 个已终止。</w:t>
      </w:r>
    </w:p>
    <w:p>
      <w:pPr>
        <w:pStyle w:val="BodyText"/>
        <w:spacing w:line="295" w:lineRule="auto"/>
        <w:ind w:right="226"/>
        <w:jc w:val="both"/>
      </w:pPr>
      <w:r>
        <w:rPr/>
        <w:t>鲁拉西酮/</w:t>
      </w:r>
      <w:r>
        <w:rPr>
          <w:spacing w:val="-9"/>
        </w:rPr>
        <w:t>环丝氨酸：由 </w:t>
      </w:r>
      <w:r>
        <w:rPr/>
        <w:t>NeuroRx</w:t>
      </w:r>
      <w:r>
        <w:rPr>
          <w:spacing w:val="-8"/>
        </w:rPr>
        <w:t> 公司开发的环丝氨酸</w:t>
      </w:r>
      <w:r>
        <w:rPr/>
        <w:t>（治疗肺结核）和鲁拉西酮（抗精神分裂症</w:t>
      </w:r>
      <w:r>
        <w:rPr>
          <w:spacing w:val="-10"/>
        </w:rPr>
        <w:t>）</w:t>
      </w:r>
      <w:r>
        <w:rPr>
          <w:spacing w:val="-5"/>
        </w:rPr>
        <w:t>组成的复方制剂，盐酸鲁拉西酮为中枢多巴胺 </w:t>
      </w:r>
      <w:r>
        <w:rPr>
          <w:spacing w:val="-3"/>
        </w:rPr>
        <w:t>D2（DRD2）</w:t>
      </w:r>
      <w:r>
        <w:rPr>
          <w:spacing w:val="-30"/>
        </w:rPr>
        <w:t>和 </w:t>
      </w:r>
      <w:r>
        <w:rPr/>
        <w:t>5-HT2A</w:t>
      </w:r>
      <w:r>
        <w:rPr>
          <w:spacing w:val="-16"/>
        </w:rPr>
        <w:t> 受体拮抗</w:t>
      </w:r>
      <w:r>
        <w:rPr/>
        <w:t>剂。目前正在进行治疗双相型抑郁症的三期临床试验。</w:t>
      </w:r>
    </w:p>
    <w:p>
      <w:pPr>
        <w:pStyle w:val="BodyText"/>
        <w:spacing w:line="297" w:lineRule="auto"/>
        <w:ind w:right="228"/>
      </w:pPr>
      <w:r>
        <w:rPr/>
        <w:t>Rapastinel（GLYX-13）：</w:t>
      </w:r>
      <w:r>
        <w:rPr>
          <w:spacing w:val="-20"/>
        </w:rPr>
        <w:t>一种 </w:t>
      </w:r>
      <w:r>
        <w:rPr/>
        <w:t>NMDA</w:t>
      </w:r>
      <w:r>
        <w:rPr>
          <w:spacing w:val="-8"/>
        </w:rPr>
        <w:t> 受体部分激动剂，拟用于治疗重度抑郁症，</w:t>
      </w:r>
      <w:r>
        <w:rPr/>
        <w:t>2014 </w:t>
      </w:r>
      <w:r>
        <w:rPr>
          <w:spacing w:val="-3"/>
        </w:rPr>
        <w:t>年在美国获得快速通道资格。</w:t>
      </w:r>
      <w:r>
        <w:rPr/>
        <w:t>2015</w:t>
      </w:r>
      <w:r>
        <w:rPr>
          <w:spacing w:val="-22"/>
        </w:rPr>
        <w:t> 年，</w:t>
      </w:r>
      <w:r>
        <w:rPr>
          <w:spacing w:val="-5"/>
        </w:rPr>
        <w:t>GLYX-13</w:t>
      </w:r>
      <w:r>
        <w:rPr>
          <w:spacing w:val="-11"/>
        </w:rPr>
        <w:t> 完成二期临床试验，得到了一些积极的实验</w:t>
      </w:r>
      <w:r>
        <w:rPr>
          <w:spacing w:val="-14"/>
        </w:rPr>
        <w:t>结果，获得 </w:t>
      </w:r>
      <w:r>
        <w:rPr/>
        <w:t>FDA</w:t>
      </w:r>
      <w:r>
        <w:rPr>
          <w:spacing w:val="-9"/>
        </w:rPr>
        <w:t> 突破性新药认定。目前，</w:t>
      </w:r>
      <w:r>
        <w:rPr/>
        <w:t>GLYX-13</w:t>
      </w:r>
      <w:r>
        <w:rPr>
          <w:spacing w:val="-11"/>
        </w:rPr>
        <w:t> 正在开展三期临床试验，作为难治性重度</w:t>
      </w:r>
      <w:r>
        <w:rPr>
          <w:spacing w:val="-8"/>
        </w:rPr>
        <w:t>抑郁症的辅助治疗。但今年 </w:t>
      </w:r>
      <w:r>
        <w:rPr/>
        <w:t>3</w:t>
      </w:r>
      <w:r>
        <w:rPr>
          <w:spacing w:val="-20"/>
        </w:rPr>
        <w:t> 月公开的 </w:t>
      </w:r>
      <w:r>
        <w:rPr/>
        <w:t>3</w:t>
      </w:r>
      <w:r>
        <w:rPr>
          <w:spacing w:val="-8"/>
        </w:rPr>
        <w:t> 项关键性三期临床研究结果显示，</w:t>
      </w:r>
      <w:r>
        <w:rPr>
          <w:spacing w:val="-3"/>
        </w:rPr>
        <w:t>GLYX-13</w:t>
      </w:r>
      <w:r>
        <w:rPr>
          <w:spacing w:val="-19"/>
        </w:rPr>
        <w:t> 治疗组</w:t>
      </w:r>
      <w:r>
        <w:rPr/>
        <w:t>与安慰剂组在主要终点和关键次要终点方面没有区别。</w:t>
      </w:r>
    </w:p>
    <w:p>
      <w:pPr>
        <w:pStyle w:val="BodyText"/>
        <w:spacing w:line="297" w:lineRule="auto"/>
        <w:ind w:right="246"/>
      </w:pPr>
      <w:r>
        <w:rPr/>
        <w:t>Olanzapine/Samidorphan：</w:t>
      </w:r>
      <w:r>
        <w:rPr>
          <w:spacing w:val="-20"/>
        </w:rPr>
        <w:t>一种 </w:t>
      </w:r>
      <w:r>
        <w:rPr>
          <w:rFonts w:ascii="Arial" w:hAnsi="Arial" w:eastAsia="Arial"/>
        </w:rPr>
        <w:t>μ </w:t>
      </w:r>
      <w:r>
        <w:rPr/>
        <w:t>-阿片受体拮抗剂和多巴胺受体/5-羟色胺受体拮抗剂（奥氮平）</w:t>
      </w:r>
      <w:r>
        <w:rPr>
          <w:spacing w:val="-8"/>
        </w:rPr>
        <w:t>组成的复方，由 </w:t>
      </w:r>
      <w:r>
        <w:rPr/>
        <w:t>Alkermes</w:t>
      </w:r>
      <w:r>
        <w:rPr>
          <w:spacing w:val="-9"/>
        </w:rPr>
        <w:t> 公司研发，处于三期临床试验阶段，用于治疗双相</w:t>
      </w:r>
    </w:p>
    <w:p>
      <w:pPr>
        <w:spacing w:after="0" w:line="297" w:lineRule="auto"/>
        <w:sectPr>
          <w:pgSz w:w="11910" w:h="16850"/>
          <w:pgMar w:header="906" w:footer="607" w:top="1100" w:bottom="800" w:left="860" w:right="900"/>
        </w:sectPr>
      </w:pPr>
    </w:p>
    <w:p>
      <w:pPr>
        <w:pStyle w:val="BodyText"/>
        <w:spacing w:line="295" w:lineRule="auto" w:before="65"/>
        <w:ind w:right="228" w:firstLine="0"/>
        <w:jc w:val="both"/>
      </w:pPr>
      <w:r>
        <w:rPr>
          <w:spacing w:val="-3"/>
        </w:rPr>
        <w:t>型抑郁症、精神分裂症等精神疾病。该化合物正在美国和欧洲进行临床试验研究，</w:t>
      </w:r>
      <w:r>
        <w:rPr>
          <w:spacing w:val="-2"/>
        </w:rPr>
        <w:t>Alkermes</w:t>
      </w:r>
      <w:r>
        <w:rPr>
          <w:spacing w:val="-6"/>
        </w:rPr>
        <w:t>公司计划于今年年中向 </w:t>
      </w:r>
      <w:r>
        <w:rPr/>
        <w:t>FDA</w:t>
      </w:r>
      <w:r>
        <w:rPr>
          <w:spacing w:val="-8"/>
        </w:rPr>
        <w:t> 提交新药申请。</w:t>
      </w:r>
    </w:p>
    <w:p>
      <w:pPr>
        <w:pStyle w:val="BodyText"/>
        <w:spacing w:line="297" w:lineRule="auto" w:before="2"/>
        <w:ind w:right="232"/>
        <w:jc w:val="both"/>
      </w:pPr>
      <w:r>
        <w:rPr/>
        <w:t>SAGE-217：</w:t>
      </w:r>
      <w:r>
        <w:rPr>
          <w:spacing w:val="-31"/>
        </w:rPr>
        <w:t>由 </w:t>
      </w:r>
      <w:r>
        <w:rPr/>
        <w:t>Sage  Therapeutics</w:t>
      </w:r>
      <w:r>
        <w:rPr>
          <w:spacing w:val="-8"/>
        </w:rPr>
        <w:t> 公司研发，目前处于治疗产后抑郁症和重度抑郁症</w:t>
      </w:r>
      <w:r>
        <w:rPr>
          <w:spacing w:val="-14"/>
        </w:rPr>
        <w:t>的三期临床试验，治疗双相型抑郁症、失眠症、特发性震颤和帕金森病的二期临床试验，治</w:t>
      </w:r>
      <w:r>
        <w:rPr/>
        <w:t>疗癫痫发作的一期临床试验和治疗运动障碍的临床前试验。2018</w:t>
      </w:r>
      <w:r>
        <w:rPr>
          <w:spacing w:val="-40"/>
        </w:rPr>
        <w:t> 年 </w:t>
      </w:r>
      <w:r>
        <w:rPr/>
        <w:t>2</w:t>
      </w:r>
      <w:r>
        <w:rPr>
          <w:spacing w:val="-20"/>
        </w:rPr>
        <w:t> 月，</w:t>
      </w:r>
    </w:p>
    <w:p>
      <w:pPr>
        <w:pStyle w:val="BodyText"/>
        <w:spacing w:line="304" w:lineRule="exact"/>
        <w:ind w:firstLine="0"/>
        <w:jc w:val="both"/>
      </w:pPr>
      <w:r>
        <w:rPr/>
        <w:t>Sage Therapeutics 公司宣布 FDA 授予该药突破性疗法认证，用于治疗重度抑郁症。</w:t>
      </w:r>
    </w:p>
    <w:p>
      <w:pPr>
        <w:pStyle w:val="BodyText"/>
        <w:spacing w:line="295" w:lineRule="auto" w:before="74"/>
        <w:ind w:right="229"/>
        <w:jc w:val="both"/>
      </w:pPr>
      <w:r>
        <w:rPr>
          <w:spacing w:val="-7"/>
        </w:rPr>
        <w:t>盐酸安舒法辛：一种潜在的治疗抑郁症的 </w:t>
      </w:r>
      <w:r>
        <w:rPr/>
        <w:t>5-</w:t>
      </w:r>
      <w:r>
        <w:rPr>
          <w:spacing w:val="-3"/>
        </w:rPr>
        <w:t>羟色胺-去甲肾上腺素再摄取抑制剂，绿叶</w:t>
      </w:r>
      <w:r>
        <w:rPr/>
        <w:t>制药集团有限公司原研。2015</w:t>
      </w:r>
      <w:r>
        <w:rPr>
          <w:spacing w:val="-10"/>
        </w:rPr>
        <w:t> 年获批临床</w:t>
      </w:r>
      <w:r>
        <w:rPr/>
        <w:t>；2018</w:t>
      </w:r>
      <w:r>
        <w:rPr>
          <w:spacing w:val="-40"/>
        </w:rPr>
        <w:t> 年 </w:t>
      </w:r>
      <w:r>
        <w:rPr/>
        <w:t>6</w:t>
      </w:r>
      <w:r>
        <w:rPr>
          <w:spacing w:val="-8"/>
        </w:rPr>
        <w:t> 月，绿叶制药启动盐酸安舒法辛的三</w:t>
      </w:r>
      <w:r>
        <w:rPr>
          <w:spacing w:val="12"/>
        </w:rPr>
        <w:t>期临床 试验。</w:t>
      </w:r>
    </w:p>
    <w:p>
      <w:pPr>
        <w:pStyle w:val="BodyText"/>
        <w:spacing w:line="295" w:lineRule="auto" w:before="6"/>
        <w:ind w:right="245"/>
        <w:jc w:val="both"/>
      </w:pPr>
      <w:r>
        <w:rPr/>
        <w:t>安非他酮/</w:t>
      </w:r>
      <w:r>
        <w:rPr>
          <w:spacing w:val="-1"/>
        </w:rPr>
        <w:t>右美沙芬：目前处于治疗抑郁症的三期临床试验、治疗阿尔茨海默病患者情</w:t>
      </w:r>
      <w:r>
        <w:rPr/>
        <w:t>绪激动的二/三期临床试验阶段，以及用于戒烟治疗的二期临床试验。2017</w:t>
      </w:r>
      <w:r>
        <w:rPr>
          <w:spacing w:val="-30"/>
        </w:rPr>
        <w:t> 年</w:t>
      </w:r>
      <w:r>
        <w:rPr/>
        <w:t>，FDA</w:t>
      </w:r>
      <w:r>
        <w:rPr>
          <w:spacing w:val="-19"/>
        </w:rPr>
        <w:t> 将安非</w:t>
      </w:r>
      <w:r>
        <w:rPr/>
        <w:t>他酮/右美沙芬治疗抑郁症和阿尔茨海默病患者情绪激动的申请列入快速审批名单。</w:t>
      </w:r>
    </w:p>
    <w:p>
      <w:pPr>
        <w:pStyle w:val="BodyText"/>
        <w:spacing w:line="259" w:lineRule="auto" w:before="5"/>
        <w:ind w:right="227"/>
        <w:rPr>
          <w:rFonts w:ascii="Meiryo" w:eastAsia="Meiryo" w:hint="eastAsia"/>
          <w:b/>
        </w:rPr>
      </w:pPr>
      <w:r>
        <w:rPr>
          <w:spacing w:val="-12"/>
        </w:rPr>
        <w:t>综上，抑郁症治疗领域具有很大的潜力，但近年来抗抑郁症药物研发总体缺乏突破性创</w:t>
      </w:r>
      <w:r>
        <w:rPr/>
        <w:t>新。</w:t>
      </w:r>
      <w:r>
        <w:rPr>
          <w:rFonts w:ascii="Meiryo" w:eastAsia="Meiryo" w:hint="eastAsia"/>
          <w:b/>
          <w:color w:val="0033CC"/>
        </w:rPr>
        <w:t>[返回目次]</w:t>
      </w:r>
    </w:p>
    <w:p>
      <w:pPr>
        <w:pStyle w:val="Heading2"/>
        <w:spacing w:before="28"/>
      </w:pPr>
      <w:bookmarkStart w:name="_TOC_250036" w:id="16"/>
      <w:bookmarkEnd w:id="16"/>
      <w:r>
        <w:rPr/>
        <w:t>【研究进展】</w:t>
      </w:r>
    </w:p>
    <w:p>
      <w:pPr>
        <w:pStyle w:val="BodyText"/>
        <w:spacing w:before="9"/>
        <w:ind w:left="0" w:firstLine="0"/>
        <w:rPr>
          <w:b/>
          <w:sz w:val="18"/>
        </w:rPr>
      </w:pPr>
    </w:p>
    <w:p>
      <w:pPr>
        <w:spacing w:after="0"/>
        <w:rPr>
          <w:sz w:val="18"/>
        </w:rPr>
        <w:sectPr>
          <w:pgSz w:w="11910" w:h="16850"/>
          <w:pgMar w:header="906" w:footer="607" w:top="1100" w:bottom="800" w:left="860" w:right="900"/>
        </w:sectPr>
      </w:pPr>
    </w:p>
    <w:p>
      <w:pPr>
        <w:pStyle w:val="Heading2"/>
        <w:spacing w:before="54"/>
        <w:ind w:left="3117"/>
      </w:pPr>
      <w:bookmarkStart w:name="_TOC_250035" w:id="17"/>
      <w:r>
        <w:rPr/>
        <w:t>p53</w:t>
      </w:r>
      <w:bookmarkEnd w:id="17"/>
      <w:r>
        <w:rPr>
          <w:spacing w:val="-11"/>
        </w:rPr>
        <w:t> 靶向药物将进入临床试验</w:t>
      </w:r>
    </w:p>
    <w:p>
      <w:pPr>
        <w:pStyle w:val="BodyText"/>
        <w:ind w:left="0" w:firstLine="0"/>
        <w:rPr>
          <w:b/>
        </w:rPr>
      </w:pPr>
      <w:r>
        <w:rPr/>
        <w:br w:type="column"/>
      </w:r>
      <w:r>
        <w:rPr>
          <w:b/>
        </w:rPr>
      </w:r>
    </w:p>
    <w:p>
      <w:pPr>
        <w:pStyle w:val="BodyText"/>
        <w:spacing w:before="10"/>
        <w:ind w:left="0" w:firstLine="0"/>
        <w:rPr>
          <w:b/>
          <w:sz w:val="23"/>
        </w:rPr>
      </w:pPr>
    </w:p>
    <w:p>
      <w:pPr>
        <w:pStyle w:val="Heading3"/>
        <w:ind w:left="734"/>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14" w:space="40"/>
            <w:col w:w="2896"/>
          </w:cols>
        </w:sectPr>
      </w:pPr>
    </w:p>
    <w:p>
      <w:pPr>
        <w:pStyle w:val="BodyText"/>
        <w:spacing w:line="297" w:lineRule="auto" w:before="96"/>
        <w:ind w:right="485"/>
      </w:pPr>
      <w:r>
        <w:rPr/>
        <w:t>近日，上海交通大学医学院附属瑞金医院与安徽安科生物工程股份有限公司举行了PANDA</w:t>
      </w:r>
      <w:r>
        <w:rPr>
          <w:spacing w:val="-8"/>
        </w:rPr>
        <w:t> 项目科研转化签约仪式。这标志着由瑞金医院卢敏研究员带领的</w:t>
      </w:r>
      <w:r>
        <w:rPr/>
        <w:t>“p53</w:t>
      </w:r>
      <w:r>
        <w:rPr>
          <w:spacing w:val="-13"/>
        </w:rPr>
        <w:t> 转化医学团</w:t>
      </w:r>
      <w:r>
        <w:rPr>
          <w:spacing w:val="-5"/>
        </w:rPr>
        <w:t>队”潜心研发的抑癌蛋白 </w:t>
      </w:r>
      <w:r>
        <w:rPr/>
        <w:t>p53</w:t>
      </w:r>
      <w:r>
        <w:rPr>
          <w:spacing w:val="-20"/>
        </w:rPr>
        <w:t> 靶向药物 </w:t>
      </w:r>
      <w:r>
        <w:rPr/>
        <w:t>PANDA</w:t>
      </w:r>
      <w:r>
        <w:rPr>
          <w:spacing w:val="-8"/>
        </w:rPr>
        <w:t> 将进入产品开发和临床试验阶段。</w:t>
      </w:r>
    </w:p>
    <w:p>
      <w:pPr>
        <w:pStyle w:val="BodyText"/>
        <w:spacing w:line="278" w:lineRule="auto"/>
        <w:ind w:right="228"/>
        <w:rPr>
          <w:rFonts w:ascii="Meiryo" w:eastAsia="Meiryo" w:hint="eastAsia"/>
          <w:b/>
        </w:rPr>
      </w:pPr>
      <w:r>
        <w:rPr/>
        <w:t>p53</w:t>
      </w:r>
      <w:r>
        <w:rPr>
          <w:spacing w:val="-12"/>
        </w:rPr>
        <w:t> 基因是重要抑癌基因，卢敏 </w:t>
      </w:r>
      <w:r>
        <w:rPr/>
        <w:t>2015</w:t>
      </w:r>
      <w:r>
        <w:rPr>
          <w:spacing w:val="-18"/>
        </w:rPr>
        <w:t> 年年初创建 </w:t>
      </w:r>
      <w:r>
        <w:rPr/>
        <w:t>p53</w:t>
      </w:r>
      <w:r>
        <w:rPr>
          <w:spacing w:val="-8"/>
        </w:rPr>
        <w:t> 基础研究转化医学团队，筛选获</w:t>
      </w:r>
      <w:r>
        <w:rPr>
          <w:spacing w:val="-19"/>
        </w:rPr>
        <w:t>得高效的 </w:t>
      </w:r>
      <w:r>
        <w:rPr/>
        <w:t>p53</w:t>
      </w:r>
      <w:r>
        <w:rPr>
          <w:spacing w:val="-14"/>
        </w:rPr>
        <w:t> 靶向小分子化合物 </w:t>
      </w:r>
      <w:r>
        <w:rPr>
          <w:spacing w:val="-8"/>
        </w:rPr>
        <w:t>PANDA</w:t>
      </w:r>
      <w:r>
        <w:rPr>
          <w:spacing w:val="-6"/>
        </w:rPr>
        <w:t>，相比于全球十几个竞争团队研发只能恢复 </w:t>
      </w:r>
      <w:r>
        <w:rPr/>
        <w:t>p53</w:t>
      </w:r>
      <w:r>
        <w:rPr>
          <w:spacing w:val="-25"/>
        </w:rPr>
        <w:t> 小于</w:t>
      </w:r>
      <w:r>
        <w:rPr/>
        <w:t>5%活性的各个复活剂，PANDA</w:t>
      </w:r>
      <w:r>
        <w:rPr>
          <w:spacing w:val="-16"/>
        </w:rPr>
        <w:t> 可以恢复大于 </w:t>
      </w:r>
      <w:r>
        <w:rPr/>
        <w:t>80%的活性。</w:t>
      </w:r>
      <w:r>
        <w:rPr>
          <w:rFonts w:ascii="Meiryo" w:eastAsia="Meiryo" w:hint="eastAsia"/>
          <w:b/>
          <w:color w:val="0033CC"/>
        </w:rPr>
        <w:t>[返回目次]</w:t>
      </w:r>
    </w:p>
    <w:p>
      <w:pPr>
        <w:spacing w:after="0" w:line="278" w:lineRule="auto"/>
        <w:rPr>
          <w:rFonts w:ascii="Meiryo" w:eastAsia="Meiryo" w:hint="eastAsia"/>
        </w:rPr>
        <w:sectPr>
          <w:type w:val="continuous"/>
          <w:pgSz w:w="11910" w:h="16850"/>
          <w:pgMar w:top="1100" w:bottom="1020" w:left="860" w:right="900"/>
        </w:sectPr>
      </w:pPr>
    </w:p>
    <w:p>
      <w:pPr>
        <w:pStyle w:val="Heading2"/>
        <w:spacing w:before="115"/>
        <w:ind w:left="2915"/>
      </w:pPr>
      <w:bookmarkStart w:name="_TOC_250034" w:id="18"/>
      <w:bookmarkEnd w:id="18"/>
      <w:r>
        <w:rPr>
          <w:spacing w:val="-2"/>
        </w:rPr>
        <w:t>抗流感病毒设计有望找到新靶点</w:t>
      </w:r>
    </w:p>
    <w:p>
      <w:pPr>
        <w:pStyle w:val="BodyText"/>
        <w:ind w:left="0" w:firstLine="0"/>
        <w:rPr>
          <w:b/>
        </w:rPr>
      </w:pPr>
      <w:r>
        <w:rPr/>
        <w:br w:type="column"/>
      </w:r>
      <w:r>
        <w:rPr>
          <w:b/>
        </w:rPr>
      </w:r>
    </w:p>
    <w:p>
      <w:pPr>
        <w:pStyle w:val="BodyText"/>
        <w:spacing w:before="4"/>
        <w:ind w:left="0" w:firstLine="0"/>
        <w:rPr>
          <w:b/>
          <w:sz w:val="28"/>
        </w:rPr>
      </w:pPr>
    </w:p>
    <w:p>
      <w:pPr>
        <w:pStyle w:val="Heading3"/>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412" w:space="40"/>
            <w:col w:w="2698"/>
          </w:cols>
        </w:sectPr>
      </w:pPr>
    </w:p>
    <w:p>
      <w:pPr>
        <w:pStyle w:val="BodyText"/>
        <w:spacing w:line="280" w:lineRule="auto" w:before="81"/>
        <w:ind w:right="227" w:firstLine="482"/>
        <w:jc w:val="both"/>
      </w:pPr>
      <w:r>
        <w:rPr>
          <w:spacing w:val="-3"/>
        </w:rPr>
        <w:t>中国农业科学院哈尔滨兽医研究所王晓钧团队，首次证明 </w:t>
      </w:r>
      <w:r>
        <w:rPr/>
        <w:t>ANP32A/B</w:t>
      </w:r>
      <w:r>
        <w:rPr>
          <w:spacing w:val="-40"/>
        </w:rPr>
        <w:t> 是 </w:t>
      </w:r>
      <w:r>
        <w:rPr/>
        <w:t>A</w:t>
      </w:r>
      <w:r>
        <w:rPr>
          <w:spacing w:val="-9"/>
        </w:rPr>
        <w:t> 型流感病毒聚</w:t>
      </w:r>
      <w:r>
        <w:rPr>
          <w:spacing w:val="-15"/>
        </w:rPr>
        <w:t>合酶发挥功能所必需的宿主因子，并成功锁定了其与聚合酶相互关联的关键位点。该研究成</w:t>
      </w:r>
      <w:r>
        <w:rPr>
          <w:spacing w:val="-24"/>
        </w:rPr>
        <w:t>果论文近日发表在最新一期《病毒学杂志》上。专家评价指出，此项成果首次揭示了 </w:t>
      </w:r>
      <w:r>
        <w:rPr/>
        <w:t>ANP32A/B </w:t>
      </w:r>
      <w:r>
        <w:rPr>
          <w:spacing w:val="-12"/>
        </w:rPr>
        <w:t>蛋白在人、禽、马、猪、犬等不同物种流感病毒复制过程中的决定性影响，也为新型抗流感</w:t>
      </w:r>
      <w:r>
        <w:rPr/>
        <w:t>药物及转基因动物的研发提供了有效靶点。</w:t>
      </w:r>
    </w:p>
    <w:p>
      <w:pPr>
        <w:pStyle w:val="BodyText"/>
        <w:spacing w:line="280" w:lineRule="auto" w:before="1"/>
        <w:ind w:right="123" w:firstLine="482"/>
        <w:jc w:val="both"/>
      </w:pPr>
      <w:r>
        <w:rPr>
          <w:spacing w:val="-11"/>
        </w:rPr>
        <w:t>流感病毒的 </w:t>
      </w:r>
      <w:r>
        <w:rPr/>
        <w:t>RNA</w:t>
      </w:r>
      <w:r>
        <w:rPr>
          <w:spacing w:val="-11"/>
        </w:rPr>
        <w:t> 聚合酶是病毒复制的发动机，负责病毒 </w:t>
      </w:r>
      <w:r>
        <w:rPr/>
        <w:t>RNA</w:t>
      </w:r>
      <w:r>
        <w:rPr>
          <w:spacing w:val="-9"/>
        </w:rPr>
        <w:t> 的复制和转录。长久以来， </w:t>
      </w:r>
      <w:r>
        <w:rPr>
          <w:spacing w:val="-4"/>
        </w:rPr>
        <w:t>科学界一直在探索是否有宿主因子参与流感聚合酶功能并扮演关键角色。酸性核磷蛋白 </w:t>
      </w:r>
      <w:r>
        <w:rPr/>
        <w:t>32A</w:t>
      </w:r>
    </w:p>
    <w:p>
      <w:pPr>
        <w:pStyle w:val="BodyText"/>
        <w:spacing w:line="280" w:lineRule="auto" w:before="1"/>
        <w:ind w:right="228" w:firstLine="0"/>
      </w:pPr>
      <w:r>
        <w:rPr/>
        <w:t>（ANP32A）</w:t>
      </w:r>
      <w:r>
        <w:rPr>
          <w:spacing w:val="-21"/>
        </w:rPr>
        <w:t>属于 </w:t>
      </w:r>
      <w:r>
        <w:rPr/>
        <w:t>ANP32</w:t>
      </w:r>
      <w:r>
        <w:rPr>
          <w:spacing w:val="-12"/>
        </w:rPr>
        <w:t> 蛋白家族成员，该家族主要包括 </w:t>
      </w:r>
      <w:r>
        <w:rPr/>
        <w:t>ANP32A、ANP32B</w:t>
      </w:r>
      <w:r>
        <w:rPr>
          <w:spacing w:val="-40"/>
        </w:rPr>
        <w:t> 和 </w:t>
      </w:r>
      <w:r>
        <w:rPr/>
        <w:t>ANP32E。2016 </w:t>
      </w:r>
      <w:r>
        <w:rPr>
          <w:spacing w:val="-24"/>
        </w:rPr>
        <w:t>年，有科学家报道，禽源 </w:t>
      </w:r>
      <w:r>
        <w:rPr/>
        <w:t>ANP32A</w:t>
      </w:r>
      <w:r>
        <w:rPr>
          <w:spacing w:val="-15"/>
        </w:rPr>
        <w:t> 蛋白与禽流感病毒聚合酶的种属特异性相关，但关于 </w:t>
      </w:r>
      <w:r>
        <w:rPr>
          <w:spacing w:val="-3"/>
        </w:rPr>
        <w:t>ANP32A </w:t>
      </w:r>
      <w:r>
        <w:rPr/>
        <w:t>在流感聚合酶复制过程中的重要性及该家族其他蛋白的功能并未被完全揭示。</w:t>
      </w:r>
    </w:p>
    <w:p>
      <w:pPr>
        <w:spacing w:after="0" w:line="280" w:lineRule="auto"/>
        <w:sectPr>
          <w:type w:val="continuous"/>
          <w:pgSz w:w="11910" w:h="16850"/>
          <w:pgMar w:top="1100" w:bottom="1020" w:left="860" w:right="900"/>
        </w:sectPr>
      </w:pPr>
    </w:p>
    <w:p>
      <w:pPr>
        <w:pStyle w:val="BodyText"/>
        <w:spacing w:line="280" w:lineRule="auto" w:before="48"/>
        <w:ind w:right="109" w:firstLine="482"/>
      </w:pPr>
      <w:r>
        <w:rPr>
          <w:spacing w:val="-3"/>
        </w:rPr>
        <w:t>王晓钧团队首先构建了一系列聚合酶相关宿主蛋白的 </w:t>
      </w:r>
      <w:r>
        <w:rPr/>
        <w:t>HEK293T</w:t>
      </w:r>
      <w:r>
        <w:rPr>
          <w:spacing w:val="-8"/>
        </w:rPr>
        <w:t> 敲除细胞系，检测发现， </w:t>
      </w:r>
      <w:r>
        <w:rPr>
          <w:spacing w:val="-34"/>
        </w:rPr>
        <w:t>人 </w:t>
      </w:r>
      <w:r>
        <w:rPr/>
        <w:t>ANP32A</w:t>
      </w:r>
      <w:r>
        <w:rPr>
          <w:spacing w:val="-41"/>
        </w:rPr>
        <w:t> 或 </w:t>
      </w:r>
      <w:r>
        <w:rPr/>
        <w:t>ANP32B</w:t>
      </w:r>
      <w:r>
        <w:rPr>
          <w:spacing w:val="-18"/>
        </w:rPr>
        <w:t> 单独敲除时，均不影响聚合酶活性。这二者为结构类似的同一家族蛋白， </w:t>
      </w:r>
      <w:r>
        <w:rPr>
          <w:spacing w:val="-2"/>
        </w:rPr>
        <w:t>它们可能功能类似，单独敲除一个，另一个仍会发挥功效，因此团队构建了 </w:t>
      </w:r>
      <w:r>
        <w:rPr/>
        <w:t>ANP32A/B</w:t>
      </w:r>
      <w:r>
        <w:rPr>
          <w:spacing w:val="-20"/>
        </w:rPr>
        <w:t> 双敲</w:t>
      </w:r>
      <w:r>
        <w:rPr>
          <w:spacing w:val="-21"/>
        </w:rPr>
        <w:t>除的细胞系</w:t>
      </w:r>
      <w:r>
        <w:rPr>
          <w:spacing w:val="-5"/>
        </w:rPr>
        <w:t>（DKO）</w:t>
      </w:r>
      <w:r>
        <w:rPr>
          <w:spacing w:val="-12"/>
        </w:rPr>
        <w:t>。研究结果显示，在同时缺失 </w:t>
      </w:r>
      <w:r>
        <w:rPr/>
        <w:t>ANP32A/B</w:t>
      </w:r>
      <w:r>
        <w:rPr>
          <w:spacing w:val="-10"/>
        </w:rPr>
        <w:t> 情况下，不同亚型流感聚合酶活</w:t>
      </w:r>
      <w:r>
        <w:rPr>
          <w:spacing w:val="-21"/>
        </w:rPr>
        <w:t>性均下降 </w:t>
      </w:r>
      <w:r>
        <w:rPr/>
        <w:t>1</w:t>
      </w:r>
      <w:r>
        <w:rPr>
          <w:spacing w:val="-10"/>
        </w:rPr>
        <w:t> 万倍以上；同样，病毒感染实验也表明，</w:t>
      </w:r>
      <w:r>
        <w:rPr>
          <w:spacing w:val="-4"/>
        </w:rPr>
        <w:t>DKO</w:t>
      </w:r>
      <w:r>
        <w:rPr>
          <w:spacing w:val="-12"/>
        </w:rPr>
        <w:t> 细胞系上病毒的生长复制下降 </w:t>
      </w:r>
      <w:r>
        <w:rPr/>
        <w:t>1</w:t>
      </w:r>
      <w:r>
        <w:rPr>
          <w:spacing w:val="-30"/>
        </w:rPr>
        <w:t> 万</w:t>
      </w:r>
      <w:r>
        <w:rPr>
          <w:spacing w:val="-34"/>
        </w:rPr>
        <w:t>倍以上。此结果证实 </w:t>
      </w:r>
      <w:r>
        <w:rPr/>
        <w:t>ANP32A/B</w:t>
      </w:r>
      <w:r>
        <w:rPr>
          <w:spacing w:val="-8"/>
        </w:rPr>
        <w:t> 是不同亚型人流感病毒复制所必需的宿主蛋白。该团队又评</w:t>
      </w:r>
      <w:r>
        <w:rPr>
          <w:spacing w:val="-10"/>
        </w:rPr>
        <w:t>估了不同物种</w:t>
      </w:r>
      <w:r>
        <w:rPr/>
        <w:t>（</w:t>
      </w:r>
      <w:r>
        <w:rPr>
          <w:spacing w:val="-9"/>
        </w:rPr>
        <w:t>人、禽、马、猪、犬</w:t>
      </w:r>
      <w:r>
        <w:rPr>
          <w:spacing w:val="-15"/>
        </w:rPr>
        <w:t>）</w:t>
      </w:r>
      <w:r>
        <w:rPr>
          <w:spacing w:val="-6"/>
        </w:rPr>
        <w:t>流感病毒对不同物种 </w:t>
      </w:r>
      <w:r>
        <w:rPr/>
        <w:t>ANP32</w:t>
      </w:r>
      <w:r>
        <w:rPr>
          <w:spacing w:val="-9"/>
        </w:rPr>
        <w:t> 蛋白的依赖性，首次揭示ANP32A/B</w:t>
      </w:r>
      <w:r>
        <w:rPr>
          <w:spacing w:val="-8"/>
        </w:rPr>
        <w:t> 是不同物种流感病毒聚合酶发挥功能的决定性宿主蛋白。</w:t>
      </w:r>
    </w:p>
    <w:p>
      <w:pPr>
        <w:pStyle w:val="BodyText"/>
        <w:spacing w:line="244" w:lineRule="auto" w:before="2"/>
        <w:ind w:right="243" w:firstLine="482"/>
        <w:rPr>
          <w:rFonts w:ascii="Meiryo" w:eastAsia="Meiryo" w:hint="eastAsia"/>
          <w:b/>
        </w:rPr>
      </w:pPr>
      <w:r>
        <w:rPr>
          <w:spacing w:val="-6"/>
        </w:rPr>
        <w:t>进一步研究发现，禽 </w:t>
      </w:r>
      <w:r>
        <w:rPr/>
        <w:t>ANP32A</w:t>
      </w:r>
      <w:r>
        <w:rPr>
          <w:spacing w:val="-11"/>
        </w:rPr>
        <w:t> 成为独立支持流感病毒聚合酶活性的 </w:t>
      </w:r>
      <w:r>
        <w:rPr/>
        <w:t>ANP32</w:t>
      </w:r>
      <w:r>
        <w:rPr>
          <w:spacing w:val="-11"/>
        </w:rPr>
        <w:t> 家族蛋白，这</w:t>
      </w:r>
      <w:r>
        <w:rPr>
          <w:spacing w:val="-16"/>
        </w:rPr>
        <w:t>使得禽 </w:t>
      </w:r>
      <w:r>
        <w:rPr/>
        <w:t>ANP32A</w:t>
      </w:r>
      <w:r>
        <w:rPr>
          <w:spacing w:val="-8"/>
        </w:rPr>
        <w:t> 蛋白作为抗流感病毒设计的唯一靶点成为可能。</w:t>
      </w:r>
      <w:r>
        <w:rPr>
          <w:rFonts w:ascii="Meiryo" w:eastAsia="Meiryo" w:hint="eastAsia"/>
          <w:b/>
          <w:color w:val="0033CC"/>
        </w:rPr>
        <w:t>[返回目次]</w:t>
      </w:r>
    </w:p>
    <w:p>
      <w:pPr>
        <w:pStyle w:val="BodyText"/>
        <w:spacing w:before="10"/>
        <w:ind w:left="0" w:firstLine="0"/>
        <w:rPr>
          <w:rFonts w:ascii="Meiryo"/>
          <w:b/>
          <w:sz w:val="6"/>
        </w:rPr>
      </w:pPr>
    </w:p>
    <w:p>
      <w:pPr>
        <w:spacing w:after="0"/>
        <w:rPr>
          <w:rFonts w:ascii="Meiryo"/>
          <w:sz w:val="6"/>
        </w:rPr>
        <w:sectPr>
          <w:pgSz w:w="11910" w:h="16850"/>
          <w:pgMar w:header="906" w:footer="607" w:top="1100" w:bottom="800" w:left="860" w:right="900"/>
        </w:sectPr>
      </w:pPr>
    </w:p>
    <w:p>
      <w:pPr>
        <w:pStyle w:val="Heading2"/>
        <w:spacing w:before="54"/>
        <w:ind w:left="3077"/>
      </w:pPr>
      <w:bookmarkStart w:name="_TOC_250033" w:id="19"/>
      <w:bookmarkEnd w:id="19"/>
      <w:r>
        <w:rPr>
          <w:spacing w:val="-2"/>
        </w:rPr>
        <w:t>脑卒中早期筛查或有新标记物</w:t>
      </w:r>
    </w:p>
    <w:p>
      <w:pPr>
        <w:pStyle w:val="BodyText"/>
        <w:ind w:left="0" w:firstLine="0"/>
        <w:rPr>
          <w:b/>
        </w:rPr>
      </w:pPr>
      <w:r>
        <w:rPr/>
        <w:br w:type="column"/>
      </w:r>
      <w:r>
        <w:rPr>
          <w:b/>
        </w:rPr>
      </w:r>
    </w:p>
    <w:p>
      <w:pPr>
        <w:pStyle w:val="BodyText"/>
        <w:spacing w:before="7"/>
        <w:ind w:left="0" w:firstLine="0"/>
        <w:rPr>
          <w:b/>
          <w:sz w:val="23"/>
        </w:rPr>
      </w:pP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52" w:space="40"/>
            <w:col w:w="2858"/>
          </w:cols>
        </w:sectPr>
      </w:pPr>
    </w:p>
    <w:p>
      <w:pPr>
        <w:pStyle w:val="BodyText"/>
        <w:spacing w:line="280" w:lineRule="auto" w:before="79"/>
        <w:ind w:right="229" w:firstLine="482"/>
      </w:pPr>
      <w:r>
        <w:rPr>
          <w:spacing w:val="-8"/>
        </w:rPr>
        <w:t>在国家自然科学基金委、上海市科委等相关科研项目资助下，上海市第八人民医院陈旭</w:t>
      </w:r>
      <w:r>
        <w:rPr>
          <w:spacing w:val="-5"/>
        </w:rPr>
        <w:t>教授临床科研团队联合同济大学附属东方医院周代占教授临床科研团队、上海交大贺林院士</w:t>
      </w:r>
      <w:r>
        <w:rPr>
          <w:spacing w:val="-18"/>
        </w:rPr>
        <w:t>团队等，历经 </w:t>
      </w:r>
      <w:r>
        <w:rPr/>
        <w:t>4</w:t>
      </w:r>
      <w:r>
        <w:rPr>
          <w:spacing w:val="-12"/>
        </w:rPr>
        <w:t> 年潜心研究，从全基因组甲基化层面揭示了急性脑卒中患者的表观遗传修饰</w:t>
      </w:r>
      <w:r>
        <w:rPr>
          <w:spacing w:val="-15"/>
        </w:rPr>
        <w:t>图谱，通过 </w:t>
      </w:r>
      <w:r>
        <w:rPr/>
        <w:t>1400</w:t>
      </w:r>
      <w:r>
        <w:rPr>
          <w:spacing w:val="-9"/>
        </w:rPr>
        <w:t> 多例大规模人群样本的验证试验，终于发现体内</w:t>
      </w:r>
      <w:r>
        <w:rPr/>
        <w:t>“MTRNR2L8</w:t>
      </w:r>
      <w:r>
        <w:rPr>
          <w:spacing w:val="-11"/>
        </w:rPr>
        <w:t> 基因”显著的</w:t>
      </w:r>
      <w:r>
        <w:rPr/>
        <w:t>低甲基化是急性脑卒中的“罪魁祸首”。MTRNR2L8</w:t>
      </w:r>
      <w:r>
        <w:rPr>
          <w:spacing w:val="-8"/>
        </w:rPr>
        <w:t> 基因甲基化可作为该疾病关键的分子标</w:t>
      </w:r>
      <w:r>
        <w:rPr>
          <w:spacing w:val="-11"/>
        </w:rPr>
        <w:t>记物，为未来脑卒中的早期筛查及预防提供新的解决方案。近日，最新一期的国际著名专业</w:t>
      </w:r>
      <w:r>
        <w:rPr>
          <w:spacing w:val="-1"/>
        </w:rPr>
        <w:t>学术期刊 《卒中》杂志</w:t>
      </w:r>
      <w:r>
        <w:rPr/>
        <w:t>（《Stroke》）在线发表了该成果。</w:t>
      </w:r>
    </w:p>
    <w:p>
      <w:pPr>
        <w:pStyle w:val="BodyText"/>
        <w:spacing w:line="280" w:lineRule="auto" w:before="2"/>
        <w:ind w:right="106" w:firstLine="482"/>
      </w:pPr>
      <w:r>
        <w:rPr>
          <w:spacing w:val="-9"/>
        </w:rPr>
        <w:t>据陈旭介绍，缺血性脑卒中是突然起病的脑血液循环障碍性疾病，已成为全球第二大死</w:t>
      </w:r>
      <w:r>
        <w:rPr>
          <w:spacing w:val="-20"/>
        </w:rPr>
        <w:t>因。血管内治疗技术虽延长了卒中的治疗时间窗，但仍有大量患者得不到及时救治，因此“早</w:t>
      </w:r>
      <w:r>
        <w:rPr>
          <w:spacing w:val="-19"/>
        </w:rPr>
        <w:t>期筛查及预防”非常重要。陈旭临床科研团队从预防脑卒中发生出发，对国际上尚无发现的</w:t>
      </w:r>
      <w:r>
        <w:rPr>
          <w:spacing w:val="-20"/>
        </w:rPr>
        <w:t>有效急性脑卒中筛查分子标志物作重点研究。他们研究发现，</w:t>
      </w:r>
      <w:r>
        <w:rPr>
          <w:spacing w:val="-6"/>
        </w:rPr>
        <w:t>DNA</w:t>
      </w:r>
      <w:r>
        <w:rPr>
          <w:spacing w:val="-8"/>
        </w:rPr>
        <w:t> 甲基化变化是脑卒中发生</w:t>
      </w:r>
      <w:r>
        <w:rPr>
          <w:spacing w:val="-13"/>
        </w:rPr>
        <w:t>早期和进展过程中主要的特征之一，同时也是脑卒中治疗效果的潜在影响因素之一。甲基化</w:t>
      </w:r>
      <w:r>
        <w:rPr>
          <w:spacing w:val="-17"/>
        </w:rPr>
        <w:t>是蛋白质和核酸的一种重要的修饰，调节基因的表达和关闭，与癌症、衰老、老年痴呆等许</w:t>
      </w:r>
      <w:r>
        <w:rPr>
          <w:spacing w:val="-16"/>
        </w:rPr>
        <w:t>多疾病密切相关，是表观遗传学的重要研究内容之一。通过检测血液中 </w:t>
      </w:r>
      <w:r>
        <w:rPr/>
        <w:t>DNA</w:t>
      </w:r>
      <w:r>
        <w:rPr>
          <w:spacing w:val="-13"/>
        </w:rPr>
        <w:t> 甲基化水平，可</w:t>
      </w:r>
      <w:r>
        <w:rPr>
          <w:spacing w:val="-16"/>
        </w:rPr>
        <w:t>对脑卒中进行筛查、超早期诊断。科研团队运用全基因组 </w:t>
      </w:r>
      <w:r>
        <w:rPr/>
        <w:t>DNA</w:t>
      </w:r>
      <w:r>
        <w:rPr>
          <w:spacing w:val="-17"/>
        </w:rPr>
        <w:t> 甲基化技术，先在 </w:t>
      </w:r>
      <w:r>
        <w:rPr/>
        <w:t>12</w:t>
      </w:r>
      <w:r>
        <w:rPr>
          <w:spacing w:val="-15"/>
        </w:rPr>
        <w:t> 对年龄、</w:t>
      </w:r>
      <w:r>
        <w:rPr>
          <w:spacing w:val="-3"/>
        </w:rPr>
        <w:t>性别匹配的病例组和对照组中进行研究，筛选了 </w:t>
      </w:r>
      <w:r>
        <w:rPr/>
        <w:t>672</w:t>
      </w:r>
      <w:r>
        <w:rPr>
          <w:spacing w:val="-18"/>
        </w:rPr>
        <w:t> 个基因上的 </w:t>
      </w:r>
      <w:r>
        <w:rPr/>
        <w:t>1012</w:t>
      </w:r>
      <w:r>
        <w:rPr>
          <w:spacing w:val="-8"/>
        </w:rPr>
        <w:t> 个位点，发现在脑卒</w:t>
      </w:r>
    </w:p>
    <w:p>
      <w:pPr>
        <w:pStyle w:val="BodyText"/>
        <w:spacing w:line="280" w:lineRule="auto" w:before="3"/>
        <w:ind w:right="228" w:firstLine="0"/>
        <w:jc w:val="both"/>
      </w:pPr>
      <w:r>
        <w:rPr>
          <w:spacing w:val="-7"/>
        </w:rPr>
        <w:t>中患者中存在甲基化的显著差异，这些差异位点定位于 </w:t>
      </w:r>
      <w:r>
        <w:rPr/>
        <w:t>672</w:t>
      </w:r>
      <w:r>
        <w:rPr>
          <w:spacing w:val="-12"/>
        </w:rPr>
        <w:t> 个基因的不同区域，从而全面地</w:t>
      </w:r>
      <w:r>
        <w:rPr>
          <w:spacing w:val="-8"/>
        </w:rPr>
        <w:t>揭示了脑卒中的 </w:t>
      </w:r>
      <w:r>
        <w:rPr/>
        <w:t>DNA</w:t>
      </w:r>
      <w:r>
        <w:rPr>
          <w:spacing w:val="-11"/>
        </w:rPr>
        <w:t> 甲基化表观遗传修饰图谱。之后，科研团队进一步对 </w:t>
      </w:r>
      <w:r>
        <w:rPr/>
        <w:t>1400</w:t>
      </w:r>
      <w:r>
        <w:rPr>
          <w:spacing w:val="-10"/>
        </w:rPr>
        <w:t> 多例的大规</w:t>
      </w:r>
      <w:r>
        <w:rPr>
          <w:spacing w:val="-13"/>
        </w:rPr>
        <w:t>模人群样本进行了长期验证试验，终于首次鉴定到 </w:t>
      </w:r>
      <w:r>
        <w:rPr/>
        <w:t>MTRNR2L8</w:t>
      </w:r>
      <w:r>
        <w:rPr>
          <w:spacing w:val="-8"/>
        </w:rPr>
        <w:t> 基因启动低甲基化和急性缺血性脑卒中的发生显著相关：MTRNR2L8 基因甲基化对急性脑卒中的诊断具有高度的特异性和</w:t>
      </w:r>
    </w:p>
    <w:p>
      <w:pPr>
        <w:spacing w:line="420" w:lineRule="exact" w:before="0"/>
        <w:ind w:left="417" w:right="0" w:firstLine="0"/>
        <w:jc w:val="left"/>
        <w:rPr>
          <w:rFonts w:ascii="Meiryo" w:eastAsia="Meiryo" w:hint="eastAsia"/>
          <w:b/>
          <w:sz w:val="24"/>
        </w:rPr>
      </w:pPr>
      <w:r>
        <w:rPr>
          <w:sz w:val="24"/>
        </w:rPr>
        <w:t>灵敏性，是急性脑卒中分子筛查的潜在标记物。</w:t>
      </w:r>
      <w:r>
        <w:rPr>
          <w:rFonts w:ascii="Meiryo" w:eastAsia="Meiryo" w:hint="eastAsia"/>
          <w:b/>
          <w:color w:val="0033CC"/>
          <w:sz w:val="24"/>
        </w:rPr>
        <w:t>[返回目次]</w:t>
      </w:r>
    </w:p>
    <w:p>
      <w:pPr>
        <w:pStyle w:val="BodyText"/>
        <w:spacing w:before="19"/>
        <w:ind w:left="0" w:firstLine="0"/>
        <w:rPr>
          <w:rFonts w:ascii="Meiryo"/>
          <w:b/>
          <w:sz w:val="6"/>
        </w:rPr>
      </w:pPr>
    </w:p>
    <w:p>
      <w:pPr>
        <w:pStyle w:val="Heading2"/>
        <w:spacing w:before="54"/>
        <w:ind w:left="181"/>
        <w:jc w:val="center"/>
      </w:pPr>
      <w:bookmarkStart w:name="_TOC_250032" w:id="20"/>
      <w:bookmarkEnd w:id="20"/>
      <w:r>
        <w:rPr/>
        <w:t>晚期鼻咽癌有更优治疗方案</w:t>
      </w:r>
    </w:p>
    <w:p>
      <w:pPr>
        <w:spacing w:before="82"/>
        <w:ind w:left="186" w:right="0" w:firstLine="0"/>
        <w:jc w:val="center"/>
        <w:rPr>
          <w:sz w:val="21"/>
        </w:rPr>
      </w:pPr>
      <w:r>
        <w:rPr>
          <w:sz w:val="21"/>
        </w:rPr>
        <w:t>3 年无瘤生存率从 76.5%提高到 85.3%</w:t>
      </w:r>
    </w:p>
    <w:p>
      <w:pPr>
        <w:pStyle w:val="Heading3"/>
        <w:spacing w:before="176"/>
        <w:ind w:left="0" w:right="228"/>
        <w:jc w:val="right"/>
        <w:rPr>
          <w:rFonts w:ascii="楷体" w:eastAsia="楷体" w:hint="eastAsia"/>
        </w:rPr>
      </w:pPr>
      <w:r>
        <w:rPr>
          <w:rFonts w:ascii="楷体" w:eastAsia="楷体" w:hint="eastAsia"/>
          <w:color w:val="FF0000"/>
          <w:w w:val="95"/>
        </w:rPr>
        <w:t>（来源：健康报）</w:t>
      </w:r>
    </w:p>
    <w:p>
      <w:pPr>
        <w:pStyle w:val="BodyText"/>
        <w:spacing w:line="297" w:lineRule="auto" w:before="96"/>
        <w:ind w:right="228"/>
      </w:pPr>
      <w:r>
        <w:rPr/>
        <w:t>中山大学肿瘤防治中心马骏、孙颖教授团队牵头，联合华中科技大学同济医院等全国12</w:t>
      </w:r>
      <w:r>
        <w:rPr>
          <w:spacing w:val="-11"/>
        </w:rPr>
        <w:t> 个中心开展了一项利用吉西他滨+顺铂</w:t>
      </w:r>
      <w:r>
        <w:rPr/>
        <w:t>（</w:t>
      </w:r>
      <w:r>
        <w:rPr>
          <w:spacing w:val="-20"/>
        </w:rPr>
        <w:t>简称 </w:t>
      </w:r>
      <w:r>
        <w:rPr>
          <w:spacing w:val="-17"/>
        </w:rPr>
        <w:t>GP）</w:t>
      </w:r>
      <w:r>
        <w:rPr>
          <w:spacing w:val="-1"/>
        </w:rPr>
        <w:t>方案诱导化疗治疗局部晚期鼻咽癌的大</w:t>
      </w:r>
    </w:p>
    <w:p>
      <w:pPr>
        <w:spacing w:after="0" w:line="297" w:lineRule="auto"/>
        <w:sectPr>
          <w:type w:val="continuous"/>
          <w:pgSz w:w="11910" w:h="16850"/>
          <w:pgMar w:top="1100" w:bottom="1020" w:left="860" w:right="900"/>
        </w:sectPr>
      </w:pPr>
    </w:p>
    <w:p>
      <w:pPr>
        <w:pStyle w:val="BodyText"/>
        <w:spacing w:line="295" w:lineRule="auto" w:before="65"/>
        <w:ind w:right="229" w:firstLine="0"/>
        <w:jc w:val="both"/>
      </w:pPr>
      <w:r>
        <w:rPr>
          <w:spacing w:val="-3"/>
        </w:rPr>
        <w:t>型前瞻性Ⅲ期临床试验，首次证实该方法有效。日前，马骏在 </w:t>
      </w:r>
      <w:r>
        <w:rPr/>
        <w:t>2019</w:t>
      </w:r>
      <w:r>
        <w:rPr>
          <w:spacing w:val="-8"/>
        </w:rPr>
        <w:t> 年美国临床肿瘤学年会</w:t>
      </w:r>
      <w:r>
        <w:rPr>
          <w:spacing w:val="-21"/>
        </w:rPr>
        <w:t>公开报告该研究成果，并获得此次年会“最佳研究”的荣誉。当天，研究论文在线发表在《新</w:t>
      </w:r>
      <w:r>
        <w:rPr/>
        <w:t>英格兰医学杂志》上。</w:t>
      </w:r>
    </w:p>
    <w:p>
      <w:pPr>
        <w:pStyle w:val="BodyText"/>
        <w:spacing w:line="295" w:lineRule="auto" w:before="5"/>
        <w:ind w:right="246"/>
        <w:jc w:val="both"/>
      </w:pPr>
      <w:r>
        <w:rPr/>
        <w:t>鼻咽癌发病部位隐蔽，70%</w:t>
      </w:r>
      <w:r>
        <w:rPr>
          <w:spacing w:val="-1"/>
        </w:rPr>
        <w:t>以上的患者在就诊时已经是局部区域晚期，治疗效果差。如</w:t>
      </w:r>
      <w:r>
        <w:rPr>
          <w:spacing w:val="-2"/>
        </w:rPr>
        <w:t>何提高局部区域晚期患者的治疗效果是研究重点。此项临床研究于 </w:t>
      </w:r>
      <w:r>
        <w:rPr/>
        <w:t>2013</w:t>
      </w:r>
      <w:r>
        <w:rPr>
          <w:spacing w:val="-9"/>
        </w:rPr>
        <w:t> 年启动，共招募了</w:t>
      </w:r>
    </w:p>
    <w:p>
      <w:pPr>
        <w:pStyle w:val="BodyText"/>
        <w:spacing w:line="297" w:lineRule="auto" w:before="2"/>
        <w:ind w:right="108" w:firstLine="0"/>
      </w:pPr>
      <w:r>
        <w:rPr/>
        <w:t>480</w:t>
      </w:r>
      <w:r>
        <w:rPr>
          <w:spacing w:val="-8"/>
        </w:rPr>
        <w:t> 名初诊无远处转移的三四期鼻咽癌患者。结果发现，同期放化疗前增加吉西他滨+顺铂</w:t>
      </w:r>
      <w:r>
        <w:rPr>
          <w:spacing w:val="-24"/>
        </w:rPr>
        <w:t>诱导化疗，可将 </w:t>
      </w:r>
      <w:r>
        <w:rPr/>
        <w:t>3</w:t>
      </w:r>
      <w:r>
        <w:rPr>
          <w:spacing w:val="-14"/>
        </w:rPr>
        <w:t> 年无瘤生存率从 </w:t>
      </w:r>
      <w:r>
        <w:rPr/>
        <w:t>76.5%</w:t>
      </w:r>
      <w:r>
        <w:rPr>
          <w:spacing w:val="-15"/>
        </w:rPr>
        <w:t>提高到 </w:t>
      </w:r>
      <w:r>
        <w:rPr>
          <w:spacing w:val="-12"/>
        </w:rPr>
        <w:t>85.3%，3</w:t>
      </w:r>
      <w:r>
        <w:rPr>
          <w:spacing w:val="-16"/>
        </w:rPr>
        <w:t> 年总生存率从 </w:t>
      </w:r>
      <w:r>
        <w:rPr/>
        <w:t>90.3%</w:t>
      </w:r>
      <w:r>
        <w:rPr>
          <w:spacing w:val="-15"/>
        </w:rPr>
        <w:t>提高到 </w:t>
      </w:r>
      <w:r>
        <w:rPr/>
        <w:t>94.6%</w:t>
      </w:r>
      <w:r>
        <w:rPr>
          <w:spacing w:val="-14"/>
        </w:rPr>
        <w:t>。</w:t>
      </w:r>
      <w:r>
        <w:rPr>
          <w:spacing w:val="-17"/>
        </w:rPr>
        <w:t>同时，超过 </w:t>
      </w:r>
      <w:r>
        <w:rPr/>
        <w:t>95%</w:t>
      </w:r>
      <w:r>
        <w:rPr>
          <w:spacing w:val="-6"/>
        </w:rPr>
        <w:t>的患者可以顺利完成 </w:t>
      </w:r>
      <w:r>
        <w:rPr/>
        <w:t>3</w:t>
      </w:r>
      <w:r>
        <w:rPr>
          <w:spacing w:val="-19"/>
        </w:rPr>
        <w:t> 程诱导化疗，仅 </w:t>
      </w:r>
      <w:r>
        <w:rPr/>
        <w:t>5%</w:t>
      </w:r>
      <w:r>
        <w:rPr>
          <w:spacing w:val="-4"/>
        </w:rPr>
        <w:t>的患者出现副作用，且不增加患合并症的风险。</w:t>
      </w:r>
    </w:p>
    <w:p>
      <w:pPr>
        <w:pStyle w:val="BodyText"/>
        <w:spacing w:line="295" w:lineRule="auto"/>
        <w:ind w:right="228"/>
        <w:jc w:val="both"/>
      </w:pPr>
      <w:r>
        <w:rPr/>
        <w:t>学术界认为，该研究是马骏团队连续十多年优化治疗策略的结果。1998</w:t>
      </w:r>
      <w:r>
        <w:rPr>
          <w:spacing w:val="-9"/>
        </w:rPr>
        <w:t> 年，国际指南</w:t>
      </w:r>
      <w:r>
        <w:rPr>
          <w:spacing w:val="-12"/>
        </w:rPr>
        <w:t>推荐局部区域晚期鼻咽癌患者在同期放化疗后接受强化 </w:t>
      </w:r>
      <w:r>
        <w:rPr/>
        <w:t>3</w:t>
      </w:r>
      <w:r>
        <w:rPr>
          <w:spacing w:val="-8"/>
        </w:rPr>
        <w:t> 个疗程辅助化疗。</w:t>
      </w:r>
      <w:r>
        <w:rPr/>
        <w:t>2006</w:t>
      </w:r>
      <w:r>
        <w:rPr>
          <w:spacing w:val="-12"/>
        </w:rPr>
        <w:t> 年，马骏团队研究发现额外的辅助化疗并不能提高疗效，研究成果被欧洲指南采纳，2007 年美国指</w:t>
      </w:r>
      <w:r>
        <w:rPr>
          <w:spacing w:val="-13"/>
        </w:rPr>
        <w:t>南做出相应修订。</w:t>
      </w:r>
      <w:r>
        <w:rPr/>
        <w:t>2016</w:t>
      </w:r>
      <w:r>
        <w:rPr>
          <w:spacing w:val="-11"/>
        </w:rPr>
        <w:t> 年，该团队多中心研究再次发现，在同期放化疗前增加多西他赛+顺</w:t>
      </w:r>
      <w:r>
        <w:rPr/>
        <w:t>铂+5-</w:t>
      </w:r>
      <w:r>
        <w:rPr>
          <w:spacing w:val="-3"/>
        </w:rPr>
        <w:t>氟尿嘧啶三药方案诱导化疗，可明显提高患者生存率。</w:t>
      </w:r>
      <w:r>
        <w:rPr/>
        <w:t>2018</w:t>
      </w:r>
      <w:r>
        <w:rPr>
          <w:spacing w:val="-10"/>
        </w:rPr>
        <w:t> 年，美国指南采纳了该研</w:t>
      </w:r>
      <w:r>
        <w:rPr/>
        <w:t>究成果。</w:t>
      </w:r>
    </w:p>
    <w:p>
      <w:pPr>
        <w:pStyle w:val="BodyText"/>
        <w:spacing w:line="278" w:lineRule="auto" w:before="8"/>
        <w:ind w:right="228"/>
        <w:jc w:val="both"/>
        <w:rPr>
          <w:rFonts w:ascii="Meiryo" w:hAnsi="Meiryo" w:eastAsia="Meiryo" w:hint="eastAsia"/>
          <w:b/>
        </w:rPr>
      </w:pPr>
      <w:r>
        <w:rPr>
          <w:spacing w:val="-2"/>
        </w:rPr>
        <w:t>但三药诱导化疗方案毒副反应较大。既往研究发现，局部区域晚期患者采用 </w:t>
      </w:r>
      <w:r>
        <w:rPr/>
        <w:t>GP</w:t>
      </w:r>
      <w:r>
        <w:rPr>
          <w:spacing w:val="-15"/>
        </w:rPr>
        <w:t> 诱导化</w:t>
      </w:r>
      <w:r>
        <w:rPr>
          <w:spacing w:val="-17"/>
        </w:rPr>
        <w:t>疗方案，毒副作用低。因此，马骏团队开展了此次Ⅲ期随机对照临床研究，该方案也于 </w:t>
      </w:r>
      <w:r>
        <w:rPr>
          <w:spacing w:val="-4"/>
        </w:rPr>
        <w:t>2016 </w:t>
      </w:r>
      <w:r>
        <w:rPr/>
        <w:t>年被中山大学肿瘤防治中心内科确立为复发转移鼻咽癌一线标准治疗方案。</w:t>
      </w:r>
      <w:r>
        <w:rPr>
          <w:rFonts w:ascii="Meiryo" w:hAnsi="Meiryo" w:eastAsia="Meiryo" w:hint="eastAsia"/>
          <w:b/>
          <w:color w:val="0033CC"/>
        </w:rPr>
        <w:t>[返回目次]</w:t>
      </w:r>
    </w:p>
    <w:p>
      <w:pPr>
        <w:spacing w:after="0" w:line="278" w:lineRule="auto"/>
        <w:jc w:val="both"/>
        <w:rPr>
          <w:rFonts w:ascii="Meiryo" w:hAnsi="Meiryo" w:eastAsia="Meiryo" w:hint="eastAsia"/>
        </w:rPr>
        <w:sectPr>
          <w:pgSz w:w="11910" w:h="16850"/>
          <w:pgMar w:header="906" w:footer="607" w:top="1100" w:bottom="800" w:left="860" w:right="900"/>
        </w:sectPr>
      </w:pPr>
    </w:p>
    <w:p>
      <w:pPr>
        <w:pStyle w:val="Heading2"/>
        <w:spacing w:before="119"/>
        <w:ind w:left="3077"/>
      </w:pPr>
      <w:bookmarkStart w:name="_TOC_250031" w:id="21"/>
      <w:bookmarkEnd w:id="21"/>
      <w:r>
        <w:rPr>
          <w:spacing w:val="-2"/>
        </w:rPr>
        <w:t>晚期头颈部鳞癌或有创新疗法</w:t>
      </w:r>
    </w:p>
    <w:p>
      <w:pPr>
        <w:pStyle w:val="BodyText"/>
        <w:ind w:left="0" w:firstLine="0"/>
        <w:rPr>
          <w:b/>
        </w:rPr>
      </w:pPr>
      <w:r>
        <w:rPr/>
        <w:br w:type="column"/>
      </w:r>
      <w:r>
        <w:rPr>
          <w:b/>
        </w:rPr>
      </w:r>
    </w:p>
    <w:p>
      <w:pPr>
        <w:pStyle w:val="BodyText"/>
        <w:spacing w:before="8"/>
        <w:ind w:left="0" w:firstLine="0"/>
        <w:rPr>
          <w:b/>
          <w:sz w:val="28"/>
        </w:rPr>
      </w:pPr>
    </w:p>
    <w:p>
      <w:pPr>
        <w:pStyle w:val="Heading3"/>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252" w:space="40"/>
            <w:col w:w="2858"/>
          </w:cols>
        </w:sectPr>
      </w:pPr>
    </w:p>
    <w:p>
      <w:pPr>
        <w:pStyle w:val="BodyText"/>
        <w:spacing w:line="297" w:lineRule="auto" w:before="95"/>
        <w:ind w:right="227"/>
        <w:jc w:val="both"/>
      </w:pPr>
      <w:r>
        <w:rPr>
          <w:spacing w:val="-13"/>
        </w:rPr>
        <w:t>日前，第 </w:t>
      </w:r>
      <w:r>
        <w:rPr/>
        <w:t>12</w:t>
      </w:r>
      <w:r>
        <w:rPr>
          <w:spacing w:val="-8"/>
        </w:rPr>
        <w:t> 届世界癌症大会在日本大阪召开，河南省肿瘤医院放疗科副主任吴慧教授</w:t>
      </w:r>
      <w:r>
        <w:rPr>
          <w:spacing w:val="-15"/>
        </w:rPr>
        <w:t>应邀在大会上作口头报告，首次公开“阿帕替尼联合放疗治疗晚期头颈部鳞癌的单臂、探索</w:t>
      </w:r>
      <w:r>
        <w:rPr>
          <w:spacing w:val="-4"/>
        </w:rPr>
        <w:t>性、开放性临床研究”数据。该研究纳入 </w:t>
      </w:r>
      <w:r>
        <w:rPr/>
        <w:t>40</w:t>
      </w:r>
      <w:r>
        <w:rPr>
          <w:spacing w:val="-8"/>
        </w:rPr>
        <w:t> 例晚期复发和转移性头颈部鳞癌患者，疾病控制率达九成。</w:t>
      </w:r>
    </w:p>
    <w:p>
      <w:pPr>
        <w:pStyle w:val="BodyText"/>
        <w:spacing w:line="297" w:lineRule="auto"/>
        <w:ind w:right="109"/>
      </w:pPr>
      <w:r>
        <w:rPr>
          <w:spacing w:val="-10"/>
        </w:rPr>
        <w:t>据了解，头颈部鳞癌患者到了晚期往往复发、转移，一线铂类药物治疗失败的复发和转</w:t>
      </w:r>
      <w:r>
        <w:rPr>
          <w:spacing w:val="-14"/>
        </w:rPr>
        <w:t>移性头颈部鳞癌往往预后不良，且目前国内缺乏标准的治疗方案。对此，吴慧团队尝试采取</w:t>
      </w:r>
      <w:r>
        <w:rPr>
          <w:spacing w:val="-17"/>
        </w:rPr>
        <w:t>分子靶向治疗方案联合放射治疗或单纯分子靶向治疗复发和转移性头颈部鳞癌。靶向治疗药</w:t>
      </w:r>
      <w:r>
        <w:rPr>
          <w:spacing w:val="-22"/>
        </w:rPr>
        <w:t>物阿帕替尼是口服 </w:t>
      </w:r>
      <w:r>
        <w:rPr/>
        <w:t>VEGFR2</w:t>
      </w:r>
      <w:r>
        <w:rPr>
          <w:spacing w:val="-15"/>
        </w:rPr>
        <w:t> 酪氨酸激酶抑制剂，目前已在多种实体瘤中进行了多项临床实验， </w:t>
      </w:r>
      <w:r>
        <w:rPr/>
        <w:t>取得较好疗效，且安全性可控。</w:t>
      </w:r>
    </w:p>
    <w:p>
      <w:pPr>
        <w:pStyle w:val="BodyText"/>
        <w:spacing w:line="299" w:lineRule="exact"/>
        <w:ind w:left="897" w:firstLine="0"/>
      </w:pPr>
      <w:r>
        <w:rPr>
          <w:spacing w:val="-13"/>
        </w:rPr>
        <w:t>研究纳入 </w:t>
      </w:r>
      <w:r>
        <w:rPr/>
        <w:t>40</w:t>
      </w:r>
      <w:r>
        <w:rPr>
          <w:spacing w:val="-8"/>
        </w:rPr>
        <w:t> 例复发和转移性头颈部鳞癌患者，进行阿帕替尼联合或者不联合放疗。阿</w:t>
      </w:r>
    </w:p>
    <w:p>
      <w:pPr>
        <w:pStyle w:val="BodyText"/>
        <w:spacing w:before="71"/>
        <w:ind w:firstLine="0"/>
        <w:jc w:val="both"/>
      </w:pPr>
      <w:r>
        <w:rPr>
          <w:spacing w:val="-6"/>
        </w:rPr>
        <w:t>帕替尼给药方案为：每次 </w:t>
      </w:r>
      <w:r>
        <w:rPr/>
        <w:t>500</w:t>
      </w:r>
      <w:r>
        <w:rPr>
          <w:spacing w:val="-9"/>
        </w:rPr>
        <w:t> 毫克，一天一次，口服，</w:t>
      </w:r>
      <w:r>
        <w:rPr>
          <w:spacing w:val="-4"/>
        </w:rPr>
        <w:t>4</w:t>
      </w:r>
      <w:r>
        <w:rPr>
          <w:spacing w:val="-30"/>
        </w:rPr>
        <w:t> 周为 </w:t>
      </w:r>
      <w:r>
        <w:rPr/>
        <w:t>1</w:t>
      </w:r>
      <w:r>
        <w:rPr>
          <w:spacing w:val="-9"/>
        </w:rPr>
        <w:t> 周期，连续服药，可根据患</w:t>
      </w:r>
    </w:p>
    <w:p>
      <w:pPr>
        <w:pStyle w:val="BodyText"/>
        <w:spacing w:line="297" w:lineRule="auto" w:before="72"/>
        <w:ind w:right="226" w:firstLine="0"/>
        <w:jc w:val="both"/>
      </w:pPr>
      <w:r>
        <w:rPr>
          <w:spacing w:val="-1"/>
        </w:rPr>
        <w:t>者的耐受情况进行相应的剂量调整</w:t>
      </w:r>
      <w:r>
        <w:rPr/>
        <w:t>（</w:t>
      </w:r>
      <w:r>
        <w:rPr>
          <w:spacing w:val="-12"/>
        </w:rPr>
        <w:t>最低剂量 </w:t>
      </w:r>
      <w:r>
        <w:rPr/>
        <w:t>250</w:t>
      </w:r>
      <w:r>
        <w:rPr>
          <w:spacing w:val="-20"/>
        </w:rPr>
        <w:t> 毫克</w:t>
      </w:r>
      <w:r>
        <w:rPr>
          <w:spacing w:val="-10"/>
        </w:rPr>
        <w:t>）</w:t>
      </w:r>
      <w:r>
        <w:rPr>
          <w:spacing w:val="-18"/>
        </w:rPr>
        <w:t>。截至 </w:t>
      </w:r>
      <w:r>
        <w:rPr/>
        <w:t>3</w:t>
      </w:r>
      <w:r>
        <w:rPr>
          <w:spacing w:val="-41"/>
        </w:rPr>
        <w:t> 月 </w:t>
      </w:r>
      <w:r>
        <w:rPr/>
        <w:t>30</w:t>
      </w:r>
      <w:r>
        <w:rPr>
          <w:spacing w:val="-21"/>
        </w:rPr>
        <w:t> 日，</w:t>
      </w:r>
      <w:r>
        <w:rPr>
          <w:spacing w:val="-3"/>
        </w:rPr>
        <w:t>40</w:t>
      </w:r>
      <w:r>
        <w:rPr>
          <w:spacing w:val="-13"/>
        </w:rPr>
        <w:t> 例患者的客</w:t>
      </w:r>
      <w:r>
        <w:rPr>
          <w:spacing w:val="-5"/>
        </w:rPr>
        <w:t>观缓解率和疾病控制率分别为 </w:t>
      </w:r>
      <w:r>
        <w:rPr/>
        <w:t>57.5％</w:t>
      </w:r>
      <w:r>
        <w:rPr>
          <w:spacing w:val="-30"/>
        </w:rPr>
        <w:t>和 </w:t>
      </w:r>
      <w:r>
        <w:rPr/>
        <w:t>90％，</w:t>
      </w:r>
      <w:r>
        <w:rPr>
          <w:spacing w:val="-6"/>
        </w:rPr>
        <w:t>平均无进展生存期为 </w:t>
      </w:r>
      <w:r>
        <w:rPr/>
        <w:t>5.9</w:t>
      </w:r>
      <w:r>
        <w:rPr>
          <w:spacing w:val="-8"/>
        </w:rPr>
        <w:t> 个月，中位总生存</w:t>
      </w:r>
      <w:r>
        <w:rPr>
          <w:spacing w:val="-26"/>
        </w:rPr>
        <w:t>期为 </w:t>
      </w:r>
      <w:r>
        <w:rPr/>
        <w:t>8.8</w:t>
      </w:r>
      <w:r>
        <w:rPr>
          <w:spacing w:val="-16"/>
        </w:rPr>
        <w:t> 个月。</w:t>
      </w:r>
    </w:p>
    <w:p>
      <w:pPr>
        <w:pStyle w:val="BodyText"/>
        <w:spacing w:line="259" w:lineRule="auto"/>
        <w:ind w:right="230"/>
        <w:rPr>
          <w:rFonts w:ascii="Meiryo" w:eastAsia="Meiryo" w:hint="eastAsia"/>
          <w:b/>
        </w:rPr>
      </w:pPr>
      <w:r>
        <w:rPr>
          <w:spacing w:val="-12"/>
        </w:rPr>
        <w:t>研究人员认为，阿帕替尼联合放疗或单纯阿帕替尼治疗复发和转移性头颈部鳞癌具有一</w:t>
      </w:r>
      <w:r>
        <w:rPr/>
        <w:t>定疗效，且不良反应可控，但不容忽视的是发生瘘和溃疡的风险高，应谨慎管理。</w:t>
      </w:r>
      <w:r>
        <w:rPr>
          <w:rFonts w:ascii="Meiryo" w:eastAsia="Meiryo" w:hint="eastAsia"/>
          <w:b/>
          <w:color w:val="0033CC"/>
        </w:rPr>
        <w:t>[返回目</w:t>
      </w:r>
    </w:p>
    <w:p>
      <w:pPr>
        <w:pStyle w:val="Heading3"/>
        <w:spacing w:line="345" w:lineRule="exact"/>
        <w:ind w:left="417"/>
        <w:rPr>
          <w:rFonts w:ascii="Meiryo" w:eastAsia="Meiryo" w:hint="eastAsia"/>
        </w:rPr>
      </w:pPr>
      <w:r>
        <w:rPr>
          <w:rFonts w:ascii="Meiryo" w:eastAsia="Meiryo" w:hint="eastAsia"/>
          <w:color w:val="0033CC"/>
        </w:rPr>
        <w:t>次]</w:t>
      </w:r>
    </w:p>
    <w:p>
      <w:pPr>
        <w:spacing w:after="0" w:line="345" w:lineRule="exact"/>
        <w:rPr>
          <w:rFonts w:ascii="Meiryo" w:eastAsia="Meiryo" w:hint="eastAsia"/>
        </w:rPr>
        <w:sectPr>
          <w:type w:val="continuous"/>
          <w:pgSz w:w="11910" w:h="16850"/>
          <w:pgMar w:top="1100" w:bottom="1020" w:left="860" w:right="900"/>
        </w:sectPr>
      </w:pPr>
    </w:p>
    <w:p>
      <w:pPr>
        <w:pStyle w:val="Heading2"/>
        <w:spacing w:before="13"/>
      </w:pPr>
      <w:bookmarkStart w:name="_TOC_250030" w:id="22"/>
      <w:bookmarkEnd w:id="22"/>
      <w:r>
        <w:rPr/>
        <w:t>【新药看台】</w:t>
      </w:r>
    </w:p>
    <w:p>
      <w:pPr>
        <w:pStyle w:val="BodyText"/>
        <w:ind w:left="0" w:firstLine="0"/>
        <w:rPr>
          <w:b/>
          <w:sz w:val="20"/>
        </w:rPr>
      </w:pPr>
      <w:r>
        <w:rPr/>
        <w:br w:type="column"/>
      </w:r>
      <w:r>
        <w:rPr>
          <w:b/>
          <w:sz w:val="20"/>
        </w:rPr>
      </w:r>
    </w:p>
    <w:p>
      <w:pPr>
        <w:pStyle w:val="BodyText"/>
        <w:spacing w:before="8"/>
        <w:ind w:left="0" w:firstLine="0"/>
        <w:rPr>
          <w:b/>
          <w:sz w:val="22"/>
        </w:rPr>
      </w:pPr>
    </w:p>
    <w:p>
      <w:pPr>
        <w:spacing w:before="0"/>
        <w:ind w:left="67" w:right="2260" w:firstLine="0"/>
        <w:jc w:val="center"/>
        <w:rPr>
          <w:sz w:val="21"/>
        </w:rPr>
      </w:pPr>
      <w:r>
        <w:rPr>
          <w:sz w:val="21"/>
        </w:rPr>
        <w:t>银屑病治疗又添新手段</w:t>
      </w:r>
    </w:p>
    <w:p>
      <w:pPr>
        <w:pStyle w:val="Heading2"/>
        <w:spacing w:before="156"/>
        <w:ind w:left="67" w:right="2270"/>
        <w:jc w:val="center"/>
      </w:pPr>
      <w:bookmarkStart w:name="_TOC_250029" w:id="23"/>
      <w:r>
        <w:rPr>
          <w:spacing w:val="-29"/>
        </w:rPr>
        <w:t>国产 </w:t>
      </w:r>
      <w:r>
        <w:rPr/>
        <w:t>1</w:t>
      </w:r>
      <w:bookmarkEnd w:id="23"/>
      <w:r>
        <w:rPr>
          <w:spacing w:val="-10"/>
        </w:rPr>
        <w:t> 类创新药本维莫德乳膏获批上市</w:t>
      </w:r>
    </w:p>
    <w:p>
      <w:pPr>
        <w:pStyle w:val="Heading3"/>
        <w:spacing w:before="145"/>
        <w:ind w:left="5120"/>
        <w:rPr>
          <w:rFonts w:ascii="楷体" w:eastAsia="楷体" w:hint="eastAsia"/>
        </w:rPr>
      </w:pPr>
      <w:r>
        <w:rPr>
          <w:rFonts w:ascii="楷体" w:eastAsia="楷体" w:hint="eastAsia"/>
          <w:color w:val="FF0000"/>
        </w:rPr>
        <w:t>（来源：中国医药报）</w:t>
      </w:r>
    </w:p>
    <w:p>
      <w:pPr>
        <w:spacing w:after="0"/>
        <w:rPr>
          <w:rFonts w:ascii="楷体" w:eastAsia="楷体" w:hint="eastAsia"/>
        </w:rPr>
        <w:sectPr>
          <w:pgSz w:w="11910" w:h="16850"/>
          <w:pgMar w:header="906" w:footer="607" w:top="1100" w:bottom="800" w:left="860" w:right="900"/>
          <w:cols w:num="2" w:equalWidth="0">
            <w:col w:w="2345" w:space="40"/>
            <w:col w:w="7765"/>
          </w:cols>
        </w:sectPr>
      </w:pPr>
    </w:p>
    <w:p>
      <w:pPr>
        <w:pStyle w:val="ListParagraph"/>
        <w:numPr>
          <w:ilvl w:val="0"/>
          <w:numId w:val="3"/>
        </w:numPr>
        <w:tabs>
          <w:tab w:pos="1078" w:val="left" w:leader="none"/>
        </w:tabs>
        <w:spacing w:line="295" w:lineRule="auto" w:before="98" w:after="0"/>
        <w:ind w:left="417" w:right="306" w:firstLine="480"/>
        <w:jc w:val="left"/>
        <w:rPr>
          <w:sz w:val="24"/>
        </w:rPr>
      </w:pPr>
      <w:r>
        <w:rPr>
          <w:spacing w:val="-31"/>
          <w:sz w:val="24"/>
        </w:rPr>
        <w:t>月 </w:t>
      </w:r>
      <w:r>
        <w:rPr>
          <w:sz w:val="24"/>
        </w:rPr>
        <w:t>31</w:t>
      </w:r>
      <w:r>
        <w:rPr>
          <w:spacing w:val="-11"/>
          <w:sz w:val="24"/>
        </w:rPr>
        <w:t> 日，国家药品监管局发布信息，国产 </w:t>
      </w:r>
      <w:r>
        <w:rPr>
          <w:sz w:val="24"/>
        </w:rPr>
        <w:t>1</w:t>
      </w:r>
      <w:r>
        <w:rPr>
          <w:spacing w:val="-9"/>
          <w:sz w:val="24"/>
        </w:rPr>
        <w:t> 类创新药本维莫德乳膏通过优先审批程</w:t>
      </w:r>
      <w:r>
        <w:rPr>
          <w:sz w:val="24"/>
        </w:rPr>
        <w:t>序获批上市，用于局部治疗成人轻至中度稳定性寻常型银屑病。</w:t>
      </w:r>
    </w:p>
    <w:p>
      <w:pPr>
        <w:pStyle w:val="BodyText"/>
        <w:spacing w:line="297" w:lineRule="auto" w:before="2"/>
        <w:ind w:right="111"/>
      </w:pPr>
      <w:r>
        <w:rPr>
          <w:spacing w:val="-6"/>
        </w:rPr>
        <w:t>银屑病是一种常见慢性炎症性皮肤病，易反复，不易根治。流行病学调查显示我国约有</w:t>
      </w:r>
      <w:r>
        <w:rPr>
          <w:spacing w:val="-25"/>
        </w:rPr>
        <w:t>超过 </w:t>
      </w:r>
      <w:r>
        <w:rPr/>
        <w:t>650</w:t>
      </w:r>
      <w:r>
        <w:rPr>
          <w:spacing w:val="-14"/>
        </w:rPr>
        <w:t> 万患者。银屑病除皮损外，还可合并关节病变、心血管疾病、代谢综合征等全身性</w:t>
      </w:r>
      <w:r>
        <w:rPr>
          <w:spacing w:val="-17"/>
        </w:rPr>
        <w:t>病变，严重影响患者身心健康与生活质量。在所有银屑病患者中，寻常型银屑病占 </w:t>
      </w:r>
      <w:r>
        <w:rPr/>
        <w:t>90%</w:t>
      </w:r>
      <w:r>
        <w:rPr>
          <w:spacing w:val="-5"/>
        </w:rPr>
        <w:t>以上， </w:t>
      </w:r>
      <w:r>
        <w:rPr>
          <w:spacing w:val="-31"/>
        </w:rPr>
        <w:t>且 </w:t>
      </w:r>
      <w:r>
        <w:rPr/>
        <w:t>80％～90％为轻、中度，这部分患者主要治疗方法为外用药物治疗或外用药结合光疗。</w:t>
      </w:r>
    </w:p>
    <w:p>
      <w:pPr>
        <w:pStyle w:val="BodyText"/>
        <w:spacing w:line="304" w:lineRule="exact"/>
      </w:pPr>
      <w:r>
        <w:rPr>
          <w:spacing w:val="-3"/>
        </w:rPr>
        <w:t>本维莫德是一种酪氨酸蛋白激酶抑制剂，可通过抑制 </w:t>
      </w:r>
      <w:r>
        <w:rPr/>
        <w:t>T</w:t>
      </w:r>
      <w:r>
        <w:rPr>
          <w:spacing w:val="-8"/>
        </w:rPr>
        <w:t> 细胞酪氨酸蛋白激酶，干扰</w:t>
      </w:r>
      <w:r>
        <w:rPr/>
        <w:t>/阻</w:t>
      </w:r>
    </w:p>
    <w:p>
      <w:pPr>
        <w:pStyle w:val="BodyText"/>
        <w:spacing w:line="259" w:lineRule="auto" w:before="72"/>
        <w:ind w:right="229" w:firstLine="0"/>
        <w:rPr>
          <w:rFonts w:ascii="Meiryo" w:eastAsia="Meiryo" w:hint="eastAsia"/>
          <w:b/>
        </w:rPr>
      </w:pPr>
      <w:r>
        <w:rPr>
          <w:spacing w:val="-2"/>
        </w:rPr>
        <w:t>断细胞因子和炎症介质的释放、</w:t>
      </w:r>
      <w:r>
        <w:rPr/>
        <w:t>T</w:t>
      </w:r>
      <w:r>
        <w:rPr>
          <w:spacing w:val="-10"/>
        </w:rPr>
        <w:t> 细胞迁移以及皮肤细胞的活化等发挥治疗作用。本维莫德</w:t>
      </w:r>
      <w:r>
        <w:rPr/>
        <w:t>乳膏的上市将为成人轻至中度稳定性寻常型银屑病患者提供一种新的药物治疗手段。</w:t>
      </w:r>
      <w:r>
        <w:rPr>
          <w:rFonts w:ascii="Meiryo" w:eastAsia="Meiryo" w:hint="eastAsia"/>
          <w:b/>
          <w:color w:val="0033CC"/>
        </w:rPr>
        <w:t>[返回</w:t>
      </w:r>
    </w:p>
    <w:p>
      <w:pPr>
        <w:pStyle w:val="Heading3"/>
        <w:spacing w:line="268" w:lineRule="exact"/>
        <w:ind w:left="417"/>
        <w:rPr>
          <w:rFonts w:ascii="Meiryo" w:eastAsia="Meiryo" w:hint="eastAsia"/>
        </w:rPr>
      </w:pPr>
      <w:r>
        <w:rPr>
          <w:rFonts w:ascii="Meiryo" w:eastAsia="Meiryo" w:hint="eastAsia"/>
          <w:color w:val="0033CC"/>
        </w:rPr>
        <w:t>目次]</w:t>
      </w:r>
    </w:p>
    <w:p>
      <w:pPr>
        <w:spacing w:after="0" w:line="268" w:lineRule="exact"/>
        <w:rPr>
          <w:rFonts w:ascii="Meiryo" w:eastAsia="Meiryo" w:hint="eastAsia"/>
        </w:rPr>
        <w:sectPr>
          <w:type w:val="continuous"/>
          <w:pgSz w:w="11910" w:h="16850"/>
          <w:pgMar w:top="1100" w:bottom="1020" w:left="860" w:right="900"/>
        </w:sectPr>
      </w:pPr>
    </w:p>
    <w:p>
      <w:pPr>
        <w:pStyle w:val="BodyText"/>
        <w:spacing w:before="18"/>
        <w:ind w:left="0" w:firstLine="0"/>
        <w:rPr>
          <w:rFonts w:ascii="Meiryo"/>
          <w:b/>
          <w:sz w:val="34"/>
        </w:rPr>
      </w:pPr>
    </w:p>
    <w:p>
      <w:pPr>
        <w:spacing w:before="0"/>
        <w:ind w:left="417" w:right="0" w:firstLine="0"/>
        <w:jc w:val="left"/>
        <w:rPr>
          <w:b/>
          <w:sz w:val="32"/>
        </w:rPr>
      </w:pPr>
      <w:r>
        <w:rPr>
          <w:b/>
          <w:sz w:val="32"/>
        </w:rPr>
        <w:t>【临床药师】</w:t>
      </w:r>
    </w:p>
    <w:p>
      <w:pPr>
        <w:pStyle w:val="Heading1"/>
        <w:spacing w:line="662" w:lineRule="exact"/>
        <w:ind w:left="417"/>
        <w:jc w:val="left"/>
        <w:rPr>
          <w:u w:val="none"/>
        </w:rPr>
      </w:pPr>
      <w:bookmarkStart w:name="_TOC_250028" w:id="24"/>
      <w:r>
        <w:rPr>
          <w:b w:val="0"/>
          <w:u w:val="none"/>
        </w:rPr>
        <w:br w:type="column"/>
      </w:r>
      <w:r>
        <w:rPr>
          <w:rFonts w:ascii="Times New Roman" w:eastAsia="Times New Roman"/>
          <w:color w:val="008000"/>
          <w:spacing w:val="-110"/>
          <w:w w:val="99"/>
          <w:u w:val="thick" w:color="008000"/>
        </w:rPr>
        <w:t> </w:t>
      </w:r>
      <w:bookmarkEnd w:id="24"/>
      <w:r>
        <w:rPr>
          <w:color w:val="008000"/>
          <w:u w:val="thick" w:color="008000"/>
        </w:rPr>
        <w:t>合理用药</w:t>
      </w:r>
    </w:p>
    <w:p>
      <w:pPr>
        <w:spacing w:after="0" w:line="662" w:lineRule="exact"/>
        <w:jc w:val="left"/>
        <w:sectPr>
          <w:type w:val="continuous"/>
          <w:pgSz w:w="11910" w:h="16850"/>
          <w:pgMar w:top="1100" w:bottom="1020" w:left="860" w:right="900"/>
          <w:cols w:num="2" w:equalWidth="0">
            <w:col w:w="2387" w:space="2000"/>
            <w:col w:w="5763"/>
          </w:cols>
        </w:sectPr>
      </w:pPr>
    </w:p>
    <w:p>
      <w:pPr>
        <w:pStyle w:val="BodyText"/>
        <w:spacing w:before="9"/>
        <w:ind w:left="0" w:firstLine="0"/>
        <w:rPr>
          <w:rFonts w:ascii="华文宋体"/>
          <w:b/>
          <w:sz w:val="14"/>
        </w:rPr>
      </w:pPr>
    </w:p>
    <w:p>
      <w:pPr>
        <w:pStyle w:val="Heading2"/>
        <w:spacing w:before="55"/>
        <w:ind w:left="784"/>
      </w:pPr>
      <w:bookmarkStart w:name="_TOC_250027" w:id="25"/>
      <w:bookmarkEnd w:id="25"/>
      <w:r>
        <w:rPr/>
        <w:t>EGFR-TKI 的选择不断增加，为全程管理方案的制定带来新思考</w:t>
      </w:r>
    </w:p>
    <w:p>
      <w:pPr>
        <w:spacing w:before="147"/>
        <w:ind w:left="0" w:right="228" w:firstLine="0"/>
        <w:jc w:val="right"/>
        <w:rPr>
          <w:rFonts w:ascii="楷体" w:eastAsia="楷体" w:hint="eastAsia"/>
          <w:b/>
          <w:sz w:val="24"/>
        </w:rPr>
      </w:pPr>
      <w:r>
        <w:rPr>
          <w:rFonts w:ascii="楷体" w:eastAsia="楷体" w:hint="eastAsia"/>
          <w:b/>
          <w:color w:val="FF0000"/>
          <w:w w:val="95"/>
          <w:sz w:val="24"/>
        </w:rPr>
        <w:t>（来源：中国医学论坛报）</w:t>
      </w:r>
    </w:p>
    <w:p>
      <w:pPr>
        <w:pStyle w:val="BodyText"/>
        <w:spacing w:before="96"/>
        <w:ind w:left="897" w:firstLine="0"/>
      </w:pPr>
      <w:r>
        <w:rPr/>
        <w:t>2019 年 5 月 15 日，基于 ARCHER 1050 研究，达可替尼获得中国国家药品监督管理局</w:t>
      </w:r>
    </w:p>
    <w:p>
      <w:pPr>
        <w:pStyle w:val="BodyText"/>
        <w:spacing w:line="297" w:lineRule="auto" w:before="72"/>
        <w:ind w:right="209" w:firstLine="0"/>
      </w:pPr>
      <w:r>
        <w:rPr/>
        <w:t>（NMPA）</w:t>
      </w:r>
      <w:r>
        <w:rPr>
          <w:spacing w:val="-4"/>
        </w:rPr>
        <w:t>批准，可单药用于表皮生长因子受体</w:t>
      </w:r>
      <w:r>
        <w:rPr/>
        <w:t>（EGFR）19</w:t>
      </w:r>
      <w:r>
        <w:rPr>
          <w:spacing w:val="-15"/>
        </w:rPr>
        <w:t> 号外显子缺失突变或 </w:t>
      </w:r>
      <w:r>
        <w:rPr/>
        <w:t>21</w:t>
      </w:r>
      <w:r>
        <w:rPr>
          <w:spacing w:val="-14"/>
        </w:rPr>
        <w:t> 号外显子L858R</w:t>
      </w:r>
      <w:r>
        <w:rPr>
          <w:spacing w:val="-8"/>
        </w:rPr>
        <w:t> 置换突变的局部晚期或转移性非小细胞肺癌</w:t>
      </w:r>
      <w:r>
        <w:rPr/>
        <w:t>（NSCLC）患者的一线治疗，这也是首个</w:t>
      </w:r>
      <w:r>
        <w:rPr>
          <w:spacing w:val="-30"/>
        </w:rPr>
        <w:t>为 </w:t>
      </w:r>
      <w:r>
        <w:rPr/>
        <w:t>EGFR</w:t>
      </w:r>
      <w:r>
        <w:rPr>
          <w:spacing w:val="-31"/>
        </w:rPr>
        <w:t> 突变 </w:t>
      </w:r>
      <w:r>
        <w:rPr/>
        <w:t>NSCLC</w:t>
      </w:r>
      <w:r>
        <w:rPr>
          <w:spacing w:val="-16"/>
        </w:rPr>
        <w:t> 患者提供临床意义总生存期</w:t>
      </w:r>
      <w:r>
        <w:rPr/>
        <w:t>（OS</w:t>
      </w:r>
      <w:r>
        <w:rPr>
          <w:spacing w:val="-101"/>
        </w:rPr>
        <w:t>）</w:t>
      </w:r>
      <w:r>
        <w:rPr>
          <w:spacing w:val="-15"/>
        </w:rPr>
        <w:t>改善的 </w:t>
      </w:r>
      <w:r>
        <w:rPr/>
        <w:t>EGFR-</w:t>
      </w:r>
      <w:r>
        <w:rPr>
          <w:spacing w:val="-13"/>
        </w:rPr>
        <w:t>酪氨酸激酶抑制剂</w:t>
      </w:r>
      <w:r>
        <w:rPr/>
        <w:t>（TKI</w:t>
      </w:r>
      <w:r>
        <w:rPr>
          <w:spacing w:val="-101"/>
        </w:rPr>
        <w:t>）</w:t>
      </w:r>
      <w:r>
        <w:rPr>
          <w:spacing w:val="-115"/>
        </w:rPr>
        <w:t>。</w:t>
      </w:r>
    </w:p>
    <w:p>
      <w:pPr>
        <w:pStyle w:val="BodyText"/>
        <w:spacing w:line="297" w:lineRule="auto"/>
        <w:ind w:right="229"/>
        <w:jc w:val="both"/>
      </w:pPr>
      <w:r>
        <w:rPr>
          <w:spacing w:val="-5"/>
        </w:rPr>
        <w:t>目前，一代、二代、三代 </w:t>
      </w:r>
      <w:r>
        <w:rPr/>
        <w:t>EGFR-TKI</w:t>
      </w:r>
      <w:r>
        <w:rPr>
          <w:spacing w:val="-8"/>
        </w:rPr>
        <w:t> 并存，用药选择不断增加，如何“排兵布阵”以获</w:t>
      </w:r>
      <w:r>
        <w:rPr>
          <w:spacing w:val="-13"/>
        </w:rPr>
        <w:t>得最理想的生存获益，受到临床医生的广泛关注。目前主要有两种观点：第一、一线就选用</w:t>
      </w:r>
      <w:r>
        <w:rPr>
          <w:spacing w:val="-4"/>
        </w:rPr>
        <w:t>无进展生存期</w:t>
      </w:r>
      <w:r>
        <w:rPr>
          <w:spacing w:val="-5"/>
        </w:rPr>
        <w:t>（PFS）</w:t>
      </w:r>
      <w:r>
        <w:rPr>
          <w:spacing w:val="-10"/>
        </w:rPr>
        <w:t>最长的药物；第二、根据各代 </w:t>
      </w:r>
      <w:r>
        <w:rPr/>
        <w:t>EGFR-TKI</w:t>
      </w:r>
      <w:r>
        <w:rPr>
          <w:spacing w:val="-10"/>
        </w:rPr>
        <w:t> 不同的耐药机制，制定合理的</w:t>
      </w:r>
      <w:r>
        <w:rPr/>
        <w:t>序贯治疗方案。</w:t>
      </w:r>
    </w:p>
    <w:p>
      <w:pPr>
        <w:pStyle w:val="BodyText"/>
        <w:spacing w:line="295" w:lineRule="auto"/>
        <w:ind w:right="246"/>
        <w:jc w:val="both"/>
      </w:pPr>
      <w:r>
        <w:rPr>
          <w:spacing w:val="-6"/>
        </w:rPr>
        <w:t>达可替尼的上市，会给 </w:t>
      </w:r>
      <w:r>
        <w:rPr/>
        <w:t>EGFR</w:t>
      </w:r>
      <w:r>
        <w:rPr>
          <w:spacing w:val="-16"/>
        </w:rPr>
        <w:t> 突变阳性晚期 </w:t>
      </w:r>
      <w:r>
        <w:rPr/>
        <w:t>NSCLC</w:t>
      </w:r>
      <w:r>
        <w:rPr>
          <w:spacing w:val="-9"/>
        </w:rPr>
        <w:t> 的治疗策略带来哪些影响，让我们来</w:t>
      </w:r>
      <w:r>
        <w:rPr/>
        <w:t>听东部战区总医院的宋勇教授如何分析。</w:t>
      </w:r>
    </w:p>
    <w:p>
      <w:pPr>
        <w:pStyle w:val="Heading3"/>
      </w:pPr>
      <w:r>
        <w:rPr/>
        <w:t>最佳全程管理方案之“争”，值得关注</w:t>
      </w:r>
    </w:p>
    <w:p>
      <w:pPr>
        <w:pStyle w:val="BodyText"/>
        <w:spacing w:line="297" w:lineRule="auto" w:before="69"/>
        <w:ind w:right="229"/>
        <w:jc w:val="both"/>
      </w:pPr>
      <w:r>
        <w:rPr>
          <w:spacing w:val="-5"/>
        </w:rPr>
        <w:t>目前，一代、二代、三代 </w:t>
      </w:r>
      <w:r>
        <w:rPr/>
        <w:t>EGFR-TKI</w:t>
      </w:r>
      <w:r>
        <w:rPr>
          <w:spacing w:val="-8"/>
        </w:rPr>
        <w:t> 均已获批上市，临床医生有了更多的选择。一代药</w:t>
      </w:r>
      <w:r>
        <w:rPr>
          <w:spacing w:val="-15"/>
        </w:rPr>
        <w:t>物数量较多，用药经验也较丰富，包括吉非替尼、厄洛替尼和埃克替尼；二代 </w:t>
      </w:r>
      <w:r>
        <w:rPr/>
        <w:t>TKI</w:t>
      </w:r>
      <w:r>
        <w:rPr>
          <w:spacing w:val="-15"/>
        </w:rPr>
        <w:t> 包括阿法</w:t>
      </w:r>
      <w:r>
        <w:rPr>
          <w:spacing w:val="-7"/>
        </w:rPr>
        <w:t>替尼和新上市的达可替尼；三代 </w:t>
      </w:r>
      <w:r>
        <w:rPr/>
        <w:t>TKI</w:t>
      </w:r>
      <w:r>
        <w:rPr>
          <w:spacing w:val="-13"/>
        </w:rPr>
        <w:t> 为奥希替尼，如何“排兵布阵”以获得最理想的生存获</w:t>
      </w:r>
      <w:r>
        <w:rPr/>
        <w:t>益，是肿瘤科医生需要思考的问题。</w:t>
      </w:r>
    </w:p>
    <w:p>
      <w:pPr>
        <w:pStyle w:val="BodyText"/>
        <w:spacing w:line="295" w:lineRule="auto"/>
        <w:ind w:right="226"/>
        <w:jc w:val="both"/>
      </w:pPr>
      <w:r>
        <w:rPr>
          <w:spacing w:val="-7"/>
        </w:rPr>
        <w:t>目前，一代药物之间的头对头研究结果显示，</w:t>
      </w:r>
      <w:r>
        <w:rPr>
          <w:spacing w:val="-9"/>
        </w:rPr>
        <w:t>PFS</w:t>
      </w:r>
      <w:r>
        <w:rPr>
          <w:spacing w:val="-40"/>
        </w:rPr>
        <w:t> 和 </w:t>
      </w:r>
      <w:r>
        <w:rPr/>
        <w:t>OS</w:t>
      </w:r>
      <w:r>
        <w:rPr>
          <w:spacing w:val="-14"/>
        </w:rPr>
        <w:t> 之间未见显著差异。而二代 </w:t>
      </w:r>
      <w:r>
        <w:rPr>
          <w:spacing w:val="-6"/>
        </w:rPr>
        <w:t>TKI </w:t>
      </w:r>
      <w:r>
        <w:rPr>
          <w:spacing w:val="-8"/>
        </w:rPr>
        <w:t>较一代，无论在 </w:t>
      </w:r>
      <w:r>
        <w:rPr/>
        <w:t>PFS</w:t>
      </w:r>
      <w:r>
        <w:rPr>
          <w:spacing w:val="-30"/>
        </w:rPr>
        <w:t> 还是 </w:t>
      </w:r>
      <w:r>
        <w:rPr/>
        <w:t>OS</w:t>
      </w:r>
      <w:r>
        <w:rPr>
          <w:spacing w:val="-11"/>
        </w:rPr>
        <w:t> 方面，均有一定程度的改善。尤其是 </w:t>
      </w:r>
      <w:r>
        <w:rPr/>
        <w:t>ARCHER 1050</w:t>
      </w:r>
      <w:r>
        <w:rPr>
          <w:spacing w:val="-10"/>
        </w:rPr>
        <w:t> 研究显示，</w:t>
      </w:r>
    </w:p>
    <w:p>
      <w:pPr>
        <w:spacing w:after="0" w:line="295" w:lineRule="auto"/>
        <w:jc w:val="both"/>
        <w:sectPr>
          <w:type w:val="continuous"/>
          <w:pgSz w:w="11910" w:h="16850"/>
          <w:pgMar w:top="1100" w:bottom="1020" w:left="860" w:right="900"/>
        </w:sectPr>
      </w:pPr>
    </w:p>
    <w:p>
      <w:pPr>
        <w:pStyle w:val="BodyText"/>
        <w:spacing w:line="295" w:lineRule="auto" w:before="65"/>
        <w:ind w:right="245" w:firstLine="0"/>
        <w:jc w:val="both"/>
      </w:pPr>
      <w:r>
        <w:rPr>
          <w:spacing w:val="-6"/>
        </w:rPr>
        <w:t>达可替尼组患者的中位 </w:t>
      </w:r>
      <w:r>
        <w:rPr/>
        <w:t>PFS</w:t>
      </w:r>
      <w:r>
        <w:rPr>
          <w:spacing w:val="-14"/>
        </w:rPr>
        <w:t> 较吉非替尼延长 </w:t>
      </w:r>
      <w:r>
        <w:rPr/>
        <w:t>5.5</w:t>
      </w:r>
      <w:r>
        <w:rPr>
          <w:spacing w:val="-20"/>
        </w:rPr>
        <w:t> 个月</w:t>
      </w:r>
      <w:r>
        <w:rPr/>
        <w:t>，OS</w:t>
      </w:r>
      <w:r>
        <w:rPr>
          <w:spacing w:val="-30"/>
        </w:rPr>
        <w:t> 延长 </w:t>
      </w:r>
      <w:r>
        <w:rPr/>
        <w:t>7.3</w:t>
      </w:r>
      <w:r>
        <w:rPr>
          <w:spacing w:val="-16"/>
        </w:rPr>
        <w:t> 个月。而三代 </w:t>
      </w:r>
      <w:r>
        <w:rPr/>
        <w:t>TKI</w:t>
      </w:r>
      <w:r>
        <w:rPr>
          <w:spacing w:val="-20"/>
        </w:rPr>
        <w:t> 奥希</w:t>
      </w:r>
      <w:r>
        <w:rPr>
          <w:spacing w:val="-24"/>
        </w:rPr>
        <w:t>替尼如果作为一线用药，其 </w:t>
      </w:r>
      <w:r>
        <w:rPr/>
        <w:t>OS</w:t>
      </w:r>
      <w:r>
        <w:rPr>
          <w:spacing w:val="-8"/>
        </w:rPr>
        <w:t> 数据结果如何，十分期待今年欧洲肿瘤内科学会</w:t>
      </w:r>
      <w:r>
        <w:rPr/>
        <w:t>（ESMO）</w:t>
      </w:r>
      <w:r>
        <w:rPr>
          <w:spacing w:val="-17"/>
        </w:rPr>
        <w:t>年</w:t>
      </w:r>
      <w:r>
        <w:rPr>
          <w:spacing w:val="-16"/>
        </w:rPr>
        <w:t>会期间 </w:t>
      </w:r>
      <w:r>
        <w:rPr/>
        <w:t>FLAURA</w:t>
      </w:r>
      <w:r>
        <w:rPr>
          <w:spacing w:val="-8"/>
        </w:rPr>
        <w:t> 研究结果的公布。</w:t>
      </w:r>
    </w:p>
    <w:p>
      <w:pPr>
        <w:pStyle w:val="BodyText"/>
        <w:spacing w:line="297" w:lineRule="auto" w:before="5"/>
        <w:ind w:right="228"/>
        <w:jc w:val="both"/>
      </w:pPr>
      <w:r>
        <w:rPr>
          <w:spacing w:val="-6"/>
        </w:rPr>
        <w:t>根据目前的循证学依据和用药情况来看，一代 </w:t>
      </w:r>
      <w:r>
        <w:rPr/>
        <w:t>TKI</w:t>
      </w:r>
      <w:r>
        <w:rPr>
          <w:spacing w:val="-13"/>
        </w:rPr>
        <w:t> 序贯三代的临床应用较多，一线使用</w:t>
      </w:r>
      <w:r>
        <w:rPr>
          <w:spacing w:val="-21"/>
        </w:rPr>
        <w:t>二代 </w:t>
      </w:r>
      <w:r>
        <w:rPr/>
        <w:t>TKI</w:t>
      </w:r>
      <w:r>
        <w:rPr>
          <w:spacing w:val="-6"/>
        </w:rPr>
        <w:t>，发生耐药后，对发生 </w:t>
      </w:r>
      <w:r>
        <w:rPr/>
        <w:t>T790M</w:t>
      </w:r>
      <w:r>
        <w:rPr>
          <w:spacing w:val="-13"/>
        </w:rPr>
        <w:t> 突变的患者序贯三代 </w:t>
      </w:r>
      <w:r>
        <w:rPr/>
        <w:t>TKI，可能会带来更长的生存获</w:t>
      </w:r>
      <w:r>
        <w:rPr>
          <w:spacing w:val="-12"/>
        </w:rPr>
        <w:t>益，而起始使用三代 </w:t>
      </w:r>
      <w:r>
        <w:rPr/>
        <w:t>TKI</w:t>
      </w:r>
      <w:r>
        <w:rPr>
          <w:spacing w:val="-13"/>
        </w:rPr>
        <w:t> 的数据尚未公布。因此，哪个才是最佳的全程管理方案，需要更多后续研究来回答。</w:t>
      </w:r>
    </w:p>
    <w:p>
      <w:pPr>
        <w:pStyle w:val="Heading3"/>
        <w:spacing w:line="302" w:lineRule="exact"/>
      </w:pPr>
      <w:r>
        <w:rPr/>
        <w:t>探索个体化用药剂量，平衡疗效与安全性</w:t>
      </w:r>
    </w:p>
    <w:p>
      <w:pPr>
        <w:pStyle w:val="BodyText"/>
        <w:spacing w:line="297" w:lineRule="auto" w:before="72"/>
        <w:ind w:right="227"/>
        <w:jc w:val="both"/>
      </w:pPr>
      <w:r>
        <w:rPr/>
        <w:t>ARCHER</w:t>
      </w:r>
      <w:r>
        <w:rPr>
          <w:spacing w:val="-44"/>
        </w:rPr>
        <w:t> </w:t>
      </w:r>
      <w:r>
        <w:rPr/>
        <w:t>1050</w:t>
      </w:r>
      <w:r>
        <w:rPr>
          <w:spacing w:val="-9"/>
        </w:rPr>
        <w:t> 研究中，达可替尼的剂量调整问题受到关注。研究结果显示，有相当比例</w:t>
      </w:r>
      <w:r>
        <w:rPr>
          <w:spacing w:val="-7"/>
        </w:rPr>
        <w:t>的患者在用药期间进行了剂量调整，但是疗效未受到影响。由于药代动力学、药物代谢等因</w:t>
      </w:r>
      <w:r>
        <w:rPr>
          <w:spacing w:val="-6"/>
        </w:rPr>
        <w:t>素存在个体化差异，因此对于靶向药物治疗剂量的制定，我们不能“千篇一律”，需要探索个体化剂量，根据患者的耐受性进行调整，以平衡疗效与安全性。</w:t>
      </w:r>
    </w:p>
    <w:p>
      <w:pPr>
        <w:pStyle w:val="Heading3"/>
        <w:spacing w:line="304" w:lineRule="exact"/>
      </w:pPr>
      <w:r>
        <w:rPr/>
        <w:t>不同种类 EGFR-TKI 的耐药机制存在差异</w:t>
      </w:r>
    </w:p>
    <w:p>
      <w:pPr>
        <w:pStyle w:val="BodyText"/>
        <w:spacing w:line="297" w:lineRule="auto" w:before="72"/>
        <w:ind w:right="228"/>
      </w:pPr>
      <w:r>
        <w:rPr>
          <w:spacing w:val="-2"/>
        </w:rPr>
        <w:t>靶向药物不可避免会发生耐药，耐药机制是制定后线治疗方案的重要因素。一代 </w:t>
      </w:r>
      <w:r>
        <w:rPr/>
        <w:t>TKI </w:t>
      </w:r>
      <w:r>
        <w:rPr>
          <w:spacing w:val="-21"/>
        </w:rPr>
        <w:t>超过 </w:t>
      </w:r>
      <w:r>
        <w:rPr/>
        <w:t>50</w:t>
      </w:r>
      <w:r>
        <w:rPr>
          <w:spacing w:val="-10"/>
        </w:rPr>
        <w:t>%的耐药与 </w:t>
      </w:r>
      <w:r>
        <w:rPr/>
        <w:t>T790M</w:t>
      </w:r>
      <w:r>
        <w:rPr>
          <w:spacing w:val="-13"/>
        </w:rPr>
        <w:t> 突变有关，此外还有旁路激活、组织学类型转化等，针对 </w:t>
      </w:r>
      <w:r>
        <w:rPr/>
        <w:t>T790M</w:t>
      </w:r>
      <w:r>
        <w:rPr>
          <w:spacing w:val="-37"/>
        </w:rPr>
        <w:t> 突</w:t>
      </w:r>
      <w:r>
        <w:rPr>
          <w:spacing w:val="-5"/>
        </w:rPr>
        <w:t>变的患者，能够序贯三代 </w:t>
      </w:r>
      <w:r>
        <w:rPr/>
        <w:t>TKI</w:t>
      </w:r>
      <w:r>
        <w:rPr>
          <w:spacing w:val="-15"/>
        </w:rPr>
        <w:t>。二代 </w:t>
      </w:r>
      <w:r>
        <w:rPr/>
        <w:t>TKI</w:t>
      </w:r>
      <w:r>
        <w:rPr>
          <w:spacing w:val="-8"/>
        </w:rPr>
        <w:t> 的耐药机制与一代相似</w:t>
      </w:r>
      <w:r>
        <w:rPr/>
        <w:t>，T790M</w:t>
      </w:r>
      <w:r>
        <w:rPr>
          <w:spacing w:val="-8"/>
        </w:rPr>
        <w:t> 突变率也相似。但</w:t>
      </w:r>
      <w:r>
        <w:rPr>
          <w:spacing w:val="-22"/>
        </w:rPr>
        <w:t>是三代 </w:t>
      </w:r>
      <w:r>
        <w:rPr/>
        <w:t>TKI</w:t>
      </w:r>
      <w:r>
        <w:rPr>
          <w:spacing w:val="-12"/>
        </w:rPr>
        <w:t> 的耐药机制较为复杂，如果一线使用三代 </w:t>
      </w:r>
      <w:r>
        <w:rPr>
          <w:spacing w:val="-4"/>
        </w:rPr>
        <w:t>TKI</w:t>
      </w:r>
      <w:r>
        <w:rPr>
          <w:spacing w:val="-5"/>
        </w:rPr>
        <w:t>，一旦出现耐药，后续治疗选择有</w:t>
      </w:r>
      <w:r>
        <w:rPr>
          <w:spacing w:val="-8"/>
        </w:rPr>
        <w:t>限，以化疗为主。因此目前来看，相较一线起始使用三代 </w:t>
      </w:r>
      <w:r>
        <w:rPr>
          <w:spacing w:val="-3"/>
        </w:rPr>
        <w:t>TKI</w:t>
      </w:r>
      <w:r>
        <w:rPr>
          <w:spacing w:val="-4"/>
        </w:rPr>
        <w:t>，二代序贯三代可能是更理想</w:t>
      </w:r>
      <w:r>
        <w:rPr/>
        <w:t>的选择。</w:t>
      </w:r>
    </w:p>
    <w:p>
      <w:pPr>
        <w:spacing w:line="271" w:lineRule="auto" w:before="22"/>
        <w:ind w:left="417" w:right="315" w:firstLine="480"/>
        <w:jc w:val="left"/>
        <w:rPr>
          <w:rFonts w:ascii="Meiryo" w:eastAsia="Meiryo" w:hint="eastAsia"/>
          <w:b/>
          <w:sz w:val="24"/>
        </w:rPr>
      </w:pPr>
      <w:r>
        <w:rPr>
          <w:rFonts w:ascii="楷体" w:eastAsia="楷体" w:hint="eastAsia"/>
          <w:sz w:val="21"/>
        </w:rPr>
        <w:t>作者：宋勇 教授呼吸内科主任，肺癌综合诊治中心主任，南京大学呼吸病学研究所所长，全军呼吸内科专业委员会副主任委员。</w:t>
      </w:r>
      <w:r>
        <w:rPr>
          <w:rFonts w:ascii="Meiryo" w:eastAsia="Meiryo" w:hint="eastAsia"/>
          <w:b/>
          <w:color w:val="0033CC"/>
          <w:sz w:val="24"/>
        </w:rPr>
        <w:t>[返回目次]</w:t>
      </w:r>
    </w:p>
    <w:p>
      <w:pPr>
        <w:pStyle w:val="Heading2"/>
        <w:spacing w:before="6"/>
      </w:pPr>
      <w:bookmarkStart w:name="_TOC_250026" w:id="26"/>
      <w:bookmarkEnd w:id="26"/>
      <w:r>
        <w:rPr/>
        <w:t>【专家观点】</w:t>
      </w:r>
    </w:p>
    <w:p>
      <w:pPr>
        <w:pStyle w:val="BodyText"/>
        <w:spacing w:before="8"/>
        <w:ind w:left="0" w:firstLine="0"/>
        <w:rPr>
          <w:b/>
          <w:sz w:val="18"/>
        </w:rPr>
      </w:pPr>
    </w:p>
    <w:p>
      <w:pPr>
        <w:pStyle w:val="Heading2"/>
        <w:spacing w:before="54"/>
        <w:ind w:left="182"/>
        <w:jc w:val="center"/>
      </w:pPr>
      <w:bookmarkStart w:name="_TOC_250025" w:id="27"/>
      <w:bookmarkEnd w:id="27"/>
      <w:r>
        <w:rPr/>
        <w:t>科学认知乙肝药物 积极推动乙肝治疗</w:t>
      </w:r>
    </w:p>
    <w:p>
      <w:pPr>
        <w:spacing w:before="79"/>
        <w:ind w:left="189" w:right="0" w:firstLine="0"/>
        <w:jc w:val="center"/>
        <w:rPr>
          <w:sz w:val="21"/>
        </w:rPr>
      </w:pPr>
      <w:r>
        <w:rPr>
          <w:sz w:val="21"/>
        </w:rPr>
        <w:t>——慢乙肝创新药丙酚替诺福韦治疗优势分析</w:t>
      </w:r>
    </w:p>
    <w:p>
      <w:pPr>
        <w:pStyle w:val="Heading3"/>
        <w:spacing w:before="177"/>
        <w:ind w:left="0" w:right="228"/>
        <w:jc w:val="right"/>
        <w:rPr>
          <w:rFonts w:ascii="楷体" w:eastAsia="楷体" w:hint="eastAsia"/>
        </w:rPr>
      </w:pPr>
      <w:r>
        <w:rPr>
          <w:rFonts w:ascii="楷体" w:eastAsia="楷体" w:hint="eastAsia"/>
          <w:color w:val="FF0000"/>
          <w:w w:val="95"/>
        </w:rPr>
        <w:t>（来源：健康报）</w:t>
      </w:r>
    </w:p>
    <w:p>
      <w:pPr>
        <w:pStyle w:val="BodyText"/>
        <w:spacing w:line="280" w:lineRule="auto" w:before="81"/>
        <w:ind w:right="232" w:firstLine="482"/>
        <w:jc w:val="both"/>
      </w:pPr>
      <w:r>
        <w:rPr>
          <w:spacing w:val="-31"/>
        </w:rPr>
        <w:t>自 </w:t>
      </w:r>
      <w:r>
        <w:rPr/>
        <w:t>2017</w:t>
      </w:r>
      <w:r>
        <w:rPr>
          <w:spacing w:val="-8"/>
        </w:rPr>
        <w:t> 年欧洲肝脏研究学会指南把恩替卡韦</w:t>
      </w:r>
      <w:r>
        <w:rPr/>
        <w:t>（ETV）、替诺福韦二吡呋酯（TDF）、丙酚替诺福韦（TAF）都列为一线首选的乙肝核苷（酸）类抗病毒药物以来，TAF</w:t>
      </w:r>
      <w:r>
        <w:rPr>
          <w:spacing w:val="-10"/>
        </w:rPr>
        <w:t> 以其强效抗</w:t>
      </w:r>
      <w:r>
        <w:rPr>
          <w:spacing w:val="-13"/>
        </w:rPr>
        <w:t>病毒、更高的转氨酶复常率、更好的骨肾安全性、妊娠安全性、零耐药等优点，得到临床极</w:t>
      </w:r>
      <w:r>
        <w:rPr/>
        <w:t>大关注。</w:t>
      </w:r>
    </w:p>
    <w:p>
      <w:pPr>
        <w:pStyle w:val="BodyText"/>
        <w:spacing w:line="280" w:lineRule="auto" w:before="1"/>
        <w:ind w:right="226" w:firstLine="482"/>
        <w:jc w:val="both"/>
      </w:pPr>
      <w:r>
        <w:rPr/>
        <w:t>TDF</w:t>
      </w:r>
      <w:r>
        <w:rPr>
          <w:spacing w:val="-40"/>
        </w:rPr>
        <w:t> 和 </w:t>
      </w:r>
      <w:r>
        <w:rPr/>
        <w:t>TAF</w:t>
      </w:r>
      <w:r>
        <w:rPr>
          <w:spacing w:val="-9"/>
        </w:rPr>
        <w:t> 的活性抗病毒成分都是替诺福韦</w:t>
      </w:r>
      <w:r>
        <w:rPr>
          <w:spacing w:val="-3"/>
        </w:rPr>
        <w:t>（Tenofovir，TFV），</w:t>
      </w:r>
      <w:r>
        <w:rPr>
          <w:spacing w:val="-20"/>
        </w:rPr>
        <w:t>但是 </w:t>
      </w:r>
      <w:r>
        <w:rPr/>
        <w:t>TDF</w:t>
      </w:r>
      <w:r>
        <w:rPr>
          <w:spacing w:val="-39"/>
        </w:rPr>
        <w:t> 和 </w:t>
      </w:r>
      <w:r>
        <w:rPr/>
        <w:t>TAF</w:t>
      </w:r>
      <w:r>
        <w:rPr>
          <w:spacing w:val="-24"/>
        </w:rPr>
        <w:t> 这两</w:t>
      </w:r>
      <w:r>
        <w:rPr>
          <w:spacing w:val="-2"/>
        </w:rPr>
        <w:t>个前体药物是有区别的。了解他们之间的区别，对理解和正确应用 </w:t>
      </w:r>
      <w:r>
        <w:rPr/>
        <w:t>TDF、TAF，推动我国乙</w:t>
      </w:r>
      <w:r>
        <w:rPr>
          <w:spacing w:val="-12"/>
        </w:rPr>
        <w:t>肝防治，预防和控制乙肝母婴传播，在可预见的将来彻底甩掉“乙肝大国”的帽子有重要意</w:t>
      </w:r>
      <w:r>
        <w:rPr/>
        <w:t>义。</w:t>
      </w:r>
    </w:p>
    <w:p>
      <w:pPr>
        <w:pStyle w:val="Heading3"/>
        <w:spacing w:before="2"/>
        <w:ind w:left="899"/>
      </w:pPr>
      <w:r>
        <w:rPr/>
        <w:t>TFV、TDF 和 TAF</w:t>
      </w:r>
    </w:p>
    <w:p>
      <w:pPr>
        <w:pStyle w:val="BodyText"/>
        <w:spacing w:line="280" w:lineRule="auto" w:before="52"/>
        <w:ind w:right="229" w:firstLine="482"/>
      </w:pPr>
      <w:r>
        <w:rPr/>
        <w:t>TFV</w:t>
      </w:r>
      <w:r>
        <w:rPr>
          <w:spacing w:val="-15"/>
        </w:rPr>
        <w:t> 对乙肝病毒</w:t>
      </w:r>
      <w:r>
        <w:rPr/>
        <w:t>（HBV）</w:t>
      </w:r>
      <w:r>
        <w:rPr>
          <w:spacing w:val="-2"/>
        </w:rPr>
        <w:t>和人类免疫缺陷病毒</w:t>
      </w:r>
      <w:r>
        <w:rPr/>
        <w:t>（HIV）</w:t>
      </w:r>
      <w:r>
        <w:rPr>
          <w:spacing w:val="-2"/>
        </w:rPr>
        <w:t>都有很好的抗病毒作用，但是单独</w:t>
      </w:r>
      <w:r>
        <w:rPr/>
        <w:t>应用不能被人体所吸收。当加入醇化合物形成酯键后，就能够被人体吸收。</w:t>
      </w:r>
    </w:p>
    <w:p>
      <w:pPr>
        <w:spacing w:after="0" w:line="280" w:lineRule="auto"/>
        <w:sectPr>
          <w:pgSz w:w="11910" w:h="16850"/>
          <w:pgMar w:header="906" w:footer="607" w:top="1100" w:bottom="800" w:left="860" w:right="900"/>
        </w:sectPr>
      </w:pPr>
    </w:p>
    <w:p>
      <w:pPr>
        <w:pStyle w:val="BodyText"/>
        <w:spacing w:line="280" w:lineRule="auto" w:before="48"/>
        <w:ind w:right="230" w:firstLine="482"/>
      </w:pPr>
      <w:r>
        <w:rPr>
          <w:spacing w:val="-31"/>
        </w:rPr>
        <w:t>当 </w:t>
      </w:r>
      <w:r>
        <w:rPr/>
        <w:t>TFV</w:t>
      </w:r>
      <w:r>
        <w:rPr>
          <w:spacing w:val="-14"/>
        </w:rPr>
        <w:t> 加上两条吡呋醇，使其成为替诺福韦二吡呋酯，极大增加了其口服生物利用度及</w:t>
      </w:r>
      <w:r>
        <w:rPr>
          <w:spacing w:val="-8"/>
        </w:rPr>
        <w:t>稳定性，产物为 </w:t>
      </w:r>
      <w:r>
        <w:rPr/>
        <w:t>TDF。</w:t>
      </w:r>
    </w:p>
    <w:p>
      <w:pPr>
        <w:pStyle w:val="BodyText"/>
        <w:spacing w:line="280" w:lineRule="auto" w:before="1"/>
        <w:ind w:right="107" w:firstLine="482"/>
      </w:pPr>
      <w:r>
        <w:rPr>
          <w:spacing w:val="-31"/>
        </w:rPr>
        <w:t>当 </w:t>
      </w:r>
      <w:r>
        <w:rPr/>
        <w:t>TFV</w:t>
      </w:r>
      <w:r>
        <w:rPr>
          <w:spacing w:val="-12"/>
        </w:rPr>
        <w:t> 接上丙酚</w:t>
      </w:r>
      <w:r>
        <w:rPr/>
        <w:t>（Ala），使其成为丙酚替诺福韦，不仅增强了其口服生物利用度，而</w:t>
      </w:r>
      <w:r>
        <w:rPr>
          <w:spacing w:val="-16"/>
        </w:rPr>
        <w:t>且可以直接靶向肝细胞，在提高肝细胞内抗病毒效果的同时，大大减少了经肾脏代谢的负担， 产物为 </w:t>
      </w:r>
      <w:r>
        <w:rPr/>
        <w:t>TAF。</w:t>
      </w:r>
    </w:p>
    <w:p>
      <w:pPr>
        <w:pStyle w:val="Heading3"/>
        <w:ind w:left="899"/>
      </w:pPr>
      <w:r>
        <w:rPr/>
        <w:t>TDF 作用机理</w:t>
      </w:r>
    </w:p>
    <w:p>
      <w:pPr>
        <w:pStyle w:val="BodyText"/>
        <w:spacing w:line="280" w:lineRule="auto" w:before="53"/>
        <w:ind w:right="226" w:firstLine="482"/>
        <w:jc w:val="both"/>
      </w:pPr>
      <w:r>
        <w:rPr/>
        <w:t>TDF</w:t>
      </w:r>
      <w:r>
        <w:rPr>
          <w:spacing w:val="-11"/>
        </w:rPr>
        <w:t> 经过口服给药后，经消化道吸收进入血液循环，并在全身多种组织、脏器中，经相</w:t>
      </w:r>
      <w:r>
        <w:rPr>
          <w:spacing w:val="-6"/>
        </w:rPr>
        <w:t>应细胞的生物酯酶水解，移除两条吡呋醇，释放 </w:t>
      </w:r>
      <w:r>
        <w:rPr/>
        <w:t>TFV</w:t>
      </w:r>
      <w:r>
        <w:rPr>
          <w:spacing w:val="-12"/>
        </w:rPr>
        <w:t>。未经水解的 </w:t>
      </w:r>
      <w:r>
        <w:rPr/>
        <w:t>TDF</w:t>
      </w:r>
      <w:r>
        <w:rPr>
          <w:spacing w:val="-9"/>
        </w:rPr>
        <w:t> 原型以被动转运的方</w:t>
      </w:r>
      <w:r>
        <w:rPr>
          <w:spacing w:val="-11"/>
        </w:rPr>
        <w:t>式进入肝细胞，在肝细胞内经羧酸酯酶水解后，进一步磷酸化为其活性形式——替诺福韦二</w:t>
      </w:r>
      <w:r>
        <w:rPr>
          <w:spacing w:val="-6"/>
        </w:rPr>
        <w:t>磷酸，阻断肝细胞内的 </w:t>
      </w:r>
      <w:r>
        <w:rPr/>
        <w:t>HBV DNA</w:t>
      </w:r>
      <w:r>
        <w:rPr>
          <w:spacing w:val="-24"/>
        </w:rPr>
        <w:t> 依赖的 </w:t>
      </w:r>
      <w:r>
        <w:rPr/>
        <w:t>RNA</w:t>
      </w:r>
      <w:r>
        <w:rPr>
          <w:spacing w:val="-13"/>
        </w:rPr>
        <w:t> 多聚酶的复制，发挥抗 </w:t>
      </w:r>
      <w:r>
        <w:rPr/>
        <w:t>HBV</w:t>
      </w:r>
      <w:r>
        <w:rPr>
          <w:spacing w:val="-12"/>
        </w:rPr>
        <w:t> 的作用。</w:t>
      </w:r>
    </w:p>
    <w:p>
      <w:pPr>
        <w:pStyle w:val="Heading3"/>
        <w:spacing w:before="1"/>
        <w:ind w:left="899"/>
        <w:jc w:val="both"/>
      </w:pPr>
      <w:r>
        <w:rPr/>
        <w:t>TAF 临床疗效</w:t>
      </w:r>
    </w:p>
    <w:p>
      <w:pPr>
        <w:pStyle w:val="BodyText"/>
        <w:spacing w:line="280" w:lineRule="auto" w:before="53"/>
        <w:ind w:right="228" w:firstLine="482"/>
        <w:jc w:val="both"/>
      </w:pPr>
      <w:r>
        <w:rPr/>
        <w:t>TAF</w:t>
      </w:r>
      <w:r>
        <w:rPr>
          <w:spacing w:val="-31"/>
        </w:rPr>
        <w:t> 也是 </w:t>
      </w:r>
      <w:r>
        <w:rPr/>
        <w:t>TFV</w:t>
      </w:r>
      <w:r>
        <w:rPr>
          <w:spacing w:val="-12"/>
        </w:rPr>
        <w:t> 的前体药物，其消化道吸收的方式和 </w:t>
      </w:r>
      <w:r>
        <w:rPr/>
        <w:t>TDF</w:t>
      </w:r>
      <w:r>
        <w:rPr>
          <w:spacing w:val="-11"/>
        </w:rPr>
        <w:t> 一样，以原型的方式，在消化道</w:t>
      </w:r>
      <w:r>
        <w:rPr/>
        <w:t>上皮细胞，胞内外浓度差的影响下，以被动转运的方式被吸收，进入血液循环。</w:t>
      </w:r>
    </w:p>
    <w:p>
      <w:pPr>
        <w:pStyle w:val="BodyText"/>
        <w:spacing w:line="280" w:lineRule="auto"/>
        <w:ind w:right="226" w:firstLine="482"/>
        <w:jc w:val="both"/>
      </w:pPr>
      <w:r>
        <w:rPr/>
        <w:t>在血液循环中，TAF</w:t>
      </w:r>
      <w:r>
        <w:rPr>
          <w:spacing w:val="-41"/>
        </w:rPr>
        <w:t> 和 </w:t>
      </w:r>
      <w:r>
        <w:rPr/>
        <w:t>TDF</w:t>
      </w:r>
      <w:r>
        <w:rPr>
          <w:spacing w:val="-14"/>
        </w:rPr>
        <w:t> 的根本区别在于 </w:t>
      </w:r>
      <w:r>
        <w:rPr/>
        <w:t>TDF</w:t>
      </w:r>
      <w:r>
        <w:rPr>
          <w:spacing w:val="-12"/>
        </w:rPr>
        <w:t> 在血液中经酯酶的水解释放 </w:t>
      </w:r>
      <w:r>
        <w:rPr/>
        <w:t>TFV，但由</w:t>
      </w:r>
      <w:r>
        <w:rPr>
          <w:spacing w:val="-30"/>
        </w:rPr>
        <w:t>于 </w:t>
      </w:r>
      <w:r>
        <w:rPr/>
        <w:t>TDF</w:t>
      </w:r>
      <w:r>
        <w:rPr>
          <w:spacing w:val="-15"/>
        </w:rPr>
        <w:t> 半衰期很短，只有 </w:t>
      </w:r>
      <w:r>
        <w:rPr/>
        <w:t>0.4</w:t>
      </w:r>
      <w:r>
        <w:rPr>
          <w:spacing w:val="-18"/>
        </w:rPr>
        <w:t> 分钟，大量的 </w:t>
      </w:r>
      <w:r>
        <w:rPr/>
        <w:t>TDF</w:t>
      </w:r>
      <w:r>
        <w:rPr>
          <w:spacing w:val="-20"/>
        </w:rPr>
        <w:t> 就水解为 </w:t>
      </w:r>
      <w:r>
        <w:rPr>
          <w:spacing w:val="-4"/>
        </w:rPr>
        <w:t>TFV</w:t>
      </w:r>
      <w:r>
        <w:rPr>
          <w:spacing w:val="-22"/>
        </w:rPr>
        <w:t>，而 </w:t>
      </w:r>
      <w:r>
        <w:rPr/>
        <w:t>TFV</w:t>
      </w:r>
      <w:r>
        <w:rPr>
          <w:spacing w:val="-9"/>
        </w:rPr>
        <w:t> 几乎无法被肝脏细胞</w:t>
      </w:r>
      <w:r>
        <w:rPr>
          <w:spacing w:val="-8"/>
        </w:rPr>
        <w:t>摄取，因此血液内大量水解的 </w:t>
      </w:r>
      <w:r>
        <w:rPr/>
        <w:t>TFV</w:t>
      </w:r>
      <w:r>
        <w:rPr>
          <w:spacing w:val="-14"/>
        </w:rPr>
        <w:t> 通过肾脏代谢清除。而 </w:t>
      </w:r>
      <w:r>
        <w:rPr/>
        <w:t>TAF</w:t>
      </w:r>
      <w:r>
        <w:rPr>
          <w:spacing w:val="-13"/>
        </w:rPr>
        <w:t> 则不同，</w:t>
      </w:r>
      <w:r>
        <w:rPr>
          <w:spacing w:val="-4"/>
        </w:rPr>
        <w:t>TAF</w:t>
      </w:r>
      <w:r>
        <w:rPr>
          <w:spacing w:val="-10"/>
        </w:rPr>
        <w:t> 在血液里半衰期</w:t>
      </w:r>
      <w:r>
        <w:rPr>
          <w:spacing w:val="-16"/>
        </w:rPr>
        <w:t>较长约 </w:t>
      </w:r>
      <w:r>
        <w:rPr/>
        <w:t>31</w:t>
      </w:r>
      <w:r>
        <w:rPr>
          <w:spacing w:val="-16"/>
        </w:rPr>
        <w:t> 分钟，大部分 </w:t>
      </w:r>
      <w:r>
        <w:rPr/>
        <w:t>TAF</w:t>
      </w:r>
      <w:r>
        <w:rPr>
          <w:spacing w:val="-8"/>
        </w:rPr>
        <w:t> 经过主动扩散和被动转运直接进入肝细胞发挥抗病毒作用，只</w:t>
      </w:r>
      <w:r>
        <w:rPr>
          <w:spacing w:val="-15"/>
        </w:rPr>
        <w:t>有小部分水解为 </w:t>
      </w:r>
      <w:r>
        <w:rPr/>
        <w:t>TFV。临床研究证实，TAF</w:t>
      </w:r>
      <w:r>
        <w:rPr>
          <w:spacing w:val="-51"/>
        </w:rPr>
        <w:t> </w:t>
      </w:r>
      <w:r>
        <w:rPr/>
        <w:t>25mg</w:t>
      </w:r>
      <w:r>
        <w:rPr>
          <w:spacing w:val="-14"/>
        </w:rPr>
        <w:t> 的抗病毒作用与 </w:t>
      </w:r>
      <w:r>
        <w:rPr/>
        <w:t>TDF</w:t>
      </w:r>
      <w:r>
        <w:rPr>
          <w:spacing w:val="-51"/>
        </w:rPr>
        <w:t> </w:t>
      </w:r>
      <w:r>
        <w:rPr/>
        <w:t>300mg</w:t>
      </w:r>
      <w:r>
        <w:rPr>
          <w:spacing w:val="-10"/>
        </w:rPr>
        <w:t> 相当，但是血液</w:t>
      </w:r>
      <w:r>
        <w:rPr>
          <w:spacing w:val="-6"/>
        </w:rPr>
        <w:t>中需要通过肾脏代谢的 </w:t>
      </w:r>
      <w:r>
        <w:rPr/>
        <w:t>TFV</w:t>
      </w:r>
      <w:r>
        <w:rPr>
          <w:spacing w:val="-14"/>
        </w:rPr>
        <w:t> 的量却减少了约 </w:t>
      </w:r>
      <w:r>
        <w:rPr/>
        <w:t>90%。</w:t>
      </w:r>
    </w:p>
    <w:p>
      <w:pPr>
        <w:pStyle w:val="BodyText"/>
        <w:spacing w:line="280" w:lineRule="auto" w:before="2"/>
        <w:ind w:right="228" w:firstLine="482"/>
      </w:pPr>
      <w:r>
        <w:rPr/>
        <w:t>TAF</w:t>
      </w:r>
      <w:r>
        <w:rPr>
          <w:spacing w:val="-41"/>
        </w:rPr>
        <w:t> 与 </w:t>
      </w:r>
      <w:r>
        <w:rPr/>
        <w:t>TDF</w:t>
      </w:r>
      <w:r>
        <w:rPr>
          <w:spacing w:val="-8"/>
        </w:rPr>
        <w:t> 的全球Ⅲ期注册临床研究也证实</w:t>
      </w:r>
      <w:r>
        <w:rPr/>
        <w:t>，TAF</w:t>
      </w:r>
      <w:r>
        <w:rPr>
          <w:spacing w:val="-14"/>
        </w:rPr>
        <w:t> 有极其优异的抑制 </w:t>
      </w:r>
      <w:r>
        <w:rPr/>
        <w:t>HBV</w:t>
      </w:r>
      <w:r>
        <w:rPr>
          <w:spacing w:val="-9"/>
        </w:rPr>
        <w:t> 复制性能。截</w:t>
      </w:r>
      <w:r>
        <w:rPr>
          <w:spacing w:val="-35"/>
        </w:rPr>
        <w:t>至 </w:t>
      </w:r>
      <w:r>
        <w:rPr/>
        <w:t>144</w:t>
      </w:r>
      <w:r>
        <w:rPr>
          <w:spacing w:val="-13"/>
        </w:rPr>
        <w:t> 周未见耐药发生；较 </w:t>
      </w:r>
      <w:r>
        <w:rPr/>
        <w:t>TDF</w:t>
      </w:r>
      <w:r>
        <w:rPr>
          <w:spacing w:val="-11"/>
        </w:rPr>
        <w:t> 有更高的转氨酶复常率和更好的肾脏安全性；对于从 </w:t>
      </w:r>
      <w:r>
        <w:rPr/>
        <w:t>TDF </w:t>
      </w:r>
      <w:r>
        <w:rPr>
          <w:spacing w:val="-16"/>
        </w:rPr>
        <w:t>转换为 </w:t>
      </w:r>
      <w:r>
        <w:rPr/>
        <w:t>TAF</w:t>
      </w:r>
      <w:r>
        <w:rPr>
          <w:spacing w:val="-10"/>
        </w:rPr>
        <w:t> 治疗的患者，肾脏及骨骼相关指标的下降趋势都可得到逆转。</w:t>
      </w:r>
      <w:r>
        <w:rPr/>
        <w:t>TAF</w:t>
      </w:r>
      <w:r>
        <w:rPr>
          <w:spacing w:val="-11"/>
        </w:rPr>
        <w:t> 可以算得上是</w:t>
      </w:r>
      <w:r>
        <w:rPr/>
        <w:t>目前最好的口服抗乙肝病毒药物。</w:t>
      </w:r>
    </w:p>
    <w:p>
      <w:pPr>
        <w:pStyle w:val="BodyText"/>
        <w:spacing w:line="280" w:lineRule="auto" w:before="1"/>
        <w:ind w:right="109" w:firstLine="482"/>
      </w:pPr>
      <w:r>
        <w:rPr>
          <w:spacing w:val="-4"/>
        </w:rPr>
        <w:t>美国食品与药物管理局</w:t>
      </w:r>
      <w:r>
        <w:rPr>
          <w:spacing w:val="-8"/>
        </w:rPr>
        <w:t>（FDA）</w:t>
      </w:r>
      <w:r>
        <w:rPr>
          <w:spacing w:val="-30"/>
        </w:rPr>
        <w:t>于 </w:t>
      </w:r>
      <w:r>
        <w:rPr/>
        <w:t>2016</w:t>
      </w:r>
      <w:r>
        <w:rPr>
          <w:spacing w:val="-40"/>
        </w:rPr>
        <w:t> 年 </w:t>
      </w:r>
      <w:r>
        <w:rPr/>
        <w:t>11</w:t>
      </w:r>
      <w:r>
        <w:rPr>
          <w:spacing w:val="-24"/>
        </w:rPr>
        <w:t> 月批准 </w:t>
      </w:r>
      <w:r>
        <w:rPr/>
        <w:t>TAF</w:t>
      </w:r>
      <w:r>
        <w:rPr>
          <w:spacing w:val="-12"/>
        </w:rPr>
        <w:t> 上市，随后在我国也顺利获批， </w:t>
      </w:r>
      <w:r>
        <w:rPr/>
        <w:t>2019</w:t>
      </w:r>
      <w:r>
        <w:rPr>
          <w:spacing w:val="-41"/>
        </w:rPr>
        <w:t> 年 </w:t>
      </w:r>
      <w:r>
        <w:rPr/>
        <w:t>1</w:t>
      </w:r>
      <w:r>
        <w:rPr>
          <w:spacing w:val="-40"/>
        </w:rPr>
        <w:t> 月 </w:t>
      </w:r>
      <w:r>
        <w:rPr/>
        <w:t>3</w:t>
      </w:r>
      <w:r>
        <w:rPr>
          <w:spacing w:val="-8"/>
        </w:rPr>
        <w:t> 日在本院处方。</w:t>
      </w:r>
    </w:p>
    <w:p>
      <w:pPr>
        <w:pStyle w:val="Heading3"/>
        <w:ind w:left="899"/>
      </w:pPr>
      <w:r>
        <w:rPr/>
        <w:t>TAF 在体内代谢过程</w:t>
      </w:r>
    </w:p>
    <w:p>
      <w:pPr>
        <w:pStyle w:val="BodyText"/>
        <w:spacing w:line="280" w:lineRule="auto" w:before="53"/>
        <w:ind w:right="227" w:firstLine="482"/>
        <w:jc w:val="both"/>
      </w:pPr>
      <w:r>
        <w:rPr/>
        <w:t>TAF</w:t>
      </w:r>
      <w:r>
        <w:rPr>
          <w:spacing w:val="-13"/>
        </w:rPr>
        <w:t> 进入肝细胞的方式和 </w:t>
      </w:r>
      <w:r>
        <w:rPr/>
        <w:t>TDF</w:t>
      </w:r>
      <w:r>
        <w:rPr>
          <w:spacing w:val="-9"/>
        </w:rPr>
        <w:t> 也完全不同。</w:t>
      </w:r>
      <w:r>
        <w:rPr/>
        <w:t>TAF</w:t>
      </w:r>
      <w:r>
        <w:rPr>
          <w:spacing w:val="-24"/>
        </w:rPr>
        <w:t> 除了和 </w:t>
      </w:r>
      <w:r>
        <w:rPr/>
        <w:t>TDF</w:t>
      </w:r>
      <w:r>
        <w:rPr>
          <w:spacing w:val="-8"/>
        </w:rPr>
        <w:t> 一样，可以从血液中以含量</w:t>
      </w:r>
      <w:r>
        <w:rPr>
          <w:spacing w:val="-13"/>
        </w:rPr>
        <w:t>梯度差的方式，由血液转运至肝细胞；还可以由于其特殊的分子结构，经肝脏摄取性转运体</w:t>
      </w:r>
      <w:r>
        <w:rPr/>
        <w:t>OATP1B1</w:t>
      </w:r>
      <w:r>
        <w:rPr>
          <w:spacing w:val="-41"/>
        </w:rPr>
        <w:t> 及 </w:t>
      </w:r>
      <w:r>
        <w:rPr/>
        <w:t>OATP1B3</w:t>
      </w:r>
      <w:r>
        <w:rPr>
          <w:spacing w:val="-8"/>
        </w:rPr>
        <w:t> 主动转运，进入肝细胞。</w:t>
      </w:r>
    </w:p>
    <w:p>
      <w:pPr>
        <w:pStyle w:val="BodyText"/>
        <w:spacing w:line="280" w:lineRule="auto" w:before="1"/>
        <w:ind w:right="228" w:firstLine="482"/>
        <w:jc w:val="both"/>
      </w:pPr>
      <w:r>
        <w:rPr>
          <w:spacing w:val="-7"/>
        </w:rPr>
        <w:t>进入肝细胞后，在羧酸酯酶 </w:t>
      </w:r>
      <w:r>
        <w:rPr>
          <w:spacing w:val="-4"/>
        </w:rPr>
        <w:t>1（CES1</w:t>
      </w:r>
      <w:r>
        <w:rPr>
          <w:spacing w:val="-13"/>
        </w:rPr>
        <w:t>，主要在 </w:t>
      </w:r>
      <w:r>
        <w:rPr/>
        <w:t>HBV</w:t>
      </w:r>
      <w:r>
        <w:rPr>
          <w:spacing w:val="-8"/>
        </w:rPr>
        <w:t> 感染肝细胞中表达</w:t>
      </w:r>
      <w:r>
        <w:rPr>
          <w:spacing w:val="-12"/>
        </w:rPr>
        <w:t>）的作用下 </w:t>
      </w:r>
      <w:r>
        <w:rPr/>
        <w:t>TAF</w:t>
      </w:r>
      <w:r>
        <w:rPr>
          <w:spacing w:val="-37"/>
        </w:rPr>
        <w:t> 脱</w:t>
      </w:r>
      <w:r>
        <w:rPr>
          <w:spacing w:val="-6"/>
        </w:rPr>
        <w:t>去苯环，形成中间产物 </w:t>
      </w:r>
      <w:r>
        <w:rPr/>
        <w:t>Ala—TFV, Ala—TFV</w:t>
      </w:r>
      <w:r>
        <w:rPr>
          <w:spacing w:val="-10"/>
        </w:rPr>
        <w:t> 又经化学和</w:t>
      </w:r>
      <w:r>
        <w:rPr/>
        <w:t>/</w:t>
      </w:r>
      <w:r>
        <w:rPr>
          <w:spacing w:val="-8"/>
        </w:rPr>
        <w:t>或酶作用转变为 </w:t>
      </w:r>
      <w:r>
        <w:rPr/>
        <w:t>TFV，而后，TFV </w:t>
      </w:r>
      <w:r>
        <w:rPr>
          <w:spacing w:val="-9"/>
        </w:rPr>
        <w:t>经磷酸化变成 </w:t>
      </w:r>
      <w:r>
        <w:rPr/>
        <w:t>TFV</w:t>
      </w:r>
      <w:r>
        <w:rPr>
          <w:spacing w:val="-15"/>
        </w:rPr>
        <w:t> 二磷酸</w:t>
      </w:r>
      <w:r>
        <w:rPr/>
        <w:t>（TFV—DP）</w:t>
      </w:r>
      <w:r>
        <w:rPr>
          <w:spacing w:val="-6"/>
        </w:rPr>
        <w:t>发挥抗毒作用，或以 </w:t>
      </w:r>
      <w:r>
        <w:rPr/>
        <w:t>TFV</w:t>
      </w:r>
      <w:r>
        <w:rPr>
          <w:spacing w:val="-8"/>
        </w:rPr>
        <w:t> 原型经肾脏排泄。</w:t>
      </w:r>
    </w:p>
    <w:p>
      <w:pPr>
        <w:pStyle w:val="BodyText"/>
        <w:spacing w:before="1"/>
        <w:ind w:left="899" w:firstLine="0"/>
        <w:jc w:val="both"/>
      </w:pPr>
      <w:r>
        <w:rPr/>
        <w:t>TAF 与 TDF 代谢场所的不同决定了两者在剂量、疗效与安全性的显著差异。</w:t>
      </w:r>
    </w:p>
    <w:p>
      <w:pPr>
        <w:pStyle w:val="BodyText"/>
        <w:spacing w:line="280" w:lineRule="auto" w:before="52"/>
        <w:ind w:right="108" w:firstLine="482"/>
      </w:pPr>
      <w:r>
        <w:rPr>
          <w:spacing w:val="8"/>
        </w:rPr>
        <w:t>正是因为</w:t>
      </w:r>
      <w:r>
        <w:rPr/>
        <w:t>TAF</w:t>
      </w:r>
      <w:r>
        <w:rPr>
          <w:spacing w:val="-11"/>
        </w:rPr>
        <w:t> 不仅可以和</w:t>
      </w:r>
      <w:r>
        <w:rPr/>
        <w:t>TDF</w:t>
      </w:r>
      <w:r>
        <w:rPr>
          <w:spacing w:val="-16"/>
        </w:rPr>
        <w:t> 一样经渗透方式进入肝细胞，还可经主动转运进入肝细胞， </w:t>
      </w:r>
      <w:r>
        <w:rPr>
          <w:spacing w:val="-6"/>
        </w:rPr>
        <w:t>且代谢途径中的关键酶 </w:t>
      </w:r>
      <w:r>
        <w:rPr/>
        <w:t>CES1</w:t>
      </w:r>
      <w:r>
        <w:rPr>
          <w:spacing w:val="-24"/>
        </w:rPr>
        <w:t> 主要在 </w:t>
      </w:r>
      <w:r>
        <w:rPr/>
        <w:t>HBV</w:t>
      </w:r>
      <w:r>
        <w:rPr>
          <w:spacing w:val="-12"/>
        </w:rPr>
        <w:t> 感染的肝细胞中表达，所以 </w:t>
      </w:r>
      <w:r>
        <w:rPr/>
        <w:t>TAF</w:t>
      </w:r>
      <w:r>
        <w:rPr>
          <w:spacing w:val="-8"/>
        </w:rPr>
        <w:t> 有较好的靶向性， </w:t>
      </w:r>
      <w:r>
        <w:rPr>
          <w:spacing w:val="-15"/>
        </w:rPr>
        <w:t>使得较低剂量的 </w:t>
      </w:r>
      <w:r>
        <w:rPr>
          <w:spacing w:val="-13"/>
        </w:rPr>
        <w:t>TAF</w:t>
      </w:r>
      <w:r>
        <w:rPr>
          <w:spacing w:val="-8"/>
        </w:rPr>
        <w:t>，即可代谢为足够浓度的细胞内 TFV—DP</w:t>
      </w:r>
      <w:r>
        <w:rPr>
          <w:spacing w:val="-4"/>
        </w:rPr>
        <w:t>，发挥更为强大的抗病毒药效。</w:t>
      </w:r>
    </w:p>
    <w:p>
      <w:pPr>
        <w:pStyle w:val="BodyText"/>
        <w:spacing w:line="280" w:lineRule="auto" w:before="1"/>
        <w:ind w:right="231" w:firstLine="482"/>
        <w:jc w:val="both"/>
      </w:pPr>
      <w:r>
        <w:rPr>
          <w:spacing w:val="-4"/>
        </w:rPr>
        <w:t>细胞实验表明，人原代肝细胞经 </w:t>
      </w:r>
      <w:r>
        <w:rPr/>
        <w:t>TAF</w:t>
      </w:r>
      <w:r>
        <w:rPr>
          <w:spacing w:val="-30"/>
        </w:rPr>
        <w:t> 处理 </w:t>
      </w:r>
      <w:r>
        <w:rPr/>
        <w:t>24</w:t>
      </w:r>
      <w:r>
        <w:rPr>
          <w:spacing w:val="-14"/>
        </w:rPr>
        <w:t> 小时后，细胞内的 </w:t>
      </w:r>
      <w:r>
        <w:rPr/>
        <w:t>TFV—DP</w:t>
      </w:r>
      <w:r>
        <w:rPr>
          <w:spacing w:val="-20"/>
        </w:rPr>
        <w:t> 的水平是 </w:t>
      </w:r>
      <w:r>
        <w:rPr/>
        <w:t>TDF </w:t>
      </w:r>
      <w:r>
        <w:rPr>
          <w:spacing w:val="-13"/>
        </w:rPr>
        <w:t>处理组的 </w:t>
      </w:r>
      <w:r>
        <w:rPr/>
        <w:t>5</w:t>
      </w:r>
      <w:r>
        <w:rPr>
          <w:spacing w:val="-11"/>
        </w:rPr>
        <w:t> 倍；另有动物实验</w:t>
      </w:r>
      <w:r>
        <w:rPr/>
        <w:t>（狗</w:t>
      </w:r>
      <w:r>
        <w:rPr>
          <w:spacing w:val="-10"/>
        </w:rPr>
        <w:t>）</w:t>
      </w:r>
      <w:r>
        <w:rPr>
          <w:spacing w:val="-8"/>
        </w:rPr>
        <w:t>表明，经过肝脏首过效应后，有 </w:t>
      </w:r>
      <w:r>
        <w:rPr/>
        <w:t>65%</w:t>
      </w:r>
      <w:r>
        <w:rPr>
          <w:spacing w:val="-30"/>
        </w:rPr>
        <w:t>的 </w:t>
      </w:r>
      <w:r>
        <w:rPr/>
        <w:t>TAF</w:t>
      </w:r>
      <w:r>
        <w:rPr>
          <w:spacing w:val="-13"/>
        </w:rPr>
        <w:t> 被肝细胞摄</w:t>
      </w:r>
      <w:r>
        <w:rPr/>
        <w:t>入。</w:t>
      </w:r>
    </w:p>
    <w:p>
      <w:pPr>
        <w:spacing w:after="0" w:line="280" w:lineRule="auto"/>
        <w:jc w:val="both"/>
        <w:sectPr>
          <w:pgSz w:w="11910" w:h="16850"/>
          <w:pgMar w:header="906" w:footer="607" w:top="1100" w:bottom="800" w:left="860" w:right="900"/>
        </w:sectPr>
      </w:pPr>
    </w:p>
    <w:p>
      <w:pPr>
        <w:pStyle w:val="BodyText"/>
        <w:spacing w:line="280" w:lineRule="auto" w:before="48"/>
        <w:ind w:right="226" w:firstLine="482"/>
      </w:pPr>
      <w:r>
        <w:rPr>
          <w:spacing w:val="-13"/>
        </w:rPr>
        <w:t>正是因为 </w:t>
      </w:r>
      <w:r>
        <w:rPr/>
        <w:t>TAF</w:t>
      </w:r>
      <w:r>
        <w:rPr>
          <w:spacing w:val="-8"/>
        </w:rPr>
        <w:t> 的靶向性及入胞后才水解的特性，</w:t>
      </w:r>
      <w:r>
        <w:rPr>
          <w:spacing w:val="-4"/>
        </w:rPr>
        <w:t>TAF</w:t>
      </w:r>
      <w:r>
        <w:rPr>
          <w:spacing w:val="-11"/>
        </w:rPr>
        <w:t> 在血浆中稳定、浓度低，肾小管的</w:t>
      </w:r>
      <w:r>
        <w:rPr/>
        <w:t>TFV</w:t>
      </w:r>
      <w:r>
        <w:rPr>
          <w:spacing w:val="-12"/>
        </w:rPr>
        <w:t> 暴露也更低，这一特性大大提高了 </w:t>
      </w:r>
      <w:r>
        <w:rPr/>
        <w:t>TAF</w:t>
      </w:r>
      <w:r>
        <w:rPr>
          <w:spacing w:val="-10"/>
        </w:rPr>
        <w:t> 的肾脏安全性、也大大降低了基于肾小管损害而</w:t>
      </w:r>
      <w:r>
        <w:rPr>
          <w:spacing w:val="-4"/>
        </w:rPr>
        <w:t>发生的骨密度降低风险；而感染 </w:t>
      </w:r>
      <w:r>
        <w:rPr/>
        <w:t>HBV</w:t>
      </w:r>
      <w:r>
        <w:rPr>
          <w:spacing w:val="-14"/>
        </w:rPr>
        <w:t> 的肝细胞，由于 </w:t>
      </w:r>
      <w:r>
        <w:rPr/>
        <w:t>TAF</w:t>
      </w:r>
      <w:r>
        <w:rPr>
          <w:spacing w:val="-11"/>
        </w:rPr>
        <w:t> 的“靶向吸收”，使得感染 </w:t>
      </w:r>
      <w:r>
        <w:rPr/>
        <w:t>HBV </w:t>
      </w:r>
      <w:r>
        <w:rPr>
          <w:spacing w:val="-6"/>
        </w:rPr>
        <w:t>的肝细胞内，具有远远高于血浆浓度中的 </w:t>
      </w:r>
      <w:r>
        <w:rPr>
          <w:spacing w:val="-4"/>
        </w:rPr>
        <w:t>TFV</w:t>
      </w:r>
      <w:r>
        <w:rPr>
          <w:spacing w:val="-10"/>
        </w:rPr>
        <w:t>，从而使得感染 </w:t>
      </w:r>
      <w:r>
        <w:rPr/>
        <w:t>HBV</w:t>
      </w:r>
      <w:r>
        <w:rPr>
          <w:spacing w:val="-9"/>
        </w:rPr>
        <w:t> 的肝细胞的“靶位”，如</w:t>
      </w:r>
      <w:r>
        <w:rPr/>
        <w:t>“HBV</w:t>
      </w:r>
      <w:r>
        <w:rPr>
          <w:spacing w:val="-20"/>
        </w:rPr>
        <w:t> 原病毒”，即便在大大降低 </w:t>
      </w:r>
      <w:r>
        <w:rPr/>
        <w:t>TFV</w:t>
      </w:r>
      <w:r>
        <w:rPr>
          <w:spacing w:val="-18"/>
        </w:rPr>
        <w:t> 摄入量的条件下，也能得到与 </w:t>
      </w:r>
      <w:r>
        <w:rPr/>
        <w:t>TDF</w:t>
      </w:r>
      <w:r>
        <w:rPr>
          <w:spacing w:val="-14"/>
        </w:rPr>
        <w:t> 相当的强效抑制 </w:t>
      </w:r>
      <w:r>
        <w:rPr>
          <w:spacing w:val="-5"/>
        </w:rPr>
        <w:t>HBV</w:t>
      </w:r>
      <w:r>
        <w:rPr/>
        <w:t>的效果,还提高了转氨酶复常率，或可进一步延缓肝脏疾病进展和减少肝细胞癌的发生。</w:t>
      </w:r>
    </w:p>
    <w:p>
      <w:pPr>
        <w:spacing w:line="421" w:lineRule="exact" w:before="0"/>
        <w:ind w:left="899" w:right="0" w:firstLine="0"/>
        <w:jc w:val="left"/>
        <w:rPr>
          <w:rFonts w:ascii="Meiryo" w:eastAsia="Meiryo" w:hint="eastAsia"/>
          <w:b/>
          <w:sz w:val="24"/>
        </w:rPr>
      </w:pPr>
      <w:r>
        <w:rPr>
          <w:rFonts w:ascii="楷体" w:eastAsia="楷体" w:hint="eastAsia"/>
          <w:sz w:val="21"/>
        </w:rPr>
        <w:t>作者：南京医科大学第一临床医院 孙南雄</w:t>
      </w:r>
      <w:r>
        <w:rPr>
          <w:rFonts w:ascii="Meiryo" w:eastAsia="Meiryo" w:hint="eastAsia"/>
          <w:b/>
          <w:color w:val="0033CC"/>
          <w:sz w:val="24"/>
        </w:rPr>
        <w:t>[返回目次]</w:t>
      </w:r>
    </w:p>
    <w:p>
      <w:pPr>
        <w:pStyle w:val="Heading2"/>
        <w:spacing w:before="62"/>
      </w:pPr>
      <w:bookmarkStart w:name="_TOC_250024" w:id="28"/>
      <w:bookmarkEnd w:id="28"/>
      <w:r>
        <w:rPr/>
        <w:t>【药物警戒】</w:t>
      </w:r>
    </w:p>
    <w:p>
      <w:pPr>
        <w:pStyle w:val="BodyText"/>
        <w:spacing w:before="12"/>
        <w:ind w:left="0" w:firstLine="0"/>
        <w:rPr>
          <w:b/>
          <w:sz w:val="22"/>
        </w:rPr>
      </w:pPr>
    </w:p>
    <w:p>
      <w:pPr>
        <w:pStyle w:val="Heading2"/>
        <w:ind w:left="177"/>
        <w:jc w:val="center"/>
      </w:pPr>
      <w:bookmarkStart w:name="_TOC_250023" w:id="29"/>
      <w:bookmarkEnd w:id="29"/>
      <w:r>
        <w:rPr/>
        <w:t>注射用甲泼尼龙琥珀酸钠说明书修订</w:t>
      </w:r>
    </w:p>
    <w:p>
      <w:pPr>
        <w:pStyle w:val="BodyText"/>
        <w:spacing w:before="49"/>
        <w:ind w:left="183" w:firstLine="0"/>
        <w:jc w:val="center"/>
      </w:pPr>
      <w:r>
        <w:rPr/>
        <w:t>对牛乳过敏患者禁用</w:t>
      </w:r>
    </w:p>
    <w:p>
      <w:pPr>
        <w:pStyle w:val="BodyText"/>
        <w:spacing w:before="12"/>
        <w:ind w:left="0" w:firstLine="0"/>
        <w:rPr>
          <w:sz w:val="7"/>
        </w:rPr>
      </w:pPr>
    </w:p>
    <w:p>
      <w:pPr>
        <w:pStyle w:val="Heading3"/>
        <w:spacing w:before="66"/>
        <w:ind w:left="0" w:right="228"/>
        <w:jc w:val="right"/>
        <w:rPr>
          <w:rFonts w:ascii="楷体" w:eastAsia="楷体" w:hint="eastAsia"/>
        </w:rPr>
      </w:pPr>
      <w:r>
        <w:rPr>
          <w:rFonts w:ascii="楷体" w:eastAsia="楷体" w:hint="eastAsia"/>
          <w:color w:val="FF0000"/>
          <w:w w:val="95"/>
        </w:rPr>
        <w:t>（来源：中国医药报）</w:t>
      </w:r>
    </w:p>
    <w:p>
      <w:pPr>
        <w:pStyle w:val="ListParagraph"/>
        <w:numPr>
          <w:ilvl w:val="0"/>
          <w:numId w:val="3"/>
        </w:numPr>
        <w:tabs>
          <w:tab w:pos="1080" w:val="left" w:leader="none"/>
        </w:tabs>
        <w:spacing w:line="312" w:lineRule="auto" w:before="112" w:after="0"/>
        <w:ind w:left="417" w:right="303" w:firstLine="482"/>
        <w:jc w:val="left"/>
        <w:rPr>
          <w:sz w:val="24"/>
        </w:rPr>
      </w:pPr>
      <w:r>
        <w:rPr>
          <w:spacing w:val="-31"/>
          <w:sz w:val="24"/>
        </w:rPr>
        <w:t>月 </w:t>
      </w:r>
      <w:r>
        <w:rPr>
          <w:sz w:val="24"/>
        </w:rPr>
        <w:t>12</w:t>
      </w:r>
      <w:r>
        <w:rPr>
          <w:spacing w:val="-9"/>
          <w:sz w:val="24"/>
        </w:rPr>
        <w:t> 日，国家药品监管局发布公告，对含牛源性乳糖的注射用甲泼尼龙琥珀酸钠说</w:t>
      </w:r>
      <w:r>
        <w:rPr>
          <w:sz w:val="24"/>
        </w:rPr>
        <w:t>明书进行修订。根据公告，修订集中在禁忌和注意事项两项。</w:t>
      </w:r>
    </w:p>
    <w:p>
      <w:pPr>
        <w:pStyle w:val="BodyText"/>
        <w:spacing w:line="307" w:lineRule="exact"/>
        <w:ind w:left="899" w:firstLine="0"/>
      </w:pPr>
      <w:r>
        <w:rPr/>
        <w:t>公告要求，禁忌项增加以下内容：本品禁用于已明确对牛乳过敏的患者。</w:t>
      </w:r>
    </w:p>
    <w:p>
      <w:pPr>
        <w:pStyle w:val="BodyText"/>
        <w:spacing w:before="94"/>
        <w:ind w:left="899" w:firstLine="0"/>
      </w:pPr>
      <w:r>
        <w:rPr>
          <w:spacing w:val="-7"/>
        </w:rPr>
        <w:t>注意事项增加以下内容：“本品辅料中包含牛源性乳糖，因此可能含有微量的牛乳蛋白</w:t>
      </w:r>
    </w:p>
    <w:p>
      <w:pPr>
        <w:pStyle w:val="BodyText"/>
        <w:spacing w:line="312" w:lineRule="auto" w:before="91"/>
        <w:ind w:right="227" w:firstLine="0"/>
        <w:jc w:val="both"/>
      </w:pPr>
      <w:r>
        <w:rPr/>
        <w:t>（牛乳过敏原</w:t>
      </w:r>
      <w:r>
        <w:rPr>
          <w:spacing w:val="-34"/>
        </w:rPr>
        <w:t>）</w:t>
      </w:r>
      <w:r>
        <w:rPr>
          <w:spacing w:val="-10"/>
        </w:rPr>
        <w:t>。据报道，对牛乳蛋白过敏的患者在使用本品治疗急性过敏性疾病时曾发生</w:t>
      </w:r>
      <w:r>
        <w:rPr>
          <w:spacing w:val="-8"/>
        </w:rPr>
        <w:t>严重的变态反应，包括支气管痉挛和严重过敏反应。已明确对牛乳过敏的患者禁用本品</w:t>
      </w:r>
      <w:r>
        <w:rPr/>
        <w:t>（</w:t>
      </w:r>
      <w:r>
        <w:rPr>
          <w:spacing w:val="-16"/>
        </w:rPr>
        <w:t>参</w:t>
      </w:r>
      <w:r>
        <w:rPr>
          <w:spacing w:val="-8"/>
        </w:rPr>
        <w:t>见【禁忌】</w:t>
      </w:r>
      <w:r>
        <w:rPr>
          <w:spacing w:val="-17"/>
        </w:rPr>
        <w:t>），</w:t>
      </w:r>
      <w:r>
        <w:rPr>
          <w:spacing w:val="-5"/>
        </w:rPr>
        <w:t>疑似对牛乳过敏的患者慎用本品，尤其是儿童。对于使用本品治疗急性过敏</w:t>
      </w:r>
      <w:r>
        <w:rPr>
          <w:spacing w:val="-8"/>
        </w:rPr>
        <w:t>性疾病的患者，如果症状恶化或出现新的过敏症状，应考虑牛乳蛋白引起的过敏反应</w:t>
      </w:r>
      <w:r>
        <w:rPr/>
        <w:t>（</w:t>
      </w:r>
      <w:r>
        <w:rPr>
          <w:spacing w:val="-8"/>
        </w:rPr>
        <w:t>参见</w:t>
      </w:r>
    </w:p>
    <w:p>
      <w:pPr>
        <w:pStyle w:val="BodyText"/>
        <w:spacing w:before="2"/>
        <w:ind w:firstLine="0"/>
      </w:pPr>
      <w:r>
        <w:rPr/>
        <w:t>【禁忌】），应停用本品，并对患者的病症进行相应治疗。”</w:t>
      </w:r>
    </w:p>
    <w:p>
      <w:pPr>
        <w:pStyle w:val="BodyText"/>
        <w:spacing w:line="312" w:lineRule="auto" w:before="93"/>
        <w:ind w:right="227" w:firstLine="482"/>
        <w:jc w:val="both"/>
      </w:pPr>
      <w:r>
        <w:rPr>
          <w:spacing w:val="-11"/>
        </w:rPr>
        <w:t>公告要求，所有含牛源性乳糖的注射用甲泼尼龙琥珀酸钠生产企业均应依据《药品注册</w:t>
      </w:r>
      <w:r>
        <w:rPr>
          <w:spacing w:val="-12"/>
        </w:rPr>
        <w:t>管理办法》等有关规定，按照注射用甲泼尼龙琥珀酸钠说明书修订要求提出修订说明书的补</w:t>
      </w:r>
      <w:r>
        <w:rPr>
          <w:spacing w:val="-17"/>
        </w:rPr>
        <w:t>充申请，于 </w:t>
      </w:r>
      <w:r>
        <w:rPr/>
        <w:t>8</w:t>
      </w:r>
      <w:r>
        <w:rPr>
          <w:spacing w:val="-40"/>
        </w:rPr>
        <w:t> 月 </w:t>
      </w:r>
      <w:r>
        <w:rPr/>
        <w:t>3</w:t>
      </w:r>
      <w:r>
        <w:rPr>
          <w:spacing w:val="-12"/>
        </w:rPr>
        <w:t> 日前报省级药品监管部门备案。修订内容涉及药品标签的，应当一并进行</w:t>
      </w:r>
    </w:p>
    <w:p>
      <w:pPr>
        <w:pStyle w:val="BodyText"/>
        <w:spacing w:line="312" w:lineRule="auto" w:before="1"/>
        <w:ind w:right="226" w:firstLine="0"/>
        <w:jc w:val="both"/>
      </w:pPr>
      <w:r>
        <w:rPr>
          <w:spacing w:val="-12"/>
        </w:rPr>
        <w:t>修订；说明书及标签其他内容应当与原批准内容一致。在补充申请备案后 </w:t>
      </w:r>
      <w:r>
        <w:rPr/>
        <w:t>6</w:t>
      </w:r>
      <w:r>
        <w:rPr>
          <w:spacing w:val="-10"/>
        </w:rPr>
        <w:t> 个月内对所有已</w:t>
      </w:r>
      <w:r>
        <w:rPr/>
        <w:t>出厂的药品说明书及标签予以更换。</w:t>
      </w:r>
    </w:p>
    <w:p>
      <w:pPr>
        <w:pStyle w:val="BodyText"/>
        <w:spacing w:line="312" w:lineRule="auto"/>
        <w:ind w:right="230" w:firstLine="482"/>
      </w:pPr>
      <w:r>
        <w:rPr>
          <w:spacing w:val="-12"/>
        </w:rPr>
        <w:t>公告强调，含牛源性乳糖的注射用甲泼尼龙琥珀酸钠生产企业应当对新增不良反应发生</w:t>
      </w:r>
      <w:r>
        <w:rPr/>
        <w:t>机制开展深入研究，采取有效措施做好使用和安全性问题的宣传培训，涉及用药安全的内</w:t>
      </w:r>
    </w:p>
    <w:p>
      <w:pPr>
        <w:pStyle w:val="BodyText"/>
        <w:spacing w:line="307" w:lineRule="exact"/>
        <w:ind w:left="899" w:firstLine="0"/>
      </w:pPr>
      <w:r>
        <w:rPr/>
        <w:t>记者查阅国家药监局网站发现，目前国内共有 6 家企业持有 15 个注射用甲泼尼龙琥珀</w:t>
      </w:r>
    </w:p>
    <w:p>
      <w:pPr>
        <w:pStyle w:val="BodyText"/>
        <w:spacing w:line="312" w:lineRule="auto" w:before="93"/>
        <w:ind w:right="126" w:firstLine="0"/>
        <w:jc w:val="both"/>
      </w:pPr>
      <w:r>
        <w:rPr>
          <w:spacing w:val="-13"/>
        </w:rPr>
        <w:t>酸钠批准文号，这 </w:t>
      </w:r>
      <w:r>
        <w:rPr/>
        <w:t>6</w:t>
      </w:r>
      <w:r>
        <w:rPr>
          <w:spacing w:val="-10"/>
        </w:rPr>
        <w:t> 家企业分别是福安药业集团湖北人民制药有限公司、天津金耀药业有限</w:t>
      </w:r>
      <w:r>
        <w:rPr>
          <w:spacing w:val="-11"/>
        </w:rPr>
        <w:t>公司、重庆华邦制药有限公司、常州四药制药有限公司、辽宁海思科制药有限公司、国药集</w:t>
      </w:r>
      <w:r>
        <w:rPr>
          <w:spacing w:val="-13"/>
        </w:rPr>
        <w:t>团容生制药有限公司，其中仅国药集团容生制药有限公司一家就持有 </w:t>
      </w:r>
      <w:r>
        <w:rPr/>
        <w:t>5</w:t>
      </w:r>
      <w:r>
        <w:rPr>
          <w:spacing w:val="-9"/>
        </w:rPr>
        <w:t> 个批准文号。此外，</w:t>
      </w:r>
    </w:p>
    <w:p>
      <w:pPr>
        <w:pStyle w:val="BodyText"/>
        <w:spacing w:line="276" w:lineRule="auto" w:before="2"/>
        <w:ind w:right="246" w:firstLine="0"/>
        <w:jc w:val="both"/>
        <w:rPr>
          <w:rFonts w:ascii="Meiryo" w:eastAsia="Meiryo" w:hint="eastAsia"/>
          <w:b/>
        </w:rPr>
      </w:pPr>
      <w:r>
        <w:rPr/>
        <w:t>中国台湾的南光化学制药股份有限公司、比利时的 PFIZER SA 两家企业持有注射用甲泼尼龙琥珀酸钠的进口药品注册证号。</w:t>
      </w:r>
      <w:r>
        <w:rPr>
          <w:rFonts w:ascii="Meiryo" w:eastAsia="Meiryo" w:hint="eastAsia"/>
          <w:b/>
          <w:color w:val="0033CC"/>
        </w:rPr>
        <w:t>[返回目次]</w:t>
      </w:r>
    </w:p>
    <w:p>
      <w:pPr>
        <w:spacing w:after="0" w:line="276" w:lineRule="auto"/>
        <w:jc w:val="both"/>
        <w:rPr>
          <w:rFonts w:ascii="Meiryo" w:eastAsia="Meiryo" w:hint="eastAsia"/>
        </w:rPr>
        <w:sectPr>
          <w:pgSz w:w="11910" w:h="16850"/>
          <w:pgMar w:header="906" w:footer="607" w:top="1100" w:bottom="800" w:left="860" w:right="900"/>
        </w:sectPr>
      </w:pPr>
    </w:p>
    <w:p>
      <w:pPr>
        <w:pStyle w:val="Heading2"/>
        <w:spacing w:before="16"/>
      </w:pPr>
      <w:bookmarkStart w:name="_TOC_250022" w:id="30"/>
      <w:bookmarkEnd w:id="30"/>
      <w:r>
        <w:rPr/>
        <w:t>【中医中药】</w:t>
      </w:r>
    </w:p>
    <w:p>
      <w:pPr>
        <w:pStyle w:val="BodyText"/>
        <w:spacing w:before="6"/>
        <w:ind w:left="0" w:firstLine="0"/>
        <w:rPr>
          <w:b/>
          <w:sz w:val="18"/>
        </w:rPr>
      </w:pPr>
    </w:p>
    <w:p>
      <w:pPr>
        <w:spacing w:after="0"/>
        <w:rPr>
          <w:sz w:val="18"/>
        </w:rPr>
        <w:sectPr>
          <w:pgSz w:w="11910" w:h="16850"/>
          <w:pgMar w:header="906" w:footer="607" w:top="1100" w:bottom="800" w:left="860" w:right="900"/>
        </w:sectPr>
      </w:pPr>
    </w:p>
    <w:p>
      <w:pPr>
        <w:pStyle w:val="Heading2"/>
        <w:spacing w:before="54"/>
        <w:ind w:left="3881"/>
      </w:pPr>
      <w:bookmarkStart w:name="_TOC_250021" w:id="31"/>
      <w:bookmarkEnd w:id="31"/>
      <w:r>
        <w:rPr>
          <w:spacing w:val="-3"/>
        </w:rPr>
        <w:t>中成药不能随意开</w:t>
      </w:r>
    </w:p>
    <w:p>
      <w:pPr>
        <w:pStyle w:val="BodyText"/>
        <w:ind w:left="0" w:firstLine="0"/>
        <w:rPr>
          <w:b/>
        </w:rPr>
      </w:pPr>
      <w:r>
        <w:rPr/>
        <w:br w:type="column"/>
      </w:r>
      <w:r>
        <w:rPr>
          <w:b/>
        </w:rPr>
      </w:r>
    </w:p>
    <w:p>
      <w:pPr>
        <w:pStyle w:val="BodyText"/>
        <w:spacing w:before="7"/>
        <w:ind w:left="0" w:firstLine="0"/>
        <w:rPr>
          <w:b/>
          <w:sz w:val="23"/>
        </w:rPr>
      </w:pPr>
    </w:p>
    <w:p>
      <w:pPr>
        <w:pStyle w:val="Heading3"/>
        <w:ind w:left="149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6449" w:space="40"/>
            <w:col w:w="3661"/>
          </w:cols>
        </w:sectPr>
      </w:pPr>
    </w:p>
    <w:p>
      <w:pPr>
        <w:pStyle w:val="BodyText"/>
        <w:spacing w:line="297" w:lineRule="auto" w:before="96"/>
        <w:ind w:right="227"/>
      </w:pPr>
      <w:r>
        <w:rPr>
          <w:spacing w:val="-11"/>
        </w:rPr>
        <w:t>近日，《杀死中医不用刀，只要西医开中药》一文在朋友圈内大量转发，话虽偏激，但</w:t>
      </w:r>
      <w:r>
        <w:rPr/>
        <w:t>值得警惕。</w:t>
      </w:r>
    </w:p>
    <w:p>
      <w:pPr>
        <w:pStyle w:val="BodyText"/>
        <w:spacing w:line="297" w:lineRule="auto"/>
        <w:ind w:right="226"/>
        <w:jc w:val="both"/>
      </w:pPr>
      <w:r>
        <w:rPr>
          <w:spacing w:val="-7"/>
        </w:rPr>
        <w:t>中成药是中西医结合的成功产物。它依据中医理论组方或直接援引经方，借鉴西药生产</w:t>
      </w:r>
      <w:r>
        <w:rPr>
          <w:spacing w:val="-8"/>
        </w:rPr>
        <w:t>工艺和质量标准，剂型多样化、现代化，克服了传统中药产量、质量不稳定的短板，便于保</w:t>
      </w:r>
      <w:r>
        <w:rPr>
          <w:spacing w:val="-12"/>
        </w:rPr>
        <w:t>存、携带、服用，因而受到患者的欢迎。同时，中成药成分、功效相对稳定，即使不具备君</w:t>
      </w:r>
      <w:r>
        <w:rPr>
          <w:spacing w:val="-11"/>
        </w:rPr>
        <w:t>臣佐使、性味归经等理论功底和化裁加减的临床能力，也可对应西医病名“望文生义”或对</w:t>
      </w:r>
      <w:r>
        <w:rPr/>
        <w:t>照说明书“按图索骥”，因而也受到西医医师的青睐。</w:t>
      </w:r>
    </w:p>
    <w:p>
      <w:pPr>
        <w:pStyle w:val="BodyText"/>
        <w:spacing w:line="297" w:lineRule="auto"/>
        <w:ind w:right="109"/>
      </w:pPr>
      <w:r>
        <w:rPr>
          <w:spacing w:val="-6"/>
        </w:rPr>
        <w:t>中成药广受认可本是好事，一旦滥用却会造成健康损害和资源损耗，干扰疗效判定，反</w:t>
      </w:r>
      <w:r>
        <w:rPr>
          <w:spacing w:val="-12"/>
        </w:rPr>
        <w:t>而招致差评。有报道指出，国内约 </w:t>
      </w:r>
      <w:r>
        <w:rPr/>
        <w:t>70%</w:t>
      </w:r>
      <w:r>
        <w:rPr>
          <w:spacing w:val="-1"/>
        </w:rPr>
        <w:t>的中成药由综合医院的西医开出。中国中医科学院望</w:t>
      </w:r>
      <w:r>
        <w:rPr>
          <w:spacing w:val="-5"/>
        </w:rPr>
        <w:t>京医院王蓓等针对省市综合医院西医医师的“云问卷”调查显示：</w:t>
      </w:r>
      <w:r>
        <w:rPr/>
        <w:t>74.47%的被调查者认为中成药滥用比较常见或非常严重，51.25%者承认自己的中成药处方质量一般或较差；68.13% </w:t>
      </w:r>
      <w:r>
        <w:rPr>
          <w:spacing w:val="-6"/>
        </w:rPr>
        <w:t>者认为中医药专门培训很有用或比较有用，但 </w:t>
      </w:r>
      <w:r>
        <w:rPr/>
        <w:t>63.92%</w:t>
      </w:r>
      <w:r>
        <w:rPr>
          <w:spacing w:val="-1"/>
        </w:rPr>
        <w:t>的医师从未接受中医药继续教育培训； </w:t>
      </w:r>
      <w:r>
        <w:rPr/>
        <w:t>58.54%</w:t>
      </w:r>
      <w:r>
        <w:rPr>
          <w:spacing w:val="-1"/>
        </w:rPr>
        <w:t>者“初步了解和运用”中医辨证方法，</w:t>
      </w:r>
      <w:r>
        <w:rPr>
          <w:spacing w:val="-5"/>
        </w:rPr>
        <w:t>18.43%</w:t>
      </w:r>
      <w:r>
        <w:rPr>
          <w:spacing w:val="-9"/>
        </w:rPr>
        <w:t>的毫不了解。与之对应，中成药开方依</w:t>
      </w:r>
      <w:r>
        <w:rPr>
          <w:spacing w:val="-13"/>
        </w:rPr>
        <w:t>据的排序为：常见药品效果好有针对性、中成药说明书、自身中医药知识、患者要求、厂家</w:t>
      </w:r>
      <w:r>
        <w:rPr>
          <w:spacing w:val="-10"/>
        </w:rPr>
        <w:t>推广。这项调研覆盖国内各省、直辖市、自治区，</w:t>
      </w:r>
      <w:r>
        <w:rPr>
          <w:spacing w:val="-3"/>
        </w:rPr>
        <w:t>88.29%</w:t>
      </w:r>
      <w:r>
        <w:rPr>
          <w:spacing w:val="-2"/>
        </w:rPr>
        <w:t>的答卷者具有中高级职称，客观反映了西医医师中医理论欠缺、辨病“套方”开中成药的状况。</w:t>
      </w:r>
    </w:p>
    <w:p>
      <w:pPr>
        <w:pStyle w:val="BodyText"/>
        <w:spacing w:line="297" w:lineRule="auto"/>
        <w:ind w:right="110"/>
      </w:pPr>
      <w:r>
        <w:rPr>
          <w:spacing w:val="-14"/>
        </w:rPr>
        <w:t>中成药滥用有产品的原因，比如许多药品的说明书药理毒理、不良反应、药物相互作用、</w:t>
      </w:r>
      <w:r>
        <w:rPr>
          <w:spacing w:val="-5"/>
        </w:rPr>
        <w:t>禁忌事项等关键内容不全或以“尚不明确”代替，有的未标注有毒成分或西药成分，容易形</w:t>
      </w:r>
      <w:r>
        <w:rPr>
          <w:spacing w:val="-10"/>
        </w:rPr>
        <w:t>成“中药无毒副作用”的误导；也有人为因素，比如医生迎合患者喜好，标榜能西会中，患</w:t>
      </w:r>
      <w:r>
        <w:rPr>
          <w:spacing w:val="-14"/>
        </w:rPr>
        <w:t>者受到促销诱惑等，又比如患者凭一知半解指名点药，自我开方进补、去火、排毒等。还有</w:t>
      </w:r>
      <w:r>
        <w:rPr>
          <w:spacing w:val="-15"/>
        </w:rPr>
        <w:t>医院的一些因素，比如按西药管理中成药，不经培训考核即赋予西医医师无差别的中成药处方权，药师忙于发药，对处方疏于审核点评等。</w:t>
      </w:r>
    </w:p>
    <w:p>
      <w:pPr>
        <w:pStyle w:val="BodyText"/>
        <w:spacing w:line="297" w:lineRule="auto"/>
        <w:ind w:right="227"/>
        <w:jc w:val="both"/>
      </w:pPr>
      <w:r>
        <w:rPr>
          <w:spacing w:val="-7"/>
        </w:rPr>
        <w:t>近年来“西学中”广泛开展，提升了西医队伍的中医药理论和临床水平，但各地组织形</w:t>
      </w:r>
      <w:r>
        <w:rPr>
          <w:spacing w:val="-8"/>
        </w:rPr>
        <w:t>式、宽严尺度、培训质量不尽相同。建议借鉴全国中医</w:t>
      </w:r>
      <w:r>
        <w:rPr/>
        <w:t>（西学中</w:t>
      </w:r>
      <w:r>
        <w:rPr>
          <w:spacing w:val="-17"/>
        </w:rPr>
        <w:t>）</w:t>
      </w:r>
      <w:r>
        <w:rPr>
          <w:spacing w:val="-4"/>
        </w:rPr>
        <w:t>优秀人才研修项目，采用</w:t>
      </w:r>
      <w:r>
        <w:rPr>
          <w:spacing w:val="-11"/>
        </w:rPr>
        <w:t>课堂学习、专题学习、现场学习、网上学习、名师指导、协同临床、合作科研等形式，配以严格的学习考核、实践考核、结业考核，将“严进严出”的培训合格证书与中成药处方资格</w:t>
      </w:r>
      <w:r>
        <w:rPr/>
        <w:t>合而为一，使中成药开自真正懂中医人之手，用于真正需中药人之身。</w:t>
      </w:r>
    </w:p>
    <w:p>
      <w:pPr>
        <w:spacing w:line="411" w:lineRule="exact" w:before="0"/>
        <w:ind w:left="897" w:right="0" w:firstLine="0"/>
        <w:jc w:val="left"/>
        <w:rPr>
          <w:rFonts w:ascii="Meiryo" w:eastAsia="Meiryo" w:hint="eastAsia"/>
          <w:b/>
          <w:sz w:val="24"/>
        </w:rPr>
      </w:pPr>
      <w:r>
        <w:rPr>
          <w:rFonts w:ascii="楷体" w:eastAsia="楷体" w:hint="eastAsia"/>
          <w:sz w:val="21"/>
        </w:rPr>
        <w:t>作者：北京中医药大学枣庄医院党委书记 解伟</w:t>
      </w:r>
      <w:r>
        <w:rPr>
          <w:rFonts w:ascii="Meiryo" w:eastAsia="Meiryo" w:hint="eastAsia"/>
          <w:b/>
          <w:color w:val="0033CC"/>
          <w:sz w:val="24"/>
        </w:rPr>
        <w:t>[返回目次]</w:t>
      </w:r>
    </w:p>
    <w:p>
      <w:pPr>
        <w:pStyle w:val="BodyText"/>
        <w:spacing w:before="18"/>
        <w:ind w:left="0" w:firstLine="0"/>
        <w:rPr>
          <w:rFonts w:ascii="Meiryo"/>
          <w:b/>
          <w:sz w:val="5"/>
        </w:rPr>
      </w:pPr>
    </w:p>
    <w:p>
      <w:pPr>
        <w:pStyle w:val="Heading2"/>
        <w:spacing w:before="54"/>
        <w:ind w:left="178"/>
        <w:jc w:val="center"/>
      </w:pPr>
      <w:bookmarkStart w:name="_TOC_250020" w:id="32"/>
      <w:bookmarkEnd w:id="32"/>
      <w:r>
        <w:rPr/>
        <w:t>中药胃癌癌前病变研究引欧洲关注</w:t>
      </w:r>
    </w:p>
    <w:p>
      <w:pPr>
        <w:pStyle w:val="BodyText"/>
        <w:spacing w:before="49"/>
        <w:ind w:left="183" w:firstLine="0"/>
        <w:jc w:val="center"/>
      </w:pPr>
      <w:r>
        <w:rPr/>
        <w:t>新指南引用中国研究成果</w:t>
      </w:r>
    </w:p>
    <w:p>
      <w:pPr>
        <w:pStyle w:val="Heading3"/>
        <w:spacing w:before="168"/>
        <w:ind w:left="0" w:right="228"/>
        <w:jc w:val="right"/>
        <w:rPr>
          <w:rFonts w:ascii="楷体" w:eastAsia="楷体" w:hint="eastAsia"/>
        </w:rPr>
      </w:pPr>
      <w:r>
        <w:rPr>
          <w:rFonts w:ascii="楷体" w:eastAsia="楷体" w:hint="eastAsia"/>
          <w:color w:val="FF0000"/>
          <w:w w:val="95"/>
        </w:rPr>
        <w:t>（来源：健康报）</w:t>
      </w:r>
    </w:p>
    <w:p>
      <w:pPr>
        <w:pStyle w:val="BodyText"/>
        <w:spacing w:line="295" w:lineRule="auto" w:before="98"/>
        <w:ind w:right="230"/>
      </w:pPr>
      <w:r>
        <w:rPr/>
        <w:t>欧洲全面管理胃癌前病变的新指南——“胃上皮癌前疾病及病变的管理”近期在学术</w:t>
      </w:r>
      <w:r>
        <w:rPr>
          <w:spacing w:val="-12"/>
        </w:rPr>
        <w:t>期刊《内镜》上发表。引人注意的是，作为欧洲胃肠内镜学会联合欧洲螺杆菌和微生物研究</w:t>
      </w:r>
    </w:p>
    <w:p>
      <w:pPr>
        <w:spacing w:after="0" w:line="295" w:lineRule="auto"/>
        <w:sectPr>
          <w:type w:val="continuous"/>
          <w:pgSz w:w="11910" w:h="16850"/>
          <w:pgMar w:top="1100" w:bottom="1020" w:left="860" w:right="900"/>
        </w:sectPr>
      </w:pPr>
    </w:p>
    <w:p>
      <w:pPr>
        <w:pStyle w:val="BodyText"/>
        <w:spacing w:line="295" w:lineRule="auto" w:before="65"/>
        <w:ind w:right="229" w:firstLine="0"/>
        <w:jc w:val="both"/>
      </w:pPr>
      <w:r>
        <w:rPr>
          <w:spacing w:val="-13"/>
        </w:rPr>
        <w:t>组、欧洲病理学会、葡萄牙消化内镜学会时隔 </w:t>
      </w:r>
      <w:r>
        <w:rPr/>
        <w:t>7</w:t>
      </w:r>
      <w:r>
        <w:rPr>
          <w:spacing w:val="-11"/>
        </w:rPr>
        <w:t> 年对该领域临床研究成果的最新集萃，该版</w:t>
      </w:r>
      <w:r>
        <w:rPr/>
        <w:t>指南在治疗部分引用了中国中医科学院唐旭东教授研究团队的中医药循证研究成果。</w:t>
      </w:r>
    </w:p>
    <w:p>
      <w:pPr>
        <w:pStyle w:val="BodyText"/>
        <w:spacing w:line="297" w:lineRule="auto" w:before="2"/>
        <w:ind w:right="228"/>
        <w:jc w:val="both"/>
      </w:pPr>
      <w:r>
        <w:rPr>
          <w:spacing w:val="-14"/>
        </w:rPr>
        <w:t>该指南指出：摩罗丹，一种草药制剂，在一项纳入 </w:t>
      </w:r>
      <w:r>
        <w:rPr/>
        <w:t>196</w:t>
      </w:r>
      <w:r>
        <w:rPr>
          <w:spacing w:val="-9"/>
        </w:rPr>
        <w:t> 例慢性萎缩性胃炎伴异型增生患</w:t>
      </w:r>
      <w:r>
        <w:rPr>
          <w:spacing w:val="-5"/>
        </w:rPr>
        <w:t>者的随机对照试验中，报道显示该药可降低异型增生评分，异型增生消失率达 </w:t>
      </w:r>
      <w:r>
        <w:rPr/>
        <w:t>24.6%</w:t>
      </w:r>
      <w:r>
        <w:rPr>
          <w:spacing w:val="-11"/>
        </w:rPr>
        <w:t>。指南</w:t>
      </w:r>
      <w:r>
        <w:rPr/>
        <w:t>称，对于这些治疗（包括摩罗丹和瑞巴派特），未来的研究应该加以确认。</w:t>
      </w:r>
    </w:p>
    <w:p>
      <w:pPr>
        <w:pStyle w:val="BodyText"/>
        <w:spacing w:line="297" w:lineRule="auto"/>
        <w:ind w:right="127"/>
        <w:jc w:val="both"/>
      </w:pPr>
      <w:r>
        <w:rPr>
          <w:spacing w:val="-3"/>
        </w:rPr>
        <w:t>萎缩性胃炎伴异型增生是重要的胃癌癌前病变。唐旭东团队在 </w:t>
      </w:r>
      <w:r>
        <w:rPr/>
        <w:t>2008</w:t>
      </w:r>
      <w:r>
        <w:rPr>
          <w:spacing w:val="-30"/>
        </w:rPr>
        <w:t> 年</w:t>
      </w:r>
      <w:r>
        <w:rPr/>
        <w:t>～2011</w:t>
      </w:r>
      <w:r>
        <w:rPr>
          <w:spacing w:val="-12"/>
        </w:rPr>
        <w:t> 年期间， </w:t>
      </w:r>
      <w:r>
        <w:rPr>
          <w:spacing w:val="-16"/>
        </w:rPr>
        <w:t>依托中国中医科学院西苑医院，联合北京大学第三医院、首都医科大学附属北京友谊医院等6</w:t>
      </w:r>
      <w:r>
        <w:rPr>
          <w:spacing w:val="-12"/>
        </w:rPr>
        <w:t> 家单位，采用多中心、随机、阳性药对照的临床试验设计方法，纳入 </w:t>
      </w:r>
      <w:r>
        <w:rPr/>
        <w:t>383</w:t>
      </w:r>
      <w:r>
        <w:rPr>
          <w:spacing w:val="-8"/>
        </w:rPr>
        <w:t> 例慢性萎缩性胃</w:t>
      </w:r>
      <w:r>
        <w:rPr>
          <w:spacing w:val="-12"/>
        </w:rPr>
        <w:t>炎伴轻、中度异型增生患者，随机分为中药辨证治疗组、中成药摩罗丹组、西药叶酸组。其</w:t>
      </w:r>
      <w:r>
        <w:rPr>
          <w:spacing w:val="-7"/>
        </w:rPr>
        <w:t>中，西医院</w:t>
      </w:r>
      <w:r>
        <w:rPr/>
        <w:t>（196</w:t>
      </w:r>
      <w:r>
        <w:rPr>
          <w:spacing w:val="-15"/>
        </w:rPr>
        <w:t> 例患者</w:t>
      </w:r>
      <w:r>
        <w:rPr>
          <w:spacing w:val="-10"/>
        </w:rPr>
        <w:t>）</w:t>
      </w:r>
      <w:r>
        <w:rPr>
          <w:spacing w:val="-4"/>
        </w:rPr>
        <w:t>随机分为中成药摩罗丹组和西药叶酸组，疗程均为 </w:t>
      </w:r>
      <w:r>
        <w:rPr/>
        <w:t>6</w:t>
      </w:r>
      <w:r>
        <w:rPr>
          <w:spacing w:val="-13"/>
        </w:rPr>
        <w:t> 个月，以病</w:t>
      </w:r>
      <w:r>
        <w:rPr>
          <w:spacing w:val="-18"/>
        </w:rPr>
        <w:t>理组织学评分为主要疗效评价指标，以症状积分、胃镜下黏膜病变评分及患者报告结局量表为次要疗效评价指标。唐旭东表示，该研究当时采用的胃粘膜定标活检技术属国内外首次， </w:t>
      </w:r>
      <w:r>
        <w:rPr/>
        <w:t>对客观评价疗效起到支撑作用。</w:t>
      </w:r>
    </w:p>
    <w:p>
      <w:pPr>
        <w:pStyle w:val="BodyText"/>
        <w:spacing w:line="297" w:lineRule="auto"/>
        <w:ind w:right="224"/>
      </w:pPr>
      <w:r>
        <w:rPr>
          <w:spacing w:val="-7"/>
        </w:rPr>
        <w:t>研究显示，中药综合治疗组</w:t>
      </w:r>
      <w:r>
        <w:rPr/>
        <w:t>（中药辨证治疗组和摩罗丹治疗组</w:t>
      </w:r>
      <w:r>
        <w:rPr>
          <w:spacing w:val="-22"/>
        </w:rPr>
        <w:t>）</w:t>
      </w:r>
      <w:r>
        <w:rPr>
          <w:spacing w:val="-6"/>
        </w:rPr>
        <w:t>优于叶酸组，其中，中</w:t>
      </w:r>
      <w:r>
        <w:rPr>
          <w:spacing w:val="-12"/>
        </w:rPr>
        <w:t>药辨证治疗组异型增生消失率比较高，但由于汤剂剂型的原因没有实行双盲方法，存在方法</w:t>
      </w:r>
      <w:r>
        <w:rPr>
          <w:spacing w:val="-4"/>
        </w:rPr>
        <w:t>学缺陷。该团队只发表了在西医院开展的随机对照双盲双模拟研究</w:t>
      </w:r>
      <w:r>
        <w:rPr/>
        <w:t>（196</w:t>
      </w:r>
      <w:r>
        <w:rPr>
          <w:spacing w:val="-15"/>
        </w:rPr>
        <w:t> 例患者</w:t>
      </w:r>
      <w:r>
        <w:rPr>
          <w:spacing w:val="-10"/>
        </w:rPr>
        <w:t>）</w:t>
      </w:r>
      <w:r>
        <w:rPr>
          <w:spacing w:val="-7"/>
        </w:rPr>
        <w:t>结果。结</w:t>
      </w:r>
      <w:r>
        <w:rPr>
          <w:spacing w:val="-4"/>
        </w:rPr>
        <w:t>果显示：摩罗丹治疗组异型增生消失率为 </w:t>
      </w:r>
      <w:r>
        <w:rPr/>
        <w:t>24.6%，高于叶酸对照组（15.2%），但由于样本</w:t>
      </w:r>
      <w:r>
        <w:rPr>
          <w:spacing w:val="-2"/>
        </w:rPr>
        <w:t>量少，两组之间无统计学差异；萎缩和肠化的消失率摩罗丹治疗组分别为 </w:t>
      </w:r>
      <w:r>
        <w:rPr/>
        <w:t>34.6%、23%，叶</w:t>
      </w:r>
    </w:p>
    <w:p>
      <w:pPr>
        <w:spacing w:line="414" w:lineRule="exact" w:before="0"/>
        <w:ind w:left="417" w:right="0" w:firstLine="0"/>
        <w:jc w:val="left"/>
        <w:rPr>
          <w:rFonts w:ascii="Meiryo" w:eastAsia="Meiryo" w:hint="eastAsia"/>
          <w:b/>
          <w:sz w:val="24"/>
        </w:rPr>
      </w:pPr>
      <w:r>
        <w:rPr>
          <w:sz w:val="24"/>
        </w:rPr>
        <w:t>酸对照组分别为 24.3%、13.6%。</w:t>
      </w:r>
      <w:r>
        <w:rPr>
          <w:rFonts w:ascii="Meiryo" w:eastAsia="Meiryo" w:hint="eastAsia"/>
          <w:b/>
          <w:color w:val="0033CC"/>
          <w:sz w:val="24"/>
        </w:rPr>
        <w:t>[返回目次]</w:t>
      </w:r>
    </w:p>
    <w:p>
      <w:pPr>
        <w:pStyle w:val="Heading2"/>
        <w:spacing w:before="193"/>
      </w:pPr>
      <w:bookmarkStart w:name="_TOC_250019" w:id="33"/>
      <w:bookmarkEnd w:id="33"/>
      <w:r>
        <w:rPr/>
        <w:t>【科普知识】</w:t>
      </w:r>
    </w:p>
    <w:p>
      <w:pPr>
        <w:pStyle w:val="BodyText"/>
        <w:spacing w:before="3"/>
        <w:ind w:left="0" w:firstLine="0"/>
        <w:rPr>
          <w:b/>
          <w:sz w:val="18"/>
        </w:rPr>
      </w:pPr>
    </w:p>
    <w:p>
      <w:pPr>
        <w:spacing w:after="0"/>
        <w:rPr>
          <w:sz w:val="18"/>
        </w:rPr>
        <w:sectPr>
          <w:pgSz w:w="11910" w:h="16850"/>
          <w:pgMar w:header="906" w:footer="607" w:top="1100" w:bottom="800" w:left="860" w:right="900"/>
        </w:sectPr>
      </w:pPr>
    </w:p>
    <w:p>
      <w:pPr>
        <w:pStyle w:val="Heading2"/>
        <w:spacing w:before="55"/>
        <w:ind w:left="3237"/>
      </w:pPr>
      <w:bookmarkStart w:name="_TOC_250018" w:id="34"/>
      <w:bookmarkEnd w:id="34"/>
      <w:r>
        <w:rPr>
          <w:spacing w:val="-2"/>
        </w:rPr>
        <w:t>使用眼药水应“缓慢停药”</w:t>
      </w:r>
    </w:p>
    <w:p>
      <w:pPr>
        <w:pStyle w:val="BodyText"/>
        <w:ind w:left="0" w:firstLine="0"/>
        <w:rPr>
          <w:b/>
        </w:rPr>
      </w:pPr>
      <w:r>
        <w:rPr/>
        <w:br w:type="column"/>
      </w:r>
      <w:r>
        <w:rPr>
          <w:b/>
        </w:rPr>
      </w:r>
    </w:p>
    <w:p>
      <w:pPr>
        <w:pStyle w:val="BodyText"/>
        <w:spacing w:before="8"/>
        <w:ind w:left="0" w:firstLine="0"/>
        <w:rPr>
          <w:b/>
          <w:sz w:val="23"/>
        </w:rPr>
      </w:pPr>
    </w:p>
    <w:p>
      <w:pPr>
        <w:pStyle w:val="Heading3"/>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7091" w:space="40"/>
            <w:col w:w="3019"/>
          </w:cols>
        </w:sectPr>
      </w:pPr>
    </w:p>
    <w:p>
      <w:pPr>
        <w:pStyle w:val="BodyText"/>
        <w:spacing w:line="297" w:lineRule="auto" w:before="96"/>
        <w:ind w:right="227"/>
      </w:pPr>
      <w:r>
        <w:rPr>
          <w:spacing w:val="-9"/>
        </w:rPr>
        <w:t>无论是地铁上的拇指族，还是办公室里的上班族，数字时代人们的双眼承受着前所未有</w:t>
      </w:r>
      <w:r>
        <w:rPr/>
        <w:t>的考验。</w:t>
      </w:r>
    </w:p>
    <w:p>
      <w:pPr>
        <w:pStyle w:val="BodyText"/>
        <w:spacing w:line="297" w:lineRule="auto"/>
        <w:ind w:right="126"/>
      </w:pPr>
      <w:r>
        <w:rPr>
          <w:spacing w:val="-1"/>
        </w:rPr>
        <w:t>从缓解视疲劳的角度来说，眼药水不是不能用，但用什么类型的眼药水、用多长时间， </w:t>
      </w:r>
      <w:r>
        <w:rPr>
          <w:spacing w:val="-6"/>
        </w:rPr>
        <w:t>都得根据医生的指导。有些患者看医生开了带激素的滴眼液，就拒绝，这样也是不对的。在遵医嘱的情况下，按照时间、剂量来用，一般是没有问题的。</w:t>
      </w:r>
    </w:p>
    <w:p>
      <w:pPr>
        <w:pStyle w:val="BodyText"/>
        <w:spacing w:line="297" w:lineRule="auto"/>
        <w:ind w:right="227"/>
        <w:jc w:val="both"/>
      </w:pPr>
      <w:r>
        <w:rPr>
          <w:spacing w:val="-7"/>
        </w:rPr>
        <w:t>滴眼液按照用途的不同可分为抗感染类、降眼压类、激素类、抗过敏类、散瞳类和润滑</w:t>
      </w:r>
      <w:r>
        <w:rPr>
          <w:spacing w:val="-10"/>
        </w:rPr>
        <w:t>剂类等几种。其中激素类滴眼液含有糖皮质激素，其实是一把双刃剑，对眼部的各种炎症和</w:t>
      </w:r>
      <w:r>
        <w:rPr>
          <w:spacing w:val="-7"/>
        </w:rPr>
        <w:t>变态反应性疾病均有治疗作用，具有消除炎症、保护视力的作用，是医生手里比较有利的武</w:t>
      </w:r>
      <w:r>
        <w:rPr/>
        <w:t>器。</w:t>
      </w:r>
    </w:p>
    <w:p>
      <w:pPr>
        <w:pStyle w:val="BodyText"/>
        <w:spacing w:line="297" w:lineRule="auto"/>
        <w:ind w:right="110"/>
      </w:pPr>
      <w:r>
        <w:rPr>
          <w:spacing w:val="-9"/>
        </w:rPr>
        <w:t>眼睛瘙痒，多数是眼睛内部遭受细菌感染所致。生活环境中，宠物、花粉、空气中的微</w:t>
      </w:r>
      <w:r>
        <w:rPr>
          <w:spacing w:val="-18"/>
        </w:rPr>
        <w:t>生物，都会成为身边的过敏源，而一旦出现眼睛过敏症状，正确使用激素类眼药水进行治疗， </w:t>
      </w:r>
      <w:r>
        <w:rPr>
          <w:spacing w:val="-6"/>
        </w:rPr>
        <w:t>是缓解眼部瘙痒症状的关键。当过敏性结膜炎患者眼睛特别痒，或抗过敏药物使用后疗效不</w:t>
      </w:r>
      <w:r>
        <w:rPr>
          <w:spacing w:val="-10"/>
        </w:rPr>
        <w:t>佳时，医生会酌情给其使用激素类眼药水。激素止痒褪红效果显著，患者通常没用多久，不适症状就大为缓解。</w:t>
      </w:r>
    </w:p>
    <w:p>
      <w:pPr>
        <w:spacing w:after="0" w:line="297" w:lineRule="auto"/>
        <w:sectPr>
          <w:type w:val="continuous"/>
          <w:pgSz w:w="11910" w:h="16850"/>
          <w:pgMar w:top="1100" w:bottom="1020" w:left="860" w:right="900"/>
        </w:sectPr>
      </w:pPr>
    </w:p>
    <w:p>
      <w:pPr>
        <w:pStyle w:val="BodyText"/>
        <w:spacing w:line="295" w:lineRule="auto" w:before="65"/>
        <w:ind w:right="228"/>
      </w:pPr>
      <w:r>
        <w:rPr>
          <w:spacing w:val="-9"/>
        </w:rPr>
        <w:t>需要注意的是，眼药水使用应遵循“缓慢停药”原则，当病症缓解后，一次性降低药量</w:t>
      </w:r>
      <w:r>
        <w:rPr/>
        <w:t>不可过半。然后，根据病情发展逐步停药，以防立即停药后，造成病症复发。</w:t>
      </w:r>
    </w:p>
    <w:p>
      <w:pPr>
        <w:pStyle w:val="BodyText"/>
        <w:spacing w:line="297" w:lineRule="auto" w:before="2"/>
        <w:ind w:right="109"/>
      </w:pPr>
      <w:r>
        <w:rPr>
          <w:spacing w:val="-16"/>
        </w:rPr>
        <w:t>此外，患者也不能将激素类眼药水视为“灵药”，切忌随意购买、使用含激素的眼药水。</w:t>
      </w:r>
      <w:r>
        <w:rPr>
          <w:spacing w:val="-7"/>
        </w:rPr>
        <w:t>因为激素的不良反应比较大，如使用不当，可能引起眼压升高，甚至会诱发其他眼疾，还可</w:t>
      </w:r>
      <w:r>
        <w:rPr>
          <w:spacing w:val="-13"/>
        </w:rPr>
        <w:t>以造成一些真菌、细菌的感染。即使因慢性眼病需要长期应用，也要注意定期测眼压，做到早期发现，并根据医嘱按时减量、停药，以免视功能遭受损害。</w:t>
      </w:r>
    </w:p>
    <w:p>
      <w:pPr>
        <w:spacing w:line="416" w:lineRule="exact" w:before="0"/>
        <w:ind w:left="897" w:right="0" w:firstLine="0"/>
        <w:jc w:val="left"/>
        <w:rPr>
          <w:rFonts w:ascii="Meiryo" w:eastAsia="Meiryo" w:hint="eastAsia"/>
          <w:b/>
          <w:sz w:val="24"/>
        </w:rPr>
      </w:pPr>
      <w:r>
        <w:rPr>
          <w:rFonts w:ascii="楷体" w:eastAsia="楷体" w:hint="eastAsia"/>
          <w:sz w:val="21"/>
        </w:rPr>
        <w:t>作者：解放军联勤保障部队第九〇〇医院眼科主任医师 陈梅珠</w:t>
      </w:r>
      <w:r>
        <w:rPr>
          <w:rFonts w:ascii="Meiryo" w:eastAsia="Meiryo" w:hint="eastAsia"/>
          <w:b/>
          <w:color w:val="0033CC"/>
          <w:sz w:val="24"/>
        </w:rPr>
        <w:t>[返回目次]</w:t>
      </w:r>
    </w:p>
    <w:p>
      <w:pPr>
        <w:pStyle w:val="BodyText"/>
        <w:spacing w:before="1"/>
        <w:ind w:left="0" w:firstLine="0"/>
        <w:rPr>
          <w:rFonts w:ascii="Meiryo"/>
          <w:b/>
          <w:sz w:val="7"/>
        </w:rPr>
      </w:pPr>
    </w:p>
    <w:p>
      <w:pPr>
        <w:spacing w:after="0"/>
        <w:rPr>
          <w:rFonts w:ascii="Meiryo"/>
          <w:sz w:val="7"/>
        </w:rPr>
        <w:sectPr>
          <w:pgSz w:w="11910" w:h="16850"/>
          <w:pgMar w:header="906" w:footer="607" w:top="1100" w:bottom="800" w:left="860" w:right="900"/>
        </w:sectPr>
      </w:pPr>
    </w:p>
    <w:p>
      <w:pPr>
        <w:pStyle w:val="Heading2"/>
        <w:spacing w:before="55"/>
        <w:ind w:left="3881"/>
      </w:pPr>
      <w:bookmarkStart w:name="_TOC_250017" w:id="35"/>
      <w:bookmarkEnd w:id="35"/>
      <w:r>
        <w:rPr>
          <w:spacing w:val="-3"/>
        </w:rPr>
        <w:t>一文读懂全身麻醉</w:t>
      </w:r>
    </w:p>
    <w:p>
      <w:pPr>
        <w:pStyle w:val="BodyText"/>
        <w:ind w:left="0" w:firstLine="0"/>
        <w:rPr>
          <w:b/>
        </w:rPr>
      </w:pPr>
      <w:r>
        <w:rPr/>
        <w:br w:type="column"/>
      </w:r>
      <w:r>
        <w:rPr>
          <w:b/>
        </w:rPr>
      </w:r>
    </w:p>
    <w:p>
      <w:pPr>
        <w:pStyle w:val="BodyText"/>
        <w:spacing w:before="8"/>
        <w:ind w:left="0" w:firstLine="0"/>
        <w:rPr>
          <w:b/>
          <w:sz w:val="23"/>
        </w:rPr>
      </w:pPr>
    </w:p>
    <w:p>
      <w:pPr>
        <w:pStyle w:val="Heading3"/>
        <w:ind w:left="1017"/>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860" w:right="900"/>
          <w:cols w:num="2" w:equalWidth="0">
            <w:col w:w="6449" w:space="40"/>
            <w:col w:w="3661"/>
          </w:cols>
        </w:sectPr>
      </w:pPr>
    </w:p>
    <w:p>
      <w:pPr>
        <w:pStyle w:val="BodyText"/>
        <w:spacing w:line="297" w:lineRule="auto" w:before="98"/>
        <w:ind w:right="227" w:firstLine="621"/>
      </w:pPr>
      <w:r>
        <w:rPr>
          <w:spacing w:val="-1"/>
        </w:rPr>
        <w:t>很多人一生中都会有与麻醉“相遇”的机会,其中很大一部分手术需要全身麻醉，俗</w:t>
      </w:r>
      <w:r>
        <w:rPr>
          <w:spacing w:val="-11"/>
        </w:rPr>
        <w:t>称全麻。对于患者来说，既希望通过麻醉感觉不到手术带来的疼痛，又希望手术之后快速清醒。对于手术医生来说，希望麻醉达到的完美状态则是：患者手术前镇静、镇痛、肌松，手</w:t>
      </w:r>
      <w:r>
        <w:rPr/>
        <w:t>术后第一时间清醒，同时恢复身体正常功能。</w:t>
      </w:r>
    </w:p>
    <w:p>
      <w:pPr>
        <w:pStyle w:val="Heading3"/>
        <w:spacing w:line="302" w:lineRule="exact"/>
      </w:pPr>
      <w:r>
        <w:rPr/>
        <w:t>现代麻醉：深肌松、浅麻醉</w:t>
      </w:r>
    </w:p>
    <w:p>
      <w:pPr>
        <w:pStyle w:val="BodyText"/>
        <w:spacing w:line="297" w:lineRule="auto" w:before="72"/>
        <w:ind w:right="227"/>
      </w:pPr>
      <w:r>
        <w:rPr>
          <w:spacing w:val="-12"/>
        </w:rPr>
        <w:t>镇静、镇痛、肌松，俗称全麻平衡三角。镇痛、镇静比较好理解，但肌松是什么，在麻</w:t>
      </w:r>
      <w:r>
        <w:rPr/>
        <w:t>醉中发挥怎样的作用，大众可能就不大清楚了。</w:t>
      </w:r>
    </w:p>
    <w:p>
      <w:pPr>
        <w:pStyle w:val="BodyText"/>
        <w:spacing w:line="297" w:lineRule="auto"/>
        <w:ind w:right="110"/>
      </w:pPr>
      <w:r>
        <w:rPr>
          <w:spacing w:val="-17"/>
        </w:rPr>
        <w:t>肌松，即肌肉松弛。需要通过肌松药选择性地使身体骨骼肌松弛。骨骼肌多附着于骨骼， </w:t>
      </w:r>
      <w:r>
        <w:rPr>
          <w:spacing w:val="-8"/>
        </w:rPr>
        <w:t>受人体随意支配，所以也叫随意肌。神经连接着肌肉，支配其收缩，肌松药则阻断神经与肌肉间的传导，从而发挥肌肉松弛作用。</w:t>
      </w:r>
    </w:p>
    <w:p>
      <w:pPr>
        <w:pStyle w:val="BodyText"/>
        <w:spacing w:line="297" w:lineRule="auto"/>
        <w:ind w:right="107"/>
      </w:pPr>
      <w:r>
        <w:rPr>
          <w:spacing w:val="-5"/>
        </w:rPr>
        <w:t>北京协和医院麻醉科叶铁虎教授介绍，手术或急救时，必须实施人工呼吸、气管插管和其他许多操作。即使在麻醉的情况下，这些操作仍然会引起患者骨骼肌不自觉的强烈收缩， </w:t>
      </w:r>
      <w:r>
        <w:rPr>
          <w:spacing w:val="-17"/>
        </w:rPr>
        <w:t>给医护人员的手术操作带来很大困难。如果强行操作，有可能会损伤患者的机体组织与器官， </w:t>
      </w:r>
      <w:r>
        <w:rPr/>
        <w:t>不仅对抢救和手术都不利，甚至可能危及患者生命。</w:t>
      </w:r>
    </w:p>
    <w:p>
      <w:pPr>
        <w:pStyle w:val="BodyText"/>
        <w:spacing w:line="297" w:lineRule="auto"/>
        <w:ind w:right="107"/>
      </w:pPr>
      <w:r>
        <w:rPr>
          <w:spacing w:val="-15"/>
        </w:rPr>
        <w:t>这时候就必须使用肌松剂，让患者骨骼肌不再受到神经系统的支配，处于完全松弛状态， </w:t>
      </w:r>
      <w:r>
        <w:rPr/>
        <w:t>以方便医护人员操作和及时抢救。</w:t>
      </w:r>
    </w:p>
    <w:p>
      <w:pPr>
        <w:pStyle w:val="BodyText"/>
        <w:spacing w:line="295" w:lineRule="auto"/>
        <w:ind w:right="230"/>
      </w:pPr>
      <w:r>
        <w:rPr/>
        <w:t>1942</w:t>
      </w:r>
      <w:r>
        <w:rPr>
          <w:spacing w:val="-41"/>
        </w:rPr>
        <w:t> 年 </w:t>
      </w:r>
      <w:r>
        <w:rPr/>
        <w:t>1</w:t>
      </w:r>
      <w:r>
        <w:rPr>
          <w:spacing w:val="-40"/>
        </w:rPr>
        <w:t> 月 </w:t>
      </w:r>
      <w:r>
        <w:rPr/>
        <w:t>23</w:t>
      </w:r>
      <w:r>
        <w:rPr>
          <w:spacing w:val="-12"/>
        </w:rPr>
        <w:t> 号，加拿大的两位麻醉医生第一次把肌松药用在一个腹部手术的患者身</w:t>
      </w:r>
      <w:r>
        <w:rPr/>
        <w:t>上。从这天开始，现代麻醉被视为跨入一个新的纪元：深肌松、浅麻醉时代。</w:t>
      </w:r>
    </w:p>
    <w:p>
      <w:pPr>
        <w:pStyle w:val="BodyText"/>
        <w:spacing w:line="297" w:lineRule="auto"/>
        <w:ind w:right="107"/>
      </w:pPr>
      <w:r>
        <w:rPr>
          <w:spacing w:val="-9"/>
        </w:rPr>
        <w:t>在此之前，要获得一定的肌肉松弛来满足外科手术的需求，往往靠加深麻醉。而加深麻</w:t>
      </w:r>
      <w:r>
        <w:rPr>
          <w:spacing w:val="-13"/>
        </w:rPr>
        <w:t>醉会对患者循环系统、呼吸系统和机体的代谢产生明显的抑制。此外，深麻醉患者需一定时</w:t>
      </w:r>
      <w:r>
        <w:rPr>
          <w:spacing w:val="-20"/>
        </w:rPr>
        <w:t>间才能醒来，睡上一宿是很常见的事。再者，对老年患者来说，加深麻醉是有困难和风险的， </w:t>
      </w:r>
      <w:r>
        <w:rPr/>
        <w:t>所以当时有麻醉禁忌的说法。</w:t>
      </w:r>
    </w:p>
    <w:p>
      <w:pPr>
        <w:pStyle w:val="Heading3"/>
        <w:spacing w:line="301" w:lineRule="exact"/>
      </w:pPr>
      <w:r>
        <w:rPr/>
        <w:t>术后残留是麻醉需解决的问题</w:t>
      </w:r>
    </w:p>
    <w:p>
      <w:pPr>
        <w:pStyle w:val="BodyText"/>
        <w:spacing w:line="297" w:lineRule="auto" w:before="64"/>
        <w:ind w:right="227"/>
      </w:pPr>
      <w:r>
        <w:rPr>
          <w:spacing w:val="-6"/>
        </w:rPr>
        <w:t>经历过手术麻醉的患者可能会有这样的感觉，手术之后“麻药劲”迟迟不能消退。这就</w:t>
      </w:r>
      <w:r>
        <w:rPr/>
        <w:t>是麻醉需迫切解决的问题——肌松药的“术后残留”问题。</w:t>
      </w:r>
    </w:p>
    <w:p>
      <w:pPr>
        <w:pStyle w:val="BodyText"/>
        <w:spacing w:line="295" w:lineRule="auto"/>
        <w:ind w:right="227"/>
      </w:pPr>
      <w:r>
        <w:rPr>
          <w:spacing w:val="-6"/>
        </w:rPr>
        <w:t>尽管深肌松在临床中获得了很高评价，尤其对腹腔镜手术有益，但也存在两个问题：一</w:t>
      </w:r>
      <w:r>
        <w:rPr/>
        <w:t>是术中知晓，二是术后残留。</w:t>
      </w:r>
    </w:p>
    <w:p>
      <w:pPr>
        <w:spacing w:after="0" w:line="295" w:lineRule="auto"/>
        <w:sectPr>
          <w:type w:val="continuous"/>
          <w:pgSz w:w="11910" w:h="16850"/>
          <w:pgMar w:top="1100" w:bottom="1020" w:left="860" w:right="900"/>
        </w:sectPr>
      </w:pPr>
    </w:p>
    <w:p>
      <w:pPr>
        <w:pStyle w:val="BodyText"/>
        <w:spacing w:line="295" w:lineRule="auto" w:before="65"/>
        <w:ind w:right="227"/>
        <w:jc w:val="both"/>
      </w:pPr>
      <w:r>
        <w:rPr>
          <w:spacing w:val="-8"/>
        </w:rPr>
        <w:t>叶铁虎教授介绍，用了肌松药以后，如果没有给患者充足的镇静催眠药、麻醉药，患者</w:t>
      </w:r>
      <w:r>
        <w:rPr>
          <w:spacing w:val="-14"/>
        </w:rPr>
        <w:t>可能术中就醒了，知道术中发生的一些情况，听到外科大夫和手术器械操作的声音，这就是</w:t>
      </w:r>
      <w:r>
        <w:rPr/>
        <w:t>“术中知晓”。术中可能发生的患者知晓，通过监测麻醉深度基本可以解决。</w:t>
      </w:r>
    </w:p>
    <w:p>
      <w:pPr>
        <w:pStyle w:val="BodyText"/>
        <w:spacing w:line="295" w:lineRule="auto" w:before="5"/>
        <w:ind w:right="230"/>
        <w:jc w:val="both"/>
      </w:pPr>
      <w:r>
        <w:rPr>
          <w:spacing w:val="-6"/>
        </w:rPr>
        <w:t>术后残留则是会危及患者生命的一个重要问题。叶铁虎教授指出，肌松残留作用是术后</w:t>
      </w:r>
      <w:r>
        <w:rPr>
          <w:spacing w:val="-7"/>
        </w:rPr>
        <w:t>早期各类不良事件的重要因素，可能造成呼吸道梗阻、呼吸抑制，肺部并发症增加，二氧化</w:t>
      </w:r>
      <w:r>
        <w:rPr/>
        <w:t>碳潴留，缺氧等，严重者会造成呼吸停止。</w:t>
      </w:r>
    </w:p>
    <w:p>
      <w:pPr>
        <w:pStyle w:val="BodyText"/>
        <w:spacing w:line="295" w:lineRule="auto" w:before="6"/>
        <w:ind w:right="227"/>
        <w:jc w:val="both"/>
      </w:pPr>
      <w:r>
        <w:rPr>
          <w:spacing w:val="-5"/>
        </w:rPr>
        <w:t>这个问题一直到特异性肌松拮抗剂的出现才得到较满意的解决。在此之前，各国对肌松</w:t>
      </w:r>
      <w:r>
        <w:rPr>
          <w:spacing w:val="-3"/>
        </w:rPr>
        <w:t>残留的调查并不乐观。</w:t>
      </w:r>
      <w:r>
        <w:rPr/>
        <w:t>2015</w:t>
      </w:r>
      <w:r>
        <w:rPr>
          <w:spacing w:val="-16"/>
        </w:rPr>
        <w:t> 年，我国的一个调查显示，在气管拔管时，有 </w:t>
      </w:r>
      <w:r>
        <w:rPr/>
        <w:t>57.8%</w:t>
      </w:r>
      <w:r>
        <w:rPr>
          <w:spacing w:val="-3"/>
        </w:rPr>
        <w:t>的患者有肌</w:t>
      </w:r>
      <w:r>
        <w:rPr/>
        <w:t>松残留。</w:t>
      </w:r>
    </w:p>
    <w:p>
      <w:pPr>
        <w:pStyle w:val="Heading3"/>
        <w:spacing w:before="5"/>
      </w:pPr>
      <w:r>
        <w:rPr/>
        <w:t>肌松剂和肌松拮抗剂</w:t>
      </w:r>
    </w:p>
    <w:p>
      <w:pPr>
        <w:pStyle w:val="BodyText"/>
        <w:spacing w:line="297" w:lineRule="auto" w:before="72"/>
        <w:ind w:right="226"/>
        <w:jc w:val="both"/>
      </w:pPr>
      <w:r>
        <w:rPr>
          <w:spacing w:val="-6"/>
        </w:rPr>
        <w:t>肌松剂和肌松拮抗剂是“相爱相杀的一对鸳鸯”。没有肌松剂，就不存在针对它的拮抗</w:t>
      </w:r>
      <w:r>
        <w:rPr>
          <w:spacing w:val="-11"/>
        </w:rPr>
        <w:t>剂；肌松剂作用于患者的神经和骨骼肌连接处，手术完成后仍“赖着不肯走”，肌松拮抗剂</w:t>
      </w:r>
      <w:r>
        <w:rPr/>
        <w:t>存在的价值就是要把赖着不走的肌松剂带走。</w:t>
      </w:r>
    </w:p>
    <w:p>
      <w:pPr>
        <w:pStyle w:val="BodyText"/>
        <w:spacing w:line="295" w:lineRule="auto"/>
        <w:ind w:right="227"/>
      </w:pPr>
      <w:r>
        <w:rPr>
          <w:spacing w:val="-6"/>
        </w:rPr>
        <w:t>各国医学界已充分认识到麻醉中肌松拮抗剂的作用。我国相关指南中强调，在应用肌松</w:t>
      </w:r>
      <w:r>
        <w:rPr/>
        <w:t>剂后应进行常规拮抗。欧洲的指南相关要求更加严格，以解决肌松残留问题。</w:t>
      </w:r>
    </w:p>
    <w:p>
      <w:pPr>
        <w:pStyle w:val="BodyText"/>
        <w:spacing w:line="297" w:lineRule="auto" w:before="1"/>
        <w:ind w:right="127"/>
      </w:pPr>
      <w:r>
        <w:rPr>
          <w:spacing w:val="-1"/>
        </w:rPr>
        <w:t>特异性肌松拮抗剂在我国获批应用前，临床用的是传统的肌松拮抗剂，不良反应较多， </w:t>
      </w:r>
      <w:r>
        <w:rPr>
          <w:spacing w:val="-10"/>
        </w:rPr>
        <w:t>且对深肌松无效，临床应用时有诸多顾虑。特异性肌松拮抗剂的出现弥补了传统肌松拮抗剂</w:t>
      </w:r>
      <w:r>
        <w:rPr>
          <w:spacing w:val="-11"/>
        </w:rPr>
        <w:t>的不足。尤其是现代外科手术的微创化、精准化及可视化发展到了一个非常高的境界，这对</w:t>
      </w:r>
      <w:r>
        <w:rPr>
          <w:spacing w:val="-15"/>
        </w:rPr>
        <w:t>麻醉提出了更高要求。同时，很多患者更希望手术无痛，快速清醒。这就使得深肌松麻醉和</w:t>
      </w:r>
    </w:p>
    <w:p>
      <w:pPr>
        <w:spacing w:line="414" w:lineRule="exact" w:before="0"/>
        <w:ind w:left="417" w:right="0" w:firstLine="0"/>
        <w:jc w:val="left"/>
        <w:rPr>
          <w:rFonts w:ascii="Meiryo" w:eastAsia="Meiryo" w:hint="eastAsia"/>
          <w:b/>
          <w:sz w:val="24"/>
        </w:rPr>
      </w:pPr>
      <w:r>
        <w:rPr>
          <w:sz w:val="24"/>
        </w:rPr>
        <w:t>特异性深肌松拮抗剂的应用更加普遍。</w:t>
      </w:r>
      <w:r>
        <w:rPr>
          <w:rFonts w:ascii="Meiryo" w:eastAsia="Meiryo" w:hint="eastAsia"/>
          <w:b/>
          <w:color w:val="0033CC"/>
          <w:sz w:val="24"/>
        </w:rPr>
        <w:t>[返回目次]</w:t>
      </w:r>
    </w:p>
    <w:p>
      <w:pPr>
        <w:pStyle w:val="Heading2"/>
        <w:spacing w:before="191"/>
        <w:ind w:left="520"/>
      </w:pPr>
      <w:bookmarkStart w:name="_TOC_250016" w:id="36"/>
      <w:bookmarkEnd w:id="36"/>
      <w:r>
        <w:rPr>
          <w:w w:val="75"/>
        </w:rPr>
        <w:t>准妈妈喝冰箱的牛奶致胎死腹中 ，罪魁祸首竟是李斯特菌这个“不怕冷的危险分子”！</w:t>
      </w:r>
    </w:p>
    <w:p>
      <w:pPr>
        <w:pStyle w:val="Heading3"/>
        <w:spacing w:before="148"/>
        <w:ind w:left="6540"/>
        <w:rPr>
          <w:rFonts w:ascii="楷体" w:eastAsia="楷体" w:hint="eastAsia"/>
        </w:rPr>
      </w:pPr>
      <w:r>
        <w:rPr>
          <w:rFonts w:ascii="楷体" w:eastAsia="楷体" w:hint="eastAsia"/>
          <w:color w:val="FF0000"/>
        </w:rPr>
        <w:t>（来源：药葫芦娃微信公众号）</w:t>
      </w:r>
    </w:p>
    <w:p>
      <w:pPr>
        <w:pStyle w:val="BodyText"/>
        <w:ind w:left="0" w:firstLine="0"/>
        <w:rPr>
          <w:rFonts w:ascii="楷体"/>
          <w:b/>
          <w:sz w:val="16"/>
        </w:rPr>
      </w:pPr>
      <w:r>
        <w:rPr/>
        <w:drawing>
          <wp:anchor distT="0" distB="0" distL="0" distR="0" allowOverlap="1" layoutInCell="1" locked="0" behindDoc="0" simplePos="0" relativeHeight="3">
            <wp:simplePos x="0" y="0"/>
            <wp:positionH relativeFrom="page">
              <wp:posOffset>716915</wp:posOffset>
            </wp:positionH>
            <wp:positionV relativeFrom="paragraph">
              <wp:posOffset>155022</wp:posOffset>
            </wp:positionV>
            <wp:extent cx="5465563" cy="3628739"/>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9" cstate="print"/>
                    <a:stretch>
                      <a:fillRect/>
                    </a:stretch>
                  </pic:blipFill>
                  <pic:spPr>
                    <a:xfrm>
                      <a:off x="0" y="0"/>
                      <a:ext cx="5465563" cy="3628739"/>
                    </a:xfrm>
                    <a:prstGeom prst="rect">
                      <a:avLst/>
                    </a:prstGeom>
                  </pic:spPr>
                </pic:pic>
              </a:graphicData>
            </a:graphic>
          </wp:anchor>
        </w:drawing>
      </w:r>
    </w:p>
    <w:p>
      <w:pPr>
        <w:spacing w:after="0"/>
        <w:rPr>
          <w:rFonts w:ascii="楷体"/>
          <w:sz w:val="16"/>
        </w:rPr>
        <w:sectPr>
          <w:pgSz w:w="11910" w:h="16850"/>
          <w:pgMar w:header="906" w:footer="607" w:top="1100" w:bottom="800" w:left="860" w:right="900"/>
        </w:sectPr>
      </w:pPr>
    </w:p>
    <w:p>
      <w:pPr>
        <w:pStyle w:val="BodyText"/>
        <w:spacing w:before="65"/>
        <w:ind w:left="897" w:firstLine="0"/>
      </w:pPr>
      <w:r>
        <w:rPr>
          <w:w w:val="105"/>
        </w:rPr>
        <w:t>最近几天，朋友圈被这则消息刷屏„„</w:t>
      </w:r>
    </w:p>
    <w:p>
      <w:pPr>
        <w:pStyle w:val="BodyText"/>
        <w:spacing w:line="295" w:lineRule="auto" w:before="72"/>
        <w:ind w:left="897" w:right="2286" w:firstLine="0"/>
      </w:pPr>
      <w:r>
        <w:rPr/>
        <w:t>准妈妈就因为喝了一口开封没喝完放在冰箱的牛奶，宝宝没了？ </w:t>
      </w:r>
      <w:r>
        <w:rPr>
          <w:spacing w:val="-2"/>
        </w:rPr>
        <w:t>李斯特菌导致的？那是啥？如此张狂的李斯特菌是“何方神圣”？</w:t>
      </w:r>
    </w:p>
    <w:p>
      <w:pPr>
        <w:pStyle w:val="BodyText"/>
        <w:spacing w:line="295" w:lineRule="auto" w:before="4"/>
        <w:ind w:right="228"/>
      </w:pPr>
      <w:r>
        <w:rPr>
          <w:spacing w:val="-10"/>
        </w:rPr>
        <w:t>李斯特菌是 </w:t>
      </w:r>
      <w:r>
        <w:rPr/>
        <w:t>1926</w:t>
      </w:r>
      <w:r>
        <w:rPr>
          <w:spacing w:val="-9"/>
        </w:rPr>
        <w:t> 年英国南非裔科学家穆里在病死的兔子体内首次发现的，1940</w:t>
      </w:r>
      <w:r>
        <w:rPr>
          <w:spacing w:val="-19"/>
        </w:rPr>
        <w:t> 年被第</w:t>
      </w:r>
      <w:r>
        <w:rPr/>
        <w:t>三届国际微生物学大会命名。</w:t>
      </w:r>
    </w:p>
    <w:p>
      <w:pPr>
        <w:pStyle w:val="BodyText"/>
        <w:spacing w:line="297" w:lineRule="auto" w:before="2"/>
        <w:ind w:left="897" w:right="1567" w:firstLine="0"/>
      </w:pPr>
      <w:r>
        <w:rPr/>
        <w:t>众多李斯特菌中，单核细胞增生李斯特菌是唯一能引起人类疾病的菌株。单核细胞增生李斯特菌是一种人畜共患病的病原菌。</w:t>
      </w:r>
    </w:p>
    <w:p>
      <w:pPr>
        <w:pStyle w:val="BodyText"/>
        <w:spacing w:line="295" w:lineRule="auto"/>
        <w:ind w:left="897" w:right="607" w:firstLine="0"/>
      </w:pPr>
      <w:r>
        <w:rPr/>
        <w:t>它能引起人畜的李斯特菌病，感染后主要表现为败血症、脑膜炎和单核细胞增多。“恶魔”就在我们身边！</w:t>
      </w:r>
    </w:p>
    <w:p>
      <w:pPr>
        <w:pStyle w:val="BodyText"/>
        <w:spacing w:line="295" w:lineRule="auto" w:before="3"/>
        <w:ind w:right="106"/>
      </w:pPr>
      <w:r>
        <w:rPr>
          <w:spacing w:val="-12"/>
        </w:rPr>
        <w:t>李斯特菌分布范围广，几乎无处不在，土壤、水域(地表水、污水、废水)、昆虫、植物、蔬菜、鱼、鸟、野生动物、家禽等都是李斯特菌的最爱“栖息地”。</w:t>
      </w:r>
    </w:p>
    <w:p>
      <w:pPr>
        <w:pStyle w:val="BodyText"/>
        <w:spacing w:line="297" w:lineRule="auto" w:before="2"/>
        <w:ind w:left="897" w:right="127" w:firstLine="0"/>
      </w:pPr>
      <w:r>
        <w:rPr/>
        <w:t>目前，肉类、蛋类、禽类、海产品、乳制品、蔬菜等均已被证实是李斯特菌的感染源。据报道，4%～8%的水产品、5%～10%的奶制品、30%以上的肉制品及 15%以上的家禽均可</w:t>
      </w:r>
    </w:p>
    <w:p>
      <w:pPr>
        <w:pStyle w:val="BodyText"/>
        <w:spacing w:line="306" w:lineRule="exact"/>
        <w:ind w:firstLine="0"/>
      </w:pPr>
      <w:r>
        <w:rPr/>
        <w:t>被李斯特菌污染。</w:t>
      </w:r>
    </w:p>
    <w:p>
      <w:pPr>
        <w:pStyle w:val="BodyText"/>
        <w:spacing w:before="72"/>
        <w:ind w:left="897" w:firstLine="0"/>
      </w:pPr>
      <w:r>
        <w:rPr/>
        <w:t>李斯特菌之所以有这样的“喜人成果”，是因为人家“抗造”啊！</w:t>
      </w:r>
    </w:p>
    <w:p>
      <w:pPr>
        <w:pStyle w:val="BodyText"/>
        <w:spacing w:line="295" w:lineRule="auto" w:before="74"/>
        <w:ind w:right="245"/>
      </w:pPr>
      <w:r>
        <w:rPr/>
        <w:t>耐低温（</w:t>
      </w:r>
      <w:r>
        <w:rPr>
          <w:spacing w:val="-5"/>
        </w:rPr>
        <w:t>秋冬时期在土壤中能存活 </w:t>
      </w:r>
      <w:r>
        <w:rPr/>
        <w:t>5</w:t>
      </w:r>
      <w:r>
        <w:rPr>
          <w:spacing w:val="-12"/>
        </w:rPr>
        <w:t> 个月以上，在冰块内也可存活 </w:t>
      </w:r>
      <w:r>
        <w:rPr/>
        <w:t>3～5</w:t>
      </w:r>
      <w:r>
        <w:rPr>
          <w:spacing w:val="-20"/>
        </w:rPr>
        <w:t> 个月</w:t>
      </w:r>
      <w:r>
        <w:rPr/>
        <w:t>）</w:t>
      </w:r>
      <w:r>
        <w:rPr>
          <w:spacing w:val="-6"/>
        </w:rPr>
        <w:t>、耐干</w:t>
      </w:r>
      <w:r>
        <w:rPr>
          <w:spacing w:val="-4"/>
        </w:rPr>
        <w:t>燥、耐盐、耐酸、耐碱，反抗力 </w:t>
      </w:r>
      <w:r>
        <w:rPr/>
        <w:t>100</w:t>
      </w:r>
      <w:r>
        <w:rPr>
          <w:spacing w:val="-20"/>
        </w:rPr>
        <w:t> 分！</w:t>
      </w:r>
    </w:p>
    <w:p>
      <w:pPr>
        <w:pStyle w:val="BodyText"/>
        <w:spacing w:line="297" w:lineRule="auto" w:before="2"/>
        <w:ind w:right="367"/>
      </w:pPr>
      <w:r>
        <w:rPr>
          <w:spacing w:val="-1"/>
        </w:rPr>
        <w:t>鉴于李斯特菌满满的反抗力，在冰箱这种相对温和的冷藏环境下生长繁殖，那都是小</w:t>
      </w:r>
      <w:r>
        <w:rPr/>
        <w:t>case！</w:t>
      </w:r>
    </w:p>
    <w:p>
      <w:pPr>
        <w:pStyle w:val="BodyText"/>
        <w:spacing w:line="295" w:lineRule="auto"/>
        <w:ind w:right="226"/>
      </w:pPr>
      <w:r>
        <w:rPr>
          <w:spacing w:val="-6"/>
        </w:rPr>
        <w:t>据美国的一项调查显示，李斯特菌感染的人群中，</w:t>
      </w:r>
      <w:r>
        <w:rPr>
          <w:spacing w:val="-13"/>
        </w:rPr>
        <w:t>64%</w:t>
      </w:r>
      <w:r>
        <w:rPr>
          <w:spacing w:val="-5"/>
        </w:rPr>
        <w:t>可以在家中的冰箱中找到 </w:t>
      </w:r>
      <w:r>
        <w:rPr/>
        <w:t>ta</w:t>
      </w:r>
      <w:r>
        <w:rPr>
          <w:spacing w:val="-26"/>
        </w:rPr>
        <w:t> 的身</w:t>
      </w:r>
      <w:r>
        <w:rPr>
          <w:w w:val="130"/>
        </w:rPr>
        <w:t>影„„</w:t>
      </w:r>
    </w:p>
    <w:p>
      <w:pPr>
        <w:pStyle w:val="BodyText"/>
        <w:spacing w:before="3"/>
        <w:ind w:left="897" w:firstLine="0"/>
      </w:pPr>
      <w:r>
        <w:rPr/>
        <w:t>“欺软怕硬”的典型！</w:t>
      </w:r>
    </w:p>
    <w:p>
      <w:pPr>
        <w:pStyle w:val="BodyText"/>
        <w:spacing w:line="295" w:lineRule="auto" w:before="71"/>
        <w:ind w:right="230"/>
      </w:pPr>
      <w:r>
        <w:rPr>
          <w:spacing w:val="-6"/>
        </w:rPr>
        <w:t>并不是所有通过食物接触李斯特菌的人都会生病，真正发生食源性李斯特菌病的情况还</w:t>
      </w:r>
      <w:r>
        <w:rPr/>
        <w:t>是比较罕见的。</w:t>
      </w:r>
    </w:p>
    <w:p>
      <w:pPr>
        <w:pStyle w:val="BodyText"/>
        <w:spacing w:line="297" w:lineRule="auto" w:before="5"/>
        <w:ind w:right="115"/>
      </w:pPr>
      <w:r>
        <w:rPr>
          <w:spacing w:val="-14"/>
        </w:rPr>
        <w:t>普通人感染李斯特菌，早期症状一般不明显。其症状与流感类似，如发热、恶心、呕吐、</w:t>
      </w:r>
      <w:r>
        <w:rPr/>
        <w:t>头痛、肌痛，有时可伴腹痛、腹泻等胃肠道症状。</w:t>
      </w:r>
    </w:p>
    <w:p>
      <w:pPr>
        <w:pStyle w:val="BodyText"/>
        <w:spacing w:line="297" w:lineRule="auto"/>
        <w:ind w:right="239"/>
      </w:pPr>
      <w:r>
        <w:rPr/>
        <w:t>李斯特菌最爱“欺负”孕妇、初生婴儿、40 岁以上的成年人和免疫力较低的人群（例如艾滋病、糖尿病、癌症患者）。</w:t>
      </w:r>
    </w:p>
    <w:p>
      <w:pPr>
        <w:pStyle w:val="BodyText"/>
        <w:spacing w:line="295" w:lineRule="auto"/>
        <w:ind w:right="227"/>
      </w:pPr>
      <w:r>
        <w:rPr>
          <w:spacing w:val="-6"/>
        </w:rPr>
        <w:t>孕妇感染李斯特菌后本人可能并不会出现严重症状，但细菌可以通过胎盘传染胎儿，并</w:t>
      </w:r>
      <w:r>
        <w:rPr/>
        <w:t>可造成流产、败血病、初生婴儿脑膜炎、多器官功能障碍等严重后果。</w:t>
      </w:r>
    </w:p>
    <w:p>
      <w:pPr>
        <w:pStyle w:val="BodyText"/>
        <w:ind w:left="897" w:firstLine="0"/>
      </w:pPr>
      <w:r>
        <w:rPr/>
        <w:t>灭“菌”计划，“热”起来！</w:t>
      </w:r>
    </w:p>
    <w:p>
      <w:pPr>
        <w:pStyle w:val="BodyText"/>
        <w:spacing w:before="70"/>
        <w:ind w:left="897" w:firstLine="0"/>
      </w:pPr>
      <w:r>
        <w:rPr>
          <w:w w:val="110"/>
        </w:rPr>
        <w:t>在冰箱里生长繁殖，如鱼得水„„杀伤力还这么强„„</w:t>
      </w:r>
    </w:p>
    <w:p>
      <w:pPr>
        <w:pStyle w:val="BodyText"/>
        <w:spacing w:line="297" w:lineRule="auto" w:before="72"/>
        <w:ind w:left="897" w:right="607" w:firstLine="0"/>
      </w:pPr>
      <w:r>
        <w:rPr/>
        <w:t>肿么破？总不能因噎废食啊！况且，离开冰箱，完全不现实啊！莫慌！没关系的！ 虽然李斯特菌是妥妥的“冰箱杀手”，但是，ta 还是有“死穴”的——不耐热！ 70℃以上的温度+加热 2 分钟以上，搞定！</w:t>
      </w:r>
    </w:p>
    <w:p>
      <w:pPr>
        <w:pStyle w:val="BodyText"/>
        <w:spacing w:line="304" w:lineRule="exact"/>
        <w:ind w:left="897" w:firstLine="0"/>
      </w:pPr>
      <w:r>
        <w:rPr/>
        <w:t>蒸熟、煮透这些基础的操作就能稳稳干掉 ta！</w:t>
      </w:r>
    </w:p>
    <w:p>
      <w:pPr>
        <w:pStyle w:val="BodyText"/>
        <w:spacing w:line="295" w:lineRule="auto" w:before="74"/>
        <w:ind w:left="897" w:right="3007" w:firstLine="0"/>
      </w:pPr>
      <w:r>
        <w:rPr/>
        <w:t>也就是说，吃东西前，确保食物已经充分加热就木问题了！ 药娃温馨提示：</w:t>
      </w:r>
    </w:p>
    <w:p>
      <w:pPr>
        <w:spacing w:after="0" w:line="295" w:lineRule="auto"/>
        <w:sectPr>
          <w:pgSz w:w="11910" w:h="16850"/>
          <w:pgMar w:header="906" w:footer="607" w:top="1100" w:bottom="800" w:left="860" w:right="900"/>
        </w:sectPr>
      </w:pPr>
    </w:p>
    <w:p>
      <w:pPr>
        <w:pStyle w:val="BodyText"/>
        <w:spacing w:before="65"/>
        <w:ind w:left="897" w:firstLine="0"/>
      </w:pPr>
      <w:r>
        <w:rPr/>
        <w:t>预防李斯特菌，以下几点一定要做到！</w:t>
      </w:r>
    </w:p>
    <w:p>
      <w:pPr>
        <w:pStyle w:val="ListParagraph"/>
        <w:numPr>
          <w:ilvl w:val="0"/>
          <w:numId w:val="4"/>
        </w:numPr>
        <w:tabs>
          <w:tab w:pos="1258" w:val="left" w:leader="none"/>
        </w:tabs>
        <w:spacing w:line="240" w:lineRule="auto" w:before="72" w:after="0"/>
        <w:ind w:left="1257" w:right="0" w:hanging="361"/>
        <w:jc w:val="left"/>
        <w:rPr>
          <w:sz w:val="24"/>
        </w:rPr>
      </w:pPr>
      <w:r>
        <w:rPr>
          <w:sz w:val="24"/>
        </w:rPr>
        <w:t>生熟食物要分开存放；</w:t>
      </w:r>
    </w:p>
    <w:p>
      <w:pPr>
        <w:pStyle w:val="ListParagraph"/>
        <w:numPr>
          <w:ilvl w:val="0"/>
          <w:numId w:val="4"/>
        </w:numPr>
        <w:tabs>
          <w:tab w:pos="1258" w:val="left" w:leader="none"/>
        </w:tabs>
        <w:spacing w:line="240" w:lineRule="auto" w:before="71" w:after="0"/>
        <w:ind w:left="1257" w:right="0" w:hanging="361"/>
        <w:jc w:val="left"/>
        <w:rPr>
          <w:sz w:val="24"/>
        </w:rPr>
      </w:pPr>
      <w:r>
        <w:rPr>
          <w:sz w:val="24"/>
        </w:rPr>
        <w:t>奶制品尽量选择可以一次喝完的小包装；</w:t>
      </w:r>
    </w:p>
    <w:p>
      <w:pPr>
        <w:pStyle w:val="ListParagraph"/>
        <w:numPr>
          <w:ilvl w:val="0"/>
          <w:numId w:val="4"/>
        </w:numPr>
        <w:tabs>
          <w:tab w:pos="1258" w:val="left" w:leader="none"/>
        </w:tabs>
        <w:spacing w:line="240" w:lineRule="auto" w:before="74" w:after="0"/>
        <w:ind w:left="1257" w:right="0" w:hanging="361"/>
        <w:jc w:val="left"/>
        <w:rPr>
          <w:sz w:val="24"/>
        </w:rPr>
      </w:pPr>
      <w:r>
        <w:rPr>
          <w:sz w:val="24"/>
        </w:rPr>
        <w:t>冰箱里存放的饭菜食用前要充分加热；</w:t>
      </w:r>
    </w:p>
    <w:p>
      <w:pPr>
        <w:pStyle w:val="ListParagraph"/>
        <w:numPr>
          <w:ilvl w:val="0"/>
          <w:numId w:val="4"/>
        </w:numPr>
        <w:tabs>
          <w:tab w:pos="1258" w:val="left" w:leader="none"/>
        </w:tabs>
        <w:spacing w:line="240" w:lineRule="auto" w:before="72" w:after="0"/>
        <w:ind w:left="1257" w:right="0" w:hanging="361"/>
        <w:jc w:val="left"/>
        <w:rPr>
          <w:sz w:val="24"/>
        </w:rPr>
      </w:pPr>
      <w:r>
        <w:rPr>
          <w:sz w:val="24"/>
        </w:rPr>
        <w:t>定期清理冰箱，食物在冰箱中的存放时间不宜过长；</w:t>
      </w:r>
    </w:p>
    <w:p>
      <w:pPr>
        <w:pStyle w:val="ListParagraph"/>
        <w:numPr>
          <w:ilvl w:val="0"/>
          <w:numId w:val="4"/>
        </w:numPr>
        <w:tabs>
          <w:tab w:pos="1258" w:val="left" w:leader="none"/>
        </w:tabs>
        <w:spacing w:line="297" w:lineRule="auto" w:before="72" w:after="0"/>
        <w:ind w:left="417" w:right="109" w:firstLine="480"/>
        <w:jc w:val="left"/>
        <w:rPr>
          <w:sz w:val="24"/>
        </w:rPr>
      </w:pPr>
      <w:r>
        <w:rPr>
          <w:spacing w:val="-25"/>
          <w:sz w:val="24"/>
        </w:rPr>
        <w:t>孕妇、婴幼儿、</w:t>
      </w:r>
      <w:r>
        <w:rPr>
          <w:sz w:val="24"/>
        </w:rPr>
        <w:t>40</w:t>
      </w:r>
      <w:r>
        <w:rPr>
          <w:spacing w:val="-9"/>
          <w:sz w:val="24"/>
        </w:rPr>
        <w:t> 岁以上成年人和免疫力较低的人群不宜食用冰箱里拿出来的冷饮、</w:t>
      </w:r>
      <w:r>
        <w:rPr>
          <w:sz w:val="24"/>
        </w:rPr>
        <w:t>冷食。</w:t>
      </w:r>
    </w:p>
    <w:p>
      <w:pPr>
        <w:pStyle w:val="Heading1"/>
        <w:spacing w:before="24"/>
        <w:rPr>
          <w:u w:val="none"/>
        </w:rPr>
      </w:pPr>
      <w:bookmarkStart w:name="_TOC_250015" w:id="37"/>
      <w:r>
        <w:rPr>
          <w:rFonts w:ascii="Times New Roman" w:eastAsia="Times New Roman"/>
          <w:color w:val="008000"/>
          <w:spacing w:val="-110"/>
          <w:w w:val="99"/>
          <w:u w:val="thick" w:color="008000"/>
        </w:rPr>
        <w:t> </w:t>
      </w:r>
      <w:bookmarkEnd w:id="37"/>
      <w:r>
        <w:rPr>
          <w:color w:val="008000"/>
          <w:u w:val="thick" w:color="008000"/>
        </w:rPr>
        <w:t>学会动态</w:t>
      </w:r>
    </w:p>
    <w:p>
      <w:pPr>
        <w:pStyle w:val="BodyText"/>
        <w:spacing w:before="8"/>
        <w:ind w:left="0" w:firstLine="0"/>
        <w:rPr>
          <w:rFonts w:ascii="华文宋体"/>
          <w:b/>
          <w:sz w:val="9"/>
        </w:rPr>
      </w:pPr>
    </w:p>
    <w:p>
      <w:pPr>
        <w:pStyle w:val="Heading2"/>
        <w:spacing w:before="54"/>
      </w:pPr>
      <w:bookmarkStart w:name="_TOC_250014" w:id="38"/>
      <w:bookmarkEnd w:id="38"/>
      <w:r>
        <w:rPr/>
        <w:t>【学会之窗】</w:t>
      </w:r>
    </w:p>
    <w:p>
      <w:pPr>
        <w:pStyle w:val="BodyText"/>
        <w:spacing w:before="11"/>
        <w:ind w:left="0" w:firstLine="0"/>
        <w:rPr>
          <w:b/>
          <w:sz w:val="23"/>
        </w:rPr>
      </w:pPr>
    </w:p>
    <w:p>
      <w:pPr>
        <w:pStyle w:val="Heading2"/>
        <w:ind w:left="906"/>
      </w:pPr>
      <w:bookmarkStart w:name="_TOC_250013" w:id="39"/>
      <w:bookmarkEnd w:id="39"/>
      <w:r>
        <w:rPr/>
        <w:t>中国药学会 2019 年“全国科技工作者日”主题活动在京举办</w:t>
      </w:r>
    </w:p>
    <w:p>
      <w:pPr>
        <w:pStyle w:val="Heading3"/>
        <w:spacing w:before="145"/>
        <w:ind w:left="0" w:right="228"/>
        <w:jc w:val="right"/>
        <w:rPr>
          <w:rFonts w:ascii="楷体" w:eastAsia="楷体" w:hint="eastAsia"/>
        </w:rPr>
      </w:pPr>
      <w:r>
        <w:rPr>
          <w:rFonts w:ascii="楷体" w:eastAsia="楷体" w:hint="eastAsia"/>
          <w:color w:val="FF0000"/>
          <w:w w:val="95"/>
        </w:rPr>
        <w:t>（来源：中国药学会网站）</w:t>
      </w:r>
    </w:p>
    <w:p>
      <w:pPr>
        <w:pStyle w:val="BodyText"/>
        <w:spacing w:before="98"/>
        <w:ind w:left="0" w:right="245" w:firstLine="0"/>
        <w:jc w:val="right"/>
      </w:pPr>
      <w:r>
        <w:rPr>
          <w:spacing w:val="-9"/>
        </w:rPr>
        <w:t>在新中国成立 </w:t>
      </w:r>
      <w:r>
        <w:rPr/>
        <w:t>70</w:t>
      </w:r>
      <w:r>
        <w:rPr>
          <w:spacing w:val="-8"/>
        </w:rPr>
        <w:t> 周年之际，中国科协发出“礼赞共和国、追梦新时代——科技志愿服</w:t>
      </w:r>
    </w:p>
    <w:p>
      <w:pPr>
        <w:pStyle w:val="BodyText"/>
        <w:spacing w:before="72"/>
        <w:ind w:left="0" w:right="246" w:firstLine="0"/>
        <w:jc w:val="right"/>
      </w:pPr>
      <w:r>
        <w:rPr>
          <w:spacing w:val="-4"/>
        </w:rPr>
        <w:t>务行动”倡议。中国药学会响应号召于 </w:t>
      </w:r>
      <w:r>
        <w:rPr/>
        <w:t>5</w:t>
      </w:r>
      <w:r>
        <w:rPr>
          <w:spacing w:val="-40"/>
        </w:rPr>
        <w:t> 月 </w:t>
      </w:r>
      <w:r>
        <w:rPr/>
        <w:t>30</w:t>
      </w:r>
      <w:r>
        <w:rPr>
          <w:spacing w:val="-8"/>
        </w:rPr>
        <w:t> 日在北大医学科技成果转化与创新创业中心</w:t>
      </w:r>
    </w:p>
    <w:p>
      <w:pPr>
        <w:pStyle w:val="BodyText"/>
        <w:spacing w:line="297" w:lineRule="auto" w:before="71"/>
        <w:ind w:right="227" w:firstLine="0"/>
        <w:jc w:val="both"/>
      </w:pPr>
      <w:r>
        <w:rPr>
          <w:spacing w:val="-20"/>
        </w:rPr>
        <w:t>举行 </w:t>
      </w:r>
      <w:r>
        <w:rPr/>
        <w:t>2019</w:t>
      </w:r>
      <w:r>
        <w:rPr>
          <w:spacing w:val="-8"/>
        </w:rPr>
        <w:t> 年“全国科技工作者日”活动。本次活动由中国药学会主办、北京大学药学院承</w:t>
      </w:r>
      <w:r>
        <w:rPr>
          <w:spacing w:val="-11"/>
        </w:rPr>
        <w:t>办。北京大学药学院团委书记徐国旺主持活动，中国药学会副理事长兼秘书长丁丽霞、北京</w:t>
      </w:r>
      <w:r>
        <w:rPr>
          <w:spacing w:val="-8"/>
        </w:rPr>
        <w:t>大学药学院党委书记徐萍、北京大学医学部团委书记陈磊、中国药学会科技开发中心副主任</w:t>
      </w:r>
      <w:r>
        <w:rPr>
          <w:spacing w:val="-9"/>
        </w:rPr>
        <w:t>施阳出席了活动。中国药学会各专业委员会代表、大学生志愿者代表、新闻媒体代表齐聚一</w:t>
      </w:r>
      <w:r>
        <w:rPr/>
        <w:t>堂，共同庆祝第三个“全国科技工作者日”。</w:t>
      </w:r>
    </w:p>
    <w:p>
      <w:pPr>
        <w:pStyle w:val="BodyText"/>
        <w:spacing w:line="297" w:lineRule="auto"/>
        <w:ind w:right="227"/>
        <w:jc w:val="both"/>
      </w:pPr>
      <w:r>
        <w:rPr>
          <w:spacing w:val="-10"/>
        </w:rPr>
        <w:t>丁丽霞表示，希望广大会员和药学科技工作者，积极参与到志愿者服务工作中来，用行动传播爱心，用智慧服务社会。中国药学会作为药学科技工作者之家，团结和凝聚广大会员</w:t>
      </w:r>
      <w:r>
        <w:rPr/>
        <w:t>和药学工作者，为提高公民健康科学素养、提升安全合理用药水平、实现 “健康中国”战略目标拼搏奉献！</w:t>
      </w:r>
    </w:p>
    <w:p>
      <w:pPr>
        <w:pStyle w:val="BodyText"/>
        <w:spacing w:line="297" w:lineRule="auto"/>
        <w:ind w:right="227"/>
        <w:jc w:val="both"/>
      </w:pPr>
      <w:r>
        <w:rPr>
          <w:spacing w:val="-10"/>
        </w:rPr>
        <w:t>徐萍表示，北京大学药学院发挥学科专业优势，“科技志愿服务行动”已经形成了很好</w:t>
      </w:r>
      <w:r>
        <w:rPr>
          <w:spacing w:val="-9"/>
        </w:rPr>
        <w:t>的传统和基础。这次借“全国科技工作者日”活动之机，在中国科协领导下，在中国药学会</w:t>
      </w:r>
      <w:r>
        <w:rPr>
          <w:spacing w:val="-12"/>
        </w:rPr>
        <w:t>组织下，将逐步组建各级科技志愿者队伍，发动广大科技工作者为经济社会发展服务，将进</w:t>
      </w:r>
      <w:r>
        <w:rPr>
          <w:spacing w:val="-7"/>
        </w:rPr>
        <w:t>一步促进科技工作者坚定理想信念、强化使命担当，通过开展科技志愿服务活动，提升全民</w:t>
      </w:r>
      <w:r>
        <w:rPr/>
        <w:t>科学素质。</w:t>
      </w:r>
    </w:p>
    <w:p>
      <w:pPr>
        <w:pStyle w:val="BodyText"/>
        <w:spacing w:line="297" w:lineRule="auto"/>
        <w:ind w:right="126"/>
      </w:pPr>
      <w:r>
        <w:rPr>
          <w:spacing w:val="-9"/>
        </w:rPr>
        <w:t>活动中，施阳宣读了中国药学会科技志愿者服务倡议书，动员广大药学科技工作者：树</w:t>
      </w:r>
      <w:r>
        <w:rPr>
          <w:spacing w:val="-10"/>
        </w:rPr>
        <w:t>立价值导向，争做志愿精神践行者；发挥优势特长，争做志愿活动引领者；重在积极参与， </w:t>
      </w:r>
      <w:r>
        <w:rPr>
          <w:spacing w:val="-7"/>
        </w:rPr>
        <w:t>争做温暖爱心传递者。以实际行动汇聚志愿力量，共同为推进“健康中国”战略作出更大贡献！</w:t>
      </w:r>
    </w:p>
    <w:p>
      <w:pPr>
        <w:pStyle w:val="BodyText"/>
        <w:spacing w:line="297" w:lineRule="auto"/>
        <w:ind w:right="227"/>
        <w:jc w:val="both"/>
      </w:pPr>
      <w:r>
        <w:rPr>
          <w:spacing w:val="-7"/>
        </w:rPr>
        <w:t>老中青三代药学科技工作者代表，北京大学药学院李长龄教授、北京大学人民医院钟雪</w:t>
      </w:r>
      <w:r>
        <w:rPr>
          <w:spacing w:val="-5"/>
        </w:rPr>
        <w:t>主管药师和北京大学药学院 </w:t>
      </w:r>
      <w:r>
        <w:rPr/>
        <w:t>2015</w:t>
      </w:r>
      <w:r>
        <w:rPr>
          <w:spacing w:val="-8"/>
        </w:rPr>
        <w:t> 级学生王如东分享了在科研开发、患者教育、志愿服务等方面的心得体会。</w:t>
      </w:r>
    </w:p>
    <w:p>
      <w:pPr>
        <w:spacing w:after="0" w:line="297" w:lineRule="auto"/>
        <w:jc w:val="both"/>
        <w:sectPr>
          <w:pgSz w:w="11910" w:h="16850"/>
          <w:pgMar w:header="906" w:footer="607" w:top="1100" w:bottom="800" w:left="860" w:right="900"/>
        </w:sectPr>
      </w:pPr>
    </w:p>
    <w:p>
      <w:pPr>
        <w:pStyle w:val="BodyText"/>
        <w:spacing w:line="295" w:lineRule="auto" w:before="65"/>
        <w:ind w:right="230"/>
      </w:pPr>
      <w:r>
        <w:rPr>
          <w:spacing w:val="-15"/>
        </w:rPr>
        <w:t>中国食品药品检定研究院刘博和高妍分别作了题为《糖的“体重”知多少》和《当心“白</w:t>
      </w:r>
      <w:r>
        <w:rPr/>
        <w:t>富美”中药——防硫毒》的科普讲解。</w:t>
      </w:r>
    </w:p>
    <w:p>
      <w:pPr>
        <w:pStyle w:val="BodyText"/>
        <w:spacing w:line="297" w:lineRule="auto" w:before="2"/>
        <w:ind w:right="246"/>
      </w:pPr>
      <w:r>
        <w:rPr>
          <w:spacing w:val="-8"/>
        </w:rPr>
        <w:t>北京大学药学院 </w:t>
      </w:r>
      <w:r>
        <w:rPr/>
        <w:t>2015</w:t>
      </w:r>
      <w:r>
        <w:rPr>
          <w:spacing w:val="-9"/>
        </w:rPr>
        <w:t> 级学生成羽溪、郭昱辰展示了自编自导自演的科普相声《“药” </w:t>
      </w:r>
      <w:r>
        <w:rPr/>
        <w:t>你知道》。会上还发布了儿童用药安全歌微视频，得到了与会人员的广泛关注。</w:t>
      </w:r>
    </w:p>
    <w:p>
      <w:pPr>
        <w:pStyle w:val="BodyText"/>
        <w:spacing w:line="259" w:lineRule="auto"/>
        <w:ind w:right="227"/>
        <w:rPr>
          <w:rFonts w:ascii="Meiryo" w:eastAsia="Meiryo" w:hint="eastAsia"/>
          <w:b/>
        </w:rPr>
      </w:pPr>
      <w:r>
        <w:rPr>
          <w:spacing w:val="-12"/>
        </w:rPr>
        <w:t>随后，参会代表参观了北大医学科创中心。工作人员对北大医学科创中心的情况做了详</w:t>
      </w:r>
      <w:r>
        <w:rPr/>
        <w:t>尽介绍，并对大家提出的问题进行了耐心细致的解答。</w:t>
      </w:r>
      <w:r>
        <w:rPr>
          <w:rFonts w:ascii="Meiryo" w:eastAsia="Meiryo" w:hint="eastAsia"/>
          <w:b/>
          <w:color w:val="0033CC"/>
        </w:rPr>
        <w:t>[返回目次]</w:t>
      </w:r>
    </w:p>
    <w:p>
      <w:pPr>
        <w:pStyle w:val="Heading1"/>
        <w:spacing w:line="673" w:lineRule="exact"/>
        <w:rPr>
          <w:u w:val="none"/>
        </w:rPr>
      </w:pPr>
      <w:bookmarkStart w:name="_TOC_250012" w:id="40"/>
      <w:r>
        <w:rPr>
          <w:rFonts w:ascii="Times New Roman" w:eastAsia="Times New Roman"/>
          <w:color w:val="008000"/>
          <w:spacing w:val="-110"/>
          <w:w w:val="99"/>
          <w:u w:val="thick" w:color="008000"/>
        </w:rPr>
        <w:t> </w:t>
      </w:r>
      <w:bookmarkEnd w:id="40"/>
      <w:r>
        <w:rPr>
          <w:color w:val="008000"/>
          <w:u w:val="thick" w:color="008000"/>
        </w:rPr>
        <w:t>交流园地</w:t>
      </w:r>
    </w:p>
    <w:p>
      <w:pPr>
        <w:pStyle w:val="BodyText"/>
        <w:spacing w:before="5"/>
        <w:ind w:left="0" w:firstLine="0"/>
        <w:rPr>
          <w:rFonts w:ascii="华文宋体"/>
          <w:b/>
          <w:sz w:val="6"/>
        </w:rPr>
      </w:pPr>
    </w:p>
    <w:p>
      <w:pPr>
        <w:pStyle w:val="Heading2"/>
        <w:spacing w:before="54"/>
      </w:pPr>
      <w:bookmarkStart w:name="_TOC_250011" w:id="41"/>
      <w:bookmarkEnd w:id="41"/>
      <w:r>
        <w:rPr/>
        <w:t>【交流平台】</w:t>
      </w:r>
    </w:p>
    <w:p>
      <w:pPr>
        <w:pStyle w:val="BodyText"/>
        <w:spacing w:before="1"/>
        <w:ind w:left="0" w:firstLine="0"/>
        <w:rPr>
          <w:b/>
          <w:sz w:val="18"/>
        </w:rPr>
      </w:pPr>
    </w:p>
    <w:p>
      <w:pPr>
        <w:spacing w:after="0"/>
        <w:rPr>
          <w:sz w:val="18"/>
        </w:rPr>
        <w:sectPr>
          <w:pgSz w:w="11910" w:h="16850"/>
          <w:pgMar w:header="906" w:footer="607" w:top="1100" w:bottom="800" w:left="860" w:right="900"/>
        </w:sectPr>
      </w:pPr>
    </w:p>
    <w:p>
      <w:pPr>
        <w:pStyle w:val="Heading2"/>
        <w:spacing w:before="55"/>
        <w:ind w:left="3720"/>
      </w:pPr>
      <w:bookmarkStart w:name="_TOC_250010" w:id="42"/>
      <w:bookmarkEnd w:id="42"/>
      <w:r>
        <w:rPr>
          <w:spacing w:val="-3"/>
        </w:rPr>
        <w:t>靶向药品进医保之后</w:t>
      </w:r>
    </w:p>
    <w:p>
      <w:pPr>
        <w:pStyle w:val="BodyText"/>
        <w:ind w:left="0" w:firstLine="0"/>
        <w:rPr>
          <w:b/>
        </w:rPr>
      </w:pPr>
      <w:r>
        <w:rPr/>
        <w:br w:type="column"/>
      </w:r>
      <w:r>
        <w:rPr>
          <w:b/>
        </w:rPr>
      </w:r>
    </w:p>
    <w:p>
      <w:pPr>
        <w:pStyle w:val="BodyText"/>
        <w:spacing w:before="10"/>
        <w:ind w:left="0" w:firstLine="0"/>
        <w:rPr>
          <w:b/>
          <w:sz w:val="23"/>
        </w:rPr>
      </w:pPr>
    </w:p>
    <w:p>
      <w:pPr>
        <w:pStyle w:val="Heading3"/>
        <w:ind w:left="133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860" w:right="900"/>
          <w:cols w:num="2" w:equalWidth="0">
            <w:col w:w="6609" w:space="40"/>
            <w:col w:w="3501"/>
          </w:cols>
        </w:sectPr>
      </w:pPr>
    </w:p>
    <w:p>
      <w:pPr>
        <w:pStyle w:val="BodyText"/>
        <w:spacing w:before="89"/>
        <w:ind w:left="899" w:firstLine="0"/>
        <w:jc w:val="both"/>
      </w:pPr>
      <w:r>
        <w:rPr>
          <w:spacing w:val="-21"/>
        </w:rPr>
        <w:t>早在 </w:t>
      </w:r>
      <w:r>
        <w:rPr/>
        <w:t>2016</w:t>
      </w:r>
      <w:r>
        <w:rPr>
          <w:spacing w:val="-24"/>
        </w:rPr>
        <w:t> 年底，山东将 </w:t>
      </w:r>
      <w:r>
        <w:rPr/>
        <w:t>18</w:t>
      </w:r>
      <w:r>
        <w:rPr>
          <w:spacing w:val="-10"/>
        </w:rPr>
        <w:t> 种抗肿瘤分子靶向类药品和治疗其他疾病的特效药品</w:t>
      </w:r>
      <w:r>
        <w:rPr/>
        <w:t>（简称</w:t>
      </w:r>
    </w:p>
    <w:p>
      <w:pPr>
        <w:pStyle w:val="BodyText"/>
        <w:spacing w:line="290" w:lineRule="auto" w:before="62"/>
        <w:ind w:right="229" w:firstLine="0"/>
        <w:jc w:val="both"/>
      </w:pPr>
      <w:r>
        <w:rPr>
          <w:spacing w:val="-2"/>
        </w:rPr>
        <w:t>“大病特药”</w:t>
      </w:r>
      <w:r>
        <w:rPr>
          <w:spacing w:val="-8"/>
        </w:rPr>
        <w:t>）</w:t>
      </w:r>
      <w:r>
        <w:rPr>
          <w:spacing w:val="-1"/>
        </w:rPr>
        <w:t>纳入大病保险支付范围，</w:t>
      </w:r>
      <w:r>
        <w:rPr>
          <w:spacing w:val="-3"/>
        </w:rPr>
        <w:t>2018</w:t>
      </w:r>
      <w:r>
        <w:rPr>
          <w:spacing w:val="-40"/>
        </w:rPr>
        <w:t> 年 </w:t>
      </w:r>
      <w:r>
        <w:rPr/>
        <w:t>8</w:t>
      </w:r>
      <w:r>
        <w:rPr>
          <w:spacing w:val="-15"/>
        </w:rPr>
        <w:t> 月，又通过谈判将 </w:t>
      </w:r>
      <w:r>
        <w:rPr/>
        <w:t>14</w:t>
      </w:r>
      <w:r>
        <w:rPr>
          <w:spacing w:val="-9"/>
        </w:rPr>
        <w:t> 种大病特药纳入大病保险支付范围，相关药品价格大幅降低。为保证肿瘤患者买得到、用得上这些救命药，我</w:t>
      </w:r>
      <w:r>
        <w:rPr/>
        <w:t>院开展了一系列工作，助推靶向药物落地。</w:t>
      </w:r>
    </w:p>
    <w:p>
      <w:pPr>
        <w:pStyle w:val="Heading3"/>
        <w:spacing w:line="302" w:lineRule="exact"/>
        <w:ind w:left="899"/>
        <w:jc w:val="both"/>
      </w:pPr>
      <w:r>
        <w:rPr/>
        <w:t>及早对接 群众早得实惠</w:t>
      </w:r>
    </w:p>
    <w:p>
      <w:pPr>
        <w:pStyle w:val="BodyText"/>
        <w:spacing w:line="288" w:lineRule="auto" w:before="62"/>
        <w:ind w:right="124" w:firstLine="482"/>
      </w:pPr>
      <w:r>
        <w:rPr>
          <w:spacing w:val="-1"/>
        </w:rPr>
        <w:t>按照政策及相关文件要求，全院各相关部门明确分工，落实责任，做好药品供应保障、</w:t>
      </w:r>
      <w:r>
        <w:rPr>
          <w:spacing w:val="-8"/>
        </w:rPr>
        <w:t>静脉药品输注、按时调整支付标准、及时对接医保等工作，确保按规定时限落实到位，让群</w:t>
      </w:r>
      <w:r>
        <w:rPr>
          <w:spacing w:val="-9"/>
        </w:rPr>
        <w:t>众尽早得到实惠。目前，我院备有国家谈判药品和山东省大病特药品种中所有抗肿瘤药物， </w:t>
      </w:r>
      <w:r>
        <w:rPr/>
        <w:t>最大限度地保证患者用药的可及性。</w:t>
      </w:r>
    </w:p>
    <w:p>
      <w:pPr>
        <w:pStyle w:val="Heading3"/>
        <w:spacing w:before="5"/>
        <w:ind w:left="899"/>
      </w:pPr>
      <w:r>
        <w:rPr/>
        <w:t>加强宣传 确保患者知悉</w:t>
      </w:r>
    </w:p>
    <w:p>
      <w:pPr>
        <w:pStyle w:val="BodyText"/>
        <w:spacing w:line="288" w:lineRule="auto" w:before="62"/>
        <w:ind w:right="229" w:firstLine="482"/>
        <w:jc w:val="both"/>
      </w:pPr>
      <w:r>
        <w:rPr>
          <w:spacing w:val="-6"/>
        </w:rPr>
        <w:t>在院内举办全体医生专场的大病特药政策解读培训，循环为患者举办医保专题患者教育</w:t>
      </w:r>
      <w:r>
        <w:rPr>
          <w:spacing w:val="-12"/>
        </w:rPr>
        <w:t>项目。通过院报、微信群、宣传栏等各种渠道发布抗肿瘤药物相关政策信息，让临床医务人</w:t>
      </w:r>
      <w:r>
        <w:rPr>
          <w:spacing w:val="-5"/>
        </w:rPr>
        <w:t>员和参保患者及时了解大病特药的政策变化和补偿办理流程，为大病特药政策实施营造良好</w:t>
      </w:r>
      <w:r>
        <w:rPr/>
        <w:t>的氛围。</w:t>
      </w:r>
    </w:p>
    <w:p>
      <w:pPr>
        <w:pStyle w:val="Heading3"/>
        <w:spacing w:before="3"/>
        <w:ind w:left="899"/>
        <w:jc w:val="both"/>
      </w:pPr>
      <w:r>
        <w:rPr/>
        <w:t>“三定”管理 严格支付范围</w:t>
      </w:r>
    </w:p>
    <w:p>
      <w:pPr>
        <w:pStyle w:val="BodyText"/>
        <w:spacing w:line="288" w:lineRule="auto" w:before="65"/>
        <w:ind w:right="108" w:firstLine="482"/>
      </w:pPr>
      <w:r>
        <w:rPr>
          <w:spacing w:val="-7"/>
        </w:rPr>
        <w:t>考虑到靶向药物价格昂贵，治疗精准性强，用药人群特定，对应适应症特定，我院严格</w:t>
      </w:r>
      <w:r>
        <w:rPr>
          <w:spacing w:val="-16"/>
        </w:rPr>
        <w:t>要求并监督临床医生把握适应症和临床使用规范，执行“三定”管理原则</w:t>
      </w:r>
      <w:r>
        <w:rPr/>
        <w:t>（</w:t>
      </w:r>
      <w:r>
        <w:rPr>
          <w:spacing w:val="-3"/>
        </w:rPr>
        <w:t>定特药责任医师、</w:t>
      </w:r>
      <w:r>
        <w:rPr/>
        <w:t>定医疗机构、定定点药店），根据限定支付范围，认真执行支付政策，保障患者用药安全， 合理使用医保基金。</w:t>
      </w:r>
    </w:p>
    <w:p>
      <w:pPr>
        <w:pStyle w:val="Heading3"/>
        <w:spacing w:before="2"/>
        <w:ind w:left="899"/>
      </w:pPr>
      <w:r>
        <w:rPr/>
        <w:t>“腾笼换鸟” 严控辅助用药</w:t>
      </w:r>
    </w:p>
    <w:p>
      <w:pPr>
        <w:pStyle w:val="BodyText"/>
        <w:spacing w:line="288" w:lineRule="auto" w:before="62"/>
        <w:ind w:right="227" w:firstLine="482"/>
      </w:pPr>
      <w:r>
        <w:rPr>
          <w:spacing w:val="-13"/>
        </w:rPr>
        <w:t>我院早在 </w:t>
      </w:r>
      <w:r>
        <w:rPr/>
        <w:t>2015</w:t>
      </w:r>
      <w:r>
        <w:rPr>
          <w:spacing w:val="-8"/>
        </w:rPr>
        <w:t> 年就制订了肿瘤治疗的辅助用药目录，并重点监控，月月点评辅助用药的使用情况。2017 年，又将辅助用药目录中四分之三的药品停用，仅保留了很少部分，为</w:t>
      </w:r>
      <w:r>
        <w:rPr>
          <w:spacing w:val="-13"/>
        </w:rPr>
        <w:t>患者必须使用的抗肿瘤靶向药物腾出了空间。积极开展多学科会诊，落实处方点评制度，提</w:t>
      </w:r>
      <w:r>
        <w:rPr/>
        <w:t>升肿瘤规范化治疗水平，促进合理用药。虽然抗癌靶向药物价格较高，用量较大（</w:t>
      </w:r>
      <w:r>
        <w:rPr>
          <w:spacing w:val="-30"/>
        </w:rPr>
        <w:t>与 </w:t>
      </w:r>
      <w:r>
        <w:rPr/>
        <w:t>2016 年相比，2018</w:t>
      </w:r>
      <w:r>
        <w:rPr>
          <w:spacing w:val="-11"/>
        </w:rPr>
        <w:t> 年靶向药物费用在大幅降价的基础上仍增长 </w:t>
      </w:r>
      <w:r>
        <w:rPr/>
        <w:t>330%），但通过精细化管理，我</w:t>
      </w:r>
      <w:r>
        <w:rPr>
          <w:spacing w:val="-6"/>
        </w:rPr>
        <w:t>院住院次均费用和药占比仍同比下降，提高了医保基金的使用效率，使越来越多的肿瘤患者</w:t>
      </w:r>
    </w:p>
    <w:p>
      <w:pPr>
        <w:spacing w:after="0" w:line="288" w:lineRule="auto"/>
        <w:sectPr>
          <w:type w:val="continuous"/>
          <w:pgSz w:w="11910" w:h="16850"/>
          <w:pgMar w:top="1100" w:bottom="1020" w:left="860" w:right="900"/>
        </w:sectPr>
      </w:pPr>
    </w:p>
    <w:p>
      <w:pPr>
        <w:pStyle w:val="BodyText"/>
        <w:spacing w:line="288" w:lineRule="auto" w:before="57"/>
        <w:ind w:right="230" w:firstLine="0"/>
      </w:pPr>
      <w:r>
        <w:rPr>
          <w:spacing w:val="-12"/>
        </w:rPr>
        <w:t>用得起、买得到、用得对靶向药物，提升肿瘤患者的生存时间与质量，减轻大病患者个人实</w:t>
      </w:r>
      <w:r>
        <w:rPr/>
        <w:t>际负担。</w:t>
      </w:r>
    </w:p>
    <w:p>
      <w:pPr>
        <w:pStyle w:val="BodyText"/>
        <w:spacing w:line="288" w:lineRule="auto" w:before="2"/>
        <w:ind w:right="107" w:firstLine="482"/>
      </w:pPr>
      <w:r>
        <w:rPr>
          <w:spacing w:val="-12"/>
        </w:rPr>
        <w:t>日前，国家医保局又发布了《</w:t>
      </w:r>
      <w:r>
        <w:rPr/>
        <w:t>2019</w:t>
      </w:r>
      <w:r>
        <w:rPr>
          <w:spacing w:val="-12"/>
        </w:rPr>
        <w:t> 年国家医保药品目录调整工作方案</w:t>
      </w:r>
      <w:r>
        <w:rPr/>
        <w:t>（征求意见稿</w:t>
      </w:r>
      <w:r>
        <w:rPr>
          <w:spacing w:val="-58"/>
        </w:rPr>
        <w:t>）</w:t>
      </w:r>
      <w:r>
        <w:rPr>
          <w:spacing w:val="-29"/>
        </w:rPr>
        <w:t>》， </w:t>
      </w:r>
      <w:r>
        <w:rPr>
          <w:spacing w:val="-24"/>
        </w:rPr>
        <w:t>优先考虑国家基本药物、癌症和罕见病等重大疾病治疗用药等药品的调入，并制定了时间表， </w:t>
      </w:r>
      <w:r>
        <w:rPr>
          <w:spacing w:val="-5"/>
        </w:rPr>
        <w:t>充分说明国家医保政策也在和癌症患者的时间赛跑。我院将一如既往认真落实各项医保政策要求，让医疗保障事业的发展惠及更多的肿瘤患者。</w:t>
      </w:r>
    </w:p>
    <w:p>
      <w:pPr>
        <w:spacing w:line="424" w:lineRule="exact" w:before="0"/>
        <w:ind w:left="899" w:right="0" w:firstLine="0"/>
        <w:jc w:val="left"/>
        <w:rPr>
          <w:rFonts w:ascii="Meiryo" w:eastAsia="Meiryo" w:hint="eastAsia"/>
          <w:b/>
          <w:sz w:val="24"/>
        </w:rPr>
      </w:pPr>
      <w:r>
        <w:rPr>
          <w:rFonts w:ascii="楷体" w:eastAsia="楷体" w:hint="eastAsia"/>
          <w:sz w:val="21"/>
        </w:rPr>
        <w:t>作者：山东省肿瘤医院 吕传爱 </w:t>
      </w:r>
      <w:r>
        <w:rPr>
          <w:rFonts w:ascii="Meiryo" w:eastAsia="Meiryo" w:hint="eastAsia"/>
          <w:b/>
          <w:color w:val="0033CC"/>
          <w:sz w:val="24"/>
        </w:rPr>
        <w:t>[返回目次]</w:t>
      </w:r>
    </w:p>
    <w:p>
      <w:pPr>
        <w:pStyle w:val="Heading2"/>
        <w:spacing w:before="204"/>
      </w:pPr>
      <w:bookmarkStart w:name="_TOC_250009" w:id="43"/>
      <w:bookmarkEnd w:id="43"/>
      <w:r>
        <w:rPr/>
        <w:t>【学习园地】</w:t>
      </w:r>
    </w:p>
    <w:p>
      <w:pPr>
        <w:pStyle w:val="BodyText"/>
        <w:spacing w:before="7"/>
        <w:ind w:left="0" w:firstLine="0"/>
        <w:rPr>
          <w:b/>
          <w:sz w:val="22"/>
        </w:rPr>
      </w:pPr>
    </w:p>
    <w:p>
      <w:pPr>
        <w:pStyle w:val="Heading2"/>
        <w:ind w:left="177"/>
        <w:jc w:val="center"/>
      </w:pPr>
      <w:bookmarkStart w:name="_TOC_250008" w:id="44"/>
      <w:bookmarkEnd w:id="44"/>
      <w:r>
        <w:rPr/>
        <w:t>阿片类药物防滥用技术创新成果简介</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232"/>
      </w:pPr>
      <w:r>
        <w:rPr>
          <w:spacing w:val="-3"/>
        </w:rPr>
        <w:t>阿片类药物是治疗中重度疼痛的最有效药物，被 </w:t>
      </w:r>
      <w:r>
        <w:rPr/>
        <w:t>WHO</w:t>
      </w:r>
      <w:r>
        <w:rPr>
          <w:spacing w:val="-8"/>
        </w:rPr>
        <w:t> 认定为三阶梯癌痛治疗的常规用</w:t>
      </w:r>
      <w:r>
        <w:rPr>
          <w:spacing w:val="-11"/>
        </w:rPr>
        <w:t>药，在缓解疼痛上具有无可取代的地位。但阿片类药物也存在严峻的成瘾、滥用风险，由其</w:t>
      </w:r>
      <w:r>
        <w:rPr>
          <w:spacing w:val="-3"/>
        </w:rPr>
        <w:t>所导致的社会问题在全球范围内不断凸显。据 </w:t>
      </w:r>
      <w:r>
        <w:rPr/>
        <w:t>WHO</w:t>
      </w:r>
      <w:r>
        <w:rPr>
          <w:spacing w:val="-16"/>
        </w:rPr>
        <w:t> 统计，每年有 </w:t>
      </w:r>
      <w:r>
        <w:rPr/>
        <w:t>7</w:t>
      </w:r>
      <w:r>
        <w:rPr>
          <w:spacing w:val="-30"/>
        </w:rPr>
        <w:t> 万</w:t>
      </w:r>
      <w:r>
        <w:rPr/>
        <w:t>～10</w:t>
      </w:r>
      <w:r>
        <w:rPr>
          <w:spacing w:val="-8"/>
        </w:rPr>
        <w:t> 万人因过量使用阿片类药物死亡。</w:t>
      </w:r>
    </w:p>
    <w:p>
      <w:pPr>
        <w:pStyle w:val="BodyText"/>
        <w:spacing w:line="295" w:lineRule="auto"/>
        <w:ind w:right="227"/>
      </w:pPr>
      <w:r>
        <w:rPr>
          <w:spacing w:val="-7"/>
        </w:rPr>
        <w:t>如何既能防止阿片类药物滥用，又能满足疼痛治疗需求，开发能够抵抗各种篡改和滥用</w:t>
      </w:r>
      <w:r>
        <w:rPr/>
        <w:t>的新型药物制剂，成为世界各国密切关注的重大公共卫生问题之一。</w:t>
      </w:r>
    </w:p>
    <w:p>
      <w:pPr>
        <w:pStyle w:val="Heading3"/>
      </w:pPr>
      <w:r>
        <w:rPr/>
        <w:t>FDA 发布防滥用阿片类药物研发指南</w:t>
      </w:r>
    </w:p>
    <w:p>
      <w:pPr>
        <w:pStyle w:val="BodyText"/>
        <w:spacing w:line="295" w:lineRule="auto" w:before="72"/>
        <w:ind w:right="227"/>
        <w:jc w:val="both"/>
      </w:pPr>
      <w:r>
        <w:rPr/>
        <w:t>为鼓励、支持和加速防滥用阿片类制剂研发，2013</w:t>
      </w:r>
      <w:r>
        <w:rPr>
          <w:spacing w:val="-40"/>
        </w:rPr>
        <w:t> 年 </w:t>
      </w:r>
      <w:r>
        <w:rPr/>
        <w:t>1</w:t>
      </w:r>
      <w:r>
        <w:rPr>
          <w:spacing w:val="-20"/>
        </w:rPr>
        <w:t> 月，美国 </w:t>
      </w:r>
      <w:r>
        <w:rPr/>
        <w:t>FDA</w:t>
      </w:r>
      <w:r>
        <w:rPr>
          <w:spacing w:val="-8"/>
        </w:rPr>
        <w:t> 公布了“防滥用的阿片类药物-评价和说明书”指导原则（草案），</w:t>
      </w:r>
      <w:r>
        <w:rPr>
          <w:spacing w:val="-22"/>
        </w:rPr>
        <w:t>提出被 </w:t>
      </w:r>
      <w:r>
        <w:rPr/>
        <w:t>FDA</w:t>
      </w:r>
      <w:r>
        <w:rPr>
          <w:spacing w:val="-8"/>
        </w:rPr>
        <w:t> 认定为具有遏制滥用特性的</w:t>
      </w:r>
      <w:r>
        <w:rPr>
          <w:spacing w:val="-12"/>
        </w:rPr>
        <w:t>产品允许在标签上添加“具有遏制滥用特性”的声明，并分为 </w:t>
      </w:r>
      <w:r>
        <w:rPr/>
        <w:t>4</w:t>
      </w:r>
      <w:r>
        <w:rPr>
          <w:spacing w:val="-13"/>
        </w:rPr>
        <w:t> 个等级。该草案一方面在满</w:t>
      </w:r>
      <w:r>
        <w:rPr>
          <w:spacing w:val="-8"/>
        </w:rPr>
        <w:t>足镇痛治疗需求的同时，尽可能地减少和防止阿片类药物滥用；另一方面对获得声明的药品</w:t>
      </w:r>
      <w:r>
        <w:rPr>
          <w:spacing w:val="-3"/>
        </w:rPr>
        <w:t>生产企业采取保护措施</w:t>
      </w:r>
      <w:r>
        <w:rPr/>
        <w:t>（</w:t>
      </w:r>
      <w:r>
        <w:rPr>
          <w:spacing w:val="-2"/>
        </w:rPr>
        <w:t>仿制药上市需要证明相同的疗效、安全性和可遏制滥用特性</w:t>
      </w:r>
      <w:r>
        <w:rPr>
          <w:spacing w:val="-27"/>
        </w:rPr>
        <w:t>），</w:t>
      </w:r>
      <w:r>
        <w:rPr/>
        <w:t>有助于促进药品生产企业投入研发此类产品。</w:t>
      </w:r>
    </w:p>
    <w:p>
      <w:pPr>
        <w:pStyle w:val="BodyText"/>
        <w:spacing w:line="297" w:lineRule="auto" w:before="12"/>
        <w:ind w:right="226"/>
        <w:jc w:val="both"/>
      </w:pPr>
      <w:r>
        <w:rPr/>
        <w:t>2015</w:t>
      </w:r>
      <w:r>
        <w:rPr>
          <w:spacing w:val="-41"/>
        </w:rPr>
        <w:t> 年 </w:t>
      </w:r>
      <w:r>
        <w:rPr/>
        <w:t>4</w:t>
      </w:r>
      <w:r>
        <w:rPr>
          <w:spacing w:val="-40"/>
        </w:rPr>
        <w:t> 月 </w:t>
      </w:r>
      <w:r>
        <w:rPr/>
        <w:t>1</w:t>
      </w:r>
      <w:r>
        <w:rPr>
          <w:spacing w:val="-30"/>
        </w:rPr>
        <w:t> 日</w:t>
      </w:r>
      <w:r>
        <w:rPr/>
        <w:t>，FDA 在《联邦纪事》中公开发布了“防滥用的阿片类药物-评价和说明书”的最终指南。2016</w:t>
      </w:r>
      <w:r>
        <w:rPr>
          <w:spacing w:val="-41"/>
        </w:rPr>
        <w:t> 年 </w:t>
      </w:r>
      <w:r>
        <w:rPr/>
        <w:t>3</w:t>
      </w:r>
      <w:r>
        <w:rPr>
          <w:spacing w:val="-40"/>
        </w:rPr>
        <w:t> 月 </w:t>
      </w:r>
      <w:r>
        <w:rPr/>
        <w:t>24</w:t>
      </w:r>
      <w:r>
        <w:rPr>
          <w:spacing w:val="-30"/>
        </w:rPr>
        <w:t> 日</w:t>
      </w:r>
      <w:r>
        <w:rPr/>
        <w:t>，FDA</w:t>
      </w:r>
      <w:r>
        <w:rPr>
          <w:spacing w:val="-8"/>
        </w:rPr>
        <w:t> 再次发布“评价口服固体阿片类药物仿制药</w:t>
      </w:r>
      <w:r>
        <w:rPr>
          <w:spacing w:val="-15"/>
        </w:rPr>
        <w:t>滥用威慑的一般性原则”，以确保在可能的滥用途径下，仿制药具有不低于原研药的防滥用</w:t>
      </w:r>
      <w:r>
        <w:rPr/>
        <w:t>措施，将仿制药滥用风险降到最低。</w:t>
      </w:r>
    </w:p>
    <w:p>
      <w:pPr>
        <w:pStyle w:val="BodyText"/>
        <w:spacing w:line="297" w:lineRule="auto"/>
        <w:ind w:right="127"/>
      </w:pPr>
      <w:r>
        <w:rPr>
          <w:spacing w:val="-1"/>
        </w:rPr>
        <w:t>目前，阿片类药物可以通过多种方式滥用，如整个吞服、压碎后吞服、压碎后鼻吸入、</w:t>
      </w:r>
      <w:r>
        <w:rPr>
          <w:spacing w:val="-7"/>
        </w:rPr>
        <w:t>压碎后抽吸或压碎溶解后注射等，防滥用技术开发应针对已知或预期的申报产品相关滥用的途径。如今，制药企业开发的具有遏制滥用特性的阿片类药物主要分为三大类：一是物理/ </w:t>
      </w:r>
      <w:r>
        <w:rPr>
          <w:spacing w:val="-11"/>
        </w:rPr>
        <w:t>化学屏障。物理屏障可以防止咀嚼、压碎、切割、磨碎或碾碎；化学屏障可以防止用一般溶</w:t>
      </w:r>
      <w:r>
        <w:rPr>
          <w:spacing w:val="-12"/>
        </w:rPr>
        <w:t>剂，如水、模拟生物介质、乙醇或其他有机溶剂提取阿片类药物。物理和化学屏障可以限制机械破坏后药物释放或改变药物物理形式，从而使其不太适于被滥用。二是激动药/拮抗药</w:t>
      </w:r>
      <w:r>
        <w:rPr>
          <w:spacing w:val="-11"/>
        </w:rPr>
        <w:t>复方。激动药可以加入阿片受体拮抗药干扰、降低或消除滥用产生的欣快感；拮抗药可被阻</w:t>
      </w:r>
      <w:r>
        <w:rPr>
          <w:spacing w:val="-16"/>
        </w:rPr>
        <w:t>隔并且仅在产品破坏后才被释放。如可以做成这样一种制剂，其中所含拮抗药在产品被吞服</w:t>
      </w:r>
      <w:r>
        <w:rPr>
          <w:spacing w:val="-15"/>
        </w:rPr>
        <w:t>时没有临床活性，但在产品被压碎后注射或鼻吸入时开始起作用。三是厌恶剂。可以向产品</w:t>
      </w:r>
    </w:p>
    <w:p>
      <w:pPr>
        <w:spacing w:after="0" w:line="297" w:lineRule="auto"/>
        <w:sectPr>
          <w:pgSz w:w="11910" w:h="16850"/>
          <w:pgMar w:header="906" w:footer="607" w:top="1100" w:bottom="800" w:left="860" w:right="900"/>
        </w:sectPr>
      </w:pPr>
    </w:p>
    <w:p>
      <w:pPr>
        <w:pStyle w:val="BodyText"/>
        <w:spacing w:line="295" w:lineRule="auto" w:before="65"/>
        <w:ind w:right="127" w:firstLine="0"/>
      </w:pPr>
      <w:r>
        <w:rPr>
          <w:spacing w:val="-1"/>
        </w:rPr>
        <w:t>中加入一些物质，这些物质在剂型被破坏或在高于所示剂量使用时产生令人不愉快的作用。</w:t>
      </w:r>
      <w:r>
        <w:rPr>
          <w:spacing w:val="-10"/>
        </w:rPr>
        <w:t>例如，防滥用制剂可含有在其被压碎后鼻吸入时产生刺激鼻黏膜作用的物质，或者是加入过量服用时可引起人体皮肤潮红、瘙痒等激惹反应的物质，以降低对滥用者的吸引力。</w:t>
      </w:r>
    </w:p>
    <w:p>
      <w:pPr>
        <w:pStyle w:val="Heading3"/>
        <w:spacing w:before="5"/>
      </w:pPr>
      <w:r>
        <w:rPr/>
        <w:t>10 种具有防滥用特性的阿片类药物</w:t>
      </w:r>
    </w:p>
    <w:p>
      <w:pPr>
        <w:pStyle w:val="BodyText"/>
        <w:spacing w:line="295" w:lineRule="auto" w:before="72"/>
        <w:ind w:right="229"/>
      </w:pPr>
      <w:r>
        <w:rPr>
          <w:spacing w:val="-21"/>
        </w:rPr>
        <w:t>截至 </w:t>
      </w:r>
      <w:r>
        <w:rPr/>
        <w:t>2018</w:t>
      </w:r>
      <w:r>
        <w:rPr>
          <w:spacing w:val="-17"/>
        </w:rPr>
        <w:t> 年底，</w:t>
      </w:r>
      <w:r>
        <w:rPr>
          <w:spacing w:val="-6"/>
        </w:rPr>
        <w:t>FDA</w:t>
      </w:r>
      <w:r>
        <w:rPr>
          <w:spacing w:val="-24"/>
        </w:rPr>
        <w:t> 已批准 </w:t>
      </w:r>
      <w:r>
        <w:rPr/>
        <w:t>10</w:t>
      </w:r>
      <w:r>
        <w:rPr>
          <w:spacing w:val="-10"/>
        </w:rPr>
        <w:t> 种具有防滥用特性的阿片类药物。笔者对照上述提到的</w:t>
      </w:r>
      <w:r>
        <w:rPr/>
        <w:t>防滥用制剂开发的技术手段，进行逐一分析。</w:t>
      </w:r>
    </w:p>
    <w:p>
      <w:pPr>
        <w:pStyle w:val="Heading3"/>
        <w:spacing w:before="4"/>
      </w:pPr>
      <w:r>
        <w:rPr/>
        <w:t>Oxycontin</w:t>
      </w:r>
    </w:p>
    <w:p>
      <w:pPr>
        <w:pStyle w:val="BodyText"/>
        <w:spacing w:before="72"/>
        <w:ind w:left="897" w:firstLine="0"/>
      </w:pPr>
      <w:r>
        <w:rPr/>
        <w:t>中文名是奥施康定，是盐酸羟考酮的缓释片，主要用于缓解持续的中重度疼痛。</w:t>
      </w:r>
    </w:p>
    <w:p>
      <w:pPr>
        <w:pStyle w:val="BodyText"/>
        <w:spacing w:line="297" w:lineRule="auto" w:before="72"/>
        <w:ind w:right="227"/>
        <w:jc w:val="both"/>
      </w:pPr>
      <w:r>
        <w:rPr/>
        <w:t>1989</w:t>
      </w:r>
      <w:r>
        <w:rPr>
          <w:spacing w:val="-11"/>
        </w:rPr>
        <w:t> 年，盐酸羟考酮普通剂型上市销售，半衰期 </w:t>
      </w:r>
      <w:r>
        <w:rPr/>
        <w:t>3h～4h，</w:t>
      </w:r>
      <w:r>
        <w:rPr>
          <w:spacing w:val="-9"/>
        </w:rPr>
        <w:t>一天需要服用 </w:t>
      </w:r>
      <w:r>
        <w:rPr/>
        <w:t>6</w:t>
      </w:r>
      <w:r>
        <w:rPr>
          <w:spacing w:val="-10"/>
        </w:rPr>
        <w:t> 次左右，患</w:t>
      </w:r>
      <w:r>
        <w:rPr>
          <w:spacing w:val="-11"/>
        </w:rPr>
        <w:t>者用药依从性很低。</w:t>
      </w:r>
      <w:r>
        <w:rPr/>
        <w:t>1995</w:t>
      </w:r>
      <w:r>
        <w:rPr>
          <w:spacing w:val="-10"/>
        </w:rPr>
        <w:t> 年，普渡制药推出第一代羟考酮缓释剂型</w:t>
      </w:r>
      <w:r>
        <w:rPr>
          <w:spacing w:val="-7"/>
        </w:rPr>
        <w:t>（OC），</w:t>
      </w:r>
      <w:r>
        <w:rPr>
          <w:spacing w:val="-15"/>
        </w:rPr>
        <w:t>半衰期 </w:t>
      </w:r>
      <w:r>
        <w:rPr>
          <w:spacing w:val="-5"/>
        </w:rPr>
        <w:t>12h</w:t>
      </w:r>
      <w:r>
        <w:rPr>
          <w:spacing w:val="-11"/>
        </w:rPr>
        <w:t>，每</w:t>
      </w:r>
      <w:r>
        <w:rPr>
          <w:spacing w:val="-16"/>
        </w:rPr>
        <w:t>天服用 </w:t>
      </w:r>
      <w:r>
        <w:rPr/>
        <w:t>2</w:t>
      </w:r>
      <w:r>
        <w:rPr>
          <w:spacing w:val="-12"/>
        </w:rPr>
        <w:t> 次，受到市场认可，高峰销售额达 </w:t>
      </w:r>
      <w:r>
        <w:rPr/>
        <w:t>20</w:t>
      </w:r>
      <w:r>
        <w:rPr>
          <w:spacing w:val="-8"/>
        </w:rPr>
        <w:t> 亿美元左右。但该剂型易被人为破坏后被滥用和误用，成瘾与过量用药等现象严重，引起社会高度关注。2010 年，普渡制药推出了具有遏制滥用特性的第二代羟考酮缓释片（OCR</w:t>
      </w:r>
      <w:r>
        <w:rPr>
          <w:spacing w:val="-40"/>
        </w:rPr>
        <w:t> 或 </w:t>
      </w:r>
      <w:r>
        <w:rPr/>
        <w:t>OP），</w:t>
      </w:r>
      <w:r>
        <w:rPr>
          <w:spacing w:val="-9"/>
        </w:rPr>
        <w:t>销售额保持在 </w:t>
      </w:r>
      <w:r>
        <w:rPr/>
        <w:t>25</w:t>
      </w:r>
      <w:r>
        <w:rPr>
          <w:spacing w:val="-8"/>
        </w:rPr>
        <w:t> 亿美元左右。该制</w:t>
      </w:r>
      <w:r>
        <w:rPr>
          <w:spacing w:val="-13"/>
        </w:rPr>
        <w:t>剂处方中添加了两种特殊的辅料——聚环氧乙烷和羟丙基甲基纤维素，使得片剂在溶剂中成</w:t>
      </w:r>
      <w:r>
        <w:rPr>
          <w:spacing w:val="-10"/>
        </w:rPr>
        <w:t>为胶状，以防止原料药被溶剂提取后用于静脉注射；同时在生产工艺中增加固化过程，提升</w:t>
      </w:r>
      <w:r>
        <w:rPr>
          <w:spacing w:val="-7"/>
        </w:rPr>
        <w:t>压片温度至软化聚合物辅料，随后冷却，聚合物固化并赋予片剂很高的硬度，以防止片剂被</w:t>
      </w:r>
      <w:r>
        <w:rPr/>
        <w:t>轻易压碎后滥用。</w:t>
      </w:r>
    </w:p>
    <w:p>
      <w:pPr>
        <w:pStyle w:val="BodyText"/>
        <w:spacing w:line="297" w:lineRule="auto"/>
        <w:ind w:right="243"/>
        <w:jc w:val="both"/>
      </w:pPr>
      <w:r>
        <w:rPr>
          <w:spacing w:val="-1"/>
        </w:rPr>
        <w:t>一项来自美国的研究表明，</w:t>
      </w:r>
      <w:r>
        <w:rPr>
          <w:spacing w:val="-4"/>
        </w:rPr>
        <w:t>OCR</w:t>
      </w:r>
      <w:r>
        <w:rPr>
          <w:spacing w:val="-20"/>
        </w:rPr>
        <w:t> 的滥用比 </w:t>
      </w:r>
      <w:r>
        <w:rPr/>
        <w:t>OC</w:t>
      </w:r>
      <w:r>
        <w:rPr>
          <w:spacing w:val="-24"/>
        </w:rPr>
        <w:t> 降低了 </w:t>
      </w:r>
      <w:r>
        <w:rPr>
          <w:spacing w:val="-4"/>
        </w:rPr>
        <w:t>41%</w:t>
      </w:r>
      <w:r>
        <w:rPr>
          <w:spacing w:val="-8"/>
        </w:rPr>
        <w:t>，其中口服途径降低了 </w:t>
      </w:r>
      <w:r>
        <w:rPr/>
        <w:t>17%</w:t>
      </w:r>
      <w:r>
        <w:rPr>
          <w:spacing w:val="-23"/>
        </w:rPr>
        <w:t>。这</w:t>
      </w:r>
      <w:r>
        <w:rPr>
          <w:spacing w:val="-30"/>
        </w:rPr>
        <w:t>是 </w:t>
      </w:r>
      <w:r>
        <w:rPr/>
        <w:t>FDA</w:t>
      </w:r>
      <w:r>
        <w:rPr>
          <w:spacing w:val="-8"/>
        </w:rPr>
        <w:t> 批准的第一个在标签上添加“具有遏制滥用特性”声明</w:t>
      </w:r>
      <w:r>
        <w:rPr/>
        <w:t>（2013</w:t>
      </w:r>
      <w:r>
        <w:rPr>
          <w:spacing w:val="-40"/>
        </w:rPr>
        <w:t> 年 </w:t>
      </w:r>
      <w:r>
        <w:rPr/>
        <w:t>4</w:t>
      </w:r>
      <w:r>
        <w:rPr>
          <w:spacing w:val="-30"/>
        </w:rPr>
        <w:t> 月</w:t>
      </w:r>
      <w:r>
        <w:rPr/>
        <w:t>）的产品。</w:t>
      </w:r>
    </w:p>
    <w:p>
      <w:pPr>
        <w:pStyle w:val="Heading3"/>
        <w:spacing w:line="306" w:lineRule="exact"/>
        <w:jc w:val="both"/>
      </w:pPr>
      <w:r>
        <w:rPr/>
        <w:t>Targiniq ER</w:t>
      </w:r>
    </w:p>
    <w:p>
      <w:pPr>
        <w:pStyle w:val="BodyText"/>
        <w:spacing w:line="297" w:lineRule="auto" w:before="61"/>
        <w:ind w:left="897" w:right="307" w:firstLine="0"/>
        <w:jc w:val="both"/>
      </w:pPr>
      <w:r>
        <w:rPr/>
        <w:t>中文名是盐酸羟考酮/盐酸纳洛酮缓释片，来自普渡制药，2014</w:t>
      </w:r>
      <w:r>
        <w:rPr>
          <w:spacing w:val="-24"/>
        </w:rPr>
        <w:t> 年获得 </w:t>
      </w:r>
      <w:r>
        <w:rPr/>
        <w:t>FDA</w:t>
      </w:r>
      <w:r>
        <w:rPr>
          <w:spacing w:val="-15"/>
        </w:rPr>
        <w:t> 批准。Targiniq</w:t>
      </w:r>
      <w:r>
        <w:rPr>
          <w:spacing w:val="119"/>
        </w:rPr>
        <w:t> </w:t>
      </w:r>
      <w:r>
        <w:rPr/>
        <w:t>ER</w:t>
      </w:r>
      <w:r>
        <w:rPr>
          <w:spacing w:val="-9"/>
        </w:rPr>
        <w:t> 是复方制剂，通过内含的阿片受体拮抗剂纳洛酮而实现防滥用技术。口</w:t>
      </w:r>
    </w:p>
    <w:p>
      <w:pPr>
        <w:pStyle w:val="BodyText"/>
        <w:tabs>
          <w:tab w:pos="9058" w:val="left" w:leader="none"/>
          <w:tab w:pos="9675" w:val="left" w:leader="none"/>
        </w:tabs>
        <w:spacing w:line="297" w:lineRule="auto"/>
        <w:ind w:right="127" w:firstLine="0"/>
      </w:pPr>
      <w:r>
        <w:rPr/>
        <w:t>服给药时，因纳洛酮生物利用度极低（仅为</w:t>
      </w:r>
      <w:r>
        <w:rPr>
          <w:spacing w:val="-60"/>
        </w:rPr>
        <w:t> </w:t>
      </w:r>
      <w:r>
        <w:rPr/>
        <w:t>0.9%～2.0%），进入体循环的药量很少，并不会影响激动剂的中枢镇痛作用</w:t>
      </w:r>
      <w:r>
        <w:rPr>
          <w:spacing w:val="-34"/>
        </w:rPr>
        <w:t>。</w:t>
      </w:r>
      <w:r>
        <w:rPr/>
        <w:t>此外</w:t>
      </w:r>
      <w:r>
        <w:rPr>
          <w:spacing w:val="-34"/>
        </w:rPr>
        <w:t>，</w:t>
      </w:r>
      <w:r>
        <w:rPr/>
        <w:t>纳洛</w:t>
      </w:r>
      <w:r>
        <w:rPr>
          <w:spacing w:val="-3"/>
        </w:rPr>
        <w:t>酮</w:t>
      </w:r>
      <w:r>
        <w:rPr/>
        <w:t>会作用于外周的阿片受体</w:t>
      </w:r>
      <w:r>
        <w:rPr>
          <w:spacing w:val="-34"/>
        </w:rPr>
        <w:t>，</w:t>
      </w:r>
      <w:r>
        <w:rPr/>
        <w:t>拮抗激动剂所产生的外周作用能减少便秘等不良反应的发生。当通过非口服途径给药时，纳洛酮能迅速起效</w:t>
      </w:r>
      <w:r>
        <w:rPr>
          <w:spacing w:val="-18"/>
        </w:rPr>
        <w:t>， </w:t>
      </w:r>
      <w:r>
        <w:rPr/>
        <w:t>阻断羟考酮的中枢作用</w:t>
      </w:r>
      <w:r>
        <w:rPr>
          <w:spacing w:val="-87"/>
        </w:rPr>
        <w:t>，</w:t>
      </w:r>
      <w:r>
        <w:rPr/>
        <w:t>防止产生欣快感</w:t>
      </w:r>
      <w:r>
        <w:rPr>
          <w:spacing w:val="-87"/>
        </w:rPr>
        <w:t>，</w:t>
      </w:r>
      <w:r>
        <w:rPr/>
        <w:t>对滥用者的吸引力大大降低</w:t>
      </w:r>
      <w:r>
        <w:rPr>
          <w:spacing w:val="-87"/>
        </w:rPr>
        <w:t>。</w:t>
      </w:r>
      <w:r>
        <w:rPr/>
        <w:t>因此</w:t>
      </w:r>
      <w:r>
        <w:rPr>
          <w:spacing w:val="-10"/>
        </w:rPr>
        <w:t>，Targiniq</w:t>
        <w:tab/>
      </w:r>
      <w:r>
        <w:rPr/>
        <w:t>ER 可有效遏制通过静注、吸食等非口服途径的滥用。需要特别指出的是，Targiniq</w:t>
        <w:tab/>
        <w:t>ER</w:t>
      </w:r>
      <w:r>
        <w:rPr>
          <w:spacing w:val="-60"/>
        </w:rPr>
        <w:t> </w:t>
      </w:r>
      <w:r>
        <w:rPr/>
        <w:t>仍有可能被通过简单吞服方式而滥用</w:t>
      </w:r>
      <w:r>
        <w:rPr>
          <w:spacing w:val="-51"/>
        </w:rPr>
        <w:t>，</w:t>
      </w:r>
      <w:r>
        <w:rPr/>
        <w:t>这种方式也是止痛药最常用的滥用方式</w:t>
      </w:r>
      <w:r>
        <w:rPr>
          <w:spacing w:val="-51"/>
        </w:rPr>
        <w:t>，</w:t>
      </w:r>
      <w:r>
        <w:rPr/>
        <w:t>因此未被批准用于按需缓解的疼痛。</w:t>
      </w:r>
    </w:p>
    <w:p>
      <w:pPr>
        <w:pStyle w:val="Heading3"/>
        <w:spacing w:line="298" w:lineRule="exact"/>
      </w:pPr>
      <w:r>
        <w:rPr/>
        <w:t>Embeda</w:t>
      </w:r>
    </w:p>
    <w:p>
      <w:pPr>
        <w:pStyle w:val="BodyText"/>
        <w:spacing w:line="295" w:lineRule="auto" w:before="72"/>
        <w:ind w:right="226"/>
      </w:pPr>
      <w:r>
        <w:rPr/>
        <w:t>中文名是硫酸吗啡/</w:t>
      </w:r>
      <w:r>
        <w:rPr>
          <w:spacing w:val="-12"/>
        </w:rPr>
        <w:t>盐酸纳曲酮缓释胶囊，来自辉瑞制药，于 </w:t>
      </w:r>
      <w:r>
        <w:rPr/>
        <w:t>2009</w:t>
      </w:r>
      <w:r>
        <w:rPr>
          <w:spacing w:val="-40"/>
        </w:rPr>
        <w:t> 年 </w:t>
      </w:r>
      <w:r>
        <w:rPr/>
        <w:t>8</w:t>
      </w:r>
      <w:r>
        <w:rPr>
          <w:spacing w:val="-30"/>
        </w:rPr>
        <w:t> 月被 </w:t>
      </w:r>
      <w:r>
        <w:rPr/>
        <w:t>FDA</w:t>
      </w:r>
      <w:r>
        <w:rPr>
          <w:spacing w:val="-19"/>
        </w:rPr>
        <w:t> 批准上</w:t>
      </w:r>
      <w:r>
        <w:rPr/>
        <w:t>市，是其批准的首个长效阿片类药物。</w:t>
      </w:r>
    </w:p>
    <w:p>
      <w:pPr>
        <w:pStyle w:val="BodyText"/>
        <w:spacing w:line="297" w:lineRule="auto" w:before="2"/>
        <w:ind w:right="127"/>
      </w:pPr>
      <w:r>
        <w:rPr/>
        <w:t>Embeda</w:t>
      </w:r>
      <w:r>
        <w:rPr>
          <w:spacing w:val="-8"/>
        </w:rPr>
        <w:t> 是复方制剂，每个缓释吗啡胶囊颗粒内均包裹一个盐酸纳曲酮内核，该药物通</w:t>
      </w:r>
      <w:r>
        <w:rPr>
          <w:spacing w:val="-12"/>
        </w:rPr>
        <w:t>过内含的阿片拮抗剂纳曲酮实现防滥用。相比纳洛酮，纳曲酮的生物利用度明显提高。在正</w:t>
      </w:r>
      <w:r>
        <w:rPr>
          <w:spacing w:val="-14"/>
        </w:rPr>
        <w:t>常吞咽口服的情况下，吗啡在胃肠道内缓慢释放，其药动学参数、药效以及安全性与硫酸吗</w:t>
      </w:r>
      <w:r>
        <w:rPr>
          <w:spacing w:val="-20"/>
        </w:rPr>
        <w:t>啡单组分缓释胶囊 </w:t>
      </w:r>
      <w:r>
        <w:rPr/>
        <w:t>Kadian</w:t>
      </w:r>
      <w:r>
        <w:rPr>
          <w:spacing w:val="-8"/>
        </w:rPr>
        <w:t> 相近，而纳曲酮则几乎不会暴露于人体，因此不影响吗啡的镇痛</w:t>
      </w:r>
      <w:r>
        <w:rPr>
          <w:spacing w:val="-11"/>
        </w:rPr>
        <w:t>作用。但如果将药品通过咀嚼、压碎等方式破坏或溶解于酒精中，纳曲酮会被释放，其生物</w:t>
      </w:r>
      <w:r>
        <w:rPr>
          <w:spacing w:val="-12"/>
        </w:rPr>
        <w:t>利用度与等剂量纳曲酮速释制剂相当，能迅速阻断吗啡产生的欣快效果，大大降低了吸食、</w:t>
      </w:r>
    </w:p>
    <w:p>
      <w:pPr>
        <w:spacing w:after="0" w:line="297" w:lineRule="auto"/>
        <w:sectPr>
          <w:pgSz w:w="11910" w:h="16850"/>
          <w:pgMar w:header="906" w:footer="607" w:top="1100" w:bottom="800" w:left="860" w:right="900"/>
        </w:sectPr>
      </w:pPr>
    </w:p>
    <w:p>
      <w:pPr>
        <w:pStyle w:val="BodyText"/>
        <w:spacing w:line="295" w:lineRule="auto" w:before="65"/>
        <w:ind w:right="230" w:firstLine="0"/>
      </w:pPr>
      <w:r>
        <w:rPr>
          <w:spacing w:val="-8"/>
        </w:rPr>
        <w:t>静注等方式滥用的可能性。另一项研究也显示，盐酸纳曲酮的加入，在正常使用下并没有影</w:t>
      </w:r>
      <w:r>
        <w:rPr/>
        <w:t>响吗啡的镇痛作用，它与单组分缓释吗啡制剂能达到生物等效。</w:t>
      </w:r>
    </w:p>
    <w:p>
      <w:pPr>
        <w:pStyle w:val="Heading3"/>
        <w:tabs>
          <w:tab w:pos="2106" w:val="left" w:leader="none"/>
        </w:tabs>
        <w:spacing w:before="2"/>
      </w:pPr>
      <w:r>
        <w:rPr/>
        <w:t>Hysingla</w:t>
        <w:tab/>
        <w:t>ER</w:t>
      </w:r>
    </w:p>
    <w:p>
      <w:pPr>
        <w:pStyle w:val="BodyText"/>
        <w:tabs>
          <w:tab w:pos="9435" w:val="left" w:leader="none"/>
        </w:tabs>
        <w:spacing w:line="295" w:lineRule="auto" w:before="74"/>
        <w:ind w:right="228"/>
      </w:pPr>
      <w:r>
        <w:rPr/>
        <w:t>中文名是重酒石酸二氢可待因酮缓释片</w:t>
      </w:r>
      <w:r>
        <w:rPr>
          <w:spacing w:val="-22"/>
        </w:rPr>
        <w:t>，</w:t>
      </w:r>
      <w:r>
        <w:rPr/>
        <w:t>来自普渡制药</w:t>
      </w:r>
      <w:r>
        <w:rPr>
          <w:spacing w:val="-22"/>
        </w:rPr>
        <w:t>，</w:t>
      </w:r>
      <w:r>
        <w:rPr/>
        <w:t>于</w:t>
      </w:r>
      <w:r>
        <w:rPr>
          <w:spacing w:val="-60"/>
        </w:rPr>
        <w:t> </w:t>
      </w:r>
      <w:r>
        <w:rPr/>
        <w:t>2014</w:t>
      </w:r>
      <w:r>
        <w:rPr>
          <w:spacing w:val="-60"/>
        </w:rPr>
        <w:t> </w:t>
      </w:r>
      <w:r>
        <w:rPr/>
        <w:t>年</w:t>
      </w:r>
      <w:r>
        <w:rPr>
          <w:spacing w:val="-60"/>
        </w:rPr>
        <w:t> </w:t>
      </w:r>
      <w:r>
        <w:rPr/>
        <w:t>11</w:t>
      </w:r>
      <w:r>
        <w:rPr>
          <w:spacing w:val="-60"/>
        </w:rPr>
        <w:t> </w:t>
      </w:r>
      <w:r>
        <w:rPr/>
        <w:t>月获</w:t>
      </w:r>
      <w:r>
        <w:rPr>
          <w:spacing w:val="-60"/>
        </w:rPr>
        <w:t> </w:t>
      </w:r>
      <w:r>
        <w:rPr/>
        <w:t>FDA</w:t>
        <w:tab/>
        <w:t>批</w:t>
      </w:r>
      <w:r>
        <w:rPr>
          <w:spacing w:val="-17"/>
        </w:rPr>
        <w:t>准</w:t>
      </w:r>
      <w:r>
        <w:rPr/>
        <w:t>上市。</w:t>
      </w:r>
    </w:p>
    <w:p>
      <w:pPr>
        <w:pStyle w:val="BodyText"/>
        <w:tabs>
          <w:tab w:pos="2097" w:val="left" w:leader="none"/>
          <w:tab w:pos="3597" w:val="left" w:leader="none"/>
        </w:tabs>
        <w:spacing w:line="297" w:lineRule="auto" w:before="2"/>
        <w:ind w:right="226"/>
      </w:pPr>
      <w:r>
        <w:rPr/>
        <w:t>Hysingla</w:t>
        <w:tab/>
        <w:t>ER</w:t>
      </w:r>
      <w:r>
        <w:rPr>
          <w:spacing w:val="-60"/>
        </w:rPr>
        <w:t> </w:t>
      </w:r>
      <w:r>
        <w:rPr/>
        <w:t>是第二个被</w:t>
      </w:r>
      <w:r>
        <w:rPr>
          <w:spacing w:val="-60"/>
        </w:rPr>
        <w:t> </w:t>
      </w:r>
      <w:r>
        <w:rPr/>
        <w:t>FDA</w:t>
      </w:r>
      <w:r>
        <w:rPr>
          <w:spacing w:val="-60"/>
        </w:rPr>
        <w:t> </w:t>
      </w:r>
      <w:r>
        <w:rPr/>
        <w:t>批准的纯粹由二氢可待因酮组成的缓释药物，采用了普渡制药的专有技术</w:t>
      </w:r>
      <w:r>
        <w:rPr>
          <w:spacing w:val="-61"/>
        </w:rPr>
        <w:t> </w:t>
      </w:r>
      <w:r>
        <w:rPr/>
        <w:t>RESISTEC</w:t>
        <w:tab/>
      </w:r>
      <w:r>
        <w:rPr>
          <w:spacing w:val="-41"/>
        </w:rPr>
        <w:t>，</w:t>
      </w:r>
      <w:r>
        <w:rPr/>
        <w:t>可有效遏制通过咀嚼</w:t>
      </w:r>
      <w:r>
        <w:rPr>
          <w:spacing w:val="-41"/>
        </w:rPr>
        <w:t>、</w:t>
      </w:r>
      <w:r>
        <w:rPr/>
        <w:t>吸食</w:t>
      </w:r>
      <w:r>
        <w:rPr>
          <w:spacing w:val="-41"/>
        </w:rPr>
        <w:t>、</w:t>
      </w:r>
      <w:r>
        <w:rPr/>
        <w:t>注射等途径的滥用</w:t>
      </w:r>
      <w:r>
        <w:rPr>
          <w:spacing w:val="-40"/>
        </w:rPr>
        <w:t>。</w:t>
      </w:r>
      <w:r>
        <w:rPr/>
        <w:t>RESISTEC 是普渡制药的专利缓释固体口服剂型平台</w:t>
      </w:r>
      <w:r>
        <w:rPr>
          <w:spacing w:val="-51"/>
        </w:rPr>
        <w:t>，</w:t>
      </w:r>
      <w:r>
        <w:rPr/>
        <w:t>利用独特的高分子聚合物组合物和制备工艺</w:t>
      </w:r>
      <w:r>
        <w:rPr>
          <w:spacing w:val="-51"/>
        </w:rPr>
        <w:t>，</w:t>
      </w:r>
      <w:r>
        <w:rPr>
          <w:spacing w:val="-15"/>
        </w:rPr>
        <w:t>使</w:t>
      </w:r>
      <w:r>
        <w:rPr/>
        <w:t>片剂有很高的硬度</w:t>
      </w:r>
      <w:r>
        <w:rPr>
          <w:spacing w:val="-34"/>
        </w:rPr>
        <w:t>，</w:t>
      </w:r>
      <w:r>
        <w:rPr/>
        <w:t>而且溶解后会形成一种稠厚的水凝胶</w:t>
      </w:r>
      <w:r>
        <w:rPr>
          <w:spacing w:val="-34"/>
        </w:rPr>
        <w:t>，</w:t>
      </w:r>
      <w:r>
        <w:rPr/>
        <w:t>不易被静脉注射使用</w:t>
      </w:r>
      <w:r>
        <w:rPr>
          <w:spacing w:val="-34"/>
        </w:rPr>
        <w:t>。</w:t>
      </w:r>
      <w:r>
        <w:rPr/>
        <w:t>这是一</w:t>
      </w:r>
      <w:r>
        <w:rPr>
          <w:spacing w:val="-15"/>
        </w:rPr>
        <w:t>项</w:t>
      </w:r>
      <w:r>
        <w:rPr/>
        <w:t>防止药物滥用的制剂技术</w:t>
      </w:r>
      <w:r>
        <w:rPr>
          <w:spacing w:val="-51"/>
        </w:rPr>
        <w:t>，</w:t>
      </w:r>
      <w:r>
        <w:rPr/>
        <w:t>主要目的是防止药物通过粉碎</w:t>
      </w:r>
      <w:r>
        <w:rPr>
          <w:spacing w:val="-51"/>
        </w:rPr>
        <w:t>、</w:t>
      </w:r>
      <w:r>
        <w:rPr/>
        <w:t>分解或溶解等手段从固体制剂</w:t>
      </w:r>
      <w:r>
        <w:rPr>
          <w:spacing w:val="-16"/>
        </w:rPr>
        <w:t>中</w:t>
      </w:r>
      <w:r>
        <w:rPr/>
        <w:t>被提取出来而被滥用。</w:t>
      </w:r>
    </w:p>
    <w:p>
      <w:pPr>
        <w:pStyle w:val="Heading3"/>
        <w:tabs>
          <w:tab w:pos="2349" w:val="left" w:leader="none"/>
        </w:tabs>
        <w:spacing w:line="300" w:lineRule="exact"/>
      </w:pPr>
      <w:r>
        <w:rPr/>
        <w:t>MorphaBond</w:t>
        <w:tab/>
        <w:t>ER</w:t>
      </w:r>
    </w:p>
    <w:p>
      <w:pPr>
        <w:pStyle w:val="BodyText"/>
        <w:tabs>
          <w:tab w:pos="5638" w:val="left" w:leader="none"/>
          <w:tab w:pos="6838" w:val="left" w:leader="none"/>
        </w:tabs>
        <w:spacing w:line="295" w:lineRule="auto" w:before="74"/>
        <w:ind w:right="305"/>
      </w:pPr>
      <w:r>
        <w:rPr/>
        <w:t>中文名是硫酸吗啡缓释片，来自</w:t>
      </w:r>
      <w:r>
        <w:rPr>
          <w:spacing w:val="-60"/>
        </w:rPr>
        <w:t> </w:t>
      </w:r>
      <w:r>
        <w:rPr/>
        <w:t>Inspirion</w:t>
        <w:tab/>
        <w:t>Delivery</w:t>
        <w:tab/>
        <w:t>Technologies</w:t>
      </w:r>
      <w:r>
        <w:rPr>
          <w:spacing w:val="-59"/>
        </w:rPr>
        <w:t> </w:t>
      </w:r>
      <w:r>
        <w:rPr/>
        <w:t>公司，于</w:t>
      </w:r>
      <w:r>
        <w:rPr>
          <w:spacing w:val="-59"/>
        </w:rPr>
        <w:t> </w:t>
      </w:r>
      <w:r>
        <w:rPr>
          <w:spacing w:val="-5"/>
        </w:rPr>
        <w:t>2015 </w:t>
      </w:r>
      <w:r>
        <w:rPr/>
        <w:t>年</w:t>
      </w:r>
      <w:r>
        <w:rPr>
          <w:spacing w:val="-60"/>
        </w:rPr>
        <w:t> </w:t>
      </w:r>
      <w:r>
        <w:rPr/>
        <w:t>10</w:t>
      </w:r>
      <w:r>
        <w:rPr>
          <w:spacing w:val="-60"/>
        </w:rPr>
        <w:t> </w:t>
      </w:r>
      <w:r>
        <w:rPr/>
        <w:t>月获</w:t>
      </w:r>
      <w:r>
        <w:rPr>
          <w:spacing w:val="-61"/>
        </w:rPr>
        <w:t> </w:t>
      </w:r>
      <w:r>
        <w:rPr/>
        <w:t>FDA</w:t>
      </w:r>
      <w:r>
        <w:rPr>
          <w:spacing w:val="-60"/>
        </w:rPr>
        <w:t> </w:t>
      </w:r>
      <w:r>
        <w:rPr/>
        <w:t>批准上市。</w:t>
      </w:r>
    </w:p>
    <w:p>
      <w:pPr>
        <w:pStyle w:val="BodyText"/>
        <w:tabs>
          <w:tab w:pos="2577" w:val="left" w:leader="none"/>
          <w:tab w:pos="4977" w:val="left" w:leader="none"/>
          <w:tab w:pos="6516" w:val="left" w:leader="none"/>
          <w:tab w:pos="7438" w:val="left" w:leader="none"/>
        </w:tabs>
        <w:spacing w:line="297" w:lineRule="auto" w:before="2"/>
        <w:ind w:right="110"/>
      </w:pPr>
      <w:r>
        <w:rPr/>
        <w:t>MorphaBond</w:t>
        <w:tab/>
        <w:t>ER</w:t>
      </w:r>
      <w:r>
        <w:rPr>
          <w:spacing w:val="-60"/>
        </w:rPr>
        <w:t> </w:t>
      </w:r>
      <w:r>
        <w:rPr/>
        <w:t>采用了</w:t>
      </w:r>
      <w:r>
        <w:rPr>
          <w:spacing w:val="-60"/>
        </w:rPr>
        <w:t> </w:t>
      </w:r>
      <w:r>
        <w:rPr/>
        <w:t>Inspirion</w:t>
        <w:tab/>
        <w:t>释药技术公司的</w:t>
      </w:r>
      <w:r>
        <w:rPr>
          <w:spacing w:val="-60"/>
        </w:rPr>
        <w:t> </w:t>
      </w:r>
      <w:r>
        <w:rPr/>
        <w:t>SentryBond</w:t>
      </w:r>
      <w:r>
        <w:rPr>
          <w:spacing w:val="-60"/>
        </w:rPr>
        <w:t> </w:t>
      </w:r>
      <w:r>
        <w:rPr/>
        <w:t>专利技术，由非活性成分构成，这使得药片在保持缓释的同时，难以被各类方式滥用，即使是经过物理处理 和/或化学提取。相比其他缓释阿片类药物，MorphaBond</w:t>
        <w:tab/>
        <w:t>ER</w:t>
      </w:r>
      <w:r>
        <w:rPr>
          <w:spacing w:val="-60"/>
        </w:rPr>
        <w:t> </w:t>
      </w:r>
      <w:r>
        <w:rPr/>
        <w:t>可以更好地抵抗切割</w:t>
      </w:r>
      <w:r>
        <w:rPr>
          <w:spacing w:val="-22"/>
        </w:rPr>
        <w:t>、</w:t>
      </w:r>
      <w:r>
        <w:rPr/>
        <w:t>碾碎或其他工具造成的破坏。当药物处于液体环境时，由于</w:t>
      </w:r>
      <w:r>
        <w:rPr>
          <w:spacing w:val="-60"/>
        </w:rPr>
        <w:t> </w:t>
      </w:r>
      <w:r>
        <w:rPr/>
        <w:t>MorphaBond</w:t>
        <w:tab/>
        <w:t>ER</w:t>
      </w:r>
      <w:r>
        <w:rPr>
          <w:spacing w:val="-60"/>
        </w:rPr>
        <w:t> </w:t>
      </w:r>
      <w:r>
        <w:rPr/>
        <w:t>配方中含有一种黏性材料</w:t>
      </w:r>
      <w:r>
        <w:rPr>
          <w:spacing w:val="-75"/>
        </w:rPr>
        <w:t>，</w:t>
      </w:r>
      <w:r>
        <w:rPr/>
        <w:t>容易堵塞针管而无法静脉注射</w:t>
      </w:r>
      <w:r>
        <w:rPr>
          <w:spacing w:val="-75"/>
        </w:rPr>
        <w:t>，</w:t>
      </w:r>
      <w:r>
        <w:rPr/>
        <w:t>所以能够减少药物因粉碎</w:t>
      </w:r>
      <w:r>
        <w:rPr>
          <w:spacing w:val="-75"/>
        </w:rPr>
        <w:t>、</w:t>
      </w:r>
      <w:r>
        <w:rPr/>
        <w:t>溶解后提取而发生的滥用</w:t>
      </w:r>
      <w:r>
        <w:rPr>
          <w:spacing w:val="-16"/>
        </w:rPr>
        <w:t>。</w:t>
      </w:r>
    </w:p>
    <w:p>
      <w:pPr>
        <w:pStyle w:val="Heading3"/>
        <w:tabs>
          <w:tab w:pos="1986" w:val="left" w:leader="none"/>
        </w:tabs>
        <w:spacing w:line="302" w:lineRule="exact"/>
      </w:pPr>
      <w:r>
        <w:rPr/>
        <w:t>Xtampza</w:t>
        <w:tab/>
        <w:t>ER</w:t>
      </w:r>
    </w:p>
    <w:p>
      <w:pPr>
        <w:pStyle w:val="BodyText"/>
        <w:tabs>
          <w:tab w:pos="5638" w:val="left" w:leader="none"/>
        </w:tabs>
        <w:spacing w:line="297" w:lineRule="auto" w:before="72"/>
        <w:ind w:right="245"/>
      </w:pPr>
      <w:r>
        <w:rPr/>
        <w:t>中文名是羟考酮缓释胶囊，来自</w:t>
      </w:r>
      <w:r>
        <w:rPr>
          <w:spacing w:val="-60"/>
        </w:rPr>
        <w:t> </w:t>
      </w:r>
      <w:r>
        <w:rPr/>
        <w:t>Collegium</w:t>
        <w:tab/>
        <w:t>Pharmaceutical</w:t>
      </w:r>
      <w:r>
        <w:rPr>
          <w:spacing w:val="-60"/>
        </w:rPr>
        <w:t> </w:t>
      </w:r>
      <w:r>
        <w:rPr/>
        <w:t>公司，于</w:t>
      </w:r>
      <w:r>
        <w:rPr>
          <w:spacing w:val="-60"/>
        </w:rPr>
        <w:t> </w:t>
      </w:r>
      <w:r>
        <w:rPr/>
        <w:t>2016</w:t>
      </w:r>
      <w:r>
        <w:rPr>
          <w:spacing w:val="-60"/>
        </w:rPr>
        <w:t> </w:t>
      </w:r>
      <w:r>
        <w:rPr/>
        <w:t>年</w:t>
      </w:r>
      <w:r>
        <w:rPr>
          <w:spacing w:val="-60"/>
        </w:rPr>
        <w:t> </w:t>
      </w:r>
      <w:r>
        <w:rPr/>
        <w:t>4</w:t>
      </w:r>
      <w:r>
        <w:rPr>
          <w:spacing w:val="-60"/>
        </w:rPr>
        <w:t> </w:t>
      </w:r>
      <w:r>
        <w:rPr/>
        <w:t>月</w:t>
      </w:r>
      <w:r>
        <w:rPr>
          <w:spacing w:val="-17"/>
        </w:rPr>
        <w:t>获</w:t>
      </w:r>
      <w:r>
        <w:rPr/>
        <w:t>FDA</w:t>
      </w:r>
      <w:r>
        <w:rPr>
          <w:spacing w:val="-60"/>
        </w:rPr>
        <w:t> </w:t>
      </w:r>
      <w:r>
        <w:rPr/>
        <w:t>批准上市。</w:t>
      </w:r>
    </w:p>
    <w:p>
      <w:pPr>
        <w:pStyle w:val="BodyText"/>
        <w:tabs>
          <w:tab w:pos="1377" w:val="left" w:leader="none"/>
          <w:tab w:pos="1977" w:val="left" w:leader="none"/>
          <w:tab w:pos="8218" w:val="left" w:leader="none"/>
        </w:tabs>
        <w:spacing w:line="297" w:lineRule="auto"/>
        <w:ind w:right="226"/>
      </w:pPr>
      <w:r>
        <w:rPr/>
        <w:t>Xtampza</w:t>
        <w:tab/>
        <w:t>ER</w:t>
      </w:r>
      <w:r>
        <w:rPr>
          <w:spacing w:val="-60"/>
        </w:rPr>
        <w:t> </w:t>
      </w:r>
      <w:r>
        <w:rPr/>
        <w:t>是一种羟考酮“胶囊内微珠”的新型缓释口服制剂，采用其专有的DETERX</w:t>
        <w:tab/>
        <w:t>平台开发，有效解决了常规使用方法造成的滥用问题。Xtampza</w:t>
        <w:tab/>
        <w:t>ER</w:t>
      </w:r>
      <w:r>
        <w:rPr>
          <w:spacing w:val="-60"/>
        </w:rPr>
        <w:t> </w:t>
      </w:r>
      <w:r>
        <w:rPr/>
        <w:t>胶囊内含有许多微珠</w:t>
      </w:r>
      <w:r>
        <w:rPr>
          <w:spacing w:val="-51"/>
        </w:rPr>
        <w:t>，</w:t>
      </w:r>
      <w:r>
        <w:rPr/>
        <w:t>每个微珠都经过标准的喷淋冷凝过程</w:t>
      </w:r>
      <w:r>
        <w:rPr>
          <w:spacing w:val="-51"/>
        </w:rPr>
        <w:t>，</w:t>
      </w:r>
      <w:r>
        <w:rPr/>
        <w:t>羟考酮以脂肪酸盐的形式固体分散于由</w:t>
      </w:r>
      <w:r>
        <w:rPr>
          <w:spacing w:val="-16"/>
        </w:rPr>
        <w:t>疏</w:t>
      </w:r>
      <w:r>
        <w:rPr/>
        <w:t>水性蜡质材料构成的高熔点缓释基质内</w:t>
      </w:r>
      <w:r>
        <w:rPr>
          <w:spacing w:val="-51"/>
        </w:rPr>
        <w:t>。</w:t>
      </w:r>
      <w:r>
        <w:rPr/>
        <w:t>每个微珠均具有抗物理破坏和缓释的特性</w:t>
      </w:r>
      <w:r>
        <w:rPr>
          <w:spacing w:val="-51"/>
        </w:rPr>
        <w:t>，</w:t>
      </w:r>
      <w:r>
        <w:rPr/>
        <w:t>每个</w:t>
      </w:r>
      <w:r>
        <w:rPr>
          <w:spacing w:val="-15"/>
        </w:rPr>
        <w:t>微</w:t>
      </w:r>
      <w:r>
        <w:rPr/>
        <w:t>珠难溶于水，可防止通过水溶提取后滥用。</w:t>
      </w:r>
    </w:p>
    <w:p>
      <w:pPr>
        <w:pStyle w:val="Heading3"/>
        <w:tabs>
          <w:tab w:pos="1986" w:val="left" w:leader="none"/>
        </w:tabs>
        <w:spacing w:line="302" w:lineRule="exact"/>
      </w:pPr>
      <w:r>
        <w:rPr/>
        <w:t>Troxyca</w:t>
        <w:tab/>
        <w:t>ER</w:t>
      </w:r>
    </w:p>
    <w:p>
      <w:pPr>
        <w:pStyle w:val="BodyText"/>
        <w:spacing w:line="295" w:lineRule="auto" w:before="70"/>
        <w:ind w:right="226"/>
        <w:jc w:val="both"/>
      </w:pPr>
      <w:r>
        <w:rPr/>
        <w:t>中文名是盐酸羟考酮/</w:t>
      </w:r>
      <w:r>
        <w:rPr>
          <w:spacing w:val="-12"/>
        </w:rPr>
        <w:t>盐酸纳曲酮缓释胶囊，来自辉瑞制药，于 </w:t>
      </w:r>
      <w:r>
        <w:rPr/>
        <w:t>2016</w:t>
      </w:r>
      <w:r>
        <w:rPr>
          <w:spacing w:val="-40"/>
        </w:rPr>
        <w:t> 年 </w:t>
      </w:r>
      <w:r>
        <w:rPr/>
        <w:t>8</w:t>
      </w:r>
      <w:r>
        <w:rPr>
          <w:spacing w:val="-30"/>
        </w:rPr>
        <w:t> 月获 </w:t>
      </w:r>
      <w:r>
        <w:rPr/>
        <w:t>FDA</w:t>
      </w:r>
      <w:r>
        <w:rPr>
          <w:spacing w:val="-25"/>
        </w:rPr>
        <w:t> 批准</w:t>
      </w:r>
      <w:r>
        <w:rPr/>
        <w:t>上市。</w:t>
      </w:r>
    </w:p>
    <w:p>
      <w:pPr>
        <w:pStyle w:val="BodyText"/>
        <w:spacing w:line="297" w:lineRule="auto" w:before="4"/>
        <w:ind w:right="227"/>
        <w:jc w:val="both"/>
      </w:pPr>
      <w:r>
        <w:rPr/>
        <w:t>Troxyca</w:t>
      </w:r>
      <w:r>
        <w:rPr>
          <w:spacing w:val="119"/>
        </w:rPr>
        <w:t> </w:t>
      </w:r>
      <w:r>
        <w:rPr/>
        <w:t>ER 是由盐酸羟考酮和盐酸纳曲酮组成的一种新型长效阿片类止痛药物，口</w:t>
      </w:r>
      <w:r>
        <w:rPr>
          <w:spacing w:val="-10"/>
        </w:rPr>
        <w:t>服吸收时，纳曲酮处于隐藏状态，在羟考酮释放发挥作用后纳曲酮才缓慢释放，但如压碎破坏药物，纳曲酮会与羟考酮同时释放，从而达到防止滥用的目的。这款产品旨在阻止成瘾的</w:t>
      </w:r>
      <w:r>
        <w:rPr/>
        <w:t>人通过压碎药物颗粒经由口腔或鼻内途径滥用。</w:t>
      </w:r>
    </w:p>
    <w:p>
      <w:pPr>
        <w:pStyle w:val="Heading3"/>
        <w:tabs>
          <w:tab w:pos="1744" w:val="left" w:leader="none"/>
        </w:tabs>
        <w:spacing w:line="302" w:lineRule="exact"/>
      </w:pPr>
      <w:r>
        <w:rPr/>
        <w:t>Arymo</w:t>
        <w:tab/>
        <w:t>ER</w:t>
      </w:r>
    </w:p>
    <w:p>
      <w:pPr>
        <w:pStyle w:val="BodyText"/>
        <w:spacing w:line="297" w:lineRule="auto" w:before="72"/>
        <w:ind w:right="245"/>
        <w:jc w:val="both"/>
      </w:pPr>
      <w:r>
        <w:rPr>
          <w:spacing w:val="-4"/>
        </w:rPr>
        <w:t>中文名是硫酸吗啡缓释片，来自 </w:t>
      </w:r>
      <w:r>
        <w:rPr/>
        <w:t>Egalet Corporation</w:t>
      </w:r>
      <w:r>
        <w:rPr>
          <w:spacing w:val="-20"/>
        </w:rPr>
        <w:t> 公司，于 </w:t>
      </w:r>
      <w:r>
        <w:rPr/>
        <w:t>2017</w:t>
      </w:r>
      <w:r>
        <w:rPr>
          <w:spacing w:val="-40"/>
        </w:rPr>
        <w:t> 年 </w:t>
      </w:r>
      <w:r>
        <w:rPr/>
        <w:t>1</w:t>
      </w:r>
      <w:r>
        <w:rPr>
          <w:spacing w:val="-30"/>
        </w:rPr>
        <w:t> 月被 </w:t>
      </w:r>
      <w:r>
        <w:rPr/>
        <w:t>FDA</w:t>
      </w:r>
      <w:r>
        <w:rPr>
          <w:spacing w:val="-38"/>
        </w:rPr>
        <w:t> 批</w:t>
      </w:r>
      <w:r>
        <w:rPr/>
        <w:t>准上市。</w:t>
      </w:r>
    </w:p>
    <w:p>
      <w:pPr>
        <w:spacing w:after="0" w:line="297" w:lineRule="auto"/>
        <w:jc w:val="both"/>
        <w:sectPr>
          <w:pgSz w:w="11910" w:h="16850"/>
          <w:pgMar w:header="906" w:footer="607" w:top="1100" w:bottom="800" w:left="860" w:right="900"/>
        </w:sectPr>
      </w:pPr>
    </w:p>
    <w:p>
      <w:pPr>
        <w:pStyle w:val="BodyText"/>
        <w:spacing w:line="297" w:lineRule="auto" w:before="65"/>
        <w:ind w:right="227"/>
        <w:jc w:val="both"/>
      </w:pPr>
      <w:r>
        <w:rPr/>
        <w:t>Arymo</w:t>
      </w:r>
      <w:r>
        <w:rPr>
          <w:spacing w:val="119"/>
        </w:rPr>
        <w:t> </w:t>
      </w:r>
      <w:r>
        <w:rPr/>
        <w:t>ER</w:t>
      </w:r>
      <w:r>
        <w:rPr>
          <w:spacing w:val="-30"/>
        </w:rPr>
        <w:t> 采用 </w:t>
      </w:r>
      <w:r>
        <w:rPr/>
        <w:t>Egalet Corporation</w:t>
      </w:r>
      <w:r>
        <w:rPr>
          <w:spacing w:val="-16"/>
        </w:rPr>
        <w:t> 公司专利技术 </w:t>
      </w:r>
      <w:r>
        <w:rPr/>
        <w:t>Guardian</w:t>
      </w:r>
      <w:r>
        <w:rPr>
          <w:spacing w:val="-8"/>
        </w:rPr>
        <w:t> 开发，这也是首个利用</w:t>
      </w:r>
      <w:r>
        <w:rPr>
          <w:spacing w:val="-13"/>
        </w:rPr>
        <w:t>该技术开发最终获批的药物。该技术通过一种理化屏障，而不是使用阿片受体拮抗剂来达到</w:t>
      </w:r>
      <w:r>
        <w:rPr>
          <w:spacing w:val="-10"/>
        </w:rPr>
        <w:t>遏制滥用效果。体外实验显示，相比不具有遏制滥用功能的硫酸吗啡缓释片，该药物抵抗各类工具切割、碾压和研磨的能力大大提升。因为这种特殊的理化性质，该药物很难被用于注</w:t>
      </w:r>
      <w:r>
        <w:rPr/>
        <w:t>射滥用。所以，Arymo</w:t>
      </w:r>
      <w:r>
        <w:rPr>
          <w:spacing w:val="119"/>
        </w:rPr>
        <w:t> </w:t>
      </w:r>
      <w:r>
        <w:rPr/>
        <w:t>ER</w:t>
      </w:r>
      <w:r>
        <w:rPr>
          <w:spacing w:val="-8"/>
        </w:rPr>
        <w:t> 的防滥途径包括口服、鼻吸入及静脉注射。</w:t>
      </w:r>
    </w:p>
    <w:p>
      <w:pPr>
        <w:pStyle w:val="Heading3"/>
        <w:spacing w:line="300" w:lineRule="exact"/>
        <w:jc w:val="both"/>
      </w:pPr>
      <w:r>
        <w:rPr/>
        <w:t>Vantrela ER</w:t>
      </w:r>
    </w:p>
    <w:p>
      <w:pPr>
        <w:pStyle w:val="BodyText"/>
        <w:spacing w:line="295" w:lineRule="auto" w:before="74"/>
        <w:ind w:right="226"/>
      </w:pPr>
      <w:r>
        <w:rPr>
          <w:spacing w:val="-6"/>
        </w:rPr>
        <w:t>中文名是重酒石酸二氢可待因酮缓释片，来自 </w:t>
      </w:r>
      <w:r>
        <w:rPr/>
        <w:t>Teva</w:t>
      </w:r>
      <w:r>
        <w:rPr>
          <w:spacing w:val="-30"/>
        </w:rPr>
        <w:t> 制药，于 </w:t>
      </w:r>
      <w:r>
        <w:rPr/>
        <w:t>2017</w:t>
      </w:r>
      <w:r>
        <w:rPr>
          <w:spacing w:val="-40"/>
        </w:rPr>
        <w:t> 年 </w:t>
      </w:r>
      <w:r>
        <w:rPr/>
        <w:t>1</w:t>
      </w:r>
      <w:r>
        <w:rPr>
          <w:spacing w:val="-30"/>
        </w:rPr>
        <w:t> 月获 </w:t>
      </w:r>
      <w:r>
        <w:rPr/>
        <w:t>FDA</w:t>
      </w:r>
      <w:r>
        <w:rPr>
          <w:spacing w:val="-19"/>
        </w:rPr>
        <w:t> 批准上</w:t>
      </w:r>
      <w:r>
        <w:rPr/>
        <w:t>市。</w:t>
      </w:r>
    </w:p>
    <w:p>
      <w:pPr>
        <w:pStyle w:val="BodyText"/>
        <w:tabs>
          <w:tab w:pos="2097" w:val="left" w:leader="none"/>
        </w:tabs>
        <w:spacing w:line="297" w:lineRule="auto" w:before="2"/>
        <w:ind w:right="227"/>
      </w:pPr>
      <w:r>
        <w:rPr/>
        <w:t>Vantrela</w:t>
        <w:tab/>
        <w:t>ER</w:t>
      </w:r>
      <w:r>
        <w:rPr>
          <w:spacing w:val="-30"/>
        </w:rPr>
        <w:t> 是继 </w:t>
      </w:r>
      <w:r>
        <w:rPr/>
        <w:t>2014</w:t>
      </w:r>
      <w:r>
        <w:rPr>
          <w:spacing w:val="-40"/>
        </w:rPr>
        <w:t> 年 </w:t>
      </w:r>
      <w:r>
        <w:rPr/>
        <w:t>HysinglaER</w:t>
      </w:r>
      <w:r>
        <w:rPr>
          <w:spacing w:val="-14"/>
        </w:rPr>
        <w:t> 批准后的第二个 </w:t>
      </w:r>
      <w:r>
        <w:rPr/>
        <w:t>ER/LA</w:t>
      </w:r>
      <w:r>
        <w:rPr>
          <w:spacing w:val="-8"/>
        </w:rPr>
        <w:t> 氢可酮产品，该药采用Teva 专利防滥用技术开发，即使用原料药颗粒进行包衣后再压片的产品，包衣材料为乙基</w:t>
      </w:r>
      <w:r>
        <w:rPr>
          <w:spacing w:val="-14"/>
        </w:rPr>
        <w:t>纤维素和羟丙基甲基纤维素，制成的药片不但可以抵抗压碎、溶剂提取，而且压碎后还具有</w:t>
      </w:r>
      <w:r>
        <w:rPr/>
        <w:t>缓释功能，Teva</w:t>
      </w:r>
      <w:r>
        <w:rPr>
          <w:spacing w:val="-8"/>
        </w:rPr>
        <w:t> 在配方中加入了高黏度成分山嵛酸甘油酯，可堵住针孔无法注射，达到防滥用的目的。</w:t>
      </w:r>
    </w:p>
    <w:p>
      <w:pPr>
        <w:pStyle w:val="Heading3"/>
        <w:spacing w:line="302" w:lineRule="exact"/>
      </w:pPr>
      <w:r>
        <w:rPr/>
        <w:t>RoxyBond</w:t>
      </w:r>
    </w:p>
    <w:p>
      <w:pPr>
        <w:pStyle w:val="BodyText"/>
        <w:tabs>
          <w:tab w:pos="5630" w:val="left" w:leader="none"/>
          <w:tab w:pos="6593" w:val="left" w:leader="none"/>
        </w:tabs>
        <w:spacing w:line="297" w:lineRule="auto" w:before="71"/>
        <w:ind w:right="228"/>
      </w:pPr>
      <w:r>
        <w:rPr/>
        <w:t>中文名是盐酸羟考酮速释片，来自</w:t>
      </w:r>
      <w:r>
        <w:rPr>
          <w:spacing w:val="-67"/>
        </w:rPr>
        <w:t> </w:t>
      </w:r>
      <w:r>
        <w:rPr/>
        <w:t>Daiichi</w:t>
        <w:tab/>
        <w:t>Sankyo</w:t>
        <w:tab/>
        <w:t>Inc</w:t>
      </w:r>
      <w:r>
        <w:rPr>
          <w:spacing w:val="-68"/>
        </w:rPr>
        <w:t> </w:t>
      </w:r>
      <w:r>
        <w:rPr/>
        <w:t>公司，于</w:t>
      </w:r>
      <w:r>
        <w:rPr>
          <w:spacing w:val="-65"/>
        </w:rPr>
        <w:t> </w:t>
      </w:r>
      <w:r>
        <w:rPr/>
        <w:t>2017</w:t>
      </w:r>
      <w:r>
        <w:rPr>
          <w:spacing w:val="-66"/>
        </w:rPr>
        <w:t> </w:t>
      </w:r>
      <w:r>
        <w:rPr/>
        <w:t>年</w:t>
      </w:r>
      <w:r>
        <w:rPr>
          <w:spacing w:val="-68"/>
        </w:rPr>
        <w:t> </w:t>
      </w:r>
      <w:r>
        <w:rPr/>
        <w:t>4</w:t>
      </w:r>
      <w:r>
        <w:rPr>
          <w:spacing w:val="-67"/>
        </w:rPr>
        <w:t> </w:t>
      </w:r>
      <w:r>
        <w:rPr/>
        <w:t>月获</w:t>
      </w:r>
      <w:r>
        <w:rPr>
          <w:spacing w:val="-67"/>
        </w:rPr>
        <w:t> </w:t>
      </w:r>
      <w:r>
        <w:rPr>
          <w:spacing w:val="-5"/>
        </w:rPr>
        <w:t>FDA </w:t>
      </w:r>
      <w:r>
        <w:rPr/>
        <w:t>批准上市。</w:t>
      </w:r>
    </w:p>
    <w:p>
      <w:pPr>
        <w:pStyle w:val="BodyText"/>
        <w:spacing w:line="297" w:lineRule="auto"/>
        <w:ind w:right="106"/>
      </w:pPr>
      <w:r>
        <w:rPr/>
        <w:t>RoxyBond</w:t>
      </w:r>
      <w:r>
        <w:rPr>
          <w:spacing w:val="-47"/>
        </w:rPr>
        <w:t> 是 </w:t>
      </w:r>
      <w:r>
        <w:rPr/>
        <w:t>FDA</w:t>
      </w:r>
      <w:r>
        <w:rPr>
          <w:spacing w:val="-13"/>
        </w:rPr>
        <w:t> 批准的第一个具有防滥用特性的速释 </w:t>
      </w:r>
      <w:r>
        <w:rPr/>
        <w:t>IR</w:t>
      </w:r>
      <w:r>
        <w:rPr>
          <w:spacing w:val="-9"/>
        </w:rPr>
        <w:t> 阿片类药物。该药物采用多层</w:t>
      </w:r>
      <w:r>
        <w:rPr>
          <w:spacing w:val="-14"/>
        </w:rPr>
        <w:t>包衣片剂的形式，通过物理及化学方法屏蔽以防滥用。实验数据显示，与其他 </w:t>
      </w:r>
      <w:r>
        <w:rPr/>
        <w:t>IR</w:t>
      </w:r>
      <w:r>
        <w:rPr>
          <w:spacing w:val="-13"/>
        </w:rPr>
        <w:t> 药物相比， </w:t>
      </w:r>
      <w:r>
        <w:rPr/>
        <w:t>RoxyBond</w:t>
      </w:r>
      <w:r>
        <w:rPr>
          <w:spacing w:val="-8"/>
        </w:rPr>
        <w:t> 在抵抗切割、挤压、研磨等人为破坏方面有显著提升。此外，</w:t>
      </w:r>
      <w:r>
        <w:rPr/>
        <w:t>RoxyBond</w:t>
      </w:r>
      <w:r>
        <w:rPr>
          <w:spacing w:val="-12"/>
        </w:rPr>
        <w:t> 可抵抗多种溶剂化学提取；内含的黏性材料还可堵塞针头防止静脉注射。由此，RoxyBond 可减少经静脉和鼻内（鼻吸）途径的滥用。</w:t>
      </w:r>
    </w:p>
    <w:p>
      <w:pPr>
        <w:pStyle w:val="BodyText"/>
        <w:spacing w:line="259" w:lineRule="auto"/>
        <w:ind w:right="230"/>
        <w:rPr>
          <w:rFonts w:ascii="Meiryo" w:eastAsia="Meiryo" w:hint="eastAsia"/>
          <w:b/>
        </w:rPr>
      </w:pPr>
      <w:r>
        <w:rPr>
          <w:spacing w:val="-21"/>
        </w:rPr>
        <w:t>随着 </w:t>
      </w:r>
      <w:r>
        <w:rPr/>
        <w:t>FDA</w:t>
      </w:r>
      <w:r>
        <w:rPr>
          <w:spacing w:val="-15"/>
        </w:rPr>
        <w:t> 防滥用阿片类药物研发指南的发布，相信将有更多的防滥用阿片类药物获批上</w:t>
      </w:r>
      <w:r>
        <w:rPr/>
        <w:t>市，备受关注的阿片类药物滥用问题也将得到有效缓解。</w:t>
      </w:r>
      <w:r>
        <w:rPr>
          <w:rFonts w:ascii="Meiryo" w:eastAsia="Meiryo" w:hint="eastAsia"/>
          <w:b/>
          <w:color w:val="0033CC"/>
        </w:rPr>
        <w:t>[返回目次]</w:t>
      </w:r>
    </w:p>
    <w:p>
      <w:pPr>
        <w:pStyle w:val="Heading2"/>
        <w:tabs>
          <w:tab w:pos="4686" w:val="left" w:leader="none"/>
        </w:tabs>
        <w:spacing w:before="149"/>
        <w:ind w:left="188"/>
        <w:jc w:val="center"/>
      </w:pPr>
      <w:bookmarkStart w:name="_TOC_250007" w:id="45"/>
      <w:bookmarkEnd w:id="45"/>
      <w:r>
        <w:rPr/>
        <w:t>多肽类药物：来自“老毒物”</w:t>
        <w:tab/>
        <w:t>却是“黄药师”</w:t>
      </w:r>
    </w:p>
    <w:p>
      <w:pPr>
        <w:pStyle w:val="Heading3"/>
        <w:spacing w:before="148"/>
        <w:ind w:left="0"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227" w:firstLine="621"/>
        <w:jc w:val="both"/>
      </w:pPr>
      <w:r>
        <w:rPr>
          <w:spacing w:val="-3"/>
        </w:rPr>
        <w:t>地球上一些动物是有毒的，毒液是它们用来防身或攻击的“武器”。但是聪明的人类</w:t>
      </w:r>
      <w:r>
        <w:rPr>
          <w:spacing w:val="-8"/>
        </w:rPr>
        <w:t>把一些毒性很强的物质转化成了有用的甚至能挽救生命的药物，比如肉毒杆菌。但爱美的女</w:t>
      </w:r>
      <w:r>
        <w:rPr>
          <w:spacing w:val="-10"/>
        </w:rPr>
        <w:t>性都知道，通过注射肉毒杆菌来麻痹面部肌肉，可以去掉一些皱纹。其实肉毒杆菌最早被用</w:t>
      </w:r>
      <w:r>
        <w:rPr/>
        <w:t>于眼科疾病的治疗，例如交叉眼和眼睑抽搐，现在还用于防治偏头痛。</w:t>
      </w:r>
    </w:p>
    <w:p>
      <w:pPr>
        <w:pStyle w:val="BodyText"/>
        <w:tabs>
          <w:tab w:pos="5856" w:val="left" w:leader="none"/>
        </w:tabs>
        <w:spacing w:line="297" w:lineRule="auto"/>
        <w:ind w:right="127"/>
      </w:pPr>
      <w:r>
        <w:rPr/>
        <w:t>肉毒杆菌只是众多已被充分利用的有毒物质之一</w:t>
      </w:r>
      <w:r>
        <w:rPr>
          <w:spacing w:val="-104"/>
        </w:rPr>
        <w:t>。</w:t>
      </w:r>
      <w:r>
        <w:rPr/>
        <w:t>科学家们越来越多地把动物界中最致命的物质转化成药物</w:t>
      </w:r>
      <w:r>
        <w:rPr>
          <w:spacing w:val="-34"/>
        </w:rPr>
        <w:t>，</w:t>
      </w:r>
      <w:r>
        <w:rPr/>
        <w:t>只用很少量</w:t>
      </w:r>
      <w:r>
        <w:rPr>
          <w:spacing w:val="-34"/>
        </w:rPr>
        <w:t>，</w:t>
      </w:r>
      <w:r>
        <w:rPr/>
        <w:t>就能起到很好的治疗效果</w:t>
      </w:r>
      <w:r>
        <w:rPr>
          <w:spacing w:val="-34"/>
        </w:rPr>
        <w:t>。</w:t>
      </w:r>
      <w:r>
        <w:rPr/>
        <w:t>动物毒素多肽的分子量相对其他毒素小，具有较高的特异性和分子多样性，由基因直接编码，作用剂量小但毒性很强</w:t>
      </w:r>
      <w:r>
        <w:rPr>
          <w:spacing w:val="-18"/>
        </w:rPr>
        <w:t>， </w:t>
      </w:r>
      <w:r>
        <w:rPr/>
        <w:t>是作用于目标生物体的关键生理成分</w:t>
      </w:r>
      <w:r>
        <w:rPr>
          <w:spacing w:val="-51"/>
        </w:rPr>
        <w:t>。</w:t>
      </w:r>
      <w:r>
        <w:rPr/>
        <w:t>因此</w:t>
      </w:r>
      <w:r>
        <w:rPr>
          <w:spacing w:val="-53"/>
        </w:rPr>
        <w:t>，</w:t>
      </w:r>
      <w:r>
        <w:rPr/>
        <w:t>动物毒素多肽作为药物研发的天然资源被高度重视</w:t>
      </w:r>
      <w:r>
        <w:rPr>
          <w:spacing w:val="-22"/>
        </w:rPr>
        <w:t>，</w:t>
      </w:r>
      <w:r>
        <w:rPr/>
        <w:t>大量来源于动物毒素多肽的药物被美国</w:t>
      </w:r>
      <w:r>
        <w:rPr>
          <w:spacing w:val="-60"/>
        </w:rPr>
        <w:t> </w:t>
      </w:r>
      <w:r>
        <w:rPr/>
        <w:t>FDA</w:t>
        <w:tab/>
        <w:t>批准上市</w:t>
      </w:r>
      <w:r>
        <w:rPr>
          <w:spacing w:val="-22"/>
        </w:rPr>
        <w:t>，</w:t>
      </w:r>
      <w:r>
        <w:rPr/>
        <w:t>还有部分来源于动物毒素的多肽药物正处于临床试验阶段。</w:t>
      </w:r>
    </w:p>
    <w:p>
      <w:pPr>
        <w:pStyle w:val="Heading3"/>
        <w:spacing w:line="300" w:lineRule="exact"/>
      </w:pPr>
      <w:r>
        <w:rPr/>
        <w:t>蛇毒素多肽药物</w:t>
      </w:r>
    </w:p>
    <w:p>
      <w:pPr>
        <w:spacing w:after="0" w:line="300" w:lineRule="exact"/>
        <w:sectPr>
          <w:pgSz w:w="11910" w:h="16850"/>
          <w:pgMar w:header="906" w:footer="607" w:top="1100" w:bottom="800" w:left="860" w:right="900"/>
        </w:sectPr>
      </w:pPr>
    </w:p>
    <w:p>
      <w:pPr>
        <w:pStyle w:val="BodyText"/>
        <w:spacing w:line="295" w:lineRule="auto" w:before="65"/>
        <w:ind w:right="246"/>
      </w:pPr>
      <w:r>
        <w:rPr/>
        <w:t>蛇毒是一种主要由酶和非酶蛋白/多肽组成的混合物，来源于蛇毒素多肽的药物很多已经被应用于临床治疗。</w:t>
      </w:r>
    </w:p>
    <w:p>
      <w:pPr>
        <w:pStyle w:val="BodyText"/>
        <w:spacing w:line="297" w:lineRule="auto" w:before="2"/>
        <w:ind w:right="107"/>
      </w:pPr>
      <w:r>
        <w:rPr>
          <w:spacing w:val="-5"/>
        </w:rPr>
        <w:t>从巴西蝮蛇毒液中提取的一种五肽化合物，是缓激肽的增强因子，对其结构进行裁剪和</w:t>
      </w:r>
      <w:r>
        <w:rPr>
          <w:spacing w:val="-15"/>
        </w:rPr>
        <w:t>最小药效团 </w:t>
      </w:r>
      <w:r>
        <w:rPr/>
        <w:t>Ala-Pro</w:t>
      </w:r>
      <w:r>
        <w:rPr>
          <w:spacing w:val="-14"/>
        </w:rPr>
        <w:t> 二肽修饰，合成了口服药卡托普利。卡托普利通过增加缓激肽活性和抑</w:t>
      </w:r>
      <w:r>
        <w:rPr>
          <w:spacing w:val="-21"/>
        </w:rPr>
        <w:t>制凝血酶来降低血压，是治疗高血压的常规药物。药物学家对卡托普利的结构进行修饰改造， </w:t>
      </w:r>
      <w:r>
        <w:rPr/>
        <w:t>依次开发了依那普利、赖诺普利、雷米普利、福辛普利等药物。</w:t>
      </w:r>
    </w:p>
    <w:p>
      <w:pPr>
        <w:pStyle w:val="BodyText"/>
        <w:spacing w:line="297" w:lineRule="auto"/>
        <w:ind w:right="107"/>
        <w:jc w:val="both"/>
      </w:pPr>
      <w:r>
        <w:rPr>
          <w:spacing w:val="-5"/>
        </w:rPr>
        <w:t>在麟蝰蛇中发现的替罗非班是麟蝰蛇蛇毒蛋白肽模拟物，这是一种抗血小板药物，也称为糖蛋白Ⅱb  /Ⅲa</w:t>
      </w:r>
      <w:r>
        <w:rPr>
          <w:spacing w:val="-11"/>
        </w:rPr>
        <w:t> 抑制剂。另一种抗血小板药物埃替非巴肽几乎与替罗非班同时上市，是</w:t>
      </w:r>
      <w:r>
        <w:rPr>
          <w:spacing w:val="-13"/>
        </w:rPr>
        <w:t>一种合成的环七肽，是模仿东南侏罗纪响尾蛇毒液中的成分，具有较强的解整合素作用。研</w:t>
      </w:r>
      <w:r>
        <w:rPr>
          <w:spacing w:val="-18"/>
        </w:rPr>
        <w:t>究显示，急性冠脉综合征患者使用埃替非巴肽的安全性略优于替罗非班，但疗效无显著差异。</w:t>
      </w:r>
    </w:p>
    <w:p>
      <w:pPr>
        <w:pStyle w:val="BodyText"/>
        <w:spacing w:line="297" w:lineRule="auto"/>
        <w:ind w:right="227"/>
        <w:jc w:val="both"/>
      </w:pPr>
      <w:r>
        <w:rPr>
          <w:spacing w:val="-5"/>
        </w:rPr>
        <w:t>来自眼镜蛇毒的口服抗凝剂 </w:t>
      </w:r>
      <w:r>
        <w:rPr/>
        <w:t>Ximelagatra</w:t>
      </w:r>
      <w:r>
        <w:rPr>
          <w:spacing w:val="-16"/>
        </w:rPr>
        <w:t> 是一种维生素 </w:t>
      </w:r>
      <w:r>
        <w:rPr/>
        <w:t>K</w:t>
      </w:r>
      <w:r>
        <w:rPr>
          <w:spacing w:val="-15"/>
        </w:rPr>
        <w:t> 拮抗剂，已在一些欧洲国家和</w:t>
      </w:r>
      <w:r>
        <w:rPr>
          <w:spacing w:val="-11"/>
        </w:rPr>
        <w:t>南美国家获批上市，但 </w:t>
      </w:r>
      <w:r>
        <w:rPr/>
        <w:t>FDA</w:t>
      </w:r>
      <w:r>
        <w:rPr>
          <w:spacing w:val="-12"/>
        </w:rPr>
        <w:t> 没有批准其上市，原因是丙氨酸氨基转移酶升高可能导致该药物</w:t>
      </w:r>
      <w:r>
        <w:rPr/>
        <w:t>的肝毒性作用增强。因此，2006</w:t>
      </w:r>
      <w:r>
        <w:rPr>
          <w:spacing w:val="-8"/>
        </w:rPr>
        <w:t> 年该化合物的开发被叫停并从市场撤回。</w:t>
      </w:r>
    </w:p>
    <w:p>
      <w:pPr>
        <w:pStyle w:val="BodyText"/>
        <w:spacing w:line="297" w:lineRule="auto"/>
        <w:ind w:right="228"/>
      </w:pPr>
      <w:r>
        <w:rPr>
          <w:spacing w:val="-6"/>
        </w:rPr>
        <w:t>来自绿曼巴蛇毒液的 </w:t>
      </w:r>
      <w:r>
        <w:rPr/>
        <w:t>Cenderitide</w:t>
      </w:r>
      <w:r>
        <w:rPr>
          <w:spacing w:val="-8"/>
        </w:rPr>
        <w:t> 是第一个被发现的毒素利钠肽</w:t>
      </w:r>
      <w:r>
        <w:rPr/>
        <w:t>(NP)</w:t>
      </w:r>
      <w:r>
        <w:rPr>
          <w:spacing w:val="-17"/>
        </w:rPr>
        <w:t>，其对中性内肽酶</w:t>
      </w:r>
      <w:r>
        <w:rPr/>
        <w:t>的降解具有一定的抑制作用，初步临床数据表明，Cenderitide</w:t>
      </w:r>
      <w:r>
        <w:rPr>
          <w:spacing w:val="-8"/>
        </w:rPr>
        <w:t> 具有改善肾功能作用。用Cenderitide</w:t>
      </w:r>
      <w:r>
        <w:rPr>
          <w:spacing w:val="-11"/>
        </w:rPr>
        <w:t> 治疗心力衰竭的患者已完成一系列一期和二期临床试验，但研究者担心该药的</w:t>
      </w:r>
      <w:r>
        <w:rPr/>
        <w:t>不良反应可能超过临床获益。</w:t>
      </w:r>
    </w:p>
    <w:p>
      <w:pPr>
        <w:pStyle w:val="BodyText"/>
        <w:spacing w:line="297" w:lineRule="auto"/>
        <w:ind w:right="305"/>
        <w:jc w:val="both"/>
      </w:pPr>
      <w:r>
        <w:rPr>
          <w:spacing w:val="-5"/>
        </w:rPr>
        <w:t>此外，还有从眼镜蛇蛇毒短链 </w:t>
      </w:r>
      <w:r>
        <w:rPr>
          <w:rFonts w:ascii="Arial" w:hAnsi="Arial" w:eastAsia="Arial"/>
        </w:rPr>
        <w:t>α </w:t>
      </w:r>
      <w:r>
        <w:rPr>
          <w:spacing w:val="-5"/>
        </w:rPr>
        <w:t>-神经毒素中提取出来的 </w:t>
      </w:r>
      <w:r>
        <w:rPr/>
        <w:t>Cobratoxin</w:t>
      </w:r>
      <w:r>
        <w:rPr>
          <w:spacing w:val="-10"/>
        </w:rPr>
        <w:t> 精制而成的镇痛</w:t>
      </w:r>
      <w:r>
        <w:rPr>
          <w:spacing w:val="-2"/>
        </w:rPr>
        <w:t>药物，从台湾眼镜蛇蛇毒中分离出的心脏毒素Ⅲ(也称为细胞毒素Ⅲ)用于阻止 </w:t>
      </w:r>
      <w:r>
        <w:rPr/>
        <w:t>MDA-MB-231 乳腺癌细胞的迁移和侵袭，以及用于止血的双链蛇毒凝血酶等。</w:t>
      </w:r>
    </w:p>
    <w:p>
      <w:pPr>
        <w:pStyle w:val="Heading3"/>
        <w:spacing w:line="304" w:lineRule="exact"/>
      </w:pPr>
      <w:r>
        <w:rPr/>
        <w:t>蝎毒素多肽药物</w:t>
      </w:r>
    </w:p>
    <w:p>
      <w:pPr>
        <w:pStyle w:val="BodyText"/>
        <w:spacing w:line="297" w:lineRule="auto" w:before="55"/>
        <w:ind w:right="227"/>
        <w:jc w:val="both"/>
      </w:pPr>
      <w:r>
        <w:rPr>
          <w:spacing w:val="-8"/>
        </w:rPr>
        <w:t>在我国传统医学中，蝎子是一种宝贵的中药资源，具有熄风镇痉、通络止痛和攻毒散结</w:t>
      </w:r>
      <w:r>
        <w:rPr>
          <w:spacing w:val="-11"/>
        </w:rPr>
        <w:t>的功效，主要用于惊厥、癫痫、痉挛、中风、破伤风等疾病的诊断和治疗。蝎毒液存在于蝎</w:t>
      </w:r>
      <w:r>
        <w:rPr>
          <w:spacing w:val="-8"/>
        </w:rPr>
        <w:t>尾部毒腺组织内，成分复杂，包括神经毒素、细胞毒性肽、蛋白酶以及其他毒性成分，是一</w:t>
      </w:r>
      <w:r>
        <w:rPr>
          <w:spacing w:val="-14"/>
        </w:rPr>
        <w:t>类具有多种生物活性的蛋白质或多肽混合物。这些毒素与离子通道特异性结合，能够阻断通</w:t>
      </w:r>
      <w:r>
        <w:rPr/>
        <w:t>道电流或使门控动力学发生改变，从而改变细胞膜的通透性。</w:t>
      </w:r>
    </w:p>
    <w:p>
      <w:pPr>
        <w:pStyle w:val="BodyText"/>
        <w:spacing w:line="297" w:lineRule="auto"/>
        <w:ind w:right="227"/>
      </w:pPr>
      <w:r>
        <w:rPr>
          <w:spacing w:val="-7"/>
        </w:rPr>
        <w:t>在蝎子毒液中发现的氯毒素多肽，在体外可延缓人脑胶质瘤细胞的活动。委内瑞拉蝎的毒液具有抗菌和抗寄生虫活性作用，在人体外可以抑制利什曼原虫的生长。印度黑蝎的毒素</w:t>
      </w:r>
      <w:r>
        <w:rPr>
          <w:spacing w:val="-21"/>
        </w:rPr>
        <w:t>蛋白 </w:t>
      </w:r>
      <w:r>
        <w:rPr/>
        <w:t>Bengalin，在体外能引起人类白血病细胞的凋亡以及雌性大鼠骨质疏松症生化指标的</w:t>
      </w:r>
      <w:r>
        <w:rPr>
          <w:spacing w:val="-10"/>
        </w:rPr>
        <w:t>改善。蝎毒液中发现的 </w:t>
      </w:r>
      <w:r>
        <w:rPr>
          <w:rFonts w:ascii="Arial" w:hAnsi="Arial" w:eastAsia="Arial"/>
        </w:rPr>
        <w:t>α </w:t>
      </w:r>
      <w:r>
        <w:rPr>
          <w:spacing w:val="-5"/>
        </w:rPr>
        <w:t>-神经毒素，可以延缓神经肌肉连接处钠通道的失活，而钠通道失</w:t>
      </w:r>
      <w:r>
        <w:rPr/>
        <w:t>活可能会增强神经肌肉的反射和气道收缩，理论上可以治疗睡眠呼吸暂停症。</w:t>
      </w:r>
    </w:p>
    <w:p>
      <w:pPr>
        <w:pStyle w:val="Heading3"/>
        <w:spacing w:line="302" w:lineRule="exact"/>
      </w:pPr>
      <w:r>
        <w:rPr/>
        <w:t>海葵毒素多肽药物</w:t>
      </w:r>
    </w:p>
    <w:p>
      <w:pPr>
        <w:pStyle w:val="BodyText"/>
        <w:tabs>
          <w:tab w:pos="4137" w:val="left" w:leader="none"/>
        </w:tabs>
        <w:spacing w:line="297" w:lineRule="auto" w:before="65"/>
        <w:ind w:right="226"/>
      </w:pPr>
      <w:r>
        <w:rPr/>
        <w:t>海葵是现存最古老的有毒动物之一</w:t>
      </w:r>
      <w:r>
        <w:rPr>
          <w:spacing w:val="-51"/>
        </w:rPr>
        <w:t>。</w:t>
      </w:r>
      <w:r>
        <w:rPr/>
        <w:t>海葵与刺胞动物门的其他成员一样</w:t>
      </w:r>
      <w:r>
        <w:rPr>
          <w:spacing w:val="-51"/>
        </w:rPr>
        <w:t>，</w:t>
      </w:r>
      <w:r>
        <w:rPr/>
        <w:t>具有许多特</w:t>
      </w:r>
      <w:r>
        <w:rPr>
          <w:spacing w:val="-15"/>
        </w:rPr>
        <w:t>殊</w:t>
      </w:r>
      <w:r>
        <w:rPr/>
        <w:t>的刺细胞</w:t>
      </w:r>
      <w:r>
        <w:rPr>
          <w:spacing w:val="-51"/>
        </w:rPr>
        <w:t>，</w:t>
      </w:r>
      <w:r>
        <w:rPr/>
        <w:t>广泛分布于动物全身</w:t>
      </w:r>
      <w:r>
        <w:rPr>
          <w:spacing w:val="-51"/>
        </w:rPr>
        <w:t>。</w:t>
      </w:r>
      <w:r>
        <w:rPr/>
        <w:t>从海葵中分离出来的</w:t>
      </w:r>
      <w:r>
        <w:rPr>
          <w:spacing w:val="-60"/>
        </w:rPr>
        <w:t> </w:t>
      </w:r>
      <w:r>
        <w:rPr/>
        <w:t>ShK</w:t>
      </w:r>
      <w:r>
        <w:rPr>
          <w:spacing w:val="-60"/>
        </w:rPr>
        <w:t> </w:t>
      </w:r>
      <w:r>
        <w:rPr/>
        <w:t>毒素是一种有效的</w:t>
      </w:r>
      <w:r>
        <w:rPr>
          <w:spacing w:val="-60"/>
        </w:rPr>
        <w:t> </w:t>
      </w:r>
      <w:r>
        <w:rPr/>
        <w:t>Kv1.3</w:t>
      </w:r>
      <w:r>
        <w:rPr>
          <w:spacing w:val="-60"/>
        </w:rPr>
        <w:t> </w:t>
      </w:r>
      <w:r>
        <w:rPr/>
        <w:t>通道</w:t>
      </w:r>
      <w:r>
        <w:rPr>
          <w:spacing w:val="-15"/>
        </w:rPr>
        <w:t>阻</w:t>
      </w:r>
      <w:r>
        <w:rPr/>
        <w:t>滞剂，Kv1.3</w:t>
      </w:r>
      <w:r>
        <w:rPr>
          <w:spacing w:val="-61"/>
        </w:rPr>
        <w:t> </w:t>
      </w:r>
      <w:r>
        <w:rPr/>
        <w:t>通道在人效应记忆</w:t>
      </w:r>
      <w:r>
        <w:rPr>
          <w:spacing w:val="-60"/>
        </w:rPr>
        <w:t> </w:t>
      </w:r>
      <w:r>
        <w:rPr/>
        <w:t>T</w:t>
        <w:tab/>
        <w:t>细胞的激活(增殖和细胞因子产生)中至关重要，ShK</w:t>
      </w:r>
      <w:r>
        <w:rPr>
          <w:spacing w:val="-60"/>
        </w:rPr>
        <w:t> </w:t>
      </w:r>
      <w:r>
        <w:rPr/>
        <w:t>可治疗</w:t>
      </w:r>
      <w:r>
        <w:rPr>
          <w:spacing w:val="-60"/>
        </w:rPr>
        <w:t> </w:t>
      </w:r>
      <w:r>
        <w:rPr/>
        <w:t>T</w:t>
      </w:r>
      <w:r>
        <w:rPr>
          <w:spacing w:val="-60"/>
        </w:rPr>
        <w:t> </w:t>
      </w:r>
      <w:r>
        <w:rPr/>
        <w:t>细胞介导的自身免疫性疾病</w:t>
      </w:r>
      <w:r>
        <w:rPr>
          <w:spacing w:val="-22"/>
        </w:rPr>
        <w:t>，</w:t>
      </w:r>
      <w:r>
        <w:rPr/>
        <w:t>例如多发性硬化和类风湿性关节炎</w:t>
      </w:r>
      <w:r>
        <w:rPr>
          <w:spacing w:val="-21"/>
        </w:rPr>
        <w:t>。</w:t>
      </w:r>
      <w:r>
        <w:rPr/>
        <w:t>Kv1.3</w:t>
      </w:r>
      <w:r>
        <w:rPr>
          <w:spacing w:val="-60"/>
        </w:rPr>
        <w:t> </w:t>
      </w:r>
      <w:r>
        <w:rPr/>
        <w:t>受体阻滞</w:t>
      </w:r>
      <w:r>
        <w:rPr>
          <w:spacing w:val="-14"/>
        </w:rPr>
        <w:t>剂</w:t>
      </w:r>
      <w:r>
        <w:rPr/>
        <w:t>也被认为是治疗肥胖的靶点，ShK</w:t>
        <w:tab/>
        <w:t>毒素在治疗肥胖和胰岛素抗性中也具有潜在用途。</w:t>
      </w:r>
    </w:p>
    <w:p>
      <w:pPr>
        <w:pStyle w:val="BodyText"/>
        <w:spacing w:line="302" w:lineRule="exact"/>
        <w:ind w:firstLine="0"/>
      </w:pPr>
      <w:r>
        <w:rPr/>
        <w:t>ShK-186</w:t>
      </w:r>
      <w:r>
        <w:rPr>
          <w:spacing w:val="-41"/>
        </w:rPr>
        <w:t> 是 </w:t>
      </w:r>
      <w:r>
        <w:rPr/>
        <w:t>ShK</w:t>
      </w:r>
      <w:r>
        <w:rPr>
          <w:spacing w:val="-13"/>
        </w:rPr>
        <w:t> 毒素的类似物，被称为 </w:t>
      </w:r>
      <w:r>
        <w:rPr/>
        <w:t>Dalazatide</w:t>
      </w:r>
      <w:r>
        <w:rPr>
          <w:spacing w:val="-8"/>
        </w:rPr>
        <w:t> 药物，用于治疗自身免疫性疾病。</w:t>
      </w:r>
    </w:p>
    <w:p>
      <w:pPr>
        <w:spacing w:after="0" w:line="302" w:lineRule="exact"/>
        <w:sectPr>
          <w:pgSz w:w="11910" w:h="16850"/>
          <w:pgMar w:header="906" w:footer="607" w:top="1100" w:bottom="800" w:left="860" w:right="900"/>
        </w:sectPr>
      </w:pPr>
    </w:p>
    <w:p>
      <w:pPr>
        <w:pStyle w:val="Heading3"/>
        <w:spacing w:before="65"/>
      </w:pPr>
      <w:r>
        <w:rPr/>
        <w:t>水蛭毒素多肽药物</w:t>
      </w:r>
    </w:p>
    <w:p>
      <w:pPr>
        <w:pStyle w:val="BodyText"/>
        <w:spacing w:line="297" w:lineRule="auto" w:before="72"/>
        <w:ind w:right="227"/>
        <w:jc w:val="both"/>
      </w:pPr>
      <w:r>
        <w:rPr>
          <w:spacing w:val="-8"/>
        </w:rPr>
        <w:t>水蛭是一味重要的中药，用于治疗脑出血和其他血栓相关疾病。水蛭的唾液腺中有一种</w:t>
      </w:r>
      <w:r>
        <w:rPr>
          <w:spacing w:val="-7"/>
        </w:rPr>
        <w:t>有效的抗凝血剂——水蛭素。水蛭素能抑制血栓的形成，阻止宿主血液凝固。药理学研究表</w:t>
      </w:r>
      <w:r>
        <w:rPr>
          <w:spacing w:val="-12"/>
        </w:rPr>
        <w:t>明，水蛭素具有抗凝、抗血栓、抗动脉粥样硬化、抗血小板聚集、抗肿瘤、抗炎、改善血液</w:t>
      </w:r>
      <w:r>
        <w:rPr/>
        <w:t>流变学以及对脑缺血再灌注损伤的保护等功能。</w:t>
      </w:r>
    </w:p>
    <w:p>
      <w:pPr>
        <w:pStyle w:val="BodyText"/>
        <w:tabs>
          <w:tab w:pos="2653" w:val="left" w:leader="none"/>
          <w:tab w:pos="3554" w:val="left" w:leader="none"/>
          <w:tab w:pos="7978" w:val="left" w:leader="none"/>
        </w:tabs>
        <w:spacing w:line="297" w:lineRule="auto"/>
        <w:ind w:right="228"/>
      </w:pPr>
      <w:r>
        <w:rPr/>
        <w:t>基于水蛭素的抗凝血剂包括重组水蛭素(Lepirudin</w:t>
      </w:r>
      <w:r>
        <w:rPr>
          <w:spacing w:val="-61"/>
        </w:rPr>
        <w:t> </w:t>
      </w:r>
      <w:r>
        <w:rPr/>
        <w:t>和</w:t>
      </w:r>
      <w:r>
        <w:rPr>
          <w:spacing w:val="-60"/>
        </w:rPr>
        <w:t> </w:t>
      </w:r>
      <w:r>
        <w:rPr/>
        <w:t>Desirudin)</w:t>
        <w:tab/>
        <w:t>和水蛭素类似物比伐卢定</w:t>
      </w:r>
      <w:r>
        <w:rPr>
          <w:spacing w:val="-44"/>
        </w:rPr>
        <w:t>。</w:t>
      </w:r>
      <w:r>
        <w:rPr/>
        <w:t>Lepirudin</w:t>
        <w:tab/>
        <w:t>被</w:t>
      </w:r>
      <w:r>
        <w:rPr>
          <w:spacing w:val="-60"/>
        </w:rPr>
        <w:t> </w:t>
      </w:r>
      <w:r>
        <w:rPr/>
        <w:t>FDA</w:t>
        <w:tab/>
        <w:t>批准用于治疗肝素相关性血小板减少症(HIT)和相关的血栓</w:t>
      </w:r>
      <w:r>
        <w:rPr>
          <w:spacing w:val="-16"/>
        </w:rPr>
        <w:t>栓</w:t>
      </w:r>
      <w:r>
        <w:rPr/>
        <w:t>塞性疾病，但由于商业原因于</w:t>
      </w:r>
      <w:r>
        <w:rPr>
          <w:spacing w:val="-60"/>
        </w:rPr>
        <w:t> </w:t>
      </w:r>
      <w:r>
        <w:rPr/>
        <w:t>2012</w:t>
      </w:r>
      <w:r>
        <w:rPr>
          <w:spacing w:val="-60"/>
        </w:rPr>
        <w:t> </w:t>
      </w:r>
      <w:r>
        <w:rPr/>
        <w:t>年被撤销。Disirudin</w:t>
      </w:r>
      <w:r>
        <w:rPr>
          <w:spacing w:val="-60"/>
        </w:rPr>
        <w:t> </w:t>
      </w:r>
      <w:r>
        <w:rPr/>
        <w:t>被</w:t>
      </w:r>
      <w:r>
        <w:rPr>
          <w:spacing w:val="-60"/>
        </w:rPr>
        <w:t> </w:t>
      </w:r>
      <w:r>
        <w:rPr/>
        <w:t>FDA</w:t>
      </w:r>
      <w:r>
        <w:rPr>
          <w:spacing w:val="-60"/>
        </w:rPr>
        <w:t> </w:t>
      </w:r>
      <w:r>
        <w:rPr/>
        <w:t>批准用于预防髋关节后的深静脉血栓栓塞或进行膝关节成形术</w:t>
      </w:r>
      <w:r>
        <w:rPr>
          <w:spacing w:val="-104"/>
        </w:rPr>
        <w:t>。</w:t>
      </w:r>
      <w:r>
        <w:rPr/>
        <w:t>比伐卢定被</w:t>
      </w:r>
      <w:r>
        <w:rPr>
          <w:spacing w:val="-60"/>
        </w:rPr>
        <w:t> </w:t>
      </w:r>
      <w:r>
        <w:rPr/>
        <w:t>FDA</w:t>
      </w:r>
      <w:r>
        <w:rPr>
          <w:spacing w:val="-60"/>
        </w:rPr>
        <w:t> </w:t>
      </w:r>
      <w:r>
        <w:rPr/>
        <w:t>批准用于治疗经皮冠状动脉介入治</w:t>
      </w:r>
      <w:r>
        <w:rPr>
          <w:spacing w:val="-15"/>
        </w:rPr>
        <w:t>疗</w:t>
      </w:r>
      <w:r>
        <w:rPr/>
        <w:t>后不稳定性心绞痛</w:t>
      </w:r>
      <w:r>
        <w:rPr>
          <w:spacing w:val="-4"/>
        </w:rPr>
        <w:t>，HIT</w:t>
      </w:r>
      <w:r>
        <w:rPr>
          <w:spacing w:val="-60"/>
        </w:rPr>
        <w:t> </w:t>
      </w:r>
      <w:r>
        <w:rPr/>
        <w:t>或</w:t>
      </w:r>
      <w:r>
        <w:rPr>
          <w:spacing w:val="-60"/>
        </w:rPr>
        <w:t> </w:t>
      </w:r>
      <w:r>
        <w:rPr/>
        <w:t>HIT</w:t>
      </w:r>
      <w:r>
        <w:rPr>
          <w:spacing w:val="-59"/>
        </w:rPr>
        <w:t> </w:t>
      </w:r>
      <w:r>
        <w:rPr/>
        <w:t>风险升高</w:t>
      </w:r>
      <w:r>
        <w:rPr>
          <w:spacing w:val="-15"/>
        </w:rPr>
        <w:t>。</w:t>
      </w:r>
      <w:r>
        <w:rPr/>
        <w:t>但这些凝血酶抑制剂的使用具有一些缺点</w:t>
      </w:r>
      <w:r>
        <w:rPr>
          <w:spacing w:val="-15"/>
        </w:rPr>
        <w:t>，</w:t>
      </w:r>
      <w:r>
        <w:rPr/>
        <w:t>例</w:t>
      </w:r>
      <w:r>
        <w:rPr>
          <w:spacing w:val="-14"/>
        </w:rPr>
        <w:t>如</w:t>
      </w:r>
      <w:r>
        <w:rPr/>
        <w:t>出血</w:t>
      </w:r>
      <w:r>
        <w:rPr>
          <w:spacing w:val="-27"/>
        </w:rPr>
        <w:t>、</w:t>
      </w:r>
      <w:r>
        <w:rPr/>
        <w:t>对肾功能的强烈依赖</w:t>
      </w:r>
      <w:r>
        <w:rPr>
          <w:spacing w:val="-27"/>
        </w:rPr>
        <w:t>、</w:t>
      </w:r>
      <w:r>
        <w:rPr/>
        <w:t>缺乏解毒剂和反弹高凝状态等</w:t>
      </w:r>
      <w:r>
        <w:rPr>
          <w:spacing w:val="-27"/>
        </w:rPr>
        <w:t>。</w:t>
      </w:r>
      <w:r>
        <w:rPr/>
        <w:t>因此</w:t>
      </w:r>
      <w:r>
        <w:rPr>
          <w:spacing w:val="-24"/>
        </w:rPr>
        <w:t>，</w:t>
      </w:r>
      <w:r>
        <w:rPr/>
        <w:t>迫切需要开发高效且</w:t>
      </w:r>
      <w:r>
        <w:rPr>
          <w:spacing w:val="-15"/>
        </w:rPr>
        <w:t>安</w:t>
      </w:r>
      <w:r>
        <w:rPr/>
        <w:t>全的抗凝血剂水蛭素衍生物。</w:t>
      </w:r>
    </w:p>
    <w:p>
      <w:pPr>
        <w:pStyle w:val="BodyText"/>
        <w:spacing w:line="285" w:lineRule="auto"/>
        <w:ind w:right="227"/>
        <w:jc w:val="both"/>
        <w:rPr>
          <w:rFonts w:ascii="Meiryo" w:eastAsia="Meiryo" w:hint="eastAsia"/>
          <w:b/>
        </w:rPr>
      </w:pPr>
      <w:r>
        <w:rPr>
          <w:spacing w:val="-6"/>
        </w:rPr>
        <w:t>动物毒素多肽类药物在临床应用上已经取得巨大成就，这让更多人意识到动物毒素多肽</w:t>
      </w:r>
      <w:r>
        <w:rPr>
          <w:spacing w:val="-8"/>
        </w:rPr>
        <w:t>类药物研发的巨大潜力。目前还有大量动物毒素未被开发，而许多动物毒素类药物在临床治</w:t>
      </w:r>
      <w:r>
        <w:rPr>
          <w:spacing w:val="-10"/>
        </w:rPr>
        <w:t>疗的有效性、安全性等方面的问题还有待进一步验证，因此，以动物毒素为基础的药物研发</w:t>
      </w:r>
      <w:r>
        <w:rPr/>
        <w:t>同时也具有莫大挑战。</w:t>
      </w:r>
      <w:r>
        <w:rPr>
          <w:rFonts w:ascii="Meiryo" w:eastAsia="Meiryo" w:hint="eastAsia"/>
          <w:b/>
          <w:color w:val="0033CC"/>
        </w:rPr>
        <w:t>[返回目次]</w:t>
      </w:r>
    </w:p>
    <w:p>
      <w:pPr>
        <w:pStyle w:val="Heading2"/>
        <w:spacing w:before="101"/>
      </w:pPr>
      <w:bookmarkStart w:name="_TOC_250006" w:id="46"/>
      <w:bookmarkEnd w:id="46"/>
      <w:r>
        <w:rPr/>
        <w:t>【药师风采】</w:t>
      </w:r>
    </w:p>
    <w:p>
      <w:pPr>
        <w:pStyle w:val="BodyText"/>
        <w:spacing w:before="6"/>
        <w:ind w:left="0" w:firstLine="0"/>
        <w:rPr>
          <w:b/>
          <w:sz w:val="22"/>
        </w:rPr>
      </w:pPr>
    </w:p>
    <w:p>
      <w:pPr>
        <w:pStyle w:val="Heading2"/>
        <w:ind w:left="188"/>
        <w:jc w:val="center"/>
      </w:pPr>
      <w:bookmarkStart w:name="_TOC_250005" w:id="47"/>
      <w:bookmarkEnd w:id="47"/>
      <w:r>
        <w:rPr/>
        <w:t>四川省医学科学院·四川省人民医院——杨勇</w:t>
      </w:r>
    </w:p>
    <w:p>
      <w:pPr>
        <w:pStyle w:val="Heading3"/>
        <w:spacing w:before="220"/>
        <w:ind w:left="184"/>
        <w:jc w:val="center"/>
        <w:rPr>
          <w:rFonts w:ascii="楷体" w:eastAsia="楷体" w:hint="eastAsia"/>
        </w:rPr>
      </w:pPr>
      <w:r>
        <w:rPr>
          <w:rFonts w:ascii="楷体" w:eastAsia="楷体" w:hint="eastAsia"/>
        </w:rPr>
        <w:t>励志寄语：以专业赢得尊重。</w:t>
      </w:r>
    </w:p>
    <w:p>
      <w:pPr>
        <w:pStyle w:val="BodyText"/>
        <w:spacing w:line="297" w:lineRule="auto" w:before="170"/>
        <w:ind w:right="227"/>
        <w:jc w:val="both"/>
      </w:pPr>
      <w:r>
        <w:rPr>
          <w:spacing w:val="-6"/>
        </w:rPr>
        <w:t>杨勇，现任四川省医学科学院</w:t>
      </w:r>
      <w:r>
        <w:rPr>
          <w:spacing w:val="-34"/>
        </w:rPr>
        <w:t>·</w:t>
      </w:r>
      <w:r>
        <w:rPr>
          <w:spacing w:val="-3"/>
        </w:rPr>
        <w:t>四川省人民医院药学部临床药学科主任药师，电子科技</w:t>
      </w:r>
      <w:r>
        <w:rPr>
          <w:spacing w:val="-8"/>
        </w:rPr>
        <w:t>大学医学院硕士生导师，原国家卫计委临床药师培训带教老师，担任四川省抗菌药物专项整</w:t>
      </w:r>
      <w:r>
        <w:rPr>
          <w:spacing w:val="-2"/>
        </w:rPr>
        <w:t>治领导小组办公室秘书，四川省药事管理质量控制中心秘书，从事医院药学 </w:t>
      </w:r>
      <w:r>
        <w:rPr/>
        <w:t>23</w:t>
      </w:r>
      <w:r>
        <w:rPr>
          <w:spacing w:val="-10"/>
        </w:rPr>
        <w:t> 年。熟悉心</w:t>
      </w:r>
      <w:r>
        <w:rPr>
          <w:spacing w:val="-14"/>
        </w:rPr>
        <w:t>血管药物、呼吸系统药物、抗菌药物和妊娠期用药等相关知识和临床应用技能，能较好地结</w:t>
      </w:r>
      <w:r>
        <w:rPr/>
        <w:t>合临床分析，制定个体药物治疗方案。</w:t>
      </w:r>
    </w:p>
    <w:p>
      <w:pPr>
        <w:pStyle w:val="BodyText"/>
        <w:spacing w:line="297" w:lineRule="auto"/>
        <w:ind w:right="125"/>
      </w:pPr>
      <w:r>
        <w:rPr>
          <w:spacing w:val="-6"/>
        </w:rPr>
        <w:t>积极参加医院各种病例讨论，开展妊娠和哺乳期用药安全、呼吸系统与心血管系统慢性</w:t>
      </w:r>
      <w:r>
        <w:rPr>
          <w:spacing w:val="-8"/>
        </w:rPr>
        <w:t>疾病用药指导和药源性疾病的判断与处理，每年为呼吸科提供药物治疗解决方案 </w:t>
      </w:r>
      <w:r>
        <w:rPr/>
        <w:t>100</w:t>
      </w:r>
      <w:r>
        <w:rPr>
          <w:spacing w:val="-20"/>
        </w:rPr>
        <w:t> 余次， </w:t>
      </w:r>
      <w:r>
        <w:rPr>
          <w:spacing w:val="-13"/>
        </w:rPr>
        <w:t>全院会诊 </w:t>
      </w:r>
      <w:r>
        <w:rPr/>
        <w:t>60</w:t>
      </w:r>
      <w:r>
        <w:rPr>
          <w:spacing w:val="-14"/>
        </w:rPr>
        <w:t> 余次，参加疑难 </w:t>
      </w:r>
      <w:r>
        <w:rPr/>
        <w:t>ADR</w:t>
      </w:r>
      <w:r>
        <w:rPr>
          <w:spacing w:val="-18"/>
        </w:rPr>
        <w:t> 诊断与处理 </w:t>
      </w:r>
      <w:r>
        <w:rPr/>
        <w:t>20</w:t>
      </w:r>
      <w:r>
        <w:rPr>
          <w:spacing w:val="-15"/>
        </w:rPr>
        <w:t> 余次。</w:t>
      </w:r>
    </w:p>
    <w:p>
      <w:pPr>
        <w:pStyle w:val="BodyText"/>
        <w:spacing w:line="304" w:lineRule="exact"/>
        <w:ind w:left="897" w:firstLine="0"/>
      </w:pPr>
      <w:r>
        <w:rPr/>
        <w:t>2006</w:t>
      </w:r>
      <w:r>
        <w:rPr>
          <w:spacing w:val="-12"/>
        </w:rPr>
        <w:t> 年带领临床药学团队获得原卫生部临床药师培训基地，医院 </w:t>
      </w:r>
      <w:r>
        <w:rPr/>
        <w:t>2012</w:t>
      </w:r>
      <w:r>
        <w:rPr>
          <w:spacing w:val="-8"/>
        </w:rPr>
        <w:t> 年成为原卫生部</w:t>
      </w:r>
    </w:p>
    <w:p>
      <w:pPr>
        <w:pStyle w:val="BodyText"/>
        <w:spacing w:before="67"/>
        <w:ind w:firstLine="0"/>
      </w:pPr>
      <w:r>
        <w:rPr>
          <w:spacing w:val="-11"/>
        </w:rPr>
        <w:t>确定的全国 </w:t>
      </w:r>
      <w:r>
        <w:rPr/>
        <w:t>12</w:t>
      </w:r>
      <w:r>
        <w:rPr>
          <w:spacing w:val="-8"/>
        </w:rPr>
        <w:t> 家临床药师制试点单位之一和西部地区唯一一家原国家卫计委临床药师师资</w:t>
      </w:r>
    </w:p>
    <w:p>
      <w:pPr>
        <w:pStyle w:val="BodyText"/>
        <w:spacing w:before="74"/>
        <w:ind w:firstLine="0"/>
      </w:pPr>
      <w:r>
        <w:rPr>
          <w:spacing w:val="-10"/>
        </w:rPr>
        <w:t>培训基地。已培养各地学员 </w:t>
      </w:r>
      <w:r>
        <w:rPr/>
        <w:t>200</w:t>
      </w:r>
      <w:r>
        <w:rPr>
          <w:spacing w:val="-19"/>
        </w:rPr>
        <w:t> 名，进修学员 </w:t>
      </w:r>
      <w:r>
        <w:rPr/>
        <w:t>100</w:t>
      </w:r>
      <w:r>
        <w:rPr>
          <w:spacing w:val="-18"/>
        </w:rPr>
        <w:t> 余名，实习学生 </w:t>
      </w:r>
      <w:r>
        <w:rPr/>
        <w:t>100</w:t>
      </w:r>
      <w:r>
        <w:rPr>
          <w:spacing w:val="-10"/>
        </w:rPr>
        <w:t> 余名；在集团医院以</w:t>
      </w:r>
    </w:p>
    <w:p>
      <w:pPr>
        <w:pStyle w:val="BodyText"/>
        <w:spacing w:before="72"/>
        <w:ind w:firstLine="0"/>
      </w:pPr>
      <w:r>
        <w:rPr>
          <w:spacing w:val="-11"/>
        </w:rPr>
        <w:t>及院内讲座 </w:t>
      </w:r>
      <w:r>
        <w:rPr/>
        <w:t>100</w:t>
      </w:r>
      <w:r>
        <w:rPr>
          <w:spacing w:val="-16"/>
        </w:rPr>
        <w:t> 余次，招收研究生 </w:t>
      </w:r>
      <w:r>
        <w:rPr/>
        <w:t>8</w:t>
      </w:r>
      <w:r>
        <w:rPr>
          <w:spacing w:val="-13"/>
        </w:rPr>
        <w:t> 名；受邀在国际、全国、全省、成都市等学术会议进行</w:t>
      </w:r>
    </w:p>
    <w:p>
      <w:pPr>
        <w:pStyle w:val="BodyText"/>
        <w:spacing w:before="72"/>
        <w:ind w:firstLine="0"/>
      </w:pPr>
      <w:r>
        <w:rPr/>
        <w:t>专题讲座 100 余次。</w:t>
      </w:r>
    </w:p>
    <w:p>
      <w:pPr>
        <w:pStyle w:val="BodyText"/>
        <w:spacing w:line="295" w:lineRule="auto" w:before="74"/>
        <w:ind w:right="125"/>
      </w:pPr>
      <w:r>
        <w:rPr>
          <w:spacing w:val="-3"/>
        </w:rPr>
        <w:t>近五年以第一主研申请中国健康促进会课题 </w:t>
      </w:r>
      <w:r>
        <w:rPr/>
        <w:t>1</w:t>
      </w:r>
      <w:r>
        <w:rPr>
          <w:spacing w:val="-20"/>
        </w:rPr>
        <w:t> 项，省卫计委课题 </w:t>
      </w:r>
      <w:r>
        <w:rPr/>
        <w:t>3</w:t>
      </w:r>
      <w:r>
        <w:rPr>
          <w:spacing w:val="-14"/>
        </w:rPr>
        <w:t> 项。以第一作者发表</w:t>
      </w:r>
      <w:r>
        <w:rPr>
          <w:spacing w:val="-30"/>
        </w:rPr>
        <w:t>论文 </w:t>
      </w:r>
      <w:r>
        <w:rPr/>
        <w:t>6</w:t>
      </w:r>
      <w:r>
        <w:rPr>
          <w:spacing w:val="-21"/>
        </w:rPr>
        <w:t> 篇，其中 </w:t>
      </w:r>
      <w:r>
        <w:rPr/>
        <w:t>SCI</w:t>
      </w:r>
      <w:r>
        <w:rPr>
          <w:spacing w:val="-15"/>
        </w:rPr>
        <w:t> 文章 </w:t>
      </w:r>
      <w:r>
        <w:rPr/>
        <w:t>2</w:t>
      </w:r>
      <w:r>
        <w:rPr>
          <w:spacing w:val="-12"/>
        </w:rPr>
        <w:t> 篇，主编和参编专业书籍 </w:t>
      </w:r>
      <w:r>
        <w:rPr/>
        <w:t>6</w:t>
      </w:r>
      <w:r>
        <w:rPr>
          <w:spacing w:val="-8"/>
        </w:rPr>
        <w:t> 部，参编本科教材</w:t>
      </w:r>
      <w:r>
        <w:rPr/>
        <w:t>（人卫版）1</w:t>
      </w:r>
      <w:r>
        <w:rPr>
          <w:spacing w:val="-25"/>
        </w:rPr>
        <w:t> 部。</w:t>
      </w:r>
      <w:r>
        <w:rPr/>
        <w:t>2017</w:t>
      </w:r>
      <w:r>
        <w:rPr>
          <w:spacing w:val="-8"/>
        </w:rPr>
        <w:t> 年参与的“个体化给药平台建设”科研项目获四川省医学科技奖一等奖。</w:t>
      </w:r>
    </w:p>
    <w:p>
      <w:pPr>
        <w:spacing w:after="0" w:line="295" w:lineRule="auto"/>
        <w:sectPr>
          <w:pgSz w:w="11910" w:h="16850"/>
          <w:pgMar w:header="906" w:footer="607" w:top="1100" w:bottom="800" w:left="860" w:right="900"/>
        </w:sectPr>
      </w:pPr>
    </w:p>
    <w:p>
      <w:pPr>
        <w:pStyle w:val="BodyText"/>
        <w:spacing w:line="295" w:lineRule="auto" w:before="65"/>
        <w:ind w:right="246"/>
        <w:jc w:val="both"/>
      </w:pPr>
      <w:r>
        <w:rPr/>
        <w:t>2013</w:t>
      </w:r>
      <w:r>
        <w:rPr>
          <w:spacing w:val="-8"/>
        </w:rPr>
        <w:t> 年获中华医学会临床药学分会“优秀临床药师”奖，</w:t>
      </w:r>
      <w:r>
        <w:rPr/>
        <w:t>2015</w:t>
      </w:r>
      <w:r>
        <w:rPr>
          <w:spacing w:val="-9"/>
        </w:rPr>
        <w:t> 年获四川省卫计委第十</w:t>
      </w:r>
      <w:r>
        <w:rPr/>
        <w:t>一批“学术技术带头人后备人选”，2016</w:t>
      </w:r>
      <w:r>
        <w:rPr>
          <w:spacing w:val="-8"/>
        </w:rPr>
        <w:t> 年获中国医院协会“临床药师带教之星”奖，获医学科学报社“全国十佳青年临床药师”奖。</w:t>
      </w:r>
    </w:p>
    <w:p>
      <w:pPr>
        <w:pStyle w:val="BodyText"/>
        <w:spacing w:line="297" w:lineRule="auto" w:before="5"/>
        <w:ind w:right="227"/>
        <w:jc w:val="both"/>
      </w:pPr>
      <w:r>
        <w:rPr>
          <w:spacing w:val="-6"/>
        </w:rPr>
        <w:t>兼任中华医学会临床药学分会青年委员会副主任委员，中国药理学会化疗药理专业委员</w:t>
      </w:r>
      <w:r>
        <w:rPr>
          <w:spacing w:val="-11"/>
        </w:rPr>
        <w:t>会委员，中国老年医学学会感染诊治与合理用药学术工作委员会委员，四川省医学会临床药</w:t>
      </w:r>
      <w:r>
        <w:rPr>
          <w:spacing w:val="-9"/>
        </w:rPr>
        <w:t>学专业委员会常委，四川省药理学学会治疗药物监测研究专业委员会副主任委员，成都市医</w:t>
      </w:r>
      <w:r>
        <w:rPr>
          <w:spacing w:val="-4"/>
        </w:rPr>
        <w:t>院药事管理协会常务理事；《中国药学》</w:t>
      </w:r>
      <w:r>
        <w:rPr/>
        <w:t>（英文版</w:t>
      </w:r>
      <w:r>
        <w:rPr>
          <w:spacing w:val="-24"/>
        </w:rPr>
        <w:t>）</w:t>
      </w:r>
      <w:r>
        <w:rPr>
          <w:spacing w:val="-6"/>
        </w:rPr>
        <w:t>《中国医药》《药学与临床研究》杂志</w:t>
      </w:r>
    </w:p>
    <w:p>
      <w:pPr>
        <w:spacing w:line="413" w:lineRule="exact" w:before="0"/>
        <w:ind w:left="417" w:right="0" w:firstLine="0"/>
        <w:jc w:val="left"/>
        <w:rPr>
          <w:rFonts w:ascii="Meiryo" w:eastAsia="Meiryo" w:hint="eastAsia"/>
          <w:b/>
          <w:sz w:val="24"/>
        </w:rPr>
      </w:pPr>
      <w:r>
        <w:rPr>
          <w:sz w:val="24"/>
        </w:rPr>
        <w:t>编委，《中国药房》《药品评价》等杂志审稿人。</w:t>
      </w:r>
      <w:r>
        <w:rPr>
          <w:rFonts w:ascii="Meiryo" w:eastAsia="Meiryo" w:hint="eastAsia"/>
          <w:b/>
          <w:color w:val="0033CC"/>
          <w:sz w:val="24"/>
        </w:rPr>
        <w:t>[返回目次]</w:t>
      </w:r>
    </w:p>
    <w:p>
      <w:pPr>
        <w:pStyle w:val="Heading2"/>
        <w:spacing w:before="193"/>
        <w:ind w:left="185"/>
        <w:jc w:val="center"/>
      </w:pPr>
      <w:bookmarkStart w:name="_TOC_250004" w:id="48"/>
      <w:bookmarkEnd w:id="48"/>
      <w:r>
        <w:rPr/>
        <w:t>邛崃市医疗中心医院——曾明辉</w:t>
      </w:r>
    </w:p>
    <w:p>
      <w:pPr>
        <w:pStyle w:val="Heading3"/>
        <w:spacing w:before="222"/>
        <w:ind w:left="179"/>
        <w:jc w:val="center"/>
        <w:rPr>
          <w:rFonts w:ascii="楷体" w:eastAsia="楷体" w:hint="eastAsia"/>
        </w:rPr>
      </w:pPr>
      <w:r>
        <w:rPr>
          <w:rFonts w:ascii="楷体" w:eastAsia="楷体" w:hint="eastAsia"/>
        </w:rPr>
        <w:t>励志寄语：世上最重要的事，不在于我们在何处，而在于我们朝着什么方向走。</w:t>
      </w:r>
    </w:p>
    <w:p>
      <w:pPr>
        <w:pStyle w:val="BodyText"/>
        <w:spacing w:line="312" w:lineRule="auto" w:before="184"/>
        <w:ind w:right="127"/>
      </w:pPr>
      <w:r>
        <w:rPr>
          <w:spacing w:val="-2"/>
        </w:rPr>
        <w:t>曾明辉，现任邛崃市医疗中心医院药学部主任，主任药师，从事药学工作 </w:t>
      </w:r>
      <w:r>
        <w:rPr/>
        <w:t>35</w:t>
      </w:r>
      <w:r>
        <w:rPr>
          <w:spacing w:val="-12"/>
        </w:rPr>
        <w:t> 年。始终坚持以“一个中心，两个重点”为出发点，即以强化药学服务能力为中心，以完善临床药师</w:t>
      </w:r>
      <w:r>
        <w:rPr>
          <w:spacing w:val="-11"/>
        </w:rPr>
        <w:t>制、加强抗菌药物合理应用为重点，深入开展药学工作；坚持“团结协作、爱岗敬业、开拓</w:t>
      </w:r>
      <w:r>
        <w:rPr>
          <w:spacing w:val="-12"/>
        </w:rPr>
        <w:t>创新”的工作理念，重视发展与创新，不断规范药房建设，逐步使药事管理工作向标准化、</w:t>
      </w:r>
      <w:r>
        <w:rPr>
          <w:spacing w:val="-9"/>
        </w:rPr>
        <w:t>规范化迈进；坚持到临床一线参与临床工作，以病人为中心，医药护团队协作，更好地服务于患者。</w:t>
      </w:r>
    </w:p>
    <w:p>
      <w:pPr>
        <w:pStyle w:val="BodyText"/>
        <w:spacing w:line="312" w:lineRule="auto" w:before="2"/>
        <w:ind w:right="226"/>
        <w:jc w:val="both"/>
      </w:pPr>
      <w:r>
        <w:rPr>
          <w:spacing w:val="-9"/>
        </w:rPr>
        <w:t>作为学科带头人，加强学科梯队建设，带出了一支结构合理、年富力强的学科梯队；医</w:t>
      </w:r>
      <w:r>
        <w:rPr>
          <w:spacing w:val="-30"/>
        </w:rPr>
        <w:t>院 </w:t>
      </w:r>
      <w:r>
        <w:rPr/>
        <w:t>2017</w:t>
      </w:r>
      <w:r>
        <w:rPr>
          <w:spacing w:val="-41"/>
        </w:rPr>
        <w:t> 年 </w:t>
      </w:r>
      <w:r>
        <w:rPr/>
        <w:t>7</w:t>
      </w:r>
      <w:r>
        <w:rPr>
          <w:spacing w:val="-8"/>
        </w:rPr>
        <w:t> 月接受成都市医学重点专科建设项目评审，成为成都市唯一一家临床药学重点</w:t>
      </w:r>
      <w:r>
        <w:rPr>
          <w:spacing w:val="-14"/>
        </w:rPr>
        <w:t>专科建设单位。重视科研平台建设与人才培养，与四川省人民医院药学部签订了科研合作协</w:t>
      </w:r>
      <w:r>
        <w:rPr>
          <w:spacing w:val="-11"/>
        </w:rPr>
        <w:t>议，促进科研能力的提升。现为成都药学会《医院处方分析项目》、四川省药事管理质量控</w:t>
      </w:r>
      <w:r>
        <w:rPr/>
        <w:t>制中心《四川省抗菌药物导向计划（ASP）》项目单位。</w:t>
      </w:r>
    </w:p>
    <w:p>
      <w:pPr>
        <w:pStyle w:val="BodyText"/>
        <w:spacing w:line="312" w:lineRule="auto"/>
        <w:ind w:right="227"/>
      </w:pPr>
      <w:r>
        <w:rPr>
          <w:spacing w:val="-7"/>
        </w:rPr>
        <w:t>为促进分级诊疗和医联体建设，主动下基层指导药学工作，采用各种方式举办药事管理</w:t>
      </w:r>
      <w:r>
        <w:rPr/>
        <w:t>及合理用药培训讲座，提升了辖区内药事管理水平及服务能力。2013</w:t>
      </w:r>
      <w:r>
        <w:rPr>
          <w:spacing w:val="-8"/>
        </w:rPr>
        <w:t> 年以来共举办省级和</w:t>
      </w:r>
      <w:r>
        <w:rPr>
          <w:spacing w:val="-13"/>
        </w:rPr>
        <w:t>市级继续医学教育项目 </w:t>
      </w:r>
      <w:r>
        <w:rPr/>
        <w:t>6</w:t>
      </w:r>
      <w:r>
        <w:rPr>
          <w:spacing w:val="-20"/>
        </w:rPr>
        <w:t> 项。</w:t>
      </w:r>
    </w:p>
    <w:p>
      <w:pPr>
        <w:pStyle w:val="BodyText"/>
        <w:spacing w:line="312" w:lineRule="auto" w:before="2"/>
        <w:ind w:right="109"/>
      </w:pPr>
      <w:r>
        <w:rPr>
          <w:spacing w:val="-9"/>
        </w:rPr>
        <w:t>发表学术论文 </w:t>
      </w:r>
      <w:r>
        <w:rPr/>
        <w:t>50</w:t>
      </w:r>
      <w:r>
        <w:rPr>
          <w:spacing w:val="-16"/>
        </w:rPr>
        <w:t> 余篇，已完成四川省卫生厅科研课题、四川省中医药管理局科研课题、</w:t>
      </w:r>
      <w:r>
        <w:rPr>
          <w:spacing w:val="-6"/>
        </w:rPr>
        <w:t>成都药学会科研课题各 </w:t>
      </w:r>
      <w:r>
        <w:rPr/>
        <w:t>1</w:t>
      </w:r>
      <w:r>
        <w:rPr>
          <w:spacing w:val="-16"/>
        </w:rPr>
        <w:t> 项。主持在研科研课题 </w:t>
      </w:r>
      <w:r>
        <w:rPr/>
        <w:t>3</w:t>
      </w:r>
      <w:r>
        <w:rPr>
          <w:spacing w:val="-47"/>
        </w:rPr>
        <w:t> 项</w:t>
      </w:r>
      <w:r>
        <w:rPr/>
        <w:t>（</w:t>
      </w:r>
      <w:r>
        <w:rPr>
          <w:spacing w:val="-4"/>
        </w:rPr>
        <w:t>成都市卫计委课题、成都药学会赞帮</w:t>
      </w:r>
      <w:r>
        <w:rPr>
          <w:spacing w:val="-8"/>
        </w:rPr>
        <w:t>基金课题和四川省中医药管理局课题各 </w:t>
      </w:r>
      <w:r>
        <w:rPr/>
        <w:t>1</w:t>
      </w:r>
      <w:r>
        <w:rPr>
          <w:spacing w:val="-30"/>
        </w:rPr>
        <w:t> 项</w:t>
      </w:r>
      <w:r>
        <w:rPr>
          <w:spacing w:val="-34"/>
        </w:rPr>
        <w:t>），</w:t>
      </w:r>
      <w:r>
        <w:rPr>
          <w:spacing w:val="-7"/>
        </w:rPr>
        <w:t>获得国家发明专利 </w:t>
      </w:r>
      <w:r>
        <w:rPr/>
        <w:t>2</w:t>
      </w:r>
      <w:r>
        <w:rPr>
          <w:spacing w:val="-11"/>
        </w:rPr>
        <w:t> 项，四川省人民政府科</w:t>
      </w:r>
    </w:p>
    <w:p>
      <w:pPr>
        <w:pStyle w:val="BodyText"/>
        <w:ind w:firstLine="0"/>
      </w:pPr>
      <w:r>
        <w:rPr/>
        <w:t>技进步奖三等奖 1 项。</w:t>
      </w:r>
    </w:p>
    <w:p>
      <w:pPr>
        <w:pStyle w:val="BodyText"/>
        <w:spacing w:line="312" w:lineRule="auto" w:before="94"/>
        <w:ind w:right="111"/>
      </w:pPr>
      <w:r>
        <w:rPr>
          <w:spacing w:val="-10"/>
        </w:rPr>
        <w:t>曾被评为医院“优秀共产党员”，</w:t>
      </w:r>
      <w:r>
        <w:rPr>
          <w:spacing w:val="-20"/>
        </w:rPr>
        <w:t>2015</w:t>
      </w:r>
      <w:r>
        <w:rPr>
          <w:spacing w:val="-14"/>
        </w:rPr>
        <w:t> 年获四川省医院协会“医院药剂科管理优秀奖”， </w:t>
      </w:r>
      <w:r>
        <w:rPr/>
        <w:t>2016</w:t>
      </w:r>
      <w:r>
        <w:rPr>
          <w:spacing w:val="-8"/>
        </w:rPr>
        <w:t> 年获得中国药学会全国医药经济信息网“信息工作先进单位”，</w:t>
      </w:r>
      <w:r>
        <w:rPr/>
        <w:t>2017</w:t>
      </w:r>
      <w:r>
        <w:rPr>
          <w:spacing w:val="-8"/>
        </w:rPr>
        <w:t> 年被评为邛崃市优秀卫生人才，四次被评为医院年度科研先进个人。</w:t>
      </w:r>
    </w:p>
    <w:p>
      <w:pPr>
        <w:pStyle w:val="BodyText"/>
        <w:spacing w:line="300" w:lineRule="auto" w:before="1"/>
        <w:ind w:right="227"/>
        <w:jc w:val="both"/>
        <w:rPr>
          <w:rFonts w:ascii="Meiryo" w:eastAsia="Meiryo" w:hint="eastAsia"/>
          <w:b/>
        </w:rPr>
      </w:pPr>
      <w:r>
        <w:rPr>
          <w:spacing w:val="-6"/>
        </w:rPr>
        <w:t>兼任中国医药教育协会临床合理用药专业委员会委员，四川省药学会临床药学专业委员</w:t>
      </w:r>
      <w:r>
        <w:rPr>
          <w:spacing w:val="-10"/>
        </w:rPr>
        <w:t>会委员，四川省医学会临床药学专业委员会常务委员，成都药学会常务理事、医院药学专业</w:t>
      </w:r>
      <w:r>
        <w:rPr>
          <w:spacing w:val="-9"/>
        </w:rPr>
        <w:t>委员会委员，成都市药事管理质量控制中心专家，邛崃市药事质控中心专家组组长，《实用</w:t>
      </w:r>
      <w:r>
        <w:rPr/>
        <w:t>医院临床杂志》编委等。</w:t>
      </w:r>
      <w:r>
        <w:rPr>
          <w:rFonts w:ascii="Meiryo" w:eastAsia="Meiryo" w:hint="eastAsia"/>
          <w:b/>
          <w:color w:val="0033CC"/>
        </w:rPr>
        <w:t>[返回目次]</w:t>
      </w:r>
    </w:p>
    <w:p>
      <w:pPr>
        <w:spacing w:after="0" w:line="300" w:lineRule="auto"/>
        <w:jc w:val="both"/>
        <w:rPr>
          <w:rFonts w:ascii="Meiryo" w:eastAsia="Meiryo" w:hint="eastAsia"/>
        </w:rPr>
        <w:sectPr>
          <w:pgSz w:w="11910" w:h="16850"/>
          <w:pgMar w:header="906" w:footer="607" w:top="1100" w:bottom="800" w:left="860" w:right="900"/>
        </w:sectPr>
      </w:pPr>
    </w:p>
    <w:p>
      <w:pPr>
        <w:pStyle w:val="Heading2"/>
        <w:spacing w:line="395" w:lineRule="exact"/>
        <w:ind w:left="180"/>
        <w:jc w:val="center"/>
      </w:pPr>
      <w:bookmarkStart w:name="_TOC_250003" w:id="49"/>
      <w:bookmarkEnd w:id="49"/>
      <w:r>
        <w:rPr/>
        <w:t>贵州医科大学附属医院——杨继红</w:t>
      </w:r>
    </w:p>
    <w:p>
      <w:pPr>
        <w:pStyle w:val="Heading3"/>
        <w:spacing w:before="220"/>
        <w:ind w:left="182"/>
        <w:jc w:val="center"/>
        <w:rPr>
          <w:rFonts w:ascii="楷体" w:eastAsia="楷体" w:hint="eastAsia"/>
        </w:rPr>
      </w:pPr>
      <w:r>
        <w:rPr>
          <w:rFonts w:ascii="楷体" w:eastAsia="楷体" w:hint="eastAsia"/>
        </w:rPr>
        <w:t>励志寄语：对社会有所贡献，才是精彩的人生，有意义的人生！</w:t>
      </w:r>
    </w:p>
    <w:p>
      <w:pPr>
        <w:pStyle w:val="BodyText"/>
        <w:spacing w:line="312" w:lineRule="auto" w:before="184"/>
        <w:ind w:right="227"/>
        <w:jc w:val="both"/>
      </w:pPr>
      <w:r>
        <w:rPr/>
        <w:t>杨继红,现任贵州医科大学附属医院药剂科副主任，主任药师，硕士生导师，从事药学</w:t>
      </w:r>
      <w:r>
        <w:rPr>
          <w:spacing w:val="-20"/>
        </w:rPr>
        <w:t>工作 </w:t>
      </w:r>
      <w:r>
        <w:rPr/>
        <w:t>32</w:t>
      </w:r>
      <w:r>
        <w:rPr>
          <w:spacing w:val="-8"/>
        </w:rPr>
        <w:t> 年。主要负责医院药事管理及医院医疗质量检查、静脉配置中心、临床药学、临床</w:t>
      </w:r>
      <w:r>
        <w:rPr>
          <w:spacing w:val="-14"/>
        </w:rPr>
        <w:t>药师培训基地等工作。承担医院医务人员抗菌药物及药品不良反应知识培训、抗菌药物临床</w:t>
      </w:r>
      <w:r>
        <w:rPr>
          <w:spacing w:val="-8"/>
        </w:rPr>
        <w:t>应用监测与管理、药物利用评价、药品不良反应监测、责任药师病区药品质量管理、医院处</w:t>
      </w:r>
      <w:r>
        <w:rPr>
          <w:spacing w:val="-14"/>
        </w:rPr>
        <w:t>方点评审核、药物咨询、药师继续教育等工作，并担任贵州医科大学药学院临床药学教研室</w:t>
      </w:r>
    </w:p>
    <w:p>
      <w:pPr>
        <w:pStyle w:val="BodyText"/>
        <w:spacing w:before="3"/>
        <w:ind w:firstLine="0"/>
      </w:pPr>
      <w:r>
        <w:rPr/>
        <w:t>《临床药学导论》及《临床药物治疗学》两门课程负责人并参与授课。</w:t>
      </w:r>
    </w:p>
    <w:p>
      <w:pPr>
        <w:pStyle w:val="BodyText"/>
        <w:spacing w:line="312" w:lineRule="auto" w:before="92"/>
        <w:ind w:right="227"/>
        <w:jc w:val="both"/>
      </w:pPr>
      <w:r>
        <w:rPr>
          <w:spacing w:val="-6"/>
        </w:rPr>
        <w:t>积极开展医院及学会各项学术活动并作为专家进行讲座；参加贵州省卫计委大型义诊活</w:t>
      </w:r>
      <w:r>
        <w:rPr>
          <w:spacing w:val="-11"/>
        </w:rPr>
        <w:t>动，在省卫计委领导下组织开展和参加省抗菌药物专项检查活动；参与省卫计委医院等级评</w:t>
      </w:r>
      <w:r>
        <w:rPr>
          <w:spacing w:val="-8"/>
        </w:rPr>
        <w:t>审及基层医院工作指导、基本药物调研、省药事管理质控中心数据上报、省及市级医疗事故</w:t>
      </w:r>
      <w:r>
        <w:rPr>
          <w:spacing w:val="-10"/>
        </w:rPr>
        <w:t>鉴定、省及市级食药监局不良反应监测中上报质量评价工作、省人社厅医保用药评估、省科</w:t>
      </w:r>
      <w:r>
        <w:rPr/>
        <w:t>技厅科研资助项目评审等工作。</w:t>
      </w:r>
    </w:p>
    <w:p>
      <w:pPr>
        <w:pStyle w:val="BodyText"/>
        <w:spacing w:line="312" w:lineRule="auto" w:before="2"/>
        <w:ind w:right="245"/>
        <w:jc w:val="both"/>
      </w:pPr>
      <w:r>
        <w:rPr>
          <w:spacing w:val="-4"/>
        </w:rPr>
        <w:t>积极培养人才，近年来培养临床药师 </w:t>
      </w:r>
      <w:r>
        <w:rPr/>
        <w:t>10</w:t>
      </w:r>
      <w:r>
        <w:rPr>
          <w:spacing w:val="-11"/>
        </w:rPr>
        <w:t> 人获得资格证书，临床药师培训基地有 </w:t>
      </w:r>
      <w:r>
        <w:rPr/>
        <w:t>8</w:t>
      </w:r>
      <w:r>
        <w:rPr>
          <w:spacing w:val="-26"/>
        </w:rPr>
        <w:t> 个专</w:t>
      </w:r>
      <w:r>
        <w:rPr/>
        <w:t>业（抗感染药物、呼吸内科、心血管内科、消化内科、ICU、抗凝药物、肾内科、儿科</w:t>
      </w:r>
      <w:r>
        <w:rPr>
          <w:spacing w:val="-8"/>
        </w:rPr>
        <w:t>）， </w:t>
      </w:r>
      <w:r>
        <w:rPr>
          <w:spacing w:val="-6"/>
        </w:rPr>
        <w:t>近年培养临床药师学员 </w:t>
      </w:r>
      <w:r>
        <w:rPr/>
        <w:t>47</w:t>
      </w:r>
      <w:r>
        <w:rPr>
          <w:spacing w:val="-9"/>
        </w:rPr>
        <w:t> 人。鼓励医院药师和临床药师积极参加各项知识培训，提高药师</w:t>
      </w:r>
      <w:r>
        <w:rPr/>
        <w:t>专业素养和人文素养，更好地做好患者的药事服务工作。</w:t>
      </w:r>
    </w:p>
    <w:p>
      <w:pPr>
        <w:pStyle w:val="BodyText"/>
        <w:ind w:left="897" w:firstLine="0"/>
        <w:jc w:val="both"/>
      </w:pPr>
      <w:r>
        <w:rPr/>
        <w:t>近三年以通讯作者发表文章 4 篇，其中核心期刊 3 篇，主持贵阳市科学技术局项目 1</w:t>
      </w:r>
    </w:p>
    <w:p>
      <w:pPr>
        <w:pStyle w:val="BodyText"/>
        <w:spacing w:before="93"/>
        <w:ind w:firstLine="0"/>
        <w:jc w:val="both"/>
      </w:pPr>
      <w:r>
        <w:rPr/>
        <w:t>项，参与贵州省科学技术厅项目 3 项，参与原国家食品药品监督管理总局药品评价中心、国</w:t>
      </w:r>
    </w:p>
    <w:p>
      <w:pPr>
        <w:pStyle w:val="BodyText"/>
        <w:spacing w:before="94"/>
        <w:ind w:firstLine="0"/>
        <w:jc w:val="both"/>
      </w:pPr>
      <w:r>
        <w:rPr/>
        <w:t>家药品不良反应监测中心研究开发专项项目各 1 项。</w:t>
      </w:r>
    </w:p>
    <w:p>
      <w:pPr>
        <w:pStyle w:val="BodyText"/>
        <w:spacing w:before="91"/>
        <w:ind w:left="897" w:firstLine="0"/>
        <w:jc w:val="both"/>
      </w:pPr>
      <w:r>
        <w:rPr/>
        <w:t>带领团队获得 2015 年度贵州医科大学附属医院药品不良反应监测上报工作优秀集体，</w:t>
      </w:r>
    </w:p>
    <w:p>
      <w:pPr>
        <w:pStyle w:val="BodyText"/>
        <w:spacing w:line="312" w:lineRule="auto" w:before="93"/>
        <w:ind w:right="108" w:firstLine="0"/>
        <w:jc w:val="both"/>
      </w:pPr>
      <w:r>
        <w:rPr/>
        <w:t>2016</w:t>
      </w:r>
      <w:r>
        <w:rPr>
          <w:spacing w:val="-8"/>
        </w:rPr>
        <w:t> 年贵阳市食品药品监督管理局、贵阳市卫生和计划生育委员会“二品一械”安全性监</w:t>
      </w:r>
      <w:r>
        <w:rPr>
          <w:spacing w:val="-9"/>
        </w:rPr>
        <w:t>测工作先进单位，个人被评为医院“优秀党务工作者”，</w:t>
      </w:r>
      <w:r>
        <w:rPr>
          <w:spacing w:val="-4"/>
        </w:rPr>
        <w:t>2017</w:t>
      </w:r>
      <w:r>
        <w:rPr>
          <w:spacing w:val="-9"/>
        </w:rPr>
        <w:t> 年被评为医院优秀工会干部。</w:t>
      </w:r>
    </w:p>
    <w:p>
      <w:pPr>
        <w:pStyle w:val="BodyText"/>
        <w:spacing w:line="312" w:lineRule="auto"/>
        <w:ind w:right="127"/>
      </w:pPr>
      <w:r>
        <w:rPr>
          <w:spacing w:val="-1"/>
        </w:rPr>
        <w:t>兼任中国医院协会医院药事管理专业委员会委员，贵州省药学会医院药学、临床药学、</w:t>
      </w:r>
      <w:r>
        <w:rPr>
          <w:spacing w:val="-5"/>
        </w:rPr>
        <w:t>医院药物分析专业委员会副主任委员，贵州省医学会临床药学分会副主任委员兼秘书，贵州</w:t>
      </w:r>
      <w:r>
        <w:rPr>
          <w:spacing w:val="-9"/>
        </w:rPr>
        <w:t>省医院协会药事管理专业委员会副主任委员兼秘书长，贵州省药师协会理事，中日医学科技</w:t>
      </w:r>
      <w:r>
        <w:rPr>
          <w:spacing w:val="-14"/>
        </w:rPr>
        <w:t>交流协会药学专业委员会委员，贵州省药事管理质量控制中心委员，贵州省药械安全性监测</w:t>
      </w:r>
    </w:p>
    <w:p>
      <w:pPr>
        <w:spacing w:line="421" w:lineRule="exact" w:before="0"/>
        <w:ind w:left="417" w:right="0" w:firstLine="0"/>
        <w:jc w:val="left"/>
        <w:rPr>
          <w:rFonts w:ascii="Meiryo" w:eastAsia="Meiryo" w:hint="eastAsia"/>
          <w:b/>
          <w:sz w:val="24"/>
        </w:rPr>
      </w:pPr>
      <w:r>
        <w:rPr>
          <w:sz w:val="24"/>
        </w:rPr>
        <w:t>专家，《中国药房》杂志编委。</w:t>
      </w:r>
      <w:r>
        <w:rPr>
          <w:rFonts w:ascii="Meiryo" w:eastAsia="Meiryo" w:hint="eastAsia"/>
          <w:b/>
          <w:color w:val="0033CC"/>
          <w:sz w:val="24"/>
        </w:rPr>
        <w:t>[返回目次]</w:t>
      </w:r>
    </w:p>
    <w:p>
      <w:pPr>
        <w:pStyle w:val="Heading2"/>
        <w:spacing w:before="199"/>
        <w:ind w:left="188"/>
        <w:jc w:val="center"/>
      </w:pPr>
      <w:bookmarkStart w:name="_TOC_250002" w:id="50"/>
      <w:bookmarkEnd w:id="50"/>
      <w:r>
        <w:rPr/>
        <w:t>黔西南布依族苗族自治州人民医院——黄容</w:t>
      </w:r>
    </w:p>
    <w:p>
      <w:pPr>
        <w:pStyle w:val="Heading3"/>
        <w:spacing w:before="220"/>
        <w:ind w:left="182"/>
        <w:jc w:val="center"/>
        <w:rPr>
          <w:rFonts w:ascii="楷体" w:eastAsia="楷体" w:hint="eastAsia"/>
        </w:rPr>
      </w:pPr>
      <w:r>
        <w:rPr>
          <w:rFonts w:ascii="楷体" w:eastAsia="楷体" w:hint="eastAsia"/>
        </w:rPr>
        <w:t>励志寄语：任何业绩的质变都来自于量变的积累。</w:t>
      </w:r>
    </w:p>
    <w:p>
      <w:pPr>
        <w:pStyle w:val="BodyText"/>
        <w:spacing w:line="312" w:lineRule="auto" w:before="187"/>
        <w:ind w:right="226"/>
      </w:pPr>
      <w:r>
        <w:rPr>
          <w:spacing w:val="-10"/>
        </w:rPr>
        <w:t>黄容，现任黔西南布依族苗族自治州人民医院药学部主任，副主任药师，从事药学工作</w:t>
      </w:r>
      <w:r>
        <w:rPr/>
        <w:t>32</w:t>
      </w:r>
      <w:r>
        <w:rPr>
          <w:spacing w:val="-8"/>
        </w:rPr>
        <w:t> 年。全面掌握医院药学的基本理论知识及本专业的学术规范和规章制度。按国家相关管</w:t>
      </w:r>
      <w:r>
        <w:rPr>
          <w:spacing w:val="-12"/>
        </w:rPr>
        <w:t>理要求，组织落实医疗机构药事管理相关规定。全面主持药学部工作及药事管理与药物治疗</w:t>
      </w:r>
      <w:r>
        <w:rPr/>
        <w:t>学委员会办公室的日常工作。</w:t>
      </w:r>
    </w:p>
    <w:p>
      <w:pPr>
        <w:spacing w:after="0" w:line="312" w:lineRule="auto"/>
        <w:sectPr>
          <w:pgSz w:w="11910" w:h="16850"/>
          <w:pgMar w:header="906" w:footer="607" w:top="1100" w:bottom="800" w:left="860" w:right="900"/>
        </w:sectPr>
      </w:pPr>
    </w:p>
    <w:p>
      <w:pPr>
        <w:pStyle w:val="BodyText"/>
        <w:spacing w:line="312" w:lineRule="auto" w:before="79"/>
        <w:ind w:right="127"/>
      </w:pPr>
      <w:r>
        <w:rPr>
          <w:spacing w:val="-5"/>
        </w:rPr>
        <w:t>熟悉医院药事管理的基本理论和专业技术知识，熟练解决医院药事管理中的复杂疑难问</w:t>
      </w:r>
      <w:r>
        <w:rPr>
          <w:spacing w:val="-6"/>
        </w:rPr>
        <w:t>题。对医院药物的使用、评价、药物发展动态、新药临床应用具有较强的推荐和指导能力。</w:t>
      </w:r>
      <w:r>
        <w:rPr>
          <w:spacing w:val="-8"/>
        </w:rPr>
        <w:t>重视科室发展，按国家医疗改革要求，合理规划，有计划地组织开展临床合理用药、静脉用药集中调配等工作。</w:t>
      </w:r>
    </w:p>
    <w:p>
      <w:pPr>
        <w:pStyle w:val="BodyText"/>
        <w:spacing w:line="312" w:lineRule="auto"/>
        <w:ind w:right="226"/>
        <w:jc w:val="both"/>
      </w:pPr>
      <w:r>
        <w:rPr>
          <w:spacing w:val="-8"/>
        </w:rPr>
        <w:t>注重人才引进和培养，根据医院和科室的发展，有计划地引进高学历人才，培养临床药</w:t>
      </w:r>
      <w:r>
        <w:rPr>
          <w:spacing w:val="-9"/>
        </w:rPr>
        <w:t>师及各类人才。加强药学人员的业务及技能培训，提高药学人员的业务素质。组织成立黔西</w:t>
      </w:r>
      <w:r>
        <w:rPr>
          <w:spacing w:val="-8"/>
        </w:rPr>
        <w:t>南州药事质量控制中心，定期举办药事管理法规及药师技能培训会议，促进全州药品质量与</w:t>
      </w:r>
      <w:r>
        <w:rPr/>
        <w:t>合理用药水平的提高。</w:t>
      </w:r>
    </w:p>
    <w:p>
      <w:pPr>
        <w:pStyle w:val="BodyText"/>
        <w:spacing w:before="1"/>
        <w:ind w:left="897" w:firstLine="0"/>
      </w:pPr>
      <w:r>
        <w:rPr/>
        <w:t>在国家正式出版的学术专业期刊上发表多篇论文。</w:t>
      </w:r>
    </w:p>
    <w:p>
      <w:pPr>
        <w:pStyle w:val="BodyText"/>
        <w:spacing w:line="312" w:lineRule="auto" w:before="94"/>
        <w:ind w:right="245"/>
      </w:pPr>
      <w:r>
        <w:rPr>
          <w:spacing w:val="-2"/>
        </w:rPr>
        <w:t>多次获得院先进工作者、优秀共产党员荣誉称号。组织医院药师参与 </w:t>
      </w:r>
      <w:r>
        <w:rPr/>
        <w:t>2018</w:t>
      </w:r>
      <w:r>
        <w:rPr>
          <w:spacing w:val="-13"/>
        </w:rPr>
        <w:t> 年“第四届</w:t>
      </w:r>
      <w:r>
        <w:rPr/>
        <w:t>中国药师职业技能大赛西区半决赛”，荣获二等奖。</w:t>
      </w:r>
    </w:p>
    <w:p>
      <w:pPr>
        <w:pStyle w:val="BodyText"/>
        <w:spacing w:line="307" w:lineRule="exact"/>
        <w:ind w:left="897" w:firstLine="0"/>
      </w:pPr>
      <w:r>
        <w:rPr/>
        <w:t>兼任贵州省医院协会药事管理专业委员会委员，贵州省医学会临床药学分会第二届委员</w:t>
      </w:r>
    </w:p>
    <w:p>
      <w:pPr>
        <w:pStyle w:val="BodyText"/>
        <w:spacing w:line="206" w:lineRule="auto" w:before="88"/>
        <w:ind w:right="241" w:firstLine="0"/>
        <w:rPr>
          <w:rFonts w:ascii="Meiryo" w:eastAsia="Meiryo" w:hint="eastAsia"/>
          <w:b/>
        </w:rPr>
      </w:pPr>
      <w:r>
        <w:rPr/>
        <w:t>会常务委员，贵州省综合评标专家库成员，黔西南州药事管理质量控制中心主任。</w:t>
      </w:r>
      <w:r>
        <w:rPr>
          <w:rFonts w:ascii="Meiryo" w:eastAsia="Meiryo" w:hint="eastAsia"/>
          <w:b/>
          <w:color w:val="0033CC"/>
        </w:rPr>
        <w:t>[返回目次]</w:t>
      </w:r>
    </w:p>
    <w:p>
      <w:pPr>
        <w:pStyle w:val="BodyText"/>
        <w:spacing w:before="3"/>
        <w:ind w:left="0" w:firstLine="0"/>
        <w:rPr>
          <w:rFonts w:ascii="Meiryo"/>
          <w:b/>
          <w:sz w:val="12"/>
        </w:rPr>
      </w:pPr>
    </w:p>
    <w:p>
      <w:pPr>
        <w:pStyle w:val="Heading2"/>
      </w:pPr>
      <w:bookmarkStart w:name="_TOC_250001" w:id="51"/>
      <w:bookmarkEnd w:id="51"/>
      <w:r>
        <w:rPr/>
        <w:t>【优秀药师经验分享】</w:t>
      </w:r>
    </w:p>
    <w:p>
      <w:pPr>
        <w:pStyle w:val="BodyText"/>
        <w:spacing w:before="7"/>
        <w:ind w:left="0" w:firstLine="0"/>
        <w:rPr>
          <w:b/>
          <w:sz w:val="22"/>
        </w:rPr>
      </w:pPr>
    </w:p>
    <w:p>
      <w:pPr>
        <w:pStyle w:val="Heading2"/>
        <w:ind w:left="186"/>
        <w:jc w:val="center"/>
      </w:pPr>
      <w:bookmarkStart w:name="_TOC_250000" w:id="52"/>
      <w:bookmarkEnd w:id="52"/>
      <w:r>
        <w:rPr/>
        <w:t>从人工转向智能，让药学信息化“触手可及”</w:t>
      </w:r>
    </w:p>
    <w:p>
      <w:pPr>
        <w:pStyle w:val="BodyText"/>
        <w:tabs>
          <w:tab w:pos="1617" w:val="left" w:leader="none"/>
          <w:tab w:pos="3043" w:val="left" w:leader="none"/>
        </w:tabs>
        <w:spacing w:line="312" w:lineRule="auto" w:before="220"/>
        <w:ind w:right="229" w:firstLine="482"/>
      </w:pPr>
      <w:r>
        <w:rPr>
          <w:b/>
        </w:rPr>
        <w:t>本期人物</w:t>
      </w:r>
      <w:r>
        <w:rPr>
          <w:b/>
          <w:spacing w:val="-29"/>
        </w:rPr>
        <w:t>：</w:t>
      </w:r>
      <w:r>
        <w:rPr>
          <w:b/>
        </w:rPr>
        <w:t>沈爱宗</w:t>
        <w:tab/>
      </w:r>
      <w:r>
        <w:rPr>
          <w:spacing w:val="-3"/>
        </w:rPr>
        <w:t>中</w:t>
      </w:r>
      <w:r>
        <w:rPr/>
        <w:t>国科学技术大学附属第一医</w:t>
      </w:r>
      <w:r>
        <w:rPr>
          <w:spacing w:val="-29"/>
        </w:rPr>
        <w:t>院</w:t>
      </w:r>
      <w:r>
        <w:rPr/>
        <w:t>（安徽省立医院</w:t>
      </w:r>
      <w:r>
        <w:rPr>
          <w:spacing w:val="-29"/>
        </w:rPr>
        <w:t>）</w:t>
      </w:r>
      <w:r>
        <w:rPr/>
        <w:t>药剂科主任</w:t>
      </w:r>
      <w:r>
        <w:rPr>
          <w:spacing w:val="-29"/>
        </w:rPr>
        <w:t>、</w:t>
      </w:r>
      <w:r>
        <w:rPr>
          <w:spacing w:val="-16"/>
        </w:rPr>
        <w:t>副</w:t>
      </w:r>
      <w:r>
        <w:rPr/>
        <w:t>主任药师</w:t>
        <w:tab/>
        <w:t>2018</w:t>
      </w:r>
      <w:r>
        <w:rPr>
          <w:spacing w:val="-60"/>
        </w:rPr>
        <w:t> </w:t>
      </w:r>
      <w:r>
        <w:rPr/>
        <w:t>年中国药学会优秀药师</w:t>
      </w:r>
    </w:p>
    <w:p>
      <w:pPr>
        <w:pStyle w:val="Heading3"/>
        <w:spacing w:line="307" w:lineRule="exact"/>
        <w:ind w:left="899"/>
      </w:pPr>
      <w:r>
        <w:rPr/>
        <w:t>Q1:优秀药师应具备的职业素养有哪些？</w:t>
      </w:r>
    </w:p>
    <w:p>
      <w:pPr>
        <w:pStyle w:val="BodyText"/>
        <w:spacing w:line="312" w:lineRule="auto" w:before="93"/>
        <w:ind w:right="229" w:firstLine="482"/>
      </w:pPr>
      <w:r>
        <w:rPr>
          <w:b/>
          <w:spacing w:val="-6"/>
        </w:rPr>
        <w:t>良好职业道德，</w:t>
      </w:r>
      <w:r>
        <w:rPr>
          <w:spacing w:val="-6"/>
        </w:rPr>
        <w:t>遵守国家有关药品管理和使用的法律法规，有高度的责任心，保障患者</w:t>
      </w:r>
      <w:r>
        <w:rPr/>
        <w:t>的合理用药。</w:t>
      </w:r>
    </w:p>
    <w:p>
      <w:pPr>
        <w:pStyle w:val="BodyText"/>
        <w:spacing w:line="312" w:lineRule="auto"/>
        <w:ind w:right="228" w:firstLine="482"/>
        <w:jc w:val="both"/>
      </w:pPr>
      <w:r>
        <w:rPr>
          <w:b/>
          <w:spacing w:val="-4"/>
        </w:rPr>
        <w:t>精通专业知识，</w:t>
      </w:r>
      <w:r>
        <w:rPr>
          <w:spacing w:val="-8"/>
        </w:rPr>
        <w:t>能为医疗团队提供客观、及时、合理的药物治疗方案；能为患者提供正</w:t>
      </w:r>
      <w:r>
        <w:rPr>
          <w:spacing w:val="-11"/>
        </w:rPr>
        <w:t>确、通俗的用药教育，提高患者的用药依从性、用药安全意识和治疗效果，节约有限的卫生</w:t>
      </w:r>
      <w:r>
        <w:rPr/>
        <w:t>资源。</w:t>
      </w:r>
    </w:p>
    <w:p>
      <w:pPr>
        <w:pStyle w:val="BodyText"/>
        <w:spacing w:line="312" w:lineRule="auto" w:before="1"/>
        <w:ind w:right="228" w:firstLine="482"/>
      </w:pPr>
      <w:r>
        <w:rPr>
          <w:b/>
          <w:spacing w:val="-4"/>
        </w:rPr>
        <w:t>良好沟通技巧，</w:t>
      </w:r>
      <w:r>
        <w:rPr>
          <w:spacing w:val="-10"/>
        </w:rPr>
        <w:t>掌握与临床医师、护理人员、药学同仁、医院管理人员以及患者良好沟</w:t>
      </w:r>
      <w:r>
        <w:rPr/>
        <w:t>通的技能和方法。</w:t>
      </w:r>
    </w:p>
    <w:p>
      <w:pPr>
        <w:pStyle w:val="BodyText"/>
        <w:spacing w:line="312" w:lineRule="auto" w:before="2"/>
        <w:ind w:right="227" w:firstLine="482"/>
      </w:pPr>
      <w:r>
        <w:rPr>
          <w:b/>
          <w:spacing w:val="-6"/>
        </w:rPr>
        <w:t>崇尚人文情怀，</w:t>
      </w:r>
      <w:r>
        <w:rPr>
          <w:spacing w:val="-8"/>
        </w:rPr>
        <w:t>患者是我们的衣食父母，践行“以患者为中心”的服务理念，具备良好</w:t>
      </w:r>
      <w:r>
        <w:rPr/>
        <w:t>的同理心。</w:t>
      </w:r>
    </w:p>
    <w:p>
      <w:pPr>
        <w:pStyle w:val="BodyText"/>
        <w:spacing w:line="312" w:lineRule="auto"/>
        <w:ind w:right="227" w:firstLine="482"/>
        <w:jc w:val="both"/>
      </w:pPr>
      <w:r>
        <w:rPr>
          <w:b/>
          <w:spacing w:val="-6"/>
        </w:rPr>
        <w:t>关注科研教学，</w:t>
      </w:r>
      <w:r>
        <w:rPr>
          <w:spacing w:val="-7"/>
        </w:rPr>
        <w:t>能够紧紧围绕合理用药存在的问题，采用一定的科研方法进行研究，从</w:t>
      </w:r>
      <w:r>
        <w:rPr>
          <w:spacing w:val="-8"/>
        </w:rPr>
        <w:t>而改善目前存在的用药问题；能够以身作则，对下级人员、进修生、实习生的各项工作进行</w:t>
      </w:r>
      <w:r>
        <w:rPr/>
        <w:t>精心指导。</w:t>
      </w:r>
    </w:p>
    <w:p>
      <w:pPr>
        <w:pStyle w:val="BodyText"/>
        <w:spacing w:line="312" w:lineRule="auto" w:before="1"/>
        <w:ind w:right="229" w:firstLine="482"/>
      </w:pPr>
      <w:r>
        <w:rPr>
          <w:b/>
          <w:spacing w:val="-6"/>
        </w:rPr>
        <w:t>终身学习能力，</w:t>
      </w:r>
      <w:r>
        <w:rPr>
          <w:spacing w:val="-7"/>
        </w:rPr>
        <w:t>药学专业是个不断发展的学科，要持续进行自我学习和继续教育，不断</w:t>
      </w:r>
      <w:r>
        <w:rPr/>
        <w:t>提高自己的法律法规意识和专业水平能力，不断满足服务于临床、服务于患者的新需求。</w:t>
      </w:r>
    </w:p>
    <w:p>
      <w:pPr>
        <w:pStyle w:val="Heading3"/>
        <w:spacing w:line="307" w:lineRule="exact"/>
        <w:ind w:left="899"/>
      </w:pPr>
      <w:r>
        <w:rPr/>
        <w:t>Q2:药师开展科研项目的着力点有哪些？</w:t>
      </w:r>
    </w:p>
    <w:p>
      <w:pPr>
        <w:spacing w:after="0" w:line="307" w:lineRule="exact"/>
        <w:sectPr>
          <w:pgSz w:w="11910" w:h="16850"/>
          <w:pgMar w:header="906" w:footer="607" w:top="1100" w:bottom="800" w:left="860" w:right="900"/>
        </w:sectPr>
      </w:pPr>
    </w:p>
    <w:p>
      <w:pPr>
        <w:spacing w:line="312" w:lineRule="auto" w:before="79"/>
        <w:ind w:left="899" w:right="2500" w:firstLine="0"/>
        <w:jc w:val="left"/>
        <w:rPr>
          <w:b/>
          <w:sz w:val="24"/>
        </w:rPr>
      </w:pPr>
      <w:r>
        <w:rPr>
          <w:b/>
          <w:sz w:val="24"/>
        </w:rPr>
        <w:t>主要原则：结合实践工作，发现问题，按科研的思路解决问题。着力点可以从以下几方面考虑：</w:t>
      </w:r>
    </w:p>
    <w:p>
      <w:pPr>
        <w:pStyle w:val="BodyText"/>
        <w:ind w:left="897" w:firstLine="0"/>
      </w:pPr>
      <w:r>
        <w:rPr/>
        <w:t>在药学管理领域，可以选择医院药学管理模式探讨、药物经济学研究；</w:t>
      </w:r>
    </w:p>
    <w:p>
      <w:pPr>
        <w:pStyle w:val="BodyText"/>
        <w:spacing w:line="312" w:lineRule="auto" w:before="93"/>
        <w:ind w:left="1137" w:right="1327" w:hanging="240"/>
      </w:pPr>
      <w:r>
        <w:rPr/>
        <w:t>在临床药学领域，重点在临床常用药的合理性应用评价和个体化给药研究； 药物流行病学研究；</w:t>
      </w:r>
    </w:p>
    <w:p>
      <w:pPr>
        <w:pStyle w:val="BodyText"/>
        <w:spacing w:line="312" w:lineRule="auto"/>
        <w:ind w:left="897" w:right="2287" w:firstLine="0"/>
      </w:pPr>
      <w:r>
        <w:rPr/>
        <w:t>在药品质量控制领域，可以进行新制剂的质量标准与稳定性研究； 在制剂方面，结合临床开展专科新制剂研究；</w:t>
      </w:r>
    </w:p>
    <w:p>
      <w:pPr>
        <w:pStyle w:val="BodyText"/>
        <w:spacing w:line="307" w:lineRule="exact"/>
        <w:ind w:left="897" w:firstLine="0"/>
      </w:pPr>
      <w:r>
        <w:rPr/>
        <w:t>在调剂部门，重点从特殊药品的应用与管理、合理用药调查与分析入手；</w:t>
      </w:r>
    </w:p>
    <w:p>
      <w:pPr>
        <w:spacing w:line="314" w:lineRule="auto" w:before="93"/>
        <w:ind w:left="899" w:right="367" w:hanging="3"/>
        <w:jc w:val="left"/>
        <w:rPr>
          <w:b/>
          <w:sz w:val="24"/>
        </w:rPr>
      </w:pPr>
      <w:r>
        <w:rPr>
          <w:sz w:val="24"/>
        </w:rPr>
        <w:t>在教育教学方面，争创医院药学硕士、博士学位授权点资格和毕业后继续教育研究。</w:t>
      </w:r>
      <w:r>
        <w:rPr>
          <w:b/>
          <w:sz w:val="24"/>
        </w:rPr>
        <w:t>Q3:药师开展科研项目的着力点有哪些？</w:t>
      </w:r>
    </w:p>
    <w:p>
      <w:pPr>
        <w:pStyle w:val="BodyText"/>
        <w:spacing w:line="312" w:lineRule="auto"/>
        <w:ind w:right="365"/>
      </w:pPr>
      <w:r>
        <w:rPr/>
        <w:t>医院药学信息化建设应紧密结合各项药事法规要求，围绕“以患者为中心”的服务理念，利用信息化手段，从而不断提高医院药品质量管理和药学服务水平。</w:t>
      </w:r>
    </w:p>
    <w:p>
      <w:pPr>
        <w:pStyle w:val="ListParagraph"/>
        <w:numPr>
          <w:ilvl w:val="0"/>
          <w:numId w:val="5"/>
        </w:numPr>
        <w:tabs>
          <w:tab w:pos="1139" w:val="left" w:leader="none"/>
        </w:tabs>
        <w:spacing w:line="240" w:lineRule="auto" w:before="0" w:after="0"/>
        <w:ind w:left="1138" w:right="0" w:hanging="242"/>
        <w:jc w:val="left"/>
        <w:rPr>
          <w:sz w:val="24"/>
        </w:rPr>
      </w:pPr>
      <w:r>
        <w:rPr>
          <w:sz w:val="24"/>
        </w:rPr>
        <w:t>智慧药房</w:t>
      </w:r>
    </w:p>
    <w:p>
      <w:pPr>
        <w:pStyle w:val="BodyText"/>
        <w:spacing w:line="312" w:lineRule="auto" w:before="87"/>
        <w:ind w:right="227"/>
        <w:jc w:val="both"/>
      </w:pPr>
      <w:r>
        <w:rPr>
          <w:spacing w:val="-6"/>
        </w:rPr>
        <w:t>智慧药房是国内医院药学发展的新趋势，其利用人工智能、自动控制技术、现代物流管</w:t>
      </w:r>
      <w:r>
        <w:rPr/>
        <w:t>理技术与医院信息系统（HIS）、自动化设备进行无缝对接，实现了药品分拣、调配、发药从人工化向智能化、自动化的转变。</w:t>
      </w:r>
    </w:p>
    <w:p>
      <w:pPr>
        <w:pStyle w:val="BodyText"/>
        <w:spacing w:line="312" w:lineRule="auto" w:before="2"/>
        <w:ind w:right="127"/>
      </w:pPr>
      <w:r>
        <w:rPr>
          <w:spacing w:val="-6"/>
        </w:rPr>
        <w:t>通过增设规范化手术药房，加强麻醉用药管理，确保手术室各类药品质量与安全。处方</w:t>
      </w:r>
      <w:r>
        <w:rPr>
          <w:spacing w:val="-7"/>
        </w:rPr>
        <w:t>智能审核系统实现计价前审方，药师通过严格审查处方，减少了药物不合理使用潜在风险。</w:t>
      </w:r>
    </w:p>
    <w:p>
      <w:pPr>
        <w:pStyle w:val="ListParagraph"/>
        <w:numPr>
          <w:ilvl w:val="0"/>
          <w:numId w:val="5"/>
        </w:numPr>
        <w:tabs>
          <w:tab w:pos="1139" w:val="left" w:leader="none"/>
        </w:tabs>
        <w:spacing w:line="240" w:lineRule="auto" w:before="2" w:after="0"/>
        <w:ind w:left="1138" w:right="0" w:hanging="242"/>
        <w:jc w:val="left"/>
        <w:rPr>
          <w:sz w:val="24"/>
        </w:rPr>
      </w:pPr>
      <w:r>
        <w:rPr>
          <w:spacing w:val="-21"/>
          <w:sz w:val="24"/>
        </w:rPr>
        <w:t>药品 </w:t>
      </w:r>
      <w:r>
        <w:rPr>
          <w:sz w:val="24"/>
        </w:rPr>
        <w:t>SPD</w:t>
      </w:r>
      <w:r>
        <w:rPr>
          <w:spacing w:val="-10"/>
          <w:sz w:val="24"/>
        </w:rPr>
        <w:t> 供应链系统</w:t>
      </w:r>
    </w:p>
    <w:p>
      <w:pPr>
        <w:pStyle w:val="BodyText"/>
        <w:spacing w:line="312" w:lineRule="auto" w:before="91"/>
        <w:ind w:right="227"/>
        <w:jc w:val="both"/>
      </w:pPr>
      <w:r>
        <w:rPr>
          <w:spacing w:val="-5"/>
        </w:rPr>
        <w:t>建立基于集团化模式的药品 </w:t>
      </w:r>
      <w:r>
        <w:rPr/>
        <w:t>SPD</w:t>
      </w:r>
      <w:r>
        <w:rPr>
          <w:spacing w:val="-14"/>
        </w:rPr>
        <w:t> 供应链系统，可以实现集团统一药品目录、统一药品信</w:t>
      </w:r>
      <w:r>
        <w:rPr>
          <w:spacing w:val="-11"/>
        </w:rPr>
        <w:t>息字典、统一采购、统一配送和统一监管。借助信息化、智能化设备，对药库、药房和病区</w:t>
      </w:r>
      <w:r>
        <w:rPr/>
        <w:t>的药品供应全过程进行自动化、智能化、规范化管理。</w:t>
      </w:r>
    </w:p>
    <w:p>
      <w:pPr>
        <w:pStyle w:val="ListParagraph"/>
        <w:numPr>
          <w:ilvl w:val="0"/>
          <w:numId w:val="5"/>
        </w:numPr>
        <w:tabs>
          <w:tab w:pos="1139" w:val="left" w:leader="none"/>
        </w:tabs>
        <w:spacing w:line="240" w:lineRule="auto" w:before="0" w:after="0"/>
        <w:ind w:left="1138" w:right="0" w:hanging="242"/>
        <w:jc w:val="left"/>
        <w:rPr>
          <w:sz w:val="24"/>
        </w:rPr>
      </w:pPr>
      <w:r>
        <w:rPr>
          <w:sz w:val="24"/>
        </w:rPr>
        <w:t>医院药品冷链管理系统</w:t>
      </w:r>
    </w:p>
    <w:p>
      <w:pPr>
        <w:pStyle w:val="BodyText"/>
        <w:spacing w:line="312" w:lineRule="auto" w:before="94"/>
        <w:ind w:right="230"/>
        <w:jc w:val="both"/>
      </w:pPr>
      <w:r>
        <w:rPr>
          <w:spacing w:val="-16"/>
        </w:rPr>
        <w:t>引进医院药品冷链管理系统，可以实现所有医院药品供应系统、调剂系统及临床科室</w:t>
      </w:r>
      <w:r>
        <w:rPr/>
        <w:t>（</w:t>
      </w:r>
      <w:r>
        <w:rPr>
          <w:spacing w:val="-13"/>
        </w:rPr>
        <w:t>病</w:t>
      </w:r>
      <w:r>
        <w:rPr/>
        <w:t>区</w:t>
      </w:r>
      <w:r>
        <w:rPr>
          <w:spacing w:val="-27"/>
        </w:rPr>
        <w:t>）</w:t>
      </w:r>
      <w:r>
        <w:rPr>
          <w:spacing w:val="-9"/>
        </w:rPr>
        <w:t>药品冷藏柜、超低温冷柜的温度及各库房、药房各库区的温湿度全天候、全过程的电子</w:t>
      </w:r>
      <w:r>
        <w:rPr/>
        <w:t>化监控，配备超常预警及报警功能，确保药品质量，保障患者用药安全。</w:t>
      </w:r>
    </w:p>
    <w:p>
      <w:pPr>
        <w:pStyle w:val="ListParagraph"/>
        <w:numPr>
          <w:ilvl w:val="0"/>
          <w:numId w:val="5"/>
        </w:numPr>
        <w:tabs>
          <w:tab w:pos="1139" w:val="left" w:leader="none"/>
        </w:tabs>
        <w:spacing w:line="240" w:lineRule="auto" w:before="1" w:after="0"/>
        <w:ind w:left="1138" w:right="0" w:hanging="242"/>
        <w:jc w:val="left"/>
        <w:rPr>
          <w:sz w:val="24"/>
        </w:rPr>
      </w:pPr>
      <w:r>
        <w:rPr>
          <w:sz w:val="24"/>
        </w:rPr>
        <w:t>临床药学服务平台</w:t>
      </w:r>
    </w:p>
    <w:p>
      <w:pPr>
        <w:pStyle w:val="BodyText"/>
        <w:spacing w:line="312" w:lineRule="auto" w:before="93"/>
        <w:ind w:right="230"/>
      </w:pPr>
      <w:r>
        <w:rPr>
          <w:spacing w:val="-6"/>
        </w:rPr>
        <w:t>基于临床药学工作实践和个体化临床药学服务理念，开发为医院药师量身定做的从实时</w:t>
      </w:r>
      <w:r>
        <w:rPr/>
        <w:t>用药监控、预警，到临床用药过程干预等一整套完整的智能化临床药学服务平台。</w:t>
      </w:r>
    </w:p>
    <w:p>
      <w:pPr>
        <w:pStyle w:val="BodyText"/>
        <w:spacing w:line="312" w:lineRule="auto"/>
        <w:ind w:right="227"/>
      </w:pPr>
      <w:r>
        <w:rPr>
          <w:spacing w:val="-1"/>
        </w:rPr>
        <w:t>引入合理用药信息支持系统</w:t>
      </w:r>
      <w:r>
        <w:rPr/>
        <w:t>（MCDEX）</w:t>
      </w:r>
      <w:r>
        <w:rPr>
          <w:spacing w:val="-5"/>
        </w:rPr>
        <w:t>、合理用药监测系统、</w:t>
      </w:r>
      <w:r>
        <w:rPr/>
        <w:t>PASS</w:t>
      </w:r>
      <w:r>
        <w:rPr>
          <w:spacing w:val="-11"/>
        </w:rPr>
        <w:t> 临床药学管理系统等</w:t>
      </w:r>
      <w:r>
        <w:rPr/>
        <w:t>软件助力药师工作，促进临床合理用药。</w:t>
      </w:r>
    </w:p>
    <w:p>
      <w:pPr>
        <w:pStyle w:val="ListParagraph"/>
        <w:numPr>
          <w:ilvl w:val="0"/>
          <w:numId w:val="5"/>
        </w:numPr>
        <w:tabs>
          <w:tab w:pos="1139" w:val="left" w:leader="none"/>
        </w:tabs>
        <w:spacing w:line="307" w:lineRule="exact" w:before="0" w:after="0"/>
        <w:ind w:left="1138" w:right="0" w:hanging="242"/>
        <w:jc w:val="left"/>
        <w:rPr>
          <w:sz w:val="24"/>
        </w:rPr>
      </w:pPr>
      <w:r>
        <w:rPr>
          <w:sz w:val="24"/>
        </w:rPr>
        <w:t>网络和新媒体平台</w:t>
      </w:r>
    </w:p>
    <w:p>
      <w:pPr>
        <w:pStyle w:val="BodyText"/>
        <w:spacing w:line="312" w:lineRule="auto" w:before="94"/>
        <w:ind w:right="227"/>
        <w:jc w:val="both"/>
      </w:pPr>
      <w:r>
        <w:rPr>
          <w:spacing w:val="-8"/>
        </w:rPr>
        <w:t>利用网站和微信平台，学习各级政府部门医改新政、药事管理相关政策法规，向临床科</w:t>
      </w:r>
      <w:r>
        <w:rPr>
          <w:spacing w:val="-7"/>
        </w:rPr>
        <w:t>室和供应商传递药品供应信息，宣传合理用药知识，与患者在线交流并给予用药提醒、用药</w:t>
      </w:r>
      <w:r>
        <w:rPr/>
        <w:t>指导等。</w:t>
      </w:r>
    </w:p>
    <w:p>
      <w:pPr>
        <w:pStyle w:val="Heading3"/>
        <w:ind w:left="899"/>
      </w:pPr>
      <w:r>
        <w:rPr/>
        <w:t>Q4:如何做好药学专业人才队伍建设？</w:t>
      </w:r>
    </w:p>
    <w:p>
      <w:pPr>
        <w:spacing w:after="0"/>
        <w:sectPr>
          <w:pgSz w:w="11910" w:h="16850"/>
          <w:pgMar w:header="906" w:footer="607" w:top="1100" w:bottom="800" w:left="860" w:right="900"/>
        </w:sectPr>
      </w:pPr>
    </w:p>
    <w:p>
      <w:pPr>
        <w:pStyle w:val="ListParagraph"/>
        <w:numPr>
          <w:ilvl w:val="0"/>
          <w:numId w:val="6"/>
        </w:numPr>
        <w:tabs>
          <w:tab w:pos="1139" w:val="left" w:leader="none"/>
        </w:tabs>
        <w:spacing w:line="312" w:lineRule="auto" w:before="79" w:after="0"/>
        <w:ind w:left="417" w:right="227" w:firstLine="480"/>
        <w:jc w:val="both"/>
        <w:rPr>
          <w:sz w:val="24"/>
        </w:rPr>
      </w:pPr>
      <w:r>
        <w:rPr>
          <w:spacing w:val="-6"/>
          <w:sz w:val="24"/>
        </w:rPr>
        <w:t>加强各医药高校临床药学高等教育质量，转变传统的教育模式。探寻和建立适合自身</w:t>
      </w:r>
      <w:r>
        <w:rPr>
          <w:spacing w:val="-7"/>
          <w:sz w:val="24"/>
        </w:rPr>
        <w:t>发展目标的药师培训体系，针对临床知识和经验进行培训，系统、及时地更新药师的知识结</w:t>
      </w:r>
      <w:r>
        <w:rPr>
          <w:sz w:val="24"/>
        </w:rPr>
        <w:t>构，提高药师专业素养，务必要与临床接轨。</w:t>
      </w:r>
    </w:p>
    <w:p>
      <w:pPr>
        <w:pStyle w:val="ListParagraph"/>
        <w:numPr>
          <w:ilvl w:val="0"/>
          <w:numId w:val="6"/>
        </w:numPr>
        <w:tabs>
          <w:tab w:pos="1139" w:val="left" w:leader="none"/>
        </w:tabs>
        <w:spacing w:line="312" w:lineRule="auto" w:before="1" w:after="0"/>
        <w:ind w:left="417" w:right="110" w:firstLine="480"/>
        <w:jc w:val="left"/>
        <w:rPr>
          <w:sz w:val="24"/>
        </w:rPr>
      </w:pPr>
      <w:r>
        <w:rPr>
          <w:spacing w:val="-9"/>
          <w:sz w:val="24"/>
        </w:rPr>
        <w:t>分层次培养医院药师。根据药师的不同职称水平，制定符合其不同阶段成长规律的培</w:t>
      </w:r>
      <w:r>
        <w:rPr>
          <w:spacing w:val="-18"/>
          <w:sz w:val="24"/>
        </w:rPr>
        <w:t>养计划和培训内容，以促进药师职业生涯持续发展，有效激励人才潜能，打造合理人才梯队， </w:t>
      </w:r>
      <w:r>
        <w:rPr>
          <w:sz w:val="24"/>
        </w:rPr>
        <w:t>建设专科药师队伍，引导药师朝着发挥自己优势的方向发展，让优秀人才更好更快地成长。</w:t>
      </w:r>
    </w:p>
    <w:p>
      <w:pPr>
        <w:pStyle w:val="ListParagraph"/>
        <w:numPr>
          <w:ilvl w:val="0"/>
          <w:numId w:val="6"/>
        </w:numPr>
        <w:tabs>
          <w:tab w:pos="1139" w:val="left" w:leader="none"/>
        </w:tabs>
        <w:spacing w:line="292" w:lineRule="auto" w:before="1" w:after="0"/>
        <w:ind w:left="417" w:right="227" w:firstLine="480"/>
        <w:jc w:val="both"/>
        <w:rPr>
          <w:rFonts w:ascii="Meiryo" w:eastAsia="Meiryo" w:hint="eastAsia"/>
          <w:b/>
          <w:sz w:val="24"/>
        </w:rPr>
      </w:pPr>
      <w:r>
        <w:rPr>
          <w:spacing w:val="-8"/>
          <w:sz w:val="24"/>
        </w:rPr>
        <w:t>完善多元化考核评价体系，建立合理的药师薪酬体系。药师的考核评价体系应从多个</w:t>
      </w:r>
      <w:r>
        <w:rPr>
          <w:spacing w:val="-10"/>
          <w:sz w:val="24"/>
        </w:rPr>
        <w:t>方面进行评估，更多地考量药师在临床工作中发挥的作用。药师的社会价值和临床价值的衡</w:t>
      </w:r>
      <w:r>
        <w:rPr>
          <w:sz w:val="24"/>
        </w:rPr>
        <w:t>量标准应与我国现有政策相符合。</w:t>
      </w:r>
      <w:r>
        <w:rPr>
          <w:rFonts w:ascii="Meiryo" w:eastAsia="Meiryo" w:hint="eastAsia"/>
          <w:b/>
          <w:color w:val="0033CC"/>
          <w:sz w:val="24"/>
        </w:rPr>
        <w:t>[返回目次]</w:t>
      </w:r>
    </w:p>
    <w:sectPr>
      <w:pgSz w:w="11910" w:h="16850"/>
      <w:pgMar w:header="906" w:footer="607" w:top="1100" w:bottom="800" w:left="8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宋体">
    <w:altName w:val="宋体"/>
    <w:charset w:val="86"/>
    <w:family w:val="auto"/>
    <w:pitch w:val="variable"/>
  </w:font>
  <w:font w:name="仿宋">
    <w:altName w:val="仿宋"/>
    <w:charset w:val="86"/>
    <w:family w:val="modern"/>
    <w:pitch w:val="fixed"/>
  </w:font>
  <w:font w:name="Arial">
    <w:altName w:val="Arial"/>
    <w:charset w:val="0"/>
    <w:family w:val="swiss"/>
    <w:pitch w:val="variable"/>
  </w:font>
  <w:font w:name="隶书">
    <w:altName w:val="隶书"/>
    <w:charset w:val="86"/>
    <w:family w:val="modern"/>
    <w:pitch w:val="fixed"/>
  </w:font>
  <w:font w:name="华文宋体">
    <w:altName w:val="华文宋体"/>
    <w:charset w:val="86"/>
    <w:family w:val="auto"/>
    <w:pitch w:val="variable"/>
  </w:font>
  <w:font w:name="Meiryo">
    <w:altName w:val="Meiry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33560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95.970001pt;margin-top:789.769958pt;width:10.6pt;height:11pt;mso-position-horizontal-relative:page;mso-position-vertical-relative:page;z-index:-2533539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0.6pt;height:11pt;mso-position-horizontal-relative:page;mso-position-vertical-relative:page;z-index:-25335193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0.6pt;height:11pt;mso-position-horizontal-relative:page;mso-position-vertical-relative:page;z-index:-2533509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334886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3355008"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3352960"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3349888"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41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392" w:hanging="180"/>
      </w:pPr>
      <w:rPr>
        <w:rFonts w:hint="default"/>
        <w:lang w:val="zh-cn" w:eastAsia="zh-cn" w:bidi="zh-cn"/>
      </w:rPr>
    </w:lvl>
    <w:lvl w:ilvl="2">
      <w:start w:val="0"/>
      <w:numFmt w:val="bullet"/>
      <w:lvlText w:val="•"/>
      <w:lvlJc w:val="left"/>
      <w:pPr>
        <w:ind w:left="2365" w:hanging="180"/>
      </w:pPr>
      <w:rPr>
        <w:rFonts w:hint="default"/>
        <w:lang w:val="zh-cn" w:eastAsia="zh-cn" w:bidi="zh-cn"/>
      </w:rPr>
    </w:lvl>
    <w:lvl w:ilvl="3">
      <w:start w:val="0"/>
      <w:numFmt w:val="bullet"/>
      <w:lvlText w:val="•"/>
      <w:lvlJc w:val="left"/>
      <w:pPr>
        <w:ind w:left="3337" w:hanging="180"/>
      </w:pPr>
      <w:rPr>
        <w:rFonts w:hint="default"/>
        <w:lang w:val="zh-cn" w:eastAsia="zh-cn" w:bidi="zh-cn"/>
      </w:rPr>
    </w:lvl>
    <w:lvl w:ilvl="4">
      <w:start w:val="0"/>
      <w:numFmt w:val="bullet"/>
      <w:lvlText w:val="•"/>
      <w:lvlJc w:val="left"/>
      <w:pPr>
        <w:ind w:left="4310" w:hanging="180"/>
      </w:pPr>
      <w:rPr>
        <w:rFonts w:hint="default"/>
        <w:lang w:val="zh-cn" w:eastAsia="zh-cn" w:bidi="zh-cn"/>
      </w:rPr>
    </w:lvl>
    <w:lvl w:ilvl="5">
      <w:start w:val="0"/>
      <w:numFmt w:val="bullet"/>
      <w:lvlText w:val="•"/>
      <w:lvlJc w:val="left"/>
      <w:pPr>
        <w:ind w:left="5283" w:hanging="180"/>
      </w:pPr>
      <w:rPr>
        <w:rFonts w:hint="default"/>
        <w:lang w:val="zh-cn" w:eastAsia="zh-cn" w:bidi="zh-cn"/>
      </w:rPr>
    </w:lvl>
    <w:lvl w:ilvl="6">
      <w:start w:val="0"/>
      <w:numFmt w:val="bullet"/>
      <w:lvlText w:val="•"/>
      <w:lvlJc w:val="left"/>
      <w:pPr>
        <w:ind w:left="6255" w:hanging="180"/>
      </w:pPr>
      <w:rPr>
        <w:rFonts w:hint="default"/>
        <w:lang w:val="zh-cn" w:eastAsia="zh-cn" w:bidi="zh-cn"/>
      </w:rPr>
    </w:lvl>
    <w:lvl w:ilvl="7">
      <w:start w:val="0"/>
      <w:numFmt w:val="bullet"/>
      <w:lvlText w:val="•"/>
      <w:lvlJc w:val="left"/>
      <w:pPr>
        <w:ind w:left="7228" w:hanging="180"/>
      </w:pPr>
      <w:rPr>
        <w:rFonts w:hint="default"/>
        <w:lang w:val="zh-cn" w:eastAsia="zh-cn" w:bidi="zh-cn"/>
      </w:rPr>
    </w:lvl>
    <w:lvl w:ilvl="8">
      <w:start w:val="0"/>
      <w:numFmt w:val="bullet"/>
      <w:lvlText w:val="•"/>
      <w:lvlJc w:val="left"/>
      <w:pPr>
        <w:ind w:left="8201" w:hanging="180"/>
      </w:pPr>
      <w:rPr>
        <w:rFonts w:hint="default"/>
        <w:lang w:val="zh-cn" w:eastAsia="zh-cn" w:bidi="zh-cn"/>
      </w:rPr>
    </w:lvl>
  </w:abstractNum>
  <w:abstractNum w:abstractNumId="5">
    <w:multiLevelType w:val="hybridMultilevel"/>
    <w:lvl w:ilvl="0">
      <w:start w:val="1"/>
      <w:numFmt w:val="decimal"/>
      <w:lvlText w:val="%1."/>
      <w:lvlJc w:val="left"/>
      <w:pPr>
        <w:ind w:left="417" w:hanging="241"/>
        <w:jc w:val="left"/>
      </w:pPr>
      <w:rPr>
        <w:rFonts w:hint="default" w:ascii="宋体" w:hAnsi="宋体" w:eastAsia="宋体" w:cs="宋体"/>
        <w:spacing w:val="-51"/>
        <w:w w:val="100"/>
        <w:sz w:val="22"/>
        <w:szCs w:val="22"/>
        <w:lang w:val="zh-cn" w:eastAsia="zh-cn" w:bidi="zh-cn"/>
      </w:rPr>
    </w:lvl>
    <w:lvl w:ilvl="1">
      <w:start w:val="0"/>
      <w:numFmt w:val="bullet"/>
      <w:lvlText w:val="•"/>
      <w:lvlJc w:val="left"/>
      <w:pPr>
        <w:ind w:left="1392" w:hanging="241"/>
      </w:pPr>
      <w:rPr>
        <w:rFonts w:hint="default"/>
        <w:lang w:val="zh-cn" w:eastAsia="zh-cn" w:bidi="zh-cn"/>
      </w:rPr>
    </w:lvl>
    <w:lvl w:ilvl="2">
      <w:start w:val="0"/>
      <w:numFmt w:val="bullet"/>
      <w:lvlText w:val="•"/>
      <w:lvlJc w:val="left"/>
      <w:pPr>
        <w:ind w:left="2365" w:hanging="241"/>
      </w:pPr>
      <w:rPr>
        <w:rFonts w:hint="default"/>
        <w:lang w:val="zh-cn" w:eastAsia="zh-cn" w:bidi="zh-cn"/>
      </w:rPr>
    </w:lvl>
    <w:lvl w:ilvl="3">
      <w:start w:val="0"/>
      <w:numFmt w:val="bullet"/>
      <w:lvlText w:val="•"/>
      <w:lvlJc w:val="left"/>
      <w:pPr>
        <w:ind w:left="3337" w:hanging="241"/>
      </w:pPr>
      <w:rPr>
        <w:rFonts w:hint="default"/>
        <w:lang w:val="zh-cn" w:eastAsia="zh-cn" w:bidi="zh-cn"/>
      </w:rPr>
    </w:lvl>
    <w:lvl w:ilvl="4">
      <w:start w:val="0"/>
      <w:numFmt w:val="bullet"/>
      <w:lvlText w:val="•"/>
      <w:lvlJc w:val="left"/>
      <w:pPr>
        <w:ind w:left="4310" w:hanging="241"/>
      </w:pPr>
      <w:rPr>
        <w:rFonts w:hint="default"/>
        <w:lang w:val="zh-cn" w:eastAsia="zh-cn" w:bidi="zh-cn"/>
      </w:rPr>
    </w:lvl>
    <w:lvl w:ilvl="5">
      <w:start w:val="0"/>
      <w:numFmt w:val="bullet"/>
      <w:lvlText w:val="•"/>
      <w:lvlJc w:val="left"/>
      <w:pPr>
        <w:ind w:left="5283" w:hanging="241"/>
      </w:pPr>
      <w:rPr>
        <w:rFonts w:hint="default"/>
        <w:lang w:val="zh-cn" w:eastAsia="zh-cn" w:bidi="zh-cn"/>
      </w:rPr>
    </w:lvl>
    <w:lvl w:ilvl="6">
      <w:start w:val="0"/>
      <w:numFmt w:val="bullet"/>
      <w:lvlText w:val="•"/>
      <w:lvlJc w:val="left"/>
      <w:pPr>
        <w:ind w:left="6255" w:hanging="241"/>
      </w:pPr>
      <w:rPr>
        <w:rFonts w:hint="default"/>
        <w:lang w:val="zh-cn" w:eastAsia="zh-cn" w:bidi="zh-cn"/>
      </w:rPr>
    </w:lvl>
    <w:lvl w:ilvl="7">
      <w:start w:val="0"/>
      <w:numFmt w:val="bullet"/>
      <w:lvlText w:val="•"/>
      <w:lvlJc w:val="left"/>
      <w:pPr>
        <w:ind w:left="7228" w:hanging="241"/>
      </w:pPr>
      <w:rPr>
        <w:rFonts w:hint="default"/>
        <w:lang w:val="zh-cn" w:eastAsia="zh-cn" w:bidi="zh-cn"/>
      </w:rPr>
    </w:lvl>
    <w:lvl w:ilvl="8">
      <w:start w:val="0"/>
      <w:numFmt w:val="bullet"/>
      <w:lvlText w:val="•"/>
      <w:lvlJc w:val="left"/>
      <w:pPr>
        <w:ind w:left="8201" w:hanging="241"/>
      </w:pPr>
      <w:rPr>
        <w:rFonts w:hint="default"/>
        <w:lang w:val="zh-cn" w:eastAsia="zh-cn" w:bidi="zh-cn"/>
      </w:rPr>
    </w:lvl>
  </w:abstractNum>
  <w:abstractNum w:abstractNumId="4">
    <w:multiLevelType w:val="hybridMultilevel"/>
    <w:lvl w:ilvl="0">
      <w:start w:val="1"/>
      <w:numFmt w:val="decimal"/>
      <w:lvlText w:val="%1."/>
      <w:lvlJc w:val="left"/>
      <w:pPr>
        <w:ind w:left="113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040" w:hanging="241"/>
      </w:pPr>
      <w:rPr>
        <w:rFonts w:hint="default"/>
        <w:lang w:val="zh-cn" w:eastAsia="zh-cn" w:bidi="zh-cn"/>
      </w:rPr>
    </w:lvl>
    <w:lvl w:ilvl="2">
      <w:start w:val="0"/>
      <w:numFmt w:val="bullet"/>
      <w:lvlText w:val="•"/>
      <w:lvlJc w:val="left"/>
      <w:pPr>
        <w:ind w:left="2941" w:hanging="241"/>
      </w:pPr>
      <w:rPr>
        <w:rFonts w:hint="default"/>
        <w:lang w:val="zh-cn" w:eastAsia="zh-cn" w:bidi="zh-cn"/>
      </w:rPr>
    </w:lvl>
    <w:lvl w:ilvl="3">
      <w:start w:val="0"/>
      <w:numFmt w:val="bullet"/>
      <w:lvlText w:val="•"/>
      <w:lvlJc w:val="left"/>
      <w:pPr>
        <w:ind w:left="3841" w:hanging="241"/>
      </w:pPr>
      <w:rPr>
        <w:rFonts w:hint="default"/>
        <w:lang w:val="zh-cn" w:eastAsia="zh-cn" w:bidi="zh-cn"/>
      </w:rPr>
    </w:lvl>
    <w:lvl w:ilvl="4">
      <w:start w:val="0"/>
      <w:numFmt w:val="bullet"/>
      <w:lvlText w:val="•"/>
      <w:lvlJc w:val="left"/>
      <w:pPr>
        <w:ind w:left="4742" w:hanging="241"/>
      </w:pPr>
      <w:rPr>
        <w:rFonts w:hint="default"/>
        <w:lang w:val="zh-cn" w:eastAsia="zh-cn" w:bidi="zh-cn"/>
      </w:rPr>
    </w:lvl>
    <w:lvl w:ilvl="5">
      <w:start w:val="0"/>
      <w:numFmt w:val="bullet"/>
      <w:lvlText w:val="•"/>
      <w:lvlJc w:val="left"/>
      <w:pPr>
        <w:ind w:left="5643" w:hanging="241"/>
      </w:pPr>
      <w:rPr>
        <w:rFonts w:hint="default"/>
        <w:lang w:val="zh-cn" w:eastAsia="zh-cn" w:bidi="zh-cn"/>
      </w:rPr>
    </w:lvl>
    <w:lvl w:ilvl="6">
      <w:start w:val="0"/>
      <w:numFmt w:val="bullet"/>
      <w:lvlText w:val="•"/>
      <w:lvlJc w:val="left"/>
      <w:pPr>
        <w:ind w:left="6543" w:hanging="241"/>
      </w:pPr>
      <w:rPr>
        <w:rFonts w:hint="default"/>
        <w:lang w:val="zh-cn" w:eastAsia="zh-cn" w:bidi="zh-cn"/>
      </w:rPr>
    </w:lvl>
    <w:lvl w:ilvl="7">
      <w:start w:val="0"/>
      <w:numFmt w:val="bullet"/>
      <w:lvlText w:val="•"/>
      <w:lvlJc w:val="left"/>
      <w:pPr>
        <w:ind w:left="7444" w:hanging="241"/>
      </w:pPr>
      <w:rPr>
        <w:rFonts w:hint="default"/>
        <w:lang w:val="zh-cn" w:eastAsia="zh-cn" w:bidi="zh-cn"/>
      </w:rPr>
    </w:lvl>
    <w:lvl w:ilvl="8">
      <w:start w:val="0"/>
      <w:numFmt w:val="bullet"/>
      <w:lvlText w:val="•"/>
      <w:lvlJc w:val="left"/>
      <w:pPr>
        <w:ind w:left="8345" w:hanging="241"/>
      </w:pPr>
      <w:rPr>
        <w:rFonts w:hint="default"/>
        <w:lang w:val="zh-cn" w:eastAsia="zh-cn" w:bidi="zh-cn"/>
      </w:rPr>
    </w:lvl>
  </w:abstractNum>
  <w:abstractNum w:abstractNumId="3">
    <w:multiLevelType w:val="hybridMultilevel"/>
    <w:lvl w:ilvl="0">
      <w:start w:val="1"/>
      <w:numFmt w:val="decimal"/>
      <w:lvlText w:val="%1."/>
      <w:lvlJc w:val="left"/>
      <w:pPr>
        <w:ind w:left="1257"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2148" w:hanging="360"/>
      </w:pPr>
      <w:rPr>
        <w:rFonts w:hint="default"/>
        <w:lang w:val="zh-cn" w:eastAsia="zh-cn" w:bidi="zh-cn"/>
      </w:rPr>
    </w:lvl>
    <w:lvl w:ilvl="2">
      <w:start w:val="0"/>
      <w:numFmt w:val="bullet"/>
      <w:lvlText w:val="•"/>
      <w:lvlJc w:val="left"/>
      <w:pPr>
        <w:ind w:left="3037" w:hanging="360"/>
      </w:pPr>
      <w:rPr>
        <w:rFonts w:hint="default"/>
        <w:lang w:val="zh-cn" w:eastAsia="zh-cn" w:bidi="zh-cn"/>
      </w:rPr>
    </w:lvl>
    <w:lvl w:ilvl="3">
      <w:start w:val="0"/>
      <w:numFmt w:val="bullet"/>
      <w:lvlText w:val="•"/>
      <w:lvlJc w:val="left"/>
      <w:pPr>
        <w:ind w:left="3925" w:hanging="360"/>
      </w:pPr>
      <w:rPr>
        <w:rFonts w:hint="default"/>
        <w:lang w:val="zh-cn" w:eastAsia="zh-cn" w:bidi="zh-cn"/>
      </w:rPr>
    </w:lvl>
    <w:lvl w:ilvl="4">
      <w:start w:val="0"/>
      <w:numFmt w:val="bullet"/>
      <w:lvlText w:val="•"/>
      <w:lvlJc w:val="left"/>
      <w:pPr>
        <w:ind w:left="4814" w:hanging="360"/>
      </w:pPr>
      <w:rPr>
        <w:rFonts w:hint="default"/>
        <w:lang w:val="zh-cn" w:eastAsia="zh-cn" w:bidi="zh-cn"/>
      </w:rPr>
    </w:lvl>
    <w:lvl w:ilvl="5">
      <w:start w:val="0"/>
      <w:numFmt w:val="bullet"/>
      <w:lvlText w:val="•"/>
      <w:lvlJc w:val="left"/>
      <w:pPr>
        <w:ind w:left="5703" w:hanging="360"/>
      </w:pPr>
      <w:rPr>
        <w:rFonts w:hint="default"/>
        <w:lang w:val="zh-cn" w:eastAsia="zh-cn" w:bidi="zh-cn"/>
      </w:rPr>
    </w:lvl>
    <w:lvl w:ilvl="6">
      <w:start w:val="0"/>
      <w:numFmt w:val="bullet"/>
      <w:lvlText w:val="•"/>
      <w:lvlJc w:val="left"/>
      <w:pPr>
        <w:ind w:left="6591" w:hanging="360"/>
      </w:pPr>
      <w:rPr>
        <w:rFonts w:hint="default"/>
        <w:lang w:val="zh-cn" w:eastAsia="zh-cn" w:bidi="zh-cn"/>
      </w:rPr>
    </w:lvl>
    <w:lvl w:ilvl="7">
      <w:start w:val="0"/>
      <w:numFmt w:val="bullet"/>
      <w:lvlText w:val="•"/>
      <w:lvlJc w:val="left"/>
      <w:pPr>
        <w:ind w:left="7480" w:hanging="360"/>
      </w:pPr>
      <w:rPr>
        <w:rFonts w:hint="default"/>
        <w:lang w:val="zh-cn" w:eastAsia="zh-cn" w:bidi="zh-cn"/>
      </w:rPr>
    </w:lvl>
    <w:lvl w:ilvl="8">
      <w:start w:val="0"/>
      <w:numFmt w:val="bullet"/>
      <w:lvlText w:val="•"/>
      <w:lvlJc w:val="left"/>
      <w:pPr>
        <w:ind w:left="8369" w:hanging="360"/>
      </w:pPr>
      <w:rPr>
        <w:rFonts w:hint="default"/>
        <w:lang w:val="zh-cn" w:eastAsia="zh-cn" w:bidi="zh-cn"/>
      </w:rPr>
    </w:lvl>
  </w:abstractNum>
  <w:abstractNum w:abstractNumId="1">
    <w:multiLevelType w:val="hybridMultilevel"/>
    <w:lvl w:ilvl="0">
      <w:start w:val="1"/>
      <w:numFmt w:val="decimal"/>
      <w:lvlText w:val="%1."/>
      <w:lvlJc w:val="left"/>
      <w:pPr>
        <w:ind w:left="1140" w:hanging="24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2040" w:hanging="244"/>
      </w:pPr>
      <w:rPr>
        <w:rFonts w:hint="default"/>
        <w:lang w:val="zh-cn" w:eastAsia="zh-cn" w:bidi="zh-cn"/>
      </w:rPr>
    </w:lvl>
    <w:lvl w:ilvl="2">
      <w:start w:val="0"/>
      <w:numFmt w:val="bullet"/>
      <w:lvlText w:val="•"/>
      <w:lvlJc w:val="left"/>
      <w:pPr>
        <w:ind w:left="2941" w:hanging="244"/>
      </w:pPr>
      <w:rPr>
        <w:rFonts w:hint="default"/>
        <w:lang w:val="zh-cn" w:eastAsia="zh-cn" w:bidi="zh-cn"/>
      </w:rPr>
    </w:lvl>
    <w:lvl w:ilvl="3">
      <w:start w:val="0"/>
      <w:numFmt w:val="bullet"/>
      <w:lvlText w:val="•"/>
      <w:lvlJc w:val="left"/>
      <w:pPr>
        <w:ind w:left="3841" w:hanging="244"/>
      </w:pPr>
      <w:rPr>
        <w:rFonts w:hint="default"/>
        <w:lang w:val="zh-cn" w:eastAsia="zh-cn" w:bidi="zh-cn"/>
      </w:rPr>
    </w:lvl>
    <w:lvl w:ilvl="4">
      <w:start w:val="0"/>
      <w:numFmt w:val="bullet"/>
      <w:lvlText w:val="•"/>
      <w:lvlJc w:val="left"/>
      <w:pPr>
        <w:ind w:left="4742" w:hanging="244"/>
      </w:pPr>
      <w:rPr>
        <w:rFonts w:hint="default"/>
        <w:lang w:val="zh-cn" w:eastAsia="zh-cn" w:bidi="zh-cn"/>
      </w:rPr>
    </w:lvl>
    <w:lvl w:ilvl="5">
      <w:start w:val="0"/>
      <w:numFmt w:val="bullet"/>
      <w:lvlText w:val="•"/>
      <w:lvlJc w:val="left"/>
      <w:pPr>
        <w:ind w:left="5643" w:hanging="244"/>
      </w:pPr>
      <w:rPr>
        <w:rFonts w:hint="default"/>
        <w:lang w:val="zh-cn" w:eastAsia="zh-cn" w:bidi="zh-cn"/>
      </w:rPr>
    </w:lvl>
    <w:lvl w:ilvl="6">
      <w:start w:val="0"/>
      <w:numFmt w:val="bullet"/>
      <w:lvlText w:val="•"/>
      <w:lvlJc w:val="left"/>
      <w:pPr>
        <w:ind w:left="6543" w:hanging="244"/>
      </w:pPr>
      <w:rPr>
        <w:rFonts w:hint="default"/>
        <w:lang w:val="zh-cn" w:eastAsia="zh-cn" w:bidi="zh-cn"/>
      </w:rPr>
    </w:lvl>
    <w:lvl w:ilvl="7">
      <w:start w:val="0"/>
      <w:numFmt w:val="bullet"/>
      <w:lvlText w:val="•"/>
      <w:lvlJc w:val="left"/>
      <w:pPr>
        <w:ind w:left="7444" w:hanging="244"/>
      </w:pPr>
      <w:rPr>
        <w:rFonts w:hint="default"/>
        <w:lang w:val="zh-cn" w:eastAsia="zh-cn" w:bidi="zh-cn"/>
      </w:rPr>
    </w:lvl>
    <w:lvl w:ilvl="8">
      <w:start w:val="0"/>
      <w:numFmt w:val="bullet"/>
      <w:lvlText w:val="•"/>
      <w:lvlJc w:val="left"/>
      <w:pPr>
        <w:ind w:left="8345" w:hanging="244"/>
      </w:pPr>
      <w:rPr>
        <w:rFonts w:hint="default"/>
        <w:lang w:val="zh-cn" w:eastAsia="zh-cn" w:bidi="zh-cn"/>
      </w:rPr>
    </w:lvl>
  </w:abstractNum>
  <w:abstractNum w:abstractNumId="0">
    <w:multiLevelType w:val="hybridMultilevel"/>
    <w:lvl w:ilvl="0">
      <w:start w:val="5"/>
      <w:numFmt w:val="decimal"/>
      <w:lvlText w:val="%1"/>
      <w:lvlJc w:val="left"/>
      <w:pPr>
        <w:ind w:left="41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392" w:hanging="180"/>
      </w:pPr>
      <w:rPr>
        <w:rFonts w:hint="default"/>
        <w:lang w:val="zh-cn" w:eastAsia="zh-cn" w:bidi="zh-cn"/>
      </w:rPr>
    </w:lvl>
    <w:lvl w:ilvl="2">
      <w:start w:val="0"/>
      <w:numFmt w:val="bullet"/>
      <w:lvlText w:val="•"/>
      <w:lvlJc w:val="left"/>
      <w:pPr>
        <w:ind w:left="2365" w:hanging="180"/>
      </w:pPr>
      <w:rPr>
        <w:rFonts w:hint="default"/>
        <w:lang w:val="zh-cn" w:eastAsia="zh-cn" w:bidi="zh-cn"/>
      </w:rPr>
    </w:lvl>
    <w:lvl w:ilvl="3">
      <w:start w:val="0"/>
      <w:numFmt w:val="bullet"/>
      <w:lvlText w:val="•"/>
      <w:lvlJc w:val="left"/>
      <w:pPr>
        <w:ind w:left="3337" w:hanging="180"/>
      </w:pPr>
      <w:rPr>
        <w:rFonts w:hint="default"/>
        <w:lang w:val="zh-cn" w:eastAsia="zh-cn" w:bidi="zh-cn"/>
      </w:rPr>
    </w:lvl>
    <w:lvl w:ilvl="4">
      <w:start w:val="0"/>
      <w:numFmt w:val="bullet"/>
      <w:lvlText w:val="•"/>
      <w:lvlJc w:val="left"/>
      <w:pPr>
        <w:ind w:left="4310" w:hanging="180"/>
      </w:pPr>
      <w:rPr>
        <w:rFonts w:hint="default"/>
        <w:lang w:val="zh-cn" w:eastAsia="zh-cn" w:bidi="zh-cn"/>
      </w:rPr>
    </w:lvl>
    <w:lvl w:ilvl="5">
      <w:start w:val="0"/>
      <w:numFmt w:val="bullet"/>
      <w:lvlText w:val="•"/>
      <w:lvlJc w:val="left"/>
      <w:pPr>
        <w:ind w:left="5283" w:hanging="180"/>
      </w:pPr>
      <w:rPr>
        <w:rFonts w:hint="default"/>
        <w:lang w:val="zh-cn" w:eastAsia="zh-cn" w:bidi="zh-cn"/>
      </w:rPr>
    </w:lvl>
    <w:lvl w:ilvl="6">
      <w:start w:val="0"/>
      <w:numFmt w:val="bullet"/>
      <w:lvlText w:val="•"/>
      <w:lvlJc w:val="left"/>
      <w:pPr>
        <w:ind w:left="6255" w:hanging="180"/>
      </w:pPr>
      <w:rPr>
        <w:rFonts w:hint="default"/>
        <w:lang w:val="zh-cn" w:eastAsia="zh-cn" w:bidi="zh-cn"/>
      </w:rPr>
    </w:lvl>
    <w:lvl w:ilvl="7">
      <w:start w:val="0"/>
      <w:numFmt w:val="bullet"/>
      <w:lvlText w:val="•"/>
      <w:lvlJc w:val="left"/>
      <w:pPr>
        <w:ind w:left="7228" w:hanging="180"/>
      </w:pPr>
      <w:rPr>
        <w:rFonts w:hint="default"/>
        <w:lang w:val="zh-cn" w:eastAsia="zh-cn" w:bidi="zh-cn"/>
      </w:rPr>
    </w:lvl>
    <w:lvl w:ilvl="8">
      <w:start w:val="0"/>
      <w:numFmt w:val="bullet"/>
      <w:lvlText w:val="•"/>
      <w:lvlJc w:val="left"/>
      <w:pPr>
        <w:ind w:left="8201" w:hanging="180"/>
      </w:pPr>
      <w:rPr>
        <w:rFonts w:hint="default"/>
        <w:lang w:val="zh-cn" w:eastAsia="zh-cn" w:bidi="zh-cn"/>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9"/>
      <w:ind w:left="185"/>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91"/>
      <w:ind w:left="628"/>
    </w:pPr>
    <w:rPr>
      <w:rFonts w:ascii="楷体" w:hAnsi="楷体" w:eastAsia="楷体" w:cs="楷体"/>
      <w:b/>
      <w:bCs/>
      <w:sz w:val="24"/>
      <w:szCs w:val="24"/>
      <w:lang w:val="zh-cn" w:eastAsia="zh-cn" w:bidi="zh-cn"/>
    </w:rPr>
  </w:style>
  <w:style w:styleId="TOC3" w:type="paragraph">
    <w:name w:val="TOC 3"/>
    <w:basedOn w:val="Normal"/>
    <w:uiPriority w:val="1"/>
    <w:qFormat/>
    <w:pPr>
      <w:spacing w:before="192"/>
      <w:ind w:left="628"/>
    </w:pPr>
    <w:rPr>
      <w:rFonts w:ascii="楷体" w:hAnsi="楷体" w:eastAsia="楷体" w:cs="楷体"/>
      <w:sz w:val="24"/>
      <w:szCs w:val="24"/>
      <w:lang w:val="zh-cn" w:eastAsia="zh-cn" w:bidi="zh-cn"/>
    </w:rPr>
  </w:style>
  <w:style w:styleId="TOC4" w:type="paragraph">
    <w:name w:val="TOC 4"/>
    <w:basedOn w:val="Normal"/>
    <w:uiPriority w:val="1"/>
    <w:qFormat/>
    <w:pPr>
      <w:spacing w:before="194"/>
      <w:ind w:left="628"/>
    </w:pPr>
    <w:rPr>
      <w:rFonts w:ascii="楷体" w:hAnsi="楷体" w:eastAsia="楷体" w:cs="楷体"/>
      <w:b/>
      <w:bCs/>
      <w:i/>
      <w:lang w:val="zh-cn" w:eastAsia="zh-cn" w:bidi="zh-cn"/>
    </w:rPr>
  </w:style>
  <w:style w:styleId="BodyText" w:type="paragraph">
    <w:name w:val="Body Text"/>
    <w:basedOn w:val="Normal"/>
    <w:uiPriority w:val="1"/>
    <w:qFormat/>
    <w:pPr>
      <w:ind w:left="417" w:firstLine="480"/>
    </w:pPr>
    <w:rPr>
      <w:rFonts w:ascii="宋体" w:hAnsi="宋体" w:eastAsia="宋体" w:cs="宋体"/>
      <w:sz w:val="24"/>
      <w:szCs w:val="24"/>
      <w:lang w:val="zh-cn" w:eastAsia="zh-cn" w:bidi="zh-cn"/>
    </w:rPr>
  </w:style>
  <w:style w:styleId="Heading1" w:type="paragraph">
    <w:name w:val="Heading 1"/>
    <w:basedOn w:val="Normal"/>
    <w:uiPriority w:val="1"/>
    <w:qFormat/>
    <w:pPr>
      <w:ind w:left="122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41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897"/>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417" w:firstLine="480"/>
    </w:pPr>
    <w:rPr>
      <w:rFonts w:ascii="宋体" w:hAnsi="宋体" w:eastAsia="宋体" w:cs="宋体"/>
      <w:lang w:val="zh-cn" w:eastAsia="zh-cn" w:bidi="zh-cn"/>
    </w:rPr>
  </w:style>
  <w:style w:styleId="TableParagraph" w:type="paragraph">
    <w:name w:val="Table Paragraph"/>
    <w:basedOn w:val="Normal"/>
    <w:uiPriority w:val="1"/>
    <w:qFormat/>
    <w:pPr>
      <w:spacing w:before="93"/>
      <w:ind w:left="13"/>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yperlink" Target="mailto:ertongyongyao@126.com" TargetMode="External"/><Relationship Id="rId12" Type="http://schemas.openxmlformats.org/officeDocument/2006/relationships/image" Target="media/image2.png"/><Relationship Id="rId13" Type="http://schemas.openxmlformats.org/officeDocument/2006/relationships/hyperlink" Target="http://www.nhc.gov.cn/yaozs/s3577/201905/80c7ad723b334fa187bb79cf371ea96f/files/19d1060a9a2c44ee9c70c333133612d4.docx" TargetMode="Externa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image" Target="media/image3.jpeg"/><Relationship Id="rId19" Type="http://schemas.openxmlformats.org/officeDocument/2006/relationships/image" Target="media/image4.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2019-10-23T03:31:17Z</dcterms:created>
  <dcterms:modified xsi:type="dcterms:W3CDTF">2019-10-23T03:31:17Z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Office Word 2007</vt:lpwstr>
  </property>
  <property fmtid="{D5CDD505-2E9C-101B-9397-08002B2CF9AE}" pid="4" name="LastSaved">
    <vt:filetime>2019-10-23T00:00:00Z</vt:filetime>
  </property>
</Properties>
</file>