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32.400002pt;margin-top:54.599979pt;width:540.6pt;height:161.3pt;mso-position-horizontal-relative:page;mso-position-vertical-relative:page;z-index:-84136" coordorigin="648,1092" coordsize="10812,3226">
            <v:line style="position:absolute" from="1248,1099" to="10804,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rPr>
      </w:pPr>
    </w:p>
    <w:p>
      <w:pPr>
        <w:pStyle w:val="Heading2"/>
        <w:tabs>
          <w:tab w:pos="5870" w:val="left" w:leader="none"/>
        </w:tabs>
        <w:spacing w:before="55"/>
        <w:ind w:left="2733"/>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5</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203</w:t>
      </w:r>
      <w:r>
        <w:rPr>
          <w:rFonts w:ascii="黑体" w:eastAsia="黑体" w:hint="eastAsia"/>
          <w:spacing w:val="-81"/>
        </w:rPr>
        <w:t> </w:t>
      </w:r>
      <w:r>
        <w:rPr>
          <w:rFonts w:ascii="黑体" w:eastAsia="黑体" w:hint="eastAsia"/>
        </w:rPr>
        <w:t>期</w:t>
      </w:r>
    </w:p>
    <w:p>
      <w:pPr>
        <w:pStyle w:val="Heading3"/>
        <w:tabs>
          <w:tab w:pos="7004" w:val="left" w:leader="none"/>
        </w:tabs>
        <w:spacing w:before="137"/>
        <w:ind w:right="31"/>
        <w:jc w:val="center"/>
        <w:rPr>
          <w:rFonts w:ascii="Microsoft JhengHei" w:eastAsia="Microsoft JhengHei" w:hint="eastAsia"/>
        </w:rPr>
      </w:pPr>
      <w:r>
        <w:rPr/>
        <w:pict>
          <v:line style="position:absolute;mso-position-horizontal-relative:page;mso-position-vertical-relative:paragraph;z-index:-1024;mso-wrap-distance-left:0;mso-wrap-distance-right:0" from="55pt,36.251087pt" to="546.25pt,36.251087pt" stroked="true" strokeweight="2.25pt" strokecolor="#ff0000">
            <v:stroke dashstyle="solid"/>
            <w10:wrap type="topAndBottom"/>
          </v:line>
        </w:pict>
      </w:r>
      <w:r>
        <w:rPr>
          <w:rFonts w:ascii="Microsoft JhengHei" w:eastAsia="Microsoft JhengHei" w:hint="eastAsia"/>
        </w:rPr>
        <w:t>中国药学</w:t>
      </w:r>
      <w:r>
        <w:rPr>
          <w:rFonts w:ascii="Microsoft JhengHei" w:eastAsia="Microsoft JhengHei" w:hint="eastAsia"/>
          <w:spacing w:val="-3"/>
        </w:rPr>
        <w:t>会</w:t>
      </w:r>
      <w:r>
        <w:rPr>
          <w:rFonts w:ascii="Microsoft JhengHei" w:eastAsia="Microsoft JhengHei" w:hint="eastAsia"/>
        </w:rPr>
        <w:t>科技</w:t>
      </w:r>
      <w:r>
        <w:rPr>
          <w:rFonts w:ascii="Microsoft JhengHei" w:eastAsia="Microsoft JhengHei" w:hint="eastAsia"/>
          <w:spacing w:val="-3"/>
        </w:rPr>
        <w:t>开</w:t>
      </w:r>
      <w:r>
        <w:rPr>
          <w:rFonts w:ascii="Microsoft JhengHei" w:eastAsia="Microsoft JhengHei" w:hint="eastAsia"/>
        </w:rPr>
        <w:t>发中心 </w:t>
      </w:r>
      <w:r>
        <w:rPr>
          <w:rFonts w:ascii="Microsoft JhengHei" w:eastAsia="Microsoft JhengHei" w:hint="eastAsia"/>
          <w:spacing w:val="3"/>
        </w:rPr>
        <w:t> </w:t>
      </w:r>
      <w:r>
        <w:rPr>
          <w:rFonts w:ascii="Microsoft JhengHei" w:eastAsia="Microsoft JhengHei" w:hint="eastAsia"/>
        </w:rPr>
        <w:t>组织</w:t>
      </w:r>
      <w:r>
        <w:rPr>
          <w:rFonts w:ascii="Microsoft JhengHei" w:eastAsia="Microsoft JhengHei" w:hint="eastAsia"/>
          <w:spacing w:val="-3"/>
        </w:rPr>
        <w:t>联</w:t>
      </w:r>
      <w:r>
        <w:rPr>
          <w:rFonts w:ascii="Microsoft JhengHei" w:eastAsia="Microsoft JhengHei" w:hint="eastAsia"/>
        </w:rPr>
        <w:t>络部</w:t>
        <w:tab/>
      </w:r>
      <w:r>
        <w:rPr>
          <w:rFonts w:ascii="等线" w:eastAsia="等线" w:hint="eastAsia"/>
        </w:rPr>
        <w:t>2019 </w:t>
      </w:r>
      <w:r>
        <w:rPr>
          <w:rFonts w:ascii="Microsoft JhengHei" w:eastAsia="Microsoft JhengHei" w:hint="eastAsia"/>
        </w:rPr>
        <w:t>年 </w:t>
      </w:r>
      <w:r>
        <w:rPr>
          <w:rFonts w:ascii="等线" w:eastAsia="等线" w:hint="eastAsia"/>
        </w:rPr>
        <w:t>3 </w:t>
      </w:r>
      <w:r>
        <w:rPr>
          <w:rFonts w:ascii="Microsoft JhengHei" w:eastAsia="Microsoft JhengHei" w:hint="eastAsia"/>
        </w:rPr>
        <w:t>月 </w:t>
      </w:r>
      <w:r>
        <w:rPr>
          <w:rFonts w:ascii="等线" w:eastAsia="等线" w:hint="eastAsia"/>
        </w:rPr>
        <w:t>29</w:t>
      </w:r>
      <w:r>
        <w:rPr>
          <w:rFonts w:ascii="等线" w:eastAsia="等线" w:hint="eastAsia"/>
          <w:spacing w:val="-23"/>
        </w:rPr>
        <w:t> </w:t>
      </w:r>
      <w:r>
        <w:rPr>
          <w:rFonts w:ascii="Microsoft JhengHei" w:eastAsia="Microsoft JhengHei" w:hint="eastAsia"/>
        </w:rPr>
        <w:t>日</w:t>
      </w:r>
    </w:p>
    <w:p>
      <w:pPr>
        <w:pStyle w:val="BodyText"/>
        <w:spacing w:before="11"/>
        <w:ind w:left="0"/>
        <w:rPr>
          <w:rFonts w:ascii="Microsoft JhengHei"/>
          <w:b/>
          <w:sz w:val="20"/>
        </w:rPr>
      </w:pPr>
    </w:p>
    <w:p>
      <w:pPr>
        <w:spacing w:line="560" w:lineRule="exact" w:before="1"/>
        <w:ind w:left="0" w:right="36" w:firstLine="0"/>
        <w:jc w:val="center"/>
        <w:rPr>
          <w:rFonts w:ascii="黑体" w:eastAsia="黑体" w:hint="eastAsia"/>
          <w:b/>
          <w:sz w:val="44"/>
        </w:rPr>
      </w:pPr>
      <w:r>
        <w:rPr>
          <w:rFonts w:ascii="黑体" w:eastAsia="黑体" w:hint="eastAsia"/>
          <w:b/>
          <w:color w:val="008000"/>
          <w:sz w:val="44"/>
        </w:rPr>
        <w:t>目 次</w:t>
      </w:r>
    </w:p>
    <w:p>
      <w:pPr>
        <w:spacing w:line="560" w:lineRule="exact" w:before="0"/>
        <w:ind w:left="0" w:right="32" w:firstLine="0"/>
        <w:jc w:val="center"/>
        <w:rPr>
          <w:rFonts w:ascii="隶书" w:eastAsia="隶书" w:hint="eastAsia"/>
          <w:sz w:val="44"/>
        </w:rPr>
      </w:pPr>
      <w:r>
        <w:rPr>
          <w:rFonts w:ascii="隶书" w:eastAsia="隶书" w:hint="eastAsia"/>
          <w:color w:val="1A5220"/>
          <w:sz w:val="44"/>
        </w:rPr>
        <w:t>政策导览</w:t>
      </w:r>
    </w:p>
    <w:p>
      <w:pPr>
        <w:pStyle w:val="Heading3"/>
        <w:tabs>
          <w:tab w:pos="9073" w:val="right" w:leader="dot"/>
        </w:tabs>
        <w:spacing w:before="73"/>
        <w:ind w:right="34"/>
        <w:jc w:val="center"/>
        <w:rPr>
          <w:rFonts w:ascii="华文楷体" w:eastAsia="华文楷体" w:hint="eastAsia"/>
          <w:b w:val="0"/>
        </w:rPr>
      </w:pPr>
      <w:r>
        <w:rPr>
          <w:rFonts w:ascii="华文楷体" w:eastAsia="华文楷体" w:hint="eastAsia"/>
        </w:rPr>
        <w:t>【政府要闻】</w:t>
        <w:tab/>
      </w:r>
      <w:r>
        <w:rPr>
          <w:rFonts w:ascii="华文楷体" w:eastAsia="华文楷体" w:hint="eastAsia"/>
          <w:b w:val="0"/>
        </w:rPr>
        <w:t>1</w:t>
      </w:r>
    </w:p>
    <w:p>
      <w:pPr>
        <w:tabs>
          <w:tab w:pos="9073" w:val="right" w:leader="dot"/>
        </w:tabs>
        <w:spacing w:before="43"/>
        <w:ind w:left="0" w:right="34" w:firstLine="0"/>
        <w:jc w:val="center"/>
        <w:rPr>
          <w:rFonts w:ascii="华文楷体" w:eastAsia="华文楷体" w:hint="eastAsia"/>
          <w:sz w:val="28"/>
        </w:rPr>
      </w:pPr>
      <w:r>
        <w:rPr>
          <w:rFonts w:ascii="华文楷体" w:eastAsia="华文楷体" w:hint="eastAsia"/>
          <w:sz w:val="28"/>
        </w:rPr>
        <w:t>生育保</w:t>
      </w:r>
      <w:r>
        <w:rPr>
          <w:rFonts w:ascii="华文楷体" w:eastAsia="华文楷体" w:hint="eastAsia"/>
          <w:spacing w:val="-3"/>
          <w:sz w:val="28"/>
        </w:rPr>
        <w:t>险</w:t>
      </w:r>
      <w:r>
        <w:rPr>
          <w:rFonts w:ascii="华文楷体" w:eastAsia="华文楷体" w:hint="eastAsia"/>
          <w:sz w:val="28"/>
        </w:rPr>
        <w:t>和职</w:t>
      </w:r>
      <w:r>
        <w:rPr>
          <w:rFonts w:ascii="华文楷体" w:eastAsia="华文楷体" w:hint="eastAsia"/>
          <w:spacing w:val="-3"/>
          <w:sz w:val="28"/>
        </w:rPr>
        <w:t>工医</w:t>
      </w:r>
      <w:r>
        <w:rPr>
          <w:rFonts w:ascii="华文楷体" w:eastAsia="华文楷体" w:hint="eastAsia"/>
          <w:sz w:val="28"/>
        </w:rPr>
        <w:t>保合并</w:t>
        <w:tab/>
        <w:t>1</w:t>
      </w:r>
    </w:p>
    <w:p>
      <w:pPr>
        <w:tabs>
          <w:tab w:pos="9073" w:val="right" w:leader="dot"/>
        </w:tabs>
        <w:spacing w:before="40"/>
        <w:ind w:left="0" w:right="34" w:firstLine="0"/>
        <w:jc w:val="center"/>
        <w:rPr>
          <w:rFonts w:ascii="华文楷体" w:eastAsia="华文楷体" w:hint="eastAsia"/>
          <w:sz w:val="28"/>
        </w:rPr>
      </w:pPr>
      <w:r>
        <w:rPr>
          <w:rFonts w:ascii="华文楷体" w:eastAsia="华文楷体" w:hint="eastAsia"/>
          <w:sz w:val="28"/>
        </w:rPr>
        <w:t>改善医</w:t>
      </w:r>
      <w:r>
        <w:rPr>
          <w:rFonts w:ascii="华文楷体" w:eastAsia="华文楷体" w:hint="eastAsia"/>
          <w:spacing w:val="-3"/>
          <w:sz w:val="28"/>
        </w:rPr>
        <w:t>疗</w:t>
      </w:r>
      <w:r>
        <w:rPr>
          <w:rFonts w:ascii="华文楷体" w:eastAsia="华文楷体" w:hint="eastAsia"/>
          <w:sz w:val="28"/>
        </w:rPr>
        <w:t>服务</w:t>
      </w:r>
      <w:r>
        <w:rPr>
          <w:rFonts w:ascii="华文楷体" w:eastAsia="华文楷体" w:hint="eastAsia"/>
          <w:spacing w:val="-3"/>
          <w:sz w:val="28"/>
        </w:rPr>
        <w:t>列出</w:t>
      </w:r>
      <w:r>
        <w:rPr>
          <w:rFonts w:ascii="华文楷体" w:eastAsia="华文楷体" w:hint="eastAsia"/>
          <w:sz w:val="28"/>
        </w:rPr>
        <w:t>今年任</w:t>
      </w:r>
      <w:r>
        <w:rPr>
          <w:rFonts w:ascii="华文楷体" w:eastAsia="华文楷体" w:hint="eastAsia"/>
          <w:spacing w:val="-3"/>
          <w:sz w:val="28"/>
        </w:rPr>
        <w:t>务</w:t>
      </w:r>
      <w:r>
        <w:rPr>
          <w:rFonts w:ascii="华文楷体" w:eastAsia="华文楷体" w:hint="eastAsia"/>
          <w:sz w:val="28"/>
        </w:rPr>
        <w:t>清单</w:t>
        <w:tab/>
        <w:t>1</w:t>
      </w:r>
    </w:p>
    <w:p>
      <w:pPr>
        <w:tabs>
          <w:tab w:pos="9073" w:val="right" w:leader="dot"/>
        </w:tabs>
        <w:spacing w:before="40"/>
        <w:ind w:left="0" w:right="34" w:firstLine="0"/>
        <w:jc w:val="center"/>
        <w:rPr>
          <w:rFonts w:ascii="华文楷体" w:eastAsia="华文楷体" w:hint="eastAsia"/>
          <w:sz w:val="28"/>
        </w:rPr>
      </w:pPr>
      <w:r>
        <w:rPr>
          <w:rFonts w:ascii="华文楷体" w:eastAsia="华文楷体" w:hint="eastAsia"/>
          <w:sz w:val="28"/>
        </w:rPr>
        <w:t>医疗乱</w:t>
      </w:r>
      <w:r>
        <w:rPr>
          <w:rFonts w:ascii="华文楷体" w:eastAsia="华文楷体" w:hint="eastAsia"/>
          <w:spacing w:val="-3"/>
          <w:sz w:val="28"/>
        </w:rPr>
        <w:t>象</w:t>
      </w:r>
      <w:r>
        <w:rPr>
          <w:rFonts w:ascii="华文楷体" w:eastAsia="华文楷体" w:hint="eastAsia"/>
          <w:sz w:val="28"/>
        </w:rPr>
        <w:t>专项</w:t>
      </w:r>
      <w:r>
        <w:rPr>
          <w:rFonts w:ascii="华文楷体" w:eastAsia="华文楷体" w:hint="eastAsia"/>
          <w:spacing w:val="-3"/>
          <w:sz w:val="28"/>
        </w:rPr>
        <w:t>整治</w:t>
      </w:r>
      <w:r>
        <w:rPr>
          <w:rFonts w:ascii="华文楷体" w:eastAsia="华文楷体" w:hint="eastAsia"/>
          <w:sz w:val="28"/>
        </w:rPr>
        <w:t>拉开大幕</w:t>
        <w:tab/>
        <w:t>2</w:t>
      </w:r>
    </w:p>
    <w:p>
      <w:pPr>
        <w:tabs>
          <w:tab w:pos="9073" w:val="right" w:leader="dot"/>
        </w:tabs>
        <w:spacing w:before="43"/>
        <w:ind w:left="0" w:right="34" w:firstLine="0"/>
        <w:jc w:val="center"/>
        <w:rPr>
          <w:rFonts w:ascii="华文楷体" w:eastAsia="华文楷体" w:hint="eastAsia"/>
          <w:sz w:val="28"/>
        </w:rPr>
      </w:pPr>
      <w:r>
        <w:rPr>
          <w:rFonts w:ascii="华文楷体" w:eastAsia="华文楷体" w:hint="eastAsia"/>
          <w:sz w:val="28"/>
        </w:rPr>
        <w:t>国家药</w:t>
      </w:r>
      <w:r>
        <w:rPr>
          <w:rFonts w:ascii="华文楷体" w:eastAsia="华文楷体" w:hint="eastAsia"/>
          <w:spacing w:val="-3"/>
          <w:sz w:val="28"/>
        </w:rPr>
        <w:t>品</w:t>
      </w:r>
      <w:r>
        <w:rPr>
          <w:rFonts w:ascii="华文楷体" w:eastAsia="华文楷体" w:hint="eastAsia"/>
          <w:sz w:val="28"/>
        </w:rPr>
        <w:t>标准</w:t>
      </w:r>
      <w:r>
        <w:rPr>
          <w:rFonts w:ascii="华文楷体" w:eastAsia="华文楷体" w:hint="eastAsia"/>
          <w:spacing w:val="-3"/>
          <w:sz w:val="28"/>
        </w:rPr>
        <w:t>制</w:t>
      </w:r>
      <w:r>
        <w:rPr>
          <w:rFonts w:ascii="华文楷体" w:eastAsia="华文楷体" w:hint="eastAsia"/>
          <w:sz w:val="28"/>
        </w:rPr>
        <w:t>定</w:t>
      </w:r>
      <w:r>
        <w:rPr>
          <w:rFonts w:ascii="华文楷体" w:eastAsia="华文楷体" w:hint="eastAsia"/>
          <w:spacing w:val="69"/>
          <w:sz w:val="28"/>
        </w:rPr>
        <w:t> </w:t>
      </w:r>
      <w:r>
        <w:rPr>
          <w:rFonts w:ascii="华文楷体" w:eastAsia="华文楷体" w:hint="eastAsia"/>
          <w:sz w:val="28"/>
        </w:rPr>
        <w:t>企业不</w:t>
      </w:r>
      <w:r>
        <w:rPr>
          <w:rFonts w:ascii="华文楷体" w:eastAsia="华文楷体" w:hint="eastAsia"/>
          <w:spacing w:val="-3"/>
          <w:sz w:val="28"/>
        </w:rPr>
        <w:t>应</w:t>
      </w:r>
      <w:r>
        <w:rPr>
          <w:rFonts w:ascii="华文楷体" w:eastAsia="华文楷体" w:hint="eastAsia"/>
          <w:sz w:val="28"/>
        </w:rPr>
        <w:t>缺席</w:t>
        <w:tab/>
        <w:t>3</w:t>
      </w:r>
    </w:p>
    <w:p>
      <w:pPr>
        <w:pStyle w:val="Heading3"/>
        <w:tabs>
          <w:tab w:pos="9073" w:val="right" w:leader="dot"/>
        </w:tabs>
        <w:spacing w:before="40"/>
        <w:ind w:right="34"/>
        <w:jc w:val="center"/>
        <w:rPr>
          <w:rFonts w:ascii="华文楷体" w:eastAsia="华文楷体" w:hint="eastAsia"/>
          <w:b w:val="0"/>
        </w:rPr>
      </w:pPr>
      <w:r>
        <w:rPr>
          <w:rFonts w:ascii="华文楷体" w:eastAsia="华文楷体" w:hint="eastAsia"/>
        </w:rPr>
        <w:t>【医改新政】</w:t>
        <w:tab/>
      </w:r>
      <w:r>
        <w:rPr>
          <w:rFonts w:ascii="华文楷体" w:eastAsia="华文楷体" w:hint="eastAsia"/>
          <w:b w:val="0"/>
        </w:rPr>
        <w:t>5</w:t>
      </w:r>
    </w:p>
    <w:p>
      <w:pPr>
        <w:tabs>
          <w:tab w:pos="9073" w:val="right" w:leader="dot"/>
        </w:tabs>
        <w:spacing w:before="40"/>
        <w:ind w:left="0" w:right="34" w:firstLine="0"/>
        <w:jc w:val="center"/>
        <w:rPr>
          <w:rFonts w:ascii="华文楷体" w:eastAsia="华文楷体" w:hint="eastAsia"/>
          <w:sz w:val="28"/>
        </w:rPr>
      </w:pPr>
      <w:r>
        <w:rPr>
          <w:rFonts w:ascii="华文楷体" w:eastAsia="华文楷体" w:hint="eastAsia"/>
          <w:sz w:val="28"/>
        </w:rPr>
        <w:t>北京发</w:t>
      </w:r>
      <w:r>
        <w:rPr>
          <w:rFonts w:ascii="华文楷体" w:eastAsia="华文楷体" w:hint="eastAsia"/>
          <w:spacing w:val="-3"/>
          <w:sz w:val="28"/>
        </w:rPr>
        <w:t>力</w:t>
      </w:r>
      <w:r>
        <w:rPr>
          <w:rFonts w:ascii="华文楷体" w:eastAsia="华文楷体" w:hint="eastAsia"/>
          <w:sz w:val="28"/>
        </w:rPr>
        <w:t>集中</w:t>
      </w:r>
      <w:r>
        <w:rPr>
          <w:rFonts w:ascii="华文楷体" w:eastAsia="华文楷体" w:hint="eastAsia"/>
          <w:spacing w:val="-3"/>
          <w:sz w:val="28"/>
        </w:rPr>
        <w:t>采购</w:t>
      </w:r>
      <w:r>
        <w:rPr>
          <w:rFonts w:ascii="华文楷体" w:eastAsia="华文楷体" w:hint="eastAsia"/>
          <w:sz w:val="28"/>
        </w:rPr>
        <w:t>中选药</w:t>
      </w:r>
      <w:r>
        <w:rPr>
          <w:rFonts w:ascii="华文楷体" w:eastAsia="华文楷体" w:hint="eastAsia"/>
          <w:spacing w:val="-3"/>
          <w:sz w:val="28"/>
        </w:rPr>
        <w:t>品</w:t>
      </w:r>
      <w:r>
        <w:rPr>
          <w:rFonts w:ascii="华文楷体" w:eastAsia="华文楷体" w:hint="eastAsia"/>
          <w:sz w:val="28"/>
        </w:rPr>
        <w:t>监管</w:t>
        <w:tab/>
        <w:t>5</w:t>
      </w:r>
    </w:p>
    <w:p>
      <w:pPr>
        <w:tabs>
          <w:tab w:pos="9073" w:val="right" w:leader="dot"/>
        </w:tabs>
        <w:spacing w:before="43"/>
        <w:ind w:left="0" w:right="34" w:firstLine="0"/>
        <w:jc w:val="center"/>
        <w:rPr>
          <w:rFonts w:ascii="华文楷体" w:eastAsia="华文楷体" w:hint="eastAsia"/>
          <w:sz w:val="28"/>
        </w:rPr>
      </w:pPr>
      <w:r>
        <w:rPr>
          <w:rFonts w:ascii="华文楷体" w:eastAsia="华文楷体" w:hint="eastAsia"/>
          <w:sz w:val="28"/>
        </w:rPr>
        <w:t>河南将</w:t>
      </w:r>
      <w:r>
        <w:rPr>
          <w:rFonts w:ascii="华文楷体" w:eastAsia="华文楷体" w:hint="eastAsia"/>
          <w:spacing w:val="-3"/>
          <w:sz w:val="28"/>
        </w:rPr>
        <w:t>建</w:t>
      </w:r>
      <w:r>
        <w:rPr>
          <w:rFonts w:ascii="华文楷体" w:eastAsia="华文楷体" w:hint="eastAsia"/>
          <w:sz w:val="28"/>
        </w:rPr>
        <w:t>药品</w:t>
      </w:r>
      <w:r>
        <w:rPr>
          <w:rFonts w:ascii="华文楷体" w:eastAsia="华文楷体" w:hint="eastAsia"/>
          <w:spacing w:val="-3"/>
          <w:sz w:val="28"/>
        </w:rPr>
        <w:t>使用</w:t>
      </w:r>
      <w:r>
        <w:rPr>
          <w:rFonts w:ascii="华文楷体" w:eastAsia="华文楷体" w:hint="eastAsia"/>
          <w:sz w:val="28"/>
        </w:rPr>
        <w:t>监测平台</w:t>
        <w:tab/>
        <w:t>6</w:t>
      </w:r>
    </w:p>
    <w:p>
      <w:pPr>
        <w:tabs>
          <w:tab w:pos="9073" w:val="right" w:leader="dot"/>
        </w:tabs>
        <w:spacing w:before="40"/>
        <w:ind w:left="0" w:right="34" w:firstLine="0"/>
        <w:jc w:val="center"/>
        <w:rPr>
          <w:rFonts w:ascii="华文楷体" w:eastAsia="华文楷体" w:hint="eastAsia"/>
          <w:sz w:val="28"/>
        </w:rPr>
      </w:pPr>
      <w:r>
        <w:rPr>
          <w:rFonts w:ascii="华文楷体" w:eastAsia="华文楷体" w:hint="eastAsia"/>
          <w:sz w:val="28"/>
        </w:rPr>
        <w:t>海南鼓</w:t>
      </w:r>
      <w:r>
        <w:rPr>
          <w:rFonts w:ascii="华文楷体" w:eastAsia="华文楷体" w:hint="eastAsia"/>
          <w:spacing w:val="-3"/>
          <w:sz w:val="28"/>
        </w:rPr>
        <w:t>励</w:t>
      </w:r>
      <w:r>
        <w:rPr>
          <w:rFonts w:ascii="华文楷体" w:eastAsia="华文楷体" w:hint="eastAsia"/>
          <w:sz w:val="28"/>
        </w:rPr>
        <w:t>优先</w:t>
      </w:r>
      <w:r>
        <w:rPr>
          <w:rFonts w:ascii="华文楷体" w:eastAsia="华文楷体" w:hint="eastAsia"/>
          <w:spacing w:val="-3"/>
          <w:sz w:val="28"/>
        </w:rPr>
        <w:t>使用</w:t>
      </w:r>
      <w:r>
        <w:rPr>
          <w:rFonts w:ascii="华文楷体" w:eastAsia="华文楷体" w:hint="eastAsia"/>
          <w:sz w:val="28"/>
        </w:rPr>
        <w:t>基本药物</w:t>
        <w:tab/>
        <w:t>6</w:t>
      </w:r>
    </w:p>
    <w:p>
      <w:pPr>
        <w:pStyle w:val="Heading3"/>
        <w:tabs>
          <w:tab w:pos="9073" w:val="right" w:leader="dot"/>
        </w:tabs>
        <w:spacing w:before="40"/>
        <w:ind w:right="34"/>
        <w:jc w:val="center"/>
        <w:rPr>
          <w:rFonts w:ascii="华文楷体" w:eastAsia="华文楷体" w:hint="eastAsia"/>
          <w:b w:val="0"/>
        </w:rPr>
      </w:pPr>
      <w:r>
        <w:rPr>
          <w:rFonts w:ascii="华文楷体" w:eastAsia="华文楷体" w:hint="eastAsia"/>
        </w:rPr>
        <w:t>【药监动态】</w:t>
        <w:tab/>
      </w:r>
      <w:r>
        <w:rPr>
          <w:rFonts w:ascii="华文楷体" w:eastAsia="华文楷体" w:hint="eastAsia"/>
          <w:b w:val="0"/>
        </w:rPr>
        <w:t>7</w:t>
      </w:r>
    </w:p>
    <w:p>
      <w:pPr>
        <w:tabs>
          <w:tab w:pos="9073" w:val="right" w:leader="dot"/>
        </w:tabs>
        <w:spacing w:before="42"/>
        <w:ind w:left="0" w:right="34" w:firstLine="0"/>
        <w:jc w:val="center"/>
        <w:rPr>
          <w:rFonts w:ascii="华文楷体" w:hAnsi="华文楷体" w:eastAsia="华文楷体" w:hint="eastAsia"/>
          <w:sz w:val="28"/>
        </w:rPr>
      </w:pPr>
      <w:r>
        <w:rPr>
          <w:rFonts w:ascii="华文楷体" w:hAnsi="华文楷体" w:eastAsia="华文楷体" w:hint="eastAsia"/>
          <w:sz w:val="28"/>
        </w:rPr>
        <w:t>国家药</w:t>
      </w:r>
      <w:r>
        <w:rPr>
          <w:rFonts w:ascii="华文楷体" w:hAnsi="华文楷体" w:eastAsia="华文楷体" w:hint="eastAsia"/>
          <w:spacing w:val="-3"/>
          <w:sz w:val="28"/>
        </w:rPr>
        <w:t>监</w:t>
      </w:r>
      <w:r>
        <w:rPr>
          <w:rFonts w:ascii="华文楷体" w:hAnsi="华文楷体" w:eastAsia="华文楷体" w:hint="eastAsia"/>
          <w:sz w:val="28"/>
        </w:rPr>
        <w:t>局整</w:t>
      </w:r>
      <w:r>
        <w:rPr>
          <w:rFonts w:ascii="华文楷体" w:hAnsi="华文楷体" w:eastAsia="华文楷体" w:hint="eastAsia"/>
          <w:spacing w:val="-3"/>
          <w:sz w:val="28"/>
        </w:rPr>
        <w:t>治执</w:t>
      </w:r>
      <w:r>
        <w:rPr>
          <w:rFonts w:ascii="华文楷体" w:hAnsi="华文楷体" w:eastAsia="华文楷体" w:hint="eastAsia"/>
          <w:sz w:val="28"/>
        </w:rPr>
        <w:t>业药师</w:t>
      </w:r>
      <w:r>
        <w:rPr>
          <w:rFonts w:ascii="华文楷体" w:hAnsi="华文楷体" w:eastAsia="华文楷体" w:hint="eastAsia"/>
          <w:spacing w:val="-3"/>
          <w:sz w:val="28"/>
        </w:rPr>
        <w:t>“</w:t>
      </w:r>
      <w:r>
        <w:rPr>
          <w:rFonts w:ascii="华文楷体" w:hAnsi="华文楷体" w:eastAsia="华文楷体" w:hint="eastAsia"/>
          <w:sz w:val="28"/>
        </w:rPr>
        <w:t>挂证</w:t>
      </w:r>
      <w:r>
        <w:rPr>
          <w:rFonts w:ascii="华文楷体" w:hAnsi="华文楷体" w:eastAsia="华文楷体" w:hint="eastAsia"/>
          <w:spacing w:val="-3"/>
          <w:sz w:val="28"/>
        </w:rPr>
        <w:t>”行</w:t>
      </w:r>
      <w:r>
        <w:rPr>
          <w:rFonts w:ascii="华文楷体" w:hAnsi="华文楷体" w:eastAsia="华文楷体" w:hint="eastAsia"/>
          <w:sz w:val="28"/>
        </w:rPr>
        <w:t>为</w:t>
        <w:tab/>
        <w:t>7</w:t>
      </w:r>
    </w:p>
    <w:p>
      <w:pPr>
        <w:tabs>
          <w:tab w:pos="9073" w:val="right" w:leader="dot"/>
        </w:tabs>
        <w:spacing w:before="40"/>
        <w:ind w:left="0" w:right="34" w:firstLine="0"/>
        <w:jc w:val="center"/>
        <w:rPr>
          <w:rFonts w:ascii="华文楷体" w:eastAsia="华文楷体" w:hint="eastAsia"/>
          <w:sz w:val="28"/>
        </w:rPr>
      </w:pPr>
      <w:r>
        <w:rPr>
          <w:rFonts w:ascii="华文楷体" w:eastAsia="华文楷体" w:hint="eastAsia"/>
          <w:sz w:val="28"/>
        </w:rPr>
        <w:t>第二批</w:t>
      </w:r>
      <w:r>
        <w:rPr>
          <w:rFonts w:ascii="华文楷体" w:eastAsia="华文楷体" w:hint="eastAsia"/>
          <w:spacing w:val="-3"/>
          <w:sz w:val="28"/>
        </w:rPr>
        <w:t>临</w:t>
      </w:r>
      <w:r>
        <w:rPr>
          <w:rFonts w:ascii="华文楷体" w:eastAsia="华文楷体" w:hint="eastAsia"/>
          <w:sz w:val="28"/>
        </w:rPr>
        <w:t>床急</w:t>
      </w:r>
      <w:r>
        <w:rPr>
          <w:rFonts w:ascii="华文楷体" w:eastAsia="华文楷体" w:hint="eastAsia"/>
          <w:spacing w:val="-3"/>
          <w:sz w:val="28"/>
        </w:rPr>
        <w:t>需境</w:t>
      </w:r>
      <w:r>
        <w:rPr>
          <w:rFonts w:ascii="华文楷体" w:eastAsia="华文楷体" w:hint="eastAsia"/>
          <w:sz w:val="28"/>
        </w:rPr>
        <w:t>外新药</w:t>
      </w:r>
      <w:r>
        <w:rPr>
          <w:rFonts w:ascii="华文楷体" w:eastAsia="华文楷体" w:hint="eastAsia"/>
          <w:spacing w:val="-3"/>
          <w:sz w:val="28"/>
        </w:rPr>
        <w:t>名</w:t>
      </w:r>
      <w:r>
        <w:rPr>
          <w:rFonts w:ascii="华文楷体" w:eastAsia="华文楷体" w:hint="eastAsia"/>
          <w:sz w:val="28"/>
        </w:rPr>
        <w:t>单公示</w:t>
        <w:tab/>
        <w:t>8</w:t>
      </w:r>
    </w:p>
    <w:p>
      <w:pPr>
        <w:tabs>
          <w:tab w:pos="9073" w:val="right" w:leader="dot"/>
        </w:tabs>
        <w:spacing w:before="40"/>
        <w:ind w:left="0" w:right="34" w:firstLine="0"/>
        <w:jc w:val="center"/>
        <w:rPr>
          <w:rFonts w:ascii="华文楷体" w:eastAsia="华文楷体" w:hint="eastAsia"/>
          <w:sz w:val="28"/>
        </w:rPr>
      </w:pPr>
      <w:r>
        <w:rPr>
          <w:rFonts w:ascii="华文楷体" w:eastAsia="华文楷体" w:hint="eastAsia"/>
          <w:sz w:val="28"/>
        </w:rPr>
        <w:t>关于</w:t>
      </w:r>
      <w:r>
        <w:rPr>
          <w:rFonts w:ascii="华文楷体" w:eastAsia="华文楷体" w:hint="eastAsia"/>
          <w:spacing w:val="-1"/>
          <w:sz w:val="28"/>
        </w:rPr>
        <w:t> </w:t>
      </w:r>
      <w:r>
        <w:rPr>
          <w:rFonts w:ascii="华文楷体" w:eastAsia="华文楷体" w:hint="eastAsia"/>
          <w:sz w:val="28"/>
        </w:rPr>
        <w:t>36</w:t>
      </w:r>
      <w:r>
        <w:rPr>
          <w:rFonts w:ascii="华文楷体" w:eastAsia="华文楷体" w:hint="eastAsia"/>
          <w:spacing w:val="-1"/>
          <w:sz w:val="28"/>
        </w:rPr>
        <w:t> </w:t>
      </w:r>
      <w:r>
        <w:rPr>
          <w:rFonts w:ascii="华文楷体" w:eastAsia="华文楷体" w:hint="eastAsia"/>
          <w:spacing w:val="-3"/>
          <w:sz w:val="28"/>
        </w:rPr>
        <w:t>批</w:t>
      </w:r>
      <w:r>
        <w:rPr>
          <w:rFonts w:ascii="华文楷体" w:eastAsia="华文楷体" w:hint="eastAsia"/>
          <w:sz w:val="28"/>
        </w:rPr>
        <w:t>次药品</w:t>
      </w:r>
      <w:r>
        <w:rPr>
          <w:rFonts w:ascii="华文楷体" w:eastAsia="华文楷体" w:hint="eastAsia"/>
          <w:spacing w:val="-3"/>
          <w:sz w:val="28"/>
        </w:rPr>
        <w:t>不</w:t>
      </w:r>
      <w:r>
        <w:rPr>
          <w:rFonts w:ascii="华文楷体" w:eastAsia="华文楷体" w:hint="eastAsia"/>
          <w:sz w:val="28"/>
        </w:rPr>
        <w:t>符合规</w:t>
      </w:r>
      <w:r>
        <w:rPr>
          <w:rFonts w:ascii="华文楷体" w:eastAsia="华文楷体" w:hint="eastAsia"/>
          <w:spacing w:val="-3"/>
          <w:sz w:val="28"/>
        </w:rPr>
        <w:t>定</w:t>
      </w:r>
      <w:r>
        <w:rPr>
          <w:rFonts w:ascii="华文楷体" w:eastAsia="华文楷体" w:hint="eastAsia"/>
          <w:sz w:val="28"/>
        </w:rPr>
        <w:t>的通</w:t>
      </w:r>
      <w:r>
        <w:rPr>
          <w:rFonts w:ascii="华文楷体" w:eastAsia="华文楷体" w:hint="eastAsia"/>
          <w:spacing w:val="-3"/>
          <w:sz w:val="28"/>
        </w:rPr>
        <w:t>告</w:t>
      </w:r>
      <w:r>
        <w:rPr>
          <w:rFonts w:ascii="华文楷体" w:eastAsia="华文楷体" w:hint="eastAsia"/>
          <w:sz w:val="28"/>
        </w:rPr>
        <w:t>（2019</w:t>
      </w:r>
      <w:r>
        <w:rPr>
          <w:rFonts w:ascii="华文楷体" w:eastAsia="华文楷体" w:hint="eastAsia"/>
          <w:spacing w:val="1"/>
          <w:sz w:val="28"/>
        </w:rPr>
        <w:t> </w:t>
      </w:r>
      <w:r>
        <w:rPr>
          <w:rFonts w:ascii="华文楷体" w:eastAsia="华文楷体" w:hint="eastAsia"/>
          <w:sz w:val="28"/>
        </w:rPr>
        <w:t>年第</w:t>
      </w:r>
      <w:r>
        <w:rPr>
          <w:rFonts w:ascii="华文楷体" w:eastAsia="华文楷体" w:hint="eastAsia"/>
          <w:spacing w:val="-1"/>
          <w:sz w:val="28"/>
        </w:rPr>
        <w:t> </w:t>
      </w:r>
      <w:r>
        <w:rPr>
          <w:rFonts w:ascii="华文楷体" w:eastAsia="华文楷体" w:hint="eastAsia"/>
          <w:sz w:val="28"/>
        </w:rPr>
        <w:t>14</w:t>
      </w:r>
      <w:r>
        <w:rPr>
          <w:rFonts w:ascii="华文楷体" w:eastAsia="华文楷体" w:hint="eastAsia"/>
          <w:spacing w:val="-1"/>
          <w:sz w:val="28"/>
        </w:rPr>
        <w:t> </w:t>
      </w:r>
      <w:r>
        <w:rPr>
          <w:rFonts w:ascii="华文楷体" w:eastAsia="华文楷体" w:hint="eastAsia"/>
          <w:sz w:val="28"/>
        </w:rPr>
        <w:t>号）</w:t>
        <w:tab/>
        <w:t>9</w:t>
      </w:r>
    </w:p>
    <w:p>
      <w:pPr>
        <w:tabs>
          <w:tab w:pos="9073" w:val="right" w:leader="dot"/>
        </w:tabs>
        <w:spacing w:before="43"/>
        <w:ind w:left="0" w:right="34" w:firstLine="0"/>
        <w:jc w:val="center"/>
        <w:rPr>
          <w:rFonts w:ascii="华文楷体" w:eastAsia="华文楷体" w:hint="eastAsia"/>
          <w:sz w:val="28"/>
        </w:rPr>
      </w:pPr>
      <w:r>
        <w:rPr>
          <w:rFonts w:ascii="华文楷体" w:eastAsia="华文楷体" w:hint="eastAsia"/>
          <w:sz w:val="28"/>
        </w:rPr>
        <w:t>执业药</w:t>
      </w:r>
      <w:r>
        <w:rPr>
          <w:rFonts w:ascii="华文楷体" w:eastAsia="华文楷体" w:hint="eastAsia"/>
          <w:spacing w:val="-3"/>
          <w:sz w:val="28"/>
        </w:rPr>
        <w:t>师</w:t>
      </w:r>
      <w:r>
        <w:rPr>
          <w:rFonts w:ascii="华文楷体" w:eastAsia="华文楷体" w:hint="eastAsia"/>
          <w:sz w:val="28"/>
        </w:rPr>
        <w:t>职业</w:t>
      </w:r>
      <w:r>
        <w:rPr>
          <w:rFonts w:ascii="华文楷体" w:eastAsia="华文楷体" w:hint="eastAsia"/>
          <w:spacing w:val="-3"/>
          <w:sz w:val="28"/>
        </w:rPr>
        <w:t>资格</w:t>
      </w:r>
      <w:r>
        <w:rPr>
          <w:rFonts w:ascii="华文楷体" w:eastAsia="华文楷体" w:hint="eastAsia"/>
          <w:sz w:val="28"/>
        </w:rPr>
        <w:t>考试实</w:t>
      </w:r>
      <w:r>
        <w:rPr>
          <w:rFonts w:ascii="华文楷体" w:eastAsia="华文楷体" w:hint="eastAsia"/>
          <w:spacing w:val="-3"/>
          <w:sz w:val="28"/>
        </w:rPr>
        <w:t>施</w:t>
      </w:r>
      <w:r>
        <w:rPr>
          <w:rFonts w:ascii="华文楷体" w:eastAsia="华文楷体" w:hint="eastAsia"/>
          <w:sz w:val="28"/>
        </w:rPr>
        <w:t>办法</w:t>
      </w:r>
      <w:r>
        <w:rPr>
          <w:rFonts w:ascii="华文楷体" w:eastAsia="华文楷体" w:hint="eastAsia"/>
          <w:spacing w:val="-3"/>
          <w:sz w:val="28"/>
        </w:rPr>
        <w:t>的通</w:t>
      </w:r>
      <w:r>
        <w:rPr>
          <w:rFonts w:ascii="华文楷体" w:eastAsia="华文楷体" w:hint="eastAsia"/>
          <w:sz w:val="28"/>
        </w:rPr>
        <w:t>知</w:t>
        <w:tab/>
        <w:t>9</w:t>
      </w:r>
    </w:p>
    <w:p>
      <w:pPr>
        <w:tabs>
          <w:tab w:pos="9075" w:val="right" w:leader="dot"/>
        </w:tabs>
        <w:spacing w:before="40"/>
        <w:ind w:left="0" w:right="31" w:firstLine="0"/>
        <w:jc w:val="center"/>
        <w:rPr>
          <w:rFonts w:ascii="华文楷体" w:eastAsia="华文楷体" w:hint="eastAsia"/>
          <w:sz w:val="28"/>
        </w:rPr>
      </w:pPr>
      <w:r>
        <w:rPr>
          <w:rFonts w:ascii="华文楷体" w:eastAsia="华文楷体" w:hint="eastAsia"/>
          <w:sz w:val="28"/>
        </w:rPr>
        <w:t>蟾酥注</w:t>
      </w:r>
      <w:r>
        <w:rPr>
          <w:rFonts w:ascii="华文楷体" w:eastAsia="华文楷体" w:hint="eastAsia"/>
          <w:spacing w:val="-3"/>
          <w:sz w:val="28"/>
        </w:rPr>
        <w:t>射</w:t>
      </w:r>
      <w:r>
        <w:rPr>
          <w:rFonts w:ascii="华文楷体" w:eastAsia="华文楷体" w:hint="eastAsia"/>
          <w:sz w:val="28"/>
        </w:rPr>
        <w:t>液说</w:t>
      </w:r>
      <w:r>
        <w:rPr>
          <w:rFonts w:ascii="华文楷体" w:eastAsia="华文楷体" w:hint="eastAsia"/>
          <w:spacing w:val="-3"/>
          <w:sz w:val="28"/>
        </w:rPr>
        <w:t>明书</w:t>
      </w:r>
      <w:r>
        <w:rPr>
          <w:rFonts w:ascii="华文楷体" w:eastAsia="华文楷体" w:hint="eastAsia"/>
          <w:sz w:val="28"/>
        </w:rPr>
        <w:t>修订</w:t>
        <w:tab/>
        <w:t>14</w:t>
      </w:r>
    </w:p>
    <w:p>
      <w:pPr>
        <w:tabs>
          <w:tab w:pos="9075" w:val="right" w:leader="dot"/>
        </w:tabs>
        <w:spacing w:before="40"/>
        <w:ind w:left="0" w:right="31" w:firstLine="0"/>
        <w:jc w:val="center"/>
        <w:rPr>
          <w:rFonts w:ascii="华文楷体" w:eastAsia="华文楷体" w:hint="eastAsia"/>
          <w:sz w:val="28"/>
        </w:rPr>
      </w:pPr>
      <w:r>
        <w:rPr>
          <w:rFonts w:ascii="华文楷体" w:eastAsia="华文楷体" w:hint="eastAsia"/>
          <w:sz w:val="28"/>
        </w:rPr>
        <w:t>关于修</w:t>
      </w:r>
      <w:r>
        <w:rPr>
          <w:rFonts w:ascii="华文楷体" w:eastAsia="华文楷体" w:hint="eastAsia"/>
          <w:spacing w:val="-3"/>
          <w:sz w:val="28"/>
        </w:rPr>
        <w:t>订</w:t>
      </w:r>
      <w:r>
        <w:rPr>
          <w:rFonts w:ascii="华文楷体" w:eastAsia="华文楷体" w:hint="eastAsia"/>
          <w:sz w:val="28"/>
        </w:rPr>
        <w:t>通关</w:t>
      </w:r>
      <w:r>
        <w:rPr>
          <w:rFonts w:ascii="华文楷体" w:eastAsia="华文楷体" w:hint="eastAsia"/>
          <w:spacing w:val="-3"/>
          <w:sz w:val="28"/>
        </w:rPr>
        <w:t>藤注</w:t>
      </w:r>
      <w:r>
        <w:rPr>
          <w:rFonts w:ascii="华文楷体" w:eastAsia="华文楷体" w:hint="eastAsia"/>
          <w:sz w:val="28"/>
        </w:rPr>
        <w:t>射液（</w:t>
      </w:r>
      <w:r>
        <w:rPr>
          <w:rFonts w:ascii="华文楷体" w:eastAsia="华文楷体" w:hint="eastAsia"/>
          <w:spacing w:val="-3"/>
          <w:sz w:val="28"/>
        </w:rPr>
        <w:t>消</w:t>
      </w:r>
      <w:r>
        <w:rPr>
          <w:rFonts w:ascii="华文楷体" w:eastAsia="华文楷体" w:hint="eastAsia"/>
          <w:sz w:val="28"/>
        </w:rPr>
        <w:t>癌平</w:t>
      </w:r>
      <w:r>
        <w:rPr>
          <w:rFonts w:ascii="华文楷体" w:eastAsia="华文楷体" w:hint="eastAsia"/>
          <w:spacing w:val="-3"/>
          <w:sz w:val="28"/>
        </w:rPr>
        <w:t>注射</w:t>
      </w:r>
      <w:r>
        <w:rPr>
          <w:rFonts w:ascii="华文楷体" w:eastAsia="华文楷体" w:hint="eastAsia"/>
          <w:sz w:val="28"/>
        </w:rPr>
        <w:t>液）说</w:t>
      </w:r>
      <w:r>
        <w:rPr>
          <w:rFonts w:ascii="华文楷体" w:eastAsia="华文楷体" w:hint="eastAsia"/>
          <w:spacing w:val="-3"/>
          <w:sz w:val="28"/>
        </w:rPr>
        <w:t>明</w:t>
      </w:r>
      <w:r>
        <w:rPr>
          <w:rFonts w:ascii="华文楷体" w:eastAsia="华文楷体" w:hint="eastAsia"/>
          <w:sz w:val="28"/>
        </w:rPr>
        <w:t>书的</w:t>
      </w:r>
      <w:r>
        <w:rPr>
          <w:rFonts w:ascii="华文楷体" w:eastAsia="华文楷体" w:hint="eastAsia"/>
          <w:spacing w:val="-3"/>
          <w:sz w:val="28"/>
        </w:rPr>
        <w:t>公</w:t>
      </w:r>
      <w:r>
        <w:rPr>
          <w:rFonts w:ascii="华文楷体" w:eastAsia="华文楷体" w:hint="eastAsia"/>
          <w:sz w:val="28"/>
        </w:rPr>
        <w:t>告</w:t>
        <w:tab/>
        <w:t>14</w:t>
      </w:r>
    </w:p>
    <w:p>
      <w:pPr>
        <w:tabs>
          <w:tab w:pos="9075" w:val="right" w:leader="dot"/>
        </w:tabs>
        <w:spacing w:before="42"/>
        <w:ind w:left="0" w:right="31" w:firstLine="0"/>
        <w:jc w:val="center"/>
        <w:rPr>
          <w:rFonts w:ascii="华文楷体" w:eastAsia="华文楷体" w:hint="eastAsia"/>
          <w:sz w:val="28"/>
        </w:rPr>
      </w:pPr>
      <w:r>
        <w:rPr>
          <w:rFonts w:ascii="华文楷体" w:eastAsia="华文楷体" w:hint="eastAsia"/>
          <w:sz w:val="28"/>
        </w:rPr>
        <w:t>两种印</w:t>
      </w:r>
      <w:r>
        <w:rPr>
          <w:rFonts w:ascii="华文楷体" w:eastAsia="华文楷体" w:hint="eastAsia"/>
          <w:spacing w:val="-3"/>
          <w:sz w:val="28"/>
        </w:rPr>
        <w:t>度</w:t>
      </w:r>
      <w:r>
        <w:rPr>
          <w:rFonts w:ascii="华文楷体" w:eastAsia="华文楷体" w:hint="eastAsia"/>
          <w:sz w:val="28"/>
        </w:rPr>
        <w:t>原料</w:t>
      </w:r>
      <w:r>
        <w:rPr>
          <w:rFonts w:ascii="华文楷体" w:eastAsia="华文楷体" w:hint="eastAsia"/>
          <w:spacing w:val="-3"/>
          <w:sz w:val="28"/>
        </w:rPr>
        <w:t>药暂</w:t>
      </w:r>
      <w:r>
        <w:rPr>
          <w:rFonts w:ascii="华文楷体" w:eastAsia="华文楷体" w:hint="eastAsia"/>
          <w:sz w:val="28"/>
        </w:rPr>
        <w:t>停进口</w:t>
      </w:r>
      <w:r>
        <w:rPr>
          <w:rFonts w:ascii="华文楷体" w:eastAsia="华文楷体" w:hint="eastAsia"/>
          <w:spacing w:val="-3"/>
          <w:sz w:val="28"/>
        </w:rPr>
        <w:t>通</w:t>
      </w:r>
      <w:r>
        <w:rPr>
          <w:rFonts w:ascii="华文楷体" w:eastAsia="华文楷体" w:hint="eastAsia"/>
          <w:sz w:val="28"/>
        </w:rPr>
        <w:t>关备案</w:t>
        <w:tab/>
        <w:t>15</w:t>
      </w:r>
    </w:p>
    <w:p>
      <w:pPr>
        <w:spacing w:after="0"/>
        <w:jc w:val="center"/>
        <w:rPr>
          <w:rFonts w:ascii="华文楷体" w:eastAsia="华文楷体" w:hint="eastAsia"/>
          <w:sz w:val="28"/>
        </w:rPr>
        <w:sectPr>
          <w:footerReference w:type="default" r:id="rId5"/>
          <w:type w:val="continuous"/>
          <w:pgSz w:w="11910" w:h="16850"/>
          <w:pgMar w:footer="825" w:top="1100" w:bottom="1020" w:left="1040" w:right="860"/>
          <w:pgNumType w:start="1"/>
        </w:sectPr>
      </w:pPr>
    </w:p>
    <w:sdt>
      <w:sdtPr>
        <w:docPartObj>
          <w:docPartGallery w:val="Table of Contents"/>
          <w:docPartUnique/>
        </w:docPartObj>
      </w:sdtPr>
      <w:sdtEndPr/>
      <w:sdtContent>
        <w:p>
          <w:pPr>
            <w:pStyle w:val="TOC3"/>
            <w:tabs>
              <w:tab w:pos="9075" w:val="right" w:leader="dot"/>
            </w:tabs>
            <w:spacing w:before="258"/>
            <w:rPr>
              <w:b w:val="0"/>
              <w:i w:val="0"/>
              <w:sz w:val="28"/>
            </w:rPr>
          </w:pPr>
          <w:hyperlink w:history="true" w:anchor="_TOC_250046">
            <w:r>
              <w:rPr>
                <w:i w:val="0"/>
                <w:sz w:val="28"/>
              </w:rPr>
              <w:t>【医保动态】</w:t>
              <w:tab/>
            </w:r>
            <w:r>
              <w:rPr>
                <w:b w:val="0"/>
                <w:i w:val="0"/>
                <w:sz w:val="28"/>
              </w:rPr>
              <w:t>16</w:t>
            </w:r>
          </w:hyperlink>
        </w:p>
        <w:p>
          <w:pPr>
            <w:pStyle w:val="TOC2"/>
            <w:tabs>
              <w:tab w:pos="9075" w:val="right" w:leader="dot"/>
            </w:tabs>
            <w:spacing w:line="440" w:lineRule="exact"/>
          </w:pPr>
          <w:hyperlink w:history="true" w:anchor="_TOC_250045">
            <w:r>
              <w:rPr/>
              <w:t>目录调</w:t>
            </w:r>
            <w:r>
              <w:rPr>
                <w:spacing w:val="-3"/>
              </w:rPr>
              <w:t>整</w:t>
            </w:r>
            <w:r>
              <w:rPr/>
              <w:t>回应</w:t>
            </w:r>
            <w:r>
              <w:rPr>
                <w:spacing w:val="-3"/>
              </w:rPr>
              <w:t>“动</w:t>
            </w:r>
            <w:r>
              <w:rPr/>
              <w:t>态需求”</w:t>
              <w:tab/>
              <w:t>16</w:t>
            </w:r>
          </w:hyperlink>
        </w:p>
        <w:p>
          <w:pPr>
            <w:pStyle w:val="TOC1"/>
          </w:pPr>
          <w:hyperlink w:history="true" w:anchor="_TOC_250044">
            <w:r>
              <w:rPr>
                <w:color w:val="1A5220"/>
              </w:rPr>
              <w:t>行业资讯</w:t>
            </w:r>
          </w:hyperlink>
        </w:p>
        <w:p>
          <w:pPr>
            <w:pStyle w:val="TOC3"/>
            <w:tabs>
              <w:tab w:pos="9075" w:val="right" w:leader="dot"/>
            </w:tabs>
            <w:spacing w:before="76"/>
            <w:rPr>
              <w:b w:val="0"/>
              <w:i w:val="0"/>
              <w:sz w:val="28"/>
            </w:rPr>
          </w:pPr>
          <w:hyperlink w:history="true" w:anchor="_TOC_250043">
            <w:r>
              <w:rPr>
                <w:i w:val="0"/>
                <w:sz w:val="28"/>
              </w:rPr>
              <w:t>【医院管理】</w:t>
              <w:tab/>
            </w:r>
            <w:r>
              <w:rPr>
                <w:b w:val="0"/>
                <w:i w:val="0"/>
                <w:sz w:val="28"/>
              </w:rPr>
              <w:t>17</w:t>
            </w:r>
          </w:hyperlink>
        </w:p>
        <w:p>
          <w:pPr>
            <w:pStyle w:val="TOC2"/>
            <w:tabs>
              <w:tab w:pos="9075" w:val="right" w:leader="dot"/>
            </w:tabs>
          </w:pPr>
          <w:hyperlink w:history="true" w:anchor="_TOC_250042">
            <w:r>
              <w:rPr/>
              <w:t>中华人</w:t>
            </w:r>
            <w:r>
              <w:rPr>
                <w:spacing w:val="-3"/>
              </w:rPr>
              <w:t>民</w:t>
            </w:r>
            <w:r>
              <w:rPr/>
              <w:t>共和</w:t>
            </w:r>
            <w:r>
              <w:rPr>
                <w:spacing w:val="-3"/>
              </w:rPr>
              <w:t>国国</w:t>
            </w:r>
            <w:r>
              <w:rPr/>
              <w:t>家卫生</w:t>
            </w:r>
            <w:r>
              <w:rPr>
                <w:spacing w:val="-3"/>
              </w:rPr>
              <w:t>健</w:t>
            </w:r>
            <w:r>
              <w:rPr/>
              <w:t>康委</w:t>
            </w:r>
            <w:r>
              <w:rPr>
                <w:spacing w:val="-3"/>
              </w:rPr>
              <w:t>员会</w:t>
            </w:r>
            <w:r>
              <w:rPr/>
              <w:t>令  第 3</w:t>
            </w:r>
            <w:r>
              <w:rPr>
                <w:spacing w:val="-1"/>
              </w:rPr>
              <w:t> </w:t>
            </w:r>
            <w:r>
              <w:rPr/>
              <w:t>号</w:t>
              <w:tab/>
              <w:t>17</w:t>
            </w:r>
          </w:hyperlink>
        </w:p>
        <w:p>
          <w:pPr>
            <w:pStyle w:val="TOC3"/>
            <w:tabs>
              <w:tab w:pos="9075" w:val="right" w:leader="dot"/>
            </w:tabs>
            <w:rPr>
              <w:b w:val="0"/>
              <w:i w:val="0"/>
              <w:sz w:val="28"/>
            </w:rPr>
          </w:pPr>
          <w:hyperlink w:history="true" w:anchor="_TOC_250041">
            <w:r>
              <w:rPr>
                <w:i w:val="0"/>
                <w:sz w:val="28"/>
              </w:rPr>
              <w:t>【数据公报】</w:t>
              <w:tab/>
            </w:r>
            <w:r>
              <w:rPr>
                <w:b w:val="0"/>
                <w:i w:val="0"/>
                <w:sz w:val="28"/>
              </w:rPr>
              <w:t>22</w:t>
            </w:r>
          </w:hyperlink>
        </w:p>
        <w:p>
          <w:pPr>
            <w:pStyle w:val="TOC2"/>
            <w:tabs>
              <w:tab w:pos="9075" w:val="right" w:leader="dot"/>
            </w:tabs>
            <w:spacing w:line="440" w:lineRule="exact" w:before="43"/>
          </w:pPr>
          <w:hyperlink w:history="true" w:anchor="_TOC_250040">
            <w:r>
              <w:rPr/>
              <w:t>去年西</w:t>
            </w:r>
            <w:r>
              <w:rPr>
                <w:spacing w:val="-3"/>
              </w:rPr>
              <w:t>药</w:t>
            </w:r>
            <w:r>
              <w:rPr/>
              <w:t>制剂</w:t>
            </w:r>
            <w:r>
              <w:rPr>
                <w:spacing w:val="-3"/>
              </w:rPr>
              <w:t>进口</w:t>
            </w:r>
            <w:r>
              <w:rPr/>
              <w:t>额下降近 1/4</w:t>
              <w:tab/>
              <w:t>22</w:t>
            </w:r>
          </w:hyperlink>
        </w:p>
        <w:p>
          <w:pPr>
            <w:pStyle w:val="TOC1"/>
          </w:pPr>
          <w:hyperlink w:history="true" w:anchor="_TOC_250039">
            <w:r>
              <w:rPr>
                <w:color w:val="1A5220"/>
              </w:rPr>
              <w:t>医药前沿</w:t>
            </w:r>
          </w:hyperlink>
        </w:p>
        <w:p>
          <w:pPr>
            <w:pStyle w:val="TOC3"/>
            <w:tabs>
              <w:tab w:pos="9075" w:val="right" w:leader="dot"/>
            </w:tabs>
            <w:spacing w:before="74"/>
            <w:rPr>
              <w:b w:val="0"/>
              <w:i w:val="0"/>
              <w:sz w:val="28"/>
            </w:rPr>
          </w:pPr>
          <w:hyperlink w:history="true" w:anchor="_TOC_250038">
            <w:r>
              <w:rPr>
                <w:i w:val="0"/>
                <w:sz w:val="28"/>
              </w:rPr>
              <w:t>【研究进展】</w:t>
              <w:tab/>
            </w:r>
            <w:r>
              <w:rPr>
                <w:b w:val="0"/>
                <w:i w:val="0"/>
                <w:sz w:val="28"/>
              </w:rPr>
              <w:t>22</w:t>
            </w:r>
          </w:hyperlink>
        </w:p>
        <w:p>
          <w:pPr>
            <w:pStyle w:val="TOC2"/>
            <w:tabs>
              <w:tab w:pos="9075" w:val="right" w:leader="dot"/>
            </w:tabs>
            <w:spacing w:before="42"/>
          </w:pPr>
          <w:hyperlink w:history="true" w:anchor="_TOC_250037">
            <w:r>
              <w:rPr/>
              <w:t>治幽门</w:t>
            </w:r>
            <w:r>
              <w:rPr>
                <w:spacing w:val="-3"/>
              </w:rPr>
              <w:t>螺</w:t>
            </w:r>
            <w:r>
              <w:rPr/>
              <w:t>杆菌</w:t>
            </w:r>
            <w:r>
              <w:rPr>
                <w:spacing w:val="-3"/>
              </w:rPr>
              <w:t>有了</w:t>
            </w:r>
            <w:r>
              <w:rPr/>
              <w:t>优化方法</w:t>
              <w:tab/>
              <w:t>22</w:t>
            </w:r>
          </w:hyperlink>
        </w:p>
        <w:p>
          <w:pPr>
            <w:pStyle w:val="TOC2"/>
            <w:tabs>
              <w:tab w:pos="9075" w:val="right" w:leader="dot"/>
            </w:tabs>
          </w:pPr>
          <w:hyperlink w:history="true" w:anchor="_TOC_250036">
            <w:r>
              <w:rPr/>
              <w:t>安罗替</w:t>
            </w:r>
            <w:r>
              <w:rPr>
                <w:spacing w:val="-3"/>
              </w:rPr>
              <w:t>尼</w:t>
            </w:r>
            <w:r>
              <w:rPr/>
              <w:t>联合</w:t>
            </w:r>
            <w:r>
              <w:rPr>
                <w:spacing w:val="-3"/>
              </w:rPr>
              <w:t>自噬</w:t>
            </w:r>
            <w:r>
              <w:rPr/>
              <w:t>抑制剂</w:t>
            </w:r>
            <w:r>
              <w:rPr>
                <w:spacing w:val="-3"/>
              </w:rPr>
              <w:t>可</w:t>
            </w:r>
            <w:r>
              <w:rPr/>
              <w:t>协同</w:t>
            </w:r>
            <w:r>
              <w:rPr>
                <w:spacing w:val="-3"/>
              </w:rPr>
              <w:t>抗肿</w:t>
            </w:r>
            <w:r>
              <w:rPr/>
              <w:t>瘤</w:t>
              <w:tab/>
              <w:t>23</w:t>
            </w:r>
          </w:hyperlink>
        </w:p>
        <w:p>
          <w:pPr>
            <w:pStyle w:val="TOC2"/>
            <w:tabs>
              <w:tab w:pos="9075" w:val="right" w:leader="dot"/>
            </w:tabs>
          </w:pPr>
          <w:hyperlink w:history="true" w:anchor="_TOC_250035">
            <w:r>
              <w:rPr/>
              <w:t>乳牙干</w:t>
            </w:r>
            <w:r>
              <w:rPr>
                <w:spacing w:val="-3"/>
              </w:rPr>
              <w:t>细</w:t>
            </w:r>
            <w:r>
              <w:rPr/>
              <w:t>胞成</w:t>
            </w:r>
            <w:r>
              <w:rPr>
                <w:spacing w:val="-3"/>
              </w:rPr>
              <w:t>功再</w:t>
            </w:r>
            <w:r>
              <w:rPr/>
              <w:t>生牙髓</w:t>
              <w:tab/>
              <w:t>23</w:t>
            </w:r>
          </w:hyperlink>
        </w:p>
        <w:p>
          <w:pPr>
            <w:pStyle w:val="TOC2"/>
            <w:tabs>
              <w:tab w:pos="9075" w:val="right" w:leader="dot"/>
            </w:tabs>
            <w:spacing w:before="43"/>
          </w:pPr>
          <w:hyperlink w:history="true" w:anchor="_TOC_250034">
            <w:r>
              <w:rPr/>
              <w:t>肺癌患</w:t>
            </w:r>
            <w:r>
              <w:rPr>
                <w:spacing w:val="-3"/>
              </w:rPr>
              <w:t>者</w:t>
            </w:r>
            <w:r>
              <w:rPr/>
              <w:t>或携</w:t>
            </w:r>
            <w:r>
              <w:rPr>
                <w:spacing w:val="-3"/>
              </w:rPr>
              <w:t>带独</w:t>
            </w:r>
            <w:r>
              <w:rPr/>
              <w:t>特基因</w:t>
            </w:r>
            <w:r>
              <w:rPr>
                <w:spacing w:val="-3"/>
              </w:rPr>
              <w:t>突</w:t>
            </w:r>
            <w:r>
              <w:rPr/>
              <w:t>变</w:t>
              <w:tab/>
              <w:t>24</w:t>
            </w:r>
          </w:hyperlink>
        </w:p>
        <w:p>
          <w:pPr>
            <w:pStyle w:val="TOC3"/>
            <w:tabs>
              <w:tab w:pos="9075" w:val="right" w:leader="dot"/>
            </w:tabs>
            <w:rPr>
              <w:b w:val="0"/>
              <w:i w:val="0"/>
              <w:sz w:val="28"/>
            </w:rPr>
          </w:pPr>
          <w:hyperlink w:history="true" w:anchor="_TOC_250033">
            <w:r>
              <w:rPr>
                <w:i w:val="0"/>
                <w:sz w:val="28"/>
              </w:rPr>
              <w:t>【新药看台】</w:t>
              <w:tab/>
            </w:r>
            <w:r>
              <w:rPr>
                <w:b w:val="0"/>
                <w:i w:val="0"/>
                <w:sz w:val="28"/>
              </w:rPr>
              <w:t>25</w:t>
            </w:r>
          </w:hyperlink>
        </w:p>
        <w:p>
          <w:pPr>
            <w:pStyle w:val="TOC2"/>
            <w:tabs>
              <w:tab w:pos="9075" w:val="right" w:leader="dot"/>
            </w:tabs>
          </w:pPr>
          <w:hyperlink w:history="true" w:anchor="_TOC_250032">
            <w:r>
              <w:rPr/>
              <w:t>美批准</w:t>
            </w:r>
            <w:r>
              <w:rPr>
                <w:spacing w:val="-3"/>
              </w:rPr>
              <w:t>首</w:t>
            </w:r>
            <w:r>
              <w:rPr/>
              <w:t>款治</w:t>
            </w:r>
            <w:r>
              <w:rPr>
                <w:spacing w:val="-3"/>
              </w:rPr>
              <w:t>疗产</w:t>
            </w:r>
            <w:r>
              <w:rPr/>
              <w:t>后抑郁</w:t>
            </w:r>
            <w:r>
              <w:rPr>
                <w:spacing w:val="-3"/>
              </w:rPr>
              <w:t>的</w:t>
            </w:r>
            <w:r>
              <w:rPr/>
              <w:t>药</w:t>
              <w:tab/>
              <w:t>25</w:t>
            </w:r>
          </w:hyperlink>
        </w:p>
        <w:p>
          <w:pPr>
            <w:pStyle w:val="TOC2"/>
            <w:tabs>
              <w:tab w:pos="9075" w:val="right" w:leader="dot"/>
            </w:tabs>
            <w:spacing w:before="42"/>
          </w:pPr>
          <w:hyperlink w:history="true" w:anchor="_TOC_250031">
            <w:r>
              <w:rPr/>
              <w:t>贝达药</w:t>
            </w:r>
            <w:r>
              <w:rPr>
                <w:spacing w:val="-3"/>
              </w:rPr>
              <w:t>业</w:t>
            </w:r>
            <w:r>
              <w:rPr/>
              <w:t>自主</w:t>
            </w:r>
            <w:r>
              <w:rPr>
                <w:spacing w:val="-3"/>
              </w:rPr>
              <w:t>研发</w:t>
            </w:r>
            <w:r>
              <w:rPr/>
              <w:t>的新分</w:t>
            </w:r>
            <w:r>
              <w:rPr>
                <w:spacing w:val="-3"/>
              </w:rPr>
              <w:t>子</w:t>
            </w:r>
            <w:r>
              <w:rPr/>
              <w:t>化合</w:t>
            </w:r>
            <w:r>
              <w:rPr>
                <w:spacing w:val="-3"/>
              </w:rPr>
              <w:t>物获</w:t>
            </w:r>
            <w:r>
              <w:rPr/>
              <w:t>批开展</w:t>
            </w:r>
            <w:r>
              <w:rPr>
                <w:spacing w:val="-3"/>
              </w:rPr>
              <w:t>临</w:t>
            </w:r>
            <w:r>
              <w:rPr/>
              <w:t>床试验</w:t>
              <w:tab/>
              <w:t>25</w:t>
            </w:r>
          </w:hyperlink>
        </w:p>
        <w:p>
          <w:pPr>
            <w:pStyle w:val="TOC2"/>
            <w:tabs>
              <w:tab w:pos="9075" w:val="right" w:leader="dot"/>
            </w:tabs>
            <w:spacing w:line="440" w:lineRule="exact"/>
          </w:pPr>
          <w:hyperlink w:history="true" w:anchor="_TOC_250030">
            <w:r>
              <w:rPr/>
              <w:t>全球首</w:t>
            </w:r>
            <w:r>
              <w:rPr>
                <w:spacing w:val="-3"/>
              </w:rPr>
              <w:t>个</w:t>
            </w:r>
            <w:r>
              <w:rPr/>
              <w:t>！君</w:t>
            </w:r>
            <w:r>
              <w:rPr>
                <w:spacing w:val="-3"/>
              </w:rPr>
              <w:t>实生</w:t>
            </w:r>
            <w:r>
              <w:rPr/>
              <w:t>物 BTLA 单</w:t>
            </w:r>
            <w:r>
              <w:rPr>
                <w:spacing w:val="-3"/>
              </w:rPr>
              <w:t>抗</w:t>
            </w:r>
            <w:r>
              <w:rPr/>
              <w:t>在</w:t>
            </w:r>
            <w:r>
              <w:rPr>
                <w:spacing w:val="-3"/>
              </w:rPr>
              <w:t>美</w:t>
            </w:r>
            <w:r>
              <w:rPr/>
              <w:t>申请临</w:t>
            </w:r>
            <w:r>
              <w:rPr>
                <w:spacing w:val="-3"/>
              </w:rPr>
              <w:t>床</w:t>
            </w:r>
            <w:r>
              <w:rPr/>
              <w:t>试验</w:t>
            </w:r>
            <w:r>
              <w:rPr>
                <w:spacing w:val="-3"/>
              </w:rPr>
              <w:t>获受</w:t>
            </w:r>
            <w:r>
              <w:rPr/>
              <w:t>理</w:t>
              <w:tab/>
              <w:t>25</w:t>
            </w:r>
          </w:hyperlink>
        </w:p>
        <w:p>
          <w:pPr>
            <w:pStyle w:val="TOC1"/>
          </w:pPr>
          <w:hyperlink w:history="true" w:anchor="_TOC_250029">
            <w:r>
              <w:rPr>
                <w:color w:val="1A5220"/>
              </w:rPr>
              <w:t>合理用药</w:t>
            </w:r>
          </w:hyperlink>
        </w:p>
        <w:p>
          <w:pPr>
            <w:pStyle w:val="TOC3"/>
            <w:tabs>
              <w:tab w:pos="9075" w:val="right" w:leader="dot"/>
            </w:tabs>
            <w:spacing w:before="77"/>
            <w:rPr>
              <w:b w:val="0"/>
              <w:i w:val="0"/>
              <w:sz w:val="28"/>
            </w:rPr>
          </w:pPr>
          <w:hyperlink w:history="true" w:anchor="_TOC_250028">
            <w:r>
              <w:rPr>
                <w:i w:val="0"/>
                <w:sz w:val="28"/>
              </w:rPr>
              <w:t>【临床药师】</w:t>
              <w:tab/>
            </w:r>
            <w:r>
              <w:rPr>
                <w:b w:val="0"/>
                <w:i w:val="0"/>
                <w:sz w:val="28"/>
              </w:rPr>
              <w:t>26</w:t>
            </w:r>
          </w:hyperlink>
        </w:p>
        <w:p>
          <w:pPr>
            <w:pStyle w:val="TOC2"/>
            <w:tabs>
              <w:tab w:pos="9075" w:val="right" w:leader="dot"/>
            </w:tabs>
          </w:pPr>
          <w:hyperlink w:history="true" w:anchor="_TOC_250027">
            <w:r>
              <w:rPr>
                <w:w w:val="90"/>
              </w:rPr>
              <w:t>P2Y12</w:t>
            </w:r>
            <w:r>
              <w:rPr>
                <w:spacing w:val="-28"/>
                <w:w w:val="90"/>
              </w:rPr>
              <w:t> </w:t>
            </w:r>
            <w:r>
              <w:rPr>
                <w:w w:val="90"/>
              </w:rPr>
              <w:t>受体抑制剂为基础的抗栓时代已经来临</w:t>
            </w:r>
            <w:r>
              <w:rPr>
                <w:spacing w:val="9"/>
                <w:w w:val="90"/>
              </w:rPr>
              <w:t> </w:t>
            </w:r>
            <w:r>
              <w:rPr>
                <w:w w:val="90"/>
              </w:rPr>
              <w:t>—关于</w:t>
            </w:r>
            <w:r>
              <w:rPr>
                <w:spacing w:val="-29"/>
                <w:w w:val="90"/>
              </w:rPr>
              <w:t> </w:t>
            </w:r>
            <w:r>
              <w:rPr>
                <w:w w:val="90"/>
              </w:rPr>
              <w:t>2019</w:t>
            </w:r>
            <w:r>
              <w:rPr>
                <w:spacing w:val="-29"/>
                <w:w w:val="90"/>
              </w:rPr>
              <w:t> </w:t>
            </w:r>
            <w:r>
              <w:rPr>
                <w:w w:val="90"/>
              </w:rPr>
              <w:t>ACC</w:t>
            </w:r>
            <w:r>
              <w:rPr>
                <w:spacing w:val="-27"/>
                <w:w w:val="90"/>
              </w:rPr>
              <w:t> </w:t>
            </w:r>
            <w:r>
              <w:rPr>
                <w:w w:val="90"/>
              </w:rPr>
              <w:t>新证据的思考</w:t>
              <w:tab/>
              <w:t>26</w:t>
            </w:r>
          </w:hyperlink>
        </w:p>
        <w:p>
          <w:pPr>
            <w:pStyle w:val="TOC2"/>
            <w:tabs>
              <w:tab w:pos="9075" w:val="right" w:leader="dot"/>
            </w:tabs>
          </w:pPr>
          <w:hyperlink w:history="true" w:anchor="_TOC_250026">
            <w:r>
              <w:rPr/>
              <w:t>左旋氨</w:t>
            </w:r>
            <w:r>
              <w:rPr>
                <w:spacing w:val="-3"/>
              </w:rPr>
              <w:t>氯</w:t>
            </w:r>
            <w:r>
              <w:rPr/>
              <w:t>地平</w:t>
            </w:r>
            <w:r>
              <w:rPr>
                <w:spacing w:val="-3"/>
              </w:rPr>
              <w:t>联合</w:t>
            </w:r>
            <w:r>
              <w:rPr/>
              <w:t>一线降</w:t>
            </w:r>
            <w:r>
              <w:rPr>
                <w:spacing w:val="-3"/>
              </w:rPr>
              <w:t>压</w:t>
            </w:r>
            <w:r>
              <w:rPr/>
              <w:t>药治</w:t>
            </w:r>
            <w:r>
              <w:rPr>
                <w:spacing w:val="-3"/>
              </w:rPr>
              <w:t>疗高</w:t>
            </w:r>
            <w:r>
              <w:rPr/>
              <w:t>血压疗</w:t>
            </w:r>
            <w:r>
              <w:rPr>
                <w:spacing w:val="-3"/>
              </w:rPr>
              <w:t>效</w:t>
            </w:r>
            <w:r>
              <w:rPr/>
              <w:t>的系</w:t>
            </w:r>
            <w:r>
              <w:rPr>
                <w:spacing w:val="-3"/>
              </w:rPr>
              <w:t>统评</w:t>
            </w:r>
            <w:r>
              <w:rPr/>
              <w:t>价</w:t>
              <w:tab/>
              <w:t>29</w:t>
            </w:r>
          </w:hyperlink>
        </w:p>
        <w:p>
          <w:pPr>
            <w:pStyle w:val="TOC3"/>
            <w:tabs>
              <w:tab w:pos="9075" w:val="right" w:leader="dot"/>
            </w:tabs>
            <w:spacing w:before="43"/>
            <w:rPr>
              <w:b w:val="0"/>
              <w:i w:val="0"/>
              <w:sz w:val="28"/>
            </w:rPr>
          </w:pPr>
          <w:hyperlink w:history="true" w:anchor="_TOC_250025">
            <w:r>
              <w:rPr>
                <w:i w:val="0"/>
                <w:sz w:val="28"/>
              </w:rPr>
              <w:t>【指南解读】</w:t>
              <w:tab/>
            </w:r>
            <w:r>
              <w:rPr>
                <w:b w:val="0"/>
                <w:i w:val="0"/>
                <w:sz w:val="28"/>
              </w:rPr>
              <w:t>33</w:t>
            </w:r>
          </w:hyperlink>
        </w:p>
        <w:p>
          <w:pPr>
            <w:pStyle w:val="TOC2"/>
            <w:tabs>
              <w:tab w:pos="9075" w:val="right" w:leader="dot"/>
            </w:tabs>
          </w:pPr>
          <w:hyperlink w:history="true" w:anchor="_TOC_250024">
            <w:r>
              <w:rPr/>
              <w:t>肺癌临</w:t>
            </w:r>
            <w:r>
              <w:rPr>
                <w:spacing w:val="-3"/>
              </w:rPr>
              <w:t>床</w:t>
            </w:r>
            <w:r>
              <w:rPr/>
              <w:t>诊疗</w:t>
            </w:r>
            <w:r>
              <w:rPr>
                <w:spacing w:val="-3"/>
              </w:rPr>
              <w:t>有了</w:t>
            </w:r>
            <w:r>
              <w:rPr/>
              <w:t>中国版</w:t>
            </w:r>
            <w:r>
              <w:rPr>
                <w:spacing w:val="-3"/>
              </w:rPr>
              <w:t>指</w:t>
            </w:r>
            <w:r>
              <w:rPr/>
              <w:t>南</w:t>
              <w:tab/>
              <w:t>33</w:t>
            </w:r>
          </w:hyperlink>
        </w:p>
        <w:p>
          <w:pPr>
            <w:pStyle w:val="TOC2"/>
            <w:tabs>
              <w:tab w:pos="9075" w:val="right" w:leader="dot"/>
            </w:tabs>
          </w:pPr>
          <w:hyperlink w:history="true" w:anchor="_TOC_250023">
            <w:r>
              <w:rPr/>
              <w:t>首部《</w:t>
            </w:r>
            <w:r>
              <w:rPr>
                <w:spacing w:val="-3"/>
              </w:rPr>
              <w:t>脑</w:t>
            </w:r>
            <w:r>
              <w:rPr/>
              <w:t>胶质</w:t>
            </w:r>
            <w:r>
              <w:rPr>
                <w:spacing w:val="-3"/>
              </w:rPr>
              <w:t>瘤诊</w:t>
            </w:r>
            <w:r>
              <w:rPr/>
              <w:t>疗规范</w:t>
            </w:r>
            <w:r>
              <w:rPr>
                <w:spacing w:val="-3"/>
              </w:rPr>
              <w:t>》</w:t>
            </w:r>
            <w:r>
              <w:rPr/>
              <w:t>发布</w:t>
              <w:tab/>
              <w:t>34</w:t>
            </w:r>
          </w:hyperlink>
        </w:p>
        <w:p>
          <w:pPr>
            <w:pStyle w:val="TOC2"/>
            <w:tabs>
              <w:tab w:pos="9075" w:val="right" w:leader="dot"/>
            </w:tabs>
            <w:spacing w:before="42"/>
          </w:pPr>
          <w:hyperlink w:history="true" w:anchor="_TOC_250022">
            <w:r>
              <w:rPr/>
              <w:t>β受体阻滞</w:t>
            </w:r>
            <w:r>
              <w:rPr>
                <w:spacing w:val="-3"/>
              </w:rPr>
              <w:t>剂</w:t>
            </w:r>
            <w:r>
              <w:rPr/>
              <w:t>应用</w:t>
            </w:r>
            <w:r>
              <w:rPr>
                <w:spacing w:val="-3"/>
              </w:rPr>
              <w:t>共</w:t>
            </w:r>
            <w:r>
              <w:rPr/>
              <w:t>识发布</w:t>
              <w:tab/>
              <w:t>35</w:t>
            </w:r>
          </w:hyperlink>
        </w:p>
        <w:p>
          <w:pPr>
            <w:pStyle w:val="TOC2"/>
            <w:tabs>
              <w:tab w:pos="9075" w:val="right" w:leader="dot"/>
            </w:tabs>
          </w:pPr>
          <w:hyperlink w:history="true" w:anchor="_TOC_250021">
            <w:r>
              <w:rPr/>
              <w:t>从美国</w:t>
            </w:r>
            <w:r>
              <w:rPr>
                <w:spacing w:val="-3"/>
              </w:rPr>
              <w:t>新</w:t>
            </w:r>
            <w:r>
              <w:rPr/>
              <w:t>版指</w:t>
            </w:r>
            <w:r>
              <w:rPr>
                <w:spacing w:val="-3"/>
              </w:rPr>
              <w:t>南看</w:t>
            </w:r>
            <w:r>
              <w:rPr/>
              <w:t>阿司匹</w:t>
            </w:r>
            <w:r>
              <w:rPr>
                <w:spacing w:val="-3"/>
              </w:rPr>
              <w:t>林</w:t>
            </w:r>
            <w:r>
              <w:rPr/>
              <w:t>的使用</w:t>
              <w:tab/>
              <w:t>35</w:t>
            </w:r>
          </w:hyperlink>
        </w:p>
        <w:p>
          <w:pPr>
            <w:pStyle w:val="TOC3"/>
            <w:tabs>
              <w:tab w:pos="9075" w:val="right" w:leader="dot"/>
            </w:tabs>
            <w:rPr>
              <w:b w:val="0"/>
              <w:i w:val="0"/>
              <w:sz w:val="28"/>
            </w:rPr>
          </w:pPr>
          <w:hyperlink w:history="true" w:anchor="_TOC_250020">
            <w:r>
              <w:rPr>
                <w:i w:val="0"/>
                <w:sz w:val="28"/>
              </w:rPr>
              <w:t>【药物警戒】</w:t>
              <w:tab/>
            </w:r>
            <w:r>
              <w:rPr>
                <w:b w:val="0"/>
                <w:i w:val="0"/>
                <w:sz w:val="28"/>
              </w:rPr>
              <w:t>37</w:t>
            </w:r>
          </w:hyperlink>
        </w:p>
        <w:p>
          <w:pPr>
            <w:pStyle w:val="TOC2"/>
            <w:tabs>
              <w:tab w:pos="9075" w:val="right" w:leader="dot"/>
            </w:tabs>
            <w:spacing w:before="43" w:after="20"/>
          </w:pPr>
          <w:hyperlink w:history="true" w:anchor="_TOC_250019">
            <w:r>
              <w:rPr/>
              <w:t>常用药</w:t>
            </w:r>
            <w:r>
              <w:rPr>
                <w:spacing w:val="-3"/>
              </w:rPr>
              <w:t>物</w:t>
            </w:r>
            <w:r>
              <w:rPr/>
              <w:t>的不</w:t>
            </w:r>
            <w:r>
              <w:rPr>
                <w:spacing w:val="-3"/>
              </w:rPr>
              <w:t>良反</w:t>
            </w:r>
            <w:r>
              <w:rPr/>
              <w:t>应——</w:t>
            </w:r>
            <w:r>
              <w:rPr>
                <w:spacing w:val="-3"/>
              </w:rPr>
              <w:t>抗</w:t>
            </w:r>
            <w:r>
              <w:rPr/>
              <w:t>感染类</w:t>
              <w:tab/>
              <w:t>37</w:t>
            </w:r>
          </w:hyperlink>
        </w:p>
        <w:p>
          <w:pPr>
            <w:pStyle w:val="TOC2"/>
            <w:tabs>
              <w:tab w:pos="9075" w:val="right" w:leader="dot"/>
            </w:tabs>
            <w:spacing w:before="258"/>
          </w:pPr>
          <w:hyperlink w:history="true" w:anchor="_TOC_250018">
            <w:r>
              <w:rPr/>
              <w:t>常用药</w:t>
            </w:r>
            <w:r>
              <w:rPr>
                <w:spacing w:val="-3"/>
              </w:rPr>
              <w:t>物</w:t>
            </w:r>
            <w:r>
              <w:rPr/>
              <w:t>的不</w:t>
            </w:r>
            <w:r>
              <w:rPr>
                <w:spacing w:val="-3"/>
              </w:rPr>
              <w:t>良反</w:t>
            </w:r>
            <w:r>
              <w:rPr/>
              <w:t>应——</w:t>
            </w:r>
            <w:r>
              <w:rPr>
                <w:spacing w:val="-3"/>
              </w:rPr>
              <w:t>心</w:t>
            </w:r>
            <w:r>
              <w:rPr/>
              <w:t>血管</w:t>
            </w:r>
            <w:r>
              <w:rPr>
                <w:spacing w:val="-3"/>
              </w:rPr>
              <w:t>系统</w:t>
            </w:r>
            <w:r>
              <w:rPr/>
              <w:t>用药</w:t>
              <w:tab/>
              <w:t>39</w:t>
            </w:r>
          </w:hyperlink>
        </w:p>
        <w:p>
          <w:pPr>
            <w:pStyle w:val="TOC3"/>
            <w:tabs>
              <w:tab w:pos="9075" w:val="right" w:leader="dot"/>
            </w:tabs>
            <w:rPr>
              <w:b w:val="0"/>
              <w:i w:val="0"/>
              <w:sz w:val="28"/>
            </w:rPr>
          </w:pPr>
          <w:hyperlink w:history="true" w:anchor="_TOC_250017">
            <w:r>
              <w:rPr>
                <w:i w:val="0"/>
                <w:sz w:val="28"/>
              </w:rPr>
              <w:t>【科普知识】</w:t>
              <w:tab/>
            </w:r>
            <w:r>
              <w:rPr>
                <w:b w:val="0"/>
                <w:i w:val="0"/>
                <w:sz w:val="28"/>
              </w:rPr>
              <w:t>40</w:t>
            </w:r>
          </w:hyperlink>
        </w:p>
        <w:p>
          <w:pPr>
            <w:pStyle w:val="TOC2"/>
            <w:tabs>
              <w:tab w:pos="9075" w:val="right" w:leader="dot"/>
            </w:tabs>
          </w:pPr>
          <w:hyperlink w:history="true" w:anchor="_TOC_250016">
            <w:r>
              <w:rPr/>
              <w:t>老年</w:t>
            </w:r>
            <w:r>
              <w:rPr>
                <w:spacing w:val="69"/>
              </w:rPr>
              <w:t> </w:t>
            </w:r>
            <w:r>
              <w:rPr/>
              <w:t>vs </w:t>
            </w:r>
            <w:r>
              <w:rPr>
                <w:spacing w:val="1"/>
              </w:rPr>
              <w:t> </w:t>
            </w:r>
            <w:r>
              <w:rPr/>
              <w:t>中</w:t>
            </w:r>
            <w:r>
              <w:rPr>
                <w:spacing w:val="-3"/>
              </w:rPr>
              <w:t>青</w:t>
            </w:r>
            <w:r>
              <w:rPr/>
              <w:t>年</w:t>
            </w:r>
            <w:r>
              <w:rPr>
                <w:spacing w:val="-3"/>
              </w:rPr>
              <w:t>，</w:t>
            </w:r>
            <w:r>
              <w:rPr/>
              <w:t>高血压</w:t>
            </w:r>
            <w:r>
              <w:rPr>
                <w:spacing w:val="-3"/>
              </w:rPr>
              <w:t>药</w:t>
            </w:r>
            <w:r>
              <w:rPr/>
              <w:t>物治</w:t>
            </w:r>
            <w:r>
              <w:rPr>
                <w:spacing w:val="-3"/>
              </w:rPr>
              <w:t>疗有</w:t>
            </w:r>
            <w:r>
              <w:rPr/>
              <w:t>何不同？</w:t>
              <w:tab/>
              <w:t>40</w:t>
            </w:r>
          </w:hyperlink>
        </w:p>
        <w:p>
          <w:pPr>
            <w:pStyle w:val="TOC2"/>
            <w:tabs>
              <w:tab w:pos="9075" w:val="right" w:leader="dot"/>
            </w:tabs>
            <w:spacing w:before="42"/>
          </w:pPr>
          <w:hyperlink w:history="true" w:anchor="_TOC_250015">
            <w:r>
              <w:rPr/>
              <w:t>肝素那</w:t>
            </w:r>
            <w:r>
              <w:rPr>
                <w:spacing w:val="-3"/>
              </w:rPr>
              <w:t>么</w:t>
            </w:r>
            <w:r>
              <w:rPr/>
              <w:t>多，</w:t>
            </w:r>
            <w:r>
              <w:rPr>
                <w:spacing w:val="-3"/>
              </w:rPr>
              <w:t>你了</w:t>
            </w:r>
            <w:r>
              <w:rPr/>
              <w:t>解几个？</w:t>
              <w:tab/>
              <w:t>42</w:t>
            </w:r>
          </w:hyperlink>
        </w:p>
        <w:p>
          <w:pPr>
            <w:pStyle w:val="TOC2"/>
            <w:tabs>
              <w:tab w:pos="9075" w:val="right" w:leader="dot"/>
            </w:tabs>
          </w:pPr>
          <w:hyperlink w:history="true" w:anchor="_TOC_250014">
            <w:r>
              <w:rPr/>
              <w:t>服用这</w:t>
            </w:r>
            <w:r>
              <w:rPr>
                <w:spacing w:val="-1"/>
              </w:rPr>
              <w:t> </w:t>
            </w:r>
            <w:r>
              <w:rPr/>
              <w:t>11</w:t>
            </w:r>
            <w:r>
              <w:rPr>
                <w:spacing w:val="-3"/>
              </w:rPr>
              <w:t> </w:t>
            </w:r>
            <w:r>
              <w:rPr/>
              <w:t>类药物</w:t>
            </w:r>
            <w:r>
              <w:rPr>
                <w:spacing w:val="-3"/>
              </w:rPr>
              <w:t>，</w:t>
            </w:r>
            <w:r>
              <w:rPr/>
              <w:t>请远离</w:t>
            </w:r>
            <w:r>
              <w:rPr>
                <w:spacing w:val="-3"/>
              </w:rPr>
              <w:t>香</w:t>
            </w:r>
            <w:r>
              <w:rPr/>
              <w:t>烟！</w:t>
              <w:tab/>
              <w:t>44</w:t>
            </w:r>
          </w:hyperlink>
        </w:p>
        <w:p>
          <w:pPr>
            <w:pStyle w:val="TOC2"/>
            <w:tabs>
              <w:tab w:pos="9075" w:val="right" w:leader="dot"/>
            </w:tabs>
            <w:spacing w:line="441" w:lineRule="exact"/>
          </w:pPr>
          <w:hyperlink w:history="true" w:anchor="_TOC_250013">
            <w:r>
              <w:rPr>
                <w:w w:val="100"/>
              </w:rPr>
              <w:t>丙泊酚</w:t>
            </w:r>
            <w:r>
              <w:rPr>
                <w:spacing w:val="-3"/>
                <w:w w:val="100"/>
              </w:rPr>
              <w:t>，</w:t>
            </w:r>
            <w:r>
              <w:rPr>
                <w:w w:val="100"/>
              </w:rPr>
              <w:t>这样</w:t>
            </w:r>
            <w:r>
              <w:rPr>
                <w:spacing w:val="-3"/>
                <w:w w:val="100"/>
              </w:rPr>
              <w:t>用才</w:t>
            </w:r>
            <w:r>
              <w:rPr>
                <w:w w:val="100"/>
              </w:rPr>
              <w:t>“正</w:t>
            </w:r>
            <w:r>
              <w:rPr>
                <w:spacing w:val="-3"/>
                <w:w w:val="100"/>
              </w:rPr>
              <w:t>经</w:t>
            </w:r>
            <w:r>
              <w:rPr>
                <w:spacing w:val="-140"/>
                <w:w w:val="100"/>
              </w:rPr>
              <w:t>”</w:t>
            </w:r>
            <w:r>
              <w:rPr>
                <w:w w:val="100"/>
              </w:rPr>
              <w:t>！</w:t>
            </w:r>
            <w:r>
              <w:rPr>
                <w:rFonts w:ascii="Times New Roman" w:hAnsi="Times New Roman" w:eastAsia="Times New Roman"/>
                <w:b/>
                <w:w w:val="100"/>
              </w:rPr>
              <w:t> </w:t>
            </w:r>
            <w:r>
              <w:rPr>
                <w:rFonts w:ascii="Times New Roman" w:hAnsi="Times New Roman" w:eastAsia="Times New Roman"/>
                <w:b/>
              </w:rPr>
              <w:tab/>
            </w:r>
            <w:r>
              <w:rPr>
                <w:w w:val="100"/>
              </w:rPr>
              <w:t>45</w:t>
            </w:r>
          </w:hyperlink>
        </w:p>
        <w:p>
          <w:pPr>
            <w:pStyle w:val="TOC1"/>
            <w:spacing w:line="546" w:lineRule="exact"/>
          </w:pPr>
          <w:hyperlink w:history="true" w:anchor="_TOC_250012">
            <w:r>
              <w:rPr>
                <w:color w:val="1A5220"/>
              </w:rPr>
              <w:t>学会动态</w:t>
            </w:r>
          </w:hyperlink>
        </w:p>
        <w:p>
          <w:pPr>
            <w:pStyle w:val="TOC3"/>
            <w:tabs>
              <w:tab w:pos="9075" w:val="right" w:leader="dot"/>
            </w:tabs>
            <w:spacing w:before="74"/>
            <w:rPr>
              <w:b w:val="0"/>
              <w:i w:val="0"/>
              <w:sz w:val="28"/>
            </w:rPr>
          </w:pPr>
          <w:hyperlink w:history="true" w:anchor="_TOC_250011">
            <w:r>
              <w:rPr>
                <w:i w:val="0"/>
                <w:sz w:val="28"/>
              </w:rPr>
              <w:t>【重要通知】</w:t>
              <w:tab/>
            </w:r>
            <w:r>
              <w:rPr>
                <w:b w:val="0"/>
                <w:i w:val="0"/>
                <w:sz w:val="28"/>
              </w:rPr>
              <w:t>47</w:t>
            </w:r>
          </w:hyperlink>
        </w:p>
        <w:p>
          <w:pPr>
            <w:pStyle w:val="TOC2"/>
            <w:tabs>
              <w:tab w:pos="9075" w:val="right" w:leader="dot"/>
            </w:tabs>
          </w:pPr>
          <w:hyperlink w:history="true" w:anchor="_TOC_250010">
            <w:r>
              <w:rPr/>
              <w:t>关于筹</w:t>
            </w:r>
            <w:r>
              <w:rPr>
                <w:spacing w:val="-3"/>
              </w:rPr>
              <w:t>备</w:t>
            </w:r>
            <w:r>
              <w:rPr/>
              <w:t>召开</w:t>
            </w:r>
            <w:r>
              <w:rPr>
                <w:spacing w:val="2"/>
              </w:rPr>
              <w:t> </w:t>
            </w:r>
            <w:r>
              <w:rPr/>
              <w:t>2019</w:t>
            </w:r>
            <w:r>
              <w:rPr>
                <w:spacing w:val="1"/>
              </w:rPr>
              <w:t> </w:t>
            </w:r>
            <w:r>
              <w:rPr/>
              <w:t>年全国</w:t>
            </w:r>
            <w:r>
              <w:rPr>
                <w:spacing w:val="-3"/>
              </w:rPr>
              <w:t>医</w:t>
            </w:r>
            <w:r>
              <w:rPr/>
              <w:t>药经</w:t>
            </w:r>
            <w:r>
              <w:rPr>
                <w:spacing w:val="-3"/>
              </w:rPr>
              <w:t>济信</w:t>
            </w:r>
            <w:r>
              <w:rPr/>
              <w:t>息网工</w:t>
            </w:r>
            <w:r>
              <w:rPr>
                <w:spacing w:val="-3"/>
              </w:rPr>
              <w:t>作</w:t>
            </w:r>
            <w:r>
              <w:rPr/>
              <w:t>会议</w:t>
            </w:r>
            <w:r>
              <w:rPr>
                <w:spacing w:val="-3"/>
              </w:rPr>
              <w:t>的通</w:t>
            </w:r>
            <w:r>
              <w:rPr/>
              <w:t>知（第</w:t>
            </w:r>
            <w:r>
              <w:rPr>
                <w:spacing w:val="-3"/>
              </w:rPr>
              <w:t>一</w:t>
            </w:r>
            <w:r>
              <w:rPr/>
              <w:t>轮）</w:t>
              <w:tab/>
              <w:t>47</w:t>
            </w:r>
          </w:hyperlink>
        </w:p>
        <w:p>
          <w:pPr>
            <w:pStyle w:val="TOC2"/>
            <w:tabs>
              <w:tab w:pos="9075" w:val="right" w:leader="dot"/>
            </w:tabs>
            <w:spacing w:before="42"/>
          </w:pPr>
          <w:hyperlink w:history="true" w:anchor="_TOC_250009">
            <w:r>
              <w:rPr/>
              <w:t>2019</w:t>
            </w:r>
            <w:r>
              <w:rPr>
                <w:spacing w:val="-1"/>
              </w:rPr>
              <w:t> </w:t>
            </w:r>
            <w:r>
              <w:rPr>
                <w:spacing w:val="-3"/>
              </w:rPr>
              <w:t>年</w:t>
            </w:r>
            <w:r>
              <w:rPr/>
              <w:t>“药</w:t>
            </w:r>
            <w:r>
              <w:rPr>
                <w:spacing w:val="-3"/>
              </w:rPr>
              <w:t>娃</w:t>
            </w:r>
            <w:r>
              <w:rPr/>
              <w:t>杯</w:t>
            </w:r>
            <w:r>
              <w:rPr>
                <w:spacing w:val="-3"/>
              </w:rPr>
              <w:t>”</w:t>
            </w:r>
            <w:r>
              <w:rPr/>
              <w:t>药学科</w:t>
            </w:r>
            <w:r>
              <w:rPr>
                <w:spacing w:val="-3"/>
              </w:rPr>
              <w:t>普</w:t>
            </w:r>
            <w:r>
              <w:rPr/>
              <w:t>作品</w:t>
            </w:r>
            <w:r>
              <w:rPr>
                <w:spacing w:val="-3"/>
              </w:rPr>
              <w:t>征集</w:t>
            </w:r>
            <w:r>
              <w:rPr/>
              <w:t>活动方案</w:t>
              <w:tab/>
              <w:t>47</w:t>
            </w:r>
          </w:hyperlink>
        </w:p>
        <w:p>
          <w:pPr>
            <w:pStyle w:val="TOC2"/>
            <w:tabs>
              <w:tab w:pos="9075" w:val="right" w:leader="dot"/>
            </w:tabs>
            <w:spacing w:line="440" w:lineRule="exact"/>
          </w:pPr>
          <w:hyperlink w:history="true" w:anchor="_TOC_250008">
            <w:r>
              <w:rPr/>
              <w:t>征集第</w:t>
            </w:r>
            <w:r>
              <w:rPr>
                <w:spacing w:val="-3"/>
              </w:rPr>
              <w:t>十</w:t>
            </w:r>
            <w:r>
              <w:rPr/>
              <w:t>九届</w:t>
            </w:r>
            <w:r>
              <w:rPr>
                <w:spacing w:val="-3"/>
              </w:rPr>
              <w:t>药师</w:t>
            </w:r>
            <w:r>
              <w:rPr/>
              <w:t>周药学</w:t>
            </w:r>
            <w:r>
              <w:rPr>
                <w:spacing w:val="-3"/>
              </w:rPr>
              <w:t>服</w:t>
            </w:r>
            <w:r>
              <w:rPr/>
              <w:t>务经</w:t>
            </w:r>
            <w:r>
              <w:rPr>
                <w:spacing w:val="-3"/>
              </w:rPr>
              <w:t>典案</w:t>
            </w:r>
            <w:r>
              <w:rPr/>
              <w:t>例论文</w:t>
              <w:tab/>
              <w:t>51</w:t>
            </w:r>
          </w:hyperlink>
        </w:p>
        <w:p>
          <w:pPr>
            <w:pStyle w:val="TOC1"/>
          </w:pPr>
          <w:hyperlink w:history="true" w:anchor="_TOC_250007">
            <w:r>
              <w:rPr>
                <w:color w:val="1A5220"/>
              </w:rPr>
              <w:t>交流园地</w:t>
            </w:r>
          </w:hyperlink>
        </w:p>
        <w:p>
          <w:pPr>
            <w:pStyle w:val="TOC3"/>
            <w:tabs>
              <w:tab w:pos="9075" w:val="right" w:leader="dot"/>
            </w:tabs>
            <w:spacing w:before="77"/>
            <w:rPr>
              <w:b w:val="0"/>
              <w:i w:val="0"/>
              <w:sz w:val="28"/>
            </w:rPr>
          </w:pPr>
          <w:hyperlink w:history="true" w:anchor="_TOC_250006">
            <w:r>
              <w:rPr>
                <w:i w:val="0"/>
                <w:sz w:val="28"/>
              </w:rPr>
              <w:t>【学习园地】</w:t>
              <w:tab/>
            </w:r>
            <w:r>
              <w:rPr>
                <w:b w:val="0"/>
                <w:i w:val="0"/>
                <w:sz w:val="28"/>
              </w:rPr>
              <w:t>51</w:t>
            </w:r>
          </w:hyperlink>
        </w:p>
        <w:p>
          <w:pPr>
            <w:pStyle w:val="TOC2"/>
            <w:tabs>
              <w:tab w:pos="9075" w:val="right" w:leader="dot"/>
            </w:tabs>
          </w:pPr>
          <w:hyperlink w:history="true" w:anchor="_TOC_250005">
            <w:r>
              <w:rPr/>
              <w:t>欧洲应</w:t>
            </w:r>
            <w:r>
              <w:rPr>
                <w:spacing w:val="-3"/>
              </w:rPr>
              <w:t>对</w:t>
            </w:r>
            <w:r>
              <w:rPr/>
              <w:t>抗生</w:t>
            </w:r>
            <w:r>
              <w:rPr>
                <w:spacing w:val="-3"/>
              </w:rPr>
              <w:t>素耐</w:t>
            </w:r>
            <w:r>
              <w:rPr/>
              <w:t>药问题</w:t>
            </w:r>
            <w:r>
              <w:rPr>
                <w:spacing w:val="-3"/>
              </w:rPr>
              <w:t>的</w:t>
            </w:r>
            <w:r>
              <w:rPr/>
              <w:t>治理</w:t>
            </w:r>
            <w:r>
              <w:rPr>
                <w:spacing w:val="-3"/>
              </w:rPr>
              <w:t>框架</w:t>
            </w:r>
            <w:r>
              <w:rPr/>
              <w:t>及行动</w:t>
            </w:r>
            <w:r>
              <w:rPr>
                <w:spacing w:val="-3"/>
              </w:rPr>
              <w:t>方</w:t>
            </w:r>
            <w:r>
              <w:rPr/>
              <w:t>案</w:t>
              <w:tab/>
              <w:t>51</w:t>
            </w:r>
          </w:hyperlink>
        </w:p>
        <w:p>
          <w:pPr>
            <w:pStyle w:val="TOC3"/>
            <w:tabs>
              <w:tab w:pos="9075" w:val="right" w:leader="dot"/>
            </w:tabs>
            <w:rPr>
              <w:b w:val="0"/>
              <w:i w:val="0"/>
              <w:sz w:val="28"/>
            </w:rPr>
          </w:pPr>
          <w:hyperlink w:history="true" w:anchor="_TOC_250004">
            <w:r>
              <w:rPr>
                <w:i w:val="0"/>
                <w:sz w:val="28"/>
              </w:rPr>
              <w:t>【药师风采】</w:t>
              <w:tab/>
            </w:r>
            <w:r>
              <w:rPr>
                <w:b w:val="0"/>
                <w:i w:val="0"/>
                <w:sz w:val="28"/>
              </w:rPr>
              <w:t>57</w:t>
            </w:r>
          </w:hyperlink>
        </w:p>
        <w:p>
          <w:pPr>
            <w:pStyle w:val="TOC2"/>
            <w:tabs>
              <w:tab w:pos="9075" w:val="right" w:leader="dot"/>
            </w:tabs>
            <w:spacing w:before="42"/>
          </w:pPr>
          <w:hyperlink w:history="true" w:anchor="_TOC_250003">
            <w:r>
              <w:rPr/>
              <w:t>淄博市</w:t>
            </w:r>
            <w:r>
              <w:rPr>
                <w:spacing w:val="-3"/>
              </w:rPr>
              <w:t>中</w:t>
            </w:r>
            <w:r>
              <w:rPr/>
              <w:t>心医</w:t>
            </w:r>
            <w:r>
              <w:rPr>
                <w:spacing w:val="-3"/>
              </w:rPr>
              <w:t>院</w:t>
            </w:r>
            <w:r>
              <w:rPr/>
              <w:t>——司继刚</w:t>
              <w:tab/>
              <w:t>57</w:t>
            </w:r>
          </w:hyperlink>
        </w:p>
        <w:p>
          <w:pPr>
            <w:pStyle w:val="TOC2"/>
            <w:tabs>
              <w:tab w:pos="9075" w:val="right" w:leader="dot"/>
            </w:tabs>
          </w:pPr>
          <w:hyperlink w:history="true" w:anchor="_TOC_250002">
            <w:r>
              <w:rPr/>
              <w:t>济南市</w:t>
            </w:r>
            <w:r>
              <w:rPr>
                <w:spacing w:val="-3"/>
              </w:rPr>
              <w:t>第</w:t>
            </w:r>
            <w:r>
              <w:rPr/>
              <w:t>三人</w:t>
            </w:r>
            <w:r>
              <w:rPr>
                <w:spacing w:val="-3"/>
              </w:rPr>
              <w:t>民医</w:t>
            </w:r>
            <w:r>
              <w:rPr/>
              <w:t>院——</w:t>
            </w:r>
            <w:r>
              <w:rPr>
                <w:spacing w:val="-3"/>
              </w:rPr>
              <w:t>邱波</w:t>
              <w:tab/>
            </w:r>
            <w:r>
              <w:rPr/>
              <w:t>58</w:t>
            </w:r>
          </w:hyperlink>
        </w:p>
        <w:p>
          <w:pPr>
            <w:pStyle w:val="TOC2"/>
            <w:tabs>
              <w:tab w:pos="9075" w:val="right" w:leader="dot"/>
            </w:tabs>
          </w:pPr>
          <w:hyperlink w:history="true" w:anchor="_TOC_250001">
            <w:r>
              <w:rPr/>
              <w:t>濮阳市</w:t>
            </w:r>
            <w:r>
              <w:rPr>
                <w:spacing w:val="-3"/>
              </w:rPr>
              <w:t>油</w:t>
            </w:r>
            <w:r>
              <w:rPr/>
              <w:t>田总</w:t>
            </w:r>
            <w:r>
              <w:rPr>
                <w:spacing w:val="-3"/>
              </w:rPr>
              <w:t>医院</w:t>
            </w:r>
            <w:r>
              <w:rPr/>
              <w:t>——李东</w:t>
              <w:tab/>
              <w:t>58</w:t>
            </w:r>
          </w:hyperlink>
        </w:p>
        <w:p>
          <w:pPr>
            <w:pStyle w:val="TOC2"/>
            <w:tabs>
              <w:tab w:pos="9075" w:val="right" w:leader="dot"/>
            </w:tabs>
            <w:spacing w:before="43"/>
          </w:pPr>
          <w:hyperlink w:history="true" w:anchor="_TOC_250000">
            <w:r>
              <w:rPr/>
              <w:t>郑州市</w:t>
            </w:r>
            <w:r>
              <w:rPr>
                <w:spacing w:val="-3"/>
              </w:rPr>
              <w:t>第</w:t>
            </w:r>
            <w:r>
              <w:rPr/>
              <w:t>七人</w:t>
            </w:r>
            <w:r>
              <w:rPr>
                <w:spacing w:val="-3"/>
              </w:rPr>
              <w:t>民医</w:t>
            </w:r>
            <w:r>
              <w:rPr/>
              <w:t>院——</w:t>
            </w:r>
            <w:r>
              <w:rPr>
                <w:spacing w:val="-3"/>
              </w:rPr>
              <w:t>杨</w:t>
            </w:r>
            <w:r>
              <w:rPr/>
              <w:t>玉玲</w:t>
              <w:tab/>
              <w:t>59</w:t>
            </w:r>
          </w:hyperlink>
        </w:p>
      </w:sdtContent>
    </w:sdt>
    <w:p>
      <w:pPr>
        <w:spacing w:after="0"/>
        <w:sectPr>
          <w:headerReference w:type="default" r:id="rId7"/>
          <w:pgSz w:w="11910" w:h="16850"/>
          <w:pgMar w:header="906" w:footer="825" w:top="1115" w:bottom="1315" w:left="1040" w:right="860"/>
        </w:sectPr>
      </w:pPr>
    </w:p>
    <w:p>
      <w:pPr>
        <w:pStyle w:val="Heading2"/>
        <w:spacing w:before="993"/>
      </w:pPr>
      <w:r>
        <w:rPr/>
        <w:t>【政府要闻】</w:t>
      </w:r>
    </w:p>
    <w:p>
      <w:pPr>
        <w:spacing w:before="122"/>
        <w:ind w:left="2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footerReference w:type="default" r:id="rId8"/>
          <w:pgSz w:w="11910" w:h="16850"/>
          <w:pgMar w:footer="607" w:header="906" w:top="1100" w:bottom="800" w:left="1040" w:right="860"/>
          <w:pgNumType w:start="1"/>
          <w:cols w:num="2" w:equalWidth="0">
            <w:col w:w="2207" w:space="1660"/>
            <w:col w:w="6143"/>
          </w:cols>
        </w:sectPr>
      </w:pPr>
    </w:p>
    <w:p>
      <w:pPr>
        <w:spacing w:before="293"/>
        <w:ind w:left="3218" w:right="0" w:firstLine="0"/>
        <w:jc w:val="left"/>
        <w:rPr>
          <w:b/>
          <w:sz w:val="32"/>
        </w:rPr>
      </w:pPr>
      <w:r>
        <w:rPr>
          <w:b/>
          <w:spacing w:val="-2"/>
          <w:sz w:val="32"/>
        </w:rPr>
        <w:t>生育保险和职工医保合并</w:t>
      </w:r>
    </w:p>
    <w:p>
      <w:pPr>
        <w:pStyle w:val="Heading4"/>
        <w:spacing w:before="848"/>
        <w:ind w:left="1017"/>
        <w:rPr>
          <w:rFonts w:ascii="楷体" w:eastAsia="楷体" w:hint="eastAsia"/>
        </w:rPr>
      </w:pPr>
      <w:r>
        <w:rPr>
          <w:b w:val="0"/>
        </w:rPr>
        <w:br w:type="column"/>
      </w: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6750" w:space="40"/>
            <w:col w:w="3220"/>
          </w:cols>
        </w:sectPr>
      </w:pPr>
    </w:p>
    <w:p>
      <w:pPr>
        <w:pStyle w:val="BodyText"/>
        <w:spacing w:line="297" w:lineRule="auto" w:before="98"/>
        <w:ind w:right="147" w:firstLine="480"/>
      </w:pPr>
      <w:r>
        <w:rPr/>
        <w:t>3</w:t>
      </w:r>
      <w:r>
        <w:rPr>
          <w:spacing w:val="-41"/>
        </w:rPr>
        <w:t> 月 </w:t>
      </w:r>
      <w:r>
        <w:rPr/>
        <w:t>25</w:t>
      </w:r>
      <w:r>
        <w:rPr>
          <w:spacing w:val="-8"/>
        </w:rPr>
        <w:t> 日，国务院办公厅发布《关于全面推进生育保险和职工基本医疗保险合并实施</w:t>
      </w:r>
      <w:r>
        <w:rPr>
          <w:spacing w:val="-17"/>
        </w:rPr>
        <w:t>的意见》。《意见》明确，推进生育保险和职工基本医疗保险合并实施，实现参保同步登记、</w:t>
      </w:r>
      <w:r>
        <w:rPr>
          <w:spacing w:val="-8"/>
        </w:rPr>
        <w:t>基金合并运行、征缴管理一致、监督管理统一、经办服务一体化。通过整合两项保险基金及管理资源，强化基金共济能力，提升管理综合效能，降低管理运行成本。</w:t>
      </w:r>
    </w:p>
    <w:p>
      <w:pPr>
        <w:pStyle w:val="BodyText"/>
        <w:spacing w:line="297" w:lineRule="auto"/>
        <w:ind w:right="167" w:firstLine="480"/>
      </w:pPr>
      <w:r>
        <w:rPr>
          <w:spacing w:val="-10"/>
        </w:rPr>
        <w:t>《意见》明确了推进生育保险和职工基本医疗保险合并实施的主要政策。一是统一参保登记。参加职工基本医疗保险的在职职工同步参加生育保险。完善参保范围，促进实现应保</w:t>
      </w:r>
      <w:r>
        <w:rPr>
          <w:spacing w:val="-11"/>
        </w:rPr>
        <w:t>尽保。二是统一基金征缴和管理。生育保险基金并入职工基本医疗保险基金，统一征缴，统</w:t>
      </w:r>
      <w:r>
        <w:rPr>
          <w:spacing w:val="-14"/>
        </w:rPr>
        <w:t>筹层次一致。按照用人单位参加生育保险和职工基本医疗保险的缴费比例之和确定新的单位</w:t>
      </w:r>
      <w:r>
        <w:rPr>
          <w:spacing w:val="-11"/>
        </w:rPr>
        <w:t>费率。三是统一医疗服务管理。两项保险合并实施后实行统一定点医疗服务管理，执行基本</w:t>
      </w:r>
      <w:r>
        <w:rPr>
          <w:spacing w:val="-12"/>
        </w:rPr>
        <w:t>医疗保险、工伤保险、生育保险药品目录以及基本医疗保险诊疗项目和医疗服务设施范围。</w:t>
      </w:r>
      <w:r>
        <w:rPr>
          <w:spacing w:val="-4"/>
        </w:rPr>
        <w:t>生育医疗费用原则上实行医疗保险经办机构与定点医疗机构直接结算。促进生育医疗服务行</w:t>
      </w:r>
      <w:r>
        <w:rPr>
          <w:spacing w:val="-11"/>
        </w:rPr>
        <w:t>为规范，强化监控和审核。四是统一经办和信息服务。经办管理统一由基本医疗保险经办机</w:t>
      </w:r>
      <w:r>
        <w:rPr>
          <w:spacing w:val="-12"/>
        </w:rPr>
        <w:t>构负责，实行信息系统一体化运行。五是确保职工生育期间生育保险待遇不变。参保人员生</w:t>
      </w:r>
      <w:r>
        <w:rPr>
          <w:spacing w:val="-13"/>
        </w:rPr>
        <w:t>育医疗费用、生育津贴等各项生育保险待遇按现行法律法规执行，所需资金从职工基本医疗</w:t>
      </w:r>
      <w:r>
        <w:rPr>
          <w:spacing w:val="-15"/>
        </w:rPr>
        <w:t>保险基金中支付。六是确保制度可持续。各地要增强基金统筹共济能力，增强风险防范意识和制度保障能力，合理引导预期，完善生育保险监测指标，根据生育保险支出需求建立费率动态调整机制。</w:t>
      </w:r>
    </w:p>
    <w:p>
      <w:pPr>
        <w:pStyle w:val="BodyText"/>
        <w:spacing w:line="290" w:lineRule="exact"/>
        <w:ind w:left="717"/>
      </w:pPr>
      <w:r>
        <w:rPr/>
        <w:t>《意见》要求，各地要根据当地生育保险和职工基本医疗保险参保人群差异、基金支付</w:t>
      </w:r>
    </w:p>
    <w:p>
      <w:pPr>
        <w:pStyle w:val="BodyText"/>
        <w:spacing w:line="295" w:lineRule="auto" w:before="70"/>
        <w:ind w:right="270"/>
      </w:pPr>
      <w:r>
        <w:rPr>
          <w:spacing w:val="-10"/>
        </w:rPr>
        <w:t>能力、待遇保障水平等因素进行综合分析和研究，周密组织实施，确保参保人员相关待遇不</w:t>
      </w:r>
      <w:r>
        <w:rPr/>
        <w:t>降低、基金收支平衡，保证平稳过渡。</w:t>
      </w:r>
    </w:p>
    <w:p>
      <w:pPr>
        <w:pStyle w:val="BodyText"/>
        <w:spacing w:before="3"/>
        <w:ind w:left="0"/>
        <w:rPr>
          <w:sz w:val="18"/>
        </w:rPr>
      </w:pPr>
    </w:p>
    <w:p>
      <w:pPr>
        <w:pStyle w:val="Heading2"/>
        <w:ind w:left="2735"/>
      </w:pPr>
      <w:r>
        <w:rPr/>
        <w:t>改善医疗服务列出今年任务清单</w:t>
      </w:r>
    </w:p>
    <w:p>
      <w:pPr>
        <w:pStyle w:val="BodyText"/>
        <w:spacing w:before="52"/>
        <w:ind w:left="1984"/>
      </w:pPr>
      <w:r>
        <w:rPr/>
        <w:t>预约时段要精准到 30 分钟 建检查结果互认风险共担机制</w:t>
      </w:r>
    </w:p>
    <w:p>
      <w:pPr>
        <w:pStyle w:val="Heading4"/>
        <w:spacing w:before="167"/>
        <w:ind w:left="7807"/>
        <w:rPr>
          <w:rFonts w:ascii="楷体" w:eastAsia="楷体" w:hint="eastAsia"/>
        </w:rPr>
      </w:pPr>
      <w:r>
        <w:rPr>
          <w:rFonts w:ascii="楷体" w:eastAsia="楷体" w:hint="eastAsia"/>
          <w:color w:val="FF0000"/>
        </w:rPr>
        <w:t>（来源：健康报）</w:t>
      </w:r>
    </w:p>
    <w:p>
      <w:pPr>
        <w:pStyle w:val="BodyText"/>
        <w:spacing w:line="297" w:lineRule="auto" w:before="96"/>
        <w:ind w:right="270" w:firstLine="480"/>
        <w:jc w:val="both"/>
      </w:pPr>
      <w:r>
        <w:rPr/>
        <w:t>3</w:t>
      </w:r>
      <w:r>
        <w:rPr>
          <w:spacing w:val="-41"/>
        </w:rPr>
        <w:t> 月 </w:t>
      </w:r>
      <w:r>
        <w:rPr/>
        <w:t>19</w:t>
      </w:r>
      <w:r>
        <w:rPr>
          <w:spacing w:val="-8"/>
        </w:rPr>
        <w:t> 日，国家卫生健康委发布《</w:t>
      </w:r>
      <w:r>
        <w:rPr/>
        <w:t>2019</w:t>
      </w:r>
      <w:r>
        <w:rPr>
          <w:spacing w:val="-8"/>
        </w:rPr>
        <w:t> 年深入落实进一步改善医疗服务行动计划重点</w:t>
      </w:r>
      <w:r>
        <w:rPr>
          <w:spacing w:val="-13"/>
        </w:rPr>
        <w:t>工作方案》。《方案》列出了科学建立预约诊疗制度、完善远程医疗制度、推动结果互认制</w:t>
      </w:r>
      <w:r>
        <w:rPr>
          <w:spacing w:val="-11"/>
        </w:rPr>
        <w:t>度、推动区域就诊一卡通、加强麻醉医疗服务、推广多学科诊疗服务、丰富日间医疗服务内</w:t>
      </w:r>
      <w:r>
        <w:rPr>
          <w:spacing w:val="-2"/>
        </w:rPr>
        <w:t>涵、持续优化急诊急救服务、提高老年护理服务质量、开展长期用药的药学服务 </w:t>
      </w:r>
      <w:r>
        <w:rPr/>
        <w:t>10</w:t>
      </w:r>
      <w:r>
        <w:rPr>
          <w:spacing w:val="-15"/>
        </w:rPr>
        <w:t> 项具体任务。</w:t>
      </w:r>
    </w:p>
    <w:p>
      <w:pPr>
        <w:pStyle w:val="BodyText"/>
        <w:spacing w:line="295" w:lineRule="auto"/>
        <w:ind w:right="149" w:firstLine="480"/>
      </w:pPr>
      <w:r>
        <w:rPr>
          <w:spacing w:val="-12"/>
        </w:rPr>
        <w:t>《方案》要求，力争预约时段精准到 </w:t>
      </w:r>
      <w:r>
        <w:rPr/>
        <w:t>30</w:t>
      </w:r>
      <w:r>
        <w:rPr>
          <w:spacing w:val="-12"/>
        </w:rPr>
        <w:t> 分钟，避免门诊二次预约导致重复排队的情况。</w:t>
      </w:r>
      <w:r>
        <w:rPr>
          <w:spacing w:val="-7"/>
        </w:rPr>
        <w:t>科学合理安排预约放号时间，避免深夜放号、凌晨放号等情况。有条件的三级医院要积极建</w:t>
      </w:r>
    </w:p>
    <w:p>
      <w:pPr>
        <w:spacing w:after="0" w:line="295" w:lineRule="auto"/>
        <w:sectPr>
          <w:type w:val="continuous"/>
          <w:pgSz w:w="11910" w:h="16850"/>
          <w:pgMar w:top="1100" w:bottom="1020" w:left="1040" w:right="860"/>
        </w:sectPr>
      </w:pPr>
    </w:p>
    <w:p>
      <w:pPr>
        <w:pStyle w:val="BodyText"/>
        <w:spacing w:line="295" w:lineRule="auto" w:before="65"/>
        <w:ind w:right="166"/>
      </w:pPr>
      <w:r>
        <w:rPr>
          <w:spacing w:val="-8"/>
        </w:rPr>
        <w:t>立远程医疗中心，推广“基层检查、上级诊断”模式。针对糖尿病、高血压等慢性病，搭建</w:t>
      </w:r>
      <w:r>
        <w:rPr>
          <w:spacing w:val="-13"/>
        </w:rPr>
        <w:t>医疗机构与患者居家的连续远程医疗服务平台。城市医疗集团应当搭建信息平台，在集团内</w:t>
      </w:r>
      <w:r>
        <w:rPr>
          <w:spacing w:val="-14"/>
        </w:rPr>
        <w:t>部率先实现一卡通，力争实现电子健康档案和电子病历信息共享。鼓励医院开设麻醉门诊、</w:t>
      </w:r>
      <w:r>
        <w:rPr>
          <w:spacing w:val="-9"/>
        </w:rPr>
        <w:t>疼痛门诊，有条件的医院探索建立门诊无痛诊疗中心、儿童镇静中心。推进国家多学科诊疗</w:t>
      </w:r>
      <w:r>
        <w:rPr>
          <w:spacing w:val="-14"/>
        </w:rPr>
        <w:t>试点和中医诊疗模式创新试点，探索建立疑难复杂专病临床诊疗中心。推进中医多专业联合诊疗和中医综合治疗，开展经典病房试点。</w:t>
      </w:r>
    </w:p>
    <w:p>
      <w:pPr>
        <w:pStyle w:val="BodyText"/>
        <w:spacing w:line="297" w:lineRule="auto" w:before="11"/>
        <w:ind w:right="147" w:firstLine="480"/>
      </w:pPr>
      <w:r>
        <w:rPr>
          <w:spacing w:val="-16"/>
        </w:rPr>
        <w:t>《方案》提出，在医联体内率先实现医学检验、医学影像、病理检查等资料和信息共享。</w:t>
      </w:r>
      <w:r>
        <w:rPr>
          <w:spacing w:val="-6"/>
        </w:rPr>
        <w:t>有条件的地区可以引入第三方保险，建立起检查检验结果互认的风险共担机制。将研究确定</w:t>
      </w:r>
      <w:r>
        <w:rPr>
          <w:spacing w:val="-12"/>
        </w:rPr>
        <w:t>第二批日间手术病种，制定日间手术病种诊疗规范和日间手术中心管理规范。探索建立医护</w:t>
      </w:r>
      <w:r>
        <w:rPr>
          <w:spacing w:val="-14"/>
        </w:rPr>
        <w:t>联合门诊、医院社区一体化术后伤口管理中心。力争到 </w:t>
      </w:r>
      <w:r>
        <w:rPr/>
        <w:t>2020</w:t>
      </w:r>
      <w:r>
        <w:rPr>
          <w:spacing w:val="-8"/>
        </w:rPr>
        <w:t> 年，各地逐步建立起基于“五</w:t>
      </w:r>
      <w:r>
        <w:rPr>
          <w:spacing w:val="-16"/>
        </w:rPr>
        <w:t>大中心”的急危重症患者救治体系和院前院内信息共享网络。另外，建立老年护理服务体系， </w:t>
      </w:r>
      <w:r>
        <w:rPr>
          <w:spacing w:val="-3"/>
        </w:rPr>
        <w:t>制定完善老年护理服务指南规范，鼓励有条件的地区增加护理院</w:t>
      </w:r>
      <w:r>
        <w:rPr/>
        <w:t>（站</w:t>
      </w:r>
      <w:r>
        <w:rPr>
          <w:spacing w:val="-22"/>
        </w:rPr>
        <w:t>）</w:t>
      </w:r>
      <w:r>
        <w:rPr>
          <w:spacing w:val="-8"/>
        </w:rPr>
        <w:t>、护理中心数量，积极开设家庭病床。</w:t>
      </w:r>
    </w:p>
    <w:p>
      <w:pPr>
        <w:pStyle w:val="BodyText"/>
        <w:spacing w:line="295" w:lineRule="auto"/>
        <w:ind w:right="152" w:firstLine="480"/>
      </w:pPr>
      <w:r>
        <w:rPr>
          <w:spacing w:val="-14"/>
        </w:rPr>
        <w:t>在不断提升患者满意度的同时，《方案》要求，不断改善医务人员工作环境，以及就餐、</w:t>
      </w:r>
      <w:r>
        <w:rPr/>
        <w:t>安保等后勤保障条件，完善值班室、淋浴室等基本生活设施，提升医院员工满意度。</w:t>
      </w:r>
    </w:p>
    <w:p>
      <w:pPr>
        <w:pStyle w:val="BodyText"/>
        <w:spacing w:before="9"/>
        <w:ind w:left="0"/>
        <w:rPr>
          <w:sz w:val="17"/>
        </w:rPr>
      </w:pPr>
    </w:p>
    <w:p>
      <w:pPr>
        <w:pStyle w:val="Heading2"/>
        <w:ind w:left="0" w:right="36"/>
        <w:jc w:val="center"/>
      </w:pPr>
      <w:r>
        <w:rPr/>
        <w:t>医疗乱象专项整治拉开大幕</w:t>
      </w:r>
    </w:p>
    <w:p>
      <w:pPr>
        <w:pStyle w:val="BodyText"/>
        <w:spacing w:before="141"/>
        <w:ind w:left="0" w:right="36"/>
        <w:jc w:val="center"/>
      </w:pPr>
      <w:r>
        <w:rPr/>
        <w:t>严厉打击“挂证”和骗保行为 坚决查处拆分手术或检查项目</w:t>
      </w:r>
    </w:p>
    <w:p>
      <w:pPr>
        <w:pStyle w:val="Heading4"/>
        <w:spacing w:before="165"/>
        <w:ind w:left="0" w:right="269"/>
        <w:jc w:val="right"/>
        <w:rPr>
          <w:rFonts w:ascii="楷体" w:eastAsia="楷体" w:hint="eastAsia"/>
        </w:rPr>
      </w:pPr>
      <w:r>
        <w:rPr>
          <w:rFonts w:ascii="楷体" w:eastAsia="楷体" w:hint="eastAsia"/>
          <w:color w:val="FF0000"/>
          <w:w w:val="95"/>
        </w:rPr>
        <w:t>（来源：健康报）</w:t>
      </w:r>
    </w:p>
    <w:p>
      <w:pPr>
        <w:pStyle w:val="BodyText"/>
        <w:spacing w:before="96"/>
        <w:ind w:left="717"/>
      </w:pPr>
      <w:r>
        <w:rPr/>
        <w:t>3 月 21 日，国家卫生健康委等 8 部门联合发布《关于开展医疗乱象专项整治行动的通</w:t>
      </w:r>
    </w:p>
    <w:p>
      <w:pPr>
        <w:pStyle w:val="BodyText"/>
        <w:spacing w:line="295" w:lineRule="auto" w:before="74"/>
        <w:ind w:right="285"/>
      </w:pPr>
      <w:r>
        <w:rPr>
          <w:spacing w:val="-9"/>
        </w:rPr>
        <w:t>知》，自今年 </w:t>
      </w:r>
      <w:r>
        <w:rPr/>
        <w:t>3</w:t>
      </w:r>
      <w:r>
        <w:rPr>
          <w:spacing w:val="-24"/>
        </w:rPr>
        <w:t> 月起到 </w:t>
      </w:r>
      <w:r>
        <w:rPr/>
        <w:t>2020</w:t>
      </w:r>
      <w:r>
        <w:rPr>
          <w:spacing w:val="-40"/>
        </w:rPr>
        <w:t> 年 </w:t>
      </w:r>
      <w:r>
        <w:rPr/>
        <w:t>2</w:t>
      </w:r>
      <w:r>
        <w:rPr>
          <w:spacing w:val="-11"/>
        </w:rPr>
        <w:t> 月底，由卫生健康部门牵头，开展为期 </w:t>
      </w:r>
      <w:r>
        <w:rPr/>
        <w:t>1</w:t>
      </w:r>
      <w:r>
        <w:rPr>
          <w:spacing w:val="-10"/>
        </w:rPr>
        <w:t> 年的医疗乱象专</w:t>
      </w:r>
      <w:r>
        <w:rPr/>
        <w:t>项整治行动。</w:t>
      </w:r>
    </w:p>
    <w:p>
      <w:pPr>
        <w:pStyle w:val="BodyText"/>
        <w:spacing w:line="297" w:lineRule="auto" w:before="2"/>
        <w:ind w:right="152" w:firstLine="480"/>
      </w:pPr>
      <w:r>
        <w:rPr>
          <w:spacing w:val="-6"/>
        </w:rPr>
        <w:t>《医疗乱象专项整治行动方案》明确，此次行动有四项重点任务：一是严厉打击各类违</w:t>
      </w:r>
      <w:r>
        <w:rPr>
          <w:spacing w:val="-13"/>
        </w:rPr>
        <w:t>法违规执业行为。特别是医师出租、出借、转让《医师执业证书》等“挂证”行为，医疗机构买卖、转让、租借《医疗机构执业许可证》或《医师执业证书》，无证行医，违规开展免</w:t>
      </w:r>
      <w:r>
        <w:rPr>
          <w:spacing w:val="-14"/>
        </w:rPr>
        <w:t>疫细胞治疗，利用医托、虚假诊断等方式欺骗、诱使、强迫患者接受诊疗和消费，以及非法</w:t>
      </w:r>
      <w:r>
        <w:rPr>
          <w:spacing w:val="-15"/>
        </w:rPr>
        <w:t>获取和买卖器官、角膜等人体组织器官等行为。二是严厉打击医疗骗保行为。重点打击通过</w:t>
      </w:r>
      <w:r>
        <w:rPr>
          <w:spacing w:val="-19"/>
        </w:rPr>
        <w:t>虚假宣传、以体检等名目诱导、骗取参保人员住院，留存、盗刷、冒用参保人员社会保障卡， </w:t>
      </w:r>
      <w:r>
        <w:rPr>
          <w:spacing w:val="-11"/>
        </w:rPr>
        <w:t>虚记、多记费用等恶意骗取医保基金的行为。三是严肃查处发布违法医疗广告和虚假信息的行为。重点查处未经卫生健康部门审查和违反《医疗广告审查证明》规定发布医疗广告和在</w:t>
      </w:r>
      <w:r>
        <w:rPr>
          <w:spacing w:val="-13"/>
        </w:rPr>
        <w:t>医院自建网站、公众号等自媒体上发布虚假医疗信息等行为。四是坚决查处不规范收费、乱收费、诱导消费和过度诊疗行为。特别是拆分手术或检验检查项目，未按照要求公示药品、医用材料及医疗服务价格，未按照项目和计价依据收费等行为。</w:t>
      </w:r>
    </w:p>
    <w:p>
      <w:pPr>
        <w:pStyle w:val="BodyText"/>
        <w:spacing w:line="297" w:lineRule="auto"/>
        <w:ind w:right="147" w:firstLine="480"/>
      </w:pPr>
      <w:r>
        <w:rPr>
          <w:spacing w:val="-15"/>
        </w:rPr>
        <w:t>《方案》要求，各级各类医疗机构要扎实开展自纠自查，对照问题线索，逐项排查解决。</w:t>
      </w:r>
      <w:r>
        <w:rPr>
          <w:spacing w:val="-10"/>
        </w:rPr>
        <w:t>各地卫生健康、网信、发展改革、公安、市场监管、医保、中医药、药监等行政部门要联合</w:t>
      </w:r>
      <w:r>
        <w:rPr>
          <w:spacing w:val="-14"/>
        </w:rPr>
        <w:t>制订本辖区实施方案，按照方案分工对辖区内医疗机构进行指导和监管，对发现的问题和线</w:t>
      </w:r>
      <w:r>
        <w:rPr>
          <w:spacing w:val="-13"/>
        </w:rPr>
        <w:t>索进行严肃查处，集中整治范围要实现辖区内医院</w:t>
      </w:r>
      <w:r>
        <w:rPr/>
        <w:t>（含中医院和妇幼保健院</w:t>
      </w:r>
      <w:r>
        <w:rPr>
          <w:spacing w:val="-27"/>
        </w:rPr>
        <w:t>）</w:t>
      </w:r>
      <w:r>
        <w:rPr>
          <w:spacing w:val="-5"/>
        </w:rPr>
        <w:t>全覆盖，其他</w:t>
      </w:r>
      <w:r>
        <w:rPr>
          <w:spacing w:val="-12"/>
        </w:rPr>
        <w:t>类型医疗机构覆盖 </w:t>
      </w:r>
      <w:r>
        <w:rPr/>
        <w:t>50%以上。</w:t>
      </w:r>
    </w:p>
    <w:p>
      <w:pPr>
        <w:spacing w:after="0" w:line="297" w:lineRule="auto"/>
        <w:sectPr>
          <w:pgSz w:w="11910" w:h="16850"/>
          <w:pgMar w:header="906" w:footer="607" w:top="1100" w:bottom="800" w:left="1040" w:right="860"/>
        </w:sectPr>
      </w:pPr>
    </w:p>
    <w:p>
      <w:pPr>
        <w:pStyle w:val="BodyText"/>
        <w:spacing w:line="295" w:lineRule="auto" w:before="65"/>
        <w:ind w:right="266" w:firstLine="480"/>
        <w:jc w:val="both"/>
      </w:pPr>
      <w:r>
        <w:rPr>
          <w:spacing w:val="-8"/>
        </w:rPr>
        <w:t>为保障专项整治行动落到实处，《方案》指出，要建立省级多部门联合协作机制和问责</w:t>
      </w:r>
      <w:r>
        <w:rPr>
          <w:spacing w:val="-10"/>
        </w:rPr>
        <w:t>机制，设立医疗乱象监督举报专线和专用通道。针对医疗乱象整治发现的共性问题，要进一</w:t>
      </w:r>
      <w:r>
        <w:rPr/>
        <w:t>步完善制度设计。</w:t>
      </w:r>
    </w:p>
    <w:p>
      <w:pPr>
        <w:pStyle w:val="BodyText"/>
        <w:spacing w:before="161"/>
        <w:ind w:left="0" w:right="33"/>
        <w:jc w:val="center"/>
      </w:pPr>
      <w:r>
        <w:rPr>
          <w:rFonts w:ascii="Times New Roman" w:eastAsia="Times New Roman"/>
        </w:rPr>
        <w:t>332 </w:t>
      </w:r>
      <w:r>
        <w:rPr/>
        <w:t>个标准研究课题公开征集承担单位</w:t>
      </w:r>
    </w:p>
    <w:p>
      <w:pPr>
        <w:pStyle w:val="Heading2"/>
        <w:spacing w:before="148"/>
        <w:ind w:left="0" w:right="32"/>
        <w:jc w:val="center"/>
      </w:pPr>
      <w:r>
        <w:rPr/>
        <w:t>国家药品标准制定 企业不应缺席</w:t>
      </w:r>
    </w:p>
    <w:p>
      <w:pPr>
        <w:pStyle w:val="Heading4"/>
        <w:spacing w:before="145"/>
        <w:ind w:left="0" w:right="268"/>
        <w:jc w:val="right"/>
        <w:rPr>
          <w:rFonts w:ascii="楷体" w:eastAsia="楷体" w:hint="eastAsia"/>
        </w:rPr>
      </w:pPr>
      <w:r>
        <w:rPr>
          <w:rFonts w:ascii="楷体" w:eastAsia="楷体" w:hint="eastAsia"/>
          <w:color w:val="FF0000"/>
          <w:w w:val="95"/>
        </w:rPr>
        <w:t>（来源：中国医药报）</w:t>
      </w:r>
    </w:p>
    <w:p>
      <w:pPr>
        <w:pStyle w:val="BodyText"/>
        <w:spacing w:line="295" w:lineRule="auto" w:before="98"/>
        <w:ind w:right="269" w:firstLine="480"/>
        <w:jc w:val="both"/>
      </w:pPr>
      <w:r>
        <w:rPr/>
        <w:t>3</w:t>
      </w:r>
      <w:r>
        <w:rPr>
          <w:spacing w:val="-41"/>
        </w:rPr>
        <w:t> 月 </w:t>
      </w:r>
      <w:r>
        <w:rPr/>
        <w:t>19</w:t>
      </w:r>
      <w:r>
        <w:rPr>
          <w:spacing w:val="-14"/>
        </w:rPr>
        <w:t> 日，国家药典委员会发布《关于征集 </w:t>
      </w:r>
      <w:r>
        <w:rPr/>
        <w:t>2019</w:t>
      </w:r>
      <w:r>
        <w:rPr>
          <w:spacing w:val="-9"/>
        </w:rPr>
        <w:t> 年国家药典委员会药品标准制修订拟</w:t>
      </w:r>
      <w:r>
        <w:rPr>
          <w:spacing w:val="-8"/>
        </w:rPr>
        <w:t>立项课题承担单位的通知》，征集药品标准制修订拟立项课题承担单位，鼓励药品上市许可</w:t>
      </w:r>
      <w:r>
        <w:rPr/>
        <w:t>持有人（药品生产企业）、社会团体等承担或参与标准研究工作。</w:t>
      </w:r>
    </w:p>
    <w:p>
      <w:pPr>
        <w:pStyle w:val="BodyText"/>
        <w:spacing w:line="295" w:lineRule="auto" w:before="6"/>
        <w:ind w:right="165" w:firstLine="480"/>
      </w:pPr>
      <w:r>
        <w:rPr>
          <w:spacing w:val="-1"/>
        </w:rPr>
        <w:t>业界认为，此举将盘活社会资源，有利于加速药典标准制修订，为此举频频“点赞”。</w:t>
      </w:r>
      <w:r>
        <w:rPr>
          <w:spacing w:val="-5"/>
        </w:rPr>
        <w:t>随着药品审评审批制度改革不断深化，国家药品标准形成机制也悄然发生改变。“药品注册</w:t>
      </w:r>
      <w:r>
        <w:rPr>
          <w:spacing w:val="-11"/>
        </w:rPr>
        <w:t>标准是国家药品标准制定的基础。企业是药品注册标准制定的主体，也应当成为国家药品标</w:t>
      </w:r>
      <w:r>
        <w:rPr>
          <w:spacing w:val="-13"/>
        </w:rPr>
        <w:t>准制定的贡献者。”国家药典委员会秘书长张伟介绍说，我国医药产业发展迎来新时代，国</w:t>
      </w:r>
      <w:r>
        <w:rPr>
          <w:spacing w:val="-15"/>
        </w:rPr>
        <w:t>家药典委将通过完善机制，逐步形成以政府为主导、企业为主体、全社会共同参与的国家药品标准制定工作新格局。</w:t>
      </w:r>
    </w:p>
    <w:p>
      <w:pPr>
        <w:pStyle w:val="Heading4"/>
        <w:tabs>
          <w:tab w:pos="1921" w:val="left" w:leader="none"/>
        </w:tabs>
        <w:spacing w:before="11"/>
        <w:ind w:left="717"/>
      </w:pPr>
      <w:r>
        <w:rPr/>
        <w:t>盘活资源</w:t>
        <w:tab/>
        <w:t>让药品标准接地气</w:t>
      </w:r>
    </w:p>
    <w:p>
      <w:pPr>
        <w:pStyle w:val="BodyText"/>
        <w:spacing w:line="297" w:lineRule="auto" w:before="72"/>
        <w:ind w:right="272" w:firstLine="480"/>
        <w:jc w:val="both"/>
      </w:pPr>
      <w:r>
        <w:rPr>
          <w:spacing w:val="-5"/>
        </w:rPr>
        <w:t>此次，国家药典委公布了 </w:t>
      </w:r>
      <w:r>
        <w:rPr/>
        <w:t>293</w:t>
      </w:r>
      <w:r>
        <w:rPr>
          <w:spacing w:val="-20"/>
        </w:rPr>
        <w:t> 个品种和 </w:t>
      </w:r>
      <w:r>
        <w:rPr/>
        <w:t>39</w:t>
      </w:r>
      <w:r>
        <w:rPr>
          <w:spacing w:val="-8"/>
        </w:rPr>
        <w:t> 个通用技术要求课题研究任务，向社会广泛</w:t>
      </w:r>
      <w:r>
        <w:rPr>
          <w:spacing w:val="-11"/>
        </w:rPr>
        <w:t>征集课题承担单位，并明确表示“鼓励药品上市许可持有人</w:t>
      </w:r>
      <w:r>
        <w:rPr/>
        <w:t>（药品生产企业</w:t>
      </w:r>
      <w:r>
        <w:rPr>
          <w:spacing w:val="-27"/>
        </w:rPr>
        <w:t>）</w:t>
      </w:r>
      <w:r>
        <w:rPr>
          <w:spacing w:val="-9"/>
        </w:rPr>
        <w:t>、原辅包生产</w:t>
      </w:r>
      <w:r>
        <w:rPr/>
        <w:t>企业、检验机构以及有关教育科研机构、社会团体等承担或参与标准研究工作”。</w:t>
      </w:r>
    </w:p>
    <w:p>
      <w:pPr>
        <w:pStyle w:val="BodyText"/>
        <w:spacing w:line="297" w:lineRule="auto"/>
        <w:ind w:right="267" w:firstLine="480"/>
        <w:jc w:val="both"/>
      </w:pPr>
      <w:r>
        <w:rPr>
          <w:spacing w:val="-12"/>
        </w:rPr>
        <w:t>制定科学、全面、可检验、能执行的药典标准是提高药品质量疗效、防范药品安全风险</w:t>
      </w:r>
      <w:r>
        <w:rPr>
          <w:spacing w:val="-10"/>
        </w:rPr>
        <w:t>的重要措施。在上海市食品药品安全研究会会长唐民皓看来，此举意在吸引更多企业参与国</w:t>
      </w:r>
      <w:r>
        <w:rPr>
          <w:spacing w:val="-9"/>
        </w:rPr>
        <w:t>家药典标准建设，是“社会共治”理念的重要体现。一方面针对业内新情况、新技术及时制</w:t>
      </w:r>
      <w:r>
        <w:rPr>
          <w:spacing w:val="-10"/>
        </w:rPr>
        <w:t>定完善标准，让企业产品质量提升在国家药品标准提高上得以体现；另一方面在标准制修订</w:t>
      </w:r>
      <w:r>
        <w:rPr/>
        <w:t>中充分吸纳企业意见，使药品标准更接地气，更符合行业发展需要。</w:t>
      </w:r>
    </w:p>
    <w:p>
      <w:pPr>
        <w:pStyle w:val="BodyText"/>
        <w:spacing w:line="295" w:lineRule="auto"/>
        <w:ind w:right="267" w:firstLine="480"/>
        <w:jc w:val="both"/>
      </w:pPr>
      <w:r>
        <w:rPr>
          <w:spacing w:val="-10"/>
        </w:rPr>
        <w:t>张伟指出，企业标准提高是国家标准提高的前提，也是建立最严谨标准的重要基础。企</w:t>
      </w:r>
      <w:r>
        <w:rPr>
          <w:spacing w:val="-7"/>
        </w:rPr>
        <w:t>业既应是标准制定的参与者，也应是标准实施后的执行者，因此企业不应缺席国家药品标准</w:t>
      </w:r>
      <w:r>
        <w:rPr/>
        <w:t>制定工作。</w:t>
      </w:r>
    </w:p>
    <w:p>
      <w:pPr>
        <w:pStyle w:val="BodyText"/>
        <w:spacing w:line="297" w:lineRule="auto"/>
        <w:ind w:right="266" w:firstLine="480"/>
        <w:jc w:val="both"/>
      </w:pPr>
      <w:r>
        <w:rPr>
          <w:spacing w:val="-7"/>
        </w:rPr>
        <w:t>“过去一般由药检机构承担课题，主动让企业参与的药典标准项目不是很多。这次鼓励</w:t>
      </w:r>
      <w:r>
        <w:rPr>
          <w:spacing w:val="-12"/>
        </w:rPr>
        <w:t>企业参与，是件好事。”扬子江药业集团新品研发负责人朱建华对记者说，这次公布的课题</w:t>
      </w:r>
      <w:r>
        <w:rPr>
          <w:spacing w:val="-9"/>
        </w:rPr>
        <w:t>名单中，有几种药品与扬子江药业有关，企业已做好准备，如果确实需要，会主动联系参与</w:t>
      </w:r>
      <w:r>
        <w:rPr>
          <w:spacing w:val="-12"/>
        </w:rPr>
        <w:t>课题。“企业自身也有标准提升工作，参与国家标准建设对企业能力的提升也有益。”朱建</w:t>
      </w:r>
      <w:r>
        <w:rPr/>
        <w:t>华说。</w:t>
      </w:r>
    </w:p>
    <w:p>
      <w:pPr>
        <w:pStyle w:val="BodyText"/>
        <w:spacing w:line="297" w:lineRule="auto"/>
        <w:ind w:right="266" w:firstLine="480"/>
        <w:jc w:val="both"/>
      </w:pPr>
      <w:r>
        <w:rPr>
          <w:spacing w:val="-6"/>
        </w:rPr>
        <w:t>“资金拨付方式的转变让科研经费落实单位范围扩大，优化了课题承担单位结构。”张</w:t>
      </w:r>
      <w:r>
        <w:rPr>
          <w:spacing w:val="-11"/>
        </w:rPr>
        <w:t>伟讲到，自 </w:t>
      </w:r>
      <w:r>
        <w:rPr/>
        <w:t>2018</w:t>
      </w:r>
      <w:r>
        <w:rPr>
          <w:spacing w:val="-8"/>
        </w:rPr>
        <w:t> 年起，“药品标准提高行动计划”专项经费由中央转移地方支付的方式转</w:t>
      </w:r>
      <w:r>
        <w:rPr>
          <w:spacing w:val="-14"/>
        </w:rPr>
        <w:t>为中央本级拨付，这一转变使有能力的药检机构、药物研发单位以及企业承担课题研究成为</w:t>
      </w:r>
      <w:r>
        <w:rPr/>
        <w:t>可能，让更多优质企业参与到药品标准提高工作中。</w:t>
      </w:r>
    </w:p>
    <w:p>
      <w:pPr>
        <w:spacing w:after="0" w:line="297" w:lineRule="auto"/>
        <w:jc w:val="both"/>
        <w:sectPr>
          <w:pgSz w:w="11910" w:h="16850"/>
          <w:pgMar w:header="906" w:footer="607" w:top="1100" w:bottom="800" w:left="1040" w:right="860"/>
        </w:sectPr>
      </w:pPr>
    </w:p>
    <w:p>
      <w:pPr>
        <w:pStyle w:val="BodyText"/>
        <w:spacing w:line="295" w:lineRule="auto" w:before="65"/>
        <w:ind w:right="270" w:firstLine="480"/>
        <w:jc w:val="both"/>
      </w:pPr>
      <w:r>
        <w:rPr>
          <w:spacing w:val="-6"/>
        </w:rPr>
        <w:t>此次征集工作允许申报单位自筹或部分自筹经费。张伟告诉记者，整合社会资源参与国</w:t>
      </w:r>
      <w:r>
        <w:rPr>
          <w:spacing w:val="-9"/>
        </w:rPr>
        <w:t>家药品标准制修订，有利于让社会各界更多人力、物力、财力投入进来，保障国家药品标准</w:t>
      </w:r>
      <w:r>
        <w:rPr/>
        <w:t>研究工作的顺利进行。</w:t>
      </w:r>
    </w:p>
    <w:p>
      <w:pPr>
        <w:pStyle w:val="Heading4"/>
        <w:tabs>
          <w:tab w:pos="1921" w:val="left" w:leader="none"/>
        </w:tabs>
        <w:spacing w:before="5"/>
        <w:ind w:left="717"/>
      </w:pPr>
      <w:r>
        <w:rPr/>
        <w:t>公平公正</w:t>
        <w:tab/>
        <w:t>保障标准制定合理性</w:t>
      </w:r>
    </w:p>
    <w:p>
      <w:pPr>
        <w:pStyle w:val="BodyText"/>
        <w:spacing w:before="72"/>
        <w:ind w:left="717"/>
      </w:pPr>
      <w:r>
        <w:rPr/>
        <w:t>企业承担药品标准课题，是否会影响药典标准的公正性？有人提出担忧。</w:t>
      </w:r>
    </w:p>
    <w:p>
      <w:pPr>
        <w:pStyle w:val="BodyText"/>
        <w:spacing w:line="297" w:lineRule="auto" w:before="72"/>
        <w:ind w:right="147" w:firstLine="480"/>
      </w:pPr>
      <w:r>
        <w:rPr>
          <w:spacing w:val="-7"/>
        </w:rPr>
        <w:t>国家药典委一位工作人员对此回应，每个标准研究课题立项都经国家药典委各相关专业</w:t>
      </w:r>
      <w:r>
        <w:rPr>
          <w:spacing w:val="-18"/>
        </w:rPr>
        <w:t>委员会的充分审议，企业通常作为课题复核或协作单位参与研究，而不作为课题主起草单位。</w:t>
      </w:r>
      <w:r>
        <w:rPr>
          <w:spacing w:val="-10"/>
        </w:rPr>
        <w:t>此外，充分审议、企业扩大验证和广泛征集意见，以及完善的标准制定程序，能有效保障标准制定的公正性。</w:t>
      </w:r>
    </w:p>
    <w:p>
      <w:pPr>
        <w:pStyle w:val="BodyText"/>
        <w:spacing w:line="295" w:lineRule="auto"/>
        <w:ind w:right="267" w:firstLine="480"/>
        <w:jc w:val="both"/>
      </w:pPr>
      <w:r>
        <w:rPr>
          <w:spacing w:val="-9"/>
        </w:rPr>
        <w:t>朱建华表示，课题研究成果“最后还是要药典委审查通过的”。唐民皓则认为，如何在</w:t>
      </w:r>
      <w:r>
        <w:rPr>
          <w:spacing w:val="-7"/>
        </w:rPr>
        <w:t>审核过程中做好平衡工作，着实考验国家药典委的智慧。药典标准属于强制性国家标准，在</w:t>
      </w:r>
      <w:r>
        <w:rPr/>
        <w:t>制定时需权衡企业能力差异，兼顾行业平均水平，才有助于推动中国药品质量提升。</w:t>
      </w:r>
    </w:p>
    <w:p>
      <w:pPr>
        <w:pStyle w:val="BodyText"/>
        <w:spacing w:line="297" w:lineRule="auto" w:before="2"/>
        <w:ind w:right="148" w:firstLine="480"/>
      </w:pPr>
      <w:r>
        <w:rPr>
          <w:spacing w:val="-12"/>
        </w:rPr>
        <w:t>“企业的广泛参与是标准制定合理性的保障。”张伟表示，要制定严谨公平的国家标准， </w:t>
      </w:r>
      <w:r>
        <w:rPr>
          <w:spacing w:val="-7"/>
        </w:rPr>
        <w:t>企业的参与和配合必不可少。他介绍，国家药品标准制修订草案都会公开向社会广泛征求意</w:t>
      </w:r>
      <w:r>
        <w:rPr>
          <w:spacing w:val="-11"/>
        </w:rPr>
        <w:t>见和建议，即使不作为课题承担单位，相关企业也可向国家药典委反馈意见和研究数据，为科学合理制定国家标准提供技术支持。</w:t>
      </w:r>
    </w:p>
    <w:p>
      <w:pPr>
        <w:pStyle w:val="BodyText"/>
        <w:spacing w:line="297" w:lineRule="auto"/>
        <w:ind w:right="267" w:firstLine="480"/>
        <w:jc w:val="both"/>
      </w:pPr>
      <w:r>
        <w:rPr>
          <w:spacing w:val="-12"/>
        </w:rPr>
        <w:t>张伟强调，提高药品标准制定各环节工作的透明度是国家标准公平公正的重要前提和保</w:t>
      </w:r>
      <w:r>
        <w:rPr>
          <w:spacing w:val="-16"/>
        </w:rPr>
        <w:t>障。自 </w:t>
      </w:r>
      <w:r>
        <w:rPr/>
        <w:t>2016</w:t>
      </w:r>
      <w:r>
        <w:rPr>
          <w:spacing w:val="-8"/>
        </w:rPr>
        <w:t> 年以来，国家药典委不断完善工作程序，在研究课题项目建议、课题立项、课</w:t>
      </w:r>
      <w:r>
        <w:rPr>
          <w:spacing w:val="-14"/>
        </w:rPr>
        <w:t>题承担单位申请和确定、标准扩大复核和草案稿征集意见等关键环节向社会公开，在保障国</w:t>
      </w:r>
      <w:r>
        <w:rPr/>
        <w:t>家标准制定的公平性的同时，提升了企业参与药品标准工作的积极性。</w:t>
      </w:r>
    </w:p>
    <w:p>
      <w:pPr>
        <w:pStyle w:val="Heading4"/>
        <w:tabs>
          <w:tab w:pos="1921" w:val="left" w:leader="none"/>
        </w:tabs>
        <w:spacing w:line="302" w:lineRule="exact"/>
        <w:ind w:left="717"/>
      </w:pPr>
      <w:r>
        <w:rPr/>
        <w:t>大势所趋</w:t>
        <w:tab/>
        <w:t>企业准备好了吗</w:t>
      </w:r>
    </w:p>
    <w:p>
      <w:pPr>
        <w:pStyle w:val="BodyText"/>
        <w:spacing w:line="297" w:lineRule="auto" w:before="68"/>
        <w:ind w:right="167" w:firstLine="480"/>
      </w:pPr>
      <w:r>
        <w:rPr>
          <w:spacing w:val="-8"/>
        </w:rPr>
        <w:t>过去很长一段时间，我国药品标准制修订工作主要以政府为主体，承担单位是各级药品</w:t>
      </w:r>
      <w:r>
        <w:rPr>
          <w:spacing w:val="-13"/>
        </w:rPr>
        <w:t>监管部门所属的药品检验检测机构，企业对标准制修订工作的关注度和参与度不够。“我们</w:t>
      </w:r>
      <w:r>
        <w:rPr>
          <w:spacing w:val="-14"/>
        </w:rPr>
        <w:t>在标准提高工作中遇到的最大问题就是样品收集和资料提供，以及标准公示后的信息反馈， </w:t>
      </w:r>
      <w:r>
        <w:rPr/>
        <w:t>这反映出企业参与度不足的问题。”一位药检机构工作人员表示。</w:t>
      </w:r>
    </w:p>
    <w:p>
      <w:pPr>
        <w:pStyle w:val="BodyText"/>
        <w:spacing w:line="297" w:lineRule="auto"/>
        <w:ind w:right="267" w:firstLine="480"/>
        <w:jc w:val="both"/>
      </w:pPr>
      <w:r>
        <w:rPr>
          <w:spacing w:val="-10"/>
        </w:rPr>
        <w:t>唐民皓表示：“在发达国家，企业注册标准和行业标准往往是国家标准的先导，欧美药</w:t>
      </w:r>
      <w:r>
        <w:rPr>
          <w:spacing w:val="-6"/>
        </w:rPr>
        <w:t>典经常是原研企业提供其企业标准供国家标准制定。但我国路径略有不同，在行业力量较弱</w:t>
      </w:r>
      <w:r>
        <w:rPr/>
        <w:t>的情况下，政府成为了国家药品标准的制定者。”</w:t>
      </w:r>
    </w:p>
    <w:p>
      <w:pPr>
        <w:pStyle w:val="BodyText"/>
        <w:spacing w:line="295" w:lineRule="auto"/>
        <w:ind w:right="267" w:firstLine="480"/>
        <w:jc w:val="both"/>
      </w:pPr>
      <w:r>
        <w:rPr>
          <w:spacing w:val="-11"/>
        </w:rPr>
        <w:t>如今，情况发生了改变，我国药企不仅要积极提供制修订所需要的样品和资料，主动开</w:t>
      </w:r>
      <w:r>
        <w:rPr/>
        <w:t>展标准研究，还要敢于承担课题。</w:t>
      </w:r>
    </w:p>
    <w:p>
      <w:pPr>
        <w:pStyle w:val="BodyText"/>
        <w:spacing w:line="297" w:lineRule="auto"/>
        <w:ind w:right="266" w:firstLine="480"/>
        <w:jc w:val="both"/>
      </w:pPr>
      <w:r>
        <w:rPr>
          <w:spacing w:val="-7"/>
        </w:rPr>
        <w:t>“随着我国医药行业发展壮大，一些企业已经具备很强的基础研究能力，在标准研究方</w:t>
      </w:r>
      <w:r>
        <w:rPr>
          <w:spacing w:val="-10"/>
        </w:rPr>
        <w:t>面具有优势。企业应成为标准制修订的主体，而且越优秀的企业越应该冲在前。”在张伟看来，企业参与国家药品标准制定工作，有利于企业自身发展，既能提升其基础研究能力，也能令其及时掌握标准发展动态，在产品创新和市场竞争中找准方向。</w:t>
      </w:r>
    </w:p>
    <w:p>
      <w:pPr>
        <w:pStyle w:val="BodyText"/>
        <w:spacing w:line="297" w:lineRule="auto"/>
        <w:ind w:right="270" w:firstLine="480"/>
        <w:jc w:val="both"/>
      </w:pPr>
      <w:r>
        <w:rPr/>
        <w:t>国家药典委近年来也为企业参与标准工作创造条件。据悉，2010</w:t>
      </w:r>
      <w:r>
        <w:rPr>
          <w:spacing w:val="-8"/>
        </w:rPr>
        <w:t> 年以来，国家药典委</w:t>
      </w:r>
      <w:r>
        <w:rPr>
          <w:spacing w:val="-10"/>
        </w:rPr>
        <w:t>每年都会在网上公布立项课题，让企业了解标准制修订情况及课题承担单位。自 </w:t>
      </w:r>
      <w:r>
        <w:rPr/>
        <w:t>2016</w:t>
      </w:r>
      <w:r>
        <w:rPr>
          <w:spacing w:val="-20"/>
        </w:rPr>
        <w:t> 年， </w:t>
      </w:r>
      <w:r>
        <w:rPr>
          <w:spacing w:val="-22"/>
        </w:rPr>
        <w:t>国家药典委以药品审评标准研究课题为试点，通过公开课题立项建议和招标确定课题承担单</w:t>
      </w:r>
    </w:p>
    <w:p>
      <w:pPr>
        <w:spacing w:after="0" w:line="297" w:lineRule="auto"/>
        <w:jc w:val="both"/>
        <w:sectPr>
          <w:pgSz w:w="11910" w:h="16850"/>
          <w:pgMar w:header="906" w:footer="607" w:top="1100" w:bottom="800" w:left="1040" w:right="860"/>
        </w:sectPr>
      </w:pPr>
    </w:p>
    <w:p>
      <w:pPr>
        <w:pStyle w:val="BodyText"/>
        <w:spacing w:line="295" w:lineRule="auto" w:before="65"/>
        <w:ind w:right="267"/>
        <w:jc w:val="both"/>
      </w:pPr>
      <w:r>
        <w:rPr>
          <w:spacing w:val="-10"/>
        </w:rPr>
        <w:t>位等方式，不断完善药品标准提高课题研究机制，同时在标准草案公示前，根据课题研究需</w:t>
      </w:r>
      <w:r>
        <w:rPr/>
        <w:t>要，组织相关企业开展扩大验证工作。</w:t>
      </w:r>
    </w:p>
    <w:p>
      <w:pPr>
        <w:pStyle w:val="BodyText"/>
        <w:spacing w:line="297" w:lineRule="auto" w:before="2"/>
        <w:ind w:right="267" w:firstLine="480"/>
        <w:jc w:val="both"/>
      </w:pPr>
      <w:r>
        <w:rPr>
          <w:spacing w:val="-7"/>
        </w:rPr>
        <w:t>“从课题立项到标准最终执行，在标准制定的全周期，我们在多个环节，以各种方式邀</w:t>
      </w:r>
      <w:r>
        <w:rPr>
          <w:spacing w:val="-9"/>
        </w:rPr>
        <w:t>请相关企业参与标准研究工作，通过社会力量的广泛参与来保证药品标准提高工作的效率和</w:t>
      </w:r>
      <w:r>
        <w:rPr>
          <w:spacing w:val="-11"/>
        </w:rPr>
        <w:t>质量。”张伟建议，企业应做好参与国家标准工作的能力储备，要对产品的基础研究、质量</w:t>
      </w:r>
      <w:r>
        <w:rPr>
          <w:spacing w:val="-10"/>
        </w:rPr>
        <w:t>工艺非常了解，要关注国内外药典标准和法规的更新动态，对在研和上市产品要及时跟进研</w:t>
      </w:r>
      <w:r>
        <w:rPr/>
        <w:t>究。</w:t>
      </w:r>
    </w:p>
    <w:p>
      <w:pPr>
        <w:pStyle w:val="Heading2"/>
        <w:spacing w:before="99"/>
        <w:jc w:val="both"/>
      </w:pPr>
      <w:r>
        <w:rPr/>
        <w:t>【医改新政】</w:t>
      </w:r>
    </w:p>
    <w:p>
      <w:pPr>
        <w:pStyle w:val="BodyText"/>
        <w:spacing w:before="12"/>
        <w:ind w:left="0"/>
        <w:rPr>
          <w:b/>
          <w:sz w:val="22"/>
        </w:rPr>
      </w:pPr>
    </w:p>
    <w:p>
      <w:pPr>
        <w:spacing w:before="0"/>
        <w:ind w:left="0" w:right="37" w:firstLine="0"/>
        <w:jc w:val="center"/>
        <w:rPr>
          <w:b/>
          <w:sz w:val="32"/>
        </w:rPr>
      </w:pPr>
      <w:r>
        <w:rPr>
          <w:b/>
          <w:sz w:val="32"/>
        </w:rPr>
        <w:t>北京发力集中采购中选药品监管</w:t>
      </w:r>
    </w:p>
    <w:p>
      <w:pPr>
        <w:spacing w:before="129"/>
        <w:ind w:left="0" w:right="29" w:firstLine="0"/>
        <w:jc w:val="center"/>
        <w:rPr>
          <w:sz w:val="16"/>
        </w:rPr>
      </w:pPr>
      <w:r>
        <w:rPr>
          <w:sz w:val="16"/>
        </w:rPr>
        <w:t>要求中选药企今明两年完成药品追溯体系建设</w:t>
      </w:r>
    </w:p>
    <w:p>
      <w:pPr>
        <w:pStyle w:val="BodyText"/>
        <w:ind w:left="0"/>
        <w:rPr>
          <w:sz w:val="15"/>
        </w:rPr>
      </w:pPr>
    </w:p>
    <w:p>
      <w:pPr>
        <w:pStyle w:val="Heading4"/>
        <w:ind w:left="0" w:right="268"/>
        <w:jc w:val="right"/>
        <w:rPr>
          <w:rFonts w:ascii="楷体" w:eastAsia="楷体" w:hint="eastAsia"/>
        </w:rPr>
      </w:pPr>
      <w:r>
        <w:rPr>
          <w:rFonts w:ascii="楷体" w:eastAsia="楷体" w:hint="eastAsia"/>
          <w:color w:val="FF0000"/>
          <w:w w:val="95"/>
        </w:rPr>
        <w:t>（来源：中国医药报）</w:t>
      </w:r>
    </w:p>
    <w:p>
      <w:pPr>
        <w:pStyle w:val="BodyText"/>
        <w:spacing w:line="295" w:lineRule="auto" w:before="96"/>
        <w:ind w:right="267" w:firstLine="480"/>
        <w:jc w:val="both"/>
      </w:pPr>
      <w:r>
        <w:rPr>
          <w:spacing w:val="-12"/>
        </w:rPr>
        <w:t>近日，记者从北京市药品监管局获悉，为加强药品集中采购和使用试点期间药品监管工</w:t>
      </w:r>
      <w:r>
        <w:rPr>
          <w:spacing w:val="-4"/>
        </w:rPr>
        <w:t>作，北京市中选药品生产企业应在 </w:t>
      </w:r>
      <w:r>
        <w:rPr/>
        <w:t>2019</w:t>
      </w:r>
      <w:r>
        <w:rPr>
          <w:spacing w:val="-8"/>
        </w:rPr>
        <w:t> 年底前完成信息化追溯体系建设工作，外埠中选药</w:t>
      </w:r>
    </w:p>
    <w:p>
      <w:pPr>
        <w:pStyle w:val="BodyText"/>
        <w:spacing w:line="295" w:lineRule="auto" w:before="5"/>
        <w:ind w:right="267"/>
        <w:jc w:val="both"/>
      </w:pPr>
      <w:r>
        <w:rPr>
          <w:spacing w:val="-8"/>
        </w:rPr>
        <w:t>品生产企业应在 </w:t>
      </w:r>
      <w:r>
        <w:rPr/>
        <w:t>2020</w:t>
      </w:r>
      <w:r>
        <w:rPr>
          <w:spacing w:val="-8"/>
        </w:rPr>
        <w:t> 年底前完成信息化追溯体系建设工作。此外，中选药品配送企业要建</w:t>
      </w:r>
      <w:r>
        <w:rPr>
          <w:spacing w:val="-15"/>
        </w:rPr>
        <w:t>立中选药品库存预警报告机制，出现库存预警信号及时上报。北京市药监局将以监督检查和</w:t>
      </w:r>
      <w:r>
        <w:rPr/>
        <w:t>药品抽检为抓手，推动企业落实主体责任，切实保证北京市药品质量安全。</w:t>
      </w:r>
    </w:p>
    <w:p>
      <w:pPr>
        <w:pStyle w:val="Heading4"/>
        <w:spacing w:before="5"/>
        <w:ind w:left="717"/>
      </w:pPr>
      <w:r>
        <w:rPr/>
        <w:t>严格履行主体责任</w:t>
      </w:r>
    </w:p>
    <w:p>
      <w:pPr>
        <w:pStyle w:val="BodyText"/>
        <w:spacing w:line="297" w:lineRule="auto" w:before="72"/>
        <w:ind w:right="266" w:firstLine="480"/>
        <w:jc w:val="both"/>
      </w:pPr>
      <w:r>
        <w:rPr/>
        <w:t>3</w:t>
      </w:r>
      <w:r>
        <w:rPr>
          <w:spacing w:val="-41"/>
        </w:rPr>
        <w:t> 月 </w:t>
      </w:r>
      <w:r>
        <w:rPr/>
        <w:t>8</w:t>
      </w:r>
      <w:r>
        <w:rPr>
          <w:spacing w:val="-12"/>
        </w:rPr>
        <w:t> 日，北京市药监局印发的《关于加强药品集中采购和使用试点期间药品监管工作</w:t>
      </w:r>
      <w:r>
        <w:rPr>
          <w:spacing w:val="-9"/>
        </w:rPr>
        <w:t>的通知》</w:t>
      </w:r>
      <w:r>
        <w:rPr/>
        <w:t>（</w:t>
      </w:r>
      <w:r>
        <w:rPr>
          <w:spacing w:val="-6"/>
        </w:rPr>
        <w:t>以下简称《通知》</w:t>
      </w:r>
      <w:r>
        <w:rPr>
          <w:spacing w:val="-17"/>
        </w:rPr>
        <w:t>）</w:t>
      </w:r>
      <w:r>
        <w:rPr>
          <w:spacing w:val="-5"/>
        </w:rPr>
        <w:t>指出，北京市中选药品生产企业应严格按照药品生产质量管</w:t>
      </w:r>
      <w:r>
        <w:rPr>
          <w:spacing w:val="-6"/>
        </w:rPr>
        <w:t>理规范等有关要求组织药品生产和供应工作。严格按照批准的处方工艺进行生产，未获批准</w:t>
      </w:r>
      <w:r>
        <w:rPr>
          <w:spacing w:val="-8"/>
        </w:rPr>
        <w:t>前不得擅自变更工艺、原辅料及包材；应建立不低于法定标准的内控质量标准体系，严格按</w:t>
      </w:r>
      <w:r>
        <w:rPr>
          <w:spacing w:val="-7"/>
        </w:rPr>
        <w:t>照经过验证或确认的检验方法执行，具备审计追踪功能的设备必须开启该功能；应严格履行</w:t>
      </w:r>
      <w:r>
        <w:rPr>
          <w:spacing w:val="-12"/>
        </w:rPr>
        <w:t>原辅材料、中间药品及成品的放行职责，偏差及超趋势情况应进行充分的风险评估后方可放</w:t>
      </w:r>
      <w:r>
        <w:rPr>
          <w:spacing w:val="-10"/>
        </w:rPr>
        <w:t>行；加大对中选药品稳定性考察的频次及数量，及时对数据进行分析，发现不良趋势时应采取有效措施；严格执行生产企业不良反应直报制度，加强风险信号收集和评价工作，加强对</w:t>
      </w:r>
      <w:r>
        <w:rPr/>
        <w:t>异常风险信号调查与处置等。</w:t>
      </w:r>
    </w:p>
    <w:p>
      <w:pPr>
        <w:pStyle w:val="Heading4"/>
        <w:spacing w:line="296" w:lineRule="exact"/>
        <w:ind w:left="717"/>
      </w:pPr>
      <w:r>
        <w:rPr/>
        <w:t>建立库存预警报告机制</w:t>
      </w:r>
    </w:p>
    <w:p>
      <w:pPr>
        <w:pStyle w:val="BodyText"/>
        <w:spacing w:line="297" w:lineRule="auto" w:before="72"/>
        <w:ind w:right="270" w:firstLine="480"/>
        <w:jc w:val="both"/>
      </w:pPr>
      <w:r>
        <w:rPr>
          <w:spacing w:val="-11"/>
        </w:rPr>
        <w:t>《通知》明确，中选药品生产企业应通过北京市药品阳光采购平台，按品种选择北京市</w:t>
      </w:r>
      <w:r>
        <w:rPr/>
        <w:t>有配送能力、信誉度好、覆盖机构多的药品经营企业，负责中选药品本市的配送工作。</w:t>
      </w:r>
    </w:p>
    <w:p>
      <w:pPr>
        <w:pStyle w:val="BodyText"/>
        <w:spacing w:line="297" w:lineRule="auto"/>
        <w:ind w:right="167" w:firstLine="480"/>
        <w:jc w:val="both"/>
      </w:pPr>
      <w:r>
        <w:rPr>
          <w:spacing w:val="-4"/>
        </w:rPr>
        <w:t>北京市中选药品配送企业应充分认识质量安全与配送保障的重要意义，严格按照药品经</w:t>
      </w:r>
      <w:r>
        <w:rPr>
          <w:spacing w:val="-8"/>
        </w:rPr>
        <w:t>营质量管理规范等有关要求组织药品经营和配送工作，重点做好以下工作：配合中选药品生</w:t>
      </w:r>
      <w:r>
        <w:rPr>
          <w:spacing w:val="-14"/>
        </w:rPr>
        <w:t>产企业做好配送企业选择工作，及时签订相关协议，并严格按照药品经营质量管理规范开展</w:t>
      </w:r>
      <w:r>
        <w:rPr>
          <w:spacing w:val="-13"/>
        </w:rPr>
        <w:t>经营活动，保障中选药品储存和运输条件符合要求；建立中选药品库存预警报告机制，及时</w:t>
      </w:r>
      <w:r>
        <w:rPr>
          <w:spacing w:val="-15"/>
        </w:rPr>
        <w:t>上传中选药品库存信息，出现库存预警信号及时上报；做好中选药品配送保障工作，积极响应医疗机构采购订单，完成中选药品备货工作，确保中选药品及时配送至医疗机构。要督促</w:t>
      </w:r>
      <w:r>
        <w:rPr>
          <w:spacing w:val="-16"/>
        </w:rPr>
        <w:t>中选药品配送企业严格执行药品经营质量管理规范的要求，对重点配送企业进行库存监测，</w:t>
      </w:r>
    </w:p>
    <w:p>
      <w:pPr>
        <w:spacing w:after="0" w:line="297" w:lineRule="auto"/>
        <w:jc w:val="both"/>
        <w:sectPr>
          <w:pgSz w:w="11910" w:h="16850"/>
          <w:pgMar w:header="906" w:footer="607" w:top="1100" w:bottom="800" w:left="1040" w:right="860"/>
        </w:sectPr>
      </w:pPr>
    </w:p>
    <w:p>
      <w:pPr>
        <w:pStyle w:val="BodyText"/>
        <w:spacing w:line="295" w:lineRule="auto" w:before="65"/>
        <w:ind w:right="270"/>
      </w:pPr>
      <w:r>
        <w:rPr>
          <w:spacing w:val="-7"/>
        </w:rPr>
        <w:t>保障中选药品配送环节质量安全，督促配送工作及时、覆盖到位；要监督辖区医疗机构严格</w:t>
      </w:r>
      <w:r>
        <w:rPr/>
        <w:t>执行《药品流通监督管理办法》的要求，保障中选药品在使用环节的质量安全。</w:t>
      </w:r>
    </w:p>
    <w:p>
      <w:pPr>
        <w:pStyle w:val="Heading4"/>
        <w:spacing w:before="2"/>
        <w:ind w:left="717"/>
      </w:pPr>
      <w:r>
        <w:rPr/>
        <w:t>建立“黑名单”严打制假行为</w:t>
      </w:r>
    </w:p>
    <w:p>
      <w:pPr>
        <w:pStyle w:val="BodyText"/>
        <w:spacing w:line="297" w:lineRule="auto" w:before="74"/>
        <w:ind w:right="267" w:firstLine="480"/>
        <w:jc w:val="both"/>
      </w:pPr>
      <w:r>
        <w:rPr>
          <w:spacing w:val="-11"/>
        </w:rPr>
        <w:t>《通知》指出，要对北京市中选药品生产企业加强监管。一是要将北京市中选药品生产</w:t>
      </w:r>
      <w:r>
        <w:rPr>
          <w:spacing w:val="-8"/>
        </w:rPr>
        <w:t>企业纳入年度跟踪计划，加大对企业实施药品生产质量管理规范现场监督检查力度，重点检查原辅料及包材质量控制、生产工艺和处方、质量检验中间品控制、数据可靠性、不良反应</w:t>
      </w:r>
      <w:r>
        <w:rPr>
          <w:spacing w:val="-11"/>
        </w:rPr>
        <w:t>监测等；二是要督促北京市中选药品生产企业落实药品供应保障责任，严格执行药品停产报</w:t>
      </w:r>
      <w:r>
        <w:rPr>
          <w:spacing w:val="-10"/>
        </w:rPr>
        <w:t>告工作要求，做好产能预估和各地供应保障工作；三是加大抽验力度，对中选药品开展评价</w:t>
      </w:r>
      <w:r>
        <w:rPr>
          <w:spacing w:val="-8"/>
        </w:rPr>
        <w:t>性抽验工作；四是督促生产企业开展风险隐患排查工作，强化风险研判，做好风险分析，及</w:t>
      </w:r>
      <w:r>
        <w:rPr>
          <w:spacing w:val="-14"/>
        </w:rPr>
        <w:t>时采取风险控制措施；五是督促中选药品生产企业落实不良反应直报制度，加强预警信号收</w:t>
      </w:r>
      <w:r>
        <w:rPr/>
        <w:t>集和评价工作。</w:t>
      </w:r>
    </w:p>
    <w:p>
      <w:pPr>
        <w:pStyle w:val="BodyText"/>
        <w:spacing w:line="297" w:lineRule="auto"/>
        <w:ind w:right="268" w:firstLine="480"/>
        <w:jc w:val="both"/>
      </w:pPr>
      <w:r>
        <w:rPr>
          <w:spacing w:val="-12"/>
        </w:rPr>
        <w:t>试点工作期间，北京市药监局还要求各级药品监管部门要强化突出问题整治并建立“黑</w:t>
      </w:r>
      <w:r>
        <w:rPr>
          <w:spacing w:val="-10"/>
        </w:rPr>
        <w:t>名单”制，严厉打击制售假劣药品行为，查处违反《药品管理法》及药品质量管理规范的行为，对问题企业和药品依法采取责令停止生产经营、召回等措施，要依法落实行政处罚及各</w:t>
      </w:r>
      <w:r>
        <w:rPr/>
        <w:t>项要求，涉嫌犯罪的依法移送公安机关追究刑事责任。</w:t>
      </w:r>
    </w:p>
    <w:p>
      <w:pPr>
        <w:pStyle w:val="BodyText"/>
        <w:spacing w:before="9"/>
        <w:ind w:left="0"/>
        <w:rPr>
          <w:sz w:val="12"/>
        </w:rPr>
      </w:pPr>
    </w:p>
    <w:p>
      <w:pPr>
        <w:spacing w:after="0"/>
        <w:rPr>
          <w:sz w:val="12"/>
        </w:rPr>
        <w:sectPr>
          <w:pgSz w:w="11910" w:h="16850"/>
          <w:pgMar w:header="906" w:footer="607" w:top="1100" w:bottom="800" w:left="1040" w:right="860"/>
        </w:sectPr>
      </w:pPr>
    </w:p>
    <w:p>
      <w:pPr>
        <w:pStyle w:val="Heading2"/>
        <w:spacing w:before="54"/>
        <w:ind w:left="3057"/>
      </w:pPr>
      <w:r>
        <w:rPr>
          <w:spacing w:val="-2"/>
        </w:rPr>
        <w:t>河南将建药品使用监测平台</w:t>
      </w:r>
    </w:p>
    <w:p>
      <w:pPr>
        <w:pStyle w:val="BodyText"/>
        <w:ind w:left="0"/>
        <w:rPr>
          <w:b/>
        </w:rPr>
      </w:pPr>
      <w:r>
        <w:rPr/>
        <w:br w:type="column"/>
      </w:r>
      <w:r>
        <w:rPr>
          <w:b/>
        </w:rPr>
      </w:r>
    </w:p>
    <w:p>
      <w:pPr>
        <w:pStyle w:val="BodyText"/>
        <w:spacing w:before="7"/>
        <w:ind w:left="0"/>
        <w:rPr>
          <w:b/>
          <w:sz w:val="23"/>
        </w:rPr>
      </w:pPr>
    </w:p>
    <w:p>
      <w:pPr>
        <w:pStyle w:val="Heading4"/>
        <w:spacing w:before="1"/>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6911" w:space="40"/>
            <w:col w:w="3059"/>
          </w:cols>
        </w:sectPr>
      </w:pPr>
    </w:p>
    <w:p>
      <w:pPr>
        <w:pStyle w:val="BodyText"/>
        <w:spacing w:line="297" w:lineRule="auto" w:before="95"/>
        <w:ind w:right="267" w:firstLine="480"/>
        <w:jc w:val="both"/>
      </w:pPr>
      <w:r>
        <w:rPr>
          <w:spacing w:val="-7"/>
        </w:rPr>
        <w:t>从河南省药政工作会议上获悉，该省将继续推进落实国家基本药物制度新政策、完善药</w:t>
      </w:r>
      <w:r>
        <w:rPr>
          <w:spacing w:val="-2"/>
        </w:rPr>
        <w:t>品供应保障体系、开展药品使用监测和综合评价、加强药师队伍建设等 </w:t>
      </w:r>
      <w:r>
        <w:rPr/>
        <w:t>4</w:t>
      </w:r>
      <w:r>
        <w:rPr>
          <w:spacing w:val="-9"/>
        </w:rPr>
        <w:t> 项重点工作。</w:t>
      </w:r>
    </w:p>
    <w:p>
      <w:pPr>
        <w:pStyle w:val="BodyText"/>
        <w:spacing w:line="295" w:lineRule="auto"/>
        <w:ind w:right="270" w:firstLine="480"/>
        <w:jc w:val="both"/>
      </w:pPr>
      <w:r>
        <w:rPr>
          <w:spacing w:val="-10"/>
        </w:rPr>
        <w:t>河南要求，各级公立医疗机构优先配备使用基本药物。其中，基层医疗机构使用比率不</w:t>
      </w:r>
      <w:r>
        <w:rPr>
          <w:spacing w:val="-21"/>
        </w:rPr>
        <w:t>低于 </w:t>
      </w:r>
      <w:r>
        <w:rPr/>
        <w:t>70%，二级综合医院（含中医医院）</w:t>
      </w:r>
      <w:r>
        <w:rPr>
          <w:spacing w:val="-15"/>
        </w:rPr>
        <w:t>不低于 </w:t>
      </w:r>
      <w:r>
        <w:rPr/>
        <w:t>50%，三级综合医院（含中医医院）不低于</w:t>
      </w:r>
    </w:p>
    <w:p>
      <w:pPr>
        <w:pStyle w:val="BodyText"/>
        <w:spacing w:line="297" w:lineRule="auto" w:before="3"/>
        <w:ind w:right="267"/>
        <w:jc w:val="both"/>
      </w:pPr>
      <w:r>
        <w:rPr/>
        <w:t>30%；公立医疗机构编制药品采购目录时，与基本药物同通用名的药品，必须将基本药物的</w:t>
      </w:r>
      <w:r>
        <w:rPr>
          <w:spacing w:val="-11"/>
        </w:rPr>
        <w:t>剂型、规格纳入采购目录；要建立医疗机构上下统一的药品采购目录，取消对基层医疗机构</w:t>
      </w:r>
      <w:r>
        <w:rPr>
          <w:spacing w:val="-8"/>
        </w:rPr>
        <w:t>采购非基本药物的限制；要提高基本药物合理使用和管理水平，强化实施基本药物制度考核</w:t>
      </w:r>
      <w:r>
        <w:rPr/>
        <w:t>评估机制。</w:t>
      </w:r>
    </w:p>
    <w:p>
      <w:pPr>
        <w:pStyle w:val="BodyText"/>
        <w:spacing w:line="297" w:lineRule="auto"/>
        <w:ind w:right="267" w:firstLine="480"/>
        <w:jc w:val="both"/>
      </w:pPr>
      <w:r>
        <w:rPr>
          <w:spacing w:val="-7"/>
        </w:rPr>
        <w:t>该省将从强化高值耗材使用监管、巩固药品采购“两票制”成果、提高药品供应保障能</w:t>
      </w:r>
      <w:r>
        <w:rPr>
          <w:spacing w:val="-8"/>
        </w:rPr>
        <w:t>力等方面发力。开展药品使用监测和综合评价是今年药政新工作。今年，河南将建立省级药</w:t>
      </w:r>
      <w:r>
        <w:rPr>
          <w:spacing w:val="-10"/>
        </w:rPr>
        <w:t>品使用监测平台，完善省、市、县三级药品使用监测网络，推进基于医疗卫生机构信息系统</w:t>
      </w:r>
      <w:r>
        <w:rPr>
          <w:spacing w:val="-7"/>
        </w:rPr>
        <w:t>药品使用信息的智能化监测，加强对监测信息的分析利用，为保障药品供应、促进合理使用</w:t>
      </w:r>
      <w:r>
        <w:rPr/>
        <w:t>提供循证依据。</w:t>
      </w:r>
    </w:p>
    <w:p>
      <w:pPr>
        <w:pStyle w:val="BodyText"/>
        <w:ind w:left="0"/>
        <w:rPr>
          <w:sz w:val="13"/>
        </w:rPr>
      </w:pPr>
    </w:p>
    <w:p>
      <w:pPr>
        <w:spacing w:after="0"/>
        <w:rPr>
          <w:sz w:val="13"/>
        </w:rPr>
        <w:sectPr>
          <w:type w:val="continuous"/>
          <w:pgSz w:w="11910" w:h="16850"/>
          <w:pgMar w:top="1100" w:bottom="1020" w:left="1040" w:right="860"/>
        </w:sectPr>
      </w:pPr>
    </w:p>
    <w:p>
      <w:pPr>
        <w:pStyle w:val="Heading2"/>
        <w:spacing w:before="54"/>
        <w:ind w:left="3057"/>
      </w:pPr>
      <w:r>
        <w:rPr>
          <w:spacing w:val="-2"/>
        </w:rPr>
        <w:t>海南鼓励优先使用基本药物</w:t>
      </w:r>
    </w:p>
    <w:p>
      <w:pPr>
        <w:pStyle w:val="BodyText"/>
        <w:ind w:left="0"/>
        <w:rPr>
          <w:b/>
        </w:rPr>
      </w:pPr>
      <w:r>
        <w:rPr/>
        <w:br w:type="column"/>
      </w:r>
      <w:r>
        <w:rPr>
          <w:b/>
        </w:rPr>
      </w:r>
    </w:p>
    <w:p>
      <w:pPr>
        <w:pStyle w:val="BodyText"/>
        <w:spacing w:before="7"/>
        <w:ind w:left="0"/>
        <w:rPr>
          <w:b/>
          <w:sz w:val="23"/>
        </w:rPr>
      </w:pPr>
    </w:p>
    <w:p>
      <w:pPr>
        <w:pStyle w:val="Heading4"/>
        <w:spacing w:before="1"/>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6911" w:space="40"/>
            <w:col w:w="3059"/>
          </w:cols>
        </w:sectPr>
      </w:pPr>
    </w:p>
    <w:p>
      <w:pPr>
        <w:pStyle w:val="BodyText"/>
        <w:spacing w:line="297" w:lineRule="auto" w:before="95"/>
        <w:ind w:right="267" w:firstLine="480"/>
        <w:jc w:val="both"/>
      </w:pPr>
      <w:r>
        <w:rPr>
          <w:spacing w:val="-10"/>
        </w:rPr>
        <w:t>近日，海南省深化医改领导小组办公室、省卫生健康委联合印发《加强公立医疗机构基</w:t>
      </w:r>
      <w:r>
        <w:rPr>
          <w:spacing w:val="-9"/>
        </w:rPr>
        <w:t>本药物配备使用管理八条措施》，要求将公立医疗机构基本药物使用情况与财政补助资金挂</w:t>
      </w:r>
      <w:r>
        <w:rPr>
          <w:spacing w:val="-11"/>
        </w:rPr>
        <w:t>钩，建立基本药物优先使用、处方审核调剂环节的激励机制，设立基本药物使用指标并纳入</w:t>
      </w:r>
      <w:r>
        <w:rPr/>
        <w:t>考核，基本药物使用金额比例及处方比例要逐年提高。</w:t>
      </w:r>
    </w:p>
    <w:p>
      <w:pPr>
        <w:spacing w:after="0" w:line="297" w:lineRule="auto"/>
        <w:jc w:val="both"/>
        <w:sectPr>
          <w:type w:val="continuous"/>
          <w:pgSz w:w="11910" w:h="16850"/>
          <w:pgMar w:top="1100" w:bottom="1020" w:left="1040" w:right="860"/>
        </w:sectPr>
      </w:pPr>
    </w:p>
    <w:p>
      <w:pPr>
        <w:pStyle w:val="BodyText"/>
        <w:spacing w:line="297" w:lineRule="auto" w:before="65"/>
        <w:ind w:right="267" w:firstLine="480"/>
        <w:jc w:val="both"/>
      </w:pPr>
      <w:r>
        <w:rPr>
          <w:spacing w:val="-10"/>
        </w:rPr>
        <w:t>海南省要求，公立医疗机构制定药品处方集和用药目录时，必须首选国家基本药物。公</w:t>
      </w:r>
      <w:r>
        <w:rPr>
          <w:spacing w:val="-6"/>
        </w:rPr>
        <w:t>立医疗机构信息系统要对基本药物进行标识，提示医生优先合理使用。各市县医疗机构遵循</w:t>
      </w:r>
      <w:r>
        <w:rPr>
          <w:spacing w:val="-3"/>
        </w:rPr>
        <w:t>临床必需原则遴选基本药物，实现市</w:t>
      </w:r>
      <w:r>
        <w:rPr/>
        <w:t>（县</w:t>
      </w:r>
      <w:r>
        <w:rPr>
          <w:spacing w:val="-15"/>
        </w:rPr>
        <w:t>）</w:t>
      </w:r>
      <w:r>
        <w:rPr>
          <w:spacing w:val="-9"/>
        </w:rPr>
        <w:t>、乡、村三级统一目录，促进基层首诊、上下转</w:t>
      </w:r>
      <w:r>
        <w:rPr>
          <w:spacing w:val="-12"/>
        </w:rPr>
        <w:t>诊用药衔接。对单一医疗机构药学服务和药品使用管理转变为对医疗集团和医联体的整体管</w:t>
      </w:r>
      <w:r>
        <w:rPr>
          <w:spacing w:val="-10"/>
        </w:rPr>
        <w:t>理，坚持集中采购方向，形成用药目录衔接、采购数据共享、处方自由流动、药品一体化配送等机制，集中优势条件统一议价，推进市</w:t>
      </w:r>
      <w:r>
        <w:rPr/>
        <w:t>（县</w:t>
      </w:r>
      <w:r>
        <w:rPr>
          <w:spacing w:val="-22"/>
        </w:rPr>
        <w:t>）</w:t>
      </w:r>
      <w:r>
        <w:rPr>
          <w:spacing w:val="-2"/>
        </w:rPr>
        <w:t>域公立医疗机构集中带量采购。鼓励省内专科医院跨区域联合采购。</w:t>
      </w:r>
    </w:p>
    <w:p>
      <w:pPr>
        <w:pStyle w:val="BodyText"/>
        <w:spacing w:line="297" w:lineRule="auto"/>
        <w:ind w:right="147" w:firstLine="480"/>
      </w:pPr>
      <w:r>
        <w:rPr>
          <w:spacing w:val="-6"/>
        </w:rPr>
        <w:t>海南省还将实施临床使用监测评价。依托省医药集中采购服务平台、院内信息系统，收</w:t>
      </w:r>
      <w:r>
        <w:rPr>
          <w:spacing w:val="-18"/>
        </w:rPr>
        <w:t>集医疗机构药品配备品种、使用数量、采购价格、供应配送等信息，以基本药物及临床必需、</w:t>
      </w:r>
      <w:r>
        <w:rPr>
          <w:spacing w:val="-7"/>
        </w:rPr>
        <w:t>替代性差的急救常用药、原料药为重点开展药品使用监测，推进医疗机构以儿童疾病、心血</w:t>
      </w:r>
      <w:r>
        <w:rPr>
          <w:spacing w:val="-11"/>
        </w:rPr>
        <w:t>管病和抗肿瘤药物等为试点开展药品临床综合评价。对于短缺药品则实行信息直报，确保药品供应保障稳定。</w:t>
      </w:r>
    </w:p>
    <w:p>
      <w:pPr>
        <w:pStyle w:val="Heading2"/>
        <w:spacing w:before="27"/>
      </w:pPr>
      <w:r>
        <w:rPr>
          <w:w w:val="95"/>
        </w:rPr>
        <w:t>【药监动态】</w:t>
      </w:r>
    </w:p>
    <w:p>
      <w:pPr>
        <w:pStyle w:val="BodyText"/>
        <w:spacing w:before="9"/>
        <w:ind w:left="0"/>
        <w:rPr>
          <w:b/>
          <w:sz w:val="22"/>
        </w:rPr>
      </w:pPr>
    </w:p>
    <w:p>
      <w:pPr>
        <w:spacing w:before="0"/>
        <w:ind w:left="0" w:right="40" w:firstLine="0"/>
        <w:jc w:val="center"/>
        <w:rPr>
          <w:b/>
          <w:sz w:val="32"/>
        </w:rPr>
      </w:pPr>
      <w:r>
        <w:rPr>
          <w:b/>
          <w:sz w:val="32"/>
        </w:rPr>
        <w:t>国家药监局整治执业药师“挂证”行为</w:t>
      </w:r>
    </w:p>
    <w:p>
      <w:pPr>
        <w:spacing w:before="82"/>
        <w:ind w:left="0" w:right="29" w:firstLine="0"/>
        <w:jc w:val="center"/>
        <w:rPr>
          <w:sz w:val="21"/>
        </w:rPr>
      </w:pPr>
      <w:r>
        <w:rPr>
          <w:sz w:val="21"/>
        </w:rPr>
        <w:t>撤销“挂证”药店 GSP 证书，限制“挂证”药师注册执业</w:t>
      </w:r>
    </w:p>
    <w:p>
      <w:pPr>
        <w:pStyle w:val="Heading4"/>
        <w:spacing w:before="176"/>
        <w:ind w:left="0" w:right="26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270" w:firstLine="480"/>
        <w:jc w:val="both"/>
      </w:pPr>
      <w:r>
        <w:rPr/>
        <w:t>今年“3·15”晚会，中央广播电视总台曝光了重庆市部分药品零售企业执业药师“挂证”、不凭处方销售处方药问题。3</w:t>
      </w:r>
      <w:r>
        <w:rPr>
          <w:spacing w:val="-40"/>
        </w:rPr>
        <w:t> 月 </w:t>
      </w:r>
      <w:r>
        <w:rPr/>
        <w:t>17</w:t>
      </w:r>
      <w:r>
        <w:rPr>
          <w:spacing w:val="-8"/>
        </w:rPr>
        <w:t> 日，国家药品监管局发布《关于开展药品零售企</w:t>
      </w:r>
      <w:r>
        <w:rPr>
          <w:spacing w:val="-10"/>
        </w:rPr>
        <w:t>业执业药师“挂证”行为整治工作的通知》</w:t>
      </w:r>
      <w:r>
        <w:rPr/>
        <w:t>（</w:t>
      </w:r>
      <w:r>
        <w:rPr>
          <w:spacing w:val="-6"/>
        </w:rPr>
        <w:t>以下简称《通知》</w:t>
      </w:r>
      <w:r>
        <w:rPr>
          <w:spacing w:val="-19"/>
        </w:rPr>
        <w:t>）</w:t>
      </w:r>
      <w:r>
        <w:rPr>
          <w:spacing w:val="-6"/>
        </w:rPr>
        <w:t>，决定在全国范围内开展</w:t>
      </w:r>
      <w:r>
        <w:rPr>
          <w:spacing w:val="-3"/>
        </w:rPr>
        <w:t>药品零售企业执业药师“挂证”行为整治，整治工作为期 </w:t>
      </w:r>
      <w:r>
        <w:rPr/>
        <w:t>6</w:t>
      </w:r>
      <w:r>
        <w:rPr>
          <w:spacing w:val="-15"/>
        </w:rPr>
        <w:t> 个月。</w:t>
      </w:r>
    </w:p>
    <w:p>
      <w:pPr>
        <w:pStyle w:val="BodyText"/>
        <w:spacing w:line="297" w:lineRule="auto"/>
        <w:ind w:right="267" w:firstLine="480"/>
        <w:jc w:val="both"/>
      </w:pPr>
      <w:r>
        <w:rPr>
          <w:spacing w:val="-12"/>
        </w:rPr>
        <w:t>根据《通知》，整治工作分自查整改阶段和监督检查阶段两步走。要求所有药品零售企</w:t>
      </w:r>
      <w:r>
        <w:rPr>
          <w:spacing w:val="-20"/>
        </w:rPr>
        <w:t>业于 </w:t>
      </w:r>
      <w:r>
        <w:rPr/>
        <w:t>4</w:t>
      </w:r>
      <w:r>
        <w:rPr>
          <w:spacing w:val="-41"/>
        </w:rPr>
        <w:t> 月 </w:t>
      </w:r>
      <w:r>
        <w:rPr/>
        <w:t>30</w:t>
      </w:r>
      <w:r>
        <w:rPr>
          <w:spacing w:val="-8"/>
        </w:rPr>
        <w:t> 日前将自查整改情况报属地市</w:t>
      </w:r>
      <w:r>
        <w:rPr/>
        <w:t>（或县）级负责药品监管的部门。所有注册执业</w:t>
      </w:r>
      <w:r>
        <w:rPr>
          <w:spacing w:val="-6"/>
        </w:rPr>
        <w:t>在药品零售企业的执业药师须一并开展自查，凡是存在“挂证”行为、不能在岗服务的执业</w:t>
      </w:r>
      <w:r>
        <w:rPr>
          <w:spacing w:val="-5"/>
        </w:rPr>
        <w:t>药师，应立即改正，或于 </w:t>
      </w:r>
      <w:r>
        <w:rPr/>
        <w:t>4</w:t>
      </w:r>
      <w:r>
        <w:rPr>
          <w:spacing w:val="-40"/>
        </w:rPr>
        <w:t> 月 </w:t>
      </w:r>
      <w:r>
        <w:rPr/>
        <w:t>30</w:t>
      </w:r>
      <w:r>
        <w:rPr>
          <w:spacing w:val="-8"/>
        </w:rPr>
        <w:t> 日前主动申请注销《执业药师注册证》。</w:t>
      </w:r>
    </w:p>
    <w:p>
      <w:pPr>
        <w:pStyle w:val="BodyText"/>
        <w:spacing w:line="297" w:lineRule="auto"/>
        <w:ind w:right="147" w:firstLine="480"/>
      </w:pPr>
      <w:r>
        <w:rPr>
          <w:spacing w:val="33"/>
        </w:rPr>
        <w:t>自</w:t>
      </w:r>
      <w:r>
        <w:rPr/>
        <w:t>5</w:t>
      </w:r>
      <w:r>
        <w:rPr>
          <w:spacing w:val="-27"/>
        </w:rPr>
        <w:t> 月</w:t>
      </w:r>
      <w:r>
        <w:rPr/>
        <w:t>1</w:t>
      </w:r>
      <w:r>
        <w:rPr>
          <w:spacing w:val="-15"/>
        </w:rPr>
        <w:t> 日起，各省级药品监管部门将组织对行政区域内的药品零售企业开展监督检查， </w:t>
      </w:r>
      <w:r>
        <w:rPr>
          <w:spacing w:val="-5"/>
        </w:rPr>
        <w:t>重点查处执业药师“挂证”等违法违规经营行为。凡检查发现药品零售企业存在“挂证”执业药师的，按严重违反《药品经营质量管理规范》（GSP）情形，撤销其《药品经营质量管</w:t>
      </w:r>
      <w:r>
        <w:rPr>
          <w:spacing w:val="-17"/>
        </w:rPr>
        <w:t>理规范认证证书》。凡检查发现药品零售企业未按规定配备执业药师的，按照《药品管理法》</w:t>
      </w:r>
      <w:r>
        <w:rPr>
          <w:spacing w:val="-15"/>
        </w:rPr>
        <w:t>第七十八条规定依法查处；同时将该企业列入年度重点检查对象，进行跟踪检查或飞行检查。</w:t>
      </w:r>
      <w:r>
        <w:rPr>
          <w:spacing w:val="-5"/>
        </w:rPr>
        <w:t>凡检查发现药品零售企业未按规定销售处方药的，依据《药品流通监督管理办法》第三十八条规定予以处罚。凡检查发现存在“挂证”行为的执业药师，撤销其《执业药师注册证》， </w:t>
      </w:r>
      <w:r>
        <w:rPr>
          <w:spacing w:val="-10"/>
        </w:rPr>
        <w:t>在全国执业药师注册管理信息系统进行记录，并予以公示；在不良信息撤销前，不能再次注册执业。</w:t>
      </w:r>
    </w:p>
    <w:p>
      <w:pPr>
        <w:pStyle w:val="BodyText"/>
        <w:spacing w:line="297" w:lineRule="auto"/>
        <w:ind w:right="270" w:firstLine="480"/>
        <w:jc w:val="both"/>
      </w:pPr>
      <w:r>
        <w:rPr>
          <w:spacing w:val="-11"/>
        </w:rPr>
        <w:t>《通知》要求，各省级药品监管部门要积极组织开展社会宣传，为整治工作营造良好氛</w:t>
      </w:r>
      <w:r>
        <w:rPr>
          <w:spacing w:val="-10"/>
        </w:rPr>
        <w:t>围。要提升全行业对执业药师配备政策的认识，主动开展自查整改；要提升全社会对执业药</w:t>
      </w:r>
      <w:r>
        <w:rPr/>
        <w:t>师在保障用药安全、提升质量管理方面重要性的认识，强化社会监督。</w:t>
      </w:r>
    </w:p>
    <w:p>
      <w:pPr>
        <w:spacing w:after="0" w:line="297" w:lineRule="auto"/>
        <w:jc w:val="both"/>
        <w:sectPr>
          <w:pgSz w:w="11910" w:h="16850"/>
          <w:pgMar w:header="906" w:footer="607" w:top="1100" w:bottom="800" w:left="1040" w:right="860"/>
        </w:sectPr>
      </w:pPr>
    </w:p>
    <w:p>
      <w:pPr>
        <w:pStyle w:val="BodyText"/>
        <w:spacing w:line="295" w:lineRule="auto" w:before="65"/>
        <w:ind w:right="267" w:firstLine="480"/>
        <w:jc w:val="both"/>
      </w:pPr>
      <w:r>
        <w:rPr>
          <w:spacing w:val="-11"/>
        </w:rPr>
        <w:t>《通知》指出，各省级药品监管部门要督促行政区域内各级监管部门高度重视，加强属</w:t>
      </w:r>
      <w:r>
        <w:rPr>
          <w:spacing w:val="-8"/>
        </w:rPr>
        <w:t>地药品经营企业日常监管，严厉查处药品零售企业执业药师“挂证”等行为。落实属地监管</w:t>
      </w:r>
      <w:r>
        <w:rPr/>
        <w:t>责任，对工作推动不力、整治效果不佳的地区，予以通报批评。</w:t>
      </w:r>
    </w:p>
    <w:p>
      <w:pPr>
        <w:pStyle w:val="BodyText"/>
        <w:spacing w:line="297" w:lineRule="auto" w:before="5"/>
        <w:ind w:right="266" w:firstLine="480"/>
        <w:jc w:val="both"/>
      </w:pPr>
      <w:r>
        <w:rPr>
          <w:spacing w:val="-26"/>
        </w:rPr>
        <w:t>各市</w:t>
      </w:r>
      <w:r>
        <w:rPr/>
        <w:t>（或县</w:t>
      </w:r>
      <w:r>
        <w:rPr>
          <w:spacing w:val="-51"/>
        </w:rPr>
        <w:t>）</w:t>
      </w:r>
      <w:r>
        <w:rPr>
          <w:spacing w:val="-2"/>
        </w:rPr>
        <w:t>级负责药品监管的部门要结合全国执业药师注册管理信息系统的执业注册</w:t>
      </w:r>
      <w:r>
        <w:rPr>
          <w:spacing w:val="-10"/>
        </w:rPr>
        <w:t>信息，提高监督检查针对性和实效性。对于查实药品零售企业存在执业药师“挂证”的，应</w:t>
      </w:r>
      <w:r>
        <w:rPr>
          <w:spacing w:val="-9"/>
        </w:rPr>
        <w:t>通报当地医保管理等部门，取消其医保定点资格。要将“挂证”执业药师纳入信用管理“黑</w:t>
      </w:r>
      <w:r>
        <w:rPr>
          <w:spacing w:val="-10"/>
        </w:rPr>
        <w:t>名单”，积极探索多部门联合惩戒、共同打击的长效机制。对新开办药品零售企业严格审核</w:t>
      </w:r>
      <w:r>
        <w:rPr/>
        <w:t>把关，不具备条件的，不予核发《药品经营许可证》。</w:t>
      </w:r>
    </w:p>
    <w:p>
      <w:pPr>
        <w:pStyle w:val="BodyText"/>
        <w:spacing w:before="7"/>
        <w:ind w:left="0"/>
        <w:rPr>
          <w:sz w:val="17"/>
        </w:rPr>
      </w:pPr>
    </w:p>
    <w:p>
      <w:pPr>
        <w:pStyle w:val="Heading2"/>
        <w:ind w:left="0" w:right="39"/>
        <w:jc w:val="center"/>
      </w:pPr>
      <w:r>
        <w:rPr/>
        <w:t>第二批临床急需境外新药名单公示</w:t>
      </w:r>
    </w:p>
    <w:p>
      <w:pPr>
        <w:pStyle w:val="BodyText"/>
        <w:spacing w:before="52"/>
        <w:ind w:left="0" w:right="32"/>
        <w:jc w:val="center"/>
      </w:pPr>
      <w:r>
        <w:rPr/>
        <w:t>30 个境外已上市药品入选</w:t>
      </w:r>
    </w:p>
    <w:p>
      <w:pPr>
        <w:pStyle w:val="BodyText"/>
        <w:spacing w:before="11"/>
        <w:ind w:left="0"/>
        <w:rPr>
          <w:sz w:val="7"/>
        </w:rPr>
      </w:pPr>
    </w:p>
    <w:p>
      <w:pPr>
        <w:pStyle w:val="Heading4"/>
        <w:spacing w:before="67"/>
        <w:ind w:left="7325"/>
        <w:rPr>
          <w:rFonts w:ascii="楷体" w:eastAsia="楷体" w:hint="eastAsia"/>
        </w:rPr>
      </w:pPr>
      <w:r>
        <w:rPr>
          <w:rFonts w:ascii="楷体" w:eastAsia="楷体" w:hint="eastAsia"/>
          <w:color w:val="FF0000"/>
        </w:rPr>
        <w:t>（来源：中国医药报）</w:t>
      </w:r>
    </w:p>
    <w:p>
      <w:pPr>
        <w:pStyle w:val="BodyText"/>
        <w:spacing w:before="102"/>
        <w:ind w:left="717"/>
      </w:pPr>
      <w:r>
        <w:rPr/>
        <w:t>3 月 28 日，国家药品监管局药品审评中心发布关于第二批临床急需境外新药的公示，</w:t>
      </w:r>
    </w:p>
    <w:p>
      <w:pPr>
        <w:pStyle w:val="BodyText"/>
        <w:spacing w:before="84"/>
      </w:pPr>
      <w:r>
        <w:rPr/>
        <w:t>对遴选出的 30 个境外已上市的临床急需境外新药名单，按程序公示征求意见。这是继 2018</w:t>
      </w:r>
    </w:p>
    <w:p>
      <w:pPr>
        <w:pStyle w:val="BodyText"/>
        <w:spacing w:line="304" w:lineRule="auto" w:before="81"/>
        <w:ind w:right="285"/>
      </w:pPr>
      <w:r>
        <w:rPr>
          <w:spacing w:val="-30"/>
        </w:rPr>
        <w:t>年 </w:t>
      </w:r>
      <w:r>
        <w:rPr/>
        <w:t>11</w:t>
      </w:r>
      <w:r>
        <w:rPr>
          <w:spacing w:val="-41"/>
        </w:rPr>
        <w:t> 月 </w:t>
      </w:r>
      <w:r>
        <w:rPr/>
        <w:t>1</w:t>
      </w:r>
      <w:r>
        <w:rPr>
          <w:spacing w:val="-9"/>
        </w:rPr>
        <w:t> 日首批临床急需境外新药名单后，药审中心第二次发布临床急需境外新药名单。</w:t>
      </w:r>
      <w:r>
        <w:rPr/>
        <w:t>此次公示的名单主要为罕见病药物，其中包括治疗涵盖肾上腺皮质癌的米托坦以及Vigabatrin（治疗婴儿痉挛症；顽固性复杂性部分癫痫发作）、Edaravone（</w:t>
      </w:r>
      <w:r>
        <w:rPr>
          <w:spacing w:val="-3"/>
        </w:rPr>
        <w:t>治疗肌萎缩侧</w:t>
      </w:r>
      <w:r>
        <w:rPr/>
        <w:t>索硬化，俗称“渐冻症”）等临床急需的药品。</w:t>
      </w:r>
    </w:p>
    <w:p>
      <w:pPr>
        <w:pStyle w:val="BodyText"/>
        <w:spacing w:line="304" w:lineRule="auto"/>
        <w:ind w:right="266" w:firstLine="480"/>
        <w:jc w:val="both"/>
      </w:pPr>
      <w:r>
        <w:rPr>
          <w:spacing w:val="-11"/>
        </w:rPr>
        <w:t>据悉，临床急需境外新药名单重点考虑近年来美国、欧盟或日本批准上市我国尚未上市</w:t>
      </w:r>
      <w:r>
        <w:rPr>
          <w:spacing w:val="-8"/>
        </w:rPr>
        <w:t>的用于罕见病治疗的新药，以及用于防治严重危及生命或严重影响生活质量的疾病，且尚无</w:t>
      </w:r>
      <w:r>
        <w:rPr>
          <w:spacing w:val="-4"/>
        </w:rPr>
        <w:t>有效治疗手段或具有明显临床优势的新药。为促进临床急需境外新药在我国上市，</w:t>
      </w:r>
      <w:r>
        <w:rPr>
          <w:spacing w:val="-10"/>
        </w:rPr>
        <w:t>2018</w:t>
      </w:r>
      <w:r>
        <w:rPr>
          <w:spacing w:val="-40"/>
        </w:rPr>
        <w:t> 年 </w:t>
      </w:r>
      <w:r>
        <w:rPr>
          <w:spacing w:val="-17"/>
        </w:rPr>
        <w:t>6</w:t>
      </w:r>
    </w:p>
    <w:p>
      <w:pPr>
        <w:pStyle w:val="BodyText"/>
        <w:spacing w:line="307" w:lineRule="exact"/>
      </w:pPr>
      <w:r>
        <w:rPr>
          <w:spacing w:val="-30"/>
        </w:rPr>
        <w:t>月 </w:t>
      </w:r>
      <w:r>
        <w:rPr/>
        <w:t>20</w:t>
      </w:r>
      <w:r>
        <w:rPr>
          <w:spacing w:val="-8"/>
        </w:rPr>
        <w:t> 日，国务院常务会议提出有序加快境外已上市新药在境内上市审批，对治疗罕见病的</w:t>
      </w:r>
    </w:p>
    <w:p>
      <w:pPr>
        <w:pStyle w:val="BodyText"/>
        <w:spacing w:line="304" w:lineRule="auto" w:before="80"/>
        <w:ind w:right="268"/>
        <w:jc w:val="both"/>
      </w:pPr>
      <w:r>
        <w:rPr>
          <w:spacing w:val="-6"/>
        </w:rPr>
        <w:t>药品和防治严重危及生命疾病的部分药品简化上市要求。同年 </w:t>
      </w:r>
      <w:r>
        <w:rPr/>
        <w:t>10</w:t>
      </w:r>
      <w:r>
        <w:rPr>
          <w:spacing w:val="-40"/>
        </w:rPr>
        <w:t> 月 </w:t>
      </w:r>
      <w:r>
        <w:rPr/>
        <w:t>30</w:t>
      </w:r>
      <w:r>
        <w:rPr>
          <w:spacing w:val="-16"/>
        </w:rPr>
        <w:t> 日，国家药监局会同</w:t>
      </w:r>
      <w:r>
        <w:rPr>
          <w:spacing w:val="-9"/>
        </w:rPr>
        <w:t>国家卫健委发布《临床急需境外新药审评审批工作程序》及申报资料要求，建立专门通道对</w:t>
      </w:r>
      <w:r>
        <w:rPr>
          <w:spacing w:val="-7"/>
        </w:rPr>
        <w:t>临床急需境外上市新药审评审批，在加强与申请人沟通交流基础上，对罕见病治疗药品和其</w:t>
      </w:r>
      <w:r>
        <w:rPr>
          <w:spacing w:val="-6"/>
        </w:rPr>
        <w:t>他境外新药分别承诺在 </w:t>
      </w:r>
      <w:r>
        <w:rPr/>
        <w:t>3</w:t>
      </w:r>
      <w:r>
        <w:rPr>
          <w:spacing w:val="-19"/>
        </w:rPr>
        <w:t> 个月、</w:t>
      </w:r>
      <w:r>
        <w:rPr/>
        <w:t>6</w:t>
      </w:r>
      <w:r>
        <w:rPr>
          <w:spacing w:val="-11"/>
        </w:rPr>
        <w:t> 个月内审结。其后，按照上述公告的工作程序以及品种遴选原则，国家药监局会同国家卫健委组织专家遴选了出第一批临床急需境外新药名单，共计</w:t>
      </w:r>
    </w:p>
    <w:p>
      <w:pPr>
        <w:pStyle w:val="BodyText"/>
        <w:spacing w:line="307" w:lineRule="exact"/>
      </w:pPr>
      <w:r>
        <w:rPr/>
        <w:t>48 个药品公开征求意见，并发布首批名单。</w:t>
      </w:r>
    </w:p>
    <w:p>
      <w:pPr>
        <w:pStyle w:val="BodyText"/>
        <w:spacing w:line="304" w:lineRule="auto" w:before="81"/>
        <w:ind w:right="267" w:firstLine="480"/>
        <w:jc w:val="both"/>
      </w:pPr>
      <w:r>
        <w:rPr>
          <w:spacing w:val="-7"/>
        </w:rPr>
        <w:t>在技术要求不降低的前提下，国家药监部门对遴选品种综合施策，优化审评流程，整合</w:t>
      </w:r>
      <w:r>
        <w:rPr>
          <w:spacing w:val="-10"/>
        </w:rPr>
        <w:t>审评资源，加大对申请人的服务和指导，提高审评效率。截至目前，第一批纳入专门通道审</w:t>
      </w:r>
      <w:r>
        <w:rPr>
          <w:spacing w:val="-20"/>
        </w:rPr>
        <w:t>评的 </w:t>
      </w:r>
      <w:r>
        <w:rPr/>
        <w:t>48</w:t>
      </w:r>
      <w:r>
        <w:rPr>
          <w:spacing w:val="-8"/>
        </w:rPr>
        <w:t> 个境外新药中，已有晚期乳腺癌治疗药物哌柏西利胶囊、非小细胞肺癌治疗药盐酸</w:t>
      </w:r>
    </w:p>
    <w:p>
      <w:pPr>
        <w:pStyle w:val="BodyText"/>
        <w:spacing w:line="307" w:lineRule="exact"/>
      </w:pPr>
      <w:r>
        <w:rPr/>
        <w:t>阿来替尼等 11 个品种批准上市。</w:t>
      </w:r>
    </w:p>
    <w:p>
      <w:pPr>
        <w:pStyle w:val="BodyText"/>
        <w:spacing w:line="304" w:lineRule="auto" w:before="82"/>
        <w:ind w:right="267" w:firstLine="480"/>
        <w:jc w:val="both"/>
      </w:pPr>
      <w:r>
        <w:rPr>
          <w:spacing w:val="-4"/>
        </w:rPr>
        <w:t>国家药监局会同国家卫健委进一步完善临床急需境外新药专门通道审评审批机制，根据</w:t>
      </w:r>
      <w:r>
        <w:rPr>
          <w:spacing w:val="-10"/>
        </w:rPr>
        <w:t>我国患者临床需求情况，于 </w:t>
      </w:r>
      <w:r>
        <w:rPr/>
        <w:t>3</w:t>
      </w:r>
      <w:r>
        <w:rPr>
          <w:spacing w:val="-40"/>
        </w:rPr>
        <w:t> 月 </w:t>
      </w:r>
      <w:r>
        <w:rPr/>
        <w:t>6</w:t>
      </w:r>
      <w:r>
        <w:rPr>
          <w:spacing w:val="-13"/>
        </w:rPr>
        <w:t> 日组织专家进行研究论证，遴选第二批临床急需境外新药</w:t>
      </w:r>
      <w:r>
        <w:rPr>
          <w:spacing w:val="-11"/>
        </w:rPr>
        <w:t>品种，纳入专门通道，鼓励企业申报进口，加快境内上市，让国际最新医药研发成果在最短</w:t>
      </w:r>
      <w:r>
        <w:rPr/>
        <w:t>时间内惠及我国患者。</w:t>
      </w:r>
    </w:p>
    <w:p>
      <w:pPr>
        <w:spacing w:after="0" w:line="304" w:lineRule="auto"/>
        <w:jc w:val="both"/>
        <w:sectPr>
          <w:pgSz w:w="11910" w:h="16850"/>
          <w:pgMar w:header="906" w:footer="607" w:top="1100" w:bottom="800" w:left="1040" w:right="860"/>
        </w:sectPr>
      </w:pPr>
    </w:p>
    <w:p>
      <w:pPr>
        <w:pStyle w:val="Heading2"/>
        <w:spacing w:line="392" w:lineRule="exact"/>
        <w:ind w:left="0" w:right="31"/>
        <w:jc w:val="center"/>
      </w:pPr>
      <w:r>
        <w:rPr/>
        <w:t>关于 36 批次药品不符合规定的通告（2019 年第 14 号）</w:t>
      </w:r>
    </w:p>
    <w:p>
      <w:pPr>
        <w:pStyle w:val="Heading4"/>
        <w:spacing w:before="148"/>
        <w:ind w:left="5880"/>
        <w:rPr>
          <w:rFonts w:ascii="楷体" w:eastAsia="楷体" w:hint="eastAsia"/>
        </w:rPr>
      </w:pPr>
      <w:r>
        <w:rPr>
          <w:rFonts w:ascii="楷体" w:eastAsia="楷体" w:hint="eastAsia"/>
          <w:color w:val="FF0000"/>
          <w:w w:val="95"/>
        </w:rPr>
        <w:t>（来源：国家药品监督管理局网站）</w:t>
      </w:r>
    </w:p>
    <w:p>
      <w:pPr>
        <w:pStyle w:val="BodyText"/>
        <w:spacing w:before="95"/>
        <w:ind w:left="717"/>
      </w:pPr>
      <w:r>
        <w:rPr>
          <w:spacing w:val="-4"/>
        </w:rPr>
        <w:t>经江西省药品检验检测研究院等 </w:t>
      </w:r>
      <w:r>
        <w:rPr/>
        <w:t>4</w:t>
      </w:r>
      <w:r>
        <w:rPr>
          <w:spacing w:val="-14"/>
        </w:rPr>
        <w:t> 家药品检验机构检验，标示为南京白敬宇制药有限责</w:t>
      </w:r>
    </w:p>
    <w:p>
      <w:pPr>
        <w:pStyle w:val="BodyText"/>
        <w:spacing w:before="74"/>
      </w:pPr>
      <w:r>
        <w:rPr/>
        <w:t>任公司等 16 家企业生产的 36 批次药品不符合规定。现将相关情况通告如下：</w:t>
      </w:r>
    </w:p>
    <w:p>
      <w:pPr>
        <w:pStyle w:val="BodyText"/>
        <w:spacing w:before="72"/>
        <w:ind w:left="717"/>
      </w:pPr>
      <w:r>
        <w:rPr/>
        <w:t>一、经江西省药品检验检测研究院检验，标示为南京白敬宇制药有限责任公司生产的</w:t>
      </w:r>
    </w:p>
    <w:p>
      <w:pPr>
        <w:pStyle w:val="BodyText"/>
        <w:spacing w:before="72"/>
      </w:pPr>
      <w:r>
        <w:rPr/>
        <w:t>20 批次盐酸金霉素眼膏不符合规定，不符合规定项目为粒度。</w:t>
      </w:r>
    </w:p>
    <w:p>
      <w:pPr>
        <w:pStyle w:val="BodyText"/>
        <w:spacing w:line="295" w:lineRule="auto" w:before="74"/>
        <w:ind w:right="267" w:firstLine="480"/>
      </w:pPr>
      <w:r>
        <w:rPr>
          <w:spacing w:val="-7"/>
        </w:rPr>
        <w:t>经中国食品药品检定研究院检验，标示为河北祁新中药颗粒饮片有限公司、河北双宁药业有限公司生产的 </w:t>
      </w:r>
      <w:r>
        <w:rPr/>
        <w:t>2</w:t>
      </w:r>
      <w:r>
        <w:rPr>
          <w:spacing w:val="-8"/>
        </w:rPr>
        <w:t> 批次重楼不符合规定，不符合规定项目包括薄层色谱、含量测定。</w:t>
      </w:r>
    </w:p>
    <w:p>
      <w:pPr>
        <w:pStyle w:val="BodyText"/>
        <w:spacing w:line="297" w:lineRule="auto" w:before="2"/>
        <w:ind w:right="150" w:firstLine="480"/>
      </w:pPr>
      <w:r>
        <w:rPr>
          <w:spacing w:val="-6"/>
        </w:rPr>
        <w:t>经河南省食品药品检验所检验，标示为安国市平安药业有限公司、亳州市远光中药饮片</w:t>
      </w:r>
      <w:r>
        <w:rPr>
          <w:spacing w:val="-17"/>
        </w:rPr>
        <w:t>厂、宜宾仁和中药饮片有限责任公司、四川盛世锦荣药业有限公司、兰州旭康药业有限公司、</w:t>
      </w:r>
      <w:r>
        <w:rPr>
          <w:spacing w:val="-4"/>
        </w:rPr>
        <w:t>新疆奇康哈博中维药饮片有限公司生产的 </w:t>
      </w:r>
      <w:r>
        <w:rPr/>
        <w:t>6</w:t>
      </w:r>
      <w:r>
        <w:rPr>
          <w:spacing w:val="-14"/>
        </w:rPr>
        <w:t> 批次地黄不符合规定，不符合规定项目包括总灰分、酸不溶性灰分、含量测定。</w:t>
      </w:r>
    </w:p>
    <w:p>
      <w:pPr>
        <w:pStyle w:val="BodyText"/>
        <w:spacing w:line="295" w:lineRule="auto"/>
        <w:ind w:right="267" w:firstLine="480"/>
      </w:pPr>
      <w:r>
        <w:rPr>
          <w:spacing w:val="-7"/>
        </w:rPr>
        <w:t>经河南省食品药品检验所检验，标示为河北济鑫堂药业有限公司、云南金发药业有限公</w:t>
      </w:r>
      <w:r>
        <w:rPr>
          <w:spacing w:val="-20"/>
        </w:rPr>
        <w:t>司等 </w:t>
      </w:r>
      <w:r>
        <w:rPr/>
        <w:t>4</w:t>
      </w:r>
      <w:r>
        <w:rPr>
          <w:spacing w:val="-16"/>
        </w:rPr>
        <w:t> 家企业生产的 </w:t>
      </w:r>
      <w:r>
        <w:rPr/>
        <w:t>4</w:t>
      </w:r>
      <w:r>
        <w:rPr>
          <w:spacing w:val="-8"/>
        </w:rPr>
        <w:t> 批次山药不符合规定，不符合规定项目为总灰分。</w:t>
      </w:r>
    </w:p>
    <w:p>
      <w:pPr>
        <w:pStyle w:val="BodyText"/>
        <w:spacing w:line="297" w:lineRule="auto"/>
        <w:ind w:right="268" w:firstLine="480"/>
        <w:jc w:val="both"/>
      </w:pPr>
      <w:r>
        <w:rPr>
          <w:spacing w:val="-7"/>
        </w:rPr>
        <w:t>经山西省食品药品检验所检验，标示为重庆市渝和堂药业有限公司、成都欣福源中药饮</w:t>
      </w:r>
      <w:r>
        <w:rPr>
          <w:spacing w:val="-10"/>
        </w:rPr>
        <w:t>片有限公司、四川原上草中药饮片有限公司生产的 </w:t>
      </w:r>
      <w:r>
        <w:rPr/>
        <w:t>4</w:t>
      </w:r>
      <w:r>
        <w:rPr>
          <w:spacing w:val="-12"/>
        </w:rPr>
        <w:t> 批次羌活不符合规定，不符合规定项目</w:t>
      </w:r>
      <w:r>
        <w:rPr/>
        <w:t>包括性状、含量测定。（详见附件）</w:t>
      </w:r>
    </w:p>
    <w:p>
      <w:pPr>
        <w:pStyle w:val="BodyText"/>
        <w:spacing w:line="297" w:lineRule="auto"/>
        <w:ind w:right="267" w:firstLine="480"/>
      </w:pPr>
      <w:r>
        <w:rPr>
          <w:spacing w:val="-11"/>
        </w:rPr>
        <w:t>二、对上述不符合规定药品，相关药品监督管理部门已要求相关企业暂停销售使用、召</w:t>
      </w:r>
      <w:r>
        <w:rPr/>
        <w:t>回产品，开展不符合规定原因调查，并切实深入进行整改。</w:t>
      </w:r>
    </w:p>
    <w:p>
      <w:pPr>
        <w:pStyle w:val="BodyText"/>
        <w:spacing w:line="297" w:lineRule="auto"/>
        <w:ind w:right="267" w:firstLine="480"/>
        <w:jc w:val="both"/>
      </w:pPr>
      <w:r>
        <w:rPr>
          <w:spacing w:val="-11"/>
        </w:rPr>
        <w:t>三、国家药品监督管理局要求相关省级药品监督管理部门对上述企业和单位依据《中华</w:t>
      </w:r>
      <w:r>
        <w:rPr>
          <w:spacing w:val="-9"/>
        </w:rPr>
        <w:t>人民共和国药品管理法》第七十三、七十四、七十五条等规定对生产销售假劣药品的违法行</w:t>
      </w:r>
      <w:r>
        <w:rPr>
          <w:spacing w:val="-13"/>
        </w:rPr>
        <w:t>为进行立案调查，自收到检验报告书之日起 </w:t>
      </w:r>
      <w:r>
        <w:rPr/>
        <w:t>3</w:t>
      </w:r>
      <w:r>
        <w:rPr>
          <w:spacing w:val="-9"/>
        </w:rPr>
        <w:t> 个月内完成对相关企业或单位的调查处理并公</w:t>
      </w:r>
      <w:r>
        <w:rPr/>
        <w:t>开处理结果。</w:t>
      </w:r>
    </w:p>
    <w:p>
      <w:pPr>
        <w:pStyle w:val="BodyText"/>
        <w:spacing w:line="302" w:lineRule="exact"/>
        <w:ind w:left="717"/>
      </w:pPr>
      <w:r>
        <w:rPr/>
        <w:t>特此通告。</w:t>
      </w:r>
    </w:p>
    <w:p>
      <w:pPr>
        <w:pStyle w:val="BodyText"/>
        <w:tabs>
          <w:tab w:pos="2997" w:val="left" w:leader="none"/>
        </w:tabs>
        <w:spacing w:line="372" w:lineRule="auto" w:before="68"/>
        <w:ind w:left="1557" w:right="2026" w:hanging="840"/>
      </w:pPr>
      <w:r>
        <w:rPr/>
        <w:t>附件：1、2.下载可连接</w:t>
      </w:r>
      <w:r>
        <w:rPr>
          <w:spacing w:val="-72"/>
        </w:rPr>
        <w:t> </w:t>
      </w:r>
      <w:hyperlink r:id="rId9">
        <w:r>
          <w:rPr>
            <w:color w:val="0000FF"/>
            <w:u w:val="single" w:color="0000FF"/>
          </w:rPr>
          <w:t>www.nmpa.gov.cn/WS04/CL2108/335846.html </w:t>
        </w:r>
      </w:hyperlink>
      <w:r>
        <w:rPr/>
        <w:t>国家药监局</w:t>
        <w:tab/>
        <w:t>2019</w:t>
      </w:r>
      <w:r>
        <w:rPr>
          <w:spacing w:val="-60"/>
        </w:rPr>
        <w:t> </w:t>
      </w:r>
      <w:r>
        <w:rPr/>
        <w:t>年</w:t>
      </w:r>
      <w:r>
        <w:rPr>
          <w:spacing w:val="-60"/>
        </w:rPr>
        <w:t> </w:t>
      </w:r>
      <w:r>
        <w:rPr/>
        <w:t>3</w:t>
      </w:r>
      <w:r>
        <w:rPr>
          <w:spacing w:val="-60"/>
        </w:rPr>
        <w:t> </w:t>
      </w:r>
      <w:r>
        <w:rPr/>
        <w:t>月</w:t>
      </w:r>
      <w:r>
        <w:rPr>
          <w:spacing w:val="-60"/>
        </w:rPr>
        <w:t> </w:t>
      </w:r>
      <w:r>
        <w:rPr/>
        <w:t>21</w:t>
      </w:r>
      <w:r>
        <w:rPr>
          <w:spacing w:val="-60"/>
        </w:rPr>
        <w:t> </w:t>
      </w:r>
      <w:r>
        <w:rPr/>
        <w:t>日</w:t>
      </w:r>
    </w:p>
    <w:p>
      <w:pPr>
        <w:pStyle w:val="Heading2"/>
        <w:spacing w:before="157"/>
        <w:ind w:left="2253"/>
      </w:pPr>
      <w:r>
        <w:rPr/>
        <w:t>执业药师职业资格考试实施办法的通知</w:t>
      </w:r>
    </w:p>
    <w:p>
      <w:pPr>
        <w:pStyle w:val="Heading4"/>
        <w:spacing w:before="148"/>
        <w:ind w:left="5880"/>
        <w:rPr>
          <w:rFonts w:ascii="楷体" w:eastAsia="楷体" w:hint="eastAsia"/>
        </w:rPr>
      </w:pPr>
      <w:r>
        <w:rPr>
          <w:rFonts w:ascii="楷体" w:eastAsia="楷体" w:hint="eastAsia"/>
          <w:color w:val="FF0000"/>
        </w:rPr>
        <w:t>（来源：国家药品监督管理局网站）</w:t>
      </w:r>
    </w:p>
    <w:p>
      <w:pPr>
        <w:pStyle w:val="BodyText"/>
        <w:spacing w:line="295" w:lineRule="auto" w:before="96"/>
        <w:ind w:right="267" w:firstLine="480"/>
      </w:pPr>
      <w:r>
        <w:rPr>
          <w:spacing w:val="-8"/>
        </w:rPr>
        <w:t>各省、自治区、直辖市药品监督管理局、人力资源社会保障厅</w:t>
      </w:r>
      <w:r>
        <w:rPr/>
        <w:t>（局</w:t>
      </w:r>
      <w:r>
        <w:rPr>
          <w:spacing w:val="-17"/>
        </w:rPr>
        <w:t>），</w:t>
      </w:r>
      <w:r>
        <w:rPr>
          <w:spacing w:val="-3"/>
        </w:rPr>
        <w:t>新疆生产建设兵</w:t>
      </w:r>
      <w:r>
        <w:rPr/>
        <w:t>团市场监督管理局、人力资源社会保障局：</w:t>
      </w:r>
    </w:p>
    <w:p>
      <w:pPr>
        <w:pStyle w:val="BodyText"/>
        <w:spacing w:line="297" w:lineRule="auto" w:before="4"/>
        <w:ind w:right="152" w:firstLine="480"/>
      </w:pPr>
      <w:r>
        <w:rPr>
          <w:spacing w:val="-5"/>
        </w:rPr>
        <w:t>为加强对药学技术人员的职业准入管理，进一步规范执业药师的管理权责，促进执业药</w:t>
      </w:r>
      <w:r>
        <w:rPr>
          <w:spacing w:val="-17"/>
        </w:rPr>
        <w:t>师队伍建设和发展，根据《中华人民共和国药品管理法》《国家职业资格目录》等有关规定， </w:t>
      </w:r>
      <w:r>
        <w:rPr>
          <w:spacing w:val="-8"/>
        </w:rPr>
        <w:t>国家药监局、人力资源社会保障部在原执业药师资格制度基础上，制定了《执业药师职业资</w:t>
      </w:r>
      <w:r>
        <w:rPr>
          <w:spacing w:val="-13"/>
        </w:rPr>
        <w:t>格制度规定》和《执业药师职业资格考试实施办法》。现印发给你们，请遵照执行。为保证制度平稳过渡，现将有关事项通知如下：</w:t>
      </w:r>
    </w:p>
    <w:p>
      <w:pPr>
        <w:pStyle w:val="BodyText"/>
        <w:spacing w:line="300" w:lineRule="exact"/>
        <w:ind w:left="717"/>
      </w:pPr>
      <w:r>
        <w:rPr>
          <w:spacing w:val="-13"/>
        </w:rPr>
        <w:t>一、参加 </w:t>
      </w:r>
      <w:r>
        <w:rPr/>
        <w:t>2018</w:t>
      </w:r>
      <w:r>
        <w:rPr>
          <w:spacing w:val="-8"/>
        </w:rPr>
        <w:t> 年度执业药师资格考试，报考全部科目且部分科目合格的大专及以上学</w:t>
      </w:r>
    </w:p>
    <w:p>
      <w:pPr>
        <w:pStyle w:val="BodyText"/>
        <w:spacing w:before="74"/>
      </w:pPr>
      <w:r>
        <w:rPr/>
        <w:t>历（学位）</w:t>
      </w:r>
      <w:r>
        <w:rPr>
          <w:spacing w:val="-8"/>
        </w:rPr>
        <w:t>的应试人员，其 </w:t>
      </w:r>
      <w:r>
        <w:rPr/>
        <w:t>2018</w:t>
      </w:r>
      <w:r>
        <w:rPr>
          <w:spacing w:val="-8"/>
        </w:rPr>
        <w:t> 年合格科目考试成绩继续有效，并按照四年一个周期顺延</w:t>
      </w:r>
    </w:p>
    <w:p>
      <w:pPr>
        <w:spacing w:after="0"/>
        <w:sectPr>
          <w:pgSz w:w="11910" w:h="16850"/>
          <w:pgMar w:header="906" w:footer="607" w:top="1100" w:bottom="800" w:left="1040" w:right="860"/>
        </w:sectPr>
      </w:pPr>
    </w:p>
    <w:p>
      <w:pPr>
        <w:pStyle w:val="BodyText"/>
        <w:spacing w:before="65"/>
      </w:pPr>
      <w:r>
        <w:rPr/>
        <w:t>至 2021 年。</w:t>
      </w:r>
    </w:p>
    <w:p>
      <w:pPr>
        <w:pStyle w:val="BodyText"/>
        <w:spacing w:line="297" w:lineRule="auto" w:before="72"/>
        <w:ind w:right="270" w:firstLine="480"/>
        <w:jc w:val="both"/>
      </w:pPr>
      <w:r>
        <w:rPr>
          <w:spacing w:val="-12"/>
        </w:rPr>
        <w:t>二、符合原人事部、原国家药品监督管理局《关于修订印发〈执业药师资格制度暂行规</w:t>
      </w:r>
      <w:r>
        <w:rPr/>
        <w:t>定〉和〈执业药师资格考试实施办法〉的通知》（人发〔1999〕34</w:t>
      </w:r>
      <w:r>
        <w:rPr>
          <w:spacing w:val="-8"/>
        </w:rPr>
        <w:t> 号，以下简称原规定</w:t>
      </w:r>
      <w:r>
        <w:rPr/>
        <w:t>） 要求的中专学历人员（含免试部分科目的中药学徒人员），2020</w:t>
      </w:r>
      <w:r>
        <w:rPr>
          <w:spacing w:val="-40"/>
        </w:rPr>
        <w:t> 年 </w:t>
      </w:r>
      <w:r>
        <w:rPr/>
        <w:t>12</w:t>
      </w:r>
      <w:r>
        <w:rPr>
          <w:spacing w:val="-40"/>
        </w:rPr>
        <w:t> 月 </w:t>
      </w:r>
      <w:r>
        <w:rPr/>
        <w:t>31</w:t>
      </w:r>
      <w:r>
        <w:rPr>
          <w:spacing w:val="-9"/>
        </w:rPr>
        <w:t> 日前可报名参</w:t>
      </w:r>
    </w:p>
    <w:p>
      <w:pPr>
        <w:pStyle w:val="BodyText"/>
        <w:spacing w:line="295" w:lineRule="auto"/>
        <w:ind w:left="717" w:right="285" w:hanging="480"/>
      </w:pPr>
      <w:r>
        <w:rPr>
          <w:spacing w:val="-2"/>
        </w:rPr>
        <w:t>加考试，考试成绩有效期按原规定执行，各科目成绩有效期最迟截至 </w:t>
      </w:r>
      <w:r>
        <w:rPr/>
        <w:t>2020</w:t>
      </w:r>
      <w:r>
        <w:rPr>
          <w:spacing w:val="-40"/>
        </w:rPr>
        <w:t> 年 </w:t>
      </w:r>
      <w:r>
        <w:rPr/>
        <w:t>12</w:t>
      </w:r>
      <w:r>
        <w:rPr>
          <w:spacing w:val="-40"/>
        </w:rPr>
        <w:t> 月 </w:t>
      </w:r>
      <w:r>
        <w:rPr/>
        <w:t>31</w:t>
      </w:r>
      <w:r>
        <w:rPr>
          <w:spacing w:val="-26"/>
        </w:rPr>
        <w:t> 日。</w:t>
      </w:r>
      <w:r>
        <w:rPr>
          <w:spacing w:val="-1"/>
        </w:rPr>
        <w:t>国家药监局 人力资源社会保障部</w:t>
      </w:r>
    </w:p>
    <w:p>
      <w:pPr>
        <w:pStyle w:val="BodyText"/>
        <w:ind w:left="717"/>
      </w:pPr>
      <w:r>
        <w:rPr/>
        <w:t>2019 年 3 月 5 日</w:t>
      </w:r>
    </w:p>
    <w:p>
      <w:pPr>
        <w:spacing w:before="140"/>
        <w:ind w:left="3297" w:right="0" w:firstLine="0"/>
        <w:jc w:val="left"/>
        <w:rPr>
          <w:b/>
          <w:sz w:val="28"/>
        </w:rPr>
      </w:pPr>
      <w:r>
        <w:rPr>
          <w:b/>
          <w:sz w:val="28"/>
        </w:rPr>
        <w:t>执业药师职业资格制度规定</w:t>
      </w:r>
    </w:p>
    <w:p>
      <w:pPr>
        <w:pStyle w:val="Heading4"/>
        <w:spacing w:before="198"/>
        <w:ind w:left="0" w:right="34"/>
        <w:jc w:val="center"/>
      </w:pPr>
      <w:r>
        <w:rPr/>
        <w:t>第一章 总 则</w:t>
      </w:r>
    </w:p>
    <w:p>
      <w:pPr>
        <w:pStyle w:val="BodyText"/>
        <w:spacing w:line="297" w:lineRule="auto" w:before="71"/>
        <w:ind w:right="270" w:firstLine="480"/>
        <w:jc w:val="both"/>
      </w:pPr>
      <w:r>
        <w:rPr>
          <w:spacing w:val="-1"/>
        </w:rPr>
        <w:t>第一条 为加强对药学技术人员的职业准入管理，发挥执业药师指导合理用药与加强药</w:t>
      </w:r>
      <w:r>
        <w:rPr>
          <w:spacing w:val="-15"/>
        </w:rPr>
        <w:t>品质量管理的作用，保障和促进公众用药安全有效，根据《中华人民共和国药品管理法</w:t>
      </w:r>
      <w:r>
        <w:rPr>
          <w:spacing w:val="-52"/>
        </w:rPr>
        <w:t>》《中</w:t>
      </w:r>
      <w:r>
        <w:rPr/>
        <w:t>华人民共和国药品管理法实施条例》及国家职业资格制度有关规定，制定本规定。</w:t>
      </w:r>
    </w:p>
    <w:p>
      <w:pPr>
        <w:pStyle w:val="BodyText"/>
        <w:spacing w:line="304" w:lineRule="exact"/>
        <w:ind w:left="717"/>
      </w:pPr>
      <w:r>
        <w:rPr/>
        <w:t>第二条 国家设置执业药师准入类职业资格制度，纳入国家职业资格目录。</w:t>
      </w:r>
    </w:p>
    <w:p>
      <w:pPr>
        <w:pStyle w:val="BodyText"/>
        <w:spacing w:line="295" w:lineRule="auto" w:before="74"/>
        <w:ind w:right="267" w:firstLine="480"/>
        <w:jc w:val="both"/>
      </w:pPr>
      <w:r>
        <w:rPr>
          <w:spacing w:val="-1"/>
        </w:rPr>
        <w:t>第三条 执业药师是指经全国统一考试合格，取得《中华人民共和国执业药师职业资格</w:t>
      </w:r>
      <w:r>
        <w:rPr>
          <w:spacing w:val="-9"/>
        </w:rPr>
        <w:t>证书》</w:t>
      </w:r>
      <w:r>
        <w:rPr/>
        <w:t>（</w:t>
      </w:r>
      <w:r>
        <w:rPr>
          <w:spacing w:val="-4"/>
        </w:rPr>
        <w:t>以下简称《执业药师职业资格证书》</w:t>
      </w:r>
      <w:r>
        <w:rPr>
          <w:spacing w:val="-12"/>
        </w:rPr>
        <w:t>）</w:t>
      </w:r>
      <w:r>
        <w:rPr>
          <w:spacing w:val="-6"/>
        </w:rPr>
        <w:t>并经注册，在药品生产、经营、使用和其他</w:t>
      </w:r>
      <w:r>
        <w:rPr/>
        <w:t>需要提供药学服务的单位中执业的药学技术人员。</w:t>
      </w:r>
    </w:p>
    <w:p>
      <w:pPr>
        <w:pStyle w:val="BodyText"/>
        <w:spacing w:before="6"/>
      </w:pPr>
      <w:r>
        <w:rPr/>
        <w:t>执业药师英文译为：Licensed Pharmacist。</w:t>
      </w:r>
    </w:p>
    <w:p>
      <w:pPr>
        <w:pStyle w:val="BodyText"/>
        <w:spacing w:line="295" w:lineRule="auto" w:before="72"/>
        <w:ind w:right="287" w:firstLine="480"/>
      </w:pPr>
      <w:r>
        <w:rPr/>
        <w:t>第四条 从事药品生产、经营、使用和其他需要提供药学服务的单位，应当按规定配备相应的执业药师。国家药监局负责对需由执业药师担任的岗位作出明确规定。</w:t>
      </w:r>
    </w:p>
    <w:p>
      <w:pPr>
        <w:pStyle w:val="BodyText"/>
        <w:spacing w:line="295" w:lineRule="auto" w:before="4"/>
        <w:ind w:right="525" w:firstLine="480"/>
      </w:pPr>
      <w:r>
        <w:rPr/>
        <w:t>第五条 国家药监局与人力资源社会保障部共同负责全国执业药师资格制度的政策制定，并按照职责分工对该制度的实施进行指导、监督和检查。</w:t>
      </w:r>
    </w:p>
    <w:p>
      <w:pPr>
        <w:pStyle w:val="BodyText"/>
        <w:spacing w:line="297" w:lineRule="auto" w:before="2"/>
        <w:ind w:right="270" w:firstLine="480"/>
      </w:pPr>
      <w:r>
        <w:rPr>
          <w:spacing w:val="-11"/>
        </w:rPr>
        <w:t>各省、自治区、直辖市负责药品监督管理的部门和人力资源社会保障行政主管部门，按</w:t>
      </w:r>
      <w:r>
        <w:rPr/>
        <w:t>照职责分工负责本行政区域内执业药师职业资格制度的实施与监督管理。</w:t>
      </w:r>
    </w:p>
    <w:p>
      <w:pPr>
        <w:pStyle w:val="Heading4"/>
        <w:spacing w:line="306" w:lineRule="exact"/>
        <w:ind w:left="0" w:right="34"/>
        <w:jc w:val="center"/>
      </w:pPr>
      <w:r>
        <w:rPr/>
        <w:t>第二章 考 试</w:t>
      </w:r>
    </w:p>
    <w:p>
      <w:pPr>
        <w:pStyle w:val="BodyText"/>
        <w:spacing w:line="297" w:lineRule="auto" w:before="72"/>
        <w:ind w:right="287" w:firstLine="480"/>
      </w:pPr>
      <w:r>
        <w:rPr/>
        <w:t>第六条 执业药师职业资格实行全国统一大纲、统一命题、统一组织的考试制度。原则上每年举行一次。</w:t>
      </w:r>
    </w:p>
    <w:p>
      <w:pPr>
        <w:pStyle w:val="BodyText"/>
        <w:spacing w:line="295" w:lineRule="auto"/>
        <w:ind w:right="149" w:firstLine="480"/>
      </w:pPr>
      <w:r>
        <w:rPr>
          <w:spacing w:val="-6"/>
        </w:rPr>
        <w:t>第七条 国家药监局负责组织拟定考试科目和考试大纲、建立试题库、组织命审题工作， </w:t>
      </w:r>
      <w:r>
        <w:rPr/>
        <w:t>提出考试合格标准建议。</w:t>
      </w:r>
    </w:p>
    <w:p>
      <w:pPr>
        <w:pStyle w:val="BodyText"/>
        <w:spacing w:line="295" w:lineRule="auto" w:before="3"/>
        <w:ind w:right="287" w:firstLine="480"/>
      </w:pPr>
      <w:r>
        <w:rPr/>
        <w:t>第八条 人力资源社会保障部负责组织审定考试科目、考试大纲，会同国家药监局对考试工作进行监督、指导并确定合格标准。</w:t>
      </w:r>
    </w:p>
    <w:p>
      <w:pPr>
        <w:pStyle w:val="BodyText"/>
        <w:spacing w:line="297" w:lineRule="auto" w:before="2"/>
        <w:ind w:right="287" w:firstLine="480"/>
      </w:pPr>
      <w:r>
        <w:rPr/>
        <w:t>第九条 凡中华人民共和国公民和获准在我国境内就业的外籍人员，具备以下条件之一者，均可申请参加执业药师职业资格考试：</w:t>
      </w:r>
    </w:p>
    <w:p>
      <w:pPr>
        <w:pStyle w:val="BodyText"/>
        <w:spacing w:line="306" w:lineRule="exact"/>
        <w:ind w:left="717"/>
      </w:pPr>
      <w:r>
        <w:rPr/>
        <w:t>（一）取得药学类、中药学类专业大专学历，在药学或中药学岗位工作满 5 年；</w:t>
      </w:r>
    </w:p>
    <w:p>
      <w:pPr>
        <w:pStyle w:val="BodyText"/>
        <w:spacing w:line="297" w:lineRule="auto" w:before="72"/>
        <w:ind w:right="270" w:firstLine="453"/>
      </w:pPr>
      <w:r>
        <w:rPr/>
        <w:t>（二</w:t>
      </w:r>
      <w:r>
        <w:rPr>
          <w:spacing w:val="-27"/>
        </w:rPr>
        <w:t>）</w:t>
      </w:r>
      <w:r>
        <w:rPr>
          <w:spacing w:val="-7"/>
        </w:rPr>
        <w:t>取得药学类、中药学类专业大学本科学历或学士学位，在药学或中药学岗位工作</w:t>
      </w:r>
      <w:r>
        <w:rPr>
          <w:spacing w:val="-30"/>
        </w:rPr>
        <w:t>满 </w:t>
      </w:r>
      <w:r>
        <w:rPr/>
        <w:t>3</w:t>
      </w:r>
      <w:r>
        <w:rPr>
          <w:spacing w:val="-20"/>
        </w:rPr>
        <w:t> 年；</w:t>
      </w:r>
    </w:p>
    <w:p>
      <w:pPr>
        <w:pStyle w:val="BodyText"/>
        <w:spacing w:line="295" w:lineRule="auto"/>
        <w:ind w:right="272" w:firstLine="458"/>
      </w:pPr>
      <w:r>
        <w:rPr/>
        <w:t>（三</w:t>
      </w:r>
      <w:r>
        <w:rPr>
          <w:spacing w:val="-22"/>
        </w:rPr>
        <w:t>）</w:t>
      </w:r>
      <w:r>
        <w:rPr>
          <w:spacing w:val="-7"/>
        </w:rPr>
        <w:t>取得药学类、中药学类专业第二学士学位、研究生班毕业或硕士学位，在药学或中药学岗位工作满 </w:t>
      </w:r>
      <w:r>
        <w:rPr/>
        <w:t>1</w:t>
      </w:r>
      <w:r>
        <w:rPr>
          <w:spacing w:val="-20"/>
        </w:rPr>
        <w:t> 年；</w:t>
      </w:r>
    </w:p>
    <w:p>
      <w:pPr>
        <w:pStyle w:val="BodyText"/>
        <w:spacing w:before="3"/>
        <w:ind w:left="717"/>
      </w:pPr>
      <w:r>
        <w:rPr/>
        <w:t>（四）取得药学类、中药学类专业博士学位；</w:t>
      </w:r>
    </w:p>
    <w:p>
      <w:pPr>
        <w:spacing w:after="0"/>
        <w:sectPr>
          <w:pgSz w:w="11910" w:h="16850"/>
          <w:pgMar w:header="906" w:footer="607" w:top="1100" w:bottom="800" w:left="1040" w:right="860"/>
        </w:sectPr>
      </w:pPr>
    </w:p>
    <w:p>
      <w:pPr>
        <w:pStyle w:val="BodyText"/>
        <w:spacing w:line="295" w:lineRule="auto" w:before="65"/>
        <w:ind w:right="269" w:firstLine="453"/>
        <w:jc w:val="both"/>
      </w:pPr>
      <w:r>
        <w:rPr/>
        <w:t>（五</w:t>
      </w:r>
      <w:r>
        <w:rPr>
          <w:spacing w:val="-27"/>
        </w:rPr>
        <w:t>）</w:t>
      </w:r>
      <w:r>
        <w:rPr>
          <w:spacing w:val="-7"/>
        </w:rPr>
        <w:t>取得药学类、中药学类相关专业相应学历或学位的人员，在药学或中药学岗位工作的年限相应增加 </w:t>
      </w:r>
      <w:r>
        <w:rPr/>
        <w:t>1</w:t>
      </w:r>
      <w:r>
        <w:rPr>
          <w:spacing w:val="-20"/>
        </w:rPr>
        <w:t> 年。</w:t>
      </w:r>
    </w:p>
    <w:p>
      <w:pPr>
        <w:pStyle w:val="BodyText"/>
        <w:spacing w:line="297" w:lineRule="auto" w:before="2"/>
        <w:ind w:right="270" w:firstLine="480"/>
        <w:jc w:val="both"/>
      </w:pPr>
      <w:r>
        <w:rPr>
          <w:spacing w:val="-1"/>
        </w:rPr>
        <w:t>第十条 执业药师职业资格考试合格者，由各省、自治区、直辖市人力资源社会保障部</w:t>
      </w:r>
      <w:r>
        <w:rPr>
          <w:spacing w:val="-12"/>
        </w:rPr>
        <w:t>门颁发《执业药师职业资格证书》。该证书由人力资源社会保障部统一印制，国家药监局与</w:t>
      </w:r>
      <w:r>
        <w:rPr/>
        <w:t>人力资源社会保障部用印，在全国范围内有效。</w:t>
      </w:r>
    </w:p>
    <w:p>
      <w:pPr>
        <w:pStyle w:val="Heading4"/>
        <w:spacing w:line="304" w:lineRule="exact"/>
        <w:ind w:left="4262"/>
      </w:pPr>
      <w:r>
        <w:rPr/>
        <w:t>第三章 注 册</w:t>
      </w:r>
    </w:p>
    <w:p>
      <w:pPr>
        <w:pStyle w:val="BodyText"/>
        <w:spacing w:line="295" w:lineRule="auto" w:before="74"/>
        <w:ind w:right="270" w:firstLine="480"/>
        <w:jc w:val="both"/>
      </w:pPr>
      <w:r>
        <w:rPr>
          <w:spacing w:val="-1"/>
        </w:rPr>
        <w:t>第十一条 执业药师实行注册制度。国家药监局负责执业药师注册的政策制定和组织实</w:t>
      </w:r>
      <w:r>
        <w:rPr>
          <w:spacing w:val="-11"/>
        </w:rPr>
        <w:t>施，指导全国执业药师注册管理工作。各省、自治区、直辖市药品监督管理部门负责本行政</w:t>
      </w:r>
      <w:r>
        <w:rPr/>
        <w:t>区域内的执业药师注册管理工作。</w:t>
      </w:r>
    </w:p>
    <w:p>
      <w:pPr>
        <w:pStyle w:val="BodyText"/>
        <w:spacing w:line="295" w:lineRule="auto" w:before="6"/>
        <w:ind w:right="272" w:firstLine="480"/>
        <w:jc w:val="both"/>
      </w:pPr>
      <w:r>
        <w:rPr>
          <w:spacing w:val="-1"/>
        </w:rPr>
        <w:t>第十二条 取得《执业药师职业资格证书》者，应当通过全国执业药师注册管理信息系</w:t>
      </w:r>
      <w:r>
        <w:rPr>
          <w:spacing w:val="-8"/>
        </w:rPr>
        <w:t>统向所在地注册管理机构申请注册。经注册后，方可从事相应的执业活动。未经注册者，不</w:t>
      </w:r>
      <w:r>
        <w:rPr/>
        <w:t>得以执业药师身份执业。</w:t>
      </w:r>
    </w:p>
    <w:p>
      <w:pPr>
        <w:pStyle w:val="BodyText"/>
        <w:spacing w:before="5"/>
        <w:ind w:left="717"/>
      </w:pPr>
      <w:r>
        <w:rPr/>
        <w:t>第十三条 申请注册者，必须同时具备下列条件：</w:t>
      </w:r>
    </w:p>
    <w:p>
      <w:pPr>
        <w:pStyle w:val="BodyText"/>
        <w:spacing w:before="72"/>
        <w:ind w:left="717"/>
      </w:pPr>
      <w:r>
        <w:rPr/>
        <w:t>（一）取得《执业药师职业资格证书》；</w:t>
      </w:r>
    </w:p>
    <w:p>
      <w:pPr>
        <w:pStyle w:val="BodyText"/>
        <w:spacing w:before="72"/>
        <w:ind w:left="717"/>
      </w:pPr>
      <w:r>
        <w:rPr/>
        <w:t>（二）遵纪守法，遵守执业药师职业道德，无不良信息记录；</w:t>
      </w:r>
    </w:p>
    <w:p>
      <w:pPr>
        <w:pStyle w:val="BodyText"/>
        <w:spacing w:before="74"/>
        <w:ind w:left="717"/>
      </w:pPr>
      <w:r>
        <w:rPr/>
        <w:t>（三）身体健康，能坚持在执业药师岗位工作；</w:t>
      </w:r>
    </w:p>
    <w:p>
      <w:pPr>
        <w:pStyle w:val="BodyText"/>
        <w:spacing w:before="71"/>
        <w:ind w:left="717"/>
      </w:pPr>
      <w:r>
        <w:rPr/>
        <w:t>（四）经所在单位考核同意。</w:t>
      </w:r>
    </w:p>
    <w:p>
      <w:pPr>
        <w:pStyle w:val="BodyText"/>
        <w:spacing w:line="297" w:lineRule="auto" w:before="73"/>
        <w:ind w:right="287" w:firstLine="480"/>
        <w:jc w:val="both"/>
      </w:pPr>
      <w:r>
        <w:rPr/>
        <w:t>第十四条 经批准注册者，由执业药师注册管理机构核发国家药监局统一样式的《执业药师注册证》。</w:t>
      </w:r>
    </w:p>
    <w:p>
      <w:pPr>
        <w:pStyle w:val="BodyText"/>
        <w:spacing w:line="306" w:lineRule="exact"/>
        <w:ind w:left="717"/>
      </w:pPr>
      <w:r>
        <w:rPr/>
        <w:t>第十五条 执业药师变更执业单位、执业范围等应当及时办理变更注册手续。</w:t>
      </w:r>
    </w:p>
    <w:p>
      <w:pPr>
        <w:pStyle w:val="BodyText"/>
        <w:spacing w:line="297" w:lineRule="auto" w:before="71"/>
        <w:ind w:right="287" w:firstLine="480"/>
        <w:jc w:val="both"/>
      </w:pPr>
      <w:r>
        <w:rPr/>
        <w:t>第十六条 执业药师注册有效期为五年。需要延续的，应当在有效期届满三十日前，向所在地注册管理机构提出延续注册申请。</w:t>
      </w:r>
    </w:p>
    <w:p>
      <w:pPr>
        <w:pStyle w:val="Heading4"/>
        <w:spacing w:line="306" w:lineRule="exact"/>
        <w:ind w:left="4262"/>
      </w:pPr>
      <w:r>
        <w:rPr/>
        <w:t>第四章 职 责</w:t>
      </w:r>
    </w:p>
    <w:p>
      <w:pPr>
        <w:pStyle w:val="BodyText"/>
        <w:spacing w:line="297" w:lineRule="auto" w:before="72"/>
        <w:ind w:right="287" w:firstLine="480"/>
        <w:jc w:val="both"/>
      </w:pPr>
      <w:r>
        <w:rPr/>
        <w:t>第十七条 执业药师应当遵守执业标准和业务规范，以保障和促进公众用药安全有效为基本准则。</w:t>
      </w:r>
    </w:p>
    <w:p>
      <w:pPr>
        <w:pStyle w:val="BodyText"/>
        <w:spacing w:line="297" w:lineRule="auto"/>
        <w:ind w:right="149" w:firstLine="480"/>
      </w:pPr>
      <w:r>
        <w:rPr>
          <w:spacing w:val="-8"/>
        </w:rPr>
        <w:t>第十八条 执业药师必须严格遵守《中华人民共和国药品管理法》及国家有关药品研制、</w:t>
      </w:r>
      <w:r>
        <w:rPr>
          <w:spacing w:val="-10"/>
        </w:rPr>
        <w:t>生产、经营、使用的各项法规及政策。执业药师对违反《中华人民共和国药品管理法》及有</w:t>
      </w:r>
      <w:r>
        <w:rPr>
          <w:spacing w:val="-13"/>
        </w:rPr>
        <w:t>关法规、规章的行为或决定，有责任提出劝告、制止、拒绝执行，并向当地负责药品监督管理的部门报告。</w:t>
      </w:r>
    </w:p>
    <w:p>
      <w:pPr>
        <w:pStyle w:val="BodyText"/>
        <w:spacing w:line="297" w:lineRule="auto"/>
        <w:ind w:right="287" w:firstLine="480"/>
        <w:jc w:val="both"/>
      </w:pPr>
      <w:r>
        <w:rPr/>
        <w:t>第十九条 执业药师在执业范围内负责对药品质量的监督和管理，参与制定和实施药品全面质量管理制度，参与单位对内部违反规定行为的处理工作。</w:t>
      </w:r>
    </w:p>
    <w:p>
      <w:pPr>
        <w:pStyle w:val="BodyText"/>
        <w:spacing w:line="295" w:lineRule="auto"/>
        <w:ind w:right="287" w:firstLine="480"/>
        <w:jc w:val="both"/>
      </w:pPr>
      <w:r>
        <w:rPr/>
        <w:t>第二十条 执业药师负责处方的审核及调配，提供用药咨询与信息，指导合理用药，开展治疗药物监测及药品疗效评价等临床药学工作。</w:t>
      </w:r>
    </w:p>
    <w:p>
      <w:pPr>
        <w:pStyle w:val="BodyText"/>
        <w:spacing w:line="295" w:lineRule="auto"/>
        <w:ind w:right="267" w:firstLine="480"/>
        <w:jc w:val="both"/>
      </w:pPr>
      <w:r>
        <w:rPr>
          <w:spacing w:val="-1"/>
        </w:rPr>
        <w:t>第二十一条 药品零售企业应当在醒目位置公示《执业药师注册证》，并对在岗执业的</w:t>
      </w:r>
      <w:r>
        <w:rPr>
          <w:spacing w:val="-9"/>
        </w:rPr>
        <w:t>执业药师挂牌明示。执业药师不在岗时，应当以醒目方式公示，并停止销售处方药和甲类非</w:t>
      </w:r>
      <w:r>
        <w:rPr/>
        <w:t>处方药。</w:t>
      </w:r>
    </w:p>
    <w:p>
      <w:pPr>
        <w:pStyle w:val="BodyText"/>
        <w:spacing w:before="1"/>
        <w:ind w:left="717"/>
      </w:pPr>
      <w:r>
        <w:rPr/>
        <w:t>执业药师执业时应当按照有关规定佩戴工作牌。</w:t>
      </w:r>
    </w:p>
    <w:p>
      <w:pPr>
        <w:spacing w:after="0"/>
        <w:sectPr>
          <w:pgSz w:w="11910" w:h="16850"/>
          <w:pgMar w:header="906" w:footer="607" w:top="1100" w:bottom="800" w:left="1040" w:right="860"/>
        </w:sectPr>
      </w:pPr>
    </w:p>
    <w:p>
      <w:pPr>
        <w:pStyle w:val="BodyText"/>
        <w:spacing w:line="295" w:lineRule="auto" w:before="65"/>
        <w:ind w:right="286" w:firstLine="480"/>
      </w:pPr>
      <w:r>
        <w:rPr/>
        <w:t>第二十二条 执业药师应当按照国家专业技术人员继续教育的有关规定接受继续教育， 更新专业知识，提高业务水平。国家鼓励执业药师参加实训培养。</w:t>
      </w:r>
    </w:p>
    <w:p>
      <w:pPr>
        <w:pStyle w:val="Heading4"/>
        <w:spacing w:before="2"/>
        <w:ind w:left="0" w:right="32"/>
        <w:jc w:val="center"/>
      </w:pPr>
      <w:r>
        <w:rPr/>
        <w:t>第五章 监督管理</w:t>
      </w:r>
    </w:p>
    <w:p>
      <w:pPr>
        <w:pStyle w:val="BodyText"/>
        <w:spacing w:line="295" w:lineRule="auto" w:before="74"/>
        <w:ind w:right="287" w:firstLine="480"/>
      </w:pPr>
      <w:r>
        <w:rPr/>
        <w:t>第二十三条 负责药品监督管理的部门按照有关法律、法规和规章的规定，对执业药师配备情况及其执业活动实施监督检查。</w:t>
      </w:r>
    </w:p>
    <w:p>
      <w:pPr>
        <w:pStyle w:val="BodyText"/>
        <w:spacing w:line="297" w:lineRule="auto" w:before="2"/>
        <w:ind w:right="270" w:firstLine="480"/>
      </w:pPr>
      <w:r>
        <w:rPr>
          <w:spacing w:val="-8"/>
        </w:rPr>
        <w:t>监督检查时应当查验《执业药师注册证》、处方审核记录、执业药师挂牌明示、执业药</w:t>
      </w:r>
      <w:r>
        <w:rPr/>
        <w:t>师在岗服务等事项。</w:t>
      </w:r>
    </w:p>
    <w:p>
      <w:pPr>
        <w:pStyle w:val="BodyText"/>
        <w:spacing w:line="295" w:lineRule="auto"/>
        <w:ind w:right="267" w:firstLine="480"/>
      </w:pPr>
      <w:r>
        <w:rPr>
          <w:spacing w:val="-5"/>
        </w:rPr>
        <w:t>执业单位和执业药师应当对负责药品监督管理的部门的监督检查予以协助、配合，不得</w:t>
      </w:r>
      <w:r>
        <w:rPr/>
        <w:t>拒绝、阻挠。</w:t>
      </w:r>
    </w:p>
    <w:p>
      <w:pPr>
        <w:pStyle w:val="BodyText"/>
        <w:spacing w:line="295" w:lineRule="auto" w:before="3"/>
        <w:ind w:right="285" w:firstLine="480"/>
      </w:pPr>
      <w:r>
        <w:rPr/>
        <w:t>第二十四条 执业药师有下列情形之一的，县级以上人力资源社会保障部门与负责药品监督管理的部门按规定对其给予表彰和奖励：</w:t>
      </w:r>
    </w:p>
    <w:p>
      <w:pPr>
        <w:pStyle w:val="BodyText"/>
        <w:spacing w:before="2"/>
        <w:ind w:left="717"/>
      </w:pPr>
      <w:r>
        <w:rPr/>
        <w:t>（一）在执业活动中，职业道德高尚，事迹突出的；</w:t>
      </w:r>
    </w:p>
    <w:p>
      <w:pPr>
        <w:pStyle w:val="BodyText"/>
        <w:spacing w:before="74"/>
        <w:ind w:left="717"/>
      </w:pPr>
      <w:r>
        <w:rPr/>
        <w:t>（二）对药学工作做出显著贡献的；</w:t>
      </w:r>
    </w:p>
    <w:p>
      <w:pPr>
        <w:pStyle w:val="BodyText"/>
        <w:spacing w:before="72"/>
        <w:ind w:left="717"/>
      </w:pPr>
      <w:r>
        <w:rPr/>
        <w:t>（三）向患者提供药学服务表现突出的；</w:t>
      </w:r>
    </w:p>
    <w:p>
      <w:pPr>
        <w:pStyle w:val="BodyText"/>
        <w:spacing w:before="71"/>
        <w:ind w:left="717"/>
      </w:pPr>
      <w:r>
        <w:rPr/>
        <w:t>（四）长期在边远贫困地区基层单位工作且表现突出的。</w:t>
      </w:r>
    </w:p>
    <w:p>
      <w:pPr>
        <w:pStyle w:val="BodyText"/>
        <w:spacing w:line="297" w:lineRule="auto" w:before="75"/>
        <w:ind w:right="267" w:firstLine="480"/>
        <w:jc w:val="both"/>
      </w:pPr>
      <w:r>
        <w:rPr>
          <w:spacing w:val="-1"/>
        </w:rPr>
        <w:t>第二十五条 建立执业药师个人诚信记录，对其执业活动实行信用管理。执业药师的违</w:t>
      </w:r>
      <w:r>
        <w:rPr>
          <w:spacing w:val="-12"/>
        </w:rPr>
        <w:t>法违规行为、接受表彰奖励及处分等，作为个人诚信信息由负责药品监督管理的部门及时记</w:t>
      </w:r>
      <w:r>
        <w:rPr>
          <w:spacing w:val="-7"/>
        </w:rPr>
        <w:t>入全国执业药师注册管理信息系统；执业药师的继续教育学分，由继续教育管理机构及时记</w:t>
      </w:r>
      <w:r>
        <w:rPr/>
        <w:t>入全国执业药师注册管理信息系统。</w:t>
      </w:r>
    </w:p>
    <w:p>
      <w:pPr>
        <w:pStyle w:val="BodyText"/>
        <w:spacing w:line="295" w:lineRule="auto"/>
        <w:ind w:right="287" w:firstLine="480"/>
      </w:pPr>
      <w:r>
        <w:rPr/>
        <w:t>第二十六条 对未按规定配备执业药师的单位，由所在地县级以上负责药品监督管理的部门责令限期配备，并按照相关法律法规给予处罚。</w:t>
      </w:r>
    </w:p>
    <w:p>
      <w:pPr>
        <w:pStyle w:val="BodyText"/>
        <w:spacing w:line="295" w:lineRule="auto"/>
        <w:ind w:right="287" w:firstLine="480"/>
      </w:pPr>
      <w:r>
        <w:rPr/>
        <w:t>第二十七条 对以不正当手段取得《执业药师职业资格证书》的，按照国家专业技术人员资格考试违纪违规行为处理规定处理；构成犯罪的，依法追究刑事责任。</w:t>
      </w:r>
    </w:p>
    <w:p>
      <w:pPr>
        <w:pStyle w:val="BodyText"/>
        <w:ind w:left="717"/>
      </w:pPr>
      <w:r>
        <w:rPr/>
        <w:t>第二十八条 以欺骗、贿赂等不正当手段取得《执业药师注册证》的，由发证部门撤销</w:t>
      </w:r>
    </w:p>
    <w:p>
      <w:pPr>
        <w:pStyle w:val="BodyText"/>
        <w:spacing w:before="74"/>
      </w:pPr>
      <w:r>
        <w:rPr/>
        <w:t>《执业药师注册证》，三年内不予执业药师注册；构成犯罪的，依法追究刑事责任。</w:t>
      </w:r>
    </w:p>
    <w:p>
      <w:pPr>
        <w:pStyle w:val="BodyText"/>
        <w:spacing w:line="297" w:lineRule="auto" w:before="73"/>
        <w:ind w:right="269"/>
        <w:jc w:val="both"/>
      </w:pPr>
      <w:r>
        <w:rPr>
          <w:spacing w:val="-20"/>
        </w:rPr>
        <w:t>严禁《执业药师注册证》挂靠，持证人注册单位与实际工作单位不符的，由发证部门撤销《执</w:t>
      </w:r>
      <w:r>
        <w:rPr>
          <w:spacing w:val="-12"/>
        </w:rPr>
        <w:t>业药师注册证》，并作为个人不良信息由负责药品监督管理的部门记入全国执业药师注册管</w:t>
      </w:r>
      <w:r>
        <w:rPr/>
        <w:t>理信息系统。买卖、租借《执业药师注册证》的单位，按照相关法律法规给予处罚。</w:t>
      </w:r>
    </w:p>
    <w:p>
      <w:pPr>
        <w:pStyle w:val="BodyText"/>
        <w:spacing w:line="295" w:lineRule="auto"/>
        <w:ind w:right="287" w:firstLine="480"/>
      </w:pPr>
      <w:r>
        <w:rPr/>
        <w:t>第二十九条 执业药师违反本规定有关条款的，所在单位应当如实上报，由负责药品监督管理的部门根据情况予以处理。</w:t>
      </w:r>
    </w:p>
    <w:p>
      <w:pPr>
        <w:pStyle w:val="BodyText"/>
        <w:spacing w:line="295" w:lineRule="auto"/>
        <w:ind w:right="287" w:firstLine="480"/>
      </w:pPr>
      <w:r>
        <w:rPr/>
        <w:t>第三十条 执业药师在执业期间违反《中华人民共和国药品管理法》及其他法律法规构成犯罪的，由司法机关依法追究责任。</w:t>
      </w:r>
    </w:p>
    <w:p>
      <w:pPr>
        <w:pStyle w:val="Heading4"/>
        <w:spacing w:before="2"/>
        <w:ind w:left="0" w:right="34"/>
        <w:jc w:val="center"/>
      </w:pPr>
      <w:r>
        <w:rPr/>
        <w:t>第六章 附 则</w:t>
      </w:r>
    </w:p>
    <w:p>
      <w:pPr>
        <w:pStyle w:val="BodyText"/>
        <w:spacing w:line="295" w:lineRule="auto" w:before="75"/>
        <w:ind w:right="287" w:firstLine="480"/>
      </w:pPr>
      <w:r>
        <w:rPr/>
        <w:t>第三十一条 专业技术人员取得执业药师职业资格，可认定其具备主管药师或主管中药师职称，并可作为申报高一级职称的条件。单位根据工作需要择优聘任。</w:t>
      </w:r>
    </w:p>
    <w:p>
      <w:pPr>
        <w:pStyle w:val="BodyText"/>
        <w:spacing w:before="2"/>
        <w:ind w:left="717"/>
      </w:pPr>
      <w:r>
        <w:rPr/>
        <w:t>第三十二条 本办法中的相关专业由国家药监局、人力资源社会保障部另行确定。</w:t>
      </w:r>
    </w:p>
    <w:p>
      <w:pPr>
        <w:pStyle w:val="BodyText"/>
        <w:spacing w:line="295" w:lineRule="auto" w:before="74"/>
        <w:ind w:right="287" w:firstLine="480"/>
      </w:pPr>
      <w:r>
        <w:rPr/>
        <w:t>第三十三条 国家药监局、人力资源社会保障部会同相关部门逐步推进民族药执业药师管理相关工作。</w:t>
      </w:r>
    </w:p>
    <w:p>
      <w:pPr>
        <w:spacing w:after="0" w:line="295" w:lineRule="auto"/>
        <w:sectPr>
          <w:pgSz w:w="11910" w:h="16850"/>
          <w:pgMar w:header="906" w:footer="607" w:top="1100" w:bottom="800" w:left="1040" w:right="860"/>
        </w:sectPr>
      </w:pPr>
    </w:p>
    <w:p>
      <w:pPr>
        <w:pStyle w:val="BodyText"/>
        <w:spacing w:line="295" w:lineRule="auto" w:before="65"/>
        <w:ind w:right="148" w:firstLine="480"/>
      </w:pPr>
      <w:r>
        <w:rPr>
          <w:spacing w:val="-8"/>
        </w:rPr>
        <w:t>第三十四条 香港、澳门、台湾地区居民申请国家执业药师资格考试、注册、继续教育、</w:t>
      </w:r>
      <w:r>
        <w:rPr/>
        <w:t>执业等活动，参照本规定办理。</w:t>
      </w:r>
    </w:p>
    <w:p>
      <w:pPr>
        <w:pStyle w:val="BodyText"/>
        <w:spacing w:line="297" w:lineRule="auto" w:before="2"/>
        <w:ind w:right="144" w:firstLine="480"/>
      </w:pPr>
      <w:r>
        <w:rPr>
          <w:spacing w:val="-1"/>
        </w:rPr>
        <w:t>第三十五条 本规定自印发之日起施行。原人事部、国家药品监督管理局《关于修订印</w:t>
      </w:r>
      <w:r>
        <w:rPr>
          <w:spacing w:val="-13"/>
        </w:rPr>
        <w:t>发〈执业药师资格制度暂行规定〉和〈执业药师资格考试实施办法〉的通知》</w:t>
      </w:r>
      <w:r>
        <w:rPr/>
        <w:t>（</w:t>
      </w:r>
      <w:r>
        <w:rPr>
          <w:spacing w:val="-11"/>
        </w:rPr>
        <w:t>人发〔</w:t>
      </w:r>
      <w:r>
        <w:rPr/>
        <w:t>1999</w:t>
      </w:r>
      <w:r>
        <w:rPr>
          <w:spacing w:val="-13"/>
        </w:rPr>
        <w:t>〕</w:t>
      </w:r>
    </w:p>
    <w:p>
      <w:pPr>
        <w:pStyle w:val="BodyText"/>
        <w:spacing w:line="295" w:lineRule="auto"/>
        <w:ind w:right="280"/>
      </w:pPr>
      <w:r>
        <w:rPr/>
        <w:t>34 号）同时废止。根据该文件取得的《执业药师资格证书》与本规定中《执业药师职业资格证书》效用等同。</w:t>
      </w:r>
    </w:p>
    <w:p>
      <w:pPr>
        <w:pStyle w:val="Heading3"/>
        <w:ind w:left="3017"/>
      </w:pPr>
      <w:r>
        <w:rPr/>
        <w:t>执业药师职业资格考试实施办法</w:t>
      </w:r>
    </w:p>
    <w:p>
      <w:pPr>
        <w:pStyle w:val="BodyText"/>
        <w:spacing w:line="280" w:lineRule="auto" w:before="181"/>
        <w:ind w:right="270" w:firstLine="482"/>
        <w:jc w:val="both"/>
      </w:pPr>
      <w:r>
        <w:rPr>
          <w:spacing w:val="-1"/>
        </w:rPr>
        <w:t>第一条 国家药监局与人力资源社会保障部共同负责执业药师职业资格考试工作，日常</w:t>
      </w:r>
      <w:r>
        <w:rPr>
          <w:spacing w:val="-7"/>
        </w:rPr>
        <w:t>管理工作委托国家药监局执业药师资格认证中心负责，考务工作委托人力资源社会保障部人</w:t>
      </w:r>
      <w:r>
        <w:rPr/>
        <w:t>事考试中心负责。</w:t>
      </w:r>
    </w:p>
    <w:p>
      <w:pPr>
        <w:pStyle w:val="BodyText"/>
        <w:spacing w:line="280" w:lineRule="auto" w:before="1"/>
        <w:ind w:right="270"/>
      </w:pPr>
      <w:r>
        <w:rPr>
          <w:spacing w:val="-12"/>
        </w:rPr>
        <w:t>各省、自治区、直辖市人力资源社会保障行政主管部门会同药品监督管理部门负责本地区的</w:t>
      </w:r>
      <w:r>
        <w:rPr/>
        <w:t>考试工作，具体职责分工由各地协商确定。</w:t>
      </w:r>
    </w:p>
    <w:p>
      <w:pPr>
        <w:pStyle w:val="BodyText"/>
        <w:spacing w:before="1"/>
        <w:ind w:left="717"/>
      </w:pPr>
      <w:r>
        <w:rPr/>
        <w:t>第二条 执业药师职业资格考试日期原则上为每年 10 月。</w:t>
      </w:r>
    </w:p>
    <w:p>
      <w:pPr>
        <w:pStyle w:val="BodyText"/>
        <w:spacing w:before="52"/>
        <w:ind w:left="717"/>
      </w:pPr>
      <w:r>
        <w:rPr/>
        <w:t>第三条 执业药师职业资格考试分为药学、中药学两个专业类别。</w:t>
      </w:r>
    </w:p>
    <w:p>
      <w:pPr>
        <w:pStyle w:val="BodyText"/>
        <w:spacing w:line="280" w:lineRule="auto" w:before="53"/>
        <w:ind w:right="267"/>
      </w:pPr>
      <w:r>
        <w:rPr>
          <w:spacing w:val="-3"/>
        </w:rPr>
        <w:t>药学类考试科目为：药学专业知识</w:t>
      </w:r>
      <w:r>
        <w:rPr/>
        <w:t>（一</w:t>
      </w:r>
      <w:r>
        <w:rPr>
          <w:spacing w:val="-12"/>
        </w:rPr>
        <w:t>）</w:t>
      </w:r>
      <w:r>
        <w:rPr>
          <w:spacing w:val="-6"/>
        </w:rPr>
        <w:t>、药学专业知识</w:t>
      </w:r>
      <w:r>
        <w:rPr/>
        <w:t>（二</w:t>
      </w:r>
      <w:r>
        <w:rPr>
          <w:spacing w:val="-12"/>
        </w:rPr>
        <w:t>）</w:t>
      </w:r>
      <w:r>
        <w:rPr>
          <w:spacing w:val="-6"/>
        </w:rPr>
        <w:t>、药事管理与法规、药学综</w:t>
      </w:r>
      <w:r>
        <w:rPr/>
        <w:t>合知识与技能四个科目。</w:t>
      </w:r>
    </w:p>
    <w:p>
      <w:pPr>
        <w:pStyle w:val="BodyText"/>
        <w:spacing w:line="280" w:lineRule="auto"/>
        <w:ind w:right="167"/>
      </w:pPr>
      <w:r>
        <w:rPr/>
        <w:t>中药学类考试科目为：中药学专业知识（一）、中药学专业知识（二）、药事管理与法规、中药学综合知识与技能四个科目。</w:t>
      </w:r>
    </w:p>
    <w:p>
      <w:pPr>
        <w:pStyle w:val="BodyText"/>
        <w:spacing w:line="280" w:lineRule="auto" w:before="1"/>
        <w:ind w:right="145" w:firstLine="480"/>
      </w:pPr>
      <w:r>
        <w:rPr>
          <w:spacing w:val="-1"/>
        </w:rPr>
        <w:t>第四条 符合《执业药师职业资格制度规定》报考条件，按照国家有关规定取得药学或</w:t>
      </w:r>
      <w:r>
        <w:rPr>
          <w:spacing w:val="-5"/>
        </w:rPr>
        <w:t>医学专业高级职称并在药学岗位工作的，可免试药学专业知识</w:t>
      </w:r>
      <w:r>
        <w:rPr/>
        <w:t>（一</w:t>
      </w:r>
      <w:r>
        <w:rPr>
          <w:spacing w:val="-39"/>
        </w:rPr>
        <w:t>）</w:t>
      </w:r>
      <w:r>
        <w:rPr>
          <w:spacing w:val="-12"/>
        </w:rPr>
        <w:t>、药学专业知识</w:t>
      </w:r>
      <w:r>
        <w:rPr/>
        <w:t>（二</w:t>
      </w:r>
      <w:r>
        <w:rPr>
          <w:spacing w:val="-31"/>
        </w:rPr>
        <w:t>）， </w:t>
      </w:r>
      <w:r>
        <w:rPr>
          <w:spacing w:val="-7"/>
        </w:rPr>
        <w:t>只参加药事管理与法规、药学综合知识与技能两个科目的考试；取得中药学或中医学专业高</w:t>
      </w:r>
      <w:r>
        <w:rPr>
          <w:spacing w:val="-9"/>
        </w:rPr>
        <w:t>级职称并在中药学岗位工作的，可免试中药学专业知识</w:t>
      </w:r>
      <w:r>
        <w:rPr/>
        <w:t>（一</w:t>
      </w:r>
      <w:r>
        <w:rPr>
          <w:spacing w:val="-15"/>
        </w:rPr>
        <w:t>）</w:t>
      </w:r>
      <w:r>
        <w:rPr>
          <w:spacing w:val="-6"/>
        </w:rPr>
        <w:t>、中药学专业知识</w:t>
      </w:r>
      <w:r>
        <w:rPr/>
        <w:t>（二</w:t>
      </w:r>
      <w:r>
        <w:rPr>
          <w:spacing w:val="-15"/>
        </w:rPr>
        <w:t>），</w:t>
      </w:r>
      <w:r>
        <w:rPr/>
        <w:t>只参加药事管理与法规、中药学综合知识与技能两个科目的考试。</w:t>
      </w:r>
    </w:p>
    <w:p>
      <w:pPr>
        <w:pStyle w:val="BodyText"/>
        <w:spacing w:line="280" w:lineRule="auto" w:before="1"/>
        <w:ind w:right="287" w:firstLine="480"/>
      </w:pPr>
      <w:r>
        <w:rPr/>
        <w:t>第五条 考试以四年为一个周期，参加全部科目考试的人员须在连续四个考试年度内通过全部科目的考试。</w:t>
      </w:r>
    </w:p>
    <w:p>
      <w:pPr>
        <w:pStyle w:val="BodyText"/>
      </w:pPr>
      <w:r>
        <w:rPr/>
        <w:t>免试部分科目的人员须在连续两个考试年度内通过应试科目。</w:t>
      </w:r>
    </w:p>
    <w:p>
      <w:pPr>
        <w:pStyle w:val="BodyText"/>
        <w:spacing w:line="280" w:lineRule="auto" w:before="54"/>
        <w:ind w:right="267" w:firstLine="480"/>
        <w:jc w:val="both"/>
      </w:pPr>
      <w:r>
        <w:rPr>
          <w:spacing w:val="-1"/>
        </w:rPr>
        <w:t>第六条 符合执业药师职业资格考试报考条件的人员，按照当地人事考试机构规定的程</w:t>
      </w:r>
      <w:r>
        <w:rPr>
          <w:spacing w:val="-10"/>
        </w:rPr>
        <w:t>序和要求完成报名。参加考试人员凭准考证和有效身份证件在指定的日期、时间和地点参加</w:t>
      </w:r>
      <w:r>
        <w:rPr/>
        <w:t>考试。</w:t>
      </w:r>
    </w:p>
    <w:p>
      <w:pPr>
        <w:pStyle w:val="BodyText"/>
        <w:spacing w:line="280" w:lineRule="auto"/>
        <w:ind w:left="717" w:right="887" w:hanging="480"/>
      </w:pPr>
      <w:r>
        <w:rPr/>
        <w:t>中央和国务院各部门及所属单位、中央管理企业的人员，按属地原则报名参加考试。第七条 考点原则上设在地级以上城市的大、中专院校或者高考定点学校。</w:t>
      </w:r>
    </w:p>
    <w:p>
      <w:pPr>
        <w:pStyle w:val="BodyText"/>
        <w:spacing w:line="280" w:lineRule="auto" w:before="1"/>
        <w:ind w:right="149" w:firstLine="480"/>
      </w:pPr>
      <w:r>
        <w:rPr>
          <w:spacing w:val="-5"/>
        </w:rPr>
        <w:t>第八条 坚持考试与培训分开的原则。凡参与考试工作</w:t>
      </w:r>
      <w:r>
        <w:rPr/>
        <w:t>（</w:t>
      </w:r>
      <w:r>
        <w:rPr>
          <w:spacing w:val="-6"/>
        </w:rPr>
        <w:t>包括命题、审题与组织管理等</w:t>
      </w:r>
      <w:r>
        <w:rPr>
          <w:spacing w:val="-17"/>
        </w:rPr>
        <w:t>） </w:t>
      </w:r>
      <w:r>
        <w:rPr>
          <w:spacing w:val="-10"/>
        </w:rPr>
        <w:t>的人员，不得参加考试，也不得参加或者举办与考试内容相关的培训工作。应考人员参加培训坚持自愿原则。</w:t>
      </w:r>
    </w:p>
    <w:p>
      <w:pPr>
        <w:pStyle w:val="BodyText"/>
        <w:spacing w:line="280" w:lineRule="auto" w:before="1"/>
        <w:ind w:right="270" w:firstLine="480"/>
        <w:jc w:val="both"/>
      </w:pPr>
      <w:r>
        <w:rPr>
          <w:spacing w:val="-1"/>
        </w:rPr>
        <w:t>第九条 考试实施机构及其工作人员，应当严格执行国家人事考试工作人员纪律规定和</w:t>
      </w:r>
      <w:r>
        <w:rPr>
          <w:spacing w:val="-9"/>
        </w:rPr>
        <w:t>考试工作的各项规章制度，遵守考试工作纪律，切实做好试卷命制、印刷、发送和保管等各</w:t>
      </w:r>
      <w:r>
        <w:rPr/>
        <w:t>环节的安全保密工作，严防泄密。</w:t>
      </w:r>
    </w:p>
    <w:p>
      <w:pPr>
        <w:pStyle w:val="BodyText"/>
        <w:ind w:left="717"/>
      </w:pPr>
      <w:r>
        <w:rPr/>
        <w:t>第十条 对违反考试工作纪律和有关规定的人员，按照国家专业技术人员资格考试违纪</w:t>
      </w:r>
    </w:p>
    <w:p>
      <w:pPr>
        <w:spacing w:after="0"/>
        <w:sectPr>
          <w:pgSz w:w="11910" w:h="16850"/>
          <w:pgMar w:header="906" w:footer="607" w:top="1100" w:bottom="800" w:left="1040" w:right="860"/>
        </w:sectPr>
      </w:pPr>
    </w:p>
    <w:p>
      <w:pPr>
        <w:pStyle w:val="BodyText"/>
        <w:spacing w:before="48"/>
      </w:pPr>
      <w:r>
        <w:rPr/>
        <w:t>违规行为处理规定处理。</w:t>
      </w:r>
    </w:p>
    <w:p>
      <w:pPr>
        <w:pStyle w:val="BodyText"/>
        <w:spacing w:before="53"/>
        <w:ind w:left="717"/>
      </w:pPr>
      <w:r>
        <w:rPr/>
        <w:t>第十一条 本办法自印发之日起施行。</w:t>
      </w:r>
    </w:p>
    <w:p>
      <w:pPr>
        <w:pStyle w:val="BodyText"/>
        <w:spacing w:before="3"/>
        <w:ind w:left="0"/>
        <w:rPr>
          <w:sz w:val="19"/>
        </w:rPr>
      </w:pPr>
    </w:p>
    <w:p>
      <w:pPr>
        <w:spacing w:after="0"/>
        <w:rPr>
          <w:sz w:val="19"/>
        </w:rPr>
        <w:sectPr>
          <w:pgSz w:w="11910" w:h="16850"/>
          <w:pgMar w:header="906" w:footer="607" w:top="1100" w:bottom="800" w:left="1040" w:right="860"/>
        </w:sectPr>
      </w:pPr>
    </w:p>
    <w:p>
      <w:pPr>
        <w:pStyle w:val="Heading2"/>
        <w:spacing w:before="54"/>
        <w:ind w:left="3379"/>
      </w:pPr>
      <w:r>
        <w:rPr>
          <w:spacing w:val="-2"/>
        </w:rPr>
        <w:t>蟾酥注射液说明书修订</w:t>
      </w:r>
    </w:p>
    <w:p>
      <w:pPr>
        <w:pStyle w:val="BodyText"/>
        <w:ind w:left="0"/>
        <w:rPr>
          <w:b/>
        </w:rPr>
      </w:pPr>
      <w:r>
        <w:rPr/>
        <w:br w:type="column"/>
      </w:r>
      <w:r>
        <w:rPr>
          <w:b/>
        </w:rPr>
      </w:r>
    </w:p>
    <w:p>
      <w:pPr>
        <w:pStyle w:val="BodyText"/>
        <w:spacing w:before="7"/>
        <w:ind w:left="0"/>
        <w:rPr>
          <w:b/>
          <w:sz w:val="23"/>
        </w:rPr>
      </w:pPr>
    </w:p>
    <w:p>
      <w:pPr>
        <w:pStyle w:val="Heading4"/>
        <w:ind w:left="696"/>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1040" w:right="860"/>
          <w:cols w:num="2" w:equalWidth="0">
            <w:col w:w="6590" w:space="40"/>
            <w:col w:w="3380"/>
          </w:cols>
        </w:sectPr>
      </w:pPr>
    </w:p>
    <w:p>
      <w:pPr>
        <w:pStyle w:val="BodyText"/>
        <w:spacing w:line="297" w:lineRule="auto" w:before="96"/>
        <w:ind w:right="347" w:firstLine="480"/>
        <w:jc w:val="both"/>
      </w:pPr>
      <w:r>
        <w:rPr/>
        <w:t>3</w:t>
      </w:r>
      <w:r>
        <w:rPr>
          <w:spacing w:val="-41"/>
        </w:rPr>
        <w:t> 月 </w:t>
      </w:r>
      <w:r>
        <w:rPr/>
        <w:t>18</w:t>
      </w:r>
      <w:r>
        <w:rPr>
          <w:spacing w:val="-9"/>
        </w:rPr>
        <w:t> 日，国家药品监管局发布公告，根据药品不良反应评估结果，决定修订蟾酥注</w:t>
      </w:r>
      <w:r>
        <w:rPr/>
        <w:t>射液药品说明书中警示语、不良反应、禁忌和注意事项等内容。</w:t>
      </w:r>
    </w:p>
    <w:p>
      <w:pPr>
        <w:pStyle w:val="BodyText"/>
        <w:spacing w:line="297" w:lineRule="auto"/>
        <w:ind w:right="268" w:firstLine="480"/>
        <w:jc w:val="both"/>
      </w:pPr>
      <w:r>
        <w:rPr>
          <w:spacing w:val="-10"/>
        </w:rPr>
        <w:t>根据公告，蟾酥注射液说明书中，警示语应增加“本品有严重过敏反应病例报告，应在</w:t>
      </w:r>
      <w:r>
        <w:rPr>
          <w:spacing w:val="-7"/>
        </w:rPr>
        <w:t>有抢救条件的医疗机构使用，使用者应接受过过敏性休克抢救培训，用药后出现过敏反应或</w:t>
      </w:r>
      <w:r>
        <w:rPr/>
        <w:t>其他严重不良反应须立即停药并及时救治”内容。</w:t>
      </w:r>
    </w:p>
    <w:p>
      <w:pPr>
        <w:pStyle w:val="BodyText"/>
        <w:spacing w:line="297" w:lineRule="auto"/>
        <w:ind w:right="267" w:firstLine="480"/>
        <w:jc w:val="both"/>
      </w:pPr>
      <w:r>
        <w:rPr>
          <w:spacing w:val="-6"/>
        </w:rPr>
        <w:t>不良反应项增加多个经上市后监测发现的不良反应，如皮肤潮红、皮疹、瘙痒、呼吸困</w:t>
      </w:r>
      <w:r>
        <w:rPr>
          <w:spacing w:val="-12"/>
        </w:rPr>
        <w:t>难、心悸、血压下降、过敏性休克等过敏反应，用药部位出现疼痛、皮疹，以及心悸、心律</w:t>
      </w:r>
      <w:r>
        <w:rPr/>
        <w:t>失常、恶心、呕吐、寒战、发热等其他反应。</w:t>
      </w:r>
    </w:p>
    <w:p>
      <w:pPr>
        <w:pStyle w:val="BodyText"/>
        <w:spacing w:line="297" w:lineRule="auto"/>
        <w:ind w:right="266" w:firstLine="480"/>
        <w:jc w:val="both"/>
      </w:pPr>
      <w:r>
        <w:rPr>
          <w:spacing w:val="-9"/>
        </w:rPr>
        <w:t>禁忌项下增加新生儿、婴幼儿禁用。注意事项项增加了 </w:t>
      </w:r>
      <w:r>
        <w:rPr/>
        <w:t>8</w:t>
      </w:r>
      <w:r>
        <w:rPr>
          <w:spacing w:val="-12"/>
        </w:rPr>
        <w:t> 项，内容包括“严格掌握用法</w:t>
      </w:r>
      <w:r>
        <w:rPr>
          <w:spacing w:val="-9"/>
        </w:rPr>
        <w:t>用量及疗程。按照药品说明书推荐剂量、调配要求用药，不得超剂量、过快滴注或长期连续用药”“本品无儿童安全性、有效性研究证据，不建议儿童使用”等。</w:t>
      </w:r>
    </w:p>
    <w:p>
      <w:pPr>
        <w:pStyle w:val="BodyText"/>
        <w:spacing w:line="295" w:lineRule="auto"/>
        <w:ind w:right="270" w:firstLine="480"/>
        <w:jc w:val="both"/>
      </w:pPr>
      <w:r>
        <w:rPr>
          <w:spacing w:val="-8"/>
        </w:rPr>
        <w:t>目前国内有两家企业生产蟾酥注射液，分别是江苏浦金药业有限公司和安徽凤阳科苑药</w:t>
      </w:r>
      <w:r>
        <w:rPr/>
        <w:t>业有限公司。</w:t>
      </w:r>
    </w:p>
    <w:p>
      <w:pPr>
        <w:pStyle w:val="BodyText"/>
        <w:spacing w:line="297" w:lineRule="auto"/>
        <w:ind w:right="267" w:firstLine="480"/>
        <w:jc w:val="both"/>
      </w:pPr>
      <w:r>
        <w:rPr>
          <w:spacing w:val="-6"/>
        </w:rPr>
        <w:t>国家药监局要求上述药品生产企业应依据《药品注册管理办法》等有关规定，按照相应</w:t>
      </w:r>
      <w:r>
        <w:rPr>
          <w:spacing w:val="-3"/>
        </w:rPr>
        <w:t>说明书修订要求提出修订说明书的补充申请，于 </w:t>
      </w:r>
      <w:r>
        <w:rPr/>
        <w:t>5</w:t>
      </w:r>
      <w:r>
        <w:rPr>
          <w:spacing w:val="-40"/>
        </w:rPr>
        <w:t> 月 </w:t>
      </w:r>
      <w:r>
        <w:rPr/>
        <w:t>25</w:t>
      </w:r>
      <w:r>
        <w:rPr>
          <w:spacing w:val="-8"/>
        </w:rPr>
        <w:t> 日前报省级药品监管部门备案。上</w:t>
      </w:r>
      <w:r>
        <w:rPr>
          <w:spacing w:val="-13"/>
        </w:rPr>
        <w:t>述药品生产企业应当对新增不良反应发生机制开展深入研究，采取有效措施做好相关药品使</w:t>
      </w:r>
      <w:r>
        <w:rPr/>
        <w:t>用和安全性问题的宣传培训，指导医师合理用药。</w:t>
      </w:r>
    </w:p>
    <w:p>
      <w:pPr>
        <w:pStyle w:val="BodyText"/>
        <w:ind w:left="0"/>
        <w:rPr>
          <w:sz w:val="17"/>
        </w:rPr>
      </w:pPr>
    </w:p>
    <w:p>
      <w:pPr>
        <w:pStyle w:val="Heading2"/>
        <w:ind w:left="1130"/>
      </w:pPr>
      <w:r>
        <w:rPr/>
        <w:t>关于修订通关藤注射液（消癌平注射液）说明书的公告</w:t>
      </w:r>
    </w:p>
    <w:p>
      <w:pPr>
        <w:pStyle w:val="Heading4"/>
        <w:spacing w:before="145"/>
        <w:ind w:left="5880"/>
        <w:rPr>
          <w:rFonts w:ascii="楷体" w:eastAsia="楷体" w:hint="eastAsia"/>
        </w:rPr>
      </w:pPr>
      <w:r>
        <w:rPr>
          <w:rFonts w:ascii="楷体" w:eastAsia="楷体" w:hint="eastAsia"/>
          <w:color w:val="FF0000"/>
        </w:rPr>
        <w:t>（来源：国家药品监督管理局网站）</w:t>
      </w:r>
    </w:p>
    <w:p>
      <w:pPr>
        <w:pStyle w:val="BodyText"/>
        <w:spacing w:line="295" w:lineRule="auto" w:before="99"/>
        <w:ind w:right="266" w:firstLine="480"/>
        <w:jc w:val="both"/>
      </w:pPr>
      <w:r>
        <w:rPr>
          <w:spacing w:val="-7"/>
        </w:rPr>
        <w:t>根据药品不良反应评估结果，为进一步保障公众用药安全，国家药品监督管理局决定对</w:t>
      </w:r>
      <w:r>
        <w:rPr>
          <w:spacing w:val="-2"/>
        </w:rPr>
        <w:t>通关藤注射液</w:t>
      </w:r>
      <w:r>
        <w:rPr/>
        <w:t>（消癌平注射液</w:t>
      </w:r>
      <w:r>
        <w:rPr>
          <w:spacing w:val="-12"/>
        </w:rPr>
        <w:t>）</w:t>
      </w:r>
      <w:r>
        <w:rPr>
          <w:spacing w:val="-7"/>
        </w:rPr>
        <w:t>增加警示语，并对其药品说明书【不良反应】【禁忌】【注</w:t>
      </w:r>
      <w:r>
        <w:rPr/>
        <w:t>意事项】项进行修订。现将有关事项公告如下：</w:t>
      </w:r>
    </w:p>
    <w:p>
      <w:pPr>
        <w:pStyle w:val="BodyText"/>
        <w:spacing w:line="295" w:lineRule="auto" w:before="5"/>
        <w:ind w:right="272" w:firstLine="480"/>
        <w:jc w:val="both"/>
      </w:pPr>
      <w:r>
        <w:rPr>
          <w:spacing w:val="-7"/>
        </w:rPr>
        <w:t>一、所有通关藤注射液</w:t>
      </w:r>
      <w:r>
        <w:rPr/>
        <w:t>（消癌平注射液</w:t>
      </w:r>
      <w:r>
        <w:rPr>
          <w:spacing w:val="-22"/>
        </w:rPr>
        <w:t>）</w:t>
      </w:r>
      <w:r>
        <w:rPr>
          <w:spacing w:val="-6"/>
        </w:rPr>
        <w:t>生产企业均应依据《药品注册管理办法》等有</w:t>
      </w:r>
      <w:r>
        <w:rPr/>
        <w:t>关规定，按照相应说明书修订要求（</w:t>
      </w:r>
      <w:r>
        <w:rPr>
          <w:spacing w:val="-15"/>
        </w:rPr>
        <w:t>见附件 </w:t>
      </w:r>
      <w:r>
        <w:rPr/>
        <w:t>1—2），</w:t>
      </w:r>
      <w:r>
        <w:rPr>
          <w:spacing w:val="-4"/>
        </w:rPr>
        <w:t>提出修订说明书的补充申请，于 </w:t>
      </w:r>
      <w:r>
        <w:rPr/>
        <w:t>2019</w:t>
      </w:r>
    </w:p>
    <w:p>
      <w:pPr>
        <w:pStyle w:val="BodyText"/>
        <w:spacing w:before="2"/>
      </w:pPr>
      <w:r>
        <w:rPr/>
        <w:t>年 5 月 31 日前报省级药品监管部门备案。</w:t>
      </w:r>
    </w:p>
    <w:p>
      <w:pPr>
        <w:pStyle w:val="BodyText"/>
        <w:spacing w:line="295" w:lineRule="auto" w:before="74"/>
        <w:ind w:right="267" w:firstLine="480"/>
        <w:jc w:val="both"/>
      </w:pPr>
      <w:r>
        <w:rPr>
          <w:spacing w:val="-9"/>
        </w:rPr>
        <w:t>修订内容涉及药品标签的，应当一并进行修订；说明书及标签其他内容应当与原批准内</w:t>
      </w:r>
      <w:r>
        <w:rPr>
          <w:spacing w:val="-5"/>
        </w:rPr>
        <w:t>容一致。在补充申请备案后 </w:t>
      </w:r>
      <w:r>
        <w:rPr/>
        <w:t>6</w:t>
      </w:r>
      <w:r>
        <w:rPr>
          <w:spacing w:val="-8"/>
        </w:rPr>
        <w:t> 个月内对已出厂的药品说明书及标签予以更换。</w:t>
      </w:r>
    </w:p>
    <w:p>
      <w:pPr>
        <w:pStyle w:val="BodyText"/>
        <w:spacing w:line="297" w:lineRule="auto" w:before="3"/>
        <w:ind w:right="268"/>
      </w:pPr>
      <w:r>
        <w:rPr>
          <w:spacing w:val="-5"/>
        </w:rPr>
        <w:t>上述药品各生产企业应当对新增不良反应发生机制开展深入研究，采取有效措施做好相关药</w:t>
      </w:r>
      <w:r>
        <w:rPr/>
        <w:t>品使用和安全性问题的宣传培训，指导医师合理用药。</w:t>
      </w:r>
    </w:p>
    <w:p>
      <w:pPr>
        <w:pStyle w:val="BodyText"/>
        <w:spacing w:line="295" w:lineRule="auto"/>
        <w:ind w:right="267" w:firstLine="480"/>
        <w:jc w:val="both"/>
      </w:pPr>
      <w:r>
        <w:rPr>
          <w:spacing w:val="-10"/>
        </w:rPr>
        <w:t>二、临床医师应当仔细阅读上述药品说明书的修订内容，在选择用药时，应当根据新修</w:t>
      </w:r>
      <w:r>
        <w:rPr/>
        <w:t>订说明书进行充分的效益/风险分析。</w:t>
      </w:r>
    </w:p>
    <w:p>
      <w:pPr>
        <w:pStyle w:val="BodyText"/>
        <w:spacing w:before="2"/>
        <w:ind w:left="717"/>
      </w:pPr>
      <w:r>
        <w:rPr>
          <w:spacing w:val="-16"/>
        </w:rPr>
        <w:t>三、上述药品为处方药，患者应严格遵医嘱用药，用药前应当仔细阅读上述药品说明书。</w:t>
      </w:r>
    </w:p>
    <w:p>
      <w:pPr>
        <w:spacing w:after="0"/>
        <w:sectPr>
          <w:type w:val="continuous"/>
          <w:pgSz w:w="11910" w:h="16850"/>
          <w:pgMar w:top="1100" w:bottom="1020" w:left="1040" w:right="860"/>
        </w:sectPr>
      </w:pPr>
    </w:p>
    <w:p>
      <w:pPr>
        <w:pStyle w:val="BodyText"/>
        <w:spacing w:line="295" w:lineRule="auto" w:before="65"/>
        <w:ind w:right="270" w:firstLine="480"/>
      </w:pPr>
      <w:r>
        <w:rPr>
          <w:spacing w:val="-12"/>
        </w:rPr>
        <w:t>四、各省级药品监管部门应当督促行政区域内的上述药品生产企业按要求做好相应说明</w:t>
      </w:r>
      <w:r>
        <w:rPr/>
        <w:t>书修订和标签、说明书更换工作；对违法违规行为组织依法严厉查处。</w:t>
      </w:r>
    </w:p>
    <w:p>
      <w:pPr>
        <w:pStyle w:val="BodyText"/>
        <w:spacing w:before="2"/>
        <w:ind w:left="717"/>
      </w:pPr>
      <w:r>
        <w:rPr/>
        <w:t>特此公告。</w:t>
      </w:r>
    </w:p>
    <w:p>
      <w:pPr>
        <w:pStyle w:val="BodyText"/>
        <w:tabs>
          <w:tab w:pos="2877" w:val="left" w:leader="none"/>
        </w:tabs>
        <w:spacing w:line="295" w:lineRule="auto" w:before="74"/>
        <w:ind w:left="1437" w:right="2146" w:hanging="720"/>
      </w:pPr>
      <w:r>
        <w:rPr/>
        <w:t>附件：1</w:t>
      </w:r>
      <w:r>
        <w:rPr>
          <w:spacing w:val="-7"/>
        </w:rPr>
        <w:t> </w:t>
      </w:r>
      <w:r>
        <w:rPr/>
        <w:t>2</w:t>
      </w:r>
      <w:r>
        <w:rPr>
          <w:spacing w:val="-6"/>
        </w:rPr>
        <w:t> </w:t>
      </w:r>
      <w:r>
        <w:rPr/>
        <w:t>下载可连接</w:t>
      </w:r>
      <w:r>
        <w:rPr>
          <w:spacing w:val="-63"/>
        </w:rPr>
        <w:t> </w:t>
      </w:r>
      <w:hyperlink r:id="rId10">
        <w:r>
          <w:rPr>
            <w:color w:val="0000FF"/>
            <w:u w:val="single" w:color="0000FF"/>
          </w:rPr>
          <w:t>www.nmpa.gov.cn/WS04/CL2115/335799.html </w:t>
        </w:r>
      </w:hyperlink>
      <w:r>
        <w:rPr/>
        <w:t>国家药监局</w:t>
        <w:tab/>
        <w:t>2019</w:t>
      </w:r>
      <w:r>
        <w:rPr>
          <w:spacing w:val="-60"/>
        </w:rPr>
        <w:t> </w:t>
      </w:r>
      <w:r>
        <w:rPr/>
        <w:t>年</w:t>
      </w:r>
      <w:r>
        <w:rPr>
          <w:spacing w:val="-60"/>
        </w:rPr>
        <w:t> </w:t>
      </w:r>
      <w:r>
        <w:rPr/>
        <w:t>3</w:t>
      </w:r>
      <w:r>
        <w:rPr>
          <w:spacing w:val="-60"/>
        </w:rPr>
        <w:t> </w:t>
      </w:r>
      <w:r>
        <w:rPr/>
        <w:t>月</w:t>
      </w:r>
      <w:r>
        <w:rPr>
          <w:spacing w:val="-60"/>
        </w:rPr>
        <w:t> </w:t>
      </w:r>
      <w:r>
        <w:rPr/>
        <w:t>19</w:t>
      </w:r>
      <w:r>
        <w:rPr>
          <w:spacing w:val="-60"/>
        </w:rPr>
        <w:t> </w:t>
      </w:r>
      <w:r>
        <w:rPr/>
        <w:t>日</w:t>
      </w:r>
    </w:p>
    <w:p>
      <w:pPr>
        <w:pStyle w:val="BodyText"/>
        <w:spacing w:before="3"/>
        <w:ind w:left="0"/>
        <w:rPr>
          <w:sz w:val="18"/>
        </w:rPr>
      </w:pPr>
    </w:p>
    <w:p>
      <w:pPr>
        <w:pStyle w:val="Heading2"/>
        <w:ind w:left="0" w:right="39"/>
        <w:jc w:val="center"/>
      </w:pPr>
      <w:r>
        <w:rPr/>
        <w:t>两种印度原料药暂停进口通关备案</w:t>
      </w:r>
    </w:p>
    <w:p>
      <w:pPr>
        <w:spacing w:before="166"/>
        <w:ind w:left="0" w:right="31" w:firstLine="0"/>
        <w:jc w:val="center"/>
        <w:rPr>
          <w:sz w:val="21"/>
        </w:rPr>
      </w:pPr>
      <w:r>
        <w:rPr>
          <w:sz w:val="21"/>
        </w:rPr>
        <w:t>业内人士称不会引起国内市场供应紧张</w:t>
      </w:r>
    </w:p>
    <w:p>
      <w:pPr>
        <w:pStyle w:val="BodyText"/>
        <w:spacing w:before="1"/>
        <w:ind w:left="0"/>
        <w:rPr>
          <w:sz w:val="14"/>
        </w:rPr>
      </w:pPr>
    </w:p>
    <w:p>
      <w:pPr>
        <w:pStyle w:val="Heading4"/>
        <w:ind w:left="7325"/>
        <w:rPr>
          <w:rFonts w:ascii="楷体" w:eastAsia="楷体" w:hint="eastAsia"/>
        </w:rPr>
      </w:pPr>
      <w:r>
        <w:rPr>
          <w:rFonts w:ascii="楷体" w:eastAsia="楷体" w:hint="eastAsia"/>
          <w:color w:val="FF0000"/>
        </w:rPr>
        <w:t>（来源：中国医药报）</w:t>
      </w:r>
    </w:p>
    <w:p>
      <w:pPr>
        <w:pStyle w:val="BodyText"/>
        <w:spacing w:line="297" w:lineRule="auto" w:before="97"/>
        <w:ind w:right="270" w:firstLine="480"/>
      </w:pPr>
      <w:r>
        <w:rPr/>
        <w:t>3</w:t>
      </w:r>
      <w:r>
        <w:rPr>
          <w:spacing w:val="-41"/>
        </w:rPr>
        <w:t> 月 </w:t>
      </w:r>
      <w:r>
        <w:rPr/>
        <w:t>25</w:t>
      </w:r>
      <w:r>
        <w:rPr>
          <w:spacing w:val="-8"/>
        </w:rPr>
        <w:t> 日，国家药品监管局发布公告，对印度艾穆阿埃有限公司呋塞米原料药、印度</w:t>
      </w:r>
      <w:r>
        <w:rPr>
          <w:spacing w:val="-13"/>
        </w:rPr>
        <w:t>法速达制药公司氯雷他定原料药暂停进口通关备案。业内人士表示，上述两种原料药暂停通</w:t>
      </w:r>
      <w:r>
        <w:rPr/>
        <w:t>关备案，不会引起国内市场供应紧张。</w:t>
      </w:r>
    </w:p>
    <w:p>
      <w:pPr>
        <w:pStyle w:val="BodyText"/>
        <w:spacing w:line="297" w:lineRule="auto"/>
        <w:ind w:right="267" w:firstLine="480"/>
        <w:jc w:val="both"/>
      </w:pPr>
      <w:r>
        <w:rPr>
          <w:spacing w:val="-11"/>
        </w:rPr>
        <w:t>公告称，近期国家药监局对印度艾穆阿埃有限公司组织开展药品境外生产现场检查，检</w:t>
      </w:r>
      <w:r>
        <w:rPr>
          <w:spacing w:val="-9"/>
        </w:rPr>
        <w:t>查品种为呋塞米原料药。检查发现，该企业呋塞米原料药生产过程中变更反应条件和部分原</w:t>
      </w:r>
      <w:r>
        <w:rPr>
          <w:spacing w:val="-10"/>
        </w:rPr>
        <w:t>料药的投放量，未基于研究情况向我国药品监管部门申报补充申请；未按照注册标准制定质</w:t>
      </w:r>
      <w:r>
        <w:rPr>
          <w:spacing w:val="-11"/>
        </w:rPr>
        <w:t>量标准，放行检测项目部分项目与进口药品注册标准不一致；工艺参数及质量标准等变更的</w:t>
      </w:r>
      <w:r>
        <w:rPr>
          <w:spacing w:val="-8"/>
        </w:rPr>
        <w:t>研究与验证不充分，对产品质量影响的评估不足；生产车间洁净区的设计和管理对污染、交</w:t>
      </w:r>
      <w:r>
        <w:rPr>
          <w:spacing w:val="-7"/>
        </w:rPr>
        <w:t>叉污染及混淆的控制不到位。综合评定认为，该品种生产不符合我国《药品生产质量管理规</w:t>
      </w:r>
      <w:r>
        <w:rPr/>
        <w:t>范（2010</w:t>
      </w:r>
      <w:r>
        <w:rPr>
          <w:spacing w:val="-16"/>
        </w:rPr>
        <w:t> 年修订</w:t>
      </w:r>
      <w:r>
        <w:rPr/>
        <w:t>）》。国家药监局决定，暂停发放该产品的进口通关凭证。</w:t>
      </w:r>
    </w:p>
    <w:p>
      <w:pPr>
        <w:pStyle w:val="BodyText"/>
        <w:spacing w:line="297" w:lineRule="auto"/>
        <w:ind w:right="267" w:firstLine="480"/>
      </w:pPr>
      <w:r>
        <w:rPr>
          <w:spacing w:val="-5"/>
        </w:rPr>
        <w:t>国家药监局对印度法速达制药公司组织开展药品境外生产现场检查，检查品种为氯雷他</w:t>
      </w:r>
      <w:r>
        <w:rPr>
          <w:spacing w:val="-11"/>
        </w:rPr>
        <w:t>定原料药。检查发现，该企业氯雷他定原料药变更了部分生产工艺、工序及设备而未向中国</w:t>
      </w:r>
      <w:r>
        <w:rPr>
          <w:spacing w:val="-7"/>
        </w:rPr>
        <w:t>药品监管部门申报；工艺参数及质量标准变更的研究与验证不充分。综合评定认为，该品种</w:t>
      </w:r>
      <w:r>
        <w:rPr/>
        <w:t>生产不符合我国《药品生产质量管理规范（2010</w:t>
      </w:r>
      <w:r>
        <w:rPr>
          <w:spacing w:val="-15"/>
        </w:rPr>
        <w:t> 年修订</w:t>
      </w:r>
      <w:r>
        <w:rPr/>
        <w:t>）》。国家药监局决定，暂停发放该产品的进口通关凭证。</w:t>
      </w:r>
    </w:p>
    <w:p>
      <w:pPr>
        <w:pStyle w:val="BodyText"/>
        <w:spacing w:line="297" w:lineRule="auto"/>
        <w:ind w:right="267" w:firstLine="480"/>
      </w:pPr>
      <w:r>
        <w:rPr>
          <w:spacing w:val="-9"/>
        </w:rPr>
        <w:t>业内人士表示，氯雷他定和呋塞米均是小品种原料药，国内使用量并不大，暂停从印度</w:t>
      </w:r>
      <w:r>
        <w:rPr/>
        <w:t>两家公司进口上述两种原料药，不会引起国内市场供应紧张。</w:t>
      </w:r>
    </w:p>
    <w:p>
      <w:pPr>
        <w:pStyle w:val="BodyText"/>
        <w:spacing w:line="306" w:lineRule="exact"/>
        <w:ind w:left="717"/>
      </w:pPr>
      <w:r>
        <w:rPr>
          <w:spacing w:val="-11"/>
        </w:rPr>
        <w:t>记者从国家药监局网站查询到，我国共有 </w:t>
      </w:r>
      <w:r>
        <w:rPr/>
        <w:t>28</w:t>
      </w:r>
      <w:r>
        <w:rPr>
          <w:spacing w:val="-8"/>
        </w:rPr>
        <w:t> 家制药企业拥有氯雷他定原料药批准文号，</w:t>
      </w:r>
    </w:p>
    <w:p>
      <w:pPr>
        <w:pStyle w:val="BodyText"/>
        <w:spacing w:line="295" w:lineRule="auto" w:before="52"/>
        <w:ind w:right="270"/>
      </w:pPr>
      <w:r>
        <w:rPr/>
        <w:t>5</w:t>
      </w:r>
      <w:r>
        <w:rPr>
          <w:spacing w:val="-11"/>
        </w:rPr>
        <w:t> 家制药企业拥有呋塞米原料药批准文号。其中，同时拥有两种原料药批准文号的生产企业</w:t>
      </w:r>
      <w:r>
        <w:rPr/>
        <w:t>为常州亚邦制药。</w:t>
      </w:r>
    </w:p>
    <w:p>
      <w:pPr>
        <w:pStyle w:val="BodyText"/>
        <w:spacing w:before="5"/>
        <w:ind w:left="717"/>
      </w:pPr>
      <w:r>
        <w:rPr/>
        <w:t>据了解，氯雷他定原料药国内年需求量为十几吨，呋塞米原料药国内年需求量为 24～</w:t>
      </w:r>
    </w:p>
    <w:p>
      <w:pPr>
        <w:pStyle w:val="BodyText"/>
        <w:spacing w:before="71"/>
      </w:pPr>
      <w:r>
        <w:rPr/>
        <w:t>25</w:t>
      </w:r>
      <w:r>
        <w:rPr>
          <w:spacing w:val="-16"/>
        </w:rPr>
        <w:t> 吨。我国从印度进口上述两种原料药已有 </w:t>
      </w:r>
      <w:r>
        <w:rPr/>
        <w:t>5～6</w:t>
      </w:r>
      <w:r>
        <w:rPr>
          <w:spacing w:val="-13"/>
        </w:rPr>
        <w:t> 年时间。据健康网首席研究员吴惠芳介绍，</w:t>
      </w:r>
    </w:p>
    <w:p>
      <w:pPr>
        <w:pStyle w:val="BodyText"/>
        <w:spacing w:before="72"/>
      </w:pPr>
      <w:r>
        <w:rPr/>
        <w:t>2017 年和 2018 年，我国均从印度一次性进口 4 批次呋塞米原料药，大概 3～4 吨。</w:t>
      </w:r>
    </w:p>
    <w:p>
      <w:pPr>
        <w:pStyle w:val="BodyText"/>
        <w:spacing w:line="297" w:lineRule="auto" w:before="74"/>
        <w:ind w:right="267" w:firstLine="480"/>
        <w:jc w:val="both"/>
      </w:pPr>
      <w:r>
        <w:rPr>
          <w:spacing w:val="-6"/>
        </w:rPr>
        <w:t>“我国前几年之所以从印度进口上述两种原料药，主要是价格原因。印度环保和人工成</w:t>
      </w:r>
      <w:r>
        <w:rPr>
          <w:spacing w:val="-10"/>
        </w:rPr>
        <w:t>本相对较低，其原料药价格比我国便宜。”一位原料药生产企业高管对记者表示。目前我国</w:t>
      </w:r>
      <w:r>
        <w:rPr>
          <w:spacing w:val="-7"/>
        </w:rPr>
        <w:t>从印度进口原料药品种已超过百种。该高管同时表示，由于印度的中间体基本上是从我国进</w:t>
      </w:r>
      <w:r>
        <w:rPr>
          <w:spacing w:val="-12"/>
        </w:rPr>
        <w:t>口，随着我国环保、人工成本增加，我国中间体价格也出现了上涨，目前印度原料药价格跟</w:t>
      </w:r>
      <w:r>
        <w:rPr/>
        <w:t>国内原料药相比优势不大。</w:t>
      </w:r>
    </w:p>
    <w:p>
      <w:pPr>
        <w:spacing w:after="0" w:line="297" w:lineRule="auto"/>
        <w:jc w:val="both"/>
        <w:sectPr>
          <w:pgSz w:w="11910" w:h="16850"/>
          <w:pgMar w:header="906" w:footer="607" w:top="1100" w:bottom="800" w:left="1040" w:right="860"/>
        </w:sectPr>
      </w:pPr>
    </w:p>
    <w:p>
      <w:pPr>
        <w:pStyle w:val="Heading2"/>
        <w:spacing w:before="13"/>
      </w:pPr>
      <w:bookmarkStart w:name="_TOC_250046" w:id="1"/>
      <w:bookmarkEnd w:id="1"/>
      <w:r>
        <w:rPr/>
        <w:t>【医保动态】</w:t>
      </w:r>
    </w:p>
    <w:p>
      <w:pPr>
        <w:pStyle w:val="BodyText"/>
        <w:spacing w:before="6"/>
        <w:ind w:left="0"/>
        <w:rPr>
          <w:b/>
          <w:sz w:val="18"/>
        </w:rPr>
      </w:pPr>
    </w:p>
    <w:p>
      <w:pPr>
        <w:spacing w:after="0"/>
        <w:rPr>
          <w:sz w:val="18"/>
        </w:rPr>
        <w:sectPr>
          <w:pgSz w:w="11910" w:h="16850"/>
          <w:pgMar w:header="906" w:footer="607" w:top="1100" w:bottom="800" w:left="1040" w:right="860"/>
        </w:sectPr>
      </w:pPr>
    </w:p>
    <w:p>
      <w:pPr>
        <w:pStyle w:val="Heading2"/>
        <w:spacing w:before="55"/>
        <w:ind w:left="3057"/>
      </w:pPr>
      <w:bookmarkStart w:name="_TOC_250045" w:id="2"/>
      <w:bookmarkEnd w:id="2"/>
      <w:r>
        <w:rPr>
          <w:spacing w:val="-2"/>
        </w:rPr>
        <w:t>目录调整回应“动态需求”</w:t>
      </w:r>
    </w:p>
    <w:p>
      <w:pPr>
        <w:pStyle w:val="BodyText"/>
        <w:ind w:left="0"/>
        <w:rPr>
          <w:b/>
        </w:rPr>
      </w:pPr>
      <w:r>
        <w:rPr/>
        <w:br w:type="column"/>
      </w:r>
      <w:r>
        <w:rPr>
          <w:b/>
        </w:rPr>
      </w:r>
    </w:p>
    <w:p>
      <w:pPr>
        <w:pStyle w:val="BodyText"/>
        <w:spacing w:before="10"/>
        <w:ind w:left="0"/>
        <w:rPr>
          <w:b/>
          <w:sz w:val="23"/>
        </w:rPr>
      </w:pPr>
    </w:p>
    <w:p>
      <w:pPr>
        <w:pStyle w:val="Heading4"/>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6911" w:space="40"/>
            <w:col w:w="3059"/>
          </w:cols>
        </w:sectPr>
      </w:pPr>
    </w:p>
    <w:p>
      <w:pPr>
        <w:pStyle w:val="BodyText"/>
        <w:spacing w:line="297" w:lineRule="auto" w:before="96"/>
        <w:ind w:right="267" w:firstLine="480"/>
        <w:jc w:val="both"/>
      </w:pPr>
      <w:r>
        <w:rPr>
          <w:spacing w:val="-8"/>
        </w:rPr>
        <w:t>今年全国两会还没结束，国家医保局便公布了今年医保药品目录调整征求意见稿，距离</w:t>
      </w:r>
      <w:r>
        <w:rPr>
          <w:spacing w:val="-3"/>
        </w:rPr>
        <w:t>国家医保局局长胡静林在两会上的表态，不过 </w:t>
      </w:r>
      <w:r>
        <w:rPr/>
        <w:t>10</w:t>
      </w:r>
      <w:r>
        <w:rPr>
          <w:spacing w:val="-8"/>
        </w:rPr>
        <w:t> 天。动作之快，出乎业界意料。</w:t>
      </w:r>
    </w:p>
    <w:p>
      <w:pPr>
        <w:pStyle w:val="BodyText"/>
        <w:spacing w:line="297" w:lineRule="auto"/>
        <w:ind w:right="267" w:firstLine="480"/>
        <w:jc w:val="both"/>
      </w:pPr>
      <w:r>
        <w:rPr/>
        <w:t>根据征求意见稿内容，此次目录调整将分两次公布结果，6</w:t>
      </w:r>
      <w:r>
        <w:rPr>
          <w:spacing w:val="-8"/>
        </w:rPr>
        <w:t> 月先发布常规目录</w:t>
      </w:r>
      <w:r>
        <w:rPr/>
        <w:t>，9</w:t>
      </w:r>
      <w:r>
        <w:rPr>
          <w:spacing w:val="-20"/>
        </w:rPr>
        <w:t> 月公</w:t>
      </w:r>
      <w:r>
        <w:rPr>
          <w:spacing w:val="-17"/>
        </w:rPr>
        <w:t>布谈判准入目录。征求意见稿引发了各相关利益方的极大关注，医保目录调整预计将成为今</w:t>
      </w:r>
      <w:r>
        <w:rPr/>
        <w:t>年医保工作的重头大戏。</w:t>
      </w:r>
    </w:p>
    <w:p>
      <w:pPr>
        <w:pStyle w:val="BodyText"/>
        <w:spacing w:line="297" w:lineRule="auto"/>
        <w:ind w:right="267" w:firstLine="480"/>
      </w:pPr>
      <w:r>
        <w:rPr/>
        <w:t>首先，本轮调整工作距离上次（2017</w:t>
      </w:r>
      <w:r>
        <w:rPr>
          <w:spacing w:val="-30"/>
        </w:rPr>
        <w:t> 年</w:t>
      </w:r>
      <w:r>
        <w:rPr/>
        <w:t>）</w:t>
      </w:r>
      <w:r>
        <w:rPr>
          <w:spacing w:val="-6"/>
        </w:rPr>
        <w:t>医保药品目录发布时隔 </w:t>
      </w:r>
      <w:r>
        <w:rPr/>
        <w:t>2</w:t>
      </w:r>
      <w:r>
        <w:rPr>
          <w:spacing w:val="-8"/>
        </w:rPr>
        <w:t> 年，在调整时间间</w:t>
      </w:r>
      <w:r>
        <w:rPr>
          <w:spacing w:val="-15"/>
        </w:rPr>
        <w:t>隔上跟历史对比大为缩短，表明了国家医保局对此项工作的高度重视，“根据基金支付能力</w:t>
      </w:r>
      <w:r>
        <w:rPr>
          <w:spacing w:val="-8"/>
        </w:rPr>
        <w:t>适当扩大目录范围，努力实现药品结构更加优化，管理更加规范，医保资金使用效益更高” </w:t>
      </w:r>
      <w:r>
        <w:rPr/>
        <w:t>的用意更明。</w:t>
      </w:r>
    </w:p>
    <w:p>
      <w:pPr>
        <w:pStyle w:val="BodyText"/>
        <w:spacing w:line="297" w:lineRule="auto"/>
        <w:ind w:right="267" w:firstLine="480"/>
        <w:jc w:val="both"/>
      </w:pPr>
      <w:r>
        <w:rPr>
          <w:spacing w:val="-10"/>
        </w:rPr>
        <w:t>其次，相较以往历次医保药品目录调整工作，征求意见稿体现了与民意对接、与临床需求衔接、建设高质量医保体系的迫切感。征求意见稿明确优先考虑调入国家基本药物、癌症</w:t>
      </w:r>
      <w:r>
        <w:rPr>
          <w:spacing w:val="-7"/>
        </w:rPr>
        <w:t>及罕见病等重大疾病治疗用药、慢性病用药、儿童用药、急救抢救用药等，也说明这些药品</w:t>
      </w:r>
      <w:r>
        <w:rPr/>
        <w:t>在当前的目录内供应是不充分的，调整增补将提高相关患者的保障水平。</w:t>
      </w:r>
    </w:p>
    <w:p>
      <w:pPr>
        <w:pStyle w:val="BodyText"/>
        <w:spacing w:line="297" w:lineRule="auto"/>
        <w:ind w:right="267"/>
        <w:jc w:val="both"/>
      </w:pPr>
      <w:r>
        <w:rPr>
          <w:spacing w:val="-11"/>
        </w:rPr>
        <w:t>再次，虽然征求意见稿在“调出”的内容表述上与以往差别不大，但结合医改整体形势及国</w:t>
      </w:r>
      <w:r>
        <w:rPr>
          <w:spacing w:val="-7"/>
        </w:rPr>
        <w:t>家医保局的历次表态，本轮“调出”工作有望落到实处，对低效、无效、医保资金耗费大的</w:t>
      </w:r>
      <w:r>
        <w:rPr>
          <w:spacing w:val="-9"/>
        </w:rPr>
        <w:t>药品“开刀”，进一步明确了有进有出的规矩，对优化目录结构进而提升基金使用效能，将</w:t>
      </w:r>
      <w:r>
        <w:rPr/>
        <w:t>有积极的意义。</w:t>
      </w:r>
    </w:p>
    <w:p>
      <w:pPr>
        <w:pStyle w:val="BodyText"/>
        <w:spacing w:line="297" w:lineRule="auto"/>
        <w:ind w:right="267" w:firstLine="480"/>
        <w:jc w:val="both"/>
      </w:pPr>
      <w:r>
        <w:rPr>
          <w:spacing w:val="-9"/>
        </w:rPr>
        <w:t>国家医保局成立至今，正在致力于从被动的付费方向主动的战略购买方转变，正在梳理</w:t>
      </w:r>
      <w:r>
        <w:rPr>
          <w:spacing w:val="-5"/>
        </w:rPr>
        <w:t>并明确向“谁购买”“购买什么”“怎么购买”等基础性工作。改革措施即是思路进一步完</w:t>
      </w:r>
      <w:r>
        <w:rPr>
          <w:spacing w:val="-12"/>
        </w:rPr>
        <w:t>善的反映，可以预计，作为医保基金购买的“大宗商品”，医保药品目录动态调整机制只是</w:t>
      </w:r>
      <w:r>
        <w:rPr>
          <w:spacing w:val="-21"/>
        </w:rPr>
        <w:t>改革的起点，而非最终目标，今后关于医疗器械、医疗服务乃至健康产出，都会成为医保“议</w:t>
      </w:r>
      <w:r>
        <w:rPr>
          <w:spacing w:val="-10"/>
        </w:rPr>
        <w:t>价”的场地。而“议价”最终的目的，就是花好医保的每一分钱，给参保人员最有效益的保</w:t>
      </w:r>
      <w:r>
        <w:rPr/>
        <w:t>障。</w:t>
      </w:r>
    </w:p>
    <w:p>
      <w:pPr>
        <w:pStyle w:val="BodyText"/>
        <w:spacing w:line="297" w:lineRule="auto"/>
        <w:ind w:right="148" w:firstLine="480"/>
      </w:pPr>
      <w:r>
        <w:rPr/>
        <w:t>此前开展的多轮国家药品谈判、抗癌药专项谈判、“4+7”药品集中招标采购试点等工</w:t>
      </w:r>
      <w:r>
        <w:rPr>
          <w:spacing w:val="-16"/>
        </w:rPr>
        <w:t>作，在锻炼队伍、储备经验的同时，也提升了药物经济学、医疗技术准入评估等领域的发展， </w:t>
      </w:r>
      <w:r>
        <w:rPr>
          <w:spacing w:val="-5"/>
        </w:rPr>
        <w:t>紧凑的节奏也为常态化运行营造了条件。此次征求意见稿是对社会各界意见的初步回应，显</w:t>
      </w:r>
      <w:r>
        <w:rPr>
          <w:spacing w:val="-12"/>
        </w:rPr>
        <w:t>露了冰山一角，更多的改革措施有望在路上，建立动态机制必将会在目录调整的过程中进一</w:t>
      </w:r>
      <w:r>
        <w:rPr>
          <w:spacing w:val="-13"/>
        </w:rPr>
        <w:t>步显露框架。至于如何防止专家在投票过程中被场外利益干扰、如何确保投票结果体现提升</w:t>
      </w:r>
      <w:r>
        <w:rPr>
          <w:spacing w:val="-16"/>
        </w:rPr>
        <w:t>医保基金使用效益的目的、如何将民生对某些药品的“强烈呼吁”落实下来，还需要在实施层面有更规范化、科学化甚至是阳光化的制度安排，仍有待在实施过程中进一步探索完善。</w:t>
      </w:r>
    </w:p>
    <w:p>
      <w:pPr>
        <w:pStyle w:val="BodyText"/>
        <w:spacing w:line="297" w:lineRule="auto"/>
        <w:ind w:right="167" w:firstLine="480"/>
        <w:jc w:val="both"/>
      </w:pPr>
      <w:r>
        <w:rPr>
          <w:spacing w:val="-9"/>
        </w:rPr>
        <w:t>总体而言，征求意见稿在给业界带来“兴奋”的同时，稳中求进的基调比较明显。目录</w:t>
      </w:r>
      <w:r>
        <w:rPr>
          <w:spacing w:val="-13"/>
        </w:rPr>
        <w:t>动态调整意味着调整将是一个常态运行的机制，改变以年为周期、专项式的调整模式，有专</w:t>
      </w:r>
      <w:r>
        <w:rPr>
          <w:spacing w:val="-14"/>
        </w:rPr>
        <w:t>门的人员、机构及制度来确保专业化运行，有科学可靠的遴选、评估工具以支撑调整结果，</w:t>
      </w:r>
    </w:p>
    <w:p>
      <w:pPr>
        <w:spacing w:after="0" w:line="297" w:lineRule="auto"/>
        <w:jc w:val="both"/>
        <w:sectPr>
          <w:type w:val="continuous"/>
          <w:pgSz w:w="11910" w:h="16850"/>
          <w:pgMar w:top="1100" w:bottom="1020" w:left="1040" w:right="860"/>
        </w:sectPr>
      </w:pPr>
    </w:p>
    <w:p>
      <w:pPr>
        <w:pStyle w:val="BodyText"/>
        <w:spacing w:line="295" w:lineRule="auto" w:before="65"/>
        <w:ind w:right="267"/>
      </w:pPr>
      <w:r>
        <w:rPr>
          <w:spacing w:val="-7"/>
        </w:rPr>
        <w:t>能够更敏感地反映民生和临床所需，鼓励药品的研发和生产，促进医药行业的优胜劣汰。对</w:t>
      </w:r>
      <w:r>
        <w:rPr/>
        <w:t>此，社会各界普遍对此给予了极大的期待。</w:t>
      </w:r>
    </w:p>
    <w:p>
      <w:pPr>
        <w:pStyle w:val="Heading1"/>
        <w:spacing w:before="27"/>
        <w:rPr>
          <w:u w:val="none"/>
        </w:rPr>
      </w:pPr>
      <w:bookmarkStart w:name="_TOC_250044" w:id="3"/>
      <w:r>
        <w:rPr>
          <w:rFonts w:ascii="Times New Roman" w:eastAsia="Times New Roman"/>
          <w:color w:val="008000"/>
          <w:spacing w:val="-110"/>
          <w:w w:val="99"/>
          <w:u w:val="thick" w:color="008000"/>
        </w:rPr>
        <w:t> </w:t>
      </w:r>
      <w:bookmarkEnd w:id="3"/>
      <w:r>
        <w:rPr>
          <w:color w:val="008000"/>
          <w:u w:val="thick" w:color="008000"/>
        </w:rPr>
        <w:t>行业资讯</w:t>
      </w:r>
    </w:p>
    <w:p>
      <w:pPr>
        <w:pStyle w:val="Heading2"/>
        <w:spacing w:before="145"/>
      </w:pPr>
      <w:bookmarkStart w:name="_TOC_250043" w:id="4"/>
      <w:bookmarkEnd w:id="4"/>
      <w:r>
        <w:rPr/>
        <w:t>【医院管理】</w:t>
      </w:r>
    </w:p>
    <w:p>
      <w:pPr>
        <w:pStyle w:val="BodyText"/>
        <w:spacing w:before="9"/>
        <w:ind w:left="0"/>
        <w:rPr>
          <w:b/>
          <w:sz w:val="22"/>
        </w:rPr>
      </w:pPr>
    </w:p>
    <w:p>
      <w:pPr>
        <w:pStyle w:val="Heading2"/>
        <w:ind w:left="1691"/>
      </w:pPr>
      <w:bookmarkStart w:name="_TOC_250042" w:id="5"/>
      <w:bookmarkEnd w:id="5"/>
      <w:r>
        <w:rPr/>
        <w:t>中华人民共和国国家卫生健康委员会令 第 3 号</w:t>
      </w:r>
    </w:p>
    <w:p>
      <w:pPr>
        <w:pStyle w:val="Heading4"/>
        <w:spacing w:before="145"/>
        <w:ind w:left="5880"/>
        <w:rPr>
          <w:rFonts w:ascii="楷体" w:eastAsia="楷体" w:hint="eastAsia"/>
        </w:rPr>
      </w:pPr>
      <w:r>
        <w:rPr>
          <w:rFonts w:ascii="楷体" w:eastAsia="楷体" w:hint="eastAsia"/>
          <w:color w:val="FF0000"/>
          <w:w w:val="95"/>
        </w:rPr>
        <w:t>（来源：国家健康卫生委员会网站）</w:t>
      </w:r>
    </w:p>
    <w:p>
      <w:pPr>
        <w:pStyle w:val="BodyText"/>
        <w:spacing w:before="99"/>
        <w:ind w:left="717"/>
      </w:pPr>
      <w:r>
        <w:rPr>
          <w:spacing w:val="-4"/>
        </w:rPr>
        <w:t>《医疗机构投诉管理办法》已于 </w:t>
      </w:r>
      <w:r>
        <w:rPr/>
        <w:t>2019</w:t>
      </w:r>
      <w:r>
        <w:rPr>
          <w:spacing w:val="-40"/>
        </w:rPr>
        <w:t> 年 </w:t>
      </w:r>
      <w:r>
        <w:rPr/>
        <w:t>2</w:t>
      </w:r>
      <w:r>
        <w:rPr>
          <w:spacing w:val="-40"/>
        </w:rPr>
        <w:t> 月 </w:t>
      </w:r>
      <w:r>
        <w:rPr/>
        <w:t>2</w:t>
      </w:r>
      <w:r>
        <w:rPr>
          <w:spacing w:val="-8"/>
        </w:rPr>
        <w:t> 日经国家卫生健康委委主任会议讨论通</w:t>
      </w:r>
    </w:p>
    <w:p>
      <w:pPr>
        <w:pStyle w:val="BodyText"/>
        <w:spacing w:before="72"/>
      </w:pPr>
      <w:r>
        <w:rPr/>
        <w:t>过，现予公布，自 2019 年 4 月 10 日起施行。</w:t>
      </w:r>
    </w:p>
    <w:p>
      <w:pPr>
        <w:pStyle w:val="BodyText"/>
        <w:tabs>
          <w:tab w:pos="2997" w:val="left" w:leader="none"/>
          <w:tab w:pos="4197" w:val="left" w:leader="none"/>
        </w:tabs>
        <w:spacing w:before="71"/>
        <w:ind w:left="2277"/>
      </w:pPr>
      <w:r>
        <w:rPr/>
        <w:t>主任</w:t>
        <w:tab/>
        <w:t>马晓伟</w:t>
        <w:tab/>
        <w:t>2019</w:t>
      </w:r>
      <w:r>
        <w:rPr>
          <w:spacing w:val="-60"/>
        </w:rPr>
        <w:t> </w:t>
      </w:r>
      <w:r>
        <w:rPr/>
        <w:t>年</w:t>
      </w:r>
      <w:r>
        <w:rPr>
          <w:spacing w:val="-60"/>
        </w:rPr>
        <w:t> </w:t>
      </w:r>
      <w:r>
        <w:rPr/>
        <w:t>3</w:t>
      </w:r>
      <w:r>
        <w:rPr>
          <w:spacing w:val="-60"/>
        </w:rPr>
        <w:t> </w:t>
      </w:r>
      <w:r>
        <w:rPr/>
        <w:t>月</w:t>
      </w:r>
      <w:r>
        <w:rPr>
          <w:spacing w:val="-60"/>
        </w:rPr>
        <w:t> </w:t>
      </w:r>
      <w:r>
        <w:rPr/>
        <w:t>6</w:t>
      </w:r>
      <w:r>
        <w:rPr>
          <w:spacing w:val="-60"/>
        </w:rPr>
        <w:t> </w:t>
      </w:r>
      <w:r>
        <w:rPr/>
        <w:t>日</w:t>
      </w:r>
    </w:p>
    <w:p>
      <w:pPr>
        <w:spacing w:before="131"/>
        <w:ind w:left="558" w:right="31" w:firstLine="0"/>
        <w:jc w:val="center"/>
        <w:rPr>
          <w:b/>
          <w:sz w:val="28"/>
        </w:rPr>
      </w:pPr>
      <w:r>
        <w:rPr>
          <w:b/>
          <w:sz w:val="28"/>
        </w:rPr>
        <w:t>医疗机构投诉管理办法</w:t>
      </w:r>
    </w:p>
    <w:p>
      <w:pPr>
        <w:pStyle w:val="Heading4"/>
        <w:tabs>
          <w:tab w:pos="3602" w:val="left" w:leader="none"/>
        </w:tabs>
        <w:spacing w:before="84"/>
        <w:ind w:left="2637"/>
      </w:pPr>
      <w:r>
        <w:rPr/>
        <w:t>第一章</w:t>
        <w:tab/>
        <w:t>总则</w:t>
      </w:r>
    </w:p>
    <w:p>
      <w:pPr>
        <w:pStyle w:val="BodyText"/>
        <w:spacing w:line="297" w:lineRule="auto" w:before="72"/>
        <w:ind w:right="269" w:firstLine="480"/>
        <w:jc w:val="both"/>
      </w:pPr>
      <w:r>
        <w:rPr>
          <w:spacing w:val="-4"/>
        </w:rPr>
        <w:t>第一条 为加强医疗机构投诉管理，规范投诉处理程序，改善医疗服务，保障医疗安全</w:t>
      </w:r>
      <w:r>
        <w:rPr>
          <w:spacing w:val="-7"/>
        </w:rPr>
        <w:t>和医患双方合法权益，维护正常医疗秩序，根据《医疗纠纷预防和处理条例》《医疗机构管理条例》等法律法规的规定，制定本办法。</w:t>
      </w:r>
    </w:p>
    <w:p>
      <w:pPr>
        <w:pStyle w:val="BodyText"/>
        <w:tabs>
          <w:tab w:pos="1677" w:val="left" w:leader="none"/>
        </w:tabs>
        <w:spacing w:line="297" w:lineRule="auto"/>
        <w:ind w:right="165" w:firstLine="480"/>
      </w:pPr>
      <w:r>
        <w:rPr/>
        <w:t>第二条</w:t>
        <w:tab/>
        <w:t>本办法所称投诉管理</w:t>
      </w:r>
      <w:r>
        <w:rPr>
          <w:spacing w:val="-34"/>
        </w:rPr>
        <w:t>，</w:t>
      </w:r>
      <w:r>
        <w:rPr/>
        <w:t>是指患者就医疗服务行为</w:t>
      </w:r>
      <w:r>
        <w:rPr>
          <w:spacing w:val="-34"/>
        </w:rPr>
        <w:t>、</w:t>
      </w:r>
      <w:r>
        <w:rPr/>
        <w:t>医疗管理</w:t>
      </w:r>
      <w:r>
        <w:rPr>
          <w:spacing w:val="-34"/>
        </w:rPr>
        <w:t>、</w:t>
      </w:r>
      <w:r>
        <w:rPr/>
        <w:t>医疗质量安全等方面存在的问题向医疗机构反映情况，提出意见、建议或者投诉请求，医疗机构进行调查</w:t>
      </w:r>
      <w:r>
        <w:rPr>
          <w:spacing w:val="-17"/>
        </w:rPr>
        <w:t>、</w:t>
      </w:r>
      <w:r>
        <w:rPr/>
        <w:t>处理和结果反馈的活动。</w:t>
      </w:r>
    </w:p>
    <w:p>
      <w:pPr>
        <w:pStyle w:val="BodyText"/>
        <w:spacing w:line="304" w:lineRule="exact"/>
        <w:ind w:left="717"/>
      </w:pPr>
      <w:r>
        <w:rPr/>
        <w:t>第三条 本办法适用于各级各类医疗机构的投诉管理。</w:t>
      </w:r>
    </w:p>
    <w:p>
      <w:pPr>
        <w:pStyle w:val="BodyText"/>
        <w:spacing w:before="70"/>
        <w:ind w:left="717"/>
      </w:pPr>
      <w:r>
        <w:rPr/>
        <w:t>第四条 国家卫生健康委负责全国医疗机构投诉管理工作的监督指导。</w:t>
      </w:r>
    </w:p>
    <w:p>
      <w:pPr>
        <w:pStyle w:val="BodyText"/>
        <w:spacing w:line="295" w:lineRule="auto" w:before="72"/>
        <w:ind w:left="717" w:right="150"/>
      </w:pPr>
      <w:r>
        <w:rPr/>
        <w:t>县级以上地方卫生健康主管部门负责本行政区域内医疗机构投诉管理工作的监督指导。</w:t>
      </w:r>
      <w:r>
        <w:rPr>
          <w:spacing w:val="-8"/>
        </w:rPr>
        <w:t>第五条 医疗机构投诉的接待、处理工作应当贯彻“以患者为中心”的理念，遵循合法、</w:t>
      </w:r>
    </w:p>
    <w:p>
      <w:pPr>
        <w:pStyle w:val="BodyText"/>
        <w:spacing w:before="4"/>
      </w:pPr>
      <w:r>
        <w:rPr/>
        <w:t>公正、及时、便民的原则。</w:t>
      </w:r>
    </w:p>
    <w:p>
      <w:pPr>
        <w:pStyle w:val="BodyText"/>
        <w:spacing w:before="73"/>
        <w:ind w:left="717"/>
      </w:pPr>
      <w:r>
        <w:rPr/>
        <w:t>第六条 医疗机构应当按照规定做好信息公开工作，主动接受社会监督。</w:t>
      </w:r>
    </w:p>
    <w:p>
      <w:pPr>
        <w:pStyle w:val="BodyText"/>
        <w:tabs>
          <w:tab w:pos="1677" w:val="left" w:leader="none"/>
        </w:tabs>
        <w:spacing w:line="297" w:lineRule="auto" w:before="71"/>
        <w:ind w:right="269" w:firstLine="480"/>
      </w:pPr>
      <w:r>
        <w:rPr/>
        <w:t>第七条</w:t>
        <w:tab/>
        <w:t>医疗机构应当提高管理水平</w:t>
      </w:r>
      <w:r>
        <w:rPr>
          <w:spacing w:val="-34"/>
        </w:rPr>
        <w:t>，</w:t>
      </w:r>
      <w:r>
        <w:rPr/>
        <w:t>加强医疗风险管理</w:t>
      </w:r>
      <w:r>
        <w:rPr>
          <w:spacing w:val="-34"/>
        </w:rPr>
        <w:t>，</w:t>
      </w:r>
      <w:r>
        <w:rPr/>
        <w:t>优化服务流程</w:t>
      </w:r>
      <w:r>
        <w:rPr>
          <w:spacing w:val="-34"/>
        </w:rPr>
        <w:t>，</w:t>
      </w:r>
      <w:r>
        <w:rPr/>
        <w:t>改善就诊</w:t>
      </w:r>
      <w:r>
        <w:rPr>
          <w:spacing w:val="-18"/>
        </w:rPr>
        <w:t>环</w:t>
      </w:r>
      <w:r>
        <w:rPr/>
        <w:t>境，提高医疗服务质量，防范安全隐患，减少医疗纠纷及投诉。</w:t>
      </w:r>
    </w:p>
    <w:p>
      <w:pPr>
        <w:pStyle w:val="BodyText"/>
        <w:tabs>
          <w:tab w:pos="1677" w:val="left" w:leader="none"/>
        </w:tabs>
        <w:spacing w:line="295" w:lineRule="auto"/>
        <w:ind w:right="269" w:firstLine="480"/>
      </w:pPr>
      <w:r>
        <w:rPr/>
        <w:t>第八条</w:t>
        <w:tab/>
        <w:t>医疗机构应当制订重大医疗纠纷事件应急处置预案</w:t>
      </w:r>
      <w:r>
        <w:rPr>
          <w:spacing w:val="-51"/>
        </w:rPr>
        <w:t>，</w:t>
      </w:r>
      <w:r>
        <w:rPr/>
        <w:t>组织开展相关的宣传</w:t>
      </w:r>
      <w:r>
        <w:rPr>
          <w:spacing w:val="-51"/>
        </w:rPr>
        <w:t>、</w:t>
      </w:r>
      <w:r>
        <w:rPr>
          <w:spacing w:val="-18"/>
        </w:rPr>
        <w:t>培</w:t>
      </w:r>
      <w:r>
        <w:rPr/>
        <w:t>训和演练，确保依法、及时、有效化解矛盾纠纷。</w:t>
      </w:r>
    </w:p>
    <w:p>
      <w:pPr>
        <w:pStyle w:val="BodyText"/>
        <w:spacing w:line="295" w:lineRule="auto" w:before="3"/>
        <w:ind w:right="287" w:firstLine="480"/>
      </w:pPr>
      <w:r>
        <w:rPr/>
        <w:t>第九条 医疗机构应当将投诉管理纳入患者安全管理体系，定期汇总、分析投诉信息， 梳理医疗管理、医疗质量安全的薄弱环节，落实整改措施，持续改进医疗质量安全。</w:t>
      </w:r>
    </w:p>
    <w:p>
      <w:pPr>
        <w:pStyle w:val="BodyText"/>
        <w:tabs>
          <w:tab w:pos="1677" w:val="left" w:leader="none"/>
        </w:tabs>
        <w:spacing w:line="297" w:lineRule="auto" w:before="2"/>
        <w:ind w:right="269" w:firstLine="480"/>
      </w:pPr>
      <w:r>
        <w:rPr/>
        <w:t>第十条</w:t>
        <w:tab/>
        <w:t>医疗机构应当做好医疗机构投诉管理与医疗纠纷人民调解</w:t>
      </w:r>
      <w:r>
        <w:rPr>
          <w:spacing w:val="-51"/>
        </w:rPr>
        <w:t>、</w:t>
      </w:r>
      <w:r>
        <w:rPr/>
        <w:t>行政调解</w:t>
      </w:r>
      <w:r>
        <w:rPr>
          <w:spacing w:val="-51"/>
        </w:rPr>
        <w:t>、</w:t>
      </w:r>
      <w:r>
        <w:rPr/>
        <w:t>诉讼</w:t>
      </w:r>
      <w:r>
        <w:rPr>
          <w:spacing w:val="-18"/>
        </w:rPr>
        <w:t>等</w:t>
      </w:r>
      <w:r>
        <w:rPr/>
        <w:t>的衔接。</w:t>
      </w:r>
    </w:p>
    <w:p>
      <w:pPr>
        <w:pStyle w:val="Heading4"/>
        <w:tabs>
          <w:tab w:pos="1412" w:val="left" w:leader="none"/>
        </w:tabs>
        <w:spacing w:line="306" w:lineRule="exact"/>
        <w:ind w:left="447"/>
        <w:jc w:val="center"/>
      </w:pPr>
      <w:r>
        <w:rPr/>
        <w:t>第二章</w:t>
        <w:tab/>
        <w:t>组织和人员</w:t>
      </w:r>
    </w:p>
    <w:p>
      <w:pPr>
        <w:pStyle w:val="BodyText"/>
        <w:tabs>
          <w:tab w:pos="1917" w:val="left" w:leader="none"/>
        </w:tabs>
        <w:spacing w:before="71"/>
        <w:ind w:left="717"/>
      </w:pPr>
      <w:r>
        <w:rPr/>
        <w:t>第十一条</w:t>
        <w:tab/>
        <w:t>医疗机构主要负责人是医疗机构投诉管理的第一责任人。</w:t>
      </w:r>
    </w:p>
    <w:p>
      <w:pPr>
        <w:spacing w:after="0"/>
        <w:sectPr>
          <w:pgSz w:w="11910" w:h="16850"/>
          <w:pgMar w:header="906" w:footer="607" w:top="1100" w:bottom="800" w:left="1040" w:right="860"/>
        </w:sectPr>
      </w:pPr>
    </w:p>
    <w:p>
      <w:pPr>
        <w:pStyle w:val="BodyText"/>
        <w:spacing w:line="295" w:lineRule="auto" w:before="65"/>
        <w:ind w:right="267" w:firstLine="480"/>
        <w:jc w:val="both"/>
      </w:pPr>
      <w:r>
        <w:rPr>
          <w:spacing w:val="-3"/>
        </w:rPr>
        <w:t>二级以上医疗机构应当设置医患关系办公室或者指定部门</w:t>
      </w:r>
      <w:r>
        <w:rPr/>
        <w:t>（以下统称投诉管理部门</w:t>
      </w:r>
      <w:r>
        <w:rPr>
          <w:spacing w:val="-51"/>
        </w:rPr>
        <w:t>）</w:t>
      </w:r>
      <w:r>
        <w:rPr>
          <w:spacing w:val="-16"/>
        </w:rPr>
        <w:t>统</w:t>
      </w:r>
      <w:r>
        <w:rPr>
          <w:spacing w:val="-5"/>
        </w:rPr>
        <w:t>一承担投诉管理工作。其他医疗机构应当配备专</w:t>
      </w:r>
      <w:r>
        <w:rPr/>
        <w:t>（兼</w:t>
      </w:r>
      <w:r>
        <w:rPr>
          <w:spacing w:val="-27"/>
        </w:rPr>
        <w:t>）</w:t>
      </w:r>
      <w:r>
        <w:rPr>
          <w:spacing w:val="-6"/>
        </w:rPr>
        <w:t>职人员，有条件的也可以设置投诉管</w:t>
      </w:r>
      <w:r>
        <w:rPr/>
        <w:t>理部门。</w:t>
      </w:r>
    </w:p>
    <w:p>
      <w:pPr>
        <w:pStyle w:val="BodyText"/>
        <w:tabs>
          <w:tab w:pos="1917" w:val="left" w:leader="none"/>
        </w:tabs>
        <w:spacing w:line="295" w:lineRule="auto" w:before="5"/>
        <w:ind w:right="269" w:firstLine="480"/>
      </w:pPr>
      <w:r>
        <w:rPr/>
        <w:t>第十二条</w:t>
        <w:tab/>
        <w:t>二级以上医疗机构应当指定一名医疗机构负责人分管投诉工作</w:t>
      </w:r>
      <w:r>
        <w:rPr>
          <w:spacing w:val="-51"/>
        </w:rPr>
        <w:t>，</w:t>
      </w:r>
      <w:r>
        <w:rPr/>
        <w:t>指导</w:t>
      </w:r>
      <w:r>
        <w:rPr>
          <w:spacing w:val="-51"/>
        </w:rPr>
        <w:t>、</w:t>
      </w:r>
      <w:r>
        <w:rPr/>
        <w:t>管</w:t>
      </w:r>
      <w:r>
        <w:rPr>
          <w:spacing w:val="-18"/>
        </w:rPr>
        <w:t>理</w:t>
      </w:r>
      <w:r>
        <w:rPr/>
        <w:t>医疗机构投诉管理部门的有关工作。</w:t>
      </w:r>
    </w:p>
    <w:p>
      <w:pPr>
        <w:pStyle w:val="BodyText"/>
        <w:spacing w:before="2"/>
        <w:ind w:left="717"/>
      </w:pPr>
      <w:r>
        <w:rPr/>
        <w:t>投诉管理部门履行以下职责:</w:t>
      </w:r>
    </w:p>
    <w:p>
      <w:pPr>
        <w:pStyle w:val="BodyText"/>
        <w:spacing w:before="74"/>
        <w:ind w:left="717"/>
      </w:pPr>
      <w:r>
        <w:rPr/>
        <w:t>（一）组织、协调、指导本医疗机构的投诉处理工作；</w:t>
      </w:r>
    </w:p>
    <w:p>
      <w:pPr>
        <w:pStyle w:val="BodyText"/>
        <w:spacing w:before="72"/>
        <w:ind w:left="717"/>
      </w:pPr>
      <w:r>
        <w:rPr/>
        <w:t>（二）统一受理投诉，调查、核实投诉事项，提出处理意见，及时答复患者；</w:t>
      </w:r>
    </w:p>
    <w:p>
      <w:pPr>
        <w:pStyle w:val="BodyText"/>
        <w:spacing w:before="72"/>
        <w:ind w:left="717"/>
      </w:pPr>
      <w:r>
        <w:rPr/>
        <w:t>（三）建立和完善投诉的接待和处置程序；</w:t>
      </w:r>
    </w:p>
    <w:p>
      <w:pPr>
        <w:pStyle w:val="BodyText"/>
        <w:spacing w:before="74"/>
        <w:ind w:left="717"/>
      </w:pPr>
      <w:r>
        <w:rPr/>
        <w:t>（四）参与医疗机构医疗质量安全管理；</w:t>
      </w:r>
    </w:p>
    <w:p>
      <w:pPr>
        <w:pStyle w:val="BodyText"/>
        <w:spacing w:before="72"/>
        <w:ind w:left="717"/>
      </w:pPr>
      <w:r>
        <w:rPr/>
        <w:t>（五）开展医患沟通及投诉处理培训，开展医疗风险防范教育；</w:t>
      </w:r>
    </w:p>
    <w:p>
      <w:pPr>
        <w:pStyle w:val="BodyText"/>
        <w:spacing w:line="297" w:lineRule="auto" w:before="72"/>
        <w:ind w:right="270" w:firstLine="480"/>
      </w:pPr>
      <w:r>
        <w:rPr/>
        <w:t>（六</w:t>
      </w:r>
      <w:r>
        <w:rPr>
          <w:spacing w:val="-27"/>
        </w:rPr>
        <w:t>）</w:t>
      </w:r>
      <w:r>
        <w:rPr>
          <w:spacing w:val="-9"/>
        </w:rPr>
        <w:t>定期汇总、分析投诉信息，提出加强与改进工作的意见或者建议，并加强督促落</w:t>
      </w:r>
      <w:r>
        <w:rPr/>
        <w:t>实。</w:t>
      </w:r>
    </w:p>
    <w:p>
      <w:pPr>
        <w:pStyle w:val="BodyText"/>
        <w:spacing w:line="295" w:lineRule="auto"/>
        <w:ind w:right="270" w:firstLine="480"/>
      </w:pPr>
      <w:r>
        <w:rPr>
          <w:spacing w:val="-4"/>
        </w:rPr>
        <w:t>仅配备投诉专</w:t>
      </w:r>
      <w:r>
        <w:rPr/>
        <w:t>（兼</w:t>
      </w:r>
      <w:r>
        <w:rPr>
          <w:spacing w:val="-22"/>
        </w:rPr>
        <w:t>）</w:t>
      </w:r>
      <w:r>
        <w:rPr>
          <w:spacing w:val="-5"/>
        </w:rPr>
        <w:t>职人员的医疗机构，投诉专</w:t>
      </w:r>
      <w:r>
        <w:rPr/>
        <w:t>（兼</w:t>
      </w:r>
      <w:r>
        <w:rPr>
          <w:spacing w:val="-22"/>
        </w:rPr>
        <w:t>）</w:t>
      </w:r>
      <w:r>
        <w:rPr>
          <w:spacing w:val="-2"/>
        </w:rPr>
        <w:t>职人员应当至少承担前款第二项</w:t>
      </w:r>
      <w:r>
        <w:rPr/>
        <w:t>职责。</w:t>
      </w:r>
    </w:p>
    <w:p>
      <w:pPr>
        <w:pStyle w:val="BodyText"/>
        <w:tabs>
          <w:tab w:pos="1917" w:val="left" w:leader="none"/>
        </w:tabs>
        <w:spacing w:before="2"/>
        <w:ind w:left="717"/>
      </w:pPr>
      <w:r>
        <w:rPr/>
        <w:t>第十三条</w:t>
        <w:tab/>
        <w:t>医疗机构投诉管理人员应当具备以下条件：</w:t>
      </w:r>
    </w:p>
    <w:p>
      <w:pPr>
        <w:pStyle w:val="BodyText"/>
        <w:spacing w:before="72"/>
        <w:ind w:left="717"/>
      </w:pPr>
      <w:r>
        <w:rPr/>
        <w:t>（一）具备良好的职业道德和工作责任心；</w:t>
      </w:r>
    </w:p>
    <w:p>
      <w:pPr>
        <w:pStyle w:val="BodyText"/>
        <w:spacing w:line="297" w:lineRule="auto" w:before="72"/>
        <w:ind w:right="267" w:firstLine="480"/>
      </w:pPr>
      <w:r>
        <w:rPr/>
        <w:t>（二</w:t>
      </w:r>
      <w:r>
        <w:rPr>
          <w:spacing w:val="-15"/>
        </w:rPr>
        <w:t>）</w:t>
      </w:r>
      <w:r>
        <w:rPr>
          <w:spacing w:val="-9"/>
        </w:rPr>
        <w:t>具备一定的医学、管理学、法学、心理学、伦理学、社会工作等学科知识，熟悉</w:t>
      </w:r>
      <w:r>
        <w:rPr/>
        <w:t>医疗和投诉管理相关法律法规，以及医疗机构规章制度；</w:t>
      </w:r>
    </w:p>
    <w:p>
      <w:pPr>
        <w:pStyle w:val="BodyText"/>
        <w:spacing w:line="295" w:lineRule="auto"/>
        <w:ind w:right="267" w:firstLine="480"/>
      </w:pPr>
      <w:r>
        <w:rPr/>
        <w:t>（三</w:t>
      </w:r>
      <w:r>
        <w:rPr>
          <w:spacing w:val="-34"/>
        </w:rPr>
        <w:t>）</w:t>
      </w:r>
      <w:r>
        <w:rPr>
          <w:spacing w:val="-7"/>
        </w:rPr>
        <w:t>社会适应能力较强，具有良好的社会人际交往能力，具备良好的沟通能力和应变</w:t>
      </w:r>
      <w:r>
        <w:rPr/>
        <w:t>能力。</w:t>
      </w:r>
    </w:p>
    <w:p>
      <w:pPr>
        <w:pStyle w:val="BodyText"/>
        <w:tabs>
          <w:tab w:pos="1917" w:val="left" w:leader="none"/>
        </w:tabs>
        <w:spacing w:line="295" w:lineRule="auto" w:before="3"/>
        <w:ind w:right="270" w:firstLine="480"/>
      </w:pPr>
      <w:r>
        <w:rPr/>
        <w:t>第十四条</w:t>
        <w:tab/>
        <w:t>二级以上医疗机构应当建立医疗机构</w:t>
      </w:r>
      <w:r>
        <w:rPr>
          <w:spacing w:val="-51"/>
        </w:rPr>
        <w:t>、</w:t>
      </w:r>
      <w:r>
        <w:rPr/>
        <w:t>投诉管理部门</w:t>
      </w:r>
      <w:r>
        <w:rPr>
          <w:spacing w:val="-51"/>
        </w:rPr>
        <w:t>、</w:t>
      </w:r>
      <w:r>
        <w:rPr>
          <w:spacing w:val="-3"/>
        </w:rPr>
        <w:t>科</w:t>
      </w:r>
      <w:r>
        <w:rPr/>
        <w:t>室三级投诉管理</w:t>
      </w:r>
      <w:r>
        <w:rPr>
          <w:spacing w:val="-16"/>
        </w:rPr>
        <w:t>机</w:t>
      </w:r>
      <w:r>
        <w:rPr/>
        <w:t>制，医疗机构各部门、各科室应当指定至少</w:t>
      </w:r>
      <w:r>
        <w:rPr>
          <w:spacing w:val="-60"/>
        </w:rPr>
        <w:t> </w:t>
      </w:r>
      <w:r>
        <w:rPr/>
        <w:t>1</w:t>
      </w:r>
      <w:r>
        <w:rPr>
          <w:spacing w:val="-60"/>
        </w:rPr>
        <w:t> </w:t>
      </w:r>
      <w:r>
        <w:rPr/>
        <w:t>名负责人配合做好投诉管理工作。</w:t>
      </w:r>
    </w:p>
    <w:p>
      <w:pPr>
        <w:pStyle w:val="BodyText"/>
        <w:spacing w:line="297" w:lineRule="auto" w:before="2"/>
        <w:ind w:right="167" w:firstLine="480"/>
      </w:pPr>
      <w:r>
        <w:rPr/>
        <w:t>医疗机构各部门、各科室应当定期对投诉涉及的风险进行评估，对投诉隐患进行摸排， 对高发隐患提出针对性的防范措施，加强与患者沟通，及时做好矛盾纠纷排查化解工作。</w:t>
      </w:r>
    </w:p>
    <w:p>
      <w:pPr>
        <w:pStyle w:val="BodyText"/>
        <w:spacing w:line="295" w:lineRule="auto"/>
        <w:ind w:right="270" w:firstLine="480"/>
      </w:pPr>
      <w:r>
        <w:rPr>
          <w:spacing w:val="-6"/>
        </w:rPr>
        <w:t>医疗机构应当鼓励工作人员主动收集患者对医疗服务、医疗质量安全等方面的意见和建</w:t>
      </w:r>
      <w:r>
        <w:rPr/>
        <w:t>议，通过规定途径向投诉管理部门或者有关职能部门反映。</w:t>
      </w:r>
    </w:p>
    <w:p>
      <w:pPr>
        <w:pStyle w:val="BodyText"/>
        <w:tabs>
          <w:tab w:pos="1917" w:val="left" w:leader="none"/>
        </w:tabs>
        <w:spacing w:line="295" w:lineRule="auto" w:before="3"/>
        <w:ind w:right="270" w:firstLine="480"/>
      </w:pPr>
      <w:r>
        <w:rPr/>
        <w:t>第十五条</w:t>
        <w:tab/>
        <w:t>二级以上医疗机构应当健全投诉管理部门与临床</w:t>
      </w:r>
      <w:r>
        <w:rPr>
          <w:spacing w:val="-34"/>
        </w:rPr>
        <w:t>、</w:t>
      </w:r>
      <w:r>
        <w:rPr/>
        <w:t>护理</w:t>
      </w:r>
      <w:r>
        <w:rPr>
          <w:spacing w:val="-36"/>
        </w:rPr>
        <w:t>、</w:t>
      </w:r>
      <w:r>
        <w:rPr/>
        <w:t>医技和后勤</w:t>
      </w:r>
      <w:r>
        <w:rPr>
          <w:spacing w:val="-34"/>
        </w:rPr>
        <w:t>、</w:t>
      </w:r>
      <w:r>
        <w:rPr/>
        <w:t>保</w:t>
      </w:r>
      <w:r>
        <w:rPr>
          <w:spacing w:val="-17"/>
        </w:rPr>
        <w:t>卫</w:t>
      </w:r>
      <w:r>
        <w:rPr/>
        <w:t>等部门的联动机制，提高医疗质量，保障医疗安全，维护正常医疗秩序。</w:t>
      </w:r>
    </w:p>
    <w:p>
      <w:pPr>
        <w:pStyle w:val="BodyText"/>
        <w:tabs>
          <w:tab w:pos="1917" w:val="left" w:leader="none"/>
        </w:tabs>
        <w:spacing w:line="297" w:lineRule="auto" w:before="2"/>
        <w:ind w:right="269" w:firstLine="480"/>
      </w:pPr>
      <w:r>
        <w:rPr/>
        <w:t>第十六条</w:t>
        <w:tab/>
        <w:t>医疗机构应当逐步建立健全相关机制</w:t>
      </w:r>
      <w:r>
        <w:rPr>
          <w:spacing w:val="-51"/>
        </w:rPr>
        <w:t>，</w:t>
      </w:r>
      <w:r>
        <w:rPr/>
        <w:t>鼓励和吸纳社会工作者</w:t>
      </w:r>
      <w:r>
        <w:rPr>
          <w:spacing w:val="-51"/>
        </w:rPr>
        <w:t>、</w:t>
      </w:r>
      <w:r>
        <w:rPr/>
        <w:t>志愿者等</w:t>
      </w:r>
      <w:r>
        <w:rPr>
          <w:spacing w:val="-18"/>
        </w:rPr>
        <w:t>熟</w:t>
      </w:r>
      <w:r>
        <w:rPr/>
        <w:t>悉医学、法律专业知识的人员或者第三方组织参与医疗机构投诉接待与处理工作。</w:t>
      </w:r>
    </w:p>
    <w:p>
      <w:pPr>
        <w:pStyle w:val="Heading4"/>
        <w:tabs>
          <w:tab w:pos="5227" w:val="left" w:leader="none"/>
        </w:tabs>
        <w:spacing w:line="306" w:lineRule="exact"/>
        <w:ind w:left="4262"/>
      </w:pPr>
      <w:r>
        <w:rPr/>
        <w:t>第三章</w:t>
        <w:tab/>
        <w:t>医患沟通</w:t>
      </w:r>
    </w:p>
    <w:p>
      <w:pPr>
        <w:pStyle w:val="BodyText"/>
        <w:tabs>
          <w:tab w:pos="1917" w:val="left" w:leader="none"/>
        </w:tabs>
        <w:spacing w:line="297" w:lineRule="auto" w:before="71"/>
        <w:ind w:right="269" w:firstLine="480"/>
      </w:pPr>
      <w:r>
        <w:rPr/>
        <w:t>第十七条</w:t>
        <w:tab/>
        <w:t>医疗机构应当提高医务人员职业道德水平</w:t>
      </w:r>
      <w:r>
        <w:rPr>
          <w:spacing w:val="-51"/>
        </w:rPr>
        <w:t>，</w:t>
      </w:r>
      <w:r>
        <w:rPr/>
        <w:t>增强服务意识和法律意识</w:t>
      </w:r>
      <w:r>
        <w:rPr>
          <w:spacing w:val="-51"/>
        </w:rPr>
        <w:t>，</w:t>
      </w:r>
      <w:r>
        <w:rPr/>
        <w:t>注</w:t>
      </w:r>
      <w:r>
        <w:rPr>
          <w:spacing w:val="-18"/>
        </w:rPr>
        <w:t>重</w:t>
      </w:r>
      <w:r>
        <w:rPr/>
        <w:t>人文关怀，加强医患沟通，努力构建和谐医患关系。</w:t>
      </w:r>
    </w:p>
    <w:p>
      <w:pPr>
        <w:pStyle w:val="BodyText"/>
        <w:spacing w:line="295" w:lineRule="auto"/>
        <w:ind w:right="287" w:firstLine="480"/>
      </w:pPr>
      <w:r>
        <w:rPr/>
        <w:t>第十八条 医务人员应当恪守职业道德，以患者为中心，热情、耐心、细致地做好本职工作，把对患者的尊重、理解和关怀体现在医疗服务全过程。</w:t>
      </w:r>
    </w:p>
    <w:p>
      <w:pPr>
        <w:pStyle w:val="BodyText"/>
        <w:spacing w:line="295" w:lineRule="auto" w:before="3"/>
        <w:ind w:right="286" w:firstLine="480"/>
      </w:pPr>
      <w:r>
        <w:rPr/>
        <w:t>第十九条 医疗机构应当建立健全医患沟通机制，完善医患沟通内容，加强对医务人员医患沟通技巧的培训，提高医患沟通能力。</w:t>
      </w:r>
    </w:p>
    <w:p>
      <w:pPr>
        <w:spacing w:after="0" w:line="295" w:lineRule="auto"/>
        <w:sectPr>
          <w:pgSz w:w="11910" w:h="16850"/>
          <w:pgMar w:header="906" w:footer="607" w:top="1100" w:bottom="800" w:left="1040" w:right="860"/>
        </w:sectPr>
      </w:pPr>
    </w:p>
    <w:p>
      <w:pPr>
        <w:pStyle w:val="BodyText"/>
        <w:spacing w:line="295" w:lineRule="auto" w:before="65"/>
        <w:ind w:right="167" w:firstLine="480"/>
      </w:pPr>
      <w:r>
        <w:rPr>
          <w:spacing w:val="-5"/>
        </w:rPr>
        <w:t>医务人员对患者在诊疗过程中提出的咨询、意见和建议，应当耐心解释、说明，并按照</w:t>
      </w:r>
      <w:r>
        <w:rPr>
          <w:spacing w:val="-6"/>
        </w:rPr>
        <w:t>规定进行处理；对患者就诊疗行为提出的疑问，应当及时予以核实、自查，并与患者沟通， </w:t>
      </w:r>
      <w:r>
        <w:rPr/>
        <w:t>如实说明情况。</w:t>
      </w:r>
    </w:p>
    <w:p>
      <w:pPr>
        <w:pStyle w:val="BodyText"/>
        <w:spacing w:line="295" w:lineRule="auto" w:before="5"/>
        <w:ind w:right="287" w:firstLine="480"/>
      </w:pPr>
      <w:r>
        <w:rPr/>
        <w:t>第二十条 医务人员应当尊重患者依法享有的隐私权、知情权、选择权等权利，根据患者病情、预后不同以及患者实际需求，突出重点，采取适当方式进行沟通。</w:t>
      </w:r>
    </w:p>
    <w:p>
      <w:pPr>
        <w:pStyle w:val="BodyText"/>
        <w:spacing w:line="297" w:lineRule="auto" w:before="2"/>
        <w:ind w:right="270" w:firstLine="480"/>
      </w:pPr>
      <w:r>
        <w:rPr>
          <w:spacing w:val="-6"/>
        </w:rPr>
        <w:t>医患沟通中有关诊疗情况的重要内容应当及时、完整、准确记入病历，并由患者签字确</w:t>
      </w:r>
      <w:r>
        <w:rPr/>
        <w:t>认。</w:t>
      </w:r>
    </w:p>
    <w:p>
      <w:pPr>
        <w:pStyle w:val="BodyText"/>
        <w:spacing w:line="295" w:lineRule="auto"/>
        <w:ind w:right="286" w:firstLine="480"/>
      </w:pPr>
      <w:r>
        <w:rPr/>
        <w:t>第二十一条 医疗机构可以结合实际情况，制定医疗风险告知和术前谈话制度，规范具体流程，以患者易懂的方式和语言充分告知患者，并取得其书面同意。</w:t>
      </w:r>
    </w:p>
    <w:p>
      <w:pPr>
        <w:pStyle w:val="Heading4"/>
        <w:tabs>
          <w:tab w:pos="4867" w:val="left" w:leader="none"/>
        </w:tabs>
        <w:spacing w:before="3"/>
        <w:ind w:left="3902"/>
      </w:pPr>
      <w:r>
        <w:rPr/>
        <w:t>第四章</w:t>
        <w:tab/>
        <w:t>投诉接待与处理</w:t>
      </w:r>
    </w:p>
    <w:p>
      <w:pPr>
        <w:pStyle w:val="BodyText"/>
        <w:tabs>
          <w:tab w:pos="2157" w:val="left" w:leader="none"/>
        </w:tabs>
        <w:spacing w:line="295" w:lineRule="auto" w:before="72"/>
        <w:ind w:right="269" w:firstLine="480"/>
      </w:pPr>
      <w:r>
        <w:rPr/>
        <w:t>第二十二条</w:t>
        <w:tab/>
        <w:t>医疗机构应当建立畅通</w:t>
      </w:r>
      <w:r>
        <w:rPr>
          <w:spacing w:val="-51"/>
        </w:rPr>
        <w:t>、</w:t>
      </w:r>
      <w:r>
        <w:rPr/>
        <w:t>便捷的投诉渠道</w:t>
      </w:r>
      <w:r>
        <w:rPr>
          <w:spacing w:val="-51"/>
        </w:rPr>
        <w:t>，</w:t>
      </w:r>
      <w:r>
        <w:rPr/>
        <w:t>在医疗机构显著位置公布投</w:t>
      </w:r>
      <w:r>
        <w:rPr>
          <w:spacing w:val="-18"/>
        </w:rPr>
        <w:t>诉</w:t>
      </w:r>
      <w:r>
        <w:rPr/>
        <w:t>处理程序、地点、接待时间和联系方式。</w:t>
      </w:r>
    </w:p>
    <w:p>
      <w:pPr>
        <w:pStyle w:val="BodyText"/>
        <w:spacing w:before="4"/>
        <w:ind w:left="717"/>
      </w:pPr>
      <w:r>
        <w:rPr/>
        <w:t>鼓励医疗机构加强舆情监测，及时掌握患者在其他渠道的诉求。</w:t>
      </w:r>
    </w:p>
    <w:p>
      <w:pPr>
        <w:pStyle w:val="BodyText"/>
        <w:tabs>
          <w:tab w:pos="2157" w:val="left" w:leader="none"/>
        </w:tabs>
        <w:spacing w:line="295" w:lineRule="auto" w:before="72"/>
        <w:ind w:right="269" w:firstLine="480"/>
      </w:pPr>
      <w:r>
        <w:rPr/>
        <w:t>第二十三条</w:t>
        <w:tab/>
        <w:t>医疗机构应当设置专门的投诉接待场所</w:t>
      </w:r>
      <w:r>
        <w:rPr>
          <w:spacing w:val="-51"/>
        </w:rPr>
        <w:t>，</w:t>
      </w:r>
      <w:r>
        <w:rPr/>
        <w:t>接待场所应当提供有关法律</w:t>
      </w:r>
      <w:r>
        <w:rPr>
          <w:spacing w:val="-51"/>
        </w:rPr>
        <w:t>、</w:t>
      </w:r>
      <w:r>
        <w:rPr>
          <w:spacing w:val="-18"/>
        </w:rPr>
        <w:t>法</w:t>
      </w:r>
      <w:r>
        <w:rPr/>
        <w:t>规、投诉程序等资料，便于患者查询。</w:t>
      </w:r>
    </w:p>
    <w:p>
      <w:pPr>
        <w:pStyle w:val="BodyText"/>
        <w:spacing w:before="4"/>
        <w:ind w:left="717"/>
      </w:pPr>
      <w:r>
        <w:rPr/>
        <w:t>医疗机构应当采取措施，保障投诉管理工作人员的合法权益与人身安全。</w:t>
      </w:r>
    </w:p>
    <w:p>
      <w:pPr>
        <w:pStyle w:val="BodyText"/>
        <w:spacing w:line="297" w:lineRule="auto" w:before="72"/>
        <w:ind w:right="267" w:firstLine="480"/>
        <w:jc w:val="both"/>
      </w:pPr>
      <w:r>
        <w:rPr>
          <w:spacing w:val="-4"/>
        </w:rPr>
        <w:t>第二十四条 医疗机构投诉实行“首诉负责制”，患者向有关部门、科室投诉的，接待</w:t>
      </w:r>
      <w:r>
        <w:rPr>
          <w:spacing w:val="-11"/>
        </w:rPr>
        <w:t>投诉的部门、科室工作人员应当热情接待，对于能够当场协调处理的，应当尽量当场协调解</w:t>
      </w:r>
      <w:r>
        <w:rPr>
          <w:spacing w:val="-20"/>
        </w:rPr>
        <w:t>决；对于无法当场协调处理的，接待的部门或者科室应当主动将患者引导到投诉管理部门</w:t>
      </w:r>
      <w:r>
        <w:rPr/>
        <w:t>（含投诉管理专（兼）职人员，下同），不得推诿、搪塞。</w:t>
      </w:r>
    </w:p>
    <w:p>
      <w:pPr>
        <w:pStyle w:val="BodyText"/>
        <w:tabs>
          <w:tab w:pos="2157" w:val="left" w:leader="none"/>
        </w:tabs>
        <w:spacing w:line="297" w:lineRule="auto"/>
        <w:ind w:right="269" w:firstLine="480"/>
      </w:pPr>
      <w:r>
        <w:rPr/>
        <w:t>第二十五条</w:t>
        <w:tab/>
        <w:t>投诉接待人员应当认真听取患者意见</w:t>
      </w:r>
      <w:r>
        <w:rPr>
          <w:spacing w:val="-51"/>
        </w:rPr>
        <w:t>，</w:t>
      </w:r>
      <w:r>
        <w:rPr/>
        <w:t>耐心细致地做好解释工作</w:t>
      </w:r>
      <w:r>
        <w:rPr>
          <w:spacing w:val="-51"/>
        </w:rPr>
        <w:t>，</w:t>
      </w:r>
      <w:r>
        <w:rPr/>
        <w:t>避免</w:t>
      </w:r>
      <w:r>
        <w:rPr>
          <w:spacing w:val="-18"/>
        </w:rPr>
        <w:t>矛</w:t>
      </w:r>
      <w:r>
        <w:rPr/>
        <w:t>盾激化；应当核实相关信息，如实记录患者反映的情况，及时留存书面投诉材料。</w:t>
      </w:r>
    </w:p>
    <w:p>
      <w:pPr>
        <w:pStyle w:val="BodyText"/>
        <w:spacing w:line="297" w:lineRule="auto"/>
        <w:ind w:right="167" w:firstLine="480"/>
      </w:pPr>
      <w:r>
        <w:rPr/>
        <w:t>第二十六条 患者应当依法文明表达意见和要求，向医疗机构投诉管理部门提供真实、准确的投诉相关资料，配合医疗机构投诉管理部门的调查和询问，不得扰乱正常医疗秩序， 不得有违法犯罪行为。</w:t>
      </w:r>
    </w:p>
    <w:p>
      <w:pPr>
        <w:pStyle w:val="BodyText"/>
        <w:spacing w:line="295" w:lineRule="auto"/>
        <w:ind w:left="717" w:right="287"/>
      </w:pPr>
      <w:r>
        <w:rPr>
          <w:spacing w:val="-2"/>
        </w:rPr>
        <w:t>单次投诉人员数量原则上不超过 </w:t>
      </w:r>
      <w:r>
        <w:rPr/>
        <w:t>5</w:t>
      </w:r>
      <w:r>
        <w:rPr>
          <w:spacing w:val="-11"/>
        </w:rPr>
        <w:t> 人。超过 </w:t>
      </w:r>
      <w:r>
        <w:rPr/>
        <w:t>5</w:t>
      </w:r>
      <w:r>
        <w:rPr>
          <w:spacing w:val="-6"/>
        </w:rPr>
        <w:t> 人的，应当推选代表集中反映诉求。</w:t>
      </w:r>
      <w:r>
        <w:rPr>
          <w:spacing w:val="-7"/>
        </w:rPr>
        <w:t>第二十七条 投诉接待人员在接待场所发现患者有自杀、自残和其他过激行为，或者侮</w:t>
      </w:r>
    </w:p>
    <w:p>
      <w:pPr>
        <w:pStyle w:val="BodyText"/>
        <w:spacing w:line="295" w:lineRule="auto"/>
        <w:ind w:right="147"/>
      </w:pPr>
      <w:r>
        <w:rPr>
          <w:spacing w:val="-17"/>
        </w:rPr>
        <w:t>辱、殴打、威胁投诉接待人员的行为，应当及时采取控制和防范措施，同时向公安机关报警， </w:t>
      </w:r>
      <w:r>
        <w:rPr>
          <w:spacing w:val="-5"/>
        </w:rPr>
        <w:t>并向当地卫生健康主管部门报告；对接待过程中发现的可能激化矛盾，引起治安案件、刑事案件的投诉，应当及时向当地公安机关报告，依法处理。</w:t>
      </w:r>
    </w:p>
    <w:p>
      <w:pPr>
        <w:pStyle w:val="BodyText"/>
        <w:spacing w:line="295" w:lineRule="auto"/>
        <w:ind w:right="269" w:firstLine="480"/>
        <w:jc w:val="both"/>
      </w:pPr>
      <w:r>
        <w:rPr>
          <w:spacing w:val="-4"/>
        </w:rPr>
        <w:t>第二十八条 医疗机构投诉管理部门接到投诉或者卫生健康主管部门交办的投诉后，应</w:t>
      </w:r>
      <w:r>
        <w:rPr>
          <w:spacing w:val="-9"/>
        </w:rPr>
        <w:t>当及时向当事部门、科室和相关人员了解、核实情况，在查清事实、分清责任的基础上提出</w:t>
      </w:r>
      <w:r>
        <w:rPr/>
        <w:t>处理意见，并反馈患者。</w:t>
      </w:r>
    </w:p>
    <w:p>
      <w:pPr>
        <w:pStyle w:val="BodyText"/>
        <w:spacing w:line="295" w:lineRule="auto" w:before="5"/>
        <w:ind w:right="147" w:firstLine="480"/>
      </w:pPr>
      <w:r>
        <w:rPr>
          <w:spacing w:val="-15"/>
        </w:rPr>
        <w:t>投诉涉及的部门、科室和相关人员应当积极配合投诉管理部门开展投诉事项调查、核实、</w:t>
      </w:r>
      <w:r>
        <w:rPr/>
        <w:t>处理工作。</w:t>
      </w:r>
    </w:p>
    <w:p>
      <w:pPr>
        <w:pStyle w:val="BodyText"/>
        <w:spacing w:line="297" w:lineRule="auto" w:before="2"/>
        <w:ind w:right="267" w:firstLine="480"/>
        <w:jc w:val="both"/>
      </w:pPr>
      <w:r>
        <w:rPr>
          <w:spacing w:val="-6"/>
        </w:rPr>
        <w:t>第二十九条 对反复接到相同或者相似问题的投诉，医疗机构投诉管理部门应当汇总并</w:t>
      </w:r>
      <w:r>
        <w:rPr>
          <w:spacing w:val="-9"/>
        </w:rPr>
        <w:t>报告医疗机构负责人，医疗机构对有关投诉可视情予以合并调查，对发现的引发投诉的环节</w:t>
      </w:r>
      <w:r>
        <w:rPr/>
        <w:t>或者多次引发投诉的医务人员应当根据调查结果，及时予以相应处理。</w:t>
      </w:r>
    </w:p>
    <w:p>
      <w:pPr>
        <w:spacing w:after="0" w:line="297" w:lineRule="auto"/>
        <w:jc w:val="both"/>
        <w:sectPr>
          <w:pgSz w:w="11910" w:h="16850"/>
          <w:pgMar w:header="906" w:footer="607" w:top="1100" w:bottom="800" w:left="1040" w:right="860"/>
        </w:sectPr>
      </w:pPr>
    </w:p>
    <w:p>
      <w:pPr>
        <w:pStyle w:val="BodyText"/>
        <w:tabs>
          <w:tab w:pos="1917" w:val="left" w:leader="none"/>
          <w:tab w:pos="4557" w:val="left" w:leader="none"/>
        </w:tabs>
        <w:spacing w:line="295" w:lineRule="auto" w:before="65"/>
        <w:ind w:right="268" w:firstLine="480"/>
      </w:pPr>
      <w:r>
        <w:rPr/>
        <w:t>第三十条</w:t>
        <w:tab/>
        <w:t>医疗机构投诉管理部门应当及时处理投诉</w:t>
      </w:r>
      <w:r>
        <w:rPr>
          <w:spacing w:val="-51"/>
        </w:rPr>
        <w:t>，</w:t>
      </w:r>
      <w:r>
        <w:rPr/>
        <w:t>能够当场核查处理的</w:t>
      </w:r>
      <w:r>
        <w:rPr>
          <w:spacing w:val="-51"/>
        </w:rPr>
        <w:t>，</w:t>
      </w:r>
      <w:r>
        <w:rPr/>
        <w:t>应当及</w:t>
      </w:r>
      <w:r>
        <w:rPr>
          <w:spacing w:val="-18"/>
        </w:rPr>
        <w:t>时</w:t>
      </w:r>
      <w:r>
        <w:rPr/>
        <w:t>查明情况；确有差错的，立即纠正，并</w:t>
        <w:tab/>
        <w:t>当场向患者告知（或出具）处理意见。</w:t>
      </w:r>
    </w:p>
    <w:p>
      <w:pPr>
        <w:pStyle w:val="BodyText"/>
        <w:spacing w:line="297" w:lineRule="auto" w:before="2"/>
        <w:ind w:right="267" w:firstLine="480"/>
      </w:pPr>
      <w:r>
        <w:rPr>
          <w:spacing w:val="-8"/>
        </w:rPr>
        <w:t>涉及医疗质量安全、可能危及患者健康的，应当立即采取积极措施，避免或者减轻对患</w:t>
      </w:r>
      <w:r>
        <w:rPr/>
        <w:t>者身体健康的损害，防止损害扩大。</w:t>
      </w:r>
    </w:p>
    <w:p>
      <w:pPr>
        <w:pStyle w:val="BodyText"/>
        <w:spacing w:line="295" w:lineRule="auto"/>
        <w:ind w:right="269" w:firstLine="480"/>
      </w:pPr>
      <w:r>
        <w:rPr>
          <w:spacing w:val="-13"/>
        </w:rPr>
        <w:t>情况较复杂，需调查、核实的，一般应当于接到投诉之日起 </w:t>
      </w:r>
      <w:r>
        <w:rPr/>
        <w:t>5</w:t>
      </w:r>
      <w:r>
        <w:rPr>
          <w:spacing w:val="-9"/>
        </w:rPr>
        <w:t> 个工作日内向患者反馈相</w:t>
      </w:r>
      <w:r>
        <w:rPr/>
        <w:t>关处理情况或者处理意见。</w:t>
      </w:r>
    </w:p>
    <w:p>
      <w:pPr>
        <w:pStyle w:val="BodyText"/>
        <w:spacing w:line="295" w:lineRule="auto" w:before="2"/>
        <w:ind w:right="285" w:firstLine="480"/>
      </w:pPr>
      <w:r>
        <w:rPr>
          <w:spacing w:val="-2"/>
        </w:rPr>
        <w:t>涉及多个科室，需组织、协调相关部门共同研究的，应当于接到投诉之日起 </w:t>
      </w:r>
      <w:r>
        <w:rPr/>
        <w:t>10</w:t>
      </w:r>
      <w:r>
        <w:rPr>
          <w:spacing w:val="-20"/>
        </w:rPr>
        <w:t> 个工作</w:t>
      </w:r>
      <w:r>
        <w:rPr/>
        <w:t>日内向患者反馈处理情况或者处理意见。</w:t>
      </w:r>
    </w:p>
    <w:p>
      <w:pPr>
        <w:pStyle w:val="BodyText"/>
        <w:tabs>
          <w:tab w:pos="2157" w:val="left" w:leader="none"/>
        </w:tabs>
        <w:spacing w:line="297" w:lineRule="auto" w:before="2"/>
        <w:ind w:right="270" w:firstLine="480"/>
      </w:pPr>
      <w:r>
        <w:rPr/>
        <w:t>第三十一条</w:t>
        <w:tab/>
        <w:t>对投诉已经处理完毕</w:t>
      </w:r>
      <w:r>
        <w:rPr>
          <w:spacing w:val="-104"/>
        </w:rPr>
        <w:t>，</w:t>
      </w:r>
      <w:r>
        <w:rPr/>
        <w:t>患者对医疗机构的处理意见有争议并能够提供新</w:t>
      </w:r>
      <w:r>
        <w:rPr>
          <w:spacing w:val="-17"/>
        </w:rPr>
        <w:t>情</w:t>
      </w:r>
      <w:r>
        <w:rPr/>
        <w:t>况和证据材料的，按照投诉流程重新予以处理。</w:t>
      </w:r>
    </w:p>
    <w:p>
      <w:pPr>
        <w:pStyle w:val="BodyText"/>
        <w:spacing w:line="297" w:lineRule="auto"/>
        <w:ind w:right="275" w:firstLine="480"/>
        <w:jc w:val="both"/>
      </w:pPr>
      <w:r>
        <w:rPr>
          <w:spacing w:val="-1"/>
        </w:rPr>
        <w:t>第三十二条 投诉内容涉及医疗纠纷的，医疗机构应当告知患者按照医疗纠纷处理的相</w:t>
      </w:r>
      <w:r>
        <w:rPr>
          <w:spacing w:val="-10"/>
        </w:rPr>
        <w:t>关法律法规的规定，积极协商；不能协商解决的，引导患者通过调解、诉讼等途径解决，并</w:t>
      </w:r>
      <w:r>
        <w:rPr/>
        <w:t>做好解释疏导工作。</w:t>
      </w:r>
    </w:p>
    <w:p>
      <w:pPr>
        <w:pStyle w:val="BodyText"/>
        <w:tabs>
          <w:tab w:pos="2157" w:val="left" w:leader="none"/>
        </w:tabs>
        <w:spacing w:line="295" w:lineRule="auto"/>
        <w:ind w:right="270" w:firstLine="480"/>
      </w:pPr>
      <w:r>
        <w:rPr/>
        <w:t>第三十三条</w:t>
        <w:tab/>
        <w:t>投诉涉及医疗机构工作人员违法违纪问题的</w:t>
      </w:r>
      <w:r>
        <w:rPr>
          <w:spacing w:val="-104"/>
        </w:rPr>
        <w:t>，</w:t>
      </w:r>
      <w:r>
        <w:rPr/>
        <w:t>投诉管理部门应当及时移</w:t>
      </w:r>
      <w:r>
        <w:rPr>
          <w:spacing w:val="-17"/>
        </w:rPr>
        <w:t>交</w:t>
      </w:r>
      <w:r>
        <w:rPr/>
        <w:t>相关职能部门依法依规处理。</w:t>
      </w:r>
    </w:p>
    <w:p>
      <w:pPr>
        <w:pStyle w:val="BodyText"/>
        <w:tabs>
          <w:tab w:pos="2157" w:val="left" w:leader="none"/>
        </w:tabs>
        <w:spacing w:line="295" w:lineRule="auto"/>
        <w:ind w:right="269" w:firstLine="480"/>
      </w:pPr>
      <w:r>
        <w:rPr/>
        <w:t>第三十四条</w:t>
        <w:tab/>
        <w:t>属于下列情形之一的投诉</w:t>
      </w:r>
      <w:r>
        <w:rPr>
          <w:spacing w:val="-51"/>
        </w:rPr>
        <w:t>，</w:t>
      </w:r>
      <w:r>
        <w:rPr/>
        <w:t>投诉管理部门不予处理</w:t>
      </w:r>
      <w:r>
        <w:rPr>
          <w:spacing w:val="-51"/>
        </w:rPr>
        <w:t>，</w:t>
      </w:r>
      <w:r>
        <w:rPr/>
        <w:t>但应当向患者说明</w:t>
      </w:r>
      <w:r>
        <w:rPr>
          <w:spacing w:val="-18"/>
        </w:rPr>
        <w:t>情</w:t>
      </w:r>
      <w:r>
        <w:rPr/>
        <w:t>况，告知相关处理规定：</w:t>
      </w:r>
    </w:p>
    <w:p>
      <w:pPr>
        <w:pStyle w:val="BodyText"/>
        <w:spacing w:before="2"/>
        <w:ind w:left="717"/>
      </w:pPr>
      <w:r>
        <w:rPr/>
        <w:t>（一）患者已就投诉事项向人民法院起诉的或者向第三方申请调解的；</w:t>
      </w:r>
    </w:p>
    <w:p>
      <w:pPr>
        <w:pStyle w:val="BodyText"/>
        <w:spacing w:before="74"/>
        <w:ind w:left="717"/>
      </w:pPr>
      <w:r>
        <w:rPr/>
        <w:t>（二）患者已就投诉事项向卫生健康主管部门或者信访部门反映并作出处理的；</w:t>
      </w:r>
    </w:p>
    <w:p>
      <w:pPr>
        <w:pStyle w:val="BodyText"/>
        <w:spacing w:before="72"/>
        <w:ind w:left="717"/>
      </w:pPr>
      <w:r>
        <w:rPr/>
        <w:t>（三）没有明确的投诉对象和具体事实的；</w:t>
      </w:r>
    </w:p>
    <w:p>
      <w:pPr>
        <w:pStyle w:val="BodyText"/>
        <w:spacing w:before="71"/>
        <w:ind w:left="717"/>
      </w:pPr>
      <w:r>
        <w:rPr/>
        <w:t>（四）投诉内容已经涉及治安案件、刑事案件的；</w:t>
      </w:r>
    </w:p>
    <w:p>
      <w:pPr>
        <w:pStyle w:val="BodyText"/>
        <w:spacing w:before="75"/>
        <w:ind w:left="717"/>
      </w:pPr>
      <w:r>
        <w:rPr/>
        <w:t>（五）其他不属于投诉管理部门职权范围的投诉。</w:t>
      </w:r>
    </w:p>
    <w:p>
      <w:pPr>
        <w:pStyle w:val="BodyText"/>
        <w:spacing w:line="297" w:lineRule="auto" w:before="71"/>
        <w:ind w:right="267" w:firstLine="480"/>
        <w:jc w:val="both"/>
      </w:pPr>
      <w:r>
        <w:rPr>
          <w:spacing w:val="-3"/>
        </w:rPr>
        <w:t>第三十五条 发生重大医疗纠纷的，医疗机构应当按照规定向所在地县级以上 地方卫</w:t>
      </w:r>
      <w:r>
        <w:rPr>
          <w:spacing w:val="-8"/>
        </w:rPr>
        <w:t>生健康主管部门报告。卫生健康主管部门接到报告后，应当及时了解掌握情况，引导医患双</w:t>
      </w:r>
      <w:r>
        <w:rPr/>
        <w:t>方通过合法途径解决纠纷。</w:t>
      </w:r>
    </w:p>
    <w:p>
      <w:pPr>
        <w:pStyle w:val="BodyText"/>
        <w:tabs>
          <w:tab w:pos="2157" w:val="left" w:leader="none"/>
          <w:tab w:pos="4317" w:val="left" w:leader="none"/>
        </w:tabs>
        <w:spacing w:line="295" w:lineRule="auto"/>
        <w:ind w:right="166" w:firstLine="480"/>
      </w:pPr>
      <w:r>
        <w:rPr/>
        <w:t>第三十六条</w:t>
        <w:tab/>
        <w:t>医疗机构应当保护</w:t>
        <w:tab/>
        <w:t>与投诉相关的患者和医务人员隐私，妥善应对舆情</w:t>
      </w:r>
      <w:r>
        <w:rPr>
          <w:spacing w:val="-17"/>
        </w:rPr>
        <w:t>， </w:t>
      </w:r>
      <w:r>
        <w:rPr/>
        <w:t>严禁发布违背或者夸大事实、渲染投诉处理过程的信息。</w:t>
      </w:r>
    </w:p>
    <w:p>
      <w:pPr>
        <w:pStyle w:val="BodyText"/>
        <w:spacing w:line="295" w:lineRule="auto" w:before="1"/>
        <w:ind w:left="717" w:right="1967"/>
      </w:pPr>
      <w:r>
        <w:rPr/>
        <w:t>第三十七条 医疗机构应当建立健全投诉档案，立卷归档，留档备查。医疗机构投诉档案应当包括以下内容：</w:t>
      </w:r>
    </w:p>
    <w:p>
      <w:pPr>
        <w:pStyle w:val="BodyText"/>
        <w:spacing w:before="2"/>
        <w:ind w:left="717"/>
      </w:pPr>
      <w:r>
        <w:rPr/>
        <w:t>（一）患者基本信息；</w:t>
      </w:r>
    </w:p>
    <w:p>
      <w:pPr>
        <w:pStyle w:val="BodyText"/>
        <w:spacing w:before="74"/>
        <w:ind w:left="717"/>
      </w:pPr>
      <w:r>
        <w:rPr/>
        <w:t>（二）投诉事项及相关证明材料；</w:t>
      </w:r>
    </w:p>
    <w:p>
      <w:pPr>
        <w:pStyle w:val="BodyText"/>
        <w:spacing w:before="72"/>
        <w:ind w:left="717"/>
      </w:pPr>
      <w:r>
        <w:rPr/>
        <w:t>（三）调查、处理及反馈情况；</w:t>
      </w:r>
    </w:p>
    <w:p>
      <w:pPr>
        <w:pStyle w:val="BodyText"/>
        <w:spacing w:before="72"/>
        <w:ind w:left="717"/>
      </w:pPr>
      <w:r>
        <w:rPr/>
        <w:t>（四）其他与投诉事项有关的材料。</w:t>
      </w:r>
    </w:p>
    <w:p>
      <w:pPr>
        <w:pStyle w:val="BodyText"/>
        <w:tabs>
          <w:tab w:pos="2157" w:val="left" w:leader="none"/>
        </w:tabs>
        <w:spacing w:line="295" w:lineRule="auto" w:before="74"/>
        <w:ind w:right="149" w:firstLine="480"/>
      </w:pPr>
      <w:r>
        <w:rPr/>
        <w:t>第三十八条</w:t>
        <w:tab/>
        <w:t>医疗机构工作人员有权对医疗机构管理</w:t>
      </w:r>
      <w:r>
        <w:rPr>
          <w:spacing w:val="-111"/>
        </w:rPr>
        <w:t>、</w:t>
      </w:r>
      <w:r>
        <w:rPr/>
        <w:t>服务等各项工作提出意见</w:t>
      </w:r>
      <w:r>
        <w:rPr>
          <w:spacing w:val="-111"/>
        </w:rPr>
        <w:t>、</w:t>
      </w:r>
      <w:r>
        <w:rPr/>
        <w:t>建议</w:t>
      </w:r>
      <w:r>
        <w:rPr>
          <w:spacing w:val="-18"/>
        </w:rPr>
        <w:t>， </w:t>
      </w:r>
      <w:r>
        <w:rPr/>
        <w:t>医疗机构及投诉管理等有关部门应当予以重视，并及时处理、反馈。</w:t>
      </w:r>
    </w:p>
    <w:p>
      <w:pPr>
        <w:pStyle w:val="BodyText"/>
        <w:spacing w:line="297" w:lineRule="auto" w:before="2"/>
        <w:ind w:right="167" w:firstLine="480"/>
      </w:pPr>
      <w:r>
        <w:rPr>
          <w:spacing w:val="-8"/>
        </w:rPr>
        <w:t>临床一线工作人员，对于发现的药品、医疗器械、水、电、气等医疗质量安全保障方面</w:t>
      </w:r>
      <w:r>
        <w:rPr>
          <w:spacing w:val="-9"/>
        </w:rPr>
        <w:t>的问题，应当向投诉管理部门或者有关职能部门反映，投诉管理等有关部门应当及时处理、</w:t>
      </w:r>
      <w:r>
        <w:rPr/>
        <w:t>反馈。</w:t>
      </w:r>
    </w:p>
    <w:p>
      <w:pPr>
        <w:spacing w:after="0" w:line="297" w:lineRule="auto"/>
        <w:sectPr>
          <w:pgSz w:w="11910" w:h="16850"/>
          <w:pgMar w:header="906" w:footer="607" w:top="1100" w:bottom="800" w:left="1040" w:right="860"/>
        </w:sectPr>
      </w:pPr>
    </w:p>
    <w:p>
      <w:pPr>
        <w:pStyle w:val="Heading4"/>
        <w:tabs>
          <w:tab w:pos="5227" w:val="left" w:leader="none"/>
        </w:tabs>
        <w:spacing w:before="65"/>
        <w:ind w:left="4262"/>
      </w:pPr>
      <w:r>
        <w:rPr/>
        <w:t>第五章</w:t>
        <w:tab/>
        <w:t>监督管理</w:t>
      </w:r>
    </w:p>
    <w:p>
      <w:pPr>
        <w:pStyle w:val="BodyText"/>
        <w:spacing w:line="295" w:lineRule="auto" w:before="72"/>
        <w:ind w:right="287" w:firstLine="480"/>
      </w:pPr>
      <w:r>
        <w:rPr/>
        <w:t>第三十九条 县级以上地方卫生健康主管部门应当加强对本行政区域内医疗机构投诉管理工作的监督检查，加强日常管理和考评。</w:t>
      </w:r>
    </w:p>
    <w:p>
      <w:pPr>
        <w:pStyle w:val="BodyText"/>
        <w:spacing w:line="295" w:lineRule="auto" w:before="4"/>
        <w:ind w:right="287" w:firstLine="480"/>
      </w:pPr>
      <w:r>
        <w:rPr/>
        <w:t>第四十条 县级以上地方卫生健康主管部门应当收集、分析并反馈本行政区域医疗机构投诉及医疗纠纷相关信息，指导医疗机构改进工作，提高医疗服务质量。</w:t>
      </w:r>
    </w:p>
    <w:p>
      <w:pPr>
        <w:pStyle w:val="BodyText"/>
        <w:tabs>
          <w:tab w:pos="2157" w:val="left" w:leader="none"/>
        </w:tabs>
        <w:spacing w:line="297" w:lineRule="auto" w:before="2"/>
        <w:ind w:right="270" w:firstLine="480"/>
      </w:pPr>
      <w:r>
        <w:rPr/>
        <w:t>第四十一条</w:t>
        <w:tab/>
        <w:t>对在医疗机构投诉管理中表现优秀</w:t>
      </w:r>
      <w:r>
        <w:rPr>
          <w:spacing w:val="-104"/>
        </w:rPr>
        <w:t>、</w:t>
      </w:r>
      <w:r>
        <w:rPr/>
        <w:t>有效预防重大群体性事件或者其他</w:t>
      </w:r>
      <w:r>
        <w:rPr>
          <w:spacing w:val="-17"/>
        </w:rPr>
        <w:t>严</w:t>
      </w:r>
      <w:r>
        <w:rPr/>
        <w:t>重后果发生的医疗机构及有关人员，卫生健康主管部门应当予以表扬。</w:t>
      </w:r>
    </w:p>
    <w:p>
      <w:pPr>
        <w:pStyle w:val="BodyText"/>
        <w:spacing w:line="295" w:lineRule="auto"/>
        <w:ind w:right="270" w:firstLine="480"/>
      </w:pPr>
      <w:r>
        <w:rPr>
          <w:spacing w:val="-6"/>
        </w:rPr>
        <w:t>对行政区域内未按照规定开展投诉管理工作的医疗机构，卫生健康主管部门应当通报批</w:t>
      </w:r>
      <w:r>
        <w:rPr/>
        <w:t>评，并对医疗机构主要负责人进行约谈。</w:t>
      </w:r>
    </w:p>
    <w:p>
      <w:pPr>
        <w:pStyle w:val="BodyText"/>
        <w:tabs>
          <w:tab w:pos="2157" w:val="left" w:leader="none"/>
        </w:tabs>
        <w:spacing w:line="295" w:lineRule="auto" w:before="3"/>
        <w:ind w:right="270" w:firstLine="480"/>
      </w:pPr>
      <w:r>
        <w:rPr/>
        <w:t>第四十二条</w:t>
        <w:tab/>
        <w:t>医疗机构应当规范投诉管理工作</w:t>
      </w:r>
      <w:r>
        <w:rPr>
          <w:spacing w:val="-51"/>
        </w:rPr>
        <w:t>，</w:t>
      </w:r>
      <w:r>
        <w:rPr/>
        <w:t>定期统计投诉情况</w:t>
      </w:r>
      <w:r>
        <w:rPr>
          <w:spacing w:val="-53"/>
        </w:rPr>
        <w:t>，</w:t>
      </w:r>
      <w:r>
        <w:rPr/>
        <w:t>统计结果应当与</w:t>
      </w:r>
      <w:r>
        <w:rPr>
          <w:spacing w:val="-17"/>
        </w:rPr>
        <w:t>年</w:t>
      </w:r>
      <w:r>
        <w:rPr/>
        <w:t>终考核、医师定期考核、医德考评、评优评先等相结合。</w:t>
      </w:r>
    </w:p>
    <w:p>
      <w:pPr>
        <w:pStyle w:val="Heading4"/>
        <w:tabs>
          <w:tab w:pos="5227" w:val="left" w:leader="none"/>
        </w:tabs>
        <w:spacing w:before="2"/>
        <w:ind w:left="4262"/>
      </w:pPr>
      <w:r>
        <w:rPr/>
        <w:t>第六章</w:t>
        <w:tab/>
      </w:r>
      <w:r>
        <w:rPr>
          <w:w w:val="95"/>
        </w:rPr>
        <w:t>法律责任</w:t>
      </w:r>
    </w:p>
    <w:p>
      <w:pPr>
        <w:pStyle w:val="BodyText"/>
        <w:spacing w:line="295" w:lineRule="auto" w:before="74"/>
        <w:ind w:right="149" w:firstLine="600"/>
      </w:pPr>
      <w:r>
        <w:rPr>
          <w:spacing w:val="-10"/>
        </w:rPr>
        <w:t>第四十三条 医疗机构未建立投诉接待制度、未设置统一投诉管理部门或者配备专</w:t>
      </w:r>
      <w:r>
        <w:rPr/>
        <w:t>（兼</w:t>
      </w:r>
      <w:r>
        <w:rPr>
          <w:spacing w:val="-17"/>
        </w:rPr>
        <w:t>） </w:t>
      </w:r>
      <w:r>
        <w:rPr>
          <w:spacing w:val="-10"/>
        </w:rPr>
        <w:t>职人员，或者未按规定向卫生健康主管部门报告重大医疗纠纷的，由县级以上地方卫生健康主管部门按照《医疗纠纷预防和处理条例》第四十七条的规定进行处理。</w:t>
      </w:r>
    </w:p>
    <w:p>
      <w:pPr>
        <w:pStyle w:val="BodyText"/>
        <w:tabs>
          <w:tab w:pos="2157" w:val="left" w:leader="none"/>
        </w:tabs>
        <w:spacing w:line="297" w:lineRule="auto" w:before="5"/>
        <w:ind w:right="147" w:firstLine="480"/>
      </w:pPr>
      <w:r>
        <w:rPr/>
        <w:t>第四十四条</w:t>
        <w:tab/>
        <w:t>医疗机构违反本办法规定</w:t>
      </w:r>
      <w:r>
        <w:rPr>
          <w:spacing w:val="-51"/>
        </w:rPr>
        <w:t>，</w:t>
      </w:r>
      <w:r>
        <w:rPr/>
        <w:t>有下列情形之一的</w:t>
      </w:r>
      <w:r>
        <w:rPr>
          <w:spacing w:val="-51"/>
        </w:rPr>
        <w:t>，</w:t>
      </w:r>
      <w:r>
        <w:rPr/>
        <w:t>由县级以上地方卫生健康主管部门责令限期整改</w:t>
      </w:r>
      <w:r>
        <w:rPr>
          <w:spacing w:val="-56"/>
        </w:rPr>
        <w:t>；</w:t>
      </w:r>
      <w:r>
        <w:rPr/>
        <w:t>逾期不改的</w:t>
      </w:r>
      <w:r>
        <w:rPr>
          <w:spacing w:val="-56"/>
        </w:rPr>
        <w:t>，</w:t>
      </w:r>
      <w:r>
        <w:rPr/>
        <w:t>给予警告</w:t>
      </w:r>
      <w:r>
        <w:rPr>
          <w:spacing w:val="-56"/>
        </w:rPr>
        <w:t>，</w:t>
      </w:r>
      <w:r>
        <w:rPr/>
        <w:t>并处以一万元以下罚款</w:t>
      </w:r>
      <w:r>
        <w:rPr>
          <w:spacing w:val="-56"/>
        </w:rPr>
        <w:t>；</w:t>
      </w:r>
      <w:r>
        <w:rPr/>
        <w:t>造成严重后果的</w:t>
      </w:r>
      <w:r>
        <w:rPr>
          <w:spacing w:val="-14"/>
        </w:rPr>
        <w:t>， </w:t>
      </w:r>
      <w:r>
        <w:rPr/>
        <w:t>处以一万元以上三万元以下罚款</w:t>
      </w:r>
      <w:r>
        <w:rPr>
          <w:spacing w:val="-51"/>
        </w:rPr>
        <w:t>，</w:t>
      </w:r>
      <w:r>
        <w:rPr/>
        <w:t>并对医疗机构主要负责人</w:t>
      </w:r>
      <w:r>
        <w:rPr>
          <w:spacing w:val="-51"/>
        </w:rPr>
        <w:t>、</w:t>
      </w:r>
      <w:r>
        <w:rPr/>
        <w:t>直接负责的主管人员和其他直接责任人员依法给予处分：</w:t>
      </w:r>
    </w:p>
    <w:p>
      <w:pPr>
        <w:pStyle w:val="BodyText"/>
        <w:spacing w:line="302" w:lineRule="exact"/>
        <w:ind w:left="717"/>
      </w:pPr>
      <w:r>
        <w:rPr/>
        <w:t>（一）未制订重大医疗纠纷事件应急处置预案的；</w:t>
      </w:r>
    </w:p>
    <w:p>
      <w:pPr>
        <w:pStyle w:val="BodyText"/>
        <w:spacing w:before="72"/>
        <w:ind w:left="717"/>
      </w:pPr>
      <w:r>
        <w:rPr/>
        <w:t>（二）投诉管理混乱的；</w:t>
      </w:r>
    </w:p>
    <w:p>
      <w:pPr>
        <w:pStyle w:val="BodyText"/>
        <w:spacing w:before="74"/>
        <w:ind w:left="717"/>
      </w:pPr>
      <w:r>
        <w:rPr/>
        <w:t>（三）未按规定建立健全医患沟通机制的；</w:t>
      </w:r>
    </w:p>
    <w:p>
      <w:pPr>
        <w:pStyle w:val="BodyText"/>
        <w:spacing w:before="72"/>
        <w:ind w:left="717"/>
      </w:pPr>
      <w:r>
        <w:rPr/>
        <w:t>（四）未按规定及时处理投诉并反馈患者的；</w:t>
      </w:r>
    </w:p>
    <w:p>
      <w:pPr>
        <w:pStyle w:val="BodyText"/>
        <w:spacing w:line="297" w:lineRule="auto" w:before="72"/>
        <w:ind w:right="272" w:firstLine="480"/>
      </w:pPr>
      <w:r>
        <w:rPr/>
        <w:t>（五</w:t>
      </w:r>
      <w:r>
        <w:rPr>
          <w:spacing w:val="-27"/>
        </w:rPr>
        <w:t>）</w:t>
      </w:r>
      <w:r>
        <w:rPr>
          <w:spacing w:val="-6"/>
        </w:rPr>
        <w:t>对接待过程中发现的可能激化矛盾，引起治安案件、刑事案件的投诉，未及时向</w:t>
      </w:r>
      <w:r>
        <w:rPr/>
        <w:t>当地公安机关报告的；</w:t>
      </w:r>
    </w:p>
    <w:p>
      <w:pPr>
        <w:pStyle w:val="BodyText"/>
        <w:spacing w:line="306" w:lineRule="exact"/>
        <w:ind w:left="717"/>
      </w:pPr>
      <w:r>
        <w:rPr/>
        <w:t>（六）发布违背或者夸大事实、渲染事件处理过程的信息的。</w:t>
      </w:r>
    </w:p>
    <w:p>
      <w:pPr>
        <w:pStyle w:val="BodyText"/>
        <w:tabs>
          <w:tab w:pos="2157" w:val="left" w:leader="none"/>
        </w:tabs>
        <w:spacing w:line="297" w:lineRule="auto" w:before="71"/>
        <w:ind w:right="269" w:firstLine="480"/>
      </w:pPr>
      <w:r>
        <w:rPr/>
        <w:t>第四十五条</w:t>
        <w:tab/>
        <w:t>医务人员泄露投诉相关患者隐私</w:t>
      </w:r>
      <w:r>
        <w:rPr>
          <w:spacing w:val="-51"/>
        </w:rPr>
        <w:t>，</w:t>
      </w:r>
      <w:r>
        <w:rPr/>
        <w:t>造成严重后果的</w:t>
      </w:r>
      <w:r>
        <w:rPr>
          <w:spacing w:val="-51"/>
        </w:rPr>
        <w:t>，</w:t>
      </w:r>
      <w:r>
        <w:rPr>
          <w:spacing w:val="-3"/>
        </w:rPr>
        <w:t>由</w:t>
      </w:r>
      <w:r>
        <w:rPr/>
        <w:t>县级以上地方卫</w:t>
      </w:r>
      <w:r>
        <w:rPr>
          <w:spacing w:val="-16"/>
        </w:rPr>
        <w:t>生</w:t>
      </w:r>
      <w:r>
        <w:rPr/>
        <w:t>健康主管部门按照《执业医师法》《护士条例》等法律法规的有关规定处理。</w:t>
      </w:r>
    </w:p>
    <w:p>
      <w:pPr>
        <w:pStyle w:val="BodyText"/>
        <w:spacing w:line="297" w:lineRule="auto"/>
        <w:ind w:right="267" w:firstLine="480"/>
        <w:jc w:val="both"/>
      </w:pPr>
      <w:r>
        <w:rPr>
          <w:spacing w:val="-1"/>
        </w:rPr>
        <w:t>第四十六条 县级以上地方卫生健康主管部门在医疗机构投诉管理工作中，未按规定履</w:t>
      </w:r>
      <w:r>
        <w:rPr>
          <w:spacing w:val="-11"/>
        </w:rPr>
        <w:t>行职责，造成严重后果的，依法对直接负责的主管人员和其他直接责任人员给予处分；构成</w:t>
      </w:r>
      <w:r>
        <w:rPr/>
        <w:t>犯罪的，依法追究刑事责任。</w:t>
      </w:r>
    </w:p>
    <w:p>
      <w:pPr>
        <w:pStyle w:val="Heading4"/>
        <w:tabs>
          <w:tab w:pos="5407" w:val="left" w:leader="none"/>
        </w:tabs>
        <w:spacing w:line="302" w:lineRule="exact"/>
        <w:ind w:left="4442"/>
      </w:pPr>
      <w:r>
        <w:rPr/>
        <w:t>第七章</w:t>
        <w:tab/>
        <w:t>则 附</w:t>
      </w:r>
    </w:p>
    <w:p>
      <w:pPr>
        <w:pStyle w:val="BodyText"/>
        <w:spacing w:line="297" w:lineRule="auto" w:before="71"/>
        <w:ind w:right="287" w:firstLine="480"/>
      </w:pPr>
      <w:r>
        <w:rPr/>
        <w:t>第四十七条 本办法所称患者，包括患者及其近亲属、委托代理人、法定代理人、陪同患者就医人员等有关人员。</w:t>
      </w:r>
    </w:p>
    <w:p>
      <w:pPr>
        <w:pStyle w:val="BodyText"/>
        <w:spacing w:line="295" w:lineRule="auto"/>
        <w:ind w:left="717" w:right="150"/>
      </w:pPr>
      <w:r>
        <w:rPr>
          <w:spacing w:val="-7"/>
        </w:rPr>
        <w:t>第四十八条 省级卫生健康主管部门可以根据本办法，结合本地具体情况制订实施细则。</w:t>
      </w:r>
      <w:r>
        <w:rPr>
          <w:spacing w:val="-1"/>
        </w:rPr>
        <w:t>第四十九条 中医医疗机构的投诉管理工作由中医药主管部门负责。</w:t>
      </w:r>
    </w:p>
    <w:p>
      <w:pPr>
        <w:pStyle w:val="BodyText"/>
        <w:spacing w:before="3"/>
      </w:pPr>
      <w:r>
        <w:rPr/>
        <w:t>第五十条 本办法自 2019 年 4 月 10 日起施行。</w:t>
      </w:r>
    </w:p>
    <w:p>
      <w:pPr>
        <w:spacing w:after="0"/>
        <w:sectPr>
          <w:pgSz w:w="11910" w:h="16850"/>
          <w:pgMar w:header="906" w:footer="607" w:top="1100" w:bottom="800" w:left="1040" w:right="860"/>
        </w:sectPr>
      </w:pPr>
    </w:p>
    <w:p>
      <w:pPr>
        <w:pStyle w:val="Heading2"/>
        <w:spacing w:before="16"/>
      </w:pPr>
      <w:bookmarkStart w:name="_TOC_250041" w:id="6"/>
      <w:bookmarkEnd w:id="6"/>
      <w:r>
        <w:rPr/>
        <w:t>【数据公报】</w:t>
      </w:r>
    </w:p>
    <w:p>
      <w:pPr>
        <w:pStyle w:val="BodyText"/>
        <w:spacing w:before="8"/>
        <w:ind w:left="0"/>
        <w:rPr>
          <w:b/>
          <w:sz w:val="31"/>
        </w:rPr>
      </w:pPr>
      <w:r>
        <w:rPr/>
        <w:br w:type="column"/>
      </w:r>
      <w:r>
        <w:rPr>
          <w:b/>
          <w:sz w:val="31"/>
        </w:rPr>
      </w:r>
    </w:p>
    <w:p>
      <w:pPr>
        <w:pStyle w:val="Heading2"/>
      </w:pPr>
      <w:bookmarkStart w:name="_TOC_250040" w:id="7"/>
      <w:r>
        <w:rPr>
          <w:spacing w:val="-7"/>
        </w:rPr>
        <w:t>去年西药制剂进口额下降近 </w:t>
      </w:r>
      <w:bookmarkEnd w:id="7"/>
      <w:r>
        <w:rPr/>
        <w:t>1/4</w:t>
      </w:r>
    </w:p>
    <w:p>
      <w:pPr>
        <w:pStyle w:val="BodyText"/>
        <w:ind w:left="0"/>
        <w:rPr>
          <w:b/>
        </w:rPr>
      </w:pPr>
      <w:r>
        <w:rPr/>
        <w:br w:type="column"/>
      </w:r>
      <w:r>
        <w:rPr>
          <w:b/>
        </w:rPr>
      </w:r>
    </w:p>
    <w:p>
      <w:pPr>
        <w:pStyle w:val="BodyText"/>
        <w:ind w:left="0"/>
        <w:rPr>
          <w:b/>
        </w:rPr>
      </w:pPr>
    </w:p>
    <w:p>
      <w:pPr>
        <w:pStyle w:val="BodyText"/>
        <w:spacing w:before="12"/>
        <w:ind w:left="0"/>
        <w:rPr>
          <w:b/>
          <w:sz w:val="26"/>
        </w:rPr>
      </w:pPr>
    </w:p>
    <w:p>
      <w:pPr>
        <w:pStyle w:val="Heading4"/>
        <w:ind w:left="237"/>
        <w:rPr>
          <w:rFonts w:ascii="楷体" w:eastAsia="楷体" w:hint="eastAsia"/>
        </w:rPr>
      </w:pPr>
      <w:r>
        <w:rPr>
          <w:rFonts w:ascii="楷体" w:eastAsia="楷体" w:hint="eastAsia"/>
          <w:color w:val="FF0000"/>
        </w:rPr>
        <w:t>（来源：健康报）</w:t>
      </w:r>
    </w:p>
    <w:p>
      <w:pPr>
        <w:spacing w:after="0"/>
        <w:rPr>
          <w:rFonts w:ascii="楷体" w:eastAsia="楷体" w:hint="eastAsia"/>
        </w:rPr>
        <w:sectPr>
          <w:pgSz w:w="11910" w:h="16850"/>
          <w:pgMar w:header="906" w:footer="607" w:top="1100" w:bottom="800" w:left="1040" w:right="860"/>
          <w:cols w:num="3" w:equalWidth="0">
            <w:col w:w="2207" w:space="332"/>
            <w:col w:w="4697" w:space="335"/>
            <w:col w:w="2439"/>
          </w:cols>
        </w:sectPr>
      </w:pPr>
    </w:p>
    <w:p>
      <w:pPr>
        <w:pStyle w:val="BodyText"/>
        <w:spacing w:before="96"/>
        <w:ind w:left="717"/>
      </w:pPr>
      <w:r>
        <w:rPr>
          <w:spacing w:val="-15"/>
        </w:rPr>
        <w:t>近日，中国医药保健品进出口商会举办中国医药健康行业国际化形势发布会。会议指出，</w:t>
      </w:r>
    </w:p>
    <w:p>
      <w:pPr>
        <w:pStyle w:val="BodyText"/>
        <w:spacing w:line="295" w:lineRule="auto" w:before="74"/>
        <w:ind w:right="226"/>
        <w:jc w:val="both"/>
      </w:pPr>
      <w:r>
        <w:rPr/>
        <w:t>2018</w:t>
      </w:r>
      <w:r>
        <w:rPr>
          <w:spacing w:val="-12"/>
        </w:rPr>
        <w:t> 年，我国医药进口量同比增长 </w:t>
      </w:r>
      <w:r>
        <w:rPr/>
        <w:t>9.52%</w:t>
      </w:r>
      <w:r>
        <w:rPr>
          <w:spacing w:val="-8"/>
        </w:rPr>
        <w:t>、进口均价下降 </w:t>
      </w:r>
      <w:r>
        <w:rPr/>
        <w:t>17.6%，</w:t>
      </w:r>
      <w:r>
        <w:rPr>
          <w:spacing w:val="-2"/>
        </w:rPr>
        <w:t>虽然国内需求依旧增长， </w:t>
      </w:r>
      <w:r>
        <w:rPr>
          <w:spacing w:val="-7"/>
        </w:rPr>
        <w:t>但由于主要进口产品的价格下降，使进口额首次出现负增长，其中，位居进口医药产品之首</w:t>
      </w:r>
      <w:r>
        <w:rPr>
          <w:spacing w:val="-12"/>
        </w:rPr>
        <w:t>的西药制剂进口额下降 </w:t>
      </w:r>
      <w:r>
        <w:rPr/>
        <w:t>24.05%。</w:t>
      </w:r>
    </w:p>
    <w:p>
      <w:pPr>
        <w:pStyle w:val="BodyText"/>
        <w:spacing w:line="297" w:lineRule="auto" w:before="5"/>
        <w:ind w:right="151" w:firstLine="480"/>
      </w:pPr>
      <w:r>
        <w:rPr/>
        <w:t>据中国海关数据统计，2018</w:t>
      </w:r>
      <w:r>
        <w:rPr>
          <w:spacing w:val="-12"/>
        </w:rPr>
        <w:t> 年，我国医药保健品进出口总额为 </w:t>
      </w:r>
      <w:r>
        <w:rPr/>
        <w:t>1148.51</w:t>
      </w:r>
      <w:r>
        <w:rPr>
          <w:spacing w:val="-9"/>
        </w:rPr>
        <w:t> 亿美元，同比</w:t>
      </w:r>
      <w:r>
        <w:rPr>
          <w:spacing w:val="-26"/>
        </w:rPr>
        <w:t>下降 </w:t>
      </w:r>
      <w:r>
        <w:rPr>
          <w:spacing w:val="-10"/>
        </w:rPr>
        <w:t>1.56</w:t>
      </w:r>
      <w:r>
        <w:rPr>
          <w:spacing w:val="-19"/>
        </w:rPr>
        <w:t>%；其中，出口 </w:t>
      </w:r>
      <w:r>
        <w:rPr/>
        <w:t>644.22</w:t>
      </w:r>
      <w:r>
        <w:rPr>
          <w:spacing w:val="-24"/>
        </w:rPr>
        <w:t> 亿美元，增长 </w:t>
      </w:r>
      <w:r>
        <w:rPr>
          <w:spacing w:val="-10"/>
        </w:rPr>
        <w:t>5.96%</w:t>
      </w:r>
      <w:r>
        <w:rPr>
          <w:spacing w:val="-18"/>
        </w:rPr>
        <w:t>；进口 </w:t>
      </w:r>
      <w:r>
        <w:rPr/>
        <w:t>504.29</w:t>
      </w:r>
      <w:r>
        <w:rPr>
          <w:spacing w:val="-20"/>
        </w:rPr>
        <w:t> 亿美元，同比下降 </w:t>
      </w:r>
      <w:r>
        <w:rPr/>
        <w:t>9.75%</w:t>
      </w:r>
      <w:r>
        <w:rPr>
          <w:spacing w:val="-13"/>
        </w:rPr>
        <w:t>。</w:t>
      </w:r>
      <w:r>
        <w:rPr>
          <w:spacing w:val="-7"/>
        </w:rPr>
        <w:t>中国医保商会副会长王茂春表示，我国医药类产品进口额下降的主要因素是西药制剂和生化</w:t>
      </w:r>
      <w:r>
        <w:rPr>
          <w:spacing w:val="-14"/>
        </w:rPr>
        <w:t>药的进口价格大幅降低，国家医保谈判、</w:t>
      </w:r>
      <w:r>
        <w:rPr/>
        <w:t>“4＋7”集中采购等政策促使两者进口均价同比下</w:t>
      </w:r>
      <w:r>
        <w:rPr>
          <w:spacing w:val="-31"/>
        </w:rPr>
        <w:t>降 </w:t>
      </w:r>
      <w:r>
        <w:rPr/>
        <w:t>25.36</w:t>
      </w:r>
      <w:r>
        <w:rPr>
          <w:spacing w:val="-20"/>
        </w:rPr>
        <w:t>%和 </w:t>
      </w:r>
      <w:r>
        <w:rPr/>
        <w:t>36.32%，在进口数量变化不大的情况下，进口额大幅下降。值得一提的是，我</w:t>
      </w:r>
      <w:r>
        <w:rPr>
          <w:spacing w:val="-11"/>
        </w:rPr>
        <w:t>国西药制剂 </w:t>
      </w:r>
      <w:r>
        <w:rPr/>
        <w:t>2018</w:t>
      </w:r>
      <w:r>
        <w:rPr>
          <w:spacing w:val="-24"/>
        </w:rPr>
        <w:t> 年出口 </w:t>
      </w:r>
      <w:r>
        <w:rPr/>
        <w:t>41</w:t>
      </w:r>
      <w:r>
        <w:rPr>
          <w:spacing w:val="-14"/>
        </w:rPr>
        <w:t> 亿美元，同比增长 </w:t>
      </w:r>
      <w:r>
        <w:rPr/>
        <w:t>18.64%。</w:t>
      </w:r>
    </w:p>
    <w:p>
      <w:pPr>
        <w:pStyle w:val="Heading1"/>
        <w:spacing w:before="18"/>
        <w:rPr>
          <w:u w:val="none"/>
        </w:rPr>
      </w:pPr>
      <w:bookmarkStart w:name="_TOC_250039" w:id="8"/>
      <w:r>
        <w:rPr>
          <w:rFonts w:ascii="Times New Roman" w:eastAsia="Times New Roman"/>
          <w:color w:val="008000"/>
          <w:spacing w:val="-110"/>
          <w:w w:val="99"/>
          <w:u w:val="thick" w:color="008000"/>
        </w:rPr>
        <w:t> </w:t>
      </w:r>
      <w:bookmarkEnd w:id="8"/>
      <w:r>
        <w:rPr>
          <w:color w:val="008000"/>
          <w:u w:val="thick" w:color="008000"/>
        </w:rPr>
        <w:t>医药前沿</w:t>
      </w:r>
    </w:p>
    <w:p>
      <w:pPr>
        <w:spacing w:after="0"/>
        <w:sectPr>
          <w:type w:val="continuous"/>
          <w:pgSz w:w="11910" w:h="16850"/>
          <w:pgMar w:top="1100" w:bottom="1020" w:left="1040" w:right="860"/>
        </w:sectPr>
      </w:pPr>
    </w:p>
    <w:p>
      <w:pPr>
        <w:pStyle w:val="Heading2"/>
        <w:spacing w:before="112"/>
      </w:pPr>
      <w:bookmarkStart w:name="_TOC_250038" w:id="9"/>
      <w:bookmarkEnd w:id="9"/>
      <w:r>
        <w:rPr/>
        <w:t>【研究进展】</w:t>
      </w:r>
    </w:p>
    <w:p>
      <w:pPr>
        <w:pStyle w:val="BodyText"/>
        <w:ind w:left="0"/>
        <w:rPr>
          <w:b/>
        </w:rPr>
      </w:pPr>
      <w:r>
        <w:rPr/>
        <w:br w:type="column"/>
      </w:r>
      <w:r>
        <w:rPr>
          <w:b/>
        </w:rPr>
      </w:r>
    </w:p>
    <w:p>
      <w:pPr>
        <w:pStyle w:val="BodyText"/>
        <w:spacing w:before="11"/>
        <w:ind w:left="0"/>
        <w:rPr>
          <w:b/>
          <w:sz w:val="27"/>
        </w:rPr>
      </w:pPr>
    </w:p>
    <w:p>
      <w:pPr>
        <w:pStyle w:val="BodyText"/>
        <w:ind w:left="216" w:right="18"/>
        <w:jc w:val="center"/>
      </w:pPr>
      <w:r>
        <w:rPr/>
        <w:t>二联疗法与四联疗法疗效等同</w:t>
      </w:r>
    </w:p>
    <w:p>
      <w:pPr>
        <w:pStyle w:val="Heading2"/>
        <w:spacing w:before="146"/>
        <w:ind w:left="216" w:right="19"/>
        <w:jc w:val="center"/>
      </w:pPr>
      <w:bookmarkStart w:name="_TOC_250037" w:id="10"/>
      <w:bookmarkEnd w:id="10"/>
      <w:r>
        <w:rPr/>
        <w:t>治幽门螺杆菌有了优化方法</w:t>
      </w:r>
    </w:p>
    <w:p>
      <w:pPr>
        <w:pStyle w:val="BodyText"/>
        <w:ind w:left="0"/>
        <w:rPr>
          <w:b/>
        </w:rPr>
      </w:pPr>
      <w:r>
        <w:rPr/>
        <w:br w:type="column"/>
      </w:r>
      <w:r>
        <w:rPr>
          <w:b/>
        </w:rPr>
      </w:r>
    </w:p>
    <w:p>
      <w:pPr>
        <w:pStyle w:val="BodyText"/>
        <w:ind w:left="0"/>
        <w:rPr>
          <w:b/>
        </w:rPr>
      </w:pPr>
    </w:p>
    <w:p>
      <w:pPr>
        <w:pStyle w:val="BodyText"/>
        <w:ind w:left="0"/>
        <w:rPr>
          <w:b/>
        </w:rPr>
      </w:pPr>
    </w:p>
    <w:p>
      <w:pPr>
        <w:pStyle w:val="BodyText"/>
        <w:ind w:left="0"/>
        <w:rPr>
          <w:b/>
        </w:rPr>
      </w:pPr>
    </w:p>
    <w:p>
      <w:pPr>
        <w:pStyle w:val="BodyText"/>
        <w:spacing w:before="7"/>
        <w:ind w:left="0"/>
        <w:rPr>
          <w:b/>
          <w:sz w:val="34"/>
        </w:rPr>
      </w:pPr>
    </w:p>
    <w:p>
      <w:pPr>
        <w:pStyle w:val="Heading4"/>
        <w:ind w:left="23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3" w:equalWidth="0">
            <w:col w:w="2207" w:space="613"/>
            <w:col w:w="4131" w:space="620"/>
            <w:col w:w="2439"/>
          </w:cols>
        </w:sectPr>
      </w:pPr>
    </w:p>
    <w:p>
      <w:pPr>
        <w:pStyle w:val="BodyText"/>
        <w:spacing w:line="297" w:lineRule="auto" w:before="96"/>
        <w:ind w:right="147" w:firstLine="480"/>
      </w:pPr>
      <w:r>
        <w:rPr>
          <w:spacing w:val="-8"/>
        </w:rPr>
        <w:t>同样是对付幽门螺杆菌，用两种药物就能达到用 </w:t>
      </w:r>
      <w:r>
        <w:rPr/>
        <w:t>4</w:t>
      </w:r>
      <w:r>
        <w:rPr>
          <w:spacing w:val="-11"/>
        </w:rPr>
        <w:t> 种药物的疗效，你会选用哪一种？陆军军医大学陆军特色医学中心消化内科副主任兰春慧带领团队研究了优化二联疗法根除幽 </w:t>
      </w:r>
      <w:r>
        <w:rPr>
          <w:spacing w:val="-18"/>
        </w:rPr>
        <w:t>门螺杆菌组方，首次证明其疗效与铋剂四联疗法相当。近日，相关成果在《美国胃肠病杂志》</w:t>
      </w:r>
      <w:r>
        <w:rPr>
          <w:spacing w:val="-7"/>
        </w:rPr>
        <w:t>发表，影响因子大于 </w:t>
      </w:r>
      <w:r>
        <w:rPr/>
        <w:t>10。</w:t>
      </w:r>
    </w:p>
    <w:p>
      <w:pPr>
        <w:pStyle w:val="BodyText"/>
        <w:spacing w:line="297" w:lineRule="auto"/>
        <w:ind w:right="268" w:firstLine="480"/>
      </w:pPr>
      <w:r>
        <w:rPr/>
        <w:t>幽门螺杆菌是目前能在胃中生存的主要微生物，1994</w:t>
      </w:r>
      <w:r>
        <w:rPr>
          <w:spacing w:val="-8"/>
        </w:rPr>
        <w:t> 年被世界卫生组织国际癌症研究</w:t>
      </w:r>
      <w:r>
        <w:rPr>
          <w:spacing w:val="-14"/>
        </w:rPr>
        <w:t>机构列入一类致癌物，感染幽门螺杆菌人群罹患胃癌的风险极高。传统治疗幽门螺杆菌采用</w:t>
      </w:r>
      <w:r>
        <w:rPr>
          <w:spacing w:val="-9"/>
        </w:rPr>
        <w:t>铋剂四联疗法，但由于四联疗法药物种类多、服用方法较复杂、副反应也较多，影响医患合</w:t>
      </w:r>
      <w:r>
        <w:rPr/>
        <w:t>作。</w:t>
      </w:r>
    </w:p>
    <w:p>
      <w:pPr>
        <w:pStyle w:val="BodyText"/>
        <w:spacing w:line="297" w:lineRule="auto"/>
        <w:ind w:right="165" w:firstLine="480"/>
      </w:pPr>
      <w:r>
        <w:rPr/>
        <w:t>为寻找一种更简化的组方，兰春慧团队对二联疗法展开了深入研究。2017</w:t>
      </w:r>
      <w:r>
        <w:rPr>
          <w:spacing w:val="-40"/>
        </w:rPr>
        <w:t> 年 </w:t>
      </w:r>
      <w:r>
        <w:rPr/>
        <w:t>1</w:t>
      </w:r>
      <w:r>
        <w:rPr>
          <w:spacing w:val="-15"/>
        </w:rPr>
        <w:t> 月，兰</w:t>
      </w:r>
      <w:r>
        <w:rPr>
          <w:spacing w:val="-23"/>
        </w:rPr>
        <w:t>春慧团队以 </w:t>
      </w:r>
      <w:r>
        <w:rPr/>
        <w:t>232</w:t>
      </w:r>
      <w:r>
        <w:rPr>
          <w:spacing w:val="-13"/>
        </w:rPr>
        <w:t> 名幽门螺杆菌临床患者为研究对象，进行随机对照、非劣效性试验。试验组</w:t>
      </w:r>
      <w:r>
        <w:rPr>
          <w:spacing w:val="-14"/>
        </w:rPr>
        <w:t>为优化二联疗法，即艾司奥美拉唑钠肠溶片、阿莫西林两种药物；对照组为铋剂四联疗法， </w:t>
      </w:r>
      <w:r>
        <w:rPr>
          <w:spacing w:val="-7"/>
        </w:rPr>
        <w:t>即艾司奥美拉唑钠肠溶片、枸橼酸铋钾、阿莫西林、克拉霉素 </w:t>
      </w:r>
      <w:r>
        <w:rPr/>
        <w:t>4</w:t>
      </w:r>
      <w:r>
        <w:rPr>
          <w:spacing w:val="-11"/>
        </w:rPr>
        <w:t> 种药物。结果表明，两组的</w:t>
      </w:r>
      <w:r>
        <w:rPr>
          <w:spacing w:val="-12"/>
        </w:rPr>
        <w:t>根除率没有显著差异，优化二联疗法在幽门螺杆菌初治患者中的疗效等同于铋剂四联疗法， </w:t>
      </w:r>
      <w:r>
        <w:rPr/>
        <w:t>且副反应更小，成本更低。</w:t>
      </w:r>
    </w:p>
    <w:p>
      <w:pPr>
        <w:pStyle w:val="BodyText"/>
        <w:spacing w:line="297" w:lineRule="auto"/>
        <w:ind w:right="267" w:firstLine="480"/>
        <w:jc w:val="both"/>
      </w:pPr>
      <w:r>
        <w:rPr>
          <w:spacing w:val="-12"/>
        </w:rPr>
        <w:t>兰春慧介绍，该临床研究也证实，优化的二联疗法不受人体 </w:t>
      </w:r>
      <w:r>
        <w:rPr/>
        <w:t>CYP2C19</w:t>
      </w:r>
      <w:r>
        <w:rPr>
          <w:spacing w:val="-9"/>
        </w:rPr>
        <w:t> 基因多态性和抗生</w:t>
      </w:r>
      <w:r>
        <w:rPr>
          <w:spacing w:val="-10"/>
        </w:rPr>
        <w:t>素耐药的影响，因此，对于克拉霉素、甲硝唑及左氧氟沙星高耐药地区尤其适合，可推荐优</w:t>
      </w:r>
      <w:r>
        <w:rPr/>
        <w:t>化二联方案用于一线经验性治疗。</w:t>
      </w:r>
    </w:p>
    <w:p>
      <w:pPr>
        <w:spacing w:after="0" w:line="297" w:lineRule="auto"/>
        <w:jc w:val="both"/>
        <w:sectPr>
          <w:type w:val="continuous"/>
          <w:pgSz w:w="11910" w:h="16850"/>
          <w:pgMar w:top="1100" w:bottom="1020" w:left="1040" w:right="860"/>
        </w:sectPr>
      </w:pPr>
    </w:p>
    <w:p>
      <w:pPr>
        <w:pStyle w:val="Heading2"/>
        <w:spacing w:line="395" w:lineRule="exact"/>
        <w:ind w:left="2253"/>
      </w:pPr>
      <w:bookmarkStart w:name="_TOC_250036" w:id="11"/>
      <w:bookmarkEnd w:id="11"/>
      <w:r>
        <w:rPr>
          <w:spacing w:val="-1"/>
        </w:rPr>
        <w:t>安罗替尼联合自噬抑制剂可协同抗肿瘤</w:t>
      </w:r>
    </w:p>
    <w:p>
      <w:pPr>
        <w:pStyle w:val="BodyText"/>
        <w:ind w:left="0"/>
        <w:rPr>
          <w:b/>
        </w:rPr>
      </w:pPr>
      <w:r>
        <w:rPr/>
        <w:br w:type="column"/>
      </w:r>
      <w:r>
        <w:rPr>
          <w:b/>
        </w:rPr>
      </w:r>
    </w:p>
    <w:p>
      <w:pPr>
        <w:pStyle w:val="BodyText"/>
        <w:spacing w:before="2"/>
        <w:ind w:left="0"/>
        <w:rPr>
          <w:b/>
          <w:sz w:val="18"/>
        </w:rPr>
      </w:pPr>
    </w:p>
    <w:p>
      <w:pPr>
        <w:pStyle w:val="Heading4"/>
        <w:ind w:left="56"/>
        <w:rPr>
          <w:rFonts w:ascii="楷体" w:eastAsia="楷体" w:hint="eastAsia"/>
        </w:rPr>
      </w:pPr>
      <w:r>
        <w:rPr>
          <w:rFonts w:ascii="楷体" w:eastAsia="楷体" w:hint="eastAsia"/>
          <w:color w:val="FF0000"/>
        </w:rPr>
        <w:t>（来源：健康报）</w:t>
      </w:r>
    </w:p>
    <w:p>
      <w:pPr>
        <w:spacing w:after="0"/>
        <w:rPr>
          <w:rFonts w:ascii="楷体" w:eastAsia="楷体" w:hint="eastAsia"/>
        </w:rPr>
        <w:sectPr>
          <w:pgSz w:w="11910" w:h="16850"/>
          <w:pgMar w:header="906" w:footer="607" w:top="1100" w:bottom="800" w:left="1040" w:right="860"/>
          <w:cols w:num="2" w:equalWidth="0">
            <w:col w:w="7711" w:space="40"/>
            <w:col w:w="2259"/>
          </w:cols>
        </w:sectPr>
      </w:pPr>
    </w:p>
    <w:p>
      <w:pPr>
        <w:pStyle w:val="BodyText"/>
        <w:spacing w:line="297" w:lineRule="auto" w:before="96"/>
        <w:ind w:right="407" w:firstLine="480"/>
      </w:pPr>
      <w:r>
        <w:rPr/>
        <w:t>江苏省连云港市第一人民医院蒋晓东教授团队一项研究揭示了安罗替尼治疗非小细胞肺癌新机制。相关研究论文近日刊发在《实验与临床癌症研究》杂志上。</w:t>
      </w:r>
    </w:p>
    <w:p>
      <w:pPr>
        <w:pStyle w:val="BodyText"/>
        <w:spacing w:line="297" w:lineRule="auto"/>
        <w:ind w:right="265" w:firstLine="480"/>
      </w:pPr>
      <w:r>
        <w:rPr>
          <w:spacing w:val="-3"/>
        </w:rPr>
        <w:t>据介绍，安罗替尼是一种新型小分子多靶点药物，能有效抑制 </w:t>
      </w:r>
      <w:r>
        <w:rPr/>
        <w:t>VEGFR、PDGFR、FGFR、c-Kit</w:t>
      </w:r>
      <w:r>
        <w:rPr>
          <w:spacing w:val="-11"/>
        </w:rPr>
        <w:t> 等激酶活性，具有广泛的抗血管生成和抑制肿瘤生长的作用。在随机、双盲、安慰剂</w:t>
      </w:r>
      <w:r>
        <w:rPr>
          <w:spacing w:val="-16"/>
        </w:rPr>
        <w:t>对照的 </w:t>
      </w:r>
      <w:r>
        <w:rPr/>
        <w:t>3</w:t>
      </w:r>
      <w:r>
        <w:rPr>
          <w:spacing w:val="-14"/>
        </w:rPr>
        <w:t> 期临床试验中，安罗替尼显著延长了晚期非小细胞肺癌患者的无进展生存和总生存</w:t>
      </w:r>
    </w:p>
    <w:p>
      <w:pPr>
        <w:pStyle w:val="BodyText"/>
        <w:spacing w:line="295" w:lineRule="auto"/>
        <w:ind w:right="270"/>
      </w:pPr>
      <w:r>
        <w:rPr>
          <w:spacing w:val="-8"/>
        </w:rPr>
        <w:t>时间。</w:t>
      </w:r>
      <w:r>
        <w:rPr/>
        <w:t>2018</w:t>
      </w:r>
      <w:r>
        <w:rPr>
          <w:spacing w:val="-41"/>
        </w:rPr>
        <w:t> 年 </w:t>
      </w:r>
      <w:r>
        <w:rPr/>
        <w:t>5</w:t>
      </w:r>
      <w:r>
        <w:rPr>
          <w:spacing w:val="-40"/>
        </w:rPr>
        <w:t> 月 </w:t>
      </w:r>
      <w:r>
        <w:rPr/>
        <w:t>10</w:t>
      </w:r>
      <w:r>
        <w:rPr>
          <w:spacing w:val="-11"/>
        </w:rPr>
        <w:t> 日，国家药品监督管理局批准安罗替尼单药三线治疗晚期非小细胞肺</w:t>
      </w:r>
      <w:r>
        <w:rPr/>
        <w:t>癌。</w:t>
      </w:r>
    </w:p>
    <w:p>
      <w:pPr>
        <w:pStyle w:val="BodyText"/>
        <w:spacing w:line="297" w:lineRule="auto"/>
        <w:ind w:right="148" w:firstLine="480"/>
      </w:pPr>
      <w:r>
        <w:rPr/>
        <w:t>蒋晓东团队研究发现，VEGFR2</w:t>
      </w:r>
      <w:r>
        <w:rPr>
          <w:spacing w:val="-8"/>
        </w:rPr>
        <w:t> 作为介导血管生成的最重要的分子，不仅表达于血管内</w:t>
      </w:r>
      <w:r>
        <w:rPr>
          <w:spacing w:val="-17"/>
        </w:rPr>
        <w:t>皮细胞，还表达于肿瘤细胞。研究中使用安罗替尼处理非小细胞肺癌细胞株 </w:t>
      </w:r>
      <w:r>
        <w:rPr/>
        <w:t>Calu-1</w:t>
      </w:r>
      <w:r>
        <w:rPr>
          <w:spacing w:val="-40"/>
        </w:rPr>
        <w:t> 和 </w:t>
      </w:r>
      <w:r>
        <w:rPr>
          <w:spacing w:val="-4"/>
        </w:rPr>
        <w:t>A549， </w:t>
      </w:r>
      <w:r>
        <w:rPr>
          <w:spacing w:val="-15"/>
        </w:rPr>
        <w:t>可以直接降低细胞活性，诱导凋亡。研究人员还发现，安罗替尼可以诱导肿瘤细胞发生自噬， </w:t>
      </w:r>
      <w:r>
        <w:rPr>
          <w:spacing w:val="-19"/>
        </w:rPr>
        <w:t>上调自噬相关蛋白。进一步研究发现，自噬抑制剂 </w:t>
      </w:r>
      <w:r>
        <w:rPr/>
        <w:t>chloroquine</w:t>
      </w:r>
      <w:r>
        <w:rPr>
          <w:spacing w:val="-9"/>
        </w:rPr>
        <w:t> 可增强安罗替尼细胞毒作用， 同时也可通过 </w:t>
      </w:r>
      <w:r>
        <w:rPr/>
        <w:t>JAK2/STAT3/VEGFA</w:t>
      </w:r>
      <w:r>
        <w:rPr>
          <w:spacing w:val="-8"/>
        </w:rPr>
        <w:t> 通路增强安罗替尼的抗血管生成作用。</w:t>
      </w:r>
    </w:p>
    <w:p>
      <w:pPr>
        <w:pStyle w:val="BodyText"/>
        <w:spacing w:before="2"/>
        <w:ind w:left="0"/>
        <w:rPr>
          <w:sz w:val="13"/>
        </w:rPr>
      </w:pPr>
    </w:p>
    <w:p>
      <w:pPr>
        <w:spacing w:after="0"/>
        <w:rPr>
          <w:sz w:val="13"/>
        </w:rPr>
        <w:sectPr>
          <w:type w:val="continuous"/>
          <w:pgSz w:w="11910" w:h="16850"/>
          <w:pgMar w:top="1100" w:bottom="1020" w:left="1040" w:right="860"/>
        </w:sectPr>
      </w:pPr>
    </w:p>
    <w:p>
      <w:pPr>
        <w:pStyle w:val="Heading2"/>
        <w:spacing w:before="54"/>
        <w:ind w:left="3218"/>
      </w:pPr>
      <w:bookmarkStart w:name="_TOC_250035" w:id="12"/>
      <w:bookmarkEnd w:id="12"/>
      <w:r>
        <w:rPr>
          <w:spacing w:val="-2"/>
        </w:rPr>
        <w:t>乳牙干细胞成功再生牙髓</w:t>
      </w:r>
    </w:p>
    <w:p>
      <w:pPr>
        <w:pStyle w:val="BodyText"/>
        <w:ind w:left="0"/>
        <w:rPr>
          <w:b/>
        </w:rPr>
      </w:pPr>
      <w:r>
        <w:rPr/>
        <w:br w:type="column"/>
      </w:r>
      <w:r>
        <w:rPr>
          <w:b/>
        </w:rPr>
      </w:r>
    </w:p>
    <w:p>
      <w:pPr>
        <w:pStyle w:val="BodyText"/>
        <w:spacing w:before="9"/>
        <w:ind w:left="0"/>
        <w:rPr>
          <w:b/>
          <w:sz w:val="23"/>
        </w:rPr>
      </w:pPr>
    </w:p>
    <w:p>
      <w:pPr>
        <w:pStyle w:val="Heading4"/>
        <w:spacing w:before="1"/>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6750" w:space="40"/>
            <w:col w:w="3220"/>
          </w:cols>
        </w:sectPr>
      </w:pPr>
    </w:p>
    <w:p>
      <w:pPr>
        <w:pStyle w:val="BodyText"/>
        <w:spacing w:line="297" w:lineRule="auto" w:before="96"/>
        <w:ind w:right="267" w:firstLine="480"/>
        <w:jc w:val="both"/>
      </w:pPr>
      <w:r>
        <w:rPr>
          <w:spacing w:val="-9"/>
        </w:rPr>
        <w:t>空军军医大学</w:t>
      </w:r>
      <w:r>
        <w:rPr/>
        <w:t>（原第四军医大学</w:t>
      </w:r>
      <w:r>
        <w:rPr>
          <w:spacing w:val="-51"/>
        </w:rPr>
        <w:t>）</w:t>
      </w:r>
      <w:r>
        <w:rPr>
          <w:spacing w:val="-1"/>
        </w:rPr>
        <w:t>口腔医院利用脱落乳牙干细胞在去年底成功实现了全</w:t>
      </w:r>
      <w:r>
        <w:rPr>
          <w:spacing w:val="-8"/>
        </w:rPr>
        <w:t>牙髓组织的功能性再生，使得口腔疾病治疗迈入新的里程碑。一颗小小的乳牙究竟有多少可</w:t>
      </w:r>
      <w:r>
        <w:rPr>
          <w:spacing w:val="-11"/>
        </w:rPr>
        <w:t>利用的“宝贝”？近日，四川省干细胞库国家地方联合工程实验室副研究员杨超博士进行了</w:t>
      </w:r>
      <w:r>
        <w:rPr/>
        <w:t>详细解答。</w:t>
      </w:r>
    </w:p>
    <w:p>
      <w:pPr>
        <w:pStyle w:val="Heading4"/>
        <w:spacing w:line="301" w:lineRule="exact"/>
      </w:pPr>
      <w:r>
        <w:rPr/>
        <w:t>乳牙干细胞再生潜力大</w:t>
      </w:r>
    </w:p>
    <w:p>
      <w:pPr>
        <w:pStyle w:val="BodyText"/>
        <w:spacing w:line="297" w:lineRule="auto" w:before="74"/>
        <w:ind w:right="267" w:firstLine="480"/>
        <w:jc w:val="both"/>
      </w:pPr>
      <w:r>
        <w:rPr>
          <w:spacing w:val="-4"/>
        </w:rPr>
        <w:t>杨超博士介绍，乳牙又称乳齿。儿童 </w:t>
      </w:r>
      <w:r>
        <w:rPr/>
        <w:t>6、7</w:t>
      </w:r>
      <w:r>
        <w:rPr>
          <w:spacing w:val="-8"/>
        </w:rPr>
        <w:t> 岁时乳牙逐渐脱落，恒牙萌出并替换脱落的</w:t>
      </w:r>
      <w:r>
        <w:rPr>
          <w:spacing w:val="-14"/>
        </w:rPr>
        <w:t>乳牙。近十多年的研究发现，从乳牙牙髓中分离出来的“乳牙干细胞”是一类可以自我更新</w:t>
      </w:r>
      <w:r>
        <w:rPr>
          <w:spacing w:val="-6"/>
        </w:rPr>
        <w:t>和具备多向分化潜能的干细胞。它在特定诱导条件下，可以分化为神经细胞、脂肪细胞、软骨细胞、骨细胞、肌腱细胞、肝细胞、心肌细胞等。</w:t>
      </w:r>
    </w:p>
    <w:p>
      <w:pPr>
        <w:pStyle w:val="BodyText"/>
        <w:spacing w:line="297" w:lineRule="auto"/>
        <w:ind w:right="266" w:firstLine="480"/>
        <w:jc w:val="both"/>
      </w:pPr>
      <w:r>
        <w:rPr>
          <w:spacing w:val="-10"/>
        </w:rPr>
        <w:t>此外，乳牙干细胞可分泌免疫调节因子、促神经再生因子、促血管生成因子等数十种细</w:t>
      </w:r>
      <w:r>
        <w:rPr>
          <w:spacing w:val="-9"/>
        </w:rPr>
        <w:t>胞因子或活性蛋白，还可以依靠病变或损伤组织微环境释放的化学信号，以及自身分泌的趋</w:t>
      </w:r>
      <w:r>
        <w:rPr/>
        <w:t>化因子，迁移到病变和损伤位置，参与组织的修复。</w:t>
      </w:r>
    </w:p>
    <w:p>
      <w:pPr>
        <w:pStyle w:val="BodyText"/>
        <w:spacing w:line="297" w:lineRule="auto"/>
        <w:ind w:right="267" w:firstLine="480"/>
        <w:jc w:val="both"/>
      </w:pPr>
      <w:r>
        <w:rPr>
          <w:spacing w:val="-11"/>
        </w:rPr>
        <w:t>因此，乳牙干细胞是一种理想的种子细胞。目前，世界范围内乳牙干细胞已经应用于牙髓再生、牙周再生、中枢神经系统损伤、神经退行性疾病、眼角膜再生、心肌梗死、肝纤维化、类风湿关节炎、骨和软骨再生、杜氏肌营养不良、系统性免疫性疾病、内分泌疾病、急</w:t>
      </w:r>
      <w:r>
        <w:rPr/>
        <w:t>性呼吸窘迫症、自身免疫性脑脊髓炎和急性肾衰等疾病的治疗研究。</w:t>
      </w:r>
    </w:p>
    <w:p>
      <w:pPr>
        <w:pStyle w:val="Heading4"/>
        <w:spacing w:line="302" w:lineRule="exact"/>
      </w:pPr>
      <w:r>
        <w:rPr/>
        <w:t>乳牙干细胞采集很简单</w:t>
      </w:r>
    </w:p>
    <w:p>
      <w:pPr>
        <w:pStyle w:val="BodyText"/>
        <w:spacing w:line="295" w:lineRule="auto" w:before="65"/>
        <w:ind w:right="270" w:firstLine="480"/>
        <w:jc w:val="both"/>
      </w:pPr>
      <w:r>
        <w:rPr>
          <w:spacing w:val="-8"/>
        </w:rPr>
        <w:t>乳牙干细胞的采集非常简单，孩子换牙期间，乳牙松动时，联系四川省干细胞库工作人</w:t>
      </w:r>
      <w:r>
        <w:rPr/>
        <w:t>员，到指定的专业机构进行采集就可以了。</w:t>
      </w:r>
    </w:p>
    <w:p>
      <w:pPr>
        <w:pStyle w:val="BodyText"/>
        <w:spacing w:line="297" w:lineRule="auto" w:before="2"/>
        <w:ind w:right="270" w:firstLine="480"/>
        <w:jc w:val="both"/>
      </w:pPr>
      <w:r>
        <w:rPr>
          <w:spacing w:val="-9"/>
        </w:rPr>
        <w:t>据杨超博士介绍，临床上，将牙齿松动分为Ⅰ度、Ⅱ度和Ⅲ度，其中推荐Ⅱ度松动，即</w:t>
      </w:r>
      <w:r>
        <w:rPr>
          <w:spacing w:val="-18"/>
        </w:rPr>
        <w:t>颊舌方向</w:t>
      </w:r>
      <w:r>
        <w:rPr/>
        <w:t>（内外方向</w:t>
      </w:r>
      <w:r>
        <w:rPr>
          <w:spacing w:val="-68"/>
        </w:rPr>
        <w:t>）</w:t>
      </w:r>
      <w:r>
        <w:rPr>
          <w:spacing w:val="-12"/>
        </w:rPr>
        <w:t>的动度在 </w:t>
      </w:r>
      <w:r>
        <w:rPr/>
        <w:t>1-2mm</w:t>
      </w:r>
      <w:r>
        <w:rPr>
          <w:spacing w:val="-14"/>
        </w:rPr>
        <w:t> 之间或牙齿有颊舌方向</w:t>
      </w:r>
      <w:r>
        <w:rPr/>
        <w:t>（内外方向</w:t>
      </w:r>
      <w:r>
        <w:rPr>
          <w:spacing w:val="-70"/>
        </w:rPr>
        <w:t>）</w:t>
      </w:r>
      <w:r>
        <w:rPr>
          <w:spacing w:val="-12"/>
        </w:rPr>
        <w:t>及近远中方向</w:t>
      </w:r>
      <w:r>
        <w:rPr/>
        <w:t>（</w:t>
      </w:r>
      <w:r>
        <w:rPr>
          <w:spacing w:val="-15"/>
        </w:rPr>
        <w:t>左</w:t>
      </w:r>
    </w:p>
    <w:p>
      <w:pPr>
        <w:spacing w:after="0" w:line="297" w:lineRule="auto"/>
        <w:jc w:val="both"/>
        <w:sectPr>
          <w:type w:val="continuous"/>
          <w:pgSz w:w="11910" w:h="16850"/>
          <w:pgMar w:top="1100" w:bottom="1020" w:left="1040" w:right="860"/>
        </w:sectPr>
      </w:pPr>
    </w:p>
    <w:p>
      <w:pPr>
        <w:pStyle w:val="BodyText"/>
        <w:spacing w:line="295" w:lineRule="auto" w:before="65"/>
        <w:ind w:right="270"/>
        <w:jc w:val="both"/>
      </w:pPr>
      <w:r>
        <w:rPr/>
        <w:t>右方向</w:t>
      </w:r>
      <w:r>
        <w:rPr>
          <w:spacing w:val="-27"/>
        </w:rPr>
        <w:t>）</w:t>
      </w:r>
      <w:r>
        <w:rPr>
          <w:spacing w:val="-7"/>
        </w:rPr>
        <w:t>两个方向的动度时拔除采集。当然，也可以等乳牙自然脱落。如果脱落后观察牙髓</w:t>
      </w:r>
      <w:r>
        <w:rPr/>
        <w:t>腔内残留有牙髓，立刻装入特制的无菌采集瓶内即可。</w:t>
      </w:r>
    </w:p>
    <w:p>
      <w:pPr>
        <w:pStyle w:val="BodyText"/>
        <w:spacing w:line="297" w:lineRule="auto" w:before="2"/>
        <w:ind w:right="272" w:firstLine="480"/>
        <w:jc w:val="both"/>
      </w:pPr>
      <w:r>
        <w:rPr>
          <w:spacing w:val="-10"/>
        </w:rPr>
        <w:t>需要注意的是，龋齿、附有大量牙结石、进食时自然脱落、无残留牙髓、未及时置入无</w:t>
      </w:r>
      <w:r>
        <w:rPr>
          <w:spacing w:val="-3"/>
        </w:rPr>
        <w:t>菌采集瓶的乳牙均不能作为采集对象。因为孩子的乳牙有 </w:t>
      </w:r>
      <w:r>
        <w:rPr/>
        <w:t>20</w:t>
      </w:r>
      <w:r>
        <w:rPr>
          <w:spacing w:val="-8"/>
        </w:rPr>
        <w:t> 颗，所以在孩子换牙期间有多次采集机会。</w:t>
      </w:r>
    </w:p>
    <w:p>
      <w:pPr>
        <w:pStyle w:val="Heading4"/>
        <w:spacing w:line="304" w:lineRule="exact"/>
      </w:pPr>
      <w:r>
        <w:rPr/>
        <w:t>扩增技术瓶颈已获突破</w:t>
      </w:r>
    </w:p>
    <w:p>
      <w:pPr>
        <w:pStyle w:val="BodyText"/>
        <w:spacing w:line="295" w:lineRule="auto" w:before="74"/>
        <w:ind w:right="227" w:firstLine="480"/>
        <w:jc w:val="right"/>
      </w:pPr>
      <w:r>
        <w:rPr>
          <w:spacing w:val="-9"/>
        </w:rPr>
        <w:t>乳牙干细胞自 </w:t>
      </w:r>
      <w:r>
        <w:rPr/>
        <w:t>2003</w:t>
      </w:r>
      <w:r>
        <w:rPr>
          <w:spacing w:val="-8"/>
        </w:rPr>
        <w:t> 年被发现以来，制备技术一直是限制其应用的瓶颈。通常情况下需</w:t>
      </w:r>
      <w:r>
        <w:rPr>
          <w:spacing w:val="-35"/>
        </w:rPr>
        <w:t>要 </w:t>
      </w:r>
      <w:r>
        <w:rPr/>
        <w:t>2</w:t>
      </w:r>
      <w:r>
        <w:rPr>
          <w:spacing w:val="-30"/>
        </w:rPr>
        <w:t> 颗</w:t>
      </w:r>
      <w:r>
        <w:rPr/>
        <w:t>～6</w:t>
      </w:r>
      <w:r>
        <w:rPr>
          <w:spacing w:val="-9"/>
        </w:rPr>
        <w:t> 颗乳牙才能满足储存要求，同时还存在使用抗生素及有血清培养基等技术缺陷。据杨超博士介绍，四川省干细胞库乳牙干细胞技术突破了以上瓶颈，只需要家长为孩子</w:t>
      </w:r>
    </w:p>
    <w:p>
      <w:pPr>
        <w:pStyle w:val="BodyText"/>
        <w:spacing w:line="297" w:lineRule="auto" w:before="6"/>
        <w:ind w:right="266"/>
        <w:jc w:val="both"/>
      </w:pPr>
      <w:r>
        <w:rPr>
          <w:spacing w:val="-13"/>
        </w:rPr>
        <w:t>成功采集 </w:t>
      </w:r>
      <w:r>
        <w:rPr/>
        <w:t>1</w:t>
      </w:r>
      <w:r>
        <w:rPr>
          <w:spacing w:val="-10"/>
        </w:rPr>
        <w:t> 颗乳牙即可满足储存要求。据了解，部分乳牙干细胞冻存企业在 </w:t>
      </w:r>
      <w:r>
        <w:rPr/>
        <w:t>P2</w:t>
      </w:r>
      <w:r>
        <w:rPr>
          <w:spacing w:val="-10"/>
        </w:rPr>
        <w:t> 代的细胞数</w:t>
      </w:r>
      <w:r>
        <w:rPr>
          <w:spacing w:val="-27"/>
        </w:rPr>
        <w:t>只有 </w:t>
      </w:r>
      <w:r>
        <w:rPr/>
        <w:t>20</w:t>
      </w:r>
      <w:r>
        <w:rPr>
          <w:spacing w:val="-31"/>
        </w:rPr>
        <w:t> 万</w:t>
      </w:r>
      <w:r>
        <w:rPr/>
        <w:t>～50</w:t>
      </w:r>
      <w:r>
        <w:rPr>
          <w:spacing w:val="-12"/>
        </w:rPr>
        <w:t> 万个，而四川省干细胞库专门开发的乳牙保存液和采集瓶，可以保证乳牙组</w:t>
      </w:r>
      <w:r>
        <w:rPr>
          <w:spacing w:val="-10"/>
        </w:rPr>
        <w:t>织活性，另一方面开发了针对性器械，从而解决了乳牙组织获取问题，并且通过精细化操作</w:t>
      </w:r>
      <w:r>
        <w:rPr>
          <w:spacing w:val="-6"/>
        </w:rPr>
        <w:t>攻克无抗生素添加的情况下乳牙干细胞污染问题，使细胞在 </w:t>
      </w:r>
      <w:r>
        <w:rPr/>
        <w:t>P1</w:t>
      </w:r>
      <w:r>
        <w:rPr>
          <w:spacing w:val="-20"/>
        </w:rPr>
        <w:t> 代就可达 </w:t>
      </w:r>
      <w:r>
        <w:rPr/>
        <w:t>1000</w:t>
      </w:r>
      <w:r>
        <w:rPr>
          <w:spacing w:val="-19"/>
        </w:rPr>
        <w:t> 万个以上，扩</w:t>
      </w:r>
      <w:r>
        <w:rPr>
          <w:spacing w:val="-20"/>
        </w:rPr>
        <w:t>增到 </w:t>
      </w:r>
      <w:r>
        <w:rPr/>
        <w:t>P2</w:t>
      </w:r>
      <w:r>
        <w:rPr>
          <w:spacing w:val="-8"/>
        </w:rPr>
        <w:t> 代细胞数可达数千万。</w:t>
      </w:r>
    </w:p>
    <w:p>
      <w:pPr>
        <w:pStyle w:val="BodyText"/>
        <w:spacing w:line="297" w:lineRule="auto"/>
        <w:ind w:right="267" w:firstLine="480"/>
        <w:jc w:val="both"/>
      </w:pPr>
      <w:r>
        <w:rPr>
          <w:spacing w:val="-9"/>
        </w:rPr>
        <w:t>杨超博士介绍，以牙髓再生为例，牙髓坏死是一个不可逆的过程。目前临床上多以根管治疗为主，通过机械和化学方法去除根管内大部分感染的牙髓，并通过充填根管、封闭冠部</w:t>
      </w:r>
      <w:r>
        <w:rPr>
          <w:spacing w:val="-8"/>
        </w:rPr>
        <w:t>以达治疗的目的。但失去牙髓的持续营养供养，无法形成新的牙本质，随着时间延长，经根</w:t>
      </w:r>
      <w:r>
        <w:rPr>
          <w:spacing w:val="-15"/>
        </w:rPr>
        <w:t>管治疗的牙冠将会磨损折断。“我们开展的牙髓再生研究项目，就是利用乳牙干细胞联合凝</w:t>
      </w:r>
      <w:r>
        <w:rPr>
          <w:spacing w:val="-11"/>
        </w:rPr>
        <w:t>胶材料，通过组织工程方式，使牙髓组织得以再生并可产生新的牙本质，从而取代坏死的髓</w:t>
      </w:r>
      <w:r>
        <w:rPr/>
        <w:t>质。”</w:t>
      </w:r>
    </w:p>
    <w:p>
      <w:pPr>
        <w:pStyle w:val="BodyText"/>
        <w:spacing w:before="8"/>
        <w:ind w:left="0"/>
        <w:rPr>
          <w:sz w:val="12"/>
        </w:rPr>
      </w:pPr>
    </w:p>
    <w:p>
      <w:pPr>
        <w:spacing w:after="0"/>
        <w:rPr>
          <w:sz w:val="12"/>
        </w:rPr>
        <w:sectPr>
          <w:pgSz w:w="11910" w:h="16850"/>
          <w:pgMar w:header="906" w:footer="607" w:top="1100" w:bottom="800" w:left="1040" w:right="860"/>
        </w:sectPr>
      </w:pPr>
    </w:p>
    <w:p>
      <w:pPr>
        <w:pStyle w:val="Heading2"/>
        <w:spacing w:before="55"/>
        <w:ind w:left="2897"/>
      </w:pPr>
      <w:bookmarkStart w:name="_TOC_250034" w:id="13"/>
      <w:bookmarkEnd w:id="13"/>
      <w:r>
        <w:rPr/>
        <w:t>肺癌患者或携带独特基因突变</w:t>
      </w:r>
    </w:p>
    <w:p>
      <w:pPr>
        <w:pStyle w:val="BodyText"/>
        <w:ind w:left="0"/>
        <w:rPr>
          <w:b/>
        </w:rPr>
      </w:pPr>
      <w:r>
        <w:rPr/>
        <w:br w:type="column"/>
      </w:r>
      <w:r>
        <w:rPr>
          <w:b/>
        </w:rPr>
      </w:r>
    </w:p>
    <w:p>
      <w:pPr>
        <w:pStyle w:val="BodyText"/>
        <w:spacing w:before="10"/>
        <w:ind w:left="0"/>
        <w:rPr>
          <w:b/>
          <w:sz w:val="23"/>
        </w:rPr>
      </w:pPr>
    </w:p>
    <w:p>
      <w:pPr>
        <w:pStyle w:val="Heading4"/>
        <w:ind w:left="691"/>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7076" w:space="40"/>
            <w:col w:w="2894"/>
          </w:cols>
        </w:sectPr>
      </w:pPr>
    </w:p>
    <w:p>
      <w:pPr>
        <w:pStyle w:val="BodyText"/>
        <w:spacing w:line="297" w:lineRule="auto" w:before="96"/>
        <w:ind w:right="267" w:firstLine="480"/>
        <w:jc w:val="both"/>
      </w:pPr>
      <w:r>
        <w:rPr>
          <w:spacing w:val="-6"/>
        </w:rPr>
        <w:t>上海市胸科医院肿瘤科主任陆舜教授领衔团队近日在美国《胸部肿瘤学杂志》上在线发</w:t>
      </w:r>
      <w:r>
        <w:rPr>
          <w:spacing w:val="-4"/>
        </w:rPr>
        <w:t>表了临床研究新成果，全面揭示了中国人 </w:t>
      </w:r>
      <w:r>
        <w:rPr/>
        <w:t>EGFR/ERBB2</w:t>
      </w:r>
      <w:r>
        <w:rPr>
          <w:spacing w:val="-8"/>
        </w:rPr>
        <w:t> 基因突变情况，表明中国肺癌患者可能携带独特的基因突变模式。</w:t>
      </w:r>
    </w:p>
    <w:p>
      <w:pPr>
        <w:pStyle w:val="BodyText"/>
        <w:spacing w:line="297" w:lineRule="auto"/>
        <w:ind w:right="270" w:firstLine="480"/>
        <w:jc w:val="both"/>
      </w:pPr>
      <w:r>
        <w:rPr>
          <w:spacing w:val="-5"/>
        </w:rPr>
        <w:t>吸烟和空气污染被认为是中国人患肺癌最重要的危险因素，而对于肺癌发生的遗传决定</w:t>
      </w:r>
      <w:r>
        <w:rPr>
          <w:spacing w:val="-3"/>
        </w:rPr>
        <w:t>因素，目前学界仍然认识较少，尤其是有关中国人群中 </w:t>
      </w:r>
      <w:r>
        <w:rPr/>
        <w:t>EGFR</w:t>
      </w:r>
      <w:r>
        <w:rPr>
          <w:spacing w:val="-40"/>
        </w:rPr>
        <w:t> 和 </w:t>
      </w:r>
      <w:r>
        <w:rPr/>
        <w:t>ERBB2</w:t>
      </w:r>
      <w:r>
        <w:rPr>
          <w:spacing w:val="-8"/>
        </w:rPr>
        <w:t> 基因突变的频率及其与肺癌遗传相关性的作用尚未有报道。</w:t>
      </w:r>
    </w:p>
    <w:p>
      <w:pPr>
        <w:pStyle w:val="BodyText"/>
        <w:spacing w:line="297" w:lineRule="auto"/>
        <w:ind w:right="166" w:firstLine="480"/>
      </w:pPr>
      <w:r>
        <w:rPr>
          <w:spacing w:val="-3"/>
        </w:rPr>
        <w:t>陆舜带领团队运用新一代基因检测方法，对 </w:t>
      </w:r>
      <w:r>
        <w:rPr/>
        <w:t>12833</w:t>
      </w:r>
      <w:r>
        <w:rPr>
          <w:spacing w:val="-9"/>
        </w:rPr>
        <w:t> 名中国肺癌患者进行了回顾性分析， </w:t>
      </w:r>
      <w:r>
        <w:rPr>
          <w:spacing w:val="-31"/>
        </w:rPr>
        <w:t>在 </w:t>
      </w:r>
      <w:r>
        <w:rPr/>
        <w:t>14</w:t>
      </w:r>
      <w:r>
        <w:rPr>
          <w:spacing w:val="-14"/>
        </w:rPr>
        <w:t> 名患者中鉴定出 </w:t>
      </w:r>
      <w:r>
        <w:rPr/>
        <w:t>8</w:t>
      </w:r>
      <w:r>
        <w:rPr>
          <w:spacing w:val="-40"/>
        </w:rPr>
        <w:t> 种 </w:t>
      </w:r>
      <w:r>
        <w:rPr/>
        <w:t>EGFR</w:t>
      </w:r>
      <w:r>
        <w:rPr>
          <w:spacing w:val="-19"/>
        </w:rPr>
        <w:t> 杂合种系突变，在 </w:t>
      </w:r>
      <w:r>
        <w:rPr/>
        <w:t>1</w:t>
      </w:r>
      <w:r>
        <w:rPr>
          <w:spacing w:val="-14"/>
        </w:rPr>
        <w:t> 名患者中鉴定出 </w:t>
      </w:r>
      <w:r>
        <w:rPr/>
        <w:t>ERBB2</w:t>
      </w:r>
      <w:r>
        <w:rPr>
          <w:spacing w:val="-15"/>
        </w:rPr>
        <w:t> 种系突变。这些</w:t>
      </w:r>
      <w:r>
        <w:rPr>
          <w:spacing w:val="-27"/>
        </w:rPr>
        <w:t>患者中 </w:t>
      </w:r>
      <w:r>
        <w:rPr/>
        <w:t>5</w:t>
      </w:r>
      <w:r>
        <w:rPr>
          <w:spacing w:val="-13"/>
        </w:rPr>
        <w:t> 名有癌症家族史，表明 </w:t>
      </w:r>
      <w:r>
        <w:rPr/>
        <w:t>EGFR</w:t>
      </w:r>
      <w:r>
        <w:rPr>
          <w:spacing w:val="-8"/>
        </w:rPr>
        <w:t> 基因突变可能与肺癌的遗传患病风险相关。</w:t>
      </w:r>
    </w:p>
    <w:p>
      <w:pPr>
        <w:pStyle w:val="BodyText"/>
        <w:spacing w:line="297" w:lineRule="auto"/>
        <w:ind w:right="268" w:firstLine="480"/>
        <w:jc w:val="both"/>
      </w:pPr>
      <w:r>
        <w:rPr>
          <w:spacing w:val="-3"/>
        </w:rPr>
        <w:t>研究团队同时在体外运用肺癌细胞进行分析，首次证实了携带 </w:t>
      </w:r>
      <w:r>
        <w:rPr/>
        <w:t>EGFR</w:t>
      </w:r>
      <w:r>
        <w:rPr>
          <w:spacing w:val="-8"/>
        </w:rPr>
        <w:t> 种系基因突变且无</w:t>
      </w:r>
      <w:r>
        <w:rPr>
          <w:spacing w:val="-26"/>
        </w:rPr>
        <w:t>其他 </w:t>
      </w:r>
      <w:r>
        <w:rPr/>
        <w:t>EGFR</w:t>
      </w:r>
      <w:r>
        <w:rPr>
          <w:spacing w:val="-12"/>
        </w:rPr>
        <w:t> 驱动突变的患者也可能从 </w:t>
      </w:r>
      <w:r>
        <w:rPr/>
        <w:t>EGFR</w:t>
      </w:r>
      <w:r>
        <w:rPr>
          <w:spacing w:val="-60"/>
        </w:rPr>
        <w:t> </w:t>
      </w:r>
      <w:r>
        <w:rPr/>
        <w:t>TKI</w:t>
      </w:r>
      <w:r>
        <w:rPr>
          <w:spacing w:val="-12"/>
        </w:rPr>
        <w:t> 靶向药物治疗中获益。这项研究既为中国人肺</w:t>
      </w:r>
      <w:r>
        <w:rPr>
          <w:spacing w:val="-11"/>
        </w:rPr>
        <w:t>癌遗传易感性研究提供了重要思路，也给遗传性肺癌的预防和诊断带来启示，同时还为 </w:t>
      </w:r>
      <w:r>
        <w:rPr>
          <w:spacing w:val="-4"/>
        </w:rPr>
        <w:t>EGFR </w:t>
      </w:r>
      <w:r>
        <w:rPr>
          <w:spacing w:val="-9"/>
        </w:rPr>
        <w:t>基因突变患者 </w:t>
      </w:r>
      <w:r>
        <w:rPr/>
        <w:t>TKI</w:t>
      </w:r>
      <w:r>
        <w:rPr>
          <w:spacing w:val="-8"/>
        </w:rPr>
        <w:t> 药物治疗指引了方向。</w:t>
      </w:r>
    </w:p>
    <w:p>
      <w:pPr>
        <w:spacing w:after="0" w:line="297" w:lineRule="auto"/>
        <w:jc w:val="both"/>
        <w:sectPr>
          <w:type w:val="continuous"/>
          <w:pgSz w:w="11910" w:h="16850"/>
          <w:pgMar w:top="1100" w:bottom="1020" w:left="1040" w:right="860"/>
        </w:sectPr>
      </w:pPr>
    </w:p>
    <w:p>
      <w:pPr>
        <w:pStyle w:val="Heading2"/>
        <w:spacing w:line="395" w:lineRule="exact"/>
      </w:pPr>
      <w:bookmarkStart w:name="_TOC_250033" w:id="14"/>
      <w:bookmarkEnd w:id="14"/>
      <w:r>
        <w:rPr/>
        <w:t>【新药看台】</w:t>
      </w:r>
    </w:p>
    <w:p>
      <w:pPr>
        <w:pStyle w:val="BodyText"/>
        <w:spacing w:before="9"/>
        <w:ind w:left="0"/>
        <w:rPr>
          <w:b/>
          <w:sz w:val="17"/>
        </w:rPr>
      </w:pPr>
    </w:p>
    <w:p>
      <w:pPr>
        <w:spacing w:after="0"/>
        <w:rPr>
          <w:sz w:val="17"/>
        </w:rPr>
        <w:sectPr>
          <w:pgSz w:w="11910" w:h="16850"/>
          <w:pgMar w:header="906" w:footer="607" w:top="1100" w:bottom="800" w:left="1040" w:right="860"/>
        </w:sectPr>
      </w:pPr>
    </w:p>
    <w:p>
      <w:pPr>
        <w:pStyle w:val="Heading2"/>
        <w:spacing w:before="54"/>
        <w:ind w:left="2897"/>
      </w:pPr>
      <w:bookmarkStart w:name="_TOC_250032" w:id="15"/>
      <w:bookmarkEnd w:id="15"/>
      <w:r>
        <w:rPr>
          <w:spacing w:val="-2"/>
        </w:rPr>
        <w:t>美批准首款治疗产后抑郁的药</w:t>
      </w:r>
    </w:p>
    <w:p>
      <w:pPr>
        <w:pStyle w:val="BodyText"/>
        <w:ind w:left="0"/>
        <w:rPr>
          <w:b/>
        </w:rPr>
      </w:pPr>
      <w:r>
        <w:rPr/>
        <w:br w:type="column"/>
      </w:r>
      <w:r>
        <w:rPr>
          <w:b/>
        </w:rPr>
      </w:r>
    </w:p>
    <w:p>
      <w:pPr>
        <w:pStyle w:val="BodyText"/>
        <w:spacing w:before="7"/>
        <w:ind w:left="0"/>
        <w:rPr>
          <w:b/>
          <w:sz w:val="23"/>
        </w:rPr>
      </w:pPr>
    </w:p>
    <w:p>
      <w:pPr>
        <w:pStyle w:val="Heading4"/>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7072" w:space="40"/>
            <w:col w:w="2898"/>
          </w:cols>
        </w:sectPr>
      </w:pPr>
    </w:p>
    <w:p>
      <w:pPr>
        <w:pStyle w:val="BodyText"/>
        <w:spacing w:line="280" w:lineRule="auto" w:before="82"/>
        <w:ind w:right="270" w:firstLine="482"/>
        <w:jc w:val="both"/>
      </w:pPr>
      <w:r>
        <w:rPr>
          <w:spacing w:val="-4"/>
        </w:rPr>
        <w:t>美国食品和药物管理局日前批准首款专门用于治疗中度和重度产后抑郁症的药物，为治</w:t>
      </w:r>
      <w:r>
        <w:rPr/>
        <w:t>疗该病提供了一种新选择。</w:t>
      </w:r>
    </w:p>
    <w:p>
      <w:pPr>
        <w:pStyle w:val="BodyText"/>
        <w:spacing w:line="280" w:lineRule="auto"/>
        <w:ind w:right="149" w:firstLine="482"/>
      </w:pPr>
      <w:r>
        <w:rPr>
          <w:spacing w:val="-9"/>
        </w:rPr>
        <w:t>新获批的药物 </w:t>
      </w:r>
      <w:r>
        <w:rPr/>
        <w:t>Zulresso</w:t>
      </w:r>
      <w:r>
        <w:rPr>
          <w:spacing w:val="-18"/>
        </w:rPr>
        <w:t> 是一款静脉注射液，用于治疗 </w:t>
      </w:r>
      <w:r>
        <w:rPr/>
        <w:t>18</w:t>
      </w:r>
      <w:r>
        <w:rPr>
          <w:spacing w:val="-30"/>
        </w:rPr>
        <w:t> 岁到 </w:t>
      </w:r>
      <w:r>
        <w:rPr/>
        <w:t>45</w:t>
      </w:r>
      <w:r>
        <w:rPr>
          <w:spacing w:val="-9"/>
        </w:rPr>
        <w:t> 岁女性的产后抑郁症， </w:t>
      </w:r>
      <w:r>
        <w:rPr>
          <w:spacing w:val="-8"/>
        </w:rPr>
        <w:t>需连续静脉注射 </w:t>
      </w:r>
      <w:r>
        <w:rPr/>
        <w:t>60</w:t>
      </w:r>
      <w:r>
        <w:rPr>
          <w:spacing w:val="-8"/>
        </w:rPr>
        <w:t> 小时。临床试验显示，这种抗抑郁药物起效快，与安慰剂相比，该药物可大幅改善中度和重度产后抑郁症患者的抑郁症状。</w:t>
      </w:r>
    </w:p>
    <w:p>
      <w:pPr>
        <w:pStyle w:val="BodyText"/>
        <w:spacing w:line="280" w:lineRule="auto" w:before="2"/>
        <w:ind w:right="283" w:firstLine="482"/>
        <w:jc w:val="both"/>
      </w:pPr>
      <w:r>
        <w:rPr>
          <w:spacing w:val="-21"/>
        </w:rPr>
        <w:t>去年 </w:t>
      </w:r>
      <w:r>
        <w:rPr/>
        <w:t>8</w:t>
      </w:r>
      <w:r>
        <w:rPr>
          <w:spacing w:val="-8"/>
        </w:rPr>
        <w:t> 月在英国《柳叶刀》杂志上发表的三期临床试验结果显示，</w:t>
      </w:r>
      <w:r>
        <w:rPr/>
        <w:t>75%</w:t>
      </w:r>
      <w:r>
        <w:rPr>
          <w:spacing w:val="-3"/>
        </w:rPr>
        <w:t>的受试者抑郁症</w:t>
      </w:r>
      <w:r>
        <w:rPr>
          <w:spacing w:val="-9"/>
        </w:rPr>
        <w:t>状至少缓解了 </w:t>
      </w:r>
      <w:r>
        <w:rPr/>
        <w:t>50%，94%</w:t>
      </w:r>
      <w:r>
        <w:rPr>
          <w:spacing w:val="-9"/>
        </w:rPr>
        <w:t>的有疗效者在 </w:t>
      </w:r>
      <w:r>
        <w:rPr/>
        <w:t>30</w:t>
      </w:r>
      <w:r>
        <w:rPr>
          <w:spacing w:val="-8"/>
        </w:rPr>
        <w:t> 天内没有复发。</w:t>
      </w:r>
    </w:p>
    <w:p>
      <w:pPr>
        <w:pStyle w:val="BodyText"/>
        <w:spacing w:line="280" w:lineRule="auto"/>
        <w:ind w:right="164" w:firstLine="482"/>
      </w:pPr>
      <w:r>
        <w:rPr/>
        <w:t>但美国药管局表示，该药物存在副作用，比如可能会导致患者过度镇静或失去意识等， 因此只能由获准的医疗机构给药，并在注射过程中对患者进行全程监护。</w:t>
      </w:r>
    </w:p>
    <w:p>
      <w:pPr>
        <w:pStyle w:val="BodyText"/>
        <w:spacing w:line="280" w:lineRule="auto"/>
        <w:ind w:right="270" w:firstLine="482"/>
        <w:jc w:val="both"/>
      </w:pPr>
      <w:r>
        <w:rPr>
          <w:spacing w:val="-5"/>
        </w:rPr>
        <w:t>产后抑郁是一种可能干扰母婴关系甚至威胁母亲生命的疾病，如不加干预，产后抑郁症</w:t>
      </w:r>
      <w:r>
        <w:rPr>
          <w:spacing w:val="-3"/>
        </w:rPr>
        <w:t>可持续数月甚至数年。资料显示，美国每年预计有超过 </w:t>
      </w:r>
      <w:r>
        <w:rPr/>
        <w:t>40</w:t>
      </w:r>
      <w:r>
        <w:rPr>
          <w:spacing w:val="-8"/>
        </w:rPr>
        <w:t> 万新生儿的母亲会出现不同程度的产后抑郁症状。</w:t>
      </w:r>
    </w:p>
    <w:p>
      <w:pPr>
        <w:pStyle w:val="BodyText"/>
        <w:spacing w:before="6"/>
        <w:ind w:left="0"/>
        <w:rPr>
          <w:sz w:val="19"/>
        </w:rPr>
      </w:pPr>
    </w:p>
    <w:p>
      <w:pPr>
        <w:pStyle w:val="Heading2"/>
        <w:ind w:left="1290"/>
      </w:pPr>
      <w:bookmarkStart w:name="_TOC_250031" w:id="16"/>
      <w:bookmarkEnd w:id="16"/>
      <w:r>
        <w:rPr/>
        <w:t>贝达药业自主研发的新分子化合物获批开展临床试验</w:t>
      </w:r>
    </w:p>
    <w:p>
      <w:pPr>
        <w:pStyle w:val="Heading4"/>
        <w:spacing w:before="146"/>
        <w:ind w:left="0" w:right="270"/>
        <w:jc w:val="right"/>
        <w:rPr>
          <w:rFonts w:ascii="楷体" w:eastAsia="楷体" w:hint="eastAsia"/>
        </w:rPr>
      </w:pPr>
      <w:r>
        <w:rPr>
          <w:rFonts w:ascii="楷体" w:eastAsia="楷体" w:hint="eastAsia"/>
          <w:color w:val="FF0000"/>
          <w:w w:val="95"/>
        </w:rPr>
        <w:t>（来源：健康报）</w:t>
      </w:r>
    </w:p>
    <w:p>
      <w:pPr>
        <w:pStyle w:val="BodyText"/>
        <w:spacing w:line="280" w:lineRule="auto" w:before="79"/>
        <w:ind w:right="268" w:firstLine="482"/>
        <w:jc w:val="both"/>
      </w:pPr>
      <w:r>
        <w:rPr>
          <w:spacing w:val="-13"/>
        </w:rPr>
        <w:t>近日，贝达药业股份有限公司收到国家药品监督管理局签发的 </w:t>
      </w:r>
      <w:r>
        <w:rPr/>
        <w:t>BPI-23314</w:t>
      </w:r>
      <w:r>
        <w:rPr>
          <w:spacing w:val="-11"/>
        </w:rPr>
        <w:t> 项目的临床试</w:t>
      </w:r>
      <w:r>
        <w:rPr>
          <w:spacing w:val="-8"/>
        </w:rPr>
        <w:t>验通知书，批准开展单药用于恶性血液系统肿瘤</w:t>
      </w:r>
      <w:r>
        <w:rPr/>
        <w:t>（</w:t>
      </w:r>
      <w:r>
        <w:rPr>
          <w:spacing w:val="-6"/>
        </w:rPr>
        <w:t>急性髓系白血病、非霍奇金淋巴瘤和多发</w:t>
      </w:r>
      <w:r>
        <w:rPr/>
        <w:t>性骨髓瘤）的临床试验。</w:t>
      </w:r>
    </w:p>
    <w:p>
      <w:pPr>
        <w:pStyle w:val="BodyText"/>
        <w:spacing w:line="280" w:lineRule="auto" w:before="1"/>
        <w:ind w:right="270" w:firstLine="482"/>
        <w:jc w:val="both"/>
      </w:pPr>
      <w:r>
        <w:rPr/>
        <w:t>BPI-23314</w:t>
      </w:r>
      <w:r>
        <w:rPr>
          <w:spacing w:val="-11"/>
        </w:rPr>
        <w:t> 是一个由贝达药业自主研发的拥有完全自主知识产权的新分子化合物，是一</w:t>
      </w:r>
      <w:r>
        <w:rPr/>
        <w:t>种强效、高选择性溴结构域和末端外结构域（BET）口服小分子抑制剂，能通过特异性抑制</w:t>
      </w:r>
    </w:p>
    <w:p>
      <w:pPr>
        <w:pStyle w:val="BodyText"/>
        <w:spacing w:line="280" w:lineRule="auto"/>
        <w:ind w:right="265"/>
        <w:jc w:val="both"/>
      </w:pPr>
      <w:r>
        <w:rPr/>
        <w:t>BET</w:t>
      </w:r>
      <w:r>
        <w:rPr>
          <w:spacing w:val="-11"/>
        </w:rPr>
        <w:t> 家族蛋白的功能，调控癌症相关基因的转录表达，进而影响细胞生长、增殖、凋亡等多</w:t>
      </w:r>
      <w:r>
        <w:rPr>
          <w:spacing w:val="-5"/>
        </w:rPr>
        <w:t>个生理过程，最终达到抑制肿瘤生长的目标。</w:t>
      </w:r>
      <w:r>
        <w:rPr/>
        <w:t>BET</w:t>
      </w:r>
      <w:r>
        <w:rPr>
          <w:spacing w:val="-9"/>
        </w:rPr>
        <w:t> 蛋白的异常表达和功能失调与多种疾病关</w:t>
      </w:r>
      <w:r>
        <w:rPr>
          <w:spacing w:val="-11"/>
        </w:rPr>
        <w:t>联，作为一种极具潜力的抗肿瘤靶点，近些年得到了广泛关注和开发，目前以 </w:t>
      </w:r>
      <w:r>
        <w:rPr/>
        <w:t>BET</w:t>
      </w:r>
      <w:r>
        <w:rPr>
          <w:spacing w:val="-15"/>
        </w:rPr>
        <w:t> 为靶点的</w:t>
      </w:r>
      <w:r>
        <w:rPr/>
        <w:t>药物均处于早期临床阶段，国内外尚无药物上市。</w:t>
      </w:r>
    </w:p>
    <w:p>
      <w:pPr>
        <w:pStyle w:val="BodyText"/>
        <w:spacing w:line="280" w:lineRule="auto" w:before="2"/>
        <w:ind w:right="269" w:firstLine="482"/>
        <w:jc w:val="both"/>
      </w:pPr>
      <w:r>
        <w:rPr>
          <w:spacing w:val="-7"/>
        </w:rPr>
        <w:t>贝达药业副总裁兼首席科学家王家炳博士说：“癌症是民生痛点，国家提出实施癌症防</w:t>
      </w:r>
      <w:r>
        <w:rPr>
          <w:spacing w:val="-10"/>
        </w:rPr>
        <w:t>治行动，巨大的临床需求未被满足，我们将致力于开发更多患者迫切需要的新药、好药，助</w:t>
      </w:r>
      <w:r>
        <w:rPr/>
        <w:t>力癌症防治，造福百姓健康。”</w:t>
      </w:r>
    </w:p>
    <w:p>
      <w:pPr>
        <w:pStyle w:val="BodyText"/>
        <w:spacing w:before="5"/>
        <w:ind w:left="0"/>
        <w:rPr>
          <w:sz w:val="19"/>
        </w:rPr>
      </w:pPr>
    </w:p>
    <w:p>
      <w:pPr>
        <w:pStyle w:val="Heading2"/>
        <w:spacing w:before="1"/>
        <w:ind w:left="1048"/>
      </w:pPr>
      <w:bookmarkStart w:name="_TOC_250030" w:id="17"/>
      <w:bookmarkEnd w:id="17"/>
      <w:r>
        <w:rPr/>
        <w:t>全球首个！君实生物 BTLA 单抗在美申请临床试验获受理</w:t>
      </w:r>
    </w:p>
    <w:p>
      <w:pPr>
        <w:pStyle w:val="Heading4"/>
        <w:spacing w:before="147"/>
        <w:ind w:left="0" w:right="268"/>
        <w:jc w:val="right"/>
        <w:rPr>
          <w:rFonts w:ascii="楷体" w:eastAsia="楷体" w:hint="eastAsia"/>
        </w:rPr>
      </w:pPr>
      <w:r>
        <w:rPr>
          <w:rFonts w:ascii="楷体" w:eastAsia="楷体" w:hint="eastAsia"/>
          <w:color w:val="FF0000"/>
          <w:w w:val="95"/>
        </w:rPr>
        <w:t>（来源：医药经济报）</w:t>
      </w:r>
    </w:p>
    <w:p>
      <w:pPr>
        <w:pStyle w:val="BodyText"/>
        <w:spacing w:line="280" w:lineRule="auto" w:before="80"/>
        <w:ind w:right="271" w:firstLine="482"/>
      </w:pPr>
      <w:r>
        <w:rPr/>
        <w:t>3</w:t>
      </w:r>
      <w:r>
        <w:rPr>
          <w:spacing w:val="-41"/>
        </w:rPr>
        <w:t> 月 </w:t>
      </w:r>
      <w:r>
        <w:rPr/>
        <w:t>25</w:t>
      </w:r>
      <w:r>
        <w:rPr>
          <w:spacing w:val="-8"/>
        </w:rPr>
        <w:t> 日，君实生物宣布开发出全球首个</w:t>
      </w:r>
      <w:r>
        <w:rPr/>
        <w:t>（First in human, FIH）</w:t>
      </w:r>
      <w:r>
        <w:rPr>
          <w:spacing w:val="-10"/>
        </w:rPr>
        <w:t>特异性针对 </w:t>
      </w:r>
      <w:r>
        <w:rPr/>
        <w:t>B-和T-</w:t>
      </w:r>
      <w:r>
        <w:rPr>
          <w:spacing w:val="-4"/>
        </w:rPr>
        <w:t>淋巴细胞衰减因子</w:t>
      </w:r>
      <w:r>
        <w:rPr>
          <w:spacing w:val="-5"/>
        </w:rPr>
        <w:t>（BTLA）</w:t>
      </w:r>
      <w:r>
        <w:rPr>
          <w:spacing w:val="-9"/>
        </w:rPr>
        <w:t>的重组人源化 </w:t>
      </w:r>
      <w:r>
        <w:rPr/>
        <w:t>IgG4</w:t>
      </w:r>
      <w:r>
        <w:rPr>
          <w:rFonts w:ascii="Arial" w:hAnsi="Arial" w:eastAsia="Arial"/>
        </w:rPr>
        <w:t>κ</w:t>
      </w:r>
      <w:r>
        <w:rPr>
          <w:rFonts w:ascii="Arial" w:hAnsi="Arial" w:eastAsia="Arial"/>
          <w:spacing w:val="55"/>
        </w:rPr>
        <w:t> </w:t>
      </w:r>
      <w:r>
        <w:rPr>
          <w:spacing w:val="-6"/>
        </w:rPr>
        <w:t>单克隆抗体</w:t>
      </w:r>
      <w:r>
        <w:rPr/>
        <w:t>（TAB004，</w:t>
      </w:r>
      <w:r>
        <w:rPr>
          <w:spacing w:val="-30"/>
        </w:rPr>
        <w:t>或 </w:t>
      </w:r>
      <w:r>
        <w:rPr>
          <w:spacing w:val="-5"/>
        </w:rPr>
        <w:t>JS004）</w:t>
      </w:r>
      <w:r>
        <w:rPr>
          <w:spacing w:val="-4"/>
        </w:rPr>
        <w:t>。其新</w:t>
      </w:r>
      <w:r>
        <w:rPr/>
        <w:t>药临床试验申请（IND）</w:t>
      </w:r>
      <w:r>
        <w:rPr>
          <w:spacing w:val="-21"/>
        </w:rPr>
        <w:t>已于 </w:t>
      </w:r>
      <w:r>
        <w:rPr/>
        <w:t>3</w:t>
      </w:r>
      <w:r>
        <w:rPr>
          <w:spacing w:val="-40"/>
        </w:rPr>
        <w:t> 月 </w:t>
      </w:r>
      <w:r>
        <w:rPr/>
        <w:t>22</w:t>
      </w:r>
      <w:r>
        <w:rPr>
          <w:spacing w:val="-8"/>
        </w:rPr>
        <w:t> 日获得美国食品药品监督管理局</w:t>
      </w:r>
      <w:r>
        <w:rPr/>
        <w:t>（FDA）受理，拟适用</w:t>
      </w:r>
      <w:r>
        <w:rPr>
          <w:spacing w:val="-3"/>
        </w:rPr>
        <w:t>于晚期不可切除或转移性实体瘤的治疗，包括 </w:t>
      </w:r>
      <w:r>
        <w:rPr/>
        <w:t>PD-1</w:t>
      </w:r>
      <w:r>
        <w:rPr>
          <w:spacing w:val="-8"/>
        </w:rPr>
        <w:t> 抗体耐药患者。</w:t>
      </w:r>
    </w:p>
    <w:p>
      <w:pPr>
        <w:spacing w:after="0" w:line="280" w:lineRule="auto"/>
        <w:sectPr>
          <w:type w:val="continuous"/>
          <w:pgSz w:w="11910" w:h="16850"/>
          <w:pgMar w:top="1100" w:bottom="1020" w:left="1040" w:right="860"/>
        </w:sectPr>
      </w:pPr>
    </w:p>
    <w:p>
      <w:pPr>
        <w:pStyle w:val="BodyText"/>
        <w:spacing w:line="280" w:lineRule="auto" w:before="48"/>
        <w:ind w:right="268" w:firstLine="482"/>
        <w:jc w:val="both"/>
      </w:pPr>
      <w:r>
        <w:rPr/>
        <w:t>BTLA</w:t>
      </w:r>
      <w:r>
        <w:rPr>
          <w:spacing w:val="-41"/>
        </w:rPr>
        <w:t> 是 </w:t>
      </w:r>
      <w:r>
        <w:rPr/>
        <w:t>2003</w:t>
      </w:r>
      <w:r>
        <w:rPr>
          <w:spacing w:val="-13"/>
        </w:rPr>
        <w:t> 年发现的表达于活化 </w:t>
      </w:r>
      <w:r>
        <w:rPr/>
        <w:t>T、B</w:t>
      </w:r>
      <w:r>
        <w:rPr>
          <w:spacing w:val="-8"/>
        </w:rPr>
        <w:t> 淋巴细胞的一个重要的免疫检查点分子，与其</w:t>
      </w:r>
      <w:r>
        <w:rPr>
          <w:spacing w:val="-14"/>
        </w:rPr>
        <w:t>他免疫检查点分子如 </w:t>
      </w:r>
      <w:r>
        <w:rPr/>
        <w:t>PD-1</w:t>
      </w:r>
      <w:r>
        <w:rPr>
          <w:spacing w:val="-40"/>
        </w:rPr>
        <w:t> 和 </w:t>
      </w:r>
      <w:r>
        <w:rPr/>
        <w:t>CTLA-4</w:t>
      </w:r>
      <w:r>
        <w:rPr>
          <w:spacing w:val="-21"/>
        </w:rPr>
        <w:t> 具有类似的结构</w:t>
      </w:r>
      <w:r>
        <w:rPr/>
        <w:t>（</w:t>
      </w:r>
      <w:r>
        <w:rPr>
          <w:spacing w:val="-5"/>
        </w:rPr>
        <w:t>单一的免疫球蛋白可变区 </w:t>
      </w:r>
      <w:r>
        <w:rPr/>
        <w:t>IgV</w:t>
      </w:r>
      <w:r>
        <w:rPr>
          <w:spacing w:val="-19"/>
        </w:rPr>
        <w:t> 细胞外</w:t>
      </w:r>
      <w:r>
        <w:rPr/>
        <w:t>结构域</w:t>
      </w:r>
      <w:r>
        <w:rPr>
          <w:spacing w:val="-82"/>
        </w:rPr>
        <w:t>）</w:t>
      </w:r>
      <w:r>
        <w:rPr>
          <w:spacing w:val="-6"/>
        </w:rPr>
        <w:t>和相近的细胞内的信号传导机制</w:t>
      </w:r>
      <w:r>
        <w:rPr/>
        <w:t>（</w:t>
      </w:r>
      <w:r>
        <w:rPr>
          <w:spacing w:val="-10"/>
        </w:rPr>
        <w:t>胞质内两个 </w:t>
      </w:r>
      <w:r>
        <w:rPr/>
        <w:t>ITIM</w:t>
      </w:r>
      <w:r>
        <w:rPr>
          <w:spacing w:val="-14"/>
        </w:rPr>
        <w:t> 结构域募集活化 </w:t>
      </w:r>
      <w:r>
        <w:rPr/>
        <w:t>SHP-1</w:t>
      </w:r>
      <w:r>
        <w:rPr>
          <w:spacing w:val="-40"/>
        </w:rPr>
        <w:t> 和 </w:t>
      </w:r>
      <w:r>
        <w:rPr>
          <w:spacing w:val="-3"/>
        </w:rPr>
        <w:t>SHP-2 </w:t>
      </w:r>
      <w:r>
        <w:rPr/>
        <w:t>磷酸酶抑制淋巴细胞功能）。</w:t>
      </w:r>
    </w:p>
    <w:p>
      <w:pPr>
        <w:pStyle w:val="BodyText"/>
        <w:spacing w:line="280" w:lineRule="auto" w:before="1"/>
        <w:ind w:right="285" w:firstLine="482"/>
      </w:pPr>
      <w:r>
        <w:rPr/>
        <w:t>TNF</w:t>
      </w:r>
      <w:r>
        <w:rPr>
          <w:spacing w:val="-18"/>
        </w:rPr>
        <w:t> 受体家族的 </w:t>
      </w:r>
      <w:r>
        <w:rPr/>
        <w:t>HVEM（Herpesvirus entry mediator，疱疹病毒进入中介体）</w:t>
      </w:r>
      <w:r>
        <w:rPr>
          <w:spacing w:val="-30"/>
        </w:rPr>
        <w:t>在 </w:t>
      </w:r>
      <w:r>
        <w:rPr/>
        <w:t>2005 </w:t>
      </w:r>
      <w:r>
        <w:rPr>
          <w:spacing w:val="-11"/>
        </w:rPr>
        <w:t>年被鉴定为 </w:t>
      </w:r>
      <w:r>
        <w:rPr/>
        <w:t>BTLA</w:t>
      </w:r>
      <w:r>
        <w:rPr>
          <w:spacing w:val="-11"/>
        </w:rPr>
        <w:t> 的配体，广泛地表达于人体免疫细胞，如 </w:t>
      </w:r>
      <w:r>
        <w:rPr/>
        <w:t>T</w:t>
      </w:r>
      <w:r>
        <w:rPr>
          <w:spacing w:val="-15"/>
        </w:rPr>
        <w:t> 细胞、</w:t>
      </w:r>
      <w:r>
        <w:rPr/>
        <w:t>B</w:t>
      </w:r>
      <w:r>
        <w:rPr>
          <w:spacing w:val="-15"/>
        </w:rPr>
        <w:t> 细胞、</w:t>
      </w:r>
      <w:r>
        <w:rPr/>
        <w:t>NK</w:t>
      </w:r>
      <w:r>
        <w:rPr>
          <w:spacing w:val="-13"/>
        </w:rPr>
        <w:t> 细胞、髓样</w:t>
      </w:r>
      <w:r>
        <w:rPr/>
        <w:t>细胞和树突细胞，以及多种肿瘤细胞（包括非小细胞肺癌、黑色素瘤、结肠直肠癌和淋巴瘤）。</w:t>
      </w:r>
    </w:p>
    <w:p>
      <w:pPr>
        <w:pStyle w:val="BodyText"/>
        <w:spacing w:line="280" w:lineRule="auto" w:before="1"/>
        <w:ind w:right="149" w:firstLine="482"/>
        <w:jc w:val="both"/>
      </w:pPr>
      <w:r>
        <w:rPr/>
        <w:t>在正常生理情况下，BTLA</w:t>
      </w:r>
      <w:r>
        <w:rPr>
          <w:spacing w:val="-20"/>
        </w:rPr>
        <w:t> 与其配体 </w:t>
      </w:r>
      <w:r>
        <w:rPr/>
        <w:t>HVEM</w:t>
      </w:r>
      <w:r>
        <w:rPr>
          <w:spacing w:val="-8"/>
        </w:rPr>
        <w:t> 结合后，可以抑制体内淋巴细胞的过度活化， </w:t>
      </w:r>
      <w:r>
        <w:rPr>
          <w:spacing w:val="-14"/>
        </w:rPr>
        <w:t>防止免疫系统对自身的损伤。而在肺癌、黑色素瘤、结肠直肠癌和淋巴瘤等肿瘤细胞通过高</w:t>
      </w:r>
      <w:r>
        <w:rPr>
          <w:spacing w:val="-30"/>
        </w:rPr>
        <w:t>表达 </w:t>
      </w:r>
      <w:r>
        <w:rPr>
          <w:spacing w:val="-17"/>
        </w:rPr>
        <w:t>HVEM</w:t>
      </w:r>
      <w:r>
        <w:rPr>
          <w:spacing w:val="-7"/>
        </w:rPr>
        <w:t>，与肿瘤特异的杀伤性淋巴细胞表达的 </w:t>
      </w:r>
      <w:r>
        <w:rPr/>
        <w:t>BTLA</w:t>
      </w:r>
      <w:r>
        <w:rPr>
          <w:spacing w:val="-14"/>
        </w:rPr>
        <w:t> 结合后，可抑制淋巴细胞的免疫功能。</w:t>
      </w:r>
    </w:p>
    <w:p>
      <w:pPr>
        <w:pStyle w:val="BodyText"/>
        <w:spacing w:before="1"/>
      </w:pPr>
      <w:r>
        <w:rPr/>
        <w:t>HVEM 的肿瘤高表达与不良预后相关联。</w:t>
      </w:r>
    </w:p>
    <w:p>
      <w:pPr>
        <w:pStyle w:val="BodyText"/>
        <w:spacing w:line="280" w:lineRule="auto" w:before="53"/>
        <w:ind w:right="266" w:firstLine="482"/>
        <w:jc w:val="both"/>
      </w:pPr>
      <w:r>
        <w:rPr>
          <w:spacing w:val="-1"/>
        </w:rPr>
        <w:t>在黑色素瘤患者来源的细胞体外试验中发现，</w:t>
      </w:r>
      <w:r>
        <w:rPr>
          <w:spacing w:val="-9"/>
        </w:rPr>
        <w:t>BTLA</w:t>
      </w:r>
      <w:r>
        <w:rPr>
          <w:spacing w:val="-40"/>
        </w:rPr>
        <w:t> 和 </w:t>
      </w:r>
      <w:r>
        <w:rPr/>
        <w:t>PD-1</w:t>
      </w:r>
      <w:r>
        <w:rPr>
          <w:spacing w:val="-9"/>
        </w:rPr>
        <w:t> 通路的共同阻断显著增加肿</w:t>
      </w:r>
      <w:r>
        <w:rPr>
          <w:spacing w:val="-6"/>
        </w:rPr>
        <w:t>瘤特异的杀伤性淋巴细胞的数量和功能，远优于单独的 </w:t>
      </w:r>
      <w:r>
        <w:rPr/>
        <w:t>PD-1</w:t>
      </w:r>
      <w:r>
        <w:rPr>
          <w:spacing w:val="-20"/>
        </w:rPr>
        <w:t> 阻断效果，表明 </w:t>
      </w:r>
      <w:r>
        <w:rPr/>
        <w:t>BTLA</w:t>
      </w:r>
      <w:r>
        <w:rPr>
          <w:spacing w:val="-15"/>
        </w:rPr>
        <w:t> 通路在肿</w:t>
      </w:r>
      <w:r>
        <w:rPr>
          <w:spacing w:val="-7"/>
        </w:rPr>
        <w:t>瘤微环境的激活是 </w:t>
      </w:r>
      <w:r>
        <w:rPr/>
        <w:t>PD-1</w:t>
      </w:r>
      <w:r>
        <w:rPr>
          <w:spacing w:val="-8"/>
        </w:rPr>
        <w:t> 抗体的潜在耐药机制之一。</w:t>
      </w:r>
    </w:p>
    <w:p>
      <w:pPr>
        <w:pStyle w:val="BodyText"/>
        <w:spacing w:line="280" w:lineRule="auto"/>
        <w:ind w:right="284" w:firstLine="482"/>
        <w:jc w:val="both"/>
      </w:pPr>
      <w:r>
        <w:rPr>
          <w:spacing w:val="-6"/>
        </w:rPr>
        <w:t>这些结果显示，对于 </w:t>
      </w:r>
      <w:r>
        <w:rPr/>
        <w:t>BTLA</w:t>
      </w:r>
      <w:r>
        <w:rPr>
          <w:spacing w:val="-9"/>
        </w:rPr>
        <w:t> 免疫检查点分子的阻断，可以进一步改善淋巴细胞功能，尤</w:t>
      </w:r>
      <w:r>
        <w:rPr>
          <w:spacing w:val="-13"/>
        </w:rPr>
        <w:t>其是和抗 </w:t>
      </w:r>
      <w:r>
        <w:rPr/>
        <w:t>PD-1</w:t>
      </w:r>
      <w:r>
        <w:rPr>
          <w:spacing w:val="-9"/>
        </w:rPr>
        <w:t> 单抗联合使用时，有可能进一步提高免疫检查点阻断治疗的疗效，扩大免疫</w:t>
      </w:r>
      <w:r>
        <w:rPr/>
        <w:t>治疗地受益人群。</w:t>
      </w:r>
    </w:p>
    <w:p>
      <w:pPr>
        <w:pStyle w:val="BodyText"/>
        <w:spacing w:line="280" w:lineRule="auto" w:before="1"/>
        <w:ind w:right="266" w:firstLine="482"/>
        <w:jc w:val="both"/>
      </w:pPr>
      <w:r>
        <w:rPr>
          <w:spacing w:val="-4"/>
        </w:rPr>
        <w:t>君实生物开发出的全球首个特异性针对 </w:t>
      </w:r>
      <w:r>
        <w:rPr/>
        <w:t>BTLA</w:t>
      </w:r>
      <w:r>
        <w:rPr>
          <w:spacing w:val="-12"/>
        </w:rPr>
        <w:t> 的重组人源化单克隆抗体 </w:t>
      </w:r>
      <w:r>
        <w:rPr/>
        <w:t>JS004，拟适用</w:t>
      </w:r>
      <w:r>
        <w:rPr>
          <w:spacing w:val="-1"/>
        </w:rPr>
        <w:t>于晚期不可切除或转移性实体瘤</w:t>
      </w:r>
      <w:r>
        <w:rPr/>
        <w:t>（包括淋巴瘤</w:t>
      </w:r>
      <w:r>
        <w:rPr>
          <w:spacing w:val="-10"/>
        </w:rPr>
        <w:t>）</w:t>
      </w:r>
      <w:r>
        <w:rPr>
          <w:spacing w:val="-3"/>
        </w:rPr>
        <w:t>的治疗。体外和体内研究表明，</w:t>
      </w:r>
      <w:r>
        <w:rPr/>
        <w:t>JS004</w:t>
      </w:r>
      <w:r>
        <w:rPr>
          <w:spacing w:val="-28"/>
        </w:rPr>
        <w:t> 可以</w:t>
      </w:r>
      <w:r>
        <w:rPr>
          <w:spacing w:val="-8"/>
        </w:rPr>
        <w:t>促进肿瘤特异性 </w:t>
      </w:r>
      <w:r>
        <w:rPr/>
        <w:t>T</w:t>
      </w:r>
      <w:r>
        <w:rPr>
          <w:spacing w:val="-11"/>
        </w:rPr>
        <w:t> 淋巴细胞增殖和提高淋巴细胞功能，在 </w:t>
      </w:r>
      <w:r>
        <w:rPr/>
        <w:t>BTLA</w:t>
      </w:r>
      <w:r>
        <w:rPr>
          <w:spacing w:val="-8"/>
        </w:rPr>
        <w:t> 人源化小鼠的肿瘤模型里减轻肿瘤负荷并提高存活率。</w:t>
      </w:r>
    </w:p>
    <w:p>
      <w:pPr>
        <w:pStyle w:val="BodyText"/>
        <w:spacing w:line="280" w:lineRule="auto" w:before="1"/>
        <w:ind w:right="283" w:firstLine="482"/>
        <w:jc w:val="both"/>
      </w:pPr>
      <w:r>
        <w:rPr>
          <w:spacing w:val="-8"/>
        </w:rPr>
        <w:t>君实生物计划在 </w:t>
      </w:r>
      <w:r>
        <w:rPr/>
        <w:t>PD-1</w:t>
      </w:r>
      <w:r>
        <w:rPr>
          <w:spacing w:val="-12"/>
        </w:rPr>
        <w:t> 抗体耐药的实体瘤病人里展开 </w:t>
      </w:r>
      <w:r>
        <w:rPr/>
        <w:t>JS004 I</w:t>
      </w:r>
      <w:r>
        <w:rPr>
          <w:spacing w:val="-14"/>
        </w:rPr>
        <w:t> 期爬坡试验，并在 </w:t>
      </w:r>
      <w:r>
        <w:rPr/>
        <w:t>I</w:t>
      </w:r>
      <w:r>
        <w:rPr>
          <w:spacing w:val="-25"/>
        </w:rPr>
        <w:t> 期扩</w:t>
      </w:r>
      <w:r>
        <w:rPr/>
        <w:t>展组进行与特瑞普利单抗（</w:t>
      </w:r>
      <w:r>
        <w:rPr>
          <w:spacing w:val="-30"/>
        </w:rPr>
        <w:t>抗 </w:t>
      </w:r>
      <w:r>
        <w:rPr/>
        <w:t>PD-1</w:t>
      </w:r>
      <w:r>
        <w:rPr>
          <w:spacing w:val="-20"/>
        </w:rPr>
        <w:t> 单抗</w:t>
      </w:r>
      <w:r>
        <w:rPr/>
        <w:t>）的联合治疗的尝试。</w:t>
      </w:r>
    </w:p>
    <w:p>
      <w:pPr>
        <w:pStyle w:val="Heading1"/>
        <w:spacing w:line="642" w:lineRule="exact" w:before="0"/>
        <w:rPr>
          <w:u w:val="none"/>
        </w:rPr>
      </w:pPr>
      <w:bookmarkStart w:name="_TOC_250029" w:id="18"/>
      <w:r>
        <w:rPr>
          <w:rFonts w:ascii="Times New Roman" w:eastAsia="Times New Roman"/>
          <w:color w:val="008000"/>
          <w:spacing w:val="-110"/>
          <w:w w:val="99"/>
          <w:u w:val="thick" w:color="008000"/>
        </w:rPr>
        <w:t> </w:t>
      </w:r>
      <w:bookmarkEnd w:id="18"/>
      <w:r>
        <w:rPr>
          <w:color w:val="008000"/>
          <w:u w:val="thick" w:color="008000"/>
        </w:rPr>
        <w:t>合理用药</w:t>
      </w:r>
    </w:p>
    <w:p>
      <w:pPr>
        <w:pStyle w:val="Heading2"/>
        <w:spacing w:before="16"/>
      </w:pPr>
      <w:bookmarkStart w:name="_TOC_250028" w:id="19"/>
      <w:bookmarkEnd w:id="19"/>
      <w:r>
        <w:rPr/>
        <w:t>【临床药师】</w:t>
      </w:r>
    </w:p>
    <w:p>
      <w:pPr>
        <w:pStyle w:val="BodyText"/>
        <w:spacing w:before="11"/>
        <w:ind w:left="0"/>
        <w:rPr>
          <w:b/>
          <w:sz w:val="22"/>
        </w:rPr>
      </w:pPr>
    </w:p>
    <w:p>
      <w:pPr>
        <w:pStyle w:val="Heading2"/>
        <w:ind w:left="362"/>
      </w:pPr>
      <w:bookmarkStart w:name="_TOC_250027" w:id="20"/>
      <w:r>
        <w:rPr>
          <w:w w:val="90"/>
        </w:rPr>
        <w:t>P2Y12</w:t>
      </w:r>
      <w:r>
        <w:rPr>
          <w:spacing w:val="-20"/>
          <w:w w:val="90"/>
        </w:rPr>
        <w:t> 受体抑制剂为基础的抗栓时代已经来临 —关于 </w:t>
      </w:r>
      <w:r>
        <w:rPr>
          <w:w w:val="90"/>
        </w:rPr>
        <w:t>2019</w:t>
      </w:r>
      <w:r>
        <w:rPr>
          <w:spacing w:val="-85"/>
          <w:w w:val="90"/>
        </w:rPr>
        <w:t> </w:t>
      </w:r>
      <w:r>
        <w:rPr>
          <w:w w:val="90"/>
        </w:rPr>
        <w:t>ACC</w:t>
      </w:r>
      <w:bookmarkEnd w:id="20"/>
      <w:r>
        <w:rPr>
          <w:spacing w:val="-18"/>
          <w:w w:val="90"/>
        </w:rPr>
        <w:t> 新证据的思考</w:t>
      </w:r>
    </w:p>
    <w:p>
      <w:pPr>
        <w:pStyle w:val="Heading4"/>
        <w:spacing w:before="146"/>
        <w:ind w:left="7085"/>
        <w:rPr>
          <w:rFonts w:ascii="楷体" w:eastAsia="楷体" w:hint="eastAsia"/>
        </w:rPr>
      </w:pPr>
      <w:r>
        <w:rPr>
          <w:rFonts w:ascii="楷体" w:eastAsia="楷体" w:hint="eastAsia"/>
          <w:color w:val="FF0000"/>
        </w:rPr>
        <w:t>（来源：中国医学论坛）</w:t>
      </w:r>
    </w:p>
    <w:p>
      <w:pPr>
        <w:pStyle w:val="BodyText"/>
        <w:spacing w:line="297" w:lineRule="auto" w:before="98"/>
        <w:ind w:right="266" w:firstLine="480"/>
        <w:jc w:val="both"/>
      </w:pPr>
      <w:r>
        <w:rPr/>
        <w:t>2019</w:t>
      </w:r>
      <w:r>
        <w:rPr>
          <w:spacing w:val="-41"/>
        </w:rPr>
        <w:t> 年 </w:t>
      </w:r>
      <w:r>
        <w:rPr/>
        <w:t>3</w:t>
      </w:r>
      <w:r>
        <w:rPr>
          <w:spacing w:val="-40"/>
        </w:rPr>
        <w:t> 月 </w:t>
      </w:r>
      <w:r>
        <w:rPr/>
        <w:t>16</w:t>
      </w:r>
      <w:r>
        <w:rPr>
          <w:spacing w:val="-30"/>
        </w:rPr>
        <w:t> 日</w:t>
      </w:r>
      <w:r>
        <w:rPr/>
        <w:t>～3</w:t>
      </w:r>
      <w:r>
        <w:rPr>
          <w:spacing w:val="-40"/>
        </w:rPr>
        <w:t> 月 </w:t>
      </w:r>
      <w:r>
        <w:rPr/>
        <w:t>18</w:t>
      </w:r>
      <w:r>
        <w:rPr>
          <w:spacing w:val="-24"/>
        </w:rPr>
        <w:t> 日，第 </w:t>
      </w:r>
      <w:r>
        <w:rPr/>
        <w:t>68</w:t>
      </w:r>
      <w:r>
        <w:rPr>
          <w:spacing w:val="-8"/>
        </w:rPr>
        <w:t> 届美国心脏病学会科学年会</w:t>
      </w:r>
      <w:r>
        <w:rPr/>
        <w:t>（ACC 2019）在新奥尔良成功举行。关于经皮冠状动脉介入治疗（PCI）患者长期抗血小板治疗策略的多项新证</w:t>
      </w:r>
      <w:r>
        <w:rPr>
          <w:spacing w:val="-9"/>
        </w:rPr>
        <w:t>据相继公布，成为本次大会的亮点。这些研究包括评估 </w:t>
      </w:r>
      <w:r>
        <w:rPr/>
        <w:t>P2Y12</w:t>
      </w:r>
      <w:r>
        <w:rPr>
          <w:spacing w:val="-12"/>
        </w:rPr>
        <w:t> 受体抑制剂单药长期用于 </w:t>
      </w:r>
      <w:r>
        <w:rPr>
          <w:spacing w:val="-5"/>
        </w:rPr>
        <w:t>PCI </w:t>
      </w:r>
      <w:r>
        <w:rPr>
          <w:spacing w:val="-7"/>
        </w:rPr>
        <w:t>患者疗效与安全性的 </w:t>
      </w:r>
      <w:r>
        <w:rPr/>
        <w:t>STOPDAPT-2</w:t>
      </w:r>
      <w:r>
        <w:rPr>
          <w:spacing w:val="-51"/>
        </w:rPr>
        <w:t>、</w:t>
      </w:r>
      <w:r>
        <w:rPr/>
        <w:t>SMART-CHOICE</w:t>
      </w:r>
      <w:r>
        <w:rPr>
          <w:spacing w:val="-50"/>
        </w:rPr>
        <w:t>、</w:t>
      </w:r>
      <w:r>
        <w:rPr/>
        <w:t>GLASSY</w:t>
      </w:r>
      <w:r>
        <w:rPr>
          <w:spacing w:val="-24"/>
        </w:rPr>
        <w:t> 研究及 </w:t>
      </w:r>
      <w:r>
        <w:rPr/>
        <w:t>GLOBAL-LEADERS</w:t>
      </w:r>
      <w:r>
        <w:rPr>
          <w:spacing w:val="-15"/>
        </w:rPr>
        <w:t> 预设亚组</w:t>
      </w:r>
      <w:r>
        <w:rPr>
          <w:spacing w:val="-5"/>
        </w:rPr>
        <w:t>分析，也包括针对合并房颤的 </w:t>
      </w:r>
      <w:r>
        <w:rPr/>
        <w:t>ACS</w:t>
      </w:r>
      <w:r>
        <w:rPr>
          <w:spacing w:val="-14"/>
        </w:rPr>
        <w:t> 患者抗栓策略的 </w:t>
      </w:r>
      <w:r>
        <w:rPr/>
        <w:t>AUGUSTUS</w:t>
      </w:r>
      <w:r>
        <w:rPr>
          <w:spacing w:val="-15"/>
        </w:rPr>
        <w:t> 研究。</w:t>
      </w:r>
    </w:p>
    <w:p>
      <w:pPr>
        <w:spacing w:line="297" w:lineRule="auto" w:before="0"/>
        <w:ind w:left="717" w:right="3920" w:firstLine="2"/>
        <w:jc w:val="left"/>
        <w:rPr>
          <w:sz w:val="24"/>
        </w:rPr>
      </w:pPr>
      <w:r>
        <w:rPr>
          <w:b/>
          <w:sz w:val="24"/>
        </w:rPr>
        <w:t>PCI</w:t>
      </w:r>
      <w:r>
        <w:rPr>
          <w:b/>
          <w:spacing w:val="-17"/>
          <w:sz w:val="24"/>
        </w:rPr>
        <w:t> 患者长期单用 </w:t>
      </w:r>
      <w:r>
        <w:rPr>
          <w:b/>
          <w:sz w:val="24"/>
        </w:rPr>
        <w:t>P2Y12</w:t>
      </w:r>
      <w:r>
        <w:rPr>
          <w:b/>
          <w:spacing w:val="-9"/>
          <w:sz w:val="24"/>
        </w:rPr>
        <w:t> 受体抑制剂 可行且有获益</w:t>
      </w:r>
      <w:r>
        <w:rPr>
          <w:sz w:val="24"/>
        </w:rPr>
        <w:t>相对缺血低危患者证据：</w:t>
      </w:r>
    </w:p>
    <w:p>
      <w:pPr>
        <w:pStyle w:val="BodyText"/>
        <w:spacing w:line="306" w:lineRule="exact"/>
        <w:ind w:left="717"/>
      </w:pPr>
      <w:r>
        <w:rPr/>
        <w:t>STOPDAPT-2 和 SMART-CHOICE 研究</w:t>
      </w:r>
    </w:p>
    <w:p>
      <w:pPr>
        <w:spacing w:after="0" w:line="306" w:lineRule="exact"/>
        <w:sectPr>
          <w:pgSz w:w="11910" w:h="16850"/>
          <w:pgMar w:header="906" w:footer="607" w:top="1100" w:bottom="800" w:left="1040" w:right="860"/>
        </w:sectPr>
      </w:pPr>
    </w:p>
    <w:p>
      <w:pPr>
        <w:pStyle w:val="BodyText"/>
        <w:spacing w:line="295" w:lineRule="auto" w:before="65"/>
        <w:ind w:right="148" w:firstLine="480"/>
        <w:jc w:val="both"/>
      </w:pPr>
      <w:r>
        <w:rPr/>
        <w:t>STOPDAPT-2</w:t>
      </w:r>
      <w:r>
        <w:rPr>
          <w:spacing w:val="-12"/>
        </w:rPr>
        <w:t> 是一项日本学者开展的前瞻性多中心、开放标签、随机对照、非劣效研究， </w:t>
      </w:r>
      <w:r>
        <w:rPr>
          <w:spacing w:val="-13"/>
        </w:rPr>
        <w:t>旨在评估 </w:t>
      </w:r>
      <w:r>
        <w:rPr/>
        <w:t>PCI</w:t>
      </w:r>
      <w:r>
        <w:rPr>
          <w:spacing w:val="-15"/>
        </w:rPr>
        <w:t> 患者接受氯吡格雷单药长期应用的疗效与安全性。研究纳入 </w:t>
      </w:r>
      <w:r>
        <w:rPr/>
        <w:t>2974</w:t>
      </w:r>
      <w:r>
        <w:rPr>
          <w:spacing w:val="-40"/>
        </w:rPr>
        <w:t> 例 </w:t>
      </w:r>
      <w:r>
        <w:rPr/>
        <w:t>PCI</w:t>
      </w:r>
      <w:r>
        <w:rPr>
          <w:spacing w:val="-19"/>
        </w:rPr>
        <w:t> 患者， </w:t>
      </w:r>
      <w:r>
        <w:rPr>
          <w:spacing w:val="-21"/>
        </w:rPr>
        <w:t>其中 </w:t>
      </w:r>
      <w:r>
        <w:rPr/>
        <w:t>60%以上为稳定性冠心病患者，缺血及出血风险均相对低危。</w:t>
      </w:r>
    </w:p>
    <w:p>
      <w:pPr>
        <w:pStyle w:val="BodyText"/>
        <w:spacing w:before="5"/>
        <w:ind w:left="717"/>
      </w:pPr>
      <w:r>
        <w:rPr/>
        <w:t>随机分组后，试验组给予 DAPT 治疗 1 个月后转为氯吡格雷单药治疗，对照组给予标准</w:t>
      </w:r>
    </w:p>
    <w:p>
      <w:pPr>
        <w:pStyle w:val="BodyText"/>
        <w:spacing w:line="297" w:lineRule="auto" w:before="72"/>
        <w:ind w:right="285"/>
        <w:jc w:val="both"/>
      </w:pPr>
      <w:r>
        <w:rPr/>
        <w:t>DAPT</w:t>
      </w:r>
      <w:r>
        <w:rPr>
          <w:spacing w:val="-31"/>
        </w:rPr>
        <w:t> 治疗 </w:t>
      </w:r>
      <w:r>
        <w:rPr/>
        <w:t>12</w:t>
      </w:r>
      <w:r>
        <w:rPr>
          <w:spacing w:val="-14"/>
        </w:rPr>
        <w:t> 个月。主要终点是 </w:t>
      </w:r>
      <w:r>
        <w:rPr/>
        <w:t>12</w:t>
      </w:r>
      <w:r>
        <w:rPr>
          <w:spacing w:val="-8"/>
        </w:rPr>
        <w:t> 个月时心血管死亡、心肌梗死、卒中、明确的支架栓塞</w:t>
      </w:r>
      <w:r>
        <w:rPr>
          <w:spacing w:val="-34"/>
        </w:rPr>
        <w:t>或 </w:t>
      </w:r>
      <w:r>
        <w:rPr/>
        <w:t>TIMI</w:t>
      </w:r>
      <w:r>
        <w:rPr>
          <w:spacing w:val="-16"/>
        </w:rPr>
        <w:t> 大出血</w:t>
      </w:r>
      <w:r>
        <w:rPr/>
        <w:t>/小出血的复合终点。结果显示，12</w:t>
      </w:r>
      <w:r>
        <w:rPr>
          <w:spacing w:val="-8"/>
        </w:rPr>
        <w:t> 个月时，试验组患者的主要终点事件发生率较对照组显著更低（2.4% vs. 3.7%，P</w:t>
      </w:r>
      <w:r>
        <w:rPr>
          <w:spacing w:val="-12"/>
        </w:rPr>
        <w:t> 非劣效性</w:t>
      </w:r>
      <w:r>
        <w:rPr/>
        <w:t>&lt;0.001，P</w:t>
      </w:r>
      <w:r>
        <w:rPr>
          <w:spacing w:val="-15"/>
        </w:rPr>
        <w:t> 优效性</w:t>
      </w:r>
      <w:r>
        <w:rPr/>
        <w:t>=0.04）</w:t>
      </w:r>
      <w:r>
        <w:rPr>
          <w:spacing w:val="-4"/>
        </w:rPr>
        <w:t>。试验组在</w:t>
      </w:r>
      <w:r>
        <w:rPr/>
        <w:t>缺血事件终点方面与对照组无显著差异（2.0% vs. 2.5%, P</w:t>
      </w:r>
      <w:r>
        <w:rPr>
          <w:spacing w:val="-12"/>
        </w:rPr>
        <w:t> 非劣效性</w:t>
      </w:r>
      <w:r>
        <w:rPr/>
        <w:t>=0.005， P</w:t>
      </w:r>
      <w:r>
        <w:rPr>
          <w:spacing w:val="-15"/>
        </w:rPr>
        <w:t> 优效性</w:t>
      </w:r>
    </w:p>
    <w:p>
      <w:pPr>
        <w:pStyle w:val="BodyText"/>
        <w:spacing w:line="302" w:lineRule="exact"/>
      </w:pPr>
      <w:r>
        <w:rPr/>
        <w:t>=0.34），但出血事件显著改善（0.4% vs. 1.5%, P 优效性=0.004）。</w:t>
      </w:r>
    </w:p>
    <w:p>
      <w:pPr>
        <w:pStyle w:val="BodyText"/>
        <w:spacing w:line="297" w:lineRule="auto" w:before="75"/>
        <w:ind w:right="166" w:firstLine="480"/>
      </w:pPr>
      <w:r>
        <w:rPr/>
        <w:t>SMART-CHOICE</w:t>
      </w:r>
      <w:r>
        <w:rPr>
          <w:spacing w:val="-21"/>
        </w:rPr>
        <w:t> 是另一项非劣效研究，由韩国学者开展，研究纳入 </w:t>
      </w:r>
      <w:r>
        <w:rPr/>
        <w:t>2993</w:t>
      </w:r>
      <w:r>
        <w:rPr>
          <w:spacing w:val="-24"/>
        </w:rPr>
        <w:t> 例植入 </w:t>
      </w:r>
      <w:r>
        <w:rPr/>
        <w:t>DES</w:t>
      </w:r>
      <w:r>
        <w:rPr>
          <w:spacing w:val="-40"/>
        </w:rPr>
        <w:t> 的 </w:t>
      </w:r>
      <w:r>
        <w:rPr/>
        <w:t>CAD </w:t>
      </w:r>
      <w:r>
        <w:rPr>
          <w:spacing w:val="-17"/>
        </w:rPr>
        <w:t>患者。与 </w:t>
      </w:r>
      <w:r>
        <w:rPr/>
        <w:t>STOPDAPT-2</w:t>
      </w:r>
      <w:r>
        <w:rPr>
          <w:spacing w:val="-13"/>
        </w:rPr>
        <w:t> 研究不同的是，该研究试验组在 </w:t>
      </w:r>
      <w:r>
        <w:rPr/>
        <w:t>DAPT</w:t>
      </w:r>
      <w:r>
        <w:rPr>
          <w:spacing w:val="-30"/>
        </w:rPr>
        <w:t> 治疗 </w:t>
      </w:r>
      <w:r>
        <w:rPr/>
        <w:t>3</w:t>
      </w:r>
      <w:r>
        <w:rPr>
          <w:spacing w:val="-14"/>
        </w:rPr>
        <w:t> 个月后才转为单药 </w:t>
      </w:r>
      <w:r>
        <w:rPr/>
        <w:t>P2Y12 </w:t>
      </w:r>
      <w:r>
        <w:rPr>
          <w:spacing w:val="-11"/>
        </w:rPr>
        <w:t>受体抑制剂，其中单药治疗组和 </w:t>
      </w:r>
      <w:r>
        <w:rPr/>
        <w:t>DAPT</w:t>
      </w:r>
      <w:r>
        <w:rPr>
          <w:spacing w:val="-12"/>
        </w:rPr>
        <w:t> 组使用氯吡格雷的患者分别占 </w:t>
      </w:r>
      <w:r>
        <w:rPr/>
        <w:t>76.9%</w:t>
      </w:r>
      <w:r>
        <w:rPr>
          <w:spacing w:val="-30"/>
        </w:rPr>
        <w:t>和 </w:t>
      </w:r>
      <w:r>
        <w:rPr/>
        <w:t>77.6%</w:t>
      </w:r>
      <w:r>
        <w:rPr>
          <w:spacing w:val="-14"/>
        </w:rPr>
        <w:t>。结果显</w:t>
      </w:r>
      <w:r>
        <w:rPr>
          <w:spacing w:val="-17"/>
        </w:rPr>
        <w:t>示，虽然患者使用的新型支架类型有多种，在 </w:t>
      </w:r>
      <w:r>
        <w:rPr/>
        <w:t>DAPT 3</w:t>
      </w:r>
      <w:r>
        <w:rPr>
          <w:spacing w:val="-16"/>
        </w:rPr>
        <w:t> 个月后，应用 </w:t>
      </w:r>
      <w:r>
        <w:rPr/>
        <w:t>P2Y12</w:t>
      </w:r>
      <w:r>
        <w:rPr>
          <w:spacing w:val="-8"/>
        </w:rPr>
        <w:t> 受体抑制剂单药</w:t>
      </w:r>
      <w:r>
        <w:rPr>
          <w:spacing w:val="-15"/>
        </w:rPr>
        <w:t>均可实现与持续 </w:t>
      </w:r>
      <w:r>
        <w:rPr/>
        <w:t>DAPT</w:t>
      </w:r>
      <w:r>
        <w:rPr>
          <w:spacing w:val="-11"/>
        </w:rPr>
        <w:t> 相当的抗缺血事件疗效，并较持续 </w:t>
      </w:r>
      <w:r>
        <w:rPr/>
        <w:t>DAPT</w:t>
      </w:r>
      <w:r>
        <w:rPr>
          <w:spacing w:val="-9"/>
        </w:rPr>
        <w:t> 显著降低出血风险。结果中， </w:t>
      </w:r>
      <w:r>
        <w:rPr/>
        <w:t>两组患者的主要心脑血管不良事件（全因死亡、心肌梗死、卒中的复合终点）</w:t>
      </w:r>
      <w:r>
        <w:rPr>
          <w:spacing w:val="-15"/>
        </w:rPr>
        <w:t>均不足 </w:t>
      </w:r>
      <w:r>
        <w:rPr/>
        <w:t>3%， 提示该研究所纳入的患者也相对低危。</w:t>
      </w:r>
    </w:p>
    <w:p>
      <w:pPr>
        <w:pStyle w:val="BodyText"/>
        <w:spacing w:line="297" w:lineRule="auto"/>
        <w:ind w:right="286" w:firstLine="480"/>
        <w:jc w:val="both"/>
      </w:pPr>
      <w:r>
        <w:rPr>
          <w:spacing w:val="-6"/>
        </w:rPr>
        <w:t>两项研究结果提示，对 </w:t>
      </w:r>
      <w:r>
        <w:rPr/>
        <w:t>PCI</w:t>
      </w:r>
      <w:r>
        <w:rPr>
          <w:spacing w:val="-12"/>
        </w:rPr>
        <w:t> 尤其是稳定性冠心病患者，使用 </w:t>
      </w:r>
      <w:r>
        <w:rPr/>
        <w:t>DAPT</w:t>
      </w:r>
      <w:r>
        <w:rPr>
          <w:spacing w:val="-9"/>
        </w:rPr>
        <w:t> 进行短期治疗后单用</w:t>
      </w:r>
      <w:r>
        <w:rPr>
          <w:spacing w:val="-6"/>
        </w:rPr>
        <w:t>氯吡格雷，与传统标准 </w:t>
      </w:r>
      <w:r>
        <w:rPr/>
        <w:t>DAPT</w:t>
      </w:r>
      <w:r>
        <w:rPr>
          <w:spacing w:val="-9"/>
        </w:rPr>
        <w:t> 方案的长期使用相比，不增加缺血风险，同时显著降低出血风</w:t>
      </w:r>
      <w:r>
        <w:rPr/>
        <w:t>险。</w:t>
      </w:r>
    </w:p>
    <w:p>
      <w:pPr>
        <w:pStyle w:val="BodyText"/>
        <w:spacing w:line="304" w:lineRule="exact"/>
        <w:ind w:left="717"/>
      </w:pPr>
      <w:r>
        <w:rPr/>
        <w:t>相对高危患者证据：</w:t>
      </w:r>
    </w:p>
    <w:p>
      <w:pPr>
        <w:pStyle w:val="BodyText"/>
        <w:spacing w:before="61"/>
        <w:ind w:left="717"/>
      </w:pPr>
      <w:r>
        <w:rPr/>
        <w:t>GLASSY 研究和 GLOBAL-LEADERS 老年亚组分析</w:t>
      </w:r>
    </w:p>
    <w:p>
      <w:pPr>
        <w:pStyle w:val="BodyText"/>
        <w:spacing w:line="295" w:lineRule="auto" w:before="75"/>
        <w:ind w:right="345" w:firstLine="480"/>
      </w:pPr>
      <w:r>
        <w:rPr/>
        <w:t>GLASSY</w:t>
      </w:r>
      <w:r>
        <w:rPr>
          <w:spacing w:val="-25"/>
        </w:rPr>
        <w:t> 研究是 </w:t>
      </w:r>
      <w:r>
        <w:rPr/>
        <w:t>GLOBAL LEADERS</w:t>
      </w:r>
      <w:r>
        <w:rPr>
          <w:spacing w:val="-13"/>
        </w:rPr>
        <w:t> 的子研究，目的是对 </w:t>
      </w:r>
      <w:r>
        <w:rPr/>
        <w:t>GLOBAL LEADERS</w:t>
      </w:r>
      <w:r>
        <w:rPr>
          <w:spacing w:val="-10"/>
        </w:rPr>
        <w:t> 研究中已报告及</w:t>
      </w:r>
      <w:r>
        <w:rPr>
          <w:spacing w:val="-3"/>
        </w:rPr>
        <w:t>潜在的未报告的终点事件进行独立判定。分组及治疗策略与 </w:t>
      </w:r>
      <w:r>
        <w:rPr/>
        <w:t>GLOBAL LEADERS</w:t>
      </w:r>
      <w:r>
        <w:rPr>
          <w:spacing w:val="-10"/>
        </w:rPr>
        <w:t> 保持一致。</w:t>
      </w:r>
    </w:p>
    <w:p>
      <w:pPr>
        <w:pStyle w:val="BodyText"/>
        <w:spacing w:line="297" w:lineRule="auto" w:before="1"/>
        <w:ind w:right="166" w:firstLine="480"/>
      </w:pPr>
      <w:r>
        <w:rPr>
          <w:spacing w:val="-21"/>
        </w:rPr>
        <w:t>随访 </w:t>
      </w:r>
      <w:r>
        <w:rPr/>
        <w:t>2</w:t>
      </w:r>
      <w:r>
        <w:rPr>
          <w:spacing w:val="-8"/>
        </w:rPr>
        <w:t> 年时，试验组与对照组在主要疗效终点</w:t>
      </w:r>
      <w:r>
        <w:rPr/>
        <w:t>（CEC-</w:t>
      </w:r>
      <w:r>
        <w:rPr>
          <w:spacing w:val="-2"/>
        </w:rPr>
        <w:t>判定的全因死亡、非致死性心梗、</w:t>
      </w:r>
      <w:r>
        <w:rPr>
          <w:spacing w:val="-7"/>
        </w:rPr>
        <w:t>非致死性卒中或紧急 </w:t>
      </w:r>
      <w:r>
        <w:rPr/>
        <w:t>TVR</w:t>
      </w:r>
      <w:r>
        <w:rPr>
          <w:spacing w:val="-10"/>
        </w:rPr>
        <w:t> 的复合终点</w:t>
      </w:r>
      <w:r>
        <w:rPr>
          <w:spacing w:val="-56"/>
        </w:rPr>
        <w:t>）</w:t>
      </w:r>
      <w:r>
        <w:rPr>
          <w:spacing w:val="-9"/>
        </w:rPr>
        <w:t>方面发生率为 </w:t>
      </w:r>
      <w:r>
        <w:rPr/>
        <w:t>7.1%</w:t>
      </w:r>
      <w:r>
        <w:rPr>
          <w:spacing w:val="-60"/>
        </w:rPr>
        <w:t> </w:t>
      </w:r>
      <w:r>
        <w:rPr/>
        <w:t>vs.</w:t>
      </w:r>
      <w:r>
        <w:rPr>
          <w:spacing w:val="-60"/>
        </w:rPr>
        <w:t> </w:t>
      </w:r>
      <w:r>
        <w:rPr/>
        <w:t>8.4%</w:t>
      </w:r>
      <w:r>
        <w:rPr>
          <w:spacing w:val="-111"/>
        </w:rPr>
        <w:t>，</w:t>
      </w:r>
      <w:r>
        <w:rPr/>
        <w:t>（P</w:t>
      </w:r>
      <w:r>
        <w:rPr>
          <w:spacing w:val="-12"/>
        </w:rPr>
        <w:t> 非劣效性</w:t>
      </w:r>
      <w:r>
        <w:rPr/>
        <w:t>&lt;0.001</w:t>
      </w:r>
      <w:r>
        <w:rPr>
          <w:spacing w:val="-56"/>
        </w:rPr>
        <w:t>）， </w:t>
      </w:r>
      <w:r>
        <w:rPr/>
        <w:t>BARC 3/5</w:t>
      </w:r>
      <w:r>
        <w:rPr>
          <w:spacing w:val="-14"/>
        </w:rPr>
        <w:t> 出血事件发生率为 </w:t>
      </w:r>
      <w:r>
        <w:rPr/>
        <w:t>2.5% vs. 2.5%（P=0.99），无显著差异。进一步分析发现，2 </w:t>
      </w:r>
      <w:r>
        <w:rPr>
          <w:spacing w:val="-7"/>
        </w:rPr>
        <w:t>年时试验组在紧急 </w:t>
      </w:r>
      <w:r>
        <w:rPr/>
        <w:t>TVR</w:t>
      </w:r>
      <w:r>
        <w:rPr>
          <w:spacing w:val="-11"/>
        </w:rPr>
        <w:t> 方面表现出了显著优势。界标分析显示，1</w:t>
      </w:r>
      <w:r>
        <w:rPr>
          <w:spacing w:val="-8"/>
        </w:rPr>
        <w:t> 年后试验组患者在降低明确的支架血栓方面表现出了显著优势，在降低心肌梗死方面表现出了有更多获益的趋势。</w:t>
      </w:r>
    </w:p>
    <w:p>
      <w:pPr>
        <w:pStyle w:val="BodyText"/>
        <w:spacing w:line="295" w:lineRule="auto"/>
        <w:ind w:right="167" w:firstLine="480"/>
      </w:pPr>
      <w:r>
        <w:rPr/>
        <w:t>老年患者往往合并有多种并发疾病，有更高的缺血和出血风险，GLOBAL-LEADERS 老年亚组分析显示，与对照组相比，试验组拥有更低的主要终点事件发生率，尤其在全因死亡、</w:t>
      </w:r>
    </w:p>
    <w:p>
      <w:pPr>
        <w:pStyle w:val="BodyText"/>
      </w:pPr>
      <w:r>
        <w:rPr/>
        <w:t>POCE、明确的支架血栓以及明确/可能的支架血栓风险方面。然而，这一获益可能是以</w:t>
      </w:r>
    </w:p>
    <w:p>
      <w:pPr>
        <w:pStyle w:val="BodyText"/>
        <w:spacing w:before="71"/>
      </w:pPr>
      <w:r>
        <w:rPr/>
        <w:t>BARC3/5 出血事件增加为代价的。</w:t>
      </w:r>
    </w:p>
    <w:p>
      <w:pPr>
        <w:pStyle w:val="BodyText"/>
        <w:spacing w:before="72"/>
        <w:ind w:left="717"/>
      </w:pPr>
      <w:r>
        <w:rPr>
          <w:spacing w:val="-15"/>
        </w:rPr>
        <w:t>以上数据表明，替格瑞洛联合阿司匹林治疗 </w:t>
      </w:r>
      <w:r>
        <w:rPr/>
        <w:t>1</w:t>
      </w:r>
      <w:r>
        <w:rPr>
          <w:spacing w:val="-14"/>
        </w:rPr>
        <w:t> 个月后单用替格瑞洛治疗 </w:t>
      </w:r>
      <w:r>
        <w:rPr/>
        <w:t>23</w:t>
      </w:r>
      <w:r>
        <w:rPr>
          <w:spacing w:val="-45"/>
        </w:rPr>
        <w:t> 个月，与 </w:t>
      </w:r>
      <w:r>
        <w:rPr/>
        <w:t>DAPT</w:t>
      </w:r>
    </w:p>
    <w:p>
      <w:pPr>
        <w:pStyle w:val="BodyText"/>
        <w:spacing w:line="295" w:lineRule="auto" w:before="75"/>
        <w:ind w:right="266"/>
        <w:jc w:val="both"/>
      </w:pPr>
      <w:r>
        <w:rPr>
          <w:spacing w:val="-20"/>
        </w:rPr>
        <w:t>治疗 </w:t>
      </w:r>
      <w:r>
        <w:rPr/>
        <w:t>12</w:t>
      </w:r>
      <w:r>
        <w:rPr>
          <w:spacing w:val="-13"/>
        </w:rPr>
        <w:t> 个月后单用阿司匹林 </w:t>
      </w:r>
      <w:r>
        <w:rPr/>
        <w:t>12</w:t>
      </w:r>
      <w:r>
        <w:rPr>
          <w:spacing w:val="-15"/>
        </w:rPr>
        <w:t> 个月的治疗方案相比，并未增加缺血事件风险，且 </w:t>
      </w:r>
      <w:r>
        <w:rPr/>
        <w:t>1</w:t>
      </w:r>
      <w:r>
        <w:rPr>
          <w:spacing w:val="-19"/>
        </w:rPr>
        <w:t> 年后在</w:t>
      </w:r>
      <w:r>
        <w:rPr>
          <w:spacing w:val="-7"/>
        </w:rPr>
        <w:t>减少心梗发生率及支架内血栓方面表现出了优势。提示老年患者 </w:t>
      </w:r>
      <w:r>
        <w:rPr/>
        <w:t>PCI</w:t>
      </w:r>
      <w:r>
        <w:rPr>
          <w:spacing w:val="-9"/>
        </w:rPr>
        <w:t> 后长期使用单药替格瑞</w:t>
      </w:r>
      <w:r>
        <w:rPr/>
        <w:t>洛可能降低缺血事件风险，但同时，应该密切关注其出血风险的增加。</w:t>
      </w:r>
    </w:p>
    <w:p>
      <w:pPr>
        <w:pStyle w:val="Heading4"/>
        <w:spacing w:before="5"/>
      </w:pPr>
      <w:r>
        <w:rPr/>
        <w:t>合并房颤 ACS 患者抗栓治疗 P2Y12 抑制剂强度已够，无需加用阿司匹林</w:t>
      </w:r>
    </w:p>
    <w:p>
      <w:pPr>
        <w:spacing w:after="0"/>
        <w:sectPr>
          <w:pgSz w:w="11910" w:h="16850"/>
          <w:pgMar w:header="906" w:footer="607" w:top="1100" w:bottom="800" w:left="1040" w:right="860"/>
        </w:sectPr>
      </w:pPr>
    </w:p>
    <w:p>
      <w:pPr>
        <w:pStyle w:val="BodyText"/>
        <w:spacing w:line="297" w:lineRule="auto" w:before="65"/>
        <w:ind w:right="147" w:firstLine="480"/>
      </w:pPr>
      <w:r>
        <w:rPr/>
        <w:t>AUGUSTUS</w:t>
      </w:r>
      <w:r>
        <w:rPr>
          <w:spacing w:val="-4"/>
        </w:rPr>
        <w:t> 研究是首次针对出血及缺血高风险的房颤合并 </w:t>
      </w:r>
      <w:r>
        <w:rPr/>
        <w:t>ACS</w:t>
      </w:r>
      <w:r>
        <w:rPr>
          <w:spacing w:val="-8"/>
        </w:rPr>
        <w:t> 患者展开的抗栓治疗优化</w:t>
      </w:r>
      <w:r>
        <w:rPr>
          <w:spacing w:val="-13"/>
        </w:rPr>
        <w:t>策略的探讨，共纳入患者 </w:t>
      </w:r>
      <w:r>
        <w:rPr/>
        <w:t>4600</w:t>
      </w:r>
      <w:r>
        <w:rPr>
          <w:spacing w:val="-13"/>
        </w:rPr>
        <w:t> 余例。所有患者均接受 </w:t>
      </w:r>
      <w:r>
        <w:rPr/>
        <w:t>P2Y12</w:t>
      </w:r>
      <w:r>
        <w:rPr>
          <w:spacing w:val="-10"/>
        </w:rPr>
        <w:t> 受体抑制剂</w:t>
      </w:r>
      <w:r>
        <w:rPr/>
        <w:t>（绝大多数为氯吡格雷</w:t>
      </w:r>
      <w:r>
        <w:rPr>
          <w:spacing w:val="-56"/>
        </w:rPr>
        <w:t>）</w:t>
      </w:r>
      <w:r>
        <w:rPr>
          <w:spacing w:val="-12"/>
        </w:rPr>
        <w:t>治疗，在此基础上患者被随机分为 </w:t>
      </w:r>
      <w:r>
        <w:rPr/>
        <w:t>4</w:t>
      </w:r>
      <w:r>
        <w:rPr>
          <w:spacing w:val="-15"/>
        </w:rPr>
        <w:t> 组：阿哌沙班联合阿司匹林组、单用阿哌沙班组、</w:t>
      </w:r>
      <w:r>
        <w:rPr/>
        <w:t>华法林联合阿司匹林组、单用华法林组。</w:t>
      </w:r>
    </w:p>
    <w:p>
      <w:pPr>
        <w:pStyle w:val="BodyText"/>
        <w:spacing w:line="297" w:lineRule="auto"/>
        <w:ind w:right="267" w:firstLine="480"/>
        <w:jc w:val="both"/>
      </w:pPr>
      <w:r>
        <w:rPr>
          <w:spacing w:val="-18"/>
        </w:rPr>
        <w:t>结果显示，在 </w:t>
      </w:r>
      <w:r>
        <w:rPr/>
        <w:t>P2Y12</w:t>
      </w:r>
      <w:r>
        <w:rPr>
          <w:spacing w:val="-11"/>
        </w:rPr>
        <w:t> 受体拮抗剂治疗基础上应用阿哌沙班具有最佳的获益风险比。这一</w:t>
      </w:r>
      <w:r>
        <w:rPr>
          <w:spacing w:val="-13"/>
        </w:rPr>
        <w:t>结果提示，对伴房颤的 </w:t>
      </w:r>
      <w:r>
        <w:rPr/>
        <w:t>ACS</w:t>
      </w:r>
      <w:r>
        <w:rPr>
          <w:spacing w:val="-13"/>
        </w:rPr>
        <w:t> 患者，联合应用阿哌沙班与氯吡格雷可以以最低的出血性并发症</w:t>
      </w:r>
      <w:r>
        <w:rPr/>
        <w:t>风险获取最佳的预防血栓栓塞事件的效果，在此基础上应用阿司匹林似乎已无必要。</w:t>
      </w:r>
    </w:p>
    <w:p>
      <w:pPr>
        <w:pStyle w:val="Heading4"/>
        <w:spacing w:line="304" w:lineRule="exact"/>
      </w:pPr>
      <w:r>
        <w:rPr/>
        <w:t>关于抗栓 平衡获益与风险的天平不再倒向阿司匹林</w:t>
      </w:r>
    </w:p>
    <w:p>
      <w:pPr>
        <w:pStyle w:val="BodyText"/>
        <w:spacing w:line="297" w:lineRule="auto" w:before="66"/>
        <w:ind w:right="266" w:firstLine="480"/>
        <w:jc w:val="both"/>
      </w:pPr>
      <w:r>
        <w:rPr>
          <w:spacing w:val="-12"/>
        </w:rPr>
        <w:t>随着新型 </w:t>
      </w:r>
      <w:r>
        <w:rPr/>
        <w:t>DES</w:t>
      </w:r>
      <w:r>
        <w:rPr>
          <w:spacing w:val="-10"/>
        </w:rPr>
        <w:t> 技术的广泛使用，</w:t>
      </w:r>
      <w:r>
        <w:rPr>
          <w:spacing w:val="-24"/>
        </w:rPr>
        <w:t>PCI</w:t>
      </w:r>
      <w:r>
        <w:rPr>
          <w:spacing w:val="-15"/>
        </w:rPr>
        <w:t> 患者的支架血栓风险相对降低。因此，</w:t>
      </w:r>
      <w:r>
        <w:rPr>
          <w:spacing w:val="-24"/>
        </w:rPr>
        <w:t>PCI</w:t>
      </w:r>
      <w:r>
        <w:rPr>
          <w:spacing w:val="-30"/>
        </w:rPr>
        <w:t> 术后 </w:t>
      </w:r>
      <w:r>
        <w:rPr>
          <w:spacing w:val="-4"/>
        </w:rPr>
        <w:t>DAPT </w:t>
      </w:r>
      <w:r>
        <w:rPr>
          <w:spacing w:val="-7"/>
        </w:rPr>
        <w:t>的持续时间再次成为人们讨论的话题。前述多项证据提示，单药 </w:t>
      </w:r>
      <w:r>
        <w:rPr/>
        <w:t>P2Y12</w:t>
      </w:r>
      <w:r>
        <w:rPr>
          <w:spacing w:val="-9"/>
        </w:rPr>
        <w:t> 受体抑制剂长期用于</w:t>
      </w:r>
    </w:p>
    <w:p>
      <w:pPr>
        <w:pStyle w:val="BodyText"/>
        <w:spacing w:line="297" w:lineRule="auto"/>
        <w:ind w:right="266"/>
        <w:jc w:val="both"/>
      </w:pPr>
      <w:r>
        <w:rPr/>
        <w:t>PCI</w:t>
      </w:r>
      <w:r>
        <w:rPr>
          <w:spacing w:val="-11"/>
        </w:rPr>
        <w:t> 患者可行，且有一定终点事件获益；对合并房颤的 </w:t>
      </w:r>
      <w:r>
        <w:rPr/>
        <w:t>ACS</w:t>
      </w:r>
      <w:r>
        <w:rPr>
          <w:spacing w:val="-24"/>
        </w:rPr>
        <w:t> 患者，单药 </w:t>
      </w:r>
      <w:r>
        <w:rPr/>
        <w:t>P2Y12</w:t>
      </w:r>
      <w:r>
        <w:rPr>
          <w:spacing w:val="-11"/>
        </w:rPr>
        <w:t> 受体抑制剂抗</w:t>
      </w:r>
      <w:r>
        <w:rPr>
          <w:spacing w:val="-4"/>
        </w:rPr>
        <w:t>血小板治疗已足够，无需额外添加阿司匹林。</w:t>
      </w:r>
      <w:r>
        <w:rPr/>
        <w:t>P2Y12</w:t>
      </w:r>
      <w:r>
        <w:rPr>
          <w:spacing w:val="-9"/>
        </w:rPr>
        <w:t> 受体抑制剂基础上使用阿司匹林疗效增</w:t>
      </w:r>
      <w:r>
        <w:rPr>
          <w:spacing w:val="-10"/>
        </w:rPr>
        <w:t>加有限，但出血风险增加明显，为了平衡抗栓治疗的获益与风险，有必要重新思考阿司匹林</w:t>
      </w:r>
      <w:r>
        <w:rPr/>
        <w:t>在冠心病患者二级预防中的地位与价值。</w:t>
      </w:r>
    </w:p>
    <w:p>
      <w:pPr>
        <w:pStyle w:val="BodyText"/>
        <w:spacing w:line="297" w:lineRule="auto"/>
        <w:ind w:right="267" w:firstLine="480"/>
      </w:pPr>
      <w:r>
        <w:rPr>
          <w:spacing w:val="-11"/>
        </w:rPr>
        <w:t>同时，此次 </w:t>
      </w:r>
      <w:r>
        <w:rPr/>
        <w:t>ACC</w:t>
      </w:r>
      <w:r>
        <w:rPr>
          <w:spacing w:val="-15"/>
        </w:rPr>
        <w:t> 大会上</w:t>
      </w:r>
      <w:r>
        <w:rPr/>
        <w:t>，ACC</w:t>
      </w:r>
      <w:r>
        <w:rPr>
          <w:spacing w:val="-40"/>
        </w:rPr>
        <w:t> 与 </w:t>
      </w:r>
      <w:r>
        <w:rPr/>
        <w:t>AHA</w:t>
      </w:r>
      <w:r>
        <w:rPr>
          <w:spacing w:val="-18"/>
        </w:rPr>
        <w:t> 联合颁布了 </w:t>
      </w:r>
      <w:r>
        <w:rPr/>
        <w:t>2019</w:t>
      </w:r>
      <w:r>
        <w:rPr>
          <w:spacing w:val="-8"/>
        </w:rPr>
        <w:t> 年心血管疾病一级预防指南。新</w:t>
      </w:r>
      <w:r>
        <w:rPr>
          <w:spacing w:val="-12"/>
        </w:rPr>
        <w:t>指南建议，对心血管事件风险较高且不具有出血高危因素的 </w:t>
      </w:r>
      <w:r>
        <w:rPr/>
        <w:t>40-70</w:t>
      </w:r>
      <w:r>
        <w:rPr>
          <w:spacing w:val="-14"/>
        </w:rPr>
        <w:t> 岁患者，可考虑应用小剂</w:t>
      </w:r>
      <w:r>
        <w:rPr/>
        <w:t>量阿司匹林（75-100 mg/d），但仅为Ⅱb</w:t>
      </w:r>
      <w:r>
        <w:rPr>
          <w:spacing w:val="-8"/>
        </w:rPr>
        <w:t> 级推荐，即可用、可不用但倾向于不用。年龄＞</w:t>
      </w:r>
    </w:p>
    <w:p>
      <w:pPr>
        <w:pStyle w:val="BodyText"/>
        <w:spacing w:line="297" w:lineRule="auto"/>
        <w:ind w:right="347"/>
      </w:pPr>
      <w:r>
        <w:rPr/>
        <w:t>70</w:t>
      </w:r>
      <w:r>
        <w:rPr>
          <w:spacing w:val="-9"/>
        </w:rPr>
        <w:t> 岁及伴有任何出血高危因素的人群，均不建议使用阿司匹林用于心血管疾病一级预防。</w:t>
      </w:r>
      <w:r>
        <w:rPr/>
        <w:t>也即，新的一级预防指南出现了对阿司匹林的降级推荐。</w:t>
      </w:r>
    </w:p>
    <w:p>
      <w:pPr>
        <w:pStyle w:val="BodyText"/>
        <w:spacing w:line="297" w:lineRule="auto"/>
        <w:ind w:right="267" w:firstLine="480"/>
        <w:jc w:val="both"/>
      </w:pPr>
      <w:r>
        <w:rPr>
          <w:spacing w:val="-6"/>
        </w:rPr>
        <w:t>阿司匹林导致的出血风险主要表现在胃肠道，源自其抗血小板机制。阿司匹林以抑制环</w:t>
      </w:r>
      <w:r>
        <w:rPr/>
        <w:t>氧化酶（COX）来发挥抗血小板作用，通过局部直接作用和全身作用两个方面导致胃肠道出血。</w:t>
      </w:r>
    </w:p>
    <w:p>
      <w:pPr>
        <w:pStyle w:val="BodyText"/>
        <w:spacing w:line="297" w:lineRule="auto"/>
        <w:ind w:right="269" w:firstLine="480"/>
        <w:jc w:val="both"/>
      </w:pPr>
      <w:r>
        <w:rPr>
          <w:spacing w:val="-7"/>
        </w:rPr>
        <w:t>无论是心血管疾病的一级预防还是二级预防，如果加用一种药物的风险大于它所带来的</w:t>
      </w:r>
      <w:r>
        <w:rPr>
          <w:spacing w:val="-9"/>
        </w:rPr>
        <w:t>获益，那么势必会重新思考这种药物的治疗价值。总体而言，在新抗栓时代，阿司匹林的整</w:t>
      </w:r>
      <w:r>
        <w:rPr/>
        <w:t>体治疗地位在下降。</w:t>
      </w:r>
    </w:p>
    <w:p>
      <w:pPr>
        <w:pStyle w:val="Heading4"/>
        <w:spacing w:line="304" w:lineRule="exact"/>
      </w:pPr>
      <w:r>
        <w:rPr/>
        <w:t>以 P2Y12 受体抑制剂为基础的抗栓治疗策略 正越来越清晰</w:t>
      </w:r>
    </w:p>
    <w:p>
      <w:pPr>
        <w:pStyle w:val="BodyText"/>
        <w:spacing w:line="297" w:lineRule="auto" w:before="55"/>
        <w:ind w:right="226" w:firstLine="480"/>
        <w:jc w:val="both"/>
      </w:pPr>
      <w:r>
        <w:rPr/>
        <w:t>P2Y12</w:t>
      </w:r>
      <w:r>
        <w:rPr>
          <w:spacing w:val="-13"/>
        </w:rPr>
        <w:t> 受体抑制剂通过抑制剂 </w:t>
      </w:r>
      <w:r>
        <w:rPr/>
        <w:t>ADP</w:t>
      </w:r>
      <w:r>
        <w:rPr>
          <w:spacing w:val="-9"/>
        </w:rPr>
        <w:t> 受体发挥抗血小板作用，并不直接损伤消化道黏膜， </w:t>
      </w:r>
      <w:r>
        <w:rPr>
          <w:spacing w:val="-6"/>
        </w:rPr>
        <w:t>这一点与阿司匹林明显不同。前述证据已提示，无论对于缺血和出血风险低危的患者，还是高危的患者，</w:t>
      </w:r>
      <w:r>
        <w:rPr>
          <w:spacing w:val="-3"/>
        </w:rPr>
        <w:t>P2Y12</w:t>
      </w:r>
      <w:r>
        <w:rPr>
          <w:spacing w:val="-10"/>
        </w:rPr>
        <w:t> 受体抑制剂单药均能长期安全使用，降低出血风险，同时不增加缺血风险。</w:t>
      </w:r>
    </w:p>
    <w:p>
      <w:pPr>
        <w:pStyle w:val="BodyText"/>
        <w:spacing w:line="295" w:lineRule="auto"/>
        <w:ind w:right="269" w:firstLine="480"/>
        <w:jc w:val="both"/>
      </w:pPr>
      <w:r>
        <w:rPr>
          <w:spacing w:val="-2"/>
        </w:rPr>
        <w:t>目前，</w:t>
      </w:r>
      <w:r>
        <w:rPr>
          <w:spacing w:val="-6"/>
        </w:rPr>
        <w:t>ACC/AHA</w:t>
      </w:r>
      <w:r>
        <w:rPr>
          <w:spacing w:val="-9"/>
        </w:rPr>
        <w:t> 心血管疾病一级预防指南已明确限制了阿司匹林在一级预防中的使用人</w:t>
      </w:r>
      <w:r>
        <w:rPr>
          <w:spacing w:val="-14"/>
        </w:rPr>
        <w:t>群。那么，在二级预防领域，随着 </w:t>
      </w:r>
      <w:r>
        <w:rPr/>
        <w:t>P2Y12</w:t>
      </w:r>
      <w:r>
        <w:rPr>
          <w:spacing w:val="-10"/>
        </w:rPr>
        <w:t> 受体抑制剂为基础的抗栓策略越来越清晰，二级预</w:t>
      </w:r>
      <w:r>
        <w:rPr/>
        <w:t>防指南也将可能做出改变。</w:t>
      </w:r>
    </w:p>
    <w:p>
      <w:pPr>
        <w:pStyle w:val="Heading4"/>
        <w:spacing w:before="2"/>
      </w:pPr>
      <w:r>
        <w:rPr/>
        <w:t>小贴士</w:t>
      </w:r>
    </w:p>
    <w:p>
      <w:pPr>
        <w:pStyle w:val="BodyText"/>
        <w:spacing w:before="72"/>
        <w:ind w:left="717"/>
      </w:pPr>
      <w:r>
        <w:rPr/>
        <w:t>2019 年，国家开始在全国 4+7 城市推行带量采购政策，以中标的 P2Y12 受体抑制剂国</w:t>
      </w:r>
    </w:p>
    <w:p>
      <w:pPr>
        <w:pStyle w:val="BodyText"/>
        <w:spacing w:line="297" w:lineRule="auto" w:before="71"/>
        <w:ind w:right="267"/>
      </w:pPr>
      <w:r>
        <w:rPr/>
        <w:t>产氯吡格雷（泰嘉）</w:t>
      </w:r>
      <w:r>
        <w:rPr>
          <w:spacing w:val="-4"/>
        </w:rPr>
        <w:t>为例：与先前花费相比，中标后价格下调 </w:t>
      </w:r>
      <w:r>
        <w:rPr/>
        <w:t>58%，</w:t>
      </w:r>
      <w:r>
        <w:rPr>
          <w:spacing w:val="-8"/>
        </w:rPr>
        <w:t>日治疗费用仅为 </w:t>
      </w:r>
      <w:r>
        <w:rPr/>
        <w:t>3.18 </w:t>
      </w:r>
      <w:r>
        <w:rPr>
          <w:spacing w:val="-12"/>
        </w:rPr>
        <w:t>元。药物可及性的大大提高，有望使其成为新证据、新政策下抗血小板治疗的一种长期用药</w:t>
      </w:r>
      <w:r>
        <w:rPr/>
        <w:t>选择。</w:t>
      </w:r>
    </w:p>
    <w:p>
      <w:pPr>
        <w:spacing w:after="0" w:line="297" w:lineRule="auto"/>
        <w:sectPr>
          <w:pgSz w:w="11910" w:h="16850"/>
          <w:pgMar w:header="906" w:footer="607" w:top="1100" w:bottom="800" w:left="1040" w:right="860"/>
        </w:sectPr>
      </w:pPr>
    </w:p>
    <w:p>
      <w:pPr>
        <w:pStyle w:val="Heading2"/>
        <w:spacing w:line="392" w:lineRule="exact"/>
        <w:ind w:left="969"/>
      </w:pPr>
      <w:bookmarkStart w:name="_TOC_250026" w:id="21"/>
      <w:bookmarkEnd w:id="21"/>
      <w:r>
        <w:rPr/>
        <w:t>左旋氨氯地平联合一线降压药治疗高血压疗效的系统评价</w:t>
      </w:r>
    </w:p>
    <w:p>
      <w:pPr>
        <w:pStyle w:val="Heading4"/>
        <w:spacing w:before="148"/>
        <w:ind w:left="4610"/>
        <w:rPr>
          <w:rFonts w:ascii="楷体" w:eastAsia="楷体" w:hint="eastAsia"/>
        </w:rPr>
      </w:pPr>
      <w:r>
        <w:rPr>
          <w:rFonts w:ascii="楷体" w:eastAsia="楷体" w:hint="eastAsia"/>
          <w:color w:val="FF0000"/>
        </w:rPr>
        <w:t>（来源：《中国医院药学杂志》2019 年第 2 期）</w:t>
      </w:r>
    </w:p>
    <w:p>
      <w:pPr>
        <w:spacing w:line="85" w:lineRule="exact" w:before="62"/>
        <w:ind w:left="237" w:right="0" w:firstLine="0"/>
        <w:jc w:val="left"/>
        <w:rPr>
          <w:sz w:val="21"/>
        </w:rPr>
      </w:pPr>
      <w:r>
        <w:rPr>
          <w:rFonts w:ascii="楷体" w:eastAsia="楷体" w:hint="eastAsia"/>
          <w:spacing w:val="-16"/>
          <w:sz w:val="24"/>
        </w:rPr>
        <w:t>蔡旭阳 </w:t>
      </w:r>
      <w:r>
        <w:rPr>
          <w:rFonts w:ascii="楷体" w:eastAsia="楷体" w:hint="eastAsia"/>
          <w:position w:val="12"/>
          <w:sz w:val="12"/>
        </w:rPr>
        <w:t>1,2</w:t>
      </w:r>
      <w:r>
        <w:rPr>
          <w:rFonts w:ascii="楷体" w:eastAsia="楷体" w:hint="eastAsia"/>
          <w:spacing w:val="-30"/>
          <w:sz w:val="24"/>
        </w:rPr>
        <w:t>，吴斌 </w:t>
      </w:r>
      <w:r>
        <w:rPr>
          <w:rFonts w:ascii="楷体" w:eastAsia="楷体" w:hint="eastAsia"/>
          <w:position w:val="12"/>
          <w:sz w:val="12"/>
        </w:rPr>
        <w:t>1</w:t>
      </w:r>
      <w:r>
        <w:rPr>
          <w:rFonts w:ascii="楷体" w:eastAsia="楷体" w:hint="eastAsia"/>
          <w:spacing w:val="-25"/>
          <w:sz w:val="24"/>
        </w:rPr>
        <w:t>，金朝辉 </w:t>
      </w:r>
      <w:r>
        <w:rPr>
          <w:rFonts w:ascii="楷体" w:eastAsia="楷体" w:hint="eastAsia"/>
          <w:position w:val="12"/>
          <w:sz w:val="12"/>
        </w:rPr>
        <w:t>1</w:t>
      </w:r>
      <w:r>
        <w:rPr>
          <w:rFonts w:ascii="楷体" w:eastAsia="楷体" w:hint="eastAsia"/>
          <w:spacing w:val="-30"/>
          <w:sz w:val="24"/>
        </w:rPr>
        <w:t>，杨甜 </w:t>
      </w:r>
      <w:r>
        <w:rPr>
          <w:rFonts w:ascii="楷体" w:eastAsia="楷体" w:hint="eastAsia"/>
          <w:position w:val="12"/>
          <w:sz w:val="12"/>
        </w:rPr>
        <w:t>1,2</w:t>
      </w:r>
      <w:r>
        <w:rPr>
          <w:rFonts w:ascii="楷体" w:eastAsia="楷体" w:hint="eastAsia"/>
          <w:spacing w:val="-30"/>
          <w:sz w:val="24"/>
        </w:rPr>
        <w:t>，徐珽 </w:t>
      </w:r>
      <w:r>
        <w:rPr>
          <w:rFonts w:ascii="楷体" w:eastAsia="楷体" w:hint="eastAsia"/>
          <w:position w:val="12"/>
          <w:sz w:val="12"/>
        </w:rPr>
        <w:t>1</w:t>
      </w:r>
      <w:r>
        <w:rPr>
          <w:rFonts w:ascii="楷体" w:eastAsia="楷体" w:hint="eastAsia"/>
          <w:spacing w:val="-10"/>
          <w:position w:val="12"/>
          <w:sz w:val="12"/>
        </w:rPr>
        <w:t>   </w:t>
      </w:r>
      <w:r>
        <w:rPr>
          <w:rFonts w:ascii="Times New Roman" w:eastAsia="Times New Roman"/>
          <w:w w:val="100"/>
          <w:sz w:val="21"/>
        </w:rPr>
        <w:t>1</w:t>
      </w:r>
      <w:r>
        <w:rPr>
          <w:rFonts w:ascii="Times New Roman" w:eastAsia="Times New Roman"/>
          <w:spacing w:val="-3"/>
          <w:w w:val="100"/>
          <w:sz w:val="21"/>
        </w:rPr>
        <w:t>.</w:t>
      </w:r>
      <w:r>
        <w:rPr>
          <w:spacing w:val="-6"/>
          <w:w w:val="100"/>
          <w:sz w:val="21"/>
        </w:rPr>
        <w:t>四川大学华西医院临床药学部，四川</w:t>
      </w:r>
      <w:r>
        <w:rPr>
          <w:spacing w:val="1"/>
          <w:sz w:val="21"/>
        </w:rPr>
        <w:t> </w:t>
      </w:r>
      <w:r>
        <w:rPr>
          <w:spacing w:val="-17"/>
          <w:w w:val="100"/>
          <w:sz w:val="21"/>
        </w:rPr>
        <w:t>成都，</w:t>
      </w:r>
      <w:r>
        <w:rPr>
          <w:rFonts w:ascii="Times New Roman" w:eastAsia="Times New Roman"/>
          <w:w w:val="100"/>
          <w:sz w:val="21"/>
        </w:rPr>
        <w:t>61</w:t>
      </w:r>
      <w:r>
        <w:rPr>
          <w:rFonts w:ascii="Times New Roman" w:eastAsia="Times New Roman"/>
          <w:spacing w:val="-3"/>
          <w:w w:val="100"/>
          <w:sz w:val="21"/>
        </w:rPr>
        <w:t>0</w:t>
      </w:r>
      <w:r>
        <w:rPr>
          <w:rFonts w:ascii="Times New Roman" w:eastAsia="Times New Roman"/>
          <w:w w:val="100"/>
          <w:sz w:val="21"/>
        </w:rPr>
        <w:t>04</w:t>
      </w:r>
      <w:r>
        <w:rPr>
          <w:rFonts w:ascii="Times New Roman" w:eastAsia="Times New Roman"/>
          <w:spacing w:val="-1"/>
          <w:w w:val="100"/>
          <w:sz w:val="21"/>
        </w:rPr>
        <w:t>1</w:t>
      </w:r>
      <w:r>
        <w:rPr>
          <w:w w:val="100"/>
          <w:sz w:val="21"/>
        </w:rPr>
        <w:t>；</w:t>
      </w:r>
    </w:p>
    <w:p>
      <w:pPr>
        <w:spacing w:line="205" w:lineRule="exact" w:before="0"/>
        <w:ind w:left="0" w:right="512" w:firstLine="0"/>
        <w:jc w:val="center"/>
        <w:rPr>
          <w:sz w:val="18"/>
        </w:rPr>
      </w:pPr>
      <w:r>
        <w:rPr>
          <w:sz w:val="18"/>
        </w:rPr>
        <w:t>（</w:t>
      </w:r>
    </w:p>
    <w:p>
      <w:pPr>
        <w:pStyle w:val="ListParagraph"/>
        <w:numPr>
          <w:ilvl w:val="0"/>
          <w:numId w:val="1"/>
        </w:numPr>
        <w:tabs>
          <w:tab w:pos="397" w:val="left" w:leader="none"/>
        </w:tabs>
        <w:spacing w:line="240" w:lineRule="auto" w:before="80" w:after="0"/>
        <w:ind w:left="396" w:right="0" w:hanging="159"/>
        <w:jc w:val="left"/>
        <w:rPr>
          <w:sz w:val="21"/>
        </w:rPr>
      </w:pPr>
      <w:r>
        <w:rPr>
          <w:spacing w:val="-3"/>
          <w:sz w:val="21"/>
        </w:rPr>
        <w:t>四川大学华西药学院，四川 成都，</w:t>
      </w:r>
      <w:r>
        <w:rPr>
          <w:rFonts w:ascii="Times New Roman" w:eastAsia="Times New Roman"/>
          <w:sz w:val="21"/>
        </w:rPr>
        <w:t>610041</w:t>
      </w:r>
      <w:r>
        <w:rPr>
          <w:sz w:val="21"/>
        </w:rPr>
        <w:t>）</w:t>
      </w:r>
    </w:p>
    <w:p>
      <w:pPr>
        <w:spacing w:before="102"/>
        <w:ind w:left="237" w:right="0" w:firstLine="0"/>
        <w:jc w:val="left"/>
        <w:rPr>
          <w:rFonts w:ascii="Times New Roman" w:eastAsia="Times New Roman"/>
          <w:sz w:val="18"/>
        </w:rPr>
      </w:pPr>
      <w:r>
        <w:rPr>
          <w:rFonts w:ascii="Calibri" w:eastAsia="Calibri"/>
          <w:b/>
          <w:sz w:val="18"/>
        </w:rPr>
        <w:t>[</w:t>
      </w:r>
      <w:r>
        <w:rPr>
          <w:b/>
          <w:sz w:val="18"/>
        </w:rPr>
        <w:t>摘要</w:t>
      </w:r>
      <w:r>
        <w:rPr>
          <w:rFonts w:ascii="Calibri" w:eastAsia="Calibri"/>
          <w:b/>
          <w:sz w:val="18"/>
        </w:rPr>
        <w:t>] </w:t>
      </w:r>
      <w:r>
        <w:rPr>
          <w:b/>
          <w:sz w:val="18"/>
        </w:rPr>
        <w:t>目的：</w:t>
      </w:r>
      <w:r>
        <w:rPr>
          <w:rFonts w:ascii="楷体" w:eastAsia="楷体" w:hint="eastAsia"/>
          <w:sz w:val="18"/>
        </w:rPr>
        <w:t>系统评价左旋氨氯地平联合一线降压药治疗高血压的疗效，为临床提供循证依据。 </w:t>
      </w:r>
      <w:r>
        <w:rPr>
          <w:b/>
          <w:sz w:val="18"/>
        </w:rPr>
        <w:t>方法：</w:t>
      </w:r>
      <w:r>
        <w:rPr>
          <w:rFonts w:ascii="楷体" w:eastAsia="楷体" w:hint="eastAsia"/>
          <w:sz w:val="18"/>
        </w:rPr>
        <w:t>计算机检索 </w:t>
      </w:r>
      <w:r>
        <w:rPr>
          <w:rFonts w:ascii="Times New Roman" w:eastAsia="Times New Roman"/>
          <w:sz w:val="18"/>
        </w:rPr>
        <w:t>Ovid</w:t>
      </w:r>
    </w:p>
    <w:p>
      <w:pPr>
        <w:spacing w:line="355" w:lineRule="auto" w:before="107"/>
        <w:ind w:left="237" w:right="175" w:firstLine="0"/>
        <w:jc w:val="left"/>
        <w:rPr>
          <w:rFonts w:ascii="楷体" w:eastAsia="楷体" w:hint="eastAsia"/>
          <w:sz w:val="18"/>
        </w:rPr>
      </w:pPr>
      <w:r>
        <w:rPr>
          <w:rFonts w:ascii="Times New Roman" w:eastAsia="Times New Roman"/>
          <w:sz w:val="18"/>
        </w:rPr>
        <w:t>Medline</w:t>
      </w:r>
      <w:r>
        <w:rPr>
          <w:rFonts w:ascii="楷体" w:eastAsia="楷体" w:hint="eastAsia"/>
          <w:sz w:val="18"/>
        </w:rPr>
        <w:t>、</w:t>
      </w:r>
      <w:r>
        <w:rPr>
          <w:rFonts w:ascii="Times New Roman" w:eastAsia="Times New Roman"/>
          <w:sz w:val="18"/>
        </w:rPr>
        <w:t>EMBase</w:t>
      </w:r>
      <w:r>
        <w:rPr>
          <w:rFonts w:ascii="楷体" w:eastAsia="楷体" w:hint="eastAsia"/>
          <w:sz w:val="18"/>
        </w:rPr>
        <w:t>、</w:t>
      </w:r>
      <w:r>
        <w:rPr>
          <w:rFonts w:ascii="Times New Roman" w:eastAsia="Times New Roman"/>
          <w:sz w:val="18"/>
        </w:rPr>
        <w:t>Cochrane Library</w:t>
      </w:r>
      <w:r>
        <w:rPr>
          <w:rFonts w:ascii="楷体" w:eastAsia="楷体" w:hint="eastAsia"/>
          <w:sz w:val="18"/>
        </w:rPr>
        <w:t>、</w:t>
      </w:r>
      <w:r>
        <w:rPr>
          <w:rFonts w:ascii="Times New Roman" w:eastAsia="Times New Roman"/>
          <w:sz w:val="18"/>
        </w:rPr>
        <w:t>CNKI</w:t>
      </w:r>
      <w:r>
        <w:rPr>
          <w:rFonts w:ascii="楷体" w:eastAsia="楷体" w:hint="eastAsia"/>
          <w:sz w:val="18"/>
        </w:rPr>
        <w:t>、</w:t>
      </w:r>
      <w:r>
        <w:rPr>
          <w:rFonts w:ascii="Times New Roman" w:eastAsia="Times New Roman"/>
          <w:sz w:val="18"/>
        </w:rPr>
        <w:t>CBM</w:t>
      </w:r>
      <w:r>
        <w:rPr>
          <w:rFonts w:ascii="楷体" w:eastAsia="楷体" w:hint="eastAsia"/>
          <w:sz w:val="18"/>
        </w:rPr>
        <w:t>、</w:t>
      </w:r>
      <w:r>
        <w:rPr>
          <w:rFonts w:ascii="Times New Roman" w:eastAsia="Times New Roman"/>
          <w:sz w:val="18"/>
        </w:rPr>
        <w:t>VIP </w:t>
      </w:r>
      <w:r>
        <w:rPr>
          <w:rFonts w:ascii="楷体" w:eastAsia="楷体" w:hint="eastAsia"/>
          <w:spacing w:val="-24"/>
          <w:sz w:val="18"/>
        </w:rPr>
        <w:t>和 </w:t>
      </w:r>
      <w:r>
        <w:rPr>
          <w:rFonts w:ascii="Times New Roman" w:eastAsia="Times New Roman"/>
          <w:sz w:val="18"/>
        </w:rPr>
        <w:t>WanFang Data</w:t>
      </w:r>
      <w:r>
        <w:rPr>
          <w:rFonts w:ascii="楷体" w:eastAsia="楷体" w:hint="eastAsia"/>
          <w:spacing w:val="-5"/>
          <w:sz w:val="18"/>
        </w:rPr>
        <w:t>，检索时限均从建库至 </w:t>
      </w:r>
      <w:r>
        <w:rPr>
          <w:rFonts w:ascii="Times New Roman" w:eastAsia="Times New Roman"/>
          <w:sz w:val="18"/>
        </w:rPr>
        <w:t>2017 </w:t>
      </w:r>
      <w:r>
        <w:rPr>
          <w:rFonts w:ascii="楷体" w:eastAsia="楷体" w:hint="eastAsia"/>
          <w:spacing w:val="-23"/>
          <w:sz w:val="18"/>
        </w:rPr>
        <w:t>年 </w:t>
      </w:r>
      <w:r>
        <w:rPr>
          <w:rFonts w:ascii="Times New Roman" w:eastAsia="Times New Roman"/>
          <w:sz w:val="18"/>
        </w:rPr>
        <w:t>12 </w:t>
      </w:r>
      <w:r>
        <w:rPr>
          <w:rFonts w:ascii="楷体" w:eastAsia="楷体" w:hint="eastAsia"/>
          <w:sz w:val="18"/>
        </w:rPr>
        <w:t>月，对每项</w:t>
      </w:r>
      <w:r>
        <w:rPr>
          <w:rFonts w:ascii="楷体" w:eastAsia="楷体" w:hint="eastAsia"/>
          <w:spacing w:val="-3"/>
          <w:sz w:val="18"/>
        </w:rPr>
        <w:t>纳入研究进行偏倚风险评价，并采用 </w:t>
      </w:r>
      <w:r>
        <w:rPr>
          <w:rFonts w:ascii="Times New Roman" w:eastAsia="Times New Roman"/>
          <w:sz w:val="18"/>
        </w:rPr>
        <w:t>Rev Man 5.3 </w:t>
      </w:r>
      <w:r>
        <w:rPr>
          <w:rFonts w:ascii="楷体" w:eastAsia="楷体" w:hint="eastAsia"/>
          <w:spacing w:val="-9"/>
          <w:sz w:val="18"/>
        </w:rPr>
        <w:t>软件进行 </w:t>
      </w:r>
      <w:r>
        <w:rPr>
          <w:rFonts w:ascii="Times New Roman" w:eastAsia="Times New Roman"/>
          <w:sz w:val="18"/>
        </w:rPr>
        <w:t>Meta </w:t>
      </w:r>
      <w:r>
        <w:rPr>
          <w:rFonts w:ascii="楷体" w:eastAsia="楷体" w:hint="eastAsia"/>
          <w:sz w:val="18"/>
        </w:rPr>
        <w:t>分析。 </w:t>
      </w:r>
      <w:r>
        <w:rPr>
          <w:b/>
          <w:spacing w:val="-12"/>
          <w:sz w:val="18"/>
        </w:rPr>
        <w:t>结果：</w:t>
      </w:r>
      <w:r>
        <w:rPr>
          <w:rFonts w:ascii="楷体" w:eastAsia="楷体" w:hint="eastAsia"/>
          <w:spacing w:val="-12"/>
          <w:sz w:val="18"/>
        </w:rPr>
        <w:t>共纳入 </w:t>
      </w:r>
      <w:r>
        <w:rPr>
          <w:rFonts w:ascii="Times New Roman" w:eastAsia="Times New Roman"/>
          <w:sz w:val="18"/>
        </w:rPr>
        <w:t>147 </w:t>
      </w:r>
      <w:r>
        <w:rPr>
          <w:rFonts w:ascii="楷体" w:eastAsia="楷体" w:hint="eastAsia"/>
          <w:spacing w:val="-21"/>
          <w:sz w:val="18"/>
        </w:rPr>
        <w:t>个 </w:t>
      </w:r>
      <w:r>
        <w:rPr>
          <w:rFonts w:ascii="Times New Roman" w:eastAsia="Times New Roman"/>
          <w:spacing w:val="-5"/>
          <w:sz w:val="18"/>
        </w:rPr>
        <w:t>RCTs</w:t>
      </w:r>
      <w:r>
        <w:rPr>
          <w:rFonts w:ascii="楷体" w:eastAsia="楷体" w:hint="eastAsia"/>
          <w:spacing w:val="-5"/>
          <w:sz w:val="18"/>
        </w:rPr>
        <w:t>，</w:t>
      </w:r>
      <w:r>
        <w:rPr>
          <w:rFonts w:ascii="Times New Roman" w:eastAsia="Times New Roman"/>
          <w:spacing w:val="-5"/>
          <w:sz w:val="18"/>
        </w:rPr>
        <w:t>Meta </w:t>
      </w:r>
      <w:r>
        <w:rPr>
          <w:rFonts w:ascii="楷体" w:eastAsia="楷体" w:hint="eastAsia"/>
          <w:sz w:val="18"/>
        </w:rPr>
        <w:t>分析结果显示：</w:t>
      </w:r>
    </w:p>
    <w:p>
      <w:pPr>
        <w:spacing w:line="230" w:lineRule="exact" w:before="0"/>
        <w:ind w:left="237" w:right="0" w:firstLine="0"/>
        <w:jc w:val="left"/>
        <w:rPr>
          <w:rFonts w:ascii="Times New Roman" w:hAnsi="Times New Roman" w:eastAsia="Times New Roman"/>
          <w:sz w:val="18"/>
        </w:rPr>
      </w:pPr>
      <w:r>
        <w:rPr>
          <w:sz w:val="18"/>
        </w:rPr>
        <w:t>①</w:t>
      </w:r>
      <w:r>
        <w:rPr>
          <w:rFonts w:ascii="楷体" w:hAnsi="楷体" w:eastAsia="楷体" w:hint="eastAsia"/>
          <w:spacing w:val="4"/>
          <w:sz w:val="18"/>
        </w:rPr>
        <w:t>左旋氨氯地平联合</w:t>
      </w:r>
      <w:r>
        <w:rPr>
          <w:rFonts w:ascii="Times New Roman" w:hAnsi="Times New Roman" w:eastAsia="Times New Roman"/>
          <w:sz w:val="18"/>
        </w:rPr>
        <w:t>ACEI</w:t>
      </w:r>
      <w:r>
        <w:rPr>
          <w:rFonts w:ascii="Times New Roman" w:hAnsi="Times New Roman" w:eastAsia="Times New Roman"/>
          <w:spacing w:val="-2"/>
          <w:sz w:val="18"/>
        </w:rPr>
        <w:t>  </w:t>
      </w:r>
      <w:r>
        <w:rPr>
          <w:rFonts w:ascii="楷体" w:hAnsi="楷体" w:eastAsia="楷体" w:hint="eastAsia"/>
          <w:spacing w:val="36"/>
          <w:sz w:val="18"/>
        </w:rPr>
        <w:t>在</w:t>
      </w:r>
      <w:r>
        <w:rPr>
          <w:rFonts w:ascii="Times New Roman" w:hAnsi="Times New Roman" w:eastAsia="Times New Roman"/>
          <w:w w:val="99"/>
          <w:sz w:val="18"/>
        </w:rPr>
        <w:t>S</w:t>
      </w:r>
      <w:r>
        <w:rPr>
          <w:rFonts w:ascii="Times New Roman" w:hAnsi="Times New Roman" w:eastAsia="Times New Roman"/>
          <w:spacing w:val="-3"/>
          <w:sz w:val="18"/>
        </w:rPr>
        <w:t>B</w:t>
      </w:r>
      <w:r>
        <w:rPr>
          <w:rFonts w:ascii="Times New Roman" w:hAnsi="Times New Roman" w:eastAsia="Times New Roman"/>
          <w:w w:val="99"/>
          <w:sz w:val="18"/>
        </w:rPr>
        <w:t>P</w:t>
      </w:r>
      <w:r>
        <w:rPr>
          <w:rFonts w:ascii="Times New Roman" w:hAnsi="Times New Roman" w:eastAsia="Times New Roman"/>
          <w:spacing w:val="-8"/>
          <w:sz w:val="18"/>
        </w:rPr>
        <w:t> </w:t>
      </w:r>
      <w:r>
        <w:rPr>
          <w:rFonts w:ascii="楷体" w:hAnsi="楷体" w:eastAsia="楷体" w:hint="eastAsia"/>
          <w:sz w:val="18"/>
        </w:rPr>
        <w:t>降低值</w:t>
      </w:r>
      <w:r>
        <w:rPr>
          <w:rFonts w:ascii="Times New Roman" w:hAnsi="Times New Roman" w:eastAsia="Times New Roman"/>
          <w:spacing w:val="2"/>
          <w:sz w:val="18"/>
        </w:rPr>
        <w:t>[</w:t>
      </w:r>
      <w:r>
        <w:rPr>
          <w:rFonts w:ascii="Times New Roman" w:hAnsi="Times New Roman" w:eastAsia="Times New Roman"/>
          <w:w w:val="99"/>
          <w:sz w:val="18"/>
        </w:rPr>
        <w:t>SM</w:t>
      </w:r>
      <w:r>
        <w:rPr>
          <w:rFonts w:ascii="Times New Roman" w:hAnsi="Times New Roman" w:eastAsia="Times New Roman"/>
          <w:w w:val="99"/>
          <w:sz w:val="18"/>
        </w:rPr>
        <w:t>D</w:t>
      </w:r>
      <w:r>
        <w:rPr>
          <w:rFonts w:ascii="Times New Roman" w:hAnsi="Times New Roman" w:eastAsia="Times New Roman"/>
          <w:spacing w:val="-2"/>
          <w:w w:val="99"/>
          <w:sz w:val="18"/>
        </w:rPr>
        <w:t>=</w:t>
      </w:r>
      <w:r>
        <w:rPr>
          <w:rFonts w:ascii="Times New Roman" w:hAnsi="Times New Roman" w:eastAsia="Times New Roman"/>
          <w:spacing w:val="-2"/>
          <w:sz w:val="18"/>
        </w:rPr>
        <w:t>0</w:t>
      </w:r>
      <w:r>
        <w:rPr>
          <w:rFonts w:ascii="Times New Roman" w:hAnsi="Times New Roman" w:eastAsia="Times New Roman"/>
          <w:sz w:val="18"/>
        </w:rPr>
        <w:t>.</w:t>
      </w:r>
      <w:r>
        <w:rPr>
          <w:rFonts w:ascii="Times New Roman" w:hAnsi="Times New Roman" w:eastAsia="Times New Roman"/>
          <w:spacing w:val="-2"/>
          <w:sz w:val="18"/>
        </w:rPr>
        <w:t>9</w:t>
      </w:r>
      <w:r>
        <w:rPr>
          <w:rFonts w:ascii="Times New Roman" w:hAnsi="Times New Roman" w:eastAsia="Times New Roman"/>
          <w:spacing w:val="1"/>
          <w:sz w:val="18"/>
        </w:rPr>
        <w:t>2</w:t>
      </w:r>
      <w:r>
        <w:rPr>
          <w:rFonts w:ascii="Times New Roman" w:hAnsi="Times New Roman" w:eastAsia="Times New Roman"/>
          <w:spacing w:val="-1"/>
          <w:sz w:val="18"/>
        </w:rPr>
        <w:t>, </w:t>
      </w:r>
      <w:r>
        <w:rPr>
          <w:rFonts w:ascii="Times New Roman" w:hAnsi="Times New Roman" w:eastAsia="Times New Roman"/>
          <w:spacing w:val="1"/>
          <w:sz w:val="18"/>
        </w:rPr>
        <w:t>95</w:t>
      </w:r>
      <w:r>
        <w:rPr>
          <w:rFonts w:ascii="Times New Roman" w:hAnsi="Times New Roman" w:eastAsia="Times New Roman"/>
          <w:spacing w:val="-2"/>
          <w:sz w:val="18"/>
        </w:rPr>
        <w:t>%</w:t>
      </w:r>
      <w:r>
        <w:rPr>
          <w:rFonts w:ascii="Times New Roman" w:hAnsi="Times New Roman" w:eastAsia="Times New Roman"/>
          <w:sz w:val="18"/>
        </w:rPr>
        <w:t>CI</w:t>
      </w:r>
      <w:r>
        <w:rPr>
          <w:rFonts w:ascii="Times New Roman" w:hAnsi="Times New Roman" w:eastAsia="Times New Roman"/>
          <w:spacing w:val="-3"/>
          <w:sz w:val="18"/>
        </w:rPr>
        <w:t>(</w:t>
      </w:r>
      <w:r>
        <w:rPr>
          <w:rFonts w:ascii="Times New Roman" w:hAnsi="Times New Roman" w:eastAsia="Times New Roman"/>
          <w:spacing w:val="1"/>
          <w:sz w:val="18"/>
        </w:rPr>
        <w:t>0</w:t>
      </w:r>
      <w:r>
        <w:rPr>
          <w:rFonts w:ascii="Times New Roman" w:hAnsi="Times New Roman" w:eastAsia="Times New Roman"/>
          <w:sz w:val="18"/>
        </w:rPr>
        <w:t>.</w:t>
      </w:r>
      <w:r>
        <w:rPr>
          <w:rFonts w:ascii="Times New Roman" w:hAnsi="Times New Roman" w:eastAsia="Times New Roman"/>
          <w:spacing w:val="-2"/>
          <w:sz w:val="18"/>
        </w:rPr>
        <w:t>7</w:t>
      </w:r>
      <w:r>
        <w:rPr>
          <w:rFonts w:ascii="Times New Roman" w:hAnsi="Times New Roman" w:eastAsia="Times New Roman"/>
          <w:spacing w:val="1"/>
          <w:sz w:val="18"/>
        </w:rPr>
        <w:t>9</w:t>
      </w:r>
      <w:r>
        <w:rPr>
          <w:rFonts w:ascii="Times New Roman" w:hAnsi="Times New Roman" w:eastAsia="Times New Roman"/>
          <w:spacing w:val="-1"/>
          <w:sz w:val="18"/>
        </w:rPr>
        <w:t>, </w:t>
      </w:r>
      <w:r>
        <w:rPr>
          <w:rFonts w:ascii="Times New Roman" w:hAnsi="Times New Roman" w:eastAsia="Times New Roman"/>
          <w:spacing w:val="1"/>
          <w:sz w:val="18"/>
        </w:rPr>
        <w:t>1</w:t>
      </w:r>
      <w:r>
        <w:rPr>
          <w:rFonts w:ascii="Times New Roman" w:hAnsi="Times New Roman" w:eastAsia="Times New Roman"/>
          <w:sz w:val="18"/>
        </w:rPr>
        <w:t>.</w:t>
      </w:r>
      <w:r>
        <w:rPr>
          <w:rFonts w:ascii="Times New Roman" w:hAnsi="Times New Roman" w:eastAsia="Times New Roman"/>
          <w:spacing w:val="-2"/>
          <w:sz w:val="18"/>
        </w:rPr>
        <w:t>0</w:t>
      </w:r>
      <w:r>
        <w:rPr>
          <w:rFonts w:ascii="Times New Roman" w:hAnsi="Times New Roman" w:eastAsia="Times New Roman"/>
          <w:spacing w:val="1"/>
          <w:sz w:val="18"/>
        </w:rPr>
        <w:t>4</w:t>
      </w:r>
      <w:r>
        <w:rPr>
          <w:rFonts w:ascii="Times New Roman" w:hAnsi="Times New Roman" w:eastAsia="Times New Roman"/>
          <w:sz w:val="18"/>
        </w:rPr>
        <w:t>), </w:t>
      </w:r>
      <w:r>
        <w:rPr>
          <w:rFonts w:ascii="Times New Roman" w:hAnsi="Times New Roman" w:eastAsia="Times New Roman"/>
          <w:i/>
          <w:sz w:val="18"/>
        </w:rPr>
        <w:t>P</w:t>
      </w:r>
      <w:r>
        <w:rPr>
          <w:rFonts w:ascii="Times New Roman" w:hAnsi="Times New Roman" w:eastAsia="Times New Roman"/>
          <w:i/>
          <w:spacing w:val="-2"/>
          <w:sz w:val="18"/>
        </w:rPr>
        <w:t>&lt;</w:t>
      </w:r>
      <w:r>
        <w:rPr>
          <w:rFonts w:ascii="Times New Roman" w:hAnsi="Times New Roman" w:eastAsia="Times New Roman"/>
          <w:spacing w:val="1"/>
          <w:sz w:val="18"/>
        </w:rPr>
        <w:t>0</w:t>
      </w:r>
      <w:r>
        <w:rPr>
          <w:rFonts w:ascii="Times New Roman" w:hAnsi="Times New Roman" w:eastAsia="Times New Roman"/>
          <w:sz w:val="18"/>
        </w:rPr>
        <w:t>.</w:t>
      </w:r>
      <w:r>
        <w:rPr>
          <w:rFonts w:ascii="Times New Roman" w:hAnsi="Times New Roman" w:eastAsia="Times New Roman"/>
          <w:spacing w:val="-2"/>
          <w:sz w:val="18"/>
        </w:rPr>
        <w:t>0</w:t>
      </w:r>
      <w:r>
        <w:rPr>
          <w:rFonts w:ascii="Times New Roman" w:hAnsi="Times New Roman" w:eastAsia="Times New Roman"/>
          <w:spacing w:val="1"/>
          <w:sz w:val="18"/>
        </w:rPr>
        <w:t>0</w:t>
      </w:r>
      <w:r>
        <w:rPr>
          <w:rFonts w:ascii="Times New Roman" w:hAnsi="Times New Roman" w:eastAsia="Times New Roman"/>
          <w:sz w:val="18"/>
        </w:rPr>
        <w:t>0</w:t>
      </w:r>
      <w:r>
        <w:rPr>
          <w:rFonts w:ascii="Times New Roman" w:hAnsi="Times New Roman" w:eastAsia="Times New Roman"/>
          <w:spacing w:val="-1"/>
          <w:sz w:val="18"/>
        </w:rPr>
        <w:t> </w:t>
      </w:r>
      <w:r>
        <w:rPr>
          <w:rFonts w:ascii="Times New Roman" w:hAnsi="Times New Roman" w:eastAsia="Times New Roman"/>
          <w:spacing w:val="-2"/>
          <w:sz w:val="18"/>
        </w:rPr>
        <w:t>01</w:t>
      </w:r>
      <w:r>
        <w:rPr>
          <w:rFonts w:ascii="Times New Roman" w:hAnsi="Times New Roman" w:eastAsia="Times New Roman"/>
          <w:spacing w:val="2"/>
          <w:sz w:val="18"/>
        </w:rPr>
        <w:t>]</w:t>
      </w:r>
      <w:r>
        <w:rPr>
          <w:rFonts w:ascii="楷体" w:hAnsi="楷体" w:eastAsia="楷体" w:hint="eastAsia"/>
          <w:spacing w:val="-89"/>
          <w:sz w:val="18"/>
        </w:rPr>
        <w:t>，</w:t>
      </w:r>
      <w:r>
        <w:rPr>
          <w:rFonts w:ascii="Times New Roman" w:hAnsi="Times New Roman" w:eastAsia="Times New Roman"/>
          <w:w w:val="99"/>
          <w:sz w:val="18"/>
        </w:rPr>
        <w:t>D</w:t>
      </w:r>
      <w:r>
        <w:rPr>
          <w:rFonts w:ascii="Times New Roman" w:hAnsi="Times New Roman" w:eastAsia="Times New Roman"/>
          <w:spacing w:val="-3"/>
          <w:w w:val="99"/>
          <w:sz w:val="18"/>
        </w:rPr>
        <w:t>B</w:t>
      </w:r>
      <w:r>
        <w:rPr>
          <w:rFonts w:ascii="Times New Roman" w:hAnsi="Times New Roman" w:eastAsia="Times New Roman"/>
          <w:w w:val="99"/>
          <w:sz w:val="18"/>
        </w:rPr>
        <w:t>P</w:t>
      </w:r>
      <w:r>
        <w:rPr>
          <w:rFonts w:ascii="Times New Roman" w:hAnsi="Times New Roman" w:eastAsia="Times New Roman"/>
          <w:spacing w:val="-9"/>
          <w:sz w:val="18"/>
        </w:rPr>
        <w:t> </w:t>
      </w:r>
      <w:r>
        <w:rPr>
          <w:rFonts w:ascii="楷体" w:hAnsi="楷体" w:eastAsia="楷体" w:hint="eastAsia"/>
          <w:sz w:val="18"/>
        </w:rPr>
        <w:t>降低值</w:t>
      </w:r>
      <w:r>
        <w:rPr>
          <w:rFonts w:ascii="Times New Roman" w:hAnsi="Times New Roman" w:eastAsia="Times New Roman"/>
          <w:spacing w:val="2"/>
          <w:sz w:val="18"/>
        </w:rPr>
        <w:t>[</w:t>
      </w:r>
      <w:r>
        <w:rPr>
          <w:rFonts w:ascii="Times New Roman" w:hAnsi="Times New Roman" w:eastAsia="Times New Roman"/>
          <w:spacing w:val="-2"/>
          <w:w w:val="99"/>
          <w:sz w:val="18"/>
        </w:rPr>
        <w:t>S</w:t>
      </w:r>
      <w:r>
        <w:rPr>
          <w:rFonts w:ascii="Times New Roman" w:hAnsi="Times New Roman" w:eastAsia="Times New Roman"/>
          <w:w w:val="99"/>
          <w:sz w:val="18"/>
        </w:rPr>
        <w:t>M</w:t>
      </w:r>
      <w:r>
        <w:rPr>
          <w:rFonts w:ascii="Times New Roman" w:hAnsi="Times New Roman" w:eastAsia="Times New Roman"/>
          <w:w w:val="99"/>
          <w:sz w:val="18"/>
        </w:rPr>
        <w:t>D</w:t>
      </w:r>
      <w:r>
        <w:rPr>
          <w:rFonts w:ascii="Times New Roman" w:hAnsi="Times New Roman" w:eastAsia="Times New Roman"/>
          <w:spacing w:val="-2"/>
          <w:w w:val="99"/>
          <w:sz w:val="18"/>
        </w:rPr>
        <w:t>=</w:t>
      </w:r>
      <w:r>
        <w:rPr>
          <w:rFonts w:ascii="Times New Roman" w:hAnsi="Times New Roman" w:eastAsia="Times New Roman"/>
          <w:spacing w:val="1"/>
          <w:sz w:val="18"/>
        </w:rPr>
        <w:t>0</w:t>
      </w:r>
      <w:r>
        <w:rPr>
          <w:rFonts w:ascii="Times New Roman" w:hAnsi="Times New Roman" w:eastAsia="Times New Roman"/>
          <w:sz w:val="18"/>
        </w:rPr>
        <w:t>.</w:t>
      </w:r>
      <w:r>
        <w:rPr>
          <w:rFonts w:ascii="Times New Roman" w:hAnsi="Times New Roman" w:eastAsia="Times New Roman"/>
          <w:spacing w:val="-2"/>
          <w:sz w:val="18"/>
        </w:rPr>
        <w:t>8</w:t>
      </w:r>
      <w:r>
        <w:rPr>
          <w:rFonts w:ascii="Times New Roman" w:hAnsi="Times New Roman" w:eastAsia="Times New Roman"/>
          <w:spacing w:val="1"/>
          <w:sz w:val="18"/>
        </w:rPr>
        <w:t>7</w:t>
      </w:r>
      <w:r>
        <w:rPr>
          <w:rFonts w:ascii="Times New Roman" w:hAnsi="Times New Roman" w:eastAsia="Times New Roman"/>
          <w:spacing w:val="-1"/>
          <w:sz w:val="18"/>
        </w:rPr>
        <w:t>, </w:t>
      </w:r>
      <w:r>
        <w:rPr>
          <w:rFonts w:ascii="Times New Roman" w:hAnsi="Times New Roman" w:eastAsia="Times New Roman"/>
          <w:spacing w:val="1"/>
          <w:sz w:val="18"/>
        </w:rPr>
        <w:t>95</w:t>
      </w:r>
      <w:r>
        <w:rPr>
          <w:rFonts w:ascii="Times New Roman" w:hAnsi="Times New Roman" w:eastAsia="Times New Roman"/>
          <w:spacing w:val="-2"/>
          <w:sz w:val="18"/>
        </w:rPr>
        <w:t>%</w:t>
      </w:r>
      <w:r>
        <w:rPr>
          <w:rFonts w:ascii="Times New Roman" w:hAnsi="Times New Roman" w:eastAsia="Times New Roman"/>
          <w:sz w:val="18"/>
        </w:rPr>
        <w:t>CI(</w:t>
      </w:r>
      <w:r>
        <w:rPr>
          <w:rFonts w:ascii="Times New Roman" w:hAnsi="Times New Roman" w:eastAsia="Times New Roman"/>
          <w:spacing w:val="-2"/>
          <w:sz w:val="18"/>
        </w:rPr>
        <w:t>0</w:t>
      </w:r>
      <w:r>
        <w:rPr>
          <w:rFonts w:ascii="Times New Roman" w:hAnsi="Times New Roman" w:eastAsia="Times New Roman"/>
          <w:sz w:val="18"/>
        </w:rPr>
        <w:t>.</w:t>
      </w:r>
      <w:r>
        <w:rPr>
          <w:rFonts w:ascii="Times New Roman" w:hAnsi="Times New Roman" w:eastAsia="Times New Roman"/>
          <w:spacing w:val="-2"/>
          <w:sz w:val="18"/>
        </w:rPr>
        <w:t>7</w:t>
      </w:r>
      <w:r>
        <w:rPr>
          <w:rFonts w:ascii="Times New Roman" w:hAnsi="Times New Roman" w:eastAsia="Times New Roman"/>
          <w:spacing w:val="1"/>
          <w:sz w:val="18"/>
        </w:rPr>
        <w:t>2</w:t>
      </w:r>
      <w:r>
        <w:rPr>
          <w:rFonts w:ascii="Times New Roman" w:hAnsi="Times New Roman" w:eastAsia="Times New Roman"/>
          <w:sz w:val="18"/>
        </w:rPr>
        <w:t>,</w:t>
      </w:r>
    </w:p>
    <w:p>
      <w:pPr>
        <w:spacing w:line="355" w:lineRule="auto" w:before="108"/>
        <w:ind w:left="237" w:right="311" w:firstLine="0"/>
        <w:jc w:val="left"/>
        <w:rPr>
          <w:rFonts w:ascii="Times New Roman" w:hAnsi="Times New Roman" w:eastAsia="Times New Roman"/>
          <w:sz w:val="18"/>
        </w:rPr>
      </w:pPr>
      <w:r>
        <w:rPr>
          <w:rFonts w:ascii="Times New Roman" w:hAnsi="Times New Roman" w:eastAsia="Times New Roman"/>
          <w:sz w:val="18"/>
        </w:rPr>
        <w:t>1.03</w:t>
      </w:r>
      <w:r>
        <w:rPr>
          <w:rFonts w:ascii="Times New Roman" w:hAnsi="Times New Roman" w:eastAsia="Times New Roman"/>
          <w:spacing w:val="-1"/>
          <w:sz w:val="18"/>
        </w:rPr>
        <w:t>), </w:t>
      </w:r>
      <w:r>
        <w:rPr>
          <w:rFonts w:ascii="Times New Roman" w:hAnsi="Times New Roman" w:eastAsia="Times New Roman"/>
          <w:i/>
          <w:sz w:val="18"/>
        </w:rPr>
        <w:t>P&lt;</w:t>
      </w:r>
      <w:r>
        <w:rPr>
          <w:rFonts w:ascii="Times New Roman" w:hAnsi="Times New Roman" w:eastAsia="Times New Roman"/>
          <w:sz w:val="18"/>
        </w:rPr>
        <w:t>0.000</w:t>
      </w:r>
      <w:r>
        <w:rPr>
          <w:rFonts w:ascii="Times New Roman" w:hAnsi="Times New Roman" w:eastAsia="Times New Roman"/>
          <w:spacing w:val="-3"/>
          <w:sz w:val="18"/>
        </w:rPr>
        <w:t> </w:t>
      </w:r>
      <w:r>
        <w:rPr>
          <w:rFonts w:ascii="Times New Roman" w:hAnsi="Times New Roman" w:eastAsia="Times New Roman"/>
          <w:sz w:val="18"/>
        </w:rPr>
        <w:t>01]</w:t>
      </w:r>
      <w:r>
        <w:rPr>
          <w:rFonts w:ascii="楷体" w:hAnsi="楷体" w:eastAsia="楷体" w:hint="eastAsia"/>
          <w:sz w:val="18"/>
        </w:rPr>
        <w:t>和总有效率</w:t>
      </w:r>
      <w:r>
        <w:rPr>
          <w:rFonts w:ascii="Times New Roman" w:hAnsi="Times New Roman" w:eastAsia="Times New Roman"/>
          <w:sz w:val="18"/>
        </w:rPr>
        <w:t>[RR=1.23</w:t>
      </w:r>
      <w:r>
        <w:rPr>
          <w:rFonts w:ascii="Times New Roman" w:hAnsi="Times New Roman" w:eastAsia="Times New Roman"/>
          <w:spacing w:val="-1"/>
          <w:sz w:val="18"/>
        </w:rPr>
        <w:t>, </w:t>
      </w:r>
      <w:r>
        <w:rPr>
          <w:rFonts w:ascii="Times New Roman" w:hAnsi="Times New Roman" w:eastAsia="Times New Roman"/>
          <w:sz w:val="18"/>
        </w:rPr>
        <w:t>95%CI(1.20</w:t>
      </w:r>
      <w:r>
        <w:rPr>
          <w:rFonts w:ascii="Times New Roman" w:hAnsi="Times New Roman" w:eastAsia="Times New Roman"/>
          <w:spacing w:val="-2"/>
          <w:sz w:val="18"/>
        </w:rPr>
        <w:t>, </w:t>
      </w:r>
      <w:r>
        <w:rPr>
          <w:rFonts w:ascii="Times New Roman" w:hAnsi="Times New Roman" w:eastAsia="Times New Roman"/>
          <w:sz w:val="18"/>
        </w:rPr>
        <w:t>1.26), </w:t>
      </w:r>
      <w:r>
        <w:rPr>
          <w:rFonts w:ascii="Times New Roman" w:hAnsi="Times New Roman" w:eastAsia="Times New Roman"/>
          <w:i/>
          <w:sz w:val="18"/>
        </w:rPr>
        <w:t>P&lt;</w:t>
      </w:r>
      <w:r>
        <w:rPr>
          <w:rFonts w:ascii="Times New Roman" w:hAnsi="Times New Roman" w:eastAsia="Times New Roman"/>
          <w:sz w:val="18"/>
        </w:rPr>
        <w:t>0.000</w:t>
      </w:r>
      <w:r>
        <w:rPr>
          <w:rFonts w:ascii="Times New Roman" w:hAnsi="Times New Roman" w:eastAsia="Times New Roman"/>
          <w:spacing w:val="-2"/>
          <w:sz w:val="18"/>
        </w:rPr>
        <w:t> </w:t>
      </w:r>
      <w:r>
        <w:rPr>
          <w:rFonts w:ascii="Times New Roman" w:hAnsi="Times New Roman" w:eastAsia="Times New Roman"/>
          <w:sz w:val="18"/>
        </w:rPr>
        <w:t>01]</w:t>
      </w:r>
      <w:r>
        <w:rPr>
          <w:rFonts w:ascii="楷体" w:hAnsi="楷体" w:eastAsia="楷体" w:hint="eastAsia"/>
          <w:sz w:val="18"/>
        </w:rPr>
        <w:t>方面均优于对照组，差异具有统计学意义；</w:t>
      </w:r>
      <w:r>
        <w:rPr>
          <w:sz w:val="18"/>
        </w:rPr>
        <w:t>②</w:t>
      </w:r>
      <w:r>
        <w:rPr>
          <w:rFonts w:ascii="楷体" w:hAnsi="楷体" w:eastAsia="楷体" w:hint="eastAsia"/>
          <w:sz w:val="18"/>
        </w:rPr>
        <w:t>左旋</w:t>
      </w:r>
      <w:r>
        <w:rPr>
          <w:rFonts w:ascii="楷体" w:hAnsi="楷体" w:eastAsia="楷体" w:hint="eastAsia"/>
          <w:spacing w:val="-7"/>
          <w:sz w:val="18"/>
        </w:rPr>
        <w:t>氨氯地平联合 </w:t>
      </w:r>
      <w:r>
        <w:rPr>
          <w:rFonts w:ascii="Times New Roman" w:hAnsi="Times New Roman" w:eastAsia="Times New Roman"/>
          <w:sz w:val="18"/>
        </w:rPr>
        <w:t>ARB</w:t>
      </w:r>
      <w:r>
        <w:rPr>
          <w:rFonts w:ascii="Times New Roman" w:hAnsi="Times New Roman" w:eastAsia="Times New Roman"/>
          <w:spacing w:val="-5"/>
          <w:sz w:val="18"/>
        </w:rPr>
        <w:t> </w:t>
      </w:r>
      <w:r>
        <w:rPr>
          <w:rFonts w:ascii="楷体" w:hAnsi="楷体" w:eastAsia="楷体" w:hint="eastAsia"/>
          <w:spacing w:val="-24"/>
          <w:sz w:val="18"/>
        </w:rPr>
        <w:t>在 </w:t>
      </w:r>
      <w:r>
        <w:rPr>
          <w:rFonts w:ascii="Times New Roman" w:hAnsi="Times New Roman" w:eastAsia="Times New Roman"/>
          <w:sz w:val="18"/>
        </w:rPr>
        <w:t>SBP </w:t>
      </w:r>
      <w:r>
        <w:rPr>
          <w:rFonts w:ascii="楷体" w:hAnsi="楷体" w:eastAsia="楷体" w:hint="eastAsia"/>
          <w:sz w:val="18"/>
        </w:rPr>
        <w:t>降低值</w:t>
      </w:r>
      <w:r>
        <w:rPr>
          <w:rFonts w:ascii="Times New Roman" w:hAnsi="Times New Roman" w:eastAsia="Times New Roman"/>
          <w:sz w:val="18"/>
        </w:rPr>
        <w:t>[SMD=1.29</w:t>
      </w:r>
      <w:r>
        <w:rPr>
          <w:rFonts w:ascii="Times New Roman" w:hAnsi="Times New Roman" w:eastAsia="Times New Roman"/>
          <w:spacing w:val="-2"/>
          <w:sz w:val="18"/>
        </w:rPr>
        <w:t>, </w:t>
      </w:r>
      <w:r>
        <w:rPr>
          <w:rFonts w:ascii="Times New Roman" w:hAnsi="Times New Roman" w:eastAsia="Times New Roman"/>
          <w:sz w:val="18"/>
        </w:rPr>
        <w:t>95%CI(1.10</w:t>
      </w:r>
      <w:r>
        <w:rPr>
          <w:rFonts w:ascii="Times New Roman" w:hAnsi="Times New Roman" w:eastAsia="Times New Roman"/>
          <w:spacing w:val="-2"/>
          <w:sz w:val="18"/>
        </w:rPr>
        <w:t>, </w:t>
      </w:r>
      <w:r>
        <w:rPr>
          <w:rFonts w:ascii="Times New Roman" w:hAnsi="Times New Roman" w:eastAsia="Times New Roman"/>
          <w:sz w:val="18"/>
        </w:rPr>
        <w:t>1.48</w:t>
      </w:r>
      <w:r>
        <w:rPr>
          <w:rFonts w:ascii="Times New Roman" w:hAnsi="Times New Roman" w:eastAsia="Times New Roman"/>
          <w:spacing w:val="-1"/>
          <w:sz w:val="18"/>
        </w:rPr>
        <w:t>), </w:t>
      </w:r>
      <w:r>
        <w:rPr>
          <w:rFonts w:ascii="Times New Roman" w:hAnsi="Times New Roman" w:eastAsia="Times New Roman"/>
          <w:i/>
          <w:sz w:val="18"/>
        </w:rPr>
        <w:t>P&lt;</w:t>
      </w:r>
      <w:r>
        <w:rPr>
          <w:rFonts w:ascii="Times New Roman" w:hAnsi="Times New Roman" w:eastAsia="Times New Roman"/>
          <w:sz w:val="18"/>
        </w:rPr>
        <w:t>0.000</w:t>
      </w:r>
      <w:r>
        <w:rPr>
          <w:rFonts w:ascii="Times New Roman" w:hAnsi="Times New Roman" w:eastAsia="Times New Roman"/>
          <w:spacing w:val="-3"/>
          <w:sz w:val="18"/>
        </w:rPr>
        <w:t> </w:t>
      </w:r>
      <w:r>
        <w:rPr>
          <w:rFonts w:ascii="Times New Roman" w:hAnsi="Times New Roman" w:eastAsia="Times New Roman"/>
          <w:sz w:val="18"/>
        </w:rPr>
        <w:t>01]</w:t>
      </w:r>
      <w:r>
        <w:rPr>
          <w:rFonts w:ascii="楷体" w:hAnsi="楷体" w:eastAsia="楷体" w:hint="eastAsia"/>
          <w:sz w:val="18"/>
        </w:rPr>
        <w:t>，</w:t>
      </w:r>
      <w:r>
        <w:rPr>
          <w:rFonts w:ascii="Times New Roman" w:hAnsi="Times New Roman" w:eastAsia="Times New Roman"/>
          <w:sz w:val="18"/>
        </w:rPr>
        <w:t>DBP</w:t>
      </w:r>
      <w:r>
        <w:rPr>
          <w:rFonts w:ascii="Times New Roman" w:hAnsi="Times New Roman" w:eastAsia="Times New Roman"/>
          <w:spacing w:val="-1"/>
          <w:sz w:val="18"/>
        </w:rPr>
        <w:t> </w:t>
      </w:r>
      <w:r>
        <w:rPr>
          <w:rFonts w:ascii="楷体" w:hAnsi="楷体" w:eastAsia="楷体" w:hint="eastAsia"/>
          <w:sz w:val="18"/>
        </w:rPr>
        <w:t>降低值</w:t>
      </w:r>
      <w:r>
        <w:rPr>
          <w:rFonts w:ascii="Times New Roman" w:hAnsi="Times New Roman" w:eastAsia="Times New Roman"/>
          <w:sz w:val="18"/>
        </w:rPr>
        <w:t>[SMD=0.94</w:t>
      </w:r>
      <w:r>
        <w:rPr>
          <w:rFonts w:ascii="Times New Roman" w:hAnsi="Times New Roman" w:eastAsia="Times New Roman"/>
          <w:spacing w:val="-2"/>
          <w:sz w:val="18"/>
        </w:rPr>
        <w:t>, </w:t>
      </w:r>
      <w:r>
        <w:rPr>
          <w:rFonts w:ascii="Times New Roman" w:hAnsi="Times New Roman" w:eastAsia="Times New Roman"/>
          <w:sz w:val="18"/>
        </w:rPr>
        <w:t>95%CI(0.79</w:t>
      </w:r>
      <w:r>
        <w:rPr>
          <w:rFonts w:ascii="Times New Roman" w:hAnsi="Times New Roman" w:eastAsia="Times New Roman"/>
          <w:spacing w:val="-2"/>
          <w:sz w:val="18"/>
        </w:rPr>
        <w:t>, </w:t>
      </w:r>
      <w:r>
        <w:rPr>
          <w:rFonts w:ascii="Times New Roman" w:hAnsi="Times New Roman" w:eastAsia="Times New Roman"/>
          <w:sz w:val="18"/>
        </w:rPr>
        <w:t>1.09),</w:t>
      </w:r>
    </w:p>
    <w:p>
      <w:pPr>
        <w:spacing w:line="352" w:lineRule="auto" w:before="0"/>
        <w:ind w:left="237" w:right="276" w:firstLine="0"/>
        <w:jc w:val="left"/>
        <w:rPr>
          <w:rFonts w:ascii="Times New Roman" w:hAnsi="Times New Roman" w:eastAsia="Times New Roman"/>
          <w:sz w:val="18"/>
        </w:rPr>
      </w:pPr>
      <w:r>
        <w:rPr>
          <w:rFonts w:ascii="Times New Roman" w:hAnsi="Times New Roman" w:eastAsia="Times New Roman"/>
          <w:i/>
          <w:sz w:val="18"/>
        </w:rPr>
        <w:t>P&lt;</w:t>
      </w:r>
      <w:r>
        <w:rPr>
          <w:rFonts w:ascii="Times New Roman" w:hAnsi="Times New Roman" w:eastAsia="Times New Roman"/>
          <w:sz w:val="18"/>
        </w:rPr>
        <w:t>0.000</w:t>
      </w:r>
      <w:r>
        <w:rPr>
          <w:rFonts w:ascii="Times New Roman" w:hAnsi="Times New Roman" w:eastAsia="Times New Roman"/>
          <w:spacing w:val="-5"/>
          <w:sz w:val="18"/>
        </w:rPr>
        <w:t> </w:t>
      </w:r>
      <w:r>
        <w:rPr>
          <w:rFonts w:ascii="Times New Roman" w:hAnsi="Times New Roman" w:eastAsia="Times New Roman"/>
          <w:sz w:val="18"/>
        </w:rPr>
        <w:t>01]</w:t>
      </w:r>
      <w:r>
        <w:rPr>
          <w:rFonts w:ascii="楷体" w:hAnsi="楷体" w:eastAsia="楷体" w:hint="eastAsia"/>
          <w:sz w:val="18"/>
        </w:rPr>
        <w:t>和总有效率</w:t>
      </w:r>
      <w:r>
        <w:rPr>
          <w:rFonts w:ascii="Times New Roman" w:hAnsi="Times New Roman" w:eastAsia="Times New Roman"/>
          <w:sz w:val="18"/>
        </w:rPr>
        <w:t>[RR=1.22</w:t>
      </w:r>
      <w:r>
        <w:rPr>
          <w:rFonts w:ascii="Times New Roman" w:hAnsi="Times New Roman" w:eastAsia="Times New Roman"/>
          <w:spacing w:val="-2"/>
          <w:sz w:val="18"/>
        </w:rPr>
        <w:t>, </w:t>
      </w:r>
      <w:r>
        <w:rPr>
          <w:rFonts w:ascii="Times New Roman" w:hAnsi="Times New Roman" w:eastAsia="Times New Roman"/>
          <w:sz w:val="18"/>
        </w:rPr>
        <w:t>95%CI(1.20</w:t>
      </w:r>
      <w:r>
        <w:rPr>
          <w:rFonts w:ascii="Times New Roman" w:hAnsi="Times New Roman" w:eastAsia="Times New Roman"/>
          <w:spacing w:val="-2"/>
          <w:sz w:val="18"/>
        </w:rPr>
        <w:t>, </w:t>
      </w:r>
      <w:r>
        <w:rPr>
          <w:rFonts w:ascii="Times New Roman" w:hAnsi="Times New Roman" w:eastAsia="Times New Roman"/>
          <w:sz w:val="18"/>
        </w:rPr>
        <w:t>1.25), </w:t>
      </w:r>
      <w:r>
        <w:rPr>
          <w:rFonts w:ascii="Times New Roman" w:hAnsi="Times New Roman" w:eastAsia="Times New Roman"/>
          <w:i/>
          <w:sz w:val="18"/>
        </w:rPr>
        <w:t>P&lt;</w:t>
      </w:r>
      <w:r>
        <w:rPr>
          <w:rFonts w:ascii="Times New Roman" w:hAnsi="Times New Roman" w:eastAsia="Times New Roman"/>
          <w:sz w:val="18"/>
        </w:rPr>
        <w:t>0.000</w:t>
      </w:r>
      <w:r>
        <w:rPr>
          <w:rFonts w:ascii="Times New Roman" w:hAnsi="Times New Roman" w:eastAsia="Times New Roman"/>
          <w:spacing w:val="-4"/>
          <w:sz w:val="18"/>
        </w:rPr>
        <w:t> </w:t>
      </w:r>
      <w:r>
        <w:rPr>
          <w:rFonts w:ascii="Times New Roman" w:hAnsi="Times New Roman" w:eastAsia="Times New Roman"/>
          <w:sz w:val="18"/>
        </w:rPr>
        <w:t>01]</w:t>
      </w:r>
      <w:r>
        <w:rPr>
          <w:rFonts w:ascii="楷体" w:hAnsi="楷体" w:eastAsia="楷体" w:hint="eastAsia"/>
          <w:sz w:val="18"/>
        </w:rPr>
        <w:t>方面均优于对照组，差异具有统计学意义；</w:t>
      </w:r>
      <w:r>
        <w:rPr>
          <w:sz w:val="18"/>
        </w:rPr>
        <w:t>③</w:t>
      </w:r>
      <w:r>
        <w:rPr>
          <w:rFonts w:ascii="楷体" w:hAnsi="楷体" w:eastAsia="楷体" w:hint="eastAsia"/>
          <w:sz w:val="18"/>
        </w:rPr>
        <w:t>左旋氨氯地</w:t>
      </w:r>
      <w:r>
        <w:rPr>
          <w:rFonts w:ascii="楷体" w:hAnsi="楷体" w:eastAsia="楷体" w:hint="eastAsia"/>
          <w:spacing w:val="-11"/>
          <w:sz w:val="18"/>
        </w:rPr>
        <w:t>平联合 </w:t>
      </w:r>
      <w:r>
        <w:rPr>
          <w:rFonts w:ascii="Times New Roman" w:hAnsi="Times New Roman" w:eastAsia="Times New Roman"/>
          <w:sz w:val="18"/>
        </w:rPr>
        <w:t>β</w:t>
      </w:r>
      <w:r>
        <w:rPr>
          <w:rFonts w:ascii="Times New Roman" w:hAnsi="Times New Roman" w:eastAsia="Times New Roman"/>
          <w:spacing w:val="-5"/>
          <w:sz w:val="18"/>
        </w:rPr>
        <w:t> </w:t>
      </w:r>
      <w:r>
        <w:rPr>
          <w:rFonts w:ascii="楷体" w:hAnsi="楷体" w:eastAsia="楷体" w:hint="eastAsia"/>
          <w:spacing w:val="-7"/>
          <w:sz w:val="18"/>
        </w:rPr>
        <w:t>受体拮抗剂在 </w:t>
      </w:r>
      <w:r>
        <w:rPr>
          <w:rFonts w:ascii="Times New Roman" w:hAnsi="Times New Roman" w:eastAsia="Times New Roman"/>
          <w:sz w:val="18"/>
        </w:rPr>
        <w:t>SBP </w:t>
      </w:r>
      <w:r>
        <w:rPr>
          <w:rFonts w:ascii="楷体" w:hAnsi="楷体" w:eastAsia="楷体" w:hint="eastAsia"/>
          <w:sz w:val="18"/>
        </w:rPr>
        <w:t>降低值</w:t>
      </w:r>
      <w:r>
        <w:rPr>
          <w:rFonts w:ascii="Times New Roman" w:hAnsi="Times New Roman" w:eastAsia="Times New Roman"/>
          <w:sz w:val="18"/>
        </w:rPr>
        <w:t>[SMD=0.88</w:t>
      </w:r>
      <w:r>
        <w:rPr>
          <w:rFonts w:ascii="Times New Roman" w:hAnsi="Times New Roman" w:eastAsia="Times New Roman"/>
          <w:spacing w:val="-2"/>
          <w:sz w:val="18"/>
        </w:rPr>
        <w:t>, </w:t>
      </w:r>
      <w:r>
        <w:rPr>
          <w:rFonts w:ascii="Times New Roman" w:hAnsi="Times New Roman" w:eastAsia="Times New Roman"/>
          <w:sz w:val="18"/>
        </w:rPr>
        <w:t>95%CI(0.39</w:t>
      </w:r>
      <w:r>
        <w:rPr>
          <w:rFonts w:ascii="Times New Roman" w:hAnsi="Times New Roman" w:eastAsia="Times New Roman"/>
          <w:spacing w:val="-2"/>
          <w:sz w:val="18"/>
        </w:rPr>
        <w:t>, </w:t>
      </w:r>
      <w:r>
        <w:rPr>
          <w:rFonts w:ascii="Times New Roman" w:hAnsi="Times New Roman" w:eastAsia="Times New Roman"/>
          <w:sz w:val="18"/>
        </w:rPr>
        <w:t>1.36), </w:t>
      </w:r>
      <w:r>
        <w:rPr>
          <w:rFonts w:ascii="Times New Roman" w:hAnsi="Times New Roman" w:eastAsia="Times New Roman"/>
          <w:i/>
          <w:sz w:val="18"/>
        </w:rPr>
        <w:t>P=</w:t>
      </w:r>
      <w:r>
        <w:rPr>
          <w:rFonts w:ascii="Times New Roman" w:hAnsi="Times New Roman" w:eastAsia="Times New Roman"/>
          <w:sz w:val="18"/>
        </w:rPr>
        <w:t>0.000</w:t>
      </w:r>
      <w:r>
        <w:rPr>
          <w:rFonts w:ascii="Times New Roman" w:hAnsi="Times New Roman" w:eastAsia="Times New Roman"/>
          <w:spacing w:val="-3"/>
          <w:sz w:val="18"/>
        </w:rPr>
        <w:t> </w:t>
      </w:r>
      <w:r>
        <w:rPr>
          <w:rFonts w:ascii="Times New Roman" w:hAnsi="Times New Roman" w:eastAsia="Times New Roman"/>
          <w:sz w:val="18"/>
        </w:rPr>
        <w:t>5]</w:t>
      </w:r>
      <w:r>
        <w:rPr>
          <w:rFonts w:ascii="楷体" w:hAnsi="楷体" w:eastAsia="楷体" w:hint="eastAsia"/>
          <w:sz w:val="18"/>
        </w:rPr>
        <w:t>，</w:t>
      </w:r>
      <w:r>
        <w:rPr>
          <w:rFonts w:ascii="Times New Roman" w:hAnsi="Times New Roman" w:eastAsia="Times New Roman"/>
          <w:sz w:val="18"/>
        </w:rPr>
        <w:t>DBP</w:t>
      </w:r>
      <w:r>
        <w:rPr>
          <w:rFonts w:ascii="Times New Roman" w:hAnsi="Times New Roman" w:eastAsia="Times New Roman"/>
          <w:spacing w:val="-1"/>
          <w:sz w:val="18"/>
        </w:rPr>
        <w:t> </w:t>
      </w:r>
      <w:r>
        <w:rPr>
          <w:rFonts w:ascii="楷体" w:hAnsi="楷体" w:eastAsia="楷体" w:hint="eastAsia"/>
          <w:sz w:val="18"/>
        </w:rPr>
        <w:t>降低值</w:t>
      </w:r>
      <w:r>
        <w:rPr>
          <w:rFonts w:ascii="Times New Roman" w:hAnsi="Times New Roman" w:eastAsia="Times New Roman"/>
          <w:sz w:val="18"/>
        </w:rPr>
        <w:t>[SMD=0.80</w:t>
      </w:r>
      <w:r>
        <w:rPr>
          <w:rFonts w:ascii="Times New Roman" w:hAnsi="Times New Roman" w:eastAsia="Times New Roman"/>
          <w:spacing w:val="-2"/>
          <w:sz w:val="18"/>
        </w:rPr>
        <w:t>, </w:t>
      </w:r>
      <w:r>
        <w:rPr>
          <w:rFonts w:ascii="Times New Roman" w:hAnsi="Times New Roman" w:eastAsia="Times New Roman"/>
          <w:sz w:val="18"/>
        </w:rPr>
        <w:t>95%CI(0.35</w:t>
      </w:r>
      <w:r>
        <w:rPr>
          <w:rFonts w:ascii="Times New Roman" w:hAnsi="Times New Roman" w:eastAsia="Times New Roman"/>
          <w:spacing w:val="-1"/>
          <w:sz w:val="18"/>
        </w:rPr>
        <w:t>, </w:t>
      </w:r>
      <w:r>
        <w:rPr>
          <w:rFonts w:ascii="Times New Roman" w:hAnsi="Times New Roman" w:eastAsia="Times New Roman"/>
          <w:sz w:val="18"/>
        </w:rPr>
        <w:t>1.25),</w:t>
      </w:r>
    </w:p>
    <w:p>
      <w:pPr>
        <w:spacing w:line="355" w:lineRule="auto" w:before="1"/>
        <w:ind w:left="237" w:right="190" w:firstLine="0"/>
        <w:jc w:val="left"/>
        <w:rPr>
          <w:rFonts w:ascii="Times New Roman" w:hAnsi="Times New Roman" w:eastAsia="Times New Roman"/>
          <w:sz w:val="18"/>
        </w:rPr>
      </w:pPr>
      <w:r>
        <w:rPr>
          <w:rFonts w:ascii="Times New Roman" w:hAnsi="Times New Roman" w:eastAsia="Times New Roman"/>
          <w:i/>
          <w:sz w:val="18"/>
        </w:rPr>
        <w:t>P=</w:t>
      </w:r>
      <w:r>
        <w:rPr>
          <w:rFonts w:ascii="Times New Roman" w:hAnsi="Times New Roman" w:eastAsia="Times New Roman"/>
          <w:sz w:val="18"/>
        </w:rPr>
        <w:t>0.000 5]</w:t>
      </w:r>
      <w:r>
        <w:rPr>
          <w:rFonts w:ascii="楷体" w:hAnsi="楷体" w:eastAsia="楷体" w:hint="eastAsia"/>
          <w:sz w:val="18"/>
        </w:rPr>
        <w:t>和总有效率</w:t>
      </w:r>
      <w:r>
        <w:rPr>
          <w:rFonts w:ascii="Times New Roman" w:hAnsi="Times New Roman" w:eastAsia="Times New Roman"/>
          <w:sz w:val="18"/>
        </w:rPr>
        <w:t>[RR=1.18, 95%CI(1.12, 1.23), </w:t>
      </w:r>
      <w:r>
        <w:rPr>
          <w:rFonts w:ascii="Times New Roman" w:hAnsi="Times New Roman" w:eastAsia="Times New Roman"/>
          <w:i/>
          <w:sz w:val="18"/>
        </w:rPr>
        <w:t>P&lt;</w:t>
      </w:r>
      <w:r>
        <w:rPr>
          <w:rFonts w:ascii="Times New Roman" w:hAnsi="Times New Roman" w:eastAsia="Times New Roman"/>
          <w:sz w:val="18"/>
        </w:rPr>
        <w:t>0.000 01]</w:t>
      </w:r>
      <w:r>
        <w:rPr>
          <w:rFonts w:ascii="楷体" w:hAnsi="楷体" w:eastAsia="楷体" w:hint="eastAsia"/>
          <w:sz w:val="18"/>
        </w:rPr>
        <w:t>方面优于对照组，差异具有统计学意义；</w:t>
      </w:r>
      <w:r>
        <w:rPr>
          <w:sz w:val="18"/>
        </w:rPr>
        <w:t>④</w:t>
      </w:r>
      <w:r>
        <w:rPr>
          <w:rFonts w:ascii="楷体" w:hAnsi="楷体" w:eastAsia="楷体" w:hint="eastAsia"/>
          <w:sz w:val="18"/>
        </w:rPr>
        <w:t>左旋氨氯地平联合利尿剂在 </w:t>
      </w:r>
      <w:r>
        <w:rPr>
          <w:rFonts w:ascii="Times New Roman" w:hAnsi="Times New Roman" w:eastAsia="Times New Roman"/>
          <w:sz w:val="18"/>
        </w:rPr>
        <w:t>SBP </w:t>
      </w:r>
      <w:r>
        <w:rPr>
          <w:rFonts w:ascii="楷体" w:hAnsi="楷体" w:eastAsia="楷体" w:hint="eastAsia"/>
          <w:sz w:val="18"/>
        </w:rPr>
        <w:t>降低值</w:t>
      </w:r>
      <w:r>
        <w:rPr>
          <w:rFonts w:ascii="Times New Roman" w:hAnsi="Times New Roman" w:eastAsia="Times New Roman"/>
          <w:sz w:val="18"/>
        </w:rPr>
        <w:t>[SMD=1.34, 95%CI(0.78, 1.90), </w:t>
      </w:r>
      <w:r>
        <w:rPr>
          <w:rFonts w:ascii="Times New Roman" w:hAnsi="Times New Roman" w:eastAsia="Times New Roman"/>
          <w:i/>
          <w:sz w:val="18"/>
        </w:rPr>
        <w:t>P&lt;</w:t>
      </w:r>
      <w:r>
        <w:rPr>
          <w:rFonts w:ascii="Times New Roman" w:hAnsi="Times New Roman" w:eastAsia="Times New Roman"/>
          <w:sz w:val="18"/>
        </w:rPr>
        <w:t>0.000 01]</w:t>
      </w:r>
      <w:r>
        <w:rPr>
          <w:rFonts w:ascii="楷体" w:hAnsi="楷体" w:eastAsia="楷体" w:hint="eastAsia"/>
          <w:sz w:val="18"/>
        </w:rPr>
        <w:t>，</w:t>
      </w:r>
      <w:r>
        <w:rPr>
          <w:rFonts w:ascii="Times New Roman" w:hAnsi="Times New Roman" w:eastAsia="Times New Roman"/>
          <w:sz w:val="18"/>
        </w:rPr>
        <w:t>DBP </w:t>
      </w:r>
      <w:r>
        <w:rPr>
          <w:rFonts w:ascii="楷体" w:hAnsi="楷体" w:eastAsia="楷体" w:hint="eastAsia"/>
          <w:sz w:val="18"/>
        </w:rPr>
        <w:t>降低值</w:t>
      </w:r>
      <w:r>
        <w:rPr>
          <w:rFonts w:ascii="Times New Roman" w:hAnsi="Times New Roman" w:eastAsia="Times New Roman"/>
          <w:sz w:val="18"/>
        </w:rPr>
        <w:t>[SMD=0.72, 95%CI(0.20, 1.24), </w:t>
      </w:r>
      <w:r>
        <w:rPr>
          <w:rFonts w:ascii="Times New Roman" w:hAnsi="Times New Roman" w:eastAsia="Times New Roman"/>
          <w:i/>
          <w:sz w:val="18"/>
        </w:rPr>
        <w:t>P=</w:t>
      </w:r>
      <w:r>
        <w:rPr>
          <w:rFonts w:ascii="Times New Roman" w:hAnsi="Times New Roman" w:eastAsia="Times New Roman"/>
          <w:sz w:val="18"/>
        </w:rPr>
        <w:t>0.007]</w:t>
      </w:r>
    </w:p>
    <w:p>
      <w:pPr>
        <w:spacing w:line="355" w:lineRule="auto" w:before="0"/>
        <w:ind w:left="237" w:right="316" w:firstLine="0"/>
        <w:jc w:val="left"/>
        <w:rPr>
          <w:rFonts w:ascii="楷体" w:eastAsia="楷体" w:hint="eastAsia"/>
          <w:sz w:val="18"/>
        </w:rPr>
      </w:pPr>
      <w:r>
        <w:rPr>
          <w:rFonts w:ascii="楷体" w:eastAsia="楷体" w:hint="eastAsia"/>
          <w:sz w:val="18"/>
        </w:rPr>
        <w:t>方面优于对照组，差异具有统计学意义。 </w:t>
      </w:r>
      <w:r>
        <w:rPr>
          <w:b/>
          <w:sz w:val="18"/>
        </w:rPr>
        <w:t>结论：</w:t>
      </w:r>
      <w:r>
        <w:rPr>
          <w:rFonts w:ascii="楷体" w:eastAsia="楷体" w:hint="eastAsia"/>
          <w:sz w:val="18"/>
        </w:rPr>
        <w:t>基于现有临床证据，左旋氨氯地平联合一线降压药降压效果优于单一用药方案。</w:t>
      </w:r>
    </w:p>
    <w:p>
      <w:pPr>
        <w:spacing w:line="230" w:lineRule="exact" w:before="0"/>
        <w:ind w:left="237" w:right="0" w:firstLine="0"/>
        <w:jc w:val="left"/>
        <w:rPr>
          <w:rFonts w:ascii="楷体" w:eastAsia="楷体" w:hint="eastAsia"/>
          <w:sz w:val="18"/>
        </w:rPr>
      </w:pPr>
      <w:r>
        <w:rPr>
          <w:b/>
          <w:sz w:val="18"/>
        </w:rPr>
        <w:t>[关键词] </w:t>
      </w:r>
      <w:r>
        <w:rPr>
          <w:rFonts w:ascii="楷体" w:eastAsia="楷体" w:hint="eastAsia"/>
          <w:sz w:val="18"/>
        </w:rPr>
        <w:t>左旋氨氯地平；高血压；随机对照试验；系统评价</w:t>
      </w:r>
    </w:p>
    <w:p>
      <w:pPr>
        <w:pStyle w:val="BodyText"/>
        <w:spacing w:before="85"/>
        <w:ind w:left="717"/>
      </w:pPr>
      <w:r>
        <w:rPr/>
        <w:t>高血压是重要的心脑血管疾病危险因素，可损伤心、脑、肾等重要脏器的结构和功能。</w:t>
      </w:r>
    </w:p>
    <w:p>
      <w:pPr>
        <w:pStyle w:val="BodyText"/>
        <w:spacing w:line="304" w:lineRule="auto" w:before="84"/>
        <w:ind w:right="268"/>
      </w:pPr>
      <w:r>
        <w:rPr/>
        <w:t>2016</w:t>
      </w:r>
      <w:r>
        <w:rPr>
          <w:spacing w:val="-12"/>
        </w:rPr>
        <w:t> 年国家卫生计生委发布的数据显示：我国 </w:t>
      </w:r>
      <w:r>
        <w:rPr/>
        <w:t>18</w:t>
      </w:r>
      <w:r>
        <w:rPr>
          <w:spacing w:val="-8"/>
        </w:rPr>
        <w:t> 岁及以上成人高血压患病率为 </w:t>
      </w:r>
      <w:r>
        <w:rPr/>
        <w:t>25.2%</w:t>
      </w:r>
      <w:r>
        <w:rPr>
          <w:spacing w:val="-22"/>
        </w:rPr>
        <w:t>。目</w:t>
      </w:r>
      <w:r>
        <w:rPr/>
        <w:t>前，常用的一线降压药物包括钙通道阻滞剂（calcium</w:t>
      </w:r>
      <w:r>
        <w:rPr>
          <w:spacing w:val="-35"/>
        </w:rPr>
        <w:t> </w:t>
      </w:r>
      <w:r>
        <w:rPr/>
        <w:t>channel</w:t>
      </w:r>
      <w:r>
        <w:rPr>
          <w:spacing w:val="-35"/>
        </w:rPr>
        <w:t> </w:t>
      </w:r>
      <w:r>
        <w:rPr/>
        <w:t>blocker,</w:t>
      </w:r>
      <w:r>
        <w:rPr>
          <w:spacing w:val="-34"/>
        </w:rPr>
        <w:t> </w:t>
      </w:r>
      <w:r>
        <w:rPr/>
        <w:t>CCB）</w:t>
      </w:r>
      <w:r>
        <w:rPr>
          <w:spacing w:val="-3"/>
        </w:rPr>
        <w:t>、血管紧张</w:t>
      </w:r>
      <w:r>
        <w:rPr/>
        <w:t>素转换酶抑制剂（angiotensin converting enzyme inhibitor, ACEI）、血管紧张素Ⅱ受体拮抗剂（angiotensin</w:t>
      </w:r>
      <w:r>
        <w:rPr>
          <w:spacing w:val="-1"/>
        </w:rPr>
        <w:t> Ⅱ </w:t>
      </w:r>
      <w:r>
        <w:rPr/>
        <w:t>receptor blocker, ARB）、</w:t>
      </w:r>
      <w:r>
        <w:rPr>
          <w:rFonts w:ascii="Arial" w:hAnsi="Arial" w:eastAsia="Arial"/>
        </w:rPr>
        <w:t>β</w:t>
      </w:r>
      <w:r>
        <w:rPr>
          <w:rFonts w:ascii="Arial" w:hAnsi="Arial" w:eastAsia="Arial"/>
          <w:spacing w:val="28"/>
        </w:rPr>
        <w:t> </w:t>
      </w:r>
      <w:r>
        <w:rPr/>
        <w:t>受体拮抗剂和利尿剂，其通过降低血压和改善血管功能来降低高血压患者发生心血管事件的风险。左旋氨氯地平</w:t>
      </w:r>
    </w:p>
    <w:p>
      <w:pPr>
        <w:pStyle w:val="BodyText"/>
        <w:spacing w:line="304" w:lineRule="auto"/>
        <w:ind w:right="269"/>
        <w:jc w:val="both"/>
      </w:pPr>
      <w:r>
        <w:rPr/>
        <w:t>（Levamlodipin</w:t>
      </w:r>
      <w:r>
        <w:rPr>
          <w:spacing w:val="-23"/>
        </w:rPr>
        <w:t>, </w:t>
      </w:r>
      <w:r>
        <w:rPr/>
        <w:t>LA）</w:t>
      </w:r>
      <w:r>
        <w:rPr>
          <w:spacing w:val="-4"/>
        </w:rPr>
        <w:t>是氨氯地平的左消旋体，属于二氢吡啶类 </w:t>
      </w:r>
      <w:r>
        <w:rPr/>
        <w:t>CCB，</w:t>
      </w:r>
      <w:r>
        <w:rPr>
          <w:spacing w:val="-2"/>
        </w:rPr>
        <w:t>具有确切的降压效果</w:t>
      </w:r>
      <w:r>
        <w:rPr/>
        <w:t>和安全性。研究显示，LA</w:t>
      </w:r>
      <w:r>
        <w:rPr>
          <w:spacing w:val="-8"/>
        </w:rPr>
        <w:t> 联合其他一线降压药治疗高血压的有效性和安全性或更好，但目</w:t>
      </w:r>
      <w:r>
        <w:rPr>
          <w:spacing w:val="-10"/>
        </w:rPr>
        <w:t>前尚无全面的系统评价。本研究拟通过系统评价方法，全面分析 </w:t>
      </w:r>
      <w:r>
        <w:rPr/>
        <w:t>LA</w:t>
      </w:r>
      <w:r>
        <w:rPr>
          <w:spacing w:val="-8"/>
        </w:rPr>
        <w:t> 联合一线降压药治疗高血压的疗效，以期为临床合理用药提供参考数据。</w:t>
      </w:r>
    </w:p>
    <w:p>
      <w:pPr>
        <w:pStyle w:val="Heading4"/>
        <w:numPr>
          <w:ilvl w:val="1"/>
          <w:numId w:val="1"/>
        </w:numPr>
        <w:tabs>
          <w:tab w:pos="964" w:val="left" w:leader="none"/>
        </w:tabs>
        <w:spacing w:line="306" w:lineRule="exact" w:before="0" w:after="0"/>
        <w:ind w:left="963" w:right="0" w:hanging="244"/>
        <w:jc w:val="left"/>
      </w:pPr>
      <w:r>
        <w:rPr/>
        <w:t>资料与方法</w:t>
      </w:r>
    </w:p>
    <w:p>
      <w:pPr>
        <w:pStyle w:val="ListParagraph"/>
        <w:numPr>
          <w:ilvl w:val="2"/>
          <w:numId w:val="1"/>
        </w:numPr>
        <w:tabs>
          <w:tab w:pos="1198" w:val="left" w:leader="none"/>
        </w:tabs>
        <w:spacing w:line="240" w:lineRule="auto" w:before="80" w:after="0"/>
        <w:ind w:left="1197" w:right="0" w:hanging="480"/>
        <w:jc w:val="left"/>
        <w:rPr>
          <w:sz w:val="24"/>
        </w:rPr>
      </w:pPr>
      <w:r>
        <w:rPr>
          <w:sz w:val="24"/>
        </w:rPr>
        <w:t>文献纳入与排除标准</w:t>
      </w:r>
    </w:p>
    <w:p>
      <w:pPr>
        <w:pStyle w:val="ListParagraph"/>
        <w:numPr>
          <w:ilvl w:val="3"/>
          <w:numId w:val="1"/>
        </w:numPr>
        <w:tabs>
          <w:tab w:pos="1557" w:val="left" w:leader="none"/>
          <w:tab w:pos="1558" w:val="left" w:leader="none"/>
          <w:tab w:pos="2757" w:val="left" w:leader="none"/>
        </w:tabs>
        <w:spacing w:line="304" w:lineRule="auto" w:before="81" w:after="0"/>
        <w:ind w:left="237" w:right="266" w:firstLine="480"/>
        <w:jc w:val="left"/>
        <w:rPr>
          <w:sz w:val="24"/>
        </w:rPr>
      </w:pPr>
      <w:r>
        <w:rPr>
          <w:sz w:val="24"/>
        </w:rPr>
        <w:t>研究类型</w:t>
        <w:tab/>
        <w:t>国内外公开发表的随机对照试验（randomized</w:t>
      </w:r>
      <w:r>
        <w:rPr>
          <w:spacing w:val="-49"/>
          <w:sz w:val="24"/>
        </w:rPr>
        <w:t> </w:t>
      </w:r>
      <w:r>
        <w:rPr>
          <w:sz w:val="24"/>
        </w:rPr>
        <w:t>controlled</w:t>
      </w:r>
      <w:r>
        <w:rPr>
          <w:spacing w:val="-48"/>
          <w:sz w:val="24"/>
        </w:rPr>
        <w:t> </w:t>
      </w:r>
      <w:r>
        <w:rPr>
          <w:spacing w:val="-3"/>
          <w:sz w:val="24"/>
        </w:rPr>
        <w:t>trials, </w:t>
      </w:r>
      <w:r>
        <w:rPr>
          <w:sz w:val="24"/>
        </w:rPr>
        <w:t>RCTs），语种限定为中文和英文。</w:t>
      </w:r>
    </w:p>
    <w:p>
      <w:pPr>
        <w:pStyle w:val="ListParagraph"/>
        <w:numPr>
          <w:ilvl w:val="3"/>
          <w:numId w:val="1"/>
        </w:numPr>
        <w:tabs>
          <w:tab w:pos="1557" w:val="left" w:leader="none"/>
          <w:tab w:pos="1558" w:val="left" w:leader="none"/>
          <w:tab w:pos="2757" w:val="left" w:leader="none"/>
        </w:tabs>
        <w:spacing w:line="306" w:lineRule="exact" w:before="0" w:after="0"/>
        <w:ind w:left="1557" w:right="0" w:hanging="840"/>
        <w:jc w:val="left"/>
        <w:rPr>
          <w:sz w:val="24"/>
        </w:rPr>
      </w:pPr>
      <w:r>
        <w:rPr>
          <w:sz w:val="24"/>
        </w:rPr>
        <w:t>研究对象</w:t>
        <w:tab/>
        <w:t>符合高血压的诊断标准，诊断标准参照《中国高血压防治指南</w:t>
      </w:r>
    </w:p>
    <w:p>
      <w:pPr>
        <w:pStyle w:val="BodyText"/>
        <w:spacing w:before="84"/>
      </w:pPr>
      <w:r>
        <w:rPr/>
        <w:t>2010》、《国家基层高血压防治管理指南》或国外相似指南。</w:t>
      </w:r>
    </w:p>
    <w:p>
      <w:pPr>
        <w:pStyle w:val="ListParagraph"/>
        <w:numPr>
          <w:ilvl w:val="3"/>
          <w:numId w:val="1"/>
        </w:numPr>
        <w:tabs>
          <w:tab w:pos="1557" w:val="left" w:leader="none"/>
          <w:tab w:pos="1558" w:val="left" w:leader="none"/>
          <w:tab w:pos="2757" w:val="left" w:leader="none"/>
        </w:tabs>
        <w:spacing w:line="240" w:lineRule="auto" w:before="81" w:after="0"/>
        <w:ind w:left="1557" w:right="0" w:hanging="840"/>
        <w:jc w:val="left"/>
        <w:rPr>
          <w:sz w:val="24"/>
        </w:rPr>
      </w:pPr>
      <w:r>
        <w:rPr>
          <w:sz w:val="24"/>
        </w:rPr>
        <w:t>干预措施</w:t>
        <w:tab/>
        <w:t>试验组给予</w:t>
      </w:r>
      <w:r>
        <w:rPr>
          <w:spacing w:val="-60"/>
          <w:sz w:val="24"/>
        </w:rPr>
        <w:t> </w:t>
      </w:r>
      <w:r>
        <w:rPr>
          <w:sz w:val="24"/>
        </w:rPr>
        <w:t>LA</w:t>
      </w:r>
      <w:r>
        <w:rPr>
          <w:spacing w:val="-60"/>
          <w:sz w:val="24"/>
        </w:rPr>
        <w:t> </w:t>
      </w:r>
      <w:r>
        <w:rPr>
          <w:sz w:val="24"/>
        </w:rPr>
        <w:t>联合其他一线抗高血压的药物治疗，如</w:t>
      </w:r>
      <w:r>
        <w:rPr>
          <w:spacing w:val="-59"/>
          <w:sz w:val="24"/>
        </w:rPr>
        <w:t> </w:t>
      </w:r>
      <w:r>
        <w:rPr>
          <w:sz w:val="24"/>
        </w:rPr>
        <w:t>ACEI、ARB、</w:t>
      </w:r>
    </w:p>
    <w:p>
      <w:pPr>
        <w:pStyle w:val="BodyText"/>
        <w:spacing w:before="84"/>
      </w:pPr>
      <w:r>
        <w:rPr>
          <w:rFonts w:ascii="Arial" w:hAnsi="Arial" w:eastAsia="Arial"/>
        </w:rPr>
        <w:t>β </w:t>
      </w:r>
      <w:r>
        <w:rPr/>
        <w:t>受体拮抗剂、利尿剂等；对照组单用其他一线抗高血压药物治疗。</w:t>
      </w:r>
    </w:p>
    <w:p>
      <w:pPr>
        <w:pStyle w:val="ListParagraph"/>
        <w:numPr>
          <w:ilvl w:val="3"/>
          <w:numId w:val="1"/>
        </w:numPr>
        <w:tabs>
          <w:tab w:pos="1557" w:val="left" w:leader="none"/>
          <w:tab w:pos="1558" w:val="left" w:leader="none"/>
          <w:tab w:pos="2757" w:val="left" w:leader="none"/>
        </w:tabs>
        <w:spacing w:line="240" w:lineRule="auto" w:before="82" w:after="0"/>
        <w:ind w:left="1557" w:right="0" w:hanging="840"/>
        <w:jc w:val="left"/>
        <w:rPr>
          <w:sz w:val="24"/>
        </w:rPr>
      </w:pPr>
      <w:r>
        <w:rPr>
          <w:sz w:val="24"/>
        </w:rPr>
        <w:t>结局指标</w:t>
        <w:tab/>
        <w:t>①收缩压（systolic blood pressure, SBP）降低值；②舒张压</w:t>
      </w:r>
    </w:p>
    <w:p>
      <w:pPr>
        <w:pStyle w:val="BodyText"/>
        <w:spacing w:line="302" w:lineRule="auto" w:before="83"/>
        <w:ind w:right="224"/>
      </w:pPr>
      <w:r>
        <w:rPr/>
        <w:t>（diastolic blood pressure, DBP）降低值；③总有效率，疗效判断标准：显效：舒张压下降≥10 mmHg</w:t>
      </w:r>
      <w:r>
        <w:rPr>
          <w:spacing w:val="-8"/>
        </w:rPr>
        <w:t> 且降至正常或下降</w:t>
      </w:r>
      <w:r>
        <w:rPr/>
        <w:t>&gt;20 mmHg；有效：舒张压下降&lt;10 mmHg，</w:t>
      </w:r>
      <w:r>
        <w:rPr>
          <w:spacing w:val="-2"/>
        </w:rPr>
        <w:t>但已降至正常或</w:t>
      </w:r>
    </w:p>
    <w:p>
      <w:pPr>
        <w:spacing w:after="0" w:line="302" w:lineRule="auto"/>
        <w:sectPr>
          <w:pgSz w:w="11910" w:h="16850"/>
          <w:pgMar w:header="906" w:footer="607" w:top="1100" w:bottom="800" w:left="1040" w:right="860"/>
        </w:sectPr>
      </w:pPr>
    </w:p>
    <w:p>
      <w:pPr>
        <w:pStyle w:val="BodyText"/>
        <w:spacing w:before="72"/>
      </w:pPr>
      <w:r>
        <w:rPr>
          <w:spacing w:val="-21"/>
        </w:rPr>
        <w:t>下降 </w:t>
      </w:r>
      <w:r>
        <w:rPr/>
        <w:t>10～19</w:t>
      </w:r>
      <w:r>
        <w:rPr>
          <w:spacing w:val="-60"/>
        </w:rPr>
        <w:t> </w:t>
      </w:r>
      <w:r>
        <w:rPr/>
        <w:t>mmHg、或收缩压下降≥30</w:t>
      </w:r>
      <w:r>
        <w:rPr>
          <w:spacing w:val="-60"/>
        </w:rPr>
        <w:t> </w:t>
      </w:r>
      <w:r>
        <w:rPr/>
        <w:t>mmHg；</w:t>
      </w:r>
      <w:r>
        <w:rPr>
          <w:spacing w:val="-3"/>
        </w:rPr>
        <w:t>无效：血压下降未达上述标准。总有效率</w:t>
      </w:r>
      <w:r>
        <w:rPr/>
        <w:t>（%）</w:t>
      </w:r>
    </w:p>
    <w:p>
      <w:pPr>
        <w:pStyle w:val="BodyText"/>
        <w:spacing w:before="81"/>
      </w:pPr>
      <w:r>
        <w:rPr/>
        <w:t>=（显效+有效）例数/总例数×100%。</w:t>
      </w:r>
    </w:p>
    <w:p>
      <w:pPr>
        <w:pStyle w:val="ListParagraph"/>
        <w:numPr>
          <w:ilvl w:val="1"/>
          <w:numId w:val="2"/>
        </w:numPr>
        <w:tabs>
          <w:tab w:pos="1317" w:val="left" w:leader="none"/>
          <w:tab w:pos="1318" w:val="left" w:leader="none"/>
          <w:tab w:pos="2997" w:val="left" w:leader="none"/>
        </w:tabs>
        <w:spacing w:line="240" w:lineRule="auto" w:before="84" w:after="0"/>
        <w:ind w:left="1317" w:right="0" w:hanging="600"/>
        <w:jc w:val="left"/>
        <w:rPr>
          <w:sz w:val="24"/>
        </w:rPr>
      </w:pPr>
      <w:r>
        <w:rPr>
          <w:sz w:val="24"/>
        </w:rPr>
        <w:t>文献检索策略</w:t>
        <w:tab/>
        <w:t>计算机检索</w:t>
      </w:r>
      <w:r>
        <w:rPr>
          <w:spacing w:val="-60"/>
          <w:sz w:val="24"/>
        </w:rPr>
        <w:t> </w:t>
      </w:r>
      <w:r>
        <w:rPr>
          <w:sz w:val="24"/>
        </w:rPr>
        <w:t>Ovid</w:t>
      </w:r>
      <w:r>
        <w:rPr>
          <w:spacing w:val="-22"/>
          <w:sz w:val="24"/>
        </w:rPr>
        <w:t> </w:t>
      </w:r>
      <w:r>
        <w:rPr>
          <w:sz w:val="24"/>
        </w:rPr>
        <w:t>Medline、EMBase、Cochrane</w:t>
      </w:r>
      <w:r>
        <w:rPr>
          <w:spacing w:val="-22"/>
          <w:sz w:val="24"/>
        </w:rPr>
        <w:t> </w:t>
      </w:r>
      <w:r>
        <w:rPr>
          <w:sz w:val="24"/>
        </w:rPr>
        <w:t>Library、CNKI、</w:t>
      </w:r>
    </w:p>
    <w:p>
      <w:pPr>
        <w:pStyle w:val="BodyText"/>
        <w:spacing w:line="304" w:lineRule="auto" w:before="81"/>
        <w:ind w:right="151"/>
      </w:pPr>
      <w:r>
        <w:rPr/>
        <w:t>CBM、VIP</w:t>
      </w:r>
      <w:r>
        <w:rPr>
          <w:spacing w:val="-44"/>
        </w:rPr>
        <w:t> 和 </w:t>
      </w:r>
      <w:r>
        <w:rPr/>
        <w:t>WanFang</w:t>
      </w:r>
      <w:r>
        <w:rPr>
          <w:spacing w:val="-60"/>
        </w:rPr>
        <w:t> </w:t>
      </w:r>
      <w:r>
        <w:rPr/>
        <w:t>Data，</w:t>
      </w:r>
      <w:r>
        <w:rPr>
          <w:spacing w:val="-7"/>
        </w:rPr>
        <w:t>检索时限均从建库至 </w:t>
      </w:r>
      <w:r>
        <w:rPr/>
        <w:t>2017</w:t>
      </w:r>
      <w:r>
        <w:rPr>
          <w:spacing w:val="-44"/>
        </w:rPr>
        <w:t> 年 </w:t>
      </w:r>
      <w:r>
        <w:rPr/>
        <w:t>12</w:t>
      </w:r>
      <w:r>
        <w:rPr>
          <w:spacing w:val="-44"/>
        </w:rPr>
        <w:t> 月 </w:t>
      </w:r>
      <w:r>
        <w:rPr/>
        <w:t>31</w:t>
      </w:r>
      <w:r>
        <w:rPr>
          <w:spacing w:val="-9"/>
        </w:rPr>
        <w:t> 日。中文检索词包括高血</w:t>
      </w:r>
      <w:r>
        <w:rPr>
          <w:spacing w:val="-10"/>
        </w:rPr>
        <w:t>压、左旋氨氯地平、随机等；英文检索词包括 </w:t>
      </w:r>
      <w:r>
        <w:rPr/>
        <w:t>levamlodipine</w:t>
      </w:r>
      <w:r>
        <w:rPr>
          <w:spacing w:val="-10"/>
        </w:rPr>
        <w:t>、</w:t>
      </w:r>
      <w:r>
        <w:rPr/>
        <w:t>hypertension</w:t>
      </w:r>
      <w:r>
        <w:rPr>
          <w:spacing w:val="-10"/>
        </w:rPr>
        <w:t>、</w:t>
      </w:r>
      <w:r>
        <w:rPr/>
        <w:t>random*</w:t>
      </w:r>
      <w:r>
        <w:rPr>
          <w:spacing w:val="-7"/>
        </w:rPr>
        <w:t>等。</w:t>
      </w:r>
      <w:r>
        <w:rPr/>
        <w:t>检索采取主题词和自由词相结合的方式。</w:t>
      </w:r>
    </w:p>
    <w:p>
      <w:pPr>
        <w:pStyle w:val="ListParagraph"/>
        <w:numPr>
          <w:ilvl w:val="1"/>
          <w:numId w:val="2"/>
        </w:numPr>
        <w:tabs>
          <w:tab w:pos="1318" w:val="left" w:leader="none"/>
        </w:tabs>
        <w:spacing w:line="304" w:lineRule="auto" w:before="0" w:after="0"/>
        <w:ind w:left="237" w:right="267" w:firstLine="480"/>
        <w:jc w:val="both"/>
        <w:rPr>
          <w:sz w:val="24"/>
        </w:rPr>
      </w:pPr>
      <w:r>
        <w:rPr>
          <w:sz w:val="24"/>
        </w:rPr>
        <w:t>文献筛选及资料提取 首先阅读文题和摘要进行初筛，排除不相关的文献后进一</w:t>
      </w:r>
      <w:r>
        <w:rPr>
          <w:spacing w:val="-11"/>
          <w:sz w:val="24"/>
        </w:rPr>
        <w:t>步阅读全文进行复筛，以确定最终是否纳入。文献筛选和数据提取均由 </w:t>
      </w:r>
      <w:r>
        <w:rPr>
          <w:sz w:val="24"/>
        </w:rPr>
        <w:t>2</w:t>
      </w:r>
      <w:r>
        <w:rPr>
          <w:spacing w:val="-9"/>
          <w:sz w:val="24"/>
        </w:rPr>
        <w:t> 位研究人员背对背</w:t>
      </w:r>
      <w:r>
        <w:rPr>
          <w:sz w:val="24"/>
        </w:rPr>
        <w:t>独立进行，并交叉核对结果。</w:t>
      </w:r>
    </w:p>
    <w:p>
      <w:pPr>
        <w:pStyle w:val="BodyText"/>
        <w:spacing w:line="304" w:lineRule="auto"/>
        <w:ind w:right="268" w:firstLine="480"/>
        <w:jc w:val="both"/>
      </w:pPr>
      <w:r>
        <w:rPr>
          <w:spacing w:val="-9"/>
        </w:rPr>
        <w:t>资料提取的主要内容包括：①纳入研究的基本信息，包括作者、发表年份等；②纳入研</w:t>
      </w:r>
      <w:r>
        <w:rPr>
          <w:spacing w:val="-11"/>
        </w:rPr>
        <w:t>究对象的基本特征，包括各组的样本量、年龄、干预措施等；③偏倚风险评价的信息；④结</w:t>
      </w:r>
      <w:r>
        <w:rPr/>
        <w:t>局指标和结果数据。</w:t>
      </w:r>
    </w:p>
    <w:p>
      <w:pPr>
        <w:pStyle w:val="ListParagraph"/>
        <w:numPr>
          <w:ilvl w:val="1"/>
          <w:numId w:val="2"/>
        </w:numPr>
        <w:tabs>
          <w:tab w:pos="1317" w:val="left" w:leader="none"/>
          <w:tab w:pos="1318" w:val="left" w:leader="none"/>
          <w:tab w:pos="4197" w:val="left" w:leader="none"/>
        </w:tabs>
        <w:spacing w:line="304" w:lineRule="auto" w:before="0" w:after="0"/>
        <w:ind w:left="237" w:right="268" w:firstLine="480"/>
        <w:jc w:val="left"/>
        <w:rPr>
          <w:sz w:val="24"/>
        </w:rPr>
      </w:pPr>
      <w:r>
        <w:rPr>
          <w:sz w:val="24"/>
        </w:rPr>
        <w:t>评估纳入研究的偏倚风险</w:t>
        <w:tab/>
        <w:t>偏倚风险采用</w:t>
      </w:r>
      <w:r>
        <w:rPr>
          <w:spacing w:val="-60"/>
          <w:sz w:val="24"/>
        </w:rPr>
        <w:t> </w:t>
      </w:r>
      <w:r>
        <w:rPr>
          <w:sz w:val="24"/>
        </w:rPr>
        <w:t>Cochrane</w:t>
      </w:r>
      <w:r>
        <w:rPr>
          <w:spacing w:val="-60"/>
          <w:sz w:val="24"/>
        </w:rPr>
        <w:t> </w:t>
      </w:r>
      <w:r>
        <w:rPr>
          <w:sz w:val="24"/>
        </w:rPr>
        <w:t>系统评价员手册推荐的</w:t>
      </w:r>
      <w:r>
        <w:rPr>
          <w:spacing w:val="-60"/>
          <w:sz w:val="24"/>
        </w:rPr>
        <w:t> </w:t>
      </w:r>
      <w:r>
        <w:rPr>
          <w:sz w:val="24"/>
        </w:rPr>
        <w:t>RCT 偏倚风险评估工具进行评价</w:t>
      </w:r>
      <w:r>
        <w:rPr>
          <w:spacing w:val="-27"/>
          <w:sz w:val="24"/>
        </w:rPr>
        <w:t>，</w:t>
      </w:r>
      <w:r>
        <w:rPr>
          <w:sz w:val="24"/>
        </w:rPr>
        <w:t>包括</w:t>
      </w:r>
      <w:r>
        <w:rPr>
          <w:spacing w:val="-13"/>
          <w:sz w:val="24"/>
        </w:rPr>
        <w:t>：①</w:t>
      </w:r>
      <w:r>
        <w:rPr>
          <w:sz w:val="24"/>
        </w:rPr>
        <w:t>是否采用随机方法</w:t>
      </w:r>
      <w:r>
        <w:rPr>
          <w:spacing w:val="-13"/>
          <w:sz w:val="24"/>
        </w:rPr>
        <w:t>；②</w:t>
      </w:r>
      <w:r>
        <w:rPr>
          <w:sz w:val="24"/>
        </w:rPr>
        <w:t>是否分配隐藏</w:t>
      </w:r>
      <w:r>
        <w:rPr>
          <w:spacing w:val="-13"/>
          <w:sz w:val="24"/>
        </w:rPr>
        <w:t>；③</w:t>
      </w:r>
      <w:r>
        <w:rPr>
          <w:sz w:val="24"/>
        </w:rPr>
        <w:t>是否采用</w:t>
      </w:r>
      <w:r>
        <w:rPr>
          <w:spacing w:val="-16"/>
          <w:sz w:val="24"/>
        </w:rPr>
        <w:t>盲</w:t>
      </w:r>
      <w:r>
        <w:rPr>
          <w:sz w:val="24"/>
        </w:rPr>
        <w:t>法；④是否报道退出和失访；⑤是否选择性报道结果；⑥其他偏倚来源。</w:t>
      </w:r>
    </w:p>
    <w:p>
      <w:pPr>
        <w:pStyle w:val="ListParagraph"/>
        <w:numPr>
          <w:ilvl w:val="1"/>
          <w:numId w:val="2"/>
        </w:numPr>
        <w:tabs>
          <w:tab w:pos="1317" w:val="left" w:leader="none"/>
          <w:tab w:pos="1318" w:val="left" w:leader="none"/>
          <w:tab w:pos="2517" w:val="left" w:leader="none"/>
        </w:tabs>
        <w:spacing w:line="305" w:lineRule="exact" w:before="0" w:after="0"/>
        <w:ind w:left="1317" w:right="0" w:hanging="600"/>
        <w:jc w:val="left"/>
        <w:rPr>
          <w:sz w:val="24"/>
        </w:rPr>
      </w:pPr>
      <w:r>
        <w:rPr>
          <w:sz w:val="24"/>
        </w:rPr>
        <w:t>统计分析</w:t>
        <w:tab/>
        <w:t>采用</w:t>
      </w:r>
      <w:r>
        <w:rPr>
          <w:spacing w:val="-60"/>
          <w:sz w:val="24"/>
        </w:rPr>
        <w:t> </w:t>
      </w:r>
      <w:r>
        <w:rPr>
          <w:sz w:val="24"/>
        </w:rPr>
        <w:t>Rev Man5.3</w:t>
      </w:r>
      <w:r>
        <w:rPr>
          <w:spacing w:val="-60"/>
          <w:sz w:val="24"/>
        </w:rPr>
        <w:t> </w:t>
      </w:r>
      <w:r>
        <w:rPr>
          <w:sz w:val="24"/>
        </w:rPr>
        <w:t>软件进行</w:t>
      </w:r>
      <w:r>
        <w:rPr>
          <w:spacing w:val="-60"/>
          <w:sz w:val="24"/>
        </w:rPr>
        <w:t> </w:t>
      </w:r>
      <w:r>
        <w:rPr>
          <w:sz w:val="24"/>
        </w:rPr>
        <w:t>Meta</w:t>
      </w:r>
      <w:r>
        <w:rPr>
          <w:spacing w:val="-60"/>
          <w:sz w:val="24"/>
        </w:rPr>
        <w:t> </w:t>
      </w:r>
      <w:r>
        <w:rPr>
          <w:sz w:val="24"/>
        </w:rPr>
        <w:t>分析。连续性变量资料用标准均数差</w:t>
      </w:r>
    </w:p>
    <w:p>
      <w:pPr>
        <w:pStyle w:val="BodyText"/>
        <w:spacing w:line="304" w:lineRule="auto" w:before="81"/>
        <w:ind w:right="225"/>
      </w:pPr>
      <w:r>
        <w:rPr/>
        <w:t>（standardized mean difference, SMD）</w:t>
      </w:r>
      <w:r>
        <w:rPr>
          <w:spacing w:val="-30"/>
        </w:rPr>
        <w:t>及 </w:t>
      </w:r>
      <w:r>
        <w:rPr/>
        <w:t>95%的可信区间（confidence interval, </w:t>
      </w:r>
      <w:r>
        <w:rPr>
          <w:spacing w:val="-6"/>
        </w:rPr>
        <w:t>CI） </w:t>
      </w:r>
      <w:r>
        <w:rPr/>
        <w:t>为效应分析统计量；二分类变量资料用相对危险度（relative ratio, RR）</w:t>
      </w:r>
      <w:r>
        <w:rPr>
          <w:spacing w:val="-30"/>
        </w:rPr>
        <w:t>及 </w:t>
      </w:r>
      <w:r>
        <w:rPr/>
        <w:t>95%</w:t>
      </w:r>
      <w:r>
        <w:rPr>
          <w:spacing w:val="-30"/>
        </w:rPr>
        <w:t>的 </w:t>
      </w:r>
      <w:r>
        <w:rPr/>
        <w:t>CI</w:t>
      </w:r>
      <w:r>
        <w:rPr>
          <w:spacing w:val="-30"/>
        </w:rPr>
        <w:t> 为效应分析统计量。对可能导致异质性的临床因素进行亚组分析。统计学异质性采用卡方检验，若无统计学异质性（P&gt;0.10, I2≤50%），采用固定效应模型，否则采用随机效应模型进行分析。</w:t>
      </w:r>
    </w:p>
    <w:p>
      <w:pPr>
        <w:pStyle w:val="Heading4"/>
        <w:numPr>
          <w:ilvl w:val="1"/>
          <w:numId w:val="1"/>
        </w:numPr>
        <w:tabs>
          <w:tab w:pos="964" w:val="left" w:leader="none"/>
        </w:tabs>
        <w:spacing w:line="304" w:lineRule="exact" w:before="0" w:after="0"/>
        <w:ind w:left="963" w:right="0" w:hanging="244"/>
        <w:jc w:val="left"/>
      </w:pPr>
      <w:r>
        <w:rPr/>
        <w:t>结果</w:t>
      </w:r>
    </w:p>
    <w:p>
      <w:pPr>
        <w:pStyle w:val="ListParagraph"/>
        <w:numPr>
          <w:ilvl w:val="2"/>
          <w:numId w:val="1"/>
        </w:numPr>
        <w:tabs>
          <w:tab w:pos="1318" w:val="left" w:leader="none"/>
        </w:tabs>
        <w:spacing w:line="302" w:lineRule="auto" w:before="84" w:after="0"/>
        <w:ind w:left="237" w:right="268" w:firstLine="480"/>
        <w:jc w:val="both"/>
        <w:rPr>
          <w:sz w:val="24"/>
        </w:rPr>
      </w:pPr>
      <w:r>
        <w:rPr>
          <w:spacing w:val="-4"/>
          <w:sz w:val="24"/>
        </w:rPr>
        <w:t>文献检索结果 基于检索策略初检到 </w:t>
      </w:r>
      <w:r>
        <w:rPr>
          <w:sz w:val="24"/>
        </w:rPr>
        <w:t>1275</w:t>
      </w:r>
      <w:r>
        <w:rPr>
          <w:spacing w:val="-15"/>
          <w:sz w:val="24"/>
        </w:rPr>
        <w:t> 篇相关文献，排除重复文献后，阅读文</w:t>
      </w:r>
      <w:r>
        <w:rPr>
          <w:spacing w:val="-5"/>
          <w:sz w:val="24"/>
        </w:rPr>
        <w:t>题，摘要和全文，最终纳入 </w:t>
      </w:r>
      <w:r>
        <w:rPr>
          <w:sz w:val="24"/>
        </w:rPr>
        <w:t>147</w:t>
      </w:r>
      <w:r>
        <w:rPr>
          <w:spacing w:val="-12"/>
          <w:sz w:val="24"/>
        </w:rPr>
        <w:t> 篇文献。</w:t>
      </w:r>
    </w:p>
    <w:p>
      <w:pPr>
        <w:pStyle w:val="ListParagraph"/>
        <w:numPr>
          <w:ilvl w:val="2"/>
          <w:numId w:val="1"/>
        </w:numPr>
        <w:tabs>
          <w:tab w:pos="1318" w:val="left" w:leader="none"/>
        </w:tabs>
        <w:spacing w:line="304" w:lineRule="auto" w:before="5" w:after="0"/>
        <w:ind w:left="237" w:right="268" w:firstLine="480"/>
        <w:jc w:val="both"/>
        <w:rPr>
          <w:sz w:val="24"/>
        </w:rPr>
      </w:pPr>
      <w:r>
        <w:rPr>
          <w:spacing w:val="-3"/>
          <w:sz w:val="24"/>
        </w:rPr>
        <w:t>纳入文献基本特征及文献质量评价 纳入的 </w:t>
      </w:r>
      <w:r>
        <w:rPr>
          <w:sz w:val="24"/>
        </w:rPr>
        <w:t>147</w:t>
      </w:r>
      <w:r>
        <w:rPr>
          <w:spacing w:val="-40"/>
          <w:sz w:val="24"/>
        </w:rPr>
        <w:t> 个 </w:t>
      </w:r>
      <w:r>
        <w:rPr>
          <w:sz w:val="24"/>
        </w:rPr>
        <w:t>RCTs</w:t>
      </w:r>
      <w:r>
        <w:rPr>
          <w:spacing w:val="-40"/>
          <w:sz w:val="24"/>
        </w:rPr>
        <w:t> 共 </w:t>
      </w:r>
      <w:r>
        <w:rPr>
          <w:sz w:val="24"/>
        </w:rPr>
        <w:t>14308</w:t>
      </w:r>
      <w:r>
        <w:rPr>
          <w:spacing w:val="-23"/>
          <w:sz w:val="24"/>
        </w:rPr>
        <w:t> 例受试者，试验</w:t>
      </w:r>
      <w:r>
        <w:rPr>
          <w:spacing w:val="-30"/>
          <w:sz w:val="24"/>
        </w:rPr>
        <w:t>组 </w:t>
      </w:r>
      <w:r>
        <w:rPr>
          <w:sz w:val="24"/>
        </w:rPr>
        <w:t>7230</w:t>
      </w:r>
      <w:r>
        <w:rPr>
          <w:spacing w:val="-18"/>
          <w:sz w:val="24"/>
        </w:rPr>
        <w:t> 例，对照组 </w:t>
      </w:r>
      <w:r>
        <w:rPr>
          <w:sz w:val="24"/>
        </w:rPr>
        <w:t>7078</w:t>
      </w:r>
      <w:r>
        <w:rPr>
          <w:spacing w:val="-20"/>
          <w:sz w:val="24"/>
        </w:rPr>
        <w:t> 例。</w:t>
      </w:r>
      <w:r>
        <w:rPr>
          <w:sz w:val="24"/>
        </w:rPr>
        <w:t>110</w:t>
      </w:r>
      <w:r>
        <w:rPr>
          <w:spacing w:val="-8"/>
          <w:sz w:val="24"/>
        </w:rPr>
        <w:t> 项研究报道了收缩压</w:t>
      </w:r>
      <w:r>
        <w:rPr>
          <w:sz w:val="24"/>
        </w:rPr>
        <w:t>/舒张压降低值，97</w:t>
      </w:r>
      <w:r>
        <w:rPr>
          <w:spacing w:val="-8"/>
          <w:sz w:val="24"/>
        </w:rPr>
        <w:t> 项研究报道了总有效率。其中，LA</w:t>
      </w:r>
      <w:r>
        <w:rPr>
          <w:spacing w:val="-31"/>
          <w:sz w:val="24"/>
        </w:rPr>
        <w:t> 联合 </w:t>
      </w:r>
      <w:r>
        <w:rPr>
          <w:sz w:val="24"/>
        </w:rPr>
        <w:t>ACEI</w:t>
      </w:r>
      <w:r>
        <w:rPr>
          <w:spacing w:val="-20"/>
          <w:sz w:val="24"/>
        </w:rPr>
        <w:t> 方案纳入 </w:t>
      </w:r>
      <w:r>
        <w:rPr>
          <w:sz w:val="24"/>
        </w:rPr>
        <w:t>59</w:t>
      </w:r>
      <w:r>
        <w:rPr>
          <w:spacing w:val="-15"/>
          <w:sz w:val="24"/>
        </w:rPr>
        <w:t> 项研究</w:t>
      </w:r>
      <w:r>
        <w:rPr>
          <w:sz w:val="24"/>
        </w:rPr>
        <w:t>，LA</w:t>
      </w:r>
      <w:r>
        <w:rPr>
          <w:spacing w:val="-30"/>
          <w:sz w:val="24"/>
        </w:rPr>
        <w:t> 联合 </w:t>
      </w:r>
      <w:r>
        <w:rPr>
          <w:sz w:val="24"/>
        </w:rPr>
        <w:t>ARB</w:t>
      </w:r>
      <w:r>
        <w:rPr>
          <w:spacing w:val="-20"/>
          <w:sz w:val="24"/>
        </w:rPr>
        <w:t> 方案纳入 </w:t>
      </w:r>
      <w:r>
        <w:rPr>
          <w:sz w:val="24"/>
        </w:rPr>
        <w:t>76</w:t>
      </w:r>
      <w:r>
        <w:rPr>
          <w:spacing w:val="-15"/>
          <w:sz w:val="24"/>
        </w:rPr>
        <w:t> 项研究</w:t>
      </w:r>
      <w:r>
        <w:rPr>
          <w:sz w:val="24"/>
        </w:rPr>
        <w:t>，LA</w:t>
      </w:r>
      <w:r>
        <w:rPr>
          <w:spacing w:val="-30"/>
          <w:sz w:val="24"/>
        </w:rPr>
        <w:t> 联</w:t>
      </w:r>
      <w:r>
        <w:rPr>
          <w:spacing w:val="-45"/>
          <w:sz w:val="24"/>
        </w:rPr>
        <w:t>合 </w:t>
      </w:r>
      <w:r>
        <w:rPr>
          <w:rFonts w:ascii="Arial" w:hAnsi="Arial" w:eastAsia="Arial"/>
          <w:sz w:val="24"/>
        </w:rPr>
        <w:t>β</w:t>
      </w:r>
      <w:r>
        <w:rPr>
          <w:rFonts w:ascii="Arial" w:hAnsi="Arial" w:eastAsia="Arial"/>
          <w:spacing w:val="28"/>
          <w:sz w:val="24"/>
        </w:rPr>
        <w:t> </w:t>
      </w:r>
      <w:r>
        <w:rPr>
          <w:spacing w:val="-6"/>
          <w:sz w:val="24"/>
        </w:rPr>
        <w:t>受体拮抗剂方案纳入 </w:t>
      </w:r>
      <w:r>
        <w:rPr>
          <w:sz w:val="24"/>
        </w:rPr>
        <w:t>11</w:t>
      </w:r>
      <w:r>
        <w:rPr>
          <w:spacing w:val="-15"/>
          <w:sz w:val="24"/>
        </w:rPr>
        <w:t> 项研究</w:t>
      </w:r>
      <w:r>
        <w:rPr>
          <w:sz w:val="24"/>
        </w:rPr>
        <w:t>，LA</w:t>
      </w:r>
      <w:r>
        <w:rPr>
          <w:spacing w:val="-13"/>
          <w:sz w:val="24"/>
        </w:rPr>
        <w:t> 联合利尿剂方案纳入 </w:t>
      </w:r>
      <w:r>
        <w:rPr>
          <w:sz w:val="24"/>
        </w:rPr>
        <w:t>1</w:t>
      </w:r>
      <w:r>
        <w:rPr>
          <w:spacing w:val="-12"/>
          <w:sz w:val="24"/>
        </w:rPr>
        <w:t> 项研究。</w:t>
      </w:r>
    </w:p>
    <w:p>
      <w:pPr>
        <w:pStyle w:val="BodyText"/>
        <w:spacing w:line="304" w:lineRule="auto"/>
        <w:ind w:right="267" w:firstLine="480"/>
        <w:jc w:val="both"/>
      </w:pPr>
      <w:r>
        <w:rPr/>
        <w:t>28</w:t>
      </w:r>
      <w:r>
        <w:rPr>
          <w:spacing w:val="-41"/>
        </w:rPr>
        <w:t> 个 </w:t>
      </w:r>
      <w:r>
        <w:rPr/>
        <w:t>RCTs</w:t>
      </w:r>
      <w:r>
        <w:rPr>
          <w:spacing w:val="-8"/>
        </w:rPr>
        <w:t> 详细说明了随机方法，其余文献均只提及“随机”；</w:t>
      </w:r>
      <w:r>
        <w:rPr/>
        <w:t>1</w:t>
      </w:r>
      <w:r>
        <w:rPr>
          <w:spacing w:val="-16"/>
        </w:rPr>
        <w:t> 篇文献提及了 </w:t>
      </w:r>
      <w:r>
        <w:rPr/>
        <w:t>5</w:t>
      </w:r>
      <w:r>
        <w:rPr>
          <w:spacing w:val="-20"/>
        </w:rPr>
        <w:t> 人退</w:t>
      </w:r>
      <w:r>
        <w:rPr>
          <w:spacing w:val="-13"/>
        </w:rPr>
        <w:t>出，其余文献数据均完整；所有文献均未采用盲法；所有文献的分配隐藏及其他偏倚来源均</w:t>
      </w:r>
      <w:r>
        <w:rPr/>
        <w:t>不清楚。</w:t>
      </w:r>
    </w:p>
    <w:p>
      <w:pPr>
        <w:pStyle w:val="ListParagraph"/>
        <w:numPr>
          <w:ilvl w:val="2"/>
          <w:numId w:val="1"/>
        </w:numPr>
        <w:tabs>
          <w:tab w:pos="1317" w:val="left" w:leader="none"/>
          <w:tab w:pos="1318" w:val="left" w:leader="none"/>
        </w:tabs>
        <w:spacing w:line="305" w:lineRule="exact" w:before="0" w:after="0"/>
        <w:ind w:left="1317" w:right="0" w:hanging="600"/>
        <w:jc w:val="left"/>
        <w:rPr>
          <w:sz w:val="24"/>
        </w:rPr>
      </w:pPr>
      <w:r>
        <w:rPr>
          <w:sz w:val="24"/>
        </w:rPr>
        <w:t>Meta</w:t>
      </w:r>
      <w:r>
        <w:rPr>
          <w:spacing w:val="-13"/>
          <w:sz w:val="24"/>
        </w:rPr>
        <w:t> 分析结果</w:t>
      </w:r>
    </w:p>
    <w:p>
      <w:pPr>
        <w:pStyle w:val="ListParagraph"/>
        <w:numPr>
          <w:ilvl w:val="3"/>
          <w:numId w:val="1"/>
        </w:numPr>
        <w:tabs>
          <w:tab w:pos="1558" w:val="left" w:leader="none"/>
        </w:tabs>
        <w:spacing w:line="304" w:lineRule="auto" w:before="82" w:after="0"/>
        <w:ind w:left="237" w:right="148" w:firstLine="480"/>
        <w:jc w:val="both"/>
        <w:rPr>
          <w:sz w:val="24"/>
        </w:rPr>
      </w:pPr>
      <w:r>
        <w:rPr>
          <w:sz w:val="24"/>
        </w:rPr>
        <w:t>LA+ACEI</w:t>
      </w:r>
      <w:r>
        <w:rPr>
          <w:spacing w:val="-22"/>
          <w:sz w:val="24"/>
        </w:rPr>
        <w:t> </w:t>
      </w:r>
      <w:r>
        <w:rPr>
          <w:sz w:val="24"/>
        </w:rPr>
        <w:t>vs.</w:t>
      </w:r>
      <w:r>
        <w:rPr>
          <w:spacing w:val="-22"/>
          <w:sz w:val="24"/>
        </w:rPr>
        <w:t> </w:t>
      </w:r>
      <w:r>
        <w:rPr>
          <w:sz w:val="24"/>
        </w:rPr>
        <w:t>ACEI  （1）SBP</w:t>
      </w:r>
      <w:r>
        <w:rPr>
          <w:spacing w:val="-14"/>
          <w:sz w:val="24"/>
        </w:rPr>
        <w:t> 降低值：共纳入 </w:t>
      </w:r>
      <w:r>
        <w:rPr>
          <w:sz w:val="24"/>
        </w:rPr>
        <w:t>43</w:t>
      </w:r>
      <w:r>
        <w:rPr>
          <w:spacing w:val="-14"/>
          <w:sz w:val="24"/>
        </w:rPr>
        <w:t> 个研究，试验组 </w:t>
      </w:r>
      <w:r>
        <w:rPr>
          <w:sz w:val="24"/>
        </w:rPr>
        <w:t>1907</w:t>
      </w:r>
      <w:r>
        <w:rPr>
          <w:spacing w:val="-15"/>
          <w:sz w:val="24"/>
        </w:rPr>
        <w:t> 例，对</w:t>
      </w:r>
      <w:r>
        <w:rPr>
          <w:spacing w:val="-31"/>
          <w:sz w:val="24"/>
        </w:rPr>
        <w:t>照组 </w:t>
      </w:r>
      <w:r>
        <w:rPr>
          <w:sz w:val="24"/>
        </w:rPr>
        <w:t>1801</w:t>
      </w:r>
      <w:r>
        <w:rPr>
          <w:spacing w:val="-13"/>
          <w:sz w:val="24"/>
        </w:rPr>
        <w:t> 例。根据用药方案差异，分为 </w:t>
      </w:r>
      <w:r>
        <w:rPr>
          <w:sz w:val="24"/>
        </w:rPr>
        <w:t>6</w:t>
      </w:r>
      <w:r>
        <w:rPr>
          <w:spacing w:val="-13"/>
          <w:sz w:val="24"/>
        </w:rPr>
        <w:t> 个亚组，</w:t>
      </w:r>
      <w:r>
        <w:rPr>
          <w:sz w:val="24"/>
        </w:rPr>
        <w:t>Meta</w:t>
      </w:r>
      <w:r>
        <w:rPr>
          <w:spacing w:val="-2"/>
          <w:sz w:val="24"/>
        </w:rPr>
        <w:t> 分析结果显示</w:t>
      </w:r>
      <w:r>
        <w:rPr>
          <w:sz w:val="24"/>
        </w:rPr>
        <w:t>（</w:t>
      </w:r>
      <w:r>
        <w:rPr>
          <w:spacing w:val="-30"/>
          <w:sz w:val="24"/>
        </w:rPr>
        <w:t>表 </w:t>
      </w:r>
      <w:r>
        <w:rPr>
          <w:spacing w:val="-6"/>
          <w:sz w:val="24"/>
        </w:rPr>
        <w:t>1）：</w:t>
      </w:r>
      <w:r>
        <w:rPr>
          <w:sz w:val="24"/>
        </w:rPr>
        <w:t>试验组降</w:t>
      </w:r>
      <w:r>
        <w:rPr>
          <w:spacing w:val="-31"/>
          <w:sz w:val="24"/>
        </w:rPr>
        <w:t>低 </w:t>
      </w:r>
      <w:r>
        <w:rPr>
          <w:sz w:val="24"/>
        </w:rPr>
        <w:t>SBP</w:t>
      </w:r>
      <w:r>
        <w:rPr>
          <w:spacing w:val="-14"/>
          <w:sz w:val="24"/>
        </w:rPr>
        <w:t> 的效果优于对照组，差异有统计学意义</w:t>
      </w:r>
      <w:r>
        <w:rPr>
          <w:sz w:val="24"/>
        </w:rPr>
        <w:t>[SMD=0.92,</w:t>
      </w:r>
      <w:r>
        <w:rPr>
          <w:spacing w:val="-60"/>
          <w:sz w:val="24"/>
        </w:rPr>
        <w:t> </w:t>
      </w:r>
      <w:r>
        <w:rPr>
          <w:sz w:val="24"/>
        </w:rPr>
        <w:t>95%CI(0.79,</w:t>
      </w:r>
      <w:r>
        <w:rPr>
          <w:spacing w:val="-60"/>
          <w:sz w:val="24"/>
        </w:rPr>
        <w:t> </w:t>
      </w:r>
      <w:r>
        <w:rPr>
          <w:sz w:val="24"/>
        </w:rPr>
        <w:t>1.04),</w:t>
      </w:r>
      <w:r>
        <w:rPr>
          <w:spacing w:val="-60"/>
          <w:sz w:val="24"/>
        </w:rPr>
        <w:t> </w:t>
      </w:r>
      <w:r>
        <w:rPr>
          <w:sz w:val="24"/>
        </w:rPr>
        <w:t>P&lt;0.000</w:t>
      </w:r>
      <w:r>
        <w:rPr>
          <w:spacing w:val="-60"/>
          <w:sz w:val="24"/>
        </w:rPr>
        <w:t> </w:t>
      </w:r>
      <w:r>
        <w:rPr>
          <w:sz w:val="24"/>
        </w:rPr>
        <w:t>01]</w:t>
      </w:r>
      <w:r>
        <w:rPr>
          <w:spacing w:val="-14"/>
          <w:sz w:val="24"/>
        </w:rPr>
        <w:t>。</w:t>
      </w:r>
    </w:p>
    <w:p>
      <w:pPr>
        <w:spacing w:after="0" w:line="304" w:lineRule="auto"/>
        <w:jc w:val="both"/>
        <w:rPr>
          <w:sz w:val="24"/>
        </w:rPr>
        <w:sectPr>
          <w:pgSz w:w="11910" w:h="16850"/>
          <w:pgMar w:header="906" w:footer="607" w:top="1100" w:bottom="800" w:left="1040" w:right="860"/>
        </w:sectPr>
      </w:pPr>
    </w:p>
    <w:p>
      <w:pPr>
        <w:pStyle w:val="ListParagraph"/>
        <w:numPr>
          <w:ilvl w:val="0"/>
          <w:numId w:val="3"/>
        </w:numPr>
        <w:tabs>
          <w:tab w:pos="1319" w:val="left" w:leader="none"/>
        </w:tabs>
        <w:spacing w:line="304" w:lineRule="auto" w:before="72" w:after="0"/>
        <w:ind w:left="237" w:right="151" w:firstLine="480"/>
        <w:jc w:val="left"/>
        <w:rPr>
          <w:sz w:val="24"/>
        </w:rPr>
      </w:pPr>
      <w:r>
        <w:rPr>
          <w:sz w:val="24"/>
        </w:rPr>
        <w:t>DBP</w:t>
      </w:r>
      <w:r>
        <w:rPr>
          <w:spacing w:val="-14"/>
          <w:sz w:val="24"/>
        </w:rPr>
        <w:t> 降低值：共纳入 </w:t>
      </w:r>
      <w:r>
        <w:rPr>
          <w:sz w:val="24"/>
        </w:rPr>
        <w:t>43</w:t>
      </w:r>
      <w:r>
        <w:rPr>
          <w:spacing w:val="-14"/>
          <w:sz w:val="24"/>
        </w:rPr>
        <w:t> 个研究，试验组 </w:t>
      </w:r>
      <w:r>
        <w:rPr>
          <w:sz w:val="24"/>
        </w:rPr>
        <w:t>1 922</w:t>
      </w:r>
      <w:r>
        <w:rPr>
          <w:spacing w:val="-18"/>
          <w:sz w:val="24"/>
        </w:rPr>
        <w:t> 例，对照组 </w:t>
      </w:r>
      <w:r>
        <w:rPr>
          <w:sz w:val="24"/>
        </w:rPr>
        <w:t>1816</w:t>
      </w:r>
      <w:r>
        <w:rPr>
          <w:spacing w:val="-8"/>
          <w:sz w:val="24"/>
        </w:rPr>
        <w:t> 例。根据用药方</w:t>
      </w:r>
      <w:r>
        <w:rPr>
          <w:spacing w:val="-15"/>
          <w:sz w:val="24"/>
        </w:rPr>
        <w:t>案差异，分为 </w:t>
      </w:r>
      <w:r>
        <w:rPr>
          <w:sz w:val="24"/>
        </w:rPr>
        <w:t>6</w:t>
      </w:r>
      <w:r>
        <w:rPr>
          <w:spacing w:val="-13"/>
          <w:sz w:val="24"/>
        </w:rPr>
        <w:t> 个亚组，</w:t>
      </w:r>
      <w:r>
        <w:rPr>
          <w:sz w:val="24"/>
        </w:rPr>
        <w:t>Meta</w:t>
      </w:r>
      <w:r>
        <w:rPr>
          <w:spacing w:val="-3"/>
          <w:sz w:val="24"/>
        </w:rPr>
        <w:t> 分析结果显示</w:t>
      </w:r>
      <w:r>
        <w:rPr>
          <w:sz w:val="24"/>
        </w:rPr>
        <w:t>（</w:t>
      </w:r>
      <w:r>
        <w:rPr>
          <w:spacing w:val="-31"/>
          <w:sz w:val="24"/>
        </w:rPr>
        <w:t>表 </w:t>
      </w:r>
      <w:r>
        <w:rPr>
          <w:spacing w:val="-7"/>
          <w:sz w:val="24"/>
        </w:rPr>
        <w:t>1）：</w:t>
      </w:r>
      <w:r>
        <w:rPr>
          <w:spacing w:val="-10"/>
          <w:sz w:val="24"/>
        </w:rPr>
        <w:t>试验组降低 </w:t>
      </w:r>
      <w:r>
        <w:rPr>
          <w:sz w:val="24"/>
        </w:rPr>
        <w:t>SBP</w:t>
      </w:r>
      <w:r>
        <w:rPr>
          <w:spacing w:val="-9"/>
          <w:sz w:val="24"/>
        </w:rPr>
        <w:t> 的效果优于对照组， </w:t>
      </w:r>
      <w:r>
        <w:rPr>
          <w:sz w:val="24"/>
        </w:rPr>
        <w:t>其差异有统计学意义[SMD=0.87,</w:t>
      </w:r>
      <w:r>
        <w:rPr>
          <w:spacing w:val="-1"/>
          <w:sz w:val="24"/>
        </w:rPr>
        <w:t> </w:t>
      </w:r>
      <w:r>
        <w:rPr>
          <w:sz w:val="24"/>
        </w:rPr>
        <w:t>95%CI(0.72, 1.03), P&lt;0.000 01]。</w:t>
      </w:r>
    </w:p>
    <w:p>
      <w:pPr>
        <w:pStyle w:val="ListParagraph"/>
        <w:numPr>
          <w:ilvl w:val="0"/>
          <w:numId w:val="3"/>
        </w:numPr>
        <w:tabs>
          <w:tab w:pos="1319" w:val="left" w:leader="none"/>
        </w:tabs>
        <w:spacing w:line="304" w:lineRule="auto" w:before="0" w:after="0"/>
        <w:ind w:left="237" w:right="271" w:firstLine="480"/>
        <w:jc w:val="both"/>
        <w:rPr>
          <w:sz w:val="24"/>
        </w:rPr>
      </w:pPr>
      <w:r>
        <w:rPr>
          <w:spacing w:val="-12"/>
          <w:sz w:val="24"/>
        </w:rPr>
        <w:t>总有效率：共纳入 </w:t>
      </w:r>
      <w:r>
        <w:rPr>
          <w:sz w:val="24"/>
        </w:rPr>
        <w:t>35</w:t>
      </w:r>
      <w:r>
        <w:rPr>
          <w:spacing w:val="-15"/>
          <w:sz w:val="24"/>
        </w:rPr>
        <w:t> 个研究，其中试验组 </w:t>
      </w:r>
      <w:r>
        <w:rPr>
          <w:sz w:val="24"/>
        </w:rPr>
        <w:t>1820</w:t>
      </w:r>
      <w:r>
        <w:rPr>
          <w:spacing w:val="-22"/>
          <w:sz w:val="24"/>
        </w:rPr>
        <w:t> 例，对照组 </w:t>
      </w:r>
      <w:r>
        <w:rPr>
          <w:sz w:val="24"/>
        </w:rPr>
        <w:t>1814</w:t>
      </w:r>
      <w:r>
        <w:rPr>
          <w:spacing w:val="-13"/>
          <w:sz w:val="24"/>
        </w:rPr>
        <w:t> 例。根据用药 </w:t>
      </w:r>
      <w:r>
        <w:rPr>
          <w:spacing w:val="-12"/>
          <w:sz w:val="24"/>
        </w:rPr>
        <w:t>方案差异，分为 </w:t>
      </w:r>
      <w:r>
        <w:rPr>
          <w:sz w:val="24"/>
        </w:rPr>
        <w:t>5</w:t>
      </w:r>
      <w:r>
        <w:rPr>
          <w:spacing w:val="-15"/>
          <w:sz w:val="24"/>
        </w:rPr>
        <w:t> 个亚组</w:t>
      </w:r>
      <w:r>
        <w:rPr>
          <w:sz w:val="24"/>
        </w:rPr>
        <w:t>，Meta 分析结果显示（</w:t>
      </w:r>
      <w:r>
        <w:rPr>
          <w:spacing w:val="-30"/>
          <w:sz w:val="24"/>
        </w:rPr>
        <w:t>表 </w:t>
      </w:r>
      <w:r>
        <w:rPr>
          <w:sz w:val="24"/>
        </w:rPr>
        <w:t>2）：试验组总有效率优于对照组，其差异有统计学意义[RR=1.23,</w:t>
      </w:r>
      <w:r>
        <w:rPr>
          <w:spacing w:val="-1"/>
          <w:sz w:val="24"/>
        </w:rPr>
        <w:t> </w:t>
      </w:r>
      <w:r>
        <w:rPr>
          <w:sz w:val="24"/>
        </w:rPr>
        <w:t>95%CI(1.20, 1.26), P&lt;0.000 01]。</w:t>
      </w:r>
    </w:p>
    <w:p>
      <w:pPr>
        <w:spacing w:line="230" w:lineRule="exact" w:before="0" w:after="7"/>
        <w:ind w:left="237" w:right="0" w:firstLine="0"/>
        <w:jc w:val="left"/>
        <w:rPr>
          <w:rFonts w:ascii="华文楷体" w:eastAsia="华文楷体" w:hint="eastAsia"/>
          <w:sz w:val="18"/>
        </w:rPr>
      </w:pPr>
      <w:r>
        <w:rPr/>
        <w:pict>
          <v:group style="position:absolute;margin-left:251.330002pt;margin-top:22.781223pt;width:135.75pt;height:.5pt;mso-position-horizontal-relative:page;mso-position-vertical-relative:paragraph;z-index:-84112" coordorigin="5027,456" coordsize="2715,10">
            <v:line style="position:absolute" from="5027,460" to="5598,460" stroked="true" strokeweight=".48pt" strokecolor="#000000">
              <v:stroke dashstyle="solid"/>
            </v:line>
            <v:rect style="position:absolute;left:5597;top:455;width:10;height:10" filled="true" fillcolor="#000000" stroked="false">
              <v:fill type="solid"/>
            </v:rect>
            <v:line style="position:absolute" from="5607,460" to="6169,460" stroked="true" strokeweight=".48pt" strokecolor="#000000">
              <v:stroke dashstyle="solid"/>
            </v:line>
            <v:rect style="position:absolute;left:6169;top:455;width:10;height:10" filled="true" fillcolor="#000000" stroked="false">
              <v:fill type="solid"/>
            </v:rect>
            <v:line style="position:absolute" from="6179,460" to="6741,460" stroked="true" strokeweight=".48pt" strokecolor="#000000">
              <v:stroke dashstyle="solid"/>
            </v:line>
            <v:rect style="position:absolute;left:6740;top:455;width:10;height:10" filled="true" fillcolor="#000000" stroked="false">
              <v:fill type="solid"/>
            </v:rect>
            <v:line style="position:absolute" from="6750,460" to="7741,460" stroked="true" strokeweight=".48pt" strokecolor="#000000">
              <v:stroke dashstyle="solid"/>
            </v:line>
            <w10:wrap type="none"/>
          </v:group>
        </w:pict>
      </w:r>
      <w:r>
        <w:rPr>
          <w:rFonts w:ascii="华文楷体" w:eastAsia="华文楷体" w:hint="eastAsia"/>
          <w:sz w:val="18"/>
        </w:rPr>
        <w:t>表1 LA+ACEI vs. ACEI疗效的meta分析结果</w:t>
      </w: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0"/>
        <w:gridCol w:w="1697"/>
        <w:gridCol w:w="909"/>
        <w:gridCol w:w="583"/>
        <w:gridCol w:w="563"/>
        <w:gridCol w:w="605"/>
        <w:gridCol w:w="936"/>
        <w:gridCol w:w="786"/>
        <w:gridCol w:w="1393"/>
        <w:gridCol w:w="1003"/>
      </w:tblGrid>
      <w:tr>
        <w:trPr>
          <w:trHeight w:val="159" w:hRule="atLeast"/>
        </w:trPr>
        <w:tc>
          <w:tcPr>
            <w:tcW w:w="1240" w:type="dxa"/>
            <w:tcBorders>
              <w:top w:val="single" w:sz="4" w:space="0" w:color="000000"/>
            </w:tcBorders>
          </w:tcPr>
          <w:p>
            <w:pPr>
              <w:pStyle w:val="TableParagraph"/>
              <w:jc w:val="left"/>
              <w:rPr>
                <w:rFonts w:ascii="Times New Roman"/>
                <w:sz w:val="10"/>
              </w:rPr>
            </w:pPr>
          </w:p>
        </w:tc>
        <w:tc>
          <w:tcPr>
            <w:tcW w:w="1697" w:type="dxa"/>
            <w:tcBorders>
              <w:top w:val="single" w:sz="4" w:space="0" w:color="000000"/>
            </w:tcBorders>
          </w:tcPr>
          <w:p>
            <w:pPr>
              <w:pStyle w:val="TableParagraph"/>
              <w:jc w:val="left"/>
              <w:rPr>
                <w:rFonts w:ascii="Times New Roman"/>
                <w:sz w:val="10"/>
              </w:rPr>
            </w:pPr>
          </w:p>
        </w:tc>
        <w:tc>
          <w:tcPr>
            <w:tcW w:w="909" w:type="dxa"/>
            <w:vMerge w:val="restart"/>
            <w:tcBorders>
              <w:top w:val="single" w:sz="4" w:space="0" w:color="000000"/>
              <w:bottom w:val="single" w:sz="4" w:space="0" w:color="000000"/>
            </w:tcBorders>
          </w:tcPr>
          <w:p>
            <w:pPr>
              <w:pStyle w:val="TableParagraph"/>
              <w:spacing w:line="200" w:lineRule="atLeast" w:before="5"/>
              <w:ind w:left="251" w:right="173" w:firstLine="81"/>
              <w:jc w:val="left"/>
              <w:rPr>
                <w:rFonts w:ascii="宋体" w:eastAsia="宋体" w:hint="eastAsia"/>
                <w:sz w:val="16"/>
              </w:rPr>
            </w:pPr>
            <w:r>
              <w:rPr>
                <w:rFonts w:ascii="宋体" w:eastAsia="宋体" w:hint="eastAsia"/>
                <w:sz w:val="16"/>
              </w:rPr>
              <w:t>纳入研究数</w:t>
            </w:r>
          </w:p>
        </w:tc>
        <w:tc>
          <w:tcPr>
            <w:tcW w:w="1146" w:type="dxa"/>
            <w:gridSpan w:val="2"/>
            <w:tcBorders>
              <w:top w:val="single" w:sz="4" w:space="0" w:color="000000"/>
            </w:tcBorders>
          </w:tcPr>
          <w:p>
            <w:pPr>
              <w:pStyle w:val="TableParagraph"/>
              <w:spacing w:line="139" w:lineRule="exact"/>
              <w:ind w:left="342"/>
              <w:jc w:val="left"/>
              <w:rPr>
                <w:rFonts w:ascii="宋体" w:eastAsia="宋体" w:hint="eastAsia"/>
                <w:sz w:val="16"/>
              </w:rPr>
            </w:pPr>
            <w:r>
              <w:rPr>
                <w:rFonts w:ascii="宋体" w:eastAsia="宋体" w:hint="eastAsia"/>
                <w:sz w:val="16"/>
              </w:rPr>
              <w:t>总例数</w:t>
            </w:r>
          </w:p>
        </w:tc>
        <w:tc>
          <w:tcPr>
            <w:tcW w:w="1541" w:type="dxa"/>
            <w:gridSpan w:val="2"/>
            <w:tcBorders>
              <w:top w:val="single" w:sz="4" w:space="0" w:color="000000"/>
            </w:tcBorders>
          </w:tcPr>
          <w:p>
            <w:pPr>
              <w:pStyle w:val="TableParagraph"/>
              <w:spacing w:line="139" w:lineRule="exact"/>
              <w:ind w:left="553"/>
              <w:jc w:val="left"/>
              <w:rPr>
                <w:rFonts w:ascii="宋体" w:eastAsia="宋体" w:hint="eastAsia"/>
                <w:sz w:val="16"/>
              </w:rPr>
            </w:pPr>
            <w:r>
              <w:rPr>
                <w:rFonts w:ascii="宋体" w:eastAsia="宋体" w:hint="eastAsia"/>
                <w:sz w:val="16"/>
              </w:rPr>
              <w:t>异质性</w:t>
            </w:r>
          </w:p>
        </w:tc>
        <w:tc>
          <w:tcPr>
            <w:tcW w:w="786" w:type="dxa"/>
            <w:vMerge w:val="restart"/>
            <w:tcBorders>
              <w:top w:val="single" w:sz="4" w:space="0" w:color="000000"/>
              <w:bottom w:val="single" w:sz="4" w:space="0" w:color="000000"/>
            </w:tcBorders>
          </w:tcPr>
          <w:p>
            <w:pPr>
              <w:pStyle w:val="TableParagraph"/>
              <w:spacing w:line="200" w:lineRule="atLeast" w:before="5"/>
              <w:ind w:left="313" w:right="146" w:hanging="159"/>
              <w:jc w:val="left"/>
              <w:rPr>
                <w:rFonts w:ascii="宋体" w:eastAsia="宋体" w:hint="eastAsia"/>
                <w:sz w:val="16"/>
              </w:rPr>
            </w:pPr>
            <w:r>
              <w:rPr>
                <w:rFonts w:ascii="宋体" w:eastAsia="宋体" w:hint="eastAsia"/>
                <w:sz w:val="16"/>
              </w:rPr>
              <w:t>效应模型</w:t>
            </w:r>
          </w:p>
        </w:tc>
        <w:tc>
          <w:tcPr>
            <w:tcW w:w="1393" w:type="dxa"/>
            <w:tcBorders>
              <w:top w:val="single" w:sz="4" w:space="0" w:color="000000"/>
            </w:tcBorders>
          </w:tcPr>
          <w:p>
            <w:pPr>
              <w:pStyle w:val="TableParagraph"/>
              <w:jc w:val="left"/>
              <w:rPr>
                <w:rFonts w:ascii="Times New Roman"/>
                <w:sz w:val="10"/>
              </w:rPr>
            </w:pPr>
          </w:p>
        </w:tc>
        <w:tc>
          <w:tcPr>
            <w:tcW w:w="1003" w:type="dxa"/>
            <w:tcBorders>
              <w:top w:val="single" w:sz="4" w:space="0" w:color="000000"/>
            </w:tcBorders>
          </w:tcPr>
          <w:p>
            <w:pPr>
              <w:pStyle w:val="TableParagraph"/>
              <w:jc w:val="left"/>
              <w:rPr>
                <w:rFonts w:ascii="Times New Roman"/>
                <w:sz w:val="10"/>
              </w:rPr>
            </w:pPr>
          </w:p>
        </w:tc>
      </w:tr>
      <w:tr>
        <w:trPr>
          <w:trHeight w:val="254" w:hRule="atLeast"/>
        </w:trPr>
        <w:tc>
          <w:tcPr>
            <w:tcW w:w="1240" w:type="dxa"/>
            <w:tcBorders>
              <w:bottom w:val="single" w:sz="4" w:space="0" w:color="000000"/>
            </w:tcBorders>
          </w:tcPr>
          <w:p>
            <w:pPr>
              <w:pStyle w:val="TableParagraph"/>
              <w:spacing w:line="144" w:lineRule="exact"/>
              <w:ind w:left="161" w:right="250"/>
              <w:rPr>
                <w:rFonts w:ascii="宋体" w:eastAsia="宋体" w:hint="eastAsia"/>
                <w:sz w:val="16"/>
              </w:rPr>
            </w:pPr>
            <w:r>
              <w:rPr>
                <w:rFonts w:ascii="宋体" w:eastAsia="宋体" w:hint="eastAsia"/>
                <w:sz w:val="16"/>
              </w:rPr>
              <w:t>结局指标</w:t>
            </w:r>
          </w:p>
        </w:tc>
        <w:tc>
          <w:tcPr>
            <w:tcW w:w="1697" w:type="dxa"/>
            <w:tcBorders>
              <w:bottom w:val="single" w:sz="4" w:space="0" w:color="000000"/>
            </w:tcBorders>
          </w:tcPr>
          <w:p>
            <w:pPr>
              <w:pStyle w:val="TableParagraph"/>
              <w:spacing w:line="144" w:lineRule="exact"/>
              <w:ind w:left="202" w:right="230"/>
              <w:rPr>
                <w:rFonts w:ascii="宋体" w:eastAsia="宋体" w:hint="eastAsia"/>
                <w:sz w:val="16"/>
              </w:rPr>
            </w:pPr>
            <w:r>
              <w:rPr>
                <w:rFonts w:ascii="宋体" w:eastAsia="宋体" w:hint="eastAsia"/>
                <w:sz w:val="16"/>
              </w:rPr>
              <w:t>干预措施</w:t>
            </w:r>
          </w:p>
        </w:tc>
        <w:tc>
          <w:tcPr>
            <w:tcW w:w="909" w:type="dxa"/>
            <w:vMerge/>
            <w:tcBorders>
              <w:top w:val="nil"/>
              <w:bottom w:val="single" w:sz="4" w:space="0" w:color="000000"/>
            </w:tcBorders>
          </w:tcPr>
          <w:p>
            <w:pPr>
              <w:rPr>
                <w:sz w:val="2"/>
                <w:szCs w:val="2"/>
              </w:rPr>
            </w:pPr>
          </w:p>
        </w:tc>
        <w:tc>
          <w:tcPr>
            <w:tcW w:w="583" w:type="dxa"/>
            <w:tcBorders>
              <w:bottom w:val="single" w:sz="4" w:space="0" w:color="000000"/>
            </w:tcBorders>
          </w:tcPr>
          <w:p>
            <w:pPr>
              <w:pStyle w:val="TableParagraph"/>
              <w:spacing w:line="185" w:lineRule="exact" w:before="49"/>
              <w:ind w:left="256"/>
              <w:jc w:val="left"/>
              <w:rPr>
                <w:rFonts w:ascii="宋体"/>
                <w:sz w:val="16"/>
              </w:rPr>
            </w:pPr>
            <w:r>
              <w:rPr>
                <w:rFonts w:ascii="宋体"/>
                <w:w w:val="100"/>
                <w:sz w:val="16"/>
              </w:rPr>
              <w:t>T</w:t>
            </w:r>
          </w:p>
        </w:tc>
        <w:tc>
          <w:tcPr>
            <w:tcW w:w="563" w:type="dxa"/>
            <w:tcBorders>
              <w:bottom w:val="single" w:sz="4" w:space="0" w:color="000000"/>
            </w:tcBorders>
          </w:tcPr>
          <w:p>
            <w:pPr>
              <w:pStyle w:val="TableParagraph"/>
              <w:spacing w:line="185" w:lineRule="exact" w:before="49"/>
              <w:ind w:left="7"/>
              <w:rPr>
                <w:rFonts w:ascii="宋体"/>
                <w:sz w:val="16"/>
              </w:rPr>
            </w:pPr>
            <w:r>
              <w:rPr>
                <w:rFonts w:ascii="宋体"/>
                <w:w w:val="100"/>
                <w:sz w:val="16"/>
              </w:rPr>
              <w:t>C</w:t>
            </w:r>
          </w:p>
        </w:tc>
        <w:tc>
          <w:tcPr>
            <w:tcW w:w="605" w:type="dxa"/>
            <w:tcBorders>
              <w:bottom w:val="single" w:sz="4" w:space="0" w:color="000000"/>
            </w:tcBorders>
          </w:tcPr>
          <w:p>
            <w:pPr>
              <w:pStyle w:val="TableParagraph"/>
              <w:spacing w:line="185" w:lineRule="exact" w:before="50"/>
              <w:ind w:left="234"/>
              <w:jc w:val="left"/>
              <w:rPr>
                <w:rFonts w:ascii="宋体"/>
                <w:sz w:val="8"/>
              </w:rPr>
            </w:pPr>
            <w:r>
              <w:rPr>
                <w:rFonts w:ascii="宋体"/>
                <w:position w:val="-7"/>
                <w:sz w:val="16"/>
              </w:rPr>
              <w:t>I</w:t>
            </w:r>
            <w:r>
              <w:rPr>
                <w:rFonts w:ascii="宋体"/>
                <w:sz w:val="8"/>
              </w:rPr>
              <w:t>2</w:t>
            </w:r>
          </w:p>
        </w:tc>
        <w:tc>
          <w:tcPr>
            <w:tcW w:w="936" w:type="dxa"/>
            <w:tcBorders>
              <w:bottom w:val="single" w:sz="4" w:space="0" w:color="000000"/>
            </w:tcBorders>
          </w:tcPr>
          <w:p>
            <w:pPr>
              <w:pStyle w:val="TableParagraph"/>
              <w:spacing w:line="185" w:lineRule="exact" w:before="49"/>
              <w:ind w:left="152" w:right="136"/>
              <w:rPr>
                <w:rFonts w:ascii="宋体" w:eastAsia="宋体" w:hint="eastAsia"/>
                <w:sz w:val="16"/>
              </w:rPr>
            </w:pPr>
            <w:r>
              <w:rPr>
                <w:rFonts w:ascii="宋体" w:eastAsia="宋体" w:hint="eastAsia"/>
                <w:sz w:val="16"/>
              </w:rPr>
              <w:t>P 值</w:t>
            </w:r>
          </w:p>
        </w:tc>
        <w:tc>
          <w:tcPr>
            <w:tcW w:w="786" w:type="dxa"/>
            <w:vMerge/>
            <w:tcBorders>
              <w:top w:val="nil"/>
              <w:bottom w:val="single" w:sz="4" w:space="0" w:color="000000"/>
            </w:tcBorders>
          </w:tcPr>
          <w:p>
            <w:pPr>
              <w:rPr>
                <w:sz w:val="2"/>
                <w:szCs w:val="2"/>
              </w:rPr>
            </w:pPr>
          </w:p>
        </w:tc>
        <w:tc>
          <w:tcPr>
            <w:tcW w:w="1393" w:type="dxa"/>
            <w:tcBorders>
              <w:bottom w:val="single" w:sz="4" w:space="0" w:color="000000"/>
            </w:tcBorders>
          </w:tcPr>
          <w:p>
            <w:pPr>
              <w:pStyle w:val="TableParagraph"/>
              <w:spacing w:line="140" w:lineRule="exact"/>
              <w:ind w:left="132" w:right="160"/>
              <w:rPr>
                <w:sz w:val="16"/>
              </w:rPr>
            </w:pPr>
            <w:r>
              <w:rPr>
                <w:sz w:val="16"/>
              </w:rPr>
              <w:t>SMD(95%CI)</w:t>
            </w:r>
          </w:p>
        </w:tc>
        <w:tc>
          <w:tcPr>
            <w:tcW w:w="1003" w:type="dxa"/>
            <w:tcBorders>
              <w:bottom w:val="single" w:sz="4" w:space="0" w:color="000000"/>
            </w:tcBorders>
          </w:tcPr>
          <w:p>
            <w:pPr>
              <w:pStyle w:val="TableParagraph"/>
              <w:spacing w:line="144" w:lineRule="exact"/>
              <w:ind w:left="160" w:right="159"/>
              <w:rPr>
                <w:rFonts w:ascii="宋体" w:eastAsia="宋体" w:hint="eastAsia"/>
                <w:sz w:val="16"/>
              </w:rPr>
            </w:pPr>
            <w:r>
              <w:rPr>
                <w:i/>
                <w:sz w:val="16"/>
              </w:rPr>
              <w:t>P </w:t>
            </w:r>
            <w:r>
              <w:rPr>
                <w:rFonts w:ascii="宋体" w:eastAsia="宋体" w:hint="eastAsia"/>
                <w:sz w:val="16"/>
              </w:rPr>
              <w:t>值</w:t>
            </w:r>
          </w:p>
        </w:tc>
      </w:tr>
      <w:tr>
        <w:trPr>
          <w:trHeight w:val="216" w:hRule="atLeast"/>
        </w:trPr>
        <w:tc>
          <w:tcPr>
            <w:tcW w:w="1240" w:type="dxa"/>
            <w:tcBorders>
              <w:top w:val="single" w:sz="4" w:space="0" w:color="000000"/>
            </w:tcBorders>
          </w:tcPr>
          <w:p>
            <w:pPr>
              <w:pStyle w:val="TableParagraph"/>
              <w:spacing w:line="195" w:lineRule="exact"/>
              <w:ind w:left="161" w:right="253"/>
              <w:rPr>
                <w:rFonts w:ascii="宋体" w:eastAsia="宋体" w:hint="eastAsia"/>
                <w:sz w:val="16"/>
              </w:rPr>
            </w:pPr>
            <w:r>
              <w:rPr>
                <w:sz w:val="16"/>
              </w:rPr>
              <w:t>SBP </w:t>
            </w:r>
            <w:r>
              <w:rPr>
                <w:rFonts w:ascii="宋体" w:eastAsia="宋体" w:hint="eastAsia"/>
                <w:sz w:val="16"/>
              </w:rPr>
              <w:t>降低值</w:t>
            </w:r>
          </w:p>
        </w:tc>
        <w:tc>
          <w:tcPr>
            <w:tcW w:w="1697" w:type="dxa"/>
            <w:tcBorders>
              <w:top w:val="single" w:sz="4" w:space="0" w:color="000000"/>
            </w:tcBorders>
          </w:tcPr>
          <w:p>
            <w:pPr>
              <w:pStyle w:val="TableParagraph"/>
              <w:spacing w:line="190" w:lineRule="exact" w:before="6"/>
              <w:ind w:left="202" w:right="231"/>
              <w:rPr>
                <w:sz w:val="16"/>
              </w:rPr>
            </w:pPr>
            <w:r>
              <w:rPr>
                <w:sz w:val="16"/>
              </w:rPr>
              <w:t>LA+Ena. vs. Ena.</w:t>
            </w:r>
          </w:p>
        </w:tc>
        <w:tc>
          <w:tcPr>
            <w:tcW w:w="909" w:type="dxa"/>
            <w:tcBorders>
              <w:top w:val="single" w:sz="4" w:space="0" w:color="000000"/>
            </w:tcBorders>
          </w:tcPr>
          <w:p>
            <w:pPr>
              <w:pStyle w:val="TableParagraph"/>
              <w:spacing w:line="190" w:lineRule="exact" w:before="6"/>
              <w:ind w:left="389" w:right="316"/>
              <w:rPr>
                <w:sz w:val="16"/>
              </w:rPr>
            </w:pPr>
            <w:r>
              <w:rPr>
                <w:sz w:val="16"/>
              </w:rPr>
              <w:t>17</w:t>
            </w:r>
          </w:p>
        </w:tc>
        <w:tc>
          <w:tcPr>
            <w:tcW w:w="583" w:type="dxa"/>
            <w:tcBorders>
              <w:top w:val="single" w:sz="4" w:space="0" w:color="000000"/>
            </w:tcBorders>
          </w:tcPr>
          <w:p>
            <w:pPr>
              <w:pStyle w:val="TableParagraph"/>
              <w:spacing w:line="190" w:lineRule="exact" w:before="6"/>
              <w:ind w:left="175"/>
              <w:jc w:val="left"/>
              <w:rPr>
                <w:sz w:val="16"/>
              </w:rPr>
            </w:pPr>
            <w:r>
              <w:rPr>
                <w:sz w:val="16"/>
              </w:rPr>
              <w:t>790</w:t>
            </w:r>
          </w:p>
        </w:tc>
        <w:tc>
          <w:tcPr>
            <w:tcW w:w="563" w:type="dxa"/>
            <w:tcBorders>
              <w:top w:val="single" w:sz="4" w:space="0" w:color="000000"/>
            </w:tcBorders>
          </w:tcPr>
          <w:p>
            <w:pPr>
              <w:pStyle w:val="TableParagraph"/>
              <w:spacing w:line="190" w:lineRule="exact" w:before="6"/>
              <w:ind w:left="143" w:right="135"/>
              <w:rPr>
                <w:sz w:val="16"/>
              </w:rPr>
            </w:pPr>
            <w:r>
              <w:rPr>
                <w:sz w:val="16"/>
              </w:rPr>
              <w:t>777</w:t>
            </w:r>
          </w:p>
        </w:tc>
        <w:tc>
          <w:tcPr>
            <w:tcW w:w="605" w:type="dxa"/>
            <w:tcBorders>
              <w:top w:val="single" w:sz="4" w:space="0" w:color="000000"/>
            </w:tcBorders>
          </w:tcPr>
          <w:p>
            <w:pPr>
              <w:pStyle w:val="TableParagraph"/>
              <w:spacing w:line="190" w:lineRule="exact" w:before="6"/>
              <w:ind w:left="154"/>
              <w:jc w:val="left"/>
              <w:rPr>
                <w:sz w:val="16"/>
              </w:rPr>
            </w:pPr>
            <w:r>
              <w:rPr>
                <w:sz w:val="16"/>
              </w:rPr>
              <w:t>76%</w:t>
            </w:r>
          </w:p>
        </w:tc>
        <w:tc>
          <w:tcPr>
            <w:tcW w:w="936" w:type="dxa"/>
            <w:tcBorders>
              <w:top w:val="single" w:sz="4" w:space="0" w:color="000000"/>
            </w:tcBorders>
          </w:tcPr>
          <w:p>
            <w:pPr>
              <w:pStyle w:val="TableParagraph"/>
              <w:spacing w:line="190" w:lineRule="exact" w:before="6"/>
              <w:ind w:left="152" w:right="136"/>
              <w:rPr>
                <w:sz w:val="16"/>
              </w:rPr>
            </w:pPr>
            <w:r>
              <w:rPr>
                <w:sz w:val="16"/>
              </w:rPr>
              <w:t>&lt;0.00001</w:t>
            </w:r>
          </w:p>
        </w:tc>
        <w:tc>
          <w:tcPr>
            <w:tcW w:w="786" w:type="dxa"/>
            <w:tcBorders>
              <w:top w:val="single" w:sz="4" w:space="0" w:color="000000"/>
            </w:tcBorders>
          </w:tcPr>
          <w:p>
            <w:pPr>
              <w:pStyle w:val="TableParagraph"/>
              <w:spacing w:line="195" w:lineRule="exact"/>
              <w:ind w:left="214" w:right="211"/>
              <w:rPr>
                <w:rFonts w:ascii="宋体" w:eastAsia="宋体" w:hint="eastAsia"/>
                <w:sz w:val="16"/>
              </w:rPr>
            </w:pPr>
            <w:r>
              <w:rPr>
                <w:rFonts w:ascii="宋体" w:eastAsia="宋体" w:hint="eastAsia"/>
                <w:sz w:val="16"/>
              </w:rPr>
              <w:t>随机</w:t>
            </w:r>
          </w:p>
        </w:tc>
        <w:tc>
          <w:tcPr>
            <w:tcW w:w="1393" w:type="dxa"/>
            <w:tcBorders>
              <w:top w:val="single" w:sz="4" w:space="0" w:color="000000"/>
            </w:tcBorders>
          </w:tcPr>
          <w:p>
            <w:pPr>
              <w:pStyle w:val="TableParagraph"/>
              <w:spacing w:line="190" w:lineRule="exact" w:before="6"/>
              <w:ind w:left="132" w:right="158"/>
              <w:rPr>
                <w:sz w:val="16"/>
              </w:rPr>
            </w:pPr>
            <w:r>
              <w:rPr>
                <w:sz w:val="16"/>
              </w:rPr>
              <w:t>0.82(0.60, 1.04)</w:t>
            </w:r>
          </w:p>
        </w:tc>
        <w:tc>
          <w:tcPr>
            <w:tcW w:w="1003" w:type="dxa"/>
            <w:tcBorders>
              <w:top w:val="single" w:sz="4" w:space="0" w:color="000000"/>
            </w:tcBorders>
          </w:tcPr>
          <w:p>
            <w:pPr>
              <w:pStyle w:val="TableParagraph"/>
              <w:spacing w:line="190" w:lineRule="exact" w:before="6"/>
              <w:ind w:left="160" w:right="159"/>
              <w:rPr>
                <w:sz w:val="16"/>
              </w:rPr>
            </w:pPr>
            <w:r>
              <w:rPr>
                <w:sz w:val="16"/>
              </w:rPr>
              <w:t>&lt;0.000 01</w:t>
            </w:r>
          </w:p>
        </w:tc>
      </w:tr>
      <w:tr>
        <w:trPr>
          <w:trHeight w:val="205" w:hRule="atLeast"/>
        </w:trPr>
        <w:tc>
          <w:tcPr>
            <w:tcW w:w="1240" w:type="dxa"/>
          </w:tcPr>
          <w:p>
            <w:pPr>
              <w:pStyle w:val="TableParagraph"/>
              <w:jc w:val="left"/>
              <w:rPr>
                <w:rFonts w:ascii="Times New Roman"/>
                <w:sz w:val="14"/>
              </w:rPr>
            </w:pPr>
          </w:p>
        </w:tc>
        <w:tc>
          <w:tcPr>
            <w:tcW w:w="1697" w:type="dxa"/>
          </w:tcPr>
          <w:p>
            <w:pPr>
              <w:pStyle w:val="TableParagraph"/>
              <w:spacing w:line="185" w:lineRule="exact"/>
              <w:ind w:left="201" w:right="232"/>
              <w:rPr>
                <w:sz w:val="16"/>
              </w:rPr>
            </w:pPr>
            <w:r>
              <w:rPr>
                <w:sz w:val="16"/>
              </w:rPr>
              <w:t>LA +Ben. vs. Ben.</w:t>
            </w:r>
          </w:p>
        </w:tc>
        <w:tc>
          <w:tcPr>
            <w:tcW w:w="909" w:type="dxa"/>
          </w:tcPr>
          <w:p>
            <w:pPr>
              <w:pStyle w:val="TableParagraph"/>
              <w:spacing w:line="185" w:lineRule="exact"/>
              <w:ind w:left="389" w:right="316"/>
              <w:rPr>
                <w:sz w:val="16"/>
              </w:rPr>
            </w:pPr>
            <w:r>
              <w:rPr>
                <w:sz w:val="16"/>
              </w:rPr>
              <w:t>14</w:t>
            </w:r>
          </w:p>
        </w:tc>
        <w:tc>
          <w:tcPr>
            <w:tcW w:w="583" w:type="dxa"/>
          </w:tcPr>
          <w:p>
            <w:pPr>
              <w:pStyle w:val="TableParagraph"/>
              <w:spacing w:line="185" w:lineRule="exact"/>
              <w:ind w:left="175"/>
              <w:jc w:val="left"/>
              <w:rPr>
                <w:sz w:val="16"/>
              </w:rPr>
            </w:pPr>
            <w:r>
              <w:rPr>
                <w:sz w:val="16"/>
              </w:rPr>
              <w:t>570</w:t>
            </w:r>
          </w:p>
        </w:tc>
        <w:tc>
          <w:tcPr>
            <w:tcW w:w="563" w:type="dxa"/>
          </w:tcPr>
          <w:p>
            <w:pPr>
              <w:pStyle w:val="TableParagraph"/>
              <w:spacing w:line="185" w:lineRule="exact"/>
              <w:ind w:left="143" w:right="135"/>
              <w:rPr>
                <w:sz w:val="16"/>
              </w:rPr>
            </w:pPr>
            <w:r>
              <w:rPr>
                <w:sz w:val="16"/>
              </w:rPr>
              <w:t>514</w:t>
            </w:r>
          </w:p>
        </w:tc>
        <w:tc>
          <w:tcPr>
            <w:tcW w:w="605" w:type="dxa"/>
          </w:tcPr>
          <w:p>
            <w:pPr>
              <w:pStyle w:val="TableParagraph"/>
              <w:spacing w:line="185" w:lineRule="exact"/>
              <w:ind w:left="154"/>
              <w:jc w:val="left"/>
              <w:rPr>
                <w:sz w:val="16"/>
              </w:rPr>
            </w:pPr>
            <w:r>
              <w:rPr>
                <w:sz w:val="16"/>
              </w:rPr>
              <w:t>57%</w:t>
            </w:r>
          </w:p>
        </w:tc>
        <w:tc>
          <w:tcPr>
            <w:tcW w:w="936" w:type="dxa"/>
          </w:tcPr>
          <w:p>
            <w:pPr>
              <w:pStyle w:val="TableParagraph"/>
              <w:spacing w:line="185" w:lineRule="exact"/>
              <w:ind w:left="150" w:right="136"/>
              <w:rPr>
                <w:sz w:val="16"/>
              </w:rPr>
            </w:pPr>
            <w:r>
              <w:rPr>
                <w:sz w:val="16"/>
              </w:rPr>
              <w:t>0.005</w:t>
            </w:r>
          </w:p>
        </w:tc>
        <w:tc>
          <w:tcPr>
            <w:tcW w:w="786" w:type="dxa"/>
          </w:tcPr>
          <w:p>
            <w:pPr>
              <w:pStyle w:val="TableParagraph"/>
              <w:spacing w:line="185" w:lineRule="exact"/>
              <w:ind w:left="214" w:right="211"/>
              <w:rPr>
                <w:rFonts w:ascii="宋体" w:eastAsia="宋体" w:hint="eastAsia"/>
                <w:sz w:val="16"/>
              </w:rPr>
            </w:pPr>
            <w:r>
              <w:rPr>
                <w:rFonts w:ascii="宋体" w:eastAsia="宋体" w:hint="eastAsia"/>
                <w:sz w:val="16"/>
              </w:rPr>
              <w:t>随机</w:t>
            </w:r>
          </w:p>
        </w:tc>
        <w:tc>
          <w:tcPr>
            <w:tcW w:w="1393" w:type="dxa"/>
          </w:tcPr>
          <w:p>
            <w:pPr>
              <w:pStyle w:val="TableParagraph"/>
              <w:spacing w:line="185" w:lineRule="exact"/>
              <w:ind w:left="132" w:right="158"/>
              <w:rPr>
                <w:sz w:val="16"/>
              </w:rPr>
            </w:pPr>
            <w:r>
              <w:rPr>
                <w:sz w:val="16"/>
              </w:rPr>
              <w:t>1.06(0.86, 1.26)</w:t>
            </w:r>
          </w:p>
        </w:tc>
        <w:tc>
          <w:tcPr>
            <w:tcW w:w="1003" w:type="dxa"/>
          </w:tcPr>
          <w:p>
            <w:pPr>
              <w:pStyle w:val="TableParagraph"/>
              <w:spacing w:line="185" w:lineRule="exact"/>
              <w:ind w:left="160" w:right="159"/>
              <w:rPr>
                <w:sz w:val="16"/>
              </w:rPr>
            </w:pPr>
            <w:r>
              <w:rPr>
                <w:sz w:val="16"/>
              </w:rPr>
              <w:t>&lt;0.000 01</w:t>
            </w:r>
          </w:p>
        </w:tc>
      </w:tr>
      <w:tr>
        <w:trPr>
          <w:trHeight w:val="209" w:hRule="atLeast"/>
        </w:trPr>
        <w:tc>
          <w:tcPr>
            <w:tcW w:w="1240" w:type="dxa"/>
          </w:tcPr>
          <w:p>
            <w:pPr>
              <w:pStyle w:val="TableParagraph"/>
              <w:jc w:val="left"/>
              <w:rPr>
                <w:rFonts w:ascii="Times New Roman"/>
                <w:sz w:val="14"/>
              </w:rPr>
            </w:pPr>
          </w:p>
        </w:tc>
        <w:tc>
          <w:tcPr>
            <w:tcW w:w="1697" w:type="dxa"/>
          </w:tcPr>
          <w:p>
            <w:pPr>
              <w:pStyle w:val="TableParagraph"/>
              <w:spacing w:line="189" w:lineRule="exact"/>
              <w:ind w:left="202" w:right="229"/>
              <w:rPr>
                <w:sz w:val="16"/>
              </w:rPr>
            </w:pPr>
            <w:r>
              <w:rPr>
                <w:sz w:val="16"/>
              </w:rPr>
              <w:t>LA +Cap. vs. Cap.</w:t>
            </w:r>
          </w:p>
        </w:tc>
        <w:tc>
          <w:tcPr>
            <w:tcW w:w="909" w:type="dxa"/>
          </w:tcPr>
          <w:p>
            <w:pPr>
              <w:pStyle w:val="TableParagraph"/>
              <w:spacing w:line="189" w:lineRule="exact"/>
              <w:ind w:left="73"/>
              <w:rPr>
                <w:sz w:val="16"/>
              </w:rPr>
            </w:pPr>
            <w:r>
              <w:rPr>
                <w:w w:val="100"/>
                <w:sz w:val="16"/>
              </w:rPr>
              <w:t>5</w:t>
            </w:r>
          </w:p>
        </w:tc>
        <w:tc>
          <w:tcPr>
            <w:tcW w:w="583" w:type="dxa"/>
          </w:tcPr>
          <w:p>
            <w:pPr>
              <w:pStyle w:val="TableParagraph"/>
              <w:spacing w:line="189" w:lineRule="exact"/>
              <w:ind w:left="175"/>
              <w:jc w:val="left"/>
              <w:rPr>
                <w:sz w:val="16"/>
              </w:rPr>
            </w:pPr>
            <w:r>
              <w:rPr>
                <w:sz w:val="16"/>
              </w:rPr>
              <w:t>214</w:t>
            </w:r>
          </w:p>
        </w:tc>
        <w:tc>
          <w:tcPr>
            <w:tcW w:w="563" w:type="dxa"/>
          </w:tcPr>
          <w:p>
            <w:pPr>
              <w:pStyle w:val="TableParagraph"/>
              <w:spacing w:line="189" w:lineRule="exact"/>
              <w:ind w:left="143" w:right="135"/>
              <w:rPr>
                <w:sz w:val="16"/>
              </w:rPr>
            </w:pPr>
            <w:r>
              <w:rPr>
                <w:sz w:val="16"/>
              </w:rPr>
              <w:t>206</w:t>
            </w:r>
          </w:p>
        </w:tc>
        <w:tc>
          <w:tcPr>
            <w:tcW w:w="605" w:type="dxa"/>
          </w:tcPr>
          <w:p>
            <w:pPr>
              <w:pStyle w:val="TableParagraph"/>
              <w:spacing w:line="189" w:lineRule="exact"/>
              <w:ind w:left="154"/>
              <w:jc w:val="left"/>
              <w:rPr>
                <w:sz w:val="16"/>
              </w:rPr>
            </w:pPr>
            <w:r>
              <w:rPr>
                <w:sz w:val="16"/>
              </w:rPr>
              <w:t>85%</w:t>
            </w:r>
          </w:p>
        </w:tc>
        <w:tc>
          <w:tcPr>
            <w:tcW w:w="936" w:type="dxa"/>
          </w:tcPr>
          <w:p>
            <w:pPr>
              <w:pStyle w:val="TableParagraph"/>
              <w:spacing w:line="189" w:lineRule="exact"/>
              <w:ind w:left="152" w:right="136"/>
              <w:rPr>
                <w:sz w:val="16"/>
              </w:rPr>
            </w:pPr>
            <w:r>
              <w:rPr>
                <w:sz w:val="16"/>
              </w:rPr>
              <w:t>&lt;0.0001</w:t>
            </w:r>
          </w:p>
        </w:tc>
        <w:tc>
          <w:tcPr>
            <w:tcW w:w="786" w:type="dxa"/>
          </w:tcPr>
          <w:p>
            <w:pPr>
              <w:pStyle w:val="TableParagraph"/>
              <w:spacing w:line="189" w:lineRule="exact"/>
              <w:ind w:left="214" w:right="211"/>
              <w:rPr>
                <w:rFonts w:ascii="宋体" w:eastAsia="宋体" w:hint="eastAsia"/>
                <w:sz w:val="16"/>
              </w:rPr>
            </w:pPr>
            <w:r>
              <w:rPr>
                <w:rFonts w:ascii="宋体" w:eastAsia="宋体" w:hint="eastAsia"/>
                <w:sz w:val="16"/>
              </w:rPr>
              <w:t>随机</w:t>
            </w:r>
          </w:p>
        </w:tc>
        <w:tc>
          <w:tcPr>
            <w:tcW w:w="1393" w:type="dxa"/>
          </w:tcPr>
          <w:p>
            <w:pPr>
              <w:pStyle w:val="TableParagraph"/>
              <w:spacing w:line="189" w:lineRule="exact"/>
              <w:ind w:left="132" w:right="158"/>
              <w:rPr>
                <w:sz w:val="16"/>
              </w:rPr>
            </w:pPr>
            <w:r>
              <w:rPr>
                <w:sz w:val="16"/>
              </w:rPr>
              <w:t>0.98(0.43, 1.52)</w:t>
            </w:r>
          </w:p>
        </w:tc>
        <w:tc>
          <w:tcPr>
            <w:tcW w:w="1003" w:type="dxa"/>
          </w:tcPr>
          <w:p>
            <w:pPr>
              <w:pStyle w:val="TableParagraph"/>
              <w:spacing w:line="189" w:lineRule="exact"/>
              <w:ind w:left="261"/>
              <w:jc w:val="left"/>
              <w:rPr>
                <w:sz w:val="16"/>
              </w:rPr>
            </w:pPr>
            <w:r>
              <w:rPr>
                <w:sz w:val="16"/>
              </w:rPr>
              <w:t>0.000 4</w:t>
            </w:r>
          </w:p>
        </w:tc>
      </w:tr>
      <w:tr>
        <w:trPr>
          <w:trHeight w:val="206" w:hRule="atLeast"/>
        </w:trPr>
        <w:tc>
          <w:tcPr>
            <w:tcW w:w="1240" w:type="dxa"/>
          </w:tcPr>
          <w:p>
            <w:pPr>
              <w:pStyle w:val="TableParagraph"/>
              <w:jc w:val="left"/>
              <w:rPr>
                <w:rFonts w:ascii="Times New Roman"/>
                <w:sz w:val="14"/>
              </w:rPr>
            </w:pPr>
          </w:p>
        </w:tc>
        <w:tc>
          <w:tcPr>
            <w:tcW w:w="1697" w:type="dxa"/>
          </w:tcPr>
          <w:p>
            <w:pPr>
              <w:pStyle w:val="TableParagraph"/>
              <w:spacing w:line="186" w:lineRule="exact"/>
              <w:ind w:left="202" w:right="229"/>
              <w:rPr>
                <w:sz w:val="16"/>
              </w:rPr>
            </w:pPr>
            <w:r>
              <w:rPr>
                <w:sz w:val="16"/>
              </w:rPr>
              <w:t>LA +Per. vs. Per.</w:t>
            </w:r>
          </w:p>
        </w:tc>
        <w:tc>
          <w:tcPr>
            <w:tcW w:w="909" w:type="dxa"/>
          </w:tcPr>
          <w:p>
            <w:pPr>
              <w:pStyle w:val="TableParagraph"/>
              <w:spacing w:line="186" w:lineRule="exact"/>
              <w:ind w:left="73"/>
              <w:rPr>
                <w:sz w:val="16"/>
              </w:rPr>
            </w:pPr>
            <w:r>
              <w:rPr>
                <w:w w:val="100"/>
                <w:sz w:val="16"/>
              </w:rPr>
              <w:t>4</w:t>
            </w:r>
          </w:p>
        </w:tc>
        <w:tc>
          <w:tcPr>
            <w:tcW w:w="583" w:type="dxa"/>
          </w:tcPr>
          <w:p>
            <w:pPr>
              <w:pStyle w:val="TableParagraph"/>
              <w:spacing w:line="186" w:lineRule="exact"/>
              <w:ind w:left="175"/>
              <w:jc w:val="left"/>
              <w:rPr>
                <w:sz w:val="16"/>
              </w:rPr>
            </w:pPr>
            <w:r>
              <w:rPr>
                <w:sz w:val="16"/>
              </w:rPr>
              <w:t>167</w:t>
            </w:r>
          </w:p>
        </w:tc>
        <w:tc>
          <w:tcPr>
            <w:tcW w:w="563" w:type="dxa"/>
          </w:tcPr>
          <w:p>
            <w:pPr>
              <w:pStyle w:val="TableParagraph"/>
              <w:spacing w:line="186" w:lineRule="exact"/>
              <w:ind w:left="143" w:right="135"/>
              <w:rPr>
                <w:sz w:val="16"/>
              </w:rPr>
            </w:pPr>
            <w:r>
              <w:rPr>
                <w:sz w:val="16"/>
              </w:rPr>
              <w:t>167</w:t>
            </w:r>
          </w:p>
        </w:tc>
        <w:tc>
          <w:tcPr>
            <w:tcW w:w="605" w:type="dxa"/>
          </w:tcPr>
          <w:p>
            <w:pPr>
              <w:pStyle w:val="TableParagraph"/>
              <w:spacing w:line="186" w:lineRule="exact"/>
              <w:ind w:left="195"/>
              <w:jc w:val="left"/>
              <w:rPr>
                <w:sz w:val="16"/>
              </w:rPr>
            </w:pPr>
            <w:r>
              <w:rPr>
                <w:sz w:val="16"/>
              </w:rPr>
              <w:t>0%</w:t>
            </w:r>
          </w:p>
        </w:tc>
        <w:tc>
          <w:tcPr>
            <w:tcW w:w="936" w:type="dxa"/>
          </w:tcPr>
          <w:p>
            <w:pPr>
              <w:pStyle w:val="TableParagraph"/>
              <w:spacing w:line="186" w:lineRule="exact"/>
              <w:ind w:left="150" w:right="136"/>
              <w:rPr>
                <w:sz w:val="16"/>
              </w:rPr>
            </w:pPr>
            <w:r>
              <w:rPr>
                <w:sz w:val="16"/>
              </w:rPr>
              <w:t>0.68</w:t>
            </w:r>
          </w:p>
        </w:tc>
        <w:tc>
          <w:tcPr>
            <w:tcW w:w="786" w:type="dxa"/>
          </w:tcPr>
          <w:p>
            <w:pPr>
              <w:pStyle w:val="TableParagraph"/>
              <w:spacing w:line="186" w:lineRule="exact"/>
              <w:ind w:left="214" w:right="211"/>
              <w:rPr>
                <w:rFonts w:ascii="宋体" w:eastAsia="宋体" w:hint="eastAsia"/>
                <w:sz w:val="16"/>
              </w:rPr>
            </w:pPr>
            <w:r>
              <w:rPr>
                <w:rFonts w:ascii="宋体" w:eastAsia="宋体" w:hint="eastAsia"/>
                <w:sz w:val="16"/>
              </w:rPr>
              <w:t>固定</w:t>
            </w:r>
          </w:p>
        </w:tc>
        <w:tc>
          <w:tcPr>
            <w:tcW w:w="1393" w:type="dxa"/>
          </w:tcPr>
          <w:p>
            <w:pPr>
              <w:pStyle w:val="TableParagraph"/>
              <w:spacing w:line="186" w:lineRule="exact"/>
              <w:ind w:left="132" w:right="158"/>
              <w:rPr>
                <w:sz w:val="16"/>
              </w:rPr>
            </w:pPr>
            <w:r>
              <w:rPr>
                <w:sz w:val="16"/>
              </w:rPr>
              <w:t>0.72(0.50, 0.94)</w:t>
            </w:r>
          </w:p>
        </w:tc>
        <w:tc>
          <w:tcPr>
            <w:tcW w:w="1003" w:type="dxa"/>
          </w:tcPr>
          <w:p>
            <w:pPr>
              <w:pStyle w:val="TableParagraph"/>
              <w:spacing w:line="186" w:lineRule="exact"/>
              <w:ind w:left="160" w:right="159"/>
              <w:rPr>
                <w:sz w:val="16"/>
              </w:rPr>
            </w:pPr>
            <w:r>
              <w:rPr>
                <w:sz w:val="16"/>
              </w:rPr>
              <w:t>&lt;0.000 01</w:t>
            </w:r>
          </w:p>
        </w:tc>
      </w:tr>
      <w:tr>
        <w:trPr>
          <w:trHeight w:val="211" w:hRule="atLeast"/>
        </w:trPr>
        <w:tc>
          <w:tcPr>
            <w:tcW w:w="1240" w:type="dxa"/>
          </w:tcPr>
          <w:p>
            <w:pPr>
              <w:pStyle w:val="TableParagraph"/>
              <w:jc w:val="left"/>
              <w:rPr>
                <w:rFonts w:ascii="Times New Roman"/>
                <w:sz w:val="14"/>
              </w:rPr>
            </w:pPr>
          </w:p>
        </w:tc>
        <w:tc>
          <w:tcPr>
            <w:tcW w:w="1697" w:type="dxa"/>
          </w:tcPr>
          <w:p>
            <w:pPr>
              <w:pStyle w:val="TableParagraph"/>
              <w:spacing w:line="192" w:lineRule="exact"/>
              <w:ind w:left="202" w:right="228"/>
              <w:rPr>
                <w:sz w:val="16"/>
              </w:rPr>
            </w:pPr>
            <w:r>
              <w:rPr>
                <w:sz w:val="16"/>
              </w:rPr>
              <w:t>LA +Fos. vs. Fos.</w:t>
            </w:r>
          </w:p>
        </w:tc>
        <w:tc>
          <w:tcPr>
            <w:tcW w:w="909" w:type="dxa"/>
          </w:tcPr>
          <w:p>
            <w:pPr>
              <w:pStyle w:val="TableParagraph"/>
              <w:spacing w:line="192" w:lineRule="exact"/>
              <w:ind w:left="73"/>
              <w:rPr>
                <w:sz w:val="16"/>
              </w:rPr>
            </w:pPr>
            <w:r>
              <w:rPr>
                <w:w w:val="100"/>
                <w:sz w:val="16"/>
              </w:rPr>
              <w:t>2</w:t>
            </w:r>
          </w:p>
        </w:tc>
        <w:tc>
          <w:tcPr>
            <w:tcW w:w="583" w:type="dxa"/>
          </w:tcPr>
          <w:p>
            <w:pPr>
              <w:pStyle w:val="TableParagraph"/>
              <w:spacing w:line="192" w:lineRule="exact"/>
              <w:ind w:left="175"/>
              <w:jc w:val="left"/>
              <w:rPr>
                <w:sz w:val="16"/>
              </w:rPr>
            </w:pPr>
            <w:r>
              <w:rPr>
                <w:sz w:val="16"/>
              </w:rPr>
              <w:t>107</w:t>
            </w:r>
          </w:p>
        </w:tc>
        <w:tc>
          <w:tcPr>
            <w:tcW w:w="563" w:type="dxa"/>
          </w:tcPr>
          <w:p>
            <w:pPr>
              <w:pStyle w:val="TableParagraph"/>
              <w:spacing w:line="192" w:lineRule="exact"/>
              <w:ind w:left="143" w:right="135"/>
              <w:rPr>
                <w:sz w:val="16"/>
              </w:rPr>
            </w:pPr>
            <w:r>
              <w:rPr>
                <w:sz w:val="16"/>
              </w:rPr>
              <w:t>91</w:t>
            </w:r>
          </w:p>
        </w:tc>
        <w:tc>
          <w:tcPr>
            <w:tcW w:w="605" w:type="dxa"/>
          </w:tcPr>
          <w:p>
            <w:pPr>
              <w:pStyle w:val="TableParagraph"/>
              <w:spacing w:line="192" w:lineRule="exact"/>
              <w:ind w:left="195"/>
              <w:jc w:val="left"/>
              <w:rPr>
                <w:sz w:val="16"/>
              </w:rPr>
            </w:pPr>
            <w:r>
              <w:rPr>
                <w:sz w:val="16"/>
              </w:rPr>
              <w:t>0%</w:t>
            </w:r>
          </w:p>
        </w:tc>
        <w:tc>
          <w:tcPr>
            <w:tcW w:w="936" w:type="dxa"/>
          </w:tcPr>
          <w:p>
            <w:pPr>
              <w:pStyle w:val="TableParagraph"/>
              <w:spacing w:line="192" w:lineRule="exact"/>
              <w:ind w:left="150" w:right="136"/>
              <w:rPr>
                <w:sz w:val="16"/>
              </w:rPr>
            </w:pPr>
            <w:r>
              <w:rPr>
                <w:sz w:val="16"/>
              </w:rPr>
              <w:t>0.70</w:t>
            </w:r>
          </w:p>
        </w:tc>
        <w:tc>
          <w:tcPr>
            <w:tcW w:w="786" w:type="dxa"/>
          </w:tcPr>
          <w:p>
            <w:pPr>
              <w:pStyle w:val="TableParagraph"/>
              <w:spacing w:line="192" w:lineRule="exact"/>
              <w:ind w:left="214" w:right="211"/>
              <w:rPr>
                <w:rFonts w:ascii="宋体" w:eastAsia="宋体" w:hint="eastAsia"/>
                <w:sz w:val="16"/>
              </w:rPr>
            </w:pPr>
            <w:r>
              <w:rPr>
                <w:rFonts w:ascii="宋体" w:eastAsia="宋体" w:hint="eastAsia"/>
                <w:sz w:val="16"/>
              </w:rPr>
              <w:t>固定</w:t>
            </w:r>
          </w:p>
        </w:tc>
        <w:tc>
          <w:tcPr>
            <w:tcW w:w="1393" w:type="dxa"/>
          </w:tcPr>
          <w:p>
            <w:pPr>
              <w:pStyle w:val="TableParagraph"/>
              <w:spacing w:line="192" w:lineRule="exact"/>
              <w:ind w:left="132" w:right="158"/>
              <w:rPr>
                <w:sz w:val="16"/>
              </w:rPr>
            </w:pPr>
            <w:r>
              <w:rPr>
                <w:sz w:val="16"/>
              </w:rPr>
              <w:t>0.91(0.61, 1.20)</w:t>
            </w:r>
          </w:p>
        </w:tc>
        <w:tc>
          <w:tcPr>
            <w:tcW w:w="1003" w:type="dxa"/>
          </w:tcPr>
          <w:p>
            <w:pPr>
              <w:pStyle w:val="TableParagraph"/>
              <w:spacing w:line="192" w:lineRule="exact"/>
              <w:ind w:left="160" w:right="159"/>
              <w:rPr>
                <w:sz w:val="16"/>
              </w:rPr>
            </w:pPr>
            <w:r>
              <w:rPr>
                <w:sz w:val="16"/>
              </w:rPr>
              <w:t>&lt;0.000 01</w:t>
            </w:r>
          </w:p>
        </w:tc>
      </w:tr>
      <w:tr>
        <w:trPr>
          <w:trHeight w:val="194" w:hRule="atLeast"/>
        </w:trPr>
        <w:tc>
          <w:tcPr>
            <w:tcW w:w="1240" w:type="dxa"/>
          </w:tcPr>
          <w:p>
            <w:pPr>
              <w:pStyle w:val="TableParagraph"/>
              <w:jc w:val="left"/>
              <w:rPr>
                <w:rFonts w:ascii="Times New Roman"/>
                <w:sz w:val="12"/>
              </w:rPr>
            </w:pPr>
          </w:p>
        </w:tc>
        <w:tc>
          <w:tcPr>
            <w:tcW w:w="1697" w:type="dxa"/>
          </w:tcPr>
          <w:p>
            <w:pPr>
              <w:pStyle w:val="TableParagraph"/>
              <w:spacing w:line="174" w:lineRule="exact"/>
              <w:ind w:left="202" w:right="229"/>
              <w:rPr>
                <w:sz w:val="16"/>
              </w:rPr>
            </w:pPr>
            <w:r>
              <w:rPr>
                <w:sz w:val="16"/>
              </w:rPr>
              <w:t>LA +Ram. vs. Ram.</w:t>
            </w:r>
          </w:p>
        </w:tc>
        <w:tc>
          <w:tcPr>
            <w:tcW w:w="909" w:type="dxa"/>
          </w:tcPr>
          <w:p>
            <w:pPr>
              <w:pStyle w:val="TableParagraph"/>
              <w:spacing w:line="174" w:lineRule="exact"/>
              <w:ind w:left="73"/>
              <w:rPr>
                <w:sz w:val="16"/>
              </w:rPr>
            </w:pPr>
            <w:r>
              <w:rPr>
                <w:w w:val="100"/>
                <w:sz w:val="16"/>
              </w:rPr>
              <w:t>1</w:t>
            </w:r>
          </w:p>
        </w:tc>
        <w:tc>
          <w:tcPr>
            <w:tcW w:w="583" w:type="dxa"/>
          </w:tcPr>
          <w:p>
            <w:pPr>
              <w:pStyle w:val="TableParagraph"/>
              <w:spacing w:line="174" w:lineRule="exact"/>
              <w:ind w:left="215"/>
              <w:jc w:val="left"/>
              <w:rPr>
                <w:sz w:val="16"/>
              </w:rPr>
            </w:pPr>
            <w:r>
              <w:rPr>
                <w:sz w:val="16"/>
              </w:rPr>
              <w:t>59</w:t>
            </w:r>
          </w:p>
        </w:tc>
        <w:tc>
          <w:tcPr>
            <w:tcW w:w="563" w:type="dxa"/>
          </w:tcPr>
          <w:p>
            <w:pPr>
              <w:pStyle w:val="TableParagraph"/>
              <w:spacing w:line="174" w:lineRule="exact"/>
              <w:ind w:left="143" w:right="135"/>
              <w:rPr>
                <w:sz w:val="16"/>
              </w:rPr>
            </w:pPr>
            <w:r>
              <w:rPr>
                <w:sz w:val="16"/>
              </w:rPr>
              <w:t>46</w:t>
            </w:r>
          </w:p>
        </w:tc>
        <w:tc>
          <w:tcPr>
            <w:tcW w:w="605" w:type="dxa"/>
          </w:tcPr>
          <w:p>
            <w:pPr>
              <w:pStyle w:val="TableParagraph"/>
              <w:spacing w:line="174" w:lineRule="exact"/>
              <w:ind w:left="195"/>
              <w:jc w:val="left"/>
              <w:rPr>
                <w:sz w:val="16"/>
              </w:rPr>
            </w:pPr>
            <w:r>
              <w:rPr>
                <w:sz w:val="16"/>
              </w:rPr>
              <w:t>NA</w:t>
            </w:r>
          </w:p>
        </w:tc>
        <w:tc>
          <w:tcPr>
            <w:tcW w:w="936" w:type="dxa"/>
          </w:tcPr>
          <w:p>
            <w:pPr>
              <w:pStyle w:val="TableParagraph"/>
              <w:spacing w:line="174" w:lineRule="exact"/>
              <w:ind w:left="146" w:right="136"/>
              <w:rPr>
                <w:sz w:val="16"/>
              </w:rPr>
            </w:pPr>
            <w:r>
              <w:rPr>
                <w:sz w:val="16"/>
              </w:rPr>
              <w:t>NA</w:t>
            </w:r>
          </w:p>
        </w:tc>
        <w:tc>
          <w:tcPr>
            <w:tcW w:w="786" w:type="dxa"/>
          </w:tcPr>
          <w:p>
            <w:pPr>
              <w:pStyle w:val="TableParagraph"/>
              <w:spacing w:line="174" w:lineRule="exact"/>
              <w:ind w:left="213" w:right="211"/>
              <w:rPr>
                <w:sz w:val="16"/>
              </w:rPr>
            </w:pPr>
            <w:r>
              <w:rPr>
                <w:sz w:val="16"/>
              </w:rPr>
              <w:t>NA</w:t>
            </w:r>
          </w:p>
        </w:tc>
        <w:tc>
          <w:tcPr>
            <w:tcW w:w="1393" w:type="dxa"/>
          </w:tcPr>
          <w:p>
            <w:pPr>
              <w:pStyle w:val="TableParagraph"/>
              <w:spacing w:line="174" w:lineRule="exact"/>
              <w:ind w:left="132" w:right="160"/>
              <w:rPr>
                <w:sz w:val="16"/>
              </w:rPr>
            </w:pPr>
            <w:r>
              <w:rPr>
                <w:sz w:val="16"/>
              </w:rPr>
              <w:t>1.17 (0.75, 1.58)</w:t>
            </w:r>
          </w:p>
        </w:tc>
        <w:tc>
          <w:tcPr>
            <w:tcW w:w="1003" w:type="dxa"/>
          </w:tcPr>
          <w:p>
            <w:pPr>
              <w:pStyle w:val="TableParagraph"/>
              <w:spacing w:line="174" w:lineRule="exact"/>
              <w:ind w:left="160" w:right="159"/>
              <w:rPr>
                <w:sz w:val="16"/>
              </w:rPr>
            </w:pPr>
            <w:r>
              <w:rPr>
                <w:sz w:val="16"/>
              </w:rPr>
              <w:t>&lt;0.000 01</w:t>
            </w:r>
          </w:p>
        </w:tc>
      </w:tr>
      <w:tr>
        <w:trPr>
          <w:trHeight w:val="206" w:hRule="atLeast"/>
        </w:trPr>
        <w:tc>
          <w:tcPr>
            <w:tcW w:w="1240" w:type="dxa"/>
          </w:tcPr>
          <w:p>
            <w:pPr>
              <w:pStyle w:val="TableParagraph"/>
              <w:spacing w:line="186" w:lineRule="exact"/>
              <w:ind w:left="161" w:right="253"/>
              <w:rPr>
                <w:rFonts w:ascii="宋体" w:eastAsia="宋体" w:hint="eastAsia"/>
                <w:sz w:val="16"/>
              </w:rPr>
            </w:pPr>
            <w:r>
              <w:rPr>
                <w:sz w:val="16"/>
              </w:rPr>
              <w:t>DBP </w:t>
            </w:r>
            <w:r>
              <w:rPr>
                <w:rFonts w:ascii="宋体" w:eastAsia="宋体" w:hint="eastAsia"/>
                <w:sz w:val="16"/>
              </w:rPr>
              <w:t>降低值</w:t>
            </w:r>
          </w:p>
        </w:tc>
        <w:tc>
          <w:tcPr>
            <w:tcW w:w="1697" w:type="dxa"/>
          </w:tcPr>
          <w:p>
            <w:pPr>
              <w:pStyle w:val="TableParagraph"/>
              <w:spacing w:line="186" w:lineRule="exact"/>
              <w:ind w:left="202" w:right="231"/>
              <w:rPr>
                <w:sz w:val="16"/>
              </w:rPr>
            </w:pPr>
            <w:r>
              <w:rPr>
                <w:sz w:val="16"/>
              </w:rPr>
              <w:t>LA + Ena. vs. Ena.</w:t>
            </w:r>
          </w:p>
        </w:tc>
        <w:tc>
          <w:tcPr>
            <w:tcW w:w="909" w:type="dxa"/>
          </w:tcPr>
          <w:p>
            <w:pPr>
              <w:pStyle w:val="TableParagraph"/>
              <w:spacing w:line="186" w:lineRule="exact"/>
              <w:ind w:left="389" w:right="316"/>
              <w:rPr>
                <w:sz w:val="16"/>
              </w:rPr>
            </w:pPr>
            <w:r>
              <w:rPr>
                <w:sz w:val="16"/>
              </w:rPr>
              <w:t>18</w:t>
            </w:r>
          </w:p>
        </w:tc>
        <w:tc>
          <w:tcPr>
            <w:tcW w:w="583" w:type="dxa"/>
          </w:tcPr>
          <w:p>
            <w:pPr>
              <w:pStyle w:val="TableParagraph"/>
              <w:spacing w:line="186" w:lineRule="exact"/>
              <w:ind w:left="175"/>
              <w:jc w:val="left"/>
              <w:rPr>
                <w:sz w:val="16"/>
              </w:rPr>
            </w:pPr>
            <w:r>
              <w:rPr>
                <w:sz w:val="16"/>
              </w:rPr>
              <w:t>835</w:t>
            </w:r>
          </w:p>
        </w:tc>
        <w:tc>
          <w:tcPr>
            <w:tcW w:w="563" w:type="dxa"/>
          </w:tcPr>
          <w:p>
            <w:pPr>
              <w:pStyle w:val="TableParagraph"/>
              <w:spacing w:line="186" w:lineRule="exact"/>
              <w:ind w:left="143" w:right="135"/>
              <w:rPr>
                <w:sz w:val="16"/>
              </w:rPr>
            </w:pPr>
            <w:r>
              <w:rPr>
                <w:sz w:val="16"/>
              </w:rPr>
              <w:t>822</w:t>
            </w:r>
          </w:p>
        </w:tc>
        <w:tc>
          <w:tcPr>
            <w:tcW w:w="605" w:type="dxa"/>
          </w:tcPr>
          <w:p>
            <w:pPr>
              <w:pStyle w:val="TableParagraph"/>
              <w:spacing w:line="186" w:lineRule="exact"/>
              <w:ind w:left="154"/>
              <w:jc w:val="left"/>
              <w:rPr>
                <w:sz w:val="16"/>
              </w:rPr>
            </w:pPr>
            <w:r>
              <w:rPr>
                <w:sz w:val="16"/>
              </w:rPr>
              <w:t>84%</w:t>
            </w:r>
          </w:p>
        </w:tc>
        <w:tc>
          <w:tcPr>
            <w:tcW w:w="936" w:type="dxa"/>
          </w:tcPr>
          <w:p>
            <w:pPr>
              <w:pStyle w:val="TableParagraph"/>
              <w:spacing w:line="186" w:lineRule="exact"/>
              <w:ind w:left="152" w:right="136"/>
              <w:rPr>
                <w:sz w:val="16"/>
              </w:rPr>
            </w:pPr>
            <w:r>
              <w:rPr>
                <w:sz w:val="16"/>
              </w:rPr>
              <w:t>&lt;0.00001</w:t>
            </w:r>
          </w:p>
        </w:tc>
        <w:tc>
          <w:tcPr>
            <w:tcW w:w="786" w:type="dxa"/>
          </w:tcPr>
          <w:p>
            <w:pPr>
              <w:pStyle w:val="TableParagraph"/>
              <w:spacing w:line="186" w:lineRule="exact"/>
              <w:ind w:left="214" w:right="211"/>
              <w:rPr>
                <w:rFonts w:ascii="宋体" w:eastAsia="宋体" w:hint="eastAsia"/>
                <w:sz w:val="16"/>
              </w:rPr>
            </w:pPr>
            <w:r>
              <w:rPr>
                <w:rFonts w:ascii="宋体" w:eastAsia="宋体" w:hint="eastAsia"/>
                <w:sz w:val="16"/>
              </w:rPr>
              <w:t>随机</w:t>
            </w:r>
          </w:p>
        </w:tc>
        <w:tc>
          <w:tcPr>
            <w:tcW w:w="1393" w:type="dxa"/>
          </w:tcPr>
          <w:p>
            <w:pPr>
              <w:pStyle w:val="TableParagraph"/>
              <w:spacing w:line="186" w:lineRule="exact"/>
              <w:ind w:left="132" w:right="158"/>
              <w:rPr>
                <w:sz w:val="16"/>
              </w:rPr>
            </w:pPr>
            <w:r>
              <w:rPr>
                <w:sz w:val="16"/>
              </w:rPr>
              <w:t>0.94(0.68, 1.21)</w:t>
            </w:r>
          </w:p>
        </w:tc>
        <w:tc>
          <w:tcPr>
            <w:tcW w:w="1003" w:type="dxa"/>
          </w:tcPr>
          <w:p>
            <w:pPr>
              <w:pStyle w:val="TableParagraph"/>
              <w:spacing w:line="186" w:lineRule="exact"/>
              <w:ind w:left="160" w:right="159"/>
              <w:rPr>
                <w:sz w:val="16"/>
              </w:rPr>
            </w:pPr>
            <w:r>
              <w:rPr>
                <w:sz w:val="16"/>
              </w:rPr>
              <w:t>&lt;0.000 01</w:t>
            </w:r>
          </w:p>
        </w:tc>
      </w:tr>
      <w:tr>
        <w:trPr>
          <w:trHeight w:val="206" w:hRule="atLeast"/>
        </w:trPr>
        <w:tc>
          <w:tcPr>
            <w:tcW w:w="1240" w:type="dxa"/>
          </w:tcPr>
          <w:p>
            <w:pPr>
              <w:pStyle w:val="TableParagraph"/>
              <w:jc w:val="left"/>
              <w:rPr>
                <w:rFonts w:ascii="Times New Roman"/>
                <w:sz w:val="14"/>
              </w:rPr>
            </w:pPr>
          </w:p>
        </w:tc>
        <w:tc>
          <w:tcPr>
            <w:tcW w:w="1697" w:type="dxa"/>
          </w:tcPr>
          <w:p>
            <w:pPr>
              <w:pStyle w:val="TableParagraph"/>
              <w:spacing w:line="186" w:lineRule="exact"/>
              <w:ind w:left="198" w:right="232"/>
              <w:rPr>
                <w:sz w:val="16"/>
              </w:rPr>
            </w:pPr>
            <w:r>
              <w:rPr>
                <w:sz w:val="16"/>
              </w:rPr>
              <w:t>LA + Ben. vs. Ben.</w:t>
            </w:r>
          </w:p>
        </w:tc>
        <w:tc>
          <w:tcPr>
            <w:tcW w:w="909" w:type="dxa"/>
          </w:tcPr>
          <w:p>
            <w:pPr>
              <w:pStyle w:val="TableParagraph"/>
              <w:spacing w:line="186" w:lineRule="exact"/>
              <w:ind w:left="389" w:right="316"/>
              <w:rPr>
                <w:sz w:val="16"/>
              </w:rPr>
            </w:pPr>
            <w:r>
              <w:rPr>
                <w:sz w:val="16"/>
              </w:rPr>
              <w:t>14</w:t>
            </w:r>
          </w:p>
        </w:tc>
        <w:tc>
          <w:tcPr>
            <w:tcW w:w="583" w:type="dxa"/>
          </w:tcPr>
          <w:p>
            <w:pPr>
              <w:pStyle w:val="TableParagraph"/>
              <w:spacing w:line="186" w:lineRule="exact"/>
              <w:ind w:left="175"/>
              <w:jc w:val="left"/>
              <w:rPr>
                <w:sz w:val="16"/>
              </w:rPr>
            </w:pPr>
            <w:r>
              <w:rPr>
                <w:sz w:val="16"/>
              </w:rPr>
              <w:t>570</w:t>
            </w:r>
          </w:p>
        </w:tc>
        <w:tc>
          <w:tcPr>
            <w:tcW w:w="563" w:type="dxa"/>
          </w:tcPr>
          <w:p>
            <w:pPr>
              <w:pStyle w:val="TableParagraph"/>
              <w:spacing w:line="186" w:lineRule="exact"/>
              <w:ind w:left="143" w:right="135"/>
              <w:rPr>
                <w:sz w:val="16"/>
              </w:rPr>
            </w:pPr>
            <w:r>
              <w:rPr>
                <w:sz w:val="16"/>
              </w:rPr>
              <w:t>514</w:t>
            </w:r>
          </w:p>
        </w:tc>
        <w:tc>
          <w:tcPr>
            <w:tcW w:w="605" w:type="dxa"/>
          </w:tcPr>
          <w:p>
            <w:pPr>
              <w:pStyle w:val="TableParagraph"/>
              <w:spacing w:line="186" w:lineRule="exact"/>
              <w:ind w:left="154"/>
              <w:jc w:val="left"/>
              <w:rPr>
                <w:sz w:val="16"/>
              </w:rPr>
            </w:pPr>
            <w:r>
              <w:rPr>
                <w:sz w:val="16"/>
              </w:rPr>
              <w:t>67%</w:t>
            </w:r>
          </w:p>
        </w:tc>
        <w:tc>
          <w:tcPr>
            <w:tcW w:w="936" w:type="dxa"/>
          </w:tcPr>
          <w:p>
            <w:pPr>
              <w:pStyle w:val="TableParagraph"/>
              <w:spacing w:line="186" w:lineRule="exact"/>
              <w:ind w:left="150" w:right="136"/>
              <w:rPr>
                <w:sz w:val="16"/>
              </w:rPr>
            </w:pPr>
            <w:r>
              <w:rPr>
                <w:sz w:val="16"/>
              </w:rPr>
              <w:t>0.0002</w:t>
            </w:r>
          </w:p>
        </w:tc>
        <w:tc>
          <w:tcPr>
            <w:tcW w:w="786" w:type="dxa"/>
          </w:tcPr>
          <w:p>
            <w:pPr>
              <w:pStyle w:val="TableParagraph"/>
              <w:spacing w:line="186" w:lineRule="exact"/>
              <w:ind w:left="214" w:right="211"/>
              <w:rPr>
                <w:rFonts w:ascii="宋体" w:eastAsia="宋体" w:hint="eastAsia"/>
                <w:sz w:val="16"/>
              </w:rPr>
            </w:pPr>
            <w:r>
              <w:rPr>
                <w:rFonts w:ascii="宋体" w:eastAsia="宋体" w:hint="eastAsia"/>
                <w:sz w:val="16"/>
              </w:rPr>
              <w:t>随机</w:t>
            </w:r>
          </w:p>
        </w:tc>
        <w:tc>
          <w:tcPr>
            <w:tcW w:w="1393" w:type="dxa"/>
          </w:tcPr>
          <w:p>
            <w:pPr>
              <w:pStyle w:val="TableParagraph"/>
              <w:spacing w:line="186" w:lineRule="exact"/>
              <w:ind w:left="132" w:right="158"/>
              <w:rPr>
                <w:sz w:val="16"/>
              </w:rPr>
            </w:pPr>
            <w:r>
              <w:rPr>
                <w:sz w:val="16"/>
              </w:rPr>
              <w:t>0.67(0.45, 0.89)</w:t>
            </w:r>
          </w:p>
        </w:tc>
        <w:tc>
          <w:tcPr>
            <w:tcW w:w="1003" w:type="dxa"/>
          </w:tcPr>
          <w:p>
            <w:pPr>
              <w:pStyle w:val="TableParagraph"/>
              <w:spacing w:line="186" w:lineRule="exact"/>
              <w:ind w:left="160" w:right="159"/>
              <w:rPr>
                <w:sz w:val="16"/>
              </w:rPr>
            </w:pPr>
            <w:r>
              <w:rPr>
                <w:sz w:val="16"/>
              </w:rPr>
              <w:t>&lt;0.000 01</w:t>
            </w:r>
          </w:p>
        </w:tc>
      </w:tr>
      <w:tr>
        <w:trPr>
          <w:trHeight w:val="206" w:hRule="atLeast"/>
        </w:trPr>
        <w:tc>
          <w:tcPr>
            <w:tcW w:w="1240" w:type="dxa"/>
          </w:tcPr>
          <w:p>
            <w:pPr>
              <w:pStyle w:val="TableParagraph"/>
              <w:jc w:val="left"/>
              <w:rPr>
                <w:rFonts w:ascii="Times New Roman"/>
                <w:sz w:val="14"/>
              </w:rPr>
            </w:pPr>
          </w:p>
        </w:tc>
        <w:tc>
          <w:tcPr>
            <w:tcW w:w="1697" w:type="dxa"/>
          </w:tcPr>
          <w:p>
            <w:pPr>
              <w:pStyle w:val="TableParagraph"/>
              <w:spacing w:line="186" w:lineRule="exact"/>
              <w:ind w:left="202" w:right="231"/>
              <w:rPr>
                <w:sz w:val="16"/>
              </w:rPr>
            </w:pPr>
            <w:r>
              <w:rPr>
                <w:sz w:val="16"/>
              </w:rPr>
              <w:t>LA + Cap. vs. Cap.</w:t>
            </w:r>
          </w:p>
        </w:tc>
        <w:tc>
          <w:tcPr>
            <w:tcW w:w="909" w:type="dxa"/>
          </w:tcPr>
          <w:p>
            <w:pPr>
              <w:pStyle w:val="TableParagraph"/>
              <w:spacing w:line="186" w:lineRule="exact"/>
              <w:ind w:left="73"/>
              <w:rPr>
                <w:sz w:val="16"/>
              </w:rPr>
            </w:pPr>
            <w:r>
              <w:rPr>
                <w:w w:val="100"/>
                <w:sz w:val="16"/>
              </w:rPr>
              <w:t>5</w:t>
            </w:r>
          </w:p>
        </w:tc>
        <w:tc>
          <w:tcPr>
            <w:tcW w:w="583" w:type="dxa"/>
          </w:tcPr>
          <w:p>
            <w:pPr>
              <w:pStyle w:val="TableParagraph"/>
              <w:spacing w:line="186" w:lineRule="exact"/>
              <w:ind w:left="175"/>
              <w:jc w:val="left"/>
              <w:rPr>
                <w:sz w:val="16"/>
              </w:rPr>
            </w:pPr>
            <w:r>
              <w:rPr>
                <w:sz w:val="16"/>
              </w:rPr>
              <w:t>214</w:t>
            </w:r>
          </w:p>
        </w:tc>
        <w:tc>
          <w:tcPr>
            <w:tcW w:w="563" w:type="dxa"/>
          </w:tcPr>
          <w:p>
            <w:pPr>
              <w:pStyle w:val="TableParagraph"/>
              <w:spacing w:line="186" w:lineRule="exact"/>
              <w:ind w:left="143" w:right="135"/>
              <w:rPr>
                <w:sz w:val="16"/>
              </w:rPr>
            </w:pPr>
            <w:r>
              <w:rPr>
                <w:sz w:val="16"/>
              </w:rPr>
              <w:t>206</w:t>
            </w:r>
          </w:p>
        </w:tc>
        <w:tc>
          <w:tcPr>
            <w:tcW w:w="605" w:type="dxa"/>
          </w:tcPr>
          <w:p>
            <w:pPr>
              <w:pStyle w:val="TableParagraph"/>
              <w:spacing w:line="186" w:lineRule="exact"/>
              <w:ind w:left="195"/>
              <w:jc w:val="left"/>
              <w:rPr>
                <w:sz w:val="16"/>
              </w:rPr>
            </w:pPr>
            <w:r>
              <w:rPr>
                <w:sz w:val="16"/>
              </w:rPr>
              <w:t>0%</w:t>
            </w:r>
          </w:p>
        </w:tc>
        <w:tc>
          <w:tcPr>
            <w:tcW w:w="936" w:type="dxa"/>
          </w:tcPr>
          <w:p>
            <w:pPr>
              <w:pStyle w:val="TableParagraph"/>
              <w:spacing w:line="186" w:lineRule="exact"/>
              <w:ind w:left="150" w:right="136"/>
              <w:rPr>
                <w:sz w:val="16"/>
              </w:rPr>
            </w:pPr>
            <w:r>
              <w:rPr>
                <w:sz w:val="16"/>
              </w:rPr>
              <w:t>0.42</w:t>
            </w:r>
          </w:p>
        </w:tc>
        <w:tc>
          <w:tcPr>
            <w:tcW w:w="786" w:type="dxa"/>
          </w:tcPr>
          <w:p>
            <w:pPr>
              <w:pStyle w:val="TableParagraph"/>
              <w:spacing w:line="186" w:lineRule="exact"/>
              <w:ind w:left="214" w:right="211"/>
              <w:rPr>
                <w:rFonts w:ascii="宋体" w:eastAsia="宋体" w:hint="eastAsia"/>
                <w:sz w:val="16"/>
              </w:rPr>
            </w:pPr>
            <w:r>
              <w:rPr>
                <w:rFonts w:ascii="宋体" w:eastAsia="宋体" w:hint="eastAsia"/>
                <w:sz w:val="16"/>
              </w:rPr>
              <w:t>固定</w:t>
            </w:r>
          </w:p>
        </w:tc>
        <w:tc>
          <w:tcPr>
            <w:tcW w:w="1393" w:type="dxa"/>
          </w:tcPr>
          <w:p>
            <w:pPr>
              <w:pStyle w:val="TableParagraph"/>
              <w:spacing w:line="186" w:lineRule="exact"/>
              <w:ind w:left="132" w:right="158"/>
              <w:rPr>
                <w:sz w:val="16"/>
              </w:rPr>
            </w:pPr>
            <w:r>
              <w:rPr>
                <w:sz w:val="16"/>
              </w:rPr>
              <w:t>0.97(0.77, 1.18)</w:t>
            </w:r>
          </w:p>
        </w:tc>
        <w:tc>
          <w:tcPr>
            <w:tcW w:w="1003" w:type="dxa"/>
          </w:tcPr>
          <w:p>
            <w:pPr>
              <w:pStyle w:val="TableParagraph"/>
              <w:spacing w:line="186" w:lineRule="exact"/>
              <w:ind w:left="160" w:right="159"/>
              <w:rPr>
                <w:sz w:val="16"/>
              </w:rPr>
            </w:pPr>
            <w:r>
              <w:rPr>
                <w:sz w:val="16"/>
              </w:rPr>
              <w:t>&lt;0.000 01</w:t>
            </w:r>
          </w:p>
        </w:tc>
      </w:tr>
      <w:tr>
        <w:trPr>
          <w:trHeight w:val="208" w:hRule="atLeast"/>
        </w:trPr>
        <w:tc>
          <w:tcPr>
            <w:tcW w:w="1240" w:type="dxa"/>
          </w:tcPr>
          <w:p>
            <w:pPr>
              <w:pStyle w:val="TableParagraph"/>
              <w:jc w:val="left"/>
              <w:rPr>
                <w:rFonts w:ascii="Times New Roman"/>
                <w:sz w:val="14"/>
              </w:rPr>
            </w:pPr>
          </w:p>
        </w:tc>
        <w:tc>
          <w:tcPr>
            <w:tcW w:w="1697" w:type="dxa"/>
          </w:tcPr>
          <w:p>
            <w:pPr>
              <w:pStyle w:val="TableParagraph"/>
              <w:spacing w:line="189" w:lineRule="exact"/>
              <w:ind w:left="202" w:right="232"/>
              <w:rPr>
                <w:sz w:val="16"/>
              </w:rPr>
            </w:pPr>
            <w:r>
              <w:rPr>
                <w:sz w:val="16"/>
              </w:rPr>
              <w:t>LA + Per. vs. Per.</w:t>
            </w:r>
          </w:p>
        </w:tc>
        <w:tc>
          <w:tcPr>
            <w:tcW w:w="909" w:type="dxa"/>
          </w:tcPr>
          <w:p>
            <w:pPr>
              <w:pStyle w:val="TableParagraph"/>
              <w:spacing w:line="189" w:lineRule="exact"/>
              <w:ind w:left="73"/>
              <w:rPr>
                <w:sz w:val="16"/>
              </w:rPr>
            </w:pPr>
            <w:r>
              <w:rPr>
                <w:w w:val="100"/>
                <w:sz w:val="16"/>
              </w:rPr>
              <w:t>3</w:t>
            </w:r>
          </w:p>
        </w:tc>
        <w:tc>
          <w:tcPr>
            <w:tcW w:w="583" w:type="dxa"/>
          </w:tcPr>
          <w:p>
            <w:pPr>
              <w:pStyle w:val="TableParagraph"/>
              <w:spacing w:line="189" w:lineRule="exact"/>
              <w:ind w:left="175"/>
              <w:jc w:val="left"/>
              <w:rPr>
                <w:sz w:val="16"/>
              </w:rPr>
            </w:pPr>
            <w:r>
              <w:rPr>
                <w:sz w:val="16"/>
              </w:rPr>
              <w:t>137</w:t>
            </w:r>
          </w:p>
        </w:tc>
        <w:tc>
          <w:tcPr>
            <w:tcW w:w="563" w:type="dxa"/>
          </w:tcPr>
          <w:p>
            <w:pPr>
              <w:pStyle w:val="TableParagraph"/>
              <w:spacing w:line="189" w:lineRule="exact"/>
              <w:ind w:left="143" w:right="135"/>
              <w:rPr>
                <w:sz w:val="16"/>
              </w:rPr>
            </w:pPr>
            <w:r>
              <w:rPr>
                <w:sz w:val="16"/>
              </w:rPr>
              <w:t>137</w:t>
            </w:r>
          </w:p>
        </w:tc>
        <w:tc>
          <w:tcPr>
            <w:tcW w:w="605" w:type="dxa"/>
          </w:tcPr>
          <w:p>
            <w:pPr>
              <w:pStyle w:val="TableParagraph"/>
              <w:spacing w:line="189" w:lineRule="exact"/>
              <w:ind w:left="154"/>
              <w:jc w:val="left"/>
              <w:rPr>
                <w:sz w:val="16"/>
              </w:rPr>
            </w:pPr>
            <w:r>
              <w:rPr>
                <w:sz w:val="16"/>
              </w:rPr>
              <w:t>83%</w:t>
            </w:r>
          </w:p>
        </w:tc>
        <w:tc>
          <w:tcPr>
            <w:tcW w:w="936" w:type="dxa"/>
          </w:tcPr>
          <w:p>
            <w:pPr>
              <w:pStyle w:val="TableParagraph"/>
              <w:spacing w:line="189" w:lineRule="exact"/>
              <w:ind w:left="150" w:right="136"/>
              <w:rPr>
                <w:sz w:val="16"/>
              </w:rPr>
            </w:pPr>
            <w:r>
              <w:rPr>
                <w:sz w:val="16"/>
              </w:rPr>
              <w:t>0.003</w:t>
            </w:r>
          </w:p>
        </w:tc>
        <w:tc>
          <w:tcPr>
            <w:tcW w:w="786" w:type="dxa"/>
          </w:tcPr>
          <w:p>
            <w:pPr>
              <w:pStyle w:val="TableParagraph"/>
              <w:spacing w:line="189" w:lineRule="exact"/>
              <w:ind w:left="214" w:right="211"/>
              <w:rPr>
                <w:rFonts w:ascii="宋体" w:eastAsia="宋体" w:hint="eastAsia"/>
                <w:sz w:val="16"/>
              </w:rPr>
            </w:pPr>
            <w:r>
              <w:rPr>
                <w:rFonts w:ascii="宋体" w:eastAsia="宋体" w:hint="eastAsia"/>
                <w:sz w:val="16"/>
              </w:rPr>
              <w:t>随机</w:t>
            </w:r>
          </w:p>
        </w:tc>
        <w:tc>
          <w:tcPr>
            <w:tcW w:w="1393" w:type="dxa"/>
          </w:tcPr>
          <w:p>
            <w:pPr>
              <w:pStyle w:val="TableParagraph"/>
              <w:spacing w:line="189" w:lineRule="exact"/>
              <w:ind w:left="132" w:right="158"/>
              <w:rPr>
                <w:sz w:val="16"/>
              </w:rPr>
            </w:pPr>
            <w:r>
              <w:rPr>
                <w:sz w:val="16"/>
              </w:rPr>
              <w:t>1.28(0.50, 2.07)</w:t>
            </w:r>
          </w:p>
        </w:tc>
        <w:tc>
          <w:tcPr>
            <w:tcW w:w="1003" w:type="dxa"/>
          </w:tcPr>
          <w:p>
            <w:pPr>
              <w:pStyle w:val="TableParagraph"/>
              <w:spacing w:line="189" w:lineRule="exact"/>
              <w:ind w:left="160" w:right="159"/>
              <w:rPr>
                <w:sz w:val="16"/>
              </w:rPr>
            </w:pPr>
            <w:r>
              <w:rPr>
                <w:sz w:val="16"/>
              </w:rPr>
              <w:t>0.001</w:t>
            </w:r>
          </w:p>
        </w:tc>
      </w:tr>
      <w:tr>
        <w:trPr>
          <w:trHeight w:val="210" w:hRule="atLeast"/>
        </w:trPr>
        <w:tc>
          <w:tcPr>
            <w:tcW w:w="1240" w:type="dxa"/>
          </w:tcPr>
          <w:p>
            <w:pPr>
              <w:pStyle w:val="TableParagraph"/>
              <w:jc w:val="left"/>
              <w:rPr>
                <w:rFonts w:ascii="Times New Roman"/>
                <w:sz w:val="14"/>
              </w:rPr>
            </w:pPr>
          </w:p>
        </w:tc>
        <w:tc>
          <w:tcPr>
            <w:tcW w:w="1697" w:type="dxa"/>
          </w:tcPr>
          <w:p>
            <w:pPr>
              <w:pStyle w:val="TableParagraph"/>
              <w:spacing w:line="190" w:lineRule="exact"/>
              <w:ind w:left="202" w:right="231"/>
              <w:rPr>
                <w:sz w:val="16"/>
              </w:rPr>
            </w:pPr>
            <w:r>
              <w:rPr>
                <w:sz w:val="16"/>
              </w:rPr>
              <w:t>LA + Fos. vs. Fos.</w:t>
            </w:r>
          </w:p>
        </w:tc>
        <w:tc>
          <w:tcPr>
            <w:tcW w:w="909" w:type="dxa"/>
          </w:tcPr>
          <w:p>
            <w:pPr>
              <w:pStyle w:val="TableParagraph"/>
              <w:spacing w:line="190" w:lineRule="exact"/>
              <w:ind w:left="73"/>
              <w:rPr>
                <w:sz w:val="16"/>
              </w:rPr>
            </w:pPr>
            <w:r>
              <w:rPr>
                <w:w w:val="100"/>
                <w:sz w:val="16"/>
              </w:rPr>
              <w:t>2</w:t>
            </w:r>
          </w:p>
        </w:tc>
        <w:tc>
          <w:tcPr>
            <w:tcW w:w="583" w:type="dxa"/>
          </w:tcPr>
          <w:p>
            <w:pPr>
              <w:pStyle w:val="TableParagraph"/>
              <w:spacing w:line="190" w:lineRule="exact"/>
              <w:ind w:left="175"/>
              <w:jc w:val="left"/>
              <w:rPr>
                <w:sz w:val="16"/>
              </w:rPr>
            </w:pPr>
            <w:r>
              <w:rPr>
                <w:sz w:val="16"/>
              </w:rPr>
              <w:t>107</w:t>
            </w:r>
          </w:p>
        </w:tc>
        <w:tc>
          <w:tcPr>
            <w:tcW w:w="563" w:type="dxa"/>
          </w:tcPr>
          <w:p>
            <w:pPr>
              <w:pStyle w:val="TableParagraph"/>
              <w:spacing w:line="190" w:lineRule="exact"/>
              <w:ind w:left="143" w:right="135"/>
              <w:rPr>
                <w:sz w:val="16"/>
              </w:rPr>
            </w:pPr>
            <w:r>
              <w:rPr>
                <w:sz w:val="16"/>
              </w:rPr>
              <w:t>91</w:t>
            </w:r>
          </w:p>
        </w:tc>
        <w:tc>
          <w:tcPr>
            <w:tcW w:w="605" w:type="dxa"/>
          </w:tcPr>
          <w:p>
            <w:pPr>
              <w:pStyle w:val="TableParagraph"/>
              <w:spacing w:line="190" w:lineRule="exact"/>
              <w:ind w:left="154"/>
              <w:jc w:val="left"/>
              <w:rPr>
                <w:sz w:val="16"/>
              </w:rPr>
            </w:pPr>
            <w:r>
              <w:rPr>
                <w:sz w:val="16"/>
              </w:rPr>
              <w:t>82%</w:t>
            </w:r>
          </w:p>
        </w:tc>
        <w:tc>
          <w:tcPr>
            <w:tcW w:w="936" w:type="dxa"/>
          </w:tcPr>
          <w:p>
            <w:pPr>
              <w:pStyle w:val="TableParagraph"/>
              <w:spacing w:line="190" w:lineRule="exact"/>
              <w:ind w:left="150" w:right="136"/>
              <w:rPr>
                <w:sz w:val="16"/>
              </w:rPr>
            </w:pPr>
            <w:r>
              <w:rPr>
                <w:sz w:val="16"/>
              </w:rPr>
              <w:t>0.02</w:t>
            </w:r>
          </w:p>
        </w:tc>
        <w:tc>
          <w:tcPr>
            <w:tcW w:w="786" w:type="dxa"/>
          </w:tcPr>
          <w:p>
            <w:pPr>
              <w:pStyle w:val="TableParagraph"/>
              <w:spacing w:line="190" w:lineRule="exact"/>
              <w:ind w:left="214" w:right="211"/>
              <w:rPr>
                <w:rFonts w:ascii="宋体" w:eastAsia="宋体" w:hint="eastAsia"/>
                <w:sz w:val="16"/>
              </w:rPr>
            </w:pPr>
            <w:r>
              <w:rPr>
                <w:rFonts w:ascii="宋体" w:eastAsia="宋体" w:hint="eastAsia"/>
                <w:sz w:val="16"/>
              </w:rPr>
              <w:t>随机</w:t>
            </w:r>
          </w:p>
        </w:tc>
        <w:tc>
          <w:tcPr>
            <w:tcW w:w="1393" w:type="dxa"/>
          </w:tcPr>
          <w:p>
            <w:pPr>
              <w:pStyle w:val="TableParagraph"/>
              <w:spacing w:line="190" w:lineRule="exact"/>
              <w:ind w:left="132" w:right="158"/>
              <w:rPr>
                <w:sz w:val="16"/>
              </w:rPr>
            </w:pPr>
            <w:r>
              <w:rPr>
                <w:sz w:val="16"/>
              </w:rPr>
              <w:t>0.86(0.13, 1.60)</w:t>
            </w:r>
          </w:p>
        </w:tc>
        <w:tc>
          <w:tcPr>
            <w:tcW w:w="1003" w:type="dxa"/>
          </w:tcPr>
          <w:p>
            <w:pPr>
              <w:pStyle w:val="TableParagraph"/>
              <w:spacing w:line="190" w:lineRule="exact"/>
              <w:ind w:left="160" w:right="159"/>
              <w:rPr>
                <w:sz w:val="16"/>
              </w:rPr>
            </w:pPr>
            <w:r>
              <w:rPr>
                <w:sz w:val="16"/>
              </w:rPr>
              <w:t>0.02</w:t>
            </w:r>
          </w:p>
        </w:tc>
      </w:tr>
      <w:tr>
        <w:trPr>
          <w:trHeight w:val="186" w:hRule="atLeast"/>
        </w:trPr>
        <w:tc>
          <w:tcPr>
            <w:tcW w:w="1240" w:type="dxa"/>
            <w:tcBorders>
              <w:bottom w:val="single" w:sz="4" w:space="0" w:color="000000"/>
            </w:tcBorders>
          </w:tcPr>
          <w:p>
            <w:pPr>
              <w:pStyle w:val="TableParagraph"/>
              <w:jc w:val="left"/>
              <w:rPr>
                <w:rFonts w:ascii="Times New Roman"/>
                <w:sz w:val="12"/>
              </w:rPr>
            </w:pPr>
          </w:p>
        </w:tc>
        <w:tc>
          <w:tcPr>
            <w:tcW w:w="1697" w:type="dxa"/>
            <w:tcBorders>
              <w:bottom w:val="single" w:sz="4" w:space="0" w:color="000000"/>
            </w:tcBorders>
          </w:tcPr>
          <w:p>
            <w:pPr>
              <w:pStyle w:val="TableParagraph"/>
              <w:spacing w:line="166" w:lineRule="exact"/>
              <w:ind w:left="202" w:right="232"/>
              <w:rPr>
                <w:sz w:val="16"/>
              </w:rPr>
            </w:pPr>
            <w:r>
              <w:rPr>
                <w:sz w:val="16"/>
              </w:rPr>
              <w:t>LA + Ram. vs. Ram.</w:t>
            </w:r>
          </w:p>
        </w:tc>
        <w:tc>
          <w:tcPr>
            <w:tcW w:w="909" w:type="dxa"/>
            <w:tcBorders>
              <w:bottom w:val="single" w:sz="4" w:space="0" w:color="000000"/>
            </w:tcBorders>
          </w:tcPr>
          <w:p>
            <w:pPr>
              <w:pStyle w:val="TableParagraph"/>
              <w:spacing w:line="166" w:lineRule="exact"/>
              <w:ind w:left="73"/>
              <w:rPr>
                <w:sz w:val="16"/>
              </w:rPr>
            </w:pPr>
            <w:r>
              <w:rPr>
                <w:w w:val="100"/>
                <w:sz w:val="16"/>
              </w:rPr>
              <w:t>1</w:t>
            </w:r>
          </w:p>
        </w:tc>
        <w:tc>
          <w:tcPr>
            <w:tcW w:w="583" w:type="dxa"/>
            <w:tcBorders>
              <w:bottom w:val="single" w:sz="4" w:space="0" w:color="000000"/>
            </w:tcBorders>
          </w:tcPr>
          <w:p>
            <w:pPr>
              <w:pStyle w:val="TableParagraph"/>
              <w:spacing w:line="166" w:lineRule="exact"/>
              <w:ind w:left="215"/>
              <w:jc w:val="left"/>
              <w:rPr>
                <w:sz w:val="16"/>
              </w:rPr>
            </w:pPr>
            <w:r>
              <w:rPr>
                <w:sz w:val="16"/>
              </w:rPr>
              <w:t>59</w:t>
            </w:r>
          </w:p>
        </w:tc>
        <w:tc>
          <w:tcPr>
            <w:tcW w:w="563" w:type="dxa"/>
            <w:tcBorders>
              <w:bottom w:val="single" w:sz="4" w:space="0" w:color="000000"/>
            </w:tcBorders>
          </w:tcPr>
          <w:p>
            <w:pPr>
              <w:pStyle w:val="TableParagraph"/>
              <w:spacing w:line="166" w:lineRule="exact"/>
              <w:ind w:left="143" w:right="135"/>
              <w:rPr>
                <w:sz w:val="16"/>
              </w:rPr>
            </w:pPr>
            <w:r>
              <w:rPr>
                <w:sz w:val="16"/>
              </w:rPr>
              <w:t>46</w:t>
            </w:r>
          </w:p>
        </w:tc>
        <w:tc>
          <w:tcPr>
            <w:tcW w:w="605" w:type="dxa"/>
            <w:tcBorders>
              <w:bottom w:val="single" w:sz="4" w:space="0" w:color="000000"/>
            </w:tcBorders>
          </w:tcPr>
          <w:p>
            <w:pPr>
              <w:pStyle w:val="TableParagraph"/>
              <w:spacing w:line="166" w:lineRule="exact"/>
              <w:ind w:left="195"/>
              <w:jc w:val="left"/>
              <w:rPr>
                <w:sz w:val="16"/>
              </w:rPr>
            </w:pPr>
            <w:r>
              <w:rPr>
                <w:sz w:val="16"/>
              </w:rPr>
              <w:t>NA</w:t>
            </w:r>
          </w:p>
        </w:tc>
        <w:tc>
          <w:tcPr>
            <w:tcW w:w="936" w:type="dxa"/>
            <w:tcBorders>
              <w:bottom w:val="single" w:sz="4" w:space="0" w:color="000000"/>
            </w:tcBorders>
          </w:tcPr>
          <w:p>
            <w:pPr>
              <w:pStyle w:val="TableParagraph"/>
              <w:spacing w:line="166" w:lineRule="exact"/>
              <w:ind w:left="146" w:right="136"/>
              <w:rPr>
                <w:sz w:val="16"/>
              </w:rPr>
            </w:pPr>
            <w:r>
              <w:rPr>
                <w:sz w:val="16"/>
              </w:rPr>
              <w:t>NA</w:t>
            </w:r>
          </w:p>
        </w:tc>
        <w:tc>
          <w:tcPr>
            <w:tcW w:w="786" w:type="dxa"/>
            <w:tcBorders>
              <w:bottom w:val="single" w:sz="4" w:space="0" w:color="000000"/>
            </w:tcBorders>
          </w:tcPr>
          <w:p>
            <w:pPr>
              <w:pStyle w:val="TableParagraph"/>
              <w:spacing w:line="166" w:lineRule="exact"/>
              <w:ind w:left="213" w:right="211"/>
              <w:rPr>
                <w:sz w:val="16"/>
              </w:rPr>
            </w:pPr>
            <w:r>
              <w:rPr>
                <w:sz w:val="16"/>
              </w:rPr>
              <w:t>NA</w:t>
            </w:r>
          </w:p>
        </w:tc>
        <w:tc>
          <w:tcPr>
            <w:tcW w:w="1393" w:type="dxa"/>
            <w:tcBorders>
              <w:bottom w:val="single" w:sz="4" w:space="0" w:color="000000"/>
            </w:tcBorders>
          </w:tcPr>
          <w:p>
            <w:pPr>
              <w:pStyle w:val="TableParagraph"/>
              <w:spacing w:line="166" w:lineRule="exact"/>
              <w:ind w:left="132" w:right="158"/>
              <w:rPr>
                <w:sz w:val="16"/>
              </w:rPr>
            </w:pPr>
            <w:r>
              <w:rPr>
                <w:sz w:val="16"/>
              </w:rPr>
              <w:t>0.79(0.38, 1.19)</w:t>
            </w:r>
          </w:p>
        </w:tc>
        <w:tc>
          <w:tcPr>
            <w:tcW w:w="1003" w:type="dxa"/>
            <w:tcBorders>
              <w:bottom w:val="single" w:sz="4" w:space="0" w:color="000000"/>
            </w:tcBorders>
          </w:tcPr>
          <w:p>
            <w:pPr>
              <w:pStyle w:val="TableParagraph"/>
              <w:spacing w:line="166" w:lineRule="exact"/>
              <w:ind w:left="261"/>
              <w:jc w:val="left"/>
              <w:rPr>
                <w:sz w:val="16"/>
              </w:rPr>
            </w:pPr>
            <w:r>
              <w:rPr>
                <w:sz w:val="16"/>
              </w:rPr>
              <w:t>0.000 1</w:t>
            </w:r>
          </w:p>
        </w:tc>
      </w:tr>
    </w:tbl>
    <w:p>
      <w:pPr>
        <w:spacing w:line="258" w:lineRule="exact" w:before="0"/>
        <w:ind w:left="237" w:right="0" w:firstLine="0"/>
        <w:jc w:val="left"/>
        <w:rPr>
          <w:rFonts w:ascii="华文楷体" w:eastAsia="华文楷体" w:hint="eastAsia"/>
          <w:sz w:val="18"/>
        </w:rPr>
      </w:pPr>
      <w:r>
        <w:rPr>
          <w:rFonts w:ascii="华文楷体" w:eastAsia="华文楷体" w:hint="eastAsia"/>
          <w:sz w:val="18"/>
        </w:rPr>
        <w:t>备注：SBP：收缩压；DBP：舒张压；T：试验组；C：对照组；LA：左旋氨氯地平；Ena.：依那普利；Ben.：贝那普利；</w:t>
      </w:r>
    </w:p>
    <w:p>
      <w:pPr>
        <w:spacing w:line="208" w:lineRule="auto" w:before="0" w:after="20"/>
        <w:ind w:left="237" w:right="2847" w:firstLine="0"/>
        <w:jc w:val="left"/>
        <w:rPr>
          <w:rFonts w:ascii="华文楷体" w:eastAsia="华文楷体" w:hint="eastAsia"/>
          <w:sz w:val="18"/>
        </w:rPr>
      </w:pPr>
      <w:r>
        <w:rPr>
          <w:rFonts w:ascii="华文楷体" w:eastAsia="华文楷体" w:hint="eastAsia"/>
          <w:sz w:val="18"/>
        </w:rPr>
        <w:t>Cap.：卡托普利；Per.：培哚普利；Fos.：福辛普利；Ram.：雷米普利；NA：无法获得。表2 LA+ACEI vs. ACEI总有效率的meta分析结果</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955"/>
        <w:gridCol w:w="1031"/>
        <w:gridCol w:w="1008"/>
        <w:gridCol w:w="720"/>
        <w:gridCol w:w="799"/>
        <w:gridCol w:w="906"/>
        <w:gridCol w:w="1410"/>
        <w:gridCol w:w="1045"/>
      </w:tblGrid>
      <w:tr>
        <w:trPr>
          <w:trHeight w:val="177" w:hRule="atLeast"/>
        </w:trPr>
        <w:tc>
          <w:tcPr>
            <w:tcW w:w="1852" w:type="dxa"/>
            <w:vMerge w:val="restart"/>
            <w:tcBorders>
              <w:top w:val="single" w:sz="4" w:space="0" w:color="000000"/>
              <w:bottom w:val="single" w:sz="4" w:space="0" w:color="000000"/>
            </w:tcBorders>
          </w:tcPr>
          <w:p>
            <w:pPr>
              <w:pStyle w:val="TableParagraph"/>
              <w:spacing w:before="109"/>
              <w:ind w:left="647"/>
              <w:jc w:val="left"/>
              <w:rPr>
                <w:rFonts w:ascii="宋体" w:eastAsia="宋体" w:hint="eastAsia"/>
                <w:sz w:val="16"/>
              </w:rPr>
            </w:pPr>
            <w:r>
              <w:rPr>
                <w:rFonts w:ascii="宋体" w:eastAsia="宋体" w:hint="eastAsia"/>
                <w:sz w:val="16"/>
              </w:rPr>
              <w:t>干预措施</w:t>
            </w:r>
          </w:p>
        </w:tc>
        <w:tc>
          <w:tcPr>
            <w:tcW w:w="955" w:type="dxa"/>
            <w:vMerge w:val="restart"/>
            <w:tcBorders>
              <w:top w:val="single" w:sz="4" w:space="0" w:color="000000"/>
              <w:bottom w:val="single" w:sz="4" w:space="0" w:color="000000"/>
            </w:tcBorders>
          </w:tcPr>
          <w:p>
            <w:pPr>
              <w:pStyle w:val="TableParagraph"/>
              <w:spacing w:line="200" w:lineRule="atLeast" w:before="5"/>
              <w:ind w:left="271" w:right="199" w:firstLine="79"/>
              <w:jc w:val="left"/>
              <w:rPr>
                <w:rFonts w:ascii="宋体" w:eastAsia="宋体" w:hint="eastAsia"/>
                <w:sz w:val="16"/>
              </w:rPr>
            </w:pPr>
            <w:r>
              <w:rPr>
                <w:rFonts w:ascii="宋体" w:eastAsia="宋体" w:hint="eastAsia"/>
                <w:sz w:val="16"/>
              </w:rPr>
              <w:t>纳入研究数</w:t>
            </w:r>
          </w:p>
        </w:tc>
        <w:tc>
          <w:tcPr>
            <w:tcW w:w="2039" w:type="dxa"/>
            <w:gridSpan w:val="2"/>
            <w:tcBorders>
              <w:top w:val="single" w:sz="4" w:space="0" w:color="000000"/>
            </w:tcBorders>
          </w:tcPr>
          <w:p>
            <w:pPr>
              <w:pStyle w:val="TableParagraph"/>
              <w:tabs>
                <w:tab w:pos="439" w:val="left" w:leader="none"/>
                <w:tab w:pos="2629" w:val="left" w:leader="none"/>
              </w:tabs>
              <w:spacing w:line="157" w:lineRule="exact"/>
              <w:ind w:right="-591"/>
              <w:jc w:val="left"/>
              <w:rPr>
                <w:rFonts w:ascii="宋体" w:eastAsia="宋体" w:hint="eastAsia"/>
                <w:sz w:val="16"/>
              </w:rPr>
            </w:pPr>
            <w:r>
              <w:rPr>
                <w:rFonts w:ascii="Times New Roman" w:eastAsia="Times New Roman"/>
                <w:w w:val="100"/>
                <w:sz w:val="16"/>
                <w:u w:val="single"/>
              </w:rPr>
              <w:t> </w:t>
            </w:r>
            <w:r>
              <w:rPr>
                <w:rFonts w:ascii="Times New Roman" w:eastAsia="Times New Roman"/>
                <w:sz w:val="16"/>
                <w:u w:val="single"/>
              </w:rPr>
              <w:tab/>
            </w:r>
            <w:r>
              <w:rPr>
                <w:rFonts w:ascii="宋体" w:eastAsia="宋体" w:hint="eastAsia"/>
                <w:sz w:val="16"/>
                <w:u w:val="single"/>
              </w:rPr>
              <w:t>总有效</w:t>
            </w:r>
            <w:r>
              <w:rPr>
                <w:rFonts w:ascii="宋体" w:eastAsia="宋体" w:hint="eastAsia"/>
                <w:spacing w:val="-3"/>
                <w:sz w:val="16"/>
                <w:u w:val="single"/>
              </w:rPr>
              <w:t>数</w:t>
            </w:r>
            <w:r>
              <w:rPr>
                <w:sz w:val="16"/>
                <w:u w:val="single"/>
              </w:rPr>
              <w:t>/</w:t>
            </w:r>
            <w:r>
              <w:rPr>
                <w:rFonts w:ascii="宋体" w:eastAsia="宋体" w:hint="eastAsia"/>
                <w:sz w:val="16"/>
                <w:u w:val="single"/>
              </w:rPr>
              <w:t>总</w:t>
            </w:r>
            <w:r>
              <w:rPr>
                <w:rFonts w:ascii="宋体" w:eastAsia="宋体" w:hint="eastAsia"/>
                <w:spacing w:val="-3"/>
                <w:sz w:val="16"/>
                <w:u w:val="single"/>
              </w:rPr>
              <w:t>例</w:t>
            </w:r>
            <w:r>
              <w:rPr>
                <w:rFonts w:ascii="宋体" w:eastAsia="宋体" w:hint="eastAsia"/>
                <w:sz w:val="16"/>
                <w:u w:val="single"/>
              </w:rPr>
              <w:t>数</w:t>
              <w:tab/>
            </w:r>
          </w:p>
        </w:tc>
        <w:tc>
          <w:tcPr>
            <w:tcW w:w="1519" w:type="dxa"/>
            <w:gridSpan w:val="2"/>
            <w:tcBorders>
              <w:top w:val="single" w:sz="4" w:space="0" w:color="000000"/>
            </w:tcBorders>
          </w:tcPr>
          <w:p>
            <w:pPr>
              <w:pStyle w:val="TableParagraph"/>
              <w:tabs>
                <w:tab w:pos="1643" w:val="left" w:leader="none"/>
              </w:tabs>
              <w:spacing w:line="157" w:lineRule="exact"/>
              <w:ind w:left="590" w:right="-130"/>
              <w:jc w:val="left"/>
              <w:rPr>
                <w:rFonts w:ascii="宋体" w:eastAsia="宋体" w:hint="eastAsia"/>
                <w:sz w:val="16"/>
              </w:rPr>
            </w:pPr>
            <w:r>
              <w:rPr>
                <w:rFonts w:ascii="宋体" w:eastAsia="宋体" w:hint="eastAsia"/>
                <w:sz w:val="16"/>
                <w:u w:val="single"/>
              </w:rPr>
              <w:t>异质性</w:t>
              <w:tab/>
            </w:r>
          </w:p>
        </w:tc>
        <w:tc>
          <w:tcPr>
            <w:tcW w:w="906" w:type="dxa"/>
            <w:vMerge w:val="restart"/>
            <w:tcBorders>
              <w:top w:val="single" w:sz="4" w:space="0" w:color="000000"/>
              <w:bottom w:val="single" w:sz="4" w:space="0" w:color="000000"/>
            </w:tcBorders>
          </w:tcPr>
          <w:p>
            <w:pPr>
              <w:pStyle w:val="TableParagraph"/>
              <w:spacing w:line="200" w:lineRule="atLeast" w:before="5"/>
              <w:ind w:left="408" w:right="173" w:hanging="159"/>
              <w:jc w:val="left"/>
              <w:rPr>
                <w:rFonts w:ascii="宋体" w:eastAsia="宋体" w:hint="eastAsia"/>
                <w:sz w:val="16"/>
              </w:rPr>
            </w:pPr>
            <w:r>
              <w:rPr>
                <w:rFonts w:ascii="宋体" w:eastAsia="宋体" w:hint="eastAsia"/>
                <w:sz w:val="16"/>
              </w:rPr>
              <w:t>效应模型</w:t>
            </w:r>
          </w:p>
        </w:tc>
        <w:tc>
          <w:tcPr>
            <w:tcW w:w="1410" w:type="dxa"/>
            <w:tcBorders>
              <w:top w:val="single" w:sz="4" w:space="0" w:color="000000"/>
            </w:tcBorders>
          </w:tcPr>
          <w:p>
            <w:pPr>
              <w:pStyle w:val="TableParagraph"/>
              <w:jc w:val="left"/>
              <w:rPr>
                <w:rFonts w:ascii="Times New Roman"/>
                <w:sz w:val="10"/>
              </w:rPr>
            </w:pPr>
          </w:p>
        </w:tc>
        <w:tc>
          <w:tcPr>
            <w:tcW w:w="1045" w:type="dxa"/>
            <w:vMerge w:val="restart"/>
            <w:tcBorders>
              <w:top w:val="single" w:sz="4" w:space="0" w:color="000000"/>
              <w:bottom w:val="single" w:sz="4" w:space="0" w:color="000000"/>
            </w:tcBorders>
          </w:tcPr>
          <w:p>
            <w:pPr>
              <w:pStyle w:val="TableParagraph"/>
              <w:spacing w:before="109"/>
              <w:ind w:left="188" w:right="174"/>
              <w:rPr>
                <w:rFonts w:ascii="宋体" w:eastAsia="宋体" w:hint="eastAsia"/>
                <w:sz w:val="16"/>
              </w:rPr>
            </w:pPr>
            <w:r>
              <w:rPr>
                <w:i/>
                <w:sz w:val="16"/>
              </w:rPr>
              <w:t>P </w:t>
            </w:r>
            <w:r>
              <w:rPr>
                <w:rFonts w:ascii="宋体" w:eastAsia="宋体" w:hint="eastAsia"/>
                <w:sz w:val="16"/>
              </w:rPr>
              <w:t>值</w:t>
            </w:r>
          </w:p>
        </w:tc>
      </w:tr>
      <w:tr>
        <w:trPr>
          <w:trHeight w:val="237" w:hRule="atLeast"/>
        </w:trPr>
        <w:tc>
          <w:tcPr>
            <w:tcW w:w="1852" w:type="dxa"/>
            <w:vMerge/>
            <w:tcBorders>
              <w:top w:val="nil"/>
              <w:bottom w:val="single" w:sz="4" w:space="0" w:color="000000"/>
            </w:tcBorders>
          </w:tcPr>
          <w:p>
            <w:pPr>
              <w:rPr>
                <w:sz w:val="2"/>
                <w:szCs w:val="2"/>
              </w:rPr>
            </w:pPr>
          </w:p>
        </w:tc>
        <w:tc>
          <w:tcPr>
            <w:tcW w:w="955" w:type="dxa"/>
            <w:vMerge/>
            <w:tcBorders>
              <w:top w:val="nil"/>
              <w:bottom w:val="single" w:sz="4" w:space="0" w:color="000000"/>
            </w:tcBorders>
          </w:tcPr>
          <w:p>
            <w:pPr>
              <w:rPr>
                <w:sz w:val="2"/>
                <w:szCs w:val="2"/>
              </w:rPr>
            </w:pPr>
          </w:p>
        </w:tc>
        <w:tc>
          <w:tcPr>
            <w:tcW w:w="1031" w:type="dxa"/>
            <w:tcBorders>
              <w:bottom w:val="single" w:sz="4" w:space="0" w:color="000000"/>
            </w:tcBorders>
          </w:tcPr>
          <w:p>
            <w:pPr>
              <w:pStyle w:val="TableParagraph"/>
              <w:spacing w:line="188" w:lineRule="exact" w:before="29"/>
              <w:ind w:left="1"/>
              <w:rPr>
                <w:rFonts w:ascii="宋体"/>
                <w:sz w:val="16"/>
              </w:rPr>
            </w:pPr>
            <w:r>
              <w:rPr>
                <w:rFonts w:ascii="宋体"/>
                <w:w w:val="100"/>
                <w:sz w:val="16"/>
              </w:rPr>
              <w:t>T</w:t>
            </w:r>
          </w:p>
        </w:tc>
        <w:tc>
          <w:tcPr>
            <w:tcW w:w="1008" w:type="dxa"/>
            <w:tcBorders>
              <w:bottom w:val="single" w:sz="4" w:space="0" w:color="000000"/>
            </w:tcBorders>
          </w:tcPr>
          <w:p>
            <w:pPr>
              <w:pStyle w:val="TableParagraph"/>
              <w:spacing w:line="188" w:lineRule="exact" w:before="29"/>
              <w:ind w:left="21"/>
              <w:rPr>
                <w:rFonts w:ascii="宋体"/>
                <w:sz w:val="16"/>
              </w:rPr>
            </w:pPr>
            <w:r>
              <w:rPr>
                <w:rFonts w:ascii="宋体"/>
                <w:w w:val="100"/>
                <w:sz w:val="16"/>
              </w:rPr>
              <w:t>C</w:t>
            </w:r>
          </w:p>
        </w:tc>
        <w:tc>
          <w:tcPr>
            <w:tcW w:w="720" w:type="dxa"/>
            <w:tcBorders>
              <w:bottom w:val="single" w:sz="4" w:space="0" w:color="000000"/>
            </w:tcBorders>
          </w:tcPr>
          <w:p>
            <w:pPr>
              <w:pStyle w:val="TableParagraph"/>
              <w:spacing w:line="187" w:lineRule="exact" w:before="30"/>
              <w:ind w:right="342"/>
              <w:jc w:val="right"/>
              <w:rPr>
                <w:rFonts w:ascii="宋体"/>
                <w:sz w:val="8"/>
              </w:rPr>
            </w:pPr>
            <w:r>
              <w:rPr>
                <w:rFonts w:ascii="宋体"/>
                <w:position w:val="-7"/>
                <w:sz w:val="16"/>
              </w:rPr>
              <w:t>I</w:t>
            </w:r>
            <w:r>
              <w:rPr>
                <w:rFonts w:ascii="宋体"/>
                <w:sz w:val="8"/>
              </w:rPr>
              <w:t>2</w:t>
            </w:r>
          </w:p>
        </w:tc>
        <w:tc>
          <w:tcPr>
            <w:tcW w:w="799" w:type="dxa"/>
            <w:tcBorders>
              <w:bottom w:val="single" w:sz="4" w:space="0" w:color="000000"/>
            </w:tcBorders>
          </w:tcPr>
          <w:p>
            <w:pPr>
              <w:pStyle w:val="TableParagraph"/>
              <w:spacing w:line="198" w:lineRule="exact" w:before="19"/>
              <w:ind w:left="263"/>
              <w:jc w:val="left"/>
              <w:rPr>
                <w:rFonts w:ascii="宋体" w:eastAsia="宋体" w:hint="eastAsia"/>
                <w:sz w:val="16"/>
              </w:rPr>
            </w:pPr>
            <w:r>
              <w:rPr>
                <w:rFonts w:ascii="宋体" w:eastAsia="宋体" w:hint="eastAsia"/>
                <w:i/>
                <w:sz w:val="17"/>
              </w:rPr>
              <w:t>P </w:t>
            </w:r>
            <w:r>
              <w:rPr>
                <w:rFonts w:ascii="宋体" w:eastAsia="宋体" w:hint="eastAsia"/>
                <w:sz w:val="16"/>
              </w:rPr>
              <w:t>值</w:t>
            </w:r>
          </w:p>
        </w:tc>
        <w:tc>
          <w:tcPr>
            <w:tcW w:w="906" w:type="dxa"/>
            <w:vMerge/>
            <w:tcBorders>
              <w:top w:val="nil"/>
              <w:bottom w:val="single" w:sz="4" w:space="0" w:color="000000"/>
            </w:tcBorders>
          </w:tcPr>
          <w:p>
            <w:pPr>
              <w:rPr>
                <w:sz w:val="2"/>
                <w:szCs w:val="2"/>
              </w:rPr>
            </w:pPr>
          </w:p>
        </w:tc>
        <w:tc>
          <w:tcPr>
            <w:tcW w:w="1410" w:type="dxa"/>
            <w:tcBorders>
              <w:bottom w:val="single" w:sz="4" w:space="0" w:color="000000"/>
            </w:tcBorders>
          </w:tcPr>
          <w:p>
            <w:pPr>
              <w:pStyle w:val="TableParagraph"/>
              <w:spacing w:line="122" w:lineRule="exact"/>
              <w:ind w:left="155" w:right="188"/>
              <w:rPr>
                <w:sz w:val="16"/>
              </w:rPr>
            </w:pPr>
            <w:r>
              <w:rPr>
                <w:sz w:val="16"/>
              </w:rPr>
              <w:t>RR(95%CI)</w:t>
            </w:r>
          </w:p>
        </w:tc>
        <w:tc>
          <w:tcPr>
            <w:tcW w:w="1045" w:type="dxa"/>
            <w:vMerge/>
            <w:tcBorders>
              <w:top w:val="nil"/>
              <w:bottom w:val="single" w:sz="4" w:space="0" w:color="000000"/>
            </w:tcBorders>
          </w:tcPr>
          <w:p>
            <w:pPr>
              <w:rPr>
                <w:sz w:val="2"/>
                <w:szCs w:val="2"/>
              </w:rPr>
            </w:pPr>
          </w:p>
        </w:tc>
      </w:tr>
      <w:tr>
        <w:trPr>
          <w:trHeight w:val="214" w:hRule="atLeast"/>
        </w:trPr>
        <w:tc>
          <w:tcPr>
            <w:tcW w:w="1852" w:type="dxa"/>
            <w:tcBorders>
              <w:top w:val="single" w:sz="4" w:space="0" w:color="000000"/>
            </w:tcBorders>
          </w:tcPr>
          <w:p>
            <w:pPr>
              <w:pStyle w:val="TableParagraph"/>
              <w:spacing w:line="189" w:lineRule="exact" w:before="6"/>
              <w:ind w:left="407"/>
              <w:jc w:val="left"/>
              <w:rPr>
                <w:sz w:val="16"/>
              </w:rPr>
            </w:pPr>
            <w:r>
              <w:rPr>
                <w:sz w:val="16"/>
              </w:rPr>
              <w:t>LA + Ena. vs. Ena.</w:t>
            </w:r>
          </w:p>
        </w:tc>
        <w:tc>
          <w:tcPr>
            <w:tcW w:w="955" w:type="dxa"/>
            <w:tcBorders>
              <w:top w:val="single" w:sz="4" w:space="0" w:color="000000"/>
            </w:tcBorders>
          </w:tcPr>
          <w:p>
            <w:pPr>
              <w:pStyle w:val="TableParagraph"/>
              <w:spacing w:line="189" w:lineRule="exact" w:before="6"/>
              <w:ind w:left="409" w:right="342"/>
              <w:rPr>
                <w:sz w:val="16"/>
              </w:rPr>
            </w:pPr>
            <w:r>
              <w:rPr>
                <w:sz w:val="16"/>
              </w:rPr>
              <w:t>20</w:t>
            </w:r>
          </w:p>
        </w:tc>
        <w:tc>
          <w:tcPr>
            <w:tcW w:w="1031" w:type="dxa"/>
            <w:tcBorders>
              <w:top w:val="single" w:sz="4" w:space="0" w:color="000000"/>
            </w:tcBorders>
          </w:tcPr>
          <w:p>
            <w:pPr>
              <w:pStyle w:val="TableParagraph"/>
              <w:spacing w:line="189" w:lineRule="exact" w:before="6"/>
              <w:ind w:left="180" w:right="180"/>
              <w:rPr>
                <w:sz w:val="16"/>
              </w:rPr>
            </w:pPr>
            <w:r>
              <w:rPr>
                <w:sz w:val="16"/>
              </w:rPr>
              <w:t>983/1033</w:t>
            </w:r>
          </w:p>
        </w:tc>
        <w:tc>
          <w:tcPr>
            <w:tcW w:w="1008" w:type="dxa"/>
            <w:tcBorders>
              <w:top w:val="single" w:sz="4" w:space="0" w:color="000000"/>
            </w:tcBorders>
          </w:tcPr>
          <w:p>
            <w:pPr>
              <w:pStyle w:val="TableParagraph"/>
              <w:spacing w:line="189" w:lineRule="exact" w:before="6"/>
              <w:ind w:left="179" w:right="159"/>
              <w:rPr>
                <w:sz w:val="16"/>
              </w:rPr>
            </w:pPr>
            <w:r>
              <w:rPr>
                <w:sz w:val="16"/>
              </w:rPr>
              <w:t>811/1025</w:t>
            </w:r>
          </w:p>
        </w:tc>
        <w:tc>
          <w:tcPr>
            <w:tcW w:w="720" w:type="dxa"/>
            <w:tcBorders>
              <w:top w:val="single" w:sz="4" w:space="0" w:color="000000"/>
            </w:tcBorders>
          </w:tcPr>
          <w:p>
            <w:pPr>
              <w:pStyle w:val="TableParagraph"/>
              <w:spacing w:line="189" w:lineRule="exact" w:before="6"/>
              <w:ind w:right="262"/>
              <w:jc w:val="right"/>
              <w:rPr>
                <w:sz w:val="16"/>
              </w:rPr>
            </w:pPr>
            <w:r>
              <w:rPr>
                <w:sz w:val="16"/>
              </w:rPr>
              <w:t>21%</w:t>
            </w:r>
          </w:p>
        </w:tc>
        <w:tc>
          <w:tcPr>
            <w:tcW w:w="799" w:type="dxa"/>
            <w:tcBorders>
              <w:top w:val="single" w:sz="4" w:space="0" w:color="000000"/>
            </w:tcBorders>
          </w:tcPr>
          <w:p>
            <w:pPr>
              <w:pStyle w:val="TableParagraph"/>
              <w:spacing w:line="189" w:lineRule="exact" w:before="6"/>
              <w:ind w:left="263"/>
              <w:jc w:val="left"/>
              <w:rPr>
                <w:sz w:val="16"/>
              </w:rPr>
            </w:pPr>
            <w:r>
              <w:rPr>
                <w:sz w:val="16"/>
              </w:rPr>
              <w:t>0.20</w:t>
            </w:r>
          </w:p>
        </w:tc>
        <w:tc>
          <w:tcPr>
            <w:tcW w:w="906" w:type="dxa"/>
            <w:tcBorders>
              <w:top w:val="single" w:sz="4" w:space="0" w:color="000000"/>
            </w:tcBorders>
          </w:tcPr>
          <w:p>
            <w:pPr>
              <w:pStyle w:val="TableParagraph"/>
              <w:spacing w:line="194" w:lineRule="exact"/>
              <w:ind w:left="328"/>
              <w:jc w:val="left"/>
              <w:rPr>
                <w:rFonts w:ascii="宋体" w:eastAsia="宋体" w:hint="eastAsia"/>
                <w:sz w:val="16"/>
              </w:rPr>
            </w:pPr>
            <w:r>
              <w:rPr>
                <w:rFonts w:ascii="宋体" w:eastAsia="宋体" w:hint="eastAsia"/>
                <w:sz w:val="16"/>
              </w:rPr>
              <w:t>固定</w:t>
            </w:r>
          </w:p>
        </w:tc>
        <w:tc>
          <w:tcPr>
            <w:tcW w:w="1410" w:type="dxa"/>
            <w:tcBorders>
              <w:top w:val="single" w:sz="4" w:space="0" w:color="000000"/>
            </w:tcBorders>
          </w:tcPr>
          <w:p>
            <w:pPr>
              <w:pStyle w:val="TableParagraph"/>
              <w:spacing w:line="189" w:lineRule="exact" w:before="6"/>
              <w:ind w:left="157" w:right="188"/>
              <w:rPr>
                <w:sz w:val="16"/>
              </w:rPr>
            </w:pPr>
            <w:r>
              <w:rPr>
                <w:sz w:val="16"/>
              </w:rPr>
              <w:t>1.20(1.16, 1.24)</w:t>
            </w:r>
          </w:p>
        </w:tc>
        <w:tc>
          <w:tcPr>
            <w:tcW w:w="1045" w:type="dxa"/>
            <w:tcBorders>
              <w:top w:val="single" w:sz="4" w:space="0" w:color="000000"/>
            </w:tcBorders>
          </w:tcPr>
          <w:p>
            <w:pPr>
              <w:pStyle w:val="TableParagraph"/>
              <w:spacing w:line="189" w:lineRule="exact" w:before="6"/>
              <w:ind w:left="188" w:right="174"/>
              <w:rPr>
                <w:sz w:val="16"/>
              </w:rPr>
            </w:pPr>
            <w:r>
              <w:rPr>
                <w:sz w:val="16"/>
              </w:rPr>
              <w:t>&lt;0.000 01</w:t>
            </w:r>
          </w:p>
        </w:tc>
      </w:tr>
      <w:tr>
        <w:trPr>
          <w:trHeight w:val="206" w:hRule="atLeast"/>
        </w:trPr>
        <w:tc>
          <w:tcPr>
            <w:tcW w:w="1852" w:type="dxa"/>
          </w:tcPr>
          <w:p>
            <w:pPr>
              <w:pStyle w:val="TableParagraph"/>
              <w:spacing w:line="186" w:lineRule="exact"/>
              <w:ind w:left="395"/>
              <w:jc w:val="left"/>
              <w:rPr>
                <w:sz w:val="16"/>
              </w:rPr>
            </w:pPr>
            <w:r>
              <w:rPr>
                <w:sz w:val="16"/>
              </w:rPr>
              <w:t>LA + Ben. vs. Ben.</w:t>
            </w:r>
          </w:p>
        </w:tc>
        <w:tc>
          <w:tcPr>
            <w:tcW w:w="955" w:type="dxa"/>
          </w:tcPr>
          <w:p>
            <w:pPr>
              <w:pStyle w:val="TableParagraph"/>
              <w:spacing w:line="186" w:lineRule="exact"/>
              <w:ind w:left="409" w:right="342"/>
              <w:rPr>
                <w:sz w:val="16"/>
              </w:rPr>
            </w:pPr>
            <w:r>
              <w:rPr>
                <w:sz w:val="16"/>
              </w:rPr>
              <w:t>10</w:t>
            </w:r>
          </w:p>
        </w:tc>
        <w:tc>
          <w:tcPr>
            <w:tcW w:w="1031" w:type="dxa"/>
          </w:tcPr>
          <w:p>
            <w:pPr>
              <w:pStyle w:val="TableParagraph"/>
              <w:spacing w:line="186" w:lineRule="exact"/>
              <w:ind w:left="180" w:right="178"/>
              <w:rPr>
                <w:sz w:val="16"/>
              </w:rPr>
            </w:pPr>
            <w:r>
              <w:rPr>
                <w:sz w:val="16"/>
              </w:rPr>
              <w:t>504/531</w:t>
            </w:r>
          </w:p>
        </w:tc>
        <w:tc>
          <w:tcPr>
            <w:tcW w:w="1008" w:type="dxa"/>
          </w:tcPr>
          <w:p>
            <w:pPr>
              <w:pStyle w:val="TableParagraph"/>
              <w:spacing w:line="186" w:lineRule="exact"/>
              <w:ind w:left="179" w:right="157"/>
              <w:rPr>
                <w:sz w:val="16"/>
              </w:rPr>
            </w:pPr>
            <w:r>
              <w:rPr>
                <w:sz w:val="16"/>
              </w:rPr>
              <w:t>397/531</w:t>
            </w:r>
          </w:p>
        </w:tc>
        <w:tc>
          <w:tcPr>
            <w:tcW w:w="720" w:type="dxa"/>
          </w:tcPr>
          <w:p>
            <w:pPr>
              <w:pStyle w:val="TableParagraph"/>
              <w:spacing w:line="186" w:lineRule="exact"/>
              <w:ind w:right="262"/>
              <w:jc w:val="right"/>
              <w:rPr>
                <w:sz w:val="16"/>
              </w:rPr>
            </w:pPr>
            <w:r>
              <w:rPr>
                <w:sz w:val="16"/>
              </w:rPr>
              <w:t>47%</w:t>
            </w:r>
          </w:p>
        </w:tc>
        <w:tc>
          <w:tcPr>
            <w:tcW w:w="799" w:type="dxa"/>
          </w:tcPr>
          <w:p>
            <w:pPr>
              <w:pStyle w:val="TableParagraph"/>
              <w:spacing w:line="186" w:lineRule="exact"/>
              <w:ind w:left="263"/>
              <w:jc w:val="left"/>
              <w:rPr>
                <w:sz w:val="16"/>
              </w:rPr>
            </w:pPr>
            <w:r>
              <w:rPr>
                <w:sz w:val="16"/>
              </w:rPr>
              <w:t>0.05</w:t>
            </w:r>
          </w:p>
        </w:tc>
        <w:tc>
          <w:tcPr>
            <w:tcW w:w="906" w:type="dxa"/>
          </w:tcPr>
          <w:p>
            <w:pPr>
              <w:pStyle w:val="TableParagraph"/>
              <w:spacing w:line="186" w:lineRule="exact"/>
              <w:ind w:left="328"/>
              <w:jc w:val="left"/>
              <w:rPr>
                <w:rFonts w:ascii="宋体" w:eastAsia="宋体" w:hint="eastAsia"/>
                <w:sz w:val="16"/>
              </w:rPr>
            </w:pPr>
            <w:r>
              <w:rPr>
                <w:rFonts w:ascii="宋体" w:eastAsia="宋体" w:hint="eastAsia"/>
                <w:sz w:val="16"/>
              </w:rPr>
              <w:t>固定</w:t>
            </w:r>
          </w:p>
        </w:tc>
        <w:tc>
          <w:tcPr>
            <w:tcW w:w="1410" w:type="dxa"/>
          </w:tcPr>
          <w:p>
            <w:pPr>
              <w:pStyle w:val="TableParagraph"/>
              <w:spacing w:line="186" w:lineRule="exact"/>
              <w:ind w:left="157" w:right="188"/>
              <w:rPr>
                <w:sz w:val="16"/>
              </w:rPr>
            </w:pPr>
            <w:r>
              <w:rPr>
                <w:sz w:val="16"/>
              </w:rPr>
              <w:t>1.27(1.20, 1.34)</w:t>
            </w:r>
          </w:p>
        </w:tc>
        <w:tc>
          <w:tcPr>
            <w:tcW w:w="1045" w:type="dxa"/>
          </w:tcPr>
          <w:p>
            <w:pPr>
              <w:pStyle w:val="TableParagraph"/>
              <w:spacing w:line="186" w:lineRule="exact"/>
              <w:ind w:left="188" w:right="174"/>
              <w:rPr>
                <w:sz w:val="16"/>
              </w:rPr>
            </w:pPr>
            <w:r>
              <w:rPr>
                <w:sz w:val="16"/>
              </w:rPr>
              <w:t>&lt;0.000 01</w:t>
            </w:r>
          </w:p>
        </w:tc>
      </w:tr>
      <w:tr>
        <w:trPr>
          <w:trHeight w:val="211" w:hRule="atLeast"/>
        </w:trPr>
        <w:tc>
          <w:tcPr>
            <w:tcW w:w="1852" w:type="dxa"/>
          </w:tcPr>
          <w:p>
            <w:pPr>
              <w:pStyle w:val="TableParagraph"/>
              <w:spacing w:line="192" w:lineRule="exact"/>
              <w:ind w:left="400"/>
              <w:jc w:val="left"/>
              <w:rPr>
                <w:sz w:val="16"/>
              </w:rPr>
            </w:pPr>
            <w:r>
              <w:rPr>
                <w:sz w:val="16"/>
              </w:rPr>
              <w:t>LA + Cap. vs. Cap.</w:t>
            </w:r>
          </w:p>
        </w:tc>
        <w:tc>
          <w:tcPr>
            <w:tcW w:w="955" w:type="dxa"/>
          </w:tcPr>
          <w:p>
            <w:pPr>
              <w:pStyle w:val="TableParagraph"/>
              <w:spacing w:line="192" w:lineRule="exact"/>
              <w:ind w:left="67"/>
              <w:rPr>
                <w:sz w:val="16"/>
              </w:rPr>
            </w:pPr>
            <w:r>
              <w:rPr>
                <w:w w:val="100"/>
                <w:sz w:val="16"/>
              </w:rPr>
              <w:t>3</w:t>
            </w:r>
          </w:p>
        </w:tc>
        <w:tc>
          <w:tcPr>
            <w:tcW w:w="1031" w:type="dxa"/>
          </w:tcPr>
          <w:p>
            <w:pPr>
              <w:pStyle w:val="TableParagraph"/>
              <w:spacing w:line="192" w:lineRule="exact"/>
              <w:ind w:left="180" w:right="178"/>
              <w:rPr>
                <w:sz w:val="16"/>
              </w:rPr>
            </w:pPr>
            <w:r>
              <w:rPr>
                <w:sz w:val="16"/>
              </w:rPr>
              <w:t>149/159</w:t>
            </w:r>
          </w:p>
        </w:tc>
        <w:tc>
          <w:tcPr>
            <w:tcW w:w="1008" w:type="dxa"/>
          </w:tcPr>
          <w:p>
            <w:pPr>
              <w:pStyle w:val="TableParagraph"/>
              <w:spacing w:line="192" w:lineRule="exact"/>
              <w:ind w:left="179" w:right="157"/>
              <w:rPr>
                <w:sz w:val="16"/>
              </w:rPr>
            </w:pPr>
            <w:r>
              <w:rPr>
                <w:sz w:val="16"/>
              </w:rPr>
              <w:t>122/159</w:t>
            </w:r>
          </w:p>
        </w:tc>
        <w:tc>
          <w:tcPr>
            <w:tcW w:w="720" w:type="dxa"/>
          </w:tcPr>
          <w:p>
            <w:pPr>
              <w:pStyle w:val="TableParagraph"/>
              <w:spacing w:line="192" w:lineRule="exact"/>
              <w:ind w:right="303"/>
              <w:jc w:val="right"/>
              <w:rPr>
                <w:sz w:val="16"/>
              </w:rPr>
            </w:pPr>
            <w:r>
              <w:rPr>
                <w:sz w:val="16"/>
              </w:rPr>
              <w:t>0%</w:t>
            </w:r>
          </w:p>
        </w:tc>
        <w:tc>
          <w:tcPr>
            <w:tcW w:w="799" w:type="dxa"/>
          </w:tcPr>
          <w:p>
            <w:pPr>
              <w:pStyle w:val="TableParagraph"/>
              <w:spacing w:line="192" w:lineRule="exact"/>
              <w:ind w:left="263"/>
              <w:jc w:val="left"/>
              <w:rPr>
                <w:sz w:val="16"/>
              </w:rPr>
            </w:pPr>
            <w:r>
              <w:rPr>
                <w:sz w:val="16"/>
              </w:rPr>
              <w:t>0.73</w:t>
            </w:r>
          </w:p>
        </w:tc>
        <w:tc>
          <w:tcPr>
            <w:tcW w:w="906" w:type="dxa"/>
          </w:tcPr>
          <w:p>
            <w:pPr>
              <w:pStyle w:val="TableParagraph"/>
              <w:spacing w:line="192" w:lineRule="exact"/>
              <w:ind w:left="328"/>
              <w:jc w:val="left"/>
              <w:rPr>
                <w:rFonts w:ascii="宋体" w:eastAsia="宋体" w:hint="eastAsia"/>
                <w:sz w:val="16"/>
              </w:rPr>
            </w:pPr>
            <w:r>
              <w:rPr>
                <w:rFonts w:ascii="宋体" w:eastAsia="宋体" w:hint="eastAsia"/>
                <w:sz w:val="16"/>
              </w:rPr>
              <w:t>固定</w:t>
            </w:r>
          </w:p>
        </w:tc>
        <w:tc>
          <w:tcPr>
            <w:tcW w:w="1410" w:type="dxa"/>
          </w:tcPr>
          <w:p>
            <w:pPr>
              <w:pStyle w:val="TableParagraph"/>
              <w:spacing w:line="192" w:lineRule="exact"/>
              <w:ind w:left="157" w:right="188"/>
              <w:rPr>
                <w:sz w:val="16"/>
              </w:rPr>
            </w:pPr>
            <w:r>
              <w:rPr>
                <w:sz w:val="16"/>
              </w:rPr>
              <w:t>1.22(1.11, 1.34)</w:t>
            </w:r>
          </w:p>
        </w:tc>
        <w:tc>
          <w:tcPr>
            <w:tcW w:w="1045" w:type="dxa"/>
          </w:tcPr>
          <w:p>
            <w:pPr>
              <w:pStyle w:val="TableParagraph"/>
              <w:spacing w:line="192" w:lineRule="exact"/>
              <w:ind w:left="188" w:right="174"/>
              <w:rPr>
                <w:sz w:val="16"/>
              </w:rPr>
            </w:pPr>
            <w:r>
              <w:rPr>
                <w:sz w:val="16"/>
              </w:rPr>
              <w:t>&lt;0.000 1</w:t>
            </w:r>
          </w:p>
        </w:tc>
      </w:tr>
      <w:tr>
        <w:trPr>
          <w:trHeight w:val="197" w:hRule="atLeast"/>
        </w:trPr>
        <w:tc>
          <w:tcPr>
            <w:tcW w:w="1852" w:type="dxa"/>
          </w:tcPr>
          <w:p>
            <w:pPr>
              <w:pStyle w:val="TableParagraph"/>
              <w:spacing w:line="178" w:lineRule="exact"/>
              <w:ind w:left="426"/>
              <w:jc w:val="left"/>
              <w:rPr>
                <w:sz w:val="16"/>
              </w:rPr>
            </w:pPr>
            <w:r>
              <w:rPr>
                <w:sz w:val="16"/>
              </w:rPr>
              <w:t>LA + Fos. vs. Fos.</w:t>
            </w:r>
          </w:p>
        </w:tc>
        <w:tc>
          <w:tcPr>
            <w:tcW w:w="955" w:type="dxa"/>
          </w:tcPr>
          <w:p>
            <w:pPr>
              <w:pStyle w:val="TableParagraph"/>
              <w:spacing w:line="178" w:lineRule="exact"/>
              <w:ind w:left="67"/>
              <w:rPr>
                <w:sz w:val="16"/>
              </w:rPr>
            </w:pPr>
            <w:r>
              <w:rPr>
                <w:w w:val="100"/>
                <w:sz w:val="16"/>
              </w:rPr>
              <w:t>1</w:t>
            </w:r>
          </w:p>
        </w:tc>
        <w:tc>
          <w:tcPr>
            <w:tcW w:w="1031" w:type="dxa"/>
          </w:tcPr>
          <w:p>
            <w:pPr>
              <w:pStyle w:val="TableParagraph"/>
              <w:spacing w:line="178" w:lineRule="exact"/>
              <w:ind w:left="180" w:right="178"/>
              <w:rPr>
                <w:sz w:val="16"/>
              </w:rPr>
            </w:pPr>
            <w:r>
              <w:rPr>
                <w:sz w:val="16"/>
              </w:rPr>
              <w:t>44/45</w:t>
            </w:r>
          </w:p>
        </w:tc>
        <w:tc>
          <w:tcPr>
            <w:tcW w:w="1008" w:type="dxa"/>
          </w:tcPr>
          <w:p>
            <w:pPr>
              <w:pStyle w:val="TableParagraph"/>
              <w:spacing w:line="178" w:lineRule="exact"/>
              <w:ind w:left="179" w:right="157"/>
              <w:rPr>
                <w:sz w:val="16"/>
              </w:rPr>
            </w:pPr>
            <w:r>
              <w:rPr>
                <w:sz w:val="16"/>
              </w:rPr>
              <w:t>34/45</w:t>
            </w:r>
          </w:p>
        </w:tc>
        <w:tc>
          <w:tcPr>
            <w:tcW w:w="720" w:type="dxa"/>
          </w:tcPr>
          <w:p>
            <w:pPr>
              <w:pStyle w:val="TableParagraph"/>
              <w:spacing w:line="178" w:lineRule="exact"/>
              <w:ind w:right="306"/>
              <w:jc w:val="right"/>
              <w:rPr>
                <w:sz w:val="16"/>
              </w:rPr>
            </w:pPr>
            <w:r>
              <w:rPr>
                <w:sz w:val="16"/>
              </w:rPr>
              <w:t>NA</w:t>
            </w:r>
          </w:p>
        </w:tc>
        <w:tc>
          <w:tcPr>
            <w:tcW w:w="799" w:type="dxa"/>
          </w:tcPr>
          <w:p>
            <w:pPr>
              <w:pStyle w:val="TableParagraph"/>
              <w:spacing w:line="178" w:lineRule="exact"/>
              <w:ind w:left="307"/>
              <w:jc w:val="left"/>
              <w:rPr>
                <w:sz w:val="16"/>
              </w:rPr>
            </w:pPr>
            <w:r>
              <w:rPr>
                <w:sz w:val="16"/>
              </w:rPr>
              <w:t>NA</w:t>
            </w:r>
          </w:p>
        </w:tc>
        <w:tc>
          <w:tcPr>
            <w:tcW w:w="906" w:type="dxa"/>
          </w:tcPr>
          <w:p>
            <w:pPr>
              <w:pStyle w:val="TableParagraph"/>
              <w:spacing w:line="178" w:lineRule="exact"/>
              <w:ind w:left="391"/>
              <w:jc w:val="left"/>
              <w:rPr>
                <w:sz w:val="16"/>
              </w:rPr>
            </w:pPr>
            <w:r>
              <w:rPr>
                <w:sz w:val="16"/>
              </w:rPr>
              <w:t>NA</w:t>
            </w:r>
          </w:p>
        </w:tc>
        <w:tc>
          <w:tcPr>
            <w:tcW w:w="1410" w:type="dxa"/>
          </w:tcPr>
          <w:p>
            <w:pPr>
              <w:pStyle w:val="TableParagraph"/>
              <w:spacing w:line="178" w:lineRule="exact"/>
              <w:ind w:left="157" w:right="188"/>
              <w:rPr>
                <w:sz w:val="16"/>
              </w:rPr>
            </w:pPr>
            <w:r>
              <w:rPr>
                <w:sz w:val="16"/>
              </w:rPr>
              <w:t>1.29(1.09, 1.54)</w:t>
            </w:r>
          </w:p>
        </w:tc>
        <w:tc>
          <w:tcPr>
            <w:tcW w:w="1045" w:type="dxa"/>
          </w:tcPr>
          <w:p>
            <w:pPr>
              <w:pStyle w:val="TableParagraph"/>
              <w:spacing w:line="178" w:lineRule="exact"/>
              <w:ind w:left="188" w:right="174"/>
              <w:rPr>
                <w:sz w:val="16"/>
              </w:rPr>
            </w:pPr>
            <w:r>
              <w:rPr>
                <w:sz w:val="16"/>
              </w:rPr>
              <w:t>0.003</w:t>
            </w:r>
          </w:p>
        </w:tc>
      </w:tr>
      <w:tr>
        <w:trPr>
          <w:trHeight w:val="181" w:hRule="atLeast"/>
        </w:trPr>
        <w:tc>
          <w:tcPr>
            <w:tcW w:w="1852" w:type="dxa"/>
            <w:tcBorders>
              <w:bottom w:val="single" w:sz="4" w:space="0" w:color="000000"/>
            </w:tcBorders>
          </w:tcPr>
          <w:p>
            <w:pPr>
              <w:pStyle w:val="TableParagraph"/>
              <w:spacing w:line="162" w:lineRule="exact"/>
              <w:ind w:left="354"/>
              <w:jc w:val="left"/>
              <w:rPr>
                <w:sz w:val="16"/>
              </w:rPr>
            </w:pPr>
            <w:r>
              <w:rPr>
                <w:sz w:val="16"/>
              </w:rPr>
              <w:t>LA + Ram. vs. Ram.</w:t>
            </w:r>
          </w:p>
        </w:tc>
        <w:tc>
          <w:tcPr>
            <w:tcW w:w="955" w:type="dxa"/>
            <w:tcBorders>
              <w:bottom w:val="single" w:sz="4" w:space="0" w:color="000000"/>
            </w:tcBorders>
          </w:tcPr>
          <w:p>
            <w:pPr>
              <w:pStyle w:val="TableParagraph"/>
              <w:spacing w:line="162" w:lineRule="exact"/>
              <w:ind w:left="67"/>
              <w:rPr>
                <w:sz w:val="16"/>
              </w:rPr>
            </w:pPr>
            <w:r>
              <w:rPr>
                <w:w w:val="100"/>
                <w:sz w:val="16"/>
              </w:rPr>
              <w:t>1</w:t>
            </w:r>
          </w:p>
        </w:tc>
        <w:tc>
          <w:tcPr>
            <w:tcW w:w="1031" w:type="dxa"/>
            <w:tcBorders>
              <w:bottom w:val="single" w:sz="4" w:space="0" w:color="000000"/>
            </w:tcBorders>
          </w:tcPr>
          <w:p>
            <w:pPr>
              <w:pStyle w:val="TableParagraph"/>
              <w:spacing w:line="162" w:lineRule="exact"/>
              <w:ind w:left="180" w:right="178"/>
              <w:rPr>
                <w:sz w:val="16"/>
              </w:rPr>
            </w:pPr>
            <w:r>
              <w:rPr>
                <w:sz w:val="16"/>
              </w:rPr>
              <w:t>46/52</w:t>
            </w:r>
          </w:p>
        </w:tc>
        <w:tc>
          <w:tcPr>
            <w:tcW w:w="1008" w:type="dxa"/>
            <w:tcBorders>
              <w:bottom w:val="single" w:sz="4" w:space="0" w:color="000000"/>
            </w:tcBorders>
          </w:tcPr>
          <w:p>
            <w:pPr>
              <w:pStyle w:val="TableParagraph"/>
              <w:spacing w:line="162" w:lineRule="exact"/>
              <w:ind w:left="179" w:right="157"/>
              <w:rPr>
                <w:sz w:val="16"/>
              </w:rPr>
            </w:pPr>
            <w:r>
              <w:rPr>
                <w:sz w:val="16"/>
              </w:rPr>
              <w:t>35/54</w:t>
            </w:r>
          </w:p>
        </w:tc>
        <w:tc>
          <w:tcPr>
            <w:tcW w:w="720" w:type="dxa"/>
            <w:tcBorders>
              <w:bottom w:val="single" w:sz="4" w:space="0" w:color="000000"/>
            </w:tcBorders>
          </w:tcPr>
          <w:p>
            <w:pPr>
              <w:pStyle w:val="TableParagraph"/>
              <w:spacing w:line="162" w:lineRule="exact"/>
              <w:ind w:right="306"/>
              <w:jc w:val="right"/>
              <w:rPr>
                <w:sz w:val="16"/>
              </w:rPr>
            </w:pPr>
            <w:r>
              <w:rPr>
                <w:sz w:val="16"/>
              </w:rPr>
              <w:t>NA</w:t>
            </w:r>
          </w:p>
        </w:tc>
        <w:tc>
          <w:tcPr>
            <w:tcW w:w="799" w:type="dxa"/>
            <w:tcBorders>
              <w:bottom w:val="single" w:sz="4" w:space="0" w:color="000000"/>
            </w:tcBorders>
          </w:tcPr>
          <w:p>
            <w:pPr>
              <w:pStyle w:val="TableParagraph"/>
              <w:spacing w:line="162" w:lineRule="exact"/>
              <w:ind w:left="307"/>
              <w:jc w:val="left"/>
              <w:rPr>
                <w:sz w:val="16"/>
              </w:rPr>
            </w:pPr>
            <w:r>
              <w:rPr>
                <w:sz w:val="16"/>
              </w:rPr>
              <w:t>NA</w:t>
            </w:r>
          </w:p>
        </w:tc>
        <w:tc>
          <w:tcPr>
            <w:tcW w:w="906" w:type="dxa"/>
            <w:tcBorders>
              <w:bottom w:val="single" w:sz="4" w:space="0" w:color="000000"/>
            </w:tcBorders>
          </w:tcPr>
          <w:p>
            <w:pPr>
              <w:pStyle w:val="TableParagraph"/>
              <w:spacing w:line="162" w:lineRule="exact"/>
              <w:ind w:left="391"/>
              <w:jc w:val="left"/>
              <w:rPr>
                <w:sz w:val="16"/>
              </w:rPr>
            </w:pPr>
            <w:r>
              <w:rPr>
                <w:sz w:val="16"/>
              </w:rPr>
              <w:t>NA</w:t>
            </w:r>
          </w:p>
        </w:tc>
        <w:tc>
          <w:tcPr>
            <w:tcW w:w="1410" w:type="dxa"/>
            <w:tcBorders>
              <w:bottom w:val="single" w:sz="4" w:space="0" w:color="000000"/>
            </w:tcBorders>
          </w:tcPr>
          <w:p>
            <w:pPr>
              <w:pStyle w:val="TableParagraph"/>
              <w:spacing w:line="162" w:lineRule="exact"/>
              <w:ind w:left="157" w:right="188"/>
              <w:rPr>
                <w:sz w:val="16"/>
              </w:rPr>
            </w:pPr>
            <w:r>
              <w:rPr>
                <w:sz w:val="16"/>
              </w:rPr>
              <w:t>1.36(1.10, 1.70)</w:t>
            </w:r>
          </w:p>
        </w:tc>
        <w:tc>
          <w:tcPr>
            <w:tcW w:w="1045" w:type="dxa"/>
            <w:tcBorders>
              <w:bottom w:val="single" w:sz="4" w:space="0" w:color="000000"/>
            </w:tcBorders>
          </w:tcPr>
          <w:p>
            <w:pPr>
              <w:pStyle w:val="TableParagraph"/>
              <w:spacing w:line="162" w:lineRule="exact"/>
              <w:ind w:left="188" w:right="174"/>
              <w:rPr>
                <w:sz w:val="16"/>
              </w:rPr>
            </w:pPr>
            <w:r>
              <w:rPr>
                <w:sz w:val="16"/>
              </w:rPr>
              <w:t>0.006</w:t>
            </w:r>
          </w:p>
        </w:tc>
      </w:tr>
    </w:tbl>
    <w:p>
      <w:pPr>
        <w:pStyle w:val="ListParagraph"/>
        <w:numPr>
          <w:ilvl w:val="3"/>
          <w:numId w:val="1"/>
        </w:numPr>
        <w:tabs>
          <w:tab w:pos="1438" w:val="left" w:leader="none"/>
        </w:tabs>
        <w:spacing w:line="297" w:lineRule="auto" w:before="64" w:after="0"/>
        <w:ind w:left="237" w:right="268" w:firstLine="480"/>
        <w:jc w:val="both"/>
        <w:rPr>
          <w:sz w:val="24"/>
        </w:rPr>
      </w:pPr>
      <w:r>
        <w:rPr>
          <w:sz w:val="24"/>
        </w:rPr>
        <w:t>LA+ARB vs. ARB （1）SBP</w:t>
      </w:r>
      <w:r>
        <w:rPr>
          <w:spacing w:val="-14"/>
          <w:sz w:val="24"/>
        </w:rPr>
        <w:t> 降低值：共纳入 </w:t>
      </w:r>
      <w:r>
        <w:rPr>
          <w:sz w:val="24"/>
        </w:rPr>
        <w:t>61</w:t>
      </w:r>
      <w:r>
        <w:rPr>
          <w:spacing w:val="-14"/>
          <w:sz w:val="24"/>
        </w:rPr>
        <w:t> 个研究，试验组 </w:t>
      </w:r>
      <w:r>
        <w:rPr>
          <w:sz w:val="24"/>
        </w:rPr>
        <w:t>3017</w:t>
      </w:r>
      <w:r>
        <w:rPr>
          <w:spacing w:val="-12"/>
          <w:sz w:val="24"/>
        </w:rPr>
        <w:t> 例，对照</w:t>
      </w:r>
      <w:r>
        <w:rPr>
          <w:spacing w:val="-37"/>
          <w:sz w:val="24"/>
        </w:rPr>
        <w:t>组 </w:t>
      </w:r>
      <w:r>
        <w:rPr>
          <w:sz w:val="24"/>
        </w:rPr>
        <w:t>3003</w:t>
      </w:r>
      <w:r>
        <w:rPr>
          <w:spacing w:val="-13"/>
          <w:sz w:val="24"/>
        </w:rPr>
        <w:t> 例。根据用药方案差异，分为 </w:t>
      </w:r>
      <w:r>
        <w:rPr>
          <w:sz w:val="24"/>
        </w:rPr>
        <w:t>5</w:t>
      </w:r>
      <w:r>
        <w:rPr>
          <w:spacing w:val="-13"/>
          <w:sz w:val="24"/>
        </w:rPr>
        <w:t> 个亚组，</w:t>
      </w:r>
      <w:r>
        <w:rPr>
          <w:sz w:val="24"/>
        </w:rPr>
        <w:t>Meta</w:t>
      </w:r>
      <w:r>
        <w:rPr>
          <w:spacing w:val="-2"/>
          <w:sz w:val="24"/>
        </w:rPr>
        <w:t> 分析结果显示</w:t>
      </w:r>
      <w:r>
        <w:rPr>
          <w:sz w:val="24"/>
        </w:rPr>
        <w:t>（</w:t>
      </w:r>
      <w:r>
        <w:rPr>
          <w:spacing w:val="-31"/>
          <w:sz w:val="24"/>
        </w:rPr>
        <w:t>表 </w:t>
      </w:r>
      <w:r>
        <w:rPr>
          <w:spacing w:val="-6"/>
          <w:sz w:val="24"/>
        </w:rPr>
        <w:t>3）：</w:t>
      </w:r>
      <w:r>
        <w:rPr>
          <w:spacing w:val="-3"/>
          <w:sz w:val="24"/>
        </w:rPr>
        <w:t>试验组降低</w:t>
      </w:r>
    </w:p>
    <w:p>
      <w:pPr>
        <w:pStyle w:val="BodyText"/>
        <w:spacing w:line="306" w:lineRule="exact"/>
      </w:pPr>
      <w:r>
        <w:rPr/>
        <w:t>SBP</w:t>
      </w:r>
      <w:r>
        <w:rPr>
          <w:spacing w:val="-11"/>
        </w:rPr>
        <w:t> 的效果优于对照组，其差异有统计学意义</w:t>
      </w:r>
      <w:r>
        <w:rPr/>
        <w:t>[SMD=1.29,</w:t>
      </w:r>
      <w:r>
        <w:rPr>
          <w:spacing w:val="-60"/>
        </w:rPr>
        <w:t> </w:t>
      </w:r>
      <w:r>
        <w:rPr/>
        <w:t>95%CI(1.10,</w:t>
      </w:r>
      <w:r>
        <w:rPr>
          <w:spacing w:val="-60"/>
        </w:rPr>
        <w:t> </w:t>
      </w:r>
      <w:r>
        <w:rPr/>
        <w:t>1.48),</w:t>
      </w:r>
      <w:r>
        <w:rPr>
          <w:spacing w:val="-60"/>
        </w:rPr>
        <w:t> </w:t>
      </w:r>
      <w:r>
        <w:rPr/>
        <w:t>P&lt;0.000</w:t>
      </w:r>
      <w:r>
        <w:rPr>
          <w:spacing w:val="-60"/>
        </w:rPr>
        <w:t> </w:t>
      </w:r>
      <w:r>
        <w:rPr/>
        <w:t>01]。</w:t>
      </w:r>
    </w:p>
    <w:p>
      <w:pPr>
        <w:pStyle w:val="ListParagraph"/>
        <w:numPr>
          <w:ilvl w:val="0"/>
          <w:numId w:val="4"/>
        </w:numPr>
        <w:tabs>
          <w:tab w:pos="1319" w:val="left" w:leader="none"/>
        </w:tabs>
        <w:spacing w:line="297" w:lineRule="auto" w:before="72" w:after="0"/>
        <w:ind w:left="237" w:right="271" w:firstLine="480"/>
        <w:jc w:val="both"/>
        <w:rPr>
          <w:sz w:val="24"/>
        </w:rPr>
      </w:pPr>
      <w:r>
        <w:rPr>
          <w:sz w:val="24"/>
        </w:rPr>
        <w:t>DBP</w:t>
      </w:r>
      <w:r>
        <w:rPr>
          <w:spacing w:val="-16"/>
          <w:sz w:val="24"/>
        </w:rPr>
        <w:t> 降低值：共纳入 </w:t>
      </w:r>
      <w:r>
        <w:rPr>
          <w:sz w:val="24"/>
        </w:rPr>
        <w:t>61</w:t>
      </w:r>
      <w:r>
        <w:rPr>
          <w:spacing w:val="-16"/>
          <w:sz w:val="24"/>
        </w:rPr>
        <w:t> 个研究，试验组 </w:t>
      </w:r>
      <w:r>
        <w:rPr>
          <w:sz w:val="24"/>
        </w:rPr>
        <w:t>3017</w:t>
      </w:r>
      <w:r>
        <w:rPr>
          <w:spacing w:val="-20"/>
          <w:sz w:val="24"/>
        </w:rPr>
        <w:t> 例，对照组 </w:t>
      </w:r>
      <w:r>
        <w:rPr>
          <w:sz w:val="24"/>
        </w:rPr>
        <w:t>3003</w:t>
      </w:r>
      <w:r>
        <w:rPr>
          <w:spacing w:val="-12"/>
          <w:sz w:val="24"/>
        </w:rPr>
        <w:t> 例。根据用药方案</w:t>
      </w:r>
      <w:r>
        <w:rPr>
          <w:spacing w:val="-11"/>
          <w:sz w:val="24"/>
        </w:rPr>
        <w:t>差异，分为 </w:t>
      </w:r>
      <w:r>
        <w:rPr>
          <w:sz w:val="24"/>
        </w:rPr>
        <w:t>5</w:t>
      </w:r>
      <w:r>
        <w:rPr>
          <w:spacing w:val="-15"/>
          <w:sz w:val="24"/>
        </w:rPr>
        <w:t> 个亚组</w:t>
      </w:r>
      <w:r>
        <w:rPr>
          <w:sz w:val="24"/>
        </w:rPr>
        <w:t>，Meta 分析结果显示（</w:t>
      </w:r>
      <w:r>
        <w:rPr>
          <w:spacing w:val="-30"/>
          <w:sz w:val="24"/>
        </w:rPr>
        <w:t>表 </w:t>
      </w:r>
      <w:r>
        <w:rPr>
          <w:sz w:val="24"/>
        </w:rPr>
        <w:t>3）：</w:t>
      </w:r>
      <w:r>
        <w:rPr>
          <w:spacing w:val="-10"/>
          <w:sz w:val="24"/>
        </w:rPr>
        <w:t>试验组降低 </w:t>
      </w:r>
      <w:r>
        <w:rPr>
          <w:sz w:val="24"/>
        </w:rPr>
        <w:t>DBP</w:t>
      </w:r>
      <w:r>
        <w:rPr>
          <w:spacing w:val="-8"/>
          <w:sz w:val="24"/>
        </w:rPr>
        <w:t> 的效果优于对照组， 其差异有统计学意义[SMD=0.94,</w:t>
      </w:r>
      <w:r>
        <w:rPr>
          <w:spacing w:val="-1"/>
          <w:sz w:val="24"/>
        </w:rPr>
        <w:t> </w:t>
      </w:r>
      <w:r>
        <w:rPr>
          <w:sz w:val="24"/>
        </w:rPr>
        <w:t>95%CI(0.79, 1.09), P&lt;0.000 01]。</w:t>
      </w:r>
    </w:p>
    <w:p>
      <w:pPr>
        <w:pStyle w:val="ListParagraph"/>
        <w:numPr>
          <w:ilvl w:val="0"/>
          <w:numId w:val="4"/>
        </w:numPr>
        <w:tabs>
          <w:tab w:pos="1319" w:val="left" w:leader="none"/>
        </w:tabs>
        <w:spacing w:line="297" w:lineRule="auto" w:before="0" w:after="0"/>
        <w:ind w:left="237" w:right="271" w:firstLine="480"/>
        <w:jc w:val="both"/>
        <w:rPr>
          <w:sz w:val="24"/>
        </w:rPr>
      </w:pPr>
      <w:r>
        <w:rPr>
          <w:spacing w:val="-12"/>
          <w:sz w:val="24"/>
        </w:rPr>
        <w:t>总有效率：共纳入 </w:t>
      </w:r>
      <w:r>
        <w:rPr>
          <w:sz w:val="24"/>
        </w:rPr>
        <w:t>52</w:t>
      </w:r>
      <w:r>
        <w:rPr>
          <w:spacing w:val="-15"/>
          <w:sz w:val="24"/>
        </w:rPr>
        <w:t> 个研究，其中试验组 </w:t>
      </w:r>
      <w:r>
        <w:rPr>
          <w:sz w:val="24"/>
        </w:rPr>
        <w:t>2809</w:t>
      </w:r>
      <w:r>
        <w:rPr>
          <w:spacing w:val="-22"/>
          <w:sz w:val="24"/>
        </w:rPr>
        <w:t> 例，对照组 </w:t>
      </w:r>
      <w:r>
        <w:rPr>
          <w:sz w:val="24"/>
        </w:rPr>
        <w:t>2802</w:t>
      </w:r>
      <w:r>
        <w:rPr>
          <w:spacing w:val="-13"/>
          <w:sz w:val="24"/>
        </w:rPr>
        <w:t> 例。根据用药 </w:t>
      </w:r>
      <w:r>
        <w:rPr>
          <w:spacing w:val="-12"/>
          <w:sz w:val="24"/>
        </w:rPr>
        <w:t>方案差异，分为 </w:t>
      </w:r>
      <w:r>
        <w:rPr>
          <w:sz w:val="24"/>
        </w:rPr>
        <w:t>5</w:t>
      </w:r>
      <w:r>
        <w:rPr>
          <w:spacing w:val="-15"/>
          <w:sz w:val="24"/>
        </w:rPr>
        <w:t> 个亚组</w:t>
      </w:r>
      <w:r>
        <w:rPr>
          <w:sz w:val="24"/>
        </w:rPr>
        <w:t>，Meta 分析结果显示（</w:t>
      </w:r>
      <w:r>
        <w:rPr>
          <w:spacing w:val="-30"/>
          <w:sz w:val="24"/>
        </w:rPr>
        <w:t>表 </w:t>
      </w:r>
      <w:r>
        <w:rPr>
          <w:sz w:val="24"/>
        </w:rPr>
        <w:t>4）：试验组总有效率优于对照组，其差异有统计学意义[RR=1.22,</w:t>
      </w:r>
      <w:r>
        <w:rPr>
          <w:spacing w:val="-1"/>
          <w:sz w:val="24"/>
        </w:rPr>
        <w:t> </w:t>
      </w:r>
      <w:r>
        <w:rPr>
          <w:sz w:val="24"/>
        </w:rPr>
        <w:t>95%CI(1.20, 1.25), P&lt;0.000 01]。</w:t>
      </w:r>
    </w:p>
    <w:p>
      <w:pPr>
        <w:spacing w:line="234" w:lineRule="exact" w:before="0" w:after="7"/>
        <w:ind w:left="237" w:right="0" w:firstLine="0"/>
        <w:jc w:val="left"/>
        <w:rPr>
          <w:rFonts w:ascii="华文楷体" w:eastAsia="华文楷体" w:hint="eastAsia"/>
          <w:sz w:val="18"/>
        </w:rPr>
      </w:pPr>
      <w:r>
        <w:rPr/>
        <w:pict>
          <v:group style="position:absolute;margin-left:245.570007pt;margin-top:23.085028pt;width:139.35pt;height:.5pt;mso-position-horizontal-relative:page;mso-position-vertical-relative:paragraph;z-index:-84088" coordorigin="4911,462" coordsize="2787,10">
            <v:line style="position:absolute" from="4911,467" to="5605,467" stroked="true" strokeweight=".47998pt" strokecolor="#000000">
              <v:stroke dashstyle="solid"/>
            </v:line>
            <v:rect style="position:absolute;left:5605;top:461;width:10;height:10" filled="true" fillcolor="#000000" stroked="false">
              <v:fill type="solid"/>
            </v:rect>
            <v:line style="position:absolute" from="5615,467" to="6171,467" stroked="true" strokeweight=".47998pt" strokecolor="#000000">
              <v:stroke dashstyle="solid"/>
            </v:line>
            <v:rect style="position:absolute;left:6171;top:461;width:10;height:10" filled="true" fillcolor="#000000" stroked="false">
              <v:fill type="solid"/>
            </v:rect>
            <v:line style="position:absolute" from="6181,467" to="6726,467" stroked="true" strokeweight=".47998pt" strokecolor="#000000">
              <v:stroke dashstyle="solid"/>
            </v:line>
            <v:rect style="position:absolute;left:6726;top:461;width:10;height:10" filled="true" fillcolor="#000000" stroked="false">
              <v:fill type="solid"/>
            </v:rect>
            <v:line style="position:absolute" from="6736,467" to="7698,467" stroked="true" strokeweight=".47998pt" strokecolor="#000000">
              <v:stroke dashstyle="solid"/>
            </v:line>
            <w10:wrap type="none"/>
          </v:group>
        </w:pict>
      </w:r>
      <w:r>
        <w:rPr>
          <w:rFonts w:ascii="华文楷体" w:eastAsia="华文楷体" w:hint="eastAsia"/>
          <w:sz w:val="18"/>
        </w:rPr>
        <w:t>表3 LA+ARB vs. ARB疗效的meta分析结果</w:t>
      </w: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9"/>
        <w:gridCol w:w="1722"/>
        <w:gridCol w:w="915"/>
        <w:gridCol w:w="658"/>
        <w:gridCol w:w="609"/>
        <w:gridCol w:w="568"/>
        <w:gridCol w:w="952"/>
        <w:gridCol w:w="722"/>
        <w:gridCol w:w="1451"/>
        <w:gridCol w:w="1012"/>
      </w:tblGrid>
      <w:tr>
        <w:trPr>
          <w:trHeight w:val="160" w:hRule="atLeast"/>
        </w:trPr>
        <w:tc>
          <w:tcPr>
            <w:tcW w:w="1109" w:type="dxa"/>
            <w:tcBorders>
              <w:top w:val="single" w:sz="4" w:space="0" w:color="000000"/>
            </w:tcBorders>
          </w:tcPr>
          <w:p>
            <w:pPr>
              <w:pStyle w:val="TableParagraph"/>
              <w:jc w:val="left"/>
              <w:rPr>
                <w:rFonts w:ascii="Times New Roman"/>
                <w:sz w:val="10"/>
              </w:rPr>
            </w:pPr>
          </w:p>
        </w:tc>
        <w:tc>
          <w:tcPr>
            <w:tcW w:w="1722" w:type="dxa"/>
            <w:tcBorders>
              <w:top w:val="single" w:sz="4" w:space="0" w:color="000000"/>
            </w:tcBorders>
          </w:tcPr>
          <w:p>
            <w:pPr>
              <w:pStyle w:val="TableParagraph"/>
              <w:jc w:val="left"/>
              <w:rPr>
                <w:rFonts w:ascii="Times New Roman"/>
                <w:sz w:val="10"/>
              </w:rPr>
            </w:pPr>
          </w:p>
        </w:tc>
        <w:tc>
          <w:tcPr>
            <w:tcW w:w="915" w:type="dxa"/>
            <w:vMerge w:val="restart"/>
            <w:tcBorders>
              <w:top w:val="single" w:sz="4" w:space="0" w:color="000000"/>
              <w:bottom w:val="single" w:sz="4" w:space="0" w:color="000000"/>
            </w:tcBorders>
          </w:tcPr>
          <w:p>
            <w:pPr>
              <w:pStyle w:val="TableParagraph"/>
              <w:spacing w:line="200" w:lineRule="atLeast" w:before="8"/>
              <w:ind w:left="253" w:right="176" w:firstLine="79"/>
              <w:jc w:val="left"/>
              <w:rPr>
                <w:rFonts w:ascii="宋体" w:eastAsia="宋体" w:hint="eastAsia"/>
                <w:sz w:val="16"/>
              </w:rPr>
            </w:pPr>
            <w:r>
              <w:rPr>
                <w:rFonts w:ascii="宋体" w:eastAsia="宋体" w:hint="eastAsia"/>
                <w:sz w:val="16"/>
              </w:rPr>
              <w:t>纳入研究数</w:t>
            </w:r>
          </w:p>
        </w:tc>
        <w:tc>
          <w:tcPr>
            <w:tcW w:w="1267" w:type="dxa"/>
            <w:gridSpan w:val="2"/>
            <w:tcBorders>
              <w:top w:val="single" w:sz="4" w:space="0" w:color="000000"/>
            </w:tcBorders>
          </w:tcPr>
          <w:p>
            <w:pPr>
              <w:pStyle w:val="TableParagraph"/>
              <w:spacing w:line="138" w:lineRule="exact" w:before="3"/>
              <w:ind w:left="382"/>
              <w:jc w:val="left"/>
              <w:rPr>
                <w:rFonts w:ascii="宋体" w:eastAsia="宋体" w:hint="eastAsia"/>
                <w:sz w:val="16"/>
              </w:rPr>
            </w:pPr>
            <w:r>
              <w:rPr>
                <w:rFonts w:ascii="宋体" w:eastAsia="宋体" w:hint="eastAsia"/>
                <w:sz w:val="16"/>
              </w:rPr>
              <w:t>总例数</w:t>
            </w:r>
          </w:p>
        </w:tc>
        <w:tc>
          <w:tcPr>
            <w:tcW w:w="1520" w:type="dxa"/>
            <w:gridSpan w:val="2"/>
            <w:tcBorders>
              <w:top w:val="single" w:sz="4" w:space="0" w:color="000000"/>
            </w:tcBorders>
          </w:tcPr>
          <w:p>
            <w:pPr>
              <w:pStyle w:val="TableParagraph"/>
              <w:spacing w:line="138" w:lineRule="exact" w:before="3"/>
              <w:ind w:left="492" w:right="507"/>
              <w:rPr>
                <w:rFonts w:ascii="宋体" w:eastAsia="宋体" w:hint="eastAsia"/>
                <w:sz w:val="16"/>
              </w:rPr>
            </w:pPr>
            <w:r>
              <w:rPr>
                <w:rFonts w:ascii="宋体" w:eastAsia="宋体" w:hint="eastAsia"/>
                <w:sz w:val="16"/>
              </w:rPr>
              <w:t>异质性</w:t>
            </w:r>
          </w:p>
        </w:tc>
        <w:tc>
          <w:tcPr>
            <w:tcW w:w="722" w:type="dxa"/>
            <w:vMerge w:val="restart"/>
            <w:tcBorders>
              <w:top w:val="single" w:sz="4" w:space="0" w:color="000000"/>
              <w:bottom w:val="single" w:sz="4" w:space="0" w:color="000000"/>
            </w:tcBorders>
          </w:tcPr>
          <w:p>
            <w:pPr>
              <w:pStyle w:val="TableParagraph"/>
              <w:spacing w:line="200" w:lineRule="atLeast" w:before="8"/>
              <w:ind w:left="181" w:right="217"/>
              <w:jc w:val="left"/>
              <w:rPr>
                <w:rFonts w:ascii="宋体" w:eastAsia="宋体" w:hint="eastAsia"/>
                <w:sz w:val="16"/>
              </w:rPr>
            </w:pPr>
            <w:r>
              <w:rPr>
                <w:rFonts w:ascii="宋体" w:eastAsia="宋体" w:hint="eastAsia"/>
                <w:sz w:val="16"/>
              </w:rPr>
              <w:t>效应模型</w:t>
            </w:r>
          </w:p>
        </w:tc>
        <w:tc>
          <w:tcPr>
            <w:tcW w:w="1451" w:type="dxa"/>
            <w:tcBorders>
              <w:top w:val="single" w:sz="4" w:space="0" w:color="000000"/>
            </w:tcBorders>
          </w:tcPr>
          <w:p>
            <w:pPr>
              <w:pStyle w:val="TableParagraph"/>
              <w:jc w:val="left"/>
              <w:rPr>
                <w:rFonts w:ascii="Times New Roman"/>
                <w:sz w:val="10"/>
              </w:rPr>
            </w:pPr>
          </w:p>
        </w:tc>
        <w:tc>
          <w:tcPr>
            <w:tcW w:w="1012" w:type="dxa"/>
            <w:tcBorders>
              <w:top w:val="single" w:sz="4" w:space="0" w:color="000000"/>
            </w:tcBorders>
          </w:tcPr>
          <w:p>
            <w:pPr>
              <w:pStyle w:val="TableParagraph"/>
              <w:jc w:val="left"/>
              <w:rPr>
                <w:rFonts w:ascii="Times New Roman"/>
                <w:sz w:val="10"/>
              </w:rPr>
            </w:pPr>
          </w:p>
        </w:tc>
      </w:tr>
      <w:tr>
        <w:trPr>
          <w:trHeight w:val="256" w:hRule="atLeast"/>
        </w:trPr>
        <w:tc>
          <w:tcPr>
            <w:tcW w:w="1109" w:type="dxa"/>
            <w:tcBorders>
              <w:bottom w:val="single" w:sz="4" w:space="0" w:color="000000"/>
            </w:tcBorders>
          </w:tcPr>
          <w:p>
            <w:pPr>
              <w:pStyle w:val="TableParagraph"/>
              <w:spacing w:line="145" w:lineRule="exact"/>
              <w:ind w:left="140" w:right="140"/>
              <w:rPr>
                <w:rFonts w:ascii="宋体" w:eastAsia="宋体" w:hint="eastAsia"/>
                <w:sz w:val="16"/>
              </w:rPr>
            </w:pPr>
            <w:r>
              <w:rPr>
                <w:rFonts w:ascii="宋体" w:eastAsia="宋体" w:hint="eastAsia"/>
                <w:sz w:val="16"/>
              </w:rPr>
              <w:t>结局指标</w:t>
            </w:r>
          </w:p>
        </w:tc>
        <w:tc>
          <w:tcPr>
            <w:tcW w:w="1722" w:type="dxa"/>
            <w:tcBorders>
              <w:bottom w:val="single" w:sz="4" w:space="0" w:color="000000"/>
            </w:tcBorders>
          </w:tcPr>
          <w:p>
            <w:pPr>
              <w:pStyle w:val="TableParagraph"/>
              <w:spacing w:line="145" w:lineRule="exact"/>
              <w:ind w:left="312" w:right="234"/>
              <w:rPr>
                <w:rFonts w:ascii="宋体" w:eastAsia="宋体" w:hint="eastAsia"/>
                <w:sz w:val="16"/>
              </w:rPr>
            </w:pPr>
            <w:r>
              <w:rPr>
                <w:rFonts w:ascii="宋体" w:eastAsia="宋体" w:hint="eastAsia"/>
                <w:sz w:val="16"/>
              </w:rPr>
              <w:t>干预措施</w:t>
            </w:r>
          </w:p>
        </w:tc>
        <w:tc>
          <w:tcPr>
            <w:tcW w:w="915" w:type="dxa"/>
            <w:vMerge/>
            <w:tcBorders>
              <w:top w:val="nil"/>
              <w:bottom w:val="single" w:sz="4" w:space="0" w:color="000000"/>
            </w:tcBorders>
          </w:tcPr>
          <w:p>
            <w:pPr>
              <w:rPr>
                <w:sz w:val="2"/>
                <w:szCs w:val="2"/>
              </w:rPr>
            </w:pPr>
          </w:p>
        </w:tc>
        <w:tc>
          <w:tcPr>
            <w:tcW w:w="658" w:type="dxa"/>
            <w:tcBorders>
              <w:bottom w:val="single" w:sz="4" w:space="0" w:color="000000"/>
            </w:tcBorders>
          </w:tcPr>
          <w:p>
            <w:pPr>
              <w:pStyle w:val="TableParagraph"/>
              <w:spacing w:line="188" w:lineRule="exact" w:before="48"/>
              <w:ind w:left="25"/>
              <w:rPr>
                <w:rFonts w:ascii="宋体"/>
                <w:sz w:val="16"/>
              </w:rPr>
            </w:pPr>
            <w:r>
              <w:rPr>
                <w:rFonts w:ascii="宋体"/>
                <w:w w:val="100"/>
                <w:sz w:val="16"/>
              </w:rPr>
              <w:t>T</w:t>
            </w:r>
          </w:p>
        </w:tc>
        <w:tc>
          <w:tcPr>
            <w:tcW w:w="609" w:type="dxa"/>
            <w:tcBorders>
              <w:bottom w:val="single" w:sz="4" w:space="0" w:color="000000"/>
            </w:tcBorders>
          </w:tcPr>
          <w:p>
            <w:pPr>
              <w:pStyle w:val="TableParagraph"/>
              <w:spacing w:line="188" w:lineRule="exact" w:before="48"/>
              <w:ind w:left="20"/>
              <w:rPr>
                <w:rFonts w:ascii="宋体"/>
                <w:sz w:val="16"/>
              </w:rPr>
            </w:pPr>
            <w:r>
              <w:rPr>
                <w:rFonts w:ascii="宋体"/>
                <w:w w:val="100"/>
                <w:sz w:val="16"/>
              </w:rPr>
              <w:t>C</w:t>
            </w:r>
          </w:p>
        </w:tc>
        <w:tc>
          <w:tcPr>
            <w:tcW w:w="568" w:type="dxa"/>
            <w:tcBorders>
              <w:bottom w:val="single" w:sz="4" w:space="0" w:color="000000"/>
            </w:tcBorders>
          </w:tcPr>
          <w:p>
            <w:pPr>
              <w:pStyle w:val="TableParagraph"/>
              <w:spacing w:line="187" w:lineRule="exact" w:before="49"/>
              <w:ind w:left="108" w:right="140"/>
              <w:rPr>
                <w:rFonts w:ascii="宋体"/>
                <w:sz w:val="8"/>
              </w:rPr>
            </w:pPr>
            <w:r>
              <w:rPr>
                <w:rFonts w:ascii="宋体"/>
                <w:position w:val="-7"/>
                <w:sz w:val="16"/>
              </w:rPr>
              <w:t>I</w:t>
            </w:r>
            <w:r>
              <w:rPr>
                <w:rFonts w:ascii="宋体"/>
                <w:sz w:val="8"/>
              </w:rPr>
              <w:t>2</w:t>
            </w:r>
          </w:p>
        </w:tc>
        <w:tc>
          <w:tcPr>
            <w:tcW w:w="952" w:type="dxa"/>
            <w:tcBorders>
              <w:bottom w:val="single" w:sz="4" w:space="0" w:color="000000"/>
            </w:tcBorders>
          </w:tcPr>
          <w:p>
            <w:pPr>
              <w:pStyle w:val="TableParagraph"/>
              <w:spacing w:line="198" w:lineRule="exact" w:before="38"/>
              <w:ind w:left="141" w:right="163"/>
              <w:rPr>
                <w:rFonts w:ascii="宋体" w:eastAsia="宋体" w:hint="eastAsia"/>
                <w:sz w:val="16"/>
              </w:rPr>
            </w:pPr>
            <w:r>
              <w:rPr>
                <w:rFonts w:ascii="宋体" w:eastAsia="宋体" w:hint="eastAsia"/>
                <w:i/>
                <w:sz w:val="17"/>
              </w:rPr>
              <w:t>P </w:t>
            </w:r>
            <w:r>
              <w:rPr>
                <w:rFonts w:ascii="宋体" w:eastAsia="宋体" w:hint="eastAsia"/>
                <w:sz w:val="16"/>
              </w:rPr>
              <w:t>值</w:t>
            </w:r>
          </w:p>
        </w:tc>
        <w:tc>
          <w:tcPr>
            <w:tcW w:w="722" w:type="dxa"/>
            <w:vMerge/>
            <w:tcBorders>
              <w:top w:val="nil"/>
              <w:bottom w:val="single" w:sz="4" w:space="0" w:color="000000"/>
            </w:tcBorders>
          </w:tcPr>
          <w:p>
            <w:pPr>
              <w:rPr>
                <w:sz w:val="2"/>
                <w:szCs w:val="2"/>
              </w:rPr>
            </w:pPr>
          </w:p>
        </w:tc>
        <w:tc>
          <w:tcPr>
            <w:tcW w:w="1451" w:type="dxa"/>
            <w:tcBorders>
              <w:bottom w:val="single" w:sz="4" w:space="0" w:color="000000"/>
            </w:tcBorders>
          </w:tcPr>
          <w:p>
            <w:pPr>
              <w:pStyle w:val="TableParagraph"/>
              <w:spacing w:line="139" w:lineRule="exact"/>
              <w:ind w:left="194" w:right="189"/>
              <w:rPr>
                <w:sz w:val="16"/>
              </w:rPr>
            </w:pPr>
            <w:r>
              <w:rPr>
                <w:sz w:val="16"/>
              </w:rPr>
              <w:t>SMD(95%CI)</w:t>
            </w:r>
          </w:p>
        </w:tc>
        <w:tc>
          <w:tcPr>
            <w:tcW w:w="1012" w:type="dxa"/>
            <w:tcBorders>
              <w:bottom w:val="single" w:sz="4" w:space="0" w:color="000000"/>
            </w:tcBorders>
          </w:tcPr>
          <w:p>
            <w:pPr>
              <w:pStyle w:val="TableParagraph"/>
              <w:spacing w:line="145" w:lineRule="exact"/>
              <w:ind w:left="183" w:right="145"/>
              <w:rPr>
                <w:rFonts w:ascii="宋体" w:eastAsia="宋体" w:hint="eastAsia"/>
                <w:sz w:val="16"/>
              </w:rPr>
            </w:pPr>
            <w:r>
              <w:rPr>
                <w:i/>
                <w:sz w:val="16"/>
              </w:rPr>
              <w:t>P </w:t>
            </w:r>
            <w:r>
              <w:rPr>
                <w:rFonts w:ascii="宋体" w:eastAsia="宋体" w:hint="eastAsia"/>
                <w:sz w:val="16"/>
              </w:rPr>
              <w:t>值</w:t>
            </w:r>
          </w:p>
        </w:tc>
      </w:tr>
      <w:tr>
        <w:trPr>
          <w:trHeight w:val="214" w:hRule="atLeast"/>
        </w:trPr>
        <w:tc>
          <w:tcPr>
            <w:tcW w:w="1109" w:type="dxa"/>
            <w:tcBorders>
              <w:top w:val="single" w:sz="4" w:space="0" w:color="000000"/>
            </w:tcBorders>
          </w:tcPr>
          <w:p>
            <w:pPr>
              <w:pStyle w:val="TableParagraph"/>
              <w:spacing w:line="194" w:lineRule="exact"/>
              <w:ind w:left="143" w:right="140"/>
              <w:rPr>
                <w:rFonts w:ascii="宋体" w:eastAsia="宋体" w:hint="eastAsia"/>
                <w:sz w:val="16"/>
              </w:rPr>
            </w:pPr>
            <w:r>
              <w:rPr>
                <w:sz w:val="16"/>
              </w:rPr>
              <w:t>SBP </w:t>
            </w:r>
            <w:r>
              <w:rPr>
                <w:rFonts w:ascii="宋体" w:eastAsia="宋体" w:hint="eastAsia"/>
                <w:sz w:val="16"/>
              </w:rPr>
              <w:t>降低值</w:t>
            </w:r>
          </w:p>
        </w:tc>
        <w:tc>
          <w:tcPr>
            <w:tcW w:w="1722" w:type="dxa"/>
            <w:tcBorders>
              <w:top w:val="single" w:sz="4" w:space="0" w:color="000000"/>
            </w:tcBorders>
          </w:tcPr>
          <w:p>
            <w:pPr>
              <w:pStyle w:val="TableParagraph"/>
              <w:spacing w:line="191" w:lineRule="exact" w:before="3"/>
              <w:ind w:left="310" w:right="234"/>
              <w:rPr>
                <w:sz w:val="16"/>
              </w:rPr>
            </w:pPr>
            <w:r>
              <w:rPr>
                <w:sz w:val="16"/>
              </w:rPr>
              <w:t>LA + Irb. vs. Irb.</w:t>
            </w:r>
          </w:p>
        </w:tc>
        <w:tc>
          <w:tcPr>
            <w:tcW w:w="915" w:type="dxa"/>
            <w:tcBorders>
              <w:top w:val="single" w:sz="4" w:space="0" w:color="000000"/>
            </w:tcBorders>
          </w:tcPr>
          <w:p>
            <w:pPr>
              <w:pStyle w:val="TableParagraph"/>
              <w:spacing w:line="191" w:lineRule="exact" w:before="3"/>
              <w:ind w:right="337"/>
              <w:jc w:val="right"/>
              <w:rPr>
                <w:sz w:val="16"/>
              </w:rPr>
            </w:pPr>
            <w:r>
              <w:rPr>
                <w:sz w:val="16"/>
              </w:rPr>
              <w:t>25</w:t>
            </w:r>
          </w:p>
        </w:tc>
        <w:tc>
          <w:tcPr>
            <w:tcW w:w="658" w:type="dxa"/>
            <w:tcBorders>
              <w:top w:val="single" w:sz="4" w:space="0" w:color="000000"/>
            </w:tcBorders>
          </w:tcPr>
          <w:p>
            <w:pPr>
              <w:pStyle w:val="TableParagraph"/>
              <w:spacing w:line="191" w:lineRule="exact" w:before="3"/>
              <w:ind w:left="159" w:right="133"/>
              <w:rPr>
                <w:sz w:val="16"/>
              </w:rPr>
            </w:pPr>
            <w:r>
              <w:rPr>
                <w:sz w:val="16"/>
              </w:rPr>
              <w:t>1298</w:t>
            </w:r>
          </w:p>
        </w:tc>
        <w:tc>
          <w:tcPr>
            <w:tcW w:w="609" w:type="dxa"/>
            <w:tcBorders>
              <w:top w:val="single" w:sz="4" w:space="0" w:color="000000"/>
            </w:tcBorders>
          </w:tcPr>
          <w:p>
            <w:pPr>
              <w:pStyle w:val="TableParagraph"/>
              <w:spacing w:line="191" w:lineRule="exact" w:before="3"/>
              <w:ind w:left="132" w:right="111"/>
              <w:rPr>
                <w:sz w:val="16"/>
              </w:rPr>
            </w:pPr>
            <w:r>
              <w:rPr>
                <w:sz w:val="16"/>
              </w:rPr>
              <w:t>1297</w:t>
            </w:r>
          </w:p>
        </w:tc>
        <w:tc>
          <w:tcPr>
            <w:tcW w:w="568" w:type="dxa"/>
            <w:tcBorders>
              <w:top w:val="single" w:sz="4" w:space="0" w:color="000000"/>
            </w:tcBorders>
          </w:tcPr>
          <w:p>
            <w:pPr>
              <w:pStyle w:val="TableParagraph"/>
              <w:spacing w:line="191" w:lineRule="exact" w:before="3"/>
              <w:ind w:left="111" w:right="140"/>
              <w:rPr>
                <w:sz w:val="16"/>
              </w:rPr>
            </w:pPr>
            <w:r>
              <w:rPr>
                <w:sz w:val="16"/>
              </w:rPr>
              <w:t>93%</w:t>
            </w:r>
          </w:p>
        </w:tc>
        <w:tc>
          <w:tcPr>
            <w:tcW w:w="952" w:type="dxa"/>
            <w:tcBorders>
              <w:top w:val="single" w:sz="4" w:space="0" w:color="000000"/>
            </w:tcBorders>
          </w:tcPr>
          <w:p>
            <w:pPr>
              <w:pStyle w:val="TableParagraph"/>
              <w:spacing w:line="191" w:lineRule="exact" w:before="3"/>
              <w:ind w:left="141" w:right="164"/>
              <w:rPr>
                <w:sz w:val="16"/>
              </w:rPr>
            </w:pPr>
            <w:r>
              <w:rPr>
                <w:sz w:val="16"/>
              </w:rPr>
              <w:t>&lt;0.00001</w:t>
            </w:r>
          </w:p>
        </w:tc>
        <w:tc>
          <w:tcPr>
            <w:tcW w:w="722" w:type="dxa"/>
            <w:tcBorders>
              <w:top w:val="single" w:sz="4" w:space="0" w:color="000000"/>
            </w:tcBorders>
          </w:tcPr>
          <w:p>
            <w:pPr>
              <w:pStyle w:val="TableParagraph"/>
              <w:spacing w:line="194" w:lineRule="exact"/>
              <w:ind w:right="217"/>
              <w:jc w:val="right"/>
              <w:rPr>
                <w:rFonts w:ascii="宋体" w:eastAsia="宋体" w:hint="eastAsia"/>
                <w:sz w:val="16"/>
              </w:rPr>
            </w:pPr>
            <w:r>
              <w:rPr>
                <w:rFonts w:ascii="宋体" w:eastAsia="宋体" w:hint="eastAsia"/>
                <w:sz w:val="16"/>
              </w:rPr>
              <w:t>随机</w:t>
            </w:r>
          </w:p>
        </w:tc>
        <w:tc>
          <w:tcPr>
            <w:tcW w:w="1451" w:type="dxa"/>
            <w:tcBorders>
              <w:top w:val="single" w:sz="4" w:space="0" w:color="000000"/>
            </w:tcBorders>
          </w:tcPr>
          <w:p>
            <w:pPr>
              <w:pStyle w:val="TableParagraph"/>
              <w:spacing w:line="191" w:lineRule="exact" w:before="3"/>
              <w:ind w:left="196" w:right="188"/>
              <w:rPr>
                <w:sz w:val="16"/>
              </w:rPr>
            </w:pPr>
            <w:r>
              <w:rPr>
                <w:sz w:val="16"/>
              </w:rPr>
              <w:t>1.32(1.00, 1.64)</w:t>
            </w:r>
          </w:p>
        </w:tc>
        <w:tc>
          <w:tcPr>
            <w:tcW w:w="1012" w:type="dxa"/>
            <w:tcBorders>
              <w:top w:val="single" w:sz="4" w:space="0" w:color="000000"/>
            </w:tcBorders>
          </w:tcPr>
          <w:p>
            <w:pPr>
              <w:pStyle w:val="TableParagraph"/>
              <w:spacing w:line="191" w:lineRule="exact" w:before="3"/>
              <w:ind w:left="183" w:right="145"/>
              <w:rPr>
                <w:sz w:val="16"/>
              </w:rPr>
            </w:pPr>
            <w:r>
              <w:rPr>
                <w:sz w:val="16"/>
              </w:rPr>
              <w:t>&lt;0.000 01</w:t>
            </w:r>
          </w:p>
        </w:tc>
      </w:tr>
      <w:tr>
        <w:trPr>
          <w:trHeight w:val="206" w:hRule="atLeast"/>
        </w:trPr>
        <w:tc>
          <w:tcPr>
            <w:tcW w:w="1109" w:type="dxa"/>
          </w:tcPr>
          <w:p>
            <w:pPr>
              <w:pStyle w:val="TableParagraph"/>
              <w:jc w:val="left"/>
              <w:rPr>
                <w:rFonts w:ascii="Times New Roman"/>
                <w:sz w:val="14"/>
              </w:rPr>
            </w:pPr>
          </w:p>
        </w:tc>
        <w:tc>
          <w:tcPr>
            <w:tcW w:w="1722" w:type="dxa"/>
          </w:tcPr>
          <w:p>
            <w:pPr>
              <w:pStyle w:val="TableParagraph"/>
              <w:spacing w:line="186" w:lineRule="exact"/>
              <w:ind w:left="309" w:right="234"/>
              <w:rPr>
                <w:sz w:val="16"/>
              </w:rPr>
            </w:pPr>
            <w:r>
              <w:rPr>
                <w:sz w:val="16"/>
              </w:rPr>
              <w:t>LA + Val. vs. Val.</w:t>
            </w:r>
          </w:p>
        </w:tc>
        <w:tc>
          <w:tcPr>
            <w:tcW w:w="915" w:type="dxa"/>
          </w:tcPr>
          <w:p>
            <w:pPr>
              <w:pStyle w:val="TableParagraph"/>
              <w:spacing w:line="186" w:lineRule="exact"/>
              <w:ind w:right="337"/>
              <w:jc w:val="right"/>
              <w:rPr>
                <w:sz w:val="16"/>
              </w:rPr>
            </w:pPr>
            <w:r>
              <w:rPr>
                <w:sz w:val="16"/>
              </w:rPr>
              <w:t>21</w:t>
            </w:r>
          </w:p>
        </w:tc>
        <w:tc>
          <w:tcPr>
            <w:tcW w:w="658" w:type="dxa"/>
          </w:tcPr>
          <w:p>
            <w:pPr>
              <w:pStyle w:val="TableParagraph"/>
              <w:spacing w:line="186" w:lineRule="exact"/>
              <w:ind w:left="159" w:right="133"/>
              <w:rPr>
                <w:sz w:val="16"/>
              </w:rPr>
            </w:pPr>
            <w:r>
              <w:rPr>
                <w:sz w:val="16"/>
              </w:rPr>
              <w:t>978</w:t>
            </w:r>
          </w:p>
        </w:tc>
        <w:tc>
          <w:tcPr>
            <w:tcW w:w="609" w:type="dxa"/>
          </w:tcPr>
          <w:p>
            <w:pPr>
              <w:pStyle w:val="TableParagraph"/>
              <w:spacing w:line="186" w:lineRule="exact"/>
              <w:ind w:left="132" w:right="111"/>
              <w:rPr>
                <w:sz w:val="16"/>
              </w:rPr>
            </w:pPr>
            <w:r>
              <w:rPr>
                <w:sz w:val="16"/>
              </w:rPr>
              <w:t>965</w:t>
            </w:r>
          </w:p>
        </w:tc>
        <w:tc>
          <w:tcPr>
            <w:tcW w:w="568" w:type="dxa"/>
          </w:tcPr>
          <w:p>
            <w:pPr>
              <w:pStyle w:val="TableParagraph"/>
              <w:spacing w:line="186" w:lineRule="exact"/>
              <w:ind w:left="111" w:right="140"/>
              <w:rPr>
                <w:sz w:val="16"/>
              </w:rPr>
            </w:pPr>
            <w:r>
              <w:rPr>
                <w:sz w:val="16"/>
              </w:rPr>
              <w:t>89%</w:t>
            </w:r>
          </w:p>
        </w:tc>
        <w:tc>
          <w:tcPr>
            <w:tcW w:w="952" w:type="dxa"/>
          </w:tcPr>
          <w:p>
            <w:pPr>
              <w:pStyle w:val="TableParagraph"/>
              <w:spacing w:line="186" w:lineRule="exact"/>
              <w:ind w:left="141" w:right="164"/>
              <w:rPr>
                <w:sz w:val="16"/>
              </w:rPr>
            </w:pPr>
            <w:r>
              <w:rPr>
                <w:sz w:val="16"/>
              </w:rPr>
              <w:t>&lt;0.00001</w:t>
            </w:r>
          </w:p>
        </w:tc>
        <w:tc>
          <w:tcPr>
            <w:tcW w:w="722" w:type="dxa"/>
          </w:tcPr>
          <w:p>
            <w:pPr>
              <w:pStyle w:val="TableParagraph"/>
              <w:spacing w:line="186"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86" w:lineRule="exact"/>
              <w:ind w:left="196" w:right="188"/>
              <w:rPr>
                <w:sz w:val="16"/>
              </w:rPr>
            </w:pPr>
            <w:r>
              <w:rPr>
                <w:sz w:val="16"/>
              </w:rPr>
              <w:t>1.27(0.97, 1.57)</w:t>
            </w:r>
          </w:p>
        </w:tc>
        <w:tc>
          <w:tcPr>
            <w:tcW w:w="1012" w:type="dxa"/>
          </w:tcPr>
          <w:p>
            <w:pPr>
              <w:pStyle w:val="TableParagraph"/>
              <w:spacing w:line="186" w:lineRule="exact"/>
              <w:ind w:left="183" w:right="145"/>
              <w:rPr>
                <w:sz w:val="16"/>
              </w:rPr>
            </w:pPr>
            <w:r>
              <w:rPr>
                <w:sz w:val="16"/>
              </w:rPr>
              <w:t>&lt;0.000 01</w:t>
            </w:r>
          </w:p>
        </w:tc>
      </w:tr>
      <w:tr>
        <w:trPr>
          <w:trHeight w:val="206" w:hRule="atLeast"/>
        </w:trPr>
        <w:tc>
          <w:tcPr>
            <w:tcW w:w="1109" w:type="dxa"/>
          </w:tcPr>
          <w:p>
            <w:pPr>
              <w:pStyle w:val="TableParagraph"/>
              <w:jc w:val="left"/>
              <w:rPr>
                <w:rFonts w:ascii="Times New Roman"/>
                <w:sz w:val="14"/>
              </w:rPr>
            </w:pPr>
          </w:p>
        </w:tc>
        <w:tc>
          <w:tcPr>
            <w:tcW w:w="1722" w:type="dxa"/>
          </w:tcPr>
          <w:p>
            <w:pPr>
              <w:pStyle w:val="TableParagraph"/>
              <w:spacing w:line="186" w:lineRule="exact"/>
              <w:ind w:left="309" w:right="234"/>
              <w:rPr>
                <w:sz w:val="16"/>
              </w:rPr>
            </w:pPr>
            <w:r>
              <w:rPr>
                <w:sz w:val="16"/>
              </w:rPr>
              <w:t>LA + Tel. vs. Tel.</w:t>
            </w:r>
          </w:p>
        </w:tc>
        <w:tc>
          <w:tcPr>
            <w:tcW w:w="915" w:type="dxa"/>
          </w:tcPr>
          <w:p>
            <w:pPr>
              <w:pStyle w:val="TableParagraph"/>
              <w:spacing w:line="186" w:lineRule="exact"/>
              <w:ind w:right="337"/>
              <w:jc w:val="right"/>
              <w:rPr>
                <w:sz w:val="16"/>
              </w:rPr>
            </w:pPr>
            <w:r>
              <w:rPr>
                <w:sz w:val="16"/>
              </w:rPr>
              <w:t>10</w:t>
            </w:r>
          </w:p>
        </w:tc>
        <w:tc>
          <w:tcPr>
            <w:tcW w:w="658" w:type="dxa"/>
          </w:tcPr>
          <w:p>
            <w:pPr>
              <w:pStyle w:val="TableParagraph"/>
              <w:spacing w:line="186" w:lineRule="exact"/>
              <w:ind w:left="159" w:right="133"/>
              <w:rPr>
                <w:sz w:val="16"/>
              </w:rPr>
            </w:pPr>
            <w:r>
              <w:rPr>
                <w:sz w:val="16"/>
              </w:rPr>
              <w:t>535</w:t>
            </w:r>
          </w:p>
        </w:tc>
        <w:tc>
          <w:tcPr>
            <w:tcW w:w="609" w:type="dxa"/>
          </w:tcPr>
          <w:p>
            <w:pPr>
              <w:pStyle w:val="TableParagraph"/>
              <w:spacing w:line="186" w:lineRule="exact"/>
              <w:ind w:left="132" w:right="111"/>
              <w:rPr>
                <w:sz w:val="16"/>
              </w:rPr>
            </w:pPr>
            <w:r>
              <w:rPr>
                <w:sz w:val="16"/>
              </w:rPr>
              <w:t>535</w:t>
            </w:r>
          </w:p>
        </w:tc>
        <w:tc>
          <w:tcPr>
            <w:tcW w:w="568" w:type="dxa"/>
          </w:tcPr>
          <w:p>
            <w:pPr>
              <w:pStyle w:val="TableParagraph"/>
              <w:spacing w:line="186" w:lineRule="exact"/>
              <w:ind w:left="111" w:right="140"/>
              <w:rPr>
                <w:sz w:val="16"/>
              </w:rPr>
            </w:pPr>
            <w:r>
              <w:rPr>
                <w:sz w:val="16"/>
              </w:rPr>
              <w:t>92%</w:t>
            </w:r>
          </w:p>
        </w:tc>
        <w:tc>
          <w:tcPr>
            <w:tcW w:w="952" w:type="dxa"/>
          </w:tcPr>
          <w:p>
            <w:pPr>
              <w:pStyle w:val="TableParagraph"/>
              <w:spacing w:line="186" w:lineRule="exact"/>
              <w:ind w:left="141" w:right="164"/>
              <w:rPr>
                <w:sz w:val="16"/>
              </w:rPr>
            </w:pPr>
            <w:r>
              <w:rPr>
                <w:sz w:val="16"/>
              </w:rPr>
              <w:t>&lt;0.00001</w:t>
            </w:r>
          </w:p>
        </w:tc>
        <w:tc>
          <w:tcPr>
            <w:tcW w:w="722" w:type="dxa"/>
          </w:tcPr>
          <w:p>
            <w:pPr>
              <w:pStyle w:val="TableParagraph"/>
              <w:spacing w:line="186"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86" w:lineRule="exact"/>
              <w:ind w:left="196" w:right="188"/>
              <w:rPr>
                <w:sz w:val="16"/>
              </w:rPr>
            </w:pPr>
            <w:r>
              <w:rPr>
                <w:sz w:val="16"/>
              </w:rPr>
              <w:t>1.27(0.78, 1.76)</w:t>
            </w:r>
          </w:p>
        </w:tc>
        <w:tc>
          <w:tcPr>
            <w:tcW w:w="1012" w:type="dxa"/>
          </w:tcPr>
          <w:p>
            <w:pPr>
              <w:pStyle w:val="TableParagraph"/>
              <w:spacing w:line="186" w:lineRule="exact"/>
              <w:ind w:left="183" w:right="145"/>
              <w:rPr>
                <w:sz w:val="16"/>
              </w:rPr>
            </w:pPr>
            <w:r>
              <w:rPr>
                <w:sz w:val="16"/>
              </w:rPr>
              <w:t>&lt;0.000 01</w:t>
            </w:r>
          </w:p>
        </w:tc>
      </w:tr>
      <w:tr>
        <w:trPr>
          <w:trHeight w:val="209" w:hRule="atLeast"/>
        </w:trPr>
        <w:tc>
          <w:tcPr>
            <w:tcW w:w="1109" w:type="dxa"/>
          </w:tcPr>
          <w:p>
            <w:pPr>
              <w:pStyle w:val="TableParagraph"/>
              <w:jc w:val="left"/>
              <w:rPr>
                <w:rFonts w:ascii="Times New Roman"/>
                <w:sz w:val="14"/>
              </w:rPr>
            </w:pPr>
          </w:p>
        </w:tc>
        <w:tc>
          <w:tcPr>
            <w:tcW w:w="1722" w:type="dxa"/>
          </w:tcPr>
          <w:p>
            <w:pPr>
              <w:pStyle w:val="TableParagraph"/>
              <w:spacing w:line="189" w:lineRule="exact"/>
              <w:ind w:left="314" w:right="234"/>
              <w:rPr>
                <w:sz w:val="16"/>
              </w:rPr>
            </w:pPr>
            <w:r>
              <w:rPr>
                <w:sz w:val="16"/>
              </w:rPr>
              <w:t>LA + Can. vs. Can.</w:t>
            </w:r>
          </w:p>
        </w:tc>
        <w:tc>
          <w:tcPr>
            <w:tcW w:w="915" w:type="dxa"/>
          </w:tcPr>
          <w:p>
            <w:pPr>
              <w:pStyle w:val="TableParagraph"/>
              <w:spacing w:line="189" w:lineRule="exact"/>
              <w:ind w:right="378"/>
              <w:jc w:val="right"/>
              <w:rPr>
                <w:sz w:val="16"/>
              </w:rPr>
            </w:pPr>
            <w:r>
              <w:rPr>
                <w:w w:val="100"/>
                <w:sz w:val="16"/>
              </w:rPr>
              <w:t>3</w:t>
            </w:r>
          </w:p>
        </w:tc>
        <w:tc>
          <w:tcPr>
            <w:tcW w:w="658" w:type="dxa"/>
          </w:tcPr>
          <w:p>
            <w:pPr>
              <w:pStyle w:val="TableParagraph"/>
              <w:spacing w:line="189" w:lineRule="exact"/>
              <w:ind w:left="159" w:right="133"/>
              <w:rPr>
                <w:sz w:val="16"/>
              </w:rPr>
            </w:pPr>
            <w:r>
              <w:rPr>
                <w:sz w:val="16"/>
              </w:rPr>
              <w:t>136</w:t>
            </w:r>
          </w:p>
        </w:tc>
        <w:tc>
          <w:tcPr>
            <w:tcW w:w="609" w:type="dxa"/>
          </w:tcPr>
          <w:p>
            <w:pPr>
              <w:pStyle w:val="TableParagraph"/>
              <w:spacing w:line="189" w:lineRule="exact"/>
              <w:ind w:left="132" w:right="111"/>
              <w:rPr>
                <w:sz w:val="16"/>
              </w:rPr>
            </w:pPr>
            <w:r>
              <w:rPr>
                <w:sz w:val="16"/>
              </w:rPr>
              <w:t>136</w:t>
            </w:r>
          </w:p>
        </w:tc>
        <w:tc>
          <w:tcPr>
            <w:tcW w:w="568" w:type="dxa"/>
          </w:tcPr>
          <w:p>
            <w:pPr>
              <w:pStyle w:val="TableParagraph"/>
              <w:spacing w:line="189" w:lineRule="exact"/>
              <w:ind w:left="111" w:right="140"/>
              <w:rPr>
                <w:sz w:val="16"/>
              </w:rPr>
            </w:pPr>
            <w:r>
              <w:rPr>
                <w:sz w:val="16"/>
              </w:rPr>
              <w:t>79%</w:t>
            </w:r>
          </w:p>
        </w:tc>
        <w:tc>
          <w:tcPr>
            <w:tcW w:w="952" w:type="dxa"/>
          </w:tcPr>
          <w:p>
            <w:pPr>
              <w:pStyle w:val="TableParagraph"/>
              <w:spacing w:line="189" w:lineRule="exact"/>
              <w:ind w:left="139" w:right="164"/>
              <w:rPr>
                <w:sz w:val="16"/>
              </w:rPr>
            </w:pPr>
            <w:r>
              <w:rPr>
                <w:sz w:val="16"/>
              </w:rPr>
              <w:t>0.009</w:t>
            </w:r>
          </w:p>
        </w:tc>
        <w:tc>
          <w:tcPr>
            <w:tcW w:w="722" w:type="dxa"/>
          </w:tcPr>
          <w:p>
            <w:pPr>
              <w:pStyle w:val="TableParagraph"/>
              <w:spacing w:line="189"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89" w:lineRule="exact"/>
              <w:ind w:left="196" w:right="188"/>
              <w:rPr>
                <w:sz w:val="16"/>
              </w:rPr>
            </w:pPr>
            <w:r>
              <w:rPr>
                <w:sz w:val="16"/>
              </w:rPr>
              <w:t>1.10(0.49, 1.70)</w:t>
            </w:r>
          </w:p>
        </w:tc>
        <w:tc>
          <w:tcPr>
            <w:tcW w:w="1012" w:type="dxa"/>
          </w:tcPr>
          <w:p>
            <w:pPr>
              <w:pStyle w:val="TableParagraph"/>
              <w:spacing w:line="189" w:lineRule="exact"/>
              <w:ind w:left="283"/>
              <w:jc w:val="left"/>
              <w:rPr>
                <w:sz w:val="16"/>
              </w:rPr>
            </w:pPr>
            <w:r>
              <w:rPr>
                <w:sz w:val="16"/>
              </w:rPr>
              <w:t>0.000 4</w:t>
            </w:r>
          </w:p>
        </w:tc>
      </w:tr>
      <w:tr>
        <w:trPr>
          <w:trHeight w:val="206" w:hRule="atLeast"/>
        </w:trPr>
        <w:tc>
          <w:tcPr>
            <w:tcW w:w="1109" w:type="dxa"/>
          </w:tcPr>
          <w:p>
            <w:pPr>
              <w:pStyle w:val="TableParagraph"/>
              <w:jc w:val="left"/>
              <w:rPr>
                <w:rFonts w:ascii="Times New Roman"/>
                <w:sz w:val="14"/>
              </w:rPr>
            </w:pPr>
          </w:p>
        </w:tc>
        <w:tc>
          <w:tcPr>
            <w:tcW w:w="1722" w:type="dxa"/>
          </w:tcPr>
          <w:p>
            <w:pPr>
              <w:pStyle w:val="TableParagraph"/>
              <w:spacing w:line="187" w:lineRule="exact"/>
              <w:ind w:left="310" w:right="234"/>
              <w:rPr>
                <w:sz w:val="16"/>
              </w:rPr>
            </w:pPr>
            <w:r>
              <w:rPr>
                <w:sz w:val="16"/>
              </w:rPr>
              <w:t>LA + Los. vs. Los.</w:t>
            </w:r>
          </w:p>
        </w:tc>
        <w:tc>
          <w:tcPr>
            <w:tcW w:w="915" w:type="dxa"/>
          </w:tcPr>
          <w:p>
            <w:pPr>
              <w:pStyle w:val="TableParagraph"/>
              <w:spacing w:line="187" w:lineRule="exact"/>
              <w:ind w:right="378"/>
              <w:jc w:val="right"/>
              <w:rPr>
                <w:sz w:val="16"/>
              </w:rPr>
            </w:pPr>
            <w:r>
              <w:rPr>
                <w:w w:val="100"/>
                <w:sz w:val="16"/>
              </w:rPr>
              <w:t>2</w:t>
            </w:r>
          </w:p>
        </w:tc>
        <w:tc>
          <w:tcPr>
            <w:tcW w:w="658" w:type="dxa"/>
          </w:tcPr>
          <w:p>
            <w:pPr>
              <w:pStyle w:val="TableParagraph"/>
              <w:spacing w:line="187" w:lineRule="exact"/>
              <w:ind w:left="154" w:right="133"/>
              <w:rPr>
                <w:sz w:val="16"/>
              </w:rPr>
            </w:pPr>
            <w:r>
              <w:rPr>
                <w:sz w:val="16"/>
              </w:rPr>
              <w:t>70</w:t>
            </w:r>
          </w:p>
        </w:tc>
        <w:tc>
          <w:tcPr>
            <w:tcW w:w="609" w:type="dxa"/>
          </w:tcPr>
          <w:p>
            <w:pPr>
              <w:pStyle w:val="TableParagraph"/>
              <w:spacing w:line="187" w:lineRule="exact"/>
              <w:ind w:left="132" w:right="111"/>
              <w:rPr>
                <w:sz w:val="16"/>
              </w:rPr>
            </w:pPr>
            <w:r>
              <w:rPr>
                <w:sz w:val="16"/>
              </w:rPr>
              <w:t>70</w:t>
            </w:r>
          </w:p>
        </w:tc>
        <w:tc>
          <w:tcPr>
            <w:tcW w:w="568" w:type="dxa"/>
          </w:tcPr>
          <w:p>
            <w:pPr>
              <w:pStyle w:val="TableParagraph"/>
              <w:spacing w:line="187" w:lineRule="exact"/>
              <w:ind w:left="111" w:right="140"/>
              <w:rPr>
                <w:sz w:val="16"/>
              </w:rPr>
            </w:pPr>
            <w:r>
              <w:rPr>
                <w:sz w:val="16"/>
              </w:rPr>
              <w:t>0%</w:t>
            </w:r>
          </w:p>
        </w:tc>
        <w:tc>
          <w:tcPr>
            <w:tcW w:w="952" w:type="dxa"/>
          </w:tcPr>
          <w:p>
            <w:pPr>
              <w:pStyle w:val="TableParagraph"/>
              <w:spacing w:line="187" w:lineRule="exact"/>
              <w:ind w:left="139" w:right="164"/>
              <w:rPr>
                <w:sz w:val="16"/>
              </w:rPr>
            </w:pPr>
            <w:r>
              <w:rPr>
                <w:sz w:val="16"/>
              </w:rPr>
              <w:t>0.36</w:t>
            </w:r>
          </w:p>
        </w:tc>
        <w:tc>
          <w:tcPr>
            <w:tcW w:w="722" w:type="dxa"/>
          </w:tcPr>
          <w:p>
            <w:pPr>
              <w:pStyle w:val="TableParagraph"/>
              <w:spacing w:line="187" w:lineRule="exact"/>
              <w:ind w:right="217"/>
              <w:jc w:val="right"/>
              <w:rPr>
                <w:rFonts w:ascii="宋体" w:eastAsia="宋体" w:hint="eastAsia"/>
                <w:sz w:val="16"/>
              </w:rPr>
            </w:pPr>
            <w:r>
              <w:rPr>
                <w:rFonts w:ascii="宋体" w:eastAsia="宋体" w:hint="eastAsia"/>
                <w:sz w:val="16"/>
              </w:rPr>
              <w:t>固定</w:t>
            </w:r>
          </w:p>
        </w:tc>
        <w:tc>
          <w:tcPr>
            <w:tcW w:w="1451" w:type="dxa"/>
          </w:tcPr>
          <w:p>
            <w:pPr>
              <w:pStyle w:val="TableParagraph"/>
              <w:spacing w:line="187" w:lineRule="exact"/>
              <w:ind w:left="196" w:right="189"/>
              <w:rPr>
                <w:sz w:val="16"/>
              </w:rPr>
            </w:pPr>
            <w:r>
              <w:rPr>
                <w:sz w:val="16"/>
              </w:rPr>
              <w:t>1.69(1.30, 2.08)</w:t>
            </w:r>
          </w:p>
        </w:tc>
        <w:tc>
          <w:tcPr>
            <w:tcW w:w="1012" w:type="dxa"/>
          </w:tcPr>
          <w:p>
            <w:pPr>
              <w:pStyle w:val="TableParagraph"/>
              <w:spacing w:line="187" w:lineRule="exact"/>
              <w:ind w:left="183" w:right="145"/>
              <w:rPr>
                <w:sz w:val="16"/>
              </w:rPr>
            </w:pPr>
            <w:r>
              <w:rPr>
                <w:sz w:val="16"/>
              </w:rPr>
              <w:t>&lt;0.000 01</w:t>
            </w:r>
          </w:p>
        </w:tc>
      </w:tr>
      <w:tr>
        <w:trPr>
          <w:trHeight w:val="210" w:hRule="atLeast"/>
        </w:trPr>
        <w:tc>
          <w:tcPr>
            <w:tcW w:w="1109" w:type="dxa"/>
          </w:tcPr>
          <w:p>
            <w:pPr>
              <w:pStyle w:val="TableParagraph"/>
              <w:spacing w:line="190" w:lineRule="exact"/>
              <w:ind w:left="143" w:right="140"/>
              <w:rPr>
                <w:rFonts w:ascii="宋体" w:eastAsia="宋体" w:hint="eastAsia"/>
                <w:sz w:val="16"/>
              </w:rPr>
            </w:pPr>
            <w:r>
              <w:rPr>
                <w:sz w:val="16"/>
              </w:rPr>
              <w:t>DBP </w:t>
            </w:r>
            <w:r>
              <w:rPr>
                <w:rFonts w:ascii="宋体" w:eastAsia="宋体" w:hint="eastAsia"/>
                <w:sz w:val="16"/>
              </w:rPr>
              <w:t>降低值</w:t>
            </w:r>
          </w:p>
        </w:tc>
        <w:tc>
          <w:tcPr>
            <w:tcW w:w="1722" w:type="dxa"/>
          </w:tcPr>
          <w:p>
            <w:pPr>
              <w:pStyle w:val="TableParagraph"/>
              <w:spacing w:line="190" w:lineRule="exact"/>
              <w:ind w:left="310" w:right="234"/>
              <w:rPr>
                <w:sz w:val="16"/>
              </w:rPr>
            </w:pPr>
            <w:r>
              <w:rPr>
                <w:sz w:val="16"/>
              </w:rPr>
              <w:t>LA + Irb. vs. Irb.</w:t>
            </w:r>
          </w:p>
        </w:tc>
        <w:tc>
          <w:tcPr>
            <w:tcW w:w="915" w:type="dxa"/>
          </w:tcPr>
          <w:p>
            <w:pPr>
              <w:pStyle w:val="TableParagraph"/>
              <w:spacing w:line="190" w:lineRule="exact"/>
              <w:ind w:right="337"/>
              <w:jc w:val="right"/>
              <w:rPr>
                <w:sz w:val="16"/>
              </w:rPr>
            </w:pPr>
            <w:r>
              <w:rPr>
                <w:sz w:val="16"/>
              </w:rPr>
              <w:t>25</w:t>
            </w:r>
          </w:p>
        </w:tc>
        <w:tc>
          <w:tcPr>
            <w:tcW w:w="658" w:type="dxa"/>
          </w:tcPr>
          <w:p>
            <w:pPr>
              <w:pStyle w:val="TableParagraph"/>
              <w:spacing w:line="190" w:lineRule="exact"/>
              <w:ind w:left="159" w:right="133"/>
              <w:rPr>
                <w:sz w:val="16"/>
              </w:rPr>
            </w:pPr>
            <w:r>
              <w:rPr>
                <w:sz w:val="16"/>
              </w:rPr>
              <w:t>1298</w:t>
            </w:r>
          </w:p>
        </w:tc>
        <w:tc>
          <w:tcPr>
            <w:tcW w:w="609" w:type="dxa"/>
          </w:tcPr>
          <w:p>
            <w:pPr>
              <w:pStyle w:val="TableParagraph"/>
              <w:spacing w:line="190" w:lineRule="exact"/>
              <w:ind w:left="132" w:right="111"/>
              <w:rPr>
                <w:sz w:val="16"/>
              </w:rPr>
            </w:pPr>
            <w:r>
              <w:rPr>
                <w:sz w:val="16"/>
              </w:rPr>
              <w:t>1297</w:t>
            </w:r>
          </w:p>
        </w:tc>
        <w:tc>
          <w:tcPr>
            <w:tcW w:w="568" w:type="dxa"/>
          </w:tcPr>
          <w:p>
            <w:pPr>
              <w:pStyle w:val="TableParagraph"/>
              <w:spacing w:line="190" w:lineRule="exact"/>
              <w:ind w:left="111" w:right="140"/>
              <w:rPr>
                <w:sz w:val="16"/>
              </w:rPr>
            </w:pPr>
            <w:r>
              <w:rPr>
                <w:sz w:val="16"/>
              </w:rPr>
              <w:t>91%</w:t>
            </w:r>
          </w:p>
        </w:tc>
        <w:tc>
          <w:tcPr>
            <w:tcW w:w="952" w:type="dxa"/>
          </w:tcPr>
          <w:p>
            <w:pPr>
              <w:pStyle w:val="TableParagraph"/>
              <w:spacing w:line="190" w:lineRule="exact"/>
              <w:ind w:left="141" w:right="164"/>
              <w:rPr>
                <w:sz w:val="16"/>
              </w:rPr>
            </w:pPr>
            <w:r>
              <w:rPr>
                <w:sz w:val="16"/>
              </w:rPr>
              <w:t>&lt;0.00001</w:t>
            </w:r>
          </w:p>
        </w:tc>
        <w:tc>
          <w:tcPr>
            <w:tcW w:w="722" w:type="dxa"/>
          </w:tcPr>
          <w:p>
            <w:pPr>
              <w:pStyle w:val="TableParagraph"/>
              <w:spacing w:line="190"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90" w:lineRule="exact"/>
              <w:ind w:left="196" w:right="189"/>
              <w:rPr>
                <w:sz w:val="16"/>
              </w:rPr>
            </w:pPr>
            <w:r>
              <w:rPr>
                <w:sz w:val="16"/>
              </w:rPr>
              <w:t>0.93(0.65, 1.21)</w:t>
            </w:r>
          </w:p>
        </w:tc>
        <w:tc>
          <w:tcPr>
            <w:tcW w:w="1012" w:type="dxa"/>
          </w:tcPr>
          <w:p>
            <w:pPr>
              <w:pStyle w:val="TableParagraph"/>
              <w:spacing w:line="190" w:lineRule="exact"/>
              <w:ind w:left="183" w:right="145"/>
              <w:rPr>
                <w:sz w:val="16"/>
              </w:rPr>
            </w:pPr>
            <w:r>
              <w:rPr>
                <w:sz w:val="16"/>
              </w:rPr>
              <w:t>&lt;0.000 01</w:t>
            </w:r>
          </w:p>
        </w:tc>
      </w:tr>
      <w:tr>
        <w:trPr>
          <w:trHeight w:val="205" w:hRule="atLeast"/>
        </w:trPr>
        <w:tc>
          <w:tcPr>
            <w:tcW w:w="1109" w:type="dxa"/>
          </w:tcPr>
          <w:p>
            <w:pPr>
              <w:pStyle w:val="TableParagraph"/>
              <w:jc w:val="left"/>
              <w:rPr>
                <w:rFonts w:ascii="Times New Roman"/>
                <w:sz w:val="14"/>
              </w:rPr>
            </w:pPr>
          </w:p>
        </w:tc>
        <w:tc>
          <w:tcPr>
            <w:tcW w:w="1722" w:type="dxa"/>
          </w:tcPr>
          <w:p>
            <w:pPr>
              <w:pStyle w:val="TableParagraph"/>
              <w:spacing w:line="185" w:lineRule="exact"/>
              <w:ind w:left="309" w:right="234"/>
              <w:rPr>
                <w:sz w:val="16"/>
              </w:rPr>
            </w:pPr>
            <w:r>
              <w:rPr>
                <w:sz w:val="16"/>
              </w:rPr>
              <w:t>LA + Val. vs. Val.</w:t>
            </w:r>
          </w:p>
        </w:tc>
        <w:tc>
          <w:tcPr>
            <w:tcW w:w="915" w:type="dxa"/>
          </w:tcPr>
          <w:p>
            <w:pPr>
              <w:pStyle w:val="TableParagraph"/>
              <w:spacing w:line="185" w:lineRule="exact"/>
              <w:ind w:right="337"/>
              <w:jc w:val="right"/>
              <w:rPr>
                <w:sz w:val="16"/>
              </w:rPr>
            </w:pPr>
            <w:r>
              <w:rPr>
                <w:sz w:val="16"/>
              </w:rPr>
              <w:t>21</w:t>
            </w:r>
          </w:p>
        </w:tc>
        <w:tc>
          <w:tcPr>
            <w:tcW w:w="658" w:type="dxa"/>
          </w:tcPr>
          <w:p>
            <w:pPr>
              <w:pStyle w:val="TableParagraph"/>
              <w:spacing w:line="185" w:lineRule="exact"/>
              <w:ind w:left="159" w:right="133"/>
              <w:rPr>
                <w:sz w:val="16"/>
              </w:rPr>
            </w:pPr>
            <w:r>
              <w:rPr>
                <w:sz w:val="16"/>
              </w:rPr>
              <w:t>978</w:t>
            </w:r>
          </w:p>
        </w:tc>
        <w:tc>
          <w:tcPr>
            <w:tcW w:w="609" w:type="dxa"/>
          </w:tcPr>
          <w:p>
            <w:pPr>
              <w:pStyle w:val="TableParagraph"/>
              <w:spacing w:line="185" w:lineRule="exact"/>
              <w:ind w:left="132" w:right="111"/>
              <w:rPr>
                <w:sz w:val="16"/>
              </w:rPr>
            </w:pPr>
            <w:r>
              <w:rPr>
                <w:sz w:val="16"/>
              </w:rPr>
              <w:t>965</w:t>
            </w:r>
          </w:p>
        </w:tc>
        <w:tc>
          <w:tcPr>
            <w:tcW w:w="568" w:type="dxa"/>
          </w:tcPr>
          <w:p>
            <w:pPr>
              <w:pStyle w:val="TableParagraph"/>
              <w:spacing w:line="185" w:lineRule="exact"/>
              <w:ind w:left="111" w:right="140"/>
              <w:rPr>
                <w:sz w:val="16"/>
              </w:rPr>
            </w:pPr>
            <w:r>
              <w:rPr>
                <w:sz w:val="16"/>
              </w:rPr>
              <w:t>83%</w:t>
            </w:r>
          </w:p>
        </w:tc>
        <w:tc>
          <w:tcPr>
            <w:tcW w:w="952" w:type="dxa"/>
          </w:tcPr>
          <w:p>
            <w:pPr>
              <w:pStyle w:val="TableParagraph"/>
              <w:spacing w:line="185" w:lineRule="exact"/>
              <w:ind w:left="141" w:right="164"/>
              <w:rPr>
                <w:sz w:val="16"/>
              </w:rPr>
            </w:pPr>
            <w:r>
              <w:rPr>
                <w:sz w:val="16"/>
              </w:rPr>
              <w:t>&lt;0.00001</w:t>
            </w:r>
          </w:p>
        </w:tc>
        <w:tc>
          <w:tcPr>
            <w:tcW w:w="722" w:type="dxa"/>
          </w:tcPr>
          <w:p>
            <w:pPr>
              <w:pStyle w:val="TableParagraph"/>
              <w:spacing w:line="185"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85" w:lineRule="exact"/>
              <w:ind w:left="196" w:right="189"/>
              <w:rPr>
                <w:sz w:val="16"/>
              </w:rPr>
            </w:pPr>
            <w:r>
              <w:rPr>
                <w:sz w:val="16"/>
              </w:rPr>
              <w:t>0.95(0.71, 1.18)</w:t>
            </w:r>
          </w:p>
        </w:tc>
        <w:tc>
          <w:tcPr>
            <w:tcW w:w="1012" w:type="dxa"/>
          </w:tcPr>
          <w:p>
            <w:pPr>
              <w:pStyle w:val="TableParagraph"/>
              <w:spacing w:line="185" w:lineRule="exact"/>
              <w:ind w:left="183" w:right="145"/>
              <w:rPr>
                <w:sz w:val="16"/>
              </w:rPr>
            </w:pPr>
            <w:r>
              <w:rPr>
                <w:sz w:val="16"/>
              </w:rPr>
              <w:t>&lt;0.000 01</w:t>
            </w:r>
          </w:p>
        </w:tc>
      </w:tr>
      <w:tr>
        <w:trPr>
          <w:trHeight w:val="207" w:hRule="atLeast"/>
        </w:trPr>
        <w:tc>
          <w:tcPr>
            <w:tcW w:w="1109" w:type="dxa"/>
          </w:tcPr>
          <w:p>
            <w:pPr>
              <w:pStyle w:val="TableParagraph"/>
              <w:jc w:val="left"/>
              <w:rPr>
                <w:rFonts w:ascii="Times New Roman"/>
                <w:sz w:val="14"/>
              </w:rPr>
            </w:pPr>
          </w:p>
        </w:tc>
        <w:tc>
          <w:tcPr>
            <w:tcW w:w="1722" w:type="dxa"/>
          </w:tcPr>
          <w:p>
            <w:pPr>
              <w:pStyle w:val="TableParagraph"/>
              <w:spacing w:line="188" w:lineRule="exact"/>
              <w:ind w:left="309" w:right="234"/>
              <w:rPr>
                <w:sz w:val="16"/>
              </w:rPr>
            </w:pPr>
            <w:r>
              <w:rPr>
                <w:sz w:val="16"/>
              </w:rPr>
              <w:t>LA + Tel. vs. Tel.</w:t>
            </w:r>
          </w:p>
        </w:tc>
        <w:tc>
          <w:tcPr>
            <w:tcW w:w="915" w:type="dxa"/>
          </w:tcPr>
          <w:p>
            <w:pPr>
              <w:pStyle w:val="TableParagraph"/>
              <w:spacing w:line="188" w:lineRule="exact"/>
              <w:ind w:right="337"/>
              <w:jc w:val="right"/>
              <w:rPr>
                <w:sz w:val="16"/>
              </w:rPr>
            </w:pPr>
            <w:r>
              <w:rPr>
                <w:sz w:val="16"/>
              </w:rPr>
              <w:t>10</w:t>
            </w:r>
          </w:p>
        </w:tc>
        <w:tc>
          <w:tcPr>
            <w:tcW w:w="658" w:type="dxa"/>
          </w:tcPr>
          <w:p>
            <w:pPr>
              <w:pStyle w:val="TableParagraph"/>
              <w:spacing w:line="188" w:lineRule="exact"/>
              <w:ind w:left="159" w:right="133"/>
              <w:rPr>
                <w:sz w:val="16"/>
              </w:rPr>
            </w:pPr>
            <w:r>
              <w:rPr>
                <w:sz w:val="16"/>
              </w:rPr>
              <w:t>535</w:t>
            </w:r>
          </w:p>
        </w:tc>
        <w:tc>
          <w:tcPr>
            <w:tcW w:w="609" w:type="dxa"/>
          </w:tcPr>
          <w:p>
            <w:pPr>
              <w:pStyle w:val="TableParagraph"/>
              <w:spacing w:line="188" w:lineRule="exact"/>
              <w:ind w:left="132" w:right="111"/>
              <w:rPr>
                <w:sz w:val="16"/>
              </w:rPr>
            </w:pPr>
            <w:r>
              <w:rPr>
                <w:sz w:val="16"/>
              </w:rPr>
              <w:t>535</w:t>
            </w:r>
          </w:p>
        </w:tc>
        <w:tc>
          <w:tcPr>
            <w:tcW w:w="568" w:type="dxa"/>
          </w:tcPr>
          <w:p>
            <w:pPr>
              <w:pStyle w:val="TableParagraph"/>
              <w:spacing w:line="188" w:lineRule="exact"/>
              <w:ind w:left="111" w:right="140"/>
              <w:rPr>
                <w:sz w:val="16"/>
              </w:rPr>
            </w:pPr>
            <w:r>
              <w:rPr>
                <w:sz w:val="16"/>
              </w:rPr>
              <w:t>71%</w:t>
            </w:r>
          </w:p>
        </w:tc>
        <w:tc>
          <w:tcPr>
            <w:tcW w:w="952" w:type="dxa"/>
          </w:tcPr>
          <w:p>
            <w:pPr>
              <w:pStyle w:val="TableParagraph"/>
              <w:spacing w:line="188" w:lineRule="exact"/>
              <w:ind w:left="139" w:right="164"/>
              <w:rPr>
                <w:sz w:val="16"/>
              </w:rPr>
            </w:pPr>
            <w:r>
              <w:rPr>
                <w:sz w:val="16"/>
              </w:rPr>
              <w:t>0.0002</w:t>
            </w:r>
          </w:p>
        </w:tc>
        <w:tc>
          <w:tcPr>
            <w:tcW w:w="722" w:type="dxa"/>
          </w:tcPr>
          <w:p>
            <w:pPr>
              <w:pStyle w:val="TableParagraph"/>
              <w:spacing w:line="188"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88" w:lineRule="exact"/>
              <w:ind w:left="196" w:right="188"/>
              <w:rPr>
                <w:sz w:val="16"/>
              </w:rPr>
            </w:pPr>
            <w:r>
              <w:rPr>
                <w:sz w:val="16"/>
              </w:rPr>
              <w:t>0.87(0.63, 1.11)</w:t>
            </w:r>
          </w:p>
        </w:tc>
        <w:tc>
          <w:tcPr>
            <w:tcW w:w="1012" w:type="dxa"/>
          </w:tcPr>
          <w:p>
            <w:pPr>
              <w:pStyle w:val="TableParagraph"/>
              <w:spacing w:line="188" w:lineRule="exact"/>
              <w:ind w:left="183" w:right="145"/>
              <w:rPr>
                <w:sz w:val="16"/>
              </w:rPr>
            </w:pPr>
            <w:r>
              <w:rPr>
                <w:sz w:val="16"/>
              </w:rPr>
              <w:t>&lt;0.000 01</w:t>
            </w:r>
          </w:p>
        </w:tc>
      </w:tr>
      <w:tr>
        <w:trPr>
          <w:trHeight w:val="207" w:hRule="atLeast"/>
        </w:trPr>
        <w:tc>
          <w:tcPr>
            <w:tcW w:w="1109" w:type="dxa"/>
          </w:tcPr>
          <w:p>
            <w:pPr>
              <w:pStyle w:val="TableParagraph"/>
              <w:jc w:val="left"/>
              <w:rPr>
                <w:rFonts w:ascii="Times New Roman"/>
                <w:sz w:val="14"/>
              </w:rPr>
            </w:pPr>
          </w:p>
        </w:tc>
        <w:tc>
          <w:tcPr>
            <w:tcW w:w="1722" w:type="dxa"/>
          </w:tcPr>
          <w:p>
            <w:pPr>
              <w:pStyle w:val="TableParagraph"/>
              <w:spacing w:line="188" w:lineRule="exact"/>
              <w:ind w:left="314" w:right="234"/>
              <w:rPr>
                <w:sz w:val="16"/>
              </w:rPr>
            </w:pPr>
            <w:r>
              <w:rPr>
                <w:sz w:val="16"/>
              </w:rPr>
              <w:t>LA + Can. vs. Can.</w:t>
            </w:r>
          </w:p>
        </w:tc>
        <w:tc>
          <w:tcPr>
            <w:tcW w:w="915" w:type="dxa"/>
          </w:tcPr>
          <w:p>
            <w:pPr>
              <w:pStyle w:val="TableParagraph"/>
              <w:spacing w:line="188" w:lineRule="exact"/>
              <w:ind w:right="378"/>
              <w:jc w:val="right"/>
              <w:rPr>
                <w:sz w:val="16"/>
              </w:rPr>
            </w:pPr>
            <w:r>
              <w:rPr>
                <w:w w:val="100"/>
                <w:sz w:val="16"/>
              </w:rPr>
              <w:t>3</w:t>
            </w:r>
          </w:p>
        </w:tc>
        <w:tc>
          <w:tcPr>
            <w:tcW w:w="658" w:type="dxa"/>
          </w:tcPr>
          <w:p>
            <w:pPr>
              <w:pStyle w:val="TableParagraph"/>
              <w:spacing w:line="188" w:lineRule="exact"/>
              <w:ind w:left="159" w:right="133"/>
              <w:rPr>
                <w:sz w:val="16"/>
              </w:rPr>
            </w:pPr>
            <w:r>
              <w:rPr>
                <w:sz w:val="16"/>
              </w:rPr>
              <w:t>136</w:t>
            </w:r>
          </w:p>
        </w:tc>
        <w:tc>
          <w:tcPr>
            <w:tcW w:w="609" w:type="dxa"/>
          </w:tcPr>
          <w:p>
            <w:pPr>
              <w:pStyle w:val="TableParagraph"/>
              <w:spacing w:line="188" w:lineRule="exact"/>
              <w:ind w:left="132" w:right="111"/>
              <w:rPr>
                <w:sz w:val="16"/>
              </w:rPr>
            </w:pPr>
            <w:r>
              <w:rPr>
                <w:sz w:val="16"/>
              </w:rPr>
              <w:t>136</w:t>
            </w:r>
          </w:p>
        </w:tc>
        <w:tc>
          <w:tcPr>
            <w:tcW w:w="568" w:type="dxa"/>
          </w:tcPr>
          <w:p>
            <w:pPr>
              <w:pStyle w:val="TableParagraph"/>
              <w:spacing w:line="188" w:lineRule="exact"/>
              <w:ind w:left="111" w:right="140"/>
              <w:rPr>
                <w:sz w:val="16"/>
              </w:rPr>
            </w:pPr>
            <w:r>
              <w:rPr>
                <w:sz w:val="16"/>
              </w:rPr>
              <w:t>87%</w:t>
            </w:r>
          </w:p>
        </w:tc>
        <w:tc>
          <w:tcPr>
            <w:tcW w:w="952" w:type="dxa"/>
          </w:tcPr>
          <w:p>
            <w:pPr>
              <w:pStyle w:val="TableParagraph"/>
              <w:spacing w:line="188" w:lineRule="exact"/>
              <w:ind w:left="139" w:right="164"/>
              <w:rPr>
                <w:sz w:val="16"/>
              </w:rPr>
            </w:pPr>
            <w:r>
              <w:rPr>
                <w:sz w:val="16"/>
              </w:rPr>
              <w:t>0.0004</w:t>
            </w:r>
          </w:p>
        </w:tc>
        <w:tc>
          <w:tcPr>
            <w:tcW w:w="722" w:type="dxa"/>
          </w:tcPr>
          <w:p>
            <w:pPr>
              <w:pStyle w:val="TableParagraph"/>
              <w:spacing w:line="188" w:lineRule="exact"/>
              <w:ind w:right="217"/>
              <w:jc w:val="right"/>
              <w:rPr>
                <w:rFonts w:ascii="宋体" w:eastAsia="宋体" w:hint="eastAsia"/>
                <w:sz w:val="16"/>
              </w:rPr>
            </w:pPr>
            <w:r>
              <w:rPr>
                <w:rFonts w:ascii="宋体" w:eastAsia="宋体" w:hint="eastAsia"/>
                <w:sz w:val="16"/>
              </w:rPr>
              <w:t>随机</w:t>
            </w:r>
          </w:p>
        </w:tc>
        <w:tc>
          <w:tcPr>
            <w:tcW w:w="1451" w:type="dxa"/>
          </w:tcPr>
          <w:p>
            <w:pPr>
              <w:pStyle w:val="TableParagraph"/>
              <w:spacing w:line="188" w:lineRule="exact"/>
              <w:ind w:left="196" w:right="188"/>
              <w:rPr>
                <w:sz w:val="16"/>
              </w:rPr>
            </w:pPr>
            <w:r>
              <w:rPr>
                <w:sz w:val="16"/>
              </w:rPr>
              <w:t>0.79(0.04, 1.55)</w:t>
            </w:r>
          </w:p>
        </w:tc>
        <w:tc>
          <w:tcPr>
            <w:tcW w:w="1012" w:type="dxa"/>
          </w:tcPr>
          <w:p>
            <w:pPr>
              <w:pStyle w:val="TableParagraph"/>
              <w:spacing w:line="188" w:lineRule="exact"/>
              <w:ind w:left="182" w:right="145"/>
              <w:rPr>
                <w:sz w:val="16"/>
              </w:rPr>
            </w:pPr>
            <w:r>
              <w:rPr>
                <w:sz w:val="16"/>
              </w:rPr>
              <w:t>0.04</w:t>
            </w:r>
          </w:p>
        </w:tc>
      </w:tr>
      <w:tr>
        <w:trPr>
          <w:trHeight w:val="202" w:hRule="atLeast"/>
        </w:trPr>
        <w:tc>
          <w:tcPr>
            <w:tcW w:w="1109" w:type="dxa"/>
          </w:tcPr>
          <w:p>
            <w:pPr>
              <w:pStyle w:val="TableParagraph"/>
              <w:jc w:val="left"/>
              <w:rPr>
                <w:rFonts w:ascii="Times New Roman"/>
                <w:sz w:val="14"/>
              </w:rPr>
            </w:pPr>
          </w:p>
        </w:tc>
        <w:tc>
          <w:tcPr>
            <w:tcW w:w="1722" w:type="dxa"/>
            <w:tcBorders>
              <w:bottom w:val="single" w:sz="4" w:space="0" w:color="000000"/>
            </w:tcBorders>
          </w:tcPr>
          <w:p>
            <w:pPr>
              <w:pStyle w:val="TableParagraph"/>
              <w:spacing w:line="182" w:lineRule="exact"/>
              <w:ind w:left="310" w:right="234"/>
              <w:rPr>
                <w:sz w:val="16"/>
              </w:rPr>
            </w:pPr>
            <w:r>
              <w:rPr>
                <w:sz w:val="16"/>
              </w:rPr>
              <w:t>LA + Los. vs. Los.</w:t>
            </w:r>
          </w:p>
        </w:tc>
        <w:tc>
          <w:tcPr>
            <w:tcW w:w="915" w:type="dxa"/>
            <w:tcBorders>
              <w:bottom w:val="single" w:sz="4" w:space="0" w:color="000000"/>
            </w:tcBorders>
          </w:tcPr>
          <w:p>
            <w:pPr>
              <w:pStyle w:val="TableParagraph"/>
              <w:spacing w:line="182" w:lineRule="exact"/>
              <w:ind w:right="378"/>
              <w:jc w:val="right"/>
              <w:rPr>
                <w:sz w:val="16"/>
              </w:rPr>
            </w:pPr>
            <w:r>
              <w:rPr>
                <w:w w:val="100"/>
                <w:sz w:val="16"/>
              </w:rPr>
              <w:t>2</w:t>
            </w:r>
          </w:p>
        </w:tc>
        <w:tc>
          <w:tcPr>
            <w:tcW w:w="658" w:type="dxa"/>
            <w:tcBorders>
              <w:bottom w:val="single" w:sz="4" w:space="0" w:color="000000"/>
            </w:tcBorders>
          </w:tcPr>
          <w:p>
            <w:pPr>
              <w:pStyle w:val="TableParagraph"/>
              <w:spacing w:line="182" w:lineRule="exact"/>
              <w:ind w:left="154" w:right="133"/>
              <w:rPr>
                <w:sz w:val="16"/>
              </w:rPr>
            </w:pPr>
            <w:r>
              <w:rPr>
                <w:sz w:val="16"/>
              </w:rPr>
              <w:t>70</w:t>
            </w:r>
          </w:p>
        </w:tc>
        <w:tc>
          <w:tcPr>
            <w:tcW w:w="609" w:type="dxa"/>
            <w:tcBorders>
              <w:bottom w:val="single" w:sz="4" w:space="0" w:color="000000"/>
            </w:tcBorders>
          </w:tcPr>
          <w:p>
            <w:pPr>
              <w:pStyle w:val="TableParagraph"/>
              <w:spacing w:line="182" w:lineRule="exact"/>
              <w:ind w:left="132" w:right="111"/>
              <w:rPr>
                <w:sz w:val="16"/>
              </w:rPr>
            </w:pPr>
            <w:r>
              <w:rPr>
                <w:sz w:val="16"/>
              </w:rPr>
              <w:t>70</w:t>
            </w:r>
          </w:p>
        </w:tc>
        <w:tc>
          <w:tcPr>
            <w:tcW w:w="568" w:type="dxa"/>
            <w:tcBorders>
              <w:bottom w:val="single" w:sz="4" w:space="0" w:color="000000"/>
            </w:tcBorders>
          </w:tcPr>
          <w:p>
            <w:pPr>
              <w:pStyle w:val="TableParagraph"/>
              <w:spacing w:line="182" w:lineRule="exact"/>
              <w:ind w:left="111" w:right="140"/>
              <w:rPr>
                <w:sz w:val="16"/>
              </w:rPr>
            </w:pPr>
            <w:r>
              <w:rPr>
                <w:sz w:val="16"/>
              </w:rPr>
              <w:t>0%</w:t>
            </w:r>
          </w:p>
        </w:tc>
        <w:tc>
          <w:tcPr>
            <w:tcW w:w="952" w:type="dxa"/>
            <w:tcBorders>
              <w:bottom w:val="single" w:sz="4" w:space="0" w:color="000000"/>
            </w:tcBorders>
          </w:tcPr>
          <w:p>
            <w:pPr>
              <w:pStyle w:val="TableParagraph"/>
              <w:spacing w:line="182" w:lineRule="exact"/>
              <w:ind w:left="139" w:right="164"/>
              <w:rPr>
                <w:sz w:val="16"/>
              </w:rPr>
            </w:pPr>
            <w:r>
              <w:rPr>
                <w:sz w:val="16"/>
              </w:rPr>
              <w:t>0.48</w:t>
            </w:r>
          </w:p>
        </w:tc>
        <w:tc>
          <w:tcPr>
            <w:tcW w:w="722" w:type="dxa"/>
            <w:tcBorders>
              <w:bottom w:val="single" w:sz="4" w:space="0" w:color="000000"/>
            </w:tcBorders>
          </w:tcPr>
          <w:p>
            <w:pPr>
              <w:pStyle w:val="TableParagraph"/>
              <w:spacing w:line="182" w:lineRule="exact"/>
              <w:ind w:right="217"/>
              <w:jc w:val="right"/>
              <w:rPr>
                <w:rFonts w:ascii="宋体" w:eastAsia="宋体" w:hint="eastAsia"/>
                <w:sz w:val="16"/>
              </w:rPr>
            </w:pPr>
            <w:r>
              <w:rPr>
                <w:rFonts w:ascii="宋体" w:eastAsia="宋体" w:hint="eastAsia"/>
                <w:sz w:val="16"/>
              </w:rPr>
              <w:t>固定</w:t>
            </w:r>
          </w:p>
        </w:tc>
        <w:tc>
          <w:tcPr>
            <w:tcW w:w="1451" w:type="dxa"/>
            <w:tcBorders>
              <w:bottom w:val="single" w:sz="4" w:space="0" w:color="000000"/>
            </w:tcBorders>
          </w:tcPr>
          <w:p>
            <w:pPr>
              <w:pStyle w:val="TableParagraph"/>
              <w:spacing w:line="182" w:lineRule="exact"/>
              <w:ind w:left="196" w:right="189"/>
              <w:rPr>
                <w:sz w:val="16"/>
              </w:rPr>
            </w:pPr>
            <w:r>
              <w:rPr>
                <w:sz w:val="16"/>
              </w:rPr>
              <w:t>1.71(1.32, 2.10)</w:t>
            </w:r>
          </w:p>
        </w:tc>
        <w:tc>
          <w:tcPr>
            <w:tcW w:w="1012" w:type="dxa"/>
            <w:tcBorders>
              <w:bottom w:val="single" w:sz="4" w:space="0" w:color="000000"/>
            </w:tcBorders>
          </w:tcPr>
          <w:p>
            <w:pPr>
              <w:pStyle w:val="TableParagraph"/>
              <w:spacing w:line="182" w:lineRule="exact"/>
              <w:ind w:left="183" w:right="145"/>
              <w:rPr>
                <w:sz w:val="16"/>
              </w:rPr>
            </w:pPr>
            <w:r>
              <w:rPr>
                <w:sz w:val="16"/>
              </w:rPr>
              <w:t>&lt;0.000 01</w:t>
            </w:r>
          </w:p>
        </w:tc>
      </w:tr>
    </w:tbl>
    <w:p>
      <w:pPr>
        <w:spacing w:before="7"/>
        <w:ind w:left="237" w:right="0" w:firstLine="0"/>
        <w:jc w:val="left"/>
        <w:rPr>
          <w:rFonts w:ascii="华文楷体" w:eastAsia="华文楷体" w:hint="eastAsia"/>
          <w:sz w:val="18"/>
        </w:rPr>
      </w:pPr>
      <w:r>
        <w:rPr>
          <w:rFonts w:ascii="华文楷体" w:eastAsia="华文楷体" w:hint="eastAsia"/>
          <w:sz w:val="18"/>
        </w:rPr>
        <w:t>备注：Irb.：厄贝沙坦；Val.：缬沙坦；Tel.：替米沙坦；Can.：坎地沙坦；Los.：氯沙坦。</w:t>
      </w:r>
    </w:p>
    <w:p>
      <w:pPr>
        <w:spacing w:after="0"/>
        <w:jc w:val="left"/>
        <w:rPr>
          <w:rFonts w:ascii="华文楷体" w:eastAsia="华文楷体" w:hint="eastAsia"/>
          <w:sz w:val="18"/>
        </w:rPr>
        <w:sectPr>
          <w:pgSz w:w="11910" w:h="16850"/>
          <w:pgMar w:header="906" w:footer="607" w:top="1100" w:bottom="800" w:left="1040" w:right="86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8"/>
        <w:gridCol w:w="956"/>
        <w:gridCol w:w="1103"/>
        <w:gridCol w:w="1018"/>
        <w:gridCol w:w="708"/>
        <w:gridCol w:w="749"/>
        <w:gridCol w:w="899"/>
        <w:gridCol w:w="1446"/>
        <w:gridCol w:w="1081"/>
      </w:tblGrid>
      <w:tr>
        <w:trPr>
          <w:trHeight w:val="311" w:hRule="atLeast"/>
        </w:trPr>
        <w:tc>
          <w:tcPr>
            <w:tcW w:w="1768" w:type="dxa"/>
            <w:tcBorders>
              <w:top w:val="single" w:sz="6" w:space="0" w:color="000000"/>
              <w:bottom w:val="single" w:sz="4" w:space="0" w:color="000000"/>
            </w:tcBorders>
          </w:tcPr>
          <w:p>
            <w:pPr>
              <w:pStyle w:val="TableParagraph"/>
              <w:spacing w:line="292" w:lineRule="exact"/>
              <w:ind w:left="98" w:right="4"/>
              <w:rPr>
                <w:rFonts w:ascii="华文楷体" w:eastAsia="华文楷体" w:hint="eastAsia"/>
                <w:sz w:val="18"/>
              </w:rPr>
            </w:pPr>
            <w:r>
              <w:rPr>
                <w:rFonts w:ascii="华文楷体" w:eastAsia="华文楷体" w:hint="eastAsia"/>
                <w:sz w:val="18"/>
              </w:rPr>
              <w:t>表4 LA+ARB vs. ARB</w:t>
            </w:r>
          </w:p>
        </w:tc>
        <w:tc>
          <w:tcPr>
            <w:tcW w:w="956" w:type="dxa"/>
            <w:tcBorders>
              <w:top w:val="single" w:sz="6" w:space="0" w:color="000000"/>
              <w:bottom w:val="single" w:sz="4" w:space="0" w:color="000000"/>
            </w:tcBorders>
          </w:tcPr>
          <w:p>
            <w:pPr>
              <w:pStyle w:val="TableParagraph"/>
              <w:spacing w:line="292" w:lineRule="exact"/>
              <w:ind w:left="-25" w:right="-72"/>
              <w:rPr>
                <w:rFonts w:ascii="华文楷体" w:eastAsia="华文楷体" w:hint="eastAsia"/>
                <w:sz w:val="18"/>
              </w:rPr>
            </w:pPr>
            <w:r>
              <w:rPr>
                <w:rFonts w:ascii="华文楷体" w:eastAsia="华文楷体" w:hint="eastAsia"/>
                <w:sz w:val="18"/>
              </w:rPr>
              <w:t>总有效率的m</w:t>
            </w:r>
          </w:p>
        </w:tc>
        <w:tc>
          <w:tcPr>
            <w:tcW w:w="2121" w:type="dxa"/>
            <w:gridSpan w:val="2"/>
            <w:tcBorders>
              <w:top w:val="single" w:sz="6" w:space="0" w:color="000000"/>
              <w:bottom w:val="single" w:sz="4" w:space="0" w:color="000000"/>
            </w:tcBorders>
          </w:tcPr>
          <w:p>
            <w:pPr>
              <w:pStyle w:val="TableParagraph"/>
              <w:spacing w:line="292" w:lineRule="exact"/>
              <w:ind w:left="58"/>
              <w:jc w:val="left"/>
              <w:rPr>
                <w:rFonts w:ascii="华文楷体" w:eastAsia="华文楷体" w:hint="eastAsia"/>
                <w:sz w:val="18"/>
              </w:rPr>
            </w:pPr>
            <w:r>
              <w:rPr>
                <w:rFonts w:ascii="华文楷体" w:eastAsia="华文楷体" w:hint="eastAsia"/>
                <w:sz w:val="18"/>
              </w:rPr>
              <w:t>eta分析结果</w:t>
            </w:r>
          </w:p>
        </w:tc>
        <w:tc>
          <w:tcPr>
            <w:tcW w:w="1457" w:type="dxa"/>
            <w:gridSpan w:val="2"/>
            <w:tcBorders>
              <w:top w:val="single" w:sz="6" w:space="0" w:color="000000"/>
              <w:bottom w:val="single" w:sz="4" w:space="0" w:color="000000"/>
            </w:tcBorders>
          </w:tcPr>
          <w:p>
            <w:pPr>
              <w:pStyle w:val="TableParagraph"/>
              <w:jc w:val="left"/>
              <w:rPr>
                <w:rFonts w:ascii="Times New Roman"/>
                <w:sz w:val="20"/>
              </w:rPr>
            </w:pPr>
          </w:p>
        </w:tc>
        <w:tc>
          <w:tcPr>
            <w:tcW w:w="899" w:type="dxa"/>
            <w:tcBorders>
              <w:top w:val="single" w:sz="6" w:space="0" w:color="000000"/>
              <w:bottom w:val="single" w:sz="4" w:space="0" w:color="000000"/>
            </w:tcBorders>
          </w:tcPr>
          <w:p>
            <w:pPr>
              <w:pStyle w:val="TableParagraph"/>
              <w:jc w:val="left"/>
              <w:rPr>
                <w:rFonts w:ascii="Times New Roman"/>
                <w:sz w:val="20"/>
              </w:rPr>
            </w:pPr>
          </w:p>
        </w:tc>
        <w:tc>
          <w:tcPr>
            <w:tcW w:w="1446" w:type="dxa"/>
            <w:tcBorders>
              <w:top w:val="single" w:sz="6" w:space="0" w:color="000000"/>
              <w:bottom w:val="single" w:sz="4" w:space="0" w:color="000000"/>
            </w:tcBorders>
          </w:tcPr>
          <w:p>
            <w:pPr>
              <w:pStyle w:val="TableParagraph"/>
              <w:jc w:val="left"/>
              <w:rPr>
                <w:rFonts w:ascii="Times New Roman"/>
                <w:sz w:val="20"/>
              </w:rPr>
            </w:pPr>
          </w:p>
        </w:tc>
        <w:tc>
          <w:tcPr>
            <w:tcW w:w="1081" w:type="dxa"/>
            <w:tcBorders>
              <w:top w:val="single" w:sz="6" w:space="0" w:color="000000"/>
              <w:bottom w:val="single" w:sz="4" w:space="0" w:color="000000"/>
            </w:tcBorders>
          </w:tcPr>
          <w:p>
            <w:pPr>
              <w:pStyle w:val="TableParagraph"/>
              <w:jc w:val="left"/>
              <w:rPr>
                <w:rFonts w:ascii="Times New Roman"/>
                <w:sz w:val="20"/>
              </w:rPr>
            </w:pPr>
          </w:p>
        </w:tc>
      </w:tr>
      <w:tr>
        <w:trPr>
          <w:trHeight w:val="178" w:hRule="atLeast"/>
        </w:trPr>
        <w:tc>
          <w:tcPr>
            <w:tcW w:w="1768" w:type="dxa"/>
            <w:vMerge w:val="restart"/>
            <w:tcBorders>
              <w:top w:val="single" w:sz="4" w:space="0" w:color="000000"/>
              <w:bottom w:val="single" w:sz="4" w:space="0" w:color="000000"/>
            </w:tcBorders>
          </w:tcPr>
          <w:p>
            <w:pPr>
              <w:pStyle w:val="TableParagraph"/>
              <w:spacing w:before="100"/>
              <w:ind w:left="601"/>
              <w:jc w:val="left"/>
              <w:rPr>
                <w:rFonts w:ascii="宋体" w:eastAsia="宋体" w:hint="eastAsia"/>
                <w:sz w:val="16"/>
              </w:rPr>
            </w:pPr>
            <w:r>
              <w:rPr>
                <w:rFonts w:ascii="宋体" w:eastAsia="宋体" w:hint="eastAsia"/>
                <w:sz w:val="16"/>
              </w:rPr>
              <w:t>干预措施</w:t>
            </w:r>
          </w:p>
        </w:tc>
        <w:tc>
          <w:tcPr>
            <w:tcW w:w="956" w:type="dxa"/>
            <w:vMerge w:val="restart"/>
            <w:tcBorders>
              <w:top w:val="single" w:sz="4" w:space="0" w:color="000000"/>
              <w:bottom w:val="single" w:sz="4" w:space="0" w:color="000000"/>
            </w:tcBorders>
          </w:tcPr>
          <w:p>
            <w:pPr>
              <w:pStyle w:val="TableParagraph"/>
              <w:spacing w:line="202" w:lineRule="exact"/>
              <w:ind w:left="357"/>
              <w:jc w:val="left"/>
              <w:rPr>
                <w:rFonts w:ascii="宋体" w:eastAsia="宋体" w:hint="eastAsia"/>
                <w:sz w:val="16"/>
              </w:rPr>
            </w:pPr>
            <w:r>
              <w:rPr>
                <w:rFonts w:ascii="宋体" w:eastAsia="宋体" w:hint="eastAsia"/>
                <w:sz w:val="16"/>
              </w:rPr>
              <w:t>纳入</w:t>
            </w:r>
          </w:p>
          <w:p>
            <w:pPr>
              <w:pStyle w:val="TableParagraph"/>
              <w:spacing w:line="201" w:lineRule="exact" w:before="1"/>
              <w:ind w:left="278"/>
              <w:jc w:val="left"/>
              <w:rPr>
                <w:rFonts w:ascii="宋体" w:eastAsia="宋体" w:hint="eastAsia"/>
                <w:sz w:val="16"/>
              </w:rPr>
            </w:pPr>
            <w:r>
              <w:rPr>
                <w:rFonts w:ascii="宋体" w:eastAsia="宋体" w:hint="eastAsia"/>
                <w:sz w:val="16"/>
              </w:rPr>
              <w:t>研究数</w:t>
            </w:r>
          </w:p>
        </w:tc>
        <w:tc>
          <w:tcPr>
            <w:tcW w:w="2121" w:type="dxa"/>
            <w:gridSpan w:val="2"/>
            <w:tcBorders>
              <w:top w:val="single" w:sz="4" w:space="0" w:color="000000"/>
            </w:tcBorders>
          </w:tcPr>
          <w:p>
            <w:pPr>
              <w:pStyle w:val="TableParagraph"/>
              <w:tabs>
                <w:tab w:pos="491" w:val="left" w:leader="none"/>
                <w:tab w:pos="2664" w:val="left" w:leader="none"/>
              </w:tabs>
              <w:spacing w:line="158" w:lineRule="exact"/>
              <w:ind w:left="18" w:right="-548"/>
              <w:jc w:val="left"/>
              <w:rPr>
                <w:rFonts w:ascii="宋体" w:eastAsia="宋体" w:hint="eastAsia"/>
                <w:sz w:val="16"/>
              </w:rPr>
            </w:pPr>
            <w:r>
              <w:rPr>
                <w:rFonts w:ascii="Times New Roman" w:eastAsia="Times New Roman"/>
                <w:w w:val="100"/>
                <w:sz w:val="16"/>
                <w:u w:val="single"/>
              </w:rPr>
              <w:t> </w:t>
            </w:r>
            <w:r>
              <w:rPr>
                <w:rFonts w:ascii="Times New Roman" w:eastAsia="Times New Roman"/>
                <w:sz w:val="16"/>
                <w:u w:val="single"/>
              </w:rPr>
              <w:tab/>
            </w:r>
            <w:r>
              <w:rPr>
                <w:rFonts w:ascii="宋体" w:eastAsia="宋体" w:hint="eastAsia"/>
                <w:sz w:val="16"/>
                <w:u w:val="single"/>
              </w:rPr>
              <w:t>总有效</w:t>
            </w:r>
            <w:r>
              <w:rPr>
                <w:rFonts w:ascii="宋体" w:eastAsia="宋体" w:hint="eastAsia"/>
                <w:spacing w:val="-3"/>
                <w:sz w:val="16"/>
                <w:u w:val="single"/>
              </w:rPr>
              <w:t>数</w:t>
            </w:r>
            <w:r>
              <w:rPr>
                <w:sz w:val="16"/>
                <w:u w:val="single"/>
              </w:rPr>
              <w:t>/</w:t>
            </w:r>
            <w:r>
              <w:rPr>
                <w:rFonts w:ascii="宋体" w:eastAsia="宋体" w:hint="eastAsia"/>
                <w:sz w:val="16"/>
                <w:u w:val="single"/>
              </w:rPr>
              <w:t>总</w:t>
            </w:r>
            <w:r>
              <w:rPr>
                <w:rFonts w:ascii="宋体" w:eastAsia="宋体" w:hint="eastAsia"/>
                <w:spacing w:val="-3"/>
                <w:sz w:val="16"/>
                <w:u w:val="single"/>
              </w:rPr>
              <w:t>例</w:t>
            </w:r>
            <w:r>
              <w:rPr>
                <w:rFonts w:ascii="宋体" w:eastAsia="宋体" w:hint="eastAsia"/>
                <w:sz w:val="16"/>
                <w:u w:val="single"/>
              </w:rPr>
              <w:t>数</w:t>
              <w:tab/>
            </w:r>
          </w:p>
        </w:tc>
        <w:tc>
          <w:tcPr>
            <w:tcW w:w="1457" w:type="dxa"/>
            <w:gridSpan w:val="2"/>
            <w:tcBorders>
              <w:top w:val="single" w:sz="4" w:space="0" w:color="000000"/>
            </w:tcBorders>
          </w:tcPr>
          <w:p>
            <w:pPr>
              <w:pStyle w:val="TableParagraph"/>
              <w:tabs>
                <w:tab w:pos="1541" w:val="left" w:leader="none"/>
              </w:tabs>
              <w:spacing w:line="158" w:lineRule="exact"/>
              <w:ind w:left="543" w:right="-87"/>
              <w:jc w:val="left"/>
              <w:rPr>
                <w:rFonts w:ascii="宋体" w:eastAsia="宋体" w:hint="eastAsia"/>
                <w:sz w:val="16"/>
              </w:rPr>
            </w:pPr>
            <w:r>
              <w:rPr>
                <w:rFonts w:ascii="宋体" w:eastAsia="宋体" w:hint="eastAsia"/>
                <w:sz w:val="16"/>
                <w:u w:val="single"/>
              </w:rPr>
              <w:t>异质性</w:t>
              <w:tab/>
            </w:r>
          </w:p>
        </w:tc>
        <w:tc>
          <w:tcPr>
            <w:tcW w:w="899" w:type="dxa"/>
            <w:vMerge w:val="restart"/>
            <w:tcBorders>
              <w:top w:val="single" w:sz="4" w:space="0" w:color="000000"/>
              <w:bottom w:val="single" w:sz="4" w:space="0" w:color="000000"/>
            </w:tcBorders>
          </w:tcPr>
          <w:p>
            <w:pPr>
              <w:pStyle w:val="TableParagraph"/>
              <w:spacing w:line="202" w:lineRule="exact"/>
              <w:ind w:left="205" w:right="174"/>
              <w:rPr>
                <w:rFonts w:ascii="宋体" w:eastAsia="宋体" w:hint="eastAsia"/>
                <w:sz w:val="16"/>
              </w:rPr>
            </w:pPr>
            <w:r>
              <w:rPr>
                <w:rFonts w:ascii="宋体" w:eastAsia="宋体" w:hint="eastAsia"/>
                <w:sz w:val="16"/>
              </w:rPr>
              <w:t>效应模</w:t>
            </w:r>
          </w:p>
          <w:p>
            <w:pPr>
              <w:pStyle w:val="TableParagraph"/>
              <w:spacing w:line="201" w:lineRule="exact" w:before="1"/>
              <w:ind w:left="26"/>
              <w:rPr>
                <w:rFonts w:ascii="宋体" w:eastAsia="宋体" w:hint="eastAsia"/>
                <w:sz w:val="16"/>
              </w:rPr>
            </w:pPr>
            <w:r>
              <w:rPr>
                <w:rFonts w:ascii="宋体" w:eastAsia="宋体" w:hint="eastAsia"/>
                <w:w w:val="100"/>
                <w:sz w:val="16"/>
              </w:rPr>
              <w:t>型</w:t>
            </w:r>
          </w:p>
        </w:tc>
        <w:tc>
          <w:tcPr>
            <w:tcW w:w="1446" w:type="dxa"/>
            <w:tcBorders>
              <w:top w:val="single" w:sz="4" w:space="0" w:color="000000"/>
            </w:tcBorders>
          </w:tcPr>
          <w:p>
            <w:pPr>
              <w:pStyle w:val="TableParagraph"/>
              <w:jc w:val="left"/>
              <w:rPr>
                <w:rFonts w:ascii="Times New Roman"/>
                <w:sz w:val="12"/>
              </w:rPr>
            </w:pPr>
          </w:p>
        </w:tc>
        <w:tc>
          <w:tcPr>
            <w:tcW w:w="1081" w:type="dxa"/>
            <w:vMerge w:val="restart"/>
            <w:tcBorders>
              <w:top w:val="single" w:sz="4" w:space="0" w:color="000000"/>
              <w:bottom w:val="single" w:sz="4" w:space="0" w:color="000000"/>
            </w:tcBorders>
          </w:tcPr>
          <w:p>
            <w:pPr>
              <w:pStyle w:val="TableParagraph"/>
              <w:spacing w:before="100"/>
              <w:ind w:left="205" w:right="192"/>
              <w:rPr>
                <w:rFonts w:ascii="宋体" w:eastAsia="宋体" w:hint="eastAsia"/>
                <w:sz w:val="16"/>
              </w:rPr>
            </w:pPr>
            <w:r>
              <w:rPr>
                <w:i/>
                <w:sz w:val="16"/>
              </w:rPr>
              <w:t>P </w:t>
            </w:r>
            <w:r>
              <w:rPr>
                <w:rFonts w:ascii="宋体" w:eastAsia="宋体" w:hint="eastAsia"/>
                <w:sz w:val="16"/>
              </w:rPr>
              <w:t>值</w:t>
            </w:r>
          </w:p>
        </w:tc>
      </w:tr>
      <w:tr>
        <w:trPr>
          <w:trHeight w:val="236" w:hRule="atLeast"/>
        </w:trPr>
        <w:tc>
          <w:tcPr>
            <w:tcW w:w="1768" w:type="dxa"/>
            <w:vMerge/>
            <w:tcBorders>
              <w:top w:val="nil"/>
              <w:bottom w:val="single" w:sz="4" w:space="0" w:color="000000"/>
            </w:tcBorders>
          </w:tcPr>
          <w:p>
            <w:pPr>
              <w:rPr>
                <w:sz w:val="2"/>
                <w:szCs w:val="2"/>
              </w:rPr>
            </w:pPr>
          </w:p>
        </w:tc>
        <w:tc>
          <w:tcPr>
            <w:tcW w:w="956" w:type="dxa"/>
            <w:vMerge/>
            <w:tcBorders>
              <w:top w:val="nil"/>
              <w:bottom w:val="single" w:sz="4" w:space="0" w:color="000000"/>
            </w:tcBorders>
          </w:tcPr>
          <w:p>
            <w:pPr>
              <w:rPr>
                <w:sz w:val="2"/>
                <w:szCs w:val="2"/>
              </w:rPr>
            </w:pPr>
          </w:p>
        </w:tc>
        <w:tc>
          <w:tcPr>
            <w:tcW w:w="1103" w:type="dxa"/>
            <w:tcBorders>
              <w:bottom w:val="single" w:sz="4" w:space="0" w:color="000000"/>
            </w:tcBorders>
          </w:tcPr>
          <w:p>
            <w:pPr>
              <w:pStyle w:val="TableParagraph"/>
              <w:spacing w:line="194" w:lineRule="exact" w:before="22"/>
              <w:rPr>
                <w:rFonts w:ascii="宋体"/>
                <w:sz w:val="16"/>
              </w:rPr>
            </w:pPr>
            <w:r>
              <w:rPr>
                <w:rFonts w:ascii="宋体"/>
                <w:w w:val="100"/>
                <w:sz w:val="16"/>
              </w:rPr>
              <w:t>T</w:t>
            </w:r>
          </w:p>
        </w:tc>
        <w:tc>
          <w:tcPr>
            <w:tcW w:w="1018" w:type="dxa"/>
            <w:tcBorders>
              <w:bottom w:val="single" w:sz="4" w:space="0" w:color="000000"/>
            </w:tcBorders>
          </w:tcPr>
          <w:p>
            <w:pPr>
              <w:pStyle w:val="TableParagraph"/>
              <w:spacing w:line="194" w:lineRule="exact" w:before="22"/>
              <w:ind w:left="4"/>
              <w:rPr>
                <w:rFonts w:ascii="宋体"/>
                <w:sz w:val="16"/>
              </w:rPr>
            </w:pPr>
            <w:r>
              <w:rPr>
                <w:rFonts w:ascii="宋体"/>
                <w:w w:val="100"/>
                <w:sz w:val="16"/>
              </w:rPr>
              <w:t>C</w:t>
            </w:r>
          </w:p>
        </w:tc>
        <w:tc>
          <w:tcPr>
            <w:tcW w:w="708" w:type="dxa"/>
            <w:tcBorders>
              <w:bottom w:val="single" w:sz="4" w:space="0" w:color="000000"/>
            </w:tcBorders>
          </w:tcPr>
          <w:p>
            <w:pPr>
              <w:pStyle w:val="TableParagraph"/>
              <w:spacing w:line="193" w:lineRule="exact" w:before="23"/>
              <w:ind w:right="317"/>
              <w:jc w:val="right"/>
              <w:rPr>
                <w:rFonts w:ascii="宋体"/>
                <w:sz w:val="8"/>
              </w:rPr>
            </w:pPr>
            <w:r>
              <w:rPr>
                <w:rFonts w:ascii="宋体"/>
                <w:position w:val="-7"/>
                <w:sz w:val="16"/>
              </w:rPr>
              <w:t>I</w:t>
            </w:r>
            <w:r>
              <w:rPr>
                <w:rFonts w:ascii="宋体"/>
                <w:sz w:val="8"/>
              </w:rPr>
              <w:t>2</w:t>
            </w:r>
          </w:p>
        </w:tc>
        <w:tc>
          <w:tcPr>
            <w:tcW w:w="749" w:type="dxa"/>
            <w:tcBorders>
              <w:bottom w:val="single" w:sz="4" w:space="0" w:color="000000"/>
            </w:tcBorders>
          </w:tcPr>
          <w:p>
            <w:pPr>
              <w:pStyle w:val="TableParagraph"/>
              <w:spacing w:line="204" w:lineRule="exact" w:before="12"/>
              <w:ind w:left="192" w:right="186"/>
              <w:rPr>
                <w:rFonts w:ascii="宋体" w:eastAsia="宋体" w:hint="eastAsia"/>
                <w:sz w:val="16"/>
              </w:rPr>
            </w:pPr>
            <w:r>
              <w:rPr>
                <w:rFonts w:ascii="宋体" w:eastAsia="宋体" w:hint="eastAsia"/>
                <w:i/>
                <w:sz w:val="17"/>
              </w:rPr>
              <w:t>P </w:t>
            </w:r>
            <w:r>
              <w:rPr>
                <w:rFonts w:ascii="宋体" w:eastAsia="宋体" w:hint="eastAsia"/>
                <w:sz w:val="16"/>
              </w:rPr>
              <w:t>值</w:t>
            </w:r>
          </w:p>
        </w:tc>
        <w:tc>
          <w:tcPr>
            <w:tcW w:w="899" w:type="dxa"/>
            <w:vMerge/>
            <w:tcBorders>
              <w:top w:val="nil"/>
              <w:bottom w:val="single" w:sz="4" w:space="0" w:color="000000"/>
            </w:tcBorders>
          </w:tcPr>
          <w:p>
            <w:pPr>
              <w:rPr>
                <w:sz w:val="2"/>
                <w:szCs w:val="2"/>
              </w:rPr>
            </w:pPr>
          </w:p>
        </w:tc>
        <w:tc>
          <w:tcPr>
            <w:tcW w:w="1446" w:type="dxa"/>
            <w:tcBorders>
              <w:bottom w:val="single" w:sz="4" w:space="0" w:color="000000"/>
            </w:tcBorders>
          </w:tcPr>
          <w:p>
            <w:pPr>
              <w:pStyle w:val="TableParagraph"/>
              <w:spacing w:line="113" w:lineRule="exact"/>
              <w:ind w:left="172" w:right="207"/>
              <w:rPr>
                <w:sz w:val="16"/>
              </w:rPr>
            </w:pPr>
            <w:r>
              <w:rPr>
                <w:sz w:val="16"/>
              </w:rPr>
              <w:t>RR(95%CI)</w:t>
            </w:r>
          </w:p>
        </w:tc>
        <w:tc>
          <w:tcPr>
            <w:tcW w:w="1081" w:type="dxa"/>
            <w:vMerge/>
            <w:tcBorders>
              <w:top w:val="nil"/>
              <w:bottom w:val="single" w:sz="4" w:space="0" w:color="000000"/>
            </w:tcBorders>
          </w:tcPr>
          <w:p>
            <w:pPr>
              <w:rPr>
                <w:sz w:val="2"/>
                <w:szCs w:val="2"/>
              </w:rPr>
            </w:pPr>
          </w:p>
        </w:tc>
      </w:tr>
      <w:tr>
        <w:trPr>
          <w:trHeight w:val="214" w:hRule="atLeast"/>
        </w:trPr>
        <w:tc>
          <w:tcPr>
            <w:tcW w:w="1768" w:type="dxa"/>
            <w:tcBorders>
              <w:top w:val="single" w:sz="4" w:space="0" w:color="000000"/>
            </w:tcBorders>
          </w:tcPr>
          <w:p>
            <w:pPr>
              <w:pStyle w:val="TableParagraph"/>
              <w:spacing w:line="192" w:lineRule="exact"/>
              <w:ind w:left="80" w:right="4"/>
              <w:rPr>
                <w:sz w:val="16"/>
              </w:rPr>
            </w:pPr>
            <w:r>
              <w:rPr>
                <w:sz w:val="16"/>
              </w:rPr>
              <w:t>LA + Irb. vs. Irb.</w:t>
            </w:r>
          </w:p>
        </w:tc>
        <w:tc>
          <w:tcPr>
            <w:tcW w:w="956" w:type="dxa"/>
            <w:tcBorders>
              <w:top w:val="single" w:sz="4" w:space="0" w:color="000000"/>
            </w:tcBorders>
          </w:tcPr>
          <w:p>
            <w:pPr>
              <w:pStyle w:val="TableParagraph"/>
              <w:spacing w:line="192" w:lineRule="exact"/>
              <w:ind w:left="416" w:right="336"/>
              <w:rPr>
                <w:sz w:val="16"/>
              </w:rPr>
            </w:pPr>
            <w:r>
              <w:rPr>
                <w:sz w:val="16"/>
              </w:rPr>
              <w:t>23</w:t>
            </w:r>
          </w:p>
        </w:tc>
        <w:tc>
          <w:tcPr>
            <w:tcW w:w="1103" w:type="dxa"/>
            <w:tcBorders>
              <w:top w:val="single" w:sz="4" w:space="0" w:color="000000"/>
            </w:tcBorders>
          </w:tcPr>
          <w:p>
            <w:pPr>
              <w:pStyle w:val="TableParagraph"/>
              <w:spacing w:line="192" w:lineRule="exact"/>
              <w:ind w:left="176" w:right="176"/>
              <w:rPr>
                <w:sz w:val="16"/>
              </w:rPr>
            </w:pPr>
            <w:r>
              <w:rPr>
                <w:sz w:val="16"/>
              </w:rPr>
              <w:t>1124/1179</w:t>
            </w:r>
          </w:p>
        </w:tc>
        <w:tc>
          <w:tcPr>
            <w:tcW w:w="1018" w:type="dxa"/>
            <w:tcBorders>
              <w:top w:val="single" w:sz="4" w:space="0" w:color="000000"/>
            </w:tcBorders>
          </w:tcPr>
          <w:p>
            <w:pPr>
              <w:pStyle w:val="TableParagraph"/>
              <w:spacing w:line="192" w:lineRule="exact"/>
              <w:ind w:left="175" w:right="172"/>
              <w:rPr>
                <w:sz w:val="16"/>
              </w:rPr>
            </w:pPr>
            <w:r>
              <w:rPr>
                <w:sz w:val="16"/>
              </w:rPr>
              <w:t>939/1177</w:t>
            </w:r>
          </w:p>
        </w:tc>
        <w:tc>
          <w:tcPr>
            <w:tcW w:w="708" w:type="dxa"/>
            <w:tcBorders>
              <w:top w:val="single" w:sz="4" w:space="0" w:color="000000"/>
            </w:tcBorders>
          </w:tcPr>
          <w:p>
            <w:pPr>
              <w:pStyle w:val="TableParagraph"/>
              <w:spacing w:line="192" w:lineRule="exact"/>
              <w:ind w:right="237"/>
              <w:jc w:val="right"/>
              <w:rPr>
                <w:sz w:val="16"/>
              </w:rPr>
            </w:pPr>
            <w:r>
              <w:rPr>
                <w:sz w:val="16"/>
              </w:rPr>
              <w:t>23%</w:t>
            </w:r>
          </w:p>
        </w:tc>
        <w:tc>
          <w:tcPr>
            <w:tcW w:w="749" w:type="dxa"/>
            <w:tcBorders>
              <w:top w:val="single" w:sz="4" w:space="0" w:color="000000"/>
            </w:tcBorders>
          </w:tcPr>
          <w:p>
            <w:pPr>
              <w:pStyle w:val="TableParagraph"/>
              <w:spacing w:line="192" w:lineRule="exact"/>
              <w:ind w:left="192" w:right="184"/>
              <w:rPr>
                <w:sz w:val="16"/>
              </w:rPr>
            </w:pPr>
            <w:r>
              <w:rPr>
                <w:sz w:val="16"/>
              </w:rPr>
              <w:t>0.15</w:t>
            </w:r>
          </w:p>
        </w:tc>
        <w:tc>
          <w:tcPr>
            <w:tcW w:w="899" w:type="dxa"/>
            <w:tcBorders>
              <w:top w:val="single" w:sz="4" w:space="0" w:color="000000"/>
            </w:tcBorders>
          </w:tcPr>
          <w:p>
            <w:pPr>
              <w:pStyle w:val="TableParagraph"/>
              <w:spacing w:line="195" w:lineRule="exact"/>
              <w:ind w:left="302"/>
              <w:jc w:val="left"/>
              <w:rPr>
                <w:rFonts w:ascii="宋体" w:eastAsia="宋体" w:hint="eastAsia"/>
                <w:sz w:val="16"/>
              </w:rPr>
            </w:pPr>
            <w:r>
              <w:rPr>
                <w:rFonts w:ascii="宋体" w:eastAsia="宋体" w:hint="eastAsia"/>
                <w:sz w:val="16"/>
              </w:rPr>
              <w:t>固定</w:t>
            </w:r>
          </w:p>
        </w:tc>
        <w:tc>
          <w:tcPr>
            <w:tcW w:w="1446" w:type="dxa"/>
            <w:tcBorders>
              <w:top w:val="single" w:sz="4" w:space="0" w:color="000000"/>
            </w:tcBorders>
          </w:tcPr>
          <w:p>
            <w:pPr>
              <w:pStyle w:val="TableParagraph"/>
              <w:spacing w:line="192" w:lineRule="exact"/>
              <w:ind w:left="172" w:right="209"/>
              <w:rPr>
                <w:sz w:val="16"/>
              </w:rPr>
            </w:pPr>
            <w:r>
              <w:rPr>
                <w:sz w:val="16"/>
              </w:rPr>
              <w:t>1.20(1.16, 1.23)</w:t>
            </w:r>
          </w:p>
        </w:tc>
        <w:tc>
          <w:tcPr>
            <w:tcW w:w="1081" w:type="dxa"/>
            <w:tcBorders>
              <w:top w:val="single" w:sz="4" w:space="0" w:color="000000"/>
            </w:tcBorders>
          </w:tcPr>
          <w:p>
            <w:pPr>
              <w:pStyle w:val="TableParagraph"/>
              <w:spacing w:line="192" w:lineRule="exact"/>
              <w:ind w:left="205" w:right="192"/>
              <w:rPr>
                <w:sz w:val="16"/>
              </w:rPr>
            </w:pPr>
            <w:r>
              <w:rPr>
                <w:sz w:val="16"/>
              </w:rPr>
              <w:t>&lt;0.000 01</w:t>
            </w:r>
          </w:p>
        </w:tc>
      </w:tr>
      <w:tr>
        <w:trPr>
          <w:trHeight w:val="206" w:hRule="atLeast"/>
        </w:trPr>
        <w:tc>
          <w:tcPr>
            <w:tcW w:w="1768" w:type="dxa"/>
          </w:tcPr>
          <w:p>
            <w:pPr>
              <w:pStyle w:val="TableParagraph"/>
              <w:spacing w:line="184" w:lineRule="exact"/>
              <w:ind w:left="79" w:right="4"/>
              <w:rPr>
                <w:sz w:val="16"/>
              </w:rPr>
            </w:pPr>
            <w:r>
              <w:rPr>
                <w:sz w:val="16"/>
              </w:rPr>
              <w:t>LA + Val. vs. Val.</w:t>
            </w:r>
          </w:p>
        </w:tc>
        <w:tc>
          <w:tcPr>
            <w:tcW w:w="956" w:type="dxa"/>
          </w:tcPr>
          <w:p>
            <w:pPr>
              <w:pStyle w:val="TableParagraph"/>
              <w:spacing w:line="184" w:lineRule="exact"/>
              <w:ind w:left="416" w:right="336"/>
              <w:rPr>
                <w:sz w:val="16"/>
              </w:rPr>
            </w:pPr>
            <w:r>
              <w:rPr>
                <w:sz w:val="16"/>
              </w:rPr>
              <w:t>22</w:t>
            </w:r>
          </w:p>
        </w:tc>
        <w:tc>
          <w:tcPr>
            <w:tcW w:w="1103" w:type="dxa"/>
          </w:tcPr>
          <w:p>
            <w:pPr>
              <w:pStyle w:val="TableParagraph"/>
              <w:spacing w:line="184" w:lineRule="exact"/>
              <w:ind w:left="176" w:right="176"/>
              <w:rPr>
                <w:sz w:val="16"/>
              </w:rPr>
            </w:pPr>
            <w:r>
              <w:rPr>
                <w:sz w:val="16"/>
              </w:rPr>
              <w:t>1139/1234</w:t>
            </w:r>
          </w:p>
        </w:tc>
        <w:tc>
          <w:tcPr>
            <w:tcW w:w="1018" w:type="dxa"/>
          </w:tcPr>
          <w:p>
            <w:pPr>
              <w:pStyle w:val="TableParagraph"/>
              <w:spacing w:line="184" w:lineRule="exact"/>
              <w:ind w:left="175" w:right="172"/>
              <w:rPr>
                <w:sz w:val="16"/>
              </w:rPr>
            </w:pPr>
            <w:r>
              <w:rPr>
                <w:sz w:val="16"/>
              </w:rPr>
              <w:t>917/1229</w:t>
            </w:r>
          </w:p>
        </w:tc>
        <w:tc>
          <w:tcPr>
            <w:tcW w:w="708" w:type="dxa"/>
          </w:tcPr>
          <w:p>
            <w:pPr>
              <w:pStyle w:val="TableParagraph"/>
              <w:spacing w:line="184" w:lineRule="exact"/>
              <w:ind w:right="237"/>
              <w:jc w:val="right"/>
              <w:rPr>
                <w:sz w:val="16"/>
              </w:rPr>
            </w:pPr>
            <w:r>
              <w:rPr>
                <w:sz w:val="16"/>
              </w:rPr>
              <w:t>12%</w:t>
            </w:r>
          </w:p>
        </w:tc>
        <w:tc>
          <w:tcPr>
            <w:tcW w:w="749" w:type="dxa"/>
          </w:tcPr>
          <w:p>
            <w:pPr>
              <w:pStyle w:val="TableParagraph"/>
              <w:spacing w:line="184" w:lineRule="exact"/>
              <w:ind w:left="192" w:right="184"/>
              <w:rPr>
                <w:sz w:val="16"/>
              </w:rPr>
            </w:pPr>
            <w:r>
              <w:rPr>
                <w:sz w:val="16"/>
              </w:rPr>
              <w:t>0.29</w:t>
            </w:r>
          </w:p>
        </w:tc>
        <w:tc>
          <w:tcPr>
            <w:tcW w:w="899" w:type="dxa"/>
          </w:tcPr>
          <w:p>
            <w:pPr>
              <w:pStyle w:val="TableParagraph"/>
              <w:spacing w:line="186" w:lineRule="exact"/>
              <w:ind w:left="302"/>
              <w:jc w:val="left"/>
              <w:rPr>
                <w:rFonts w:ascii="宋体" w:eastAsia="宋体" w:hint="eastAsia"/>
                <w:sz w:val="16"/>
              </w:rPr>
            </w:pPr>
            <w:r>
              <w:rPr>
                <w:rFonts w:ascii="宋体" w:eastAsia="宋体" w:hint="eastAsia"/>
                <w:sz w:val="16"/>
              </w:rPr>
              <w:t>固定</w:t>
            </w:r>
          </w:p>
        </w:tc>
        <w:tc>
          <w:tcPr>
            <w:tcW w:w="1446" w:type="dxa"/>
          </w:tcPr>
          <w:p>
            <w:pPr>
              <w:pStyle w:val="TableParagraph"/>
              <w:spacing w:line="184" w:lineRule="exact"/>
              <w:ind w:left="172" w:right="209"/>
              <w:rPr>
                <w:sz w:val="16"/>
              </w:rPr>
            </w:pPr>
            <w:r>
              <w:rPr>
                <w:sz w:val="16"/>
              </w:rPr>
              <w:t>1.24(1.19, 1.28)</w:t>
            </w:r>
          </w:p>
        </w:tc>
        <w:tc>
          <w:tcPr>
            <w:tcW w:w="1081" w:type="dxa"/>
          </w:tcPr>
          <w:p>
            <w:pPr>
              <w:pStyle w:val="TableParagraph"/>
              <w:spacing w:line="184" w:lineRule="exact"/>
              <w:ind w:left="205" w:right="192"/>
              <w:rPr>
                <w:sz w:val="16"/>
              </w:rPr>
            </w:pPr>
            <w:r>
              <w:rPr>
                <w:sz w:val="16"/>
              </w:rPr>
              <w:t>&lt;0.000 01</w:t>
            </w:r>
          </w:p>
        </w:tc>
      </w:tr>
      <w:tr>
        <w:trPr>
          <w:trHeight w:val="208" w:hRule="atLeast"/>
        </w:trPr>
        <w:tc>
          <w:tcPr>
            <w:tcW w:w="1768" w:type="dxa"/>
          </w:tcPr>
          <w:p>
            <w:pPr>
              <w:pStyle w:val="TableParagraph"/>
              <w:spacing w:line="186" w:lineRule="exact"/>
              <w:ind w:left="79" w:right="4"/>
              <w:rPr>
                <w:sz w:val="16"/>
              </w:rPr>
            </w:pPr>
            <w:r>
              <w:rPr>
                <w:sz w:val="16"/>
              </w:rPr>
              <w:t>LA + Tel. vs. Tel.</w:t>
            </w:r>
          </w:p>
        </w:tc>
        <w:tc>
          <w:tcPr>
            <w:tcW w:w="956" w:type="dxa"/>
          </w:tcPr>
          <w:p>
            <w:pPr>
              <w:pStyle w:val="TableParagraph"/>
              <w:spacing w:line="186" w:lineRule="exact"/>
              <w:ind w:left="80"/>
              <w:rPr>
                <w:sz w:val="16"/>
              </w:rPr>
            </w:pPr>
            <w:r>
              <w:rPr>
                <w:w w:val="100"/>
                <w:sz w:val="16"/>
              </w:rPr>
              <w:t>4</w:t>
            </w:r>
          </w:p>
        </w:tc>
        <w:tc>
          <w:tcPr>
            <w:tcW w:w="1103" w:type="dxa"/>
          </w:tcPr>
          <w:p>
            <w:pPr>
              <w:pStyle w:val="TableParagraph"/>
              <w:spacing w:line="186" w:lineRule="exact"/>
              <w:ind w:left="176" w:right="176"/>
              <w:rPr>
                <w:sz w:val="16"/>
              </w:rPr>
            </w:pPr>
            <w:r>
              <w:rPr>
                <w:sz w:val="16"/>
              </w:rPr>
              <w:t>214/225</w:t>
            </w:r>
          </w:p>
        </w:tc>
        <w:tc>
          <w:tcPr>
            <w:tcW w:w="1018" w:type="dxa"/>
          </w:tcPr>
          <w:p>
            <w:pPr>
              <w:pStyle w:val="TableParagraph"/>
              <w:spacing w:line="186" w:lineRule="exact"/>
              <w:ind w:left="175" w:right="170"/>
              <w:rPr>
                <w:sz w:val="16"/>
              </w:rPr>
            </w:pPr>
            <w:r>
              <w:rPr>
                <w:sz w:val="16"/>
              </w:rPr>
              <w:t>166/225</w:t>
            </w:r>
          </w:p>
        </w:tc>
        <w:tc>
          <w:tcPr>
            <w:tcW w:w="708" w:type="dxa"/>
          </w:tcPr>
          <w:p>
            <w:pPr>
              <w:pStyle w:val="TableParagraph"/>
              <w:spacing w:line="186" w:lineRule="exact"/>
              <w:ind w:right="237"/>
              <w:jc w:val="right"/>
              <w:rPr>
                <w:sz w:val="16"/>
              </w:rPr>
            </w:pPr>
            <w:r>
              <w:rPr>
                <w:sz w:val="16"/>
              </w:rPr>
              <w:t>18%</w:t>
            </w:r>
          </w:p>
        </w:tc>
        <w:tc>
          <w:tcPr>
            <w:tcW w:w="749" w:type="dxa"/>
          </w:tcPr>
          <w:p>
            <w:pPr>
              <w:pStyle w:val="TableParagraph"/>
              <w:spacing w:line="186" w:lineRule="exact"/>
              <w:ind w:left="192" w:right="184"/>
              <w:rPr>
                <w:sz w:val="16"/>
              </w:rPr>
            </w:pPr>
            <w:r>
              <w:rPr>
                <w:sz w:val="16"/>
              </w:rPr>
              <w:t>0.30</w:t>
            </w:r>
          </w:p>
        </w:tc>
        <w:tc>
          <w:tcPr>
            <w:tcW w:w="899" w:type="dxa"/>
          </w:tcPr>
          <w:p>
            <w:pPr>
              <w:pStyle w:val="TableParagraph"/>
              <w:spacing w:line="189" w:lineRule="exact"/>
              <w:ind w:left="302"/>
              <w:jc w:val="left"/>
              <w:rPr>
                <w:rFonts w:ascii="宋体" w:eastAsia="宋体" w:hint="eastAsia"/>
                <w:sz w:val="16"/>
              </w:rPr>
            </w:pPr>
            <w:r>
              <w:rPr>
                <w:rFonts w:ascii="宋体" w:eastAsia="宋体" w:hint="eastAsia"/>
                <w:sz w:val="16"/>
              </w:rPr>
              <w:t>固定</w:t>
            </w:r>
          </w:p>
        </w:tc>
        <w:tc>
          <w:tcPr>
            <w:tcW w:w="1446" w:type="dxa"/>
          </w:tcPr>
          <w:p>
            <w:pPr>
              <w:pStyle w:val="TableParagraph"/>
              <w:spacing w:line="186" w:lineRule="exact"/>
              <w:ind w:left="172" w:right="209"/>
              <w:rPr>
                <w:sz w:val="16"/>
              </w:rPr>
            </w:pPr>
            <w:r>
              <w:rPr>
                <w:sz w:val="16"/>
              </w:rPr>
              <w:t>1.29(1.19, 1.40)</w:t>
            </w:r>
          </w:p>
        </w:tc>
        <w:tc>
          <w:tcPr>
            <w:tcW w:w="1081" w:type="dxa"/>
          </w:tcPr>
          <w:p>
            <w:pPr>
              <w:pStyle w:val="TableParagraph"/>
              <w:spacing w:line="186" w:lineRule="exact"/>
              <w:ind w:left="205" w:right="192"/>
              <w:rPr>
                <w:sz w:val="16"/>
              </w:rPr>
            </w:pPr>
            <w:r>
              <w:rPr>
                <w:sz w:val="16"/>
              </w:rPr>
              <w:t>&lt;0.000 01</w:t>
            </w:r>
          </w:p>
        </w:tc>
      </w:tr>
      <w:tr>
        <w:trPr>
          <w:trHeight w:val="210" w:hRule="atLeast"/>
        </w:trPr>
        <w:tc>
          <w:tcPr>
            <w:tcW w:w="1768" w:type="dxa"/>
          </w:tcPr>
          <w:p>
            <w:pPr>
              <w:pStyle w:val="TableParagraph"/>
              <w:spacing w:line="184" w:lineRule="exact"/>
              <w:ind w:left="79" w:right="4"/>
              <w:rPr>
                <w:sz w:val="16"/>
              </w:rPr>
            </w:pPr>
            <w:r>
              <w:rPr>
                <w:sz w:val="16"/>
              </w:rPr>
              <w:t>LA + Can. vs. Can.</w:t>
            </w:r>
          </w:p>
        </w:tc>
        <w:tc>
          <w:tcPr>
            <w:tcW w:w="956" w:type="dxa"/>
          </w:tcPr>
          <w:p>
            <w:pPr>
              <w:pStyle w:val="TableParagraph"/>
              <w:spacing w:line="184" w:lineRule="exact"/>
              <w:ind w:left="80"/>
              <w:rPr>
                <w:sz w:val="16"/>
              </w:rPr>
            </w:pPr>
            <w:r>
              <w:rPr>
                <w:w w:val="100"/>
                <w:sz w:val="16"/>
              </w:rPr>
              <w:t>2</w:t>
            </w:r>
          </w:p>
        </w:tc>
        <w:tc>
          <w:tcPr>
            <w:tcW w:w="1103" w:type="dxa"/>
          </w:tcPr>
          <w:p>
            <w:pPr>
              <w:pStyle w:val="TableParagraph"/>
              <w:spacing w:line="184" w:lineRule="exact"/>
              <w:ind w:left="176" w:right="176"/>
              <w:rPr>
                <w:sz w:val="16"/>
              </w:rPr>
            </w:pPr>
            <w:r>
              <w:rPr>
                <w:sz w:val="16"/>
              </w:rPr>
              <w:t>107/121</w:t>
            </w:r>
          </w:p>
        </w:tc>
        <w:tc>
          <w:tcPr>
            <w:tcW w:w="1018" w:type="dxa"/>
          </w:tcPr>
          <w:p>
            <w:pPr>
              <w:pStyle w:val="TableParagraph"/>
              <w:spacing w:line="184" w:lineRule="exact"/>
              <w:ind w:left="175" w:right="170"/>
              <w:rPr>
                <w:sz w:val="16"/>
              </w:rPr>
            </w:pPr>
            <w:r>
              <w:rPr>
                <w:sz w:val="16"/>
              </w:rPr>
              <w:t>86/121</w:t>
            </w:r>
          </w:p>
        </w:tc>
        <w:tc>
          <w:tcPr>
            <w:tcW w:w="708" w:type="dxa"/>
          </w:tcPr>
          <w:p>
            <w:pPr>
              <w:pStyle w:val="TableParagraph"/>
              <w:spacing w:line="184" w:lineRule="exact"/>
              <w:ind w:right="278"/>
              <w:jc w:val="right"/>
              <w:rPr>
                <w:sz w:val="16"/>
              </w:rPr>
            </w:pPr>
            <w:r>
              <w:rPr>
                <w:sz w:val="16"/>
              </w:rPr>
              <w:t>0%</w:t>
            </w:r>
          </w:p>
        </w:tc>
        <w:tc>
          <w:tcPr>
            <w:tcW w:w="749" w:type="dxa"/>
          </w:tcPr>
          <w:p>
            <w:pPr>
              <w:pStyle w:val="TableParagraph"/>
              <w:spacing w:line="184" w:lineRule="exact"/>
              <w:ind w:left="192" w:right="184"/>
              <w:rPr>
                <w:sz w:val="16"/>
              </w:rPr>
            </w:pPr>
            <w:r>
              <w:rPr>
                <w:sz w:val="16"/>
              </w:rPr>
              <w:t>0.63</w:t>
            </w:r>
          </w:p>
        </w:tc>
        <w:tc>
          <w:tcPr>
            <w:tcW w:w="899" w:type="dxa"/>
          </w:tcPr>
          <w:p>
            <w:pPr>
              <w:pStyle w:val="TableParagraph"/>
              <w:spacing w:line="190" w:lineRule="exact"/>
              <w:ind w:left="302"/>
              <w:jc w:val="left"/>
              <w:rPr>
                <w:rFonts w:ascii="宋体" w:eastAsia="宋体" w:hint="eastAsia"/>
                <w:sz w:val="16"/>
              </w:rPr>
            </w:pPr>
            <w:r>
              <w:rPr>
                <w:rFonts w:ascii="宋体" w:eastAsia="宋体" w:hint="eastAsia"/>
                <w:sz w:val="16"/>
              </w:rPr>
              <w:t>固定</w:t>
            </w:r>
          </w:p>
        </w:tc>
        <w:tc>
          <w:tcPr>
            <w:tcW w:w="1446" w:type="dxa"/>
          </w:tcPr>
          <w:p>
            <w:pPr>
              <w:pStyle w:val="TableParagraph"/>
              <w:spacing w:line="184" w:lineRule="exact"/>
              <w:ind w:left="172" w:right="209"/>
              <w:rPr>
                <w:sz w:val="16"/>
              </w:rPr>
            </w:pPr>
            <w:r>
              <w:rPr>
                <w:sz w:val="16"/>
              </w:rPr>
              <w:t>1.24(1.09, 1.42)</w:t>
            </w:r>
          </w:p>
        </w:tc>
        <w:tc>
          <w:tcPr>
            <w:tcW w:w="1081" w:type="dxa"/>
          </w:tcPr>
          <w:p>
            <w:pPr>
              <w:pStyle w:val="TableParagraph"/>
              <w:spacing w:line="184" w:lineRule="exact"/>
              <w:ind w:left="204" w:right="192"/>
              <w:rPr>
                <w:sz w:val="16"/>
              </w:rPr>
            </w:pPr>
            <w:r>
              <w:rPr>
                <w:sz w:val="16"/>
              </w:rPr>
              <w:t>0.001</w:t>
            </w:r>
          </w:p>
        </w:tc>
      </w:tr>
      <w:tr>
        <w:trPr>
          <w:trHeight w:val="186" w:hRule="atLeast"/>
        </w:trPr>
        <w:tc>
          <w:tcPr>
            <w:tcW w:w="1768" w:type="dxa"/>
            <w:tcBorders>
              <w:bottom w:val="single" w:sz="4" w:space="0" w:color="000000"/>
            </w:tcBorders>
          </w:tcPr>
          <w:p>
            <w:pPr>
              <w:pStyle w:val="TableParagraph"/>
              <w:spacing w:line="166" w:lineRule="exact"/>
              <w:ind w:left="80" w:right="4"/>
              <w:rPr>
                <w:sz w:val="16"/>
              </w:rPr>
            </w:pPr>
            <w:r>
              <w:rPr>
                <w:sz w:val="16"/>
              </w:rPr>
              <w:t>LA + Los. vs. Los.</w:t>
            </w:r>
          </w:p>
        </w:tc>
        <w:tc>
          <w:tcPr>
            <w:tcW w:w="956" w:type="dxa"/>
            <w:tcBorders>
              <w:bottom w:val="single" w:sz="4" w:space="0" w:color="000000"/>
            </w:tcBorders>
          </w:tcPr>
          <w:p>
            <w:pPr>
              <w:pStyle w:val="TableParagraph"/>
              <w:spacing w:line="166" w:lineRule="exact"/>
              <w:ind w:left="80"/>
              <w:rPr>
                <w:sz w:val="16"/>
              </w:rPr>
            </w:pPr>
            <w:r>
              <w:rPr>
                <w:w w:val="100"/>
                <w:sz w:val="16"/>
              </w:rPr>
              <w:t>1</w:t>
            </w:r>
          </w:p>
        </w:tc>
        <w:tc>
          <w:tcPr>
            <w:tcW w:w="1103" w:type="dxa"/>
            <w:tcBorders>
              <w:bottom w:val="single" w:sz="4" w:space="0" w:color="000000"/>
            </w:tcBorders>
          </w:tcPr>
          <w:p>
            <w:pPr>
              <w:pStyle w:val="TableParagraph"/>
              <w:spacing w:line="166" w:lineRule="exact"/>
              <w:ind w:left="176" w:right="176"/>
              <w:rPr>
                <w:sz w:val="16"/>
              </w:rPr>
            </w:pPr>
            <w:r>
              <w:rPr>
                <w:sz w:val="16"/>
              </w:rPr>
              <w:t>48/50</w:t>
            </w:r>
          </w:p>
        </w:tc>
        <w:tc>
          <w:tcPr>
            <w:tcW w:w="1018" w:type="dxa"/>
            <w:tcBorders>
              <w:bottom w:val="single" w:sz="4" w:space="0" w:color="000000"/>
            </w:tcBorders>
          </w:tcPr>
          <w:p>
            <w:pPr>
              <w:pStyle w:val="TableParagraph"/>
              <w:spacing w:line="166" w:lineRule="exact"/>
              <w:ind w:left="175" w:right="170"/>
              <w:rPr>
                <w:sz w:val="16"/>
              </w:rPr>
            </w:pPr>
            <w:r>
              <w:rPr>
                <w:sz w:val="16"/>
              </w:rPr>
              <w:t>41/50</w:t>
            </w:r>
          </w:p>
        </w:tc>
        <w:tc>
          <w:tcPr>
            <w:tcW w:w="708" w:type="dxa"/>
            <w:tcBorders>
              <w:bottom w:val="single" w:sz="4" w:space="0" w:color="000000"/>
            </w:tcBorders>
          </w:tcPr>
          <w:p>
            <w:pPr>
              <w:pStyle w:val="TableParagraph"/>
              <w:spacing w:line="166" w:lineRule="exact"/>
              <w:ind w:right="281"/>
              <w:jc w:val="right"/>
              <w:rPr>
                <w:sz w:val="16"/>
              </w:rPr>
            </w:pPr>
            <w:r>
              <w:rPr>
                <w:sz w:val="16"/>
              </w:rPr>
              <w:t>NA</w:t>
            </w:r>
          </w:p>
        </w:tc>
        <w:tc>
          <w:tcPr>
            <w:tcW w:w="749" w:type="dxa"/>
            <w:tcBorders>
              <w:bottom w:val="single" w:sz="4" w:space="0" w:color="000000"/>
            </w:tcBorders>
          </w:tcPr>
          <w:p>
            <w:pPr>
              <w:pStyle w:val="TableParagraph"/>
              <w:spacing w:line="166" w:lineRule="exact"/>
              <w:ind w:left="191" w:right="186"/>
              <w:rPr>
                <w:sz w:val="16"/>
              </w:rPr>
            </w:pPr>
            <w:r>
              <w:rPr>
                <w:sz w:val="16"/>
              </w:rPr>
              <w:t>NA</w:t>
            </w:r>
          </w:p>
        </w:tc>
        <w:tc>
          <w:tcPr>
            <w:tcW w:w="899" w:type="dxa"/>
            <w:tcBorders>
              <w:bottom w:val="single" w:sz="4" w:space="0" w:color="000000"/>
            </w:tcBorders>
          </w:tcPr>
          <w:p>
            <w:pPr>
              <w:pStyle w:val="TableParagraph"/>
              <w:spacing w:line="166" w:lineRule="exact"/>
              <w:ind w:left="365"/>
              <w:jc w:val="left"/>
              <w:rPr>
                <w:sz w:val="16"/>
              </w:rPr>
            </w:pPr>
            <w:r>
              <w:rPr>
                <w:sz w:val="16"/>
              </w:rPr>
              <w:t>NA</w:t>
            </w:r>
          </w:p>
        </w:tc>
        <w:tc>
          <w:tcPr>
            <w:tcW w:w="1446" w:type="dxa"/>
            <w:tcBorders>
              <w:bottom w:val="single" w:sz="4" w:space="0" w:color="000000"/>
            </w:tcBorders>
          </w:tcPr>
          <w:p>
            <w:pPr>
              <w:pStyle w:val="TableParagraph"/>
              <w:spacing w:line="166" w:lineRule="exact"/>
              <w:ind w:left="172" w:right="209"/>
              <w:rPr>
                <w:sz w:val="16"/>
              </w:rPr>
            </w:pPr>
            <w:r>
              <w:rPr>
                <w:sz w:val="16"/>
              </w:rPr>
              <w:t>1.17(1.02, 1.35)</w:t>
            </w:r>
          </w:p>
        </w:tc>
        <w:tc>
          <w:tcPr>
            <w:tcW w:w="1081" w:type="dxa"/>
            <w:tcBorders>
              <w:bottom w:val="single" w:sz="4" w:space="0" w:color="000000"/>
            </w:tcBorders>
          </w:tcPr>
          <w:p>
            <w:pPr>
              <w:pStyle w:val="TableParagraph"/>
              <w:spacing w:line="166" w:lineRule="exact"/>
              <w:ind w:left="204" w:right="192"/>
              <w:rPr>
                <w:sz w:val="16"/>
              </w:rPr>
            </w:pPr>
            <w:r>
              <w:rPr>
                <w:sz w:val="16"/>
              </w:rPr>
              <w:t>0.03</w:t>
            </w:r>
          </w:p>
        </w:tc>
      </w:tr>
    </w:tbl>
    <w:p>
      <w:pPr>
        <w:pStyle w:val="ListParagraph"/>
        <w:numPr>
          <w:ilvl w:val="3"/>
          <w:numId w:val="1"/>
        </w:numPr>
        <w:tabs>
          <w:tab w:pos="1557" w:val="left" w:leader="none"/>
          <w:tab w:pos="1558" w:val="left" w:leader="none"/>
          <w:tab w:pos="5758" w:val="left" w:leader="none"/>
        </w:tabs>
        <w:spacing w:line="295" w:lineRule="auto" w:before="56" w:after="0"/>
        <w:ind w:left="237" w:right="271" w:firstLine="480"/>
        <w:jc w:val="left"/>
        <w:rPr>
          <w:sz w:val="24"/>
        </w:rPr>
      </w:pPr>
      <w:r>
        <w:rPr>
          <w:sz w:val="24"/>
        </w:rPr>
        <w:t>LA+</w:t>
      </w:r>
      <w:r>
        <w:rPr>
          <w:rFonts w:ascii="Arial" w:hAnsi="Arial" w:eastAsia="Arial"/>
          <w:sz w:val="24"/>
        </w:rPr>
        <w:t>β </w:t>
      </w:r>
      <w:r>
        <w:rPr>
          <w:rFonts w:ascii="Arial" w:hAnsi="Arial" w:eastAsia="Arial"/>
          <w:spacing w:val="27"/>
          <w:sz w:val="24"/>
        </w:rPr>
        <w:t> </w:t>
      </w:r>
      <w:r>
        <w:rPr>
          <w:sz w:val="24"/>
        </w:rPr>
        <w:t>受体拮抗剂 vs. </w:t>
      </w:r>
      <w:r>
        <w:rPr>
          <w:rFonts w:ascii="Arial" w:hAnsi="Arial" w:eastAsia="Arial"/>
          <w:sz w:val="24"/>
        </w:rPr>
        <w:t>β </w:t>
      </w:r>
      <w:r>
        <w:rPr>
          <w:rFonts w:ascii="Arial" w:hAnsi="Arial" w:eastAsia="Arial"/>
          <w:spacing w:val="28"/>
          <w:sz w:val="24"/>
        </w:rPr>
        <w:t> </w:t>
      </w:r>
      <w:r>
        <w:rPr>
          <w:sz w:val="24"/>
        </w:rPr>
        <w:t>受体拮抗剂</w:t>
        <w:tab/>
        <w:t>（1）SBP</w:t>
      </w:r>
      <w:r>
        <w:rPr>
          <w:spacing w:val="-60"/>
          <w:sz w:val="24"/>
        </w:rPr>
        <w:t> </w:t>
      </w:r>
      <w:r>
        <w:rPr>
          <w:sz w:val="24"/>
        </w:rPr>
        <w:t>降低值：共纳入</w:t>
      </w:r>
      <w:r>
        <w:rPr>
          <w:spacing w:val="-60"/>
          <w:sz w:val="24"/>
        </w:rPr>
        <w:t> </w:t>
      </w:r>
      <w:r>
        <w:rPr>
          <w:sz w:val="24"/>
        </w:rPr>
        <w:t>5</w:t>
      </w:r>
      <w:r>
        <w:rPr>
          <w:spacing w:val="-60"/>
          <w:sz w:val="24"/>
        </w:rPr>
        <w:t> </w:t>
      </w:r>
      <w:r>
        <w:rPr>
          <w:sz w:val="24"/>
        </w:rPr>
        <w:t>个研究， 试验组</w:t>
      </w:r>
      <w:r>
        <w:rPr>
          <w:spacing w:val="-61"/>
          <w:sz w:val="24"/>
        </w:rPr>
        <w:t> </w:t>
      </w:r>
      <w:r>
        <w:rPr>
          <w:sz w:val="24"/>
        </w:rPr>
        <w:t>297</w:t>
      </w:r>
      <w:r>
        <w:rPr>
          <w:spacing w:val="-60"/>
          <w:sz w:val="24"/>
        </w:rPr>
        <w:t> </w:t>
      </w:r>
      <w:r>
        <w:rPr>
          <w:sz w:val="24"/>
        </w:rPr>
        <w:t>例</w:t>
      </w:r>
      <w:r>
        <w:rPr>
          <w:spacing w:val="-46"/>
          <w:sz w:val="24"/>
        </w:rPr>
        <w:t>，</w:t>
      </w:r>
      <w:r>
        <w:rPr>
          <w:sz w:val="24"/>
        </w:rPr>
        <w:t>对照组</w:t>
      </w:r>
      <w:r>
        <w:rPr>
          <w:spacing w:val="-60"/>
          <w:sz w:val="24"/>
        </w:rPr>
        <w:t> </w:t>
      </w:r>
      <w:r>
        <w:rPr>
          <w:sz w:val="24"/>
        </w:rPr>
        <w:t>303</w:t>
      </w:r>
      <w:r>
        <w:rPr>
          <w:spacing w:val="-60"/>
          <w:sz w:val="24"/>
        </w:rPr>
        <w:t> </w:t>
      </w:r>
      <w:r>
        <w:rPr>
          <w:sz w:val="24"/>
        </w:rPr>
        <w:t>例</w:t>
      </w:r>
      <w:r>
        <w:rPr>
          <w:spacing w:val="-46"/>
          <w:sz w:val="24"/>
        </w:rPr>
        <w:t>。</w:t>
      </w:r>
      <w:r>
        <w:rPr>
          <w:sz w:val="24"/>
        </w:rPr>
        <w:t>根据用药方案差异</w:t>
      </w:r>
      <w:r>
        <w:rPr>
          <w:spacing w:val="-46"/>
          <w:sz w:val="24"/>
        </w:rPr>
        <w:t>，</w:t>
      </w:r>
      <w:r>
        <w:rPr>
          <w:sz w:val="24"/>
        </w:rPr>
        <w:t>分为</w:t>
      </w:r>
      <w:r>
        <w:rPr>
          <w:spacing w:val="-60"/>
          <w:sz w:val="24"/>
        </w:rPr>
        <w:t> </w:t>
      </w:r>
      <w:r>
        <w:rPr>
          <w:sz w:val="24"/>
        </w:rPr>
        <w:t>2</w:t>
      </w:r>
      <w:r>
        <w:rPr>
          <w:spacing w:val="-59"/>
          <w:sz w:val="24"/>
        </w:rPr>
        <w:t> </w:t>
      </w:r>
      <w:r>
        <w:rPr>
          <w:sz w:val="24"/>
        </w:rPr>
        <w:t>个亚组</w:t>
      </w:r>
      <w:r>
        <w:rPr>
          <w:spacing w:val="-9"/>
          <w:sz w:val="24"/>
        </w:rPr>
        <w:t>，Meta</w:t>
      </w:r>
      <w:r>
        <w:rPr>
          <w:sz w:val="24"/>
        </w:rPr>
        <w:t> 分析结果显</w:t>
      </w:r>
      <w:r>
        <w:rPr>
          <w:spacing w:val="-46"/>
          <w:sz w:val="24"/>
        </w:rPr>
        <w:t>示</w:t>
      </w:r>
      <w:r>
        <w:rPr>
          <w:sz w:val="24"/>
        </w:rPr>
        <w:t>（</w:t>
      </w:r>
      <w:r>
        <w:rPr>
          <w:spacing w:val="-13"/>
          <w:sz w:val="24"/>
        </w:rPr>
        <w:t>表</w:t>
      </w:r>
    </w:p>
    <w:p>
      <w:pPr>
        <w:pStyle w:val="BodyText"/>
        <w:spacing w:line="297" w:lineRule="auto" w:before="2"/>
        <w:ind w:right="285"/>
      </w:pPr>
      <w:r>
        <w:rPr/>
        <w:t>5）：试验组与对照组差异无统计学意义[SMD=0.88, 95%CI(0.39, 1.36), P=0.000 5]。经敏感性分析后，发现剔除文献前后结果一致，结果稳健。</w:t>
      </w:r>
    </w:p>
    <w:p>
      <w:pPr>
        <w:pStyle w:val="ListParagraph"/>
        <w:numPr>
          <w:ilvl w:val="0"/>
          <w:numId w:val="5"/>
        </w:numPr>
        <w:tabs>
          <w:tab w:pos="1319" w:val="left" w:leader="none"/>
        </w:tabs>
        <w:spacing w:line="297" w:lineRule="auto" w:before="0" w:after="0"/>
        <w:ind w:left="237" w:right="268" w:firstLine="480"/>
        <w:jc w:val="left"/>
        <w:rPr>
          <w:sz w:val="24"/>
        </w:rPr>
      </w:pPr>
      <w:r>
        <w:rPr>
          <w:sz w:val="24"/>
        </w:rPr>
        <w:t>DBP</w:t>
      </w:r>
      <w:r>
        <w:rPr>
          <w:spacing w:val="-14"/>
          <w:sz w:val="24"/>
        </w:rPr>
        <w:t> 降低值：共纳入 </w:t>
      </w:r>
      <w:r>
        <w:rPr>
          <w:sz w:val="24"/>
        </w:rPr>
        <w:t>5</w:t>
      </w:r>
      <w:r>
        <w:rPr>
          <w:spacing w:val="-14"/>
          <w:sz w:val="24"/>
        </w:rPr>
        <w:t> 个研究，试验组 </w:t>
      </w:r>
      <w:r>
        <w:rPr>
          <w:sz w:val="24"/>
        </w:rPr>
        <w:t>297</w:t>
      </w:r>
      <w:r>
        <w:rPr>
          <w:spacing w:val="-18"/>
          <w:sz w:val="24"/>
        </w:rPr>
        <w:t> 例，对照组 </w:t>
      </w:r>
      <w:r>
        <w:rPr>
          <w:sz w:val="24"/>
        </w:rPr>
        <w:t>303</w:t>
      </w:r>
      <w:r>
        <w:rPr>
          <w:spacing w:val="-8"/>
          <w:sz w:val="24"/>
        </w:rPr>
        <w:t> 例。根据用药方案差</w:t>
      </w:r>
      <w:r>
        <w:rPr>
          <w:spacing w:val="-42"/>
          <w:sz w:val="24"/>
        </w:rPr>
        <w:t>异，分为 </w:t>
      </w:r>
      <w:r>
        <w:rPr>
          <w:sz w:val="24"/>
        </w:rPr>
        <w:t>2</w:t>
      </w:r>
      <w:r>
        <w:rPr>
          <w:spacing w:val="-40"/>
          <w:sz w:val="24"/>
        </w:rPr>
        <w:t> 个亚组，</w:t>
      </w:r>
      <w:r>
        <w:rPr>
          <w:sz w:val="24"/>
        </w:rPr>
        <w:t>Meta</w:t>
      </w:r>
      <w:r>
        <w:rPr>
          <w:spacing w:val="-18"/>
          <w:sz w:val="24"/>
        </w:rPr>
        <w:t> 分析结果显示</w:t>
      </w:r>
      <w:r>
        <w:rPr>
          <w:sz w:val="24"/>
        </w:rPr>
        <w:t>（</w:t>
      </w:r>
      <w:r>
        <w:rPr>
          <w:spacing w:val="-38"/>
          <w:sz w:val="24"/>
        </w:rPr>
        <w:t>表 </w:t>
      </w:r>
      <w:r>
        <w:rPr>
          <w:sz w:val="24"/>
        </w:rPr>
        <w:t>5</w:t>
      </w:r>
      <w:r>
        <w:rPr>
          <w:spacing w:val="-120"/>
          <w:sz w:val="24"/>
        </w:rPr>
        <w:t>），</w:t>
      </w:r>
      <w:r>
        <w:rPr>
          <w:sz w:val="24"/>
        </w:rPr>
        <w:t>试验组与对照组差异无统计学意义</w:t>
      </w:r>
      <w:r>
        <w:rPr>
          <w:spacing w:val="-2"/>
          <w:sz w:val="24"/>
        </w:rPr>
        <w:t>[SMD=0.80</w:t>
      </w:r>
      <w:r>
        <w:rPr>
          <w:spacing w:val="-2"/>
          <w:sz w:val="24"/>
        </w:rPr>
        <w:t>,</w:t>
      </w:r>
      <w:r>
        <w:rPr>
          <w:sz w:val="24"/>
        </w:rPr>
        <w:t> 95%CI(0.35,</w:t>
      </w:r>
      <w:r>
        <w:rPr>
          <w:spacing w:val="-1"/>
          <w:sz w:val="24"/>
        </w:rPr>
        <w:t> </w:t>
      </w:r>
      <w:r>
        <w:rPr>
          <w:sz w:val="24"/>
        </w:rPr>
        <w:t>1.25), P=0.000 5]。</w:t>
      </w:r>
    </w:p>
    <w:p>
      <w:pPr>
        <w:pStyle w:val="ListParagraph"/>
        <w:numPr>
          <w:ilvl w:val="0"/>
          <w:numId w:val="5"/>
        </w:numPr>
        <w:tabs>
          <w:tab w:pos="1319" w:val="left" w:leader="none"/>
        </w:tabs>
        <w:spacing w:line="297" w:lineRule="auto" w:before="0" w:after="0"/>
        <w:ind w:left="237" w:right="271" w:firstLine="480"/>
        <w:jc w:val="both"/>
        <w:rPr>
          <w:sz w:val="24"/>
        </w:rPr>
      </w:pPr>
      <w:r>
        <w:rPr>
          <w:spacing w:val="-12"/>
          <w:sz w:val="24"/>
        </w:rPr>
        <w:t>总有效率：共纳入 </w:t>
      </w:r>
      <w:r>
        <w:rPr>
          <w:sz w:val="24"/>
        </w:rPr>
        <w:t>10</w:t>
      </w:r>
      <w:r>
        <w:rPr>
          <w:spacing w:val="-15"/>
          <w:sz w:val="24"/>
        </w:rPr>
        <w:t> 个研究，其中试验组 </w:t>
      </w:r>
      <w:r>
        <w:rPr>
          <w:sz w:val="24"/>
        </w:rPr>
        <w:t>509</w:t>
      </w:r>
      <w:r>
        <w:rPr>
          <w:spacing w:val="-22"/>
          <w:sz w:val="24"/>
        </w:rPr>
        <w:t> 例，对照组 </w:t>
      </w:r>
      <w:r>
        <w:rPr>
          <w:sz w:val="24"/>
        </w:rPr>
        <w:t>475</w:t>
      </w:r>
      <w:r>
        <w:rPr>
          <w:spacing w:val="-12"/>
          <w:sz w:val="24"/>
        </w:rPr>
        <w:t> 例。根据用药方 </w:t>
      </w:r>
      <w:r>
        <w:rPr>
          <w:spacing w:val="-13"/>
          <w:sz w:val="24"/>
        </w:rPr>
        <w:t>案差异，分为 </w:t>
      </w:r>
      <w:r>
        <w:rPr>
          <w:sz w:val="24"/>
        </w:rPr>
        <w:t>2</w:t>
      </w:r>
      <w:r>
        <w:rPr>
          <w:spacing w:val="-15"/>
          <w:sz w:val="24"/>
        </w:rPr>
        <w:t> 个亚组</w:t>
      </w:r>
      <w:r>
        <w:rPr>
          <w:sz w:val="24"/>
        </w:rPr>
        <w:t>，Meta 分析结果显示（</w:t>
      </w:r>
      <w:r>
        <w:rPr>
          <w:spacing w:val="-30"/>
          <w:sz w:val="24"/>
        </w:rPr>
        <w:t>表 </w:t>
      </w:r>
      <w:r>
        <w:rPr>
          <w:sz w:val="24"/>
        </w:rPr>
        <w:t>6）：试验组总有效率优于对照组，其差异有统计学意义[RR=1.18,</w:t>
      </w:r>
      <w:r>
        <w:rPr>
          <w:spacing w:val="-1"/>
          <w:sz w:val="24"/>
        </w:rPr>
        <w:t> </w:t>
      </w:r>
      <w:r>
        <w:rPr>
          <w:sz w:val="24"/>
        </w:rPr>
        <w:t>95%CI(1.12, 1.23), P&lt;0.000 01]。</w:t>
      </w:r>
    </w:p>
    <w:p>
      <w:pPr>
        <w:spacing w:line="234" w:lineRule="exact" w:before="0" w:after="4"/>
        <w:ind w:left="237" w:right="0" w:firstLine="0"/>
        <w:jc w:val="left"/>
        <w:rPr>
          <w:rFonts w:ascii="华文楷体" w:hAnsi="华文楷体" w:eastAsia="华文楷体" w:hint="eastAsia"/>
          <w:sz w:val="18"/>
        </w:rPr>
      </w:pPr>
      <w:r>
        <w:rPr/>
        <w:pict>
          <v:group style="position:absolute;margin-left:248.690002pt;margin-top:22.965036pt;width:133.7pt;height:.5pt;mso-position-horizontal-relative:page;mso-position-vertical-relative:paragraph;z-index:-84064" coordorigin="4974,459" coordsize="2674,10">
            <v:line style="position:absolute" from="4974,464" to="5535,464" stroked="true" strokeweight=".47998pt" strokecolor="#000000">
              <v:stroke dashstyle="solid"/>
            </v:line>
            <v:rect style="position:absolute;left:5535;top:459;width:10;height:10" filled="true" fillcolor="#000000" stroked="false">
              <v:fill type="solid"/>
            </v:rect>
            <v:line style="position:absolute" from="5545,464" to="6099,464" stroked="true" strokeweight=".47998pt" strokecolor="#000000">
              <v:stroke dashstyle="solid"/>
            </v:line>
            <v:rect style="position:absolute;left:6099;top:459;width:10;height:10" filled="true" fillcolor="#000000" stroked="false">
              <v:fill type="solid"/>
            </v:rect>
            <v:line style="position:absolute" from="6109,464" to="6661,464" stroked="true" strokeweight=".47998pt" strokecolor="#000000">
              <v:stroke dashstyle="solid"/>
            </v:line>
            <v:rect style="position:absolute;left:6661;top:459;width:10;height:10" filled="true" fillcolor="#000000" stroked="false">
              <v:fill type="solid"/>
            </v:rect>
            <v:line style="position:absolute" from="6671,464" to="7648,464" stroked="true" strokeweight=".47998pt" strokecolor="#000000">
              <v:stroke dashstyle="solid"/>
            </v:line>
            <w10:wrap type="none"/>
          </v:group>
        </w:pict>
      </w:r>
      <w:r>
        <w:rPr>
          <w:rFonts w:ascii="华文楷体" w:hAnsi="华文楷体" w:eastAsia="华文楷体" w:hint="eastAsia"/>
          <w:sz w:val="18"/>
        </w:rPr>
        <w:t>表5 LA+β受体拮抗剂vs. β受体拮抗剂疗效的meta分析结果</w:t>
      </w: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6"/>
        <w:gridCol w:w="1679"/>
        <w:gridCol w:w="908"/>
        <w:gridCol w:w="575"/>
        <w:gridCol w:w="555"/>
        <w:gridCol w:w="614"/>
        <w:gridCol w:w="883"/>
        <w:gridCol w:w="829"/>
        <w:gridCol w:w="1477"/>
        <w:gridCol w:w="995"/>
      </w:tblGrid>
      <w:tr>
        <w:trPr>
          <w:trHeight w:val="159" w:hRule="atLeast"/>
        </w:trPr>
        <w:tc>
          <w:tcPr>
            <w:tcW w:w="1206" w:type="dxa"/>
            <w:tcBorders>
              <w:top w:val="single" w:sz="4" w:space="0" w:color="000000"/>
            </w:tcBorders>
          </w:tcPr>
          <w:p>
            <w:pPr>
              <w:pStyle w:val="TableParagraph"/>
              <w:jc w:val="left"/>
              <w:rPr>
                <w:rFonts w:ascii="Times New Roman"/>
                <w:sz w:val="10"/>
              </w:rPr>
            </w:pPr>
          </w:p>
        </w:tc>
        <w:tc>
          <w:tcPr>
            <w:tcW w:w="1679" w:type="dxa"/>
            <w:tcBorders>
              <w:top w:val="single" w:sz="4" w:space="0" w:color="000000"/>
            </w:tcBorders>
          </w:tcPr>
          <w:p>
            <w:pPr>
              <w:pStyle w:val="TableParagraph"/>
              <w:jc w:val="left"/>
              <w:rPr>
                <w:rFonts w:ascii="Times New Roman"/>
                <w:sz w:val="10"/>
              </w:rPr>
            </w:pPr>
          </w:p>
        </w:tc>
        <w:tc>
          <w:tcPr>
            <w:tcW w:w="908" w:type="dxa"/>
            <w:vMerge w:val="restart"/>
            <w:tcBorders>
              <w:top w:val="single" w:sz="4" w:space="0" w:color="000000"/>
              <w:bottom w:val="single" w:sz="4" w:space="0" w:color="000000"/>
            </w:tcBorders>
          </w:tcPr>
          <w:p>
            <w:pPr>
              <w:pStyle w:val="TableParagraph"/>
              <w:spacing w:line="210" w:lineRule="atLeast"/>
              <w:ind w:left="255" w:right="168" w:firstLine="79"/>
              <w:jc w:val="left"/>
              <w:rPr>
                <w:rFonts w:ascii="宋体" w:eastAsia="宋体" w:hint="eastAsia"/>
                <w:sz w:val="16"/>
              </w:rPr>
            </w:pPr>
            <w:r>
              <w:rPr>
                <w:rFonts w:ascii="宋体" w:eastAsia="宋体" w:hint="eastAsia"/>
                <w:sz w:val="16"/>
              </w:rPr>
              <w:t>纳入研究数</w:t>
            </w:r>
          </w:p>
        </w:tc>
        <w:tc>
          <w:tcPr>
            <w:tcW w:w="1130" w:type="dxa"/>
            <w:gridSpan w:val="2"/>
            <w:tcBorders>
              <w:top w:val="single" w:sz="4" w:space="0" w:color="000000"/>
            </w:tcBorders>
          </w:tcPr>
          <w:p>
            <w:pPr>
              <w:pStyle w:val="TableParagraph"/>
              <w:spacing w:line="139" w:lineRule="exact"/>
              <w:ind w:left="331"/>
              <w:jc w:val="left"/>
              <w:rPr>
                <w:rFonts w:ascii="宋体" w:eastAsia="宋体" w:hint="eastAsia"/>
                <w:sz w:val="16"/>
              </w:rPr>
            </w:pPr>
            <w:r>
              <w:rPr>
                <w:rFonts w:ascii="宋体" w:eastAsia="宋体" w:hint="eastAsia"/>
                <w:sz w:val="16"/>
              </w:rPr>
              <w:t>总例数</w:t>
            </w:r>
          </w:p>
        </w:tc>
        <w:tc>
          <w:tcPr>
            <w:tcW w:w="1497" w:type="dxa"/>
            <w:gridSpan w:val="2"/>
            <w:tcBorders>
              <w:top w:val="single" w:sz="4" w:space="0" w:color="000000"/>
            </w:tcBorders>
          </w:tcPr>
          <w:p>
            <w:pPr>
              <w:pStyle w:val="TableParagraph"/>
              <w:spacing w:line="139" w:lineRule="exact"/>
              <w:ind w:left="538"/>
              <w:jc w:val="left"/>
              <w:rPr>
                <w:rFonts w:ascii="宋体" w:eastAsia="宋体" w:hint="eastAsia"/>
                <w:sz w:val="16"/>
              </w:rPr>
            </w:pPr>
            <w:r>
              <w:rPr>
                <w:rFonts w:ascii="宋体" w:eastAsia="宋体" w:hint="eastAsia"/>
                <w:sz w:val="16"/>
              </w:rPr>
              <w:t>异质性</w:t>
            </w:r>
          </w:p>
        </w:tc>
        <w:tc>
          <w:tcPr>
            <w:tcW w:w="829" w:type="dxa"/>
            <w:vMerge w:val="restart"/>
            <w:tcBorders>
              <w:top w:val="single" w:sz="4" w:space="0" w:color="000000"/>
              <w:bottom w:val="single" w:sz="4" w:space="0" w:color="000000"/>
            </w:tcBorders>
          </w:tcPr>
          <w:p>
            <w:pPr>
              <w:pStyle w:val="TableParagraph"/>
              <w:spacing w:line="210" w:lineRule="atLeast"/>
              <w:ind w:left="327" w:right="177" w:hanging="161"/>
              <w:jc w:val="left"/>
              <w:rPr>
                <w:rFonts w:ascii="宋体" w:eastAsia="宋体" w:hint="eastAsia"/>
                <w:sz w:val="16"/>
              </w:rPr>
            </w:pPr>
            <w:r>
              <w:rPr>
                <w:rFonts w:ascii="宋体" w:eastAsia="宋体" w:hint="eastAsia"/>
                <w:sz w:val="16"/>
              </w:rPr>
              <w:t>效应模型</w:t>
            </w:r>
          </w:p>
        </w:tc>
        <w:tc>
          <w:tcPr>
            <w:tcW w:w="1477" w:type="dxa"/>
            <w:tcBorders>
              <w:top w:val="single" w:sz="4" w:space="0" w:color="000000"/>
            </w:tcBorders>
          </w:tcPr>
          <w:p>
            <w:pPr>
              <w:pStyle w:val="TableParagraph"/>
              <w:jc w:val="left"/>
              <w:rPr>
                <w:rFonts w:ascii="Times New Roman"/>
                <w:sz w:val="10"/>
              </w:rPr>
            </w:pPr>
          </w:p>
        </w:tc>
        <w:tc>
          <w:tcPr>
            <w:tcW w:w="995" w:type="dxa"/>
            <w:tcBorders>
              <w:top w:val="single" w:sz="4" w:space="0" w:color="000000"/>
            </w:tcBorders>
          </w:tcPr>
          <w:p>
            <w:pPr>
              <w:pStyle w:val="TableParagraph"/>
              <w:jc w:val="left"/>
              <w:rPr>
                <w:rFonts w:ascii="Times New Roman"/>
                <w:sz w:val="10"/>
              </w:rPr>
            </w:pPr>
          </w:p>
        </w:tc>
      </w:tr>
      <w:tr>
        <w:trPr>
          <w:trHeight w:val="254" w:hRule="atLeast"/>
        </w:trPr>
        <w:tc>
          <w:tcPr>
            <w:tcW w:w="1206" w:type="dxa"/>
            <w:tcBorders>
              <w:bottom w:val="single" w:sz="4" w:space="0" w:color="000000"/>
            </w:tcBorders>
          </w:tcPr>
          <w:p>
            <w:pPr>
              <w:pStyle w:val="TableParagraph"/>
              <w:spacing w:line="144" w:lineRule="exact"/>
              <w:ind w:right="317"/>
              <w:jc w:val="right"/>
              <w:rPr>
                <w:rFonts w:ascii="宋体" w:eastAsia="宋体" w:hint="eastAsia"/>
                <w:sz w:val="16"/>
              </w:rPr>
            </w:pPr>
            <w:r>
              <w:rPr>
                <w:rFonts w:ascii="宋体" w:eastAsia="宋体" w:hint="eastAsia"/>
                <w:sz w:val="16"/>
              </w:rPr>
              <w:t>结局指标</w:t>
            </w:r>
          </w:p>
        </w:tc>
        <w:tc>
          <w:tcPr>
            <w:tcW w:w="1679" w:type="dxa"/>
            <w:tcBorders>
              <w:bottom w:val="single" w:sz="4" w:space="0" w:color="000000"/>
            </w:tcBorders>
          </w:tcPr>
          <w:p>
            <w:pPr>
              <w:pStyle w:val="TableParagraph"/>
              <w:spacing w:line="144" w:lineRule="exact"/>
              <w:ind w:left="226" w:right="229"/>
              <w:rPr>
                <w:rFonts w:ascii="宋体" w:eastAsia="宋体" w:hint="eastAsia"/>
                <w:sz w:val="16"/>
              </w:rPr>
            </w:pPr>
            <w:r>
              <w:rPr>
                <w:rFonts w:ascii="宋体" w:eastAsia="宋体" w:hint="eastAsia"/>
                <w:sz w:val="16"/>
              </w:rPr>
              <w:t>干预措施</w:t>
            </w:r>
          </w:p>
        </w:tc>
        <w:tc>
          <w:tcPr>
            <w:tcW w:w="908" w:type="dxa"/>
            <w:vMerge/>
            <w:tcBorders>
              <w:top w:val="nil"/>
              <w:bottom w:val="single" w:sz="4" w:space="0" w:color="000000"/>
            </w:tcBorders>
          </w:tcPr>
          <w:p>
            <w:pPr>
              <w:rPr>
                <w:sz w:val="2"/>
                <w:szCs w:val="2"/>
              </w:rPr>
            </w:pPr>
          </w:p>
        </w:tc>
        <w:tc>
          <w:tcPr>
            <w:tcW w:w="575" w:type="dxa"/>
            <w:tcBorders>
              <w:bottom w:val="single" w:sz="4" w:space="0" w:color="000000"/>
            </w:tcBorders>
          </w:tcPr>
          <w:p>
            <w:pPr>
              <w:pStyle w:val="TableParagraph"/>
              <w:spacing w:line="185" w:lineRule="exact" w:before="49"/>
              <w:ind w:left="9"/>
              <w:rPr>
                <w:rFonts w:ascii="宋体"/>
                <w:sz w:val="16"/>
              </w:rPr>
            </w:pPr>
            <w:r>
              <w:rPr>
                <w:rFonts w:ascii="宋体"/>
                <w:w w:val="100"/>
                <w:sz w:val="16"/>
              </w:rPr>
              <w:t>T</w:t>
            </w:r>
          </w:p>
        </w:tc>
        <w:tc>
          <w:tcPr>
            <w:tcW w:w="555" w:type="dxa"/>
            <w:tcBorders>
              <w:bottom w:val="single" w:sz="4" w:space="0" w:color="000000"/>
            </w:tcBorders>
          </w:tcPr>
          <w:p>
            <w:pPr>
              <w:pStyle w:val="TableParagraph"/>
              <w:spacing w:line="185" w:lineRule="exact" w:before="49"/>
              <w:ind w:left="7"/>
              <w:rPr>
                <w:rFonts w:ascii="宋体"/>
                <w:sz w:val="16"/>
              </w:rPr>
            </w:pPr>
            <w:r>
              <w:rPr>
                <w:rFonts w:ascii="宋体"/>
                <w:w w:val="100"/>
                <w:sz w:val="16"/>
              </w:rPr>
              <w:t>C</w:t>
            </w:r>
          </w:p>
        </w:tc>
        <w:tc>
          <w:tcPr>
            <w:tcW w:w="614" w:type="dxa"/>
            <w:tcBorders>
              <w:bottom w:val="single" w:sz="4" w:space="0" w:color="000000"/>
            </w:tcBorders>
          </w:tcPr>
          <w:p>
            <w:pPr>
              <w:pStyle w:val="TableParagraph"/>
              <w:spacing w:line="185" w:lineRule="exact" w:before="50"/>
              <w:ind w:left="225"/>
              <w:jc w:val="left"/>
              <w:rPr>
                <w:rFonts w:ascii="宋体"/>
                <w:sz w:val="8"/>
              </w:rPr>
            </w:pPr>
            <w:r>
              <w:rPr>
                <w:rFonts w:ascii="宋体"/>
                <w:position w:val="-7"/>
                <w:sz w:val="16"/>
              </w:rPr>
              <w:t>I</w:t>
            </w:r>
            <w:r>
              <w:rPr>
                <w:rFonts w:ascii="宋体"/>
                <w:sz w:val="8"/>
              </w:rPr>
              <w:t>2</w:t>
            </w:r>
          </w:p>
        </w:tc>
        <w:tc>
          <w:tcPr>
            <w:tcW w:w="883" w:type="dxa"/>
            <w:tcBorders>
              <w:bottom w:val="single" w:sz="4" w:space="0" w:color="000000"/>
            </w:tcBorders>
          </w:tcPr>
          <w:p>
            <w:pPr>
              <w:pStyle w:val="TableParagraph"/>
              <w:spacing w:line="195" w:lineRule="exact" w:before="39"/>
              <w:ind w:left="164" w:right="152"/>
              <w:rPr>
                <w:rFonts w:ascii="宋体" w:eastAsia="宋体" w:hint="eastAsia"/>
                <w:sz w:val="16"/>
              </w:rPr>
            </w:pPr>
            <w:r>
              <w:rPr>
                <w:rFonts w:ascii="宋体" w:eastAsia="宋体" w:hint="eastAsia"/>
                <w:i/>
                <w:sz w:val="17"/>
              </w:rPr>
              <w:t>P </w:t>
            </w:r>
            <w:r>
              <w:rPr>
                <w:rFonts w:ascii="宋体" w:eastAsia="宋体" w:hint="eastAsia"/>
                <w:sz w:val="16"/>
              </w:rPr>
              <w:t>值</w:t>
            </w:r>
          </w:p>
        </w:tc>
        <w:tc>
          <w:tcPr>
            <w:tcW w:w="829" w:type="dxa"/>
            <w:vMerge/>
            <w:tcBorders>
              <w:top w:val="nil"/>
              <w:bottom w:val="single" w:sz="4" w:space="0" w:color="000000"/>
            </w:tcBorders>
          </w:tcPr>
          <w:p>
            <w:pPr>
              <w:rPr>
                <w:sz w:val="2"/>
                <w:szCs w:val="2"/>
              </w:rPr>
            </w:pPr>
          </w:p>
        </w:tc>
        <w:tc>
          <w:tcPr>
            <w:tcW w:w="1477" w:type="dxa"/>
            <w:tcBorders>
              <w:bottom w:val="single" w:sz="4" w:space="0" w:color="000000"/>
            </w:tcBorders>
          </w:tcPr>
          <w:p>
            <w:pPr>
              <w:pStyle w:val="TableParagraph"/>
              <w:spacing w:line="140" w:lineRule="exact"/>
              <w:ind w:left="156" w:right="220"/>
              <w:rPr>
                <w:sz w:val="16"/>
              </w:rPr>
            </w:pPr>
            <w:r>
              <w:rPr>
                <w:sz w:val="16"/>
              </w:rPr>
              <w:t>SMD(95%CI)</w:t>
            </w:r>
          </w:p>
        </w:tc>
        <w:tc>
          <w:tcPr>
            <w:tcW w:w="995" w:type="dxa"/>
            <w:tcBorders>
              <w:bottom w:val="single" w:sz="4" w:space="0" w:color="000000"/>
            </w:tcBorders>
          </w:tcPr>
          <w:p>
            <w:pPr>
              <w:pStyle w:val="TableParagraph"/>
              <w:spacing w:line="144" w:lineRule="exact"/>
              <w:ind w:left="212" w:right="213"/>
              <w:rPr>
                <w:rFonts w:ascii="宋体" w:eastAsia="宋体" w:hint="eastAsia"/>
                <w:sz w:val="16"/>
              </w:rPr>
            </w:pPr>
            <w:r>
              <w:rPr>
                <w:i/>
                <w:sz w:val="16"/>
              </w:rPr>
              <w:t>P </w:t>
            </w:r>
            <w:r>
              <w:rPr>
                <w:rFonts w:ascii="宋体" w:eastAsia="宋体" w:hint="eastAsia"/>
                <w:sz w:val="16"/>
              </w:rPr>
              <w:t>值</w:t>
            </w:r>
          </w:p>
        </w:tc>
      </w:tr>
      <w:tr>
        <w:trPr>
          <w:trHeight w:val="220" w:hRule="atLeast"/>
        </w:trPr>
        <w:tc>
          <w:tcPr>
            <w:tcW w:w="1206" w:type="dxa"/>
            <w:tcBorders>
              <w:top w:val="single" w:sz="4" w:space="0" w:color="000000"/>
            </w:tcBorders>
          </w:tcPr>
          <w:p>
            <w:pPr>
              <w:pStyle w:val="TableParagraph"/>
              <w:spacing w:line="200" w:lineRule="exact"/>
              <w:ind w:right="255"/>
              <w:jc w:val="right"/>
              <w:rPr>
                <w:rFonts w:ascii="宋体" w:eastAsia="宋体" w:hint="eastAsia"/>
                <w:sz w:val="16"/>
              </w:rPr>
            </w:pPr>
            <w:r>
              <w:rPr>
                <w:sz w:val="16"/>
              </w:rPr>
              <w:t>SBP </w:t>
            </w:r>
            <w:r>
              <w:rPr>
                <w:rFonts w:ascii="宋体" w:eastAsia="宋体" w:hint="eastAsia"/>
                <w:sz w:val="16"/>
              </w:rPr>
              <w:t>降低值</w:t>
            </w:r>
          </w:p>
        </w:tc>
        <w:tc>
          <w:tcPr>
            <w:tcW w:w="1679" w:type="dxa"/>
            <w:tcBorders>
              <w:top w:val="single" w:sz="4" w:space="0" w:color="000000"/>
            </w:tcBorders>
          </w:tcPr>
          <w:p>
            <w:pPr>
              <w:pStyle w:val="TableParagraph"/>
              <w:spacing w:line="194" w:lineRule="exact" w:before="6"/>
              <w:ind w:left="226" w:right="231"/>
              <w:rPr>
                <w:sz w:val="16"/>
              </w:rPr>
            </w:pPr>
            <w:r>
              <w:rPr>
                <w:sz w:val="16"/>
              </w:rPr>
              <w:t>LA + Met. vs. Met.</w:t>
            </w:r>
          </w:p>
        </w:tc>
        <w:tc>
          <w:tcPr>
            <w:tcW w:w="908" w:type="dxa"/>
            <w:tcBorders>
              <w:top w:val="single" w:sz="4" w:space="0" w:color="000000"/>
            </w:tcBorders>
          </w:tcPr>
          <w:p>
            <w:pPr>
              <w:pStyle w:val="TableParagraph"/>
              <w:spacing w:line="194" w:lineRule="exact" w:before="6"/>
              <w:ind w:left="82"/>
              <w:rPr>
                <w:sz w:val="16"/>
              </w:rPr>
            </w:pPr>
            <w:r>
              <w:rPr>
                <w:w w:val="100"/>
                <w:sz w:val="16"/>
              </w:rPr>
              <w:t>4</w:t>
            </w:r>
          </w:p>
        </w:tc>
        <w:tc>
          <w:tcPr>
            <w:tcW w:w="575" w:type="dxa"/>
            <w:tcBorders>
              <w:top w:val="single" w:sz="4" w:space="0" w:color="000000"/>
            </w:tcBorders>
          </w:tcPr>
          <w:p>
            <w:pPr>
              <w:pStyle w:val="TableParagraph"/>
              <w:spacing w:line="194" w:lineRule="exact" w:before="6"/>
              <w:ind w:left="150" w:right="140"/>
              <w:rPr>
                <w:sz w:val="16"/>
              </w:rPr>
            </w:pPr>
            <w:r>
              <w:rPr>
                <w:sz w:val="16"/>
              </w:rPr>
              <w:t>267</w:t>
            </w:r>
          </w:p>
        </w:tc>
        <w:tc>
          <w:tcPr>
            <w:tcW w:w="555" w:type="dxa"/>
            <w:tcBorders>
              <w:top w:val="single" w:sz="4" w:space="0" w:color="000000"/>
            </w:tcBorders>
          </w:tcPr>
          <w:p>
            <w:pPr>
              <w:pStyle w:val="TableParagraph"/>
              <w:spacing w:line="194" w:lineRule="exact" w:before="6"/>
              <w:ind w:left="139" w:right="131"/>
              <w:rPr>
                <w:sz w:val="16"/>
              </w:rPr>
            </w:pPr>
            <w:r>
              <w:rPr>
                <w:sz w:val="16"/>
              </w:rPr>
              <w:t>273</w:t>
            </w:r>
          </w:p>
        </w:tc>
        <w:tc>
          <w:tcPr>
            <w:tcW w:w="614" w:type="dxa"/>
            <w:tcBorders>
              <w:top w:val="single" w:sz="4" w:space="0" w:color="000000"/>
            </w:tcBorders>
          </w:tcPr>
          <w:p>
            <w:pPr>
              <w:pStyle w:val="TableParagraph"/>
              <w:spacing w:line="194" w:lineRule="exact" w:before="6"/>
              <w:ind w:left="149"/>
              <w:jc w:val="left"/>
              <w:rPr>
                <w:sz w:val="16"/>
              </w:rPr>
            </w:pPr>
            <w:r>
              <w:rPr>
                <w:sz w:val="16"/>
              </w:rPr>
              <w:t>90%</w:t>
            </w:r>
          </w:p>
        </w:tc>
        <w:tc>
          <w:tcPr>
            <w:tcW w:w="883" w:type="dxa"/>
            <w:tcBorders>
              <w:top w:val="single" w:sz="4" w:space="0" w:color="000000"/>
            </w:tcBorders>
          </w:tcPr>
          <w:p>
            <w:pPr>
              <w:pStyle w:val="TableParagraph"/>
              <w:spacing w:line="194" w:lineRule="exact" w:before="6"/>
              <w:ind w:left="164" w:right="152"/>
              <w:rPr>
                <w:sz w:val="16"/>
              </w:rPr>
            </w:pPr>
            <w:r>
              <w:rPr>
                <w:sz w:val="16"/>
              </w:rPr>
              <w:t>&lt;0.0001</w:t>
            </w:r>
          </w:p>
        </w:tc>
        <w:tc>
          <w:tcPr>
            <w:tcW w:w="829" w:type="dxa"/>
            <w:tcBorders>
              <w:top w:val="single" w:sz="4" w:space="0" w:color="000000"/>
            </w:tcBorders>
          </w:tcPr>
          <w:p>
            <w:pPr>
              <w:pStyle w:val="TableParagraph"/>
              <w:spacing w:line="200" w:lineRule="exact"/>
              <w:ind w:right="256"/>
              <w:jc w:val="right"/>
              <w:rPr>
                <w:rFonts w:ascii="宋体" w:eastAsia="宋体" w:hint="eastAsia"/>
                <w:sz w:val="16"/>
              </w:rPr>
            </w:pPr>
            <w:r>
              <w:rPr>
                <w:rFonts w:ascii="宋体" w:eastAsia="宋体" w:hint="eastAsia"/>
                <w:sz w:val="16"/>
              </w:rPr>
              <w:t>随机</w:t>
            </w:r>
          </w:p>
        </w:tc>
        <w:tc>
          <w:tcPr>
            <w:tcW w:w="1477" w:type="dxa"/>
            <w:tcBorders>
              <w:top w:val="single" w:sz="4" w:space="0" w:color="000000"/>
            </w:tcBorders>
          </w:tcPr>
          <w:p>
            <w:pPr>
              <w:pStyle w:val="TableParagraph"/>
              <w:spacing w:line="194" w:lineRule="exact" w:before="6"/>
              <w:ind w:left="156" w:right="220"/>
              <w:rPr>
                <w:sz w:val="16"/>
              </w:rPr>
            </w:pPr>
            <w:r>
              <w:rPr>
                <w:sz w:val="16"/>
              </w:rPr>
              <w:t>0.83 (0.26, 1.40)</w:t>
            </w:r>
          </w:p>
        </w:tc>
        <w:tc>
          <w:tcPr>
            <w:tcW w:w="995" w:type="dxa"/>
            <w:tcBorders>
              <w:top w:val="single" w:sz="4" w:space="0" w:color="000000"/>
            </w:tcBorders>
          </w:tcPr>
          <w:p>
            <w:pPr>
              <w:pStyle w:val="TableParagraph"/>
              <w:spacing w:line="194" w:lineRule="exact" w:before="6"/>
              <w:ind w:left="212" w:right="213"/>
              <w:rPr>
                <w:sz w:val="16"/>
              </w:rPr>
            </w:pPr>
            <w:r>
              <w:rPr>
                <w:sz w:val="16"/>
              </w:rPr>
              <w:t>0.004</w:t>
            </w:r>
          </w:p>
        </w:tc>
      </w:tr>
      <w:tr>
        <w:trPr>
          <w:trHeight w:val="193" w:hRule="atLeast"/>
        </w:trPr>
        <w:tc>
          <w:tcPr>
            <w:tcW w:w="1206" w:type="dxa"/>
          </w:tcPr>
          <w:p>
            <w:pPr>
              <w:pStyle w:val="TableParagraph"/>
              <w:jc w:val="left"/>
              <w:rPr>
                <w:rFonts w:ascii="Times New Roman"/>
                <w:sz w:val="12"/>
              </w:rPr>
            </w:pPr>
          </w:p>
        </w:tc>
        <w:tc>
          <w:tcPr>
            <w:tcW w:w="1679" w:type="dxa"/>
          </w:tcPr>
          <w:p>
            <w:pPr>
              <w:pStyle w:val="TableParagraph"/>
              <w:spacing w:line="173" w:lineRule="exact"/>
              <w:ind w:left="226" w:right="231"/>
              <w:rPr>
                <w:sz w:val="16"/>
              </w:rPr>
            </w:pPr>
            <w:r>
              <w:rPr>
                <w:sz w:val="16"/>
              </w:rPr>
              <w:t>LA + Bis. vs. Bis.</w:t>
            </w:r>
          </w:p>
        </w:tc>
        <w:tc>
          <w:tcPr>
            <w:tcW w:w="908" w:type="dxa"/>
          </w:tcPr>
          <w:p>
            <w:pPr>
              <w:pStyle w:val="TableParagraph"/>
              <w:spacing w:line="173" w:lineRule="exact"/>
              <w:ind w:left="82"/>
              <w:rPr>
                <w:sz w:val="16"/>
              </w:rPr>
            </w:pPr>
            <w:r>
              <w:rPr>
                <w:w w:val="100"/>
                <w:sz w:val="16"/>
              </w:rPr>
              <w:t>1</w:t>
            </w:r>
          </w:p>
        </w:tc>
        <w:tc>
          <w:tcPr>
            <w:tcW w:w="575" w:type="dxa"/>
          </w:tcPr>
          <w:p>
            <w:pPr>
              <w:pStyle w:val="TableParagraph"/>
              <w:spacing w:line="173" w:lineRule="exact"/>
              <w:ind w:left="145" w:right="140"/>
              <w:rPr>
                <w:sz w:val="16"/>
              </w:rPr>
            </w:pPr>
            <w:r>
              <w:rPr>
                <w:sz w:val="16"/>
              </w:rPr>
              <w:t>30</w:t>
            </w:r>
          </w:p>
        </w:tc>
        <w:tc>
          <w:tcPr>
            <w:tcW w:w="555" w:type="dxa"/>
          </w:tcPr>
          <w:p>
            <w:pPr>
              <w:pStyle w:val="TableParagraph"/>
              <w:spacing w:line="173" w:lineRule="exact"/>
              <w:ind w:left="134" w:right="131"/>
              <w:rPr>
                <w:sz w:val="16"/>
              </w:rPr>
            </w:pPr>
            <w:r>
              <w:rPr>
                <w:sz w:val="16"/>
              </w:rPr>
              <w:t>30</w:t>
            </w:r>
          </w:p>
        </w:tc>
        <w:tc>
          <w:tcPr>
            <w:tcW w:w="614" w:type="dxa"/>
          </w:tcPr>
          <w:p>
            <w:pPr>
              <w:pStyle w:val="TableParagraph"/>
              <w:spacing w:line="173" w:lineRule="exact"/>
              <w:ind w:left="187"/>
              <w:jc w:val="left"/>
              <w:rPr>
                <w:sz w:val="16"/>
              </w:rPr>
            </w:pPr>
            <w:r>
              <w:rPr>
                <w:sz w:val="16"/>
              </w:rPr>
              <w:t>NA</w:t>
            </w:r>
          </w:p>
        </w:tc>
        <w:tc>
          <w:tcPr>
            <w:tcW w:w="883" w:type="dxa"/>
          </w:tcPr>
          <w:p>
            <w:pPr>
              <w:pStyle w:val="TableParagraph"/>
              <w:spacing w:line="173" w:lineRule="exact"/>
              <w:ind w:left="163" w:right="152"/>
              <w:rPr>
                <w:sz w:val="16"/>
              </w:rPr>
            </w:pPr>
            <w:r>
              <w:rPr>
                <w:sz w:val="16"/>
              </w:rPr>
              <w:t>NA</w:t>
            </w:r>
          </w:p>
        </w:tc>
        <w:tc>
          <w:tcPr>
            <w:tcW w:w="829" w:type="dxa"/>
          </w:tcPr>
          <w:p>
            <w:pPr>
              <w:pStyle w:val="TableParagraph"/>
              <w:spacing w:line="173" w:lineRule="exact"/>
              <w:ind w:right="322"/>
              <w:jc w:val="right"/>
              <w:rPr>
                <w:sz w:val="16"/>
              </w:rPr>
            </w:pPr>
            <w:r>
              <w:rPr>
                <w:sz w:val="16"/>
              </w:rPr>
              <w:t>NA</w:t>
            </w:r>
          </w:p>
        </w:tc>
        <w:tc>
          <w:tcPr>
            <w:tcW w:w="1477" w:type="dxa"/>
          </w:tcPr>
          <w:p>
            <w:pPr>
              <w:pStyle w:val="TableParagraph"/>
              <w:spacing w:line="173" w:lineRule="exact"/>
              <w:ind w:left="156" w:right="217"/>
              <w:rPr>
                <w:sz w:val="16"/>
              </w:rPr>
            </w:pPr>
            <w:r>
              <w:rPr>
                <w:sz w:val="16"/>
              </w:rPr>
              <w:t>1.10(0.55, 1.65)</w:t>
            </w:r>
          </w:p>
        </w:tc>
        <w:tc>
          <w:tcPr>
            <w:tcW w:w="995" w:type="dxa"/>
          </w:tcPr>
          <w:p>
            <w:pPr>
              <w:pStyle w:val="TableParagraph"/>
              <w:spacing w:line="173" w:lineRule="exact"/>
              <w:ind w:left="212" w:right="216"/>
              <w:rPr>
                <w:sz w:val="16"/>
              </w:rPr>
            </w:pPr>
            <w:r>
              <w:rPr>
                <w:sz w:val="16"/>
              </w:rPr>
              <w:t>&lt;0.0001</w:t>
            </w:r>
          </w:p>
        </w:tc>
      </w:tr>
      <w:tr>
        <w:trPr>
          <w:trHeight w:val="210" w:hRule="atLeast"/>
        </w:trPr>
        <w:tc>
          <w:tcPr>
            <w:tcW w:w="1206" w:type="dxa"/>
          </w:tcPr>
          <w:p>
            <w:pPr>
              <w:pStyle w:val="TableParagraph"/>
              <w:spacing w:line="190" w:lineRule="exact"/>
              <w:ind w:right="243"/>
              <w:jc w:val="right"/>
              <w:rPr>
                <w:rFonts w:ascii="宋体" w:eastAsia="宋体" w:hint="eastAsia"/>
                <w:sz w:val="16"/>
              </w:rPr>
            </w:pPr>
            <w:r>
              <w:rPr>
                <w:sz w:val="16"/>
              </w:rPr>
              <w:t>DBP </w:t>
            </w:r>
            <w:r>
              <w:rPr>
                <w:rFonts w:ascii="宋体" w:eastAsia="宋体" w:hint="eastAsia"/>
                <w:sz w:val="16"/>
              </w:rPr>
              <w:t>降低值</w:t>
            </w:r>
          </w:p>
        </w:tc>
        <w:tc>
          <w:tcPr>
            <w:tcW w:w="1679" w:type="dxa"/>
          </w:tcPr>
          <w:p>
            <w:pPr>
              <w:pStyle w:val="TableParagraph"/>
              <w:spacing w:line="190" w:lineRule="exact"/>
              <w:ind w:left="226" w:right="231"/>
              <w:rPr>
                <w:sz w:val="16"/>
              </w:rPr>
            </w:pPr>
            <w:r>
              <w:rPr>
                <w:sz w:val="16"/>
              </w:rPr>
              <w:t>LA + Met. vs. Met.</w:t>
            </w:r>
          </w:p>
        </w:tc>
        <w:tc>
          <w:tcPr>
            <w:tcW w:w="908" w:type="dxa"/>
          </w:tcPr>
          <w:p>
            <w:pPr>
              <w:pStyle w:val="TableParagraph"/>
              <w:spacing w:line="190" w:lineRule="exact"/>
              <w:ind w:left="82"/>
              <w:rPr>
                <w:sz w:val="16"/>
              </w:rPr>
            </w:pPr>
            <w:r>
              <w:rPr>
                <w:w w:val="100"/>
                <w:sz w:val="16"/>
              </w:rPr>
              <w:t>4</w:t>
            </w:r>
          </w:p>
        </w:tc>
        <w:tc>
          <w:tcPr>
            <w:tcW w:w="575" w:type="dxa"/>
          </w:tcPr>
          <w:p>
            <w:pPr>
              <w:pStyle w:val="TableParagraph"/>
              <w:spacing w:line="190" w:lineRule="exact"/>
              <w:ind w:left="150" w:right="140"/>
              <w:rPr>
                <w:sz w:val="16"/>
              </w:rPr>
            </w:pPr>
            <w:r>
              <w:rPr>
                <w:sz w:val="16"/>
              </w:rPr>
              <w:t>267</w:t>
            </w:r>
          </w:p>
        </w:tc>
        <w:tc>
          <w:tcPr>
            <w:tcW w:w="555" w:type="dxa"/>
          </w:tcPr>
          <w:p>
            <w:pPr>
              <w:pStyle w:val="TableParagraph"/>
              <w:spacing w:line="190" w:lineRule="exact"/>
              <w:ind w:left="139" w:right="131"/>
              <w:rPr>
                <w:sz w:val="16"/>
              </w:rPr>
            </w:pPr>
            <w:r>
              <w:rPr>
                <w:sz w:val="16"/>
              </w:rPr>
              <w:t>273</w:t>
            </w:r>
          </w:p>
        </w:tc>
        <w:tc>
          <w:tcPr>
            <w:tcW w:w="614" w:type="dxa"/>
          </w:tcPr>
          <w:p>
            <w:pPr>
              <w:pStyle w:val="TableParagraph"/>
              <w:spacing w:line="190" w:lineRule="exact"/>
              <w:ind w:left="149"/>
              <w:jc w:val="left"/>
              <w:rPr>
                <w:sz w:val="16"/>
              </w:rPr>
            </w:pPr>
            <w:r>
              <w:rPr>
                <w:sz w:val="16"/>
              </w:rPr>
              <w:t>87%</w:t>
            </w:r>
          </w:p>
        </w:tc>
        <w:tc>
          <w:tcPr>
            <w:tcW w:w="883" w:type="dxa"/>
          </w:tcPr>
          <w:p>
            <w:pPr>
              <w:pStyle w:val="TableParagraph"/>
              <w:spacing w:line="190" w:lineRule="exact"/>
              <w:ind w:left="164" w:right="152"/>
              <w:rPr>
                <w:sz w:val="16"/>
              </w:rPr>
            </w:pPr>
            <w:r>
              <w:rPr>
                <w:sz w:val="16"/>
              </w:rPr>
              <w:t>&lt;0.0001</w:t>
            </w:r>
          </w:p>
        </w:tc>
        <w:tc>
          <w:tcPr>
            <w:tcW w:w="829" w:type="dxa"/>
          </w:tcPr>
          <w:p>
            <w:pPr>
              <w:pStyle w:val="TableParagraph"/>
              <w:spacing w:line="190" w:lineRule="exact"/>
              <w:ind w:right="256"/>
              <w:jc w:val="right"/>
              <w:rPr>
                <w:rFonts w:ascii="宋体" w:eastAsia="宋体" w:hint="eastAsia"/>
                <w:sz w:val="16"/>
              </w:rPr>
            </w:pPr>
            <w:r>
              <w:rPr>
                <w:rFonts w:ascii="宋体" w:eastAsia="宋体" w:hint="eastAsia"/>
                <w:sz w:val="16"/>
              </w:rPr>
              <w:t>随机</w:t>
            </w:r>
          </w:p>
        </w:tc>
        <w:tc>
          <w:tcPr>
            <w:tcW w:w="1477" w:type="dxa"/>
          </w:tcPr>
          <w:p>
            <w:pPr>
              <w:pStyle w:val="TableParagraph"/>
              <w:spacing w:line="190" w:lineRule="exact"/>
              <w:ind w:left="156" w:right="217"/>
              <w:rPr>
                <w:sz w:val="16"/>
              </w:rPr>
            </w:pPr>
            <w:r>
              <w:rPr>
                <w:sz w:val="16"/>
              </w:rPr>
              <w:t>0.73(0.23, 1.23)</w:t>
            </w:r>
          </w:p>
        </w:tc>
        <w:tc>
          <w:tcPr>
            <w:tcW w:w="995" w:type="dxa"/>
          </w:tcPr>
          <w:p>
            <w:pPr>
              <w:pStyle w:val="TableParagraph"/>
              <w:spacing w:line="190" w:lineRule="exact"/>
              <w:ind w:left="212" w:right="213"/>
              <w:rPr>
                <w:sz w:val="16"/>
              </w:rPr>
            </w:pPr>
            <w:r>
              <w:rPr>
                <w:sz w:val="16"/>
              </w:rPr>
              <w:t>0.004</w:t>
            </w:r>
          </w:p>
        </w:tc>
      </w:tr>
      <w:tr>
        <w:trPr>
          <w:trHeight w:val="182" w:hRule="atLeast"/>
        </w:trPr>
        <w:tc>
          <w:tcPr>
            <w:tcW w:w="1206" w:type="dxa"/>
            <w:tcBorders>
              <w:bottom w:val="single" w:sz="4" w:space="0" w:color="000000"/>
            </w:tcBorders>
          </w:tcPr>
          <w:p>
            <w:pPr>
              <w:pStyle w:val="TableParagraph"/>
              <w:jc w:val="left"/>
              <w:rPr>
                <w:rFonts w:ascii="Times New Roman"/>
                <w:sz w:val="12"/>
              </w:rPr>
            </w:pPr>
          </w:p>
        </w:tc>
        <w:tc>
          <w:tcPr>
            <w:tcW w:w="1679" w:type="dxa"/>
            <w:tcBorders>
              <w:bottom w:val="single" w:sz="4" w:space="0" w:color="000000"/>
            </w:tcBorders>
          </w:tcPr>
          <w:p>
            <w:pPr>
              <w:pStyle w:val="TableParagraph"/>
              <w:spacing w:line="163" w:lineRule="exact"/>
              <w:ind w:left="226" w:right="231"/>
              <w:rPr>
                <w:sz w:val="16"/>
              </w:rPr>
            </w:pPr>
            <w:r>
              <w:rPr>
                <w:sz w:val="16"/>
              </w:rPr>
              <w:t>LA + Bis. vs. Bis.</w:t>
            </w:r>
          </w:p>
        </w:tc>
        <w:tc>
          <w:tcPr>
            <w:tcW w:w="908" w:type="dxa"/>
            <w:tcBorders>
              <w:bottom w:val="single" w:sz="4" w:space="0" w:color="000000"/>
            </w:tcBorders>
          </w:tcPr>
          <w:p>
            <w:pPr>
              <w:pStyle w:val="TableParagraph"/>
              <w:spacing w:line="163" w:lineRule="exact"/>
              <w:ind w:left="82"/>
              <w:rPr>
                <w:sz w:val="16"/>
              </w:rPr>
            </w:pPr>
            <w:r>
              <w:rPr>
                <w:w w:val="100"/>
                <w:sz w:val="16"/>
              </w:rPr>
              <w:t>1</w:t>
            </w:r>
          </w:p>
        </w:tc>
        <w:tc>
          <w:tcPr>
            <w:tcW w:w="575" w:type="dxa"/>
            <w:tcBorders>
              <w:bottom w:val="single" w:sz="4" w:space="0" w:color="000000"/>
            </w:tcBorders>
          </w:tcPr>
          <w:p>
            <w:pPr>
              <w:pStyle w:val="TableParagraph"/>
              <w:spacing w:line="163" w:lineRule="exact"/>
              <w:ind w:left="145" w:right="140"/>
              <w:rPr>
                <w:sz w:val="16"/>
              </w:rPr>
            </w:pPr>
            <w:r>
              <w:rPr>
                <w:sz w:val="16"/>
              </w:rPr>
              <w:t>30</w:t>
            </w:r>
          </w:p>
        </w:tc>
        <w:tc>
          <w:tcPr>
            <w:tcW w:w="555" w:type="dxa"/>
            <w:tcBorders>
              <w:bottom w:val="single" w:sz="4" w:space="0" w:color="000000"/>
            </w:tcBorders>
          </w:tcPr>
          <w:p>
            <w:pPr>
              <w:pStyle w:val="TableParagraph"/>
              <w:spacing w:line="163" w:lineRule="exact"/>
              <w:ind w:left="134" w:right="131"/>
              <w:rPr>
                <w:sz w:val="16"/>
              </w:rPr>
            </w:pPr>
            <w:r>
              <w:rPr>
                <w:sz w:val="16"/>
              </w:rPr>
              <w:t>30</w:t>
            </w:r>
          </w:p>
        </w:tc>
        <w:tc>
          <w:tcPr>
            <w:tcW w:w="614" w:type="dxa"/>
            <w:tcBorders>
              <w:bottom w:val="single" w:sz="4" w:space="0" w:color="000000"/>
            </w:tcBorders>
          </w:tcPr>
          <w:p>
            <w:pPr>
              <w:pStyle w:val="TableParagraph"/>
              <w:spacing w:line="163" w:lineRule="exact"/>
              <w:ind w:left="187"/>
              <w:jc w:val="left"/>
              <w:rPr>
                <w:sz w:val="16"/>
              </w:rPr>
            </w:pPr>
            <w:r>
              <w:rPr>
                <w:sz w:val="16"/>
              </w:rPr>
              <w:t>NA</w:t>
            </w:r>
          </w:p>
        </w:tc>
        <w:tc>
          <w:tcPr>
            <w:tcW w:w="883" w:type="dxa"/>
            <w:tcBorders>
              <w:bottom w:val="single" w:sz="4" w:space="0" w:color="000000"/>
            </w:tcBorders>
          </w:tcPr>
          <w:p>
            <w:pPr>
              <w:pStyle w:val="TableParagraph"/>
              <w:spacing w:line="163" w:lineRule="exact"/>
              <w:ind w:left="163" w:right="152"/>
              <w:rPr>
                <w:sz w:val="16"/>
              </w:rPr>
            </w:pPr>
            <w:r>
              <w:rPr>
                <w:sz w:val="16"/>
              </w:rPr>
              <w:t>NA</w:t>
            </w:r>
          </w:p>
        </w:tc>
        <w:tc>
          <w:tcPr>
            <w:tcW w:w="829" w:type="dxa"/>
            <w:tcBorders>
              <w:bottom w:val="single" w:sz="4" w:space="0" w:color="000000"/>
            </w:tcBorders>
          </w:tcPr>
          <w:p>
            <w:pPr>
              <w:pStyle w:val="TableParagraph"/>
              <w:spacing w:line="163" w:lineRule="exact"/>
              <w:ind w:right="322"/>
              <w:jc w:val="right"/>
              <w:rPr>
                <w:sz w:val="16"/>
              </w:rPr>
            </w:pPr>
            <w:r>
              <w:rPr>
                <w:sz w:val="16"/>
              </w:rPr>
              <w:t>NA</w:t>
            </w:r>
          </w:p>
        </w:tc>
        <w:tc>
          <w:tcPr>
            <w:tcW w:w="1477" w:type="dxa"/>
            <w:tcBorders>
              <w:bottom w:val="single" w:sz="4" w:space="0" w:color="000000"/>
            </w:tcBorders>
          </w:tcPr>
          <w:p>
            <w:pPr>
              <w:pStyle w:val="TableParagraph"/>
              <w:spacing w:line="163" w:lineRule="exact"/>
              <w:ind w:left="156" w:right="217"/>
              <w:rPr>
                <w:sz w:val="16"/>
              </w:rPr>
            </w:pPr>
            <w:r>
              <w:rPr>
                <w:sz w:val="16"/>
              </w:rPr>
              <w:t>1.13(0.59, 1.68)</w:t>
            </w:r>
          </w:p>
        </w:tc>
        <w:tc>
          <w:tcPr>
            <w:tcW w:w="995" w:type="dxa"/>
            <w:tcBorders>
              <w:bottom w:val="single" w:sz="4" w:space="0" w:color="000000"/>
            </w:tcBorders>
          </w:tcPr>
          <w:p>
            <w:pPr>
              <w:pStyle w:val="TableParagraph"/>
              <w:spacing w:line="163" w:lineRule="exact"/>
              <w:ind w:left="212" w:right="216"/>
              <w:rPr>
                <w:sz w:val="16"/>
              </w:rPr>
            </w:pPr>
            <w:r>
              <w:rPr>
                <w:sz w:val="16"/>
              </w:rPr>
              <w:t>&lt;0.0001</w:t>
            </w:r>
          </w:p>
        </w:tc>
      </w:tr>
    </w:tbl>
    <w:p>
      <w:pPr>
        <w:spacing w:before="1"/>
        <w:ind w:left="237" w:right="0" w:firstLine="0"/>
        <w:jc w:val="left"/>
        <w:rPr>
          <w:sz w:val="15"/>
        </w:rPr>
      </w:pPr>
      <w:r>
        <w:rPr>
          <w:sz w:val="15"/>
        </w:rPr>
        <w:t>备注：</w:t>
      </w:r>
      <w:r>
        <w:rPr>
          <w:rFonts w:ascii="Times New Roman" w:eastAsia="Times New Roman"/>
          <w:sz w:val="15"/>
        </w:rPr>
        <w:t>Met.</w:t>
      </w:r>
      <w:r>
        <w:rPr>
          <w:sz w:val="15"/>
        </w:rPr>
        <w:t>：美托洛尔；</w:t>
      </w:r>
      <w:r>
        <w:rPr>
          <w:rFonts w:ascii="Times New Roman" w:eastAsia="Times New Roman"/>
          <w:sz w:val="15"/>
        </w:rPr>
        <w:t>Bis.</w:t>
      </w:r>
      <w:r>
        <w:rPr>
          <w:sz w:val="15"/>
        </w:rPr>
        <w:t>：比索洛尔。</w:t>
      </w:r>
    </w:p>
    <w:p>
      <w:pPr>
        <w:pStyle w:val="BodyText"/>
        <w:ind w:left="0"/>
        <w:rPr>
          <w:sz w:val="16"/>
        </w:rPr>
      </w:pPr>
    </w:p>
    <w:p>
      <w:pPr>
        <w:spacing w:before="115" w:after="10"/>
        <w:ind w:left="237" w:right="0" w:firstLine="0"/>
        <w:jc w:val="left"/>
        <w:rPr>
          <w:rFonts w:ascii="华文楷体" w:hAnsi="华文楷体" w:eastAsia="华文楷体" w:hint="eastAsia"/>
          <w:sz w:val="18"/>
        </w:rPr>
      </w:pPr>
      <w:r>
        <w:rPr>
          <w:rFonts w:ascii="华文楷体" w:hAnsi="华文楷体" w:eastAsia="华文楷体" w:hint="eastAsia"/>
          <w:sz w:val="18"/>
        </w:rPr>
        <w:t>表6 LA+β受体拮抗剂 vs. β受体拮抗剂总有效率的meta分析结果</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5"/>
        <w:gridCol w:w="966"/>
        <w:gridCol w:w="943"/>
        <w:gridCol w:w="936"/>
        <w:gridCol w:w="700"/>
        <w:gridCol w:w="859"/>
        <w:gridCol w:w="953"/>
        <w:gridCol w:w="1465"/>
        <w:gridCol w:w="1098"/>
      </w:tblGrid>
      <w:tr>
        <w:trPr>
          <w:trHeight w:val="177" w:hRule="atLeast"/>
        </w:trPr>
        <w:tc>
          <w:tcPr>
            <w:tcW w:w="1805" w:type="dxa"/>
            <w:tcBorders>
              <w:top w:val="single" w:sz="4" w:space="0" w:color="000000"/>
            </w:tcBorders>
          </w:tcPr>
          <w:p>
            <w:pPr>
              <w:pStyle w:val="TableParagraph"/>
              <w:jc w:val="left"/>
              <w:rPr>
                <w:rFonts w:ascii="Times New Roman"/>
                <w:sz w:val="10"/>
              </w:rPr>
            </w:pPr>
          </w:p>
        </w:tc>
        <w:tc>
          <w:tcPr>
            <w:tcW w:w="966" w:type="dxa"/>
            <w:vMerge w:val="restart"/>
            <w:tcBorders>
              <w:top w:val="single" w:sz="4" w:space="0" w:color="000000"/>
              <w:bottom w:val="single" w:sz="4" w:space="0" w:color="000000"/>
            </w:tcBorders>
          </w:tcPr>
          <w:p>
            <w:pPr>
              <w:pStyle w:val="TableParagraph"/>
              <w:spacing w:line="210" w:lineRule="atLeast"/>
              <w:ind w:left="279" w:right="201" w:firstLine="79"/>
              <w:jc w:val="left"/>
              <w:rPr>
                <w:rFonts w:ascii="宋体" w:eastAsia="宋体" w:hint="eastAsia"/>
                <w:sz w:val="16"/>
              </w:rPr>
            </w:pPr>
            <w:r>
              <w:rPr>
                <w:rFonts w:ascii="宋体" w:eastAsia="宋体" w:hint="eastAsia"/>
                <w:sz w:val="16"/>
              </w:rPr>
              <w:t>纳入研究数</w:t>
            </w:r>
          </w:p>
        </w:tc>
        <w:tc>
          <w:tcPr>
            <w:tcW w:w="1879" w:type="dxa"/>
            <w:gridSpan w:val="2"/>
            <w:tcBorders>
              <w:top w:val="single" w:sz="4" w:space="0" w:color="000000"/>
            </w:tcBorders>
          </w:tcPr>
          <w:p>
            <w:pPr>
              <w:pStyle w:val="TableParagraph"/>
              <w:tabs>
                <w:tab w:pos="351" w:val="left" w:leader="none"/>
                <w:tab w:pos="2475" w:val="left" w:leader="none"/>
              </w:tabs>
              <w:spacing w:line="157" w:lineRule="exact"/>
              <w:ind w:left="20" w:right="-605"/>
              <w:jc w:val="left"/>
              <w:rPr>
                <w:rFonts w:ascii="宋体" w:eastAsia="宋体" w:hint="eastAsia"/>
                <w:sz w:val="16"/>
              </w:rPr>
            </w:pPr>
            <w:r>
              <w:rPr>
                <w:rFonts w:ascii="Times New Roman" w:eastAsia="Times New Roman"/>
                <w:w w:val="100"/>
                <w:sz w:val="16"/>
                <w:u w:val="single"/>
              </w:rPr>
              <w:t> </w:t>
            </w:r>
            <w:r>
              <w:rPr>
                <w:rFonts w:ascii="Times New Roman" w:eastAsia="Times New Roman"/>
                <w:sz w:val="16"/>
                <w:u w:val="single"/>
              </w:rPr>
              <w:tab/>
            </w:r>
            <w:r>
              <w:rPr>
                <w:rFonts w:ascii="宋体" w:eastAsia="宋体" w:hint="eastAsia"/>
                <w:sz w:val="16"/>
                <w:u w:val="single"/>
              </w:rPr>
              <w:t>总有效</w:t>
            </w:r>
            <w:r>
              <w:rPr>
                <w:rFonts w:ascii="宋体" w:eastAsia="宋体" w:hint="eastAsia"/>
                <w:spacing w:val="-3"/>
                <w:sz w:val="16"/>
                <w:u w:val="single"/>
              </w:rPr>
              <w:t>数</w:t>
            </w:r>
            <w:r>
              <w:rPr>
                <w:sz w:val="16"/>
                <w:u w:val="single"/>
              </w:rPr>
              <w:t>/</w:t>
            </w:r>
            <w:r>
              <w:rPr>
                <w:rFonts w:ascii="宋体" w:eastAsia="宋体" w:hint="eastAsia"/>
                <w:sz w:val="16"/>
                <w:u w:val="single"/>
              </w:rPr>
              <w:t>总</w:t>
            </w:r>
            <w:r>
              <w:rPr>
                <w:rFonts w:ascii="宋体" w:eastAsia="宋体" w:hint="eastAsia"/>
                <w:spacing w:val="-3"/>
                <w:sz w:val="16"/>
                <w:u w:val="single"/>
              </w:rPr>
              <w:t>例</w:t>
            </w:r>
            <w:r>
              <w:rPr>
                <w:rFonts w:ascii="宋体" w:eastAsia="宋体" w:hint="eastAsia"/>
                <w:sz w:val="16"/>
                <w:u w:val="single"/>
              </w:rPr>
              <w:t>数</w:t>
              <w:tab/>
            </w:r>
          </w:p>
        </w:tc>
        <w:tc>
          <w:tcPr>
            <w:tcW w:w="1559" w:type="dxa"/>
            <w:gridSpan w:val="2"/>
            <w:tcBorders>
              <w:top w:val="single" w:sz="4" w:space="0" w:color="000000"/>
            </w:tcBorders>
          </w:tcPr>
          <w:p>
            <w:pPr>
              <w:pStyle w:val="TableParagraph"/>
              <w:tabs>
                <w:tab w:pos="1686" w:val="left" w:leader="none"/>
              </w:tabs>
              <w:spacing w:line="157" w:lineRule="exact"/>
              <w:ind w:left="596" w:right="-130"/>
              <w:jc w:val="left"/>
              <w:rPr>
                <w:rFonts w:ascii="宋体" w:eastAsia="宋体" w:hint="eastAsia"/>
                <w:sz w:val="16"/>
              </w:rPr>
            </w:pPr>
            <w:r>
              <w:rPr>
                <w:rFonts w:ascii="宋体" w:eastAsia="宋体" w:hint="eastAsia"/>
                <w:sz w:val="16"/>
                <w:u w:val="single"/>
              </w:rPr>
              <w:t>异质性</w:t>
              <w:tab/>
            </w:r>
          </w:p>
        </w:tc>
        <w:tc>
          <w:tcPr>
            <w:tcW w:w="953" w:type="dxa"/>
            <w:vMerge w:val="restart"/>
            <w:tcBorders>
              <w:top w:val="single" w:sz="4" w:space="0" w:color="000000"/>
              <w:bottom w:val="single" w:sz="4" w:space="0" w:color="000000"/>
            </w:tcBorders>
          </w:tcPr>
          <w:p>
            <w:pPr>
              <w:pStyle w:val="TableParagraph"/>
              <w:spacing w:line="210" w:lineRule="atLeast"/>
              <w:ind w:left="429" w:right="197" w:hanging="159"/>
              <w:jc w:val="left"/>
              <w:rPr>
                <w:rFonts w:ascii="宋体" w:eastAsia="宋体" w:hint="eastAsia"/>
                <w:sz w:val="16"/>
              </w:rPr>
            </w:pPr>
            <w:r>
              <w:rPr>
                <w:rFonts w:ascii="宋体" w:eastAsia="宋体" w:hint="eastAsia"/>
                <w:sz w:val="16"/>
              </w:rPr>
              <w:t>效应模型</w:t>
            </w:r>
          </w:p>
        </w:tc>
        <w:tc>
          <w:tcPr>
            <w:tcW w:w="1465" w:type="dxa"/>
            <w:tcBorders>
              <w:top w:val="single" w:sz="4" w:space="0" w:color="000000"/>
            </w:tcBorders>
          </w:tcPr>
          <w:p>
            <w:pPr>
              <w:pStyle w:val="TableParagraph"/>
              <w:jc w:val="left"/>
              <w:rPr>
                <w:rFonts w:ascii="Times New Roman"/>
                <w:sz w:val="10"/>
              </w:rPr>
            </w:pPr>
          </w:p>
        </w:tc>
        <w:tc>
          <w:tcPr>
            <w:tcW w:w="1098" w:type="dxa"/>
            <w:tcBorders>
              <w:top w:val="single" w:sz="4" w:space="0" w:color="000000"/>
            </w:tcBorders>
          </w:tcPr>
          <w:p>
            <w:pPr>
              <w:pStyle w:val="TableParagraph"/>
              <w:jc w:val="left"/>
              <w:rPr>
                <w:rFonts w:ascii="Times New Roman"/>
                <w:sz w:val="10"/>
              </w:rPr>
            </w:pPr>
          </w:p>
        </w:tc>
      </w:tr>
      <w:tr>
        <w:trPr>
          <w:trHeight w:val="236" w:hRule="atLeast"/>
        </w:trPr>
        <w:tc>
          <w:tcPr>
            <w:tcW w:w="1805" w:type="dxa"/>
            <w:tcBorders>
              <w:bottom w:val="single" w:sz="4" w:space="0" w:color="000000"/>
            </w:tcBorders>
          </w:tcPr>
          <w:p>
            <w:pPr>
              <w:pStyle w:val="TableParagraph"/>
              <w:spacing w:line="128" w:lineRule="exact"/>
              <w:ind w:left="325" w:right="255"/>
              <w:rPr>
                <w:rFonts w:ascii="宋体" w:eastAsia="宋体" w:hint="eastAsia"/>
                <w:sz w:val="16"/>
              </w:rPr>
            </w:pPr>
            <w:r>
              <w:rPr>
                <w:rFonts w:ascii="宋体" w:eastAsia="宋体" w:hint="eastAsia"/>
                <w:sz w:val="16"/>
              </w:rPr>
              <w:t>干预措施</w:t>
            </w:r>
          </w:p>
        </w:tc>
        <w:tc>
          <w:tcPr>
            <w:tcW w:w="966" w:type="dxa"/>
            <w:vMerge/>
            <w:tcBorders>
              <w:top w:val="nil"/>
              <w:bottom w:val="single" w:sz="4" w:space="0" w:color="000000"/>
            </w:tcBorders>
          </w:tcPr>
          <w:p>
            <w:pPr>
              <w:rPr>
                <w:sz w:val="2"/>
                <w:szCs w:val="2"/>
              </w:rPr>
            </w:pPr>
          </w:p>
        </w:tc>
        <w:tc>
          <w:tcPr>
            <w:tcW w:w="943" w:type="dxa"/>
            <w:tcBorders>
              <w:bottom w:val="single" w:sz="4" w:space="0" w:color="000000"/>
            </w:tcBorders>
          </w:tcPr>
          <w:p>
            <w:pPr>
              <w:pStyle w:val="TableParagraph"/>
              <w:spacing w:line="185" w:lineRule="exact" w:before="31"/>
              <w:ind w:left="17"/>
              <w:rPr>
                <w:rFonts w:ascii="宋体"/>
                <w:sz w:val="16"/>
              </w:rPr>
            </w:pPr>
            <w:r>
              <w:rPr>
                <w:rFonts w:ascii="宋体"/>
                <w:w w:val="100"/>
                <w:sz w:val="16"/>
              </w:rPr>
              <w:t>T</w:t>
            </w:r>
          </w:p>
        </w:tc>
        <w:tc>
          <w:tcPr>
            <w:tcW w:w="936" w:type="dxa"/>
            <w:tcBorders>
              <w:bottom w:val="single" w:sz="4" w:space="0" w:color="000000"/>
            </w:tcBorders>
          </w:tcPr>
          <w:p>
            <w:pPr>
              <w:pStyle w:val="TableParagraph"/>
              <w:spacing w:line="185" w:lineRule="exact" w:before="31"/>
              <w:ind w:right="6"/>
              <w:rPr>
                <w:rFonts w:ascii="宋体"/>
                <w:sz w:val="16"/>
              </w:rPr>
            </w:pPr>
            <w:r>
              <w:rPr>
                <w:rFonts w:ascii="宋体"/>
                <w:w w:val="100"/>
                <w:sz w:val="16"/>
              </w:rPr>
              <w:t>C</w:t>
            </w:r>
          </w:p>
        </w:tc>
        <w:tc>
          <w:tcPr>
            <w:tcW w:w="700" w:type="dxa"/>
            <w:tcBorders>
              <w:bottom w:val="single" w:sz="4" w:space="0" w:color="000000"/>
            </w:tcBorders>
          </w:tcPr>
          <w:p>
            <w:pPr>
              <w:pStyle w:val="TableParagraph"/>
              <w:spacing w:line="185" w:lineRule="exact" w:before="32"/>
              <w:ind w:left="236"/>
              <w:jc w:val="left"/>
              <w:rPr>
                <w:rFonts w:ascii="宋体"/>
                <w:sz w:val="8"/>
              </w:rPr>
            </w:pPr>
            <w:r>
              <w:rPr>
                <w:rFonts w:ascii="宋体"/>
                <w:position w:val="-7"/>
                <w:sz w:val="16"/>
              </w:rPr>
              <w:t>I</w:t>
            </w:r>
            <w:r>
              <w:rPr>
                <w:rFonts w:ascii="宋体"/>
                <w:sz w:val="8"/>
              </w:rPr>
              <w:t>2</w:t>
            </w:r>
          </w:p>
        </w:tc>
        <w:tc>
          <w:tcPr>
            <w:tcW w:w="859" w:type="dxa"/>
            <w:tcBorders>
              <w:bottom w:val="single" w:sz="4" w:space="0" w:color="000000"/>
            </w:tcBorders>
          </w:tcPr>
          <w:p>
            <w:pPr>
              <w:pStyle w:val="TableParagraph"/>
              <w:spacing w:line="195" w:lineRule="exact" w:before="21"/>
              <w:ind w:left="261" w:right="228"/>
              <w:rPr>
                <w:rFonts w:ascii="宋体" w:eastAsia="宋体" w:hint="eastAsia"/>
                <w:sz w:val="16"/>
              </w:rPr>
            </w:pPr>
            <w:r>
              <w:rPr>
                <w:rFonts w:ascii="宋体" w:eastAsia="宋体" w:hint="eastAsia"/>
                <w:i/>
                <w:sz w:val="17"/>
              </w:rPr>
              <w:t>P </w:t>
            </w:r>
            <w:r>
              <w:rPr>
                <w:rFonts w:ascii="宋体" w:eastAsia="宋体" w:hint="eastAsia"/>
                <w:sz w:val="16"/>
              </w:rPr>
              <w:t>值</w:t>
            </w:r>
          </w:p>
        </w:tc>
        <w:tc>
          <w:tcPr>
            <w:tcW w:w="953" w:type="dxa"/>
            <w:vMerge/>
            <w:tcBorders>
              <w:top w:val="nil"/>
              <w:bottom w:val="single" w:sz="4" w:space="0" w:color="000000"/>
            </w:tcBorders>
          </w:tcPr>
          <w:p>
            <w:pPr>
              <w:rPr>
                <w:sz w:val="2"/>
                <w:szCs w:val="2"/>
              </w:rPr>
            </w:pPr>
          </w:p>
        </w:tc>
        <w:tc>
          <w:tcPr>
            <w:tcW w:w="1465" w:type="dxa"/>
            <w:tcBorders>
              <w:bottom w:val="single" w:sz="4" w:space="0" w:color="000000"/>
            </w:tcBorders>
          </w:tcPr>
          <w:p>
            <w:pPr>
              <w:pStyle w:val="TableParagraph"/>
              <w:spacing w:line="122" w:lineRule="exact"/>
              <w:ind w:left="181" w:right="215"/>
              <w:rPr>
                <w:sz w:val="16"/>
              </w:rPr>
            </w:pPr>
            <w:r>
              <w:rPr>
                <w:sz w:val="16"/>
              </w:rPr>
              <w:t>RR(95%CI)</w:t>
            </w:r>
          </w:p>
        </w:tc>
        <w:tc>
          <w:tcPr>
            <w:tcW w:w="1098" w:type="dxa"/>
            <w:tcBorders>
              <w:bottom w:val="single" w:sz="4" w:space="0" w:color="000000"/>
            </w:tcBorders>
          </w:tcPr>
          <w:p>
            <w:pPr>
              <w:pStyle w:val="TableParagraph"/>
              <w:spacing w:line="128" w:lineRule="exact"/>
              <w:ind w:left="218" w:right="197"/>
              <w:rPr>
                <w:rFonts w:ascii="宋体" w:eastAsia="宋体" w:hint="eastAsia"/>
                <w:sz w:val="16"/>
              </w:rPr>
            </w:pPr>
            <w:r>
              <w:rPr>
                <w:i/>
                <w:sz w:val="16"/>
              </w:rPr>
              <w:t>P </w:t>
            </w:r>
            <w:r>
              <w:rPr>
                <w:rFonts w:ascii="宋体" w:eastAsia="宋体" w:hint="eastAsia"/>
                <w:sz w:val="16"/>
              </w:rPr>
              <w:t>值</w:t>
            </w:r>
          </w:p>
        </w:tc>
      </w:tr>
      <w:tr>
        <w:trPr>
          <w:trHeight w:val="218" w:hRule="atLeast"/>
        </w:trPr>
        <w:tc>
          <w:tcPr>
            <w:tcW w:w="1805" w:type="dxa"/>
            <w:tcBorders>
              <w:top w:val="single" w:sz="4" w:space="0" w:color="000000"/>
            </w:tcBorders>
          </w:tcPr>
          <w:p>
            <w:pPr>
              <w:pStyle w:val="TableParagraph"/>
              <w:spacing w:line="193" w:lineRule="exact" w:before="6"/>
              <w:ind w:left="325" w:right="258"/>
              <w:rPr>
                <w:sz w:val="16"/>
              </w:rPr>
            </w:pPr>
            <w:r>
              <w:rPr>
                <w:sz w:val="16"/>
              </w:rPr>
              <w:t>LA + Met. vs. Met.</w:t>
            </w:r>
          </w:p>
        </w:tc>
        <w:tc>
          <w:tcPr>
            <w:tcW w:w="966" w:type="dxa"/>
            <w:tcBorders>
              <w:top w:val="single" w:sz="4" w:space="0" w:color="000000"/>
            </w:tcBorders>
          </w:tcPr>
          <w:p>
            <w:pPr>
              <w:pStyle w:val="TableParagraph"/>
              <w:spacing w:line="193" w:lineRule="exact" w:before="6"/>
              <w:ind w:right="403"/>
              <w:jc w:val="right"/>
              <w:rPr>
                <w:sz w:val="16"/>
              </w:rPr>
            </w:pPr>
            <w:r>
              <w:rPr>
                <w:w w:val="100"/>
                <w:sz w:val="16"/>
              </w:rPr>
              <w:t>9</w:t>
            </w:r>
          </w:p>
        </w:tc>
        <w:tc>
          <w:tcPr>
            <w:tcW w:w="943" w:type="dxa"/>
            <w:tcBorders>
              <w:top w:val="single" w:sz="4" w:space="0" w:color="000000"/>
            </w:tcBorders>
          </w:tcPr>
          <w:p>
            <w:pPr>
              <w:pStyle w:val="TableParagraph"/>
              <w:spacing w:line="193" w:lineRule="exact" w:before="6"/>
              <w:ind w:left="186" w:right="168"/>
              <w:rPr>
                <w:sz w:val="16"/>
              </w:rPr>
            </w:pPr>
            <w:r>
              <w:rPr>
                <w:sz w:val="16"/>
              </w:rPr>
              <w:t>411/429</w:t>
            </w:r>
          </w:p>
        </w:tc>
        <w:tc>
          <w:tcPr>
            <w:tcW w:w="936" w:type="dxa"/>
            <w:tcBorders>
              <w:top w:val="single" w:sz="4" w:space="0" w:color="000000"/>
            </w:tcBorders>
          </w:tcPr>
          <w:p>
            <w:pPr>
              <w:pStyle w:val="TableParagraph"/>
              <w:spacing w:line="193" w:lineRule="exact" w:before="6"/>
              <w:ind w:left="129" w:right="136"/>
              <w:rPr>
                <w:sz w:val="16"/>
              </w:rPr>
            </w:pPr>
            <w:r>
              <w:rPr>
                <w:sz w:val="16"/>
              </w:rPr>
              <w:t>355/435</w:t>
            </w:r>
          </w:p>
        </w:tc>
        <w:tc>
          <w:tcPr>
            <w:tcW w:w="700" w:type="dxa"/>
            <w:tcBorders>
              <w:top w:val="single" w:sz="4" w:space="0" w:color="000000"/>
            </w:tcBorders>
          </w:tcPr>
          <w:p>
            <w:pPr>
              <w:pStyle w:val="TableParagraph"/>
              <w:spacing w:line="193" w:lineRule="exact" w:before="6"/>
              <w:ind w:left="200"/>
              <w:jc w:val="left"/>
              <w:rPr>
                <w:sz w:val="16"/>
              </w:rPr>
            </w:pPr>
            <w:r>
              <w:rPr>
                <w:sz w:val="16"/>
              </w:rPr>
              <w:t>0%</w:t>
            </w:r>
          </w:p>
        </w:tc>
        <w:tc>
          <w:tcPr>
            <w:tcW w:w="859" w:type="dxa"/>
            <w:tcBorders>
              <w:top w:val="single" w:sz="4" w:space="0" w:color="000000"/>
            </w:tcBorders>
          </w:tcPr>
          <w:p>
            <w:pPr>
              <w:pStyle w:val="TableParagraph"/>
              <w:spacing w:line="193" w:lineRule="exact" w:before="6"/>
              <w:ind w:left="261" w:right="226"/>
              <w:rPr>
                <w:sz w:val="16"/>
              </w:rPr>
            </w:pPr>
            <w:r>
              <w:rPr>
                <w:sz w:val="16"/>
              </w:rPr>
              <w:t>0.63</w:t>
            </w:r>
          </w:p>
        </w:tc>
        <w:tc>
          <w:tcPr>
            <w:tcW w:w="953" w:type="dxa"/>
            <w:tcBorders>
              <w:top w:val="single" w:sz="4" w:space="0" w:color="000000"/>
            </w:tcBorders>
          </w:tcPr>
          <w:p>
            <w:pPr>
              <w:pStyle w:val="TableParagraph"/>
              <w:spacing w:line="196" w:lineRule="exact" w:before="3"/>
              <w:ind w:left="331" w:right="262"/>
              <w:rPr>
                <w:rFonts w:ascii="宋体" w:eastAsia="宋体" w:hint="eastAsia"/>
                <w:sz w:val="16"/>
              </w:rPr>
            </w:pPr>
            <w:r>
              <w:rPr>
                <w:rFonts w:ascii="宋体" w:eastAsia="宋体" w:hint="eastAsia"/>
                <w:sz w:val="16"/>
              </w:rPr>
              <w:t>固定</w:t>
            </w:r>
          </w:p>
        </w:tc>
        <w:tc>
          <w:tcPr>
            <w:tcW w:w="1465" w:type="dxa"/>
            <w:tcBorders>
              <w:top w:val="single" w:sz="4" w:space="0" w:color="000000"/>
            </w:tcBorders>
          </w:tcPr>
          <w:p>
            <w:pPr>
              <w:pStyle w:val="TableParagraph"/>
              <w:spacing w:line="193" w:lineRule="exact" w:before="6"/>
              <w:ind w:left="184" w:right="215"/>
              <w:rPr>
                <w:sz w:val="16"/>
              </w:rPr>
            </w:pPr>
            <w:r>
              <w:rPr>
                <w:sz w:val="16"/>
              </w:rPr>
              <w:t>1.17(1.12, 1.23)</w:t>
            </w:r>
          </w:p>
        </w:tc>
        <w:tc>
          <w:tcPr>
            <w:tcW w:w="1098" w:type="dxa"/>
            <w:tcBorders>
              <w:top w:val="single" w:sz="4" w:space="0" w:color="000000"/>
            </w:tcBorders>
          </w:tcPr>
          <w:p>
            <w:pPr>
              <w:pStyle w:val="TableParagraph"/>
              <w:spacing w:line="193" w:lineRule="exact" w:before="6"/>
              <w:ind w:left="218" w:right="197"/>
              <w:rPr>
                <w:sz w:val="16"/>
              </w:rPr>
            </w:pPr>
            <w:r>
              <w:rPr>
                <w:sz w:val="16"/>
              </w:rPr>
              <w:t>&lt;0.000 01</w:t>
            </w:r>
          </w:p>
        </w:tc>
      </w:tr>
      <w:tr>
        <w:trPr>
          <w:trHeight w:val="186" w:hRule="atLeast"/>
        </w:trPr>
        <w:tc>
          <w:tcPr>
            <w:tcW w:w="1805" w:type="dxa"/>
            <w:tcBorders>
              <w:bottom w:val="single" w:sz="4" w:space="0" w:color="000000"/>
            </w:tcBorders>
          </w:tcPr>
          <w:p>
            <w:pPr>
              <w:pStyle w:val="TableParagraph"/>
              <w:spacing w:line="166" w:lineRule="exact"/>
              <w:ind w:left="325" w:right="257"/>
              <w:rPr>
                <w:sz w:val="16"/>
              </w:rPr>
            </w:pPr>
            <w:r>
              <w:rPr>
                <w:sz w:val="16"/>
              </w:rPr>
              <w:t>LA + Bis. vs. Bis.</w:t>
            </w:r>
          </w:p>
        </w:tc>
        <w:tc>
          <w:tcPr>
            <w:tcW w:w="966" w:type="dxa"/>
            <w:tcBorders>
              <w:bottom w:val="single" w:sz="4" w:space="0" w:color="000000"/>
            </w:tcBorders>
          </w:tcPr>
          <w:p>
            <w:pPr>
              <w:pStyle w:val="TableParagraph"/>
              <w:spacing w:line="166" w:lineRule="exact"/>
              <w:ind w:right="403"/>
              <w:jc w:val="right"/>
              <w:rPr>
                <w:sz w:val="16"/>
              </w:rPr>
            </w:pPr>
            <w:r>
              <w:rPr>
                <w:w w:val="100"/>
                <w:sz w:val="16"/>
              </w:rPr>
              <w:t>1</w:t>
            </w:r>
          </w:p>
        </w:tc>
        <w:tc>
          <w:tcPr>
            <w:tcW w:w="943" w:type="dxa"/>
            <w:tcBorders>
              <w:bottom w:val="single" w:sz="4" w:space="0" w:color="000000"/>
            </w:tcBorders>
          </w:tcPr>
          <w:p>
            <w:pPr>
              <w:pStyle w:val="TableParagraph"/>
              <w:spacing w:line="166" w:lineRule="exact"/>
              <w:ind w:left="186" w:right="168"/>
              <w:rPr>
                <w:sz w:val="16"/>
              </w:rPr>
            </w:pPr>
            <w:r>
              <w:rPr>
                <w:sz w:val="16"/>
              </w:rPr>
              <w:t>76/80</w:t>
            </w:r>
          </w:p>
        </w:tc>
        <w:tc>
          <w:tcPr>
            <w:tcW w:w="936" w:type="dxa"/>
            <w:tcBorders>
              <w:bottom w:val="single" w:sz="4" w:space="0" w:color="000000"/>
            </w:tcBorders>
          </w:tcPr>
          <w:p>
            <w:pPr>
              <w:pStyle w:val="TableParagraph"/>
              <w:spacing w:line="166" w:lineRule="exact"/>
              <w:ind w:left="131" w:right="136"/>
              <w:rPr>
                <w:sz w:val="16"/>
              </w:rPr>
            </w:pPr>
            <w:r>
              <w:rPr>
                <w:sz w:val="16"/>
              </w:rPr>
              <w:t>32/40</w:t>
            </w:r>
          </w:p>
        </w:tc>
        <w:tc>
          <w:tcPr>
            <w:tcW w:w="700" w:type="dxa"/>
            <w:tcBorders>
              <w:bottom w:val="single" w:sz="4" w:space="0" w:color="000000"/>
            </w:tcBorders>
          </w:tcPr>
          <w:p>
            <w:pPr>
              <w:pStyle w:val="TableParagraph"/>
              <w:spacing w:line="166" w:lineRule="exact"/>
              <w:ind w:left="197"/>
              <w:jc w:val="left"/>
              <w:rPr>
                <w:sz w:val="16"/>
              </w:rPr>
            </w:pPr>
            <w:r>
              <w:rPr>
                <w:sz w:val="16"/>
              </w:rPr>
              <w:t>NA</w:t>
            </w:r>
          </w:p>
        </w:tc>
        <w:tc>
          <w:tcPr>
            <w:tcW w:w="859" w:type="dxa"/>
            <w:tcBorders>
              <w:bottom w:val="single" w:sz="4" w:space="0" w:color="000000"/>
            </w:tcBorders>
          </w:tcPr>
          <w:p>
            <w:pPr>
              <w:pStyle w:val="TableParagraph"/>
              <w:spacing w:line="166" w:lineRule="exact"/>
              <w:ind w:left="260" w:right="228"/>
              <w:rPr>
                <w:sz w:val="16"/>
              </w:rPr>
            </w:pPr>
            <w:r>
              <w:rPr>
                <w:sz w:val="16"/>
              </w:rPr>
              <w:t>NA</w:t>
            </w:r>
          </w:p>
        </w:tc>
        <w:tc>
          <w:tcPr>
            <w:tcW w:w="953" w:type="dxa"/>
            <w:tcBorders>
              <w:bottom w:val="single" w:sz="4" w:space="0" w:color="000000"/>
            </w:tcBorders>
          </w:tcPr>
          <w:p>
            <w:pPr>
              <w:pStyle w:val="TableParagraph"/>
              <w:spacing w:line="166" w:lineRule="exact"/>
              <w:ind w:left="330" w:right="262"/>
              <w:rPr>
                <w:sz w:val="16"/>
              </w:rPr>
            </w:pPr>
            <w:r>
              <w:rPr>
                <w:sz w:val="16"/>
              </w:rPr>
              <w:t>NA</w:t>
            </w:r>
          </w:p>
        </w:tc>
        <w:tc>
          <w:tcPr>
            <w:tcW w:w="1465" w:type="dxa"/>
            <w:tcBorders>
              <w:bottom w:val="single" w:sz="4" w:space="0" w:color="000000"/>
            </w:tcBorders>
          </w:tcPr>
          <w:p>
            <w:pPr>
              <w:pStyle w:val="TableParagraph"/>
              <w:spacing w:line="166" w:lineRule="exact"/>
              <w:ind w:left="184" w:right="215"/>
              <w:rPr>
                <w:sz w:val="16"/>
              </w:rPr>
            </w:pPr>
            <w:r>
              <w:rPr>
                <w:sz w:val="16"/>
              </w:rPr>
              <w:t>1.19(1.01, 1.40)</w:t>
            </w:r>
          </w:p>
        </w:tc>
        <w:tc>
          <w:tcPr>
            <w:tcW w:w="1098" w:type="dxa"/>
            <w:tcBorders>
              <w:bottom w:val="single" w:sz="4" w:space="0" w:color="000000"/>
            </w:tcBorders>
          </w:tcPr>
          <w:p>
            <w:pPr>
              <w:pStyle w:val="TableParagraph"/>
              <w:spacing w:line="166" w:lineRule="exact"/>
              <w:ind w:left="218" w:right="197"/>
              <w:rPr>
                <w:sz w:val="16"/>
              </w:rPr>
            </w:pPr>
            <w:r>
              <w:rPr>
                <w:sz w:val="16"/>
              </w:rPr>
              <w:t>0.04</w:t>
            </w:r>
          </w:p>
        </w:tc>
      </w:tr>
    </w:tbl>
    <w:p>
      <w:pPr>
        <w:pStyle w:val="ListParagraph"/>
        <w:numPr>
          <w:ilvl w:val="3"/>
          <w:numId w:val="1"/>
        </w:numPr>
        <w:tabs>
          <w:tab w:pos="1557" w:val="left" w:leader="none"/>
          <w:tab w:pos="1558" w:val="left" w:leader="none"/>
        </w:tabs>
        <w:spacing w:line="240" w:lineRule="auto" w:before="65" w:after="0"/>
        <w:ind w:left="1557" w:right="0" w:hanging="840"/>
        <w:jc w:val="left"/>
        <w:rPr>
          <w:sz w:val="24"/>
        </w:rPr>
      </w:pPr>
      <w:r>
        <w:rPr>
          <w:sz w:val="24"/>
        </w:rPr>
        <w:t>LA</w:t>
      </w:r>
      <w:r>
        <w:rPr>
          <w:spacing w:val="-1"/>
          <w:sz w:val="24"/>
        </w:rPr>
        <w:t>+利尿剂 </w:t>
      </w:r>
      <w:r>
        <w:rPr>
          <w:sz w:val="24"/>
        </w:rPr>
        <w:t>vs. 利尿剂</w:t>
      </w:r>
    </w:p>
    <w:p>
      <w:pPr>
        <w:pStyle w:val="ListParagraph"/>
        <w:numPr>
          <w:ilvl w:val="0"/>
          <w:numId w:val="6"/>
        </w:numPr>
        <w:tabs>
          <w:tab w:pos="1319" w:val="left" w:leader="none"/>
        </w:tabs>
        <w:spacing w:line="297" w:lineRule="auto" w:before="71" w:after="0"/>
        <w:ind w:left="237" w:right="345" w:firstLine="480"/>
        <w:jc w:val="left"/>
        <w:rPr>
          <w:sz w:val="24"/>
        </w:rPr>
      </w:pPr>
      <w:r>
        <w:rPr>
          <w:sz w:val="24"/>
        </w:rPr>
        <w:t>SBP</w:t>
      </w:r>
      <w:r>
        <w:rPr>
          <w:spacing w:val="-14"/>
          <w:sz w:val="24"/>
        </w:rPr>
        <w:t> 降低值：共纳入 </w:t>
      </w:r>
      <w:r>
        <w:rPr>
          <w:sz w:val="24"/>
        </w:rPr>
        <w:t>1</w:t>
      </w:r>
      <w:r>
        <w:rPr>
          <w:spacing w:val="-14"/>
          <w:sz w:val="24"/>
        </w:rPr>
        <w:t> 个研究，试验组 </w:t>
      </w:r>
      <w:r>
        <w:rPr>
          <w:sz w:val="24"/>
        </w:rPr>
        <w:t>30</w:t>
      </w:r>
      <w:r>
        <w:rPr>
          <w:spacing w:val="-18"/>
          <w:sz w:val="24"/>
        </w:rPr>
        <w:t> 例，对照组 </w:t>
      </w:r>
      <w:r>
        <w:rPr>
          <w:sz w:val="24"/>
        </w:rPr>
        <w:t>30</w:t>
      </w:r>
      <w:r>
        <w:rPr>
          <w:spacing w:val="-9"/>
          <w:sz w:val="24"/>
        </w:rPr>
        <w:t> 例。结果显示试验组与</w:t>
      </w:r>
      <w:r>
        <w:rPr>
          <w:sz w:val="24"/>
        </w:rPr>
        <w:t>对照组差异有统计学意义[SMD=1.34, 95%CI(0.78, 1.90), P&lt;0.000 01]。</w:t>
      </w:r>
    </w:p>
    <w:p>
      <w:pPr>
        <w:pStyle w:val="ListParagraph"/>
        <w:numPr>
          <w:ilvl w:val="0"/>
          <w:numId w:val="6"/>
        </w:numPr>
        <w:tabs>
          <w:tab w:pos="1319" w:val="left" w:leader="none"/>
        </w:tabs>
        <w:spacing w:line="295" w:lineRule="auto" w:before="0" w:after="0"/>
        <w:ind w:left="237" w:right="345" w:firstLine="480"/>
        <w:jc w:val="left"/>
        <w:rPr>
          <w:sz w:val="24"/>
        </w:rPr>
      </w:pPr>
      <w:r>
        <w:rPr>
          <w:sz w:val="24"/>
        </w:rPr>
        <w:t>DBP</w:t>
      </w:r>
      <w:r>
        <w:rPr>
          <w:spacing w:val="-14"/>
          <w:sz w:val="24"/>
        </w:rPr>
        <w:t> 降低值：共纳入 </w:t>
      </w:r>
      <w:r>
        <w:rPr>
          <w:sz w:val="24"/>
        </w:rPr>
        <w:t>1</w:t>
      </w:r>
      <w:r>
        <w:rPr>
          <w:spacing w:val="-14"/>
          <w:sz w:val="24"/>
        </w:rPr>
        <w:t> 个研究，试验组 </w:t>
      </w:r>
      <w:r>
        <w:rPr>
          <w:sz w:val="24"/>
        </w:rPr>
        <w:t>30</w:t>
      </w:r>
      <w:r>
        <w:rPr>
          <w:spacing w:val="-18"/>
          <w:sz w:val="24"/>
        </w:rPr>
        <w:t> 例，对照组 </w:t>
      </w:r>
      <w:r>
        <w:rPr>
          <w:sz w:val="24"/>
        </w:rPr>
        <w:t>30</w:t>
      </w:r>
      <w:r>
        <w:rPr>
          <w:spacing w:val="-9"/>
          <w:sz w:val="24"/>
        </w:rPr>
        <w:t> 例。结果显示试验组与</w:t>
      </w:r>
      <w:r>
        <w:rPr>
          <w:sz w:val="24"/>
        </w:rPr>
        <w:t>对照组差异有统计学意义[SMD=0.72, 95%CI(0.20, 1.24), P=0.007]。</w:t>
      </w:r>
    </w:p>
    <w:p>
      <w:pPr>
        <w:pStyle w:val="BodyText"/>
        <w:tabs>
          <w:tab w:pos="2757" w:val="left" w:leader="none"/>
        </w:tabs>
        <w:spacing w:line="297" w:lineRule="auto" w:before="1"/>
        <w:ind w:right="267" w:firstLine="480"/>
      </w:pPr>
      <w:r>
        <w:rPr/>
        <w:t>2.4</w:t>
      </w:r>
      <w:r>
        <w:rPr>
          <w:spacing w:val="-1"/>
        </w:rPr>
        <w:t> </w:t>
      </w:r>
      <w:r>
        <w:rPr/>
        <w:t>敏感性分析</w:t>
        <w:tab/>
        <w:t>由于部分研究存在较大异质性，采用随机效应模型替代固定效应模型，并通过剔除各研究差异最大的文献，以进行敏感性分析。以</w:t>
      </w:r>
      <w:r>
        <w:rPr>
          <w:spacing w:val="-60"/>
        </w:rPr>
        <w:t> </w:t>
      </w:r>
      <w:r>
        <w:rPr/>
        <w:t>LA</w:t>
      </w:r>
      <w:r>
        <w:rPr>
          <w:spacing w:val="-60"/>
        </w:rPr>
        <w:t> </w:t>
      </w:r>
      <w:r>
        <w:rPr/>
        <w:t>联合厄贝沙坦对比厄贝沙坦为例，剔除给药剂量不同的</w:t>
      </w:r>
      <w:r>
        <w:rPr>
          <w:spacing w:val="-60"/>
        </w:rPr>
        <w:t> </w:t>
      </w:r>
      <w:r>
        <w:rPr/>
        <w:t>7</w:t>
      </w:r>
      <w:r>
        <w:rPr>
          <w:spacing w:val="-60"/>
        </w:rPr>
        <w:t> </w:t>
      </w:r>
      <w:r>
        <w:rPr/>
        <w:t>篇文献后，SBP</w:t>
      </w:r>
      <w:r>
        <w:rPr>
          <w:spacing w:val="-60"/>
        </w:rPr>
        <w:t> </w:t>
      </w:r>
      <w:r>
        <w:rPr/>
        <w:t>和</w:t>
      </w:r>
      <w:r>
        <w:rPr>
          <w:spacing w:val="-60"/>
        </w:rPr>
        <w:t> </w:t>
      </w:r>
      <w:r>
        <w:rPr/>
        <w:t>DBP</w:t>
      </w:r>
      <w:r>
        <w:rPr>
          <w:spacing w:val="-60"/>
        </w:rPr>
        <w:t> </w:t>
      </w:r>
      <w:r>
        <w:rPr/>
        <w:t>降低值的结果分别为[SMD=1.35, 95%CI(0.93,</w:t>
      </w:r>
      <w:r>
        <w:rPr>
          <w:spacing w:val="-1"/>
        </w:rPr>
        <w:t> </w:t>
      </w:r>
      <w:r>
        <w:rPr/>
        <w:t>1.76), P&lt;0.000 01、SMD=0.74, 95%CI(0.47, 1.02), P&lt;0.000 01]，与剔除前无显著差异</w:t>
      </w:r>
      <w:r>
        <w:rPr>
          <w:spacing w:val="-51"/>
        </w:rPr>
        <w:t>。</w:t>
      </w:r>
      <w:r>
        <w:rPr/>
        <w:t>其余各项研究均采用相同方法进行敏感性分析</w:t>
      </w:r>
      <w:r>
        <w:rPr>
          <w:spacing w:val="-51"/>
        </w:rPr>
        <w:t>，</w:t>
      </w:r>
      <w:r>
        <w:rPr/>
        <w:t>结果发现各研究的统计学</w:t>
      </w:r>
      <w:r>
        <w:rPr>
          <w:spacing w:val="-16"/>
        </w:rPr>
        <w:t>检</w:t>
      </w:r>
      <w:r>
        <w:rPr/>
        <w:t>验效应量在剔除文献前后均未发生反转，说明结果稳定性较好。</w:t>
      </w:r>
    </w:p>
    <w:p>
      <w:pPr>
        <w:pStyle w:val="Heading4"/>
        <w:numPr>
          <w:ilvl w:val="1"/>
          <w:numId w:val="1"/>
        </w:numPr>
        <w:tabs>
          <w:tab w:pos="964" w:val="left" w:leader="none"/>
        </w:tabs>
        <w:spacing w:line="300" w:lineRule="exact" w:before="0" w:after="0"/>
        <w:ind w:left="963" w:right="0" w:hanging="244"/>
        <w:jc w:val="left"/>
      </w:pPr>
      <w:r>
        <w:rPr/>
        <w:t>讨论</w:t>
      </w:r>
    </w:p>
    <w:p>
      <w:pPr>
        <w:pStyle w:val="BodyText"/>
        <w:spacing w:line="295" w:lineRule="auto" w:before="74"/>
        <w:ind w:right="267" w:firstLine="480"/>
        <w:jc w:val="both"/>
      </w:pPr>
      <w:r>
        <w:rPr/>
        <w:t>LA</w:t>
      </w:r>
      <w:r>
        <w:rPr>
          <w:spacing w:val="-12"/>
        </w:rPr>
        <w:t> 作为一种新型二氢吡啶类 </w:t>
      </w:r>
      <w:r>
        <w:rPr>
          <w:spacing w:val="-9"/>
        </w:rPr>
        <w:t>CCB，主要通过结合失活的钙通道，延长其复活时间，抑制</w:t>
      </w:r>
      <w:r>
        <w:rPr>
          <w:spacing w:val="-10"/>
        </w:rPr>
        <w:t>钙离子内流，同时抑制交感神经末端释放去甲肾上腺素，从而降低血浆儿茶酚胺浓度，扩张</w:t>
      </w:r>
      <w:r>
        <w:rPr/>
        <w:t>小动脉血管，起到平稳降压的作用。</w:t>
      </w:r>
    </w:p>
    <w:p>
      <w:pPr>
        <w:spacing w:after="0" w:line="295" w:lineRule="auto"/>
        <w:jc w:val="both"/>
        <w:sectPr>
          <w:headerReference w:type="default" r:id="rId11"/>
          <w:footerReference w:type="default" r:id="rId12"/>
          <w:pgSz w:w="11910" w:h="16850"/>
          <w:pgMar w:header="0" w:footer="607" w:top="1100" w:bottom="800" w:left="1040" w:right="860"/>
          <w:pgNumType w:start="32"/>
        </w:sectPr>
      </w:pPr>
    </w:p>
    <w:p>
      <w:pPr>
        <w:pStyle w:val="BodyText"/>
        <w:spacing w:line="297" w:lineRule="auto" w:before="65"/>
        <w:ind w:right="266" w:firstLine="480"/>
      </w:pPr>
      <w:r>
        <w:rPr>
          <w:spacing w:val="-5"/>
        </w:rPr>
        <w:t>本研究结果显示：①降低 </w:t>
      </w:r>
      <w:r>
        <w:rPr/>
        <w:t>SBP</w:t>
      </w:r>
      <w:r>
        <w:rPr>
          <w:spacing w:val="-40"/>
        </w:rPr>
        <w:t> 和 </w:t>
      </w:r>
      <w:r>
        <w:rPr/>
        <w:t>DBP</w:t>
      </w:r>
      <w:r>
        <w:rPr>
          <w:spacing w:val="-20"/>
        </w:rPr>
        <w:t> 方面</w:t>
      </w:r>
      <w:r>
        <w:rPr/>
        <w:t>，LA</w:t>
      </w:r>
      <w:r>
        <w:rPr>
          <w:spacing w:val="-20"/>
        </w:rPr>
        <w:t> 分别联合 </w:t>
      </w:r>
      <w:r>
        <w:rPr/>
        <w:t>ACEI（依那普利，贝那普利， 卡托普利，培哚普利，福辛普利，雷米普利）、ARB（厄贝沙坦，缬沙坦，替米沙坦，坎地沙坦，氯沙坦）、</w:t>
      </w:r>
      <w:r>
        <w:rPr>
          <w:rFonts w:ascii="Arial" w:hAnsi="Arial" w:eastAsia="Arial"/>
        </w:rPr>
        <w:t>β </w:t>
      </w:r>
      <w:r>
        <w:rPr/>
        <w:t>受体拮抗剂（美托洛尔，比索洛尔）或利尿剂（氢氯噻嗪）方案的降压效果更好，其降压水平均优于单一用药方案。②总有效率方面，LA</w:t>
      </w:r>
      <w:r>
        <w:rPr>
          <w:spacing w:val="-20"/>
        </w:rPr>
        <w:t> 分别联合 </w:t>
      </w:r>
      <w:r>
        <w:rPr/>
        <w:t>ACEI、ARB </w:t>
      </w:r>
      <w:r>
        <w:rPr>
          <w:spacing w:val="-30"/>
        </w:rPr>
        <w:t>或 </w:t>
      </w:r>
      <w:r>
        <w:rPr>
          <w:rFonts w:ascii="Arial" w:hAnsi="Arial" w:eastAsia="Arial"/>
        </w:rPr>
        <w:t>β </w:t>
      </w:r>
      <w:r>
        <w:rPr/>
        <w:t>受体拮抗剂方案也更具优势，降压总有效率更高。说明联合用药可以协同降低患者的</w:t>
      </w:r>
      <w:r>
        <w:rPr>
          <w:spacing w:val="-4"/>
        </w:rPr>
        <w:t>血压。已有研究者采用系统评价方法对 </w:t>
      </w:r>
      <w:r>
        <w:rPr/>
        <w:t>LA</w:t>
      </w:r>
      <w:r>
        <w:rPr>
          <w:spacing w:val="-8"/>
        </w:rPr>
        <w:t> 治疗高血压进行了评价，如与氨氯地平、或其他</w:t>
      </w:r>
      <w:r>
        <w:rPr>
          <w:spacing w:val="-13"/>
        </w:rPr>
        <w:t>降压方案比较，虽有研究评价了 </w:t>
      </w:r>
      <w:r>
        <w:rPr/>
        <w:t>LA</w:t>
      </w:r>
      <w:r>
        <w:rPr>
          <w:spacing w:val="-13"/>
        </w:rPr>
        <w:t> 联合用药的效果，但最大文献量仅有 </w:t>
      </w:r>
      <w:r>
        <w:rPr/>
        <w:t>16</w:t>
      </w:r>
      <w:r>
        <w:rPr>
          <w:spacing w:val="-15"/>
        </w:rPr>
        <w:t> 篇，且没有与各</w:t>
      </w:r>
      <w:r>
        <w:rPr>
          <w:spacing w:val="-2"/>
        </w:rPr>
        <w:t>类降压药进行比较，而本研究纳入了更多的临床试验，通过亚组分析比较了 </w:t>
      </w:r>
      <w:r>
        <w:rPr/>
        <w:t>LA</w:t>
      </w:r>
      <w:r>
        <w:rPr>
          <w:spacing w:val="-10"/>
        </w:rPr>
        <w:t> 联合用药与其他各类降压药的效果，提供了更为全面详细的临床证据。</w:t>
      </w:r>
    </w:p>
    <w:p>
      <w:pPr>
        <w:pStyle w:val="BodyText"/>
        <w:spacing w:line="297" w:lineRule="auto"/>
        <w:ind w:right="268" w:firstLine="480"/>
        <w:jc w:val="both"/>
      </w:pPr>
      <w:r>
        <w:rPr>
          <w:spacing w:val="-8"/>
        </w:rPr>
        <w:t>本研究存在一定的局限性：①部分纳入研究可能存在偏倚风险，但文章纳入研究数量较</w:t>
      </w:r>
      <w:r>
        <w:rPr>
          <w:spacing w:val="-3"/>
        </w:rPr>
        <w:t>大，一定程度上降低了偏倚的影响；②目前 </w:t>
      </w:r>
      <w:r>
        <w:rPr/>
        <w:t>LA</w:t>
      </w:r>
      <w:r>
        <w:rPr>
          <w:spacing w:val="-8"/>
        </w:rPr>
        <w:t> 相关研究主要集中在中国、韩国、印度等亚</w:t>
      </w:r>
      <w:r>
        <w:rPr>
          <w:spacing w:val="-12"/>
        </w:rPr>
        <w:t>洲国家，尚需进一步研究对其他地区人群的疗效。③本文未进行安全性评价，后续将另文详</w:t>
      </w:r>
      <w:r>
        <w:rPr>
          <w:spacing w:val="-16"/>
        </w:rPr>
        <w:t>细评价 </w:t>
      </w:r>
      <w:r>
        <w:rPr/>
        <w:t>LA</w:t>
      </w:r>
      <w:r>
        <w:rPr>
          <w:spacing w:val="-10"/>
        </w:rPr>
        <w:t> 的安全性。</w:t>
      </w:r>
    </w:p>
    <w:p>
      <w:pPr>
        <w:pStyle w:val="BodyText"/>
        <w:spacing w:line="295" w:lineRule="auto"/>
        <w:ind w:right="279" w:firstLine="480"/>
      </w:pPr>
      <w:r>
        <w:rPr/>
        <w:t>综上所述，现有临床证据表明，与当前一线降压药单用相比，LA 联合治疗，降压疗效更佳。期待进一步研究评价 LA 在欧美等地区人群中的疗效。</w:t>
      </w:r>
    </w:p>
    <w:p>
      <w:pPr>
        <w:pStyle w:val="Heading2"/>
        <w:spacing w:before="214"/>
      </w:pPr>
      <w:bookmarkStart w:name="_TOC_250025" w:id="22"/>
      <w:bookmarkEnd w:id="22"/>
      <w:r>
        <w:rPr/>
        <w:t>【指南解读】</w:t>
      </w:r>
    </w:p>
    <w:p>
      <w:pPr>
        <w:pStyle w:val="BodyText"/>
        <w:spacing w:before="9"/>
        <w:ind w:left="0"/>
        <w:rPr>
          <w:b/>
          <w:sz w:val="18"/>
        </w:rPr>
      </w:pPr>
    </w:p>
    <w:p>
      <w:pPr>
        <w:spacing w:after="0"/>
        <w:rPr>
          <w:sz w:val="18"/>
        </w:rPr>
        <w:sectPr>
          <w:headerReference w:type="default" r:id="rId13"/>
          <w:pgSz w:w="11910" w:h="16850"/>
          <w:pgMar w:header="906" w:footer="607" w:top="1100" w:bottom="800" w:left="1040" w:right="860"/>
        </w:sectPr>
      </w:pPr>
    </w:p>
    <w:p>
      <w:pPr>
        <w:pStyle w:val="Heading2"/>
        <w:spacing w:before="54"/>
        <w:ind w:left="2897"/>
      </w:pPr>
      <w:bookmarkStart w:name="_TOC_250024" w:id="23"/>
      <w:bookmarkEnd w:id="23"/>
      <w:r>
        <w:rPr>
          <w:spacing w:val="-2"/>
        </w:rPr>
        <w:t>肺癌临床诊疗有了中国版指南</w:t>
      </w:r>
    </w:p>
    <w:p>
      <w:pPr>
        <w:pStyle w:val="BodyText"/>
        <w:ind w:left="0"/>
        <w:rPr>
          <w:b/>
        </w:rPr>
      </w:pPr>
      <w:r>
        <w:rPr/>
        <w:br w:type="column"/>
      </w:r>
      <w:r>
        <w:rPr>
          <w:b/>
        </w:rPr>
      </w:r>
    </w:p>
    <w:p>
      <w:pPr>
        <w:pStyle w:val="BodyText"/>
        <w:spacing w:before="10"/>
        <w:ind w:left="0"/>
        <w:rPr>
          <w:b/>
          <w:sz w:val="23"/>
        </w:rPr>
      </w:pPr>
    </w:p>
    <w:p>
      <w:pPr>
        <w:pStyle w:val="Heading4"/>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7072" w:space="40"/>
            <w:col w:w="2898"/>
          </w:cols>
        </w:sectPr>
      </w:pPr>
    </w:p>
    <w:p>
      <w:pPr>
        <w:pStyle w:val="BodyText"/>
        <w:spacing w:line="297" w:lineRule="auto" w:before="95"/>
        <w:ind w:right="268" w:firstLine="480"/>
      </w:pPr>
      <w:r>
        <w:rPr>
          <w:spacing w:val="-10"/>
        </w:rPr>
        <w:t>“把肺癌变成慢性病，正一点点成为现实。”在日前举行的中华医学会肺癌临床诊疗指</w:t>
      </w:r>
      <w:r>
        <w:rPr/>
        <w:t>南（2018</w:t>
      </w:r>
      <w:r>
        <w:rPr>
          <w:spacing w:val="-31"/>
        </w:rPr>
        <w:t> 版</w:t>
      </w:r>
      <w:r>
        <w:rPr/>
        <w:t>）修订成果新闻发布会上，该指南修订牵头者、上海市胸科医院呼吸内科韩宝</w:t>
      </w:r>
      <w:r>
        <w:rPr>
          <w:spacing w:val="-10"/>
        </w:rPr>
        <w:t>惠教授说，随着靶向治疗、免疫治疗等新治疗手段诞生，医生手里的“武器”越来越多，肺</w:t>
      </w:r>
      <w:r>
        <w:rPr/>
        <w:t>癌患者的生存期也越来越长了。</w:t>
      </w:r>
    </w:p>
    <w:p>
      <w:pPr>
        <w:pStyle w:val="BodyText"/>
        <w:spacing w:line="297" w:lineRule="auto"/>
        <w:ind w:right="267" w:firstLine="480"/>
      </w:pPr>
      <w:r>
        <w:rPr>
          <w:spacing w:val="-6"/>
        </w:rPr>
        <w:t>为进一步提升我国肺癌诊疗规范化水平，由中华医学会、中华医学会肿瘤学分会、中华</w:t>
      </w:r>
      <w:r>
        <w:rPr>
          <w:spacing w:val="-4"/>
        </w:rPr>
        <w:t>医学会杂志社共同牵头，韩宝惠领衔的 </w:t>
      </w:r>
      <w:r>
        <w:rPr/>
        <w:t>50</w:t>
      </w:r>
      <w:r>
        <w:rPr>
          <w:spacing w:val="-12"/>
        </w:rPr>
        <w:t> 多位肺癌权威专家团队历时 </w:t>
      </w:r>
      <w:r>
        <w:rPr/>
        <w:t>1</w:t>
      </w:r>
      <w:r>
        <w:rPr>
          <w:spacing w:val="-8"/>
        </w:rPr>
        <w:t> 年多，修订完成中华医学会肺癌临床诊疗指南（2018</w:t>
      </w:r>
      <w:r>
        <w:rPr>
          <w:spacing w:val="-30"/>
        </w:rPr>
        <w:t> 版</w:t>
      </w:r>
      <w:r>
        <w:rPr/>
        <w:t>）。该指南已在《中华肿瘤杂志》 和《 肿瘤研究与</w:t>
      </w:r>
      <w:r>
        <w:rPr>
          <w:spacing w:val="-1"/>
        </w:rPr>
        <w:t>临床》 </w:t>
      </w:r>
      <w:r>
        <w:rPr/>
        <w:t>2018</w:t>
      </w:r>
      <w:r>
        <w:rPr>
          <w:spacing w:val="-30"/>
        </w:rPr>
        <w:t> 年第 </w:t>
      </w:r>
      <w:r>
        <w:rPr/>
        <w:t>12</w:t>
      </w:r>
      <w:r>
        <w:rPr>
          <w:spacing w:val="-9"/>
        </w:rPr>
        <w:t> 期同时发表。</w:t>
      </w:r>
    </w:p>
    <w:p>
      <w:pPr>
        <w:pStyle w:val="BodyText"/>
        <w:spacing w:line="297" w:lineRule="auto"/>
        <w:ind w:right="264" w:firstLine="480"/>
        <w:jc w:val="both"/>
      </w:pPr>
      <w:r>
        <w:rPr>
          <w:spacing w:val="-7"/>
        </w:rPr>
        <w:t>“这部指南制订了适合中国国情的诊治方案。”韩宝惠说：“比如，在欧美指南中，高</w:t>
      </w:r>
      <w:r>
        <w:rPr>
          <w:spacing w:val="-3"/>
        </w:rPr>
        <w:t>危人群筛查将吸烟作为首要条件，筛查起始年龄为 </w:t>
      </w:r>
      <w:r>
        <w:rPr/>
        <w:t>55</w:t>
      </w:r>
      <w:r>
        <w:rPr>
          <w:spacing w:val="-8"/>
        </w:rPr>
        <w:t> 岁。而中国的实际情况是，女性的肺癌发生率并不低，这其中大部分女患者是不吸烟的；同时，无论男女，45 岁开始肺癌发病</w:t>
      </w:r>
      <w:r>
        <w:rPr>
          <w:spacing w:val="-12"/>
        </w:rPr>
        <w:t>率就逐渐升高。如果仍以欧美标准进行筛查，会忽视 </w:t>
      </w:r>
      <w:r>
        <w:rPr/>
        <w:t>45</w:t>
      </w:r>
      <w:r>
        <w:rPr>
          <w:spacing w:val="-30"/>
        </w:rPr>
        <w:t> 岁</w:t>
      </w:r>
      <w:r>
        <w:rPr/>
        <w:t>～55</w:t>
      </w:r>
      <w:r>
        <w:rPr>
          <w:spacing w:val="-10"/>
        </w:rPr>
        <w:t> 岁这部分人群。”因此，新</w:t>
      </w:r>
      <w:r>
        <w:rPr>
          <w:spacing w:val="-5"/>
        </w:rPr>
        <w:t>修订的指南首次把高危人群筛查作为章节介绍，明确年龄在 </w:t>
      </w:r>
      <w:r>
        <w:rPr/>
        <w:t>45</w:t>
      </w:r>
      <w:r>
        <w:rPr>
          <w:spacing w:val="-40"/>
        </w:rPr>
        <w:t> 至 </w:t>
      </w:r>
      <w:r>
        <w:rPr/>
        <w:t>70</w:t>
      </w:r>
      <w:r>
        <w:rPr>
          <w:spacing w:val="-15"/>
        </w:rPr>
        <w:t> 岁、有吸烟史、有毒有</w:t>
      </w:r>
      <w:r>
        <w:rPr>
          <w:spacing w:val="-5"/>
        </w:rPr>
        <w:t>害物质接触史</w:t>
      </w:r>
      <w:r>
        <w:rPr/>
        <w:t>（相关职业史</w:t>
      </w:r>
      <w:r>
        <w:rPr>
          <w:spacing w:val="-26"/>
        </w:rPr>
        <w:t>）</w:t>
      </w:r>
      <w:r>
        <w:rPr>
          <w:spacing w:val="-7"/>
        </w:rPr>
        <w:t>、恶性肿瘤家族遗传史的人群为肺癌高危人群，需进行定期筛查。</w:t>
      </w:r>
    </w:p>
    <w:p>
      <w:pPr>
        <w:pStyle w:val="BodyText"/>
        <w:spacing w:line="295" w:lineRule="auto"/>
        <w:ind w:right="272" w:firstLine="480"/>
      </w:pPr>
      <w:r>
        <w:rPr>
          <w:spacing w:val="-10"/>
        </w:rPr>
        <w:t>此外，包括肺部小结节的随访与手术、多原发肺癌的处理、原发性肺癌的临床诊断、肺</w:t>
      </w:r>
      <w:r>
        <w:rPr/>
        <w:t>癌病理标本的病理学评估及检测等热点问题，指南中均有了系统解读。</w:t>
      </w:r>
    </w:p>
    <w:p>
      <w:pPr>
        <w:spacing w:after="0" w:line="295" w:lineRule="auto"/>
        <w:sectPr>
          <w:type w:val="continuous"/>
          <w:pgSz w:w="11910" w:h="16850"/>
          <w:pgMar w:top="1100" w:bottom="1020" w:left="1040" w:right="860"/>
        </w:sectPr>
      </w:pPr>
    </w:p>
    <w:p>
      <w:pPr>
        <w:pStyle w:val="Heading2"/>
        <w:spacing w:line="395" w:lineRule="exact"/>
        <w:ind w:left="0" w:right="37"/>
        <w:jc w:val="center"/>
      </w:pPr>
      <w:bookmarkStart w:name="_TOC_250023" w:id="24"/>
      <w:bookmarkEnd w:id="24"/>
      <w:r>
        <w:rPr/>
        <w:t>首部《脑胶质瘤诊疗规范》发布</w:t>
      </w:r>
    </w:p>
    <w:p>
      <w:pPr>
        <w:spacing w:before="79"/>
        <w:ind w:left="0" w:right="29" w:firstLine="0"/>
        <w:jc w:val="center"/>
        <w:rPr>
          <w:sz w:val="21"/>
        </w:rPr>
      </w:pPr>
      <w:r>
        <w:rPr>
          <w:sz w:val="21"/>
        </w:rPr>
        <w:t>肿瘤电场治疗被纳入其中</w:t>
      </w:r>
    </w:p>
    <w:p>
      <w:pPr>
        <w:pStyle w:val="Heading4"/>
        <w:spacing w:before="176"/>
        <w:ind w:left="0" w:right="268"/>
        <w:jc w:val="right"/>
        <w:rPr>
          <w:rFonts w:ascii="楷体" w:eastAsia="楷体" w:hint="eastAsia"/>
        </w:rPr>
      </w:pPr>
      <w:r>
        <w:rPr>
          <w:rFonts w:ascii="楷体" w:eastAsia="楷体" w:hint="eastAsia"/>
          <w:color w:val="FF0000"/>
          <w:w w:val="95"/>
        </w:rPr>
        <w:t>（来源：中国医药报）</w:t>
      </w:r>
    </w:p>
    <w:p>
      <w:pPr>
        <w:pStyle w:val="BodyText"/>
        <w:spacing w:line="280" w:lineRule="auto" w:before="82"/>
        <w:ind w:right="267" w:firstLine="480"/>
      </w:pPr>
      <w:r>
        <w:rPr/>
        <w:t>3</w:t>
      </w:r>
      <w:r>
        <w:rPr>
          <w:spacing w:val="-41"/>
        </w:rPr>
        <w:t> 月 </w:t>
      </w:r>
      <w:r>
        <w:rPr/>
        <w:t>16</w:t>
      </w:r>
      <w:r>
        <w:rPr>
          <w:spacing w:val="-8"/>
        </w:rPr>
        <w:t> 日，第三届中国脑胶质瘤学术大会暨中国医师协会脑胶质瘤专业委员会第三届</w:t>
      </w:r>
      <w:r>
        <w:rPr>
          <w:spacing w:val="-14"/>
        </w:rPr>
        <w:t>年会于西安召开。国内外多位神经外科领域知名专家学者汇聚，就脑胶质瘤临床实践与科学</w:t>
      </w:r>
      <w:r>
        <w:rPr>
          <w:spacing w:val="-7"/>
        </w:rPr>
        <w:t>研究进展进行了广泛而深入的研讨，共同分享脑胶质瘤临床诊疗热点与难点，立足国际前沿</w:t>
      </w:r>
      <w:r>
        <w:rPr>
          <w:spacing w:val="-8"/>
        </w:rPr>
        <w:t>交流最新诊疗理念，旨在融合国内外科研成果，推广脑胶质瘤诊疗规范，从而提升我国脑胶</w:t>
      </w:r>
      <w:r>
        <w:rPr/>
        <w:t>质瘤临床诊疗水平，切实提高患者生存率和生活质量。</w:t>
      </w:r>
    </w:p>
    <w:p>
      <w:pPr>
        <w:pStyle w:val="BodyText"/>
        <w:spacing w:line="280" w:lineRule="auto" w:before="1"/>
        <w:ind w:right="269" w:firstLine="480"/>
        <w:jc w:val="both"/>
      </w:pPr>
      <w:r>
        <w:rPr>
          <w:spacing w:val="-6"/>
        </w:rPr>
        <w:t>脑胶质瘤是神经外科最为常见的原发性颅内恶性肿瘤，侵袭性强、极易复发，且其发病机制尚不明了。而胶质母细胞瘤</w:t>
      </w:r>
      <w:r>
        <w:rPr>
          <w:spacing w:val="-4"/>
        </w:rPr>
        <w:t>（GBM，WHO</w:t>
      </w:r>
      <w:r>
        <w:rPr>
          <w:spacing w:val="3"/>
        </w:rPr>
        <w:t> Ⅳ级</w:t>
      </w:r>
      <w:r>
        <w:rPr>
          <w:spacing w:val="-27"/>
        </w:rPr>
        <w:t>）</w:t>
      </w:r>
      <w:r>
        <w:rPr>
          <w:spacing w:val="-1"/>
        </w:rPr>
        <w:t>作为原发性恶性中枢神经系统肿瘤中发</w:t>
      </w:r>
      <w:r>
        <w:rPr>
          <w:spacing w:val="-9"/>
        </w:rPr>
        <w:t>病率最高的肿瘤，占所有脑胶质瘤一半以上，且最具侵袭性，患者临床预后极差，给家庭和</w:t>
      </w:r>
      <w:r>
        <w:rPr/>
        <w:t>社会造成了沉重负担。</w:t>
      </w:r>
    </w:p>
    <w:p>
      <w:pPr>
        <w:pStyle w:val="BodyText"/>
        <w:spacing w:line="280" w:lineRule="auto" w:before="1"/>
        <w:ind w:right="267" w:firstLine="600"/>
        <w:jc w:val="both"/>
      </w:pPr>
      <w:r>
        <w:rPr/>
        <w:t>“脑胶质瘤被认为是神经外科治疗中最棘手的难治性肿瘤之一，目前针对胶质母细胞</w:t>
      </w:r>
      <w:r>
        <w:rPr>
          <w:spacing w:val="-7"/>
        </w:rPr>
        <w:t>瘤和脑胶质瘤的标准治疗方式，仍然是以外科手术、放疗和化疗为主的综合治疗，但复发率</w:t>
      </w:r>
      <w:r>
        <w:rPr>
          <w:spacing w:val="-20"/>
        </w:rPr>
        <w:t>接近 </w:t>
      </w:r>
      <w:r>
        <w:rPr>
          <w:spacing w:val="-7"/>
        </w:rPr>
        <w:t>100</w:t>
      </w:r>
      <w:r>
        <w:rPr>
          <w:spacing w:val="-9"/>
        </w:rPr>
        <w:t>%，五年生存率仍不足 </w:t>
      </w:r>
      <w:r>
        <w:rPr>
          <w:spacing w:val="-12"/>
        </w:rPr>
        <w:t>5%</w:t>
      </w:r>
      <w:r>
        <w:rPr>
          <w:spacing w:val="-9"/>
        </w:rPr>
        <w:t>，患者中位生存期仅为 </w:t>
      </w:r>
      <w:r>
        <w:rPr/>
        <w:t>15</w:t>
      </w:r>
      <w:r>
        <w:rPr>
          <w:spacing w:val="-12"/>
        </w:rPr>
        <w:t> 个月。”天津医科大学总医院神</w:t>
      </w:r>
      <w:r>
        <w:rPr>
          <w:spacing w:val="-7"/>
        </w:rPr>
        <w:t>经外科副主任杨学军教授介绍，“虽然近年来国内外学者持续不懈努力，开展了大量的临床</w:t>
      </w:r>
      <w:r>
        <w:rPr>
          <w:spacing w:val="-21"/>
        </w:rPr>
        <w:t>研究，但一直没有经临床验证有效的新手段，能够有效延长胶质母细胞瘤患者的生存时间。”</w:t>
      </w:r>
    </w:p>
    <w:p>
      <w:pPr>
        <w:pStyle w:val="BodyText"/>
        <w:spacing w:line="280" w:lineRule="auto" w:before="1"/>
        <w:ind w:right="150" w:firstLine="480"/>
      </w:pPr>
      <w:r>
        <w:rPr/>
        <w:t>本次大会上，正式发布了我国首部《脑胶质瘤诊疗规范（2018</w:t>
      </w:r>
      <w:r>
        <w:rPr>
          <w:spacing w:val="-20"/>
        </w:rPr>
        <w:t> 年版</w:t>
      </w:r>
      <w:r>
        <w:rPr/>
        <w:t>）》。此规范是去</w:t>
      </w:r>
      <w:r>
        <w:rPr>
          <w:spacing w:val="-7"/>
        </w:rPr>
        <w:t>年国家卫健委印发的 </w:t>
      </w:r>
      <w:r>
        <w:rPr/>
        <w:t>18</w:t>
      </w:r>
      <w:r>
        <w:rPr>
          <w:spacing w:val="-15"/>
        </w:rPr>
        <w:t> 个肿瘤诊疗规范之一，旨在进一步提高相关肿瘤诊疗的规范化水平， </w:t>
      </w:r>
      <w:r>
        <w:rPr>
          <w:spacing w:val="-7"/>
        </w:rPr>
        <w:t>努力满足患者需求，增强广大人民群众对医改的获得感。其中，肿瘤电场治疗作为一种全新的治疗方案被纳入了该规范，受到了与会专家的关注。</w:t>
      </w:r>
    </w:p>
    <w:p>
      <w:pPr>
        <w:pStyle w:val="BodyText"/>
        <w:spacing w:line="280" w:lineRule="auto" w:before="2"/>
        <w:ind w:right="167" w:firstLine="480"/>
      </w:pPr>
      <w:r>
        <w:rPr/>
        <w:t>作为继手术、放疗、化疗之后的全新肿瘤治疗手段，肿瘤电场治疗是一种通过便携式、无创的医疗器械实施的疗法，其原理是通过低强度、中频（200kHz）交流电场，作用于增殖癌细胞的微管蛋白，干扰肿瘤细胞有丝分裂，使受影响的癌细胞凋亡并抑制肿瘤生长。</w:t>
      </w:r>
    </w:p>
    <w:p>
      <w:pPr>
        <w:pStyle w:val="BodyText"/>
        <w:spacing w:line="280" w:lineRule="auto"/>
        <w:ind w:right="147" w:firstLine="480"/>
      </w:pPr>
      <w:r>
        <w:rPr>
          <w:spacing w:val="-7"/>
        </w:rPr>
        <w:t>作为该规范撰写的牵头人，中国医师协会脑胶质瘤专业委员会首任主任委员、北京市神</w:t>
      </w:r>
      <w:r>
        <w:rPr>
          <w:spacing w:val="-12"/>
        </w:rPr>
        <w:t>经外科研究所副所长江涛教授表示：“在规范撰写过程中，我们一方面基于循证医学证据和</w:t>
      </w:r>
      <w:r>
        <w:rPr>
          <w:spacing w:val="-19"/>
        </w:rPr>
        <w:t>中国患者具体情况，同时也要吸收国际上先进的治疗理念，以不断提高我们的临床诊疗水平。</w:t>
      </w:r>
      <w:r>
        <w:rPr>
          <w:spacing w:val="-7"/>
        </w:rPr>
        <w:t>肿瘤电场治疗早在 </w:t>
      </w:r>
      <w:r>
        <w:rPr/>
        <w:t>2013</w:t>
      </w:r>
      <w:r>
        <w:rPr>
          <w:spacing w:val="-13"/>
        </w:rPr>
        <w:t> 年就被美国最权威的 </w:t>
      </w:r>
      <w:r>
        <w:rPr/>
        <w:t>NCCN</w:t>
      </w:r>
      <w:r>
        <w:rPr>
          <w:spacing w:val="-14"/>
        </w:rPr>
        <w:t> 中枢神经系统肿瘤指南纳入，且近年来推</w:t>
      </w:r>
      <w:r>
        <w:rPr>
          <w:spacing w:val="-13"/>
        </w:rPr>
        <w:t>荐等级不断提升，</w:t>
      </w:r>
      <w:r>
        <w:rPr>
          <w:spacing w:val="-3"/>
        </w:rPr>
        <w:t>2018</w:t>
      </w:r>
      <w:r>
        <w:rPr>
          <w:spacing w:val="-20"/>
        </w:rPr>
        <w:t> 年最新的 </w:t>
      </w:r>
      <w:r>
        <w:rPr/>
        <w:t>NCCN</w:t>
      </w:r>
      <w:r>
        <w:rPr>
          <w:spacing w:val="-12"/>
        </w:rPr>
        <w:t> 指南已将肿瘤电场治疗列为 </w:t>
      </w:r>
      <w:r>
        <w:rPr/>
        <w:t>1</w:t>
      </w:r>
      <w:r>
        <w:rPr>
          <w:spacing w:val="-10"/>
        </w:rPr>
        <w:t> 类推荐，此次制定，也希望我们的诊疗规范与国际接轨，让患者可以接受新方法的治疗。”</w:t>
      </w:r>
    </w:p>
    <w:p>
      <w:pPr>
        <w:pStyle w:val="BodyText"/>
        <w:tabs>
          <w:tab w:pos="5578" w:val="left" w:leader="none"/>
          <w:tab w:pos="6058" w:val="left" w:leader="none"/>
          <w:tab w:pos="8355" w:val="left" w:leader="none"/>
          <w:tab w:pos="9058" w:val="left" w:leader="none"/>
        </w:tabs>
        <w:spacing w:line="280" w:lineRule="auto" w:before="2"/>
        <w:ind w:right="148" w:firstLine="480"/>
      </w:pPr>
      <w:r>
        <w:rPr/>
        <w:t>一项针对新诊断胶质母细胞瘤患者的国际Ⅲ期多中心临床研究</w:t>
      </w:r>
      <w:r>
        <w:rPr>
          <w:spacing w:val="-60"/>
        </w:rPr>
        <w:t> </w:t>
      </w:r>
      <w:r>
        <w:rPr/>
        <w:t>EF-14</w:t>
      </w:r>
      <w:r>
        <w:rPr>
          <w:spacing w:val="-60"/>
        </w:rPr>
        <w:t> </w:t>
      </w:r>
      <w:r>
        <w:rPr/>
        <w:t>显示</w:t>
      </w:r>
      <w:r>
        <w:rPr>
          <w:spacing w:val="-104"/>
        </w:rPr>
        <w:t>，</w:t>
      </w:r>
      <w:r>
        <w:rPr/>
        <w:t>与单用替莫唑</w:t>
      </w:r>
      <w:r>
        <w:rPr>
          <w:spacing w:val="-56"/>
        </w:rPr>
        <w:t>胺</w:t>
      </w:r>
      <w:r>
        <w:rPr>
          <w:spacing w:val="-12"/>
        </w:rPr>
        <w:t>（TMZ）</w:t>
      </w:r>
      <w:r>
        <w:rPr/>
        <w:t>化疗相比</w:t>
      </w:r>
      <w:r>
        <w:rPr>
          <w:spacing w:val="-58"/>
        </w:rPr>
        <w:t>，</w:t>
      </w:r>
      <w:r>
        <w:rPr/>
        <w:t>肿瘤电场治疗与</w:t>
      </w:r>
      <w:r>
        <w:rPr>
          <w:spacing w:val="-58"/>
        </w:rPr>
        <w:t> </w:t>
      </w:r>
      <w:r>
        <w:rPr/>
        <w:t>TMZ</w:t>
      </w:r>
      <w:r>
        <w:rPr>
          <w:spacing w:val="-57"/>
        </w:rPr>
        <w:t> </w:t>
      </w:r>
      <w:r>
        <w:rPr/>
        <w:t>联合治疗明显改善了患者的无进展生存</w:t>
      </w:r>
      <w:r>
        <w:rPr>
          <w:spacing w:val="-56"/>
        </w:rPr>
        <w:t>期</w:t>
      </w:r>
      <w:r>
        <w:rPr>
          <w:spacing w:val="-3"/>
        </w:rPr>
        <w:t>（PFS） </w:t>
      </w:r>
      <w:r>
        <w:rPr/>
        <w:t>和总生存</w:t>
      </w:r>
      <w:r>
        <w:rPr>
          <w:spacing w:val="-70"/>
        </w:rPr>
        <w:t>期</w:t>
      </w:r>
      <w:r>
        <w:rPr>
          <w:spacing w:val="-29"/>
        </w:rPr>
        <w:t>（OS），</w:t>
      </w:r>
      <w:r>
        <w:rPr>
          <w:spacing w:val="-3"/>
        </w:rPr>
        <w:t>患</w:t>
      </w:r>
      <w:r>
        <w:rPr/>
        <w:t>者</w:t>
      </w:r>
      <w:r>
        <w:rPr>
          <w:spacing w:val="-60"/>
        </w:rPr>
        <w:t> </w:t>
      </w:r>
      <w:r>
        <w:rPr/>
        <w:t>5</w:t>
      </w:r>
      <w:r>
        <w:rPr>
          <w:spacing w:val="-59"/>
        </w:rPr>
        <w:t> </w:t>
      </w:r>
      <w:r>
        <w:rPr/>
        <w:t>年总生存率由</w:t>
      </w:r>
      <w:r>
        <w:rPr>
          <w:spacing w:val="-60"/>
        </w:rPr>
        <w:t> </w:t>
      </w:r>
      <w:r>
        <w:rPr/>
        <w:t>5%提升至</w:t>
      </w:r>
      <w:r>
        <w:rPr>
          <w:spacing w:val="-59"/>
        </w:rPr>
        <w:t> </w:t>
      </w:r>
      <w:r>
        <w:rPr>
          <w:spacing w:val="-18"/>
        </w:rPr>
        <w:t>13%，</w:t>
      </w:r>
      <w:r>
        <w:rPr/>
        <w:t>中位总生存期由</w:t>
      </w:r>
      <w:r>
        <w:rPr>
          <w:spacing w:val="-59"/>
        </w:rPr>
        <w:t> </w:t>
      </w:r>
      <w:r>
        <w:rPr/>
        <w:t>16</w:t>
      </w:r>
      <w:r>
        <w:rPr>
          <w:spacing w:val="-60"/>
        </w:rPr>
        <w:t> </w:t>
      </w:r>
      <w:r>
        <w:rPr/>
        <w:t>个月延长至</w:t>
      </w:r>
      <w:r>
        <w:rPr>
          <w:spacing w:val="-59"/>
        </w:rPr>
        <w:t> </w:t>
      </w:r>
      <w:r>
        <w:rPr/>
        <w:t>20.9 个月。该试验主要研究者、美国西北大学</w:t>
      </w:r>
      <w:r>
        <w:rPr>
          <w:spacing w:val="-60"/>
        </w:rPr>
        <w:t> </w:t>
      </w:r>
      <w:r>
        <w:rPr/>
        <w:t>Robert</w:t>
        <w:tab/>
        <w:t>H.</w:t>
        <w:tab/>
        <w:t>Lurie</w:t>
      </w:r>
      <w:r>
        <w:rPr>
          <w:spacing w:val="-60"/>
        </w:rPr>
        <w:t> </w:t>
      </w:r>
      <w:r>
        <w:rPr/>
        <w:t>综合癌症中心</w:t>
      </w:r>
      <w:r>
        <w:rPr>
          <w:spacing w:val="-60"/>
        </w:rPr>
        <w:t> </w:t>
      </w:r>
      <w:r>
        <w:rPr/>
        <w:t>Roger</w:t>
        <w:tab/>
        <w:t>Stupp 博士曾表示，“20</w:t>
      </w:r>
      <w:r>
        <w:rPr>
          <w:spacing w:val="-61"/>
        </w:rPr>
        <w:t> </w:t>
      </w:r>
      <w:r>
        <w:rPr/>
        <w:t>年前，当我开始治疗胶质母细胞瘤时，大多数患者在不到</w:t>
      </w:r>
      <w:r>
        <w:rPr>
          <w:spacing w:val="-59"/>
        </w:rPr>
        <w:t> </w:t>
      </w:r>
      <w:r>
        <w:rPr/>
        <w:t>1</w:t>
      </w:r>
      <w:r>
        <w:rPr>
          <w:spacing w:val="-60"/>
        </w:rPr>
        <w:t> </w:t>
      </w:r>
      <w:r>
        <w:rPr/>
        <w:t>年的时间内死亡</w:t>
      </w:r>
      <w:r>
        <w:rPr>
          <w:spacing w:val="-34"/>
        </w:rPr>
        <w:t>，</w:t>
      </w:r>
      <w:r>
        <w:rPr/>
        <w:t>几乎没有长期存活的病例</w:t>
      </w:r>
      <w:r>
        <w:rPr>
          <w:spacing w:val="-34"/>
        </w:rPr>
        <w:t>。</w:t>
      </w:r>
      <w:r>
        <w:rPr/>
        <w:t>自肿瘤电场治疗与</w:t>
      </w:r>
      <w:r>
        <w:rPr>
          <w:spacing w:val="-60"/>
        </w:rPr>
        <w:t> </w:t>
      </w:r>
      <w:r>
        <w:rPr/>
        <w:t>TMZ</w:t>
      </w:r>
      <w:r>
        <w:rPr>
          <w:spacing w:val="-60"/>
        </w:rPr>
        <w:t> </w:t>
      </w:r>
      <w:r>
        <w:rPr/>
        <w:t>联用治疗使用后</w:t>
      </w:r>
      <w:r>
        <w:rPr>
          <w:spacing w:val="-34"/>
        </w:rPr>
        <w:t>，</w:t>
      </w:r>
      <w:r>
        <w:rPr/>
        <w:t>每</w:t>
      </w:r>
      <w:r>
        <w:rPr>
          <w:spacing w:val="-60"/>
        </w:rPr>
        <w:t> </w:t>
      </w:r>
      <w:r>
        <w:rPr/>
        <w:t>7</w:t>
      </w:r>
      <w:r>
        <w:rPr>
          <w:spacing w:val="-60"/>
        </w:rPr>
        <w:t> </w:t>
      </w:r>
      <w:r>
        <w:rPr/>
        <w:t>名患者中就有</w:t>
      </w:r>
      <w:r>
        <w:rPr>
          <w:spacing w:val="-60"/>
        </w:rPr>
        <w:t> </w:t>
      </w:r>
      <w:r>
        <w:rPr/>
        <w:t>1</w:t>
      </w:r>
      <w:r>
        <w:rPr>
          <w:spacing w:val="-60"/>
        </w:rPr>
        <w:t> </w:t>
      </w:r>
      <w:r>
        <w:rPr/>
        <w:t>名生存期超过</w:t>
      </w:r>
      <w:r>
        <w:rPr>
          <w:spacing w:val="-61"/>
        </w:rPr>
        <w:t> </w:t>
      </w:r>
      <w:r>
        <w:rPr/>
        <w:t>5</w:t>
      </w:r>
      <w:r>
        <w:rPr>
          <w:spacing w:val="-60"/>
        </w:rPr>
        <w:t> </w:t>
      </w:r>
      <w:r>
        <w:rPr/>
        <w:t>年</w:t>
      </w:r>
      <w:r>
        <w:rPr>
          <w:spacing w:val="-33"/>
        </w:rPr>
        <w:t>。</w:t>
      </w:r>
      <w:r>
        <w:rPr/>
        <w:t>”此外</w:t>
      </w:r>
      <w:r>
        <w:rPr>
          <w:spacing w:val="-34"/>
        </w:rPr>
        <w:t>，</w:t>
      </w:r>
      <w:r>
        <w:rPr/>
        <w:t>肿瘤电场</w:t>
      </w:r>
      <w:r>
        <w:rPr>
          <w:spacing w:val="-3"/>
        </w:rPr>
        <w:t>治</w:t>
      </w:r>
      <w:r>
        <w:rPr/>
        <w:t>疗表现出的效果与依从性密切相关</w:t>
      </w:r>
      <w:r>
        <w:rPr>
          <w:spacing w:val="-34"/>
        </w:rPr>
        <w:t>，</w:t>
      </w:r>
      <w:r>
        <w:rPr/>
        <w:t>当患者每天穿戴器械超过</w:t>
      </w:r>
      <w:r>
        <w:rPr>
          <w:spacing w:val="-61"/>
        </w:rPr>
        <w:t> </w:t>
      </w:r>
      <w:r>
        <w:rPr/>
        <w:t>22</w:t>
      </w:r>
      <w:r>
        <w:rPr>
          <w:spacing w:val="-60"/>
        </w:rPr>
        <w:t> </w:t>
      </w:r>
      <w:r>
        <w:rPr/>
        <w:t>小时</w:t>
      </w:r>
      <w:r>
        <w:rPr>
          <w:spacing w:val="-22"/>
        </w:rPr>
        <w:t>，</w:t>
      </w:r>
      <w:r>
        <w:rPr/>
        <w:t>五年生存率可提升至</w:t>
      </w:r>
      <w:r>
        <w:rPr>
          <w:spacing w:val="-60"/>
        </w:rPr>
        <w:t> </w:t>
      </w:r>
      <w:r>
        <w:rPr>
          <w:spacing w:val="-4"/>
        </w:rPr>
        <w:t>29.3%，</w:t>
      </w:r>
      <w:r>
        <w:rPr/>
        <w:t>几乎是单独使用</w:t>
      </w:r>
      <w:r>
        <w:rPr>
          <w:spacing w:val="-59"/>
        </w:rPr>
        <w:t> </w:t>
      </w:r>
      <w:r>
        <w:rPr/>
        <w:t>TMZ</w:t>
        <w:tab/>
        <w:t>5</w:t>
      </w:r>
      <w:r>
        <w:rPr>
          <w:spacing w:val="-60"/>
        </w:rPr>
        <w:t> </w:t>
      </w:r>
      <w:r>
        <w:rPr/>
        <w:t>年总生存率的</w:t>
      </w:r>
      <w:r>
        <w:rPr>
          <w:spacing w:val="-60"/>
        </w:rPr>
        <w:t> </w:t>
      </w:r>
      <w:r>
        <w:rPr/>
        <w:t>6</w:t>
      </w:r>
      <w:r>
        <w:rPr>
          <w:spacing w:val="-60"/>
        </w:rPr>
        <w:t> </w:t>
      </w:r>
      <w:r>
        <w:rPr/>
        <w:t>倍。</w:t>
      </w:r>
    </w:p>
    <w:p>
      <w:pPr>
        <w:spacing w:after="0" w:line="280" w:lineRule="auto"/>
        <w:sectPr>
          <w:pgSz w:w="11910" w:h="16850"/>
          <w:pgMar w:header="906" w:footer="607" w:top="1100" w:bottom="800" w:left="1040" w:right="860"/>
        </w:sectPr>
      </w:pPr>
    </w:p>
    <w:p>
      <w:pPr>
        <w:pStyle w:val="BodyText"/>
        <w:spacing w:line="280" w:lineRule="auto" w:before="48"/>
        <w:ind w:right="266" w:firstLine="480"/>
        <w:jc w:val="both"/>
      </w:pPr>
      <w:r>
        <w:rPr>
          <w:spacing w:val="-12"/>
        </w:rPr>
        <w:t>据了解，肿瘤电场治疗已先后于 </w:t>
      </w:r>
      <w:r>
        <w:rPr/>
        <w:t>2011</w:t>
      </w:r>
      <w:r>
        <w:rPr>
          <w:spacing w:val="-30"/>
        </w:rPr>
        <w:t> 年和 </w:t>
      </w:r>
      <w:r>
        <w:rPr/>
        <w:t>2015</w:t>
      </w:r>
      <w:r>
        <w:rPr>
          <w:spacing w:val="-30"/>
        </w:rPr>
        <w:t> 年获 </w:t>
      </w:r>
      <w:r>
        <w:rPr/>
        <w:t>FDA</w:t>
      </w:r>
      <w:r>
        <w:rPr>
          <w:spacing w:val="-13"/>
        </w:rPr>
        <w:t> 批准，用于复发和新诊断的胶</w:t>
      </w:r>
      <w:r>
        <w:rPr>
          <w:spacing w:val="-2"/>
        </w:rPr>
        <w:t>质母细胞瘤成人患者的治疗。</w:t>
      </w:r>
      <w:r>
        <w:rPr/>
        <w:t>2018</w:t>
      </w:r>
      <w:r>
        <w:rPr>
          <w:spacing w:val="-40"/>
        </w:rPr>
        <w:t> 年 </w:t>
      </w:r>
      <w:r>
        <w:rPr/>
        <w:t>9</w:t>
      </w:r>
      <w:r>
        <w:rPr>
          <w:spacing w:val="-15"/>
        </w:rPr>
        <w:t> 月，再鼎医药获得 </w:t>
      </w:r>
      <w:r>
        <w:rPr/>
        <w:t>Novocure</w:t>
      </w:r>
      <w:r>
        <w:rPr>
          <w:spacing w:val="-10"/>
        </w:rPr>
        <w:t> 公司独家授权，负责该</w:t>
      </w:r>
      <w:r>
        <w:rPr>
          <w:spacing w:val="-6"/>
        </w:rPr>
        <w:t>技术在大中华区的开发及上市，同时双方将合作进行全球范围内其他适应证的开发。</w:t>
      </w:r>
      <w:r>
        <w:rPr>
          <w:spacing w:val="-3"/>
        </w:rPr>
        <w:t>Optune </w:t>
      </w:r>
      <w:r>
        <w:rPr>
          <w:spacing w:val="-5"/>
        </w:rPr>
        <w:t>作为全球首个且唯一经美国 </w:t>
      </w:r>
      <w:r>
        <w:rPr/>
        <w:t>FDA</w:t>
      </w:r>
      <w:r>
        <w:rPr>
          <w:spacing w:val="-14"/>
        </w:rPr>
        <w:t> 批准的肿瘤电场治疗产品，目前已在美国、欧洲、日本等国</w:t>
      </w:r>
      <w:r>
        <w:rPr>
          <w:spacing w:val="-7"/>
        </w:rPr>
        <w:t>家和地区上市用于胶质母细胞瘤的治疗，同时其他多项应用于实体肿瘤适应证的临床试验也</w:t>
      </w:r>
      <w:r>
        <w:rPr/>
        <w:t>在同步进行中。</w:t>
      </w:r>
    </w:p>
    <w:p>
      <w:pPr>
        <w:pStyle w:val="BodyText"/>
        <w:spacing w:line="280" w:lineRule="auto" w:before="1"/>
        <w:ind w:right="266" w:firstLine="480"/>
        <w:jc w:val="both"/>
      </w:pPr>
      <w:r>
        <w:rPr>
          <w:spacing w:val="-10"/>
        </w:rPr>
        <w:t>江涛教授表示，非常高兴看到像再鼎医药这样的民族企业，愿意把国际上最先进的治疗</w:t>
      </w:r>
      <w:r>
        <w:rPr>
          <w:spacing w:val="-9"/>
        </w:rPr>
        <w:t>技术带到中国，让中国的医生有“武器”可用，让中国的患者可以接受国际标准的治疗。期</w:t>
      </w:r>
      <w:r>
        <w:rPr>
          <w:spacing w:val="-6"/>
        </w:rPr>
        <w:t>待有更多的中国脑胶质瘤患者从中获益，希望通过业界共同努力，最终打破中国脑胶质瘤治</w:t>
      </w:r>
      <w:r>
        <w:rPr/>
        <w:t>疗瓶颈。</w:t>
      </w:r>
    </w:p>
    <w:p>
      <w:pPr>
        <w:pStyle w:val="BodyText"/>
        <w:ind w:left="0"/>
        <w:rPr>
          <w:sz w:val="14"/>
        </w:rPr>
      </w:pPr>
    </w:p>
    <w:p>
      <w:pPr>
        <w:spacing w:after="0"/>
        <w:rPr>
          <w:sz w:val="14"/>
        </w:rPr>
        <w:sectPr>
          <w:pgSz w:w="11910" w:h="16850"/>
          <w:pgMar w:header="906" w:footer="607" w:top="1100" w:bottom="800" w:left="1040" w:right="860"/>
        </w:sectPr>
      </w:pPr>
    </w:p>
    <w:p>
      <w:pPr>
        <w:pStyle w:val="Heading2"/>
        <w:spacing w:before="69"/>
        <w:ind w:left="3057"/>
      </w:pPr>
      <w:bookmarkStart w:name="_TOC_250022" w:id="25"/>
      <w:r>
        <w:rPr>
          <w:rFonts w:ascii="Arial" w:hAnsi="Arial" w:eastAsia="Arial"/>
        </w:rPr>
        <w:t>β </w:t>
      </w:r>
      <w:bookmarkEnd w:id="25"/>
      <w:r>
        <w:rPr/>
        <w:t>受体阻滞剂应用共识发布</w:t>
      </w:r>
    </w:p>
    <w:p>
      <w:pPr>
        <w:pStyle w:val="BodyText"/>
        <w:ind w:left="0"/>
        <w:rPr>
          <w:b/>
        </w:rPr>
      </w:pPr>
      <w:r>
        <w:rPr/>
        <w:br w:type="column"/>
      </w:r>
      <w:r>
        <w:rPr>
          <w:b/>
        </w:rPr>
      </w:r>
    </w:p>
    <w:p>
      <w:pPr>
        <w:pStyle w:val="BodyText"/>
        <w:spacing w:before="11"/>
        <w:ind w:left="0"/>
        <w:rPr>
          <w:b/>
        </w:rPr>
      </w:pPr>
    </w:p>
    <w:p>
      <w:pPr>
        <w:pStyle w:val="Heading4"/>
        <w:spacing w:before="1"/>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6911" w:space="40"/>
            <w:col w:w="3059"/>
          </w:cols>
        </w:sectPr>
      </w:pPr>
    </w:p>
    <w:p>
      <w:pPr>
        <w:pStyle w:val="BodyText"/>
        <w:spacing w:line="297" w:lineRule="auto" w:before="95"/>
        <w:ind w:right="267" w:firstLine="480"/>
        <w:jc w:val="both"/>
      </w:pPr>
      <w:r>
        <w:rPr/>
        <w:t>近日，《</w:t>
      </w:r>
      <w:r>
        <w:rPr>
          <w:rFonts w:ascii="Arial" w:hAnsi="Arial" w:eastAsia="Arial"/>
        </w:rPr>
        <w:t>β </w:t>
      </w:r>
      <w:r>
        <w:rPr/>
        <w:t>受体阻滞剂在高血压应用中的专家共识》在京发布。《共识》指出，</w:t>
      </w:r>
      <w:r>
        <w:rPr>
          <w:rFonts w:ascii="Arial" w:hAnsi="Arial" w:eastAsia="Arial"/>
        </w:rPr>
        <w:t>β </w:t>
      </w:r>
      <w:r>
        <w:rPr/>
        <w:t>受</w:t>
      </w:r>
      <w:r>
        <w:rPr>
          <w:spacing w:val="-6"/>
        </w:rPr>
        <w:t>体阻滞剂作为临床广泛使用的降压药物，在降低血压的同时具有明确的心血管保护作用，可作为高血压患者降压治疗的初始和维持用药；尤其适用于伴交感神经活性增高、快速性心律</w:t>
      </w:r>
      <w:r>
        <w:rPr/>
        <w:t>失常、冠心病或慢性心力衰竭的高血压患者。</w:t>
      </w:r>
    </w:p>
    <w:p>
      <w:pPr>
        <w:pStyle w:val="BodyText"/>
        <w:spacing w:line="295" w:lineRule="auto"/>
        <w:ind w:right="167" w:firstLine="480"/>
      </w:pPr>
      <w:r>
        <w:rPr>
          <w:spacing w:val="-14"/>
        </w:rPr>
        <w:t>据了解，自 </w:t>
      </w:r>
      <w:r>
        <w:rPr/>
        <w:t>2005</w:t>
      </w:r>
      <w:r>
        <w:rPr>
          <w:spacing w:val="-9"/>
        </w:rPr>
        <w:t> 年起，因受到某些荟萃分析和英国修改高血压指南的影响，</w:t>
      </w:r>
      <w:r>
        <w:rPr>
          <w:rFonts w:ascii="Arial" w:hAnsi="Arial" w:eastAsia="Arial"/>
          <w:spacing w:val="-7"/>
        </w:rPr>
        <w:t>β </w:t>
      </w:r>
      <w:r>
        <w:rPr/>
        <w:t>受体阻</w:t>
      </w:r>
      <w:r>
        <w:rPr>
          <w:spacing w:val="-1"/>
        </w:rPr>
        <w:t>滞剂的临床价值受到质疑，临床医生对其在无合并症高血压患者中的长期使用产生了顾虑。</w:t>
      </w:r>
    </w:p>
    <w:p>
      <w:pPr>
        <w:pStyle w:val="BodyText"/>
        <w:spacing w:line="297" w:lineRule="auto"/>
        <w:ind w:right="270"/>
        <w:jc w:val="both"/>
      </w:pPr>
      <w:r>
        <w:rPr>
          <w:spacing w:val="-5"/>
        </w:rPr>
        <w:t>《共识》指出，各国指南在 </w:t>
      </w:r>
      <w:r>
        <w:rPr>
          <w:rFonts w:ascii="Arial" w:hAnsi="Arial" w:eastAsia="Arial"/>
        </w:rPr>
        <w:t>β </w:t>
      </w:r>
      <w:r>
        <w:rPr/>
        <w:t>受体阻滞剂具有某些优先适应证的问题上观点一致，高血压</w:t>
      </w:r>
      <w:r>
        <w:rPr>
          <w:spacing w:val="-11"/>
        </w:rPr>
        <w:t>合并心力衰竭、心绞痛、心肌梗死病史、胸主动脉疾病、心房颤动或其他快速性室上性心律</w:t>
      </w:r>
      <w:r>
        <w:rPr/>
        <w:t>失常、交感神经活性增高、高动力状态、孕妇或准备怀孕的女性，应优先选用或联合使用</w:t>
      </w:r>
    </w:p>
    <w:p>
      <w:pPr>
        <w:pStyle w:val="BodyText"/>
        <w:spacing w:line="297" w:lineRule="auto"/>
        <w:ind w:right="267"/>
        <w:jc w:val="both"/>
      </w:pPr>
      <w:r>
        <w:rPr>
          <w:rFonts w:ascii="Arial" w:hAnsi="Arial" w:eastAsia="Arial"/>
        </w:rPr>
        <w:t>β </w:t>
      </w:r>
      <w:r>
        <w:rPr>
          <w:spacing w:val="-7"/>
        </w:rPr>
        <w:t>受体阻滞剂。同时，老年人和糖、脂代谢异常者不宜首先使用 </w:t>
      </w:r>
      <w:r>
        <w:rPr>
          <w:rFonts w:ascii="Arial" w:hAnsi="Arial" w:eastAsia="Arial"/>
        </w:rPr>
        <w:t>β </w:t>
      </w:r>
      <w:r>
        <w:rPr>
          <w:spacing w:val="-4"/>
        </w:rPr>
        <w:t>受体阻滞剂，高血压治</w:t>
      </w:r>
      <w:r>
        <w:rPr>
          <w:spacing w:val="-7"/>
        </w:rPr>
        <w:t>疗中不建议大剂量 </w:t>
      </w:r>
      <w:r>
        <w:rPr>
          <w:rFonts w:ascii="Arial" w:hAnsi="Arial" w:eastAsia="Arial"/>
        </w:rPr>
        <w:t>β </w:t>
      </w:r>
      <w:r>
        <w:rPr/>
        <w:t>受体阻滞剂与大剂量利尿剂联合。</w:t>
      </w:r>
    </w:p>
    <w:p>
      <w:pPr>
        <w:pStyle w:val="BodyText"/>
        <w:spacing w:before="4"/>
        <w:ind w:left="0"/>
        <w:rPr>
          <w:sz w:val="13"/>
        </w:rPr>
      </w:pPr>
    </w:p>
    <w:p>
      <w:pPr>
        <w:spacing w:after="0"/>
        <w:rPr>
          <w:sz w:val="13"/>
        </w:rPr>
        <w:sectPr>
          <w:type w:val="continuous"/>
          <w:pgSz w:w="11910" w:h="16850"/>
          <w:pgMar w:top="1100" w:bottom="1020" w:left="1040" w:right="860"/>
        </w:sectPr>
      </w:pPr>
    </w:p>
    <w:p>
      <w:pPr>
        <w:pStyle w:val="Heading2"/>
        <w:spacing w:before="55"/>
        <w:ind w:left="2574"/>
      </w:pPr>
      <w:bookmarkStart w:name="_TOC_250021" w:id="26"/>
      <w:bookmarkEnd w:id="26"/>
      <w:r>
        <w:rPr>
          <w:spacing w:val="-2"/>
        </w:rPr>
        <w:t>从美国新版指南看阿司匹林的使用</w:t>
      </w:r>
    </w:p>
    <w:p>
      <w:pPr>
        <w:pStyle w:val="BodyText"/>
        <w:ind w:left="0"/>
        <w:rPr>
          <w:b/>
        </w:rPr>
      </w:pPr>
      <w:r>
        <w:rPr/>
        <w:br w:type="column"/>
      </w:r>
      <w:r>
        <w:rPr>
          <w:b/>
        </w:rPr>
      </w:r>
    </w:p>
    <w:p>
      <w:pPr>
        <w:pStyle w:val="BodyText"/>
        <w:spacing w:before="8"/>
        <w:ind w:left="0"/>
        <w:rPr>
          <w:b/>
          <w:sz w:val="23"/>
        </w:rPr>
      </w:pPr>
    </w:p>
    <w:p>
      <w:pPr>
        <w:pStyle w:val="Heading4"/>
        <w:ind w:left="378"/>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860"/>
          <w:cols w:num="2" w:equalWidth="0">
            <w:col w:w="7390" w:space="40"/>
            <w:col w:w="2580"/>
          </w:cols>
        </w:sectPr>
      </w:pPr>
    </w:p>
    <w:p>
      <w:pPr>
        <w:pStyle w:val="BodyText"/>
        <w:spacing w:line="297" w:lineRule="auto" w:before="98"/>
        <w:ind w:right="267" w:firstLine="480"/>
        <w:jc w:val="both"/>
      </w:pPr>
      <w:r>
        <w:rPr/>
        <w:t>3</w:t>
      </w:r>
      <w:r>
        <w:rPr>
          <w:spacing w:val="-41"/>
        </w:rPr>
        <w:t> 月 </w:t>
      </w:r>
      <w:r>
        <w:rPr/>
        <w:t>17</w:t>
      </w:r>
      <w:r>
        <w:rPr>
          <w:spacing w:val="-8"/>
        </w:rPr>
        <w:t> 日，美国心脏病学会</w:t>
      </w:r>
      <w:r>
        <w:rPr/>
        <w:t>/美国心脏学会（ACC/AHA）心血管疾病一级预防指南（简称“新指南”）</w:t>
      </w:r>
      <w:r>
        <w:rPr>
          <w:spacing w:val="-31"/>
        </w:rPr>
        <w:t>在 </w:t>
      </w:r>
      <w:r>
        <w:rPr/>
        <w:t>ACC 2019</w:t>
      </w:r>
      <w:r>
        <w:rPr>
          <w:spacing w:val="-8"/>
        </w:rPr>
        <w:t> 年会现场正式发布。新指南在心血管疾病一级预防中有诸多推</w:t>
      </w:r>
      <w:r>
        <w:rPr>
          <w:spacing w:val="-11"/>
        </w:rPr>
        <w:t>荐，但相对弱化了阿司匹林的地位，从而将阿司匹林又推到了风口浪尖上。其中很多提示对</w:t>
      </w:r>
      <w:r>
        <w:rPr/>
        <w:t>我国医生和患者而言，有很好的参考价值。</w:t>
      </w:r>
    </w:p>
    <w:p>
      <w:pPr>
        <w:pStyle w:val="BodyText"/>
        <w:spacing w:line="297" w:lineRule="auto"/>
        <w:ind w:right="167" w:firstLine="480"/>
      </w:pPr>
      <w:r>
        <w:rPr>
          <w:spacing w:val="-21"/>
        </w:rPr>
        <w:t>早在 </w:t>
      </w:r>
      <w:r>
        <w:rPr/>
        <w:t>2008</w:t>
      </w:r>
      <w:r>
        <w:rPr>
          <w:spacing w:val="-12"/>
        </w:rPr>
        <w:t> 年，美国就宣布开始撰写美国第 </w:t>
      </w:r>
      <w:r>
        <w:rPr/>
        <w:t>2</w:t>
      </w:r>
      <w:r>
        <w:rPr>
          <w:spacing w:val="-8"/>
        </w:rPr>
        <w:t> 版心血管疾病一级预防指南，而且将是一</w:t>
      </w:r>
      <w:r>
        <w:rPr>
          <w:spacing w:val="-9"/>
        </w:rPr>
        <w:t>个综合性的指南，囊括血脂、血压、血糖、生活方式管理、运动等方面。但由于某些原因， </w:t>
      </w:r>
      <w:r>
        <w:rPr>
          <w:spacing w:val="-5"/>
        </w:rPr>
        <w:t>这一指南直到今年才得以公布。指南编写者复习了大量最新临床研究、流行病学研究、各种</w:t>
      </w:r>
      <w:r>
        <w:rPr>
          <w:spacing w:val="-10"/>
        </w:rPr>
        <w:t>人群的观察性资料等，使其各项推荐条款都有比较充分的循证医学证据。总体上，新指南内</w:t>
      </w:r>
      <w:r>
        <w:rPr>
          <w:spacing w:val="-12"/>
        </w:rPr>
        <w:t>容很全面、实用，涉及心血管疾病一级预防的各个方面，包括了生活方式改良如饮食、运动等，包括了各种危险因素如血压、血脂、血糖等的控制，也包括了阿司匹林的使用。</w:t>
      </w:r>
    </w:p>
    <w:p>
      <w:pPr>
        <w:pStyle w:val="Heading4"/>
        <w:spacing w:line="300" w:lineRule="exact"/>
      </w:pPr>
      <w:r>
        <w:rPr/>
        <w:t>获益风险比小了 不是阿司匹林的错</w:t>
      </w:r>
    </w:p>
    <w:p>
      <w:pPr>
        <w:spacing w:after="0" w:line="300" w:lineRule="exact"/>
        <w:sectPr>
          <w:type w:val="continuous"/>
          <w:pgSz w:w="11910" w:h="16850"/>
          <w:pgMar w:top="1100" w:bottom="1020" w:left="1040" w:right="860"/>
        </w:sectPr>
      </w:pPr>
    </w:p>
    <w:p>
      <w:pPr>
        <w:pStyle w:val="BodyText"/>
        <w:spacing w:line="297" w:lineRule="auto" w:before="65"/>
        <w:ind w:right="230" w:firstLine="480"/>
        <w:jc w:val="both"/>
      </w:pPr>
      <w:r>
        <w:rPr>
          <w:spacing w:val="-6"/>
        </w:rPr>
        <w:t>新指南特别提及阿司匹林一级预防的问题，这有重大意义。目前，阿司匹林一级预防问</w:t>
      </w:r>
      <w:r>
        <w:rPr>
          <w:spacing w:val="-12"/>
        </w:rPr>
        <w:t>题正处于风口浪尖。早年的阿司匹林一级预防试验，总体上的结论是获益大于风险，因而美</w:t>
      </w:r>
      <w:r>
        <w:rPr>
          <w:spacing w:val="-21"/>
        </w:rPr>
        <w:t>国学者总体上一直比较支持阿司匹林用于一级预防。很多年前，美国各心脏学会</w:t>
      </w:r>
      <w:r>
        <w:rPr>
          <w:spacing w:val="-10"/>
        </w:rPr>
        <w:t>（ACC/AHA）</w:t>
      </w:r>
      <w:r>
        <w:rPr>
          <w:spacing w:val="-99"/>
        </w:rPr>
        <w:t>、</w:t>
      </w:r>
      <w:r>
        <w:rPr/>
        <w:t>美国糖尿病学会（ADA）以及其他各种学术组织，甚至包括美国最权威的学术机构——美国</w:t>
      </w:r>
      <w:r>
        <w:rPr>
          <w:spacing w:val="-5"/>
        </w:rPr>
        <w:t>预防服务工作组（USPSTF）</w:t>
      </w:r>
      <w:r>
        <w:rPr>
          <w:spacing w:val="-3"/>
        </w:rPr>
        <w:t>等都曾多次发表各种指南或共识，来推进阿司匹林用于不同人群</w:t>
      </w:r>
      <w:r>
        <w:rPr>
          <w:spacing w:val="-10"/>
        </w:rPr>
        <w:t>的心血管病一级预防，后来还扩展到预防结直肠癌。而一些欧洲专家，从来就不看好阿司匹林一级预防。</w:t>
      </w:r>
    </w:p>
    <w:p>
      <w:pPr>
        <w:pStyle w:val="BodyText"/>
        <w:spacing w:line="297" w:lineRule="auto"/>
        <w:ind w:right="147" w:firstLine="480"/>
      </w:pPr>
      <w:r>
        <w:rPr>
          <w:spacing w:val="-16"/>
        </w:rPr>
        <w:t>在欧美国家，随着心血管疾病总体预防水平的不断提高，尤其是他汀类药物的普遍应用， </w:t>
      </w:r>
      <w:r>
        <w:rPr/>
        <w:t>使各类人群的心血管风险水平不断下降，这导致阿司匹林一级预防的获益-风险比较以前缩</w:t>
      </w:r>
      <w:r>
        <w:rPr>
          <w:spacing w:val="-11"/>
        </w:rPr>
        <w:t>小。在此基础上，在一些较新的试验中，阿司匹林获益较小甚至不能获益。特别是去年发表的三项新的临床试验，ARRIVE、ASCEND、ASPREE</w:t>
      </w:r>
      <w:r>
        <w:rPr>
          <w:spacing w:val="-8"/>
        </w:rPr>
        <w:t> 试验，要么呈现阳性结果但获益不大，要</w:t>
      </w:r>
      <w:r>
        <w:rPr>
          <w:spacing w:val="-14"/>
        </w:rPr>
        <w:t>么在老年人中出现阴性结果。考虑当前心血管预防措施的不断完善，人群心血管风险水平不</w:t>
      </w:r>
      <w:r>
        <w:rPr>
          <w:spacing w:val="-17"/>
        </w:rPr>
        <w:t>断下降，以及这些研究实际上纳入心血管 </w:t>
      </w:r>
      <w:r>
        <w:rPr/>
        <w:t>10</w:t>
      </w:r>
      <w:r>
        <w:rPr>
          <w:spacing w:val="-15"/>
        </w:rPr>
        <w:t> 年风险</w:t>
      </w:r>
      <w:r>
        <w:rPr/>
        <w:t>&lt;10%的低危人群，出现这些结果并不意外。</w:t>
      </w:r>
    </w:p>
    <w:p>
      <w:pPr>
        <w:pStyle w:val="BodyText"/>
        <w:spacing w:line="297" w:lineRule="auto"/>
        <w:ind w:right="150" w:firstLine="480"/>
      </w:pPr>
      <w:r>
        <w:rPr>
          <w:spacing w:val="-7"/>
        </w:rPr>
        <w:t>在早期的研究中，人群的心血管预防水平相对较差，没有他汀，吸烟率较高，也缺乏血</w:t>
      </w:r>
      <w:r>
        <w:rPr>
          <w:spacing w:val="-17"/>
        </w:rPr>
        <w:t>压、血脂管理理念，阿司匹林在一级预防中发挥了非常重要的作用。美国人因此尝到了甜头， </w:t>
      </w:r>
      <w:r>
        <w:rPr/>
        <w:t>他们的心血管疾病致死率不断下降。而现在，随着总体医疗环境的改善和预防水平的提高， 阿司匹林在一级预防的获益相对减少，但是出血风险并没有减少，这就导致其获益-风险比</w:t>
      </w:r>
      <w:r>
        <w:rPr>
          <w:spacing w:val="-8"/>
        </w:rPr>
        <w:t>不再非常有利。我国学者也意识到这一问题，根据去年的三项最新临床试验，开始全面复习相关文献，并着手修改我国有关一级预防的专家共识。</w:t>
      </w:r>
    </w:p>
    <w:p>
      <w:pPr>
        <w:pStyle w:val="BodyText"/>
        <w:spacing w:line="297" w:lineRule="auto"/>
        <w:ind w:right="150" w:firstLine="480"/>
        <w:jc w:val="both"/>
      </w:pPr>
      <w:r>
        <w:rPr>
          <w:spacing w:val="-9"/>
        </w:rPr>
        <w:t>如上所述，阿司匹林应用地位下降是毫无疑问，也是必然的。但阿司匹林是否已经不能</w:t>
      </w:r>
      <w:r>
        <w:rPr>
          <w:spacing w:val="-12"/>
        </w:rPr>
        <w:t>用于一级预防了呢？在欧洲一些专家纷纷发声说阿司匹林已经没有前途时，美国新指南总体</w:t>
      </w:r>
      <w:r>
        <w:rPr>
          <w:spacing w:val="-20"/>
        </w:rPr>
        <w:t>上还是认为阿司匹林可用于一级预防，但在具体的做法上有所限制，主要是两点限制：第一，</w:t>
      </w:r>
    </w:p>
    <w:p>
      <w:pPr>
        <w:pStyle w:val="BodyText"/>
        <w:spacing w:line="297" w:lineRule="auto"/>
        <w:ind w:right="267"/>
      </w:pPr>
      <w:r>
        <w:rPr/>
        <w:t>70</w:t>
      </w:r>
      <w:r>
        <w:rPr>
          <w:spacing w:val="-8"/>
        </w:rPr>
        <w:t> 岁以上老人不用。第二，出血风险高的患者不用。这些与我国正在修订的阿司匹林一级</w:t>
      </w:r>
      <w:r>
        <w:rPr>
          <w:spacing w:val="-14"/>
        </w:rPr>
        <w:t>预防专家共识是一致的。我国的新专家共识在草稿中也提出，阿司匹林一级预防的证据还是</w:t>
      </w:r>
      <w:r>
        <w:rPr>
          <w:spacing w:val="-11"/>
        </w:rPr>
        <w:t>非常充分的，因此在不同人群中，是 </w:t>
      </w:r>
      <w:r>
        <w:rPr/>
        <w:t>A</w:t>
      </w:r>
      <w:r>
        <w:rPr>
          <w:spacing w:val="-30"/>
        </w:rPr>
        <w:t> 级或 </w:t>
      </w:r>
      <w:r>
        <w:rPr/>
        <w:t>B</w:t>
      </w:r>
      <w:r>
        <w:rPr>
          <w:spacing w:val="-11"/>
        </w:rPr>
        <w:t> 级证据水平，但我们的推荐级别不高，对不同</w:t>
      </w:r>
      <w:r>
        <w:rPr>
          <w:spacing w:val="-20"/>
        </w:rPr>
        <w:t>人群分别是 </w:t>
      </w:r>
      <w:r>
        <w:rPr/>
        <w:t>2B</w:t>
      </w:r>
      <w:r>
        <w:rPr>
          <w:spacing w:val="-40"/>
        </w:rPr>
        <w:t> 或 </w:t>
      </w:r>
      <w:r>
        <w:rPr/>
        <w:t>2A</w:t>
      </w:r>
      <w:r>
        <w:rPr>
          <w:spacing w:val="-15"/>
        </w:rPr>
        <w:t> 级。这些与美国新指南的推荐也相当一致。我们认为，在新的医疗和预</w:t>
      </w:r>
      <w:r>
        <w:rPr/>
        <w:t>防水平的形势下，阿司匹林一级预防的获益-风险比相当小，但它确实还可用于一些高危人群的一级预防。</w:t>
      </w:r>
    </w:p>
    <w:p>
      <w:pPr>
        <w:pStyle w:val="BodyText"/>
        <w:spacing w:line="297" w:lineRule="auto"/>
        <w:ind w:right="269" w:firstLine="480"/>
      </w:pPr>
      <w:r>
        <w:rPr>
          <w:spacing w:val="-11"/>
        </w:rPr>
        <w:t>总之，阿司匹林还能用，不应全盘否定。同时，要限制其使用。我们要用，但要谨慎使</w:t>
      </w:r>
      <w:r>
        <w:rPr/>
        <w:t>用。这个观点将会在我国专家共识中进行特别强调，如使用前需要进行医患沟通等。</w:t>
      </w:r>
    </w:p>
    <w:p>
      <w:pPr>
        <w:pStyle w:val="Heading4"/>
        <w:spacing w:line="306" w:lineRule="exact"/>
      </w:pPr>
      <w:r>
        <w:rPr/>
        <w:t>我国的一级预防 仍需大力推动</w:t>
      </w:r>
    </w:p>
    <w:p>
      <w:pPr>
        <w:pStyle w:val="BodyText"/>
        <w:spacing w:before="34"/>
        <w:ind w:left="717"/>
      </w:pPr>
      <w:r>
        <w:rPr/>
        <w:t>在我国，心血管预防水平尚无法与美国相比。我们的他汀使用率比美国低很多。例如在</w:t>
      </w:r>
    </w:p>
    <w:p>
      <w:pPr>
        <w:pStyle w:val="BodyText"/>
        <w:spacing w:line="295" w:lineRule="auto" w:before="74"/>
        <w:ind w:right="268"/>
      </w:pPr>
      <w:r>
        <w:rPr/>
        <w:t>ARRIVE</w:t>
      </w:r>
      <w:r>
        <w:rPr>
          <w:spacing w:val="-14"/>
        </w:rPr>
        <w:t> 研究中，美国糖尿病患者的他汀使用率高达 </w:t>
      </w:r>
      <w:r>
        <w:rPr/>
        <w:t>70%</w:t>
      </w:r>
      <w:r>
        <w:rPr>
          <w:spacing w:val="-9"/>
        </w:rPr>
        <w:t>。而根据我国最新流行病学调查，我</w:t>
      </w:r>
      <w:r>
        <w:rPr>
          <w:spacing w:val="-2"/>
        </w:rPr>
        <w:t>国糖尿病患者，如果没有合并高脂血症，单纯糖尿病患者中的他汀使用率几乎为 </w:t>
      </w:r>
      <w:r>
        <w:rPr/>
        <w:t>0。</w:t>
      </w:r>
    </w:p>
    <w:p>
      <w:pPr>
        <w:pStyle w:val="BodyText"/>
        <w:spacing w:line="297" w:lineRule="auto" w:before="2"/>
        <w:ind w:right="286" w:firstLine="480"/>
      </w:pPr>
      <w:r>
        <w:rPr/>
        <w:t>2019</w:t>
      </w:r>
      <w:r>
        <w:rPr>
          <w:spacing w:val="-8"/>
        </w:rPr>
        <w:t> 年刚刚发表的我国大样本流行病学调查结果显示，在高危成人人群中，他汀的使</w:t>
      </w:r>
      <w:r>
        <w:rPr>
          <w:spacing w:val="-14"/>
        </w:rPr>
        <w:t>用率非常低，不到 </w:t>
      </w:r>
      <w:r>
        <w:rPr/>
        <w:t>1%，</w:t>
      </w:r>
      <w:r>
        <w:rPr>
          <w:spacing w:val="-6"/>
        </w:rPr>
        <w:t>阿司匹林使用率也只有 </w:t>
      </w:r>
      <w:r>
        <w:rPr/>
        <w:t>2%～3%，</w:t>
      </w:r>
      <w:r>
        <w:rPr>
          <w:spacing w:val="-2"/>
        </w:rPr>
        <w:t>这表明我国一般人群的心血管病一</w:t>
      </w:r>
    </w:p>
    <w:p>
      <w:pPr>
        <w:spacing w:after="0" w:line="297" w:lineRule="auto"/>
        <w:sectPr>
          <w:pgSz w:w="11910" w:h="16850"/>
          <w:pgMar w:header="906" w:footer="607" w:top="1100" w:bottom="800" w:left="1040" w:right="860"/>
        </w:sectPr>
      </w:pPr>
    </w:p>
    <w:p>
      <w:pPr>
        <w:pStyle w:val="BodyText"/>
        <w:spacing w:line="295" w:lineRule="auto" w:before="65"/>
        <w:ind w:right="267"/>
      </w:pPr>
      <w:r>
        <w:rPr>
          <w:spacing w:val="-8"/>
        </w:rPr>
        <w:t>级预防水平较美国还有很大差距。在这样的情况下，各国人群如果暴露于同样水平的危险因</w:t>
      </w:r>
      <w:r>
        <w:rPr/>
        <w:t>素下，中国人群所受到的伤害很可能远远高于欧美人群。</w:t>
      </w:r>
    </w:p>
    <w:p>
      <w:pPr>
        <w:pStyle w:val="BodyText"/>
        <w:spacing w:line="297" w:lineRule="auto" w:before="2"/>
        <w:ind w:right="267" w:firstLine="480"/>
        <w:jc w:val="both"/>
      </w:pPr>
      <w:r>
        <w:rPr>
          <w:spacing w:val="-10"/>
        </w:rPr>
        <w:t>因此，在我们尚未做好预防工作、没有广泛使用他汀进行预防的情况下，使用阿司匹林</w:t>
      </w:r>
      <w:r>
        <w:rPr/>
        <w:t>的获益-风险比或许相对欧美国家更好一些，当然我们也需要进行更多的研究。原则上，阿</w:t>
      </w:r>
      <w:r>
        <w:rPr>
          <w:spacing w:val="-7"/>
        </w:rPr>
        <w:t>司匹林还是应该可用于一级预防的。当然在具体使用中要谨慎，强调医患沟通，这是我们应</w:t>
      </w:r>
      <w:r>
        <w:rPr/>
        <w:t>坚持的原则。</w:t>
      </w:r>
    </w:p>
    <w:p>
      <w:pPr>
        <w:pStyle w:val="BodyText"/>
        <w:spacing w:line="295" w:lineRule="auto"/>
        <w:ind w:right="270" w:firstLine="480"/>
        <w:jc w:val="both"/>
      </w:pPr>
      <w:r>
        <w:rPr>
          <w:spacing w:val="-10"/>
        </w:rPr>
        <w:t>总体而言，与西方国家不同，我国心血管疾病的发病率、死亡率还是处于上升阶段，因</w:t>
      </w:r>
      <w:r>
        <w:rPr>
          <w:spacing w:val="-8"/>
        </w:rPr>
        <w:t>此预防工作的任务更艰巨、更迫切，我们需要更加努力。我们要依据现有的证据和经验，采</w:t>
      </w:r>
      <w:r>
        <w:rPr/>
        <w:t>用各种预防手段包括适当使用阿司匹林来进行全面的心血管一级预防。</w:t>
      </w:r>
    </w:p>
    <w:p>
      <w:pPr>
        <w:pStyle w:val="Heading4"/>
        <w:spacing w:before="2"/>
      </w:pPr>
      <w:r>
        <w:rPr/>
        <w:t>新型风险评估模式 可进一步筛选高危患者</w:t>
      </w:r>
    </w:p>
    <w:p>
      <w:pPr>
        <w:pStyle w:val="BodyText"/>
        <w:spacing w:line="297" w:lineRule="auto" w:before="72"/>
        <w:ind w:right="267" w:firstLine="480"/>
        <w:jc w:val="both"/>
      </w:pPr>
      <w:r>
        <w:rPr>
          <w:spacing w:val="-8"/>
        </w:rPr>
        <w:t>除传统危险因素外，美国新指南还推出了一些新的理念，如危险增高因素，即除传统公</w:t>
      </w:r>
      <w:r>
        <w:rPr>
          <w:spacing w:val="-9"/>
        </w:rPr>
        <w:t>认的危险因素外，其他一些因素也会增高患者的危险，例如家族性心血管疾病病史、代谢综</w:t>
      </w:r>
      <w:r>
        <w:rPr>
          <w:spacing w:val="-12"/>
        </w:rPr>
        <w:t>合征、炎症状态、慢性肾病等，这些情况并未被纳入主要危险因素，但确实会升高患者的心</w:t>
      </w:r>
      <w:r>
        <w:rPr>
          <w:spacing w:val="-8"/>
        </w:rPr>
        <w:t>血管风险。美国新指南推荐，对按 </w:t>
      </w:r>
      <w:r>
        <w:rPr>
          <w:spacing w:val="-4"/>
        </w:rPr>
        <w:t>PCE（</w:t>
      </w:r>
      <w:r>
        <w:rPr>
          <w:spacing w:val="-1"/>
        </w:rPr>
        <w:t>一种新的心血管疾病风险估算方法——汇总队列方</w:t>
      </w:r>
      <w:r>
        <w:rPr/>
        <w:t>程</w:t>
      </w:r>
      <w:r>
        <w:rPr>
          <w:spacing w:val="-51"/>
        </w:rPr>
        <w:t>）</w:t>
      </w:r>
      <w:r>
        <w:rPr>
          <w:spacing w:val="-4"/>
        </w:rPr>
        <w:t>估算后心血管病风险水平为中等或不能确定的人群，可进一步采用这些危险增高因素进</w:t>
      </w:r>
      <w:r>
        <w:rPr/>
        <w:t>行评估，以便找出需要积极干预的患者。</w:t>
      </w:r>
    </w:p>
    <w:p>
      <w:pPr>
        <w:pStyle w:val="BodyText"/>
        <w:spacing w:line="297" w:lineRule="auto"/>
        <w:ind w:right="149" w:firstLine="480"/>
        <w:jc w:val="both"/>
      </w:pPr>
      <w:r>
        <w:rPr>
          <w:spacing w:val="-5"/>
        </w:rPr>
        <w:t>此外，新指南还建议通过冠脉 </w:t>
      </w:r>
      <w:r>
        <w:rPr/>
        <w:t>CTA</w:t>
      </w:r>
      <w:r>
        <w:rPr>
          <w:spacing w:val="-8"/>
        </w:rPr>
        <w:t> 做冠状动脉钙化积分</w:t>
      </w:r>
      <w:r>
        <w:rPr/>
        <w:t>（CAC）来进一步评估心血管病</w:t>
      </w:r>
      <w:r>
        <w:rPr>
          <w:spacing w:val="-8"/>
        </w:rPr>
        <w:t>风险水平。如果 </w:t>
      </w:r>
      <w:r>
        <w:rPr/>
        <w:t>CAC</w:t>
      </w:r>
      <w:r>
        <w:rPr>
          <w:spacing w:val="-40"/>
        </w:rPr>
        <w:t> 是 </w:t>
      </w:r>
      <w:r>
        <w:rPr/>
        <w:t>0</w:t>
      </w:r>
      <w:r>
        <w:rPr>
          <w:spacing w:val="-14"/>
        </w:rPr>
        <w:t> 分，那么此人今后 </w:t>
      </w:r>
      <w:r>
        <w:rPr/>
        <w:t>10</w:t>
      </w:r>
      <w:r>
        <w:rPr>
          <w:spacing w:val="-8"/>
        </w:rPr>
        <w:t> 年发生冠心病的可能性就非常低，除非别的</w:t>
      </w:r>
      <w:r>
        <w:rPr>
          <w:spacing w:val="-18"/>
        </w:rPr>
        <w:t>危险因素特别强，否则就是低危人群；冠状动脉钙化积分在 </w:t>
      </w:r>
      <w:r>
        <w:rPr/>
        <w:t>100</w:t>
      </w:r>
      <w:r>
        <w:rPr>
          <w:spacing w:val="-13"/>
        </w:rPr>
        <w:t> 分以上，很可能是高危人群；</w:t>
      </w:r>
    </w:p>
    <w:p>
      <w:pPr>
        <w:pStyle w:val="BodyText"/>
        <w:spacing w:line="304" w:lineRule="exact"/>
      </w:pPr>
      <w:r>
        <w:rPr/>
        <w:t>1～99 分的患者需要进一步评估。</w:t>
      </w:r>
    </w:p>
    <w:p>
      <w:pPr>
        <w:pStyle w:val="BodyText"/>
        <w:spacing w:line="297" w:lineRule="auto" w:before="64"/>
        <w:ind w:right="166" w:firstLine="480"/>
        <w:jc w:val="both"/>
      </w:pPr>
      <w:r>
        <w:rPr/>
        <w:t>根据传统危险因素进行基本评估，结合考虑危险增高因素和冠脉钙化评分进一步筛选， 就有可能对患者的危险水平进行更精确的区分，把真正的高危人群、需要服用他汀和（或） 阿司匹林的个体筛查出来。</w:t>
      </w:r>
    </w:p>
    <w:p>
      <w:pPr>
        <w:pStyle w:val="BodyText"/>
        <w:spacing w:line="297" w:lineRule="auto"/>
        <w:ind w:right="267" w:firstLine="480"/>
        <w:jc w:val="both"/>
      </w:pPr>
      <w:r>
        <w:rPr>
          <w:spacing w:val="-6"/>
        </w:rPr>
        <w:t>我国目前尚无这种精细的心血管风险评估模式，所以需要流行病学专家做更多工作，找</w:t>
      </w:r>
      <w:r>
        <w:rPr/>
        <w:t>到更适合自己的有代表性的危险评估方法。</w:t>
      </w:r>
    </w:p>
    <w:p>
      <w:pPr>
        <w:pStyle w:val="BodyText"/>
        <w:spacing w:line="306" w:lineRule="exact"/>
        <w:ind w:left="717"/>
      </w:pPr>
      <w:r>
        <w:rPr/>
        <w:t>作者: 上海交通大学医学院附属瑞金医院教授 施仲伟</w:t>
      </w:r>
    </w:p>
    <w:p>
      <w:pPr>
        <w:pStyle w:val="BodyText"/>
        <w:spacing w:before="2"/>
        <w:ind w:left="0"/>
        <w:rPr>
          <w:sz w:val="23"/>
        </w:rPr>
      </w:pPr>
    </w:p>
    <w:p>
      <w:pPr>
        <w:pStyle w:val="Heading2"/>
      </w:pPr>
      <w:bookmarkStart w:name="_TOC_250020" w:id="27"/>
      <w:bookmarkEnd w:id="27"/>
      <w:r>
        <w:rPr/>
        <w:t>【药物警戒】</w:t>
      </w:r>
    </w:p>
    <w:p>
      <w:pPr>
        <w:pStyle w:val="BodyText"/>
        <w:spacing w:before="12"/>
        <w:ind w:left="0"/>
        <w:rPr>
          <w:b/>
          <w:sz w:val="22"/>
        </w:rPr>
      </w:pPr>
    </w:p>
    <w:p>
      <w:pPr>
        <w:pStyle w:val="Heading2"/>
        <w:ind w:left="2574"/>
      </w:pPr>
      <w:bookmarkStart w:name="_TOC_250019" w:id="28"/>
      <w:bookmarkEnd w:id="28"/>
      <w:r>
        <w:rPr/>
        <w:t>常用药物的不良反应——抗感染类</w:t>
      </w:r>
    </w:p>
    <w:p>
      <w:pPr>
        <w:pStyle w:val="Heading4"/>
        <w:spacing w:before="145"/>
        <w:ind w:left="0" w:right="268"/>
        <w:jc w:val="right"/>
        <w:rPr>
          <w:rFonts w:ascii="楷体" w:eastAsia="楷体" w:hint="eastAsia"/>
        </w:rPr>
      </w:pPr>
      <w:r>
        <w:rPr>
          <w:rFonts w:ascii="楷体" w:eastAsia="楷体" w:hint="eastAsia"/>
          <w:color w:val="FF0000"/>
          <w:w w:val="95"/>
        </w:rPr>
        <w:t>（来源：中国医药报）</w:t>
      </w:r>
    </w:p>
    <w:p>
      <w:pPr>
        <w:spacing w:before="98"/>
        <w:ind w:left="717" w:right="0" w:firstLine="0"/>
        <w:jc w:val="left"/>
        <w:rPr>
          <w:b/>
          <w:sz w:val="24"/>
        </w:rPr>
      </w:pPr>
      <w:r>
        <w:rPr>
          <w:b/>
          <w:sz w:val="24"/>
        </w:rPr>
        <w:t>大环内酯类抗生素的不良反应</w:t>
      </w:r>
    </w:p>
    <w:p>
      <w:pPr>
        <w:pStyle w:val="BodyText"/>
        <w:spacing w:line="297" w:lineRule="auto" w:before="72"/>
        <w:ind w:right="267" w:firstLine="480"/>
        <w:jc w:val="both"/>
      </w:pPr>
      <w:r>
        <w:rPr>
          <w:spacing w:val="-8"/>
        </w:rPr>
        <w:t>红霉素的不良反应：胃肠道反应有腹泻、恶心、呕吐、中上腹痛、口舌疼痛、胃纳减退</w:t>
      </w:r>
      <w:r>
        <w:rPr>
          <w:spacing w:val="-12"/>
        </w:rPr>
        <w:t>等；肝毒性少见，患者可有乏力、恶心、呕吐、腹痛、发热及肝功能异常，偶见黄疸等；大</w:t>
      </w:r>
      <w:r>
        <w:rPr/>
        <w:t>剂量（≥4g/日）应用时，尤其肝、肾疾病患者或老年患者，可能引起听力减退，主要与血药浓度过高(&gt;12mg/L)有关，停药后大多可恢复；过敏反应表现为药物热、皮疹、嗜酸粒细</w:t>
      </w:r>
      <w:r>
        <w:rPr>
          <w:spacing w:val="-7"/>
        </w:rPr>
        <w:t>胞增多等，发生率约 </w:t>
      </w:r>
      <w:r>
        <w:rPr/>
        <w:t>0.5%～1%；偶有心律失常，口腔或阴道念珠菌感染。</w:t>
      </w:r>
    </w:p>
    <w:p>
      <w:pPr>
        <w:spacing w:after="0" w:line="297" w:lineRule="auto"/>
        <w:jc w:val="both"/>
        <w:sectPr>
          <w:pgSz w:w="11910" w:h="16850"/>
          <w:pgMar w:header="906" w:footer="607" w:top="1100" w:bottom="800" w:left="1040" w:right="860"/>
        </w:sectPr>
      </w:pPr>
    </w:p>
    <w:p>
      <w:pPr>
        <w:pStyle w:val="BodyText"/>
        <w:spacing w:line="297" w:lineRule="auto" w:before="65"/>
        <w:ind w:right="147" w:firstLine="480"/>
      </w:pPr>
      <w:r>
        <w:rPr>
          <w:spacing w:val="-8"/>
        </w:rPr>
        <w:t>阿奇霉素的不良反应：服药后可出现腹痛、腹泻</w:t>
      </w:r>
      <w:r>
        <w:rPr/>
        <w:t>（稀便</w:t>
      </w:r>
      <w:r>
        <w:rPr>
          <w:spacing w:val="-32"/>
        </w:rPr>
        <w:t>）</w:t>
      </w:r>
      <w:r>
        <w:rPr>
          <w:spacing w:val="-12"/>
        </w:rPr>
        <w:t>、上腹部不适</w:t>
      </w:r>
      <w:r>
        <w:rPr/>
        <w:t>（疼痛或痉挛</w:t>
      </w:r>
      <w:r>
        <w:rPr>
          <w:spacing w:val="-32"/>
        </w:rPr>
        <w:t>）</w:t>
      </w:r>
      <w:r>
        <w:rPr>
          <w:spacing w:val="-11"/>
        </w:rPr>
        <w:t>、</w:t>
      </w:r>
      <w:r>
        <w:rPr>
          <w:spacing w:val="-10"/>
        </w:rPr>
        <w:t>恶心、呕吐等胃肠道反应，其发生率明显较红霉素低；偶可出现轻至中度腹胀、头昏、头痛</w:t>
      </w:r>
      <w:r>
        <w:rPr>
          <w:spacing w:val="-13"/>
        </w:rPr>
        <w:t>及发热、皮疹、关节痛等过敏反应，过敏性休克和血管神经性水肿、胆汁淤积性黄疸极为少见；少数患者可出现一过性中性粒细胞减少、血清氨基转移酶升高。</w:t>
      </w:r>
    </w:p>
    <w:p>
      <w:pPr>
        <w:pStyle w:val="Heading4"/>
        <w:spacing w:line="302" w:lineRule="exact"/>
        <w:ind w:left="717"/>
      </w:pPr>
      <w:r>
        <w:rPr/>
        <w:t>磺胺类药物的不良反应</w:t>
      </w:r>
    </w:p>
    <w:p>
      <w:pPr>
        <w:pStyle w:val="BodyText"/>
        <w:tabs>
          <w:tab w:pos="3357" w:val="left" w:leader="none"/>
        </w:tabs>
        <w:spacing w:line="297" w:lineRule="auto" w:before="71"/>
        <w:ind w:right="166" w:firstLine="480"/>
      </w:pPr>
      <w:r>
        <w:rPr/>
        <w:t>复方磺胺甲噁唑的不良反应</w:t>
      </w:r>
      <w:r>
        <w:rPr>
          <w:spacing w:val="-34"/>
        </w:rPr>
        <w:t>：</w:t>
      </w:r>
      <w:r>
        <w:rPr/>
        <w:t>过敏反应较为常见</w:t>
      </w:r>
      <w:r>
        <w:rPr>
          <w:spacing w:val="-34"/>
        </w:rPr>
        <w:t>，</w:t>
      </w:r>
      <w:r>
        <w:rPr/>
        <w:t>可表现为药疹</w:t>
      </w:r>
      <w:r>
        <w:rPr>
          <w:spacing w:val="-34"/>
        </w:rPr>
        <w:t>，</w:t>
      </w:r>
      <w:r>
        <w:rPr>
          <w:spacing w:val="-3"/>
        </w:rPr>
        <w:t>严</w:t>
      </w:r>
      <w:r>
        <w:rPr/>
        <w:t>重者可发生渗出性多形红斑</w:t>
      </w:r>
      <w:r>
        <w:rPr>
          <w:spacing w:val="-22"/>
        </w:rPr>
        <w:t>、</w:t>
      </w:r>
      <w:r>
        <w:rPr/>
        <w:t>剥脱性皮炎等</w:t>
      </w:r>
      <w:r>
        <w:rPr>
          <w:spacing w:val="-22"/>
        </w:rPr>
        <w:t>，</w:t>
      </w:r>
      <w:r>
        <w:rPr/>
        <w:t>也有表现为光敏反应</w:t>
      </w:r>
      <w:r>
        <w:rPr>
          <w:spacing w:val="-22"/>
        </w:rPr>
        <w:t>、</w:t>
      </w:r>
      <w:r>
        <w:rPr/>
        <w:t>药物热</w:t>
      </w:r>
      <w:r>
        <w:rPr>
          <w:spacing w:val="-22"/>
        </w:rPr>
        <w:t>、</w:t>
      </w:r>
      <w:r>
        <w:rPr/>
        <w:t>关节及肌肉疼痛</w:t>
      </w:r>
      <w:r>
        <w:rPr>
          <w:spacing w:val="-22"/>
        </w:rPr>
        <w:t>、</w:t>
      </w:r>
      <w:r>
        <w:rPr/>
        <w:t>发热等血清病样反应，偶见过敏性休克；</w:t>
        <w:tab/>
        <w:t>中性粒细胞减少或缺乏症、血小板减少症及再生障碍性贫血</w:t>
      </w:r>
      <w:r>
        <w:rPr>
          <w:spacing w:val="-17"/>
        </w:rPr>
        <w:t>； </w:t>
      </w:r>
      <w:r>
        <w:rPr/>
        <w:t>溶血性贫血及血红蛋白尿，在缺乏葡萄糖-6-磷酸脱氢酶的患者应</w:t>
      </w:r>
    </w:p>
    <w:p>
      <w:pPr>
        <w:pStyle w:val="BodyText"/>
        <w:spacing w:line="297" w:lineRule="auto"/>
        <w:ind w:right="268" w:firstLine="480"/>
        <w:jc w:val="both"/>
      </w:pPr>
      <w:r>
        <w:rPr>
          <w:spacing w:val="-5"/>
        </w:rPr>
        <w:t>用磺胺药后易于发生，在新生儿和小儿中较成人为多见； 高胆红素血症和新生儿核黄疸；肝脏损害，可发生黄疸、肝功能减退， 严重者可发生急性肝坏死；肾脏损害，可发生</w:t>
      </w:r>
      <w:r>
        <w:rPr>
          <w:spacing w:val="-10"/>
        </w:rPr>
        <w:t>结晶尿、血尿和管型尿；偶有患者发生间质性肾炎或肾小管坏死的严重不良反应；恶心、呕</w:t>
      </w:r>
      <w:r>
        <w:rPr>
          <w:spacing w:val="-12"/>
        </w:rPr>
        <w:t>吐、胃纳减退、腹泻、头痛、乏力等，偶有患者发生艰难梭菌肠炎，此时需停药；中枢神经</w:t>
      </w:r>
      <w:r>
        <w:rPr/>
        <w:t>系统毒性反应偶可发生，表现为精神错乱、定向力障碍、幻觉、欣快感或抑郁感。</w:t>
      </w:r>
    </w:p>
    <w:p>
      <w:pPr>
        <w:pStyle w:val="Heading4"/>
        <w:spacing w:line="299" w:lineRule="exact"/>
        <w:ind w:left="717"/>
      </w:pPr>
      <w:r>
        <w:rPr/>
        <w:t>喹诺酮类药品的不良反应</w:t>
      </w:r>
    </w:p>
    <w:p>
      <w:pPr>
        <w:pStyle w:val="BodyText"/>
        <w:spacing w:line="297" w:lineRule="auto" w:before="71"/>
        <w:ind w:right="148" w:firstLine="480"/>
      </w:pPr>
      <w:r>
        <w:rPr>
          <w:spacing w:val="-7"/>
        </w:rPr>
        <w:t>诺氟沙星的不良反应：胃肠道反应较为常见，可表现为腹部不适或疼痛、腹泻、恶心或</w:t>
      </w:r>
      <w:r>
        <w:rPr>
          <w:spacing w:val="-11"/>
        </w:rPr>
        <w:t>呕吐；中枢神经系统反应有头昏、头痛、嗜睡或失眠；过敏反应如皮疹、皮肤瘙痒，偶可发</w:t>
      </w:r>
      <w:r>
        <w:rPr>
          <w:spacing w:val="-20"/>
        </w:rPr>
        <w:t>生渗出性多形红斑及血管神经性水肿，少数患者有光敏反应；偶可发生癫痫发作、精神异常、</w:t>
      </w:r>
      <w:r>
        <w:rPr>
          <w:spacing w:val="-16"/>
        </w:rPr>
        <w:t>烦躁不安、意识障碍、幻觉、震颤，血尿、发热、皮疹等间质性肾炎表现，静脉炎、结晶尿、</w:t>
      </w:r>
      <w:r>
        <w:rPr/>
        <w:t>关节疼痛等。</w:t>
      </w:r>
    </w:p>
    <w:p>
      <w:pPr>
        <w:pStyle w:val="BodyText"/>
        <w:spacing w:line="297" w:lineRule="auto"/>
        <w:ind w:right="167" w:firstLine="480"/>
      </w:pPr>
      <w:r>
        <w:rPr>
          <w:spacing w:val="-1"/>
        </w:rPr>
        <w:t>左氧氟沙星的不良反应：用药期间可能出现恶心、呕吐、腹部不适、腹泻、食欲缺乏、</w:t>
      </w:r>
      <w:r>
        <w:rPr>
          <w:spacing w:val="-10"/>
        </w:rPr>
        <w:t>腹痛、腹胀等胃肠道症状，失眠、头晕、头痛等神经系统症状以及皮疹、瘙痒等；亦可出现</w:t>
      </w:r>
      <w:r>
        <w:rPr>
          <w:spacing w:val="-11"/>
        </w:rPr>
        <w:t>一过性肝功能异常，如血清氨基转移酶增高、血清总胆红素增加等；偶见血中尿素氮升高、</w:t>
      </w:r>
      <w:r>
        <w:rPr/>
        <w:t>倦怠、发热、心悸、味觉异常等。</w:t>
      </w:r>
    </w:p>
    <w:p>
      <w:pPr>
        <w:pStyle w:val="Heading4"/>
        <w:spacing w:line="304" w:lineRule="exact"/>
        <w:ind w:left="717"/>
      </w:pPr>
      <w:r>
        <w:rPr/>
        <w:t>硝基呋喃类药品的不良反应</w:t>
      </w:r>
    </w:p>
    <w:p>
      <w:pPr>
        <w:pStyle w:val="BodyText"/>
        <w:tabs>
          <w:tab w:pos="940" w:val="left" w:leader="none"/>
        </w:tabs>
        <w:spacing w:line="297" w:lineRule="auto" w:before="65"/>
        <w:ind w:right="165" w:firstLine="480"/>
      </w:pPr>
      <w:r>
        <w:rPr/>
        <w:t>此类药品的不良反应：恶心、呕吐、纳差和腹泻等胃肠道反应较常见；皮疹、药物热</w:t>
      </w:r>
      <w:r>
        <w:rPr>
          <w:spacing w:val="-16"/>
        </w:rPr>
        <w:t>、</w:t>
      </w:r>
      <w:r>
        <w:rPr/>
        <w:t>粒细胞减少、肝炎等变态反应亦可发生，有葡萄糖-6-磷酸脱氢酶缺乏者可能发生溶血性贫血；</w:t>
        <w:tab/>
        <w:t>头痛</w:t>
      </w:r>
      <w:r>
        <w:rPr>
          <w:spacing w:val="-17"/>
        </w:rPr>
        <w:t>、</w:t>
      </w:r>
      <w:r>
        <w:rPr/>
        <w:t>头昏</w:t>
      </w:r>
      <w:r>
        <w:rPr>
          <w:spacing w:val="-17"/>
        </w:rPr>
        <w:t>、</w:t>
      </w:r>
      <w:r>
        <w:rPr/>
        <w:t>嗜睡</w:t>
      </w:r>
      <w:r>
        <w:rPr>
          <w:spacing w:val="-17"/>
        </w:rPr>
        <w:t>、</w:t>
      </w:r>
      <w:r>
        <w:rPr/>
        <w:t>肌痛</w:t>
      </w:r>
      <w:r>
        <w:rPr>
          <w:spacing w:val="-17"/>
        </w:rPr>
        <w:t>、</w:t>
      </w:r>
      <w:r>
        <w:rPr/>
        <w:t>眼球震颤等神经系统不良反应偶可发生</w:t>
      </w:r>
      <w:r>
        <w:rPr>
          <w:spacing w:val="-17"/>
        </w:rPr>
        <w:t>，</w:t>
      </w:r>
      <w:r>
        <w:rPr/>
        <w:t>严重者可发生周围神经炎，原有肾功能减退或长期服用本品的病人易于发生；连续服用</w:t>
      </w:r>
      <w:r>
        <w:rPr>
          <w:spacing w:val="-60"/>
        </w:rPr>
        <w:t> </w:t>
      </w:r>
      <w:r>
        <w:rPr/>
        <w:t>6</w:t>
      </w:r>
      <w:r>
        <w:rPr>
          <w:spacing w:val="-60"/>
        </w:rPr>
        <w:t> </w:t>
      </w:r>
      <w:r>
        <w:rPr/>
        <w:t>个月以上的患者</w:t>
      </w:r>
      <w:r>
        <w:rPr>
          <w:spacing w:val="-16"/>
        </w:rPr>
        <w:t>， </w:t>
      </w:r>
      <w:r>
        <w:rPr/>
        <w:t>偶可引起间质性肺炎或肺纤维化，应及早停药并采取相应治疗措施。</w:t>
      </w:r>
    </w:p>
    <w:p>
      <w:pPr>
        <w:pStyle w:val="Heading4"/>
        <w:spacing w:line="302" w:lineRule="exact"/>
        <w:ind w:left="717"/>
      </w:pPr>
      <w:r>
        <w:rPr/>
        <w:t>抗结核病药的不良反应</w:t>
      </w:r>
    </w:p>
    <w:p>
      <w:pPr>
        <w:pStyle w:val="BodyText"/>
        <w:spacing w:line="297" w:lineRule="auto" w:before="72"/>
        <w:ind w:right="275" w:firstLine="480"/>
        <w:jc w:val="both"/>
      </w:pPr>
      <w:r>
        <w:rPr>
          <w:spacing w:val="-5"/>
        </w:rPr>
        <w:t>异烟肼的不良反应：步态不稳或麻木针刺感、烧灼感或手指疼痛</w:t>
      </w:r>
      <w:r>
        <w:rPr/>
        <w:t>（周围神经炎</w:t>
      </w:r>
      <w:r>
        <w:rPr>
          <w:spacing w:val="-22"/>
        </w:rPr>
        <w:t>）；</w:t>
      </w:r>
      <w:r>
        <w:rPr>
          <w:spacing w:val="-8"/>
        </w:rPr>
        <w:t>深色</w:t>
      </w:r>
      <w:r>
        <w:rPr/>
        <w:t>尿、眼或皮肤黄染（肝毒性，35</w:t>
      </w:r>
      <w:r>
        <w:rPr>
          <w:spacing w:val="-8"/>
        </w:rPr>
        <w:t> 岁以上患者肝毒性发生率增高</w:t>
      </w:r>
      <w:r>
        <w:rPr/>
        <w:t>）；食欲不佳、异常乏力或软弱、恶心或呕吐（肝毒性的前驱症状）。</w:t>
      </w:r>
    </w:p>
    <w:p>
      <w:pPr>
        <w:pStyle w:val="BodyText"/>
        <w:spacing w:line="297" w:lineRule="auto"/>
        <w:ind w:right="266" w:firstLine="480"/>
        <w:jc w:val="both"/>
      </w:pPr>
      <w:r>
        <w:rPr>
          <w:spacing w:val="-7"/>
        </w:rPr>
        <w:t>利福平的不良反应：消化道反应最为多见，口服后可出现厌食、恶心、呕吐、上腹部不</w:t>
      </w:r>
      <w:r>
        <w:rPr>
          <w:spacing w:val="-11"/>
        </w:rPr>
        <w:t>适、腹泻等胃肠道反应；肝毒性为主要不良反应，老年人、酗酒者及营养不良、原有肝病或</w:t>
      </w:r>
      <w:r>
        <w:rPr>
          <w:spacing w:val="-10"/>
        </w:rPr>
        <w:t>其他因素造成肝功能异常者较易发生； 变态反应，大剂量间歇疗法后偶可出现“流感样症</w:t>
      </w:r>
      <w:r>
        <w:rPr>
          <w:spacing w:val="-12"/>
        </w:rPr>
        <w:t>候群”，表现为畏寒、寒战、发热、不适、呼吸困难、头昏、嗜睡及肌肉疼痛等；患者服用</w:t>
      </w:r>
    </w:p>
    <w:p>
      <w:pPr>
        <w:spacing w:after="0" w:line="297" w:lineRule="auto"/>
        <w:jc w:val="both"/>
        <w:sectPr>
          <w:pgSz w:w="11910" w:h="16850"/>
          <w:pgMar w:header="906" w:footer="607" w:top="1100" w:bottom="800" w:left="1040" w:right="860"/>
        </w:sectPr>
      </w:pPr>
    </w:p>
    <w:p>
      <w:pPr>
        <w:pStyle w:val="BodyText"/>
        <w:spacing w:line="295" w:lineRule="auto" w:before="65"/>
        <w:ind w:right="167"/>
      </w:pPr>
      <w:r>
        <w:rPr/>
        <w:t>本品后，大小便、唾液、痰液、泪液等可呈橘红色，偶见白细胞减少、凝血酶原时间缩短、头痛、眩晕、视力障碍等。</w:t>
      </w:r>
    </w:p>
    <w:p>
      <w:pPr>
        <w:pStyle w:val="Heading4"/>
        <w:spacing w:before="2"/>
        <w:ind w:left="717"/>
      </w:pPr>
      <w:r>
        <w:rPr/>
        <w:t>抗真菌药的不良反应</w:t>
      </w:r>
    </w:p>
    <w:p>
      <w:pPr>
        <w:pStyle w:val="BodyText"/>
        <w:tabs>
          <w:tab w:pos="7354" w:val="left" w:leader="none"/>
        </w:tabs>
        <w:spacing w:line="297" w:lineRule="auto" w:before="74"/>
        <w:ind w:right="167" w:firstLine="480"/>
      </w:pPr>
      <w:r>
        <w:rPr/>
        <w:t>氟康唑的不良反应：常见消化道反应，表现为恶心、呕吐、腹痛或腹泻等；过敏反应</w:t>
      </w:r>
      <w:r>
        <w:rPr>
          <w:spacing w:val="-18"/>
        </w:rPr>
        <w:t>， </w:t>
      </w:r>
      <w:r>
        <w:rPr/>
        <w:t>可表现为皮疹</w:t>
      </w:r>
      <w:r>
        <w:rPr>
          <w:spacing w:val="-22"/>
        </w:rPr>
        <w:t>，</w:t>
      </w:r>
      <w:r>
        <w:rPr/>
        <w:t>偶可发生严重的剥脱性皮</w:t>
      </w:r>
      <w:r>
        <w:rPr>
          <w:spacing w:val="-22"/>
        </w:rPr>
        <w:t>炎</w:t>
      </w:r>
      <w:r>
        <w:rPr/>
        <w:t>（常伴随肝功能损害</w:t>
      </w:r>
      <w:r>
        <w:rPr>
          <w:spacing w:val="-22"/>
        </w:rPr>
        <w:t>）</w:t>
      </w:r>
      <w:r>
        <w:rPr>
          <w:spacing w:val="-20"/>
        </w:rPr>
        <w:t>、</w:t>
      </w:r>
      <w:r>
        <w:rPr/>
        <w:t>渗出性多形红斑</w:t>
      </w:r>
      <w:r>
        <w:rPr>
          <w:spacing w:val="-22"/>
        </w:rPr>
        <w:t>；</w:t>
      </w:r>
      <w:r>
        <w:rPr/>
        <w:t>肝毒性</w:t>
      </w:r>
      <w:r>
        <w:rPr>
          <w:spacing w:val="-34"/>
        </w:rPr>
        <w:t>，</w:t>
      </w:r>
      <w:r>
        <w:rPr/>
        <w:t>治疗过程中可发生轻度一过性血清氨基转移酶升高</w:t>
      </w:r>
      <w:r>
        <w:rPr>
          <w:spacing w:val="-34"/>
        </w:rPr>
        <w:t>，</w:t>
      </w:r>
      <w:r>
        <w:rPr/>
        <w:t>偶可出现肝毒性症状</w:t>
      </w:r>
      <w:r>
        <w:rPr>
          <w:spacing w:val="-34"/>
        </w:rPr>
        <w:t>，</w:t>
      </w:r>
      <w:r>
        <w:rPr/>
        <w:t>尤其易发生于有严重基础疾</w:t>
      </w:r>
      <w:r>
        <w:rPr>
          <w:spacing w:val="-17"/>
        </w:rPr>
        <w:t>病</w:t>
      </w:r>
      <w:r>
        <w:rPr/>
        <w:t>（如艾滋病和癌症</w:t>
      </w:r>
      <w:r>
        <w:rPr>
          <w:spacing w:val="-17"/>
        </w:rPr>
        <w:t>）</w:t>
      </w:r>
      <w:r>
        <w:rPr/>
        <w:t>的患者</w:t>
      </w:r>
      <w:r>
        <w:rPr>
          <w:spacing w:val="-17"/>
        </w:rPr>
        <w:t>，</w:t>
      </w:r>
      <w:r>
        <w:rPr/>
        <w:t>可见头晕</w:t>
      </w:r>
      <w:r>
        <w:rPr>
          <w:spacing w:val="-17"/>
        </w:rPr>
        <w:t>、</w:t>
      </w:r>
      <w:r>
        <w:rPr/>
        <w:t>头痛；</w:t>
        <w:tab/>
        <w:t>肾损害</w:t>
      </w:r>
      <w:r>
        <w:rPr>
          <w:spacing w:val="-17"/>
        </w:rPr>
        <w:t>，</w:t>
      </w:r>
      <w:r>
        <w:rPr/>
        <w:t>尤其有严重基础疾病（如艾滋病和癌症）的患者，可出现肾功能异常。</w:t>
      </w:r>
    </w:p>
    <w:p>
      <w:pPr>
        <w:pStyle w:val="BodyText"/>
        <w:spacing w:line="297" w:lineRule="auto"/>
        <w:ind w:right="270" w:firstLine="480"/>
      </w:pPr>
      <w:r>
        <w:rPr>
          <w:spacing w:val="-9"/>
        </w:rPr>
        <w:t>制霉菌素的不良反应：口服较大剂量时可发生腹泻、恶心、呕吐和上腹疼痛等消化道反</w:t>
      </w:r>
      <w:r>
        <w:rPr/>
        <w:t>应，减量或停药后迅速消失。</w:t>
      </w:r>
    </w:p>
    <w:p>
      <w:pPr>
        <w:pStyle w:val="Heading4"/>
        <w:spacing w:line="306" w:lineRule="exact"/>
        <w:ind w:left="717"/>
      </w:pPr>
      <w:r>
        <w:rPr/>
        <w:t>抗病毒药的不良反应</w:t>
      </w:r>
    </w:p>
    <w:p>
      <w:pPr>
        <w:pStyle w:val="BodyText"/>
        <w:spacing w:line="297" w:lineRule="auto" w:before="64"/>
        <w:ind w:right="267" w:firstLine="480"/>
        <w:jc w:val="both"/>
      </w:pPr>
      <w:r>
        <w:rPr>
          <w:spacing w:val="-10"/>
        </w:rPr>
        <w:t>阿昔洛韦的不良反应：偶有头晕、头痛、关节痛、恶心、呕吐、腹泻、胃部不适、食欲</w:t>
      </w:r>
      <w:r>
        <w:rPr>
          <w:spacing w:val="-11"/>
        </w:rPr>
        <w:t>减退、口渴、白细胞下降、蛋白尿及尿素氮轻度升高、皮肤瘙痒等，长程给药偶见痤疮、失</w:t>
      </w:r>
      <w:r>
        <w:rPr/>
        <w:t>眠、月经紊乱。</w:t>
      </w:r>
    </w:p>
    <w:p>
      <w:pPr>
        <w:pStyle w:val="BodyText"/>
        <w:spacing w:line="297" w:lineRule="auto"/>
        <w:ind w:right="167" w:firstLine="480"/>
      </w:pPr>
      <w:r>
        <w:rPr>
          <w:spacing w:val="-7"/>
        </w:rPr>
        <w:t>利巴韦林的不良反应：大剂量长期使用可引起白细胞减少、贫血、血清转氨酶和胆红素</w:t>
      </w:r>
      <w:r>
        <w:rPr>
          <w:spacing w:val="-8"/>
        </w:rPr>
        <w:t>升高；患儿肌内或静脉注射该药可出现过敏反应，表现为红色丘疹、荨麻疹、支气管哮喘、</w:t>
      </w:r>
      <w:r>
        <w:rPr>
          <w:spacing w:val="-9"/>
        </w:rPr>
        <w:t>输液反应等；动物实验表明，该药还可致畸，故孕妇，尤其是妇女妊娠早期禁用；较少见的不良反应有疲倦、头痛、失眠，以及食欲减退、恶心等；吸入用药时偶见皮疹。</w:t>
      </w:r>
    </w:p>
    <w:p>
      <w:pPr>
        <w:pStyle w:val="BodyText"/>
        <w:spacing w:before="6"/>
        <w:ind w:left="0"/>
        <w:rPr>
          <w:sz w:val="17"/>
        </w:rPr>
      </w:pPr>
    </w:p>
    <w:p>
      <w:pPr>
        <w:pStyle w:val="Heading2"/>
        <w:spacing w:before="1"/>
        <w:ind w:left="2094"/>
      </w:pPr>
      <w:bookmarkStart w:name="_TOC_250018" w:id="29"/>
      <w:bookmarkEnd w:id="29"/>
      <w:r>
        <w:rPr/>
        <w:t>常用药物的不良反应——心血管系统用药</w:t>
      </w:r>
    </w:p>
    <w:p>
      <w:pPr>
        <w:pStyle w:val="Heading4"/>
        <w:spacing w:before="145"/>
        <w:ind w:left="0" w:right="270"/>
        <w:jc w:val="right"/>
        <w:rPr>
          <w:rFonts w:ascii="楷体" w:eastAsia="楷体" w:hint="eastAsia"/>
        </w:rPr>
      </w:pPr>
      <w:r>
        <w:rPr>
          <w:rFonts w:ascii="楷体" w:eastAsia="楷体" w:hint="eastAsia"/>
          <w:color w:val="FF0000"/>
          <w:w w:val="95"/>
        </w:rPr>
        <w:t>（来源：中国医药报）</w:t>
      </w:r>
    </w:p>
    <w:p>
      <w:pPr>
        <w:spacing w:before="96"/>
        <w:ind w:left="719" w:right="0" w:firstLine="0"/>
        <w:jc w:val="left"/>
        <w:rPr>
          <w:b/>
          <w:sz w:val="24"/>
        </w:rPr>
      </w:pPr>
      <w:r>
        <w:rPr>
          <w:b/>
          <w:sz w:val="24"/>
        </w:rPr>
        <w:t>抗心绞痛药的不良反应</w:t>
      </w:r>
    </w:p>
    <w:p>
      <w:pPr>
        <w:pStyle w:val="BodyText"/>
        <w:spacing w:line="297" w:lineRule="auto" w:before="74"/>
        <w:ind w:right="267" w:firstLine="480"/>
        <w:jc w:val="both"/>
      </w:pPr>
      <w:r>
        <w:rPr>
          <w:spacing w:val="-7"/>
        </w:rPr>
        <w:t>硝酸甘油的不良反应：头痛，可于用药后立即发生，可为剧痛和呈持续性；偶可发生眩</w:t>
      </w:r>
      <w:r>
        <w:rPr>
          <w:spacing w:val="-11"/>
        </w:rPr>
        <w:t>晕、虚弱、心悸和其他体位性低血压的表现，尤其在直立、制动的患者；治疗剂量可发生明</w:t>
      </w:r>
      <w:r>
        <w:rPr>
          <w:spacing w:val="-14"/>
        </w:rPr>
        <w:t>显的低血压反应，表现为恶心、呕吐、虚弱、出汗、苍白和虚脱；晕厥、面红、药疹和剥脱</w:t>
      </w:r>
      <w:r>
        <w:rPr/>
        <w:t>性皮炎均有报告。</w:t>
      </w:r>
    </w:p>
    <w:p>
      <w:pPr>
        <w:pStyle w:val="BodyText"/>
        <w:spacing w:line="297" w:lineRule="auto"/>
        <w:ind w:right="147" w:firstLine="480"/>
      </w:pPr>
      <w:r>
        <w:rPr>
          <w:spacing w:val="-13"/>
        </w:rPr>
        <w:t>硝苯地平的不良反应：常见服药后出现外周水肿，头晕、头痛、恶心、乏力和面部潮红； </w:t>
      </w:r>
      <w:r>
        <w:rPr>
          <w:spacing w:val="-17"/>
        </w:rPr>
        <w:t>可出现一过性低血压，多不需要停药；个别患者发生心绞痛，还可见心悸、鼻塞、胸闷、气</w:t>
      </w:r>
      <w:r>
        <w:rPr>
          <w:spacing w:val="-12"/>
        </w:rPr>
        <w:t>短、便秘、腹泻、胃肠痉挛、腹胀、骨骼肌发炎、关节僵硬、肌肉痉挛、精神紧张、视力模</w:t>
      </w:r>
      <w:r>
        <w:rPr>
          <w:spacing w:val="-17"/>
        </w:rPr>
        <w:t>糊等；少见贫血、白细胞减少、血小板减少、紫癜、过敏性肝炎、齿龈增生、抑郁、偏执等； </w:t>
      </w:r>
      <w:r>
        <w:rPr/>
        <w:t>可能产生的严重不良反应有心肌梗死、充血性心力衰竭、肺水肿、心律失常和传导阻滞等； 对本品过敏者可出现过敏性肝炎、皮疹，甚至剥脱性皮炎等。</w:t>
      </w:r>
    </w:p>
    <w:p>
      <w:pPr>
        <w:pStyle w:val="Heading4"/>
        <w:spacing w:line="300" w:lineRule="exact"/>
      </w:pPr>
      <w:r>
        <w:rPr/>
        <w:t>抗心律失常药的不良反应</w:t>
      </w:r>
    </w:p>
    <w:p>
      <w:pPr>
        <w:pStyle w:val="BodyText"/>
        <w:spacing w:line="297" w:lineRule="auto" w:before="66"/>
        <w:ind w:right="167" w:firstLine="480"/>
      </w:pPr>
      <w:r>
        <w:rPr>
          <w:spacing w:val="-7"/>
        </w:rPr>
        <w:t>普罗帕酮的不良反应：不良反应较少，主要为口干，舌唇麻木，可能是由于其局部麻醉</w:t>
      </w:r>
      <w:r>
        <w:rPr>
          <w:spacing w:val="-12"/>
        </w:rPr>
        <w:t>作用所致，早期的不良反应还有头痛、头晕，其后可出现胃肠道障碍，如恶心、呕吐、便秘</w:t>
      </w:r>
      <w:r>
        <w:rPr>
          <w:spacing w:val="-13"/>
        </w:rPr>
        <w:t>等，也有出现房室阻断症状；有少数患者出现口干、头痛、眩晕、胃肠道不适等轻微反应， </w:t>
      </w:r>
      <w:r>
        <w:rPr/>
        <w:t>一般都在停药后或减量后症状消失。</w:t>
      </w:r>
    </w:p>
    <w:p>
      <w:pPr>
        <w:spacing w:after="0" w:line="297" w:lineRule="auto"/>
        <w:sectPr>
          <w:pgSz w:w="11910" w:h="16850"/>
          <w:pgMar w:header="906" w:footer="607" w:top="1100" w:bottom="800" w:left="1040" w:right="860"/>
        </w:sectPr>
      </w:pPr>
    </w:p>
    <w:p>
      <w:pPr>
        <w:pStyle w:val="BodyText"/>
        <w:spacing w:line="295" w:lineRule="auto" w:before="65"/>
        <w:ind w:right="267" w:firstLine="480"/>
        <w:jc w:val="both"/>
      </w:pPr>
      <w:r>
        <w:rPr>
          <w:spacing w:val="-7"/>
        </w:rPr>
        <w:t>普萘洛尔的不良反应：应用本品可出现眩晕、神志模糊(尤见于老年人)、精神抑郁、反</w:t>
      </w:r>
      <w:r>
        <w:rPr>
          <w:spacing w:val="-12"/>
        </w:rPr>
        <w:t>应迟钝等中枢神经系统不良反应；较少见的有支气管痉挛及呼吸困难、充血性心力衰竭；更</w:t>
      </w:r>
      <w:r>
        <w:rPr/>
        <w:t>少见的有发热和咽痛(粒细胞缺乏)、皮疹(过敏反应)、出血倾向(血小板减小)等。</w:t>
      </w:r>
    </w:p>
    <w:p>
      <w:pPr>
        <w:pStyle w:val="Heading4"/>
        <w:spacing w:before="5"/>
      </w:pPr>
      <w:r>
        <w:rPr/>
        <w:t>抗高血压药的不良反应</w:t>
      </w:r>
    </w:p>
    <w:p>
      <w:pPr>
        <w:pStyle w:val="BodyText"/>
        <w:spacing w:line="297" w:lineRule="auto" w:before="72"/>
        <w:ind w:right="147" w:firstLine="480"/>
      </w:pPr>
      <w:r>
        <w:rPr>
          <w:spacing w:val="-13"/>
        </w:rPr>
        <w:t>卡托普利的不良反应：较常见的有皮疹，可能伴有瘙痒和发热、心悸、心动过速、胸痛、</w:t>
      </w:r>
      <w:r>
        <w:rPr>
          <w:spacing w:val="-19"/>
        </w:rPr>
        <w:t>咳嗽和味觉迟钝等；较少见的有蛋白尿，眩晕、头痛、昏厥，血管性水肿，见于面部及四肢， </w:t>
      </w:r>
      <w:r>
        <w:rPr>
          <w:spacing w:val="-9"/>
        </w:rPr>
        <w:t>也可引起舌、声门或喉血管性水肿，心率快而不齐，面部潮红或苍白；少见的有白细胞与粒细胞减少，有发热、寒战，伴有肾衰者应加强警惕，同服别嘌呤醇可增加此种危险。</w:t>
      </w:r>
    </w:p>
    <w:p>
      <w:pPr>
        <w:pStyle w:val="BodyText"/>
        <w:spacing w:line="297" w:lineRule="auto"/>
        <w:ind w:right="267" w:firstLine="480"/>
        <w:jc w:val="both"/>
      </w:pPr>
      <w:r>
        <w:rPr>
          <w:spacing w:val="-8"/>
        </w:rPr>
        <w:t>尼群地平的不良反应：较少见的有头痛、面部潮红；少见的有头晕、恶心、低血压、足</w:t>
      </w:r>
      <w:r>
        <w:rPr>
          <w:spacing w:val="-10"/>
        </w:rPr>
        <w:t>踝部水肿、心绞痛发作，一过性低血压；对本品过敏者可出现过敏性肝炎、皮疹，甚至剥脱性皮炎等。</w:t>
      </w:r>
    </w:p>
    <w:p>
      <w:pPr>
        <w:pStyle w:val="BodyText"/>
        <w:spacing w:line="297" w:lineRule="auto"/>
        <w:ind w:right="147" w:firstLine="480"/>
      </w:pPr>
      <w:r>
        <w:rPr>
          <w:spacing w:val="-13"/>
        </w:rPr>
        <w:t>吲达帕胺的不良反应：较少见的有腹泻、头痛、食欲减低、失眠、反胃、直立性低血压； </w:t>
      </w:r>
      <w:r>
        <w:rPr/>
        <w:t>少见的有皮疹、瘙痒等过敏反应，低血钠、低血钾、低氯性碱中毒。</w:t>
      </w:r>
    </w:p>
    <w:p>
      <w:pPr>
        <w:pStyle w:val="Heading4"/>
        <w:spacing w:line="306" w:lineRule="exact"/>
      </w:pPr>
      <w:r>
        <w:rPr/>
        <w:t>调脂及抗动脉粥样硬化药的不良反应</w:t>
      </w:r>
    </w:p>
    <w:p>
      <w:pPr>
        <w:pStyle w:val="BodyText"/>
        <w:spacing w:line="297" w:lineRule="auto" w:before="62"/>
        <w:ind w:right="166" w:firstLine="480"/>
      </w:pPr>
      <w:r>
        <w:rPr>
          <w:spacing w:val="-5"/>
        </w:rPr>
        <w:t>辛伐他汀最常见的不良反应为胃肠道不适，其他还有头痛、皮疹、头晕、视觉模糊和味</w:t>
      </w:r>
      <w:r>
        <w:rPr>
          <w:spacing w:val="-6"/>
        </w:rPr>
        <w:t>觉障碍；偶可引起血氨基转移酶可逆性升高，因此需监测肝功能；少见的不良反应有阳痿、</w:t>
      </w:r>
      <w:r>
        <w:rPr>
          <w:spacing w:val="-10"/>
        </w:rPr>
        <w:t>失眠；罕见的不良反应有肌炎、肌痛、横纹肌溶解，表现为肌肉疼痛、乏力、发烧，并伴有</w:t>
      </w:r>
      <w:r>
        <w:rPr>
          <w:spacing w:val="-14"/>
        </w:rPr>
        <w:t>血肌酸磷酸激酶升高、肌红蛋白尿等，横纹肌溶解可导致肾功能衰竭，但较罕见；本品与免疫抑制剂、叶酸衍生物、烟酸、吉非罗齐、红霉素等合用可增加肌病发生的危险。</w:t>
      </w:r>
    </w:p>
    <w:p>
      <w:pPr>
        <w:pStyle w:val="BodyText"/>
        <w:tabs>
          <w:tab w:pos="4797" w:val="left" w:leader="none"/>
        </w:tabs>
        <w:spacing w:line="302" w:lineRule="exact"/>
        <w:ind w:left="717"/>
      </w:pPr>
      <w:r>
        <w:rPr/>
        <w:t>（摘自《药品不良反应监测与监管》</w:t>
        <w:tab/>
        <w:t>中国医药科技出版社出版）</w:t>
      </w:r>
    </w:p>
    <w:p>
      <w:pPr>
        <w:pStyle w:val="BodyText"/>
        <w:ind w:left="0"/>
        <w:rPr>
          <w:sz w:val="25"/>
        </w:rPr>
      </w:pPr>
    </w:p>
    <w:p>
      <w:pPr>
        <w:pStyle w:val="Heading2"/>
        <w:spacing w:before="1"/>
      </w:pPr>
      <w:bookmarkStart w:name="_TOC_250017" w:id="30"/>
      <w:bookmarkEnd w:id="30"/>
      <w:r>
        <w:rPr/>
        <w:t>【科普知识】</w:t>
      </w:r>
    </w:p>
    <w:p>
      <w:pPr>
        <w:pStyle w:val="Heading2"/>
        <w:spacing w:before="286"/>
        <w:ind w:left="1770"/>
      </w:pPr>
      <w:bookmarkStart w:name="_TOC_250016" w:id="31"/>
      <w:bookmarkEnd w:id="31"/>
      <w:r>
        <w:rPr/>
        <w:t>老年 vs 中青年，高血压药物治疗有何不同？</w:t>
      </w:r>
    </w:p>
    <w:p>
      <w:pPr>
        <w:pStyle w:val="Heading4"/>
        <w:spacing w:before="145"/>
        <w:ind w:left="0" w:right="268"/>
        <w:jc w:val="right"/>
        <w:rPr>
          <w:rFonts w:ascii="楷体" w:eastAsia="楷体" w:hint="eastAsia"/>
        </w:rPr>
      </w:pPr>
      <w:r>
        <w:rPr>
          <w:rFonts w:ascii="楷体" w:eastAsia="楷体" w:hint="eastAsia"/>
          <w:color w:val="FF0000"/>
          <w:w w:val="95"/>
        </w:rPr>
        <w:t>（来源：中国医学论坛）</w:t>
      </w:r>
    </w:p>
    <w:p>
      <w:pPr>
        <w:pStyle w:val="BodyText"/>
        <w:spacing w:line="312" w:lineRule="auto" w:before="113"/>
        <w:ind w:right="166" w:firstLine="480"/>
      </w:pPr>
      <w:r>
        <w:rPr>
          <w:spacing w:val="-1"/>
        </w:rPr>
        <w:t>高血压是最常见的慢性病，也是心脑血管病最主要的危险因素，其脑卒中、心肌梗死、</w:t>
      </w:r>
      <w:r>
        <w:rPr>
          <w:spacing w:val="-6"/>
        </w:rPr>
        <w:t>心力衰竭以及慢性肾脏病等主要并发症，不仅致残、致死率高，而且严重消耗医疗和社会资</w:t>
      </w:r>
      <w:r>
        <w:rPr>
          <w:spacing w:val="-8"/>
        </w:rPr>
        <w:t>源，给家庭和国家造成沉重负担。目前，我国已经进入人口老龄化社会，至 </w:t>
      </w:r>
      <w:r>
        <w:rPr/>
        <w:t>2017</w:t>
      </w:r>
      <w:r>
        <w:rPr>
          <w:spacing w:val="-12"/>
        </w:rPr>
        <w:t> 年，我国</w:t>
      </w:r>
    </w:p>
    <w:p>
      <w:pPr>
        <w:pStyle w:val="BodyText"/>
        <w:spacing w:before="1"/>
      </w:pPr>
      <w:r>
        <w:rPr/>
        <w:t>≥65 周岁的人口占总人口的 11.4%。</w:t>
      </w:r>
    </w:p>
    <w:p>
      <w:pPr>
        <w:pStyle w:val="BodyText"/>
        <w:spacing w:line="312" w:lineRule="auto" w:before="90"/>
        <w:ind w:right="272" w:firstLine="480"/>
      </w:pPr>
      <w:r>
        <w:rPr>
          <w:spacing w:val="-8"/>
        </w:rPr>
        <w:t>与中青年高血压相比，老年高血压的发病机制、临床表现等具有特殊性。因此，老年高</w:t>
      </w:r>
      <w:r>
        <w:rPr/>
        <w:t>血压的预防、诊断、评估和治疗策略与中青年患者不同。</w:t>
      </w:r>
    </w:p>
    <w:p>
      <w:pPr>
        <w:pStyle w:val="BodyText"/>
        <w:spacing w:line="312" w:lineRule="auto" w:before="3"/>
        <w:ind w:right="148" w:firstLine="480"/>
      </w:pPr>
      <w:r>
        <w:rPr>
          <w:spacing w:val="-1"/>
        </w:rPr>
        <w:t>以老年高血压患者为关注对象，</w:t>
      </w:r>
      <w:r>
        <w:rPr>
          <w:spacing w:val="-6"/>
        </w:rPr>
        <w:t>2019</w:t>
      </w:r>
      <w:r>
        <w:rPr>
          <w:spacing w:val="-40"/>
        </w:rPr>
        <w:t> 年 </w:t>
      </w:r>
      <w:r>
        <w:rPr/>
        <w:t>2</w:t>
      </w:r>
      <w:r>
        <w:rPr>
          <w:spacing w:val="-15"/>
        </w:rPr>
        <w:t> 月，《中国老年高血压管理指南 </w:t>
      </w:r>
      <w:r>
        <w:rPr/>
        <w:t>2019</w:t>
      </w:r>
      <w:r>
        <w:rPr>
          <w:spacing w:val="-12"/>
        </w:rPr>
        <w:t>》发布， </w:t>
      </w:r>
      <w:r>
        <w:rPr>
          <w:spacing w:val="-7"/>
        </w:rPr>
        <w:t>针对老年人降压目标、特定人群治疗、血压波动、多重用药等方面均作了详细阐述。让我们来看一下，老年高血压的药物治疗与中青年有何不同。</w:t>
      </w:r>
    </w:p>
    <w:p>
      <w:pPr>
        <w:pStyle w:val="Heading4"/>
        <w:spacing w:before="1"/>
      </w:pPr>
      <w:r>
        <w:rPr/>
        <w:t>老年高血压的定义</w:t>
      </w:r>
    </w:p>
    <w:p>
      <w:pPr>
        <w:pStyle w:val="BodyText"/>
        <w:spacing w:before="91"/>
        <w:ind w:left="717"/>
      </w:pPr>
      <w:r>
        <w:rPr/>
        <w:t>年龄≥65 岁，在未使用降压药物的情况下，非同日 3 次测量血压，收缩压(SBP) ≥140</w:t>
      </w:r>
    </w:p>
    <w:p>
      <w:pPr>
        <w:pStyle w:val="BodyText"/>
        <w:spacing w:line="312" w:lineRule="auto" w:before="93"/>
        <w:ind w:right="228"/>
      </w:pPr>
      <w:r>
        <w:rPr/>
        <w:t>mmHg</w:t>
      </w:r>
      <w:r>
        <w:rPr>
          <w:spacing w:val="-9"/>
        </w:rPr>
        <w:t> 和(或)舒张压</w:t>
      </w:r>
      <w:r>
        <w:rPr/>
        <w:t>(DBP) ≥90 mmHg，</w:t>
      </w:r>
      <w:r>
        <w:rPr>
          <w:spacing w:val="-1"/>
        </w:rPr>
        <w:t>可诊断为老年高血压。曾明确诊断高血压且正在接受</w:t>
      </w:r>
      <w:r>
        <w:rPr/>
        <w:t>降压药物治疗的老年人，虽然血压＜140/90 mmHg，也应诊断为老年高血压。</w:t>
      </w:r>
    </w:p>
    <w:p>
      <w:pPr>
        <w:spacing w:after="0" w:line="312" w:lineRule="auto"/>
        <w:sectPr>
          <w:pgSz w:w="11910" w:h="16850"/>
          <w:pgMar w:header="906" w:footer="607" w:top="1100" w:bottom="800" w:left="1040" w:right="860"/>
        </w:sectPr>
      </w:pPr>
    </w:p>
    <w:p>
      <w:pPr>
        <w:pStyle w:val="Heading4"/>
        <w:spacing w:before="79"/>
      </w:pPr>
      <w:r>
        <w:rPr/>
        <w:t>药物治疗</w:t>
      </w:r>
    </w:p>
    <w:p>
      <w:pPr>
        <w:pStyle w:val="BodyText"/>
        <w:spacing w:line="312" w:lineRule="auto" w:before="91"/>
        <w:ind w:right="285" w:firstLine="480"/>
      </w:pPr>
      <w:r>
        <w:rPr/>
        <w:t>常用降压药物包括：钙通道阻滞剂（CCB），血管紧张素转换酶抑制剂（ACEI），血管紧张素受体阻滞剂（ARB），利尿剂，</w:t>
      </w:r>
      <w:r>
        <w:rPr>
          <w:rFonts w:ascii="Arial" w:hAnsi="Arial" w:eastAsia="Arial"/>
        </w:rPr>
        <w:t>β </w:t>
      </w:r>
      <w:r>
        <w:rPr/>
        <w:t>受体阻滞剂。</w:t>
      </w:r>
    </w:p>
    <w:p>
      <w:pPr>
        <w:pStyle w:val="BodyText"/>
        <w:spacing w:before="2"/>
        <w:ind w:left="717"/>
      </w:pPr>
      <w:r>
        <w:rPr/>
        <w:t>初始用药或长期维持用药：CCB，ACEI，ARB，利尿剂及单片固定复方制剂。</w:t>
      </w:r>
    </w:p>
    <w:p>
      <w:pPr>
        <w:pStyle w:val="BodyText"/>
        <w:spacing w:line="312" w:lineRule="auto" w:before="91"/>
        <w:ind w:right="267" w:firstLine="480"/>
        <w:jc w:val="both"/>
      </w:pPr>
      <w:r>
        <w:rPr>
          <w:rFonts w:ascii="Arial" w:hAnsi="Arial" w:eastAsia="Arial"/>
        </w:rPr>
        <w:t>β </w:t>
      </w:r>
      <w:r>
        <w:rPr>
          <w:spacing w:val="-6"/>
        </w:rPr>
        <w:t>受体阻滞剂主要通过抑制过度激活的交感神经活性、抑制心肌收缩力、减慢心率发挥</w:t>
      </w:r>
      <w:r>
        <w:rPr>
          <w:spacing w:val="-4"/>
        </w:rPr>
        <w:t>降压作用。与《中国高血压防治指南 </w:t>
      </w:r>
      <w:r>
        <w:rPr/>
        <w:t>2010</w:t>
      </w:r>
      <w:r>
        <w:rPr>
          <w:spacing w:val="-4"/>
        </w:rPr>
        <w:t>》不同，《中国老年高血压管理指南 </w:t>
      </w:r>
      <w:r>
        <w:rPr/>
        <w:t>2019》并未推荐</w:t>
      </w:r>
      <w:r>
        <w:rPr>
          <w:rFonts w:ascii="Arial" w:hAnsi="Arial" w:eastAsia="Arial"/>
        </w:rPr>
        <w:t>β </w:t>
      </w:r>
      <w:r>
        <w:rPr/>
        <w:t>受体阻滞剂作为老年高血压患者的初始用药或长期维持用药。</w:t>
      </w:r>
    </w:p>
    <w:p>
      <w:pPr>
        <w:pStyle w:val="BodyText"/>
        <w:spacing w:line="312" w:lineRule="auto" w:before="1"/>
        <w:ind w:right="147" w:firstLine="480"/>
        <w:jc w:val="both"/>
      </w:pPr>
      <w:r>
        <w:rPr>
          <w:spacing w:val="-9"/>
        </w:rPr>
        <w:t>首先，老年高血压的特点与中青年高血压不同。随年龄增长，大动脉弹性下降，动脉僵</w:t>
      </w:r>
      <w:r>
        <w:rPr>
          <w:spacing w:val="-12"/>
        </w:rPr>
        <w:t>硬度增加；压力感受器反射敏感性和 </w:t>
      </w:r>
      <w:r>
        <w:rPr>
          <w:rFonts w:ascii="Arial" w:hAnsi="Arial" w:eastAsia="Arial"/>
        </w:rPr>
        <w:t>β </w:t>
      </w:r>
      <w:r>
        <w:rPr/>
        <w:t>肾上腺素能系统反应性降低；肾脏维持离子平衡能力下降。老年人血压神经-体液调节能力下降，表现为容量负荷增多和血管外周阻力增加。</w:t>
      </w:r>
      <w:r>
        <w:rPr>
          <w:spacing w:val="-11"/>
        </w:rPr>
        <w:t>而心理压力、不良的生活方式等因素导致的交感神经系统过度激活是造成中青年高血压的重</w:t>
      </w:r>
      <w:r>
        <w:rPr>
          <w:spacing w:val="-18"/>
        </w:rPr>
        <w:t>要机制。老年高血压患者常见收缩压升高和脉压增大；而中青年高血压多以舒张压升高为主。</w:t>
      </w:r>
    </w:p>
    <w:p>
      <w:pPr>
        <w:pStyle w:val="BodyText"/>
        <w:spacing w:line="312" w:lineRule="auto" w:before="3"/>
        <w:ind w:right="285" w:firstLine="480"/>
        <w:jc w:val="both"/>
      </w:pPr>
      <w:r>
        <w:rPr/>
        <w:t>其次，由于与其他降压药物的比较研究中，对于降低卒中事件发生率，</w:t>
      </w:r>
      <w:r>
        <w:rPr>
          <w:rFonts w:ascii="Arial" w:hAnsi="Arial" w:eastAsia="Arial"/>
        </w:rPr>
        <w:t>β </w:t>
      </w:r>
      <w:r>
        <w:rPr/>
        <w:t>受体阻滞剂并未显示出优势，故不建议老年单纯收缩期高血压患者和卒中患者首选 </w:t>
      </w:r>
      <w:r>
        <w:rPr>
          <w:rFonts w:ascii="Arial" w:hAnsi="Arial" w:eastAsia="Arial"/>
        </w:rPr>
        <w:t>β </w:t>
      </w:r>
      <w:r>
        <w:rPr/>
        <w:t>受体阻滞剂，除非有强适应症。而既往研究显示，</w:t>
      </w:r>
      <w:r>
        <w:rPr>
          <w:rFonts w:ascii="Arial" w:hAnsi="Arial" w:eastAsia="Arial"/>
        </w:rPr>
        <w:t>β </w:t>
      </w:r>
      <w:r>
        <w:rPr/>
        <w:t>受体阻滞剂在＜60 岁高血压患者中的疗效优于老年患者，它能有效控制舒张压，降低心肌耗氧，并改善主动脉弹性。各国指南均推荐 </w:t>
      </w:r>
      <w:r>
        <w:rPr>
          <w:rFonts w:ascii="Arial" w:hAnsi="Arial" w:eastAsia="Arial"/>
        </w:rPr>
        <w:t>β </w:t>
      </w:r>
      <w:r>
        <w:rPr/>
        <w:t>受体阻滞剂作为中青年高血压患者的优选用药。</w:t>
      </w:r>
    </w:p>
    <w:p>
      <w:pPr>
        <w:pStyle w:val="BodyText"/>
        <w:spacing w:line="312" w:lineRule="auto" w:before="1"/>
        <w:ind w:right="167" w:firstLine="480"/>
      </w:pPr>
      <w:r>
        <w:rPr>
          <w:rFonts w:ascii="Arial" w:hAnsi="Arial" w:eastAsia="Arial"/>
        </w:rPr>
        <w:t>β </w:t>
      </w:r>
      <w:r>
        <w:rPr/>
        <w:t>受体阻滞剂能降低心肌耗氧，延长心脏舒张期而增加冠状动脉及其侧支的血供和灌注</w:t>
      </w:r>
      <w:r>
        <w:rPr>
          <w:spacing w:val="-11"/>
        </w:rPr>
        <w:t>，缩小梗死范围，减少致命性心律失常，还能延缓或逆转心肌重构，在冠心病、心力衰竭等</w:t>
      </w:r>
      <w:r>
        <w:rPr>
          <w:spacing w:val="-13"/>
        </w:rPr>
        <w:t>治疗中发挥极其重要的作用。因此，《中国老年高血压管理指南 </w:t>
      </w:r>
      <w:r>
        <w:rPr/>
        <w:t>2019》也指出，在伴有既往心肌梗死、心绞痛、心力衰竭、主动脉瘤、房颤（预防，心室率控制）</w:t>
      </w:r>
      <w:r>
        <w:rPr>
          <w:spacing w:val="-3"/>
        </w:rPr>
        <w:t>等特定情况下，</w:t>
      </w:r>
    </w:p>
    <w:p>
      <w:pPr>
        <w:spacing w:line="312" w:lineRule="auto" w:before="2"/>
        <w:ind w:left="719" w:right="6407" w:hanging="483"/>
        <w:jc w:val="left"/>
        <w:rPr>
          <w:b/>
          <w:sz w:val="24"/>
        </w:rPr>
      </w:pPr>
      <w:r>
        <w:rPr>
          <w:rFonts w:ascii="Arial" w:hAnsi="Arial" w:eastAsia="Arial"/>
          <w:sz w:val="24"/>
        </w:rPr>
        <w:t>β </w:t>
      </w:r>
      <w:r>
        <w:rPr>
          <w:sz w:val="24"/>
        </w:rPr>
        <w:t>受体阻滞剂仍旧是首选药物。</w:t>
      </w:r>
      <w:r>
        <w:rPr>
          <w:b/>
          <w:sz w:val="24"/>
        </w:rPr>
        <w:t>高血压合并冠心病</w:t>
      </w:r>
    </w:p>
    <w:p>
      <w:pPr>
        <w:pStyle w:val="BodyText"/>
        <w:spacing w:line="307" w:lineRule="exact"/>
        <w:ind w:left="717"/>
      </w:pPr>
      <w:r>
        <w:rPr/>
        <w:t>对于伴稳定型心绞痛和（或）既往心肌梗死病史者，初始降压治疗首选</w:t>
      </w:r>
      <w:r>
        <w:rPr>
          <w:rFonts w:ascii="Arial" w:hAnsi="Arial" w:eastAsia="Arial"/>
        </w:rPr>
        <w:t>β </w:t>
      </w:r>
      <w:r>
        <w:rPr/>
        <w:t>受体阻滞剂和</w:t>
      </w:r>
    </w:p>
    <w:p>
      <w:pPr>
        <w:pStyle w:val="BodyText"/>
        <w:spacing w:before="94"/>
      </w:pPr>
      <w:r>
        <w:rPr/>
        <w:t>RAS 抑制剂。对于变异型心绞痛者，首选 CCB。</w:t>
      </w:r>
    </w:p>
    <w:p>
      <w:pPr>
        <w:pStyle w:val="BodyText"/>
        <w:spacing w:line="312" w:lineRule="auto" w:before="91"/>
        <w:ind w:right="151" w:firstLine="480"/>
        <w:jc w:val="both"/>
      </w:pPr>
      <w:r>
        <w:rPr>
          <w:spacing w:val="-21"/>
        </w:rPr>
        <w:t>合并 </w:t>
      </w:r>
      <w:r>
        <w:rPr/>
        <w:t>ACS</w:t>
      </w:r>
      <w:r>
        <w:rPr>
          <w:spacing w:val="-12"/>
        </w:rPr>
        <w:t> 者，若无禁忌，起始降压治疗应包括</w:t>
      </w:r>
      <w:r>
        <w:rPr>
          <w:rFonts w:ascii="Arial" w:hAnsi="Arial" w:eastAsia="Arial"/>
        </w:rPr>
        <w:t>β </w:t>
      </w:r>
      <w:r>
        <w:rPr>
          <w:spacing w:val="-9"/>
        </w:rPr>
        <w:t>受体阻滞剂和 </w:t>
      </w:r>
      <w:r>
        <w:rPr/>
        <w:t>RAS</w:t>
      </w:r>
      <w:r>
        <w:rPr>
          <w:spacing w:val="-11"/>
        </w:rPr>
        <w:t> 抑制剂。若存在严重</w:t>
      </w:r>
      <w:r>
        <w:rPr>
          <w:spacing w:val="-13"/>
        </w:rPr>
        <w:t>高血压或持续性心肌缺血，可选择静脉</w:t>
      </w:r>
      <w:r>
        <w:rPr>
          <w:rFonts w:ascii="Arial" w:hAnsi="Arial" w:eastAsia="Arial"/>
        </w:rPr>
        <w:t>β </w:t>
      </w:r>
      <w:r>
        <w:rPr>
          <w:spacing w:val="-7"/>
        </w:rPr>
        <w:t>受体阻滞剂。若血压难以控制或</w:t>
      </w:r>
      <w:r>
        <w:rPr>
          <w:rFonts w:ascii="Arial" w:hAnsi="Arial" w:eastAsia="Arial"/>
        </w:rPr>
        <w:t>β </w:t>
      </w:r>
      <w:r>
        <w:rPr/>
        <w:t>受体阻滞剂存在</w:t>
      </w:r>
      <w:r>
        <w:rPr>
          <w:spacing w:val="-16"/>
        </w:rPr>
        <w:t>禁忌，可选择长效二氢吡啶类 </w:t>
      </w:r>
      <w:r>
        <w:rPr/>
        <w:t>CCB</w:t>
      </w:r>
      <w:r>
        <w:rPr>
          <w:spacing w:val="-19"/>
        </w:rPr>
        <w:t>；伴心力衰竭或肺淤血证据时，不宜给予非二氢吡啶类 </w:t>
      </w:r>
      <w:r>
        <w:rPr/>
        <w:t>CCB</w:t>
      </w:r>
      <w:r>
        <w:rPr>
          <w:spacing w:val="-15"/>
        </w:rPr>
        <w:t>。</w:t>
      </w:r>
    </w:p>
    <w:p>
      <w:pPr>
        <w:pStyle w:val="Heading4"/>
        <w:spacing w:before="1"/>
      </w:pPr>
      <w:r>
        <w:rPr/>
        <w:t>高血压合并心力衰竭</w:t>
      </w:r>
    </w:p>
    <w:p>
      <w:pPr>
        <w:pStyle w:val="BodyText"/>
        <w:spacing w:line="312" w:lineRule="auto" w:before="93"/>
        <w:ind w:right="267" w:firstLine="480"/>
      </w:pPr>
      <w:r>
        <w:rPr>
          <w:spacing w:val="-6"/>
        </w:rPr>
        <w:t>心力衰竭是高血压较为常见的并存临床疾病。无论射血分数如何，合理控制血压有助于</w:t>
      </w:r>
      <w:r>
        <w:rPr/>
        <w:t>缓解心力衰竭症状、延缓心功能进一步恶化。</w:t>
      </w:r>
    </w:p>
    <w:p>
      <w:pPr>
        <w:pStyle w:val="BodyText"/>
        <w:spacing w:line="312" w:lineRule="auto"/>
        <w:ind w:right="144" w:firstLine="480"/>
      </w:pPr>
      <w:r>
        <w:rPr>
          <w:spacing w:val="-5"/>
        </w:rPr>
        <w:t>由于老年高血压的特点和中青年高血压不同，因此在降压药物的选择上也有所区别。此</w:t>
      </w:r>
      <w:r>
        <w:rPr>
          <w:spacing w:val="-7"/>
        </w:rPr>
        <w:t>外，在降压药物治疗过程中应遵循以下几项原则：</w:t>
      </w:r>
      <w:r>
        <w:rPr>
          <w:spacing w:val="-12"/>
        </w:rPr>
        <w:t>1</w:t>
      </w:r>
      <w:r>
        <w:rPr>
          <w:spacing w:val="-8"/>
        </w:rPr>
        <w:t>、小剂量；</w:t>
      </w:r>
      <w:r>
        <w:rPr>
          <w:spacing w:val="-12"/>
        </w:rPr>
        <w:t>2</w:t>
      </w:r>
      <w:r>
        <w:rPr>
          <w:spacing w:val="-11"/>
        </w:rPr>
        <w:t>、长效；</w:t>
      </w:r>
      <w:r>
        <w:rPr>
          <w:spacing w:val="-12"/>
        </w:rPr>
        <w:t>3</w:t>
      </w:r>
      <w:r>
        <w:rPr>
          <w:spacing w:val="-9"/>
        </w:rPr>
        <w:t>、联合；</w:t>
      </w:r>
      <w:r>
        <w:rPr>
          <w:spacing w:val="-12"/>
        </w:rPr>
        <w:t>4</w:t>
      </w:r>
      <w:r>
        <w:rPr>
          <w:spacing w:val="-10"/>
        </w:rPr>
        <w:t>、适度；</w:t>
      </w:r>
    </w:p>
    <w:p>
      <w:pPr>
        <w:pStyle w:val="BodyText"/>
        <w:spacing w:before="2"/>
      </w:pPr>
      <w:r>
        <w:rPr/>
        <w:t>5、个体化。</w:t>
      </w:r>
    </w:p>
    <w:p>
      <w:pPr>
        <w:pStyle w:val="BodyText"/>
        <w:spacing w:line="312" w:lineRule="auto" w:before="91"/>
        <w:ind w:right="279" w:firstLine="480"/>
      </w:pPr>
      <w:r>
        <w:rPr/>
        <w:t>目前，我国老年高血压的控制率仍旧不理想，《中国老年高血压管理指南 2019》紧密结合临床、证据与实践相结合，对我国老年高血压防控具有重要意义。</w:t>
      </w:r>
    </w:p>
    <w:p>
      <w:pPr>
        <w:spacing w:after="0" w:line="312" w:lineRule="auto"/>
        <w:sectPr>
          <w:pgSz w:w="11910" w:h="16850"/>
          <w:pgMar w:header="906" w:footer="607" w:top="1100" w:bottom="800" w:left="1040" w:right="860"/>
        </w:sectPr>
      </w:pPr>
    </w:p>
    <w:p>
      <w:pPr>
        <w:pStyle w:val="Heading2"/>
        <w:spacing w:line="392" w:lineRule="exact"/>
        <w:ind w:left="3057"/>
      </w:pPr>
      <w:bookmarkStart w:name="_TOC_250015" w:id="32"/>
      <w:bookmarkEnd w:id="32"/>
      <w:r>
        <w:rPr/>
        <w:t>肝素那么多，你了解几个？</w:t>
      </w:r>
    </w:p>
    <w:p>
      <w:pPr>
        <w:pStyle w:val="BodyText"/>
        <w:ind w:left="0"/>
        <w:rPr>
          <w:b/>
          <w:sz w:val="43"/>
        </w:rPr>
      </w:pPr>
    </w:p>
    <w:p>
      <w:pPr>
        <w:pStyle w:val="Heading4"/>
      </w:pPr>
      <w:r>
        <w:rPr/>
        <w:t>肝素(包括肝素钠、肝素钙、低分子肝素)、都属于抗凝血药。</w:t>
      </w:r>
    </w:p>
    <w:p>
      <w:pPr>
        <w:pStyle w:val="BodyText"/>
        <w:ind w:left="0"/>
        <w:rPr>
          <w:b/>
        </w:rPr>
      </w:pPr>
      <w:r>
        <w:rPr/>
        <w:br w:type="column"/>
      </w:r>
      <w:r>
        <w:rPr>
          <w:b/>
        </w:rPr>
      </w:r>
    </w:p>
    <w:p>
      <w:pPr>
        <w:pStyle w:val="BodyText"/>
        <w:spacing w:before="2"/>
        <w:ind w:left="0"/>
        <w:rPr>
          <w:b/>
          <w:sz w:val="18"/>
        </w:rPr>
      </w:pPr>
    </w:p>
    <w:p>
      <w:pPr>
        <w:spacing w:before="0"/>
        <w:ind w:left="59" w:right="0" w:firstLine="0"/>
        <w:jc w:val="left"/>
        <w:rPr>
          <w:rFonts w:ascii="楷体" w:eastAsia="楷体" w:hint="eastAsia"/>
          <w:b/>
          <w:sz w:val="24"/>
        </w:rPr>
      </w:pPr>
      <w:r>
        <w:rPr>
          <w:rFonts w:ascii="楷体" w:eastAsia="楷体" w:hint="eastAsia"/>
          <w:b/>
          <w:color w:val="FF0000"/>
          <w:sz w:val="24"/>
        </w:rPr>
        <w:t>（来源：临床药师网）</w:t>
      </w:r>
    </w:p>
    <w:p>
      <w:pPr>
        <w:spacing w:after="0"/>
        <w:jc w:val="left"/>
        <w:rPr>
          <w:rFonts w:ascii="楷体" w:eastAsia="楷体" w:hint="eastAsia"/>
          <w:sz w:val="24"/>
        </w:rPr>
        <w:sectPr>
          <w:pgSz w:w="11910" w:h="16850"/>
          <w:pgMar w:header="906" w:footer="607" w:top="1100" w:bottom="800" w:left="1040" w:right="860"/>
          <w:cols w:num="2" w:equalWidth="0">
            <w:col w:w="7226" w:space="40"/>
            <w:col w:w="2744"/>
          </w:cols>
        </w:sectPr>
      </w:pPr>
    </w:p>
    <w:p>
      <w:pPr>
        <w:pStyle w:val="ListParagraph"/>
        <w:numPr>
          <w:ilvl w:val="0"/>
          <w:numId w:val="7"/>
        </w:numPr>
        <w:tabs>
          <w:tab w:pos="1199" w:val="left" w:leader="none"/>
        </w:tabs>
        <w:spacing w:line="295" w:lineRule="auto" w:before="74" w:after="0"/>
        <w:ind w:left="237" w:right="286" w:firstLine="600"/>
        <w:jc w:val="left"/>
        <w:rPr>
          <w:sz w:val="24"/>
        </w:rPr>
      </w:pPr>
      <w:r>
        <w:rPr>
          <w:sz w:val="24"/>
        </w:rPr>
        <w:t>普通肝素是由猪的肠粘膜或牛肺中提取的一种硫酸 氨基葡聚糖钠（钙）</w:t>
      </w:r>
      <w:r>
        <w:rPr>
          <w:spacing w:val="-5"/>
          <w:sz w:val="24"/>
        </w:rPr>
        <w:t>盐，平均</w:t>
      </w:r>
      <w:r>
        <w:rPr>
          <w:spacing w:val="-11"/>
          <w:sz w:val="24"/>
        </w:rPr>
        <w:t>分子量约为 </w:t>
      </w:r>
      <w:r>
        <w:rPr>
          <w:sz w:val="24"/>
        </w:rPr>
        <w:t>15000</w:t>
      </w:r>
      <w:r>
        <w:rPr>
          <w:spacing w:val="-12"/>
          <w:sz w:val="24"/>
        </w:rPr>
        <w:t> 道尔顿。</w:t>
      </w:r>
    </w:p>
    <w:p>
      <w:pPr>
        <w:pStyle w:val="ListParagraph"/>
        <w:numPr>
          <w:ilvl w:val="0"/>
          <w:numId w:val="7"/>
        </w:numPr>
        <w:tabs>
          <w:tab w:pos="1199" w:val="left" w:leader="none"/>
        </w:tabs>
        <w:spacing w:line="240" w:lineRule="auto" w:before="2" w:after="0"/>
        <w:ind w:left="1198" w:right="0" w:hanging="361"/>
        <w:jc w:val="left"/>
        <w:rPr>
          <w:sz w:val="24"/>
        </w:rPr>
      </w:pPr>
      <w:r>
        <w:rPr>
          <w:sz w:val="24"/>
        </w:rPr>
        <w:t>通常把分子量较小的小分子片断（</w:t>
      </w:r>
      <w:r>
        <w:rPr>
          <w:spacing w:val="-30"/>
          <w:sz w:val="24"/>
        </w:rPr>
        <w:t>约 </w:t>
      </w:r>
      <w:r>
        <w:rPr>
          <w:sz w:val="24"/>
        </w:rPr>
        <w:t>3000-7000</w:t>
      </w:r>
      <w:r>
        <w:rPr>
          <w:spacing w:val="-15"/>
          <w:sz w:val="24"/>
        </w:rPr>
        <w:t> 道尔顿</w:t>
      </w:r>
      <w:r>
        <w:rPr>
          <w:sz w:val="24"/>
        </w:rPr>
        <w:t>）称为低分子肝素。</w:t>
      </w:r>
    </w:p>
    <w:p>
      <w:pPr>
        <w:pStyle w:val="BodyText"/>
        <w:spacing w:line="380" w:lineRule="atLeast" w:before="2"/>
        <w:ind w:right="267" w:firstLine="480"/>
        <w:jc w:val="both"/>
      </w:pPr>
      <w:r>
        <w:rPr>
          <w:spacing w:val="-6"/>
        </w:rPr>
        <w:t>肝素在预防和治疗静脉血栓上取得了良好的效果，但同时也带来了很多不良反应，如出</w:t>
      </w:r>
      <w:r>
        <w:rPr>
          <w:spacing w:val="-10"/>
        </w:rPr>
        <w:t>血、血小板减少症、过敏反应等。低分子肝素与普通肝素比较，其半衰期较长、生物利用度髙、抗血栓效果好、出血不良反应少、一般无需实验室监测。</w:t>
      </w:r>
    </w:p>
    <w:p>
      <w:pPr>
        <w:spacing w:after="0" w:line="380" w:lineRule="atLeast"/>
        <w:jc w:val="both"/>
        <w:sectPr>
          <w:type w:val="continuous"/>
          <w:pgSz w:w="11910" w:h="16850"/>
          <w:pgMar w:top="1100" w:bottom="1020" w:left="1040" w:right="860"/>
        </w:sectPr>
      </w:pPr>
    </w:p>
    <w:p>
      <w:pPr>
        <w:pStyle w:val="BodyText"/>
        <w:spacing w:before="12"/>
        <w:ind w:left="0"/>
        <w:rPr>
          <w:sz w:val="4"/>
        </w:rPr>
      </w:pPr>
    </w:p>
    <w:p>
      <w:pPr>
        <w:pStyle w:val="BodyText"/>
        <w:ind w:left="390" w:right="-72"/>
        <w:rPr>
          <w:sz w:val="20"/>
        </w:rPr>
      </w:pPr>
      <w:r>
        <w:rPr>
          <w:sz w:val="20"/>
        </w:rPr>
        <w:drawing>
          <wp:inline distT="0" distB="0" distL="0" distR="0">
            <wp:extent cx="4383378" cy="5173980"/>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14" cstate="print"/>
                    <a:stretch>
                      <a:fillRect/>
                    </a:stretch>
                  </pic:blipFill>
                  <pic:spPr>
                    <a:xfrm>
                      <a:off x="0" y="0"/>
                      <a:ext cx="4383378" cy="5173980"/>
                    </a:xfrm>
                    <a:prstGeom prst="rect">
                      <a:avLst/>
                    </a:prstGeom>
                  </pic:spPr>
                </pic:pic>
              </a:graphicData>
            </a:graphic>
          </wp:inline>
        </w:drawing>
      </w:r>
      <w:r>
        <w:rPr>
          <w:sz w:val="20"/>
        </w:rPr>
      </w:r>
    </w:p>
    <w:p>
      <w:pPr>
        <w:pStyle w:val="BodyText"/>
        <w:spacing w:before="4"/>
        <w:ind w:left="0"/>
        <w:rPr>
          <w:sz w:val="17"/>
        </w:rPr>
      </w:pPr>
    </w:p>
    <w:p>
      <w:pPr>
        <w:spacing w:line="295" w:lineRule="auto" w:before="0"/>
        <w:ind w:left="719" w:right="785" w:hanging="483"/>
        <w:jc w:val="left"/>
        <w:rPr>
          <w:b/>
          <w:sz w:val="24"/>
        </w:rPr>
      </w:pPr>
      <w:r>
        <w:rPr>
          <w:sz w:val="24"/>
        </w:rPr>
        <w:t>的抗肾素和抗醛固酮的活性，注射时局部刺激比肝素钠轻。</w:t>
      </w:r>
      <w:r>
        <w:rPr>
          <w:b/>
          <w:sz w:val="24"/>
        </w:rPr>
        <w:t>两者区别如下（请叫我说明书的搬运工）：</w:t>
      </w:r>
    </w:p>
    <w:p>
      <w:pPr>
        <w:pStyle w:val="Heading4"/>
        <w:spacing w:line="295" w:lineRule="auto" w:before="73"/>
        <w:ind w:left="142" w:right="389" w:firstLine="480"/>
      </w:pPr>
      <w:r>
        <w:rPr>
          <w:b w:val="0"/>
        </w:rPr>
        <w:br w:type="column"/>
      </w:r>
      <w:r>
        <w:rPr/>
        <w:t>肝素与低分子肝素对比表</w:t>
      </w:r>
    </w:p>
    <w:p>
      <w:pPr>
        <w:pStyle w:val="BodyText"/>
        <w:spacing w:before="12"/>
        <w:ind w:left="0"/>
        <w:rPr>
          <w:b/>
          <w:sz w:val="29"/>
        </w:rPr>
      </w:pPr>
    </w:p>
    <w:p>
      <w:pPr>
        <w:pStyle w:val="BodyText"/>
        <w:ind w:left="623"/>
      </w:pPr>
      <w:r>
        <w:rPr/>
        <w:t>低分子量肝素</w:t>
      </w:r>
    </w:p>
    <w:p>
      <w:pPr>
        <w:pStyle w:val="BodyText"/>
        <w:spacing w:line="297" w:lineRule="auto" w:before="71"/>
        <w:ind w:left="142" w:right="156"/>
      </w:pPr>
      <w:r>
        <w:rPr/>
        <w:t>（LMWH</w:t>
      </w:r>
      <w:r>
        <w:rPr>
          <w:spacing w:val="-113"/>
        </w:rPr>
        <w:t>）</w:t>
      </w:r>
      <w:r>
        <w:rPr/>
        <w:t>是肝素通过肝</w:t>
      </w:r>
      <w:r>
        <w:rPr>
          <w:spacing w:val="-19"/>
        </w:rPr>
        <w:t>素酶消化法、</w:t>
      </w:r>
      <w:r>
        <w:rPr>
          <w:rFonts w:ascii="Arial" w:hAnsi="Arial" w:eastAsia="Arial"/>
        </w:rPr>
        <w:t>β</w:t>
      </w:r>
      <w:r>
        <w:rPr>
          <w:rFonts w:ascii="Arial" w:hAnsi="Arial" w:eastAsia="Arial"/>
          <w:spacing w:val="34"/>
        </w:rPr>
        <w:t> </w:t>
      </w:r>
      <w:r>
        <w:rPr/>
        <w:t>消除化</w:t>
      </w:r>
      <w:r>
        <w:rPr>
          <w:spacing w:val="-14"/>
        </w:rPr>
        <w:t>学解聚法、亚硝酸裂解法制得的平均分子量 </w:t>
      </w:r>
      <w:r>
        <w:rPr>
          <w:spacing w:val="-30"/>
        </w:rPr>
        <w:t>约为 </w:t>
      </w:r>
      <w:r>
        <w:rPr/>
        <w:t>5000</w:t>
      </w:r>
      <w:r>
        <w:rPr>
          <w:spacing w:val="-10"/>
        </w:rPr>
        <w:t> 道尔顿的小</w:t>
      </w:r>
      <w:r>
        <w:rPr>
          <w:spacing w:val="-18"/>
        </w:rPr>
        <w:t>分子片段。主要可以分</w:t>
      </w:r>
      <w:r>
        <w:rPr>
          <w:spacing w:val="-20"/>
        </w:rPr>
        <w:t>为两大类，即低分子肝素钙和低分子肝素钠， </w:t>
      </w:r>
      <w:r>
        <w:rPr/>
        <w:t>低分子肝素钙较低分 子肝素钠抗凝血因子</w:t>
      </w:r>
    </w:p>
    <w:p>
      <w:pPr>
        <w:pStyle w:val="BodyText"/>
        <w:spacing w:line="297" w:lineRule="auto"/>
        <w:ind w:left="142" w:right="268"/>
      </w:pPr>
      <w:r>
        <w:rPr/>
        <w:t>IIa</w:t>
      </w:r>
      <w:r>
        <w:rPr>
          <w:spacing w:val="-16"/>
        </w:rPr>
        <w:t> 作用略强，抗凝血</w:t>
      </w:r>
      <w:r>
        <w:rPr>
          <w:spacing w:val="-20"/>
        </w:rPr>
        <w:t>因子 </w:t>
      </w:r>
      <w:r>
        <w:rPr/>
        <w:t>Xa</w:t>
      </w:r>
      <w:r>
        <w:rPr>
          <w:spacing w:val="-9"/>
        </w:rPr>
        <w:t> 作用较弱。低分子肝素钙皮下注射后不减少毛细血管细</w:t>
      </w:r>
      <w:r>
        <w:rPr>
          <w:spacing w:val="-19"/>
        </w:rPr>
        <w:t>胞间的胶质，也不改变</w:t>
      </w:r>
      <w:r>
        <w:rPr>
          <w:spacing w:val="-15"/>
        </w:rPr>
        <w:t>血管通透性，皮下注射</w:t>
      </w:r>
      <w:r>
        <w:rPr>
          <w:spacing w:val="-14"/>
        </w:rPr>
        <w:t>出血的副作用更少。低</w:t>
      </w:r>
      <w:r>
        <w:rPr/>
        <w:t>分子肝素钙还有明显</w:t>
      </w:r>
    </w:p>
    <w:p>
      <w:pPr>
        <w:spacing w:after="0" w:line="297" w:lineRule="auto"/>
        <w:sectPr>
          <w:type w:val="continuous"/>
          <w:pgSz w:w="11910" w:h="16850"/>
          <w:pgMar w:top="1100" w:bottom="1020" w:left="1040" w:right="860"/>
          <w:cols w:num="2" w:equalWidth="0">
            <w:col w:w="7265" w:space="40"/>
            <w:col w:w="2705"/>
          </w:cols>
        </w:sectPr>
      </w:pPr>
    </w:p>
    <w:p>
      <w:pPr>
        <w:pStyle w:val="BodyText"/>
        <w:spacing w:before="11"/>
        <w:ind w:left="0"/>
        <w:rPr>
          <w:sz w:val="3"/>
        </w:rPr>
      </w:pPr>
    </w:p>
    <w:p>
      <w:pPr>
        <w:pStyle w:val="BodyText"/>
        <w:ind w:left="350"/>
        <w:rPr>
          <w:sz w:val="20"/>
        </w:rPr>
      </w:pPr>
      <w:r>
        <w:rPr>
          <w:sz w:val="20"/>
        </w:rPr>
        <w:drawing>
          <wp:inline distT="0" distB="0" distL="0" distR="0">
            <wp:extent cx="4398836" cy="5537358"/>
            <wp:effectExtent l="0" t="0" r="0" b="0"/>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5" cstate="print"/>
                    <a:stretch>
                      <a:fillRect/>
                    </a:stretch>
                  </pic:blipFill>
                  <pic:spPr>
                    <a:xfrm>
                      <a:off x="0" y="0"/>
                      <a:ext cx="4398836" cy="5537358"/>
                    </a:xfrm>
                    <a:prstGeom prst="rect">
                      <a:avLst/>
                    </a:prstGeom>
                  </pic:spPr>
                </pic:pic>
              </a:graphicData>
            </a:graphic>
          </wp:inline>
        </w:drawing>
      </w:r>
      <w:r>
        <w:rPr>
          <w:sz w:val="20"/>
        </w:rPr>
      </w:r>
    </w:p>
    <w:p>
      <w:pPr>
        <w:pStyle w:val="BodyText"/>
        <w:ind w:left="0"/>
        <w:rPr>
          <w:sz w:val="20"/>
        </w:rPr>
      </w:pPr>
    </w:p>
    <w:p>
      <w:pPr>
        <w:pStyle w:val="BodyText"/>
        <w:ind w:left="0"/>
        <w:rPr>
          <w:sz w:val="20"/>
        </w:rPr>
      </w:pPr>
    </w:p>
    <w:p>
      <w:pPr>
        <w:pStyle w:val="BodyText"/>
        <w:spacing w:before="11"/>
        <w:ind w:left="0"/>
        <w:rPr>
          <w:sz w:val="16"/>
        </w:rPr>
      </w:pPr>
    </w:p>
    <w:p>
      <w:pPr>
        <w:pStyle w:val="BodyText"/>
        <w:spacing w:line="297" w:lineRule="auto" w:before="67"/>
        <w:ind w:left="6571" w:right="312" w:firstLine="480"/>
        <w:jc w:val="both"/>
      </w:pPr>
      <w:r>
        <w:rPr/>
        <w:drawing>
          <wp:anchor distT="0" distB="0" distL="0" distR="0" allowOverlap="1" layoutInCell="1" locked="0" behindDoc="1" simplePos="0" relativeHeight="268351415">
            <wp:simplePos x="0" y="0"/>
            <wp:positionH relativeFrom="page">
              <wp:posOffset>882650</wp:posOffset>
            </wp:positionH>
            <wp:positionV relativeFrom="paragraph">
              <wp:posOffset>-333628</wp:posOffset>
            </wp:positionV>
            <wp:extent cx="3835400" cy="2679700"/>
            <wp:effectExtent l="0" t="0" r="0" b="0"/>
            <wp:wrapNone/>
            <wp:docPr id="5" name="image4.jpeg" descr=""/>
            <wp:cNvGraphicFramePr>
              <a:graphicFrameLocks noChangeAspect="1"/>
            </wp:cNvGraphicFramePr>
            <a:graphic>
              <a:graphicData uri="http://schemas.openxmlformats.org/drawingml/2006/picture">
                <pic:pic>
                  <pic:nvPicPr>
                    <pic:cNvPr id="6" name="image4.jpeg"/>
                    <pic:cNvPicPr/>
                  </pic:nvPicPr>
                  <pic:blipFill>
                    <a:blip r:embed="rId16" cstate="print"/>
                    <a:stretch>
                      <a:fillRect/>
                    </a:stretch>
                  </pic:blipFill>
                  <pic:spPr>
                    <a:xfrm>
                      <a:off x="0" y="0"/>
                      <a:ext cx="3835400" cy="2679700"/>
                    </a:xfrm>
                    <a:prstGeom prst="rect">
                      <a:avLst/>
                    </a:prstGeom>
                  </pic:spPr>
                </pic:pic>
              </a:graphicData>
            </a:graphic>
          </wp:anchor>
        </w:drawing>
      </w:r>
      <w:r>
        <w:rPr/>
        <w:t>近年临床常用的低分子肝素有：达肝素钠(法安明)、依诺肝素钠(克赛)、低分子肝素钙(速碧林、尤尼舒)、磺达肝癸钠(安卓)</w:t>
      </w:r>
    </w:p>
    <w:p>
      <w:pPr>
        <w:spacing w:line="297" w:lineRule="auto" w:before="0"/>
        <w:ind w:left="6571" w:right="270" w:firstLine="482"/>
        <w:jc w:val="right"/>
        <w:rPr>
          <w:sz w:val="24"/>
        </w:rPr>
      </w:pPr>
      <w:r>
        <w:rPr>
          <w:b/>
          <w:w w:val="95"/>
          <w:sz w:val="24"/>
        </w:rPr>
        <w:t>为什么会有这么多种低分子肝素钠/低分子肝素钙，甚至还起了如上表多种通用名呢？ </w:t>
      </w:r>
      <w:r>
        <w:rPr>
          <w:sz w:val="24"/>
        </w:rPr>
        <w:t>虽然都叫做低分子肝素钠</w:t>
      </w:r>
    </w:p>
    <w:p>
      <w:pPr>
        <w:pStyle w:val="BodyText"/>
        <w:spacing w:line="297" w:lineRule="auto"/>
        <w:ind w:right="266" w:firstLine="6334"/>
        <w:jc w:val="both"/>
      </w:pPr>
      <w:r>
        <w:rPr/>
        <w:t>/</w:t>
      </w:r>
      <w:r>
        <w:rPr>
          <w:spacing w:val="-10"/>
        </w:rPr>
        <w:t>低分子肝素钙，可是他们却不</w:t>
      </w:r>
      <w:r>
        <w:rPr>
          <w:spacing w:val="-4"/>
        </w:rPr>
        <w:t>相同，</w:t>
      </w:r>
      <w:r>
        <w:rPr>
          <w:spacing w:val="-11"/>
        </w:rPr>
        <w:t>LMWH</w:t>
      </w:r>
      <w:r>
        <w:rPr>
          <w:spacing w:val="-9"/>
        </w:rPr>
        <w:t> 的抗凝活性与它的相对分子质量有关系，</w:t>
      </w:r>
      <w:r>
        <w:rPr>
          <w:spacing w:val="-10"/>
        </w:rPr>
        <w:t>LMWH</w:t>
      </w:r>
      <w:r>
        <w:rPr>
          <w:spacing w:val="-20"/>
        </w:rPr>
        <w:t> 的抗</w:t>
      </w:r>
      <w:r>
        <w:rPr/>
        <w:t>Ⅹa</w:t>
      </w:r>
      <w:r>
        <w:rPr>
          <w:spacing w:val="-12"/>
        </w:rPr>
        <w:t> 因子与抗</w:t>
      </w:r>
      <w:r>
        <w:rPr/>
        <w:t>Ⅱa</w:t>
      </w:r>
      <w:r>
        <w:rPr>
          <w:spacing w:val="-13"/>
        </w:rPr>
        <w:t> 因子效价比</w:t>
      </w:r>
      <w:r>
        <w:rPr>
          <w:spacing w:val="-6"/>
        </w:rPr>
        <w:t>随着相对分子质量的降低而增大，抗凝活性降低，抗栓作用增强。不只是分子量不同，</w:t>
      </w:r>
      <w:r>
        <w:rPr>
          <w:spacing w:val="-8"/>
        </w:rPr>
        <w:t>LMWH </w:t>
      </w:r>
      <w:r>
        <w:rPr/>
        <w:t>的抗凝活性跟各自的重均分子量同样有关系（重均分子量(Weight-average Molecular</w:t>
      </w:r>
    </w:p>
    <w:p>
      <w:pPr>
        <w:spacing w:after="0" w:line="297" w:lineRule="auto"/>
        <w:jc w:val="both"/>
        <w:sectPr>
          <w:pgSz w:w="11910" w:h="16850"/>
          <w:pgMar w:header="906" w:footer="607" w:top="1100" w:bottom="800" w:left="1040" w:right="860"/>
        </w:sectPr>
      </w:pPr>
    </w:p>
    <w:p>
      <w:pPr>
        <w:pStyle w:val="BodyText"/>
        <w:spacing w:line="295" w:lineRule="auto" w:before="65"/>
        <w:ind w:right="270"/>
      </w:pPr>
      <w:r>
        <w:rPr/>
        <w:t>Weight):所有合成高分子化合物的分子量以及大多数天然高分子化合物的分子量都是不均</w:t>
      </w:r>
      <w:r>
        <w:rPr>
          <w:spacing w:val="-5"/>
        </w:rPr>
        <w:t>一的，它们是分子量不同的同系物的混合物</w:t>
      </w:r>
      <w:r>
        <w:rPr>
          <w:spacing w:val="-27"/>
        </w:rPr>
        <w:t>），</w:t>
      </w:r>
      <w:r>
        <w:rPr>
          <w:spacing w:val="-5"/>
        </w:rPr>
        <w:t>制备方法不同，通用名不同的低分子肝素自</w:t>
      </w:r>
      <w:r>
        <w:rPr/>
        <w:t>然是各有特点的。</w:t>
      </w:r>
    </w:p>
    <w:p>
      <w:pPr>
        <w:pStyle w:val="Heading4"/>
        <w:spacing w:before="5"/>
      </w:pPr>
      <w:r>
        <w:rPr/>
        <w:t>合理应用低分子肝素：</w:t>
      </w:r>
    </w:p>
    <w:p>
      <w:pPr>
        <w:pStyle w:val="BodyText"/>
        <w:spacing w:line="297" w:lineRule="auto" w:before="72"/>
        <w:ind w:right="269" w:firstLine="480"/>
        <w:jc w:val="both"/>
      </w:pPr>
      <w:r>
        <w:rPr>
          <w:spacing w:val="-6"/>
        </w:rPr>
        <w:t>抗凝治疗不单单是心血管治疗的重要组成部分，抗凝领域的每一点进展对临床都至关重</w:t>
      </w:r>
      <w:r>
        <w:rPr>
          <w:spacing w:val="-11"/>
        </w:rPr>
        <w:t>要。术后制动病人血栓的预防，围手术期抗凝的桥接等，都需要低分子肝素。在临床治疗工</w:t>
      </w:r>
      <w:r>
        <w:rPr/>
        <w:t>作中选择抗凝药物应该严格遵循药物的适应证、循证医学证据和治疗指南。</w:t>
      </w:r>
    </w:p>
    <w:p>
      <w:pPr>
        <w:pStyle w:val="BodyText"/>
        <w:spacing w:line="304" w:lineRule="exact"/>
        <w:ind w:left="717"/>
      </w:pPr>
      <w:r>
        <w:rPr/>
        <w:t>撰稿 ：荥阳市人民医院药学部 董代静</w:t>
      </w:r>
    </w:p>
    <w:p>
      <w:pPr>
        <w:pStyle w:val="BodyText"/>
        <w:spacing w:before="6"/>
        <w:ind w:left="0"/>
        <w:rPr>
          <w:sz w:val="19"/>
        </w:rPr>
      </w:pPr>
    </w:p>
    <w:p>
      <w:pPr>
        <w:spacing w:after="0"/>
        <w:rPr>
          <w:sz w:val="19"/>
        </w:rPr>
        <w:sectPr>
          <w:pgSz w:w="11910" w:h="16850"/>
          <w:pgMar w:header="906" w:footer="607" w:top="1100" w:bottom="800" w:left="1040" w:right="860"/>
        </w:sectPr>
      </w:pPr>
    </w:p>
    <w:p>
      <w:pPr>
        <w:pStyle w:val="Heading2"/>
        <w:spacing w:before="55"/>
        <w:ind w:left="2654"/>
      </w:pPr>
      <w:bookmarkStart w:name="_TOC_250014" w:id="33"/>
      <w:r>
        <w:rPr>
          <w:spacing w:val="-21"/>
        </w:rPr>
        <w:t>服用这 </w:t>
      </w:r>
      <w:r>
        <w:rPr/>
        <w:t>11</w:t>
      </w:r>
      <w:bookmarkEnd w:id="33"/>
      <w:r>
        <w:rPr>
          <w:spacing w:val="-11"/>
        </w:rPr>
        <w:t> 类药物，请远离香烟！</w:t>
      </w:r>
    </w:p>
    <w:p>
      <w:pPr>
        <w:pStyle w:val="BodyText"/>
        <w:ind w:left="0"/>
        <w:rPr>
          <w:b/>
        </w:rPr>
      </w:pPr>
      <w:r>
        <w:rPr/>
        <w:br w:type="column"/>
      </w:r>
      <w:r>
        <w:rPr>
          <w:b/>
        </w:rPr>
      </w:r>
    </w:p>
    <w:p>
      <w:pPr>
        <w:pStyle w:val="BodyText"/>
        <w:spacing w:before="10"/>
        <w:ind w:left="0"/>
        <w:rPr>
          <w:b/>
          <w:sz w:val="23"/>
        </w:rPr>
      </w:pPr>
    </w:p>
    <w:p>
      <w:pPr>
        <w:pStyle w:val="Heading4"/>
        <w:ind w:left="-29"/>
        <w:rPr>
          <w:rFonts w:ascii="楷体" w:eastAsia="楷体" w:hint="eastAsia"/>
        </w:rPr>
      </w:pPr>
      <w:r>
        <w:rPr>
          <w:rFonts w:ascii="楷体" w:eastAsia="楷体" w:hint="eastAsia"/>
          <w:color w:val="FF0000"/>
        </w:rPr>
        <w:t>（来源：临床药师网）</w:t>
      </w:r>
    </w:p>
    <w:p>
      <w:pPr>
        <w:spacing w:after="0"/>
        <w:rPr>
          <w:rFonts w:ascii="楷体" w:eastAsia="楷体" w:hint="eastAsia"/>
        </w:rPr>
        <w:sectPr>
          <w:type w:val="continuous"/>
          <w:pgSz w:w="11910" w:h="16850"/>
          <w:pgMar w:top="1100" w:bottom="1020" w:left="1040" w:right="860"/>
          <w:cols w:num="2" w:equalWidth="0">
            <w:col w:w="7315" w:space="40"/>
            <w:col w:w="2655"/>
          </w:cols>
        </w:sectPr>
      </w:pPr>
    </w:p>
    <w:p>
      <w:pPr>
        <w:pStyle w:val="BodyText"/>
        <w:spacing w:line="297" w:lineRule="auto" w:before="96"/>
        <w:ind w:right="267" w:firstLine="480"/>
        <w:jc w:val="both"/>
      </w:pPr>
      <w:r>
        <w:rPr>
          <w:spacing w:val="-11"/>
        </w:rPr>
        <w:t>众所周知，“吸烟有害健康”，就连所有烟草的包装上都印上了这句话，但是，不可避</w:t>
      </w:r>
      <w:r>
        <w:rPr>
          <w:spacing w:val="-3"/>
        </w:rPr>
        <w:t>免还有会有很有的朋友会吸烟，但是如果这些吸烟的朋友服用这 </w:t>
      </w:r>
      <w:r>
        <w:rPr/>
        <w:t>11</w:t>
      </w:r>
      <w:r>
        <w:rPr>
          <w:spacing w:val="-8"/>
        </w:rPr>
        <w:t> 种药时，请您务必远离香烟！</w:t>
      </w:r>
    </w:p>
    <w:p>
      <w:pPr>
        <w:pStyle w:val="BodyText"/>
        <w:spacing w:line="304" w:lineRule="exact"/>
        <w:ind w:left="717"/>
      </w:pPr>
      <w:r>
        <w:rPr/>
        <w:t>一、利尿药</w:t>
      </w:r>
    </w:p>
    <w:p>
      <w:pPr>
        <w:pStyle w:val="BodyText"/>
        <w:spacing w:line="297" w:lineRule="auto" w:before="72"/>
        <w:ind w:left="717" w:right="1367"/>
      </w:pPr>
      <w:r>
        <w:rPr/>
        <w:t>烟草中的烟碱可降低利尿药呋塞米在血液中的药物浓度，减弱其利尿效果。二、抗凝血药</w:t>
      </w:r>
    </w:p>
    <w:p>
      <w:pPr>
        <w:pStyle w:val="BodyText"/>
        <w:spacing w:line="295" w:lineRule="auto"/>
        <w:ind w:right="272" w:firstLine="480"/>
      </w:pPr>
      <w:r>
        <w:rPr>
          <w:spacing w:val="-11"/>
        </w:rPr>
        <w:t>如华法林、肝素等。吸烟后使用肝素，会使药物的半衰期减短，体内清除率增加，从而</w:t>
      </w:r>
      <w:r>
        <w:rPr/>
        <w:t>影响药效。</w:t>
      </w:r>
    </w:p>
    <w:p>
      <w:pPr>
        <w:pStyle w:val="BodyText"/>
        <w:spacing w:before="3"/>
        <w:ind w:left="717"/>
      </w:pPr>
      <w:r>
        <w:rPr/>
        <w:t>三、维生素</w:t>
      </w:r>
    </w:p>
    <w:p>
      <w:pPr>
        <w:pStyle w:val="BodyText"/>
        <w:spacing w:line="295" w:lineRule="auto" w:before="71"/>
        <w:ind w:right="346" w:firstLine="480"/>
      </w:pPr>
      <w:r>
        <w:rPr>
          <w:spacing w:val="-11"/>
        </w:rPr>
        <w:t>服用维生素 </w:t>
      </w:r>
      <w:r>
        <w:rPr/>
        <w:t>C</w:t>
      </w:r>
      <w:r>
        <w:rPr>
          <w:spacing w:val="-13"/>
        </w:rPr>
        <w:t> 后吸烟，会影响维生素 </w:t>
      </w:r>
      <w:r>
        <w:rPr/>
        <w:t>C</w:t>
      </w:r>
      <w:r>
        <w:rPr>
          <w:spacing w:val="-5"/>
        </w:rPr>
        <w:t> 的吸收。吸烟者维生素 </w:t>
      </w:r>
      <w:r>
        <w:rPr/>
        <w:t>C</w:t>
      </w:r>
      <w:r>
        <w:rPr>
          <w:spacing w:val="-9"/>
        </w:rPr>
        <w:t> 的吸收率比不吸烟者</w:t>
      </w:r>
      <w:r>
        <w:rPr>
          <w:spacing w:val="-20"/>
        </w:rPr>
        <w:t>少约 </w:t>
      </w:r>
      <w:r>
        <w:rPr/>
        <w:t>30%。</w:t>
      </w:r>
    </w:p>
    <w:p>
      <w:pPr>
        <w:pStyle w:val="BodyText"/>
        <w:spacing w:before="5"/>
        <w:ind w:left="717"/>
      </w:pPr>
      <w:r>
        <w:rPr/>
        <w:t>四、抗精神病药</w:t>
      </w:r>
    </w:p>
    <w:p>
      <w:pPr>
        <w:pStyle w:val="BodyText"/>
        <w:spacing w:line="295" w:lineRule="auto" w:before="71"/>
        <w:ind w:right="270" w:firstLine="480"/>
      </w:pPr>
      <w:r>
        <w:rPr>
          <w:spacing w:val="-12"/>
        </w:rPr>
        <w:t>如丙咪嗪、氯丙嗪、氯氮平、阿米替林等。吸烟会降低这些药物在血液中药物浓度，使</w:t>
      </w:r>
      <w:r>
        <w:rPr/>
        <w:t>药物的抗精神病作用降低。</w:t>
      </w:r>
    </w:p>
    <w:p>
      <w:pPr>
        <w:pStyle w:val="BodyText"/>
        <w:spacing w:before="5"/>
        <w:ind w:left="717"/>
      </w:pPr>
      <w:r>
        <w:rPr/>
        <w:t>五、抗心律失常药</w:t>
      </w:r>
    </w:p>
    <w:p>
      <w:pPr>
        <w:pStyle w:val="BodyText"/>
        <w:spacing w:line="295" w:lineRule="auto" w:before="72"/>
        <w:ind w:right="167" w:firstLine="480"/>
      </w:pPr>
      <w:r>
        <w:rPr>
          <w:spacing w:val="-1"/>
        </w:rPr>
        <w:t>如普萘洛尔、阿替洛尔、美托洛尔等。因吸烟会使血管收缩，拮抗药物的扩血管作用， </w:t>
      </w:r>
      <w:r>
        <w:rPr/>
        <w:t>从而使药物疗效降低。</w:t>
      </w:r>
    </w:p>
    <w:p>
      <w:pPr>
        <w:pStyle w:val="BodyText"/>
        <w:spacing w:before="4"/>
        <w:ind w:left="717"/>
      </w:pPr>
      <w:r>
        <w:rPr/>
        <w:t>六、降糖药</w:t>
      </w:r>
    </w:p>
    <w:p>
      <w:pPr>
        <w:pStyle w:val="BodyText"/>
        <w:spacing w:line="295" w:lineRule="auto" w:before="72"/>
        <w:ind w:right="267" w:firstLine="480"/>
      </w:pPr>
      <w:r>
        <w:rPr>
          <w:spacing w:val="-7"/>
        </w:rPr>
        <w:t>因吸烟会促进体内儿茶酚胺的释放，使周围血管收缩。所以在注射胰岛素后吸烟，会减</w:t>
      </w:r>
      <w:r>
        <w:rPr/>
        <w:t>少机体对胰岛素的吸收，使机体内拮抗胰岛素物质增加，降低胰岛素作用。</w:t>
      </w:r>
    </w:p>
    <w:p>
      <w:pPr>
        <w:pStyle w:val="BodyText"/>
        <w:spacing w:before="4"/>
        <w:ind w:left="717"/>
      </w:pPr>
      <w:r>
        <w:rPr/>
        <w:t>七、镇静催眠药</w:t>
      </w:r>
    </w:p>
    <w:p>
      <w:pPr>
        <w:pStyle w:val="BodyText"/>
        <w:spacing w:line="295" w:lineRule="auto" w:before="72"/>
        <w:ind w:right="270" w:firstLine="480"/>
      </w:pPr>
      <w:r>
        <w:rPr>
          <w:spacing w:val="-12"/>
        </w:rPr>
        <w:t>如地西泮、唑吡坦、阿普唑仑等。吸烟不仅会降低这些药物的血药浓度，并且烟草中的</w:t>
      </w:r>
      <w:r>
        <w:rPr/>
        <w:t>烟碱对中枢神经有兴奋作用，可拮抗药物的镇静催眠作用。</w:t>
      </w:r>
    </w:p>
    <w:p>
      <w:pPr>
        <w:pStyle w:val="BodyText"/>
        <w:spacing w:before="5"/>
        <w:ind w:left="717"/>
      </w:pPr>
      <w:r>
        <w:rPr/>
        <w:t>八、抗胃酸药</w:t>
      </w:r>
    </w:p>
    <w:p>
      <w:pPr>
        <w:pStyle w:val="BodyText"/>
        <w:spacing w:line="297" w:lineRule="auto" w:before="71"/>
        <w:ind w:right="267" w:firstLine="480"/>
        <w:jc w:val="both"/>
      </w:pPr>
      <w:r>
        <w:rPr>
          <w:spacing w:val="-10"/>
        </w:rPr>
        <w:t>如西咪替丁、雷尼替丁、法莫替丁，用于治疗胃、十二指肠溃疡时。香烟中含有的多环</w:t>
      </w:r>
      <w:r>
        <w:rPr>
          <w:spacing w:val="-9"/>
        </w:rPr>
        <w:t>芳香烃类化合物，能影响肝药酶的活性使药物代谢受影响；吸烟还会延缓胃溃疡的愈合，加</w:t>
      </w:r>
      <w:r>
        <w:rPr/>
        <w:t>重胃出血风险。</w:t>
      </w:r>
    </w:p>
    <w:p>
      <w:pPr>
        <w:spacing w:after="0" w:line="297" w:lineRule="auto"/>
        <w:jc w:val="both"/>
        <w:sectPr>
          <w:type w:val="continuous"/>
          <w:pgSz w:w="11910" w:h="16850"/>
          <w:pgMar w:top="1100" w:bottom="1020" w:left="1040" w:right="860"/>
        </w:sectPr>
      </w:pPr>
    </w:p>
    <w:p>
      <w:pPr>
        <w:pStyle w:val="BodyText"/>
        <w:spacing w:before="65"/>
        <w:ind w:left="717"/>
      </w:pPr>
      <w:r>
        <w:rPr/>
        <w:t>九、避孕药</w:t>
      </w:r>
    </w:p>
    <w:p>
      <w:pPr>
        <w:pStyle w:val="BodyText"/>
        <w:spacing w:line="295" w:lineRule="auto" w:before="72"/>
        <w:ind w:right="267" w:firstLine="480"/>
      </w:pPr>
      <w:r>
        <w:rPr>
          <w:spacing w:val="-6"/>
        </w:rPr>
        <w:t>吸烟能增加口服避孕药如炔诺酮、甲地孕酮等对心脏和血管的不良反应。并且，其危害</w:t>
      </w:r>
      <w:r>
        <w:rPr/>
        <w:t>性与年龄及吸烟数量呈正比关系。</w:t>
      </w:r>
    </w:p>
    <w:p>
      <w:pPr>
        <w:pStyle w:val="BodyText"/>
        <w:spacing w:before="4"/>
        <w:ind w:left="717"/>
      </w:pPr>
      <w:r>
        <w:rPr/>
        <w:t>十、止痛药</w:t>
      </w:r>
    </w:p>
    <w:p>
      <w:pPr>
        <w:pStyle w:val="BodyText"/>
        <w:spacing w:line="297" w:lineRule="auto" w:before="72"/>
        <w:ind w:right="267" w:firstLine="480"/>
        <w:jc w:val="both"/>
      </w:pPr>
      <w:r>
        <w:rPr>
          <w:spacing w:val="-8"/>
        </w:rPr>
        <w:t>吸烟者服了止痛药后，会降低机体对药物的敏感性，阻碍药物的代谢，使药物不能及时</w:t>
      </w:r>
      <w:r>
        <w:rPr>
          <w:spacing w:val="-10"/>
        </w:rPr>
        <w:t>地排出，不仅药物疗效下降并且易致蓄积中毒。如拔牙时使用局麻药利多卡因，会使吸烟者</w:t>
      </w:r>
      <w:r>
        <w:rPr/>
        <w:t>拔牙时疼痛发生率增加。</w:t>
      </w:r>
    </w:p>
    <w:p>
      <w:pPr>
        <w:pStyle w:val="BodyText"/>
        <w:spacing w:line="304" w:lineRule="exact"/>
        <w:ind w:left="717"/>
      </w:pPr>
      <w:r>
        <w:rPr/>
        <w:t>十一、平喘药</w:t>
      </w:r>
    </w:p>
    <w:p>
      <w:pPr>
        <w:pStyle w:val="BodyText"/>
        <w:spacing w:line="297" w:lineRule="auto" w:before="71"/>
        <w:ind w:right="147" w:firstLine="480"/>
      </w:pPr>
      <w:r>
        <w:rPr>
          <w:spacing w:val="-7"/>
        </w:rPr>
        <w:t>如茶碱。研究表明，服用茶碱后，吸烟者比不吸烟者体内茶碱清除率高 </w:t>
      </w:r>
      <w:r>
        <w:rPr>
          <w:spacing w:val="-3"/>
        </w:rPr>
        <w:t>66%</w:t>
      </w:r>
      <w:r>
        <w:rPr>
          <w:spacing w:val="-2"/>
        </w:rPr>
        <w:t>，且药物代</w:t>
      </w:r>
      <w:r>
        <w:rPr>
          <w:spacing w:val="-7"/>
        </w:rPr>
        <w:t>谢清除率比不吸烟者几乎高 </w:t>
      </w:r>
      <w:r>
        <w:rPr/>
        <w:t>1</w:t>
      </w:r>
      <w:r>
        <w:rPr>
          <w:spacing w:val="-18"/>
        </w:rPr>
        <w:t> 倍。由于吸烟使它的药效减弱，当患者想达到所需药物效果时， </w:t>
      </w:r>
      <w:r>
        <w:rPr>
          <w:spacing w:val="-8"/>
        </w:rPr>
        <w:t>需加大药物剂量。当药量加大后，毒副作用无疑也相应加大。所以患者在服用这类药物时吸烟，会使药物疗效减半。</w:t>
      </w:r>
    </w:p>
    <w:p>
      <w:pPr>
        <w:pStyle w:val="BodyText"/>
        <w:spacing w:line="295" w:lineRule="auto"/>
        <w:ind w:right="267" w:firstLine="480"/>
        <w:jc w:val="both"/>
      </w:pPr>
      <w:r>
        <w:rPr>
          <w:spacing w:val="-9"/>
        </w:rPr>
        <w:t>吸烟不但有害健康，在服药后吸烟还能影响药物的代谢速度和药效，增加药物的不良反</w:t>
      </w:r>
      <w:r>
        <w:rPr>
          <w:spacing w:val="-3"/>
        </w:rPr>
        <w:t>应。所以在服用任何药物后都不要吸烟，若要吸烟最好间隔在 </w:t>
      </w:r>
      <w:r>
        <w:rPr/>
        <w:t>30</w:t>
      </w:r>
      <w:r>
        <w:rPr>
          <w:spacing w:val="-8"/>
        </w:rPr>
        <w:t> 分钟以上，避免香烟对药物的影响。</w:t>
      </w:r>
    </w:p>
    <w:p>
      <w:pPr>
        <w:pStyle w:val="BodyText"/>
        <w:tabs>
          <w:tab w:pos="3117" w:val="left" w:leader="none"/>
        </w:tabs>
        <w:spacing w:before="3"/>
        <w:ind w:left="717"/>
      </w:pPr>
      <w:r>
        <w:rPr/>
        <w:t>作者：广东省药学会</w:t>
        <w:tab/>
        <w:t>广州市第一人民医院 卢国勇</w:t>
      </w:r>
    </w:p>
    <w:p>
      <w:pPr>
        <w:pStyle w:val="BodyText"/>
        <w:spacing w:before="9"/>
        <w:ind w:left="0"/>
        <w:rPr>
          <w:sz w:val="23"/>
        </w:rPr>
      </w:pPr>
    </w:p>
    <w:p>
      <w:pPr>
        <w:pStyle w:val="Heading2"/>
        <w:ind w:left="2897"/>
      </w:pPr>
      <w:bookmarkStart w:name="_TOC_250013" w:id="34"/>
      <w:bookmarkEnd w:id="34"/>
      <w:r>
        <w:rPr/>
        <w:t>丙泊酚，这样用才“正经”！</w:t>
      </w:r>
    </w:p>
    <w:p>
      <w:pPr>
        <w:pStyle w:val="Heading4"/>
        <w:spacing w:before="145"/>
        <w:ind w:left="6360"/>
        <w:rPr>
          <w:rFonts w:ascii="楷体" w:eastAsia="楷体" w:hint="eastAsia"/>
        </w:rPr>
      </w:pPr>
      <w:r>
        <w:rPr>
          <w:rFonts w:ascii="楷体" w:eastAsia="楷体" w:hint="eastAsia"/>
          <w:color w:val="FF0000"/>
        </w:rPr>
        <w:t>（来源：药葫芦娃微信公众号）</w:t>
      </w:r>
    </w:p>
    <w:p>
      <w:pPr>
        <w:spacing w:before="98"/>
        <w:ind w:left="719" w:right="0" w:firstLine="0"/>
        <w:jc w:val="left"/>
        <w:rPr>
          <w:b/>
          <w:sz w:val="24"/>
        </w:rPr>
      </w:pPr>
      <w:r>
        <w:rPr>
          <w:b/>
          <w:sz w:val="24"/>
        </w:rPr>
        <w:t>中国麻醉周 3.25～3.29</w:t>
      </w:r>
    </w:p>
    <w:p>
      <w:pPr>
        <w:pStyle w:val="BodyText"/>
        <w:spacing w:line="295" w:lineRule="auto" w:before="72"/>
        <w:ind w:right="147" w:firstLine="480"/>
      </w:pPr>
      <w:r>
        <w:rPr>
          <w:spacing w:val="-17"/>
        </w:rPr>
        <w:t>前些日子，韩国爆出了一则新闻，有“三星公主”之称的韩国三星公司家族长女李富真， </w:t>
      </w:r>
      <w:r>
        <w:rPr/>
        <w:t>卷入了滥用麻醉药“丙泊酚”的丑闻。</w:t>
      </w:r>
    </w:p>
    <w:p>
      <w:pPr>
        <w:pStyle w:val="BodyText"/>
        <w:spacing w:before="4"/>
        <w:ind w:left="717"/>
      </w:pPr>
      <w:r>
        <w:rPr/>
        <w:t>一名医院的助理护士揭露，48 岁的新罗酒店社长李富真静脉注射丙泊酚成瘾。</w:t>
      </w:r>
    </w:p>
    <w:p>
      <w:pPr>
        <w:pStyle w:val="BodyText"/>
        <w:spacing w:line="295" w:lineRule="auto" w:before="72"/>
        <w:ind w:right="267" w:firstLine="480"/>
      </w:pPr>
      <w:r>
        <w:rPr>
          <w:spacing w:val="-12"/>
        </w:rPr>
        <w:t>目前，韩国地方警察厅表示正对三星家族长女、新罗酒店社长李富真涉嫌长期服用毒品</w:t>
      </w:r>
      <w:r>
        <w:rPr/>
        <w:t>丙泊酚一事进行确认。</w:t>
      </w:r>
    </w:p>
    <w:p>
      <w:pPr>
        <w:pStyle w:val="BodyText"/>
        <w:spacing w:line="295" w:lineRule="auto" w:before="5"/>
        <w:ind w:left="717" w:right="887"/>
      </w:pPr>
      <w:r>
        <w:rPr/>
        <w:t>而新罗酒店发表声明表示，李富真去医院仅为就医，注射丙泊酚一说子虚乌有。</w:t>
      </w:r>
      <w:r>
        <w:rPr>
          <w:w w:val="105"/>
        </w:rPr>
        <w:t>丙泊酚„„</w:t>
      </w:r>
    </w:p>
    <w:p>
      <w:pPr>
        <w:pStyle w:val="BodyText"/>
        <w:spacing w:line="297" w:lineRule="auto" w:before="2"/>
        <w:ind w:left="717" w:right="5927"/>
      </w:pPr>
      <w:r>
        <w:rPr/>
        <w:t>麻醉药？毒品？到底干嘛用的？ 安啦！</w:t>
      </w:r>
    </w:p>
    <w:p>
      <w:pPr>
        <w:pStyle w:val="BodyText"/>
        <w:spacing w:line="306" w:lineRule="exact"/>
        <w:ind w:left="717"/>
      </w:pPr>
      <w:r>
        <w:rPr/>
        <w:t>人家“正经”的用途是全麻药！</w:t>
      </w:r>
    </w:p>
    <w:p>
      <w:pPr>
        <w:pStyle w:val="BodyText"/>
        <w:spacing w:line="297" w:lineRule="auto" w:before="72"/>
        <w:ind w:left="717" w:right="1847"/>
      </w:pPr>
      <w:r>
        <w:rPr/>
        <w:t>说到全麻药（全称是“全身麻醉药物”），好像知道点，手术用的嘛！ 没错！</w:t>
      </w:r>
    </w:p>
    <w:p>
      <w:pPr>
        <w:pStyle w:val="BodyText"/>
        <w:spacing w:line="306" w:lineRule="exact"/>
        <w:ind w:left="717"/>
      </w:pPr>
      <w:r>
        <w:rPr/>
        <w:t>在正式科普全麻药之前，咱们先来了解下什么是全身麻醉！</w:t>
      </w:r>
    </w:p>
    <w:p>
      <w:pPr>
        <w:pStyle w:val="BodyText"/>
        <w:spacing w:line="297" w:lineRule="auto" w:before="72"/>
        <w:ind w:right="266" w:firstLine="480"/>
      </w:pPr>
      <w:r>
        <w:rPr>
          <w:spacing w:val="-6"/>
        </w:rPr>
        <w:t>全身麻醉是指麻醉药物经过呼吸道吸入、静脉点滴或肌肉注射等进入体内，产生意识消</w:t>
      </w:r>
      <w:r>
        <w:rPr/>
        <w:t>失、全身痛觉消失和肌肉松弛等效应，从而使患者满足手术需求的一种方法。</w:t>
      </w:r>
    </w:p>
    <w:p>
      <w:pPr>
        <w:pStyle w:val="BodyText"/>
        <w:spacing w:line="295" w:lineRule="auto"/>
        <w:ind w:left="717" w:right="4247"/>
      </w:pPr>
      <w:r>
        <w:rPr/>
        <w:t>全身麻醉有三个要素：镇静、镇痛和肌肉松弛。因此，常用的全麻药也包括这三个方面！</w:t>
      </w:r>
    </w:p>
    <w:p>
      <w:pPr>
        <w:pStyle w:val="BodyText"/>
        <w:spacing w:before="2"/>
        <w:ind w:left="717"/>
      </w:pPr>
      <w:r>
        <w:rPr/>
        <w:t>今天，咱们先来瞧瞧全麻药中的镇静药物！</w:t>
      </w:r>
    </w:p>
    <w:p>
      <w:pPr>
        <w:spacing w:after="0"/>
        <w:sectPr>
          <w:pgSz w:w="11910" w:h="16850"/>
          <w:pgMar w:header="906" w:footer="607" w:top="1100" w:bottom="800" w:left="1040" w:right="860"/>
        </w:sectPr>
      </w:pPr>
    </w:p>
    <w:p>
      <w:pPr>
        <w:pStyle w:val="BodyText"/>
        <w:spacing w:line="295" w:lineRule="auto" w:before="65"/>
        <w:ind w:right="151" w:firstLine="480"/>
      </w:pPr>
      <w:r>
        <w:rPr>
          <w:spacing w:val="-14"/>
        </w:rPr>
        <w:t>说到镇静药物，首先要提到的就是全麻药中的老大，俗称“牛奶”的丙泊酚</w:t>
      </w:r>
      <w:r>
        <w:rPr/>
        <w:t>（Propofol， 又叫异丙酚），因其为脂肪乳制剂，外观与牛奶相似而得名。</w:t>
      </w:r>
    </w:p>
    <w:p>
      <w:pPr>
        <w:pStyle w:val="BodyText"/>
        <w:spacing w:line="297" w:lineRule="auto" w:before="2"/>
        <w:ind w:right="151" w:firstLine="480"/>
      </w:pPr>
      <w:r>
        <w:rPr>
          <w:spacing w:val="-13"/>
        </w:rPr>
        <w:t>丙泊酚自 </w:t>
      </w:r>
      <w:r>
        <w:rPr/>
        <w:t>1986</w:t>
      </w:r>
      <w:r>
        <w:rPr>
          <w:spacing w:val="-17"/>
        </w:rPr>
        <w:t> 年正式进入临床使用以来，以其稳定、舒适的镇静作用而闻名。</w:t>
      </w:r>
      <w:r>
        <w:rPr/>
        <w:t>2016</w:t>
      </w:r>
      <w:r>
        <w:rPr>
          <w:spacing w:val="-25"/>
        </w:rPr>
        <w:t> 年， </w:t>
      </w:r>
      <w:r>
        <w:rPr/>
        <w:t>世界卫生组织将其认定为“基本药物”。</w:t>
      </w:r>
    </w:p>
    <w:p>
      <w:pPr>
        <w:pStyle w:val="BodyText"/>
        <w:spacing w:line="295" w:lineRule="auto"/>
        <w:ind w:right="166" w:firstLine="480"/>
      </w:pPr>
      <w:r>
        <w:rPr/>
        <w:t>丙泊酚是临床上最常用的静脉全身麻醉药物，广泛应用于各类全身麻醉、无痛胃肠镜、无痛支气管镜等无痛检查及操作中。</w:t>
      </w:r>
    </w:p>
    <w:p>
      <w:pPr>
        <w:pStyle w:val="BodyText"/>
        <w:spacing w:line="295" w:lineRule="auto" w:before="2"/>
        <w:ind w:right="149" w:firstLine="480"/>
      </w:pPr>
      <w:r>
        <w:rPr>
          <w:spacing w:val="-9"/>
        </w:rPr>
        <w:t>丙泊酚需要通过静脉注射的方式进入体内，静脉注射后 </w:t>
      </w:r>
      <w:r>
        <w:rPr/>
        <w:t>30～60</w:t>
      </w:r>
      <w:r>
        <w:rPr>
          <w:spacing w:val="-9"/>
        </w:rPr>
        <w:t> 秒后即可使人失去意识， </w:t>
      </w:r>
      <w:r>
        <w:rPr/>
        <w:t>进入镇静状态。</w:t>
      </w:r>
    </w:p>
    <w:p>
      <w:pPr>
        <w:pStyle w:val="BodyText"/>
        <w:spacing w:line="297" w:lineRule="auto" w:before="2"/>
        <w:ind w:right="150" w:firstLine="480"/>
      </w:pPr>
      <w:r>
        <w:rPr>
          <w:spacing w:val="-16"/>
        </w:rPr>
        <w:t>整个过程中患者体感舒适，类似于正常入睡，维持时间与单次使用剂量和输注方式有关， </w:t>
      </w:r>
      <w:r>
        <w:rPr>
          <w:spacing w:val="-5"/>
        </w:rPr>
        <w:t>单次注射一般维持时间在 </w:t>
      </w:r>
      <w:r>
        <w:rPr/>
        <w:t>5～10</w:t>
      </w:r>
      <w:r>
        <w:rPr>
          <w:spacing w:val="-14"/>
        </w:rPr>
        <w:t> 分钟，静脉持续输注时可维持患者的镇静状态，满足全麻的镇静需求，在输注过程中还能常常使得患者“做美梦”。</w:t>
      </w:r>
    </w:p>
    <w:p>
      <w:pPr>
        <w:pStyle w:val="BodyText"/>
        <w:spacing w:line="297" w:lineRule="auto"/>
        <w:ind w:left="717" w:right="2807"/>
      </w:pPr>
      <w:r>
        <w:rPr/>
        <w:t>所以，在丙泊酚全麻之前，请务必考虑一会儿想做什么梦哦！ 但是，丙泊酚可不全是优点，缺点也是有滴！</w:t>
      </w:r>
    </w:p>
    <w:p>
      <w:pPr>
        <w:pStyle w:val="ListParagraph"/>
        <w:numPr>
          <w:ilvl w:val="0"/>
          <w:numId w:val="8"/>
        </w:numPr>
        <w:tabs>
          <w:tab w:pos="959" w:val="left" w:leader="none"/>
        </w:tabs>
        <w:spacing w:line="306" w:lineRule="exact" w:before="0" w:after="0"/>
        <w:ind w:left="958" w:right="0" w:hanging="241"/>
        <w:jc w:val="left"/>
        <w:rPr>
          <w:sz w:val="24"/>
        </w:rPr>
      </w:pPr>
      <w:r>
        <w:rPr>
          <w:sz w:val="24"/>
        </w:rPr>
        <w:t>注射痛</w:t>
      </w:r>
    </w:p>
    <w:p>
      <w:pPr>
        <w:pStyle w:val="BodyText"/>
        <w:spacing w:line="297" w:lineRule="auto" w:before="69"/>
        <w:ind w:right="406" w:firstLine="480"/>
      </w:pPr>
      <w:r>
        <w:rPr/>
        <w:t>注射痛是丙泊酚最常见的不良反应。痛感主要源于药物静脉注射时对血管壁产生的刺激。</w:t>
      </w:r>
    </w:p>
    <w:p>
      <w:pPr>
        <w:pStyle w:val="BodyText"/>
        <w:spacing w:line="295" w:lineRule="auto"/>
        <w:ind w:right="272" w:firstLine="480"/>
      </w:pPr>
      <w:r>
        <w:rPr>
          <w:spacing w:val="-12"/>
        </w:rPr>
        <w:t>不过，当患者“昏睡”过去之后，这种感觉也就不复存在了，醒来之后也不会感到注射</w:t>
      </w:r>
      <w:r>
        <w:rPr/>
        <w:t>部位的疼痛。</w:t>
      </w:r>
    </w:p>
    <w:p>
      <w:pPr>
        <w:pStyle w:val="ListParagraph"/>
        <w:numPr>
          <w:ilvl w:val="0"/>
          <w:numId w:val="8"/>
        </w:numPr>
        <w:tabs>
          <w:tab w:pos="959" w:val="left" w:leader="none"/>
        </w:tabs>
        <w:spacing w:line="240" w:lineRule="auto" w:before="3" w:after="0"/>
        <w:ind w:left="958" w:right="0" w:hanging="241"/>
        <w:jc w:val="left"/>
        <w:rPr>
          <w:sz w:val="24"/>
        </w:rPr>
      </w:pPr>
      <w:r>
        <w:rPr>
          <w:sz w:val="24"/>
        </w:rPr>
        <w:t>呼吸抑制</w:t>
      </w:r>
    </w:p>
    <w:p>
      <w:pPr>
        <w:pStyle w:val="BodyText"/>
        <w:spacing w:line="295" w:lineRule="auto" w:before="71"/>
        <w:ind w:left="717" w:right="647"/>
      </w:pPr>
      <w:r>
        <w:rPr/>
        <w:t>丙泊酚注射后会使患者的呼吸的频率减慢、幅度降低，有时甚至会导致呼吸停止。如果不是由麻醉医生合理使用的话，患者随时都有可能因此而丧命。</w:t>
      </w:r>
    </w:p>
    <w:p>
      <w:pPr>
        <w:pStyle w:val="BodyText"/>
        <w:spacing w:before="5"/>
        <w:ind w:left="717"/>
      </w:pPr>
      <w:r>
        <w:rPr/>
        <w:t>美国著名歌手迈克尔·杰克逊就是死于丙泊酚注射后的呼吸抑制。</w:t>
      </w:r>
    </w:p>
    <w:p>
      <w:pPr>
        <w:pStyle w:val="ListParagraph"/>
        <w:numPr>
          <w:ilvl w:val="0"/>
          <w:numId w:val="8"/>
        </w:numPr>
        <w:tabs>
          <w:tab w:pos="959" w:val="left" w:leader="none"/>
        </w:tabs>
        <w:spacing w:line="240" w:lineRule="auto" w:before="71" w:after="0"/>
        <w:ind w:left="958" w:right="0" w:hanging="241"/>
        <w:jc w:val="left"/>
        <w:rPr>
          <w:sz w:val="24"/>
        </w:rPr>
      </w:pPr>
      <w:r>
        <w:rPr>
          <w:sz w:val="24"/>
        </w:rPr>
        <w:t>循环抑制</w:t>
      </w:r>
    </w:p>
    <w:p>
      <w:pPr>
        <w:pStyle w:val="BodyText"/>
        <w:spacing w:line="297" w:lineRule="auto" w:before="72"/>
        <w:ind w:right="272" w:firstLine="480"/>
      </w:pPr>
      <w:r>
        <w:rPr>
          <w:spacing w:val="-6"/>
        </w:rPr>
        <w:t>丙泊酚使人进入镇静状态的同时，还会对我们的心血管系统产生“镇静作用”，可能导</w:t>
      </w:r>
      <w:r>
        <w:rPr/>
        <w:t>致血压下降、心律失常等。</w:t>
      </w:r>
    </w:p>
    <w:p>
      <w:pPr>
        <w:pStyle w:val="BodyText"/>
        <w:spacing w:line="306" w:lineRule="exact"/>
        <w:ind w:left="717"/>
      </w:pPr>
      <w:r>
        <w:rPr/>
        <w:t>如果这个过程中没有麻醉医生的严密监护，患者会随时面临生命危险。</w:t>
      </w:r>
    </w:p>
    <w:p>
      <w:pPr>
        <w:pStyle w:val="ListParagraph"/>
        <w:numPr>
          <w:ilvl w:val="0"/>
          <w:numId w:val="8"/>
        </w:numPr>
        <w:tabs>
          <w:tab w:pos="959" w:val="left" w:leader="none"/>
        </w:tabs>
        <w:spacing w:line="240" w:lineRule="auto" w:before="72" w:after="0"/>
        <w:ind w:left="958" w:right="0" w:hanging="241"/>
        <w:jc w:val="left"/>
        <w:rPr>
          <w:sz w:val="24"/>
        </w:rPr>
      </w:pPr>
      <w:r>
        <w:rPr>
          <w:sz w:val="24"/>
        </w:rPr>
        <w:t>其它</w:t>
      </w:r>
    </w:p>
    <w:p>
      <w:pPr>
        <w:pStyle w:val="BodyText"/>
        <w:spacing w:line="380" w:lineRule="atLeast" w:before="1"/>
        <w:ind w:left="717" w:right="4487"/>
      </w:pPr>
      <w:r>
        <w:rPr/>
        <w:drawing>
          <wp:anchor distT="0" distB="0" distL="0" distR="0" allowOverlap="1" layoutInCell="1" locked="0" behindDoc="1" simplePos="0" relativeHeight="268351439">
            <wp:simplePos x="0" y="0"/>
            <wp:positionH relativeFrom="page">
              <wp:posOffset>2487295</wp:posOffset>
            </wp:positionH>
            <wp:positionV relativeFrom="paragraph">
              <wp:posOffset>209740</wp:posOffset>
            </wp:positionV>
            <wp:extent cx="457200" cy="228599"/>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17" cstate="print"/>
                    <a:stretch>
                      <a:fillRect/>
                    </a:stretch>
                  </pic:blipFill>
                  <pic:spPr>
                    <a:xfrm>
                      <a:off x="0" y="0"/>
                      <a:ext cx="457200" cy="228599"/>
                    </a:xfrm>
                    <a:prstGeom prst="rect">
                      <a:avLst/>
                    </a:prstGeom>
                  </pic:spPr>
                </pic:pic>
              </a:graphicData>
            </a:graphic>
          </wp:anchor>
        </w:drawing>
      </w:r>
      <w:r>
        <w:rPr/>
        <w:t>此外，丙泊酚还有过敏反应等其它不良反应。啥？丙泊酚是老大？</w:t>
      </w:r>
    </w:p>
    <w:p>
      <w:pPr>
        <w:pStyle w:val="BodyText"/>
        <w:spacing w:line="378" w:lineRule="exact"/>
        <w:ind w:left="717"/>
      </w:pPr>
      <w:r>
        <w:rPr/>
        <w:t>吸入麻醉药七氟醚第一个跳出来说不服！ </w:t>
      </w:r>
      <w:r>
        <w:rPr>
          <w:spacing w:val="-76"/>
        </w:rPr>
        <w:drawing>
          <wp:inline distT="0" distB="0" distL="0" distR="0">
            <wp:extent cx="428625" cy="219075"/>
            <wp:effectExtent l="0" t="0" r="0" b="0"/>
            <wp:docPr id="9" name="image6.png" descr=""/>
            <wp:cNvGraphicFramePr>
              <a:graphicFrameLocks noChangeAspect="1"/>
            </wp:cNvGraphicFramePr>
            <a:graphic>
              <a:graphicData uri="http://schemas.openxmlformats.org/drawingml/2006/picture">
                <pic:pic>
                  <pic:nvPicPr>
                    <pic:cNvPr id="10" name="image6.png"/>
                    <pic:cNvPicPr/>
                  </pic:nvPicPr>
                  <pic:blipFill>
                    <a:blip r:embed="rId18" cstate="print"/>
                    <a:stretch>
                      <a:fillRect/>
                    </a:stretch>
                  </pic:blipFill>
                  <pic:spPr>
                    <a:xfrm>
                      <a:off x="0" y="0"/>
                      <a:ext cx="428625" cy="219075"/>
                    </a:xfrm>
                    <a:prstGeom prst="rect">
                      <a:avLst/>
                    </a:prstGeom>
                  </pic:spPr>
                </pic:pic>
              </a:graphicData>
            </a:graphic>
          </wp:inline>
        </w:drawing>
      </w:r>
      <w:r>
        <w:rPr>
          <w:spacing w:val="-76"/>
        </w:rPr>
      </w:r>
    </w:p>
    <w:p>
      <w:pPr>
        <w:pStyle w:val="BodyText"/>
        <w:spacing w:line="380" w:lineRule="atLeast" w:before="2"/>
        <w:ind w:right="269" w:firstLine="480"/>
      </w:pPr>
      <w:r>
        <w:rPr>
          <w:spacing w:val="-9"/>
        </w:rPr>
        <w:t>吸入麻醉药七氟醚，顾名思义，这是一种有淡香味的气体麻醉剂，通过呼吸道进入人体</w:t>
      </w:r>
      <w:r>
        <w:rPr/>
        <w:t>产生镇静作用。</w:t>
      </w:r>
    </w:p>
    <w:p>
      <w:pPr>
        <w:pStyle w:val="BodyText"/>
        <w:spacing w:line="378" w:lineRule="exact"/>
        <w:ind w:left="717"/>
      </w:pPr>
      <w:r>
        <w:rPr/>
        <w:t>说到这里，药娃要辟谣咯！ </w:t>
      </w:r>
      <w:r>
        <w:rPr>
          <w:spacing w:val="-76"/>
        </w:rPr>
        <w:drawing>
          <wp:inline distT="0" distB="0" distL="0" distR="0">
            <wp:extent cx="428625" cy="219075"/>
            <wp:effectExtent l="0" t="0" r="0" b="0"/>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9" cstate="print"/>
                    <a:stretch>
                      <a:fillRect/>
                    </a:stretch>
                  </pic:blipFill>
                  <pic:spPr>
                    <a:xfrm>
                      <a:off x="0" y="0"/>
                      <a:ext cx="428625" cy="219075"/>
                    </a:xfrm>
                    <a:prstGeom prst="rect">
                      <a:avLst/>
                    </a:prstGeom>
                  </pic:spPr>
                </pic:pic>
              </a:graphicData>
            </a:graphic>
          </wp:inline>
        </w:drawing>
      </w:r>
      <w:r>
        <w:rPr>
          <w:spacing w:val="-76"/>
        </w:rPr>
      </w:r>
    </w:p>
    <w:p>
      <w:pPr>
        <w:pStyle w:val="BodyText"/>
        <w:spacing w:line="380" w:lineRule="atLeast" w:before="2"/>
        <w:ind w:right="167" w:firstLine="480"/>
      </w:pPr>
      <w:r>
        <w:rPr/>
        <w:t>我们在电视里经常见到的一个镜头，犯罪分子用一块纱布捂住被害人口鼻，几十秒后， 被害人麻溜晕倒„„</w:t>
      </w:r>
    </w:p>
    <w:p>
      <w:pPr>
        <w:pStyle w:val="BodyText"/>
        <w:spacing w:line="378" w:lineRule="exact"/>
        <w:ind w:left="717"/>
      </w:pPr>
      <w:r>
        <w:rPr/>
        <w:t>这个，不成立！ </w:t>
      </w:r>
      <w:r>
        <w:rPr>
          <w:spacing w:val="-76"/>
          <w:position w:val="3"/>
        </w:rPr>
        <w:drawing>
          <wp:inline distT="0" distB="0" distL="0" distR="0">
            <wp:extent cx="428625" cy="209550"/>
            <wp:effectExtent l="0" t="0" r="0" b="0"/>
            <wp:docPr id="13" name="image8.png" descr=""/>
            <wp:cNvGraphicFramePr>
              <a:graphicFrameLocks noChangeAspect="1"/>
            </wp:cNvGraphicFramePr>
            <a:graphic>
              <a:graphicData uri="http://schemas.openxmlformats.org/drawingml/2006/picture">
                <pic:pic>
                  <pic:nvPicPr>
                    <pic:cNvPr id="14" name="image8.png"/>
                    <pic:cNvPicPr/>
                  </pic:nvPicPr>
                  <pic:blipFill>
                    <a:blip r:embed="rId20" cstate="print"/>
                    <a:stretch>
                      <a:fillRect/>
                    </a:stretch>
                  </pic:blipFill>
                  <pic:spPr>
                    <a:xfrm>
                      <a:off x="0" y="0"/>
                      <a:ext cx="428625" cy="209550"/>
                    </a:xfrm>
                    <a:prstGeom prst="rect">
                      <a:avLst/>
                    </a:prstGeom>
                  </pic:spPr>
                </pic:pic>
              </a:graphicData>
            </a:graphic>
          </wp:inline>
        </w:drawing>
      </w:r>
      <w:r>
        <w:rPr>
          <w:spacing w:val="-76"/>
          <w:position w:val="3"/>
        </w:rPr>
      </w:r>
    </w:p>
    <w:p>
      <w:pPr>
        <w:pStyle w:val="BodyText"/>
        <w:spacing w:line="295" w:lineRule="auto" w:before="74"/>
        <w:ind w:right="286" w:firstLine="480"/>
      </w:pPr>
      <w:r>
        <w:rPr>
          <w:spacing w:val="-4"/>
        </w:rPr>
        <w:t>即便是使用七氟醚，正常情况下也需要 </w:t>
      </w:r>
      <w:r>
        <w:rPr/>
        <w:t>1～2</w:t>
      </w:r>
      <w:r>
        <w:rPr>
          <w:spacing w:val="-9"/>
        </w:rPr>
        <w:t> 分钟才能使一个人失去意识，而且还要建</w:t>
      </w:r>
      <w:r>
        <w:rPr/>
        <w:t>立在高浓度、密闭性极好的前提下。</w:t>
      </w:r>
    </w:p>
    <w:p>
      <w:pPr>
        <w:spacing w:after="0" w:line="295" w:lineRule="auto"/>
        <w:sectPr>
          <w:pgSz w:w="11910" w:h="16850"/>
          <w:pgMar w:header="906" w:footer="607" w:top="1100" w:bottom="800" w:left="1040" w:right="860"/>
        </w:sectPr>
      </w:pPr>
    </w:p>
    <w:p>
      <w:pPr>
        <w:pStyle w:val="BodyText"/>
        <w:spacing w:line="295" w:lineRule="auto" w:before="65"/>
        <w:ind w:right="267" w:firstLine="480"/>
      </w:pPr>
      <w:r>
        <w:rPr>
          <w:spacing w:val="-9"/>
        </w:rPr>
        <w:t>除了镇静作用之外，七氟醚还具有一定的镇痛作用和肌肉松弛作用，是临床上常用的全</w:t>
      </w:r>
      <w:r>
        <w:rPr/>
        <w:t>身麻醉维持药物之一，特别适合儿童的全身麻醉。</w:t>
      </w:r>
    </w:p>
    <w:p>
      <w:pPr>
        <w:pStyle w:val="BodyText"/>
        <w:spacing w:line="297" w:lineRule="auto" w:before="2"/>
        <w:ind w:left="717" w:right="3047"/>
      </w:pPr>
      <w:r>
        <w:rPr/>
        <w:t>各位亲亲小伙伴，具有镇静作用的全麻药就介绍到这里咯！ 其余全麻药，明天咱们接着唠！</w:t>
      </w:r>
    </w:p>
    <w:p>
      <w:pPr>
        <w:pStyle w:val="BodyText"/>
        <w:spacing w:line="306" w:lineRule="exact"/>
        <w:ind w:left="717"/>
      </w:pPr>
      <w:r>
        <w:rPr/>
        <w:t>本文由解放军总医院第一医学中心麻醉手术中心张昌盛供稿。</w:t>
      </w:r>
    </w:p>
    <w:p>
      <w:pPr>
        <w:pStyle w:val="Heading1"/>
        <w:rPr>
          <w:u w:val="none"/>
        </w:rPr>
      </w:pPr>
      <w:bookmarkStart w:name="_TOC_250012" w:id="35"/>
      <w:r>
        <w:rPr>
          <w:rFonts w:ascii="Times New Roman" w:eastAsia="Times New Roman"/>
          <w:color w:val="008000"/>
          <w:spacing w:val="-110"/>
          <w:w w:val="99"/>
          <w:u w:val="thick" w:color="008000"/>
        </w:rPr>
        <w:t> </w:t>
      </w:r>
      <w:bookmarkEnd w:id="35"/>
      <w:r>
        <w:rPr>
          <w:color w:val="008000"/>
          <w:u w:val="thick" w:color="008000"/>
        </w:rPr>
        <w:t>学会动态</w:t>
      </w:r>
    </w:p>
    <w:p>
      <w:pPr>
        <w:pStyle w:val="BodyText"/>
        <w:spacing w:before="5"/>
        <w:ind w:left="0"/>
        <w:rPr>
          <w:rFonts w:ascii="华文宋体"/>
          <w:b/>
          <w:sz w:val="9"/>
        </w:rPr>
      </w:pPr>
    </w:p>
    <w:p>
      <w:pPr>
        <w:pStyle w:val="Heading2"/>
        <w:spacing w:before="54"/>
      </w:pPr>
      <w:bookmarkStart w:name="_TOC_250011" w:id="36"/>
      <w:bookmarkEnd w:id="36"/>
      <w:r>
        <w:rPr/>
        <w:t>【重要通知】</w:t>
      </w:r>
    </w:p>
    <w:p>
      <w:pPr>
        <w:pStyle w:val="Heading2"/>
        <w:spacing w:before="121"/>
      </w:pPr>
      <w:bookmarkStart w:name="_TOC_250010" w:id="37"/>
      <w:r>
        <w:rPr>
          <w:spacing w:val="-13"/>
        </w:rPr>
        <w:t>关于筹备召开 </w:t>
      </w:r>
      <w:r>
        <w:rPr/>
        <w:t>2019</w:t>
      </w:r>
      <w:r>
        <w:rPr>
          <w:spacing w:val="-18"/>
        </w:rPr>
        <w:t> 年全国医药经济信息网工作会议的通知</w:t>
      </w:r>
      <w:bookmarkEnd w:id="37"/>
      <w:r>
        <w:rPr/>
        <w:t>（第一轮）</w:t>
      </w:r>
    </w:p>
    <w:p>
      <w:pPr>
        <w:pStyle w:val="BodyText"/>
        <w:spacing w:before="3"/>
        <w:ind w:left="0"/>
        <w:rPr>
          <w:b/>
          <w:sz w:val="8"/>
        </w:rPr>
      </w:pPr>
    </w:p>
    <w:p>
      <w:pPr>
        <w:pStyle w:val="Heading4"/>
        <w:spacing w:before="66"/>
        <w:ind w:left="5398"/>
        <w:rPr>
          <w:rFonts w:ascii="楷体" w:eastAsia="楷体" w:hint="eastAsia"/>
        </w:rPr>
      </w:pPr>
      <w:r>
        <w:rPr>
          <w:rFonts w:ascii="楷体" w:eastAsia="楷体" w:hint="eastAsia"/>
          <w:color w:val="FF0000"/>
        </w:rPr>
        <w:t>（来源：中国药学会科技开发中心网站）</w:t>
      </w:r>
    </w:p>
    <w:p>
      <w:pPr>
        <w:pStyle w:val="BodyText"/>
        <w:spacing w:before="96"/>
        <w:ind w:left="717"/>
      </w:pPr>
      <w:r>
        <w:rPr/>
        <w:t>各有关单位：</w:t>
      </w:r>
    </w:p>
    <w:p>
      <w:pPr>
        <w:pStyle w:val="BodyText"/>
        <w:spacing w:line="297" w:lineRule="auto" w:before="74"/>
        <w:ind w:right="150" w:firstLine="480"/>
      </w:pPr>
      <w:r>
        <w:rPr/>
        <w:t>2019</w:t>
      </w:r>
      <w:r>
        <w:rPr>
          <w:spacing w:val="-12"/>
        </w:rPr>
        <w:t> 年是中华人民共和国成立 </w:t>
      </w:r>
      <w:r>
        <w:rPr/>
        <w:t>70</w:t>
      </w:r>
      <w:r>
        <w:rPr>
          <w:spacing w:val="-11"/>
        </w:rPr>
        <w:t> 周年，也是新一轮医药卫生体制改革的第 </w:t>
      </w:r>
      <w:r>
        <w:rPr/>
        <w:t>10</w:t>
      </w:r>
      <w:r>
        <w:rPr>
          <w:spacing w:val="-15"/>
        </w:rPr>
        <w:t> 年，新时代要有新理念。为深刻领会习近平新时代中国特色社会主义思想，紧紧围绕实施健康中国</w:t>
      </w:r>
      <w:r>
        <w:rPr>
          <w:spacing w:val="-18"/>
        </w:rPr>
        <w:t>的战略，以人民健康为中心，以服务保障为主线，努力推动我国卫生健康事业高质量的发展， </w:t>
      </w:r>
      <w:r>
        <w:rPr>
          <w:spacing w:val="-8"/>
        </w:rPr>
        <w:t>依照中国药学会 </w:t>
      </w:r>
      <w:r>
        <w:rPr/>
        <w:t>2019</w:t>
      </w:r>
      <w:r>
        <w:rPr>
          <w:spacing w:val="-13"/>
        </w:rPr>
        <w:t> 年工作部署，拟定于 </w:t>
      </w:r>
      <w:r>
        <w:rPr/>
        <w:t>2019</w:t>
      </w:r>
      <w:r>
        <w:rPr>
          <w:spacing w:val="-40"/>
        </w:rPr>
        <w:t> 年 </w:t>
      </w:r>
      <w:r>
        <w:rPr/>
        <w:t>11</w:t>
      </w:r>
      <w:r>
        <w:rPr>
          <w:spacing w:val="-8"/>
        </w:rPr>
        <w:t> 月上旬在重庆市举办第十九届中国药</w:t>
      </w:r>
    </w:p>
    <w:p>
      <w:pPr>
        <w:pStyle w:val="BodyText"/>
        <w:spacing w:line="295" w:lineRule="auto"/>
        <w:ind w:right="167"/>
      </w:pPr>
      <w:r>
        <w:rPr>
          <w:spacing w:val="-8"/>
        </w:rPr>
        <w:t>师周,同期召开 </w:t>
      </w:r>
      <w:r>
        <w:rPr/>
        <w:t>2019</w:t>
      </w:r>
      <w:r>
        <w:rPr>
          <w:spacing w:val="-9"/>
        </w:rPr>
        <w:t> 年全国医药经济信息网工作会议。为确保会议及各项活动的顺利进行， </w:t>
      </w:r>
      <w:r>
        <w:rPr/>
        <w:t>现将有关筹备工作通知如下：</w:t>
      </w:r>
    </w:p>
    <w:p>
      <w:pPr>
        <w:pStyle w:val="BodyText"/>
        <w:tabs>
          <w:tab w:pos="3597" w:val="left" w:leader="none"/>
        </w:tabs>
        <w:spacing w:line="295" w:lineRule="auto"/>
        <w:ind w:left="717" w:right="1846"/>
      </w:pPr>
      <w:r>
        <w:rPr>
          <w:spacing w:val="-1"/>
        </w:rPr>
        <w:t>具</w:t>
      </w:r>
      <w:r>
        <w:rPr/>
        <w:t>体通知内容请下载：</w:t>
      </w:r>
      <w:hyperlink r:id="rId21">
        <w:r>
          <w:rPr>
            <w:color w:val="0000FF"/>
            <w:u w:val="single" w:color="0000FF"/>
          </w:rPr>
          <w:t>http://www.cmei.org.cn/content/?13956.html </w:t>
        </w:r>
      </w:hyperlink>
      <w:r>
        <w:rPr/>
        <w:t>中国药学会科技开发中心</w:t>
        <w:tab/>
        <w:t>2019</w:t>
      </w:r>
      <w:r>
        <w:rPr>
          <w:spacing w:val="-60"/>
        </w:rPr>
        <w:t> </w:t>
      </w:r>
      <w:r>
        <w:rPr/>
        <w:t>年</w:t>
      </w:r>
      <w:r>
        <w:rPr>
          <w:spacing w:val="-60"/>
        </w:rPr>
        <w:t> </w:t>
      </w:r>
      <w:r>
        <w:rPr/>
        <w:t>3</w:t>
      </w:r>
      <w:r>
        <w:rPr>
          <w:spacing w:val="-60"/>
        </w:rPr>
        <w:t> </w:t>
      </w:r>
      <w:r>
        <w:rPr/>
        <w:t>月</w:t>
      </w:r>
      <w:r>
        <w:rPr>
          <w:spacing w:val="-60"/>
        </w:rPr>
        <w:t> </w:t>
      </w:r>
      <w:r>
        <w:rPr/>
        <w:t>1</w:t>
      </w:r>
      <w:r>
        <w:rPr>
          <w:spacing w:val="-60"/>
        </w:rPr>
        <w:t> </w:t>
      </w:r>
      <w:r>
        <w:rPr/>
        <w:t>日</w:t>
      </w:r>
    </w:p>
    <w:p>
      <w:pPr>
        <w:pStyle w:val="BodyText"/>
        <w:spacing w:before="2"/>
        <w:ind w:left="0"/>
        <w:rPr>
          <w:sz w:val="18"/>
        </w:rPr>
      </w:pPr>
    </w:p>
    <w:p>
      <w:pPr>
        <w:pStyle w:val="Heading2"/>
        <w:ind w:left="1730"/>
      </w:pPr>
      <w:bookmarkStart w:name="_TOC_250009" w:id="38"/>
      <w:bookmarkEnd w:id="38"/>
      <w:r>
        <w:rPr/>
        <w:t>2019 年“药娃杯”药学科普作品征集活动方案</w:t>
      </w:r>
    </w:p>
    <w:p>
      <w:pPr>
        <w:pStyle w:val="Heading4"/>
        <w:spacing w:before="148"/>
        <w:ind w:left="5398"/>
        <w:rPr>
          <w:rFonts w:ascii="楷体" w:eastAsia="楷体" w:hint="eastAsia"/>
        </w:rPr>
      </w:pPr>
      <w:r>
        <w:rPr>
          <w:rFonts w:ascii="楷体" w:eastAsia="楷体" w:hint="eastAsia"/>
          <w:color w:val="FF0000"/>
        </w:rPr>
        <w:t>（来源：中国药学会科技开发中心网站）</w:t>
      </w:r>
    </w:p>
    <w:p>
      <w:pPr>
        <w:pStyle w:val="BodyText"/>
        <w:spacing w:before="79"/>
        <w:ind w:left="717"/>
      </w:pPr>
      <w:r>
        <w:rPr/>
        <w:t>一、指导思想</w:t>
      </w:r>
    </w:p>
    <w:p>
      <w:pPr>
        <w:pStyle w:val="BodyText"/>
        <w:spacing w:line="280" w:lineRule="auto" w:before="52"/>
        <w:ind w:right="266" w:firstLine="480"/>
        <w:jc w:val="both"/>
      </w:pPr>
      <w:r>
        <w:rPr>
          <w:spacing w:val="-6"/>
        </w:rPr>
        <w:t>习近平总书记在十九大报告中提出“弘扬科学精神，普及科学知识”。为进一步强化全国医药经济信息网的药学科技传播能力，促进药学科普资源的开发、整合与共享，繁荣药学</w:t>
      </w:r>
      <w:r>
        <w:rPr>
          <w:spacing w:val="-9"/>
        </w:rPr>
        <w:t>科普作品创作，丰富药学科普内容和形式，展现药师职业风采，向公众广泛宣传安全合理用</w:t>
      </w:r>
      <w:r>
        <w:rPr>
          <w:spacing w:val="-2"/>
        </w:rPr>
        <w:t>药知识，现面向各地药学会所属分网及全国医药经济信息网各网员医院开展 </w:t>
      </w:r>
      <w:r>
        <w:rPr/>
        <w:t>2019</w:t>
      </w:r>
      <w:r>
        <w:rPr>
          <w:spacing w:val="-12"/>
        </w:rPr>
        <w:t> 年“药娃杯”药学科普作品征集活动。</w:t>
      </w:r>
    </w:p>
    <w:p>
      <w:pPr>
        <w:pStyle w:val="BodyText"/>
        <w:spacing w:before="2"/>
        <w:ind w:left="717"/>
      </w:pPr>
      <w:r>
        <w:rPr/>
        <w:t>二、作品主题</w:t>
      </w:r>
    </w:p>
    <w:p>
      <w:pPr>
        <w:pStyle w:val="BodyText"/>
        <w:spacing w:line="280" w:lineRule="auto" w:before="52"/>
        <w:ind w:left="717" w:right="7247"/>
      </w:pPr>
      <w:r>
        <w:rPr>
          <w:spacing w:val="-3"/>
        </w:rPr>
        <w:t>科学用药 健康你我</w:t>
      </w:r>
      <w:r>
        <w:rPr/>
        <w:t>三、活动范围</w:t>
      </w:r>
    </w:p>
    <w:p>
      <w:pPr>
        <w:pStyle w:val="BodyText"/>
        <w:spacing w:line="280" w:lineRule="auto" w:before="1"/>
        <w:ind w:left="717" w:right="4967"/>
      </w:pPr>
      <w:r>
        <w:rPr>
          <w:spacing w:val="-1"/>
        </w:rPr>
        <w:t>全国医药经济信息网各网员医院专业药师</w:t>
      </w:r>
      <w:r>
        <w:rPr/>
        <w:t>四、征集要求</w:t>
      </w:r>
    </w:p>
    <w:p>
      <w:pPr>
        <w:pStyle w:val="BodyText"/>
        <w:spacing w:before="1"/>
        <w:ind w:left="717"/>
      </w:pPr>
      <w:r>
        <w:rPr/>
        <w:t>（一）作品应具有较高的思想性、科学性、新颖性、通俗性和实用性。</w:t>
      </w:r>
    </w:p>
    <w:p>
      <w:pPr>
        <w:pStyle w:val="ListParagraph"/>
        <w:numPr>
          <w:ilvl w:val="0"/>
          <w:numId w:val="9"/>
        </w:numPr>
        <w:tabs>
          <w:tab w:pos="959" w:val="left" w:leader="none"/>
        </w:tabs>
        <w:spacing w:line="280" w:lineRule="auto" w:before="52" w:after="0"/>
        <w:ind w:left="237" w:right="267" w:firstLine="480"/>
        <w:jc w:val="left"/>
        <w:rPr>
          <w:sz w:val="24"/>
        </w:rPr>
      </w:pPr>
      <w:r>
        <w:rPr>
          <w:spacing w:val="-10"/>
          <w:sz w:val="24"/>
        </w:rPr>
        <w:t>思想性：主题思想和内容健康向上，反映当前药学领域主旋律，代表医药事业的发展</w:t>
      </w:r>
      <w:r>
        <w:rPr>
          <w:sz w:val="24"/>
        </w:rPr>
        <w:t>方向，能为公众合理用药、安全用药、健康促进提供帮助。</w:t>
      </w:r>
    </w:p>
    <w:p>
      <w:pPr>
        <w:spacing w:after="0" w:line="280" w:lineRule="auto"/>
        <w:jc w:val="left"/>
        <w:rPr>
          <w:sz w:val="24"/>
        </w:rPr>
        <w:sectPr>
          <w:pgSz w:w="11910" w:h="16850"/>
          <w:pgMar w:header="906" w:footer="607" w:top="1100" w:bottom="800" w:left="1040" w:right="860"/>
        </w:sectPr>
      </w:pPr>
    </w:p>
    <w:p>
      <w:pPr>
        <w:pStyle w:val="ListParagraph"/>
        <w:numPr>
          <w:ilvl w:val="0"/>
          <w:numId w:val="9"/>
        </w:numPr>
        <w:tabs>
          <w:tab w:pos="959" w:val="left" w:leader="none"/>
        </w:tabs>
        <w:spacing w:line="280" w:lineRule="auto" w:before="48" w:after="0"/>
        <w:ind w:left="237" w:right="270" w:firstLine="480"/>
        <w:jc w:val="left"/>
        <w:rPr>
          <w:sz w:val="24"/>
        </w:rPr>
      </w:pPr>
      <w:r>
        <w:rPr>
          <w:spacing w:val="-10"/>
          <w:sz w:val="24"/>
        </w:rPr>
        <w:t>科学性：符合普及科学技术知识、倡导科学方法、传播科学思想、弘扬科学精神的要</w:t>
      </w:r>
      <w:r>
        <w:rPr>
          <w:sz w:val="24"/>
        </w:rPr>
        <w:t>求，科学、客观、准确地传递药学专业知识。</w:t>
      </w:r>
    </w:p>
    <w:p>
      <w:pPr>
        <w:pStyle w:val="ListParagraph"/>
        <w:numPr>
          <w:ilvl w:val="0"/>
          <w:numId w:val="9"/>
        </w:numPr>
        <w:tabs>
          <w:tab w:pos="959" w:val="left" w:leader="none"/>
        </w:tabs>
        <w:spacing w:line="280" w:lineRule="auto" w:before="1" w:after="0"/>
        <w:ind w:left="237" w:right="266" w:firstLine="480"/>
        <w:jc w:val="left"/>
        <w:rPr>
          <w:sz w:val="24"/>
        </w:rPr>
      </w:pPr>
      <w:r>
        <w:rPr>
          <w:spacing w:val="-11"/>
          <w:sz w:val="24"/>
        </w:rPr>
        <w:t>新颖性：作品主题切入视角独特，整体内容构思新颖，创作手法和表现形式具有独创</w:t>
      </w:r>
      <w:r>
        <w:rPr>
          <w:sz w:val="24"/>
        </w:rPr>
        <w:t>性，富有特色，具有感染力。</w:t>
      </w:r>
    </w:p>
    <w:p>
      <w:pPr>
        <w:pStyle w:val="ListParagraph"/>
        <w:numPr>
          <w:ilvl w:val="0"/>
          <w:numId w:val="9"/>
        </w:numPr>
        <w:tabs>
          <w:tab w:pos="959" w:val="left" w:leader="none"/>
        </w:tabs>
        <w:spacing w:line="240" w:lineRule="auto" w:before="0" w:after="0"/>
        <w:ind w:left="958" w:right="0" w:hanging="241"/>
        <w:jc w:val="left"/>
        <w:rPr>
          <w:sz w:val="24"/>
        </w:rPr>
      </w:pPr>
      <w:r>
        <w:rPr>
          <w:sz w:val="24"/>
        </w:rPr>
        <w:t>通俗性：作品生动活泼，通俗易懂，并注重药学科普与人文科学相结合。</w:t>
      </w:r>
    </w:p>
    <w:p>
      <w:pPr>
        <w:pStyle w:val="ListParagraph"/>
        <w:numPr>
          <w:ilvl w:val="0"/>
          <w:numId w:val="9"/>
        </w:numPr>
        <w:tabs>
          <w:tab w:pos="959" w:val="left" w:leader="none"/>
        </w:tabs>
        <w:spacing w:line="240" w:lineRule="auto" w:before="53" w:after="0"/>
        <w:ind w:left="958" w:right="0" w:hanging="241"/>
        <w:jc w:val="left"/>
        <w:rPr>
          <w:sz w:val="24"/>
        </w:rPr>
      </w:pPr>
      <w:r>
        <w:rPr>
          <w:sz w:val="24"/>
        </w:rPr>
        <w:t>实用性：反映的药学科普知识紧跟社会热点，密切结合公众生活实际。</w:t>
      </w:r>
    </w:p>
    <w:p>
      <w:pPr>
        <w:pStyle w:val="BodyText"/>
        <w:spacing w:before="52"/>
        <w:ind w:left="717"/>
      </w:pPr>
      <w:r>
        <w:rPr/>
        <w:t>（二）作品内容</w:t>
      </w:r>
    </w:p>
    <w:p>
      <w:pPr>
        <w:pStyle w:val="ListParagraph"/>
        <w:numPr>
          <w:ilvl w:val="0"/>
          <w:numId w:val="10"/>
        </w:numPr>
        <w:tabs>
          <w:tab w:pos="959" w:val="left" w:leader="none"/>
        </w:tabs>
        <w:spacing w:line="280" w:lineRule="auto" w:before="53" w:after="0"/>
        <w:ind w:left="237" w:right="268" w:firstLine="480"/>
        <w:jc w:val="left"/>
        <w:rPr>
          <w:sz w:val="24"/>
        </w:rPr>
      </w:pPr>
      <w:r>
        <w:rPr>
          <w:spacing w:val="-13"/>
          <w:sz w:val="24"/>
        </w:rPr>
        <w:t>主题鲜明，围绕“合理用药”主题，结合公众关心的热点话题或工作实际引入案例分</w:t>
      </w:r>
      <w:r>
        <w:rPr>
          <w:sz w:val="24"/>
        </w:rPr>
        <w:t>析为佳。</w:t>
      </w:r>
    </w:p>
    <w:p>
      <w:pPr>
        <w:pStyle w:val="ListParagraph"/>
        <w:numPr>
          <w:ilvl w:val="0"/>
          <w:numId w:val="10"/>
        </w:numPr>
        <w:tabs>
          <w:tab w:pos="959" w:val="left" w:leader="none"/>
        </w:tabs>
        <w:spacing w:line="240" w:lineRule="auto" w:before="0" w:after="0"/>
        <w:ind w:left="958" w:right="0" w:hanging="241"/>
        <w:jc w:val="left"/>
        <w:rPr>
          <w:sz w:val="24"/>
        </w:rPr>
      </w:pPr>
      <w:r>
        <w:rPr>
          <w:sz w:val="24"/>
        </w:rPr>
        <w:t>题材不限，以下题材仅供参考：</w:t>
      </w:r>
    </w:p>
    <w:p>
      <w:pPr>
        <w:pStyle w:val="BodyText"/>
        <w:spacing w:line="280" w:lineRule="auto" w:before="53"/>
        <w:ind w:right="267" w:firstLine="480"/>
      </w:pPr>
      <w:r>
        <w:rPr>
          <w:spacing w:val="-2"/>
        </w:rPr>
        <w:t>特殊人群用药</w:t>
      </w:r>
      <w:r>
        <w:rPr/>
        <w:t>（</w:t>
      </w:r>
      <w:r>
        <w:rPr>
          <w:spacing w:val="-5"/>
        </w:rPr>
        <w:t>老人、妇女、儿童等</w:t>
      </w:r>
      <w:r>
        <w:rPr>
          <w:spacing w:val="-12"/>
        </w:rPr>
        <w:t>）；</w:t>
      </w:r>
      <w:r>
        <w:rPr>
          <w:spacing w:val="-2"/>
        </w:rPr>
        <w:t>特殊疾病及防治</w:t>
      </w:r>
      <w:r>
        <w:rPr/>
        <w:t>（</w:t>
      </w:r>
      <w:r>
        <w:rPr>
          <w:spacing w:val="-3"/>
        </w:rPr>
        <w:t>肿瘤、罕见病等</w:t>
      </w:r>
      <w:r>
        <w:rPr>
          <w:spacing w:val="-12"/>
        </w:rPr>
        <w:t>）；</w:t>
      </w:r>
      <w:r>
        <w:rPr>
          <w:spacing w:val="-6"/>
        </w:rPr>
        <w:t>常见慢</w:t>
      </w:r>
      <w:r>
        <w:rPr>
          <w:spacing w:val="-4"/>
        </w:rPr>
        <w:t>病管理</w:t>
      </w:r>
      <w:r>
        <w:rPr>
          <w:spacing w:val="-6"/>
        </w:rPr>
        <w:t>（</w:t>
      </w:r>
      <w:r>
        <w:rPr>
          <w:spacing w:val="-4"/>
        </w:rPr>
        <w:t>“三高”等</w:t>
      </w:r>
      <w:r>
        <w:rPr>
          <w:spacing w:val="-14"/>
        </w:rPr>
        <w:t>）</w:t>
      </w:r>
      <w:r>
        <w:rPr>
          <w:spacing w:val="-8"/>
        </w:rPr>
        <w:t>；季节流行病防治；地方性疾病及防治；药品不良反应；常见健康或</w:t>
      </w:r>
      <w:r>
        <w:rPr/>
        <w:t>用药误区；药品与保健品；中药的应用；药品说明书解读；节日/健康日（</w:t>
      </w:r>
      <w:r>
        <w:rPr>
          <w:spacing w:val="-15"/>
        </w:rPr>
        <w:t>见附件 </w:t>
      </w:r>
      <w:r>
        <w:rPr/>
        <w:t>5-1）相关疾病防治等。</w:t>
      </w:r>
    </w:p>
    <w:p>
      <w:pPr>
        <w:pStyle w:val="BodyText"/>
        <w:spacing w:before="1"/>
        <w:ind w:left="717"/>
      </w:pPr>
      <w:r>
        <w:rPr/>
        <w:t>（三）作品形式及要求</w:t>
      </w:r>
    </w:p>
    <w:p>
      <w:pPr>
        <w:pStyle w:val="BodyText"/>
        <w:spacing w:before="52"/>
        <w:ind w:left="717"/>
      </w:pPr>
      <w:r>
        <w:rPr/>
        <w:t>形式不限，可为视频、音频、图片（漫画）、文字等。</w:t>
      </w:r>
    </w:p>
    <w:p>
      <w:pPr>
        <w:pStyle w:val="ListParagraph"/>
        <w:numPr>
          <w:ilvl w:val="0"/>
          <w:numId w:val="11"/>
        </w:numPr>
        <w:tabs>
          <w:tab w:pos="959" w:val="left" w:leader="none"/>
        </w:tabs>
        <w:spacing w:line="240" w:lineRule="auto" w:before="53" w:after="0"/>
        <w:ind w:left="958" w:right="0" w:hanging="241"/>
        <w:jc w:val="left"/>
        <w:rPr>
          <w:sz w:val="24"/>
        </w:rPr>
      </w:pPr>
      <w:r>
        <w:rPr>
          <w:sz w:val="24"/>
        </w:rPr>
        <w:t>视频作品要求：</w:t>
      </w:r>
    </w:p>
    <w:p>
      <w:pPr>
        <w:pStyle w:val="BodyText"/>
        <w:spacing w:line="280" w:lineRule="auto" w:before="52"/>
        <w:ind w:left="717" w:right="3279"/>
      </w:pPr>
      <w:r>
        <w:rPr/>
        <w:t>格式： MP4、MPEG、AVI 等格式的高清视频（不压缩）； 分辨率：1920*1080P；</w:t>
      </w:r>
    </w:p>
    <w:p>
      <w:pPr>
        <w:pStyle w:val="BodyText"/>
        <w:spacing w:line="280" w:lineRule="auto" w:before="1"/>
        <w:ind w:left="717" w:right="7120"/>
      </w:pPr>
      <w:r>
        <w:rPr/>
        <w:t>时长：3～10 分钟； 字幕：中文；</w:t>
      </w:r>
    </w:p>
    <w:p>
      <w:pPr>
        <w:pStyle w:val="BodyText"/>
        <w:spacing w:before="1"/>
        <w:ind w:left="717"/>
      </w:pPr>
      <w:r>
        <w:rPr/>
        <w:t>附完整字幕的 word 文档；</w:t>
      </w:r>
    </w:p>
    <w:p>
      <w:pPr>
        <w:pStyle w:val="BodyText"/>
        <w:spacing w:before="52"/>
        <w:ind w:left="717"/>
      </w:pPr>
      <w:r>
        <w:rPr/>
        <w:t>视频中不得出现商业广告等无关内容。</w:t>
      </w:r>
    </w:p>
    <w:p>
      <w:pPr>
        <w:pStyle w:val="ListParagraph"/>
        <w:numPr>
          <w:ilvl w:val="0"/>
          <w:numId w:val="11"/>
        </w:numPr>
        <w:tabs>
          <w:tab w:pos="959" w:val="left" w:leader="none"/>
        </w:tabs>
        <w:spacing w:line="240" w:lineRule="auto" w:before="53" w:after="0"/>
        <w:ind w:left="958" w:right="0" w:hanging="241"/>
        <w:jc w:val="left"/>
        <w:rPr>
          <w:sz w:val="24"/>
        </w:rPr>
      </w:pPr>
      <w:r>
        <w:rPr>
          <w:sz w:val="24"/>
        </w:rPr>
        <w:t>音频作品要求：</w:t>
      </w:r>
    </w:p>
    <w:p>
      <w:pPr>
        <w:pStyle w:val="BodyText"/>
        <w:spacing w:line="280" w:lineRule="auto" w:before="52"/>
        <w:ind w:left="717" w:right="3287"/>
      </w:pPr>
      <w:r>
        <w:rPr/>
        <w:t>格式：MP3、WMA；音质：清晰无杂音，可自配背景音乐； 时长：3～10 分钟；</w:t>
      </w:r>
    </w:p>
    <w:p>
      <w:pPr>
        <w:pStyle w:val="ListParagraph"/>
        <w:numPr>
          <w:ilvl w:val="0"/>
          <w:numId w:val="6"/>
        </w:numPr>
        <w:tabs>
          <w:tab w:pos="1319" w:val="left" w:leader="none"/>
        </w:tabs>
        <w:spacing w:line="240" w:lineRule="auto" w:before="1" w:after="0"/>
        <w:ind w:left="1318" w:right="0" w:hanging="601"/>
        <w:jc w:val="left"/>
        <w:rPr>
          <w:sz w:val="24"/>
        </w:rPr>
      </w:pPr>
      <w:r>
        <w:rPr>
          <w:spacing w:val="-7"/>
          <w:sz w:val="24"/>
        </w:rPr>
        <w:t>附完整音频文字的 </w:t>
      </w:r>
      <w:r>
        <w:rPr>
          <w:sz w:val="24"/>
        </w:rPr>
        <w:t>word</w:t>
      </w:r>
      <w:r>
        <w:rPr>
          <w:spacing w:val="-15"/>
          <w:sz w:val="24"/>
        </w:rPr>
        <w:t> 文档。</w:t>
      </w:r>
    </w:p>
    <w:p>
      <w:pPr>
        <w:pStyle w:val="ListParagraph"/>
        <w:numPr>
          <w:ilvl w:val="0"/>
          <w:numId w:val="11"/>
        </w:numPr>
        <w:tabs>
          <w:tab w:pos="959" w:val="left" w:leader="none"/>
        </w:tabs>
        <w:spacing w:line="240" w:lineRule="auto" w:before="53" w:after="0"/>
        <w:ind w:left="958" w:right="0" w:hanging="241"/>
        <w:jc w:val="left"/>
        <w:rPr>
          <w:sz w:val="24"/>
        </w:rPr>
      </w:pPr>
      <w:r>
        <w:rPr>
          <w:sz w:val="24"/>
        </w:rPr>
        <w:t>图片（漫画）作品要求：</w:t>
      </w:r>
    </w:p>
    <w:p>
      <w:pPr>
        <w:pStyle w:val="ListParagraph"/>
        <w:numPr>
          <w:ilvl w:val="0"/>
          <w:numId w:val="12"/>
        </w:numPr>
        <w:tabs>
          <w:tab w:pos="1319" w:val="left" w:leader="none"/>
        </w:tabs>
        <w:spacing w:line="240" w:lineRule="auto" w:before="52" w:after="0"/>
        <w:ind w:left="1318" w:right="0" w:hanging="601"/>
        <w:jc w:val="left"/>
        <w:rPr>
          <w:sz w:val="24"/>
        </w:rPr>
      </w:pPr>
      <w:r>
        <w:rPr>
          <w:sz w:val="24"/>
        </w:rPr>
        <w:t>格式：jpg、png；</w:t>
      </w:r>
    </w:p>
    <w:p>
      <w:pPr>
        <w:pStyle w:val="ListParagraph"/>
        <w:numPr>
          <w:ilvl w:val="0"/>
          <w:numId w:val="12"/>
        </w:numPr>
        <w:tabs>
          <w:tab w:pos="1319" w:val="left" w:leader="none"/>
        </w:tabs>
        <w:spacing w:line="240" w:lineRule="auto" w:before="53" w:after="0"/>
        <w:ind w:left="1318" w:right="0" w:hanging="601"/>
        <w:jc w:val="left"/>
        <w:rPr>
          <w:sz w:val="24"/>
        </w:rPr>
      </w:pPr>
      <w:r>
        <w:rPr>
          <w:spacing w:val="-7"/>
          <w:sz w:val="24"/>
        </w:rPr>
        <w:t>尺寸：宽度不低于 </w:t>
      </w:r>
      <w:r>
        <w:rPr>
          <w:sz w:val="24"/>
        </w:rPr>
        <w:t>1000px，高度可根据需求自行设置（参考尺寸：1000px（宽）</w:t>
      </w:r>
    </w:p>
    <w:p>
      <w:pPr>
        <w:pStyle w:val="BodyText"/>
        <w:spacing w:before="52"/>
      </w:pPr>
      <w:r>
        <w:rPr/>
        <w:t>*1600px（高））；</w:t>
      </w:r>
    </w:p>
    <w:p>
      <w:pPr>
        <w:pStyle w:val="ListParagraph"/>
        <w:numPr>
          <w:ilvl w:val="0"/>
          <w:numId w:val="12"/>
        </w:numPr>
        <w:tabs>
          <w:tab w:pos="1319" w:val="left" w:leader="none"/>
        </w:tabs>
        <w:spacing w:line="240" w:lineRule="auto" w:before="53" w:after="0"/>
        <w:ind w:left="1318" w:right="0" w:hanging="601"/>
        <w:jc w:val="left"/>
        <w:rPr>
          <w:sz w:val="24"/>
        </w:rPr>
      </w:pPr>
      <w:r>
        <w:rPr>
          <w:sz w:val="24"/>
        </w:rPr>
        <w:t>配图文字：以手机预览清晰、美观为准；</w:t>
      </w:r>
    </w:p>
    <w:p>
      <w:pPr>
        <w:pStyle w:val="ListParagraph"/>
        <w:numPr>
          <w:ilvl w:val="0"/>
          <w:numId w:val="12"/>
        </w:numPr>
        <w:tabs>
          <w:tab w:pos="1319" w:val="left" w:leader="none"/>
        </w:tabs>
        <w:spacing w:line="240" w:lineRule="auto" w:before="52" w:after="0"/>
        <w:ind w:left="1318" w:right="0" w:hanging="601"/>
        <w:jc w:val="left"/>
        <w:rPr>
          <w:sz w:val="24"/>
        </w:rPr>
      </w:pPr>
      <w:r>
        <w:rPr>
          <w:spacing w:val="-7"/>
          <w:sz w:val="24"/>
        </w:rPr>
        <w:t>附完整配图文字的 </w:t>
      </w:r>
      <w:r>
        <w:rPr>
          <w:sz w:val="24"/>
        </w:rPr>
        <w:t>word</w:t>
      </w:r>
      <w:r>
        <w:rPr>
          <w:spacing w:val="-15"/>
          <w:sz w:val="24"/>
        </w:rPr>
        <w:t> 文档。</w:t>
      </w:r>
    </w:p>
    <w:p>
      <w:pPr>
        <w:pStyle w:val="ListParagraph"/>
        <w:numPr>
          <w:ilvl w:val="0"/>
          <w:numId w:val="11"/>
        </w:numPr>
        <w:tabs>
          <w:tab w:pos="959" w:val="left" w:leader="none"/>
        </w:tabs>
        <w:spacing w:line="240" w:lineRule="auto" w:before="53" w:after="0"/>
        <w:ind w:left="958" w:right="0" w:hanging="241"/>
        <w:jc w:val="left"/>
        <w:rPr>
          <w:sz w:val="24"/>
        </w:rPr>
      </w:pPr>
      <w:r>
        <w:rPr>
          <w:sz w:val="24"/>
        </w:rPr>
        <w:t>文字作品要求：</w:t>
      </w:r>
    </w:p>
    <w:p>
      <w:pPr>
        <w:pStyle w:val="BodyText"/>
        <w:spacing w:line="280" w:lineRule="auto" w:before="52"/>
        <w:ind w:left="717" w:right="6759"/>
      </w:pPr>
      <w:r>
        <w:rPr/>
        <w:t>字数：1000～1500 字； 字体：微软雅黑；</w:t>
      </w:r>
    </w:p>
    <w:p>
      <w:pPr>
        <w:pStyle w:val="BodyText"/>
        <w:spacing w:before="1"/>
        <w:ind w:left="717"/>
      </w:pPr>
      <w:r>
        <w:rPr/>
        <w:t>字号：</w:t>
      </w:r>
    </w:p>
    <w:p>
      <w:pPr>
        <w:pStyle w:val="BodyText"/>
        <w:spacing w:line="280" w:lineRule="auto" w:before="53"/>
        <w:ind w:left="717" w:right="7847"/>
      </w:pPr>
      <w:r>
        <w:rPr/>
        <w:t>标题：四号； 正文：小四；</w:t>
      </w:r>
    </w:p>
    <w:p>
      <w:pPr>
        <w:pStyle w:val="BodyText"/>
        <w:ind w:left="717"/>
      </w:pPr>
      <w:r>
        <w:rPr/>
        <w:t>（4）行间距：1.3 倍；</w:t>
      </w:r>
    </w:p>
    <w:p>
      <w:pPr>
        <w:spacing w:after="0"/>
        <w:sectPr>
          <w:pgSz w:w="11910" w:h="16850"/>
          <w:pgMar w:header="906" w:footer="607" w:top="1100" w:bottom="800" w:left="1040" w:right="860"/>
        </w:sectPr>
      </w:pPr>
    </w:p>
    <w:p>
      <w:pPr>
        <w:pStyle w:val="ListParagraph"/>
        <w:numPr>
          <w:ilvl w:val="0"/>
          <w:numId w:val="12"/>
        </w:numPr>
        <w:tabs>
          <w:tab w:pos="1319" w:val="left" w:leader="none"/>
        </w:tabs>
        <w:spacing w:line="240" w:lineRule="auto" w:before="48" w:after="0"/>
        <w:ind w:left="1318" w:right="0" w:hanging="601"/>
        <w:jc w:val="left"/>
        <w:rPr>
          <w:sz w:val="24"/>
        </w:rPr>
      </w:pPr>
      <w:r>
        <w:rPr>
          <w:spacing w:val="-6"/>
          <w:sz w:val="24"/>
        </w:rPr>
        <w:t>文章配图尺寸：不低于 </w:t>
      </w:r>
      <w:r>
        <w:rPr>
          <w:sz w:val="24"/>
        </w:rPr>
        <w:t>900px（长）*500px（宽）。</w:t>
      </w:r>
    </w:p>
    <w:p>
      <w:pPr>
        <w:pStyle w:val="BodyText"/>
        <w:spacing w:before="53"/>
        <w:ind w:left="717"/>
      </w:pPr>
      <w:r>
        <w:rPr/>
        <w:t>（四）作品版权</w:t>
      </w:r>
    </w:p>
    <w:p>
      <w:pPr>
        <w:pStyle w:val="ListParagraph"/>
        <w:numPr>
          <w:ilvl w:val="0"/>
          <w:numId w:val="13"/>
        </w:numPr>
        <w:tabs>
          <w:tab w:pos="959" w:val="left" w:leader="none"/>
        </w:tabs>
        <w:spacing w:line="240" w:lineRule="auto" w:before="52" w:after="0"/>
        <w:ind w:left="958" w:right="0" w:hanging="241"/>
        <w:jc w:val="left"/>
        <w:rPr>
          <w:sz w:val="24"/>
        </w:rPr>
      </w:pPr>
      <w:r>
        <w:rPr>
          <w:sz w:val="24"/>
        </w:rPr>
        <w:t>要求作品为原创，无知识产权争议，尚未于任何平台公开发表。</w:t>
      </w:r>
    </w:p>
    <w:p>
      <w:pPr>
        <w:pStyle w:val="ListParagraph"/>
        <w:numPr>
          <w:ilvl w:val="0"/>
          <w:numId w:val="13"/>
        </w:numPr>
        <w:tabs>
          <w:tab w:pos="959" w:val="left" w:leader="none"/>
        </w:tabs>
        <w:spacing w:line="240" w:lineRule="auto" w:before="53" w:after="0"/>
        <w:ind w:left="958" w:right="0" w:hanging="241"/>
        <w:jc w:val="left"/>
        <w:rPr>
          <w:sz w:val="24"/>
        </w:rPr>
      </w:pPr>
      <w:r>
        <w:rPr>
          <w:sz w:val="24"/>
        </w:rPr>
        <w:t>应征者一旦提交作品，则被视为征集方享有作品版权，并可用于公益性科普宣传。</w:t>
      </w:r>
    </w:p>
    <w:p>
      <w:pPr>
        <w:pStyle w:val="BodyText"/>
        <w:spacing w:before="52"/>
        <w:ind w:left="717"/>
      </w:pPr>
      <w:r>
        <w:rPr/>
        <w:t>（五）提交形式</w:t>
      </w:r>
    </w:p>
    <w:p>
      <w:pPr>
        <w:pStyle w:val="ListParagraph"/>
        <w:numPr>
          <w:ilvl w:val="0"/>
          <w:numId w:val="14"/>
        </w:numPr>
        <w:tabs>
          <w:tab w:pos="959" w:val="left" w:leader="none"/>
        </w:tabs>
        <w:spacing w:line="240" w:lineRule="auto" w:before="53" w:after="0"/>
        <w:ind w:left="958" w:right="0" w:hanging="241"/>
        <w:jc w:val="left"/>
        <w:rPr>
          <w:sz w:val="24"/>
        </w:rPr>
      </w:pPr>
      <w:r>
        <w:rPr>
          <w:sz w:val="24"/>
        </w:rPr>
        <w:t>邮件主题：分网/医院名称+药学科普作品；</w:t>
      </w:r>
    </w:p>
    <w:p>
      <w:pPr>
        <w:pStyle w:val="ListParagraph"/>
        <w:numPr>
          <w:ilvl w:val="0"/>
          <w:numId w:val="14"/>
        </w:numPr>
        <w:tabs>
          <w:tab w:pos="959" w:val="left" w:leader="none"/>
        </w:tabs>
        <w:spacing w:line="240" w:lineRule="auto" w:before="52" w:after="0"/>
        <w:ind w:left="958" w:right="0" w:hanging="241"/>
        <w:jc w:val="left"/>
        <w:rPr>
          <w:sz w:val="24"/>
        </w:rPr>
      </w:pPr>
      <w:r>
        <w:rPr>
          <w:sz w:val="24"/>
        </w:rPr>
        <w:t>文件夹：以医院名称命名；</w:t>
      </w:r>
    </w:p>
    <w:p>
      <w:pPr>
        <w:pStyle w:val="ListParagraph"/>
        <w:numPr>
          <w:ilvl w:val="0"/>
          <w:numId w:val="14"/>
        </w:numPr>
        <w:tabs>
          <w:tab w:pos="959" w:val="left" w:leader="none"/>
        </w:tabs>
        <w:spacing w:line="240" w:lineRule="auto" w:before="53" w:after="0"/>
        <w:ind w:left="958" w:right="0" w:hanging="241"/>
        <w:jc w:val="left"/>
        <w:rPr>
          <w:sz w:val="24"/>
        </w:rPr>
      </w:pPr>
      <w:r>
        <w:rPr>
          <w:sz w:val="24"/>
        </w:rPr>
        <w:t>文件：以医院名称+作者姓名命名；</w:t>
      </w:r>
    </w:p>
    <w:p>
      <w:pPr>
        <w:pStyle w:val="ListParagraph"/>
        <w:numPr>
          <w:ilvl w:val="0"/>
          <w:numId w:val="14"/>
        </w:numPr>
        <w:tabs>
          <w:tab w:pos="959" w:val="left" w:leader="none"/>
        </w:tabs>
        <w:spacing w:line="280" w:lineRule="auto" w:before="52" w:after="0"/>
        <w:ind w:left="717" w:right="5746" w:firstLine="0"/>
        <w:jc w:val="left"/>
        <w:rPr>
          <w:sz w:val="24"/>
        </w:rPr>
      </w:pPr>
      <w:r>
        <w:rPr>
          <w:sz w:val="24"/>
        </w:rPr>
        <w:t>附作品信息表（</w:t>
      </w:r>
      <w:r>
        <w:rPr>
          <w:spacing w:val="-15"/>
          <w:sz w:val="24"/>
        </w:rPr>
        <w:t>见附件 </w:t>
      </w:r>
      <w:r>
        <w:rPr>
          <w:sz w:val="24"/>
        </w:rPr>
        <w:t>5-2）</w:t>
      </w:r>
      <w:r>
        <w:rPr>
          <w:spacing w:val="-17"/>
          <w:sz w:val="24"/>
        </w:rPr>
        <w:t>。</w:t>
      </w:r>
      <w:r>
        <w:rPr>
          <w:sz w:val="24"/>
        </w:rPr>
        <w:t>五、征集评选</w:t>
      </w:r>
    </w:p>
    <w:p>
      <w:pPr>
        <w:pStyle w:val="BodyText"/>
        <w:spacing w:before="1"/>
        <w:ind w:left="717"/>
      </w:pPr>
      <w:r>
        <w:rPr/>
        <w:t>（一）初选与推荐</w:t>
      </w:r>
    </w:p>
    <w:p>
      <w:pPr>
        <w:pStyle w:val="ListParagraph"/>
        <w:numPr>
          <w:ilvl w:val="0"/>
          <w:numId w:val="15"/>
        </w:numPr>
        <w:tabs>
          <w:tab w:pos="959" w:val="left" w:leader="none"/>
        </w:tabs>
        <w:spacing w:line="280" w:lineRule="auto" w:before="53" w:after="0"/>
        <w:ind w:left="237" w:right="266" w:firstLine="480"/>
        <w:jc w:val="left"/>
        <w:rPr>
          <w:sz w:val="24"/>
        </w:rPr>
      </w:pPr>
      <w:r>
        <w:rPr>
          <w:spacing w:val="-12"/>
          <w:sz w:val="24"/>
        </w:rPr>
        <w:t>推荐单位：各网员医院统一上报至各分网，再由各分网组织按照第三条征集要求进行</w:t>
      </w:r>
      <w:r>
        <w:rPr>
          <w:sz w:val="24"/>
        </w:rPr>
        <w:t>初选推荐工作（</w:t>
      </w:r>
      <w:r>
        <w:rPr>
          <w:spacing w:val="-15"/>
          <w:sz w:val="24"/>
        </w:rPr>
        <w:t>见附件 </w:t>
      </w:r>
      <w:r>
        <w:rPr>
          <w:sz w:val="24"/>
        </w:rPr>
        <w:t>5-3）。</w:t>
      </w:r>
    </w:p>
    <w:p>
      <w:pPr>
        <w:pStyle w:val="ListParagraph"/>
        <w:numPr>
          <w:ilvl w:val="0"/>
          <w:numId w:val="15"/>
        </w:numPr>
        <w:tabs>
          <w:tab w:pos="959" w:val="left" w:leader="none"/>
        </w:tabs>
        <w:spacing w:line="240" w:lineRule="auto" w:before="0" w:after="0"/>
        <w:ind w:left="958" w:right="0" w:hanging="241"/>
        <w:jc w:val="left"/>
        <w:rPr>
          <w:sz w:val="24"/>
        </w:rPr>
      </w:pPr>
      <w:r>
        <w:rPr>
          <w:sz w:val="24"/>
        </w:rPr>
        <w:t>推荐时间：2019</w:t>
      </w:r>
      <w:r>
        <w:rPr>
          <w:spacing w:val="-41"/>
          <w:sz w:val="24"/>
        </w:rPr>
        <w:t> 年 </w:t>
      </w:r>
      <w:r>
        <w:rPr>
          <w:sz w:val="24"/>
        </w:rPr>
        <w:t>6</w:t>
      </w:r>
      <w:r>
        <w:rPr>
          <w:spacing w:val="-40"/>
          <w:sz w:val="24"/>
        </w:rPr>
        <w:t> 月 </w:t>
      </w:r>
      <w:r>
        <w:rPr>
          <w:sz w:val="24"/>
        </w:rPr>
        <w:t>30</w:t>
      </w:r>
      <w:r>
        <w:rPr>
          <w:spacing w:val="-8"/>
          <w:sz w:val="24"/>
        </w:rPr>
        <w:t> 日前，由各分网统一将初选推荐作品报送至中心。</w:t>
      </w:r>
    </w:p>
    <w:p>
      <w:pPr>
        <w:pStyle w:val="ListParagraph"/>
        <w:numPr>
          <w:ilvl w:val="0"/>
          <w:numId w:val="15"/>
        </w:numPr>
        <w:tabs>
          <w:tab w:pos="959" w:val="left" w:leader="none"/>
        </w:tabs>
        <w:spacing w:line="240" w:lineRule="auto" w:before="53" w:after="0"/>
        <w:ind w:left="958" w:right="0" w:hanging="241"/>
        <w:jc w:val="left"/>
        <w:rPr>
          <w:sz w:val="24"/>
        </w:rPr>
      </w:pPr>
      <w:r>
        <w:rPr>
          <w:sz w:val="24"/>
        </w:rPr>
        <w:t>本次活动所征集作品一律不退稿。</w:t>
      </w:r>
    </w:p>
    <w:p>
      <w:pPr>
        <w:pStyle w:val="BodyText"/>
        <w:spacing w:before="52"/>
        <w:ind w:left="717"/>
      </w:pPr>
      <w:r>
        <w:rPr/>
        <w:t>（二）评审</w:t>
      </w:r>
    </w:p>
    <w:p>
      <w:pPr>
        <w:pStyle w:val="ListParagraph"/>
        <w:numPr>
          <w:ilvl w:val="0"/>
          <w:numId w:val="16"/>
        </w:numPr>
        <w:tabs>
          <w:tab w:pos="959" w:val="left" w:leader="none"/>
        </w:tabs>
        <w:spacing w:line="280" w:lineRule="auto" w:before="53" w:after="0"/>
        <w:ind w:left="237" w:right="270" w:firstLine="480"/>
        <w:jc w:val="left"/>
        <w:rPr>
          <w:sz w:val="24"/>
        </w:rPr>
      </w:pPr>
      <w:r>
        <w:rPr>
          <w:spacing w:val="-9"/>
          <w:sz w:val="24"/>
        </w:rPr>
        <w:t>中心将组织药学专家、科普专家、资深媒体人，对推荐作品进行内容审查，并按照征</w:t>
      </w:r>
      <w:r>
        <w:rPr>
          <w:sz w:val="24"/>
        </w:rPr>
        <w:t>集要求对作品进行评审。</w:t>
      </w:r>
    </w:p>
    <w:p>
      <w:pPr>
        <w:pStyle w:val="ListParagraph"/>
        <w:numPr>
          <w:ilvl w:val="0"/>
          <w:numId w:val="16"/>
        </w:numPr>
        <w:tabs>
          <w:tab w:pos="959" w:val="left" w:leader="none"/>
        </w:tabs>
        <w:spacing w:line="240" w:lineRule="auto" w:before="0" w:after="0"/>
        <w:ind w:left="958" w:right="0" w:hanging="241"/>
        <w:jc w:val="left"/>
        <w:rPr>
          <w:sz w:val="24"/>
        </w:rPr>
      </w:pPr>
      <w:r>
        <w:rPr>
          <w:spacing w:val="-8"/>
          <w:sz w:val="24"/>
        </w:rPr>
        <w:t>评审结束时间为 </w:t>
      </w:r>
      <w:r>
        <w:rPr>
          <w:sz w:val="24"/>
        </w:rPr>
        <w:t>2019</w:t>
      </w:r>
      <w:r>
        <w:rPr>
          <w:spacing w:val="-40"/>
          <w:sz w:val="24"/>
        </w:rPr>
        <w:t> 年 </w:t>
      </w:r>
      <w:r>
        <w:rPr>
          <w:sz w:val="24"/>
        </w:rPr>
        <w:t>9</w:t>
      </w:r>
      <w:r>
        <w:rPr>
          <w:spacing w:val="-40"/>
          <w:sz w:val="24"/>
        </w:rPr>
        <w:t> 月 </w:t>
      </w:r>
      <w:r>
        <w:rPr>
          <w:sz w:val="24"/>
        </w:rPr>
        <w:t>1</w:t>
      </w:r>
      <w:r>
        <w:rPr>
          <w:spacing w:val="-20"/>
          <w:sz w:val="24"/>
        </w:rPr>
        <w:t> 日。</w:t>
      </w:r>
    </w:p>
    <w:p>
      <w:pPr>
        <w:pStyle w:val="BodyText"/>
        <w:spacing w:before="53"/>
        <w:ind w:left="717"/>
      </w:pPr>
      <w:r>
        <w:rPr/>
        <w:t>（三）表彰与奖励</w:t>
      </w:r>
    </w:p>
    <w:p>
      <w:pPr>
        <w:pStyle w:val="BodyText"/>
        <w:spacing w:before="52"/>
        <w:ind w:left="717"/>
      </w:pPr>
      <w:r>
        <w:rPr/>
        <w:t>根据评审结果，活动组织单位将设置优秀个人奖、优秀组织奖给予表彰奖励。</w:t>
      </w:r>
    </w:p>
    <w:p>
      <w:pPr>
        <w:pStyle w:val="ListParagraph"/>
        <w:numPr>
          <w:ilvl w:val="0"/>
          <w:numId w:val="17"/>
        </w:numPr>
        <w:tabs>
          <w:tab w:pos="959" w:val="left" w:leader="none"/>
        </w:tabs>
        <w:spacing w:line="240" w:lineRule="auto" w:before="53" w:after="0"/>
        <w:ind w:left="958" w:right="0" w:hanging="241"/>
        <w:jc w:val="left"/>
        <w:rPr>
          <w:sz w:val="24"/>
        </w:rPr>
      </w:pPr>
      <w:r>
        <w:rPr>
          <w:sz w:val="24"/>
        </w:rPr>
        <w:t>优秀个人奖：</w:t>
      </w:r>
    </w:p>
    <w:p>
      <w:pPr>
        <w:pStyle w:val="ListParagraph"/>
        <w:numPr>
          <w:ilvl w:val="0"/>
          <w:numId w:val="18"/>
        </w:numPr>
        <w:tabs>
          <w:tab w:pos="1319" w:val="left" w:leader="none"/>
        </w:tabs>
        <w:spacing w:line="240" w:lineRule="auto" w:before="52" w:after="0"/>
        <w:ind w:left="1318" w:right="0" w:hanging="601"/>
        <w:jc w:val="left"/>
        <w:rPr>
          <w:sz w:val="24"/>
        </w:rPr>
      </w:pPr>
      <w:r>
        <w:rPr>
          <w:sz w:val="24"/>
        </w:rPr>
        <w:t>设置视频组、音频组、图片（漫画）</w:t>
      </w:r>
      <w:r>
        <w:rPr>
          <w:spacing w:val="-9"/>
          <w:sz w:val="24"/>
        </w:rPr>
        <w:t>组、文字组等 </w:t>
      </w:r>
      <w:r>
        <w:rPr>
          <w:sz w:val="24"/>
        </w:rPr>
        <w:t>4</w:t>
      </w:r>
      <w:r>
        <w:rPr>
          <w:spacing w:val="-12"/>
          <w:sz w:val="24"/>
        </w:rPr>
        <w:t> 组奖项。</w:t>
      </w:r>
    </w:p>
    <w:p>
      <w:pPr>
        <w:pStyle w:val="ListParagraph"/>
        <w:numPr>
          <w:ilvl w:val="0"/>
          <w:numId w:val="18"/>
        </w:numPr>
        <w:tabs>
          <w:tab w:pos="1319" w:val="left" w:leader="none"/>
        </w:tabs>
        <w:spacing w:line="240" w:lineRule="auto" w:before="53" w:after="0"/>
        <w:ind w:left="1318" w:right="0" w:hanging="601"/>
        <w:jc w:val="left"/>
        <w:rPr>
          <w:sz w:val="24"/>
        </w:rPr>
      </w:pPr>
      <w:r>
        <w:rPr>
          <w:spacing w:val="-6"/>
          <w:sz w:val="24"/>
        </w:rPr>
        <w:t>每组分别设置一等奖 </w:t>
      </w:r>
      <w:r>
        <w:rPr>
          <w:sz w:val="24"/>
        </w:rPr>
        <w:t>3</w:t>
      </w:r>
      <w:r>
        <w:rPr>
          <w:spacing w:val="-20"/>
          <w:sz w:val="24"/>
        </w:rPr>
        <w:t> 名，奖金 </w:t>
      </w:r>
      <w:r>
        <w:rPr>
          <w:sz w:val="24"/>
        </w:rPr>
        <w:t>1000</w:t>
      </w:r>
      <w:r>
        <w:rPr>
          <w:spacing w:val="-18"/>
          <w:sz w:val="24"/>
        </w:rPr>
        <w:t> 元；二等奖 </w:t>
      </w:r>
      <w:r>
        <w:rPr>
          <w:sz w:val="24"/>
        </w:rPr>
        <w:t>5</w:t>
      </w:r>
      <w:r>
        <w:rPr>
          <w:spacing w:val="-20"/>
          <w:sz w:val="24"/>
        </w:rPr>
        <w:t> 名，奖金 </w:t>
      </w:r>
      <w:r>
        <w:rPr>
          <w:sz w:val="24"/>
        </w:rPr>
        <w:t>500</w:t>
      </w:r>
      <w:r>
        <w:rPr>
          <w:spacing w:val="-18"/>
          <w:sz w:val="24"/>
        </w:rPr>
        <w:t> 元；三等奖 </w:t>
      </w:r>
      <w:r>
        <w:rPr>
          <w:sz w:val="24"/>
        </w:rPr>
        <w:t>10</w:t>
      </w:r>
    </w:p>
    <w:p>
      <w:pPr>
        <w:pStyle w:val="BodyText"/>
        <w:spacing w:before="52"/>
        <w:ind w:left="0" w:right="1368"/>
        <w:jc w:val="center"/>
      </w:pPr>
      <w:r>
        <w:rPr/>
        <w:t>名，奖金 300 元；优秀奖若干。颁发获奖证书，授予“药学科普之星”称号。</w:t>
      </w:r>
    </w:p>
    <w:p>
      <w:pPr>
        <w:pStyle w:val="ListParagraph"/>
        <w:numPr>
          <w:ilvl w:val="0"/>
          <w:numId w:val="17"/>
        </w:numPr>
        <w:tabs>
          <w:tab w:pos="959" w:val="left" w:leader="none"/>
        </w:tabs>
        <w:spacing w:line="240" w:lineRule="auto" w:before="53" w:after="0"/>
        <w:ind w:left="958" w:right="0" w:hanging="241"/>
        <w:jc w:val="left"/>
        <w:rPr>
          <w:sz w:val="24"/>
        </w:rPr>
      </w:pPr>
      <w:r>
        <w:rPr>
          <w:sz w:val="24"/>
        </w:rPr>
        <w:t>优秀组织奖：</w:t>
      </w:r>
    </w:p>
    <w:p>
      <w:pPr>
        <w:pStyle w:val="ListParagraph"/>
        <w:numPr>
          <w:ilvl w:val="0"/>
          <w:numId w:val="19"/>
        </w:numPr>
        <w:tabs>
          <w:tab w:pos="1319" w:val="left" w:leader="none"/>
        </w:tabs>
        <w:spacing w:line="240" w:lineRule="auto" w:before="52" w:after="0"/>
        <w:ind w:left="1318" w:right="0" w:hanging="601"/>
        <w:jc w:val="left"/>
        <w:rPr>
          <w:sz w:val="24"/>
        </w:rPr>
      </w:pPr>
      <w:r>
        <w:rPr>
          <w:spacing w:val="-4"/>
          <w:sz w:val="24"/>
        </w:rPr>
        <w:t>设置优秀分网组织奖和优秀医院组织奖 </w:t>
      </w:r>
      <w:r>
        <w:rPr>
          <w:sz w:val="24"/>
        </w:rPr>
        <w:t>2</w:t>
      </w:r>
      <w:r>
        <w:rPr>
          <w:spacing w:val="-12"/>
          <w:sz w:val="24"/>
        </w:rPr>
        <w:t> 组奖项。</w:t>
      </w:r>
    </w:p>
    <w:p>
      <w:pPr>
        <w:pStyle w:val="ListParagraph"/>
        <w:numPr>
          <w:ilvl w:val="0"/>
          <w:numId w:val="19"/>
        </w:numPr>
        <w:tabs>
          <w:tab w:pos="1319" w:val="left" w:leader="none"/>
        </w:tabs>
        <w:spacing w:line="240" w:lineRule="auto" w:before="54" w:after="0"/>
        <w:ind w:left="1318" w:right="0" w:hanging="601"/>
        <w:jc w:val="left"/>
        <w:rPr>
          <w:sz w:val="24"/>
        </w:rPr>
      </w:pPr>
      <w:r>
        <w:rPr>
          <w:spacing w:val="-20"/>
          <w:sz w:val="24"/>
        </w:rPr>
        <w:t>每组 </w:t>
      </w:r>
      <w:r>
        <w:rPr>
          <w:sz w:val="24"/>
        </w:rPr>
        <w:t>10</w:t>
      </w:r>
      <w:r>
        <w:rPr>
          <w:spacing w:val="-8"/>
          <w:sz w:val="24"/>
        </w:rPr>
        <w:t> 名，颁发获奖证书。</w:t>
      </w:r>
    </w:p>
    <w:p>
      <w:pPr>
        <w:pStyle w:val="ListParagraph"/>
        <w:numPr>
          <w:ilvl w:val="0"/>
          <w:numId w:val="17"/>
        </w:numPr>
        <w:tabs>
          <w:tab w:pos="959" w:val="left" w:leader="none"/>
        </w:tabs>
        <w:spacing w:line="240" w:lineRule="auto" w:before="52" w:after="0"/>
        <w:ind w:left="958" w:right="0" w:hanging="241"/>
        <w:jc w:val="left"/>
        <w:rPr>
          <w:sz w:val="24"/>
        </w:rPr>
      </w:pPr>
      <w:r>
        <w:rPr>
          <w:sz w:val="24"/>
        </w:rPr>
        <w:t>活动参与者将获得药学科普志愿者身份，参与相应科普活动将获得志愿者时长。</w:t>
      </w:r>
    </w:p>
    <w:p>
      <w:pPr>
        <w:pStyle w:val="ListParagraph"/>
        <w:numPr>
          <w:ilvl w:val="0"/>
          <w:numId w:val="17"/>
        </w:numPr>
        <w:tabs>
          <w:tab w:pos="959" w:val="left" w:leader="none"/>
        </w:tabs>
        <w:spacing w:line="280" w:lineRule="auto" w:before="53" w:after="0"/>
        <w:ind w:left="237" w:right="525" w:firstLine="480"/>
        <w:jc w:val="left"/>
        <w:rPr>
          <w:sz w:val="24"/>
        </w:rPr>
      </w:pPr>
      <w:r>
        <w:rPr>
          <w:spacing w:val="-3"/>
          <w:sz w:val="24"/>
        </w:rPr>
        <w:t>优秀作者将成为“药葫芦娃”科普专家团签约作者，获邀出席 </w:t>
      </w:r>
      <w:r>
        <w:rPr>
          <w:sz w:val="24"/>
        </w:rPr>
        <w:t>2019</w:t>
      </w:r>
      <w:r>
        <w:rPr>
          <w:spacing w:val="-11"/>
          <w:sz w:val="24"/>
        </w:rPr>
        <w:t> 年“中国药师</w:t>
      </w:r>
      <w:r>
        <w:rPr>
          <w:sz w:val="24"/>
        </w:rPr>
        <w:t>周”，参加表彰活动。</w:t>
      </w:r>
    </w:p>
    <w:p>
      <w:pPr>
        <w:pStyle w:val="ListParagraph"/>
        <w:numPr>
          <w:ilvl w:val="0"/>
          <w:numId w:val="17"/>
        </w:numPr>
        <w:tabs>
          <w:tab w:pos="959" w:val="left" w:leader="none"/>
        </w:tabs>
        <w:spacing w:line="280" w:lineRule="auto" w:before="0" w:after="0"/>
        <w:ind w:left="237" w:right="152" w:firstLine="480"/>
        <w:jc w:val="left"/>
        <w:rPr>
          <w:sz w:val="24"/>
        </w:rPr>
      </w:pPr>
      <w:r>
        <w:rPr>
          <w:spacing w:val="-11"/>
          <w:sz w:val="24"/>
        </w:rPr>
        <w:t>作品录用之后，将在“药葫芦娃”两微七端</w:t>
      </w:r>
      <w:r>
        <w:rPr>
          <w:sz w:val="24"/>
        </w:rPr>
        <w:t>（</w:t>
      </w:r>
      <w:r>
        <w:rPr>
          <w:spacing w:val="-13"/>
          <w:sz w:val="24"/>
        </w:rPr>
        <w:t>微信、微博、头条号、搜狐号、企鹅号、</w:t>
      </w:r>
      <w:r>
        <w:rPr>
          <w:sz w:val="24"/>
        </w:rPr>
        <w:t>一点号、搜狗号、新浪健康、喜马拉雅电台）及后续新开辟科普平台署名发布。</w:t>
      </w:r>
    </w:p>
    <w:p>
      <w:pPr>
        <w:pStyle w:val="ListParagraph"/>
        <w:numPr>
          <w:ilvl w:val="0"/>
          <w:numId w:val="17"/>
        </w:numPr>
        <w:tabs>
          <w:tab w:pos="1078" w:val="left" w:leader="none"/>
        </w:tabs>
        <w:spacing w:line="280" w:lineRule="auto" w:before="0" w:after="0"/>
        <w:ind w:left="237" w:right="268" w:firstLine="480"/>
        <w:jc w:val="left"/>
        <w:rPr>
          <w:sz w:val="24"/>
        </w:rPr>
      </w:pPr>
      <w:r>
        <w:rPr>
          <w:spacing w:val="-5"/>
          <w:sz w:val="24"/>
        </w:rPr>
        <w:t>优秀作品可被推荐至科普中国网-科学用药专栏以及中国经济网等主流媒体，署名发</w:t>
      </w:r>
      <w:r>
        <w:rPr>
          <w:sz w:val="24"/>
        </w:rPr>
        <w:t>布。</w:t>
      </w:r>
    </w:p>
    <w:p>
      <w:pPr>
        <w:pStyle w:val="BodyText"/>
        <w:spacing w:before="1"/>
        <w:ind w:left="717"/>
      </w:pPr>
      <w:r>
        <w:rPr/>
        <w:t>六、工作要求</w:t>
      </w:r>
    </w:p>
    <w:p>
      <w:pPr>
        <w:pStyle w:val="BodyText"/>
        <w:spacing w:line="280" w:lineRule="auto" w:before="53"/>
        <w:ind w:right="270" w:firstLine="480"/>
      </w:pPr>
      <w:r>
        <w:rPr>
          <w:spacing w:val="-7"/>
        </w:rPr>
        <w:t>各分网对本次活动要高度重视，精心组织。要充分认识开展药学科普的重要意义，切实</w:t>
      </w:r>
      <w:r>
        <w:rPr/>
        <w:t>推进、落实药学科普作品的征集工作。</w:t>
      </w:r>
    </w:p>
    <w:p>
      <w:pPr>
        <w:pStyle w:val="BodyText"/>
        <w:ind w:left="717"/>
      </w:pPr>
      <w:r>
        <w:rPr/>
        <w:t>七、联系方式</w:t>
      </w:r>
    </w:p>
    <w:p>
      <w:pPr>
        <w:pStyle w:val="BodyText"/>
        <w:spacing w:before="53"/>
        <w:ind w:left="717"/>
      </w:pPr>
      <w:r>
        <w:rPr/>
        <w:t>联系人：裴玉兰、刘玉</w:t>
      </w:r>
    </w:p>
    <w:p>
      <w:pPr>
        <w:spacing w:after="0"/>
        <w:sectPr>
          <w:pgSz w:w="11910" w:h="16850"/>
          <w:pgMar w:header="906" w:footer="607" w:top="1100" w:bottom="800" w:left="1040" w:right="860"/>
        </w:sectPr>
      </w:pPr>
    </w:p>
    <w:p>
      <w:pPr>
        <w:pStyle w:val="BodyText"/>
        <w:spacing w:line="280" w:lineRule="auto" w:before="48"/>
        <w:ind w:left="717" w:right="5926"/>
      </w:pPr>
      <w:r>
        <w:rPr/>
        <w:t>联系电话：010-65660788</w:t>
      </w:r>
      <w:r>
        <w:rPr>
          <w:spacing w:val="-40"/>
        </w:rPr>
        <w:t> 转 </w:t>
      </w:r>
      <w:r>
        <w:rPr>
          <w:spacing w:val="-6"/>
        </w:rPr>
        <w:t>119 </w:t>
      </w:r>
      <w:r>
        <w:rPr/>
        <w:t>传真：010-65661656</w:t>
      </w:r>
    </w:p>
    <w:p>
      <w:pPr>
        <w:pStyle w:val="BodyText"/>
        <w:spacing w:line="295" w:lineRule="auto" w:before="17"/>
        <w:ind w:left="717" w:right="6527"/>
      </w:pPr>
      <w:r>
        <w:rPr/>
        <w:pict>
          <v:shape style="position:absolute;margin-left:91.944pt;margin-top:35.530022pt;width:432.45pt;height:370.85pt;mso-position-horizontal-relative:page;mso-position-vertical-relative:paragraph;z-index:11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8"/>
                    <w:gridCol w:w="2775"/>
                    <w:gridCol w:w="3212"/>
                  </w:tblGrid>
                  <w:tr>
                    <w:trPr>
                      <w:trHeight w:val="313" w:hRule="atLeast"/>
                    </w:trPr>
                    <w:tc>
                      <w:tcPr>
                        <w:tcW w:w="8635" w:type="dxa"/>
                        <w:gridSpan w:val="3"/>
                      </w:tcPr>
                      <w:p>
                        <w:pPr>
                          <w:pStyle w:val="TableParagraph"/>
                          <w:spacing w:before="55"/>
                          <w:ind w:left="3854" w:right="3846"/>
                          <w:rPr>
                            <w:rFonts w:ascii="宋体" w:eastAsia="宋体" w:hint="eastAsia"/>
                            <w:b/>
                            <w:sz w:val="16"/>
                          </w:rPr>
                        </w:pPr>
                        <w:r>
                          <w:rPr>
                            <w:rFonts w:ascii="宋体" w:eastAsia="宋体" w:hint="eastAsia"/>
                            <w:b/>
                            <w:sz w:val="16"/>
                          </w:rPr>
                          <w:t>节日/健康日</w:t>
                        </w:r>
                      </w:p>
                    </w:tc>
                  </w:tr>
                  <w:tr>
                    <w:trPr>
                      <w:trHeight w:val="311" w:hRule="atLeast"/>
                    </w:trPr>
                    <w:tc>
                      <w:tcPr>
                        <w:tcW w:w="2648" w:type="dxa"/>
                      </w:tcPr>
                      <w:p>
                        <w:pPr>
                          <w:pStyle w:val="TableParagraph"/>
                          <w:spacing w:before="53"/>
                          <w:ind w:left="421" w:right="413"/>
                          <w:rPr>
                            <w:rFonts w:ascii="宋体" w:eastAsia="宋体" w:hint="eastAsia"/>
                            <w:sz w:val="16"/>
                          </w:rPr>
                        </w:pPr>
                        <w:r>
                          <w:rPr>
                            <w:rFonts w:ascii="宋体" w:eastAsia="宋体" w:hint="eastAsia"/>
                            <w:sz w:val="16"/>
                          </w:rPr>
                          <w:t>国际罕见病日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国际脊髓损伤日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全国爱足日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国际爱耳日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世界预防自杀日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中国房颤日</w:t>
                        </w:r>
                      </w:p>
                    </w:tc>
                  </w:tr>
                  <w:tr>
                    <w:trPr>
                      <w:trHeight w:val="311" w:hRule="atLeast"/>
                    </w:trPr>
                    <w:tc>
                      <w:tcPr>
                        <w:tcW w:w="2648" w:type="dxa"/>
                      </w:tcPr>
                      <w:p>
                        <w:pPr>
                          <w:pStyle w:val="TableParagraph"/>
                          <w:spacing w:before="53"/>
                          <w:ind w:left="421" w:right="413"/>
                          <w:rPr>
                            <w:rFonts w:ascii="宋体" w:eastAsia="宋体" w:hint="eastAsia"/>
                            <w:sz w:val="16"/>
                          </w:rPr>
                        </w:pPr>
                        <w:r>
                          <w:rPr>
                            <w:rFonts w:ascii="宋体" w:eastAsia="宋体" w:hint="eastAsia"/>
                            <w:sz w:val="16"/>
                          </w:rPr>
                          <w:t>世界青光眼日</w:t>
                        </w:r>
                      </w:p>
                    </w:tc>
                    <w:tc>
                      <w:tcPr>
                        <w:tcW w:w="2775" w:type="dxa"/>
                      </w:tcPr>
                      <w:p>
                        <w:pPr>
                          <w:pStyle w:val="TableParagraph"/>
                          <w:spacing w:before="53"/>
                          <w:ind w:left="645" w:right="639"/>
                          <w:rPr>
                            <w:rFonts w:ascii="宋体" w:eastAsia="宋体" w:hint="eastAsia"/>
                            <w:sz w:val="16"/>
                          </w:rPr>
                        </w:pPr>
                        <w:r>
                          <w:rPr>
                            <w:rFonts w:ascii="宋体" w:eastAsia="宋体" w:hint="eastAsia"/>
                            <w:sz w:val="16"/>
                          </w:rPr>
                          <w:t>中国预防出生缺陷日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全国爱眼日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世界肾脏日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世界淋巴瘤宣传日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国际白化病宣传日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全国爱肝日</w:t>
                        </w:r>
                      </w:p>
                    </w:tc>
                    <w:tc>
                      <w:tcPr>
                        <w:tcW w:w="2775" w:type="dxa"/>
                      </w:tcPr>
                      <w:p>
                        <w:pPr>
                          <w:pStyle w:val="TableParagraph"/>
                          <w:spacing w:before="53"/>
                          <w:ind w:left="645" w:right="639"/>
                          <w:rPr>
                            <w:rFonts w:ascii="宋体" w:eastAsia="宋体" w:hint="eastAsia"/>
                            <w:sz w:val="16"/>
                          </w:rPr>
                        </w:pPr>
                        <w:r>
                          <w:rPr>
                            <w:rFonts w:ascii="宋体" w:eastAsia="宋体" w:hint="eastAsia"/>
                            <w:sz w:val="16"/>
                          </w:rPr>
                          <w:t>中国脑健康日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重症肌无力关爱日</w:t>
                        </w:r>
                      </w:p>
                    </w:tc>
                  </w:tr>
                  <w:tr>
                    <w:trPr>
                      <w:trHeight w:val="314" w:hRule="atLeast"/>
                    </w:trPr>
                    <w:tc>
                      <w:tcPr>
                        <w:tcW w:w="2648" w:type="dxa"/>
                      </w:tcPr>
                      <w:p>
                        <w:pPr>
                          <w:pStyle w:val="TableParagraph"/>
                          <w:spacing w:before="56"/>
                          <w:ind w:left="421" w:right="413"/>
                          <w:rPr>
                            <w:rFonts w:ascii="宋体" w:eastAsia="宋体" w:hint="eastAsia"/>
                            <w:sz w:val="16"/>
                          </w:rPr>
                        </w:pPr>
                        <w:r>
                          <w:rPr>
                            <w:rFonts w:ascii="宋体" w:eastAsia="宋体" w:hint="eastAsia"/>
                            <w:sz w:val="16"/>
                          </w:rPr>
                          <w:t>中国血小板日</w:t>
                        </w:r>
                      </w:p>
                    </w:tc>
                    <w:tc>
                      <w:tcPr>
                        <w:tcW w:w="2775" w:type="dxa"/>
                      </w:tcPr>
                      <w:p>
                        <w:pPr>
                          <w:pStyle w:val="TableParagraph"/>
                          <w:spacing w:before="56"/>
                          <w:ind w:left="645" w:right="637"/>
                          <w:rPr>
                            <w:rFonts w:ascii="宋体" w:eastAsia="宋体" w:hint="eastAsia"/>
                            <w:sz w:val="16"/>
                          </w:rPr>
                        </w:pPr>
                        <w:r>
                          <w:rPr>
                            <w:rFonts w:ascii="宋体" w:eastAsia="宋体" w:hint="eastAsia"/>
                            <w:sz w:val="16"/>
                          </w:rPr>
                          <w:t>全国爱牙日</w:t>
                        </w:r>
                      </w:p>
                    </w:tc>
                    <w:tc>
                      <w:tcPr>
                        <w:tcW w:w="3212" w:type="dxa"/>
                      </w:tcPr>
                      <w:p>
                        <w:pPr>
                          <w:pStyle w:val="TableParagraph"/>
                          <w:spacing w:before="56"/>
                          <w:ind w:left="623" w:right="618"/>
                          <w:rPr>
                            <w:rFonts w:ascii="宋体" w:eastAsia="宋体" w:hint="eastAsia"/>
                            <w:sz w:val="16"/>
                          </w:rPr>
                        </w:pPr>
                        <w:r>
                          <w:rPr>
                            <w:rFonts w:ascii="宋体" w:eastAsia="宋体" w:hint="eastAsia"/>
                            <w:sz w:val="16"/>
                          </w:rPr>
                          <w:t>世界渐冻人日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世界睡眠日</w:t>
                        </w:r>
                      </w:p>
                    </w:tc>
                    <w:tc>
                      <w:tcPr>
                        <w:tcW w:w="2775" w:type="dxa"/>
                      </w:tcPr>
                      <w:p>
                        <w:pPr>
                          <w:pStyle w:val="TableParagraph"/>
                          <w:spacing w:before="53"/>
                          <w:ind w:left="645" w:right="639"/>
                          <w:rPr>
                            <w:rFonts w:ascii="宋体" w:eastAsia="宋体" w:hint="eastAsia"/>
                            <w:sz w:val="16"/>
                          </w:rPr>
                        </w:pPr>
                        <w:r>
                          <w:rPr>
                            <w:rFonts w:ascii="宋体" w:eastAsia="宋体" w:hint="eastAsia"/>
                            <w:sz w:val="16"/>
                          </w:rPr>
                          <w:t>世界阿尔茨海默病日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国际癫痫关爱日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世界防治结核病日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国际聋人节</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国际肉瘤宣传日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世界双相障碍日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世界避孕日</w:t>
                        </w:r>
                      </w:p>
                    </w:tc>
                    <w:tc>
                      <w:tcPr>
                        <w:tcW w:w="3212" w:type="dxa"/>
                      </w:tcPr>
                      <w:p>
                        <w:pPr>
                          <w:pStyle w:val="TableParagraph"/>
                          <w:spacing w:before="53"/>
                          <w:ind w:left="623" w:right="618"/>
                          <w:rPr>
                            <w:rFonts w:ascii="宋体" w:eastAsia="宋体" w:hint="eastAsia"/>
                            <w:sz w:val="16"/>
                          </w:rPr>
                        </w:pPr>
                        <w:r>
                          <w:rPr>
                            <w:rFonts w:ascii="宋体" w:eastAsia="宋体" w:hint="eastAsia"/>
                            <w:sz w:val="16"/>
                          </w:rPr>
                          <w:t>国际卡尔曼氏综合征宣传日</w:t>
                        </w:r>
                      </w:p>
                    </w:tc>
                  </w:tr>
                  <w:tr>
                    <w:trPr>
                      <w:trHeight w:val="311" w:hRule="atLeast"/>
                    </w:trPr>
                    <w:tc>
                      <w:tcPr>
                        <w:tcW w:w="2648" w:type="dxa"/>
                      </w:tcPr>
                      <w:p>
                        <w:pPr>
                          <w:pStyle w:val="TableParagraph"/>
                          <w:spacing w:before="53"/>
                          <w:ind w:left="421" w:right="413"/>
                          <w:rPr>
                            <w:rFonts w:ascii="宋体" w:eastAsia="宋体" w:hint="eastAsia"/>
                            <w:sz w:val="16"/>
                          </w:rPr>
                        </w:pPr>
                        <w:r>
                          <w:rPr>
                            <w:rFonts w:ascii="宋体" w:eastAsia="宋体" w:hint="eastAsia"/>
                            <w:sz w:val="16"/>
                          </w:rPr>
                          <w:t>世界自闭症日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世界心脏日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世界更年期关怀日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世界帕金森病日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乳腺癌防治宣传月</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世界骨质疏松日</w:t>
                        </w:r>
                      </w:p>
                    </w:tc>
                  </w:tr>
                  <w:tr>
                    <w:trPr>
                      <w:trHeight w:val="314" w:hRule="atLeast"/>
                    </w:trPr>
                    <w:tc>
                      <w:tcPr>
                        <w:tcW w:w="2648" w:type="dxa"/>
                      </w:tcPr>
                      <w:p>
                        <w:pPr>
                          <w:pStyle w:val="TableParagraph"/>
                          <w:spacing w:before="56"/>
                          <w:ind w:left="421" w:right="413"/>
                          <w:rPr>
                            <w:rFonts w:ascii="宋体" w:eastAsia="宋体" w:hint="eastAsia"/>
                            <w:sz w:val="16"/>
                          </w:rPr>
                        </w:pPr>
                        <w:r>
                          <w:rPr>
                            <w:rFonts w:ascii="宋体" w:eastAsia="宋体" w:hint="eastAsia"/>
                            <w:sz w:val="16"/>
                          </w:rPr>
                          <w:t>全国肿瘤防治宣传周</w:t>
                        </w:r>
                      </w:p>
                    </w:tc>
                    <w:tc>
                      <w:tcPr>
                        <w:tcW w:w="2775" w:type="dxa"/>
                      </w:tcPr>
                      <w:p>
                        <w:pPr>
                          <w:pStyle w:val="TableParagraph"/>
                          <w:spacing w:before="56"/>
                          <w:ind w:left="645" w:right="637"/>
                          <w:rPr>
                            <w:rFonts w:ascii="宋体" w:eastAsia="宋体" w:hint="eastAsia"/>
                            <w:sz w:val="16"/>
                          </w:rPr>
                        </w:pPr>
                        <w:r>
                          <w:rPr>
                            <w:rFonts w:ascii="宋体" w:eastAsia="宋体" w:hint="eastAsia"/>
                            <w:sz w:val="16"/>
                          </w:rPr>
                          <w:t>世界精神卫生日</w:t>
                        </w:r>
                      </w:p>
                    </w:tc>
                    <w:tc>
                      <w:tcPr>
                        <w:tcW w:w="3212" w:type="dxa"/>
                      </w:tcPr>
                      <w:p>
                        <w:pPr>
                          <w:pStyle w:val="TableParagraph"/>
                          <w:spacing w:before="56"/>
                          <w:ind w:left="623" w:right="616"/>
                          <w:rPr>
                            <w:rFonts w:ascii="宋体" w:eastAsia="宋体" w:hint="eastAsia"/>
                            <w:sz w:val="16"/>
                          </w:rPr>
                        </w:pPr>
                        <w:r>
                          <w:rPr>
                            <w:rFonts w:ascii="宋体" w:eastAsia="宋体" w:hint="eastAsia"/>
                            <w:sz w:val="16"/>
                          </w:rPr>
                          <w:t>世界传统医药日</w:t>
                        </w:r>
                      </w:p>
                    </w:tc>
                  </w:tr>
                  <w:tr>
                    <w:trPr>
                      <w:trHeight w:val="311" w:hRule="atLeast"/>
                    </w:trPr>
                    <w:tc>
                      <w:tcPr>
                        <w:tcW w:w="2648" w:type="dxa"/>
                      </w:tcPr>
                      <w:p>
                        <w:pPr>
                          <w:pStyle w:val="TableParagraph"/>
                          <w:spacing w:before="53"/>
                          <w:ind w:left="421" w:right="413"/>
                          <w:rPr>
                            <w:rFonts w:ascii="宋体" w:eastAsia="宋体" w:hint="eastAsia"/>
                            <w:sz w:val="16"/>
                          </w:rPr>
                        </w:pPr>
                        <w:r>
                          <w:rPr>
                            <w:rFonts w:ascii="宋体" w:eastAsia="宋体" w:hint="eastAsia"/>
                            <w:sz w:val="16"/>
                          </w:rPr>
                          <w:t>国际庞贝病日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世界镇痛日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世界脊髓灰质炎日</w:t>
                        </w:r>
                      </w:p>
                    </w:tc>
                  </w:tr>
                  <w:tr>
                    <w:trPr>
                      <w:trHeight w:val="311" w:hRule="atLeast"/>
                    </w:trPr>
                    <w:tc>
                      <w:tcPr>
                        <w:tcW w:w="2648" w:type="dxa"/>
                      </w:tcPr>
                      <w:p>
                        <w:pPr>
                          <w:pStyle w:val="TableParagraph"/>
                          <w:spacing w:before="53"/>
                          <w:ind w:left="421" w:right="413"/>
                          <w:rPr>
                            <w:rFonts w:ascii="宋体" w:eastAsia="宋体" w:hint="eastAsia"/>
                            <w:sz w:val="16"/>
                          </w:rPr>
                        </w:pPr>
                        <w:r>
                          <w:rPr>
                            <w:rFonts w:ascii="宋体" w:eastAsia="宋体" w:hint="eastAsia"/>
                            <w:sz w:val="16"/>
                          </w:rPr>
                          <w:t>世界血友病日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世界肥胖日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世界男性健康日</w:t>
                        </w:r>
                      </w:p>
                    </w:tc>
                  </w:tr>
                  <w:tr>
                    <w:trPr>
                      <w:trHeight w:val="309" w:hRule="atLeast"/>
                    </w:trPr>
                    <w:tc>
                      <w:tcPr>
                        <w:tcW w:w="2648" w:type="dxa"/>
                        <w:tcBorders>
                          <w:bottom w:val="single" w:sz="6" w:space="0" w:color="000000"/>
                        </w:tcBorders>
                      </w:tcPr>
                      <w:p>
                        <w:pPr>
                          <w:pStyle w:val="TableParagraph"/>
                          <w:spacing w:before="53"/>
                          <w:ind w:left="424" w:right="413"/>
                          <w:rPr>
                            <w:rFonts w:ascii="宋体" w:eastAsia="宋体" w:hint="eastAsia"/>
                            <w:sz w:val="16"/>
                          </w:rPr>
                        </w:pPr>
                        <w:r>
                          <w:rPr>
                            <w:rFonts w:ascii="宋体" w:eastAsia="宋体" w:hint="eastAsia"/>
                            <w:sz w:val="16"/>
                          </w:rPr>
                          <w:t>全国爱鼻日</w:t>
                        </w:r>
                      </w:p>
                    </w:tc>
                    <w:tc>
                      <w:tcPr>
                        <w:tcW w:w="2775" w:type="dxa"/>
                        <w:tcBorders>
                          <w:bottom w:val="single" w:sz="6" w:space="0" w:color="000000"/>
                        </w:tcBorders>
                      </w:tcPr>
                      <w:p>
                        <w:pPr>
                          <w:pStyle w:val="TableParagraph"/>
                          <w:spacing w:before="53"/>
                          <w:ind w:left="645" w:right="639"/>
                          <w:rPr>
                            <w:rFonts w:ascii="宋体" w:eastAsia="宋体" w:hint="eastAsia"/>
                            <w:sz w:val="16"/>
                          </w:rPr>
                        </w:pPr>
                        <w:r>
                          <w:rPr>
                            <w:rFonts w:ascii="宋体" w:eastAsia="宋体" w:hint="eastAsia"/>
                            <w:sz w:val="16"/>
                          </w:rPr>
                          <w:t>世界关节炎日</w:t>
                        </w:r>
                      </w:p>
                    </w:tc>
                    <w:tc>
                      <w:tcPr>
                        <w:tcW w:w="3212" w:type="dxa"/>
                        <w:tcBorders>
                          <w:bottom w:val="single" w:sz="6" w:space="0" w:color="000000"/>
                        </w:tcBorders>
                      </w:tcPr>
                      <w:p>
                        <w:pPr>
                          <w:pStyle w:val="TableParagraph"/>
                          <w:spacing w:before="53"/>
                          <w:ind w:left="623" w:right="616"/>
                          <w:rPr>
                            <w:rFonts w:ascii="宋体" w:eastAsia="宋体" w:hint="eastAsia"/>
                            <w:sz w:val="16"/>
                          </w:rPr>
                        </w:pPr>
                        <w:r>
                          <w:rPr>
                            <w:rFonts w:ascii="宋体" w:eastAsia="宋体" w:hint="eastAsia"/>
                            <w:sz w:val="16"/>
                          </w:rPr>
                          <w:t>世界卒中日</w:t>
                        </w:r>
                      </w:p>
                    </w:tc>
                  </w:tr>
                  <w:tr>
                    <w:trPr>
                      <w:trHeight w:val="309" w:hRule="atLeast"/>
                    </w:trPr>
                    <w:tc>
                      <w:tcPr>
                        <w:tcW w:w="2648" w:type="dxa"/>
                        <w:tcBorders>
                          <w:top w:val="single" w:sz="6" w:space="0" w:color="000000"/>
                        </w:tcBorders>
                      </w:tcPr>
                      <w:p>
                        <w:pPr>
                          <w:pStyle w:val="TableParagraph"/>
                          <w:spacing w:before="51"/>
                          <w:ind w:left="424" w:right="413"/>
                          <w:rPr>
                            <w:rFonts w:ascii="宋体" w:eastAsia="宋体" w:hint="eastAsia"/>
                            <w:sz w:val="16"/>
                          </w:rPr>
                        </w:pPr>
                        <w:r>
                          <w:rPr>
                            <w:rFonts w:ascii="宋体" w:eastAsia="宋体" w:hint="eastAsia"/>
                            <w:sz w:val="16"/>
                          </w:rPr>
                          <w:t>全国儿童预防接种宣传日</w:t>
                        </w:r>
                      </w:p>
                    </w:tc>
                    <w:tc>
                      <w:tcPr>
                        <w:tcW w:w="2775" w:type="dxa"/>
                        <w:tcBorders>
                          <w:top w:val="single" w:sz="6" w:space="0" w:color="000000"/>
                        </w:tcBorders>
                      </w:tcPr>
                      <w:p>
                        <w:pPr>
                          <w:pStyle w:val="TableParagraph"/>
                          <w:spacing w:before="51"/>
                          <w:ind w:left="645" w:right="637"/>
                          <w:rPr>
                            <w:rFonts w:ascii="宋体" w:eastAsia="宋体" w:hint="eastAsia"/>
                            <w:sz w:val="16"/>
                          </w:rPr>
                        </w:pPr>
                        <w:r>
                          <w:rPr>
                            <w:rFonts w:ascii="宋体" w:eastAsia="宋体" w:hint="eastAsia"/>
                            <w:sz w:val="16"/>
                          </w:rPr>
                          <w:t>世界血栓日</w:t>
                        </w:r>
                      </w:p>
                    </w:tc>
                    <w:tc>
                      <w:tcPr>
                        <w:tcW w:w="3212" w:type="dxa"/>
                        <w:tcBorders>
                          <w:top w:val="single" w:sz="6" w:space="0" w:color="000000"/>
                        </w:tcBorders>
                      </w:tcPr>
                      <w:p>
                        <w:pPr>
                          <w:pStyle w:val="TableParagraph"/>
                          <w:spacing w:before="51"/>
                          <w:ind w:left="623" w:right="616"/>
                          <w:rPr>
                            <w:rFonts w:ascii="宋体" w:eastAsia="宋体" w:hint="eastAsia"/>
                            <w:sz w:val="16"/>
                          </w:rPr>
                        </w:pPr>
                        <w:r>
                          <w:rPr>
                            <w:rFonts w:ascii="宋体" w:eastAsia="宋体" w:hint="eastAsia"/>
                            <w:sz w:val="16"/>
                          </w:rPr>
                          <w:t>世界提高抗生素认识周</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世界哮喘日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国际盲人节</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世界肺炎日</w:t>
                        </w:r>
                      </w:p>
                    </w:tc>
                  </w:tr>
                  <w:tr>
                    <w:trPr>
                      <w:trHeight w:val="314" w:hRule="atLeast"/>
                    </w:trPr>
                    <w:tc>
                      <w:tcPr>
                        <w:tcW w:w="2648" w:type="dxa"/>
                      </w:tcPr>
                      <w:p>
                        <w:pPr>
                          <w:pStyle w:val="TableParagraph"/>
                          <w:spacing w:before="56"/>
                          <w:ind w:left="424" w:right="413"/>
                          <w:rPr>
                            <w:rFonts w:ascii="宋体" w:eastAsia="宋体" w:hint="eastAsia"/>
                            <w:sz w:val="16"/>
                          </w:rPr>
                        </w:pPr>
                        <w:r>
                          <w:rPr>
                            <w:rFonts w:ascii="宋体" w:eastAsia="宋体" w:hint="eastAsia"/>
                            <w:sz w:val="16"/>
                          </w:rPr>
                          <w:t>全国防灾减灾日</w:t>
                        </w:r>
                      </w:p>
                    </w:tc>
                    <w:tc>
                      <w:tcPr>
                        <w:tcW w:w="2775" w:type="dxa"/>
                      </w:tcPr>
                      <w:p>
                        <w:pPr>
                          <w:pStyle w:val="TableParagraph"/>
                          <w:spacing w:before="56"/>
                          <w:ind w:left="645" w:right="637"/>
                          <w:rPr>
                            <w:rFonts w:ascii="宋体" w:eastAsia="宋体" w:hint="eastAsia"/>
                            <w:sz w:val="16"/>
                          </w:rPr>
                        </w:pPr>
                        <w:r>
                          <w:rPr>
                            <w:rFonts w:ascii="宋体" w:eastAsia="宋体" w:hint="eastAsia"/>
                            <w:sz w:val="16"/>
                          </w:rPr>
                          <w:t>世界脊椎日</w:t>
                        </w:r>
                      </w:p>
                    </w:tc>
                    <w:tc>
                      <w:tcPr>
                        <w:tcW w:w="3212" w:type="dxa"/>
                      </w:tcPr>
                      <w:p>
                        <w:pPr>
                          <w:pStyle w:val="TableParagraph"/>
                          <w:spacing w:before="56"/>
                          <w:ind w:left="623" w:right="616"/>
                          <w:rPr>
                            <w:rFonts w:ascii="宋体" w:eastAsia="宋体" w:hint="eastAsia"/>
                            <w:sz w:val="16"/>
                          </w:rPr>
                        </w:pPr>
                        <w:r>
                          <w:rPr>
                            <w:rFonts w:ascii="宋体" w:eastAsia="宋体" w:hint="eastAsia"/>
                            <w:sz w:val="16"/>
                          </w:rPr>
                          <w:t>国际肺癌日</w:t>
                        </w:r>
                      </w:p>
                    </w:tc>
                  </w:tr>
                  <w:tr>
                    <w:trPr>
                      <w:trHeight w:val="311" w:hRule="atLeast"/>
                    </w:trPr>
                    <w:tc>
                      <w:tcPr>
                        <w:tcW w:w="2648" w:type="dxa"/>
                      </w:tcPr>
                      <w:p>
                        <w:pPr>
                          <w:pStyle w:val="TableParagraph"/>
                          <w:spacing w:before="53"/>
                          <w:ind w:left="421" w:right="413"/>
                          <w:rPr>
                            <w:rFonts w:ascii="宋体" w:eastAsia="宋体" w:hint="eastAsia"/>
                            <w:sz w:val="16"/>
                          </w:rPr>
                        </w:pPr>
                        <w:r>
                          <w:rPr>
                            <w:rFonts w:ascii="宋体" w:eastAsia="宋体" w:hint="eastAsia"/>
                            <w:sz w:val="16"/>
                          </w:rPr>
                          <w:t>全国防治碘缺乏病日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世界炎症性肠病日</w:t>
                        </w:r>
                      </w:p>
                    </w:tc>
                    <w:tc>
                      <w:tcPr>
                        <w:tcW w:w="3212" w:type="dxa"/>
                      </w:tcPr>
                      <w:p>
                        <w:pPr>
                          <w:pStyle w:val="TableParagraph"/>
                          <w:spacing w:before="53"/>
                          <w:ind w:left="623" w:right="618"/>
                          <w:rPr>
                            <w:rFonts w:ascii="宋体" w:eastAsia="宋体" w:hint="eastAsia"/>
                            <w:sz w:val="16"/>
                          </w:rPr>
                        </w:pPr>
                        <w:r>
                          <w:rPr>
                            <w:rFonts w:ascii="宋体" w:eastAsia="宋体" w:hint="eastAsia"/>
                            <w:sz w:val="16"/>
                          </w:rPr>
                          <w:t>世界慢阻肺日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血管健康日</w:t>
                        </w:r>
                      </w:p>
                    </w:tc>
                    <w:tc>
                      <w:tcPr>
                        <w:tcW w:w="2775" w:type="dxa"/>
                      </w:tcPr>
                      <w:p>
                        <w:pPr>
                          <w:pStyle w:val="TableParagraph"/>
                          <w:spacing w:before="53"/>
                          <w:ind w:left="645" w:right="639"/>
                          <w:rPr>
                            <w:rFonts w:ascii="宋体" w:eastAsia="宋体" w:hint="eastAsia"/>
                            <w:sz w:val="16"/>
                          </w:rPr>
                        </w:pPr>
                        <w:r>
                          <w:rPr>
                            <w:rFonts w:ascii="宋体" w:eastAsia="宋体" w:hint="eastAsia"/>
                            <w:sz w:val="16"/>
                          </w:rPr>
                          <w:t>全国母乳喂养宣传日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中国 11.20 心梗救治日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世界过敏性疾病日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肾脏关爱日</w:t>
                        </w:r>
                      </w:p>
                    </w:tc>
                    <w:tc>
                      <w:tcPr>
                        <w:tcW w:w="3212" w:type="dxa"/>
                      </w:tcPr>
                      <w:p>
                        <w:pPr>
                          <w:pStyle w:val="TableParagraph"/>
                          <w:spacing w:before="53"/>
                          <w:ind w:left="623" w:right="618"/>
                          <w:rPr>
                            <w:rFonts w:ascii="宋体" w:eastAsia="宋体" w:hint="eastAsia"/>
                            <w:sz w:val="16"/>
                          </w:rPr>
                        </w:pPr>
                        <w:r>
                          <w:rPr>
                            <w:rFonts w:ascii="宋体" w:eastAsia="宋体" w:hint="eastAsia"/>
                            <w:sz w:val="16"/>
                          </w:rPr>
                          <w:t>世界艾滋病日</w:t>
                        </w:r>
                      </w:p>
                    </w:tc>
                  </w:tr>
                  <w:tr>
                    <w:trPr>
                      <w:trHeight w:val="311" w:hRule="atLeast"/>
                    </w:trPr>
                    <w:tc>
                      <w:tcPr>
                        <w:tcW w:w="2648" w:type="dxa"/>
                      </w:tcPr>
                      <w:p>
                        <w:pPr>
                          <w:pStyle w:val="TableParagraph"/>
                          <w:spacing w:before="53"/>
                          <w:ind w:left="424" w:right="413"/>
                          <w:rPr>
                            <w:rFonts w:ascii="宋体" w:eastAsia="宋体" w:hint="eastAsia"/>
                            <w:sz w:val="16"/>
                          </w:rPr>
                        </w:pPr>
                        <w:r>
                          <w:rPr>
                            <w:rFonts w:ascii="宋体" w:eastAsia="宋体" w:hint="eastAsia"/>
                            <w:sz w:val="16"/>
                          </w:rPr>
                          <w:t>世界头颈肿瘤日</w:t>
                        </w:r>
                      </w:p>
                    </w:tc>
                    <w:tc>
                      <w:tcPr>
                        <w:tcW w:w="2775" w:type="dxa"/>
                      </w:tcPr>
                      <w:p>
                        <w:pPr>
                          <w:pStyle w:val="TableParagraph"/>
                          <w:spacing w:before="53"/>
                          <w:ind w:left="645" w:right="637"/>
                          <w:rPr>
                            <w:rFonts w:ascii="宋体" w:eastAsia="宋体" w:hint="eastAsia"/>
                            <w:sz w:val="16"/>
                          </w:rPr>
                        </w:pPr>
                        <w:r>
                          <w:rPr>
                            <w:rFonts w:ascii="宋体" w:eastAsia="宋体" w:hint="eastAsia"/>
                            <w:sz w:val="16"/>
                          </w:rPr>
                          <w:t>世界预防中风日</w:t>
                        </w:r>
                      </w:p>
                    </w:tc>
                    <w:tc>
                      <w:tcPr>
                        <w:tcW w:w="3212" w:type="dxa"/>
                      </w:tcPr>
                      <w:p>
                        <w:pPr>
                          <w:pStyle w:val="TableParagraph"/>
                          <w:spacing w:before="53"/>
                          <w:ind w:left="623" w:right="616"/>
                          <w:rPr>
                            <w:rFonts w:ascii="宋体" w:eastAsia="宋体" w:hint="eastAsia"/>
                            <w:sz w:val="16"/>
                          </w:rPr>
                        </w:pPr>
                        <w:r>
                          <w:rPr>
                            <w:rFonts w:ascii="宋体" w:eastAsia="宋体" w:hint="eastAsia"/>
                            <w:sz w:val="16"/>
                          </w:rPr>
                          <w:t>世界强化免疫日</w:t>
                        </w:r>
                      </w:p>
                    </w:tc>
                  </w:tr>
                </w:tbl>
                <w:p>
                  <w:pPr>
                    <w:pStyle w:val="BodyText"/>
                    <w:ind w:left="0"/>
                  </w:pPr>
                </w:p>
              </w:txbxContent>
            </v:textbox>
            <w10:wrap type="none"/>
          </v:shape>
        </w:pict>
      </w:r>
      <w:r>
        <w:rPr>
          <w:spacing w:val="-1"/>
        </w:rPr>
        <w:t>邮箱：</w:t>
      </w:r>
      <w:hyperlink r:id="rId22">
        <w:r>
          <w:rPr>
            <w:color w:val="0000FF"/>
            <w:u w:val="single" w:color="0000FF"/>
          </w:rPr>
          <w:t>yhlw_cmei@126.com </w:t>
        </w:r>
      </w:hyperlink>
      <w:r>
        <w:rPr>
          <w:spacing w:val="-21"/>
        </w:rPr>
        <w:t>附件 </w:t>
      </w:r>
      <w:r>
        <w:rPr/>
        <w:t>5-1</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
        <w:ind w:left="0"/>
        <w:rPr>
          <w:sz w:val="27"/>
        </w:rPr>
      </w:pPr>
    </w:p>
    <w:p>
      <w:pPr>
        <w:pStyle w:val="BodyText"/>
        <w:spacing w:after="9"/>
        <w:ind w:left="717"/>
      </w:pPr>
      <w:r>
        <w:rPr>
          <w:spacing w:val="-21"/>
        </w:rPr>
        <w:t>附件 </w:t>
      </w:r>
      <w:r>
        <w:rPr/>
        <w:t>5-2</w:t>
      </w: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127"/>
        <w:gridCol w:w="1275"/>
        <w:gridCol w:w="3579"/>
      </w:tblGrid>
      <w:tr>
        <w:trPr>
          <w:trHeight w:val="311" w:hRule="atLeast"/>
        </w:trPr>
        <w:tc>
          <w:tcPr>
            <w:tcW w:w="8507" w:type="dxa"/>
            <w:gridSpan w:val="4"/>
          </w:tcPr>
          <w:p>
            <w:pPr>
              <w:pStyle w:val="TableParagraph"/>
              <w:spacing w:before="53"/>
              <w:ind w:left="3833" w:right="3824"/>
              <w:rPr>
                <w:rFonts w:ascii="宋体" w:eastAsia="宋体" w:hint="eastAsia"/>
                <w:sz w:val="16"/>
              </w:rPr>
            </w:pPr>
            <w:r>
              <w:rPr>
                <w:rFonts w:ascii="宋体" w:eastAsia="宋体" w:hint="eastAsia"/>
                <w:sz w:val="16"/>
              </w:rPr>
              <w:t>作品信息表</w:t>
            </w:r>
          </w:p>
        </w:tc>
      </w:tr>
      <w:tr>
        <w:trPr>
          <w:trHeight w:val="312" w:hRule="atLeast"/>
        </w:trPr>
        <w:tc>
          <w:tcPr>
            <w:tcW w:w="1526" w:type="dxa"/>
          </w:tcPr>
          <w:p>
            <w:pPr>
              <w:pStyle w:val="TableParagraph"/>
              <w:spacing w:before="54"/>
              <w:ind w:left="422" w:right="413"/>
              <w:rPr>
                <w:rFonts w:ascii="宋体" w:eastAsia="宋体" w:hint="eastAsia"/>
                <w:sz w:val="16"/>
              </w:rPr>
            </w:pPr>
            <w:r>
              <w:rPr>
                <w:rFonts w:ascii="宋体" w:eastAsia="宋体" w:hint="eastAsia"/>
                <w:sz w:val="16"/>
              </w:rPr>
              <w:t>作品名称</w:t>
            </w:r>
          </w:p>
        </w:tc>
        <w:tc>
          <w:tcPr>
            <w:tcW w:w="6981" w:type="dxa"/>
            <w:gridSpan w:val="3"/>
          </w:tcPr>
          <w:p>
            <w:pPr>
              <w:pStyle w:val="TableParagraph"/>
              <w:jc w:val="left"/>
              <w:rPr>
                <w:rFonts w:ascii="Times New Roman"/>
                <w:sz w:val="16"/>
              </w:rPr>
            </w:pPr>
          </w:p>
        </w:tc>
      </w:tr>
      <w:tr>
        <w:trPr>
          <w:trHeight w:val="311" w:hRule="atLeast"/>
        </w:trPr>
        <w:tc>
          <w:tcPr>
            <w:tcW w:w="1526" w:type="dxa"/>
          </w:tcPr>
          <w:p>
            <w:pPr>
              <w:pStyle w:val="TableParagraph"/>
              <w:spacing w:before="53"/>
              <w:ind w:left="422" w:right="413"/>
              <w:rPr>
                <w:rFonts w:ascii="宋体" w:eastAsia="宋体" w:hint="eastAsia"/>
                <w:sz w:val="16"/>
              </w:rPr>
            </w:pPr>
            <w:r>
              <w:rPr>
                <w:rFonts w:ascii="宋体" w:eastAsia="宋体" w:hint="eastAsia"/>
                <w:sz w:val="16"/>
              </w:rPr>
              <w:t>作品类别</w:t>
            </w:r>
          </w:p>
        </w:tc>
        <w:tc>
          <w:tcPr>
            <w:tcW w:w="6981" w:type="dxa"/>
            <w:gridSpan w:val="3"/>
          </w:tcPr>
          <w:p>
            <w:pPr>
              <w:pStyle w:val="TableParagraph"/>
              <w:spacing w:before="53"/>
              <w:ind w:left="2548" w:right="2543"/>
              <w:rPr>
                <w:rFonts w:ascii="宋体" w:eastAsia="宋体" w:hint="eastAsia"/>
                <w:sz w:val="16"/>
              </w:rPr>
            </w:pPr>
            <w:r>
              <w:rPr>
                <w:rFonts w:ascii="宋体" w:eastAsia="宋体" w:hint="eastAsia"/>
                <w:sz w:val="16"/>
              </w:rPr>
              <w:t>注：视频/音频/图片/文字</w:t>
            </w:r>
          </w:p>
        </w:tc>
      </w:tr>
      <w:tr>
        <w:trPr>
          <w:trHeight w:val="321" w:hRule="atLeast"/>
        </w:trPr>
        <w:tc>
          <w:tcPr>
            <w:tcW w:w="1526" w:type="dxa"/>
          </w:tcPr>
          <w:p>
            <w:pPr>
              <w:pStyle w:val="TableParagraph"/>
              <w:spacing w:before="58"/>
              <w:ind w:left="422" w:right="413"/>
              <w:rPr>
                <w:rFonts w:ascii="宋体" w:eastAsia="宋体" w:hint="eastAsia"/>
                <w:sz w:val="16"/>
              </w:rPr>
            </w:pPr>
            <w:r>
              <w:rPr>
                <w:rFonts w:ascii="宋体" w:eastAsia="宋体" w:hint="eastAsia"/>
                <w:sz w:val="16"/>
              </w:rPr>
              <w:t>姓名</w:t>
            </w:r>
          </w:p>
        </w:tc>
        <w:tc>
          <w:tcPr>
            <w:tcW w:w="2127" w:type="dxa"/>
          </w:tcPr>
          <w:p>
            <w:pPr>
              <w:pStyle w:val="TableParagraph"/>
              <w:spacing w:line="205" w:lineRule="exact" w:before="96"/>
              <w:ind w:left="105"/>
              <w:jc w:val="left"/>
              <w:rPr>
                <w:rFonts w:ascii="宋体" w:eastAsia="宋体" w:hint="eastAsia"/>
                <w:sz w:val="16"/>
              </w:rPr>
            </w:pPr>
            <w:r>
              <w:rPr>
                <w:rFonts w:ascii="宋体" w:eastAsia="宋体" w:hint="eastAsia"/>
                <w:sz w:val="16"/>
              </w:rPr>
              <w:t>注：获奖评定仅限第一作者</w:t>
            </w:r>
          </w:p>
        </w:tc>
        <w:tc>
          <w:tcPr>
            <w:tcW w:w="1275" w:type="dxa"/>
          </w:tcPr>
          <w:p>
            <w:pPr>
              <w:pStyle w:val="TableParagraph"/>
              <w:spacing w:before="58"/>
              <w:ind w:left="456" w:right="449"/>
              <w:rPr>
                <w:rFonts w:ascii="宋体" w:eastAsia="宋体" w:hint="eastAsia"/>
                <w:sz w:val="16"/>
              </w:rPr>
            </w:pPr>
            <w:r>
              <w:rPr>
                <w:rFonts w:ascii="宋体" w:eastAsia="宋体" w:hint="eastAsia"/>
                <w:sz w:val="16"/>
              </w:rPr>
              <w:t>性别</w:t>
            </w:r>
          </w:p>
        </w:tc>
        <w:tc>
          <w:tcPr>
            <w:tcW w:w="3579" w:type="dxa"/>
          </w:tcPr>
          <w:p>
            <w:pPr>
              <w:pStyle w:val="TableParagraph"/>
              <w:jc w:val="left"/>
              <w:rPr>
                <w:rFonts w:ascii="Times New Roman"/>
                <w:sz w:val="16"/>
              </w:rPr>
            </w:pPr>
          </w:p>
        </w:tc>
      </w:tr>
      <w:tr>
        <w:trPr>
          <w:trHeight w:val="311" w:hRule="atLeast"/>
        </w:trPr>
        <w:tc>
          <w:tcPr>
            <w:tcW w:w="1526" w:type="dxa"/>
          </w:tcPr>
          <w:p>
            <w:pPr>
              <w:pStyle w:val="TableParagraph"/>
              <w:spacing w:before="53"/>
              <w:ind w:left="422" w:right="413"/>
              <w:rPr>
                <w:rFonts w:ascii="宋体" w:eastAsia="宋体" w:hint="eastAsia"/>
                <w:sz w:val="16"/>
              </w:rPr>
            </w:pPr>
            <w:r>
              <w:rPr>
                <w:rFonts w:ascii="宋体" w:eastAsia="宋体" w:hint="eastAsia"/>
                <w:sz w:val="16"/>
              </w:rPr>
              <w:t>职称</w:t>
            </w:r>
          </w:p>
        </w:tc>
        <w:tc>
          <w:tcPr>
            <w:tcW w:w="2127" w:type="dxa"/>
          </w:tcPr>
          <w:p>
            <w:pPr>
              <w:pStyle w:val="TableParagraph"/>
              <w:jc w:val="left"/>
              <w:rPr>
                <w:rFonts w:ascii="Times New Roman"/>
                <w:sz w:val="16"/>
              </w:rPr>
            </w:pPr>
          </w:p>
        </w:tc>
        <w:tc>
          <w:tcPr>
            <w:tcW w:w="1275" w:type="dxa"/>
          </w:tcPr>
          <w:p>
            <w:pPr>
              <w:pStyle w:val="TableParagraph"/>
              <w:spacing w:before="53"/>
              <w:ind w:left="456" w:right="449"/>
              <w:rPr>
                <w:rFonts w:ascii="宋体" w:eastAsia="宋体" w:hint="eastAsia"/>
                <w:sz w:val="16"/>
              </w:rPr>
            </w:pPr>
            <w:r>
              <w:rPr>
                <w:rFonts w:ascii="宋体" w:eastAsia="宋体" w:hint="eastAsia"/>
                <w:sz w:val="16"/>
              </w:rPr>
              <w:t>科室</w:t>
            </w:r>
          </w:p>
        </w:tc>
        <w:tc>
          <w:tcPr>
            <w:tcW w:w="3579" w:type="dxa"/>
          </w:tcPr>
          <w:p>
            <w:pPr>
              <w:pStyle w:val="TableParagraph"/>
              <w:jc w:val="left"/>
              <w:rPr>
                <w:rFonts w:ascii="Times New Roman"/>
                <w:sz w:val="16"/>
              </w:rPr>
            </w:pPr>
          </w:p>
        </w:tc>
      </w:tr>
      <w:tr>
        <w:trPr>
          <w:trHeight w:val="311" w:hRule="atLeast"/>
        </w:trPr>
        <w:tc>
          <w:tcPr>
            <w:tcW w:w="1526" w:type="dxa"/>
          </w:tcPr>
          <w:p>
            <w:pPr>
              <w:pStyle w:val="TableParagraph"/>
              <w:spacing w:before="53"/>
              <w:ind w:left="422" w:right="413"/>
              <w:rPr>
                <w:rFonts w:ascii="宋体" w:eastAsia="宋体" w:hint="eastAsia"/>
                <w:sz w:val="16"/>
              </w:rPr>
            </w:pPr>
            <w:r>
              <w:rPr>
                <w:rFonts w:ascii="宋体" w:eastAsia="宋体" w:hint="eastAsia"/>
                <w:sz w:val="16"/>
              </w:rPr>
              <w:t>单位</w:t>
            </w:r>
          </w:p>
        </w:tc>
        <w:tc>
          <w:tcPr>
            <w:tcW w:w="6981" w:type="dxa"/>
            <w:gridSpan w:val="3"/>
          </w:tcPr>
          <w:p>
            <w:pPr>
              <w:pStyle w:val="TableParagraph"/>
              <w:jc w:val="left"/>
              <w:rPr>
                <w:rFonts w:ascii="Times New Roman"/>
                <w:sz w:val="16"/>
              </w:rPr>
            </w:pPr>
          </w:p>
        </w:tc>
      </w:tr>
      <w:tr>
        <w:trPr>
          <w:trHeight w:val="311" w:hRule="atLeast"/>
        </w:trPr>
        <w:tc>
          <w:tcPr>
            <w:tcW w:w="1526" w:type="dxa"/>
          </w:tcPr>
          <w:p>
            <w:pPr>
              <w:pStyle w:val="TableParagraph"/>
              <w:spacing w:before="53"/>
              <w:ind w:left="422" w:right="413"/>
              <w:rPr>
                <w:rFonts w:ascii="宋体" w:eastAsia="宋体" w:hint="eastAsia"/>
                <w:sz w:val="16"/>
              </w:rPr>
            </w:pPr>
            <w:r>
              <w:rPr>
                <w:rFonts w:ascii="宋体" w:eastAsia="宋体" w:hint="eastAsia"/>
                <w:sz w:val="16"/>
              </w:rPr>
              <w:t>联系方式</w:t>
            </w:r>
          </w:p>
        </w:tc>
        <w:tc>
          <w:tcPr>
            <w:tcW w:w="2127" w:type="dxa"/>
          </w:tcPr>
          <w:p>
            <w:pPr>
              <w:pStyle w:val="TableParagraph"/>
              <w:jc w:val="left"/>
              <w:rPr>
                <w:rFonts w:ascii="Times New Roman"/>
                <w:sz w:val="16"/>
              </w:rPr>
            </w:pPr>
          </w:p>
        </w:tc>
        <w:tc>
          <w:tcPr>
            <w:tcW w:w="1275" w:type="dxa"/>
          </w:tcPr>
          <w:p>
            <w:pPr>
              <w:pStyle w:val="TableParagraph"/>
              <w:spacing w:before="53"/>
              <w:ind w:left="456" w:right="449"/>
              <w:rPr>
                <w:rFonts w:ascii="宋体" w:eastAsia="宋体" w:hint="eastAsia"/>
                <w:sz w:val="16"/>
              </w:rPr>
            </w:pPr>
            <w:r>
              <w:rPr>
                <w:rFonts w:ascii="宋体" w:eastAsia="宋体" w:hint="eastAsia"/>
                <w:sz w:val="16"/>
              </w:rPr>
              <w:t>邮箱</w:t>
            </w:r>
          </w:p>
        </w:tc>
        <w:tc>
          <w:tcPr>
            <w:tcW w:w="3579" w:type="dxa"/>
          </w:tcPr>
          <w:p>
            <w:pPr>
              <w:pStyle w:val="TableParagraph"/>
              <w:jc w:val="left"/>
              <w:rPr>
                <w:rFonts w:ascii="Times New Roman"/>
                <w:sz w:val="16"/>
              </w:rPr>
            </w:pPr>
          </w:p>
        </w:tc>
      </w:tr>
    </w:tbl>
    <w:p>
      <w:pPr>
        <w:pStyle w:val="BodyText"/>
        <w:spacing w:before="65" w:after="9"/>
        <w:ind w:left="717"/>
      </w:pPr>
      <w:r>
        <w:rPr>
          <w:spacing w:val="-21"/>
        </w:rPr>
        <w:t>附件 </w:t>
      </w:r>
      <w:r>
        <w:rPr/>
        <w:t>5-3</w:t>
      </w: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1"/>
        <w:gridCol w:w="1354"/>
        <w:gridCol w:w="4193"/>
        <w:gridCol w:w="1478"/>
      </w:tblGrid>
      <w:tr>
        <w:trPr>
          <w:trHeight w:val="311" w:hRule="atLeast"/>
        </w:trPr>
        <w:tc>
          <w:tcPr>
            <w:tcW w:w="8506" w:type="dxa"/>
            <w:gridSpan w:val="4"/>
          </w:tcPr>
          <w:p>
            <w:pPr>
              <w:pStyle w:val="TableParagraph"/>
              <w:spacing w:before="53"/>
              <w:ind w:left="3833" w:right="3823"/>
              <w:rPr>
                <w:rFonts w:ascii="宋体" w:eastAsia="宋体" w:hint="eastAsia"/>
                <w:sz w:val="16"/>
              </w:rPr>
            </w:pPr>
            <w:r>
              <w:rPr>
                <w:rFonts w:ascii="宋体" w:eastAsia="宋体" w:hint="eastAsia"/>
                <w:sz w:val="16"/>
              </w:rPr>
              <w:t>单位推荐表</w:t>
            </w:r>
          </w:p>
        </w:tc>
      </w:tr>
      <w:tr>
        <w:trPr>
          <w:trHeight w:val="311" w:hRule="atLeast"/>
        </w:trPr>
        <w:tc>
          <w:tcPr>
            <w:tcW w:w="1481" w:type="dxa"/>
          </w:tcPr>
          <w:p>
            <w:pPr>
              <w:pStyle w:val="TableParagraph"/>
              <w:spacing w:before="53"/>
              <w:ind w:left="419"/>
              <w:jc w:val="left"/>
              <w:rPr>
                <w:rFonts w:ascii="宋体" w:eastAsia="宋体" w:hint="eastAsia"/>
                <w:sz w:val="16"/>
              </w:rPr>
            </w:pPr>
            <w:r>
              <w:rPr>
                <w:rFonts w:ascii="宋体" w:eastAsia="宋体" w:hint="eastAsia"/>
                <w:sz w:val="16"/>
              </w:rPr>
              <w:t>分网名称</w:t>
            </w:r>
          </w:p>
        </w:tc>
        <w:tc>
          <w:tcPr>
            <w:tcW w:w="7025" w:type="dxa"/>
            <w:gridSpan w:val="3"/>
          </w:tcPr>
          <w:p>
            <w:pPr>
              <w:pStyle w:val="TableParagraph"/>
              <w:jc w:val="left"/>
              <w:rPr>
                <w:rFonts w:ascii="Times New Roman"/>
                <w:sz w:val="16"/>
              </w:rPr>
            </w:pPr>
          </w:p>
        </w:tc>
      </w:tr>
      <w:tr>
        <w:trPr>
          <w:trHeight w:val="312" w:hRule="atLeast"/>
        </w:trPr>
        <w:tc>
          <w:tcPr>
            <w:tcW w:w="1481" w:type="dxa"/>
          </w:tcPr>
          <w:p>
            <w:pPr>
              <w:pStyle w:val="TableParagraph"/>
              <w:spacing w:before="53"/>
              <w:ind w:left="419"/>
              <w:jc w:val="left"/>
              <w:rPr>
                <w:rFonts w:ascii="宋体" w:eastAsia="宋体" w:hint="eastAsia"/>
                <w:sz w:val="16"/>
              </w:rPr>
            </w:pPr>
            <w:r>
              <w:rPr>
                <w:rFonts w:ascii="宋体" w:eastAsia="宋体" w:hint="eastAsia"/>
                <w:sz w:val="16"/>
              </w:rPr>
              <w:t>医院名称</w:t>
            </w:r>
          </w:p>
        </w:tc>
        <w:tc>
          <w:tcPr>
            <w:tcW w:w="1354" w:type="dxa"/>
          </w:tcPr>
          <w:p>
            <w:pPr>
              <w:pStyle w:val="TableParagraph"/>
              <w:spacing w:before="53"/>
              <w:ind w:left="354"/>
              <w:jc w:val="left"/>
              <w:rPr>
                <w:rFonts w:ascii="宋体" w:eastAsia="宋体" w:hint="eastAsia"/>
                <w:sz w:val="16"/>
              </w:rPr>
            </w:pPr>
            <w:r>
              <w:rPr>
                <w:rFonts w:ascii="宋体" w:eastAsia="宋体" w:hint="eastAsia"/>
                <w:sz w:val="16"/>
              </w:rPr>
              <w:t>作品名称</w:t>
            </w:r>
          </w:p>
        </w:tc>
        <w:tc>
          <w:tcPr>
            <w:tcW w:w="4193" w:type="dxa"/>
            <w:tcBorders>
              <w:right w:val="single" w:sz="6" w:space="0" w:color="000000"/>
            </w:tcBorders>
          </w:tcPr>
          <w:p>
            <w:pPr>
              <w:pStyle w:val="TableParagraph"/>
              <w:spacing w:before="53"/>
              <w:ind w:left="854"/>
              <w:jc w:val="left"/>
              <w:rPr>
                <w:rFonts w:ascii="宋体" w:eastAsia="宋体" w:hint="eastAsia"/>
                <w:sz w:val="16"/>
              </w:rPr>
            </w:pPr>
            <w:r>
              <w:rPr>
                <w:rFonts w:ascii="宋体" w:eastAsia="宋体" w:hint="eastAsia"/>
                <w:sz w:val="16"/>
              </w:rPr>
              <w:t>作品类别（视频/音频/图片/文字）</w:t>
            </w:r>
          </w:p>
        </w:tc>
        <w:tc>
          <w:tcPr>
            <w:tcW w:w="1478" w:type="dxa"/>
            <w:tcBorders>
              <w:left w:val="single" w:sz="6" w:space="0" w:color="000000"/>
            </w:tcBorders>
          </w:tcPr>
          <w:p>
            <w:pPr>
              <w:pStyle w:val="TableParagraph"/>
              <w:spacing w:before="53"/>
              <w:ind w:left="556" w:right="548"/>
              <w:rPr>
                <w:rFonts w:ascii="宋体" w:eastAsia="宋体" w:hint="eastAsia"/>
                <w:sz w:val="16"/>
              </w:rPr>
            </w:pPr>
            <w:r>
              <w:rPr>
                <w:rFonts w:ascii="宋体" w:eastAsia="宋体" w:hint="eastAsia"/>
                <w:sz w:val="16"/>
              </w:rPr>
              <w:t>作者</w:t>
            </w:r>
          </w:p>
        </w:tc>
      </w:tr>
      <w:tr>
        <w:trPr>
          <w:trHeight w:val="265" w:hRule="atLeast"/>
        </w:trPr>
        <w:tc>
          <w:tcPr>
            <w:tcW w:w="1481" w:type="dxa"/>
          </w:tcPr>
          <w:p>
            <w:pPr>
              <w:pStyle w:val="TableParagraph"/>
              <w:jc w:val="left"/>
              <w:rPr>
                <w:rFonts w:ascii="Times New Roman"/>
                <w:sz w:val="16"/>
              </w:rPr>
            </w:pPr>
          </w:p>
        </w:tc>
        <w:tc>
          <w:tcPr>
            <w:tcW w:w="1354" w:type="dxa"/>
          </w:tcPr>
          <w:p>
            <w:pPr>
              <w:pStyle w:val="TableParagraph"/>
              <w:jc w:val="left"/>
              <w:rPr>
                <w:rFonts w:ascii="Times New Roman"/>
                <w:sz w:val="16"/>
              </w:rPr>
            </w:pPr>
          </w:p>
        </w:tc>
        <w:tc>
          <w:tcPr>
            <w:tcW w:w="4193" w:type="dxa"/>
            <w:tcBorders>
              <w:right w:val="single" w:sz="6" w:space="0" w:color="000000"/>
            </w:tcBorders>
          </w:tcPr>
          <w:p>
            <w:pPr>
              <w:pStyle w:val="TableParagraph"/>
              <w:jc w:val="left"/>
              <w:rPr>
                <w:rFonts w:ascii="Times New Roman"/>
                <w:sz w:val="16"/>
              </w:rPr>
            </w:pPr>
          </w:p>
        </w:tc>
        <w:tc>
          <w:tcPr>
            <w:tcW w:w="1478" w:type="dxa"/>
            <w:tcBorders>
              <w:left w:val="single" w:sz="6" w:space="0" w:color="000000"/>
            </w:tcBorders>
          </w:tcPr>
          <w:p>
            <w:pPr>
              <w:pStyle w:val="TableParagraph"/>
              <w:jc w:val="left"/>
              <w:rPr>
                <w:rFonts w:ascii="Times New Roman"/>
                <w:sz w:val="16"/>
              </w:rPr>
            </w:pPr>
          </w:p>
        </w:tc>
      </w:tr>
      <w:tr>
        <w:trPr>
          <w:trHeight w:val="265" w:hRule="atLeast"/>
        </w:trPr>
        <w:tc>
          <w:tcPr>
            <w:tcW w:w="1481" w:type="dxa"/>
          </w:tcPr>
          <w:p>
            <w:pPr>
              <w:pStyle w:val="TableParagraph"/>
              <w:jc w:val="left"/>
              <w:rPr>
                <w:rFonts w:ascii="Times New Roman"/>
                <w:sz w:val="16"/>
              </w:rPr>
            </w:pPr>
          </w:p>
        </w:tc>
        <w:tc>
          <w:tcPr>
            <w:tcW w:w="1354" w:type="dxa"/>
          </w:tcPr>
          <w:p>
            <w:pPr>
              <w:pStyle w:val="TableParagraph"/>
              <w:jc w:val="left"/>
              <w:rPr>
                <w:rFonts w:ascii="Times New Roman"/>
                <w:sz w:val="16"/>
              </w:rPr>
            </w:pPr>
          </w:p>
        </w:tc>
        <w:tc>
          <w:tcPr>
            <w:tcW w:w="4193" w:type="dxa"/>
            <w:tcBorders>
              <w:right w:val="single" w:sz="6" w:space="0" w:color="000000"/>
            </w:tcBorders>
          </w:tcPr>
          <w:p>
            <w:pPr>
              <w:pStyle w:val="TableParagraph"/>
              <w:jc w:val="left"/>
              <w:rPr>
                <w:rFonts w:ascii="Times New Roman"/>
                <w:sz w:val="16"/>
              </w:rPr>
            </w:pPr>
          </w:p>
        </w:tc>
        <w:tc>
          <w:tcPr>
            <w:tcW w:w="1478" w:type="dxa"/>
            <w:tcBorders>
              <w:left w:val="single" w:sz="6" w:space="0" w:color="000000"/>
            </w:tcBorders>
          </w:tcPr>
          <w:p>
            <w:pPr>
              <w:pStyle w:val="TableParagraph"/>
              <w:jc w:val="left"/>
              <w:rPr>
                <w:rFonts w:ascii="Times New Roman"/>
                <w:sz w:val="16"/>
              </w:rPr>
            </w:pPr>
          </w:p>
        </w:tc>
      </w:tr>
      <w:tr>
        <w:trPr>
          <w:trHeight w:val="265" w:hRule="atLeast"/>
        </w:trPr>
        <w:tc>
          <w:tcPr>
            <w:tcW w:w="1481" w:type="dxa"/>
          </w:tcPr>
          <w:p>
            <w:pPr>
              <w:pStyle w:val="TableParagraph"/>
              <w:jc w:val="left"/>
              <w:rPr>
                <w:rFonts w:ascii="Times New Roman"/>
                <w:sz w:val="16"/>
              </w:rPr>
            </w:pPr>
          </w:p>
        </w:tc>
        <w:tc>
          <w:tcPr>
            <w:tcW w:w="1354" w:type="dxa"/>
          </w:tcPr>
          <w:p>
            <w:pPr>
              <w:pStyle w:val="TableParagraph"/>
              <w:jc w:val="left"/>
              <w:rPr>
                <w:rFonts w:ascii="Times New Roman"/>
                <w:sz w:val="16"/>
              </w:rPr>
            </w:pPr>
          </w:p>
        </w:tc>
        <w:tc>
          <w:tcPr>
            <w:tcW w:w="4193" w:type="dxa"/>
            <w:tcBorders>
              <w:right w:val="single" w:sz="6" w:space="0" w:color="000000"/>
            </w:tcBorders>
          </w:tcPr>
          <w:p>
            <w:pPr>
              <w:pStyle w:val="TableParagraph"/>
              <w:jc w:val="left"/>
              <w:rPr>
                <w:rFonts w:ascii="Times New Roman"/>
                <w:sz w:val="16"/>
              </w:rPr>
            </w:pPr>
          </w:p>
        </w:tc>
        <w:tc>
          <w:tcPr>
            <w:tcW w:w="1478" w:type="dxa"/>
            <w:tcBorders>
              <w:left w:val="single" w:sz="6" w:space="0" w:color="000000"/>
            </w:tcBorders>
          </w:tcPr>
          <w:p>
            <w:pPr>
              <w:pStyle w:val="TableParagraph"/>
              <w:jc w:val="left"/>
              <w:rPr>
                <w:rFonts w:ascii="Times New Roman"/>
                <w:sz w:val="16"/>
              </w:rPr>
            </w:pPr>
          </w:p>
        </w:tc>
      </w:tr>
      <w:tr>
        <w:trPr>
          <w:trHeight w:val="266" w:hRule="atLeast"/>
        </w:trPr>
        <w:tc>
          <w:tcPr>
            <w:tcW w:w="1481" w:type="dxa"/>
          </w:tcPr>
          <w:p>
            <w:pPr>
              <w:pStyle w:val="TableParagraph"/>
              <w:jc w:val="left"/>
              <w:rPr>
                <w:rFonts w:ascii="Times New Roman"/>
                <w:sz w:val="16"/>
              </w:rPr>
            </w:pPr>
          </w:p>
        </w:tc>
        <w:tc>
          <w:tcPr>
            <w:tcW w:w="1354" w:type="dxa"/>
          </w:tcPr>
          <w:p>
            <w:pPr>
              <w:pStyle w:val="TableParagraph"/>
              <w:jc w:val="left"/>
              <w:rPr>
                <w:rFonts w:ascii="Times New Roman"/>
                <w:sz w:val="16"/>
              </w:rPr>
            </w:pPr>
          </w:p>
        </w:tc>
        <w:tc>
          <w:tcPr>
            <w:tcW w:w="4193" w:type="dxa"/>
            <w:tcBorders>
              <w:right w:val="single" w:sz="6" w:space="0" w:color="000000"/>
            </w:tcBorders>
          </w:tcPr>
          <w:p>
            <w:pPr>
              <w:pStyle w:val="TableParagraph"/>
              <w:jc w:val="left"/>
              <w:rPr>
                <w:rFonts w:ascii="Times New Roman"/>
                <w:sz w:val="16"/>
              </w:rPr>
            </w:pPr>
          </w:p>
        </w:tc>
        <w:tc>
          <w:tcPr>
            <w:tcW w:w="1478" w:type="dxa"/>
            <w:tcBorders>
              <w:left w:val="single" w:sz="6" w:space="0" w:color="000000"/>
            </w:tcBorders>
          </w:tcPr>
          <w:p>
            <w:pPr>
              <w:pStyle w:val="TableParagraph"/>
              <w:jc w:val="left"/>
              <w:rPr>
                <w:rFonts w:ascii="Times New Roman"/>
                <w:sz w:val="16"/>
              </w:rPr>
            </w:pPr>
          </w:p>
        </w:tc>
      </w:tr>
    </w:tbl>
    <w:p>
      <w:pPr>
        <w:spacing w:after="0"/>
        <w:jc w:val="left"/>
        <w:rPr>
          <w:rFonts w:ascii="Times New Roman"/>
          <w:sz w:val="16"/>
        </w:rPr>
        <w:sectPr>
          <w:pgSz w:w="11910" w:h="16850"/>
          <w:pgMar w:header="906" w:footer="607" w:top="1100" w:bottom="800" w:left="1040" w:right="860"/>
        </w:sectPr>
      </w:pPr>
    </w:p>
    <w:p>
      <w:pPr>
        <w:pStyle w:val="Heading2"/>
        <w:spacing w:line="395" w:lineRule="exact"/>
        <w:ind w:left="1933"/>
      </w:pPr>
      <w:bookmarkStart w:name="_TOC_250008" w:id="39"/>
      <w:bookmarkEnd w:id="39"/>
      <w:r>
        <w:rPr/>
        <w:t>征集第十九届药师周药学服务经典案例论文</w:t>
      </w:r>
    </w:p>
    <w:p>
      <w:pPr>
        <w:pStyle w:val="Heading4"/>
        <w:spacing w:before="145"/>
        <w:ind w:left="5398"/>
        <w:rPr>
          <w:rFonts w:ascii="楷体" w:eastAsia="楷体" w:hint="eastAsia"/>
        </w:rPr>
      </w:pPr>
      <w:r>
        <w:rPr>
          <w:rFonts w:ascii="楷体" w:eastAsia="楷体" w:hint="eastAsia"/>
          <w:color w:val="FF0000"/>
        </w:rPr>
        <w:t>（来源：中国药学会科技开发中心网站）</w:t>
      </w:r>
    </w:p>
    <w:p>
      <w:pPr>
        <w:pStyle w:val="BodyText"/>
        <w:spacing w:line="297" w:lineRule="auto" w:before="96"/>
        <w:ind w:right="166" w:firstLine="480"/>
      </w:pPr>
      <w:r>
        <w:rPr>
          <w:spacing w:val="-1"/>
        </w:rPr>
        <w:t>共享药学服务经典案例，共探药学服务创新思路，是医院药学人员共筑的健康中国梦。</w:t>
      </w:r>
      <w:r>
        <w:rPr>
          <w:spacing w:val="-16"/>
        </w:rPr>
        <w:t>为保障 </w:t>
      </w:r>
      <w:r>
        <w:rPr/>
        <w:t>2019</w:t>
      </w:r>
      <w:r>
        <w:rPr>
          <w:spacing w:val="-8"/>
        </w:rPr>
        <w:t> 年第十九届中国药师周期间召开的“药学服务经典案例分享”论坛顺利举办， 现面向各地药学会所属分网及全国医药经济信息网各网员医院开展药学服务经典案例论文 征集活动，欢迎广大药学工作者积极投稿。现将征文工作要求通知如下：</w:t>
      </w:r>
    </w:p>
    <w:p>
      <w:pPr>
        <w:pStyle w:val="BodyText"/>
        <w:spacing w:line="304" w:lineRule="exact"/>
        <w:ind w:left="717"/>
      </w:pPr>
      <w:r>
        <w:rPr/>
        <w:t>一、征文范围和要求</w:t>
      </w:r>
    </w:p>
    <w:p>
      <w:pPr>
        <w:pStyle w:val="ListParagraph"/>
        <w:numPr>
          <w:ilvl w:val="0"/>
          <w:numId w:val="20"/>
        </w:numPr>
        <w:tabs>
          <w:tab w:pos="1079" w:val="left" w:leader="none"/>
        </w:tabs>
        <w:spacing w:line="295" w:lineRule="auto" w:before="72" w:after="0"/>
        <w:ind w:left="237" w:right="165" w:firstLine="480"/>
        <w:jc w:val="left"/>
        <w:rPr>
          <w:sz w:val="24"/>
        </w:rPr>
      </w:pPr>
      <w:r>
        <w:rPr>
          <w:sz w:val="24"/>
        </w:rPr>
        <w:t>征文范围：内容涵盖各疾病领域中的药学学科服务，包括但不限于药事管理、合理</w:t>
      </w:r>
      <w:r>
        <w:rPr>
          <w:spacing w:val="-1"/>
          <w:sz w:val="24"/>
        </w:rPr>
        <w:t>用药、药物不良反应、药物相互作用、药物经济学的治疗管理、慢病治疗管理等相关内容。</w:t>
      </w:r>
    </w:p>
    <w:p>
      <w:pPr>
        <w:pStyle w:val="ListParagraph"/>
        <w:numPr>
          <w:ilvl w:val="0"/>
          <w:numId w:val="20"/>
        </w:numPr>
        <w:tabs>
          <w:tab w:pos="1079" w:val="left" w:leader="none"/>
        </w:tabs>
        <w:spacing w:line="295" w:lineRule="auto" w:before="5" w:after="0"/>
        <w:ind w:left="237" w:right="285" w:firstLine="480"/>
        <w:jc w:val="left"/>
        <w:rPr>
          <w:sz w:val="24"/>
        </w:rPr>
      </w:pPr>
      <w:r>
        <w:rPr>
          <w:spacing w:val="-1"/>
          <w:sz w:val="24"/>
        </w:rPr>
        <w:t>征文要求：请提交能体现新思路、新观点、新案例，尚未在期刊发表的文章、专题</w:t>
      </w:r>
      <w:r>
        <w:rPr>
          <w:spacing w:val="-5"/>
          <w:sz w:val="24"/>
        </w:rPr>
        <w:t>报告或综述。每篇字数控制在 </w:t>
      </w:r>
      <w:r>
        <w:rPr>
          <w:sz w:val="24"/>
        </w:rPr>
        <w:t>3000</w:t>
      </w:r>
      <w:r>
        <w:rPr>
          <w:spacing w:val="-8"/>
          <w:sz w:val="24"/>
        </w:rPr>
        <w:t> 字以内，确保内容的真实性和客观性，文责自负。</w:t>
      </w:r>
    </w:p>
    <w:p>
      <w:pPr>
        <w:pStyle w:val="ListParagraph"/>
        <w:numPr>
          <w:ilvl w:val="0"/>
          <w:numId w:val="20"/>
        </w:numPr>
        <w:tabs>
          <w:tab w:pos="1078" w:val="left" w:leader="none"/>
        </w:tabs>
        <w:spacing w:line="240" w:lineRule="auto" w:before="2" w:after="0"/>
        <w:ind w:left="1077" w:right="0" w:hanging="360"/>
        <w:jc w:val="left"/>
        <w:rPr>
          <w:sz w:val="24"/>
        </w:rPr>
      </w:pPr>
      <w:r>
        <w:rPr>
          <w:spacing w:val="-6"/>
          <w:sz w:val="24"/>
        </w:rPr>
        <w:t>提交方式：将论文以 </w:t>
      </w:r>
      <w:r>
        <w:rPr>
          <w:sz w:val="24"/>
        </w:rPr>
        <w:t>word</w:t>
      </w:r>
      <w:r>
        <w:rPr>
          <w:spacing w:val="-14"/>
          <w:sz w:val="24"/>
        </w:rPr>
        <w:t> 文稿形式，发送至 </w:t>
      </w:r>
      <w:hyperlink r:id="rId23">
        <w:r>
          <w:rPr>
            <w:sz w:val="24"/>
          </w:rPr>
          <w:t>liuyu@cmei.org.cn</w:t>
        </w:r>
      </w:hyperlink>
      <w:r>
        <w:rPr>
          <w:sz w:val="24"/>
        </w:rPr>
        <w:t>。</w:t>
      </w:r>
    </w:p>
    <w:p>
      <w:pPr>
        <w:pStyle w:val="ListParagraph"/>
        <w:numPr>
          <w:ilvl w:val="0"/>
          <w:numId w:val="20"/>
        </w:numPr>
        <w:tabs>
          <w:tab w:pos="1079" w:val="left" w:leader="none"/>
        </w:tabs>
        <w:spacing w:line="295" w:lineRule="auto" w:before="74" w:after="0"/>
        <w:ind w:left="717" w:right="5146" w:firstLine="0"/>
        <w:jc w:val="left"/>
        <w:rPr>
          <w:sz w:val="24"/>
        </w:rPr>
      </w:pPr>
      <w:r>
        <w:rPr>
          <w:sz w:val="24"/>
        </w:rPr>
        <w:t>征文截止日期：2019</w:t>
      </w:r>
      <w:r>
        <w:rPr>
          <w:spacing w:val="-40"/>
          <w:sz w:val="24"/>
        </w:rPr>
        <w:t> 年 </w:t>
      </w:r>
      <w:r>
        <w:rPr>
          <w:sz w:val="24"/>
        </w:rPr>
        <w:t>8</w:t>
      </w:r>
      <w:r>
        <w:rPr>
          <w:spacing w:val="-40"/>
          <w:sz w:val="24"/>
        </w:rPr>
        <w:t> 月 </w:t>
      </w:r>
      <w:r>
        <w:rPr>
          <w:sz w:val="24"/>
        </w:rPr>
        <w:t>30</w:t>
      </w:r>
      <w:r>
        <w:rPr>
          <w:spacing w:val="-26"/>
          <w:sz w:val="24"/>
        </w:rPr>
        <w:t> 日。</w:t>
      </w:r>
      <w:r>
        <w:rPr>
          <w:sz w:val="24"/>
        </w:rPr>
        <w:t>二、征文评审</w:t>
      </w:r>
    </w:p>
    <w:p>
      <w:pPr>
        <w:pStyle w:val="BodyText"/>
        <w:spacing w:line="297" w:lineRule="auto" w:before="2"/>
        <w:ind w:right="268" w:firstLine="480"/>
      </w:pPr>
      <w:r>
        <w:rPr>
          <w:spacing w:val="-6"/>
        </w:rPr>
        <w:t>由中国药学会科技开发中心及我会药学服务专委会组成评审委员会，遴选出 </w:t>
      </w:r>
      <w:r>
        <w:rPr/>
        <w:t>8</w:t>
      </w:r>
      <w:r>
        <w:rPr>
          <w:spacing w:val="-15"/>
        </w:rPr>
        <w:t> 篇优秀论</w:t>
      </w:r>
      <w:r>
        <w:rPr/>
        <w:t>文在第十九届中国药师周专题论坛上作报告交流，并颁发获奖证书。</w:t>
      </w:r>
    </w:p>
    <w:p>
      <w:pPr>
        <w:pStyle w:val="BodyText"/>
        <w:spacing w:line="295" w:lineRule="auto"/>
        <w:ind w:right="271" w:firstLine="480"/>
      </w:pPr>
      <w:r>
        <w:rPr>
          <w:spacing w:val="-9"/>
        </w:rPr>
        <w:t>优秀论文亦可推荐到《中国药学杂志》《中国医院药学杂志》等期刊，并在中国药学会</w:t>
      </w:r>
      <w:r>
        <w:rPr/>
        <w:t>科技开发中心服务号、《全网医药经济信息网快讯》等署名发表。</w:t>
      </w:r>
    </w:p>
    <w:p>
      <w:pPr>
        <w:pStyle w:val="BodyText"/>
        <w:spacing w:before="3"/>
        <w:ind w:left="717"/>
      </w:pPr>
      <w:r>
        <w:rPr/>
        <w:t>三、联系方式</w:t>
      </w:r>
    </w:p>
    <w:p>
      <w:pPr>
        <w:pStyle w:val="BodyText"/>
        <w:tabs>
          <w:tab w:pos="1197" w:val="left" w:leader="none"/>
        </w:tabs>
        <w:spacing w:line="295" w:lineRule="auto" w:before="71"/>
        <w:ind w:left="717" w:right="3166"/>
      </w:pPr>
      <w:r>
        <w:rPr/>
        <w:t>地</w:t>
        <w:tab/>
        <w:t>址：北京朝阳区南郎家园</w:t>
      </w:r>
      <w:r>
        <w:rPr>
          <w:spacing w:val="-60"/>
        </w:rPr>
        <w:t> </w:t>
      </w:r>
      <w:r>
        <w:rPr/>
        <w:t>18</w:t>
      </w:r>
      <w:r>
        <w:rPr>
          <w:spacing w:val="-60"/>
        </w:rPr>
        <w:t> </w:t>
      </w:r>
      <w:r>
        <w:rPr/>
        <w:t>号楼恋日国际大厦</w:t>
      </w:r>
      <w:r>
        <w:rPr>
          <w:spacing w:val="-60"/>
        </w:rPr>
        <w:t> </w:t>
      </w:r>
      <w:r>
        <w:rPr/>
        <w:t>403</w:t>
      </w:r>
      <w:r>
        <w:rPr>
          <w:spacing w:val="-60"/>
        </w:rPr>
        <w:t> </w:t>
      </w:r>
      <w:r>
        <w:rPr>
          <w:spacing w:val="-17"/>
        </w:rPr>
        <w:t>室</w:t>
      </w:r>
      <w:r>
        <w:rPr/>
        <w:t>邮</w:t>
        <w:tab/>
        <w:t>编：100022</w:t>
      </w:r>
    </w:p>
    <w:p>
      <w:pPr>
        <w:pStyle w:val="BodyText"/>
        <w:spacing w:before="5"/>
        <w:ind w:left="717"/>
      </w:pPr>
      <w:r>
        <w:rPr/>
        <w:t>联系人：刘玉</w:t>
      </w:r>
    </w:p>
    <w:p>
      <w:pPr>
        <w:pStyle w:val="BodyText"/>
        <w:tabs>
          <w:tab w:pos="1197" w:val="left" w:leader="none"/>
        </w:tabs>
        <w:spacing w:before="71"/>
        <w:ind w:left="717"/>
      </w:pPr>
      <w:r>
        <w:rPr/>
        <w:t>电</w:t>
        <w:tab/>
        <w:t>话：010-65660788-181</w:t>
      </w:r>
    </w:p>
    <w:p>
      <w:pPr>
        <w:pStyle w:val="BodyText"/>
        <w:tabs>
          <w:tab w:pos="3597" w:val="left" w:leader="none"/>
        </w:tabs>
        <w:spacing w:before="72"/>
        <w:ind w:left="717"/>
      </w:pPr>
      <w:r>
        <w:rPr/>
        <w:t>中国药学会科技开发中心</w:t>
        <w:tab/>
        <w:t>2019</w:t>
      </w:r>
      <w:r>
        <w:rPr>
          <w:spacing w:val="-60"/>
        </w:rPr>
        <w:t> </w:t>
      </w:r>
      <w:r>
        <w:rPr/>
        <w:t>年</w:t>
      </w:r>
      <w:r>
        <w:rPr>
          <w:spacing w:val="-60"/>
        </w:rPr>
        <w:t> </w:t>
      </w:r>
      <w:r>
        <w:rPr/>
        <w:t>3</w:t>
      </w:r>
      <w:r>
        <w:rPr>
          <w:spacing w:val="-60"/>
        </w:rPr>
        <w:t> </w:t>
      </w:r>
      <w:r>
        <w:rPr/>
        <w:t>月</w:t>
      </w:r>
      <w:r>
        <w:rPr>
          <w:spacing w:val="-60"/>
        </w:rPr>
        <w:t> </w:t>
      </w:r>
      <w:r>
        <w:rPr/>
        <w:t>1</w:t>
      </w:r>
      <w:r>
        <w:rPr>
          <w:spacing w:val="-60"/>
        </w:rPr>
        <w:t> </w:t>
      </w:r>
      <w:r>
        <w:rPr/>
        <w:t>日</w:t>
      </w:r>
    </w:p>
    <w:p>
      <w:pPr>
        <w:pStyle w:val="Heading1"/>
        <w:rPr>
          <w:u w:val="none"/>
        </w:rPr>
      </w:pPr>
      <w:bookmarkStart w:name="_TOC_250007" w:id="40"/>
      <w:r>
        <w:rPr>
          <w:rFonts w:ascii="Times New Roman" w:eastAsia="Times New Roman"/>
          <w:color w:val="008000"/>
          <w:spacing w:val="-110"/>
          <w:w w:val="99"/>
          <w:u w:val="thick" w:color="008000"/>
        </w:rPr>
        <w:t> </w:t>
      </w:r>
      <w:bookmarkEnd w:id="40"/>
      <w:r>
        <w:rPr>
          <w:color w:val="008000"/>
          <w:u w:val="thick" w:color="008000"/>
        </w:rPr>
        <w:t>交流园地</w:t>
      </w:r>
    </w:p>
    <w:p>
      <w:pPr>
        <w:pStyle w:val="BodyText"/>
        <w:spacing w:before="5"/>
        <w:ind w:left="0"/>
        <w:rPr>
          <w:rFonts w:ascii="华文宋体"/>
          <w:b/>
          <w:sz w:val="9"/>
        </w:rPr>
      </w:pPr>
    </w:p>
    <w:p>
      <w:pPr>
        <w:pStyle w:val="Heading2"/>
        <w:spacing w:before="55"/>
      </w:pPr>
      <w:bookmarkStart w:name="_TOC_250006" w:id="41"/>
      <w:bookmarkEnd w:id="41"/>
      <w:r>
        <w:rPr/>
        <w:t>【学习园地】</w:t>
      </w:r>
    </w:p>
    <w:p>
      <w:pPr>
        <w:pStyle w:val="BodyText"/>
        <w:ind w:left="0"/>
        <w:rPr>
          <w:b/>
        </w:rPr>
      </w:pPr>
    </w:p>
    <w:p>
      <w:pPr>
        <w:pStyle w:val="Heading2"/>
        <w:ind w:left="1612"/>
      </w:pPr>
      <w:bookmarkStart w:name="_TOC_250005" w:id="42"/>
      <w:bookmarkEnd w:id="42"/>
      <w:r>
        <w:rPr/>
        <w:t>欧洲应对抗生素耐药问题的治理框架及行动方案</w:t>
      </w:r>
    </w:p>
    <w:p>
      <w:pPr>
        <w:spacing w:line="292" w:lineRule="auto" w:before="145"/>
        <w:ind w:left="237" w:right="266" w:firstLine="4373"/>
        <w:jc w:val="left"/>
        <w:rPr>
          <w:sz w:val="21"/>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3</w:t>
      </w:r>
      <w:r>
        <w:rPr>
          <w:rFonts w:ascii="楷体" w:eastAsia="楷体" w:hint="eastAsia"/>
          <w:b/>
          <w:color w:val="FF0000"/>
          <w:spacing w:val="-31"/>
          <w:sz w:val="24"/>
        </w:rPr>
        <w:t> 期</w:t>
      </w:r>
      <w:r>
        <w:rPr>
          <w:rFonts w:ascii="楷体" w:eastAsia="楷体" w:hint="eastAsia"/>
          <w:b/>
          <w:color w:val="FF0000"/>
          <w:spacing w:val="-12"/>
          <w:sz w:val="24"/>
        </w:rPr>
        <w:t>） </w:t>
      </w:r>
      <w:r>
        <w:rPr>
          <w:rFonts w:ascii="楷体" w:eastAsia="楷体" w:hint="eastAsia"/>
          <w:spacing w:val="-15"/>
          <w:sz w:val="24"/>
        </w:rPr>
        <w:t>刘跃华 </w:t>
      </w:r>
      <w:r>
        <w:rPr>
          <w:rFonts w:ascii="楷体" w:eastAsia="楷体" w:hint="eastAsia"/>
          <w:position w:val="12"/>
          <w:sz w:val="12"/>
        </w:rPr>
        <w:t>1</w:t>
      </w:r>
      <w:r>
        <w:rPr>
          <w:rFonts w:ascii="楷体" w:eastAsia="楷体" w:hint="eastAsia"/>
          <w:spacing w:val="-14"/>
          <w:sz w:val="24"/>
        </w:rPr>
        <w:t>，韩萌 </w:t>
      </w:r>
      <w:r>
        <w:rPr>
          <w:rFonts w:ascii="楷体" w:eastAsia="楷体" w:hint="eastAsia"/>
          <w:position w:val="12"/>
          <w:sz w:val="12"/>
        </w:rPr>
        <w:t>2</w:t>
      </w:r>
      <w:r>
        <w:rPr>
          <w:rFonts w:ascii="楷体" w:eastAsia="楷体" w:hint="eastAsia"/>
          <w:spacing w:val="-12"/>
          <w:sz w:val="24"/>
        </w:rPr>
        <w:t>，冉素平 </w:t>
      </w:r>
      <w:r>
        <w:rPr>
          <w:rFonts w:ascii="楷体" w:eastAsia="楷体" w:hint="eastAsia"/>
          <w:position w:val="12"/>
          <w:sz w:val="12"/>
        </w:rPr>
        <w:t>3</w:t>
      </w:r>
      <w:r>
        <w:rPr>
          <w:rFonts w:ascii="楷体" w:eastAsia="楷体" w:hint="eastAsia"/>
          <w:spacing w:val="-12"/>
          <w:sz w:val="24"/>
        </w:rPr>
        <w:t>，吴久鸿 </w:t>
      </w:r>
      <w:r>
        <w:rPr>
          <w:rFonts w:ascii="楷体" w:eastAsia="楷体" w:hint="eastAsia"/>
          <w:position w:val="12"/>
          <w:sz w:val="12"/>
        </w:rPr>
        <w:t>3</w:t>
      </w:r>
      <w:r>
        <w:rPr>
          <w:sz w:val="18"/>
        </w:rPr>
        <w:t>（</w:t>
      </w:r>
      <w:r>
        <w:rPr>
          <w:rFonts w:ascii="Times New Roman" w:eastAsia="Times New Roman"/>
          <w:sz w:val="21"/>
        </w:rPr>
        <w:t>1.</w:t>
      </w:r>
      <w:r>
        <w:rPr>
          <w:spacing w:val="-6"/>
          <w:sz w:val="21"/>
        </w:rPr>
        <w:t>国家卫生计生委，卫生发展研究中心，北京 </w:t>
      </w:r>
      <w:r>
        <w:rPr>
          <w:rFonts w:ascii="Times New Roman" w:eastAsia="Times New Roman"/>
          <w:sz w:val="21"/>
        </w:rPr>
        <w:t>100191</w:t>
      </w:r>
      <w:r>
        <w:rPr>
          <w:sz w:val="21"/>
        </w:rPr>
        <w:t>；</w:t>
      </w:r>
      <w:r>
        <w:rPr>
          <w:rFonts w:ascii="Times New Roman" w:eastAsia="Times New Roman"/>
          <w:sz w:val="21"/>
        </w:rPr>
        <w:t>2.</w:t>
      </w:r>
      <w:r>
        <w:rPr>
          <w:sz w:val="21"/>
        </w:rPr>
        <w:t>华</w:t>
      </w:r>
      <w:r>
        <w:rPr>
          <w:spacing w:val="-3"/>
          <w:sz w:val="21"/>
        </w:rPr>
        <w:t>中科技大学同济医学院医药卫生管理学院，湖北 武汉 </w:t>
      </w:r>
      <w:r>
        <w:rPr>
          <w:rFonts w:ascii="Times New Roman" w:eastAsia="Times New Roman"/>
          <w:sz w:val="21"/>
        </w:rPr>
        <w:t>430030</w:t>
      </w:r>
      <w:r>
        <w:rPr>
          <w:sz w:val="21"/>
        </w:rPr>
        <w:t>；</w:t>
      </w:r>
      <w:r>
        <w:rPr>
          <w:rFonts w:ascii="Times New Roman" w:eastAsia="Times New Roman"/>
          <w:sz w:val="21"/>
        </w:rPr>
        <w:t>3.</w:t>
      </w:r>
      <w:r>
        <w:rPr>
          <w:spacing w:val="-9"/>
          <w:sz w:val="21"/>
        </w:rPr>
        <w:t>中国人民解放军第 </w:t>
      </w:r>
      <w:r>
        <w:rPr>
          <w:rFonts w:ascii="Times New Roman" w:eastAsia="Times New Roman"/>
          <w:sz w:val="21"/>
        </w:rPr>
        <w:t>306 </w:t>
      </w:r>
      <w:r>
        <w:rPr>
          <w:spacing w:val="-3"/>
          <w:sz w:val="21"/>
        </w:rPr>
        <w:t>医院，北京</w:t>
      </w:r>
      <w:r>
        <w:rPr>
          <w:rFonts w:ascii="Times New Roman" w:eastAsia="Times New Roman"/>
          <w:spacing w:val="-3"/>
          <w:sz w:val="21"/>
        </w:rPr>
        <w:t>100101</w:t>
      </w:r>
      <w:r>
        <w:rPr>
          <w:spacing w:val="-3"/>
          <w:sz w:val="21"/>
        </w:rPr>
        <w:t>）</w:t>
      </w:r>
    </w:p>
    <w:p>
      <w:pPr>
        <w:spacing w:line="355" w:lineRule="auto" w:before="43"/>
        <w:ind w:left="237" w:right="268" w:firstLine="91"/>
        <w:jc w:val="both"/>
        <w:rPr>
          <w:rFonts w:ascii="楷体" w:eastAsia="楷体" w:hint="eastAsia"/>
          <w:sz w:val="18"/>
        </w:rPr>
      </w:pPr>
      <w:r>
        <w:rPr>
          <w:rFonts w:ascii="黑体" w:eastAsia="黑体" w:hint="eastAsia"/>
          <w:sz w:val="18"/>
        </w:rPr>
        <w:t>[摘要]</w:t>
      </w:r>
      <w:r>
        <w:rPr>
          <w:rFonts w:ascii="楷体" w:eastAsia="楷体" w:hint="eastAsia"/>
          <w:sz w:val="18"/>
        </w:rPr>
        <w:t>本文简述欧洲应对抗生素耐药问题行动方案和政策措施，梳理欧洲典型国家应对抗生素耐药问题的国家治理框架</w:t>
      </w:r>
      <w:r>
        <w:rPr>
          <w:rFonts w:ascii="楷体" w:eastAsia="楷体" w:hint="eastAsia"/>
          <w:spacing w:val="-6"/>
          <w:sz w:val="18"/>
        </w:rPr>
        <w:t>和行动方案、机构组织间的分工协作模式、具体应对策略措施等内容。欧洲各国在应对抗生素耐药问题中的成功经验可供</w:t>
      </w:r>
      <w:r>
        <w:rPr>
          <w:rFonts w:ascii="楷体" w:eastAsia="楷体" w:hint="eastAsia"/>
          <w:sz w:val="18"/>
        </w:rPr>
        <w:t>我国借鉴，推进我国《遏制细菌耐药国家行动计划（2016-2020年）》的顺利实施。</w:t>
      </w:r>
    </w:p>
    <w:p>
      <w:pPr>
        <w:spacing w:line="227" w:lineRule="exact" w:before="0"/>
        <w:ind w:left="237" w:right="0" w:firstLine="0"/>
        <w:jc w:val="both"/>
        <w:rPr>
          <w:rFonts w:ascii="楷体" w:eastAsia="楷体" w:hint="eastAsia"/>
          <w:sz w:val="18"/>
        </w:rPr>
      </w:pPr>
      <w:r>
        <w:rPr>
          <w:rFonts w:ascii="黑体" w:eastAsia="黑体" w:hint="eastAsia"/>
          <w:sz w:val="18"/>
        </w:rPr>
        <w:t>[关键词] </w:t>
      </w:r>
      <w:r>
        <w:rPr>
          <w:rFonts w:ascii="楷体" w:eastAsia="楷体" w:hint="eastAsia"/>
          <w:sz w:val="18"/>
        </w:rPr>
        <w:t>抗生素耐药；治理框架；行动方案；欧盟</w:t>
      </w:r>
    </w:p>
    <w:p>
      <w:pPr>
        <w:pStyle w:val="Heading4"/>
        <w:numPr>
          <w:ilvl w:val="0"/>
          <w:numId w:val="21"/>
        </w:numPr>
        <w:tabs>
          <w:tab w:pos="964" w:val="left" w:leader="none"/>
        </w:tabs>
        <w:spacing w:line="240" w:lineRule="auto" w:before="84" w:after="0"/>
        <w:ind w:left="963" w:right="0" w:hanging="244"/>
        <w:jc w:val="left"/>
      </w:pPr>
      <w:r>
        <w:rPr/>
        <w:t>背景</w:t>
      </w:r>
    </w:p>
    <w:p>
      <w:pPr>
        <w:spacing w:after="0" w:line="240" w:lineRule="auto"/>
        <w:jc w:val="left"/>
        <w:sectPr>
          <w:pgSz w:w="11910" w:h="16850"/>
          <w:pgMar w:header="906" w:footer="607" w:top="1100" w:bottom="800" w:left="1040" w:right="860"/>
        </w:sectPr>
      </w:pPr>
    </w:p>
    <w:p>
      <w:pPr>
        <w:pStyle w:val="BodyText"/>
        <w:spacing w:line="297" w:lineRule="auto" w:before="65"/>
        <w:ind w:right="146" w:firstLine="480"/>
      </w:pPr>
      <w:r>
        <w:rPr/>
        <w:t>全球范围内抗生素耐药（antimicrobial resistance，AMR）形势日益严峻。2014</w:t>
      </w:r>
      <w:r>
        <w:rPr>
          <w:spacing w:val="-40"/>
        </w:rPr>
        <w:t> 年 </w:t>
      </w:r>
      <w:r>
        <w:rPr/>
        <w:t>4 </w:t>
      </w:r>
      <w:r>
        <w:rPr>
          <w:spacing w:val="-10"/>
        </w:rPr>
        <w:t>月世界卫生组织</w:t>
      </w:r>
      <w:r>
        <w:rPr>
          <w:spacing w:val="-14"/>
        </w:rPr>
        <w:t>（WHO）</w:t>
      </w:r>
      <w:r>
        <w:rPr>
          <w:spacing w:val="-9"/>
        </w:rPr>
        <w:t>发布的《抗生素耐药：全球监测报告</w:t>
      </w:r>
      <w:r>
        <w:rPr>
          <w:spacing w:val="-140"/>
        </w:rPr>
        <w:t>》</w:t>
      </w:r>
      <w:r>
        <w:rPr/>
        <w:t>（A</w:t>
      </w:r>
      <w:r>
        <w:rPr>
          <w:spacing w:val="-60"/>
        </w:rPr>
        <w:t> </w:t>
      </w:r>
      <w:r>
        <w:rPr/>
        <w:t>Antimicrobial</w:t>
      </w:r>
      <w:r>
        <w:rPr>
          <w:spacing w:val="-59"/>
        </w:rPr>
        <w:t> </w:t>
      </w:r>
      <w:r>
        <w:rPr/>
        <w:t>Resistance Global Report on Surveillance）指出目前某些耐药菌已经出现“无药可医”的状况。碳</w:t>
      </w:r>
      <w:r>
        <w:rPr>
          <w:spacing w:val="-4"/>
        </w:rPr>
        <w:t>青霉烯类抗生素是治疗肺炎克雷伯菌引起感染的最后手段，目前部分国家碳青霉烯类抗生素</w:t>
      </w:r>
      <w:r>
        <w:rPr>
          <w:spacing w:val="-9"/>
        </w:rPr>
        <w:t>对半数以上肺炎克雷伯菌感染患者无效。作为淋病最后治疗手段的第三代头孢菌素，在奥地</w:t>
      </w:r>
      <w:r>
        <w:rPr>
          <w:spacing w:val="-12"/>
        </w:rPr>
        <w:t>利、澳大利亚、加拿大、法国、日本、挪威、南非、斯洛文尼亚、瑞典和英国已确认治疗失</w:t>
      </w:r>
      <w:r>
        <w:rPr>
          <w:spacing w:val="-17"/>
        </w:rPr>
        <w:t>败。世界银行预测到 </w:t>
      </w:r>
      <w:r>
        <w:rPr/>
        <w:t>2050</w:t>
      </w:r>
      <w:r>
        <w:rPr>
          <w:spacing w:val="-16"/>
        </w:rPr>
        <w:t> 年全球每年为 </w:t>
      </w:r>
      <w:r>
        <w:rPr/>
        <w:t>AMR</w:t>
      </w:r>
      <w:r>
        <w:rPr>
          <w:spacing w:val="-13"/>
        </w:rPr>
        <w:t> 增加的医疗投入将高达 </w:t>
      </w:r>
      <w:r>
        <w:rPr/>
        <w:t>1</w:t>
      </w:r>
      <w:r>
        <w:rPr>
          <w:spacing w:val="-8"/>
        </w:rPr>
        <w:t> 万亿美元，欧洲疾病预防与控制中心(ECDC)</w:t>
      </w:r>
      <w:r>
        <w:rPr>
          <w:spacing w:val="11"/>
        </w:rPr>
        <w:t> 估计</w:t>
      </w:r>
      <w:r>
        <w:rPr/>
        <w:t>AMR</w:t>
      </w:r>
      <w:r>
        <w:rPr>
          <w:spacing w:val="-8"/>
        </w:rPr>
        <w:t> 造成的医疗费用和生产力损失每年约为</w:t>
      </w:r>
      <w:r>
        <w:rPr/>
        <w:t>15</w:t>
      </w:r>
      <w:r>
        <w:rPr>
          <w:spacing w:val="-26"/>
        </w:rPr>
        <w:t> 亿欧元。据统计， </w:t>
      </w:r>
      <w:r>
        <w:rPr>
          <w:spacing w:val="-2"/>
        </w:rPr>
        <w:t>耐甲氧西林金黄色葡萄球菌</w:t>
      </w:r>
      <w:r>
        <w:rPr>
          <w:spacing w:val="-3"/>
        </w:rPr>
        <w:t>（MRSA）</w:t>
      </w:r>
      <w:r>
        <w:rPr>
          <w:spacing w:val="-4"/>
        </w:rPr>
        <w:t>感染患者比非耐药患者死亡可能性高出 64%</w:t>
      </w:r>
      <w:r>
        <w:rPr>
          <w:spacing w:val="-2"/>
        </w:rPr>
        <w:t>，欧盟每年</w:t>
      </w:r>
      <w:r>
        <w:rPr>
          <w:spacing w:val="-22"/>
        </w:rPr>
        <w:t>约有 </w:t>
      </w:r>
      <w:r>
        <w:rPr/>
        <w:t>2.5</w:t>
      </w:r>
      <w:r>
        <w:rPr>
          <w:spacing w:val="-10"/>
        </w:rPr>
        <w:t> 万名患者死于耐药菌引发的败血症，累计延长住院日达 </w:t>
      </w:r>
      <w:r>
        <w:rPr/>
        <w:t>250</w:t>
      </w:r>
      <w:r>
        <w:rPr>
          <w:spacing w:val="-15"/>
        </w:rPr>
        <w:t> 万天。</w:t>
      </w:r>
    </w:p>
    <w:p>
      <w:pPr>
        <w:pStyle w:val="BodyText"/>
        <w:spacing w:line="297" w:lineRule="auto"/>
        <w:ind w:right="267" w:firstLine="480"/>
      </w:pPr>
      <w:r>
        <w:rPr>
          <w:spacing w:val="-7"/>
        </w:rPr>
        <w:t>“一个世界性的问题需要一个世界性的解决方法”，应对 </w:t>
      </w:r>
      <w:r>
        <w:rPr/>
        <w:t>AMR</w:t>
      </w:r>
      <w:r>
        <w:rPr>
          <w:spacing w:val="-12"/>
        </w:rPr>
        <w:t> 问题需要政府间、非政府</w:t>
      </w:r>
      <w:r>
        <w:rPr>
          <w:spacing w:val="-15"/>
        </w:rPr>
        <w:t>的专业机构间、国际组织间开展持续合作，从全球治理角度进行规划和安排。</w:t>
      </w:r>
      <w:r>
        <w:rPr/>
        <w:t>2001</w:t>
      </w:r>
      <w:r>
        <w:rPr>
          <w:spacing w:val="-40"/>
        </w:rPr>
        <w:t> 年 </w:t>
      </w:r>
      <w:r>
        <w:rPr/>
        <w:t>WHO</w:t>
      </w:r>
      <w:r>
        <w:rPr>
          <w:spacing w:val="-8"/>
        </w:rPr>
        <w:t> 发</w:t>
      </w:r>
      <w:r>
        <w:rPr/>
        <w:t>表《WHO</w:t>
      </w:r>
      <w:r>
        <w:rPr>
          <w:spacing w:val="-1"/>
        </w:rPr>
        <w:t> 遏制抗生素耐药全球策略》</w:t>
      </w:r>
      <w:r>
        <w:rPr/>
        <w:t>（WHO Global Strategy for Containment of Antimicrobial Resistance）,为应对抗生素耐药提出了全球行动建议。2016</w:t>
      </w:r>
      <w:r>
        <w:rPr>
          <w:spacing w:val="-30"/>
        </w:rPr>
        <w:t> 年第 </w:t>
      </w:r>
      <w:r>
        <w:rPr/>
        <w:t>71</w:t>
      </w:r>
      <w:r>
        <w:rPr>
          <w:spacing w:val="-20"/>
        </w:rPr>
        <w:t> 届联</w:t>
      </w:r>
      <w:r>
        <w:rPr>
          <w:spacing w:val="-22"/>
        </w:rPr>
        <w:t>合国大会召开了微生物耐药性问题高级别会议，号召全球领导人共同为打击抗微生物药物耐</w:t>
      </w:r>
      <w:r>
        <w:rPr/>
        <w:t>药性做出承诺。</w:t>
      </w:r>
    </w:p>
    <w:p>
      <w:pPr>
        <w:pStyle w:val="BodyText"/>
        <w:spacing w:line="297" w:lineRule="auto"/>
        <w:ind w:right="147" w:firstLine="480"/>
        <w:jc w:val="both"/>
      </w:pPr>
      <w:r>
        <w:rPr/>
        <w:t>2016</w:t>
      </w:r>
      <w:r>
        <w:rPr>
          <w:spacing w:val="-18"/>
        </w:rPr>
        <w:t> 年中国作为 </w:t>
      </w:r>
      <w:r>
        <w:rPr/>
        <w:t>G20</w:t>
      </w:r>
      <w:r>
        <w:rPr>
          <w:spacing w:val="-8"/>
        </w:rPr>
        <w:t> 主席国，将抗生素耐药性问题写入《二十国集团领导人杭州峰会</w:t>
      </w:r>
      <w:r>
        <w:rPr>
          <w:spacing w:val="-12"/>
        </w:rPr>
        <w:t>公报》，呼吁世界卫生组织、联合国粮农组织、世界动物卫生组织、经合组织就应对这一问</w:t>
      </w:r>
      <w:r>
        <w:rPr>
          <w:spacing w:val="-20"/>
        </w:rPr>
        <w:t>题及其经济影响提出政策选项。我国于 </w:t>
      </w:r>
      <w:r>
        <w:rPr/>
        <w:t>2016</w:t>
      </w:r>
      <w:r>
        <w:rPr>
          <w:spacing w:val="-20"/>
        </w:rPr>
        <w:t> 年发布《遏制细菌耐药国家行动计划</w:t>
      </w:r>
      <w:r>
        <w:rPr/>
        <w:t>（2016-2020 年</w:t>
      </w:r>
      <w:r>
        <w:rPr>
          <w:spacing w:val="-22"/>
        </w:rPr>
        <w:t>）</w:t>
      </w:r>
      <w:r>
        <w:rPr>
          <w:spacing w:val="-9"/>
        </w:rPr>
        <w:t>》，明确要求跨部门相互协调形成合力，妥善应对我国细菌耐药问题。搭建国家行动框</w:t>
      </w:r>
      <w:r>
        <w:rPr>
          <w:spacing w:val="-18"/>
        </w:rPr>
        <w:t>架以及机构运行模式，是保障应对 </w:t>
      </w:r>
      <w:r>
        <w:rPr/>
        <w:t>AMR</w:t>
      </w:r>
      <w:r>
        <w:rPr>
          <w:spacing w:val="-15"/>
        </w:rPr>
        <w:t> 中参与治理部门各司其职、有效分工协作的重要前提。</w:t>
      </w:r>
    </w:p>
    <w:p>
      <w:pPr>
        <w:pStyle w:val="BodyText"/>
        <w:spacing w:line="295" w:lineRule="auto"/>
        <w:ind w:right="267" w:firstLine="480"/>
        <w:jc w:val="both"/>
      </w:pPr>
      <w:r>
        <w:rPr>
          <w:spacing w:val="-5"/>
        </w:rPr>
        <w:t>本文针对欧洲各典型国家在应对 </w:t>
      </w:r>
      <w:r>
        <w:rPr/>
        <w:t>AMR</w:t>
      </w:r>
      <w:r>
        <w:rPr>
          <w:spacing w:val="-14"/>
        </w:rPr>
        <w:t> 问题的国家治理方案，对国家行动框架与具体落实</w:t>
      </w:r>
      <w:r>
        <w:rPr>
          <w:spacing w:val="-7"/>
        </w:rPr>
        <w:t>措施等国际经验进行梳理，以期为中国积极参与全球卫生治理，推进《遏制细菌耐药国家行</w:t>
      </w:r>
      <w:r>
        <w:rPr/>
        <w:t>动计划（2016-2020</w:t>
      </w:r>
      <w:r>
        <w:rPr>
          <w:spacing w:val="-31"/>
        </w:rPr>
        <w:t> 年</w:t>
      </w:r>
      <w:r>
        <w:rPr/>
        <w:t>）》的顺利实施提供决策参考依据。</w:t>
      </w:r>
    </w:p>
    <w:p>
      <w:pPr>
        <w:pStyle w:val="Heading4"/>
        <w:numPr>
          <w:ilvl w:val="0"/>
          <w:numId w:val="21"/>
        </w:numPr>
        <w:tabs>
          <w:tab w:pos="964" w:val="left" w:leader="none"/>
        </w:tabs>
        <w:spacing w:line="240" w:lineRule="auto" w:before="0" w:after="0"/>
        <w:ind w:left="963" w:right="0" w:hanging="244"/>
        <w:jc w:val="left"/>
      </w:pPr>
      <w:r>
        <w:rPr/>
        <w:t>欧盟应对抗生素耐药政策措施和行动方案</w:t>
      </w:r>
    </w:p>
    <w:p>
      <w:pPr>
        <w:pStyle w:val="BodyText"/>
        <w:spacing w:line="297" w:lineRule="auto" w:before="51"/>
        <w:ind w:right="267" w:firstLine="480"/>
        <w:jc w:val="both"/>
      </w:pPr>
      <w:r>
        <w:rPr>
          <w:spacing w:val="-7"/>
        </w:rPr>
        <w:t>欧盟是一个政治和经济共同体，通过标准化的法律制度来约束各成员国。欧盟出台了有</w:t>
      </w:r>
      <w:r>
        <w:rPr>
          <w:spacing w:val="-8"/>
        </w:rPr>
        <w:t>关抗生素处方监管、使用监测、畜牧业合理用药、宣传教育等一系列政策措施，制定了抗生素耐药性五年行动计划，敦促并指导各成员国应对日趋严峻的细菌耐药危机。</w:t>
      </w:r>
    </w:p>
    <w:p>
      <w:pPr>
        <w:pStyle w:val="BodyText"/>
        <w:spacing w:line="295" w:lineRule="auto"/>
        <w:ind w:right="267" w:firstLine="480"/>
        <w:jc w:val="both"/>
      </w:pPr>
      <w:r>
        <w:rPr>
          <w:spacing w:val="-8"/>
        </w:rPr>
        <w:t>在抗生素处方管理方面，欧盟颁布编写新抗菌药物说明书的指南，规范供医生和患者使</w:t>
      </w:r>
      <w:r>
        <w:rPr/>
        <w:t>用的说明书,建议对不同细菌感染细化用药剂量，规定患者须凭处方购买抗生素。</w:t>
      </w:r>
    </w:p>
    <w:p>
      <w:pPr>
        <w:pStyle w:val="BodyText"/>
        <w:spacing w:line="295" w:lineRule="auto" w:before="1"/>
        <w:ind w:right="269" w:firstLine="480"/>
        <w:jc w:val="both"/>
      </w:pPr>
      <w:r>
        <w:rPr/>
        <w:t>在抗生素使用监测方面，1998</w:t>
      </w:r>
      <w:r>
        <w:rPr>
          <w:spacing w:val="-8"/>
        </w:rPr>
        <w:t> 年欧盟立细菌耐药性监测系统</w:t>
      </w:r>
      <w:r>
        <w:rPr/>
        <w:t>(European </w:t>
      </w:r>
      <w:r>
        <w:rPr>
          <w:spacing w:val="-2"/>
        </w:rPr>
        <w:t>Antimicrobial </w:t>
      </w:r>
      <w:r>
        <w:rPr/>
        <w:t>Resistance surveillance System，EARSS)，收集各参与国耐药性细菌发生与发展数据；</w:t>
      </w:r>
    </w:p>
    <w:p>
      <w:pPr>
        <w:pStyle w:val="BodyText"/>
        <w:spacing w:line="297" w:lineRule="auto" w:before="2"/>
        <w:ind w:right="268"/>
        <w:jc w:val="both"/>
      </w:pPr>
      <w:r>
        <w:rPr/>
        <w:t>2000</w:t>
      </w:r>
      <w:r>
        <w:rPr>
          <w:spacing w:val="-8"/>
        </w:rPr>
        <w:t> 年立法要求各成员国密切监控病菌抗药性以及抗生素使用情况</w:t>
      </w:r>
      <w:r>
        <w:rPr/>
        <w:t>；2011</w:t>
      </w:r>
      <w:r>
        <w:rPr>
          <w:spacing w:val="-8"/>
        </w:rPr>
        <w:t> 年成立欧盟抗菌药物使用量监测网（European</w:t>
      </w:r>
      <w:r>
        <w:rPr>
          <w:spacing w:val="-48"/>
        </w:rPr>
        <w:t> </w:t>
      </w:r>
      <w:r>
        <w:rPr/>
        <w:t>surveillance</w:t>
      </w:r>
      <w:r>
        <w:rPr>
          <w:spacing w:val="-48"/>
        </w:rPr>
        <w:t> </w:t>
      </w:r>
      <w:r>
        <w:rPr/>
        <w:t>of</w:t>
      </w:r>
      <w:r>
        <w:rPr>
          <w:spacing w:val="-48"/>
        </w:rPr>
        <w:t> </w:t>
      </w:r>
      <w:r>
        <w:rPr/>
        <w:t>Antimicrobial</w:t>
      </w:r>
      <w:r>
        <w:rPr>
          <w:spacing w:val="-48"/>
        </w:rPr>
        <w:t> </w:t>
      </w:r>
      <w:r>
        <w:rPr/>
        <w:t>Resistance</w:t>
      </w:r>
      <w:r>
        <w:rPr>
          <w:spacing w:val="-48"/>
        </w:rPr>
        <w:t> </w:t>
      </w:r>
      <w:r>
        <w:rPr/>
        <w:t>Consumption， ESAC），形成抗菌药物使用量网络数据库，为有关机构的研究提供长期数据支持。</w:t>
      </w:r>
    </w:p>
    <w:p>
      <w:pPr>
        <w:pStyle w:val="BodyText"/>
        <w:spacing w:line="297" w:lineRule="auto"/>
        <w:ind w:right="270" w:firstLine="480"/>
        <w:jc w:val="both"/>
      </w:pPr>
      <w:r>
        <w:rPr>
          <w:spacing w:val="-8"/>
        </w:rPr>
        <w:t>在促进畜牧业抗生素合理使用方面，为避免人类大量摄入含有抗生素的肉类造成细菌耐</w:t>
      </w:r>
      <w:r>
        <w:rPr>
          <w:spacing w:val="-6"/>
        </w:rPr>
        <w:t>药，欧盟药品委员会在 </w:t>
      </w:r>
      <w:r>
        <w:rPr/>
        <w:t>2006</w:t>
      </w:r>
      <w:r>
        <w:rPr>
          <w:spacing w:val="-8"/>
        </w:rPr>
        <w:t> 年规定严禁在饲料中增添各类抗生素促进动物生长，欧盟决定减少抗生素类药品的财政补贴，利用经济手段调节抗生素使用行为。</w:t>
      </w:r>
    </w:p>
    <w:p>
      <w:pPr>
        <w:spacing w:after="0" w:line="297" w:lineRule="auto"/>
        <w:jc w:val="both"/>
        <w:sectPr>
          <w:pgSz w:w="11910" w:h="16850"/>
          <w:pgMar w:header="906" w:footer="607" w:top="1100" w:bottom="800" w:left="1040" w:right="860"/>
        </w:sectPr>
      </w:pPr>
    </w:p>
    <w:p>
      <w:pPr>
        <w:pStyle w:val="BodyText"/>
        <w:spacing w:line="295" w:lineRule="auto" w:before="65"/>
        <w:ind w:right="267" w:firstLine="480"/>
        <w:jc w:val="both"/>
      </w:pPr>
      <w:r>
        <w:rPr>
          <w:spacing w:val="-31"/>
        </w:rPr>
        <w:t>在 </w:t>
      </w:r>
      <w:r>
        <w:rPr/>
        <w:t>AMR</w:t>
      </w:r>
      <w:r>
        <w:rPr>
          <w:spacing w:val="-14"/>
        </w:rPr>
        <w:t> 宣传教育方面，欧盟为抗生素宣传教育活动提供资助，如资助适合学生的抗生素</w:t>
      </w:r>
      <w:r>
        <w:rPr/>
        <w:t>教学资源“e-Bug”，举办“欧洲抗生素宣传日”活动普及合理用药知识。</w:t>
      </w:r>
    </w:p>
    <w:p>
      <w:pPr>
        <w:pStyle w:val="BodyText"/>
        <w:spacing w:line="297" w:lineRule="auto" w:before="2"/>
        <w:ind w:right="266" w:firstLine="480"/>
        <w:jc w:val="both"/>
      </w:pPr>
      <w:r>
        <w:rPr/>
        <w:t>2011</w:t>
      </w:r>
      <w:r>
        <w:rPr>
          <w:spacing w:val="-13"/>
        </w:rPr>
        <w:t> 年欧盟宣布了一项包括 </w:t>
      </w:r>
      <w:r>
        <w:rPr/>
        <w:t>7</w:t>
      </w:r>
      <w:r>
        <w:rPr>
          <w:spacing w:val="-8"/>
        </w:rPr>
        <w:t> 个优先行动方面的抗生素耐药性五年行动计划。该计划</w:t>
      </w:r>
      <w:r>
        <w:rPr>
          <w:spacing w:val="-26"/>
        </w:rPr>
        <w:t>提出 </w:t>
      </w:r>
      <w:r>
        <w:rPr/>
        <w:t>AMR</w:t>
      </w:r>
      <w:r>
        <w:rPr>
          <w:spacing w:val="-12"/>
        </w:rPr>
        <w:t> 治理目标规划和系统性的应对措施，为各成员国提供了治理思路和措施建议。这 </w:t>
      </w:r>
      <w:r>
        <w:rPr>
          <w:spacing w:val="-13"/>
        </w:rPr>
        <w:t>7 </w:t>
      </w:r>
      <w:r>
        <w:rPr>
          <w:spacing w:val="-9"/>
        </w:rPr>
        <w:t>个优先行动方面是：⑴确保人畜正确使用抗生素；⑵预防细菌感染和传播；⑶研发新抗生素或寻找替代治疗方法；⑷参与国际合作降低病菌抗药性传播风险；⑸完善对人用和兽用抗生</w:t>
      </w:r>
      <w:r>
        <w:rPr/>
        <w:t>素的监控；⑹研发新产品；⑺抗生素相关宣传、教育培训。</w:t>
      </w:r>
    </w:p>
    <w:p>
      <w:pPr>
        <w:pStyle w:val="Heading4"/>
        <w:numPr>
          <w:ilvl w:val="0"/>
          <w:numId w:val="21"/>
        </w:numPr>
        <w:tabs>
          <w:tab w:pos="964" w:val="left" w:leader="none"/>
        </w:tabs>
        <w:spacing w:line="302" w:lineRule="exact" w:before="0" w:after="0"/>
        <w:ind w:left="963" w:right="0" w:hanging="244"/>
        <w:jc w:val="left"/>
      </w:pPr>
      <w:r>
        <w:rPr>
          <w:w w:val="95"/>
        </w:rPr>
        <w:t>欧洲典型国家应对抗生素耐药国家治理框架</w:t>
      </w:r>
    </w:p>
    <w:p>
      <w:pPr>
        <w:pStyle w:val="BodyText"/>
        <w:spacing w:line="297" w:lineRule="auto" w:before="72"/>
        <w:ind w:right="267" w:firstLine="480"/>
        <w:jc w:val="both"/>
      </w:pPr>
      <w:r>
        <w:rPr>
          <w:spacing w:val="-3"/>
        </w:rPr>
        <w:t>政府的治理行动框架完善与否以及政策导向将在很大程度上影响 </w:t>
      </w:r>
      <w:r>
        <w:rPr/>
        <w:t>AMR</w:t>
      </w:r>
      <w:r>
        <w:rPr>
          <w:spacing w:val="-21"/>
        </w:rPr>
        <w:t> 治理效果。欧洲各</w:t>
      </w:r>
      <w:r>
        <w:rPr>
          <w:spacing w:val="-3"/>
        </w:rPr>
        <w:t>国响应欧盟抗生素治理措施，一些国家从政府层面探索本国应对 </w:t>
      </w:r>
      <w:r>
        <w:rPr/>
        <w:t>AMR</w:t>
      </w:r>
      <w:r>
        <w:rPr>
          <w:spacing w:val="-8"/>
        </w:rPr>
        <w:t> 问题的模式与策略,建</w:t>
      </w:r>
      <w:r>
        <w:rPr>
          <w:spacing w:val="-14"/>
        </w:rPr>
        <w:t>立了应对细菌耐药国家行动方案，明确各参与治理部门的组织机构职能与分工协作方式，部</w:t>
      </w:r>
      <w:r>
        <w:rPr>
          <w:spacing w:val="-13"/>
        </w:rPr>
        <w:t>分国家在 </w:t>
      </w:r>
      <w:r>
        <w:rPr/>
        <w:t>AMR</w:t>
      </w:r>
      <w:r>
        <w:rPr>
          <w:spacing w:val="-8"/>
        </w:rPr>
        <w:t> 治理中成效显著。</w:t>
      </w:r>
    </w:p>
    <w:p>
      <w:pPr>
        <w:pStyle w:val="ListParagraph"/>
        <w:numPr>
          <w:ilvl w:val="1"/>
          <w:numId w:val="21"/>
        </w:numPr>
        <w:tabs>
          <w:tab w:pos="1138" w:val="left" w:leader="none"/>
          <w:tab w:pos="4257" w:val="left" w:leader="none"/>
        </w:tabs>
        <w:spacing w:line="297" w:lineRule="auto" w:before="0" w:after="0"/>
        <w:ind w:left="237" w:right="268" w:firstLine="480"/>
        <w:jc w:val="left"/>
        <w:rPr>
          <w:sz w:val="24"/>
        </w:rPr>
      </w:pPr>
      <w:r>
        <w:rPr>
          <w:sz w:val="24"/>
        </w:rPr>
        <w:t>瑞典抗生素耐药性应对战略</w:t>
        <w:tab/>
        <w:t>1995</w:t>
      </w:r>
      <w:r>
        <w:rPr>
          <w:spacing w:val="-60"/>
          <w:sz w:val="24"/>
        </w:rPr>
        <w:t> </w:t>
      </w:r>
      <w:r>
        <w:rPr>
          <w:sz w:val="24"/>
        </w:rPr>
        <w:t>年起瑞典实施抗生素耐药性应对战略（The Swedish</w:t>
      </w:r>
      <w:r>
        <w:rPr>
          <w:spacing w:val="-10"/>
          <w:sz w:val="24"/>
        </w:rPr>
        <w:t> </w:t>
      </w:r>
      <w:r>
        <w:rPr>
          <w:sz w:val="24"/>
        </w:rPr>
        <w:t>Strategic</w:t>
      </w:r>
      <w:r>
        <w:rPr>
          <w:spacing w:val="-9"/>
          <w:sz w:val="24"/>
        </w:rPr>
        <w:t> </w:t>
      </w:r>
      <w:r>
        <w:rPr>
          <w:sz w:val="24"/>
        </w:rPr>
        <w:t>program</w:t>
      </w:r>
      <w:r>
        <w:rPr>
          <w:spacing w:val="-9"/>
          <w:sz w:val="24"/>
        </w:rPr>
        <w:t> </w:t>
      </w:r>
      <w:r>
        <w:rPr>
          <w:sz w:val="24"/>
        </w:rPr>
        <w:t>against</w:t>
      </w:r>
      <w:r>
        <w:rPr>
          <w:spacing w:val="-9"/>
          <w:sz w:val="24"/>
        </w:rPr>
        <w:t> </w:t>
      </w:r>
      <w:r>
        <w:rPr>
          <w:sz w:val="24"/>
        </w:rPr>
        <w:t>antibiotic</w:t>
      </w:r>
      <w:r>
        <w:rPr>
          <w:spacing w:val="-9"/>
          <w:sz w:val="24"/>
        </w:rPr>
        <w:t> </w:t>
      </w:r>
      <w:r>
        <w:rPr>
          <w:sz w:val="24"/>
        </w:rPr>
        <w:t>resistance，Strama）。Strama</w:t>
      </w:r>
      <w:r>
        <w:rPr>
          <w:spacing w:val="-59"/>
          <w:sz w:val="24"/>
        </w:rPr>
        <w:t> </w:t>
      </w:r>
      <w:r>
        <w:rPr>
          <w:sz w:val="24"/>
        </w:rPr>
        <w:t>涉及</w:t>
      </w:r>
      <w:r>
        <w:rPr>
          <w:spacing w:val="-14"/>
          <w:sz w:val="24"/>
        </w:rPr>
        <w:t>公</w:t>
      </w:r>
      <w:r>
        <w:rPr>
          <w:sz w:val="24"/>
        </w:rPr>
        <w:t>共卫生、动物保健、环境卫生等政府部门与团体，形成跨部门协作、多学科联合的</w:t>
      </w:r>
      <w:r>
        <w:rPr>
          <w:spacing w:val="-59"/>
          <w:sz w:val="24"/>
        </w:rPr>
        <w:t> </w:t>
      </w:r>
      <w:r>
        <w:rPr>
          <w:sz w:val="24"/>
        </w:rPr>
        <w:t>AMR</w:t>
      </w:r>
      <w:r>
        <w:rPr>
          <w:spacing w:val="-60"/>
          <w:sz w:val="24"/>
        </w:rPr>
        <w:t> </w:t>
      </w:r>
      <w:r>
        <w:rPr>
          <w:sz w:val="24"/>
        </w:rPr>
        <w:t>综合治理体系。</w:t>
      </w:r>
    </w:p>
    <w:p>
      <w:pPr>
        <w:pStyle w:val="BodyText"/>
        <w:spacing w:line="301" w:lineRule="exact"/>
        <w:ind w:left="717"/>
      </w:pPr>
      <w:r>
        <w:rPr/>
        <w:t>Strama 主席由政府任命，向卫生和社会事务部(Ministry of Health and Social</w:t>
      </w:r>
    </w:p>
    <w:p>
      <w:pPr>
        <w:pStyle w:val="BodyText"/>
        <w:spacing w:before="69"/>
      </w:pPr>
      <w:r>
        <w:rPr/>
        <w:t>affairs</w:t>
      </w:r>
      <w:r>
        <w:rPr>
          <w:spacing w:val="-1"/>
        </w:rPr>
        <w:t>)报告工作。</w:t>
      </w:r>
      <w:r>
        <w:rPr/>
        <w:t>Strama</w:t>
      </w:r>
      <w:r>
        <w:rPr>
          <w:spacing w:val="-17"/>
        </w:rPr>
        <w:t> 在机构设置上分为国家层面</w:t>
      </w:r>
      <w:r>
        <w:rPr/>
        <w:t>（national</w:t>
      </w:r>
      <w:r>
        <w:rPr>
          <w:spacing w:val="-60"/>
        </w:rPr>
        <w:t> </w:t>
      </w:r>
      <w:r>
        <w:rPr/>
        <w:t>leve</w:t>
      </w:r>
      <w:r>
        <w:rPr>
          <w:spacing w:val="-116"/>
        </w:rPr>
        <w:t>）</w:t>
      </w:r>
      <w:r>
        <w:rPr>
          <w:spacing w:val="-24"/>
        </w:rPr>
        <w:t>和地方层面</w:t>
      </w:r>
      <w:r>
        <w:rPr/>
        <w:t>（loc</w:t>
      </w:r>
      <w:r>
        <w:rPr>
          <w:spacing w:val="2"/>
        </w:rPr>
        <w:t>a</w:t>
      </w:r>
      <w:r>
        <w:rPr/>
        <w:t>l</w:t>
      </w:r>
    </w:p>
    <w:p>
      <w:pPr>
        <w:pStyle w:val="BodyText"/>
        <w:spacing w:before="74"/>
      </w:pPr>
      <w:r>
        <w:rPr/>
        <w:drawing>
          <wp:anchor distT="0" distB="0" distL="0" distR="0" allowOverlap="1" layoutInCell="1" locked="0" behindDoc="0" simplePos="0" relativeHeight="8">
            <wp:simplePos x="0" y="0"/>
            <wp:positionH relativeFrom="page">
              <wp:posOffset>810894</wp:posOffset>
            </wp:positionH>
            <wp:positionV relativeFrom="paragraph">
              <wp:posOffset>297434</wp:posOffset>
            </wp:positionV>
            <wp:extent cx="5610147" cy="3282696"/>
            <wp:effectExtent l="0" t="0" r="0" b="0"/>
            <wp:wrapTopAndBottom/>
            <wp:docPr id="15" name="image9.png" descr=""/>
            <wp:cNvGraphicFramePr>
              <a:graphicFrameLocks noChangeAspect="1"/>
            </wp:cNvGraphicFramePr>
            <a:graphic>
              <a:graphicData uri="http://schemas.openxmlformats.org/drawingml/2006/picture">
                <pic:pic>
                  <pic:nvPicPr>
                    <pic:cNvPr id="16" name="image9.png"/>
                    <pic:cNvPicPr/>
                  </pic:nvPicPr>
                  <pic:blipFill>
                    <a:blip r:embed="rId24" cstate="print"/>
                    <a:stretch>
                      <a:fillRect/>
                    </a:stretch>
                  </pic:blipFill>
                  <pic:spPr>
                    <a:xfrm>
                      <a:off x="0" y="0"/>
                      <a:ext cx="5610147" cy="3282696"/>
                    </a:xfrm>
                    <a:prstGeom prst="rect">
                      <a:avLst/>
                    </a:prstGeom>
                  </pic:spPr>
                </pic:pic>
              </a:graphicData>
            </a:graphic>
          </wp:anchor>
        </w:drawing>
      </w:r>
      <w:r>
        <w:rPr/>
        <w:t>level）。Strama 机构设置及各自主要职责如图 1 所示。</w:t>
      </w:r>
    </w:p>
    <w:p>
      <w:pPr>
        <w:spacing w:before="33"/>
        <w:ind w:left="237" w:right="0" w:firstLine="0"/>
        <w:jc w:val="left"/>
        <w:rPr>
          <w:rFonts w:ascii="华文楷体" w:eastAsia="华文楷体" w:hint="eastAsia"/>
          <w:sz w:val="18"/>
        </w:rPr>
      </w:pPr>
      <w:r>
        <w:rPr>
          <w:rFonts w:ascii="华文楷体" w:eastAsia="华文楷体" w:hint="eastAsia"/>
          <w:sz w:val="18"/>
        </w:rPr>
        <w:t>图1 Strama机构设置及各机构主要职责</w:t>
      </w:r>
    </w:p>
    <w:p>
      <w:pPr>
        <w:pStyle w:val="BodyText"/>
        <w:spacing w:line="297" w:lineRule="auto" w:before="75"/>
        <w:ind w:right="406" w:firstLine="480"/>
        <w:jc w:val="both"/>
      </w:pPr>
      <w:r>
        <w:rPr/>
        <w:t>国家层面的具体工作包括：⑴收集并分析全国范围内有关抗生素使用和耐药性数据， 对卫生保健相关感染进行全国流行病学调查，将调查分析信息及时传达给卫生保健相关人员、决策者、媒体和公众；⑵制定并更新抗生素临床用药指南，支持细菌耐药性相关基础研究工作；⑶指导地方开展抗生素相关活动；⑷协调公共卫生、动物卫生、食品和环境等抗生素治理相关部门间的信息交流工作，安排年度全国 AMR 论坛，建立专门网站</w:t>
      </w:r>
    </w:p>
    <w:p>
      <w:pPr>
        <w:spacing w:after="0" w:line="297" w:lineRule="auto"/>
        <w:jc w:val="both"/>
        <w:sectPr>
          <w:pgSz w:w="11910" w:h="16850"/>
          <w:pgMar w:header="906" w:footer="607" w:top="1100" w:bottom="800" w:left="1040" w:right="860"/>
        </w:sectPr>
      </w:pPr>
    </w:p>
    <w:p>
      <w:pPr>
        <w:pStyle w:val="BodyText"/>
        <w:spacing w:line="295" w:lineRule="auto" w:before="65"/>
        <w:ind w:right="285"/>
      </w:pPr>
      <w:r>
        <w:rPr/>
        <w:t>(http ://www.strama.se)</w:t>
      </w:r>
      <w:r>
        <w:rPr>
          <w:spacing w:val="-5"/>
        </w:rPr>
        <w:t>为各地区和各部门交流应对 </w:t>
      </w:r>
      <w:r>
        <w:rPr/>
        <w:t>AMR</w:t>
      </w:r>
      <w:r>
        <w:rPr>
          <w:spacing w:val="-8"/>
        </w:rPr>
        <w:t> 经验提供全国性网络平台；⑸参</w:t>
      </w:r>
      <w:r>
        <w:rPr/>
        <w:t>与国际合作。</w:t>
      </w:r>
    </w:p>
    <w:p>
      <w:pPr>
        <w:pStyle w:val="BodyText"/>
        <w:spacing w:line="297" w:lineRule="auto" w:before="2"/>
        <w:ind w:right="267" w:firstLine="480"/>
        <w:jc w:val="both"/>
      </w:pPr>
      <w:r>
        <w:rPr>
          <w:spacing w:val="-7"/>
        </w:rPr>
        <w:t>地方层面由地方传染病防控部门领导，医生、临床微生物学及传染病防控人员组成工作</w:t>
      </w:r>
      <w:r>
        <w:rPr>
          <w:spacing w:val="-11"/>
        </w:rPr>
        <w:t>组，接受国家关于临床用药指南和开展宣传教育活动的具体指导。工作组与当地药物治疗学</w:t>
      </w:r>
      <w:r>
        <w:rPr/>
        <w:t>委员会（Drug</w:t>
      </w:r>
      <w:r>
        <w:rPr>
          <w:spacing w:val="-36"/>
        </w:rPr>
        <w:t> </w:t>
      </w:r>
      <w:r>
        <w:rPr/>
        <w:t>and</w:t>
      </w:r>
      <w:r>
        <w:rPr>
          <w:spacing w:val="-35"/>
        </w:rPr>
        <w:t> </w:t>
      </w:r>
      <w:r>
        <w:rPr/>
        <w:t>Therapeutics</w:t>
      </w:r>
      <w:r>
        <w:rPr>
          <w:spacing w:val="-35"/>
        </w:rPr>
        <w:t> </w:t>
      </w:r>
      <w:r>
        <w:rPr/>
        <w:t>Committee，DTC）</w:t>
      </w:r>
      <w:r>
        <w:rPr>
          <w:spacing w:val="-1"/>
        </w:rPr>
        <w:t>沟通合作，开展抗生素使用监测、处方</w:t>
      </w:r>
      <w:r>
        <w:rPr/>
        <w:t>点评及反馈、宣传教育等工作。</w:t>
      </w:r>
    </w:p>
    <w:p>
      <w:pPr>
        <w:pStyle w:val="BodyText"/>
        <w:spacing w:line="297" w:lineRule="auto"/>
        <w:ind w:right="267" w:firstLine="480"/>
        <w:jc w:val="both"/>
      </w:pPr>
      <w:r>
        <w:rPr>
          <w:spacing w:val="-8"/>
        </w:rPr>
        <w:t>地方具体职责包括：⑴监测本地区抗生素处方情况，并向医生反馈处方质量，参与国家</w:t>
      </w:r>
      <w:r>
        <w:rPr>
          <w:spacing w:val="-7"/>
        </w:rPr>
        <w:t>抗生素使用相关内容的流行病学调查；⑵根据本地区实际情况，细化国家抗生素临床用药指</w:t>
      </w:r>
      <w:r>
        <w:rPr>
          <w:spacing w:val="-12"/>
        </w:rPr>
        <w:t>南；⑶通过举办会议等形式，加强各初级卫生保健中心间的信息交流；⑷宣传抗生素合理使</w:t>
      </w:r>
      <w:r>
        <w:rPr/>
        <w:t>用相关知识，提供合理用药培训。</w:t>
      </w:r>
    </w:p>
    <w:p>
      <w:pPr>
        <w:pStyle w:val="ListParagraph"/>
        <w:numPr>
          <w:ilvl w:val="1"/>
          <w:numId w:val="21"/>
        </w:numPr>
        <w:tabs>
          <w:tab w:pos="1138" w:val="left" w:leader="none"/>
          <w:tab w:pos="5217" w:val="left" w:leader="none"/>
        </w:tabs>
        <w:spacing w:line="297" w:lineRule="auto" w:before="0" w:after="0"/>
        <w:ind w:left="237" w:right="286" w:firstLine="480"/>
        <w:jc w:val="left"/>
        <w:rPr>
          <w:sz w:val="24"/>
        </w:rPr>
      </w:pPr>
      <w:r>
        <w:rPr>
          <w:sz w:val="24"/>
        </w:rPr>
        <w:t>英国应对抗生素耐药性五年国家战略</w:t>
        <w:tab/>
        <w:t>21</w:t>
      </w:r>
      <w:r>
        <w:rPr>
          <w:spacing w:val="-60"/>
          <w:sz w:val="24"/>
        </w:rPr>
        <w:t> </w:t>
      </w:r>
      <w:r>
        <w:rPr>
          <w:sz w:val="24"/>
        </w:rPr>
        <w:t>世纪初，英国政府把减少医院护理相关感染(Healthcare Associated Infections，HCAIs)作为控制</w:t>
      </w:r>
      <w:r>
        <w:rPr>
          <w:spacing w:val="-60"/>
          <w:sz w:val="24"/>
        </w:rPr>
        <w:t> </w:t>
      </w:r>
      <w:r>
        <w:rPr>
          <w:sz w:val="24"/>
        </w:rPr>
        <w:t>AMR</w:t>
      </w:r>
      <w:r>
        <w:rPr>
          <w:spacing w:val="-60"/>
          <w:sz w:val="24"/>
        </w:rPr>
        <w:t> </w:t>
      </w:r>
      <w:r>
        <w:rPr>
          <w:sz w:val="24"/>
        </w:rPr>
        <w:t>问题的工作重点，建立</w:t>
      </w:r>
      <w:r>
        <w:rPr>
          <w:spacing w:val="-17"/>
          <w:sz w:val="24"/>
        </w:rPr>
        <w:t>了</w:t>
      </w:r>
      <w:r>
        <w:rPr>
          <w:sz w:val="24"/>
        </w:rPr>
        <w:t>针对梭状芽胞杆菌感染(CDI)和耐甲氧西林金黄色葡萄球菌(MRSA)菌血症感染的监测体系</w:t>
      </w:r>
      <w:r>
        <w:rPr>
          <w:spacing w:val="-16"/>
          <w:sz w:val="24"/>
        </w:rPr>
        <w:t>。</w:t>
      </w:r>
    </w:p>
    <w:p>
      <w:pPr>
        <w:pStyle w:val="BodyText"/>
        <w:spacing w:line="297" w:lineRule="auto"/>
        <w:ind w:right="346"/>
        <w:jc w:val="both"/>
      </w:pPr>
      <w:r>
        <w:rPr/>
        <w:t>2003</w:t>
      </w:r>
      <w:r>
        <w:rPr>
          <w:spacing w:val="-13"/>
        </w:rPr>
        <w:t> 年卫生部</w:t>
      </w:r>
      <w:r>
        <w:rPr/>
        <w:t>（Department of Health，DH）</w:t>
      </w:r>
      <w:r>
        <w:rPr>
          <w:spacing w:val="-1"/>
        </w:rPr>
        <w:t>开展医院药房计划，该计划投入资金增加药</w:t>
      </w:r>
      <w:r>
        <w:rPr/>
        <w:t>师数量用于加强对的抗生素管理, 修订抗生素临床用药指南，为医护人员提供抗生素使用相关教育培训。2007</w:t>
      </w:r>
      <w:r>
        <w:rPr>
          <w:spacing w:val="-8"/>
        </w:rPr>
        <w:t> 年成立了抗生素耐药性和卫生保健相关感染专家咨询委员会</w:t>
      </w:r>
    </w:p>
    <w:p>
      <w:pPr>
        <w:pStyle w:val="BodyText"/>
        <w:spacing w:line="297" w:lineRule="auto"/>
        <w:ind w:right="345"/>
      </w:pPr>
      <w:r>
        <w:rPr/>
        <w:t>（Advisory Committee on Antimicrobial Resistance and Healthcare Associated Infection, ARHAI），</w:t>
      </w:r>
      <w:r>
        <w:rPr>
          <w:spacing w:val="-8"/>
        </w:rPr>
        <w:t>该委员会为解决 </w:t>
      </w:r>
      <w:r>
        <w:rPr/>
        <w:t>AMR</w:t>
      </w:r>
      <w:r>
        <w:rPr>
          <w:spacing w:val="-8"/>
        </w:rPr>
        <w:t> 相关问题提供专业咨询。</w:t>
      </w:r>
      <w:r>
        <w:rPr/>
        <w:t>2008</w:t>
      </w:r>
      <w:r>
        <w:rPr>
          <w:spacing w:val="-10"/>
        </w:rPr>
        <w:t> 年修订《卫生和</w:t>
      </w:r>
      <w:r>
        <w:rPr/>
        <w:t>社会保障法案》，增加了有关预防感染的章节。</w:t>
      </w:r>
    </w:p>
    <w:p>
      <w:pPr>
        <w:pStyle w:val="BodyText"/>
        <w:spacing w:line="297" w:lineRule="auto"/>
        <w:ind w:right="167" w:firstLine="480"/>
      </w:pPr>
      <w:r>
        <w:rPr/>
        <w:t>2011</w:t>
      </w:r>
      <w:r>
        <w:rPr>
          <w:spacing w:val="-8"/>
        </w:rPr>
        <w:t> 年欧盟宣布实施应对抗生素耐药性五年行动计划，为响应欧盟行动号召，推进国</w:t>
      </w:r>
      <w:r>
        <w:rPr>
          <w:spacing w:val="-14"/>
        </w:rPr>
        <w:t>家抗生素合理使用进程，英国于 </w:t>
      </w:r>
      <w:r>
        <w:rPr/>
        <w:t>2013</w:t>
      </w:r>
      <w:r>
        <w:rPr>
          <w:spacing w:val="-9"/>
        </w:rPr>
        <w:t> 年公布为了应对抗生素耐药性五年国家战略</w:t>
      </w:r>
      <w:r>
        <w:rPr/>
        <w:t>（UK</w:t>
      </w:r>
      <w:r>
        <w:rPr>
          <w:spacing w:val="-60"/>
        </w:rPr>
        <w:t> </w:t>
      </w:r>
      <w:r>
        <w:rPr/>
        <w:t>Five Year Antimicrobial Resistance Strategy 2013 to 2018）。该战略旨在增加公众及专业</w:t>
      </w:r>
      <w:r>
        <w:rPr>
          <w:spacing w:val="-16"/>
        </w:rPr>
        <w:t>人员对 </w:t>
      </w:r>
      <w:r>
        <w:rPr/>
        <w:t>AMR</w:t>
      </w:r>
      <w:r>
        <w:rPr>
          <w:spacing w:val="-9"/>
        </w:rPr>
        <w:t> 问题的认识，维护现有抗生素的有效性，推进新抗生素和快速诊断方法的发展， </w:t>
      </w:r>
      <w:r>
        <w:rPr>
          <w:spacing w:val="-4"/>
        </w:rPr>
        <w:t>从而控制耐药菌的出现和传播、减少由 </w:t>
      </w:r>
      <w:r>
        <w:rPr/>
        <w:t>AMR</w:t>
      </w:r>
      <w:r>
        <w:rPr>
          <w:spacing w:val="-8"/>
        </w:rPr>
        <w:t> 带来的健康后果和疾病经济负担。</w:t>
      </w:r>
    </w:p>
    <w:p>
      <w:pPr>
        <w:pStyle w:val="BodyText"/>
        <w:spacing w:line="297" w:lineRule="auto"/>
        <w:ind w:right="268" w:firstLine="480"/>
        <w:jc w:val="both"/>
      </w:pPr>
      <w:r>
        <w:rPr/>
        <w:t>英国政府组建了跨部门高级督导小组(HLSG)</w:t>
      </w:r>
      <w:r>
        <w:rPr>
          <w:spacing w:val="-5"/>
        </w:rPr>
        <w:t> 来推进战略的实施。</w:t>
      </w:r>
      <w:r>
        <w:rPr/>
        <w:t>HLSG</w:t>
      </w:r>
      <w:r>
        <w:rPr>
          <w:spacing w:val="-10"/>
        </w:rPr>
        <w:t> 主持各参与部门</w:t>
      </w:r>
      <w:r>
        <w:rPr>
          <w:spacing w:val="-4"/>
        </w:rPr>
        <w:t>间的信息交流和组织协调工作，发布 </w:t>
      </w:r>
      <w:r>
        <w:rPr/>
        <w:t>AMR</w:t>
      </w:r>
      <w:r>
        <w:rPr>
          <w:spacing w:val="-8"/>
        </w:rPr>
        <w:t> 研究进展报告以及制定年度的工作计划。</w:t>
      </w:r>
      <w:r>
        <w:rPr/>
        <w:t>HLSG</w:t>
      </w:r>
      <w:r>
        <w:rPr>
          <w:spacing w:val="-30"/>
        </w:rPr>
        <w:t> 主要包括卫生部，环境、食品和农村事务部（Defra），英国国家医疗服务体系（NHS）,国家卫生和临床优化研究所（NICE），英国健康教育（HEE），药物及保健产品监管局（MHRA） 等部门，负责 </w:t>
      </w:r>
      <w:r>
        <w:rPr/>
        <w:t>AMR</w:t>
      </w:r>
      <w:r>
        <w:rPr>
          <w:spacing w:val="-21"/>
        </w:rPr>
        <w:t> 相关的协调、动物管理、监测、指南制定、教育培训、新药研发工作。</w:t>
      </w:r>
      <w:r>
        <w:rPr>
          <w:spacing w:val="-6"/>
        </w:rPr>
        <w:t>HLSG </w:t>
      </w:r>
      <w:r>
        <w:rPr>
          <w:spacing w:val="-4"/>
        </w:rPr>
        <w:t>主要组成部门及其职责分工详见表 </w:t>
      </w:r>
      <w:r>
        <w:rPr/>
        <w:t>1。</w:t>
      </w:r>
    </w:p>
    <w:p>
      <w:pPr>
        <w:spacing w:line="230" w:lineRule="exact" w:before="0"/>
        <w:ind w:left="237" w:right="0" w:firstLine="0"/>
        <w:jc w:val="left"/>
        <w:rPr>
          <w:rFonts w:ascii="华文楷体" w:eastAsia="华文楷体" w:hint="eastAsia"/>
          <w:sz w:val="18"/>
        </w:rPr>
      </w:pPr>
      <w:r>
        <w:rPr>
          <w:rFonts w:ascii="华文楷体" w:eastAsia="华文楷体" w:hint="eastAsia"/>
          <w:sz w:val="18"/>
        </w:rPr>
        <w:t>表 1  英国AMR高级督导小组(HLSG)组成部门及其职责</w:t>
      </w: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3"/>
        <w:gridCol w:w="6529"/>
      </w:tblGrid>
      <w:tr>
        <w:trPr>
          <w:trHeight w:val="412" w:hRule="atLeast"/>
        </w:trPr>
        <w:tc>
          <w:tcPr>
            <w:tcW w:w="3193" w:type="dxa"/>
            <w:tcBorders>
              <w:top w:val="single" w:sz="4" w:space="0" w:color="000000"/>
              <w:bottom w:val="single" w:sz="4" w:space="0" w:color="000000"/>
            </w:tcBorders>
          </w:tcPr>
          <w:p>
            <w:pPr>
              <w:pStyle w:val="TableParagraph"/>
              <w:spacing w:before="87"/>
              <w:ind w:left="115"/>
              <w:jc w:val="left"/>
              <w:rPr>
                <w:rFonts w:ascii="宋体" w:eastAsia="宋体" w:hint="eastAsia"/>
                <w:b/>
                <w:sz w:val="16"/>
              </w:rPr>
            </w:pPr>
            <w:r>
              <w:rPr>
                <w:rFonts w:ascii="宋体" w:eastAsia="宋体" w:hint="eastAsia"/>
                <w:b/>
                <w:sz w:val="16"/>
              </w:rPr>
              <w:t>部门</w:t>
            </w:r>
          </w:p>
        </w:tc>
        <w:tc>
          <w:tcPr>
            <w:tcW w:w="6529" w:type="dxa"/>
            <w:tcBorders>
              <w:top w:val="single" w:sz="4" w:space="0" w:color="000000"/>
              <w:bottom w:val="single" w:sz="4" w:space="0" w:color="000000"/>
            </w:tcBorders>
          </w:tcPr>
          <w:p>
            <w:pPr>
              <w:pStyle w:val="TableParagraph"/>
              <w:spacing w:before="87"/>
              <w:ind w:left="811"/>
              <w:jc w:val="left"/>
              <w:rPr>
                <w:rFonts w:ascii="宋体" w:eastAsia="宋体" w:hint="eastAsia"/>
                <w:b/>
                <w:sz w:val="16"/>
              </w:rPr>
            </w:pPr>
            <w:r>
              <w:rPr>
                <w:rFonts w:ascii="宋体" w:eastAsia="宋体" w:hint="eastAsia"/>
                <w:b/>
                <w:sz w:val="16"/>
              </w:rPr>
              <w:t>主要职责</w:t>
            </w:r>
          </w:p>
        </w:tc>
      </w:tr>
      <w:tr>
        <w:trPr>
          <w:trHeight w:val="415" w:hRule="atLeast"/>
        </w:trPr>
        <w:tc>
          <w:tcPr>
            <w:tcW w:w="3193" w:type="dxa"/>
            <w:tcBorders>
              <w:top w:val="single" w:sz="4" w:space="0" w:color="000000"/>
            </w:tcBorders>
            <w:shd w:val="clear" w:color="auto" w:fill="F1F1F1"/>
          </w:tcPr>
          <w:p>
            <w:pPr>
              <w:pStyle w:val="TableParagraph"/>
              <w:spacing w:before="87"/>
              <w:ind w:left="115"/>
              <w:jc w:val="left"/>
              <w:rPr>
                <w:rFonts w:ascii="Times New Roman" w:eastAsia="Times New Roman"/>
                <w:b/>
                <w:sz w:val="16"/>
              </w:rPr>
            </w:pPr>
            <w:r>
              <w:rPr>
                <w:rFonts w:ascii="宋体" w:eastAsia="宋体" w:hint="eastAsia"/>
                <w:b/>
                <w:sz w:val="16"/>
              </w:rPr>
              <w:t>英国卫生部</w:t>
            </w:r>
            <w:r>
              <w:rPr>
                <w:rFonts w:ascii="Times New Roman" w:eastAsia="Times New Roman"/>
                <w:b/>
                <w:sz w:val="16"/>
              </w:rPr>
              <w:t>(DH)</w:t>
            </w:r>
          </w:p>
        </w:tc>
        <w:tc>
          <w:tcPr>
            <w:tcW w:w="6529" w:type="dxa"/>
            <w:tcBorders>
              <w:top w:val="single" w:sz="4" w:space="0" w:color="000000"/>
            </w:tcBorders>
            <w:shd w:val="clear" w:color="auto" w:fill="F1F1F1"/>
          </w:tcPr>
          <w:p>
            <w:pPr>
              <w:pStyle w:val="TableParagraph"/>
              <w:spacing w:line="189" w:lineRule="exact"/>
              <w:ind w:left="811"/>
              <w:jc w:val="left"/>
              <w:rPr>
                <w:rFonts w:ascii="宋体" w:hAnsi="宋体" w:eastAsia="宋体" w:hint="eastAsia"/>
                <w:sz w:val="16"/>
              </w:rPr>
            </w:pPr>
            <w:r>
              <w:rPr>
                <w:rFonts w:ascii="宋体" w:hAnsi="宋体" w:eastAsia="宋体" w:hint="eastAsia"/>
                <w:sz w:val="16"/>
              </w:rPr>
              <w:t>⑴代表英国政府全面负责 </w:t>
            </w:r>
            <w:r>
              <w:rPr>
                <w:rFonts w:ascii="Times New Roman" w:hAnsi="Times New Roman" w:eastAsia="Times New Roman"/>
                <w:sz w:val="16"/>
              </w:rPr>
              <w:t>AMR </w:t>
            </w:r>
            <w:r>
              <w:rPr>
                <w:rFonts w:ascii="宋体" w:hAnsi="宋体" w:eastAsia="宋体" w:hint="eastAsia"/>
                <w:sz w:val="16"/>
              </w:rPr>
              <w:t>治理工作，确保 </w:t>
            </w:r>
            <w:r>
              <w:rPr>
                <w:rFonts w:ascii="Times New Roman" w:hAnsi="Times New Roman" w:eastAsia="Times New Roman"/>
                <w:sz w:val="16"/>
              </w:rPr>
              <w:t>AMR </w:t>
            </w:r>
            <w:r>
              <w:rPr>
                <w:rFonts w:ascii="宋体" w:hAnsi="宋体" w:eastAsia="宋体" w:hint="eastAsia"/>
                <w:sz w:val="16"/>
              </w:rPr>
              <w:t>方案承诺兑现</w:t>
            </w:r>
          </w:p>
          <w:p>
            <w:pPr>
              <w:pStyle w:val="TableParagraph"/>
              <w:spacing w:line="202" w:lineRule="exact" w:before="4"/>
              <w:ind w:left="811"/>
              <w:jc w:val="left"/>
              <w:rPr>
                <w:rFonts w:ascii="宋体" w:hAnsi="宋体" w:eastAsia="宋体" w:hint="eastAsia"/>
                <w:sz w:val="16"/>
              </w:rPr>
            </w:pPr>
            <w:r>
              <w:rPr>
                <w:rFonts w:ascii="宋体" w:hAnsi="宋体" w:eastAsia="宋体" w:hint="eastAsia"/>
                <w:sz w:val="16"/>
              </w:rPr>
              <w:t>⑵负责跨部门协调工作</w:t>
            </w:r>
          </w:p>
        </w:tc>
      </w:tr>
      <w:tr>
        <w:trPr>
          <w:trHeight w:val="1058" w:hRule="atLeast"/>
        </w:trPr>
        <w:tc>
          <w:tcPr>
            <w:tcW w:w="3193" w:type="dxa"/>
            <w:tcBorders>
              <w:bottom w:val="single" w:sz="4" w:space="0" w:color="000000"/>
            </w:tcBorders>
          </w:tcPr>
          <w:p>
            <w:pPr>
              <w:pStyle w:val="TableParagraph"/>
              <w:spacing w:before="16"/>
              <w:jc w:val="left"/>
              <w:rPr>
                <w:rFonts w:ascii="华文楷体"/>
                <w:sz w:val="24"/>
              </w:rPr>
            </w:pPr>
          </w:p>
          <w:p>
            <w:pPr>
              <w:pStyle w:val="TableParagraph"/>
              <w:ind w:left="115"/>
              <w:jc w:val="left"/>
              <w:rPr>
                <w:rFonts w:ascii="Times New Roman" w:eastAsia="Times New Roman"/>
                <w:b/>
                <w:sz w:val="16"/>
              </w:rPr>
            </w:pPr>
            <w:r>
              <w:rPr>
                <w:rFonts w:ascii="宋体" w:eastAsia="宋体" w:hint="eastAsia"/>
                <w:b/>
                <w:sz w:val="16"/>
              </w:rPr>
              <w:t>环境、食品和农村事务部</w:t>
            </w:r>
            <w:r>
              <w:rPr>
                <w:rFonts w:ascii="Times New Roman" w:eastAsia="Times New Roman"/>
                <w:b/>
                <w:sz w:val="16"/>
              </w:rPr>
              <w:t>(Defra)</w:t>
            </w:r>
          </w:p>
        </w:tc>
        <w:tc>
          <w:tcPr>
            <w:tcW w:w="6529" w:type="dxa"/>
            <w:tcBorders>
              <w:bottom w:val="single" w:sz="4" w:space="0" w:color="000000"/>
            </w:tcBorders>
          </w:tcPr>
          <w:p>
            <w:pPr>
              <w:pStyle w:val="TableParagraph"/>
              <w:spacing w:before="6"/>
              <w:jc w:val="left"/>
              <w:rPr>
                <w:rFonts w:ascii="华文楷体"/>
                <w:sz w:val="12"/>
              </w:rPr>
            </w:pPr>
          </w:p>
          <w:p>
            <w:pPr>
              <w:pStyle w:val="TableParagraph"/>
              <w:ind w:left="811"/>
              <w:jc w:val="left"/>
              <w:rPr>
                <w:rFonts w:ascii="宋体" w:hAnsi="宋体" w:eastAsia="宋体" w:hint="eastAsia"/>
                <w:sz w:val="16"/>
              </w:rPr>
            </w:pPr>
            <w:r>
              <w:rPr>
                <w:rFonts w:ascii="宋体" w:hAnsi="宋体" w:eastAsia="宋体" w:hint="eastAsia"/>
                <w:sz w:val="16"/>
              </w:rPr>
              <w:t>⑴负责 </w:t>
            </w:r>
            <w:r>
              <w:rPr>
                <w:rFonts w:ascii="Times New Roman" w:hAnsi="Times New Roman" w:eastAsia="Times New Roman"/>
                <w:sz w:val="16"/>
              </w:rPr>
              <w:t>AMR </w:t>
            </w:r>
            <w:r>
              <w:rPr>
                <w:rFonts w:ascii="宋体" w:hAnsi="宋体" w:eastAsia="宋体" w:hint="eastAsia"/>
                <w:sz w:val="16"/>
              </w:rPr>
              <w:t>治理中有关动物健康方面工作</w:t>
            </w:r>
          </w:p>
          <w:p>
            <w:pPr>
              <w:pStyle w:val="TableParagraph"/>
              <w:spacing w:line="244" w:lineRule="auto" w:before="2"/>
              <w:ind w:left="811" w:right="178"/>
              <w:jc w:val="left"/>
              <w:rPr>
                <w:rFonts w:ascii="宋体" w:hAnsi="宋体" w:eastAsia="宋体" w:hint="eastAsia"/>
                <w:sz w:val="16"/>
              </w:rPr>
            </w:pPr>
            <w:r>
              <w:rPr>
                <w:rFonts w:ascii="宋体" w:hAnsi="宋体" w:eastAsia="宋体" w:hint="eastAsia"/>
                <w:sz w:val="16"/>
              </w:rPr>
              <w:t>⑵与英国公共卫生组织（</w:t>
            </w:r>
            <w:r>
              <w:rPr>
                <w:rFonts w:ascii="Times New Roman" w:hAnsi="Times New Roman" w:eastAsia="Times New Roman"/>
                <w:sz w:val="16"/>
              </w:rPr>
              <w:t>PHE</w:t>
            </w:r>
            <w:r>
              <w:rPr>
                <w:rFonts w:ascii="宋体" w:hAnsi="宋体" w:eastAsia="宋体" w:hint="eastAsia"/>
                <w:sz w:val="16"/>
              </w:rPr>
              <w:t>）、</w:t>
            </w:r>
            <w:r>
              <w:rPr>
                <w:rFonts w:ascii="Times New Roman" w:hAnsi="Times New Roman" w:eastAsia="Times New Roman"/>
                <w:sz w:val="16"/>
              </w:rPr>
              <w:t>DH </w:t>
            </w:r>
            <w:r>
              <w:rPr>
                <w:rFonts w:ascii="宋体" w:hAnsi="宋体" w:eastAsia="宋体" w:hint="eastAsia"/>
                <w:sz w:val="16"/>
              </w:rPr>
              <w:t>及其它相关组织就人类与动物交叉领域展开合作</w:t>
            </w:r>
          </w:p>
        </w:tc>
      </w:tr>
    </w:tbl>
    <w:p>
      <w:pPr>
        <w:spacing w:after="0" w:line="244" w:lineRule="auto"/>
        <w:jc w:val="left"/>
        <w:rPr>
          <w:rFonts w:ascii="宋体" w:hAnsi="宋体" w:eastAsia="宋体" w:hint="eastAsia"/>
          <w:sz w:val="16"/>
        </w:rPr>
        <w:sectPr>
          <w:pgSz w:w="11910" w:h="16850"/>
          <w:pgMar w:header="906" w:footer="607" w:top="1100" w:bottom="800" w:left="1040" w:right="86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8"/>
        <w:gridCol w:w="6444"/>
      </w:tblGrid>
      <w:tr>
        <w:trPr>
          <w:trHeight w:val="1567" w:hRule="atLeast"/>
        </w:trPr>
        <w:tc>
          <w:tcPr>
            <w:tcW w:w="3278" w:type="dxa"/>
            <w:tcBorders>
              <w:top w:val="single" w:sz="12" w:space="0" w:color="000000"/>
            </w:tcBorders>
            <w:shd w:val="clear" w:color="auto" w:fill="F1F1F1"/>
          </w:tcPr>
          <w:p>
            <w:pPr>
              <w:pStyle w:val="TableParagraph"/>
              <w:jc w:val="left"/>
              <w:rPr>
                <w:rFonts w:ascii="华文楷体"/>
                <w:sz w:val="18"/>
              </w:rPr>
            </w:pPr>
          </w:p>
          <w:p>
            <w:pPr>
              <w:pStyle w:val="TableParagraph"/>
              <w:spacing w:before="15"/>
              <w:jc w:val="left"/>
              <w:rPr>
                <w:rFonts w:ascii="华文楷体"/>
                <w:sz w:val="22"/>
              </w:rPr>
            </w:pPr>
          </w:p>
          <w:p>
            <w:pPr>
              <w:pStyle w:val="TableParagraph"/>
              <w:ind w:left="115"/>
              <w:jc w:val="left"/>
              <w:rPr>
                <w:rFonts w:ascii="宋体" w:eastAsia="宋体" w:hint="eastAsia"/>
                <w:b/>
                <w:sz w:val="16"/>
              </w:rPr>
            </w:pPr>
            <w:r>
              <w:rPr>
                <w:rFonts w:ascii="宋体" w:eastAsia="宋体" w:hint="eastAsia"/>
                <w:b/>
                <w:sz w:val="16"/>
              </w:rPr>
              <w:t>英国国家医疗服务体系（</w:t>
            </w:r>
            <w:r>
              <w:rPr>
                <w:rFonts w:ascii="Times New Roman" w:eastAsia="Times New Roman"/>
                <w:b/>
                <w:sz w:val="16"/>
              </w:rPr>
              <w:t>NHS</w:t>
            </w:r>
            <w:r>
              <w:rPr>
                <w:rFonts w:ascii="宋体" w:eastAsia="宋体" w:hint="eastAsia"/>
                <w:b/>
                <w:sz w:val="16"/>
              </w:rPr>
              <w:t>）</w:t>
            </w:r>
          </w:p>
        </w:tc>
        <w:tc>
          <w:tcPr>
            <w:tcW w:w="6444" w:type="dxa"/>
            <w:tcBorders>
              <w:top w:val="single" w:sz="12" w:space="0" w:color="000000"/>
            </w:tcBorders>
            <w:shd w:val="clear" w:color="auto" w:fill="F1F1F1"/>
          </w:tcPr>
          <w:p>
            <w:pPr>
              <w:pStyle w:val="TableParagraph"/>
              <w:jc w:val="left"/>
              <w:rPr>
                <w:rFonts w:ascii="华文楷体"/>
                <w:sz w:val="18"/>
              </w:rPr>
            </w:pPr>
          </w:p>
          <w:p>
            <w:pPr>
              <w:pStyle w:val="TableParagraph"/>
              <w:spacing w:before="3"/>
              <w:jc w:val="left"/>
              <w:rPr>
                <w:rFonts w:ascii="华文楷体"/>
                <w:sz w:val="10"/>
              </w:rPr>
            </w:pPr>
          </w:p>
          <w:p>
            <w:pPr>
              <w:pStyle w:val="TableParagraph"/>
              <w:ind w:left="726"/>
              <w:jc w:val="left"/>
              <w:rPr>
                <w:rFonts w:ascii="宋体" w:hAnsi="宋体" w:eastAsia="宋体" w:hint="eastAsia"/>
                <w:sz w:val="16"/>
              </w:rPr>
            </w:pPr>
            <w:r>
              <w:rPr>
                <w:rFonts w:ascii="宋体" w:hAnsi="宋体" w:eastAsia="宋体" w:hint="eastAsia"/>
                <w:sz w:val="16"/>
              </w:rPr>
              <w:t>⑴与地方政府配合实施 </w:t>
            </w:r>
            <w:r>
              <w:rPr>
                <w:rFonts w:ascii="Times New Roman" w:hAnsi="Times New Roman" w:eastAsia="Times New Roman"/>
                <w:sz w:val="16"/>
              </w:rPr>
              <w:t>AMR </w:t>
            </w:r>
            <w:r>
              <w:rPr>
                <w:rFonts w:ascii="宋体" w:hAnsi="宋体" w:eastAsia="宋体" w:hint="eastAsia"/>
                <w:sz w:val="16"/>
              </w:rPr>
              <w:t>相关监测和感染防控工作</w:t>
            </w:r>
          </w:p>
          <w:p>
            <w:pPr>
              <w:pStyle w:val="TableParagraph"/>
              <w:spacing w:before="4"/>
              <w:ind w:left="726"/>
              <w:jc w:val="left"/>
              <w:rPr>
                <w:rFonts w:ascii="宋体" w:hAnsi="宋体" w:eastAsia="宋体" w:hint="eastAsia"/>
                <w:sz w:val="16"/>
              </w:rPr>
            </w:pPr>
            <w:r>
              <w:rPr>
                <w:rFonts w:ascii="宋体" w:hAnsi="宋体" w:eastAsia="宋体" w:hint="eastAsia"/>
                <w:sz w:val="16"/>
              </w:rPr>
              <w:t>⑵加强对医生及药师的合理用药教育</w:t>
            </w:r>
          </w:p>
          <w:p>
            <w:pPr>
              <w:pStyle w:val="TableParagraph"/>
              <w:spacing w:before="1"/>
              <w:ind w:left="726"/>
              <w:jc w:val="left"/>
              <w:rPr>
                <w:rFonts w:ascii="宋体" w:hAnsi="宋体" w:eastAsia="宋体" w:hint="eastAsia"/>
                <w:sz w:val="16"/>
              </w:rPr>
            </w:pPr>
            <w:r>
              <w:rPr>
                <w:rFonts w:ascii="宋体" w:hAnsi="宋体" w:eastAsia="宋体" w:hint="eastAsia"/>
                <w:sz w:val="16"/>
              </w:rPr>
              <w:t>⑶监管医疗机构抗生素处方质量</w:t>
            </w:r>
          </w:p>
        </w:tc>
      </w:tr>
      <w:tr>
        <w:trPr>
          <w:trHeight w:val="1552" w:hRule="atLeast"/>
        </w:trPr>
        <w:tc>
          <w:tcPr>
            <w:tcW w:w="3278" w:type="dxa"/>
          </w:tcPr>
          <w:p>
            <w:pPr>
              <w:pStyle w:val="TableParagraph"/>
              <w:jc w:val="left"/>
              <w:rPr>
                <w:rFonts w:ascii="华文楷体"/>
                <w:sz w:val="18"/>
              </w:rPr>
            </w:pPr>
          </w:p>
          <w:p>
            <w:pPr>
              <w:pStyle w:val="TableParagraph"/>
              <w:spacing w:before="8"/>
              <w:jc w:val="left"/>
              <w:rPr>
                <w:rFonts w:ascii="华文楷体"/>
                <w:sz w:val="22"/>
              </w:rPr>
            </w:pPr>
          </w:p>
          <w:p>
            <w:pPr>
              <w:pStyle w:val="TableParagraph"/>
              <w:ind w:left="115"/>
              <w:jc w:val="left"/>
              <w:rPr>
                <w:rFonts w:ascii="Times New Roman" w:eastAsia="Times New Roman"/>
                <w:b/>
                <w:sz w:val="16"/>
              </w:rPr>
            </w:pPr>
            <w:r>
              <w:rPr>
                <w:rFonts w:ascii="宋体" w:eastAsia="宋体" w:hint="eastAsia"/>
                <w:b/>
                <w:sz w:val="16"/>
              </w:rPr>
              <w:t>国家卫生和临床优化研究所</w:t>
            </w:r>
            <w:r>
              <w:rPr>
                <w:rFonts w:ascii="Times New Roman" w:eastAsia="Times New Roman"/>
                <w:b/>
                <w:sz w:val="16"/>
              </w:rPr>
              <w:t>(NICE)</w:t>
            </w:r>
          </w:p>
        </w:tc>
        <w:tc>
          <w:tcPr>
            <w:tcW w:w="6444" w:type="dxa"/>
          </w:tcPr>
          <w:p>
            <w:pPr>
              <w:pStyle w:val="TableParagraph"/>
              <w:jc w:val="left"/>
              <w:rPr>
                <w:rFonts w:ascii="华文楷体"/>
                <w:sz w:val="16"/>
              </w:rPr>
            </w:pPr>
          </w:p>
          <w:p>
            <w:pPr>
              <w:pStyle w:val="TableParagraph"/>
              <w:spacing w:before="14"/>
              <w:jc w:val="left"/>
              <w:rPr>
                <w:rFonts w:ascii="华文楷体"/>
                <w:sz w:val="11"/>
              </w:rPr>
            </w:pPr>
          </w:p>
          <w:p>
            <w:pPr>
              <w:pStyle w:val="TableParagraph"/>
              <w:spacing w:before="1"/>
              <w:ind w:left="726" w:right="114"/>
              <w:jc w:val="left"/>
              <w:rPr>
                <w:rFonts w:ascii="宋体" w:hAnsi="宋体" w:eastAsia="宋体" w:hint="eastAsia"/>
                <w:sz w:val="16"/>
              </w:rPr>
            </w:pPr>
            <w:r>
              <w:rPr>
                <w:rFonts w:ascii="宋体" w:hAnsi="宋体" w:eastAsia="宋体" w:hint="eastAsia"/>
                <w:sz w:val="16"/>
              </w:rPr>
              <w:t>⑴基于循证证据制定抗生素临床用药指南，指导初级卫生保健和医院合理使用抗生素</w:t>
            </w:r>
          </w:p>
          <w:p>
            <w:pPr>
              <w:pStyle w:val="TableParagraph"/>
              <w:spacing w:before="5"/>
              <w:ind w:left="726"/>
              <w:jc w:val="left"/>
              <w:rPr>
                <w:rFonts w:ascii="宋体" w:hAnsi="宋体" w:eastAsia="宋体" w:hint="eastAsia"/>
                <w:sz w:val="16"/>
              </w:rPr>
            </w:pPr>
            <w:r>
              <w:rPr>
                <w:rFonts w:ascii="宋体" w:hAnsi="宋体" w:eastAsia="宋体" w:hint="eastAsia"/>
                <w:sz w:val="16"/>
              </w:rPr>
              <w:t>⑵增加医生和药师抗生素使用相关专业知识和抗生素管理方面的临床实践</w:t>
            </w:r>
          </w:p>
        </w:tc>
      </w:tr>
      <w:tr>
        <w:trPr>
          <w:trHeight w:val="415" w:hRule="atLeast"/>
        </w:trPr>
        <w:tc>
          <w:tcPr>
            <w:tcW w:w="3278" w:type="dxa"/>
            <w:shd w:val="clear" w:color="auto" w:fill="F1F1F1"/>
          </w:tcPr>
          <w:p>
            <w:pPr>
              <w:pStyle w:val="TableParagraph"/>
              <w:spacing w:before="95"/>
              <w:ind w:left="115"/>
              <w:jc w:val="left"/>
              <w:rPr>
                <w:rFonts w:ascii="Times New Roman" w:eastAsia="Times New Roman"/>
                <w:b/>
                <w:sz w:val="16"/>
              </w:rPr>
            </w:pPr>
            <w:r>
              <w:rPr>
                <w:rFonts w:ascii="宋体" w:eastAsia="宋体" w:hint="eastAsia"/>
                <w:b/>
                <w:sz w:val="16"/>
              </w:rPr>
              <w:t>英国健康教育 </w:t>
            </w:r>
            <w:r>
              <w:rPr>
                <w:rFonts w:ascii="Times New Roman" w:eastAsia="Times New Roman"/>
                <w:b/>
                <w:sz w:val="16"/>
              </w:rPr>
              <w:t>(HEE)</w:t>
            </w:r>
          </w:p>
        </w:tc>
        <w:tc>
          <w:tcPr>
            <w:tcW w:w="6444" w:type="dxa"/>
            <w:shd w:val="clear" w:color="auto" w:fill="F1F1F1"/>
          </w:tcPr>
          <w:p>
            <w:pPr>
              <w:pStyle w:val="TableParagraph"/>
              <w:spacing w:line="197" w:lineRule="exact"/>
              <w:ind w:left="726"/>
              <w:jc w:val="left"/>
              <w:rPr>
                <w:rFonts w:ascii="宋体" w:hAnsi="宋体" w:eastAsia="宋体" w:hint="eastAsia"/>
                <w:sz w:val="16"/>
              </w:rPr>
            </w:pPr>
            <w:r>
              <w:rPr>
                <w:rFonts w:ascii="宋体" w:hAnsi="宋体" w:eastAsia="宋体" w:hint="eastAsia"/>
                <w:sz w:val="16"/>
              </w:rPr>
              <w:t>⑴负责卫生保健相关人员的教育和培训工作，⑵组织和资助 </w:t>
            </w:r>
            <w:r>
              <w:rPr>
                <w:rFonts w:ascii="Times New Roman" w:hAnsi="Times New Roman" w:eastAsia="Times New Roman"/>
                <w:sz w:val="16"/>
              </w:rPr>
              <w:t>AMR </w:t>
            </w:r>
            <w:r>
              <w:rPr>
                <w:rFonts w:ascii="宋体" w:hAnsi="宋体" w:eastAsia="宋体" w:hint="eastAsia"/>
                <w:sz w:val="16"/>
              </w:rPr>
              <w:t>相关的课程，</w:t>
            </w:r>
          </w:p>
          <w:p>
            <w:pPr>
              <w:pStyle w:val="TableParagraph"/>
              <w:spacing w:line="197" w:lineRule="exact" w:before="1"/>
              <w:ind w:left="726"/>
              <w:jc w:val="left"/>
              <w:rPr>
                <w:rFonts w:ascii="宋体" w:eastAsia="宋体" w:hint="eastAsia"/>
                <w:sz w:val="16"/>
              </w:rPr>
            </w:pPr>
            <w:r>
              <w:rPr>
                <w:rFonts w:ascii="宋体" w:eastAsia="宋体" w:hint="eastAsia"/>
                <w:sz w:val="16"/>
              </w:rPr>
              <w:t>开发 </w:t>
            </w:r>
            <w:r>
              <w:rPr>
                <w:rFonts w:ascii="Times New Roman" w:eastAsia="Times New Roman"/>
                <w:sz w:val="16"/>
              </w:rPr>
              <w:t>AMR </w:t>
            </w:r>
            <w:r>
              <w:rPr>
                <w:rFonts w:ascii="宋体" w:eastAsia="宋体" w:hint="eastAsia"/>
                <w:sz w:val="16"/>
              </w:rPr>
              <w:t>在线学习工具，宣传感染预防和控制知识</w:t>
            </w:r>
          </w:p>
        </w:tc>
      </w:tr>
      <w:tr>
        <w:trPr>
          <w:trHeight w:val="914" w:hRule="atLeast"/>
        </w:trPr>
        <w:tc>
          <w:tcPr>
            <w:tcW w:w="3278" w:type="dxa"/>
            <w:tcBorders>
              <w:bottom w:val="single" w:sz="4" w:space="0" w:color="000000"/>
            </w:tcBorders>
          </w:tcPr>
          <w:p>
            <w:pPr>
              <w:pStyle w:val="TableParagraph"/>
              <w:jc w:val="left"/>
              <w:rPr>
                <w:rFonts w:ascii="华文楷体"/>
                <w:sz w:val="21"/>
              </w:rPr>
            </w:pPr>
          </w:p>
          <w:p>
            <w:pPr>
              <w:pStyle w:val="TableParagraph"/>
              <w:ind w:left="115"/>
              <w:jc w:val="left"/>
              <w:rPr>
                <w:rFonts w:ascii="Times New Roman" w:eastAsia="Times New Roman"/>
                <w:b/>
                <w:sz w:val="16"/>
              </w:rPr>
            </w:pPr>
            <w:r>
              <w:rPr>
                <w:rFonts w:ascii="宋体" w:eastAsia="宋体" w:hint="eastAsia"/>
                <w:b/>
                <w:sz w:val="16"/>
              </w:rPr>
              <w:t>药物及保健产品监管局</w:t>
            </w:r>
            <w:r>
              <w:rPr>
                <w:rFonts w:ascii="Times New Roman" w:eastAsia="Times New Roman"/>
                <w:b/>
                <w:sz w:val="16"/>
              </w:rPr>
              <w:t>(MHRA)</w:t>
            </w:r>
          </w:p>
        </w:tc>
        <w:tc>
          <w:tcPr>
            <w:tcW w:w="6444" w:type="dxa"/>
            <w:tcBorders>
              <w:bottom w:val="single" w:sz="4" w:space="0" w:color="000000"/>
            </w:tcBorders>
          </w:tcPr>
          <w:p>
            <w:pPr>
              <w:pStyle w:val="TableParagraph"/>
              <w:spacing w:before="12"/>
              <w:jc w:val="left"/>
              <w:rPr>
                <w:rFonts w:ascii="华文楷体"/>
                <w:sz w:val="14"/>
              </w:rPr>
            </w:pPr>
          </w:p>
          <w:p>
            <w:pPr>
              <w:pStyle w:val="TableParagraph"/>
              <w:ind w:left="726"/>
              <w:jc w:val="left"/>
              <w:rPr>
                <w:rFonts w:ascii="宋体" w:hAnsi="宋体" w:eastAsia="宋体" w:hint="eastAsia"/>
                <w:sz w:val="16"/>
              </w:rPr>
            </w:pPr>
            <w:r>
              <w:rPr>
                <w:rFonts w:ascii="宋体" w:hAnsi="宋体" w:eastAsia="宋体" w:hint="eastAsia"/>
                <w:sz w:val="16"/>
              </w:rPr>
              <w:t>⑴监管并推进抗生素临床试验</w:t>
            </w:r>
          </w:p>
          <w:p>
            <w:pPr>
              <w:pStyle w:val="TableParagraph"/>
              <w:spacing w:before="1"/>
              <w:ind w:left="726"/>
              <w:jc w:val="left"/>
              <w:rPr>
                <w:rFonts w:ascii="宋体" w:hAnsi="宋体" w:eastAsia="宋体" w:hint="eastAsia"/>
                <w:sz w:val="16"/>
              </w:rPr>
            </w:pPr>
            <w:r>
              <w:rPr>
                <w:rFonts w:ascii="宋体" w:hAnsi="宋体" w:eastAsia="宋体" w:hint="eastAsia"/>
                <w:sz w:val="16"/>
              </w:rPr>
              <w:t>⑵支持发展药物开发新业务模式</w:t>
            </w:r>
          </w:p>
        </w:tc>
      </w:tr>
    </w:tbl>
    <w:p>
      <w:pPr>
        <w:pStyle w:val="ListParagraph"/>
        <w:numPr>
          <w:ilvl w:val="1"/>
          <w:numId w:val="21"/>
        </w:numPr>
        <w:tabs>
          <w:tab w:pos="1138" w:val="left" w:leader="none"/>
        </w:tabs>
        <w:spacing w:line="297" w:lineRule="auto" w:before="56" w:after="0"/>
        <w:ind w:left="237" w:right="345" w:firstLine="480"/>
        <w:jc w:val="both"/>
        <w:rPr>
          <w:sz w:val="24"/>
        </w:rPr>
      </w:pPr>
      <w:r>
        <w:rPr>
          <w:spacing w:val="-1"/>
          <w:sz w:val="24"/>
        </w:rPr>
        <w:t>其他国家出台抗生素耐药治理相关政策 捷克政府出台抗菌药物分类管理政策,依</w:t>
      </w:r>
      <w:r>
        <w:rPr>
          <w:sz w:val="24"/>
        </w:rPr>
        <w:t>据药物分类进行医生处方权限制，成立抗菌药物委员会为抗菌药物使用提供咨询与监督工作，卫生部对抗菌药物的公费医疗做出了相应的规定。</w:t>
      </w:r>
    </w:p>
    <w:p>
      <w:pPr>
        <w:pStyle w:val="BodyText"/>
        <w:spacing w:line="297" w:lineRule="auto"/>
        <w:ind w:right="267" w:firstLine="480"/>
        <w:jc w:val="both"/>
      </w:pPr>
      <w:r>
        <w:rPr>
          <w:spacing w:val="-10"/>
        </w:rPr>
        <w:t>丹麦通过畜牧业、卫生保健相关人员与政府之间的合作促进抗生素合理使用，以立法和</w:t>
      </w:r>
      <w:r>
        <w:rPr>
          <w:spacing w:val="-6"/>
        </w:rPr>
        <w:t>政府禁令等形式加强对畜牧业中抗生素使用的管控，建立监测体系追踪抗生素的销售和使用</w:t>
      </w:r>
      <w:r>
        <w:rPr/>
        <w:t>数据，监测病原体耐药性发展趋势。</w:t>
      </w:r>
    </w:p>
    <w:p>
      <w:pPr>
        <w:pStyle w:val="BodyText"/>
        <w:spacing w:line="297" w:lineRule="auto"/>
        <w:ind w:right="267" w:firstLine="480"/>
        <w:jc w:val="both"/>
      </w:pPr>
      <w:r>
        <w:rPr>
          <w:spacing w:val="-7"/>
        </w:rPr>
        <w:t>荷兰政府限定家庭医生的处方总量，尤其是抗生素用量，要求每个家庭医生一年只能开</w:t>
      </w:r>
      <w:r>
        <w:rPr/>
        <w:t>出一定数量的药品。</w:t>
      </w:r>
    </w:p>
    <w:p>
      <w:pPr>
        <w:pStyle w:val="BodyText"/>
        <w:spacing w:line="295" w:lineRule="auto"/>
        <w:ind w:right="270" w:firstLine="480"/>
        <w:jc w:val="both"/>
      </w:pPr>
      <w:r>
        <w:rPr>
          <w:spacing w:val="-6"/>
        </w:rPr>
        <w:t>德国建立了标准化的抗生素监测调查方法与指标体系，卫生部负责对监测数据进行统计</w:t>
      </w:r>
      <w:r>
        <w:rPr/>
        <w:t>分析，并根据分析结果指导下一年度工作。</w:t>
      </w:r>
    </w:p>
    <w:p>
      <w:pPr>
        <w:pStyle w:val="BodyText"/>
        <w:spacing w:line="295" w:lineRule="auto"/>
        <w:ind w:right="147" w:firstLine="480"/>
      </w:pPr>
      <w:r>
        <w:rPr>
          <w:spacing w:val="-16"/>
        </w:rPr>
        <w:t>法国国家食品、环境及劳动卫生署监控各种动物生产部门，以及所有形式的抗生素使用， </w:t>
      </w:r>
      <w:r>
        <w:rPr/>
        <w:t>起草相关规则以促进畜牧业中抗生素合理使用。</w:t>
      </w:r>
    </w:p>
    <w:p>
      <w:pPr>
        <w:pStyle w:val="Heading4"/>
        <w:numPr>
          <w:ilvl w:val="0"/>
          <w:numId w:val="21"/>
        </w:numPr>
        <w:tabs>
          <w:tab w:pos="964" w:val="left" w:leader="none"/>
        </w:tabs>
        <w:spacing w:line="240" w:lineRule="auto" w:before="0" w:after="0"/>
        <w:ind w:left="963" w:right="0" w:hanging="244"/>
        <w:jc w:val="left"/>
      </w:pPr>
      <w:r>
        <w:rPr/>
        <w:t>欧洲各国遏制抗生素耐药具体措施</w:t>
      </w:r>
    </w:p>
    <w:p>
      <w:pPr>
        <w:pStyle w:val="ListParagraph"/>
        <w:numPr>
          <w:ilvl w:val="1"/>
          <w:numId w:val="21"/>
        </w:numPr>
        <w:tabs>
          <w:tab w:pos="1138" w:val="left" w:leader="none"/>
          <w:tab w:pos="4017" w:val="left" w:leader="none"/>
        </w:tabs>
        <w:spacing w:line="295" w:lineRule="auto" w:before="71" w:after="0"/>
        <w:ind w:left="237" w:right="167" w:firstLine="480"/>
        <w:jc w:val="left"/>
        <w:rPr>
          <w:sz w:val="24"/>
        </w:rPr>
      </w:pPr>
      <w:r>
        <w:rPr>
          <w:sz w:val="24"/>
        </w:rPr>
        <w:t>制定抗生素临床用药指南</w:t>
        <w:tab/>
        <w:t>瑞典抗菌药物指导小组根据细菌感染风险和耐药性发 展趋势制定临床用药指南。地方依据国家指南制定符合本地区特点的抗生素临床用药指南</w:t>
      </w:r>
      <w:r>
        <w:rPr>
          <w:spacing w:val="-18"/>
          <w:sz w:val="24"/>
        </w:rPr>
        <w:t>， </w:t>
      </w:r>
      <w:r>
        <w:rPr>
          <w:sz w:val="24"/>
        </w:rPr>
        <w:t>同时制定了门诊抗生素定量目标，要求每千居民每年不超过</w:t>
      </w:r>
      <w:r>
        <w:rPr>
          <w:spacing w:val="-60"/>
          <w:sz w:val="24"/>
        </w:rPr>
        <w:t> </w:t>
      </w:r>
      <w:r>
        <w:rPr>
          <w:sz w:val="24"/>
        </w:rPr>
        <w:t>250</w:t>
      </w:r>
      <w:r>
        <w:rPr>
          <w:spacing w:val="-60"/>
          <w:sz w:val="24"/>
        </w:rPr>
        <w:t> </w:t>
      </w:r>
      <w:r>
        <w:rPr>
          <w:sz w:val="24"/>
        </w:rPr>
        <w:t>个处方量。</w:t>
      </w:r>
    </w:p>
    <w:p>
      <w:pPr>
        <w:pStyle w:val="BodyText"/>
        <w:spacing w:line="297" w:lineRule="auto" w:before="6"/>
        <w:ind w:right="270" w:firstLine="480"/>
        <w:jc w:val="both"/>
      </w:pPr>
      <w:r>
        <w:rPr>
          <w:spacing w:val="-3"/>
        </w:rPr>
        <w:t>英国制定了多层次的抗生素用药指南。在初级卫生保健中使用 </w:t>
      </w:r>
      <w:r>
        <w:rPr/>
        <w:t>TARGET</w:t>
      </w:r>
      <w:r>
        <w:rPr>
          <w:spacing w:val="-8"/>
        </w:rPr>
        <w:t> 工具包，包含抗生素临床使用指南、AMR 相关培训资料和自我护理、自我评估工具。在医院中使用</w:t>
      </w:r>
      <w:r>
        <w:rPr/>
        <w:t>“Start Smart</w:t>
      </w:r>
      <w:r>
        <w:rPr>
          <w:spacing w:val="-24"/>
        </w:rPr>
        <w:t> - </w:t>
      </w:r>
      <w:r>
        <w:rPr/>
        <w:t>then Focus</w:t>
      </w:r>
      <w:r>
        <w:rPr>
          <w:spacing w:val="-1"/>
        </w:rPr>
        <w:t>”指南，指南要求在有细菌感染指征的前提下使用单剂量抗生素，根据</w:t>
      </w:r>
      <w:r>
        <w:rPr>
          <w:spacing w:val="-20"/>
        </w:rPr>
        <w:t>治疗 </w:t>
      </w:r>
      <w:r>
        <w:rPr/>
        <w:t>48</w:t>
      </w:r>
      <w:r>
        <w:rPr>
          <w:spacing w:val="-8"/>
        </w:rPr>
        <w:t> 小时内病人的反应和实验室抗生素敏感性检测结果，调整抗生素治疗方案。</w:t>
      </w:r>
    </w:p>
    <w:p>
      <w:pPr>
        <w:pStyle w:val="BodyText"/>
        <w:spacing w:line="302" w:lineRule="exact"/>
        <w:ind w:left="717"/>
      </w:pPr>
      <w:r>
        <w:rPr/>
        <w:t>意大利建议更新形成权威合理的处方集或使用指南，促进合理使用抗生素。</w:t>
      </w:r>
    </w:p>
    <w:p>
      <w:pPr>
        <w:pStyle w:val="ListParagraph"/>
        <w:numPr>
          <w:ilvl w:val="1"/>
          <w:numId w:val="21"/>
        </w:numPr>
        <w:tabs>
          <w:tab w:pos="1138" w:val="left" w:leader="none"/>
        </w:tabs>
        <w:spacing w:line="297" w:lineRule="auto" w:before="72" w:after="0"/>
        <w:ind w:left="237" w:right="267" w:firstLine="480"/>
        <w:jc w:val="both"/>
        <w:rPr>
          <w:sz w:val="24"/>
        </w:rPr>
      </w:pPr>
      <w:r>
        <w:rPr>
          <w:spacing w:val="-3"/>
          <w:sz w:val="24"/>
        </w:rPr>
        <w:t>预防医院感染减少耐药菌传播 瑞典国家卫生和福利管理局制定基本卫生条例，地</w:t>
      </w:r>
      <w:r>
        <w:rPr>
          <w:spacing w:val="-5"/>
          <w:sz w:val="24"/>
        </w:rPr>
        <w:t>方传染病预防控制部门负责本区域内卫生保健相关人员的教育培训、医院感染评估工作。医</w:t>
      </w:r>
      <w:r>
        <w:rPr>
          <w:sz w:val="24"/>
        </w:rPr>
        <w:t>疗机构确定了预防感染的关键因素指导医院感染防控工作。</w:t>
      </w:r>
    </w:p>
    <w:p>
      <w:pPr>
        <w:pStyle w:val="BodyText"/>
        <w:spacing w:line="297" w:lineRule="auto"/>
        <w:ind w:right="270" w:firstLine="480"/>
        <w:jc w:val="both"/>
      </w:pPr>
      <w:r>
        <w:rPr>
          <w:spacing w:val="-5"/>
        </w:rPr>
        <w:t>英国政府规定必须将预防和控制感染纳入到卫生保健人员的教育中。卫生部制定了医院</w:t>
      </w:r>
      <w:r>
        <w:rPr>
          <w:spacing w:val="-10"/>
        </w:rPr>
        <w:t>感染循证指南，对手清洁、医护人员着装、入院前传染病筛查及隔离护理流程、医院感染报</w:t>
      </w:r>
      <w:r>
        <w:rPr/>
        <w:t>告等内容进行标准化规范。</w:t>
      </w:r>
    </w:p>
    <w:p>
      <w:pPr>
        <w:spacing w:after="0" w:line="297" w:lineRule="auto"/>
        <w:jc w:val="both"/>
        <w:sectPr>
          <w:headerReference w:type="default" r:id="rId25"/>
          <w:footerReference w:type="default" r:id="rId26"/>
          <w:pgSz w:w="11910" w:h="16850"/>
          <w:pgMar w:header="0" w:footer="607" w:top="1100" w:bottom="800" w:left="1040" w:right="860"/>
          <w:pgNumType w:start="55"/>
        </w:sectPr>
      </w:pPr>
    </w:p>
    <w:p>
      <w:pPr>
        <w:pStyle w:val="BodyText"/>
        <w:spacing w:line="295" w:lineRule="auto" w:before="65"/>
        <w:ind w:right="148" w:firstLine="480"/>
      </w:pPr>
      <w:r>
        <w:rPr>
          <w:spacing w:val="-5"/>
        </w:rPr>
        <w:t>德国建立了医院感染监测系统 </w:t>
      </w:r>
      <w:r>
        <w:rPr/>
        <w:t>KISS（krankenhaus</w:t>
      </w:r>
      <w:r>
        <w:rPr>
          <w:spacing w:val="-58"/>
        </w:rPr>
        <w:t> </w:t>
      </w:r>
      <w:r>
        <w:rPr/>
        <w:t>infektions</w:t>
      </w:r>
      <w:r>
        <w:rPr>
          <w:spacing w:val="-59"/>
        </w:rPr>
        <w:t> </w:t>
      </w:r>
      <w:r>
        <w:rPr/>
        <w:t>surveilance</w:t>
      </w:r>
      <w:r>
        <w:rPr>
          <w:spacing w:val="-58"/>
        </w:rPr>
        <w:t> </w:t>
      </w:r>
      <w:r>
        <w:rPr/>
        <w:t>system）， </w:t>
      </w:r>
      <w:r>
        <w:rPr>
          <w:spacing w:val="-6"/>
        </w:rPr>
        <w:t>利用标准化的调查方法和指标，对手卫生、耐甲氧西林金黄色葡萄球菌( </w:t>
      </w:r>
      <w:r>
        <w:rPr/>
        <w:t>MRSA) 和术后伤口感染等项目进行监测和分析。</w:t>
      </w:r>
    </w:p>
    <w:p>
      <w:pPr>
        <w:pStyle w:val="ListParagraph"/>
        <w:numPr>
          <w:ilvl w:val="1"/>
          <w:numId w:val="21"/>
        </w:numPr>
        <w:tabs>
          <w:tab w:pos="1138" w:val="left" w:leader="none"/>
        </w:tabs>
        <w:spacing w:line="297" w:lineRule="auto" w:before="5" w:after="0"/>
        <w:ind w:left="237" w:right="166" w:firstLine="480"/>
        <w:jc w:val="both"/>
        <w:rPr>
          <w:sz w:val="24"/>
        </w:rPr>
      </w:pPr>
      <w:r>
        <w:rPr>
          <w:spacing w:val="-2"/>
          <w:sz w:val="24"/>
        </w:rPr>
        <w:t>开发新药及诊断方法 针对近年来新抗生素的研发进展缓慢的现状，英国鼓励创新</w:t>
      </w:r>
      <w:r>
        <w:rPr>
          <w:spacing w:val="-11"/>
          <w:sz w:val="24"/>
        </w:rPr>
        <w:t>与合作，促进新抗生素、临床病原体快速诊断方法的研究工作，具体包括：⑴支持基础科学</w:t>
      </w:r>
      <w:r>
        <w:rPr>
          <w:spacing w:val="-13"/>
          <w:sz w:val="24"/>
        </w:rPr>
        <w:t>的发展；⑵激励企业开发新的抗生素产品，优先安排新抗生素的上市审查工作；⑶开放抗生</w:t>
      </w:r>
      <w:r>
        <w:rPr>
          <w:spacing w:val="-14"/>
          <w:sz w:val="24"/>
        </w:rPr>
        <w:t>素研究议题，为科研成果转化与合作搭建平台；⑷支持开展新的病原体快速诊断方法研究。</w:t>
      </w:r>
    </w:p>
    <w:p>
      <w:pPr>
        <w:pStyle w:val="ListParagraph"/>
        <w:numPr>
          <w:ilvl w:val="1"/>
          <w:numId w:val="21"/>
        </w:numPr>
        <w:tabs>
          <w:tab w:pos="1123" w:val="left" w:leader="none"/>
        </w:tabs>
        <w:spacing w:line="297" w:lineRule="auto" w:before="0" w:after="0"/>
        <w:ind w:left="237" w:right="268" w:firstLine="480"/>
        <w:jc w:val="both"/>
        <w:rPr>
          <w:sz w:val="24"/>
        </w:rPr>
      </w:pPr>
      <w:r>
        <w:rPr>
          <w:spacing w:val="-3"/>
          <w:sz w:val="24"/>
        </w:rPr>
        <w:t>建立抗生素使用监测体系 建立抗生素使用国家监测体系为 </w:t>
      </w:r>
      <w:r>
        <w:rPr>
          <w:sz w:val="24"/>
        </w:rPr>
        <w:t>AMR</w:t>
      </w:r>
      <w:r>
        <w:rPr>
          <w:spacing w:val="-12"/>
          <w:sz w:val="24"/>
        </w:rPr>
        <w:t> 治理提供了基本的</w:t>
      </w:r>
      <w:r>
        <w:rPr>
          <w:spacing w:val="-11"/>
          <w:sz w:val="24"/>
        </w:rPr>
        <w:t>信息支持。瑞典监测全国药房抗生素销售和医疗机构抗生素处方情况，并对医生抗生素使用</w:t>
      </w:r>
      <w:r>
        <w:rPr>
          <w:sz w:val="24"/>
        </w:rPr>
        <w:t>合理性进行评价和反馈。建立国家登记注册制度，记录抗生素用药不足的案例。</w:t>
      </w:r>
    </w:p>
    <w:p>
      <w:pPr>
        <w:pStyle w:val="BodyText"/>
        <w:spacing w:line="297" w:lineRule="auto"/>
        <w:ind w:right="286" w:firstLine="480"/>
      </w:pPr>
      <w:r>
        <w:rPr/>
        <w:t>英国抗生素使用和耐药性监测方案(English Surveillance Programme for Antimicrobial Utilization and Resistance，ESPAUR)要求收集全国医疗机构抗生素使用数据，评估医疗机构抗生素管理效果。建立国家级实验室负责分析细菌耐药监测数据，对关键耐药菌种进行重点监测和控制。</w:t>
      </w:r>
    </w:p>
    <w:p>
      <w:pPr>
        <w:pStyle w:val="ListParagraph"/>
        <w:numPr>
          <w:ilvl w:val="1"/>
          <w:numId w:val="21"/>
        </w:numPr>
        <w:tabs>
          <w:tab w:pos="1138" w:val="left" w:leader="none"/>
          <w:tab w:pos="3297" w:val="left" w:leader="none"/>
        </w:tabs>
        <w:spacing w:line="297" w:lineRule="auto" w:before="0" w:after="0"/>
        <w:ind w:left="237" w:right="345" w:firstLine="480"/>
        <w:jc w:val="left"/>
        <w:rPr>
          <w:sz w:val="24"/>
        </w:rPr>
      </w:pPr>
      <w:r>
        <w:rPr>
          <w:sz w:val="24"/>
        </w:rPr>
        <w:t>减少动物用抗生素</w:t>
        <w:tab/>
        <w:t>瑞典制定了兽用抗生素指南，在</w:t>
      </w:r>
      <w:r>
        <w:rPr>
          <w:spacing w:val="-60"/>
          <w:sz w:val="24"/>
        </w:rPr>
        <w:t> </w:t>
      </w:r>
      <w:r>
        <w:rPr>
          <w:sz w:val="24"/>
        </w:rPr>
        <w:t>1986</w:t>
      </w:r>
      <w:r>
        <w:rPr>
          <w:spacing w:val="-60"/>
          <w:sz w:val="24"/>
        </w:rPr>
        <w:t> </w:t>
      </w:r>
      <w:r>
        <w:rPr>
          <w:sz w:val="24"/>
        </w:rPr>
        <w:t>年规定禁止向饲料中</w:t>
      </w:r>
      <w:r>
        <w:rPr>
          <w:spacing w:val="-16"/>
          <w:sz w:val="24"/>
        </w:rPr>
        <w:t>添</w:t>
      </w:r>
      <w:r>
        <w:rPr>
          <w:sz w:val="24"/>
        </w:rPr>
        <w:t>加抗生素促进动物生长，对食用类动物中细菌耐药及抗生素残留情况进行持续监测。</w:t>
      </w:r>
    </w:p>
    <w:p>
      <w:pPr>
        <w:pStyle w:val="BodyText"/>
        <w:spacing w:line="295" w:lineRule="auto"/>
        <w:ind w:right="267" w:firstLine="480"/>
      </w:pPr>
      <w:r>
        <w:rPr>
          <w:spacing w:val="-6"/>
        </w:rPr>
        <w:t>英国动物卫生部门制定了抗生素应用指南，将动物预防用抗生素剂量降到最低。要求农</w:t>
      </w:r>
      <w:r>
        <w:rPr/>
        <w:t>场建立良好的消毒程序，注意通风设置，对牲畜进行必要疫苗注射。</w:t>
      </w:r>
    </w:p>
    <w:p>
      <w:pPr>
        <w:pStyle w:val="BodyText"/>
        <w:spacing w:line="295" w:lineRule="auto"/>
        <w:ind w:right="279" w:firstLine="480"/>
      </w:pPr>
      <w:r>
        <w:rPr/>
        <w:t>丹麦立法规定动物用抗生素均需凭处方使用，禁止抗生素用于预防动物疾病。自 1995 年起丹麦逐步禁止抗生素作为饲料添加剂使用，规定畜禽饲养使用抗生素必须缴税。</w:t>
      </w:r>
    </w:p>
    <w:p>
      <w:pPr>
        <w:pStyle w:val="BodyText"/>
        <w:spacing w:line="297" w:lineRule="auto"/>
        <w:ind w:right="267" w:firstLine="480"/>
      </w:pPr>
      <w:r>
        <w:rPr>
          <w:spacing w:val="-10"/>
        </w:rPr>
        <w:t>法国国家食品、环境及劳动卫生署监控动物抗生素使用，评估畜牧业和家庭宠物保健中</w:t>
      </w:r>
      <w:r>
        <w:rPr/>
        <w:t>抗生素耐药风险，起草相关规章阻止或消除兽药风险的发生。</w:t>
      </w:r>
    </w:p>
    <w:p>
      <w:pPr>
        <w:pStyle w:val="ListParagraph"/>
        <w:numPr>
          <w:ilvl w:val="1"/>
          <w:numId w:val="21"/>
        </w:numPr>
        <w:tabs>
          <w:tab w:pos="1138" w:val="left" w:leader="none"/>
          <w:tab w:pos="4977" w:val="left" w:leader="none"/>
        </w:tabs>
        <w:spacing w:line="295" w:lineRule="auto" w:before="0" w:after="0"/>
        <w:ind w:left="237" w:right="269" w:firstLine="480"/>
        <w:jc w:val="left"/>
        <w:rPr>
          <w:sz w:val="24"/>
        </w:rPr>
      </w:pPr>
      <w:r>
        <w:rPr>
          <w:sz w:val="24"/>
        </w:rPr>
        <w:t>增加公众和专业人员对</w:t>
      </w:r>
      <w:r>
        <w:rPr>
          <w:spacing w:val="-60"/>
          <w:sz w:val="24"/>
        </w:rPr>
        <w:t> </w:t>
      </w:r>
      <w:r>
        <w:rPr>
          <w:sz w:val="24"/>
        </w:rPr>
        <w:t>AMR</w:t>
      </w:r>
      <w:r>
        <w:rPr>
          <w:spacing w:val="-60"/>
          <w:sz w:val="24"/>
        </w:rPr>
        <w:t> </w:t>
      </w:r>
      <w:r>
        <w:rPr>
          <w:sz w:val="24"/>
        </w:rPr>
        <w:t>的认识</w:t>
        <w:tab/>
        <w:t>瑞典每年会举行新闻发布会</w:t>
      </w:r>
      <w:r>
        <w:rPr>
          <w:spacing w:val="-44"/>
          <w:sz w:val="24"/>
        </w:rPr>
        <w:t>，</w:t>
      </w:r>
      <w:r>
        <w:rPr>
          <w:sz w:val="24"/>
        </w:rPr>
        <w:t>公布抗生素销</w:t>
      </w:r>
      <w:r>
        <w:rPr>
          <w:spacing w:val="-16"/>
          <w:sz w:val="24"/>
        </w:rPr>
        <w:t>售</w:t>
      </w:r>
      <w:hyperlink r:id="rId28">
        <w:r>
          <w:rPr>
            <w:sz w:val="24"/>
          </w:rPr>
          <w:t>量和细菌耐药性趋势，政府建立专门网站(http://www.folkhalsomyndigheten.se/</w:t>
        </w:r>
      </w:hyperlink>
    </w:p>
    <w:p>
      <w:pPr>
        <w:pStyle w:val="BodyText"/>
        <w:spacing w:line="297" w:lineRule="auto"/>
        <w:ind w:right="287"/>
      </w:pPr>
      <w:r>
        <w:rPr/>
        <w:t>skyddaantibiotikan)进行抗生素宣传教育活动，并为新生儿家长、疗养院等机构人员提供抗生素使用相关教育培训。</w:t>
      </w:r>
    </w:p>
    <w:p>
      <w:pPr>
        <w:pStyle w:val="BodyText"/>
        <w:spacing w:line="297" w:lineRule="auto"/>
        <w:ind w:right="266" w:firstLine="480"/>
        <w:jc w:val="both"/>
      </w:pPr>
      <w:r>
        <w:rPr/>
        <w:t>在每年的“欧洲抗生素日</w:t>
      </w:r>
      <w:r>
        <w:rPr>
          <w:spacing w:val="-7"/>
        </w:rPr>
        <w:t>”(EAAD)，英国举办各种形式活动宣传 </w:t>
      </w:r>
      <w:r>
        <w:rPr/>
        <w:t>AMR</w:t>
      </w:r>
      <w:r>
        <w:rPr>
          <w:spacing w:val="-14"/>
        </w:rPr>
        <w:t> 危害等知识，开展</w:t>
      </w:r>
      <w:r>
        <w:rPr>
          <w:spacing w:val="-8"/>
        </w:rPr>
        <w:t>抗生素卫士运动，告诫公众遵从医生、药师医嘱服用抗生素，同时资助感染控制课程，保障医务人员了解有关抗生素规范使用和最新信息。</w:t>
      </w:r>
    </w:p>
    <w:p>
      <w:pPr>
        <w:pStyle w:val="BodyText"/>
        <w:spacing w:line="297" w:lineRule="auto"/>
        <w:ind w:right="287" w:firstLine="480"/>
      </w:pPr>
      <w:r>
        <w:rPr>
          <w:spacing w:val="-16"/>
        </w:rPr>
        <w:t>法国从 </w:t>
      </w:r>
      <w:r>
        <w:rPr/>
        <w:t>2002</w:t>
      </w:r>
      <w:r>
        <w:rPr>
          <w:spacing w:val="-9"/>
        </w:rPr>
        <w:t> 年开始每年举行一次抗生素知识公共宣传。在一些北欧国家如荷兰，医学</w:t>
      </w:r>
      <w:r>
        <w:rPr/>
        <w:t>院校教育医疗专业学生在定向治疗中着重开具窄谱抗生素。</w:t>
      </w:r>
    </w:p>
    <w:p>
      <w:pPr>
        <w:pStyle w:val="ListParagraph"/>
        <w:numPr>
          <w:ilvl w:val="1"/>
          <w:numId w:val="21"/>
        </w:numPr>
        <w:tabs>
          <w:tab w:pos="1138" w:val="left" w:leader="none"/>
          <w:tab w:pos="4017" w:val="left" w:leader="none"/>
        </w:tabs>
        <w:spacing w:line="297" w:lineRule="auto" w:before="0" w:after="0"/>
        <w:ind w:left="237" w:right="267" w:firstLine="480"/>
        <w:jc w:val="left"/>
        <w:rPr>
          <w:sz w:val="24"/>
        </w:rPr>
      </w:pPr>
      <w:r>
        <w:rPr>
          <w:sz w:val="24"/>
        </w:rPr>
        <w:t>加强国际合作与数据共享</w:t>
        <w:tab/>
        <w:t>瑞典对涉及公共卫生的关键菌种及其抗生素敏感性进行国家监测</w:t>
      </w:r>
      <w:r>
        <w:rPr>
          <w:spacing w:val="-51"/>
          <w:sz w:val="24"/>
        </w:rPr>
        <w:t>，</w:t>
      </w:r>
      <w:r>
        <w:rPr>
          <w:sz w:val="24"/>
        </w:rPr>
        <w:t>并将相关数据发送到欧洲抗生素耐药性监测网络</w:t>
      </w:r>
      <w:r>
        <w:rPr>
          <w:spacing w:val="-51"/>
          <w:sz w:val="24"/>
        </w:rPr>
        <w:t>、</w:t>
      </w:r>
      <w:r>
        <w:rPr>
          <w:sz w:val="24"/>
        </w:rPr>
        <w:t>欧洲疾病预防控制中心和</w:t>
      </w:r>
      <w:r>
        <w:rPr>
          <w:spacing w:val="-16"/>
          <w:sz w:val="24"/>
        </w:rPr>
        <w:t>世</w:t>
      </w:r>
      <w:r>
        <w:rPr>
          <w:sz w:val="24"/>
        </w:rPr>
        <w:t>界卫生组织的全球抗菌监测系统。</w:t>
      </w:r>
    </w:p>
    <w:p>
      <w:pPr>
        <w:pStyle w:val="BodyText"/>
        <w:spacing w:line="297" w:lineRule="auto"/>
        <w:ind w:right="268" w:firstLine="480"/>
      </w:pPr>
      <w:r>
        <w:rPr>
          <w:spacing w:val="-5"/>
        </w:rPr>
        <w:t>英国在开发新抗生素和新的诊断治疗方法方面积极寻求国际合作，加入“跨大西洋抗生</w:t>
      </w:r>
      <w:r>
        <w:rPr/>
        <w:t>素耐药性专题小组”(TATFAR)等国际抗生素使用和监测数据系统，与国际组织共享监测数</w:t>
      </w:r>
      <w:r>
        <w:rPr>
          <w:spacing w:val="-6"/>
        </w:rPr>
        <w:t>据，及时获取更广泛的 </w:t>
      </w:r>
      <w:r>
        <w:rPr/>
        <w:t>AMR</w:t>
      </w:r>
      <w:r>
        <w:rPr>
          <w:spacing w:val="-8"/>
        </w:rPr>
        <w:t> 发展趋势信息。</w:t>
      </w:r>
    </w:p>
    <w:p>
      <w:pPr>
        <w:pStyle w:val="Heading4"/>
        <w:numPr>
          <w:ilvl w:val="0"/>
          <w:numId w:val="21"/>
        </w:numPr>
        <w:tabs>
          <w:tab w:pos="964" w:val="left" w:leader="none"/>
        </w:tabs>
        <w:spacing w:line="304" w:lineRule="exact" w:before="0" w:after="0"/>
        <w:ind w:left="963" w:right="0" w:hanging="244"/>
        <w:jc w:val="left"/>
      </w:pPr>
      <w:r>
        <w:rPr/>
        <w:t>建议</w:t>
      </w:r>
    </w:p>
    <w:p>
      <w:pPr>
        <w:spacing w:after="0" w:line="304" w:lineRule="exact"/>
        <w:jc w:val="left"/>
        <w:sectPr>
          <w:headerReference w:type="default" r:id="rId27"/>
          <w:pgSz w:w="11910" w:h="16850"/>
          <w:pgMar w:header="906" w:footer="607" w:top="1100" w:bottom="800" w:left="1040" w:right="860"/>
        </w:sectPr>
      </w:pPr>
    </w:p>
    <w:p>
      <w:pPr>
        <w:pStyle w:val="BodyText"/>
        <w:spacing w:line="297" w:lineRule="auto" w:before="65"/>
        <w:ind w:right="267" w:firstLine="480"/>
        <w:jc w:val="both"/>
      </w:pPr>
      <w:r>
        <w:rPr>
          <w:spacing w:val="-4"/>
        </w:rPr>
        <w:t>中国《遏制细菌耐药国家行动计划</w:t>
      </w:r>
      <w:r>
        <w:rPr/>
        <w:t>（2016-2020</w:t>
      </w:r>
      <w:r>
        <w:rPr>
          <w:spacing w:val="-30"/>
        </w:rPr>
        <w:t> 年</w:t>
      </w:r>
      <w:r>
        <w:rPr>
          <w:spacing w:val="-8"/>
        </w:rPr>
        <w:t>）</w:t>
      </w:r>
      <w:r>
        <w:rPr>
          <w:spacing w:val="-5"/>
        </w:rPr>
        <w:t>》涉及新药研发、凭处方售药、监</w:t>
      </w:r>
      <w:r>
        <w:rPr>
          <w:spacing w:val="-12"/>
        </w:rPr>
        <w:t>测评价、临床应用、兽药使用和培训教育几方面的内容，明确提出要跨部门协调形成合力应</w:t>
      </w:r>
      <w:r>
        <w:rPr>
          <w:spacing w:val="-30"/>
        </w:rPr>
        <w:t>对 </w:t>
      </w:r>
      <w:r>
        <w:rPr/>
        <w:t>AMR</w:t>
      </w:r>
      <w:r>
        <w:rPr>
          <w:spacing w:val="-16"/>
        </w:rPr>
        <w:t> 问题。欧盟及欧洲各国应对 </w:t>
      </w:r>
      <w:r>
        <w:rPr/>
        <w:t>AMR</w:t>
      </w:r>
      <w:r>
        <w:rPr>
          <w:spacing w:val="-12"/>
        </w:rPr>
        <w:t> 问题的国家治理模式与策略措施中，以下几个突出点</w:t>
      </w:r>
      <w:r>
        <w:rPr/>
        <w:t>值得我国借鉴：</w:t>
      </w:r>
    </w:p>
    <w:p>
      <w:pPr>
        <w:pStyle w:val="BodyText"/>
        <w:spacing w:line="297" w:lineRule="auto"/>
        <w:ind w:right="266" w:firstLine="480"/>
        <w:jc w:val="both"/>
      </w:pPr>
      <w:r>
        <w:rPr>
          <w:spacing w:val="-9"/>
        </w:rPr>
        <w:t>完善抗生素管理体系，设立专门机构对 </w:t>
      </w:r>
      <w:r>
        <w:rPr/>
        <w:t>AMR</w:t>
      </w:r>
      <w:r>
        <w:rPr>
          <w:spacing w:val="-13"/>
        </w:rPr>
        <w:t> 国家治理进行统一协调。抗生素监管涉及卫</w:t>
      </w:r>
      <w:r>
        <w:rPr>
          <w:spacing w:val="-10"/>
        </w:rPr>
        <w:t>生、食药、环保、农业等多个部门与领域，从瑞典等国家治理经验来看，以共同目标即 </w:t>
      </w:r>
      <w:r>
        <w:rPr/>
        <w:t>AMR </w:t>
      </w:r>
      <w:r>
        <w:rPr>
          <w:spacing w:val="-10"/>
        </w:rPr>
        <w:t>治理为导向，设立专门机构统筹协调相关部门间的职责分工与政策措施制定，各部门间关系</w:t>
      </w:r>
      <w:r>
        <w:rPr>
          <w:spacing w:val="-12"/>
        </w:rPr>
        <w:t>突破“碎片化”实现“跨部门协作”，才能有效推动国家行动计划的落实。目前我国缺少专</w:t>
      </w:r>
      <w:r>
        <w:rPr>
          <w:spacing w:val="-11"/>
        </w:rPr>
        <w:t>门机构管理 </w:t>
      </w:r>
      <w:r>
        <w:rPr/>
        <w:t>AMR</w:t>
      </w:r>
      <w:r>
        <w:rPr>
          <w:spacing w:val="-13"/>
        </w:rPr>
        <w:t> 治理工作，在治理过程中存在政出多门、职能交叉、责任缺位衔接不畅的问</w:t>
      </w:r>
      <w:r>
        <w:rPr>
          <w:spacing w:val="-11"/>
        </w:rPr>
        <w:t>题。搭建国家层面应对 </w:t>
      </w:r>
      <w:r>
        <w:rPr/>
        <w:t>AMR</w:t>
      </w:r>
      <w:r>
        <w:rPr>
          <w:spacing w:val="-12"/>
        </w:rPr>
        <w:t> 问题治理框架，创建协调统一的专门机构对抗生素的研发、使用</w:t>
      </w:r>
      <w:r>
        <w:rPr>
          <w:spacing w:val="-8"/>
        </w:rPr>
        <w:t>等过程进行全方位管理，理清抗生素管理体系中各部门权责分工，将分散在各机构间的职能</w:t>
      </w:r>
      <w:r>
        <w:rPr>
          <w:spacing w:val="-4"/>
        </w:rPr>
        <w:t>进行必要整合与强化，成为加快推进我国 </w:t>
      </w:r>
      <w:r>
        <w:rPr/>
        <w:t>AMR</w:t>
      </w:r>
      <w:r>
        <w:rPr>
          <w:spacing w:val="-8"/>
        </w:rPr>
        <w:t> 治理工作中亟待解决的关键问题。</w:t>
      </w:r>
    </w:p>
    <w:p>
      <w:pPr>
        <w:pStyle w:val="BodyText"/>
        <w:spacing w:line="295" w:lineRule="auto"/>
        <w:ind w:right="268" w:firstLine="480"/>
        <w:jc w:val="both"/>
      </w:pPr>
      <w:r>
        <w:rPr>
          <w:spacing w:val="-6"/>
        </w:rPr>
        <w:t>落实临床用药指南，规范专业人员及公众用药行为。我国人均抗生素使用量 </w:t>
      </w:r>
      <w:r>
        <w:rPr/>
        <w:t>138g,</w:t>
      </w:r>
      <w:r>
        <w:rPr>
          <w:spacing w:val="-8"/>
        </w:rPr>
        <w:t>是欧</w:t>
      </w:r>
      <w:r>
        <w:rPr>
          <w:spacing w:val="-13"/>
        </w:rPr>
        <w:t>美国家的 </w:t>
      </w:r>
      <w:r>
        <w:rPr/>
        <w:t>10</w:t>
      </w:r>
      <w:r>
        <w:rPr>
          <w:spacing w:val="-8"/>
        </w:rPr>
        <w:t> 倍，抗生素在医院药品销售中排名第一。我国出台了《抗菌药物临床应用管理办法》等规章和规范性文件指导抗菌药物使用,由于缺乏有效的监管和违规处罚作为保障， </w:t>
      </w:r>
      <w:r>
        <w:rPr>
          <w:spacing w:val="-15"/>
        </w:rPr>
        <w:t>指南落实情况不尽如人意。未来需要明确相关监督主体，探索建立抗菌药物临床使用监管的</w:t>
      </w:r>
      <w:r>
        <w:rPr>
          <w:spacing w:val="-10"/>
        </w:rPr>
        <w:t>长效工作机制，以保障指南切实发挥规范指导作用。同时可以积极发挥基层医疗机构的宣传</w:t>
      </w:r>
      <w:r>
        <w:rPr/>
        <w:t>教育作用，向公众传播合理用药知识，减少医患双方在抗生素使用中的信息不对称问题。</w:t>
      </w:r>
    </w:p>
    <w:p>
      <w:pPr>
        <w:pStyle w:val="BodyText"/>
        <w:spacing w:line="297" w:lineRule="auto"/>
        <w:ind w:right="148" w:firstLine="480"/>
      </w:pPr>
      <w:r>
        <w:rPr>
          <w:spacing w:val="-9"/>
        </w:rPr>
        <w:t>建立全方位、高响应度的抗生素使用和耐药菌感染监测体系。持续监测流行菌株和其耐药方式，是判断细菌耐药性程度和制定抗菌药临床使用策略的基本手段。</w:t>
      </w:r>
      <w:r>
        <w:rPr/>
        <w:t>2005</w:t>
      </w:r>
      <w:r>
        <w:rPr>
          <w:spacing w:val="-11"/>
        </w:rPr>
        <w:t> 年原卫生部、</w:t>
      </w:r>
      <w:r>
        <w:rPr>
          <w:spacing w:val="-4"/>
        </w:rPr>
        <w:t>国家中医药管理局和总后卫生部联合建立全国“抗菌药物临床应用监测网”和“细菌耐药监测网”，我国现有细菌耐药性监测网络尚存在覆盖范围不全、检测方法标准不统一等问题， 监测数据的全面性与可靠性有待加强。</w:t>
      </w:r>
    </w:p>
    <w:p>
      <w:pPr>
        <w:pStyle w:val="BodyText"/>
        <w:spacing w:line="297" w:lineRule="auto"/>
        <w:ind w:right="267" w:firstLine="480"/>
        <w:jc w:val="both"/>
      </w:pPr>
      <w:r>
        <w:rPr/>
        <w:t>指导畜牧业合理使用抗生素使用。许多属于人类最后防线的抗生素已在农牧业中使用, </w:t>
      </w:r>
      <w:r>
        <w:rPr>
          <w:spacing w:val="-6"/>
        </w:rPr>
        <w:t>应采取行动限制此类关键抗生素的使用。考虑到我国当前经济发展水平等现实条件，解决畜牧业抗生素滥用问题需要经历长期渐进式的过程，不期能一蹴而就。目前急需提高养殖中抗</w:t>
      </w:r>
      <w:r>
        <w:rPr>
          <w:spacing w:val="-9"/>
        </w:rPr>
        <w:t>生素使用透明度，增加养殖人员合理用药知识，减少动物误用抗生素现象。做好动物检验检</w:t>
      </w:r>
      <w:r>
        <w:rPr/>
        <w:t>疫工作，控制食用类动物抗生素残留情况。</w:t>
      </w:r>
    </w:p>
    <w:p>
      <w:pPr>
        <w:pStyle w:val="BodyText"/>
        <w:spacing w:before="7"/>
        <w:ind w:left="0"/>
        <w:rPr>
          <w:sz w:val="17"/>
        </w:rPr>
      </w:pPr>
    </w:p>
    <w:p>
      <w:pPr>
        <w:pStyle w:val="Heading2"/>
        <w:spacing w:before="55"/>
      </w:pPr>
      <w:bookmarkStart w:name="_TOC_250004" w:id="43"/>
      <w:bookmarkEnd w:id="43"/>
      <w:r>
        <w:rPr/>
        <w:t>【药师风采】</w:t>
      </w:r>
    </w:p>
    <w:p>
      <w:pPr>
        <w:pStyle w:val="Heading2"/>
        <w:spacing w:before="24"/>
        <w:ind w:left="3057"/>
      </w:pPr>
      <w:bookmarkStart w:name="_TOC_250003" w:id="44"/>
      <w:bookmarkEnd w:id="44"/>
      <w:r>
        <w:rPr/>
        <w:t>淄博市中心医院——司继刚</w:t>
      </w:r>
    </w:p>
    <w:p>
      <w:pPr>
        <w:pStyle w:val="Heading4"/>
        <w:spacing w:before="66"/>
        <w:ind w:left="1490"/>
        <w:rPr>
          <w:rFonts w:ascii="楷体" w:eastAsia="楷体" w:hint="eastAsia"/>
        </w:rPr>
      </w:pPr>
      <w:r>
        <w:rPr>
          <w:rFonts w:ascii="楷体" w:eastAsia="楷体" w:hint="eastAsia"/>
        </w:rPr>
        <w:t>励志寄语：关注患者用药细节，积极参加临床合理用药实践工作。</w:t>
      </w:r>
    </w:p>
    <w:p>
      <w:pPr>
        <w:pStyle w:val="BodyText"/>
        <w:spacing w:line="312" w:lineRule="auto" w:before="91"/>
        <w:ind w:right="147" w:firstLine="420"/>
      </w:pPr>
      <w:r>
        <w:rPr>
          <w:spacing w:val="-6"/>
        </w:rPr>
        <w:t>司继刚，现任淄博市中心医院药学部主任，主任药师，医院药物临床试验机构办公室主</w:t>
      </w:r>
      <w:r>
        <w:rPr>
          <w:spacing w:val="-13"/>
        </w:rPr>
        <w:t>任，从事药学工作 </w:t>
      </w:r>
      <w:r>
        <w:rPr/>
        <w:t>26</w:t>
      </w:r>
      <w:r>
        <w:rPr>
          <w:spacing w:val="-8"/>
        </w:rPr>
        <w:t> 年。主要负责医院药事管理、临床药学和药物临床试验工作。注重临</w:t>
      </w:r>
      <w:r>
        <w:rPr>
          <w:spacing w:val="-12"/>
        </w:rPr>
        <w:t>床药学实践和临床合理用药管理工作，积极参加临床查房、会诊和病例讨论，开展药学咨询工作，关注高血压、糖尿病等慢性病患者临床用药的细节管理，宣传合理用药知识，加强患</w:t>
      </w:r>
      <w:r>
        <w:rPr>
          <w:spacing w:val="-19"/>
        </w:rPr>
        <w:t>者用药的依从性管理，发挥药师在临床合理用药中的积极作用。作为国家临床药师培训基地， </w:t>
      </w:r>
      <w:r>
        <w:rPr>
          <w:spacing w:val="-2"/>
        </w:rPr>
        <w:t>重视基地建设和临床药师培训带教工作，近年来已为全国各级医院培养临床药师 </w:t>
      </w:r>
      <w:r>
        <w:rPr/>
        <w:t>40</w:t>
      </w:r>
      <w:r>
        <w:rPr>
          <w:spacing w:val="-20"/>
        </w:rPr>
        <w:t> 名。</w:t>
      </w:r>
    </w:p>
    <w:p>
      <w:pPr>
        <w:spacing w:after="0" w:line="312" w:lineRule="auto"/>
        <w:sectPr>
          <w:pgSz w:w="11910" w:h="16850"/>
          <w:pgMar w:header="906" w:footer="607" w:top="1100" w:bottom="800" w:left="1040" w:right="860"/>
        </w:sectPr>
      </w:pPr>
    </w:p>
    <w:p>
      <w:pPr>
        <w:pStyle w:val="BodyText"/>
        <w:spacing w:before="79"/>
        <w:ind w:left="657"/>
      </w:pPr>
      <w:r>
        <w:rPr/>
        <w:t>2017</w:t>
      </w:r>
      <w:r>
        <w:rPr>
          <w:spacing w:val="-12"/>
        </w:rPr>
        <w:t> 年医院已通过国家药物临床试验机构现场检查认证，获发国家《药物临床试验机构</w:t>
      </w:r>
    </w:p>
    <w:p>
      <w:pPr>
        <w:pStyle w:val="BodyText"/>
        <w:spacing w:before="91"/>
      </w:pPr>
      <w:r>
        <w:rPr>
          <w:spacing w:val="-6"/>
        </w:rPr>
        <w:t>资格认定证书》，共有 </w:t>
      </w:r>
      <w:r>
        <w:rPr/>
        <w:t>12</w:t>
      </w:r>
      <w:r>
        <w:rPr>
          <w:spacing w:val="-8"/>
        </w:rPr>
        <w:t> 个临床专业获得药物临床试验资质，目前医院已完成和正在进行</w:t>
      </w:r>
    </w:p>
    <w:p>
      <w:pPr>
        <w:pStyle w:val="BodyText"/>
        <w:spacing w:before="93"/>
      </w:pPr>
      <w:r>
        <w:rPr/>
        <w:t>的临床试验项目共计 39 项。</w:t>
      </w:r>
    </w:p>
    <w:p>
      <w:pPr>
        <w:pStyle w:val="BodyText"/>
        <w:spacing w:line="312" w:lineRule="auto" w:before="94"/>
        <w:ind w:right="270" w:firstLine="420"/>
        <w:jc w:val="both"/>
      </w:pPr>
      <w:r>
        <w:rPr>
          <w:spacing w:val="-5"/>
        </w:rPr>
        <w:t>注重药学科普工作，为社会药店药师和社区群众宣传高血压药物合理使用知识，提供药</w:t>
      </w:r>
      <w:r>
        <w:rPr>
          <w:spacing w:val="-11"/>
        </w:rPr>
        <w:t>学服务，取得良好效果。以临床药学实践工作为蓝本拍摄的微电影《药，你吃对了吗？》参</w:t>
      </w:r>
      <w:r>
        <w:rPr>
          <w:spacing w:val="-30"/>
        </w:rPr>
        <w:t>加 </w:t>
      </w:r>
      <w:r>
        <w:rPr/>
        <w:t>2017</w:t>
      </w:r>
      <w:r>
        <w:rPr>
          <w:spacing w:val="-8"/>
        </w:rPr>
        <w:t> 年中国临床药学年会暨第十三届临床药师论坛微电影评选，荣获最佳摄影奖并在现场进行展播。积极参加中国药学会的各项工作和活动，2017 年申报中国药学会全国医药经济信息网科技传播创新工程项目并已立项。</w:t>
      </w:r>
    </w:p>
    <w:p>
      <w:pPr>
        <w:pStyle w:val="BodyText"/>
        <w:ind w:left="657"/>
      </w:pPr>
      <w:r>
        <w:rPr/>
        <w:t>在《中国医院药学杂志》和《中国药房》等核心期刊发表上发表论文近 30 篇，获得山</w:t>
      </w:r>
    </w:p>
    <w:p>
      <w:pPr>
        <w:pStyle w:val="BodyText"/>
        <w:spacing w:line="312" w:lineRule="auto" w:before="94"/>
        <w:ind w:left="657" w:right="165" w:hanging="420"/>
      </w:pPr>
      <w:r>
        <w:rPr>
          <w:spacing w:val="-5"/>
        </w:rPr>
        <w:t>东省药学会科学技术三等奖 </w:t>
      </w:r>
      <w:r>
        <w:rPr/>
        <w:t>2</w:t>
      </w:r>
      <w:r>
        <w:rPr>
          <w:spacing w:val="-11"/>
        </w:rPr>
        <w:t> 项，淄博市自然科学优秀学术成果二等奖 </w:t>
      </w:r>
      <w:r>
        <w:rPr/>
        <w:t>2</w:t>
      </w:r>
      <w:r>
        <w:rPr>
          <w:spacing w:val="-18"/>
        </w:rPr>
        <w:t> 项、三等奖 </w:t>
      </w:r>
      <w:r>
        <w:rPr/>
        <w:t>2</w:t>
      </w:r>
      <w:r>
        <w:rPr>
          <w:spacing w:val="-26"/>
        </w:rPr>
        <w:t> 项。</w:t>
      </w:r>
      <w:r>
        <w:rPr/>
        <w:t>多次获得山东省和淄博市药品不良反应监测工作先进个人表彰。</w:t>
      </w:r>
    </w:p>
    <w:p>
      <w:pPr>
        <w:pStyle w:val="BodyText"/>
        <w:spacing w:line="312" w:lineRule="auto"/>
        <w:ind w:right="267" w:firstLine="420"/>
        <w:jc w:val="both"/>
      </w:pPr>
      <w:r>
        <w:rPr>
          <w:spacing w:val="-3"/>
        </w:rPr>
        <w:t>兼任山东省药学会抗生素临床应用专业委员会委员，山东省药理学会治疗药物监测专业</w:t>
      </w:r>
      <w:r>
        <w:rPr>
          <w:spacing w:val="-9"/>
        </w:rPr>
        <w:t>委员会副主任委员，山东省医院协会药事管理专业委员会常务委员，淄博市医学会临床药学</w:t>
      </w:r>
      <w:r>
        <w:rPr>
          <w:spacing w:val="-8"/>
        </w:rPr>
        <w:t>专业委员会主任委员，淄博市药师协会副理事长，原国家卫计委临床药师培训考核专家，山</w:t>
      </w:r>
      <w:r>
        <w:rPr/>
        <w:t>东省药品安全性评价专家。</w:t>
      </w:r>
    </w:p>
    <w:p>
      <w:pPr>
        <w:pStyle w:val="BodyText"/>
        <w:spacing w:before="1"/>
        <w:ind w:left="0"/>
        <w:rPr>
          <w:sz w:val="17"/>
        </w:rPr>
      </w:pPr>
    </w:p>
    <w:p>
      <w:pPr>
        <w:pStyle w:val="Heading2"/>
        <w:ind w:left="2897"/>
      </w:pPr>
      <w:bookmarkStart w:name="_TOC_250002" w:id="45"/>
      <w:bookmarkEnd w:id="45"/>
      <w:r>
        <w:rPr/>
        <w:t>济南市第三人民医院——邱波</w:t>
      </w:r>
    </w:p>
    <w:p>
      <w:pPr>
        <w:pStyle w:val="Heading4"/>
        <w:spacing w:before="64"/>
        <w:ind w:left="1732"/>
        <w:rPr>
          <w:rFonts w:ascii="楷体" w:eastAsia="楷体" w:hint="eastAsia"/>
        </w:rPr>
      </w:pPr>
      <w:r>
        <w:rPr>
          <w:rFonts w:ascii="楷体" w:eastAsia="楷体" w:hint="eastAsia"/>
        </w:rPr>
        <w:t>励志寄语：参与临床，服务医患，为临床合理用药保驾护航。</w:t>
      </w:r>
    </w:p>
    <w:p>
      <w:pPr>
        <w:pStyle w:val="BodyText"/>
        <w:spacing w:line="312" w:lineRule="auto" w:before="94"/>
        <w:ind w:right="152" w:firstLine="420"/>
      </w:pPr>
      <w:r>
        <w:rPr>
          <w:spacing w:val="-2"/>
        </w:rPr>
        <w:t>邱波，现任济南市第三人民医院药剂科主任，副主任药师，从事药学工作 </w:t>
      </w:r>
      <w:r>
        <w:rPr/>
        <w:t>28</w:t>
      </w:r>
      <w:r>
        <w:rPr>
          <w:spacing w:val="-12"/>
        </w:rPr>
        <w:t> 年。认真</w:t>
      </w:r>
      <w:r>
        <w:rPr>
          <w:spacing w:val="-11"/>
        </w:rPr>
        <w:t>执行《药品管理法》、《处方管理办法》、《抗菌药物临床应用管理办法》、《医疗机构麻</w:t>
      </w:r>
      <w:r>
        <w:rPr>
          <w:spacing w:val="-12"/>
        </w:rPr>
        <w:t>醉药品、第一类精神药品管理规定》等一系列法律法规，结合医院药学工作实际，以专业化</w:t>
      </w:r>
      <w:r>
        <w:rPr>
          <w:spacing w:val="-17"/>
        </w:rPr>
        <w:t>为基础、信息化为手段、临床化为目标，关注药品安全，促进规范用药，着力实现临床满意、</w:t>
      </w:r>
      <w:r>
        <w:rPr/>
        <w:t>病人满意、领导放心的工作目标，带领药师团队较好地完成各项工作任务。</w:t>
      </w:r>
    </w:p>
    <w:p>
      <w:pPr>
        <w:pStyle w:val="BodyText"/>
        <w:spacing w:line="312" w:lineRule="auto"/>
        <w:ind w:right="227" w:firstLine="420"/>
        <w:jc w:val="both"/>
      </w:pPr>
      <w:r>
        <w:rPr>
          <w:spacing w:val="-1"/>
        </w:rPr>
        <w:t>参与编制医院《基本药物处方集》，规范药物使用标准；加强抗菌药物合理使用管理， </w:t>
      </w:r>
      <w:r>
        <w:rPr>
          <w:spacing w:val="-7"/>
        </w:rPr>
        <w:t>做好处方点评工作，开展培训和讲座，严厉制止滥用抗生素的行为；加强对药品不良反应的</w:t>
      </w:r>
      <w:r>
        <w:rPr>
          <w:spacing w:val="-11"/>
        </w:rPr>
        <w:t>监测、收集和数据上报工作；加强医院药品管理，规范库房药品存储，做好入库验收，严防</w:t>
      </w:r>
      <w:r>
        <w:rPr>
          <w:spacing w:val="-14"/>
        </w:rPr>
        <w:t>假冒伪劣药品入库；积极推行药品网上集中招标、采购工作，使药品价格更趋合理；对毒麻</w:t>
      </w:r>
      <w:r>
        <w:rPr>
          <w:spacing w:val="-16"/>
        </w:rPr>
        <w:t>精神药品严格按规定的“五专”管理，癌症病人使用麻醉药品实行上门跟踪服务，确保药品使用安全；加大临床药学工作力度，继续在试点病区开展安全、合理用药教育。</w:t>
      </w:r>
    </w:p>
    <w:p>
      <w:pPr>
        <w:pStyle w:val="BodyText"/>
        <w:spacing w:before="2"/>
        <w:ind w:left="657"/>
      </w:pPr>
      <w:r>
        <w:rPr>
          <w:spacing w:val="-4"/>
        </w:rPr>
        <w:t>近年来在国家级学术期刊上发表论文 </w:t>
      </w:r>
      <w:r>
        <w:rPr/>
        <w:t>3</w:t>
      </w:r>
      <w:r>
        <w:rPr>
          <w:spacing w:val="-11"/>
        </w:rPr>
        <w:t> 篇，获得山东省药学会科学技术奖二等奖 </w:t>
      </w:r>
      <w:r>
        <w:rPr/>
        <w:t>1</w:t>
      </w:r>
      <w:r>
        <w:rPr>
          <w:spacing w:val="-20"/>
        </w:rPr>
        <w:t> 项。</w:t>
      </w:r>
    </w:p>
    <w:p>
      <w:pPr>
        <w:pStyle w:val="BodyText"/>
        <w:spacing w:line="312" w:lineRule="auto" w:before="94"/>
        <w:ind w:right="347" w:firstLine="420"/>
      </w:pPr>
      <w:r>
        <w:rPr>
          <w:spacing w:val="-11"/>
        </w:rPr>
        <w:t>先后被评为 </w:t>
      </w:r>
      <w:r>
        <w:rPr/>
        <w:t>2016</w:t>
      </w:r>
      <w:r>
        <w:rPr>
          <w:spacing w:val="-9"/>
        </w:rPr>
        <w:t> 年度山东省药品安全监测工作先进个人、济南市药品不良反应监测工</w:t>
      </w:r>
      <w:r>
        <w:rPr/>
        <w:t>作先进个人，2017</w:t>
      </w:r>
      <w:r>
        <w:rPr>
          <w:spacing w:val="-8"/>
        </w:rPr>
        <w:t> 年中国药学会全国医药经济信息网“信息工作先进个人”。</w:t>
      </w:r>
    </w:p>
    <w:p>
      <w:pPr>
        <w:pStyle w:val="BodyText"/>
        <w:spacing w:line="312" w:lineRule="auto"/>
        <w:ind w:right="211" w:firstLine="420"/>
      </w:pPr>
      <w:r>
        <w:rPr/>
        <w:t>兼任山东省药学会抗生素临床应用专业委员会委员，山东省医院协会药事管理专业委员会委员。</w:t>
      </w:r>
    </w:p>
    <w:p>
      <w:pPr>
        <w:pStyle w:val="BodyText"/>
        <w:spacing w:before="12"/>
        <w:ind w:left="0"/>
        <w:rPr>
          <w:sz w:val="16"/>
        </w:rPr>
      </w:pPr>
    </w:p>
    <w:p>
      <w:pPr>
        <w:pStyle w:val="Heading2"/>
        <w:ind w:left="0" w:right="31"/>
        <w:jc w:val="center"/>
      </w:pPr>
      <w:bookmarkStart w:name="_TOC_250001" w:id="46"/>
      <w:bookmarkEnd w:id="46"/>
      <w:r>
        <w:rPr/>
        <w:t>濮阳市油田总医院——李东</w:t>
      </w:r>
    </w:p>
    <w:p>
      <w:pPr>
        <w:pStyle w:val="Heading4"/>
        <w:spacing w:before="66"/>
        <w:ind w:left="647"/>
        <w:rPr>
          <w:rFonts w:ascii="楷体" w:eastAsia="楷体" w:hint="eastAsia"/>
        </w:rPr>
      </w:pPr>
      <w:r>
        <w:rPr>
          <w:rFonts w:ascii="楷体" w:eastAsia="楷体" w:hint="eastAsia"/>
        </w:rPr>
        <w:t>励志寄语：管好药，配准药，发对药，指导用药，做全程化药学服务的合格药师。</w:t>
      </w:r>
    </w:p>
    <w:p>
      <w:pPr>
        <w:spacing w:after="0"/>
        <w:rPr>
          <w:rFonts w:ascii="楷体" w:eastAsia="楷体" w:hint="eastAsia"/>
        </w:rPr>
        <w:sectPr>
          <w:pgSz w:w="11910" w:h="16850"/>
          <w:pgMar w:header="906" w:footer="607" w:top="1100" w:bottom="800" w:left="1040" w:right="860"/>
        </w:sectPr>
      </w:pPr>
    </w:p>
    <w:p>
      <w:pPr>
        <w:pStyle w:val="BodyText"/>
        <w:spacing w:line="312" w:lineRule="auto" w:before="79"/>
        <w:ind w:right="147" w:firstLine="420"/>
        <w:jc w:val="both"/>
      </w:pPr>
      <w:r>
        <w:rPr/>
        <w:t>李东，现任濮阳市油田总医院院长助理，药剂科主任，药物临床试验机构办公室主任， </w:t>
      </w:r>
      <w:r>
        <w:rPr>
          <w:spacing w:val="-5"/>
        </w:rPr>
        <w:t>主任药师，从事医院药学工作 </w:t>
      </w:r>
      <w:r>
        <w:rPr/>
        <w:t>27</w:t>
      </w:r>
      <w:r>
        <w:rPr>
          <w:spacing w:val="-8"/>
        </w:rPr>
        <w:t> 年。爱岗敬业、踏实勤奋、开拓创新，确立“以患者及临床为中心”的工作重心，潜心深入临床药学工作，结合临床开展合理用药和用药安全研究， </w:t>
      </w:r>
      <w:r>
        <w:rPr>
          <w:spacing w:val="-18"/>
        </w:rPr>
        <w:t>为临床医护提供药学服务，为患者提供药学监护和用药教育，促进医院临床药学水平的提高， </w:t>
      </w:r>
      <w:r>
        <w:rPr/>
        <w:t>使科室工作不断向优质、快捷、制度化、规范化方向发展。</w:t>
      </w:r>
    </w:p>
    <w:p>
      <w:pPr>
        <w:pStyle w:val="BodyText"/>
        <w:spacing w:line="312" w:lineRule="auto" w:before="1"/>
        <w:ind w:right="150" w:firstLine="420"/>
      </w:pPr>
      <w:r>
        <w:rPr>
          <w:spacing w:val="-4"/>
        </w:rPr>
        <w:t>努力创造条件开展新业务、新技术及科研工作，以学科建设促发展，带领科室转变药学工作模式，完善临床药学和药学服务工作，开展用药指导、用药审核和临床用药评价工作； </w:t>
      </w:r>
      <w:r>
        <w:rPr>
          <w:spacing w:val="-9"/>
        </w:rPr>
        <w:t>在河南省率先开展静脉用药集中调配工作，优化流程，提高工作效率，降低差错率；开展药</w:t>
      </w:r>
      <w:r>
        <w:rPr>
          <w:spacing w:val="-17"/>
        </w:rPr>
        <w:t>学延伸服务，对全院的临床用药实行标准化管理，防范用药风险和差错，提高药学服务水平； </w:t>
      </w:r>
      <w:r>
        <w:rPr/>
        <w:t>筹建国家药物临床试验机构，建立医院医药信息网站等工作。</w:t>
      </w:r>
    </w:p>
    <w:p>
      <w:pPr>
        <w:pStyle w:val="BodyText"/>
        <w:spacing w:line="312" w:lineRule="auto" w:before="1"/>
        <w:ind w:right="269" w:firstLine="420"/>
      </w:pPr>
      <w:r>
        <w:rPr>
          <w:spacing w:val="-8"/>
        </w:rPr>
        <w:t>注重人才培养，陆续培养临床药师 </w:t>
      </w:r>
      <w:r>
        <w:rPr/>
        <w:t>7</w:t>
      </w:r>
      <w:r>
        <w:rPr>
          <w:spacing w:val="-11"/>
        </w:rPr>
        <w:t> 名，顺利通过中华医学会临床药学专业委员会临床</w:t>
      </w:r>
      <w:r>
        <w:rPr/>
        <w:t>药师学员培训中心的资格认定工作。</w:t>
      </w:r>
    </w:p>
    <w:p>
      <w:pPr>
        <w:pStyle w:val="BodyText"/>
        <w:spacing w:line="312" w:lineRule="auto" w:before="2"/>
        <w:ind w:right="285" w:firstLine="420"/>
      </w:pPr>
      <w:r>
        <w:rPr>
          <w:spacing w:val="-6"/>
        </w:rPr>
        <w:t>先后主持省科研课题 </w:t>
      </w:r>
      <w:r>
        <w:rPr/>
        <w:t>1</w:t>
      </w:r>
      <w:r>
        <w:rPr>
          <w:spacing w:val="-14"/>
        </w:rPr>
        <w:t> 项，市级科研课题 </w:t>
      </w:r>
      <w:r>
        <w:rPr/>
        <w:t>3</w:t>
      </w:r>
      <w:r>
        <w:rPr>
          <w:spacing w:val="-20"/>
        </w:rPr>
        <w:t> 项，结题 </w:t>
      </w:r>
      <w:r>
        <w:rPr/>
        <w:t>2</w:t>
      </w:r>
      <w:r>
        <w:rPr>
          <w:spacing w:val="-12"/>
        </w:rPr>
        <w:t> 项，获濮阳市科技进步二等奖 </w:t>
      </w:r>
      <w:r>
        <w:rPr>
          <w:spacing w:val="-16"/>
        </w:rPr>
        <w:t>2 </w:t>
      </w:r>
      <w:r>
        <w:rPr/>
        <w:t>项，在国家及省级专业杂志上发表论文多篇。</w:t>
      </w:r>
    </w:p>
    <w:p>
      <w:pPr>
        <w:pStyle w:val="BodyText"/>
        <w:spacing w:line="307" w:lineRule="exact"/>
        <w:ind w:left="657"/>
      </w:pPr>
      <w:r>
        <w:rPr/>
        <w:t>科室多次被评为濮阳市“药品不良反应监测工作先进单位”、药政管理先进单位；荣获</w:t>
      </w:r>
    </w:p>
    <w:p>
      <w:pPr>
        <w:pStyle w:val="BodyText"/>
        <w:spacing w:line="312" w:lineRule="auto" w:before="93"/>
        <w:ind w:right="347"/>
      </w:pPr>
      <w:r>
        <w:rPr/>
        <w:t>2015</w:t>
      </w:r>
      <w:r>
        <w:rPr>
          <w:spacing w:val="-9"/>
        </w:rPr>
        <w:t> 年度河南省药学会优秀药师，河南省优秀执业药师，濮阳市药品不良反应先进个人， </w:t>
      </w:r>
      <w:r>
        <w:rPr/>
        <w:t>濮阳市药政管理工作先进个人，多次被医院评为优秀共产党员、十佳医生、岗位明星。</w:t>
      </w:r>
    </w:p>
    <w:p>
      <w:pPr>
        <w:pStyle w:val="BodyText"/>
        <w:spacing w:line="312" w:lineRule="auto"/>
        <w:ind w:right="267" w:firstLine="420"/>
        <w:jc w:val="both"/>
      </w:pPr>
      <w:r>
        <w:rPr>
          <w:spacing w:val="-4"/>
        </w:rPr>
        <w:t>兼任河南省药学会理事、静脉用药安全调配专业委员会副主任委员、医院药学专业委员</w:t>
      </w:r>
      <w:r>
        <w:rPr>
          <w:spacing w:val="-11"/>
        </w:rPr>
        <w:t>会委员，河南省医学会临床药学分会第二届委员会常务委员，河南省医药科学普及学会药学</w:t>
      </w:r>
      <w:r>
        <w:rPr>
          <w:spacing w:val="-9"/>
        </w:rPr>
        <w:t>专业委员会常务委员，河南省抗癌协会肿瘤药物临床研究专业委员会委员，濮阳市医疗事故</w:t>
      </w:r>
      <w:r>
        <w:rPr/>
        <w:t>技术鉴定委员会委员，河南省静脉用药调配中心验收专家组成员。</w:t>
      </w:r>
    </w:p>
    <w:p>
      <w:pPr>
        <w:pStyle w:val="BodyText"/>
        <w:spacing w:before="2"/>
        <w:ind w:left="0"/>
        <w:rPr>
          <w:sz w:val="17"/>
        </w:rPr>
      </w:pPr>
    </w:p>
    <w:p>
      <w:pPr>
        <w:pStyle w:val="Heading2"/>
        <w:ind w:left="2735"/>
      </w:pPr>
      <w:bookmarkStart w:name="_TOC_250000" w:id="47"/>
      <w:bookmarkEnd w:id="47"/>
      <w:r>
        <w:rPr>
          <w:w w:val="95"/>
        </w:rPr>
        <w:t>郑州市第七人民医院——杨玉玲</w:t>
      </w:r>
    </w:p>
    <w:p>
      <w:pPr>
        <w:pStyle w:val="Heading4"/>
        <w:spacing w:before="63"/>
        <w:ind w:left="887"/>
        <w:rPr>
          <w:rFonts w:ascii="楷体" w:eastAsia="楷体" w:hint="eastAsia"/>
        </w:rPr>
      </w:pPr>
      <w:r>
        <w:rPr>
          <w:rFonts w:ascii="楷体" w:eastAsia="楷体" w:hint="eastAsia"/>
        </w:rPr>
        <w:t>励志寄语：踏踏实实做人，兢兢业业做事，在平凡岗位上创造不平凡的感动。</w:t>
      </w:r>
    </w:p>
    <w:p>
      <w:pPr>
        <w:pStyle w:val="BodyText"/>
        <w:spacing w:line="312" w:lineRule="auto" w:before="94"/>
        <w:ind w:right="147" w:firstLine="420"/>
      </w:pPr>
      <w:r>
        <w:rPr>
          <w:spacing w:val="-2"/>
        </w:rPr>
        <w:t>杨玉玲，现任郑州市第七人民医院药学部主任，副主任药师，从事药学工作 </w:t>
      </w:r>
      <w:r>
        <w:rPr/>
        <w:t>28</w:t>
      </w:r>
      <w:r>
        <w:rPr>
          <w:spacing w:val="-15"/>
        </w:rPr>
        <w:t> 年。曾在药品调剂、临床药学、药事管理等岗位工作，擅长药事管理、抗菌药物应用管理等。具有</w:t>
      </w:r>
      <w:r>
        <w:rPr>
          <w:spacing w:val="-20"/>
        </w:rPr>
        <w:t>较强的沟通能力，专业知识扎实，技术全面，带领全科同志发扬吃苦耐劳、开拓创新的精神， </w:t>
      </w:r>
      <w:r>
        <w:rPr/>
        <w:t>认真落实院科两级负责制，为医院取得良好的社会效益和经济效益。</w:t>
      </w:r>
    </w:p>
    <w:p>
      <w:pPr>
        <w:pStyle w:val="BodyText"/>
        <w:spacing w:line="312" w:lineRule="auto"/>
        <w:ind w:right="150" w:firstLine="420"/>
      </w:pPr>
      <w:r>
        <w:rPr>
          <w:spacing w:val="-5"/>
        </w:rPr>
        <w:t>积极开展临床药学工作，坚持选派药师外出参加临床药师培训，目前已有 </w:t>
      </w:r>
      <w:r>
        <w:rPr/>
        <w:t>6</w:t>
      </w:r>
      <w:r>
        <w:rPr>
          <w:spacing w:val="-10"/>
        </w:rPr>
        <w:t> 名药师取得</w:t>
      </w:r>
      <w:r>
        <w:rPr>
          <w:spacing w:val="-14"/>
        </w:rPr>
        <w:t>临床药师资格证书、两名取得临床药师师资证书。涉及专业有抗感染、抗免疫、抗肿瘤、抗</w:t>
      </w:r>
      <w:r>
        <w:rPr>
          <w:spacing w:val="-18"/>
        </w:rPr>
        <w:t>凝，参与驻科呼吸内科、肿瘤血液科、心内科、重症监护室、肾移植肾内科等疑难病例讨论， </w:t>
      </w:r>
      <w:r>
        <w:rPr/>
        <w:t>观察治疗后的效果及不良反应，及时向临床医师提供安全用药信息，保障患者用药安全。</w:t>
      </w:r>
    </w:p>
    <w:p>
      <w:pPr>
        <w:pStyle w:val="BodyText"/>
        <w:spacing w:line="312" w:lineRule="auto" w:before="2"/>
        <w:ind w:right="269" w:firstLine="420"/>
        <w:jc w:val="both"/>
      </w:pPr>
      <w:r>
        <w:rPr/>
        <w:t>坚持不良反应监测工作，较早获得国家不良反应监测中心授予的 “国家不良反应监测</w:t>
      </w:r>
      <w:r>
        <w:rPr>
          <w:spacing w:val="-8"/>
        </w:rPr>
        <w:t>哨点单位”，目前中国医院药物警戒系统</w:t>
      </w:r>
      <w:r>
        <w:rPr>
          <w:spacing w:val="-4"/>
        </w:rPr>
        <w:t>（CHPS）在医院正常运行，进一步提高了药械不良</w:t>
      </w:r>
      <w:r>
        <w:rPr/>
        <w:t>反应/事件监测工作能力和开展药品重点监测及再评价能力；积极组织青年药师参加河南省药学会举办的药师职业技能大赛，并多次取得较好成绩。</w:t>
      </w:r>
    </w:p>
    <w:p>
      <w:pPr>
        <w:spacing w:after="0" w:line="312" w:lineRule="auto"/>
        <w:jc w:val="both"/>
        <w:sectPr>
          <w:pgSz w:w="11910" w:h="16850"/>
          <w:pgMar w:header="906" w:footer="607" w:top="1100" w:bottom="800" w:left="1040" w:right="860"/>
        </w:sectPr>
      </w:pPr>
    </w:p>
    <w:p>
      <w:pPr>
        <w:pStyle w:val="BodyText"/>
        <w:spacing w:line="312" w:lineRule="auto" w:before="79"/>
        <w:ind w:right="266" w:firstLine="420"/>
        <w:jc w:val="both"/>
      </w:pPr>
      <w:r>
        <w:rPr>
          <w:spacing w:val="-4"/>
        </w:rPr>
        <w:t>在国家级学术期刊上发表学术论文 </w:t>
      </w:r>
      <w:r>
        <w:rPr/>
        <w:t>20</w:t>
      </w:r>
      <w:r>
        <w:rPr>
          <w:spacing w:val="-26"/>
        </w:rPr>
        <w:t> 余篇，专著 </w:t>
      </w:r>
      <w:r>
        <w:rPr/>
        <w:t>1</w:t>
      </w:r>
      <w:r>
        <w:rPr>
          <w:spacing w:val="-15"/>
        </w:rPr>
        <w:t> 部。获得郑州市科技进步奖二等奖 1 </w:t>
      </w:r>
      <w:r>
        <w:rPr/>
        <w:t>项。</w:t>
      </w:r>
    </w:p>
    <w:p>
      <w:pPr>
        <w:pStyle w:val="BodyText"/>
        <w:spacing w:line="312" w:lineRule="auto"/>
        <w:ind w:right="268" w:firstLine="420"/>
        <w:jc w:val="both"/>
      </w:pPr>
      <w:r>
        <w:rPr>
          <w:spacing w:val="-4"/>
        </w:rPr>
        <w:t>近几年连续获得郑州市卫计委药政工作先进个人，郑州市“两品一械”监测工作先进单</w:t>
      </w:r>
      <w:r>
        <w:rPr>
          <w:spacing w:val="-12"/>
        </w:rPr>
        <w:t>位和个人。荣获 </w:t>
      </w:r>
      <w:r>
        <w:rPr/>
        <w:t>2016</w:t>
      </w:r>
      <w:r>
        <w:rPr>
          <w:spacing w:val="-9"/>
        </w:rPr>
        <w:t> 年中国药学会全国医药经济信息网信息工作先进个人。</w:t>
      </w:r>
      <w:r>
        <w:rPr/>
        <w:t>2017</w:t>
      </w:r>
      <w:r>
        <w:rPr>
          <w:spacing w:val="-15"/>
        </w:rPr>
        <w:t> 年获得全</w:t>
      </w:r>
      <w:r>
        <w:rPr>
          <w:spacing w:val="-6"/>
        </w:rPr>
        <w:t>市首届基本药物合理应用技能竞赛组织工作先进个人。获得河南省临床药学质控中心授予的</w:t>
      </w:r>
    </w:p>
    <w:p>
      <w:pPr>
        <w:pStyle w:val="BodyText"/>
        <w:spacing w:before="1"/>
      </w:pPr>
      <w:r>
        <w:rPr/>
        <w:t>“数据上报优秀单位奖”、“评价委员会优秀评价奖”。</w:t>
      </w:r>
    </w:p>
    <w:p>
      <w:pPr>
        <w:pStyle w:val="BodyText"/>
        <w:spacing w:line="312" w:lineRule="auto" w:before="93"/>
        <w:ind w:right="147" w:firstLine="420"/>
      </w:pPr>
      <w:r>
        <w:rPr>
          <w:spacing w:val="-2"/>
        </w:rPr>
        <w:t>兼任河南省药学会药学信息化专业委员会常务委员，河南省医院协会药事管理专业委员</w:t>
      </w:r>
      <w:r>
        <w:rPr>
          <w:spacing w:val="-17"/>
        </w:rPr>
        <w:t>会委员，郑州市医学会医院药学专业委员会委员，郑州市医院协会药事管理专业委员会委员。</w:t>
      </w:r>
    </w:p>
    <w:p>
      <w:pPr>
        <w:pStyle w:val="Heading4"/>
        <w:spacing w:line="364" w:lineRule="exact"/>
        <w:ind w:left="717"/>
        <w:rPr>
          <w:rFonts w:ascii="华文楷体" w:eastAsia="华文楷体" w:hint="eastAsia"/>
        </w:rPr>
      </w:pPr>
      <w:r>
        <w:rPr>
          <w:rFonts w:ascii="华文楷体" w:eastAsia="华文楷体" w:hint="eastAsia"/>
          <w:color w:val="006FC0"/>
        </w:rPr>
        <w:t>以上药师荣获 2018 年中国药学会优秀药师</w:t>
      </w:r>
    </w:p>
    <w:sectPr>
      <w:pgSz w:w="11910" w:h="16850"/>
      <w:pgMar w:header="906" w:footer="607" w:top="1100" w:bottom="800" w:left="10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楷体">
    <w:altName w:val="华文楷体"/>
    <w:charset w:val="86"/>
    <w:family w:val="auto"/>
    <w:pitch w:val="variable"/>
  </w:font>
  <w:font w:name="黑体">
    <w:altName w:val="黑体"/>
    <w:charset w:val="86"/>
    <w:family w:val="modern"/>
    <w:pitch w:val="fixed"/>
  </w:font>
  <w:font w:name="等线">
    <w:altName w:val="等线"/>
    <w:charset w:val="86"/>
    <w:family w:val="auto"/>
    <w:pitch w:val="variable"/>
  </w:font>
  <w:font w:name="隶书">
    <w:altName w:val="隶书"/>
    <w:charset w:val="86"/>
    <w:family w:val="modern"/>
    <w:pitch w:val="fixed"/>
  </w:font>
  <w:font w:name="Microsoft JhengHei">
    <w:altName w:val="Microsoft JhengHei"/>
    <w:charset w:val="0"/>
    <w:family w:val="swiss"/>
    <w:pitch w:val="variable"/>
  </w:font>
  <w:font w:name="Calibri">
    <w:altName w:val="Calibri"/>
    <w:charset w:val="0"/>
    <w:family w:val="swiss"/>
    <w:pitch w:val="variable"/>
  </w:font>
  <w:font w:name="宋体">
    <w:altName w:val="宋体"/>
    <w:charset w:val="86"/>
    <w:family w:val="auto"/>
    <w:pitch w:val="variable"/>
  </w:font>
  <w:font w:name="楷体">
    <w:altName w:val="楷体"/>
    <w:charset w:val="86"/>
    <w:family w:val="modern"/>
    <w:pitch w:val="fixed"/>
  </w:font>
  <w:font w:name="华文宋体">
    <w:altName w:val="华文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970001pt;margin-top:789.769958pt;width:8.6pt;height:11pt;mso-position-horizontal-relative:page;mso-position-vertical-relative:page;z-index:-8416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841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8408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840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84136"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84064" from="62.400002pt,54.959976pt" to="540.220002pt,54.959976pt" stroked="true" strokeweight=".72pt" strokecolor="#000000">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84016"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37" w:hanging="36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216" w:hanging="361"/>
      </w:pPr>
      <w:rPr>
        <w:rFonts w:hint="default"/>
        <w:lang w:val="zh-cn" w:eastAsia="zh-cn" w:bidi="zh-cn"/>
      </w:rPr>
    </w:lvl>
    <w:lvl w:ilvl="2">
      <w:start w:val="0"/>
      <w:numFmt w:val="bullet"/>
      <w:lvlText w:val="•"/>
      <w:lvlJc w:val="left"/>
      <w:pPr>
        <w:ind w:left="2193" w:hanging="361"/>
      </w:pPr>
      <w:rPr>
        <w:rFonts w:hint="default"/>
        <w:lang w:val="zh-cn" w:eastAsia="zh-cn" w:bidi="zh-cn"/>
      </w:rPr>
    </w:lvl>
    <w:lvl w:ilvl="3">
      <w:start w:val="0"/>
      <w:numFmt w:val="bullet"/>
      <w:lvlText w:val="•"/>
      <w:lvlJc w:val="left"/>
      <w:pPr>
        <w:ind w:left="3169" w:hanging="361"/>
      </w:pPr>
      <w:rPr>
        <w:rFonts w:hint="default"/>
        <w:lang w:val="zh-cn" w:eastAsia="zh-cn" w:bidi="zh-cn"/>
      </w:rPr>
    </w:lvl>
    <w:lvl w:ilvl="4">
      <w:start w:val="0"/>
      <w:numFmt w:val="bullet"/>
      <w:lvlText w:val="•"/>
      <w:lvlJc w:val="left"/>
      <w:pPr>
        <w:ind w:left="4146" w:hanging="361"/>
      </w:pPr>
      <w:rPr>
        <w:rFonts w:hint="default"/>
        <w:lang w:val="zh-cn" w:eastAsia="zh-cn" w:bidi="zh-cn"/>
      </w:rPr>
    </w:lvl>
    <w:lvl w:ilvl="5">
      <w:start w:val="0"/>
      <w:numFmt w:val="bullet"/>
      <w:lvlText w:val="•"/>
      <w:lvlJc w:val="left"/>
      <w:pPr>
        <w:ind w:left="5123" w:hanging="361"/>
      </w:pPr>
      <w:rPr>
        <w:rFonts w:hint="default"/>
        <w:lang w:val="zh-cn" w:eastAsia="zh-cn" w:bidi="zh-cn"/>
      </w:rPr>
    </w:lvl>
    <w:lvl w:ilvl="6">
      <w:start w:val="0"/>
      <w:numFmt w:val="bullet"/>
      <w:lvlText w:val="•"/>
      <w:lvlJc w:val="left"/>
      <w:pPr>
        <w:ind w:left="6099" w:hanging="361"/>
      </w:pPr>
      <w:rPr>
        <w:rFonts w:hint="default"/>
        <w:lang w:val="zh-cn" w:eastAsia="zh-cn" w:bidi="zh-cn"/>
      </w:rPr>
    </w:lvl>
    <w:lvl w:ilvl="7">
      <w:start w:val="0"/>
      <w:numFmt w:val="bullet"/>
      <w:lvlText w:val="•"/>
      <w:lvlJc w:val="left"/>
      <w:pPr>
        <w:ind w:left="7076" w:hanging="361"/>
      </w:pPr>
      <w:rPr>
        <w:rFonts w:hint="default"/>
        <w:lang w:val="zh-cn" w:eastAsia="zh-cn" w:bidi="zh-cn"/>
      </w:rPr>
    </w:lvl>
    <w:lvl w:ilvl="8">
      <w:start w:val="0"/>
      <w:numFmt w:val="bullet"/>
      <w:lvlText w:val="•"/>
      <w:lvlJc w:val="left"/>
      <w:pPr>
        <w:ind w:left="8053" w:hanging="361"/>
      </w:pPr>
      <w:rPr>
        <w:rFonts w:hint="default"/>
        <w:lang w:val="zh-cn" w:eastAsia="zh-cn" w:bidi="zh-cn"/>
      </w:rPr>
    </w:lvl>
  </w:abstractNum>
  <w:abstractNum w:abstractNumId="20">
    <w:multiLevelType w:val="hybridMultilevel"/>
    <w:lvl w:ilvl="0">
      <w:start w:val="1"/>
      <w:numFmt w:val="decimal"/>
      <w:lvlText w:val="%1."/>
      <w:lvlJc w:val="left"/>
      <w:pPr>
        <w:ind w:left="963" w:hanging="244"/>
        <w:jc w:val="left"/>
      </w:pPr>
      <w:rPr>
        <w:rFonts w:hint="default" w:ascii="宋体" w:hAnsi="宋体" w:eastAsia="宋体" w:cs="宋体"/>
        <w:b/>
        <w:bCs/>
        <w:spacing w:val="-1"/>
        <w:w w:val="99"/>
        <w:sz w:val="22"/>
        <w:szCs w:val="22"/>
        <w:lang w:val="zh-cn" w:eastAsia="zh-cn" w:bidi="zh-cn"/>
      </w:rPr>
    </w:lvl>
    <w:lvl w:ilvl="1">
      <w:start w:val="1"/>
      <w:numFmt w:val="decimal"/>
      <w:lvlText w:val="%1.%2"/>
      <w:lvlJc w:val="left"/>
      <w:pPr>
        <w:ind w:left="237" w:hanging="420"/>
        <w:jc w:val="left"/>
      </w:pPr>
      <w:rPr>
        <w:rFonts w:hint="default" w:ascii="宋体" w:hAnsi="宋体" w:eastAsia="宋体" w:cs="宋体"/>
        <w:w w:val="100"/>
        <w:sz w:val="24"/>
        <w:szCs w:val="24"/>
        <w:lang w:val="zh-cn" w:eastAsia="zh-cn" w:bidi="zh-cn"/>
      </w:rPr>
    </w:lvl>
    <w:lvl w:ilvl="2">
      <w:start w:val="0"/>
      <w:numFmt w:val="bullet"/>
      <w:lvlText w:val="•"/>
      <w:lvlJc w:val="left"/>
      <w:pPr>
        <w:ind w:left="1965" w:hanging="420"/>
      </w:pPr>
      <w:rPr>
        <w:rFonts w:hint="default"/>
        <w:lang w:val="zh-cn" w:eastAsia="zh-cn" w:bidi="zh-cn"/>
      </w:rPr>
    </w:lvl>
    <w:lvl w:ilvl="3">
      <w:start w:val="0"/>
      <w:numFmt w:val="bullet"/>
      <w:lvlText w:val="•"/>
      <w:lvlJc w:val="left"/>
      <w:pPr>
        <w:ind w:left="2970" w:hanging="420"/>
      </w:pPr>
      <w:rPr>
        <w:rFonts w:hint="default"/>
        <w:lang w:val="zh-cn" w:eastAsia="zh-cn" w:bidi="zh-cn"/>
      </w:rPr>
    </w:lvl>
    <w:lvl w:ilvl="4">
      <w:start w:val="0"/>
      <w:numFmt w:val="bullet"/>
      <w:lvlText w:val="•"/>
      <w:lvlJc w:val="left"/>
      <w:pPr>
        <w:ind w:left="3975" w:hanging="420"/>
      </w:pPr>
      <w:rPr>
        <w:rFonts w:hint="default"/>
        <w:lang w:val="zh-cn" w:eastAsia="zh-cn" w:bidi="zh-cn"/>
      </w:rPr>
    </w:lvl>
    <w:lvl w:ilvl="5">
      <w:start w:val="0"/>
      <w:numFmt w:val="bullet"/>
      <w:lvlText w:val="•"/>
      <w:lvlJc w:val="left"/>
      <w:pPr>
        <w:ind w:left="4980" w:hanging="420"/>
      </w:pPr>
      <w:rPr>
        <w:rFonts w:hint="default"/>
        <w:lang w:val="zh-cn" w:eastAsia="zh-cn" w:bidi="zh-cn"/>
      </w:rPr>
    </w:lvl>
    <w:lvl w:ilvl="6">
      <w:start w:val="0"/>
      <w:numFmt w:val="bullet"/>
      <w:lvlText w:val="•"/>
      <w:lvlJc w:val="left"/>
      <w:pPr>
        <w:ind w:left="5985" w:hanging="420"/>
      </w:pPr>
      <w:rPr>
        <w:rFonts w:hint="default"/>
        <w:lang w:val="zh-cn" w:eastAsia="zh-cn" w:bidi="zh-cn"/>
      </w:rPr>
    </w:lvl>
    <w:lvl w:ilvl="7">
      <w:start w:val="0"/>
      <w:numFmt w:val="bullet"/>
      <w:lvlText w:val="•"/>
      <w:lvlJc w:val="left"/>
      <w:pPr>
        <w:ind w:left="6990" w:hanging="420"/>
      </w:pPr>
      <w:rPr>
        <w:rFonts w:hint="default"/>
        <w:lang w:val="zh-cn" w:eastAsia="zh-cn" w:bidi="zh-cn"/>
      </w:rPr>
    </w:lvl>
    <w:lvl w:ilvl="8">
      <w:start w:val="0"/>
      <w:numFmt w:val="bullet"/>
      <w:lvlText w:val="•"/>
      <w:lvlJc w:val="left"/>
      <w:pPr>
        <w:ind w:left="7996" w:hanging="420"/>
      </w:pPr>
      <w:rPr>
        <w:rFonts w:hint="default"/>
        <w:lang w:val="zh-cn" w:eastAsia="zh-cn" w:bidi="zh-cn"/>
      </w:rPr>
    </w:lvl>
  </w:abstractNum>
  <w:abstractNum w:abstractNumId="19">
    <w:multiLevelType w:val="hybridMultilevel"/>
    <w:lvl w:ilvl="0">
      <w:start w:val="1"/>
      <w:numFmt w:val="decimal"/>
      <w:lvlText w:val="%1."/>
      <w:lvlJc w:val="left"/>
      <w:pPr>
        <w:ind w:left="237" w:hanging="36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216" w:hanging="361"/>
      </w:pPr>
      <w:rPr>
        <w:rFonts w:hint="default"/>
        <w:lang w:val="zh-cn" w:eastAsia="zh-cn" w:bidi="zh-cn"/>
      </w:rPr>
    </w:lvl>
    <w:lvl w:ilvl="2">
      <w:start w:val="0"/>
      <w:numFmt w:val="bullet"/>
      <w:lvlText w:val="•"/>
      <w:lvlJc w:val="left"/>
      <w:pPr>
        <w:ind w:left="2193" w:hanging="361"/>
      </w:pPr>
      <w:rPr>
        <w:rFonts w:hint="default"/>
        <w:lang w:val="zh-cn" w:eastAsia="zh-cn" w:bidi="zh-cn"/>
      </w:rPr>
    </w:lvl>
    <w:lvl w:ilvl="3">
      <w:start w:val="0"/>
      <w:numFmt w:val="bullet"/>
      <w:lvlText w:val="•"/>
      <w:lvlJc w:val="left"/>
      <w:pPr>
        <w:ind w:left="3169" w:hanging="361"/>
      </w:pPr>
      <w:rPr>
        <w:rFonts w:hint="default"/>
        <w:lang w:val="zh-cn" w:eastAsia="zh-cn" w:bidi="zh-cn"/>
      </w:rPr>
    </w:lvl>
    <w:lvl w:ilvl="4">
      <w:start w:val="0"/>
      <w:numFmt w:val="bullet"/>
      <w:lvlText w:val="•"/>
      <w:lvlJc w:val="left"/>
      <w:pPr>
        <w:ind w:left="4146" w:hanging="361"/>
      </w:pPr>
      <w:rPr>
        <w:rFonts w:hint="default"/>
        <w:lang w:val="zh-cn" w:eastAsia="zh-cn" w:bidi="zh-cn"/>
      </w:rPr>
    </w:lvl>
    <w:lvl w:ilvl="5">
      <w:start w:val="0"/>
      <w:numFmt w:val="bullet"/>
      <w:lvlText w:val="•"/>
      <w:lvlJc w:val="left"/>
      <w:pPr>
        <w:ind w:left="5123" w:hanging="361"/>
      </w:pPr>
      <w:rPr>
        <w:rFonts w:hint="default"/>
        <w:lang w:val="zh-cn" w:eastAsia="zh-cn" w:bidi="zh-cn"/>
      </w:rPr>
    </w:lvl>
    <w:lvl w:ilvl="6">
      <w:start w:val="0"/>
      <w:numFmt w:val="bullet"/>
      <w:lvlText w:val="•"/>
      <w:lvlJc w:val="left"/>
      <w:pPr>
        <w:ind w:left="6099" w:hanging="361"/>
      </w:pPr>
      <w:rPr>
        <w:rFonts w:hint="default"/>
        <w:lang w:val="zh-cn" w:eastAsia="zh-cn" w:bidi="zh-cn"/>
      </w:rPr>
    </w:lvl>
    <w:lvl w:ilvl="7">
      <w:start w:val="0"/>
      <w:numFmt w:val="bullet"/>
      <w:lvlText w:val="•"/>
      <w:lvlJc w:val="left"/>
      <w:pPr>
        <w:ind w:left="7076" w:hanging="361"/>
      </w:pPr>
      <w:rPr>
        <w:rFonts w:hint="default"/>
        <w:lang w:val="zh-cn" w:eastAsia="zh-cn" w:bidi="zh-cn"/>
      </w:rPr>
    </w:lvl>
    <w:lvl w:ilvl="8">
      <w:start w:val="0"/>
      <w:numFmt w:val="bullet"/>
      <w:lvlText w:val="•"/>
      <w:lvlJc w:val="left"/>
      <w:pPr>
        <w:ind w:left="8053" w:hanging="361"/>
      </w:pPr>
      <w:rPr>
        <w:rFonts w:hint="default"/>
        <w:lang w:val="zh-cn" w:eastAsia="zh-cn" w:bidi="zh-cn"/>
      </w:rPr>
    </w:lvl>
  </w:abstractNum>
  <w:abstractNum w:abstractNumId="18">
    <w:multiLevelType w:val="hybridMultilevel"/>
    <w:lvl w:ilvl="0">
      <w:start w:val="1"/>
      <w:numFmt w:val="decimal"/>
      <w:lvlText w:val="（%1）"/>
      <w:lvlJc w:val="left"/>
      <w:pPr>
        <w:ind w:left="1318"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188" w:hanging="601"/>
      </w:pPr>
      <w:rPr>
        <w:rFonts w:hint="default"/>
        <w:lang w:val="zh-cn" w:eastAsia="zh-cn" w:bidi="zh-cn"/>
      </w:rPr>
    </w:lvl>
    <w:lvl w:ilvl="2">
      <w:start w:val="0"/>
      <w:numFmt w:val="bullet"/>
      <w:lvlText w:val="•"/>
      <w:lvlJc w:val="left"/>
      <w:pPr>
        <w:ind w:left="3057" w:hanging="601"/>
      </w:pPr>
      <w:rPr>
        <w:rFonts w:hint="default"/>
        <w:lang w:val="zh-cn" w:eastAsia="zh-cn" w:bidi="zh-cn"/>
      </w:rPr>
    </w:lvl>
    <w:lvl w:ilvl="3">
      <w:start w:val="0"/>
      <w:numFmt w:val="bullet"/>
      <w:lvlText w:val="•"/>
      <w:lvlJc w:val="left"/>
      <w:pPr>
        <w:ind w:left="3925" w:hanging="601"/>
      </w:pPr>
      <w:rPr>
        <w:rFonts w:hint="default"/>
        <w:lang w:val="zh-cn" w:eastAsia="zh-cn" w:bidi="zh-cn"/>
      </w:rPr>
    </w:lvl>
    <w:lvl w:ilvl="4">
      <w:start w:val="0"/>
      <w:numFmt w:val="bullet"/>
      <w:lvlText w:val="•"/>
      <w:lvlJc w:val="left"/>
      <w:pPr>
        <w:ind w:left="4794" w:hanging="601"/>
      </w:pPr>
      <w:rPr>
        <w:rFonts w:hint="default"/>
        <w:lang w:val="zh-cn" w:eastAsia="zh-cn" w:bidi="zh-cn"/>
      </w:rPr>
    </w:lvl>
    <w:lvl w:ilvl="5">
      <w:start w:val="0"/>
      <w:numFmt w:val="bullet"/>
      <w:lvlText w:val="•"/>
      <w:lvlJc w:val="left"/>
      <w:pPr>
        <w:ind w:left="5663" w:hanging="601"/>
      </w:pPr>
      <w:rPr>
        <w:rFonts w:hint="default"/>
        <w:lang w:val="zh-cn" w:eastAsia="zh-cn" w:bidi="zh-cn"/>
      </w:rPr>
    </w:lvl>
    <w:lvl w:ilvl="6">
      <w:start w:val="0"/>
      <w:numFmt w:val="bullet"/>
      <w:lvlText w:val="•"/>
      <w:lvlJc w:val="left"/>
      <w:pPr>
        <w:ind w:left="6531" w:hanging="601"/>
      </w:pPr>
      <w:rPr>
        <w:rFonts w:hint="default"/>
        <w:lang w:val="zh-cn" w:eastAsia="zh-cn" w:bidi="zh-cn"/>
      </w:rPr>
    </w:lvl>
    <w:lvl w:ilvl="7">
      <w:start w:val="0"/>
      <w:numFmt w:val="bullet"/>
      <w:lvlText w:val="•"/>
      <w:lvlJc w:val="left"/>
      <w:pPr>
        <w:ind w:left="7400" w:hanging="601"/>
      </w:pPr>
      <w:rPr>
        <w:rFonts w:hint="default"/>
        <w:lang w:val="zh-cn" w:eastAsia="zh-cn" w:bidi="zh-cn"/>
      </w:rPr>
    </w:lvl>
    <w:lvl w:ilvl="8">
      <w:start w:val="0"/>
      <w:numFmt w:val="bullet"/>
      <w:lvlText w:val="•"/>
      <w:lvlJc w:val="left"/>
      <w:pPr>
        <w:ind w:left="8269" w:hanging="601"/>
      </w:pPr>
      <w:rPr>
        <w:rFonts w:hint="default"/>
        <w:lang w:val="zh-cn" w:eastAsia="zh-cn" w:bidi="zh-cn"/>
      </w:rPr>
    </w:lvl>
  </w:abstractNum>
  <w:abstractNum w:abstractNumId="17">
    <w:multiLevelType w:val="hybridMultilevel"/>
    <w:lvl w:ilvl="0">
      <w:start w:val="1"/>
      <w:numFmt w:val="decimal"/>
      <w:lvlText w:val="（%1）"/>
      <w:lvlJc w:val="left"/>
      <w:pPr>
        <w:ind w:left="1318"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188" w:hanging="601"/>
      </w:pPr>
      <w:rPr>
        <w:rFonts w:hint="default"/>
        <w:lang w:val="zh-cn" w:eastAsia="zh-cn" w:bidi="zh-cn"/>
      </w:rPr>
    </w:lvl>
    <w:lvl w:ilvl="2">
      <w:start w:val="0"/>
      <w:numFmt w:val="bullet"/>
      <w:lvlText w:val="•"/>
      <w:lvlJc w:val="left"/>
      <w:pPr>
        <w:ind w:left="3057" w:hanging="601"/>
      </w:pPr>
      <w:rPr>
        <w:rFonts w:hint="default"/>
        <w:lang w:val="zh-cn" w:eastAsia="zh-cn" w:bidi="zh-cn"/>
      </w:rPr>
    </w:lvl>
    <w:lvl w:ilvl="3">
      <w:start w:val="0"/>
      <w:numFmt w:val="bullet"/>
      <w:lvlText w:val="•"/>
      <w:lvlJc w:val="left"/>
      <w:pPr>
        <w:ind w:left="3925" w:hanging="601"/>
      </w:pPr>
      <w:rPr>
        <w:rFonts w:hint="default"/>
        <w:lang w:val="zh-cn" w:eastAsia="zh-cn" w:bidi="zh-cn"/>
      </w:rPr>
    </w:lvl>
    <w:lvl w:ilvl="4">
      <w:start w:val="0"/>
      <w:numFmt w:val="bullet"/>
      <w:lvlText w:val="•"/>
      <w:lvlJc w:val="left"/>
      <w:pPr>
        <w:ind w:left="4794" w:hanging="601"/>
      </w:pPr>
      <w:rPr>
        <w:rFonts w:hint="default"/>
        <w:lang w:val="zh-cn" w:eastAsia="zh-cn" w:bidi="zh-cn"/>
      </w:rPr>
    </w:lvl>
    <w:lvl w:ilvl="5">
      <w:start w:val="0"/>
      <w:numFmt w:val="bullet"/>
      <w:lvlText w:val="•"/>
      <w:lvlJc w:val="left"/>
      <w:pPr>
        <w:ind w:left="5663" w:hanging="601"/>
      </w:pPr>
      <w:rPr>
        <w:rFonts w:hint="default"/>
        <w:lang w:val="zh-cn" w:eastAsia="zh-cn" w:bidi="zh-cn"/>
      </w:rPr>
    </w:lvl>
    <w:lvl w:ilvl="6">
      <w:start w:val="0"/>
      <w:numFmt w:val="bullet"/>
      <w:lvlText w:val="•"/>
      <w:lvlJc w:val="left"/>
      <w:pPr>
        <w:ind w:left="6531" w:hanging="601"/>
      </w:pPr>
      <w:rPr>
        <w:rFonts w:hint="default"/>
        <w:lang w:val="zh-cn" w:eastAsia="zh-cn" w:bidi="zh-cn"/>
      </w:rPr>
    </w:lvl>
    <w:lvl w:ilvl="7">
      <w:start w:val="0"/>
      <w:numFmt w:val="bullet"/>
      <w:lvlText w:val="•"/>
      <w:lvlJc w:val="left"/>
      <w:pPr>
        <w:ind w:left="7400" w:hanging="601"/>
      </w:pPr>
      <w:rPr>
        <w:rFonts w:hint="default"/>
        <w:lang w:val="zh-cn" w:eastAsia="zh-cn" w:bidi="zh-cn"/>
      </w:rPr>
    </w:lvl>
    <w:lvl w:ilvl="8">
      <w:start w:val="0"/>
      <w:numFmt w:val="bullet"/>
      <w:lvlText w:val="•"/>
      <w:lvlJc w:val="left"/>
      <w:pPr>
        <w:ind w:left="8269" w:hanging="601"/>
      </w:pPr>
      <w:rPr>
        <w:rFonts w:hint="default"/>
        <w:lang w:val="zh-cn" w:eastAsia="zh-cn" w:bidi="zh-cn"/>
      </w:rPr>
    </w:lvl>
  </w:abstractNum>
  <w:abstractNum w:abstractNumId="16">
    <w:multiLevelType w:val="hybridMultilevel"/>
    <w:lvl w:ilvl="0">
      <w:start w:val="1"/>
      <w:numFmt w:val="decimal"/>
      <w:lvlText w:val="%1."/>
      <w:lvlJc w:val="left"/>
      <w:pPr>
        <w:ind w:left="95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69" w:hanging="241"/>
      </w:pPr>
      <w:rPr>
        <w:rFonts w:hint="default"/>
        <w:lang w:val="zh-cn" w:eastAsia="zh-cn" w:bidi="zh-cn"/>
      </w:rPr>
    </w:lvl>
    <w:lvl w:ilvl="3">
      <w:start w:val="0"/>
      <w:numFmt w:val="bullet"/>
      <w:lvlText w:val="•"/>
      <w:lvlJc w:val="left"/>
      <w:pPr>
        <w:ind w:left="3673" w:hanging="241"/>
      </w:pPr>
      <w:rPr>
        <w:rFonts w:hint="default"/>
        <w:lang w:val="zh-cn" w:eastAsia="zh-cn" w:bidi="zh-cn"/>
      </w:rPr>
    </w:lvl>
    <w:lvl w:ilvl="4">
      <w:start w:val="0"/>
      <w:numFmt w:val="bullet"/>
      <w:lvlText w:val="•"/>
      <w:lvlJc w:val="left"/>
      <w:pPr>
        <w:ind w:left="4578" w:hanging="241"/>
      </w:pPr>
      <w:rPr>
        <w:rFonts w:hint="default"/>
        <w:lang w:val="zh-cn" w:eastAsia="zh-cn" w:bidi="zh-cn"/>
      </w:rPr>
    </w:lvl>
    <w:lvl w:ilvl="5">
      <w:start w:val="0"/>
      <w:numFmt w:val="bullet"/>
      <w:lvlText w:val="•"/>
      <w:lvlJc w:val="left"/>
      <w:pPr>
        <w:ind w:left="5483" w:hanging="241"/>
      </w:pPr>
      <w:rPr>
        <w:rFonts w:hint="default"/>
        <w:lang w:val="zh-cn" w:eastAsia="zh-cn" w:bidi="zh-cn"/>
      </w:rPr>
    </w:lvl>
    <w:lvl w:ilvl="6">
      <w:start w:val="0"/>
      <w:numFmt w:val="bullet"/>
      <w:lvlText w:val="•"/>
      <w:lvlJc w:val="left"/>
      <w:pPr>
        <w:ind w:left="6387" w:hanging="241"/>
      </w:pPr>
      <w:rPr>
        <w:rFonts w:hint="default"/>
        <w:lang w:val="zh-cn" w:eastAsia="zh-cn" w:bidi="zh-cn"/>
      </w:rPr>
    </w:lvl>
    <w:lvl w:ilvl="7">
      <w:start w:val="0"/>
      <w:numFmt w:val="bullet"/>
      <w:lvlText w:val="•"/>
      <w:lvlJc w:val="left"/>
      <w:pPr>
        <w:ind w:left="7292" w:hanging="241"/>
      </w:pPr>
      <w:rPr>
        <w:rFonts w:hint="default"/>
        <w:lang w:val="zh-cn" w:eastAsia="zh-cn" w:bidi="zh-cn"/>
      </w:rPr>
    </w:lvl>
    <w:lvl w:ilvl="8">
      <w:start w:val="0"/>
      <w:numFmt w:val="bullet"/>
      <w:lvlText w:val="•"/>
      <w:lvlJc w:val="left"/>
      <w:pPr>
        <w:ind w:left="8197" w:hanging="241"/>
      </w:pPr>
      <w:rPr>
        <w:rFonts w:hint="default"/>
        <w:lang w:val="zh-cn" w:eastAsia="zh-cn" w:bidi="zh-cn"/>
      </w:rPr>
    </w:lvl>
  </w:abstractNum>
  <w:abstractNum w:abstractNumId="15">
    <w:multiLevelType w:val="hybridMultilevel"/>
    <w:lvl w:ilvl="0">
      <w:start w:val="1"/>
      <w:numFmt w:val="decimal"/>
      <w:lvlText w:val="%1."/>
      <w:lvlJc w:val="left"/>
      <w:pPr>
        <w:ind w:left="237" w:hanging="241"/>
        <w:jc w:val="left"/>
      </w:pPr>
      <w:rPr>
        <w:rFonts w:hint="default" w:ascii="宋体" w:hAnsi="宋体" w:eastAsia="宋体" w:cs="宋体"/>
        <w:spacing w:val="-27"/>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193" w:hanging="241"/>
      </w:pPr>
      <w:rPr>
        <w:rFonts w:hint="default"/>
        <w:lang w:val="zh-cn" w:eastAsia="zh-cn" w:bidi="zh-cn"/>
      </w:rPr>
    </w:lvl>
    <w:lvl w:ilvl="3">
      <w:start w:val="0"/>
      <w:numFmt w:val="bullet"/>
      <w:lvlText w:val="•"/>
      <w:lvlJc w:val="left"/>
      <w:pPr>
        <w:ind w:left="3169" w:hanging="241"/>
      </w:pPr>
      <w:rPr>
        <w:rFonts w:hint="default"/>
        <w:lang w:val="zh-cn" w:eastAsia="zh-cn" w:bidi="zh-cn"/>
      </w:rPr>
    </w:lvl>
    <w:lvl w:ilvl="4">
      <w:start w:val="0"/>
      <w:numFmt w:val="bullet"/>
      <w:lvlText w:val="•"/>
      <w:lvlJc w:val="left"/>
      <w:pPr>
        <w:ind w:left="4146" w:hanging="241"/>
      </w:pPr>
      <w:rPr>
        <w:rFonts w:hint="default"/>
        <w:lang w:val="zh-cn" w:eastAsia="zh-cn" w:bidi="zh-cn"/>
      </w:rPr>
    </w:lvl>
    <w:lvl w:ilvl="5">
      <w:start w:val="0"/>
      <w:numFmt w:val="bullet"/>
      <w:lvlText w:val="•"/>
      <w:lvlJc w:val="left"/>
      <w:pPr>
        <w:ind w:left="5123" w:hanging="241"/>
      </w:pPr>
      <w:rPr>
        <w:rFonts w:hint="default"/>
        <w:lang w:val="zh-cn" w:eastAsia="zh-cn" w:bidi="zh-cn"/>
      </w:rPr>
    </w:lvl>
    <w:lvl w:ilvl="6">
      <w:start w:val="0"/>
      <w:numFmt w:val="bullet"/>
      <w:lvlText w:val="•"/>
      <w:lvlJc w:val="left"/>
      <w:pPr>
        <w:ind w:left="6099" w:hanging="241"/>
      </w:pPr>
      <w:rPr>
        <w:rFonts w:hint="default"/>
        <w:lang w:val="zh-cn" w:eastAsia="zh-cn" w:bidi="zh-cn"/>
      </w:rPr>
    </w:lvl>
    <w:lvl w:ilvl="7">
      <w:start w:val="0"/>
      <w:numFmt w:val="bullet"/>
      <w:lvlText w:val="•"/>
      <w:lvlJc w:val="left"/>
      <w:pPr>
        <w:ind w:left="7076" w:hanging="241"/>
      </w:pPr>
      <w:rPr>
        <w:rFonts w:hint="default"/>
        <w:lang w:val="zh-cn" w:eastAsia="zh-cn" w:bidi="zh-cn"/>
      </w:rPr>
    </w:lvl>
    <w:lvl w:ilvl="8">
      <w:start w:val="0"/>
      <w:numFmt w:val="bullet"/>
      <w:lvlText w:val="•"/>
      <w:lvlJc w:val="left"/>
      <w:pPr>
        <w:ind w:left="8053" w:hanging="241"/>
      </w:pPr>
      <w:rPr>
        <w:rFonts w:hint="default"/>
        <w:lang w:val="zh-cn" w:eastAsia="zh-cn" w:bidi="zh-cn"/>
      </w:rPr>
    </w:lvl>
  </w:abstractNum>
  <w:abstractNum w:abstractNumId="14">
    <w:multiLevelType w:val="hybridMultilevel"/>
    <w:lvl w:ilvl="0">
      <w:start w:val="1"/>
      <w:numFmt w:val="decimal"/>
      <w:lvlText w:val="%1."/>
      <w:lvlJc w:val="left"/>
      <w:pPr>
        <w:ind w:left="237"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193" w:hanging="241"/>
      </w:pPr>
      <w:rPr>
        <w:rFonts w:hint="default"/>
        <w:lang w:val="zh-cn" w:eastAsia="zh-cn" w:bidi="zh-cn"/>
      </w:rPr>
    </w:lvl>
    <w:lvl w:ilvl="3">
      <w:start w:val="0"/>
      <w:numFmt w:val="bullet"/>
      <w:lvlText w:val="•"/>
      <w:lvlJc w:val="left"/>
      <w:pPr>
        <w:ind w:left="3169" w:hanging="241"/>
      </w:pPr>
      <w:rPr>
        <w:rFonts w:hint="default"/>
        <w:lang w:val="zh-cn" w:eastAsia="zh-cn" w:bidi="zh-cn"/>
      </w:rPr>
    </w:lvl>
    <w:lvl w:ilvl="4">
      <w:start w:val="0"/>
      <w:numFmt w:val="bullet"/>
      <w:lvlText w:val="•"/>
      <w:lvlJc w:val="left"/>
      <w:pPr>
        <w:ind w:left="4146" w:hanging="241"/>
      </w:pPr>
      <w:rPr>
        <w:rFonts w:hint="default"/>
        <w:lang w:val="zh-cn" w:eastAsia="zh-cn" w:bidi="zh-cn"/>
      </w:rPr>
    </w:lvl>
    <w:lvl w:ilvl="5">
      <w:start w:val="0"/>
      <w:numFmt w:val="bullet"/>
      <w:lvlText w:val="•"/>
      <w:lvlJc w:val="left"/>
      <w:pPr>
        <w:ind w:left="5123" w:hanging="241"/>
      </w:pPr>
      <w:rPr>
        <w:rFonts w:hint="default"/>
        <w:lang w:val="zh-cn" w:eastAsia="zh-cn" w:bidi="zh-cn"/>
      </w:rPr>
    </w:lvl>
    <w:lvl w:ilvl="6">
      <w:start w:val="0"/>
      <w:numFmt w:val="bullet"/>
      <w:lvlText w:val="•"/>
      <w:lvlJc w:val="left"/>
      <w:pPr>
        <w:ind w:left="6099" w:hanging="241"/>
      </w:pPr>
      <w:rPr>
        <w:rFonts w:hint="default"/>
        <w:lang w:val="zh-cn" w:eastAsia="zh-cn" w:bidi="zh-cn"/>
      </w:rPr>
    </w:lvl>
    <w:lvl w:ilvl="7">
      <w:start w:val="0"/>
      <w:numFmt w:val="bullet"/>
      <w:lvlText w:val="•"/>
      <w:lvlJc w:val="left"/>
      <w:pPr>
        <w:ind w:left="7076" w:hanging="241"/>
      </w:pPr>
      <w:rPr>
        <w:rFonts w:hint="default"/>
        <w:lang w:val="zh-cn" w:eastAsia="zh-cn" w:bidi="zh-cn"/>
      </w:rPr>
    </w:lvl>
    <w:lvl w:ilvl="8">
      <w:start w:val="0"/>
      <w:numFmt w:val="bullet"/>
      <w:lvlText w:val="•"/>
      <w:lvlJc w:val="left"/>
      <w:pPr>
        <w:ind w:left="8053" w:hanging="241"/>
      </w:pPr>
      <w:rPr>
        <w:rFonts w:hint="default"/>
        <w:lang w:val="zh-cn" w:eastAsia="zh-cn" w:bidi="zh-cn"/>
      </w:rPr>
    </w:lvl>
  </w:abstractNum>
  <w:abstractNum w:abstractNumId="13">
    <w:multiLevelType w:val="hybridMultilevel"/>
    <w:lvl w:ilvl="0">
      <w:start w:val="1"/>
      <w:numFmt w:val="decimal"/>
      <w:lvlText w:val="%1."/>
      <w:lvlJc w:val="left"/>
      <w:pPr>
        <w:ind w:left="958" w:hanging="24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69" w:hanging="241"/>
      </w:pPr>
      <w:rPr>
        <w:rFonts w:hint="default"/>
        <w:lang w:val="zh-cn" w:eastAsia="zh-cn" w:bidi="zh-cn"/>
      </w:rPr>
    </w:lvl>
    <w:lvl w:ilvl="3">
      <w:start w:val="0"/>
      <w:numFmt w:val="bullet"/>
      <w:lvlText w:val="•"/>
      <w:lvlJc w:val="left"/>
      <w:pPr>
        <w:ind w:left="3673" w:hanging="241"/>
      </w:pPr>
      <w:rPr>
        <w:rFonts w:hint="default"/>
        <w:lang w:val="zh-cn" w:eastAsia="zh-cn" w:bidi="zh-cn"/>
      </w:rPr>
    </w:lvl>
    <w:lvl w:ilvl="4">
      <w:start w:val="0"/>
      <w:numFmt w:val="bullet"/>
      <w:lvlText w:val="•"/>
      <w:lvlJc w:val="left"/>
      <w:pPr>
        <w:ind w:left="4578" w:hanging="241"/>
      </w:pPr>
      <w:rPr>
        <w:rFonts w:hint="default"/>
        <w:lang w:val="zh-cn" w:eastAsia="zh-cn" w:bidi="zh-cn"/>
      </w:rPr>
    </w:lvl>
    <w:lvl w:ilvl="5">
      <w:start w:val="0"/>
      <w:numFmt w:val="bullet"/>
      <w:lvlText w:val="•"/>
      <w:lvlJc w:val="left"/>
      <w:pPr>
        <w:ind w:left="5483" w:hanging="241"/>
      </w:pPr>
      <w:rPr>
        <w:rFonts w:hint="default"/>
        <w:lang w:val="zh-cn" w:eastAsia="zh-cn" w:bidi="zh-cn"/>
      </w:rPr>
    </w:lvl>
    <w:lvl w:ilvl="6">
      <w:start w:val="0"/>
      <w:numFmt w:val="bullet"/>
      <w:lvlText w:val="•"/>
      <w:lvlJc w:val="left"/>
      <w:pPr>
        <w:ind w:left="6387" w:hanging="241"/>
      </w:pPr>
      <w:rPr>
        <w:rFonts w:hint="default"/>
        <w:lang w:val="zh-cn" w:eastAsia="zh-cn" w:bidi="zh-cn"/>
      </w:rPr>
    </w:lvl>
    <w:lvl w:ilvl="7">
      <w:start w:val="0"/>
      <w:numFmt w:val="bullet"/>
      <w:lvlText w:val="•"/>
      <w:lvlJc w:val="left"/>
      <w:pPr>
        <w:ind w:left="7292" w:hanging="241"/>
      </w:pPr>
      <w:rPr>
        <w:rFonts w:hint="default"/>
        <w:lang w:val="zh-cn" w:eastAsia="zh-cn" w:bidi="zh-cn"/>
      </w:rPr>
    </w:lvl>
    <w:lvl w:ilvl="8">
      <w:start w:val="0"/>
      <w:numFmt w:val="bullet"/>
      <w:lvlText w:val="•"/>
      <w:lvlJc w:val="left"/>
      <w:pPr>
        <w:ind w:left="8197" w:hanging="241"/>
      </w:pPr>
      <w:rPr>
        <w:rFonts w:hint="default"/>
        <w:lang w:val="zh-cn" w:eastAsia="zh-cn" w:bidi="zh-cn"/>
      </w:rPr>
    </w:lvl>
  </w:abstractNum>
  <w:abstractNum w:abstractNumId="12">
    <w:multiLevelType w:val="hybridMultilevel"/>
    <w:lvl w:ilvl="0">
      <w:start w:val="1"/>
      <w:numFmt w:val="decimal"/>
      <w:lvlText w:val="%1."/>
      <w:lvlJc w:val="left"/>
      <w:pPr>
        <w:ind w:left="95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69" w:hanging="241"/>
      </w:pPr>
      <w:rPr>
        <w:rFonts w:hint="default"/>
        <w:lang w:val="zh-cn" w:eastAsia="zh-cn" w:bidi="zh-cn"/>
      </w:rPr>
    </w:lvl>
    <w:lvl w:ilvl="3">
      <w:start w:val="0"/>
      <w:numFmt w:val="bullet"/>
      <w:lvlText w:val="•"/>
      <w:lvlJc w:val="left"/>
      <w:pPr>
        <w:ind w:left="3673" w:hanging="241"/>
      </w:pPr>
      <w:rPr>
        <w:rFonts w:hint="default"/>
        <w:lang w:val="zh-cn" w:eastAsia="zh-cn" w:bidi="zh-cn"/>
      </w:rPr>
    </w:lvl>
    <w:lvl w:ilvl="4">
      <w:start w:val="0"/>
      <w:numFmt w:val="bullet"/>
      <w:lvlText w:val="•"/>
      <w:lvlJc w:val="left"/>
      <w:pPr>
        <w:ind w:left="4578" w:hanging="241"/>
      </w:pPr>
      <w:rPr>
        <w:rFonts w:hint="default"/>
        <w:lang w:val="zh-cn" w:eastAsia="zh-cn" w:bidi="zh-cn"/>
      </w:rPr>
    </w:lvl>
    <w:lvl w:ilvl="5">
      <w:start w:val="0"/>
      <w:numFmt w:val="bullet"/>
      <w:lvlText w:val="•"/>
      <w:lvlJc w:val="left"/>
      <w:pPr>
        <w:ind w:left="5483" w:hanging="241"/>
      </w:pPr>
      <w:rPr>
        <w:rFonts w:hint="default"/>
        <w:lang w:val="zh-cn" w:eastAsia="zh-cn" w:bidi="zh-cn"/>
      </w:rPr>
    </w:lvl>
    <w:lvl w:ilvl="6">
      <w:start w:val="0"/>
      <w:numFmt w:val="bullet"/>
      <w:lvlText w:val="•"/>
      <w:lvlJc w:val="left"/>
      <w:pPr>
        <w:ind w:left="6387" w:hanging="241"/>
      </w:pPr>
      <w:rPr>
        <w:rFonts w:hint="default"/>
        <w:lang w:val="zh-cn" w:eastAsia="zh-cn" w:bidi="zh-cn"/>
      </w:rPr>
    </w:lvl>
    <w:lvl w:ilvl="7">
      <w:start w:val="0"/>
      <w:numFmt w:val="bullet"/>
      <w:lvlText w:val="•"/>
      <w:lvlJc w:val="left"/>
      <w:pPr>
        <w:ind w:left="7292" w:hanging="241"/>
      </w:pPr>
      <w:rPr>
        <w:rFonts w:hint="default"/>
        <w:lang w:val="zh-cn" w:eastAsia="zh-cn" w:bidi="zh-cn"/>
      </w:rPr>
    </w:lvl>
    <w:lvl w:ilvl="8">
      <w:start w:val="0"/>
      <w:numFmt w:val="bullet"/>
      <w:lvlText w:val="•"/>
      <w:lvlJc w:val="left"/>
      <w:pPr>
        <w:ind w:left="8197" w:hanging="241"/>
      </w:pPr>
      <w:rPr>
        <w:rFonts w:hint="default"/>
        <w:lang w:val="zh-cn" w:eastAsia="zh-cn" w:bidi="zh-cn"/>
      </w:rPr>
    </w:lvl>
  </w:abstractNum>
  <w:abstractNum w:abstractNumId="11">
    <w:multiLevelType w:val="hybridMultilevel"/>
    <w:lvl w:ilvl="0">
      <w:start w:val="1"/>
      <w:numFmt w:val="decimal"/>
      <w:lvlText w:val="（%1）"/>
      <w:lvlJc w:val="left"/>
      <w:pPr>
        <w:ind w:left="1318"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188" w:hanging="601"/>
      </w:pPr>
      <w:rPr>
        <w:rFonts w:hint="default"/>
        <w:lang w:val="zh-cn" w:eastAsia="zh-cn" w:bidi="zh-cn"/>
      </w:rPr>
    </w:lvl>
    <w:lvl w:ilvl="2">
      <w:start w:val="0"/>
      <w:numFmt w:val="bullet"/>
      <w:lvlText w:val="•"/>
      <w:lvlJc w:val="left"/>
      <w:pPr>
        <w:ind w:left="3057" w:hanging="601"/>
      </w:pPr>
      <w:rPr>
        <w:rFonts w:hint="default"/>
        <w:lang w:val="zh-cn" w:eastAsia="zh-cn" w:bidi="zh-cn"/>
      </w:rPr>
    </w:lvl>
    <w:lvl w:ilvl="3">
      <w:start w:val="0"/>
      <w:numFmt w:val="bullet"/>
      <w:lvlText w:val="•"/>
      <w:lvlJc w:val="left"/>
      <w:pPr>
        <w:ind w:left="3925" w:hanging="601"/>
      </w:pPr>
      <w:rPr>
        <w:rFonts w:hint="default"/>
        <w:lang w:val="zh-cn" w:eastAsia="zh-cn" w:bidi="zh-cn"/>
      </w:rPr>
    </w:lvl>
    <w:lvl w:ilvl="4">
      <w:start w:val="0"/>
      <w:numFmt w:val="bullet"/>
      <w:lvlText w:val="•"/>
      <w:lvlJc w:val="left"/>
      <w:pPr>
        <w:ind w:left="4794" w:hanging="601"/>
      </w:pPr>
      <w:rPr>
        <w:rFonts w:hint="default"/>
        <w:lang w:val="zh-cn" w:eastAsia="zh-cn" w:bidi="zh-cn"/>
      </w:rPr>
    </w:lvl>
    <w:lvl w:ilvl="5">
      <w:start w:val="0"/>
      <w:numFmt w:val="bullet"/>
      <w:lvlText w:val="•"/>
      <w:lvlJc w:val="left"/>
      <w:pPr>
        <w:ind w:left="5663" w:hanging="601"/>
      </w:pPr>
      <w:rPr>
        <w:rFonts w:hint="default"/>
        <w:lang w:val="zh-cn" w:eastAsia="zh-cn" w:bidi="zh-cn"/>
      </w:rPr>
    </w:lvl>
    <w:lvl w:ilvl="6">
      <w:start w:val="0"/>
      <w:numFmt w:val="bullet"/>
      <w:lvlText w:val="•"/>
      <w:lvlJc w:val="left"/>
      <w:pPr>
        <w:ind w:left="6531" w:hanging="601"/>
      </w:pPr>
      <w:rPr>
        <w:rFonts w:hint="default"/>
        <w:lang w:val="zh-cn" w:eastAsia="zh-cn" w:bidi="zh-cn"/>
      </w:rPr>
    </w:lvl>
    <w:lvl w:ilvl="7">
      <w:start w:val="0"/>
      <w:numFmt w:val="bullet"/>
      <w:lvlText w:val="•"/>
      <w:lvlJc w:val="left"/>
      <w:pPr>
        <w:ind w:left="7400" w:hanging="601"/>
      </w:pPr>
      <w:rPr>
        <w:rFonts w:hint="default"/>
        <w:lang w:val="zh-cn" w:eastAsia="zh-cn" w:bidi="zh-cn"/>
      </w:rPr>
    </w:lvl>
    <w:lvl w:ilvl="8">
      <w:start w:val="0"/>
      <w:numFmt w:val="bullet"/>
      <w:lvlText w:val="•"/>
      <w:lvlJc w:val="left"/>
      <w:pPr>
        <w:ind w:left="8269" w:hanging="601"/>
      </w:pPr>
      <w:rPr>
        <w:rFonts w:hint="default"/>
        <w:lang w:val="zh-cn" w:eastAsia="zh-cn" w:bidi="zh-cn"/>
      </w:rPr>
    </w:lvl>
  </w:abstractNum>
  <w:abstractNum w:abstractNumId="10">
    <w:multiLevelType w:val="hybridMultilevel"/>
    <w:lvl w:ilvl="0">
      <w:start w:val="1"/>
      <w:numFmt w:val="decimal"/>
      <w:lvlText w:val="%1."/>
      <w:lvlJc w:val="left"/>
      <w:pPr>
        <w:ind w:left="95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69" w:hanging="241"/>
      </w:pPr>
      <w:rPr>
        <w:rFonts w:hint="default"/>
        <w:lang w:val="zh-cn" w:eastAsia="zh-cn" w:bidi="zh-cn"/>
      </w:rPr>
    </w:lvl>
    <w:lvl w:ilvl="3">
      <w:start w:val="0"/>
      <w:numFmt w:val="bullet"/>
      <w:lvlText w:val="•"/>
      <w:lvlJc w:val="left"/>
      <w:pPr>
        <w:ind w:left="3673" w:hanging="241"/>
      </w:pPr>
      <w:rPr>
        <w:rFonts w:hint="default"/>
        <w:lang w:val="zh-cn" w:eastAsia="zh-cn" w:bidi="zh-cn"/>
      </w:rPr>
    </w:lvl>
    <w:lvl w:ilvl="4">
      <w:start w:val="0"/>
      <w:numFmt w:val="bullet"/>
      <w:lvlText w:val="•"/>
      <w:lvlJc w:val="left"/>
      <w:pPr>
        <w:ind w:left="4578" w:hanging="241"/>
      </w:pPr>
      <w:rPr>
        <w:rFonts w:hint="default"/>
        <w:lang w:val="zh-cn" w:eastAsia="zh-cn" w:bidi="zh-cn"/>
      </w:rPr>
    </w:lvl>
    <w:lvl w:ilvl="5">
      <w:start w:val="0"/>
      <w:numFmt w:val="bullet"/>
      <w:lvlText w:val="•"/>
      <w:lvlJc w:val="left"/>
      <w:pPr>
        <w:ind w:left="5483" w:hanging="241"/>
      </w:pPr>
      <w:rPr>
        <w:rFonts w:hint="default"/>
        <w:lang w:val="zh-cn" w:eastAsia="zh-cn" w:bidi="zh-cn"/>
      </w:rPr>
    </w:lvl>
    <w:lvl w:ilvl="6">
      <w:start w:val="0"/>
      <w:numFmt w:val="bullet"/>
      <w:lvlText w:val="•"/>
      <w:lvlJc w:val="left"/>
      <w:pPr>
        <w:ind w:left="6387" w:hanging="241"/>
      </w:pPr>
      <w:rPr>
        <w:rFonts w:hint="default"/>
        <w:lang w:val="zh-cn" w:eastAsia="zh-cn" w:bidi="zh-cn"/>
      </w:rPr>
    </w:lvl>
    <w:lvl w:ilvl="7">
      <w:start w:val="0"/>
      <w:numFmt w:val="bullet"/>
      <w:lvlText w:val="•"/>
      <w:lvlJc w:val="left"/>
      <w:pPr>
        <w:ind w:left="7292" w:hanging="241"/>
      </w:pPr>
      <w:rPr>
        <w:rFonts w:hint="default"/>
        <w:lang w:val="zh-cn" w:eastAsia="zh-cn" w:bidi="zh-cn"/>
      </w:rPr>
    </w:lvl>
    <w:lvl w:ilvl="8">
      <w:start w:val="0"/>
      <w:numFmt w:val="bullet"/>
      <w:lvlText w:val="•"/>
      <w:lvlJc w:val="left"/>
      <w:pPr>
        <w:ind w:left="8197" w:hanging="241"/>
      </w:pPr>
      <w:rPr>
        <w:rFonts w:hint="default"/>
        <w:lang w:val="zh-cn" w:eastAsia="zh-cn" w:bidi="zh-cn"/>
      </w:rPr>
    </w:lvl>
  </w:abstractNum>
  <w:abstractNum w:abstractNumId="9">
    <w:multiLevelType w:val="hybridMultilevel"/>
    <w:lvl w:ilvl="0">
      <w:start w:val="1"/>
      <w:numFmt w:val="decimal"/>
      <w:lvlText w:val="%1."/>
      <w:lvlJc w:val="left"/>
      <w:pPr>
        <w:ind w:left="237" w:hanging="241"/>
        <w:jc w:val="left"/>
      </w:pPr>
      <w:rPr>
        <w:rFonts w:hint="default" w:ascii="宋体" w:hAnsi="宋体" w:eastAsia="宋体" w:cs="宋体"/>
        <w:spacing w:val="-27"/>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193" w:hanging="241"/>
      </w:pPr>
      <w:rPr>
        <w:rFonts w:hint="default"/>
        <w:lang w:val="zh-cn" w:eastAsia="zh-cn" w:bidi="zh-cn"/>
      </w:rPr>
    </w:lvl>
    <w:lvl w:ilvl="3">
      <w:start w:val="0"/>
      <w:numFmt w:val="bullet"/>
      <w:lvlText w:val="•"/>
      <w:lvlJc w:val="left"/>
      <w:pPr>
        <w:ind w:left="3169" w:hanging="241"/>
      </w:pPr>
      <w:rPr>
        <w:rFonts w:hint="default"/>
        <w:lang w:val="zh-cn" w:eastAsia="zh-cn" w:bidi="zh-cn"/>
      </w:rPr>
    </w:lvl>
    <w:lvl w:ilvl="4">
      <w:start w:val="0"/>
      <w:numFmt w:val="bullet"/>
      <w:lvlText w:val="•"/>
      <w:lvlJc w:val="left"/>
      <w:pPr>
        <w:ind w:left="4146" w:hanging="241"/>
      </w:pPr>
      <w:rPr>
        <w:rFonts w:hint="default"/>
        <w:lang w:val="zh-cn" w:eastAsia="zh-cn" w:bidi="zh-cn"/>
      </w:rPr>
    </w:lvl>
    <w:lvl w:ilvl="5">
      <w:start w:val="0"/>
      <w:numFmt w:val="bullet"/>
      <w:lvlText w:val="•"/>
      <w:lvlJc w:val="left"/>
      <w:pPr>
        <w:ind w:left="5123" w:hanging="241"/>
      </w:pPr>
      <w:rPr>
        <w:rFonts w:hint="default"/>
        <w:lang w:val="zh-cn" w:eastAsia="zh-cn" w:bidi="zh-cn"/>
      </w:rPr>
    </w:lvl>
    <w:lvl w:ilvl="6">
      <w:start w:val="0"/>
      <w:numFmt w:val="bullet"/>
      <w:lvlText w:val="•"/>
      <w:lvlJc w:val="left"/>
      <w:pPr>
        <w:ind w:left="6099" w:hanging="241"/>
      </w:pPr>
      <w:rPr>
        <w:rFonts w:hint="default"/>
        <w:lang w:val="zh-cn" w:eastAsia="zh-cn" w:bidi="zh-cn"/>
      </w:rPr>
    </w:lvl>
    <w:lvl w:ilvl="7">
      <w:start w:val="0"/>
      <w:numFmt w:val="bullet"/>
      <w:lvlText w:val="•"/>
      <w:lvlJc w:val="left"/>
      <w:pPr>
        <w:ind w:left="7076" w:hanging="241"/>
      </w:pPr>
      <w:rPr>
        <w:rFonts w:hint="default"/>
        <w:lang w:val="zh-cn" w:eastAsia="zh-cn" w:bidi="zh-cn"/>
      </w:rPr>
    </w:lvl>
    <w:lvl w:ilvl="8">
      <w:start w:val="0"/>
      <w:numFmt w:val="bullet"/>
      <w:lvlText w:val="•"/>
      <w:lvlJc w:val="left"/>
      <w:pPr>
        <w:ind w:left="8053" w:hanging="241"/>
      </w:pPr>
      <w:rPr>
        <w:rFonts w:hint="default"/>
        <w:lang w:val="zh-cn" w:eastAsia="zh-cn" w:bidi="zh-cn"/>
      </w:rPr>
    </w:lvl>
  </w:abstractNum>
  <w:abstractNum w:abstractNumId="8">
    <w:multiLevelType w:val="hybridMultilevel"/>
    <w:lvl w:ilvl="0">
      <w:start w:val="1"/>
      <w:numFmt w:val="decimal"/>
      <w:lvlText w:val="%1."/>
      <w:lvlJc w:val="left"/>
      <w:pPr>
        <w:ind w:left="237" w:hanging="241"/>
        <w:jc w:val="left"/>
      </w:pPr>
      <w:rPr>
        <w:rFonts w:hint="default" w:ascii="宋体" w:hAnsi="宋体" w:eastAsia="宋体" w:cs="宋体"/>
        <w:spacing w:val="-34"/>
        <w:w w:val="100"/>
        <w:sz w:val="22"/>
        <w:szCs w:val="22"/>
        <w:lang w:val="zh-cn" w:eastAsia="zh-cn" w:bidi="zh-cn"/>
      </w:rPr>
    </w:lvl>
    <w:lvl w:ilvl="1">
      <w:start w:val="0"/>
      <w:numFmt w:val="bullet"/>
      <w:lvlText w:val="•"/>
      <w:lvlJc w:val="left"/>
      <w:pPr>
        <w:ind w:left="1216" w:hanging="241"/>
      </w:pPr>
      <w:rPr>
        <w:rFonts w:hint="default"/>
        <w:lang w:val="zh-cn" w:eastAsia="zh-cn" w:bidi="zh-cn"/>
      </w:rPr>
    </w:lvl>
    <w:lvl w:ilvl="2">
      <w:start w:val="0"/>
      <w:numFmt w:val="bullet"/>
      <w:lvlText w:val="•"/>
      <w:lvlJc w:val="left"/>
      <w:pPr>
        <w:ind w:left="2193" w:hanging="241"/>
      </w:pPr>
      <w:rPr>
        <w:rFonts w:hint="default"/>
        <w:lang w:val="zh-cn" w:eastAsia="zh-cn" w:bidi="zh-cn"/>
      </w:rPr>
    </w:lvl>
    <w:lvl w:ilvl="3">
      <w:start w:val="0"/>
      <w:numFmt w:val="bullet"/>
      <w:lvlText w:val="•"/>
      <w:lvlJc w:val="left"/>
      <w:pPr>
        <w:ind w:left="3169" w:hanging="241"/>
      </w:pPr>
      <w:rPr>
        <w:rFonts w:hint="default"/>
        <w:lang w:val="zh-cn" w:eastAsia="zh-cn" w:bidi="zh-cn"/>
      </w:rPr>
    </w:lvl>
    <w:lvl w:ilvl="4">
      <w:start w:val="0"/>
      <w:numFmt w:val="bullet"/>
      <w:lvlText w:val="•"/>
      <w:lvlJc w:val="left"/>
      <w:pPr>
        <w:ind w:left="4146" w:hanging="241"/>
      </w:pPr>
      <w:rPr>
        <w:rFonts w:hint="default"/>
        <w:lang w:val="zh-cn" w:eastAsia="zh-cn" w:bidi="zh-cn"/>
      </w:rPr>
    </w:lvl>
    <w:lvl w:ilvl="5">
      <w:start w:val="0"/>
      <w:numFmt w:val="bullet"/>
      <w:lvlText w:val="•"/>
      <w:lvlJc w:val="left"/>
      <w:pPr>
        <w:ind w:left="5123" w:hanging="241"/>
      </w:pPr>
      <w:rPr>
        <w:rFonts w:hint="default"/>
        <w:lang w:val="zh-cn" w:eastAsia="zh-cn" w:bidi="zh-cn"/>
      </w:rPr>
    </w:lvl>
    <w:lvl w:ilvl="6">
      <w:start w:val="0"/>
      <w:numFmt w:val="bullet"/>
      <w:lvlText w:val="•"/>
      <w:lvlJc w:val="left"/>
      <w:pPr>
        <w:ind w:left="6099" w:hanging="241"/>
      </w:pPr>
      <w:rPr>
        <w:rFonts w:hint="default"/>
        <w:lang w:val="zh-cn" w:eastAsia="zh-cn" w:bidi="zh-cn"/>
      </w:rPr>
    </w:lvl>
    <w:lvl w:ilvl="7">
      <w:start w:val="0"/>
      <w:numFmt w:val="bullet"/>
      <w:lvlText w:val="•"/>
      <w:lvlJc w:val="left"/>
      <w:pPr>
        <w:ind w:left="7076" w:hanging="241"/>
      </w:pPr>
      <w:rPr>
        <w:rFonts w:hint="default"/>
        <w:lang w:val="zh-cn" w:eastAsia="zh-cn" w:bidi="zh-cn"/>
      </w:rPr>
    </w:lvl>
    <w:lvl w:ilvl="8">
      <w:start w:val="0"/>
      <w:numFmt w:val="bullet"/>
      <w:lvlText w:val="•"/>
      <w:lvlJc w:val="left"/>
      <w:pPr>
        <w:ind w:left="8053" w:hanging="241"/>
      </w:pPr>
      <w:rPr>
        <w:rFonts w:hint="default"/>
        <w:lang w:val="zh-cn" w:eastAsia="zh-cn" w:bidi="zh-cn"/>
      </w:rPr>
    </w:lvl>
  </w:abstractNum>
  <w:abstractNum w:abstractNumId="7">
    <w:multiLevelType w:val="hybridMultilevel"/>
    <w:lvl w:ilvl="0">
      <w:start w:val="1"/>
      <w:numFmt w:val="decimal"/>
      <w:lvlText w:val="%1."/>
      <w:lvlJc w:val="left"/>
      <w:pPr>
        <w:ind w:left="95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864" w:hanging="241"/>
      </w:pPr>
      <w:rPr>
        <w:rFonts w:hint="default"/>
        <w:lang w:val="zh-cn" w:eastAsia="zh-cn" w:bidi="zh-cn"/>
      </w:rPr>
    </w:lvl>
    <w:lvl w:ilvl="2">
      <w:start w:val="0"/>
      <w:numFmt w:val="bullet"/>
      <w:lvlText w:val="•"/>
      <w:lvlJc w:val="left"/>
      <w:pPr>
        <w:ind w:left="2769" w:hanging="241"/>
      </w:pPr>
      <w:rPr>
        <w:rFonts w:hint="default"/>
        <w:lang w:val="zh-cn" w:eastAsia="zh-cn" w:bidi="zh-cn"/>
      </w:rPr>
    </w:lvl>
    <w:lvl w:ilvl="3">
      <w:start w:val="0"/>
      <w:numFmt w:val="bullet"/>
      <w:lvlText w:val="•"/>
      <w:lvlJc w:val="left"/>
      <w:pPr>
        <w:ind w:left="3673" w:hanging="241"/>
      </w:pPr>
      <w:rPr>
        <w:rFonts w:hint="default"/>
        <w:lang w:val="zh-cn" w:eastAsia="zh-cn" w:bidi="zh-cn"/>
      </w:rPr>
    </w:lvl>
    <w:lvl w:ilvl="4">
      <w:start w:val="0"/>
      <w:numFmt w:val="bullet"/>
      <w:lvlText w:val="•"/>
      <w:lvlJc w:val="left"/>
      <w:pPr>
        <w:ind w:left="4578" w:hanging="241"/>
      </w:pPr>
      <w:rPr>
        <w:rFonts w:hint="default"/>
        <w:lang w:val="zh-cn" w:eastAsia="zh-cn" w:bidi="zh-cn"/>
      </w:rPr>
    </w:lvl>
    <w:lvl w:ilvl="5">
      <w:start w:val="0"/>
      <w:numFmt w:val="bullet"/>
      <w:lvlText w:val="•"/>
      <w:lvlJc w:val="left"/>
      <w:pPr>
        <w:ind w:left="5483" w:hanging="241"/>
      </w:pPr>
      <w:rPr>
        <w:rFonts w:hint="default"/>
        <w:lang w:val="zh-cn" w:eastAsia="zh-cn" w:bidi="zh-cn"/>
      </w:rPr>
    </w:lvl>
    <w:lvl w:ilvl="6">
      <w:start w:val="0"/>
      <w:numFmt w:val="bullet"/>
      <w:lvlText w:val="•"/>
      <w:lvlJc w:val="left"/>
      <w:pPr>
        <w:ind w:left="6387" w:hanging="241"/>
      </w:pPr>
      <w:rPr>
        <w:rFonts w:hint="default"/>
        <w:lang w:val="zh-cn" w:eastAsia="zh-cn" w:bidi="zh-cn"/>
      </w:rPr>
    </w:lvl>
    <w:lvl w:ilvl="7">
      <w:start w:val="0"/>
      <w:numFmt w:val="bullet"/>
      <w:lvlText w:val="•"/>
      <w:lvlJc w:val="left"/>
      <w:pPr>
        <w:ind w:left="7292" w:hanging="241"/>
      </w:pPr>
      <w:rPr>
        <w:rFonts w:hint="default"/>
        <w:lang w:val="zh-cn" w:eastAsia="zh-cn" w:bidi="zh-cn"/>
      </w:rPr>
    </w:lvl>
    <w:lvl w:ilvl="8">
      <w:start w:val="0"/>
      <w:numFmt w:val="bullet"/>
      <w:lvlText w:val="•"/>
      <w:lvlJc w:val="left"/>
      <w:pPr>
        <w:ind w:left="8197" w:hanging="241"/>
      </w:pPr>
      <w:rPr>
        <w:rFonts w:hint="default"/>
        <w:lang w:val="zh-cn" w:eastAsia="zh-cn" w:bidi="zh-cn"/>
      </w:rPr>
    </w:lvl>
  </w:abstractNum>
  <w:abstractNum w:abstractNumId="5">
    <w:multiLevelType w:val="hybridMultilevel"/>
    <w:lvl w:ilvl="0">
      <w:start w:val="1"/>
      <w:numFmt w:val="decimal"/>
      <w:lvlText w:val="（%1）"/>
      <w:lvlJc w:val="left"/>
      <w:pPr>
        <w:ind w:left="237"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216" w:hanging="601"/>
      </w:pPr>
      <w:rPr>
        <w:rFonts w:hint="default"/>
        <w:lang w:val="zh-cn" w:eastAsia="zh-cn" w:bidi="zh-cn"/>
      </w:rPr>
    </w:lvl>
    <w:lvl w:ilvl="2">
      <w:start w:val="0"/>
      <w:numFmt w:val="bullet"/>
      <w:lvlText w:val="•"/>
      <w:lvlJc w:val="left"/>
      <w:pPr>
        <w:ind w:left="2193" w:hanging="601"/>
      </w:pPr>
      <w:rPr>
        <w:rFonts w:hint="default"/>
        <w:lang w:val="zh-cn" w:eastAsia="zh-cn" w:bidi="zh-cn"/>
      </w:rPr>
    </w:lvl>
    <w:lvl w:ilvl="3">
      <w:start w:val="0"/>
      <w:numFmt w:val="bullet"/>
      <w:lvlText w:val="•"/>
      <w:lvlJc w:val="left"/>
      <w:pPr>
        <w:ind w:left="3169" w:hanging="601"/>
      </w:pPr>
      <w:rPr>
        <w:rFonts w:hint="default"/>
        <w:lang w:val="zh-cn" w:eastAsia="zh-cn" w:bidi="zh-cn"/>
      </w:rPr>
    </w:lvl>
    <w:lvl w:ilvl="4">
      <w:start w:val="0"/>
      <w:numFmt w:val="bullet"/>
      <w:lvlText w:val="•"/>
      <w:lvlJc w:val="left"/>
      <w:pPr>
        <w:ind w:left="4146" w:hanging="601"/>
      </w:pPr>
      <w:rPr>
        <w:rFonts w:hint="default"/>
        <w:lang w:val="zh-cn" w:eastAsia="zh-cn" w:bidi="zh-cn"/>
      </w:rPr>
    </w:lvl>
    <w:lvl w:ilvl="5">
      <w:start w:val="0"/>
      <w:numFmt w:val="bullet"/>
      <w:lvlText w:val="•"/>
      <w:lvlJc w:val="left"/>
      <w:pPr>
        <w:ind w:left="5123" w:hanging="601"/>
      </w:pPr>
      <w:rPr>
        <w:rFonts w:hint="default"/>
        <w:lang w:val="zh-cn" w:eastAsia="zh-cn" w:bidi="zh-cn"/>
      </w:rPr>
    </w:lvl>
    <w:lvl w:ilvl="6">
      <w:start w:val="0"/>
      <w:numFmt w:val="bullet"/>
      <w:lvlText w:val="•"/>
      <w:lvlJc w:val="left"/>
      <w:pPr>
        <w:ind w:left="6099" w:hanging="601"/>
      </w:pPr>
      <w:rPr>
        <w:rFonts w:hint="default"/>
        <w:lang w:val="zh-cn" w:eastAsia="zh-cn" w:bidi="zh-cn"/>
      </w:rPr>
    </w:lvl>
    <w:lvl w:ilvl="7">
      <w:start w:val="0"/>
      <w:numFmt w:val="bullet"/>
      <w:lvlText w:val="•"/>
      <w:lvlJc w:val="left"/>
      <w:pPr>
        <w:ind w:left="7076" w:hanging="601"/>
      </w:pPr>
      <w:rPr>
        <w:rFonts w:hint="default"/>
        <w:lang w:val="zh-cn" w:eastAsia="zh-cn" w:bidi="zh-cn"/>
      </w:rPr>
    </w:lvl>
    <w:lvl w:ilvl="8">
      <w:start w:val="0"/>
      <w:numFmt w:val="bullet"/>
      <w:lvlText w:val="•"/>
      <w:lvlJc w:val="left"/>
      <w:pPr>
        <w:ind w:left="8053" w:hanging="601"/>
      </w:pPr>
      <w:rPr>
        <w:rFonts w:hint="default"/>
        <w:lang w:val="zh-cn" w:eastAsia="zh-cn" w:bidi="zh-cn"/>
      </w:rPr>
    </w:lvl>
  </w:abstractNum>
  <w:abstractNum w:abstractNumId="4">
    <w:multiLevelType w:val="hybridMultilevel"/>
    <w:lvl w:ilvl="0">
      <w:start w:val="2"/>
      <w:numFmt w:val="decimal"/>
      <w:lvlText w:val="（%1）"/>
      <w:lvlJc w:val="left"/>
      <w:pPr>
        <w:ind w:left="237"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216" w:hanging="601"/>
      </w:pPr>
      <w:rPr>
        <w:rFonts w:hint="default"/>
        <w:lang w:val="zh-cn" w:eastAsia="zh-cn" w:bidi="zh-cn"/>
      </w:rPr>
    </w:lvl>
    <w:lvl w:ilvl="2">
      <w:start w:val="0"/>
      <w:numFmt w:val="bullet"/>
      <w:lvlText w:val="•"/>
      <w:lvlJc w:val="left"/>
      <w:pPr>
        <w:ind w:left="2193" w:hanging="601"/>
      </w:pPr>
      <w:rPr>
        <w:rFonts w:hint="default"/>
        <w:lang w:val="zh-cn" w:eastAsia="zh-cn" w:bidi="zh-cn"/>
      </w:rPr>
    </w:lvl>
    <w:lvl w:ilvl="3">
      <w:start w:val="0"/>
      <w:numFmt w:val="bullet"/>
      <w:lvlText w:val="•"/>
      <w:lvlJc w:val="left"/>
      <w:pPr>
        <w:ind w:left="3169" w:hanging="601"/>
      </w:pPr>
      <w:rPr>
        <w:rFonts w:hint="default"/>
        <w:lang w:val="zh-cn" w:eastAsia="zh-cn" w:bidi="zh-cn"/>
      </w:rPr>
    </w:lvl>
    <w:lvl w:ilvl="4">
      <w:start w:val="0"/>
      <w:numFmt w:val="bullet"/>
      <w:lvlText w:val="•"/>
      <w:lvlJc w:val="left"/>
      <w:pPr>
        <w:ind w:left="4146" w:hanging="601"/>
      </w:pPr>
      <w:rPr>
        <w:rFonts w:hint="default"/>
        <w:lang w:val="zh-cn" w:eastAsia="zh-cn" w:bidi="zh-cn"/>
      </w:rPr>
    </w:lvl>
    <w:lvl w:ilvl="5">
      <w:start w:val="0"/>
      <w:numFmt w:val="bullet"/>
      <w:lvlText w:val="•"/>
      <w:lvlJc w:val="left"/>
      <w:pPr>
        <w:ind w:left="5123" w:hanging="601"/>
      </w:pPr>
      <w:rPr>
        <w:rFonts w:hint="default"/>
        <w:lang w:val="zh-cn" w:eastAsia="zh-cn" w:bidi="zh-cn"/>
      </w:rPr>
    </w:lvl>
    <w:lvl w:ilvl="6">
      <w:start w:val="0"/>
      <w:numFmt w:val="bullet"/>
      <w:lvlText w:val="•"/>
      <w:lvlJc w:val="left"/>
      <w:pPr>
        <w:ind w:left="6099" w:hanging="601"/>
      </w:pPr>
      <w:rPr>
        <w:rFonts w:hint="default"/>
        <w:lang w:val="zh-cn" w:eastAsia="zh-cn" w:bidi="zh-cn"/>
      </w:rPr>
    </w:lvl>
    <w:lvl w:ilvl="7">
      <w:start w:val="0"/>
      <w:numFmt w:val="bullet"/>
      <w:lvlText w:val="•"/>
      <w:lvlJc w:val="left"/>
      <w:pPr>
        <w:ind w:left="7076" w:hanging="601"/>
      </w:pPr>
      <w:rPr>
        <w:rFonts w:hint="default"/>
        <w:lang w:val="zh-cn" w:eastAsia="zh-cn" w:bidi="zh-cn"/>
      </w:rPr>
    </w:lvl>
    <w:lvl w:ilvl="8">
      <w:start w:val="0"/>
      <w:numFmt w:val="bullet"/>
      <w:lvlText w:val="•"/>
      <w:lvlJc w:val="left"/>
      <w:pPr>
        <w:ind w:left="8053" w:hanging="601"/>
      </w:pPr>
      <w:rPr>
        <w:rFonts w:hint="default"/>
        <w:lang w:val="zh-cn" w:eastAsia="zh-cn" w:bidi="zh-cn"/>
      </w:rPr>
    </w:lvl>
  </w:abstractNum>
  <w:abstractNum w:abstractNumId="3">
    <w:multiLevelType w:val="hybridMultilevel"/>
    <w:lvl w:ilvl="0">
      <w:start w:val="2"/>
      <w:numFmt w:val="decimal"/>
      <w:lvlText w:val="（%1）"/>
      <w:lvlJc w:val="left"/>
      <w:pPr>
        <w:ind w:left="237" w:hanging="601"/>
        <w:jc w:val="left"/>
      </w:pPr>
      <w:rPr>
        <w:rFonts w:hint="default" w:ascii="宋体" w:hAnsi="宋体" w:eastAsia="宋体" w:cs="宋体"/>
        <w:spacing w:val="-10"/>
        <w:w w:val="100"/>
        <w:sz w:val="22"/>
        <w:szCs w:val="22"/>
        <w:lang w:val="zh-cn" w:eastAsia="zh-cn" w:bidi="zh-cn"/>
      </w:rPr>
    </w:lvl>
    <w:lvl w:ilvl="1">
      <w:start w:val="0"/>
      <w:numFmt w:val="bullet"/>
      <w:lvlText w:val="•"/>
      <w:lvlJc w:val="left"/>
      <w:pPr>
        <w:ind w:left="1216" w:hanging="601"/>
      </w:pPr>
      <w:rPr>
        <w:rFonts w:hint="default"/>
        <w:lang w:val="zh-cn" w:eastAsia="zh-cn" w:bidi="zh-cn"/>
      </w:rPr>
    </w:lvl>
    <w:lvl w:ilvl="2">
      <w:start w:val="0"/>
      <w:numFmt w:val="bullet"/>
      <w:lvlText w:val="•"/>
      <w:lvlJc w:val="left"/>
      <w:pPr>
        <w:ind w:left="2193" w:hanging="601"/>
      </w:pPr>
      <w:rPr>
        <w:rFonts w:hint="default"/>
        <w:lang w:val="zh-cn" w:eastAsia="zh-cn" w:bidi="zh-cn"/>
      </w:rPr>
    </w:lvl>
    <w:lvl w:ilvl="3">
      <w:start w:val="0"/>
      <w:numFmt w:val="bullet"/>
      <w:lvlText w:val="•"/>
      <w:lvlJc w:val="left"/>
      <w:pPr>
        <w:ind w:left="3169" w:hanging="601"/>
      </w:pPr>
      <w:rPr>
        <w:rFonts w:hint="default"/>
        <w:lang w:val="zh-cn" w:eastAsia="zh-cn" w:bidi="zh-cn"/>
      </w:rPr>
    </w:lvl>
    <w:lvl w:ilvl="4">
      <w:start w:val="0"/>
      <w:numFmt w:val="bullet"/>
      <w:lvlText w:val="•"/>
      <w:lvlJc w:val="left"/>
      <w:pPr>
        <w:ind w:left="4146" w:hanging="601"/>
      </w:pPr>
      <w:rPr>
        <w:rFonts w:hint="default"/>
        <w:lang w:val="zh-cn" w:eastAsia="zh-cn" w:bidi="zh-cn"/>
      </w:rPr>
    </w:lvl>
    <w:lvl w:ilvl="5">
      <w:start w:val="0"/>
      <w:numFmt w:val="bullet"/>
      <w:lvlText w:val="•"/>
      <w:lvlJc w:val="left"/>
      <w:pPr>
        <w:ind w:left="5123" w:hanging="601"/>
      </w:pPr>
      <w:rPr>
        <w:rFonts w:hint="default"/>
        <w:lang w:val="zh-cn" w:eastAsia="zh-cn" w:bidi="zh-cn"/>
      </w:rPr>
    </w:lvl>
    <w:lvl w:ilvl="6">
      <w:start w:val="0"/>
      <w:numFmt w:val="bullet"/>
      <w:lvlText w:val="•"/>
      <w:lvlJc w:val="left"/>
      <w:pPr>
        <w:ind w:left="6099" w:hanging="601"/>
      </w:pPr>
      <w:rPr>
        <w:rFonts w:hint="default"/>
        <w:lang w:val="zh-cn" w:eastAsia="zh-cn" w:bidi="zh-cn"/>
      </w:rPr>
    </w:lvl>
    <w:lvl w:ilvl="7">
      <w:start w:val="0"/>
      <w:numFmt w:val="bullet"/>
      <w:lvlText w:val="•"/>
      <w:lvlJc w:val="left"/>
      <w:pPr>
        <w:ind w:left="7076" w:hanging="601"/>
      </w:pPr>
      <w:rPr>
        <w:rFonts w:hint="default"/>
        <w:lang w:val="zh-cn" w:eastAsia="zh-cn" w:bidi="zh-cn"/>
      </w:rPr>
    </w:lvl>
    <w:lvl w:ilvl="8">
      <w:start w:val="0"/>
      <w:numFmt w:val="bullet"/>
      <w:lvlText w:val="•"/>
      <w:lvlJc w:val="left"/>
      <w:pPr>
        <w:ind w:left="8053" w:hanging="601"/>
      </w:pPr>
      <w:rPr>
        <w:rFonts w:hint="default"/>
        <w:lang w:val="zh-cn" w:eastAsia="zh-cn" w:bidi="zh-cn"/>
      </w:rPr>
    </w:lvl>
  </w:abstractNum>
  <w:abstractNum w:abstractNumId="2">
    <w:multiLevelType w:val="hybridMultilevel"/>
    <w:lvl w:ilvl="0">
      <w:start w:val="2"/>
      <w:numFmt w:val="decimal"/>
      <w:lvlText w:val="（%1）"/>
      <w:lvlJc w:val="left"/>
      <w:pPr>
        <w:ind w:left="237"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216" w:hanging="601"/>
      </w:pPr>
      <w:rPr>
        <w:rFonts w:hint="default"/>
        <w:lang w:val="zh-cn" w:eastAsia="zh-cn" w:bidi="zh-cn"/>
      </w:rPr>
    </w:lvl>
    <w:lvl w:ilvl="2">
      <w:start w:val="0"/>
      <w:numFmt w:val="bullet"/>
      <w:lvlText w:val="•"/>
      <w:lvlJc w:val="left"/>
      <w:pPr>
        <w:ind w:left="2193" w:hanging="601"/>
      </w:pPr>
      <w:rPr>
        <w:rFonts w:hint="default"/>
        <w:lang w:val="zh-cn" w:eastAsia="zh-cn" w:bidi="zh-cn"/>
      </w:rPr>
    </w:lvl>
    <w:lvl w:ilvl="3">
      <w:start w:val="0"/>
      <w:numFmt w:val="bullet"/>
      <w:lvlText w:val="•"/>
      <w:lvlJc w:val="left"/>
      <w:pPr>
        <w:ind w:left="3169" w:hanging="601"/>
      </w:pPr>
      <w:rPr>
        <w:rFonts w:hint="default"/>
        <w:lang w:val="zh-cn" w:eastAsia="zh-cn" w:bidi="zh-cn"/>
      </w:rPr>
    </w:lvl>
    <w:lvl w:ilvl="4">
      <w:start w:val="0"/>
      <w:numFmt w:val="bullet"/>
      <w:lvlText w:val="•"/>
      <w:lvlJc w:val="left"/>
      <w:pPr>
        <w:ind w:left="4146" w:hanging="601"/>
      </w:pPr>
      <w:rPr>
        <w:rFonts w:hint="default"/>
        <w:lang w:val="zh-cn" w:eastAsia="zh-cn" w:bidi="zh-cn"/>
      </w:rPr>
    </w:lvl>
    <w:lvl w:ilvl="5">
      <w:start w:val="0"/>
      <w:numFmt w:val="bullet"/>
      <w:lvlText w:val="•"/>
      <w:lvlJc w:val="left"/>
      <w:pPr>
        <w:ind w:left="5123" w:hanging="601"/>
      </w:pPr>
      <w:rPr>
        <w:rFonts w:hint="default"/>
        <w:lang w:val="zh-cn" w:eastAsia="zh-cn" w:bidi="zh-cn"/>
      </w:rPr>
    </w:lvl>
    <w:lvl w:ilvl="6">
      <w:start w:val="0"/>
      <w:numFmt w:val="bullet"/>
      <w:lvlText w:val="•"/>
      <w:lvlJc w:val="left"/>
      <w:pPr>
        <w:ind w:left="6099" w:hanging="601"/>
      </w:pPr>
      <w:rPr>
        <w:rFonts w:hint="default"/>
        <w:lang w:val="zh-cn" w:eastAsia="zh-cn" w:bidi="zh-cn"/>
      </w:rPr>
    </w:lvl>
    <w:lvl w:ilvl="7">
      <w:start w:val="0"/>
      <w:numFmt w:val="bullet"/>
      <w:lvlText w:val="•"/>
      <w:lvlJc w:val="left"/>
      <w:pPr>
        <w:ind w:left="7076" w:hanging="601"/>
      </w:pPr>
      <w:rPr>
        <w:rFonts w:hint="default"/>
        <w:lang w:val="zh-cn" w:eastAsia="zh-cn" w:bidi="zh-cn"/>
      </w:rPr>
    </w:lvl>
    <w:lvl w:ilvl="8">
      <w:start w:val="0"/>
      <w:numFmt w:val="bullet"/>
      <w:lvlText w:val="•"/>
      <w:lvlJc w:val="left"/>
      <w:pPr>
        <w:ind w:left="8053" w:hanging="601"/>
      </w:pPr>
      <w:rPr>
        <w:rFonts w:hint="default"/>
        <w:lang w:val="zh-cn" w:eastAsia="zh-cn" w:bidi="zh-cn"/>
      </w:rPr>
    </w:lvl>
  </w:abstractNum>
  <w:abstractNum w:abstractNumId="1">
    <w:multiLevelType w:val="hybridMultilevel"/>
    <w:lvl w:ilvl="0">
      <w:start w:val="1"/>
      <w:numFmt w:val="decimal"/>
      <w:lvlText w:val="%1"/>
      <w:lvlJc w:val="left"/>
      <w:pPr>
        <w:ind w:left="1317" w:hanging="600"/>
        <w:jc w:val="left"/>
      </w:pPr>
      <w:rPr>
        <w:rFonts w:hint="default"/>
        <w:lang w:val="zh-cn" w:eastAsia="zh-cn" w:bidi="zh-cn"/>
      </w:rPr>
    </w:lvl>
    <w:lvl w:ilvl="1">
      <w:start w:val="2"/>
      <w:numFmt w:val="decimal"/>
      <w:lvlText w:val="%1.%2"/>
      <w:lvlJc w:val="left"/>
      <w:pPr>
        <w:ind w:left="1317" w:hanging="600"/>
        <w:jc w:val="left"/>
      </w:pPr>
      <w:rPr>
        <w:rFonts w:hint="default" w:ascii="宋体" w:hAnsi="宋体" w:eastAsia="宋体" w:cs="宋体"/>
        <w:spacing w:val="-60"/>
        <w:w w:val="100"/>
        <w:sz w:val="24"/>
        <w:szCs w:val="24"/>
        <w:lang w:val="zh-cn" w:eastAsia="zh-cn" w:bidi="zh-cn"/>
      </w:rPr>
    </w:lvl>
    <w:lvl w:ilvl="2">
      <w:start w:val="0"/>
      <w:numFmt w:val="bullet"/>
      <w:lvlText w:val="•"/>
      <w:lvlJc w:val="left"/>
      <w:pPr>
        <w:ind w:left="3057" w:hanging="600"/>
      </w:pPr>
      <w:rPr>
        <w:rFonts w:hint="default"/>
        <w:lang w:val="zh-cn" w:eastAsia="zh-cn" w:bidi="zh-cn"/>
      </w:rPr>
    </w:lvl>
    <w:lvl w:ilvl="3">
      <w:start w:val="0"/>
      <w:numFmt w:val="bullet"/>
      <w:lvlText w:val="•"/>
      <w:lvlJc w:val="left"/>
      <w:pPr>
        <w:ind w:left="3925" w:hanging="600"/>
      </w:pPr>
      <w:rPr>
        <w:rFonts w:hint="default"/>
        <w:lang w:val="zh-cn" w:eastAsia="zh-cn" w:bidi="zh-cn"/>
      </w:rPr>
    </w:lvl>
    <w:lvl w:ilvl="4">
      <w:start w:val="0"/>
      <w:numFmt w:val="bullet"/>
      <w:lvlText w:val="•"/>
      <w:lvlJc w:val="left"/>
      <w:pPr>
        <w:ind w:left="4794" w:hanging="600"/>
      </w:pPr>
      <w:rPr>
        <w:rFonts w:hint="default"/>
        <w:lang w:val="zh-cn" w:eastAsia="zh-cn" w:bidi="zh-cn"/>
      </w:rPr>
    </w:lvl>
    <w:lvl w:ilvl="5">
      <w:start w:val="0"/>
      <w:numFmt w:val="bullet"/>
      <w:lvlText w:val="•"/>
      <w:lvlJc w:val="left"/>
      <w:pPr>
        <w:ind w:left="5663" w:hanging="600"/>
      </w:pPr>
      <w:rPr>
        <w:rFonts w:hint="default"/>
        <w:lang w:val="zh-cn" w:eastAsia="zh-cn" w:bidi="zh-cn"/>
      </w:rPr>
    </w:lvl>
    <w:lvl w:ilvl="6">
      <w:start w:val="0"/>
      <w:numFmt w:val="bullet"/>
      <w:lvlText w:val="•"/>
      <w:lvlJc w:val="left"/>
      <w:pPr>
        <w:ind w:left="6531" w:hanging="600"/>
      </w:pPr>
      <w:rPr>
        <w:rFonts w:hint="default"/>
        <w:lang w:val="zh-cn" w:eastAsia="zh-cn" w:bidi="zh-cn"/>
      </w:rPr>
    </w:lvl>
    <w:lvl w:ilvl="7">
      <w:start w:val="0"/>
      <w:numFmt w:val="bullet"/>
      <w:lvlText w:val="•"/>
      <w:lvlJc w:val="left"/>
      <w:pPr>
        <w:ind w:left="7400" w:hanging="600"/>
      </w:pPr>
      <w:rPr>
        <w:rFonts w:hint="default"/>
        <w:lang w:val="zh-cn" w:eastAsia="zh-cn" w:bidi="zh-cn"/>
      </w:rPr>
    </w:lvl>
    <w:lvl w:ilvl="8">
      <w:start w:val="0"/>
      <w:numFmt w:val="bullet"/>
      <w:lvlText w:val="•"/>
      <w:lvlJc w:val="left"/>
      <w:pPr>
        <w:ind w:left="8269" w:hanging="600"/>
      </w:pPr>
      <w:rPr>
        <w:rFonts w:hint="default"/>
        <w:lang w:val="zh-cn" w:eastAsia="zh-cn" w:bidi="zh-cn"/>
      </w:rPr>
    </w:lvl>
  </w:abstractNum>
  <w:abstractNum w:abstractNumId="0">
    <w:multiLevelType w:val="hybridMultilevel"/>
    <w:lvl w:ilvl="0">
      <w:start w:val="2"/>
      <w:numFmt w:val="decimal"/>
      <w:lvlText w:val="%1."/>
      <w:lvlJc w:val="left"/>
      <w:pPr>
        <w:ind w:left="396" w:hanging="160"/>
        <w:jc w:val="left"/>
      </w:pPr>
      <w:rPr>
        <w:rFonts w:hint="default" w:ascii="Times New Roman" w:hAnsi="Times New Roman" w:eastAsia="Times New Roman" w:cs="Times New Roman"/>
        <w:w w:val="100"/>
        <w:sz w:val="19"/>
        <w:szCs w:val="19"/>
        <w:lang w:val="zh-cn" w:eastAsia="zh-cn" w:bidi="zh-cn"/>
      </w:rPr>
    </w:lvl>
    <w:lvl w:ilvl="1">
      <w:start w:val="1"/>
      <w:numFmt w:val="decimal"/>
      <w:lvlText w:val="%2."/>
      <w:lvlJc w:val="left"/>
      <w:pPr>
        <w:ind w:left="963" w:hanging="244"/>
        <w:jc w:val="left"/>
      </w:pPr>
      <w:rPr>
        <w:rFonts w:hint="default" w:ascii="宋体" w:hAnsi="宋体" w:eastAsia="宋体" w:cs="宋体"/>
        <w:b/>
        <w:bCs/>
        <w:spacing w:val="-1"/>
        <w:w w:val="99"/>
        <w:sz w:val="22"/>
        <w:szCs w:val="22"/>
        <w:lang w:val="zh-cn" w:eastAsia="zh-cn" w:bidi="zh-cn"/>
      </w:rPr>
    </w:lvl>
    <w:lvl w:ilvl="2">
      <w:start w:val="1"/>
      <w:numFmt w:val="decimal"/>
      <w:lvlText w:val="%2.%3"/>
      <w:lvlJc w:val="left"/>
      <w:pPr>
        <w:ind w:left="1197" w:hanging="480"/>
        <w:jc w:val="left"/>
      </w:pPr>
      <w:rPr>
        <w:rFonts w:hint="default" w:ascii="宋体" w:hAnsi="宋体" w:eastAsia="宋体" w:cs="宋体"/>
        <w:w w:val="100"/>
        <w:sz w:val="24"/>
        <w:szCs w:val="24"/>
        <w:lang w:val="zh-cn" w:eastAsia="zh-cn" w:bidi="zh-cn"/>
      </w:rPr>
    </w:lvl>
    <w:lvl w:ilvl="3">
      <w:start w:val="1"/>
      <w:numFmt w:val="decimal"/>
      <w:lvlText w:val="%2.%3.%4"/>
      <w:lvlJc w:val="left"/>
      <w:pPr>
        <w:ind w:left="237" w:hanging="840"/>
        <w:jc w:val="left"/>
      </w:pPr>
      <w:rPr>
        <w:rFonts w:hint="default" w:ascii="宋体" w:hAnsi="宋体" w:eastAsia="宋体" w:cs="宋体"/>
        <w:spacing w:val="-51"/>
        <w:w w:val="100"/>
        <w:sz w:val="24"/>
        <w:szCs w:val="24"/>
        <w:lang w:val="zh-cn" w:eastAsia="zh-cn" w:bidi="zh-cn"/>
      </w:rPr>
    </w:lvl>
    <w:lvl w:ilvl="4">
      <w:start w:val="0"/>
      <w:numFmt w:val="bullet"/>
      <w:lvlText w:val="•"/>
      <w:lvlJc w:val="left"/>
      <w:pPr>
        <w:ind w:left="2458" w:hanging="840"/>
      </w:pPr>
      <w:rPr>
        <w:rFonts w:hint="default"/>
        <w:lang w:val="zh-cn" w:eastAsia="zh-cn" w:bidi="zh-cn"/>
      </w:rPr>
    </w:lvl>
    <w:lvl w:ilvl="5">
      <w:start w:val="0"/>
      <w:numFmt w:val="bullet"/>
      <w:lvlText w:val="•"/>
      <w:lvlJc w:val="left"/>
      <w:pPr>
        <w:ind w:left="3716" w:hanging="840"/>
      </w:pPr>
      <w:rPr>
        <w:rFonts w:hint="default"/>
        <w:lang w:val="zh-cn" w:eastAsia="zh-cn" w:bidi="zh-cn"/>
      </w:rPr>
    </w:lvl>
    <w:lvl w:ilvl="6">
      <w:start w:val="0"/>
      <w:numFmt w:val="bullet"/>
      <w:lvlText w:val="•"/>
      <w:lvlJc w:val="left"/>
      <w:pPr>
        <w:ind w:left="4974" w:hanging="840"/>
      </w:pPr>
      <w:rPr>
        <w:rFonts w:hint="default"/>
        <w:lang w:val="zh-cn" w:eastAsia="zh-cn" w:bidi="zh-cn"/>
      </w:rPr>
    </w:lvl>
    <w:lvl w:ilvl="7">
      <w:start w:val="0"/>
      <w:numFmt w:val="bullet"/>
      <w:lvlText w:val="•"/>
      <w:lvlJc w:val="left"/>
      <w:pPr>
        <w:ind w:left="6232" w:hanging="840"/>
      </w:pPr>
      <w:rPr>
        <w:rFonts w:hint="default"/>
        <w:lang w:val="zh-cn" w:eastAsia="zh-cn" w:bidi="zh-cn"/>
      </w:rPr>
    </w:lvl>
    <w:lvl w:ilvl="8">
      <w:start w:val="0"/>
      <w:numFmt w:val="bullet"/>
      <w:lvlText w:val="•"/>
      <w:lvlJc w:val="left"/>
      <w:pPr>
        <w:ind w:left="7490" w:hanging="840"/>
      </w:pPr>
      <w:rPr>
        <w:rFonts w:hint="default"/>
        <w:lang w:val="zh-cn" w:eastAsia="zh-cn" w:bidi="zh-cn"/>
      </w:rPr>
    </w:lvl>
  </w:abstractNum>
  <w:num w:numId="7">
    <w:abstractNumId w:val="6"/>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45" w:lineRule="exact"/>
      <w:ind w:right="3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40"/>
      <w:ind w:right="31"/>
      <w:jc w:val="center"/>
    </w:pPr>
    <w:rPr>
      <w:rFonts w:ascii="华文楷体" w:hAnsi="华文楷体" w:eastAsia="华文楷体" w:cs="华文楷体"/>
      <w:sz w:val="28"/>
      <w:szCs w:val="28"/>
      <w:lang w:val="zh-cn" w:eastAsia="zh-cn" w:bidi="zh-cn"/>
    </w:rPr>
  </w:style>
  <w:style w:styleId="TOC3" w:type="paragraph">
    <w:name w:val="TOC 3"/>
    <w:basedOn w:val="Normal"/>
    <w:uiPriority w:val="1"/>
    <w:qFormat/>
    <w:pPr>
      <w:spacing w:before="40"/>
      <w:ind w:right="31"/>
      <w:jc w:val="center"/>
    </w:pPr>
    <w:rPr>
      <w:rFonts w:ascii="华文楷体" w:hAnsi="华文楷体" w:eastAsia="华文楷体" w:cs="华文楷体"/>
      <w:b/>
      <w:bCs/>
      <w:i/>
      <w:lang w:val="zh-cn" w:eastAsia="zh-cn" w:bidi="zh-cn"/>
    </w:rPr>
  </w:style>
  <w:style w:styleId="BodyText" w:type="paragraph">
    <w:name w:val="Body Text"/>
    <w:basedOn w:val="Normal"/>
    <w:uiPriority w:val="1"/>
    <w:qFormat/>
    <w:pPr>
      <w:ind w:left="237"/>
    </w:pPr>
    <w:rPr>
      <w:rFonts w:ascii="宋体" w:hAnsi="宋体" w:eastAsia="宋体" w:cs="宋体"/>
      <w:sz w:val="24"/>
      <w:szCs w:val="24"/>
      <w:lang w:val="zh-cn" w:eastAsia="zh-cn" w:bidi="zh-cn"/>
    </w:rPr>
  </w:style>
  <w:style w:styleId="Heading1" w:type="paragraph">
    <w:name w:val="Heading 1"/>
    <w:basedOn w:val="Normal"/>
    <w:uiPriority w:val="1"/>
    <w:qFormat/>
    <w:pPr>
      <w:spacing w:before="100"/>
      <w:ind w:left="100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23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spacing w:before="70"/>
      <w:outlineLvl w:val="3"/>
    </w:pPr>
    <w:rPr>
      <w:rFonts w:ascii="宋体" w:hAnsi="宋体" w:eastAsia="宋体" w:cs="宋体"/>
      <w:b/>
      <w:bCs/>
      <w:sz w:val="28"/>
      <w:szCs w:val="28"/>
      <w:lang w:val="zh-cn" w:eastAsia="zh-cn" w:bidi="zh-cn"/>
    </w:rPr>
  </w:style>
  <w:style w:styleId="Heading4" w:type="paragraph">
    <w:name w:val="Heading 4"/>
    <w:basedOn w:val="Normal"/>
    <w:uiPriority w:val="1"/>
    <w:qFormat/>
    <w:pPr>
      <w:ind w:left="719"/>
      <w:outlineLvl w:val="4"/>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237" w:firstLine="480"/>
    </w:pPr>
    <w:rPr>
      <w:rFonts w:ascii="宋体" w:hAnsi="宋体" w:eastAsia="宋体" w:cs="宋体"/>
      <w:lang w:val="zh-cn" w:eastAsia="zh-cn" w:bidi="zh-cn"/>
    </w:rPr>
  </w:style>
  <w:style w:styleId="TableParagraph" w:type="paragraph">
    <w:name w:val="Table Paragraph"/>
    <w:basedOn w:val="Normal"/>
    <w:uiPriority w:val="1"/>
    <w:qFormat/>
    <w:pPr>
      <w:jc w:val="center"/>
    </w:pPr>
    <w:rPr>
      <w:rFonts w:ascii="Calibri" w:hAnsi="Calibri" w:eastAsia="Calibri" w:cs="Calibri"/>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nmpa.gov.cn/WS04/CL2108/335846.html" TargetMode="External"/><Relationship Id="rId10" Type="http://schemas.openxmlformats.org/officeDocument/2006/relationships/hyperlink" Target="http://www.nmpa.gov.cn/WS04/CL2115/335799.html" TargetMode="Externa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hyperlink" Target="http://www.cmei.org.cn/content/?13956.html" TargetMode="External"/><Relationship Id="rId22" Type="http://schemas.openxmlformats.org/officeDocument/2006/relationships/hyperlink" Target="mailto:yhlw_cmei@126.com" TargetMode="External"/><Relationship Id="rId23" Type="http://schemas.openxmlformats.org/officeDocument/2006/relationships/hyperlink" Target="mailto:liuyu@cmei.org.cn" TargetMode="External"/><Relationship Id="rId24" Type="http://schemas.openxmlformats.org/officeDocument/2006/relationships/image" Target="media/image9.png"/><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header" Target="header5.xml"/><Relationship Id="rId28" Type="http://schemas.openxmlformats.org/officeDocument/2006/relationships/hyperlink" Target="http://www.folkhalsomyndigheten.se/"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2019-04-01T01:47:58Z</dcterms:created>
  <dcterms:modified xsi:type="dcterms:W3CDTF">2019-04-01T01:47:58Z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Office Word 2007</vt:lpwstr>
  </property>
  <property fmtid="{D5CDD505-2E9C-101B-9397-08002B2CF9AE}" pid="4" name="LastSaved">
    <vt:filetime>2019-04-01T00:00:00Z</vt:filetime>
  </property>
</Properties>
</file>