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21"/>
        </w:rPr>
      </w:pPr>
    </w:p>
    <w:p>
      <w:pPr>
        <w:pStyle w:val="Heading2"/>
        <w:tabs>
          <w:tab w:pos="5870" w:val="left" w:leader="none"/>
        </w:tabs>
        <w:spacing w:before="55"/>
        <w:ind w:left="2733"/>
        <w:rPr>
          <w:rFonts w:ascii="黑体" w:eastAsia="黑体" w:hint="eastAsia"/>
        </w:rPr>
      </w:pPr>
      <w:r>
        <w:rPr/>
        <w:pict>
          <v:group style="position:absolute;margin-left:55.5pt;margin-top:-138.709976pt;width:490.5pt;height:136.25pt;mso-position-horizontal-relative:page;mso-position-vertical-relative:paragraph;z-index:1048" coordorigin="1110,-2774" coordsize="9810,2725">
            <v:line style="position:absolute" from="1248,-2755" to="10804,-2755" stroked="true" strokeweight=".72pt" strokecolor="#000000">
              <v:stroke dashstyle="solid"/>
            </v:line>
            <v:shape style="position:absolute;left:1110;top:-2775;width:9810;height:2725" type="#_x0000_t75" stroked="false">
              <v:imagedata r:id="rId6" o:title=""/>
            </v:shape>
            <w10:wrap type="none"/>
          </v:group>
        </w:pict>
      </w:r>
      <w:r>
        <w:rPr>
          <w:rFonts w:ascii="黑体" w:eastAsia="黑体" w:hint="eastAsia"/>
        </w:rPr>
        <w:t>2019</w:t>
      </w:r>
      <w:r>
        <w:rPr>
          <w:rFonts w:ascii="黑体" w:eastAsia="黑体" w:hint="eastAsia"/>
          <w:spacing w:val="-82"/>
        </w:rPr>
        <w:t> </w:t>
      </w:r>
      <w:r>
        <w:rPr>
          <w:rFonts w:ascii="黑体" w:eastAsia="黑体" w:hint="eastAsia"/>
        </w:rPr>
        <w:t>年第</w:t>
      </w:r>
      <w:r>
        <w:rPr>
          <w:rFonts w:ascii="黑体" w:eastAsia="黑体" w:hint="eastAsia"/>
          <w:spacing w:val="-80"/>
        </w:rPr>
        <w:t> </w:t>
      </w:r>
      <w:r>
        <w:rPr>
          <w:rFonts w:ascii="黑体" w:eastAsia="黑体" w:hint="eastAsia"/>
        </w:rPr>
        <w:t>4</w:t>
      </w:r>
      <w:r>
        <w:rPr>
          <w:rFonts w:ascii="黑体" w:eastAsia="黑体" w:hint="eastAsia"/>
          <w:spacing w:val="-83"/>
        </w:rPr>
        <w:t> </w:t>
      </w:r>
      <w:r>
        <w:rPr>
          <w:rFonts w:ascii="黑体" w:eastAsia="黑体" w:hint="eastAsia"/>
        </w:rPr>
        <w:t>期</w:t>
        <w:tab/>
        <w:t>总第</w:t>
      </w:r>
      <w:r>
        <w:rPr>
          <w:rFonts w:ascii="黑体" w:eastAsia="黑体" w:hint="eastAsia"/>
          <w:spacing w:val="-80"/>
        </w:rPr>
        <w:t> </w:t>
      </w:r>
      <w:r>
        <w:rPr>
          <w:rFonts w:ascii="黑体" w:eastAsia="黑体" w:hint="eastAsia"/>
        </w:rPr>
        <w:t>202</w:t>
      </w:r>
      <w:r>
        <w:rPr>
          <w:rFonts w:ascii="黑体" w:eastAsia="黑体" w:hint="eastAsia"/>
          <w:spacing w:val="-81"/>
        </w:rPr>
        <w:t> </w:t>
      </w:r>
      <w:r>
        <w:rPr>
          <w:rFonts w:ascii="黑体" w:eastAsia="黑体" w:hint="eastAsia"/>
        </w:rPr>
        <w:t>期</w:t>
      </w:r>
    </w:p>
    <w:p>
      <w:pPr>
        <w:tabs>
          <w:tab w:pos="7004" w:val="left" w:leader="none"/>
        </w:tabs>
        <w:spacing w:before="138"/>
        <w:ind w:left="0" w:right="11" w:firstLine="0"/>
        <w:jc w:val="center"/>
        <w:rPr>
          <w:rFonts w:ascii="Microsoft JhengHei" w:eastAsia="Microsoft JhengHei" w:hint="eastAsia"/>
          <w:b/>
          <w:sz w:val="28"/>
        </w:rPr>
      </w:pPr>
      <w:r>
        <w:rPr/>
        <w:pict>
          <v:line style="position:absolute;mso-position-horizontal-relative:page;mso-position-vertical-relative:paragraph;z-index:-1024;mso-wrap-distance-left:0;mso-wrap-distance-right:0" from="55pt,36.331081pt" to="546.25pt,36.331081pt" stroked="true" strokeweight="2.25pt" strokecolor="#ff0000">
            <v:stroke dashstyle="solid"/>
            <w10:wrap type="topAndBottom"/>
          </v:line>
        </w:pict>
      </w:r>
      <w:r>
        <w:rPr>
          <w:rFonts w:ascii="Microsoft JhengHei" w:eastAsia="Microsoft JhengHei" w:hint="eastAsia"/>
          <w:b/>
          <w:sz w:val="28"/>
        </w:rPr>
        <w:t>中国药学</w:t>
      </w:r>
      <w:r>
        <w:rPr>
          <w:rFonts w:ascii="Microsoft JhengHei" w:eastAsia="Microsoft JhengHei" w:hint="eastAsia"/>
          <w:b/>
          <w:spacing w:val="-3"/>
          <w:sz w:val="28"/>
        </w:rPr>
        <w:t>会</w:t>
      </w:r>
      <w:r>
        <w:rPr>
          <w:rFonts w:ascii="Microsoft JhengHei" w:eastAsia="Microsoft JhengHei" w:hint="eastAsia"/>
          <w:b/>
          <w:sz w:val="28"/>
        </w:rPr>
        <w:t>科技</w:t>
      </w:r>
      <w:r>
        <w:rPr>
          <w:rFonts w:ascii="Microsoft JhengHei" w:eastAsia="Microsoft JhengHei" w:hint="eastAsia"/>
          <w:b/>
          <w:spacing w:val="-3"/>
          <w:sz w:val="28"/>
        </w:rPr>
        <w:t>开</w:t>
      </w:r>
      <w:r>
        <w:rPr>
          <w:rFonts w:ascii="Microsoft JhengHei" w:eastAsia="Microsoft JhengHei" w:hint="eastAsia"/>
          <w:b/>
          <w:sz w:val="28"/>
        </w:rPr>
        <w:t>发中心 </w:t>
      </w:r>
      <w:r>
        <w:rPr>
          <w:rFonts w:ascii="Microsoft JhengHei" w:eastAsia="Microsoft JhengHei" w:hint="eastAsia"/>
          <w:b/>
          <w:spacing w:val="3"/>
          <w:sz w:val="28"/>
        </w:rPr>
        <w:t> </w:t>
      </w:r>
      <w:r>
        <w:rPr>
          <w:rFonts w:ascii="Microsoft JhengHei" w:eastAsia="Microsoft JhengHei" w:hint="eastAsia"/>
          <w:b/>
          <w:sz w:val="28"/>
        </w:rPr>
        <w:t>组织</w:t>
      </w:r>
      <w:r>
        <w:rPr>
          <w:rFonts w:ascii="Microsoft JhengHei" w:eastAsia="Microsoft JhengHei" w:hint="eastAsia"/>
          <w:b/>
          <w:spacing w:val="-3"/>
          <w:sz w:val="28"/>
        </w:rPr>
        <w:t>联</w:t>
      </w:r>
      <w:r>
        <w:rPr>
          <w:rFonts w:ascii="Microsoft JhengHei" w:eastAsia="Microsoft JhengHei" w:hint="eastAsia"/>
          <w:b/>
          <w:sz w:val="28"/>
        </w:rPr>
        <w:t>络部</w:t>
        <w:tab/>
      </w:r>
      <w:r>
        <w:rPr>
          <w:rFonts w:ascii="等线" w:eastAsia="等线" w:hint="eastAsia"/>
          <w:b/>
          <w:sz w:val="28"/>
        </w:rPr>
        <w:t>2019 </w:t>
      </w:r>
      <w:r>
        <w:rPr>
          <w:rFonts w:ascii="Microsoft JhengHei" w:eastAsia="Microsoft JhengHei" w:hint="eastAsia"/>
          <w:b/>
          <w:sz w:val="28"/>
        </w:rPr>
        <w:t>年 </w:t>
      </w:r>
      <w:r>
        <w:rPr>
          <w:rFonts w:ascii="等线" w:eastAsia="等线" w:hint="eastAsia"/>
          <w:b/>
          <w:sz w:val="28"/>
        </w:rPr>
        <w:t>3 </w:t>
      </w:r>
      <w:r>
        <w:rPr>
          <w:rFonts w:ascii="Microsoft JhengHei" w:eastAsia="Microsoft JhengHei" w:hint="eastAsia"/>
          <w:b/>
          <w:sz w:val="28"/>
        </w:rPr>
        <w:t>月 </w:t>
      </w:r>
      <w:r>
        <w:rPr>
          <w:rFonts w:ascii="等线" w:eastAsia="等线" w:hint="eastAsia"/>
          <w:b/>
          <w:sz w:val="28"/>
        </w:rPr>
        <w:t>15</w:t>
      </w:r>
      <w:r>
        <w:rPr>
          <w:rFonts w:ascii="等线" w:eastAsia="等线" w:hint="eastAsia"/>
          <w:b/>
          <w:spacing w:val="-23"/>
          <w:sz w:val="28"/>
        </w:rPr>
        <w:t> </w:t>
      </w:r>
      <w:r>
        <w:rPr>
          <w:rFonts w:ascii="Microsoft JhengHei" w:eastAsia="Microsoft JhengHei" w:hint="eastAsia"/>
          <w:b/>
          <w:sz w:val="28"/>
        </w:rPr>
        <w:t>日</w:t>
      </w:r>
    </w:p>
    <w:p>
      <w:pPr>
        <w:pStyle w:val="BodyText"/>
        <w:spacing w:before="11"/>
        <w:ind w:left="0"/>
        <w:rPr>
          <w:rFonts w:ascii="Microsoft JhengHei"/>
          <w:b/>
          <w:sz w:val="20"/>
        </w:rPr>
      </w:pPr>
    </w:p>
    <w:p>
      <w:pPr>
        <w:pStyle w:val="Heading1"/>
        <w:spacing w:line="557" w:lineRule="exact"/>
        <w:ind w:left="0" w:right="16"/>
        <w:jc w:val="center"/>
        <w:rPr>
          <w:rFonts w:ascii="黑体" w:eastAsia="黑体" w:hint="eastAsia"/>
          <w:u w:val="none"/>
        </w:rPr>
      </w:pPr>
      <w:r>
        <w:rPr>
          <w:rFonts w:ascii="黑体" w:eastAsia="黑体" w:hint="eastAsia"/>
          <w:color w:val="008000"/>
          <w:u w:val="none"/>
        </w:rPr>
        <w:t>目 次</w:t>
      </w:r>
    </w:p>
    <w:p>
      <w:pPr>
        <w:spacing w:line="525" w:lineRule="exact" w:before="0"/>
        <w:ind w:left="0" w:right="14" w:firstLine="0"/>
        <w:jc w:val="center"/>
        <w:rPr>
          <w:rFonts w:ascii="华文隶书" w:eastAsia="华文隶书" w:hint="eastAsia"/>
          <w:sz w:val="36"/>
        </w:rPr>
      </w:pPr>
      <w:r>
        <w:rPr>
          <w:rFonts w:ascii="华文隶书" w:eastAsia="华文隶书" w:hint="eastAsia"/>
          <w:color w:val="1A5220"/>
          <w:sz w:val="36"/>
        </w:rPr>
        <w:t>政策导览</w:t>
      </w:r>
    </w:p>
    <w:p>
      <w:pPr>
        <w:tabs>
          <w:tab w:pos="9073" w:val="right" w:leader="dot"/>
        </w:tabs>
        <w:spacing w:line="440" w:lineRule="exact" w:before="0"/>
        <w:ind w:left="0" w:right="14" w:firstLine="0"/>
        <w:jc w:val="center"/>
        <w:rPr>
          <w:rFonts w:ascii="华文楷体" w:eastAsia="华文楷体" w:hint="eastAsia"/>
          <w:sz w:val="28"/>
        </w:rPr>
      </w:pPr>
      <w:r>
        <w:rPr>
          <w:rFonts w:ascii="华文楷体" w:eastAsia="华文楷体" w:hint="eastAsia"/>
          <w:b/>
          <w:sz w:val="28"/>
        </w:rPr>
        <w:t>【政府要闻】</w:t>
        <w:tab/>
      </w:r>
      <w:r>
        <w:rPr>
          <w:rFonts w:ascii="华文楷体" w:eastAsia="华文楷体" w:hint="eastAsia"/>
          <w:sz w:val="28"/>
        </w:rPr>
        <w:t>1</w:t>
      </w:r>
    </w:p>
    <w:p>
      <w:pPr>
        <w:tabs>
          <w:tab w:pos="9073" w:val="right" w:leader="dot"/>
        </w:tabs>
        <w:spacing w:line="459" w:lineRule="exact" w:before="2"/>
        <w:ind w:left="0" w:right="14" w:firstLine="0"/>
        <w:jc w:val="center"/>
        <w:rPr>
          <w:rFonts w:ascii="华文楷体" w:eastAsia="华文楷体" w:hint="eastAsia"/>
          <w:sz w:val="28"/>
        </w:rPr>
      </w:pPr>
      <w:r>
        <w:rPr>
          <w:rFonts w:ascii="华文楷体" w:eastAsia="华文楷体" w:hint="eastAsia"/>
          <w:sz w:val="28"/>
        </w:rPr>
        <w:t>全国政</w:t>
      </w:r>
      <w:r>
        <w:rPr>
          <w:rFonts w:ascii="华文楷体" w:eastAsia="华文楷体" w:hint="eastAsia"/>
          <w:spacing w:val="-3"/>
          <w:sz w:val="28"/>
        </w:rPr>
        <w:t>协</w:t>
      </w:r>
      <w:r>
        <w:rPr>
          <w:rFonts w:ascii="华文楷体" w:eastAsia="华文楷体" w:hint="eastAsia"/>
          <w:sz w:val="28"/>
        </w:rPr>
        <w:t>十三</w:t>
      </w:r>
      <w:r>
        <w:rPr>
          <w:rFonts w:ascii="华文楷体" w:eastAsia="华文楷体" w:hint="eastAsia"/>
          <w:spacing w:val="-3"/>
          <w:sz w:val="28"/>
        </w:rPr>
        <w:t>届二</w:t>
      </w:r>
      <w:r>
        <w:rPr>
          <w:rFonts w:ascii="华文楷体" w:eastAsia="华文楷体" w:hint="eastAsia"/>
          <w:sz w:val="28"/>
        </w:rPr>
        <w:t>次会议</w:t>
      </w:r>
      <w:r>
        <w:rPr>
          <w:rFonts w:ascii="华文楷体" w:eastAsia="华文楷体" w:hint="eastAsia"/>
          <w:spacing w:val="-3"/>
          <w:sz w:val="28"/>
        </w:rPr>
        <w:t>在</w:t>
      </w:r>
      <w:r>
        <w:rPr>
          <w:rFonts w:ascii="华文楷体" w:eastAsia="华文楷体" w:hint="eastAsia"/>
          <w:sz w:val="28"/>
        </w:rPr>
        <w:t>京开幕</w:t>
        <w:tab/>
        <w:t>1</w:t>
      </w:r>
    </w:p>
    <w:p>
      <w:pPr>
        <w:tabs>
          <w:tab w:pos="9073" w:val="right" w:leader="dot"/>
        </w:tabs>
        <w:spacing w:before="0"/>
        <w:ind w:left="0" w:right="14" w:firstLine="0"/>
        <w:jc w:val="center"/>
        <w:rPr>
          <w:rFonts w:ascii="华文楷体" w:eastAsia="华文楷体" w:hint="eastAsia"/>
          <w:sz w:val="28"/>
        </w:rPr>
      </w:pPr>
      <w:r>
        <w:rPr>
          <w:rFonts w:ascii="华文楷体" w:eastAsia="华文楷体" w:hint="eastAsia"/>
          <w:sz w:val="28"/>
        </w:rPr>
        <w:t>十三届</w:t>
      </w:r>
      <w:r>
        <w:rPr>
          <w:rFonts w:ascii="华文楷体" w:eastAsia="华文楷体" w:hint="eastAsia"/>
          <w:spacing w:val="-3"/>
          <w:sz w:val="28"/>
        </w:rPr>
        <w:t>全</w:t>
      </w:r>
      <w:r>
        <w:rPr>
          <w:rFonts w:ascii="华文楷体" w:eastAsia="华文楷体" w:hint="eastAsia"/>
          <w:sz w:val="28"/>
        </w:rPr>
        <w:t>国人</w:t>
      </w:r>
      <w:r>
        <w:rPr>
          <w:rFonts w:ascii="华文楷体" w:eastAsia="华文楷体" w:hint="eastAsia"/>
          <w:spacing w:val="-3"/>
          <w:sz w:val="28"/>
        </w:rPr>
        <w:t>大二</w:t>
      </w:r>
      <w:r>
        <w:rPr>
          <w:rFonts w:ascii="华文楷体" w:eastAsia="华文楷体" w:hint="eastAsia"/>
          <w:sz w:val="28"/>
        </w:rPr>
        <w:t>次会议</w:t>
      </w:r>
      <w:r>
        <w:rPr>
          <w:rFonts w:ascii="华文楷体" w:eastAsia="华文楷体" w:hint="eastAsia"/>
          <w:spacing w:val="-3"/>
          <w:sz w:val="28"/>
        </w:rPr>
        <w:t>在</w:t>
      </w:r>
      <w:r>
        <w:rPr>
          <w:rFonts w:ascii="华文楷体" w:eastAsia="华文楷体" w:hint="eastAsia"/>
          <w:sz w:val="28"/>
        </w:rPr>
        <w:t>京开幕</w:t>
        <w:tab/>
        <w:t>2</w:t>
      </w:r>
    </w:p>
    <w:p>
      <w:pPr>
        <w:tabs>
          <w:tab w:pos="9073" w:val="right" w:leader="dot"/>
        </w:tabs>
        <w:spacing w:before="1"/>
        <w:ind w:left="0" w:right="14" w:firstLine="0"/>
        <w:jc w:val="center"/>
        <w:rPr>
          <w:rFonts w:ascii="华文楷体" w:eastAsia="华文楷体" w:hint="eastAsia"/>
          <w:sz w:val="28"/>
        </w:rPr>
      </w:pPr>
      <w:r>
        <w:rPr>
          <w:rFonts w:ascii="华文楷体" w:eastAsia="华文楷体" w:hint="eastAsia"/>
          <w:sz w:val="28"/>
        </w:rPr>
        <w:t>全国政</w:t>
      </w:r>
      <w:r>
        <w:rPr>
          <w:rFonts w:ascii="华文楷体" w:eastAsia="华文楷体" w:hint="eastAsia"/>
          <w:spacing w:val="-3"/>
          <w:sz w:val="28"/>
        </w:rPr>
        <w:t>协</w:t>
      </w:r>
      <w:r>
        <w:rPr>
          <w:rFonts w:ascii="华文楷体" w:eastAsia="华文楷体" w:hint="eastAsia"/>
          <w:sz w:val="28"/>
        </w:rPr>
        <w:t>十三</w:t>
      </w:r>
      <w:r>
        <w:rPr>
          <w:rFonts w:ascii="华文楷体" w:eastAsia="华文楷体" w:hint="eastAsia"/>
          <w:spacing w:val="-3"/>
          <w:sz w:val="28"/>
        </w:rPr>
        <w:t>届二</w:t>
      </w:r>
      <w:r>
        <w:rPr>
          <w:rFonts w:ascii="华文楷体" w:eastAsia="华文楷体" w:hint="eastAsia"/>
          <w:sz w:val="28"/>
        </w:rPr>
        <w:t>次会议</w:t>
      </w:r>
      <w:r>
        <w:rPr>
          <w:rFonts w:ascii="华文楷体" w:eastAsia="华文楷体" w:hint="eastAsia"/>
          <w:spacing w:val="-3"/>
          <w:sz w:val="28"/>
        </w:rPr>
        <w:t>闭</w:t>
      </w:r>
      <w:r>
        <w:rPr>
          <w:rFonts w:ascii="华文楷体" w:eastAsia="华文楷体" w:hint="eastAsia"/>
          <w:sz w:val="28"/>
        </w:rPr>
        <w:t>幕</w:t>
        <w:tab/>
        <w:t>4</w:t>
      </w:r>
    </w:p>
    <w:p>
      <w:pPr>
        <w:tabs>
          <w:tab w:pos="9073" w:val="right" w:leader="dot"/>
        </w:tabs>
        <w:spacing w:line="459" w:lineRule="exact" w:before="2"/>
        <w:ind w:left="0" w:right="14" w:firstLine="0"/>
        <w:jc w:val="center"/>
        <w:rPr>
          <w:rFonts w:ascii="华文楷体" w:eastAsia="华文楷体" w:hint="eastAsia"/>
          <w:sz w:val="28"/>
        </w:rPr>
      </w:pPr>
      <w:r>
        <w:rPr>
          <w:rFonts w:ascii="华文楷体" w:eastAsia="华文楷体" w:hint="eastAsia"/>
          <w:b/>
          <w:sz w:val="28"/>
        </w:rPr>
        <w:t>【两会声音】</w:t>
        <w:tab/>
      </w:r>
      <w:r>
        <w:rPr>
          <w:rFonts w:ascii="华文楷体" w:eastAsia="华文楷体" w:hint="eastAsia"/>
          <w:sz w:val="28"/>
        </w:rPr>
        <w:t>5</w:t>
      </w:r>
    </w:p>
    <w:p>
      <w:pPr>
        <w:tabs>
          <w:tab w:pos="9073" w:val="right" w:leader="dot"/>
        </w:tabs>
        <w:spacing w:line="459" w:lineRule="exact" w:before="0"/>
        <w:ind w:left="0" w:right="14" w:firstLine="0"/>
        <w:jc w:val="center"/>
        <w:rPr>
          <w:rFonts w:ascii="华文楷体" w:hAnsi="华文楷体" w:eastAsia="华文楷体" w:hint="eastAsia"/>
          <w:sz w:val="28"/>
        </w:rPr>
      </w:pPr>
      <w:r>
        <w:rPr>
          <w:rFonts w:ascii="华文楷体" w:hAnsi="华文楷体" w:eastAsia="华文楷体" w:hint="eastAsia"/>
          <w:sz w:val="28"/>
        </w:rPr>
        <w:t>“让更</w:t>
      </w:r>
      <w:r>
        <w:rPr>
          <w:rFonts w:ascii="华文楷体" w:hAnsi="华文楷体" w:eastAsia="华文楷体" w:hint="eastAsia"/>
          <w:spacing w:val="-3"/>
          <w:sz w:val="28"/>
        </w:rPr>
        <w:t>多</w:t>
      </w:r>
      <w:r>
        <w:rPr>
          <w:rFonts w:ascii="华文楷体" w:hAnsi="华文楷体" w:eastAsia="华文楷体" w:hint="eastAsia"/>
          <w:sz w:val="28"/>
        </w:rPr>
        <w:t>救命</w:t>
      </w:r>
      <w:r>
        <w:rPr>
          <w:rFonts w:ascii="华文楷体" w:hAnsi="华文楷体" w:eastAsia="华文楷体" w:hint="eastAsia"/>
          <w:spacing w:val="-3"/>
          <w:sz w:val="28"/>
        </w:rPr>
        <w:t>救急</w:t>
      </w:r>
      <w:r>
        <w:rPr>
          <w:rFonts w:ascii="华文楷体" w:hAnsi="华文楷体" w:eastAsia="华文楷体" w:hint="eastAsia"/>
          <w:sz w:val="28"/>
        </w:rPr>
        <w:t>药进医保”</w:t>
        <w:tab/>
        <w:t>5</w:t>
      </w:r>
    </w:p>
    <w:p>
      <w:pPr>
        <w:tabs>
          <w:tab w:pos="9073" w:val="right" w:leader="dot"/>
        </w:tabs>
        <w:spacing w:before="1"/>
        <w:ind w:left="0" w:right="14" w:firstLine="0"/>
        <w:jc w:val="center"/>
        <w:rPr>
          <w:rFonts w:ascii="华文楷体" w:eastAsia="华文楷体" w:hint="eastAsia"/>
          <w:sz w:val="28"/>
        </w:rPr>
      </w:pPr>
      <w:r>
        <w:rPr>
          <w:rFonts w:ascii="华文楷体" w:eastAsia="华文楷体" w:hint="eastAsia"/>
          <w:sz w:val="28"/>
        </w:rPr>
        <w:t>呼应民</w:t>
      </w:r>
      <w:r>
        <w:rPr>
          <w:rFonts w:ascii="华文楷体" w:eastAsia="华文楷体" w:hint="eastAsia"/>
          <w:spacing w:val="-3"/>
          <w:sz w:val="28"/>
        </w:rPr>
        <w:t>生</w:t>
      </w:r>
      <w:r>
        <w:rPr>
          <w:rFonts w:ascii="华文楷体" w:eastAsia="华文楷体" w:hint="eastAsia"/>
          <w:sz w:val="28"/>
        </w:rPr>
        <w:t>诉求</w:t>
      </w:r>
      <w:r>
        <w:rPr>
          <w:rFonts w:ascii="华文楷体" w:eastAsia="华文楷体" w:hint="eastAsia"/>
          <w:spacing w:val="69"/>
          <w:sz w:val="28"/>
        </w:rPr>
        <w:t> </w:t>
      </w:r>
      <w:r>
        <w:rPr>
          <w:rFonts w:ascii="华文楷体" w:eastAsia="华文楷体" w:hint="eastAsia"/>
          <w:sz w:val="28"/>
        </w:rPr>
        <w:t>明</w:t>
      </w:r>
      <w:r>
        <w:rPr>
          <w:rFonts w:ascii="华文楷体" w:eastAsia="华文楷体" w:hint="eastAsia"/>
          <w:spacing w:val="-3"/>
          <w:sz w:val="28"/>
        </w:rPr>
        <w:t>确</w:t>
      </w:r>
      <w:r>
        <w:rPr>
          <w:rFonts w:ascii="华文楷体" w:eastAsia="华文楷体" w:hint="eastAsia"/>
          <w:sz w:val="28"/>
        </w:rPr>
        <w:t>发展方向</w:t>
        <w:tab/>
        <w:t>5</w:t>
      </w:r>
    </w:p>
    <w:p>
      <w:pPr>
        <w:tabs>
          <w:tab w:pos="9073" w:val="right" w:leader="dot"/>
        </w:tabs>
        <w:spacing w:line="459" w:lineRule="exact" w:before="2"/>
        <w:ind w:left="0" w:right="14" w:firstLine="0"/>
        <w:jc w:val="center"/>
        <w:rPr>
          <w:rFonts w:ascii="华文楷体" w:eastAsia="华文楷体" w:hint="eastAsia"/>
          <w:sz w:val="28"/>
        </w:rPr>
      </w:pPr>
      <w:r>
        <w:rPr>
          <w:rFonts w:ascii="华文楷体" w:eastAsia="华文楷体" w:hint="eastAsia"/>
          <w:sz w:val="28"/>
        </w:rPr>
        <w:t>实施国</w:t>
      </w:r>
      <w:r>
        <w:rPr>
          <w:rFonts w:ascii="华文楷体" w:eastAsia="华文楷体" w:hint="eastAsia"/>
          <w:spacing w:val="-3"/>
          <w:sz w:val="28"/>
        </w:rPr>
        <w:t>家</w:t>
      </w:r>
      <w:r>
        <w:rPr>
          <w:rFonts w:ascii="华文楷体" w:eastAsia="华文楷体" w:hint="eastAsia"/>
          <w:sz w:val="28"/>
        </w:rPr>
        <w:t>癌症</w:t>
      </w:r>
      <w:r>
        <w:rPr>
          <w:rFonts w:ascii="华文楷体" w:eastAsia="华文楷体" w:hint="eastAsia"/>
          <w:spacing w:val="-3"/>
          <w:sz w:val="28"/>
        </w:rPr>
        <w:t>攻坚</w:t>
      </w:r>
      <w:r>
        <w:rPr>
          <w:rFonts w:ascii="华文楷体" w:eastAsia="华文楷体" w:hint="eastAsia"/>
          <w:sz w:val="28"/>
        </w:rPr>
        <w:t>行动显</w:t>
      </w:r>
      <w:r>
        <w:rPr>
          <w:rFonts w:ascii="华文楷体" w:eastAsia="华文楷体" w:hint="eastAsia"/>
          <w:spacing w:val="-3"/>
          <w:sz w:val="28"/>
        </w:rPr>
        <w:t>著</w:t>
      </w:r>
      <w:r>
        <w:rPr>
          <w:rFonts w:ascii="华文楷体" w:eastAsia="华文楷体" w:hint="eastAsia"/>
          <w:sz w:val="28"/>
        </w:rPr>
        <w:t>提升</w:t>
      </w:r>
      <w:r>
        <w:rPr>
          <w:rFonts w:ascii="华文楷体" w:eastAsia="华文楷体" w:hint="eastAsia"/>
          <w:spacing w:val="-3"/>
          <w:sz w:val="28"/>
        </w:rPr>
        <w:t>人民</w:t>
      </w:r>
      <w:r>
        <w:rPr>
          <w:rFonts w:ascii="华文楷体" w:eastAsia="华文楷体" w:hint="eastAsia"/>
          <w:sz w:val="28"/>
        </w:rPr>
        <w:t>健康水平</w:t>
        <w:tab/>
        <w:t>6</w:t>
      </w:r>
    </w:p>
    <w:p>
      <w:pPr>
        <w:tabs>
          <w:tab w:pos="9073" w:val="right" w:leader="dot"/>
        </w:tabs>
        <w:spacing w:line="459" w:lineRule="exact" w:before="0"/>
        <w:ind w:left="0" w:right="14" w:firstLine="0"/>
        <w:jc w:val="center"/>
        <w:rPr>
          <w:rFonts w:ascii="华文楷体" w:eastAsia="华文楷体" w:hint="eastAsia"/>
          <w:sz w:val="28"/>
        </w:rPr>
      </w:pPr>
      <w:r>
        <w:rPr>
          <w:rFonts w:ascii="华文楷体" w:eastAsia="华文楷体" w:hint="eastAsia"/>
          <w:sz w:val="28"/>
        </w:rPr>
        <w:t>加强临</w:t>
      </w:r>
      <w:r>
        <w:rPr>
          <w:rFonts w:ascii="华文楷体" w:eastAsia="华文楷体" w:hint="eastAsia"/>
          <w:spacing w:val="-3"/>
          <w:sz w:val="28"/>
        </w:rPr>
        <w:t>床</w:t>
      </w:r>
      <w:r>
        <w:rPr>
          <w:rFonts w:ascii="华文楷体" w:eastAsia="华文楷体" w:hint="eastAsia"/>
          <w:sz w:val="28"/>
        </w:rPr>
        <w:t>药师</w:t>
      </w:r>
      <w:r>
        <w:rPr>
          <w:rFonts w:ascii="华文楷体" w:eastAsia="华文楷体" w:hint="eastAsia"/>
          <w:spacing w:val="-3"/>
          <w:sz w:val="28"/>
        </w:rPr>
        <w:t>队伍</w:t>
      </w:r>
      <w:r>
        <w:rPr>
          <w:rFonts w:ascii="华文楷体" w:eastAsia="华文楷体" w:hint="eastAsia"/>
          <w:sz w:val="28"/>
        </w:rPr>
        <w:t>建设</w:t>
        <w:tab/>
        <w:t>7</w:t>
      </w:r>
    </w:p>
    <w:p>
      <w:pPr>
        <w:tabs>
          <w:tab w:pos="9073" w:val="right" w:leader="dot"/>
        </w:tabs>
        <w:spacing w:before="2"/>
        <w:ind w:left="0" w:right="14" w:firstLine="0"/>
        <w:jc w:val="center"/>
        <w:rPr>
          <w:rFonts w:ascii="华文楷体" w:eastAsia="华文楷体" w:hint="eastAsia"/>
          <w:sz w:val="28"/>
        </w:rPr>
      </w:pPr>
      <w:r>
        <w:rPr>
          <w:rFonts w:ascii="华文楷体" w:eastAsia="华文楷体" w:hint="eastAsia"/>
          <w:sz w:val="28"/>
        </w:rPr>
        <w:t>基本药</w:t>
      </w:r>
      <w:r>
        <w:rPr>
          <w:rFonts w:ascii="华文楷体" w:eastAsia="华文楷体" w:hint="eastAsia"/>
          <w:spacing w:val="-3"/>
          <w:sz w:val="28"/>
        </w:rPr>
        <w:t>物</w:t>
      </w:r>
      <w:r>
        <w:rPr>
          <w:rFonts w:ascii="华文楷体" w:eastAsia="华文楷体" w:hint="eastAsia"/>
          <w:sz w:val="28"/>
        </w:rPr>
        <w:t>与医</w:t>
      </w:r>
      <w:r>
        <w:rPr>
          <w:rFonts w:ascii="华文楷体" w:eastAsia="华文楷体" w:hint="eastAsia"/>
          <w:spacing w:val="-3"/>
          <w:sz w:val="28"/>
        </w:rPr>
        <w:t>保应</w:t>
      </w:r>
      <w:r>
        <w:rPr>
          <w:rFonts w:ascii="华文楷体" w:eastAsia="华文楷体" w:hint="eastAsia"/>
          <w:sz w:val="28"/>
        </w:rPr>
        <w:t>协同衔接</w:t>
        <w:tab/>
        <w:t>7</w:t>
      </w:r>
    </w:p>
    <w:p>
      <w:pPr>
        <w:tabs>
          <w:tab w:pos="9073" w:val="right" w:leader="dot"/>
        </w:tabs>
        <w:spacing w:line="459" w:lineRule="exact" w:before="2"/>
        <w:ind w:left="0" w:right="14" w:firstLine="0"/>
        <w:jc w:val="center"/>
        <w:rPr>
          <w:rFonts w:ascii="华文楷体" w:eastAsia="华文楷体" w:hint="eastAsia"/>
          <w:sz w:val="28"/>
        </w:rPr>
      </w:pPr>
      <w:r>
        <w:rPr>
          <w:rFonts w:ascii="华文楷体" w:eastAsia="华文楷体" w:hint="eastAsia"/>
          <w:sz w:val="28"/>
        </w:rPr>
        <w:t>农工党</w:t>
      </w:r>
      <w:r>
        <w:rPr>
          <w:rFonts w:ascii="华文楷体" w:eastAsia="华文楷体" w:hint="eastAsia"/>
          <w:spacing w:val="-3"/>
          <w:sz w:val="28"/>
        </w:rPr>
        <w:t>中</w:t>
      </w:r>
      <w:r>
        <w:rPr>
          <w:rFonts w:ascii="华文楷体" w:eastAsia="华文楷体" w:hint="eastAsia"/>
          <w:sz w:val="28"/>
        </w:rPr>
        <w:t>央提</w:t>
      </w:r>
      <w:r>
        <w:rPr>
          <w:rFonts w:ascii="华文楷体" w:eastAsia="华文楷体" w:hint="eastAsia"/>
          <w:spacing w:val="-3"/>
          <w:sz w:val="28"/>
        </w:rPr>
        <w:t>案聚</w:t>
      </w:r>
      <w:r>
        <w:rPr>
          <w:rFonts w:ascii="华文楷体" w:eastAsia="华文楷体" w:hint="eastAsia"/>
          <w:sz w:val="28"/>
        </w:rPr>
        <w:t>焦群众</w:t>
      </w:r>
      <w:r>
        <w:rPr>
          <w:rFonts w:ascii="华文楷体" w:eastAsia="华文楷体" w:hint="eastAsia"/>
          <w:spacing w:val="-3"/>
          <w:sz w:val="28"/>
        </w:rPr>
        <w:t>用</w:t>
      </w:r>
      <w:r>
        <w:rPr>
          <w:rFonts w:ascii="华文楷体" w:eastAsia="华文楷体" w:hint="eastAsia"/>
          <w:sz w:val="28"/>
        </w:rPr>
        <w:t>药安</w:t>
      </w:r>
      <w:r>
        <w:rPr>
          <w:rFonts w:ascii="华文楷体" w:eastAsia="华文楷体" w:hint="eastAsia"/>
          <w:spacing w:val="-3"/>
          <w:sz w:val="28"/>
        </w:rPr>
        <w:t>全可</w:t>
      </w:r>
      <w:r>
        <w:rPr>
          <w:rFonts w:ascii="华文楷体" w:eastAsia="华文楷体" w:hint="eastAsia"/>
          <w:sz w:val="28"/>
        </w:rPr>
        <w:t>及</w:t>
        <w:tab/>
        <w:t>8</w:t>
      </w:r>
    </w:p>
    <w:p>
      <w:pPr>
        <w:tabs>
          <w:tab w:pos="9073" w:val="right" w:leader="dot"/>
        </w:tabs>
        <w:spacing w:line="459" w:lineRule="exact" w:before="0"/>
        <w:ind w:left="0" w:right="14" w:firstLine="0"/>
        <w:jc w:val="center"/>
        <w:rPr>
          <w:rFonts w:ascii="华文楷体" w:eastAsia="华文楷体" w:hint="eastAsia"/>
          <w:sz w:val="28"/>
        </w:rPr>
      </w:pPr>
      <w:r>
        <w:rPr>
          <w:rFonts w:ascii="华文楷体" w:eastAsia="华文楷体" w:hint="eastAsia"/>
          <w:sz w:val="28"/>
        </w:rPr>
        <w:t>建立基</w:t>
      </w:r>
      <w:r>
        <w:rPr>
          <w:rFonts w:ascii="华文楷体" w:eastAsia="华文楷体" w:hint="eastAsia"/>
          <w:spacing w:val="-3"/>
          <w:sz w:val="28"/>
        </w:rPr>
        <w:t>于</w:t>
      </w:r>
      <w:r>
        <w:rPr>
          <w:rFonts w:ascii="华文楷体" w:eastAsia="华文楷体" w:hint="eastAsia"/>
          <w:sz w:val="28"/>
        </w:rPr>
        <w:t>价值</w:t>
      </w:r>
      <w:r>
        <w:rPr>
          <w:rFonts w:ascii="华文楷体" w:eastAsia="华文楷体" w:hint="eastAsia"/>
          <w:spacing w:val="-3"/>
          <w:sz w:val="28"/>
        </w:rPr>
        <w:t>的药</w:t>
      </w:r>
      <w:r>
        <w:rPr>
          <w:rFonts w:ascii="华文楷体" w:eastAsia="华文楷体" w:hint="eastAsia"/>
          <w:sz w:val="28"/>
        </w:rPr>
        <w:t>品价格</w:t>
      </w:r>
      <w:r>
        <w:rPr>
          <w:rFonts w:ascii="华文楷体" w:eastAsia="华文楷体" w:hint="eastAsia"/>
          <w:spacing w:val="-3"/>
          <w:sz w:val="28"/>
        </w:rPr>
        <w:t>综</w:t>
      </w:r>
      <w:r>
        <w:rPr>
          <w:rFonts w:ascii="华文楷体" w:eastAsia="华文楷体" w:hint="eastAsia"/>
          <w:sz w:val="28"/>
        </w:rPr>
        <w:t>合评</w:t>
      </w:r>
      <w:r>
        <w:rPr>
          <w:rFonts w:ascii="华文楷体" w:eastAsia="华文楷体" w:hint="eastAsia"/>
          <w:spacing w:val="-3"/>
          <w:sz w:val="28"/>
        </w:rPr>
        <w:t>估机</w:t>
      </w:r>
      <w:r>
        <w:rPr>
          <w:rFonts w:ascii="华文楷体" w:eastAsia="华文楷体" w:hint="eastAsia"/>
          <w:sz w:val="28"/>
        </w:rPr>
        <w:t>制</w:t>
        <w:tab/>
        <w:t>9</w:t>
      </w:r>
    </w:p>
    <w:p>
      <w:pPr>
        <w:tabs>
          <w:tab w:pos="9073" w:val="right" w:leader="dot"/>
        </w:tabs>
        <w:spacing w:before="1"/>
        <w:ind w:left="0" w:right="14" w:firstLine="0"/>
        <w:jc w:val="center"/>
        <w:rPr>
          <w:rFonts w:ascii="华文楷体" w:eastAsia="华文楷体" w:hint="eastAsia"/>
          <w:sz w:val="28"/>
        </w:rPr>
      </w:pPr>
      <w:r>
        <w:rPr>
          <w:rFonts w:ascii="华文楷体" w:eastAsia="华文楷体" w:hint="eastAsia"/>
          <w:sz w:val="28"/>
        </w:rPr>
        <w:t>明确药</w:t>
      </w:r>
      <w:r>
        <w:rPr>
          <w:rFonts w:ascii="华文楷体" w:eastAsia="华文楷体" w:hint="eastAsia"/>
          <w:spacing w:val="-3"/>
          <w:sz w:val="28"/>
        </w:rPr>
        <w:t>事</w:t>
      </w:r>
      <w:r>
        <w:rPr>
          <w:rFonts w:ascii="华文楷体" w:eastAsia="华文楷体" w:hint="eastAsia"/>
          <w:sz w:val="28"/>
        </w:rPr>
        <w:t>服务</w:t>
      </w:r>
      <w:r>
        <w:rPr>
          <w:rFonts w:ascii="华文楷体" w:eastAsia="华文楷体" w:hint="eastAsia"/>
          <w:spacing w:val="-3"/>
          <w:sz w:val="28"/>
        </w:rPr>
        <w:t>费的</w:t>
      </w:r>
      <w:r>
        <w:rPr>
          <w:rFonts w:ascii="华文楷体" w:eastAsia="华文楷体" w:hint="eastAsia"/>
          <w:sz w:val="28"/>
        </w:rPr>
        <w:t>收费依</w:t>
      </w:r>
      <w:r>
        <w:rPr>
          <w:rFonts w:ascii="华文楷体" w:eastAsia="华文楷体" w:hint="eastAsia"/>
          <w:spacing w:val="-3"/>
          <w:sz w:val="28"/>
        </w:rPr>
        <w:t>据</w:t>
      </w:r>
      <w:r>
        <w:rPr>
          <w:rFonts w:ascii="华文楷体" w:eastAsia="华文楷体" w:hint="eastAsia"/>
          <w:sz w:val="28"/>
        </w:rPr>
        <w:t>和标准</w:t>
        <w:tab/>
        <w:t>9</w:t>
      </w:r>
    </w:p>
    <w:p>
      <w:pPr>
        <w:tabs>
          <w:tab w:pos="9075" w:val="right" w:leader="dot"/>
        </w:tabs>
        <w:spacing w:line="459" w:lineRule="exact" w:before="2"/>
        <w:ind w:left="0" w:right="11" w:firstLine="0"/>
        <w:jc w:val="center"/>
        <w:rPr>
          <w:rFonts w:ascii="华文楷体" w:eastAsia="华文楷体" w:hint="eastAsia"/>
          <w:sz w:val="28"/>
        </w:rPr>
      </w:pPr>
      <w:r>
        <w:rPr>
          <w:rFonts w:ascii="华文楷体" w:eastAsia="华文楷体" w:hint="eastAsia"/>
          <w:b/>
          <w:sz w:val="28"/>
        </w:rPr>
        <w:t>【药监动态】</w:t>
        <w:tab/>
      </w:r>
      <w:r>
        <w:rPr>
          <w:rFonts w:ascii="华文楷体" w:eastAsia="华文楷体" w:hint="eastAsia"/>
          <w:sz w:val="28"/>
        </w:rPr>
        <w:t>10</w:t>
      </w:r>
    </w:p>
    <w:p>
      <w:pPr>
        <w:tabs>
          <w:tab w:pos="9075" w:val="right" w:leader="dot"/>
        </w:tabs>
        <w:spacing w:line="459" w:lineRule="exact" w:before="0"/>
        <w:ind w:left="0" w:right="11" w:firstLine="0"/>
        <w:jc w:val="center"/>
        <w:rPr>
          <w:rFonts w:ascii="华文楷体" w:eastAsia="华文楷体" w:hint="eastAsia"/>
          <w:sz w:val="28"/>
        </w:rPr>
      </w:pPr>
      <w:r>
        <w:rPr>
          <w:rFonts w:ascii="华文楷体" w:eastAsia="华文楷体" w:hint="eastAsia"/>
          <w:sz w:val="28"/>
        </w:rPr>
        <w:t>化痔栓等</w:t>
      </w:r>
      <w:r>
        <w:rPr>
          <w:rFonts w:ascii="华文楷体" w:eastAsia="华文楷体" w:hint="eastAsia"/>
          <w:spacing w:val="-1"/>
          <w:sz w:val="28"/>
        </w:rPr>
        <w:t> </w:t>
      </w:r>
      <w:r>
        <w:rPr>
          <w:rFonts w:ascii="华文楷体" w:eastAsia="华文楷体" w:hint="eastAsia"/>
          <w:sz w:val="28"/>
        </w:rPr>
        <w:t>3</w:t>
      </w:r>
      <w:r>
        <w:rPr>
          <w:rFonts w:ascii="华文楷体" w:eastAsia="华文楷体" w:hint="eastAsia"/>
          <w:spacing w:val="-3"/>
          <w:sz w:val="28"/>
        </w:rPr>
        <w:t> </w:t>
      </w:r>
      <w:r>
        <w:rPr>
          <w:rFonts w:ascii="华文楷体" w:eastAsia="华文楷体" w:hint="eastAsia"/>
          <w:sz w:val="28"/>
        </w:rPr>
        <w:t>种药</w:t>
      </w:r>
      <w:r>
        <w:rPr>
          <w:rFonts w:ascii="华文楷体" w:eastAsia="华文楷体" w:hint="eastAsia"/>
          <w:spacing w:val="-3"/>
          <w:sz w:val="28"/>
        </w:rPr>
        <w:t>品</w:t>
      </w:r>
      <w:r>
        <w:rPr>
          <w:rFonts w:ascii="华文楷体" w:eastAsia="华文楷体" w:hint="eastAsia"/>
          <w:sz w:val="28"/>
        </w:rPr>
        <w:t>转换为</w:t>
      </w:r>
      <w:r>
        <w:rPr>
          <w:rFonts w:ascii="华文楷体" w:eastAsia="华文楷体" w:hint="eastAsia"/>
          <w:spacing w:val="-3"/>
          <w:sz w:val="28"/>
        </w:rPr>
        <w:t>处</w:t>
      </w:r>
      <w:r>
        <w:rPr>
          <w:rFonts w:ascii="华文楷体" w:eastAsia="华文楷体" w:hint="eastAsia"/>
          <w:sz w:val="28"/>
        </w:rPr>
        <w:t>方药</w:t>
        <w:tab/>
        <w:t>10</w:t>
      </w:r>
    </w:p>
    <w:p>
      <w:pPr>
        <w:tabs>
          <w:tab w:pos="9075" w:val="right" w:leader="dot"/>
        </w:tabs>
        <w:spacing w:before="1"/>
        <w:ind w:left="0" w:right="11" w:firstLine="0"/>
        <w:jc w:val="center"/>
        <w:rPr>
          <w:rFonts w:ascii="华文楷体" w:eastAsia="华文楷体" w:hint="eastAsia"/>
          <w:sz w:val="28"/>
        </w:rPr>
      </w:pPr>
      <w:r>
        <w:rPr>
          <w:rFonts w:ascii="华文楷体" w:eastAsia="华文楷体" w:hint="eastAsia"/>
          <w:sz w:val="28"/>
        </w:rPr>
        <w:t>关于修</w:t>
      </w:r>
      <w:r>
        <w:rPr>
          <w:rFonts w:ascii="华文楷体" w:eastAsia="华文楷体" w:hint="eastAsia"/>
          <w:spacing w:val="-3"/>
          <w:sz w:val="28"/>
        </w:rPr>
        <w:t>订</w:t>
      </w:r>
      <w:r>
        <w:rPr>
          <w:rFonts w:ascii="华文楷体" w:eastAsia="华文楷体" w:hint="eastAsia"/>
          <w:sz w:val="28"/>
        </w:rPr>
        <w:t>含头</w:t>
      </w:r>
      <w:r>
        <w:rPr>
          <w:rFonts w:ascii="华文楷体" w:eastAsia="华文楷体" w:hint="eastAsia"/>
          <w:spacing w:val="-3"/>
          <w:sz w:val="28"/>
        </w:rPr>
        <w:t>孢哌</w:t>
      </w:r>
      <w:r>
        <w:rPr>
          <w:rFonts w:ascii="华文楷体" w:eastAsia="华文楷体" w:hint="eastAsia"/>
          <w:sz w:val="28"/>
        </w:rPr>
        <w:t>酮药品</w:t>
      </w:r>
      <w:r>
        <w:rPr>
          <w:rFonts w:ascii="华文楷体" w:eastAsia="华文楷体" w:hint="eastAsia"/>
          <w:spacing w:val="-3"/>
          <w:sz w:val="28"/>
        </w:rPr>
        <w:t>说</w:t>
      </w:r>
      <w:r>
        <w:rPr>
          <w:rFonts w:ascii="华文楷体" w:eastAsia="华文楷体" w:hint="eastAsia"/>
          <w:sz w:val="28"/>
        </w:rPr>
        <w:t>明书</w:t>
      </w:r>
      <w:r>
        <w:rPr>
          <w:rFonts w:ascii="华文楷体" w:eastAsia="华文楷体" w:hint="eastAsia"/>
          <w:spacing w:val="-3"/>
          <w:sz w:val="28"/>
        </w:rPr>
        <w:t>的公</w:t>
      </w:r>
      <w:r>
        <w:rPr>
          <w:rFonts w:ascii="华文楷体" w:eastAsia="华文楷体" w:hint="eastAsia"/>
          <w:sz w:val="28"/>
        </w:rPr>
        <w:t>告（2019</w:t>
      </w:r>
      <w:r>
        <w:rPr>
          <w:rFonts w:ascii="华文楷体" w:eastAsia="华文楷体" w:hint="eastAsia"/>
          <w:spacing w:val="-1"/>
          <w:sz w:val="28"/>
        </w:rPr>
        <w:t> </w:t>
      </w:r>
      <w:r>
        <w:rPr>
          <w:rFonts w:ascii="华文楷体" w:eastAsia="华文楷体" w:hint="eastAsia"/>
          <w:sz w:val="28"/>
        </w:rPr>
        <w:t>年 </w:t>
      </w:r>
      <w:r>
        <w:rPr>
          <w:rFonts w:ascii="华文楷体" w:eastAsia="华文楷体" w:hint="eastAsia"/>
          <w:spacing w:val="1"/>
          <w:sz w:val="28"/>
        </w:rPr>
        <w:t> </w:t>
      </w:r>
      <w:r>
        <w:rPr>
          <w:rFonts w:ascii="华文楷体" w:eastAsia="华文楷体" w:hint="eastAsia"/>
          <w:sz w:val="28"/>
        </w:rPr>
        <w:t>第</w:t>
      </w:r>
      <w:r>
        <w:rPr>
          <w:rFonts w:ascii="华文楷体" w:eastAsia="华文楷体" w:hint="eastAsia"/>
          <w:spacing w:val="-1"/>
          <w:sz w:val="28"/>
        </w:rPr>
        <w:t> </w:t>
      </w:r>
      <w:r>
        <w:rPr>
          <w:rFonts w:ascii="华文楷体" w:eastAsia="华文楷体" w:hint="eastAsia"/>
          <w:sz w:val="28"/>
        </w:rPr>
        <w:t>13</w:t>
      </w:r>
      <w:r>
        <w:rPr>
          <w:rFonts w:ascii="华文楷体" w:eastAsia="华文楷体" w:hint="eastAsia"/>
          <w:spacing w:val="-2"/>
          <w:sz w:val="28"/>
        </w:rPr>
        <w:t> </w:t>
      </w:r>
      <w:r>
        <w:rPr>
          <w:rFonts w:ascii="华文楷体" w:eastAsia="华文楷体" w:hint="eastAsia"/>
          <w:sz w:val="28"/>
        </w:rPr>
        <w:t>号）</w:t>
        <w:tab/>
        <w:t>11</w:t>
      </w:r>
    </w:p>
    <w:p>
      <w:pPr>
        <w:tabs>
          <w:tab w:pos="9075" w:val="right" w:leader="dot"/>
        </w:tabs>
        <w:spacing w:line="459" w:lineRule="exact" w:before="2"/>
        <w:ind w:left="0" w:right="11" w:firstLine="0"/>
        <w:jc w:val="center"/>
        <w:rPr>
          <w:rFonts w:ascii="华文楷体" w:eastAsia="华文楷体" w:hint="eastAsia"/>
          <w:sz w:val="28"/>
        </w:rPr>
      </w:pPr>
      <w:r>
        <w:rPr>
          <w:rFonts w:ascii="华文楷体" w:eastAsia="华文楷体" w:hint="eastAsia"/>
          <w:w w:val="95"/>
          <w:sz w:val="28"/>
        </w:rPr>
        <w:t>关于修订阿莫西林（钠）克拉维酸钾制剂说明书的公告（2019</w:t>
      </w:r>
      <w:r>
        <w:rPr>
          <w:rFonts w:ascii="华文楷体" w:eastAsia="华文楷体" w:hint="eastAsia"/>
          <w:spacing w:val="-38"/>
          <w:w w:val="95"/>
          <w:sz w:val="28"/>
        </w:rPr>
        <w:t> </w:t>
      </w:r>
      <w:r>
        <w:rPr>
          <w:rFonts w:ascii="华文楷体" w:eastAsia="华文楷体" w:hint="eastAsia"/>
          <w:w w:val="95"/>
          <w:sz w:val="28"/>
        </w:rPr>
        <w:t>年</w:t>
      </w:r>
      <w:r>
        <w:rPr>
          <w:rFonts w:ascii="华文楷体" w:eastAsia="华文楷体" w:hint="eastAsia"/>
          <w:spacing w:val="-10"/>
          <w:w w:val="95"/>
          <w:sz w:val="28"/>
        </w:rPr>
        <w:t> </w:t>
      </w:r>
      <w:r>
        <w:rPr>
          <w:rFonts w:ascii="华文楷体" w:eastAsia="华文楷体" w:hint="eastAsia"/>
          <w:w w:val="95"/>
          <w:sz w:val="28"/>
        </w:rPr>
        <w:t>第</w:t>
      </w:r>
      <w:r>
        <w:rPr>
          <w:rFonts w:ascii="华文楷体" w:eastAsia="华文楷体" w:hint="eastAsia"/>
          <w:spacing w:val="-38"/>
          <w:w w:val="95"/>
          <w:sz w:val="28"/>
        </w:rPr>
        <w:t> </w:t>
      </w:r>
      <w:r>
        <w:rPr>
          <w:rFonts w:ascii="华文楷体" w:eastAsia="华文楷体" w:hint="eastAsia"/>
          <w:w w:val="95"/>
          <w:sz w:val="28"/>
        </w:rPr>
        <w:t>14</w:t>
      </w:r>
      <w:r>
        <w:rPr>
          <w:rFonts w:ascii="华文楷体" w:eastAsia="华文楷体" w:hint="eastAsia"/>
          <w:spacing w:val="-38"/>
          <w:w w:val="95"/>
          <w:sz w:val="28"/>
        </w:rPr>
        <w:t> </w:t>
      </w:r>
      <w:r>
        <w:rPr>
          <w:rFonts w:ascii="华文楷体" w:eastAsia="华文楷体" w:hint="eastAsia"/>
          <w:w w:val="95"/>
          <w:sz w:val="28"/>
        </w:rPr>
        <w:t>号）</w:t>
        <w:tab/>
        <w:t>12</w:t>
      </w:r>
    </w:p>
    <w:p>
      <w:pPr>
        <w:tabs>
          <w:tab w:pos="9075" w:val="right" w:leader="dot"/>
        </w:tabs>
        <w:spacing w:line="459" w:lineRule="exact" w:before="0"/>
        <w:ind w:left="0" w:right="11" w:firstLine="0"/>
        <w:jc w:val="center"/>
        <w:rPr>
          <w:rFonts w:ascii="华文楷体" w:eastAsia="华文楷体" w:hint="eastAsia"/>
          <w:sz w:val="28"/>
        </w:rPr>
      </w:pPr>
      <w:r>
        <w:rPr>
          <w:rFonts w:ascii="华文楷体" w:eastAsia="华文楷体" w:hint="eastAsia"/>
          <w:w w:val="85"/>
          <w:sz w:val="28"/>
        </w:rPr>
        <w:t>关于修订伤科接骨片、稳心制剂和牛黄解毒制剂说明书的公告（2019</w:t>
      </w:r>
      <w:r>
        <w:rPr>
          <w:rFonts w:ascii="华文楷体" w:eastAsia="华文楷体" w:hint="eastAsia"/>
          <w:spacing w:val="1"/>
          <w:w w:val="85"/>
          <w:sz w:val="28"/>
        </w:rPr>
        <w:t> </w:t>
      </w:r>
      <w:r>
        <w:rPr>
          <w:rFonts w:ascii="华文楷体" w:eastAsia="华文楷体" w:hint="eastAsia"/>
          <w:w w:val="85"/>
          <w:sz w:val="28"/>
        </w:rPr>
        <w:t>年第</w:t>
      </w:r>
      <w:r>
        <w:rPr>
          <w:rFonts w:ascii="华文楷体" w:eastAsia="华文楷体" w:hint="eastAsia"/>
          <w:spacing w:val="-1"/>
          <w:w w:val="85"/>
          <w:sz w:val="28"/>
        </w:rPr>
        <w:t> </w:t>
      </w:r>
      <w:r>
        <w:rPr>
          <w:rFonts w:ascii="华文楷体" w:eastAsia="华文楷体" w:hint="eastAsia"/>
          <w:w w:val="85"/>
          <w:sz w:val="28"/>
        </w:rPr>
        <w:t>15</w:t>
      </w:r>
      <w:r>
        <w:rPr>
          <w:rFonts w:ascii="华文楷体" w:eastAsia="华文楷体" w:hint="eastAsia"/>
          <w:spacing w:val="1"/>
          <w:w w:val="85"/>
          <w:sz w:val="28"/>
        </w:rPr>
        <w:t> </w:t>
      </w:r>
      <w:r>
        <w:rPr>
          <w:rFonts w:ascii="华文楷体" w:eastAsia="华文楷体" w:hint="eastAsia"/>
          <w:w w:val="85"/>
          <w:sz w:val="28"/>
        </w:rPr>
        <w:t>号）</w:t>
        <w:tab/>
        <w:t>16</w:t>
      </w:r>
    </w:p>
    <w:p>
      <w:pPr>
        <w:tabs>
          <w:tab w:pos="9075" w:val="right" w:leader="dot"/>
        </w:tabs>
        <w:spacing w:before="2"/>
        <w:ind w:left="0" w:right="11" w:firstLine="0"/>
        <w:jc w:val="center"/>
        <w:rPr>
          <w:rFonts w:ascii="华文楷体" w:eastAsia="华文楷体" w:hint="eastAsia"/>
          <w:sz w:val="28"/>
        </w:rPr>
      </w:pPr>
      <w:r>
        <w:rPr>
          <w:rFonts w:ascii="华文楷体" w:eastAsia="华文楷体" w:hint="eastAsia"/>
          <w:sz w:val="28"/>
        </w:rPr>
        <w:t>关于修</w:t>
      </w:r>
      <w:r>
        <w:rPr>
          <w:rFonts w:ascii="华文楷体" w:eastAsia="华文楷体" w:hint="eastAsia"/>
          <w:spacing w:val="-3"/>
          <w:sz w:val="28"/>
        </w:rPr>
        <w:t>订</w:t>
      </w:r>
      <w:r>
        <w:rPr>
          <w:rFonts w:ascii="华文楷体" w:eastAsia="华文楷体" w:hint="eastAsia"/>
          <w:sz w:val="28"/>
        </w:rPr>
        <w:t>骨刺</w:t>
      </w:r>
      <w:r>
        <w:rPr>
          <w:rFonts w:ascii="华文楷体" w:eastAsia="华文楷体" w:hint="eastAsia"/>
          <w:spacing w:val="-3"/>
          <w:sz w:val="28"/>
        </w:rPr>
        <w:t>胶囊</w:t>
      </w:r>
      <w:r>
        <w:rPr>
          <w:rFonts w:ascii="华文楷体" w:eastAsia="华文楷体" w:hint="eastAsia"/>
          <w:sz w:val="28"/>
        </w:rPr>
        <w:t>和骨刺</w:t>
      </w:r>
      <w:r>
        <w:rPr>
          <w:rFonts w:ascii="华文楷体" w:eastAsia="华文楷体" w:hint="eastAsia"/>
          <w:spacing w:val="-3"/>
          <w:sz w:val="28"/>
        </w:rPr>
        <w:t>片</w:t>
      </w:r>
      <w:r>
        <w:rPr>
          <w:rFonts w:ascii="华文楷体" w:eastAsia="华文楷体" w:hint="eastAsia"/>
          <w:sz w:val="28"/>
        </w:rPr>
        <w:t>说明</w:t>
      </w:r>
      <w:r>
        <w:rPr>
          <w:rFonts w:ascii="华文楷体" w:eastAsia="华文楷体" w:hint="eastAsia"/>
          <w:spacing w:val="-3"/>
          <w:sz w:val="28"/>
        </w:rPr>
        <w:t>书的</w:t>
      </w:r>
      <w:r>
        <w:rPr>
          <w:rFonts w:ascii="华文楷体" w:eastAsia="华文楷体" w:hint="eastAsia"/>
          <w:sz w:val="28"/>
        </w:rPr>
        <w:t>公告（2019 年第</w:t>
      </w:r>
      <w:r>
        <w:rPr>
          <w:rFonts w:ascii="华文楷体" w:eastAsia="华文楷体" w:hint="eastAsia"/>
          <w:spacing w:val="-2"/>
          <w:sz w:val="28"/>
        </w:rPr>
        <w:t> </w:t>
      </w:r>
      <w:r>
        <w:rPr>
          <w:rFonts w:ascii="华文楷体" w:eastAsia="华文楷体" w:hint="eastAsia"/>
          <w:sz w:val="28"/>
        </w:rPr>
        <w:t>16</w:t>
      </w:r>
      <w:r>
        <w:rPr>
          <w:rFonts w:ascii="华文楷体" w:eastAsia="华文楷体" w:hint="eastAsia"/>
          <w:spacing w:val="-2"/>
          <w:sz w:val="28"/>
        </w:rPr>
        <w:t> </w:t>
      </w:r>
      <w:r>
        <w:rPr>
          <w:rFonts w:ascii="华文楷体" w:eastAsia="华文楷体" w:hint="eastAsia"/>
          <w:sz w:val="28"/>
        </w:rPr>
        <w:t>号）</w:t>
        <w:tab/>
        <w:t>18</w:t>
      </w:r>
    </w:p>
    <w:p>
      <w:pPr>
        <w:spacing w:after="0"/>
        <w:jc w:val="center"/>
        <w:rPr>
          <w:rFonts w:ascii="华文楷体" w:eastAsia="华文楷体" w:hint="eastAsia"/>
          <w:sz w:val="28"/>
        </w:rPr>
        <w:sectPr>
          <w:footerReference w:type="default" r:id="rId5"/>
          <w:type w:val="continuous"/>
          <w:pgSz w:w="11910" w:h="16850"/>
          <w:pgMar w:footer="825" w:top="1080" w:bottom="1020" w:left="1040" w:right="880"/>
          <w:pgNumType w:start="1"/>
        </w:sectPr>
      </w:pPr>
    </w:p>
    <w:sdt>
      <w:sdtPr>
        <w:docPartObj>
          <w:docPartGallery w:val="Table of Contents"/>
          <w:docPartUnique/>
        </w:docPartObj>
      </w:sdtPr>
      <w:sdtEndPr/>
      <w:sdtContent>
        <w:p>
          <w:pPr>
            <w:pStyle w:val="TOC3"/>
            <w:tabs>
              <w:tab w:pos="9075" w:val="right" w:leader="dot"/>
            </w:tabs>
            <w:spacing w:line="459" w:lineRule="exact" w:before="224"/>
            <w:rPr>
              <w:b w:val="0"/>
              <w:i w:val="0"/>
              <w:sz w:val="28"/>
            </w:rPr>
          </w:pPr>
          <w:hyperlink w:history="true" w:anchor="_TOC_250026">
            <w:r>
              <w:rPr>
                <w:i w:val="0"/>
                <w:sz w:val="28"/>
              </w:rPr>
              <w:t>【医保动态】</w:t>
              <w:tab/>
            </w:r>
            <w:r>
              <w:rPr>
                <w:b w:val="0"/>
                <w:i w:val="0"/>
                <w:sz w:val="28"/>
              </w:rPr>
              <w:t>19</w:t>
            </w:r>
          </w:hyperlink>
        </w:p>
        <w:p>
          <w:pPr>
            <w:pStyle w:val="TOC2"/>
            <w:tabs>
              <w:tab w:pos="9075" w:val="right" w:leader="dot"/>
            </w:tabs>
            <w:spacing w:before="0"/>
          </w:pPr>
          <w:hyperlink w:history="true" w:anchor="_TOC_250025">
            <w:r>
              <w:rPr/>
              <w:t>鼓励医</w:t>
            </w:r>
            <w:r>
              <w:rPr>
                <w:spacing w:val="-3"/>
              </w:rPr>
              <w:t>疗</w:t>
            </w:r>
            <w:r>
              <w:rPr/>
              <w:t>机构</w:t>
            </w:r>
            <w:r>
              <w:rPr>
                <w:spacing w:val="-3"/>
              </w:rPr>
              <w:t>使用</w:t>
            </w:r>
            <w:r>
              <w:rPr/>
              <w:t>集采药品</w:t>
              <w:tab/>
              <w:t>19</w:t>
            </w:r>
          </w:hyperlink>
        </w:p>
        <w:p>
          <w:pPr>
            <w:pStyle w:val="TOC2"/>
            <w:tabs>
              <w:tab w:pos="9075" w:val="right" w:leader="dot"/>
            </w:tabs>
            <w:spacing w:line="240" w:lineRule="auto"/>
          </w:pPr>
          <w:hyperlink w:history="true" w:anchor="_TOC_250024">
            <w:r>
              <w:rPr/>
              <w:t>全国</w:t>
            </w:r>
            <w:r>
              <w:rPr>
                <w:spacing w:val="-1"/>
              </w:rPr>
              <w:t> </w:t>
            </w:r>
            <w:r>
              <w:rPr/>
              <w:t>4</w:t>
            </w:r>
            <w:r>
              <w:rPr>
                <w:spacing w:val="-1"/>
              </w:rPr>
              <w:t> </w:t>
            </w:r>
            <w:r>
              <w:rPr/>
              <w:t>个</w:t>
            </w:r>
            <w:r>
              <w:rPr>
                <w:spacing w:val="-3"/>
              </w:rPr>
              <w:t>月</w:t>
            </w:r>
            <w:r>
              <w:rPr/>
              <w:t>追回</w:t>
            </w:r>
            <w:r>
              <w:rPr>
                <w:spacing w:val="-3"/>
              </w:rPr>
              <w:t>医</w:t>
            </w:r>
            <w:r>
              <w:rPr/>
              <w:t>保资金 10</w:t>
            </w:r>
            <w:r>
              <w:rPr>
                <w:spacing w:val="-3"/>
              </w:rPr>
              <w:t> </w:t>
            </w:r>
            <w:r>
              <w:rPr/>
              <w:t>亿元</w:t>
              <w:tab/>
              <w:t>20</w:t>
            </w:r>
          </w:hyperlink>
        </w:p>
        <w:p>
          <w:pPr>
            <w:pStyle w:val="TOC2"/>
            <w:tabs>
              <w:tab w:pos="9075" w:val="right" w:leader="dot"/>
            </w:tabs>
            <w:spacing w:line="434" w:lineRule="exact" w:before="1"/>
          </w:pPr>
          <w:hyperlink w:history="true" w:anchor="_TOC_250023">
            <w:r>
              <w:rPr/>
              <w:t>新一轮</w:t>
            </w:r>
            <w:r>
              <w:rPr>
                <w:spacing w:val="-3"/>
              </w:rPr>
              <w:t>医</w:t>
            </w:r>
            <w:r>
              <w:rPr/>
              <w:t>保药</w:t>
            </w:r>
            <w:r>
              <w:rPr>
                <w:spacing w:val="-3"/>
              </w:rPr>
              <w:t>品目</w:t>
            </w:r>
            <w:r>
              <w:rPr/>
              <w:t>录调整</w:t>
            </w:r>
            <w:r>
              <w:rPr>
                <w:spacing w:val="-3"/>
              </w:rPr>
              <w:t>启</w:t>
            </w:r>
            <w:r>
              <w:rPr/>
              <w:t>动</w:t>
              <w:tab/>
              <w:t>20</w:t>
            </w:r>
          </w:hyperlink>
        </w:p>
        <w:p>
          <w:pPr>
            <w:pStyle w:val="TOC1"/>
          </w:pPr>
          <w:hyperlink w:history="true" w:anchor="_TOC_250022">
            <w:r>
              <w:rPr>
                <w:color w:val="1A5220"/>
              </w:rPr>
              <w:t>行业资讯</w:t>
            </w:r>
          </w:hyperlink>
        </w:p>
        <w:p>
          <w:pPr>
            <w:pStyle w:val="TOC3"/>
            <w:tabs>
              <w:tab w:pos="9075" w:val="right" w:leader="dot"/>
            </w:tabs>
            <w:spacing w:line="440" w:lineRule="exact"/>
            <w:rPr>
              <w:b w:val="0"/>
              <w:i w:val="0"/>
              <w:sz w:val="28"/>
            </w:rPr>
          </w:pPr>
          <w:r>
            <w:rPr>
              <w:i w:val="0"/>
              <w:sz w:val="28"/>
            </w:rPr>
            <w:t>【医院管理】</w:t>
            <w:tab/>
          </w:r>
          <w:r>
            <w:rPr>
              <w:b w:val="0"/>
              <w:i w:val="0"/>
              <w:sz w:val="28"/>
            </w:rPr>
            <w:t>20</w:t>
          </w:r>
        </w:p>
        <w:p>
          <w:pPr>
            <w:pStyle w:val="TOC2"/>
            <w:tabs>
              <w:tab w:pos="9075" w:val="right" w:leader="dot"/>
            </w:tabs>
            <w:spacing w:line="240" w:lineRule="auto"/>
          </w:pPr>
          <w:hyperlink w:history="true" w:anchor="_TOC_250021">
            <w:r>
              <w:rPr>
                <w:spacing w:val="2"/>
                <w:w w:val="89"/>
              </w:rPr>
              <w:t>我国基</w:t>
            </w:r>
            <w:r>
              <w:rPr>
                <w:w w:val="89"/>
              </w:rPr>
              <w:t>层</w:t>
            </w:r>
            <w:r>
              <w:rPr>
                <w:spacing w:val="2"/>
                <w:w w:val="89"/>
              </w:rPr>
              <w:t>医疗机构药学服务</w:t>
            </w:r>
            <w:r>
              <w:rPr>
                <w:w w:val="89"/>
              </w:rPr>
              <w:t>现</w:t>
            </w:r>
            <w:r>
              <w:rPr>
                <w:spacing w:val="2"/>
                <w:w w:val="89"/>
              </w:rPr>
              <w:t>状及问题研究（</w:t>
            </w:r>
            <w:r>
              <w:rPr>
                <w:w w:val="89"/>
              </w:rPr>
              <w:t>二</w:t>
            </w:r>
            <w:r>
              <w:rPr>
                <w:spacing w:val="-123"/>
                <w:w w:val="89"/>
              </w:rPr>
              <w:t>）</w:t>
            </w:r>
            <w:r>
              <w:rPr>
                <w:spacing w:val="2"/>
                <w:w w:val="89"/>
              </w:rPr>
              <w:t>：药师队</w:t>
            </w:r>
            <w:r>
              <w:rPr>
                <w:w w:val="89"/>
              </w:rPr>
              <w:t>伍</w:t>
            </w:r>
            <w:r>
              <w:rPr>
                <w:spacing w:val="2"/>
                <w:w w:val="89"/>
              </w:rPr>
              <w:t>建设现状</w:t>
            </w:r>
            <w:r>
              <w:rPr>
                <w:w w:val="89"/>
              </w:rPr>
              <w:t>分析</w:t>
            </w:r>
            <w:r>
              <w:rPr>
                <w:rFonts w:ascii="Times New Roman" w:eastAsia="Times New Roman"/>
                <w:b/>
                <w:w w:val="89"/>
              </w:rPr>
              <w:t> </w:t>
            </w:r>
            <w:r>
              <w:rPr>
                <w:rFonts w:ascii="Times New Roman" w:eastAsia="Times New Roman"/>
                <w:b/>
              </w:rPr>
              <w:tab/>
            </w:r>
            <w:r>
              <w:rPr>
                <w:w w:val="100"/>
              </w:rPr>
              <w:t>20</w:t>
            </w:r>
          </w:hyperlink>
        </w:p>
        <w:p>
          <w:pPr>
            <w:pStyle w:val="TOC3"/>
            <w:tabs>
              <w:tab w:pos="9075" w:val="right" w:leader="dot"/>
            </w:tabs>
            <w:rPr>
              <w:b w:val="0"/>
              <w:i w:val="0"/>
              <w:sz w:val="28"/>
            </w:rPr>
          </w:pPr>
          <w:hyperlink w:history="true" w:anchor="_TOC_250020">
            <w:r>
              <w:rPr>
                <w:i w:val="0"/>
                <w:sz w:val="28"/>
              </w:rPr>
              <w:t>【数据公报】</w:t>
              <w:tab/>
            </w:r>
            <w:r>
              <w:rPr>
                <w:b w:val="0"/>
                <w:i w:val="0"/>
                <w:sz w:val="28"/>
              </w:rPr>
              <w:t>27</w:t>
            </w:r>
          </w:hyperlink>
        </w:p>
        <w:p>
          <w:pPr>
            <w:pStyle w:val="TOC2"/>
            <w:tabs>
              <w:tab w:pos="9075" w:val="right" w:leader="dot"/>
            </w:tabs>
            <w:spacing w:line="435" w:lineRule="exact" w:before="1"/>
          </w:pPr>
          <w:hyperlink w:history="true" w:anchor="_TOC_250019">
            <w:r>
              <w:rPr/>
              <w:t>去年基</w:t>
            </w:r>
            <w:r>
              <w:rPr>
                <w:spacing w:val="-3"/>
              </w:rPr>
              <w:t>本</w:t>
            </w:r>
            <w:r>
              <w:rPr/>
              <w:t>医保支出</w:t>
            </w:r>
            <w:r>
              <w:rPr>
                <w:spacing w:val="-3"/>
              </w:rPr>
              <w:t> </w:t>
            </w:r>
            <w:r>
              <w:rPr/>
              <w:t>17607 </w:t>
            </w:r>
            <w:r>
              <w:rPr>
                <w:spacing w:val="-3"/>
              </w:rPr>
              <w:t>亿元</w:t>
              <w:tab/>
            </w:r>
            <w:r>
              <w:rPr/>
              <w:t>27</w:t>
            </w:r>
          </w:hyperlink>
        </w:p>
        <w:p>
          <w:pPr>
            <w:pStyle w:val="TOC1"/>
          </w:pPr>
          <w:hyperlink w:history="true" w:anchor="_TOC_250018">
            <w:r>
              <w:rPr>
                <w:color w:val="1A5220"/>
              </w:rPr>
              <w:t>医药前沿</w:t>
            </w:r>
          </w:hyperlink>
        </w:p>
        <w:p>
          <w:pPr>
            <w:pStyle w:val="TOC3"/>
            <w:tabs>
              <w:tab w:pos="9075" w:val="right" w:leader="dot"/>
            </w:tabs>
            <w:spacing w:line="438" w:lineRule="exact"/>
            <w:rPr>
              <w:b w:val="0"/>
              <w:i w:val="0"/>
              <w:sz w:val="28"/>
            </w:rPr>
          </w:pPr>
          <w:r>
            <w:rPr>
              <w:i w:val="0"/>
              <w:sz w:val="28"/>
            </w:rPr>
            <w:t>【研究进展】</w:t>
            <w:tab/>
          </w:r>
          <w:r>
            <w:rPr>
              <w:b w:val="0"/>
              <w:i w:val="0"/>
              <w:sz w:val="28"/>
            </w:rPr>
            <w:t>28</w:t>
          </w:r>
        </w:p>
        <w:p>
          <w:pPr>
            <w:pStyle w:val="TOC2"/>
            <w:tabs>
              <w:tab w:pos="9075" w:val="right" w:leader="dot"/>
            </w:tabs>
            <w:spacing w:line="240" w:lineRule="auto"/>
          </w:pPr>
          <w:hyperlink w:history="true" w:anchor="_TOC_250017">
            <w:r>
              <w:rPr/>
              <w:t>基因编</w:t>
            </w:r>
            <w:r>
              <w:rPr>
                <w:spacing w:val="-3"/>
              </w:rPr>
              <w:t>辑</w:t>
            </w:r>
            <w:r>
              <w:rPr/>
              <w:t>系统</w:t>
            </w:r>
            <w:r>
              <w:rPr>
                <w:spacing w:val="-3"/>
              </w:rPr>
              <w:t>分子</w:t>
            </w:r>
            <w:r>
              <w:rPr/>
              <w:t>机制获</w:t>
            </w:r>
            <w:r>
              <w:rPr>
                <w:spacing w:val="-3"/>
              </w:rPr>
              <w:t>揭</w:t>
            </w:r>
            <w:r>
              <w:rPr/>
              <w:t>示</w:t>
              <w:tab/>
              <w:t>28</w:t>
            </w:r>
          </w:hyperlink>
        </w:p>
        <w:p>
          <w:pPr>
            <w:pStyle w:val="TOC2"/>
            <w:tabs>
              <w:tab w:pos="9075" w:val="right" w:leader="dot"/>
            </w:tabs>
            <w:spacing w:before="1"/>
          </w:pPr>
          <w:hyperlink w:history="true" w:anchor="_TOC_250016">
            <w:r>
              <w:rPr/>
              <w:t>我学者</w:t>
            </w:r>
            <w:r>
              <w:rPr>
                <w:spacing w:val="-3"/>
              </w:rPr>
              <w:t>发</w:t>
            </w:r>
            <w:r>
              <w:rPr/>
              <w:t>现肝</w:t>
            </w:r>
            <w:r>
              <w:rPr>
                <w:spacing w:val="-3"/>
              </w:rPr>
              <w:t>癌重</w:t>
            </w:r>
            <w:r>
              <w:rPr/>
              <w:t>要潜在</w:t>
            </w:r>
            <w:r>
              <w:rPr>
                <w:spacing w:val="-3"/>
              </w:rPr>
              <w:t>靶</w:t>
            </w:r>
            <w:r>
              <w:rPr/>
              <w:t>标</w:t>
              <w:tab/>
              <w:t>28</w:t>
            </w:r>
          </w:hyperlink>
        </w:p>
        <w:p>
          <w:pPr>
            <w:pStyle w:val="TOC2"/>
            <w:tabs>
              <w:tab w:pos="9075" w:val="right" w:leader="dot"/>
            </w:tabs>
            <w:spacing w:line="435" w:lineRule="exact" w:before="0"/>
          </w:pPr>
          <w:hyperlink w:history="true" w:anchor="_TOC_250015">
            <w:r>
              <w:rPr/>
              <w:t>判断肿</w:t>
            </w:r>
            <w:r>
              <w:rPr>
                <w:spacing w:val="-3"/>
              </w:rPr>
              <w:t>瘤</w:t>
            </w:r>
            <w:r>
              <w:rPr/>
              <w:t>良恶</w:t>
            </w:r>
            <w:r>
              <w:rPr>
                <w:spacing w:val="-3"/>
              </w:rPr>
              <w:t>有新</w:t>
            </w:r>
            <w:r>
              <w:rPr/>
              <w:t>“利器”</w:t>
              <w:tab/>
              <w:t>29</w:t>
            </w:r>
          </w:hyperlink>
        </w:p>
        <w:p>
          <w:pPr>
            <w:pStyle w:val="TOC1"/>
            <w:spacing w:line="507" w:lineRule="exact"/>
          </w:pPr>
          <w:hyperlink w:history="true" w:anchor="_TOC_250014">
            <w:r>
              <w:rPr>
                <w:color w:val="1A5220"/>
              </w:rPr>
              <w:t>合理用药</w:t>
            </w:r>
          </w:hyperlink>
        </w:p>
        <w:p>
          <w:pPr>
            <w:pStyle w:val="TOC3"/>
            <w:tabs>
              <w:tab w:pos="9075" w:val="right" w:leader="dot"/>
            </w:tabs>
            <w:spacing w:line="439" w:lineRule="exact"/>
            <w:rPr>
              <w:b w:val="0"/>
              <w:i w:val="0"/>
              <w:sz w:val="28"/>
            </w:rPr>
          </w:pPr>
          <w:r>
            <w:rPr>
              <w:i w:val="0"/>
              <w:sz w:val="28"/>
            </w:rPr>
            <w:t>【临床药师】</w:t>
            <w:tab/>
          </w:r>
          <w:r>
            <w:rPr>
              <w:b w:val="0"/>
              <w:i w:val="0"/>
              <w:sz w:val="28"/>
            </w:rPr>
            <w:t>29</w:t>
          </w:r>
        </w:p>
        <w:p>
          <w:pPr>
            <w:pStyle w:val="TOC2"/>
            <w:tabs>
              <w:tab w:pos="9075" w:val="right" w:leader="dot"/>
            </w:tabs>
            <w:spacing w:before="0"/>
          </w:pPr>
          <w:hyperlink w:history="true" w:anchor="_TOC_250013">
            <w:r>
              <w:rPr/>
              <w:t>治疗体</w:t>
            </w:r>
            <w:r>
              <w:rPr>
                <w:spacing w:val="-3"/>
              </w:rPr>
              <w:t>位</w:t>
            </w:r>
            <w:r>
              <w:rPr/>
              <w:t>性低</w:t>
            </w:r>
            <w:r>
              <w:rPr>
                <w:spacing w:val="-3"/>
              </w:rPr>
              <w:t>血压</w:t>
            </w:r>
            <w:r>
              <w:rPr/>
              <w:t>的药物</w:t>
            </w:r>
            <w:r>
              <w:rPr>
                <w:spacing w:val="-3"/>
              </w:rPr>
              <w:t>与</w:t>
            </w:r>
            <w:r>
              <w:rPr/>
              <w:t>致体</w:t>
            </w:r>
            <w:r>
              <w:rPr>
                <w:spacing w:val="-3"/>
              </w:rPr>
              <w:t>位性</w:t>
            </w:r>
            <w:r>
              <w:rPr/>
              <w:t>低血压</w:t>
            </w:r>
            <w:r>
              <w:rPr>
                <w:spacing w:val="-3"/>
              </w:rPr>
              <w:t>的</w:t>
            </w:r>
            <w:r>
              <w:rPr/>
              <w:t>药物</w:t>
              <w:tab/>
              <w:t>29</w:t>
            </w:r>
          </w:hyperlink>
        </w:p>
        <w:p>
          <w:pPr>
            <w:pStyle w:val="TOC2"/>
            <w:tabs>
              <w:tab w:pos="9075" w:val="right" w:leader="dot"/>
            </w:tabs>
            <w:spacing w:line="240" w:lineRule="auto"/>
          </w:pPr>
          <w:hyperlink w:history="true" w:anchor="_TOC_250012">
            <w:r>
              <w:rPr/>
              <w:t>药师必</w:t>
            </w:r>
            <w:r>
              <w:rPr>
                <w:spacing w:val="-3"/>
              </w:rPr>
              <w:t>知</w:t>
            </w:r>
            <w:r>
              <w:rPr/>
              <w:t>：孕</w:t>
            </w:r>
            <w:r>
              <w:rPr>
                <w:spacing w:val="-3"/>
              </w:rPr>
              <w:t>妇安</w:t>
            </w:r>
            <w:r>
              <w:rPr/>
              <w:t>全用药</w:t>
            </w:r>
            <w:r>
              <w:rPr>
                <w:spacing w:val="-3"/>
              </w:rPr>
              <w:t>知</w:t>
            </w:r>
            <w:r>
              <w:rPr/>
              <w:t>多少</w:t>
              <w:tab/>
              <w:t>31</w:t>
            </w:r>
          </w:hyperlink>
        </w:p>
        <w:p>
          <w:pPr>
            <w:pStyle w:val="TOC3"/>
            <w:tabs>
              <w:tab w:pos="9075" w:val="right" w:leader="dot"/>
            </w:tabs>
            <w:spacing w:line="459" w:lineRule="exact" w:before="2"/>
            <w:rPr>
              <w:b w:val="0"/>
              <w:i w:val="0"/>
              <w:sz w:val="28"/>
            </w:rPr>
          </w:pPr>
          <w:hyperlink w:history="true" w:anchor="_TOC_250011">
            <w:r>
              <w:rPr>
                <w:i w:val="0"/>
                <w:sz w:val="28"/>
              </w:rPr>
              <w:t>【指南解读】</w:t>
              <w:tab/>
            </w:r>
            <w:r>
              <w:rPr>
                <w:b w:val="0"/>
                <w:i w:val="0"/>
                <w:sz w:val="28"/>
              </w:rPr>
              <w:t>32</w:t>
            </w:r>
          </w:hyperlink>
        </w:p>
        <w:p>
          <w:pPr>
            <w:pStyle w:val="TOC2"/>
            <w:tabs>
              <w:tab w:pos="9075" w:val="right" w:leader="dot"/>
            </w:tabs>
            <w:spacing w:before="0"/>
          </w:pPr>
          <w:hyperlink w:history="true" w:anchor="_TOC_250010">
            <w:r>
              <w:rPr/>
              <w:t>我国首</w:t>
            </w:r>
            <w:r>
              <w:rPr>
                <w:spacing w:val="-3"/>
              </w:rPr>
              <w:t>次</w:t>
            </w:r>
            <w:r>
              <w:rPr/>
              <w:t>发布</w:t>
            </w:r>
            <w:r>
              <w:rPr>
                <w:spacing w:val="-3"/>
              </w:rPr>
              <w:t>罕见</w:t>
            </w:r>
            <w:r>
              <w:rPr/>
              <w:t>病诊疗</w:t>
            </w:r>
            <w:r>
              <w:rPr>
                <w:spacing w:val="-3"/>
              </w:rPr>
              <w:t>指</w:t>
            </w:r>
            <w:r>
              <w:rPr/>
              <w:t>南</w:t>
              <w:tab/>
              <w:t>32</w:t>
            </w:r>
          </w:hyperlink>
        </w:p>
        <w:p>
          <w:pPr>
            <w:pStyle w:val="TOC3"/>
            <w:tabs>
              <w:tab w:pos="9075" w:val="right" w:leader="dot"/>
            </w:tabs>
            <w:spacing w:before="2"/>
            <w:rPr>
              <w:b w:val="0"/>
              <w:i w:val="0"/>
              <w:sz w:val="28"/>
            </w:rPr>
          </w:pPr>
          <w:hyperlink w:history="true" w:anchor="_TOC_250009">
            <w:r>
              <w:rPr>
                <w:i w:val="0"/>
                <w:sz w:val="28"/>
              </w:rPr>
              <w:t>【科普知识】</w:t>
              <w:tab/>
            </w:r>
            <w:r>
              <w:rPr>
                <w:b w:val="0"/>
                <w:i w:val="0"/>
                <w:sz w:val="28"/>
              </w:rPr>
              <w:t>33</w:t>
            </w:r>
          </w:hyperlink>
        </w:p>
        <w:p>
          <w:pPr>
            <w:pStyle w:val="TOC2"/>
            <w:tabs>
              <w:tab w:pos="9075" w:val="right" w:leader="dot"/>
            </w:tabs>
            <w:spacing w:before="1"/>
          </w:pPr>
          <w:hyperlink w:history="true" w:anchor="_TOC_250008">
            <w:r>
              <w:rPr/>
              <w:t>吃药不</w:t>
            </w:r>
            <w:r>
              <w:rPr>
                <w:spacing w:val="-3"/>
              </w:rPr>
              <w:t>恰</w:t>
            </w:r>
            <w:r>
              <w:rPr/>
              <w:t>当伤</w:t>
            </w:r>
            <w:r>
              <w:rPr>
                <w:spacing w:val="-3"/>
              </w:rPr>
              <w:t>肾！</w:t>
            </w:r>
            <w:r>
              <w:rPr/>
              <w:t>运动不</w:t>
            </w:r>
            <w:r>
              <w:rPr>
                <w:spacing w:val="-3"/>
              </w:rPr>
              <w:t>对</w:t>
            </w:r>
            <w:r>
              <w:rPr/>
              <w:t>路伤</w:t>
            </w:r>
            <w:r>
              <w:rPr>
                <w:spacing w:val="-3"/>
              </w:rPr>
              <w:t>肾！</w:t>
            </w:r>
            <w:r>
              <w:rPr/>
              <w:t>肾弱弱</w:t>
            </w:r>
            <w:r>
              <w:rPr>
                <w:spacing w:val="-3"/>
              </w:rPr>
              <w:t>地</w:t>
            </w:r>
            <w:r>
              <w:rPr/>
              <w:t>表示</w:t>
            </w:r>
            <w:r>
              <w:rPr>
                <w:spacing w:val="-3"/>
              </w:rPr>
              <w:t>：求</w:t>
            </w:r>
            <w:r>
              <w:rPr/>
              <w:t>关爱！</w:t>
              <w:tab/>
              <w:t>33</w:t>
            </w:r>
          </w:hyperlink>
        </w:p>
        <w:p>
          <w:pPr>
            <w:pStyle w:val="TOC2"/>
            <w:tabs>
              <w:tab w:pos="9075" w:val="right" w:leader="dot"/>
            </w:tabs>
            <w:spacing w:before="0"/>
          </w:pPr>
          <w:hyperlink w:history="true" w:anchor="_TOC_250007">
            <w:r>
              <w:rPr/>
              <w:t>益生菌</w:t>
            </w:r>
            <w:r>
              <w:rPr>
                <w:spacing w:val="-3"/>
              </w:rPr>
              <w:t>有</w:t>
            </w:r>
            <w:r>
              <w:rPr/>
              <w:t>“四</w:t>
            </w:r>
            <w:r>
              <w:rPr>
                <w:spacing w:val="-3"/>
              </w:rPr>
              <w:t>怕</w:t>
            </w:r>
            <w:r>
              <w:rPr/>
              <w:t>”</w:t>
              <w:tab/>
              <w:t>34</w:t>
            </w:r>
          </w:hyperlink>
        </w:p>
        <w:p>
          <w:pPr>
            <w:pStyle w:val="TOC2"/>
            <w:tabs>
              <w:tab w:pos="9075" w:val="right" w:leader="dot"/>
            </w:tabs>
            <w:spacing w:line="435" w:lineRule="exact"/>
          </w:pPr>
          <w:hyperlink w:history="true" w:anchor="_TOC_250006">
            <w:r>
              <w:rPr/>
              <w:t>先吃饭</w:t>
            </w:r>
            <w:r>
              <w:rPr>
                <w:spacing w:val="-3"/>
              </w:rPr>
              <w:t>还</w:t>
            </w:r>
            <w:r>
              <w:rPr/>
              <w:t>是先</w:t>
            </w:r>
            <w:r>
              <w:rPr>
                <w:spacing w:val="-3"/>
              </w:rPr>
              <w:t>吃药</w:t>
            </w:r>
            <w:r>
              <w:rPr/>
              <w:t>？这 8</w:t>
            </w:r>
            <w:r>
              <w:rPr>
                <w:spacing w:val="-1"/>
              </w:rPr>
              <w:t> </w:t>
            </w:r>
            <w:r>
              <w:rPr/>
              <w:t>张</w:t>
            </w:r>
            <w:r>
              <w:rPr>
                <w:spacing w:val="-3"/>
              </w:rPr>
              <w:t>图</w:t>
            </w:r>
            <w:r>
              <w:rPr/>
              <w:t>算是</w:t>
            </w:r>
            <w:r>
              <w:rPr>
                <w:spacing w:val="-3"/>
              </w:rPr>
              <w:t>说</w:t>
            </w:r>
            <w:r>
              <w:rPr/>
              <w:t>清楚了</w:t>
              <w:tab/>
              <w:t>35</w:t>
            </w:r>
          </w:hyperlink>
        </w:p>
        <w:p>
          <w:pPr>
            <w:pStyle w:val="TOC1"/>
          </w:pPr>
          <w:hyperlink w:history="true" w:anchor="_TOC_250005">
            <w:r>
              <w:rPr>
                <w:color w:val="1A5220"/>
              </w:rPr>
              <w:t>交流园地</w:t>
            </w:r>
          </w:hyperlink>
        </w:p>
        <w:p>
          <w:pPr>
            <w:pStyle w:val="TOC3"/>
            <w:tabs>
              <w:tab w:pos="9075" w:val="right" w:leader="dot"/>
            </w:tabs>
            <w:spacing w:line="438" w:lineRule="exact"/>
            <w:rPr>
              <w:b w:val="0"/>
              <w:i w:val="0"/>
              <w:sz w:val="28"/>
            </w:rPr>
          </w:pPr>
          <w:hyperlink w:history="true" w:anchor="_TOC_250004">
            <w:r>
              <w:rPr>
                <w:i w:val="0"/>
                <w:sz w:val="28"/>
              </w:rPr>
              <w:t>【药师风采】</w:t>
              <w:tab/>
            </w:r>
            <w:r>
              <w:rPr>
                <w:b w:val="0"/>
                <w:i w:val="0"/>
                <w:sz w:val="28"/>
              </w:rPr>
              <w:t>36</w:t>
            </w:r>
          </w:hyperlink>
        </w:p>
        <w:p>
          <w:pPr>
            <w:pStyle w:val="TOC2"/>
            <w:tabs>
              <w:tab w:pos="9075" w:val="right" w:leader="dot"/>
            </w:tabs>
            <w:spacing w:line="240" w:lineRule="auto"/>
          </w:pPr>
          <w:hyperlink w:history="true" w:anchor="_TOC_250003">
            <w:r>
              <w:rPr/>
              <w:t>宁德市</w:t>
            </w:r>
            <w:r>
              <w:rPr>
                <w:spacing w:val="-3"/>
              </w:rPr>
              <w:t>医</w:t>
            </w:r>
            <w:r>
              <w:rPr/>
              <w:t>院——</w:t>
            </w:r>
            <w:r>
              <w:rPr>
                <w:spacing w:val="-3"/>
              </w:rPr>
              <w:t>陈</w:t>
            </w:r>
            <w:r>
              <w:rPr/>
              <w:t>子春</w:t>
              <w:tab/>
              <w:t>36</w:t>
            </w:r>
          </w:hyperlink>
        </w:p>
        <w:p>
          <w:pPr>
            <w:pStyle w:val="TOC2"/>
            <w:tabs>
              <w:tab w:pos="9075" w:val="right" w:leader="dot"/>
            </w:tabs>
          </w:pPr>
          <w:hyperlink w:history="true" w:anchor="_TOC_250002">
            <w:r>
              <w:rPr/>
              <w:t>福建省</w:t>
            </w:r>
            <w:r>
              <w:rPr>
                <w:spacing w:val="-3"/>
              </w:rPr>
              <w:t>漳</w:t>
            </w:r>
            <w:r>
              <w:rPr/>
              <w:t>州市</w:t>
            </w:r>
            <w:r>
              <w:rPr>
                <w:spacing w:val="-3"/>
              </w:rPr>
              <w:t>医院</w:t>
            </w:r>
            <w:r>
              <w:rPr/>
              <w:t>——黄</w:t>
            </w:r>
            <w:r>
              <w:rPr>
                <w:spacing w:val="-3"/>
              </w:rPr>
              <w:t>小</w:t>
            </w:r>
            <w:r>
              <w:rPr/>
              <w:t>红</w:t>
              <w:tab/>
              <w:t>37</w:t>
            </w:r>
          </w:hyperlink>
        </w:p>
        <w:p>
          <w:pPr>
            <w:pStyle w:val="TOC2"/>
            <w:tabs>
              <w:tab w:pos="9075" w:val="right" w:leader="dot"/>
            </w:tabs>
            <w:spacing w:before="0"/>
          </w:pPr>
          <w:hyperlink w:history="true" w:anchor="_TOC_250001">
            <w:r>
              <w:rPr/>
              <w:t>江西省</w:t>
            </w:r>
            <w:r>
              <w:rPr>
                <w:spacing w:val="-3"/>
              </w:rPr>
              <w:t>儿</w:t>
            </w:r>
            <w:r>
              <w:rPr/>
              <w:t>童医</w:t>
            </w:r>
            <w:r>
              <w:rPr>
                <w:spacing w:val="-3"/>
              </w:rPr>
              <w:t>院</w:t>
            </w:r>
            <w:r>
              <w:rPr/>
              <w:t>——卢庆红</w:t>
              <w:tab/>
              <w:t>37</w:t>
            </w:r>
          </w:hyperlink>
        </w:p>
        <w:p>
          <w:pPr>
            <w:pStyle w:val="TOC2"/>
            <w:tabs>
              <w:tab w:pos="9075" w:val="right" w:leader="dot"/>
            </w:tabs>
            <w:spacing w:line="240" w:lineRule="auto" w:before="1"/>
          </w:pPr>
          <w:hyperlink w:history="true" w:anchor="_TOC_250000">
            <w:r>
              <w:rPr/>
              <w:t>江西省</w:t>
            </w:r>
            <w:r>
              <w:rPr>
                <w:spacing w:val="-3"/>
              </w:rPr>
              <w:t>妇</w:t>
            </w:r>
            <w:r>
              <w:rPr/>
              <w:t>幼保</w:t>
            </w:r>
            <w:r>
              <w:rPr>
                <w:spacing w:val="-3"/>
              </w:rPr>
              <w:t>健院</w:t>
            </w:r>
            <w:r>
              <w:rPr/>
              <w:t>——罗</w:t>
            </w:r>
            <w:r>
              <w:rPr>
                <w:spacing w:val="-3"/>
              </w:rPr>
              <w:t>晓</w:t>
            </w:r>
            <w:r>
              <w:rPr/>
              <w:t>红</w:t>
              <w:tab/>
              <w:t>38</w:t>
            </w:r>
          </w:hyperlink>
        </w:p>
      </w:sdtContent>
    </w:sdt>
    <w:p>
      <w:pPr>
        <w:spacing w:after="0" w:line="240" w:lineRule="auto"/>
        <w:sectPr>
          <w:headerReference w:type="default" r:id="rId7"/>
          <w:pgSz w:w="11910" w:h="16850"/>
          <w:pgMar w:header="906" w:footer="825" w:top="1100" w:bottom="1020" w:left="1040" w:right="880"/>
        </w:sectPr>
      </w:pPr>
    </w:p>
    <w:p>
      <w:pPr>
        <w:pStyle w:val="Heading2"/>
        <w:spacing w:before="993"/>
      </w:pPr>
      <w:r>
        <w:rPr/>
        <w:t>【政府要闻】</w:t>
      </w:r>
    </w:p>
    <w:p>
      <w:pPr>
        <w:spacing w:before="122"/>
        <w:ind w:left="237" w:right="0" w:firstLine="0"/>
        <w:jc w:val="left"/>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政策导览</w:t>
      </w:r>
    </w:p>
    <w:p>
      <w:pPr>
        <w:spacing w:after="0"/>
        <w:jc w:val="left"/>
        <w:rPr>
          <w:rFonts w:ascii="华文宋体" w:eastAsia="华文宋体" w:hint="eastAsia"/>
          <w:sz w:val="44"/>
        </w:rPr>
        <w:sectPr>
          <w:footerReference w:type="default" r:id="rId8"/>
          <w:pgSz w:w="11910" w:h="16850"/>
          <w:pgMar w:footer="607" w:header="906" w:top="1100" w:bottom="800" w:left="1040" w:right="880"/>
          <w:pgNumType w:start="1"/>
          <w:cols w:num="2" w:equalWidth="0">
            <w:col w:w="2207" w:space="1660"/>
            <w:col w:w="6123"/>
          </w:cols>
        </w:sectPr>
      </w:pPr>
    </w:p>
    <w:p>
      <w:pPr>
        <w:pStyle w:val="BodyText"/>
        <w:spacing w:before="14"/>
        <w:ind w:left="0"/>
        <w:rPr>
          <w:rFonts w:ascii="华文宋体"/>
          <w:b/>
          <w:sz w:val="17"/>
        </w:rPr>
      </w:pPr>
    </w:p>
    <w:p>
      <w:pPr>
        <w:spacing w:before="0"/>
        <w:ind w:left="0" w:right="19" w:firstLine="0"/>
        <w:jc w:val="center"/>
        <w:rPr>
          <w:b/>
          <w:sz w:val="32"/>
        </w:rPr>
      </w:pPr>
      <w:r>
        <w:rPr>
          <w:b/>
          <w:sz w:val="32"/>
        </w:rPr>
        <w:t>全国政协十三届二次会议在京开幕</w:t>
      </w:r>
    </w:p>
    <w:p>
      <w:pPr>
        <w:spacing w:before="79"/>
        <w:ind w:left="681" w:right="0" w:firstLine="0"/>
        <w:jc w:val="left"/>
        <w:rPr>
          <w:sz w:val="21"/>
        </w:rPr>
      </w:pPr>
      <w:r>
        <w:rPr>
          <w:sz w:val="21"/>
        </w:rPr>
        <w:t>习近平 李克强 栗战书 王沪宁 赵乐际 韩正 王岐山到会祝贺 汪洋作政协常委会工作报告 张庆黎</w:t>
      </w:r>
    </w:p>
    <w:p>
      <w:pPr>
        <w:spacing w:before="113"/>
        <w:ind w:left="0" w:right="9" w:firstLine="0"/>
        <w:jc w:val="center"/>
        <w:rPr>
          <w:sz w:val="21"/>
        </w:rPr>
      </w:pPr>
      <w:r>
        <w:rPr>
          <w:sz w:val="21"/>
        </w:rPr>
        <w:t>主持 苏辉作提案工作情况报告</w:t>
      </w:r>
    </w:p>
    <w:p>
      <w:pPr>
        <w:pStyle w:val="BodyText"/>
        <w:spacing w:before="7"/>
        <w:ind w:left="0"/>
        <w:rPr>
          <w:sz w:val="8"/>
        </w:rPr>
      </w:pPr>
    </w:p>
    <w:p>
      <w:pPr>
        <w:pStyle w:val="Heading3"/>
        <w:spacing w:before="67"/>
        <w:ind w:left="7807"/>
      </w:pPr>
      <w:r>
        <w:rPr>
          <w:color w:val="FF0000"/>
        </w:rPr>
        <w:t>（来源：新华社）</w:t>
      </w:r>
    </w:p>
    <w:p>
      <w:pPr>
        <w:pStyle w:val="BodyText"/>
        <w:spacing w:line="297" w:lineRule="auto" w:before="96"/>
        <w:ind w:right="247" w:firstLine="480"/>
        <w:jc w:val="both"/>
      </w:pPr>
      <w:r>
        <w:rPr>
          <w:spacing w:val="-9"/>
        </w:rPr>
        <w:t>凝聚共识谱写时代华章，共商国是同绘复兴宏图。中国人民政治协商会议第十三届全国</w:t>
      </w:r>
      <w:r>
        <w:rPr>
          <w:spacing w:val="-7"/>
        </w:rPr>
        <w:t>委员会第二次会议 </w:t>
      </w:r>
      <w:r>
        <w:rPr/>
        <w:t>3</w:t>
      </w:r>
      <w:r>
        <w:rPr>
          <w:spacing w:val="-14"/>
        </w:rPr>
        <w:t> 日下午在人民大会堂开幕。今后 </w:t>
      </w:r>
      <w:r>
        <w:rPr/>
        <w:t>10</w:t>
      </w:r>
      <w:r>
        <w:rPr>
          <w:spacing w:val="-17"/>
        </w:rPr>
        <w:t> 天里，</w:t>
      </w:r>
      <w:r>
        <w:rPr>
          <w:spacing w:val="-5"/>
        </w:rPr>
        <w:t>2000</w:t>
      </w:r>
      <w:r>
        <w:rPr>
          <w:spacing w:val="-9"/>
        </w:rPr>
        <w:t> 多名全国政协委员将认</w:t>
      </w:r>
      <w:r>
        <w:rPr>
          <w:spacing w:val="-10"/>
        </w:rPr>
        <w:t>真履行职责，广泛凝心聚力，强化使命担当，为决胜全面建成小康社会、夺取新时代中国特</w:t>
      </w:r>
      <w:r>
        <w:rPr/>
        <w:t>色社会主义伟大胜利作出新的更大贡献。</w:t>
      </w:r>
    </w:p>
    <w:p>
      <w:pPr>
        <w:pStyle w:val="BodyText"/>
        <w:spacing w:line="295" w:lineRule="auto"/>
        <w:ind w:right="131" w:firstLine="480"/>
      </w:pPr>
      <w:r>
        <w:rPr>
          <w:spacing w:val="-5"/>
        </w:rPr>
        <w:t>全国政协主席汪洋，全国政协副主席张庆黎、刘奇葆、帕巴拉</w:t>
      </w:r>
      <w:r>
        <w:rPr/>
        <w:t>·</w:t>
      </w:r>
      <w:r>
        <w:rPr>
          <w:spacing w:val="-7"/>
        </w:rPr>
        <w:t>格列朗杰、董建华、万钢、何厚铧、卢展工、王正伟、马飚、陈晓光、梁振英、夏宝龙、杨传堂、李斌、巴特尔、</w:t>
      </w:r>
      <w:r>
        <w:rPr>
          <w:spacing w:val="-17"/>
        </w:rPr>
        <w:t>汪永清、何立峰、苏辉、郑建邦、辜胜阻、刘新成、何维、邵鸿、高云龙在主席台前排就座。</w:t>
      </w:r>
    </w:p>
    <w:p>
      <w:pPr>
        <w:pStyle w:val="BodyText"/>
        <w:spacing w:line="295" w:lineRule="auto" w:before="2"/>
        <w:ind w:right="247" w:firstLine="480"/>
      </w:pPr>
      <w:r>
        <w:rPr>
          <w:spacing w:val="-8"/>
        </w:rPr>
        <w:t>党和国家领导人习近平、李克强、栗战书、王沪宁、赵乐际、韩正、王岐山等在主席台</w:t>
      </w:r>
      <w:r>
        <w:rPr/>
        <w:t>就座，祝贺大会召开。</w:t>
      </w:r>
    </w:p>
    <w:p>
      <w:pPr>
        <w:pStyle w:val="BodyText"/>
        <w:spacing w:before="2"/>
        <w:ind w:left="717"/>
      </w:pPr>
      <w:r>
        <w:rPr/>
        <w:t>全国政协十三届二次会议应出席委员 2157 人，实到 2133 人，符合规定人数。</w:t>
      </w:r>
    </w:p>
    <w:p>
      <w:pPr>
        <w:pStyle w:val="BodyText"/>
        <w:spacing w:before="74"/>
        <w:ind w:left="717"/>
      </w:pPr>
      <w:r>
        <w:rPr/>
        <w:t>下午 3 时，张庆黎宣布大会开幕，全体起立，唱国歌。</w:t>
      </w:r>
    </w:p>
    <w:p>
      <w:pPr>
        <w:pStyle w:val="BodyText"/>
        <w:spacing w:line="295" w:lineRule="auto" w:before="72"/>
        <w:ind w:left="717" w:right="2307"/>
      </w:pPr>
      <w:r>
        <w:rPr/>
        <w:t>大会首先审议通过了政协第十三届全国委员会第二次会议议程。 </w:t>
      </w:r>
      <w:r>
        <w:rPr>
          <w:spacing w:val="-1"/>
        </w:rPr>
        <w:t>汪洋代表政协第十三届全国委员会常务委员会，向大会报告工作。</w:t>
      </w:r>
    </w:p>
    <w:p>
      <w:pPr>
        <w:pStyle w:val="BodyText"/>
        <w:spacing w:line="297" w:lineRule="auto" w:before="4"/>
        <w:ind w:right="247" w:firstLine="480"/>
      </w:pPr>
      <w:r>
        <w:rPr/>
        <w:t>汪洋从三项重点工作和七个方面总结了过去一年人民政协的工作。他说，2018</w:t>
      </w:r>
      <w:r>
        <w:rPr>
          <w:spacing w:val="-15"/>
        </w:rPr>
        <w:t> 年是全</w:t>
      </w:r>
      <w:r>
        <w:rPr>
          <w:spacing w:val="-18"/>
        </w:rPr>
        <w:t>面贯彻中共十九大精神开局之年，也是十三届全国政协工作起步之年。在以习近平同志为核</w:t>
      </w:r>
      <w:r>
        <w:rPr>
          <w:spacing w:val="-10"/>
        </w:rPr>
        <w:t>心的中共中央坚强领导下，政协全国委员会及其常务委员会深入学习贯彻习近平新时代中国</w:t>
      </w:r>
      <w:r>
        <w:rPr>
          <w:spacing w:val="-8"/>
        </w:rPr>
        <w:t>特色社会主义思想，坚持团结和民主两大主题，坚持继承和创新有机结合，发挥专门协商机</w:t>
      </w:r>
      <w:r>
        <w:rPr>
          <w:spacing w:val="-12"/>
        </w:rPr>
        <w:t>构作用，在建言资政和凝聚共识上双向发力，切实担负起把中共中央的决策部署和对人民政</w:t>
      </w:r>
      <w:r>
        <w:rPr>
          <w:spacing w:val="-11"/>
        </w:rPr>
        <w:t>协工作的要求落实下去、把海内外中华儿女实现中华民族伟大复兴中国梦的智慧和力量凝聚</w:t>
      </w:r>
      <w:r>
        <w:rPr/>
        <w:t>起来的政治责任，推动各项工作取得新进展，展现了新时代人民政协的新面貌新气象。</w:t>
      </w:r>
    </w:p>
    <w:p>
      <w:pPr>
        <w:pStyle w:val="BodyText"/>
        <w:spacing w:line="297" w:lineRule="auto"/>
        <w:ind w:right="126" w:firstLine="480"/>
      </w:pPr>
      <w:r>
        <w:rPr/>
        <w:t>汪洋指出，2019</w:t>
      </w:r>
      <w:r>
        <w:rPr>
          <w:spacing w:val="-12"/>
        </w:rPr>
        <w:t> 年是中华人民共和国成立 </w:t>
      </w:r>
      <w:r>
        <w:rPr/>
        <w:t>70</w:t>
      </w:r>
      <w:r>
        <w:rPr>
          <w:spacing w:val="-12"/>
        </w:rPr>
        <w:t> 周年，人民政协也将迎来 </w:t>
      </w:r>
      <w:r>
        <w:rPr/>
        <w:t>70</w:t>
      </w:r>
      <w:r>
        <w:rPr>
          <w:spacing w:val="-10"/>
        </w:rPr>
        <w:t> 华诞。人民</w:t>
      </w:r>
      <w:r>
        <w:rPr>
          <w:spacing w:val="-14"/>
        </w:rPr>
        <w:t>政协工作的总体要求是：以习近平新时代中国特色社会主义思想为指导，全面贯彻中共十九</w:t>
      </w:r>
      <w:r>
        <w:rPr>
          <w:spacing w:val="-26"/>
        </w:rPr>
        <w:t>大和十九届二中、三中全会精神，增强“四个意识”，坚定“四个自信”，做到“两个维护”， </w:t>
      </w:r>
      <w:r>
        <w:rPr>
          <w:spacing w:val="-8"/>
        </w:rPr>
        <w:t>锚定使命任务，坚持团结和民主两大主题，围绕统筹推进“五位一体”总体布局、协调推进</w:t>
      </w:r>
    </w:p>
    <w:p>
      <w:pPr>
        <w:pStyle w:val="BodyText"/>
        <w:spacing w:line="297" w:lineRule="auto"/>
        <w:ind w:right="249"/>
        <w:jc w:val="both"/>
      </w:pPr>
      <w:r>
        <w:rPr>
          <w:spacing w:val="-8"/>
        </w:rPr>
        <w:t>“四个全面”战略布局，聚焦决胜全面建成小康社会、打好三大攻坚战等重点任务，认真履</w:t>
      </w:r>
      <w:r>
        <w:rPr>
          <w:spacing w:val="-11"/>
        </w:rPr>
        <w:t>行政治协商、民主监督、参政议政职能，提高建言资政和凝聚共识双向发力工作的质量，以</w:t>
      </w:r>
      <w:r>
        <w:rPr>
          <w:spacing w:val="-6"/>
        </w:rPr>
        <w:t>优异成绩庆祝新中国成立 </w:t>
      </w:r>
      <w:r>
        <w:rPr/>
        <w:t>70</w:t>
      </w:r>
      <w:r>
        <w:rPr>
          <w:spacing w:val="-15"/>
        </w:rPr>
        <w:t> 周年。</w:t>
      </w:r>
    </w:p>
    <w:p>
      <w:pPr>
        <w:pStyle w:val="BodyText"/>
        <w:spacing w:line="297" w:lineRule="auto"/>
        <w:ind w:right="247" w:firstLine="480"/>
      </w:pPr>
      <w:r>
        <w:rPr>
          <w:spacing w:val="-11"/>
        </w:rPr>
        <w:t>汪洋强调，要把习近平新时代中国特色社会主义思想作为统揽政协工作的总纲，崇尚学习、加强学习，以坚持和发展中国特色社会主义为主轴不断打牢共同思想政治基础。要把推</w:t>
      </w:r>
    </w:p>
    <w:p>
      <w:pPr>
        <w:spacing w:after="0" w:line="297" w:lineRule="auto"/>
        <w:sectPr>
          <w:type w:val="continuous"/>
          <w:pgSz w:w="11910" w:h="16850"/>
          <w:pgMar w:top="1080" w:bottom="1020" w:left="1040" w:right="880"/>
        </w:sectPr>
      </w:pPr>
    </w:p>
    <w:p>
      <w:pPr>
        <w:pStyle w:val="BodyText"/>
        <w:spacing w:line="297" w:lineRule="auto" w:before="65"/>
        <w:ind w:right="247"/>
        <w:jc w:val="both"/>
      </w:pPr>
      <w:r>
        <w:rPr>
          <w:spacing w:val="-7"/>
        </w:rPr>
        <w:t>动人民政协制度更加成熟更加定型、发挥好专门协商机构的作用，作为新时代的新方位新使</w:t>
      </w:r>
      <w:r>
        <w:rPr>
          <w:spacing w:val="-11"/>
        </w:rPr>
        <w:t>命，崇尚创新、勇于创新，加强理论研究，完善制度机制，推动实践发展。要把加强思想政</w:t>
      </w:r>
      <w:r>
        <w:rPr>
          <w:spacing w:val="-8"/>
        </w:rPr>
        <w:t>治引领、广泛凝聚共识作为人民政协履职工作的中心环节，崇尚团结、增进团结，调动一切积极因素，同心同德、共创复兴大业。</w:t>
      </w:r>
    </w:p>
    <w:p>
      <w:pPr>
        <w:pStyle w:val="BodyText"/>
        <w:spacing w:line="295" w:lineRule="auto"/>
        <w:ind w:right="248" w:firstLine="480"/>
      </w:pPr>
      <w:r>
        <w:rPr>
          <w:spacing w:val="-7"/>
        </w:rPr>
        <w:t>受政协第十三届全国委员会常务委员会委托，苏辉向大会报告政协十三届一次会议以来</w:t>
      </w:r>
      <w:r>
        <w:rPr/>
        <w:t>的提案工作情况。</w:t>
      </w:r>
    </w:p>
    <w:p>
      <w:pPr>
        <w:pStyle w:val="BodyText"/>
        <w:spacing w:line="297" w:lineRule="auto"/>
        <w:ind w:right="130" w:firstLine="480"/>
      </w:pPr>
      <w:r>
        <w:rPr/>
        <w:t>在主席台就座的领导同志还有：丁薛祥、王晨、刘鹤、许其亮、孙春兰、李希、李强、</w:t>
      </w:r>
      <w:r>
        <w:rPr>
          <w:spacing w:val="-10"/>
        </w:rPr>
        <w:t>李鸿忠、杨洁篪、杨晓渡、张又侠、陈希、陈全国、陈敏尔、胡春华、郭声琨、黄坤明、蔡</w:t>
      </w:r>
      <w:r>
        <w:rPr>
          <w:spacing w:val="-14"/>
        </w:rPr>
        <w:t>奇、尤权、曹建明、张春贤、沈跃跃、吉炳轩、艾力更</w:t>
      </w:r>
      <w:r>
        <w:rPr/>
        <w:t>·</w:t>
      </w:r>
      <w:r>
        <w:rPr>
          <w:spacing w:val="-11"/>
        </w:rPr>
        <w:t>依明巴海、万鄂湘、陈竺、王东明、</w:t>
      </w:r>
      <w:r>
        <w:rPr>
          <w:spacing w:val="-16"/>
        </w:rPr>
        <w:t>白玛赤林、丁仲礼、郝明金、蔡达峰、武维华、魏凤和、王勇、王毅、肖捷、赵克志、周强、</w:t>
      </w:r>
      <w:r>
        <w:rPr/>
        <w:t>张军等。</w:t>
      </w:r>
    </w:p>
    <w:p>
      <w:pPr>
        <w:pStyle w:val="BodyText"/>
        <w:spacing w:line="297" w:lineRule="auto"/>
        <w:ind w:right="130" w:firstLine="480"/>
      </w:pPr>
      <w:r>
        <w:rPr>
          <w:spacing w:val="-16"/>
        </w:rPr>
        <w:t>中共中央、全国人大常委会、国务院有关部门负责同志应邀列席开幕会。各国驻华使节、</w:t>
      </w:r>
      <w:r>
        <w:rPr/>
        <w:t>新闻官和海外侨胞等应邀参加开幕会。</w:t>
      </w:r>
    </w:p>
    <w:p>
      <w:pPr>
        <w:pStyle w:val="BodyText"/>
        <w:spacing w:before="3"/>
        <w:ind w:left="0"/>
        <w:rPr>
          <w:sz w:val="17"/>
        </w:rPr>
      </w:pPr>
    </w:p>
    <w:p>
      <w:pPr>
        <w:pStyle w:val="Heading2"/>
        <w:ind w:left="2574"/>
      </w:pPr>
      <w:r>
        <w:rPr/>
        <w:t>十三届全国人大二次会议在京开幕</w:t>
      </w:r>
    </w:p>
    <w:p>
      <w:pPr>
        <w:spacing w:before="79"/>
        <w:ind w:left="417" w:right="0" w:firstLine="0"/>
        <w:jc w:val="left"/>
        <w:rPr>
          <w:sz w:val="21"/>
        </w:rPr>
      </w:pPr>
      <w:r>
        <w:rPr>
          <w:sz w:val="21"/>
        </w:rPr>
        <w:t>习近平 汪洋 王沪宁 赵乐际 韩正 王岐山等在主席台就座 李克强作政府工作报告 栗战书主持大会</w:t>
      </w:r>
    </w:p>
    <w:p>
      <w:pPr>
        <w:pStyle w:val="Heading3"/>
        <w:spacing w:before="179"/>
        <w:ind w:left="0" w:right="248"/>
        <w:jc w:val="right"/>
      </w:pPr>
      <w:r>
        <w:rPr>
          <w:color w:val="FF0000"/>
          <w:w w:val="95"/>
        </w:rPr>
        <w:t>（来源：新华社）</w:t>
      </w:r>
    </w:p>
    <w:p>
      <w:pPr>
        <w:pStyle w:val="BodyText"/>
        <w:spacing w:line="295" w:lineRule="auto" w:before="96"/>
        <w:ind w:right="265" w:firstLine="480"/>
      </w:pPr>
      <w:r>
        <w:rPr>
          <w:spacing w:val="-4"/>
        </w:rPr>
        <w:t>第十三届全国人民代表大会第二次会议 </w:t>
      </w:r>
      <w:r>
        <w:rPr>
          <w:rFonts w:ascii="Times New Roman" w:eastAsia="Times New Roman"/>
        </w:rPr>
        <w:t>5 </w:t>
      </w:r>
      <w:r>
        <w:rPr>
          <w:spacing w:val="-5"/>
        </w:rPr>
        <w:t>日上午在人民大会堂开幕。近 </w:t>
      </w:r>
      <w:r>
        <w:rPr>
          <w:rFonts w:ascii="Times New Roman" w:eastAsia="Times New Roman"/>
        </w:rPr>
        <w:t>3000 </w:t>
      </w:r>
      <w:r>
        <w:rPr>
          <w:spacing w:val="-5"/>
        </w:rPr>
        <w:t>名全国人</w:t>
      </w:r>
      <w:r>
        <w:rPr/>
        <w:t>大代表肩负人民重托出席盛会，认真履行宪法和法律赋予的神圣职责。</w:t>
      </w:r>
    </w:p>
    <w:p>
      <w:pPr>
        <w:pStyle w:val="BodyText"/>
        <w:spacing w:line="295" w:lineRule="auto" w:before="4"/>
        <w:ind w:right="250" w:firstLine="480"/>
      </w:pPr>
      <w:r>
        <w:rPr>
          <w:spacing w:val="-11"/>
        </w:rPr>
        <w:t>春暖大地，万物勃发。人民大会堂万人大礼堂气氛庄重热烈，主席台帷幕正中的国徽在</w:t>
      </w:r>
      <w:r>
        <w:rPr/>
        <w:t>鲜艳的红旗映衬下熠熠生辉。</w:t>
      </w:r>
    </w:p>
    <w:p>
      <w:pPr>
        <w:pStyle w:val="BodyText"/>
        <w:spacing w:line="297" w:lineRule="auto" w:before="2"/>
        <w:ind w:right="127" w:firstLine="480"/>
        <w:jc w:val="both"/>
      </w:pPr>
      <w:r>
        <w:rPr>
          <w:spacing w:val="-14"/>
        </w:rPr>
        <w:t>大会主席团常务主席、执行主席栗战书主持大会。大会主席团常务主席、执行主席王晨、</w:t>
      </w:r>
      <w:r>
        <w:rPr>
          <w:spacing w:val="-5"/>
        </w:rPr>
        <w:t>曹建明、张春贤、沈跃跃、吉炳轩、艾力更</w:t>
      </w:r>
      <w:r>
        <w:rPr>
          <w:rFonts w:ascii="Calibri" w:hAnsi="Calibri" w:eastAsia="Calibri"/>
        </w:rPr>
        <w:t>·</w:t>
      </w:r>
      <w:r>
        <w:rPr>
          <w:spacing w:val="-5"/>
        </w:rPr>
        <w:t>依明巴海、万鄂湘、陈竺、王东明、白玛赤林、</w:t>
      </w:r>
      <w:r>
        <w:rPr/>
        <w:t>丁仲礼、郝明金、蔡达峰、武维华、杨振武在主席台执行主席席就座。</w:t>
      </w:r>
    </w:p>
    <w:p>
      <w:pPr>
        <w:pStyle w:val="BodyText"/>
        <w:spacing w:line="297" w:lineRule="auto"/>
        <w:ind w:right="247" w:firstLine="480"/>
      </w:pPr>
      <w:r>
        <w:rPr>
          <w:spacing w:val="-11"/>
        </w:rPr>
        <w:t>习近平、李克强、汪洋、王沪宁、赵乐际、韩正、王岐山和大会主席团成员在主席台就</w:t>
      </w:r>
      <w:r>
        <w:rPr/>
        <w:t>座。</w:t>
      </w:r>
    </w:p>
    <w:p>
      <w:pPr>
        <w:pStyle w:val="BodyText"/>
        <w:spacing w:line="306" w:lineRule="exact"/>
        <w:ind w:left="717"/>
        <w:rPr>
          <w:rFonts w:ascii="Times New Roman" w:eastAsia="Times New Roman"/>
        </w:rPr>
      </w:pPr>
      <w:r>
        <w:rPr>
          <w:spacing w:val="-4"/>
        </w:rPr>
        <w:t>十三届全国人大二次会议应出席代表 </w:t>
      </w:r>
      <w:r>
        <w:rPr>
          <w:rFonts w:ascii="Times New Roman" w:eastAsia="Times New Roman"/>
        </w:rPr>
        <w:t>2975 </w:t>
      </w:r>
      <w:r>
        <w:rPr>
          <w:spacing w:val="-17"/>
        </w:rPr>
        <w:t>人。</w:t>
      </w:r>
      <w:r>
        <w:rPr>
          <w:rFonts w:ascii="Times New Roman" w:eastAsia="Times New Roman"/>
        </w:rPr>
        <w:t>5 </w:t>
      </w:r>
      <w:r>
        <w:rPr>
          <w:spacing w:val="-11"/>
        </w:rPr>
        <w:t>日上午的会议，出席 </w:t>
      </w:r>
      <w:r>
        <w:rPr>
          <w:rFonts w:ascii="Times New Roman" w:eastAsia="Times New Roman"/>
        </w:rPr>
        <w:t>2948 </w:t>
      </w:r>
      <w:r>
        <w:rPr>
          <w:spacing w:val="-20"/>
        </w:rPr>
        <w:t>人，缺席 </w:t>
      </w:r>
      <w:r>
        <w:rPr>
          <w:rFonts w:ascii="Times New Roman" w:eastAsia="Times New Roman"/>
        </w:rPr>
        <w:t>27</w:t>
      </w:r>
    </w:p>
    <w:p>
      <w:pPr>
        <w:pStyle w:val="BodyText"/>
        <w:spacing w:before="68"/>
      </w:pPr>
      <w:r>
        <w:rPr/>
        <w:t>人，出席人数符合法定人数。</w:t>
      </w:r>
    </w:p>
    <w:p>
      <w:pPr>
        <w:pStyle w:val="BodyText"/>
        <w:spacing w:line="295" w:lineRule="auto" w:before="74"/>
        <w:ind w:right="80" w:firstLine="480"/>
      </w:pPr>
      <w:r>
        <w:rPr/>
        <w:t>上午 </w:t>
      </w:r>
      <w:r>
        <w:rPr>
          <w:rFonts w:ascii="Times New Roman" w:eastAsia="Times New Roman"/>
        </w:rPr>
        <w:t>9 </w:t>
      </w:r>
      <w:r>
        <w:rPr/>
        <w:t>时，栗战书宣布：中华人民共和国第十三届全国人民代表大会第二次会议开幕。会场全体起立，高唱国歌。</w:t>
      </w:r>
    </w:p>
    <w:p>
      <w:pPr>
        <w:pStyle w:val="BodyText"/>
        <w:spacing w:line="297" w:lineRule="auto" w:before="2"/>
        <w:ind w:right="247" w:firstLine="480"/>
        <w:jc w:val="right"/>
      </w:pPr>
      <w:r>
        <w:rPr>
          <w:spacing w:val="-7"/>
        </w:rPr>
        <w:t>根据会议议程，李克强代表国务院向大会作政府工作报告。报告共分三部分：一、</w:t>
      </w:r>
      <w:r>
        <w:rPr>
          <w:rFonts w:ascii="Times New Roman" w:eastAsia="Times New Roman"/>
          <w:spacing w:val="-3"/>
        </w:rPr>
        <w:t>2018</w:t>
      </w:r>
      <w:r>
        <w:rPr/>
        <w:t>年工作回顾；二、</w:t>
      </w:r>
      <w:r>
        <w:rPr>
          <w:rFonts w:ascii="Times New Roman" w:eastAsia="Times New Roman"/>
        </w:rPr>
        <w:t>2019 </w:t>
      </w:r>
      <w:r>
        <w:rPr/>
        <w:t>年经济社会发展总体要求和政策取向；三、</w:t>
      </w:r>
      <w:r>
        <w:rPr>
          <w:rFonts w:ascii="Times New Roman" w:eastAsia="Times New Roman"/>
        </w:rPr>
        <w:t>2019 </w:t>
      </w:r>
      <w:r>
        <w:rPr/>
        <w:t>年政府工作任务。</w:t>
      </w:r>
      <w:r>
        <w:rPr>
          <w:spacing w:val="-10"/>
        </w:rPr>
        <w:t>李克强说，过去一年我国发展面临多年少有的国内外复杂严峻形势，经济出现新的下行</w:t>
      </w:r>
    </w:p>
    <w:p>
      <w:pPr>
        <w:pStyle w:val="BodyText"/>
        <w:spacing w:line="297" w:lineRule="auto"/>
        <w:ind w:right="247"/>
        <w:jc w:val="both"/>
      </w:pPr>
      <w:r>
        <w:rPr>
          <w:spacing w:val="-11"/>
        </w:rPr>
        <w:t>压力。在以习近平同志为核心的党中央坚强领导下，全国各族人民以习近平新时代中国特色</w:t>
      </w:r>
      <w:r>
        <w:rPr>
          <w:spacing w:val="-8"/>
        </w:rPr>
        <w:t>社会主义思想为指导，砥砺奋进，攻坚克难，完成全年经济社会发展主要目标任务，决胜全</w:t>
      </w:r>
      <w:r>
        <w:rPr/>
        <w:t>面建成小康社会又取得新的重大进展。</w:t>
      </w:r>
    </w:p>
    <w:p>
      <w:pPr>
        <w:pStyle w:val="BodyText"/>
        <w:spacing w:line="297" w:lineRule="auto"/>
        <w:ind w:right="247" w:firstLine="480"/>
      </w:pPr>
      <w:r>
        <w:rPr>
          <w:spacing w:val="-6"/>
        </w:rPr>
        <w:t>李克强从八个方面对过去一年的工作进行了回顾：创新和完善宏观调控，经济保持平稳</w:t>
      </w:r>
      <w:r>
        <w:rPr>
          <w:spacing w:val="-9"/>
        </w:rPr>
        <w:t>运行；扎实打好三大攻坚战，重点任务取得积极进展；深化供给侧结构性改革，实体经济活</w:t>
      </w:r>
    </w:p>
    <w:p>
      <w:pPr>
        <w:spacing w:after="0" w:line="297" w:lineRule="auto"/>
        <w:sectPr>
          <w:pgSz w:w="11910" w:h="16850"/>
          <w:pgMar w:header="906" w:footer="607" w:top="1100" w:bottom="800" w:left="1040" w:right="880"/>
        </w:sectPr>
      </w:pPr>
    </w:p>
    <w:p>
      <w:pPr>
        <w:pStyle w:val="BodyText"/>
        <w:spacing w:line="297" w:lineRule="auto" w:before="65"/>
        <w:ind w:right="130"/>
      </w:pPr>
      <w:r>
        <w:rPr>
          <w:spacing w:val="-16"/>
        </w:rPr>
        <w:t>力不断释放；深入实施创新驱动发展战略，创新能力和效率进一步提升；加大改革开放力度， </w:t>
      </w:r>
      <w:r>
        <w:rPr>
          <w:spacing w:val="-7"/>
        </w:rPr>
        <w:t>发展动力继续增强；统筹城乡区域发展，良性互动格局加快形成；坚持在发展中保障和改善</w:t>
      </w:r>
      <w:r>
        <w:rPr>
          <w:spacing w:val="-10"/>
        </w:rPr>
        <w:t>民生，改革发展成果更多更公平惠及人民群众；推进法治政府建设和治理创新，保持社会和谐稳定。</w:t>
      </w:r>
    </w:p>
    <w:p>
      <w:pPr>
        <w:pStyle w:val="BodyText"/>
        <w:spacing w:line="297" w:lineRule="auto"/>
        <w:ind w:right="247" w:firstLine="480"/>
        <w:jc w:val="both"/>
      </w:pPr>
      <w:r>
        <w:rPr>
          <w:spacing w:val="-12"/>
        </w:rPr>
        <w:t>李克强指出，思危方能居安。在充分肯定成绩的同时，要清醒看到我国发展面临的问题</w:t>
      </w:r>
      <w:r>
        <w:rPr>
          <w:spacing w:val="-9"/>
        </w:rPr>
        <w:t>和挑战。我们一定要直面问题和挑战，勇于担当，恪尽职守，竭尽全力做好工作，决不辜负人民期待。</w:t>
      </w:r>
    </w:p>
    <w:p>
      <w:pPr>
        <w:pStyle w:val="BodyText"/>
        <w:spacing w:line="297" w:lineRule="auto"/>
        <w:ind w:right="248" w:firstLine="480"/>
        <w:jc w:val="right"/>
      </w:pPr>
      <w:r>
        <w:rPr>
          <w:spacing w:val="-2"/>
        </w:rPr>
        <w:t>李克强说，</w:t>
      </w:r>
      <w:r>
        <w:rPr>
          <w:rFonts w:ascii="Times New Roman" w:eastAsia="Times New Roman"/>
          <w:spacing w:val="-6"/>
        </w:rPr>
        <w:t>2019 </w:t>
      </w:r>
      <w:r>
        <w:rPr>
          <w:spacing w:val="-5"/>
        </w:rPr>
        <w:t>年经济社会发展的主要预期目标是：国内生产总值增长 </w:t>
      </w:r>
      <w:r>
        <w:rPr>
          <w:rFonts w:ascii="Times New Roman" w:eastAsia="Times New Roman"/>
          <w:spacing w:val="-4"/>
        </w:rPr>
        <w:t>6%</w:t>
      </w:r>
      <w:r>
        <w:rPr>
          <w:spacing w:val="-4"/>
        </w:rPr>
        <w:t>～</w:t>
      </w:r>
      <w:r>
        <w:rPr>
          <w:rFonts w:ascii="Times New Roman" w:eastAsia="Times New Roman"/>
          <w:spacing w:val="-4"/>
        </w:rPr>
        <w:t>6.5%</w:t>
      </w:r>
      <w:r>
        <w:rPr>
          <w:spacing w:val="-17"/>
        </w:rPr>
        <w:t>；城</w:t>
      </w:r>
      <w:r>
        <w:rPr>
          <w:spacing w:val="-11"/>
        </w:rPr>
        <w:t>镇新增就业 </w:t>
      </w:r>
      <w:r>
        <w:rPr>
          <w:rFonts w:ascii="Times New Roman" w:eastAsia="Times New Roman"/>
        </w:rPr>
        <w:t>1100 </w:t>
      </w:r>
      <w:r>
        <w:rPr>
          <w:spacing w:val="-5"/>
        </w:rPr>
        <w:t>万人以上，城镇调查失业率 </w:t>
      </w:r>
      <w:r>
        <w:rPr>
          <w:rFonts w:ascii="Times New Roman" w:eastAsia="Times New Roman"/>
        </w:rPr>
        <w:t>5.5%</w:t>
      </w:r>
      <w:r>
        <w:rPr>
          <w:spacing w:val="-6"/>
        </w:rPr>
        <w:t>左右，城镇登记失业率 </w:t>
      </w:r>
      <w:r>
        <w:rPr>
          <w:rFonts w:ascii="Times New Roman" w:eastAsia="Times New Roman"/>
        </w:rPr>
        <w:t>4.5%</w:t>
      </w:r>
      <w:r>
        <w:rPr/>
        <w:t>以内；居民</w:t>
      </w:r>
      <w:r>
        <w:rPr>
          <w:spacing w:val="-9"/>
        </w:rPr>
        <w:t>消费价格涨幅 </w:t>
      </w:r>
      <w:r>
        <w:rPr>
          <w:rFonts w:ascii="Times New Roman" w:eastAsia="Times New Roman"/>
        </w:rPr>
        <w:t>3%</w:t>
      </w:r>
      <w:r>
        <w:rPr>
          <w:spacing w:val="-2"/>
        </w:rPr>
        <w:t>左右；国际收支基本平衡，进出口稳中提质；宏观杠杆率基本稳定，金融</w:t>
      </w:r>
      <w:r>
        <w:rPr>
          <w:spacing w:val="-4"/>
        </w:rPr>
        <w:t>财政风险有效防控；农村贫困人口减少 </w:t>
      </w:r>
      <w:r>
        <w:rPr>
          <w:rFonts w:ascii="Times New Roman" w:eastAsia="Times New Roman"/>
        </w:rPr>
        <w:t>1000 </w:t>
      </w:r>
      <w:r>
        <w:rPr/>
        <w:t>万以上，居民收入增长与经济增长基本同步；</w:t>
      </w:r>
      <w:r>
        <w:rPr>
          <w:spacing w:val="-3"/>
        </w:rPr>
        <w:t>生态环境进一步改善，单位国内生产总值能耗下降 </w:t>
      </w:r>
      <w:r>
        <w:rPr>
          <w:rFonts w:ascii="Times New Roman" w:eastAsia="Times New Roman"/>
        </w:rPr>
        <w:t>3%</w:t>
      </w:r>
      <w:r>
        <w:rPr>
          <w:spacing w:val="-2"/>
        </w:rPr>
        <w:t>左右，主要污染物排放量继续下降。</w:t>
      </w:r>
      <w:r>
        <w:rPr>
          <w:spacing w:val="-5"/>
        </w:rPr>
        <w:t>李克强在报告中提出，做好 </w:t>
      </w:r>
      <w:r>
        <w:rPr>
          <w:rFonts w:ascii="Times New Roman" w:eastAsia="Times New Roman"/>
        </w:rPr>
        <w:t>2019 </w:t>
      </w:r>
      <w:r>
        <w:rPr/>
        <w:t>年政府工作，要注重把握好以下关系：一要统筹好国</w:t>
      </w:r>
    </w:p>
    <w:p>
      <w:pPr>
        <w:pStyle w:val="BodyText"/>
        <w:spacing w:line="295" w:lineRule="auto"/>
        <w:ind w:right="247"/>
      </w:pPr>
      <w:r>
        <w:rPr>
          <w:spacing w:val="-9"/>
        </w:rPr>
        <w:t>内与国际的关系，凝心聚力办好自己的事；二要平衡好稳增长与防风险的关系，确保经济持</w:t>
      </w:r>
      <w:r>
        <w:rPr/>
        <w:t>续健康发展；三要处理好政府与市场的关系，依靠改革开放激发市场主体活力。</w:t>
      </w:r>
    </w:p>
    <w:p>
      <w:pPr>
        <w:pStyle w:val="BodyText"/>
        <w:spacing w:line="297" w:lineRule="auto"/>
        <w:ind w:right="247" w:firstLine="480"/>
        <w:jc w:val="both"/>
      </w:pPr>
      <w:r>
        <w:rPr/>
        <w:t>李克强说，</w:t>
      </w:r>
      <w:r>
        <w:rPr>
          <w:rFonts w:ascii="Times New Roman" w:eastAsia="Times New Roman"/>
        </w:rPr>
        <w:t>2019 </w:t>
      </w:r>
      <w:r>
        <w:rPr/>
        <w:t>年要突出重点、把握关键，扎实做好十项工作：一是继续创新和完善</w:t>
      </w:r>
      <w:r>
        <w:rPr>
          <w:spacing w:val="-9"/>
        </w:rPr>
        <w:t>宏观调控，确保经济运行在合理区间；二是激发市场主体活力，着力优化营商环境；三是坚</w:t>
      </w:r>
      <w:r>
        <w:rPr>
          <w:spacing w:val="-14"/>
        </w:rPr>
        <w:t>持创新引领发展，培育壮大新动能；四是促进形成强大国内市场，持续释放内需潜力；五是</w:t>
      </w:r>
      <w:r>
        <w:rPr>
          <w:spacing w:val="-16"/>
        </w:rPr>
        <w:t>对标全面建成小康社会任务，扎实推进脱贫攻坚和乡村振兴；六是促进区域协调发展，提高</w:t>
      </w:r>
      <w:r>
        <w:rPr>
          <w:spacing w:val="-9"/>
        </w:rPr>
        <w:t>新型城镇化质量；七是加强污染防治和生态建设，大力推动绿色发展；八是深化重点领域改</w:t>
      </w:r>
      <w:r>
        <w:rPr>
          <w:spacing w:val="-10"/>
        </w:rPr>
        <w:t>革，加快完善市场机制；九是推动全方位对外开放，培育国际经济合作和竞争新优势；十是加快发展社会事业，更好保障和改善民生。</w:t>
      </w:r>
    </w:p>
    <w:p>
      <w:pPr>
        <w:pStyle w:val="BodyText"/>
        <w:spacing w:line="295" w:lineRule="auto"/>
        <w:ind w:right="252" w:firstLine="480"/>
        <w:jc w:val="both"/>
      </w:pPr>
      <w:r>
        <w:rPr>
          <w:spacing w:val="-8"/>
        </w:rPr>
        <w:t>李克强还就加强政府自身建设，民族、宗教和侨务工作，国防和军队建设，香港、澳门</w:t>
      </w:r>
      <w:r>
        <w:rPr/>
        <w:t>发展和两岸关系，以及我国外交政策作了阐述。</w:t>
      </w:r>
    </w:p>
    <w:p>
      <w:pPr>
        <w:pStyle w:val="BodyText"/>
        <w:spacing w:line="295" w:lineRule="auto"/>
        <w:ind w:right="248" w:firstLine="480"/>
        <w:jc w:val="both"/>
      </w:pPr>
      <w:r>
        <w:rPr>
          <w:spacing w:val="-11"/>
        </w:rPr>
        <w:t>根据会议议程，大会审查国务院关于 </w:t>
      </w:r>
      <w:r>
        <w:rPr>
          <w:rFonts w:ascii="Times New Roman" w:eastAsia="Times New Roman"/>
        </w:rPr>
        <w:t>2018 </w:t>
      </w:r>
      <w:r>
        <w:rPr>
          <w:spacing w:val="-4"/>
        </w:rPr>
        <w:t>年国民经济和社会发展计划执行情况与 </w:t>
      </w:r>
      <w:r>
        <w:rPr>
          <w:rFonts w:ascii="Times New Roman" w:eastAsia="Times New Roman"/>
          <w:spacing w:val="-4"/>
        </w:rPr>
        <w:t>2019 </w:t>
      </w:r>
      <w:r>
        <w:rPr>
          <w:spacing w:val="-4"/>
        </w:rPr>
        <w:t>年国民经济和社会发展计划草案的报告及 </w:t>
      </w:r>
      <w:r>
        <w:rPr>
          <w:rFonts w:ascii="Times New Roman" w:eastAsia="Times New Roman"/>
        </w:rPr>
        <w:t>2019 </w:t>
      </w:r>
      <w:r>
        <w:rPr>
          <w:spacing w:val="-8"/>
        </w:rPr>
        <w:t>年计划草案、</w:t>
      </w:r>
      <w:r>
        <w:rPr>
          <w:rFonts w:ascii="Times New Roman" w:eastAsia="Times New Roman"/>
        </w:rPr>
        <w:t>2018 </w:t>
      </w:r>
      <w:r>
        <w:rPr>
          <w:spacing w:val="-2"/>
        </w:rPr>
        <w:t>年中央和地方预算执行情</w:t>
      </w:r>
      <w:r>
        <w:rPr>
          <w:spacing w:val="-20"/>
        </w:rPr>
        <w:t>况与 </w:t>
      </w:r>
      <w:r>
        <w:rPr>
          <w:rFonts w:ascii="Times New Roman" w:eastAsia="Times New Roman"/>
        </w:rPr>
        <w:t>2019 </w:t>
      </w:r>
      <w:r>
        <w:rPr>
          <w:spacing w:val="-4"/>
        </w:rPr>
        <w:t>年中央和地方预算草案的报告及 </w:t>
      </w:r>
      <w:r>
        <w:rPr>
          <w:rFonts w:ascii="Times New Roman" w:eastAsia="Times New Roman"/>
        </w:rPr>
        <w:t>2019 </w:t>
      </w:r>
      <w:r>
        <w:rPr/>
        <w:t>年全国预算草案。</w:t>
      </w:r>
    </w:p>
    <w:p>
      <w:pPr>
        <w:pStyle w:val="BodyText"/>
        <w:spacing w:line="295" w:lineRule="auto"/>
        <w:ind w:right="129" w:firstLine="480"/>
      </w:pPr>
      <w:r>
        <w:rPr>
          <w:spacing w:val="-13"/>
        </w:rPr>
        <w:t>在主席台就座的还有：丁薛祥、刘鹤、许其亮、孙春兰、李希、李强、李鸿忠、杨洁篪、</w:t>
      </w:r>
      <w:r>
        <w:rPr>
          <w:spacing w:val="-17"/>
        </w:rPr>
        <w:t>杨晓渡、张又侠、陈希、陈全国、陈敏尔、胡春华、郭声琨、黄坤明、蔡奇、尤权、魏凤和、</w:t>
      </w:r>
      <w:r>
        <w:rPr/>
        <w:t>王勇、王毅、肖捷、赵克志、周强、张军、张庆黎、刘奇葆、帕巴拉</w:t>
      </w:r>
      <w:r>
        <w:rPr>
          <w:rFonts w:ascii="Calibri" w:hAnsi="Calibri" w:eastAsia="Calibri"/>
        </w:rPr>
        <w:t>·</w:t>
      </w:r>
      <w:r>
        <w:rPr/>
        <w:t>格列朗杰、董建华、</w:t>
      </w:r>
      <w:r>
        <w:rPr>
          <w:spacing w:val="-16"/>
        </w:rPr>
        <w:t>万钢、何厚铧、卢展工、王正伟、马飚、陈晓光、梁振英、夏宝龙、杨传堂、李斌、巴特尔、</w:t>
      </w:r>
      <w:r>
        <w:rPr>
          <w:spacing w:val="-12"/>
        </w:rPr>
        <w:t>汪永清、何立峰、苏辉、郑建邦、辜胜阻、刘新成、何维、邵鸿、高云龙，以及中央军委委员李作成、苗华、张升民等。</w:t>
      </w:r>
    </w:p>
    <w:p>
      <w:pPr>
        <w:pStyle w:val="BodyText"/>
        <w:spacing w:line="295" w:lineRule="auto"/>
        <w:ind w:right="250" w:firstLine="480"/>
        <w:jc w:val="both"/>
      </w:pPr>
      <w:r>
        <w:rPr>
          <w:spacing w:val="-8"/>
        </w:rPr>
        <w:t>香港特别行政区行政长官林郑月娥、澳门特别行政区行政长官崔世安列席会议并在主席</w:t>
      </w:r>
      <w:r>
        <w:rPr/>
        <w:t>台就座。</w:t>
      </w:r>
    </w:p>
    <w:p>
      <w:pPr>
        <w:pStyle w:val="BodyText"/>
        <w:spacing w:before="1"/>
        <w:ind w:left="717"/>
      </w:pPr>
      <w:r>
        <w:rPr/>
        <w:t>出席全国政协十三届二次会议的政协委员列席大会。</w:t>
      </w:r>
    </w:p>
    <w:p>
      <w:pPr>
        <w:pStyle w:val="BodyText"/>
        <w:spacing w:line="307" w:lineRule="auto" w:before="74"/>
        <w:ind w:left="717" w:right="128"/>
      </w:pPr>
      <w:r>
        <w:rPr>
          <w:spacing w:val="-16"/>
        </w:rPr>
        <w:t>中央和国家机关有关部门、解放军有关单位、各人民团体有关负责人列席或旁听了大会。</w:t>
      </w:r>
      <w:r>
        <w:rPr/>
        <w:t>各国驻华使节旁听了大会。</w:t>
      </w:r>
    </w:p>
    <w:p>
      <w:pPr>
        <w:spacing w:after="0" w:line="307" w:lineRule="auto"/>
        <w:sectPr>
          <w:pgSz w:w="11910" w:h="16850"/>
          <w:pgMar w:header="906" w:footer="607" w:top="1100" w:bottom="800" w:left="1040" w:right="880"/>
        </w:sectPr>
      </w:pPr>
    </w:p>
    <w:p>
      <w:pPr>
        <w:pStyle w:val="Heading2"/>
        <w:spacing w:line="395" w:lineRule="exact"/>
        <w:ind w:left="2897"/>
      </w:pPr>
      <w:r>
        <w:rPr/>
        <w:t>全国政协十三届二次会议闭幕</w:t>
      </w:r>
    </w:p>
    <w:p>
      <w:pPr>
        <w:spacing w:before="79"/>
        <w:ind w:left="1912" w:right="0" w:firstLine="0"/>
        <w:jc w:val="left"/>
        <w:rPr>
          <w:sz w:val="21"/>
        </w:rPr>
      </w:pPr>
      <w:r>
        <w:rPr>
          <w:sz w:val="21"/>
        </w:rPr>
        <w:t>习近平 李克强 栗战书 王沪宁 赵乐际 韩正 王岐山出席 汪洋发表讲话</w:t>
      </w:r>
    </w:p>
    <w:p>
      <w:pPr>
        <w:pStyle w:val="Heading3"/>
        <w:spacing w:before="80"/>
        <w:ind w:left="7807"/>
      </w:pPr>
      <w:r>
        <w:rPr>
          <w:color w:val="FF0000"/>
        </w:rPr>
        <w:t>（来源：新华社）</w:t>
      </w:r>
    </w:p>
    <w:p>
      <w:pPr>
        <w:pStyle w:val="BodyText"/>
        <w:spacing w:line="297" w:lineRule="auto" w:before="75"/>
        <w:ind w:right="126" w:firstLine="468"/>
      </w:pPr>
      <w:r>
        <w:rPr/>
        <w:t>中国人民政治协商会议第十三届全国委员会第二次会议在圆满完成各项议程后，</w:t>
      </w:r>
      <w:r>
        <w:rPr>
          <w:rFonts w:ascii="Calibri" w:eastAsia="Calibri"/>
        </w:rPr>
        <w:t>13 </w:t>
      </w:r>
      <w:r>
        <w:rPr/>
        <w:t>日</w:t>
      </w:r>
      <w:r>
        <w:rPr>
          <w:spacing w:val="-7"/>
        </w:rPr>
        <w:t>上午在人民大会堂闭幕。会议号召，人民政协各级组织、各参加单位和广大政协委员，要更</w:t>
      </w:r>
      <w:r>
        <w:rPr>
          <w:spacing w:val="-11"/>
        </w:rPr>
        <w:t>加紧密地团结在以习近平同志为核心的中共中央周围，高举中国特色社会主义伟大旗帜，继</w:t>
      </w:r>
      <w:r>
        <w:rPr>
          <w:spacing w:val="-12"/>
        </w:rPr>
        <w:t>续奋斗，切实把中共中央的决策部署和对人民政协工作的要求落实下去，把海内外中华儿女</w:t>
      </w:r>
      <w:r>
        <w:rPr>
          <w:spacing w:val="-18"/>
        </w:rPr>
        <w:t>实现中华民族伟大复兴中国梦的智慧和力量凝聚起来，以优异成绩庆祝新中国成立 </w:t>
      </w:r>
      <w:r>
        <w:rPr>
          <w:rFonts w:ascii="Calibri" w:eastAsia="Calibri"/>
        </w:rPr>
        <w:t>70 </w:t>
      </w:r>
      <w:r>
        <w:rPr>
          <w:spacing w:val="-6"/>
        </w:rPr>
        <w:t>周年， </w:t>
      </w:r>
      <w:r>
        <w:rPr>
          <w:spacing w:val="-9"/>
        </w:rPr>
        <w:t>为决胜全面建成小康社会，为把我国建设成为富强民主文明和谐美丽的社会主义现代化强国作出新的更大贡献。</w:t>
      </w:r>
    </w:p>
    <w:p>
      <w:pPr>
        <w:pStyle w:val="BodyText"/>
        <w:spacing w:line="297" w:lineRule="auto"/>
        <w:ind w:right="127" w:firstLine="468"/>
      </w:pPr>
      <w:r>
        <w:rPr>
          <w:spacing w:val="-12"/>
        </w:rPr>
        <w:t>会议由中共中央政治局常委、全国政协主席汪洋主持。全国政协副主席张庆黎、刘奇葆、</w:t>
      </w:r>
      <w:r>
        <w:rPr/>
        <w:t>帕巴拉</w:t>
      </w:r>
      <w:r>
        <w:rPr>
          <w:rFonts w:ascii="Calibri" w:hAnsi="Calibri" w:eastAsia="Calibri"/>
        </w:rPr>
        <w:t>·</w:t>
      </w:r>
      <w:r>
        <w:rPr/>
        <w:t>格列朗杰、董建华、万钢、何厚铧、卢展工、王正伟、马飚、陈晓光、梁振英、夏宝龙、杨传堂、李斌、巴特尔、汪永清、何立峰、苏辉、郑建邦、辜胜阻、刘新成、何维、邵鸿、高云龙在主席台前排就座。</w:t>
      </w:r>
    </w:p>
    <w:p>
      <w:pPr>
        <w:pStyle w:val="BodyText"/>
        <w:spacing w:line="301" w:lineRule="exact"/>
        <w:ind w:left="705"/>
      </w:pPr>
      <w:r>
        <w:rPr/>
        <w:t>习近平、李克强、栗战书、王沪宁、赵乐际、韩正、王岐山等在主席台就座。</w:t>
      </w:r>
    </w:p>
    <w:p>
      <w:pPr>
        <w:pStyle w:val="BodyText"/>
        <w:spacing w:before="64"/>
        <w:ind w:left="705"/>
      </w:pPr>
      <w:r>
        <w:rPr/>
        <w:t>上午 </w:t>
      </w:r>
      <w:r>
        <w:rPr>
          <w:rFonts w:ascii="Calibri" w:eastAsia="Calibri"/>
        </w:rPr>
        <w:t>9 </w:t>
      </w:r>
      <w:r>
        <w:rPr/>
        <w:t>时 </w:t>
      </w:r>
      <w:r>
        <w:rPr>
          <w:rFonts w:ascii="Calibri" w:eastAsia="Calibri"/>
        </w:rPr>
        <w:t>30 </w:t>
      </w:r>
      <w:r>
        <w:rPr/>
        <w:t>分，闭幕会开始。汪洋宣布，中国人民政治协商会议第十三届全国委员会</w:t>
      </w:r>
    </w:p>
    <w:p>
      <w:pPr>
        <w:pStyle w:val="BodyText"/>
        <w:spacing w:before="72"/>
      </w:pPr>
      <w:r>
        <w:rPr/>
        <w:t>第二次会议应出席委员 </w:t>
      </w:r>
      <w:r>
        <w:rPr>
          <w:rFonts w:ascii="Calibri" w:eastAsia="Calibri"/>
        </w:rPr>
        <w:t>2157 </w:t>
      </w:r>
      <w:r>
        <w:rPr/>
        <w:t>人，实到 </w:t>
      </w:r>
      <w:r>
        <w:rPr>
          <w:rFonts w:ascii="Calibri" w:eastAsia="Calibri"/>
        </w:rPr>
        <w:t>2123 </w:t>
      </w:r>
      <w:r>
        <w:rPr/>
        <w:t>人，符合规定人数。</w:t>
      </w:r>
    </w:p>
    <w:p>
      <w:pPr>
        <w:pStyle w:val="BodyText"/>
        <w:spacing w:line="297" w:lineRule="auto" w:before="72"/>
        <w:ind w:right="250" w:firstLine="468"/>
        <w:jc w:val="both"/>
      </w:pPr>
      <w:r>
        <w:rPr>
          <w:spacing w:val="-4"/>
        </w:rPr>
        <w:t>会议通过了政协第十三届全国委员会第二次会议关于常务委员会工作报告的决议、政协第十三届全国委员会提案委员会关于政协十三届二次会议提案审查情况的报告、政协第十三</w:t>
      </w:r>
      <w:r>
        <w:rPr/>
        <w:t>届全国委员会第二次会议政治决议。</w:t>
      </w:r>
    </w:p>
    <w:p>
      <w:pPr>
        <w:pStyle w:val="BodyText"/>
        <w:spacing w:line="297" w:lineRule="auto"/>
        <w:ind w:right="247" w:firstLine="468"/>
        <w:jc w:val="both"/>
      </w:pPr>
      <w:r>
        <w:rPr>
          <w:spacing w:val="-9"/>
        </w:rPr>
        <w:t>汪洋在讲话中说，这次会议是在全面建成小康社会进入关键之年召开的，中共中央高度</w:t>
      </w:r>
      <w:r>
        <w:rPr>
          <w:spacing w:val="-10"/>
        </w:rPr>
        <w:t>重视，各有关方面大力支持。中共中央总书记、国家主席、中央军委主席习近平等党和国家领导同志，出席会议并深入界别小组听取意见和建议，与委员共商国是。广大政协委员认真</w:t>
      </w:r>
      <w:r>
        <w:rPr>
          <w:spacing w:val="-6"/>
        </w:rPr>
        <w:t>学习贯彻习近平新时代中国特色社会主义思想，以高度的政治责任感和历史使命感，深入协</w:t>
      </w:r>
      <w:r>
        <w:rPr>
          <w:spacing w:val="-11"/>
        </w:rPr>
        <w:t>商、积极建言，取得重要成果。会议充分发扬民主、广泛凝聚共识，是一次求真务实、团结</w:t>
      </w:r>
      <w:r>
        <w:rPr>
          <w:spacing w:val="-10"/>
        </w:rPr>
        <w:t>奋进的大会，展现了人民政协这一专门协商机构的独特优势，彰显了中国特色社会主义民主</w:t>
      </w:r>
      <w:r>
        <w:rPr/>
        <w:t>政治的生机活力。</w:t>
      </w:r>
    </w:p>
    <w:p>
      <w:pPr>
        <w:pStyle w:val="BodyText"/>
        <w:spacing w:line="297" w:lineRule="auto"/>
        <w:ind w:right="128" w:firstLine="468"/>
      </w:pPr>
      <w:r>
        <w:rPr>
          <w:spacing w:val="-7"/>
        </w:rPr>
        <w:t>汪洋指出，今年是中华人民共和国成立 </w:t>
      </w:r>
      <w:r>
        <w:rPr>
          <w:rFonts w:ascii="Calibri" w:eastAsia="Calibri"/>
        </w:rPr>
        <w:t>70 </w:t>
      </w:r>
      <w:r>
        <w:rPr>
          <w:spacing w:val="-10"/>
        </w:rPr>
        <w:t>周年，人民政协也将迎来 </w:t>
      </w:r>
      <w:r>
        <w:rPr>
          <w:rFonts w:ascii="Calibri" w:eastAsia="Calibri"/>
        </w:rPr>
        <w:t>70 </w:t>
      </w:r>
      <w:r>
        <w:rPr>
          <w:spacing w:val="-5"/>
        </w:rPr>
        <w:t>华诞。</w:t>
      </w:r>
      <w:r>
        <w:rPr>
          <w:rFonts w:ascii="Calibri" w:eastAsia="Calibri"/>
        </w:rPr>
        <w:t>70 </w:t>
      </w:r>
      <w:r>
        <w:rPr>
          <w:spacing w:val="-4"/>
        </w:rPr>
        <w:t>年来， </w:t>
      </w:r>
      <w:r>
        <w:rPr>
          <w:spacing w:val="-6"/>
        </w:rPr>
        <w:t>人民政协积极投身建立新中国、建设新中国、探索改革路、实现中国梦的壮丽实践，走过了</w:t>
      </w:r>
      <w:r>
        <w:rPr>
          <w:spacing w:val="-18"/>
        </w:rPr>
        <w:t>辉煌的历程，建立了历史的功勋。中国特色社会主义进入新时代，人民政协的舞台更加宽广、</w:t>
      </w:r>
      <w:r>
        <w:rPr>
          <w:spacing w:val="-9"/>
        </w:rPr>
        <w:t>责任更加重大，要不忘初心、牢记使命，坚持人民政协的性质定位，把握人民政协新的历史方位，坚守信念和定力，汲取经验和智慧，推动人民政协事业不断向前发展。要崇尚学习、加强学习，加强思想政治引领，把科学理论武装成果转化为团结奋斗的共同思想政治基础， </w:t>
      </w:r>
      <w:r>
        <w:rPr>
          <w:spacing w:val="-12"/>
        </w:rPr>
        <w:t>在习近平新时代中国特色社会主义思想旗帜下携手前进。要崇尚创新、勇于创新，加强协商</w:t>
      </w:r>
      <w:r>
        <w:rPr>
          <w:spacing w:val="-13"/>
        </w:rPr>
        <w:t>民主建设，推动政协协商民主制度程序和运行方式的完善，推动人民政协制度更加成熟更加定型。要崇尚团结、增进团结，加强双向发力工作，汇聚起服务党和国家中心任务的合力， 努力画出最大同心圆。</w:t>
      </w:r>
    </w:p>
    <w:p>
      <w:pPr>
        <w:spacing w:after="0" w:line="297" w:lineRule="auto"/>
        <w:sectPr>
          <w:pgSz w:w="11910" w:h="16850"/>
          <w:pgMar w:header="906" w:footer="607" w:top="1100" w:bottom="800" w:left="1040" w:right="880"/>
        </w:sectPr>
      </w:pPr>
    </w:p>
    <w:p>
      <w:pPr>
        <w:pStyle w:val="BodyText"/>
        <w:spacing w:line="297" w:lineRule="auto" w:before="65"/>
        <w:ind w:right="127" w:firstLine="468"/>
      </w:pPr>
      <w:r>
        <w:rPr>
          <w:spacing w:val="-9"/>
        </w:rPr>
        <w:t>汪洋强调，新时代的人民政协要有新时代的样子，新时代的政协委员也要有新时代的形</w:t>
      </w:r>
      <w:r>
        <w:rPr>
          <w:spacing w:val="-10"/>
        </w:rPr>
        <w:t>象。要全面加强委员队伍建设，着力提升整体素质和履职本领，担负新的使命、成就新的光</w:t>
      </w:r>
      <w:r>
        <w:rPr>
          <w:spacing w:val="-11"/>
        </w:rPr>
        <w:t>荣。要保持奋斗者的姿态和干劲，敢于担当、善于斗争、永不停步、永不懈怠，始终心系国事、情牵民生，当好人民政协制度的参与者、实践者、推动者，写好每年的“委员作业”， </w:t>
      </w:r>
      <w:r>
        <w:rPr>
          <w:spacing w:val="-19"/>
        </w:rPr>
        <w:t>答好时代给出的考卷，展现新时代政协委员的绚丽风采，书写人民政协事业发展的光辉篇章。</w:t>
      </w:r>
    </w:p>
    <w:p>
      <w:pPr>
        <w:pStyle w:val="Heading2"/>
        <w:spacing w:before="34"/>
      </w:pPr>
      <w:r>
        <w:rPr/>
        <w:t>【两会声音】</w:t>
      </w:r>
    </w:p>
    <w:p>
      <w:pPr>
        <w:pStyle w:val="BodyText"/>
        <w:spacing w:before="8"/>
        <w:ind w:left="0"/>
        <w:rPr>
          <w:b/>
          <w:sz w:val="18"/>
        </w:rPr>
      </w:pPr>
    </w:p>
    <w:p>
      <w:pPr>
        <w:spacing w:after="0"/>
        <w:rPr>
          <w:sz w:val="18"/>
        </w:rPr>
        <w:sectPr>
          <w:pgSz w:w="11910" w:h="16850"/>
          <w:pgMar w:header="906" w:footer="607" w:top="1100" w:bottom="800" w:left="1040" w:right="880"/>
        </w:sectPr>
      </w:pPr>
    </w:p>
    <w:p>
      <w:pPr>
        <w:spacing w:before="55"/>
        <w:ind w:left="2897" w:right="0" w:firstLine="0"/>
        <w:jc w:val="left"/>
        <w:rPr>
          <w:b/>
          <w:sz w:val="32"/>
        </w:rPr>
      </w:pPr>
      <w:r>
        <w:rPr>
          <w:b/>
          <w:sz w:val="32"/>
        </w:rPr>
        <w:t>“让更多救命救急药进医保”</w:t>
      </w:r>
    </w:p>
    <w:p>
      <w:pPr>
        <w:pStyle w:val="BodyText"/>
        <w:ind w:left="0"/>
        <w:rPr>
          <w:b/>
        </w:rPr>
      </w:pPr>
      <w:r>
        <w:rPr/>
        <w:br w:type="column"/>
      </w:r>
      <w:r>
        <w:rPr>
          <w:b/>
        </w:rPr>
      </w:r>
    </w:p>
    <w:p>
      <w:pPr>
        <w:pStyle w:val="BodyText"/>
        <w:spacing w:before="8"/>
        <w:ind w:left="0"/>
        <w:rPr>
          <w:b/>
          <w:sz w:val="23"/>
        </w:rPr>
      </w:pPr>
    </w:p>
    <w:p>
      <w:pPr>
        <w:pStyle w:val="Heading3"/>
        <w:ind w:left="694"/>
      </w:pPr>
      <w:r>
        <w:rPr>
          <w:color w:val="FF0000"/>
        </w:rPr>
        <w:t>（来源：健康报）</w:t>
      </w:r>
    </w:p>
    <w:p>
      <w:pPr>
        <w:spacing w:after="0"/>
        <w:sectPr>
          <w:type w:val="continuous"/>
          <w:pgSz w:w="11910" w:h="16850"/>
          <w:pgMar w:top="1080" w:bottom="1020" w:left="1040" w:right="880"/>
          <w:cols w:num="2" w:equalWidth="0">
            <w:col w:w="7074" w:space="40"/>
            <w:col w:w="2876"/>
          </w:cols>
        </w:sectPr>
      </w:pPr>
    </w:p>
    <w:p>
      <w:pPr>
        <w:pStyle w:val="BodyText"/>
        <w:spacing w:line="295" w:lineRule="auto" w:before="98"/>
        <w:ind w:right="205" w:firstLine="480"/>
        <w:jc w:val="both"/>
      </w:pPr>
      <w:r>
        <w:rPr>
          <w:rFonts w:ascii="Times New Roman" w:hAnsi="Times New Roman" w:eastAsia="Times New Roman"/>
        </w:rPr>
        <w:t>3 </w:t>
      </w:r>
      <w:r>
        <w:rPr>
          <w:spacing w:val="-31"/>
        </w:rPr>
        <w:t>月 </w:t>
      </w:r>
      <w:r>
        <w:rPr>
          <w:rFonts w:ascii="Times New Roman" w:hAnsi="Times New Roman" w:eastAsia="Times New Roman"/>
        </w:rPr>
        <w:t>3 </w:t>
      </w:r>
      <w:r>
        <w:rPr>
          <w:spacing w:val="-1"/>
        </w:rPr>
        <w:t>日，全国政协十三届二次会议开幕会结束后，全国两会启动首场“部长通道”。</w:t>
      </w:r>
      <w:r>
        <w:rPr>
          <w:spacing w:val="-7"/>
        </w:rPr>
        <w:t>国家医疗保障局局长胡静林在“部长通道”上表示，将建立医保目录动态调整机制，“让更多救命救急的好药进入医保目录”。</w:t>
      </w:r>
    </w:p>
    <w:p>
      <w:pPr>
        <w:pStyle w:val="BodyText"/>
        <w:spacing w:line="297" w:lineRule="auto" w:before="6"/>
        <w:ind w:right="247" w:firstLine="480"/>
        <w:jc w:val="both"/>
      </w:pPr>
      <w:r>
        <w:rPr>
          <w:spacing w:val="-10"/>
        </w:rPr>
        <w:t>胡静林透露，为了让更多救命救急的好药进入医保，将改革现行医保目录管理办法，动</w:t>
      </w:r>
      <w:r>
        <w:rPr>
          <w:spacing w:val="-6"/>
        </w:rPr>
        <w:t>态调整医保目录，预计 </w:t>
      </w:r>
      <w:r>
        <w:rPr>
          <w:rFonts w:ascii="Times New Roman" w:hAnsi="Times New Roman" w:eastAsia="Times New Roman"/>
        </w:rPr>
        <w:t>2019 </w:t>
      </w:r>
      <w:r>
        <w:rPr>
          <w:spacing w:val="-5"/>
        </w:rPr>
        <w:t>年医保目录调整工作将在 </w:t>
      </w:r>
      <w:r>
        <w:rPr>
          <w:rFonts w:ascii="Times New Roman" w:hAnsi="Times New Roman" w:eastAsia="Times New Roman"/>
        </w:rPr>
        <w:t>9 </w:t>
      </w:r>
      <w:r>
        <w:rPr/>
        <w:t>月完成。目录调整将综合考虑医保</w:t>
      </w:r>
      <w:r>
        <w:rPr>
          <w:spacing w:val="-8"/>
        </w:rPr>
        <w:t>承受能力和临床需求，将按照“保基本”的要求，重点考虑基本药物、癌症和罕见病等重大</w:t>
      </w:r>
      <w:r>
        <w:rPr>
          <w:spacing w:val="-11"/>
        </w:rPr>
        <w:t>疾病用药，以及慢性疾病和儿童疾病用药。与此同时，不具备条件的药品也将调出目录，以不断优化医保目录结构，解决群众用药难用药贵的问题。</w:t>
      </w:r>
    </w:p>
    <w:p>
      <w:pPr>
        <w:pStyle w:val="BodyText"/>
        <w:spacing w:line="300" w:lineRule="exact"/>
        <w:ind w:left="717"/>
      </w:pPr>
      <w:r>
        <w:rPr/>
        <w:t>谈及医保骗保问题，胡静林回应说，当前医保骗保问题严重，相当普遍。去年 </w:t>
      </w:r>
      <w:r>
        <w:rPr>
          <w:rFonts w:ascii="Times New Roman" w:eastAsia="Times New Roman"/>
        </w:rPr>
        <w:t>9 </w:t>
      </w:r>
      <w:r>
        <w:rPr/>
        <w:t>月，国</w:t>
      </w:r>
    </w:p>
    <w:p>
      <w:pPr>
        <w:pStyle w:val="BodyText"/>
        <w:spacing w:before="74"/>
      </w:pPr>
      <w:r>
        <w:rPr>
          <w:spacing w:val="-9"/>
        </w:rPr>
        <w:t>家医保局会同有关部门开展打击欺诈骗保专项行动，目前，专项行动查处违规机构 </w:t>
      </w:r>
      <w:r>
        <w:rPr>
          <w:rFonts w:ascii="Times New Roman" w:eastAsia="Times New Roman"/>
        </w:rPr>
        <w:t>6.6 </w:t>
      </w:r>
      <w:r>
        <w:rPr/>
        <w:t>万家，</w:t>
      </w:r>
    </w:p>
    <w:p>
      <w:pPr>
        <w:pStyle w:val="BodyText"/>
        <w:spacing w:line="297" w:lineRule="auto" w:before="72"/>
        <w:ind w:right="248"/>
        <w:jc w:val="both"/>
      </w:pPr>
      <w:r>
        <w:rPr>
          <w:spacing w:val="-9"/>
        </w:rPr>
        <w:t>违规参保个人 </w:t>
      </w:r>
      <w:r>
        <w:rPr>
          <w:rFonts w:ascii="Times New Roman" w:hAnsi="Times New Roman" w:eastAsia="Times New Roman"/>
        </w:rPr>
        <w:t>2.4 </w:t>
      </w:r>
      <w:r>
        <w:rPr>
          <w:spacing w:val="-7"/>
        </w:rPr>
        <w:t>万人。但形势依然非常严峻，还要持续发力，出重拳、打硬仗，打击骗保</w:t>
      </w:r>
      <w:r>
        <w:rPr>
          <w:spacing w:val="-15"/>
        </w:rPr>
        <w:t>是今年医保工作的头等大事，要“三个加大”和“三个用好”。即要加大打击力度，继续开</w:t>
      </w:r>
      <w:r>
        <w:rPr>
          <w:spacing w:val="-10"/>
        </w:rPr>
        <w:t>展专项治理；要加大检查力度，提高抽检、飞检的频率；要加大曝光力度。用好举报奖励制</w:t>
      </w:r>
      <w:r>
        <w:rPr>
          <w:spacing w:val="-11"/>
        </w:rPr>
        <w:t>度，鼓励群众积极参与；用好现代信息技术；用好第三方力量。同时还要加强内部监管，对</w:t>
      </w:r>
      <w:r>
        <w:rPr/>
        <w:t>医保系统内部参与骗保的不法分子严厉查处，绝不姑息。</w:t>
      </w:r>
    </w:p>
    <w:p>
      <w:pPr>
        <w:pStyle w:val="BodyText"/>
        <w:spacing w:before="5"/>
        <w:ind w:left="0"/>
        <w:rPr>
          <w:sz w:val="13"/>
        </w:rPr>
      </w:pPr>
    </w:p>
    <w:p>
      <w:pPr>
        <w:spacing w:after="0"/>
        <w:rPr>
          <w:sz w:val="13"/>
        </w:rPr>
        <w:sectPr>
          <w:type w:val="continuous"/>
          <w:pgSz w:w="11910" w:h="16850"/>
          <w:pgMar w:top="1080" w:bottom="1020" w:left="1040" w:right="880"/>
        </w:sectPr>
      </w:pPr>
    </w:p>
    <w:p>
      <w:pPr>
        <w:pStyle w:val="Heading2"/>
        <w:spacing w:before="55"/>
        <w:ind w:left="2978"/>
      </w:pPr>
      <w:r>
        <w:rPr>
          <w:spacing w:val="-3"/>
        </w:rPr>
        <w:t>呼应民生诉求 明确发展方向</w:t>
      </w:r>
    </w:p>
    <w:p>
      <w:pPr>
        <w:pStyle w:val="BodyText"/>
        <w:ind w:left="0"/>
        <w:rPr>
          <w:b/>
        </w:rPr>
      </w:pPr>
      <w:r>
        <w:rPr/>
        <w:br w:type="column"/>
      </w:r>
      <w:r>
        <w:rPr>
          <w:b/>
        </w:rPr>
      </w:r>
    </w:p>
    <w:p>
      <w:pPr>
        <w:pStyle w:val="BodyText"/>
        <w:spacing w:before="8"/>
        <w:ind w:left="0"/>
        <w:rPr>
          <w:b/>
          <w:sz w:val="23"/>
        </w:rPr>
      </w:pPr>
    </w:p>
    <w:p>
      <w:pPr>
        <w:pStyle w:val="Heading3"/>
        <w:ind w:left="774"/>
      </w:pPr>
      <w:r>
        <w:rPr>
          <w:color w:val="FF0000"/>
        </w:rPr>
        <w:t>（来源：健康报）</w:t>
      </w:r>
    </w:p>
    <w:p>
      <w:pPr>
        <w:spacing w:after="0"/>
        <w:sectPr>
          <w:type w:val="continuous"/>
          <w:pgSz w:w="11910" w:h="16850"/>
          <w:pgMar w:top="1080" w:bottom="1020" w:left="1040" w:right="880"/>
          <w:cols w:num="2" w:equalWidth="0">
            <w:col w:w="6994" w:space="40"/>
            <w:col w:w="2956"/>
          </w:cols>
        </w:sectPr>
      </w:pPr>
    </w:p>
    <w:p>
      <w:pPr>
        <w:pStyle w:val="BodyText"/>
        <w:spacing w:line="297" w:lineRule="auto" w:before="96"/>
        <w:ind w:right="130" w:firstLine="480"/>
      </w:pPr>
      <w:r>
        <w:rPr>
          <w:spacing w:val="-6"/>
        </w:rPr>
        <w:t>更好地保障和改善民生是重要的政府职责，促进卫生健康事业的创新发展是民生领域的</w:t>
      </w:r>
      <w:r>
        <w:rPr>
          <w:spacing w:val="-17"/>
        </w:rPr>
        <w:t>重要命题。今年的政府工作报告中，卫生健康领域每一项目标任务的提出都接地气、合民意， </w:t>
      </w:r>
      <w:r>
        <w:rPr/>
        <w:t>真切呼应了民生诉求，明确了事业发展的方向。</w:t>
      </w:r>
    </w:p>
    <w:p>
      <w:pPr>
        <w:pStyle w:val="BodyText"/>
        <w:spacing w:line="297" w:lineRule="auto"/>
        <w:ind w:right="130" w:firstLine="480"/>
      </w:pPr>
      <w:r>
        <w:rPr>
          <w:spacing w:val="-7"/>
        </w:rPr>
        <w:t>呼应诉求重细重实，直击民生痛点。以癌症为代表的重大疾病，是不少患者和家庭心头</w:t>
      </w:r>
      <w:r>
        <w:rPr>
          <w:spacing w:val="-12"/>
        </w:rPr>
        <w:t>难解的愁和痛；慢性疾病患者人群数量巨大，正在带来愈加沉重的社会经济负担；社会人口</w:t>
      </w:r>
      <w:r>
        <w:rPr>
          <w:spacing w:val="-19"/>
        </w:rPr>
        <w:t>流动日益频繁，跨省异地就医报销结算仍有不便。为此，政府明确了颇具针对性的工作任务： </w:t>
      </w:r>
      <w:r>
        <w:rPr>
          <w:spacing w:val="-6"/>
        </w:rPr>
        <w:t>提高居民医保财政补助标准；推进癌症预防筛查、早诊早治和科研攻关；尽快使异地就医患者在所有定点医院能持卡看病、即时结算。每一项政策措施都让人感到细致暖心。</w:t>
      </w:r>
    </w:p>
    <w:p>
      <w:pPr>
        <w:pStyle w:val="BodyText"/>
        <w:spacing w:line="297" w:lineRule="auto"/>
        <w:ind w:right="147" w:firstLine="480"/>
        <w:jc w:val="both"/>
      </w:pPr>
      <w:r>
        <w:rPr/>
        <w:t>今年的政府工作报告关注预防、关注基层。在持续深化城市公立医院综合改革的同时， 将更多的目光投向基层，加快使远程医疗服务体系的触角延伸到更多的基层医疗卫生机构， 加强基层医护人员能力培养和队伍建设，更加注重开展家庭医生签约，夯实建立分级诊疗制</w:t>
      </w:r>
    </w:p>
    <w:p>
      <w:pPr>
        <w:spacing w:after="0" w:line="297" w:lineRule="auto"/>
        <w:jc w:val="both"/>
        <w:sectPr>
          <w:type w:val="continuous"/>
          <w:pgSz w:w="11910" w:h="16850"/>
          <w:pgMar w:top="1080" w:bottom="1020" w:left="1040" w:right="880"/>
        </w:sectPr>
      </w:pPr>
    </w:p>
    <w:p>
      <w:pPr>
        <w:pStyle w:val="BodyText"/>
        <w:spacing w:line="295" w:lineRule="auto" w:before="65"/>
        <w:ind w:right="247"/>
        <w:jc w:val="both"/>
      </w:pPr>
      <w:r>
        <w:rPr>
          <w:spacing w:val="-9"/>
        </w:rPr>
        <w:t>度的基础。将基本公共卫生服务经费等卫生投入更多引导至基层，加强妇幼保健服务，推动</w:t>
      </w:r>
      <w:r>
        <w:rPr>
          <w:spacing w:val="-7"/>
        </w:rPr>
        <w:t>真正落实预防为主的卫生工作方针；切实让基层群众受益，就能从源头控制和降低社会疾病</w:t>
      </w:r>
      <w:r>
        <w:rPr/>
        <w:t>负担，就是落实健康中国战略的具体表现。</w:t>
      </w:r>
    </w:p>
    <w:p>
      <w:pPr>
        <w:pStyle w:val="BodyText"/>
        <w:spacing w:line="295" w:lineRule="auto" w:before="5"/>
        <w:ind w:right="147" w:firstLine="480"/>
      </w:pPr>
      <w:r>
        <w:rPr>
          <w:spacing w:val="-7"/>
        </w:rPr>
        <w:t>保障和改善健康民生，涉及财政、卫生健康、医疗保障等多个政府部门。在落实政府工</w:t>
      </w:r>
      <w:r>
        <w:rPr>
          <w:spacing w:val="-8"/>
        </w:rPr>
        <w:t>作任务过程中，仍需各部门加强沟通联动、加强政策协同，以确保各项任务目标顺利实现， </w:t>
      </w:r>
      <w:r>
        <w:rPr/>
        <w:t>把百姓最关切、最烦心的事一件一件解决好。</w:t>
      </w:r>
    </w:p>
    <w:p>
      <w:pPr>
        <w:spacing w:before="86"/>
        <w:ind w:left="3305" w:right="0" w:firstLine="0"/>
        <w:jc w:val="left"/>
        <w:rPr>
          <w:sz w:val="16"/>
        </w:rPr>
      </w:pPr>
      <w:r>
        <w:rPr>
          <w:sz w:val="16"/>
        </w:rPr>
        <w:t>全国政协常委焦红代表农工党中央在发言中建议</w:t>
      </w:r>
    </w:p>
    <w:p>
      <w:pPr>
        <w:pStyle w:val="BodyText"/>
        <w:spacing w:before="3"/>
        <w:ind w:left="0"/>
        <w:rPr>
          <w:sz w:val="13"/>
        </w:rPr>
      </w:pPr>
    </w:p>
    <w:p>
      <w:pPr>
        <w:pStyle w:val="Heading2"/>
        <w:ind w:left="1773"/>
      </w:pPr>
      <w:r>
        <w:rPr/>
        <w:t>实施国家癌症攻坚行动显著提升人民健康水平</w:t>
      </w:r>
    </w:p>
    <w:p>
      <w:pPr>
        <w:pStyle w:val="Heading3"/>
        <w:spacing w:before="146"/>
        <w:ind w:left="7325"/>
      </w:pPr>
      <w:r>
        <w:rPr>
          <w:color w:val="FF0000"/>
        </w:rPr>
        <w:t>（来源：中国医药报）</w:t>
      </w:r>
    </w:p>
    <w:p>
      <w:pPr>
        <w:pStyle w:val="BodyText"/>
        <w:spacing w:line="297" w:lineRule="auto" w:before="98"/>
        <w:ind w:right="247" w:firstLine="480"/>
      </w:pPr>
      <w:r>
        <w:rPr>
          <w:rFonts w:ascii="Times New Roman" w:eastAsia="Times New Roman"/>
        </w:rPr>
        <w:t>3 </w:t>
      </w:r>
      <w:r>
        <w:rPr>
          <w:spacing w:val="-31"/>
        </w:rPr>
        <w:t>月 </w:t>
      </w:r>
      <w:r>
        <w:rPr>
          <w:rFonts w:ascii="Times New Roman" w:eastAsia="Times New Roman"/>
        </w:rPr>
        <w:t>10 </w:t>
      </w:r>
      <w:r>
        <w:rPr/>
        <w:t>日下午，全国政协十三届二次会议举行第三次全体会议。全国政协常委、农工</w:t>
      </w:r>
      <w:r>
        <w:rPr>
          <w:spacing w:val="-10"/>
        </w:rPr>
        <w:t>党中央副主席、国家药品监管局局长焦红代表农工党中央在大会发言中建议，在健康中国战</w:t>
      </w:r>
      <w:r>
        <w:rPr>
          <w:spacing w:val="-9"/>
        </w:rPr>
        <w:t>略规划实施中，要将癌症防治作为重中之重，组织启动国家癌症攻坚行动计划。加快优质高</w:t>
      </w:r>
      <w:r>
        <w:rPr/>
        <w:t>效的抗癌药械的审评审批，推动更多优质抗癌药尽快纳入医保。</w:t>
      </w:r>
    </w:p>
    <w:p>
      <w:pPr>
        <w:pStyle w:val="BodyText"/>
        <w:spacing w:line="297" w:lineRule="auto"/>
        <w:ind w:right="249" w:firstLine="480"/>
        <w:jc w:val="both"/>
      </w:pPr>
      <w:r>
        <w:rPr>
          <w:spacing w:val="-8"/>
        </w:rPr>
        <w:t>癌症是实施健康中国战略的“拦路虎”。高发病率和高致死率的癌症严重威胁我国人民</w:t>
      </w:r>
      <w:r>
        <w:rPr>
          <w:spacing w:val="-11"/>
        </w:rPr>
        <w:t>生命健康，给国家、社会和个人造成沉重经济和心理负担，是因病致贫、因病返贫的一个主</w:t>
      </w:r>
      <w:r>
        <w:rPr/>
        <w:t>要因素。</w:t>
      </w:r>
    </w:p>
    <w:p>
      <w:pPr>
        <w:pStyle w:val="BodyText"/>
        <w:spacing w:line="297" w:lineRule="auto"/>
        <w:ind w:right="250" w:firstLine="480"/>
        <w:jc w:val="both"/>
      </w:pPr>
      <w:r>
        <w:rPr>
          <w:spacing w:val="-10"/>
        </w:rPr>
        <w:t>焦红表示，中共十八大以来，我国癌症防治已有明显进步，癌症诊疗水平不断提高，部</w:t>
      </w:r>
      <w:r>
        <w:rPr>
          <w:spacing w:val="-8"/>
        </w:rPr>
        <w:t>分地区发病率和死亡率呈“双降”态势，多种抗癌药纳入医保，明显减轻患者负担，但是癌症防治总体上仍不平衡、不充分。癌症长期防控缺乏规划，能力保障体系支撑乏力，重点突</w:t>
      </w:r>
      <w:r>
        <w:rPr/>
        <w:t>破缺少集成性项目。重治疗、轻预防局面亟待扭转，科技创新加速转化有待加强。</w:t>
      </w:r>
    </w:p>
    <w:p>
      <w:pPr>
        <w:pStyle w:val="BodyText"/>
        <w:spacing w:line="297" w:lineRule="auto"/>
        <w:ind w:right="248" w:firstLine="480"/>
        <w:jc w:val="both"/>
      </w:pPr>
      <w:r>
        <w:rPr>
          <w:spacing w:val="-11"/>
        </w:rPr>
        <w:t>焦红建议，癌症防治要实行优先战略，强化规划引领。提升癌症防治的卫生健康战略地</w:t>
      </w:r>
      <w:r>
        <w:rPr>
          <w:spacing w:val="-7"/>
        </w:rPr>
        <w:t>位，集中优势资源优先破解这一健康难题。建议国家癌症攻坚行动从 </w:t>
      </w:r>
      <w:r>
        <w:rPr>
          <w:rFonts w:ascii="Times New Roman" w:hAnsi="Times New Roman" w:eastAsia="Times New Roman"/>
        </w:rPr>
        <w:t>2019 </w:t>
      </w:r>
      <w:r>
        <w:rPr>
          <w:spacing w:val="-1"/>
        </w:rPr>
        <w:t>年启动，</w:t>
      </w:r>
      <w:r>
        <w:rPr>
          <w:rFonts w:ascii="Times New Roman" w:hAnsi="Times New Roman" w:eastAsia="Times New Roman"/>
          <w:spacing w:val="-3"/>
        </w:rPr>
        <w:t>2050 </w:t>
      </w:r>
      <w:r>
        <w:rPr>
          <w:spacing w:val="-14"/>
        </w:rPr>
        <w:t>年</w:t>
      </w:r>
      <w:r>
        <w:rPr>
          <w:spacing w:val="-11"/>
        </w:rPr>
        <w:t>收官。以早诊早治率、五年生存率为近期目标，在“十四五”末考核。以降低发病率和死亡</w:t>
      </w:r>
      <w:r>
        <w:rPr>
          <w:spacing w:val="-4"/>
        </w:rPr>
        <w:t>率为中长期目标，力争此“两率”在 </w:t>
      </w:r>
      <w:r>
        <w:rPr>
          <w:rFonts w:ascii="Times New Roman" w:hAnsi="Times New Roman" w:eastAsia="Times New Roman"/>
        </w:rPr>
        <w:t>2050 </w:t>
      </w:r>
      <w:r>
        <w:rPr/>
        <w:t>年达到发达国家水平。</w:t>
      </w:r>
    </w:p>
    <w:p>
      <w:pPr>
        <w:pStyle w:val="BodyText"/>
        <w:spacing w:line="297" w:lineRule="auto"/>
        <w:ind w:right="132" w:firstLine="480"/>
      </w:pPr>
      <w:r>
        <w:rPr/>
        <w:t>她进一步建议，癌症攻坚行动计划要突出攻坚重点。一是强化早诊早治策略。加强一、</w:t>
      </w:r>
      <w:r>
        <w:rPr>
          <w:spacing w:val="-10"/>
        </w:rPr>
        <w:t>二级预防，实施好蓝天、碧水、净土保卫战，消除致癌的环境因素；加快控烟立法进程；扩</w:t>
      </w:r>
      <w:r>
        <w:rPr>
          <w:spacing w:val="-19"/>
        </w:rPr>
        <w:t>大常见癌种的筛查覆盖人群，对发病率高、筛查手段成熟的胃癌、食管癌、结直肠癌、肺癌、</w:t>
      </w:r>
      <w:r>
        <w:rPr>
          <w:spacing w:val="-10"/>
        </w:rPr>
        <w:t>宫颈癌、乳腺癌等癌症，制定筛查与早诊早治指南并积极推广应用。二是要健全癌症登记报告制度，促进癌症登记信息与死因监测、危险因素监测、电子病历等数据库的对接与交换。</w:t>
      </w:r>
      <w:r>
        <w:rPr>
          <w:spacing w:val="-15"/>
        </w:rPr>
        <w:t>要完善癌症诊疗技术规范标准与用药指南，推广“单病种、多学科”诊疗模式，推动儿童肿瘤、影像、放射、肿瘤药学、病理等薄弱学科发展。要加强国家癌症中心、区域癌症中心， </w:t>
      </w:r>
      <w:r>
        <w:rPr>
          <w:spacing w:val="-18"/>
        </w:rPr>
        <w:t>尤其是中西部地区癌症中心和远程医疗系统建设。要开展癌症中西医临床协作，推动中医临</w:t>
      </w:r>
      <w:r>
        <w:rPr>
          <w:spacing w:val="-15"/>
        </w:rPr>
        <w:t>床研究基地、中医肿瘤重点专科建设。在健康扶贫中，对农村特困人员和低保对象开展癌症集中救治工作，并提升其大病保险与救助的水平。</w:t>
      </w:r>
    </w:p>
    <w:p>
      <w:pPr>
        <w:pStyle w:val="BodyText"/>
        <w:spacing w:line="297" w:lineRule="auto"/>
        <w:ind w:right="248" w:firstLine="480"/>
        <w:jc w:val="both"/>
      </w:pPr>
      <w:r>
        <w:rPr>
          <w:spacing w:val="-9"/>
        </w:rPr>
        <w:t>焦红同时建议，要强化科技创新与产业支撑，设置“国家癌症攻坚”科技重大专项，强</w:t>
      </w:r>
      <w:r>
        <w:rPr>
          <w:spacing w:val="-8"/>
        </w:rPr>
        <w:t>化癌症创新药物研发、防治基础前沿研究、诊疗技术和应用示范的系统部署。建立国家肿瘤</w:t>
      </w:r>
      <w:r>
        <w:rPr>
          <w:spacing w:val="-10"/>
        </w:rPr>
        <w:t>临床大数据中心，加快免疫治疗等新技术的审批应用，推动全链条高质量结构优化的抗癌医</w:t>
      </w:r>
      <w:r>
        <w:rPr/>
        <w:t>药产业发展。</w:t>
      </w:r>
    </w:p>
    <w:p>
      <w:pPr>
        <w:spacing w:after="0" w:line="297" w:lineRule="auto"/>
        <w:jc w:val="both"/>
        <w:sectPr>
          <w:pgSz w:w="11910" w:h="16850"/>
          <w:pgMar w:header="906" w:footer="607" w:top="1100" w:bottom="800" w:left="1040" w:right="880"/>
        </w:sectPr>
      </w:pPr>
    </w:p>
    <w:p>
      <w:pPr>
        <w:pStyle w:val="BodyText"/>
        <w:spacing w:line="295" w:lineRule="auto" w:before="65"/>
        <w:ind w:right="252" w:firstLine="480"/>
      </w:pPr>
      <w:r>
        <w:rPr>
          <w:spacing w:val="-9"/>
        </w:rPr>
        <w:t>在医疗保障方面，焦红建议，要促进基本医保、大病保险、疾病应急救助、医疗救助等</w:t>
      </w:r>
      <w:r>
        <w:rPr/>
        <w:t>有效衔接。加快优质高效的抗癌药械的审评审批，推动更多优质抗癌药尽快纳入医保。</w:t>
      </w:r>
    </w:p>
    <w:p>
      <w:pPr>
        <w:pStyle w:val="BodyText"/>
        <w:spacing w:before="1"/>
        <w:ind w:left="0"/>
        <w:rPr>
          <w:sz w:val="9"/>
        </w:rPr>
      </w:pPr>
    </w:p>
    <w:p>
      <w:pPr>
        <w:spacing w:before="72"/>
        <w:ind w:left="0" w:right="9" w:firstLine="0"/>
        <w:jc w:val="center"/>
        <w:rPr>
          <w:sz w:val="21"/>
        </w:rPr>
      </w:pPr>
      <w:r>
        <w:rPr>
          <w:sz w:val="21"/>
        </w:rPr>
        <w:t>全国政协委员孙咸泽呼吁</w:t>
      </w:r>
    </w:p>
    <w:p>
      <w:pPr>
        <w:pStyle w:val="Heading2"/>
        <w:spacing w:before="158"/>
        <w:ind w:left="0" w:right="15"/>
        <w:jc w:val="center"/>
      </w:pPr>
      <w:r>
        <w:rPr/>
        <w:t>加强临床药师队伍建设</w:t>
      </w:r>
    </w:p>
    <w:p>
      <w:pPr>
        <w:pStyle w:val="Heading3"/>
        <w:spacing w:before="145"/>
        <w:ind w:left="0" w:right="248"/>
        <w:jc w:val="right"/>
      </w:pPr>
      <w:r>
        <w:rPr>
          <w:color w:val="FF0000"/>
          <w:w w:val="95"/>
        </w:rPr>
        <w:t>（来源：中国医药报）</w:t>
      </w:r>
    </w:p>
    <w:p>
      <w:pPr>
        <w:pStyle w:val="BodyText"/>
        <w:spacing w:line="297" w:lineRule="auto" w:before="96"/>
        <w:ind w:right="147" w:firstLine="352"/>
        <w:jc w:val="both"/>
      </w:pPr>
      <w:r>
        <w:rPr>
          <w:spacing w:val="-1"/>
        </w:rPr>
        <w:t>“当前，我国临床药师培养体系尚不完善，医院临床药师数量依然匮乏，临床药师工作</w:t>
      </w:r>
      <w:r>
        <w:rPr>
          <w:spacing w:val="-7"/>
        </w:rPr>
        <w:t>职责和标准等内容尚不明确，各级医院的临床药学发展还不均衡。”全国两会期间，全国政</w:t>
      </w:r>
      <w:r>
        <w:rPr>
          <w:spacing w:val="-8"/>
        </w:rPr>
        <w:t>协委员、中国药学会理事长孙咸泽接受记者采访时呼吁，必须加强我国临床药师队伍建设。</w:t>
      </w:r>
    </w:p>
    <w:p>
      <w:pPr>
        <w:pStyle w:val="BodyText"/>
        <w:spacing w:line="297" w:lineRule="auto"/>
        <w:ind w:right="247" w:firstLine="480"/>
      </w:pPr>
      <w:r>
        <w:rPr>
          <w:spacing w:val="-7"/>
        </w:rPr>
        <w:t>作为中国药学会理事长，孙咸泽委员非常关注我国临床药师群体状况。在他看来，目前</w:t>
      </w:r>
      <w:r>
        <w:rPr/>
        <w:t>我国临床药师队伍存在诸多问题，导致其质量、能力以及作用发挥受到很大限制。</w:t>
      </w:r>
    </w:p>
    <w:p>
      <w:pPr>
        <w:pStyle w:val="BodyText"/>
        <w:spacing w:line="297" w:lineRule="auto"/>
        <w:ind w:right="126" w:firstLine="480"/>
      </w:pPr>
      <w:r>
        <w:rPr>
          <w:spacing w:val="-11"/>
        </w:rPr>
        <w:t>“临床药师是医疗机构的重要组成部分，是医疗卫生体系中维护医疗安全的重要力量。” </w:t>
      </w:r>
      <w:r>
        <w:rPr>
          <w:spacing w:val="-5"/>
        </w:rPr>
        <w:t>孙咸泽委员曾在多个场合强调临床药师的重要性。今年两会期间，他专门递交提案，强调加强临床药师队伍建设，对于推动我国药学事业发展，提高药品安全保障水平的重要意义。</w:t>
      </w:r>
    </w:p>
    <w:p>
      <w:pPr>
        <w:pStyle w:val="BodyText"/>
        <w:spacing w:line="304" w:lineRule="exact"/>
        <w:ind w:left="717"/>
      </w:pPr>
      <w:r>
        <w:rPr>
          <w:spacing w:val="-17"/>
        </w:rPr>
        <w:t>孙咸泽委员认为，加强临床药师队伍建设，首先要明确医疗机构中临床药师的岗位设置。</w:t>
      </w:r>
    </w:p>
    <w:p>
      <w:pPr>
        <w:pStyle w:val="BodyText"/>
        <w:spacing w:line="297" w:lineRule="auto" w:before="67"/>
        <w:ind w:right="246"/>
        <w:jc w:val="both"/>
      </w:pPr>
      <w:r>
        <w:rPr>
          <w:spacing w:val="-6"/>
        </w:rPr>
        <w:t>“可以借鉴国外专科药师定位在临床科室、普通药师定位在药剂科的设置，从临床药师的工</w:t>
      </w:r>
      <w:r>
        <w:rPr>
          <w:spacing w:val="-7"/>
        </w:rPr>
        <w:t>作性质和职责出发，将医院药学部门药师分为通科药师和专科药师两种岗位。”孙咸泽委员</w:t>
      </w:r>
      <w:r>
        <w:rPr/>
        <w:t>说。</w:t>
      </w:r>
    </w:p>
    <w:p>
      <w:pPr>
        <w:pStyle w:val="BodyText"/>
        <w:spacing w:line="297" w:lineRule="auto"/>
        <w:ind w:right="147" w:firstLine="480"/>
      </w:pPr>
      <w:r>
        <w:rPr>
          <w:spacing w:val="-7"/>
        </w:rPr>
        <w:t>在明确岗位职责的基础上，还需建立系统化的临床药师培养体系，增加临床药师配置数</w:t>
      </w:r>
      <w:r>
        <w:rPr>
          <w:spacing w:val="-11"/>
        </w:rPr>
        <w:t>量。“可以尝试加快高等药学教育体系与医院在职培养体系的对接，针对不同的岗位要求和</w:t>
      </w:r>
      <w:r>
        <w:rPr>
          <w:spacing w:val="-12"/>
        </w:rPr>
        <w:t>专业基础，建立不同的临床药学人才培养模式。”孙咸泽委员举例说，在校期间已完成一年</w:t>
      </w:r>
      <w:r>
        <w:rPr>
          <w:spacing w:val="-13"/>
        </w:rPr>
        <w:t>临床实践的临床药学专业毕业生可直接成为通科药师，参加工作后主要从事通科药师工作。</w:t>
      </w:r>
      <w:r>
        <w:rPr>
          <w:spacing w:val="-9"/>
        </w:rPr>
        <w:t>在此基础上，由工作单位安排参加专科培训项目，确保高等药学教育与医院在职培训的延续性。</w:t>
      </w:r>
    </w:p>
    <w:p>
      <w:pPr>
        <w:pStyle w:val="BodyText"/>
        <w:spacing w:line="297" w:lineRule="auto"/>
        <w:ind w:right="127" w:firstLine="480"/>
      </w:pPr>
      <w:r>
        <w:rPr>
          <w:spacing w:val="-2"/>
        </w:rPr>
        <w:t>孙咸泽委员有一个期待，希望三级甲等医院专科药师配比逐步达到 </w:t>
      </w:r>
      <w:r>
        <w:rPr>
          <w:rFonts w:ascii="Times New Roman" w:hAnsi="Times New Roman" w:eastAsia="Times New Roman"/>
        </w:rPr>
        <w:t>100</w:t>
      </w:r>
      <w:r>
        <w:rPr/>
        <w:t>∶</w:t>
      </w:r>
      <w:r>
        <w:rPr>
          <w:rFonts w:ascii="Times New Roman" w:hAnsi="Times New Roman" w:eastAsia="Times New Roman"/>
        </w:rPr>
        <w:t>1</w:t>
      </w:r>
      <w:r>
        <w:rPr/>
        <w:t>（</w:t>
      </w:r>
      <w:r>
        <w:rPr>
          <w:spacing w:val="-30"/>
        </w:rPr>
        <w:t>每 </w:t>
      </w:r>
      <w:r>
        <w:rPr>
          <w:rFonts w:ascii="Times New Roman" w:hAnsi="Times New Roman" w:eastAsia="Times New Roman"/>
        </w:rPr>
        <w:t>100 </w:t>
      </w:r>
      <w:r>
        <w:rPr/>
        <w:t>张病床与临床药师配比</w:t>
      </w:r>
      <w:r>
        <w:rPr>
          <w:spacing w:val="-56"/>
        </w:rPr>
        <w:t>），</w:t>
      </w:r>
      <w:r>
        <w:rPr>
          <w:spacing w:val="-8"/>
        </w:rPr>
        <w:t>其他三级医院为 </w:t>
      </w:r>
      <w:r>
        <w:rPr>
          <w:rFonts w:ascii="Times New Roman" w:hAnsi="Times New Roman" w:eastAsia="Times New Roman"/>
          <w:spacing w:val="-7"/>
        </w:rPr>
        <w:t>100</w:t>
      </w:r>
      <w:r>
        <w:rPr>
          <w:spacing w:val="-7"/>
        </w:rPr>
        <w:t>∶</w:t>
      </w:r>
      <w:r>
        <w:rPr>
          <w:rFonts w:ascii="Times New Roman" w:hAnsi="Times New Roman" w:eastAsia="Times New Roman"/>
          <w:spacing w:val="-7"/>
        </w:rPr>
        <w:t>0.6</w:t>
      </w:r>
      <w:r>
        <w:rPr>
          <w:spacing w:val="-10"/>
        </w:rPr>
        <w:t>，二级医院至少配 </w:t>
      </w:r>
      <w:r>
        <w:rPr>
          <w:rFonts w:ascii="Times New Roman" w:hAnsi="Times New Roman" w:eastAsia="Times New Roman"/>
        </w:rPr>
        <w:t>5 </w:t>
      </w:r>
      <w:r>
        <w:rPr>
          <w:spacing w:val="-9"/>
        </w:rPr>
        <w:t>名专科药师。他呼吁， </w:t>
      </w:r>
      <w:r>
        <w:rPr/>
        <w:t>专科药师数量配置可作为独立指标，直接纳入医院等级评审体系。</w:t>
      </w:r>
    </w:p>
    <w:p>
      <w:pPr>
        <w:pStyle w:val="BodyText"/>
        <w:spacing w:before="9"/>
        <w:ind w:left="0"/>
        <w:rPr>
          <w:sz w:val="12"/>
        </w:rPr>
      </w:pPr>
    </w:p>
    <w:p>
      <w:pPr>
        <w:spacing w:after="0"/>
        <w:rPr>
          <w:sz w:val="12"/>
        </w:rPr>
        <w:sectPr>
          <w:pgSz w:w="11910" w:h="16850"/>
          <w:pgMar w:header="906" w:footer="607" w:top="1100" w:bottom="800" w:left="1040" w:right="880"/>
        </w:sectPr>
      </w:pPr>
    </w:p>
    <w:p>
      <w:pPr>
        <w:pStyle w:val="Heading2"/>
        <w:spacing w:before="54"/>
        <w:ind w:left="3057"/>
      </w:pPr>
      <w:r>
        <w:rPr>
          <w:spacing w:val="-2"/>
        </w:rPr>
        <w:t>基本药物与医保应协同衔接</w:t>
      </w:r>
    </w:p>
    <w:p>
      <w:pPr>
        <w:pStyle w:val="BodyText"/>
        <w:ind w:left="0"/>
        <w:rPr>
          <w:b/>
        </w:rPr>
      </w:pPr>
      <w:r>
        <w:rPr/>
        <w:br w:type="column"/>
      </w:r>
      <w:r>
        <w:rPr>
          <w:b/>
        </w:rPr>
      </w:r>
    </w:p>
    <w:p>
      <w:pPr>
        <w:pStyle w:val="BodyText"/>
        <w:spacing w:before="9"/>
        <w:ind w:left="0"/>
        <w:rPr>
          <w:b/>
          <w:sz w:val="23"/>
        </w:rPr>
      </w:pPr>
    </w:p>
    <w:p>
      <w:pPr>
        <w:pStyle w:val="Heading3"/>
        <w:spacing w:before="1"/>
        <w:ind w:left="857"/>
      </w:pPr>
      <w:r>
        <w:rPr>
          <w:color w:val="FF0000"/>
        </w:rPr>
        <w:t>（来源：健康报）</w:t>
      </w:r>
    </w:p>
    <w:p>
      <w:pPr>
        <w:spacing w:after="0"/>
        <w:sectPr>
          <w:type w:val="continuous"/>
          <w:pgSz w:w="11910" w:h="16850"/>
          <w:pgMar w:top="1080" w:bottom="1020" w:left="1040" w:right="880"/>
          <w:cols w:num="2" w:equalWidth="0">
            <w:col w:w="6911" w:space="40"/>
            <w:col w:w="3039"/>
          </w:cols>
        </w:sectPr>
      </w:pPr>
    </w:p>
    <w:p>
      <w:pPr>
        <w:pStyle w:val="BodyText"/>
        <w:spacing w:line="297" w:lineRule="auto" w:before="95"/>
        <w:ind w:right="250" w:firstLine="480"/>
      </w:pPr>
      <w:r>
        <w:rPr/>
        <w:t>“国家基本药物制度没有筹资和支付功能，而是由基本医疗保险制度提供相应支付支</w:t>
      </w:r>
      <w:r>
        <w:rPr>
          <w:spacing w:val="-11"/>
        </w:rPr>
        <w:t>撑。因此，医保制度与国家基药制度理应高度配合、彼此共通、高度衔接，并产生积极的协</w:t>
      </w:r>
      <w:r>
        <w:rPr/>
        <w:t>同效应。”全国政协委员、农工党宁夏区委会主委戴秀英说。</w:t>
      </w:r>
    </w:p>
    <w:p>
      <w:pPr>
        <w:pStyle w:val="BodyText"/>
        <w:spacing w:line="297" w:lineRule="auto"/>
        <w:ind w:right="247" w:firstLine="480"/>
        <w:jc w:val="both"/>
      </w:pPr>
      <w:r>
        <w:rPr>
          <w:spacing w:val="-11"/>
        </w:rPr>
        <w:t>戴秀英指出，在实施中，两种制度衔接存在一些亟待解决的问题和矛盾，比如两种目录</w:t>
      </w:r>
      <w:r>
        <w:rPr>
          <w:spacing w:val="-8"/>
        </w:rPr>
        <w:t>药品招标采购未实现并轨，出现“同药不同价”；两种制度用药目录不兼容，部分基药不在医保报销范围内等。戴秀英建议，应尽快制定完善衔接两种制度的法规性文件，为实现更高水平的医疗卫生服务，推进两种制度高度配合。加强药物目录的协调管理。在调整基本药物</w:t>
      </w:r>
      <w:r>
        <w:rPr>
          <w:spacing w:val="-11"/>
        </w:rPr>
        <w:t>目录时，应邀请医保领域的专家加入基本药物遴选审评专家组。统一国家及地方基本药物与</w:t>
      </w:r>
    </w:p>
    <w:p>
      <w:pPr>
        <w:spacing w:after="0" w:line="297" w:lineRule="auto"/>
        <w:jc w:val="both"/>
        <w:sectPr>
          <w:type w:val="continuous"/>
          <w:pgSz w:w="11910" w:h="16850"/>
          <w:pgMar w:top="1080" w:bottom="1020" w:left="1040" w:right="880"/>
        </w:sectPr>
      </w:pPr>
    </w:p>
    <w:p>
      <w:pPr>
        <w:pStyle w:val="BodyText"/>
        <w:spacing w:line="297" w:lineRule="auto" w:before="65"/>
        <w:ind w:right="247"/>
        <w:jc w:val="both"/>
      </w:pPr>
      <w:r>
        <w:rPr>
          <w:spacing w:val="-7"/>
        </w:rPr>
        <w:t>医保药品的目录管理标准，明确药品名称及具体规格。实现药品招标采购并轨，同时落实基</w:t>
      </w:r>
      <w:r>
        <w:rPr>
          <w:spacing w:val="-9"/>
        </w:rPr>
        <w:t>本药物报销政策。应建立相关法规，对基本药物的报销政策予以支撑，强制要求保障所有基本药物的报销。新版医保目录的调整，应将最新基药目录内所有药品纳入其中。医保核算办</w:t>
      </w:r>
      <w:r>
        <w:rPr/>
        <w:t>公室定期出具药品支付结算信息，公布基药使用情况等。</w:t>
      </w:r>
    </w:p>
    <w:p>
      <w:pPr>
        <w:pStyle w:val="BodyText"/>
        <w:spacing w:before="8"/>
        <w:ind w:left="0"/>
        <w:rPr>
          <w:sz w:val="17"/>
        </w:rPr>
      </w:pPr>
    </w:p>
    <w:p>
      <w:pPr>
        <w:pStyle w:val="Heading2"/>
        <w:ind w:left="2253"/>
      </w:pPr>
      <w:r>
        <w:rPr/>
        <w:t>农工党中央提案聚焦群众用药安全可及</w:t>
      </w:r>
    </w:p>
    <w:p>
      <w:pPr>
        <w:pStyle w:val="Heading3"/>
        <w:spacing w:before="145"/>
        <w:ind w:left="7325"/>
      </w:pPr>
      <w:r>
        <w:rPr>
          <w:color w:val="FF0000"/>
        </w:rPr>
        <w:t>（来源：中国医药报）</w:t>
      </w:r>
    </w:p>
    <w:p>
      <w:pPr>
        <w:pStyle w:val="BodyText"/>
        <w:spacing w:line="295" w:lineRule="auto" w:before="98"/>
        <w:ind w:right="266" w:firstLine="559"/>
        <w:jc w:val="both"/>
      </w:pPr>
      <w:r>
        <w:rPr/>
        <w:t>今年全国两会期间，中国农工民主党中央委员会（以下简称农工党中央）向全国政协</w:t>
      </w:r>
      <w:r>
        <w:rPr>
          <w:spacing w:val="-6"/>
        </w:rPr>
        <w:t>十三届二次会议提交了 </w:t>
      </w:r>
      <w:r>
        <w:rPr>
          <w:rFonts w:ascii="Times New Roman" w:eastAsia="Times New Roman"/>
        </w:rPr>
        <w:t>38 </w:t>
      </w:r>
      <w:r>
        <w:rPr>
          <w:spacing w:val="-1"/>
        </w:rPr>
        <w:t>件提案，其中多数提案聚焦健康中国建设和人民群众用药安全可</w:t>
      </w:r>
      <w:r>
        <w:rPr/>
        <w:t>及。</w:t>
      </w:r>
    </w:p>
    <w:p>
      <w:pPr>
        <w:pStyle w:val="Heading3"/>
        <w:spacing w:before="6"/>
        <w:rPr>
          <w:rFonts w:ascii="宋体" w:eastAsia="宋体" w:hint="eastAsia"/>
        </w:rPr>
      </w:pPr>
      <w:r>
        <w:rPr>
          <w:rFonts w:ascii="宋体" w:eastAsia="宋体" w:hint="eastAsia"/>
        </w:rPr>
        <w:t>加快建立临床研究功能平台</w:t>
      </w:r>
    </w:p>
    <w:p>
      <w:pPr>
        <w:pStyle w:val="BodyText"/>
        <w:spacing w:line="297" w:lineRule="auto" w:before="72"/>
        <w:ind w:right="250" w:firstLine="480"/>
        <w:jc w:val="both"/>
      </w:pPr>
      <w:r>
        <w:rPr>
          <w:spacing w:val="-6"/>
        </w:rPr>
        <w:t>生物医药是新一轮科技革命和产业变革的重点领域，临床研究是评价验证生物医药产品</w:t>
      </w:r>
      <w:r>
        <w:rPr>
          <w:spacing w:val="-7"/>
        </w:rPr>
        <w:t>是否安全有效的主要方式。长期以来，我国高质量临床研究能力不足，已成为医药行业创新</w:t>
      </w:r>
      <w:r>
        <w:rPr/>
        <w:t>发展的瓶颈。</w:t>
      </w:r>
    </w:p>
    <w:p>
      <w:pPr>
        <w:pStyle w:val="BodyText"/>
        <w:spacing w:line="297" w:lineRule="auto"/>
        <w:ind w:right="250" w:firstLine="480"/>
        <w:jc w:val="both"/>
      </w:pPr>
      <w:r>
        <w:rPr>
          <w:spacing w:val="-7"/>
        </w:rPr>
        <w:t>农工党中央在提案中提出，聚焦北京、上海等大型医学中心城市，依托国家现有的临床</w:t>
      </w:r>
      <w:r>
        <w:rPr>
          <w:spacing w:val="-11"/>
        </w:rPr>
        <w:t>医学研究中心，率先建立 </w:t>
      </w:r>
      <w:r>
        <w:rPr>
          <w:rFonts w:ascii="Times New Roman" w:eastAsia="Times New Roman"/>
        </w:rPr>
        <w:t>2~3 </w:t>
      </w:r>
      <w:r>
        <w:rPr>
          <w:spacing w:val="-6"/>
        </w:rPr>
        <w:t>个国际一流的临床研究功能平台，通过示范引领、辐射带动京</w:t>
      </w:r>
      <w:r>
        <w:rPr/>
        <w:t>津冀、长三角等区域，促进我国临床研究协同发展。</w:t>
      </w:r>
    </w:p>
    <w:p>
      <w:pPr>
        <w:pStyle w:val="BodyText"/>
        <w:spacing w:line="297" w:lineRule="auto"/>
        <w:ind w:right="247" w:firstLine="480"/>
        <w:jc w:val="both"/>
      </w:pPr>
      <w:r>
        <w:rPr>
          <w:spacing w:val="-9"/>
        </w:rPr>
        <w:t>此外，农工党中央在提案中还提出，发挥地方政府的统筹和引导作用，建立科学、清晰</w:t>
      </w:r>
      <w:r>
        <w:rPr>
          <w:spacing w:val="-14"/>
        </w:rPr>
        <w:t>的平台组织架构和管理体系。实现医疗机构的资源整合与共享，建立协同、高效的平台运行</w:t>
      </w:r>
      <w:r>
        <w:rPr/>
        <w:t>机制。加强资金配套和政策供给，为临床研究营造良好的生态环境。</w:t>
      </w:r>
    </w:p>
    <w:p>
      <w:pPr>
        <w:pStyle w:val="Heading3"/>
        <w:spacing w:line="304" w:lineRule="exact"/>
        <w:rPr>
          <w:rFonts w:ascii="宋体" w:eastAsia="宋体" w:hint="eastAsia"/>
        </w:rPr>
      </w:pPr>
      <w:r>
        <w:rPr>
          <w:rFonts w:ascii="宋体" w:eastAsia="宋体" w:hint="eastAsia"/>
        </w:rPr>
        <w:t>完善药械产品注册收费政策</w:t>
      </w:r>
    </w:p>
    <w:p>
      <w:pPr>
        <w:pStyle w:val="BodyText"/>
        <w:spacing w:line="297" w:lineRule="auto" w:before="64"/>
        <w:ind w:right="247" w:firstLine="480"/>
      </w:pPr>
      <w:r>
        <w:rPr>
          <w:rFonts w:ascii="Times New Roman" w:eastAsia="Times New Roman"/>
        </w:rPr>
        <w:t>2015 </w:t>
      </w:r>
      <w:r>
        <w:rPr/>
        <w:t>年，经国务院批准，国家发改委、财政部对药械产品注册收费政策进行了调整， </w:t>
      </w:r>
      <w:r>
        <w:rPr>
          <w:spacing w:val="-6"/>
        </w:rPr>
        <w:t>为推进药品医疗器械审评审批制度改革、有效提升审评审批能力发挥了重要作用；但随着改</w:t>
      </w:r>
      <w:r>
        <w:rPr/>
        <w:t>革的逐步深入，还需要对药械产品注册收费政策进行适当完善。</w:t>
      </w:r>
    </w:p>
    <w:p>
      <w:pPr>
        <w:pStyle w:val="BodyText"/>
        <w:spacing w:line="297" w:lineRule="auto"/>
        <w:ind w:right="248" w:firstLine="480"/>
        <w:jc w:val="both"/>
      </w:pPr>
      <w:r>
        <w:rPr>
          <w:spacing w:val="-9"/>
        </w:rPr>
        <w:t>农工党中央呼吁，从两方面着手完善相关政策。一是保留药械产品注册收费项目。按照国际通行做法，对源自市场交易的收费项目予以保留，避免有限公共资源被滥用。二是科学</w:t>
      </w:r>
      <w:r>
        <w:rPr>
          <w:spacing w:val="-7"/>
        </w:rPr>
        <w:t>确定药械产品注册费标准。国家发改委、财政部等有关部门应根据成本补偿原则，按照科学</w:t>
      </w:r>
      <w:r>
        <w:rPr>
          <w:spacing w:val="-10"/>
        </w:rPr>
        <w:t>测算方法，结合药品医疗器械审评审批制度改革进展，重新测算药械产品注册收费标准；在</w:t>
      </w:r>
      <w:r>
        <w:rPr>
          <w:spacing w:val="-4"/>
        </w:rPr>
        <w:t>取消药品再注册费</w:t>
      </w:r>
      <w:r>
        <w:rPr/>
        <w:t>（医疗器械产品延续注册费</w:t>
      </w:r>
      <w:r>
        <w:rPr>
          <w:spacing w:val="-27"/>
        </w:rPr>
        <w:t>）</w:t>
      </w:r>
      <w:r>
        <w:rPr>
          <w:spacing w:val="-8"/>
        </w:rPr>
        <w:t>基础上，设置药械产品注册年费；建立收费</w:t>
      </w:r>
      <w:r>
        <w:rPr>
          <w:spacing w:val="-9"/>
        </w:rPr>
        <w:t>标准动态调整机制，每 </w:t>
      </w:r>
      <w:r>
        <w:rPr>
          <w:rFonts w:ascii="Times New Roman" w:eastAsia="Times New Roman"/>
        </w:rPr>
        <w:t>5 </w:t>
      </w:r>
      <w:r>
        <w:rPr>
          <w:spacing w:val="-1"/>
        </w:rPr>
        <w:t>年药械产品注册费标准根据成本重新测算，</w:t>
      </w:r>
      <w:r>
        <w:rPr>
          <w:rFonts w:ascii="Times New Roman" w:eastAsia="Times New Roman"/>
          <w:spacing w:val="-11"/>
        </w:rPr>
        <w:t>5 </w:t>
      </w:r>
      <w:r>
        <w:rPr>
          <w:spacing w:val="-2"/>
        </w:rPr>
        <w:t>年期间每年收费标准</w:t>
      </w:r>
      <w:r>
        <w:rPr/>
        <w:t>与通货膨胀率自动挂钩。</w:t>
      </w:r>
    </w:p>
    <w:p>
      <w:pPr>
        <w:pStyle w:val="Heading3"/>
        <w:spacing w:line="301" w:lineRule="exact"/>
        <w:rPr>
          <w:rFonts w:ascii="宋体" w:eastAsia="宋体" w:hint="eastAsia"/>
        </w:rPr>
      </w:pPr>
      <w:r>
        <w:rPr>
          <w:rFonts w:ascii="宋体" w:eastAsia="宋体" w:hint="eastAsia"/>
          <w:w w:val="95"/>
        </w:rPr>
        <w:t>健全完善国家药品采购政策</w:t>
      </w:r>
    </w:p>
    <w:p>
      <w:pPr>
        <w:pStyle w:val="BodyText"/>
        <w:spacing w:line="297" w:lineRule="auto" w:before="68"/>
        <w:ind w:right="249" w:firstLine="480"/>
        <w:jc w:val="both"/>
      </w:pPr>
      <w:r>
        <w:rPr>
          <w:rFonts w:ascii="Times New Roman" w:hAnsi="Times New Roman" w:eastAsia="Times New Roman"/>
        </w:rPr>
        <w:t>2017</w:t>
      </w:r>
      <w:r>
        <w:rPr>
          <w:rFonts w:ascii="Times New Roman" w:hAnsi="Times New Roman" w:eastAsia="Times New Roman"/>
          <w:spacing w:val="-1"/>
        </w:rPr>
        <w:t> </w:t>
      </w:r>
      <w:r>
        <w:rPr>
          <w:spacing w:val="-30"/>
        </w:rPr>
        <w:t>年 </w:t>
      </w:r>
      <w:r>
        <w:rPr>
          <w:rFonts w:ascii="Times New Roman" w:hAnsi="Times New Roman" w:eastAsia="Times New Roman"/>
        </w:rPr>
        <w:t>10 </w:t>
      </w:r>
      <w:r>
        <w:rPr>
          <w:spacing w:val="-8"/>
        </w:rPr>
        <w:t>月，中办、国办印发的《关于深化审评审批制度改革鼓励药品医疗器械创新</w:t>
      </w:r>
      <w:r>
        <w:rPr>
          <w:spacing w:val="-11"/>
        </w:rPr>
        <w:t>的意见》实施后，我国医药产业加快了与国际接轨的步伐，医药企业从事新药研发、开展仿</w:t>
      </w:r>
      <w:r>
        <w:rPr/>
        <w:t>制药质量和疗效一致性评价的热情空前高涨。</w:t>
      </w:r>
      <w:r>
        <w:rPr>
          <w:rFonts w:ascii="Times New Roman" w:hAnsi="Times New Roman" w:eastAsia="Times New Roman"/>
        </w:rPr>
        <w:t>2018</w:t>
      </w:r>
      <w:r>
        <w:rPr>
          <w:rFonts w:ascii="Times New Roman" w:hAnsi="Times New Roman" w:eastAsia="Times New Roman"/>
          <w:spacing w:val="-1"/>
        </w:rPr>
        <w:t> </w:t>
      </w:r>
      <w:r>
        <w:rPr>
          <w:spacing w:val="-30"/>
        </w:rPr>
        <w:t>年 </w:t>
      </w:r>
      <w:r>
        <w:rPr>
          <w:rFonts w:ascii="Times New Roman" w:hAnsi="Times New Roman" w:eastAsia="Times New Roman"/>
        </w:rPr>
        <w:t>11 </w:t>
      </w:r>
      <w:r>
        <w:rPr/>
        <w:t>月，“</w:t>
      </w:r>
      <w:r>
        <w:rPr>
          <w:rFonts w:ascii="Times New Roman" w:hAnsi="Times New Roman" w:eastAsia="Times New Roman"/>
        </w:rPr>
        <w:t>4+7</w:t>
      </w:r>
      <w:r>
        <w:rPr/>
        <w:t>”药品带量采购试点的实施，引起业界持续热切关注。</w:t>
      </w:r>
    </w:p>
    <w:p>
      <w:pPr>
        <w:spacing w:after="0" w:line="297" w:lineRule="auto"/>
        <w:jc w:val="both"/>
        <w:sectPr>
          <w:pgSz w:w="11910" w:h="16850"/>
          <w:pgMar w:header="906" w:footer="607" w:top="1100" w:bottom="800" w:left="1040" w:right="880"/>
        </w:sectPr>
      </w:pPr>
    </w:p>
    <w:p>
      <w:pPr>
        <w:pStyle w:val="BodyText"/>
        <w:spacing w:line="295" w:lineRule="auto" w:before="65"/>
        <w:ind w:right="247" w:firstLine="480"/>
        <w:jc w:val="both"/>
      </w:pPr>
      <w:r>
        <w:rPr>
          <w:spacing w:val="-7"/>
        </w:rPr>
        <w:t>针对健全完善药品采购政策，农工党中央在提案中呼吁结合药品生产供应特点，坚持分</w:t>
      </w:r>
      <w:r>
        <w:rPr>
          <w:spacing w:val="-10"/>
        </w:rPr>
        <w:t>类采购。我国药品生产供应存在不均衡现象，针对不同品种的不同市场表现，必须采取不同</w:t>
      </w:r>
      <w:r>
        <w:rPr>
          <w:spacing w:val="-3"/>
        </w:rPr>
        <w:t>的保障方式。对供应不足的品种应该考虑实施直接挂网、医院或 </w:t>
      </w:r>
      <w:r>
        <w:rPr>
          <w:rFonts w:ascii="Times New Roman" w:eastAsia="Times New Roman"/>
        </w:rPr>
        <w:t>GPO </w:t>
      </w:r>
      <w:r>
        <w:rPr/>
        <w:t>采购等方式。</w:t>
      </w:r>
    </w:p>
    <w:p>
      <w:pPr>
        <w:pStyle w:val="BodyText"/>
        <w:spacing w:line="295" w:lineRule="auto" w:before="5"/>
        <w:ind w:right="252" w:firstLine="480"/>
        <w:jc w:val="both"/>
      </w:pPr>
      <w:r>
        <w:rPr/>
        <w:t>同时，科学评估“</w:t>
      </w:r>
      <w:r>
        <w:rPr>
          <w:rFonts w:ascii="Times New Roman" w:hAnsi="Times New Roman" w:eastAsia="Times New Roman"/>
        </w:rPr>
        <w:t>4+7</w:t>
      </w:r>
      <w:r>
        <w:rPr/>
        <w:t>”集中采购，形成评估报告，为主管部门提供决策参考。在此之前，应避免各地跟风，防止对“</w:t>
      </w:r>
      <w:r>
        <w:rPr>
          <w:rFonts w:ascii="Times New Roman" w:hAnsi="Times New Roman" w:eastAsia="Times New Roman"/>
        </w:rPr>
        <w:t>4+7</w:t>
      </w:r>
      <w:r>
        <w:rPr/>
        <w:t>”集中采购效果出现干扰。</w:t>
      </w:r>
    </w:p>
    <w:p>
      <w:pPr>
        <w:pStyle w:val="BodyText"/>
        <w:spacing w:line="297" w:lineRule="auto" w:before="2"/>
        <w:ind w:right="247" w:firstLine="480"/>
        <w:jc w:val="both"/>
      </w:pPr>
      <w:r>
        <w:rPr>
          <w:spacing w:val="-9"/>
        </w:rPr>
        <w:t>农工党中央还提出，对国产创新药以及通过仿制药一致性评价的品种应给予扶持，充分</w:t>
      </w:r>
      <w:r>
        <w:rPr>
          <w:spacing w:val="-5"/>
        </w:rPr>
        <w:t>发挥国产创新药和仿制药的替代作用，切实加大支持力度，优先采购，鼓励临床使用，并适</w:t>
      </w:r>
      <w:r>
        <w:rPr>
          <w:spacing w:val="-11"/>
        </w:rPr>
        <w:t>当提高医保支付标准。参照建筑工程招标方式，取消“最低价中标”，在对药品以及该品种</w:t>
      </w:r>
      <w:r>
        <w:rPr/>
        <w:t>供应保障情况进行具体分析、综合评价的基础上，设置“中位价”中标。</w:t>
      </w:r>
    </w:p>
    <w:p>
      <w:pPr>
        <w:spacing w:before="183"/>
        <w:ind w:left="2990" w:right="0" w:firstLine="0"/>
        <w:jc w:val="left"/>
        <w:rPr>
          <w:sz w:val="21"/>
        </w:rPr>
      </w:pPr>
      <w:r>
        <w:rPr>
          <w:sz w:val="21"/>
        </w:rPr>
        <w:t>【代表委员议国是】全国政协委员马进建议</w:t>
      </w:r>
    </w:p>
    <w:p>
      <w:pPr>
        <w:pStyle w:val="Heading2"/>
        <w:spacing w:before="156"/>
        <w:ind w:left="2253"/>
      </w:pPr>
      <w:r>
        <w:rPr/>
        <w:t>建立基于价值的药品价格综合评估机制</w:t>
      </w:r>
    </w:p>
    <w:p>
      <w:pPr>
        <w:pStyle w:val="Heading3"/>
        <w:spacing w:before="146"/>
        <w:ind w:left="7325"/>
      </w:pPr>
      <w:r>
        <w:rPr>
          <w:color w:val="FF0000"/>
        </w:rPr>
        <w:t>（来源：中国医药报）</w:t>
      </w:r>
    </w:p>
    <w:p>
      <w:pPr>
        <w:pStyle w:val="BodyText"/>
        <w:spacing w:line="295" w:lineRule="auto" w:before="98"/>
        <w:ind w:right="247" w:firstLine="480"/>
        <w:jc w:val="both"/>
      </w:pPr>
      <w:r>
        <w:rPr>
          <w:spacing w:val="-10"/>
        </w:rPr>
        <w:t>全国两会期间，全国政协委员、致公党上海市委员会专职副主委马进建议，在下一轮国</w:t>
      </w:r>
      <w:r>
        <w:rPr>
          <w:spacing w:val="-7"/>
        </w:rPr>
        <w:t>家医保目录调整与独家品种价格谈判实施前，以及在国家组织药品集中采购和使用试点扩大</w:t>
      </w:r>
      <w:r>
        <w:rPr/>
        <w:t>前，制定药品价格综合评估机制。</w:t>
      </w:r>
    </w:p>
    <w:p>
      <w:pPr>
        <w:pStyle w:val="BodyText"/>
        <w:spacing w:line="295" w:lineRule="auto" w:before="5"/>
        <w:ind w:right="248" w:firstLine="480"/>
        <w:jc w:val="both"/>
      </w:pPr>
      <w:r>
        <w:rPr>
          <w:spacing w:val="-10"/>
        </w:rPr>
        <w:t>马进委员指出，在药品价格谈判过程中，存在一些不足，比如药品价格评估过于重视药</w:t>
      </w:r>
      <w:r>
        <w:rPr>
          <w:spacing w:val="-12"/>
        </w:rPr>
        <w:t>品的“显性”价值，轻视以患者为中心的“隐性”价值。如由于长期照护体系及其数据监测</w:t>
      </w:r>
      <w:r>
        <w:rPr>
          <w:spacing w:val="-10"/>
        </w:rPr>
        <w:t>机制缺失，患者的短期疗效容易被评估，但患者的长期生存获益、生活质量难以被评估。他</w:t>
      </w:r>
      <w:r>
        <w:rPr>
          <w:spacing w:val="-11"/>
        </w:rPr>
        <w:t>认为，在药品价格谈判中，卫生健康主管部门及大型医疗机构、医疗保障部门及医保经办机构、科技主管部门和医药企业、患者组织及个人强调的价值各不同，药品价格谈判往往“因</w:t>
      </w:r>
      <w:r>
        <w:rPr/>
        <w:t>人而异”“因时而异”，影响医保准入政策的一致性、连贯性、可预期性。</w:t>
      </w:r>
    </w:p>
    <w:p>
      <w:pPr>
        <w:pStyle w:val="BodyText"/>
        <w:spacing w:line="297" w:lineRule="auto" w:before="11"/>
        <w:ind w:right="247" w:firstLine="480"/>
        <w:jc w:val="both"/>
      </w:pPr>
      <w:r>
        <w:rPr>
          <w:spacing w:val="-9"/>
        </w:rPr>
        <w:t>马进委员建议，借助行业标准的“指挥棒”，提高医保准入政策的可预期性。借鉴发达</w:t>
      </w:r>
      <w:r>
        <w:rPr>
          <w:spacing w:val="-14"/>
        </w:rPr>
        <w:t>国家基于价值的定价机制中的质量调整生命年、成本效益评估等指标，以及我国仿制药与创</w:t>
      </w:r>
      <w:r>
        <w:rPr>
          <w:spacing w:val="-7"/>
        </w:rPr>
        <w:t>新药的特定产业结构，综合考虑药物的临床价值、支付方价值、创新价值、患者价值，明确</w:t>
      </w:r>
      <w:r>
        <w:rPr>
          <w:spacing w:val="-13"/>
        </w:rPr>
        <w:t>不同价值维度、指标的类别、权重。确保药品价格综合评估框架满足人民群众日益增长的健</w:t>
      </w:r>
      <w:r>
        <w:rPr>
          <w:spacing w:val="-10"/>
        </w:rPr>
        <w:t>康服务需求。应在医保准入和价格谈判程序中，逐步降低国际比价等经济类指标权重，逐步</w:t>
      </w:r>
      <w:r>
        <w:rPr>
          <w:spacing w:val="-6"/>
        </w:rPr>
        <w:t>提高药品的效果类指标权重。尤其是在罕见病等“小众”领域，既要考虑可量化、可测量的价值，又要考虑不可量化测量的社会价值，如公民健康权实现、人道主义关怀等。</w:t>
      </w:r>
    </w:p>
    <w:p>
      <w:pPr>
        <w:spacing w:before="177"/>
        <w:ind w:left="2990" w:right="0" w:firstLine="0"/>
        <w:jc w:val="left"/>
        <w:rPr>
          <w:sz w:val="21"/>
        </w:rPr>
      </w:pPr>
      <w:r>
        <w:rPr>
          <w:sz w:val="21"/>
        </w:rPr>
        <w:t>【代表委员议国是】全国人大代表李燕建议</w:t>
      </w:r>
    </w:p>
    <w:p>
      <w:pPr>
        <w:pStyle w:val="Heading2"/>
        <w:spacing w:before="156"/>
        <w:ind w:left="2574"/>
      </w:pPr>
      <w:r>
        <w:rPr/>
        <w:t>明确药事服务费的收费依据和标准</w:t>
      </w:r>
    </w:p>
    <w:p>
      <w:pPr>
        <w:pStyle w:val="Heading3"/>
        <w:spacing w:before="147"/>
        <w:ind w:left="7325"/>
      </w:pPr>
      <w:r>
        <w:rPr>
          <w:color w:val="FF0000"/>
        </w:rPr>
        <w:t>（来源：中国医药报）</w:t>
      </w:r>
    </w:p>
    <w:p>
      <w:pPr>
        <w:pStyle w:val="BodyText"/>
        <w:spacing w:line="295" w:lineRule="auto" w:before="97"/>
        <w:ind w:right="247" w:firstLine="480"/>
        <w:jc w:val="both"/>
      </w:pPr>
      <w:r>
        <w:rPr>
          <w:spacing w:val="-10"/>
        </w:rPr>
        <w:t>全国两会期间，全国人大代表、齐鲁制药集团总裁李燕建议，加大我国药师管理工作实</w:t>
      </w:r>
      <w:r>
        <w:rPr/>
        <w:t>施力度，充分发挥药师保障患者用药安全的作用。</w:t>
      </w:r>
    </w:p>
    <w:p>
      <w:pPr>
        <w:pStyle w:val="BodyText"/>
        <w:spacing w:line="295" w:lineRule="auto" w:before="4"/>
        <w:ind w:right="249" w:firstLine="480"/>
        <w:jc w:val="both"/>
      </w:pPr>
      <w:r>
        <w:rPr>
          <w:spacing w:val="-10"/>
        </w:rPr>
        <w:t>李燕代表表示，药师可检查医师所开处方是否存在药物相互作用，参与药物治疗方案的</w:t>
      </w:r>
      <w:r>
        <w:rPr/>
        <w:t>制订、评估、优化等工作，并指导患者用药，实现患者用药的个性化指导和个体化监护。</w:t>
      </w:r>
    </w:p>
    <w:p>
      <w:pPr>
        <w:spacing w:after="0" w:line="295" w:lineRule="auto"/>
        <w:jc w:val="both"/>
        <w:sectPr>
          <w:pgSz w:w="11910" w:h="16850"/>
          <w:pgMar w:header="906" w:footer="607" w:top="1100" w:bottom="800" w:left="1040" w:right="880"/>
        </w:sectPr>
      </w:pPr>
    </w:p>
    <w:p>
      <w:pPr>
        <w:pStyle w:val="BodyText"/>
        <w:spacing w:line="297" w:lineRule="auto" w:before="65"/>
        <w:ind w:right="247" w:firstLine="480"/>
      </w:pPr>
      <w:r>
        <w:rPr>
          <w:spacing w:val="-2"/>
        </w:rPr>
        <w:t>李燕代表介绍，一项来自中国临床安全用药监测网的用药错误报告显示，其中 </w:t>
      </w:r>
      <w:r>
        <w:rPr>
          <w:rFonts w:ascii="Times New Roman" w:hAnsi="Times New Roman" w:eastAsia="Times New Roman"/>
        </w:rPr>
        <w:t>80%</w:t>
      </w:r>
      <w:r>
        <w:rPr/>
        <w:t>的</w:t>
      </w:r>
      <w:r>
        <w:rPr>
          <w:spacing w:val="-6"/>
        </w:rPr>
        <w:t>用药错误是药师在审方和双核对工作时发现并规避的；一项对临床药师参与的全胃肠外营养</w:t>
      </w:r>
      <w:r>
        <w:rPr>
          <w:spacing w:val="-3"/>
        </w:rPr>
        <w:t>处方干预的研究显示，患者营养治疗日均费用从 </w:t>
      </w:r>
      <w:r>
        <w:rPr>
          <w:rFonts w:ascii="Times New Roman" w:hAnsi="Times New Roman" w:eastAsia="Times New Roman"/>
        </w:rPr>
        <w:t>1021</w:t>
      </w:r>
      <w:r>
        <w:rPr>
          <w:rFonts w:ascii="Calibri" w:hAnsi="Calibri" w:eastAsia="Calibri"/>
        </w:rPr>
        <w:t>±</w:t>
      </w:r>
      <w:r>
        <w:rPr>
          <w:rFonts w:ascii="Times New Roman" w:hAnsi="Times New Roman" w:eastAsia="Times New Roman"/>
        </w:rPr>
        <w:t>218 </w:t>
      </w:r>
      <w:r>
        <w:rPr>
          <w:spacing w:val="-15"/>
        </w:rPr>
        <w:t>元降至 </w:t>
      </w:r>
      <w:r>
        <w:rPr>
          <w:rFonts w:ascii="Times New Roman" w:hAnsi="Times New Roman" w:eastAsia="Times New Roman"/>
        </w:rPr>
        <w:t>860</w:t>
      </w:r>
      <w:r>
        <w:rPr>
          <w:rFonts w:ascii="Calibri" w:hAnsi="Calibri" w:eastAsia="Calibri"/>
        </w:rPr>
        <w:t>±</w:t>
      </w:r>
      <w:r>
        <w:rPr>
          <w:rFonts w:ascii="Times New Roman" w:hAnsi="Times New Roman" w:eastAsia="Times New Roman"/>
        </w:rPr>
        <w:t>176 </w:t>
      </w:r>
      <w:r>
        <w:rPr/>
        <w:t>元，缩短了平均</w:t>
      </w:r>
      <w:r>
        <w:rPr>
          <w:spacing w:val="-12"/>
        </w:rPr>
        <w:t>住院日。她认为，我国药学服务水平还应该继续提升，建议三级医院尽快开设药物治疗管理</w:t>
      </w:r>
      <w:r>
        <w:rPr>
          <w:spacing w:val="-11"/>
        </w:rPr>
        <w:t>门诊，承接已获取医师处方的慢性病患者。在门诊中，具有药学专业技术优势的药师可向患</w:t>
      </w:r>
      <w:r>
        <w:rPr>
          <w:spacing w:val="-10"/>
        </w:rPr>
        <w:t>者提供用药方案审核、用药教育、咨询指导和持续的生活方式管理等一系列综合性专业技术服务，从而提高患者用药依从性，预防患者用药错误。同时，国家有关部门应尽快明确我国</w:t>
      </w:r>
      <w:r>
        <w:rPr>
          <w:spacing w:val="-9"/>
        </w:rPr>
        <w:t>药事服务费的定义，制定药师门诊收费标准，根据用药剂型、用药知识咨询等不同服务内容</w:t>
      </w:r>
      <w:r>
        <w:rPr>
          <w:spacing w:val="-8"/>
        </w:rPr>
        <w:t>收取相应费用，推动我国药师队伍长期稳定健康发展。另外，尽快推进药师法立法进程，明</w:t>
      </w:r>
      <w:r>
        <w:rPr/>
        <w:t>确药师的法律地位，增强药师话语权。</w:t>
      </w:r>
    </w:p>
    <w:p>
      <w:pPr>
        <w:pStyle w:val="Heading2"/>
        <w:spacing w:before="92"/>
      </w:pPr>
      <w:r>
        <w:rPr/>
        <w:t>【药监动态】</w:t>
      </w:r>
    </w:p>
    <w:p>
      <w:pPr>
        <w:pStyle w:val="BodyText"/>
        <w:spacing w:before="11"/>
        <w:ind w:left="0"/>
        <w:rPr>
          <w:b/>
          <w:sz w:val="22"/>
        </w:rPr>
      </w:pPr>
    </w:p>
    <w:p>
      <w:pPr>
        <w:spacing w:before="0"/>
        <w:ind w:left="0" w:right="16" w:firstLine="0"/>
        <w:jc w:val="center"/>
        <w:rPr>
          <w:b/>
          <w:sz w:val="32"/>
        </w:rPr>
      </w:pPr>
      <w:r>
        <w:rPr>
          <w:b/>
          <w:sz w:val="32"/>
        </w:rPr>
        <w:t>化痔栓等 3 种药品转换为处方药</w:t>
      </w:r>
    </w:p>
    <w:p>
      <w:pPr>
        <w:spacing w:before="79"/>
        <w:ind w:left="419" w:right="11" w:firstLine="0"/>
        <w:jc w:val="center"/>
        <w:rPr>
          <w:sz w:val="21"/>
        </w:rPr>
      </w:pPr>
      <w:r>
        <w:rPr>
          <w:sz w:val="21"/>
        </w:rPr>
        <w:t>敬修堂、平光信谊等百余家企业将受影响</w:t>
      </w:r>
    </w:p>
    <w:p>
      <w:pPr>
        <w:pStyle w:val="Heading3"/>
        <w:spacing w:before="179"/>
        <w:ind w:left="0" w:right="248"/>
        <w:jc w:val="right"/>
      </w:pPr>
      <w:r>
        <w:rPr>
          <w:color w:val="FF0000"/>
          <w:w w:val="95"/>
        </w:rPr>
        <w:t>（来源：中国医药报）</w:t>
      </w:r>
    </w:p>
    <w:p>
      <w:pPr>
        <w:pStyle w:val="BodyText"/>
        <w:spacing w:line="297" w:lineRule="auto" w:before="95"/>
        <w:ind w:right="247" w:firstLine="480"/>
        <w:jc w:val="both"/>
      </w:pPr>
      <w:r>
        <w:rPr>
          <w:spacing w:val="-10"/>
        </w:rPr>
        <w:t>近日，国家药品监管局发布公告称，为保障公众用药安全，根据《处方药与非处方药分</w:t>
      </w:r>
      <w:r>
        <w:rPr/>
        <w:t>类管理办法（试行）》（</w:t>
      </w:r>
      <w:r>
        <w:rPr>
          <w:spacing w:val="-5"/>
        </w:rPr>
        <w:t>国家药品监督管理局令第 </w:t>
      </w:r>
      <w:r>
        <w:rPr>
          <w:rFonts w:ascii="Times New Roman" w:eastAsia="Times New Roman"/>
        </w:rPr>
        <w:t>10 </w:t>
      </w:r>
      <w:r>
        <w:rPr/>
        <w:t>号）的规定，经国家药品监管局组织</w:t>
      </w:r>
      <w:r>
        <w:rPr>
          <w:spacing w:val="-6"/>
        </w:rPr>
        <w:t>论证和审定，将胃痛宁片、化痔栓及消栓通络制剂</w:t>
      </w:r>
      <w:r>
        <w:rPr/>
        <w:t>（</w:t>
      </w:r>
      <w:r>
        <w:rPr>
          <w:spacing w:val="-6"/>
        </w:rPr>
        <w:t>片剂、胶囊剂、颗粒剂</w:t>
      </w:r>
      <w:r>
        <w:rPr>
          <w:spacing w:val="-17"/>
        </w:rPr>
        <w:t>）</w:t>
      </w:r>
      <w:r>
        <w:rPr>
          <w:spacing w:val="-3"/>
        </w:rPr>
        <w:t>调出非处方药</w:t>
      </w:r>
      <w:r>
        <w:rPr/>
        <w:t>目录，按处方药管理，同时对上述药品说明书进行修订。</w:t>
      </w:r>
    </w:p>
    <w:p>
      <w:pPr>
        <w:pStyle w:val="BodyText"/>
        <w:spacing w:line="297" w:lineRule="auto"/>
        <w:ind w:right="145" w:firstLine="480"/>
      </w:pPr>
      <w:r>
        <w:rPr>
          <w:spacing w:val="-8"/>
        </w:rPr>
        <w:t>根据公告，上述 </w:t>
      </w:r>
      <w:r>
        <w:rPr>
          <w:rFonts w:ascii="Times New Roman" w:hAnsi="Times New Roman" w:eastAsia="Times New Roman"/>
        </w:rPr>
        <w:t>3 </w:t>
      </w:r>
      <w:r>
        <w:rPr>
          <w:spacing w:val="-1"/>
        </w:rPr>
        <w:t>种产品说明书均要求注明“请仔细阅读说明书并在医师指导下使用” </w:t>
      </w:r>
      <w:r>
        <w:rPr>
          <w:spacing w:val="-10"/>
        </w:rPr>
        <w:t>等字样，并分别对警示语、【不良反应】项、【禁忌】项、【注意事项】项应包含的内容进行了明确。胃痛宁片说明书还明确了【药物相互作用】项的相关内容。</w:t>
      </w:r>
    </w:p>
    <w:p>
      <w:pPr>
        <w:pStyle w:val="BodyText"/>
        <w:spacing w:line="297" w:lineRule="auto"/>
        <w:ind w:right="247" w:firstLine="480"/>
        <w:jc w:val="both"/>
      </w:pPr>
      <w:r>
        <w:rPr>
          <w:spacing w:val="-9"/>
        </w:rPr>
        <w:t>公告指出，上述药品生产企业均应依据《药品注册管理办法》等有关规定，按照相关药</w:t>
      </w:r>
      <w:r>
        <w:rPr>
          <w:spacing w:val="-15"/>
        </w:rPr>
        <w:t>品说明书修订要求，提出修订说明书的补充申请，于 </w:t>
      </w:r>
      <w:r>
        <w:rPr>
          <w:rFonts w:ascii="Times New Roman" w:eastAsia="Times New Roman"/>
        </w:rPr>
        <w:t>2019 </w:t>
      </w:r>
      <w:r>
        <w:rPr>
          <w:spacing w:val="-30"/>
        </w:rPr>
        <w:t>年 </w:t>
      </w:r>
      <w:r>
        <w:rPr>
          <w:rFonts w:ascii="Times New Roman" w:eastAsia="Times New Roman"/>
        </w:rPr>
        <w:t>4 </w:t>
      </w:r>
      <w:r>
        <w:rPr>
          <w:spacing w:val="-30"/>
        </w:rPr>
        <w:t>月 </w:t>
      </w:r>
      <w:r>
        <w:rPr>
          <w:rFonts w:ascii="Times New Roman" w:eastAsia="Times New Roman"/>
        </w:rPr>
        <w:t>30 </w:t>
      </w:r>
      <w:r>
        <w:rPr>
          <w:spacing w:val="-2"/>
        </w:rPr>
        <w:t>日前报省级药监部门备</w:t>
      </w:r>
      <w:r>
        <w:rPr>
          <w:spacing w:val="-11"/>
        </w:rPr>
        <w:t>案。修订内容涉及药品标签的，应当一并进行修订；说明书及标签其他内容应当与原批准内</w:t>
      </w:r>
      <w:r>
        <w:rPr>
          <w:spacing w:val="-5"/>
        </w:rPr>
        <w:t>容一致。在补充申请备案后 </w:t>
      </w:r>
      <w:r>
        <w:rPr>
          <w:rFonts w:ascii="Times New Roman" w:eastAsia="Times New Roman"/>
        </w:rPr>
        <w:t>6 </w:t>
      </w:r>
      <w:r>
        <w:rPr/>
        <w:t>个月内对已出厂的药品说明书及标签予以更换。</w:t>
      </w:r>
    </w:p>
    <w:p>
      <w:pPr>
        <w:pStyle w:val="BodyText"/>
        <w:spacing w:line="297" w:lineRule="auto"/>
        <w:ind w:right="247" w:firstLine="480"/>
        <w:jc w:val="both"/>
      </w:pPr>
      <w:r>
        <w:rPr>
          <w:spacing w:val="-11"/>
        </w:rPr>
        <w:t>公告要求，上述药品生产企业应当对新增不良反应发生机制开展深入研究，采取有效措</w:t>
      </w:r>
      <w:r>
        <w:rPr>
          <w:spacing w:val="-6"/>
        </w:rPr>
        <w:t>施做好相关药品使用和安全性问题的宣传培训，指导医师合理用药。临床医师应当仔细阅读</w:t>
      </w:r>
      <w:r>
        <w:rPr/>
        <w:t>上述药品说明书的修订内容，在选择用药时，应当根据新修订说明书进行充分的效益</w:t>
      </w:r>
      <w:r>
        <w:rPr>
          <w:rFonts w:ascii="Times New Roman" w:eastAsia="Times New Roman"/>
        </w:rPr>
        <w:t>/</w:t>
      </w:r>
      <w:r>
        <w:rPr/>
        <w:t>风险分析。患者应严格遵医嘱用药，用药前应当仔细阅读相关药品说明书。</w:t>
      </w:r>
    </w:p>
    <w:p>
      <w:pPr>
        <w:pStyle w:val="BodyText"/>
        <w:spacing w:line="302" w:lineRule="exact"/>
        <w:ind w:left="717"/>
      </w:pPr>
      <w:r>
        <w:rPr>
          <w:spacing w:val="-2"/>
        </w:rPr>
        <w:t>记者从国家药监局官网查询，胃痛宁片共涉及美罗药业、四川绿叶等 </w:t>
      </w:r>
      <w:r>
        <w:rPr>
          <w:rFonts w:ascii="Times New Roman" w:eastAsia="Times New Roman"/>
        </w:rPr>
        <w:t>10 </w:t>
      </w:r>
      <w:r>
        <w:rPr/>
        <w:t>家企业，消栓</w:t>
      </w:r>
    </w:p>
    <w:p>
      <w:pPr>
        <w:pStyle w:val="BodyText"/>
        <w:spacing w:before="59"/>
      </w:pPr>
      <w:r>
        <w:rPr>
          <w:spacing w:val="-9"/>
        </w:rPr>
        <w:t>通络片共涉及葵花药业、修正药业、通化东宝、哈尔滨圣泰等 </w:t>
      </w:r>
      <w:r>
        <w:rPr>
          <w:rFonts w:ascii="Times New Roman" w:eastAsia="Times New Roman"/>
        </w:rPr>
        <w:t>105</w:t>
      </w:r>
      <w:r>
        <w:rPr>
          <w:rFonts w:ascii="Times New Roman" w:eastAsia="Times New Roman"/>
          <w:spacing w:val="1"/>
        </w:rPr>
        <w:t> </w:t>
      </w:r>
      <w:r>
        <w:rPr>
          <w:spacing w:val="-5"/>
        </w:rPr>
        <w:t>家企业，消栓通络胶囊则</w:t>
      </w:r>
    </w:p>
    <w:p>
      <w:pPr>
        <w:pStyle w:val="BodyText"/>
        <w:spacing w:before="75"/>
      </w:pPr>
      <w:r>
        <w:rPr/>
        <w:t>涉及吉林省东北亚药业、锦州本天药业、西安高科陕西金方药业 </w:t>
      </w:r>
      <w:r>
        <w:rPr>
          <w:rFonts w:ascii="Times New Roman" w:eastAsia="Times New Roman"/>
        </w:rPr>
        <w:t>3 </w:t>
      </w:r>
      <w:r>
        <w:rPr/>
        <w:t>家企业。</w:t>
      </w:r>
    </w:p>
    <w:p>
      <w:pPr>
        <w:pStyle w:val="BodyText"/>
        <w:spacing w:line="295" w:lineRule="auto" w:before="72"/>
        <w:ind w:right="247" w:firstLine="480"/>
        <w:jc w:val="both"/>
      </w:pPr>
      <w:r>
        <w:rPr>
          <w:spacing w:val="-10"/>
        </w:rPr>
        <w:t>值得关注的是，化痔栓为广州白云山敬修堂药业股份有限公司独家品种，消栓通络颗粒</w:t>
      </w:r>
      <w:r>
        <w:rPr/>
        <w:t>则为江苏平光信谊</w:t>
      </w:r>
      <w:r>
        <w:rPr>
          <w:rFonts w:ascii="Times New Roman" w:eastAsia="Times New Roman"/>
        </w:rPr>
        <w:t>(</w:t>
      </w:r>
      <w:r>
        <w:rPr/>
        <w:t>焦作</w:t>
      </w:r>
      <w:r>
        <w:rPr>
          <w:rFonts w:ascii="Times New Roman" w:eastAsia="Times New Roman"/>
        </w:rPr>
        <w:t>)</w:t>
      </w:r>
      <w:r>
        <w:rPr>
          <w:spacing w:val="-3"/>
        </w:rPr>
        <w:t>中药有限公司的独家品种。公开资料显示，化痔栓于 </w:t>
      </w:r>
      <w:r>
        <w:rPr>
          <w:rFonts w:ascii="Times New Roman" w:eastAsia="Times New Roman"/>
        </w:rPr>
        <w:t>2002 </w:t>
      </w:r>
      <w:r>
        <w:rPr/>
        <w:t>年进入</w:t>
      </w:r>
    </w:p>
    <w:p>
      <w:pPr>
        <w:pStyle w:val="BodyText"/>
        <w:spacing w:line="295" w:lineRule="auto" w:before="4"/>
        <w:ind w:right="279"/>
      </w:pPr>
      <w:r>
        <w:rPr/>
        <w:t>第四批非处方药药品目录；消栓通络颗粒则是 </w:t>
      </w:r>
      <w:r>
        <w:rPr>
          <w:rFonts w:ascii="Times New Roman" w:eastAsia="Times New Roman"/>
        </w:rPr>
        <w:t>1999 </w:t>
      </w:r>
      <w:r>
        <w:rPr/>
        <w:t>年第一批国家非处方药</w:t>
      </w:r>
      <w:r>
        <w:rPr>
          <w:rFonts w:ascii="Times New Roman" w:eastAsia="Times New Roman"/>
        </w:rPr>
        <w:t>(</w:t>
      </w:r>
      <w:r>
        <w:rPr/>
        <w:t>西药、中成药</w:t>
      </w:r>
      <w:r>
        <w:rPr>
          <w:rFonts w:ascii="Times New Roman" w:eastAsia="Times New Roman"/>
        </w:rPr>
        <w:t>) </w:t>
      </w:r>
      <w:r>
        <w:rPr/>
        <w:t>目录品种。</w:t>
      </w:r>
    </w:p>
    <w:p>
      <w:pPr>
        <w:spacing w:after="0" w:line="295" w:lineRule="auto"/>
        <w:sectPr>
          <w:pgSz w:w="11910" w:h="16850"/>
          <w:pgMar w:header="906" w:footer="607" w:top="1100" w:bottom="800" w:left="1040" w:right="880"/>
        </w:sectPr>
      </w:pPr>
    </w:p>
    <w:p>
      <w:pPr>
        <w:pStyle w:val="BodyText"/>
        <w:spacing w:line="297" w:lineRule="auto" w:before="65"/>
        <w:ind w:right="247" w:firstLine="480"/>
      </w:pPr>
      <w:r>
        <w:rPr>
          <w:spacing w:val="-8"/>
        </w:rPr>
        <w:t>从非处方药转换为处方药，意味着上述药品只能凭医生处方销售，且不得在大众媒体进</w:t>
      </w:r>
      <w:r>
        <w:rPr/>
        <w:t>行广告宣传，将对药品的市场销售产生较大影响。以化痔栓为例，</w:t>
      </w:r>
      <w:r>
        <w:rPr>
          <w:rFonts w:ascii="Times New Roman" w:eastAsia="Times New Roman"/>
        </w:rPr>
        <w:t>2015 </w:t>
      </w:r>
      <w:r>
        <w:rPr/>
        <w:t>年相关数据显示， </w:t>
      </w:r>
      <w:r>
        <w:rPr>
          <w:spacing w:val="-8"/>
        </w:rPr>
        <w:t>其位列痔疮药物市场排名前十。而痔疮是一类常见、高发疾病，大部分轻度痔疮患者多选择</w:t>
      </w:r>
      <w:r>
        <w:rPr>
          <w:spacing w:val="-2"/>
        </w:rPr>
        <w:t>到药店购买药物后自我药疗。将其调出非处方药目录，意味着其在药店等 </w:t>
      </w:r>
      <w:r>
        <w:rPr>
          <w:rFonts w:ascii="Times New Roman" w:eastAsia="Times New Roman"/>
        </w:rPr>
        <w:t>OTC </w:t>
      </w:r>
      <w:r>
        <w:rPr/>
        <w:t>市场的销售将受到限制。</w:t>
      </w:r>
    </w:p>
    <w:p>
      <w:pPr>
        <w:pStyle w:val="BodyText"/>
        <w:spacing w:line="297" w:lineRule="auto"/>
        <w:ind w:right="246" w:firstLine="480"/>
        <w:jc w:val="both"/>
      </w:pPr>
      <w:r>
        <w:rPr>
          <w:spacing w:val="-7"/>
        </w:rPr>
        <w:t>公告同时要求，各省</w:t>
      </w:r>
      <w:r>
        <w:rPr/>
        <w:t>（</w:t>
      </w:r>
      <w:r>
        <w:rPr>
          <w:spacing w:val="-10"/>
        </w:rPr>
        <w:t>区、市</w:t>
      </w:r>
      <w:r>
        <w:rPr>
          <w:spacing w:val="-27"/>
        </w:rPr>
        <w:t>）</w:t>
      </w:r>
      <w:r>
        <w:rPr>
          <w:spacing w:val="-1"/>
        </w:rPr>
        <w:t>药监部门应当督促行政区域内的上述药品生产企业按要</w:t>
      </w:r>
      <w:r>
        <w:rPr/>
        <w:t>求做好相应说明书修订和标签、说明书更换工作；对违法违规行为组织依法严厉查处。</w:t>
      </w:r>
    </w:p>
    <w:p>
      <w:pPr>
        <w:pStyle w:val="BodyText"/>
        <w:spacing w:before="4"/>
        <w:ind w:left="0"/>
        <w:rPr>
          <w:sz w:val="17"/>
        </w:rPr>
      </w:pPr>
    </w:p>
    <w:p>
      <w:pPr>
        <w:pStyle w:val="Heading2"/>
        <w:ind w:left="765"/>
      </w:pPr>
      <w:r>
        <w:rPr/>
        <w:t>关于修订含头孢哌酮药品说明书的公告（2019 年 第 13 号）</w:t>
      </w:r>
    </w:p>
    <w:p>
      <w:pPr>
        <w:pStyle w:val="Heading3"/>
        <w:spacing w:before="146"/>
        <w:ind w:left="5880"/>
      </w:pPr>
      <w:r>
        <w:rPr>
          <w:color w:val="FF0000"/>
          <w:w w:val="95"/>
        </w:rPr>
        <w:t>（来源：国家药品监督管理局网站）</w:t>
      </w:r>
    </w:p>
    <w:p>
      <w:pPr>
        <w:pStyle w:val="BodyText"/>
        <w:spacing w:line="295" w:lineRule="auto" w:before="98"/>
        <w:ind w:right="247" w:firstLine="468"/>
        <w:jc w:val="both"/>
      </w:pPr>
      <w:r>
        <w:rPr>
          <w:spacing w:val="-6"/>
        </w:rPr>
        <w:t>为进一步保障公众用药安全，国家药品监督管理局决定对含头孢哌酮药品</w:t>
      </w:r>
      <w:r>
        <w:rPr/>
        <w:t>（</w:t>
      </w:r>
      <w:r>
        <w:rPr>
          <w:spacing w:val="-3"/>
        </w:rPr>
        <w:t>包括注射用</w:t>
      </w:r>
      <w:r>
        <w:rPr>
          <w:spacing w:val="-6"/>
        </w:rPr>
        <w:t>头孢哌酮钠、注射用头孢哌酮钠舒巴坦钠、注射用头孢哌酮钠舒巴坦钠</w:t>
      </w:r>
      <w:r>
        <w:rPr>
          <w:spacing w:val="-5"/>
        </w:rPr>
        <w:t>（</w:t>
      </w:r>
      <w:r>
        <w:rPr>
          <w:rFonts w:ascii="Calibri" w:hAnsi="Calibri" w:eastAsia="Calibri"/>
          <w:spacing w:val="-5"/>
        </w:rPr>
        <w:t>1</w:t>
      </w:r>
      <w:r>
        <w:rPr>
          <w:spacing w:val="-5"/>
        </w:rPr>
        <w:t>∶</w:t>
      </w:r>
      <w:r>
        <w:rPr>
          <w:rFonts w:ascii="Calibri" w:hAnsi="Calibri" w:eastAsia="Calibri"/>
          <w:spacing w:val="-5"/>
        </w:rPr>
        <w:t>1</w:t>
      </w:r>
      <w:r>
        <w:rPr>
          <w:spacing w:val="-5"/>
        </w:rPr>
        <w:t>）</w:t>
      </w:r>
      <w:r>
        <w:rPr>
          <w:spacing w:val="-8"/>
        </w:rPr>
        <w:t>、注射用头</w:t>
      </w:r>
      <w:r>
        <w:rPr>
          <w:spacing w:val="-4"/>
        </w:rPr>
        <w:t>孢哌酮钠舒巴坦钠</w:t>
      </w:r>
      <w:r>
        <w:rPr>
          <w:spacing w:val="-6"/>
        </w:rPr>
        <w:t>（</w:t>
      </w:r>
      <w:r>
        <w:rPr>
          <w:rFonts w:ascii="Calibri" w:hAnsi="Calibri" w:eastAsia="Calibri"/>
          <w:spacing w:val="-6"/>
        </w:rPr>
        <w:t>2</w:t>
      </w:r>
      <w:r>
        <w:rPr>
          <w:spacing w:val="-6"/>
        </w:rPr>
        <w:t>∶</w:t>
      </w:r>
      <w:r>
        <w:rPr>
          <w:rFonts w:ascii="Calibri" w:hAnsi="Calibri" w:eastAsia="Calibri"/>
          <w:spacing w:val="-6"/>
        </w:rPr>
        <w:t>1</w:t>
      </w:r>
      <w:r>
        <w:rPr>
          <w:spacing w:val="-6"/>
        </w:rPr>
        <w:t>）</w:t>
      </w:r>
      <w:r>
        <w:rPr>
          <w:spacing w:val="-9"/>
        </w:rPr>
        <w:t>、注射用头孢哌酮钠他唑巴坦钠、注射用头孢哌酮钠他唑巴坦钠</w:t>
      </w:r>
    </w:p>
    <w:p>
      <w:pPr>
        <w:pStyle w:val="BodyText"/>
        <w:spacing w:line="295" w:lineRule="auto" w:before="5"/>
        <w:ind w:right="249"/>
      </w:pPr>
      <w:r>
        <w:rPr>
          <w:spacing w:val="-1"/>
        </w:rPr>
        <w:t>（</w:t>
      </w:r>
      <w:r>
        <w:rPr>
          <w:rFonts w:ascii="Calibri" w:hAnsi="Calibri" w:eastAsia="Calibri"/>
          <w:spacing w:val="-1"/>
        </w:rPr>
        <w:t>4</w:t>
      </w:r>
      <w:r>
        <w:rPr>
          <w:spacing w:val="-1"/>
        </w:rPr>
        <w:t>∶</w:t>
      </w:r>
      <w:r>
        <w:rPr>
          <w:rFonts w:ascii="Calibri" w:hAnsi="Calibri" w:eastAsia="Calibri"/>
          <w:spacing w:val="-1"/>
        </w:rPr>
        <w:t>1</w:t>
      </w:r>
      <w:r>
        <w:rPr>
          <w:spacing w:val="-1"/>
        </w:rPr>
        <w:t>）</w:t>
      </w:r>
      <w:r>
        <w:rPr>
          <w:spacing w:val="-5"/>
        </w:rPr>
        <w:t>、注射用头孢哌酮钠他唑巴坦钠</w:t>
      </w:r>
      <w:r>
        <w:rPr/>
        <w:t>（</w:t>
      </w:r>
      <w:r>
        <w:rPr>
          <w:rFonts w:ascii="Calibri" w:hAnsi="Calibri" w:eastAsia="Calibri"/>
        </w:rPr>
        <w:t>8</w:t>
      </w:r>
      <w:r>
        <w:rPr/>
        <w:t>∶</w:t>
      </w:r>
      <w:r>
        <w:rPr>
          <w:rFonts w:ascii="Calibri" w:hAnsi="Calibri" w:eastAsia="Calibri"/>
        </w:rPr>
        <w:t>1</w:t>
      </w:r>
      <w:r>
        <w:rPr/>
        <w:t>）</w:t>
      </w:r>
      <w:r>
        <w:rPr>
          <w:spacing w:val="-8"/>
        </w:rPr>
        <w:t>说明书【不良反应】、【禁忌】、【药物相互作用】等项进行修订。现将有关事项公告如下：</w:t>
      </w:r>
    </w:p>
    <w:p>
      <w:pPr>
        <w:pStyle w:val="BodyText"/>
        <w:spacing w:line="297" w:lineRule="auto" w:before="2"/>
        <w:ind w:right="246" w:firstLine="480"/>
        <w:jc w:val="both"/>
      </w:pPr>
      <w:r>
        <w:rPr>
          <w:spacing w:val="-10"/>
        </w:rPr>
        <w:t>一、所有含头孢哌酮药品生产企业均应依据《药品注册管理办法》等有关规定，按照含</w:t>
      </w:r>
      <w:r>
        <w:rPr>
          <w:spacing w:val="-11"/>
        </w:rPr>
        <w:t>头孢哌酮药品说明书修订要求</w:t>
      </w:r>
      <w:r>
        <w:rPr/>
        <w:t>（见附件</w:t>
      </w:r>
      <w:r>
        <w:rPr>
          <w:spacing w:val="-15"/>
        </w:rPr>
        <w:t>），</w:t>
      </w:r>
      <w:r>
        <w:rPr>
          <w:spacing w:val="-6"/>
        </w:rPr>
        <w:t>提出修订说明书的补充申请，于 </w:t>
      </w:r>
      <w:r>
        <w:rPr>
          <w:rFonts w:ascii="Calibri" w:eastAsia="Calibri"/>
        </w:rPr>
        <w:t>2019 </w:t>
      </w:r>
      <w:r>
        <w:rPr>
          <w:spacing w:val="-30"/>
        </w:rPr>
        <w:t>年 </w:t>
      </w:r>
      <w:r>
        <w:rPr>
          <w:rFonts w:ascii="Calibri" w:eastAsia="Calibri"/>
        </w:rPr>
        <w:t>4 </w:t>
      </w:r>
      <w:r>
        <w:rPr>
          <w:spacing w:val="-32"/>
        </w:rPr>
        <w:t>月 </w:t>
      </w:r>
      <w:r>
        <w:rPr>
          <w:rFonts w:ascii="Calibri" w:eastAsia="Calibri"/>
        </w:rPr>
        <w:t>26 </w:t>
      </w:r>
      <w:r>
        <w:rPr/>
        <w:t>日前报省级药品监管部门备案。</w:t>
      </w:r>
    </w:p>
    <w:p>
      <w:pPr>
        <w:pStyle w:val="BodyText"/>
        <w:spacing w:line="297" w:lineRule="auto"/>
        <w:ind w:right="247" w:firstLine="480"/>
        <w:jc w:val="both"/>
      </w:pPr>
      <w:r>
        <w:rPr>
          <w:spacing w:val="-9"/>
        </w:rPr>
        <w:t>修订内容涉及药品标签的，应当一并进行修订；说明书及标签其他内容应当与原批准内</w:t>
      </w:r>
      <w:r>
        <w:rPr>
          <w:spacing w:val="-5"/>
        </w:rPr>
        <w:t>容一致。在补充申请备案后 </w:t>
      </w:r>
      <w:r>
        <w:rPr>
          <w:rFonts w:ascii="Calibri" w:eastAsia="Calibri"/>
        </w:rPr>
        <w:t>6 </w:t>
      </w:r>
      <w:r>
        <w:rPr/>
        <w:t>个月内对所有已出厂的药品说明书及标签予以更换。</w:t>
      </w:r>
    </w:p>
    <w:p>
      <w:pPr>
        <w:pStyle w:val="BodyText"/>
        <w:spacing w:line="297" w:lineRule="auto"/>
        <w:ind w:right="248" w:firstLine="480"/>
        <w:jc w:val="both"/>
      </w:pPr>
      <w:r>
        <w:rPr>
          <w:spacing w:val="-5"/>
        </w:rPr>
        <w:t>各含头孢哌酮药品生产企业应当对新增不良反应发生机制开展深入研究，采取有效措施</w:t>
      </w:r>
      <w:r>
        <w:rPr>
          <w:spacing w:val="-8"/>
        </w:rPr>
        <w:t>做好使用和安全性问题的宣传培训，涉及用药安全的内容变更要立即以适当方式通知药品经</w:t>
      </w:r>
      <w:r>
        <w:rPr/>
        <w:t>营和使用单位，指导医师、药师合理用药。</w:t>
      </w:r>
    </w:p>
    <w:p>
      <w:pPr>
        <w:pStyle w:val="BodyText"/>
        <w:spacing w:line="295" w:lineRule="auto"/>
        <w:ind w:right="147" w:firstLine="480"/>
      </w:pPr>
      <w:r>
        <w:rPr/>
        <w:t>二、临床医师、药师应当仔细阅读含头孢哌酮药品说明书的修订内容，在选择用药时， 应当根据新修订说明书进行充分的效益</w:t>
      </w:r>
      <w:r>
        <w:rPr>
          <w:rFonts w:ascii="Calibri" w:eastAsia="Calibri"/>
        </w:rPr>
        <w:t>/</w:t>
      </w:r>
      <w:r>
        <w:rPr/>
        <w:t>风险分析。</w:t>
      </w:r>
    </w:p>
    <w:p>
      <w:pPr>
        <w:pStyle w:val="BodyText"/>
        <w:ind w:left="717"/>
      </w:pPr>
      <w:r>
        <w:rPr/>
        <w:t>三、患者应严格遵医嘱用药，用药前应当仔细阅读说明书。</w:t>
      </w:r>
    </w:p>
    <w:p>
      <w:pPr>
        <w:pStyle w:val="BodyText"/>
        <w:spacing w:line="295" w:lineRule="auto" w:before="68"/>
        <w:ind w:right="250" w:firstLine="480"/>
        <w:jc w:val="both"/>
      </w:pPr>
      <w:r>
        <w:rPr>
          <w:spacing w:val="-12"/>
        </w:rPr>
        <w:t>四、各省级药品监管部门应当督促行政区域内的上述药品生产企业按要求做好相应说明</w:t>
      </w:r>
      <w:r>
        <w:rPr/>
        <w:t>书修订和标签、说明书更换工作；对违法违规行为组织依法严厉查处。</w:t>
      </w:r>
    </w:p>
    <w:p>
      <w:pPr>
        <w:spacing w:line="295" w:lineRule="auto" w:before="4"/>
        <w:ind w:left="705" w:right="8079" w:firstLine="0"/>
        <w:jc w:val="left"/>
        <w:rPr>
          <w:b/>
          <w:sz w:val="24"/>
        </w:rPr>
      </w:pPr>
      <w:r>
        <w:rPr>
          <w:sz w:val="24"/>
        </w:rPr>
        <w:t>特此公告。</w:t>
      </w:r>
      <w:r>
        <w:rPr>
          <w:b/>
          <w:sz w:val="24"/>
        </w:rPr>
        <w:t>附件</w:t>
      </w:r>
    </w:p>
    <w:p>
      <w:pPr>
        <w:spacing w:line="297" w:lineRule="auto" w:before="2"/>
        <w:ind w:left="705" w:right="3078" w:firstLine="2827"/>
        <w:jc w:val="left"/>
        <w:rPr>
          <w:sz w:val="24"/>
        </w:rPr>
      </w:pPr>
      <w:r>
        <w:rPr>
          <w:b/>
          <w:sz w:val="24"/>
        </w:rPr>
        <w:t>含头孢哌酮药品说明书修订要求</w:t>
      </w:r>
      <w:r>
        <w:rPr>
          <w:sz w:val="24"/>
        </w:rPr>
        <w:t>一、【不良反应】项下增加以下内容</w:t>
      </w:r>
    </w:p>
    <w:p>
      <w:pPr>
        <w:pStyle w:val="BodyText"/>
        <w:spacing w:line="306" w:lineRule="exact"/>
        <w:ind w:left="705"/>
      </w:pPr>
      <w:r>
        <w:rPr/>
        <w:t>血小板减少、低凝血酶原血症、凝血障碍、出血。</w:t>
      </w:r>
    </w:p>
    <w:p>
      <w:pPr>
        <w:pStyle w:val="BodyText"/>
        <w:spacing w:before="72"/>
        <w:ind w:left="705"/>
      </w:pPr>
      <w:r>
        <w:rPr>
          <w:spacing w:val="-10"/>
        </w:rPr>
        <w:t>二、【注意事项】项下开头部分加入有关凝血障碍及出血的风险的警告项，具体内容如</w:t>
      </w:r>
    </w:p>
    <w:p>
      <w:pPr>
        <w:pStyle w:val="BodyText"/>
        <w:spacing w:before="74"/>
      </w:pPr>
      <w:r>
        <w:rPr/>
        <w:t>下</w:t>
      </w:r>
    </w:p>
    <w:p>
      <w:pPr>
        <w:pStyle w:val="BodyText"/>
        <w:spacing w:before="72"/>
        <w:ind w:left="705"/>
      </w:pPr>
      <w:r>
        <w:rPr>
          <w:spacing w:val="-13"/>
        </w:rPr>
        <w:t>警告：已有 </w:t>
      </w:r>
      <w:r>
        <w:rPr>
          <w:rFonts w:ascii="Calibri" w:hAnsi="Calibri" w:eastAsia="Calibri"/>
          <w:spacing w:val="-4"/>
        </w:rPr>
        <w:t>Χ</w:t>
      </w:r>
      <w:r>
        <w:rPr>
          <w:spacing w:val="-4"/>
        </w:rPr>
        <w:t>（</w:t>
      </w:r>
      <w:r>
        <w:rPr/>
        <w:t>药品名称</w:t>
      </w:r>
      <w:r>
        <w:rPr>
          <w:spacing w:val="-8"/>
        </w:rPr>
        <w:t>）</w:t>
      </w:r>
      <w:r>
        <w:rPr>
          <w:spacing w:val="-2"/>
        </w:rPr>
        <w:t>有关的严重出血包括致死情况的报告。需监测出血、血小板</w:t>
      </w:r>
    </w:p>
    <w:p>
      <w:pPr>
        <w:pStyle w:val="BodyText"/>
        <w:spacing w:before="72"/>
      </w:pPr>
      <w:r>
        <w:rPr/>
        <w:t>减少和凝血障碍迹象。如果有不明原因的持续性出血，应立即停药。</w:t>
      </w:r>
    </w:p>
    <w:p>
      <w:pPr>
        <w:spacing w:after="0"/>
        <w:sectPr>
          <w:pgSz w:w="11910" w:h="16850"/>
          <w:pgMar w:header="906" w:footer="607" w:top="1100" w:bottom="800" w:left="1040" w:right="880"/>
        </w:sectPr>
      </w:pPr>
    </w:p>
    <w:p>
      <w:pPr>
        <w:pStyle w:val="BodyText"/>
        <w:spacing w:line="297" w:lineRule="auto" w:before="65"/>
        <w:ind w:right="246" w:firstLine="468"/>
        <w:jc w:val="both"/>
      </w:pPr>
      <w:r>
        <w:rPr>
          <w:spacing w:val="-3"/>
        </w:rPr>
        <w:t>少数患者使用本品治疗后出现了导致凝血障碍的维生素 </w:t>
      </w:r>
      <w:r>
        <w:rPr>
          <w:rFonts w:ascii="Calibri" w:eastAsia="Calibri"/>
        </w:rPr>
        <w:t>K </w:t>
      </w:r>
      <w:r>
        <w:rPr>
          <w:spacing w:val="-12"/>
        </w:rPr>
        <w:t>缺乏，其机制很可能与合成维</w:t>
      </w:r>
      <w:r>
        <w:rPr>
          <w:spacing w:val="-4"/>
        </w:rPr>
        <w:t>生素的肠道菌群受到抑制有关，包括营养不良、吸收不良</w:t>
      </w:r>
      <w:r>
        <w:rPr/>
        <w:t>（如肺囊性纤维化患者</w:t>
      </w:r>
      <w:r>
        <w:rPr>
          <w:spacing w:val="-22"/>
        </w:rPr>
        <w:t>）</w:t>
      </w:r>
      <w:r>
        <w:rPr>
          <w:spacing w:val="-6"/>
        </w:rPr>
        <w:t>、酒精中</w:t>
      </w:r>
      <w:r>
        <w:rPr>
          <w:spacing w:val="-10"/>
        </w:rPr>
        <w:t>毒患者和长期静脉输注高营养制剂在内的患者存在上述危险。有低凝血酶原血症</w:t>
      </w:r>
      <w:r>
        <w:rPr/>
        <w:t>（</w:t>
      </w:r>
      <w:r>
        <w:rPr>
          <w:spacing w:val="-4"/>
        </w:rPr>
        <w:t>伴随出血</w:t>
      </w:r>
      <w:r>
        <w:rPr/>
        <w:t>或无出血</w:t>
      </w:r>
      <w:r>
        <w:rPr>
          <w:spacing w:val="-36"/>
        </w:rPr>
        <w:t>）</w:t>
      </w:r>
      <w:r>
        <w:rPr>
          <w:spacing w:val="-13"/>
        </w:rPr>
        <w:t>的报告。维生素 </w:t>
      </w:r>
      <w:r>
        <w:rPr>
          <w:rFonts w:ascii="Calibri" w:eastAsia="Calibri"/>
        </w:rPr>
        <w:t>K </w:t>
      </w:r>
      <w:r>
        <w:rPr>
          <w:spacing w:val="-5"/>
        </w:rPr>
        <w:t>缺乏会引起出血倾向。应监测上述这些患者以及接受抗凝血药</w:t>
      </w:r>
      <w:r>
        <w:rPr>
          <w:spacing w:val="-3"/>
        </w:rPr>
        <w:t>治疗患者的凝血酶原时间，需要时应另外补充维生素 </w:t>
      </w:r>
      <w:r>
        <w:rPr>
          <w:rFonts w:ascii="Calibri" w:eastAsia="Calibri"/>
        </w:rPr>
        <w:t>K</w:t>
      </w:r>
      <w:r>
        <w:rPr/>
        <w:t>。</w:t>
      </w:r>
    </w:p>
    <w:p>
      <w:pPr>
        <w:pStyle w:val="BodyText"/>
        <w:spacing w:line="297" w:lineRule="auto"/>
        <w:ind w:right="247" w:firstLine="468"/>
        <w:jc w:val="both"/>
      </w:pPr>
      <w:r>
        <w:rPr>
          <w:spacing w:val="-4"/>
        </w:rPr>
        <w:t>出血的独立风险因素可能包括有临床意义出血风险增加的损伤或病症，例如近期发生过</w:t>
      </w:r>
      <w:r>
        <w:rPr>
          <w:spacing w:val="-9"/>
        </w:rPr>
        <w:t>脑梗塞</w:t>
      </w:r>
      <w:r>
        <w:rPr/>
        <w:t>（缺血性或出血性</w:t>
      </w:r>
      <w:r>
        <w:rPr>
          <w:spacing w:val="-27"/>
        </w:rPr>
        <w:t>）；</w:t>
      </w:r>
      <w:r>
        <w:rPr>
          <w:spacing w:val="-3"/>
        </w:rPr>
        <w:t>近期有出血的活动性消化性溃疡；自发性或获得性止血平衡受</w:t>
      </w:r>
      <w:r>
        <w:rPr>
          <w:spacing w:val="-11"/>
        </w:rPr>
        <w:t>损的患者；伴随凝血障碍和临床相关出血风险的肝脏疾病；系统性合并使用已知影响止血的</w:t>
      </w:r>
      <w:r>
        <w:rPr/>
        <w:t>药物治疗。</w:t>
      </w:r>
    </w:p>
    <w:p>
      <w:pPr>
        <w:pStyle w:val="BodyText"/>
        <w:spacing w:line="304" w:lineRule="exact"/>
        <w:ind w:left="705"/>
      </w:pPr>
      <w:r>
        <w:rPr/>
        <w:t>三、【药物相互作用】增加以下内容</w:t>
      </w:r>
    </w:p>
    <w:p>
      <w:pPr>
        <w:pStyle w:val="BodyText"/>
        <w:spacing w:line="295" w:lineRule="auto" w:before="64"/>
        <w:ind w:right="250" w:firstLine="468"/>
        <w:jc w:val="both"/>
      </w:pPr>
      <w:r>
        <w:rPr>
          <w:spacing w:val="-7"/>
        </w:rPr>
        <w:t>本品与能产生低凝血酶原血症、血小板减少或胃肠道出血的药物同时应用时，要考虑这</w:t>
      </w:r>
      <w:r>
        <w:rPr/>
        <w:t>些药物对凝血功能以及出血危险性增加的影响。</w:t>
      </w:r>
    </w:p>
    <w:p>
      <w:pPr>
        <w:pStyle w:val="BodyText"/>
        <w:spacing w:before="4"/>
        <w:ind w:left="705"/>
      </w:pPr>
      <w:r>
        <w:rPr/>
        <w:t>（注：说明书其他内容如与上述修订要求不一致的，应当一并进行修订。）</w:t>
      </w:r>
    </w:p>
    <w:p>
      <w:pPr>
        <w:pStyle w:val="BodyText"/>
        <w:tabs>
          <w:tab w:pos="5746" w:val="left" w:leader="none"/>
        </w:tabs>
        <w:spacing w:before="72"/>
        <w:ind w:left="4185"/>
      </w:pPr>
      <w:r>
        <w:rPr/>
        <w:t>国家药监局</w:t>
        <w:tab/>
      </w:r>
      <w:r>
        <w:rPr>
          <w:rFonts w:ascii="Calibri" w:eastAsia="Calibri"/>
        </w:rPr>
        <w:t>2019</w:t>
      </w:r>
      <w:r>
        <w:rPr>
          <w:rFonts w:ascii="Calibri" w:eastAsia="Calibri"/>
          <w:spacing w:val="6"/>
        </w:rPr>
        <w:t> </w:t>
      </w:r>
      <w:r>
        <w:rPr/>
        <w:t>年</w:t>
      </w:r>
      <w:r>
        <w:rPr>
          <w:spacing w:val="-63"/>
        </w:rPr>
        <w:t> </w:t>
      </w:r>
      <w:r>
        <w:rPr>
          <w:rFonts w:ascii="Calibri" w:eastAsia="Calibri"/>
        </w:rPr>
        <w:t>2</w:t>
      </w:r>
      <w:r>
        <w:rPr>
          <w:rFonts w:ascii="Calibri" w:eastAsia="Calibri"/>
          <w:spacing w:val="6"/>
        </w:rPr>
        <w:t> </w:t>
      </w:r>
      <w:r>
        <w:rPr/>
        <w:t>月</w:t>
      </w:r>
      <w:r>
        <w:rPr>
          <w:spacing w:val="-60"/>
        </w:rPr>
        <w:t> </w:t>
      </w:r>
      <w:r>
        <w:rPr>
          <w:rFonts w:ascii="Calibri" w:eastAsia="Calibri"/>
        </w:rPr>
        <w:t>26</w:t>
      </w:r>
      <w:r>
        <w:rPr>
          <w:rFonts w:ascii="Calibri" w:eastAsia="Calibri"/>
          <w:spacing w:val="6"/>
        </w:rPr>
        <w:t> </w:t>
      </w:r>
      <w:r>
        <w:rPr/>
        <w:t>日</w:t>
      </w:r>
    </w:p>
    <w:p>
      <w:pPr>
        <w:pStyle w:val="BodyText"/>
        <w:spacing w:before="8"/>
        <w:ind w:left="0"/>
        <w:rPr>
          <w:sz w:val="23"/>
        </w:rPr>
      </w:pPr>
    </w:p>
    <w:p>
      <w:pPr>
        <w:pStyle w:val="Heading2"/>
        <w:spacing w:before="1"/>
      </w:pPr>
      <w:r>
        <w:rPr>
          <w:spacing w:val="-2"/>
          <w:w w:val="90"/>
        </w:rPr>
        <w:t>关于修订阿莫西林</w:t>
      </w:r>
      <w:r>
        <w:rPr>
          <w:w w:val="90"/>
        </w:rPr>
        <w:t>（钠</w:t>
      </w:r>
      <w:r>
        <w:rPr>
          <w:spacing w:val="-15"/>
          <w:w w:val="90"/>
        </w:rPr>
        <w:t>）</w:t>
      </w:r>
      <w:r>
        <w:rPr>
          <w:spacing w:val="-2"/>
          <w:w w:val="90"/>
        </w:rPr>
        <w:t>克拉维酸钾制剂说明书的公告</w:t>
      </w:r>
      <w:r>
        <w:rPr>
          <w:w w:val="90"/>
        </w:rPr>
        <w:t>（2019</w:t>
      </w:r>
      <w:r>
        <w:rPr>
          <w:spacing w:val="-23"/>
          <w:w w:val="90"/>
        </w:rPr>
        <w:t> 年 第 </w:t>
      </w:r>
      <w:r>
        <w:rPr>
          <w:w w:val="90"/>
        </w:rPr>
        <w:t>14</w:t>
      </w:r>
      <w:r>
        <w:rPr>
          <w:spacing w:val="-32"/>
          <w:w w:val="90"/>
        </w:rPr>
        <w:t> 号</w:t>
      </w:r>
      <w:r>
        <w:rPr>
          <w:w w:val="90"/>
        </w:rPr>
        <w:t>）</w:t>
      </w:r>
    </w:p>
    <w:p>
      <w:pPr>
        <w:pStyle w:val="Heading3"/>
        <w:spacing w:before="147"/>
        <w:ind w:left="5880"/>
      </w:pPr>
      <w:r>
        <w:rPr>
          <w:color w:val="FF0000"/>
        </w:rPr>
        <w:t>（来源：国家药品监督管理局网站）</w:t>
      </w:r>
    </w:p>
    <w:p>
      <w:pPr>
        <w:pStyle w:val="BodyText"/>
        <w:spacing w:line="297" w:lineRule="auto" w:before="96"/>
        <w:ind w:right="251" w:firstLine="468"/>
        <w:jc w:val="both"/>
      </w:pPr>
      <w:r>
        <w:rPr>
          <w:spacing w:val="-4"/>
        </w:rPr>
        <w:t>为进一步保障公众用药安全，国家药品监督管理局决定对阿莫西林</w:t>
      </w:r>
      <w:r>
        <w:rPr/>
        <w:t>（钠</w:t>
      </w:r>
      <w:r>
        <w:rPr>
          <w:spacing w:val="-32"/>
        </w:rPr>
        <w:t>）</w:t>
      </w:r>
      <w:r>
        <w:rPr>
          <w:spacing w:val="-3"/>
        </w:rPr>
        <w:t>克拉维酸钾制</w:t>
      </w:r>
      <w:r>
        <w:rPr>
          <w:spacing w:val="-10"/>
        </w:rPr>
        <w:t>剂</w:t>
      </w:r>
      <w:r>
        <w:rPr/>
        <w:t>（</w:t>
      </w:r>
      <w:r>
        <w:rPr>
          <w:spacing w:val="-4"/>
        </w:rPr>
        <w:t>包括注射剂、片剂、混悬剂、颗粒剂和胶囊剂</w:t>
      </w:r>
      <w:r>
        <w:rPr>
          <w:spacing w:val="-10"/>
        </w:rPr>
        <w:t>）</w:t>
      </w:r>
      <w:r>
        <w:rPr>
          <w:spacing w:val="-9"/>
        </w:rPr>
        <w:t>说明书【不良反应】、【禁忌】、【注</w:t>
      </w:r>
      <w:r>
        <w:rPr/>
        <w:t>意事项】等项进行修订。现将有关事项公告如下：</w:t>
      </w:r>
    </w:p>
    <w:p>
      <w:pPr>
        <w:pStyle w:val="BodyText"/>
        <w:spacing w:line="297" w:lineRule="auto"/>
        <w:ind w:right="247" w:firstLine="480"/>
        <w:jc w:val="both"/>
      </w:pPr>
      <w:r>
        <w:rPr>
          <w:spacing w:val="-8"/>
        </w:rPr>
        <w:t>一、所有阿莫西林</w:t>
      </w:r>
      <w:r>
        <w:rPr/>
        <w:t>（钠</w:t>
      </w:r>
      <w:r>
        <w:rPr>
          <w:spacing w:val="-22"/>
        </w:rPr>
        <w:t>）</w:t>
      </w:r>
      <w:r>
        <w:rPr>
          <w:spacing w:val="-3"/>
        </w:rPr>
        <w:t>克拉维酸钾制剂生产企业均应依据《药品注册管理办法》等有</w:t>
      </w:r>
      <w:r>
        <w:rPr>
          <w:spacing w:val="-6"/>
        </w:rPr>
        <w:t>关规定，按照阿莫西林克拉维酸钾口服制剂说明书修订要求</w:t>
      </w:r>
      <w:r>
        <w:rPr/>
        <w:t>（</w:t>
      </w:r>
      <w:r>
        <w:rPr>
          <w:spacing w:val="-15"/>
        </w:rPr>
        <w:t>见附件 </w:t>
      </w:r>
      <w:r>
        <w:rPr>
          <w:rFonts w:ascii="Calibri" w:eastAsia="Calibri"/>
          <w:spacing w:val="-8"/>
        </w:rPr>
        <w:t>1</w:t>
      </w:r>
      <w:r>
        <w:rPr>
          <w:spacing w:val="-8"/>
        </w:rPr>
        <w:t>）</w:t>
      </w:r>
      <w:r>
        <w:rPr>
          <w:spacing w:val="-2"/>
        </w:rPr>
        <w:t>或阿莫西林钠克拉</w:t>
      </w:r>
      <w:r>
        <w:rPr/>
        <w:t>维酸钾注射剂说明书修订要求（</w:t>
      </w:r>
      <w:r>
        <w:rPr>
          <w:spacing w:val="-15"/>
        </w:rPr>
        <w:t>见附件 </w:t>
      </w:r>
      <w:r>
        <w:rPr>
          <w:rFonts w:ascii="Calibri" w:eastAsia="Calibri"/>
        </w:rPr>
        <w:t>2</w:t>
      </w:r>
      <w:r>
        <w:rPr/>
        <w:t>），</w:t>
      </w:r>
      <w:r>
        <w:rPr>
          <w:spacing w:val="-4"/>
        </w:rPr>
        <w:t>提出修订说明书的补充申请，于 </w:t>
      </w:r>
      <w:r>
        <w:rPr>
          <w:rFonts w:ascii="Calibri" w:eastAsia="Calibri"/>
        </w:rPr>
        <w:t>2019 </w:t>
      </w:r>
      <w:r>
        <w:rPr>
          <w:spacing w:val="-32"/>
        </w:rPr>
        <w:t>年 </w:t>
      </w:r>
      <w:r>
        <w:rPr>
          <w:rFonts w:ascii="Calibri" w:eastAsia="Calibri"/>
        </w:rPr>
        <w:t>4 </w:t>
      </w:r>
      <w:r>
        <w:rPr/>
        <w:t>月</w:t>
      </w:r>
    </w:p>
    <w:p>
      <w:pPr>
        <w:pStyle w:val="BodyText"/>
        <w:spacing w:line="304" w:lineRule="exact"/>
      </w:pPr>
      <w:r>
        <w:rPr>
          <w:rFonts w:ascii="Calibri" w:eastAsia="Calibri"/>
        </w:rPr>
        <w:t>26 </w:t>
      </w:r>
      <w:r>
        <w:rPr/>
        <w:t>日前报省级药品监管部门备案。</w:t>
      </w:r>
    </w:p>
    <w:p>
      <w:pPr>
        <w:pStyle w:val="BodyText"/>
        <w:spacing w:line="297" w:lineRule="auto" w:before="68"/>
        <w:ind w:right="247" w:firstLine="480"/>
        <w:jc w:val="both"/>
      </w:pPr>
      <w:r>
        <w:rPr>
          <w:spacing w:val="-9"/>
        </w:rPr>
        <w:t>修订内容涉及药品标签的，应当一并进行修订；说明书及标签其他内容应当与原批准内</w:t>
      </w:r>
      <w:r>
        <w:rPr>
          <w:spacing w:val="-5"/>
        </w:rPr>
        <w:t>容一致。在补充申请备案后 </w:t>
      </w:r>
      <w:r>
        <w:rPr>
          <w:rFonts w:ascii="Calibri" w:eastAsia="Calibri"/>
        </w:rPr>
        <w:t>6 </w:t>
      </w:r>
      <w:r>
        <w:rPr/>
        <w:t>个月内对所有已出厂的药品说明书及标签予以更换。</w:t>
      </w:r>
    </w:p>
    <w:p>
      <w:pPr>
        <w:pStyle w:val="BodyText"/>
        <w:spacing w:line="297" w:lineRule="auto"/>
        <w:ind w:right="130" w:firstLine="480"/>
      </w:pPr>
      <w:r>
        <w:rPr>
          <w:spacing w:val="-23"/>
        </w:rPr>
        <w:t>各阿莫西林</w:t>
      </w:r>
      <w:r>
        <w:rPr/>
        <w:t>（钠</w:t>
      </w:r>
      <w:r>
        <w:rPr>
          <w:spacing w:val="-111"/>
        </w:rPr>
        <w:t>）</w:t>
      </w:r>
      <w:r>
        <w:rPr>
          <w:spacing w:val="-3"/>
        </w:rPr>
        <w:t>克拉维酸钾制剂生产企业应当对新增不良反应发生机制开展深入研究， </w:t>
      </w:r>
      <w:r>
        <w:rPr>
          <w:spacing w:val="-5"/>
        </w:rPr>
        <w:t>采取有效措施做好使用和安全性问题的宣传培训，涉及用药安全的内容变更要立即以适当方式通知药品经营和使用单位，指导医师、药师合理用药。</w:t>
      </w:r>
    </w:p>
    <w:p>
      <w:pPr>
        <w:pStyle w:val="BodyText"/>
        <w:spacing w:line="295" w:lineRule="auto"/>
        <w:ind w:right="147" w:firstLine="480"/>
      </w:pPr>
      <w:r>
        <w:rPr/>
        <w:t>二、临床医师、药师应当仔细阅读阿莫西林（钠）克拉维酸钾制剂说明书的修订内容， 在选择用药时，应当根据新修订说明书进行充分的效益</w:t>
      </w:r>
      <w:r>
        <w:rPr>
          <w:rFonts w:ascii="Calibri" w:eastAsia="Calibri"/>
        </w:rPr>
        <w:t>/</w:t>
      </w:r>
      <w:r>
        <w:rPr/>
        <w:t>风险分析。</w:t>
      </w:r>
    </w:p>
    <w:p>
      <w:pPr>
        <w:pStyle w:val="BodyText"/>
        <w:ind w:left="717"/>
      </w:pPr>
      <w:r>
        <w:rPr/>
        <w:t>三、患者应严格遵医嘱用药，用药前应当仔细阅读说明书。</w:t>
      </w:r>
    </w:p>
    <w:p>
      <w:pPr>
        <w:pStyle w:val="BodyText"/>
        <w:spacing w:line="295" w:lineRule="auto" w:before="71"/>
        <w:ind w:right="250" w:firstLine="480"/>
        <w:jc w:val="both"/>
      </w:pPr>
      <w:r>
        <w:rPr>
          <w:spacing w:val="-12"/>
        </w:rPr>
        <w:t>四、各省级药品监管部门应当督促行政区域内的上述药品生产企业按要求做好相应说明</w:t>
      </w:r>
      <w:r>
        <w:rPr/>
        <w:t>书修订和标签、说明书更换工作；对违法违规行为组织依法严厉查处。</w:t>
      </w:r>
    </w:p>
    <w:p>
      <w:pPr>
        <w:spacing w:line="295" w:lineRule="auto" w:before="5"/>
        <w:ind w:left="705" w:right="8079" w:firstLine="0"/>
        <w:jc w:val="left"/>
        <w:rPr>
          <w:rFonts w:ascii="Calibri" w:eastAsia="Calibri"/>
          <w:b/>
          <w:sz w:val="24"/>
        </w:rPr>
      </w:pPr>
      <w:r>
        <w:rPr>
          <w:sz w:val="24"/>
        </w:rPr>
        <w:t>特此公告。</w:t>
      </w:r>
      <w:r>
        <w:rPr>
          <w:b/>
          <w:sz w:val="24"/>
        </w:rPr>
        <w:t>附件 </w:t>
      </w:r>
      <w:r>
        <w:rPr>
          <w:rFonts w:ascii="Calibri" w:eastAsia="Calibri"/>
          <w:b/>
          <w:sz w:val="24"/>
        </w:rPr>
        <w:t>1</w:t>
      </w:r>
    </w:p>
    <w:p>
      <w:pPr>
        <w:spacing w:line="297" w:lineRule="auto" w:before="2"/>
        <w:ind w:left="705" w:right="2355" w:firstLine="2105"/>
        <w:jc w:val="left"/>
        <w:rPr>
          <w:sz w:val="24"/>
        </w:rPr>
      </w:pPr>
      <w:r>
        <w:rPr>
          <w:b/>
          <w:sz w:val="24"/>
        </w:rPr>
        <w:t>阿莫西林克拉维酸钾口服制剂说明书修订要求</w:t>
      </w:r>
      <w:r>
        <w:rPr>
          <w:sz w:val="24"/>
        </w:rPr>
        <w:t>一、说明书修订总体要求</w:t>
      </w:r>
    </w:p>
    <w:p>
      <w:pPr>
        <w:spacing w:after="0" w:line="297" w:lineRule="auto"/>
        <w:jc w:val="left"/>
        <w:rPr>
          <w:sz w:val="24"/>
        </w:rPr>
        <w:sectPr>
          <w:pgSz w:w="11910" w:h="16850"/>
          <w:pgMar w:header="906" w:footer="607" w:top="1100" w:bottom="800" w:left="1040" w:right="880"/>
        </w:sectPr>
      </w:pPr>
    </w:p>
    <w:p>
      <w:pPr>
        <w:pStyle w:val="BodyText"/>
        <w:spacing w:line="297" w:lineRule="auto" w:before="65"/>
        <w:ind w:right="127" w:firstLine="468"/>
        <w:jc w:val="both"/>
      </w:pPr>
      <w:r>
        <w:rPr>
          <w:spacing w:val="-5"/>
        </w:rPr>
        <w:t>本次阿莫西林克拉维酸钾口服制剂说明书修订主要针对【不良反应】、【禁忌】、【注</w:t>
      </w:r>
      <w:r>
        <w:rPr>
          <w:spacing w:val="-12"/>
        </w:rPr>
        <w:t>意事项】三部分内容，应遵循以下原则：如本次修订内容较国家药品监督管理局已批准的相</w:t>
      </w:r>
      <w:r>
        <w:rPr>
          <w:spacing w:val="-13"/>
        </w:rPr>
        <w:t>关内容更严格、全面的，说明书应按本次修订意见修改。国家药品监督管理局已批准的相关</w:t>
      </w:r>
      <w:r>
        <w:rPr>
          <w:spacing w:val="-19"/>
        </w:rPr>
        <w:t>内容原则上不得删减，如原批准内容较本次修订意见更全面或更严格的，应保留原批准内容。</w:t>
      </w:r>
    </w:p>
    <w:p>
      <w:pPr>
        <w:pStyle w:val="BodyText"/>
        <w:spacing w:line="302" w:lineRule="exact"/>
        <w:ind w:left="705"/>
      </w:pPr>
      <w:r>
        <w:rPr/>
        <w:t>二、【不良反应】项应包含以下内容</w:t>
      </w:r>
    </w:p>
    <w:p>
      <w:pPr>
        <w:pStyle w:val="BodyText"/>
        <w:spacing w:line="297" w:lineRule="auto" w:before="71"/>
        <w:ind w:right="126" w:firstLine="468"/>
      </w:pPr>
      <w:r>
        <w:rPr>
          <w:spacing w:val="-16"/>
        </w:rPr>
        <w:t>皮肤及其附件损害：皮疹、瘙痒、荨麻疹、潮红、多形性红斑、</w:t>
      </w:r>
      <w:r>
        <w:rPr>
          <w:rFonts w:ascii="Calibri" w:eastAsia="Calibri"/>
        </w:rPr>
        <w:t>Stevens-Johnson </w:t>
      </w:r>
      <w:r>
        <w:rPr/>
        <w:t>综合征、中毒性表皮坏死松解症、剥脱性皮炎（红皮病）和急性泛发性发疹性脓疱病。</w:t>
      </w:r>
    </w:p>
    <w:p>
      <w:pPr>
        <w:pStyle w:val="BodyText"/>
        <w:spacing w:line="295" w:lineRule="auto"/>
        <w:ind w:right="250" w:firstLine="468"/>
      </w:pPr>
      <w:r>
        <w:rPr>
          <w:spacing w:val="-11"/>
        </w:rPr>
        <w:t>胃肠损害：恶心、呕吐、消化不良、腹胀、腹泻、胃炎、口腔炎、舌炎、黑毛状舌、伪</w:t>
      </w:r>
      <w:r>
        <w:rPr/>
        <w:t>膜性肠炎、出血性结肠炎。</w:t>
      </w:r>
    </w:p>
    <w:p>
      <w:pPr>
        <w:pStyle w:val="BodyText"/>
        <w:spacing w:line="295" w:lineRule="auto" w:before="3"/>
        <w:ind w:right="247" w:firstLine="468"/>
      </w:pPr>
      <w:r>
        <w:rPr>
          <w:spacing w:val="-8"/>
        </w:rPr>
        <w:t>免疫功能紊乱和感染：血管性水肿、皮肤与黏膜的念珠菌病、二重感染、血清病样综合</w:t>
      </w:r>
      <w:r>
        <w:rPr/>
        <w:t>征（荨麻疹并伴随关节炎、关节痛、肌痛和发热</w:t>
      </w:r>
      <w:r>
        <w:rPr>
          <w:rFonts w:ascii="Calibri" w:eastAsia="Calibri"/>
        </w:rPr>
        <w:t>)</w:t>
      </w:r>
      <w:r>
        <w:rPr/>
        <w:t>、哮喘、严重过敏样反应、过敏性休克。</w:t>
      </w:r>
    </w:p>
    <w:p>
      <w:pPr>
        <w:pStyle w:val="BodyText"/>
        <w:spacing w:line="297" w:lineRule="auto" w:before="2"/>
        <w:ind w:right="159" w:firstLine="468"/>
      </w:pPr>
      <w:r>
        <w:rPr/>
        <w:t>神经系统损害：头晕、头痛、眩晕、失眠、激动、焦虑、烦躁、行为改变、意识混乱、惊厥。</w:t>
      </w:r>
    </w:p>
    <w:p>
      <w:pPr>
        <w:pStyle w:val="BodyText"/>
        <w:spacing w:line="297" w:lineRule="auto"/>
        <w:ind w:right="247" w:firstLine="468"/>
        <w:jc w:val="both"/>
      </w:pPr>
      <w:r>
        <w:rPr>
          <w:spacing w:val="-6"/>
        </w:rPr>
        <w:t>血液系统损害：白细胞减少症</w:t>
      </w:r>
      <w:r>
        <w:rPr/>
        <w:t>（包括中性粒细胞减少症</w:t>
      </w:r>
      <w:r>
        <w:rPr>
          <w:spacing w:val="-22"/>
        </w:rPr>
        <w:t>）</w:t>
      </w:r>
      <w:r>
        <w:rPr>
          <w:spacing w:val="-4"/>
        </w:rPr>
        <w:t>和血小板减少症、血小板减少</w:t>
      </w:r>
      <w:r>
        <w:rPr>
          <w:spacing w:val="-10"/>
        </w:rPr>
        <w:t>性紫癜、嗜酸性粒细胞增多、血小板增多症、凝血酶原时间延长、粒细胞缺乏症和溶血性贫</w:t>
      </w:r>
      <w:r>
        <w:rPr/>
        <w:t>血。</w:t>
      </w:r>
    </w:p>
    <w:p>
      <w:pPr>
        <w:pStyle w:val="BodyText"/>
        <w:spacing w:line="295" w:lineRule="auto"/>
        <w:ind w:right="250" w:firstLine="468"/>
      </w:pPr>
      <w:r>
        <w:rPr>
          <w:spacing w:val="-8"/>
        </w:rPr>
        <w:t>泌尿系统损害：血尿、结晶尿、间质性肾炎、急性肾损伤</w:t>
      </w:r>
      <w:r>
        <w:rPr/>
        <w:t>（</w:t>
      </w:r>
      <w:r>
        <w:rPr>
          <w:spacing w:val="-4"/>
        </w:rPr>
        <w:t>包括急性肾功能衰竭、肌酐</w:t>
      </w:r>
      <w:r>
        <w:rPr/>
        <w:t>升高）。</w:t>
      </w:r>
    </w:p>
    <w:p>
      <w:pPr>
        <w:pStyle w:val="BodyText"/>
        <w:spacing w:line="295" w:lineRule="auto"/>
        <w:ind w:left="705" w:right="3999"/>
        <w:jc w:val="both"/>
      </w:pPr>
      <w:r>
        <w:rPr/>
        <w:t>肝胆损害：转氨酶升高、肝炎及胆汁淤积性黄疸。其他损害：心悸、紫绀、呼吸困难、胸闷、寒战。三、【禁忌】项下应包含以下内容</w:t>
      </w:r>
    </w:p>
    <w:p>
      <w:pPr>
        <w:pStyle w:val="ListParagraph"/>
        <w:numPr>
          <w:ilvl w:val="0"/>
          <w:numId w:val="1"/>
        </w:numPr>
        <w:tabs>
          <w:tab w:pos="890" w:val="left" w:leader="none"/>
        </w:tabs>
        <w:spacing w:line="295" w:lineRule="auto" w:before="5" w:after="0"/>
        <w:ind w:left="237" w:right="250" w:firstLine="468"/>
        <w:jc w:val="left"/>
        <w:rPr>
          <w:sz w:val="24"/>
        </w:rPr>
      </w:pPr>
      <w:r>
        <w:rPr>
          <w:spacing w:val="-5"/>
          <w:sz w:val="24"/>
        </w:rPr>
        <w:t>青霉素皮试阳性反应者、对本品及其他青霉素类药物过敏者及传染性单核细胞增多症</w:t>
      </w:r>
      <w:r>
        <w:rPr>
          <w:sz w:val="24"/>
        </w:rPr>
        <w:t>患者禁用。</w:t>
      </w:r>
    </w:p>
    <w:p>
      <w:pPr>
        <w:pStyle w:val="ListParagraph"/>
        <w:numPr>
          <w:ilvl w:val="0"/>
          <w:numId w:val="1"/>
        </w:numPr>
        <w:tabs>
          <w:tab w:pos="890" w:val="left" w:leader="none"/>
        </w:tabs>
        <w:spacing w:line="297" w:lineRule="auto" w:before="2" w:after="0"/>
        <w:ind w:left="705" w:right="1416" w:firstLine="0"/>
        <w:jc w:val="left"/>
        <w:rPr>
          <w:sz w:val="24"/>
        </w:rPr>
      </w:pPr>
      <w:r>
        <w:rPr>
          <w:spacing w:val="-1"/>
          <w:sz w:val="24"/>
        </w:rPr>
        <w:t>曾经出现过阿莫西林克拉维酸钾相关胆汁淤积或肝功能损伤的患者禁用。</w:t>
      </w:r>
      <w:r>
        <w:rPr>
          <w:sz w:val="24"/>
        </w:rPr>
        <w:t>四、【注意事项】应包含以下内容</w:t>
      </w:r>
    </w:p>
    <w:p>
      <w:pPr>
        <w:pStyle w:val="ListParagraph"/>
        <w:numPr>
          <w:ilvl w:val="0"/>
          <w:numId w:val="2"/>
        </w:numPr>
        <w:tabs>
          <w:tab w:pos="890" w:val="left" w:leader="none"/>
        </w:tabs>
        <w:spacing w:line="306" w:lineRule="exact" w:before="0" w:after="0"/>
        <w:ind w:left="889" w:right="0" w:hanging="184"/>
        <w:jc w:val="left"/>
        <w:rPr>
          <w:sz w:val="24"/>
        </w:rPr>
      </w:pPr>
      <w:r>
        <w:rPr>
          <w:sz w:val="24"/>
        </w:rPr>
        <w:t>对头孢菌素类药物过敏者及有哮喘、变应性鼻炎、荨麻疹等过敏性疾病史者慎用。</w:t>
      </w:r>
    </w:p>
    <w:p>
      <w:pPr>
        <w:pStyle w:val="ListParagraph"/>
        <w:numPr>
          <w:ilvl w:val="0"/>
          <w:numId w:val="2"/>
        </w:numPr>
        <w:tabs>
          <w:tab w:pos="890" w:val="left" w:leader="none"/>
        </w:tabs>
        <w:spacing w:line="297" w:lineRule="auto" w:before="71" w:after="0"/>
        <w:ind w:left="237" w:right="250" w:firstLine="468"/>
        <w:jc w:val="left"/>
        <w:rPr>
          <w:sz w:val="24"/>
        </w:rPr>
      </w:pPr>
      <w:r>
        <w:rPr>
          <w:spacing w:val="-3"/>
          <w:sz w:val="24"/>
        </w:rPr>
        <w:t>本品与其他青霉素类和头孢菌素类药物之间有交叉过敏性。若有过敏反应产生，则应</w:t>
      </w:r>
      <w:r>
        <w:rPr>
          <w:sz w:val="24"/>
        </w:rPr>
        <w:t>立即停用本品，并采取相应措施。</w:t>
      </w:r>
    </w:p>
    <w:p>
      <w:pPr>
        <w:pStyle w:val="ListParagraph"/>
        <w:numPr>
          <w:ilvl w:val="0"/>
          <w:numId w:val="2"/>
        </w:numPr>
        <w:tabs>
          <w:tab w:pos="890" w:val="left" w:leader="none"/>
        </w:tabs>
        <w:spacing w:line="306" w:lineRule="exact" w:before="0" w:after="0"/>
        <w:ind w:left="889" w:right="0" w:hanging="184"/>
        <w:jc w:val="left"/>
        <w:rPr>
          <w:sz w:val="24"/>
        </w:rPr>
      </w:pPr>
      <w:r>
        <w:rPr>
          <w:sz w:val="24"/>
        </w:rPr>
        <w:t>本品和氨苄西林等其他青霉素类、头孢菌素类有交叉耐药性。</w:t>
      </w:r>
    </w:p>
    <w:p>
      <w:pPr>
        <w:pStyle w:val="ListParagraph"/>
        <w:numPr>
          <w:ilvl w:val="0"/>
          <w:numId w:val="2"/>
        </w:numPr>
        <w:tabs>
          <w:tab w:pos="890" w:val="left" w:leader="none"/>
        </w:tabs>
        <w:spacing w:line="297" w:lineRule="auto" w:before="72" w:after="0"/>
        <w:ind w:left="237" w:right="247" w:firstLine="468"/>
        <w:jc w:val="left"/>
        <w:rPr>
          <w:sz w:val="24"/>
        </w:rPr>
      </w:pPr>
      <w:r>
        <w:rPr>
          <w:spacing w:val="-6"/>
          <w:sz w:val="24"/>
        </w:rPr>
        <w:t>估算肾小球滤过率小于 </w:t>
      </w:r>
      <w:r>
        <w:rPr>
          <w:rFonts w:ascii="Calibri" w:eastAsia="Calibri"/>
          <w:sz w:val="24"/>
        </w:rPr>
        <w:t>30ml/min</w:t>
      </w:r>
      <w:r>
        <w:rPr>
          <w:rFonts w:ascii="Calibri" w:eastAsia="Calibri"/>
          <w:spacing w:val="7"/>
          <w:sz w:val="24"/>
        </w:rPr>
        <w:t> </w:t>
      </w:r>
      <w:r>
        <w:rPr>
          <w:spacing w:val="-1"/>
          <w:sz w:val="24"/>
        </w:rPr>
        <w:t>时慎用，肾功能减退者应根据肾小球滤过率调整剂</w:t>
      </w:r>
      <w:r>
        <w:rPr>
          <w:spacing w:val="-11"/>
          <w:sz w:val="24"/>
        </w:rPr>
        <w:t>量或给药间期；血液透析可影响本品中阿莫西林的血药浓度，因此在血液透析后应加服本品</w:t>
      </w:r>
    </w:p>
    <w:p>
      <w:pPr>
        <w:pStyle w:val="BodyText"/>
        <w:spacing w:line="306" w:lineRule="exact"/>
      </w:pPr>
      <w:r>
        <w:rPr>
          <w:rFonts w:ascii="Calibri" w:eastAsia="Calibri"/>
        </w:rPr>
        <w:t>1 </w:t>
      </w:r>
      <w:r>
        <w:rPr/>
        <w:t>次。</w:t>
      </w:r>
    </w:p>
    <w:p>
      <w:pPr>
        <w:pStyle w:val="ListParagraph"/>
        <w:numPr>
          <w:ilvl w:val="0"/>
          <w:numId w:val="2"/>
        </w:numPr>
        <w:tabs>
          <w:tab w:pos="890" w:val="left" w:leader="none"/>
        </w:tabs>
        <w:spacing w:line="297" w:lineRule="auto" w:before="72" w:after="0"/>
        <w:ind w:left="237" w:right="250" w:firstLine="468"/>
        <w:jc w:val="left"/>
        <w:rPr>
          <w:sz w:val="24"/>
        </w:rPr>
      </w:pPr>
      <w:r>
        <w:rPr>
          <w:spacing w:val="-4"/>
          <w:sz w:val="24"/>
        </w:rPr>
        <w:t>使用高剂量的阿莫西林时，建议患者足量摄入液体并保证足够的尿量排出，以降低发</w:t>
      </w:r>
      <w:r>
        <w:rPr>
          <w:sz w:val="24"/>
        </w:rPr>
        <w:t>生阿莫西林结晶尿的可能性。</w:t>
      </w:r>
    </w:p>
    <w:p>
      <w:pPr>
        <w:pStyle w:val="ListParagraph"/>
        <w:numPr>
          <w:ilvl w:val="0"/>
          <w:numId w:val="2"/>
        </w:numPr>
        <w:tabs>
          <w:tab w:pos="890" w:val="left" w:leader="none"/>
        </w:tabs>
        <w:spacing w:line="306" w:lineRule="exact" w:before="0" w:after="0"/>
        <w:ind w:left="889" w:right="0" w:hanging="184"/>
        <w:jc w:val="left"/>
        <w:rPr>
          <w:sz w:val="24"/>
        </w:rPr>
      </w:pPr>
      <w:r>
        <w:rPr>
          <w:sz w:val="24"/>
        </w:rPr>
        <w:t>肝功能不全者慎用。</w:t>
      </w:r>
    </w:p>
    <w:p>
      <w:pPr>
        <w:pStyle w:val="ListParagraph"/>
        <w:numPr>
          <w:ilvl w:val="0"/>
          <w:numId w:val="2"/>
        </w:numPr>
        <w:tabs>
          <w:tab w:pos="890" w:val="left" w:leader="none"/>
        </w:tabs>
        <w:spacing w:line="240" w:lineRule="auto" w:before="71" w:after="0"/>
        <w:ind w:left="889" w:right="0" w:hanging="184"/>
        <w:jc w:val="left"/>
        <w:rPr>
          <w:sz w:val="24"/>
        </w:rPr>
      </w:pPr>
      <w:r>
        <w:rPr>
          <w:sz w:val="24"/>
        </w:rPr>
        <w:t>长期或大剂量使用本品者，应定期检查肝、肾、造血系统功能和检测血清钾或钠。</w:t>
      </w:r>
    </w:p>
    <w:p>
      <w:pPr>
        <w:pStyle w:val="ListParagraph"/>
        <w:numPr>
          <w:ilvl w:val="0"/>
          <w:numId w:val="2"/>
        </w:numPr>
        <w:tabs>
          <w:tab w:pos="890" w:val="left" w:leader="none"/>
        </w:tabs>
        <w:spacing w:line="240" w:lineRule="auto" w:before="75" w:after="0"/>
        <w:ind w:left="889" w:right="0" w:hanging="184"/>
        <w:jc w:val="left"/>
        <w:rPr>
          <w:sz w:val="24"/>
        </w:rPr>
      </w:pPr>
      <w:r>
        <w:rPr>
          <w:sz w:val="24"/>
        </w:rPr>
        <w:t>合并使用华法林时，为维持所需抗凝水平可能需调整口服抗凝剂的剂量。</w:t>
      </w:r>
    </w:p>
    <w:p>
      <w:pPr>
        <w:spacing w:after="0" w:line="240" w:lineRule="auto"/>
        <w:jc w:val="left"/>
        <w:rPr>
          <w:sz w:val="24"/>
        </w:rPr>
        <w:sectPr>
          <w:pgSz w:w="11910" w:h="16850"/>
          <w:pgMar w:header="906" w:footer="607" w:top="1100" w:bottom="800" w:left="1040" w:right="880"/>
        </w:sectPr>
      </w:pPr>
    </w:p>
    <w:p>
      <w:pPr>
        <w:pStyle w:val="ListParagraph"/>
        <w:numPr>
          <w:ilvl w:val="0"/>
          <w:numId w:val="2"/>
        </w:numPr>
        <w:tabs>
          <w:tab w:pos="890" w:val="left" w:leader="none"/>
        </w:tabs>
        <w:spacing w:line="295" w:lineRule="auto" w:before="65" w:after="0"/>
        <w:ind w:left="237" w:right="246" w:firstLine="468"/>
        <w:jc w:val="left"/>
        <w:rPr>
          <w:sz w:val="24"/>
        </w:rPr>
      </w:pPr>
      <w:r>
        <w:rPr>
          <w:spacing w:val="-5"/>
          <w:sz w:val="24"/>
        </w:rPr>
        <w:t>该药为时间依赖性抗生素，应严格按照说明书使用，多次用药间隔时间不应少于 </w:t>
      </w:r>
      <w:r>
        <w:rPr>
          <w:rFonts w:ascii="Calibri" w:eastAsia="Calibri"/>
          <w:sz w:val="24"/>
        </w:rPr>
        <w:t>6</w:t>
      </w:r>
      <w:r>
        <w:rPr>
          <w:rFonts w:ascii="Calibri" w:eastAsia="Calibri"/>
          <w:spacing w:val="6"/>
          <w:sz w:val="24"/>
        </w:rPr>
        <w:t> </w:t>
      </w:r>
      <w:r>
        <w:rPr>
          <w:spacing w:val="-15"/>
          <w:sz w:val="24"/>
        </w:rPr>
        <w:t>小</w:t>
      </w:r>
      <w:r>
        <w:rPr>
          <w:sz w:val="24"/>
        </w:rPr>
        <w:t>时。</w:t>
      </w:r>
    </w:p>
    <w:p>
      <w:pPr>
        <w:pStyle w:val="ListParagraph"/>
        <w:numPr>
          <w:ilvl w:val="0"/>
          <w:numId w:val="2"/>
        </w:numPr>
        <w:tabs>
          <w:tab w:pos="1012" w:val="left" w:leader="none"/>
        </w:tabs>
        <w:spacing w:line="240" w:lineRule="auto" w:before="2" w:after="0"/>
        <w:ind w:left="1011" w:right="0" w:hanging="306"/>
        <w:jc w:val="left"/>
        <w:rPr>
          <w:sz w:val="24"/>
        </w:rPr>
      </w:pPr>
      <w:r>
        <w:rPr>
          <w:sz w:val="24"/>
        </w:rPr>
        <w:t>为了减少胃肠道反应，口服制剂应与餐同服。</w:t>
      </w:r>
    </w:p>
    <w:p>
      <w:pPr>
        <w:pStyle w:val="ListParagraph"/>
        <w:numPr>
          <w:ilvl w:val="0"/>
          <w:numId w:val="2"/>
        </w:numPr>
        <w:tabs>
          <w:tab w:pos="1012" w:val="left" w:leader="none"/>
        </w:tabs>
        <w:spacing w:line="295" w:lineRule="auto" w:before="74" w:after="0"/>
        <w:ind w:left="237" w:right="247" w:firstLine="468"/>
        <w:jc w:val="left"/>
        <w:rPr>
          <w:sz w:val="24"/>
        </w:rPr>
      </w:pPr>
      <w:r>
        <w:rPr>
          <w:sz w:val="24"/>
        </w:rPr>
        <w:t>本品含阿司帕坦，可代谢为苯基丙氨酸，苯丙酮尿症患者应谨慎使用，必要时咨询</w:t>
      </w:r>
      <w:r>
        <w:rPr>
          <w:spacing w:val="-7"/>
          <w:sz w:val="24"/>
        </w:rPr>
        <w:t>专科医师。</w:t>
      </w:r>
      <w:r>
        <w:rPr>
          <w:sz w:val="24"/>
        </w:rPr>
        <w:t>（</w:t>
      </w:r>
      <w:r>
        <w:rPr>
          <w:spacing w:val="-5"/>
          <w:sz w:val="24"/>
        </w:rPr>
        <w:t>仅适用于辅料中含阿司帕坦的产品说明书；阿司帕坦，别名：阿斯巴甜、甜味</w:t>
      </w:r>
      <w:r>
        <w:rPr>
          <w:sz w:val="24"/>
        </w:rPr>
        <w:t>素、蛋白糖、甜乐、天冬甜素）</w:t>
      </w:r>
    </w:p>
    <w:p>
      <w:pPr>
        <w:pStyle w:val="ListParagraph"/>
        <w:numPr>
          <w:ilvl w:val="0"/>
          <w:numId w:val="2"/>
        </w:numPr>
        <w:tabs>
          <w:tab w:pos="1012" w:val="left" w:leader="none"/>
        </w:tabs>
        <w:spacing w:line="295" w:lineRule="auto" w:before="5" w:after="0"/>
        <w:ind w:left="237" w:right="250" w:firstLine="468"/>
        <w:jc w:val="left"/>
        <w:rPr>
          <w:sz w:val="24"/>
        </w:rPr>
      </w:pPr>
      <w:r>
        <w:rPr>
          <w:sz w:val="24"/>
        </w:rPr>
        <w:t>长期使用本品偶尔会引起非敏感性细菌的过度生长。已有使用抗生素发生伪膜性结</w:t>
      </w:r>
      <w:r>
        <w:rPr>
          <w:spacing w:val="-10"/>
          <w:sz w:val="24"/>
        </w:rPr>
        <w:t>肠炎的报告。如果患者出现持续性或严重腹泻，或者出现腹部绞痛，应立即中止治疗并对患</w:t>
      </w:r>
      <w:r>
        <w:rPr>
          <w:sz w:val="24"/>
        </w:rPr>
        <w:t>者进行进一步检查。</w:t>
      </w:r>
    </w:p>
    <w:p>
      <w:pPr>
        <w:pStyle w:val="ListParagraph"/>
        <w:numPr>
          <w:ilvl w:val="0"/>
          <w:numId w:val="2"/>
        </w:numPr>
        <w:tabs>
          <w:tab w:pos="1012" w:val="left" w:leader="none"/>
        </w:tabs>
        <w:spacing w:line="295" w:lineRule="auto" w:before="6" w:after="0"/>
        <w:ind w:left="237" w:right="334" w:firstLine="468"/>
        <w:jc w:val="left"/>
        <w:rPr>
          <w:sz w:val="24"/>
        </w:rPr>
      </w:pPr>
      <w:r>
        <w:rPr>
          <w:spacing w:val="-1"/>
          <w:sz w:val="24"/>
        </w:rPr>
        <w:t>为保证治疗的有效性以及避免使细菌产生耐药性，应按医嘱规律用药，避免遗漏或</w:t>
      </w:r>
      <w:r>
        <w:rPr>
          <w:sz w:val="24"/>
        </w:rPr>
        <w:t>提前停药。</w:t>
      </w:r>
    </w:p>
    <w:p>
      <w:pPr>
        <w:pStyle w:val="ListParagraph"/>
        <w:numPr>
          <w:ilvl w:val="0"/>
          <w:numId w:val="2"/>
        </w:numPr>
        <w:tabs>
          <w:tab w:pos="1012" w:val="left" w:leader="none"/>
        </w:tabs>
        <w:spacing w:line="297" w:lineRule="auto" w:before="2" w:after="0"/>
        <w:ind w:left="237" w:right="330" w:firstLine="468"/>
        <w:jc w:val="left"/>
        <w:rPr>
          <w:sz w:val="24"/>
        </w:rPr>
      </w:pPr>
      <w:r>
        <w:rPr>
          <w:spacing w:val="-2"/>
          <w:sz w:val="24"/>
        </w:rPr>
        <w:t>对怀疑为伴梅毒损害之淋病患者，在使用本品前应进行暗视野检查，并至少在 </w:t>
      </w:r>
      <w:r>
        <w:rPr>
          <w:rFonts w:ascii="Calibri" w:eastAsia="Calibri"/>
          <w:sz w:val="24"/>
        </w:rPr>
        <w:t>4</w:t>
      </w:r>
      <w:r>
        <w:rPr>
          <w:rFonts w:ascii="Calibri" w:eastAsia="Calibri"/>
          <w:spacing w:val="6"/>
          <w:sz w:val="24"/>
        </w:rPr>
        <w:t> </w:t>
      </w:r>
      <w:r>
        <w:rPr>
          <w:spacing w:val="-15"/>
          <w:sz w:val="24"/>
        </w:rPr>
        <w:t>个</w:t>
      </w:r>
      <w:r>
        <w:rPr>
          <w:sz w:val="24"/>
        </w:rPr>
        <w:t>月内，每月接受血清试验一次。</w:t>
      </w:r>
    </w:p>
    <w:p>
      <w:pPr>
        <w:pStyle w:val="ListParagraph"/>
        <w:numPr>
          <w:ilvl w:val="0"/>
          <w:numId w:val="2"/>
        </w:numPr>
        <w:tabs>
          <w:tab w:pos="1012" w:val="left" w:leader="none"/>
        </w:tabs>
        <w:spacing w:line="306" w:lineRule="exact" w:before="0" w:after="0"/>
        <w:ind w:left="1011" w:right="0" w:hanging="306"/>
        <w:jc w:val="left"/>
        <w:rPr>
          <w:sz w:val="24"/>
        </w:rPr>
      </w:pPr>
      <w:r>
        <w:rPr>
          <w:sz w:val="24"/>
        </w:rPr>
        <w:t>对实验室检查指标的干扰：</w:t>
      </w:r>
    </w:p>
    <w:p>
      <w:pPr>
        <w:pStyle w:val="ListParagraph"/>
        <w:numPr>
          <w:ilvl w:val="0"/>
          <w:numId w:val="3"/>
        </w:numPr>
        <w:tabs>
          <w:tab w:pos="1309" w:val="left" w:leader="none"/>
        </w:tabs>
        <w:spacing w:line="297" w:lineRule="auto" w:before="72" w:after="0"/>
        <w:ind w:left="237" w:right="276" w:firstLine="468"/>
        <w:jc w:val="left"/>
        <w:rPr>
          <w:sz w:val="24"/>
        </w:rPr>
      </w:pPr>
      <w:r>
        <w:rPr>
          <w:spacing w:val="-1"/>
          <w:sz w:val="24"/>
        </w:rPr>
        <w:t>硫酸铜法尿糖试验可呈假阳性，但葡萄糖酶试验法不受影响，服用本品时，推荐</w:t>
      </w:r>
      <w:r>
        <w:rPr>
          <w:sz w:val="24"/>
        </w:rPr>
        <w:t>应用基于葡萄糖氧化酶反应的尿糖检测；</w:t>
      </w:r>
    </w:p>
    <w:p>
      <w:pPr>
        <w:pStyle w:val="ListParagraph"/>
        <w:numPr>
          <w:ilvl w:val="0"/>
          <w:numId w:val="3"/>
        </w:numPr>
        <w:tabs>
          <w:tab w:pos="1309" w:val="left" w:leader="none"/>
        </w:tabs>
        <w:spacing w:line="306" w:lineRule="exact" w:before="0" w:after="0"/>
        <w:ind w:left="1308" w:right="0" w:hanging="603"/>
        <w:jc w:val="left"/>
        <w:rPr>
          <w:sz w:val="24"/>
        </w:rPr>
      </w:pPr>
      <w:r>
        <w:rPr>
          <w:sz w:val="24"/>
        </w:rPr>
        <w:t>可影响血清丙氨酸氨基转移酶或门冬氨酸氨基转移酶测定值。</w:t>
      </w:r>
    </w:p>
    <w:p>
      <w:pPr>
        <w:pStyle w:val="BodyText"/>
        <w:spacing w:line="297" w:lineRule="auto" w:before="72"/>
        <w:ind w:left="705" w:right="1359"/>
        <w:rPr>
          <w:rFonts w:ascii="Calibri" w:eastAsia="Calibri"/>
        </w:rPr>
      </w:pPr>
      <w:r>
        <w:rPr/>
        <w:t>（注：说明书其他内容如与上述修订要求不一致的，应当一并进行修订。） 附件 </w:t>
      </w:r>
      <w:r>
        <w:rPr>
          <w:rFonts w:ascii="Calibri" w:eastAsia="Calibri"/>
        </w:rPr>
        <w:t>2</w:t>
      </w:r>
    </w:p>
    <w:p>
      <w:pPr>
        <w:pStyle w:val="BodyText"/>
        <w:spacing w:line="295" w:lineRule="auto"/>
        <w:ind w:left="705" w:right="4479"/>
      </w:pPr>
      <w:r>
        <w:rPr/>
        <w:t>阿莫西林钠克拉维酸钾注射剂说明书修订要求一、说明书修订总体要求</w:t>
      </w:r>
    </w:p>
    <w:p>
      <w:pPr>
        <w:pStyle w:val="BodyText"/>
        <w:spacing w:line="297" w:lineRule="auto" w:before="2"/>
        <w:ind w:right="127" w:firstLine="468"/>
        <w:jc w:val="both"/>
      </w:pPr>
      <w:r>
        <w:rPr>
          <w:spacing w:val="-5"/>
        </w:rPr>
        <w:t>本次阿莫西林钠克拉维酸钾注射剂说明书修订主要针对【不良反应】、【禁忌】、【注</w:t>
      </w:r>
      <w:r>
        <w:rPr>
          <w:spacing w:val="-12"/>
        </w:rPr>
        <w:t>意事项】三部分内容，应遵循以下原则：如本次修订内容较国家药品监督管理局已批准的相</w:t>
      </w:r>
      <w:r>
        <w:rPr>
          <w:spacing w:val="-13"/>
        </w:rPr>
        <w:t>关内容更严格、全面的，说明书应按本次修订意见修改。国家药品监督管理局已批准的相关</w:t>
      </w:r>
      <w:r>
        <w:rPr>
          <w:spacing w:val="-19"/>
        </w:rPr>
        <w:t>内容原则上不得删减，如原批准内容较本次修订意见更全面或更严格的，应保留原批准内容。</w:t>
      </w:r>
    </w:p>
    <w:p>
      <w:pPr>
        <w:pStyle w:val="BodyText"/>
        <w:spacing w:line="302" w:lineRule="exact"/>
        <w:ind w:left="705"/>
      </w:pPr>
      <w:r>
        <w:rPr/>
        <w:t>二、【不良反应】项应包含以下内容</w:t>
      </w:r>
    </w:p>
    <w:p>
      <w:pPr>
        <w:pStyle w:val="BodyText"/>
        <w:spacing w:line="297" w:lineRule="auto" w:before="72"/>
        <w:ind w:right="126" w:firstLine="468"/>
      </w:pPr>
      <w:r>
        <w:rPr>
          <w:spacing w:val="-16"/>
        </w:rPr>
        <w:t>皮肤及其附件损害：皮疹、瘙痒、荨麻疹、潮红、多形性红斑、</w:t>
      </w:r>
      <w:r>
        <w:rPr>
          <w:rFonts w:ascii="Calibri" w:eastAsia="Calibri"/>
        </w:rPr>
        <w:t>Stevens-Johnson </w:t>
      </w:r>
      <w:r>
        <w:rPr/>
        <w:t>综合征、中毒性表皮坏死松解症、剥脱性皮炎（红皮病）和急性泛发性发疹性脓疱病。</w:t>
      </w:r>
    </w:p>
    <w:p>
      <w:pPr>
        <w:pStyle w:val="BodyText"/>
        <w:spacing w:line="295" w:lineRule="auto"/>
        <w:ind w:right="250" w:firstLine="468"/>
      </w:pPr>
      <w:r>
        <w:rPr>
          <w:spacing w:val="-11"/>
        </w:rPr>
        <w:t>胃肠损害：恶心、呕吐、消化不良、腹胀、腹泻、胃炎、口腔炎、舌炎、黑毛状舌、伪</w:t>
      </w:r>
      <w:r>
        <w:rPr/>
        <w:t>膜性肠炎、出血性结肠炎。</w:t>
      </w:r>
    </w:p>
    <w:p>
      <w:pPr>
        <w:pStyle w:val="BodyText"/>
        <w:spacing w:line="295" w:lineRule="auto" w:before="3"/>
        <w:ind w:right="159" w:firstLine="468"/>
      </w:pPr>
      <w:r>
        <w:rPr/>
        <w:t>免疫功能紊乱和感染：药物热、变应性血管炎、血管性水肿、皮肤与黏膜的念珠菌病、二重感染、血清病样综合征（荨麻疹并伴随关节炎、关节痛、肌痛和发热</w:t>
      </w:r>
      <w:r>
        <w:rPr>
          <w:rFonts w:ascii="Calibri" w:eastAsia="Calibri"/>
        </w:rPr>
        <w:t>)</w:t>
      </w:r>
      <w:r>
        <w:rPr/>
        <w:t>、哮喘、严重过敏样反应、过敏性休克。</w:t>
      </w:r>
    </w:p>
    <w:p>
      <w:pPr>
        <w:pStyle w:val="BodyText"/>
        <w:spacing w:line="295" w:lineRule="auto" w:before="5"/>
        <w:ind w:right="159" w:firstLine="468"/>
      </w:pPr>
      <w:r>
        <w:rPr/>
        <w:t>神经系统损害：头晕、头痛、眩晕、失眠、激动、焦虑、烦躁、行为改变、意识混乱、惊厥。</w:t>
      </w:r>
    </w:p>
    <w:p>
      <w:pPr>
        <w:pStyle w:val="BodyText"/>
        <w:spacing w:before="2"/>
        <w:ind w:left="705"/>
      </w:pPr>
      <w:r>
        <w:rPr/>
        <w:t>用药部位损害：注射部位疼痛、静脉炎或血栓性静脉炎。</w:t>
      </w:r>
    </w:p>
    <w:p>
      <w:pPr>
        <w:spacing w:after="0"/>
        <w:sectPr>
          <w:pgSz w:w="11910" w:h="16850"/>
          <w:pgMar w:header="906" w:footer="607" w:top="1100" w:bottom="800" w:left="1040" w:right="880"/>
        </w:sectPr>
      </w:pPr>
    </w:p>
    <w:p>
      <w:pPr>
        <w:pStyle w:val="BodyText"/>
        <w:spacing w:line="295" w:lineRule="auto" w:before="65"/>
        <w:ind w:right="247" w:firstLine="468"/>
        <w:jc w:val="both"/>
      </w:pPr>
      <w:r>
        <w:rPr>
          <w:spacing w:val="-6"/>
        </w:rPr>
        <w:t>血液系统损害：白细胞减少症</w:t>
      </w:r>
      <w:r>
        <w:rPr/>
        <w:t>（包括中性粒细胞减少症</w:t>
      </w:r>
      <w:r>
        <w:rPr>
          <w:spacing w:val="-22"/>
        </w:rPr>
        <w:t>）</w:t>
      </w:r>
      <w:r>
        <w:rPr>
          <w:spacing w:val="-4"/>
        </w:rPr>
        <w:t>和血小板减少症、血小板减少</w:t>
      </w:r>
      <w:r>
        <w:rPr>
          <w:spacing w:val="-10"/>
        </w:rPr>
        <w:t>性紫癜、嗜酸性粒细胞增多、血小板增多症、凝血酶原时间延长、粒细胞缺乏症和溶血性贫</w:t>
      </w:r>
      <w:r>
        <w:rPr/>
        <w:t>血。</w:t>
      </w:r>
    </w:p>
    <w:p>
      <w:pPr>
        <w:pStyle w:val="BodyText"/>
        <w:spacing w:line="295" w:lineRule="auto" w:before="5"/>
        <w:ind w:right="250" w:firstLine="468"/>
      </w:pPr>
      <w:r>
        <w:rPr>
          <w:spacing w:val="-8"/>
        </w:rPr>
        <w:t>泌尿系统损害：血尿、结晶尿、间质性肾炎、急性肾损伤</w:t>
      </w:r>
      <w:r>
        <w:rPr/>
        <w:t>（</w:t>
      </w:r>
      <w:r>
        <w:rPr>
          <w:spacing w:val="-4"/>
        </w:rPr>
        <w:t>包括急性肾功能衰竭、肌酐</w:t>
      </w:r>
      <w:r>
        <w:rPr/>
        <w:t>升高）。</w:t>
      </w:r>
    </w:p>
    <w:p>
      <w:pPr>
        <w:pStyle w:val="BodyText"/>
        <w:spacing w:line="297" w:lineRule="auto" w:before="2"/>
        <w:ind w:left="705" w:right="3999"/>
        <w:jc w:val="both"/>
      </w:pPr>
      <w:r>
        <w:rPr/>
        <w:t>肝胆损害：转氨酶升高、肝炎及胆汁淤积性黄疸。其他损害：心悸、紫绀、呼吸困难、胸闷、寒战。三、【禁忌】项下应包含以下内容</w:t>
      </w:r>
    </w:p>
    <w:p>
      <w:pPr>
        <w:pStyle w:val="ListParagraph"/>
        <w:numPr>
          <w:ilvl w:val="0"/>
          <w:numId w:val="4"/>
        </w:numPr>
        <w:tabs>
          <w:tab w:pos="890" w:val="left" w:leader="none"/>
        </w:tabs>
        <w:spacing w:line="297" w:lineRule="auto" w:before="0" w:after="0"/>
        <w:ind w:left="237" w:right="250" w:firstLine="468"/>
        <w:jc w:val="left"/>
        <w:rPr>
          <w:sz w:val="24"/>
        </w:rPr>
      </w:pPr>
      <w:r>
        <w:rPr>
          <w:spacing w:val="-5"/>
          <w:sz w:val="24"/>
        </w:rPr>
        <w:t>青霉素皮试阳性反应者、对本品及其他青霉素类药物过敏者及传染性单核细胞增多症</w:t>
      </w:r>
      <w:r>
        <w:rPr>
          <w:sz w:val="24"/>
        </w:rPr>
        <w:t>患者禁用。</w:t>
      </w:r>
    </w:p>
    <w:p>
      <w:pPr>
        <w:pStyle w:val="ListParagraph"/>
        <w:numPr>
          <w:ilvl w:val="0"/>
          <w:numId w:val="4"/>
        </w:numPr>
        <w:tabs>
          <w:tab w:pos="890" w:val="left" w:leader="none"/>
        </w:tabs>
        <w:spacing w:line="295" w:lineRule="auto" w:before="0" w:after="0"/>
        <w:ind w:left="705" w:right="1176" w:firstLine="0"/>
        <w:jc w:val="left"/>
        <w:rPr>
          <w:sz w:val="24"/>
        </w:rPr>
      </w:pPr>
      <w:r>
        <w:rPr>
          <w:spacing w:val="-1"/>
          <w:sz w:val="24"/>
        </w:rPr>
        <w:t>曾经出现过阿莫西林钠克拉维酸钾相关胆汁淤积或肝功能损伤的患者禁用。</w:t>
      </w:r>
      <w:r>
        <w:rPr>
          <w:sz w:val="24"/>
        </w:rPr>
        <w:t>四、【注意事项】应包含以下内容</w:t>
      </w:r>
    </w:p>
    <w:p>
      <w:pPr>
        <w:pStyle w:val="ListParagraph"/>
        <w:numPr>
          <w:ilvl w:val="0"/>
          <w:numId w:val="5"/>
        </w:numPr>
        <w:tabs>
          <w:tab w:pos="890" w:val="left" w:leader="none"/>
        </w:tabs>
        <w:spacing w:line="240" w:lineRule="auto" w:before="0" w:after="0"/>
        <w:ind w:left="889" w:right="0" w:hanging="184"/>
        <w:jc w:val="left"/>
        <w:rPr>
          <w:sz w:val="24"/>
        </w:rPr>
      </w:pPr>
      <w:r>
        <w:rPr>
          <w:sz w:val="24"/>
        </w:rPr>
        <w:t>对头孢菌素类药物过敏者及有哮喘、变应性鼻炎、荨麻疹等过敏性疾病史者慎用。</w:t>
      </w:r>
    </w:p>
    <w:p>
      <w:pPr>
        <w:pStyle w:val="ListParagraph"/>
        <w:numPr>
          <w:ilvl w:val="0"/>
          <w:numId w:val="5"/>
        </w:numPr>
        <w:tabs>
          <w:tab w:pos="890" w:val="left" w:leader="none"/>
        </w:tabs>
        <w:spacing w:line="295" w:lineRule="auto" w:before="71" w:after="0"/>
        <w:ind w:left="237" w:right="250" w:firstLine="468"/>
        <w:jc w:val="left"/>
        <w:rPr>
          <w:sz w:val="24"/>
        </w:rPr>
      </w:pPr>
      <w:r>
        <w:rPr>
          <w:spacing w:val="-3"/>
          <w:sz w:val="24"/>
        </w:rPr>
        <w:t>本品与其他青霉素类和头孢菌素类药物之间有交叉过敏性。若有过敏反应产生，则应</w:t>
      </w:r>
      <w:r>
        <w:rPr>
          <w:sz w:val="24"/>
        </w:rPr>
        <w:t>立即停用本品，并采取相应措施。</w:t>
      </w:r>
    </w:p>
    <w:p>
      <w:pPr>
        <w:pStyle w:val="ListParagraph"/>
        <w:numPr>
          <w:ilvl w:val="0"/>
          <w:numId w:val="5"/>
        </w:numPr>
        <w:tabs>
          <w:tab w:pos="890" w:val="left" w:leader="none"/>
        </w:tabs>
        <w:spacing w:line="240" w:lineRule="auto" w:before="4" w:after="0"/>
        <w:ind w:left="889" w:right="0" w:hanging="184"/>
        <w:jc w:val="left"/>
        <w:rPr>
          <w:sz w:val="24"/>
        </w:rPr>
      </w:pPr>
      <w:r>
        <w:rPr>
          <w:sz w:val="24"/>
        </w:rPr>
        <w:t>本品和氨苄西林等其他青霉素类、头孢菌素类有交叉耐药性。</w:t>
      </w:r>
    </w:p>
    <w:p>
      <w:pPr>
        <w:pStyle w:val="ListParagraph"/>
        <w:numPr>
          <w:ilvl w:val="0"/>
          <w:numId w:val="5"/>
        </w:numPr>
        <w:tabs>
          <w:tab w:pos="890" w:val="left" w:leader="none"/>
        </w:tabs>
        <w:spacing w:line="295" w:lineRule="auto" w:before="72" w:after="0"/>
        <w:ind w:left="237" w:right="250" w:firstLine="468"/>
        <w:jc w:val="left"/>
        <w:rPr>
          <w:sz w:val="24"/>
        </w:rPr>
      </w:pPr>
      <w:r>
        <w:rPr>
          <w:spacing w:val="-5"/>
          <w:sz w:val="24"/>
        </w:rPr>
        <w:t>本品溶解后应立即给药，剩余药液应废弃，不可再用。制备好的本品溶液不能冷冻保</w:t>
      </w:r>
      <w:r>
        <w:rPr>
          <w:sz w:val="24"/>
        </w:rPr>
        <w:t>存。</w:t>
      </w:r>
    </w:p>
    <w:p>
      <w:pPr>
        <w:pStyle w:val="ListParagraph"/>
        <w:numPr>
          <w:ilvl w:val="0"/>
          <w:numId w:val="5"/>
        </w:numPr>
        <w:tabs>
          <w:tab w:pos="890" w:val="left" w:leader="none"/>
        </w:tabs>
        <w:spacing w:line="295" w:lineRule="auto" w:before="5" w:after="0"/>
        <w:ind w:left="237" w:right="248" w:firstLine="468"/>
        <w:jc w:val="left"/>
        <w:rPr>
          <w:sz w:val="24"/>
        </w:rPr>
      </w:pPr>
      <w:r>
        <w:rPr>
          <w:spacing w:val="-4"/>
          <w:sz w:val="24"/>
        </w:rPr>
        <w:t>本品在含有葡萄糖、葡聚糖或酸性碳酸盐的溶液中会降低稳定性，故本品不能与含有</w:t>
      </w:r>
      <w:r>
        <w:rPr>
          <w:sz w:val="24"/>
        </w:rPr>
        <w:t>上述物质的溶液混合。</w:t>
      </w:r>
    </w:p>
    <w:p>
      <w:pPr>
        <w:pStyle w:val="ListParagraph"/>
        <w:numPr>
          <w:ilvl w:val="0"/>
          <w:numId w:val="5"/>
        </w:numPr>
        <w:tabs>
          <w:tab w:pos="890" w:val="left" w:leader="none"/>
        </w:tabs>
        <w:spacing w:line="297" w:lineRule="auto" w:before="2" w:after="0"/>
        <w:ind w:left="237" w:right="247" w:firstLine="468"/>
        <w:jc w:val="left"/>
        <w:rPr>
          <w:sz w:val="24"/>
        </w:rPr>
      </w:pPr>
      <w:r>
        <w:rPr>
          <w:spacing w:val="-2"/>
          <w:sz w:val="24"/>
        </w:rPr>
        <w:t>本品溶液在体外不可与血制品、含蛋白质的液体</w:t>
      </w:r>
      <w:r>
        <w:rPr>
          <w:sz w:val="24"/>
        </w:rPr>
        <w:t>（如水解蛋白等</w:t>
      </w:r>
      <w:r>
        <w:rPr>
          <w:spacing w:val="-10"/>
          <w:sz w:val="24"/>
        </w:rPr>
        <w:t>）</w:t>
      </w:r>
      <w:r>
        <w:rPr>
          <w:spacing w:val="-5"/>
          <w:sz w:val="24"/>
        </w:rPr>
        <w:t>混合，也不可与静</w:t>
      </w:r>
      <w:r>
        <w:rPr>
          <w:sz w:val="24"/>
        </w:rPr>
        <w:t>脉脂质乳化液混合。</w:t>
      </w:r>
    </w:p>
    <w:p>
      <w:pPr>
        <w:pStyle w:val="ListParagraph"/>
        <w:numPr>
          <w:ilvl w:val="0"/>
          <w:numId w:val="5"/>
        </w:numPr>
        <w:tabs>
          <w:tab w:pos="890" w:val="left" w:leader="none"/>
        </w:tabs>
        <w:spacing w:line="306" w:lineRule="exact" w:before="0" w:after="0"/>
        <w:ind w:left="889" w:right="0" w:hanging="184"/>
        <w:jc w:val="left"/>
        <w:rPr>
          <w:sz w:val="24"/>
        </w:rPr>
      </w:pPr>
      <w:r>
        <w:rPr>
          <w:sz w:val="24"/>
        </w:rPr>
        <w:t>本品不能与氨基糖苷类抗生素在体外混合，因为本品可使后者丧失活性。</w:t>
      </w:r>
    </w:p>
    <w:p>
      <w:pPr>
        <w:pStyle w:val="ListParagraph"/>
        <w:numPr>
          <w:ilvl w:val="0"/>
          <w:numId w:val="5"/>
        </w:numPr>
        <w:tabs>
          <w:tab w:pos="890" w:val="left" w:leader="none"/>
        </w:tabs>
        <w:spacing w:line="297" w:lineRule="auto" w:before="72" w:after="0"/>
        <w:ind w:left="237" w:right="247" w:firstLine="468"/>
        <w:jc w:val="left"/>
        <w:rPr>
          <w:sz w:val="24"/>
        </w:rPr>
      </w:pPr>
      <w:r>
        <w:rPr>
          <w:spacing w:val="-6"/>
          <w:sz w:val="24"/>
        </w:rPr>
        <w:t>估算肾小球滤过率小于 </w:t>
      </w:r>
      <w:r>
        <w:rPr>
          <w:rFonts w:ascii="Calibri" w:eastAsia="Calibri"/>
          <w:sz w:val="24"/>
        </w:rPr>
        <w:t>30ml/min</w:t>
      </w:r>
      <w:r>
        <w:rPr>
          <w:rFonts w:ascii="Calibri" w:eastAsia="Calibri"/>
          <w:spacing w:val="7"/>
          <w:sz w:val="24"/>
        </w:rPr>
        <w:t> </w:t>
      </w:r>
      <w:r>
        <w:rPr>
          <w:spacing w:val="-1"/>
          <w:sz w:val="24"/>
        </w:rPr>
        <w:t>时慎用，肾功能减退者应根据肾小球滤过率调整剂</w:t>
      </w:r>
      <w:r>
        <w:rPr>
          <w:spacing w:val="-11"/>
          <w:sz w:val="24"/>
        </w:rPr>
        <w:t>量或给药间期；血液透析可影响本品中阿莫西林的血药浓度，因此在血液透析后应加用本品</w:t>
      </w:r>
    </w:p>
    <w:p>
      <w:pPr>
        <w:pStyle w:val="BodyText"/>
        <w:spacing w:line="306" w:lineRule="exact"/>
      </w:pPr>
      <w:r>
        <w:rPr>
          <w:rFonts w:ascii="Calibri" w:eastAsia="Calibri"/>
        </w:rPr>
        <w:t>1 </w:t>
      </w:r>
      <w:r>
        <w:rPr/>
        <w:t>次。</w:t>
      </w:r>
    </w:p>
    <w:p>
      <w:pPr>
        <w:pStyle w:val="ListParagraph"/>
        <w:numPr>
          <w:ilvl w:val="0"/>
          <w:numId w:val="5"/>
        </w:numPr>
        <w:tabs>
          <w:tab w:pos="890" w:val="left" w:leader="none"/>
        </w:tabs>
        <w:spacing w:line="297" w:lineRule="auto" w:before="71" w:after="0"/>
        <w:ind w:left="237" w:right="250" w:firstLine="468"/>
        <w:jc w:val="left"/>
        <w:rPr>
          <w:sz w:val="24"/>
        </w:rPr>
      </w:pPr>
      <w:r>
        <w:rPr>
          <w:spacing w:val="-4"/>
          <w:sz w:val="24"/>
        </w:rPr>
        <w:t>使用高剂量的阿莫西林时，建议患者足量摄入液体并保证足够的尿量排出，以降低发</w:t>
      </w:r>
      <w:r>
        <w:rPr>
          <w:sz w:val="24"/>
        </w:rPr>
        <w:t>生阿莫西林结晶尿的可能性。</w:t>
      </w:r>
    </w:p>
    <w:p>
      <w:pPr>
        <w:pStyle w:val="ListParagraph"/>
        <w:numPr>
          <w:ilvl w:val="0"/>
          <w:numId w:val="5"/>
        </w:numPr>
        <w:tabs>
          <w:tab w:pos="1012" w:val="left" w:leader="none"/>
        </w:tabs>
        <w:spacing w:line="306" w:lineRule="exact" w:before="0" w:after="0"/>
        <w:ind w:left="1011" w:right="0" w:hanging="306"/>
        <w:jc w:val="left"/>
        <w:rPr>
          <w:sz w:val="24"/>
        </w:rPr>
      </w:pPr>
      <w:r>
        <w:rPr>
          <w:sz w:val="24"/>
        </w:rPr>
        <w:t>肝功能不全者慎用。</w:t>
      </w:r>
    </w:p>
    <w:p>
      <w:pPr>
        <w:pStyle w:val="ListParagraph"/>
        <w:numPr>
          <w:ilvl w:val="0"/>
          <w:numId w:val="5"/>
        </w:numPr>
        <w:tabs>
          <w:tab w:pos="1012" w:val="left" w:leader="none"/>
        </w:tabs>
        <w:spacing w:line="240" w:lineRule="auto" w:before="72" w:after="0"/>
        <w:ind w:left="1011" w:right="0" w:hanging="306"/>
        <w:jc w:val="left"/>
        <w:rPr>
          <w:sz w:val="24"/>
        </w:rPr>
      </w:pPr>
      <w:r>
        <w:rPr>
          <w:sz w:val="24"/>
        </w:rPr>
        <w:t>长期或大剂量使用本品者，应定期检查肝、肾、造血系统功能和检测血清钾或钠。</w:t>
      </w:r>
    </w:p>
    <w:p>
      <w:pPr>
        <w:pStyle w:val="ListParagraph"/>
        <w:numPr>
          <w:ilvl w:val="0"/>
          <w:numId w:val="5"/>
        </w:numPr>
        <w:tabs>
          <w:tab w:pos="1012" w:val="left" w:leader="none"/>
        </w:tabs>
        <w:spacing w:line="240" w:lineRule="auto" w:before="74" w:after="0"/>
        <w:ind w:left="1011" w:right="0" w:hanging="306"/>
        <w:jc w:val="left"/>
        <w:rPr>
          <w:sz w:val="24"/>
        </w:rPr>
      </w:pPr>
      <w:r>
        <w:rPr>
          <w:sz w:val="24"/>
        </w:rPr>
        <w:t>合并使用华法林时，为维持所需抗凝水平可能需调整口服抗凝剂的剂量。</w:t>
      </w:r>
    </w:p>
    <w:p>
      <w:pPr>
        <w:pStyle w:val="ListParagraph"/>
        <w:numPr>
          <w:ilvl w:val="0"/>
          <w:numId w:val="5"/>
        </w:numPr>
        <w:tabs>
          <w:tab w:pos="1012" w:val="left" w:leader="none"/>
        </w:tabs>
        <w:spacing w:line="240" w:lineRule="auto" w:before="72" w:after="0"/>
        <w:ind w:left="1011" w:right="0" w:hanging="306"/>
        <w:jc w:val="left"/>
        <w:rPr>
          <w:rFonts w:ascii="Calibri" w:eastAsia="Calibri"/>
          <w:sz w:val="24"/>
        </w:rPr>
      </w:pPr>
      <w:r>
        <w:rPr>
          <w:spacing w:val="-2"/>
          <w:sz w:val="24"/>
        </w:rPr>
        <w:t>该药为时间依赖性抗生素，应严格按照说明书使用，多次用药间隔时间不应少于 </w:t>
      </w:r>
      <w:r>
        <w:rPr>
          <w:rFonts w:ascii="Calibri" w:eastAsia="Calibri"/>
          <w:sz w:val="24"/>
        </w:rPr>
        <w:t>6</w:t>
      </w:r>
    </w:p>
    <w:p>
      <w:pPr>
        <w:pStyle w:val="BodyText"/>
        <w:spacing w:before="71"/>
      </w:pPr>
      <w:r>
        <w:rPr/>
        <w:t>小时。</w:t>
      </w:r>
    </w:p>
    <w:p>
      <w:pPr>
        <w:pStyle w:val="ListParagraph"/>
        <w:numPr>
          <w:ilvl w:val="0"/>
          <w:numId w:val="5"/>
        </w:numPr>
        <w:tabs>
          <w:tab w:pos="1012" w:val="left" w:leader="none"/>
        </w:tabs>
        <w:spacing w:line="240" w:lineRule="auto" w:before="75" w:after="0"/>
        <w:ind w:left="1011" w:right="0" w:hanging="306"/>
        <w:jc w:val="left"/>
        <w:rPr>
          <w:sz w:val="24"/>
        </w:rPr>
      </w:pPr>
      <w:r>
        <w:rPr>
          <w:sz w:val="24"/>
        </w:rPr>
        <w:t>本品应采取静脉注射或静脉点滴给药，不适用于肌肉注射给药。</w:t>
      </w:r>
    </w:p>
    <w:p>
      <w:pPr>
        <w:pStyle w:val="ListParagraph"/>
        <w:numPr>
          <w:ilvl w:val="0"/>
          <w:numId w:val="5"/>
        </w:numPr>
        <w:tabs>
          <w:tab w:pos="1012" w:val="left" w:leader="none"/>
        </w:tabs>
        <w:spacing w:line="297" w:lineRule="auto" w:before="72" w:after="0"/>
        <w:ind w:left="237" w:right="250" w:firstLine="468"/>
        <w:jc w:val="left"/>
        <w:rPr>
          <w:sz w:val="24"/>
        </w:rPr>
      </w:pPr>
      <w:r>
        <w:rPr>
          <w:sz w:val="24"/>
        </w:rPr>
        <w:t>长期使用本品偶尔会引起非敏感性细菌的过度生长。已有使用抗生素发生伪膜性结</w:t>
      </w:r>
      <w:r>
        <w:rPr>
          <w:spacing w:val="-10"/>
          <w:sz w:val="24"/>
        </w:rPr>
        <w:t>肠炎的报告。如果患者出现持续性或严重腹泻，或者出现腹部绞痛，应立即中止治疗并对患</w:t>
      </w:r>
      <w:r>
        <w:rPr>
          <w:sz w:val="24"/>
        </w:rPr>
        <w:t>者进行进一步检查。</w:t>
      </w:r>
    </w:p>
    <w:p>
      <w:pPr>
        <w:spacing w:after="0" w:line="297" w:lineRule="auto"/>
        <w:jc w:val="left"/>
        <w:rPr>
          <w:sz w:val="24"/>
        </w:rPr>
        <w:sectPr>
          <w:pgSz w:w="11910" w:h="16850"/>
          <w:pgMar w:header="906" w:footer="607" w:top="1100" w:bottom="800" w:left="1040" w:right="880"/>
        </w:sectPr>
      </w:pPr>
    </w:p>
    <w:p>
      <w:pPr>
        <w:pStyle w:val="ListParagraph"/>
        <w:numPr>
          <w:ilvl w:val="0"/>
          <w:numId w:val="5"/>
        </w:numPr>
        <w:tabs>
          <w:tab w:pos="1012" w:val="left" w:leader="none"/>
        </w:tabs>
        <w:spacing w:line="295" w:lineRule="auto" w:before="65" w:after="0"/>
        <w:ind w:left="237" w:right="333" w:firstLine="468"/>
        <w:jc w:val="left"/>
        <w:rPr>
          <w:sz w:val="24"/>
        </w:rPr>
      </w:pPr>
      <w:r>
        <w:rPr>
          <w:spacing w:val="-1"/>
          <w:sz w:val="24"/>
        </w:rPr>
        <w:t>为保证治疗的有效性以及避免使细菌产生耐药性，应按医嘱规律用药，避免遗漏或</w:t>
      </w:r>
      <w:r>
        <w:rPr>
          <w:sz w:val="24"/>
        </w:rPr>
        <w:t>提前停药。</w:t>
      </w:r>
    </w:p>
    <w:p>
      <w:pPr>
        <w:pStyle w:val="ListParagraph"/>
        <w:numPr>
          <w:ilvl w:val="0"/>
          <w:numId w:val="5"/>
        </w:numPr>
        <w:tabs>
          <w:tab w:pos="1012" w:val="left" w:leader="none"/>
        </w:tabs>
        <w:spacing w:line="297" w:lineRule="auto" w:before="2" w:after="0"/>
        <w:ind w:left="237" w:right="334" w:firstLine="468"/>
        <w:jc w:val="left"/>
        <w:rPr>
          <w:sz w:val="24"/>
        </w:rPr>
      </w:pPr>
      <w:r>
        <w:rPr>
          <w:spacing w:val="-1"/>
          <w:sz w:val="24"/>
        </w:rPr>
        <w:t>若病人需接受大剂量本品注射制剂给药治疗，对于限钠饮食的病人，应将本品所含</w:t>
      </w:r>
      <w:r>
        <w:rPr>
          <w:sz w:val="24"/>
        </w:rPr>
        <w:t>钠量计入摄钠总量。</w:t>
      </w:r>
    </w:p>
    <w:p>
      <w:pPr>
        <w:pStyle w:val="ListParagraph"/>
        <w:numPr>
          <w:ilvl w:val="0"/>
          <w:numId w:val="5"/>
        </w:numPr>
        <w:tabs>
          <w:tab w:pos="1012" w:val="left" w:leader="none"/>
        </w:tabs>
        <w:spacing w:line="295" w:lineRule="auto" w:before="0" w:after="0"/>
        <w:ind w:left="237" w:right="330" w:firstLine="468"/>
        <w:jc w:val="left"/>
        <w:rPr>
          <w:sz w:val="24"/>
        </w:rPr>
      </w:pPr>
      <w:r>
        <w:rPr>
          <w:spacing w:val="-2"/>
          <w:sz w:val="24"/>
        </w:rPr>
        <w:t>对怀疑为伴梅毒损害之淋病患者，在使用本品前应进行暗视野检查，并至少在 </w:t>
      </w:r>
      <w:r>
        <w:rPr>
          <w:rFonts w:ascii="Calibri" w:eastAsia="Calibri"/>
          <w:sz w:val="24"/>
        </w:rPr>
        <w:t>4</w:t>
      </w:r>
      <w:r>
        <w:rPr>
          <w:rFonts w:ascii="Calibri" w:eastAsia="Calibri"/>
          <w:spacing w:val="6"/>
          <w:sz w:val="24"/>
        </w:rPr>
        <w:t> </w:t>
      </w:r>
      <w:r>
        <w:rPr>
          <w:spacing w:val="-15"/>
          <w:sz w:val="24"/>
        </w:rPr>
        <w:t>个</w:t>
      </w:r>
      <w:r>
        <w:rPr>
          <w:sz w:val="24"/>
        </w:rPr>
        <w:t>月内，每月接受血清试验一次。</w:t>
      </w:r>
    </w:p>
    <w:p>
      <w:pPr>
        <w:pStyle w:val="ListParagraph"/>
        <w:numPr>
          <w:ilvl w:val="0"/>
          <w:numId w:val="5"/>
        </w:numPr>
        <w:tabs>
          <w:tab w:pos="1012" w:val="left" w:leader="none"/>
        </w:tabs>
        <w:spacing w:line="240" w:lineRule="auto" w:before="2" w:after="0"/>
        <w:ind w:left="1011" w:right="0" w:hanging="306"/>
        <w:jc w:val="left"/>
        <w:rPr>
          <w:sz w:val="24"/>
        </w:rPr>
      </w:pPr>
      <w:r>
        <w:rPr>
          <w:sz w:val="24"/>
        </w:rPr>
        <w:t>对实验室检查指标的干扰：</w:t>
      </w:r>
    </w:p>
    <w:p>
      <w:pPr>
        <w:pStyle w:val="ListParagraph"/>
        <w:numPr>
          <w:ilvl w:val="0"/>
          <w:numId w:val="6"/>
        </w:numPr>
        <w:tabs>
          <w:tab w:pos="1309" w:val="left" w:leader="none"/>
        </w:tabs>
        <w:spacing w:line="295" w:lineRule="auto" w:before="72" w:after="0"/>
        <w:ind w:left="237" w:right="276" w:firstLine="468"/>
        <w:jc w:val="left"/>
        <w:rPr>
          <w:sz w:val="24"/>
        </w:rPr>
      </w:pPr>
      <w:r>
        <w:rPr>
          <w:spacing w:val="-1"/>
          <w:sz w:val="24"/>
        </w:rPr>
        <w:t>硫酸铜法尿糖试验可呈假阳性，但葡萄糖酶试验法不受影响，使用本品时，推荐</w:t>
      </w:r>
      <w:r>
        <w:rPr>
          <w:sz w:val="24"/>
        </w:rPr>
        <w:t>应用基于葡萄糖氧化酶反应的尿糖检测；</w:t>
      </w:r>
    </w:p>
    <w:p>
      <w:pPr>
        <w:pStyle w:val="ListParagraph"/>
        <w:numPr>
          <w:ilvl w:val="0"/>
          <w:numId w:val="6"/>
        </w:numPr>
        <w:tabs>
          <w:tab w:pos="1309" w:val="left" w:leader="none"/>
        </w:tabs>
        <w:spacing w:line="240" w:lineRule="auto" w:before="5" w:after="0"/>
        <w:ind w:left="1308" w:right="0" w:hanging="603"/>
        <w:jc w:val="left"/>
        <w:rPr>
          <w:sz w:val="24"/>
        </w:rPr>
      </w:pPr>
      <w:r>
        <w:rPr>
          <w:sz w:val="24"/>
        </w:rPr>
        <w:t>可影响血清丙氨酸氨基转移酶或门冬氨酸氨基转移酶测定值。</w:t>
      </w:r>
    </w:p>
    <w:p>
      <w:pPr>
        <w:pStyle w:val="BodyText"/>
        <w:spacing w:before="72"/>
        <w:ind w:left="705"/>
      </w:pPr>
      <w:r>
        <w:rPr/>
        <w:t>（注：说明书其他内容如与上述修订要求不一致的，应当一并进行修订。）</w:t>
      </w:r>
    </w:p>
    <w:p>
      <w:pPr>
        <w:pStyle w:val="BodyText"/>
        <w:tabs>
          <w:tab w:pos="1723" w:val="left" w:leader="none"/>
        </w:tabs>
        <w:spacing w:before="71"/>
        <w:ind w:left="283"/>
        <w:jc w:val="center"/>
      </w:pPr>
      <w:r>
        <w:rPr/>
        <w:t>国家药监局</w:t>
        <w:tab/>
      </w:r>
      <w:r>
        <w:rPr>
          <w:rFonts w:ascii="Calibri" w:eastAsia="Calibri"/>
        </w:rPr>
        <w:t>2019</w:t>
      </w:r>
      <w:r>
        <w:rPr>
          <w:rFonts w:ascii="Calibri" w:eastAsia="Calibri"/>
          <w:spacing w:val="6"/>
        </w:rPr>
        <w:t> </w:t>
      </w:r>
      <w:r>
        <w:rPr/>
        <w:t>年</w:t>
      </w:r>
      <w:r>
        <w:rPr>
          <w:spacing w:val="-63"/>
        </w:rPr>
        <w:t> </w:t>
      </w:r>
      <w:r>
        <w:rPr>
          <w:rFonts w:ascii="Calibri" w:eastAsia="Calibri"/>
        </w:rPr>
        <w:t>2</w:t>
      </w:r>
      <w:r>
        <w:rPr>
          <w:rFonts w:ascii="Calibri" w:eastAsia="Calibri"/>
          <w:spacing w:val="6"/>
        </w:rPr>
        <w:t> </w:t>
      </w:r>
      <w:r>
        <w:rPr/>
        <w:t>月</w:t>
      </w:r>
      <w:r>
        <w:rPr>
          <w:spacing w:val="-60"/>
        </w:rPr>
        <w:t> </w:t>
      </w:r>
      <w:r>
        <w:rPr>
          <w:rFonts w:ascii="Calibri" w:eastAsia="Calibri"/>
        </w:rPr>
        <w:t>26</w:t>
      </w:r>
      <w:r>
        <w:rPr>
          <w:rFonts w:ascii="Calibri" w:eastAsia="Calibri"/>
          <w:spacing w:val="6"/>
        </w:rPr>
        <w:t> </w:t>
      </w:r>
      <w:r>
        <w:rPr/>
        <w:t>日</w:t>
      </w:r>
    </w:p>
    <w:p>
      <w:pPr>
        <w:pStyle w:val="BodyText"/>
        <w:spacing w:before="12"/>
        <w:ind w:left="0"/>
        <w:rPr>
          <w:sz w:val="23"/>
        </w:rPr>
      </w:pPr>
    </w:p>
    <w:p>
      <w:pPr>
        <w:pStyle w:val="Heading2"/>
      </w:pPr>
      <w:r>
        <w:rPr>
          <w:spacing w:val="-5"/>
          <w:w w:val="85"/>
        </w:rPr>
        <w:t>关于修订伤科接骨片、稳心制剂和牛黄解毒制剂说明书的公告</w:t>
      </w:r>
      <w:r>
        <w:rPr>
          <w:w w:val="85"/>
        </w:rPr>
        <w:t>（2019</w:t>
      </w:r>
      <w:r>
        <w:rPr>
          <w:spacing w:val="-39"/>
          <w:w w:val="85"/>
        </w:rPr>
        <w:t> 年第 </w:t>
      </w:r>
      <w:r>
        <w:rPr>
          <w:w w:val="85"/>
        </w:rPr>
        <w:t>15</w:t>
      </w:r>
      <w:r>
        <w:rPr>
          <w:spacing w:val="-39"/>
          <w:w w:val="85"/>
        </w:rPr>
        <w:t> 号</w:t>
      </w:r>
      <w:r>
        <w:rPr>
          <w:w w:val="85"/>
        </w:rPr>
        <w:t>）</w:t>
      </w:r>
    </w:p>
    <w:p>
      <w:pPr>
        <w:pStyle w:val="Heading3"/>
        <w:spacing w:before="145"/>
        <w:ind w:left="5880"/>
      </w:pPr>
      <w:r>
        <w:rPr>
          <w:color w:val="FF0000"/>
        </w:rPr>
        <w:t>（来源：国家药品监督管理局网站）</w:t>
      </w:r>
    </w:p>
    <w:p>
      <w:pPr>
        <w:pStyle w:val="BodyText"/>
        <w:spacing w:line="297" w:lineRule="auto" w:before="96"/>
        <w:ind w:right="247" w:firstLine="468"/>
        <w:jc w:val="both"/>
      </w:pPr>
      <w:r>
        <w:rPr>
          <w:spacing w:val="-7"/>
        </w:rPr>
        <w:t>根据药品不良反应评估结果，为进一步保障公众用药安全，国家药品监督管理局决定对</w:t>
      </w:r>
      <w:r>
        <w:rPr>
          <w:spacing w:val="-2"/>
        </w:rPr>
        <w:t>伤科接骨片和牛黄解毒制剂</w:t>
      </w:r>
      <w:r>
        <w:rPr/>
        <w:t>（</w:t>
      </w:r>
      <w:r>
        <w:rPr>
          <w:spacing w:val="-8"/>
        </w:rPr>
        <w:t>片剂、丸剂、胶囊剂、软胶囊剂</w:t>
      </w:r>
      <w:r>
        <w:rPr>
          <w:spacing w:val="-17"/>
        </w:rPr>
        <w:t>）</w:t>
      </w:r>
      <w:r>
        <w:rPr>
          <w:spacing w:val="-5"/>
        </w:rPr>
        <w:t>增加警示语，并对其和稳心制剂</w:t>
      </w:r>
      <w:r>
        <w:rPr/>
        <w:t>（</w:t>
      </w:r>
      <w:r>
        <w:rPr>
          <w:spacing w:val="-4"/>
        </w:rPr>
        <w:t>颗粒剂、胶囊剂、片剂</w:t>
      </w:r>
      <w:r>
        <w:rPr>
          <w:spacing w:val="-10"/>
        </w:rPr>
        <w:t>）</w:t>
      </w:r>
      <w:r>
        <w:rPr>
          <w:spacing w:val="-8"/>
        </w:rPr>
        <w:t>药品说明书【不良反应】、【禁忌】和【注意事项】等项进行修订。现将有关事项公告如下：</w:t>
      </w:r>
    </w:p>
    <w:p>
      <w:pPr>
        <w:pStyle w:val="BodyText"/>
        <w:spacing w:line="295" w:lineRule="auto"/>
        <w:ind w:right="247" w:firstLine="468"/>
      </w:pPr>
      <w:r>
        <w:rPr>
          <w:spacing w:val="-10"/>
        </w:rPr>
        <w:t>一、所有上述药品生产企业均应依据《药品注册管理办法》等有关规定，按照相应说明</w:t>
      </w:r>
      <w:r>
        <w:rPr/>
        <w:t>书修订要求（</w:t>
      </w:r>
      <w:r>
        <w:rPr>
          <w:spacing w:val="-16"/>
        </w:rPr>
        <w:t>见附件 </w:t>
      </w:r>
      <w:r>
        <w:rPr>
          <w:rFonts w:ascii="Calibri" w:hAnsi="Calibri" w:eastAsia="Calibri"/>
        </w:rPr>
        <w:t>1—3</w:t>
      </w:r>
      <w:r>
        <w:rPr/>
        <w:t>），</w:t>
      </w:r>
      <w:r>
        <w:rPr>
          <w:spacing w:val="-5"/>
        </w:rPr>
        <w:t>提出修订说明书的补充申请，于 </w:t>
      </w:r>
      <w:r>
        <w:rPr>
          <w:rFonts w:ascii="Calibri" w:hAnsi="Calibri" w:eastAsia="Calibri"/>
        </w:rPr>
        <w:t>2019 </w:t>
      </w:r>
      <w:r>
        <w:rPr>
          <w:spacing w:val="-30"/>
        </w:rPr>
        <w:t>年 </w:t>
      </w:r>
      <w:r>
        <w:rPr>
          <w:rFonts w:ascii="Calibri" w:hAnsi="Calibri" w:eastAsia="Calibri"/>
        </w:rPr>
        <w:t>5 </w:t>
      </w:r>
      <w:r>
        <w:rPr>
          <w:spacing w:val="-30"/>
        </w:rPr>
        <w:t>月 </w:t>
      </w:r>
      <w:r>
        <w:rPr>
          <w:rFonts w:ascii="Calibri" w:hAnsi="Calibri" w:eastAsia="Calibri"/>
        </w:rPr>
        <w:t>15 </w:t>
      </w:r>
      <w:r>
        <w:rPr>
          <w:spacing w:val="-1"/>
        </w:rPr>
        <w:t>日前报省级药品监管部门备案。</w:t>
      </w:r>
    </w:p>
    <w:p>
      <w:pPr>
        <w:pStyle w:val="BodyText"/>
        <w:spacing w:line="295" w:lineRule="auto" w:before="2"/>
        <w:ind w:right="250" w:firstLine="468"/>
      </w:pPr>
      <w:r>
        <w:rPr>
          <w:spacing w:val="-7"/>
        </w:rPr>
        <w:t>修订内容涉及药品标签的，应当一并进行修订；说明书及标签其他内容应当与原批准内</w:t>
      </w:r>
      <w:r>
        <w:rPr>
          <w:spacing w:val="-5"/>
        </w:rPr>
        <w:t>容一致。在补充申请备案后 </w:t>
      </w:r>
      <w:r>
        <w:rPr>
          <w:rFonts w:ascii="Calibri" w:eastAsia="Calibri"/>
        </w:rPr>
        <w:t>6 </w:t>
      </w:r>
      <w:r>
        <w:rPr/>
        <w:t>个月内对已出厂的药品说明书及标签予以更换。</w:t>
      </w:r>
    </w:p>
    <w:p>
      <w:pPr>
        <w:pStyle w:val="BodyText"/>
        <w:spacing w:line="297" w:lineRule="auto" w:before="2"/>
        <w:ind w:right="250"/>
      </w:pPr>
      <w:r>
        <w:rPr>
          <w:spacing w:val="-5"/>
        </w:rPr>
        <w:t>上述药品生产企业应当对新增不良反应发生机制开展深入研究，采取有效措施做好相关药品</w:t>
      </w:r>
      <w:r>
        <w:rPr/>
        <w:t>使用和安全性问题的宣传培训，指导医师合理用药。</w:t>
      </w:r>
    </w:p>
    <w:p>
      <w:pPr>
        <w:pStyle w:val="BodyText"/>
        <w:spacing w:line="295" w:lineRule="auto"/>
        <w:ind w:right="251" w:firstLine="468"/>
      </w:pPr>
      <w:r>
        <w:rPr>
          <w:spacing w:val="-10"/>
        </w:rPr>
        <w:t>二、临床医师应当仔细阅读上述药品说明书的修订内容，在选择用药时，应当根据新修</w:t>
      </w:r>
      <w:r>
        <w:rPr/>
        <w:t>订说明书进行充分的效益</w:t>
      </w:r>
      <w:r>
        <w:rPr>
          <w:rFonts w:ascii="Calibri" w:eastAsia="Calibri"/>
        </w:rPr>
        <w:t>/</w:t>
      </w:r>
      <w:r>
        <w:rPr/>
        <w:t>风险分析。</w:t>
      </w:r>
    </w:p>
    <w:p>
      <w:pPr>
        <w:pStyle w:val="BodyText"/>
        <w:spacing w:line="295" w:lineRule="auto" w:before="3"/>
        <w:ind w:left="705" w:right="127"/>
      </w:pPr>
      <w:r>
        <w:rPr>
          <w:spacing w:val="-16"/>
        </w:rPr>
        <w:t>三、上述药品为处方药，患者应严格遵医嘱用药，用药前应当仔细阅读上述药品说明书。</w:t>
      </w:r>
      <w:r>
        <w:rPr>
          <w:spacing w:val="-11"/>
        </w:rPr>
        <w:t>四、各省级药品监管部门应当督促行政区域内的上述药品生产企业按要求做好相应说明</w:t>
      </w:r>
    </w:p>
    <w:p>
      <w:pPr>
        <w:pStyle w:val="BodyText"/>
        <w:spacing w:line="297" w:lineRule="auto" w:before="2"/>
        <w:ind w:left="705" w:right="2307" w:hanging="468"/>
      </w:pPr>
      <w:r>
        <w:rPr/>
        <w:t>书修订和标签、说明书更换工作；对违法违规行为组织依法严厉查处。特此公告。</w:t>
      </w:r>
    </w:p>
    <w:p>
      <w:pPr>
        <w:pStyle w:val="Heading3"/>
        <w:spacing w:line="306" w:lineRule="exact"/>
        <w:ind w:left="705"/>
        <w:rPr>
          <w:rFonts w:ascii="Calibri" w:eastAsia="Calibri"/>
        </w:rPr>
      </w:pPr>
      <w:r>
        <w:rPr>
          <w:rFonts w:ascii="宋体" w:eastAsia="宋体" w:hint="eastAsia"/>
        </w:rPr>
        <w:t>附件 </w:t>
      </w:r>
      <w:r>
        <w:rPr>
          <w:rFonts w:ascii="Calibri" w:eastAsia="Calibri"/>
        </w:rPr>
        <w:t>1</w:t>
      </w:r>
    </w:p>
    <w:p>
      <w:pPr>
        <w:spacing w:before="72"/>
        <w:ind w:left="3773" w:right="0" w:firstLine="0"/>
        <w:jc w:val="left"/>
        <w:rPr>
          <w:b/>
          <w:sz w:val="24"/>
        </w:rPr>
      </w:pPr>
      <w:r>
        <w:rPr>
          <w:b/>
          <w:sz w:val="24"/>
        </w:rPr>
        <w:t>伤科接骨片说明书修订要求</w:t>
      </w:r>
    </w:p>
    <w:p>
      <w:pPr>
        <w:pStyle w:val="BodyText"/>
        <w:spacing w:before="74"/>
        <w:ind w:left="705"/>
      </w:pPr>
      <w:r>
        <w:rPr/>
        <w:t>一、警示语应包括：</w:t>
      </w:r>
    </w:p>
    <w:p>
      <w:pPr>
        <w:pStyle w:val="ListParagraph"/>
        <w:numPr>
          <w:ilvl w:val="0"/>
          <w:numId w:val="7"/>
        </w:numPr>
        <w:tabs>
          <w:tab w:pos="890" w:val="left" w:leader="none"/>
        </w:tabs>
        <w:spacing w:line="240" w:lineRule="auto" w:before="72" w:after="0"/>
        <w:ind w:left="889" w:right="0" w:hanging="184"/>
        <w:jc w:val="left"/>
        <w:rPr>
          <w:sz w:val="24"/>
        </w:rPr>
      </w:pPr>
      <w:r>
        <w:rPr>
          <w:sz w:val="24"/>
        </w:rPr>
        <w:t>运动员慎用。</w:t>
      </w:r>
    </w:p>
    <w:p>
      <w:pPr>
        <w:pStyle w:val="ListParagraph"/>
        <w:numPr>
          <w:ilvl w:val="0"/>
          <w:numId w:val="7"/>
        </w:numPr>
        <w:tabs>
          <w:tab w:pos="890" w:val="left" w:leader="none"/>
        </w:tabs>
        <w:spacing w:line="297" w:lineRule="auto" w:before="72" w:after="0"/>
        <w:ind w:left="705" w:right="3816" w:firstLine="0"/>
        <w:jc w:val="left"/>
        <w:rPr>
          <w:sz w:val="24"/>
        </w:rPr>
      </w:pPr>
      <w:r>
        <w:rPr>
          <w:spacing w:val="-1"/>
          <w:sz w:val="24"/>
        </w:rPr>
        <w:t>本品含马钱子粉、朱砂，不可超剂量和长期服用。</w:t>
      </w:r>
      <w:r>
        <w:rPr>
          <w:sz w:val="24"/>
        </w:rPr>
        <w:t>二、【不良反应】项应包括：</w:t>
      </w:r>
    </w:p>
    <w:p>
      <w:pPr>
        <w:spacing w:after="0" w:line="297" w:lineRule="auto"/>
        <w:jc w:val="left"/>
        <w:rPr>
          <w:sz w:val="24"/>
        </w:rPr>
        <w:sectPr>
          <w:pgSz w:w="11910" w:h="16850"/>
          <w:pgMar w:header="906" w:footer="607" w:top="1100" w:bottom="800" w:left="1040" w:right="880"/>
        </w:sectPr>
      </w:pPr>
    </w:p>
    <w:p>
      <w:pPr>
        <w:pStyle w:val="BodyText"/>
        <w:spacing w:line="295" w:lineRule="auto" w:before="65"/>
        <w:ind w:left="705" w:right="2318"/>
        <w:jc w:val="both"/>
      </w:pPr>
      <w:r>
        <w:rPr/>
        <w:t>上市后不良反应监测数据及文献报道显示本品可见以下不良反应： 消化系统：恶心、呕吐、厌食、腹痛、腹泻、肝生化指标异常等。皮肤及其附件：皮疹、瘙痒、红斑疹、斑丘疹、荨麻疹等。</w:t>
      </w:r>
    </w:p>
    <w:p>
      <w:pPr>
        <w:pStyle w:val="BodyText"/>
        <w:spacing w:line="295" w:lineRule="auto" w:before="5"/>
        <w:ind w:left="705" w:right="2319"/>
      </w:pPr>
      <w:r>
        <w:rPr/>
        <w:t>全身性损害：过敏反应、发热、乏力、寒战和个例过敏性休克等。精神及神经系统：头晕、头痛、抽搐、失眠等；</w:t>
      </w:r>
    </w:p>
    <w:p>
      <w:pPr>
        <w:pStyle w:val="BodyText"/>
        <w:spacing w:before="2"/>
        <w:ind w:left="705"/>
      </w:pPr>
      <w:r>
        <w:rPr/>
        <w:t>呼吸系统：胸闷、憋气等；</w:t>
      </w:r>
    </w:p>
    <w:p>
      <w:pPr>
        <w:pStyle w:val="BodyText"/>
        <w:spacing w:line="295" w:lineRule="auto" w:before="74"/>
        <w:ind w:left="705" w:right="159"/>
      </w:pPr>
      <w:r>
        <w:rPr/>
        <w:t>其他：心悸、血压升高、潮红、血尿、月经过多、阴道出血、紫癜、关节痛、耳鸣等。三、【禁忌】项应包括：</w:t>
      </w:r>
    </w:p>
    <w:p>
      <w:pPr>
        <w:pStyle w:val="ListParagraph"/>
        <w:numPr>
          <w:ilvl w:val="0"/>
          <w:numId w:val="8"/>
        </w:numPr>
        <w:tabs>
          <w:tab w:pos="890" w:val="left" w:leader="none"/>
        </w:tabs>
        <w:spacing w:line="240" w:lineRule="auto" w:before="2" w:after="0"/>
        <w:ind w:left="889" w:right="0" w:hanging="184"/>
        <w:jc w:val="left"/>
        <w:rPr>
          <w:sz w:val="24"/>
        </w:rPr>
      </w:pPr>
      <w:r>
        <w:rPr>
          <w:sz w:val="24"/>
        </w:rPr>
        <w:t>孕妇、哺乳期妇女禁用。</w:t>
      </w:r>
    </w:p>
    <w:p>
      <w:pPr>
        <w:pStyle w:val="ListParagraph"/>
        <w:numPr>
          <w:ilvl w:val="0"/>
          <w:numId w:val="8"/>
        </w:numPr>
        <w:tabs>
          <w:tab w:pos="890" w:val="left" w:leader="none"/>
        </w:tabs>
        <w:spacing w:line="240" w:lineRule="auto" w:before="75" w:after="0"/>
        <w:ind w:left="889" w:right="0" w:hanging="184"/>
        <w:jc w:val="left"/>
        <w:rPr>
          <w:sz w:val="24"/>
        </w:rPr>
      </w:pPr>
      <w:r>
        <w:rPr>
          <w:sz w:val="24"/>
        </w:rPr>
        <w:t>十岁以下儿童禁用。</w:t>
      </w:r>
    </w:p>
    <w:p>
      <w:pPr>
        <w:pStyle w:val="ListParagraph"/>
        <w:numPr>
          <w:ilvl w:val="0"/>
          <w:numId w:val="8"/>
        </w:numPr>
        <w:tabs>
          <w:tab w:pos="890" w:val="left" w:leader="none"/>
        </w:tabs>
        <w:spacing w:line="295" w:lineRule="auto" w:before="72" w:after="0"/>
        <w:ind w:left="705" w:right="6696" w:firstLine="0"/>
        <w:jc w:val="left"/>
        <w:rPr>
          <w:rFonts w:ascii="Calibri" w:eastAsia="Calibri"/>
          <w:b/>
          <w:sz w:val="24"/>
        </w:rPr>
      </w:pPr>
      <w:r>
        <w:rPr>
          <w:spacing w:val="-2"/>
          <w:sz w:val="24"/>
        </w:rPr>
        <w:t>肝肾功能不全者禁用。</w:t>
      </w:r>
      <w:r>
        <w:rPr>
          <w:b/>
          <w:spacing w:val="-20"/>
          <w:sz w:val="24"/>
        </w:rPr>
        <w:t>附件 </w:t>
      </w:r>
      <w:r>
        <w:rPr>
          <w:rFonts w:ascii="Calibri" w:eastAsia="Calibri"/>
          <w:b/>
          <w:sz w:val="24"/>
        </w:rPr>
        <w:t>2</w:t>
      </w:r>
    </w:p>
    <w:p>
      <w:pPr>
        <w:pStyle w:val="Heading3"/>
        <w:spacing w:before="4"/>
        <w:ind w:left="464" w:right="11"/>
        <w:jc w:val="center"/>
        <w:rPr>
          <w:rFonts w:ascii="宋体" w:eastAsia="宋体" w:hint="eastAsia"/>
        </w:rPr>
      </w:pPr>
      <w:r>
        <w:rPr>
          <w:rFonts w:ascii="宋体" w:eastAsia="宋体" w:hint="eastAsia"/>
        </w:rPr>
        <w:t>稳心制剂说明书修订要求</w:t>
      </w:r>
    </w:p>
    <w:p>
      <w:pPr>
        <w:pStyle w:val="BodyText"/>
        <w:spacing w:before="72"/>
        <w:ind w:left="705"/>
      </w:pPr>
      <w:r>
        <w:rPr/>
        <w:t>一、【不良反应】项应增加：</w:t>
      </w:r>
    </w:p>
    <w:p>
      <w:pPr>
        <w:pStyle w:val="BodyText"/>
        <w:spacing w:before="71"/>
        <w:ind w:left="705"/>
      </w:pPr>
      <w:r>
        <w:rPr/>
        <w:t>上市后不良反应监测数据显示本品可见以下不良反应：</w:t>
      </w:r>
    </w:p>
    <w:p>
      <w:pPr>
        <w:pStyle w:val="BodyText"/>
        <w:spacing w:line="295" w:lineRule="auto" w:before="74"/>
        <w:ind w:left="705" w:right="639"/>
      </w:pPr>
      <w:r>
        <w:rPr/>
        <w:t>恶心、呕吐、腹部不适、腹胀、腹痛、腹泻、头晕、头痛、皮疹、瘙痒、胸闷等。二、【禁忌】项应增加：</w:t>
      </w:r>
    </w:p>
    <w:p>
      <w:pPr>
        <w:pStyle w:val="BodyText"/>
        <w:spacing w:line="297" w:lineRule="auto" w:before="3"/>
        <w:ind w:left="705" w:right="5919"/>
      </w:pPr>
      <w:r>
        <w:rPr/>
        <w:t>对本品及所含成份过敏者禁用。三、【注意事项】项应增加：</w:t>
      </w:r>
    </w:p>
    <w:p>
      <w:pPr>
        <w:pStyle w:val="ListParagraph"/>
        <w:numPr>
          <w:ilvl w:val="0"/>
          <w:numId w:val="9"/>
        </w:numPr>
        <w:tabs>
          <w:tab w:pos="890" w:val="left" w:leader="none"/>
        </w:tabs>
        <w:spacing w:line="306" w:lineRule="exact" w:before="0" w:after="0"/>
        <w:ind w:left="889" w:right="0" w:hanging="184"/>
        <w:jc w:val="left"/>
        <w:rPr>
          <w:sz w:val="24"/>
        </w:rPr>
      </w:pPr>
      <w:r>
        <w:rPr>
          <w:sz w:val="24"/>
        </w:rPr>
        <w:t>忌烟酒、浓茶。</w:t>
      </w:r>
    </w:p>
    <w:p>
      <w:pPr>
        <w:pStyle w:val="ListParagraph"/>
        <w:numPr>
          <w:ilvl w:val="0"/>
          <w:numId w:val="9"/>
        </w:numPr>
        <w:tabs>
          <w:tab w:pos="890" w:val="left" w:leader="none"/>
        </w:tabs>
        <w:spacing w:line="240" w:lineRule="auto" w:before="72" w:after="0"/>
        <w:ind w:left="889" w:right="0" w:hanging="184"/>
        <w:jc w:val="left"/>
        <w:rPr>
          <w:sz w:val="24"/>
        </w:rPr>
      </w:pPr>
      <w:r>
        <w:rPr>
          <w:sz w:val="24"/>
        </w:rPr>
        <w:t>危重病人应采取综合治疗方法。</w:t>
      </w:r>
    </w:p>
    <w:p>
      <w:pPr>
        <w:pStyle w:val="ListParagraph"/>
        <w:numPr>
          <w:ilvl w:val="0"/>
          <w:numId w:val="9"/>
        </w:numPr>
        <w:tabs>
          <w:tab w:pos="890" w:val="left" w:leader="none"/>
        </w:tabs>
        <w:spacing w:line="295" w:lineRule="auto" w:before="74" w:after="0"/>
        <w:ind w:left="705" w:right="5736" w:firstLine="0"/>
        <w:jc w:val="left"/>
        <w:rPr>
          <w:rFonts w:ascii="Calibri" w:eastAsia="Calibri"/>
          <w:b/>
          <w:sz w:val="24"/>
        </w:rPr>
      </w:pPr>
      <w:r>
        <w:rPr>
          <w:spacing w:val="-2"/>
          <w:sz w:val="24"/>
        </w:rPr>
        <w:t>本品含党参，不宜与藜芦同用。</w:t>
      </w:r>
      <w:r>
        <w:rPr>
          <w:b/>
          <w:spacing w:val="-20"/>
          <w:sz w:val="24"/>
        </w:rPr>
        <w:t>附件 </w:t>
      </w:r>
      <w:r>
        <w:rPr>
          <w:rFonts w:ascii="Calibri" w:eastAsia="Calibri"/>
          <w:b/>
          <w:sz w:val="24"/>
        </w:rPr>
        <w:t>3</w:t>
      </w:r>
    </w:p>
    <w:p>
      <w:pPr>
        <w:pStyle w:val="Heading3"/>
        <w:spacing w:before="2"/>
        <w:ind w:left="3653"/>
        <w:rPr>
          <w:rFonts w:ascii="宋体" w:eastAsia="宋体" w:hint="eastAsia"/>
        </w:rPr>
      </w:pPr>
      <w:r>
        <w:rPr>
          <w:rFonts w:ascii="宋体" w:eastAsia="宋体" w:hint="eastAsia"/>
        </w:rPr>
        <w:t>牛黄解毒制剂说明书修订要求</w:t>
      </w:r>
    </w:p>
    <w:p>
      <w:pPr>
        <w:pStyle w:val="BodyText"/>
        <w:spacing w:before="74"/>
        <w:ind w:left="705"/>
      </w:pPr>
      <w:r>
        <w:rPr/>
        <w:t>一、警示语应包括：</w:t>
      </w:r>
    </w:p>
    <w:p>
      <w:pPr>
        <w:pStyle w:val="BodyText"/>
        <w:spacing w:line="295" w:lineRule="auto" w:before="72"/>
        <w:ind w:left="705" w:right="5199"/>
      </w:pPr>
      <w:r>
        <w:rPr/>
        <w:t>本品含雄黄，不可超剂量或长期服用。二、【不良反应】项应包括：</w:t>
      </w:r>
    </w:p>
    <w:p>
      <w:pPr>
        <w:pStyle w:val="BodyText"/>
        <w:spacing w:before="4"/>
        <w:ind w:left="705"/>
      </w:pPr>
      <w:r>
        <w:rPr/>
        <w:t>上市后不良反应监测数据及文献报道显示本品可见以下不良反应：</w:t>
      </w:r>
    </w:p>
    <w:p>
      <w:pPr>
        <w:pStyle w:val="BodyText"/>
        <w:spacing w:line="295" w:lineRule="auto" w:before="72"/>
        <w:ind w:right="250" w:firstLine="468"/>
      </w:pPr>
      <w:r>
        <w:rPr>
          <w:spacing w:val="-12"/>
        </w:rPr>
        <w:t>消化系统：腹泻、腹痛、恶心、呕吐、口干、胃不适等；有肝生化指标异常、消化道出</w:t>
      </w:r>
      <w:r>
        <w:rPr/>
        <w:t>血的个案报告。</w:t>
      </w:r>
    </w:p>
    <w:p>
      <w:pPr>
        <w:pStyle w:val="BodyText"/>
        <w:spacing w:line="295" w:lineRule="auto" w:before="4"/>
        <w:ind w:right="245" w:firstLine="468"/>
        <w:jc w:val="both"/>
      </w:pPr>
      <w:r>
        <w:rPr>
          <w:spacing w:val="-10"/>
        </w:rPr>
        <w:t>皮肤及其附件：皮疹、瘙痒、面部水肿等，有重症药疹的个案报告</w:t>
      </w:r>
      <w:r>
        <w:rPr/>
        <w:t>（</w:t>
      </w:r>
      <w:r>
        <w:rPr>
          <w:spacing w:val="-32"/>
        </w:rPr>
        <w:t>如 </w:t>
      </w:r>
      <w:r>
        <w:rPr>
          <w:rFonts w:ascii="Calibri" w:eastAsia="Calibri"/>
        </w:rPr>
        <w:t>Stevens-Johnson </w:t>
      </w:r>
      <w:r>
        <w:rPr>
          <w:spacing w:val="-5"/>
        </w:rPr>
        <w:t>综合征、大疱性表皮坏死松解型药疹</w:t>
      </w:r>
      <w:r>
        <w:rPr>
          <w:spacing w:val="-22"/>
        </w:rPr>
        <w:t>）</w:t>
      </w:r>
      <w:r>
        <w:rPr>
          <w:spacing w:val="-7"/>
        </w:rPr>
        <w:t>。过量或长期使用可能出现皮肤粗糙、增厚、色素沉着等砷中毒表现。</w:t>
      </w:r>
    </w:p>
    <w:p>
      <w:pPr>
        <w:pStyle w:val="BodyText"/>
        <w:spacing w:line="295" w:lineRule="auto" w:before="6"/>
        <w:ind w:left="705" w:right="4479"/>
      </w:pPr>
      <w:r>
        <w:rPr/>
        <w:t>精神神经系统：头晕、头痛、嗜睡、失眠等。免疫系统：过敏样反应、过敏性休克等。</w:t>
      </w:r>
    </w:p>
    <w:p>
      <w:pPr>
        <w:pStyle w:val="BodyText"/>
        <w:spacing w:before="2"/>
        <w:ind w:left="705"/>
      </w:pPr>
      <w:r>
        <w:rPr/>
        <w:t>心血管系统：心悸等。</w:t>
      </w:r>
    </w:p>
    <w:p>
      <w:pPr>
        <w:pStyle w:val="BodyText"/>
        <w:spacing w:before="74"/>
        <w:ind w:left="705"/>
      </w:pPr>
      <w:r>
        <w:rPr/>
        <w:t>呼吸系统：呼吸困难、胸闷等。</w:t>
      </w:r>
    </w:p>
    <w:p>
      <w:pPr>
        <w:pStyle w:val="BodyText"/>
        <w:spacing w:before="72"/>
        <w:ind w:left="705"/>
      </w:pPr>
      <w:r>
        <w:rPr/>
        <w:t>泌尿系统：有血尿、急性肾损伤等个案报告。</w:t>
      </w:r>
    </w:p>
    <w:p>
      <w:pPr>
        <w:spacing w:after="0"/>
        <w:sectPr>
          <w:pgSz w:w="11910" w:h="16850"/>
          <w:pgMar w:header="906" w:footer="607" w:top="1100" w:bottom="800" w:left="1040" w:right="880"/>
        </w:sectPr>
      </w:pPr>
    </w:p>
    <w:p>
      <w:pPr>
        <w:pStyle w:val="BodyText"/>
        <w:spacing w:line="295" w:lineRule="auto" w:before="65"/>
        <w:ind w:left="705" w:right="4719"/>
      </w:pPr>
      <w:r>
        <w:rPr/>
        <w:t>此外，有长期使用导致砷中毒的个案报告。三、【禁忌】项应包括：</w:t>
      </w:r>
    </w:p>
    <w:p>
      <w:pPr>
        <w:pStyle w:val="ListParagraph"/>
        <w:numPr>
          <w:ilvl w:val="0"/>
          <w:numId w:val="10"/>
        </w:numPr>
        <w:tabs>
          <w:tab w:pos="890" w:val="left" w:leader="none"/>
        </w:tabs>
        <w:spacing w:line="240" w:lineRule="auto" w:before="2" w:after="0"/>
        <w:ind w:left="889" w:right="0" w:hanging="184"/>
        <w:jc w:val="left"/>
        <w:rPr>
          <w:sz w:val="24"/>
        </w:rPr>
      </w:pPr>
      <w:r>
        <w:rPr>
          <w:sz w:val="24"/>
        </w:rPr>
        <w:t>孕妇、哺乳期妇女禁用。</w:t>
      </w:r>
    </w:p>
    <w:p>
      <w:pPr>
        <w:pStyle w:val="ListParagraph"/>
        <w:numPr>
          <w:ilvl w:val="0"/>
          <w:numId w:val="10"/>
        </w:numPr>
        <w:tabs>
          <w:tab w:pos="890" w:val="left" w:leader="none"/>
        </w:tabs>
        <w:spacing w:line="240" w:lineRule="auto" w:before="74" w:after="0"/>
        <w:ind w:left="889" w:right="0" w:hanging="184"/>
        <w:jc w:val="left"/>
        <w:rPr>
          <w:sz w:val="24"/>
        </w:rPr>
      </w:pPr>
      <w:r>
        <w:rPr>
          <w:sz w:val="24"/>
        </w:rPr>
        <w:t>婴幼儿禁用。</w:t>
      </w:r>
    </w:p>
    <w:p>
      <w:pPr>
        <w:pStyle w:val="ListParagraph"/>
        <w:numPr>
          <w:ilvl w:val="0"/>
          <w:numId w:val="10"/>
        </w:numPr>
        <w:tabs>
          <w:tab w:pos="890" w:val="left" w:leader="none"/>
        </w:tabs>
        <w:spacing w:line="295" w:lineRule="auto" w:before="72" w:after="0"/>
        <w:ind w:left="705" w:right="5736" w:firstLine="0"/>
        <w:jc w:val="left"/>
        <w:rPr>
          <w:sz w:val="24"/>
        </w:rPr>
      </w:pPr>
      <w:r>
        <w:rPr>
          <w:spacing w:val="-2"/>
          <w:sz w:val="24"/>
        </w:rPr>
        <w:t>对本品及所含成份过敏者禁用。</w:t>
      </w:r>
      <w:r>
        <w:rPr>
          <w:sz w:val="24"/>
        </w:rPr>
        <w:t>四、【注意事项】项应包括：</w:t>
      </w:r>
    </w:p>
    <w:p>
      <w:pPr>
        <w:pStyle w:val="ListParagraph"/>
        <w:numPr>
          <w:ilvl w:val="0"/>
          <w:numId w:val="11"/>
        </w:numPr>
        <w:tabs>
          <w:tab w:pos="890" w:val="left" w:leader="none"/>
        </w:tabs>
        <w:spacing w:line="240" w:lineRule="auto" w:before="4" w:after="0"/>
        <w:ind w:left="889" w:right="0" w:hanging="184"/>
        <w:jc w:val="left"/>
        <w:rPr>
          <w:sz w:val="24"/>
        </w:rPr>
      </w:pPr>
      <w:r>
        <w:rPr>
          <w:sz w:val="24"/>
        </w:rPr>
        <w:t>平素脾胃虚弱、大便溏薄者慎用。</w:t>
      </w:r>
    </w:p>
    <w:p>
      <w:pPr>
        <w:pStyle w:val="ListParagraph"/>
        <w:numPr>
          <w:ilvl w:val="0"/>
          <w:numId w:val="11"/>
        </w:numPr>
        <w:tabs>
          <w:tab w:pos="890" w:val="left" w:leader="none"/>
        </w:tabs>
        <w:spacing w:line="240" w:lineRule="auto" w:before="72" w:after="0"/>
        <w:ind w:left="889" w:right="0" w:hanging="184"/>
        <w:jc w:val="left"/>
        <w:rPr>
          <w:sz w:val="24"/>
        </w:rPr>
      </w:pPr>
      <w:r>
        <w:rPr>
          <w:sz w:val="24"/>
        </w:rPr>
        <w:t>本品含雄黄，不可超剂量或长期服用。有连续用药半年以上出现砷中毒的报告。</w:t>
      </w:r>
    </w:p>
    <w:p>
      <w:pPr>
        <w:pStyle w:val="ListParagraph"/>
        <w:numPr>
          <w:ilvl w:val="0"/>
          <w:numId w:val="11"/>
        </w:numPr>
        <w:tabs>
          <w:tab w:pos="890" w:val="left" w:leader="none"/>
        </w:tabs>
        <w:spacing w:line="240" w:lineRule="auto" w:before="71" w:after="0"/>
        <w:ind w:left="889" w:right="0" w:hanging="184"/>
        <w:jc w:val="left"/>
        <w:rPr>
          <w:sz w:val="24"/>
        </w:rPr>
      </w:pPr>
      <w:r>
        <w:rPr>
          <w:sz w:val="24"/>
        </w:rPr>
        <w:t>本品不宜与含雄黄的其他药品同时服用。</w:t>
      </w:r>
    </w:p>
    <w:p>
      <w:pPr>
        <w:pStyle w:val="ListParagraph"/>
        <w:numPr>
          <w:ilvl w:val="0"/>
          <w:numId w:val="11"/>
        </w:numPr>
        <w:tabs>
          <w:tab w:pos="890" w:val="left" w:leader="none"/>
        </w:tabs>
        <w:spacing w:line="240" w:lineRule="auto" w:before="75" w:after="0"/>
        <w:ind w:left="889" w:right="0" w:hanging="184"/>
        <w:jc w:val="left"/>
        <w:rPr>
          <w:sz w:val="24"/>
        </w:rPr>
      </w:pPr>
      <w:r>
        <w:rPr>
          <w:sz w:val="24"/>
        </w:rPr>
        <w:t>严重肝损害患者慎用；急、慢性肾脏病患者慎用。</w:t>
      </w:r>
    </w:p>
    <w:p>
      <w:pPr>
        <w:pStyle w:val="ListParagraph"/>
        <w:numPr>
          <w:ilvl w:val="0"/>
          <w:numId w:val="11"/>
        </w:numPr>
        <w:tabs>
          <w:tab w:pos="890" w:val="left" w:leader="none"/>
        </w:tabs>
        <w:spacing w:line="240" w:lineRule="auto" w:before="72" w:after="0"/>
        <w:ind w:left="889" w:right="0" w:hanging="184"/>
        <w:jc w:val="left"/>
        <w:rPr>
          <w:sz w:val="24"/>
        </w:rPr>
      </w:pPr>
      <w:r>
        <w:rPr>
          <w:sz w:val="24"/>
        </w:rPr>
        <w:t>儿童用药尚无安全性研究资料。婴幼儿禁用。</w:t>
      </w:r>
    </w:p>
    <w:p>
      <w:pPr>
        <w:pStyle w:val="ListParagraph"/>
        <w:numPr>
          <w:ilvl w:val="0"/>
          <w:numId w:val="11"/>
        </w:numPr>
        <w:tabs>
          <w:tab w:pos="890" w:val="left" w:leader="none"/>
          <w:tab w:pos="3717" w:val="left" w:leader="none"/>
        </w:tabs>
        <w:spacing w:line="297" w:lineRule="auto" w:before="71" w:after="0"/>
        <w:ind w:left="2277" w:right="3576" w:hanging="1572"/>
        <w:jc w:val="left"/>
        <w:rPr>
          <w:sz w:val="24"/>
        </w:rPr>
      </w:pPr>
      <w:r>
        <w:rPr>
          <w:sz w:val="24"/>
        </w:rPr>
        <w:t>用药后如出现不良反应，应及时停药，去医院就诊</w:t>
      </w:r>
      <w:r>
        <w:rPr>
          <w:spacing w:val="-16"/>
          <w:sz w:val="24"/>
        </w:rPr>
        <w:t>。</w:t>
      </w:r>
      <w:r>
        <w:rPr>
          <w:sz w:val="24"/>
        </w:rPr>
        <w:t>国家药监局</w:t>
        <w:tab/>
      </w:r>
      <w:r>
        <w:rPr>
          <w:rFonts w:ascii="Calibri" w:eastAsia="Calibri"/>
          <w:sz w:val="24"/>
        </w:rPr>
        <w:t>2019</w:t>
      </w:r>
      <w:r>
        <w:rPr>
          <w:rFonts w:ascii="Calibri" w:eastAsia="Calibri"/>
          <w:spacing w:val="6"/>
          <w:sz w:val="24"/>
        </w:rPr>
        <w:t> </w:t>
      </w:r>
      <w:r>
        <w:rPr>
          <w:sz w:val="24"/>
        </w:rPr>
        <w:t>年</w:t>
      </w:r>
      <w:r>
        <w:rPr>
          <w:spacing w:val="-63"/>
          <w:sz w:val="24"/>
        </w:rPr>
        <w:t> </w:t>
      </w:r>
      <w:r>
        <w:rPr>
          <w:rFonts w:ascii="Calibri" w:eastAsia="Calibri"/>
          <w:sz w:val="24"/>
        </w:rPr>
        <w:t>3</w:t>
      </w:r>
      <w:r>
        <w:rPr>
          <w:rFonts w:ascii="Calibri" w:eastAsia="Calibri"/>
          <w:spacing w:val="6"/>
          <w:sz w:val="24"/>
        </w:rPr>
        <w:t> </w:t>
      </w:r>
      <w:r>
        <w:rPr>
          <w:sz w:val="24"/>
        </w:rPr>
        <w:t>月</w:t>
      </w:r>
      <w:r>
        <w:rPr>
          <w:spacing w:val="-60"/>
          <w:sz w:val="24"/>
        </w:rPr>
        <w:t> </w:t>
      </w:r>
      <w:r>
        <w:rPr>
          <w:rFonts w:ascii="Calibri" w:eastAsia="Calibri"/>
          <w:sz w:val="24"/>
        </w:rPr>
        <w:t>1</w:t>
      </w:r>
      <w:r>
        <w:rPr>
          <w:rFonts w:ascii="Calibri" w:eastAsia="Calibri"/>
          <w:spacing w:val="6"/>
          <w:sz w:val="24"/>
        </w:rPr>
        <w:t> </w:t>
      </w:r>
      <w:r>
        <w:rPr>
          <w:sz w:val="24"/>
        </w:rPr>
        <w:t>日</w:t>
      </w:r>
    </w:p>
    <w:p>
      <w:pPr>
        <w:pStyle w:val="BodyText"/>
        <w:spacing w:before="12"/>
        <w:ind w:left="0"/>
      </w:pPr>
    </w:p>
    <w:p>
      <w:pPr>
        <w:pStyle w:val="Heading2"/>
        <w:ind w:left="686"/>
      </w:pPr>
      <w:r>
        <w:rPr/>
        <w:t>关于修订骨刺胶囊和骨刺片说明书的公告（2019 年第 16 号）</w:t>
      </w:r>
    </w:p>
    <w:p>
      <w:pPr>
        <w:pStyle w:val="BodyText"/>
        <w:spacing w:before="10"/>
        <w:ind w:left="0"/>
        <w:rPr>
          <w:b/>
          <w:sz w:val="42"/>
        </w:rPr>
      </w:pPr>
    </w:p>
    <w:p>
      <w:pPr>
        <w:pStyle w:val="Heading3"/>
        <w:ind w:left="5880"/>
      </w:pPr>
      <w:r>
        <w:rPr>
          <w:color w:val="FF0000"/>
        </w:rPr>
        <w:t>（来源：国家药品监督管理局网站）</w:t>
      </w:r>
    </w:p>
    <w:p>
      <w:pPr>
        <w:pStyle w:val="BodyText"/>
        <w:spacing w:line="295" w:lineRule="auto" w:before="99"/>
        <w:ind w:right="247" w:firstLine="468"/>
        <w:jc w:val="both"/>
      </w:pPr>
      <w:r>
        <w:rPr>
          <w:spacing w:val="-7"/>
        </w:rPr>
        <w:t>根据药品不良反应评估结果，为进一步保障公众用药安全，国家药品监督管理局决定对</w:t>
      </w:r>
      <w:r>
        <w:rPr>
          <w:spacing w:val="-9"/>
        </w:rPr>
        <w:t>骨刺胶囊和骨刺片药品说明书【警示语】、【不良反应】、【禁忌】和【注意事项】等项进</w:t>
      </w:r>
      <w:r>
        <w:rPr/>
        <w:t>行修订。现将有关事项公告如下：</w:t>
      </w:r>
    </w:p>
    <w:p>
      <w:pPr>
        <w:pStyle w:val="BodyText"/>
        <w:spacing w:line="295" w:lineRule="auto" w:before="5"/>
        <w:ind w:right="247" w:firstLine="468"/>
      </w:pPr>
      <w:r>
        <w:rPr>
          <w:spacing w:val="-10"/>
        </w:rPr>
        <w:t>一、所有上述药品生产企业均应依据《药品注册管理办法》等有关规定，按照相应说明</w:t>
      </w:r>
      <w:r>
        <w:rPr/>
        <w:t>书修订要求（</w:t>
      </w:r>
      <w:r>
        <w:rPr>
          <w:spacing w:val="-16"/>
        </w:rPr>
        <w:t>见附件 </w:t>
      </w:r>
      <w:r>
        <w:rPr>
          <w:rFonts w:ascii="Calibri" w:hAnsi="Calibri" w:eastAsia="Calibri"/>
        </w:rPr>
        <w:t>1—2</w:t>
      </w:r>
      <w:r>
        <w:rPr/>
        <w:t>），</w:t>
      </w:r>
      <w:r>
        <w:rPr>
          <w:spacing w:val="-5"/>
        </w:rPr>
        <w:t>提出修订说明书的补充申请，于 </w:t>
      </w:r>
      <w:r>
        <w:rPr>
          <w:rFonts w:ascii="Calibri" w:hAnsi="Calibri" w:eastAsia="Calibri"/>
        </w:rPr>
        <w:t>2019 </w:t>
      </w:r>
      <w:r>
        <w:rPr>
          <w:spacing w:val="-30"/>
        </w:rPr>
        <w:t>年 </w:t>
      </w:r>
      <w:r>
        <w:rPr>
          <w:rFonts w:ascii="Calibri" w:hAnsi="Calibri" w:eastAsia="Calibri"/>
        </w:rPr>
        <w:t>5 </w:t>
      </w:r>
      <w:r>
        <w:rPr>
          <w:spacing w:val="-30"/>
        </w:rPr>
        <w:t>月 </w:t>
      </w:r>
      <w:r>
        <w:rPr>
          <w:rFonts w:ascii="Calibri" w:hAnsi="Calibri" w:eastAsia="Calibri"/>
        </w:rPr>
        <w:t>25 </w:t>
      </w:r>
      <w:r>
        <w:rPr>
          <w:spacing w:val="-1"/>
        </w:rPr>
        <w:t>日前报省级药品监管部门备案。</w:t>
      </w:r>
    </w:p>
    <w:p>
      <w:pPr>
        <w:pStyle w:val="BodyText"/>
        <w:spacing w:line="295" w:lineRule="auto" w:before="5"/>
        <w:ind w:right="250" w:firstLine="468"/>
      </w:pPr>
      <w:r>
        <w:rPr>
          <w:spacing w:val="-7"/>
        </w:rPr>
        <w:t>修订内容涉及药品标签的，应当一并进行修订；说明书及标签其他内容应当与原批准内</w:t>
      </w:r>
      <w:r>
        <w:rPr>
          <w:spacing w:val="-5"/>
        </w:rPr>
        <w:t>容一致。在补充申请备案后 </w:t>
      </w:r>
      <w:r>
        <w:rPr>
          <w:rFonts w:ascii="Calibri" w:eastAsia="Calibri"/>
        </w:rPr>
        <w:t>6 </w:t>
      </w:r>
      <w:r>
        <w:rPr/>
        <w:t>个月内对已出厂的药品说明书及标签予以更换。</w:t>
      </w:r>
    </w:p>
    <w:p>
      <w:pPr>
        <w:pStyle w:val="BodyText"/>
        <w:spacing w:line="297" w:lineRule="auto" w:before="3"/>
        <w:ind w:right="250" w:firstLine="468"/>
      </w:pPr>
      <w:r>
        <w:rPr>
          <w:spacing w:val="-5"/>
        </w:rPr>
        <w:t>上述药品生产企业应当对新增不良反应发生机制开展深入研究，采取有效措施做好相关</w:t>
      </w:r>
      <w:r>
        <w:rPr/>
        <w:t>药品使用和安全性问题的宣传培训，指导医师合理用药。</w:t>
      </w:r>
    </w:p>
    <w:p>
      <w:pPr>
        <w:pStyle w:val="BodyText"/>
        <w:spacing w:line="295" w:lineRule="auto"/>
        <w:ind w:right="252" w:firstLine="468"/>
      </w:pPr>
      <w:r>
        <w:rPr>
          <w:spacing w:val="-10"/>
        </w:rPr>
        <w:t>二、临床医师应当仔细阅读上述药品说明书的修订内容，在选择用药时，应当根据新修</w:t>
      </w:r>
      <w:r>
        <w:rPr/>
        <w:t>订说明书进行充分的效益</w:t>
      </w:r>
      <w:r>
        <w:rPr>
          <w:rFonts w:ascii="Calibri" w:eastAsia="Calibri"/>
        </w:rPr>
        <w:t>/</w:t>
      </w:r>
      <w:r>
        <w:rPr/>
        <w:t>风险分析。</w:t>
      </w:r>
    </w:p>
    <w:p>
      <w:pPr>
        <w:pStyle w:val="BodyText"/>
        <w:spacing w:line="295" w:lineRule="auto" w:before="3"/>
        <w:ind w:left="705" w:right="127"/>
      </w:pPr>
      <w:r>
        <w:rPr>
          <w:spacing w:val="-16"/>
        </w:rPr>
        <w:t>三、上述药品为处方药，患者应严格遵医嘱用药，用药前应当仔细阅读上述药品说明书。</w:t>
      </w:r>
      <w:r>
        <w:rPr>
          <w:spacing w:val="-11"/>
        </w:rPr>
        <w:t>四、各省级药品监管部门应当督促行政区域内的上述药品生产企业按要求做好相应说明</w:t>
      </w:r>
    </w:p>
    <w:p>
      <w:pPr>
        <w:pStyle w:val="BodyText"/>
        <w:spacing w:line="297" w:lineRule="auto" w:before="1"/>
        <w:ind w:left="705" w:right="2787" w:hanging="468"/>
      </w:pPr>
      <w:r>
        <w:rPr/>
        <w:t>书修订和标签、说明书更换工作；对违法违规行为依法严厉查处。特此公告。</w:t>
      </w:r>
    </w:p>
    <w:p>
      <w:pPr>
        <w:pStyle w:val="Heading3"/>
        <w:spacing w:line="306" w:lineRule="exact"/>
        <w:ind w:left="705"/>
        <w:rPr>
          <w:rFonts w:ascii="Calibri" w:eastAsia="Calibri"/>
        </w:rPr>
      </w:pPr>
      <w:r>
        <w:rPr>
          <w:rFonts w:ascii="宋体" w:eastAsia="宋体" w:hint="eastAsia"/>
        </w:rPr>
        <w:t>附件 </w:t>
      </w:r>
      <w:r>
        <w:rPr>
          <w:rFonts w:ascii="Calibri" w:eastAsia="Calibri"/>
        </w:rPr>
        <w:t>1</w:t>
      </w:r>
    </w:p>
    <w:p>
      <w:pPr>
        <w:spacing w:before="72"/>
        <w:ind w:left="464" w:right="11" w:firstLine="0"/>
        <w:jc w:val="center"/>
        <w:rPr>
          <w:b/>
          <w:sz w:val="24"/>
        </w:rPr>
      </w:pPr>
      <w:r>
        <w:rPr>
          <w:b/>
          <w:sz w:val="24"/>
        </w:rPr>
        <w:t>骨刺胶囊说明书修订要求</w:t>
      </w:r>
    </w:p>
    <w:p>
      <w:pPr>
        <w:pStyle w:val="BodyText"/>
        <w:spacing w:before="74"/>
        <w:ind w:left="705"/>
      </w:pPr>
      <w:r>
        <w:rPr/>
        <w:t>一、【不良反应】项应包括：</w:t>
      </w:r>
    </w:p>
    <w:p>
      <w:pPr>
        <w:pStyle w:val="BodyText"/>
        <w:spacing w:before="72"/>
        <w:ind w:left="705"/>
      </w:pPr>
      <w:r>
        <w:rPr/>
        <w:t>上市后监测数据显示本品可见以下不良反应：</w:t>
      </w:r>
    </w:p>
    <w:p>
      <w:pPr>
        <w:pStyle w:val="BodyText"/>
        <w:spacing w:before="72"/>
        <w:ind w:left="705"/>
      </w:pPr>
      <w:r>
        <w:rPr/>
        <w:t>消化系统：恶心、呕吐、腹胀、腹痛、腹泻、便秘等。</w:t>
      </w:r>
    </w:p>
    <w:p>
      <w:pPr>
        <w:spacing w:after="0"/>
        <w:sectPr>
          <w:pgSz w:w="11910" w:h="16850"/>
          <w:pgMar w:header="906" w:footer="607" w:top="1100" w:bottom="800" w:left="1040" w:right="880"/>
        </w:sectPr>
      </w:pPr>
    </w:p>
    <w:p>
      <w:pPr>
        <w:pStyle w:val="BodyText"/>
        <w:spacing w:before="65"/>
        <w:ind w:left="705"/>
      </w:pPr>
      <w:r>
        <w:rPr/>
        <w:t>皮肤：潮红、皮疹、瘙痒等。</w:t>
      </w:r>
    </w:p>
    <w:p>
      <w:pPr>
        <w:pStyle w:val="BodyText"/>
        <w:spacing w:line="295" w:lineRule="auto" w:before="72"/>
        <w:ind w:left="705" w:right="399"/>
      </w:pPr>
      <w:r>
        <w:rPr/>
        <w:t>精神及神经系统：头晕、头痛、口舌麻木、肢体麻木等，有烦躁、抽搐等个案报告。心血管系统：心悸、胸闷、血压升高等，有心律失常个案报告。</w:t>
      </w:r>
    </w:p>
    <w:p>
      <w:pPr>
        <w:pStyle w:val="BodyText"/>
        <w:spacing w:line="295" w:lineRule="auto" w:before="4"/>
        <w:ind w:left="705" w:right="4479"/>
      </w:pPr>
      <w:r>
        <w:rPr/>
        <w:t>其他：有呼吸困难、肝功能异常等个案报告。二、【禁忌】项应包括：</w:t>
      </w:r>
    </w:p>
    <w:p>
      <w:pPr>
        <w:pStyle w:val="ListParagraph"/>
        <w:numPr>
          <w:ilvl w:val="0"/>
          <w:numId w:val="12"/>
        </w:numPr>
        <w:tabs>
          <w:tab w:pos="890" w:val="left" w:leader="none"/>
        </w:tabs>
        <w:spacing w:line="240" w:lineRule="auto" w:before="2" w:after="0"/>
        <w:ind w:left="889" w:right="0" w:hanging="184"/>
        <w:jc w:val="left"/>
        <w:rPr>
          <w:sz w:val="24"/>
        </w:rPr>
      </w:pPr>
      <w:r>
        <w:rPr>
          <w:sz w:val="24"/>
        </w:rPr>
        <w:t>对本品及成份过敏者禁用。</w:t>
      </w:r>
    </w:p>
    <w:p>
      <w:pPr>
        <w:pStyle w:val="ListParagraph"/>
        <w:numPr>
          <w:ilvl w:val="0"/>
          <w:numId w:val="12"/>
        </w:numPr>
        <w:tabs>
          <w:tab w:pos="890" w:val="left" w:leader="none"/>
        </w:tabs>
        <w:spacing w:line="295" w:lineRule="auto" w:before="74" w:after="0"/>
        <w:ind w:left="705" w:right="7896" w:firstLine="0"/>
        <w:jc w:val="left"/>
        <w:rPr>
          <w:rFonts w:ascii="Calibri" w:eastAsia="Calibri"/>
          <w:b/>
          <w:sz w:val="24"/>
        </w:rPr>
      </w:pPr>
      <w:r>
        <w:rPr>
          <w:spacing w:val="-4"/>
          <w:sz w:val="24"/>
        </w:rPr>
        <w:t>孕妇禁用。</w:t>
      </w:r>
      <w:r>
        <w:rPr>
          <w:b/>
          <w:spacing w:val="-20"/>
          <w:sz w:val="24"/>
        </w:rPr>
        <w:t>附件 </w:t>
      </w:r>
      <w:r>
        <w:rPr>
          <w:rFonts w:ascii="Calibri" w:eastAsia="Calibri"/>
          <w:b/>
          <w:sz w:val="24"/>
        </w:rPr>
        <w:t>2</w:t>
      </w:r>
    </w:p>
    <w:p>
      <w:pPr>
        <w:pStyle w:val="Heading3"/>
        <w:spacing w:before="2"/>
        <w:ind w:left="464" w:right="11"/>
        <w:jc w:val="center"/>
        <w:rPr>
          <w:rFonts w:ascii="宋体" w:eastAsia="宋体" w:hint="eastAsia"/>
        </w:rPr>
      </w:pPr>
      <w:r>
        <w:rPr>
          <w:rFonts w:ascii="宋体" w:eastAsia="宋体" w:hint="eastAsia"/>
        </w:rPr>
        <w:t>骨刺片说明书修订要求</w:t>
      </w:r>
    </w:p>
    <w:p>
      <w:pPr>
        <w:pStyle w:val="BodyText"/>
        <w:spacing w:before="75"/>
        <w:ind w:left="705"/>
      </w:pPr>
      <w:r>
        <w:rPr/>
        <w:t>一、警示语应包括：</w:t>
      </w:r>
    </w:p>
    <w:p>
      <w:pPr>
        <w:pStyle w:val="BodyText"/>
        <w:spacing w:line="295" w:lineRule="auto" w:before="71"/>
        <w:ind w:left="705" w:right="4719"/>
      </w:pPr>
      <w:r>
        <w:rPr/>
        <w:t>本品含附片、制川乌、制草乌、马钱子粉。二、【不良反应】项应包括：</w:t>
      </w:r>
    </w:p>
    <w:p>
      <w:pPr>
        <w:pStyle w:val="BodyText"/>
        <w:spacing w:before="5"/>
        <w:ind w:left="705"/>
      </w:pPr>
      <w:r>
        <w:rPr/>
        <w:t>上市后监测数据显示本品可见以下不良反应：</w:t>
      </w:r>
    </w:p>
    <w:p>
      <w:pPr>
        <w:pStyle w:val="BodyText"/>
        <w:spacing w:line="295" w:lineRule="auto" w:before="71"/>
        <w:ind w:left="705" w:right="2799"/>
      </w:pPr>
      <w:r>
        <w:rPr/>
        <w:t>消化系统：恶心、呕吐、腹胀、腹痛、腹泻、口干、反酸等。皮肤：潮红、皮疹、瘙痒等。</w:t>
      </w:r>
    </w:p>
    <w:p>
      <w:pPr>
        <w:pStyle w:val="BodyText"/>
        <w:spacing w:line="295" w:lineRule="auto" w:before="5"/>
        <w:ind w:left="705" w:right="399"/>
      </w:pPr>
      <w:r>
        <w:rPr/>
        <w:t>精神及神经系统：头晕、头痛、眩晕、口舌麻木、肢体麻木等，有抽搐等个案报告。心血管系统：心悸、胸闷、血压升高等。</w:t>
      </w:r>
    </w:p>
    <w:p>
      <w:pPr>
        <w:pStyle w:val="BodyText"/>
        <w:spacing w:line="297" w:lineRule="auto" w:before="2"/>
        <w:ind w:left="705" w:right="3279"/>
      </w:pPr>
      <w:r>
        <w:rPr/>
        <w:t>其他：外周水肿，有呼吸困难、肝功能异常等个案报告。三、【禁忌】项应包括：</w:t>
      </w:r>
    </w:p>
    <w:p>
      <w:pPr>
        <w:pStyle w:val="ListParagraph"/>
        <w:numPr>
          <w:ilvl w:val="0"/>
          <w:numId w:val="13"/>
        </w:numPr>
        <w:tabs>
          <w:tab w:pos="890" w:val="left" w:leader="none"/>
        </w:tabs>
        <w:spacing w:line="306" w:lineRule="exact" w:before="0" w:after="0"/>
        <w:ind w:left="889" w:right="0" w:hanging="184"/>
        <w:jc w:val="left"/>
        <w:rPr>
          <w:sz w:val="24"/>
        </w:rPr>
      </w:pPr>
      <w:r>
        <w:rPr>
          <w:sz w:val="24"/>
        </w:rPr>
        <w:t>对本品及成份过敏者禁用。</w:t>
      </w:r>
    </w:p>
    <w:p>
      <w:pPr>
        <w:pStyle w:val="ListParagraph"/>
        <w:numPr>
          <w:ilvl w:val="0"/>
          <w:numId w:val="13"/>
        </w:numPr>
        <w:tabs>
          <w:tab w:pos="890" w:val="left" w:leader="none"/>
        </w:tabs>
        <w:spacing w:line="240" w:lineRule="auto" w:before="72" w:after="0"/>
        <w:ind w:left="889" w:right="0" w:hanging="184"/>
        <w:jc w:val="left"/>
        <w:rPr>
          <w:sz w:val="24"/>
        </w:rPr>
      </w:pPr>
      <w:r>
        <w:rPr>
          <w:sz w:val="24"/>
        </w:rPr>
        <w:t>孕妇禁用。</w:t>
      </w:r>
    </w:p>
    <w:p>
      <w:pPr>
        <w:pStyle w:val="BodyText"/>
        <w:spacing w:line="295" w:lineRule="auto" w:before="74"/>
        <w:ind w:left="705" w:right="6159"/>
      </w:pPr>
      <w:r>
        <w:rPr/>
        <w:t>四、【注意事项】项应包括： 运动员慎用。</w:t>
      </w:r>
    </w:p>
    <w:p>
      <w:pPr>
        <w:spacing w:after="0" w:line="295" w:lineRule="auto"/>
        <w:sectPr>
          <w:pgSz w:w="11910" w:h="16850"/>
          <w:pgMar w:header="906" w:footer="607" w:top="1100" w:bottom="800" w:left="1040" w:right="880"/>
        </w:sectPr>
      </w:pPr>
    </w:p>
    <w:p>
      <w:pPr>
        <w:pStyle w:val="BodyText"/>
        <w:spacing w:before="3"/>
        <w:ind w:left="0"/>
        <w:rPr>
          <w:sz w:val="33"/>
        </w:rPr>
      </w:pPr>
    </w:p>
    <w:p>
      <w:pPr>
        <w:pStyle w:val="Heading2"/>
      </w:pPr>
      <w:bookmarkStart w:name="_TOC_250026" w:id="1"/>
      <w:bookmarkEnd w:id="1"/>
      <w:r>
        <w:rPr/>
        <w:t>【医保动态】</w:t>
      </w:r>
    </w:p>
    <w:p>
      <w:pPr>
        <w:pStyle w:val="BodyText"/>
        <w:spacing w:before="2"/>
      </w:pPr>
      <w:r>
        <w:rPr/>
        <w:br w:type="column"/>
      </w:r>
      <w:r>
        <w:rPr/>
        <w:t>国家药监局 </w:t>
      </w:r>
      <w:r>
        <w:rPr>
          <w:rFonts w:ascii="Calibri" w:eastAsia="Calibri"/>
        </w:rPr>
        <w:t>2019 </w:t>
      </w:r>
      <w:r>
        <w:rPr/>
        <w:t>年 </w:t>
      </w:r>
      <w:r>
        <w:rPr>
          <w:rFonts w:ascii="Calibri" w:eastAsia="Calibri"/>
        </w:rPr>
        <w:t>3 </w:t>
      </w:r>
      <w:r>
        <w:rPr/>
        <w:t>月 </w:t>
      </w:r>
      <w:r>
        <w:rPr>
          <w:rFonts w:ascii="Calibri" w:eastAsia="Calibri"/>
        </w:rPr>
        <w:t>5 </w:t>
      </w:r>
      <w:r>
        <w:rPr/>
        <w:t>日</w:t>
      </w:r>
    </w:p>
    <w:p>
      <w:pPr>
        <w:spacing w:after="0"/>
        <w:sectPr>
          <w:type w:val="continuous"/>
          <w:pgSz w:w="11910" w:h="16850"/>
          <w:pgMar w:top="1080" w:bottom="1020" w:left="1040" w:right="880"/>
          <w:cols w:num="2" w:equalWidth="0">
            <w:col w:w="2207" w:space="1861"/>
            <w:col w:w="5922"/>
          </w:cols>
        </w:sectPr>
      </w:pPr>
    </w:p>
    <w:p>
      <w:pPr>
        <w:pStyle w:val="BodyText"/>
        <w:spacing w:before="6"/>
        <w:ind w:left="0"/>
        <w:rPr>
          <w:sz w:val="18"/>
        </w:rPr>
      </w:pPr>
    </w:p>
    <w:p>
      <w:pPr>
        <w:spacing w:after="0"/>
        <w:rPr>
          <w:sz w:val="18"/>
        </w:rPr>
        <w:sectPr>
          <w:type w:val="continuous"/>
          <w:pgSz w:w="11910" w:h="16850"/>
          <w:pgMar w:top="1080" w:bottom="1020" w:left="1040" w:right="880"/>
        </w:sectPr>
      </w:pPr>
    </w:p>
    <w:p>
      <w:pPr>
        <w:pStyle w:val="Heading2"/>
        <w:spacing w:before="55"/>
        <w:ind w:left="3057"/>
      </w:pPr>
      <w:bookmarkStart w:name="_TOC_250025" w:id="2"/>
      <w:bookmarkEnd w:id="2"/>
      <w:r>
        <w:rPr>
          <w:spacing w:val="-2"/>
        </w:rPr>
        <w:t>鼓励医疗机构使用集采药品</w:t>
      </w:r>
    </w:p>
    <w:p>
      <w:pPr>
        <w:pStyle w:val="BodyText"/>
        <w:ind w:left="0"/>
        <w:rPr>
          <w:b/>
        </w:rPr>
      </w:pPr>
      <w:r>
        <w:rPr/>
        <w:br w:type="column"/>
      </w:r>
      <w:r>
        <w:rPr>
          <w:b/>
        </w:rPr>
      </w:r>
    </w:p>
    <w:p>
      <w:pPr>
        <w:pStyle w:val="BodyText"/>
        <w:spacing w:before="10"/>
        <w:ind w:left="0"/>
        <w:rPr>
          <w:b/>
          <w:sz w:val="23"/>
        </w:rPr>
      </w:pPr>
    </w:p>
    <w:p>
      <w:pPr>
        <w:pStyle w:val="Heading3"/>
        <w:ind w:left="857"/>
      </w:pPr>
      <w:r>
        <w:rPr>
          <w:color w:val="FF0000"/>
        </w:rPr>
        <w:t>（来源：健康报）</w:t>
      </w:r>
    </w:p>
    <w:p>
      <w:pPr>
        <w:spacing w:after="0"/>
        <w:sectPr>
          <w:type w:val="continuous"/>
          <w:pgSz w:w="11910" w:h="16850"/>
          <w:pgMar w:top="1080" w:bottom="1020" w:left="1040" w:right="880"/>
          <w:cols w:num="2" w:equalWidth="0">
            <w:col w:w="6911" w:space="40"/>
            <w:col w:w="3039"/>
          </w:cols>
        </w:sectPr>
      </w:pPr>
    </w:p>
    <w:p>
      <w:pPr>
        <w:pStyle w:val="BodyText"/>
        <w:spacing w:line="297" w:lineRule="auto" w:before="96"/>
        <w:ind w:right="147" w:firstLine="480"/>
      </w:pPr>
      <w:r>
        <w:rPr>
          <w:spacing w:val="-1"/>
        </w:rPr>
        <w:t>近日，国家医保局发布《关于国家组织药品集中采购和使用试点医保配套措施的意见》</w:t>
      </w:r>
      <w:r>
        <w:rPr>
          <w:spacing w:val="-9"/>
        </w:rPr>
        <w:t>明确，各试点地区要结合推进医保支付方式改革，完善“结余留用、超支合理分担”的激励约束机制和风险分担机制，鼓励医疗机构使用集中采购中选药品。</w:t>
      </w:r>
    </w:p>
    <w:p>
      <w:pPr>
        <w:pStyle w:val="BodyText"/>
        <w:spacing w:line="297" w:lineRule="auto"/>
        <w:ind w:right="250" w:firstLine="480"/>
        <w:jc w:val="both"/>
      </w:pPr>
      <w:r>
        <w:rPr>
          <w:spacing w:val="-5"/>
        </w:rPr>
        <w:t>《意见》要求，医保部门制定 </w:t>
      </w:r>
      <w:r>
        <w:rPr>
          <w:rFonts w:ascii="Times New Roman" w:eastAsia="Times New Roman"/>
        </w:rPr>
        <w:t>2019 </w:t>
      </w:r>
      <w:r>
        <w:rPr/>
        <w:t>年度医保基金总额控制指标时，对合理使用中选品</w:t>
      </w:r>
      <w:r>
        <w:rPr>
          <w:spacing w:val="-12"/>
        </w:rPr>
        <w:t>种、履行购销合同、完成集中采购药品用量的定点医疗机构，不因集中采购品种药品费用下</w:t>
      </w:r>
      <w:r>
        <w:rPr>
          <w:spacing w:val="-8"/>
        </w:rPr>
        <w:t>降而降低总额控制指标。继续推进按病种、按疾病诊断相关分组、按床日等定额付费，对使</w:t>
      </w:r>
      <w:r>
        <w:rPr>
          <w:spacing w:val="-3"/>
        </w:rPr>
        <w:t>用集中采购药品的治疗，不因药品费用下降而降低 </w:t>
      </w:r>
      <w:r>
        <w:rPr>
          <w:rFonts w:ascii="Times New Roman" w:eastAsia="Times New Roman"/>
        </w:rPr>
        <w:t>2019 </w:t>
      </w:r>
      <w:r>
        <w:rPr/>
        <w:t>年定额支付标准。</w:t>
      </w:r>
    </w:p>
    <w:p>
      <w:pPr>
        <w:pStyle w:val="BodyText"/>
        <w:spacing w:line="297" w:lineRule="auto"/>
        <w:ind w:right="127" w:firstLine="480"/>
        <w:jc w:val="both"/>
      </w:pPr>
      <w:r>
        <w:rPr>
          <w:spacing w:val="-11"/>
        </w:rPr>
        <w:t>《意见》明确，在医保基金预算中明确国家组织药品集中采购和使用试点药品专项采购</w:t>
      </w:r>
      <w:r>
        <w:rPr>
          <w:spacing w:val="-10"/>
        </w:rPr>
        <w:t>预算。鼓励医保经办或采购机构与企业直接结算或预付药款。对同一通用名下的原研药、参</w:t>
      </w:r>
      <w:r>
        <w:rPr>
          <w:spacing w:val="-18"/>
        </w:rPr>
        <w:t>比制剂、通过一致性评价的仿制药，原则上以集中采购中选价作为该通用名药品的支付标准，</w:t>
      </w:r>
    </w:p>
    <w:p>
      <w:pPr>
        <w:spacing w:after="0" w:line="297" w:lineRule="auto"/>
        <w:jc w:val="both"/>
        <w:sectPr>
          <w:type w:val="continuous"/>
          <w:pgSz w:w="11910" w:h="16850"/>
          <w:pgMar w:top="1080" w:bottom="1020" w:left="1040" w:right="880"/>
        </w:sectPr>
      </w:pPr>
    </w:p>
    <w:p>
      <w:pPr>
        <w:pStyle w:val="BodyText"/>
        <w:spacing w:line="295" w:lineRule="auto" w:before="65"/>
        <w:ind w:right="247"/>
        <w:jc w:val="both"/>
      </w:pPr>
      <w:r>
        <w:rPr>
          <w:spacing w:val="-6"/>
        </w:rPr>
        <w:t>医保基金按相同的支付标准进行结算。患者使用价格高于支付标准的药品，超出支付标准的</w:t>
      </w:r>
      <w:r>
        <w:rPr>
          <w:spacing w:val="-10"/>
        </w:rPr>
        <w:t>部分由患者自付，支付标准以内部分由患者和医保按比例分担。对部分价格与中选药品价格</w:t>
      </w:r>
      <w:r>
        <w:rPr>
          <w:spacing w:val="-3"/>
        </w:rPr>
        <w:t>差异较大的药品，试点地区可渐进调整支付标准，在 </w:t>
      </w:r>
      <w:r>
        <w:rPr>
          <w:rFonts w:ascii="Times New Roman" w:eastAsia="Times New Roman"/>
        </w:rPr>
        <w:t>2 </w:t>
      </w:r>
      <w:r>
        <w:rPr/>
        <w:t>年～</w:t>
      </w:r>
      <w:r>
        <w:rPr>
          <w:rFonts w:ascii="Times New Roman" w:eastAsia="Times New Roman"/>
        </w:rPr>
        <w:t>3 </w:t>
      </w:r>
      <w:r>
        <w:rPr/>
        <w:t>年内调整到位。</w:t>
      </w:r>
    </w:p>
    <w:p>
      <w:pPr>
        <w:pStyle w:val="BodyText"/>
        <w:spacing w:before="3"/>
        <w:ind w:left="0"/>
        <w:rPr>
          <w:sz w:val="14"/>
        </w:rPr>
      </w:pPr>
    </w:p>
    <w:p>
      <w:pPr>
        <w:spacing w:after="0"/>
        <w:rPr>
          <w:sz w:val="14"/>
        </w:rPr>
        <w:sectPr>
          <w:pgSz w:w="11910" w:h="16850"/>
          <w:pgMar w:header="906" w:footer="607" w:top="1100" w:bottom="800" w:left="1040" w:right="880"/>
        </w:sectPr>
      </w:pPr>
    </w:p>
    <w:p>
      <w:pPr>
        <w:pStyle w:val="Heading2"/>
        <w:spacing w:before="55"/>
        <w:ind w:left="2654"/>
      </w:pPr>
      <w:bookmarkStart w:name="_TOC_250024" w:id="3"/>
      <w:r>
        <w:rPr>
          <w:spacing w:val="-28"/>
        </w:rPr>
        <w:t>全国 </w:t>
      </w:r>
      <w:r>
        <w:rPr/>
        <w:t>4</w:t>
      </w:r>
      <w:r>
        <w:rPr>
          <w:spacing w:val="-19"/>
        </w:rPr>
        <w:t> 个月追回医保资金 </w:t>
      </w:r>
      <w:r>
        <w:rPr/>
        <w:t>10</w:t>
      </w:r>
      <w:bookmarkEnd w:id="3"/>
      <w:r>
        <w:rPr>
          <w:spacing w:val="-32"/>
        </w:rPr>
        <w:t> 亿元</w:t>
      </w:r>
    </w:p>
    <w:p>
      <w:pPr>
        <w:pStyle w:val="BodyText"/>
        <w:ind w:left="0"/>
        <w:rPr>
          <w:b/>
        </w:rPr>
      </w:pPr>
      <w:r>
        <w:rPr/>
        <w:br w:type="column"/>
      </w:r>
      <w:r>
        <w:rPr>
          <w:b/>
        </w:rPr>
      </w:r>
    </w:p>
    <w:p>
      <w:pPr>
        <w:pStyle w:val="BodyText"/>
        <w:spacing w:before="8"/>
        <w:ind w:left="0"/>
        <w:rPr>
          <w:b/>
          <w:sz w:val="23"/>
        </w:rPr>
      </w:pPr>
    </w:p>
    <w:p>
      <w:pPr>
        <w:pStyle w:val="Heading3"/>
        <w:ind w:left="449"/>
      </w:pPr>
      <w:r>
        <w:rPr>
          <w:color w:val="FF0000"/>
        </w:rPr>
        <w:t>（来源：健康报）</w:t>
      </w:r>
    </w:p>
    <w:p>
      <w:pPr>
        <w:spacing w:after="0"/>
        <w:sectPr>
          <w:type w:val="continuous"/>
          <w:pgSz w:w="11910" w:h="16850"/>
          <w:pgMar w:top="1080" w:bottom="1020" w:left="1040" w:right="880"/>
          <w:cols w:num="2" w:equalWidth="0">
            <w:col w:w="7319" w:space="40"/>
            <w:col w:w="2631"/>
          </w:cols>
        </w:sectPr>
      </w:pPr>
    </w:p>
    <w:p>
      <w:pPr>
        <w:pStyle w:val="BodyText"/>
        <w:spacing w:before="96"/>
        <w:ind w:left="717"/>
      </w:pPr>
      <w:r>
        <w:rPr>
          <w:spacing w:val="-6"/>
        </w:rPr>
        <w:t>国家医保局近日发布的 </w:t>
      </w:r>
      <w:r>
        <w:rPr>
          <w:rFonts w:ascii="Times New Roman" w:eastAsia="Times New Roman"/>
        </w:rPr>
        <w:t>2018 </w:t>
      </w:r>
      <w:r>
        <w:rPr>
          <w:spacing w:val="-8"/>
        </w:rPr>
        <w:t>年医疗保障事业发展统计公报显示，自 </w:t>
      </w:r>
      <w:r>
        <w:rPr>
          <w:rFonts w:ascii="Times New Roman" w:eastAsia="Times New Roman"/>
        </w:rPr>
        <w:t>2018 </w:t>
      </w:r>
      <w:r>
        <w:rPr>
          <w:spacing w:val="-30"/>
        </w:rPr>
        <w:t>年 </w:t>
      </w:r>
      <w:r>
        <w:rPr>
          <w:rFonts w:ascii="Times New Roman" w:eastAsia="Times New Roman"/>
        </w:rPr>
        <w:t>9 </w:t>
      </w:r>
      <w:r>
        <w:rPr>
          <w:spacing w:val="-13"/>
        </w:rPr>
        <w:t>月起，国</w:t>
      </w:r>
    </w:p>
    <w:p>
      <w:pPr>
        <w:pStyle w:val="BodyText"/>
        <w:spacing w:before="74"/>
      </w:pPr>
      <w:r>
        <w:rPr>
          <w:spacing w:val="-2"/>
        </w:rPr>
        <w:t>家医保局会同有关部门联合开展打击欺诈骗取医疗保障基金专项行动，截至 </w:t>
      </w:r>
      <w:r>
        <w:rPr>
          <w:rFonts w:ascii="Times New Roman" w:eastAsia="Times New Roman"/>
        </w:rPr>
        <w:t>2018 </w:t>
      </w:r>
      <w:r>
        <w:rPr/>
        <w:t>年末，共</w:t>
      </w:r>
    </w:p>
    <w:p>
      <w:pPr>
        <w:pStyle w:val="BodyText"/>
        <w:spacing w:before="71"/>
      </w:pPr>
      <w:r>
        <w:rPr/>
        <w:t>追回医保资金 </w:t>
      </w:r>
      <w:r>
        <w:rPr>
          <w:rFonts w:ascii="Times New Roman" w:eastAsia="Times New Roman"/>
        </w:rPr>
        <w:t>10.08 </w:t>
      </w:r>
      <w:r>
        <w:rPr/>
        <w:t>亿元。</w:t>
      </w:r>
    </w:p>
    <w:p>
      <w:pPr>
        <w:pStyle w:val="BodyText"/>
        <w:spacing w:before="73"/>
        <w:ind w:left="717"/>
      </w:pPr>
      <w:r>
        <w:rPr>
          <w:spacing w:val="-10"/>
        </w:rPr>
        <w:t>统计显示，各地共检查定点医药机构 </w:t>
      </w:r>
      <w:r>
        <w:rPr>
          <w:rFonts w:ascii="Times New Roman" w:eastAsia="Times New Roman"/>
        </w:rPr>
        <w:t>27.20 </w:t>
      </w:r>
      <w:r>
        <w:rPr>
          <w:spacing w:val="-10"/>
        </w:rPr>
        <w:t>万家，查处违约违规违法机构 </w:t>
      </w:r>
      <w:r>
        <w:rPr>
          <w:rFonts w:ascii="Times New Roman" w:eastAsia="Times New Roman"/>
        </w:rPr>
        <w:t>6.63 </w:t>
      </w:r>
      <w:r>
        <w:rPr>
          <w:spacing w:val="-9"/>
        </w:rPr>
        <w:t>万家，其</w:t>
      </w:r>
    </w:p>
    <w:p>
      <w:pPr>
        <w:pStyle w:val="BodyText"/>
        <w:spacing w:before="74"/>
      </w:pPr>
      <w:r>
        <w:rPr>
          <w:spacing w:val="-8"/>
        </w:rPr>
        <w:t>中解除医保协议 </w:t>
      </w:r>
      <w:r>
        <w:rPr>
          <w:rFonts w:ascii="Times New Roman" w:eastAsia="Times New Roman"/>
        </w:rPr>
        <w:t>1284 </w:t>
      </w:r>
      <w:r>
        <w:rPr>
          <w:spacing w:val="-15"/>
        </w:rPr>
        <w:t>家、行政处罚 </w:t>
      </w:r>
      <w:r>
        <w:rPr>
          <w:rFonts w:ascii="Times New Roman" w:eastAsia="Times New Roman"/>
        </w:rPr>
        <w:t>1618 </w:t>
      </w:r>
      <w:r>
        <w:rPr>
          <w:spacing w:val="-12"/>
        </w:rPr>
        <w:t>家、移交司法机关 </w:t>
      </w:r>
      <w:r>
        <w:rPr>
          <w:rFonts w:ascii="Times New Roman" w:eastAsia="Times New Roman"/>
        </w:rPr>
        <w:t>127 </w:t>
      </w:r>
      <w:r>
        <w:rPr>
          <w:spacing w:val="-6"/>
        </w:rPr>
        <w:t>家。各地共核查存在疑似违</w:t>
      </w:r>
    </w:p>
    <w:p>
      <w:pPr>
        <w:pStyle w:val="BodyText"/>
        <w:spacing w:before="71"/>
        <w:rPr>
          <w:rFonts w:ascii="Times New Roman" w:eastAsia="Times New Roman"/>
        </w:rPr>
      </w:pPr>
      <w:r>
        <w:rPr>
          <w:spacing w:val="-7"/>
        </w:rPr>
        <w:t>规行为的参保人员 </w:t>
      </w:r>
      <w:r>
        <w:rPr>
          <w:rFonts w:ascii="Times New Roman" w:eastAsia="Times New Roman"/>
        </w:rPr>
        <w:t>2.42 </w:t>
      </w:r>
      <w:r>
        <w:rPr>
          <w:spacing w:val="-11"/>
        </w:rPr>
        <w:t>万人，暂停医保卡结算 </w:t>
      </w:r>
      <w:r>
        <w:rPr>
          <w:rFonts w:ascii="Times New Roman" w:eastAsia="Times New Roman"/>
        </w:rPr>
        <w:t>8283 </w:t>
      </w:r>
      <w:r>
        <w:rPr>
          <w:spacing w:val="-15"/>
        </w:rPr>
        <w:t>人、行政处罚 </w:t>
      </w:r>
      <w:r>
        <w:rPr>
          <w:rFonts w:ascii="Times New Roman" w:eastAsia="Times New Roman"/>
        </w:rPr>
        <w:t>77 </w:t>
      </w:r>
      <w:r>
        <w:rPr>
          <w:spacing w:val="-12"/>
        </w:rPr>
        <w:t>人、移交司法机关 </w:t>
      </w:r>
      <w:r>
        <w:rPr>
          <w:rFonts w:ascii="Times New Roman" w:eastAsia="Times New Roman"/>
        </w:rPr>
        <w:t>487</w:t>
      </w:r>
    </w:p>
    <w:p>
      <w:pPr>
        <w:pStyle w:val="BodyText"/>
        <w:spacing w:before="72"/>
      </w:pPr>
      <w:r>
        <w:rPr/>
        <w:t>人。</w:t>
      </w:r>
    </w:p>
    <w:p>
      <w:pPr>
        <w:pStyle w:val="BodyText"/>
        <w:spacing w:before="8"/>
        <w:ind w:left="0"/>
        <w:rPr>
          <w:sz w:val="19"/>
        </w:rPr>
      </w:pPr>
    </w:p>
    <w:p>
      <w:pPr>
        <w:spacing w:after="0"/>
        <w:rPr>
          <w:sz w:val="19"/>
        </w:rPr>
        <w:sectPr>
          <w:type w:val="continuous"/>
          <w:pgSz w:w="11910" w:h="16850"/>
          <w:pgMar w:top="1080" w:bottom="1020" w:left="1040" w:right="880"/>
        </w:sectPr>
      </w:pPr>
    </w:p>
    <w:p>
      <w:pPr>
        <w:pStyle w:val="Heading2"/>
        <w:spacing w:before="55"/>
        <w:ind w:left="2897"/>
      </w:pPr>
      <w:bookmarkStart w:name="_TOC_250023" w:id="4"/>
      <w:bookmarkEnd w:id="4"/>
      <w:r>
        <w:rPr>
          <w:spacing w:val="-2"/>
        </w:rPr>
        <w:t>新一轮医保药品目录调整启动</w:t>
      </w:r>
    </w:p>
    <w:p>
      <w:pPr>
        <w:pStyle w:val="BodyText"/>
        <w:ind w:left="0"/>
        <w:rPr>
          <w:b/>
        </w:rPr>
      </w:pPr>
      <w:r>
        <w:rPr/>
        <w:br w:type="column"/>
      </w:r>
      <w:r>
        <w:rPr>
          <w:b/>
        </w:rPr>
      </w:r>
    </w:p>
    <w:p>
      <w:pPr>
        <w:pStyle w:val="BodyText"/>
        <w:spacing w:before="8"/>
        <w:ind w:left="0"/>
        <w:rPr>
          <w:b/>
          <w:sz w:val="23"/>
        </w:rPr>
      </w:pPr>
    </w:p>
    <w:p>
      <w:pPr>
        <w:pStyle w:val="Heading3"/>
        <w:ind w:left="696"/>
      </w:pPr>
      <w:r>
        <w:rPr>
          <w:color w:val="FF0000"/>
        </w:rPr>
        <w:t>（来源：健康报）</w:t>
      </w:r>
    </w:p>
    <w:p>
      <w:pPr>
        <w:spacing w:after="0"/>
        <w:sectPr>
          <w:type w:val="continuous"/>
          <w:pgSz w:w="11910" w:h="16850"/>
          <w:pgMar w:top="1080" w:bottom="1020" w:left="1040" w:right="880"/>
          <w:cols w:num="2" w:equalWidth="0">
            <w:col w:w="7072" w:space="40"/>
            <w:col w:w="2878"/>
          </w:cols>
        </w:sectPr>
      </w:pPr>
    </w:p>
    <w:p>
      <w:pPr>
        <w:pStyle w:val="BodyText"/>
        <w:spacing w:line="297" w:lineRule="auto" w:before="96"/>
        <w:ind w:right="247" w:firstLine="480"/>
        <w:jc w:val="both"/>
      </w:pPr>
      <w:r>
        <w:rPr>
          <w:spacing w:val="-12"/>
        </w:rPr>
        <w:t>近日，国家医保局局长胡静林主持召开座谈会，听取部分医药企业代表对医保药品政策</w:t>
      </w:r>
      <w:r>
        <w:rPr>
          <w:spacing w:val="-11"/>
        </w:rPr>
        <w:t>的意见建议。胡静林强调，要抓紧建立医保药品目录动态调整机制，今年要开展新一轮医保</w:t>
      </w:r>
      <w:r>
        <w:rPr/>
        <w:t>药品目录调整工作，将更多救命救急的好药纳入医保。</w:t>
      </w:r>
    </w:p>
    <w:p>
      <w:pPr>
        <w:pStyle w:val="BodyText"/>
        <w:spacing w:line="297" w:lineRule="auto"/>
        <w:ind w:right="146" w:firstLine="480"/>
      </w:pPr>
      <w:r>
        <w:rPr>
          <w:spacing w:val="-9"/>
        </w:rPr>
        <w:t>胡静林表示，要积极做好国家组织药品集中采购和使用试点工作，按照国务院相关文件</w:t>
      </w:r>
      <w:r>
        <w:rPr>
          <w:spacing w:val="-10"/>
        </w:rPr>
        <w:t>要求，会同有关部门督促试点地区执行集中采购结果并加强监督检查，确保政策落地生效。</w:t>
      </w:r>
      <w:r>
        <w:rPr>
          <w:spacing w:val="-7"/>
        </w:rPr>
        <w:t>充分总结评估试点成效，广泛听取意见，研究逐步扩大试点范围。国家医保局将按照国务院</w:t>
      </w:r>
      <w:r>
        <w:rPr>
          <w:spacing w:val="-8"/>
        </w:rPr>
        <w:t>常务会议关于制定涉企规章文件要更多听取企业意见的要求，持续加强与医药企业的沟通， </w:t>
      </w:r>
      <w:r>
        <w:rPr/>
        <w:t>提高医保药品管理政策的针对性，努力让人民群众享受更多优质优价的医药服务。</w:t>
      </w:r>
    </w:p>
    <w:p>
      <w:pPr>
        <w:pStyle w:val="BodyText"/>
        <w:spacing w:line="297" w:lineRule="auto"/>
        <w:ind w:right="247" w:firstLine="480"/>
      </w:pPr>
      <w:r>
        <w:rPr>
          <w:spacing w:val="-11"/>
        </w:rPr>
        <w:t>会上，参会企业代表就完善医保药品目录动态调整机制、推进国家组织药品集中采购和</w:t>
      </w:r>
      <w:r>
        <w:rPr>
          <w:spacing w:val="-7"/>
        </w:rPr>
        <w:t>使用试点等政策展开热烈讨论，建议进一步突出鼓励创新的政策导向，建立稳定可预期的政</w:t>
      </w:r>
      <w:r>
        <w:rPr/>
        <w:t>策环境，并就发挥市场在资源配置中的决定性作用和更好地发挥政府作用提出了意见和建议。</w:t>
      </w:r>
    </w:p>
    <w:p>
      <w:pPr>
        <w:spacing w:after="0" w:line="297" w:lineRule="auto"/>
        <w:sectPr>
          <w:type w:val="continuous"/>
          <w:pgSz w:w="11910" w:h="16850"/>
          <w:pgMar w:top="1080" w:bottom="1020" w:left="1040" w:right="880"/>
        </w:sectPr>
      </w:pPr>
    </w:p>
    <w:p>
      <w:pPr>
        <w:pStyle w:val="BodyText"/>
        <w:ind w:left="0"/>
        <w:rPr>
          <w:sz w:val="32"/>
        </w:rPr>
      </w:pPr>
    </w:p>
    <w:p>
      <w:pPr>
        <w:pStyle w:val="BodyText"/>
        <w:spacing w:before="11"/>
        <w:ind w:left="0"/>
        <w:rPr>
          <w:sz w:val="38"/>
        </w:rPr>
      </w:pPr>
    </w:p>
    <w:p>
      <w:pPr>
        <w:pStyle w:val="Heading2"/>
      </w:pPr>
      <w:r>
        <w:rPr/>
        <w:t>【医院管理】</w:t>
      </w:r>
    </w:p>
    <w:p>
      <w:pPr>
        <w:pStyle w:val="Heading1"/>
        <w:spacing w:before="11"/>
        <w:rPr>
          <w:u w:val="none"/>
        </w:rPr>
      </w:pPr>
      <w:bookmarkStart w:name="_TOC_250022" w:id="5"/>
      <w:r>
        <w:rPr>
          <w:b w:val="0"/>
          <w:u w:val="none"/>
        </w:rPr>
        <w:br w:type="column"/>
      </w:r>
      <w:r>
        <w:rPr>
          <w:rFonts w:ascii="Times New Roman" w:eastAsia="Times New Roman"/>
          <w:color w:val="008000"/>
          <w:spacing w:val="-110"/>
          <w:w w:val="99"/>
          <w:u w:val="thick" w:color="008000"/>
        </w:rPr>
        <w:t> </w:t>
      </w:r>
      <w:bookmarkEnd w:id="5"/>
      <w:r>
        <w:rPr>
          <w:color w:val="008000"/>
          <w:u w:val="thick" w:color="008000"/>
        </w:rPr>
        <w:t>行业资讯</w:t>
      </w:r>
    </w:p>
    <w:p>
      <w:pPr>
        <w:spacing w:after="0"/>
        <w:sectPr>
          <w:type w:val="continuous"/>
          <w:pgSz w:w="11910" w:h="16850"/>
          <w:pgMar w:top="1080" w:bottom="1020" w:left="1040" w:right="880"/>
          <w:cols w:num="2" w:equalWidth="0">
            <w:col w:w="2207" w:space="2180"/>
            <w:col w:w="5603"/>
          </w:cols>
        </w:sectPr>
      </w:pPr>
    </w:p>
    <w:p>
      <w:pPr>
        <w:pStyle w:val="BodyText"/>
        <w:spacing w:before="7"/>
        <w:ind w:left="0"/>
        <w:rPr>
          <w:rFonts w:ascii="华文宋体"/>
          <w:b/>
          <w:sz w:val="14"/>
        </w:rPr>
      </w:pPr>
    </w:p>
    <w:p>
      <w:pPr>
        <w:pStyle w:val="Heading2"/>
        <w:spacing w:before="54"/>
      </w:pPr>
      <w:bookmarkStart w:name="_TOC_250021" w:id="6"/>
      <w:bookmarkEnd w:id="6"/>
      <w:r>
        <w:rPr>
          <w:w w:val="90"/>
        </w:rPr>
        <w:t>我国基层医疗机构药学服务现状及问题研究（二）：药师队伍建设现状分析</w:t>
      </w:r>
    </w:p>
    <w:p>
      <w:pPr>
        <w:spacing w:line="307" w:lineRule="auto" w:before="148"/>
        <w:ind w:left="237" w:right="248" w:firstLine="4373"/>
        <w:jc w:val="both"/>
        <w:rPr>
          <w:sz w:val="21"/>
        </w:rPr>
      </w:pPr>
      <w:r>
        <w:rPr>
          <w:rFonts w:ascii="楷体" w:eastAsia="楷体" w:hint="eastAsia"/>
          <w:b/>
          <w:color w:val="FF0000"/>
          <w:sz w:val="24"/>
        </w:rPr>
        <w:t>（来源：《中国医院药学杂志》2019</w:t>
      </w:r>
      <w:r>
        <w:rPr>
          <w:rFonts w:ascii="楷体" w:eastAsia="楷体" w:hint="eastAsia"/>
          <w:b/>
          <w:color w:val="FF0000"/>
          <w:spacing w:val="-30"/>
          <w:sz w:val="24"/>
        </w:rPr>
        <w:t> 年第 </w:t>
      </w:r>
      <w:r>
        <w:rPr>
          <w:rFonts w:ascii="楷体" w:eastAsia="楷体" w:hint="eastAsia"/>
          <w:b/>
          <w:color w:val="FF0000"/>
          <w:sz w:val="24"/>
        </w:rPr>
        <w:t>1</w:t>
      </w:r>
      <w:r>
        <w:rPr>
          <w:rFonts w:ascii="楷体" w:eastAsia="楷体" w:hint="eastAsia"/>
          <w:b/>
          <w:color w:val="FF0000"/>
          <w:spacing w:val="-31"/>
          <w:sz w:val="24"/>
        </w:rPr>
        <w:t> 期</w:t>
      </w:r>
      <w:r>
        <w:rPr>
          <w:rFonts w:ascii="楷体" w:eastAsia="楷体" w:hint="eastAsia"/>
          <w:b/>
          <w:color w:val="FF0000"/>
          <w:spacing w:val="-14"/>
          <w:sz w:val="24"/>
        </w:rPr>
        <w:t>） </w:t>
      </w:r>
      <w:r>
        <w:rPr>
          <w:rFonts w:ascii="楷体" w:eastAsia="楷体" w:hint="eastAsia"/>
          <w:spacing w:val="-3"/>
          <w:sz w:val="21"/>
        </w:rPr>
        <w:t>黄元楷，刘海娇，冷美玲，王新新，李文君，席晓宇</w:t>
      </w:r>
      <w:r>
        <w:rPr>
          <w:sz w:val="21"/>
        </w:rPr>
        <w:t>（</w:t>
      </w:r>
      <w:r>
        <w:rPr>
          <w:spacing w:val="-3"/>
          <w:sz w:val="21"/>
        </w:rPr>
        <w:t>中国药科大学国家药物政策与医药产业经济研究中心，江苏南京 </w:t>
      </w:r>
      <w:r>
        <w:rPr>
          <w:rFonts w:ascii="Times New Roman" w:eastAsia="Times New Roman"/>
          <w:sz w:val="21"/>
        </w:rPr>
        <w:t>211198</w:t>
      </w:r>
      <w:r>
        <w:rPr>
          <w:sz w:val="21"/>
        </w:rPr>
        <w:t>）</w:t>
      </w:r>
    </w:p>
    <w:p>
      <w:pPr>
        <w:spacing w:line="355" w:lineRule="auto" w:before="27"/>
        <w:ind w:left="237" w:right="181" w:firstLine="88"/>
        <w:jc w:val="left"/>
        <w:rPr>
          <w:rFonts w:ascii="楷体" w:eastAsia="楷体" w:hint="eastAsia"/>
          <w:sz w:val="18"/>
        </w:rPr>
      </w:pPr>
      <w:r>
        <w:rPr>
          <w:rFonts w:ascii="Times New Roman" w:eastAsia="Times New Roman"/>
          <w:sz w:val="18"/>
        </w:rPr>
        <w:t>[</w:t>
      </w:r>
      <w:r>
        <w:rPr>
          <w:rFonts w:ascii="黑体" w:eastAsia="黑体" w:hint="eastAsia"/>
          <w:sz w:val="18"/>
        </w:rPr>
        <w:t>摘要</w:t>
      </w:r>
      <w:r>
        <w:rPr>
          <w:rFonts w:ascii="Times New Roman" w:eastAsia="Times New Roman"/>
          <w:sz w:val="18"/>
        </w:rPr>
        <w:t>]</w:t>
      </w:r>
      <w:r>
        <w:rPr>
          <w:rFonts w:ascii="黑体" w:eastAsia="黑体" w:hint="eastAsia"/>
          <w:sz w:val="18"/>
        </w:rPr>
        <w:t>目的：</w:t>
      </w:r>
      <w:r>
        <w:rPr>
          <w:rFonts w:ascii="楷体" w:eastAsia="楷体" w:hint="eastAsia"/>
          <w:sz w:val="18"/>
        </w:rPr>
        <w:t>通过调查了解我国基层医疗机构药师队伍建设情况，分析其现有问题，并提供相关政策建议。</w:t>
      </w:r>
      <w:r>
        <w:rPr>
          <w:rFonts w:ascii="黑体" w:eastAsia="黑体" w:hint="eastAsia"/>
          <w:sz w:val="18"/>
        </w:rPr>
        <w:t>方法：</w:t>
      </w:r>
      <w:r>
        <w:rPr>
          <w:rFonts w:ascii="楷体" w:eastAsia="楷体" w:hint="eastAsia"/>
          <w:sz w:val="18"/>
        </w:rPr>
        <w:t>采用问卷调查形式收集我国基层医疗机构药师的高等教育背景、药学培训情况、从业现状和职业认知等信息，并通过描述性统计</w:t>
      </w:r>
    </w:p>
    <w:p>
      <w:pPr>
        <w:spacing w:after="0" w:line="355" w:lineRule="auto"/>
        <w:jc w:val="left"/>
        <w:rPr>
          <w:rFonts w:ascii="楷体" w:eastAsia="楷体" w:hint="eastAsia"/>
          <w:sz w:val="18"/>
        </w:rPr>
        <w:sectPr>
          <w:type w:val="continuous"/>
          <w:pgSz w:w="11910" w:h="16850"/>
          <w:pgMar w:top="1080" w:bottom="1020" w:left="1040" w:right="880"/>
        </w:sectPr>
      </w:pPr>
    </w:p>
    <w:p>
      <w:pPr>
        <w:spacing w:line="352" w:lineRule="auto" w:before="91"/>
        <w:ind w:left="237" w:right="205" w:firstLine="0"/>
        <w:jc w:val="both"/>
        <w:rPr>
          <w:rFonts w:ascii="楷体" w:eastAsia="楷体" w:hint="eastAsia"/>
          <w:sz w:val="18"/>
        </w:rPr>
      </w:pPr>
      <w:r>
        <w:rPr>
          <w:rFonts w:ascii="楷体" w:eastAsia="楷体" w:hint="eastAsia"/>
          <w:spacing w:val="-2"/>
          <w:sz w:val="18"/>
        </w:rPr>
        <w:t>分析相关数据。</w:t>
      </w:r>
      <w:r>
        <w:rPr>
          <w:rFonts w:ascii="黑体" w:eastAsia="黑体" w:hint="eastAsia"/>
          <w:spacing w:val="-4"/>
          <w:sz w:val="18"/>
        </w:rPr>
        <w:t>结果：</w:t>
      </w:r>
      <w:r>
        <w:rPr>
          <w:rFonts w:ascii="楷体" w:eastAsia="楷体" w:hint="eastAsia"/>
          <w:spacing w:val="-2"/>
          <w:sz w:val="18"/>
        </w:rPr>
        <w:t>样本内基层医疗机构药师的最高学历主要为大专</w:t>
      </w:r>
      <w:r>
        <w:rPr>
          <w:rFonts w:ascii="楷体" w:eastAsia="楷体" w:hint="eastAsia"/>
          <w:sz w:val="18"/>
        </w:rPr>
        <w:t>（</w:t>
      </w:r>
      <w:r>
        <w:rPr>
          <w:rFonts w:ascii="Times New Roman" w:eastAsia="Times New Roman"/>
          <w:sz w:val="18"/>
        </w:rPr>
        <w:t>38.1%</w:t>
      </w:r>
      <w:r>
        <w:rPr>
          <w:rFonts w:ascii="楷体" w:eastAsia="楷体" w:hint="eastAsia"/>
          <w:sz w:val="18"/>
        </w:rPr>
        <w:t>）</w:t>
      </w:r>
      <w:r>
        <w:rPr>
          <w:rFonts w:ascii="楷体" w:eastAsia="楷体" w:hint="eastAsia"/>
          <w:spacing w:val="-4"/>
          <w:sz w:val="18"/>
        </w:rPr>
        <w:t>和本科</w:t>
      </w:r>
      <w:r>
        <w:rPr>
          <w:rFonts w:ascii="楷体" w:eastAsia="楷体" w:hint="eastAsia"/>
          <w:spacing w:val="-3"/>
          <w:sz w:val="18"/>
        </w:rPr>
        <w:t>（</w:t>
      </w:r>
      <w:r>
        <w:rPr>
          <w:rFonts w:ascii="Times New Roman" w:eastAsia="Times New Roman"/>
          <w:spacing w:val="-3"/>
          <w:sz w:val="18"/>
        </w:rPr>
        <w:t>36.9%</w:t>
      </w:r>
      <w:r>
        <w:rPr>
          <w:rFonts w:ascii="楷体" w:eastAsia="楷体" w:hint="eastAsia"/>
          <w:spacing w:val="-3"/>
          <w:sz w:val="18"/>
        </w:rPr>
        <w:t>）；</w:t>
      </w:r>
      <w:r>
        <w:rPr>
          <w:rFonts w:ascii="楷体" w:eastAsia="楷体" w:hint="eastAsia"/>
          <w:sz w:val="18"/>
        </w:rPr>
        <w:t>大多数药师接受过药品政策相关培训（</w:t>
      </w:r>
      <w:r>
        <w:rPr>
          <w:rFonts w:ascii="Times New Roman" w:eastAsia="Times New Roman"/>
          <w:sz w:val="18"/>
        </w:rPr>
        <w:t>87.1%</w:t>
      </w:r>
      <w:r>
        <w:rPr>
          <w:rFonts w:ascii="楷体" w:eastAsia="楷体" w:hint="eastAsia"/>
          <w:sz w:val="18"/>
        </w:rPr>
        <w:t>）和合理用药相关培训（</w:t>
      </w:r>
      <w:r>
        <w:rPr>
          <w:rFonts w:ascii="Times New Roman" w:eastAsia="Times New Roman"/>
          <w:sz w:val="18"/>
        </w:rPr>
        <w:t>92.6%</w:t>
      </w:r>
      <w:r>
        <w:rPr>
          <w:rFonts w:ascii="楷体" w:eastAsia="楷体" w:hint="eastAsia"/>
          <w:sz w:val="18"/>
        </w:rPr>
        <w:t>）；药师职称主要集中于中级职称（</w:t>
      </w:r>
      <w:r>
        <w:rPr>
          <w:rFonts w:ascii="Times New Roman" w:eastAsia="Times New Roman"/>
          <w:sz w:val="18"/>
        </w:rPr>
        <w:t>43.6%</w:t>
      </w:r>
      <w:r>
        <w:rPr>
          <w:rFonts w:ascii="楷体" w:eastAsia="楷体" w:hint="eastAsia"/>
          <w:sz w:val="18"/>
        </w:rPr>
        <w:t>）；药师的收入主要介</w:t>
      </w:r>
      <w:r>
        <w:rPr>
          <w:rFonts w:ascii="楷体" w:eastAsia="楷体" w:hint="eastAsia"/>
          <w:spacing w:val="-21"/>
          <w:sz w:val="18"/>
        </w:rPr>
        <w:t>于 </w:t>
      </w:r>
      <w:r>
        <w:rPr>
          <w:rFonts w:ascii="Times New Roman" w:eastAsia="Times New Roman"/>
          <w:sz w:val="18"/>
        </w:rPr>
        <w:t>2000-5000 </w:t>
      </w:r>
      <w:r>
        <w:rPr>
          <w:rFonts w:ascii="楷体" w:eastAsia="楷体" w:hint="eastAsia"/>
          <w:spacing w:val="-18"/>
          <w:sz w:val="18"/>
        </w:rPr>
        <w:t>元之间</w:t>
      </w:r>
      <w:r>
        <w:rPr>
          <w:rFonts w:ascii="楷体" w:eastAsia="楷体" w:hint="eastAsia"/>
          <w:spacing w:val="-14"/>
          <w:sz w:val="18"/>
        </w:rPr>
        <w:t>（</w:t>
      </w:r>
      <w:r>
        <w:rPr>
          <w:rFonts w:ascii="Times New Roman" w:eastAsia="Times New Roman"/>
          <w:spacing w:val="-14"/>
          <w:sz w:val="18"/>
        </w:rPr>
        <w:t>78.4%</w:t>
      </w:r>
      <w:r>
        <w:rPr>
          <w:rFonts w:ascii="楷体" w:eastAsia="楷体" w:hint="eastAsia"/>
          <w:spacing w:val="-14"/>
          <w:sz w:val="18"/>
        </w:rPr>
        <w:t>），</w:t>
      </w:r>
      <w:r>
        <w:rPr>
          <w:rFonts w:ascii="楷体" w:eastAsia="楷体" w:hint="eastAsia"/>
          <w:spacing w:val="-3"/>
          <w:sz w:val="18"/>
        </w:rPr>
        <w:t>超过三分之一的药师不满意当前工作收入</w:t>
      </w:r>
      <w:r>
        <w:rPr>
          <w:rFonts w:ascii="楷体" w:eastAsia="楷体" w:hint="eastAsia"/>
          <w:spacing w:val="-14"/>
          <w:sz w:val="18"/>
        </w:rPr>
        <w:t>（</w:t>
      </w:r>
      <w:r>
        <w:rPr>
          <w:rFonts w:ascii="Times New Roman" w:eastAsia="Times New Roman"/>
          <w:spacing w:val="-14"/>
          <w:sz w:val="18"/>
        </w:rPr>
        <w:t>39.3%</w:t>
      </w:r>
      <w:r>
        <w:rPr>
          <w:rFonts w:ascii="楷体" w:eastAsia="楷体" w:hint="eastAsia"/>
          <w:spacing w:val="-14"/>
          <w:sz w:val="18"/>
        </w:rPr>
        <w:t>）</w:t>
      </w:r>
      <w:r>
        <w:rPr>
          <w:rFonts w:ascii="楷体" w:eastAsia="楷体" w:hint="eastAsia"/>
          <w:spacing w:val="-8"/>
          <w:sz w:val="18"/>
        </w:rPr>
        <w:t>；药师的日常工作主要为发药</w:t>
      </w:r>
      <w:r>
        <w:rPr>
          <w:rFonts w:ascii="楷体" w:eastAsia="楷体" w:hint="eastAsia"/>
          <w:spacing w:val="-13"/>
          <w:sz w:val="18"/>
        </w:rPr>
        <w:t>（</w:t>
      </w:r>
      <w:r>
        <w:rPr>
          <w:rFonts w:ascii="Times New Roman" w:eastAsia="Times New Roman"/>
          <w:spacing w:val="-13"/>
          <w:sz w:val="18"/>
        </w:rPr>
        <w:t>94.2%</w:t>
      </w:r>
      <w:r>
        <w:rPr>
          <w:rFonts w:ascii="楷体" w:eastAsia="楷体" w:hint="eastAsia"/>
          <w:spacing w:val="-13"/>
          <w:sz w:val="18"/>
        </w:rPr>
        <w:t>）， </w:t>
      </w:r>
      <w:r>
        <w:rPr>
          <w:rFonts w:ascii="楷体" w:eastAsia="楷体" w:hint="eastAsia"/>
          <w:spacing w:val="-1"/>
          <w:sz w:val="18"/>
        </w:rPr>
        <w:t>认为需要参与用药方案制定</w:t>
      </w:r>
      <w:r>
        <w:rPr>
          <w:rFonts w:ascii="楷体" w:eastAsia="楷体" w:hint="eastAsia"/>
          <w:sz w:val="18"/>
        </w:rPr>
        <w:t>（</w:t>
      </w:r>
      <w:r>
        <w:rPr>
          <w:rFonts w:ascii="Times New Roman" w:eastAsia="Times New Roman"/>
          <w:sz w:val="18"/>
        </w:rPr>
        <w:t>42.0%</w:t>
      </w:r>
      <w:r>
        <w:rPr>
          <w:rFonts w:ascii="楷体" w:eastAsia="楷体" w:hint="eastAsia"/>
          <w:sz w:val="18"/>
        </w:rPr>
        <w:t>）</w:t>
      </w:r>
      <w:r>
        <w:rPr>
          <w:rFonts w:ascii="楷体" w:eastAsia="楷体" w:hint="eastAsia"/>
          <w:spacing w:val="-5"/>
          <w:sz w:val="18"/>
        </w:rPr>
        <w:t>、药学查房</w:t>
      </w:r>
      <w:r>
        <w:rPr>
          <w:rFonts w:ascii="楷体" w:eastAsia="楷体" w:hint="eastAsia"/>
          <w:sz w:val="18"/>
        </w:rPr>
        <w:t>（</w:t>
      </w:r>
      <w:r>
        <w:rPr>
          <w:rFonts w:ascii="Times New Roman" w:eastAsia="Times New Roman"/>
          <w:sz w:val="18"/>
        </w:rPr>
        <w:t>29.9%</w:t>
      </w:r>
      <w:r>
        <w:rPr>
          <w:rFonts w:ascii="楷体" w:eastAsia="楷体" w:hint="eastAsia"/>
          <w:sz w:val="18"/>
        </w:rPr>
        <w:t>）</w:t>
      </w:r>
      <w:r>
        <w:rPr>
          <w:rFonts w:ascii="楷体" w:eastAsia="楷体" w:hint="eastAsia"/>
          <w:spacing w:val="-1"/>
          <w:sz w:val="18"/>
        </w:rPr>
        <w:t>的药师所占比例较低。</w:t>
      </w:r>
      <w:r>
        <w:rPr>
          <w:rFonts w:ascii="黑体" w:eastAsia="黑体" w:hint="eastAsia"/>
          <w:spacing w:val="-4"/>
          <w:sz w:val="18"/>
        </w:rPr>
        <w:t>结论：</w:t>
      </w:r>
      <w:r>
        <w:rPr>
          <w:rFonts w:ascii="楷体" w:eastAsia="楷体" w:hint="eastAsia"/>
          <w:spacing w:val="-2"/>
          <w:sz w:val="18"/>
        </w:rPr>
        <w:t>我国基层医疗机构药师的总体学历层次相对较低，药师培养制度、激励制度有待进一步完善，药师职业认知有待增强。</w:t>
      </w:r>
    </w:p>
    <w:p>
      <w:pPr>
        <w:spacing w:before="4"/>
        <w:ind w:left="237" w:right="0" w:firstLine="0"/>
        <w:jc w:val="left"/>
        <w:rPr>
          <w:rFonts w:ascii="楷体" w:eastAsia="楷体" w:hint="eastAsia"/>
          <w:sz w:val="18"/>
        </w:rPr>
      </w:pPr>
      <w:r>
        <w:rPr>
          <w:rFonts w:ascii="Times New Roman" w:eastAsia="Times New Roman"/>
          <w:sz w:val="18"/>
        </w:rPr>
        <w:t>[</w:t>
      </w:r>
      <w:r>
        <w:rPr>
          <w:rFonts w:ascii="黑体" w:eastAsia="黑体" w:hint="eastAsia"/>
          <w:sz w:val="18"/>
        </w:rPr>
        <w:t>关键词</w:t>
      </w:r>
      <w:r>
        <w:rPr>
          <w:rFonts w:ascii="Times New Roman" w:eastAsia="Times New Roman"/>
          <w:sz w:val="18"/>
        </w:rPr>
        <w:t>]</w:t>
      </w:r>
      <w:r>
        <w:rPr>
          <w:rFonts w:ascii="楷体" w:eastAsia="楷体" w:hint="eastAsia"/>
          <w:sz w:val="18"/>
        </w:rPr>
        <w:t>基层医疗机构；药师；队伍建设</w:t>
      </w:r>
    </w:p>
    <w:p>
      <w:pPr>
        <w:pStyle w:val="Heading3"/>
        <w:numPr>
          <w:ilvl w:val="0"/>
          <w:numId w:val="14"/>
        </w:numPr>
        <w:tabs>
          <w:tab w:pos="908" w:val="left" w:leader="none"/>
        </w:tabs>
        <w:spacing w:line="240" w:lineRule="auto" w:before="84" w:after="0"/>
        <w:ind w:left="907" w:right="0" w:hanging="188"/>
        <w:jc w:val="left"/>
        <w:rPr>
          <w:rFonts w:ascii="Calibri" w:eastAsia="Calibri"/>
          <w:sz w:val="22"/>
        </w:rPr>
      </w:pPr>
      <w:r>
        <w:rPr>
          <w:rFonts w:ascii="宋体" w:eastAsia="宋体" w:hint="eastAsia"/>
        </w:rPr>
        <w:t>研究概述</w:t>
      </w:r>
    </w:p>
    <w:p>
      <w:pPr>
        <w:pStyle w:val="ListParagraph"/>
        <w:numPr>
          <w:ilvl w:val="1"/>
          <w:numId w:val="14"/>
        </w:numPr>
        <w:tabs>
          <w:tab w:pos="1138" w:val="left" w:leader="none"/>
          <w:tab w:pos="4017" w:val="left" w:leader="none"/>
        </w:tabs>
        <w:spacing w:line="297" w:lineRule="auto" w:before="72" w:after="0"/>
        <w:ind w:left="237" w:right="246" w:firstLine="480"/>
        <w:jc w:val="left"/>
        <w:rPr>
          <w:sz w:val="24"/>
        </w:rPr>
      </w:pPr>
      <w:r>
        <w:rPr>
          <w:sz w:val="24"/>
        </w:rPr>
        <w:t>国内外药师队伍建设概述</w:t>
        <w:tab/>
        <w:t>在我国</w:t>
      </w:r>
      <w:r>
        <w:rPr>
          <w:spacing w:val="-22"/>
          <w:sz w:val="24"/>
        </w:rPr>
        <w:t>，</w:t>
      </w:r>
      <w:r>
        <w:rPr>
          <w:sz w:val="24"/>
        </w:rPr>
        <w:t>药师指受过高等教育</w:t>
      </w:r>
      <w:r>
        <w:rPr>
          <w:spacing w:val="-22"/>
          <w:sz w:val="24"/>
        </w:rPr>
        <w:t>，</w:t>
      </w:r>
      <w:r>
        <w:rPr>
          <w:sz w:val="24"/>
        </w:rPr>
        <w:t>在医疗机构和制药企</w:t>
      </w:r>
      <w:r>
        <w:rPr>
          <w:spacing w:val="-13"/>
          <w:sz w:val="24"/>
        </w:rPr>
        <w:t>业</w:t>
      </w:r>
      <w:r>
        <w:rPr>
          <w:sz w:val="24"/>
        </w:rPr>
        <w:t>从事药品调剂、制备、检验和生产等工作并经卫生部门审查合格的高级药学人员</w:t>
      </w:r>
      <w:r>
        <w:rPr>
          <w:rFonts w:ascii="Times New Roman" w:eastAsia="Times New Roman"/>
          <w:sz w:val="24"/>
        </w:rPr>
        <w:t>,</w:t>
      </w:r>
      <w:r>
        <w:rPr>
          <w:sz w:val="24"/>
        </w:rPr>
        <w:t>是药学服务的实施主体</w:t>
      </w:r>
      <w:r>
        <w:rPr>
          <w:spacing w:val="-51"/>
          <w:sz w:val="24"/>
        </w:rPr>
        <w:t>，</w:t>
      </w:r>
      <w:r>
        <w:rPr>
          <w:sz w:val="24"/>
        </w:rPr>
        <w:t>对药学服务的开展效果有重要影响</w:t>
      </w:r>
      <w:r>
        <w:rPr>
          <w:spacing w:val="-51"/>
          <w:sz w:val="24"/>
        </w:rPr>
        <w:t>。</w:t>
      </w:r>
      <w:r>
        <w:rPr>
          <w:sz w:val="24"/>
        </w:rPr>
        <w:t>药师队伍的建设水平一般是指药师队</w:t>
      </w:r>
      <w:r>
        <w:rPr>
          <w:spacing w:val="-14"/>
          <w:sz w:val="24"/>
        </w:rPr>
        <w:t>伍</w:t>
      </w:r>
      <w:r>
        <w:rPr>
          <w:sz w:val="24"/>
        </w:rPr>
        <w:t>各层级的人员数量</w:t>
      </w:r>
      <w:r>
        <w:rPr>
          <w:spacing w:val="-34"/>
          <w:sz w:val="24"/>
        </w:rPr>
        <w:t>、</w:t>
      </w:r>
      <w:r>
        <w:rPr>
          <w:sz w:val="24"/>
        </w:rPr>
        <w:t>质量和工作组织形式</w:t>
      </w:r>
      <w:r>
        <w:rPr>
          <w:spacing w:val="-34"/>
          <w:sz w:val="24"/>
        </w:rPr>
        <w:t>，</w:t>
      </w:r>
      <w:r>
        <w:rPr>
          <w:sz w:val="24"/>
        </w:rPr>
        <w:t>其对药师工作的开展有重要影响</w:t>
      </w:r>
      <w:r>
        <w:rPr>
          <w:spacing w:val="-34"/>
          <w:sz w:val="24"/>
        </w:rPr>
        <w:t>，</w:t>
      </w:r>
      <w:r>
        <w:rPr>
          <w:sz w:val="24"/>
        </w:rPr>
        <w:t>是影响药师</w:t>
      </w:r>
      <w:r>
        <w:rPr>
          <w:spacing w:val="-15"/>
          <w:sz w:val="24"/>
        </w:rPr>
        <w:t>执</w:t>
      </w:r>
      <w:r>
        <w:rPr>
          <w:sz w:val="24"/>
        </w:rPr>
        <w:t>业水平的重要因素之一</w:t>
      </w:r>
      <w:r>
        <w:rPr>
          <w:spacing w:val="-26"/>
          <w:sz w:val="24"/>
        </w:rPr>
        <w:t>，</w:t>
      </w:r>
      <w:r>
        <w:rPr>
          <w:sz w:val="24"/>
        </w:rPr>
        <w:t>与药师的教育水平</w:t>
      </w:r>
      <w:r>
        <w:rPr>
          <w:spacing w:val="-24"/>
          <w:sz w:val="24"/>
        </w:rPr>
        <w:t>、</w:t>
      </w:r>
      <w:r>
        <w:rPr>
          <w:sz w:val="24"/>
        </w:rPr>
        <w:t>培训方式</w:t>
      </w:r>
      <w:r>
        <w:rPr>
          <w:spacing w:val="-27"/>
          <w:sz w:val="24"/>
        </w:rPr>
        <w:t>、</w:t>
      </w:r>
      <w:r>
        <w:rPr>
          <w:sz w:val="24"/>
        </w:rPr>
        <w:t>职业认知等有关</w:t>
      </w:r>
      <w:r>
        <w:rPr>
          <w:spacing w:val="-27"/>
          <w:sz w:val="24"/>
        </w:rPr>
        <w:t>。</w:t>
      </w:r>
      <w:r>
        <w:rPr>
          <w:sz w:val="24"/>
        </w:rPr>
        <w:t>随着药师制度</w:t>
      </w:r>
      <w:r>
        <w:rPr>
          <w:spacing w:val="-13"/>
          <w:sz w:val="24"/>
        </w:rPr>
        <w:t>的</w:t>
      </w:r>
      <w:r>
        <w:rPr>
          <w:sz w:val="24"/>
        </w:rPr>
        <w:t>发展</w:t>
      </w:r>
      <w:r>
        <w:rPr>
          <w:spacing w:val="-34"/>
          <w:sz w:val="24"/>
        </w:rPr>
        <w:t>，</w:t>
      </w:r>
      <w:r>
        <w:rPr>
          <w:sz w:val="24"/>
        </w:rPr>
        <w:t>各国的药师队伍建设不断完善</w:t>
      </w:r>
      <w:r>
        <w:rPr>
          <w:spacing w:val="-34"/>
          <w:sz w:val="24"/>
        </w:rPr>
        <w:t>，</w:t>
      </w:r>
      <w:r>
        <w:rPr>
          <w:sz w:val="24"/>
        </w:rPr>
        <w:t>美国</w:t>
      </w:r>
      <w:r>
        <w:rPr>
          <w:spacing w:val="-36"/>
          <w:sz w:val="24"/>
        </w:rPr>
        <w:t>、</w:t>
      </w:r>
      <w:r>
        <w:rPr>
          <w:sz w:val="24"/>
        </w:rPr>
        <w:t>日本等多个国家均已制定了药师队伍建设相</w:t>
      </w:r>
      <w:r>
        <w:rPr>
          <w:spacing w:val="-13"/>
          <w:sz w:val="24"/>
        </w:rPr>
        <w:t>关</w:t>
      </w:r>
      <w:r>
        <w:rPr>
          <w:sz w:val="24"/>
        </w:rPr>
        <w:t>制度</w:t>
      </w:r>
      <w:r>
        <w:rPr>
          <w:spacing w:val="-22"/>
          <w:sz w:val="24"/>
        </w:rPr>
        <w:t>，</w:t>
      </w:r>
      <w:r>
        <w:rPr>
          <w:sz w:val="24"/>
        </w:rPr>
        <w:t>对药师的工作职责</w:t>
      </w:r>
      <w:r>
        <w:rPr>
          <w:spacing w:val="-22"/>
          <w:sz w:val="24"/>
        </w:rPr>
        <w:t>、</w:t>
      </w:r>
      <w:r>
        <w:rPr>
          <w:sz w:val="24"/>
        </w:rPr>
        <w:t>管理模式</w:t>
      </w:r>
      <w:r>
        <w:rPr>
          <w:spacing w:val="-21"/>
          <w:sz w:val="24"/>
        </w:rPr>
        <w:t>、</w:t>
      </w:r>
      <w:r>
        <w:rPr>
          <w:sz w:val="24"/>
        </w:rPr>
        <w:t>继续教育方式等做出了明确规定</w:t>
      </w:r>
      <w:r>
        <w:rPr>
          <w:spacing w:val="-22"/>
          <w:sz w:val="24"/>
        </w:rPr>
        <w:t>。</w:t>
      </w:r>
      <w:r>
        <w:rPr>
          <w:sz w:val="24"/>
        </w:rPr>
        <w:t>其中</w:t>
      </w:r>
      <w:r>
        <w:rPr>
          <w:spacing w:val="-22"/>
          <w:sz w:val="24"/>
        </w:rPr>
        <w:t>，</w:t>
      </w:r>
      <w:r>
        <w:rPr>
          <w:sz w:val="24"/>
        </w:rPr>
        <w:t>美国已形成较为完善的临床药学实践培训和专业药学博士（</w:t>
      </w:r>
      <w:r>
        <w:rPr>
          <w:rFonts w:ascii="Times New Roman" w:eastAsia="Times New Roman"/>
          <w:sz w:val="24"/>
        </w:rPr>
        <w:t>Pharm.D</w:t>
      </w:r>
      <w:r>
        <w:rPr>
          <w:sz w:val="24"/>
        </w:rPr>
        <w:t>）培养制度。其他国家的药师制</w:t>
      </w:r>
      <w:r>
        <w:rPr>
          <w:spacing w:val="-16"/>
          <w:sz w:val="24"/>
        </w:rPr>
        <w:t>度</w:t>
      </w:r>
      <w:r>
        <w:rPr>
          <w:sz w:val="24"/>
        </w:rPr>
        <w:t>受美国影响较大</w:t>
      </w:r>
      <w:r>
        <w:rPr>
          <w:spacing w:val="-34"/>
          <w:sz w:val="24"/>
        </w:rPr>
        <w:t>，</w:t>
      </w:r>
      <w:r>
        <w:rPr>
          <w:sz w:val="24"/>
        </w:rPr>
        <w:t>并各具特色</w:t>
      </w:r>
      <w:r>
        <w:rPr>
          <w:spacing w:val="-33"/>
          <w:sz w:val="24"/>
        </w:rPr>
        <w:t>：</w:t>
      </w:r>
      <w:r>
        <w:rPr>
          <w:sz w:val="24"/>
        </w:rPr>
        <w:t>日本的药学教育制度与执业政策环环相扣</w:t>
      </w:r>
      <w:r>
        <w:rPr>
          <w:spacing w:val="-34"/>
          <w:sz w:val="24"/>
        </w:rPr>
        <w:t>，</w:t>
      </w:r>
      <w:r>
        <w:rPr>
          <w:sz w:val="24"/>
        </w:rPr>
        <w:t>其药师队伍建</w:t>
      </w:r>
      <w:r>
        <w:rPr>
          <w:spacing w:val="-16"/>
          <w:sz w:val="24"/>
        </w:rPr>
        <w:t>设</w:t>
      </w:r>
      <w:r>
        <w:rPr>
          <w:sz w:val="24"/>
        </w:rPr>
        <w:t>管理规划体现出系统化的特点；德国对药学人员采取多样化管理方式</w:t>
      </w:r>
      <w:r>
        <w:rPr>
          <w:rFonts w:ascii="Times New Roman" w:eastAsia="Times New Roman"/>
          <w:sz w:val="24"/>
        </w:rPr>
        <w:t>,</w:t>
      </w:r>
      <w:r>
        <w:rPr>
          <w:sz w:val="24"/>
        </w:rPr>
        <w:t>在人员的管理和培训上更具针对性</w:t>
      </w:r>
      <w:r>
        <w:rPr>
          <w:spacing w:val="-51"/>
          <w:sz w:val="24"/>
        </w:rPr>
        <w:t>。</w:t>
      </w:r>
      <w:r>
        <w:rPr>
          <w:sz w:val="24"/>
        </w:rPr>
        <w:t>近几年</w:t>
      </w:r>
      <w:r>
        <w:rPr>
          <w:spacing w:val="-51"/>
          <w:sz w:val="24"/>
        </w:rPr>
        <w:t>，</w:t>
      </w:r>
      <w:r>
        <w:rPr>
          <w:sz w:val="24"/>
        </w:rPr>
        <w:t>我国在多项医疗机构建设相关政策中均强调了医疗机构的药师队</w:t>
      </w:r>
      <w:r>
        <w:rPr>
          <w:spacing w:val="-16"/>
          <w:sz w:val="24"/>
        </w:rPr>
        <w:t>伍</w:t>
      </w:r>
      <w:r>
        <w:rPr>
          <w:sz w:val="24"/>
        </w:rPr>
        <w:t>建设，要求医疗机构建立由医师、药师和护士组成的医疗团队</w:t>
      </w:r>
      <w:r>
        <w:rPr>
          <w:rFonts w:ascii="Times New Roman" w:eastAsia="Times New Roman"/>
          <w:sz w:val="24"/>
        </w:rPr>
        <w:t>,</w:t>
      </w:r>
      <w:r>
        <w:rPr>
          <w:sz w:val="24"/>
        </w:rPr>
        <w:t>加强药师队伍建设，并已初步建立了药师教育、培养和管理等相关制度。</w:t>
      </w:r>
    </w:p>
    <w:p>
      <w:pPr>
        <w:pStyle w:val="ListParagraph"/>
        <w:numPr>
          <w:ilvl w:val="1"/>
          <w:numId w:val="14"/>
        </w:numPr>
        <w:tabs>
          <w:tab w:pos="1138" w:val="left" w:leader="none"/>
          <w:tab w:pos="5938" w:val="left" w:leader="none"/>
        </w:tabs>
        <w:spacing w:line="291" w:lineRule="exact" w:before="0" w:after="0"/>
        <w:ind w:left="1137" w:right="0" w:hanging="420"/>
        <w:jc w:val="left"/>
        <w:rPr>
          <w:sz w:val="24"/>
        </w:rPr>
      </w:pPr>
      <w:r>
        <w:rPr>
          <w:sz w:val="24"/>
        </w:rPr>
        <w:t>基层医疗机构药师队伍建设现状的研究意义</w:t>
        <w:tab/>
        <w:t>经过几十年的探索与实践</w:t>
      </w:r>
      <w:r>
        <w:rPr>
          <w:spacing w:val="-44"/>
          <w:sz w:val="24"/>
        </w:rPr>
        <w:t>，</w:t>
      </w:r>
      <w:r>
        <w:rPr>
          <w:sz w:val="24"/>
        </w:rPr>
        <w:t>我国各层</w:t>
      </w:r>
    </w:p>
    <w:p>
      <w:pPr>
        <w:pStyle w:val="BodyText"/>
        <w:spacing w:line="297" w:lineRule="auto" w:before="74"/>
        <w:ind w:right="127"/>
      </w:pPr>
      <w:r>
        <w:rPr/>
        <w:t>次医疗机构的药师队伍建设均取得了一定成果，但由于各级医疗机构的职责和目标有所不 </w:t>
      </w:r>
      <w:r>
        <w:rPr>
          <w:spacing w:val="-11"/>
        </w:rPr>
        <w:t>同，其药师队伍建设的目标、方向和水平存在差异。</w:t>
      </w:r>
      <w:r>
        <w:rPr>
          <w:rFonts w:ascii="Times New Roman" w:hAnsi="Times New Roman" w:eastAsia="Times New Roman"/>
        </w:rPr>
        <w:t>2009 </w:t>
      </w:r>
      <w:r>
        <w:rPr>
          <w:spacing w:val="-30"/>
        </w:rPr>
        <w:t>年 </w:t>
      </w:r>
      <w:r>
        <w:rPr>
          <w:rFonts w:ascii="Times New Roman" w:hAnsi="Times New Roman" w:eastAsia="Times New Roman"/>
        </w:rPr>
        <w:t>3</w:t>
      </w:r>
      <w:r>
        <w:rPr>
          <w:rFonts w:ascii="Times New Roman" w:hAnsi="Times New Roman" w:eastAsia="Times New Roman"/>
          <w:spacing w:val="1"/>
        </w:rPr>
        <w:t> </w:t>
      </w:r>
      <w:r>
        <w:rPr>
          <w:spacing w:val="-9"/>
        </w:rPr>
        <w:t>月，中共中央国务院提出《关于深化医药卫生体制改革的意见》，确立了“保基本、强基层、建机制</w:t>
      </w:r>
      <w:r>
        <w:rPr>
          <w:rFonts w:ascii="Calibri" w:hAnsi="Calibri" w:eastAsia="Calibri"/>
          <w:spacing w:val="-9"/>
        </w:rPr>
        <w:t>”</w:t>
      </w:r>
      <w:r>
        <w:rPr>
          <w:spacing w:val="-9"/>
        </w:rPr>
        <w:t>的基本原则。</w:t>
      </w:r>
      <w:r>
        <w:rPr>
          <w:rFonts w:ascii="Times New Roman" w:hAnsi="Times New Roman" w:eastAsia="Times New Roman"/>
          <w:spacing w:val="-9"/>
        </w:rPr>
        <w:t>2015 </w:t>
      </w:r>
      <w:r>
        <w:rPr>
          <w:spacing w:val="-35"/>
        </w:rPr>
        <w:t>年 </w:t>
      </w:r>
      <w:r>
        <w:rPr>
          <w:rFonts w:ascii="Times New Roman" w:hAnsi="Times New Roman" w:eastAsia="Times New Roman"/>
        </w:rPr>
        <w:t>9 </w:t>
      </w:r>
      <w:r>
        <w:rPr>
          <w:spacing w:val="-17"/>
        </w:rPr>
        <w:t>月出台的《关于推进分级诊疗制度建设的指导意见》进一步明确基层医疗机构的重要性， </w:t>
      </w:r>
      <w:r>
        <w:rPr>
          <w:spacing w:val="-8"/>
        </w:rPr>
        <w:t>要求以强基层”为重点完善分级诊疗体系，加强基层医疗卫生人才队伍建设，大力提高基层医疗卫生服务能力。在分级诊疗模式下，基层医疗卫生机构是“基层首诊”责任的承担者， </w:t>
      </w:r>
      <w:r>
        <w:rPr>
          <w:spacing w:val="-13"/>
        </w:rPr>
        <w:t>在医疗保健中起着“守门人”的作用，承担着重要职能，且其主要承担常见病、慢病的诊疗服务工作，其主要治疗手段为药物治疗，因此该模式对基层医疗机构的服务能力，尤其是药</w:t>
      </w:r>
      <w:r>
        <w:rPr>
          <w:spacing w:val="-18"/>
        </w:rPr>
        <w:t>学服务的提供能力提出了更高要求。药师作为基层医疗团队的成员之一，对促进患者合理用</w:t>
      </w:r>
      <w:r>
        <w:rPr>
          <w:spacing w:val="-21"/>
        </w:rPr>
        <w:t>药和卫生资源的合理利用具有重要意义，在药学服务的实施过程中起着不可替代的作用，药</w:t>
      </w:r>
      <w:r>
        <w:rPr>
          <w:spacing w:val="-4"/>
        </w:rPr>
        <w:t>师队伍的建设情况将影响基层医疗机构药学服务的水平和质量。因此，有必要对当前我国基层医疗机构的药师队伍建设情况进行探究。</w:t>
      </w:r>
    </w:p>
    <w:p>
      <w:pPr>
        <w:pStyle w:val="BodyText"/>
        <w:spacing w:line="292" w:lineRule="exact"/>
        <w:ind w:left="717"/>
      </w:pPr>
      <w:r>
        <w:rPr>
          <w:spacing w:val="-9"/>
        </w:rPr>
        <w:t>当前，国外关于药师服务模式、服务标准和培养方式等的探索已较为深入，药师队伍建</w:t>
      </w:r>
    </w:p>
    <w:p>
      <w:pPr>
        <w:pStyle w:val="BodyText"/>
        <w:spacing w:line="297" w:lineRule="auto" w:before="72"/>
        <w:ind w:right="127"/>
      </w:pPr>
      <w:r>
        <w:rPr>
          <w:spacing w:val="-9"/>
        </w:rPr>
        <w:t>设模式相对完善。而国内在这方面的研究主要集中于基层医疗机构药学服务开展情况、药师</w:t>
      </w:r>
      <w:r>
        <w:rPr>
          <w:spacing w:val="-13"/>
        </w:rPr>
        <w:t>职责及培养制度等某几个方面，对药师队伍建设的系统性研究则相对较少。王效然，刘诗泆</w:t>
      </w:r>
      <w:r>
        <w:rPr>
          <w:spacing w:val="-20"/>
        </w:rPr>
        <w:t>等对基层医疗机构药师工作现状及其培养情况进行了研究，但缺少适当的实证分析；徐兆钰， </w:t>
      </w:r>
      <w:r>
        <w:rPr/>
        <w:t>苏湲琪等就基层医疗机构药师队伍建设问题进行了实证分析，但研究所纳入地区范围较小、</w:t>
      </w:r>
      <w:r>
        <w:rPr>
          <w:spacing w:val="-9"/>
        </w:rPr>
        <w:t>样本量较少，就全局角度而言参考价值有限。因此，结合国内外研究热点，针对现有研究的</w:t>
      </w:r>
    </w:p>
    <w:p>
      <w:pPr>
        <w:spacing w:after="0" w:line="297" w:lineRule="auto"/>
        <w:sectPr>
          <w:pgSz w:w="11910" w:h="16850"/>
          <w:pgMar w:header="906" w:footer="607" w:top="1100" w:bottom="800" w:left="1040" w:right="880"/>
        </w:sectPr>
      </w:pPr>
    </w:p>
    <w:p>
      <w:pPr>
        <w:pStyle w:val="BodyText"/>
        <w:spacing w:line="295" w:lineRule="auto" w:before="65"/>
        <w:ind w:right="247"/>
        <w:jc w:val="both"/>
      </w:pPr>
      <w:r>
        <w:rPr>
          <w:spacing w:val="-11"/>
        </w:rPr>
        <w:t>局限，本研究开展了大样本、广覆盖的基层医疗机构药师队伍建设现状调研，从全局角度了</w:t>
      </w:r>
      <w:r>
        <w:rPr>
          <w:spacing w:val="-6"/>
        </w:rPr>
        <w:t>解我国基层医疗机构药师队伍建设现状，探究药师队伍建设相关问题，以期对相关政策制度</w:t>
      </w:r>
      <w:r>
        <w:rPr/>
        <w:t>的制定提供参考。</w:t>
      </w:r>
    </w:p>
    <w:p>
      <w:pPr>
        <w:pStyle w:val="BodyText"/>
        <w:spacing w:before="5"/>
        <w:ind w:left="717"/>
      </w:pPr>
      <w:r>
        <w:rPr/>
        <w:t>综上，我国基层医疗机构药学服务现状及问题研究的第二部分将根据覆盖全国 </w:t>
      </w:r>
      <w:r>
        <w:rPr>
          <w:rFonts w:ascii="Times New Roman" w:eastAsia="Times New Roman"/>
        </w:rPr>
        <w:t>31 </w:t>
      </w:r>
      <w:r>
        <w:rPr/>
        <w:t>个省</w:t>
      </w:r>
    </w:p>
    <w:p>
      <w:pPr>
        <w:pStyle w:val="BodyText"/>
        <w:spacing w:line="295" w:lineRule="auto" w:before="72"/>
        <w:ind w:right="248"/>
        <w:jc w:val="both"/>
      </w:pPr>
      <w:r>
        <w:rPr/>
        <w:t>（</w:t>
      </w:r>
      <w:r>
        <w:rPr>
          <w:spacing w:val="-5"/>
        </w:rPr>
        <w:t>自治区、直辖市</w:t>
      </w:r>
      <w:r>
        <w:rPr>
          <w:spacing w:val="-27"/>
        </w:rPr>
        <w:t>）</w:t>
      </w:r>
      <w:r>
        <w:rPr>
          <w:spacing w:val="-7"/>
        </w:rPr>
        <w:t>的调研数据，对我国基层医疗机构药师队伍的高等教育背景、药学培训</w:t>
      </w:r>
      <w:r>
        <w:rPr/>
        <w:t>情况、从业现状和自我认知情况进行分析和探讨。</w:t>
      </w:r>
    </w:p>
    <w:p>
      <w:pPr>
        <w:pStyle w:val="ListParagraph"/>
        <w:numPr>
          <w:ilvl w:val="1"/>
          <w:numId w:val="14"/>
        </w:numPr>
        <w:tabs>
          <w:tab w:pos="1138" w:val="left" w:leader="none"/>
        </w:tabs>
        <w:spacing w:line="297" w:lineRule="auto" w:before="4" w:after="0"/>
        <w:ind w:left="237" w:right="247" w:firstLine="480"/>
        <w:jc w:val="both"/>
        <w:rPr>
          <w:sz w:val="24"/>
        </w:rPr>
      </w:pPr>
      <w:r>
        <w:rPr>
          <w:spacing w:val="-4"/>
          <w:sz w:val="24"/>
        </w:rPr>
        <w:t>研究的基本思路 通过查阅国内外相关文献，根据药学服务人员的日常工作、培训</w:t>
      </w:r>
      <w:r>
        <w:rPr>
          <w:spacing w:val="-10"/>
          <w:sz w:val="24"/>
        </w:rPr>
        <w:t>情况等内容，结合调研目标设计调查问卷；选择基层医疗机构药师和医师作为调研对象；采</w:t>
      </w:r>
      <w:r>
        <w:rPr>
          <w:spacing w:val="-7"/>
          <w:sz w:val="24"/>
        </w:rPr>
        <w:t>用当面交流的方式发放和收集问卷；通过描述性统计分析数据，得出结论；在此基础上提出</w:t>
      </w:r>
      <w:r>
        <w:rPr>
          <w:sz w:val="24"/>
        </w:rPr>
        <w:t>相应的建议。</w:t>
      </w:r>
    </w:p>
    <w:p>
      <w:pPr>
        <w:pStyle w:val="Heading3"/>
        <w:numPr>
          <w:ilvl w:val="0"/>
          <w:numId w:val="14"/>
        </w:numPr>
        <w:tabs>
          <w:tab w:pos="901" w:val="left" w:leader="none"/>
        </w:tabs>
        <w:spacing w:line="302" w:lineRule="exact" w:before="0" w:after="0"/>
        <w:ind w:left="900" w:right="0" w:hanging="181"/>
        <w:jc w:val="left"/>
        <w:rPr>
          <w:rFonts w:ascii="Times New Roman" w:eastAsia="Times New Roman"/>
          <w:sz w:val="22"/>
        </w:rPr>
      </w:pPr>
      <w:r>
        <w:rPr>
          <w:rFonts w:ascii="宋体" w:eastAsia="宋体" w:hint="eastAsia"/>
        </w:rPr>
        <w:t>研究方法</w:t>
      </w:r>
    </w:p>
    <w:p>
      <w:pPr>
        <w:pStyle w:val="BodyText"/>
        <w:spacing w:line="297" w:lineRule="auto" w:before="72"/>
        <w:ind w:right="250" w:firstLine="480"/>
        <w:jc w:val="both"/>
      </w:pPr>
      <w:r>
        <w:rPr>
          <w:spacing w:val="-7"/>
        </w:rPr>
        <w:t>参见《我国基层医疗机构药学服务现状及问题研究</w:t>
      </w:r>
      <w:r>
        <w:rPr/>
        <w:t>（一</w:t>
      </w:r>
      <w:r>
        <w:rPr>
          <w:spacing w:val="-27"/>
        </w:rPr>
        <w:t>）：</w:t>
      </w:r>
      <w:r>
        <w:rPr>
          <w:spacing w:val="-2"/>
        </w:rPr>
        <w:t>研究简介及药学服务基本条</w:t>
      </w:r>
      <w:r>
        <w:rPr/>
        <w:t>件分析》中研究方法部分。</w:t>
      </w:r>
    </w:p>
    <w:p>
      <w:pPr>
        <w:pStyle w:val="Heading3"/>
        <w:numPr>
          <w:ilvl w:val="0"/>
          <w:numId w:val="14"/>
        </w:numPr>
        <w:tabs>
          <w:tab w:pos="901" w:val="left" w:leader="none"/>
        </w:tabs>
        <w:spacing w:line="306" w:lineRule="exact" w:before="0" w:after="0"/>
        <w:ind w:left="900" w:right="0" w:hanging="181"/>
        <w:jc w:val="left"/>
        <w:rPr>
          <w:rFonts w:ascii="Times New Roman" w:eastAsia="Times New Roman"/>
          <w:sz w:val="22"/>
        </w:rPr>
      </w:pPr>
      <w:r>
        <w:rPr>
          <w:rFonts w:ascii="宋体" w:eastAsia="宋体" w:hint="eastAsia"/>
        </w:rPr>
        <w:t>研究结果</w:t>
      </w:r>
    </w:p>
    <w:p>
      <w:pPr>
        <w:pStyle w:val="ListParagraph"/>
        <w:numPr>
          <w:ilvl w:val="1"/>
          <w:numId w:val="14"/>
        </w:numPr>
        <w:tabs>
          <w:tab w:pos="1138" w:val="left" w:leader="none"/>
        </w:tabs>
        <w:spacing w:line="297" w:lineRule="auto" w:before="72" w:after="0"/>
        <w:ind w:left="237" w:right="241" w:firstLine="480"/>
        <w:jc w:val="both"/>
        <w:rPr>
          <w:sz w:val="24"/>
        </w:rPr>
      </w:pPr>
      <w:r>
        <w:rPr>
          <w:spacing w:val="-2"/>
          <w:sz w:val="24"/>
        </w:rPr>
        <w:t>问卷回收情况 经审核员对数据进行审核与筛选，共计得到有效问卷为：基层医疗</w:t>
      </w:r>
      <w:r>
        <w:rPr>
          <w:spacing w:val="-11"/>
          <w:sz w:val="24"/>
        </w:rPr>
        <w:t>机构信息问卷 </w:t>
      </w:r>
      <w:r>
        <w:rPr>
          <w:rFonts w:ascii="Times New Roman" w:eastAsia="Times New Roman"/>
          <w:sz w:val="24"/>
        </w:rPr>
        <w:t>665 </w:t>
      </w:r>
      <w:r>
        <w:rPr>
          <w:spacing w:val="-12"/>
          <w:sz w:val="24"/>
        </w:rPr>
        <w:t>份、药师问卷 </w:t>
      </w:r>
      <w:r>
        <w:rPr>
          <w:rFonts w:ascii="Times New Roman" w:eastAsia="Times New Roman"/>
          <w:sz w:val="24"/>
        </w:rPr>
        <w:t>1286 </w:t>
      </w:r>
      <w:r>
        <w:rPr>
          <w:spacing w:val="-12"/>
          <w:sz w:val="24"/>
        </w:rPr>
        <w:t>份、医师问卷 </w:t>
      </w:r>
      <w:r>
        <w:rPr>
          <w:rFonts w:ascii="Times New Roman" w:eastAsia="Times New Roman"/>
          <w:sz w:val="24"/>
        </w:rPr>
        <w:t>1978 </w:t>
      </w:r>
      <w:r>
        <w:rPr>
          <w:spacing w:val="-5"/>
          <w:sz w:val="24"/>
        </w:rPr>
        <w:t>份。</w:t>
      </w:r>
      <w:r>
        <w:rPr>
          <w:rFonts w:ascii="Times New Roman" w:eastAsia="Times New Roman"/>
          <w:sz w:val="24"/>
        </w:rPr>
        <w:t>665 </w:t>
      </w:r>
      <w:r>
        <w:rPr>
          <w:spacing w:val="-3"/>
          <w:sz w:val="24"/>
        </w:rPr>
        <w:t>家基层医疗机构中，乡镇</w:t>
      </w:r>
      <w:r>
        <w:rPr>
          <w:spacing w:val="-18"/>
          <w:sz w:val="24"/>
        </w:rPr>
        <w:t>卫生院 </w:t>
      </w:r>
      <w:r>
        <w:rPr>
          <w:rFonts w:ascii="Times New Roman" w:eastAsia="Times New Roman"/>
          <w:sz w:val="24"/>
        </w:rPr>
        <w:t>200 </w:t>
      </w:r>
      <w:r>
        <w:rPr>
          <w:spacing w:val="-111"/>
          <w:sz w:val="24"/>
        </w:rPr>
        <w:t>家</w:t>
      </w:r>
      <w:r>
        <w:rPr>
          <w:sz w:val="24"/>
        </w:rPr>
        <w:t>（</w:t>
      </w:r>
      <w:r>
        <w:rPr>
          <w:rFonts w:ascii="Times New Roman" w:eastAsia="Times New Roman"/>
          <w:sz w:val="24"/>
        </w:rPr>
        <w:t>30.1</w:t>
      </w:r>
      <w:r>
        <w:rPr>
          <w:rFonts w:ascii="Times New Roman" w:eastAsia="Times New Roman"/>
          <w:spacing w:val="-1"/>
          <w:sz w:val="24"/>
        </w:rPr>
        <w:t>%</w:t>
      </w:r>
      <w:r>
        <w:rPr>
          <w:spacing w:val="-111"/>
          <w:sz w:val="24"/>
        </w:rPr>
        <w:t>），</w:t>
      </w:r>
      <w:r>
        <w:rPr>
          <w:spacing w:val="-7"/>
          <w:sz w:val="24"/>
        </w:rPr>
        <w:t>社区卫生服务中心 </w:t>
      </w:r>
      <w:r>
        <w:rPr>
          <w:rFonts w:ascii="Times New Roman" w:eastAsia="Times New Roman"/>
          <w:sz w:val="24"/>
        </w:rPr>
        <w:t>173 </w:t>
      </w:r>
      <w:r>
        <w:rPr>
          <w:spacing w:val="-111"/>
          <w:sz w:val="24"/>
        </w:rPr>
        <w:t>家</w:t>
      </w:r>
      <w:r>
        <w:rPr>
          <w:sz w:val="24"/>
        </w:rPr>
        <w:t>（</w:t>
      </w:r>
      <w:r>
        <w:rPr>
          <w:rFonts w:ascii="Times New Roman" w:eastAsia="Times New Roman"/>
          <w:sz w:val="24"/>
        </w:rPr>
        <w:t>26.0</w:t>
      </w:r>
      <w:r>
        <w:rPr>
          <w:rFonts w:ascii="Times New Roman" w:eastAsia="Times New Roman"/>
          <w:spacing w:val="-1"/>
          <w:sz w:val="24"/>
        </w:rPr>
        <w:t>%</w:t>
      </w:r>
      <w:r>
        <w:rPr>
          <w:spacing w:val="-111"/>
          <w:sz w:val="24"/>
        </w:rPr>
        <w:t>），</w:t>
      </w:r>
      <w:r>
        <w:rPr>
          <w:spacing w:val="-8"/>
          <w:sz w:val="24"/>
        </w:rPr>
        <w:t>社区卫生服务站 </w:t>
      </w:r>
      <w:r>
        <w:rPr>
          <w:rFonts w:ascii="Times New Roman" w:eastAsia="Times New Roman"/>
          <w:sz w:val="24"/>
        </w:rPr>
        <w:t>146 </w:t>
      </w:r>
      <w:r>
        <w:rPr>
          <w:spacing w:val="-111"/>
          <w:sz w:val="24"/>
        </w:rPr>
        <w:t>家</w:t>
      </w:r>
      <w:r>
        <w:rPr>
          <w:sz w:val="24"/>
        </w:rPr>
        <w:t>（</w:t>
      </w:r>
      <w:r>
        <w:rPr>
          <w:rFonts w:ascii="Times New Roman" w:eastAsia="Times New Roman"/>
          <w:sz w:val="24"/>
        </w:rPr>
        <w:t>22.0</w:t>
      </w:r>
      <w:r>
        <w:rPr>
          <w:rFonts w:ascii="Times New Roman" w:eastAsia="Times New Roman"/>
          <w:spacing w:val="-1"/>
          <w:sz w:val="24"/>
        </w:rPr>
        <w:t>%</w:t>
      </w:r>
      <w:r>
        <w:rPr>
          <w:spacing w:val="-111"/>
          <w:sz w:val="24"/>
        </w:rPr>
        <w:t>），</w:t>
      </w:r>
      <w:r>
        <w:rPr>
          <w:spacing w:val="-13"/>
          <w:sz w:val="24"/>
        </w:rPr>
        <w:t>村卫生室 </w:t>
      </w:r>
      <w:r>
        <w:rPr>
          <w:rFonts w:ascii="Times New Roman" w:eastAsia="Times New Roman"/>
          <w:sz w:val="24"/>
        </w:rPr>
        <w:t>92</w:t>
      </w:r>
      <w:r>
        <w:rPr>
          <w:rFonts w:ascii="Times New Roman" w:eastAsia="Times New Roman"/>
          <w:spacing w:val="-1"/>
          <w:sz w:val="24"/>
        </w:rPr>
        <w:t> </w:t>
      </w:r>
      <w:r>
        <w:rPr>
          <w:sz w:val="24"/>
        </w:rPr>
        <w:t>家（</w:t>
      </w:r>
      <w:r>
        <w:rPr>
          <w:rFonts w:ascii="Times New Roman" w:eastAsia="Times New Roman"/>
          <w:sz w:val="24"/>
        </w:rPr>
        <w:t>13.8%</w:t>
      </w:r>
      <w:r>
        <w:rPr>
          <w:sz w:val="24"/>
        </w:rPr>
        <w:t>）。</w:t>
      </w:r>
    </w:p>
    <w:p>
      <w:pPr>
        <w:pStyle w:val="ListParagraph"/>
        <w:numPr>
          <w:ilvl w:val="1"/>
          <w:numId w:val="14"/>
        </w:numPr>
        <w:tabs>
          <w:tab w:pos="1078" w:val="left" w:leader="none"/>
        </w:tabs>
        <w:spacing w:line="297" w:lineRule="auto" w:before="0" w:after="0"/>
        <w:ind w:left="237" w:right="247" w:firstLine="480"/>
        <w:jc w:val="both"/>
        <w:rPr>
          <w:sz w:val="24"/>
        </w:rPr>
      </w:pPr>
      <w:r>
        <w:rPr>
          <w:spacing w:val="-3"/>
          <w:sz w:val="24"/>
        </w:rPr>
        <w:t>药师人口统计学信息 所调查样本药师的人口统计学信息如表 </w:t>
      </w:r>
      <w:r>
        <w:rPr>
          <w:rFonts w:ascii="Times New Roman" w:eastAsia="Times New Roman"/>
          <w:sz w:val="24"/>
        </w:rPr>
        <w:t>1 </w:t>
      </w:r>
      <w:r>
        <w:rPr>
          <w:spacing w:val="-15"/>
          <w:sz w:val="24"/>
        </w:rPr>
        <w:t>所示。其中，女性药</w:t>
      </w:r>
      <w:r>
        <w:rPr>
          <w:spacing w:val="-20"/>
          <w:sz w:val="24"/>
        </w:rPr>
        <w:t>师为 </w:t>
      </w:r>
      <w:r>
        <w:rPr>
          <w:rFonts w:ascii="Times New Roman" w:eastAsia="Times New Roman"/>
          <w:spacing w:val="-3"/>
          <w:sz w:val="24"/>
        </w:rPr>
        <w:t>70.3%</w:t>
      </w:r>
      <w:r>
        <w:rPr>
          <w:spacing w:val="-11"/>
          <w:sz w:val="24"/>
        </w:rPr>
        <w:t>，男性药师为 </w:t>
      </w:r>
      <w:r>
        <w:rPr>
          <w:rFonts w:ascii="Times New Roman" w:eastAsia="Times New Roman"/>
          <w:sz w:val="24"/>
        </w:rPr>
        <w:t>29.7%</w:t>
      </w:r>
      <w:r>
        <w:rPr>
          <w:spacing w:val="-9"/>
          <w:sz w:val="24"/>
        </w:rPr>
        <w:t>。药师的年龄主要集中于 </w:t>
      </w:r>
      <w:r>
        <w:rPr>
          <w:rFonts w:ascii="Times New Roman" w:eastAsia="Times New Roman"/>
          <w:sz w:val="24"/>
        </w:rPr>
        <w:t>20-40</w:t>
      </w:r>
      <w:r>
        <w:rPr>
          <w:rFonts w:ascii="Times New Roman" w:eastAsia="Times New Roman"/>
          <w:spacing w:val="1"/>
          <w:sz w:val="24"/>
        </w:rPr>
        <w:t> </w:t>
      </w:r>
      <w:r>
        <w:rPr>
          <w:spacing w:val="-17"/>
          <w:sz w:val="24"/>
        </w:rPr>
        <w:t>岁</w:t>
      </w:r>
      <w:r>
        <w:rPr>
          <w:spacing w:val="-5"/>
          <w:sz w:val="24"/>
        </w:rPr>
        <w:t>（</w:t>
      </w:r>
      <w:r>
        <w:rPr>
          <w:rFonts w:ascii="Times New Roman" w:eastAsia="Times New Roman"/>
          <w:spacing w:val="-5"/>
          <w:sz w:val="24"/>
        </w:rPr>
        <w:t>66.2%</w:t>
      </w:r>
      <w:r>
        <w:rPr>
          <w:spacing w:val="-5"/>
          <w:sz w:val="24"/>
        </w:rPr>
        <w:t>），</w:t>
      </w:r>
      <w:r>
        <w:rPr>
          <w:spacing w:val="-20"/>
          <w:sz w:val="24"/>
        </w:rPr>
        <w:t>处于 </w:t>
      </w:r>
      <w:r>
        <w:rPr>
          <w:rFonts w:ascii="Times New Roman" w:eastAsia="Times New Roman"/>
          <w:sz w:val="24"/>
        </w:rPr>
        <w:t>20-30</w:t>
      </w:r>
      <w:r>
        <w:rPr>
          <w:rFonts w:ascii="Times New Roman" w:eastAsia="Times New Roman"/>
          <w:spacing w:val="2"/>
          <w:sz w:val="24"/>
        </w:rPr>
        <w:t> </w:t>
      </w:r>
      <w:r>
        <w:rPr>
          <w:sz w:val="24"/>
        </w:rPr>
        <w:t>岁</w:t>
      </w:r>
      <w:r>
        <w:rPr>
          <w:spacing w:val="-30"/>
          <w:sz w:val="24"/>
        </w:rPr>
        <w:t>和 </w:t>
      </w:r>
      <w:r>
        <w:rPr>
          <w:rFonts w:ascii="Times New Roman" w:eastAsia="Times New Roman"/>
          <w:sz w:val="24"/>
        </w:rPr>
        <w:t>30-40</w:t>
      </w:r>
      <w:r>
        <w:rPr>
          <w:rFonts w:ascii="Times New Roman" w:eastAsia="Times New Roman"/>
          <w:spacing w:val="-1"/>
          <w:sz w:val="24"/>
        </w:rPr>
        <w:t> </w:t>
      </w:r>
      <w:r>
        <w:rPr>
          <w:spacing w:val="-7"/>
          <w:sz w:val="24"/>
        </w:rPr>
        <w:t>岁的比例基本持平，分别为 </w:t>
      </w:r>
      <w:r>
        <w:rPr>
          <w:rFonts w:ascii="Times New Roman" w:eastAsia="Times New Roman"/>
          <w:sz w:val="24"/>
        </w:rPr>
        <w:t>30.6%</w:t>
      </w:r>
      <w:r>
        <w:rPr>
          <w:spacing w:val="-17"/>
          <w:sz w:val="24"/>
        </w:rPr>
        <w:t>、</w:t>
      </w:r>
      <w:r>
        <w:rPr>
          <w:rFonts w:ascii="Times New Roman" w:eastAsia="Times New Roman"/>
          <w:spacing w:val="-3"/>
          <w:sz w:val="24"/>
        </w:rPr>
        <w:t>35.6%</w:t>
      </w:r>
      <w:r>
        <w:rPr>
          <w:spacing w:val="-14"/>
          <w:sz w:val="24"/>
        </w:rPr>
        <w:t>；其次为 </w:t>
      </w:r>
      <w:r>
        <w:rPr>
          <w:rFonts w:ascii="Times New Roman" w:eastAsia="Times New Roman"/>
          <w:sz w:val="24"/>
        </w:rPr>
        <w:t>40-60</w:t>
      </w:r>
      <w:r>
        <w:rPr>
          <w:rFonts w:ascii="Times New Roman" w:eastAsia="Times New Roman"/>
          <w:spacing w:val="1"/>
          <w:sz w:val="24"/>
        </w:rPr>
        <w:t> </w:t>
      </w:r>
      <w:r>
        <w:rPr>
          <w:spacing w:val="-15"/>
          <w:sz w:val="24"/>
        </w:rPr>
        <w:t>岁</w:t>
      </w:r>
      <w:r>
        <w:rPr>
          <w:spacing w:val="-5"/>
          <w:sz w:val="24"/>
        </w:rPr>
        <w:t>（</w:t>
      </w:r>
      <w:r>
        <w:rPr>
          <w:rFonts w:ascii="Times New Roman" w:eastAsia="Times New Roman"/>
          <w:spacing w:val="-5"/>
          <w:sz w:val="24"/>
        </w:rPr>
        <w:t>31.1%</w:t>
      </w:r>
      <w:r>
        <w:rPr>
          <w:spacing w:val="-5"/>
          <w:sz w:val="24"/>
        </w:rPr>
        <w:t>）</w:t>
      </w:r>
      <w:r>
        <w:rPr>
          <w:spacing w:val="-17"/>
          <w:sz w:val="24"/>
        </w:rPr>
        <w:t>；另有 </w:t>
      </w:r>
      <w:r>
        <w:rPr>
          <w:rFonts w:ascii="Times New Roman" w:eastAsia="Times New Roman"/>
          <w:spacing w:val="-3"/>
          <w:sz w:val="24"/>
        </w:rPr>
        <w:t>2.5% </w:t>
      </w:r>
      <w:r>
        <w:rPr>
          <w:spacing w:val="-9"/>
          <w:sz w:val="24"/>
        </w:rPr>
        <w:t>的药师年龄在 </w:t>
      </w:r>
      <w:r>
        <w:rPr>
          <w:rFonts w:ascii="Times New Roman" w:eastAsia="Times New Roman"/>
          <w:sz w:val="24"/>
        </w:rPr>
        <w:t>60 </w:t>
      </w:r>
      <w:r>
        <w:rPr>
          <w:sz w:val="24"/>
        </w:rPr>
        <w:t>岁以上。</w:t>
      </w:r>
    </w:p>
    <w:p>
      <w:pPr>
        <w:spacing w:line="232" w:lineRule="exact" w:before="0" w:after="6"/>
        <w:ind w:left="599" w:right="0" w:firstLine="0"/>
        <w:jc w:val="left"/>
        <w:rPr>
          <w:rFonts w:ascii="华文楷体" w:eastAsia="华文楷体" w:hint="eastAsia"/>
          <w:sz w:val="18"/>
        </w:rPr>
      </w:pPr>
      <w:r>
        <w:rPr>
          <w:rFonts w:ascii="华文楷体" w:eastAsia="华文楷体" w:hint="eastAsia"/>
          <w:sz w:val="18"/>
        </w:rPr>
        <w:t>表1：药师人口统计学信息</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3"/>
        <w:gridCol w:w="3228"/>
        <w:gridCol w:w="3069"/>
      </w:tblGrid>
      <w:tr>
        <w:trPr>
          <w:trHeight w:val="310" w:hRule="atLeast"/>
        </w:trPr>
        <w:tc>
          <w:tcPr>
            <w:tcW w:w="3433" w:type="dxa"/>
            <w:tcBorders>
              <w:top w:val="single" w:sz="4" w:space="0" w:color="7E7E7E"/>
            </w:tcBorders>
          </w:tcPr>
          <w:p>
            <w:pPr>
              <w:pStyle w:val="TableParagraph"/>
              <w:spacing w:before="58"/>
              <w:ind w:left="1823" w:right="1267"/>
              <w:jc w:val="center"/>
              <w:rPr>
                <w:b/>
                <w:sz w:val="15"/>
              </w:rPr>
            </w:pPr>
            <w:r>
              <w:rPr>
                <w:b/>
                <w:sz w:val="15"/>
              </w:rPr>
              <w:t>项目</w:t>
            </w:r>
          </w:p>
        </w:tc>
        <w:tc>
          <w:tcPr>
            <w:tcW w:w="3228" w:type="dxa"/>
            <w:tcBorders>
              <w:top w:val="single" w:sz="4" w:space="0" w:color="7E7E7E"/>
            </w:tcBorders>
          </w:tcPr>
          <w:p>
            <w:pPr>
              <w:pStyle w:val="TableParagraph"/>
              <w:spacing w:before="58"/>
              <w:ind w:left="1626" w:right="1259"/>
              <w:jc w:val="center"/>
              <w:rPr>
                <w:b/>
                <w:sz w:val="15"/>
              </w:rPr>
            </w:pPr>
            <w:r>
              <w:rPr>
                <w:b/>
                <w:sz w:val="15"/>
              </w:rPr>
              <w:t>频数</w:t>
            </w:r>
          </w:p>
        </w:tc>
        <w:tc>
          <w:tcPr>
            <w:tcW w:w="3069" w:type="dxa"/>
            <w:tcBorders>
              <w:top w:val="single" w:sz="4" w:space="0" w:color="7E7E7E"/>
            </w:tcBorders>
          </w:tcPr>
          <w:p>
            <w:pPr>
              <w:pStyle w:val="TableParagraph"/>
              <w:spacing w:before="58"/>
              <w:ind w:left="1354"/>
              <w:rPr>
                <w:b/>
                <w:sz w:val="15"/>
              </w:rPr>
            </w:pPr>
            <w:r>
              <w:rPr>
                <w:b/>
                <w:sz w:val="15"/>
              </w:rPr>
              <w:t>有效百分比/%</w:t>
            </w:r>
          </w:p>
        </w:tc>
      </w:tr>
      <w:tr>
        <w:trPr>
          <w:trHeight w:val="309" w:hRule="atLeast"/>
        </w:trPr>
        <w:tc>
          <w:tcPr>
            <w:tcW w:w="3433" w:type="dxa"/>
          </w:tcPr>
          <w:p>
            <w:pPr>
              <w:pStyle w:val="TableParagraph"/>
              <w:ind w:left="842"/>
              <w:rPr>
                <w:sz w:val="15"/>
              </w:rPr>
            </w:pPr>
            <w:r>
              <w:rPr>
                <w:sz w:val="15"/>
              </w:rPr>
              <w:t>性别</w:t>
            </w:r>
          </w:p>
        </w:tc>
        <w:tc>
          <w:tcPr>
            <w:tcW w:w="3228" w:type="dxa"/>
          </w:tcPr>
          <w:p>
            <w:pPr>
              <w:pStyle w:val="TableParagraph"/>
              <w:spacing w:before="0"/>
              <w:rPr>
                <w:rFonts w:ascii="Times New Roman"/>
                <w:sz w:val="22"/>
              </w:rPr>
            </w:pPr>
          </w:p>
        </w:tc>
        <w:tc>
          <w:tcPr>
            <w:tcW w:w="3069" w:type="dxa"/>
          </w:tcPr>
          <w:p>
            <w:pPr>
              <w:pStyle w:val="TableParagraph"/>
              <w:spacing w:before="0"/>
              <w:rPr>
                <w:rFonts w:ascii="Times New Roman"/>
                <w:sz w:val="22"/>
              </w:rPr>
            </w:pPr>
          </w:p>
        </w:tc>
      </w:tr>
      <w:tr>
        <w:trPr>
          <w:trHeight w:val="318" w:hRule="atLeast"/>
        </w:trPr>
        <w:tc>
          <w:tcPr>
            <w:tcW w:w="3433" w:type="dxa"/>
          </w:tcPr>
          <w:p>
            <w:pPr>
              <w:pStyle w:val="TableParagraph"/>
              <w:spacing w:before="62"/>
              <w:ind w:left="242"/>
              <w:rPr>
                <w:sz w:val="15"/>
              </w:rPr>
            </w:pPr>
            <w:r>
              <w:rPr>
                <w:w w:val="100"/>
                <w:sz w:val="15"/>
              </w:rPr>
              <w:t>男</w:t>
            </w:r>
          </w:p>
        </w:tc>
        <w:tc>
          <w:tcPr>
            <w:tcW w:w="3228" w:type="dxa"/>
          </w:tcPr>
          <w:p>
            <w:pPr>
              <w:pStyle w:val="TableParagraph"/>
              <w:spacing w:before="72"/>
              <w:ind w:left="1322"/>
              <w:rPr>
                <w:rFonts w:ascii="Times New Roman"/>
                <w:sz w:val="15"/>
              </w:rPr>
            </w:pPr>
            <w:r>
              <w:rPr>
                <w:rFonts w:ascii="Times New Roman"/>
                <w:sz w:val="15"/>
              </w:rPr>
              <w:t>382</w:t>
            </w:r>
          </w:p>
        </w:tc>
        <w:tc>
          <w:tcPr>
            <w:tcW w:w="3069" w:type="dxa"/>
          </w:tcPr>
          <w:p>
            <w:pPr>
              <w:pStyle w:val="TableParagraph"/>
              <w:spacing w:before="72"/>
              <w:ind w:left="1316"/>
              <w:rPr>
                <w:rFonts w:ascii="Times New Roman"/>
                <w:sz w:val="15"/>
              </w:rPr>
            </w:pPr>
            <w:r>
              <w:rPr>
                <w:rFonts w:ascii="Times New Roman"/>
                <w:sz w:val="15"/>
              </w:rPr>
              <w:t>29.7</w:t>
            </w:r>
          </w:p>
        </w:tc>
      </w:tr>
      <w:tr>
        <w:trPr>
          <w:trHeight w:val="312" w:hRule="atLeast"/>
        </w:trPr>
        <w:tc>
          <w:tcPr>
            <w:tcW w:w="3433" w:type="dxa"/>
          </w:tcPr>
          <w:p>
            <w:pPr>
              <w:pStyle w:val="TableParagraph"/>
              <w:spacing w:before="57"/>
              <w:ind w:left="242"/>
              <w:rPr>
                <w:sz w:val="15"/>
              </w:rPr>
            </w:pPr>
            <w:r>
              <w:rPr>
                <w:w w:val="100"/>
                <w:sz w:val="15"/>
              </w:rPr>
              <w:t>女</w:t>
            </w:r>
          </w:p>
        </w:tc>
        <w:tc>
          <w:tcPr>
            <w:tcW w:w="3228" w:type="dxa"/>
          </w:tcPr>
          <w:p>
            <w:pPr>
              <w:pStyle w:val="TableParagraph"/>
              <w:spacing w:before="67"/>
              <w:ind w:left="1322"/>
              <w:rPr>
                <w:rFonts w:ascii="Times New Roman"/>
                <w:sz w:val="15"/>
              </w:rPr>
            </w:pPr>
            <w:r>
              <w:rPr>
                <w:rFonts w:ascii="Times New Roman"/>
                <w:sz w:val="15"/>
              </w:rPr>
              <w:t>904</w:t>
            </w:r>
          </w:p>
        </w:tc>
        <w:tc>
          <w:tcPr>
            <w:tcW w:w="3069" w:type="dxa"/>
          </w:tcPr>
          <w:p>
            <w:pPr>
              <w:pStyle w:val="TableParagraph"/>
              <w:spacing w:before="67"/>
              <w:ind w:left="1316"/>
              <w:rPr>
                <w:rFonts w:ascii="Times New Roman"/>
                <w:sz w:val="15"/>
              </w:rPr>
            </w:pPr>
            <w:r>
              <w:rPr>
                <w:rFonts w:ascii="Times New Roman"/>
                <w:sz w:val="15"/>
              </w:rPr>
              <w:t>70.3</w:t>
            </w:r>
          </w:p>
        </w:tc>
      </w:tr>
      <w:tr>
        <w:trPr>
          <w:trHeight w:val="314" w:hRule="atLeast"/>
        </w:trPr>
        <w:tc>
          <w:tcPr>
            <w:tcW w:w="3433" w:type="dxa"/>
          </w:tcPr>
          <w:p>
            <w:pPr>
              <w:pStyle w:val="TableParagraph"/>
              <w:spacing w:before="57"/>
              <w:ind w:left="242"/>
              <w:rPr>
                <w:sz w:val="15"/>
              </w:rPr>
            </w:pPr>
            <w:r>
              <w:rPr>
                <w:sz w:val="15"/>
              </w:rPr>
              <w:t>合计</w:t>
            </w:r>
          </w:p>
        </w:tc>
        <w:tc>
          <w:tcPr>
            <w:tcW w:w="3228" w:type="dxa"/>
          </w:tcPr>
          <w:p>
            <w:pPr>
              <w:pStyle w:val="TableParagraph"/>
              <w:spacing w:before="67"/>
              <w:ind w:left="1286"/>
              <w:rPr>
                <w:rFonts w:ascii="Times New Roman"/>
                <w:sz w:val="15"/>
              </w:rPr>
            </w:pPr>
            <w:r>
              <w:rPr>
                <w:rFonts w:ascii="Times New Roman"/>
                <w:sz w:val="15"/>
              </w:rPr>
              <w:t>1286</w:t>
            </w:r>
          </w:p>
        </w:tc>
        <w:tc>
          <w:tcPr>
            <w:tcW w:w="3069" w:type="dxa"/>
          </w:tcPr>
          <w:p>
            <w:pPr>
              <w:pStyle w:val="TableParagraph"/>
              <w:spacing w:before="67"/>
              <w:ind w:left="1277"/>
              <w:rPr>
                <w:rFonts w:ascii="Times New Roman"/>
                <w:sz w:val="15"/>
              </w:rPr>
            </w:pPr>
            <w:r>
              <w:rPr>
                <w:rFonts w:ascii="Times New Roman"/>
                <w:sz w:val="15"/>
              </w:rPr>
              <w:t>100.0</w:t>
            </w:r>
          </w:p>
        </w:tc>
      </w:tr>
      <w:tr>
        <w:trPr>
          <w:trHeight w:val="303" w:hRule="atLeast"/>
        </w:trPr>
        <w:tc>
          <w:tcPr>
            <w:tcW w:w="3433" w:type="dxa"/>
          </w:tcPr>
          <w:p>
            <w:pPr>
              <w:pStyle w:val="TableParagraph"/>
              <w:spacing w:before="54"/>
              <w:ind w:left="842"/>
              <w:rPr>
                <w:sz w:val="15"/>
              </w:rPr>
            </w:pPr>
            <w:r>
              <w:rPr>
                <w:sz w:val="15"/>
              </w:rPr>
              <w:t>年龄</w:t>
            </w:r>
          </w:p>
        </w:tc>
        <w:tc>
          <w:tcPr>
            <w:tcW w:w="3228" w:type="dxa"/>
          </w:tcPr>
          <w:p>
            <w:pPr>
              <w:pStyle w:val="TableParagraph"/>
              <w:spacing w:before="0"/>
              <w:rPr>
                <w:rFonts w:ascii="Times New Roman"/>
                <w:sz w:val="22"/>
              </w:rPr>
            </w:pPr>
          </w:p>
        </w:tc>
        <w:tc>
          <w:tcPr>
            <w:tcW w:w="3069" w:type="dxa"/>
          </w:tcPr>
          <w:p>
            <w:pPr>
              <w:pStyle w:val="TableParagraph"/>
              <w:spacing w:before="0"/>
              <w:rPr>
                <w:rFonts w:ascii="Times New Roman"/>
                <w:sz w:val="22"/>
              </w:rPr>
            </w:pPr>
          </w:p>
        </w:tc>
      </w:tr>
      <w:tr>
        <w:trPr>
          <w:trHeight w:val="317" w:hRule="atLeast"/>
        </w:trPr>
        <w:tc>
          <w:tcPr>
            <w:tcW w:w="3433" w:type="dxa"/>
          </w:tcPr>
          <w:p>
            <w:pPr>
              <w:pStyle w:val="TableParagraph"/>
              <w:spacing w:before="62"/>
              <w:ind w:left="242"/>
              <w:rPr>
                <w:sz w:val="15"/>
              </w:rPr>
            </w:pPr>
            <w:r>
              <w:rPr>
                <w:sz w:val="15"/>
              </w:rPr>
              <w:t>10-20 岁</w:t>
            </w:r>
          </w:p>
        </w:tc>
        <w:tc>
          <w:tcPr>
            <w:tcW w:w="3228" w:type="dxa"/>
          </w:tcPr>
          <w:p>
            <w:pPr>
              <w:pStyle w:val="TableParagraph"/>
              <w:spacing w:before="72"/>
              <w:ind w:left="1399"/>
              <w:rPr>
                <w:rFonts w:ascii="Times New Roman"/>
                <w:sz w:val="15"/>
              </w:rPr>
            </w:pPr>
            <w:r>
              <w:rPr>
                <w:rFonts w:ascii="Times New Roman"/>
                <w:w w:val="100"/>
                <w:sz w:val="15"/>
              </w:rPr>
              <w:t>2</w:t>
            </w:r>
          </w:p>
        </w:tc>
        <w:tc>
          <w:tcPr>
            <w:tcW w:w="3069" w:type="dxa"/>
          </w:tcPr>
          <w:p>
            <w:pPr>
              <w:pStyle w:val="TableParagraph"/>
              <w:spacing w:before="72"/>
              <w:ind w:left="1354"/>
              <w:rPr>
                <w:rFonts w:ascii="Times New Roman"/>
                <w:sz w:val="15"/>
              </w:rPr>
            </w:pPr>
            <w:r>
              <w:rPr>
                <w:rFonts w:ascii="Times New Roman"/>
                <w:sz w:val="15"/>
              </w:rPr>
              <w:t>0.2</w:t>
            </w:r>
          </w:p>
        </w:tc>
      </w:tr>
      <w:tr>
        <w:trPr>
          <w:trHeight w:val="311" w:hRule="atLeast"/>
        </w:trPr>
        <w:tc>
          <w:tcPr>
            <w:tcW w:w="3433" w:type="dxa"/>
          </w:tcPr>
          <w:p>
            <w:pPr>
              <w:pStyle w:val="TableParagraph"/>
              <w:spacing w:before="57"/>
              <w:ind w:left="242"/>
              <w:rPr>
                <w:sz w:val="15"/>
              </w:rPr>
            </w:pPr>
            <w:r>
              <w:rPr>
                <w:sz w:val="15"/>
              </w:rPr>
              <w:t>20-30 岁</w:t>
            </w:r>
          </w:p>
        </w:tc>
        <w:tc>
          <w:tcPr>
            <w:tcW w:w="3228" w:type="dxa"/>
          </w:tcPr>
          <w:p>
            <w:pPr>
              <w:pStyle w:val="TableParagraph"/>
              <w:spacing w:before="67"/>
              <w:ind w:left="1322"/>
              <w:rPr>
                <w:rFonts w:ascii="Times New Roman"/>
                <w:sz w:val="15"/>
              </w:rPr>
            </w:pPr>
            <w:r>
              <w:rPr>
                <w:rFonts w:ascii="Times New Roman"/>
                <w:sz w:val="15"/>
              </w:rPr>
              <w:t>394</w:t>
            </w:r>
          </w:p>
        </w:tc>
        <w:tc>
          <w:tcPr>
            <w:tcW w:w="3069" w:type="dxa"/>
          </w:tcPr>
          <w:p>
            <w:pPr>
              <w:pStyle w:val="TableParagraph"/>
              <w:spacing w:before="67"/>
              <w:ind w:left="1316"/>
              <w:rPr>
                <w:rFonts w:ascii="Times New Roman"/>
                <w:sz w:val="15"/>
              </w:rPr>
            </w:pPr>
            <w:r>
              <w:rPr>
                <w:rFonts w:ascii="Times New Roman"/>
                <w:sz w:val="15"/>
              </w:rPr>
              <w:t>30.6</w:t>
            </w:r>
          </w:p>
        </w:tc>
      </w:tr>
      <w:tr>
        <w:trPr>
          <w:trHeight w:val="311" w:hRule="atLeast"/>
        </w:trPr>
        <w:tc>
          <w:tcPr>
            <w:tcW w:w="3433" w:type="dxa"/>
          </w:tcPr>
          <w:p>
            <w:pPr>
              <w:pStyle w:val="TableParagraph"/>
              <w:spacing w:before="57"/>
              <w:ind w:left="242"/>
              <w:rPr>
                <w:sz w:val="15"/>
              </w:rPr>
            </w:pPr>
            <w:r>
              <w:rPr>
                <w:sz w:val="15"/>
              </w:rPr>
              <w:t>30-40 岁</w:t>
            </w:r>
          </w:p>
        </w:tc>
        <w:tc>
          <w:tcPr>
            <w:tcW w:w="3228" w:type="dxa"/>
          </w:tcPr>
          <w:p>
            <w:pPr>
              <w:pStyle w:val="TableParagraph"/>
              <w:spacing w:before="67"/>
              <w:ind w:left="1322"/>
              <w:rPr>
                <w:rFonts w:ascii="Times New Roman"/>
                <w:sz w:val="15"/>
              </w:rPr>
            </w:pPr>
            <w:r>
              <w:rPr>
                <w:rFonts w:ascii="Times New Roman"/>
                <w:sz w:val="15"/>
              </w:rPr>
              <w:t>458</w:t>
            </w:r>
          </w:p>
        </w:tc>
        <w:tc>
          <w:tcPr>
            <w:tcW w:w="3069" w:type="dxa"/>
          </w:tcPr>
          <w:p>
            <w:pPr>
              <w:pStyle w:val="TableParagraph"/>
              <w:spacing w:before="67"/>
              <w:ind w:left="1316"/>
              <w:rPr>
                <w:rFonts w:ascii="Times New Roman"/>
                <w:sz w:val="15"/>
              </w:rPr>
            </w:pPr>
            <w:r>
              <w:rPr>
                <w:rFonts w:ascii="Times New Roman"/>
                <w:sz w:val="15"/>
              </w:rPr>
              <w:t>35.6</w:t>
            </w:r>
          </w:p>
        </w:tc>
      </w:tr>
      <w:tr>
        <w:trPr>
          <w:trHeight w:val="312" w:hRule="atLeast"/>
        </w:trPr>
        <w:tc>
          <w:tcPr>
            <w:tcW w:w="3433" w:type="dxa"/>
          </w:tcPr>
          <w:p>
            <w:pPr>
              <w:pStyle w:val="TableParagraph"/>
              <w:spacing w:before="57"/>
              <w:ind w:left="242"/>
              <w:rPr>
                <w:sz w:val="15"/>
              </w:rPr>
            </w:pPr>
            <w:r>
              <w:rPr>
                <w:sz w:val="15"/>
              </w:rPr>
              <w:t>40-60 岁</w:t>
            </w:r>
          </w:p>
        </w:tc>
        <w:tc>
          <w:tcPr>
            <w:tcW w:w="3228" w:type="dxa"/>
          </w:tcPr>
          <w:p>
            <w:pPr>
              <w:pStyle w:val="TableParagraph"/>
              <w:spacing w:before="67"/>
              <w:ind w:left="1322"/>
              <w:rPr>
                <w:rFonts w:ascii="Times New Roman"/>
                <w:sz w:val="15"/>
              </w:rPr>
            </w:pPr>
            <w:r>
              <w:rPr>
                <w:rFonts w:ascii="Times New Roman"/>
                <w:sz w:val="15"/>
              </w:rPr>
              <w:t>400</w:t>
            </w:r>
          </w:p>
        </w:tc>
        <w:tc>
          <w:tcPr>
            <w:tcW w:w="3069" w:type="dxa"/>
          </w:tcPr>
          <w:p>
            <w:pPr>
              <w:pStyle w:val="TableParagraph"/>
              <w:spacing w:before="67"/>
              <w:ind w:left="1316"/>
              <w:rPr>
                <w:rFonts w:ascii="Times New Roman"/>
                <w:sz w:val="15"/>
              </w:rPr>
            </w:pPr>
            <w:r>
              <w:rPr>
                <w:rFonts w:ascii="Times New Roman"/>
                <w:sz w:val="15"/>
              </w:rPr>
              <w:t>31.1</w:t>
            </w:r>
          </w:p>
        </w:tc>
      </w:tr>
      <w:tr>
        <w:trPr>
          <w:trHeight w:val="311" w:hRule="atLeast"/>
        </w:trPr>
        <w:tc>
          <w:tcPr>
            <w:tcW w:w="3433" w:type="dxa"/>
          </w:tcPr>
          <w:p>
            <w:pPr>
              <w:pStyle w:val="TableParagraph"/>
              <w:spacing w:before="57"/>
              <w:ind w:left="242"/>
              <w:rPr>
                <w:sz w:val="15"/>
              </w:rPr>
            </w:pPr>
            <w:r>
              <w:rPr>
                <w:sz w:val="15"/>
              </w:rPr>
              <w:t>60 岁以上</w:t>
            </w:r>
          </w:p>
        </w:tc>
        <w:tc>
          <w:tcPr>
            <w:tcW w:w="3228" w:type="dxa"/>
          </w:tcPr>
          <w:p>
            <w:pPr>
              <w:pStyle w:val="TableParagraph"/>
              <w:spacing w:before="67"/>
              <w:ind w:left="1360"/>
              <w:rPr>
                <w:rFonts w:ascii="Times New Roman"/>
                <w:sz w:val="15"/>
              </w:rPr>
            </w:pPr>
            <w:r>
              <w:rPr>
                <w:rFonts w:ascii="Times New Roman"/>
                <w:sz w:val="15"/>
              </w:rPr>
              <w:t>32</w:t>
            </w:r>
          </w:p>
        </w:tc>
        <w:tc>
          <w:tcPr>
            <w:tcW w:w="3069" w:type="dxa"/>
          </w:tcPr>
          <w:p>
            <w:pPr>
              <w:pStyle w:val="TableParagraph"/>
              <w:spacing w:before="67"/>
              <w:ind w:left="1354"/>
              <w:rPr>
                <w:rFonts w:ascii="Times New Roman"/>
                <w:sz w:val="15"/>
              </w:rPr>
            </w:pPr>
            <w:r>
              <w:rPr>
                <w:rFonts w:ascii="Times New Roman"/>
                <w:sz w:val="15"/>
              </w:rPr>
              <w:t>2.5</w:t>
            </w:r>
          </w:p>
        </w:tc>
      </w:tr>
      <w:tr>
        <w:trPr>
          <w:trHeight w:val="310" w:hRule="atLeast"/>
        </w:trPr>
        <w:tc>
          <w:tcPr>
            <w:tcW w:w="3433" w:type="dxa"/>
            <w:tcBorders>
              <w:bottom w:val="single" w:sz="4" w:space="0" w:color="7E7E7E"/>
            </w:tcBorders>
          </w:tcPr>
          <w:p>
            <w:pPr>
              <w:pStyle w:val="TableParagraph"/>
              <w:spacing w:before="57"/>
              <w:ind w:left="242"/>
              <w:rPr>
                <w:sz w:val="15"/>
              </w:rPr>
            </w:pPr>
            <w:r>
              <w:rPr>
                <w:sz w:val="15"/>
              </w:rPr>
              <w:t>合计</w:t>
            </w:r>
          </w:p>
        </w:tc>
        <w:tc>
          <w:tcPr>
            <w:tcW w:w="3228" w:type="dxa"/>
            <w:tcBorders>
              <w:bottom w:val="single" w:sz="4" w:space="0" w:color="7E7E7E"/>
            </w:tcBorders>
          </w:tcPr>
          <w:p>
            <w:pPr>
              <w:pStyle w:val="TableParagraph"/>
              <w:spacing w:before="67"/>
              <w:ind w:left="1286"/>
              <w:rPr>
                <w:rFonts w:ascii="Times New Roman"/>
                <w:sz w:val="15"/>
              </w:rPr>
            </w:pPr>
            <w:r>
              <w:rPr>
                <w:rFonts w:ascii="Times New Roman"/>
                <w:sz w:val="15"/>
              </w:rPr>
              <w:t>1286</w:t>
            </w:r>
          </w:p>
        </w:tc>
        <w:tc>
          <w:tcPr>
            <w:tcW w:w="3069" w:type="dxa"/>
            <w:tcBorders>
              <w:bottom w:val="single" w:sz="4" w:space="0" w:color="7E7E7E"/>
            </w:tcBorders>
          </w:tcPr>
          <w:p>
            <w:pPr>
              <w:pStyle w:val="TableParagraph"/>
              <w:spacing w:before="67"/>
              <w:ind w:left="1277"/>
              <w:rPr>
                <w:rFonts w:ascii="Times New Roman"/>
                <w:sz w:val="15"/>
              </w:rPr>
            </w:pPr>
            <w:r>
              <w:rPr>
                <w:rFonts w:ascii="Times New Roman"/>
                <w:sz w:val="15"/>
              </w:rPr>
              <w:t>100.0</w:t>
            </w:r>
          </w:p>
        </w:tc>
      </w:tr>
    </w:tbl>
    <w:p>
      <w:pPr>
        <w:pStyle w:val="ListParagraph"/>
        <w:numPr>
          <w:ilvl w:val="1"/>
          <w:numId w:val="14"/>
        </w:numPr>
        <w:tabs>
          <w:tab w:pos="1138" w:val="left" w:leader="none"/>
        </w:tabs>
        <w:spacing w:line="297" w:lineRule="auto" w:before="64" w:after="0"/>
        <w:ind w:left="237" w:right="128" w:firstLine="480"/>
        <w:jc w:val="left"/>
        <w:rPr>
          <w:sz w:val="24"/>
        </w:rPr>
      </w:pPr>
      <w:r>
        <w:rPr>
          <w:spacing w:val="-3"/>
          <w:sz w:val="24"/>
        </w:rPr>
        <w:t>药师高等教育背景 所调查样本药师的高等教育背景情况如表 </w:t>
      </w:r>
      <w:r>
        <w:rPr>
          <w:rFonts w:ascii="Times New Roman" w:eastAsia="Times New Roman"/>
          <w:sz w:val="24"/>
        </w:rPr>
        <w:t>2 </w:t>
      </w:r>
      <w:r>
        <w:rPr>
          <w:sz w:val="24"/>
        </w:rPr>
        <w:t>所示。药师的学历</w:t>
      </w:r>
      <w:r>
        <w:rPr>
          <w:spacing w:val="-9"/>
          <w:sz w:val="24"/>
        </w:rPr>
        <w:t>主要集中于大专（</w:t>
      </w:r>
      <w:r>
        <w:rPr>
          <w:rFonts w:ascii="Times New Roman" w:eastAsia="Times New Roman"/>
          <w:spacing w:val="-9"/>
          <w:sz w:val="24"/>
        </w:rPr>
        <w:t>38.1%</w:t>
      </w:r>
      <w:r>
        <w:rPr>
          <w:spacing w:val="-9"/>
          <w:sz w:val="24"/>
        </w:rPr>
        <w:t>）</w:t>
      </w:r>
      <w:r>
        <w:rPr>
          <w:spacing w:val="-20"/>
          <w:sz w:val="24"/>
        </w:rPr>
        <w:t>和本科</w:t>
      </w:r>
      <w:r>
        <w:rPr>
          <w:spacing w:val="-16"/>
          <w:sz w:val="24"/>
        </w:rPr>
        <w:t>（</w:t>
      </w:r>
      <w:r>
        <w:rPr>
          <w:rFonts w:ascii="Times New Roman" w:eastAsia="Times New Roman"/>
          <w:spacing w:val="-16"/>
          <w:sz w:val="24"/>
        </w:rPr>
        <w:t>36.9%</w:t>
      </w:r>
      <w:r>
        <w:rPr>
          <w:spacing w:val="-16"/>
          <w:sz w:val="24"/>
        </w:rPr>
        <w:t>），</w:t>
      </w:r>
      <w:r>
        <w:rPr>
          <w:spacing w:val="-12"/>
          <w:sz w:val="24"/>
        </w:rPr>
        <w:t>其次是中专</w:t>
      </w:r>
      <w:r>
        <w:rPr>
          <w:spacing w:val="-16"/>
          <w:sz w:val="24"/>
        </w:rPr>
        <w:t>（</w:t>
      </w:r>
      <w:r>
        <w:rPr>
          <w:rFonts w:ascii="Times New Roman" w:eastAsia="Times New Roman"/>
          <w:spacing w:val="-16"/>
          <w:sz w:val="24"/>
        </w:rPr>
        <w:t>20.5%</w:t>
      </w:r>
      <w:r>
        <w:rPr>
          <w:spacing w:val="-16"/>
          <w:sz w:val="24"/>
        </w:rPr>
        <w:t>），</w:t>
      </w:r>
      <w:r>
        <w:rPr>
          <w:spacing w:val="-6"/>
          <w:sz w:val="24"/>
        </w:rPr>
        <w:t>本科以上学历仅有 </w:t>
      </w:r>
      <w:r>
        <w:rPr>
          <w:rFonts w:ascii="Times New Roman" w:eastAsia="Times New Roman"/>
          <w:spacing w:val="-4"/>
          <w:sz w:val="24"/>
        </w:rPr>
        <w:t>1.7%</w:t>
      </w:r>
      <w:r>
        <w:rPr>
          <w:spacing w:val="-4"/>
          <w:sz w:val="24"/>
        </w:rPr>
        <w:t>， </w:t>
      </w:r>
      <w:r>
        <w:rPr>
          <w:spacing w:val="-20"/>
          <w:sz w:val="24"/>
        </w:rPr>
        <w:t>另有 </w:t>
      </w:r>
      <w:r>
        <w:rPr>
          <w:rFonts w:ascii="Times New Roman" w:eastAsia="Times New Roman"/>
          <w:sz w:val="24"/>
        </w:rPr>
        <w:t>2.8%</w:t>
      </w:r>
      <w:r>
        <w:rPr>
          <w:sz w:val="24"/>
        </w:rPr>
        <w:t>的药师学历在专科以下。</w:t>
      </w:r>
    </w:p>
    <w:p>
      <w:pPr>
        <w:spacing w:line="234" w:lineRule="exact" w:before="0" w:after="10"/>
        <w:ind w:left="599" w:right="0" w:firstLine="0"/>
        <w:jc w:val="left"/>
        <w:rPr>
          <w:rFonts w:ascii="华文楷体" w:eastAsia="华文楷体" w:hint="eastAsia"/>
          <w:sz w:val="18"/>
        </w:rPr>
      </w:pPr>
      <w:r>
        <w:rPr>
          <w:rFonts w:ascii="华文楷体" w:eastAsia="华文楷体" w:hint="eastAsia"/>
          <w:sz w:val="18"/>
        </w:rPr>
        <w:t>表2：药师学历层次分布情况</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3"/>
        <w:gridCol w:w="3087"/>
        <w:gridCol w:w="3029"/>
      </w:tblGrid>
      <w:tr>
        <w:trPr>
          <w:trHeight w:val="312" w:hRule="atLeast"/>
        </w:trPr>
        <w:tc>
          <w:tcPr>
            <w:tcW w:w="3613" w:type="dxa"/>
            <w:tcBorders>
              <w:top w:val="single" w:sz="4" w:space="0" w:color="7E7E7E"/>
            </w:tcBorders>
          </w:tcPr>
          <w:p>
            <w:pPr>
              <w:pStyle w:val="TableParagraph"/>
              <w:spacing w:before="61"/>
              <w:ind w:left="1824" w:right="1448"/>
              <w:jc w:val="center"/>
              <w:rPr>
                <w:sz w:val="15"/>
              </w:rPr>
            </w:pPr>
            <w:r>
              <w:rPr>
                <w:sz w:val="15"/>
              </w:rPr>
              <w:t>项目</w:t>
            </w:r>
          </w:p>
        </w:tc>
        <w:tc>
          <w:tcPr>
            <w:tcW w:w="3087" w:type="dxa"/>
            <w:tcBorders>
              <w:top w:val="single" w:sz="4" w:space="0" w:color="7E7E7E"/>
            </w:tcBorders>
          </w:tcPr>
          <w:p>
            <w:pPr>
              <w:pStyle w:val="TableParagraph"/>
              <w:spacing w:before="61"/>
              <w:ind w:left="1446" w:right="1298"/>
              <w:jc w:val="center"/>
              <w:rPr>
                <w:sz w:val="15"/>
              </w:rPr>
            </w:pPr>
            <w:r>
              <w:rPr>
                <w:sz w:val="15"/>
              </w:rPr>
              <w:t>频数</w:t>
            </w:r>
          </w:p>
        </w:tc>
        <w:tc>
          <w:tcPr>
            <w:tcW w:w="3029" w:type="dxa"/>
            <w:tcBorders>
              <w:top w:val="single" w:sz="4" w:space="0" w:color="7E7E7E"/>
            </w:tcBorders>
          </w:tcPr>
          <w:p>
            <w:pPr>
              <w:pStyle w:val="TableParagraph"/>
              <w:spacing w:before="61"/>
              <w:ind w:left="1317"/>
              <w:rPr>
                <w:sz w:val="15"/>
              </w:rPr>
            </w:pPr>
            <w:r>
              <w:rPr>
                <w:sz w:val="15"/>
              </w:rPr>
              <w:t>有效百分比/%</w:t>
            </w:r>
          </w:p>
        </w:tc>
      </w:tr>
      <w:tr>
        <w:trPr>
          <w:trHeight w:val="313" w:hRule="atLeast"/>
        </w:trPr>
        <w:tc>
          <w:tcPr>
            <w:tcW w:w="3613" w:type="dxa"/>
            <w:tcBorders>
              <w:bottom w:val="single" w:sz="4" w:space="0" w:color="7E7E7E"/>
            </w:tcBorders>
          </w:tcPr>
          <w:p>
            <w:pPr>
              <w:pStyle w:val="TableParagraph"/>
              <w:ind w:left="842"/>
              <w:rPr>
                <w:sz w:val="15"/>
              </w:rPr>
            </w:pPr>
            <w:r>
              <w:rPr>
                <w:sz w:val="15"/>
              </w:rPr>
              <w:t>学历</w:t>
            </w:r>
          </w:p>
        </w:tc>
        <w:tc>
          <w:tcPr>
            <w:tcW w:w="3087" w:type="dxa"/>
            <w:tcBorders>
              <w:bottom w:val="single" w:sz="4" w:space="0" w:color="7E7E7E"/>
            </w:tcBorders>
          </w:tcPr>
          <w:p>
            <w:pPr>
              <w:pStyle w:val="TableParagraph"/>
              <w:spacing w:before="0"/>
              <w:rPr>
                <w:rFonts w:ascii="Times New Roman"/>
                <w:sz w:val="22"/>
              </w:rPr>
            </w:pPr>
          </w:p>
        </w:tc>
        <w:tc>
          <w:tcPr>
            <w:tcW w:w="3029" w:type="dxa"/>
            <w:tcBorders>
              <w:bottom w:val="single" w:sz="4" w:space="0" w:color="7E7E7E"/>
            </w:tcBorders>
          </w:tcPr>
          <w:p>
            <w:pPr>
              <w:pStyle w:val="TableParagraph"/>
              <w:spacing w:before="0"/>
              <w:rPr>
                <w:rFonts w:ascii="Times New Roman"/>
                <w:sz w:val="22"/>
              </w:rPr>
            </w:pPr>
          </w:p>
        </w:tc>
      </w:tr>
    </w:tbl>
    <w:p>
      <w:pPr>
        <w:spacing w:after="0"/>
        <w:rPr>
          <w:rFonts w:ascii="Times New Roman"/>
          <w:sz w:val="22"/>
        </w:rPr>
        <w:sectPr>
          <w:pgSz w:w="11910" w:h="16850"/>
          <w:pgMar w:header="906" w:footer="607" w:top="1100" w:bottom="800" w:left="1040" w:right="880"/>
        </w:sect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
        <w:gridCol w:w="2688"/>
        <w:gridCol w:w="3697"/>
        <w:gridCol w:w="3170"/>
        <w:gridCol w:w="79"/>
      </w:tblGrid>
      <w:tr>
        <w:trPr>
          <w:trHeight w:val="313" w:hRule="atLeast"/>
        </w:trPr>
        <w:tc>
          <w:tcPr>
            <w:tcW w:w="86" w:type="dxa"/>
            <w:tcBorders>
              <w:top w:val="single" w:sz="4" w:space="0" w:color="7E7E7E"/>
            </w:tcBorders>
          </w:tcPr>
          <w:p>
            <w:pPr>
              <w:pStyle w:val="TableParagraph"/>
              <w:spacing w:before="0"/>
              <w:rPr>
                <w:rFonts w:ascii="Times New Roman"/>
                <w:sz w:val="20"/>
              </w:rPr>
            </w:pPr>
          </w:p>
        </w:tc>
        <w:tc>
          <w:tcPr>
            <w:tcW w:w="2688" w:type="dxa"/>
            <w:tcBorders>
              <w:top w:val="single" w:sz="4" w:space="0" w:color="7E7E7E"/>
            </w:tcBorders>
          </w:tcPr>
          <w:p>
            <w:pPr>
              <w:pStyle w:val="TableParagraph"/>
              <w:spacing w:before="58"/>
              <w:ind w:left="149"/>
              <w:rPr>
                <w:sz w:val="15"/>
              </w:rPr>
            </w:pPr>
            <w:r>
              <w:rPr>
                <w:sz w:val="15"/>
              </w:rPr>
              <w:t>专科以下</w:t>
            </w:r>
          </w:p>
        </w:tc>
        <w:tc>
          <w:tcPr>
            <w:tcW w:w="3697" w:type="dxa"/>
            <w:tcBorders>
              <w:top w:val="single" w:sz="4" w:space="0" w:color="7E7E7E"/>
            </w:tcBorders>
          </w:tcPr>
          <w:p>
            <w:pPr>
              <w:pStyle w:val="TableParagraph"/>
              <w:spacing w:before="68"/>
              <w:ind w:right="1528"/>
              <w:jc w:val="right"/>
              <w:rPr>
                <w:rFonts w:ascii="Times New Roman"/>
                <w:sz w:val="15"/>
              </w:rPr>
            </w:pPr>
            <w:r>
              <w:rPr>
                <w:rFonts w:ascii="Times New Roman"/>
                <w:sz w:val="15"/>
              </w:rPr>
              <w:t>36</w:t>
            </w:r>
          </w:p>
        </w:tc>
        <w:tc>
          <w:tcPr>
            <w:tcW w:w="3170" w:type="dxa"/>
            <w:tcBorders>
              <w:top w:val="single" w:sz="4" w:space="0" w:color="7E7E7E"/>
            </w:tcBorders>
          </w:tcPr>
          <w:p>
            <w:pPr>
              <w:pStyle w:val="TableParagraph"/>
              <w:spacing w:before="68"/>
              <w:ind w:right="1442"/>
              <w:jc w:val="right"/>
              <w:rPr>
                <w:rFonts w:ascii="Times New Roman"/>
                <w:sz w:val="15"/>
              </w:rPr>
            </w:pPr>
            <w:r>
              <w:rPr>
                <w:rFonts w:ascii="Times New Roman"/>
                <w:sz w:val="15"/>
              </w:rPr>
              <w:t>2.8</w:t>
            </w:r>
          </w:p>
        </w:tc>
        <w:tc>
          <w:tcPr>
            <w:tcW w:w="79" w:type="dxa"/>
            <w:tcBorders>
              <w:top w:val="single" w:sz="4" w:space="0" w:color="7E7E7E"/>
            </w:tcBorders>
          </w:tcPr>
          <w:p>
            <w:pPr>
              <w:pStyle w:val="TableParagraph"/>
              <w:spacing w:before="0"/>
              <w:rPr>
                <w:rFonts w:ascii="Times New Roman"/>
                <w:sz w:val="20"/>
              </w:rPr>
            </w:pPr>
          </w:p>
        </w:tc>
      </w:tr>
      <w:tr>
        <w:trPr>
          <w:trHeight w:val="312" w:hRule="atLeast"/>
        </w:trPr>
        <w:tc>
          <w:tcPr>
            <w:tcW w:w="86" w:type="dxa"/>
          </w:tcPr>
          <w:p>
            <w:pPr>
              <w:pStyle w:val="TableParagraph"/>
              <w:spacing w:before="0"/>
              <w:rPr>
                <w:rFonts w:ascii="Times New Roman"/>
                <w:sz w:val="20"/>
              </w:rPr>
            </w:pPr>
          </w:p>
        </w:tc>
        <w:tc>
          <w:tcPr>
            <w:tcW w:w="2688" w:type="dxa"/>
          </w:tcPr>
          <w:p>
            <w:pPr>
              <w:pStyle w:val="TableParagraph"/>
              <w:spacing w:before="57"/>
              <w:ind w:left="149"/>
              <w:rPr>
                <w:sz w:val="15"/>
              </w:rPr>
            </w:pPr>
            <w:r>
              <w:rPr>
                <w:sz w:val="15"/>
              </w:rPr>
              <w:t>中专</w:t>
            </w:r>
          </w:p>
        </w:tc>
        <w:tc>
          <w:tcPr>
            <w:tcW w:w="3697" w:type="dxa"/>
          </w:tcPr>
          <w:p>
            <w:pPr>
              <w:pStyle w:val="TableParagraph"/>
              <w:spacing w:before="67"/>
              <w:ind w:right="1494"/>
              <w:jc w:val="right"/>
              <w:rPr>
                <w:rFonts w:ascii="Times New Roman"/>
                <w:sz w:val="15"/>
              </w:rPr>
            </w:pPr>
            <w:r>
              <w:rPr>
                <w:rFonts w:ascii="Times New Roman"/>
                <w:sz w:val="15"/>
              </w:rPr>
              <w:t>263</w:t>
            </w:r>
          </w:p>
        </w:tc>
        <w:tc>
          <w:tcPr>
            <w:tcW w:w="3170" w:type="dxa"/>
          </w:tcPr>
          <w:p>
            <w:pPr>
              <w:pStyle w:val="TableParagraph"/>
              <w:spacing w:before="67"/>
              <w:ind w:right="1406"/>
              <w:jc w:val="right"/>
              <w:rPr>
                <w:rFonts w:ascii="Times New Roman"/>
                <w:sz w:val="15"/>
              </w:rPr>
            </w:pPr>
            <w:r>
              <w:rPr>
                <w:rFonts w:ascii="Times New Roman"/>
                <w:sz w:val="15"/>
              </w:rPr>
              <w:t>20.5</w:t>
            </w:r>
          </w:p>
        </w:tc>
        <w:tc>
          <w:tcPr>
            <w:tcW w:w="79" w:type="dxa"/>
          </w:tcPr>
          <w:p>
            <w:pPr>
              <w:pStyle w:val="TableParagraph"/>
              <w:spacing w:before="0"/>
              <w:rPr>
                <w:rFonts w:ascii="Times New Roman"/>
                <w:sz w:val="20"/>
              </w:rPr>
            </w:pPr>
          </w:p>
        </w:tc>
      </w:tr>
      <w:tr>
        <w:trPr>
          <w:trHeight w:val="312" w:hRule="atLeast"/>
        </w:trPr>
        <w:tc>
          <w:tcPr>
            <w:tcW w:w="86" w:type="dxa"/>
          </w:tcPr>
          <w:p>
            <w:pPr>
              <w:pStyle w:val="TableParagraph"/>
              <w:spacing w:before="0"/>
              <w:rPr>
                <w:rFonts w:ascii="Times New Roman"/>
                <w:sz w:val="20"/>
              </w:rPr>
            </w:pPr>
          </w:p>
        </w:tc>
        <w:tc>
          <w:tcPr>
            <w:tcW w:w="2688" w:type="dxa"/>
          </w:tcPr>
          <w:p>
            <w:pPr>
              <w:pStyle w:val="TableParagraph"/>
              <w:spacing w:before="57"/>
              <w:ind w:left="149"/>
              <w:rPr>
                <w:sz w:val="15"/>
              </w:rPr>
            </w:pPr>
            <w:r>
              <w:rPr>
                <w:sz w:val="15"/>
              </w:rPr>
              <w:t>大专</w:t>
            </w:r>
          </w:p>
        </w:tc>
        <w:tc>
          <w:tcPr>
            <w:tcW w:w="3697" w:type="dxa"/>
          </w:tcPr>
          <w:p>
            <w:pPr>
              <w:pStyle w:val="TableParagraph"/>
              <w:spacing w:before="67"/>
              <w:ind w:right="1494"/>
              <w:jc w:val="right"/>
              <w:rPr>
                <w:rFonts w:ascii="Times New Roman"/>
                <w:sz w:val="15"/>
              </w:rPr>
            </w:pPr>
            <w:r>
              <w:rPr>
                <w:rFonts w:ascii="Times New Roman"/>
                <w:sz w:val="15"/>
              </w:rPr>
              <w:t>490</w:t>
            </w:r>
          </w:p>
        </w:tc>
        <w:tc>
          <w:tcPr>
            <w:tcW w:w="3170" w:type="dxa"/>
          </w:tcPr>
          <w:p>
            <w:pPr>
              <w:pStyle w:val="TableParagraph"/>
              <w:spacing w:before="67"/>
              <w:ind w:right="1406"/>
              <w:jc w:val="right"/>
              <w:rPr>
                <w:rFonts w:ascii="Times New Roman"/>
                <w:sz w:val="15"/>
              </w:rPr>
            </w:pPr>
            <w:r>
              <w:rPr>
                <w:rFonts w:ascii="Times New Roman"/>
                <w:sz w:val="15"/>
              </w:rPr>
              <w:t>38.1</w:t>
            </w:r>
          </w:p>
        </w:tc>
        <w:tc>
          <w:tcPr>
            <w:tcW w:w="79" w:type="dxa"/>
          </w:tcPr>
          <w:p>
            <w:pPr>
              <w:pStyle w:val="TableParagraph"/>
              <w:spacing w:before="0"/>
              <w:rPr>
                <w:rFonts w:ascii="Times New Roman"/>
                <w:sz w:val="20"/>
              </w:rPr>
            </w:pPr>
          </w:p>
        </w:tc>
      </w:tr>
      <w:tr>
        <w:trPr>
          <w:trHeight w:val="311" w:hRule="atLeast"/>
        </w:trPr>
        <w:tc>
          <w:tcPr>
            <w:tcW w:w="86" w:type="dxa"/>
          </w:tcPr>
          <w:p>
            <w:pPr>
              <w:pStyle w:val="TableParagraph"/>
              <w:spacing w:before="0"/>
              <w:rPr>
                <w:rFonts w:ascii="Times New Roman"/>
                <w:sz w:val="20"/>
              </w:rPr>
            </w:pPr>
          </w:p>
        </w:tc>
        <w:tc>
          <w:tcPr>
            <w:tcW w:w="2688" w:type="dxa"/>
          </w:tcPr>
          <w:p>
            <w:pPr>
              <w:pStyle w:val="TableParagraph"/>
              <w:spacing w:before="57"/>
              <w:ind w:left="149"/>
              <w:rPr>
                <w:sz w:val="15"/>
              </w:rPr>
            </w:pPr>
            <w:r>
              <w:rPr>
                <w:sz w:val="15"/>
              </w:rPr>
              <w:t>本科</w:t>
            </w:r>
          </w:p>
        </w:tc>
        <w:tc>
          <w:tcPr>
            <w:tcW w:w="3697" w:type="dxa"/>
          </w:tcPr>
          <w:p>
            <w:pPr>
              <w:pStyle w:val="TableParagraph"/>
              <w:spacing w:before="67"/>
              <w:ind w:right="1494"/>
              <w:jc w:val="right"/>
              <w:rPr>
                <w:rFonts w:ascii="Times New Roman"/>
                <w:sz w:val="15"/>
              </w:rPr>
            </w:pPr>
            <w:r>
              <w:rPr>
                <w:rFonts w:ascii="Times New Roman"/>
                <w:sz w:val="15"/>
              </w:rPr>
              <w:t>475</w:t>
            </w:r>
          </w:p>
        </w:tc>
        <w:tc>
          <w:tcPr>
            <w:tcW w:w="3170" w:type="dxa"/>
          </w:tcPr>
          <w:p>
            <w:pPr>
              <w:pStyle w:val="TableParagraph"/>
              <w:spacing w:before="67"/>
              <w:ind w:right="1406"/>
              <w:jc w:val="right"/>
              <w:rPr>
                <w:rFonts w:ascii="Times New Roman"/>
                <w:sz w:val="15"/>
              </w:rPr>
            </w:pPr>
            <w:r>
              <w:rPr>
                <w:rFonts w:ascii="Times New Roman"/>
                <w:sz w:val="15"/>
              </w:rPr>
              <w:t>36.9</w:t>
            </w:r>
          </w:p>
        </w:tc>
        <w:tc>
          <w:tcPr>
            <w:tcW w:w="79" w:type="dxa"/>
          </w:tcPr>
          <w:p>
            <w:pPr>
              <w:pStyle w:val="TableParagraph"/>
              <w:spacing w:before="0"/>
              <w:rPr>
                <w:rFonts w:ascii="Times New Roman"/>
                <w:sz w:val="20"/>
              </w:rPr>
            </w:pPr>
          </w:p>
        </w:tc>
      </w:tr>
      <w:tr>
        <w:trPr>
          <w:trHeight w:val="312" w:hRule="atLeast"/>
        </w:trPr>
        <w:tc>
          <w:tcPr>
            <w:tcW w:w="86" w:type="dxa"/>
          </w:tcPr>
          <w:p>
            <w:pPr>
              <w:pStyle w:val="TableParagraph"/>
              <w:spacing w:before="0"/>
              <w:rPr>
                <w:rFonts w:ascii="Times New Roman"/>
                <w:sz w:val="20"/>
              </w:rPr>
            </w:pPr>
          </w:p>
        </w:tc>
        <w:tc>
          <w:tcPr>
            <w:tcW w:w="2688" w:type="dxa"/>
          </w:tcPr>
          <w:p>
            <w:pPr>
              <w:pStyle w:val="TableParagraph"/>
              <w:spacing w:before="57"/>
              <w:ind w:left="149"/>
              <w:rPr>
                <w:sz w:val="15"/>
              </w:rPr>
            </w:pPr>
            <w:r>
              <w:rPr>
                <w:sz w:val="15"/>
              </w:rPr>
              <w:t>本科以上</w:t>
            </w:r>
          </w:p>
        </w:tc>
        <w:tc>
          <w:tcPr>
            <w:tcW w:w="3697" w:type="dxa"/>
          </w:tcPr>
          <w:p>
            <w:pPr>
              <w:pStyle w:val="TableParagraph"/>
              <w:spacing w:before="67"/>
              <w:ind w:right="1528"/>
              <w:jc w:val="right"/>
              <w:rPr>
                <w:rFonts w:ascii="Times New Roman"/>
                <w:sz w:val="15"/>
              </w:rPr>
            </w:pPr>
            <w:r>
              <w:rPr>
                <w:rFonts w:ascii="Times New Roman"/>
                <w:sz w:val="15"/>
              </w:rPr>
              <w:t>22</w:t>
            </w:r>
          </w:p>
        </w:tc>
        <w:tc>
          <w:tcPr>
            <w:tcW w:w="3170" w:type="dxa"/>
          </w:tcPr>
          <w:p>
            <w:pPr>
              <w:pStyle w:val="TableParagraph"/>
              <w:spacing w:before="67"/>
              <w:ind w:right="1442"/>
              <w:jc w:val="right"/>
              <w:rPr>
                <w:rFonts w:ascii="Times New Roman"/>
                <w:sz w:val="15"/>
              </w:rPr>
            </w:pPr>
            <w:r>
              <w:rPr>
                <w:rFonts w:ascii="Times New Roman"/>
                <w:sz w:val="15"/>
              </w:rPr>
              <w:t>1.7</w:t>
            </w:r>
          </w:p>
        </w:tc>
        <w:tc>
          <w:tcPr>
            <w:tcW w:w="79" w:type="dxa"/>
          </w:tcPr>
          <w:p>
            <w:pPr>
              <w:pStyle w:val="TableParagraph"/>
              <w:spacing w:before="0"/>
              <w:rPr>
                <w:rFonts w:ascii="Times New Roman"/>
                <w:sz w:val="20"/>
              </w:rPr>
            </w:pPr>
          </w:p>
        </w:tc>
      </w:tr>
      <w:tr>
        <w:trPr>
          <w:trHeight w:val="310" w:hRule="atLeast"/>
        </w:trPr>
        <w:tc>
          <w:tcPr>
            <w:tcW w:w="86" w:type="dxa"/>
            <w:tcBorders>
              <w:bottom w:val="single" w:sz="4" w:space="0" w:color="7E7E7E"/>
            </w:tcBorders>
          </w:tcPr>
          <w:p>
            <w:pPr>
              <w:pStyle w:val="TableParagraph"/>
              <w:spacing w:before="0"/>
              <w:rPr>
                <w:rFonts w:ascii="Times New Roman"/>
                <w:sz w:val="20"/>
              </w:rPr>
            </w:pPr>
          </w:p>
        </w:tc>
        <w:tc>
          <w:tcPr>
            <w:tcW w:w="2688" w:type="dxa"/>
            <w:tcBorders>
              <w:bottom w:val="single" w:sz="4" w:space="0" w:color="7E7E7E"/>
            </w:tcBorders>
          </w:tcPr>
          <w:p>
            <w:pPr>
              <w:pStyle w:val="TableParagraph"/>
              <w:spacing w:before="57"/>
              <w:ind w:left="149"/>
              <w:rPr>
                <w:sz w:val="15"/>
              </w:rPr>
            </w:pPr>
            <w:r>
              <w:rPr>
                <w:sz w:val="15"/>
              </w:rPr>
              <w:t>总计</w:t>
            </w:r>
          </w:p>
        </w:tc>
        <w:tc>
          <w:tcPr>
            <w:tcW w:w="3697" w:type="dxa"/>
            <w:tcBorders>
              <w:bottom w:val="single" w:sz="4" w:space="0" w:color="7E7E7E"/>
            </w:tcBorders>
          </w:tcPr>
          <w:p>
            <w:pPr>
              <w:pStyle w:val="TableParagraph"/>
              <w:spacing w:before="67"/>
              <w:ind w:right="1455"/>
              <w:jc w:val="right"/>
              <w:rPr>
                <w:rFonts w:ascii="Times New Roman"/>
                <w:sz w:val="15"/>
              </w:rPr>
            </w:pPr>
            <w:r>
              <w:rPr>
                <w:rFonts w:ascii="Times New Roman"/>
                <w:sz w:val="15"/>
              </w:rPr>
              <w:t>1286</w:t>
            </w:r>
          </w:p>
        </w:tc>
        <w:tc>
          <w:tcPr>
            <w:tcW w:w="3170" w:type="dxa"/>
            <w:tcBorders>
              <w:bottom w:val="single" w:sz="4" w:space="0" w:color="7E7E7E"/>
            </w:tcBorders>
          </w:tcPr>
          <w:p>
            <w:pPr>
              <w:pStyle w:val="TableParagraph"/>
              <w:spacing w:before="67"/>
              <w:ind w:right="1368"/>
              <w:jc w:val="right"/>
              <w:rPr>
                <w:rFonts w:ascii="Times New Roman"/>
                <w:sz w:val="15"/>
              </w:rPr>
            </w:pPr>
            <w:r>
              <w:rPr>
                <w:rFonts w:ascii="Times New Roman"/>
                <w:sz w:val="15"/>
              </w:rPr>
              <w:t>100.0</w:t>
            </w:r>
          </w:p>
        </w:tc>
        <w:tc>
          <w:tcPr>
            <w:tcW w:w="79" w:type="dxa"/>
            <w:tcBorders>
              <w:bottom w:val="single" w:sz="4" w:space="0" w:color="7E7E7E"/>
            </w:tcBorders>
          </w:tcPr>
          <w:p>
            <w:pPr>
              <w:pStyle w:val="TableParagraph"/>
              <w:spacing w:before="0"/>
              <w:rPr>
                <w:rFonts w:ascii="Times New Roman"/>
                <w:sz w:val="20"/>
              </w:rPr>
            </w:pPr>
          </w:p>
        </w:tc>
      </w:tr>
    </w:tbl>
    <w:p>
      <w:pPr>
        <w:pStyle w:val="ListParagraph"/>
        <w:numPr>
          <w:ilvl w:val="1"/>
          <w:numId w:val="14"/>
        </w:numPr>
        <w:tabs>
          <w:tab w:pos="1138" w:val="left" w:leader="none"/>
        </w:tabs>
        <w:spacing w:line="297" w:lineRule="auto" w:before="64" w:after="0"/>
        <w:ind w:left="237" w:right="247" w:firstLine="480"/>
        <w:jc w:val="both"/>
        <w:rPr>
          <w:sz w:val="24"/>
        </w:rPr>
      </w:pPr>
      <w:r>
        <w:rPr>
          <w:spacing w:val="-3"/>
          <w:sz w:val="24"/>
        </w:rPr>
        <w:t>药师药学培训情况 所调查样本药师的药学培训情况如表 </w:t>
      </w:r>
      <w:r>
        <w:rPr>
          <w:rFonts w:ascii="Times New Roman" w:eastAsia="Times New Roman"/>
          <w:sz w:val="24"/>
        </w:rPr>
        <w:t>3 </w:t>
      </w:r>
      <w:r>
        <w:rPr>
          <w:sz w:val="24"/>
        </w:rPr>
        <w:t>所示。</w:t>
      </w:r>
      <w:r>
        <w:rPr>
          <w:rFonts w:ascii="Times New Roman" w:eastAsia="Times New Roman"/>
          <w:sz w:val="24"/>
        </w:rPr>
        <w:t>87.1%</w:t>
      </w:r>
      <w:r>
        <w:rPr>
          <w:sz w:val="24"/>
        </w:rPr>
        <w:t>的药师能够获得药品政策相关培训，培训模式主要为定期培训（</w:t>
      </w:r>
      <w:r>
        <w:rPr>
          <w:rFonts w:ascii="Times New Roman" w:eastAsia="Times New Roman"/>
          <w:sz w:val="24"/>
        </w:rPr>
        <w:t>43.9%</w:t>
      </w:r>
      <w:r>
        <w:rPr>
          <w:sz w:val="24"/>
        </w:rPr>
        <w:t>），</w:t>
      </w:r>
      <w:r>
        <w:rPr>
          <w:spacing w:val="-13"/>
          <w:sz w:val="24"/>
        </w:rPr>
        <w:t>同时也有 </w:t>
      </w:r>
      <w:r>
        <w:rPr>
          <w:rFonts w:ascii="Times New Roman" w:eastAsia="Times New Roman"/>
          <w:sz w:val="24"/>
        </w:rPr>
        <w:t>31.9%</w:t>
      </w:r>
      <w:r>
        <w:rPr>
          <w:sz w:val="24"/>
        </w:rPr>
        <w:t>的药师在</w:t>
      </w:r>
      <w:r>
        <w:rPr>
          <w:spacing w:val="-8"/>
          <w:sz w:val="24"/>
        </w:rPr>
        <w:t>新政策发布后进行培训，另有 </w:t>
      </w:r>
      <w:r>
        <w:rPr>
          <w:rFonts w:ascii="Times New Roman" w:eastAsia="Times New Roman"/>
          <w:sz w:val="24"/>
        </w:rPr>
        <w:t>11.4%</w:t>
      </w:r>
      <w:r>
        <w:rPr>
          <w:spacing w:val="-3"/>
          <w:sz w:val="24"/>
        </w:rPr>
        <w:t>的药师认为虽然有培训但效果较差。在合理用药培训方面，</w:t>
      </w:r>
      <w:r>
        <w:rPr>
          <w:rFonts w:ascii="Times New Roman" w:eastAsia="Times New Roman"/>
          <w:spacing w:val="-5"/>
          <w:sz w:val="24"/>
        </w:rPr>
        <w:t>92.6%</w:t>
      </w:r>
      <w:r>
        <w:rPr>
          <w:spacing w:val="-7"/>
          <w:sz w:val="24"/>
        </w:rPr>
        <w:t>的药师接受过相关培训，但仍有 </w:t>
      </w:r>
      <w:r>
        <w:rPr>
          <w:rFonts w:ascii="Times New Roman" w:eastAsia="Times New Roman"/>
          <w:sz w:val="24"/>
        </w:rPr>
        <w:t>7.4%</w:t>
      </w:r>
      <w:r>
        <w:rPr>
          <w:spacing w:val="-4"/>
          <w:sz w:val="24"/>
        </w:rPr>
        <w:t>的药师缺乏该方面的培训。关于培训的必要</w:t>
      </w:r>
      <w:r>
        <w:rPr>
          <w:sz w:val="24"/>
        </w:rPr>
        <w:t>性，</w:t>
      </w:r>
      <w:r>
        <w:rPr>
          <w:rFonts w:ascii="Times New Roman" w:eastAsia="Times New Roman"/>
          <w:sz w:val="24"/>
        </w:rPr>
        <w:t>93.8%</w:t>
      </w:r>
      <w:r>
        <w:rPr>
          <w:spacing w:val="-3"/>
          <w:sz w:val="24"/>
        </w:rPr>
        <w:t>的药师认为药品使用、药品政策的培训有必要，其中非常有必要为 </w:t>
      </w:r>
      <w:r>
        <w:rPr>
          <w:rFonts w:ascii="Times New Roman" w:eastAsia="Times New Roman"/>
          <w:sz w:val="24"/>
        </w:rPr>
        <w:t>60.9%</w:t>
      </w:r>
      <w:r>
        <w:rPr>
          <w:sz w:val="24"/>
        </w:rPr>
        <w:t>，比较</w:t>
      </w:r>
      <w:r>
        <w:rPr>
          <w:spacing w:val="-13"/>
          <w:sz w:val="24"/>
        </w:rPr>
        <w:t>有必要为 </w:t>
      </w:r>
      <w:r>
        <w:rPr>
          <w:rFonts w:ascii="Times New Roman" w:eastAsia="Times New Roman"/>
          <w:sz w:val="24"/>
        </w:rPr>
        <w:t>32.9%</w:t>
      </w:r>
      <w:r>
        <w:rPr>
          <w:sz w:val="24"/>
        </w:rPr>
        <w:t>。</w:t>
      </w:r>
    </w:p>
    <w:p>
      <w:pPr>
        <w:spacing w:line="230" w:lineRule="exact" w:before="0" w:after="10"/>
        <w:ind w:left="599" w:right="0" w:firstLine="0"/>
        <w:jc w:val="left"/>
        <w:rPr>
          <w:rFonts w:ascii="华文楷体" w:eastAsia="华文楷体" w:hint="eastAsia"/>
          <w:sz w:val="18"/>
        </w:rPr>
      </w:pPr>
      <w:r>
        <w:rPr>
          <w:rFonts w:ascii="华文楷体" w:eastAsia="华文楷体" w:hint="eastAsia"/>
          <w:sz w:val="18"/>
        </w:rPr>
        <w:t>表3：药师药学培训情况</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3"/>
        <w:gridCol w:w="3087"/>
        <w:gridCol w:w="3029"/>
      </w:tblGrid>
      <w:tr>
        <w:trPr>
          <w:trHeight w:val="310" w:hRule="atLeast"/>
        </w:trPr>
        <w:tc>
          <w:tcPr>
            <w:tcW w:w="3613" w:type="dxa"/>
            <w:tcBorders>
              <w:top w:val="single" w:sz="4" w:space="0" w:color="7E7E7E"/>
            </w:tcBorders>
          </w:tcPr>
          <w:p>
            <w:pPr>
              <w:pStyle w:val="TableParagraph"/>
              <w:spacing w:before="58"/>
              <w:ind w:left="1824" w:right="1448"/>
              <w:jc w:val="center"/>
              <w:rPr>
                <w:sz w:val="15"/>
              </w:rPr>
            </w:pPr>
            <w:r>
              <w:rPr>
                <w:sz w:val="15"/>
              </w:rPr>
              <w:t>项目</w:t>
            </w:r>
          </w:p>
        </w:tc>
        <w:tc>
          <w:tcPr>
            <w:tcW w:w="3087" w:type="dxa"/>
            <w:tcBorders>
              <w:top w:val="single" w:sz="4" w:space="0" w:color="7E7E7E"/>
            </w:tcBorders>
          </w:tcPr>
          <w:p>
            <w:pPr>
              <w:pStyle w:val="TableParagraph"/>
              <w:spacing w:before="58"/>
              <w:ind w:left="1446" w:right="1298"/>
              <w:jc w:val="center"/>
              <w:rPr>
                <w:sz w:val="15"/>
              </w:rPr>
            </w:pPr>
            <w:r>
              <w:rPr>
                <w:sz w:val="15"/>
              </w:rPr>
              <w:t>频数</w:t>
            </w:r>
          </w:p>
        </w:tc>
        <w:tc>
          <w:tcPr>
            <w:tcW w:w="3029" w:type="dxa"/>
            <w:tcBorders>
              <w:top w:val="single" w:sz="4" w:space="0" w:color="7E7E7E"/>
            </w:tcBorders>
          </w:tcPr>
          <w:p>
            <w:pPr>
              <w:pStyle w:val="TableParagraph"/>
              <w:spacing w:before="58"/>
              <w:ind w:left="1298" w:right="791"/>
              <w:jc w:val="center"/>
              <w:rPr>
                <w:sz w:val="15"/>
              </w:rPr>
            </w:pPr>
            <w:r>
              <w:rPr>
                <w:sz w:val="15"/>
              </w:rPr>
              <w:t>有效百分比/%</w:t>
            </w:r>
          </w:p>
        </w:tc>
      </w:tr>
      <w:tr>
        <w:trPr>
          <w:trHeight w:val="312" w:hRule="atLeast"/>
        </w:trPr>
        <w:tc>
          <w:tcPr>
            <w:tcW w:w="3613" w:type="dxa"/>
          </w:tcPr>
          <w:p>
            <w:pPr>
              <w:pStyle w:val="TableParagraph"/>
              <w:ind w:right="1114"/>
              <w:jc w:val="right"/>
              <w:rPr>
                <w:sz w:val="15"/>
              </w:rPr>
            </w:pPr>
            <w:r>
              <w:rPr>
                <w:sz w:val="15"/>
              </w:rPr>
              <w:t>是否有药品政策相关培训</w:t>
            </w:r>
          </w:p>
        </w:tc>
        <w:tc>
          <w:tcPr>
            <w:tcW w:w="3087" w:type="dxa"/>
          </w:tcPr>
          <w:p>
            <w:pPr>
              <w:pStyle w:val="TableParagraph"/>
              <w:spacing w:before="0"/>
              <w:rPr>
                <w:rFonts w:ascii="Times New Roman"/>
                <w:sz w:val="20"/>
              </w:rPr>
            </w:pPr>
          </w:p>
        </w:tc>
        <w:tc>
          <w:tcPr>
            <w:tcW w:w="3029" w:type="dxa"/>
          </w:tcPr>
          <w:p>
            <w:pPr>
              <w:pStyle w:val="TableParagraph"/>
              <w:spacing w:before="0"/>
              <w:rPr>
                <w:rFonts w:ascii="Times New Roman"/>
                <w:sz w:val="20"/>
              </w:rPr>
            </w:pPr>
          </w:p>
        </w:tc>
      </w:tr>
      <w:tr>
        <w:trPr>
          <w:trHeight w:val="312" w:hRule="atLeast"/>
        </w:trPr>
        <w:tc>
          <w:tcPr>
            <w:tcW w:w="3613" w:type="dxa"/>
          </w:tcPr>
          <w:p>
            <w:pPr>
              <w:pStyle w:val="TableParagraph"/>
              <w:ind w:left="242"/>
              <w:rPr>
                <w:sz w:val="15"/>
              </w:rPr>
            </w:pPr>
            <w:r>
              <w:rPr>
                <w:sz w:val="15"/>
              </w:rPr>
              <w:t>有，一有新政策就有培训</w:t>
            </w:r>
          </w:p>
        </w:tc>
        <w:tc>
          <w:tcPr>
            <w:tcW w:w="3087" w:type="dxa"/>
          </w:tcPr>
          <w:p>
            <w:pPr>
              <w:pStyle w:val="TableParagraph"/>
              <w:ind w:left="1443" w:right="1299"/>
              <w:jc w:val="center"/>
              <w:rPr>
                <w:sz w:val="15"/>
              </w:rPr>
            </w:pPr>
            <w:r>
              <w:rPr>
                <w:sz w:val="15"/>
              </w:rPr>
              <w:t>410</w:t>
            </w:r>
          </w:p>
        </w:tc>
        <w:tc>
          <w:tcPr>
            <w:tcW w:w="3029" w:type="dxa"/>
          </w:tcPr>
          <w:p>
            <w:pPr>
              <w:pStyle w:val="TableParagraph"/>
              <w:ind w:left="1298" w:right="790"/>
              <w:jc w:val="center"/>
              <w:rPr>
                <w:sz w:val="15"/>
              </w:rPr>
            </w:pPr>
            <w:r>
              <w:rPr>
                <w:sz w:val="15"/>
              </w:rPr>
              <w:t>31.9</w:t>
            </w:r>
          </w:p>
        </w:tc>
      </w:tr>
      <w:tr>
        <w:trPr>
          <w:trHeight w:val="312" w:hRule="atLeast"/>
        </w:trPr>
        <w:tc>
          <w:tcPr>
            <w:tcW w:w="3613" w:type="dxa"/>
          </w:tcPr>
          <w:p>
            <w:pPr>
              <w:pStyle w:val="TableParagraph"/>
              <w:ind w:left="242"/>
              <w:rPr>
                <w:sz w:val="15"/>
              </w:rPr>
            </w:pPr>
            <w:r>
              <w:rPr>
                <w:sz w:val="15"/>
              </w:rPr>
              <w:t>有，定期培训</w:t>
            </w:r>
          </w:p>
        </w:tc>
        <w:tc>
          <w:tcPr>
            <w:tcW w:w="3087" w:type="dxa"/>
          </w:tcPr>
          <w:p>
            <w:pPr>
              <w:pStyle w:val="TableParagraph"/>
              <w:ind w:left="1443" w:right="1299"/>
              <w:jc w:val="center"/>
              <w:rPr>
                <w:sz w:val="15"/>
              </w:rPr>
            </w:pPr>
            <w:r>
              <w:rPr>
                <w:sz w:val="15"/>
              </w:rPr>
              <w:t>564</w:t>
            </w:r>
          </w:p>
        </w:tc>
        <w:tc>
          <w:tcPr>
            <w:tcW w:w="3029" w:type="dxa"/>
          </w:tcPr>
          <w:p>
            <w:pPr>
              <w:pStyle w:val="TableParagraph"/>
              <w:ind w:left="1298" w:right="790"/>
              <w:jc w:val="center"/>
              <w:rPr>
                <w:sz w:val="15"/>
              </w:rPr>
            </w:pPr>
            <w:r>
              <w:rPr>
                <w:sz w:val="15"/>
              </w:rPr>
              <w:t>43.9</w:t>
            </w:r>
          </w:p>
        </w:tc>
      </w:tr>
      <w:tr>
        <w:trPr>
          <w:trHeight w:val="312" w:hRule="atLeast"/>
        </w:trPr>
        <w:tc>
          <w:tcPr>
            <w:tcW w:w="3613" w:type="dxa"/>
          </w:tcPr>
          <w:p>
            <w:pPr>
              <w:pStyle w:val="TableParagraph"/>
              <w:ind w:left="242"/>
              <w:rPr>
                <w:sz w:val="15"/>
              </w:rPr>
            </w:pPr>
            <w:r>
              <w:rPr>
                <w:sz w:val="15"/>
              </w:rPr>
              <w:t>有培训但效果很差</w:t>
            </w:r>
          </w:p>
        </w:tc>
        <w:tc>
          <w:tcPr>
            <w:tcW w:w="3087" w:type="dxa"/>
          </w:tcPr>
          <w:p>
            <w:pPr>
              <w:pStyle w:val="TableParagraph"/>
              <w:ind w:left="1443" w:right="1299"/>
              <w:jc w:val="center"/>
              <w:rPr>
                <w:sz w:val="15"/>
              </w:rPr>
            </w:pPr>
            <w:r>
              <w:rPr>
                <w:sz w:val="15"/>
              </w:rPr>
              <w:t>146</w:t>
            </w:r>
          </w:p>
        </w:tc>
        <w:tc>
          <w:tcPr>
            <w:tcW w:w="3029" w:type="dxa"/>
          </w:tcPr>
          <w:p>
            <w:pPr>
              <w:pStyle w:val="TableParagraph"/>
              <w:ind w:left="1298" w:right="790"/>
              <w:jc w:val="center"/>
              <w:rPr>
                <w:sz w:val="15"/>
              </w:rPr>
            </w:pPr>
            <w:r>
              <w:rPr>
                <w:sz w:val="15"/>
              </w:rPr>
              <w:t>11.4</w:t>
            </w:r>
          </w:p>
        </w:tc>
      </w:tr>
      <w:tr>
        <w:trPr>
          <w:trHeight w:val="311" w:hRule="atLeast"/>
        </w:trPr>
        <w:tc>
          <w:tcPr>
            <w:tcW w:w="3613" w:type="dxa"/>
          </w:tcPr>
          <w:p>
            <w:pPr>
              <w:pStyle w:val="TableParagraph"/>
              <w:ind w:left="242"/>
              <w:rPr>
                <w:sz w:val="15"/>
              </w:rPr>
            </w:pPr>
            <w:r>
              <w:rPr>
                <w:sz w:val="15"/>
              </w:rPr>
              <w:t>没有相关培训</w:t>
            </w:r>
          </w:p>
        </w:tc>
        <w:tc>
          <w:tcPr>
            <w:tcW w:w="3087" w:type="dxa"/>
          </w:tcPr>
          <w:p>
            <w:pPr>
              <w:pStyle w:val="TableParagraph"/>
              <w:ind w:left="1443" w:right="1299"/>
              <w:jc w:val="center"/>
              <w:rPr>
                <w:sz w:val="15"/>
              </w:rPr>
            </w:pPr>
            <w:r>
              <w:rPr>
                <w:sz w:val="15"/>
              </w:rPr>
              <w:t>166</w:t>
            </w:r>
          </w:p>
        </w:tc>
        <w:tc>
          <w:tcPr>
            <w:tcW w:w="3029" w:type="dxa"/>
          </w:tcPr>
          <w:p>
            <w:pPr>
              <w:pStyle w:val="TableParagraph"/>
              <w:ind w:left="1298" w:right="790"/>
              <w:jc w:val="center"/>
              <w:rPr>
                <w:sz w:val="15"/>
              </w:rPr>
            </w:pPr>
            <w:r>
              <w:rPr>
                <w:sz w:val="15"/>
              </w:rPr>
              <w:t>12.9</w:t>
            </w:r>
          </w:p>
        </w:tc>
      </w:tr>
      <w:tr>
        <w:trPr>
          <w:trHeight w:val="312" w:hRule="atLeast"/>
        </w:trPr>
        <w:tc>
          <w:tcPr>
            <w:tcW w:w="3613" w:type="dxa"/>
          </w:tcPr>
          <w:p>
            <w:pPr>
              <w:pStyle w:val="TableParagraph"/>
              <w:ind w:left="242"/>
              <w:rPr>
                <w:sz w:val="15"/>
              </w:rPr>
            </w:pPr>
            <w:r>
              <w:rPr>
                <w:sz w:val="15"/>
              </w:rPr>
              <w:t>总计</w:t>
            </w:r>
          </w:p>
        </w:tc>
        <w:tc>
          <w:tcPr>
            <w:tcW w:w="3087" w:type="dxa"/>
          </w:tcPr>
          <w:p>
            <w:pPr>
              <w:pStyle w:val="TableParagraph"/>
              <w:ind w:left="1445" w:right="1299"/>
              <w:jc w:val="center"/>
              <w:rPr>
                <w:sz w:val="15"/>
              </w:rPr>
            </w:pPr>
            <w:r>
              <w:rPr>
                <w:sz w:val="15"/>
              </w:rPr>
              <w:t>1286</w:t>
            </w:r>
          </w:p>
        </w:tc>
        <w:tc>
          <w:tcPr>
            <w:tcW w:w="3029" w:type="dxa"/>
          </w:tcPr>
          <w:p>
            <w:pPr>
              <w:pStyle w:val="TableParagraph"/>
              <w:ind w:left="1298" w:right="788"/>
              <w:jc w:val="center"/>
              <w:rPr>
                <w:sz w:val="15"/>
              </w:rPr>
            </w:pPr>
            <w:r>
              <w:rPr>
                <w:sz w:val="15"/>
              </w:rPr>
              <w:t>100.0</w:t>
            </w:r>
          </w:p>
        </w:tc>
      </w:tr>
      <w:tr>
        <w:trPr>
          <w:trHeight w:val="312" w:hRule="atLeast"/>
        </w:trPr>
        <w:tc>
          <w:tcPr>
            <w:tcW w:w="3613" w:type="dxa"/>
          </w:tcPr>
          <w:p>
            <w:pPr>
              <w:pStyle w:val="TableParagraph"/>
              <w:ind w:right="1114"/>
              <w:jc w:val="right"/>
              <w:rPr>
                <w:sz w:val="15"/>
              </w:rPr>
            </w:pPr>
            <w:r>
              <w:rPr>
                <w:sz w:val="15"/>
              </w:rPr>
              <w:t>是否有合理用药相关培训</w:t>
            </w:r>
          </w:p>
        </w:tc>
        <w:tc>
          <w:tcPr>
            <w:tcW w:w="3087" w:type="dxa"/>
          </w:tcPr>
          <w:p>
            <w:pPr>
              <w:pStyle w:val="TableParagraph"/>
              <w:spacing w:before="0"/>
              <w:rPr>
                <w:rFonts w:ascii="Times New Roman"/>
                <w:sz w:val="20"/>
              </w:rPr>
            </w:pPr>
          </w:p>
        </w:tc>
        <w:tc>
          <w:tcPr>
            <w:tcW w:w="3029" w:type="dxa"/>
          </w:tcPr>
          <w:p>
            <w:pPr>
              <w:pStyle w:val="TableParagraph"/>
              <w:spacing w:before="0"/>
              <w:rPr>
                <w:rFonts w:ascii="Times New Roman"/>
                <w:sz w:val="20"/>
              </w:rPr>
            </w:pPr>
          </w:p>
        </w:tc>
      </w:tr>
      <w:tr>
        <w:trPr>
          <w:trHeight w:val="312" w:hRule="atLeast"/>
        </w:trPr>
        <w:tc>
          <w:tcPr>
            <w:tcW w:w="3613" w:type="dxa"/>
          </w:tcPr>
          <w:p>
            <w:pPr>
              <w:pStyle w:val="TableParagraph"/>
              <w:ind w:left="242"/>
              <w:rPr>
                <w:sz w:val="15"/>
              </w:rPr>
            </w:pPr>
            <w:r>
              <w:rPr>
                <w:sz w:val="15"/>
              </w:rPr>
              <w:t>没有</w:t>
            </w:r>
          </w:p>
        </w:tc>
        <w:tc>
          <w:tcPr>
            <w:tcW w:w="3087" w:type="dxa"/>
          </w:tcPr>
          <w:p>
            <w:pPr>
              <w:pStyle w:val="TableParagraph"/>
              <w:ind w:left="1446" w:right="1298"/>
              <w:jc w:val="center"/>
              <w:rPr>
                <w:sz w:val="15"/>
              </w:rPr>
            </w:pPr>
            <w:r>
              <w:rPr>
                <w:sz w:val="15"/>
              </w:rPr>
              <w:t>95</w:t>
            </w:r>
          </w:p>
        </w:tc>
        <w:tc>
          <w:tcPr>
            <w:tcW w:w="3029" w:type="dxa"/>
          </w:tcPr>
          <w:p>
            <w:pPr>
              <w:pStyle w:val="TableParagraph"/>
              <w:ind w:left="1298" w:right="788"/>
              <w:jc w:val="center"/>
              <w:rPr>
                <w:sz w:val="15"/>
              </w:rPr>
            </w:pPr>
            <w:r>
              <w:rPr>
                <w:sz w:val="15"/>
              </w:rPr>
              <w:t>7.4</w:t>
            </w:r>
          </w:p>
        </w:tc>
      </w:tr>
      <w:tr>
        <w:trPr>
          <w:trHeight w:val="312" w:hRule="atLeast"/>
        </w:trPr>
        <w:tc>
          <w:tcPr>
            <w:tcW w:w="3613" w:type="dxa"/>
          </w:tcPr>
          <w:p>
            <w:pPr>
              <w:pStyle w:val="TableParagraph"/>
              <w:ind w:left="242"/>
              <w:rPr>
                <w:sz w:val="15"/>
              </w:rPr>
            </w:pPr>
            <w:r>
              <w:rPr>
                <w:w w:val="100"/>
                <w:sz w:val="15"/>
              </w:rPr>
              <w:t>有</w:t>
            </w:r>
          </w:p>
        </w:tc>
        <w:tc>
          <w:tcPr>
            <w:tcW w:w="3087" w:type="dxa"/>
          </w:tcPr>
          <w:p>
            <w:pPr>
              <w:pStyle w:val="TableParagraph"/>
              <w:ind w:left="1445" w:right="1299"/>
              <w:jc w:val="center"/>
              <w:rPr>
                <w:sz w:val="15"/>
              </w:rPr>
            </w:pPr>
            <w:r>
              <w:rPr>
                <w:sz w:val="15"/>
              </w:rPr>
              <w:t>1191</w:t>
            </w:r>
          </w:p>
        </w:tc>
        <w:tc>
          <w:tcPr>
            <w:tcW w:w="3029" w:type="dxa"/>
          </w:tcPr>
          <w:p>
            <w:pPr>
              <w:pStyle w:val="TableParagraph"/>
              <w:ind w:left="1298" w:right="790"/>
              <w:jc w:val="center"/>
              <w:rPr>
                <w:sz w:val="15"/>
              </w:rPr>
            </w:pPr>
            <w:r>
              <w:rPr>
                <w:sz w:val="15"/>
              </w:rPr>
              <w:t>92.6</w:t>
            </w:r>
          </w:p>
        </w:tc>
      </w:tr>
      <w:tr>
        <w:trPr>
          <w:trHeight w:val="311" w:hRule="atLeast"/>
        </w:trPr>
        <w:tc>
          <w:tcPr>
            <w:tcW w:w="3613" w:type="dxa"/>
          </w:tcPr>
          <w:p>
            <w:pPr>
              <w:pStyle w:val="TableParagraph"/>
              <w:ind w:left="242"/>
              <w:rPr>
                <w:sz w:val="15"/>
              </w:rPr>
            </w:pPr>
            <w:r>
              <w:rPr>
                <w:sz w:val="15"/>
              </w:rPr>
              <w:t>总计</w:t>
            </w:r>
          </w:p>
        </w:tc>
        <w:tc>
          <w:tcPr>
            <w:tcW w:w="3087" w:type="dxa"/>
          </w:tcPr>
          <w:p>
            <w:pPr>
              <w:pStyle w:val="TableParagraph"/>
              <w:ind w:left="1445" w:right="1299"/>
              <w:jc w:val="center"/>
              <w:rPr>
                <w:sz w:val="15"/>
              </w:rPr>
            </w:pPr>
            <w:r>
              <w:rPr>
                <w:sz w:val="15"/>
              </w:rPr>
              <w:t>1286</w:t>
            </w:r>
          </w:p>
        </w:tc>
        <w:tc>
          <w:tcPr>
            <w:tcW w:w="3029" w:type="dxa"/>
          </w:tcPr>
          <w:p>
            <w:pPr>
              <w:pStyle w:val="TableParagraph"/>
              <w:ind w:left="1298" w:right="788"/>
              <w:jc w:val="center"/>
              <w:rPr>
                <w:sz w:val="15"/>
              </w:rPr>
            </w:pPr>
            <w:r>
              <w:rPr>
                <w:sz w:val="15"/>
              </w:rPr>
              <w:t>100.0</w:t>
            </w:r>
          </w:p>
        </w:tc>
      </w:tr>
      <w:tr>
        <w:trPr>
          <w:trHeight w:val="311" w:hRule="atLeast"/>
        </w:trPr>
        <w:tc>
          <w:tcPr>
            <w:tcW w:w="3613" w:type="dxa"/>
          </w:tcPr>
          <w:p>
            <w:pPr>
              <w:pStyle w:val="TableParagraph"/>
              <w:ind w:left="122"/>
              <w:rPr>
                <w:sz w:val="15"/>
              </w:rPr>
            </w:pPr>
            <w:r>
              <w:rPr>
                <w:sz w:val="15"/>
              </w:rPr>
              <w:t>认为药品使用、政策的培训是否必要</w:t>
            </w:r>
          </w:p>
        </w:tc>
        <w:tc>
          <w:tcPr>
            <w:tcW w:w="3087" w:type="dxa"/>
          </w:tcPr>
          <w:p>
            <w:pPr>
              <w:pStyle w:val="TableParagraph"/>
              <w:spacing w:before="0"/>
              <w:rPr>
                <w:rFonts w:ascii="Times New Roman"/>
                <w:sz w:val="20"/>
              </w:rPr>
            </w:pPr>
          </w:p>
        </w:tc>
        <w:tc>
          <w:tcPr>
            <w:tcW w:w="3029" w:type="dxa"/>
          </w:tcPr>
          <w:p>
            <w:pPr>
              <w:pStyle w:val="TableParagraph"/>
              <w:spacing w:before="0"/>
              <w:rPr>
                <w:rFonts w:ascii="Times New Roman"/>
                <w:sz w:val="20"/>
              </w:rPr>
            </w:pPr>
          </w:p>
        </w:tc>
      </w:tr>
      <w:tr>
        <w:trPr>
          <w:trHeight w:val="312" w:hRule="atLeast"/>
        </w:trPr>
        <w:tc>
          <w:tcPr>
            <w:tcW w:w="3613" w:type="dxa"/>
          </w:tcPr>
          <w:p>
            <w:pPr>
              <w:pStyle w:val="TableParagraph"/>
              <w:ind w:left="242"/>
              <w:rPr>
                <w:sz w:val="15"/>
              </w:rPr>
            </w:pPr>
            <w:r>
              <w:rPr>
                <w:sz w:val="15"/>
              </w:rPr>
              <w:t>非常有必要</w:t>
            </w:r>
          </w:p>
        </w:tc>
        <w:tc>
          <w:tcPr>
            <w:tcW w:w="3087" w:type="dxa"/>
          </w:tcPr>
          <w:p>
            <w:pPr>
              <w:pStyle w:val="TableParagraph"/>
              <w:ind w:left="1443" w:right="1299"/>
              <w:jc w:val="center"/>
              <w:rPr>
                <w:sz w:val="15"/>
              </w:rPr>
            </w:pPr>
            <w:r>
              <w:rPr>
                <w:sz w:val="15"/>
              </w:rPr>
              <w:t>783</w:t>
            </w:r>
          </w:p>
        </w:tc>
        <w:tc>
          <w:tcPr>
            <w:tcW w:w="3029" w:type="dxa"/>
          </w:tcPr>
          <w:p>
            <w:pPr>
              <w:pStyle w:val="TableParagraph"/>
              <w:ind w:left="1298" w:right="790"/>
              <w:jc w:val="center"/>
              <w:rPr>
                <w:sz w:val="15"/>
              </w:rPr>
            </w:pPr>
            <w:r>
              <w:rPr>
                <w:sz w:val="15"/>
              </w:rPr>
              <w:t>60.9</w:t>
            </w:r>
          </w:p>
        </w:tc>
      </w:tr>
      <w:tr>
        <w:trPr>
          <w:trHeight w:val="312" w:hRule="atLeast"/>
        </w:trPr>
        <w:tc>
          <w:tcPr>
            <w:tcW w:w="3613" w:type="dxa"/>
          </w:tcPr>
          <w:p>
            <w:pPr>
              <w:pStyle w:val="TableParagraph"/>
              <w:ind w:left="242"/>
              <w:rPr>
                <w:sz w:val="15"/>
              </w:rPr>
            </w:pPr>
            <w:r>
              <w:rPr>
                <w:sz w:val="15"/>
              </w:rPr>
              <w:t>比较有必要</w:t>
            </w:r>
          </w:p>
        </w:tc>
        <w:tc>
          <w:tcPr>
            <w:tcW w:w="3087" w:type="dxa"/>
          </w:tcPr>
          <w:p>
            <w:pPr>
              <w:pStyle w:val="TableParagraph"/>
              <w:ind w:left="1443" w:right="1299"/>
              <w:jc w:val="center"/>
              <w:rPr>
                <w:sz w:val="15"/>
              </w:rPr>
            </w:pPr>
            <w:r>
              <w:rPr>
                <w:sz w:val="15"/>
              </w:rPr>
              <w:t>423</w:t>
            </w:r>
          </w:p>
        </w:tc>
        <w:tc>
          <w:tcPr>
            <w:tcW w:w="3029" w:type="dxa"/>
          </w:tcPr>
          <w:p>
            <w:pPr>
              <w:pStyle w:val="TableParagraph"/>
              <w:ind w:left="1298" w:right="790"/>
              <w:jc w:val="center"/>
              <w:rPr>
                <w:sz w:val="15"/>
              </w:rPr>
            </w:pPr>
            <w:r>
              <w:rPr>
                <w:sz w:val="15"/>
              </w:rPr>
              <w:t>32.9</w:t>
            </w:r>
          </w:p>
        </w:tc>
      </w:tr>
      <w:tr>
        <w:trPr>
          <w:trHeight w:val="312" w:hRule="atLeast"/>
        </w:trPr>
        <w:tc>
          <w:tcPr>
            <w:tcW w:w="3613" w:type="dxa"/>
          </w:tcPr>
          <w:p>
            <w:pPr>
              <w:pStyle w:val="TableParagraph"/>
              <w:ind w:left="242"/>
              <w:rPr>
                <w:sz w:val="15"/>
              </w:rPr>
            </w:pPr>
            <w:r>
              <w:rPr>
                <w:sz w:val="15"/>
              </w:rPr>
              <w:t>无所谓</w:t>
            </w:r>
          </w:p>
        </w:tc>
        <w:tc>
          <w:tcPr>
            <w:tcW w:w="3087" w:type="dxa"/>
          </w:tcPr>
          <w:p>
            <w:pPr>
              <w:pStyle w:val="TableParagraph"/>
              <w:ind w:left="1446" w:right="1298"/>
              <w:jc w:val="center"/>
              <w:rPr>
                <w:sz w:val="15"/>
              </w:rPr>
            </w:pPr>
            <w:r>
              <w:rPr>
                <w:sz w:val="15"/>
              </w:rPr>
              <w:t>64</w:t>
            </w:r>
          </w:p>
        </w:tc>
        <w:tc>
          <w:tcPr>
            <w:tcW w:w="3029" w:type="dxa"/>
          </w:tcPr>
          <w:p>
            <w:pPr>
              <w:pStyle w:val="TableParagraph"/>
              <w:ind w:left="1298" w:right="788"/>
              <w:jc w:val="center"/>
              <w:rPr>
                <w:sz w:val="15"/>
              </w:rPr>
            </w:pPr>
            <w:r>
              <w:rPr>
                <w:sz w:val="15"/>
              </w:rPr>
              <w:t>5.0</w:t>
            </w:r>
          </w:p>
        </w:tc>
      </w:tr>
      <w:tr>
        <w:trPr>
          <w:trHeight w:val="311" w:hRule="atLeast"/>
        </w:trPr>
        <w:tc>
          <w:tcPr>
            <w:tcW w:w="3613" w:type="dxa"/>
          </w:tcPr>
          <w:p>
            <w:pPr>
              <w:pStyle w:val="TableParagraph"/>
              <w:ind w:left="242"/>
              <w:rPr>
                <w:sz w:val="15"/>
              </w:rPr>
            </w:pPr>
            <w:r>
              <w:rPr>
                <w:sz w:val="15"/>
              </w:rPr>
              <w:t>不太有必要</w:t>
            </w:r>
          </w:p>
        </w:tc>
        <w:tc>
          <w:tcPr>
            <w:tcW w:w="3087" w:type="dxa"/>
          </w:tcPr>
          <w:p>
            <w:pPr>
              <w:pStyle w:val="TableParagraph"/>
              <w:ind w:left="1446" w:right="1298"/>
              <w:jc w:val="center"/>
              <w:rPr>
                <w:sz w:val="15"/>
              </w:rPr>
            </w:pPr>
            <w:r>
              <w:rPr>
                <w:sz w:val="15"/>
              </w:rPr>
              <w:t>14</w:t>
            </w:r>
          </w:p>
        </w:tc>
        <w:tc>
          <w:tcPr>
            <w:tcW w:w="3029" w:type="dxa"/>
          </w:tcPr>
          <w:p>
            <w:pPr>
              <w:pStyle w:val="TableParagraph"/>
              <w:ind w:left="1298" w:right="788"/>
              <w:jc w:val="center"/>
              <w:rPr>
                <w:sz w:val="15"/>
              </w:rPr>
            </w:pPr>
            <w:r>
              <w:rPr>
                <w:sz w:val="15"/>
              </w:rPr>
              <w:t>1.1</w:t>
            </w:r>
          </w:p>
        </w:tc>
      </w:tr>
      <w:tr>
        <w:trPr>
          <w:trHeight w:val="312" w:hRule="atLeast"/>
        </w:trPr>
        <w:tc>
          <w:tcPr>
            <w:tcW w:w="3613" w:type="dxa"/>
          </w:tcPr>
          <w:p>
            <w:pPr>
              <w:pStyle w:val="TableParagraph"/>
              <w:ind w:left="242"/>
              <w:rPr>
                <w:sz w:val="15"/>
              </w:rPr>
            </w:pPr>
            <w:r>
              <w:rPr>
                <w:sz w:val="15"/>
              </w:rPr>
              <w:t>完全没必要</w:t>
            </w:r>
          </w:p>
        </w:tc>
        <w:tc>
          <w:tcPr>
            <w:tcW w:w="3087" w:type="dxa"/>
          </w:tcPr>
          <w:p>
            <w:pPr>
              <w:pStyle w:val="TableParagraph"/>
              <w:ind w:left="147"/>
              <w:jc w:val="center"/>
              <w:rPr>
                <w:sz w:val="15"/>
              </w:rPr>
            </w:pPr>
            <w:r>
              <w:rPr>
                <w:w w:val="100"/>
                <w:sz w:val="15"/>
              </w:rPr>
              <w:t>2</w:t>
            </w:r>
          </w:p>
        </w:tc>
        <w:tc>
          <w:tcPr>
            <w:tcW w:w="3029" w:type="dxa"/>
          </w:tcPr>
          <w:p>
            <w:pPr>
              <w:pStyle w:val="TableParagraph"/>
              <w:ind w:left="1298" w:right="788"/>
              <w:jc w:val="center"/>
              <w:rPr>
                <w:sz w:val="15"/>
              </w:rPr>
            </w:pPr>
            <w:r>
              <w:rPr>
                <w:sz w:val="15"/>
              </w:rPr>
              <w:t>0.2</w:t>
            </w:r>
          </w:p>
        </w:tc>
      </w:tr>
      <w:tr>
        <w:trPr>
          <w:trHeight w:val="313" w:hRule="atLeast"/>
        </w:trPr>
        <w:tc>
          <w:tcPr>
            <w:tcW w:w="3613" w:type="dxa"/>
            <w:tcBorders>
              <w:bottom w:val="single" w:sz="4" w:space="0" w:color="7E7E7E"/>
            </w:tcBorders>
          </w:tcPr>
          <w:p>
            <w:pPr>
              <w:pStyle w:val="TableParagraph"/>
              <w:ind w:left="242"/>
              <w:rPr>
                <w:sz w:val="15"/>
              </w:rPr>
            </w:pPr>
            <w:r>
              <w:rPr>
                <w:sz w:val="15"/>
              </w:rPr>
              <w:t>总计</w:t>
            </w:r>
          </w:p>
        </w:tc>
        <w:tc>
          <w:tcPr>
            <w:tcW w:w="3087" w:type="dxa"/>
            <w:tcBorders>
              <w:bottom w:val="single" w:sz="4" w:space="0" w:color="7E7E7E"/>
            </w:tcBorders>
          </w:tcPr>
          <w:p>
            <w:pPr>
              <w:pStyle w:val="TableParagraph"/>
              <w:ind w:left="1445" w:right="1299"/>
              <w:jc w:val="center"/>
              <w:rPr>
                <w:sz w:val="15"/>
              </w:rPr>
            </w:pPr>
            <w:r>
              <w:rPr>
                <w:sz w:val="15"/>
              </w:rPr>
              <w:t>1286</w:t>
            </w:r>
          </w:p>
        </w:tc>
        <w:tc>
          <w:tcPr>
            <w:tcW w:w="3029" w:type="dxa"/>
            <w:tcBorders>
              <w:bottom w:val="single" w:sz="4" w:space="0" w:color="7E7E7E"/>
            </w:tcBorders>
          </w:tcPr>
          <w:p>
            <w:pPr>
              <w:pStyle w:val="TableParagraph"/>
              <w:ind w:left="1298" w:right="788"/>
              <w:jc w:val="center"/>
              <w:rPr>
                <w:sz w:val="15"/>
              </w:rPr>
            </w:pPr>
            <w:r>
              <w:rPr>
                <w:sz w:val="15"/>
              </w:rPr>
              <w:t>100.0</w:t>
            </w:r>
          </w:p>
        </w:tc>
      </w:tr>
    </w:tbl>
    <w:p>
      <w:pPr>
        <w:pStyle w:val="ListParagraph"/>
        <w:numPr>
          <w:ilvl w:val="1"/>
          <w:numId w:val="14"/>
        </w:numPr>
        <w:tabs>
          <w:tab w:pos="1138" w:val="left" w:leader="none"/>
          <w:tab w:pos="2817" w:val="left" w:leader="none"/>
        </w:tabs>
        <w:spacing w:line="297" w:lineRule="auto" w:before="65" w:after="0"/>
        <w:ind w:left="237" w:right="249" w:firstLine="480"/>
        <w:jc w:val="left"/>
        <w:rPr>
          <w:sz w:val="24"/>
        </w:rPr>
      </w:pPr>
      <w:r>
        <w:rPr>
          <w:sz w:val="24"/>
        </w:rPr>
        <w:t>药师从业现状</w:t>
        <w:tab/>
        <w:t>所调研样本药师的从业现状如表</w:t>
      </w:r>
      <w:r>
        <w:rPr>
          <w:spacing w:val="-60"/>
          <w:sz w:val="24"/>
        </w:rPr>
        <w:t> </w:t>
      </w:r>
      <w:r>
        <w:rPr>
          <w:rFonts w:ascii="Times New Roman" w:eastAsia="Times New Roman"/>
          <w:sz w:val="24"/>
        </w:rPr>
        <w:t>4 </w:t>
      </w:r>
      <w:r>
        <w:rPr>
          <w:sz w:val="24"/>
        </w:rPr>
        <w:t>所示</w:t>
      </w:r>
      <w:r>
        <w:rPr>
          <w:spacing w:val="-22"/>
          <w:sz w:val="24"/>
        </w:rPr>
        <w:t>。</w:t>
      </w:r>
      <w:r>
        <w:rPr>
          <w:sz w:val="24"/>
        </w:rPr>
        <w:t>由表可知</w:t>
      </w:r>
      <w:r>
        <w:rPr>
          <w:spacing w:val="-22"/>
          <w:sz w:val="24"/>
        </w:rPr>
        <w:t>，</w:t>
      </w:r>
      <w:r>
        <w:rPr>
          <w:sz w:val="24"/>
        </w:rPr>
        <w:t>有职称的药</w:t>
      </w:r>
      <w:r>
        <w:rPr>
          <w:spacing w:val="-16"/>
          <w:sz w:val="24"/>
        </w:rPr>
        <w:t>师</w:t>
      </w:r>
      <w:r>
        <w:rPr>
          <w:sz w:val="24"/>
        </w:rPr>
        <w:t>占绝大多数（</w:t>
      </w:r>
      <w:r>
        <w:rPr>
          <w:rFonts w:ascii="Times New Roman" w:eastAsia="Times New Roman"/>
          <w:sz w:val="24"/>
        </w:rPr>
        <w:t>92.6%</w:t>
      </w:r>
      <w:r>
        <w:rPr>
          <w:sz w:val="24"/>
        </w:rPr>
        <w:t>），其中中级职称为</w:t>
      </w:r>
      <w:r>
        <w:rPr>
          <w:spacing w:val="-61"/>
          <w:sz w:val="24"/>
        </w:rPr>
        <w:t> </w:t>
      </w:r>
      <w:r>
        <w:rPr>
          <w:rFonts w:ascii="Times New Roman" w:eastAsia="Times New Roman"/>
          <w:sz w:val="24"/>
        </w:rPr>
        <w:t>43.6%</w:t>
      </w:r>
      <w:r>
        <w:rPr>
          <w:sz w:val="24"/>
        </w:rPr>
        <w:t>，初级职称为</w:t>
      </w:r>
      <w:r>
        <w:rPr>
          <w:spacing w:val="-61"/>
          <w:sz w:val="24"/>
        </w:rPr>
        <w:t> </w:t>
      </w:r>
      <w:r>
        <w:rPr>
          <w:rFonts w:ascii="Times New Roman" w:eastAsia="Times New Roman"/>
          <w:sz w:val="24"/>
        </w:rPr>
        <w:t>25.4%</w:t>
      </w:r>
      <w:r>
        <w:rPr>
          <w:sz w:val="24"/>
        </w:rPr>
        <w:t>，高级职称为</w:t>
      </w:r>
      <w:r>
        <w:rPr>
          <w:spacing w:val="-60"/>
          <w:sz w:val="24"/>
        </w:rPr>
        <w:t> </w:t>
      </w:r>
      <w:r>
        <w:rPr>
          <w:rFonts w:ascii="Times New Roman" w:eastAsia="Times New Roman"/>
          <w:sz w:val="24"/>
        </w:rPr>
        <w:t>23.6%</w:t>
      </w:r>
      <w:r>
        <w:rPr>
          <w:sz w:val="24"/>
        </w:rPr>
        <w:t>。药师的工作年限分布为</w:t>
      </w:r>
      <w:r>
        <w:rPr>
          <w:spacing w:val="-62"/>
          <w:sz w:val="24"/>
        </w:rPr>
        <w:t> </w:t>
      </w:r>
      <w:r>
        <w:rPr>
          <w:rFonts w:ascii="Times New Roman" w:eastAsia="Times New Roman"/>
          <w:sz w:val="24"/>
        </w:rPr>
        <w:t>0-5 </w:t>
      </w:r>
      <w:r>
        <w:rPr>
          <w:sz w:val="24"/>
        </w:rPr>
        <w:t>年占</w:t>
      </w:r>
      <w:r>
        <w:rPr>
          <w:spacing w:val="-60"/>
          <w:sz w:val="24"/>
        </w:rPr>
        <w:t> </w:t>
      </w:r>
      <w:r>
        <w:rPr>
          <w:rFonts w:ascii="Times New Roman" w:eastAsia="Times New Roman"/>
          <w:sz w:val="24"/>
        </w:rPr>
        <w:t>27.4%</w:t>
      </w:r>
      <w:r>
        <w:rPr>
          <w:sz w:val="24"/>
        </w:rPr>
        <w:t>、</w:t>
      </w:r>
      <w:r>
        <w:rPr>
          <w:rFonts w:ascii="Times New Roman" w:eastAsia="Times New Roman"/>
          <w:sz w:val="24"/>
        </w:rPr>
        <w:t>6-10 </w:t>
      </w:r>
      <w:r>
        <w:rPr>
          <w:sz w:val="24"/>
        </w:rPr>
        <w:t>年占</w:t>
      </w:r>
      <w:r>
        <w:rPr>
          <w:spacing w:val="-61"/>
          <w:sz w:val="24"/>
        </w:rPr>
        <w:t> </w:t>
      </w:r>
      <w:r>
        <w:rPr>
          <w:rFonts w:ascii="Times New Roman" w:eastAsia="Times New Roman"/>
          <w:sz w:val="24"/>
        </w:rPr>
        <w:t>23.6%</w:t>
      </w:r>
      <w:r>
        <w:rPr>
          <w:sz w:val="24"/>
        </w:rPr>
        <w:t>、</w:t>
      </w:r>
      <w:r>
        <w:rPr>
          <w:rFonts w:ascii="Times New Roman" w:eastAsia="Times New Roman"/>
          <w:sz w:val="24"/>
        </w:rPr>
        <w:t>11-20 </w:t>
      </w:r>
      <w:r>
        <w:rPr>
          <w:sz w:val="24"/>
        </w:rPr>
        <w:t>年占</w:t>
      </w:r>
      <w:r>
        <w:rPr>
          <w:spacing w:val="-60"/>
          <w:sz w:val="24"/>
        </w:rPr>
        <w:t> </w:t>
      </w:r>
      <w:r>
        <w:rPr>
          <w:rFonts w:ascii="Times New Roman" w:eastAsia="Times New Roman"/>
          <w:sz w:val="24"/>
        </w:rPr>
        <w:t>23.9%</w:t>
      </w:r>
      <w:r>
        <w:rPr>
          <w:sz w:val="24"/>
        </w:rPr>
        <w:t>和</w:t>
      </w:r>
      <w:r>
        <w:rPr>
          <w:spacing w:val="-60"/>
          <w:sz w:val="24"/>
        </w:rPr>
        <w:t> </w:t>
      </w:r>
      <w:r>
        <w:rPr>
          <w:rFonts w:ascii="Times New Roman" w:eastAsia="Times New Roman"/>
          <w:sz w:val="24"/>
        </w:rPr>
        <w:t>20 </w:t>
      </w:r>
      <w:r>
        <w:rPr>
          <w:sz w:val="24"/>
        </w:rPr>
        <w:t>年以上占</w:t>
      </w:r>
    </w:p>
    <w:p>
      <w:pPr>
        <w:pStyle w:val="BodyText"/>
        <w:spacing w:line="304" w:lineRule="exact"/>
      </w:pPr>
      <w:r>
        <w:rPr>
          <w:rFonts w:ascii="Times New Roman" w:eastAsia="Times New Roman"/>
          <w:spacing w:val="-10"/>
        </w:rPr>
        <w:t>25.1%</w:t>
      </w:r>
      <w:r>
        <w:rPr>
          <w:spacing w:val="-10"/>
        </w:rPr>
        <w:t>，各时长段占比相对均匀。药师的工作月收入主要集中于 </w:t>
      </w:r>
      <w:r>
        <w:rPr>
          <w:rFonts w:ascii="Times New Roman" w:eastAsia="Times New Roman"/>
        </w:rPr>
        <w:t>2000-5000 </w:t>
      </w:r>
      <w:r>
        <w:rPr>
          <w:spacing w:val="-19"/>
        </w:rPr>
        <w:t>元之间</w:t>
      </w:r>
      <w:r>
        <w:rPr>
          <w:spacing w:val="-15"/>
        </w:rPr>
        <w:t>（</w:t>
      </w:r>
      <w:r>
        <w:rPr>
          <w:rFonts w:ascii="Times New Roman" w:eastAsia="Times New Roman"/>
          <w:spacing w:val="-15"/>
        </w:rPr>
        <w:t>78.4%</w:t>
      </w:r>
      <w:r>
        <w:rPr>
          <w:spacing w:val="-15"/>
        </w:rPr>
        <w:t>），</w:t>
      </w:r>
    </w:p>
    <w:p>
      <w:pPr>
        <w:pStyle w:val="BodyText"/>
        <w:spacing w:line="295" w:lineRule="auto" w:before="74"/>
        <w:ind w:right="246"/>
        <w:jc w:val="both"/>
      </w:pPr>
      <w:r>
        <w:rPr>
          <w:spacing w:val="-15"/>
        </w:rPr>
        <w:t>其次为 </w:t>
      </w:r>
      <w:r>
        <w:rPr>
          <w:rFonts w:ascii="Times New Roman" w:eastAsia="Times New Roman"/>
        </w:rPr>
        <w:t>2000 </w:t>
      </w:r>
      <w:r>
        <w:rPr>
          <w:spacing w:val="-12"/>
        </w:rPr>
        <w:t>元以下</w:t>
      </w:r>
      <w:r>
        <w:rPr>
          <w:spacing w:val="-5"/>
        </w:rPr>
        <w:t>（</w:t>
      </w:r>
      <w:r>
        <w:rPr>
          <w:rFonts w:ascii="Times New Roman" w:eastAsia="Times New Roman"/>
          <w:spacing w:val="-5"/>
        </w:rPr>
        <w:t>11.2%</w:t>
      </w:r>
      <w:r>
        <w:rPr>
          <w:spacing w:val="-5"/>
        </w:rPr>
        <w:t>）</w:t>
      </w:r>
      <w:r>
        <w:rPr>
          <w:spacing w:val="-29"/>
        </w:rPr>
        <w:t>和 </w:t>
      </w:r>
      <w:r>
        <w:rPr>
          <w:rFonts w:ascii="Times New Roman" w:eastAsia="Times New Roman"/>
        </w:rPr>
        <w:t>5000-8000 </w:t>
      </w:r>
      <w:r>
        <w:rPr>
          <w:spacing w:val="-32"/>
        </w:rPr>
        <w:t>元</w:t>
      </w:r>
      <w:r>
        <w:rPr>
          <w:spacing w:val="-10"/>
        </w:rPr>
        <w:t>（</w:t>
      </w:r>
      <w:r>
        <w:rPr>
          <w:rFonts w:ascii="Times New Roman" w:eastAsia="Times New Roman"/>
          <w:spacing w:val="-10"/>
        </w:rPr>
        <w:t>8.9%</w:t>
      </w:r>
      <w:r>
        <w:rPr>
          <w:spacing w:val="-10"/>
        </w:rPr>
        <w:t>）</w:t>
      </w:r>
      <w:r>
        <w:rPr>
          <w:spacing w:val="-7"/>
        </w:rPr>
        <w:t>，一小部分药师的工作月收入在 </w:t>
      </w:r>
      <w:r>
        <w:rPr>
          <w:rFonts w:ascii="Times New Roman" w:eastAsia="Times New Roman"/>
          <w:spacing w:val="-3"/>
        </w:rPr>
        <w:t>8000 </w:t>
      </w:r>
      <w:r>
        <w:rPr>
          <w:spacing w:val="-4"/>
        </w:rPr>
        <w:t>元以上</w:t>
      </w:r>
      <w:r>
        <w:rPr>
          <w:spacing w:val="-1"/>
        </w:rPr>
        <w:t>（</w:t>
      </w:r>
      <w:r>
        <w:rPr>
          <w:rFonts w:ascii="Times New Roman" w:eastAsia="Times New Roman"/>
          <w:spacing w:val="-1"/>
        </w:rPr>
        <w:t>1.5%</w:t>
      </w:r>
      <w:r>
        <w:rPr>
          <w:spacing w:val="-1"/>
        </w:rPr>
        <w:t>）</w:t>
      </w:r>
      <w:r>
        <w:rPr>
          <w:spacing w:val="-5"/>
        </w:rPr>
        <w:t>。对当前的工作收入，近一半的药师表示基本满意</w:t>
      </w:r>
      <w:r>
        <w:rPr/>
        <w:t>（</w:t>
      </w:r>
      <w:r>
        <w:rPr>
          <w:rFonts w:ascii="Times New Roman" w:eastAsia="Times New Roman"/>
        </w:rPr>
        <w:t>49.7%</w:t>
      </w:r>
      <w:r>
        <w:rPr/>
        <w:t>），</w:t>
      </w:r>
      <w:r>
        <w:rPr>
          <w:rFonts w:ascii="Times New Roman" w:eastAsia="Times New Roman"/>
        </w:rPr>
        <w:t>2.6%</w:t>
      </w:r>
      <w:r>
        <w:rPr>
          <w:spacing w:val="-2"/>
        </w:rPr>
        <w:t>的药师</w:t>
      </w:r>
      <w:r>
        <w:rPr>
          <w:spacing w:val="-5"/>
        </w:rPr>
        <w:t>感到非常满意，较不满意和非常不满意的比例分别为 </w:t>
      </w:r>
      <w:r>
        <w:rPr>
          <w:rFonts w:ascii="Times New Roman" w:eastAsia="Times New Roman"/>
        </w:rPr>
        <w:t>31.1%</w:t>
      </w:r>
      <w:r>
        <w:rPr/>
        <w:t>、</w:t>
      </w:r>
      <w:r>
        <w:rPr>
          <w:rFonts w:ascii="Times New Roman" w:eastAsia="Times New Roman"/>
        </w:rPr>
        <w:t>8.2%</w:t>
      </w:r>
      <w:r>
        <w:rPr/>
        <w:t>。</w:t>
      </w:r>
    </w:p>
    <w:p>
      <w:pPr>
        <w:spacing w:line="243" w:lineRule="exact" w:before="0" w:after="9"/>
        <w:ind w:left="599" w:right="0" w:firstLine="0"/>
        <w:jc w:val="left"/>
        <w:rPr>
          <w:rFonts w:ascii="华文楷体" w:eastAsia="华文楷体" w:hint="eastAsia"/>
          <w:sz w:val="18"/>
        </w:rPr>
      </w:pPr>
      <w:r>
        <w:rPr>
          <w:rFonts w:ascii="华文楷体" w:eastAsia="华文楷体" w:hint="eastAsia"/>
          <w:sz w:val="18"/>
        </w:rPr>
        <w:t>表4：药师从业现状</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3"/>
        <w:gridCol w:w="3087"/>
        <w:gridCol w:w="3029"/>
      </w:tblGrid>
      <w:tr>
        <w:trPr>
          <w:trHeight w:val="310" w:hRule="atLeast"/>
        </w:trPr>
        <w:tc>
          <w:tcPr>
            <w:tcW w:w="3613" w:type="dxa"/>
            <w:tcBorders>
              <w:top w:val="single" w:sz="4" w:space="0" w:color="7E7E7E"/>
            </w:tcBorders>
          </w:tcPr>
          <w:p>
            <w:pPr>
              <w:pStyle w:val="TableParagraph"/>
              <w:spacing w:before="58"/>
              <w:ind w:left="1824" w:right="1448"/>
              <w:jc w:val="center"/>
              <w:rPr>
                <w:sz w:val="15"/>
              </w:rPr>
            </w:pPr>
            <w:r>
              <w:rPr>
                <w:sz w:val="15"/>
              </w:rPr>
              <w:t>项目</w:t>
            </w:r>
          </w:p>
        </w:tc>
        <w:tc>
          <w:tcPr>
            <w:tcW w:w="3087" w:type="dxa"/>
            <w:tcBorders>
              <w:top w:val="single" w:sz="4" w:space="0" w:color="7E7E7E"/>
            </w:tcBorders>
          </w:tcPr>
          <w:p>
            <w:pPr>
              <w:pStyle w:val="TableParagraph"/>
              <w:spacing w:before="58"/>
              <w:ind w:right="1316"/>
              <w:jc w:val="right"/>
              <w:rPr>
                <w:sz w:val="15"/>
              </w:rPr>
            </w:pPr>
            <w:r>
              <w:rPr>
                <w:sz w:val="15"/>
              </w:rPr>
              <w:t>频数</w:t>
            </w:r>
          </w:p>
        </w:tc>
        <w:tc>
          <w:tcPr>
            <w:tcW w:w="3029" w:type="dxa"/>
            <w:tcBorders>
              <w:top w:val="single" w:sz="4" w:space="0" w:color="7E7E7E"/>
            </w:tcBorders>
          </w:tcPr>
          <w:p>
            <w:pPr>
              <w:pStyle w:val="TableParagraph"/>
              <w:spacing w:before="58"/>
              <w:ind w:left="1298" w:right="791"/>
              <w:jc w:val="center"/>
              <w:rPr>
                <w:sz w:val="15"/>
              </w:rPr>
            </w:pPr>
            <w:r>
              <w:rPr>
                <w:sz w:val="15"/>
              </w:rPr>
              <w:t>有效百分比/%</w:t>
            </w:r>
          </w:p>
        </w:tc>
      </w:tr>
      <w:tr>
        <w:trPr>
          <w:trHeight w:val="312" w:hRule="atLeast"/>
        </w:trPr>
        <w:tc>
          <w:tcPr>
            <w:tcW w:w="3613" w:type="dxa"/>
          </w:tcPr>
          <w:p>
            <w:pPr>
              <w:pStyle w:val="TableParagraph"/>
              <w:ind w:left="842"/>
              <w:rPr>
                <w:sz w:val="15"/>
              </w:rPr>
            </w:pPr>
            <w:r>
              <w:rPr>
                <w:sz w:val="15"/>
              </w:rPr>
              <w:t>职称</w:t>
            </w:r>
          </w:p>
        </w:tc>
        <w:tc>
          <w:tcPr>
            <w:tcW w:w="3087" w:type="dxa"/>
          </w:tcPr>
          <w:p>
            <w:pPr>
              <w:pStyle w:val="TableParagraph"/>
              <w:spacing w:before="0"/>
              <w:rPr>
                <w:rFonts w:ascii="Times New Roman"/>
                <w:sz w:val="20"/>
              </w:rPr>
            </w:pPr>
          </w:p>
        </w:tc>
        <w:tc>
          <w:tcPr>
            <w:tcW w:w="3029" w:type="dxa"/>
          </w:tcPr>
          <w:p>
            <w:pPr>
              <w:pStyle w:val="TableParagraph"/>
              <w:spacing w:before="0"/>
              <w:rPr>
                <w:rFonts w:ascii="Times New Roman"/>
                <w:sz w:val="20"/>
              </w:rPr>
            </w:pPr>
          </w:p>
        </w:tc>
      </w:tr>
      <w:tr>
        <w:trPr>
          <w:trHeight w:val="311" w:hRule="atLeast"/>
        </w:trPr>
        <w:tc>
          <w:tcPr>
            <w:tcW w:w="3613" w:type="dxa"/>
          </w:tcPr>
          <w:p>
            <w:pPr>
              <w:pStyle w:val="TableParagraph"/>
              <w:ind w:left="242"/>
              <w:rPr>
                <w:sz w:val="15"/>
              </w:rPr>
            </w:pPr>
            <w:r>
              <w:rPr>
                <w:w w:val="100"/>
                <w:sz w:val="15"/>
              </w:rPr>
              <w:t>无</w:t>
            </w:r>
          </w:p>
        </w:tc>
        <w:tc>
          <w:tcPr>
            <w:tcW w:w="3087" w:type="dxa"/>
          </w:tcPr>
          <w:p>
            <w:pPr>
              <w:pStyle w:val="TableParagraph"/>
              <w:ind w:right="1390"/>
              <w:jc w:val="right"/>
              <w:rPr>
                <w:sz w:val="15"/>
              </w:rPr>
            </w:pPr>
            <w:r>
              <w:rPr>
                <w:sz w:val="15"/>
              </w:rPr>
              <w:t>95</w:t>
            </w:r>
          </w:p>
        </w:tc>
        <w:tc>
          <w:tcPr>
            <w:tcW w:w="3029" w:type="dxa"/>
          </w:tcPr>
          <w:p>
            <w:pPr>
              <w:pStyle w:val="TableParagraph"/>
              <w:ind w:left="1298" w:right="788"/>
              <w:jc w:val="center"/>
              <w:rPr>
                <w:sz w:val="15"/>
              </w:rPr>
            </w:pPr>
            <w:r>
              <w:rPr>
                <w:sz w:val="15"/>
              </w:rPr>
              <w:t>7.4</w:t>
            </w:r>
          </w:p>
        </w:tc>
      </w:tr>
      <w:tr>
        <w:trPr>
          <w:trHeight w:val="311" w:hRule="atLeast"/>
        </w:trPr>
        <w:tc>
          <w:tcPr>
            <w:tcW w:w="3613" w:type="dxa"/>
          </w:tcPr>
          <w:p>
            <w:pPr>
              <w:pStyle w:val="TableParagraph"/>
              <w:ind w:left="242"/>
              <w:rPr>
                <w:sz w:val="15"/>
              </w:rPr>
            </w:pPr>
            <w:r>
              <w:rPr>
                <w:sz w:val="15"/>
              </w:rPr>
              <w:t>初级职称</w:t>
            </w:r>
          </w:p>
        </w:tc>
        <w:tc>
          <w:tcPr>
            <w:tcW w:w="3087" w:type="dxa"/>
          </w:tcPr>
          <w:p>
            <w:pPr>
              <w:pStyle w:val="TableParagraph"/>
              <w:ind w:right="1355"/>
              <w:jc w:val="right"/>
              <w:rPr>
                <w:sz w:val="15"/>
              </w:rPr>
            </w:pPr>
            <w:r>
              <w:rPr>
                <w:sz w:val="15"/>
              </w:rPr>
              <w:t>327</w:t>
            </w:r>
          </w:p>
        </w:tc>
        <w:tc>
          <w:tcPr>
            <w:tcW w:w="3029" w:type="dxa"/>
          </w:tcPr>
          <w:p>
            <w:pPr>
              <w:pStyle w:val="TableParagraph"/>
              <w:ind w:left="1298" w:right="790"/>
              <w:jc w:val="center"/>
              <w:rPr>
                <w:sz w:val="15"/>
              </w:rPr>
            </w:pPr>
            <w:r>
              <w:rPr>
                <w:sz w:val="15"/>
              </w:rPr>
              <w:t>25.4</w:t>
            </w:r>
          </w:p>
        </w:tc>
      </w:tr>
      <w:tr>
        <w:trPr>
          <w:trHeight w:val="313" w:hRule="atLeast"/>
        </w:trPr>
        <w:tc>
          <w:tcPr>
            <w:tcW w:w="3613" w:type="dxa"/>
            <w:tcBorders>
              <w:bottom w:val="single" w:sz="4" w:space="0" w:color="7E7E7E"/>
            </w:tcBorders>
          </w:tcPr>
          <w:p>
            <w:pPr>
              <w:pStyle w:val="TableParagraph"/>
              <w:ind w:left="242"/>
              <w:rPr>
                <w:sz w:val="15"/>
              </w:rPr>
            </w:pPr>
            <w:r>
              <w:rPr>
                <w:sz w:val="15"/>
              </w:rPr>
              <w:t>中级职称</w:t>
            </w:r>
          </w:p>
        </w:tc>
        <w:tc>
          <w:tcPr>
            <w:tcW w:w="3087" w:type="dxa"/>
            <w:tcBorders>
              <w:bottom w:val="single" w:sz="4" w:space="0" w:color="7E7E7E"/>
            </w:tcBorders>
          </w:tcPr>
          <w:p>
            <w:pPr>
              <w:pStyle w:val="TableParagraph"/>
              <w:ind w:right="1355"/>
              <w:jc w:val="right"/>
              <w:rPr>
                <w:sz w:val="15"/>
              </w:rPr>
            </w:pPr>
            <w:r>
              <w:rPr>
                <w:sz w:val="15"/>
              </w:rPr>
              <w:t>561</w:t>
            </w:r>
          </w:p>
        </w:tc>
        <w:tc>
          <w:tcPr>
            <w:tcW w:w="3029" w:type="dxa"/>
            <w:tcBorders>
              <w:bottom w:val="single" w:sz="4" w:space="0" w:color="7E7E7E"/>
            </w:tcBorders>
          </w:tcPr>
          <w:p>
            <w:pPr>
              <w:pStyle w:val="TableParagraph"/>
              <w:ind w:left="1298" w:right="790"/>
              <w:jc w:val="center"/>
              <w:rPr>
                <w:sz w:val="15"/>
              </w:rPr>
            </w:pPr>
            <w:r>
              <w:rPr>
                <w:sz w:val="15"/>
              </w:rPr>
              <w:t>43.6</w:t>
            </w:r>
          </w:p>
        </w:tc>
      </w:tr>
    </w:tbl>
    <w:p>
      <w:pPr>
        <w:spacing w:after="0"/>
        <w:jc w:val="center"/>
        <w:rPr>
          <w:sz w:val="15"/>
        </w:rPr>
        <w:sectPr>
          <w:pgSz w:w="11910" w:h="16850"/>
          <w:pgMar w:header="906" w:footer="607" w:top="1100" w:bottom="800" w:left="1040" w:right="880"/>
        </w:sect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8"/>
        <w:gridCol w:w="3793"/>
        <w:gridCol w:w="2897"/>
      </w:tblGrid>
      <w:tr>
        <w:trPr>
          <w:trHeight w:val="310" w:hRule="atLeast"/>
        </w:trPr>
        <w:tc>
          <w:tcPr>
            <w:tcW w:w="3038" w:type="dxa"/>
            <w:tcBorders>
              <w:top w:val="single" w:sz="4" w:space="0" w:color="7E7E7E"/>
            </w:tcBorders>
          </w:tcPr>
          <w:p>
            <w:pPr>
              <w:pStyle w:val="TableParagraph"/>
              <w:spacing w:before="58"/>
              <w:ind w:left="242"/>
              <w:rPr>
                <w:sz w:val="15"/>
              </w:rPr>
            </w:pPr>
            <w:r>
              <w:rPr>
                <w:sz w:val="15"/>
              </w:rPr>
              <w:t>高级职称</w:t>
            </w:r>
          </w:p>
        </w:tc>
        <w:tc>
          <w:tcPr>
            <w:tcW w:w="3793" w:type="dxa"/>
            <w:tcBorders>
              <w:top w:val="single" w:sz="4" w:space="0" w:color="7E7E7E"/>
            </w:tcBorders>
          </w:tcPr>
          <w:p>
            <w:pPr>
              <w:pStyle w:val="TableParagraph"/>
              <w:spacing w:before="58"/>
              <w:ind w:right="1486"/>
              <w:jc w:val="right"/>
              <w:rPr>
                <w:sz w:val="15"/>
              </w:rPr>
            </w:pPr>
            <w:r>
              <w:rPr>
                <w:sz w:val="15"/>
              </w:rPr>
              <w:t>303</w:t>
            </w:r>
          </w:p>
        </w:tc>
        <w:tc>
          <w:tcPr>
            <w:tcW w:w="2897" w:type="dxa"/>
            <w:tcBorders>
              <w:top w:val="single" w:sz="4" w:space="0" w:color="7E7E7E"/>
            </w:tcBorders>
          </w:tcPr>
          <w:p>
            <w:pPr>
              <w:pStyle w:val="TableParagraph"/>
              <w:spacing w:before="58"/>
              <w:ind w:right="1106"/>
              <w:jc w:val="right"/>
              <w:rPr>
                <w:sz w:val="15"/>
              </w:rPr>
            </w:pPr>
            <w:r>
              <w:rPr>
                <w:sz w:val="15"/>
              </w:rPr>
              <w:t>23.6</w:t>
            </w:r>
          </w:p>
        </w:tc>
      </w:tr>
      <w:tr>
        <w:trPr>
          <w:trHeight w:val="312" w:hRule="atLeast"/>
        </w:trPr>
        <w:tc>
          <w:tcPr>
            <w:tcW w:w="3038" w:type="dxa"/>
          </w:tcPr>
          <w:p>
            <w:pPr>
              <w:pStyle w:val="TableParagraph"/>
              <w:ind w:left="242"/>
              <w:rPr>
                <w:sz w:val="15"/>
              </w:rPr>
            </w:pPr>
            <w:r>
              <w:rPr>
                <w:sz w:val="15"/>
              </w:rPr>
              <w:t>总计</w:t>
            </w:r>
          </w:p>
        </w:tc>
        <w:tc>
          <w:tcPr>
            <w:tcW w:w="3793" w:type="dxa"/>
          </w:tcPr>
          <w:p>
            <w:pPr>
              <w:pStyle w:val="TableParagraph"/>
              <w:ind w:right="1448"/>
              <w:jc w:val="right"/>
              <w:rPr>
                <w:sz w:val="15"/>
              </w:rPr>
            </w:pPr>
            <w:r>
              <w:rPr>
                <w:sz w:val="15"/>
              </w:rPr>
              <w:t>1286</w:t>
            </w:r>
          </w:p>
        </w:tc>
        <w:tc>
          <w:tcPr>
            <w:tcW w:w="2897" w:type="dxa"/>
          </w:tcPr>
          <w:p>
            <w:pPr>
              <w:pStyle w:val="TableParagraph"/>
              <w:ind w:right="1068"/>
              <w:jc w:val="right"/>
              <w:rPr>
                <w:sz w:val="15"/>
              </w:rPr>
            </w:pPr>
            <w:r>
              <w:rPr>
                <w:sz w:val="15"/>
              </w:rPr>
              <w:t>100.0</w:t>
            </w:r>
          </w:p>
        </w:tc>
      </w:tr>
      <w:tr>
        <w:trPr>
          <w:trHeight w:val="309" w:hRule="atLeast"/>
        </w:trPr>
        <w:tc>
          <w:tcPr>
            <w:tcW w:w="3038" w:type="dxa"/>
          </w:tcPr>
          <w:p>
            <w:pPr>
              <w:pStyle w:val="TableParagraph"/>
              <w:ind w:left="842"/>
              <w:rPr>
                <w:sz w:val="15"/>
              </w:rPr>
            </w:pPr>
            <w:r>
              <w:rPr>
                <w:sz w:val="15"/>
              </w:rPr>
              <w:t>从业年限</w:t>
            </w:r>
          </w:p>
        </w:tc>
        <w:tc>
          <w:tcPr>
            <w:tcW w:w="3793" w:type="dxa"/>
          </w:tcPr>
          <w:p>
            <w:pPr>
              <w:pStyle w:val="TableParagraph"/>
              <w:spacing w:before="0"/>
              <w:rPr>
                <w:rFonts w:ascii="Times New Roman"/>
                <w:sz w:val="18"/>
              </w:rPr>
            </w:pPr>
          </w:p>
        </w:tc>
        <w:tc>
          <w:tcPr>
            <w:tcW w:w="2897" w:type="dxa"/>
          </w:tcPr>
          <w:p>
            <w:pPr>
              <w:pStyle w:val="TableParagraph"/>
              <w:spacing w:before="0"/>
              <w:rPr>
                <w:rFonts w:ascii="Times New Roman"/>
                <w:sz w:val="18"/>
              </w:rPr>
            </w:pPr>
          </w:p>
        </w:tc>
      </w:tr>
      <w:tr>
        <w:trPr>
          <w:trHeight w:val="317" w:hRule="atLeast"/>
        </w:trPr>
        <w:tc>
          <w:tcPr>
            <w:tcW w:w="3038" w:type="dxa"/>
          </w:tcPr>
          <w:p>
            <w:pPr>
              <w:pStyle w:val="TableParagraph"/>
              <w:spacing w:before="62"/>
              <w:ind w:left="242"/>
              <w:rPr>
                <w:sz w:val="15"/>
              </w:rPr>
            </w:pPr>
            <w:r>
              <w:rPr>
                <w:sz w:val="15"/>
              </w:rPr>
              <w:t>0</w:t>
            </w:r>
            <w:r>
              <w:rPr>
                <w:rFonts w:ascii="Times New Roman" w:eastAsia="Times New Roman"/>
                <w:sz w:val="15"/>
              </w:rPr>
              <w:t>-</w:t>
            </w:r>
            <w:r>
              <w:rPr>
                <w:sz w:val="15"/>
              </w:rPr>
              <w:t>5 年</w:t>
            </w:r>
          </w:p>
        </w:tc>
        <w:tc>
          <w:tcPr>
            <w:tcW w:w="3793" w:type="dxa"/>
          </w:tcPr>
          <w:p>
            <w:pPr>
              <w:pStyle w:val="TableParagraph"/>
              <w:spacing w:before="62"/>
              <w:ind w:right="1486"/>
              <w:jc w:val="right"/>
              <w:rPr>
                <w:sz w:val="15"/>
              </w:rPr>
            </w:pPr>
            <w:r>
              <w:rPr>
                <w:sz w:val="15"/>
              </w:rPr>
              <w:t>352</w:t>
            </w:r>
          </w:p>
        </w:tc>
        <w:tc>
          <w:tcPr>
            <w:tcW w:w="2897" w:type="dxa"/>
          </w:tcPr>
          <w:p>
            <w:pPr>
              <w:pStyle w:val="TableParagraph"/>
              <w:spacing w:before="62"/>
              <w:ind w:right="1106"/>
              <w:jc w:val="right"/>
              <w:rPr>
                <w:sz w:val="15"/>
              </w:rPr>
            </w:pPr>
            <w:r>
              <w:rPr>
                <w:sz w:val="15"/>
              </w:rPr>
              <w:t>27.4</w:t>
            </w:r>
          </w:p>
        </w:tc>
      </w:tr>
      <w:tr>
        <w:trPr>
          <w:trHeight w:val="312" w:hRule="atLeast"/>
        </w:trPr>
        <w:tc>
          <w:tcPr>
            <w:tcW w:w="3038" w:type="dxa"/>
          </w:tcPr>
          <w:p>
            <w:pPr>
              <w:pStyle w:val="TableParagraph"/>
              <w:spacing w:before="57"/>
              <w:ind w:left="242"/>
              <w:rPr>
                <w:sz w:val="15"/>
              </w:rPr>
            </w:pPr>
            <w:r>
              <w:rPr>
                <w:sz w:val="15"/>
              </w:rPr>
              <w:t>6</w:t>
            </w:r>
            <w:r>
              <w:rPr>
                <w:rFonts w:ascii="Times New Roman" w:eastAsia="Times New Roman"/>
                <w:sz w:val="15"/>
              </w:rPr>
              <w:t>-</w:t>
            </w:r>
            <w:r>
              <w:rPr>
                <w:sz w:val="15"/>
              </w:rPr>
              <w:t>10 年</w:t>
            </w:r>
          </w:p>
        </w:tc>
        <w:tc>
          <w:tcPr>
            <w:tcW w:w="3793" w:type="dxa"/>
          </w:tcPr>
          <w:p>
            <w:pPr>
              <w:pStyle w:val="TableParagraph"/>
              <w:spacing w:before="57"/>
              <w:ind w:right="1486"/>
              <w:jc w:val="right"/>
              <w:rPr>
                <w:sz w:val="15"/>
              </w:rPr>
            </w:pPr>
            <w:r>
              <w:rPr>
                <w:sz w:val="15"/>
              </w:rPr>
              <w:t>304</w:t>
            </w:r>
          </w:p>
        </w:tc>
        <w:tc>
          <w:tcPr>
            <w:tcW w:w="2897" w:type="dxa"/>
          </w:tcPr>
          <w:p>
            <w:pPr>
              <w:pStyle w:val="TableParagraph"/>
              <w:spacing w:before="57"/>
              <w:ind w:right="1106"/>
              <w:jc w:val="right"/>
              <w:rPr>
                <w:sz w:val="15"/>
              </w:rPr>
            </w:pPr>
            <w:r>
              <w:rPr>
                <w:sz w:val="15"/>
              </w:rPr>
              <w:t>23.6</w:t>
            </w:r>
          </w:p>
        </w:tc>
      </w:tr>
      <w:tr>
        <w:trPr>
          <w:trHeight w:val="314" w:hRule="atLeast"/>
        </w:trPr>
        <w:tc>
          <w:tcPr>
            <w:tcW w:w="3038" w:type="dxa"/>
          </w:tcPr>
          <w:p>
            <w:pPr>
              <w:pStyle w:val="TableParagraph"/>
              <w:spacing w:before="57"/>
              <w:ind w:left="242"/>
              <w:rPr>
                <w:sz w:val="15"/>
              </w:rPr>
            </w:pPr>
            <w:r>
              <w:rPr>
                <w:sz w:val="15"/>
              </w:rPr>
              <w:t>11</w:t>
            </w:r>
            <w:r>
              <w:rPr>
                <w:rFonts w:ascii="Times New Roman" w:eastAsia="Times New Roman"/>
                <w:sz w:val="15"/>
              </w:rPr>
              <w:t>-</w:t>
            </w:r>
            <w:r>
              <w:rPr>
                <w:sz w:val="15"/>
              </w:rPr>
              <w:t>20 年</w:t>
            </w:r>
          </w:p>
        </w:tc>
        <w:tc>
          <w:tcPr>
            <w:tcW w:w="3793" w:type="dxa"/>
          </w:tcPr>
          <w:p>
            <w:pPr>
              <w:pStyle w:val="TableParagraph"/>
              <w:spacing w:before="57"/>
              <w:ind w:right="1486"/>
              <w:jc w:val="right"/>
              <w:rPr>
                <w:sz w:val="15"/>
              </w:rPr>
            </w:pPr>
            <w:r>
              <w:rPr>
                <w:sz w:val="15"/>
              </w:rPr>
              <w:t>307</w:t>
            </w:r>
          </w:p>
        </w:tc>
        <w:tc>
          <w:tcPr>
            <w:tcW w:w="2897" w:type="dxa"/>
          </w:tcPr>
          <w:p>
            <w:pPr>
              <w:pStyle w:val="TableParagraph"/>
              <w:spacing w:before="57"/>
              <w:ind w:right="1106"/>
              <w:jc w:val="right"/>
              <w:rPr>
                <w:sz w:val="15"/>
              </w:rPr>
            </w:pPr>
            <w:r>
              <w:rPr>
                <w:sz w:val="15"/>
              </w:rPr>
              <w:t>23.9</w:t>
            </w:r>
          </w:p>
        </w:tc>
      </w:tr>
      <w:tr>
        <w:trPr>
          <w:trHeight w:val="306" w:hRule="atLeast"/>
        </w:trPr>
        <w:tc>
          <w:tcPr>
            <w:tcW w:w="3038" w:type="dxa"/>
          </w:tcPr>
          <w:p>
            <w:pPr>
              <w:pStyle w:val="TableParagraph"/>
              <w:spacing w:before="54"/>
              <w:ind w:left="242"/>
              <w:rPr>
                <w:sz w:val="15"/>
              </w:rPr>
            </w:pPr>
            <w:r>
              <w:rPr>
                <w:sz w:val="15"/>
              </w:rPr>
              <w:t>20 年以上</w:t>
            </w:r>
          </w:p>
        </w:tc>
        <w:tc>
          <w:tcPr>
            <w:tcW w:w="3793" w:type="dxa"/>
          </w:tcPr>
          <w:p>
            <w:pPr>
              <w:pStyle w:val="TableParagraph"/>
              <w:spacing w:before="54"/>
              <w:ind w:right="1486"/>
              <w:jc w:val="right"/>
              <w:rPr>
                <w:sz w:val="15"/>
              </w:rPr>
            </w:pPr>
            <w:r>
              <w:rPr>
                <w:sz w:val="15"/>
              </w:rPr>
              <w:t>323</w:t>
            </w:r>
          </w:p>
        </w:tc>
        <w:tc>
          <w:tcPr>
            <w:tcW w:w="2897" w:type="dxa"/>
          </w:tcPr>
          <w:p>
            <w:pPr>
              <w:pStyle w:val="TableParagraph"/>
              <w:spacing w:before="54"/>
              <w:ind w:right="1106"/>
              <w:jc w:val="right"/>
              <w:rPr>
                <w:sz w:val="15"/>
              </w:rPr>
            </w:pPr>
            <w:r>
              <w:rPr>
                <w:sz w:val="15"/>
              </w:rPr>
              <w:t>25.1</w:t>
            </w:r>
          </w:p>
        </w:tc>
      </w:tr>
      <w:tr>
        <w:trPr>
          <w:trHeight w:val="311" w:hRule="atLeast"/>
        </w:trPr>
        <w:tc>
          <w:tcPr>
            <w:tcW w:w="3038" w:type="dxa"/>
          </w:tcPr>
          <w:p>
            <w:pPr>
              <w:pStyle w:val="TableParagraph"/>
              <w:ind w:left="242"/>
              <w:rPr>
                <w:sz w:val="15"/>
              </w:rPr>
            </w:pPr>
            <w:r>
              <w:rPr>
                <w:sz w:val="15"/>
              </w:rPr>
              <w:t>总计</w:t>
            </w:r>
          </w:p>
        </w:tc>
        <w:tc>
          <w:tcPr>
            <w:tcW w:w="3793" w:type="dxa"/>
          </w:tcPr>
          <w:p>
            <w:pPr>
              <w:pStyle w:val="TableParagraph"/>
              <w:ind w:right="1448"/>
              <w:jc w:val="right"/>
              <w:rPr>
                <w:sz w:val="15"/>
              </w:rPr>
            </w:pPr>
            <w:r>
              <w:rPr>
                <w:sz w:val="15"/>
              </w:rPr>
              <w:t>1286</w:t>
            </w:r>
          </w:p>
        </w:tc>
        <w:tc>
          <w:tcPr>
            <w:tcW w:w="2897" w:type="dxa"/>
          </w:tcPr>
          <w:p>
            <w:pPr>
              <w:pStyle w:val="TableParagraph"/>
              <w:ind w:right="1068"/>
              <w:jc w:val="right"/>
              <w:rPr>
                <w:sz w:val="15"/>
              </w:rPr>
            </w:pPr>
            <w:r>
              <w:rPr>
                <w:sz w:val="15"/>
              </w:rPr>
              <w:t>100.0</w:t>
            </w:r>
          </w:p>
        </w:tc>
      </w:tr>
      <w:tr>
        <w:trPr>
          <w:trHeight w:val="312" w:hRule="atLeast"/>
        </w:trPr>
        <w:tc>
          <w:tcPr>
            <w:tcW w:w="3038" w:type="dxa"/>
          </w:tcPr>
          <w:p>
            <w:pPr>
              <w:pStyle w:val="TableParagraph"/>
              <w:ind w:left="122"/>
              <w:rPr>
                <w:sz w:val="15"/>
              </w:rPr>
            </w:pPr>
            <w:r>
              <w:rPr>
                <w:sz w:val="15"/>
              </w:rPr>
              <w:t>工作月收入</w:t>
            </w:r>
          </w:p>
        </w:tc>
        <w:tc>
          <w:tcPr>
            <w:tcW w:w="3793" w:type="dxa"/>
          </w:tcPr>
          <w:p>
            <w:pPr>
              <w:pStyle w:val="TableParagraph"/>
              <w:spacing w:before="0"/>
              <w:rPr>
                <w:rFonts w:ascii="Times New Roman"/>
                <w:sz w:val="18"/>
              </w:rPr>
            </w:pPr>
          </w:p>
        </w:tc>
        <w:tc>
          <w:tcPr>
            <w:tcW w:w="2897" w:type="dxa"/>
          </w:tcPr>
          <w:p>
            <w:pPr>
              <w:pStyle w:val="TableParagraph"/>
              <w:spacing w:before="0"/>
              <w:rPr>
                <w:rFonts w:ascii="Times New Roman"/>
                <w:sz w:val="18"/>
              </w:rPr>
            </w:pPr>
          </w:p>
        </w:tc>
      </w:tr>
      <w:tr>
        <w:trPr>
          <w:trHeight w:val="309" w:hRule="atLeast"/>
        </w:trPr>
        <w:tc>
          <w:tcPr>
            <w:tcW w:w="3038" w:type="dxa"/>
          </w:tcPr>
          <w:p>
            <w:pPr>
              <w:pStyle w:val="TableParagraph"/>
              <w:ind w:left="242"/>
              <w:rPr>
                <w:sz w:val="15"/>
              </w:rPr>
            </w:pPr>
            <w:r>
              <w:rPr>
                <w:sz w:val="15"/>
              </w:rPr>
              <w:t>2000 以下</w:t>
            </w:r>
          </w:p>
        </w:tc>
        <w:tc>
          <w:tcPr>
            <w:tcW w:w="3793" w:type="dxa"/>
          </w:tcPr>
          <w:p>
            <w:pPr>
              <w:pStyle w:val="TableParagraph"/>
              <w:ind w:right="1486"/>
              <w:jc w:val="right"/>
              <w:rPr>
                <w:sz w:val="15"/>
              </w:rPr>
            </w:pPr>
            <w:r>
              <w:rPr>
                <w:sz w:val="15"/>
              </w:rPr>
              <w:t>144</w:t>
            </w:r>
          </w:p>
        </w:tc>
        <w:tc>
          <w:tcPr>
            <w:tcW w:w="2897" w:type="dxa"/>
          </w:tcPr>
          <w:p>
            <w:pPr>
              <w:pStyle w:val="TableParagraph"/>
              <w:ind w:right="1106"/>
              <w:jc w:val="right"/>
              <w:rPr>
                <w:sz w:val="15"/>
              </w:rPr>
            </w:pPr>
            <w:r>
              <w:rPr>
                <w:sz w:val="15"/>
              </w:rPr>
              <w:t>11.2</w:t>
            </w:r>
          </w:p>
        </w:tc>
      </w:tr>
      <w:tr>
        <w:trPr>
          <w:trHeight w:val="318" w:hRule="atLeast"/>
        </w:trPr>
        <w:tc>
          <w:tcPr>
            <w:tcW w:w="3038" w:type="dxa"/>
          </w:tcPr>
          <w:p>
            <w:pPr>
              <w:pStyle w:val="TableParagraph"/>
              <w:spacing w:before="62"/>
              <w:ind w:left="242"/>
              <w:rPr>
                <w:sz w:val="15"/>
              </w:rPr>
            </w:pPr>
            <w:r>
              <w:rPr>
                <w:sz w:val="15"/>
              </w:rPr>
              <w:t>2000</w:t>
            </w:r>
            <w:r>
              <w:rPr>
                <w:rFonts w:ascii="Times New Roman"/>
                <w:sz w:val="15"/>
              </w:rPr>
              <w:t>-</w:t>
            </w:r>
            <w:r>
              <w:rPr>
                <w:sz w:val="15"/>
              </w:rPr>
              <w:t>5000</w:t>
            </w:r>
          </w:p>
        </w:tc>
        <w:tc>
          <w:tcPr>
            <w:tcW w:w="3793" w:type="dxa"/>
          </w:tcPr>
          <w:p>
            <w:pPr>
              <w:pStyle w:val="TableParagraph"/>
              <w:spacing w:before="62"/>
              <w:ind w:right="1448"/>
              <w:jc w:val="right"/>
              <w:rPr>
                <w:sz w:val="15"/>
              </w:rPr>
            </w:pPr>
            <w:r>
              <w:rPr>
                <w:sz w:val="15"/>
              </w:rPr>
              <w:t>1008</w:t>
            </w:r>
          </w:p>
        </w:tc>
        <w:tc>
          <w:tcPr>
            <w:tcW w:w="2897" w:type="dxa"/>
          </w:tcPr>
          <w:p>
            <w:pPr>
              <w:pStyle w:val="TableParagraph"/>
              <w:spacing w:before="62"/>
              <w:ind w:right="1106"/>
              <w:jc w:val="right"/>
              <w:rPr>
                <w:sz w:val="15"/>
              </w:rPr>
            </w:pPr>
            <w:r>
              <w:rPr>
                <w:sz w:val="15"/>
              </w:rPr>
              <w:t>78.4</w:t>
            </w:r>
          </w:p>
        </w:tc>
      </w:tr>
      <w:tr>
        <w:trPr>
          <w:trHeight w:val="314" w:hRule="atLeast"/>
        </w:trPr>
        <w:tc>
          <w:tcPr>
            <w:tcW w:w="3038" w:type="dxa"/>
          </w:tcPr>
          <w:p>
            <w:pPr>
              <w:pStyle w:val="TableParagraph"/>
              <w:spacing w:before="57"/>
              <w:ind w:left="242"/>
              <w:rPr>
                <w:sz w:val="15"/>
              </w:rPr>
            </w:pPr>
            <w:r>
              <w:rPr>
                <w:sz w:val="15"/>
              </w:rPr>
              <w:t>5000</w:t>
            </w:r>
            <w:r>
              <w:rPr>
                <w:rFonts w:ascii="Times New Roman"/>
                <w:sz w:val="15"/>
              </w:rPr>
              <w:t>-</w:t>
            </w:r>
            <w:r>
              <w:rPr>
                <w:sz w:val="15"/>
              </w:rPr>
              <w:t>8000</w:t>
            </w:r>
          </w:p>
        </w:tc>
        <w:tc>
          <w:tcPr>
            <w:tcW w:w="3793" w:type="dxa"/>
          </w:tcPr>
          <w:p>
            <w:pPr>
              <w:pStyle w:val="TableParagraph"/>
              <w:spacing w:before="57"/>
              <w:ind w:right="1486"/>
              <w:jc w:val="right"/>
              <w:rPr>
                <w:sz w:val="15"/>
              </w:rPr>
            </w:pPr>
            <w:r>
              <w:rPr>
                <w:sz w:val="15"/>
              </w:rPr>
              <w:t>115</w:t>
            </w:r>
          </w:p>
        </w:tc>
        <w:tc>
          <w:tcPr>
            <w:tcW w:w="2897" w:type="dxa"/>
          </w:tcPr>
          <w:p>
            <w:pPr>
              <w:pStyle w:val="TableParagraph"/>
              <w:spacing w:before="57"/>
              <w:ind w:right="1142"/>
              <w:jc w:val="right"/>
              <w:rPr>
                <w:sz w:val="15"/>
              </w:rPr>
            </w:pPr>
            <w:r>
              <w:rPr>
                <w:sz w:val="15"/>
              </w:rPr>
              <w:t>8.9</w:t>
            </w:r>
          </w:p>
        </w:tc>
      </w:tr>
      <w:tr>
        <w:trPr>
          <w:trHeight w:val="306" w:hRule="atLeast"/>
        </w:trPr>
        <w:tc>
          <w:tcPr>
            <w:tcW w:w="3038" w:type="dxa"/>
          </w:tcPr>
          <w:p>
            <w:pPr>
              <w:pStyle w:val="TableParagraph"/>
              <w:spacing w:before="54"/>
              <w:ind w:left="242"/>
              <w:rPr>
                <w:sz w:val="15"/>
              </w:rPr>
            </w:pPr>
            <w:r>
              <w:rPr>
                <w:sz w:val="15"/>
              </w:rPr>
              <w:t>8000 以上</w:t>
            </w:r>
          </w:p>
        </w:tc>
        <w:tc>
          <w:tcPr>
            <w:tcW w:w="3793" w:type="dxa"/>
          </w:tcPr>
          <w:p>
            <w:pPr>
              <w:pStyle w:val="TableParagraph"/>
              <w:spacing w:before="54"/>
              <w:ind w:right="1521"/>
              <w:jc w:val="right"/>
              <w:rPr>
                <w:sz w:val="15"/>
              </w:rPr>
            </w:pPr>
            <w:r>
              <w:rPr>
                <w:sz w:val="15"/>
              </w:rPr>
              <w:t>19</w:t>
            </w:r>
          </w:p>
        </w:tc>
        <w:tc>
          <w:tcPr>
            <w:tcW w:w="2897" w:type="dxa"/>
          </w:tcPr>
          <w:p>
            <w:pPr>
              <w:pStyle w:val="TableParagraph"/>
              <w:spacing w:before="54"/>
              <w:ind w:right="1142"/>
              <w:jc w:val="right"/>
              <w:rPr>
                <w:sz w:val="15"/>
              </w:rPr>
            </w:pPr>
            <w:r>
              <w:rPr>
                <w:sz w:val="15"/>
              </w:rPr>
              <w:t>1.5</w:t>
            </w:r>
          </w:p>
        </w:tc>
      </w:tr>
      <w:tr>
        <w:trPr>
          <w:trHeight w:val="312" w:hRule="atLeast"/>
        </w:trPr>
        <w:tc>
          <w:tcPr>
            <w:tcW w:w="3038" w:type="dxa"/>
          </w:tcPr>
          <w:p>
            <w:pPr>
              <w:pStyle w:val="TableParagraph"/>
              <w:ind w:left="242"/>
              <w:rPr>
                <w:sz w:val="15"/>
              </w:rPr>
            </w:pPr>
            <w:r>
              <w:rPr>
                <w:sz w:val="15"/>
              </w:rPr>
              <w:t>总计</w:t>
            </w:r>
          </w:p>
        </w:tc>
        <w:tc>
          <w:tcPr>
            <w:tcW w:w="3793" w:type="dxa"/>
          </w:tcPr>
          <w:p>
            <w:pPr>
              <w:pStyle w:val="TableParagraph"/>
              <w:ind w:right="1448"/>
              <w:jc w:val="right"/>
              <w:rPr>
                <w:sz w:val="15"/>
              </w:rPr>
            </w:pPr>
            <w:r>
              <w:rPr>
                <w:sz w:val="15"/>
              </w:rPr>
              <w:t>1286</w:t>
            </w:r>
          </w:p>
        </w:tc>
        <w:tc>
          <w:tcPr>
            <w:tcW w:w="2897" w:type="dxa"/>
          </w:tcPr>
          <w:p>
            <w:pPr>
              <w:pStyle w:val="TableParagraph"/>
              <w:ind w:right="1068"/>
              <w:jc w:val="right"/>
              <w:rPr>
                <w:sz w:val="15"/>
              </w:rPr>
            </w:pPr>
            <w:r>
              <w:rPr>
                <w:sz w:val="15"/>
              </w:rPr>
              <w:t>100.0</w:t>
            </w:r>
          </w:p>
        </w:tc>
      </w:tr>
      <w:tr>
        <w:trPr>
          <w:trHeight w:val="312" w:hRule="atLeast"/>
        </w:trPr>
        <w:tc>
          <w:tcPr>
            <w:tcW w:w="3038" w:type="dxa"/>
          </w:tcPr>
          <w:p>
            <w:pPr>
              <w:pStyle w:val="TableParagraph"/>
              <w:ind w:left="122"/>
              <w:rPr>
                <w:sz w:val="15"/>
              </w:rPr>
            </w:pPr>
            <w:r>
              <w:rPr>
                <w:sz w:val="15"/>
              </w:rPr>
              <w:t>对当前工作收入满意度</w:t>
            </w:r>
          </w:p>
        </w:tc>
        <w:tc>
          <w:tcPr>
            <w:tcW w:w="3793" w:type="dxa"/>
          </w:tcPr>
          <w:p>
            <w:pPr>
              <w:pStyle w:val="TableParagraph"/>
              <w:spacing w:before="0"/>
              <w:rPr>
                <w:rFonts w:ascii="Times New Roman"/>
                <w:sz w:val="18"/>
              </w:rPr>
            </w:pPr>
          </w:p>
        </w:tc>
        <w:tc>
          <w:tcPr>
            <w:tcW w:w="2897" w:type="dxa"/>
          </w:tcPr>
          <w:p>
            <w:pPr>
              <w:pStyle w:val="TableParagraph"/>
              <w:spacing w:before="0"/>
              <w:rPr>
                <w:rFonts w:ascii="Times New Roman"/>
                <w:sz w:val="18"/>
              </w:rPr>
            </w:pPr>
          </w:p>
        </w:tc>
      </w:tr>
      <w:tr>
        <w:trPr>
          <w:trHeight w:val="312" w:hRule="atLeast"/>
        </w:trPr>
        <w:tc>
          <w:tcPr>
            <w:tcW w:w="3038" w:type="dxa"/>
          </w:tcPr>
          <w:p>
            <w:pPr>
              <w:pStyle w:val="TableParagraph"/>
              <w:ind w:left="242"/>
              <w:rPr>
                <w:sz w:val="15"/>
              </w:rPr>
            </w:pPr>
            <w:r>
              <w:rPr>
                <w:sz w:val="15"/>
              </w:rPr>
              <w:t>非常满意</w:t>
            </w:r>
          </w:p>
        </w:tc>
        <w:tc>
          <w:tcPr>
            <w:tcW w:w="3793" w:type="dxa"/>
          </w:tcPr>
          <w:p>
            <w:pPr>
              <w:pStyle w:val="TableParagraph"/>
              <w:ind w:right="1521"/>
              <w:jc w:val="right"/>
              <w:rPr>
                <w:sz w:val="15"/>
              </w:rPr>
            </w:pPr>
            <w:r>
              <w:rPr>
                <w:sz w:val="15"/>
              </w:rPr>
              <w:t>33</w:t>
            </w:r>
          </w:p>
        </w:tc>
        <w:tc>
          <w:tcPr>
            <w:tcW w:w="2897" w:type="dxa"/>
          </w:tcPr>
          <w:p>
            <w:pPr>
              <w:pStyle w:val="TableParagraph"/>
              <w:ind w:right="1142"/>
              <w:jc w:val="right"/>
              <w:rPr>
                <w:sz w:val="15"/>
              </w:rPr>
            </w:pPr>
            <w:r>
              <w:rPr>
                <w:sz w:val="15"/>
              </w:rPr>
              <w:t>2.6</w:t>
            </w:r>
          </w:p>
        </w:tc>
      </w:tr>
      <w:tr>
        <w:trPr>
          <w:trHeight w:val="312" w:hRule="atLeast"/>
        </w:trPr>
        <w:tc>
          <w:tcPr>
            <w:tcW w:w="3038" w:type="dxa"/>
          </w:tcPr>
          <w:p>
            <w:pPr>
              <w:pStyle w:val="TableParagraph"/>
              <w:ind w:left="242"/>
              <w:rPr>
                <w:sz w:val="15"/>
              </w:rPr>
            </w:pPr>
            <w:r>
              <w:rPr>
                <w:sz w:val="15"/>
              </w:rPr>
              <w:t>基本满意</w:t>
            </w:r>
          </w:p>
        </w:tc>
        <w:tc>
          <w:tcPr>
            <w:tcW w:w="3793" w:type="dxa"/>
          </w:tcPr>
          <w:p>
            <w:pPr>
              <w:pStyle w:val="TableParagraph"/>
              <w:ind w:right="1486"/>
              <w:jc w:val="right"/>
              <w:rPr>
                <w:sz w:val="15"/>
              </w:rPr>
            </w:pPr>
            <w:r>
              <w:rPr>
                <w:sz w:val="15"/>
              </w:rPr>
              <w:t>639</w:t>
            </w:r>
          </w:p>
        </w:tc>
        <w:tc>
          <w:tcPr>
            <w:tcW w:w="2897" w:type="dxa"/>
          </w:tcPr>
          <w:p>
            <w:pPr>
              <w:pStyle w:val="TableParagraph"/>
              <w:ind w:right="1106"/>
              <w:jc w:val="right"/>
              <w:rPr>
                <w:sz w:val="15"/>
              </w:rPr>
            </w:pPr>
            <w:r>
              <w:rPr>
                <w:sz w:val="15"/>
              </w:rPr>
              <w:t>49.7</w:t>
            </w:r>
          </w:p>
        </w:tc>
      </w:tr>
      <w:tr>
        <w:trPr>
          <w:trHeight w:val="312" w:hRule="atLeast"/>
        </w:trPr>
        <w:tc>
          <w:tcPr>
            <w:tcW w:w="3038" w:type="dxa"/>
          </w:tcPr>
          <w:p>
            <w:pPr>
              <w:pStyle w:val="TableParagraph"/>
              <w:ind w:left="242"/>
              <w:rPr>
                <w:sz w:val="15"/>
              </w:rPr>
            </w:pPr>
            <w:r>
              <w:rPr>
                <w:sz w:val="15"/>
              </w:rPr>
              <w:t>无所谓</w:t>
            </w:r>
          </w:p>
        </w:tc>
        <w:tc>
          <w:tcPr>
            <w:tcW w:w="3793" w:type="dxa"/>
          </w:tcPr>
          <w:p>
            <w:pPr>
              <w:pStyle w:val="TableParagraph"/>
              <w:ind w:right="1486"/>
              <w:jc w:val="right"/>
              <w:rPr>
                <w:sz w:val="15"/>
              </w:rPr>
            </w:pPr>
            <w:r>
              <w:rPr>
                <w:sz w:val="15"/>
              </w:rPr>
              <w:t>108</w:t>
            </w:r>
          </w:p>
        </w:tc>
        <w:tc>
          <w:tcPr>
            <w:tcW w:w="2897" w:type="dxa"/>
          </w:tcPr>
          <w:p>
            <w:pPr>
              <w:pStyle w:val="TableParagraph"/>
              <w:ind w:right="1142"/>
              <w:jc w:val="right"/>
              <w:rPr>
                <w:sz w:val="15"/>
              </w:rPr>
            </w:pPr>
            <w:r>
              <w:rPr>
                <w:sz w:val="15"/>
              </w:rPr>
              <w:t>8.4</w:t>
            </w:r>
          </w:p>
        </w:tc>
      </w:tr>
      <w:tr>
        <w:trPr>
          <w:trHeight w:val="311" w:hRule="atLeast"/>
        </w:trPr>
        <w:tc>
          <w:tcPr>
            <w:tcW w:w="3038" w:type="dxa"/>
          </w:tcPr>
          <w:p>
            <w:pPr>
              <w:pStyle w:val="TableParagraph"/>
              <w:ind w:left="242"/>
              <w:rPr>
                <w:sz w:val="15"/>
              </w:rPr>
            </w:pPr>
            <w:r>
              <w:rPr>
                <w:sz w:val="15"/>
              </w:rPr>
              <w:t>较不满意</w:t>
            </w:r>
          </w:p>
        </w:tc>
        <w:tc>
          <w:tcPr>
            <w:tcW w:w="3793" w:type="dxa"/>
          </w:tcPr>
          <w:p>
            <w:pPr>
              <w:pStyle w:val="TableParagraph"/>
              <w:ind w:right="1486"/>
              <w:jc w:val="right"/>
              <w:rPr>
                <w:sz w:val="15"/>
              </w:rPr>
            </w:pPr>
            <w:r>
              <w:rPr>
                <w:sz w:val="15"/>
              </w:rPr>
              <w:t>400</w:t>
            </w:r>
          </w:p>
        </w:tc>
        <w:tc>
          <w:tcPr>
            <w:tcW w:w="2897" w:type="dxa"/>
          </w:tcPr>
          <w:p>
            <w:pPr>
              <w:pStyle w:val="TableParagraph"/>
              <w:ind w:right="1106"/>
              <w:jc w:val="right"/>
              <w:rPr>
                <w:sz w:val="15"/>
              </w:rPr>
            </w:pPr>
            <w:r>
              <w:rPr>
                <w:sz w:val="15"/>
              </w:rPr>
              <w:t>31.1</w:t>
            </w:r>
          </w:p>
        </w:tc>
      </w:tr>
      <w:tr>
        <w:trPr>
          <w:trHeight w:val="311" w:hRule="atLeast"/>
        </w:trPr>
        <w:tc>
          <w:tcPr>
            <w:tcW w:w="3038" w:type="dxa"/>
          </w:tcPr>
          <w:p>
            <w:pPr>
              <w:pStyle w:val="TableParagraph"/>
              <w:ind w:left="242"/>
              <w:rPr>
                <w:sz w:val="15"/>
              </w:rPr>
            </w:pPr>
            <w:r>
              <w:rPr>
                <w:sz w:val="15"/>
              </w:rPr>
              <w:t>非常不满意</w:t>
            </w:r>
          </w:p>
        </w:tc>
        <w:tc>
          <w:tcPr>
            <w:tcW w:w="3793" w:type="dxa"/>
          </w:tcPr>
          <w:p>
            <w:pPr>
              <w:pStyle w:val="TableParagraph"/>
              <w:ind w:right="1486"/>
              <w:jc w:val="right"/>
              <w:rPr>
                <w:sz w:val="15"/>
              </w:rPr>
            </w:pPr>
            <w:r>
              <w:rPr>
                <w:sz w:val="15"/>
              </w:rPr>
              <w:t>106</w:t>
            </w:r>
          </w:p>
        </w:tc>
        <w:tc>
          <w:tcPr>
            <w:tcW w:w="2897" w:type="dxa"/>
          </w:tcPr>
          <w:p>
            <w:pPr>
              <w:pStyle w:val="TableParagraph"/>
              <w:ind w:right="1142"/>
              <w:jc w:val="right"/>
              <w:rPr>
                <w:sz w:val="15"/>
              </w:rPr>
            </w:pPr>
            <w:r>
              <w:rPr>
                <w:sz w:val="15"/>
              </w:rPr>
              <w:t>8.2</w:t>
            </w:r>
          </w:p>
        </w:tc>
      </w:tr>
      <w:tr>
        <w:trPr>
          <w:trHeight w:val="313" w:hRule="atLeast"/>
        </w:trPr>
        <w:tc>
          <w:tcPr>
            <w:tcW w:w="3038" w:type="dxa"/>
            <w:tcBorders>
              <w:bottom w:val="single" w:sz="4" w:space="0" w:color="7E7E7E"/>
            </w:tcBorders>
          </w:tcPr>
          <w:p>
            <w:pPr>
              <w:pStyle w:val="TableParagraph"/>
              <w:ind w:left="242"/>
              <w:rPr>
                <w:sz w:val="15"/>
              </w:rPr>
            </w:pPr>
            <w:r>
              <w:rPr>
                <w:sz w:val="15"/>
              </w:rPr>
              <w:t>总计</w:t>
            </w:r>
          </w:p>
        </w:tc>
        <w:tc>
          <w:tcPr>
            <w:tcW w:w="3793" w:type="dxa"/>
            <w:tcBorders>
              <w:bottom w:val="single" w:sz="4" w:space="0" w:color="7E7E7E"/>
            </w:tcBorders>
          </w:tcPr>
          <w:p>
            <w:pPr>
              <w:pStyle w:val="TableParagraph"/>
              <w:ind w:right="1448"/>
              <w:jc w:val="right"/>
              <w:rPr>
                <w:sz w:val="15"/>
              </w:rPr>
            </w:pPr>
            <w:r>
              <w:rPr>
                <w:sz w:val="15"/>
              </w:rPr>
              <w:t>1286</w:t>
            </w:r>
          </w:p>
        </w:tc>
        <w:tc>
          <w:tcPr>
            <w:tcW w:w="2897" w:type="dxa"/>
            <w:tcBorders>
              <w:bottom w:val="single" w:sz="4" w:space="0" w:color="7E7E7E"/>
            </w:tcBorders>
          </w:tcPr>
          <w:p>
            <w:pPr>
              <w:pStyle w:val="TableParagraph"/>
              <w:ind w:right="1068"/>
              <w:jc w:val="right"/>
              <w:rPr>
                <w:sz w:val="15"/>
              </w:rPr>
            </w:pPr>
            <w:r>
              <w:rPr>
                <w:sz w:val="15"/>
              </w:rPr>
              <w:t>100.0</w:t>
            </w:r>
          </w:p>
        </w:tc>
      </w:tr>
    </w:tbl>
    <w:p>
      <w:pPr>
        <w:pStyle w:val="ListParagraph"/>
        <w:numPr>
          <w:ilvl w:val="1"/>
          <w:numId w:val="15"/>
        </w:numPr>
        <w:tabs>
          <w:tab w:pos="1138" w:val="left" w:leader="none"/>
          <w:tab w:pos="2817" w:val="left" w:leader="none"/>
        </w:tabs>
        <w:spacing w:line="240" w:lineRule="auto" w:before="65" w:after="0"/>
        <w:ind w:left="1137" w:right="0" w:hanging="420"/>
        <w:jc w:val="left"/>
        <w:rPr>
          <w:sz w:val="24"/>
        </w:rPr>
      </w:pPr>
      <w:r>
        <w:rPr>
          <w:sz w:val="24"/>
        </w:rPr>
        <w:t>药师自我认知</w:t>
        <w:tab/>
        <w:t>如表</w:t>
      </w:r>
      <w:r>
        <w:rPr>
          <w:spacing w:val="-60"/>
          <w:sz w:val="24"/>
        </w:rPr>
        <w:t> </w:t>
      </w:r>
      <w:r>
        <w:rPr>
          <w:rFonts w:ascii="Times New Roman" w:eastAsia="Times New Roman"/>
          <w:sz w:val="24"/>
        </w:rPr>
        <w:t>5 </w:t>
      </w:r>
      <w:r>
        <w:rPr>
          <w:sz w:val="24"/>
        </w:rPr>
        <w:t>所示</w:t>
      </w:r>
      <w:r>
        <w:rPr>
          <w:spacing w:val="-22"/>
          <w:sz w:val="24"/>
        </w:rPr>
        <w:t>，</w:t>
      </w:r>
      <w:r>
        <w:rPr>
          <w:sz w:val="24"/>
        </w:rPr>
        <w:t>在药师的日常工作及职业认知中</w:t>
      </w:r>
      <w:r>
        <w:rPr>
          <w:spacing w:val="-22"/>
          <w:sz w:val="24"/>
        </w:rPr>
        <w:t>，</w:t>
      </w:r>
      <w:r>
        <w:rPr>
          <w:sz w:val="24"/>
        </w:rPr>
        <w:t>主要内容均为发药</w:t>
      </w:r>
    </w:p>
    <w:p>
      <w:pPr>
        <w:pStyle w:val="BodyText"/>
        <w:spacing w:line="297" w:lineRule="auto" w:before="72"/>
        <w:ind w:right="129"/>
      </w:pPr>
      <w:r>
        <w:rPr/>
        <w:t>（</w:t>
      </w:r>
      <w:r>
        <w:rPr>
          <w:rFonts w:ascii="Times New Roman" w:eastAsia="Times New Roman"/>
        </w:rPr>
        <w:t>94.2%</w:t>
      </w:r>
      <w:r>
        <w:rPr/>
        <w:t>、</w:t>
      </w:r>
      <w:r>
        <w:rPr>
          <w:rFonts w:ascii="Times New Roman" w:eastAsia="Times New Roman"/>
        </w:rPr>
        <w:t>91.3%</w:t>
      </w:r>
      <w:r>
        <w:rPr/>
        <w:t>）、患者用药咨询（</w:t>
      </w:r>
      <w:r>
        <w:rPr>
          <w:rFonts w:ascii="Times New Roman" w:eastAsia="Times New Roman"/>
        </w:rPr>
        <w:t>79.4%</w:t>
      </w:r>
      <w:r>
        <w:rPr/>
        <w:t>、</w:t>
      </w:r>
      <w:r>
        <w:rPr>
          <w:rFonts w:ascii="Times New Roman" w:eastAsia="Times New Roman"/>
        </w:rPr>
        <w:t>90.2%</w:t>
      </w:r>
      <w:r>
        <w:rPr/>
        <w:t>）、药品管理（</w:t>
      </w:r>
      <w:r>
        <w:rPr>
          <w:rFonts w:ascii="Times New Roman" w:eastAsia="Times New Roman"/>
        </w:rPr>
        <w:t>71.4%</w:t>
      </w:r>
      <w:r>
        <w:rPr/>
        <w:t>、</w:t>
      </w:r>
      <w:r>
        <w:rPr>
          <w:rFonts w:ascii="Times New Roman" w:eastAsia="Times New Roman"/>
        </w:rPr>
        <w:t>78.9%</w:t>
      </w:r>
      <w:r>
        <w:rPr/>
        <w:t>）和处方审核（</w:t>
      </w:r>
      <w:r>
        <w:rPr>
          <w:rFonts w:ascii="Times New Roman" w:eastAsia="Times New Roman"/>
        </w:rPr>
        <w:t>67.8%</w:t>
      </w:r>
      <w:r>
        <w:rPr/>
        <w:t>、</w:t>
      </w:r>
      <w:r>
        <w:rPr>
          <w:rFonts w:ascii="Times New Roman" w:eastAsia="Times New Roman"/>
        </w:rPr>
        <w:t>79.8%</w:t>
      </w:r>
      <w:r>
        <w:rPr/>
        <w:t>），两者差异较小；而对于参与用药方案制定（</w:t>
      </w:r>
      <w:r>
        <w:rPr>
          <w:rFonts w:ascii="Times New Roman" w:eastAsia="Times New Roman"/>
        </w:rPr>
        <w:t>15.3%</w:t>
      </w:r>
      <w:r>
        <w:rPr/>
        <w:t>、</w:t>
      </w:r>
      <w:r>
        <w:rPr>
          <w:rFonts w:ascii="Times New Roman" w:eastAsia="Times New Roman"/>
        </w:rPr>
        <w:t>42.0%</w:t>
      </w:r>
      <w:r>
        <w:rPr/>
        <w:t>）和药</w:t>
      </w:r>
      <w:r>
        <w:rPr>
          <w:spacing w:val="-2"/>
        </w:rPr>
        <w:t>学查房</w:t>
      </w:r>
      <w:r>
        <w:rPr/>
        <w:t>（</w:t>
      </w:r>
      <w:r>
        <w:rPr>
          <w:rFonts w:ascii="Times New Roman" w:eastAsia="Times New Roman"/>
        </w:rPr>
        <w:t>11.9%</w:t>
      </w:r>
      <w:r>
        <w:rPr>
          <w:spacing w:val="-5"/>
        </w:rPr>
        <w:t>、</w:t>
      </w:r>
      <w:r>
        <w:rPr>
          <w:rFonts w:ascii="Times New Roman" w:eastAsia="Times New Roman"/>
        </w:rPr>
        <w:t>29.9%</w:t>
      </w:r>
      <w:r>
        <w:rPr/>
        <w:t>），</w:t>
      </w:r>
      <w:r>
        <w:rPr>
          <w:spacing w:val="-2"/>
        </w:rPr>
        <w:t>日常工作中的实际开展情况与药师对它们的认知情况差异较大。</w:t>
      </w:r>
      <w:r>
        <w:rPr>
          <w:spacing w:val="-11"/>
        </w:rPr>
        <w:t>由此揭示，对于以药品为中心的服务项目，药师日常所开展的工作和其职业认知情况较为一致；而对于以患者为中心的服务项目，实际提供这些服务的药师数量比认识到这些服务为本职工作的药师少。</w:t>
      </w:r>
    </w:p>
    <w:p>
      <w:pPr>
        <w:spacing w:line="230" w:lineRule="exact" w:before="0" w:after="10"/>
        <w:ind w:left="690" w:right="0" w:firstLine="0"/>
        <w:jc w:val="left"/>
        <w:rPr>
          <w:rFonts w:ascii="华文楷体" w:eastAsia="华文楷体" w:hint="eastAsia"/>
          <w:sz w:val="18"/>
        </w:rPr>
      </w:pPr>
      <w:r>
        <w:rPr>
          <w:rFonts w:ascii="华文楷体" w:eastAsia="华文楷体" w:hint="eastAsia"/>
          <w:sz w:val="18"/>
        </w:rPr>
        <w:t>表5：药师自我认知</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4"/>
        <w:gridCol w:w="3342"/>
        <w:gridCol w:w="2991"/>
      </w:tblGrid>
      <w:tr>
        <w:trPr>
          <w:trHeight w:val="313" w:hRule="atLeast"/>
        </w:trPr>
        <w:tc>
          <w:tcPr>
            <w:tcW w:w="3394" w:type="dxa"/>
            <w:tcBorders>
              <w:top w:val="single" w:sz="4" w:space="0" w:color="7E7E7E"/>
            </w:tcBorders>
          </w:tcPr>
          <w:p>
            <w:pPr>
              <w:pStyle w:val="TableParagraph"/>
              <w:spacing w:before="61"/>
              <w:ind w:left="1466" w:right="1588"/>
              <w:jc w:val="center"/>
              <w:rPr>
                <w:sz w:val="15"/>
              </w:rPr>
            </w:pPr>
            <w:r>
              <w:rPr>
                <w:sz w:val="15"/>
              </w:rPr>
              <w:t>项目</w:t>
            </w:r>
          </w:p>
        </w:tc>
        <w:tc>
          <w:tcPr>
            <w:tcW w:w="3342" w:type="dxa"/>
            <w:tcBorders>
              <w:top w:val="single" w:sz="4" w:space="0" w:color="7E7E7E"/>
            </w:tcBorders>
          </w:tcPr>
          <w:p>
            <w:pPr>
              <w:pStyle w:val="TableParagraph"/>
              <w:spacing w:before="61"/>
              <w:ind w:left="1590" w:right="1262"/>
              <w:jc w:val="center"/>
              <w:rPr>
                <w:sz w:val="15"/>
              </w:rPr>
            </w:pPr>
            <w:r>
              <w:rPr>
                <w:sz w:val="15"/>
              </w:rPr>
              <w:t>个案数</w:t>
            </w:r>
          </w:p>
        </w:tc>
        <w:tc>
          <w:tcPr>
            <w:tcW w:w="2991" w:type="dxa"/>
            <w:tcBorders>
              <w:top w:val="single" w:sz="4" w:space="0" w:color="7E7E7E"/>
            </w:tcBorders>
          </w:tcPr>
          <w:p>
            <w:pPr>
              <w:pStyle w:val="TableParagraph"/>
              <w:spacing w:before="61"/>
              <w:ind w:left="1262" w:right="789"/>
              <w:jc w:val="center"/>
              <w:rPr>
                <w:sz w:val="15"/>
              </w:rPr>
            </w:pPr>
            <w:r>
              <w:rPr>
                <w:sz w:val="15"/>
              </w:rPr>
              <w:t>个案百分比/%</w:t>
            </w:r>
          </w:p>
        </w:tc>
      </w:tr>
      <w:tr>
        <w:trPr>
          <w:trHeight w:val="311" w:hRule="atLeast"/>
        </w:trPr>
        <w:tc>
          <w:tcPr>
            <w:tcW w:w="3394" w:type="dxa"/>
          </w:tcPr>
          <w:p>
            <w:pPr>
              <w:pStyle w:val="TableParagraph"/>
              <w:ind w:left="122"/>
              <w:rPr>
                <w:sz w:val="15"/>
              </w:rPr>
            </w:pPr>
            <w:r>
              <w:rPr>
                <w:sz w:val="15"/>
              </w:rPr>
              <w:t>日常工作</w:t>
            </w:r>
          </w:p>
        </w:tc>
        <w:tc>
          <w:tcPr>
            <w:tcW w:w="3342" w:type="dxa"/>
          </w:tcPr>
          <w:p>
            <w:pPr>
              <w:pStyle w:val="TableParagraph"/>
              <w:spacing w:before="0"/>
              <w:rPr>
                <w:rFonts w:ascii="Times New Roman"/>
                <w:sz w:val="18"/>
              </w:rPr>
            </w:pPr>
          </w:p>
        </w:tc>
        <w:tc>
          <w:tcPr>
            <w:tcW w:w="2991" w:type="dxa"/>
          </w:tcPr>
          <w:p>
            <w:pPr>
              <w:pStyle w:val="TableParagraph"/>
              <w:spacing w:before="0"/>
              <w:rPr>
                <w:rFonts w:ascii="Times New Roman"/>
                <w:sz w:val="18"/>
              </w:rPr>
            </w:pPr>
          </w:p>
        </w:tc>
      </w:tr>
      <w:tr>
        <w:trPr>
          <w:trHeight w:val="312" w:hRule="atLeast"/>
        </w:trPr>
        <w:tc>
          <w:tcPr>
            <w:tcW w:w="3394" w:type="dxa"/>
          </w:tcPr>
          <w:p>
            <w:pPr>
              <w:pStyle w:val="TableParagraph"/>
              <w:ind w:left="242"/>
              <w:rPr>
                <w:sz w:val="15"/>
              </w:rPr>
            </w:pPr>
            <w:r>
              <w:rPr>
                <w:sz w:val="15"/>
              </w:rPr>
              <w:t>发药</w:t>
            </w:r>
          </w:p>
        </w:tc>
        <w:tc>
          <w:tcPr>
            <w:tcW w:w="3342" w:type="dxa"/>
          </w:tcPr>
          <w:p>
            <w:pPr>
              <w:pStyle w:val="TableParagraph"/>
              <w:ind w:left="1590" w:right="1261"/>
              <w:jc w:val="center"/>
              <w:rPr>
                <w:sz w:val="15"/>
              </w:rPr>
            </w:pPr>
            <w:r>
              <w:rPr>
                <w:sz w:val="15"/>
              </w:rPr>
              <w:t>1211</w:t>
            </w:r>
          </w:p>
        </w:tc>
        <w:tc>
          <w:tcPr>
            <w:tcW w:w="2991" w:type="dxa"/>
          </w:tcPr>
          <w:p>
            <w:pPr>
              <w:pStyle w:val="TableParagraph"/>
              <w:ind w:left="1262" w:right="788"/>
              <w:jc w:val="center"/>
              <w:rPr>
                <w:sz w:val="15"/>
              </w:rPr>
            </w:pPr>
            <w:r>
              <w:rPr>
                <w:sz w:val="15"/>
              </w:rPr>
              <w:t>94.2</w:t>
            </w:r>
          </w:p>
        </w:tc>
      </w:tr>
      <w:tr>
        <w:trPr>
          <w:trHeight w:val="312" w:hRule="atLeast"/>
        </w:trPr>
        <w:tc>
          <w:tcPr>
            <w:tcW w:w="3394" w:type="dxa"/>
          </w:tcPr>
          <w:p>
            <w:pPr>
              <w:pStyle w:val="TableParagraph"/>
              <w:ind w:left="242"/>
              <w:rPr>
                <w:sz w:val="15"/>
              </w:rPr>
            </w:pPr>
            <w:r>
              <w:rPr>
                <w:sz w:val="15"/>
              </w:rPr>
              <w:t>患者用药咨询</w:t>
            </w:r>
          </w:p>
        </w:tc>
        <w:tc>
          <w:tcPr>
            <w:tcW w:w="3342" w:type="dxa"/>
          </w:tcPr>
          <w:p>
            <w:pPr>
              <w:pStyle w:val="TableParagraph"/>
              <w:ind w:left="1590" w:right="1261"/>
              <w:jc w:val="center"/>
              <w:rPr>
                <w:sz w:val="15"/>
              </w:rPr>
            </w:pPr>
            <w:r>
              <w:rPr>
                <w:sz w:val="15"/>
              </w:rPr>
              <w:t>1021</w:t>
            </w:r>
          </w:p>
        </w:tc>
        <w:tc>
          <w:tcPr>
            <w:tcW w:w="2991" w:type="dxa"/>
          </w:tcPr>
          <w:p>
            <w:pPr>
              <w:pStyle w:val="TableParagraph"/>
              <w:ind w:left="1262" w:right="788"/>
              <w:jc w:val="center"/>
              <w:rPr>
                <w:sz w:val="15"/>
              </w:rPr>
            </w:pPr>
            <w:r>
              <w:rPr>
                <w:sz w:val="15"/>
              </w:rPr>
              <w:t>79.4</w:t>
            </w:r>
          </w:p>
        </w:tc>
      </w:tr>
      <w:tr>
        <w:trPr>
          <w:trHeight w:val="311" w:hRule="atLeast"/>
        </w:trPr>
        <w:tc>
          <w:tcPr>
            <w:tcW w:w="3394" w:type="dxa"/>
          </w:tcPr>
          <w:p>
            <w:pPr>
              <w:pStyle w:val="TableParagraph"/>
              <w:ind w:left="242"/>
              <w:rPr>
                <w:sz w:val="15"/>
              </w:rPr>
            </w:pPr>
            <w:r>
              <w:rPr>
                <w:sz w:val="15"/>
              </w:rPr>
              <w:t>药品管理</w:t>
            </w:r>
          </w:p>
        </w:tc>
        <w:tc>
          <w:tcPr>
            <w:tcW w:w="3342" w:type="dxa"/>
          </w:tcPr>
          <w:p>
            <w:pPr>
              <w:pStyle w:val="TableParagraph"/>
              <w:ind w:left="1589" w:right="1262"/>
              <w:jc w:val="center"/>
              <w:rPr>
                <w:sz w:val="15"/>
              </w:rPr>
            </w:pPr>
            <w:r>
              <w:rPr>
                <w:sz w:val="15"/>
              </w:rPr>
              <w:t>918</w:t>
            </w:r>
          </w:p>
        </w:tc>
        <w:tc>
          <w:tcPr>
            <w:tcW w:w="2991" w:type="dxa"/>
          </w:tcPr>
          <w:p>
            <w:pPr>
              <w:pStyle w:val="TableParagraph"/>
              <w:ind w:left="1262" w:right="788"/>
              <w:jc w:val="center"/>
              <w:rPr>
                <w:sz w:val="15"/>
              </w:rPr>
            </w:pPr>
            <w:r>
              <w:rPr>
                <w:sz w:val="15"/>
              </w:rPr>
              <w:t>71.4</w:t>
            </w:r>
          </w:p>
        </w:tc>
      </w:tr>
      <w:tr>
        <w:trPr>
          <w:trHeight w:val="312" w:hRule="atLeast"/>
        </w:trPr>
        <w:tc>
          <w:tcPr>
            <w:tcW w:w="3394" w:type="dxa"/>
          </w:tcPr>
          <w:p>
            <w:pPr>
              <w:pStyle w:val="TableParagraph"/>
              <w:ind w:left="242"/>
              <w:rPr>
                <w:sz w:val="15"/>
              </w:rPr>
            </w:pPr>
            <w:r>
              <w:rPr>
                <w:sz w:val="15"/>
              </w:rPr>
              <w:t>药品采购</w:t>
            </w:r>
          </w:p>
        </w:tc>
        <w:tc>
          <w:tcPr>
            <w:tcW w:w="3342" w:type="dxa"/>
          </w:tcPr>
          <w:p>
            <w:pPr>
              <w:pStyle w:val="TableParagraph"/>
              <w:ind w:left="1589" w:right="1262"/>
              <w:jc w:val="center"/>
              <w:rPr>
                <w:sz w:val="15"/>
              </w:rPr>
            </w:pPr>
            <w:r>
              <w:rPr>
                <w:sz w:val="15"/>
              </w:rPr>
              <w:t>481</w:t>
            </w:r>
          </w:p>
        </w:tc>
        <w:tc>
          <w:tcPr>
            <w:tcW w:w="2991" w:type="dxa"/>
          </w:tcPr>
          <w:p>
            <w:pPr>
              <w:pStyle w:val="TableParagraph"/>
              <w:ind w:left="1262" w:right="788"/>
              <w:jc w:val="center"/>
              <w:rPr>
                <w:sz w:val="15"/>
              </w:rPr>
            </w:pPr>
            <w:r>
              <w:rPr>
                <w:sz w:val="15"/>
              </w:rPr>
              <w:t>37.4</w:t>
            </w:r>
          </w:p>
        </w:tc>
      </w:tr>
      <w:tr>
        <w:trPr>
          <w:trHeight w:val="311" w:hRule="atLeast"/>
        </w:trPr>
        <w:tc>
          <w:tcPr>
            <w:tcW w:w="3394" w:type="dxa"/>
          </w:tcPr>
          <w:p>
            <w:pPr>
              <w:pStyle w:val="TableParagraph"/>
              <w:ind w:left="242"/>
              <w:rPr>
                <w:sz w:val="15"/>
              </w:rPr>
            </w:pPr>
            <w:r>
              <w:rPr>
                <w:sz w:val="15"/>
              </w:rPr>
              <w:t>参与用药方案制定</w:t>
            </w:r>
          </w:p>
        </w:tc>
        <w:tc>
          <w:tcPr>
            <w:tcW w:w="3342" w:type="dxa"/>
          </w:tcPr>
          <w:p>
            <w:pPr>
              <w:pStyle w:val="TableParagraph"/>
              <w:ind w:left="1589" w:right="1262"/>
              <w:jc w:val="center"/>
              <w:rPr>
                <w:sz w:val="15"/>
              </w:rPr>
            </w:pPr>
            <w:r>
              <w:rPr>
                <w:sz w:val="15"/>
              </w:rPr>
              <w:t>197</w:t>
            </w:r>
          </w:p>
        </w:tc>
        <w:tc>
          <w:tcPr>
            <w:tcW w:w="2991" w:type="dxa"/>
          </w:tcPr>
          <w:p>
            <w:pPr>
              <w:pStyle w:val="TableParagraph"/>
              <w:ind w:left="1262" w:right="788"/>
              <w:jc w:val="center"/>
              <w:rPr>
                <w:sz w:val="15"/>
              </w:rPr>
            </w:pPr>
            <w:r>
              <w:rPr>
                <w:sz w:val="15"/>
              </w:rPr>
              <w:t>15.3</w:t>
            </w:r>
          </w:p>
        </w:tc>
      </w:tr>
      <w:tr>
        <w:trPr>
          <w:trHeight w:val="311" w:hRule="atLeast"/>
        </w:trPr>
        <w:tc>
          <w:tcPr>
            <w:tcW w:w="3394" w:type="dxa"/>
          </w:tcPr>
          <w:p>
            <w:pPr>
              <w:pStyle w:val="TableParagraph"/>
              <w:ind w:left="242"/>
              <w:rPr>
                <w:sz w:val="15"/>
              </w:rPr>
            </w:pPr>
            <w:r>
              <w:rPr>
                <w:sz w:val="15"/>
              </w:rPr>
              <w:t>药物不良反应监测</w:t>
            </w:r>
          </w:p>
        </w:tc>
        <w:tc>
          <w:tcPr>
            <w:tcW w:w="3342" w:type="dxa"/>
          </w:tcPr>
          <w:p>
            <w:pPr>
              <w:pStyle w:val="TableParagraph"/>
              <w:ind w:left="1589" w:right="1262"/>
              <w:jc w:val="center"/>
              <w:rPr>
                <w:sz w:val="15"/>
              </w:rPr>
            </w:pPr>
            <w:r>
              <w:rPr>
                <w:sz w:val="15"/>
              </w:rPr>
              <w:t>427</w:t>
            </w:r>
          </w:p>
        </w:tc>
        <w:tc>
          <w:tcPr>
            <w:tcW w:w="2991" w:type="dxa"/>
          </w:tcPr>
          <w:p>
            <w:pPr>
              <w:pStyle w:val="TableParagraph"/>
              <w:ind w:left="1262" w:right="788"/>
              <w:jc w:val="center"/>
              <w:rPr>
                <w:sz w:val="15"/>
              </w:rPr>
            </w:pPr>
            <w:r>
              <w:rPr>
                <w:sz w:val="15"/>
              </w:rPr>
              <w:t>33.2</w:t>
            </w:r>
          </w:p>
        </w:tc>
      </w:tr>
      <w:tr>
        <w:trPr>
          <w:trHeight w:val="312" w:hRule="atLeast"/>
        </w:trPr>
        <w:tc>
          <w:tcPr>
            <w:tcW w:w="3394" w:type="dxa"/>
          </w:tcPr>
          <w:p>
            <w:pPr>
              <w:pStyle w:val="TableParagraph"/>
              <w:ind w:left="242"/>
              <w:rPr>
                <w:sz w:val="15"/>
              </w:rPr>
            </w:pPr>
            <w:r>
              <w:rPr>
                <w:sz w:val="15"/>
              </w:rPr>
              <w:t>处方审核</w:t>
            </w:r>
          </w:p>
        </w:tc>
        <w:tc>
          <w:tcPr>
            <w:tcW w:w="3342" w:type="dxa"/>
          </w:tcPr>
          <w:p>
            <w:pPr>
              <w:pStyle w:val="TableParagraph"/>
              <w:ind w:left="1589" w:right="1262"/>
              <w:jc w:val="center"/>
              <w:rPr>
                <w:sz w:val="15"/>
              </w:rPr>
            </w:pPr>
            <w:r>
              <w:rPr>
                <w:sz w:val="15"/>
              </w:rPr>
              <w:t>872</w:t>
            </w:r>
          </w:p>
        </w:tc>
        <w:tc>
          <w:tcPr>
            <w:tcW w:w="2991" w:type="dxa"/>
          </w:tcPr>
          <w:p>
            <w:pPr>
              <w:pStyle w:val="TableParagraph"/>
              <w:ind w:left="1262" w:right="788"/>
              <w:jc w:val="center"/>
              <w:rPr>
                <w:sz w:val="15"/>
              </w:rPr>
            </w:pPr>
            <w:r>
              <w:rPr>
                <w:sz w:val="15"/>
              </w:rPr>
              <w:t>67.8</w:t>
            </w:r>
          </w:p>
        </w:tc>
      </w:tr>
      <w:tr>
        <w:trPr>
          <w:trHeight w:val="312" w:hRule="atLeast"/>
        </w:trPr>
        <w:tc>
          <w:tcPr>
            <w:tcW w:w="3394" w:type="dxa"/>
          </w:tcPr>
          <w:p>
            <w:pPr>
              <w:pStyle w:val="TableParagraph"/>
              <w:ind w:left="242"/>
              <w:rPr>
                <w:sz w:val="15"/>
              </w:rPr>
            </w:pPr>
            <w:r>
              <w:rPr>
                <w:sz w:val="15"/>
              </w:rPr>
              <w:t>药学查房</w:t>
            </w:r>
          </w:p>
        </w:tc>
        <w:tc>
          <w:tcPr>
            <w:tcW w:w="3342" w:type="dxa"/>
          </w:tcPr>
          <w:p>
            <w:pPr>
              <w:pStyle w:val="TableParagraph"/>
              <w:ind w:left="1589" w:right="1262"/>
              <w:jc w:val="center"/>
              <w:rPr>
                <w:sz w:val="15"/>
              </w:rPr>
            </w:pPr>
            <w:r>
              <w:rPr>
                <w:sz w:val="15"/>
              </w:rPr>
              <w:t>153</w:t>
            </w:r>
          </w:p>
        </w:tc>
        <w:tc>
          <w:tcPr>
            <w:tcW w:w="2991" w:type="dxa"/>
          </w:tcPr>
          <w:p>
            <w:pPr>
              <w:pStyle w:val="TableParagraph"/>
              <w:ind w:left="1262" w:right="788"/>
              <w:jc w:val="center"/>
              <w:rPr>
                <w:sz w:val="15"/>
              </w:rPr>
            </w:pPr>
            <w:r>
              <w:rPr>
                <w:sz w:val="15"/>
              </w:rPr>
              <w:t>11.9</w:t>
            </w:r>
          </w:p>
        </w:tc>
      </w:tr>
      <w:tr>
        <w:trPr>
          <w:trHeight w:val="312" w:hRule="atLeast"/>
        </w:trPr>
        <w:tc>
          <w:tcPr>
            <w:tcW w:w="3394" w:type="dxa"/>
          </w:tcPr>
          <w:p>
            <w:pPr>
              <w:pStyle w:val="TableParagraph"/>
              <w:ind w:left="122"/>
              <w:rPr>
                <w:sz w:val="15"/>
              </w:rPr>
            </w:pPr>
            <w:r>
              <w:rPr>
                <w:sz w:val="15"/>
              </w:rPr>
              <w:t>药师认为自身所应发挥职能</w:t>
            </w:r>
          </w:p>
        </w:tc>
        <w:tc>
          <w:tcPr>
            <w:tcW w:w="3342" w:type="dxa"/>
          </w:tcPr>
          <w:p>
            <w:pPr>
              <w:pStyle w:val="TableParagraph"/>
              <w:spacing w:before="0"/>
              <w:rPr>
                <w:rFonts w:ascii="Times New Roman"/>
                <w:sz w:val="18"/>
              </w:rPr>
            </w:pPr>
          </w:p>
        </w:tc>
        <w:tc>
          <w:tcPr>
            <w:tcW w:w="2991" w:type="dxa"/>
          </w:tcPr>
          <w:p>
            <w:pPr>
              <w:pStyle w:val="TableParagraph"/>
              <w:spacing w:before="0"/>
              <w:rPr>
                <w:rFonts w:ascii="Times New Roman"/>
                <w:sz w:val="18"/>
              </w:rPr>
            </w:pPr>
          </w:p>
        </w:tc>
      </w:tr>
      <w:tr>
        <w:trPr>
          <w:trHeight w:val="311" w:hRule="atLeast"/>
        </w:trPr>
        <w:tc>
          <w:tcPr>
            <w:tcW w:w="3394" w:type="dxa"/>
          </w:tcPr>
          <w:p>
            <w:pPr>
              <w:pStyle w:val="TableParagraph"/>
              <w:ind w:left="242"/>
              <w:rPr>
                <w:sz w:val="15"/>
              </w:rPr>
            </w:pPr>
            <w:r>
              <w:rPr>
                <w:sz w:val="15"/>
              </w:rPr>
              <w:t>发药</w:t>
            </w:r>
          </w:p>
        </w:tc>
        <w:tc>
          <w:tcPr>
            <w:tcW w:w="3342" w:type="dxa"/>
          </w:tcPr>
          <w:p>
            <w:pPr>
              <w:pStyle w:val="TableParagraph"/>
              <w:ind w:left="1590" w:right="1261"/>
              <w:jc w:val="center"/>
              <w:rPr>
                <w:sz w:val="15"/>
              </w:rPr>
            </w:pPr>
            <w:r>
              <w:rPr>
                <w:sz w:val="15"/>
              </w:rPr>
              <w:t>1171</w:t>
            </w:r>
          </w:p>
        </w:tc>
        <w:tc>
          <w:tcPr>
            <w:tcW w:w="2991" w:type="dxa"/>
          </w:tcPr>
          <w:p>
            <w:pPr>
              <w:pStyle w:val="TableParagraph"/>
              <w:ind w:left="1262" w:right="788"/>
              <w:jc w:val="center"/>
              <w:rPr>
                <w:sz w:val="15"/>
              </w:rPr>
            </w:pPr>
            <w:r>
              <w:rPr>
                <w:sz w:val="15"/>
              </w:rPr>
              <w:t>91.3</w:t>
            </w:r>
          </w:p>
        </w:tc>
      </w:tr>
      <w:tr>
        <w:trPr>
          <w:trHeight w:val="312" w:hRule="atLeast"/>
        </w:trPr>
        <w:tc>
          <w:tcPr>
            <w:tcW w:w="3394" w:type="dxa"/>
          </w:tcPr>
          <w:p>
            <w:pPr>
              <w:pStyle w:val="TableParagraph"/>
              <w:ind w:left="242"/>
              <w:rPr>
                <w:sz w:val="15"/>
              </w:rPr>
            </w:pPr>
            <w:r>
              <w:rPr>
                <w:sz w:val="15"/>
              </w:rPr>
              <w:t>患者用药咨询</w:t>
            </w:r>
          </w:p>
        </w:tc>
        <w:tc>
          <w:tcPr>
            <w:tcW w:w="3342" w:type="dxa"/>
          </w:tcPr>
          <w:p>
            <w:pPr>
              <w:pStyle w:val="TableParagraph"/>
              <w:ind w:left="1590" w:right="1261"/>
              <w:jc w:val="center"/>
              <w:rPr>
                <w:sz w:val="15"/>
              </w:rPr>
            </w:pPr>
            <w:r>
              <w:rPr>
                <w:sz w:val="15"/>
              </w:rPr>
              <w:t>1157</w:t>
            </w:r>
          </w:p>
        </w:tc>
        <w:tc>
          <w:tcPr>
            <w:tcW w:w="2991" w:type="dxa"/>
          </w:tcPr>
          <w:p>
            <w:pPr>
              <w:pStyle w:val="TableParagraph"/>
              <w:ind w:left="1262" w:right="788"/>
              <w:jc w:val="center"/>
              <w:rPr>
                <w:sz w:val="15"/>
              </w:rPr>
            </w:pPr>
            <w:r>
              <w:rPr>
                <w:sz w:val="15"/>
              </w:rPr>
              <w:t>90.2</w:t>
            </w:r>
          </w:p>
        </w:tc>
      </w:tr>
      <w:tr>
        <w:trPr>
          <w:trHeight w:val="311" w:hRule="atLeast"/>
        </w:trPr>
        <w:tc>
          <w:tcPr>
            <w:tcW w:w="3394" w:type="dxa"/>
          </w:tcPr>
          <w:p>
            <w:pPr>
              <w:pStyle w:val="TableParagraph"/>
              <w:ind w:left="242"/>
              <w:rPr>
                <w:sz w:val="15"/>
              </w:rPr>
            </w:pPr>
            <w:r>
              <w:rPr>
                <w:sz w:val="15"/>
              </w:rPr>
              <w:t>药品管理</w:t>
            </w:r>
          </w:p>
        </w:tc>
        <w:tc>
          <w:tcPr>
            <w:tcW w:w="3342" w:type="dxa"/>
          </w:tcPr>
          <w:p>
            <w:pPr>
              <w:pStyle w:val="TableParagraph"/>
              <w:ind w:left="1590" w:right="1261"/>
              <w:jc w:val="center"/>
              <w:rPr>
                <w:sz w:val="15"/>
              </w:rPr>
            </w:pPr>
            <w:r>
              <w:rPr>
                <w:sz w:val="15"/>
              </w:rPr>
              <w:t>1012</w:t>
            </w:r>
          </w:p>
        </w:tc>
        <w:tc>
          <w:tcPr>
            <w:tcW w:w="2991" w:type="dxa"/>
          </w:tcPr>
          <w:p>
            <w:pPr>
              <w:pStyle w:val="TableParagraph"/>
              <w:ind w:left="1262" w:right="788"/>
              <w:jc w:val="center"/>
              <w:rPr>
                <w:sz w:val="15"/>
              </w:rPr>
            </w:pPr>
            <w:r>
              <w:rPr>
                <w:sz w:val="15"/>
              </w:rPr>
              <w:t>78.9</w:t>
            </w:r>
          </w:p>
        </w:tc>
      </w:tr>
      <w:tr>
        <w:trPr>
          <w:trHeight w:val="312" w:hRule="atLeast"/>
        </w:trPr>
        <w:tc>
          <w:tcPr>
            <w:tcW w:w="3394" w:type="dxa"/>
          </w:tcPr>
          <w:p>
            <w:pPr>
              <w:pStyle w:val="TableParagraph"/>
              <w:ind w:left="242"/>
              <w:rPr>
                <w:sz w:val="15"/>
              </w:rPr>
            </w:pPr>
            <w:r>
              <w:rPr>
                <w:sz w:val="15"/>
              </w:rPr>
              <w:t>药品采购</w:t>
            </w:r>
          </w:p>
        </w:tc>
        <w:tc>
          <w:tcPr>
            <w:tcW w:w="3342" w:type="dxa"/>
          </w:tcPr>
          <w:p>
            <w:pPr>
              <w:pStyle w:val="TableParagraph"/>
              <w:ind w:left="1589" w:right="1262"/>
              <w:jc w:val="center"/>
              <w:rPr>
                <w:sz w:val="15"/>
              </w:rPr>
            </w:pPr>
            <w:r>
              <w:rPr>
                <w:sz w:val="15"/>
              </w:rPr>
              <w:t>611</w:t>
            </w:r>
          </w:p>
        </w:tc>
        <w:tc>
          <w:tcPr>
            <w:tcW w:w="2991" w:type="dxa"/>
          </w:tcPr>
          <w:p>
            <w:pPr>
              <w:pStyle w:val="TableParagraph"/>
              <w:ind w:left="1262" w:right="788"/>
              <w:jc w:val="center"/>
              <w:rPr>
                <w:sz w:val="15"/>
              </w:rPr>
            </w:pPr>
            <w:r>
              <w:rPr>
                <w:sz w:val="15"/>
              </w:rPr>
              <w:t>47.6</w:t>
            </w:r>
          </w:p>
        </w:tc>
      </w:tr>
      <w:tr>
        <w:trPr>
          <w:trHeight w:val="313" w:hRule="atLeast"/>
        </w:trPr>
        <w:tc>
          <w:tcPr>
            <w:tcW w:w="3394" w:type="dxa"/>
            <w:tcBorders>
              <w:bottom w:val="single" w:sz="4" w:space="0" w:color="7E7E7E"/>
            </w:tcBorders>
          </w:tcPr>
          <w:p>
            <w:pPr>
              <w:pStyle w:val="TableParagraph"/>
              <w:ind w:left="242"/>
              <w:rPr>
                <w:sz w:val="15"/>
              </w:rPr>
            </w:pPr>
            <w:r>
              <w:rPr>
                <w:sz w:val="15"/>
              </w:rPr>
              <w:t>参与用药方案制定</w:t>
            </w:r>
          </w:p>
        </w:tc>
        <w:tc>
          <w:tcPr>
            <w:tcW w:w="3342" w:type="dxa"/>
            <w:tcBorders>
              <w:bottom w:val="single" w:sz="4" w:space="0" w:color="7E7E7E"/>
            </w:tcBorders>
          </w:tcPr>
          <w:p>
            <w:pPr>
              <w:pStyle w:val="TableParagraph"/>
              <w:ind w:left="1589" w:right="1262"/>
              <w:jc w:val="center"/>
              <w:rPr>
                <w:sz w:val="15"/>
              </w:rPr>
            </w:pPr>
            <w:r>
              <w:rPr>
                <w:sz w:val="15"/>
              </w:rPr>
              <w:t>539</w:t>
            </w:r>
          </w:p>
        </w:tc>
        <w:tc>
          <w:tcPr>
            <w:tcW w:w="2991" w:type="dxa"/>
            <w:tcBorders>
              <w:bottom w:val="single" w:sz="4" w:space="0" w:color="7E7E7E"/>
            </w:tcBorders>
          </w:tcPr>
          <w:p>
            <w:pPr>
              <w:pStyle w:val="TableParagraph"/>
              <w:ind w:left="1262" w:right="788"/>
              <w:jc w:val="center"/>
              <w:rPr>
                <w:sz w:val="15"/>
              </w:rPr>
            </w:pPr>
            <w:r>
              <w:rPr>
                <w:sz w:val="15"/>
              </w:rPr>
              <w:t>42.0</w:t>
            </w:r>
          </w:p>
        </w:tc>
      </w:tr>
    </w:tbl>
    <w:p>
      <w:pPr>
        <w:spacing w:after="0"/>
        <w:jc w:val="center"/>
        <w:rPr>
          <w:sz w:val="15"/>
        </w:rPr>
        <w:sectPr>
          <w:pgSz w:w="11910" w:h="16850"/>
          <w:pgMar w:header="906" w:footer="607" w:top="1100" w:bottom="800" w:left="1040" w:right="880"/>
        </w:sect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
        <w:gridCol w:w="3168"/>
        <w:gridCol w:w="3586"/>
        <w:gridCol w:w="2800"/>
        <w:gridCol w:w="78"/>
      </w:tblGrid>
      <w:tr>
        <w:trPr>
          <w:trHeight w:val="310" w:hRule="atLeast"/>
        </w:trPr>
        <w:tc>
          <w:tcPr>
            <w:tcW w:w="86" w:type="dxa"/>
            <w:tcBorders>
              <w:top w:val="single" w:sz="4" w:space="0" w:color="7E7E7E"/>
            </w:tcBorders>
          </w:tcPr>
          <w:p>
            <w:pPr>
              <w:pStyle w:val="TableParagraph"/>
              <w:spacing w:before="0"/>
              <w:rPr>
                <w:rFonts w:ascii="Times New Roman"/>
                <w:sz w:val="20"/>
              </w:rPr>
            </w:pPr>
          </w:p>
        </w:tc>
        <w:tc>
          <w:tcPr>
            <w:tcW w:w="3168" w:type="dxa"/>
            <w:tcBorders>
              <w:top w:val="single" w:sz="4" w:space="0" w:color="7E7E7E"/>
            </w:tcBorders>
          </w:tcPr>
          <w:p>
            <w:pPr>
              <w:pStyle w:val="TableParagraph"/>
              <w:spacing w:before="58"/>
              <w:ind w:left="149"/>
              <w:rPr>
                <w:sz w:val="15"/>
              </w:rPr>
            </w:pPr>
            <w:r>
              <w:rPr>
                <w:sz w:val="15"/>
              </w:rPr>
              <w:t>药物不良反应监测</w:t>
            </w:r>
          </w:p>
        </w:tc>
        <w:tc>
          <w:tcPr>
            <w:tcW w:w="3586" w:type="dxa"/>
            <w:tcBorders>
              <w:top w:val="single" w:sz="4" w:space="0" w:color="7E7E7E"/>
            </w:tcBorders>
          </w:tcPr>
          <w:p>
            <w:pPr>
              <w:pStyle w:val="TableParagraph"/>
              <w:spacing w:before="58"/>
              <w:ind w:right="1503"/>
              <w:jc w:val="right"/>
              <w:rPr>
                <w:sz w:val="15"/>
              </w:rPr>
            </w:pPr>
            <w:r>
              <w:rPr>
                <w:sz w:val="15"/>
              </w:rPr>
              <w:t>759</w:t>
            </w:r>
          </w:p>
        </w:tc>
        <w:tc>
          <w:tcPr>
            <w:tcW w:w="2800" w:type="dxa"/>
            <w:tcBorders>
              <w:top w:val="single" w:sz="4" w:space="0" w:color="7E7E7E"/>
            </w:tcBorders>
          </w:tcPr>
          <w:p>
            <w:pPr>
              <w:pStyle w:val="TableParagraph"/>
              <w:spacing w:before="58"/>
              <w:ind w:right="1026"/>
              <w:jc w:val="right"/>
              <w:rPr>
                <w:sz w:val="15"/>
              </w:rPr>
            </w:pPr>
            <w:r>
              <w:rPr>
                <w:sz w:val="15"/>
              </w:rPr>
              <w:t>59.2</w:t>
            </w:r>
          </w:p>
        </w:tc>
        <w:tc>
          <w:tcPr>
            <w:tcW w:w="78" w:type="dxa"/>
            <w:tcBorders>
              <w:top w:val="single" w:sz="4" w:space="0" w:color="7E7E7E"/>
            </w:tcBorders>
          </w:tcPr>
          <w:p>
            <w:pPr>
              <w:pStyle w:val="TableParagraph"/>
              <w:spacing w:before="0"/>
              <w:rPr>
                <w:rFonts w:ascii="Times New Roman"/>
                <w:sz w:val="20"/>
              </w:rPr>
            </w:pPr>
          </w:p>
        </w:tc>
      </w:tr>
      <w:tr>
        <w:trPr>
          <w:trHeight w:val="312" w:hRule="atLeast"/>
        </w:trPr>
        <w:tc>
          <w:tcPr>
            <w:tcW w:w="86" w:type="dxa"/>
          </w:tcPr>
          <w:p>
            <w:pPr>
              <w:pStyle w:val="TableParagraph"/>
              <w:spacing w:before="0"/>
              <w:rPr>
                <w:rFonts w:ascii="Times New Roman"/>
                <w:sz w:val="20"/>
              </w:rPr>
            </w:pPr>
          </w:p>
        </w:tc>
        <w:tc>
          <w:tcPr>
            <w:tcW w:w="3168" w:type="dxa"/>
          </w:tcPr>
          <w:p>
            <w:pPr>
              <w:pStyle w:val="TableParagraph"/>
              <w:ind w:left="149"/>
              <w:rPr>
                <w:sz w:val="15"/>
              </w:rPr>
            </w:pPr>
            <w:r>
              <w:rPr>
                <w:sz w:val="15"/>
              </w:rPr>
              <w:t>处方审核</w:t>
            </w:r>
          </w:p>
        </w:tc>
        <w:tc>
          <w:tcPr>
            <w:tcW w:w="3586" w:type="dxa"/>
          </w:tcPr>
          <w:p>
            <w:pPr>
              <w:pStyle w:val="TableParagraph"/>
              <w:ind w:right="1464"/>
              <w:jc w:val="right"/>
              <w:rPr>
                <w:sz w:val="15"/>
              </w:rPr>
            </w:pPr>
            <w:r>
              <w:rPr>
                <w:sz w:val="15"/>
              </w:rPr>
              <w:t>1024</w:t>
            </w:r>
          </w:p>
        </w:tc>
        <w:tc>
          <w:tcPr>
            <w:tcW w:w="2800" w:type="dxa"/>
          </w:tcPr>
          <w:p>
            <w:pPr>
              <w:pStyle w:val="TableParagraph"/>
              <w:ind w:right="1026"/>
              <w:jc w:val="right"/>
              <w:rPr>
                <w:sz w:val="15"/>
              </w:rPr>
            </w:pPr>
            <w:r>
              <w:rPr>
                <w:sz w:val="15"/>
              </w:rPr>
              <w:t>79.8</w:t>
            </w:r>
          </w:p>
        </w:tc>
        <w:tc>
          <w:tcPr>
            <w:tcW w:w="78" w:type="dxa"/>
          </w:tcPr>
          <w:p>
            <w:pPr>
              <w:pStyle w:val="TableParagraph"/>
              <w:spacing w:before="0"/>
              <w:rPr>
                <w:rFonts w:ascii="Times New Roman"/>
                <w:sz w:val="20"/>
              </w:rPr>
            </w:pPr>
          </w:p>
        </w:tc>
      </w:tr>
      <w:tr>
        <w:trPr>
          <w:trHeight w:val="313" w:hRule="atLeast"/>
        </w:trPr>
        <w:tc>
          <w:tcPr>
            <w:tcW w:w="86" w:type="dxa"/>
            <w:tcBorders>
              <w:bottom w:val="single" w:sz="4" w:space="0" w:color="7E7E7E"/>
            </w:tcBorders>
          </w:tcPr>
          <w:p>
            <w:pPr>
              <w:pStyle w:val="TableParagraph"/>
              <w:spacing w:before="0"/>
              <w:rPr>
                <w:rFonts w:ascii="Times New Roman"/>
                <w:sz w:val="20"/>
              </w:rPr>
            </w:pPr>
          </w:p>
        </w:tc>
        <w:tc>
          <w:tcPr>
            <w:tcW w:w="3168" w:type="dxa"/>
            <w:tcBorders>
              <w:bottom w:val="single" w:sz="4" w:space="0" w:color="7E7E7E"/>
            </w:tcBorders>
          </w:tcPr>
          <w:p>
            <w:pPr>
              <w:pStyle w:val="TableParagraph"/>
              <w:ind w:left="149"/>
              <w:rPr>
                <w:sz w:val="15"/>
              </w:rPr>
            </w:pPr>
            <w:r>
              <w:rPr>
                <w:sz w:val="15"/>
              </w:rPr>
              <w:t>药学查房</w:t>
            </w:r>
          </w:p>
        </w:tc>
        <w:tc>
          <w:tcPr>
            <w:tcW w:w="3586" w:type="dxa"/>
            <w:tcBorders>
              <w:bottom w:val="single" w:sz="4" w:space="0" w:color="7E7E7E"/>
            </w:tcBorders>
          </w:tcPr>
          <w:p>
            <w:pPr>
              <w:pStyle w:val="TableParagraph"/>
              <w:ind w:right="1503"/>
              <w:jc w:val="right"/>
              <w:rPr>
                <w:sz w:val="15"/>
              </w:rPr>
            </w:pPr>
            <w:r>
              <w:rPr>
                <w:sz w:val="15"/>
              </w:rPr>
              <w:t>384</w:t>
            </w:r>
          </w:p>
        </w:tc>
        <w:tc>
          <w:tcPr>
            <w:tcW w:w="2800" w:type="dxa"/>
            <w:tcBorders>
              <w:bottom w:val="single" w:sz="4" w:space="0" w:color="7E7E7E"/>
            </w:tcBorders>
          </w:tcPr>
          <w:p>
            <w:pPr>
              <w:pStyle w:val="TableParagraph"/>
              <w:ind w:right="1026"/>
              <w:jc w:val="right"/>
              <w:rPr>
                <w:sz w:val="15"/>
              </w:rPr>
            </w:pPr>
            <w:r>
              <w:rPr>
                <w:sz w:val="15"/>
              </w:rPr>
              <w:t>29.9</w:t>
            </w:r>
          </w:p>
        </w:tc>
        <w:tc>
          <w:tcPr>
            <w:tcW w:w="78" w:type="dxa"/>
            <w:tcBorders>
              <w:bottom w:val="single" w:sz="4" w:space="0" w:color="7E7E7E"/>
            </w:tcBorders>
          </w:tcPr>
          <w:p>
            <w:pPr>
              <w:pStyle w:val="TableParagraph"/>
              <w:spacing w:before="0"/>
              <w:rPr>
                <w:rFonts w:ascii="Times New Roman"/>
                <w:sz w:val="20"/>
              </w:rPr>
            </w:pPr>
          </w:p>
        </w:tc>
      </w:tr>
    </w:tbl>
    <w:p>
      <w:pPr>
        <w:pStyle w:val="ListParagraph"/>
        <w:numPr>
          <w:ilvl w:val="1"/>
          <w:numId w:val="15"/>
        </w:numPr>
        <w:tabs>
          <w:tab w:pos="1138" w:val="left" w:leader="none"/>
        </w:tabs>
        <w:spacing w:line="295" w:lineRule="auto" w:before="64" w:after="0"/>
        <w:ind w:left="237" w:right="249" w:firstLine="480"/>
        <w:jc w:val="both"/>
        <w:rPr>
          <w:sz w:val="24"/>
        </w:rPr>
      </w:pPr>
      <w:r>
        <w:rPr>
          <w:spacing w:val="-3"/>
          <w:sz w:val="24"/>
        </w:rPr>
        <w:t>医师队伍建设现状 所调研样本医师的年龄结构、学历结构、职称结构等队伍建设</w:t>
      </w:r>
      <w:r>
        <w:rPr>
          <w:spacing w:val="-13"/>
          <w:sz w:val="24"/>
        </w:rPr>
        <w:t>情况如表 </w:t>
      </w:r>
      <w:r>
        <w:rPr>
          <w:rFonts w:ascii="Times New Roman" w:eastAsia="Times New Roman"/>
          <w:sz w:val="24"/>
        </w:rPr>
        <w:t>6 </w:t>
      </w:r>
      <w:r>
        <w:rPr>
          <w:spacing w:val="-11"/>
          <w:sz w:val="24"/>
        </w:rPr>
        <w:t>所示。从学历来看，本科及本科以上与本科以下各约占一半，比例最高的为本科</w:t>
      </w:r>
    </w:p>
    <w:p>
      <w:pPr>
        <w:pStyle w:val="BodyText"/>
        <w:spacing w:line="295" w:lineRule="auto" w:before="5"/>
        <w:ind w:right="249"/>
      </w:pPr>
      <w:r>
        <w:rPr/>
        <w:t>（</w:t>
      </w:r>
      <w:r>
        <w:rPr>
          <w:rFonts w:ascii="Times New Roman" w:eastAsia="Times New Roman"/>
        </w:rPr>
        <w:t>47.8%</w:t>
      </w:r>
      <w:r>
        <w:rPr/>
        <w:t>）和大专（</w:t>
      </w:r>
      <w:r>
        <w:rPr>
          <w:rFonts w:ascii="Times New Roman" w:eastAsia="Times New Roman"/>
        </w:rPr>
        <w:t>29.9%</w:t>
      </w:r>
      <w:r>
        <w:rPr/>
        <w:t>），</w:t>
      </w:r>
      <w:r>
        <w:rPr>
          <w:rFonts w:ascii="Times New Roman" w:eastAsia="Times New Roman"/>
        </w:rPr>
        <w:t>1.6%</w:t>
      </w:r>
      <w:r>
        <w:rPr/>
        <w:t>为专科以下。从职称情况来看，主治医师（中级）的比</w:t>
      </w:r>
      <w:r>
        <w:rPr>
          <w:spacing w:val="-13"/>
        </w:rPr>
        <w:t>例最高，为 </w:t>
      </w:r>
      <w:r>
        <w:rPr>
          <w:rFonts w:ascii="Times New Roman" w:eastAsia="Times New Roman"/>
        </w:rPr>
        <w:t>49.3%</w:t>
      </w:r>
      <w:r>
        <w:rPr>
          <w:spacing w:val="-1"/>
        </w:rPr>
        <w:t>；其次是住院医师</w:t>
      </w:r>
      <w:r>
        <w:rPr/>
        <w:t>（初级</w:t>
      </w:r>
      <w:r>
        <w:rPr>
          <w:spacing w:val="-4"/>
        </w:rPr>
        <w:t>）</w:t>
      </w:r>
      <w:r>
        <w:rPr>
          <w:spacing w:val="-22"/>
        </w:rPr>
        <w:t>，为 </w:t>
      </w:r>
      <w:r>
        <w:rPr>
          <w:rFonts w:ascii="Times New Roman" w:eastAsia="Times New Roman"/>
        </w:rPr>
        <w:t>29.2%</w:t>
      </w:r>
      <w:r>
        <w:rPr>
          <w:spacing w:val="-1"/>
        </w:rPr>
        <w:t>；副主任医师的人数为主任医师的</w:t>
      </w:r>
    </w:p>
    <w:p>
      <w:pPr>
        <w:pStyle w:val="BodyText"/>
        <w:spacing w:line="297" w:lineRule="auto" w:before="2"/>
        <w:ind w:right="126"/>
      </w:pPr>
      <w:r>
        <w:rPr>
          <w:rFonts w:ascii="Times New Roman" w:eastAsia="Times New Roman"/>
        </w:rPr>
        <w:t>5 </w:t>
      </w:r>
      <w:r>
        <w:rPr>
          <w:spacing w:val="-6"/>
        </w:rPr>
        <w:t>倍多。从工作年限来看，人数最多的为工作 </w:t>
      </w:r>
      <w:r>
        <w:rPr>
          <w:rFonts w:ascii="Times New Roman" w:eastAsia="Times New Roman"/>
        </w:rPr>
        <w:t>20 </w:t>
      </w:r>
      <w:r>
        <w:rPr>
          <w:spacing w:val="-9"/>
        </w:rPr>
        <w:t>年以上的，约占 </w:t>
      </w:r>
      <w:r>
        <w:rPr>
          <w:rFonts w:ascii="Times New Roman" w:eastAsia="Times New Roman"/>
        </w:rPr>
        <w:t>40%</w:t>
      </w:r>
      <w:r>
        <w:rPr>
          <w:spacing w:val="-13"/>
        </w:rPr>
        <w:t>；其次是 </w:t>
      </w:r>
      <w:r>
        <w:rPr>
          <w:rFonts w:ascii="Times New Roman" w:eastAsia="Times New Roman"/>
        </w:rPr>
        <w:t>11-20 </w:t>
      </w:r>
      <w:r>
        <w:rPr>
          <w:spacing w:val="-5"/>
        </w:rPr>
        <w:t>年的， </w:t>
      </w:r>
      <w:r>
        <w:rPr>
          <w:spacing w:val="-21"/>
        </w:rPr>
        <w:t>约占 </w:t>
      </w:r>
      <w:r>
        <w:rPr>
          <w:rFonts w:ascii="Times New Roman" w:eastAsia="Times New Roman"/>
        </w:rPr>
        <w:t>30%</w:t>
      </w:r>
      <w:r>
        <w:rPr>
          <w:spacing w:val="-15"/>
        </w:rPr>
        <w:t>；工作 </w:t>
      </w:r>
      <w:r>
        <w:rPr>
          <w:rFonts w:ascii="Times New Roman" w:eastAsia="Times New Roman"/>
        </w:rPr>
        <w:t>6-10 </w:t>
      </w:r>
      <w:r>
        <w:rPr>
          <w:spacing w:val="-20"/>
        </w:rPr>
        <w:t>年和 </w:t>
      </w:r>
      <w:r>
        <w:rPr>
          <w:rFonts w:ascii="Times New Roman" w:eastAsia="Times New Roman"/>
        </w:rPr>
        <w:t>0-5 </w:t>
      </w:r>
      <w:r>
        <w:rPr>
          <w:spacing w:val="-8"/>
        </w:rPr>
        <w:t>年的医师约各占 </w:t>
      </w:r>
      <w:r>
        <w:rPr>
          <w:rFonts w:ascii="Times New Roman" w:eastAsia="Times New Roman"/>
        </w:rPr>
        <w:t>15%</w:t>
      </w:r>
      <w:r>
        <w:rPr/>
        <w:t>。</w:t>
      </w:r>
    </w:p>
    <w:p>
      <w:pPr>
        <w:spacing w:line="236" w:lineRule="exact" w:before="0" w:after="10"/>
        <w:ind w:left="599" w:right="0" w:firstLine="0"/>
        <w:jc w:val="left"/>
        <w:rPr>
          <w:rFonts w:ascii="华文楷体" w:eastAsia="华文楷体" w:hint="eastAsia"/>
          <w:sz w:val="18"/>
        </w:rPr>
      </w:pPr>
      <w:r>
        <w:rPr>
          <w:rFonts w:ascii="华文楷体" w:eastAsia="华文楷体" w:hint="eastAsia"/>
          <w:sz w:val="18"/>
        </w:rPr>
        <w:t>表6：医师队伍建设概况</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3"/>
        <w:gridCol w:w="3087"/>
        <w:gridCol w:w="3029"/>
      </w:tblGrid>
      <w:tr>
        <w:trPr>
          <w:trHeight w:val="310" w:hRule="atLeast"/>
        </w:trPr>
        <w:tc>
          <w:tcPr>
            <w:tcW w:w="3613" w:type="dxa"/>
            <w:tcBorders>
              <w:top w:val="single" w:sz="4" w:space="0" w:color="7E7E7E"/>
            </w:tcBorders>
          </w:tcPr>
          <w:p>
            <w:pPr>
              <w:pStyle w:val="TableParagraph"/>
              <w:spacing w:before="58"/>
              <w:ind w:left="1824" w:right="1448"/>
              <w:jc w:val="center"/>
              <w:rPr>
                <w:sz w:val="15"/>
              </w:rPr>
            </w:pPr>
            <w:r>
              <w:rPr>
                <w:sz w:val="15"/>
              </w:rPr>
              <w:t>项目</w:t>
            </w:r>
          </w:p>
        </w:tc>
        <w:tc>
          <w:tcPr>
            <w:tcW w:w="3087" w:type="dxa"/>
            <w:tcBorders>
              <w:top w:val="single" w:sz="4" w:space="0" w:color="7E7E7E"/>
            </w:tcBorders>
          </w:tcPr>
          <w:p>
            <w:pPr>
              <w:pStyle w:val="TableParagraph"/>
              <w:spacing w:before="58"/>
              <w:ind w:left="1446" w:right="1298"/>
              <w:jc w:val="center"/>
              <w:rPr>
                <w:sz w:val="15"/>
              </w:rPr>
            </w:pPr>
            <w:r>
              <w:rPr>
                <w:sz w:val="15"/>
              </w:rPr>
              <w:t>频数</w:t>
            </w:r>
          </w:p>
        </w:tc>
        <w:tc>
          <w:tcPr>
            <w:tcW w:w="3029" w:type="dxa"/>
            <w:tcBorders>
              <w:top w:val="single" w:sz="4" w:space="0" w:color="7E7E7E"/>
            </w:tcBorders>
          </w:tcPr>
          <w:p>
            <w:pPr>
              <w:pStyle w:val="TableParagraph"/>
              <w:spacing w:before="58"/>
              <w:ind w:left="1298" w:right="791"/>
              <w:jc w:val="center"/>
              <w:rPr>
                <w:sz w:val="15"/>
              </w:rPr>
            </w:pPr>
            <w:r>
              <w:rPr>
                <w:sz w:val="15"/>
              </w:rPr>
              <w:t>有效百分比/%</w:t>
            </w:r>
          </w:p>
        </w:tc>
      </w:tr>
      <w:tr>
        <w:trPr>
          <w:trHeight w:val="311" w:hRule="atLeast"/>
        </w:trPr>
        <w:tc>
          <w:tcPr>
            <w:tcW w:w="3613" w:type="dxa"/>
          </w:tcPr>
          <w:p>
            <w:pPr>
              <w:pStyle w:val="TableParagraph"/>
              <w:ind w:left="842"/>
              <w:rPr>
                <w:sz w:val="15"/>
              </w:rPr>
            </w:pPr>
            <w:r>
              <w:rPr>
                <w:sz w:val="15"/>
              </w:rPr>
              <w:t>年龄</w:t>
            </w:r>
          </w:p>
        </w:tc>
        <w:tc>
          <w:tcPr>
            <w:tcW w:w="3087" w:type="dxa"/>
          </w:tcPr>
          <w:p>
            <w:pPr>
              <w:pStyle w:val="TableParagraph"/>
              <w:spacing w:before="0"/>
              <w:rPr>
                <w:rFonts w:ascii="Times New Roman"/>
                <w:sz w:val="20"/>
              </w:rPr>
            </w:pPr>
          </w:p>
        </w:tc>
        <w:tc>
          <w:tcPr>
            <w:tcW w:w="3029" w:type="dxa"/>
          </w:tcPr>
          <w:p>
            <w:pPr>
              <w:pStyle w:val="TableParagraph"/>
              <w:spacing w:before="0"/>
              <w:rPr>
                <w:rFonts w:ascii="Times New Roman"/>
                <w:sz w:val="20"/>
              </w:rPr>
            </w:pPr>
          </w:p>
        </w:tc>
      </w:tr>
      <w:tr>
        <w:trPr>
          <w:trHeight w:val="312" w:hRule="atLeast"/>
        </w:trPr>
        <w:tc>
          <w:tcPr>
            <w:tcW w:w="3613" w:type="dxa"/>
          </w:tcPr>
          <w:p>
            <w:pPr>
              <w:pStyle w:val="TableParagraph"/>
              <w:ind w:left="242"/>
              <w:rPr>
                <w:sz w:val="15"/>
              </w:rPr>
            </w:pPr>
            <w:r>
              <w:rPr>
                <w:sz w:val="15"/>
              </w:rPr>
              <w:t>10-20 岁</w:t>
            </w:r>
          </w:p>
        </w:tc>
        <w:tc>
          <w:tcPr>
            <w:tcW w:w="3087" w:type="dxa"/>
          </w:tcPr>
          <w:p>
            <w:pPr>
              <w:pStyle w:val="TableParagraph"/>
              <w:ind w:left="147"/>
              <w:jc w:val="center"/>
              <w:rPr>
                <w:sz w:val="15"/>
              </w:rPr>
            </w:pPr>
            <w:r>
              <w:rPr>
                <w:w w:val="100"/>
                <w:sz w:val="15"/>
              </w:rPr>
              <w:t>1</w:t>
            </w:r>
          </w:p>
        </w:tc>
        <w:tc>
          <w:tcPr>
            <w:tcW w:w="3029" w:type="dxa"/>
          </w:tcPr>
          <w:p>
            <w:pPr>
              <w:pStyle w:val="TableParagraph"/>
              <w:ind w:left="1298" w:right="788"/>
              <w:jc w:val="center"/>
              <w:rPr>
                <w:sz w:val="15"/>
              </w:rPr>
            </w:pPr>
            <w:r>
              <w:rPr>
                <w:sz w:val="15"/>
              </w:rPr>
              <w:t>0.1</w:t>
            </w:r>
          </w:p>
        </w:tc>
      </w:tr>
      <w:tr>
        <w:trPr>
          <w:trHeight w:val="312" w:hRule="atLeast"/>
        </w:trPr>
        <w:tc>
          <w:tcPr>
            <w:tcW w:w="3613" w:type="dxa"/>
          </w:tcPr>
          <w:p>
            <w:pPr>
              <w:pStyle w:val="TableParagraph"/>
              <w:ind w:left="242"/>
              <w:rPr>
                <w:sz w:val="15"/>
              </w:rPr>
            </w:pPr>
            <w:r>
              <w:rPr>
                <w:sz w:val="15"/>
              </w:rPr>
              <w:t>20-30 岁</w:t>
            </w:r>
          </w:p>
        </w:tc>
        <w:tc>
          <w:tcPr>
            <w:tcW w:w="3087" w:type="dxa"/>
          </w:tcPr>
          <w:p>
            <w:pPr>
              <w:pStyle w:val="TableParagraph"/>
              <w:ind w:left="1443" w:right="1299"/>
              <w:jc w:val="center"/>
              <w:rPr>
                <w:sz w:val="15"/>
              </w:rPr>
            </w:pPr>
            <w:r>
              <w:rPr>
                <w:sz w:val="15"/>
              </w:rPr>
              <w:t>248</w:t>
            </w:r>
          </w:p>
        </w:tc>
        <w:tc>
          <w:tcPr>
            <w:tcW w:w="3029" w:type="dxa"/>
          </w:tcPr>
          <w:p>
            <w:pPr>
              <w:pStyle w:val="TableParagraph"/>
              <w:ind w:left="1298" w:right="790"/>
              <w:jc w:val="center"/>
              <w:rPr>
                <w:sz w:val="15"/>
              </w:rPr>
            </w:pPr>
            <w:r>
              <w:rPr>
                <w:sz w:val="15"/>
              </w:rPr>
              <w:t>12.5</w:t>
            </w:r>
          </w:p>
        </w:tc>
      </w:tr>
      <w:tr>
        <w:trPr>
          <w:trHeight w:val="312" w:hRule="atLeast"/>
        </w:trPr>
        <w:tc>
          <w:tcPr>
            <w:tcW w:w="3613" w:type="dxa"/>
          </w:tcPr>
          <w:p>
            <w:pPr>
              <w:pStyle w:val="TableParagraph"/>
              <w:ind w:left="242"/>
              <w:rPr>
                <w:sz w:val="15"/>
              </w:rPr>
            </w:pPr>
            <w:r>
              <w:rPr>
                <w:sz w:val="15"/>
              </w:rPr>
              <w:t>30-40 岁</w:t>
            </w:r>
          </w:p>
        </w:tc>
        <w:tc>
          <w:tcPr>
            <w:tcW w:w="3087" w:type="dxa"/>
          </w:tcPr>
          <w:p>
            <w:pPr>
              <w:pStyle w:val="TableParagraph"/>
              <w:ind w:left="1443" w:right="1299"/>
              <w:jc w:val="center"/>
              <w:rPr>
                <w:sz w:val="15"/>
              </w:rPr>
            </w:pPr>
            <w:r>
              <w:rPr>
                <w:sz w:val="15"/>
              </w:rPr>
              <w:t>666</w:t>
            </w:r>
          </w:p>
        </w:tc>
        <w:tc>
          <w:tcPr>
            <w:tcW w:w="3029" w:type="dxa"/>
          </w:tcPr>
          <w:p>
            <w:pPr>
              <w:pStyle w:val="TableParagraph"/>
              <w:ind w:left="1298" w:right="790"/>
              <w:jc w:val="center"/>
              <w:rPr>
                <w:sz w:val="15"/>
              </w:rPr>
            </w:pPr>
            <w:r>
              <w:rPr>
                <w:sz w:val="15"/>
              </w:rPr>
              <w:t>33.7</w:t>
            </w:r>
          </w:p>
        </w:tc>
      </w:tr>
      <w:tr>
        <w:trPr>
          <w:trHeight w:val="312" w:hRule="atLeast"/>
        </w:trPr>
        <w:tc>
          <w:tcPr>
            <w:tcW w:w="3613" w:type="dxa"/>
          </w:tcPr>
          <w:p>
            <w:pPr>
              <w:pStyle w:val="TableParagraph"/>
              <w:ind w:left="242"/>
              <w:rPr>
                <w:sz w:val="15"/>
              </w:rPr>
            </w:pPr>
            <w:r>
              <w:rPr>
                <w:sz w:val="15"/>
              </w:rPr>
              <w:t>40-60 岁</w:t>
            </w:r>
          </w:p>
        </w:tc>
        <w:tc>
          <w:tcPr>
            <w:tcW w:w="3087" w:type="dxa"/>
          </w:tcPr>
          <w:p>
            <w:pPr>
              <w:pStyle w:val="TableParagraph"/>
              <w:ind w:left="1443" w:right="1299"/>
              <w:jc w:val="center"/>
              <w:rPr>
                <w:sz w:val="15"/>
              </w:rPr>
            </w:pPr>
            <w:r>
              <w:rPr>
                <w:sz w:val="15"/>
              </w:rPr>
              <w:t>946</w:t>
            </w:r>
          </w:p>
        </w:tc>
        <w:tc>
          <w:tcPr>
            <w:tcW w:w="3029" w:type="dxa"/>
          </w:tcPr>
          <w:p>
            <w:pPr>
              <w:pStyle w:val="TableParagraph"/>
              <w:ind w:left="1298" w:right="790"/>
              <w:jc w:val="center"/>
              <w:rPr>
                <w:sz w:val="15"/>
              </w:rPr>
            </w:pPr>
            <w:r>
              <w:rPr>
                <w:sz w:val="15"/>
              </w:rPr>
              <w:t>47.8</w:t>
            </w:r>
          </w:p>
        </w:tc>
      </w:tr>
      <w:tr>
        <w:trPr>
          <w:trHeight w:val="312" w:hRule="atLeast"/>
        </w:trPr>
        <w:tc>
          <w:tcPr>
            <w:tcW w:w="3613" w:type="dxa"/>
          </w:tcPr>
          <w:p>
            <w:pPr>
              <w:pStyle w:val="TableParagraph"/>
              <w:ind w:left="242"/>
              <w:rPr>
                <w:sz w:val="15"/>
              </w:rPr>
            </w:pPr>
            <w:r>
              <w:rPr>
                <w:sz w:val="15"/>
              </w:rPr>
              <w:t>60 岁以上</w:t>
            </w:r>
          </w:p>
        </w:tc>
        <w:tc>
          <w:tcPr>
            <w:tcW w:w="3087" w:type="dxa"/>
          </w:tcPr>
          <w:p>
            <w:pPr>
              <w:pStyle w:val="TableParagraph"/>
              <w:ind w:left="1443" w:right="1299"/>
              <w:jc w:val="center"/>
              <w:rPr>
                <w:sz w:val="15"/>
              </w:rPr>
            </w:pPr>
            <w:r>
              <w:rPr>
                <w:sz w:val="15"/>
              </w:rPr>
              <w:t>117</w:t>
            </w:r>
          </w:p>
        </w:tc>
        <w:tc>
          <w:tcPr>
            <w:tcW w:w="3029" w:type="dxa"/>
          </w:tcPr>
          <w:p>
            <w:pPr>
              <w:pStyle w:val="TableParagraph"/>
              <w:ind w:left="1298" w:right="788"/>
              <w:jc w:val="center"/>
              <w:rPr>
                <w:sz w:val="15"/>
              </w:rPr>
            </w:pPr>
            <w:r>
              <w:rPr>
                <w:sz w:val="15"/>
              </w:rPr>
              <w:t>5.9</w:t>
            </w:r>
          </w:p>
        </w:tc>
      </w:tr>
      <w:tr>
        <w:trPr>
          <w:trHeight w:val="312" w:hRule="atLeast"/>
        </w:trPr>
        <w:tc>
          <w:tcPr>
            <w:tcW w:w="3613" w:type="dxa"/>
          </w:tcPr>
          <w:p>
            <w:pPr>
              <w:pStyle w:val="TableParagraph"/>
              <w:ind w:left="242"/>
              <w:rPr>
                <w:sz w:val="15"/>
              </w:rPr>
            </w:pPr>
            <w:r>
              <w:rPr>
                <w:sz w:val="15"/>
              </w:rPr>
              <w:t>总计</w:t>
            </w:r>
          </w:p>
        </w:tc>
        <w:tc>
          <w:tcPr>
            <w:tcW w:w="3087" w:type="dxa"/>
          </w:tcPr>
          <w:p>
            <w:pPr>
              <w:pStyle w:val="TableParagraph"/>
              <w:ind w:left="1445" w:right="1299"/>
              <w:jc w:val="center"/>
              <w:rPr>
                <w:sz w:val="15"/>
              </w:rPr>
            </w:pPr>
            <w:r>
              <w:rPr>
                <w:sz w:val="15"/>
              </w:rPr>
              <w:t>1978</w:t>
            </w:r>
          </w:p>
        </w:tc>
        <w:tc>
          <w:tcPr>
            <w:tcW w:w="3029" w:type="dxa"/>
          </w:tcPr>
          <w:p>
            <w:pPr>
              <w:pStyle w:val="TableParagraph"/>
              <w:ind w:left="1298" w:right="788"/>
              <w:jc w:val="center"/>
              <w:rPr>
                <w:sz w:val="15"/>
              </w:rPr>
            </w:pPr>
            <w:r>
              <w:rPr>
                <w:sz w:val="15"/>
              </w:rPr>
              <w:t>100.0</w:t>
            </w:r>
          </w:p>
        </w:tc>
      </w:tr>
      <w:tr>
        <w:trPr>
          <w:trHeight w:val="311" w:hRule="atLeast"/>
        </w:trPr>
        <w:tc>
          <w:tcPr>
            <w:tcW w:w="3613" w:type="dxa"/>
          </w:tcPr>
          <w:p>
            <w:pPr>
              <w:pStyle w:val="TableParagraph"/>
              <w:ind w:left="122"/>
              <w:rPr>
                <w:sz w:val="15"/>
              </w:rPr>
            </w:pPr>
            <w:r>
              <w:rPr>
                <w:sz w:val="15"/>
              </w:rPr>
              <w:t>学历</w:t>
            </w:r>
          </w:p>
        </w:tc>
        <w:tc>
          <w:tcPr>
            <w:tcW w:w="3087" w:type="dxa"/>
          </w:tcPr>
          <w:p>
            <w:pPr>
              <w:pStyle w:val="TableParagraph"/>
              <w:spacing w:before="0"/>
              <w:rPr>
                <w:rFonts w:ascii="Times New Roman"/>
                <w:sz w:val="20"/>
              </w:rPr>
            </w:pPr>
          </w:p>
        </w:tc>
        <w:tc>
          <w:tcPr>
            <w:tcW w:w="3029" w:type="dxa"/>
          </w:tcPr>
          <w:p>
            <w:pPr>
              <w:pStyle w:val="TableParagraph"/>
              <w:spacing w:before="0"/>
              <w:rPr>
                <w:rFonts w:ascii="Times New Roman"/>
                <w:sz w:val="20"/>
              </w:rPr>
            </w:pPr>
          </w:p>
        </w:tc>
      </w:tr>
      <w:tr>
        <w:trPr>
          <w:trHeight w:val="312" w:hRule="atLeast"/>
        </w:trPr>
        <w:tc>
          <w:tcPr>
            <w:tcW w:w="3613" w:type="dxa"/>
          </w:tcPr>
          <w:p>
            <w:pPr>
              <w:pStyle w:val="TableParagraph"/>
              <w:ind w:left="242"/>
              <w:rPr>
                <w:sz w:val="15"/>
              </w:rPr>
            </w:pPr>
            <w:r>
              <w:rPr>
                <w:sz w:val="15"/>
              </w:rPr>
              <w:t>专科以下</w:t>
            </w:r>
          </w:p>
        </w:tc>
        <w:tc>
          <w:tcPr>
            <w:tcW w:w="3087" w:type="dxa"/>
          </w:tcPr>
          <w:p>
            <w:pPr>
              <w:pStyle w:val="TableParagraph"/>
              <w:ind w:left="1446" w:right="1298"/>
              <w:jc w:val="center"/>
              <w:rPr>
                <w:sz w:val="15"/>
              </w:rPr>
            </w:pPr>
            <w:r>
              <w:rPr>
                <w:sz w:val="15"/>
              </w:rPr>
              <w:t>32</w:t>
            </w:r>
          </w:p>
        </w:tc>
        <w:tc>
          <w:tcPr>
            <w:tcW w:w="3029" w:type="dxa"/>
          </w:tcPr>
          <w:p>
            <w:pPr>
              <w:pStyle w:val="TableParagraph"/>
              <w:ind w:left="1298" w:right="788"/>
              <w:jc w:val="center"/>
              <w:rPr>
                <w:sz w:val="15"/>
              </w:rPr>
            </w:pPr>
            <w:r>
              <w:rPr>
                <w:sz w:val="15"/>
              </w:rPr>
              <w:t>1.6</w:t>
            </w:r>
          </w:p>
        </w:tc>
      </w:tr>
      <w:tr>
        <w:trPr>
          <w:trHeight w:val="312" w:hRule="atLeast"/>
        </w:trPr>
        <w:tc>
          <w:tcPr>
            <w:tcW w:w="3613" w:type="dxa"/>
          </w:tcPr>
          <w:p>
            <w:pPr>
              <w:pStyle w:val="TableParagraph"/>
              <w:ind w:left="242"/>
              <w:rPr>
                <w:sz w:val="15"/>
              </w:rPr>
            </w:pPr>
            <w:r>
              <w:rPr>
                <w:sz w:val="15"/>
              </w:rPr>
              <w:t>中专</w:t>
            </w:r>
          </w:p>
        </w:tc>
        <w:tc>
          <w:tcPr>
            <w:tcW w:w="3087" w:type="dxa"/>
          </w:tcPr>
          <w:p>
            <w:pPr>
              <w:pStyle w:val="TableParagraph"/>
              <w:ind w:left="1443" w:right="1299"/>
              <w:jc w:val="center"/>
              <w:rPr>
                <w:sz w:val="15"/>
              </w:rPr>
            </w:pPr>
            <w:r>
              <w:rPr>
                <w:sz w:val="15"/>
              </w:rPr>
              <w:t>297</w:t>
            </w:r>
          </w:p>
        </w:tc>
        <w:tc>
          <w:tcPr>
            <w:tcW w:w="3029" w:type="dxa"/>
          </w:tcPr>
          <w:p>
            <w:pPr>
              <w:pStyle w:val="TableParagraph"/>
              <w:ind w:left="1298" w:right="790"/>
              <w:jc w:val="center"/>
              <w:rPr>
                <w:sz w:val="15"/>
              </w:rPr>
            </w:pPr>
            <w:r>
              <w:rPr>
                <w:sz w:val="15"/>
              </w:rPr>
              <w:t>15.0</w:t>
            </w:r>
          </w:p>
        </w:tc>
      </w:tr>
      <w:tr>
        <w:trPr>
          <w:trHeight w:val="312" w:hRule="atLeast"/>
        </w:trPr>
        <w:tc>
          <w:tcPr>
            <w:tcW w:w="3613" w:type="dxa"/>
          </w:tcPr>
          <w:p>
            <w:pPr>
              <w:pStyle w:val="TableParagraph"/>
              <w:ind w:left="242"/>
              <w:rPr>
                <w:sz w:val="15"/>
              </w:rPr>
            </w:pPr>
            <w:r>
              <w:rPr>
                <w:sz w:val="15"/>
              </w:rPr>
              <w:t>大专</w:t>
            </w:r>
          </w:p>
        </w:tc>
        <w:tc>
          <w:tcPr>
            <w:tcW w:w="3087" w:type="dxa"/>
          </w:tcPr>
          <w:p>
            <w:pPr>
              <w:pStyle w:val="TableParagraph"/>
              <w:ind w:left="1443" w:right="1299"/>
              <w:jc w:val="center"/>
              <w:rPr>
                <w:sz w:val="15"/>
              </w:rPr>
            </w:pPr>
            <w:r>
              <w:rPr>
                <w:sz w:val="15"/>
              </w:rPr>
              <w:t>591</w:t>
            </w:r>
          </w:p>
        </w:tc>
        <w:tc>
          <w:tcPr>
            <w:tcW w:w="3029" w:type="dxa"/>
          </w:tcPr>
          <w:p>
            <w:pPr>
              <w:pStyle w:val="TableParagraph"/>
              <w:ind w:left="1298" w:right="790"/>
              <w:jc w:val="center"/>
              <w:rPr>
                <w:sz w:val="15"/>
              </w:rPr>
            </w:pPr>
            <w:r>
              <w:rPr>
                <w:sz w:val="15"/>
              </w:rPr>
              <w:t>29.9</w:t>
            </w:r>
          </w:p>
        </w:tc>
      </w:tr>
      <w:tr>
        <w:trPr>
          <w:trHeight w:val="312" w:hRule="atLeast"/>
        </w:trPr>
        <w:tc>
          <w:tcPr>
            <w:tcW w:w="3613" w:type="dxa"/>
          </w:tcPr>
          <w:p>
            <w:pPr>
              <w:pStyle w:val="TableParagraph"/>
              <w:ind w:left="242"/>
              <w:rPr>
                <w:sz w:val="15"/>
              </w:rPr>
            </w:pPr>
            <w:r>
              <w:rPr>
                <w:sz w:val="15"/>
              </w:rPr>
              <w:t>本科</w:t>
            </w:r>
          </w:p>
        </w:tc>
        <w:tc>
          <w:tcPr>
            <w:tcW w:w="3087" w:type="dxa"/>
          </w:tcPr>
          <w:p>
            <w:pPr>
              <w:pStyle w:val="TableParagraph"/>
              <w:ind w:left="1443" w:right="1299"/>
              <w:jc w:val="center"/>
              <w:rPr>
                <w:sz w:val="15"/>
              </w:rPr>
            </w:pPr>
            <w:r>
              <w:rPr>
                <w:sz w:val="15"/>
              </w:rPr>
              <w:t>945</w:t>
            </w:r>
          </w:p>
        </w:tc>
        <w:tc>
          <w:tcPr>
            <w:tcW w:w="3029" w:type="dxa"/>
          </w:tcPr>
          <w:p>
            <w:pPr>
              <w:pStyle w:val="TableParagraph"/>
              <w:ind w:left="1298" w:right="790"/>
              <w:jc w:val="center"/>
              <w:rPr>
                <w:sz w:val="15"/>
              </w:rPr>
            </w:pPr>
            <w:r>
              <w:rPr>
                <w:sz w:val="15"/>
              </w:rPr>
              <w:t>47.8</w:t>
            </w:r>
          </w:p>
        </w:tc>
      </w:tr>
      <w:tr>
        <w:trPr>
          <w:trHeight w:val="311" w:hRule="atLeast"/>
        </w:trPr>
        <w:tc>
          <w:tcPr>
            <w:tcW w:w="3613" w:type="dxa"/>
          </w:tcPr>
          <w:p>
            <w:pPr>
              <w:pStyle w:val="TableParagraph"/>
              <w:ind w:left="242"/>
              <w:rPr>
                <w:sz w:val="15"/>
              </w:rPr>
            </w:pPr>
            <w:r>
              <w:rPr>
                <w:sz w:val="15"/>
              </w:rPr>
              <w:t>本科以上</w:t>
            </w:r>
          </w:p>
        </w:tc>
        <w:tc>
          <w:tcPr>
            <w:tcW w:w="3087" w:type="dxa"/>
          </w:tcPr>
          <w:p>
            <w:pPr>
              <w:pStyle w:val="TableParagraph"/>
              <w:ind w:left="1443" w:right="1299"/>
              <w:jc w:val="center"/>
              <w:rPr>
                <w:sz w:val="15"/>
              </w:rPr>
            </w:pPr>
            <w:r>
              <w:rPr>
                <w:sz w:val="15"/>
              </w:rPr>
              <w:t>113</w:t>
            </w:r>
          </w:p>
        </w:tc>
        <w:tc>
          <w:tcPr>
            <w:tcW w:w="3029" w:type="dxa"/>
          </w:tcPr>
          <w:p>
            <w:pPr>
              <w:pStyle w:val="TableParagraph"/>
              <w:ind w:left="1298" w:right="788"/>
              <w:jc w:val="center"/>
              <w:rPr>
                <w:sz w:val="15"/>
              </w:rPr>
            </w:pPr>
            <w:r>
              <w:rPr>
                <w:sz w:val="15"/>
              </w:rPr>
              <w:t>5.7</w:t>
            </w:r>
          </w:p>
        </w:tc>
      </w:tr>
      <w:tr>
        <w:trPr>
          <w:trHeight w:val="311" w:hRule="atLeast"/>
        </w:trPr>
        <w:tc>
          <w:tcPr>
            <w:tcW w:w="3613" w:type="dxa"/>
          </w:tcPr>
          <w:p>
            <w:pPr>
              <w:pStyle w:val="TableParagraph"/>
              <w:ind w:left="242"/>
              <w:rPr>
                <w:sz w:val="15"/>
              </w:rPr>
            </w:pPr>
            <w:r>
              <w:rPr>
                <w:sz w:val="15"/>
              </w:rPr>
              <w:t>总计</w:t>
            </w:r>
          </w:p>
        </w:tc>
        <w:tc>
          <w:tcPr>
            <w:tcW w:w="3087" w:type="dxa"/>
          </w:tcPr>
          <w:p>
            <w:pPr>
              <w:pStyle w:val="TableParagraph"/>
              <w:ind w:left="1445" w:right="1299"/>
              <w:jc w:val="center"/>
              <w:rPr>
                <w:sz w:val="15"/>
              </w:rPr>
            </w:pPr>
            <w:r>
              <w:rPr>
                <w:sz w:val="15"/>
              </w:rPr>
              <w:t>1978</w:t>
            </w:r>
          </w:p>
        </w:tc>
        <w:tc>
          <w:tcPr>
            <w:tcW w:w="3029" w:type="dxa"/>
          </w:tcPr>
          <w:p>
            <w:pPr>
              <w:pStyle w:val="TableParagraph"/>
              <w:ind w:left="1298" w:right="788"/>
              <w:jc w:val="center"/>
              <w:rPr>
                <w:sz w:val="15"/>
              </w:rPr>
            </w:pPr>
            <w:r>
              <w:rPr>
                <w:sz w:val="15"/>
              </w:rPr>
              <w:t>100.0</w:t>
            </w:r>
          </w:p>
        </w:tc>
      </w:tr>
      <w:tr>
        <w:trPr>
          <w:trHeight w:val="312" w:hRule="atLeast"/>
        </w:trPr>
        <w:tc>
          <w:tcPr>
            <w:tcW w:w="3613" w:type="dxa"/>
          </w:tcPr>
          <w:p>
            <w:pPr>
              <w:pStyle w:val="TableParagraph"/>
              <w:ind w:left="122"/>
              <w:rPr>
                <w:sz w:val="15"/>
              </w:rPr>
            </w:pPr>
            <w:r>
              <w:rPr>
                <w:sz w:val="15"/>
              </w:rPr>
              <w:t>职称</w:t>
            </w:r>
          </w:p>
        </w:tc>
        <w:tc>
          <w:tcPr>
            <w:tcW w:w="3087" w:type="dxa"/>
          </w:tcPr>
          <w:p>
            <w:pPr>
              <w:pStyle w:val="TableParagraph"/>
              <w:spacing w:before="0"/>
              <w:rPr>
                <w:rFonts w:ascii="Times New Roman"/>
                <w:sz w:val="20"/>
              </w:rPr>
            </w:pPr>
          </w:p>
        </w:tc>
        <w:tc>
          <w:tcPr>
            <w:tcW w:w="3029" w:type="dxa"/>
          </w:tcPr>
          <w:p>
            <w:pPr>
              <w:pStyle w:val="TableParagraph"/>
              <w:spacing w:before="0"/>
              <w:rPr>
                <w:rFonts w:ascii="Times New Roman"/>
                <w:sz w:val="20"/>
              </w:rPr>
            </w:pPr>
          </w:p>
        </w:tc>
      </w:tr>
      <w:tr>
        <w:trPr>
          <w:trHeight w:val="312" w:hRule="atLeast"/>
        </w:trPr>
        <w:tc>
          <w:tcPr>
            <w:tcW w:w="3613" w:type="dxa"/>
          </w:tcPr>
          <w:p>
            <w:pPr>
              <w:pStyle w:val="TableParagraph"/>
              <w:ind w:left="242"/>
              <w:rPr>
                <w:sz w:val="15"/>
              </w:rPr>
            </w:pPr>
            <w:r>
              <w:rPr>
                <w:sz w:val="15"/>
              </w:rPr>
              <w:t>住院医师</w:t>
            </w:r>
          </w:p>
        </w:tc>
        <w:tc>
          <w:tcPr>
            <w:tcW w:w="3087" w:type="dxa"/>
          </w:tcPr>
          <w:p>
            <w:pPr>
              <w:pStyle w:val="TableParagraph"/>
              <w:ind w:left="1443" w:right="1299"/>
              <w:jc w:val="center"/>
              <w:rPr>
                <w:sz w:val="15"/>
              </w:rPr>
            </w:pPr>
            <w:r>
              <w:rPr>
                <w:sz w:val="15"/>
              </w:rPr>
              <w:t>578</w:t>
            </w:r>
          </w:p>
        </w:tc>
        <w:tc>
          <w:tcPr>
            <w:tcW w:w="3029" w:type="dxa"/>
          </w:tcPr>
          <w:p>
            <w:pPr>
              <w:pStyle w:val="TableParagraph"/>
              <w:ind w:left="1298" w:right="790"/>
              <w:jc w:val="center"/>
              <w:rPr>
                <w:sz w:val="15"/>
              </w:rPr>
            </w:pPr>
            <w:r>
              <w:rPr>
                <w:sz w:val="15"/>
              </w:rPr>
              <w:t>29.2</w:t>
            </w:r>
          </w:p>
        </w:tc>
      </w:tr>
      <w:tr>
        <w:trPr>
          <w:trHeight w:val="312" w:hRule="atLeast"/>
        </w:trPr>
        <w:tc>
          <w:tcPr>
            <w:tcW w:w="3613" w:type="dxa"/>
          </w:tcPr>
          <w:p>
            <w:pPr>
              <w:pStyle w:val="TableParagraph"/>
              <w:ind w:left="242"/>
              <w:rPr>
                <w:sz w:val="15"/>
              </w:rPr>
            </w:pPr>
            <w:r>
              <w:rPr>
                <w:sz w:val="15"/>
              </w:rPr>
              <w:t>主治医师</w:t>
            </w:r>
          </w:p>
        </w:tc>
        <w:tc>
          <w:tcPr>
            <w:tcW w:w="3087" w:type="dxa"/>
          </w:tcPr>
          <w:p>
            <w:pPr>
              <w:pStyle w:val="TableParagraph"/>
              <w:ind w:left="1443" w:right="1299"/>
              <w:jc w:val="center"/>
              <w:rPr>
                <w:sz w:val="15"/>
              </w:rPr>
            </w:pPr>
            <w:r>
              <w:rPr>
                <w:sz w:val="15"/>
              </w:rPr>
              <w:t>976</w:t>
            </w:r>
          </w:p>
        </w:tc>
        <w:tc>
          <w:tcPr>
            <w:tcW w:w="3029" w:type="dxa"/>
          </w:tcPr>
          <w:p>
            <w:pPr>
              <w:pStyle w:val="TableParagraph"/>
              <w:ind w:left="1298" w:right="790"/>
              <w:jc w:val="center"/>
              <w:rPr>
                <w:sz w:val="15"/>
              </w:rPr>
            </w:pPr>
            <w:r>
              <w:rPr>
                <w:sz w:val="15"/>
              </w:rPr>
              <w:t>49.3</w:t>
            </w:r>
          </w:p>
        </w:tc>
      </w:tr>
      <w:tr>
        <w:trPr>
          <w:trHeight w:val="311" w:hRule="atLeast"/>
        </w:trPr>
        <w:tc>
          <w:tcPr>
            <w:tcW w:w="3613" w:type="dxa"/>
          </w:tcPr>
          <w:p>
            <w:pPr>
              <w:pStyle w:val="TableParagraph"/>
              <w:ind w:left="242"/>
              <w:rPr>
                <w:sz w:val="15"/>
              </w:rPr>
            </w:pPr>
            <w:r>
              <w:rPr>
                <w:sz w:val="15"/>
              </w:rPr>
              <w:t>副主任医师</w:t>
            </w:r>
          </w:p>
        </w:tc>
        <w:tc>
          <w:tcPr>
            <w:tcW w:w="3087" w:type="dxa"/>
          </w:tcPr>
          <w:p>
            <w:pPr>
              <w:pStyle w:val="TableParagraph"/>
              <w:ind w:left="1443" w:right="1299"/>
              <w:jc w:val="center"/>
              <w:rPr>
                <w:sz w:val="15"/>
              </w:rPr>
            </w:pPr>
            <w:r>
              <w:rPr>
                <w:sz w:val="15"/>
              </w:rPr>
              <w:t>358</w:t>
            </w:r>
          </w:p>
        </w:tc>
        <w:tc>
          <w:tcPr>
            <w:tcW w:w="3029" w:type="dxa"/>
          </w:tcPr>
          <w:p>
            <w:pPr>
              <w:pStyle w:val="TableParagraph"/>
              <w:ind w:left="1298" w:right="790"/>
              <w:jc w:val="center"/>
              <w:rPr>
                <w:sz w:val="15"/>
              </w:rPr>
            </w:pPr>
            <w:r>
              <w:rPr>
                <w:sz w:val="15"/>
              </w:rPr>
              <w:t>18.1</w:t>
            </w:r>
          </w:p>
        </w:tc>
      </w:tr>
      <w:tr>
        <w:trPr>
          <w:trHeight w:val="312" w:hRule="atLeast"/>
        </w:trPr>
        <w:tc>
          <w:tcPr>
            <w:tcW w:w="3613" w:type="dxa"/>
          </w:tcPr>
          <w:p>
            <w:pPr>
              <w:pStyle w:val="TableParagraph"/>
              <w:ind w:left="242"/>
              <w:rPr>
                <w:sz w:val="15"/>
              </w:rPr>
            </w:pPr>
            <w:r>
              <w:rPr>
                <w:sz w:val="15"/>
              </w:rPr>
              <w:t>主任医师</w:t>
            </w:r>
          </w:p>
        </w:tc>
        <w:tc>
          <w:tcPr>
            <w:tcW w:w="3087" w:type="dxa"/>
          </w:tcPr>
          <w:p>
            <w:pPr>
              <w:pStyle w:val="TableParagraph"/>
              <w:ind w:left="1446" w:right="1298"/>
              <w:jc w:val="center"/>
              <w:rPr>
                <w:sz w:val="15"/>
              </w:rPr>
            </w:pPr>
            <w:r>
              <w:rPr>
                <w:sz w:val="15"/>
              </w:rPr>
              <w:t>66</w:t>
            </w:r>
          </w:p>
        </w:tc>
        <w:tc>
          <w:tcPr>
            <w:tcW w:w="3029" w:type="dxa"/>
          </w:tcPr>
          <w:p>
            <w:pPr>
              <w:pStyle w:val="TableParagraph"/>
              <w:ind w:left="1298" w:right="788"/>
              <w:jc w:val="center"/>
              <w:rPr>
                <w:sz w:val="15"/>
              </w:rPr>
            </w:pPr>
            <w:r>
              <w:rPr>
                <w:sz w:val="15"/>
              </w:rPr>
              <w:t>3.3</w:t>
            </w:r>
          </w:p>
        </w:tc>
      </w:tr>
      <w:tr>
        <w:trPr>
          <w:trHeight w:val="312" w:hRule="atLeast"/>
        </w:trPr>
        <w:tc>
          <w:tcPr>
            <w:tcW w:w="3613" w:type="dxa"/>
          </w:tcPr>
          <w:p>
            <w:pPr>
              <w:pStyle w:val="TableParagraph"/>
              <w:ind w:left="242"/>
              <w:rPr>
                <w:sz w:val="15"/>
              </w:rPr>
            </w:pPr>
            <w:r>
              <w:rPr>
                <w:sz w:val="15"/>
              </w:rPr>
              <w:t>总计</w:t>
            </w:r>
          </w:p>
        </w:tc>
        <w:tc>
          <w:tcPr>
            <w:tcW w:w="3087" w:type="dxa"/>
          </w:tcPr>
          <w:p>
            <w:pPr>
              <w:pStyle w:val="TableParagraph"/>
              <w:ind w:left="1445" w:right="1299"/>
              <w:jc w:val="center"/>
              <w:rPr>
                <w:sz w:val="15"/>
              </w:rPr>
            </w:pPr>
            <w:r>
              <w:rPr>
                <w:sz w:val="15"/>
              </w:rPr>
              <w:t>1978</w:t>
            </w:r>
          </w:p>
        </w:tc>
        <w:tc>
          <w:tcPr>
            <w:tcW w:w="3029" w:type="dxa"/>
          </w:tcPr>
          <w:p>
            <w:pPr>
              <w:pStyle w:val="TableParagraph"/>
              <w:ind w:left="1298" w:right="788"/>
              <w:jc w:val="center"/>
              <w:rPr>
                <w:sz w:val="15"/>
              </w:rPr>
            </w:pPr>
            <w:r>
              <w:rPr>
                <w:sz w:val="15"/>
              </w:rPr>
              <w:t>100.0</w:t>
            </w:r>
          </w:p>
        </w:tc>
      </w:tr>
      <w:tr>
        <w:trPr>
          <w:trHeight w:val="311" w:hRule="atLeast"/>
        </w:trPr>
        <w:tc>
          <w:tcPr>
            <w:tcW w:w="3613" w:type="dxa"/>
          </w:tcPr>
          <w:p>
            <w:pPr>
              <w:pStyle w:val="TableParagraph"/>
              <w:ind w:left="842"/>
              <w:rPr>
                <w:sz w:val="15"/>
              </w:rPr>
            </w:pPr>
            <w:r>
              <w:rPr>
                <w:sz w:val="15"/>
              </w:rPr>
              <w:t>工作年限</w:t>
            </w:r>
          </w:p>
        </w:tc>
        <w:tc>
          <w:tcPr>
            <w:tcW w:w="3087" w:type="dxa"/>
          </w:tcPr>
          <w:p>
            <w:pPr>
              <w:pStyle w:val="TableParagraph"/>
              <w:spacing w:before="0"/>
              <w:rPr>
                <w:rFonts w:ascii="Times New Roman"/>
                <w:sz w:val="20"/>
              </w:rPr>
            </w:pPr>
          </w:p>
        </w:tc>
        <w:tc>
          <w:tcPr>
            <w:tcW w:w="3029" w:type="dxa"/>
          </w:tcPr>
          <w:p>
            <w:pPr>
              <w:pStyle w:val="TableParagraph"/>
              <w:spacing w:before="0"/>
              <w:rPr>
                <w:rFonts w:ascii="Times New Roman"/>
                <w:sz w:val="20"/>
              </w:rPr>
            </w:pPr>
          </w:p>
        </w:tc>
      </w:tr>
      <w:tr>
        <w:trPr>
          <w:trHeight w:val="312" w:hRule="atLeast"/>
        </w:trPr>
        <w:tc>
          <w:tcPr>
            <w:tcW w:w="3613" w:type="dxa"/>
          </w:tcPr>
          <w:p>
            <w:pPr>
              <w:pStyle w:val="TableParagraph"/>
              <w:ind w:left="242"/>
              <w:rPr>
                <w:sz w:val="15"/>
              </w:rPr>
            </w:pPr>
            <w:r>
              <w:rPr>
                <w:sz w:val="15"/>
              </w:rPr>
              <w:t>0-5 年</w:t>
            </w:r>
          </w:p>
        </w:tc>
        <w:tc>
          <w:tcPr>
            <w:tcW w:w="3087" w:type="dxa"/>
          </w:tcPr>
          <w:p>
            <w:pPr>
              <w:pStyle w:val="TableParagraph"/>
              <w:ind w:left="1443" w:right="1299"/>
              <w:jc w:val="center"/>
              <w:rPr>
                <w:sz w:val="15"/>
              </w:rPr>
            </w:pPr>
            <w:r>
              <w:rPr>
                <w:sz w:val="15"/>
              </w:rPr>
              <w:t>293</w:t>
            </w:r>
          </w:p>
        </w:tc>
        <w:tc>
          <w:tcPr>
            <w:tcW w:w="3029" w:type="dxa"/>
          </w:tcPr>
          <w:p>
            <w:pPr>
              <w:pStyle w:val="TableParagraph"/>
              <w:ind w:left="1298" w:right="790"/>
              <w:jc w:val="center"/>
              <w:rPr>
                <w:sz w:val="15"/>
              </w:rPr>
            </w:pPr>
            <w:r>
              <w:rPr>
                <w:sz w:val="15"/>
              </w:rPr>
              <w:t>14.8</w:t>
            </w:r>
          </w:p>
        </w:tc>
      </w:tr>
      <w:tr>
        <w:trPr>
          <w:trHeight w:val="312" w:hRule="atLeast"/>
        </w:trPr>
        <w:tc>
          <w:tcPr>
            <w:tcW w:w="3613" w:type="dxa"/>
          </w:tcPr>
          <w:p>
            <w:pPr>
              <w:pStyle w:val="TableParagraph"/>
              <w:ind w:left="242"/>
              <w:rPr>
                <w:sz w:val="15"/>
              </w:rPr>
            </w:pPr>
            <w:r>
              <w:rPr>
                <w:sz w:val="15"/>
              </w:rPr>
              <w:t>6-10 年</w:t>
            </w:r>
          </w:p>
        </w:tc>
        <w:tc>
          <w:tcPr>
            <w:tcW w:w="3087" w:type="dxa"/>
          </w:tcPr>
          <w:p>
            <w:pPr>
              <w:pStyle w:val="TableParagraph"/>
              <w:ind w:left="1443" w:right="1299"/>
              <w:jc w:val="center"/>
              <w:rPr>
                <w:sz w:val="15"/>
              </w:rPr>
            </w:pPr>
            <w:r>
              <w:rPr>
                <w:sz w:val="15"/>
              </w:rPr>
              <w:t>333</w:t>
            </w:r>
          </w:p>
        </w:tc>
        <w:tc>
          <w:tcPr>
            <w:tcW w:w="3029" w:type="dxa"/>
          </w:tcPr>
          <w:p>
            <w:pPr>
              <w:pStyle w:val="TableParagraph"/>
              <w:ind w:left="1298" w:right="790"/>
              <w:jc w:val="center"/>
              <w:rPr>
                <w:sz w:val="15"/>
              </w:rPr>
            </w:pPr>
            <w:r>
              <w:rPr>
                <w:sz w:val="15"/>
              </w:rPr>
              <w:t>16.8</w:t>
            </w:r>
          </w:p>
        </w:tc>
      </w:tr>
      <w:tr>
        <w:trPr>
          <w:trHeight w:val="311" w:hRule="atLeast"/>
        </w:trPr>
        <w:tc>
          <w:tcPr>
            <w:tcW w:w="3613" w:type="dxa"/>
          </w:tcPr>
          <w:p>
            <w:pPr>
              <w:pStyle w:val="TableParagraph"/>
              <w:ind w:left="242"/>
              <w:rPr>
                <w:sz w:val="15"/>
              </w:rPr>
            </w:pPr>
            <w:r>
              <w:rPr>
                <w:sz w:val="15"/>
              </w:rPr>
              <w:t>11-20 年</w:t>
            </w:r>
          </w:p>
        </w:tc>
        <w:tc>
          <w:tcPr>
            <w:tcW w:w="3087" w:type="dxa"/>
          </w:tcPr>
          <w:p>
            <w:pPr>
              <w:pStyle w:val="TableParagraph"/>
              <w:ind w:left="1443" w:right="1299"/>
              <w:jc w:val="center"/>
              <w:rPr>
                <w:sz w:val="15"/>
              </w:rPr>
            </w:pPr>
            <w:r>
              <w:rPr>
                <w:sz w:val="15"/>
              </w:rPr>
              <w:t>571</w:t>
            </w:r>
          </w:p>
        </w:tc>
        <w:tc>
          <w:tcPr>
            <w:tcW w:w="3029" w:type="dxa"/>
          </w:tcPr>
          <w:p>
            <w:pPr>
              <w:pStyle w:val="TableParagraph"/>
              <w:ind w:left="1298" w:right="790"/>
              <w:jc w:val="center"/>
              <w:rPr>
                <w:sz w:val="15"/>
              </w:rPr>
            </w:pPr>
            <w:r>
              <w:rPr>
                <w:sz w:val="15"/>
              </w:rPr>
              <w:t>28.9</w:t>
            </w:r>
          </w:p>
        </w:tc>
      </w:tr>
      <w:tr>
        <w:trPr>
          <w:trHeight w:val="312" w:hRule="atLeast"/>
        </w:trPr>
        <w:tc>
          <w:tcPr>
            <w:tcW w:w="3613" w:type="dxa"/>
          </w:tcPr>
          <w:p>
            <w:pPr>
              <w:pStyle w:val="TableParagraph"/>
              <w:ind w:left="242"/>
              <w:rPr>
                <w:sz w:val="15"/>
              </w:rPr>
            </w:pPr>
            <w:r>
              <w:rPr>
                <w:sz w:val="15"/>
              </w:rPr>
              <w:t>20 年以上</w:t>
            </w:r>
          </w:p>
        </w:tc>
        <w:tc>
          <w:tcPr>
            <w:tcW w:w="3087" w:type="dxa"/>
          </w:tcPr>
          <w:p>
            <w:pPr>
              <w:pStyle w:val="TableParagraph"/>
              <w:ind w:left="1443" w:right="1299"/>
              <w:jc w:val="center"/>
              <w:rPr>
                <w:sz w:val="15"/>
              </w:rPr>
            </w:pPr>
            <w:r>
              <w:rPr>
                <w:sz w:val="15"/>
              </w:rPr>
              <w:t>781</w:t>
            </w:r>
          </w:p>
        </w:tc>
        <w:tc>
          <w:tcPr>
            <w:tcW w:w="3029" w:type="dxa"/>
          </w:tcPr>
          <w:p>
            <w:pPr>
              <w:pStyle w:val="TableParagraph"/>
              <w:ind w:left="1298" w:right="790"/>
              <w:jc w:val="center"/>
              <w:rPr>
                <w:sz w:val="15"/>
              </w:rPr>
            </w:pPr>
            <w:r>
              <w:rPr>
                <w:sz w:val="15"/>
              </w:rPr>
              <w:t>39.5</w:t>
            </w:r>
          </w:p>
        </w:tc>
      </w:tr>
      <w:tr>
        <w:trPr>
          <w:trHeight w:val="313" w:hRule="atLeast"/>
        </w:trPr>
        <w:tc>
          <w:tcPr>
            <w:tcW w:w="3613" w:type="dxa"/>
            <w:tcBorders>
              <w:bottom w:val="single" w:sz="4" w:space="0" w:color="7E7E7E"/>
            </w:tcBorders>
          </w:tcPr>
          <w:p>
            <w:pPr>
              <w:pStyle w:val="TableParagraph"/>
              <w:ind w:left="242"/>
              <w:rPr>
                <w:sz w:val="15"/>
              </w:rPr>
            </w:pPr>
            <w:r>
              <w:rPr>
                <w:sz w:val="15"/>
              </w:rPr>
              <w:t>总计</w:t>
            </w:r>
          </w:p>
        </w:tc>
        <w:tc>
          <w:tcPr>
            <w:tcW w:w="3087" w:type="dxa"/>
            <w:tcBorders>
              <w:bottom w:val="single" w:sz="4" w:space="0" w:color="7E7E7E"/>
            </w:tcBorders>
          </w:tcPr>
          <w:p>
            <w:pPr>
              <w:pStyle w:val="TableParagraph"/>
              <w:ind w:left="1445" w:right="1299"/>
              <w:jc w:val="center"/>
              <w:rPr>
                <w:sz w:val="15"/>
              </w:rPr>
            </w:pPr>
            <w:r>
              <w:rPr>
                <w:sz w:val="15"/>
              </w:rPr>
              <w:t>1978</w:t>
            </w:r>
          </w:p>
        </w:tc>
        <w:tc>
          <w:tcPr>
            <w:tcW w:w="3029" w:type="dxa"/>
            <w:tcBorders>
              <w:bottom w:val="single" w:sz="4" w:space="0" w:color="7E7E7E"/>
            </w:tcBorders>
          </w:tcPr>
          <w:p>
            <w:pPr>
              <w:pStyle w:val="TableParagraph"/>
              <w:ind w:left="1298" w:right="788"/>
              <w:jc w:val="center"/>
              <w:rPr>
                <w:sz w:val="15"/>
              </w:rPr>
            </w:pPr>
            <w:r>
              <w:rPr>
                <w:sz w:val="15"/>
              </w:rPr>
              <w:t>100.0</w:t>
            </w:r>
          </w:p>
        </w:tc>
      </w:tr>
    </w:tbl>
    <w:p>
      <w:pPr>
        <w:pStyle w:val="Heading3"/>
        <w:numPr>
          <w:ilvl w:val="0"/>
          <w:numId w:val="14"/>
        </w:numPr>
        <w:tabs>
          <w:tab w:pos="901" w:val="left" w:leader="none"/>
        </w:tabs>
        <w:spacing w:line="240" w:lineRule="auto" w:before="72" w:after="0"/>
        <w:ind w:left="900" w:right="0" w:hanging="181"/>
        <w:jc w:val="left"/>
        <w:rPr>
          <w:rFonts w:ascii="Times New Roman" w:eastAsia="Times New Roman"/>
          <w:sz w:val="22"/>
        </w:rPr>
      </w:pPr>
      <w:r>
        <w:rPr>
          <w:rFonts w:ascii="宋体" w:eastAsia="宋体" w:hint="eastAsia"/>
        </w:rPr>
        <w:t>结论与建议</w:t>
      </w:r>
    </w:p>
    <w:p>
      <w:pPr>
        <w:pStyle w:val="BodyText"/>
        <w:spacing w:line="304" w:lineRule="auto" w:before="83"/>
        <w:ind w:right="247" w:firstLine="480"/>
        <w:jc w:val="both"/>
      </w:pPr>
      <w:r>
        <w:rPr>
          <w:spacing w:val="-11"/>
        </w:rPr>
        <w:t>以上调查结果表明，我国大部分基层医疗机构已经建立了具有一定的药学服务能力的药</w:t>
      </w:r>
      <w:r>
        <w:rPr>
          <w:spacing w:val="-12"/>
        </w:rPr>
        <w:t>师队伍。大多数药师都接受过药学相关培训，但药师对以患者为中心的药学服务项目开展相</w:t>
      </w:r>
      <w:r>
        <w:rPr>
          <w:spacing w:val="-7"/>
        </w:rPr>
        <w:t>较其认知仍有待加强。此外，药师队伍的学历层次相对不高，培训制度、激励制度也有待进一步完善。鉴于此，本文提出以下几点建议。</w:t>
      </w:r>
    </w:p>
    <w:p>
      <w:pPr>
        <w:pStyle w:val="ListParagraph"/>
        <w:numPr>
          <w:ilvl w:val="1"/>
          <w:numId w:val="14"/>
        </w:numPr>
        <w:tabs>
          <w:tab w:pos="1138" w:val="left" w:leader="none"/>
        </w:tabs>
        <w:spacing w:line="302" w:lineRule="auto" w:before="0" w:after="0"/>
        <w:ind w:left="237" w:right="246" w:firstLine="480"/>
        <w:jc w:val="both"/>
        <w:rPr>
          <w:sz w:val="24"/>
        </w:rPr>
      </w:pPr>
      <w:r>
        <w:rPr>
          <w:spacing w:val="-3"/>
          <w:sz w:val="24"/>
        </w:rPr>
        <w:t>加强和完善药师教育与继续教育制度从调研数据可知，我国基层医疗机构的药师来</w:t>
      </w:r>
      <w:r>
        <w:rPr>
          <w:spacing w:val="-7"/>
          <w:sz w:val="24"/>
        </w:rPr>
        <w:t>源于各种不同的学历层次，受教育水平参差不齐，这不仅会影响药学服务提供的质量，也会</w:t>
      </w:r>
    </w:p>
    <w:p>
      <w:pPr>
        <w:spacing w:after="0" w:line="302" w:lineRule="auto"/>
        <w:jc w:val="both"/>
        <w:rPr>
          <w:sz w:val="24"/>
        </w:rPr>
        <w:sectPr>
          <w:pgSz w:w="11910" w:h="16850"/>
          <w:pgMar w:header="906" w:footer="607" w:top="1100" w:bottom="800" w:left="1040" w:right="880"/>
        </w:sectPr>
      </w:pPr>
    </w:p>
    <w:p>
      <w:pPr>
        <w:pStyle w:val="BodyText"/>
        <w:spacing w:line="304" w:lineRule="auto" w:before="72"/>
        <w:ind w:right="247"/>
        <w:jc w:val="both"/>
      </w:pPr>
      <w:r>
        <w:rPr>
          <w:spacing w:val="-5"/>
        </w:rPr>
        <w:t>导致一系列人才培养和考核问题。在境外，多数国家</w:t>
      </w:r>
      <w:r>
        <w:rPr/>
        <w:t>（或地区</w:t>
      </w:r>
      <w:r>
        <w:rPr>
          <w:spacing w:val="-27"/>
        </w:rPr>
        <w:t>）</w:t>
      </w:r>
      <w:r>
        <w:rPr>
          <w:spacing w:val="-2"/>
        </w:rPr>
        <w:t>会将药房执业人员分为通过</w:t>
      </w:r>
      <w:r>
        <w:rPr>
          <w:spacing w:val="-6"/>
        </w:rPr>
        <w:t>职业培养的“配方员”和本科</w:t>
      </w:r>
      <w:r>
        <w:rPr/>
        <w:t>（及以上</w:t>
      </w:r>
      <w:r>
        <w:rPr>
          <w:spacing w:val="-12"/>
        </w:rPr>
        <w:t>）</w:t>
      </w:r>
      <w:r>
        <w:rPr>
          <w:spacing w:val="-8"/>
        </w:rPr>
        <w:t>培养的“药师”，以更好地实现专业分工。就目前</w:t>
      </w:r>
      <w:r>
        <w:rPr>
          <w:spacing w:val="-6"/>
        </w:rPr>
        <w:t>我国基层医疗机构药师的教育背景情况而言，很难满足专业化、高水平药学服务的要求；针对药师职业发展的药学培训也仍有改进和提升的空间。相较之下，我国三级、二级医院药师</w:t>
      </w:r>
      <w:r>
        <w:rPr>
          <w:spacing w:val="-9"/>
        </w:rPr>
        <w:t>的学历水平更高，培训方式和内容也更丰富多样。为满足基层医疗保健需求，实现分级诊疗</w:t>
      </w:r>
      <w:r>
        <w:rPr>
          <w:spacing w:val="-11"/>
        </w:rPr>
        <w:t>目标，基层医疗机构有必要从整体上提高药师能力素质和教育水平，进一步完善药师继续教</w:t>
      </w:r>
      <w:r>
        <w:rPr/>
        <w:t>育制度。</w:t>
      </w:r>
    </w:p>
    <w:p>
      <w:pPr>
        <w:pStyle w:val="BodyText"/>
        <w:spacing w:line="304" w:lineRule="auto"/>
        <w:ind w:right="247" w:firstLine="480"/>
        <w:jc w:val="both"/>
      </w:pPr>
      <w:r>
        <w:rPr>
          <w:spacing w:val="-6"/>
        </w:rPr>
        <w:t>针对目前基层医疗机构药师的受教育水平现状，一方面有关部门应适当提高药师准入门</w:t>
      </w:r>
      <w:r>
        <w:rPr>
          <w:spacing w:val="-11"/>
        </w:rPr>
        <w:t>槛，整体提升药师教育水平；另一方面加强现有执业药师的继续教育，除基本的药物相关政</w:t>
      </w:r>
      <w:r>
        <w:rPr>
          <w:spacing w:val="-10"/>
        </w:rPr>
        <w:t>策培训以外，还应开展临床药学服务相关培训，增强药师临床实践技能，进一步提升药师执</w:t>
      </w:r>
      <w:r>
        <w:rPr>
          <w:spacing w:val="-11"/>
        </w:rPr>
        <w:t>业水平。同时，基层医疗机构应尝试与二、三级医疗机构合作，为药师队伍的建设创造有利</w:t>
      </w:r>
      <w:r>
        <w:rPr/>
        <w:t>条件。</w:t>
      </w:r>
    </w:p>
    <w:p>
      <w:pPr>
        <w:pStyle w:val="ListParagraph"/>
        <w:numPr>
          <w:ilvl w:val="1"/>
          <w:numId w:val="14"/>
        </w:numPr>
        <w:tabs>
          <w:tab w:pos="1138" w:val="left" w:leader="none"/>
        </w:tabs>
        <w:spacing w:line="304" w:lineRule="auto" w:before="0" w:after="0"/>
        <w:ind w:left="237" w:right="147" w:firstLine="480"/>
        <w:jc w:val="both"/>
        <w:rPr>
          <w:sz w:val="24"/>
        </w:rPr>
      </w:pPr>
      <w:r>
        <w:rPr>
          <w:sz w:val="24"/>
        </w:rPr>
        <w:t>建立和完善药师激励制度员工激励对员工绩效有重要影响。就基层医疗机构而言， </w:t>
      </w:r>
      <w:r>
        <w:rPr>
          <w:spacing w:val="-9"/>
          <w:sz w:val="24"/>
        </w:rPr>
        <w:t>建立有效的激励机制，是维护药师工作队伍稳定、确保基层医疗机构药学工作持续发展的重</w:t>
      </w:r>
      <w:r>
        <w:rPr>
          <w:spacing w:val="-12"/>
          <w:sz w:val="24"/>
        </w:rPr>
        <w:t>要手段。调研结果表明，基层医疗机构药师对其当前工作收入的满意度相对不高，工作待遇</w:t>
      </w:r>
      <w:r>
        <w:rPr>
          <w:spacing w:val="-20"/>
          <w:sz w:val="24"/>
        </w:rPr>
        <w:t>有待改善。美国在 </w:t>
      </w:r>
      <w:r>
        <w:rPr>
          <w:rFonts w:ascii="Times New Roman" w:eastAsia="Times New Roman"/>
          <w:sz w:val="24"/>
        </w:rPr>
        <w:t>20 </w:t>
      </w:r>
      <w:r>
        <w:rPr>
          <w:spacing w:val="-20"/>
          <w:sz w:val="24"/>
        </w:rPr>
        <w:t>世纪 </w:t>
      </w:r>
      <w:r>
        <w:rPr>
          <w:rFonts w:ascii="Times New Roman" w:eastAsia="Times New Roman"/>
          <w:sz w:val="24"/>
        </w:rPr>
        <w:t>70</w:t>
      </w:r>
      <w:r>
        <w:rPr>
          <w:sz w:val="24"/>
        </w:rPr>
        <w:t>～</w:t>
      </w:r>
      <w:r>
        <w:rPr>
          <w:rFonts w:ascii="Times New Roman" w:eastAsia="Times New Roman"/>
          <w:sz w:val="24"/>
        </w:rPr>
        <w:t>80 </w:t>
      </w:r>
      <w:r>
        <w:rPr>
          <w:spacing w:val="-4"/>
          <w:sz w:val="24"/>
        </w:rPr>
        <w:t>年代曾出现药师紧缺的状况，使得相关部门开始关注药师</w:t>
      </w:r>
      <w:r>
        <w:rPr>
          <w:spacing w:val="-10"/>
          <w:sz w:val="24"/>
        </w:rPr>
        <w:t>满意度问题，并逐步建立了医院职业阶梯方案，以此来留住药学人才，稳定药师队伍。国内</w:t>
      </w:r>
      <w:r>
        <w:rPr>
          <w:spacing w:val="-11"/>
          <w:sz w:val="24"/>
        </w:rPr>
        <w:t>学者也指出政府和医疗机构应顺应新医改形势，结合药师需求，建立合理有效的激励机制， </w:t>
      </w:r>
      <w:r>
        <w:rPr>
          <w:sz w:val="24"/>
        </w:rPr>
        <w:t>促进药师发挥作用并积极开展药学服务工作。</w:t>
      </w:r>
    </w:p>
    <w:p>
      <w:pPr>
        <w:pStyle w:val="BodyText"/>
        <w:spacing w:line="304" w:lineRule="auto"/>
        <w:ind w:right="127" w:firstLine="480"/>
      </w:pPr>
      <w:r>
        <w:rPr/>
        <w:t>因此，本文建议适当调整药师工作收入和福利待遇，并逐步完善药师的薪酬管理制度、</w:t>
      </w:r>
      <w:r>
        <w:rPr>
          <w:spacing w:val="-16"/>
        </w:rPr>
        <w:t>奖惩制度及岗位制度；医疗机构领导和医师应充分重视药学工作，通过改善药师的工作氛围、</w:t>
      </w:r>
      <w:r>
        <w:rPr>
          <w:spacing w:val="-8"/>
        </w:rPr>
        <w:t>优化药师的工作环境，促进药师开展药学服务工作；基层医疗机构内应建立合理的药师晋升</w:t>
      </w:r>
      <w:r>
        <w:rPr>
          <w:spacing w:val="-14"/>
        </w:rPr>
        <w:t>制度和有效的竞争机制，引导药师做好职业规划，激发其工作积极性。最终实现提升药师工作满意度，进而提高药师个人绩效和组织绩效的目标。</w:t>
      </w:r>
    </w:p>
    <w:p>
      <w:pPr>
        <w:pStyle w:val="ListParagraph"/>
        <w:numPr>
          <w:ilvl w:val="1"/>
          <w:numId w:val="14"/>
        </w:numPr>
        <w:tabs>
          <w:tab w:pos="1138" w:val="left" w:leader="none"/>
        </w:tabs>
        <w:spacing w:line="304" w:lineRule="auto" w:before="0" w:after="0"/>
        <w:ind w:left="237" w:right="147" w:firstLine="480"/>
        <w:jc w:val="left"/>
        <w:rPr>
          <w:sz w:val="24"/>
        </w:rPr>
      </w:pPr>
      <w:r>
        <w:rPr>
          <w:spacing w:val="-2"/>
          <w:sz w:val="24"/>
        </w:rPr>
        <w:t>增强药师职业认知和转变服务观念药师是医疗机构药学服务的实施主体，其对药学</w:t>
      </w:r>
      <w:r>
        <w:rPr>
          <w:spacing w:val="-8"/>
          <w:sz w:val="24"/>
        </w:rPr>
        <w:t>服务的认知和接受程度，是影响药学服务质量的关键因素。调查结果显示，当前基层医疗机</w:t>
      </w:r>
      <w:r>
        <w:rPr>
          <w:spacing w:val="-9"/>
          <w:sz w:val="24"/>
        </w:rPr>
        <w:t>构药师认为其主要职责为发药、用药咨询、处方审核和药品管理，即以药品为中心的服务； 而对于药学查房、参与用药方案制定等以患者为中心的服务提供相对较少。考虑到不同基层</w:t>
      </w:r>
      <w:r>
        <w:rPr>
          <w:spacing w:val="-14"/>
          <w:sz w:val="24"/>
        </w:rPr>
        <w:t>医疗机构之间的体量差异，药师的执业方式和内容势必不能一样，但处方调剂作为基本的药</w:t>
      </w:r>
      <w:r>
        <w:rPr>
          <w:spacing w:val="-15"/>
          <w:sz w:val="24"/>
        </w:rPr>
        <w:t>学服务内容之一，在药学服务岗位中占据重要的地位。以患者为中心的药学监护是药学服务</w:t>
      </w:r>
      <w:r>
        <w:rPr>
          <w:spacing w:val="-16"/>
          <w:sz w:val="24"/>
        </w:rPr>
        <w:t>的发展方向和趋势，药师应逐步增强该种职业认知，从以药品为中心逐步拓展为以患者为中心的服务理念。</w:t>
      </w:r>
    </w:p>
    <w:p>
      <w:pPr>
        <w:pStyle w:val="BodyText"/>
        <w:spacing w:line="304" w:lineRule="auto"/>
        <w:ind w:right="147" w:firstLine="480"/>
      </w:pPr>
      <w:r>
        <w:rPr>
          <w:rFonts w:ascii="Times New Roman" w:eastAsia="Times New Roman"/>
        </w:rPr>
        <w:t>2007 </w:t>
      </w:r>
      <w:r>
        <w:rPr>
          <w:spacing w:val="-30"/>
        </w:rPr>
        <w:t>年 </w:t>
      </w:r>
      <w:r>
        <w:rPr>
          <w:rFonts w:ascii="Times New Roman" w:eastAsia="Times New Roman"/>
        </w:rPr>
        <w:t>12 </w:t>
      </w:r>
      <w:r>
        <w:rPr>
          <w:spacing w:val="-6"/>
        </w:rPr>
        <w:t>月《关于开展临床药师制试点工作的通知》中对临床药师的职业定位、职责</w:t>
      </w:r>
      <w:r>
        <w:rPr>
          <w:spacing w:val="-7"/>
        </w:rPr>
        <w:t>任务、工作模式及相关管理制度进行了探索，规定二、三级医院所需配备的临床药师数量。</w:t>
      </w:r>
      <w:r>
        <w:rPr>
          <w:spacing w:val="-9"/>
        </w:rPr>
        <w:t>二、三级医院药师的职能定位已有了明确的指导方向，临床药师试点工作也在迅速铺开，而</w:t>
      </w:r>
      <w:r>
        <w:rPr>
          <w:spacing w:val="-14"/>
        </w:rPr>
        <w:t>相比之下基层医疗结构的药师建设略显迟缓，无论是医疗机构还是药师自身，对药师的工作</w:t>
      </w:r>
    </w:p>
    <w:p>
      <w:pPr>
        <w:spacing w:after="0" w:line="304" w:lineRule="auto"/>
        <w:sectPr>
          <w:pgSz w:w="11910" w:h="16850"/>
          <w:pgMar w:header="906" w:footer="607" w:top="1100" w:bottom="800" w:left="1040" w:right="880"/>
        </w:sectPr>
      </w:pPr>
    </w:p>
    <w:p>
      <w:pPr>
        <w:pStyle w:val="BodyText"/>
        <w:spacing w:line="304" w:lineRule="auto" w:before="72"/>
        <w:ind w:right="147"/>
      </w:pPr>
      <w:r>
        <w:rPr/>
        <w:t>认知和职能定位并不十分清晰。为促进基层医疗机构药学服务尤其是临床药学服务的发展， 实现各级医院上下联动，亟需加强基层医疗机构药师职业认知和转变服务职能定位。</w:t>
      </w:r>
    </w:p>
    <w:p>
      <w:pPr>
        <w:pStyle w:val="BodyText"/>
        <w:spacing w:line="304" w:lineRule="auto"/>
        <w:ind w:right="127" w:firstLine="480"/>
      </w:pPr>
      <w:r>
        <w:rPr>
          <w:spacing w:val="-8"/>
        </w:rPr>
        <w:t>首先可从培养模式入手，以目标为导向，针对药师将来所任职的医疗单位提前规划其工</w:t>
      </w:r>
      <w:r>
        <w:rPr>
          <w:spacing w:val="-14"/>
        </w:rPr>
        <w:t>作定位和形成职业认知；其次，医疗机构的领导应当转变观念，重新认识药师的工作及其价</w:t>
      </w:r>
      <w:r>
        <w:rPr>
          <w:spacing w:val="-10"/>
        </w:rPr>
        <w:t>值，重视以患者为中心的药学服务，并制定相关制度明确药师职责，规范和指导药师开展药</w:t>
      </w:r>
      <w:r>
        <w:rPr>
          <w:spacing w:val="-12"/>
        </w:rPr>
        <w:t>学服务；此外，医师应重新认识和尊重药师，同他们进行有效的协作，共同促进药学服务的</w:t>
      </w:r>
      <w:r>
        <w:rPr>
          <w:spacing w:val="-18"/>
        </w:rPr>
        <w:t>实施；最后，药师自身也应提高执业水平，增强自信心，更多地承担与临床药学相关的工作， </w:t>
      </w:r>
      <w:r>
        <w:rPr/>
        <w:t>发挥合理用药职能。</w:t>
      </w:r>
    </w:p>
    <w:p>
      <w:pPr>
        <w:pStyle w:val="ListParagraph"/>
        <w:numPr>
          <w:ilvl w:val="1"/>
          <w:numId w:val="14"/>
        </w:numPr>
        <w:tabs>
          <w:tab w:pos="1138" w:val="left" w:leader="none"/>
        </w:tabs>
        <w:spacing w:line="304" w:lineRule="auto" w:before="0" w:after="0"/>
        <w:ind w:left="237" w:right="247" w:firstLine="480"/>
        <w:jc w:val="both"/>
        <w:rPr>
          <w:sz w:val="24"/>
        </w:rPr>
      </w:pPr>
      <w:r>
        <w:rPr>
          <w:spacing w:val="-6"/>
          <w:sz w:val="24"/>
        </w:rPr>
        <w:t>配合提升医师从业资质医师、药师、护士共同协作，使医疗、药学和护理有机结合</w:t>
      </w:r>
      <w:r>
        <w:rPr>
          <w:spacing w:val="-10"/>
          <w:sz w:val="24"/>
        </w:rPr>
        <w:t>在一起，是药学服务实施的主要内容之一。而作为药师工作上的重要合作伙伴，医师的能力</w:t>
      </w:r>
      <w:r>
        <w:rPr>
          <w:spacing w:val="-5"/>
          <w:sz w:val="24"/>
        </w:rPr>
        <w:t>素质和专业水平将会对药师整体素养和执业水平的发挥产生一定影响。通过对基层医疗机构</w:t>
      </w:r>
      <w:r>
        <w:rPr>
          <w:spacing w:val="-6"/>
          <w:sz w:val="24"/>
        </w:rPr>
        <w:t>医师人才结构和药师人才结构的粗略对比可知，基层医疗机构医师的学历层次同药师十分相</w:t>
      </w:r>
      <w:r>
        <w:rPr>
          <w:spacing w:val="-10"/>
          <w:sz w:val="24"/>
        </w:rPr>
        <w:t>似，本科和大专学历居多；职称结构也比较相似。俗语道，好菜还须好碗配，为配合提升药</w:t>
      </w:r>
      <w:r>
        <w:rPr>
          <w:spacing w:val="-15"/>
          <w:sz w:val="24"/>
        </w:rPr>
        <w:t>师群体的素质水平，医师群体的从业资质也需要得到相应提高，从而保证人力资源的合理匹</w:t>
      </w:r>
      <w:r>
        <w:rPr>
          <w:sz w:val="24"/>
        </w:rPr>
        <w:t>配和诊疗工作的顺利实施。</w:t>
      </w:r>
    </w:p>
    <w:p>
      <w:pPr>
        <w:pStyle w:val="BodyText"/>
        <w:spacing w:line="304" w:lineRule="auto"/>
        <w:ind w:right="247" w:firstLine="480"/>
        <w:jc w:val="both"/>
      </w:pPr>
      <w:r>
        <w:rPr>
          <w:spacing w:val="-10"/>
        </w:rPr>
        <w:t>因此，与提升药师素养相类似，可从完善基层医疗机构医师培训制度、提高医师准入门</w:t>
      </w:r>
      <w:r>
        <w:rPr>
          <w:spacing w:val="-7"/>
        </w:rPr>
        <w:t>槛等方面来提升医师从业资质，为医师、药师间的有效沟通与合作提供保障，最终促进药学</w:t>
      </w:r>
      <w:r>
        <w:rPr/>
        <w:t>服务发展。</w:t>
      </w:r>
    </w:p>
    <w:p>
      <w:pPr>
        <w:pStyle w:val="BodyText"/>
        <w:spacing w:line="304" w:lineRule="auto"/>
        <w:ind w:right="250" w:firstLine="480"/>
      </w:pPr>
      <w:r>
        <w:rPr>
          <w:spacing w:val="-10"/>
        </w:rPr>
        <w:t>综上，根据调查结果，在药师队伍建设过程中，药师的教育水平与培训力度、药师工作</w:t>
      </w:r>
      <w:r>
        <w:rPr>
          <w:spacing w:val="-9"/>
        </w:rPr>
        <w:t>满意度、药师的职能定位和服务观念转变等方面仍有待加强和完善，同时为实现医、药、护</w:t>
      </w:r>
      <w:r>
        <w:rPr/>
        <w:t>高效协作的目标，医师的从业资质也成为基层医疗机构药学服务发展中应当关注的一个方面。</w:t>
      </w:r>
    </w:p>
    <w:p>
      <w:pPr>
        <w:pStyle w:val="Heading2"/>
        <w:spacing w:before="90"/>
      </w:pPr>
      <w:bookmarkStart w:name="_TOC_250020" w:id="7"/>
      <w:bookmarkEnd w:id="7"/>
      <w:r>
        <w:rPr/>
        <w:t>【数据公报】</w:t>
      </w:r>
    </w:p>
    <w:p>
      <w:pPr>
        <w:pStyle w:val="BodyText"/>
        <w:spacing w:before="6"/>
        <w:ind w:left="0"/>
        <w:rPr>
          <w:b/>
          <w:sz w:val="18"/>
        </w:rPr>
      </w:pPr>
    </w:p>
    <w:p>
      <w:pPr>
        <w:spacing w:after="0"/>
        <w:rPr>
          <w:sz w:val="18"/>
        </w:rPr>
        <w:sectPr>
          <w:pgSz w:w="11910" w:h="16850"/>
          <w:pgMar w:header="906" w:footer="607" w:top="1100" w:bottom="800" w:left="1040" w:right="880"/>
        </w:sectPr>
      </w:pPr>
    </w:p>
    <w:p>
      <w:pPr>
        <w:pStyle w:val="Heading2"/>
        <w:spacing w:before="54"/>
        <w:ind w:left="2897"/>
      </w:pPr>
      <w:bookmarkStart w:name="_TOC_250019" w:id="8"/>
      <w:r>
        <w:rPr>
          <w:spacing w:val="-10"/>
        </w:rPr>
        <w:t>去年基本医保支出 </w:t>
      </w:r>
      <w:r>
        <w:rPr/>
        <w:t>17607</w:t>
      </w:r>
      <w:bookmarkEnd w:id="8"/>
      <w:r>
        <w:rPr>
          <w:spacing w:val="-33"/>
        </w:rPr>
        <w:t> 亿元</w:t>
      </w:r>
    </w:p>
    <w:p>
      <w:pPr>
        <w:pStyle w:val="BodyText"/>
        <w:ind w:left="0"/>
        <w:rPr>
          <w:b/>
        </w:rPr>
      </w:pPr>
      <w:r>
        <w:rPr/>
        <w:br w:type="column"/>
      </w:r>
      <w:r>
        <w:rPr>
          <w:b/>
        </w:rPr>
      </w:r>
    </w:p>
    <w:p>
      <w:pPr>
        <w:pStyle w:val="BodyText"/>
        <w:spacing w:before="7"/>
        <w:ind w:left="0"/>
        <w:rPr>
          <w:b/>
          <w:sz w:val="23"/>
        </w:rPr>
      </w:pPr>
    </w:p>
    <w:p>
      <w:pPr>
        <w:pStyle w:val="Heading3"/>
        <w:ind w:left="691"/>
      </w:pPr>
      <w:r>
        <w:rPr>
          <w:color w:val="FF0000"/>
        </w:rPr>
        <w:t>（来源：健康报）</w:t>
      </w:r>
    </w:p>
    <w:p>
      <w:pPr>
        <w:spacing w:after="0"/>
        <w:sectPr>
          <w:type w:val="continuous"/>
          <w:pgSz w:w="11910" w:h="16850"/>
          <w:pgMar w:top="1080" w:bottom="1020" w:left="1040" w:right="880"/>
          <w:cols w:num="2" w:equalWidth="0">
            <w:col w:w="7076" w:space="40"/>
            <w:col w:w="2874"/>
          </w:cols>
        </w:sectPr>
      </w:pPr>
    </w:p>
    <w:p>
      <w:pPr>
        <w:pStyle w:val="BodyText"/>
        <w:spacing w:before="96"/>
        <w:ind w:left="717"/>
      </w:pPr>
      <w:r>
        <w:rPr>
          <w:rFonts w:ascii="Times New Roman" w:eastAsia="Times New Roman"/>
        </w:rPr>
        <w:t>2 </w:t>
      </w:r>
      <w:r>
        <w:rPr>
          <w:spacing w:val="-31"/>
        </w:rPr>
        <w:t>月 </w:t>
      </w:r>
      <w:r>
        <w:rPr>
          <w:rFonts w:ascii="Times New Roman" w:eastAsia="Times New Roman"/>
        </w:rPr>
        <w:t>28</w:t>
      </w:r>
      <w:r>
        <w:rPr>
          <w:rFonts w:ascii="Times New Roman" w:eastAsia="Times New Roman"/>
          <w:spacing w:val="1"/>
        </w:rPr>
        <w:t> </w:t>
      </w:r>
      <w:r>
        <w:rPr>
          <w:spacing w:val="-12"/>
        </w:rPr>
        <w:t>日，国家医保局发布 </w:t>
      </w:r>
      <w:r>
        <w:rPr>
          <w:rFonts w:ascii="Times New Roman" w:eastAsia="Times New Roman"/>
        </w:rPr>
        <w:t>2018 </w:t>
      </w:r>
      <w:r>
        <w:rPr>
          <w:spacing w:val="-4"/>
        </w:rPr>
        <w:t>年医疗保障事业发展统计快报。快报显示，</w:t>
      </w:r>
      <w:r>
        <w:rPr>
          <w:rFonts w:ascii="Times New Roman" w:eastAsia="Times New Roman"/>
          <w:spacing w:val="-7"/>
        </w:rPr>
        <w:t>2018</w:t>
      </w:r>
      <w:r>
        <w:rPr>
          <w:rFonts w:ascii="Times New Roman" w:eastAsia="Times New Roman"/>
          <w:spacing w:val="1"/>
        </w:rPr>
        <w:t> </w:t>
      </w:r>
      <w:r>
        <w:rPr/>
        <w:t>年基</w:t>
      </w:r>
    </w:p>
    <w:p>
      <w:pPr>
        <w:pStyle w:val="BodyText"/>
        <w:spacing w:before="74"/>
      </w:pPr>
      <w:r>
        <w:rPr>
          <w:spacing w:val="-6"/>
        </w:rPr>
        <w:t>本医疗保险基金总收入 </w:t>
      </w:r>
      <w:r>
        <w:rPr>
          <w:rFonts w:ascii="Times New Roman" w:eastAsia="Times New Roman"/>
        </w:rPr>
        <w:t>21090.11 </w:t>
      </w:r>
      <w:r>
        <w:rPr>
          <w:spacing w:val="-15"/>
        </w:rPr>
        <w:t>亿元，总支出 </w:t>
      </w:r>
      <w:r>
        <w:rPr>
          <w:rFonts w:ascii="Times New Roman" w:eastAsia="Times New Roman"/>
        </w:rPr>
        <w:t>17607.65 </w:t>
      </w:r>
      <w:r>
        <w:rPr>
          <w:spacing w:val="-17"/>
        </w:rPr>
        <w:t>亿元。截至 </w:t>
      </w:r>
      <w:r>
        <w:rPr>
          <w:rFonts w:ascii="Times New Roman" w:eastAsia="Times New Roman"/>
        </w:rPr>
        <w:t>2018 </w:t>
      </w:r>
      <w:r>
        <w:rPr>
          <w:spacing w:val="-6"/>
        </w:rPr>
        <w:t>年年末，基本医疗</w:t>
      </w:r>
    </w:p>
    <w:p>
      <w:pPr>
        <w:pStyle w:val="BodyText"/>
        <w:spacing w:before="72"/>
      </w:pPr>
      <w:r>
        <w:rPr/>
        <w:t>保险累计结存 </w:t>
      </w:r>
      <w:r>
        <w:rPr>
          <w:rFonts w:ascii="Times New Roman" w:eastAsia="Times New Roman"/>
        </w:rPr>
        <w:t>23233.74 </w:t>
      </w:r>
      <w:r>
        <w:rPr/>
        <w:t>亿元，其中职工基本医疗保险个人账户积累 </w:t>
      </w:r>
      <w:r>
        <w:rPr>
          <w:rFonts w:ascii="Times New Roman" w:eastAsia="Times New Roman"/>
        </w:rPr>
        <w:t>7144.42 </w:t>
      </w:r>
      <w:r>
        <w:rPr/>
        <w:t>亿元。</w:t>
      </w:r>
    </w:p>
    <w:p>
      <w:pPr>
        <w:pStyle w:val="BodyText"/>
        <w:spacing w:before="72"/>
        <w:ind w:left="717"/>
      </w:pPr>
      <w:r>
        <w:rPr/>
        <w:t>快报显示，截至 </w:t>
      </w:r>
      <w:r>
        <w:rPr>
          <w:rFonts w:ascii="Times New Roman" w:eastAsia="Times New Roman"/>
        </w:rPr>
        <w:t>2018 </w:t>
      </w:r>
      <w:r>
        <w:rPr/>
        <w:t>年年末，基本医疗保险参保人数 </w:t>
      </w:r>
      <w:r>
        <w:rPr>
          <w:rFonts w:ascii="Times New Roman" w:eastAsia="Times New Roman"/>
        </w:rPr>
        <w:t>134452 </w:t>
      </w:r>
      <w:r>
        <w:rPr/>
        <w:t>万，参保覆盖面稳定在</w:t>
      </w:r>
    </w:p>
    <w:p>
      <w:pPr>
        <w:pStyle w:val="BodyText"/>
        <w:spacing w:before="74"/>
      </w:pPr>
      <w:r>
        <w:rPr>
          <w:rFonts w:ascii="Times New Roman" w:eastAsia="Times New Roman"/>
        </w:rPr>
        <w:t>95%</w:t>
      </w:r>
      <w:r>
        <w:rPr>
          <w:spacing w:val="-12"/>
        </w:rPr>
        <w:t>以上。跨省异地就医定点医疗机构 </w:t>
      </w:r>
      <w:r>
        <w:rPr>
          <w:rFonts w:ascii="Times New Roman" w:eastAsia="Times New Roman"/>
        </w:rPr>
        <w:t>15411 </w:t>
      </w:r>
      <w:r>
        <w:rPr>
          <w:spacing w:val="-13"/>
        </w:rPr>
        <w:t>家，全年跨省异地就医直接结算 </w:t>
      </w:r>
      <w:r>
        <w:rPr>
          <w:rFonts w:ascii="Times New Roman" w:eastAsia="Times New Roman"/>
        </w:rPr>
        <w:t>131.8 </w:t>
      </w:r>
      <w:r>
        <w:rPr/>
        <w:t>万人次，</w:t>
      </w:r>
    </w:p>
    <w:p>
      <w:pPr>
        <w:pStyle w:val="BodyText"/>
        <w:spacing w:before="71"/>
      </w:pPr>
      <w:r>
        <w:rPr/>
        <w:t>医疗费用 </w:t>
      </w:r>
      <w:r>
        <w:rPr>
          <w:rFonts w:ascii="Times New Roman" w:eastAsia="Times New Roman"/>
        </w:rPr>
        <w:t>319.4 </w:t>
      </w:r>
      <w:r>
        <w:rPr/>
        <w:t>亿元，基金支付 </w:t>
      </w:r>
      <w:r>
        <w:rPr>
          <w:rFonts w:ascii="Times New Roman" w:eastAsia="Times New Roman"/>
        </w:rPr>
        <w:t>188.5 </w:t>
      </w:r>
      <w:r>
        <w:rPr/>
        <w:t>亿元。</w:t>
      </w:r>
    </w:p>
    <w:p>
      <w:pPr>
        <w:pStyle w:val="BodyText"/>
        <w:spacing w:line="297" w:lineRule="auto" w:before="72"/>
        <w:ind w:right="246" w:firstLine="480"/>
        <w:jc w:val="both"/>
      </w:pPr>
      <w:r>
        <w:rPr/>
        <w:t>快报显示，</w:t>
      </w:r>
      <w:r>
        <w:rPr>
          <w:rFonts w:ascii="Times New Roman" w:eastAsia="Times New Roman"/>
        </w:rPr>
        <w:t>2018 </w:t>
      </w:r>
      <w:r>
        <w:rPr>
          <w:spacing w:val="-8"/>
        </w:rPr>
        <w:t>年全年，生育保险参保人数 </w:t>
      </w:r>
      <w:r>
        <w:rPr>
          <w:rFonts w:ascii="Times New Roman" w:eastAsia="Times New Roman"/>
        </w:rPr>
        <w:t>20435 </w:t>
      </w:r>
      <w:r>
        <w:rPr>
          <w:spacing w:val="-9"/>
        </w:rPr>
        <w:t>万，比上年年末增加 </w:t>
      </w:r>
      <w:r>
        <w:rPr>
          <w:rFonts w:ascii="Times New Roman" w:eastAsia="Times New Roman"/>
        </w:rPr>
        <w:t>1135 </w:t>
      </w:r>
      <w:r>
        <w:rPr>
          <w:spacing w:val="-8"/>
        </w:rPr>
        <w:t>万，基金</w:t>
      </w:r>
      <w:r>
        <w:rPr>
          <w:spacing w:val="-21"/>
        </w:rPr>
        <w:t>收入 </w:t>
      </w:r>
      <w:r>
        <w:rPr>
          <w:rFonts w:ascii="Times New Roman" w:eastAsia="Times New Roman"/>
        </w:rPr>
        <w:t>756.02 </w:t>
      </w:r>
      <w:r>
        <w:rPr>
          <w:spacing w:val="-12"/>
        </w:rPr>
        <w:t>亿元、增长 </w:t>
      </w:r>
      <w:r>
        <w:rPr>
          <w:rFonts w:ascii="Times New Roman" w:eastAsia="Times New Roman"/>
        </w:rPr>
        <w:t>16.4%</w:t>
      </w:r>
      <w:r>
        <w:rPr>
          <w:spacing w:val="-11"/>
        </w:rPr>
        <w:t>，基金支出 </w:t>
      </w:r>
      <w:r>
        <w:rPr>
          <w:rFonts w:ascii="Times New Roman" w:eastAsia="Times New Roman"/>
        </w:rPr>
        <w:t>738.25 </w:t>
      </w:r>
      <w:r>
        <w:rPr>
          <w:spacing w:val="-12"/>
        </w:rPr>
        <w:t>亿元、下降 </w:t>
      </w:r>
      <w:r>
        <w:rPr>
          <w:rFonts w:ascii="Times New Roman" w:eastAsia="Times New Roman"/>
        </w:rPr>
        <w:t>3.2%</w:t>
      </w:r>
      <w:r>
        <w:rPr>
          <w:spacing w:val="-3"/>
        </w:rPr>
        <w:t>。医疗救助方面，全年资</w:t>
      </w:r>
      <w:r>
        <w:rPr>
          <w:spacing w:val="-8"/>
        </w:rPr>
        <w:t>助参加基本医疗保险人数 </w:t>
      </w:r>
      <w:r>
        <w:rPr>
          <w:rFonts w:ascii="Times New Roman" w:eastAsia="Times New Roman"/>
        </w:rPr>
        <w:t>4971.59 </w:t>
      </w:r>
      <w:r>
        <w:rPr>
          <w:spacing w:val="-10"/>
        </w:rPr>
        <w:t>万，实施门诊和住院救助 </w:t>
      </w:r>
      <w:r>
        <w:rPr>
          <w:rFonts w:ascii="Times New Roman" w:eastAsia="Times New Roman"/>
        </w:rPr>
        <w:t>3824.59 </w:t>
      </w:r>
      <w:r>
        <w:rPr>
          <w:spacing w:val="-13"/>
        </w:rPr>
        <w:t>万人次，支出 </w:t>
      </w:r>
      <w:r>
        <w:rPr>
          <w:rFonts w:ascii="Times New Roman" w:eastAsia="Times New Roman"/>
        </w:rPr>
        <w:t>281.65 </w:t>
      </w:r>
      <w:r>
        <w:rPr>
          <w:spacing w:val="-13"/>
        </w:rPr>
        <w:t>亿</w:t>
      </w:r>
      <w:r>
        <w:rPr/>
        <w:t>元。</w:t>
      </w:r>
    </w:p>
    <w:p>
      <w:pPr>
        <w:spacing w:after="0" w:line="297" w:lineRule="auto"/>
        <w:jc w:val="both"/>
        <w:sectPr>
          <w:type w:val="continuous"/>
          <w:pgSz w:w="11910" w:h="16850"/>
          <w:pgMar w:top="1080" w:bottom="1020" w:left="1040" w:right="880"/>
        </w:sectPr>
      </w:pPr>
    </w:p>
    <w:p>
      <w:pPr>
        <w:pStyle w:val="BodyText"/>
        <w:ind w:left="0"/>
        <w:rPr>
          <w:sz w:val="32"/>
        </w:rPr>
      </w:pPr>
    </w:p>
    <w:p>
      <w:pPr>
        <w:pStyle w:val="BodyText"/>
        <w:spacing w:before="5"/>
        <w:ind w:left="0"/>
        <w:rPr>
          <w:sz w:val="34"/>
        </w:rPr>
      </w:pPr>
    </w:p>
    <w:p>
      <w:pPr>
        <w:pStyle w:val="Heading2"/>
      </w:pPr>
      <w:r>
        <w:rPr/>
        <w:pict>
          <v:line style="position:absolute;mso-position-horizontal-relative:page;mso-position-vertical-relative:paragraph;z-index:-55432" from="62.400002pt,-32.61998pt" to="540.220002pt,-32.61998pt" stroked="true" strokeweight=".72pt" strokecolor="#000000">
            <v:stroke dashstyle="solid"/>
            <w10:wrap type="none"/>
          </v:line>
        </w:pict>
      </w:r>
      <w:r>
        <w:rPr/>
        <w:t>【研究进展】</w:t>
      </w:r>
    </w:p>
    <w:p>
      <w:pPr>
        <w:pStyle w:val="Heading1"/>
        <w:spacing w:before="15"/>
        <w:rPr>
          <w:u w:val="none"/>
        </w:rPr>
      </w:pPr>
      <w:bookmarkStart w:name="_TOC_250018" w:id="9"/>
      <w:r>
        <w:rPr>
          <w:b w:val="0"/>
          <w:u w:val="none"/>
        </w:rPr>
        <w:br w:type="column"/>
      </w:r>
      <w:r>
        <w:rPr>
          <w:rFonts w:ascii="Times New Roman" w:eastAsia="Times New Roman"/>
          <w:color w:val="008000"/>
          <w:spacing w:val="-110"/>
          <w:w w:val="99"/>
          <w:u w:val="thick" w:color="008000"/>
        </w:rPr>
        <w:t> </w:t>
      </w:r>
      <w:bookmarkEnd w:id="9"/>
      <w:r>
        <w:rPr>
          <w:color w:val="008000"/>
          <w:u w:val="thick" w:color="008000"/>
        </w:rPr>
        <w:t>医药前沿</w:t>
      </w:r>
    </w:p>
    <w:p>
      <w:pPr>
        <w:spacing w:after="0"/>
        <w:sectPr>
          <w:headerReference w:type="default" r:id="rId9"/>
          <w:footerReference w:type="default" r:id="rId10"/>
          <w:pgSz w:w="11910" w:h="16850"/>
          <w:pgMar w:header="0" w:footer="607" w:top="900" w:bottom="800" w:left="1040" w:right="880"/>
          <w:pgNumType w:start="28"/>
          <w:cols w:num="2" w:equalWidth="0">
            <w:col w:w="2207" w:space="2180"/>
            <w:col w:w="5603"/>
          </w:cols>
        </w:sectPr>
      </w:pPr>
    </w:p>
    <w:p>
      <w:pPr>
        <w:pStyle w:val="BodyText"/>
        <w:spacing w:before="13"/>
        <w:ind w:left="0"/>
        <w:rPr>
          <w:rFonts w:ascii="华文宋体"/>
          <w:b/>
          <w:sz w:val="13"/>
        </w:rPr>
      </w:pPr>
    </w:p>
    <w:p>
      <w:pPr>
        <w:spacing w:after="0"/>
        <w:rPr>
          <w:rFonts w:ascii="华文宋体"/>
          <w:sz w:val="13"/>
        </w:rPr>
        <w:sectPr>
          <w:type w:val="continuous"/>
          <w:pgSz w:w="11910" w:h="16850"/>
          <w:pgMar w:top="1080" w:bottom="1020" w:left="1040" w:right="880"/>
        </w:sectPr>
      </w:pPr>
    </w:p>
    <w:p>
      <w:pPr>
        <w:pStyle w:val="Heading2"/>
        <w:spacing w:before="55"/>
        <w:ind w:left="2897"/>
      </w:pPr>
      <w:bookmarkStart w:name="_TOC_250017" w:id="10"/>
      <w:bookmarkEnd w:id="10"/>
      <w:r>
        <w:rPr>
          <w:spacing w:val="-2"/>
        </w:rPr>
        <w:t>基因编辑系统分子机制获揭示</w:t>
      </w:r>
    </w:p>
    <w:p>
      <w:pPr>
        <w:pStyle w:val="BodyText"/>
        <w:ind w:left="0"/>
        <w:rPr>
          <w:b/>
        </w:rPr>
      </w:pPr>
      <w:r>
        <w:rPr/>
        <w:br w:type="column"/>
      </w:r>
      <w:r>
        <w:rPr>
          <w:b/>
        </w:rPr>
      </w:r>
    </w:p>
    <w:p>
      <w:pPr>
        <w:pStyle w:val="BodyText"/>
        <w:spacing w:before="8"/>
        <w:ind w:left="0"/>
        <w:rPr>
          <w:b/>
          <w:sz w:val="23"/>
        </w:rPr>
      </w:pPr>
    </w:p>
    <w:p>
      <w:pPr>
        <w:pStyle w:val="Heading3"/>
        <w:ind w:left="696"/>
      </w:pPr>
      <w:r>
        <w:rPr>
          <w:color w:val="FF0000"/>
        </w:rPr>
        <w:t>（来源：健康报）</w:t>
      </w:r>
    </w:p>
    <w:p>
      <w:pPr>
        <w:spacing w:after="0"/>
        <w:sectPr>
          <w:type w:val="continuous"/>
          <w:pgSz w:w="11910" w:h="16850"/>
          <w:pgMar w:top="1080" w:bottom="1020" w:left="1040" w:right="880"/>
          <w:cols w:num="2" w:equalWidth="0">
            <w:col w:w="7072" w:space="40"/>
            <w:col w:w="2878"/>
          </w:cols>
        </w:sectPr>
      </w:pPr>
    </w:p>
    <w:p>
      <w:pPr>
        <w:pStyle w:val="BodyText"/>
        <w:spacing w:line="297" w:lineRule="auto" w:before="98"/>
        <w:ind w:right="247" w:firstLine="480"/>
        <w:jc w:val="both"/>
      </w:pPr>
      <w:r>
        <w:rPr>
          <w:spacing w:val="-5"/>
        </w:rPr>
        <w:t>由哈尔滨工业大学生命学院教授黄志伟课题组完成的一项课题，日前发表在最新一期国</w:t>
      </w:r>
      <w:r>
        <w:rPr>
          <w:spacing w:val="-3"/>
        </w:rPr>
        <w:t>际著名期刊《细胞研究》上。该项成果不仅首次揭示了高保真的 </w:t>
      </w:r>
      <w:r>
        <w:rPr>
          <w:rFonts w:ascii="Times New Roman" w:eastAsia="Times New Roman"/>
        </w:rPr>
        <w:t>Cas9 </w:t>
      </w:r>
      <w:r>
        <w:rPr/>
        <w:t>基因编辑系统的分子</w:t>
      </w:r>
      <w:r>
        <w:rPr>
          <w:spacing w:val="-7"/>
        </w:rPr>
        <w:t>机制，而且为改造 </w:t>
      </w:r>
      <w:r>
        <w:rPr>
          <w:rFonts w:ascii="Times New Roman" w:eastAsia="Times New Roman"/>
        </w:rPr>
        <w:t>SpCas9 </w:t>
      </w:r>
      <w:r>
        <w:rPr>
          <w:spacing w:val="-13"/>
        </w:rPr>
        <w:t>以及其他 </w:t>
      </w:r>
      <w:r>
        <w:rPr>
          <w:rFonts w:ascii="Times New Roman" w:eastAsia="Times New Roman"/>
        </w:rPr>
        <w:t>Cas </w:t>
      </w:r>
      <w:r>
        <w:rPr/>
        <w:t>核酸内切酶，使之成为更高效、更特异的基因编辑</w:t>
      </w:r>
      <w:r>
        <w:rPr>
          <w:spacing w:val="-10"/>
        </w:rPr>
        <w:t>工具夯实了基础，具有指导改造新型基因编辑系统的应用价值，可望今后有效地治疗遗传性</w:t>
      </w:r>
      <w:r>
        <w:rPr/>
        <w:t>疾病和疑难病。</w:t>
      </w:r>
    </w:p>
    <w:p>
      <w:pPr>
        <w:pStyle w:val="BodyText"/>
        <w:spacing w:line="297" w:lineRule="auto"/>
        <w:ind w:right="146" w:firstLine="480"/>
      </w:pPr>
      <w:r>
        <w:rPr>
          <w:rFonts w:ascii="Times New Roman" w:hAnsi="Times New Roman" w:eastAsia="Times New Roman"/>
        </w:rPr>
        <w:t>CRISPR-Cas9 </w:t>
      </w:r>
      <w:r>
        <w:rPr>
          <w:spacing w:val="-8"/>
        </w:rPr>
        <w:t>系统是被广泛应用于生物、医学等领域的基因编辑工具。目前，科学家还</w:t>
      </w:r>
      <w:r>
        <w:rPr>
          <w:spacing w:val="-35"/>
        </w:rPr>
        <w:t>在 </w:t>
      </w:r>
      <w:r>
        <w:rPr>
          <w:rFonts w:ascii="Times New Roman" w:hAnsi="Times New Roman" w:eastAsia="Times New Roman"/>
        </w:rPr>
        <w:t>Cas9 </w:t>
      </w:r>
      <w:r>
        <w:rPr>
          <w:spacing w:val="-6"/>
        </w:rPr>
        <w:t>基础上产生了高保真的 </w:t>
      </w:r>
      <w:r>
        <w:rPr>
          <w:rFonts w:ascii="Times New Roman" w:hAnsi="Times New Roman" w:eastAsia="Times New Roman"/>
        </w:rPr>
        <w:t>SpCas9 </w:t>
      </w:r>
      <w:r>
        <w:rPr>
          <w:spacing w:val="-11"/>
        </w:rPr>
        <w:t>突变体，这些突变体都能成为更高效、更便捷的基因</w:t>
      </w:r>
      <w:r>
        <w:rPr>
          <w:spacing w:val="-14"/>
        </w:rPr>
        <w:t>编辑工具和系统。但脱靶效应成了这一高效基因编辑工具的最大风险，可能会带来意想不到</w:t>
      </w:r>
      <w:r>
        <w:rPr>
          <w:spacing w:val="-19"/>
        </w:rPr>
        <w:t>的突变。其中，由于对 </w:t>
      </w:r>
      <w:r>
        <w:rPr>
          <w:rFonts w:ascii="Times New Roman" w:hAnsi="Times New Roman" w:eastAsia="Times New Roman"/>
        </w:rPr>
        <w:t>SpCas9 </w:t>
      </w:r>
      <w:r>
        <w:rPr/>
        <w:t>突变体的高保真结构基础一直未知，造成脱靶效应的难题长</w:t>
      </w:r>
      <w:r>
        <w:rPr>
          <w:spacing w:val="-7"/>
        </w:rPr>
        <w:t>期不能真正解决，让人类难以精确调控基因编辑工具在什么时间、什么位置进行编辑。黄志</w:t>
      </w:r>
      <w:r>
        <w:rPr>
          <w:spacing w:val="-13"/>
        </w:rPr>
        <w:t>伟及其课题组解析了 </w:t>
      </w:r>
      <w:r>
        <w:rPr>
          <w:rFonts w:ascii="Times New Roman" w:hAnsi="Times New Roman" w:eastAsia="Times New Roman"/>
        </w:rPr>
        <w:t>SpCas9 </w:t>
      </w:r>
      <w:r>
        <w:rPr>
          <w:spacing w:val="-8"/>
        </w:rPr>
        <w:t>突变体</w:t>
      </w:r>
      <w:r>
        <w:rPr/>
        <w:t>（</w:t>
      </w:r>
      <w:r>
        <w:rPr>
          <w:rFonts w:ascii="Times New Roman" w:hAnsi="Times New Roman" w:eastAsia="Times New Roman"/>
        </w:rPr>
        <w:t>xCas9 </w:t>
      </w:r>
      <w:r>
        <w:rPr>
          <w:rFonts w:ascii="Times New Roman" w:hAnsi="Times New Roman" w:eastAsia="Times New Roman"/>
          <w:spacing w:val="-6"/>
        </w:rPr>
        <w:t>3.7</w:t>
      </w:r>
      <w:r>
        <w:rPr>
          <w:spacing w:val="-6"/>
        </w:rPr>
        <w:t>）</w:t>
      </w:r>
      <w:r>
        <w:rPr>
          <w:spacing w:val="-21"/>
        </w:rPr>
        <w:t>、导向 </w:t>
      </w:r>
      <w:r>
        <w:rPr>
          <w:rFonts w:ascii="Times New Roman" w:hAnsi="Times New Roman" w:eastAsia="Times New Roman"/>
          <w:spacing w:val="-6"/>
        </w:rPr>
        <w:t>RNA</w:t>
      </w:r>
      <w:r>
        <w:rPr>
          <w:spacing w:val="-2"/>
        </w:rPr>
        <w:t>，以及包含两种不同序列的双</w:t>
      </w:r>
      <w:r>
        <w:rPr>
          <w:spacing w:val="-31"/>
        </w:rPr>
        <w:t>链 </w:t>
      </w:r>
      <w:r>
        <w:rPr>
          <w:rFonts w:ascii="Times New Roman" w:hAnsi="Times New Roman" w:eastAsia="Times New Roman"/>
        </w:rPr>
        <w:t>DNA </w:t>
      </w:r>
      <w:r>
        <w:rPr>
          <w:spacing w:val="-7"/>
        </w:rPr>
        <w:t>的复合物结构。研究发现，</w:t>
      </w:r>
      <w:r>
        <w:rPr>
          <w:rFonts w:ascii="Times New Roman" w:hAnsi="Times New Roman" w:eastAsia="Times New Roman"/>
          <w:spacing w:val="-7"/>
        </w:rPr>
        <w:t>xCas9</w:t>
      </w:r>
      <w:r>
        <w:rPr>
          <w:rFonts w:ascii="Times New Roman" w:hAnsi="Times New Roman" w:eastAsia="Times New Roman"/>
        </w:rPr>
        <w:t> 3.7 </w:t>
      </w:r>
      <w:r>
        <w:rPr>
          <w:spacing w:val="-12"/>
        </w:rPr>
        <w:t>蛋白中第 </w:t>
      </w:r>
      <w:r>
        <w:rPr>
          <w:rFonts w:ascii="Times New Roman" w:hAnsi="Times New Roman" w:eastAsia="Times New Roman"/>
        </w:rPr>
        <w:t>1219 </w:t>
      </w:r>
      <w:r>
        <w:rPr>
          <w:spacing w:val="-6"/>
        </w:rPr>
        <w:t>位的谷氨酸残基与第 </w:t>
      </w:r>
      <w:r>
        <w:rPr>
          <w:rFonts w:ascii="Times New Roman" w:hAnsi="Times New Roman" w:eastAsia="Times New Roman"/>
        </w:rPr>
        <w:t>1335 </w:t>
      </w:r>
      <w:r>
        <w:rPr/>
        <w:t>位的</w:t>
      </w:r>
      <w:r>
        <w:rPr>
          <w:spacing w:val="-13"/>
        </w:rPr>
        <w:t>精氨酸残基形成的盐桥作用，对 </w:t>
      </w:r>
      <w:r>
        <w:rPr>
          <w:rFonts w:ascii="Times New Roman" w:hAnsi="Times New Roman" w:eastAsia="Times New Roman"/>
        </w:rPr>
        <w:t>SpCas9 </w:t>
      </w:r>
      <w:r>
        <w:rPr>
          <w:spacing w:val="-8"/>
        </w:rPr>
        <w:t>选择可编辑的底物 </w:t>
      </w:r>
      <w:r>
        <w:rPr>
          <w:rFonts w:ascii="Times New Roman" w:hAnsi="Times New Roman" w:eastAsia="Times New Roman"/>
        </w:rPr>
        <w:t>DNA </w:t>
      </w:r>
      <w:r>
        <w:rPr/>
        <w:t>序列至关重要</w:t>
      </w:r>
      <w:r>
        <w:rPr>
          <w:rFonts w:ascii="Calibri" w:hAnsi="Calibri" w:eastAsia="Calibri"/>
        </w:rPr>
        <w:t>——</w:t>
      </w:r>
      <w:r>
        <w:rPr>
          <w:rFonts w:ascii="Times New Roman" w:hAnsi="Times New Roman" w:eastAsia="Times New Roman"/>
        </w:rPr>
        <w:t>xCas9 3.7 </w:t>
      </w:r>
      <w:r>
        <w:rPr>
          <w:spacing w:val="-20"/>
        </w:rPr>
        <w:t>中将 </w:t>
      </w:r>
      <w:r>
        <w:rPr>
          <w:rFonts w:ascii="Times New Roman" w:hAnsi="Times New Roman" w:eastAsia="Times New Roman"/>
        </w:rPr>
        <w:t>1219 </w:t>
      </w:r>
      <w:r>
        <w:rPr>
          <w:spacing w:val="-3"/>
        </w:rPr>
        <w:t>位的谷氨酸突变为缬氨酸，破坏了盐桥功效，解除了对 </w:t>
      </w:r>
      <w:r>
        <w:rPr>
          <w:rFonts w:ascii="Times New Roman" w:hAnsi="Times New Roman" w:eastAsia="Times New Roman"/>
        </w:rPr>
        <w:t>1335 </w:t>
      </w:r>
      <w:r>
        <w:rPr>
          <w:spacing w:val="-2"/>
        </w:rPr>
        <w:t>精氨酸侧链的限制， </w:t>
      </w:r>
      <w:r>
        <w:rPr>
          <w:spacing w:val="-4"/>
        </w:rPr>
        <w:t>使其产生一定自由度，从而增强了对底物 </w:t>
      </w:r>
      <w:r>
        <w:rPr>
          <w:rFonts w:ascii="Times New Roman" w:hAnsi="Times New Roman" w:eastAsia="Times New Roman"/>
        </w:rPr>
        <w:t>DNA </w:t>
      </w:r>
      <w:r>
        <w:rPr/>
        <w:t>的识别能力。</w:t>
      </w:r>
    </w:p>
    <w:p>
      <w:pPr>
        <w:pStyle w:val="BodyText"/>
        <w:spacing w:before="5"/>
        <w:ind w:left="0"/>
        <w:rPr>
          <w:sz w:val="12"/>
        </w:rPr>
      </w:pPr>
    </w:p>
    <w:p>
      <w:pPr>
        <w:spacing w:after="0"/>
        <w:rPr>
          <w:sz w:val="12"/>
        </w:rPr>
        <w:sectPr>
          <w:type w:val="continuous"/>
          <w:pgSz w:w="11910" w:h="16850"/>
          <w:pgMar w:top="1080" w:bottom="1020" w:left="1040" w:right="880"/>
        </w:sectPr>
      </w:pPr>
    </w:p>
    <w:p>
      <w:pPr>
        <w:pStyle w:val="Heading2"/>
        <w:spacing w:before="55"/>
        <w:ind w:left="2897"/>
      </w:pPr>
      <w:bookmarkStart w:name="_TOC_250016" w:id="11"/>
      <w:bookmarkEnd w:id="11"/>
      <w:r>
        <w:rPr>
          <w:spacing w:val="-2"/>
        </w:rPr>
        <w:t>我学者发现肝癌重要潜在靶标</w:t>
      </w:r>
    </w:p>
    <w:p>
      <w:pPr>
        <w:pStyle w:val="BodyText"/>
        <w:ind w:left="0"/>
        <w:rPr>
          <w:b/>
        </w:rPr>
      </w:pPr>
      <w:r>
        <w:rPr/>
        <w:br w:type="column"/>
      </w:r>
      <w:r>
        <w:rPr>
          <w:b/>
        </w:rPr>
      </w:r>
    </w:p>
    <w:p>
      <w:pPr>
        <w:pStyle w:val="BodyText"/>
        <w:spacing w:before="8"/>
        <w:ind w:left="0"/>
        <w:rPr>
          <w:b/>
          <w:sz w:val="23"/>
        </w:rPr>
      </w:pPr>
    </w:p>
    <w:p>
      <w:pPr>
        <w:pStyle w:val="Heading3"/>
        <w:ind w:left="696"/>
      </w:pPr>
      <w:r>
        <w:rPr>
          <w:color w:val="FF0000"/>
        </w:rPr>
        <w:t>（来源：健康报）</w:t>
      </w:r>
    </w:p>
    <w:p>
      <w:pPr>
        <w:spacing w:after="0"/>
        <w:sectPr>
          <w:type w:val="continuous"/>
          <w:pgSz w:w="11910" w:h="16850"/>
          <w:pgMar w:top="1080" w:bottom="1020" w:left="1040" w:right="880"/>
          <w:cols w:num="2" w:equalWidth="0">
            <w:col w:w="7072" w:space="40"/>
            <w:col w:w="2878"/>
          </w:cols>
        </w:sectPr>
      </w:pPr>
    </w:p>
    <w:p>
      <w:pPr>
        <w:pStyle w:val="BodyText"/>
        <w:spacing w:line="297" w:lineRule="auto" w:before="95"/>
        <w:ind w:right="247" w:firstLine="480"/>
        <w:jc w:val="both"/>
      </w:pPr>
      <w:r>
        <w:rPr>
          <w:spacing w:val="-5"/>
        </w:rPr>
        <w:t>我国科学家在早期肝细胞癌蛋白质组分子分型及新治疗靶标研究中，发现了肝细胞癌精</w:t>
      </w:r>
      <w:r>
        <w:rPr>
          <w:spacing w:val="-9"/>
        </w:rPr>
        <w:t>准治疗的潜在靶点。在部分早期肝细胞癌患者的蛋白质组数据中，胆固醇代谢通路发生了重</w:t>
      </w:r>
      <w:r>
        <w:rPr>
          <w:spacing w:val="-6"/>
        </w:rPr>
        <w:t>编辑，其中候选药物靶标胆固醇酯化酶 </w:t>
      </w:r>
      <w:r>
        <w:rPr>
          <w:rFonts w:ascii="Times New Roman" w:eastAsia="Times New Roman"/>
        </w:rPr>
        <w:t>SOAT1 </w:t>
      </w:r>
      <w:r>
        <w:rPr>
          <w:spacing w:val="-2"/>
        </w:rPr>
        <w:t>的高表达具有最差预后风险；通过抑制该候</w:t>
      </w:r>
      <w:r>
        <w:rPr/>
        <w:t>选药靶能有效抑制肿瘤细胞的增殖和迁移。《自然》杂志近日在线发表了这一研究成果。</w:t>
      </w:r>
    </w:p>
    <w:p>
      <w:pPr>
        <w:pStyle w:val="BodyText"/>
        <w:spacing w:line="295" w:lineRule="auto"/>
        <w:ind w:right="250" w:firstLine="480"/>
        <w:jc w:val="both"/>
      </w:pPr>
      <w:r>
        <w:rPr>
          <w:spacing w:val="-6"/>
        </w:rPr>
        <w:t>该研究由军事科学院军事医学研究院贺福初团队、钱小红团队，联合复旦大学附属中山</w:t>
      </w:r>
      <w:r>
        <w:rPr/>
        <w:t>医院樊嘉团队、北京大学肿瘤医院邢宝才团队共同完成。</w:t>
      </w:r>
    </w:p>
    <w:p>
      <w:pPr>
        <w:pStyle w:val="BodyText"/>
        <w:ind w:left="717"/>
      </w:pPr>
      <w:r>
        <w:rPr/>
        <w:t>科研人员根据 </w:t>
      </w:r>
      <w:r>
        <w:rPr>
          <w:rFonts w:ascii="Times New Roman" w:eastAsia="Times New Roman"/>
        </w:rPr>
        <w:t>101 </w:t>
      </w:r>
      <w:r>
        <w:rPr/>
        <w:t>例早期肝细胞癌及配对癌旁组织样本的蛋白质组学数据，将目前临床</w:t>
      </w:r>
    </w:p>
    <w:p>
      <w:pPr>
        <w:pStyle w:val="BodyText"/>
        <w:spacing w:line="295" w:lineRule="auto" w:before="74"/>
        <w:ind w:right="248"/>
        <w:jc w:val="both"/>
      </w:pPr>
      <w:r>
        <w:rPr>
          <w:spacing w:val="-4"/>
        </w:rPr>
        <w:t>上认为的早期肝细胞癌患者分成 </w:t>
      </w:r>
      <w:r>
        <w:rPr>
          <w:rFonts w:ascii="Times New Roman" w:eastAsia="Times New Roman"/>
        </w:rPr>
        <w:t>3 </w:t>
      </w:r>
      <w:r>
        <w:rPr>
          <w:spacing w:val="-11"/>
        </w:rPr>
        <w:t>种蛋白质组亚型，发现不同亚型的患者具有不同的预后特征，术后需要给予不同的治疗方案。其中，第一类患者仅需手术；第二类患者需要手术配合</w:t>
      </w:r>
      <w:r>
        <w:rPr>
          <w:spacing w:val="-10"/>
        </w:rPr>
        <w:t>辅助治疗；而约 </w:t>
      </w:r>
      <w:r>
        <w:rPr>
          <w:rFonts w:ascii="Times New Roman" w:eastAsia="Times New Roman"/>
        </w:rPr>
        <w:t>30%</w:t>
      </w:r>
      <w:r>
        <w:rPr>
          <w:spacing w:val="-6"/>
        </w:rPr>
        <w:t>的第三类患者，存在胆固醇酯化酶 </w:t>
      </w:r>
      <w:r>
        <w:rPr>
          <w:rFonts w:ascii="Times New Roman" w:eastAsia="Times New Roman"/>
        </w:rPr>
        <w:t>SOAT1 </w:t>
      </w:r>
      <w:r>
        <w:rPr>
          <w:spacing w:val="-4"/>
        </w:rPr>
        <w:t>的高表达，术后发生复发转</w:t>
      </w:r>
      <w:r>
        <w:rPr/>
        <w:t>移的危险系数最大。进一步研究发现，</w:t>
      </w:r>
      <w:r>
        <w:rPr>
          <w:rFonts w:ascii="Times New Roman" w:eastAsia="Times New Roman"/>
        </w:rPr>
        <w:t>SOAT1 </w:t>
      </w:r>
      <w:r>
        <w:rPr/>
        <w:t>的一种小分子抑制剂阿伐麦布，在肝癌患者</w:t>
      </w:r>
      <w:r>
        <w:rPr>
          <w:spacing w:val="-6"/>
        </w:rPr>
        <w:t>的人源肿瘤异种移植模型上表现出良好的抗肿瘤效果，有望成为治疗预后较差肝细胞癌患者</w:t>
      </w:r>
      <w:r>
        <w:rPr/>
        <w:t>的潜在靶向药物。</w:t>
      </w:r>
    </w:p>
    <w:p>
      <w:pPr>
        <w:spacing w:after="0" w:line="295" w:lineRule="auto"/>
        <w:jc w:val="both"/>
        <w:sectPr>
          <w:type w:val="continuous"/>
          <w:pgSz w:w="11910" w:h="16850"/>
          <w:pgMar w:top="1080" w:bottom="1020" w:left="1040" w:right="880"/>
        </w:sectPr>
      </w:pPr>
    </w:p>
    <w:p>
      <w:pPr>
        <w:pStyle w:val="BodyText"/>
        <w:spacing w:line="297" w:lineRule="auto" w:before="65"/>
        <w:ind w:right="147" w:firstLine="480"/>
      </w:pPr>
      <w:r>
        <w:rPr>
          <w:spacing w:val="-6"/>
        </w:rPr>
        <w:t>中国人类蛋白质组计划首席科学家、中国科学院院士贺福初表示，该研究首次发现胆固醇代谢途径重编程与肝细胞癌之间的直接联系，证实胆固醇酯化酶在肝癌发生中的重要意 </w:t>
      </w:r>
      <w:r>
        <w:rPr>
          <w:spacing w:val="-7"/>
        </w:rPr>
        <w:t>义。发现胆固醇酯化酶可用于早期肝癌的分型、预后及靶向治疗，其蛋白质水平在头颈癌、</w:t>
      </w:r>
      <w:r>
        <w:rPr>
          <w:spacing w:val="-10"/>
        </w:rPr>
        <w:t>胃癌、前列腺癌、肾癌和甲状腺癌中均和患者的较差预后正相关，为发展新型抗癌药物提供了重要基础。</w:t>
      </w:r>
    </w:p>
    <w:p>
      <w:pPr>
        <w:pStyle w:val="BodyText"/>
        <w:spacing w:line="297" w:lineRule="auto"/>
        <w:ind w:right="147" w:firstLine="480"/>
      </w:pPr>
      <w:r>
        <w:rPr/>
        <w:t>中国科学院院士樊嘉表示，该研究解释了部分早期肝细胞癌患者术后快速复发的原因， 并发现了候选药物治疗靶点及药物。</w:t>
      </w:r>
    </w:p>
    <w:p>
      <w:pPr>
        <w:pStyle w:val="BodyText"/>
        <w:spacing w:before="4"/>
        <w:ind w:left="0"/>
        <w:rPr>
          <w:sz w:val="17"/>
        </w:rPr>
      </w:pPr>
    </w:p>
    <w:p>
      <w:pPr>
        <w:pStyle w:val="Heading2"/>
        <w:ind w:left="0" w:right="14"/>
        <w:jc w:val="center"/>
      </w:pPr>
      <w:bookmarkStart w:name="_TOC_250015" w:id="12"/>
      <w:bookmarkEnd w:id="12"/>
      <w:r>
        <w:rPr/>
        <w:t>判断肿瘤良恶有新“利器”</w:t>
      </w:r>
    </w:p>
    <w:p>
      <w:pPr>
        <w:spacing w:before="80"/>
        <w:ind w:left="0" w:right="9" w:firstLine="0"/>
        <w:jc w:val="center"/>
        <w:rPr>
          <w:sz w:val="21"/>
        </w:rPr>
      </w:pPr>
      <w:r>
        <w:rPr>
          <w:sz w:val="21"/>
        </w:rPr>
        <w:t>有望为乳腺肿瘤等提供鉴别诊断信息</w:t>
      </w:r>
    </w:p>
    <w:p>
      <w:pPr>
        <w:pStyle w:val="Heading3"/>
        <w:spacing w:before="179"/>
        <w:ind w:left="7807"/>
      </w:pPr>
      <w:r>
        <w:rPr>
          <w:color w:val="FF0000"/>
        </w:rPr>
        <w:t>（来源：健康报）</w:t>
      </w:r>
    </w:p>
    <w:p>
      <w:pPr>
        <w:pStyle w:val="BodyText"/>
        <w:spacing w:line="297" w:lineRule="auto" w:before="95"/>
        <w:ind w:right="247" w:firstLine="480"/>
        <w:jc w:val="both"/>
      </w:pPr>
      <w:r>
        <w:rPr>
          <w:spacing w:val="-7"/>
        </w:rPr>
        <w:t>近日从北京协和医院获悉，该院超声医学科姜玉新、杨萌团队与迈瑞公司、北京大学组</w:t>
      </w:r>
      <w:r>
        <w:rPr>
          <w:spacing w:val="-11"/>
        </w:rPr>
        <w:t>成医产学团队，成功研发两套新型光声功能成像设备，并开展了 </w:t>
      </w:r>
      <w:r>
        <w:rPr>
          <w:rFonts w:ascii="Times New Roman" w:eastAsia="Times New Roman"/>
        </w:rPr>
        <w:t>100 </w:t>
      </w:r>
      <w:r>
        <w:rPr>
          <w:spacing w:val="-2"/>
        </w:rPr>
        <w:t>余例左右乳腺肿瘤和甲</w:t>
      </w:r>
      <w:r>
        <w:rPr/>
        <w:t>状腺癌临床诊断研究。</w:t>
      </w:r>
    </w:p>
    <w:p>
      <w:pPr>
        <w:pStyle w:val="BodyText"/>
        <w:spacing w:line="297" w:lineRule="auto"/>
        <w:ind w:right="247" w:firstLine="480"/>
        <w:jc w:val="both"/>
      </w:pPr>
      <w:r>
        <w:rPr>
          <w:spacing w:val="-6"/>
        </w:rPr>
        <w:t>新型光声功能成像设备是国际影像学领域研发的热点。其原理是脉冲激光照射组织，组</w:t>
      </w:r>
      <w:r>
        <w:rPr>
          <w:spacing w:val="-7"/>
        </w:rPr>
        <w:t>织光吸收后产生热膨胀及超声波，通过超声换能器接收超声波并重建成像。北京协和医院超声医学科主任助理杨萌副教授介绍，光声成像最大的优势在于可以进行功能成像，检测血流</w:t>
      </w:r>
      <w:r>
        <w:rPr>
          <w:spacing w:val="-10"/>
        </w:rPr>
        <w:t>动力学相关指标，而血流供应是鉴别良恶性肿瘤最重要的指标之一；尽管光声成像并不能完</w:t>
      </w:r>
      <w:r>
        <w:rPr>
          <w:spacing w:val="-7"/>
        </w:rPr>
        <w:t>全替代超声等现有诊断技术，但为一些疑难病例诊断提供了新的“利器”，可应用于甲状腺</w:t>
      </w:r>
      <w:r>
        <w:rPr>
          <w:spacing w:val="-12"/>
        </w:rPr>
        <w:t>肿瘤、乳腺肿瘤、黑色素瘤、卵巢肿瘤等良恶性肿瘤的鉴别，还可为炎性关节病、炎性肠病等浅表器官病变提供新的补充诊断及鉴别诊断信息。</w:t>
      </w:r>
    </w:p>
    <w:p>
      <w:pPr>
        <w:pStyle w:val="BodyText"/>
        <w:spacing w:line="297" w:lineRule="auto"/>
        <w:ind w:right="246" w:firstLine="480"/>
        <w:jc w:val="both"/>
      </w:pPr>
      <w:r>
        <w:rPr>
          <w:spacing w:val="-10"/>
        </w:rPr>
        <w:t>据了解，国际上目前实现光声成像临床应用的研究团队较少，且不具备高分辨、可实时</w:t>
      </w:r>
      <w:r>
        <w:rPr>
          <w:spacing w:val="-4"/>
        </w:rPr>
        <w:t>对照的光声和彩超图像。该团队自 </w:t>
      </w:r>
      <w:r>
        <w:rPr>
          <w:rFonts w:ascii="Times New Roman" w:eastAsia="Times New Roman"/>
        </w:rPr>
        <w:t>2013 </w:t>
      </w:r>
      <w:r>
        <w:rPr/>
        <w:t>年以来，致力于光声成像设备的自主研发，成功构</w:t>
      </w:r>
      <w:r>
        <w:rPr>
          <w:spacing w:val="-9"/>
        </w:rPr>
        <w:t>建了二维光声、超声双模式实时成像设备，及国际首创的自动扫描三维光声、超声双模式成</w:t>
      </w:r>
      <w:r>
        <w:rPr>
          <w:spacing w:val="-12"/>
        </w:rPr>
        <w:t>像设备，其中对 </w:t>
      </w:r>
      <w:r>
        <w:rPr>
          <w:rFonts w:ascii="Times New Roman" w:eastAsia="Times New Roman"/>
        </w:rPr>
        <w:t>60 </w:t>
      </w:r>
      <w:r>
        <w:rPr/>
        <w:t>余例人乳腺肿瘤三维光声</w:t>
      </w:r>
      <w:r>
        <w:rPr>
          <w:rFonts w:ascii="Times New Roman" w:eastAsia="Times New Roman"/>
        </w:rPr>
        <w:t>/</w:t>
      </w:r>
      <w:r>
        <w:rPr>
          <w:spacing w:val="-3"/>
        </w:rPr>
        <w:t>超声双模成像的临床转化研究，验证了三维光</w:t>
      </w:r>
      <w:r>
        <w:rPr/>
        <w:t>声成像的量化诊断参数，对乳腺肿瘤良恶性鉴别诊断具有临床应用价值。</w:t>
      </w:r>
    </w:p>
    <w:p>
      <w:pPr>
        <w:pStyle w:val="BodyText"/>
        <w:spacing w:line="297" w:lineRule="auto"/>
        <w:ind w:right="147" w:firstLine="480"/>
      </w:pPr>
      <w:r>
        <w:rPr/>
        <w:t>该研究成果于 </w:t>
      </w:r>
      <w:r>
        <w:rPr>
          <w:rFonts w:ascii="Times New Roman" w:eastAsia="Times New Roman"/>
        </w:rPr>
        <w:t>2018 </w:t>
      </w:r>
      <w:r>
        <w:rPr/>
        <w:t>年申报国际发明专利，并在国际学术期刊《生物医学光学快讯》发表。杨萌介绍，光声成像研发团队目前将重点研发适用于妇产科的腔内光声多模成像设备， 推动科研成果转化为临床诊断力。</w:t>
      </w:r>
    </w:p>
    <w:p>
      <w:pPr>
        <w:spacing w:after="0" w:line="297" w:lineRule="auto"/>
        <w:sectPr>
          <w:headerReference w:type="default" r:id="rId11"/>
          <w:pgSz w:w="11910" w:h="16850"/>
          <w:pgMar w:header="906" w:footer="607" w:top="1100" w:bottom="800" w:left="1040" w:right="880"/>
        </w:sectPr>
      </w:pPr>
    </w:p>
    <w:p>
      <w:pPr>
        <w:pStyle w:val="BodyText"/>
        <w:ind w:left="0"/>
        <w:rPr>
          <w:sz w:val="32"/>
        </w:rPr>
      </w:pPr>
    </w:p>
    <w:p>
      <w:pPr>
        <w:pStyle w:val="Heading2"/>
        <w:spacing w:before="208"/>
      </w:pPr>
      <w:r>
        <w:rPr/>
        <w:t>【临床药师】</w:t>
      </w:r>
    </w:p>
    <w:p>
      <w:pPr>
        <w:pStyle w:val="Heading1"/>
        <w:spacing w:line="603" w:lineRule="exact"/>
        <w:rPr>
          <w:u w:val="none"/>
        </w:rPr>
      </w:pPr>
      <w:bookmarkStart w:name="_TOC_250014" w:id="13"/>
      <w:r>
        <w:rPr>
          <w:b w:val="0"/>
          <w:u w:val="none"/>
        </w:rPr>
        <w:br w:type="column"/>
      </w:r>
      <w:r>
        <w:rPr>
          <w:rFonts w:ascii="Times New Roman" w:eastAsia="Times New Roman"/>
          <w:color w:val="008000"/>
          <w:spacing w:val="-110"/>
          <w:w w:val="99"/>
          <w:u w:val="thick" w:color="008000"/>
        </w:rPr>
        <w:t> </w:t>
      </w:r>
      <w:bookmarkEnd w:id="13"/>
      <w:r>
        <w:rPr>
          <w:color w:val="008000"/>
          <w:u w:val="thick" w:color="008000"/>
        </w:rPr>
        <w:t>合理用药</w:t>
      </w:r>
    </w:p>
    <w:p>
      <w:pPr>
        <w:spacing w:after="0" w:line="603" w:lineRule="exact"/>
        <w:sectPr>
          <w:type w:val="continuous"/>
          <w:pgSz w:w="11910" w:h="16850"/>
          <w:pgMar w:top="1080" w:bottom="1020" w:left="1040" w:right="880"/>
          <w:cols w:num="2" w:equalWidth="0">
            <w:col w:w="2207" w:space="2180"/>
            <w:col w:w="5603"/>
          </w:cols>
        </w:sectPr>
      </w:pPr>
    </w:p>
    <w:p>
      <w:pPr>
        <w:pStyle w:val="BodyText"/>
        <w:spacing w:before="9"/>
        <w:ind w:left="0"/>
        <w:rPr>
          <w:rFonts w:ascii="华文宋体"/>
          <w:b/>
          <w:sz w:val="14"/>
        </w:rPr>
      </w:pPr>
    </w:p>
    <w:p>
      <w:pPr>
        <w:pStyle w:val="Heading2"/>
        <w:spacing w:before="54"/>
        <w:ind w:left="1451"/>
      </w:pPr>
      <w:bookmarkStart w:name="_TOC_250013" w:id="14"/>
      <w:bookmarkEnd w:id="14"/>
      <w:r>
        <w:rPr/>
        <w:t>治疗体位性低血压的药物与致体位性低血压的药物</w:t>
      </w:r>
    </w:p>
    <w:p>
      <w:pPr>
        <w:pStyle w:val="Heading3"/>
        <w:spacing w:before="148"/>
        <w:ind w:left="7325"/>
      </w:pPr>
      <w:r>
        <w:rPr>
          <w:color w:val="FF0000"/>
        </w:rPr>
        <w:t>（来源：临床药学网）</w:t>
      </w:r>
    </w:p>
    <w:p>
      <w:pPr>
        <w:pStyle w:val="BodyText"/>
        <w:spacing w:line="297" w:lineRule="auto" w:before="96"/>
        <w:ind w:right="129" w:firstLine="468"/>
      </w:pPr>
      <w:r>
        <w:rPr/>
        <w:t>体位性低血压</w:t>
      </w:r>
      <w:r>
        <w:rPr>
          <w:rFonts w:ascii="Calibri" w:hAnsi="Calibri" w:eastAsia="Calibri"/>
        </w:rPr>
        <w:t>/</w:t>
      </w:r>
      <w:r>
        <w:rPr/>
        <w:t>直立性低血压</w:t>
      </w:r>
      <w:r>
        <w:rPr>
          <w:rFonts w:ascii="Calibri" w:hAnsi="Calibri" w:eastAsia="Calibri"/>
        </w:rPr>
        <w:t>(OH)</w:t>
      </w:r>
      <w:r>
        <w:rPr/>
        <w:t>指由卧位转为直立位时</w:t>
      </w:r>
      <w:r>
        <w:rPr>
          <w:rFonts w:ascii="Calibri" w:hAnsi="Calibri" w:eastAsia="Calibri"/>
        </w:rPr>
        <w:t>(</w:t>
      </w:r>
      <w:r>
        <w:rPr/>
        <w:t>或头部倾斜＞</w:t>
      </w:r>
      <w:r>
        <w:rPr>
          <w:rFonts w:ascii="Calibri" w:hAnsi="Calibri" w:eastAsia="Calibri"/>
        </w:rPr>
        <w:t>60</w:t>
      </w:r>
      <w:r>
        <w:rPr/>
        <w:t>°</w:t>
      </w:r>
      <w:r>
        <w:rPr>
          <w:rFonts w:ascii="Calibri" w:hAnsi="Calibri" w:eastAsia="Calibri"/>
        </w:rPr>
        <w:t>)</w:t>
      </w:r>
      <w:r>
        <w:rPr/>
        <w:t>收缩压下 降≥</w:t>
      </w:r>
      <w:r>
        <w:rPr>
          <w:rFonts w:ascii="Calibri" w:hAnsi="Calibri" w:eastAsia="Calibri"/>
        </w:rPr>
        <w:t>20mmHg</w:t>
      </w:r>
      <w:r>
        <w:rPr>
          <w:rFonts w:ascii="Calibri" w:hAnsi="Calibri" w:eastAsia="Calibri"/>
          <w:spacing w:val="5"/>
        </w:rPr>
        <w:t> </w:t>
      </w:r>
      <w:r>
        <w:rPr/>
        <w:t>和</w:t>
      </w:r>
      <w:r>
        <w:rPr>
          <w:rFonts w:ascii="Calibri" w:hAnsi="Calibri" w:eastAsia="Calibri"/>
        </w:rPr>
        <w:t>(</w:t>
      </w:r>
      <w:r>
        <w:rPr/>
        <w:t>或</w:t>
      </w:r>
      <w:r>
        <w:rPr>
          <w:rFonts w:ascii="Calibri" w:hAnsi="Calibri" w:eastAsia="Calibri"/>
        </w:rPr>
        <w:t>)</w:t>
      </w:r>
      <w:r>
        <w:rPr>
          <w:spacing w:val="-1"/>
        </w:rPr>
        <w:t>舒张压下降≥</w:t>
      </w:r>
      <w:r>
        <w:rPr>
          <w:rFonts w:ascii="Calibri" w:hAnsi="Calibri" w:eastAsia="Calibri"/>
          <w:spacing w:val="-4"/>
        </w:rPr>
        <w:t>10mmHg</w:t>
      </w:r>
      <w:r>
        <w:rPr>
          <w:spacing w:val="-4"/>
        </w:rPr>
        <w:t>，其产生的机制为中枢性和周围性。</w:t>
      </w:r>
      <w:r>
        <w:rPr>
          <w:rFonts w:ascii="Calibri" w:hAnsi="Calibri" w:eastAsia="Calibri"/>
        </w:rPr>
        <w:t>OH</w:t>
      </w:r>
      <w:r>
        <w:rPr>
          <w:rFonts w:ascii="Calibri" w:hAnsi="Calibri" w:eastAsia="Calibri"/>
          <w:spacing w:val="6"/>
        </w:rPr>
        <w:t> </w:t>
      </w:r>
      <w:r>
        <w:rPr/>
        <w:t>根据发生</w:t>
      </w:r>
      <w:r>
        <w:rPr>
          <w:spacing w:val="-9"/>
        </w:rPr>
        <w:t>速度，可分为早期型</w:t>
      </w:r>
      <w:r>
        <w:rPr>
          <w:rFonts w:ascii="Calibri" w:hAnsi="Calibri" w:eastAsia="Calibri"/>
        </w:rPr>
        <w:t>(</w:t>
      </w:r>
      <w:r>
        <w:rPr/>
        <w:t>≤</w:t>
      </w:r>
      <w:r>
        <w:rPr>
          <w:rFonts w:ascii="Calibri" w:hAnsi="Calibri" w:eastAsia="Calibri"/>
        </w:rPr>
        <w:t>15s)</w:t>
      </w:r>
      <w:r>
        <w:rPr>
          <w:spacing w:val="-17"/>
        </w:rPr>
        <w:t>、经典型</w:t>
      </w:r>
      <w:r>
        <w:rPr>
          <w:rFonts w:ascii="Calibri" w:hAnsi="Calibri" w:eastAsia="Calibri"/>
        </w:rPr>
        <w:t>(</w:t>
      </w:r>
      <w:r>
        <w:rPr/>
        <w:t>≤</w:t>
      </w:r>
      <w:r>
        <w:rPr>
          <w:rFonts w:ascii="Calibri" w:hAnsi="Calibri" w:eastAsia="Calibri"/>
        </w:rPr>
        <w:t>3min)</w:t>
      </w:r>
      <w:r>
        <w:rPr/>
        <w:t>和迟发型</w:t>
      </w:r>
      <w:r>
        <w:rPr>
          <w:rFonts w:ascii="Calibri" w:hAnsi="Calibri" w:eastAsia="Calibri"/>
        </w:rPr>
        <w:t>(</w:t>
      </w:r>
      <w:r>
        <w:rPr/>
        <w:t>＞</w:t>
      </w:r>
      <w:r>
        <w:rPr>
          <w:rFonts w:ascii="Calibri" w:hAnsi="Calibri" w:eastAsia="Calibri"/>
        </w:rPr>
        <w:t>3min)</w:t>
      </w:r>
      <w:r>
        <w:rPr>
          <w:spacing w:val="-65"/>
        </w:rPr>
        <w:t>。</w:t>
      </w:r>
      <w:r>
        <w:rPr>
          <w:rFonts w:ascii="Calibri" w:hAnsi="Calibri" w:eastAsia="Calibri"/>
        </w:rPr>
        <w:t>OH </w:t>
      </w:r>
      <w:r>
        <w:rPr/>
        <w:t>常见的临床症状为疲乏、</w:t>
      </w:r>
    </w:p>
    <w:p>
      <w:pPr>
        <w:spacing w:after="0" w:line="297" w:lineRule="auto"/>
        <w:sectPr>
          <w:type w:val="continuous"/>
          <w:pgSz w:w="11910" w:h="16850"/>
          <w:pgMar w:top="1080" w:bottom="1020" w:left="1040" w:right="880"/>
        </w:sectPr>
      </w:pPr>
    </w:p>
    <w:p>
      <w:pPr>
        <w:pStyle w:val="BodyText"/>
        <w:spacing w:line="295" w:lineRule="auto" w:before="65"/>
        <w:ind w:right="248"/>
        <w:jc w:val="both"/>
      </w:pPr>
      <w:r>
        <w:rPr>
          <w:spacing w:val="-12"/>
        </w:rPr>
        <w:t>头晕、黑矇、目眩、晕厥、跌倒、恶心、视物模糊、苍白、冷汗等，不常见的临床表现为颈</w:t>
      </w:r>
      <w:r>
        <w:rPr/>
        <w:t>部及肩背部疼痛、衰弱等，严重者可致卧床不起。</w:t>
      </w:r>
      <w:r>
        <w:rPr>
          <w:rFonts w:ascii="Calibri" w:eastAsia="Calibri"/>
        </w:rPr>
        <w:t>OH </w:t>
      </w:r>
      <w:r>
        <w:rPr/>
        <w:t>可增加心血管死亡、全因死亡、冠心病事件、心力衰竭、卒中、反复跌倒及衰弱的风险。</w:t>
      </w:r>
    </w:p>
    <w:p>
      <w:pPr>
        <w:pStyle w:val="Heading3"/>
        <w:spacing w:before="5"/>
        <w:ind w:left="705"/>
        <w:rPr>
          <w:rFonts w:ascii="宋体" w:eastAsia="宋体" w:hint="eastAsia"/>
        </w:rPr>
      </w:pPr>
      <w:r>
        <w:rPr>
          <w:rFonts w:ascii="Calibri" w:eastAsia="Calibri"/>
        </w:rPr>
        <w:t>1.</w:t>
      </w:r>
      <w:r>
        <w:rPr>
          <w:rFonts w:ascii="宋体" w:eastAsia="宋体" w:hint="eastAsia"/>
        </w:rPr>
        <w:t>治疗体位性低血压</w:t>
      </w:r>
      <w:r>
        <w:rPr>
          <w:rFonts w:ascii="Calibri" w:eastAsia="Calibri"/>
        </w:rPr>
        <w:t>/</w:t>
      </w:r>
      <w:r>
        <w:rPr>
          <w:rFonts w:ascii="宋体" w:eastAsia="宋体" w:hint="eastAsia"/>
        </w:rPr>
        <w:t>直立性低血压的药物</w:t>
      </w:r>
    </w:p>
    <w:p>
      <w:pPr>
        <w:pStyle w:val="BodyText"/>
        <w:spacing w:line="295" w:lineRule="auto" w:before="72"/>
        <w:ind w:right="269" w:firstLine="468"/>
      </w:pPr>
      <w:r>
        <w:rPr/>
        <w:pict>
          <v:shape style="position:absolute;margin-left:60.119999pt;margin-top:38.399990pt;width:482.65pt;height:330.65pt;mso-position-horizontal-relative:page;mso-position-vertical-relative:paragraph;z-index:10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6"/>
                    <w:gridCol w:w="1921"/>
                    <w:gridCol w:w="5512"/>
                  </w:tblGrid>
                  <w:tr>
                    <w:trPr>
                      <w:trHeight w:val="311" w:hRule="atLeast"/>
                    </w:trPr>
                    <w:tc>
                      <w:tcPr>
                        <w:tcW w:w="2206" w:type="dxa"/>
                        <w:shd w:val="clear" w:color="auto" w:fill="DAEDF3"/>
                      </w:tcPr>
                      <w:p>
                        <w:pPr>
                          <w:pStyle w:val="TableParagraph"/>
                          <w:spacing w:before="53"/>
                          <w:ind w:left="69"/>
                          <w:rPr>
                            <w:b/>
                            <w:sz w:val="16"/>
                          </w:rPr>
                        </w:pPr>
                        <w:r>
                          <w:rPr>
                            <w:b/>
                            <w:sz w:val="16"/>
                          </w:rPr>
                          <w:t>类别</w:t>
                        </w:r>
                      </w:p>
                    </w:tc>
                    <w:tc>
                      <w:tcPr>
                        <w:tcW w:w="1921" w:type="dxa"/>
                        <w:shd w:val="clear" w:color="auto" w:fill="DAEDF3"/>
                      </w:tcPr>
                      <w:p>
                        <w:pPr>
                          <w:pStyle w:val="TableParagraph"/>
                          <w:spacing w:before="53"/>
                          <w:ind w:left="69"/>
                          <w:rPr>
                            <w:b/>
                            <w:sz w:val="16"/>
                          </w:rPr>
                        </w:pPr>
                        <w:r>
                          <w:rPr>
                            <w:b/>
                            <w:sz w:val="16"/>
                          </w:rPr>
                          <w:t>药物</w:t>
                        </w:r>
                      </w:p>
                    </w:tc>
                    <w:tc>
                      <w:tcPr>
                        <w:tcW w:w="5512" w:type="dxa"/>
                        <w:shd w:val="clear" w:color="auto" w:fill="DAEDF3"/>
                      </w:tcPr>
                      <w:p>
                        <w:pPr>
                          <w:pStyle w:val="TableParagraph"/>
                          <w:spacing w:before="53"/>
                          <w:ind w:left="66"/>
                          <w:rPr>
                            <w:b/>
                            <w:sz w:val="16"/>
                          </w:rPr>
                        </w:pPr>
                        <w:r>
                          <w:rPr>
                            <w:b/>
                            <w:sz w:val="16"/>
                          </w:rPr>
                          <w:t>注意事项</w:t>
                        </w:r>
                      </w:p>
                    </w:tc>
                  </w:tr>
                  <w:tr>
                    <w:trPr>
                      <w:trHeight w:val="2184" w:hRule="atLeast"/>
                    </w:trPr>
                    <w:tc>
                      <w:tcPr>
                        <w:tcW w:w="2206" w:type="dxa"/>
                      </w:tcPr>
                      <w:p>
                        <w:pPr>
                          <w:pStyle w:val="TableParagraph"/>
                          <w:spacing w:before="53"/>
                          <w:ind w:left="69"/>
                          <w:rPr>
                            <w:sz w:val="16"/>
                          </w:rPr>
                        </w:pPr>
                        <w:r>
                          <w:rPr>
                            <w:rFonts w:ascii="Arial" w:hAnsi="Arial" w:eastAsia="Arial"/>
                            <w:sz w:val="16"/>
                          </w:rPr>
                          <w:t>α </w:t>
                        </w:r>
                        <w:r>
                          <w:rPr>
                            <w:sz w:val="16"/>
                          </w:rPr>
                          <w:t>受体激动剂</w:t>
                        </w:r>
                      </w:p>
                    </w:tc>
                    <w:tc>
                      <w:tcPr>
                        <w:tcW w:w="1921" w:type="dxa"/>
                      </w:tcPr>
                      <w:p>
                        <w:pPr>
                          <w:pStyle w:val="TableParagraph"/>
                          <w:spacing w:before="53"/>
                          <w:ind w:left="69"/>
                          <w:rPr>
                            <w:sz w:val="16"/>
                          </w:rPr>
                        </w:pPr>
                        <w:r>
                          <w:rPr>
                            <w:sz w:val="16"/>
                          </w:rPr>
                          <w:t>米多君</w:t>
                        </w:r>
                      </w:p>
                    </w:tc>
                    <w:tc>
                      <w:tcPr>
                        <w:tcW w:w="5512" w:type="dxa"/>
                      </w:tcPr>
                      <w:p>
                        <w:pPr>
                          <w:pStyle w:val="TableParagraph"/>
                          <w:spacing w:line="364" w:lineRule="auto" w:before="53"/>
                          <w:ind w:left="66" w:right="56"/>
                          <w:jc w:val="both"/>
                          <w:rPr>
                            <w:sz w:val="16"/>
                          </w:rPr>
                        </w:pPr>
                        <w:r>
                          <w:rPr>
                            <w:spacing w:val="-9"/>
                            <w:sz w:val="16"/>
                          </w:rPr>
                          <w:t>①米多君为前体药，是短效类，其代谢产物脱甘氨酸米多君是一种 </w:t>
                        </w:r>
                        <w:r>
                          <w:rPr>
                            <w:rFonts w:ascii="Arial" w:hAnsi="Arial" w:eastAsia="Arial"/>
                            <w:sz w:val="16"/>
                          </w:rPr>
                          <w:t>α </w:t>
                        </w:r>
                        <w:r>
                          <w:rPr>
                            <w:sz w:val="16"/>
                          </w:rPr>
                          <w:t>1</w:t>
                        </w:r>
                        <w:r>
                          <w:rPr>
                            <w:spacing w:val="-9"/>
                            <w:sz w:val="16"/>
                          </w:rPr>
                          <w:t> 受体激</w:t>
                        </w:r>
                        <w:r>
                          <w:rPr>
                            <w:spacing w:val="-11"/>
                            <w:sz w:val="16"/>
                          </w:rPr>
                          <w:t>动剂，可使动静脉收缩，进而增加血管阻力使血压升高，可用于治疗体位性低</w:t>
                        </w:r>
                        <w:r>
                          <w:rPr>
                            <w:sz w:val="16"/>
                          </w:rPr>
                          <w:t>血压。</w:t>
                        </w:r>
                      </w:p>
                      <w:p>
                        <w:pPr>
                          <w:pStyle w:val="TableParagraph"/>
                          <w:spacing w:before="2"/>
                          <w:ind w:left="66"/>
                          <w:rPr>
                            <w:sz w:val="16"/>
                          </w:rPr>
                        </w:pPr>
                        <w:r>
                          <w:rPr>
                            <w:sz w:val="16"/>
                          </w:rPr>
                          <w:t>②不良反应为紫癜、头晕、头皮瘙痒、尿潴留及卧位高血压等。</w:t>
                        </w:r>
                      </w:p>
                      <w:p>
                        <w:pPr>
                          <w:pStyle w:val="TableParagraph"/>
                          <w:spacing w:line="364" w:lineRule="auto" w:before="107"/>
                          <w:ind w:left="66" w:right="58"/>
                          <w:jc w:val="both"/>
                          <w:rPr>
                            <w:sz w:val="16"/>
                          </w:rPr>
                        </w:pPr>
                        <w:r>
                          <w:rPr>
                            <w:spacing w:val="-6"/>
                            <w:sz w:val="16"/>
                          </w:rPr>
                          <w:t>③该药的药效持续时间为 </w:t>
                        </w:r>
                        <w:r>
                          <w:rPr>
                            <w:sz w:val="16"/>
                          </w:rPr>
                          <w:t>4h</w:t>
                        </w:r>
                        <w:r>
                          <w:rPr>
                            <w:spacing w:val="-12"/>
                            <w:sz w:val="16"/>
                          </w:rPr>
                          <w:t> 左右，避免在入睡前 </w:t>
                        </w:r>
                        <w:r>
                          <w:rPr>
                            <w:sz w:val="16"/>
                          </w:rPr>
                          <w:t>4-5h</w:t>
                        </w:r>
                        <w:r>
                          <w:rPr>
                            <w:spacing w:val="-9"/>
                            <w:sz w:val="16"/>
                          </w:rPr>
                          <w:t> 内给药，因可引起卧位高血压。</w:t>
                        </w:r>
                      </w:p>
                      <w:p>
                        <w:pPr>
                          <w:pStyle w:val="TableParagraph"/>
                          <w:spacing w:before="1"/>
                          <w:ind w:left="66"/>
                          <w:jc w:val="both"/>
                          <w:rPr>
                            <w:sz w:val="16"/>
                          </w:rPr>
                        </w:pPr>
                        <w:r>
                          <w:rPr>
                            <w:sz w:val="16"/>
                          </w:rPr>
                          <w:t>④充血性心力衰竭和慢性肾功能衰竭者慎用。</w:t>
                        </w:r>
                      </w:p>
                    </w:tc>
                  </w:tr>
                  <w:tr>
                    <w:trPr>
                      <w:trHeight w:val="1871" w:hRule="atLeast"/>
                    </w:trPr>
                    <w:tc>
                      <w:tcPr>
                        <w:tcW w:w="2206" w:type="dxa"/>
                      </w:tcPr>
                      <w:p>
                        <w:pPr>
                          <w:pStyle w:val="TableParagraph"/>
                          <w:spacing w:line="364" w:lineRule="auto" w:before="53"/>
                          <w:ind w:left="69" w:right="201"/>
                          <w:rPr>
                            <w:sz w:val="16"/>
                          </w:rPr>
                        </w:pPr>
                        <w:r>
                          <w:rPr>
                            <w:sz w:val="16"/>
                          </w:rPr>
                          <w:t>发挥肾上盐皮质激素受体作用</w:t>
                        </w:r>
                      </w:p>
                    </w:tc>
                    <w:tc>
                      <w:tcPr>
                        <w:tcW w:w="1921" w:type="dxa"/>
                      </w:tcPr>
                      <w:p>
                        <w:pPr>
                          <w:pStyle w:val="TableParagraph"/>
                          <w:spacing w:before="53"/>
                          <w:ind w:left="69"/>
                          <w:rPr>
                            <w:sz w:val="16"/>
                          </w:rPr>
                        </w:pPr>
                        <w:r>
                          <w:rPr>
                            <w:sz w:val="16"/>
                          </w:rPr>
                          <w:t>氟氢可的松</w:t>
                        </w:r>
                      </w:p>
                    </w:tc>
                    <w:tc>
                      <w:tcPr>
                        <w:tcW w:w="5512" w:type="dxa"/>
                      </w:tcPr>
                      <w:p>
                        <w:pPr>
                          <w:pStyle w:val="TableParagraph"/>
                          <w:spacing w:line="364" w:lineRule="auto" w:before="53"/>
                          <w:ind w:left="66" w:right="57"/>
                          <w:jc w:val="both"/>
                          <w:rPr>
                            <w:sz w:val="16"/>
                          </w:rPr>
                        </w:pPr>
                        <w:r>
                          <w:rPr>
                            <w:spacing w:val="-8"/>
                            <w:sz w:val="16"/>
                          </w:rPr>
                          <w:t>①氟氢可的松可提高肾脏对钠的重吸收，增加血容量；长期效应与增加小动脉</w:t>
                        </w:r>
                        <w:r>
                          <w:rPr>
                            <w:spacing w:val="-7"/>
                            <w:sz w:val="16"/>
                          </w:rPr>
                          <w:t>对儿茶酚胺及血管紧张素的敏感性及具有中枢肾上腺能作用有关，改善外周阻</w:t>
                        </w:r>
                        <w:r>
                          <w:rPr>
                            <w:spacing w:val="-1"/>
                            <w:sz w:val="16"/>
                          </w:rPr>
                          <w:t>力并维持血压。</w:t>
                        </w:r>
                      </w:p>
                      <w:p>
                        <w:pPr>
                          <w:pStyle w:val="TableParagraph"/>
                          <w:spacing w:line="364" w:lineRule="auto" w:before="1"/>
                          <w:ind w:left="66" w:right="57"/>
                          <w:jc w:val="both"/>
                          <w:rPr>
                            <w:sz w:val="16"/>
                          </w:rPr>
                        </w:pPr>
                        <w:r>
                          <w:rPr>
                            <w:spacing w:val="-9"/>
                            <w:sz w:val="16"/>
                          </w:rPr>
                          <w:t>②不良反应为水钠潴留、水肿、卧位高血压、低钾血症、头痛等，严重者可发</w:t>
                        </w:r>
                        <w:r>
                          <w:rPr>
                            <w:spacing w:val="-2"/>
                            <w:sz w:val="16"/>
                          </w:rPr>
                          <w:t>生肾上腺功能抑制。</w:t>
                        </w:r>
                      </w:p>
                      <w:p>
                        <w:pPr>
                          <w:pStyle w:val="TableParagraph"/>
                          <w:spacing w:before="1"/>
                          <w:ind w:left="66"/>
                          <w:jc w:val="both"/>
                          <w:rPr>
                            <w:sz w:val="16"/>
                          </w:rPr>
                        </w:pPr>
                        <w:r>
                          <w:rPr>
                            <w:sz w:val="16"/>
                          </w:rPr>
                          <w:t>③禁用于心力衰竭、肾功能衰竭、严重高血压者。</w:t>
                        </w:r>
                      </w:p>
                    </w:tc>
                  </w:tr>
                  <w:tr>
                    <w:trPr>
                      <w:trHeight w:val="1871" w:hRule="atLeast"/>
                    </w:trPr>
                    <w:tc>
                      <w:tcPr>
                        <w:tcW w:w="2206" w:type="dxa"/>
                      </w:tcPr>
                      <w:p>
                        <w:pPr>
                          <w:pStyle w:val="TableParagraph"/>
                          <w:spacing w:before="53"/>
                          <w:ind w:left="69"/>
                          <w:rPr>
                            <w:sz w:val="16"/>
                          </w:rPr>
                        </w:pPr>
                        <w:r>
                          <w:rPr>
                            <w:sz w:val="16"/>
                          </w:rPr>
                          <w:t>去甲肾上腺素前体药物</w:t>
                        </w:r>
                      </w:p>
                    </w:tc>
                    <w:tc>
                      <w:tcPr>
                        <w:tcW w:w="1921" w:type="dxa"/>
                      </w:tcPr>
                      <w:p>
                        <w:pPr>
                          <w:pStyle w:val="TableParagraph"/>
                          <w:spacing w:before="53"/>
                          <w:ind w:left="69"/>
                          <w:rPr>
                            <w:sz w:val="16"/>
                          </w:rPr>
                        </w:pPr>
                        <w:r>
                          <w:rPr>
                            <w:sz w:val="16"/>
                          </w:rPr>
                          <w:t>屈昔多巴</w:t>
                        </w:r>
                      </w:p>
                    </w:tc>
                    <w:tc>
                      <w:tcPr>
                        <w:tcW w:w="5512" w:type="dxa"/>
                      </w:tcPr>
                      <w:p>
                        <w:pPr>
                          <w:pStyle w:val="TableParagraph"/>
                          <w:spacing w:line="364" w:lineRule="auto" w:before="53"/>
                          <w:ind w:left="66" w:right="57"/>
                          <w:jc w:val="both"/>
                          <w:rPr>
                            <w:sz w:val="16"/>
                          </w:rPr>
                        </w:pPr>
                        <w:r>
                          <w:rPr>
                            <w:spacing w:val="-6"/>
                            <w:sz w:val="16"/>
                          </w:rPr>
                          <w:t>①屈昔多巴为去甲肾上腺素前体药，在中枢神经系统和外周组织中</w:t>
                        </w:r>
                        <w:r>
                          <w:rPr>
                            <w:spacing w:val="-3"/>
                            <w:sz w:val="16"/>
                          </w:rPr>
                          <w:t>（包括交感</w:t>
                        </w:r>
                        <w:r>
                          <w:rPr>
                            <w:spacing w:val="-2"/>
                            <w:sz w:val="16"/>
                          </w:rPr>
                          <w:t>外周神经末梢</w:t>
                        </w:r>
                        <w:r>
                          <w:rPr>
                            <w:spacing w:val="-22"/>
                            <w:sz w:val="16"/>
                          </w:rPr>
                          <w:t>）</w:t>
                        </w:r>
                        <w:r>
                          <w:rPr>
                            <w:spacing w:val="-8"/>
                            <w:sz w:val="16"/>
                          </w:rPr>
                          <w:t>转化为去甲肾上腺素。目前认为，其改善体位性低血压的主要</w:t>
                        </w:r>
                        <w:r>
                          <w:rPr>
                            <w:spacing w:val="-3"/>
                            <w:sz w:val="16"/>
                          </w:rPr>
                          <w:t>机制是补充神经系统中的去甲肾上腺素。</w:t>
                        </w:r>
                      </w:p>
                      <w:p>
                        <w:pPr>
                          <w:pStyle w:val="TableParagraph"/>
                          <w:spacing w:before="1"/>
                          <w:ind w:left="66"/>
                          <w:jc w:val="both"/>
                          <w:rPr>
                            <w:sz w:val="16"/>
                          </w:rPr>
                        </w:pPr>
                        <w:r>
                          <w:rPr>
                            <w:sz w:val="16"/>
                          </w:rPr>
                          <w:t>②不良反应为卧位高血压、头痛、头晕、疲乏及恶心等。</w:t>
                        </w:r>
                      </w:p>
                      <w:p>
                        <w:pPr>
                          <w:pStyle w:val="TableParagraph"/>
                          <w:spacing w:before="107"/>
                          <w:ind w:left="66"/>
                          <w:jc w:val="both"/>
                          <w:rPr>
                            <w:sz w:val="16"/>
                          </w:rPr>
                        </w:pPr>
                        <w:r>
                          <w:rPr>
                            <w:sz w:val="16"/>
                          </w:rPr>
                          <w:t>③为避免卧位高血压，不建议睡前 5h 内服用。</w:t>
                        </w:r>
                      </w:p>
                      <w:p>
                        <w:pPr>
                          <w:pStyle w:val="TableParagraph"/>
                          <w:spacing w:before="107"/>
                          <w:ind w:left="66"/>
                          <w:jc w:val="both"/>
                          <w:rPr>
                            <w:sz w:val="16"/>
                          </w:rPr>
                        </w:pPr>
                        <w:r>
                          <w:rPr>
                            <w:sz w:val="16"/>
                          </w:rPr>
                          <w:t>④充血性心力衰竭或慢性肾功能衰竭者需慎用。</w:t>
                        </w:r>
                      </w:p>
                    </w:tc>
                  </w:tr>
                  <w:tr>
                    <w:trPr>
                      <w:trHeight w:val="313" w:hRule="atLeast"/>
                    </w:trPr>
                    <w:tc>
                      <w:tcPr>
                        <w:tcW w:w="4127" w:type="dxa"/>
                        <w:gridSpan w:val="2"/>
                      </w:tcPr>
                      <w:p>
                        <w:pPr>
                          <w:pStyle w:val="TableParagraph"/>
                          <w:spacing w:before="55"/>
                          <w:ind w:left="69"/>
                          <w:rPr>
                            <w:sz w:val="16"/>
                          </w:rPr>
                        </w:pPr>
                        <w:r>
                          <w:rPr>
                            <w:sz w:val="16"/>
                          </w:rPr>
                          <w:t>红细胞生成素</w:t>
                        </w:r>
                      </w:p>
                    </w:tc>
                    <w:tc>
                      <w:tcPr>
                        <w:tcW w:w="5512" w:type="dxa"/>
                      </w:tcPr>
                      <w:p>
                        <w:pPr>
                          <w:pStyle w:val="TableParagraph"/>
                          <w:spacing w:before="55"/>
                          <w:ind w:left="66"/>
                          <w:rPr>
                            <w:sz w:val="16"/>
                          </w:rPr>
                        </w:pPr>
                        <w:r>
                          <w:rPr>
                            <w:sz w:val="16"/>
                          </w:rPr>
                          <w:t>有助于治疗与贫血有关的体位性低血压。</w:t>
                        </w:r>
                      </w:p>
                    </w:tc>
                  </w:tr>
                </w:tbl>
                <w:p>
                  <w:pPr>
                    <w:pStyle w:val="BodyText"/>
                    <w:ind w:left="0"/>
                  </w:pPr>
                </w:p>
              </w:txbxContent>
            </v:textbox>
            <w10:wrap type="none"/>
          </v:shape>
        </w:pict>
      </w:r>
      <w:r>
        <w:rPr>
          <w:rFonts w:ascii="Calibri" w:eastAsia="Calibri"/>
        </w:rPr>
        <w:t>OH </w:t>
      </w:r>
      <w:r>
        <w:rPr/>
        <w:t>治疗药物主要是米多君、氟氢可的松、屈昔多巴、红细胞生成素等，其他还有吡啶斯的明、多潘立酮、奥曲肽、育亨宾等。</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line="295" w:lineRule="auto" w:before="160"/>
        <w:ind w:right="247" w:firstLine="468"/>
      </w:pPr>
      <w:r>
        <w:rPr>
          <w:spacing w:val="-8"/>
        </w:rPr>
        <w:t>可能导致或加重 </w:t>
      </w:r>
      <w:r>
        <w:rPr>
          <w:rFonts w:ascii="Calibri" w:eastAsia="Calibri"/>
        </w:rPr>
        <w:t>OH </w:t>
      </w:r>
      <w:r>
        <w:rPr>
          <w:spacing w:val="-5"/>
        </w:rPr>
        <w:t>症状的药物有降压药、硝酸酯类、抗抑郁药、拟多巴胺药、抗精神</w:t>
      </w:r>
      <w:r>
        <w:rPr/>
        <w:t>病药、磷酸二酯酶</w:t>
      </w:r>
      <w:r>
        <w:rPr>
          <w:rFonts w:ascii="Calibri" w:eastAsia="Calibri"/>
        </w:rPr>
        <w:t>-5 </w:t>
      </w:r>
      <w:r>
        <w:rPr>
          <w:spacing w:val="-2"/>
        </w:rPr>
        <w:t>抑制剂等。</w:t>
      </w:r>
    </w:p>
    <w:p>
      <w:pPr>
        <w:pStyle w:val="BodyText"/>
        <w:spacing w:before="11" w:after="1"/>
        <w:ind w:left="0"/>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3"/>
        <w:gridCol w:w="6152"/>
      </w:tblGrid>
      <w:tr>
        <w:trPr>
          <w:trHeight w:val="311" w:hRule="atLeast"/>
        </w:trPr>
        <w:tc>
          <w:tcPr>
            <w:tcW w:w="3243" w:type="dxa"/>
            <w:shd w:val="clear" w:color="auto" w:fill="8DB3E1"/>
          </w:tcPr>
          <w:p>
            <w:pPr>
              <w:pStyle w:val="TableParagraph"/>
              <w:spacing w:before="53"/>
              <w:ind w:left="69"/>
              <w:rPr>
                <w:b/>
                <w:sz w:val="16"/>
              </w:rPr>
            </w:pPr>
            <w:r>
              <w:rPr>
                <w:b/>
                <w:sz w:val="16"/>
              </w:rPr>
              <w:t>分类</w:t>
            </w:r>
          </w:p>
        </w:tc>
        <w:tc>
          <w:tcPr>
            <w:tcW w:w="6152" w:type="dxa"/>
            <w:shd w:val="clear" w:color="auto" w:fill="8DB3E1"/>
          </w:tcPr>
          <w:p>
            <w:pPr>
              <w:pStyle w:val="TableParagraph"/>
              <w:spacing w:before="53"/>
              <w:ind w:left="69"/>
              <w:rPr>
                <w:b/>
                <w:sz w:val="16"/>
              </w:rPr>
            </w:pPr>
            <w:r>
              <w:rPr>
                <w:b/>
                <w:sz w:val="16"/>
              </w:rPr>
              <w:t>常见药物</w:t>
            </w:r>
          </w:p>
        </w:tc>
      </w:tr>
      <w:tr>
        <w:trPr>
          <w:trHeight w:val="311" w:hRule="atLeast"/>
        </w:trPr>
        <w:tc>
          <w:tcPr>
            <w:tcW w:w="3243" w:type="dxa"/>
          </w:tcPr>
          <w:p>
            <w:pPr>
              <w:pStyle w:val="TableParagraph"/>
              <w:spacing w:before="53"/>
              <w:ind w:left="69"/>
              <w:rPr>
                <w:sz w:val="16"/>
              </w:rPr>
            </w:pPr>
            <w:r>
              <w:rPr>
                <w:rFonts w:ascii="Arial" w:hAnsi="Arial" w:eastAsia="Arial"/>
                <w:sz w:val="16"/>
              </w:rPr>
              <w:t>α </w:t>
            </w:r>
            <w:r>
              <w:rPr>
                <w:sz w:val="16"/>
              </w:rPr>
              <w:t>-肾上腺素能拮抗剂</w:t>
            </w:r>
          </w:p>
        </w:tc>
        <w:tc>
          <w:tcPr>
            <w:tcW w:w="6152" w:type="dxa"/>
          </w:tcPr>
          <w:p>
            <w:pPr>
              <w:pStyle w:val="TableParagraph"/>
              <w:spacing w:before="53"/>
              <w:ind w:left="69"/>
              <w:rPr>
                <w:sz w:val="16"/>
              </w:rPr>
            </w:pPr>
            <w:r>
              <w:rPr>
                <w:sz w:val="16"/>
              </w:rPr>
              <w:t>阿夫唑嗪、多沙唑嗪、哌唑嗪、特拉唑嗪、坦索罗辛</w:t>
            </w:r>
          </w:p>
        </w:tc>
      </w:tr>
      <w:tr>
        <w:trPr>
          <w:trHeight w:val="311" w:hRule="atLeast"/>
        </w:trPr>
        <w:tc>
          <w:tcPr>
            <w:tcW w:w="3243" w:type="dxa"/>
          </w:tcPr>
          <w:p>
            <w:pPr>
              <w:pStyle w:val="TableParagraph"/>
              <w:spacing w:before="53"/>
              <w:ind w:left="69"/>
              <w:rPr>
                <w:sz w:val="16"/>
              </w:rPr>
            </w:pPr>
            <w:r>
              <w:rPr>
                <w:sz w:val="16"/>
              </w:rPr>
              <w:t>二氢吡啶钙通道阻滞剂</w:t>
            </w:r>
          </w:p>
        </w:tc>
        <w:tc>
          <w:tcPr>
            <w:tcW w:w="6152" w:type="dxa"/>
          </w:tcPr>
          <w:p>
            <w:pPr>
              <w:pStyle w:val="TableParagraph"/>
              <w:spacing w:before="53"/>
              <w:ind w:left="69"/>
              <w:rPr>
                <w:sz w:val="16"/>
              </w:rPr>
            </w:pPr>
            <w:r>
              <w:rPr>
                <w:sz w:val="16"/>
              </w:rPr>
              <w:t>氨氯地平、硝苯地平、尼卡地平</w:t>
            </w:r>
          </w:p>
        </w:tc>
      </w:tr>
      <w:tr>
        <w:trPr>
          <w:trHeight w:val="311" w:hRule="atLeast"/>
        </w:trPr>
        <w:tc>
          <w:tcPr>
            <w:tcW w:w="3243" w:type="dxa"/>
          </w:tcPr>
          <w:p>
            <w:pPr>
              <w:pStyle w:val="TableParagraph"/>
              <w:spacing w:before="53"/>
              <w:ind w:left="69"/>
              <w:rPr>
                <w:sz w:val="16"/>
              </w:rPr>
            </w:pPr>
            <w:r>
              <w:rPr>
                <w:sz w:val="16"/>
              </w:rPr>
              <w:t>非二氢吡啶钙通道阻滞剂</w:t>
            </w:r>
          </w:p>
        </w:tc>
        <w:tc>
          <w:tcPr>
            <w:tcW w:w="6152" w:type="dxa"/>
          </w:tcPr>
          <w:p>
            <w:pPr>
              <w:pStyle w:val="TableParagraph"/>
              <w:spacing w:before="53"/>
              <w:ind w:left="69"/>
              <w:rPr>
                <w:sz w:val="16"/>
              </w:rPr>
            </w:pPr>
            <w:r>
              <w:rPr>
                <w:sz w:val="16"/>
              </w:rPr>
              <w:t>维拉帕米、地尔硫䓬</w:t>
            </w:r>
          </w:p>
        </w:tc>
      </w:tr>
      <w:tr>
        <w:trPr>
          <w:trHeight w:val="313" w:hRule="atLeast"/>
        </w:trPr>
        <w:tc>
          <w:tcPr>
            <w:tcW w:w="3243" w:type="dxa"/>
          </w:tcPr>
          <w:p>
            <w:pPr>
              <w:pStyle w:val="TableParagraph"/>
              <w:spacing w:before="55"/>
              <w:ind w:left="69"/>
              <w:rPr>
                <w:sz w:val="16"/>
              </w:rPr>
            </w:pPr>
            <w:r>
              <w:rPr>
                <w:sz w:val="16"/>
              </w:rPr>
              <w:t>利尿药</w:t>
            </w:r>
          </w:p>
        </w:tc>
        <w:tc>
          <w:tcPr>
            <w:tcW w:w="6152" w:type="dxa"/>
          </w:tcPr>
          <w:p>
            <w:pPr>
              <w:pStyle w:val="TableParagraph"/>
              <w:spacing w:before="55"/>
              <w:ind w:left="69"/>
              <w:rPr>
                <w:sz w:val="16"/>
              </w:rPr>
            </w:pPr>
            <w:r>
              <w:rPr>
                <w:sz w:val="16"/>
              </w:rPr>
              <w:t>呋塞米、托拉塞米、乙酰唑胺、氢氯噻嗪、螺内酯</w:t>
            </w:r>
          </w:p>
        </w:tc>
      </w:tr>
      <w:tr>
        <w:trPr>
          <w:trHeight w:val="311" w:hRule="atLeast"/>
        </w:trPr>
        <w:tc>
          <w:tcPr>
            <w:tcW w:w="3243" w:type="dxa"/>
          </w:tcPr>
          <w:p>
            <w:pPr>
              <w:pStyle w:val="TableParagraph"/>
              <w:spacing w:before="53"/>
              <w:ind w:left="69"/>
              <w:rPr>
                <w:sz w:val="16"/>
              </w:rPr>
            </w:pPr>
            <w:r>
              <w:rPr>
                <w:rFonts w:ascii="Arial" w:hAnsi="Arial" w:eastAsia="Arial"/>
                <w:sz w:val="16"/>
              </w:rPr>
              <w:t>β </w:t>
            </w:r>
            <w:r>
              <w:rPr>
                <w:sz w:val="16"/>
              </w:rPr>
              <w:t>-肾上腺素能阻滞剂</w:t>
            </w:r>
          </w:p>
        </w:tc>
        <w:tc>
          <w:tcPr>
            <w:tcW w:w="6152" w:type="dxa"/>
          </w:tcPr>
          <w:p>
            <w:pPr>
              <w:pStyle w:val="TableParagraph"/>
              <w:spacing w:before="53"/>
              <w:ind w:left="69"/>
              <w:rPr>
                <w:sz w:val="16"/>
              </w:rPr>
            </w:pPr>
            <w:r>
              <w:rPr>
                <w:sz w:val="16"/>
              </w:rPr>
              <w:t>普萘洛尔、美托洛尔、阿替洛尔、比索洛尔、奈比洛尔、卡维地洛、拉贝洛尔</w:t>
            </w:r>
          </w:p>
        </w:tc>
      </w:tr>
      <w:tr>
        <w:trPr>
          <w:trHeight w:val="311" w:hRule="atLeast"/>
        </w:trPr>
        <w:tc>
          <w:tcPr>
            <w:tcW w:w="3243" w:type="dxa"/>
          </w:tcPr>
          <w:p>
            <w:pPr>
              <w:pStyle w:val="TableParagraph"/>
              <w:spacing w:before="53"/>
              <w:ind w:left="69"/>
              <w:rPr>
                <w:sz w:val="16"/>
              </w:rPr>
            </w:pPr>
            <w:r>
              <w:rPr>
                <w:sz w:val="16"/>
              </w:rPr>
              <w:t>血管紧张素转化酶抑制剂</w:t>
            </w:r>
          </w:p>
        </w:tc>
        <w:tc>
          <w:tcPr>
            <w:tcW w:w="6152" w:type="dxa"/>
          </w:tcPr>
          <w:p>
            <w:pPr>
              <w:pStyle w:val="TableParagraph"/>
              <w:spacing w:before="53"/>
              <w:ind w:left="69"/>
              <w:rPr>
                <w:sz w:val="16"/>
              </w:rPr>
            </w:pPr>
            <w:r>
              <w:rPr>
                <w:sz w:val="16"/>
              </w:rPr>
              <w:t>卡托普利、依那普利、培哚普利</w:t>
            </w:r>
          </w:p>
        </w:tc>
      </w:tr>
      <w:tr>
        <w:trPr>
          <w:trHeight w:val="311" w:hRule="atLeast"/>
        </w:trPr>
        <w:tc>
          <w:tcPr>
            <w:tcW w:w="3243" w:type="dxa"/>
          </w:tcPr>
          <w:p>
            <w:pPr>
              <w:pStyle w:val="TableParagraph"/>
              <w:spacing w:before="53"/>
              <w:ind w:left="69"/>
              <w:rPr>
                <w:sz w:val="16"/>
              </w:rPr>
            </w:pPr>
            <w:r>
              <w:rPr>
                <w:sz w:val="16"/>
              </w:rPr>
              <w:t>血管紧张素 II 受体拮抗剂</w:t>
            </w:r>
          </w:p>
        </w:tc>
        <w:tc>
          <w:tcPr>
            <w:tcW w:w="6152" w:type="dxa"/>
          </w:tcPr>
          <w:p>
            <w:pPr>
              <w:pStyle w:val="TableParagraph"/>
              <w:spacing w:before="53"/>
              <w:ind w:left="69"/>
              <w:rPr>
                <w:sz w:val="16"/>
              </w:rPr>
            </w:pPr>
            <w:r>
              <w:rPr>
                <w:sz w:val="16"/>
              </w:rPr>
              <w:t>氯沙坦、替米沙坦、坎地沙坦</w:t>
            </w:r>
          </w:p>
        </w:tc>
      </w:tr>
      <w:tr>
        <w:trPr>
          <w:trHeight w:val="311" w:hRule="atLeast"/>
        </w:trPr>
        <w:tc>
          <w:tcPr>
            <w:tcW w:w="3243" w:type="dxa"/>
          </w:tcPr>
          <w:p>
            <w:pPr>
              <w:pStyle w:val="TableParagraph"/>
              <w:spacing w:before="53"/>
              <w:ind w:left="69"/>
              <w:rPr>
                <w:sz w:val="16"/>
              </w:rPr>
            </w:pPr>
            <w:r>
              <w:rPr>
                <w:sz w:val="16"/>
              </w:rPr>
              <w:t>血管扩张剂</w:t>
            </w:r>
          </w:p>
        </w:tc>
        <w:tc>
          <w:tcPr>
            <w:tcW w:w="6152" w:type="dxa"/>
          </w:tcPr>
          <w:p>
            <w:pPr>
              <w:pStyle w:val="TableParagraph"/>
              <w:spacing w:before="53"/>
              <w:ind w:left="69"/>
              <w:rPr>
                <w:sz w:val="16"/>
              </w:rPr>
            </w:pPr>
            <w:r>
              <w:rPr>
                <w:sz w:val="16"/>
              </w:rPr>
              <w:t>肼屈嗪、米诺地尔、硝普钠</w:t>
            </w:r>
          </w:p>
        </w:tc>
      </w:tr>
      <w:tr>
        <w:trPr>
          <w:trHeight w:val="311" w:hRule="atLeast"/>
        </w:trPr>
        <w:tc>
          <w:tcPr>
            <w:tcW w:w="3243" w:type="dxa"/>
          </w:tcPr>
          <w:p>
            <w:pPr>
              <w:pStyle w:val="TableParagraph"/>
              <w:spacing w:before="53"/>
              <w:ind w:left="69"/>
              <w:rPr>
                <w:sz w:val="16"/>
              </w:rPr>
            </w:pPr>
            <w:r>
              <w:rPr>
                <w:sz w:val="16"/>
              </w:rPr>
              <w:t>中枢性降压药</w:t>
            </w:r>
          </w:p>
        </w:tc>
        <w:tc>
          <w:tcPr>
            <w:tcW w:w="6152" w:type="dxa"/>
          </w:tcPr>
          <w:p>
            <w:pPr>
              <w:pStyle w:val="TableParagraph"/>
              <w:spacing w:before="53"/>
              <w:ind w:left="69"/>
              <w:rPr>
                <w:sz w:val="16"/>
              </w:rPr>
            </w:pPr>
            <w:r>
              <w:rPr>
                <w:sz w:val="16"/>
              </w:rPr>
              <w:t>可乐定、甲基多巴</w:t>
            </w:r>
          </w:p>
        </w:tc>
      </w:tr>
      <w:tr>
        <w:trPr>
          <w:trHeight w:val="313" w:hRule="atLeast"/>
        </w:trPr>
        <w:tc>
          <w:tcPr>
            <w:tcW w:w="3243" w:type="dxa"/>
          </w:tcPr>
          <w:p>
            <w:pPr>
              <w:pStyle w:val="TableParagraph"/>
              <w:spacing w:before="55"/>
              <w:ind w:left="69"/>
              <w:rPr>
                <w:sz w:val="16"/>
              </w:rPr>
            </w:pPr>
            <w:r>
              <w:rPr>
                <w:sz w:val="16"/>
              </w:rPr>
              <w:t>硝酸酯类</w:t>
            </w:r>
          </w:p>
        </w:tc>
        <w:tc>
          <w:tcPr>
            <w:tcW w:w="6152" w:type="dxa"/>
          </w:tcPr>
          <w:p>
            <w:pPr>
              <w:pStyle w:val="TableParagraph"/>
              <w:spacing w:before="55"/>
              <w:ind w:left="69"/>
              <w:rPr>
                <w:sz w:val="16"/>
              </w:rPr>
            </w:pPr>
            <w:r>
              <w:rPr>
                <w:sz w:val="16"/>
              </w:rPr>
              <w:t>硝酸异山梨酯、硝酸甘油</w:t>
            </w:r>
          </w:p>
        </w:tc>
      </w:tr>
      <w:tr>
        <w:trPr>
          <w:trHeight w:val="311" w:hRule="atLeast"/>
        </w:trPr>
        <w:tc>
          <w:tcPr>
            <w:tcW w:w="3243" w:type="dxa"/>
          </w:tcPr>
          <w:p>
            <w:pPr>
              <w:pStyle w:val="TableParagraph"/>
              <w:spacing w:before="53"/>
              <w:ind w:left="69"/>
              <w:rPr>
                <w:sz w:val="16"/>
              </w:rPr>
            </w:pPr>
            <w:r>
              <w:rPr>
                <w:sz w:val="16"/>
              </w:rPr>
              <w:t>磷酸二酯酶-5 抑制剂</w:t>
            </w:r>
          </w:p>
        </w:tc>
        <w:tc>
          <w:tcPr>
            <w:tcW w:w="6152" w:type="dxa"/>
          </w:tcPr>
          <w:p>
            <w:pPr>
              <w:pStyle w:val="TableParagraph"/>
              <w:spacing w:before="53"/>
              <w:ind w:left="69"/>
              <w:rPr>
                <w:sz w:val="16"/>
              </w:rPr>
            </w:pPr>
            <w:r>
              <w:rPr>
                <w:sz w:val="16"/>
              </w:rPr>
              <w:t>西地那非、伐地那非、他达拉非</w:t>
            </w:r>
          </w:p>
        </w:tc>
      </w:tr>
      <w:tr>
        <w:trPr>
          <w:trHeight w:val="311" w:hRule="atLeast"/>
        </w:trPr>
        <w:tc>
          <w:tcPr>
            <w:tcW w:w="3243" w:type="dxa"/>
          </w:tcPr>
          <w:p>
            <w:pPr>
              <w:pStyle w:val="TableParagraph"/>
              <w:spacing w:before="53"/>
              <w:ind w:left="69"/>
              <w:rPr>
                <w:sz w:val="16"/>
              </w:rPr>
            </w:pPr>
            <w:r>
              <w:rPr>
                <w:sz w:val="16"/>
              </w:rPr>
              <w:t>拟多巴胺药</w:t>
            </w:r>
          </w:p>
        </w:tc>
        <w:tc>
          <w:tcPr>
            <w:tcW w:w="6152" w:type="dxa"/>
          </w:tcPr>
          <w:p>
            <w:pPr>
              <w:pStyle w:val="TableParagraph"/>
              <w:spacing w:before="53"/>
              <w:ind w:left="69"/>
              <w:rPr>
                <w:sz w:val="16"/>
              </w:rPr>
            </w:pPr>
            <w:r>
              <w:rPr>
                <w:sz w:val="16"/>
              </w:rPr>
              <w:t>左旋多巴、多巴胺激动剂（如吡贝地尔、普拉克索）</w:t>
            </w:r>
          </w:p>
        </w:tc>
      </w:tr>
      <w:tr>
        <w:trPr>
          <w:trHeight w:val="311" w:hRule="atLeast"/>
        </w:trPr>
        <w:tc>
          <w:tcPr>
            <w:tcW w:w="3243" w:type="dxa"/>
          </w:tcPr>
          <w:p>
            <w:pPr>
              <w:pStyle w:val="TableParagraph"/>
              <w:spacing w:before="53"/>
              <w:ind w:left="69"/>
              <w:rPr>
                <w:sz w:val="16"/>
              </w:rPr>
            </w:pPr>
            <w:r>
              <w:rPr>
                <w:sz w:val="16"/>
              </w:rPr>
              <w:t>抗抑郁药</w:t>
            </w:r>
          </w:p>
        </w:tc>
        <w:tc>
          <w:tcPr>
            <w:tcW w:w="6152" w:type="dxa"/>
          </w:tcPr>
          <w:p>
            <w:pPr>
              <w:pStyle w:val="TableParagraph"/>
              <w:spacing w:before="53"/>
              <w:ind w:left="69"/>
              <w:rPr>
                <w:sz w:val="16"/>
              </w:rPr>
            </w:pPr>
            <w:r>
              <w:rPr>
                <w:sz w:val="16"/>
              </w:rPr>
              <w:t>阿米替林、去甲替林、丙咪嗪、地昔帕明、曲唑酮</w:t>
            </w:r>
          </w:p>
        </w:tc>
      </w:tr>
    </w:tbl>
    <w:p>
      <w:pPr>
        <w:spacing w:after="0"/>
        <w:rPr>
          <w:sz w:val="16"/>
        </w:rPr>
        <w:sectPr>
          <w:pgSz w:w="11910" w:h="16850"/>
          <w:pgMar w:header="906" w:footer="607" w:top="1100" w:bottom="800" w:left="1040" w:right="880"/>
        </w:sect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4"/>
        <w:gridCol w:w="6153"/>
        <w:gridCol w:w="202"/>
      </w:tblGrid>
      <w:tr>
        <w:trPr>
          <w:trHeight w:val="311" w:hRule="atLeast"/>
        </w:trPr>
        <w:tc>
          <w:tcPr>
            <w:tcW w:w="3244" w:type="dxa"/>
            <w:tcBorders>
              <w:left w:val="single" w:sz="4" w:space="0" w:color="000000"/>
              <w:bottom w:val="single" w:sz="4" w:space="0" w:color="000000"/>
              <w:right w:val="single" w:sz="4" w:space="0" w:color="000000"/>
            </w:tcBorders>
          </w:tcPr>
          <w:p>
            <w:pPr>
              <w:pStyle w:val="TableParagraph"/>
              <w:spacing w:before="44"/>
              <w:ind w:left="70"/>
              <w:rPr>
                <w:sz w:val="16"/>
              </w:rPr>
            </w:pPr>
            <w:r>
              <w:rPr>
                <w:sz w:val="16"/>
              </w:rPr>
              <w:t>抗精神病药</w:t>
            </w:r>
          </w:p>
        </w:tc>
        <w:tc>
          <w:tcPr>
            <w:tcW w:w="6153" w:type="dxa"/>
            <w:tcBorders>
              <w:left w:val="single" w:sz="4" w:space="0" w:color="000000"/>
              <w:bottom w:val="single" w:sz="4" w:space="0" w:color="000000"/>
              <w:right w:val="single" w:sz="4" w:space="0" w:color="000000"/>
            </w:tcBorders>
          </w:tcPr>
          <w:p>
            <w:pPr>
              <w:pStyle w:val="TableParagraph"/>
              <w:spacing w:before="44"/>
              <w:ind w:left="68"/>
              <w:rPr>
                <w:sz w:val="16"/>
              </w:rPr>
            </w:pPr>
            <w:r>
              <w:rPr>
                <w:sz w:val="16"/>
              </w:rPr>
              <w:t>喹硫平、氯氮平、利培酮、帕利哌酮、氟哌啶醇、氯丙嗪、阿立哌唑</w:t>
            </w:r>
          </w:p>
        </w:tc>
        <w:tc>
          <w:tcPr>
            <w:tcW w:w="202" w:type="dxa"/>
            <w:vMerge w:val="restart"/>
            <w:tcBorders>
              <w:left w:val="single" w:sz="4" w:space="0" w:color="000000"/>
              <w:bottom w:val="nil"/>
              <w:right w:val="nil"/>
            </w:tcBorders>
          </w:tcPr>
          <w:p>
            <w:pPr>
              <w:pStyle w:val="TableParagraph"/>
              <w:spacing w:before="0"/>
              <w:rPr>
                <w:rFonts w:ascii="Times New Roman"/>
                <w:sz w:val="22"/>
              </w:rPr>
            </w:pPr>
          </w:p>
        </w:tc>
      </w:tr>
      <w:tr>
        <w:trPr>
          <w:trHeight w:val="312" w:hRule="atLeast"/>
        </w:trPr>
        <w:tc>
          <w:tcPr>
            <w:tcW w:w="3244" w:type="dxa"/>
            <w:tcBorders>
              <w:top w:val="single" w:sz="4" w:space="0" w:color="000000"/>
              <w:left w:val="single" w:sz="4" w:space="0" w:color="000000"/>
              <w:bottom w:val="single" w:sz="4" w:space="0" w:color="000000"/>
              <w:right w:val="single" w:sz="4" w:space="0" w:color="000000"/>
            </w:tcBorders>
          </w:tcPr>
          <w:p>
            <w:pPr>
              <w:pStyle w:val="TableParagraph"/>
              <w:spacing w:before="45"/>
              <w:ind w:left="70"/>
              <w:rPr>
                <w:sz w:val="16"/>
              </w:rPr>
            </w:pPr>
            <w:r>
              <w:rPr>
                <w:sz w:val="16"/>
              </w:rPr>
              <w:t>抗胆碱能药</w:t>
            </w:r>
          </w:p>
        </w:tc>
        <w:tc>
          <w:tcPr>
            <w:tcW w:w="6153" w:type="dxa"/>
            <w:tcBorders>
              <w:top w:val="single" w:sz="4" w:space="0" w:color="000000"/>
              <w:left w:val="single" w:sz="4" w:space="0" w:color="000000"/>
              <w:bottom w:val="single" w:sz="4" w:space="0" w:color="000000"/>
              <w:right w:val="single" w:sz="4" w:space="0" w:color="000000"/>
            </w:tcBorders>
          </w:tcPr>
          <w:p>
            <w:pPr>
              <w:pStyle w:val="TableParagraph"/>
              <w:spacing w:before="45"/>
              <w:ind w:left="68"/>
              <w:rPr>
                <w:sz w:val="16"/>
              </w:rPr>
            </w:pPr>
            <w:r>
              <w:rPr>
                <w:sz w:val="16"/>
              </w:rPr>
              <w:t>阿托品、格隆溴铵、莨菪碱</w:t>
            </w:r>
          </w:p>
        </w:tc>
        <w:tc>
          <w:tcPr>
            <w:tcW w:w="202" w:type="dxa"/>
            <w:vMerge/>
            <w:tcBorders>
              <w:top w:val="nil"/>
              <w:left w:val="single" w:sz="4" w:space="0" w:color="000000"/>
              <w:bottom w:val="nil"/>
              <w:right w:val="nil"/>
            </w:tcBorders>
          </w:tcPr>
          <w:p>
            <w:pPr>
              <w:rPr>
                <w:sz w:val="2"/>
                <w:szCs w:val="2"/>
              </w:rPr>
            </w:pPr>
          </w:p>
        </w:tc>
      </w:tr>
      <w:tr>
        <w:trPr>
          <w:trHeight w:val="313" w:hRule="atLeast"/>
        </w:trPr>
        <w:tc>
          <w:tcPr>
            <w:tcW w:w="3244" w:type="dxa"/>
            <w:tcBorders>
              <w:top w:val="single" w:sz="4" w:space="0" w:color="000000"/>
              <w:left w:val="single" w:sz="4" w:space="0" w:color="000000"/>
              <w:bottom w:val="single" w:sz="4" w:space="0" w:color="000000"/>
              <w:right w:val="single" w:sz="4" w:space="0" w:color="000000"/>
            </w:tcBorders>
          </w:tcPr>
          <w:p>
            <w:pPr>
              <w:pStyle w:val="TableParagraph"/>
              <w:spacing w:before="44"/>
              <w:ind w:left="70"/>
              <w:rPr>
                <w:sz w:val="16"/>
              </w:rPr>
            </w:pPr>
            <w:r>
              <w:rPr>
                <w:sz w:val="16"/>
              </w:rPr>
              <w:t>阿片类镇痛药</w:t>
            </w:r>
          </w:p>
        </w:tc>
        <w:tc>
          <w:tcPr>
            <w:tcW w:w="6153" w:type="dxa"/>
            <w:tcBorders>
              <w:top w:val="single" w:sz="4" w:space="0" w:color="000000"/>
              <w:left w:val="single" w:sz="4" w:space="0" w:color="000000"/>
              <w:bottom w:val="single" w:sz="4" w:space="0" w:color="000000"/>
              <w:right w:val="single" w:sz="4" w:space="0" w:color="000000"/>
            </w:tcBorders>
          </w:tcPr>
          <w:p>
            <w:pPr>
              <w:pStyle w:val="TableParagraph"/>
              <w:spacing w:before="44"/>
              <w:ind w:left="68"/>
              <w:rPr>
                <w:sz w:val="16"/>
              </w:rPr>
            </w:pPr>
            <w:r>
              <w:rPr>
                <w:sz w:val="16"/>
              </w:rPr>
              <w:t>吗啡、芬太尼、哌替啶</w:t>
            </w:r>
          </w:p>
        </w:tc>
        <w:tc>
          <w:tcPr>
            <w:tcW w:w="202" w:type="dxa"/>
            <w:vMerge/>
            <w:tcBorders>
              <w:top w:val="nil"/>
              <w:left w:val="single" w:sz="4" w:space="0" w:color="000000"/>
              <w:bottom w:val="nil"/>
              <w:right w:val="nil"/>
            </w:tcBorders>
          </w:tcPr>
          <w:p>
            <w:pPr>
              <w:rPr>
                <w:sz w:val="2"/>
                <w:szCs w:val="2"/>
              </w:rPr>
            </w:pPr>
          </w:p>
        </w:tc>
      </w:tr>
    </w:tbl>
    <w:p>
      <w:pPr>
        <w:pStyle w:val="BodyText"/>
        <w:ind w:left="0"/>
        <w:rPr>
          <w:sz w:val="20"/>
        </w:rPr>
      </w:pPr>
    </w:p>
    <w:p>
      <w:pPr>
        <w:pStyle w:val="BodyText"/>
        <w:spacing w:before="10"/>
        <w:ind w:left="0"/>
        <w:rPr>
          <w:sz w:val="27"/>
        </w:rPr>
      </w:pPr>
    </w:p>
    <w:p>
      <w:pPr>
        <w:pStyle w:val="Heading2"/>
        <w:spacing w:before="55"/>
        <w:ind w:left="2735"/>
      </w:pPr>
      <w:bookmarkStart w:name="_TOC_250012" w:id="15"/>
      <w:bookmarkEnd w:id="15"/>
      <w:r>
        <w:rPr/>
        <w:t>药师必知：孕妇安全用药知多少</w:t>
      </w:r>
    </w:p>
    <w:p>
      <w:pPr>
        <w:pStyle w:val="BodyText"/>
        <w:spacing w:before="6"/>
        <w:ind w:left="0"/>
        <w:rPr>
          <w:b/>
          <w:sz w:val="23"/>
        </w:rPr>
      </w:pPr>
    </w:p>
    <w:p>
      <w:pPr>
        <w:pStyle w:val="Heading3"/>
        <w:ind w:left="7325"/>
      </w:pPr>
      <w:r>
        <w:rPr>
          <w:color w:val="FF0000"/>
        </w:rPr>
        <w:t>（来源：中国医药报）</w:t>
      </w:r>
    </w:p>
    <w:p>
      <w:pPr>
        <w:pStyle w:val="BodyText"/>
        <w:spacing w:line="297" w:lineRule="auto" w:before="96"/>
        <w:ind w:right="246" w:firstLine="480"/>
      </w:pPr>
      <w:r>
        <w:rPr>
          <w:spacing w:val="-6"/>
        </w:rPr>
        <w:t>妊娠期妇女用药安全直接关系着胎儿的健康，因此在选择治疗药物时需特别谨慎，以免</w:t>
      </w:r>
      <w:r>
        <w:rPr/>
        <w:t>药物对胎儿产生不良影响。</w:t>
      </w:r>
    </w:p>
    <w:p>
      <w:pPr>
        <w:pStyle w:val="Heading3"/>
        <w:spacing w:line="306" w:lineRule="exact"/>
        <w:rPr>
          <w:rFonts w:ascii="宋体" w:eastAsia="宋体" w:hint="eastAsia"/>
        </w:rPr>
      </w:pPr>
      <w:r>
        <w:rPr>
          <w:rFonts w:ascii="宋体" w:eastAsia="宋体" w:hint="eastAsia"/>
        </w:rPr>
        <w:t>妊娠期药动学特点</w:t>
      </w:r>
    </w:p>
    <w:p>
      <w:pPr>
        <w:pStyle w:val="BodyText"/>
        <w:tabs>
          <w:tab w:pos="2157" w:val="left" w:leader="none"/>
        </w:tabs>
        <w:spacing w:line="297" w:lineRule="auto" w:before="72"/>
        <w:ind w:right="249" w:firstLine="480"/>
      </w:pPr>
      <w:r>
        <w:rPr/>
        <w:t>药物的吸收</w:t>
        <w:tab/>
        <w:t>妊娠期妇女胃肠活动减弱</w:t>
      </w:r>
      <w:r>
        <w:rPr>
          <w:spacing w:val="-34"/>
        </w:rPr>
        <w:t>，</w:t>
      </w:r>
      <w:r>
        <w:rPr/>
        <w:t>胃酸分泌减少</w:t>
      </w:r>
      <w:r>
        <w:rPr>
          <w:spacing w:val="-34"/>
        </w:rPr>
        <w:t>，</w:t>
      </w:r>
      <w:r>
        <w:rPr/>
        <w:t>口服药物吸收减慢</w:t>
      </w:r>
      <w:r>
        <w:rPr>
          <w:spacing w:val="-34"/>
        </w:rPr>
        <w:t>，</w:t>
      </w:r>
      <w:r>
        <w:rPr/>
        <w:t>达峰时</w:t>
      </w:r>
      <w:r>
        <w:rPr>
          <w:spacing w:val="-18"/>
        </w:rPr>
        <w:t>间</w:t>
      </w:r>
      <w:r>
        <w:rPr/>
        <w:t>滞后，生物利用度下降。早孕呕吐也是影响药物吸收的原因，一般应采取注射给药。</w:t>
      </w:r>
    </w:p>
    <w:p>
      <w:pPr>
        <w:pStyle w:val="BodyText"/>
        <w:tabs>
          <w:tab w:pos="2157" w:val="left" w:leader="none"/>
        </w:tabs>
        <w:spacing w:line="295" w:lineRule="auto"/>
        <w:ind w:right="306" w:firstLine="480"/>
      </w:pPr>
      <w:r>
        <w:rPr/>
        <w:t>药物的分布</w:t>
        <w:tab/>
        <w:t>妊娠期妇女体重平均增长</w:t>
      </w:r>
      <w:r>
        <w:rPr>
          <w:spacing w:val="-61"/>
        </w:rPr>
        <w:t> </w:t>
      </w:r>
      <w:r>
        <w:rPr>
          <w:rFonts w:ascii="Times New Roman" w:eastAsia="Times New Roman"/>
        </w:rPr>
        <w:t>10</w:t>
      </w:r>
      <w:r>
        <w:rPr/>
        <w:t>～</w:t>
      </w:r>
      <w:r>
        <w:rPr>
          <w:rFonts w:ascii="Times New Roman" w:eastAsia="Times New Roman"/>
        </w:rPr>
        <w:t>20kg</w:t>
      </w:r>
      <w:r>
        <w:rPr/>
        <w:t>，血浆容积增加约</w:t>
      </w:r>
      <w:r>
        <w:rPr>
          <w:spacing w:val="-60"/>
        </w:rPr>
        <w:t> </w:t>
      </w:r>
      <w:r>
        <w:rPr>
          <w:rFonts w:ascii="Times New Roman" w:eastAsia="Times New Roman"/>
        </w:rPr>
        <w:t>50%</w:t>
      </w:r>
      <w:r>
        <w:rPr/>
        <w:t>，体液总量</w:t>
      </w:r>
      <w:r>
        <w:rPr>
          <w:spacing w:val="-16"/>
        </w:rPr>
        <w:t>和</w:t>
      </w:r>
      <w:r>
        <w:rPr/>
        <w:t>细胞外液也都有所增加，故妊娠期药物分布容积明显增加。</w:t>
      </w:r>
    </w:p>
    <w:p>
      <w:pPr>
        <w:pStyle w:val="BodyText"/>
        <w:tabs>
          <w:tab w:pos="2157" w:val="left" w:leader="none"/>
        </w:tabs>
        <w:spacing w:before="2"/>
        <w:ind w:left="717"/>
      </w:pPr>
      <w:r>
        <w:rPr/>
        <w:t>药物的代谢</w:t>
        <w:tab/>
        <w:t>妊娠期由于激素分泌改变，药物的代谢也会受到影响。</w:t>
      </w:r>
    </w:p>
    <w:p>
      <w:pPr>
        <w:pStyle w:val="BodyText"/>
        <w:tabs>
          <w:tab w:pos="2157" w:val="left" w:leader="none"/>
        </w:tabs>
        <w:spacing w:line="295" w:lineRule="auto" w:before="72"/>
        <w:ind w:right="249" w:firstLine="480"/>
      </w:pPr>
      <w:r>
        <w:rPr/>
        <w:t>药物的排泄</w:t>
        <w:tab/>
        <w:t>妊娠期肾血流量</w:t>
      </w:r>
      <w:r>
        <w:rPr>
          <w:spacing w:val="-51"/>
        </w:rPr>
        <w:t>、</w:t>
      </w:r>
      <w:r>
        <w:rPr/>
        <w:t>肾小球滤过率和肌酐清除率均有所增加</w:t>
      </w:r>
      <w:r>
        <w:rPr>
          <w:spacing w:val="-51"/>
        </w:rPr>
        <w:t>，</w:t>
      </w:r>
      <w:r>
        <w:rPr/>
        <w:t>导致药物经</w:t>
      </w:r>
      <w:r>
        <w:rPr>
          <w:spacing w:val="-18"/>
        </w:rPr>
        <w:t>肾</w:t>
      </w:r>
      <w:r>
        <w:rPr/>
        <w:t>脏的消除加快，这对主要经肾脏排泄的药物或活性代谢产物有重要意义。</w:t>
      </w:r>
    </w:p>
    <w:p>
      <w:pPr>
        <w:pStyle w:val="Heading3"/>
        <w:spacing w:before="5"/>
        <w:rPr>
          <w:rFonts w:ascii="宋体" w:eastAsia="宋体" w:hint="eastAsia"/>
        </w:rPr>
      </w:pPr>
      <w:r>
        <w:rPr>
          <w:rFonts w:ascii="宋体" w:eastAsia="宋体" w:hint="eastAsia"/>
        </w:rPr>
        <w:t>药物对胎儿的影响</w:t>
      </w:r>
    </w:p>
    <w:p>
      <w:pPr>
        <w:pStyle w:val="BodyText"/>
        <w:spacing w:line="297" w:lineRule="auto" w:before="71"/>
        <w:ind w:right="126" w:firstLine="480"/>
      </w:pPr>
      <w:r>
        <w:rPr>
          <w:spacing w:val="-13"/>
        </w:rPr>
        <w:t>妊娠早期是胚胎器官和脏器的分化时期，最易受外来药物的影响。受精后 </w:t>
      </w:r>
      <w:r>
        <w:rPr>
          <w:rFonts w:ascii="Times New Roman" w:eastAsia="Times New Roman"/>
        </w:rPr>
        <w:t>3 </w:t>
      </w:r>
      <w:r>
        <w:rPr>
          <w:spacing w:val="-20"/>
        </w:rPr>
        <w:t>周至 </w:t>
      </w:r>
      <w:r>
        <w:rPr>
          <w:rFonts w:ascii="Times New Roman" w:eastAsia="Times New Roman"/>
        </w:rPr>
        <w:t>3 </w:t>
      </w:r>
      <w:r>
        <w:rPr>
          <w:spacing w:val="-6"/>
        </w:rPr>
        <w:t>个月， </w:t>
      </w:r>
      <w:r>
        <w:rPr>
          <w:spacing w:val="-7"/>
        </w:rPr>
        <w:t>如受到药物影响，可能产生功能或形态上的异常，造成胎儿畸形。如雌激素、孕激素、雄激</w:t>
      </w:r>
      <w:r>
        <w:rPr>
          <w:spacing w:val="-12"/>
        </w:rPr>
        <w:t>素可引起胎儿性发育异常；沙利度胺可引起胎儿肢体、耳、内脏畸形；氮芥类药物可引起泌尿生殖系统异常，造成胎儿指趾畸形；叶酸拮抗剂可导致胎儿颅面部畸形、腭裂等。</w:t>
      </w:r>
    </w:p>
    <w:p>
      <w:pPr>
        <w:pStyle w:val="BodyText"/>
        <w:spacing w:line="297" w:lineRule="auto"/>
        <w:ind w:right="252" w:firstLine="480"/>
      </w:pPr>
      <w:r>
        <w:rPr>
          <w:spacing w:val="-10"/>
        </w:rPr>
        <w:t>在胎儿形成期，如妊娠 </w:t>
      </w:r>
      <w:r>
        <w:rPr>
          <w:rFonts w:ascii="Times New Roman" w:eastAsia="Times New Roman"/>
        </w:rPr>
        <w:t>5 </w:t>
      </w:r>
      <w:r>
        <w:rPr>
          <w:spacing w:val="-7"/>
        </w:rPr>
        <w:t>个月后服用四环素，可使胎儿牙齿黄染，牙釉质发育不全，造</w:t>
      </w:r>
      <w:r>
        <w:rPr/>
        <w:t>成骨生长障碍。</w:t>
      </w:r>
    </w:p>
    <w:p>
      <w:pPr>
        <w:pStyle w:val="BodyText"/>
        <w:spacing w:line="297" w:lineRule="auto"/>
        <w:ind w:right="147" w:firstLine="480"/>
      </w:pPr>
      <w:r>
        <w:rPr>
          <w:spacing w:val="-9"/>
        </w:rPr>
        <w:t>妊娠期妇女服用镇静、安定、麻醉、止痛、抗组胺药或其他抑制中枢神经的药物，可抑</w:t>
      </w:r>
      <w:r>
        <w:rPr>
          <w:spacing w:val="-13"/>
        </w:rPr>
        <w:t>制胎儿神经的活动，甚至影响大脑发育。妊娠后期使用抗凝药华法林、大剂量苯巴比妥或长</w:t>
      </w:r>
      <w:r>
        <w:rPr>
          <w:spacing w:val="-14"/>
        </w:rPr>
        <w:t>期服用阿司匹林，可导致胎儿严重出血，甚至死胎；使用抗疟药、磺胺药、解热镇痛药等， </w:t>
      </w:r>
      <w:r>
        <w:rPr/>
        <w:t>对红细胞缺乏葡萄糖</w:t>
      </w:r>
      <w:r>
        <w:rPr>
          <w:rFonts w:ascii="Times New Roman" w:eastAsia="Times New Roman"/>
        </w:rPr>
        <w:t>-6-</w:t>
      </w:r>
      <w:r>
        <w:rPr/>
        <w:t>磷酸脱氢酶者可引起溶血；分娩前应用氯霉素，可导致灰婴综合征和新生儿循环系统障碍。</w:t>
      </w:r>
    </w:p>
    <w:p>
      <w:pPr>
        <w:pStyle w:val="Heading3"/>
        <w:spacing w:line="302" w:lineRule="exact"/>
        <w:rPr>
          <w:rFonts w:ascii="宋体" w:eastAsia="宋体" w:hint="eastAsia"/>
        </w:rPr>
      </w:pPr>
      <w:r>
        <w:rPr>
          <w:rFonts w:ascii="宋体" w:eastAsia="宋体" w:hint="eastAsia"/>
        </w:rPr>
        <w:t>药物妊娠毒性分级</w:t>
      </w:r>
    </w:p>
    <w:p>
      <w:pPr>
        <w:pStyle w:val="BodyText"/>
        <w:tabs>
          <w:tab w:pos="1429" w:val="left" w:leader="none"/>
        </w:tabs>
        <w:spacing w:line="297" w:lineRule="auto" w:before="64"/>
        <w:ind w:right="249" w:firstLine="480"/>
      </w:pPr>
      <w:r>
        <w:rPr>
          <w:rFonts w:ascii="Times New Roman" w:eastAsia="Times New Roman"/>
        </w:rPr>
        <w:t>A</w:t>
      </w:r>
      <w:r>
        <w:rPr>
          <w:rFonts w:ascii="Times New Roman" w:eastAsia="Times New Roman"/>
          <w:spacing w:val="-2"/>
        </w:rPr>
        <w:t> </w:t>
      </w:r>
      <w:r>
        <w:rPr/>
        <w:t>级</w:t>
        <w:tab/>
        <w:t>在有对照组的早期妊娠妇女中</w:t>
      </w:r>
      <w:r>
        <w:rPr>
          <w:spacing w:val="-32"/>
        </w:rPr>
        <w:t>，</w:t>
      </w:r>
      <w:r>
        <w:rPr/>
        <w:t>并未显示对胎儿有危险</w:t>
      </w:r>
      <w:r>
        <w:rPr>
          <w:spacing w:val="-32"/>
        </w:rPr>
        <w:t>；</w:t>
      </w:r>
      <w:r>
        <w:rPr/>
        <w:t>在中</w:t>
      </w:r>
      <w:r>
        <w:rPr>
          <w:spacing w:val="-32"/>
        </w:rPr>
        <w:t>、</w:t>
      </w:r>
      <w:r>
        <w:rPr/>
        <w:t>晚期妊娠中亦</w:t>
      </w:r>
      <w:r>
        <w:rPr>
          <w:spacing w:val="-16"/>
        </w:rPr>
        <w:t>无</w:t>
      </w:r>
      <w:r>
        <w:rPr/>
        <w:t>危险的证据，可能对胎儿的伤害极小。如正常剂量的脂溶性维生素</w:t>
      </w:r>
      <w:r>
        <w:rPr>
          <w:spacing w:val="-61"/>
        </w:rPr>
        <w:t> </w:t>
      </w:r>
      <w:r>
        <w:rPr>
          <w:rFonts w:ascii="Times New Roman" w:eastAsia="Times New Roman"/>
        </w:rPr>
        <w:t>A</w:t>
      </w:r>
      <w:r>
        <w:rPr>
          <w:rFonts w:ascii="Times New Roman" w:eastAsia="Times New Roman"/>
          <w:spacing w:val="-1"/>
        </w:rPr>
        <w:t> </w:t>
      </w:r>
      <w:r>
        <w:rPr/>
        <w:t>和维生素</w:t>
      </w:r>
      <w:r>
        <w:rPr>
          <w:spacing w:val="-60"/>
        </w:rPr>
        <w:t> </w:t>
      </w:r>
      <w:r>
        <w:rPr>
          <w:rFonts w:ascii="Times New Roman" w:eastAsia="Times New Roman"/>
        </w:rPr>
        <w:t>D</w:t>
      </w:r>
      <w:r>
        <w:rPr/>
        <w:t>、各种水溶性维生素、氯化钾、枸橼酸钾等。</w:t>
      </w:r>
    </w:p>
    <w:p>
      <w:pPr>
        <w:pStyle w:val="BodyText"/>
        <w:tabs>
          <w:tab w:pos="1417" w:val="left" w:leader="none"/>
        </w:tabs>
        <w:spacing w:line="297" w:lineRule="auto"/>
        <w:ind w:right="126" w:firstLine="480"/>
      </w:pPr>
      <w:r>
        <w:rPr>
          <w:rFonts w:ascii="Times New Roman" w:eastAsia="Times New Roman"/>
        </w:rPr>
        <w:t>B </w:t>
      </w:r>
      <w:r>
        <w:rPr/>
        <w:t>级</w:t>
        <w:tab/>
        <w:t>在动物生殖试验中</w:t>
      </w:r>
      <w:r>
        <w:rPr>
          <w:spacing w:val="-29"/>
        </w:rPr>
        <w:t>，</w:t>
      </w:r>
      <w:r>
        <w:rPr/>
        <w:t>并未显示对胎儿有危险</w:t>
      </w:r>
      <w:r>
        <w:rPr>
          <w:spacing w:val="-29"/>
        </w:rPr>
        <w:t>，</w:t>
      </w:r>
      <w:r>
        <w:rPr/>
        <w:t>但显示有副反应</w:t>
      </w:r>
      <w:r>
        <w:rPr>
          <w:spacing w:val="-29"/>
        </w:rPr>
        <w:t>；</w:t>
      </w:r>
      <w:r>
        <w:rPr/>
        <w:t>而在早孕妇</w:t>
      </w:r>
      <w:r>
        <w:rPr>
          <w:spacing w:val="-3"/>
        </w:rPr>
        <w:t>女</w:t>
      </w:r>
      <w:r>
        <w:rPr/>
        <w:t>的对照组中</w:t>
      </w:r>
      <w:r>
        <w:rPr>
          <w:spacing w:val="-12"/>
        </w:rPr>
        <w:t>，</w:t>
      </w:r>
      <w:r>
        <w:rPr/>
        <w:t>并不能确定其不良反应</w:t>
      </w:r>
      <w:r>
        <w:rPr>
          <w:spacing w:val="-12"/>
        </w:rPr>
        <w:t>。</w:t>
      </w:r>
      <w:r>
        <w:rPr/>
        <w:t>如阿昔洛韦</w:t>
      </w:r>
      <w:r>
        <w:rPr>
          <w:spacing w:val="-12"/>
        </w:rPr>
        <w:t>、</w:t>
      </w:r>
      <w:r>
        <w:rPr/>
        <w:t>阿莫西林</w:t>
      </w:r>
      <w:r>
        <w:rPr>
          <w:spacing w:val="-12"/>
        </w:rPr>
        <w:t>、</w:t>
      </w:r>
      <w:r>
        <w:rPr/>
        <w:t>青霉素</w:t>
      </w:r>
      <w:r>
        <w:rPr>
          <w:spacing w:val="-12"/>
        </w:rPr>
        <w:t>、</w:t>
      </w:r>
      <w:r>
        <w:rPr/>
        <w:t>氨苄西林</w:t>
      </w:r>
      <w:r>
        <w:rPr>
          <w:rFonts w:ascii="Times New Roman" w:eastAsia="Times New Roman"/>
        </w:rPr>
        <w:t>-</w:t>
      </w:r>
      <w:r>
        <w:rPr/>
        <w:t>舒巴坦等</w:t>
      </w:r>
      <w:r>
        <w:rPr>
          <w:spacing w:val="-17"/>
        </w:rPr>
        <w:t>， </w:t>
      </w:r>
      <w:r>
        <w:rPr/>
        <w:t>降糖药二甲双胍</w:t>
      </w:r>
      <w:r>
        <w:rPr>
          <w:spacing w:val="-27"/>
        </w:rPr>
        <w:t>、</w:t>
      </w:r>
      <w:r>
        <w:rPr/>
        <w:t>阿卡波糖</w:t>
      </w:r>
      <w:r>
        <w:rPr>
          <w:spacing w:val="-27"/>
        </w:rPr>
        <w:t>、</w:t>
      </w:r>
      <w:r>
        <w:rPr/>
        <w:t>门冬胰岛素</w:t>
      </w:r>
      <w:r>
        <w:rPr>
          <w:spacing w:val="-27"/>
        </w:rPr>
        <w:t>，</w:t>
      </w:r>
      <w:r>
        <w:rPr/>
        <w:t>解热镇痛药对乙酰胺基酚</w:t>
      </w:r>
      <w:r>
        <w:rPr>
          <w:spacing w:val="-27"/>
        </w:rPr>
        <w:t>，</w:t>
      </w:r>
      <w:r>
        <w:rPr/>
        <w:t>消化系统用药法莫替丁、雷尼替丁、泮托拉唑均属</w:t>
      </w:r>
      <w:r>
        <w:rPr>
          <w:spacing w:val="-60"/>
        </w:rPr>
        <w:t> </w:t>
      </w:r>
      <w:r>
        <w:rPr>
          <w:rFonts w:ascii="Times New Roman" w:eastAsia="Times New Roman"/>
        </w:rPr>
        <w:t>B </w:t>
      </w:r>
      <w:r>
        <w:rPr/>
        <w:t>级。</w:t>
      </w:r>
    </w:p>
    <w:p>
      <w:pPr>
        <w:spacing w:after="0" w:line="297" w:lineRule="auto"/>
        <w:sectPr>
          <w:headerReference w:type="default" r:id="rId12"/>
          <w:footerReference w:type="default" r:id="rId13"/>
          <w:pgSz w:w="11910" w:h="16850"/>
          <w:pgMar w:header="0" w:footer="607" w:top="1100" w:bottom="800" w:left="1040" w:right="880"/>
          <w:pgNumType w:start="31"/>
        </w:sectPr>
      </w:pPr>
    </w:p>
    <w:p>
      <w:pPr>
        <w:pStyle w:val="BodyText"/>
        <w:tabs>
          <w:tab w:pos="1417" w:val="left" w:leader="none"/>
        </w:tabs>
        <w:spacing w:line="297" w:lineRule="auto" w:before="65"/>
        <w:ind w:right="247" w:firstLine="480"/>
      </w:pPr>
      <w:r>
        <w:rPr>
          <w:rFonts w:ascii="Times New Roman" w:eastAsia="Times New Roman"/>
        </w:rPr>
        <w:t>C </w:t>
      </w:r>
      <w:r>
        <w:rPr/>
        <w:t>级</w:t>
        <w:tab/>
        <w:t>在动物研究中证实对胎儿有不良反</w:t>
      </w:r>
      <w:r>
        <w:rPr>
          <w:spacing w:val="-29"/>
        </w:rPr>
        <w:t>应</w:t>
      </w:r>
      <w:r>
        <w:rPr/>
        <w:t>（致畸或使胚胎致死或其他</w:t>
      </w:r>
      <w:r>
        <w:rPr>
          <w:spacing w:val="-29"/>
        </w:rPr>
        <w:t>），</w:t>
      </w:r>
      <w:r>
        <w:rPr/>
        <w:t>但在妇女</w:t>
      </w:r>
      <w:r>
        <w:rPr>
          <w:spacing w:val="-13"/>
        </w:rPr>
        <w:t>中</w:t>
      </w:r>
      <w:r>
        <w:rPr/>
        <w:t>无对照组或在妇女和动物研究中没有可利用的资料，药物仅在权衡对胎儿的利大于弊时给予</w:t>
      </w:r>
      <w:r>
        <w:rPr>
          <w:spacing w:val="-17"/>
        </w:rPr>
        <w:t>。</w:t>
      </w:r>
      <w:r>
        <w:rPr/>
        <w:t>如奥司他韦</w:t>
      </w:r>
      <w:r>
        <w:rPr>
          <w:spacing w:val="-17"/>
        </w:rPr>
        <w:t>、</w:t>
      </w:r>
      <w:r>
        <w:rPr/>
        <w:t>更昔洛韦等抗病毒药</w:t>
      </w:r>
      <w:r>
        <w:rPr>
          <w:spacing w:val="-17"/>
        </w:rPr>
        <w:t>，</w:t>
      </w:r>
      <w:r>
        <w:rPr/>
        <w:t>阿米卡星</w:t>
      </w:r>
      <w:r>
        <w:rPr>
          <w:spacing w:val="-17"/>
        </w:rPr>
        <w:t>、</w:t>
      </w:r>
      <w:r>
        <w:rPr/>
        <w:t>咪康唑</w:t>
      </w:r>
      <w:r>
        <w:rPr>
          <w:spacing w:val="-17"/>
        </w:rPr>
        <w:t>、</w:t>
      </w:r>
      <w:r>
        <w:rPr/>
        <w:t>氯霉素等抗菌药物</w:t>
      </w:r>
      <w:r>
        <w:rPr>
          <w:spacing w:val="-17"/>
        </w:rPr>
        <w:t>，</w:t>
      </w:r>
      <w:r>
        <w:rPr/>
        <w:t>瑞格列</w:t>
      </w:r>
      <w:r>
        <w:rPr>
          <w:spacing w:val="-16"/>
        </w:rPr>
        <w:t>奈</w:t>
      </w:r>
      <w:r>
        <w:rPr/>
        <w:t>等降糖药，多潘立酮等消化系统用药，美托洛尔等降压药均属此类。</w:t>
      </w:r>
    </w:p>
    <w:p>
      <w:pPr>
        <w:pStyle w:val="BodyText"/>
        <w:tabs>
          <w:tab w:pos="1429" w:val="left" w:leader="none"/>
        </w:tabs>
        <w:spacing w:line="295" w:lineRule="auto"/>
        <w:ind w:right="130" w:firstLine="480"/>
      </w:pPr>
      <w:r>
        <w:rPr>
          <w:rFonts w:ascii="Times New Roman" w:eastAsia="Times New Roman"/>
        </w:rPr>
        <w:t>D</w:t>
      </w:r>
      <w:r>
        <w:rPr>
          <w:rFonts w:ascii="Times New Roman" w:eastAsia="Times New Roman"/>
          <w:spacing w:val="-2"/>
        </w:rPr>
        <w:t> </w:t>
      </w:r>
      <w:r>
        <w:rPr/>
        <w:t>级</w:t>
        <w:tab/>
        <w:t>对人类胎儿的危险有肯定的证据</w:t>
      </w:r>
      <w:r>
        <w:rPr>
          <w:spacing w:val="-72"/>
        </w:rPr>
        <w:t>，</w:t>
      </w:r>
      <w:r>
        <w:rPr/>
        <w:t>仅在对孕妇肯定有利时</w:t>
      </w:r>
      <w:r>
        <w:rPr>
          <w:spacing w:val="-72"/>
        </w:rPr>
        <w:t>，</w:t>
      </w:r>
      <w:r>
        <w:rPr/>
        <w:t>方予应用</w:t>
      </w:r>
      <w:r>
        <w:rPr>
          <w:spacing w:val="-72"/>
        </w:rPr>
        <w:t>。</w:t>
      </w:r>
      <w:r>
        <w:rPr/>
        <w:t>妥布霉素</w:t>
      </w:r>
      <w:r>
        <w:rPr>
          <w:spacing w:val="-17"/>
        </w:rPr>
        <w:t>、</w:t>
      </w:r>
      <w:r>
        <w:rPr/>
        <w:t>伏立康唑、美托洛尔在妊娠中晚期使用时属此类。</w:t>
      </w:r>
    </w:p>
    <w:p>
      <w:pPr>
        <w:pStyle w:val="BodyText"/>
        <w:tabs>
          <w:tab w:pos="1429" w:val="left" w:leader="none"/>
        </w:tabs>
        <w:spacing w:line="297" w:lineRule="auto"/>
        <w:ind w:right="247" w:firstLine="480"/>
      </w:pPr>
      <w:r>
        <w:rPr>
          <w:rFonts w:ascii="Times New Roman" w:eastAsia="Times New Roman"/>
        </w:rPr>
        <w:t>X</w:t>
      </w:r>
      <w:r>
        <w:rPr>
          <w:rFonts w:ascii="Times New Roman" w:eastAsia="Times New Roman"/>
          <w:spacing w:val="-2"/>
        </w:rPr>
        <w:t> </w:t>
      </w:r>
      <w:r>
        <w:rPr/>
        <w:t>级</w:t>
        <w:tab/>
        <w:t>动物或人的研究中已证实可导致胎儿异常，或基于人类的经验知其对胎儿有危害</w:t>
      </w:r>
      <w:r>
        <w:rPr>
          <w:spacing w:val="-34"/>
        </w:rPr>
        <w:t>，</w:t>
      </w:r>
      <w:r>
        <w:rPr/>
        <w:t>对人或对两者均有害</w:t>
      </w:r>
      <w:r>
        <w:rPr>
          <w:spacing w:val="-34"/>
        </w:rPr>
        <w:t>，</w:t>
      </w:r>
      <w:r>
        <w:rPr/>
        <w:t>而且该药物对孕妇的弊明显大于利</w:t>
      </w:r>
      <w:r>
        <w:rPr>
          <w:spacing w:val="-34"/>
        </w:rPr>
        <w:t>。</w:t>
      </w:r>
      <w:r>
        <w:rPr/>
        <w:t>已妊娠或将妊娠的妇女禁</w:t>
      </w:r>
      <w:r>
        <w:rPr>
          <w:spacing w:val="-16"/>
        </w:rPr>
        <w:t>用</w:t>
      </w:r>
      <w:r>
        <w:rPr/>
        <w:t>该药</w:t>
      </w:r>
      <w:r>
        <w:rPr>
          <w:spacing w:val="-17"/>
        </w:rPr>
        <w:t>。</w:t>
      </w:r>
      <w:r>
        <w:rPr/>
        <w:t>如抗病毒药利巴韦林</w:t>
      </w:r>
      <w:r>
        <w:rPr>
          <w:spacing w:val="-17"/>
        </w:rPr>
        <w:t>，</w:t>
      </w:r>
      <w:r>
        <w:rPr/>
        <w:t>调脂药洛伐他汀</w:t>
      </w:r>
      <w:r>
        <w:rPr>
          <w:spacing w:val="-17"/>
        </w:rPr>
        <w:t>、</w:t>
      </w:r>
      <w:r>
        <w:rPr/>
        <w:t>辛伐他汀</w:t>
      </w:r>
      <w:r>
        <w:rPr>
          <w:spacing w:val="-17"/>
        </w:rPr>
        <w:t>、</w:t>
      </w:r>
      <w:r>
        <w:rPr/>
        <w:t>氟伐他汀</w:t>
      </w:r>
      <w:r>
        <w:rPr>
          <w:spacing w:val="-17"/>
        </w:rPr>
        <w:t>、</w:t>
      </w:r>
      <w:r>
        <w:rPr/>
        <w:t>阿托伐他汀</w:t>
      </w:r>
      <w:r>
        <w:rPr>
          <w:spacing w:val="-17"/>
        </w:rPr>
        <w:t>、</w:t>
      </w:r>
      <w:r>
        <w:rPr/>
        <w:t>瑞舒</w:t>
      </w:r>
      <w:r>
        <w:rPr>
          <w:spacing w:val="-16"/>
        </w:rPr>
        <w:t>伐</w:t>
      </w:r>
      <w:r>
        <w:rPr/>
        <w:t>他汀等</w:t>
      </w:r>
      <w:r>
        <w:rPr>
          <w:spacing w:val="-15"/>
        </w:rPr>
        <w:t>，</w:t>
      </w:r>
      <w:r>
        <w:rPr/>
        <w:t>激素类药物非那雄胺</w:t>
      </w:r>
      <w:r>
        <w:rPr>
          <w:spacing w:val="-15"/>
        </w:rPr>
        <w:t>、</w:t>
      </w:r>
      <w:r>
        <w:rPr/>
        <w:t>炔诺酮</w:t>
      </w:r>
      <w:r>
        <w:rPr>
          <w:spacing w:val="-15"/>
        </w:rPr>
        <w:t>、</w:t>
      </w:r>
      <w:r>
        <w:rPr/>
        <w:t>缩宫素</w:t>
      </w:r>
      <w:r>
        <w:rPr>
          <w:spacing w:val="-15"/>
        </w:rPr>
        <w:t>、</w:t>
      </w:r>
      <w:r>
        <w:rPr/>
        <w:t>米非司酮</w:t>
      </w:r>
      <w:r>
        <w:rPr>
          <w:spacing w:val="-15"/>
        </w:rPr>
        <w:t>、</w:t>
      </w:r>
      <w:r>
        <w:rPr/>
        <w:t>戈舍瑞林</w:t>
      </w:r>
      <w:r>
        <w:rPr>
          <w:spacing w:val="-15"/>
        </w:rPr>
        <w:t>，</w:t>
      </w:r>
      <w:r>
        <w:rPr/>
        <w:t>以及沙利度胺</w:t>
      </w:r>
      <w:r>
        <w:rPr>
          <w:spacing w:val="-15"/>
        </w:rPr>
        <w:t>、</w:t>
      </w:r>
      <w:r>
        <w:rPr>
          <w:spacing w:val="-13"/>
        </w:rPr>
        <w:t>华</w:t>
      </w:r>
      <w:r>
        <w:rPr/>
        <w:t>法林、甲氨蝶呤、米索前列醇、前列腺素</w:t>
      </w:r>
      <w:r>
        <w:rPr>
          <w:spacing w:val="-61"/>
        </w:rPr>
        <w:t> </w:t>
      </w:r>
      <w:r>
        <w:rPr>
          <w:rFonts w:ascii="Times New Roman" w:eastAsia="Times New Roman"/>
        </w:rPr>
        <w:t>E1</w:t>
      </w:r>
      <w:r>
        <w:rPr/>
        <w:t>、碘甘油等均属此类。</w:t>
      </w:r>
    </w:p>
    <w:p>
      <w:pPr>
        <w:pStyle w:val="Heading3"/>
        <w:spacing w:line="300" w:lineRule="exact"/>
        <w:rPr>
          <w:rFonts w:ascii="宋体" w:eastAsia="宋体" w:hint="eastAsia"/>
        </w:rPr>
      </w:pPr>
      <w:r>
        <w:rPr>
          <w:rFonts w:ascii="宋体" w:eastAsia="宋体" w:hint="eastAsia"/>
        </w:rPr>
        <w:t>妊娠期用药原则</w:t>
      </w:r>
    </w:p>
    <w:p>
      <w:pPr>
        <w:pStyle w:val="BodyText"/>
        <w:spacing w:line="297" w:lineRule="auto" w:before="72"/>
        <w:ind w:right="147" w:firstLine="480"/>
      </w:pPr>
      <w:r>
        <w:rPr>
          <w:spacing w:val="-6"/>
        </w:rPr>
        <w:t>妊娠期妇女用药应遵循七项原则，即已肯定的致畸药物禁止使用；用药必须有明确的指</w:t>
      </w:r>
      <w:r>
        <w:rPr>
          <w:spacing w:val="-12"/>
        </w:rPr>
        <w:t>征和适应证；用药必须注意孕周，严格掌握剂量、持续时间；可用可不用的药物应尽量不用</w:t>
      </w:r>
      <w:r>
        <w:rPr>
          <w:spacing w:val="-13"/>
        </w:rPr>
        <w:t>或少用；当两种以上的药物有相同或相似的疗效时，首先考虑选用对胎儿危害较小的药物； </w:t>
      </w:r>
      <w:r>
        <w:rPr>
          <w:spacing w:val="-6"/>
        </w:rPr>
        <w:t>禁止在孕期用试验性用药，包括妊娠试验用药；能单独用药就避免联合用药，能用结论比较肯定的药物就不用比较新的药。</w:t>
      </w:r>
    </w:p>
    <w:p>
      <w:pPr>
        <w:pStyle w:val="BodyText"/>
        <w:spacing w:line="300" w:lineRule="exact"/>
        <w:ind w:left="803"/>
      </w:pPr>
      <w:r>
        <w:rPr/>
        <w:t>［摘自《药学综合知识与技能（第四版）》 中国医药科技出版社出版］</w:t>
      </w:r>
    </w:p>
    <w:p>
      <w:pPr>
        <w:pStyle w:val="BodyText"/>
        <w:spacing w:before="9"/>
        <w:ind w:left="0"/>
        <w:rPr>
          <w:sz w:val="23"/>
        </w:rPr>
      </w:pPr>
    </w:p>
    <w:p>
      <w:pPr>
        <w:pStyle w:val="Heading2"/>
      </w:pPr>
      <w:bookmarkStart w:name="_TOC_250011" w:id="16"/>
      <w:bookmarkEnd w:id="16"/>
      <w:r>
        <w:rPr/>
        <w:t>【指南解读】</w:t>
      </w:r>
    </w:p>
    <w:p>
      <w:pPr>
        <w:pStyle w:val="BodyText"/>
        <w:spacing w:before="6"/>
        <w:ind w:left="0"/>
        <w:rPr>
          <w:b/>
          <w:sz w:val="18"/>
        </w:rPr>
      </w:pPr>
    </w:p>
    <w:p>
      <w:pPr>
        <w:pStyle w:val="Heading2"/>
        <w:spacing w:before="55"/>
        <w:ind w:left="0" w:right="16"/>
        <w:jc w:val="center"/>
      </w:pPr>
      <w:bookmarkStart w:name="_TOC_250010" w:id="17"/>
      <w:bookmarkEnd w:id="17"/>
      <w:r>
        <w:rPr/>
        <w:t>我国首次发布罕见病诊疗指南</w:t>
      </w:r>
    </w:p>
    <w:p>
      <w:pPr>
        <w:spacing w:before="81"/>
        <w:ind w:left="0" w:right="14" w:firstLine="0"/>
        <w:jc w:val="center"/>
        <w:rPr>
          <w:sz w:val="21"/>
        </w:rPr>
      </w:pPr>
      <w:r>
        <w:rPr>
          <w:sz w:val="21"/>
        </w:rPr>
        <w:t>明确 </w:t>
      </w:r>
      <w:r>
        <w:rPr>
          <w:rFonts w:ascii="Calibri" w:eastAsia="Calibri"/>
          <w:sz w:val="21"/>
        </w:rPr>
        <w:t>121 </w:t>
      </w:r>
      <w:r>
        <w:rPr>
          <w:sz w:val="21"/>
        </w:rPr>
        <w:t>种罕见病诊疗流程</w:t>
      </w:r>
    </w:p>
    <w:p>
      <w:pPr>
        <w:pStyle w:val="Heading3"/>
        <w:spacing w:before="176"/>
        <w:ind w:left="0" w:right="248"/>
        <w:jc w:val="right"/>
      </w:pPr>
      <w:r>
        <w:rPr>
          <w:color w:val="FF0000"/>
          <w:w w:val="95"/>
        </w:rPr>
        <w:t>（来源：中国医药报）</w:t>
      </w:r>
    </w:p>
    <w:p>
      <w:pPr>
        <w:pStyle w:val="ListParagraph"/>
        <w:numPr>
          <w:ilvl w:val="0"/>
          <w:numId w:val="16"/>
        </w:numPr>
        <w:tabs>
          <w:tab w:pos="898" w:val="left" w:leader="none"/>
        </w:tabs>
        <w:spacing w:line="240" w:lineRule="auto" w:before="96" w:after="0"/>
        <w:ind w:left="897" w:right="0" w:hanging="180"/>
        <w:jc w:val="left"/>
        <w:rPr>
          <w:rFonts w:ascii="Times New Roman" w:eastAsia="Times New Roman"/>
          <w:sz w:val="24"/>
        </w:rPr>
      </w:pPr>
      <w:r>
        <w:rPr>
          <w:spacing w:val="-31"/>
          <w:sz w:val="24"/>
        </w:rPr>
        <w:t>月 </w:t>
      </w:r>
      <w:r>
        <w:rPr>
          <w:rFonts w:ascii="Times New Roman" w:eastAsia="Times New Roman"/>
          <w:sz w:val="24"/>
        </w:rPr>
        <w:t>27 </w:t>
      </w:r>
      <w:r>
        <w:rPr>
          <w:sz w:val="24"/>
        </w:rPr>
        <w:t>日，国家卫生健康委员会发布《罕见病诊疗指南（</w:t>
      </w:r>
      <w:r>
        <w:rPr>
          <w:rFonts w:ascii="Times New Roman" w:eastAsia="Times New Roman"/>
          <w:sz w:val="24"/>
        </w:rPr>
        <w:t>2019 </w:t>
      </w:r>
      <w:r>
        <w:rPr>
          <w:sz w:val="24"/>
        </w:rPr>
        <w:t>年版）》。</w:t>
      </w:r>
    </w:p>
    <w:p>
      <w:pPr>
        <w:pStyle w:val="BodyText"/>
        <w:spacing w:line="295" w:lineRule="auto" w:before="75"/>
        <w:ind w:right="79" w:firstLine="480"/>
      </w:pPr>
      <w:r>
        <w:rPr/>
        <w:t>“可以说，这是迄今为止我国第一部内容全面、质量过硬的 </w:t>
      </w:r>
      <w:r>
        <w:rPr>
          <w:rFonts w:ascii="Times New Roman" w:hAnsi="Times New Roman" w:eastAsia="Times New Roman"/>
        </w:rPr>
        <w:t>121 </w:t>
      </w:r>
      <w:r>
        <w:rPr/>
        <w:t>种罕见病诊疗指南。” 在当天于北京协和医院举办的发布会上，国家卫健委医政医管局局长张宗久表示。</w:t>
      </w:r>
    </w:p>
    <w:p>
      <w:pPr>
        <w:pStyle w:val="BodyText"/>
        <w:spacing w:line="297" w:lineRule="auto" w:before="2"/>
        <w:ind w:right="246" w:firstLine="480"/>
      </w:pPr>
      <w:r>
        <w:rPr/>
        <w:t>国家卫健委罕见病诊疗与保障专家委员会办公室主任、北京协和医院副院长张抒扬介</w:t>
      </w:r>
      <w:r>
        <w:rPr>
          <w:spacing w:val="-19"/>
        </w:rPr>
        <w:t>绍，罕见病诊疗是世界性难题，这一问题在中国尤其突出，可能波及全国总人口的 </w:t>
      </w:r>
      <w:r>
        <w:rPr>
          <w:rFonts w:ascii="Times New Roman" w:hAnsi="Times New Roman" w:eastAsia="Times New Roman"/>
        </w:rPr>
        <w:t>1/10</w:t>
      </w:r>
      <w:r>
        <w:rPr>
          <w:spacing w:val="-52"/>
        </w:rPr>
        <w:t>。“据</w:t>
      </w:r>
      <w:r>
        <w:rPr>
          <w:spacing w:val="-7"/>
        </w:rPr>
        <w:t>估计，我国有将近 </w:t>
      </w:r>
      <w:r>
        <w:rPr>
          <w:rFonts w:ascii="Times New Roman" w:hAnsi="Times New Roman" w:eastAsia="Times New Roman"/>
        </w:rPr>
        <w:t>2000 </w:t>
      </w:r>
      <w:r>
        <w:rPr>
          <w:spacing w:val="-4"/>
        </w:rPr>
        <w:t>万名罕见病患者，且每年新增患者超过 </w:t>
      </w:r>
      <w:r>
        <w:rPr>
          <w:rFonts w:ascii="Times New Roman" w:hAnsi="Times New Roman" w:eastAsia="Times New Roman"/>
        </w:rPr>
        <w:t>20 </w:t>
      </w:r>
      <w:r>
        <w:rPr/>
        <w:t>万。”张抒扬说。</w:t>
      </w:r>
    </w:p>
    <w:p>
      <w:pPr>
        <w:pStyle w:val="BodyText"/>
        <w:spacing w:line="297" w:lineRule="auto"/>
        <w:ind w:right="127" w:firstLine="480"/>
      </w:pPr>
      <w:r>
        <w:rPr>
          <w:spacing w:val="-8"/>
        </w:rPr>
        <w:t>对于罕见病的防治，张宗久提出“早发现、早诊断、能治疗、能有药”四个关键词。张</w:t>
      </w:r>
      <w:r>
        <w:rPr>
          <w:spacing w:val="-19"/>
        </w:rPr>
        <w:t>抒扬也表示，罕见病防治的核心在于诊疗。但由于疾病诊断难度和我国相关诊疗经验的不足， </w:t>
      </w:r>
      <w:r>
        <w:rPr/>
        <w:t>一些患者遭遇了误诊、漏诊。</w:t>
      </w:r>
    </w:p>
    <w:p>
      <w:pPr>
        <w:pStyle w:val="BodyText"/>
        <w:spacing w:line="297" w:lineRule="auto"/>
        <w:ind w:right="247" w:firstLine="566"/>
        <w:jc w:val="both"/>
      </w:pPr>
      <w:r>
        <w:rPr>
          <w:spacing w:val="-1"/>
        </w:rPr>
        <w:t>《罕见病诊疗指南</w:t>
      </w:r>
      <w:r>
        <w:rPr/>
        <w:t>（</w:t>
      </w:r>
      <w:r>
        <w:rPr>
          <w:rFonts w:ascii="Times New Roman" w:hAnsi="Times New Roman" w:eastAsia="Times New Roman"/>
        </w:rPr>
        <w:t>2019 </w:t>
      </w:r>
      <w:r>
        <w:rPr/>
        <w:t>年版</w:t>
      </w:r>
      <w:r>
        <w:rPr>
          <w:spacing w:val="-3"/>
        </w:rPr>
        <w:t>）</w:t>
      </w:r>
      <w:r>
        <w:rPr>
          <w:spacing w:val="-4"/>
        </w:rPr>
        <w:t>》的发布，有利于罕见病早诊早治。该指南由国家卫</w:t>
      </w:r>
      <w:r>
        <w:rPr>
          <w:spacing w:val="-5"/>
        </w:rPr>
        <w:t>健委罕见病诊疗与保障专家委员会办公室牵头制定，详细阐述了 </w:t>
      </w:r>
      <w:r>
        <w:rPr>
          <w:rFonts w:ascii="Times New Roman" w:hAnsi="Times New Roman" w:eastAsia="Times New Roman"/>
        </w:rPr>
        <w:t>121 </w:t>
      </w:r>
      <w:r>
        <w:rPr>
          <w:spacing w:val="-8"/>
        </w:rPr>
        <w:t>种罕见病的定义、病因</w:t>
      </w:r>
      <w:r>
        <w:rPr>
          <w:spacing w:val="-9"/>
        </w:rPr>
        <w:t>和流行病学、临床表现、鉴别诊断和治疗等内容，并提出相应的诊疗流程。“该指南的公布</w:t>
      </w:r>
      <w:r>
        <w:rPr>
          <w:spacing w:val="-12"/>
        </w:rPr>
        <w:t>实施，对开展医务人员培训、指导医务人员识别诊断罕见病、提升我国罕见病规范化诊疗能</w:t>
      </w:r>
    </w:p>
    <w:p>
      <w:pPr>
        <w:spacing w:after="0" w:line="297" w:lineRule="auto"/>
        <w:jc w:val="both"/>
        <w:sectPr>
          <w:headerReference w:type="default" r:id="rId14"/>
          <w:pgSz w:w="11910" w:h="16850"/>
          <w:pgMar w:header="906" w:footer="607" w:top="1100" w:bottom="800" w:left="1040" w:right="880"/>
        </w:sectPr>
      </w:pPr>
    </w:p>
    <w:p>
      <w:pPr>
        <w:pStyle w:val="BodyText"/>
        <w:spacing w:line="295" w:lineRule="auto" w:before="65"/>
        <w:ind w:right="147"/>
      </w:pPr>
      <w:r>
        <w:rPr>
          <w:spacing w:val="-10"/>
        </w:rPr>
        <w:t>力具有重要意义。”张宗久评价道。北京协和医院神经病学系主任崔丽英表示，该指南能让</w:t>
      </w:r>
      <w:r>
        <w:rPr>
          <w:spacing w:val="-11"/>
        </w:rPr>
        <w:t>更多人了解渐冻症等罕见病，也能指导医生进行必要的检查，让病人尽早接受诊断和治疗。</w:t>
      </w:r>
    </w:p>
    <w:p>
      <w:pPr>
        <w:pStyle w:val="Heading2"/>
        <w:spacing w:before="109"/>
      </w:pPr>
      <w:bookmarkStart w:name="_TOC_250009" w:id="18"/>
      <w:bookmarkEnd w:id="18"/>
      <w:r>
        <w:rPr/>
        <w:t>【科普知识】</w:t>
      </w:r>
    </w:p>
    <w:p>
      <w:pPr>
        <w:pStyle w:val="BodyText"/>
        <w:spacing w:before="9"/>
        <w:ind w:left="0"/>
        <w:rPr>
          <w:b/>
          <w:sz w:val="22"/>
        </w:rPr>
      </w:pPr>
    </w:p>
    <w:p>
      <w:pPr>
        <w:pStyle w:val="Heading2"/>
        <w:ind w:left="0" w:right="19"/>
        <w:jc w:val="center"/>
      </w:pPr>
      <w:bookmarkStart w:name="_TOC_250008" w:id="19"/>
      <w:bookmarkEnd w:id="19"/>
      <w:r>
        <w:rPr/>
        <w:t>吃药不恰当伤肾！运动不对路伤肾！肾弱弱地表示：求关爱！</w:t>
      </w:r>
    </w:p>
    <w:p>
      <w:pPr>
        <w:pStyle w:val="Heading3"/>
        <w:spacing w:before="148"/>
        <w:ind w:left="6360"/>
      </w:pPr>
      <w:r>
        <w:rPr>
          <w:color w:val="FF0000"/>
        </w:rPr>
        <w:t>（来源：药葫芦娃微信公众号）</w:t>
      </w:r>
    </w:p>
    <w:p>
      <w:pPr>
        <w:pStyle w:val="ListParagraph"/>
        <w:numPr>
          <w:ilvl w:val="0"/>
          <w:numId w:val="16"/>
        </w:numPr>
        <w:tabs>
          <w:tab w:pos="888" w:val="left" w:leader="none"/>
        </w:tabs>
        <w:spacing w:line="240" w:lineRule="auto" w:before="95" w:after="0"/>
        <w:ind w:left="887" w:right="0" w:hanging="182"/>
        <w:jc w:val="left"/>
        <w:rPr>
          <w:rFonts w:ascii="Calibri" w:hAnsi="Calibri" w:eastAsia="Calibri"/>
          <w:b/>
          <w:sz w:val="24"/>
        </w:rPr>
      </w:pPr>
      <w:r>
        <w:rPr>
          <w:b/>
          <w:spacing w:val="-30"/>
          <w:sz w:val="24"/>
        </w:rPr>
        <w:t>月 </w:t>
      </w:r>
      <w:r>
        <w:rPr>
          <w:rFonts w:ascii="Calibri" w:hAnsi="Calibri" w:eastAsia="Calibri"/>
          <w:b/>
          <w:sz w:val="24"/>
        </w:rPr>
        <w:t>14</w:t>
      </w:r>
      <w:r>
        <w:rPr>
          <w:rFonts w:ascii="Calibri" w:hAnsi="Calibri" w:eastAsia="Calibri"/>
          <w:b/>
          <w:spacing w:val="4"/>
          <w:sz w:val="24"/>
        </w:rPr>
        <w:t> </w:t>
      </w:r>
      <w:r>
        <w:rPr>
          <w:b/>
          <w:sz w:val="24"/>
        </w:rPr>
        <w:t>日是一年一度的“世界肾脏日”</w:t>
      </w:r>
    </w:p>
    <w:p>
      <w:pPr>
        <w:pStyle w:val="BodyText"/>
        <w:spacing w:line="297" w:lineRule="auto" w:before="72"/>
        <w:ind w:left="705" w:right="4478"/>
      </w:pPr>
      <w:r>
        <w:rPr/>
        <w:t>保护肾脏，从我做起！肾脏可真是个好东西！ 这两粒扁豆状的存在，简直不要太重要！</w:t>
      </w:r>
    </w:p>
    <w:p>
      <w:pPr>
        <w:pStyle w:val="BodyText"/>
        <w:spacing w:line="297" w:lineRule="auto"/>
        <w:ind w:right="129" w:firstLine="468"/>
        <w:jc w:val="both"/>
      </w:pPr>
      <w:r>
        <w:rPr>
          <w:spacing w:val="-16"/>
        </w:rPr>
        <w:t>肾脏是人体的重要器官，它的基本功能是生成尿液，借以清除体内代谢产物及某些废物、</w:t>
      </w:r>
      <w:r>
        <w:rPr/>
        <w:t>毒物，同时经重吸收功能保留水份及其他有用物质，如葡萄糖、蛋白质、氨基酸、钠离子、钾离子、碳酸氢钠等，以调节水、电解质平衡及维护酸碱平衡。</w:t>
      </w:r>
    </w:p>
    <w:p>
      <w:pPr>
        <w:pStyle w:val="BodyText"/>
        <w:spacing w:line="295" w:lineRule="auto"/>
        <w:ind w:right="240" w:firstLine="468"/>
      </w:pPr>
      <w:r>
        <w:rPr/>
        <w:t>肾脏同时还有内分泌功能，生成肾素、促红细胞生成素、活性维生素 </w:t>
      </w:r>
      <w:r>
        <w:rPr>
          <w:rFonts w:ascii="Calibri" w:eastAsia="Calibri"/>
        </w:rPr>
        <w:t>D3</w:t>
      </w:r>
      <w:r>
        <w:rPr/>
        <w:t>、前列腺素、激肽等，又为机体部分内分泌激素的降解场所和肾外激素的靶器官。</w:t>
      </w:r>
    </w:p>
    <w:p>
      <w:pPr>
        <w:pStyle w:val="BodyText"/>
        <w:ind w:left="705"/>
      </w:pPr>
      <w:r>
        <w:rPr/>
        <w:t>肾脏的这些功能，保证了机体内环境的稳定，使新陈代谢得以正常进行。</w:t>
      </w:r>
    </w:p>
    <w:p>
      <w:pPr>
        <w:pStyle w:val="BodyText"/>
        <w:spacing w:line="295" w:lineRule="auto" w:before="71"/>
        <w:ind w:left="705" w:right="1382" w:firstLine="55"/>
      </w:pPr>
      <w:r>
        <w:rPr>
          <w:rFonts w:ascii="Calibri" w:hAnsi="Calibri" w:eastAsia="Calibri"/>
        </w:rPr>
        <w:t>“</w:t>
      </w:r>
      <w:r>
        <w:rPr/>
        <w:t>肾虚</w:t>
      </w:r>
      <w:r>
        <w:rPr>
          <w:rFonts w:ascii="Calibri" w:hAnsi="Calibri" w:eastAsia="Calibri"/>
        </w:rPr>
        <w:t>”</w:t>
      </w:r>
      <w:r>
        <w:rPr/>
        <w:t>这个词，甭管男女，谁都不乐意听到，更甭提进行</w:t>
      </w:r>
      <w:r>
        <w:rPr>
          <w:rFonts w:ascii="Calibri" w:hAnsi="Calibri" w:eastAsia="Calibri"/>
        </w:rPr>
        <w:t>“</w:t>
      </w:r>
      <w:r>
        <w:rPr/>
        <w:t>伤肾</w:t>
      </w:r>
      <w:r>
        <w:rPr>
          <w:rFonts w:ascii="Calibri" w:hAnsi="Calibri" w:eastAsia="Calibri"/>
        </w:rPr>
        <w:t>”</w:t>
      </w:r>
      <w:r>
        <w:rPr/>
        <w:t>的操作了！ 但是，避无可避啊！</w:t>
      </w:r>
    </w:p>
    <w:p>
      <w:pPr>
        <w:pStyle w:val="BodyText"/>
        <w:spacing w:before="5"/>
        <w:ind w:left="705"/>
      </w:pPr>
      <w:r>
        <w:rPr/>
        <w:t>一辈子，这么长，谁还不生个病咋的？</w:t>
      </w:r>
    </w:p>
    <w:p>
      <w:pPr>
        <w:pStyle w:val="BodyText"/>
        <w:spacing w:line="295" w:lineRule="auto" w:before="71"/>
        <w:ind w:left="705" w:right="1119"/>
      </w:pPr>
      <w:r>
        <w:rPr/>
        <w:t>说到治病，药是个让人又爱又恨的存在，一般情况下都是伤敌一万自损八千！ 简单说，伤肾啊！</w:t>
      </w:r>
    </w:p>
    <w:p>
      <w:pPr>
        <w:pStyle w:val="BodyText"/>
        <w:spacing w:before="5"/>
        <w:ind w:left="705"/>
      </w:pPr>
      <w:r>
        <w:rPr/>
        <w:t>肾脏是人体血流量丰富的主要脏器之一，也是药物排泄的主要器官。</w:t>
      </w:r>
    </w:p>
    <w:p>
      <w:pPr>
        <w:pStyle w:val="BodyText"/>
        <w:spacing w:before="71"/>
        <w:ind w:left="705"/>
      </w:pPr>
      <w:r>
        <w:rPr/>
        <w:t>因此，服用一些药物特别是有肾脏毒性的药物会大大增加肾功能损伤的机率。</w:t>
      </w:r>
    </w:p>
    <w:p>
      <w:pPr>
        <w:pStyle w:val="BodyText"/>
        <w:spacing w:line="297" w:lineRule="auto" w:before="72"/>
        <w:ind w:right="250" w:firstLine="468"/>
      </w:pPr>
      <w:r>
        <w:rPr>
          <w:spacing w:val="-7"/>
        </w:rPr>
        <w:t>目前很多药物诸如抗菌药物、抗结核药、抗病毒药、抗真菌药、造影剂、抗癌药物都会</w:t>
      </w:r>
      <w:r>
        <w:rPr/>
        <w:t>对肾脏造成一些不良的影响。</w:t>
      </w:r>
    </w:p>
    <w:p>
      <w:pPr>
        <w:pStyle w:val="BodyText"/>
        <w:spacing w:line="297" w:lineRule="auto"/>
        <w:ind w:right="250" w:firstLine="468"/>
      </w:pPr>
      <w:r>
        <w:rPr>
          <w:spacing w:val="-6"/>
        </w:rPr>
        <w:t>由于正常人的肾脏具有一定的自我修复的功能，因此，在医生或药师的监护下短时间少</w:t>
      </w:r>
      <w:r>
        <w:rPr/>
        <w:t>量使用这些药物，并不会对肾脏造成不可逆的损伤。</w:t>
      </w:r>
    </w:p>
    <w:p>
      <w:pPr>
        <w:pStyle w:val="BodyText"/>
        <w:spacing w:line="295" w:lineRule="auto"/>
        <w:ind w:right="249" w:firstLine="468"/>
      </w:pPr>
      <w:r>
        <w:rPr>
          <w:spacing w:val="-7"/>
        </w:rPr>
        <w:t>而对于肾功能不全的患者，如必须使用这些药物，则需要减少药物剂量或延长服药的间</w:t>
      </w:r>
      <w:r>
        <w:rPr/>
        <w:t>隔，以避免药物在体内蓄积，加重对肾脏的负担。</w:t>
      </w:r>
    </w:p>
    <w:p>
      <w:pPr>
        <w:pStyle w:val="Heading3"/>
        <w:ind w:left="705"/>
        <w:rPr>
          <w:rFonts w:ascii="宋体" w:eastAsia="宋体" w:hint="eastAsia"/>
        </w:rPr>
      </w:pPr>
      <w:r>
        <w:rPr>
          <w:rFonts w:ascii="宋体" w:eastAsia="宋体" w:hint="eastAsia"/>
        </w:rPr>
        <w:t>而有些药物，在服用期间如果采取一些预防的措施则可尽可能减少对肾脏的损害。</w:t>
      </w:r>
    </w:p>
    <w:p>
      <w:pPr>
        <w:pStyle w:val="ListParagraph"/>
        <w:numPr>
          <w:ilvl w:val="0"/>
          <w:numId w:val="17"/>
        </w:numPr>
        <w:tabs>
          <w:tab w:pos="890" w:val="left" w:leader="none"/>
        </w:tabs>
        <w:spacing w:line="295" w:lineRule="auto" w:before="73" w:after="0"/>
        <w:ind w:left="237" w:right="250" w:firstLine="468"/>
        <w:jc w:val="left"/>
        <w:rPr>
          <w:sz w:val="24"/>
        </w:rPr>
      </w:pPr>
      <w:r>
        <w:rPr>
          <w:spacing w:val="-3"/>
          <w:sz w:val="24"/>
        </w:rPr>
        <w:t>服用抗病毒药物阿昔洛韦期间应饮用大量的水，以避免药物形成结晶在肾脏中的肾小</w:t>
      </w:r>
      <w:r>
        <w:rPr>
          <w:sz w:val="24"/>
        </w:rPr>
        <w:t>管沉积，导致肾小堵塞，引起急性肾功能衰竭。</w:t>
      </w:r>
    </w:p>
    <w:p>
      <w:pPr>
        <w:pStyle w:val="ListParagraph"/>
        <w:numPr>
          <w:ilvl w:val="0"/>
          <w:numId w:val="17"/>
        </w:numPr>
        <w:tabs>
          <w:tab w:pos="890" w:val="left" w:leader="none"/>
        </w:tabs>
        <w:spacing w:line="297" w:lineRule="auto" w:before="2" w:after="0"/>
        <w:ind w:left="237" w:right="216" w:firstLine="468"/>
        <w:jc w:val="left"/>
        <w:rPr>
          <w:sz w:val="24"/>
        </w:rPr>
      </w:pPr>
      <w:r>
        <w:rPr>
          <w:sz w:val="24"/>
        </w:rPr>
        <w:t>抗菌药物中的磺胺类药物如复方磺胺甲噁唑（复方新诺明）</w:t>
      </w:r>
      <w:r>
        <w:rPr>
          <w:spacing w:val="-2"/>
          <w:sz w:val="24"/>
        </w:rPr>
        <w:t>也容易在尿中形成结晶， </w:t>
      </w:r>
      <w:r>
        <w:rPr>
          <w:sz w:val="24"/>
        </w:rPr>
        <w:t>堵塞肾小管。</w:t>
      </w:r>
    </w:p>
    <w:p>
      <w:pPr>
        <w:pStyle w:val="BodyText"/>
        <w:spacing w:line="297" w:lineRule="auto"/>
        <w:ind w:right="250" w:firstLine="468"/>
        <w:jc w:val="both"/>
      </w:pPr>
      <w:r>
        <w:rPr>
          <w:spacing w:val="-6"/>
        </w:rPr>
        <w:t>由于这些结晶在酸性的环境中容易形成，因此服用磺胺类药物时除了多饮水，保持高尿</w:t>
      </w:r>
      <w:r>
        <w:rPr>
          <w:spacing w:val="-7"/>
        </w:rPr>
        <w:t>流量外，也可以服用适量碳酸氢钠</w:t>
      </w:r>
      <w:r>
        <w:rPr/>
        <w:t>（小苏打</w:t>
      </w:r>
      <w:r>
        <w:rPr>
          <w:spacing w:val="-20"/>
        </w:rPr>
        <w:t>）</w:t>
      </w:r>
      <w:r>
        <w:rPr>
          <w:spacing w:val="-8"/>
        </w:rPr>
        <w:t>碱化尿液，使晶体不易形成，以便于随尿液排</w:t>
      </w:r>
      <w:r>
        <w:rPr/>
        <w:t>出体外。</w:t>
      </w:r>
    </w:p>
    <w:p>
      <w:pPr>
        <w:pStyle w:val="BodyText"/>
        <w:spacing w:line="295" w:lineRule="auto"/>
        <w:ind w:right="250" w:firstLine="468"/>
      </w:pPr>
      <w:r>
        <w:rPr>
          <w:spacing w:val="-7"/>
        </w:rPr>
        <w:t>然而多饮水并不是万能的，有些药物会直接引起肾脏结构和功能的改变，造成肾细胞的</w:t>
      </w:r>
      <w:r>
        <w:rPr/>
        <w:t>损伤，甚至导致肾脏细胞的死亡。</w:t>
      </w:r>
    </w:p>
    <w:p>
      <w:pPr>
        <w:spacing w:after="0" w:line="295" w:lineRule="auto"/>
        <w:sectPr>
          <w:pgSz w:w="11910" w:h="16850"/>
          <w:pgMar w:header="906" w:footer="607" w:top="1100" w:bottom="800" w:left="1040" w:right="880"/>
        </w:sectPr>
      </w:pPr>
    </w:p>
    <w:p>
      <w:pPr>
        <w:pStyle w:val="BodyText"/>
        <w:spacing w:line="295" w:lineRule="auto" w:before="65"/>
        <w:ind w:right="247" w:firstLine="468"/>
      </w:pPr>
      <w:r>
        <w:rPr>
          <w:spacing w:val="-6"/>
        </w:rPr>
        <w:t>如中草药中的雷公藤以及含马兜铃酸的中草药如关木通、木防已、青木香，天仙藤、马</w:t>
      </w:r>
      <w:r>
        <w:rPr/>
        <w:t>兜铃等都可以直接造成肾脏细胞损伤。</w:t>
      </w:r>
    </w:p>
    <w:p>
      <w:pPr>
        <w:pStyle w:val="BodyText"/>
        <w:spacing w:line="297" w:lineRule="auto" w:before="2"/>
        <w:ind w:right="250" w:firstLine="468"/>
      </w:pPr>
      <w:r>
        <w:rPr>
          <w:spacing w:val="-10"/>
        </w:rPr>
        <w:t>因此，我们在服用一些中成药或者中药方剂的时候一定要看清主要的配方组成，尽可能</w:t>
      </w:r>
      <w:r>
        <w:rPr/>
        <w:t>避免服用这些药物。</w:t>
      </w:r>
    </w:p>
    <w:p>
      <w:pPr>
        <w:pStyle w:val="Heading3"/>
        <w:spacing w:line="306" w:lineRule="exact"/>
        <w:ind w:left="705"/>
        <w:rPr>
          <w:rFonts w:ascii="宋体" w:eastAsia="宋体" w:hint="eastAsia"/>
        </w:rPr>
      </w:pPr>
      <w:r>
        <w:rPr>
          <w:rFonts w:ascii="宋体" w:eastAsia="宋体" w:hint="eastAsia"/>
        </w:rPr>
        <w:t>除了药物，一些不恰当的运动也可能引起肾脏的损伤。</w:t>
      </w:r>
    </w:p>
    <w:p>
      <w:pPr>
        <w:pStyle w:val="ListParagraph"/>
        <w:numPr>
          <w:ilvl w:val="0"/>
          <w:numId w:val="18"/>
        </w:numPr>
        <w:tabs>
          <w:tab w:pos="902" w:val="left" w:leader="none"/>
        </w:tabs>
        <w:spacing w:line="297" w:lineRule="auto" w:before="72" w:after="0"/>
        <w:ind w:left="237" w:right="247" w:firstLine="480"/>
        <w:jc w:val="left"/>
        <w:rPr>
          <w:sz w:val="24"/>
        </w:rPr>
      </w:pPr>
      <w:r>
        <w:rPr>
          <w:spacing w:val="-5"/>
          <w:sz w:val="24"/>
        </w:rPr>
        <w:t>如固定姿势压迫肌肉、过度运动等会导致人体骨骼肌发生断裂，肌肉中的一些肌红蛋</w:t>
      </w:r>
      <w:r>
        <w:rPr>
          <w:sz w:val="24"/>
        </w:rPr>
        <w:t>白会进入血液，并随血液流经肾脏将肾小管或肾小球堵塞，造成急性肾功能衰竭。</w:t>
      </w:r>
    </w:p>
    <w:p>
      <w:pPr>
        <w:pStyle w:val="BodyText"/>
        <w:spacing w:line="306" w:lineRule="exact"/>
        <w:ind w:left="705"/>
      </w:pPr>
      <w:r>
        <w:rPr/>
        <w:t>因此，运动应循序渐进，不要一下负荷太大。</w:t>
      </w:r>
    </w:p>
    <w:p>
      <w:pPr>
        <w:pStyle w:val="ListParagraph"/>
        <w:numPr>
          <w:ilvl w:val="0"/>
          <w:numId w:val="18"/>
        </w:numPr>
        <w:tabs>
          <w:tab w:pos="890" w:val="left" w:leader="none"/>
        </w:tabs>
        <w:spacing w:line="300" w:lineRule="auto" w:before="71" w:after="0"/>
        <w:ind w:left="237" w:right="250" w:firstLine="468"/>
        <w:jc w:val="left"/>
        <w:rPr>
          <w:rFonts w:ascii="华文楷体" w:eastAsia="华文楷体" w:hint="eastAsia"/>
          <w:sz w:val="21"/>
        </w:rPr>
      </w:pPr>
      <w:r>
        <w:rPr>
          <w:spacing w:val="-6"/>
          <w:sz w:val="24"/>
        </w:rPr>
        <w:t>其次，运动结束，需要大量饮水，一方面，补充随汗液蒸发的水分，以避免脱水，另</w:t>
      </w:r>
      <w:r>
        <w:rPr>
          <w:sz w:val="24"/>
        </w:rPr>
        <w:t>一方面，增加尿量及时把集聚肾脏中的肌红蛋白排出体外，防止其积聚在肾脏造成损伤。</w:t>
      </w:r>
      <w:r>
        <w:rPr>
          <w:rFonts w:ascii="华文楷体" w:eastAsia="华文楷体" w:hint="eastAsia"/>
          <w:spacing w:val="-3"/>
          <w:sz w:val="21"/>
        </w:rPr>
        <w:t>本文由宜昌市第一人民医院临床药学室贾亮亮供稿。</w:t>
      </w:r>
    </w:p>
    <w:p>
      <w:pPr>
        <w:pStyle w:val="Heading2"/>
        <w:spacing w:before="18"/>
        <w:ind w:left="0" w:right="14"/>
        <w:jc w:val="center"/>
      </w:pPr>
      <w:bookmarkStart w:name="_TOC_250007" w:id="20"/>
      <w:bookmarkEnd w:id="20"/>
      <w:r>
        <w:rPr/>
        <w:t>益生菌有“四怕”</w:t>
      </w:r>
    </w:p>
    <w:p>
      <w:pPr>
        <w:pStyle w:val="Heading3"/>
        <w:spacing w:before="147"/>
        <w:ind w:left="7807"/>
      </w:pPr>
      <w:r>
        <w:rPr>
          <w:color w:val="FF0000"/>
        </w:rPr>
        <w:t>（来源：健康报）</w:t>
      </w:r>
    </w:p>
    <w:p>
      <w:pPr>
        <w:pStyle w:val="BodyText"/>
        <w:spacing w:line="280" w:lineRule="auto" w:before="79"/>
        <w:ind w:right="130" w:firstLine="480"/>
      </w:pPr>
      <w:r>
        <w:rPr>
          <w:spacing w:val="-11"/>
        </w:rPr>
        <w:t>益生菌是临床使用最为广泛的微生态制剂，可用于腹泻、炎症性肠病、牛奶过敏性湿疹、</w:t>
      </w:r>
      <w:r>
        <w:rPr/>
        <w:t>肝性脑病等疾病的治疗和预防。</w:t>
      </w:r>
    </w:p>
    <w:p>
      <w:pPr>
        <w:pStyle w:val="BodyText"/>
        <w:spacing w:line="280" w:lineRule="auto" w:before="1"/>
        <w:ind w:right="247" w:firstLine="480"/>
        <w:jc w:val="both"/>
      </w:pPr>
      <w:r>
        <w:rPr>
          <w:spacing w:val="-7"/>
        </w:rPr>
        <w:t>人的肠道内本来就有着许多种细菌。当人体内的细菌以一种合理的比例存在、大家相安</w:t>
      </w:r>
      <w:r>
        <w:rPr>
          <w:spacing w:val="-9"/>
        </w:rPr>
        <w:t>无事时，人就处于健康状态。一旦体内菌群失去平衡，其中一种或几种菌大量繁殖，侵占其</w:t>
      </w:r>
      <w:r>
        <w:rPr>
          <w:spacing w:val="-14"/>
        </w:rPr>
        <w:t>他细菌的生存空间，并释放出不好的物质，就可能出现腹泻、过敏、免疫力低等问题。适当补充益生菌，可调节体内菌群的分布，促进人体恢复健康状态。</w:t>
      </w:r>
    </w:p>
    <w:p>
      <w:pPr>
        <w:pStyle w:val="BodyText"/>
        <w:spacing w:before="1"/>
        <w:ind w:left="717"/>
      </w:pPr>
      <w:r>
        <w:rPr/>
        <w:t>作为一种“活”菌制剂，益生菌的使用过程中需要注意以下几点。</w:t>
      </w:r>
    </w:p>
    <w:p>
      <w:pPr>
        <w:pStyle w:val="Heading3"/>
        <w:numPr>
          <w:ilvl w:val="0"/>
          <w:numId w:val="19"/>
        </w:numPr>
        <w:tabs>
          <w:tab w:pos="901" w:val="left" w:leader="none"/>
        </w:tabs>
        <w:spacing w:line="240" w:lineRule="auto" w:before="52" w:after="0"/>
        <w:ind w:left="900" w:right="0" w:hanging="181"/>
        <w:jc w:val="left"/>
        <w:rPr>
          <w:rFonts w:ascii="宋体" w:eastAsia="宋体" w:hint="eastAsia"/>
        </w:rPr>
      </w:pPr>
      <w:r>
        <w:rPr>
          <w:rFonts w:ascii="宋体" w:eastAsia="宋体" w:hint="eastAsia"/>
        </w:rPr>
        <w:t>益生菌怕杀菌消毒制剂。</w:t>
      </w:r>
    </w:p>
    <w:p>
      <w:pPr>
        <w:pStyle w:val="BodyText"/>
        <w:spacing w:line="280" w:lineRule="auto" w:before="53"/>
        <w:ind w:right="147" w:firstLine="480"/>
      </w:pPr>
      <w:r>
        <w:rPr>
          <w:spacing w:val="-5"/>
        </w:rPr>
        <w:t>益生菌不宜和具有杀菌消毒活性的制剂同时服用，不能与抗菌药物合用。因为益生菌中</w:t>
      </w:r>
      <w:r>
        <w:rPr>
          <w:spacing w:val="-6"/>
        </w:rPr>
        <w:t>的活菌容易被抗菌药物杀死，完全起不了效果。如果病情需要同时服用抗菌药物和益生菌， 建议两药服用时间间隔 </w:t>
      </w:r>
      <w:r>
        <w:rPr>
          <w:rFonts w:ascii="Times New Roman" w:eastAsia="Times New Roman"/>
        </w:rPr>
        <w:t>2 </w:t>
      </w:r>
      <w:r>
        <w:rPr/>
        <w:t>小时以上。</w:t>
      </w:r>
    </w:p>
    <w:p>
      <w:pPr>
        <w:pStyle w:val="Heading3"/>
        <w:numPr>
          <w:ilvl w:val="0"/>
          <w:numId w:val="19"/>
        </w:numPr>
        <w:tabs>
          <w:tab w:pos="901" w:val="left" w:leader="none"/>
        </w:tabs>
        <w:spacing w:line="240" w:lineRule="auto" w:before="1" w:after="0"/>
        <w:ind w:left="900" w:right="0" w:hanging="181"/>
        <w:jc w:val="left"/>
        <w:rPr>
          <w:rFonts w:ascii="宋体" w:eastAsia="宋体" w:hint="eastAsia"/>
        </w:rPr>
      </w:pPr>
      <w:r>
        <w:rPr>
          <w:rFonts w:ascii="宋体" w:eastAsia="宋体" w:hint="eastAsia"/>
        </w:rPr>
        <w:t>益生菌怕酒精。</w:t>
      </w:r>
    </w:p>
    <w:p>
      <w:pPr>
        <w:pStyle w:val="BodyText"/>
        <w:spacing w:line="280" w:lineRule="auto" w:before="53"/>
        <w:ind w:right="247" w:firstLine="480"/>
        <w:jc w:val="both"/>
      </w:pPr>
      <w:r>
        <w:rPr>
          <w:spacing w:val="-7"/>
        </w:rPr>
        <w:t>酒精是一种常用的杀菌消毒剂，酊剂中的酒精含量较高，也不宜和益生菌同时服用。酊</w:t>
      </w:r>
      <w:r>
        <w:rPr>
          <w:spacing w:val="-5"/>
        </w:rPr>
        <w:t>剂指的是把生药浸在酒精里或把化学药物溶解在酒精里而成的药剂，如颠茄酊、橙皮酊、碘</w:t>
      </w:r>
      <w:r>
        <w:rPr/>
        <w:t>酊等。</w:t>
      </w:r>
    </w:p>
    <w:p>
      <w:pPr>
        <w:pStyle w:val="Heading3"/>
        <w:numPr>
          <w:ilvl w:val="0"/>
          <w:numId w:val="19"/>
        </w:numPr>
        <w:tabs>
          <w:tab w:pos="901" w:val="left" w:leader="none"/>
        </w:tabs>
        <w:spacing w:line="240" w:lineRule="auto" w:before="0" w:after="0"/>
        <w:ind w:left="900" w:right="0" w:hanging="181"/>
        <w:jc w:val="left"/>
        <w:rPr>
          <w:rFonts w:ascii="宋体" w:eastAsia="宋体" w:hint="eastAsia"/>
        </w:rPr>
      </w:pPr>
      <w:r>
        <w:rPr>
          <w:rFonts w:ascii="宋体" w:eastAsia="宋体" w:hint="eastAsia"/>
        </w:rPr>
        <w:t>益生菌怕热。</w:t>
      </w:r>
    </w:p>
    <w:p>
      <w:pPr>
        <w:pStyle w:val="BodyText"/>
        <w:spacing w:before="53"/>
        <w:ind w:left="717"/>
      </w:pPr>
      <w:r>
        <w:rPr/>
        <w:t>作为活菌且又在人体内存活，益生菌的最佳生长温度和人类肠道正常温度相近，大约是</w:t>
      </w:r>
    </w:p>
    <w:p>
      <w:pPr>
        <w:pStyle w:val="BodyText"/>
        <w:spacing w:line="280" w:lineRule="auto" w:before="52"/>
        <w:ind w:right="252"/>
      </w:pPr>
      <w:r>
        <w:rPr>
          <w:rFonts w:ascii="Times New Roman" w:hAnsi="Times New Roman" w:eastAsia="Times New Roman"/>
        </w:rPr>
        <w:t>37</w:t>
      </w:r>
      <w:r>
        <w:rPr>
          <w:spacing w:val="-11"/>
        </w:rPr>
        <w:t>℃。因此益生菌制剂最好保存在阴凉干燥处，有些药物甚至需要冷藏。同时，送服或者冲</w:t>
      </w:r>
      <w:r>
        <w:rPr>
          <w:spacing w:val="-4"/>
        </w:rPr>
        <w:t>兑益生菌制剂的水温，最好不要超过 </w:t>
      </w:r>
      <w:r>
        <w:rPr>
          <w:rFonts w:ascii="Times New Roman" w:hAnsi="Times New Roman" w:eastAsia="Times New Roman"/>
        </w:rPr>
        <w:t>40</w:t>
      </w:r>
      <w:r>
        <w:rPr/>
        <w:t>℃，不然益生菌就被烫死了。</w:t>
      </w:r>
    </w:p>
    <w:p>
      <w:pPr>
        <w:pStyle w:val="Heading3"/>
        <w:numPr>
          <w:ilvl w:val="0"/>
          <w:numId w:val="19"/>
        </w:numPr>
        <w:tabs>
          <w:tab w:pos="901" w:val="left" w:leader="none"/>
        </w:tabs>
        <w:spacing w:line="240" w:lineRule="auto" w:before="1" w:after="0"/>
        <w:ind w:left="900" w:right="0" w:hanging="181"/>
        <w:jc w:val="left"/>
        <w:rPr>
          <w:rFonts w:ascii="宋体" w:eastAsia="宋体" w:hint="eastAsia"/>
        </w:rPr>
      </w:pPr>
      <w:r>
        <w:rPr>
          <w:rFonts w:ascii="宋体" w:eastAsia="宋体" w:hint="eastAsia"/>
        </w:rPr>
        <w:t>益生菌怕被抑制吸附。</w:t>
      </w:r>
    </w:p>
    <w:p>
      <w:pPr>
        <w:pStyle w:val="BodyText"/>
        <w:spacing w:line="280" w:lineRule="auto" w:before="52"/>
        <w:ind w:right="247" w:firstLine="480"/>
        <w:jc w:val="both"/>
      </w:pPr>
      <w:r>
        <w:rPr>
          <w:spacing w:val="-7"/>
        </w:rPr>
        <w:t>如果患者有胃炎或者腹泻的情况，医生很有可能会开具胶体果胶铋、鞣酸制剂、药用炭</w:t>
      </w:r>
      <w:r>
        <w:rPr>
          <w:spacing w:val="-8"/>
        </w:rPr>
        <w:t>或者蒙脱石散等药物，但这些药物会对细菌的生长有抑制作用，或者会吸附细菌，然后直接</w:t>
      </w:r>
      <w:r>
        <w:rPr>
          <w:spacing w:val="-9"/>
        </w:rPr>
        <w:t>带出体外，可影响益生菌制剂发挥疗效。因此，以上药物也不能和益生菌同时服用，应间隔服用。</w:t>
      </w:r>
    </w:p>
    <w:p>
      <w:pPr>
        <w:spacing w:before="6"/>
        <w:ind w:left="657" w:right="0" w:firstLine="0"/>
        <w:jc w:val="left"/>
        <w:rPr>
          <w:rFonts w:ascii="华文楷体" w:eastAsia="华文楷体" w:hint="eastAsia"/>
          <w:sz w:val="21"/>
        </w:rPr>
      </w:pPr>
      <w:r>
        <w:rPr>
          <w:rFonts w:ascii="华文楷体" w:eastAsia="华文楷体" w:hint="eastAsia"/>
          <w:sz w:val="21"/>
        </w:rPr>
        <w:t>作者: 浙江大学医学院附属第一医院药学部 孔丽敏</w:t>
      </w:r>
    </w:p>
    <w:p>
      <w:pPr>
        <w:spacing w:after="0"/>
        <w:jc w:val="left"/>
        <w:rPr>
          <w:rFonts w:ascii="华文楷体" w:eastAsia="华文楷体" w:hint="eastAsia"/>
          <w:sz w:val="21"/>
        </w:rPr>
        <w:sectPr>
          <w:pgSz w:w="11910" w:h="16850"/>
          <w:pgMar w:header="906" w:footer="607" w:top="1100" w:bottom="800" w:left="1040" w:right="880"/>
        </w:sectPr>
      </w:pPr>
    </w:p>
    <w:p>
      <w:pPr>
        <w:pStyle w:val="Heading2"/>
        <w:spacing w:line="395" w:lineRule="exact"/>
        <w:ind w:left="1933"/>
      </w:pPr>
      <w:r>
        <w:rPr/>
        <w:drawing>
          <wp:anchor distT="0" distB="0" distL="0" distR="0" allowOverlap="1" layoutInCell="1" locked="0" behindDoc="0" simplePos="0" relativeHeight="1216">
            <wp:simplePos x="0" y="0"/>
            <wp:positionH relativeFrom="page">
              <wp:posOffset>916305</wp:posOffset>
            </wp:positionH>
            <wp:positionV relativeFrom="page">
              <wp:posOffset>4263389</wp:posOffset>
            </wp:positionV>
            <wp:extent cx="2762670" cy="2767774"/>
            <wp:effectExtent l="0" t="0" r="0" b="0"/>
            <wp:wrapNone/>
            <wp:docPr id="1" name="image2.jpeg" descr=""/>
            <wp:cNvGraphicFramePr>
              <a:graphicFrameLocks noChangeAspect="1"/>
            </wp:cNvGraphicFramePr>
            <a:graphic>
              <a:graphicData uri="http://schemas.openxmlformats.org/drawingml/2006/picture">
                <pic:pic>
                  <pic:nvPicPr>
                    <pic:cNvPr id="2" name="image2.jpeg"/>
                    <pic:cNvPicPr/>
                  </pic:nvPicPr>
                  <pic:blipFill>
                    <a:blip r:embed="rId15" cstate="print"/>
                    <a:stretch>
                      <a:fillRect/>
                    </a:stretch>
                  </pic:blipFill>
                  <pic:spPr>
                    <a:xfrm>
                      <a:off x="0" y="0"/>
                      <a:ext cx="2762670" cy="2767774"/>
                    </a:xfrm>
                    <a:prstGeom prst="rect">
                      <a:avLst/>
                    </a:prstGeom>
                  </pic:spPr>
                </pic:pic>
              </a:graphicData>
            </a:graphic>
          </wp:anchor>
        </w:drawing>
      </w:r>
      <w:r>
        <w:rPr/>
        <w:drawing>
          <wp:anchor distT="0" distB="0" distL="0" distR="0" allowOverlap="1" layoutInCell="1" locked="0" behindDoc="0" simplePos="0" relativeHeight="1240">
            <wp:simplePos x="0" y="0"/>
            <wp:positionH relativeFrom="page">
              <wp:posOffset>3830954</wp:posOffset>
            </wp:positionH>
            <wp:positionV relativeFrom="page">
              <wp:posOffset>4208779</wp:posOffset>
            </wp:positionV>
            <wp:extent cx="2783912" cy="2798635"/>
            <wp:effectExtent l="0" t="0" r="0" b="0"/>
            <wp:wrapNone/>
            <wp:docPr id="3" name="image3.jpeg" descr=""/>
            <wp:cNvGraphicFramePr>
              <a:graphicFrameLocks noChangeAspect="1"/>
            </wp:cNvGraphicFramePr>
            <a:graphic>
              <a:graphicData uri="http://schemas.openxmlformats.org/drawingml/2006/picture">
                <pic:pic>
                  <pic:nvPicPr>
                    <pic:cNvPr id="4" name="image3.jpeg"/>
                    <pic:cNvPicPr/>
                  </pic:nvPicPr>
                  <pic:blipFill>
                    <a:blip r:embed="rId16" cstate="print"/>
                    <a:stretch>
                      <a:fillRect/>
                    </a:stretch>
                  </pic:blipFill>
                  <pic:spPr>
                    <a:xfrm>
                      <a:off x="0" y="0"/>
                      <a:ext cx="2783912" cy="2798635"/>
                    </a:xfrm>
                    <a:prstGeom prst="rect">
                      <a:avLst/>
                    </a:prstGeom>
                  </pic:spPr>
                </pic:pic>
              </a:graphicData>
            </a:graphic>
          </wp:anchor>
        </w:drawing>
      </w:r>
      <w:bookmarkStart w:name="_TOC_250006" w:id="21"/>
      <w:bookmarkEnd w:id="21"/>
      <w:r>
        <w:rPr/>
        <w:t>先吃饭还是先吃药？这 8 张图算是说清楚了</w:t>
      </w:r>
    </w:p>
    <w:p>
      <w:pPr>
        <w:pStyle w:val="Heading3"/>
        <w:spacing w:before="145"/>
        <w:ind w:left="0" w:right="726"/>
        <w:jc w:val="right"/>
      </w:pPr>
      <w:r>
        <w:rPr/>
        <w:drawing>
          <wp:anchor distT="0" distB="0" distL="0" distR="0" allowOverlap="1" layoutInCell="1" locked="0" behindDoc="0" simplePos="0" relativeHeight="4">
            <wp:simplePos x="0" y="0"/>
            <wp:positionH relativeFrom="page">
              <wp:posOffset>864869</wp:posOffset>
            </wp:positionH>
            <wp:positionV relativeFrom="paragraph">
              <wp:posOffset>360807</wp:posOffset>
            </wp:positionV>
            <wp:extent cx="2878780" cy="2893504"/>
            <wp:effectExtent l="0" t="0" r="0" b="0"/>
            <wp:wrapTopAndBottom/>
            <wp:docPr id="5" name="image4.jpeg" descr=""/>
            <wp:cNvGraphicFramePr>
              <a:graphicFrameLocks noChangeAspect="1"/>
            </wp:cNvGraphicFramePr>
            <a:graphic>
              <a:graphicData uri="http://schemas.openxmlformats.org/drawingml/2006/picture">
                <pic:pic>
                  <pic:nvPicPr>
                    <pic:cNvPr id="6" name="image4.jpeg"/>
                    <pic:cNvPicPr/>
                  </pic:nvPicPr>
                  <pic:blipFill>
                    <a:blip r:embed="rId17" cstate="print"/>
                    <a:stretch>
                      <a:fillRect/>
                    </a:stretch>
                  </pic:blipFill>
                  <pic:spPr>
                    <a:xfrm>
                      <a:off x="0" y="0"/>
                      <a:ext cx="2878780" cy="2893504"/>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3849370</wp:posOffset>
            </wp:positionH>
            <wp:positionV relativeFrom="paragraph">
              <wp:posOffset>360807</wp:posOffset>
            </wp:positionV>
            <wp:extent cx="2809330" cy="2804255"/>
            <wp:effectExtent l="0" t="0" r="0" b="0"/>
            <wp:wrapTopAndBottom/>
            <wp:docPr id="7" name="image5.jpeg" descr=""/>
            <wp:cNvGraphicFramePr>
              <a:graphicFrameLocks noChangeAspect="1"/>
            </wp:cNvGraphicFramePr>
            <a:graphic>
              <a:graphicData uri="http://schemas.openxmlformats.org/drawingml/2006/picture">
                <pic:pic>
                  <pic:nvPicPr>
                    <pic:cNvPr id="8" name="image5.jpeg"/>
                    <pic:cNvPicPr/>
                  </pic:nvPicPr>
                  <pic:blipFill>
                    <a:blip r:embed="rId18" cstate="print"/>
                    <a:stretch>
                      <a:fillRect/>
                    </a:stretch>
                  </pic:blipFill>
                  <pic:spPr>
                    <a:xfrm>
                      <a:off x="0" y="0"/>
                      <a:ext cx="2809330" cy="2804255"/>
                    </a:xfrm>
                    <a:prstGeom prst="rect">
                      <a:avLst/>
                    </a:prstGeom>
                  </pic:spPr>
                </pic:pic>
              </a:graphicData>
            </a:graphic>
          </wp:anchor>
        </w:drawing>
      </w:r>
      <w:r>
        <w:rPr>
          <w:color w:val="FF0000"/>
        </w:rPr>
        <w:t>（来源：人民日报）</w:t>
      </w:r>
    </w:p>
    <w:p>
      <w:pPr>
        <w:pStyle w:val="BodyText"/>
        <w:ind w:left="0"/>
        <w:rPr>
          <w:rFonts w:ascii="楷体"/>
          <w:b/>
          <w:sz w:val="20"/>
        </w:rPr>
      </w:pPr>
    </w:p>
    <w:p>
      <w:pPr>
        <w:pStyle w:val="BodyText"/>
        <w:ind w:left="0"/>
        <w:rPr>
          <w:rFonts w:ascii="楷体"/>
          <w:b/>
          <w:sz w:val="20"/>
        </w:rPr>
      </w:pPr>
    </w:p>
    <w:p>
      <w:pPr>
        <w:pStyle w:val="BodyText"/>
        <w:ind w:left="0"/>
        <w:rPr>
          <w:rFonts w:ascii="楷体"/>
          <w:b/>
          <w:sz w:val="20"/>
        </w:rPr>
      </w:pPr>
    </w:p>
    <w:p>
      <w:pPr>
        <w:pStyle w:val="BodyText"/>
        <w:ind w:left="0"/>
        <w:rPr>
          <w:rFonts w:ascii="楷体"/>
          <w:b/>
          <w:sz w:val="20"/>
        </w:rPr>
      </w:pPr>
    </w:p>
    <w:p>
      <w:pPr>
        <w:pStyle w:val="BodyText"/>
        <w:ind w:left="0"/>
        <w:rPr>
          <w:rFonts w:ascii="楷体"/>
          <w:b/>
          <w:sz w:val="20"/>
        </w:rPr>
      </w:pPr>
    </w:p>
    <w:p>
      <w:pPr>
        <w:pStyle w:val="BodyText"/>
        <w:ind w:left="0"/>
        <w:rPr>
          <w:rFonts w:ascii="楷体"/>
          <w:b/>
          <w:sz w:val="20"/>
        </w:rPr>
      </w:pPr>
    </w:p>
    <w:p>
      <w:pPr>
        <w:pStyle w:val="BodyText"/>
        <w:ind w:left="0"/>
        <w:rPr>
          <w:rFonts w:ascii="楷体"/>
          <w:b/>
          <w:sz w:val="20"/>
        </w:rPr>
      </w:pPr>
    </w:p>
    <w:p>
      <w:pPr>
        <w:pStyle w:val="BodyText"/>
        <w:ind w:left="0"/>
        <w:rPr>
          <w:rFonts w:ascii="楷体"/>
          <w:b/>
          <w:sz w:val="20"/>
        </w:rPr>
      </w:pPr>
    </w:p>
    <w:p>
      <w:pPr>
        <w:pStyle w:val="BodyText"/>
        <w:ind w:left="0"/>
        <w:rPr>
          <w:rFonts w:ascii="楷体"/>
          <w:b/>
          <w:sz w:val="20"/>
        </w:rPr>
      </w:pPr>
    </w:p>
    <w:p>
      <w:pPr>
        <w:pStyle w:val="BodyText"/>
        <w:ind w:left="0"/>
        <w:rPr>
          <w:rFonts w:ascii="楷体"/>
          <w:b/>
          <w:sz w:val="20"/>
        </w:rPr>
      </w:pPr>
    </w:p>
    <w:p>
      <w:pPr>
        <w:pStyle w:val="BodyText"/>
        <w:ind w:left="0"/>
        <w:rPr>
          <w:rFonts w:ascii="楷体"/>
          <w:b/>
          <w:sz w:val="20"/>
        </w:rPr>
      </w:pPr>
    </w:p>
    <w:p>
      <w:pPr>
        <w:pStyle w:val="BodyText"/>
        <w:ind w:left="0"/>
        <w:rPr>
          <w:rFonts w:ascii="楷体"/>
          <w:b/>
          <w:sz w:val="20"/>
        </w:rPr>
      </w:pPr>
    </w:p>
    <w:p>
      <w:pPr>
        <w:pStyle w:val="BodyText"/>
        <w:ind w:left="0"/>
        <w:rPr>
          <w:rFonts w:ascii="楷体"/>
          <w:b/>
          <w:sz w:val="20"/>
        </w:rPr>
      </w:pPr>
    </w:p>
    <w:p>
      <w:pPr>
        <w:pStyle w:val="BodyText"/>
        <w:ind w:left="0"/>
        <w:rPr>
          <w:rFonts w:ascii="楷体"/>
          <w:b/>
          <w:sz w:val="20"/>
        </w:rPr>
      </w:pPr>
    </w:p>
    <w:p>
      <w:pPr>
        <w:pStyle w:val="BodyText"/>
        <w:ind w:left="0"/>
        <w:rPr>
          <w:rFonts w:ascii="楷体"/>
          <w:b/>
          <w:sz w:val="20"/>
        </w:rPr>
      </w:pPr>
    </w:p>
    <w:p>
      <w:pPr>
        <w:pStyle w:val="BodyText"/>
        <w:ind w:left="0"/>
        <w:rPr>
          <w:rFonts w:ascii="楷体"/>
          <w:b/>
          <w:sz w:val="20"/>
        </w:rPr>
      </w:pPr>
    </w:p>
    <w:p>
      <w:pPr>
        <w:pStyle w:val="BodyText"/>
        <w:ind w:left="0"/>
        <w:rPr>
          <w:rFonts w:ascii="楷体"/>
          <w:b/>
          <w:sz w:val="20"/>
        </w:rPr>
      </w:pPr>
    </w:p>
    <w:p>
      <w:pPr>
        <w:pStyle w:val="BodyText"/>
        <w:spacing w:before="3"/>
        <w:ind w:left="0"/>
        <w:rPr>
          <w:rFonts w:ascii="楷体"/>
          <w:b/>
          <w:sz w:val="16"/>
        </w:rPr>
      </w:pPr>
      <w:r>
        <w:rPr/>
        <w:drawing>
          <wp:anchor distT="0" distB="0" distL="0" distR="0" allowOverlap="1" layoutInCell="1" locked="0" behindDoc="0" simplePos="0" relativeHeight="6">
            <wp:simplePos x="0" y="0"/>
            <wp:positionH relativeFrom="page">
              <wp:posOffset>953769</wp:posOffset>
            </wp:positionH>
            <wp:positionV relativeFrom="paragraph">
              <wp:posOffset>156876</wp:posOffset>
            </wp:positionV>
            <wp:extent cx="2643085" cy="2656332"/>
            <wp:effectExtent l="0" t="0" r="0" b="0"/>
            <wp:wrapTopAndBottom/>
            <wp:docPr id="9" name="image6.jpeg" descr=""/>
            <wp:cNvGraphicFramePr>
              <a:graphicFrameLocks noChangeAspect="1"/>
            </wp:cNvGraphicFramePr>
            <a:graphic>
              <a:graphicData uri="http://schemas.openxmlformats.org/drawingml/2006/picture">
                <pic:pic>
                  <pic:nvPicPr>
                    <pic:cNvPr id="10" name="image6.jpeg"/>
                    <pic:cNvPicPr/>
                  </pic:nvPicPr>
                  <pic:blipFill>
                    <a:blip r:embed="rId19" cstate="print"/>
                    <a:stretch>
                      <a:fillRect/>
                    </a:stretch>
                  </pic:blipFill>
                  <pic:spPr>
                    <a:xfrm>
                      <a:off x="0" y="0"/>
                      <a:ext cx="2643085" cy="2656332"/>
                    </a:xfrm>
                    <a:prstGeom prst="rect">
                      <a:avLst/>
                    </a:prstGeom>
                  </pic:spPr>
                </pic:pic>
              </a:graphicData>
            </a:graphic>
          </wp:anchor>
        </w:drawing>
      </w:r>
      <w:r>
        <w:rPr/>
        <w:drawing>
          <wp:anchor distT="0" distB="0" distL="0" distR="0" allowOverlap="1" layoutInCell="1" locked="0" behindDoc="0" simplePos="0" relativeHeight="7">
            <wp:simplePos x="0" y="0"/>
            <wp:positionH relativeFrom="page">
              <wp:posOffset>3793490</wp:posOffset>
            </wp:positionH>
            <wp:positionV relativeFrom="paragraph">
              <wp:posOffset>156876</wp:posOffset>
            </wp:positionV>
            <wp:extent cx="2669465" cy="2650998"/>
            <wp:effectExtent l="0" t="0" r="0" b="0"/>
            <wp:wrapTopAndBottom/>
            <wp:docPr id="11" name="image7.jpeg" descr=""/>
            <wp:cNvGraphicFramePr>
              <a:graphicFrameLocks noChangeAspect="1"/>
            </wp:cNvGraphicFramePr>
            <a:graphic>
              <a:graphicData uri="http://schemas.openxmlformats.org/drawingml/2006/picture">
                <pic:pic>
                  <pic:nvPicPr>
                    <pic:cNvPr id="12" name="image7.jpeg"/>
                    <pic:cNvPicPr/>
                  </pic:nvPicPr>
                  <pic:blipFill>
                    <a:blip r:embed="rId20" cstate="print"/>
                    <a:stretch>
                      <a:fillRect/>
                    </a:stretch>
                  </pic:blipFill>
                  <pic:spPr>
                    <a:xfrm>
                      <a:off x="0" y="0"/>
                      <a:ext cx="2669465" cy="2650998"/>
                    </a:xfrm>
                    <a:prstGeom prst="rect">
                      <a:avLst/>
                    </a:prstGeom>
                  </pic:spPr>
                </pic:pic>
              </a:graphicData>
            </a:graphic>
          </wp:anchor>
        </w:drawing>
      </w:r>
    </w:p>
    <w:p>
      <w:pPr>
        <w:spacing w:after="0"/>
        <w:rPr>
          <w:rFonts w:ascii="楷体"/>
          <w:sz w:val="16"/>
        </w:rPr>
        <w:sectPr>
          <w:pgSz w:w="11910" w:h="16850"/>
          <w:pgMar w:header="906" w:footer="607" w:top="1100" w:bottom="800" w:left="1040" w:right="880"/>
        </w:sectPr>
      </w:pPr>
    </w:p>
    <w:p>
      <w:pPr>
        <w:pStyle w:val="BodyText"/>
        <w:spacing w:before="2"/>
        <w:ind w:left="0"/>
        <w:rPr>
          <w:rFonts w:ascii="楷体"/>
          <w:b/>
          <w:sz w:val="2"/>
        </w:rPr>
      </w:pPr>
    </w:p>
    <w:p>
      <w:pPr>
        <w:spacing w:line="240" w:lineRule="auto"/>
        <w:ind w:left="352" w:right="0" w:firstLine="0"/>
        <w:rPr>
          <w:rFonts w:ascii="楷体"/>
          <w:sz w:val="20"/>
        </w:rPr>
      </w:pPr>
      <w:r>
        <w:rPr>
          <w:rFonts w:ascii="楷体"/>
          <w:position w:val="3"/>
          <w:sz w:val="20"/>
        </w:rPr>
        <w:drawing>
          <wp:inline distT="0" distB="0" distL="0" distR="0">
            <wp:extent cx="2928062" cy="2870263"/>
            <wp:effectExtent l="0" t="0" r="0" b="0"/>
            <wp:docPr id="13" name="image8.jpeg" descr=""/>
            <wp:cNvGraphicFramePr>
              <a:graphicFrameLocks noChangeAspect="1"/>
            </wp:cNvGraphicFramePr>
            <a:graphic>
              <a:graphicData uri="http://schemas.openxmlformats.org/drawingml/2006/picture">
                <pic:pic>
                  <pic:nvPicPr>
                    <pic:cNvPr id="14" name="image8.jpeg"/>
                    <pic:cNvPicPr/>
                  </pic:nvPicPr>
                  <pic:blipFill>
                    <a:blip r:embed="rId21" cstate="print"/>
                    <a:stretch>
                      <a:fillRect/>
                    </a:stretch>
                  </pic:blipFill>
                  <pic:spPr>
                    <a:xfrm>
                      <a:off x="0" y="0"/>
                      <a:ext cx="2928062" cy="2870263"/>
                    </a:xfrm>
                    <a:prstGeom prst="rect">
                      <a:avLst/>
                    </a:prstGeom>
                  </pic:spPr>
                </pic:pic>
              </a:graphicData>
            </a:graphic>
          </wp:inline>
        </w:drawing>
      </w:r>
      <w:r>
        <w:rPr>
          <w:rFonts w:ascii="楷体"/>
          <w:position w:val="3"/>
          <w:sz w:val="20"/>
        </w:rPr>
      </w:r>
      <w:r>
        <w:rPr>
          <w:rFonts w:ascii="Times New Roman"/>
          <w:spacing w:val="115"/>
          <w:position w:val="3"/>
          <w:sz w:val="20"/>
        </w:rPr>
        <w:t> </w:t>
      </w:r>
      <w:r>
        <w:rPr>
          <w:rFonts w:ascii="楷体"/>
          <w:spacing w:val="115"/>
          <w:sz w:val="20"/>
        </w:rPr>
        <w:drawing>
          <wp:inline distT="0" distB="0" distL="0" distR="0">
            <wp:extent cx="2879290" cy="2846070"/>
            <wp:effectExtent l="0" t="0" r="0" b="0"/>
            <wp:docPr id="15" name="image9.jpeg" descr=""/>
            <wp:cNvGraphicFramePr>
              <a:graphicFrameLocks noChangeAspect="1"/>
            </wp:cNvGraphicFramePr>
            <a:graphic>
              <a:graphicData uri="http://schemas.openxmlformats.org/drawingml/2006/picture">
                <pic:pic>
                  <pic:nvPicPr>
                    <pic:cNvPr id="16" name="image9.jpeg"/>
                    <pic:cNvPicPr/>
                  </pic:nvPicPr>
                  <pic:blipFill>
                    <a:blip r:embed="rId22" cstate="print"/>
                    <a:stretch>
                      <a:fillRect/>
                    </a:stretch>
                  </pic:blipFill>
                  <pic:spPr>
                    <a:xfrm>
                      <a:off x="0" y="0"/>
                      <a:ext cx="2879290" cy="2846070"/>
                    </a:xfrm>
                    <a:prstGeom prst="rect">
                      <a:avLst/>
                    </a:prstGeom>
                  </pic:spPr>
                </pic:pic>
              </a:graphicData>
            </a:graphic>
          </wp:inline>
        </w:drawing>
      </w:r>
      <w:r>
        <w:rPr>
          <w:rFonts w:ascii="楷体"/>
          <w:spacing w:val="115"/>
          <w:sz w:val="20"/>
        </w:rPr>
      </w:r>
    </w:p>
    <w:p>
      <w:pPr>
        <w:pStyle w:val="BodyText"/>
        <w:ind w:left="0"/>
        <w:rPr>
          <w:rFonts w:ascii="楷体"/>
          <w:b/>
          <w:sz w:val="20"/>
        </w:rPr>
      </w:pPr>
    </w:p>
    <w:p>
      <w:pPr>
        <w:pStyle w:val="BodyText"/>
        <w:spacing w:before="12"/>
        <w:ind w:left="0"/>
        <w:rPr>
          <w:rFonts w:ascii="楷体"/>
          <w:b/>
          <w:sz w:val="20"/>
        </w:rPr>
      </w:pPr>
    </w:p>
    <w:p>
      <w:pPr>
        <w:pStyle w:val="Heading1"/>
        <w:spacing w:before="40"/>
        <w:ind w:left="1025"/>
        <w:jc w:val="center"/>
        <w:rPr>
          <w:u w:val="none"/>
        </w:rPr>
      </w:pPr>
      <w:bookmarkStart w:name="_TOC_250005" w:id="22"/>
      <w:r>
        <w:rPr>
          <w:rFonts w:ascii="Times New Roman" w:eastAsia="Times New Roman"/>
          <w:color w:val="008000"/>
          <w:spacing w:val="-110"/>
          <w:w w:val="99"/>
          <w:u w:val="thick" w:color="008000"/>
        </w:rPr>
        <w:t> </w:t>
      </w:r>
      <w:bookmarkEnd w:id="22"/>
      <w:r>
        <w:rPr>
          <w:color w:val="008000"/>
          <w:u w:val="thick" w:color="008000"/>
        </w:rPr>
        <w:t>交流园地</w:t>
      </w:r>
    </w:p>
    <w:p>
      <w:pPr>
        <w:pStyle w:val="BodyText"/>
        <w:spacing w:before="8"/>
        <w:ind w:left="0"/>
        <w:rPr>
          <w:rFonts w:ascii="华文宋体"/>
          <w:b/>
          <w:sz w:val="9"/>
        </w:rPr>
      </w:pPr>
    </w:p>
    <w:p>
      <w:pPr>
        <w:pStyle w:val="Heading2"/>
        <w:spacing w:before="54"/>
      </w:pPr>
      <w:bookmarkStart w:name="_TOC_250004" w:id="23"/>
      <w:bookmarkEnd w:id="23"/>
      <w:r>
        <w:rPr/>
        <w:t>【药师风采】</w:t>
      </w:r>
    </w:p>
    <w:p>
      <w:pPr>
        <w:pStyle w:val="Heading2"/>
        <w:spacing w:before="25"/>
        <w:ind w:left="0" w:right="11"/>
        <w:jc w:val="center"/>
      </w:pPr>
      <w:bookmarkStart w:name="_TOC_250003" w:id="24"/>
      <w:bookmarkEnd w:id="24"/>
      <w:r>
        <w:rPr/>
        <w:t>宁德市医院——陈子春</w:t>
      </w:r>
    </w:p>
    <w:p>
      <w:pPr>
        <w:pStyle w:val="Heading3"/>
        <w:spacing w:before="66"/>
        <w:ind w:left="1370"/>
      </w:pPr>
      <w:r>
        <w:rPr/>
        <w:t>励志寄语：为了医院药学的明天，我愿俯首去撑起年轻同行的希冀。</w:t>
      </w:r>
    </w:p>
    <w:p>
      <w:pPr>
        <w:pStyle w:val="BodyText"/>
        <w:spacing w:line="312" w:lineRule="auto" w:before="93"/>
        <w:ind w:right="147" w:firstLine="480"/>
      </w:pPr>
      <w:r>
        <w:rPr>
          <w:spacing w:val="-10"/>
        </w:rPr>
        <w:t>陈子春，现任宁德市医院院长，主任药师，教授，福建医科大学和福建中医药大学硕士</w:t>
      </w:r>
      <w:r>
        <w:rPr>
          <w:spacing w:val="-12"/>
        </w:rPr>
        <w:t>研究生导师，宁德市第三届市管优秀人才，从事药学工作 </w:t>
      </w:r>
      <w:r>
        <w:rPr/>
        <w:t>28</w:t>
      </w:r>
      <w:r>
        <w:rPr>
          <w:spacing w:val="-8"/>
        </w:rPr>
        <w:t> 年。致力于临床合理用药、药</w:t>
      </w:r>
      <w:r>
        <w:rPr>
          <w:spacing w:val="-9"/>
        </w:rPr>
        <w:t>物不良反应监测、药代动力学、药物经济学评价等工作。作为宁德市医院药学学科带头人， </w:t>
      </w:r>
      <w:r>
        <w:rPr>
          <w:spacing w:val="-7"/>
        </w:rPr>
        <w:t>先后组建了药学教研室、临床药学室、药学实验室等学科发展软硬件，在闽东地区率先开展药物基因检测项目，为临床个体化用药提供实验依据。</w:t>
      </w:r>
    </w:p>
    <w:p>
      <w:pPr>
        <w:pStyle w:val="BodyText"/>
        <w:spacing w:before="1"/>
        <w:ind w:left="717"/>
      </w:pPr>
      <w:r>
        <w:rPr/>
        <w:t>医院获批原国家卫计委临床药师培训基地，目前已招收 8 批共 31 名来自全国各地的学</w:t>
      </w:r>
    </w:p>
    <w:p>
      <w:pPr>
        <w:pStyle w:val="BodyText"/>
        <w:spacing w:line="312" w:lineRule="auto" w:before="94"/>
        <w:ind w:right="266"/>
      </w:pPr>
      <w:r>
        <w:rPr>
          <w:spacing w:val="-13"/>
        </w:rPr>
        <w:t>员，其中 </w:t>
      </w:r>
      <w:r>
        <w:rPr/>
        <w:t>27</w:t>
      </w:r>
      <w:r>
        <w:rPr>
          <w:spacing w:val="-9"/>
        </w:rPr>
        <w:t> 名已顺利毕业。多次主持召开省、市药学学术研讨会及药师职业技能比赛，为</w:t>
      </w:r>
      <w:r>
        <w:rPr/>
        <w:t>福建省、宁德市药学学科发展搭建学习和交流的平台。</w:t>
      </w:r>
    </w:p>
    <w:p>
      <w:pPr>
        <w:pStyle w:val="BodyText"/>
        <w:spacing w:line="307" w:lineRule="exact"/>
        <w:ind w:left="717"/>
      </w:pPr>
      <w:r>
        <w:rPr>
          <w:spacing w:val="-5"/>
        </w:rPr>
        <w:t>承担福建省自然科学基金 </w:t>
      </w:r>
      <w:r>
        <w:rPr/>
        <w:t>2</w:t>
      </w:r>
      <w:r>
        <w:rPr>
          <w:spacing w:val="-16"/>
        </w:rPr>
        <w:t> 项，福建省医学创新课题 </w:t>
      </w:r>
      <w:r>
        <w:rPr/>
        <w:t>1</w:t>
      </w:r>
      <w:r>
        <w:rPr>
          <w:spacing w:val="-12"/>
        </w:rPr>
        <w:t> 项，福建省卫计委中医药科研项</w:t>
      </w:r>
    </w:p>
    <w:p>
      <w:pPr>
        <w:pStyle w:val="BodyText"/>
        <w:spacing w:before="93"/>
      </w:pPr>
      <w:r>
        <w:rPr>
          <w:spacing w:val="-30"/>
        </w:rPr>
        <w:t>目 </w:t>
      </w:r>
      <w:r>
        <w:rPr/>
        <w:t>1</w:t>
      </w:r>
      <w:r>
        <w:rPr>
          <w:spacing w:val="-21"/>
        </w:rPr>
        <w:t> 项，宁德市科技计划项目 </w:t>
      </w:r>
      <w:r>
        <w:rPr/>
        <w:t>7</w:t>
      </w:r>
      <w:r>
        <w:rPr>
          <w:spacing w:val="-18"/>
        </w:rPr>
        <w:t> 项，参与福建省区域重大项目 </w:t>
      </w:r>
      <w:r>
        <w:rPr/>
        <w:t>1</w:t>
      </w:r>
      <w:r>
        <w:rPr>
          <w:spacing w:val="-8"/>
        </w:rPr>
        <w:t> 项及多项市级科研立项课题，</w:t>
      </w:r>
    </w:p>
    <w:p>
      <w:pPr>
        <w:pStyle w:val="BodyText"/>
        <w:spacing w:before="91"/>
      </w:pPr>
      <w:r>
        <w:rPr>
          <w:spacing w:val="-7"/>
        </w:rPr>
        <w:t>累计获得基金资助 </w:t>
      </w:r>
      <w:r>
        <w:rPr/>
        <w:t>48</w:t>
      </w:r>
      <w:r>
        <w:rPr>
          <w:spacing w:val="-15"/>
        </w:rPr>
        <w:t> 万，至今已在国家级以上专业刊物发表论文 </w:t>
      </w:r>
      <w:r>
        <w:rPr/>
        <w:t>30</w:t>
      </w:r>
      <w:r>
        <w:rPr>
          <w:spacing w:val="-13"/>
        </w:rPr>
        <w:t> 余篇。获得福建省科技</w:t>
      </w:r>
    </w:p>
    <w:p>
      <w:pPr>
        <w:pStyle w:val="BodyText"/>
        <w:spacing w:before="93"/>
      </w:pPr>
      <w:r>
        <w:rPr>
          <w:spacing w:val="-11"/>
        </w:rPr>
        <w:t>进步三等奖 </w:t>
      </w:r>
      <w:r>
        <w:rPr/>
        <w:t>1</w:t>
      </w:r>
      <w:r>
        <w:rPr>
          <w:spacing w:val="-15"/>
        </w:rPr>
        <w:t> 项，福建省医学科技三等奖 </w:t>
      </w:r>
      <w:r>
        <w:rPr/>
        <w:t>1</w:t>
      </w:r>
      <w:r>
        <w:rPr>
          <w:spacing w:val="-15"/>
        </w:rPr>
        <w:t> 项，宁德市科技进步奖一等奖 </w:t>
      </w:r>
      <w:r>
        <w:rPr/>
        <w:t>1</w:t>
      </w:r>
      <w:r>
        <w:rPr>
          <w:spacing w:val="-14"/>
        </w:rPr>
        <w:t> 项，宁德市科技</w:t>
      </w:r>
    </w:p>
    <w:p>
      <w:pPr>
        <w:pStyle w:val="BodyText"/>
        <w:spacing w:before="93"/>
      </w:pPr>
      <w:r>
        <w:rPr/>
        <w:t>进步奖三等奖 1 项。</w:t>
      </w:r>
    </w:p>
    <w:p>
      <w:pPr>
        <w:pStyle w:val="BodyText"/>
        <w:spacing w:before="91"/>
        <w:ind w:left="717"/>
      </w:pPr>
      <w:r>
        <w:rPr/>
        <w:t>荣获福建省“新长征突击手”称号，获得福建省药学会优秀论文三等奖 1 项。</w:t>
      </w:r>
    </w:p>
    <w:p>
      <w:pPr>
        <w:pStyle w:val="BodyText"/>
        <w:spacing w:line="312" w:lineRule="auto" w:before="94"/>
        <w:ind w:right="247" w:firstLine="480"/>
        <w:jc w:val="both"/>
      </w:pPr>
      <w:r>
        <w:rPr>
          <w:spacing w:val="-5"/>
        </w:rPr>
        <w:t>兼任中国研究型医院学会药物经济学专业委员会常务委员，福建省药学会常务理事、医</w:t>
      </w:r>
      <w:r>
        <w:rPr>
          <w:spacing w:val="-8"/>
        </w:rPr>
        <w:t>院药学专业委员会、药物经济学专业委员会副主任委员、基因治疗组分会常务委员，福建省</w:t>
      </w:r>
      <w:r>
        <w:rPr>
          <w:spacing w:val="-6"/>
        </w:rPr>
        <w:t>药理学会合理用药专业委员会副主任委员，福建省药师协会专家委员会副主任委员，福建省</w:t>
      </w:r>
    </w:p>
    <w:p>
      <w:pPr>
        <w:spacing w:after="0" w:line="312" w:lineRule="auto"/>
        <w:jc w:val="both"/>
        <w:sectPr>
          <w:pgSz w:w="11910" w:h="16850"/>
          <w:pgMar w:header="906" w:footer="607" w:top="1100" w:bottom="800" w:left="1040" w:right="880"/>
        </w:sectPr>
      </w:pPr>
    </w:p>
    <w:p>
      <w:pPr>
        <w:pStyle w:val="BodyText"/>
        <w:spacing w:line="312" w:lineRule="auto" w:before="79"/>
        <w:ind w:right="247"/>
      </w:pPr>
      <w:r>
        <w:rPr>
          <w:spacing w:val="-7"/>
        </w:rPr>
        <w:t>医院协会药事管理分会副主任委员，福建省临床用药质控中心委员，宁德市临床用药质量控</w:t>
      </w:r>
      <w:r>
        <w:rPr/>
        <w:t>制中心主任，宁德市医院管理协会药事管理分会主任委员。</w:t>
      </w:r>
    </w:p>
    <w:p>
      <w:pPr>
        <w:pStyle w:val="BodyText"/>
        <w:ind w:left="0"/>
        <w:rPr>
          <w:sz w:val="17"/>
        </w:rPr>
      </w:pPr>
    </w:p>
    <w:p>
      <w:pPr>
        <w:pStyle w:val="Heading2"/>
        <w:ind w:left="2897"/>
      </w:pPr>
      <w:bookmarkStart w:name="_TOC_250002" w:id="25"/>
      <w:bookmarkEnd w:id="25"/>
      <w:r>
        <w:rPr/>
        <w:t>福建省漳州市医院——黄小红</w:t>
      </w:r>
    </w:p>
    <w:p>
      <w:pPr>
        <w:pStyle w:val="Heading3"/>
        <w:spacing w:before="63"/>
        <w:ind w:left="1732"/>
      </w:pPr>
      <w:r>
        <w:rPr/>
        <w:t>励志寄语：专业至精，服务至诚，心系患者，不辱药师使命！</w:t>
      </w:r>
    </w:p>
    <w:p>
      <w:pPr>
        <w:pStyle w:val="BodyText"/>
        <w:spacing w:line="312" w:lineRule="auto" w:before="94"/>
        <w:ind w:right="247" w:firstLine="480"/>
        <w:jc w:val="both"/>
      </w:pPr>
      <w:r>
        <w:rPr>
          <w:spacing w:val="-10"/>
        </w:rPr>
        <w:t>黄小红，现任福建省漳州市医院药学部主任，院药物临床试验机构办公室主任，党支部</w:t>
      </w:r>
      <w:r>
        <w:rPr>
          <w:spacing w:val="-4"/>
        </w:rPr>
        <w:t>书记，副主任药师，从事药学工作 </w:t>
      </w:r>
      <w:r>
        <w:rPr/>
        <w:t>20</w:t>
      </w:r>
      <w:r>
        <w:rPr>
          <w:spacing w:val="-8"/>
        </w:rPr>
        <w:t> 年。严格遵守《药品管理法》及相关法律、法规，负</w:t>
      </w:r>
      <w:r>
        <w:rPr>
          <w:spacing w:val="-14"/>
        </w:rPr>
        <w:t>责全院药品采购供应、调剂、临床药学、药事管理等工作。积极开展以合理用药为核心的各</w:t>
      </w:r>
      <w:r>
        <w:rPr/>
        <w:t>项药学服务，使医院药事管理进一步科学化、制度化、规范化。</w:t>
      </w:r>
    </w:p>
    <w:p>
      <w:pPr>
        <w:pStyle w:val="BodyText"/>
        <w:spacing w:line="312" w:lineRule="auto" w:before="2"/>
        <w:ind w:right="247" w:firstLine="480"/>
      </w:pPr>
      <w:r>
        <w:rPr>
          <w:spacing w:val="-7"/>
        </w:rPr>
        <w:t>随着医院药学事业的提升与发展，从科室专业组设置、全科人员合理调配、专职临床药</w:t>
      </w:r>
      <w:r>
        <w:rPr>
          <w:spacing w:val="-9"/>
        </w:rPr>
        <w:t>师培养，到引进安捷伦高效液相色谱仪、药物浓度分析仪、单剂量全自动摆药机、合理用药软件等软硬件设施，逐步实现全程药学专业技术服务。2014</w:t>
      </w:r>
      <w:r>
        <w:rPr>
          <w:spacing w:val="-8"/>
        </w:rPr>
        <w:t> 年科室正式成为原国家卫计委临床药师培训基地，2014 年医院获得药物临床试验机构资格认定，机构办公室挂靠在药学部。</w:t>
      </w:r>
    </w:p>
    <w:p>
      <w:pPr>
        <w:pStyle w:val="BodyText"/>
        <w:spacing w:line="312" w:lineRule="auto" w:before="1"/>
        <w:ind w:right="247" w:firstLine="480"/>
        <w:jc w:val="both"/>
      </w:pPr>
      <w:r>
        <w:rPr>
          <w:spacing w:val="-4"/>
        </w:rPr>
        <w:t>先后在各级专业期刊上发表论文近 </w:t>
      </w:r>
      <w:r>
        <w:rPr/>
        <w:t>20</w:t>
      </w:r>
      <w:r>
        <w:rPr>
          <w:spacing w:val="-12"/>
        </w:rPr>
        <w:t> 篇，其中以通讯作者发表 </w:t>
      </w:r>
      <w:r>
        <w:rPr/>
        <w:t>SCI</w:t>
      </w:r>
      <w:r>
        <w:rPr>
          <w:spacing w:val="-30"/>
        </w:rPr>
        <w:t> 论著 </w:t>
      </w:r>
      <w:r>
        <w:rPr/>
        <w:t>1</w:t>
      </w:r>
      <w:r>
        <w:rPr>
          <w:spacing w:val="-10"/>
        </w:rPr>
        <w:t> 部，先后以</w:t>
      </w:r>
      <w:r>
        <w:rPr>
          <w:spacing w:val="-20"/>
        </w:rPr>
        <w:t>第一作者在《中国药理学通报》、《中国新药与临床杂志》等核心期刊上发表多篇论文；</w:t>
      </w:r>
      <w:r>
        <w:rPr>
          <w:spacing w:val="-15"/>
        </w:rPr>
        <w:t>2016 </w:t>
      </w:r>
      <w:r>
        <w:rPr>
          <w:spacing w:val="-6"/>
        </w:rPr>
        <w:t>年获省药学会论文评选三等奖并参加交流。在导师带领下，积极参与省引进重大项目计划基</w:t>
      </w:r>
      <w:r>
        <w:rPr/>
        <w:t>金和省自然科学基金资助项目。</w:t>
      </w:r>
    </w:p>
    <w:p>
      <w:pPr>
        <w:pStyle w:val="BodyText"/>
        <w:spacing w:line="312" w:lineRule="auto" w:before="2"/>
        <w:ind w:right="146" w:firstLine="480"/>
      </w:pPr>
      <w:r>
        <w:rPr>
          <w:spacing w:val="-6"/>
        </w:rPr>
        <w:t>科室先后荣获“省级青年文明号”、“福建省青年五四奖章集体”、“行业星级示范窗</w:t>
      </w:r>
      <w:r>
        <w:rPr>
          <w:spacing w:val="-7"/>
        </w:rPr>
        <w:t>口”、医院及市直卫生系统先进科室、文明窗口等多项表彰。多次获得医院优秀共产党员、</w:t>
      </w:r>
      <w:r>
        <w:rPr>
          <w:spacing w:val="-10"/>
        </w:rPr>
        <w:t>先进工作者、文明服务奖、临床优秀带教、优秀管理者等荣誉，先后被评为市卫生系统好青年、市十佳青年岗位能手、市直卫生系统优秀党务工作者、优秀共产党员等光荣称号。</w:t>
      </w:r>
    </w:p>
    <w:p>
      <w:pPr>
        <w:pStyle w:val="BodyText"/>
        <w:spacing w:line="312" w:lineRule="auto"/>
        <w:ind w:right="130" w:firstLine="480"/>
        <w:jc w:val="both"/>
      </w:pPr>
      <w:r>
        <w:rPr>
          <w:spacing w:val="-4"/>
        </w:rPr>
        <w:t>兼任原国家卫计委脑卒中防治工程专家委员会合理用药专业委员会委员，福建省药学会</w:t>
      </w:r>
      <w:r>
        <w:rPr>
          <w:spacing w:val="-10"/>
        </w:rPr>
        <w:t>常务理事、医院药学专业委员会青年委员、药物经济学专业委员会常务委员、药物基因组学</w:t>
      </w:r>
      <w:r>
        <w:rPr>
          <w:spacing w:val="-12"/>
        </w:rPr>
        <w:t>专业委员会委员，福建省医院协会临床药师工作专家委员会、药事管理分会委员，漳州市临</w:t>
      </w:r>
      <w:r>
        <w:rPr>
          <w:spacing w:val="-20"/>
        </w:rPr>
        <w:t>床用药质控中心主任，漳州市药学会常务理事、副秘书长、医院药学专业委员会主任委员等。</w:t>
      </w:r>
    </w:p>
    <w:p>
      <w:pPr>
        <w:pStyle w:val="BodyText"/>
        <w:spacing w:before="1"/>
        <w:ind w:left="0"/>
        <w:rPr>
          <w:sz w:val="17"/>
        </w:rPr>
      </w:pPr>
    </w:p>
    <w:p>
      <w:pPr>
        <w:pStyle w:val="Heading2"/>
        <w:ind w:left="3057"/>
      </w:pPr>
      <w:bookmarkStart w:name="_TOC_250001" w:id="26"/>
      <w:bookmarkEnd w:id="26"/>
      <w:r>
        <w:rPr/>
        <w:t>江西省儿童医院——卢庆红</w:t>
      </w:r>
    </w:p>
    <w:p>
      <w:pPr>
        <w:pStyle w:val="Heading3"/>
        <w:spacing w:before="64"/>
        <w:ind w:left="767"/>
      </w:pPr>
      <w:r>
        <w:rPr/>
        <w:t>励志寄语：人命至重，有贵千金！精业以济群，为保障儿童用药安全不懈努力！</w:t>
      </w:r>
    </w:p>
    <w:p>
      <w:pPr>
        <w:pStyle w:val="BodyText"/>
        <w:spacing w:line="312" w:lineRule="auto" w:before="93"/>
        <w:ind w:right="147" w:firstLine="480"/>
      </w:pPr>
      <w:r>
        <w:rPr>
          <w:spacing w:val="-1"/>
        </w:rPr>
        <w:t>卢庆红，现任江西省儿童医院药剂科副主任，主任药师药物临床试验机构办公室主任， </w:t>
      </w:r>
      <w:r>
        <w:rPr>
          <w:spacing w:val="-9"/>
        </w:rPr>
        <w:t>从事药学工作 </w:t>
      </w:r>
      <w:r>
        <w:rPr/>
        <w:t>28</w:t>
      </w:r>
      <w:r>
        <w:rPr>
          <w:spacing w:val="-8"/>
        </w:rPr>
        <w:t> 年。主要负责药事管理、药物临床试验机构管理及药师培训工作。健全和</w:t>
      </w:r>
      <w:r>
        <w:rPr>
          <w:spacing w:val="-13"/>
        </w:rPr>
        <w:t>完善医院药事管理的各项规章制度及工作流程，制定绩效考核方案，充分调动药学人员的工作积极性。</w:t>
      </w:r>
    </w:p>
    <w:p>
      <w:pPr>
        <w:pStyle w:val="BodyText"/>
        <w:spacing w:line="312" w:lineRule="auto" w:before="2"/>
        <w:ind w:right="246" w:firstLine="480"/>
        <w:jc w:val="both"/>
      </w:pPr>
      <w:r>
        <w:rPr>
          <w:spacing w:val="-9"/>
        </w:rPr>
        <w:t>承担医院制剂 </w:t>
      </w:r>
      <w:r>
        <w:rPr/>
        <w:t>18</w:t>
      </w:r>
      <w:r>
        <w:rPr>
          <w:spacing w:val="-8"/>
        </w:rPr>
        <w:t> 个品规的质量标准制定、复核及批文申报工作并获得批件；开展多种</w:t>
      </w:r>
      <w:r>
        <w:rPr>
          <w:spacing w:val="-14"/>
        </w:rPr>
        <w:t>药物的血药浓度测定，为患儿提供个体化的药学服务；积极配合原国家卫计委开展基层儿科</w:t>
      </w:r>
      <w:r>
        <w:rPr>
          <w:spacing w:val="-2"/>
        </w:rPr>
        <w:t>药师培训工作；成立江西省儿童医疗联盟药学专业委员会，协助召开 </w:t>
      </w:r>
      <w:r>
        <w:rPr/>
        <w:t>2018</w:t>
      </w:r>
      <w:r>
        <w:rPr>
          <w:spacing w:val="-8"/>
        </w:rPr>
        <w:t> 年江西省儿童用</w:t>
      </w:r>
      <w:r>
        <w:rPr>
          <w:spacing w:val="-10"/>
        </w:rPr>
        <w:t>药专家委员会会议；传播儿童药物临床试验工作的经验，推进 </w:t>
      </w:r>
      <w:r>
        <w:rPr/>
        <w:t>GCP</w:t>
      </w:r>
      <w:r>
        <w:rPr>
          <w:spacing w:val="-8"/>
        </w:rPr>
        <w:t> 工作的信息化进程。</w:t>
      </w:r>
    </w:p>
    <w:p>
      <w:pPr>
        <w:spacing w:after="0" w:line="312" w:lineRule="auto"/>
        <w:jc w:val="both"/>
        <w:sectPr>
          <w:pgSz w:w="11910" w:h="16850"/>
          <w:pgMar w:header="906" w:footer="607" w:top="1100" w:bottom="800" w:left="1040" w:right="880"/>
        </w:sectPr>
      </w:pPr>
    </w:p>
    <w:p>
      <w:pPr>
        <w:pStyle w:val="BodyText"/>
        <w:spacing w:line="312" w:lineRule="auto" w:before="79"/>
        <w:ind w:right="248" w:firstLine="480"/>
      </w:pPr>
      <w:r>
        <w:rPr>
          <w:spacing w:val="-8"/>
        </w:rPr>
        <w:t>在加强合理用药监管中，运用信息系统，全面推进药品的适应症管理，为医疗过程管理</w:t>
      </w:r>
      <w:r>
        <w:rPr/>
        <w:t>的改进提供了有力的决策依据和干预手段；积极参与各种重大突发公共卫生事件的应急工作。</w:t>
      </w:r>
    </w:p>
    <w:p>
      <w:pPr>
        <w:pStyle w:val="BodyText"/>
        <w:spacing w:before="1"/>
        <w:ind w:left="717"/>
      </w:pPr>
      <w:r>
        <w:rPr/>
        <w:t>主持参与厅级课题多项，江西省基金课题 1 项，发表论文 10 余篇。</w:t>
      </w:r>
    </w:p>
    <w:p>
      <w:pPr>
        <w:pStyle w:val="BodyText"/>
        <w:spacing w:line="312" w:lineRule="auto" w:before="91"/>
        <w:ind w:right="250" w:firstLine="480"/>
      </w:pPr>
      <w:r>
        <w:rPr>
          <w:spacing w:val="-2"/>
        </w:rPr>
        <w:t>多次获得江西省直机关优秀妇女</w:t>
      </w:r>
      <w:r>
        <w:rPr/>
        <w:t>（女职工</w:t>
      </w:r>
      <w:r>
        <w:rPr>
          <w:spacing w:val="-27"/>
        </w:rPr>
        <w:t>）</w:t>
      </w:r>
      <w:r>
        <w:rPr>
          <w:spacing w:val="-8"/>
        </w:rPr>
        <w:t>工作者、厅直机关工会积极分子、优秀工会</w:t>
      </w:r>
      <w:r>
        <w:rPr/>
        <w:t>干部，获得江西省妇女联合会“春蕾计划爱心使者”称号。</w:t>
      </w:r>
    </w:p>
    <w:p>
      <w:pPr>
        <w:pStyle w:val="BodyText"/>
        <w:spacing w:line="312" w:lineRule="auto" w:before="2"/>
        <w:ind w:right="147" w:firstLine="480"/>
      </w:pPr>
      <w:r>
        <w:rPr>
          <w:spacing w:val="-5"/>
        </w:rPr>
        <w:t>兼任中国药学会医院药学专业委员会儿科药学学组委员，福棠儿童医学发展研究中心药</w:t>
      </w:r>
      <w:r>
        <w:rPr>
          <w:spacing w:val="-11"/>
        </w:rPr>
        <w:t>学专业委员会副主任委员，江西省药学会临床中药学专业委员会副主任委员，江西省医学会临床药学分会副主任委员，江西省药理学会药物信息与不良反应毒理专业委员会副主任委 </w:t>
      </w:r>
      <w:r>
        <w:rPr>
          <w:spacing w:val="-12"/>
        </w:rPr>
        <w:t>员，江西省研究型学会临床药学分会副主任委员，江西省卫计委儿童用药专家委员会委员，</w:t>
      </w:r>
    </w:p>
    <w:p>
      <w:pPr>
        <w:pStyle w:val="BodyText"/>
      </w:pPr>
      <w:r>
        <w:rPr/>
        <w:t>《中国药房》、《儿科药学杂志》编委。</w:t>
      </w:r>
    </w:p>
    <w:p>
      <w:pPr>
        <w:pStyle w:val="BodyText"/>
        <w:spacing w:before="3"/>
        <w:ind w:left="0"/>
      </w:pPr>
    </w:p>
    <w:p>
      <w:pPr>
        <w:pStyle w:val="Heading2"/>
        <w:ind w:left="2897"/>
      </w:pPr>
      <w:bookmarkStart w:name="_TOC_250000" w:id="27"/>
      <w:bookmarkEnd w:id="27"/>
      <w:r>
        <w:rPr/>
        <w:t>江西省妇幼保健院——罗晓红</w:t>
      </w:r>
    </w:p>
    <w:p>
      <w:pPr>
        <w:pStyle w:val="Heading3"/>
        <w:spacing w:before="64"/>
        <w:ind w:left="237"/>
      </w:pPr>
      <w:r>
        <w:rPr/>
        <w:t>励志寄语：药师必须不断努力提高自身专业水平，保障患者用药安全、有效、经济、合理。</w:t>
      </w:r>
    </w:p>
    <w:p>
      <w:pPr>
        <w:pStyle w:val="BodyText"/>
        <w:spacing w:line="312" w:lineRule="auto" w:before="93"/>
        <w:ind w:right="248" w:firstLine="420"/>
        <w:jc w:val="both"/>
      </w:pPr>
      <w:r>
        <w:rPr>
          <w:spacing w:val="-7"/>
        </w:rPr>
        <w:t>罗晓红，现任江西省妇幼保健院药剂科副主任并全面主持药剂科工作，主任药师，从事</w:t>
      </w:r>
      <w:r>
        <w:rPr>
          <w:spacing w:val="-13"/>
        </w:rPr>
        <w:t>药学工作 </w:t>
      </w:r>
      <w:r>
        <w:rPr/>
        <w:t>22</w:t>
      </w:r>
      <w:r>
        <w:rPr>
          <w:spacing w:val="-10"/>
        </w:rPr>
        <w:t> 年。始终坚持科学管理的理念，在药剂科发展建设上发挥积极作用，</w:t>
      </w:r>
      <w:r>
        <w:rPr>
          <w:spacing w:val="-3"/>
        </w:rPr>
        <w:t>2018</w:t>
      </w:r>
      <w:r>
        <w:rPr>
          <w:spacing w:val="-25"/>
        </w:rPr>
        <w:t> 年药</w:t>
      </w:r>
      <w:r>
        <w:rPr/>
        <w:t>剂科被省卫计委、省食品药品监督管理局评为药品不良反应监测先进单位。</w:t>
      </w:r>
    </w:p>
    <w:p>
      <w:pPr>
        <w:pStyle w:val="BodyText"/>
        <w:spacing w:line="312" w:lineRule="auto" w:before="1"/>
        <w:ind w:right="250" w:firstLine="420"/>
        <w:jc w:val="both"/>
      </w:pPr>
      <w:r>
        <w:rPr>
          <w:spacing w:val="-4"/>
        </w:rPr>
        <w:t>在全院范围内积极组织开展临床药学工作，日常工作中积极与医生进行交流，参与制定</w:t>
      </w:r>
      <w:r>
        <w:rPr>
          <w:spacing w:val="-11"/>
        </w:rPr>
        <w:t>疑难、重症患者的用药方案，保证患者用药安全、有效；要求临床药师对合并用药、用药量</w:t>
      </w:r>
      <w:r>
        <w:rPr/>
        <w:t>大、价格昂贵药品进行处方点评，提高临床药师的临床服务能力。</w:t>
      </w:r>
    </w:p>
    <w:p>
      <w:pPr>
        <w:pStyle w:val="BodyText"/>
        <w:spacing w:line="312" w:lineRule="auto" w:before="1"/>
        <w:ind w:right="130" w:firstLine="420"/>
      </w:pPr>
      <w:r>
        <w:rPr>
          <w:spacing w:val="-4"/>
        </w:rPr>
        <w:t>加强抗菌药物临床应用管理，优化应用结构，提高抗菌药物的合理用药水平，针对抗菌</w:t>
      </w:r>
      <w:r>
        <w:rPr>
          <w:spacing w:val="-10"/>
        </w:rPr>
        <w:t>药物临床应用中存在的突出问题，采取标本兼治的措施加以解决，有效落实抗菌药物分级管</w:t>
      </w:r>
      <w:r>
        <w:rPr>
          <w:spacing w:val="-17"/>
        </w:rPr>
        <w:t>理制度，促进抗菌药物的临床合理应用。经常对患者进行用药教育，修正患者不当用药行为， </w:t>
      </w:r>
      <w:r>
        <w:rPr/>
        <w:t>指导患者安全用药。</w:t>
      </w:r>
    </w:p>
    <w:p>
      <w:pPr>
        <w:pStyle w:val="BodyText"/>
        <w:spacing w:line="312" w:lineRule="auto" w:before="3"/>
        <w:ind w:right="249" w:firstLine="420"/>
        <w:jc w:val="both"/>
      </w:pPr>
      <w:r>
        <w:rPr>
          <w:spacing w:val="-7"/>
        </w:rPr>
        <w:t>作为科室负责人，重视药学学科建设及人才培养。每年选派 </w:t>
      </w:r>
      <w:r>
        <w:rPr/>
        <w:t>1-2</w:t>
      </w:r>
      <w:r>
        <w:rPr>
          <w:spacing w:val="-9"/>
        </w:rPr>
        <w:t> 名药师参加临床药师培训基地的培训，取得临床药师资格；鼓励科室人员开展科研项目，学习药物基因检测、血药</w:t>
      </w:r>
      <w:r>
        <w:rPr/>
        <w:t>浓度监测等药学新技术、新方法。</w:t>
      </w:r>
    </w:p>
    <w:p>
      <w:pPr>
        <w:pStyle w:val="BodyText"/>
        <w:spacing w:line="312" w:lineRule="auto"/>
        <w:ind w:right="325" w:firstLine="420"/>
      </w:pPr>
      <w:r>
        <w:rPr>
          <w:spacing w:val="-3"/>
        </w:rPr>
        <w:t>近年来以第一作者在中文核心期刊发表论文 </w:t>
      </w:r>
      <w:r>
        <w:rPr/>
        <w:t>3</w:t>
      </w:r>
      <w:r>
        <w:rPr>
          <w:spacing w:val="-13"/>
        </w:rPr>
        <w:t> 篇，在江西省药学会 </w:t>
      </w:r>
      <w:r>
        <w:rPr/>
        <w:t>2016</w:t>
      </w:r>
      <w:r>
        <w:rPr>
          <w:spacing w:val="-11"/>
        </w:rPr>
        <w:t> 年年度论文评</w:t>
      </w:r>
      <w:r>
        <w:rPr/>
        <w:t>选中获得二等奖。</w:t>
      </w:r>
    </w:p>
    <w:p>
      <w:pPr>
        <w:pStyle w:val="BodyText"/>
        <w:spacing w:line="312" w:lineRule="auto"/>
        <w:ind w:right="147" w:firstLine="480"/>
      </w:pPr>
      <w:r>
        <w:rPr>
          <w:spacing w:val="-5"/>
        </w:rPr>
        <w:t>兼任江西省卫生计生委儿童用药专家委员会副主任委员，江西省药学会临床中药学专业</w:t>
      </w:r>
      <w:r>
        <w:rPr>
          <w:spacing w:val="-12"/>
        </w:rPr>
        <w:t>委员会副主任委员、药品营销与使用质量管理专业委员会常务委员，江西省药理学会药物信</w:t>
      </w:r>
      <w:r>
        <w:rPr>
          <w:spacing w:val="-13"/>
        </w:rPr>
        <w:t>息与不良反应毒理专业委员会副主任委员，江西省研究型医院学会临床药学分会常务委员， </w:t>
      </w:r>
      <w:r>
        <w:rPr/>
        <w:t>江西省中西医结合学会临床药学分会委员，江西省发展改革委员会药品价格评审专家。</w:t>
      </w:r>
    </w:p>
    <w:p>
      <w:pPr>
        <w:pStyle w:val="Heading3"/>
        <w:spacing w:line="367" w:lineRule="exact"/>
        <w:ind w:left="717"/>
        <w:rPr>
          <w:rFonts w:ascii="华文楷体" w:eastAsia="华文楷体" w:hint="eastAsia"/>
        </w:rPr>
      </w:pPr>
      <w:r>
        <w:rPr>
          <w:rFonts w:ascii="华文楷体" w:eastAsia="华文楷体" w:hint="eastAsia"/>
          <w:color w:val="006FC0"/>
        </w:rPr>
        <w:t>以上药师荣获 2018 年中国药学会优秀药师</w:t>
      </w:r>
    </w:p>
    <w:sectPr>
      <w:pgSz w:w="11910" w:h="16850"/>
      <w:pgMar w:header="906" w:footer="607" w:top="1100" w:bottom="800" w:left="10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Microsoft JhengHei">
    <w:altName w:val="Microsoft JhengHei"/>
    <w:charset w:val="0"/>
    <w:family w:val="swiss"/>
    <w:pitch w:val="variable"/>
  </w:font>
  <w:font w:name="华文隶书">
    <w:altName w:val="华文隶书"/>
    <w:charset w:val="86"/>
    <w:family w:val="auto"/>
    <w:pitch w:val="variable"/>
  </w:font>
  <w:font w:name="华文楷体">
    <w:altName w:val="华文楷体"/>
    <w:charset w:val="86"/>
    <w:family w:val="auto"/>
    <w:pitch w:val="variable"/>
  </w:font>
  <w:font w:name="华文宋体">
    <w:altName w:val="华文宋体"/>
    <w:charset w:val="86"/>
    <w:family w:val="auto"/>
    <w:pitch w:val="variable"/>
  </w:font>
  <w:font w:name="宋体">
    <w:altName w:val="宋体"/>
    <w:charset w:val="86"/>
    <w:family w:val="auto"/>
    <w:pitch w:val="variable"/>
  </w:font>
  <w:font w:name="楷体">
    <w:altName w:val="楷体"/>
    <w:charset w:val="86"/>
    <w:family w:val="modern"/>
    <w:pitch w:val="fixed"/>
  </w:font>
  <w:font w:name="Calibri">
    <w:altName w:val="Calibri"/>
    <w:charset w:val="0"/>
    <w:family w:val="swiss"/>
    <w:pitch w:val="variable"/>
  </w:font>
  <w:font w:name="Arial">
    <w:altName w:val="Arial"/>
    <w:charset w:val="0"/>
    <w:family w:val="swiss"/>
    <w:pitch w:val="variable"/>
  </w:font>
  <w:font w:name="等线">
    <w:altName w:val="等线"/>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6.970001pt;margin-top:789.769958pt;width:8.6pt;height:11pt;mso-position-horizontal-relative:page;mso-position-vertical-relative:page;z-index:-5548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1.863998pt;margin-top:800.690002pt;width:13.15pt;height:11pt;mso-position-horizontal-relative:page;mso-position-vertical-relative:page;z-index:-5543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1.863998pt;margin-top:800.690002pt;width:13.15pt;height:11pt;mso-position-horizontal-relative:page;mso-position-vertical-relative:page;z-index:-5540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28</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1.863998pt;margin-top:800.690002pt;width:13.15pt;height:11pt;mso-position-horizontal-relative:page;mso-position-vertical-relative:page;z-index:-5536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31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55456" from="62.400002pt,54.959976pt" to="540.220002pt,54.959976pt" stroked="true" strokeweight=".72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55384" from="62.400002pt,54.959976pt" to="540.220002pt,54.959976pt" stroked="true" strokeweight=".72pt" strokecolor="#000000">
          <v:stroke dashstyle="solid"/>
          <w10:wrap type="non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55336" from="62.400002pt,54.959976pt" to="540.220002pt,54.959976pt" stroked="true" strokeweight=".72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37" w:hanging="184"/>
        <w:jc w:val="left"/>
      </w:pPr>
      <w:rPr>
        <w:rFonts w:hint="default" w:ascii="Calibri" w:hAnsi="Calibri" w:eastAsia="Calibri" w:cs="Calibri"/>
        <w:spacing w:val="-1"/>
        <w:w w:val="100"/>
        <w:sz w:val="22"/>
        <w:szCs w:val="22"/>
        <w:lang w:val="zh-cn" w:eastAsia="zh-cn" w:bidi="zh-cn"/>
      </w:rPr>
    </w:lvl>
    <w:lvl w:ilvl="1">
      <w:start w:val="0"/>
      <w:numFmt w:val="bullet"/>
      <w:lvlText w:val="•"/>
      <w:lvlJc w:val="left"/>
      <w:pPr>
        <w:ind w:left="1214" w:hanging="184"/>
      </w:pPr>
      <w:rPr>
        <w:rFonts w:hint="default"/>
        <w:lang w:val="zh-cn" w:eastAsia="zh-cn" w:bidi="zh-cn"/>
      </w:rPr>
    </w:lvl>
    <w:lvl w:ilvl="2">
      <w:start w:val="0"/>
      <w:numFmt w:val="bullet"/>
      <w:lvlText w:val="•"/>
      <w:lvlJc w:val="left"/>
      <w:pPr>
        <w:ind w:left="2189" w:hanging="184"/>
      </w:pPr>
      <w:rPr>
        <w:rFonts w:hint="default"/>
        <w:lang w:val="zh-cn" w:eastAsia="zh-cn" w:bidi="zh-cn"/>
      </w:rPr>
    </w:lvl>
    <w:lvl w:ilvl="3">
      <w:start w:val="0"/>
      <w:numFmt w:val="bullet"/>
      <w:lvlText w:val="•"/>
      <w:lvlJc w:val="left"/>
      <w:pPr>
        <w:ind w:left="3163" w:hanging="184"/>
      </w:pPr>
      <w:rPr>
        <w:rFonts w:hint="default"/>
        <w:lang w:val="zh-cn" w:eastAsia="zh-cn" w:bidi="zh-cn"/>
      </w:rPr>
    </w:lvl>
    <w:lvl w:ilvl="4">
      <w:start w:val="0"/>
      <w:numFmt w:val="bullet"/>
      <w:lvlText w:val="•"/>
      <w:lvlJc w:val="left"/>
      <w:pPr>
        <w:ind w:left="4138" w:hanging="184"/>
      </w:pPr>
      <w:rPr>
        <w:rFonts w:hint="default"/>
        <w:lang w:val="zh-cn" w:eastAsia="zh-cn" w:bidi="zh-cn"/>
      </w:rPr>
    </w:lvl>
    <w:lvl w:ilvl="5">
      <w:start w:val="0"/>
      <w:numFmt w:val="bullet"/>
      <w:lvlText w:val="•"/>
      <w:lvlJc w:val="left"/>
      <w:pPr>
        <w:ind w:left="5113" w:hanging="184"/>
      </w:pPr>
      <w:rPr>
        <w:rFonts w:hint="default"/>
        <w:lang w:val="zh-cn" w:eastAsia="zh-cn" w:bidi="zh-cn"/>
      </w:rPr>
    </w:lvl>
    <w:lvl w:ilvl="6">
      <w:start w:val="0"/>
      <w:numFmt w:val="bullet"/>
      <w:lvlText w:val="•"/>
      <w:lvlJc w:val="left"/>
      <w:pPr>
        <w:ind w:left="6087" w:hanging="184"/>
      </w:pPr>
      <w:rPr>
        <w:rFonts w:hint="default"/>
        <w:lang w:val="zh-cn" w:eastAsia="zh-cn" w:bidi="zh-cn"/>
      </w:rPr>
    </w:lvl>
    <w:lvl w:ilvl="7">
      <w:start w:val="0"/>
      <w:numFmt w:val="bullet"/>
      <w:lvlText w:val="•"/>
      <w:lvlJc w:val="left"/>
      <w:pPr>
        <w:ind w:left="7062" w:hanging="184"/>
      </w:pPr>
      <w:rPr>
        <w:rFonts w:hint="default"/>
        <w:lang w:val="zh-cn" w:eastAsia="zh-cn" w:bidi="zh-cn"/>
      </w:rPr>
    </w:lvl>
    <w:lvl w:ilvl="8">
      <w:start w:val="0"/>
      <w:numFmt w:val="bullet"/>
      <w:lvlText w:val="•"/>
      <w:lvlJc w:val="left"/>
      <w:pPr>
        <w:ind w:left="8037" w:hanging="184"/>
      </w:pPr>
      <w:rPr>
        <w:rFonts w:hint="default"/>
        <w:lang w:val="zh-cn" w:eastAsia="zh-cn" w:bidi="zh-cn"/>
      </w:rPr>
    </w:lvl>
  </w:abstractNum>
  <w:abstractNum w:abstractNumId="18">
    <w:multiLevelType w:val="hybridMultilevel"/>
    <w:lvl w:ilvl="0">
      <w:start w:val="1"/>
      <w:numFmt w:val="decimal"/>
      <w:lvlText w:val="%1."/>
      <w:lvlJc w:val="left"/>
      <w:pPr>
        <w:ind w:left="900" w:hanging="181"/>
        <w:jc w:val="left"/>
      </w:pPr>
      <w:rPr>
        <w:rFonts w:hint="default" w:ascii="Times New Roman" w:hAnsi="Times New Roman" w:eastAsia="Times New Roman" w:cs="Times New Roman"/>
        <w:b/>
        <w:bCs/>
        <w:w w:val="100"/>
        <w:sz w:val="22"/>
        <w:szCs w:val="22"/>
        <w:lang w:val="zh-cn" w:eastAsia="zh-cn" w:bidi="zh-cn"/>
      </w:rPr>
    </w:lvl>
    <w:lvl w:ilvl="1">
      <w:start w:val="0"/>
      <w:numFmt w:val="bullet"/>
      <w:lvlText w:val="•"/>
      <w:lvlJc w:val="left"/>
      <w:pPr>
        <w:ind w:left="1808" w:hanging="181"/>
      </w:pPr>
      <w:rPr>
        <w:rFonts w:hint="default"/>
        <w:lang w:val="zh-cn" w:eastAsia="zh-cn" w:bidi="zh-cn"/>
      </w:rPr>
    </w:lvl>
    <w:lvl w:ilvl="2">
      <w:start w:val="0"/>
      <w:numFmt w:val="bullet"/>
      <w:lvlText w:val="•"/>
      <w:lvlJc w:val="left"/>
      <w:pPr>
        <w:ind w:left="2717" w:hanging="181"/>
      </w:pPr>
      <w:rPr>
        <w:rFonts w:hint="default"/>
        <w:lang w:val="zh-cn" w:eastAsia="zh-cn" w:bidi="zh-cn"/>
      </w:rPr>
    </w:lvl>
    <w:lvl w:ilvl="3">
      <w:start w:val="0"/>
      <w:numFmt w:val="bullet"/>
      <w:lvlText w:val="•"/>
      <w:lvlJc w:val="left"/>
      <w:pPr>
        <w:ind w:left="3625" w:hanging="181"/>
      </w:pPr>
      <w:rPr>
        <w:rFonts w:hint="default"/>
        <w:lang w:val="zh-cn" w:eastAsia="zh-cn" w:bidi="zh-cn"/>
      </w:rPr>
    </w:lvl>
    <w:lvl w:ilvl="4">
      <w:start w:val="0"/>
      <w:numFmt w:val="bullet"/>
      <w:lvlText w:val="•"/>
      <w:lvlJc w:val="left"/>
      <w:pPr>
        <w:ind w:left="4534" w:hanging="181"/>
      </w:pPr>
      <w:rPr>
        <w:rFonts w:hint="default"/>
        <w:lang w:val="zh-cn" w:eastAsia="zh-cn" w:bidi="zh-cn"/>
      </w:rPr>
    </w:lvl>
    <w:lvl w:ilvl="5">
      <w:start w:val="0"/>
      <w:numFmt w:val="bullet"/>
      <w:lvlText w:val="•"/>
      <w:lvlJc w:val="left"/>
      <w:pPr>
        <w:ind w:left="5443" w:hanging="181"/>
      </w:pPr>
      <w:rPr>
        <w:rFonts w:hint="default"/>
        <w:lang w:val="zh-cn" w:eastAsia="zh-cn" w:bidi="zh-cn"/>
      </w:rPr>
    </w:lvl>
    <w:lvl w:ilvl="6">
      <w:start w:val="0"/>
      <w:numFmt w:val="bullet"/>
      <w:lvlText w:val="•"/>
      <w:lvlJc w:val="left"/>
      <w:pPr>
        <w:ind w:left="6351" w:hanging="181"/>
      </w:pPr>
      <w:rPr>
        <w:rFonts w:hint="default"/>
        <w:lang w:val="zh-cn" w:eastAsia="zh-cn" w:bidi="zh-cn"/>
      </w:rPr>
    </w:lvl>
    <w:lvl w:ilvl="7">
      <w:start w:val="0"/>
      <w:numFmt w:val="bullet"/>
      <w:lvlText w:val="•"/>
      <w:lvlJc w:val="left"/>
      <w:pPr>
        <w:ind w:left="7260" w:hanging="181"/>
      </w:pPr>
      <w:rPr>
        <w:rFonts w:hint="default"/>
        <w:lang w:val="zh-cn" w:eastAsia="zh-cn" w:bidi="zh-cn"/>
      </w:rPr>
    </w:lvl>
    <w:lvl w:ilvl="8">
      <w:start w:val="0"/>
      <w:numFmt w:val="bullet"/>
      <w:lvlText w:val="•"/>
      <w:lvlJc w:val="left"/>
      <w:pPr>
        <w:ind w:left="8169" w:hanging="181"/>
      </w:pPr>
      <w:rPr>
        <w:rFonts w:hint="default"/>
        <w:lang w:val="zh-cn" w:eastAsia="zh-cn" w:bidi="zh-cn"/>
      </w:rPr>
    </w:lvl>
  </w:abstractNum>
  <w:abstractNum w:abstractNumId="17">
    <w:multiLevelType w:val="hybridMultilevel"/>
    <w:lvl w:ilvl="0">
      <w:start w:val="1"/>
      <w:numFmt w:val="decimal"/>
      <w:lvlText w:val="%1."/>
      <w:lvlJc w:val="left"/>
      <w:pPr>
        <w:ind w:left="237" w:hanging="184"/>
        <w:jc w:val="left"/>
      </w:pPr>
      <w:rPr>
        <w:rFonts w:hint="default" w:ascii="Calibri" w:hAnsi="Calibri" w:eastAsia="Calibri" w:cs="Calibri"/>
        <w:spacing w:val="-1"/>
        <w:w w:val="100"/>
        <w:sz w:val="22"/>
        <w:szCs w:val="22"/>
        <w:lang w:val="zh-cn" w:eastAsia="zh-cn" w:bidi="zh-cn"/>
      </w:rPr>
    </w:lvl>
    <w:lvl w:ilvl="1">
      <w:start w:val="0"/>
      <w:numFmt w:val="bullet"/>
      <w:lvlText w:val="•"/>
      <w:lvlJc w:val="left"/>
      <w:pPr>
        <w:ind w:left="1214" w:hanging="184"/>
      </w:pPr>
      <w:rPr>
        <w:rFonts w:hint="default"/>
        <w:lang w:val="zh-cn" w:eastAsia="zh-cn" w:bidi="zh-cn"/>
      </w:rPr>
    </w:lvl>
    <w:lvl w:ilvl="2">
      <w:start w:val="0"/>
      <w:numFmt w:val="bullet"/>
      <w:lvlText w:val="•"/>
      <w:lvlJc w:val="left"/>
      <w:pPr>
        <w:ind w:left="2189" w:hanging="184"/>
      </w:pPr>
      <w:rPr>
        <w:rFonts w:hint="default"/>
        <w:lang w:val="zh-cn" w:eastAsia="zh-cn" w:bidi="zh-cn"/>
      </w:rPr>
    </w:lvl>
    <w:lvl w:ilvl="3">
      <w:start w:val="0"/>
      <w:numFmt w:val="bullet"/>
      <w:lvlText w:val="•"/>
      <w:lvlJc w:val="left"/>
      <w:pPr>
        <w:ind w:left="3163" w:hanging="184"/>
      </w:pPr>
      <w:rPr>
        <w:rFonts w:hint="default"/>
        <w:lang w:val="zh-cn" w:eastAsia="zh-cn" w:bidi="zh-cn"/>
      </w:rPr>
    </w:lvl>
    <w:lvl w:ilvl="4">
      <w:start w:val="0"/>
      <w:numFmt w:val="bullet"/>
      <w:lvlText w:val="•"/>
      <w:lvlJc w:val="left"/>
      <w:pPr>
        <w:ind w:left="4138" w:hanging="184"/>
      </w:pPr>
      <w:rPr>
        <w:rFonts w:hint="default"/>
        <w:lang w:val="zh-cn" w:eastAsia="zh-cn" w:bidi="zh-cn"/>
      </w:rPr>
    </w:lvl>
    <w:lvl w:ilvl="5">
      <w:start w:val="0"/>
      <w:numFmt w:val="bullet"/>
      <w:lvlText w:val="•"/>
      <w:lvlJc w:val="left"/>
      <w:pPr>
        <w:ind w:left="5113" w:hanging="184"/>
      </w:pPr>
      <w:rPr>
        <w:rFonts w:hint="default"/>
        <w:lang w:val="zh-cn" w:eastAsia="zh-cn" w:bidi="zh-cn"/>
      </w:rPr>
    </w:lvl>
    <w:lvl w:ilvl="6">
      <w:start w:val="0"/>
      <w:numFmt w:val="bullet"/>
      <w:lvlText w:val="•"/>
      <w:lvlJc w:val="left"/>
      <w:pPr>
        <w:ind w:left="6087" w:hanging="184"/>
      </w:pPr>
      <w:rPr>
        <w:rFonts w:hint="default"/>
        <w:lang w:val="zh-cn" w:eastAsia="zh-cn" w:bidi="zh-cn"/>
      </w:rPr>
    </w:lvl>
    <w:lvl w:ilvl="7">
      <w:start w:val="0"/>
      <w:numFmt w:val="bullet"/>
      <w:lvlText w:val="•"/>
      <w:lvlJc w:val="left"/>
      <w:pPr>
        <w:ind w:left="7062" w:hanging="184"/>
      </w:pPr>
      <w:rPr>
        <w:rFonts w:hint="default"/>
        <w:lang w:val="zh-cn" w:eastAsia="zh-cn" w:bidi="zh-cn"/>
      </w:rPr>
    </w:lvl>
    <w:lvl w:ilvl="8">
      <w:start w:val="0"/>
      <w:numFmt w:val="bullet"/>
      <w:lvlText w:val="•"/>
      <w:lvlJc w:val="left"/>
      <w:pPr>
        <w:ind w:left="8037" w:hanging="184"/>
      </w:pPr>
      <w:rPr>
        <w:rFonts w:hint="default"/>
        <w:lang w:val="zh-cn" w:eastAsia="zh-cn" w:bidi="zh-cn"/>
      </w:rPr>
    </w:lvl>
  </w:abstractNum>
  <w:abstractNum w:abstractNumId="16">
    <w:multiLevelType w:val="hybridMultilevel"/>
    <w:lvl w:ilvl="0">
      <w:start w:val="1"/>
      <w:numFmt w:val="decimal"/>
      <w:lvlText w:val="%1."/>
      <w:lvlJc w:val="left"/>
      <w:pPr>
        <w:ind w:left="237" w:hanging="184"/>
        <w:jc w:val="left"/>
      </w:pPr>
      <w:rPr>
        <w:rFonts w:hint="default" w:ascii="Calibri" w:hAnsi="Calibri" w:eastAsia="Calibri" w:cs="Calibri"/>
        <w:spacing w:val="-1"/>
        <w:w w:val="100"/>
        <w:sz w:val="22"/>
        <w:szCs w:val="22"/>
        <w:lang w:val="zh-cn" w:eastAsia="zh-cn" w:bidi="zh-cn"/>
      </w:rPr>
    </w:lvl>
    <w:lvl w:ilvl="1">
      <w:start w:val="0"/>
      <w:numFmt w:val="bullet"/>
      <w:lvlText w:val="•"/>
      <w:lvlJc w:val="left"/>
      <w:pPr>
        <w:ind w:left="1214" w:hanging="184"/>
      </w:pPr>
      <w:rPr>
        <w:rFonts w:hint="default"/>
        <w:lang w:val="zh-cn" w:eastAsia="zh-cn" w:bidi="zh-cn"/>
      </w:rPr>
    </w:lvl>
    <w:lvl w:ilvl="2">
      <w:start w:val="0"/>
      <w:numFmt w:val="bullet"/>
      <w:lvlText w:val="•"/>
      <w:lvlJc w:val="left"/>
      <w:pPr>
        <w:ind w:left="2189" w:hanging="184"/>
      </w:pPr>
      <w:rPr>
        <w:rFonts w:hint="default"/>
        <w:lang w:val="zh-cn" w:eastAsia="zh-cn" w:bidi="zh-cn"/>
      </w:rPr>
    </w:lvl>
    <w:lvl w:ilvl="3">
      <w:start w:val="0"/>
      <w:numFmt w:val="bullet"/>
      <w:lvlText w:val="•"/>
      <w:lvlJc w:val="left"/>
      <w:pPr>
        <w:ind w:left="3163" w:hanging="184"/>
      </w:pPr>
      <w:rPr>
        <w:rFonts w:hint="default"/>
        <w:lang w:val="zh-cn" w:eastAsia="zh-cn" w:bidi="zh-cn"/>
      </w:rPr>
    </w:lvl>
    <w:lvl w:ilvl="4">
      <w:start w:val="0"/>
      <w:numFmt w:val="bullet"/>
      <w:lvlText w:val="•"/>
      <w:lvlJc w:val="left"/>
      <w:pPr>
        <w:ind w:left="4138" w:hanging="184"/>
      </w:pPr>
      <w:rPr>
        <w:rFonts w:hint="default"/>
        <w:lang w:val="zh-cn" w:eastAsia="zh-cn" w:bidi="zh-cn"/>
      </w:rPr>
    </w:lvl>
    <w:lvl w:ilvl="5">
      <w:start w:val="0"/>
      <w:numFmt w:val="bullet"/>
      <w:lvlText w:val="•"/>
      <w:lvlJc w:val="left"/>
      <w:pPr>
        <w:ind w:left="5113" w:hanging="184"/>
      </w:pPr>
      <w:rPr>
        <w:rFonts w:hint="default"/>
        <w:lang w:val="zh-cn" w:eastAsia="zh-cn" w:bidi="zh-cn"/>
      </w:rPr>
    </w:lvl>
    <w:lvl w:ilvl="6">
      <w:start w:val="0"/>
      <w:numFmt w:val="bullet"/>
      <w:lvlText w:val="•"/>
      <w:lvlJc w:val="left"/>
      <w:pPr>
        <w:ind w:left="6087" w:hanging="184"/>
      </w:pPr>
      <w:rPr>
        <w:rFonts w:hint="default"/>
        <w:lang w:val="zh-cn" w:eastAsia="zh-cn" w:bidi="zh-cn"/>
      </w:rPr>
    </w:lvl>
    <w:lvl w:ilvl="7">
      <w:start w:val="0"/>
      <w:numFmt w:val="bullet"/>
      <w:lvlText w:val="•"/>
      <w:lvlJc w:val="left"/>
      <w:pPr>
        <w:ind w:left="7062" w:hanging="184"/>
      </w:pPr>
      <w:rPr>
        <w:rFonts w:hint="default"/>
        <w:lang w:val="zh-cn" w:eastAsia="zh-cn" w:bidi="zh-cn"/>
      </w:rPr>
    </w:lvl>
    <w:lvl w:ilvl="8">
      <w:start w:val="0"/>
      <w:numFmt w:val="bullet"/>
      <w:lvlText w:val="•"/>
      <w:lvlJc w:val="left"/>
      <w:pPr>
        <w:ind w:left="8037" w:hanging="184"/>
      </w:pPr>
      <w:rPr>
        <w:rFonts w:hint="default"/>
        <w:lang w:val="zh-cn" w:eastAsia="zh-cn" w:bidi="zh-cn"/>
      </w:rPr>
    </w:lvl>
  </w:abstractNum>
  <w:abstractNum w:abstractNumId="15">
    <w:multiLevelType w:val="hybridMultilevel"/>
    <w:lvl w:ilvl="0">
      <w:start w:val="2"/>
      <w:numFmt w:val="decimal"/>
      <w:lvlText w:val="%1"/>
      <w:lvlJc w:val="left"/>
      <w:pPr>
        <w:ind w:left="897" w:hanging="180"/>
        <w:jc w:val="left"/>
      </w:pPr>
      <w:rPr>
        <w:rFonts w:hint="default"/>
        <w:spacing w:val="-61"/>
        <w:w w:val="100"/>
        <w:lang w:val="zh-cn" w:eastAsia="zh-cn" w:bidi="zh-cn"/>
      </w:rPr>
    </w:lvl>
    <w:lvl w:ilvl="1">
      <w:start w:val="0"/>
      <w:numFmt w:val="bullet"/>
      <w:lvlText w:val="•"/>
      <w:lvlJc w:val="left"/>
      <w:pPr>
        <w:ind w:left="1808" w:hanging="180"/>
      </w:pPr>
      <w:rPr>
        <w:rFonts w:hint="default"/>
        <w:lang w:val="zh-cn" w:eastAsia="zh-cn" w:bidi="zh-cn"/>
      </w:rPr>
    </w:lvl>
    <w:lvl w:ilvl="2">
      <w:start w:val="0"/>
      <w:numFmt w:val="bullet"/>
      <w:lvlText w:val="•"/>
      <w:lvlJc w:val="left"/>
      <w:pPr>
        <w:ind w:left="2717" w:hanging="180"/>
      </w:pPr>
      <w:rPr>
        <w:rFonts w:hint="default"/>
        <w:lang w:val="zh-cn" w:eastAsia="zh-cn" w:bidi="zh-cn"/>
      </w:rPr>
    </w:lvl>
    <w:lvl w:ilvl="3">
      <w:start w:val="0"/>
      <w:numFmt w:val="bullet"/>
      <w:lvlText w:val="•"/>
      <w:lvlJc w:val="left"/>
      <w:pPr>
        <w:ind w:left="3625" w:hanging="180"/>
      </w:pPr>
      <w:rPr>
        <w:rFonts w:hint="default"/>
        <w:lang w:val="zh-cn" w:eastAsia="zh-cn" w:bidi="zh-cn"/>
      </w:rPr>
    </w:lvl>
    <w:lvl w:ilvl="4">
      <w:start w:val="0"/>
      <w:numFmt w:val="bullet"/>
      <w:lvlText w:val="•"/>
      <w:lvlJc w:val="left"/>
      <w:pPr>
        <w:ind w:left="4534" w:hanging="180"/>
      </w:pPr>
      <w:rPr>
        <w:rFonts w:hint="default"/>
        <w:lang w:val="zh-cn" w:eastAsia="zh-cn" w:bidi="zh-cn"/>
      </w:rPr>
    </w:lvl>
    <w:lvl w:ilvl="5">
      <w:start w:val="0"/>
      <w:numFmt w:val="bullet"/>
      <w:lvlText w:val="•"/>
      <w:lvlJc w:val="left"/>
      <w:pPr>
        <w:ind w:left="5443" w:hanging="180"/>
      </w:pPr>
      <w:rPr>
        <w:rFonts w:hint="default"/>
        <w:lang w:val="zh-cn" w:eastAsia="zh-cn" w:bidi="zh-cn"/>
      </w:rPr>
    </w:lvl>
    <w:lvl w:ilvl="6">
      <w:start w:val="0"/>
      <w:numFmt w:val="bullet"/>
      <w:lvlText w:val="•"/>
      <w:lvlJc w:val="left"/>
      <w:pPr>
        <w:ind w:left="6351" w:hanging="180"/>
      </w:pPr>
      <w:rPr>
        <w:rFonts w:hint="default"/>
        <w:lang w:val="zh-cn" w:eastAsia="zh-cn" w:bidi="zh-cn"/>
      </w:rPr>
    </w:lvl>
    <w:lvl w:ilvl="7">
      <w:start w:val="0"/>
      <w:numFmt w:val="bullet"/>
      <w:lvlText w:val="•"/>
      <w:lvlJc w:val="left"/>
      <w:pPr>
        <w:ind w:left="7260" w:hanging="180"/>
      </w:pPr>
      <w:rPr>
        <w:rFonts w:hint="default"/>
        <w:lang w:val="zh-cn" w:eastAsia="zh-cn" w:bidi="zh-cn"/>
      </w:rPr>
    </w:lvl>
    <w:lvl w:ilvl="8">
      <w:start w:val="0"/>
      <w:numFmt w:val="bullet"/>
      <w:lvlText w:val="•"/>
      <w:lvlJc w:val="left"/>
      <w:pPr>
        <w:ind w:left="8169" w:hanging="180"/>
      </w:pPr>
      <w:rPr>
        <w:rFonts w:hint="default"/>
        <w:lang w:val="zh-cn" w:eastAsia="zh-cn" w:bidi="zh-cn"/>
      </w:rPr>
    </w:lvl>
  </w:abstractNum>
  <w:abstractNum w:abstractNumId="14">
    <w:multiLevelType w:val="hybridMultilevel"/>
    <w:lvl w:ilvl="0">
      <w:start w:val="3"/>
      <w:numFmt w:val="decimal"/>
      <w:lvlText w:val="%1"/>
      <w:lvlJc w:val="left"/>
      <w:pPr>
        <w:ind w:left="1137" w:hanging="420"/>
        <w:jc w:val="left"/>
      </w:pPr>
      <w:rPr>
        <w:rFonts w:hint="default"/>
        <w:lang w:val="zh-cn" w:eastAsia="zh-cn" w:bidi="zh-cn"/>
      </w:rPr>
    </w:lvl>
    <w:lvl w:ilvl="1">
      <w:start w:val="6"/>
      <w:numFmt w:val="decimal"/>
      <w:lvlText w:val="%1.%2"/>
      <w:lvlJc w:val="left"/>
      <w:pPr>
        <w:ind w:left="1137" w:hanging="420"/>
        <w:jc w:val="left"/>
      </w:pPr>
      <w:rPr>
        <w:rFonts w:hint="default" w:ascii="Times New Roman" w:hAnsi="Times New Roman" w:eastAsia="Times New Roman" w:cs="Times New Roman"/>
        <w:spacing w:val="-60"/>
        <w:w w:val="100"/>
        <w:sz w:val="24"/>
        <w:szCs w:val="24"/>
        <w:lang w:val="zh-cn" w:eastAsia="zh-cn" w:bidi="zh-cn"/>
      </w:rPr>
    </w:lvl>
    <w:lvl w:ilvl="2">
      <w:start w:val="0"/>
      <w:numFmt w:val="bullet"/>
      <w:lvlText w:val="•"/>
      <w:lvlJc w:val="left"/>
      <w:pPr>
        <w:ind w:left="2909" w:hanging="420"/>
      </w:pPr>
      <w:rPr>
        <w:rFonts w:hint="default"/>
        <w:lang w:val="zh-cn" w:eastAsia="zh-cn" w:bidi="zh-cn"/>
      </w:rPr>
    </w:lvl>
    <w:lvl w:ilvl="3">
      <w:start w:val="0"/>
      <w:numFmt w:val="bullet"/>
      <w:lvlText w:val="•"/>
      <w:lvlJc w:val="left"/>
      <w:pPr>
        <w:ind w:left="3793" w:hanging="420"/>
      </w:pPr>
      <w:rPr>
        <w:rFonts w:hint="default"/>
        <w:lang w:val="zh-cn" w:eastAsia="zh-cn" w:bidi="zh-cn"/>
      </w:rPr>
    </w:lvl>
    <w:lvl w:ilvl="4">
      <w:start w:val="0"/>
      <w:numFmt w:val="bullet"/>
      <w:lvlText w:val="•"/>
      <w:lvlJc w:val="left"/>
      <w:pPr>
        <w:ind w:left="4678" w:hanging="420"/>
      </w:pPr>
      <w:rPr>
        <w:rFonts w:hint="default"/>
        <w:lang w:val="zh-cn" w:eastAsia="zh-cn" w:bidi="zh-cn"/>
      </w:rPr>
    </w:lvl>
    <w:lvl w:ilvl="5">
      <w:start w:val="0"/>
      <w:numFmt w:val="bullet"/>
      <w:lvlText w:val="•"/>
      <w:lvlJc w:val="left"/>
      <w:pPr>
        <w:ind w:left="5563" w:hanging="420"/>
      </w:pPr>
      <w:rPr>
        <w:rFonts w:hint="default"/>
        <w:lang w:val="zh-cn" w:eastAsia="zh-cn" w:bidi="zh-cn"/>
      </w:rPr>
    </w:lvl>
    <w:lvl w:ilvl="6">
      <w:start w:val="0"/>
      <w:numFmt w:val="bullet"/>
      <w:lvlText w:val="•"/>
      <w:lvlJc w:val="left"/>
      <w:pPr>
        <w:ind w:left="6447" w:hanging="420"/>
      </w:pPr>
      <w:rPr>
        <w:rFonts w:hint="default"/>
        <w:lang w:val="zh-cn" w:eastAsia="zh-cn" w:bidi="zh-cn"/>
      </w:rPr>
    </w:lvl>
    <w:lvl w:ilvl="7">
      <w:start w:val="0"/>
      <w:numFmt w:val="bullet"/>
      <w:lvlText w:val="•"/>
      <w:lvlJc w:val="left"/>
      <w:pPr>
        <w:ind w:left="7332" w:hanging="420"/>
      </w:pPr>
      <w:rPr>
        <w:rFonts w:hint="default"/>
        <w:lang w:val="zh-cn" w:eastAsia="zh-cn" w:bidi="zh-cn"/>
      </w:rPr>
    </w:lvl>
    <w:lvl w:ilvl="8">
      <w:start w:val="0"/>
      <w:numFmt w:val="bullet"/>
      <w:lvlText w:val="•"/>
      <w:lvlJc w:val="left"/>
      <w:pPr>
        <w:ind w:left="8217" w:hanging="420"/>
      </w:pPr>
      <w:rPr>
        <w:rFonts w:hint="default"/>
        <w:lang w:val="zh-cn" w:eastAsia="zh-cn" w:bidi="zh-cn"/>
      </w:rPr>
    </w:lvl>
  </w:abstractNum>
  <w:abstractNum w:abstractNumId="13">
    <w:multiLevelType w:val="hybridMultilevel"/>
    <w:lvl w:ilvl="0">
      <w:start w:val="1"/>
      <w:numFmt w:val="decimal"/>
      <w:lvlText w:val="%1."/>
      <w:lvlJc w:val="left"/>
      <w:pPr>
        <w:ind w:left="907" w:hanging="188"/>
        <w:jc w:val="left"/>
      </w:pPr>
      <w:rPr>
        <w:rFonts w:hint="default"/>
        <w:b/>
        <w:bCs/>
        <w:w w:val="100"/>
        <w:lang w:val="zh-cn" w:eastAsia="zh-cn" w:bidi="zh-cn"/>
      </w:rPr>
    </w:lvl>
    <w:lvl w:ilvl="1">
      <w:start w:val="1"/>
      <w:numFmt w:val="decimal"/>
      <w:lvlText w:val="%1.%2"/>
      <w:lvlJc w:val="left"/>
      <w:pPr>
        <w:ind w:left="237" w:hanging="420"/>
        <w:jc w:val="left"/>
      </w:pPr>
      <w:rPr>
        <w:rFonts w:hint="default" w:ascii="Times New Roman" w:hAnsi="Times New Roman" w:eastAsia="Times New Roman" w:cs="Times New Roman"/>
        <w:spacing w:val="-51"/>
        <w:w w:val="99"/>
        <w:sz w:val="24"/>
        <w:szCs w:val="24"/>
        <w:lang w:val="zh-cn" w:eastAsia="zh-cn" w:bidi="zh-cn"/>
      </w:rPr>
    </w:lvl>
    <w:lvl w:ilvl="2">
      <w:start w:val="0"/>
      <w:numFmt w:val="bullet"/>
      <w:lvlText w:val="•"/>
      <w:lvlJc w:val="left"/>
      <w:pPr>
        <w:ind w:left="1909" w:hanging="420"/>
      </w:pPr>
      <w:rPr>
        <w:rFonts w:hint="default"/>
        <w:lang w:val="zh-cn" w:eastAsia="zh-cn" w:bidi="zh-cn"/>
      </w:rPr>
    </w:lvl>
    <w:lvl w:ilvl="3">
      <w:start w:val="0"/>
      <w:numFmt w:val="bullet"/>
      <w:lvlText w:val="•"/>
      <w:lvlJc w:val="left"/>
      <w:pPr>
        <w:ind w:left="2919" w:hanging="420"/>
      </w:pPr>
      <w:rPr>
        <w:rFonts w:hint="default"/>
        <w:lang w:val="zh-cn" w:eastAsia="zh-cn" w:bidi="zh-cn"/>
      </w:rPr>
    </w:lvl>
    <w:lvl w:ilvl="4">
      <w:start w:val="0"/>
      <w:numFmt w:val="bullet"/>
      <w:lvlText w:val="•"/>
      <w:lvlJc w:val="left"/>
      <w:pPr>
        <w:ind w:left="3928" w:hanging="420"/>
      </w:pPr>
      <w:rPr>
        <w:rFonts w:hint="default"/>
        <w:lang w:val="zh-cn" w:eastAsia="zh-cn" w:bidi="zh-cn"/>
      </w:rPr>
    </w:lvl>
    <w:lvl w:ilvl="5">
      <w:start w:val="0"/>
      <w:numFmt w:val="bullet"/>
      <w:lvlText w:val="•"/>
      <w:lvlJc w:val="left"/>
      <w:pPr>
        <w:ind w:left="4938" w:hanging="420"/>
      </w:pPr>
      <w:rPr>
        <w:rFonts w:hint="default"/>
        <w:lang w:val="zh-cn" w:eastAsia="zh-cn" w:bidi="zh-cn"/>
      </w:rPr>
    </w:lvl>
    <w:lvl w:ilvl="6">
      <w:start w:val="0"/>
      <w:numFmt w:val="bullet"/>
      <w:lvlText w:val="•"/>
      <w:lvlJc w:val="left"/>
      <w:pPr>
        <w:ind w:left="5948" w:hanging="420"/>
      </w:pPr>
      <w:rPr>
        <w:rFonts w:hint="default"/>
        <w:lang w:val="zh-cn" w:eastAsia="zh-cn" w:bidi="zh-cn"/>
      </w:rPr>
    </w:lvl>
    <w:lvl w:ilvl="7">
      <w:start w:val="0"/>
      <w:numFmt w:val="bullet"/>
      <w:lvlText w:val="•"/>
      <w:lvlJc w:val="left"/>
      <w:pPr>
        <w:ind w:left="6957" w:hanging="420"/>
      </w:pPr>
      <w:rPr>
        <w:rFonts w:hint="default"/>
        <w:lang w:val="zh-cn" w:eastAsia="zh-cn" w:bidi="zh-cn"/>
      </w:rPr>
    </w:lvl>
    <w:lvl w:ilvl="8">
      <w:start w:val="0"/>
      <w:numFmt w:val="bullet"/>
      <w:lvlText w:val="•"/>
      <w:lvlJc w:val="left"/>
      <w:pPr>
        <w:ind w:left="7967" w:hanging="420"/>
      </w:pPr>
      <w:rPr>
        <w:rFonts w:hint="default"/>
        <w:lang w:val="zh-cn" w:eastAsia="zh-cn" w:bidi="zh-cn"/>
      </w:rPr>
    </w:lvl>
  </w:abstractNum>
  <w:abstractNum w:abstractNumId="12">
    <w:multiLevelType w:val="hybridMultilevel"/>
    <w:lvl w:ilvl="0">
      <w:start w:val="1"/>
      <w:numFmt w:val="decimal"/>
      <w:lvlText w:val="%1."/>
      <w:lvlJc w:val="left"/>
      <w:pPr>
        <w:ind w:left="889" w:hanging="184"/>
        <w:jc w:val="left"/>
      </w:pPr>
      <w:rPr>
        <w:rFonts w:hint="default" w:ascii="Calibri" w:hAnsi="Calibri" w:eastAsia="Calibri" w:cs="Calibri"/>
        <w:spacing w:val="-1"/>
        <w:w w:val="100"/>
        <w:sz w:val="22"/>
        <w:szCs w:val="22"/>
        <w:lang w:val="zh-cn" w:eastAsia="zh-cn" w:bidi="zh-cn"/>
      </w:rPr>
    </w:lvl>
    <w:lvl w:ilvl="1">
      <w:start w:val="0"/>
      <w:numFmt w:val="bullet"/>
      <w:lvlText w:val="•"/>
      <w:lvlJc w:val="left"/>
      <w:pPr>
        <w:ind w:left="1790" w:hanging="184"/>
      </w:pPr>
      <w:rPr>
        <w:rFonts w:hint="default"/>
        <w:lang w:val="zh-cn" w:eastAsia="zh-cn" w:bidi="zh-cn"/>
      </w:rPr>
    </w:lvl>
    <w:lvl w:ilvl="2">
      <w:start w:val="0"/>
      <w:numFmt w:val="bullet"/>
      <w:lvlText w:val="•"/>
      <w:lvlJc w:val="left"/>
      <w:pPr>
        <w:ind w:left="2701" w:hanging="184"/>
      </w:pPr>
      <w:rPr>
        <w:rFonts w:hint="default"/>
        <w:lang w:val="zh-cn" w:eastAsia="zh-cn" w:bidi="zh-cn"/>
      </w:rPr>
    </w:lvl>
    <w:lvl w:ilvl="3">
      <w:start w:val="0"/>
      <w:numFmt w:val="bullet"/>
      <w:lvlText w:val="•"/>
      <w:lvlJc w:val="left"/>
      <w:pPr>
        <w:ind w:left="3611" w:hanging="184"/>
      </w:pPr>
      <w:rPr>
        <w:rFonts w:hint="default"/>
        <w:lang w:val="zh-cn" w:eastAsia="zh-cn" w:bidi="zh-cn"/>
      </w:rPr>
    </w:lvl>
    <w:lvl w:ilvl="4">
      <w:start w:val="0"/>
      <w:numFmt w:val="bullet"/>
      <w:lvlText w:val="•"/>
      <w:lvlJc w:val="left"/>
      <w:pPr>
        <w:ind w:left="4522" w:hanging="184"/>
      </w:pPr>
      <w:rPr>
        <w:rFonts w:hint="default"/>
        <w:lang w:val="zh-cn" w:eastAsia="zh-cn" w:bidi="zh-cn"/>
      </w:rPr>
    </w:lvl>
    <w:lvl w:ilvl="5">
      <w:start w:val="0"/>
      <w:numFmt w:val="bullet"/>
      <w:lvlText w:val="•"/>
      <w:lvlJc w:val="left"/>
      <w:pPr>
        <w:ind w:left="5433" w:hanging="184"/>
      </w:pPr>
      <w:rPr>
        <w:rFonts w:hint="default"/>
        <w:lang w:val="zh-cn" w:eastAsia="zh-cn" w:bidi="zh-cn"/>
      </w:rPr>
    </w:lvl>
    <w:lvl w:ilvl="6">
      <w:start w:val="0"/>
      <w:numFmt w:val="bullet"/>
      <w:lvlText w:val="•"/>
      <w:lvlJc w:val="left"/>
      <w:pPr>
        <w:ind w:left="6343" w:hanging="184"/>
      </w:pPr>
      <w:rPr>
        <w:rFonts w:hint="default"/>
        <w:lang w:val="zh-cn" w:eastAsia="zh-cn" w:bidi="zh-cn"/>
      </w:rPr>
    </w:lvl>
    <w:lvl w:ilvl="7">
      <w:start w:val="0"/>
      <w:numFmt w:val="bullet"/>
      <w:lvlText w:val="•"/>
      <w:lvlJc w:val="left"/>
      <w:pPr>
        <w:ind w:left="7254" w:hanging="184"/>
      </w:pPr>
      <w:rPr>
        <w:rFonts w:hint="default"/>
        <w:lang w:val="zh-cn" w:eastAsia="zh-cn" w:bidi="zh-cn"/>
      </w:rPr>
    </w:lvl>
    <w:lvl w:ilvl="8">
      <w:start w:val="0"/>
      <w:numFmt w:val="bullet"/>
      <w:lvlText w:val="•"/>
      <w:lvlJc w:val="left"/>
      <w:pPr>
        <w:ind w:left="8165" w:hanging="184"/>
      </w:pPr>
      <w:rPr>
        <w:rFonts w:hint="default"/>
        <w:lang w:val="zh-cn" w:eastAsia="zh-cn" w:bidi="zh-cn"/>
      </w:rPr>
    </w:lvl>
  </w:abstractNum>
  <w:abstractNum w:abstractNumId="11">
    <w:multiLevelType w:val="hybridMultilevel"/>
    <w:lvl w:ilvl="0">
      <w:start w:val="1"/>
      <w:numFmt w:val="decimal"/>
      <w:lvlText w:val="%1."/>
      <w:lvlJc w:val="left"/>
      <w:pPr>
        <w:ind w:left="889" w:hanging="184"/>
        <w:jc w:val="left"/>
      </w:pPr>
      <w:rPr>
        <w:rFonts w:hint="default" w:ascii="Calibri" w:hAnsi="Calibri" w:eastAsia="Calibri" w:cs="Calibri"/>
        <w:spacing w:val="-1"/>
        <w:w w:val="100"/>
        <w:sz w:val="22"/>
        <w:szCs w:val="22"/>
        <w:lang w:val="zh-cn" w:eastAsia="zh-cn" w:bidi="zh-cn"/>
      </w:rPr>
    </w:lvl>
    <w:lvl w:ilvl="1">
      <w:start w:val="0"/>
      <w:numFmt w:val="bullet"/>
      <w:lvlText w:val="•"/>
      <w:lvlJc w:val="left"/>
      <w:pPr>
        <w:ind w:left="1790" w:hanging="184"/>
      </w:pPr>
      <w:rPr>
        <w:rFonts w:hint="default"/>
        <w:lang w:val="zh-cn" w:eastAsia="zh-cn" w:bidi="zh-cn"/>
      </w:rPr>
    </w:lvl>
    <w:lvl w:ilvl="2">
      <w:start w:val="0"/>
      <w:numFmt w:val="bullet"/>
      <w:lvlText w:val="•"/>
      <w:lvlJc w:val="left"/>
      <w:pPr>
        <w:ind w:left="2701" w:hanging="184"/>
      </w:pPr>
      <w:rPr>
        <w:rFonts w:hint="default"/>
        <w:lang w:val="zh-cn" w:eastAsia="zh-cn" w:bidi="zh-cn"/>
      </w:rPr>
    </w:lvl>
    <w:lvl w:ilvl="3">
      <w:start w:val="0"/>
      <w:numFmt w:val="bullet"/>
      <w:lvlText w:val="•"/>
      <w:lvlJc w:val="left"/>
      <w:pPr>
        <w:ind w:left="3611" w:hanging="184"/>
      </w:pPr>
      <w:rPr>
        <w:rFonts w:hint="default"/>
        <w:lang w:val="zh-cn" w:eastAsia="zh-cn" w:bidi="zh-cn"/>
      </w:rPr>
    </w:lvl>
    <w:lvl w:ilvl="4">
      <w:start w:val="0"/>
      <w:numFmt w:val="bullet"/>
      <w:lvlText w:val="•"/>
      <w:lvlJc w:val="left"/>
      <w:pPr>
        <w:ind w:left="4522" w:hanging="184"/>
      </w:pPr>
      <w:rPr>
        <w:rFonts w:hint="default"/>
        <w:lang w:val="zh-cn" w:eastAsia="zh-cn" w:bidi="zh-cn"/>
      </w:rPr>
    </w:lvl>
    <w:lvl w:ilvl="5">
      <w:start w:val="0"/>
      <w:numFmt w:val="bullet"/>
      <w:lvlText w:val="•"/>
      <w:lvlJc w:val="left"/>
      <w:pPr>
        <w:ind w:left="5433" w:hanging="184"/>
      </w:pPr>
      <w:rPr>
        <w:rFonts w:hint="default"/>
        <w:lang w:val="zh-cn" w:eastAsia="zh-cn" w:bidi="zh-cn"/>
      </w:rPr>
    </w:lvl>
    <w:lvl w:ilvl="6">
      <w:start w:val="0"/>
      <w:numFmt w:val="bullet"/>
      <w:lvlText w:val="•"/>
      <w:lvlJc w:val="left"/>
      <w:pPr>
        <w:ind w:left="6343" w:hanging="184"/>
      </w:pPr>
      <w:rPr>
        <w:rFonts w:hint="default"/>
        <w:lang w:val="zh-cn" w:eastAsia="zh-cn" w:bidi="zh-cn"/>
      </w:rPr>
    </w:lvl>
    <w:lvl w:ilvl="7">
      <w:start w:val="0"/>
      <w:numFmt w:val="bullet"/>
      <w:lvlText w:val="•"/>
      <w:lvlJc w:val="left"/>
      <w:pPr>
        <w:ind w:left="7254" w:hanging="184"/>
      </w:pPr>
      <w:rPr>
        <w:rFonts w:hint="default"/>
        <w:lang w:val="zh-cn" w:eastAsia="zh-cn" w:bidi="zh-cn"/>
      </w:rPr>
    </w:lvl>
    <w:lvl w:ilvl="8">
      <w:start w:val="0"/>
      <w:numFmt w:val="bullet"/>
      <w:lvlText w:val="•"/>
      <w:lvlJc w:val="left"/>
      <w:pPr>
        <w:ind w:left="8165" w:hanging="184"/>
      </w:pPr>
      <w:rPr>
        <w:rFonts w:hint="default"/>
        <w:lang w:val="zh-cn" w:eastAsia="zh-cn" w:bidi="zh-cn"/>
      </w:rPr>
    </w:lvl>
  </w:abstractNum>
  <w:abstractNum w:abstractNumId="10">
    <w:multiLevelType w:val="hybridMultilevel"/>
    <w:lvl w:ilvl="0">
      <w:start w:val="1"/>
      <w:numFmt w:val="decimal"/>
      <w:lvlText w:val="%1."/>
      <w:lvlJc w:val="left"/>
      <w:pPr>
        <w:ind w:left="889" w:hanging="184"/>
        <w:jc w:val="left"/>
      </w:pPr>
      <w:rPr>
        <w:rFonts w:hint="default" w:ascii="Calibri" w:hAnsi="Calibri" w:eastAsia="Calibri" w:cs="Calibri"/>
        <w:spacing w:val="-1"/>
        <w:w w:val="100"/>
        <w:sz w:val="22"/>
        <w:szCs w:val="22"/>
        <w:lang w:val="zh-cn" w:eastAsia="zh-cn" w:bidi="zh-cn"/>
      </w:rPr>
    </w:lvl>
    <w:lvl w:ilvl="1">
      <w:start w:val="0"/>
      <w:numFmt w:val="bullet"/>
      <w:lvlText w:val="•"/>
      <w:lvlJc w:val="left"/>
      <w:pPr>
        <w:ind w:left="1790" w:hanging="184"/>
      </w:pPr>
      <w:rPr>
        <w:rFonts w:hint="default"/>
        <w:lang w:val="zh-cn" w:eastAsia="zh-cn" w:bidi="zh-cn"/>
      </w:rPr>
    </w:lvl>
    <w:lvl w:ilvl="2">
      <w:start w:val="0"/>
      <w:numFmt w:val="bullet"/>
      <w:lvlText w:val="•"/>
      <w:lvlJc w:val="left"/>
      <w:pPr>
        <w:ind w:left="2701" w:hanging="184"/>
      </w:pPr>
      <w:rPr>
        <w:rFonts w:hint="default"/>
        <w:lang w:val="zh-cn" w:eastAsia="zh-cn" w:bidi="zh-cn"/>
      </w:rPr>
    </w:lvl>
    <w:lvl w:ilvl="3">
      <w:start w:val="0"/>
      <w:numFmt w:val="bullet"/>
      <w:lvlText w:val="•"/>
      <w:lvlJc w:val="left"/>
      <w:pPr>
        <w:ind w:left="3611" w:hanging="184"/>
      </w:pPr>
      <w:rPr>
        <w:rFonts w:hint="default"/>
        <w:lang w:val="zh-cn" w:eastAsia="zh-cn" w:bidi="zh-cn"/>
      </w:rPr>
    </w:lvl>
    <w:lvl w:ilvl="4">
      <w:start w:val="0"/>
      <w:numFmt w:val="bullet"/>
      <w:lvlText w:val="•"/>
      <w:lvlJc w:val="left"/>
      <w:pPr>
        <w:ind w:left="4522" w:hanging="184"/>
      </w:pPr>
      <w:rPr>
        <w:rFonts w:hint="default"/>
        <w:lang w:val="zh-cn" w:eastAsia="zh-cn" w:bidi="zh-cn"/>
      </w:rPr>
    </w:lvl>
    <w:lvl w:ilvl="5">
      <w:start w:val="0"/>
      <w:numFmt w:val="bullet"/>
      <w:lvlText w:val="•"/>
      <w:lvlJc w:val="left"/>
      <w:pPr>
        <w:ind w:left="5433" w:hanging="184"/>
      </w:pPr>
      <w:rPr>
        <w:rFonts w:hint="default"/>
        <w:lang w:val="zh-cn" w:eastAsia="zh-cn" w:bidi="zh-cn"/>
      </w:rPr>
    </w:lvl>
    <w:lvl w:ilvl="6">
      <w:start w:val="0"/>
      <w:numFmt w:val="bullet"/>
      <w:lvlText w:val="•"/>
      <w:lvlJc w:val="left"/>
      <w:pPr>
        <w:ind w:left="6343" w:hanging="184"/>
      </w:pPr>
      <w:rPr>
        <w:rFonts w:hint="default"/>
        <w:lang w:val="zh-cn" w:eastAsia="zh-cn" w:bidi="zh-cn"/>
      </w:rPr>
    </w:lvl>
    <w:lvl w:ilvl="7">
      <w:start w:val="0"/>
      <w:numFmt w:val="bullet"/>
      <w:lvlText w:val="•"/>
      <w:lvlJc w:val="left"/>
      <w:pPr>
        <w:ind w:left="7254" w:hanging="184"/>
      </w:pPr>
      <w:rPr>
        <w:rFonts w:hint="default"/>
        <w:lang w:val="zh-cn" w:eastAsia="zh-cn" w:bidi="zh-cn"/>
      </w:rPr>
    </w:lvl>
    <w:lvl w:ilvl="8">
      <w:start w:val="0"/>
      <w:numFmt w:val="bullet"/>
      <w:lvlText w:val="•"/>
      <w:lvlJc w:val="left"/>
      <w:pPr>
        <w:ind w:left="8165" w:hanging="184"/>
      </w:pPr>
      <w:rPr>
        <w:rFonts w:hint="default"/>
        <w:lang w:val="zh-cn" w:eastAsia="zh-cn" w:bidi="zh-cn"/>
      </w:rPr>
    </w:lvl>
  </w:abstractNum>
  <w:abstractNum w:abstractNumId="9">
    <w:multiLevelType w:val="hybridMultilevel"/>
    <w:lvl w:ilvl="0">
      <w:start w:val="1"/>
      <w:numFmt w:val="decimal"/>
      <w:lvlText w:val="%1."/>
      <w:lvlJc w:val="left"/>
      <w:pPr>
        <w:ind w:left="889" w:hanging="184"/>
        <w:jc w:val="left"/>
      </w:pPr>
      <w:rPr>
        <w:rFonts w:hint="default" w:ascii="Calibri" w:hAnsi="Calibri" w:eastAsia="Calibri" w:cs="Calibri"/>
        <w:spacing w:val="-1"/>
        <w:w w:val="100"/>
        <w:sz w:val="22"/>
        <w:szCs w:val="22"/>
        <w:lang w:val="zh-cn" w:eastAsia="zh-cn" w:bidi="zh-cn"/>
      </w:rPr>
    </w:lvl>
    <w:lvl w:ilvl="1">
      <w:start w:val="0"/>
      <w:numFmt w:val="bullet"/>
      <w:lvlText w:val="•"/>
      <w:lvlJc w:val="left"/>
      <w:pPr>
        <w:ind w:left="1790" w:hanging="184"/>
      </w:pPr>
      <w:rPr>
        <w:rFonts w:hint="default"/>
        <w:lang w:val="zh-cn" w:eastAsia="zh-cn" w:bidi="zh-cn"/>
      </w:rPr>
    </w:lvl>
    <w:lvl w:ilvl="2">
      <w:start w:val="0"/>
      <w:numFmt w:val="bullet"/>
      <w:lvlText w:val="•"/>
      <w:lvlJc w:val="left"/>
      <w:pPr>
        <w:ind w:left="2701" w:hanging="184"/>
      </w:pPr>
      <w:rPr>
        <w:rFonts w:hint="default"/>
        <w:lang w:val="zh-cn" w:eastAsia="zh-cn" w:bidi="zh-cn"/>
      </w:rPr>
    </w:lvl>
    <w:lvl w:ilvl="3">
      <w:start w:val="0"/>
      <w:numFmt w:val="bullet"/>
      <w:lvlText w:val="•"/>
      <w:lvlJc w:val="left"/>
      <w:pPr>
        <w:ind w:left="3611" w:hanging="184"/>
      </w:pPr>
      <w:rPr>
        <w:rFonts w:hint="default"/>
        <w:lang w:val="zh-cn" w:eastAsia="zh-cn" w:bidi="zh-cn"/>
      </w:rPr>
    </w:lvl>
    <w:lvl w:ilvl="4">
      <w:start w:val="0"/>
      <w:numFmt w:val="bullet"/>
      <w:lvlText w:val="•"/>
      <w:lvlJc w:val="left"/>
      <w:pPr>
        <w:ind w:left="4522" w:hanging="184"/>
      </w:pPr>
      <w:rPr>
        <w:rFonts w:hint="default"/>
        <w:lang w:val="zh-cn" w:eastAsia="zh-cn" w:bidi="zh-cn"/>
      </w:rPr>
    </w:lvl>
    <w:lvl w:ilvl="5">
      <w:start w:val="0"/>
      <w:numFmt w:val="bullet"/>
      <w:lvlText w:val="•"/>
      <w:lvlJc w:val="left"/>
      <w:pPr>
        <w:ind w:left="5433" w:hanging="184"/>
      </w:pPr>
      <w:rPr>
        <w:rFonts w:hint="default"/>
        <w:lang w:val="zh-cn" w:eastAsia="zh-cn" w:bidi="zh-cn"/>
      </w:rPr>
    </w:lvl>
    <w:lvl w:ilvl="6">
      <w:start w:val="0"/>
      <w:numFmt w:val="bullet"/>
      <w:lvlText w:val="•"/>
      <w:lvlJc w:val="left"/>
      <w:pPr>
        <w:ind w:left="6343" w:hanging="184"/>
      </w:pPr>
      <w:rPr>
        <w:rFonts w:hint="default"/>
        <w:lang w:val="zh-cn" w:eastAsia="zh-cn" w:bidi="zh-cn"/>
      </w:rPr>
    </w:lvl>
    <w:lvl w:ilvl="7">
      <w:start w:val="0"/>
      <w:numFmt w:val="bullet"/>
      <w:lvlText w:val="•"/>
      <w:lvlJc w:val="left"/>
      <w:pPr>
        <w:ind w:left="7254" w:hanging="184"/>
      </w:pPr>
      <w:rPr>
        <w:rFonts w:hint="default"/>
        <w:lang w:val="zh-cn" w:eastAsia="zh-cn" w:bidi="zh-cn"/>
      </w:rPr>
    </w:lvl>
    <w:lvl w:ilvl="8">
      <w:start w:val="0"/>
      <w:numFmt w:val="bullet"/>
      <w:lvlText w:val="•"/>
      <w:lvlJc w:val="left"/>
      <w:pPr>
        <w:ind w:left="8165" w:hanging="184"/>
      </w:pPr>
      <w:rPr>
        <w:rFonts w:hint="default"/>
        <w:lang w:val="zh-cn" w:eastAsia="zh-cn" w:bidi="zh-cn"/>
      </w:rPr>
    </w:lvl>
  </w:abstractNum>
  <w:abstractNum w:abstractNumId="8">
    <w:multiLevelType w:val="hybridMultilevel"/>
    <w:lvl w:ilvl="0">
      <w:start w:val="1"/>
      <w:numFmt w:val="decimal"/>
      <w:lvlText w:val="%1."/>
      <w:lvlJc w:val="left"/>
      <w:pPr>
        <w:ind w:left="889" w:hanging="184"/>
        <w:jc w:val="left"/>
      </w:pPr>
      <w:rPr>
        <w:rFonts w:hint="default" w:ascii="Calibri" w:hAnsi="Calibri" w:eastAsia="Calibri" w:cs="Calibri"/>
        <w:spacing w:val="-1"/>
        <w:w w:val="100"/>
        <w:sz w:val="22"/>
        <w:szCs w:val="22"/>
        <w:lang w:val="zh-cn" w:eastAsia="zh-cn" w:bidi="zh-cn"/>
      </w:rPr>
    </w:lvl>
    <w:lvl w:ilvl="1">
      <w:start w:val="0"/>
      <w:numFmt w:val="bullet"/>
      <w:lvlText w:val="•"/>
      <w:lvlJc w:val="left"/>
      <w:pPr>
        <w:ind w:left="1790" w:hanging="184"/>
      </w:pPr>
      <w:rPr>
        <w:rFonts w:hint="default"/>
        <w:lang w:val="zh-cn" w:eastAsia="zh-cn" w:bidi="zh-cn"/>
      </w:rPr>
    </w:lvl>
    <w:lvl w:ilvl="2">
      <w:start w:val="0"/>
      <w:numFmt w:val="bullet"/>
      <w:lvlText w:val="•"/>
      <w:lvlJc w:val="left"/>
      <w:pPr>
        <w:ind w:left="2701" w:hanging="184"/>
      </w:pPr>
      <w:rPr>
        <w:rFonts w:hint="default"/>
        <w:lang w:val="zh-cn" w:eastAsia="zh-cn" w:bidi="zh-cn"/>
      </w:rPr>
    </w:lvl>
    <w:lvl w:ilvl="3">
      <w:start w:val="0"/>
      <w:numFmt w:val="bullet"/>
      <w:lvlText w:val="•"/>
      <w:lvlJc w:val="left"/>
      <w:pPr>
        <w:ind w:left="3611" w:hanging="184"/>
      </w:pPr>
      <w:rPr>
        <w:rFonts w:hint="default"/>
        <w:lang w:val="zh-cn" w:eastAsia="zh-cn" w:bidi="zh-cn"/>
      </w:rPr>
    </w:lvl>
    <w:lvl w:ilvl="4">
      <w:start w:val="0"/>
      <w:numFmt w:val="bullet"/>
      <w:lvlText w:val="•"/>
      <w:lvlJc w:val="left"/>
      <w:pPr>
        <w:ind w:left="4522" w:hanging="184"/>
      </w:pPr>
      <w:rPr>
        <w:rFonts w:hint="default"/>
        <w:lang w:val="zh-cn" w:eastAsia="zh-cn" w:bidi="zh-cn"/>
      </w:rPr>
    </w:lvl>
    <w:lvl w:ilvl="5">
      <w:start w:val="0"/>
      <w:numFmt w:val="bullet"/>
      <w:lvlText w:val="•"/>
      <w:lvlJc w:val="left"/>
      <w:pPr>
        <w:ind w:left="5433" w:hanging="184"/>
      </w:pPr>
      <w:rPr>
        <w:rFonts w:hint="default"/>
        <w:lang w:val="zh-cn" w:eastAsia="zh-cn" w:bidi="zh-cn"/>
      </w:rPr>
    </w:lvl>
    <w:lvl w:ilvl="6">
      <w:start w:val="0"/>
      <w:numFmt w:val="bullet"/>
      <w:lvlText w:val="•"/>
      <w:lvlJc w:val="left"/>
      <w:pPr>
        <w:ind w:left="6343" w:hanging="184"/>
      </w:pPr>
      <w:rPr>
        <w:rFonts w:hint="default"/>
        <w:lang w:val="zh-cn" w:eastAsia="zh-cn" w:bidi="zh-cn"/>
      </w:rPr>
    </w:lvl>
    <w:lvl w:ilvl="7">
      <w:start w:val="0"/>
      <w:numFmt w:val="bullet"/>
      <w:lvlText w:val="•"/>
      <w:lvlJc w:val="left"/>
      <w:pPr>
        <w:ind w:left="7254" w:hanging="184"/>
      </w:pPr>
      <w:rPr>
        <w:rFonts w:hint="default"/>
        <w:lang w:val="zh-cn" w:eastAsia="zh-cn" w:bidi="zh-cn"/>
      </w:rPr>
    </w:lvl>
    <w:lvl w:ilvl="8">
      <w:start w:val="0"/>
      <w:numFmt w:val="bullet"/>
      <w:lvlText w:val="•"/>
      <w:lvlJc w:val="left"/>
      <w:pPr>
        <w:ind w:left="8165" w:hanging="184"/>
      </w:pPr>
      <w:rPr>
        <w:rFonts w:hint="default"/>
        <w:lang w:val="zh-cn" w:eastAsia="zh-cn" w:bidi="zh-cn"/>
      </w:rPr>
    </w:lvl>
  </w:abstractNum>
  <w:abstractNum w:abstractNumId="7">
    <w:multiLevelType w:val="hybridMultilevel"/>
    <w:lvl w:ilvl="0">
      <w:start w:val="1"/>
      <w:numFmt w:val="decimal"/>
      <w:lvlText w:val="%1."/>
      <w:lvlJc w:val="left"/>
      <w:pPr>
        <w:ind w:left="889" w:hanging="184"/>
        <w:jc w:val="left"/>
      </w:pPr>
      <w:rPr>
        <w:rFonts w:hint="default" w:ascii="Calibri" w:hAnsi="Calibri" w:eastAsia="Calibri" w:cs="Calibri"/>
        <w:spacing w:val="-1"/>
        <w:w w:val="100"/>
        <w:sz w:val="22"/>
        <w:szCs w:val="22"/>
        <w:lang w:val="zh-cn" w:eastAsia="zh-cn" w:bidi="zh-cn"/>
      </w:rPr>
    </w:lvl>
    <w:lvl w:ilvl="1">
      <w:start w:val="0"/>
      <w:numFmt w:val="bullet"/>
      <w:lvlText w:val="•"/>
      <w:lvlJc w:val="left"/>
      <w:pPr>
        <w:ind w:left="1790" w:hanging="184"/>
      </w:pPr>
      <w:rPr>
        <w:rFonts w:hint="default"/>
        <w:lang w:val="zh-cn" w:eastAsia="zh-cn" w:bidi="zh-cn"/>
      </w:rPr>
    </w:lvl>
    <w:lvl w:ilvl="2">
      <w:start w:val="0"/>
      <w:numFmt w:val="bullet"/>
      <w:lvlText w:val="•"/>
      <w:lvlJc w:val="left"/>
      <w:pPr>
        <w:ind w:left="2701" w:hanging="184"/>
      </w:pPr>
      <w:rPr>
        <w:rFonts w:hint="default"/>
        <w:lang w:val="zh-cn" w:eastAsia="zh-cn" w:bidi="zh-cn"/>
      </w:rPr>
    </w:lvl>
    <w:lvl w:ilvl="3">
      <w:start w:val="0"/>
      <w:numFmt w:val="bullet"/>
      <w:lvlText w:val="•"/>
      <w:lvlJc w:val="left"/>
      <w:pPr>
        <w:ind w:left="3611" w:hanging="184"/>
      </w:pPr>
      <w:rPr>
        <w:rFonts w:hint="default"/>
        <w:lang w:val="zh-cn" w:eastAsia="zh-cn" w:bidi="zh-cn"/>
      </w:rPr>
    </w:lvl>
    <w:lvl w:ilvl="4">
      <w:start w:val="0"/>
      <w:numFmt w:val="bullet"/>
      <w:lvlText w:val="•"/>
      <w:lvlJc w:val="left"/>
      <w:pPr>
        <w:ind w:left="4522" w:hanging="184"/>
      </w:pPr>
      <w:rPr>
        <w:rFonts w:hint="default"/>
        <w:lang w:val="zh-cn" w:eastAsia="zh-cn" w:bidi="zh-cn"/>
      </w:rPr>
    </w:lvl>
    <w:lvl w:ilvl="5">
      <w:start w:val="0"/>
      <w:numFmt w:val="bullet"/>
      <w:lvlText w:val="•"/>
      <w:lvlJc w:val="left"/>
      <w:pPr>
        <w:ind w:left="5433" w:hanging="184"/>
      </w:pPr>
      <w:rPr>
        <w:rFonts w:hint="default"/>
        <w:lang w:val="zh-cn" w:eastAsia="zh-cn" w:bidi="zh-cn"/>
      </w:rPr>
    </w:lvl>
    <w:lvl w:ilvl="6">
      <w:start w:val="0"/>
      <w:numFmt w:val="bullet"/>
      <w:lvlText w:val="•"/>
      <w:lvlJc w:val="left"/>
      <w:pPr>
        <w:ind w:left="6343" w:hanging="184"/>
      </w:pPr>
      <w:rPr>
        <w:rFonts w:hint="default"/>
        <w:lang w:val="zh-cn" w:eastAsia="zh-cn" w:bidi="zh-cn"/>
      </w:rPr>
    </w:lvl>
    <w:lvl w:ilvl="7">
      <w:start w:val="0"/>
      <w:numFmt w:val="bullet"/>
      <w:lvlText w:val="•"/>
      <w:lvlJc w:val="left"/>
      <w:pPr>
        <w:ind w:left="7254" w:hanging="184"/>
      </w:pPr>
      <w:rPr>
        <w:rFonts w:hint="default"/>
        <w:lang w:val="zh-cn" w:eastAsia="zh-cn" w:bidi="zh-cn"/>
      </w:rPr>
    </w:lvl>
    <w:lvl w:ilvl="8">
      <w:start w:val="0"/>
      <w:numFmt w:val="bullet"/>
      <w:lvlText w:val="•"/>
      <w:lvlJc w:val="left"/>
      <w:pPr>
        <w:ind w:left="8165" w:hanging="184"/>
      </w:pPr>
      <w:rPr>
        <w:rFonts w:hint="default"/>
        <w:lang w:val="zh-cn" w:eastAsia="zh-cn" w:bidi="zh-cn"/>
      </w:rPr>
    </w:lvl>
  </w:abstractNum>
  <w:abstractNum w:abstractNumId="6">
    <w:multiLevelType w:val="hybridMultilevel"/>
    <w:lvl w:ilvl="0">
      <w:start w:val="1"/>
      <w:numFmt w:val="decimal"/>
      <w:lvlText w:val="%1."/>
      <w:lvlJc w:val="left"/>
      <w:pPr>
        <w:ind w:left="889" w:hanging="184"/>
        <w:jc w:val="left"/>
      </w:pPr>
      <w:rPr>
        <w:rFonts w:hint="default" w:ascii="Calibri" w:hAnsi="Calibri" w:eastAsia="Calibri" w:cs="Calibri"/>
        <w:spacing w:val="-1"/>
        <w:w w:val="100"/>
        <w:sz w:val="22"/>
        <w:szCs w:val="22"/>
        <w:lang w:val="zh-cn" w:eastAsia="zh-cn" w:bidi="zh-cn"/>
      </w:rPr>
    </w:lvl>
    <w:lvl w:ilvl="1">
      <w:start w:val="0"/>
      <w:numFmt w:val="bullet"/>
      <w:lvlText w:val="•"/>
      <w:lvlJc w:val="left"/>
      <w:pPr>
        <w:ind w:left="1790" w:hanging="184"/>
      </w:pPr>
      <w:rPr>
        <w:rFonts w:hint="default"/>
        <w:lang w:val="zh-cn" w:eastAsia="zh-cn" w:bidi="zh-cn"/>
      </w:rPr>
    </w:lvl>
    <w:lvl w:ilvl="2">
      <w:start w:val="0"/>
      <w:numFmt w:val="bullet"/>
      <w:lvlText w:val="•"/>
      <w:lvlJc w:val="left"/>
      <w:pPr>
        <w:ind w:left="2701" w:hanging="184"/>
      </w:pPr>
      <w:rPr>
        <w:rFonts w:hint="default"/>
        <w:lang w:val="zh-cn" w:eastAsia="zh-cn" w:bidi="zh-cn"/>
      </w:rPr>
    </w:lvl>
    <w:lvl w:ilvl="3">
      <w:start w:val="0"/>
      <w:numFmt w:val="bullet"/>
      <w:lvlText w:val="•"/>
      <w:lvlJc w:val="left"/>
      <w:pPr>
        <w:ind w:left="3611" w:hanging="184"/>
      </w:pPr>
      <w:rPr>
        <w:rFonts w:hint="default"/>
        <w:lang w:val="zh-cn" w:eastAsia="zh-cn" w:bidi="zh-cn"/>
      </w:rPr>
    </w:lvl>
    <w:lvl w:ilvl="4">
      <w:start w:val="0"/>
      <w:numFmt w:val="bullet"/>
      <w:lvlText w:val="•"/>
      <w:lvlJc w:val="left"/>
      <w:pPr>
        <w:ind w:left="4522" w:hanging="184"/>
      </w:pPr>
      <w:rPr>
        <w:rFonts w:hint="default"/>
        <w:lang w:val="zh-cn" w:eastAsia="zh-cn" w:bidi="zh-cn"/>
      </w:rPr>
    </w:lvl>
    <w:lvl w:ilvl="5">
      <w:start w:val="0"/>
      <w:numFmt w:val="bullet"/>
      <w:lvlText w:val="•"/>
      <w:lvlJc w:val="left"/>
      <w:pPr>
        <w:ind w:left="5433" w:hanging="184"/>
      </w:pPr>
      <w:rPr>
        <w:rFonts w:hint="default"/>
        <w:lang w:val="zh-cn" w:eastAsia="zh-cn" w:bidi="zh-cn"/>
      </w:rPr>
    </w:lvl>
    <w:lvl w:ilvl="6">
      <w:start w:val="0"/>
      <w:numFmt w:val="bullet"/>
      <w:lvlText w:val="•"/>
      <w:lvlJc w:val="left"/>
      <w:pPr>
        <w:ind w:left="6343" w:hanging="184"/>
      </w:pPr>
      <w:rPr>
        <w:rFonts w:hint="default"/>
        <w:lang w:val="zh-cn" w:eastAsia="zh-cn" w:bidi="zh-cn"/>
      </w:rPr>
    </w:lvl>
    <w:lvl w:ilvl="7">
      <w:start w:val="0"/>
      <w:numFmt w:val="bullet"/>
      <w:lvlText w:val="•"/>
      <w:lvlJc w:val="left"/>
      <w:pPr>
        <w:ind w:left="7254" w:hanging="184"/>
      </w:pPr>
      <w:rPr>
        <w:rFonts w:hint="default"/>
        <w:lang w:val="zh-cn" w:eastAsia="zh-cn" w:bidi="zh-cn"/>
      </w:rPr>
    </w:lvl>
    <w:lvl w:ilvl="8">
      <w:start w:val="0"/>
      <w:numFmt w:val="bullet"/>
      <w:lvlText w:val="•"/>
      <w:lvlJc w:val="left"/>
      <w:pPr>
        <w:ind w:left="8165" w:hanging="184"/>
      </w:pPr>
      <w:rPr>
        <w:rFonts w:hint="default"/>
        <w:lang w:val="zh-cn" w:eastAsia="zh-cn" w:bidi="zh-cn"/>
      </w:rPr>
    </w:lvl>
  </w:abstractNum>
  <w:abstractNum w:abstractNumId="5">
    <w:multiLevelType w:val="hybridMultilevel"/>
    <w:lvl w:ilvl="0">
      <w:start w:val="1"/>
      <w:numFmt w:val="decimal"/>
      <w:lvlText w:val="（%1）"/>
      <w:lvlJc w:val="left"/>
      <w:pPr>
        <w:ind w:left="237" w:hanging="604"/>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214" w:hanging="604"/>
      </w:pPr>
      <w:rPr>
        <w:rFonts w:hint="default"/>
        <w:lang w:val="zh-cn" w:eastAsia="zh-cn" w:bidi="zh-cn"/>
      </w:rPr>
    </w:lvl>
    <w:lvl w:ilvl="2">
      <w:start w:val="0"/>
      <w:numFmt w:val="bullet"/>
      <w:lvlText w:val="•"/>
      <w:lvlJc w:val="left"/>
      <w:pPr>
        <w:ind w:left="2189" w:hanging="604"/>
      </w:pPr>
      <w:rPr>
        <w:rFonts w:hint="default"/>
        <w:lang w:val="zh-cn" w:eastAsia="zh-cn" w:bidi="zh-cn"/>
      </w:rPr>
    </w:lvl>
    <w:lvl w:ilvl="3">
      <w:start w:val="0"/>
      <w:numFmt w:val="bullet"/>
      <w:lvlText w:val="•"/>
      <w:lvlJc w:val="left"/>
      <w:pPr>
        <w:ind w:left="3163" w:hanging="604"/>
      </w:pPr>
      <w:rPr>
        <w:rFonts w:hint="default"/>
        <w:lang w:val="zh-cn" w:eastAsia="zh-cn" w:bidi="zh-cn"/>
      </w:rPr>
    </w:lvl>
    <w:lvl w:ilvl="4">
      <w:start w:val="0"/>
      <w:numFmt w:val="bullet"/>
      <w:lvlText w:val="•"/>
      <w:lvlJc w:val="left"/>
      <w:pPr>
        <w:ind w:left="4138" w:hanging="604"/>
      </w:pPr>
      <w:rPr>
        <w:rFonts w:hint="default"/>
        <w:lang w:val="zh-cn" w:eastAsia="zh-cn" w:bidi="zh-cn"/>
      </w:rPr>
    </w:lvl>
    <w:lvl w:ilvl="5">
      <w:start w:val="0"/>
      <w:numFmt w:val="bullet"/>
      <w:lvlText w:val="•"/>
      <w:lvlJc w:val="left"/>
      <w:pPr>
        <w:ind w:left="5113" w:hanging="604"/>
      </w:pPr>
      <w:rPr>
        <w:rFonts w:hint="default"/>
        <w:lang w:val="zh-cn" w:eastAsia="zh-cn" w:bidi="zh-cn"/>
      </w:rPr>
    </w:lvl>
    <w:lvl w:ilvl="6">
      <w:start w:val="0"/>
      <w:numFmt w:val="bullet"/>
      <w:lvlText w:val="•"/>
      <w:lvlJc w:val="left"/>
      <w:pPr>
        <w:ind w:left="6087" w:hanging="604"/>
      </w:pPr>
      <w:rPr>
        <w:rFonts w:hint="default"/>
        <w:lang w:val="zh-cn" w:eastAsia="zh-cn" w:bidi="zh-cn"/>
      </w:rPr>
    </w:lvl>
    <w:lvl w:ilvl="7">
      <w:start w:val="0"/>
      <w:numFmt w:val="bullet"/>
      <w:lvlText w:val="•"/>
      <w:lvlJc w:val="left"/>
      <w:pPr>
        <w:ind w:left="7062" w:hanging="604"/>
      </w:pPr>
      <w:rPr>
        <w:rFonts w:hint="default"/>
        <w:lang w:val="zh-cn" w:eastAsia="zh-cn" w:bidi="zh-cn"/>
      </w:rPr>
    </w:lvl>
    <w:lvl w:ilvl="8">
      <w:start w:val="0"/>
      <w:numFmt w:val="bullet"/>
      <w:lvlText w:val="•"/>
      <w:lvlJc w:val="left"/>
      <w:pPr>
        <w:ind w:left="8037" w:hanging="604"/>
      </w:pPr>
      <w:rPr>
        <w:rFonts w:hint="default"/>
        <w:lang w:val="zh-cn" w:eastAsia="zh-cn" w:bidi="zh-cn"/>
      </w:rPr>
    </w:lvl>
  </w:abstractNum>
  <w:abstractNum w:abstractNumId="4">
    <w:multiLevelType w:val="hybridMultilevel"/>
    <w:lvl w:ilvl="0">
      <w:start w:val="1"/>
      <w:numFmt w:val="decimal"/>
      <w:lvlText w:val="%1."/>
      <w:lvlJc w:val="left"/>
      <w:pPr>
        <w:ind w:left="889" w:hanging="184"/>
        <w:jc w:val="left"/>
      </w:pPr>
      <w:rPr>
        <w:rFonts w:hint="default" w:ascii="Calibri" w:hAnsi="Calibri" w:eastAsia="Calibri" w:cs="Calibri"/>
        <w:spacing w:val="-1"/>
        <w:w w:val="100"/>
        <w:sz w:val="22"/>
        <w:szCs w:val="22"/>
        <w:lang w:val="zh-cn" w:eastAsia="zh-cn" w:bidi="zh-cn"/>
      </w:rPr>
    </w:lvl>
    <w:lvl w:ilvl="1">
      <w:start w:val="0"/>
      <w:numFmt w:val="bullet"/>
      <w:lvlText w:val="•"/>
      <w:lvlJc w:val="left"/>
      <w:pPr>
        <w:ind w:left="1790" w:hanging="184"/>
      </w:pPr>
      <w:rPr>
        <w:rFonts w:hint="default"/>
        <w:lang w:val="zh-cn" w:eastAsia="zh-cn" w:bidi="zh-cn"/>
      </w:rPr>
    </w:lvl>
    <w:lvl w:ilvl="2">
      <w:start w:val="0"/>
      <w:numFmt w:val="bullet"/>
      <w:lvlText w:val="•"/>
      <w:lvlJc w:val="left"/>
      <w:pPr>
        <w:ind w:left="2701" w:hanging="184"/>
      </w:pPr>
      <w:rPr>
        <w:rFonts w:hint="default"/>
        <w:lang w:val="zh-cn" w:eastAsia="zh-cn" w:bidi="zh-cn"/>
      </w:rPr>
    </w:lvl>
    <w:lvl w:ilvl="3">
      <w:start w:val="0"/>
      <w:numFmt w:val="bullet"/>
      <w:lvlText w:val="•"/>
      <w:lvlJc w:val="left"/>
      <w:pPr>
        <w:ind w:left="3611" w:hanging="184"/>
      </w:pPr>
      <w:rPr>
        <w:rFonts w:hint="default"/>
        <w:lang w:val="zh-cn" w:eastAsia="zh-cn" w:bidi="zh-cn"/>
      </w:rPr>
    </w:lvl>
    <w:lvl w:ilvl="4">
      <w:start w:val="0"/>
      <w:numFmt w:val="bullet"/>
      <w:lvlText w:val="•"/>
      <w:lvlJc w:val="left"/>
      <w:pPr>
        <w:ind w:left="4522" w:hanging="184"/>
      </w:pPr>
      <w:rPr>
        <w:rFonts w:hint="default"/>
        <w:lang w:val="zh-cn" w:eastAsia="zh-cn" w:bidi="zh-cn"/>
      </w:rPr>
    </w:lvl>
    <w:lvl w:ilvl="5">
      <w:start w:val="0"/>
      <w:numFmt w:val="bullet"/>
      <w:lvlText w:val="•"/>
      <w:lvlJc w:val="left"/>
      <w:pPr>
        <w:ind w:left="5433" w:hanging="184"/>
      </w:pPr>
      <w:rPr>
        <w:rFonts w:hint="default"/>
        <w:lang w:val="zh-cn" w:eastAsia="zh-cn" w:bidi="zh-cn"/>
      </w:rPr>
    </w:lvl>
    <w:lvl w:ilvl="6">
      <w:start w:val="0"/>
      <w:numFmt w:val="bullet"/>
      <w:lvlText w:val="•"/>
      <w:lvlJc w:val="left"/>
      <w:pPr>
        <w:ind w:left="6343" w:hanging="184"/>
      </w:pPr>
      <w:rPr>
        <w:rFonts w:hint="default"/>
        <w:lang w:val="zh-cn" w:eastAsia="zh-cn" w:bidi="zh-cn"/>
      </w:rPr>
    </w:lvl>
    <w:lvl w:ilvl="7">
      <w:start w:val="0"/>
      <w:numFmt w:val="bullet"/>
      <w:lvlText w:val="•"/>
      <w:lvlJc w:val="left"/>
      <w:pPr>
        <w:ind w:left="7254" w:hanging="184"/>
      </w:pPr>
      <w:rPr>
        <w:rFonts w:hint="default"/>
        <w:lang w:val="zh-cn" w:eastAsia="zh-cn" w:bidi="zh-cn"/>
      </w:rPr>
    </w:lvl>
    <w:lvl w:ilvl="8">
      <w:start w:val="0"/>
      <w:numFmt w:val="bullet"/>
      <w:lvlText w:val="•"/>
      <w:lvlJc w:val="left"/>
      <w:pPr>
        <w:ind w:left="8165" w:hanging="184"/>
      </w:pPr>
      <w:rPr>
        <w:rFonts w:hint="default"/>
        <w:lang w:val="zh-cn" w:eastAsia="zh-cn" w:bidi="zh-cn"/>
      </w:rPr>
    </w:lvl>
  </w:abstractNum>
  <w:abstractNum w:abstractNumId="3">
    <w:multiLevelType w:val="hybridMultilevel"/>
    <w:lvl w:ilvl="0">
      <w:start w:val="1"/>
      <w:numFmt w:val="decimal"/>
      <w:lvlText w:val="%1."/>
      <w:lvlJc w:val="left"/>
      <w:pPr>
        <w:ind w:left="237" w:hanging="184"/>
        <w:jc w:val="left"/>
      </w:pPr>
      <w:rPr>
        <w:rFonts w:hint="default" w:ascii="Calibri" w:hAnsi="Calibri" w:eastAsia="Calibri" w:cs="Calibri"/>
        <w:spacing w:val="-1"/>
        <w:w w:val="100"/>
        <w:sz w:val="22"/>
        <w:szCs w:val="22"/>
        <w:lang w:val="zh-cn" w:eastAsia="zh-cn" w:bidi="zh-cn"/>
      </w:rPr>
    </w:lvl>
    <w:lvl w:ilvl="1">
      <w:start w:val="0"/>
      <w:numFmt w:val="bullet"/>
      <w:lvlText w:val="•"/>
      <w:lvlJc w:val="left"/>
      <w:pPr>
        <w:ind w:left="1214" w:hanging="184"/>
      </w:pPr>
      <w:rPr>
        <w:rFonts w:hint="default"/>
        <w:lang w:val="zh-cn" w:eastAsia="zh-cn" w:bidi="zh-cn"/>
      </w:rPr>
    </w:lvl>
    <w:lvl w:ilvl="2">
      <w:start w:val="0"/>
      <w:numFmt w:val="bullet"/>
      <w:lvlText w:val="•"/>
      <w:lvlJc w:val="left"/>
      <w:pPr>
        <w:ind w:left="2189" w:hanging="184"/>
      </w:pPr>
      <w:rPr>
        <w:rFonts w:hint="default"/>
        <w:lang w:val="zh-cn" w:eastAsia="zh-cn" w:bidi="zh-cn"/>
      </w:rPr>
    </w:lvl>
    <w:lvl w:ilvl="3">
      <w:start w:val="0"/>
      <w:numFmt w:val="bullet"/>
      <w:lvlText w:val="•"/>
      <w:lvlJc w:val="left"/>
      <w:pPr>
        <w:ind w:left="3163" w:hanging="184"/>
      </w:pPr>
      <w:rPr>
        <w:rFonts w:hint="default"/>
        <w:lang w:val="zh-cn" w:eastAsia="zh-cn" w:bidi="zh-cn"/>
      </w:rPr>
    </w:lvl>
    <w:lvl w:ilvl="4">
      <w:start w:val="0"/>
      <w:numFmt w:val="bullet"/>
      <w:lvlText w:val="•"/>
      <w:lvlJc w:val="left"/>
      <w:pPr>
        <w:ind w:left="4138" w:hanging="184"/>
      </w:pPr>
      <w:rPr>
        <w:rFonts w:hint="default"/>
        <w:lang w:val="zh-cn" w:eastAsia="zh-cn" w:bidi="zh-cn"/>
      </w:rPr>
    </w:lvl>
    <w:lvl w:ilvl="5">
      <w:start w:val="0"/>
      <w:numFmt w:val="bullet"/>
      <w:lvlText w:val="•"/>
      <w:lvlJc w:val="left"/>
      <w:pPr>
        <w:ind w:left="5113" w:hanging="184"/>
      </w:pPr>
      <w:rPr>
        <w:rFonts w:hint="default"/>
        <w:lang w:val="zh-cn" w:eastAsia="zh-cn" w:bidi="zh-cn"/>
      </w:rPr>
    </w:lvl>
    <w:lvl w:ilvl="6">
      <w:start w:val="0"/>
      <w:numFmt w:val="bullet"/>
      <w:lvlText w:val="•"/>
      <w:lvlJc w:val="left"/>
      <w:pPr>
        <w:ind w:left="6087" w:hanging="184"/>
      </w:pPr>
      <w:rPr>
        <w:rFonts w:hint="default"/>
        <w:lang w:val="zh-cn" w:eastAsia="zh-cn" w:bidi="zh-cn"/>
      </w:rPr>
    </w:lvl>
    <w:lvl w:ilvl="7">
      <w:start w:val="0"/>
      <w:numFmt w:val="bullet"/>
      <w:lvlText w:val="•"/>
      <w:lvlJc w:val="left"/>
      <w:pPr>
        <w:ind w:left="7062" w:hanging="184"/>
      </w:pPr>
      <w:rPr>
        <w:rFonts w:hint="default"/>
        <w:lang w:val="zh-cn" w:eastAsia="zh-cn" w:bidi="zh-cn"/>
      </w:rPr>
    </w:lvl>
    <w:lvl w:ilvl="8">
      <w:start w:val="0"/>
      <w:numFmt w:val="bullet"/>
      <w:lvlText w:val="•"/>
      <w:lvlJc w:val="left"/>
      <w:pPr>
        <w:ind w:left="8037" w:hanging="184"/>
      </w:pPr>
      <w:rPr>
        <w:rFonts w:hint="default"/>
        <w:lang w:val="zh-cn" w:eastAsia="zh-cn" w:bidi="zh-cn"/>
      </w:rPr>
    </w:lvl>
  </w:abstractNum>
  <w:abstractNum w:abstractNumId="2">
    <w:multiLevelType w:val="hybridMultilevel"/>
    <w:lvl w:ilvl="0">
      <w:start w:val="1"/>
      <w:numFmt w:val="decimal"/>
      <w:lvlText w:val="（%1）"/>
      <w:lvlJc w:val="left"/>
      <w:pPr>
        <w:ind w:left="237" w:hanging="604"/>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214" w:hanging="604"/>
      </w:pPr>
      <w:rPr>
        <w:rFonts w:hint="default"/>
        <w:lang w:val="zh-cn" w:eastAsia="zh-cn" w:bidi="zh-cn"/>
      </w:rPr>
    </w:lvl>
    <w:lvl w:ilvl="2">
      <w:start w:val="0"/>
      <w:numFmt w:val="bullet"/>
      <w:lvlText w:val="•"/>
      <w:lvlJc w:val="left"/>
      <w:pPr>
        <w:ind w:left="2189" w:hanging="604"/>
      </w:pPr>
      <w:rPr>
        <w:rFonts w:hint="default"/>
        <w:lang w:val="zh-cn" w:eastAsia="zh-cn" w:bidi="zh-cn"/>
      </w:rPr>
    </w:lvl>
    <w:lvl w:ilvl="3">
      <w:start w:val="0"/>
      <w:numFmt w:val="bullet"/>
      <w:lvlText w:val="•"/>
      <w:lvlJc w:val="left"/>
      <w:pPr>
        <w:ind w:left="3163" w:hanging="604"/>
      </w:pPr>
      <w:rPr>
        <w:rFonts w:hint="default"/>
        <w:lang w:val="zh-cn" w:eastAsia="zh-cn" w:bidi="zh-cn"/>
      </w:rPr>
    </w:lvl>
    <w:lvl w:ilvl="4">
      <w:start w:val="0"/>
      <w:numFmt w:val="bullet"/>
      <w:lvlText w:val="•"/>
      <w:lvlJc w:val="left"/>
      <w:pPr>
        <w:ind w:left="4138" w:hanging="604"/>
      </w:pPr>
      <w:rPr>
        <w:rFonts w:hint="default"/>
        <w:lang w:val="zh-cn" w:eastAsia="zh-cn" w:bidi="zh-cn"/>
      </w:rPr>
    </w:lvl>
    <w:lvl w:ilvl="5">
      <w:start w:val="0"/>
      <w:numFmt w:val="bullet"/>
      <w:lvlText w:val="•"/>
      <w:lvlJc w:val="left"/>
      <w:pPr>
        <w:ind w:left="5113" w:hanging="604"/>
      </w:pPr>
      <w:rPr>
        <w:rFonts w:hint="default"/>
        <w:lang w:val="zh-cn" w:eastAsia="zh-cn" w:bidi="zh-cn"/>
      </w:rPr>
    </w:lvl>
    <w:lvl w:ilvl="6">
      <w:start w:val="0"/>
      <w:numFmt w:val="bullet"/>
      <w:lvlText w:val="•"/>
      <w:lvlJc w:val="left"/>
      <w:pPr>
        <w:ind w:left="6087" w:hanging="604"/>
      </w:pPr>
      <w:rPr>
        <w:rFonts w:hint="default"/>
        <w:lang w:val="zh-cn" w:eastAsia="zh-cn" w:bidi="zh-cn"/>
      </w:rPr>
    </w:lvl>
    <w:lvl w:ilvl="7">
      <w:start w:val="0"/>
      <w:numFmt w:val="bullet"/>
      <w:lvlText w:val="•"/>
      <w:lvlJc w:val="left"/>
      <w:pPr>
        <w:ind w:left="7062" w:hanging="604"/>
      </w:pPr>
      <w:rPr>
        <w:rFonts w:hint="default"/>
        <w:lang w:val="zh-cn" w:eastAsia="zh-cn" w:bidi="zh-cn"/>
      </w:rPr>
    </w:lvl>
    <w:lvl w:ilvl="8">
      <w:start w:val="0"/>
      <w:numFmt w:val="bullet"/>
      <w:lvlText w:val="•"/>
      <w:lvlJc w:val="left"/>
      <w:pPr>
        <w:ind w:left="8037" w:hanging="604"/>
      </w:pPr>
      <w:rPr>
        <w:rFonts w:hint="default"/>
        <w:lang w:val="zh-cn" w:eastAsia="zh-cn" w:bidi="zh-cn"/>
      </w:rPr>
    </w:lvl>
  </w:abstractNum>
  <w:abstractNum w:abstractNumId="1">
    <w:multiLevelType w:val="hybridMultilevel"/>
    <w:lvl w:ilvl="0">
      <w:start w:val="1"/>
      <w:numFmt w:val="decimal"/>
      <w:lvlText w:val="%1."/>
      <w:lvlJc w:val="left"/>
      <w:pPr>
        <w:ind w:left="889" w:hanging="184"/>
        <w:jc w:val="left"/>
      </w:pPr>
      <w:rPr>
        <w:rFonts w:hint="default" w:ascii="Calibri" w:hAnsi="Calibri" w:eastAsia="Calibri" w:cs="Calibri"/>
        <w:spacing w:val="-1"/>
        <w:w w:val="100"/>
        <w:sz w:val="22"/>
        <w:szCs w:val="22"/>
        <w:lang w:val="zh-cn" w:eastAsia="zh-cn" w:bidi="zh-cn"/>
      </w:rPr>
    </w:lvl>
    <w:lvl w:ilvl="1">
      <w:start w:val="0"/>
      <w:numFmt w:val="bullet"/>
      <w:lvlText w:val="•"/>
      <w:lvlJc w:val="left"/>
      <w:pPr>
        <w:ind w:left="1790" w:hanging="184"/>
      </w:pPr>
      <w:rPr>
        <w:rFonts w:hint="default"/>
        <w:lang w:val="zh-cn" w:eastAsia="zh-cn" w:bidi="zh-cn"/>
      </w:rPr>
    </w:lvl>
    <w:lvl w:ilvl="2">
      <w:start w:val="0"/>
      <w:numFmt w:val="bullet"/>
      <w:lvlText w:val="•"/>
      <w:lvlJc w:val="left"/>
      <w:pPr>
        <w:ind w:left="2701" w:hanging="184"/>
      </w:pPr>
      <w:rPr>
        <w:rFonts w:hint="default"/>
        <w:lang w:val="zh-cn" w:eastAsia="zh-cn" w:bidi="zh-cn"/>
      </w:rPr>
    </w:lvl>
    <w:lvl w:ilvl="3">
      <w:start w:val="0"/>
      <w:numFmt w:val="bullet"/>
      <w:lvlText w:val="•"/>
      <w:lvlJc w:val="left"/>
      <w:pPr>
        <w:ind w:left="3611" w:hanging="184"/>
      </w:pPr>
      <w:rPr>
        <w:rFonts w:hint="default"/>
        <w:lang w:val="zh-cn" w:eastAsia="zh-cn" w:bidi="zh-cn"/>
      </w:rPr>
    </w:lvl>
    <w:lvl w:ilvl="4">
      <w:start w:val="0"/>
      <w:numFmt w:val="bullet"/>
      <w:lvlText w:val="•"/>
      <w:lvlJc w:val="left"/>
      <w:pPr>
        <w:ind w:left="4522" w:hanging="184"/>
      </w:pPr>
      <w:rPr>
        <w:rFonts w:hint="default"/>
        <w:lang w:val="zh-cn" w:eastAsia="zh-cn" w:bidi="zh-cn"/>
      </w:rPr>
    </w:lvl>
    <w:lvl w:ilvl="5">
      <w:start w:val="0"/>
      <w:numFmt w:val="bullet"/>
      <w:lvlText w:val="•"/>
      <w:lvlJc w:val="left"/>
      <w:pPr>
        <w:ind w:left="5433" w:hanging="184"/>
      </w:pPr>
      <w:rPr>
        <w:rFonts w:hint="default"/>
        <w:lang w:val="zh-cn" w:eastAsia="zh-cn" w:bidi="zh-cn"/>
      </w:rPr>
    </w:lvl>
    <w:lvl w:ilvl="6">
      <w:start w:val="0"/>
      <w:numFmt w:val="bullet"/>
      <w:lvlText w:val="•"/>
      <w:lvlJc w:val="left"/>
      <w:pPr>
        <w:ind w:left="6343" w:hanging="184"/>
      </w:pPr>
      <w:rPr>
        <w:rFonts w:hint="default"/>
        <w:lang w:val="zh-cn" w:eastAsia="zh-cn" w:bidi="zh-cn"/>
      </w:rPr>
    </w:lvl>
    <w:lvl w:ilvl="7">
      <w:start w:val="0"/>
      <w:numFmt w:val="bullet"/>
      <w:lvlText w:val="•"/>
      <w:lvlJc w:val="left"/>
      <w:pPr>
        <w:ind w:left="7254" w:hanging="184"/>
      </w:pPr>
      <w:rPr>
        <w:rFonts w:hint="default"/>
        <w:lang w:val="zh-cn" w:eastAsia="zh-cn" w:bidi="zh-cn"/>
      </w:rPr>
    </w:lvl>
    <w:lvl w:ilvl="8">
      <w:start w:val="0"/>
      <w:numFmt w:val="bullet"/>
      <w:lvlText w:val="•"/>
      <w:lvlJc w:val="left"/>
      <w:pPr>
        <w:ind w:left="8165" w:hanging="184"/>
      </w:pPr>
      <w:rPr>
        <w:rFonts w:hint="default"/>
        <w:lang w:val="zh-cn" w:eastAsia="zh-cn" w:bidi="zh-cn"/>
      </w:rPr>
    </w:lvl>
  </w:abstractNum>
  <w:num w:numId="1">
    <w:abstractNumId w:val="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line="505" w:lineRule="exact"/>
      <w:ind w:right="14"/>
      <w:jc w:val="center"/>
    </w:pPr>
    <w:rPr>
      <w:rFonts w:ascii="华文隶书" w:hAnsi="华文隶书" w:eastAsia="华文隶书" w:cs="华文隶书"/>
      <w:sz w:val="36"/>
      <w:szCs w:val="36"/>
      <w:lang w:val="zh-cn" w:eastAsia="zh-cn" w:bidi="zh-cn"/>
    </w:rPr>
  </w:style>
  <w:style w:styleId="TOC2" w:type="paragraph">
    <w:name w:val="TOC 2"/>
    <w:basedOn w:val="Normal"/>
    <w:uiPriority w:val="1"/>
    <w:qFormat/>
    <w:pPr>
      <w:spacing w:before="2" w:line="459" w:lineRule="exact"/>
      <w:ind w:right="11"/>
      <w:jc w:val="center"/>
    </w:pPr>
    <w:rPr>
      <w:rFonts w:ascii="华文楷体" w:hAnsi="华文楷体" w:eastAsia="华文楷体" w:cs="华文楷体"/>
      <w:sz w:val="28"/>
      <w:szCs w:val="28"/>
      <w:lang w:val="zh-cn" w:eastAsia="zh-cn" w:bidi="zh-cn"/>
    </w:rPr>
  </w:style>
  <w:style w:styleId="TOC3" w:type="paragraph">
    <w:name w:val="TOC 3"/>
    <w:basedOn w:val="Normal"/>
    <w:uiPriority w:val="1"/>
    <w:qFormat/>
    <w:pPr>
      <w:ind w:right="11"/>
      <w:jc w:val="center"/>
    </w:pPr>
    <w:rPr>
      <w:rFonts w:ascii="华文楷体" w:hAnsi="华文楷体" w:eastAsia="华文楷体" w:cs="华文楷体"/>
      <w:b/>
      <w:bCs/>
      <w:i/>
      <w:lang w:val="zh-cn" w:eastAsia="zh-cn" w:bidi="zh-cn"/>
    </w:rPr>
  </w:style>
  <w:style w:styleId="BodyText" w:type="paragraph">
    <w:name w:val="Body Text"/>
    <w:basedOn w:val="Normal"/>
    <w:uiPriority w:val="1"/>
    <w:qFormat/>
    <w:pPr>
      <w:ind w:left="237"/>
    </w:pPr>
    <w:rPr>
      <w:rFonts w:ascii="宋体" w:hAnsi="宋体" w:eastAsia="宋体" w:cs="宋体"/>
      <w:sz w:val="24"/>
      <w:szCs w:val="24"/>
      <w:lang w:val="zh-cn" w:eastAsia="zh-cn" w:bidi="zh-cn"/>
    </w:rPr>
  </w:style>
  <w:style w:styleId="Heading1" w:type="paragraph">
    <w:name w:val="Heading 1"/>
    <w:basedOn w:val="Normal"/>
    <w:uiPriority w:val="1"/>
    <w:qFormat/>
    <w:pPr>
      <w:ind w:left="237"/>
      <w:outlineLvl w:val="1"/>
    </w:pPr>
    <w:rPr>
      <w:rFonts w:ascii="华文宋体" w:hAnsi="华文宋体" w:eastAsia="华文宋体" w:cs="华文宋体"/>
      <w:b/>
      <w:bCs/>
      <w:sz w:val="44"/>
      <w:szCs w:val="44"/>
      <w:u w:val="single" w:color="000000"/>
      <w:lang w:val="zh-cn" w:eastAsia="zh-cn" w:bidi="zh-cn"/>
    </w:rPr>
  </w:style>
  <w:style w:styleId="Heading2" w:type="paragraph">
    <w:name w:val="Heading 2"/>
    <w:basedOn w:val="Normal"/>
    <w:uiPriority w:val="1"/>
    <w:qFormat/>
    <w:pPr>
      <w:ind w:left="237"/>
      <w:outlineLvl w:val="2"/>
    </w:pPr>
    <w:rPr>
      <w:rFonts w:ascii="宋体" w:hAnsi="宋体" w:eastAsia="宋体" w:cs="宋体"/>
      <w:b/>
      <w:bCs/>
      <w:sz w:val="32"/>
      <w:szCs w:val="32"/>
      <w:lang w:val="zh-cn" w:eastAsia="zh-cn" w:bidi="zh-cn"/>
    </w:rPr>
  </w:style>
  <w:style w:styleId="Heading3" w:type="paragraph">
    <w:name w:val="Heading 3"/>
    <w:basedOn w:val="Normal"/>
    <w:uiPriority w:val="1"/>
    <w:qFormat/>
    <w:pPr>
      <w:ind w:left="719"/>
      <w:outlineLvl w:val="3"/>
    </w:pPr>
    <w:rPr>
      <w:rFonts w:ascii="楷体" w:hAnsi="楷体" w:eastAsia="楷体" w:cs="楷体"/>
      <w:b/>
      <w:bCs/>
      <w:sz w:val="24"/>
      <w:szCs w:val="24"/>
      <w:lang w:val="zh-cn" w:eastAsia="zh-cn" w:bidi="zh-cn"/>
    </w:rPr>
  </w:style>
  <w:style w:styleId="ListParagraph" w:type="paragraph">
    <w:name w:val="List Paragraph"/>
    <w:basedOn w:val="Normal"/>
    <w:uiPriority w:val="1"/>
    <w:qFormat/>
    <w:pPr>
      <w:ind w:left="237" w:firstLine="468"/>
    </w:pPr>
    <w:rPr>
      <w:rFonts w:ascii="宋体" w:hAnsi="宋体" w:eastAsia="宋体" w:cs="宋体"/>
      <w:lang w:val="zh-cn" w:eastAsia="zh-cn" w:bidi="zh-cn"/>
    </w:rPr>
  </w:style>
  <w:style w:styleId="TableParagraph" w:type="paragraph">
    <w:name w:val="Table Paragraph"/>
    <w:basedOn w:val="Normal"/>
    <w:uiPriority w:val="1"/>
    <w:qFormat/>
    <w:pPr>
      <w:spacing w:before="6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image" Target="media/image4.jpeg"/><Relationship Id="rId18" Type="http://schemas.openxmlformats.org/officeDocument/2006/relationships/image" Target="media/image5.jpeg"/><Relationship Id="rId19" Type="http://schemas.openxmlformats.org/officeDocument/2006/relationships/image" Target="media/image6.jpeg"/><Relationship Id="rId20" Type="http://schemas.openxmlformats.org/officeDocument/2006/relationships/image" Target="media/image7.jpeg"/><Relationship Id="rId21" Type="http://schemas.openxmlformats.org/officeDocument/2006/relationships/image" Target="media/image8.jpeg"/><Relationship Id="rId22" Type="http://schemas.openxmlformats.org/officeDocument/2006/relationships/image" Target="media/image9.jpeg"/><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中国药学会全国医药经济信息网</dc:title>
  <dcterms:created xsi:type="dcterms:W3CDTF">2019-04-01T01:49:26Z</dcterms:created>
  <dcterms:modified xsi:type="dcterms:W3CDTF">2019-04-01T01:49:26Z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Microsoft® Office Word 2007</vt:lpwstr>
  </property>
  <property fmtid="{D5CDD505-2E9C-101B-9397-08002B2CF9AE}" pid="4" name="LastSaved">
    <vt:filetime>2019-04-01T00:00:00Z</vt:filetime>
  </property>
</Properties>
</file>